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5.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drawings/drawing6.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11638"/>
      </w:tblGrid>
      <w:tr w:rsidR="00900187" w:rsidRPr="003A2F86" w14:paraId="67E891CA" w14:textId="77777777" w:rsidTr="000B4A24">
        <w:tc>
          <w:tcPr>
            <w:tcW w:w="7672" w:type="dxa"/>
            <w:tcMar>
              <w:top w:w="216" w:type="dxa"/>
              <w:left w:w="115" w:type="dxa"/>
              <w:bottom w:w="216" w:type="dxa"/>
              <w:right w:w="115" w:type="dxa"/>
            </w:tcMar>
          </w:tcPr>
          <w:p w14:paraId="5740B18F" w14:textId="77777777" w:rsidR="00891119" w:rsidRPr="003A2F86" w:rsidRDefault="00891119" w:rsidP="00891119">
            <w:pPr>
              <w:spacing w:after="0" w:line="240" w:lineRule="auto"/>
              <w:rPr>
                <w:rFonts w:ascii="Cambria" w:eastAsia="Times New Roman" w:hAnsi="Cambria" w:cs="Times New Roman"/>
                <w:lang w:eastAsia="en-US"/>
              </w:rPr>
            </w:pPr>
            <w:r w:rsidRPr="003A2F86">
              <w:rPr>
                <w:rFonts w:ascii="Cambria" w:eastAsia="Times New Roman" w:hAnsi="Cambria" w:cs="Times New Roman"/>
                <w:lang w:eastAsia="en-US"/>
              </w:rPr>
              <w:t>OPĆINA KONAVLE</w:t>
            </w:r>
          </w:p>
        </w:tc>
      </w:tr>
      <w:tr w:rsidR="00900187" w:rsidRPr="003A2F86" w14:paraId="6E3166D9" w14:textId="77777777" w:rsidTr="000B4A24">
        <w:tc>
          <w:tcPr>
            <w:tcW w:w="7672" w:type="dxa"/>
          </w:tcPr>
          <w:p w14:paraId="602DE03A" w14:textId="47560F38" w:rsidR="00891119" w:rsidRPr="003A2F86" w:rsidRDefault="00E005B1" w:rsidP="00891119">
            <w:pPr>
              <w:spacing w:after="0" w:line="240" w:lineRule="auto"/>
              <w:rPr>
                <w:rFonts w:ascii="Cambria" w:eastAsia="Times New Roman" w:hAnsi="Cambria" w:cs="Times New Roman"/>
                <w:sz w:val="80"/>
                <w:szCs w:val="80"/>
                <w:lang w:eastAsia="en-US"/>
              </w:rPr>
            </w:pPr>
            <w:r>
              <w:rPr>
                <w:rFonts w:ascii="Cambria" w:eastAsia="Times New Roman" w:hAnsi="Cambria" w:cs="Times New Roman"/>
                <w:sz w:val="80"/>
                <w:szCs w:val="80"/>
                <w:lang w:eastAsia="en-US"/>
              </w:rPr>
              <w:t>POLUG</w:t>
            </w:r>
            <w:r w:rsidR="005A6E9F" w:rsidRPr="003A2F86">
              <w:rPr>
                <w:rFonts w:ascii="Cambria" w:eastAsia="Times New Roman" w:hAnsi="Cambria" w:cs="Times New Roman"/>
                <w:sz w:val="80"/>
                <w:szCs w:val="80"/>
                <w:lang w:eastAsia="en-US"/>
              </w:rPr>
              <w:t>ODIŠNJ</w:t>
            </w:r>
            <w:r w:rsidR="007F3BCB">
              <w:rPr>
                <w:rFonts w:ascii="Cambria" w:eastAsia="Times New Roman" w:hAnsi="Cambria" w:cs="Times New Roman"/>
                <w:sz w:val="80"/>
                <w:szCs w:val="80"/>
                <w:lang w:eastAsia="en-US"/>
              </w:rPr>
              <w:t>I</w:t>
            </w:r>
            <w:r w:rsidR="00271716" w:rsidRPr="003A2F86">
              <w:rPr>
                <w:rFonts w:ascii="Cambria" w:eastAsia="Times New Roman" w:hAnsi="Cambria" w:cs="Times New Roman"/>
                <w:sz w:val="80"/>
                <w:szCs w:val="80"/>
                <w:lang w:eastAsia="en-US"/>
              </w:rPr>
              <w:t xml:space="preserve"> </w:t>
            </w:r>
            <w:r w:rsidR="00891119" w:rsidRPr="003A2F86">
              <w:rPr>
                <w:rFonts w:ascii="Cambria" w:eastAsia="Times New Roman" w:hAnsi="Cambria" w:cs="Times New Roman"/>
                <w:sz w:val="80"/>
                <w:szCs w:val="80"/>
                <w:lang w:eastAsia="en-US"/>
              </w:rPr>
              <w:t xml:space="preserve">IZVJEŠTAJ O IZVRŠENJU PRORAČUNA </w:t>
            </w:r>
          </w:p>
          <w:p w14:paraId="5AFFF5D9" w14:textId="77777777" w:rsidR="00891119" w:rsidRPr="003A2F86" w:rsidRDefault="00891119" w:rsidP="00891119">
            <w:pPr>
              <w:spacing w:after="0" w:line="240" w:lineRule="auto"/>
              <w:rPr>
                <w:rFonts w:ascii="Cambria" w:eastAsia="Times New Roman" w:hAnsi="Cambria" w:cs="Times New Roman"/>
                <w:sz w:val="80"/>
                <w:szCs w:val="80"/>
                <w:lang w:eastAsia="en-US"/>
              </w:rPr>
            </w:pPr>
            <w:r w:rsidRPr="003A2F86">
              <w:rPr>
                <w:rFonts w:ascii="Cambria" w:eastAsia="Times New Roman" w:hAnsi="Cambria" w:cs="Times New Roman"/>
                <w:sz w:val="80"/>
                <w:szCs w:val="80"/>
                <w:lang w:eastAsia="en-US"/>
              </w:rPr>
              <w:t>OPĆINE KONAVLE</w:t>
            </w:r>
          </w:p>
          <w:p w14:paraId="28876B70" w14:textId="77777777" w:rsidR="00891119" w:rsidRPr="003A2F86" w:rsidRDefault="00891119" w:rsidP="00891119">
            <w:pPr>
              <w:spacing w:after="0" w:line="240" w:lineRule="auto"/>
              <w:rPr>
                <w:rFonts w:ascii="Cambria" w:eastAsia="Times New Roman" w:hAnsi="Cambria" w:cs="Times New Roman"/>
                <w:sz w:val="40"/>
                <w:szCs w:val="72"/>
                <w:lang w:eastAsia="en-US"/>
              </w:rPr>
            </w:pPr>
          </w:p>
        </w:tc>
      </w:tr>
      <w:tr w:rsidR="00900187" w:rsidRPr="003A2F86" w14:paraId="5421A9F1" w14:textId="77777777" w:rsidTr="000B4A24">
        <w:tc>
          <w:tcPr>
            <w:tcW w:w="7672" w:type="dxa"/>
            <w:tcMar>
              <w:top w:w="216" w:type="dxa"/>
              <w:left w:w="115" w:type="dxa"/>
              <w:bottom w:w="216" w:type="dxa"/>
              <w:right w:w="115" w:type="dxa"/>
            </w:tcMar>
          </w:tcPr>
          <w:p w14:paraId="784397C0" w14:textId="40EB7DEA" w:rsidR="00891119" w:rsidRPr="003A2F86" w:rsidRDefault="00891119" w:rsidP="00E343BD">
            <w:pPr>
              <w:spacing w:after="0" w:line="240" w:lineRule="auto"/>
              <w:rPr>
                <w:rFonts w:ascii="Cambria" w:eastAsia="Times New Roman" w:hAnsi="Cambria" w:cs="Times New Roman"/>
                <w:lang w:eastAsia="en-US"/>
              </w:rPr>
            </w:pPr>
            <w:r w:rsidRPr="003A2F86">
              <w:rPr>
                <w:rFonts w:ascii="Cambria" w:eastAsia="Times New Roman" w:hAnsi="Cambria" w:cs="Times New Roman"/>
                <w:sz w:val="80"/>
                <w:szCs w:val="80"/>
                <w:lang w:eastAsia="en-US"/>
              </w:rPr>
              <w:t>ZA 20</w:t>
            </w:r>
            <w:r w:rsidR="00E343BD" w:rsidRPr="003A2F86">
              <w:rPr>
                <w:rFonts w:ascii="Cambria" w:eastAsia="Times New Roman" w:hAnsi="Cambria" w:cs="Times New Roman"/>
                <w:sz w:val="80"/>
                <w:szCs w:val="80"/>
                <w:lang w:eastAsia="en-US"/>
              </w:rPr>
              <w:t>2</w:t>
            </w:r>
            <w:r w:rsidR="00E005B1">
              <w:rPr>
                <w:rFonts w:ascii="Cambria" w:eastAsia="Times New Roman" w:hAnsi="Cambria" w:cs="Times New Roman"/>
                <w:sz w:val="80"/>
                <w:szCs w:val="80"/>
                <w:lang w:eastAsia="en-US"/>
              </w:rPr>
              <w:t>5</w:t>
            </w:r>
            <w:r w:rsidRPr="003A2F86">
              <w:rPr>
                <w:rFonts w:ascii="Cambria" w:eastAsia="Times New Roman" w:hAnsi="Cambria" w:cs="Times New Roman"/>
                <w:sz w:val="80"/>
                <w:szCs w:val="80"/>
                <w:lang w:eastAsia="en-US"/>
              </w:rPr>
              <w:t>.</w:t>
            </w:r>
          </w:p>
        </w:tc>
      </w:tr>
    </w:tbl>
    <w:p w14:paraId="2A8172DF" w14:textId="7A3AF6B6" w:rsidR="00891119" w:rsidRPr="003A2F86" w:rsidRDefault="00891119" w:rsidP="00891119">
      <w:pPr>
        <w:spacing w:after="0" w:line="240" w:lineRule="auto"/>
        <w:rPr>
          <w:rFonts w:ascii="Times New Roman" w:eastAsia="Times New Roman" w:hAnsi="Times New Roman" w:cs="Times New Roman"/>
          <w:sz w:val="20"/>
          <w:szCs w:val="20"/>
          <w:lang w:eastAsia="en-US"/>
        </w:rPr>
      </w:pPr>
    </w:p>
    <w:tbl>
      <w:tblPr>
        <w:tblpPr w:leftFromText="187" w:rightFromText="187" w:horzAnchor="margin" w:tblpXSpec="center" w:tblpYSpec="bottom"/>
        <w:tblW w:w="4000" w:type="pct"/>
        <w:tblLook w:val="04A0" w:firstRow="1" w:lastRow="0" w:firstColumn="1" w:lastColumn="0" w:noHBand="0" w:noVBand="1"/>
      </w:tblPr>
      <w:tblGrid>
        <w:gridCol w:w="11656"/>
      </w:tblGrid>
      <w:tr w:rsidR="00381DDA" w:rsidRPr="003A2F86" w14:paraId="53BC0296" w14:textId="77777777" w:rsidTr="000B4A24">
        <w:tc>
          <w:tcPr>
            <w:tcW w:w="7672" w:type="dxa"/>
            <w:tcMar>
              <w:top w:w="216" w:type="dxa"/>
              <w:left w:w="115" w:type="dxa"/>
              <w:bottom w:w="216" w:type="dxa"/>
              <w:right w:w="115" w:type="dxa"/>
            </w:tcMar>
          </w:tcPr>
          <w:p w14:paraId="43209334" w14:textId="66904CE0" w:rsidR="00891119" w:rsidRPr="003A2F86" w:rsidRDefault="00891119" w:rsidP="009463E8">
            <w:pPr>
              <w:spacing w:after="0" w:line="240" w:lineRule="auto"/>
              <w:jc w:val="center"/>
              <w:rPr>
                <w:rFonts w:ascii="Calibri" w:eastAsia="Times New Roman" w:hAnsi="Calibri" w:cs="Times New Roman"/>
                <w:lang w:eastAsia="en-US"/>
              </w:rPr>
            </w:pPr>
            <w:r w:rsidRPr="003A2F86">
              <w:rPr>
                <w:rFonts w:ascii="Calibri" w:eastAsia="Times New Roman" w:hAnsi="Calibri" w:cs="Times New Roman"/>
                <w:lang w:eastAsia="en-US"/>
              </w:rPr>
              <w:t xml:space="preserve">Cavtat, </w:t>
            </w:r>
            <w:r w:rsidR="002723C3">
              <w:rPr>
                <w:rFonts w:ascii="Calibri" w:eastAsia="Times New Roman" w:hAnsi="Calibri" w:cs="Times New Roman"/>
                <w:lang w:eastAsia="en-US"/>
              </w:rPr>
              <w:t>rujan</w:t>
            </w:r>
            <w:r w:rsidRPr="003A2F86">
              <w:rPr>
                <w:rFonts w:ascii="Calibri" w:eastAsia="Times New Roman" w:hAnsi="Calibri" w:cs="Times New Roman"/>
                <w:lang w:eastAsia="en-US"/>
              </w:rPr>
              <w:t xml:space="preserve"> 20</w:t>
            </w:r>
            <w:r w:rsidR="007401D6" w:rsidRPr="003A2F86">
              <w:rPr>
                <w:rFonts w:ascii="Calibri" w:eastAsia="Times New Roman" w:hAnsi="Calibri" w:cs="Times New Roman"/>
                <w:lang w:eastAsia="en-US"/>
              </w:rPr>
              <w:t>2</w:t>
            </w:r>
            <w:r w:rsidR="00354F58" w:rsidRPr="003A2F86">
              <w:rPr>
                <w:rFonts w:ascii="Calibri" w:eastAsia="Times New Roman" w:hAnsi="Calibri" w:cs="Times New Roman"/>
                <w:lang w:eastAsia="en-US"/>
              </w:rPr>
              <w:t>5</w:t>
            </w:r>
            <w:r w:rsidRPr="003A2F86">
              <w:rPr>
                <w:rFonts w:ascii="Calibri" w:eastAsia="Times New Roman" w:hAnsi="Calibri" w:cs="Times New Roman"/>
                <w:lang w:eastAsia="en-US"/>
              </w:rPr>
              <w:t>.</w:t>
            </w:r>
          </w:p>
        </w:tc>
      </w:tr>
      <w:tr w:rsidR="00B74B97" w:rsidRPr="003A2F86" w14:paraId="4C920A9D" w14:textId="77777777" w:rsidTr="000B4A24">
        <w:tc>
          <w:tcPr>
            <w:tcW w:w="7672" w:type="dxa"/>
            <w:tcMar>
              <w:top w:w="216" w:type="dxa"/>
              <w:left w:w="115" w:type="dxa"/>
              <w:bottom w:w="216" w:type="dxa"/>
              <w:right w:w="115" w:type="dxa"/>
            </w:tcMar>
          </w:tcPr>
          <w:p w14:paraId="39FD7C30" w14:textId="77777777" w:rsidR="00B74B97" w:rsidRPr="003A2F86" w:rsidRDefault="00B74B97" w:rsidP="009463E8">
            <w:pPr>
              <w:spacing w:after="0" w:line="240" w:lineRule="auto"/>
              <w:jc w:val="center"/>
              <w:rPr>
                <w:rFonts w:ascii="Calibri" w:eastAsia="Times New Roman" w:hAnsi="Calibri" w:cs="Times New Roman"/>
                <w:lang w:eastAsia="en-US"/>
              </w:rPr>
            </w:pPr>
          </w:p>
        </w:tc>
      </w:tr>
    </w:tbl>
    <w:p w14:paraId="6EBC2661" w14:textId="27783B1B" w:rsidR="00891119" w:rsidRPr="003A2F86" w:rsidRDefault="00891119" w:rsidP="00891119">
      <w:pPr>
        <w:spacing w:after="0" w:line="240" w:lineRule="auto"/>
        <w:rPr>
          <w:rFonts w:ascii="Times New Roman" w:eastAsia="Times New Roman" w:hAnsi="Times New Roman" w:cs="Times New Roman"/>
          <w:sz w:val="20"/>
          <w:szCs w:val="20"/>
          <w:lang w:eastAsia="en-US"/>
        </w:rPr>
      </w:pPr>
    </w:p>
    <w:p w14:paraId="43195B0A" w14:textId="725F150D" w:rsidR="00891119" w:rsidRPr="003A2F86" w:rsidRDefault="00891119" w:rsidP="00891119">
      <w:pPr>
        <w:spacing w:after="0" w:line="240" w:lineRule="auto"/>
        <w:rPr>
          <w:rFonts w:ascii="Arial" w:eastAsia="Calibri" w:hAnsi="Arial" w:cs="Arial"/>
          <w:b/>
          <w:lang w:eastAsia="en-US"/>
        </w:rPr>
      </w:pPr>
      <w:r w:rsidRPr="003A2F86">
        <w:rPr>
          <w:rFonts w:ascii="Calibri" w:eastAsia="Times New Roman" w:hAnsi="Calibri" w:cs="Times New Roman"/>
          <w:lang w:eastAsia="en-US"/>
        </w:rPr>
        <w:br w:type="page"/>
      </w:r>
    </w:p>
    <w:p w14:paraId="3EC65597" w14:textId="77777777" w:rsidR="00891119" w:rsidRPr="003A2F86" w:rsidRDefault="00891119" w:rsidP="00891119">
      <w:pPr>
        <w:keepNext/>
        <w:keepLines/>
        <w:spacing w:before="480" w:after="0"/>
        <w:jc w:val="center"/>
        <w:rPr>
          <w:rFonts w:ascii="Cambria" w:eastAsia="Times New Roman" w:hAnsi="Cambria" w:cs="Times New Roman"/>
          <w:b/>
          <w:bCs/>
          <w:color w:val="1F497D" w:themeColor="text2"/>
          <w:sz w:val="24"/>
          <w:szCs w:val="28"/>
          <w:lang w:eastAsia="en-US"/>
        </w:rPr>
      </w:pPr>
      <w:r w:rsidRPr="003A2F86">
        <w:rPr>
          <w:rFonts w:ascii="Cambria" w:eastAsia="Times New Roman" w:hAnsi="Cambria" w:cs="Times New Roman"/>
          <w:b/>
          <w:bCs/>
          <w:color w:val="1F497D" w:themeColor="text2"/>
          <w:sz w:val="24"/>
          <w:szCs w:val="28"/>
          <w:lang w:eastAsia="en-US"/>
        </w:rPr>
        <w:lastRenderedPageBreak/>
        <w:t>Sadržaj</w:t>
      </w:r>
    </w:p>
    <w:p w14:paraId="59CE5C38" w14:textId="77777777" w:rsidR="004F4581" w:rsidRPr="00C05901" w:rsidRDefault="004F4581" w:rsidP="00FA1272">
      <w:pPr>
        <w:pStyle w:val="Sadraj1"/>
        <w:rPr>
          <w:lang w:eastAsia="en-US"/>
        </w:rPr>
      </w:pPr>
    </w:p>
    <w:p w14:paraId="3C90BCE3" w14:textId="17EE1F3D" w:rsidR="00910987" w:rsidRDefault="00F66355">
      <w:pPr>
        <w:pStyle w:val="Sadraj1"/>
        <w:rPr>
          <w:rFonts w:asciiTheme="minorHAnsi" w:eastAsiaTheme="minorEastAsia" w:hAnsiTheme="minorHAnsi" w:cstheme="minorBidi"/>
          <w:b w:val="0"/>
          <w:bCs w:val="0"/>
          <w:caps w:val="0"/>
          <w:kern w:val="2"/>
          <w:sz w:val="24"/>
          <w:szCs w:val="24"/>
          <w14:ligatures w14:val="standardContextual"/>
        </w:rPr>
      </w:pPr>
      <w:r w:rsidRPr="00C05901">
        <w:rPr>
          <w:sz w:val="18"/>
          <w:lang w:eastAsia="en-US"/>
        </w:rPr>
        <w:fldChar w:fldCharType="begin"/>
      </w:r>
      <w:r w:rsidRPr="00C05901">
        <w:rPr>
          <w:sz w:val="18"/>
          <w:lang w:eastAsia="en-US"/>
        </w:rPr>
        <w:instrText xml:space="preserve"> TOC \o "1-5" \h \z \u </w:instrText>
      </w:r>
      <w:r w:rsidRPr="00C05901">
        <w:rPr>
          <w:sz w:val="18"/>
          <w:lang w:eastAsia="en-US"/>
        </w:rPr>
        <w:fldChar w:fldCharType="separate"/>
      </w:r>
      <w:hyperlink w:anchor="_Toc207707411" w:history="1">
        <w:r w:rsidR="00910987" w:rsidRPr="000B56B1">
          <w:rPr>
            <w:rStyle w:val="Hiperveza"/>
          </w:rPr>
          <w:t xml:space="preserve">1. </w:t>
        </w:r>
        <w:r w:rsidR="00910987">
          <w:rPr>
            <w:rFonts w:asciiTheme="minorHAnsi" w:eastAsiaTheme="minorEastAsia" w:hAnsiTheme="minorHAnsi" w:cstheme="minorBidi"/>
            <w:b w:val="0"/>
            <w:bCs w:val="0"/>
            <w:caps w:val="0"/>
            <w:kern w:val="2"/>
            <w:sz w:val="24"/>
            <w:szCs w:val="24"/>
            <w14:ligatures w14:val="standardContextual"/>
          </w:rPr>
          <w:tab/>
        </w:r>
        <w:r w:rsidR="00910987" w:rsidRPr="000B56B1">
          <w:rPr>
            <w:rStyle w:val="Hiperveza"/>
          </w:rPr>
          <w:t>UVOD</w:t>
        </w:r>
        <w:r w:rsidR="00910987">
          <w:rPr>
            <w:webHidden/>
          </w:rPr>
          <w:tab/>
        </w:r>
        <w:r w:rsidR="00910987">
          <w:rPr>
            <w:webHidden/>
          </w:rPr>
          <w:fldChar w:fldCharType="begin"/>
        </w:r>
        <w:r w:rsidR="00910987">
          <w:rPr>
            <w:webHidden/>
          </w:rPr>
          <w:instrText xml:space="preserve"> PAGEREF _Toc207707411 \h </w:instrText>
        </w:r>
        <w:r w:rsidR="00910987">
          <w:rPr>
            <w:webHidden/>
          </w:rPr>
        </w:r>
        <w:r w:rsidR="00910987">
          <w:rPr>
            <w:webHidden/>
          </w:rPr>
          <w:fldChar w:fldCharType="separate"/>
        </w:r>
        <w:r w:rsidR="00910987">
          <w:rPr>
            <w:webHidden/>
          </w:rPr>
          <w:t>6</w:t>
        </w:r>
        <w:r w:rsidR="00910987">
          <w:rPr>
            <w:webHidden/>
          </w:rPr>
          <w:fldChar w:fldCharType="end"/>
        </w:r>
      </w:hyperlink>
    </w:p>
    <w:p w14:paraId="17AB33BF" w14:textId="4DDABA12"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12" w:history="1">
        <w:r w:rsidRPr="000B56B1">
          <w:rPr>
            <w:rStyle w:val="Hiperveza"/>
          </w:rPr>
          <w:t>1.1.</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OSVRT NA ZAKONSKI OKVIR, STRUKTURU I SADRŽAJ IZVJEŠTAJA</w:t>
        </w:r>
        <w:r>
          <w:rPr>
            <w:webHidden/>
          </w:rPr>
          <w:tab/>
        </w:r>
        <w:r>
          <w:rPr>
            <w:webHidden/>
          </w:rPr>
          <w:fldChar w:fldCharType="begin"/>
        </w:r>
        <w:r>
          <w:rPr>
            <w:webHidden/>
          </w:rPr>
          <w:instrText xml:space="preserve"> PAGEREF _Toc207707412 \h </w:instrText>
        </w:r>
        <w:r>
          <w:rPr>
            <w:webHidden/>
          </w:rPr>
        </w:r>
        <w:r>
          <w:rPr>
            <w:webHidden/>
          </w:rPr>
          <w:fldChar w:fldCharType="separate"/>
        </w:r>
        <w:r>
          <w:rPr>
            <w:webHidden/>
          </w:rPr>
          <w:t>6</w:t>
        </w:r>
        <w:r>
          <w:rPr>
            <w:webHidden/>
          </w:rPr>
          <w:fldChar w:fldCharType="end"/>
        </w:r>
      </w:hyperlink>
    </w:p>
    <w:p w14:paraId="1DECF3B7" w14:textId="23AADD7A"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13" w:history="1">
        <w:r w:rsidRPr="000B56B1">
          <w:rPr>
            <w:rStyle w:val="Hiperveza"/>
          </w:rPr>
          <w:t>1.2.</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OSVRT NA FINANCIJSKE IZVJEŠTAJE ZA 1-6/2025. I IZVJEŠTAJ O IZVRŠENJU PRORAČUNA ZA 1-6/2025.</w:t>
        </w:r>
        <w:r>
          <w:rPr>
            <w:webHidden/>
          </w:rPr>
          <w:tab/>
        </w:r>
        <w:r>
          <w:rPr>
            <w:webHidden/>
          </w:rPr>
          <w:fldChar w:fldCharType="begin"/>
        </w:r>
        <w:r>
          <w:rPr>
            <w:webHidden/>
          </w:rPr>
          <w:instrText xml:space="preserve"> PAGEREF _Toc207707413 \h </w:instrText>
        </w:r>
        <w:r>
          <w:rPr>
            <w:webHidden/>
          </w:rPr>
        </w:r>
        <w:r>
          <w:rPr>
            <w:webHidden/>
          </w:rPr>
          <w:fldChar w:fldCharType="separate"/>
        </w:r>
        <w:r>
          <w:rPr>
            <w:webHidden/>
          </w:rPr>
          <w:t>9</w:t>
        </w:r>
        <w:r>
          <w:rPr>
            <w:webHidden/>
          </w:rPr>
          <w:fldChar w:fldCharType="end"/>
        </w:r>
      </w:hyperlink>
    </w:p>
    <w:p w14:paraId="264E7857" w14:textId="1B2F730E"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14" w:history="1">
        <w:r w:rsidRPr="000B56B1">
          <w:rPr>
            <w:rStyle w:val="Hiperveza"/>
          </w:rPr>
          <w:t>1.3.</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OSVRT NA BROJ TURISTIČKIH DOLAZAKA I BROJ NOĆENJA U RAZDOBLJU 2019.-2024. i 1-6/2025.</w:t>
        </w:r>
        <w:r>
          <w:rPr>
            <w:webHidden/>
          </w:rPr>
          <w:tab/>
        </w:r>
        <w:r>
          <w:rPr>
            <w:webHidden/>
          </w:rPr>
          <w:fldChar w:fldCharType="begin"/>
        </w:r>
        <w:r>
          <w:rPr>
            <w:webHidden/>
          </w:rPr>
          <w:instrText xml:space="preserve"> PAGEREF _Toc207707414 \h </w:instrText>
        </w:r>
        <w:r>
          <w:rPr>
            <w:webHidden/>
          </w:rPr>
        </w:r>
        <w:r>
          <w:rPr>
            <w:webHidden/>
          </w:rPr>
          <w:fldChar w:fldCharType="separate"/>
        </w:r>
        <w:r>
          <w:rPr>
            <w:webHidden/>
          </w:rPr>
          <w:t>10</w:t>
        </w:r>
        <w:r>
          <w:rPr>
            <w:webHidden/>
          </w:rPr>
          <w:fldChar w:fldCharType="end"/>
        </w:r>
      </w:hyperlink>
    </w:p>
    <w:p w14:paraId="2B6B78AC" w14:textId="51BBACE9" w:rsidR="00910987" w:rsidRDefault="00910987">
      <w:pPr>
        <w:pStyle w:val="Sadraj1"/>
        <w:rPr>
          <w:rFonts w:asciiTheme="minorHAnsi" w:eastAsiaTheme="minorEastAsia" w:hAnsiTheme="minorHAnsi" w:cstheme="minorBidi"/>
          <w:b w:val="0"/>
          <w:bCs w:val="0"/>
          <w:caps w:val="0"/>
          <w:kern w:val="2"/>
          <w:sz w:val="24"/>
          <w:szCs w:val="24"/>
          <w14:ligatures w14:val="standardContextual"/>
        </w:rPr>
      </w:pPr>
      <w:hyperlink w:anchor="_Toc207707415" w:history="1">
        <w:r w:rsidRPr="000B56B1">
          <w:rPr>
            <w:rStyle w:val="Hiperveza"/>
          </w:rPr>
          <w:t xml:space="preserve">2. </w:t>
        </w:r>
        <w:r>
          <w:rPr>
            <w:rFonts w:asciiTheme="minorHAnsi" w:eastAsiaTheme="minorEastAsia" w:hAnsiTheme="minorHAnsi" w:cstheme="minorBidi"/>
            <w:b w:val="0"/>
            <w:bCs w:val="0"/>
            <w:caps w:val="0"/>
            <w:kern w:val="2"/>
            <w:sz w:val="24"/>
            <w:szCs w:val="24"/>
            <w14:ligatures w14:val="standardContextual"/>
          </w:rPr>
          <w:tab/>
        </w:r>
        <w:r w:rsidRPr="000B56B1">
          <w:rPr>
            <w:rStyle w:val="Hiperveza"/>
          </w:rPr>
          <w:t>OBRAZLOŽENJE OPĆEG DIJELA POLUGODIŠNJEG IZVJEŠTAJA O IZVRŠENJU PRORAČUNA</w:t>
        </w:r>
        <w:r>
          <w:rPr>
            <w:webHidden/>
          </w:rPr>
          <w:tab/>
        </w:r>
        <w:r>
          <w:rPr>
            <w:webHidden/>
          </w:rPr>
          <w:fldChar w:fldCharType="begin"/>
        </w:r>
        <w:r>
          <w:rPr>
            <w:webHidden/>
          </w:rPr>
          <w:instrText xml:space="preserve"> PAGEREF _Toc207707415 \h </w:instrText>
        </w:r>
        <w:r>
          <w:rPr>
            <w:webHidden/>
          </w:rPr>
        </w:r>
        <w:r>
          <w:rPr>
            <w:webHidden/>
          </w:rPr>
          <w:fldChar w:fldCharType="separate"/>
        </w:r>
        <w:r>
          <w:rPr>
            <w:webHidden/>
          </w:rPr>
          <w:t>12</w:t>
        </w:r>
        <w:r>
          <w:rPr>
            <w:webHidden/>
          </w:rPr>
          <w:fldChar w:fldCharType="end"/>
        </w:r>
      </w:hyperlink>
    </w:p>
    <w:p w14:paraId="55013ADF" w14:textId="22E74FB3"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16" w:history="1">
        <w:r w:rsidRPr="000B56B1">
          <w:rPr>
            <w:rStyle w:val="Hiperveza"/>
            <w:rFonts w:eastAsia="Calibri"/>
          </w:rPr>
          <w:t>2.1.</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Fonts w:eastAsia="Calibri"/>
          </w:rPr>
          <w:t>PRIKAZ IZVRŠENJA PRORAČUNA ZA PRETHODNA RAZDOBLJA U VALUTI EURO, TE PLAN ZA 2025. S IZVRŠENJEM ZA 1-6/2025.</w:t>
        </w:r>
        <w:r>
          <w:rPr>
            <w:webHidden/>
          </w:rPr>
          <w:tab/>
        </w:r>
        <w:r>
          <w:rPr>
            <w:webHidden/>
          </w:rPr>
          <w:fldChar w:fldCharType="begin"/>
        </w:r>
        <w:r>
          <w:rPr>
            <w:webHidden/>
          </w:rPr>
          <w:instrText xml:space="preserve"> PAGEREF _Toc207707416 \h </w:instrText>
        </w:r>
        <w:r>
          <w:rPr>
            <w:webHidden/>
          </w:rPr>
        </w:r>
        <w:r>
          <w:rPr>
            <w:webHidden/>
          </w:rPr>
          <w:fldChar w:fldCharType="separate"/>
        </w:r>
        <w:r>
          <w:rPr>
            <w:webHidden/>
          </w:rPr>
          <w:t>12</w:t>
        </w:r>
        <w:r>
          <w:rPr>
            <w:webHidden/>
          </w:rPr>
          <w:fldChar w:fldCharType="end"/>
        </w:r>
      </w:hyperlink>
    </w:p>
    <w:p w14:paraId="2B3C556E" w14:textId="794C221C"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17" w:history="1">
        <w:r w:rsidRPr="000B56B1">
          <w:rPr>
            <w:rStyle w:val="Hiperveza"/>
            <w:rFonts w:eastAsia="Calibri"/>
          </w:rPr>
          <w:t>2.2.</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PRIKAZ UDJELA IZVRŠENJA PRORAČUNSKIH KORISNIKA U SVEUKUPNO IZVRŠENOM PRORAČUNU ZA 1-6/2025.</w:t>
        </w:r>
        <w:r>
          <w:rPr>
            <w:webHidden/>
          </w:rPr>
          <w:tab/>
        </w:r>
        <w:r>
          <w:rPr>
            <w:webHidden/>
          </w:rPr>
          <w:fldChar w:fldCharType="begin"/>
        </w:r>
        <w:r>
          <w:rPr>
            <w:webHidden/>
          </w:rPr>
          <w:instrText xml:space="preserve"> PAGEREF _Toc207707417 \h </w:instrText>
        </w:r>
        <w:r>
          <w:rPr>
            <w:webHidden/>
          </w:rPr>
        </w:r>
        <w:r>
          <w:rPr>
            <w:webHidden/>
          </w:rPr>
          <w:fldChar w:fldCharType="separate"/>
        </w:r>
        <w:r>
          <w:rPr>
            <w:webHidden/>
          </w:rPr>
          <w:t>22</w:t>
        </w:r>
        <w:r>
          <w:rPr>
            <w:webHidden/>
          </w:rPr>
          <w:fldChar w:fldCharType="end"/>
        </w:r>
      </w:hyperlink>
    </w:p>
    <w:p w14:paraId="44A61D53" w14:textId="4F563D39"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18" w:history="1">
        <w:r w:rsidRPr="000B56B1">
          <w:rPr>
            <w:rStyle w:val="Hiperveza"/>
          </w:rPr>
          <w:t>2.3.</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SAŽETAK – OBRAZLOŽENJE IZVRŠENJA PRIHODA I RASHODA, PRIMITAKA I IZDATAKA ZA SIJEČANJ – LIPANJ 2025.</w:t>
        </w:r>
        <w:r>
          <w:rPr>
            <w:webHidden/>
          </w:rPr>
          <w:tab/>
        </w:r>
        <w:r>
          <w:rPr>
            <w:webHidden/>
          </w:rPr>
          <w:fldChar w:fldCharType="begin"/>
        </w:r>
        <w:r>
          <w:rPr>
            <w:webHidden/>
          </w:rPr>
          <w:instrText xml:space="preserve"> PAGEREF _Toc207707418 \h </w:instrText>
        </w:r>
        <w:r>
          <w:rPr>
            <w:webHidden/>
          </w:rPr>
        </w:r>
        <w:r>
          <w:rPr>
            <w:webHidden/>
          </w:rPr>
          <w:fldChar w:fldCharType="separate"/>
        </w:r>
        <w:r>
          <w:rPr>
            <w:webHidden/>
          </w:rPr>
          <w:t>30</w:t>
        </w:r>
        <w:r>
          <w:rPr>
            <w:webHidden/>
          </w:rPr>
          <w:fldChar w:fldCharType="end"/>
        </w:r>
      </w:hyperlink>
    </w:p>
    <w:p w14:paraId="33BFD41E" w14:textId="17D441A7"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19" w:history="1">
        <w:r w:rsidRPr="000B56B1">
          <w:rPr>
            <w:rStyle w:val="Hiperveza"/>
            <w:rFonts w:ascii="Arial" w:eastAsia="Calibri" w:hAnsi="Arial" w:cs="Arial"/>
            <w:noProof/>
          </w:rPr>
          <w:t>2.3.1.</w:t>
        </w:r>
        <w:r>
          <w:rPr>
            <w:rFonts w:eastAsiaTheme="minorEastAsia"/>
            <w:i w:val="0"/>
            <w:iCs w:val="0"/>
            <w:noProof/>
            <w:kern w:val="2"/>
            <w:sz w:val="24"/>
            <w:szCs w:val="24"/>
            <w14:ligatures w14:val="standardContextual"/>
          </w:rPr>
          <w:tab/>
        </w:r>
        <w:r w:rsidRPr="000B56B1">
          <w:rPr>
            <w:rStyle w:val="Hiperveza"/>
            <w:rFonts w:ascii="Arial" w:eastAsia="Calibri" w:hAnsi="Arial" w:cs="Arial"/>
            <w:noProof/>
          </w:rPr>
          <w:t xml:space="preserve"> PRIHODI I PRIMICI</w:t>
        </w:r>
        <w:r>
          <w:rPr>
            <w:noProof/>
            <w:webHidden/>
          </w:rPr>
          <w:tab/>
        </w:r>
        <w:r>
          <w:rPr>
            <w:noProof/>
            <w:webHidden/>
          </w:rPr>
          <w:fldChar w:fldCharType="begin"/>
        </w:r>
        <w:r>
          <w:rPr>
            <w:noProof/>
            <w:webHidden/>
          </w:rPr>
          <w:instrText xml:space="preserve"> PAGEREF _Toc207707419 \h </w:instrText>
        </w:r>
        <w:r>
          <w:rPr>
            <w:noProof/>
            <w:webHidden/>
          </w:rPr>
        </w:r>
        <w:r>
          <w:rPr>
            <w:noProof/>
            <w:webHidden/>
          </w:rPr>
          <w:fldChar w:fldCharType="separate"/>
        </w:r>
        <w:r>
          <w:rPr>
            <w:noProof/>
            <w:webHidden/>
          </w:rPr>
          <w:t>32</w:t>
        </w:r>
        <w:r>
          <w:rPr>
            <w:noProof/>
            <w:webHidden/>
          </w:rPr>
          <w:fldChar w:fldCharType="end"/>
        </w:r>
      </w:hyperlink>
    </w:p>
    <w:p w14:paraId="61394A01" w14:textId="7E6DC56A"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20" w:history="1">
        <w:r w:rsidRPr="000B56B1">
          <w:rPr>
            <w:rStyle w:val="Hiperveza"/>
            <w:rFonts w:ascii="Arial" w:hAnsi="Arial" w:cs="Arial"/>
            <w:noProof/>
          </w:rPr>
          <w:t>2.3.2.</w:t>
        </w:r>
        <w:r>
          <w:rPr>
            <w:rFonts w:eastAsiaTheme="minorEastAsia"/>
            <w:i w:val="0"/>
            <w:iCs w:val="0"/>
            <w:noProof/>
            <w:kern w:val="2"/>
            <w:sz w:val="24"/>
            <w:szCs w:val="24"/>
            <w14:ligatures w14:val="standardContextual"/>
          </w:rPr>
          <w:tab/>
        </w:r>
        <w:r w:rsidRPr="000B56B1">
          <w:rPr>
            <w:rStyle w:val="Hiperveza"/>
            <w:rFonts w:ascii="Arial" w:hAnsi="Arial" w:cs="Arial"/>
            <w:noProof/>
          </w:rPr>
          <w:t xml:space="preserve"> RASHODI I IZDACI</w:t>
        </w:r>
        <w:r>
          <w:rPr>
            <w:noProof/>
            <w:webHidden/>
          </w:rPr>
          <w:tab/>
        </w:r>
        <w:r>
          <w:rPr>
            <w:noProof/>
            <w:webHidden/>
          </w:rPr>
          <w:fldChar w:fldCharType="begin"/>
        </w:r>
        <w:r>
          <w:rPr>
            <w:noProof/>
            <w:webHidden/>
          </w:rPr>
          <w:instrText xml:space="preserve"> PAGEREF _Toc207707420 \h </w:instrText>
        </w:r>
        <w:r>
          <w:rPr>
            <w:noProof/>
            <w:webHidden/>
          </w:rPr>
        </w:r>
        <w:r>
          <w:rPr>
            <w:noProof/>
            <w:webHidden/>
          </w:rPr>
          <w:fldChar w:fldCharType="separate"/>
        </w:r>
        <w:r>
          <w:rPr>
            <w:noProof/>
            <w:webHidden/>
          </w:rPr>
          <w:t>40</w:t>
        </w:r>
        <w:r>
          <w:rPr>
            <w:noProof/>
            <w:webHidden/>
          </w:rPr>
          <w:fldChar w:fldCharType="end"/>
        </w:r>
      </w:hyperlink>
    </w:p>
    <w:p w14:paraId="6DD8F0A9" w14:textId="0720A6E3"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21" w:history="1">
        <w:r w:rsidRPr="000B56B1">
          <w:rPr>
            <w:rStyle w:val="Hiperveza"/>
          </w:rPr>
          <w:t xml:space="preserve">2.4. </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RAČUN PRIHODA I RASHODA</w:t>
        </w:r>
        <w:r>
          <w:rPr>
            <w:webHidden/>
          </w:rPr>
          <w:tab/>
        </w:r>
        <w:r>
          <w:rPr>
            <w:webHidden/>
          </w:rPr>
          <w:fldChar w:fldCharType="begin"/>
        </w:r>
        <w:r>
          <w:rPr>
            <w:webHidden/>
          </w:rPr>
          <w:instrText xml:space="preserve"> PAGEREF _Toc207707421 \h </w:instrText>
        </w:r>
        <w:r>
          <w:rPr>
            <w:webHidden/>
          </w:rPr>
        </w:r>
        <w:r>
          <w:rPr>
            <w:webHidden/>
          </w:rPr>
          <w:fldChar w:fldCharType="separate"/>
        </w:r>
        <w:r>
          <w:rPr>
            <w:webHidden/>
          </w:rPr>
          <w:t>49</w:t>
        </w:r>
        <w:r>
          <w:rPr>
            <w:webHidden/>
          </w:rPr>
          <w:fldChar w:fldCharType="end"/>
        </w:r>
      </w:hyperlink>
    </w:p>
    <w:p w14:paraId="36957D9A" w14:textId="7689AB79"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22" w:history="1">
        <w:r w:rsidRPr="000B56B1">
          <w:rPr>
            <w:rStyle w:val="Hiperveza"/>
            <w:rFonts w:ascii="Arial" w:hAnsi="Arial" w:cs="Arial"/>
            <w:noProof/>
          </w:rPr>
          <w:t>2.4.1.</w:t>
        </w:r>
        <w:r>
          <w:rPr>
            <w:rFonts w:eastAsiaTheme="minorEastAsia"/>
            <w:i w:val="0"/>
            <w:iCs w:val="0"/>
            <w:noProof/>
            <w:kern w:val="2"/>
            <w:sz w:val="24"/>
            <w:szCs w:val="24"/>
            <w14:ligatures w14:val="standardContextual"/>
          </w:rPr>
          <w:tab/>
        </w:r>
        <w:r w:rsidRPr="000B56B1">
          <w:rPr>
            <w:rStyle w:val="Hiperveza"/>
            <w:rFonts w:ascii="Arial" w:hAnsi="Arial" w:cs="Arial"/>
            <w:noProof/>
          </w:rPr>
          <w:t>PRIHODI POSLOVANJA (6)</w:t>
        </w:r>
        <w:r>
          <w:rPr>
            <w:noProof/>
            <w:webHidden/>
          </w:rPr>
          <w:tab/>
        </w:r>
        <w:r>
          <w:rPr>
            <w:noProof/>
            <w:webHidden/>
          </w:rPr>
          <w:fldChar w:fldCharType="begin"/>
        </w:r>
        <w:r>
          <w:rPr>
            <w:noProof/>
            <w:webHidden/>
          </w:rPr>
          <w:instrText xml:space="preserve"> PAGEREF _Toc207707422 \h </w:instrText>
        </w:r>
        <w:r>
          <w:rPr>
            <w:noProof/>
            <w:webHidden/>
          </w:rPr>
        </w:r>
        <w:r>
          <w:rPr>
            <w:noProof/>
            <w:webHidden/>
          </w:rPr>
          <w:fldChar w:fldCharType="separate"/>
        </w:r>
        <w:r>
          <w:rPr>
            <w:noProof/>
            <w:webHidden/>
          </w:rPr>
          <w:t>49</w:t>
        </w:r>
        <w:r>
          <w:rPr>
            <w:noProof/>
            <w:webHidden/>
          </w:rPr>
          <w:fldChar w:fldCharType="end"/>
        </w:r>
      </w:hyperlink>
    </w:p>
    <w:p w14:paraId="200060AD" w14:textId="5AF05FD1"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23" w:history="1">
        <w:r w:rsidRPr="000B56B1">
          <w:rPr>
            <w:rStyle w:val="Hiperveza"/>
            <w:rFonts w:ascii="Arial" w:hAnsi="Arial" w:cs="Arial"/>
            <w:noProof/>
            <w:shd w:val="clear" w:color="auto" w:fill="FFFFFF"/>
          </w:rPr>
          <w:t xml:space="preserve">2.4.1.1. </w:t>
        </w:r>
        <w:r>
          <w:rPr>
            <w:rFonts w:eastAsiaTheme="minorEastAsia"/>
            <w:noProof/>
            <w:kern w:val="2"/>
            <w:sz w:val="24"/>
            <w:szCs w:val="24"/>
            <w14:ligatures w14:val="standardContextual"/>
          </w:rPr>
          <w:tab/>
        </w:r>
        <w:r w:rsidRPr="000B56B1">
          <w:rPr>
            <w:rStyle w:val="Hiperveza"/>
            <w:rFonts w:ascii="Arial" w:hAnsi="Arial" w:cs="Arial"/>
            <w:noProof/>
          </w:rPr>
          <w:t>Prihodi od poreza (61)</w:t>
        </w:r>
        <w:r>
          <w:rPr>
            <w:noProof/>
            <w:webHidden/>
          </w:rPr>
          <w:tab/>
        </w:r>
        <w:r>
          <w:rPr>
            <w:noProof/>
            <w:webHidden/>
          </w:rPr>
          <w:fldChar w:fldCharType="begin"/>
        </w:r>
        <w:r>
          <w:rPr>
            <w:noProof/>
            <w:webHidden/>
          </w:rPr>
          <w:instrText xml:space="preserve"> PAGEREF _Toc207707423 \h </w:instrText>
        </w:r>
        <w:r>
          <w:rPr>
            <w:noProof/>
            <w:webHidden/>
          </w:rPr>
        </w:r>
        <w:r>
          <w:rPr>
            <w:noProof/>
            <w:webHidden/>
          </w:rPr>
          <w:fldChar w:fldCharType="separate"/>
        </w:r>
        <w:r>
          <w:rPr>
            <w:noProof/>
            <w:webHidden/>
          </w:rPr>
          <w:t>50</w:t>
        </w:r>
        <w:r>
          <w:rPr>
            <w:noProof/>
            <w:webHidden/>
          </w:rPr>
          <w:fldChar w:fldCharType="end"/>
        </w:r>
      </w:hyperlink>
    </w:p>
    <w:p w14:paraId="49899D9F" w14:textId="465B880A"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24" w:history="1">
        <w:r w:rsidRPr="000B56B1">
          <w:rPr>
            <w:rStyle w:val="Hiperveza"/>
            <w:rFonts w:ascii="Arial" w:hAnsi="Arial" w:cs="Arial"/>
            <w:noProof/>
            <w:shd w:val="clear" w:color="auto" w:fill="FFFFFF"/>
          </w:rPr>
          <w:t xml:space="preserve">2.4.1.2. </w:t>
        </w:r>
        <w:r>
          <w:rPr>
            <w:rFonts w:eastAsiaTheme="minorEastAsia"/>
            <w:noProof/>
            <w:kern w:val="2"/>
            <w:sz w:val="24"/>
            <w:szCs w:val="24"/>
            <w14:ligatures w14:val="standardContextual"/>
          </w:rPr>
          <w:tab/>
        </w:r>
        <w:r w:rsidRPr="000B56B1">
          <w:rPr>
            <w:rStyle w:val="Hiperveza"/>
            <w:rFonts w:ascii="Arial" w:hAnsi="Arial" w:cs="Arial"/>
            <w:noProof/>
            <w:shd w:val="clear" w:color="auto" w:fill="FFFFFF"/>
          </w:rPr>
          <w:t>Pomoći (63)</w:t>
        </w:r>
        <w:r>
          <w:rPr>
            <w:noProof/>
            <w:webHidden/>
          </w:rPr>
          <w:tab/>
        </w:r>
        <w:r>
          <w:rPr>
            <w:noProof/>
            <w:webHidden/>
          </w:rPr>
          <w:fldChar w:fldCharType="begin"/>
        </w:r>
        <w:r>
          <w:rPr>
            <w:noProof/>
            <w:webHidden/>
          </w:rPr>
          <w:instrText xml:space="preserve"> PAGEREF _Toc207707424 \h </w:instrText>
        </w:r>
        <w:r>
          <w:rPr>
            <w:noProof/>
            <w:webHidden/>
          </w:rPr>
        </w:r>
        <w:r>
          <w:rPr>
            <w:noProof/>
            <w:webHidden/>
          </w:rPr>
          <w:fldChar w:fldCharType="separate"/>
        </w:r>
        <w:r>
          <w:rPr>
            <w:noProof/>
            <w:webHidden/>
          </w:rPr>
          <w:t>55</w:t>
        </w:r>
        <w:r>
          <w:rPr>
            <w:noProof/>
            <w:webHidden/>
          </w:rPr>
          <w:fldChar w:fldCharType="end"/>
        </w:r>
      </w:hyperlink>
    </w:p>
    <w:p w14:paraId="3F70AF42" w14:textId="598EF39A"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25" w:history="1">
        <w:r w:rsidRPr="000B56B1">
          <w:rPr>
            <w:rStyle w:val="Hiperveza"/>
            <w:rFonts w:ascii="Arial" w:hAnsi="Arial" w:cs="Arial"/>
            <w:noProof/>
            <w:shd w:val="clear" w:color="auto" w:fill="FFFFFF"/>
          </w:rPr>
          <w:t xml:space="preserve">2.4.1.3. </w:t>
        </w:r>
        <w:r>
          <w:rPr>
            <w:rFonts w:eastAsiaTheme="minorEastAsia"/>
            <w:noProof/>
            <w:kern w:val="2"/>
            <w:sz w:val="24"/>
            <w:szCs w:val="24"/>
            <w14:ligatures w14:val="standardContextual"/>
          </w:rPr>
          <w:tab/>
        </w:r>
        <w:r w:rsidRPr="000B56B1">
          <w:rPr>
            <w:rStyle w:val="Hiperveza"/>
            <w:rFonts w:ascii="Arial" w:hAnsi="Arial" w:cs="Arial"/>
            <w:noProof/>
            <w:shd w:val="clear" w:color="auto" w:fill="FFFFFF"/>
          </w:rPr>
          <w:t>Prihodi od imovine (64)</w:t>
        </w:r>
        <w:r>
          <w:rPr>
            <w:noProof/>
            <w:webHidden/>
          </w:rPr>
          <w:tab/>
        </w:r>
        <w:r>
          <w:rPr>
            <w:noProof/>
            <w:webHidden/>
          </w:rPr>
          <w:fldChar w:fldCharType="begin"/>
        </w:r>
        <w:r>
          <w:rPr>
            <w:noProof/>
            <w:webHidden/>
          </w:rPr>
          <w:instrText xml:space="preserve"> PAGEREF _Toc207707425 \h </w:instrText>
        </w:r>
        <w:r>
          <w:rPr>
            <w:noProof/>
            <w:webHidden/>
          </w:rPr>
        </w:r>
        <w:r>
          <w:rPr>
            <w:noProof/>
            <w:webHidden/>
          </w:rPr>
          <w:fldChar w:fldCharType="separate"/>
        </w:r>
        <w:r>
          <w:rPr>
            <w:noProof/>
            <w:webHidden/>
          </w:rPr>
          <w:t>74</w:t>
        </w:r>
        <w:r>
          <w:rPr>
            <w:noProof/>
            <w:webHidden/>
          </w:rPr>
          <w:fldChar w:fldCharType="end"/>
        </w:r>
      </w:hyperlink>
    </w:p>
    <w:p w14:paraId="6100504A" w14:textId="76AD564C"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26" w:history="1">
        <w:r w:rsidRPr="000B56B1">
          <w:rPr>
            <w:rStyle w:val="Hiperveza"/>
            <w:rFonts w:ascii="Arial" w:hAnsi="Arial" w:cs="Arial"/>
            <w:noProof/>
            <w:shd w:val="clear" w:color="auto" w:fill="FFFFFF"/>
          </w:rPr>
          <w:t xml:space="preserve">2.4.1.4. </w:t>
        </w:r>
        <w:r>
          <w:rPr>
            <w:rFonts w:eastAsiaTheme="minorEastAsia"/>
            <w:noProof/>
            <w:kern w:val="2"/>
            <w:sz w:val="24"/>
            <w:szCs w:val="24"/>
            <w14:ligatures w14:val="standardContextual"/>
          </w:rPr>
          <w:tab/>
        </w:r>
        <w:r w:rsidRPr="000B56B1">
          <w:rPr>
            <w:rStyle w:val="Hiperveza"/>
            <w:rFonts w:ascii="Arial" w:hAnsi="Arial" w:cs="Arial"/>
            <w:noProof/>
            <w:shd w:val="clear" w:color="auto" w:fill="FFFFFF"/>
          </w:rPr>
          <w:t>Prihodi po posebnim propisima (65)</w:t>
        </w:r>
        <w:r>
          <w:rPr>
            <w:noProof/>
            <w:webHidden/>
          </w:rPr>
          <w:tab/>
        </w:r>
        <w:r>
          <w:rPr>
            <w:noProof/>
            <w:webHidden/>
          </w:rPr>
          <w:fldChar w:fldCharType="begin"/>
        </w:r>
        <w:r>
          <w:rPr>
            <w:noProof/>
            <w:webHidden/>
          </w:rPr>
          <w:instrText xml:space="preserve"> PAGEREF _Toc207707426 \h </w:instrText>
        </w:r>
        <w:r>
          <w:rPr>
            <w:noProof/>
            <w:webHidden/>
          </w:rPr>
        </w:r>
        <w:r>
          <w:rPr>
            <w:noProof/>
            <w:webHidden/>
          </w:rPr>
          <w:fldChar w:fldCharType="separate"/>
        </w:r>
        <w:r>
          <w:rPr>
            <w:noProof/>
            <w:webHidden/>
          </w:rPr>
          <w:t>80</w:t>
        </w:r>
        <w:r>
          <w:rPr>
            <w:noProof/>
            <w:webHidden/>
          </w:rPr>
          <w:fldChar w:fldCharType="end"/>
        </w:r>
      </w:hyperlink>
    </w:p>
    <w:p w14:paraId="64151480" w14:textId="60D7EB2D"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27" w:history="1">
        <w:r w:rsidRPr="000B56B1">
          <w:rPr>
            <w:rStyle w:val="Hiperveza"/>
            <w:rFonts w:ascii="Arial" w:hAnsi="Arial" w:cs="Arial"/>
            <w:noProof/>
          </w:rPr>
          <w:t xml:space="preserve">2.4.1.5. </w:t>
        </w:r>
        <w:r>
          <w:rPr>
            <w:rFonts w:eastAsiaTheme="minorEastAsia"/>
            <w:noProof/>
            <w:kern w:val="2"/>
            <w:sz w:val="24"/>
            <w:szCs w:val="24"/>
            <w14:ligatures w14:val="standardContextual"/>
          </w:rPr>
          <w:tab/>
        </w:r>
        <w:r w:rsidRPr="000B56B1">
          <w:rPr>
            <w:rStyle w:val="Hiperveza"/>
            <w:rFonts w:ascii="Arial" w:hAnsi="Arial" w:cs="Arial"/>
            <w:noProof/>
          </w:rPr>
          <w:t>Prihodi od prodaje, donacija i ostali prihodi (66 i 68)</w:t>
        </w:r>
        <w:r>
          <w:rPr>
            <w:noProof/>
            <w:webHidden/>
          </w:rPr>
          <w:tab/>
        </w:r>
        <w:r>
          <w:rPr>
            <w:noProof/>
            <w:webHidden/>
          </w:rPr>
          <w:fldChar w:fldCharType="begin"/>
        </w:r>
        <w:r>
          <w:rPr>
            <w:noProof/>
            <w:webHidden/>
          </w:rPr>
          <w:instrText xml:space="preserve"> PAGEREF _Toc207707427 \h </w:instrText>
        </w:r>
        <w:r>
          <w:rPr>
            <w:noProof/>
            <w:webHidden/>
          </w:rPr>
        </w:r>
        <w:r>
          <w:rPr>
            <w:noProof/>
            <w:webHidden/>
          </w:rPr>
          <w:fldChar w:fldCharType="separate"/>
        </w:r>
        <w:r>
          <w:rPr>
            <w:noProof/>
            <w:webHidden/>
          </w:rPr>
          <w:t>87</w:t>
        </w:r>
        <w:r>
          <w:rPr>
            <w:noProof/>
            <w:webHidden/>
          </w:rPr>
          <w:fldChar w:fldCharType="end"/>
        </w:r>
      </w:hyperlink>
    </w:p>
    <w:p w14:paraId="17C068BD" w14:textId="2124B9F9"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28" w:history="1">
        <w:r w:rsidRPr="000B56B1">
          <w:rPr>
            <w:rStyle w:val="Hiperveza"/>
            <w:rFonts w:ascii="Arial" w:hAnsi="Arial" w:cs="Arial"/>
            <w:noProof/>
          </w:rPr>
          <w:t>2.4.2.</w:t>
        </w:r>
        <w:r>
          <w:rPr>
            <w:rFonts w:eastAsiaTheme="minorEastAsia"/>
            <w:i w:val="0"/>
            <w:iCs w:val="0"/>
            <w:noProof/>
            <w:kern w:val="2"/>
            <w:sz w:val="24"/>
            <w:szCs w:val="24"/>
            <w14:ligatures w14:val="standardContextual"/>
          </w:rPr>
          <w:tab/>
        </w:r>
        <w:r w:rsidRPr="000B56B1">
          <w:rPr>
            <w:rStyle w:val="Hiperveza"/>
            <w:rFonts w:ascii="Arial" w:hAnsi="Arial" w:cs="Arial"/>
            <w:noProof/>
          </w:rPr>
          <w:t>PRIHODI OD PRODAJE NEFINANCIJSKE IMOVINE (7)</w:t>
        </w:r>
        <w:r>
          <w:rPr>
            <w:noProof/>
            <w:webHidden/>
          </w:rPr>
          <w:tab/>
        </w:r>
        <w:r>
          <w:rPr>
            <w:noProof/>
            <w:webHidden/>
          </w:rPr>
          <w:fldChar w:fldCharType="begin"/>
        </w:r>
        <w:r>
          <w:rPr>
            <w:noProof/>
            <w:webHidden/>
          </w:rPr>
          <w:instrText xml:space="preserve"> PAGEREF _Toc207707428 \h </w:instrText>
        </w:r>
        <w:r>
          <w:rPr>
            <w:noProof/>
            <w:webHidden/>
          </w:rPr>
        </w:r>
        <w:r>
          <w:rPr>
            <w:noProof/>
            <w:webHidden/>
          </w:rPr>
          <w:fldChar w:fldCharType="separate"/>
        </w:r>
        <w:r>
          <w:rPr>
            <w:noProof/>
            <w:webHidden/>
          </w:rPr>
          <w:t>90</w:t>
        </w:r>
        <w:r>
          <w:rPr>
            <w:noProof/>
            <w:webHidden/>
          </w:rPr>
          <w:fldChar w:fldCharType="end"/>
        </w:r>
      </w:hyperlink>
    </w:p>
    <w:p w14:paraId="4B7EE643" w14:textId="15629607"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29" w:history="1">
        <w:r w:rsidRPr="000B56B1">
          <w:rPr>
            <w:rStyle w:val="Hiperveza"/>
            <w:rFonts w:ascii="Arial" w:hAnsi="Arial" w:cs="Arial"/>
            <w:noProof/>
          </w:rPr>
          <w:t>2.4.3.</w:t>
        </w:r>
        <w:r>
          <w:rPr>
            <w:rFonts w:eastAsiaTheme="minorEastAsia"/>
            <w:i w:val="0"/>
            <w:iCs w:val="0"/>
            <w:noProof/>
            <w:kern w:val="2"/>
            <w:sz w:val="24"/>
            <w:szCs w:val="24"/>
            <w14:ligatures w14:val="standardContextual"/>
          </w:rPr>
          <w:tab/>
        </w:r>
        <w:r w:rsidRPr="000B56B1">
          <w:rPr>
            <w:rStyle w:val="Hiperveza"/>
            <w:rFonts w:ascii="Arial" w:hAnsi="Arial" w:cs="Arial"/>
            <w:noProof/>
          </w:rPr>
          <w:t>RASHODI POSLOVANJA (3)</w:t>
        </w:r>
        <w:r>
          <w:rPr>
            <w:noProof/>
            <w:webHidden/>
          </w:rPr>
          <w:tab/>
        </w:r>
        <w:r>
          <w:rPr>
            <w:noProof/>
            <w:webHidden/>
          </w:rPr>
          <w:fldChar w:fldCharType="begin"/>
        </w:r>
        <w:r>
          <w:rPr>
            <w:noProof/>
            <w:webHidden/>
          </w:rPr>
          <w:instrText xml:space="preserve"> PAGEREF _Toc207707429 \h </w:instrText>
        </w:r>
        <w:r>
          <w:rPr>
            <w:noProof/>
            <w:webHidden/>
          </w:rPr>
        </w:r>
        <w:r>
          <w:rPr>
            <w:noProof/>
            <w:webHidden/>
          </w:rPr>
          <w:fldChar w:fldCharType="separate"/>
        </w:r>
        <w:r>
          <w:rPr>
            <w:noProof/>
            <w:webHidden/>
          </w:rPr>
          <w:t>91</w:t>
        </w:r>
        <w:r>
          <w:rPr>
            <w:noProof/>
            <w:webHidden/>
          </w:rPr>
          <w:fldChar w:fldCharType="end"/>
        </w:r>
      </w:hyperlink>
    </w:p>
    <w:p w14:paraId="5E547CBE" w14:textId="7AB16972"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30" w:history="1">
        <w:r w:rsidRPr="000B56B1">
          <w:rPr>
            <w:rStyle w:val="Hiperveza"/>
            <w:rFonts w:ascii="Arial" w:hAnsi="Arial" w:cs="Arial"/>
            <w:noProof/>
          </w:rPr>
          <w:t xml:space="preserve">2.4.3.1. </w:t>
        </w:r>
        <w:r>
          <w:rPr>
            <w:rFonts w:eastAsiaTheme="minorEastAsia"/>
            <w:noProof/>
            <w:kern w:val="2"/>
            <w:sz w:val="24"/>
            <w:szCs w:val="24"/>
            <w14:ligatures w14:val="standardContextual"/>
          </w:rPr>
          <w:tab/>
        </w:r>
        <w:r w:rsidRPr="000B56B1">
          <w:rPr>
            <w:rStyle w:val="Hiperveza"/>
            <w:rFonts w:ascii="Arial" w:hAnsi="Arial" w:cs="Arial"/>
            <w:noProof/>
          </w:rPr>
          <w:t>Rashodi za zaposlene (31)</w:t>
        </w:r>
        <w:r>
          <w:rPr>
            <w:noProof/>
            <w:webHidden/>
          </w:rPr>
          <w:tab/>
        </w:r>
        <w:r>
          <w:rPr>
            <w:noProof/>
            <w:webHidden/>
          </w:rPr>
          <w:fldChar w:fldCharType="begin"/>
        </w:r>
        <w:r>
          <w:rPr>
            <w:noProof/>
            <w:webHidden/>
          </w:rPr>
          <w:instrText xml:space="preserve"> PAGEREF _Toc207707430 \h </w:instrText>
        </w:r>
        <w:r>
          <w:rPr>
            <w:noProof/>
            <w:webHidden/>
          </w:rPr>
        </w:r>
        <w:r>
          <w:rPr>
            <w:noProof/>
            <w:webHidden/>
          </w:rPr>
          <w:fldChar w:fldCharType="separate"/>
        </w:r>
        <w:r>
          <w:rPr>
            <w:noProof/>
            <w:webHidden/>
          </w:rPr>
          <w:t>92</w:t>
        </w:r>
        <w:r>
          <w:rPr>
            <w:noProof/>
            <w:webHidden/>
          </w:rPr>
          <w:fldChar w:fldCharType="end"/>
        </w:r>
      </w:hyperlink>
    </w:p>
    <w:p w14:paraId="6A426E25" w14:textId="118AF8E4"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31" w:history="1">
        <w:r w:rsidRPr="000B56B1">
          <w:rPr>
            <w:rStyle w:val="Hiperveza"/>
            <w:rFonts w:ascii="Arial" w:hAnsi="Arial" w:cs="Arial"/>
            <w:noProof/>
          </w:rPr>
          <w:t xml:space="preserve">2.4.3.2. </w:t>
        </w:r>
        <w:r>
          <w:rPr>
            <w:rFonts w:eastAsiaTheme="minorEastAsia"/>
            <w:noProof/>
            <w:kern w:val="2"/>
            <w:sz w:val="24"/>
            <w:szCs w:val="24"/>
            <w14:ligatures w14:val="standardContextual"/>
          </w:rPr>
          <w:tab/>
        </w:r>
        <w:r w:rsidRPr="000B56B1">
          <w:rPr>
            <w:rStyle w:val="Hiperveza"/>
            <w:rFonts w:ascii="Arial" w:hAnsi="Arial" w:cs="Arial"/>
            <w:noProof/>
          </w:rPr>
          <w:t>Materijalni rashodi (32)</w:t>
        </w:r>
        <w:r>
          <w:rPr>
            <w:noProof/>
            <w:webHidden/>
          </w:rPr>
          <w:tab/>
        </w:r>
        <w:r>
          <w:rPr>
            <w:noProof/>
            <w:webHidden/>
          </w:rPr>
          <w:fldChar w:fldCharType="begin"/>
        </w:r>
        <w:r>
          <w:rPr>
            <w:noProof/>
            <w:webHidden/>
          </w:rPr>
          <w:instrText xml:space="preserve"> PAGEREF _Toc207707431 \h </w:instrText>
        </w:r>
        <w:r>
          <w:rPr>
            <w:noProof/>
            <w:webHidden/>
          </w:rPr>
        </w:r>
        <w:r>
          <w:rPr>
            <w:noProof/>
            <w:webHidden/>
          </w:rPr>
          <w:fldChar w:fldCharType="separate"/>
        </w:r>
        <w:r>
          <w:rPr>
            <w:noProof/>
            <w:webHidden/>
          </w:rPr>
          <w:t>94</w:t>
        </w:r>
        <w:r>
          <w:rPr>
            <w:noProof/>
            <w:webHidden/>
          </w:rPr>
          <w:fldChar w:fldCharType="end"/>
        </w:r>
      </w:hyperlink>
    </w:p>
    <w:p w14:paraId="11887B94" w14:textId="55A729C3"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32" w:history="1">
        <w:r w:rsidRPr="000B56B1">
          <w:rPr>
            <w:rStyle w:val="Hiperveza"/>
            <w:rFonts w:ascii="Arial" w:hAnsi="Arial" w:cs="Arial"/>
            <w:noProof/>
          </w:rPr>
          <w:t xml:space="preserve">2.4.3.3. </w:t>
        </w:r>
        <w:r>
          <w:rPr>
            <w:rFonts w:eastAsiaTheme="minorEastAsia"/>
            <w:noProof/>
            <w:kern w:val="2"/>
            <w:sz w:val="24"/>
            <w:szCs w:val="24"/>
            <w14:ligatures w14:val="standardContextual"/>
          </w:rPr>
          <w:tab/>
        </w:r>
        <w:r w:rsidRPr="000B56B1">
          <w:rPr>
            <w:rStyle w:val="Hiperveza"/>
            <w:rFonts w:ascii="Arial" w:hAnsi="Arial" w:cs="Arial"/>
            <w:noProof/>
          </w:rPr>
          <w:t>Financijski rashodi (34)</w:t>
        </w:r>
        <w:r>
          <w:rPr>
            <w:noProof/>
            <w:webHidden/>
          </w:rPr>
          <w:tab/>
        </w:r>
        <w:r>
          <w:rPr>
            <w:noProof/>
            <w:webHidden/>
          </w:rPr>
          <w:fldChar w:fldCharType="begin"/>
        </w:r>
        <w:r>
          <w:rPr>
            <w:noProof/>
            <w:webHidden/>
          </w:rPr>
          <w:instrText xml:space="preserve"> PAGEREF _Toc207707432 \h </w:instrText>
        </w:r>
        <w:r>
          <w:rPr>
            <w:noProof/>
            <w:webHidden/>
          </w:rPr>
        </w:r>
        <w:r>
          <w:rPr>
            <w:noProof/>
            <w:webHidden/>
          </w:rPr>
          <w:fldChar w:fldCharType="separate"/>
        </w:r>
        <w:r>
          <w:rPr>
            <w:noProof/>
            <w:webHidden/>
          </w:rPr>
          <w:t>98</w:t>
        </w:r>
        <w:r>
          <w:rPr>
            <w:noProof/>
            <w:webHidden/>
          </w:rPr>
          <w:fldChar w:fldCharType="end"/>
        </w:r>
      </w:hyperlink>
    </w:p>
    <w:p w14:paraId="3BF99317" w14:textId="7A828A27"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33" w:history="1">
        <w:r w:rsidRPr="000B56B1">
          <w:rPr>
            <w:rStyle w:val="Hiperveza"/>
            <w:rFonts w:ascii="Arial" w:hAnsi="Arial" w:cs="Arial"/>
            <w:noProof/>
          </w:rPr>
          <w:t xml:space="preserve">2.4.3.4. </w:t>
        </w:r>
        <w:r>
          <w:rPr>
            <w:rFonts w:eastAsiaTheme="minorEastAsia"/>
            <w:noProof/>
            <w:kern w:val="2"/>
            <w:sz w:val="24"/>
            <w:szCs w:val="24"/>
            <w14:ligatures w14:val="standardContextual"/>
          </w:rPr>
          <w:tab/>
        </w:r>
        <w:r w:rsidRPr="000B56B1">
          <w:rPr>
            <w:rStyle w:val="Hiperveza"/>
            <w:rFonts w:ascii="Arial" w:hAnsi="Arial" w:cs="Arial"/>
            <w:iCs/>
            <w:noProof/>
          </w:rPr>
          <w:t>Subvencije (35)</w:t>
        </w:r>
        <w:r>
          <w:rPr>
            <w:noProof/>
            <w:webHidden/>
          </w:rPr>
          <w:tab/>
        </w:r>
        <w:r>
          <w:rPr>
            <w:noProof/>
            <w:webHidden/>
          </w:rPr>
          <w:fldChar w:fldCharType="begin"/>
        </w:r>
        <w:r>
          <w:rPr>
            <w:noProof/>
            <w:webHidden/>
          </w:rPr>
          <w:instrText xml:space="preserve"> PAGEREF _Toc207707433 \h </w:instrText>
        </w:r>
        <w:r>
          <w:rPr>
            <w:noProof/>
            <w:webHidden/>
          </w:rPr>
        </w:r>
        <w:r>
          <w:rPr>
            <w:noProof/>
            <w:webHidden/>
          </w:rPr>
          <w:fldChar w:fldCharType="separate"/>
        </w:r>
        <w:r>
          <w:rPr>
            <w:noProof/>
            <w:webHidden/>
          </w:rPr>
          <w:t>100</w:t>
        </w:r>
        <w:r>
          <w:rPr>
            <w:noProof/>
            <w:webHidden/>
          </w:rPr>
          <w:fldChar w:fldCharType="end"/>
        </w:r>
      </w:hyperlink>
    </w:p>
    <w:p w14:paraId="708CA747" w14:textId="430DA423"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34" w:history="1">
        <w:r w:rsidRPr="000B56B1">
          <w:rPr>
            <w:rStyle w:val="Hiperveza"/>
            <w:rFonts w:ascii="Arial" w:hAnsi="Arial" w:cs="Arial"/>
            <w:noProof/>
          </w:rPr>
          <w:t xml:space="preserve">2.4.3.5. </w:t>
        </w:r>
        <w:r>
          <w:rPr>
            <w:rFonts w:eastAsiaTheme="minorEastAsia"/>
            <w:noProof/>
            <w:kern w:val="2"/>
            <w:sz w:val="24"/>
            <w:szCs w:val="24"/>
            <w14:ligatures w14:val="standardContextual"/>
          </w:rPr>
          <w:tab/>
        </w:r>
        <w:r w:rsidRPr="000B56B1">
          <w:rPr>
            <w:rStyle w:val="Hiperveza"/>
            <w:rFonts w:ascii="Arial" w:hAnsi="Arial" w:cs="Arial"/>
            <w:noProof/>
          </w:rPr>
          <w:t>Pomoći dane u inozemstvo i unutar općeg proračuna (36)</w:t>
        </w:r>
        <w:r>
          <w:rPr>
            <w:noProof/>
            <w:webHidden/>
          </w:rPr>
          <w:tab/>
        </w:r>
        <w:r>
          <w:rPr>
            <w:noProof/>
            <w:webHidden/>
          </w:rPr>
          <w:fldChar w:fldCharType="begin"/>
        </w:r>
        <w:r>
          <w:rPr>
            <w:noProof/>
            <w:webHidden/>
          </w:rPr>
          <w:instrText xml:space="preserve"> PAGEREF _Toc207707434 \h </w:instrText>
        </w:r>
        <w:r>
          <w:rPr>
            <w:noProof/>
            <w:webHidden/>
          </w:rPr>
        </w:r>
        <w:r>
          <w:rPr>
            <w:noProof/>
            <w:webHidden/>
          </w:rPr>
          <w:fldChar w:fldCharType="separate"/>
        </w:r>
        <w:r>
          <w:rPr>
            <w:noProof/>
            <w:webHidden/>
          </w:rPr>
          <w:t>100</w:t>
        </w:r>
        <w:r>
          <w:rPr>
            <w:noProof/>
            <w:webHidden/>
          </w:rPr>
          <w:fldChar w:fldCharType="end"/>
        </w:r>
      </w:hyperlink>
    </w:p>
    <w:p w14:paraId="5EFA4B66" w14:textId="36533B23"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35" w:history="1">
        <w:r w:rsidRPr="000B56B1">
          <w:rPr>
            <w:rStyle w:val="Hiperveza"/>
            <w:rFonts w:ascii="Arial" w:hAnsi="Arial" w:cs="Arial"/>
            <w:noProof/>
          </w:rPr>
          <w:t xml:space="preserve">3.4.3.6. </w:t>
        </w:r>
        <w:r>
          <w:rPr>
            <w:rFonts w:eastAsiaTheme="minorEastAsia"/>
            <w:noProof/>
            <w:kern w:val="2"/>
            <w:sz w:val="24"/>
            <w:szCs w:val="24"/>
            <w14:ligatures w14:val="standardContextual"/>
          </w:rPr>
          <w:tab/>
        </w:r>
        <w:r w:rsidRPr="000B56B1">
          <w:rPr>
            <w:rStyle w:val="Hiperveza"/>
            <w:rFonts w:ascii="Arial" w:hAnsi="Arial" w:cs="Arial"/>
            <w:noProof/>
          </w:rPr>
          <w:t>Naknade građanima i kućanstvima na temelju osiguranja i druge naknade (37)</w:t>
        </w:r>
        <w:r>
          <w:rPr>
            <w:noProof/>
            <w:webHidden/>
          </w:rPr>
          <w:tab/>
        </w:r>
        <w:r>
          <w:rPr>
            <w:noProof/>
            <w:webHidden/>
          </w:rPr>
          <w:fldChar w:fldCharType="begin"/>
        </w:r>
        <w:r>
          <w:rPr>
            <w:noProof/>
            <w:webHidden/>
          </w:rPr>
          <w:instrText xml:space="preserve"> PAGEREF _Toc207707435 \h </w:instrText>
        </w:r>
        <w:r>
          <w:rPr>
            <w:noProof/>
            <w:webHidden/>
          </w:rPr>
        </w:r>
        <w:r>
          <w:rPr>
            <w:noProof/>
            <w:webHidden/>
          </w:rPr>
          <w:fldChar w:fldCharType="separate"/>
        </w:r>
        <w:r>
          <w:rPr>
            <w:noProof/>
            <w:webHidden/>
          </w:rPr>
          <w:t>102</w:t>
        </w:r>
        <w:r>
          <w:rPr>
            <w:noProof/>
            <w:webHidden/>
          </w:rPr>
          <w:fldChar w:fldCharType="end"/>
        </w:r>
      </w:hyperlink>
    </w:p>
    <w:p w14:paraId="432B6497" w14:textId="3B16D355"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36" w:history="1">
        <w:r w:rsidRPr="000B56B1">
          <w:rPr>
            <w:rStyle w:val="Hiperveza"/>
            <w:rFonts w:ascii="Arial" w:hAnsi="Arial" w:cs="Arial"/>
            <w:noProof/>
          </w:rPr>
          <w:t xml:space="preserve">2.4.3.7. </w:t>
        </w:r>
        <w:r>
          <w:rPr>
            <w:rFonts w:eastAsiaTheme="minorEastAsia"/>
            <w:noProof/>
            <w:kern w:val="2"/>
            <w:sz w:val="24"/>
            <w:szCs w:val="24"/>
            <w14:ligatures w14:val="standardContextual"/>
          </w:rPr>
          <w:tab/>
        </w:r>
        <w:r w:rsidRPr="000B56B1">
          <w:rPr>
            <w:rStyle w:val="Hiperveza"/>
            <w:rFonts w:ascii="Arial" w:hAnsi="Arial" w:cs="Arial"/>
            <w:noProof/>
          </w:rPr>
          <w:t>Ostali rashodi (38)</w:t>
        </w:r>
        <w:r>
          <w:rPr>
            <w:noProof/>
            <w:webHidden/>
          </w:rPr>
          <w:tab/>
        </w:r>
        <w:r>
          <w:rPr>
            <w:noProof/>
            <w:webHidden/>
          </w:rPr>
          <w:fldChar w:fldCharType="begin"/>
        </w:r>
        <w:r>
          <w:rPr>
            <w:noProof/>
            <w:webHidden/>
          </w:rPr>
          <w:instrText xml:space="preserve"> PAGEREF _Toc207707436 \h </w:instrText>
        </w:r>
        <w:r>
          <w:rPr>
            <w:noProof/>
            <w:webHidden/>
          </w:rPr>
        </w:r>
        <w:r>
          <w:rPr>
            <w:noProof/>
            <w:webHidden/>
          </w:rPr>
          <w:fldChar w:fldCharType="separate"/>
        </w:r>
        <w:r>
          <w:rPr>
            <w:noProof/>
            <w:webHidden/>
          </w:rPr>
          <w:t>104</w:t>
        </w:r>
        <w:r>
          <w:rPr>
            <w:noProof/>
            <w:webHidden/>
          </w:rPr>
          <w:fldChar w:fldCharType="end"/>
        </w:r>
      </w:hyperlink>
    </w:p>
    <w:p w14:paraId="72BEDB34" w14:textId="6BEEC790"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37" w:history="1">
        <w:r w:rsidRPr="000B56B1">
          <w:rPr>
            <w:rStyle w:val="Hiperveza"/>
            <w:rFonts w:ascii="Arial" w:hAnsi="Arial" w:cs="Arial"/>
            <w:noProof/>
          </w:rPr>
          <w:t>2.4.4.</w:t>
        </w:r>
        <w:r>
          <w:rPr>
            <w:rFonts w:eastAsiaTheme="minorEastAsia"/>
            <w:i w:val="0"/>
            <w:iCs w:val="0"/>
            <w:noProof/>
            <w:kern w:val="2"/>
            <w:sz w:val="24"/>
            <w:szCs w:val="24"/>
            <w14:ligatures w14:val="standardContextual"/>
          </w:rPr>
          <w:tab/>
        </w:r>
        <w:r w:rsidRPr="000B56B1">
          <w:rPr>
            <w:rStyle w:val="Hiperveza"/>
            <w:rFonts w:ascii="Arial" w:hAnsi="Arial" w:cs="Arial"/>
            <w:noProof/>
          </w:rPr>
          <w:t>RASHODI ZA NABAVU NEFINANCIJSKE IMOVINE (4)</w:t>
        </w:r>
        <w:r>
          <w:rPr>
            <w:noProof/>
            <w:webHidden/>
          </w:rPr>
          <w:tab/>
        </w:r>
        <w:r>
          <w:rPr>
            <w:noProof/>
            <w:webHidden/>
          </w:rPr>
          <w:fldChar w:fldCharType="begin"/>
        </w:r>
        <w:r>
          <w:rPr>
            <w:noProof/>
            <w:webHidden/>
          </w:rPr>
          <w:instrText xml:space="preserve"> PAGEREF _Toc207707437 \h </w:instrText>
        </w:r>
        <w:r>
          <w:rPr>
            <w:noProof/>
            <w:webHidden/>
          </w:rPr>
        </w:r>
        <w:r>
          <w:rPr>
            <w:noProof/>
            <w:webHidden/>
          </w:rPr>
          <w:fldChar w:fldCharType="separate"/>
        </w:r>
        <w:r>
          <w:rPr>
            <w:noProof/>
            <w:webHidden/>
          </w:rPr>
          <w:t>105</w:t>
        </w:r>
        <w:r>
          <w:rPr>
            <w:noProof/>
            <w:webHidden/>
          </w:rPr>
          <w:fldChar w:fldCharType="end"/>
        </w:r>
      </w:hyperlink>
    </w:p>
    <w:p w14:paraId="1EEC5EBE" w14:textId="19529999"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38" w:history="1">
        <w:r w:rsidRPr="000B56B1">
          <w:rPr>
            <w:rStyle w:val="Hiperveza"/>
            <w:rFonts w:ascii="Arial" w:hAnsi="Arial" w:cs="Arial"/>
            <w:noProof/>
          </w:rPr>
          <w:t xml:space="preserve">2.4.4.1. </w:t>
        </w:r>
        <w:r>
          <w:rPr>
            <w:rFonts w:eastAsiaTheme="minorEastAsia"/>
            <w:noProof/>
            <w:kern w:val="2"/>
            <w:sz w:val="24"/>
            <w:szCs w:val="24"/>
            <w14:ligatures w14:val="standardContextual"/>
          </w:rPr>
          <w:tab/>
        </w:r>
        <w:r w:rsidRPr="000B56B1">
          <w:rPr>
            <w:rStyle w:val="Hiperveza"/>
            <w:rFonts w:ascii="Arial" w:hAnsi="Arial" w:cs="Arial"/>
            <w:noProof/>
          </w:rPr>
          <w:t>Rashodi za nabavu neproizvedene dugotrajne imovine (41)</w:t>
        </w:r>
        <w:r>
          <w:rPr>
            <w:noProof/>
            <w:webHidden/>
          </w:rPr>
          <w:tab/>
        </w:r>
        <w:r>
          <w:rPr>
            <w:noProof/>
            <w:webHidden/>
          </w:rPr>
          <w:fldChar w:fldCharType="begin"/>
        </w:r>
        <w:r>
          <w:rPr>
            <w:noProof/>
            <w:webHidden/>
          </w:rPr>
          <w:instrText xml:space="preserve"> PAGEREF _Toc207707438 \h </w:instrText>
        </w:r>
        <w:r>
          <w:rPr>
            <w:noProof/>
            <w:webHidden/>
          </w:rPr>
        </w:r>
        <w:r>
          <w:rPr>
            <w:noProof/>
            <w:webHidden/>
          </w:rPr>
          <w:fldChar w:fldCharType="separate"/>
        </w:r>
        <w:r>
          <w:rPr>
            <w:noProof/>
            <w:webHidden/>
          </w:rPr>
          <w:t>106</w:t>
        </w:r>
        <w:r>
          <w:rPr>
            <w:noProof/>
            <w:webHidden/>
          </w:rPr>
          <w:fldChar w:fldCharType="end"/>
        </w:r>
      </w:hyperlink>
    </w:p>
    <w:p w14:paraId="6CFB5472" w14:textId="481CA7EF"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39" w:history="1">
        <w:r w:rsidRPr="000B56B1">
          <w:rPr>
            <w:rStyle w:val="Hiperveza"/>
            <w:rFonts w:ascii="Arial" w:hAnsi="Arial" w:cs="Arial"/>
            <w:noProof/>
          </w:rPr>
          <w:t xml:space="preserve">2.4.4.2. </w:t>
        </w:r>
        <w:r>
          <w:rPr>
            <w:rFonts w:eastAsiaTheme="minorEastAsia"/>
            <w:noProof/>
            <w:kern w:val="2"/>
            <w:sz w:val="24"/>
            <w:szCs w:val="24"/>
            <w14:ligatures w14:val="standardContextual"/>
          </w:rPr>
          <w:tab/>
        </w:r>
        <w:r w:rsidRPr="000B56B1">
          <w:rPr>
            <w:rStyle w:val="Hiperveza"/>
            <w:rFonts w:ascii="Arial" w:hAnsi="Arial" w:cs="Arial"/>
            <w:noProof/>
          </w:rPr>
          <w:t>Rashodi za nabavu proizvedene dugotrajne imovine (42)</w:t>
        </w:r>
        <w:r>
          <w:rPr>
            <w:noProof/>
            <w:webHidden/>
          </w:rPr>
          <w:tab/>
        </w:r>
        <w:r>
          <w:rPr>
            <w:noProof/>
            <w:webHidden/>
          </w:rPr>
          <w:fldChar w:fldCharType="begin"/>
        </w:r>
        <w:r>
          <w:rPr>
            <w:noProof/>
            <w:webHidden/>
          </w:rPr>
          <w:instrText xml:space="preserve"> PAGEREF _Toc207707439 \h </w:instrText>
        </w:r>
        <w:r>
          <w:rPr>
            <w:noProof/>
            <w:webHidden/>
          </w:rPr>
        </w:r>
        <w:r>
          <w:rPr>
            <w:noProof/>
            <w:webHidden/>
          </w:rPr>
          <w:fldChar w:fldCharType="separate"/>
        </w:r>
        <w:r>
          <w:rPr>
            <w:noProof/>
            <w:webHidden/>
          </w:rPr>
          <w:t>106</w:t>
        </w:r>
        <w:r>
          <w:rPr>
            <w:noProof/>
            <w:webHidden/>
          </w:rPr>
          <w:fldChar w:fldCharType="end"/>
        </w:r>
      </w:hyperlink>
    </w:p>
    <w:p w14:paraId="00E386D0" w14:textId="1660EF56"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40" w:history="1">
        <w:r w:rsidRPr="000B56B1">
          <w:rPr>
            <w:rStyle w:val="Hiperveza"/>
            <w:rFonts w:ascii="Arial" w:hAnsi="Arial" w:cs="Arial"/>
            <w:noProof/>
          </w:rPr>
          <w:t xml:space="preserve">2.4.4.3. </w:t>
        </w:r>
        <w:r>
          <w:rPr>
            <w:rFonts w:eastAsiaTheme="minorEastAsia"/>
            <w:noProof/>
            <w:kern w:val="2"/>
            <w:sz w:val="24"/>
            <w:szCs w:val="24"/>
            <w14:ligatures w14:val="standardContextual"/>
          </w:rPr>
          <w:tab/>
        </w:r>
        <w:r w:rsidRPr="000B56B1">
          <w:rPr>
            <w:rStyle w:val="Hiperveza"/>
            <w:rFonts w:ascii="Arial" w:hAnsi="Arial" w:cs="Arial"/>
            <w:noProof/>
          </w:rPr>
          <w:t>Rashodi za nabavu plemenitih metala i ostalih pohranjenih vrijednosti (43)</w:t>
        </w:r>
        <w:r>
          <w:rPr>
            <w:noProof/>
            <w:webHidden/>
          </w:rPr>
          <w:tab/>
        </w:r>
        <w:r>
          <w:rPr>
            <w:noProof/>
            <w:webHidden/>
          </w:rPr>
          <w:fldChar w:fldCharType="begin"/>
        </w:r>
        <w:r>
          <w:rPr>
            <w:noProof/>
            <w:webHidden/>
          </w:rPr>
          <w:instrText xml:space="preserve"> PAGEREF _Toc207707440 \h </w:instrText>
        </w:r>
        <w:r>
          <w:rPr>
            <w:noProof/>
            <w:webHidden/>
          </w:rPr>
        </w:r>
        <w:r>
          <w:rPr>
            <w:noProof/>
            <w:webHidden/>
          </w:rPr>
          <w:fldChar w:fldCharType="separate"/>
        </w:r>
        <w:r>
          <w:rPr>
            <w:noProof/>
            <w:webHidden/>
          </w:rPr>
          <w:t>108</w:t>
        </w:r>
        <w:r>
          <w:rPr>
            <w:noProof/>
            <w:webHidden/>
          </w:rPr>
          <w:fldChar w:fldCharType="end"/>
        </w:r>
      </w:hyperlink>
    </w:p>
    <w:p w14:paraId="33B79488" w14:textId="323B358B"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41" w:history="1">
        <w:r w:rsidRPr="000B56B1">
          <w:rPr>
            <w:rStyle w:val="Hiperveza"/>
            <w:rFonts w:ascii="Arial" w:hAnsi="Arial" w:cs="Arial"/>
            <w:noProof/>
          </w:rPr>
          <w:t xml:space="preserve">2.4.4.4. </w:t>
        </w:r>
        <w:r>
          <w:rPr>
            <w:rFonts w:eastAsiaTheme="minorEastAsia"/>
            <w:noProof/>
            <w:kern w:val="2"/>
            <w:sz w:val="24"/>
            <w:szCs w:val="24"/>
            <w14:ligatures w14:val="standardContextual"/>
          </w:rPr>
          <w:tab/>
        </w:r>
        <w:r w:rsidRPr="000B56B1">
          <w:rPr>
            <w:rStyle w:val="Hiperveza"/>
            <w:rFonts w:ascii="Arial" w:hAnsi="Arial" w:cs="Arial"/>
            <w:noProof/>
          </w:rPr>
          <w:t>Rashodi za dodatna ulaganja na nefinancijskoj imovini (45)</w:t>
        </w:r>
        <w:r>
          <w:rPr>
            <w:noProof/>
            <w:webHidden/>
          </w:rPr>
          <w:tab/>
        </w:r>
        <w:r>
          <w:rPr>
            <w:noProof/>
            <w:webHidden/>
          </w:rPr>
          <w:fldChar w:fldCharType="begin"/>
        </w:r>
        <w:r>
          <w:rPr>
            <w:noProof/>
            <w:webHidden/>
          </w:rPr>
          <w:instrText xml:space="preserve"> PAGEREF _Toc207707441 \h </w:instrText>
        </w:r>
        <w:r>
          <w:rPr>
            <w:noProof/>
            <w:webHidden/>
          </w:rPr>
        </w:r>
        <w:r>
          <w:rPr>
            <w:noProof/>
            <w:webHidden/>
          </w:rPr>
          <w:fldChar w:fldCharType="separate"/>
        </w:r>
        <w:r>
          <w:rPr>
            <w:noProof/>
            <w:webHidden/>
          </w:rPr>
          <w:t>109</w:t>
        </w:r>
        <w:r>
          <w:rPr>
            <w:noProof/>
            <w:webHidden/>
          </w:rPr>
          <w:fldChar w:fldCharType="end"/>
        </w:r>
      </w:hyperlink>
    </w:p>
    <w:p w14:paraId="24C9FD60" w14:textId="27A7E957"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42" w:history="1">
        <w:r w:rsidRPr="000B56B1">
          <w:rPr>
            <w:rStyle w:val="Hiperveza"/>
            <w:rFonts w:eastAsia="Calibri"/>
          </w:rPr>
          <w:t xml:space="preserve">2.5. </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Fonts w:eastAsia="Calibri"/>
          </w:rPr>
          <w:t>RAČUN FINANCIRANJA</w:t>
        </w:r>
        <w:r>
          <w:rPr>
            <w:webHidden/>
          </w:rPr>
          <w:tab/>
        </w:r>
        <w:r>
          <w:rPr>
            <w:webHidden/>
          </w:rPr>
          <w:fldChar w:fldCharType="begin"/>
        </w:r>
        <w:r>
          <w:rPr>
            <w:webHidden/>
          </w:rPr>
          <w:instrText xml:space="preserve"> PAGEREF _Toc207707442 \h </w:instrText>
        </w:r>
        <w:r>
          <w:rPr>
            <w:webHidden/>
          </w:rPr>
        </w:r>
        <w:r>
          <w:rPr>
            <w:webHidden/>
          </w:rPr>
          <w:fldChar w:fldCharType="separate"/>
        </w:r>
        <w:r>
          <w:rPr>
            <w:webHidden/>
          </w:rPr>
          <w:t>110</w:t>
        </w:r>
        <w:r>
          <w:rPr>
            <w:webHidden/>
          </w:rPr>
          <w:fldChar w:fldCharType="end"/>
        </w:r>
      </w:hyperlink>
    </w:p>
    <w:p w14:paraId="740A144A" w14:textId="374CA60D"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43" w:history="1">
        <w:r w:rsidRPr="000B56B1">
          <w:rPr>
            <w:rStyle w:val="Hiperveza"/>
            <w:rFonts w:ascii="Arial" w:hAnsi="Arial" w:cs="Arial"/>
            <w:noProof/>
          </w:rPr>
          <w:t>2.5.1.</w:t>
        </w:r>
        <w:r>
          <w:rPr>
            <w:rFonts w:eastAsiaTheme="minorEastAsia"/>
            <w:i w:val="0"/>
            <w:iCs w:val="0"/>
            <w:noProof/>
            <w:kern w:val="2"/>
            <w:sz w:val="24"/>
            <w:szCs w:val="24"/>
            <w14:ligatures w14:val="standardContextual"/>
          </w:rPr>
          <w:tab/>
        </w:r>
        <w:r w:rsidRPr="000B56B1">
          <w:rPr>
            <w:rStyle w:val="Hiperveza"/>
            <w:rFonts w:ascii="Arial" w:hAnsi="Arial" w:cs="Arial"/>
            <w:noProof/>
          </w:rPr>
          <w:t xml:space="preserve"> PRIMICI OD FINANCIJSKE IMOVINE I ZADUŽIVANJA (8)</w:t>
        </w:r>
        <w:r>
          <w:rPr>
            <w:noProof/>
            <w:webHidden/>
          </w:rPr>
          <w:tab/>
        </w:r>
        <w:r>
          <w:rPr>
            <w:noProof/>
            <w:webHidden/>
          </w:rPr>
          <w:fldChar w:fldCharType="begin"/>
        </w:r>
        <w:r>
          <w:rPr>
            <w:noProof/>
            <w:webHidden/>
          </w:rPr>
          <w:instrText xml:space="preserve"> PAGEREF _Toc207707443 \h </w:instrText>
        </w:r>
        <w:r>
          <w:rPr>
            <w:noProof/>
            <w:webHidden/>
          </w:rPr>
        </w:r>
        <w:r>
          <w:rPr>
            <w:noProof/>
            <w:webHidden/>
          </w:rPr>
          <w:fldChar w:fldCharType="separate"/>
        </w:r>
        <w:r>
          <w:rPr>
            <w:noProof/>
            <w:webHidden/>
          </w:rPr>
          <w:t>110</w:t>
        </w:r>
        <w:r>
          <w:rPr>
            <w:noProof/>
            <w:webHidden/>
          </w:rPr>
          <w:fldChar w:fldCharType="end"/>
        </w:r>
      </w:hyperlink>
    </w:p>
    <w:p w14:paraId="41B95D39" w14:textId="7B7BAF85"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44" w:history="1">
        <w:r w:rsidRPr="000B56B1">
          <w:rPr>
            <w:rStyle w:val="Hiperveza"/>
            <w:rFonts w:ascii="Arial" w:hAnsi="Arial" w:cs="Arial"/>
            <w:noProof/>
          </w:rPr>
          <w:t>2.5.2.</w:t>
        </w:r>
        <w:r>
          <w:rPr>
            <w:rFonts w:eastAsiaTheme="minorEastAsia"/>
            <w:i w:val="0"/>
            <w:iCs w:val="0"/>
            <w:noProof/>
            <w:kern w:val="2"/>
            <w:sz w:val="24"/>
            <w:szCs w:val="24"/>
            <w14:ligatures w14:val="standardContextual"/>
          </w:rPr>
          <w:tab/>
        </w:r>
        <w:r w:rsidRPr="000B56B1">
          <w:rPr>
            <w:rStyle w:val="Hiperveza"/>
            <w:rFonts w:ascii="Arial" w:hAnsi="Arial" w:cs="Arial"/>
            <w:noProof/>
          </w:rPr>
          <w:t>IZDACI ZA FINANCIJSKU IMOVINU I OTPLATE ZAJMOVA (5)</w:t>
        </w:r>
        <w:r>
          <w:rPr>
            <w:noProof/>
            <w:webHidden/>
          </w:rPr>
          <w:tab/>
        </w:r>
        <w:r>
          <w:rPr>
            <w:noProof/>
            <w:webHidden/>
          </w:rPr>
          <w:fldChar w:fldCharType="begin"/>
        </w:r>
        <w:r>
          <w:rPr>
            <w:noProof/>
            <w:webHidden/>
          </w:rPr>
          <w:instrText xml:space="preserve"> PAGEREF _Toc207707444 \h </w:instrText>
        </w:r>
        <w:r>
          <w:rPr>
            <w:noProof/>
            <w:webHidden/>
          </w:rPr>
        </w:r>
        <w:r>
          <w:rPr>
            <w:noProof/>
            <w:webHidden/>
          </w:rPr>
          <w:fldChar w:fldCharType="separate"/>
        </w:r>
        <w:r>
          <w:rPr>
            <w:noProof/>
            <w:webHidden/>
          </w:rPr>
          <w:t>111</w:t>
        </w:r>
        <w:r>
          <w:rPr>
            <w:noProof/>
            <w:webHidden/>
          </w:rPr>
          <w:fldChar w:fldCharType="end"/>
        </w:r>
      </w:hyperlink>
    </w:p>
    <w:p w14:paraId="7F3A1903" w14:textId="2C143B96"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45" w:history="1">
        <w:r w:rsidRPr="000B56B1">
          <w:rPr>
            <w:rStyle w:val="Hiperveza"/>
            <w:rFonts w:ascii="Arial" w:hAnsi="Arial" w:cs="Arial"/>
            <w:noProof/>
          </w:rPr>
          <w:t xml:space="preserve">2.5.2.1. </w:t>
        </w:r>
        <w:r>
          <w:rPr>
            <w:rFonts w:eastAsiaTheme="minorEastAsia"/>
            <w:noProof/>
            <w:kern w:val="2"/>
            <w:sz w:val="24"/>
            <w:szCs w:val="24"/>
            <w14:ligatures w14:val="standardContextual"/>
          </w:rPr>
          <w:tab/>
        </w:r>
        <w:r w:rsidRPr="000B56B1">
          <w:rPr>
            <w:rStyle w:val="Hiperveza"/>
            <w:rFonts w:ascii="Arial" w:hAnsi="Arial" w:cs="Arial"/>
            <w:noProof/>
          </w:rPr>
          <w:t>Izdaci za dane zajmove i depozite (51)</w:t>
        </w:r>
        <w:r>
          <w:rPr>
            <w:noProof/>
            <w:webHidden/>
          </w:rPr>
          <w:tab/>
        </w:r>
        <w:r>
          <w:rPr>
            <w:noProof/>
            <w:webHidden/>
          </w:rPr>
          <w:fldChar w:fldCharType="begin"/>
        </w:r>
        <w:r>
          <w:rPr>
            <w:noProof/>
            <w:webHidden/>
          </w:rPr>
          <w:instrText xml:space="preserve"> PAGEREF _Toc207707445 \h </w:instrText>
        </w:r>
        <w:r>
          <w:rPr>
            <w:noProof/>
            <w:webHidden/>
          </w:rPr>
        </w:r>
        <w:r>
          <w:rPr>
            <w:noProof/>
            <w:webHidden/>
          </w:rPr>
          <w:fldChar w:fldCharType="separate"/>
        </w:r>
        <w:r>
          <w:rPr>
            <w:noProof/>
            <w:webHidden/>
          </w:rPr>
          <w:t>111</w:t>
        </w:r>
        <w:r>
          <w:rPr>
            <w:noProof/>
            <w:webHidden/>
          </w:rPr>
          <w:fldChar w:fldCharType="end"/>
        </w:r>
      </w:hyperlink>
    </w:p>
    <w:p w14:paraId="72DE88F7" w14:textId="4318253C"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46" w:history="1">
        <w:r w:rsidRPr="000B56B1">
          <w:rPr>
            <w:rStyle w:val="Hiperveza"/>
            <w:rFonts w:ascii="Arial" w:hAnsi="Arial" w:cs="Arial"/>
            <w:noProof/>
          </w:rPr>
          <w:t xml:space="preserve">2.5.2.2. </w:t>
        </w:r>
        <w:r>
          <w:rPr>
            <w:rFonts w:eastAsiaTheme="minorEastAsia"/>
            <w:noProof/>
            <w:kern w:val="2"/>
            <w:sz w:val="24"/>
            <w:szCs w:val="24"/>
            <w14:ligatures w14:val="standardContextual"/>
          </w:rPr>
          <w:tab/>
        </w:r>
        <w:r w:rsidRPr="000B56B1">
          <w:rPr>
            <w:rStyle w:val="Hiperveza"/>
            <w:rFonts w:ascii="Arial" w:hAnsi="Arial" w:cs="Arial"/>
            <w:noProof/>
          </w:rPr>
          <w:t>Izdaci za dionice i udjele u glavnici (53)</w:t>
        </w:r>
        <w:r>
          <w:rPr>
            <w:noProof/>
            <w:webHidden/>
          </w:rPr>
          <w:tab/>
        </w:r>
        <w:r>
          <w:rPr>
            <w:noProof/>
            <w:webHidden/>
          </w:rPr>
          <w:fldChar w:fldCharType="begin"/>
        </w:r>
        <w:r>
          <w:rPr>
            <w:noProof/>
            <w:webHidden/>
          </w:rPr>
          <w:instrText xml:space="preserve"> PAGEREF _Toc207707446 \h </w:instrText>
        </w:r>
        <w:r>
          <w:rPr>
            <w:noProof/>
            <w:webHidden/>
          </w:rPr>
        </w:r>
        <w:r>
          <w:rPr>
            <w:noProof/>
            <w:webHidden/>
          </w:rPr>
          <w:fldChar w:fldCharType="separate"/>
        </w:r>
        <w:r>
          <w:rPr>
            <w:noProof/>
            <w:webHidden/>
          </w:rPr>
          <w:t>112</w:t>
        </w:r>
        <w:r>
          <w:rPr>
            <w:noProof/>
            <w:webHidden/>
          </w:rPr>
          <w:fldChar w:fldCharType="end"/>
        </w:r>
      </w:hyperlink>
    </w:p>
    <w:p w14:paraId="5E3955C1" w14:textId="4E07B295" w:rsidR="00910987" w:rsidRDefault="00910987">
      <w:pPr>
        <w:pStyle w:val="Sadraj4"/>
        <w:tabs>
          <w:tab w:val="left" w:pos="1760"/>
          <w:tab w:val="right" w:leader="dot" w:pos="14560"/>
        </w:tabs>
        <w:rPr>
          <w:rFonts w:eastAsiaTheme="minorEastAsia"/>
          <w:noProof/>
          <w:kern w:val="2"/>
          <w:sz w:val="24"/>
          <w:szCs w:val="24"/>
          <w14:ligatures w14:val="standardContextual"/>
        </w:rPr>
      </w:pPr>
      <w:hyperlink w:anchor="_Toc207707447" w:history="1">
        <w:r w:rsidRPr="000B56B1">
          <w:rPr>
            <w:rStyle w:val="Hiperveza"/>
            <w:rFonts w:ascii="Arial" w:hAnsi="Arial" w:cs="Arial"/>
            <w:noProof/>
          </w:rPr>
          <w:t xml:space="preserve">2.5.2.3. </w:t>
        </w:r>
        <w:r>
          <w:rPr>
            <w:rFonts w:eastAsiaTheme="minorEastAsia"/>
            <w:noProof/>
            <w:kern w:val="2"/>
            <w:sz w:val="24"/>
            <w:szCs w:val="24"/>
            <w14:ligatures w14:val="standardContextual"/>
          </w:rPr>
          <w:tab/>
        </w:r>
        <w:r w:rsidRPr="000B56B1">
          <w:rPr>
            <w:rStyle w:val="Hiperveza"/>
            <w:rFonts w:ascii="Arial" w:hAnsi="Arial" w:cs="Arial"/>
            <w:noProof/>
          </w:rPr>
          <w:t>Izdaci za otplatu glavnice primljenih kredita i zajmova (54)</w:t>
        </w:r>
        <w:r>
          <w:rPr>
            <w:noProof/>
            <w:webHidden/>
          </w:rPr>
          <w:tab/>
        </w:r>
        <w:r>
          <w:rPr>
            <w:noProof/>
            <w:webHidden/>
          </w:rPr>
          <w:fldChar w:fldCharType="begin"/>
        </w:r>
        <w:r>
          <w:rPr>
            <w:noProof/>
            <w:webHidden/>
          </w:rPr>
          <w:instrText xml:space="preserve"> PAGEREF _Toc207707447 \h </w:instrText>
        </w:r>
        <w:r>
          <w:rPr>
            <w:noProof/>
            <w:webHidden/>
          </w:rPr>
        </w:r>
        <w:r>
          <w:rPr>
            <w:noProof/>
            <w:webHidden/>
          </w:rPr>
          <w:fldChar w:fldCharType="separate"/>
        </w:r>
        <w:r>
          <w:rPr>
            <w:noProof/>
            <w:webHidden/>
          </w:rPr>
          <w:t>112</w:t>
        </w:r>
        <w:r>
          <w:rPr>
            <w:noProof/>
            <w:webHidden/>
          </w:rPr>
          <w:fldChar w:fldCharType="end"/>
        </w:r>
      </w:hyperlink>
    </w:p>
    <w:p w14:paraId="589BA7DA" w14:textId="70D12E9E"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48" w:history="1">
        <w:r w:rsidRPr="000B56B1">
          <w:rPr>
            <w:rStyle w:val="Hiperveza"/>
            <w:rFonts w:ascii="Arial" w:hAnsi="Arial" w:cs="Arial"/>
            <w:noProof/>
          </w:rPr>
          <w:t>2.5.3.</w:t>
        </w:r>
        <w:r>
          <w:rPr>
            <w:rFonts w:eastAsiaTheme="minorEastAsia"/>
            <w:i w:val="0"/>
            <w:iCs w:val="0"/>
            <w:noProof/>
            <w:kern w:val="2"/>
            <w:sz w:val="24"/>
            <w:szCs w:val="24"/>
            <w14:ligatures w14:val="standardContextual"/>
          </w:rPr>
          <w:tab/>
        </w:r>
        <w:r w:rsidRPr="000B56B1">
          <w:rPr>
            <w:rStyle w:val="Hiperveza"/>
            <w:rFonts w:ascii="Arial" w:hAnsi="Arial" w:cs="Arial"/>
            <w:noProof/>
          </w:rPr>
          <w:t>ANALITIČKI PRIKAZ RAČUNA FINANCIRANJA</w:t>
        </w:r>
        <w:r>
          <w:rPr>
            <w:noProof/>
            <w:webHidden/>
          </w:rPr>
          <w:tab/>
        </w:r>
        <w:r>
          <w:rPr>
            <w:noProof/>
            <w:webHidden/>
          </w:rPr>
          <w:fldChar w:fldCharType="begin"/>
        </w:r>
        <w:r>
          <w:rPr>
            <w:noProof/>
            <w:webHidden/>
          </w:rPr>
          <w:instrText xml:space="preserve"> PAGEREF _Toc207707448 \h </w:instrText>
        </w:r>
        <w:r>
          <w:rPr>
            <w:noProof/>
            <w:webHidden/>
          </w:rPr>
        </w:r>
        <w:r>
          <w:rPr>
            <w:noProof/>
            <w:webHidden/>
          </w:rPr>
          <w:fldChar w:fldCharType="separate"/>
        </w:r>
        <w:r>
          <w:rPr>
            <w:noProof/>
            <w:webHidden/>
          </w:rPr>
          <w:t>113</w:t>
        </w:r>
        <w:r>
          <w:rPr>
            <w:noProof/>
            <w:webHidden/>
          </w:rPr>
          <w:fldChar w:fldCharType="end"/>
        </w:r>
      </w:hyperlink>
    </w:p>
    <w:p w14:paraId="66832EC2" w14:textId="39DCF038"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49" w:history="1">
        <w:r w:rsidRPr="000B56B1">
          <w:rPr>
            <w:rStyle w:val="Hiperveza"/>
          </w:rPr>
          <w:t>2.6.</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PRIKAZ OSTVARENOG MANJKA ODNOSNO VIŠKA PRORAČUNA, TE PRENESENOG VIŠKA ILI MANJKA PRIHODA NAD RASHODIMA– sveukupno Općina s proračunskim korisnicima</w:t>
        </w:r>
        <w:r>
          <w:rPr>
            <w:webHidden/>
          </w:rPr>
          <w:tab/>
        </w:r>
        <w:r>
          <w:rPr>
            <w:webHidden/>
          </w:rPr>
          <w:fldChar w:fldCharType="begin"/>
        </w:r>
        <w:r>
          <w:rPr>
            <w:webHidden/>
          </w:rPr>
          <w:instrText xml:space="preserve"> PAGEREF _Toc207707449 \h </w:instrText>
        </w:r>
        <w:r>
          <w:rPr>
            <w:webHidden/>
          </w:rPr>
        </w:r>
        <w:r>
          <w:rPr>
            <w:webHidden/>
          </w:rPr>
          <w:fldChar w:fldCharType="separate"/>
        </w:r>
        <w:r>
          <w:rPr>
            <w:webHidden/>
          </w:rPr>
          <w:t>115</w:t>
        </w:r>
        <w:r>
          <w:rPr>
            <w:webHidden/>
          </w:rPr>
          <w:fldChar w:fldCharType="end"/>
        </w:r>
      </w:hyperlink>
    </w:p>
    <w:p w14:paraId="51A5BD24" w14:textId="33CA7CB5"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50" w:history="1">
        <w:r w:rsidRPr="000B56B1">
          <w:rPr>
            <w:rStyle w:val="Hiperveza"/>
            <w:rFonts w:eastAsia="Calibri"/>
          </w:rPr>
          <w:t>2.7.</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Fonts w:eastAsia="Calibri"/>
          </w:rPr>
          <w:t xml:space="preserve"> EKONOMSKA KLASIFIKACIJA</w:t>
        </w:r>
        <w:r>
          <w:rPr>
            <w:webHidden/>
          </w:rPr>
          <w:tab/>
        </w:r>
        <w:r>
          <w:rPr>
            <w:webHidden/>
          </w:rPr>
          <w:fldChar w:fldCharType="begin"/>
        </w:r>
        <w:r>
          <w:rPr>
            <w:webHidden/>
          </w:rPr>
          <w:instrText xml:space="preserve"> PAGEREF _Toc207707450 \h </w:instrText>
        </w:r>
        <w:r>
          <w:rPr>
            <w:webHidden/>
          </w:rPr>
        </w:r>
        <w:r>
          <w:rPr>
            <w:webHidden/>
          </w:rPr>
          <w:fldChar w:fldCharType="separate"/>
        </w:r>
        <w:r>
          <w:rPr>
            <w:webHidden/>
          </w:rPr>
          <w:t>117</w:t>
        </w:r>
        <w:r>
          <w:rPr>
            <w:webHidden/>
          </w:rPr>
          <w:fldChar w:fldCharType="end"/>
        </w:r>
      </w:hyperlink>
    </w:p>
    <w:p w14:paraId="5E55E0CC" w14:textId="0EE7DAC7"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51" w:history="1">
        <w:r w:rsidRPr="000B56B1">
          <w:rPr>
            <w:rStyle w:val="Hiperveza"/>
          </w:rPr>
          <w:t>2.8.</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PRIHODI I PRIMICI, RASHODI I IZDACI PREMA IZVORIMA FINANCIRANJA</w:t>
        </w:r>
        <w:r>
          <w:rPr>
            <w:webHidden/>
          </w:rPr>
          <w:tab/>
        </w:r>
        <w:r>
          <w:rPr>
            <w:webHidden/>
          </w:rPr>
          <w:fldChar w:fldCharType="begin"/>
        </w:r>
        <w:r>
          <w:rPr>
            <w:webHidden/>
          </w:rPr>
          <w:instrText xml:space="preserve"> PAGEREF _Toc207707451 \h </w:instrText>
        </w:r>
        <w:r>
          <w:rPr>
            <w:webHidden/>
          </w:rPr>
        </w:r>
        <w:r>
          <w:rPr>
            <w:webHidden/>
          </w:rPr>
          <w:fldChar w:fldCharType="separate"/>
        </w:r>
        <w:r>
          <w:rPr>
            <w:webHidden/>
          </w:rPr>
          <w:t>118</w:t>
        </w:r>
        <w:r>
          <w:rPr>
            <w:webHidden/>
          </w:rPr>
          <w:fldChar w:fldCharType="end"/>
        </w:r>
      </w:hyperlink>
    </w:p>
    <w:p w14:paraId="1F9DE055" w14:textId="52C0AAEC"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52" w:history="1">
        <w:r w:rsidRPr="000B56B1">
          <w:rPr>
            <w:rStyle w:val="Hiperveza"/>
          </w:rPr>
          <w:t>2.9.</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RASHODI PREMA FUNKCIJSKOJ KLASIFIKACIJI</w:t>
        </w:r>
        <w:r>
          <w:rPr>
            <w:webHidden/>
          </w:rPr>
          <w:tab/>
        </w:r>
        <w:r>
          <w:rPr>
            <w:webHidden/>
          </w:rPr>
          <w:fldChar w:fldCharType="begin"/>
        </w:r>
        <w:r>
          <w:rPr>
            <w:webHidden/>
          </w:rPr>
          <w:instrText xml:space="preserve"> PAGEREF _Toc207707452 \h </w:instrText>
        </w:r>
        <w:r>
          <w:rPr>
            <w:webHidden/>
          </w:rPr>
        </w:r>
        <w:r>
          <w:rPr>
            <w:webHidden/>
          </w:rPr>
          <w:fldChar w:fldCharType="separate"/>
        </w:r>
        <w:r>
          <w:rPr>
            <w:webHidden/>
          </w:rPr>
          <w:t>118</w:t>
        </w:r>
        <w:r>
          <w:rPr>
            <w:webHidden/>
          </w:rPr>
          <w:fldChar w:fldCharType="end"/>
        </w:r>
      </w:hyperlink>
    </w:p>
    <w:p w14:paraId="06B3D7C7" w14:textId="3286B7D5"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53" w:history="1">
        <w:r w:rsidRPr="000B56B1">
          <w:rPr>
            <w:rStyle w:val="Hiperveza"/>
          </w:rPr>
          <w:t>2.10.</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STANJE NOVČANIH SREDSTAVA</w:t>
        </w:r>
        <w:r>
          <w:rPr>
            <w:webHidden/>
          </w:rPr>
          <w:tab/>
        </w:r>
        <w:r>
          <w:rPr>
            <w:webHidden/>
          </w:rPr>
          <w:fldChar w:fldCharType="begin"/>
        </w:r>
        <w:r>
          <w:rPr>
            <w:webHidden/>
          </w:rPr>
          <w:instrText xml:space="preserve"> PAGEREF _Toc207707453 \h </w:instrText>
        </w:r>
        <w:r>
          <w:rPr>
            <w:webHidden/>
          </w:rPr>
        </w:r>
        <w:r>
          <w:rPr>
            <w:webHidden/>
          </w:rPr>
          <w:fldChar w:fldCharType="separate"/>
        </w:r>
        <w:r>
          <w:rPr>
            <w:webHidden/>
          </w:rPr>
          <w:t>121</w:t>
        </w:r>
        <w:r>
          <w:rPr>
            <w:webHidden/>
          </w:rPr>
          <w:fldChar w:fldCharType="end"/>
        </w:r>
      </w:hyperlink>
    </w:p>
    <w:p w14:paraId="3C6997ED" w14:textId="46A8D659"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54" w:history="1">
        <w:r w:rsidRPr="000B56B1">
          <w:rPr>
            <w:rStyle w:val="Hiperveza"/>
          </w:rPr>
          <w:t>2.11.</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PRIHODI I PRIMICI, RASHODI I IZDACI OSTVARENI PREUZIMANJEM NEFINANCIJSKE I FINANCIJSKE IMOVINE U NAPLATI POTRAŽIVANJA JAVNIH DAVANJA</w:t>
        </w:r>
        <w:r>
          <w:rPr>
            <w:webHidden/>
          </w:rPr>
          <w:tab/>
        </w:r>
        <w:r>
          <w:rPr>
            <w:webHidden/>
          </w:rPr>
          <w:fldChar w:fldCharType="begin"/>
        </w:r>
        <w:r>
          <w:rPr>
            <w:webHidden/>
          </w:rPr>
          <w:instrText xml:space="preserve"> PAGEREF _Toc207707454 \h </w:instrText>
        </w:r>
        <w:r>
          <w:rPr>
            <w:webHidden/>
          </w:rPr>
        </w:r>
        <w:r>
          <w:rPr>
            <w:webHidden/>
          </w:rPr>
          <w:fldChar w:fldCharType="separate"/>
        </w:r>
        <w:r>
          <w:rPr>
            <w:webHidden/>
          </w:rPr>
          <w:t>122</w:t>
        </w:r>
        <w:r>
          <w:rPr>
            <w:webHidden/>
          </w:rPr>
          <w:fldChar w:fldCharType="end"/>
        </w:r>
      </w:hyperlink>
    </w:p>
    <w:p w14:paraId="39F64680" w14:textId="205EEA01"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55" w:history="1">
        <w:r w:rsidRPr="000B56B1">
          <w:rPr>
            <w:rStyle w:val="Hiperveza"/>
          </w:rPr>
          <w:t>2.12.</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PRILOG UZ OBRAZLOŽENJE OPĆEG DIJELA PRORAČUNA</w:t>
        </w:r>
        <w:r>
          <w:rPr>
            <w:webHidden/>
          </w:rPr>
          <w:tab/>
        </w:r>
        <w:r>
          <w:rPr>
            <w:webHidden/>
          </w:rPr>
          <w:fldChar w:fldCharType="begin"/>
        </w:r>
        <w:r>
          <w:rPr>
            <w:webHidden/>
          </w:rPr>
          <w:instrText xml:space="preserve"> PAGEREF _Toc207707455 \h </w:instrText>
        </w:r>
        <w:r>
          <w:rPr>
            <w:webHidden/>
          </w:rPr>
        </w:r>
        <w:r>
          <w:rPr>
            <w:webHidden/>
          </w:rPr>
          <w:fldChar w:fldCharType="separate"/>
        </w:r>
        <w:r>
          <w:rPr>
            <w:webHidden/>
          </w:rPr>
          <w:t>122</w:t>
        </w:r>
        <w:r>
          <w:rPr>
            <w:webHidden/>
          </w:rPr>
          <w:fldChar w:fldCharType="end"/>
        </w:r>
      </w:hyperlink>
    </w:p>
    <w:p w14:paraId="37FB6974" w14:textId="6DAE323C"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56" w:history="1">
        <w:r w:rsidRPr="000B56B1">
          <w:rPr>
            <w:rStyle w:val="Hiperveza"/>
            <w:rFonts w:ascii="Arial" w:hAnsi="Arial" w:cs="Arial"/>
            <w:noProof/>
          </w:rPr>
          <w:t>2.12.1.</w:t>
        </w:r>
        <w:r>
          <w:rPr>
            <w:rFonts w:eastAsiaTheme="minorEastAsia"/>
            <w:i w:val="0"/>
            <w:iCs w:val="0"/>
            <w:noProof/>
            <w:kern w:val="2"/>
            <w:sz w:val="24"/>
            <w:szCs w:val="24"/>
            <w14:ligatures w14:val="standardContextual"/>
          </w:rPr>
          <w:tab/>
        </w:r>
        <w:r w:rsidRPr="000B56B1">
          <w:rPr>
            <w:rStyle w:val="Hiperveza"/>
            <w:rFonts w:ascii="Arial" w:hAnsi="Arial" w:cs="Arial"/>
            <w:noProof/>
          </w:rPr>
          <w:t xml:space="preserve"> IZVJEŠĆE O UTROŠKU SREDSTAVA KOMUNALNE NAKNADE I KOMUNALNOG DOPRINOSA U 2025.</w:t>
        </w:r>
        <w:r>
          <w:rPr>
            <w:noProof/>
            <w:webHidden/>
          </w:rPr>
          <w:tab/>
        </w:r>
        <w:r>
          <w:rPr>
            <w:noProof/>
            <w:webHidden/>
          </w:rPr>
          <w:fldChar w:fldCharType="begin"/>
        </w:r>
        <w:r>
          <w:rPr>
            <w:noProof/>
            <w:webHidden/>
          </w:rPr>
          <w:instrText xml:space="preserve"> PAGEREF _Toc207707456 \h </w:instrText>
        </w:r>
        <w:r>
          <w:rPr>
            <w:noProof/>
            <w:webHidden/>
          </w:rPr>
        </w:r>
        <w:r>
          <w:rPr>
            <w:noProof/>
            <w:webHidden/>
          </w:rPr>
          <w:fldChar w:fldCharType="separate"/>
        </w:r>
        <w:r>
          <w:rPr>
            <w:noProof/>
            <w:webHidden/>
          </w:rPr>
          <w:t>122</w:t>
        </w:r>
        <w:r>
          <w:rPr>
            <w:noProof/>
            <w:webHidden/>
          </w:rPr>
          <w:fldChar w:fldCharType="end"/>
        </w:r>
      </w:hyperlink>
    </w:p>
    <w:p w14:paraId="43094F86" w14:textId="3C4ADB4D" w:rsidR="00910987" w:rsidRDefault="00910987">
      <w:pPr>
        <w:pStyle w:val="Sadraj1"/>
        <w:rPr>
          <w:rFonts w:asciiTheme="minorHAnsi" w:eastAsiaTheme="minorEastAsia" w:hAnsiTheme="minorHAnsi" w:cstheme="minorBidi"/>
          <w:b w:val="0"/>
          <w:bCs w:val="0"/>
          <w:caps w:val="0"/>
          <w:kern w:val="2"/>
          <w:sz w:val="24"/>
          <w:szCs w:val="24"/>
          <w14:ligatures w14:val="standardContextual"/>
        </w:rPr>
      </w:pPr>
      <w:hyperlink w:anchor="_Toc207707457" w:history="1">
        <w:r w:rsidRPr="000B56B1">
          <w:rPr>
            <w:rStyle w:val="Hiperveza"/>
          </w:rPr>
          <w:t xml:space="preserve">3. </w:t>
        </w:r>
        <w:r>
          <w:rPr>
            <w:rFonts w:asciiTheme="minorHAnsi" w:eastAsiaTheme="minorEastAsia" w:hAnsiTheme="minorHAnsi" w:cstheme="minorBidi"/>
            <w:b w:val="0"/>
            <w:bCs w:val="0"/>
            <w:caps w:val="0"/>
            <w:kern w:val="2"/>
            <w:sz w:val="24"/>
            <w:szCs w:val="24"/>
            <w14:ligatures w14:val="standardContextual"/>
          </w:rPr>
          <w:tab/>
        </w:r>
        <w:r w:rsidRPr="000B56B1">
          <w:rPr>
            <w:rStyle w:val="Hiperveza"/>
          </w:rPr>
          <w:t>OBRAZLOŽENJE POSEBNOG DIJELA IZVJEŠTAJA O IZVRŠENJU PRORAČUNA</w:t>
        </w:r>
        <w:r>
          <w:rPr>
            <w:webHidden/>
          </w:rPr>
          <w:tab/>
        </w:r>
        <w:r>
          <w:rPr>
            <w:webHidden/>
          </w:rPr>
          <w:fldChar w:fldCharType="begin"/>
        </w:r>
        <w:r>
          <w:rPr>
            <w:webHidden/>
          </w:rPr>
          <w:instrText xml:space="preserve"> PAGEREF _Toc207707457 \h </w:instrText>
        </w:r>
        <w:r>
          <w:rPr>
            <w:webHidden/>
          </w:rPr>
        </w:r>
        <w:r>
          <w:rPr>
            <w:webHidden/>
          </w:rPr>
          <w:fldChar w:fldCharType="separate"/>
        </w:r>
        <w:r>
          <w:rPr>
            <w:webHidden/>
          </w:rPr>
          <w:t>125</w:t>
        </w:r>
        <w:r>
          <w:rPr>
            <w:webHidden/>
          </w:rPr>
          <w:fldChar w:fldCharType="end"/>
        </w:r>
      </w:hyperlink>
    </w:p>
    <w:p w14:paraId="573C8CFD" w14:textId="0E12AB10"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58" w:history="1">
        <w:r w:rsidRPr="000B56B1">
          <w:rPr>
            <w:rStyle w:val="Hiperveza"/>
          </w:rPr>
          <w:t>3.1.</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ORGANIZACIJSKA KLASIFIKACIJA - s usporednim pregledom izvršenja u izvještajnim razdobljima 2019.-2024. i 1-6/2025.</w:t>
        </w:r>
        <w:r>
          <w:rPr>
            <w:webHidden/>
          </w:rPr>
          <w:tab/>
        </w:r>
        <w:r>
          <w:rPr>
            <w:webHidden/>
          </w:rPr>
          <w:fldChar w:fldCharType="begin"/>
        </w:r>
        <w:r>
          <w:rPr>
            <w:webHidden/>
          </w:rPr>
          <w:instrText xml:space="preserve"> PAGEREF _Toc207707458 \h </w:instrText>
        </w:r>
        <w:r>
          <w:rPr>
            <w:webHidden/>
          </w:rPr>
        </w:r>
        <w:r>
          <w:rPr>
            <w:webHidden/>
          </w:rPr>
          <w:fldChar w:fldCharType="separate"/>
        </w:r>
        <w:r>
          <w:rPr>
            <w:webHidden/>
          </w:rPr>
          <w:t>125</w:t>
        </w:r>
        <w:r>
          <w:rPr>
            <w:webHidden/>
          </w:rPr>
          <w:fldChar w:fldCharType="end"/>
        </w:r>
      </w:hyperlink>
    </w:p>
    <w:p w14:paraId="48F9A06C" w14:textId="15B8B180"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59" w:history="1">
        <w:r w:rsidRPr="000B56B1">
          <w:rPr>
            <w:rStyle w:val="Hiperveza"/>
          </w:rPr>
          <w:t>3.2.</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PROGRAMSKA KLASIFIKACIJA –rashodi po razdjelima 010 / 020 / 030 / 040, glavama i programima</w:t>
        </w:r>
        <w:r>
          <w:rPr>
            <w:webHidden/>
          </w:rPr>
          <w:tab/>
        </w:r>
        <w:r>
          <w:rPr>
            <w:webHidden/>
          </w:rPr>
          <w:fldChar w:fldCharType="begin"/>
        </w:r>
        <w:r>
          <w:rPr>
            <w:webHidden/>
          </w:rPr>
          <w:instrText xml:space="preserve"> PAGEREF _Toc207707459 \h </w:instrText>
        </w:r>
        <w:r>
          <w:rPr>
            <w:webHidden/>
          </w:rPr>
        </w:r>
        <w:r>
          <w:rPr>
            <w:webHidden/>
          </w:rPr>
          <w:fldChar w:fldCharType="separate"/>
        </w:r>
        <w:r>
          <w:rPr>
            <w:webHidden/>
          </w:rPr>
          <w:t>130</w:t>
        </w:r>
        <w:r>
          <w:rPr>
            <w:webHidden/>
          </w:rPr>
          <w:fldChar w:fldCharType="end"/>
        </w:r>
      </w:hyperlink>
    </w:p>
    <w:p w14:paraId="2B8C3942" w14:textId="2938FA5B"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60" w:history="1">
        <w:r w:rsidRPr="000B56B1">
          <w:rPr>
            <w:rStyle w:val="Hiperveza"/>
            <w:rFonts w:ascii="Arial" w:hAnsi="Arial" w:cs="Arial"/>
            <w:noProof/>
          </w:rPr>
          <w:t>3.2.1.</w:t>
        </w:r>
        <w:r>
          <w:rPr>
            <w:rFonts w:eastAsiaTheme="minorEastAsia"/>
            <w:i w:val="0"/>
            <w:iCs w:val="0"/>
            <w:noProof/>
            <w:kern w:val="2"/>
            <w:sz w:val="24"/>
            <w:szCs w:val="24"/>
            <w14:ligatures w14:val="standardContextual"/>
          </w:rPr>
          <w:tab/>
        </w:r>
        <w:r w:rsidRPr="000B56B1">
          <w:rPr>
            <w:rStyle w:val="Hiperveza"/>
            <w:rFonts w:ascii="Arial" w:hAnsi="Arial" w:cs="Arial"/>
            <w:noProof/>
          </w:rPr>
          <w:t xml:space="preserve"> PREGLED RASHODA PO RAZDJELIMA, GLAVAMA I PROGRAMIMA</w:t>
        </w:r>
        <w:r>
          <w:rPr>
            <w:noProof/>
            <w:webHidden/>
          </w:rPr>
          <w:tab/>
        </w:r>
        <w:r>
          <w:rPr>
            <w:noProof/>
            <w:webHidden/>
          </w:rPr>
          <w:fldChar w:fldCharType="begin"/>
        </w:r>
        <w:r>
          <w:rPr>
            <w:noProof/>
            <w:webHidden/>
          </w:rPr>
          <w:instrText xml:space="preserve"> PAGEREF _Toc207707460 \h </w:instrText>
        </w:r>
        <w:r>
          <w:rPr>
            <w:noProof/>
            <w:webHidden/>
          </w:rPr>
        </w:r>
        <w:r>
          <w:rPr>
            <w:noProof/>
            <w:webHidden/>
          </w:rPr>
          <w:fldChar w:fldCharType="separate"/>
        </w:r>
        <w:r>
          <w:rPr>
            <w:noProof/>
            <w:webHidden/>
          </w:rPr>
          <w:t>130</w:t>
        </w:r>
        <w:r>
          <w:rPr>
            <w:noProof/>
            <w:webHidden/>
          </w:rPr>
          <w:fldChar w:fldCharType="end"/>
        </w:r>
      </w:hyperlink>
    </w:p>
    <w:p w14:paraId="3D7D73A4" w14:textId="53EF7CF8"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61" w:history="1">
        <w:r w:rsidRPr="000B56B1">
          <w:rPr>
            <w:rStyle w:val="Hiperveza"/>
          </w:rPr>
          <w:t>3.3.</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 xml:space="preserve"> OBRAZLOŽENJE IZVRŠENJA POSEBNOG DIJELA PRORAČUNA</w:t>
        </w:r>
        <w:r>
          <w:rPr>
            <w:webHidden/>
          </w:rPr>
          <w:tab/>
        </w:r>
        <w:r>
          <w:rPr>
            <w:webHidden/>
          </w:rPr>
          <w:fldChar w:fldCharType="begin"/>
        </w:r>
        <w:r>
          <w:rPr>
            <w:webHidden/>
          </w:rPr>
          <w:instrText xml:space="preserve"> PAGEREF _Toc207707461 \h </w:instrText>
        </w:r>
        <w:r>
          <w:rPr>
            <w:webHidden/>
          </w:rPr>
        </w:r>
        <w:r>
          <w:rPr>
            <w:webHidden/>
          </w:rPr>
          <w:fldChar w:fldCharType="separate"/>
        </w:r>
        <w:r>
          <w:rPr>
            <w:webHidden/>
          </w:rPr>
          <w:t>134</w:t>
        </w:r>
        <w:r>
          <w:rPr>
            <w:webHidden/>
          </w:rPr>
          <w:fldChar w:fldCharType="end"/>
        </w:r>
      </w:hyperlink>
    </w:p>
    <w:p w14:paraId="10CA2C2E" w14:textId="26616775"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62" w:history="1">
        <w:r w:rsidRPr="000B56B1">
          <w:rPr>
            <w:rStyle w:val="Hiperveza"/>
            <w:rFonts w:eastAsia="Calibri"/>
            <w:noProof/>
          </w:rPr>
          <w:t>3.3.1.</w:t>
        </w:r>
        <w:r>
          <w:rPr>
            <w:rFonts w:eastAsiaTheme="minorEastAsia"/>
            <w:i w:val="0"/>
            <w:iCs w:val="0"/>
            <w:noProof/>
            <w:kern w:val="2"/>
            <w:sz w:val="24"/>
            <w:szCs w:val="24"/>
            <w14:ligatures w14:val="standardContextual"/>
          </w:rPr>
          <w:tab/>
        </w:r>
        <w:r w:rsidRPr="000B56B1">
          <w:rPr>
            <w:rStyle w:val="Hiperveza"/>
            <w:rFonts w:eastAsia="Calibri"/>
            <w:noProof/>
          </w:rPr>
          <w:t>RAZDJEL: (010) OPĆINSKO VIJEĆE I NAČELNIK</w:t>
        </w:r>
        <w:r>
          <w:rPr>
            <w:noProof/>
            <w:webHidden/>
          </w:rPr>
          <w:tab/>
        </w:r>
        <w:r>
          <w:rPr>
            <w:noProof/>
            <w:webHidden/>
          </w:rPr>
          <w:fldChar w:fldCharType="begin"/>
        </w:r>
        <w:r>
          <w:rPr>
            <w:noProof/>
            <w:webHidden/>
          </w:rPr>
          <w:instrText xml:space="preserve"> PAGEREF _Toc207707462 \h </w:instrText>
        </w:r>
        <w:r>
          <w:rPr>
            <w:noProof/>
            <w:webHidden/>
          </w:rPr>
        </w:r>
        <w:r>
          <w:rPr>
            <w:noProof/>
            <w:webHidden/>
          </w:rPr>
          <w:fldChar w:fldCharType="separate"/>
        </w:r>
        <w:r>
          <w:rPr>
            <w:noProof/>
            <w:webHidden/>
          </w:rPr>
          <w:t>134</w:t>
        </w:r>
        <w:r>
          <w:rPr>
            <w:noProof/>
            <w:webHidden/>
          </w:rPr>
          <w:fldChar w:fldCharType="end"/>
        </w:r>
      </w:hyperlink>
    </w:p>
    <w:p w14:paraId="370D8CC5" w14:textId="5ABECB74"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63" w:history="1">
        <w:r w:rsidRPr="000B56B1">
          <w:rPr>
            <w:rStyle w:val="Hiperveza"/>
            <w:rFonts w:ascii="Arial" w:eastAsia="Calibri" w:hAnsi="Arial" w:cs="Arial"/>
            <w:noProof/>
          </w:rPr>
          <w:t>3.3.2.</w:t>
        </w:r>
        <w:r>
          <w:rPr>
            <w:rFonts w:eastAsiaTheme="minorEastAsia"/>
            <w:i w:val="0"/>
            <w:iCs w:val="0"/>
            <w:noProof/>
            <w:kern w:val="2"/>
            <w:sz w:val="24"/>
            <w:szCs w:val="24"/>
            <w14:ligatures w14:val="standardContextual"/>
          </w:rPr>
          <w:tab/>
        </w:r>
        <w:r w:rsidRPr="000B56B1">
          <w:rPr>
            <w:rStyle w:val="Hiperveza"/>
            <w:rFonts w:ascii="Arial" w:eastAsia="Calibri" w:hAnsi="Arial" w:cs="Arial"/>
            <w:noProof/>
          </w:rPr>
          <w:t>RAZDJEL: (020) UPRAVNI ODJEL ZA OPĆE POSLOVE, MJESNU SAMOUPRAVU I DRUŠTVENE DJELATNOSTI</w:t>
        </w:r>
        <w:r>
          <w:rPr>
            <w:noProof/>
            <w:webHidden/>
          </w:rPr>
          <w:tab/>
        </w:r>
        <w:r>
          <w:rPr>
            <w:noProof/>
            <w:webHidden/>
          </w:rPr>
          <w:fldChar w:fldCharType="begin"/>
        </w:r>
        <w:r>
          <w:rPr>
            <w:noProof/>
            <w:webHidden/>
          </w:rPr>
          <w:instrText xml:space="preserve"> PAGEREF _Toc207707463 \h </w:instrText>
        </w:r>
        <w:r>
          <w:rPr>
            <w:noProof/>
            <w:webHidden/>
          </w:rPr>
        </w:r>
        <w:r>
          <w:rPr>
            <w:noProof/>
            <w:webHidden/>
          </w:rPr>
          <w:fldChar w:fldCharType="separate"/>
        </w:r>
        <w:r>
          <w:rPr>
            <w:noProof/>
            <w:webHidden/>
          </w:rPr>
          <w:t>137</w:t>
        </w:r>
        <w:r>
          <w:rPr>
            <w:noProof/>
            <w:webHidden/>
          </w:rPr>
          <w:fldChar w:fldCharType="end"/>
        </w:r>
      </w:hyperlink>
    </w:p>
    <w:p w14:paraId="1DDE33EA" w14:textId="02575AF7" w:rsidR="00910987" w:rsidRDefault="00910987">
      <w:pPr>
        <w:pStyle w:val="Sadraj4"/>
        <w:tabs>
          <w:tab w:val="left" w:pos="1540"/>
          <w:tab w:val="right" w:leader="dot" w:pos="14560"/>
        </w:tabs>
        <w:rPr>
          <w:rFonts w:eastAsiaTheme="minorEastAsia"/>
          <w:noProof/>
          <w:kern w:val="2"/>
          <w:sz w:val="24"/>
          <w:szCs w:val="24"/>
          <w14:ligatures w14:val="standardContextual"/>
        </w:rPr>
      </w:pPr>
      <w:hyperlink w:anchor="_Toc207707464" w:history="1">
        <w:r w:rsidRPr="000B56B1">
          <w:rPr>
            <w:rStyle w:val="Hiperveza"/>
            <w:rFonts w:eastAsia="Calibri"/>
            <w:noProof/>
          </w:rPr>
          <w:t>3.3.2.2.</w:t>
        </w:r>
        <w:r>
          <w:rPr>
            <w:rFonts w:eastAsiaTheme="minorEastAsia"/>
            <w:noProof/>
            <w:kern w:val="2"/>
            <w:sz w:val="24"/>
            <w:szCs w:val="24"/>
            <w14:ligatures w14:val="standardContextual"/>
          </w:rPr>
          <w:tab/>
        </w:r>
        <w:r w:rsidRPr="000B56B1">
          <w:rPr>
            <w:rStyle w:val="Hiperveza"/>
            <w:rFonts w:eastAsia="Calibri"/>
            <w:noProof/>
          </w:rPr>
          <w:t>GLAVA: (020 03) USTANOVA U KULTURI</w:t>
        </w:r>
        <w:r>
          <w:rPr>
            <w:noProof/>
            <w:webHidden/>
          </w:rPr>
          <w:tab/>
        </w:r>
        <w:r>
          <w:rPr>
            <w:noProof/>
            <w:webHidden/>
          </w:rPr>
          <w:fldChar w:fldCharType="begin"/>
        </w:r>
        <w:r>
          <w:rPr>
            <w:noProof/>
            <w:webHidden/>
          </w:rPr>
          <w:instrText xml:space="preserve"> PAGEREF _Toc207707464 \h </w:instrText>
        </w:r>
        <w:r>
          <w:rPr>
            <w:noProof/>
            <w:webHidden/>
          </w:rPr>
        </w:r>
        <w:r>
          <w:rPr>
            <w:noProof/>
            <w:webHidden/>
          </w:rPr>
          <w:fldChar w:fldCharType="separate"/>
        </w:r>
        <w:r>
          <w:rPr>
            <w:noProof/>
            <w:webHidden/>
          </w:rPr>
          <w:t>142</w:t>
        </w:r>
        <w:r>
          <w:rPr>
            <w:noProof/>
            <w:webHidden/>
          </w:rPr>
          <w:fldChar w:fldCharType="end"/>
        </w:r>
      </w:hyperlink>
    </w:p>
    <w:p w14:paraId="707A6362" w14:textId="593BB212" w:rsidR="00910987" w:rsidRDefault="00910987">
      <w:pPr>
        <w:pStyle w:val="Sadraj3"/>
        <w:tabs>
          <w:tab w:val="right" w:leader="dot" w:pos="14560"/>
        </w:tabs>
        <w:rPr>
          <w:rFonts w:eastAsiaTheme="minorEastAsia"/>
          <w:i w:val="0"/>
          <w:iCs w:val="0"/>
          <w:noProof/>
          <w:kern w:val="2"/>
          <w:sz w:val="24"/>
          <w:szCs w:val="24"/>
          <w14:ligatures w14:val="standardContextual"/>
        </w:rPr>
      </w:pPr>
      <w:hyperlink w:anchor="_Toc207707465" w:history="1">
        <w:r w:rsidRPr="000B56B1">
          <w:rPr>
            <w:rStyle w:val="Hiperveza"/>
            <w:rFonts w:eastAsia="Calibri"/>
            <w:noProof/>
          </w:rPr>
          <w:t>Program (2031): Javna ustanova u kulturi</w:t>
        </w:r>
        <w:r>
          <w:rPr>
            <w:noProof/>
            <w:webHidden/>
          </w:rPr>
          <w:tab/>
        </w:r>
        <w:r>
          <w:rPr>
            <w:noProof/>
            <w:webHidden/>
          </w:rPr>
          <w:fldChar w:fldCharType="begin"/>
        </w:r>
        <w:r>
          <w:rPr>
            <w:noProof/>
            <w:webHidden/>
          </w:rPr>
          <w:instrText xml:space="preserve"> PAGEREF _Toc207707465 \h </w:instrText>
        </w:r>
        <w:r>
          <w:rPr>
            <w:noProof/>
            <w:webHidden/>
          </w:rPr>
        </w:r>
        <w:r>
          <w:rPr>
            <w:noProof/>
            <w:webHidden/>
          </w:rPr>
          <w:fldChar w:fldCharType="separate"/>
        </w:r>
        <w:r>
          <w:rPr>
            <w:noProof/>
            <w:webHidden/>
          </w:rPr>
          <w:t>142</w:t>
        </w:r>
        <w:r>
          <w:rPr>
            <w:noProof/>
            <w:webHidden/>
          </w:rPr>
          <w:fldChar w:fldCharType="end"/>
        </w:r>
      </w:hyperlink>
    </w:p>
    <w:p w14:paraId="22439C77" w14:textId="31501C33" w:rsidR="00910987" w:rsidRDefault="00910987">
      <w:pPr>
        <w:pStyle w:val="Sadraj4"/>
        <w:tabs>
          <w:tab w:val="left" w:pos="1540"/>
          <w:tab w:val="right" w:leader="dot" w:pos="14560"/>
        </w:tabs>
        <w:rPr>
          <w:rFonts w:eastAsiaTheme="minorEastAsia"/>
          <w:noProof/>
          <w:kern w:val="2"/>
          <w:sz w:val="24"/>
          <w:szCs w:val="24"/>
          <w14:ligatures w14:val="standardContextual"/>
        </w:rPr>
      </w:pPr>
      <w:hyperlink w:anchor="_Toc207707466" w:history="1">
        <w:r w:rsidRPr="000B56B1">
          <w:rPr>
            <w:rStyle w:val="Hiperveza"/>
            <w:rFonts w:eastAsia="Calibri"/>
            <w:noProof/>
          </w:rPr>
          <w:t>3.3.2.3.</w:t>
        </w:r>
        <w:r>
          <w:rPr>
            <w:rFonts w:eastAsiaTheme="minorEastAsia"/>
            <w:noProof/>
            <w:kern w:val="2"/>
            <w:sz w:val="24"/>
            <w:szCs w:val="24"/>
            <w14:ligatures w14:val="standardContextual"/>
          </w:rPr>
          <w:tab/>
        </w:r>
        <w:r w:rsidRPr="000B56B1">
          <w:rPr>
            <w:rStyle w:val="Hiperveza"/>
            <w:rFonts w:eastAsia="Calibri"/>
            <w:noProof/>
          </w:rPr>
          <w:t>GLAVA: (020 04) USTANOVA SOCIJALNE SKRBI</w:t>
        </w:r>
        <w:r>
          <w:rPr>
            <w:noProof/>
            <w:webHidden/>
          </w:rPr>
          <w:tab/>
        </w:r>
        <w:r>
          <w:rPr>
            <w:noProof/>
            <w:webHidden/>
          </w:rPr>
          <w:fldChar w:fldCharType="begin"/>
        </w:r>
        <w:r>
          <w:rPr>
            <w:noProof/>
            <w:webHidden/>
          </w:rPr>
          <w:instrText xml:space="preserve"> PAGEREF _Toc207707466 \h </w:instrText>
        </w:r>
        <w:r>
          <w:rPr>
            <w:noProof/>
            <w:webHidden/>
          </w:rPr>
        </w:r>
        <w:r>
          <w:rPr>
            <w:noProof/>
            <w:webHidden/>
          </w:rPr>
          <w:fldChar w:fldCharType="separate"/>
        </w:r>
        <w:r>
          <w:rPr>
            <w:noProof/>
            <w:webHidden/>
          </w:rPr>
          <w:t>142</w:t>
        </w:r>
        <w:r>
          <w:rPr>
            <w:noProof/>
            <w:webHidden/>
          </w:rPr>
          <w:fldChar w:fldCharType="end"/>
        </w:r>
      </w:hyperlink>
    </w:p>
    <w:p w14:paraId="16D6506F" w14:textId="3DA1A082" w:rsidR="00910987" w:rsidRDefault="00910987">
      <w:pPr>
        <w:pStyle w:val="Sadraj3"/>
        <w:tabs>
          <w:tab w:val="right" w:leader="dot" w:pos="14560"/>
        </w:tabs>
        <w:rPr>
          <w:rFonts w:eastAsiaTheme="minorEastAsia"/>
          <w:i w:val="0"/>
          <w:iCs w:val="0"/>
          <w:noProof/>
          <w:kern w:val="2"/>
          <w:sz w:val="24"/>
          <w:szCs w:val="24"/>
          <w14:ligatures w14:val="standardContextual"/>
        </w:rPr>
      </w:pPr>
      <w:hyperlink w:anchor="_Toc207707467" w:history="1">
        <w:r w:rsidRPr="000B56B1">
          <w:rPr>
            <w:rStyle w:val="Hiperveza"/>
            <w:rFonts w:eastAsia="Calibri"/>
            <w:noProof/>
          </w:rPr>
          <w:t>Program (2044): Socijalna skrb – Dom za starije i nemoćne osobe Konavle</w:t>
        </w:r>
        <w:r>
          <w:rPr>
            <w:noProof/>
            <w:webHidden/>
          </w:rPr>
          <w:tab/>
        </w:r>
        <w:r>
          <w:rPr>
            <w:noProof/>
            <w:webHidden/>
          </w:rPr>
          <w:fldChar w:fldCharType="begin"/>
        </w:r>
        <w:r>
          <w:rPr>
            <w:noProof/>
            <w:webHidden/>
          </w:rPr>
          <w:instrText xml:space="preserve"> PAGEREF _Toc207707467 \h </w:instrText>
        </w:r>
        <w:r>
          <w:rPr>
            <w:noProof/>
            <w:webHidden/>
          </w:rPr>
        </w:r>
        <w:r>
          <w:rPr>
            <w:noProof/>
            <w:webHidden/>
          </w:rPr>
          <w:fldChar w:fldCharType="separate"/>
        </w:r>
        <w:r>
          <w:rPr>
            <w:noProof/>
            <w:webHidden/>
          </w:rPr>
          <w:t>142</w:t>
        </w:r>
        <w:r>
          <w:rPr>
            <w:noProof/>
            <w:webHidden/>
          </w:rPr>
          <w:fldChar w:fldCharType="end"/>
        </w:r>
      </w:hyperlink>
    </w:p>
    <w:p w14:paraId="36D86593" w14:textId="5AE88E09" w:rsidR="00910987" w:rsidRDefault="00910987">
      <w:pPr>
        <w:pStyle w:val="Sadraj4"/>
        <w:tabs>
          <w:tab w:val="left" w:pos="1540"/>
          <w:tab w:val="right" w:leader="dot" w:pos="14560"/>
        </w:tabs>
        <w:rPr>
          <w:rFonts w:eastAsiaTheme="minorEastAsia"/>
          <w:noProof/>
          <w:kern w:val="2"/>
          <w:sz w:val="24"/>
          <w:szCs w:val="24"/>
          <w14:ligatures w14:val="standardContextual"/>
        </w:rPr>
      </w:pPr>
      <w:hyperlink w:anchor="_Toc207707468" w:history="1">
        <w:r w:rsidRPr="000B56B1">
          <w:rPr>
            <w:rStyle w:val="Hiperveza"/>
            <w:rFonts w:eastAsia="Calibri"/>
            <w:noProof/>
          </w:rPr>
          <w:t>3.3.2.4.</w:t>
        </w:r>
        <w:r>
          <w:rPr>
            <w:rFonts w:eastAsiaTheme="minorEastAsia"/>
            <w:noProof/>
            <w:kern w:val="2"/>
            <w:sz w:val="24"/>
            <w:szCs w:val="24"/>
            <w14:ligatures w14:val="standardContextual"/>
          </w:rPr>
          <w:tab/>
        </w:r>
        <w:r w:rsidRPr="000B56B1">
          <w:rPr>
            <w:rStyle w:val="Hiperveza"/>
            <w:rFonts w:eastAsia="Calibri"/>
            <w:noProof/>
          </w:rPr>
          <w:t>GLAVA: (020 05) USTANOVA PREDŠKOLSKOG ODGOJA</w:t>
        </w:r>
        <w:r>
          <w:rPr>
            <w:noProof/>
            <w:webHidden/>
          </w:rPr>
          <w:tab/>
        </w:r>
        <w:r>
          <w:rPr>
            <w:noProof/>
            <w:webHidden/>
          </w:rPr>
          <w:fldChar w:fldCharType="begin"/>
        </w:r>
        <w:r>
          <w:rPr>
            <w:noProof/>
            <w:webHidden/>
          </w:rPr>
          <w:instrText xml:space="preserve"> PAGEREF _Toc207707468 \h </w:instrText>
        </w:r>
        <w:r>
          <w:rPr>
            <w:noProof/>
            <w:webHidden/>
          </w:rPr>
        </w:r>
        <w:r>
          <w:rPr>
            <w:noProof/>
            <w:webHidden/>
          </w:rPr>
          <w:fldChar w:fldCharType="separate"/>
        </w:r>
        <w:r>
          <w:rPr>
            <w:noProof/>
            <w:webHidden/>
          </w:rPr>
          <w:t>142</w:t>
        </w:r>
        <w:r>
          <w:rPr>
            <w:noProof/>
            <w:webHidden/>
          </w:rPr>
          <w:fldChar w:fldCharType="end"/>
        </w:r>
      </w:hyperlink>
    </w:p>
    <w:p w14:paraId="26BD9B89" w14:textId="0E5B874C" w:rsidR="00910987" w:rsidRDefault="00910987">
      <w:pPr>
        <w:pStyle w:val="Sadraj3"/>
        <w:tabs>
          <w:tab w:val="right" w:leader="dot" w:pos="14560"/>
        </w:tabs>
        <w:rPr>
          <w:rFonts w:eastAsiaTheme="minorEastAsia"/>
          <w:i w:val="0"/>
          <w:iCs w:val="0"/>
          <w:noProof/>
          <w:kern w:val="2"/>
          <w:sz w:val="24"/>
          <w:szCs w:val="24"/>
          <w14:ligatures w14:val="standardContextual"/>
        </w:rPr>
      </w:pPr>
      <w:hyperlink w:anchor="_Toc207707469" w:history="1">
        <w:r w:rsidRPr="000B56B1">
          <w:rPr>
            <w:rStyle w:val="Hiperveza"/>
            <w:rFonts w:eastAsia="Calibri"/>
            <w:noProof/>
          </w:rPr>
          <w:t>Program (2051): Odgoj, naobrazba i skrb o predškolskoj djeci</w:t>
        </w:r>
        <w:r>
          <w:rPr>
            <w:noProof/>
            <w:webHidden/>
          </w:rPr>
          <w:tab/>
        </w:r>
        <w:r>
          <w:rPr>
            <w:noProof/>
            <w:webHidden/>
          </w:rPr>
          <w:fldChar w:fldCharType="begin"/>
        </w:r>
        <w:r>
          <w:rPr>
            <w:noProof/>
            <w:webHidden/>
          </w:rPr>
          <w:instrText xml:space="preserve"> PAGEREF _Toc207707469 \h </w:instrText>
        </w:r>
        <w:r>
          <w:rPr>
            <w:noProof/>
            <w:webHidden/>
          </w:rPr>
        </w:r>
        <w:r>
          <w:rPr>
            <w:noProof/>
            <w:webHidden/>
          </w:rPr>
          <w:fldChar w:fldCharType="separate"/>
        </w:r>
        <w:r>
          <w:rPr>
            <w:noProof/>
            <w:webHidden/>
          </w:rPr>
          <w:t>142</w:t>
        </w:r>
        <w:r>
          <w:rPr>
            <w:noProof/>
            <w:webHidden/>
          </w:rPr>
          <w:fldChar w:fldCharType="end"/>
        </w:r>
      </w:hyperlink>
    </w:p>
    <w:p w14:paraId="53049628" w14:textId="1607CB95"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70" w:history="1">
        <w:r w:rsidRPr="000B56B1">
          <w:rPr>
            <w:rStyle w:val="Hiperveza"/>
            <w:rFonts w:eastAsia="Calibri"/>
            <w:noProof/>
          </w:rPr>
          <w:t>3.3.3.</w:t>
        </w:r>
        <w:r>
          <w:rPr>
            <w:rFonts w:eastAsiaTheme="minorEastAsia"/>
            <w:i w:val="0"/>
            <w:iCs w:val="0"/>
            <w:noProof/>
            <w:kern w:val="2"/>
            <w:sz w:val="24"/>
            <w:szCs w:val="24"/>
            <w14:ligatures w14:val="standardContextual"/>
          </w:rPr>
          <w:tab/>
        </w:r>
        <w:r w:rsidRPr="000B56B1">
          <w:rPr>
            <w:rStyle w:val="Hiperveza"/>
            <w:rFonts w:eastAsia="Calibri"/>
            <w:noProof/>
          </w:rPr>
          <w:t>RAZDJEL: (030) UPRAVNI ODJEL ZA KOMUNALNI SUSTAV I GOSPODARENJE NEKRETNINAMA</w:t>
        </w:r>
        <w:r>
          <w:rPr>
            <w:noProof/>
            <w:webHidden/>
          </w:rPr>
          <w:tab/>
        </w:r>
        <w:r>
          <w:rPr>
            <w:noProof/>
            <w:webHidden/>
          </w:rPr>
          <w:fldChar w:fldCharType="begin"/>
        </w:r>
        <w:r>
          <w:rPr>
            <w:noProof/>
            <w:webHidden/>
          </w:rPr>
          <w:instrText xml:space="preserve"> PAGEREF _Toc207707470 \h </w:instrText>
        </w:r>
        <w:r>
          <w:rPr>
            <w:noProof/>
            <w:webHidden/>
          </w:rPr>
        </w:r>
        <w:r>
          <w:rPr>
            <w:noProof/>
            <w:webHidden/>
          </w:rPr>
          <w:fldChar w:fldCharType="separate"/>
        </w:r>
        <w:r>
          <w:rPr>
            <w:noProof/>
            <w:webHidden/>
          </w:rPr>
          <w:t>143</w:t>
        </w:r>
        <w:r>
          <w:rPr>
            <w:noProof/>
            <w:webHidden/>
          </w:rPr>
          <w:fldChar w:fldCharType="end"/>
        </w:r>
      </w:hyperlink>
    </w:p>
    <w:p w14:paraId="72016FFE" w14:textId="2EF2D6CE" w:rsidR="00910987" w:rsidRDefault="00910987">
      <w:pPr>
        <w:pStyle w:val="Sadraj4"/>
        <w:tabs>
          <w:tab w:val="left" w:pos="1540"/>
          <w:tab w:val="right" w:leader="dot" w:pos="14560"/>
        </w:tabs>
        <w:rPr>
          <w:rFonts w:eastAsiaTheme="minorEastAsia"/>
          <w:noProof/>
          <w:kern w:val="2"/>
          <w:sz w:val="24"/>
          <w:szCs w:val="24"/>
          <w14:ligatures w14:val="standardContextual"/>
        </w:rPr>
      </w:pPr>
      <w:hyperlink w:anchor="_Toc207707471" w:history="1">
        <w:r w:rsidRPr="000B56B1">
          <w:rPr>
            <w:rStyle w:val="Hiperveza"/>
            <w:rFonts w:eastAsia="Calibri"/>
            <w:noProof/>
          </w:rPr>
          <w:t>3.3.3.2.</w:t>
        </w:r>
        <w:r>
          <w:rPr>
            <w:rFonts w:eastAsiaTheme="minorEastAsia"/>
            <w:noProof/>
            <w:kern w:val="2"/>
            <w:sz w:val="24"/>
            <w:szCs w:val="24"/>
            <w14:ligatures w14:val="standardContextual"/>
          </w:rPr>
          <w:tab/>
        </w:r>
        <w:r w:rsidRPr="000B56B1">
          <w:rPr>
            <w:rStyle w:val="Hiperveza"/>
            <w:rFonts w:eastAsia="Calibri"/>
            <w:noProof/>
          </w:rPr>
          <w:t>GLAVA: (030 02) USTANOVA ZA VATROGASNU DJELATNOST</w:t>
        </w:r>
        <w:r>
          <w:rPr>
            <w:noProof/>
            <w:webHidden/>
          </w:rPr>
          <w:tab/>
        </w:r>
        <w:r>
          <w:rPr>
            <w:noProof/>
            <w:webHidden/>
          </w:rPr>
          <w:fldChar w:fldCharType="begin"/>
        </w:r>
        <w:r>
          <w:rPr>
            <w:noProof/>
            <w:webHidden/>
          </w:rPr>
          <w:instrText xml:space="preserve"> PAGEREF _Toc207707471 \h </w:instrText>
        </w:r>
        <w:r>
          <w:rPr>
            <w:noProof/>
            <w:webHidden/>
          </w:rPr>
        </w:r>
        <w:r>
          <w:rPr>
            <w:noProof/>
            <w:webHidden/>
          </w:rPr>
          <w:fldChar w:fldCharType="separate"/>
        </w:r>
        <w:r>
          <w:rPr>
            <w:noProof/>
            <w:webHidden/>
          </w:rPr>
          <w:t>147</w:t>
        </w:r>
        <w:r>
          <w:rPr>
            <w:noProof/>
            <w:webHidden/>
          </w:rPr>
          <w:fldChar w:fldCharType="end"/>
        </w:r>
      </w:hyperlink>
    </w:p>
    <w:p w14:paraId="3C325FF4" w14:textId="44AD6BC8" w:rsidR="00910987" w:rsidRDefault="00910987">
      <w:pPr>
        <w:pStyle w:val="Sadraj3"/>
        <w:tabs>
          <w:tab w:val="right" w:leader="dot" w:pos="14560"/>
        </w:tabs>
        <w:rPr>
          <w:rFonts w:eastAsiaTheme="minorEastAsia"/>
          <w:i w:val="0"/>
          <w:iCs w:val="0"/>
          <w:noProof/>
          <w:kern w:val="2"/>
          <w:sz w:val="24"/>
          <w:szCs w:val="24"/>
          <w14:ligatures w14:val="standardContextual"/>
        </w:rPr>
      </w:pPr>
      <w:hyperlink w:anchor="_Toc207707472" w:history="1">
        <w:r w:rsidRPr="000B56B1">
          <w:rPr>
            <w:rStyle w:val="Hiperveza"/>
            <w:rFonts w:eastAsia="Calibri"/>
            <w:noProof/>
          </w:rPr>
          <w:t>Program (2071): Redovna djelatnost javne vatrogasne postrojbe</w:t>
        </w:r>
        <w:r>
          <w:rPr>
            <w:noProof/>
            <w:webHidden/>
          </w:rPr>
          <w:tab/>
        </w:r>
        <w:r>
          <w:rPr>
            <w:noProof/>
            <w:webHidden/>
          </w:rPr>
          <w:fldChar w:fldCharType="begin"/>
        </w:r>
        <w:r>
          <w:rPr>
            <w:noProof/>
            <w:webHidden/>
          </w:rPr>
          <w:instrText xml:space="preserve"> PAGEREF _Toc207707472 \h </w:instrText>
        </w:r>
        <w:r>
          <w:rPr>
            <w:noProof/>
            <w:webHidden/>
          </w:rPr>
        </w:r>
        <w:r>
          <w:rPr>
            <w:noProof/>
            <w:webHidden/>
          </w:rPr>
          <w:fldChar w:fldCharType="separate"/>
        </w:r>
        <w:r>
          <w:rPr>
            <w:noProof/>
            <w:webHidden/>
          </w:rPr>
          <w:t>147</w:t>
        </w:r>
        <w:r>
          <w:rPr>
            <w:noProof/>
            <w:webHidden/>
          </w:rPr>
          <w:fldChar w:fldCharType="end"/>
        </w:r>
      </w:hyperlink>
    </w:p>
    <w:p w14:paraId="7397F711" w14:textId="1C13BD0E"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73" w:history="1">
        <w:r w:rsidRPr="000B56B1">
          <w:rPr>
            <w:rStyle w:val="Hiperveza"/>
            <w:rFonts w:eastAsia="Calibri"/>
            <w:noProof/>
          </w:rPr>
          <w:t>3.3.4.</w:t>
        </w:r>
        <w:r>
          <w:rPr>
            <w:rFonts w:eastAsiaTheme="minorEastAsia"/>
            <w:i w:val="0"/>
            <w:iCs w:val="0"/>
            <w:noProof/>
            <w:kern w:val="2"/>
            <w:sz w:val="24"/>
            <w:szCs w:val="24"/>
            <w14:ligatures w14:val="standardContextual"/>
          </w:rPr>
          <w:tab/>
        </w:r>
        <w:r w:rsidRPr="000B56B1">
          <w:rPr>
            <w:rStyle w:val="Hiperveza"/>
            <w:rFonts w:eastAsia="Calibri"/>
            <w:noProof/>
          </w:rPr>
          <w:t>RAZDJEL: (040) UPRAVNI ODJEL ZA RURALNI RAZVOJ, GOSPODARSTVO I EU FONDOVE</w:t>
        </w:r>
        <w:r>
          <w:rPr>
            <w:noProof/>
            <w:webHidden/>
          </w:rPr>
          <w:tab/>
        </w:r>
        <w:r>
          <w:rPr>
            <w:noProof/>
            <w:webHidden/>
          </w:rPr>
          <w:fldChar w:fldCharType="begin"/>
        </w:r>
        <w:r>
          <w:rPr>
            <w:noProof/>
            <w:webHidden/>
          </w:rPr>
          <w:instrText xml:space="preserve"> PAGEREF _Toc207707473 \h </w:instrText>
        </w:r>
        <w:r>
          <w:rPr>
            <w:noProof/>
            <w:webHidden/>
          </w:rPr>
        </w:r>
        <w:r>
          <w:rPr>
            <w:noProof/>
            <w:webHidden/>
          </w:rPr>
          <w:fldChar w:fldCharType="separate"/>
        </w:r>
        <w:r>
          <w:rPr>
            <w:noProof/>
            <w:webHidden/>
          </w:rPr>
          <w:t>148</w:t>
        </w:r>
        <w:r>
          <w:rPr>
            <w:noProof/>
            <w:webHidden/>
          </w:rPr>
          <w:fldChar w:fldCharType="end"/>
        </w:r>
      </w:hyperlink>
    </w:p>
    <w:p w14:paraId="27EE48CE" w14:textId="457F0834"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74" w:history="1">
        <w:r w:rsidRPr="000B56B1">
          <w:rPr>
            <w:rStyle w:val="Hiperveza"/>
            <w:rFonts w:eastAsia="Calibri"/>
            <w:noProof/>
          </w:rPr>
          <w:t>3.3.5.</w:t>
        </w:r>
        <w:r>
          <w:rPr>
            <w:rFonts w:eastAsiaTheme="minorEastAsia"/>
            <w:i w:val="0"/>
            <w:iCs w:val="0"/>
            <w:noProof/>
            <w:kern w:val="2"/>
            <w:sz w:val="24"/>
            <w:szCs w:val="24"/>
            <w14:ligatures w14:val="standardContextual"/>
          </w:rPr>
          <w:tab/>
        </w:r>
        <w:r w:rsidRPr="000B56B1">
          <w:rPr>
            <w:rStyle w:val="Hiperveza"/>
            <w:rFonts w:eastAsia="Calibri"/>
            <w:noProof/>
          </w:rPr>
          <w:t>RAZDJEL: (050) UPRAVNI ODJEL ZA PROSTORNO UREĐENJE I ZAŠTITU OKOLIŠA</w:t>
        </w:r>
        <w:r>
          <w:rPr>
            <w:noProof/>
            <w:webHidden/>
          </w:rPr>
          <w:tab/>
        </w:r>
        <w:r>
          <w:rPr>
            <w:noProof/>
            <w:webHidden/>
          </w:rPr>
          <w:fldChar w:fldCharType="begin"/>
        </w:r>
        <w:r>
          <w:rPr>
            <w:noProof/>
            <w:webHidden/>
          </w:rPr>
          <w:instrText xml:space="preserve"> PAGEREF _Toc207707474 \h </w:instrText>
        </w:r>
        <w:r>
          <w:rPr>
            <w:noProof/>
            <w:webHidden/>
          </w:rPr>
        </w:r>
        <w:r>
          <w:rPr>
            <w:noProof/>
            <w:webHidden/>
          </w:rPr>
          <w:fldChar w:fldCharType="separate"/>
        </w:r>
        <w:r>
          <w:rPr>
            <w:noProof/>
            <w:webHidden/>
          </w:rPr>
          <w:t>151</w:t>
        </w:r>
        <w:r>
          <w:rPr>
            <w:noProof/>
            <w:webHidden/>
          </w:rPr>
          <w:fldChar w:fldCharType="end"/>
        </w:r>
      </w:hyperlink>
    </w:p>
    <w:p w14:paraId="7B6BC399" w14:textId="561297AC"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75" w:history="1">
        <w:r w:rsidRPr="000B56B1">
          <w:rPr>
            <w:rStyle w:val="Hiperveza"/>
            <w:rFonts w:eastAsia="Calibri"/>
          </w:rPr>
          <w:t xml:space="preserve">3.4. </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Fonts w:eastAsia="Calibri"/>
          </w:rPr>
          <w:t>POSEBNI DIO PRORAČUNA–IZVRŠENJE FINANCIJSKIH PLANOVA PRORAČUNSKIH KORISNIKA SIJEČANJ –LIPANJ 2025.</w:t>
        </w:r>
        <w:r>
          <w:rPr>
            <w:webHidden/>
          </w:rPr>
          <w:tab/>
        </w:r>
        <w:r>
          <w:rPr>
            <w:webHidden/>
          </w:rPr>
          <w:fldChar w:fldCharType="begin"/>
        </w:r>
        <w:r>
          <w:rPr>
            <w:webHidden/>
          </w:rPr>
          <w:instrText xml:space="preserve"> PAGEREF _Toc207707475 \h </w:instrText>
        </w:r>
        <w:r>
          <w:rPr>
            <w:webHidden/>
          </w:rPr>
        </w:r>
        <w:r>
          <w:rPr>
            <w:webHidden/>
          </w:rPr>
          <w:fldChar w:fldCharType="separate"/>
        </w:r>
        <w:r>
          <w:rPr>
            <w:webHidden/>
          </w:rPr>
          <w:t>152</w:t>
        </w:r>
        <w:r>
          <w:rPr>
            <w:webHidden/>
          </w:rPr>
          <w:fldChar w:fldCharType="end"/>
        </w:r>
      </w:hyperlink>
    </w:p>
    <w:p w14:paraId="703BD0B2" w14:textId="29B8BF0D"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76" w:history="1">
        <w:r w:rsidRPr="000B56B1">
          <w:rPr>
            <w:rStyle w:val="Hiperveza"/>
            <w:rFonts w:ascii="Arial" w:eastAsia="Calibri" w:hAnsi="Arial" w:cs="Arial"/>
            <w:noProof/>
          </w:rPr>
          <w:t>3.4.1.</w:t>
        </w:r>
        <w:r>
          <w:rPr>
            <w:rFonts w:eastAsiaTheme="minorEastAsia"/>
            <w:i w:val="0"/>
            <w:iCs w:val="0"/>
            <w:noProof/>
            <w:kern w:val="2"/>
            <w:sz w:val="24"/>
            <w:szCs w:val="24"/>
            <w14:ligatures w14:val="standardContextual"/>
          </w:rPr>
          <w:tab/>
        </w:r>
        <w:r w:rsidRPr="000B56B1">
          <w:rPr>
            <w:rStyle w:val="Hiperveza"/>
            <w:rFonts w:ascii="Arial" w:eastAsia="Calibri" w:hAnsi="Arial" w:cs="Arial"/>
            <w:noProof/>
          </w:rPr>
          <w:t>GLAVA: (020 03) USTANOVA U KULTURI - MUZEJI I GALERIJE KONAVALA</w:t>
        </w:r>
        <w:r>
          <w:rPr>
            <w:noProof/>
            <w:webHidden/>
          </w:rPr>
          <w:tab/>
        </w:r>
        <w:r>
          <w:rPr>
            <w:noProof/>
            <w:webHidden/>
          </w:rPr>
          <w:fldChar w:fldCharType="begin"/>
        </w:r>
        <w:r>
          <w:rPr>
            <w:noProof/>
            <w:webHidden/>
          </w:rPr>
          <w:instrText xml:space="preserve"> PAGEREF _Toc207707476 \h </w:instrText>
        </w:r>
        <w:r>
          <w:rPr>
            <w:noProof/>
            <w:webHidden/>
          </w:rPr>
        </w:r>
        <w:r>
          <w:rPr>
            <w:noProof/>
            <w:webHidden/>
          </w:rPr>
          <w:fldChar w:fldCharType="separate"/>
        </w:r>
        <w:r>
          <w:rPr>
            <w:noProof/>
            <w:webHidden/>
          </w:rPr>
          <w:t>152</w:t>
        </w:r>
        <w:r>
          <w:rPr>
            <w:noProof/>
            <w:webHidden/>
          </w:rPr>
          <w:fldChar w:fldCharType="end"/>
        </w:r>
      </w:hyperlink>
    </w:p>
    <w:p w14:paraId="41C23047" w14:textId="48BC05EB" w:rsidR="00910987" w:rsidRDefault="00910987">
      <w:pPr>
        <w:pStyle w:val="Sadraj3"/>
        <w:tabs>
          <w:tab w:val="right" w:leader="dot" w:pos="14560"/>
        </w:tabs>
        <w:rPr>
          <w:rFonts w:eastAsiaTheme="minorEastAsia"/>
          <w:i w:val="0"/>
          <w:iCs w:val="0"/>
          <w:noProof/>
          <w:kern w:val="2"/>
          <w:sz w:val="24"/>
          <w:szCs w:val="24"/>
          <w14:ligatures w14:val="standardContextual"/>
        </w:rPr>
      </w:pPr>
      <w:hyperlink w:anchor="_Toc207707477" w:history="1">
        <w:r w:rsidRPr="000B56B1">
          <w:rPr>
            <w:rStyle w:val="Hiperveza"/>
            <w:rFonts w:eastAsia="Calibri"/>
            <w:noProof/>
          </w:rPr>
          <w:t>Program (2031): Javna ustanova u kulturi</w:t>
        </w:r>
        <w:r>
          <w:rPr>
            <w:noProof/>
            <w:webHidden/>
          </w:rPr>
          <w:tab/>
        </w:r>
        <w:r>
          <w:rPr>
            <w:noProof/>
            <w:webHidden/>
          </w:rPr>
          <w:fldChar w:fldCharType="begin"/>
        </w:r>
        <w:r>
          <w:rPr>
            <w:noProof/>
            <w:webHidden/>
          </w:rPr>
          <w:instrText xml:space="preserve"> PAGEREF _Toc207707477 \h </w:instrText>
        </w:r>
        <w:r>
          <w:rPr>
            <w:noProof/>
            <w:webHidden/>
          </w:rPr>
        </w:r>
        <w:r>
          <w:rPr>
            <w:noProof/>
            <w:webHidden/>
          </w:rPr>
          <w:fldChar w:fldCharType="separate"/>
        </w:r>
        <w:r>
          <w:rPr>
            <w:noProof/>
            <w:webHidden/>
          </w:rPr>
          <w:t>152</w:t>
        </w:r>
        <w:r>
          <w:rPr>
            <w:noProof/>
            <w:webHidden/>
          </w:rPr>
          <w:fldChar w:fldCharType="end"/>
        </w:r>
      </w:hyperlink>
    </w:p>
    <w:p w14:paraId="51C2F81F" w14:textId="42D55523"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78" w:history="1">
        <w:r w:rsidRPr="000B56B1">
          <w:rPr>
            <w:rStyle w:val="Hiperveza"/>
            <w:rFonts w:ascii="Arial" w:eastAsia="Calibri" w:hAnsi="Arial" w:cs="Arial"/>
            <w:noProof/>
          </w:rPr>
          <w:t>3.4.2.</w:t>
        </w:r>
        <w:r>
          <w:rPr>
            <w:rFonts w:eastAsiaTheme="minorEastAsia"/>
            <w:i w:val="0"/>
            <w:iCs w:val="0"/>
            <w:noProof/>
            <w:kern w:val="2"/>
            <w:sz w:val="24"/>
            <w:szCs w:val="24"/>
            <w14:ligatures w14:val="standardContextual"/>
          </w:rPr>
          <w:tab/>
        </w:r>
        <w:r w:rsidRPr="000B56B1">
          <w:rPr>
            <w:rStyle w:val="Hiperveza"/>
            <w:rFonts w:ascii="Arial" w:eastAsia="Calibri" w:hAnsi="Arial" w:cs="Arial"/>
            <w:noProof/>
          </w:rPr>
          <w:t>GLAVA: (020 04) USTANOVA SOCIJALNE SKRBI – DOM ZA STARIJE I NEMOĆNE OSOBE KONAVLE</w:t>
        </w:r>
        <w:r>
          <w:rPr>
            <w:noProof/>
            <w:webHidden/>
          </w:rPr>
          <w:tab/>
        </w:r>
        <w:r>
          <w:rPr>
            <w:noProof/>
            <w:webHidden/>
          </w:rPr>
          <w:fldChar w:fldCharType="begin"/>
        </w:r>
        <w:r>
          <w:rPr>
            <w:noProof/>
            <w:webHidden/>
          </w:rPr>
          <w:instrText xml:space="preserve"> PAGEREF _Toc207707478 \h </w:instrText>
        </w:r>
        <w:r>
          <w:rPr>
            <w:noProof/>
            <w:webHidden/>
          </w:rPr>
        </w:r>
        <w:r>
          <w:rPr>
            <w:noProof/>
            <w:webHidden/>
          </w:rPr>
          <w:fldChar w:fldCharType="separate"/>
        </w:r>
        <w:r>
          <w:rPr>
            <w:noProof/>
            <w:webHidden/>
          </w:rPr>
          <w:t>175</w:t>
        </w:r>
        <w:r>
          <w:rPr>
            <w:noProof/>
            <w:webHidden/>
          </w:rPr>
          <w:fldChar w:fldCharType="end"/>
        </w:r>
      </w:hyperlink>
    </w:p>
    <w:p w14:paraId="3FB59F6B" w14:textId="03719AAD" w:rsidR="00910987" w:rsidRDefault="00910987">
      <w:pPr>
        <w:pStyle w:val="Sadraj3"/>
        <w:tabs>
          <w:tab w:val="right" w:leader="dot" w:pos="14560"/>
        </w:tabs>
        <w:rPr>
          <w:rFonts w:eastAsiaTheme="minorEastAsia"/>
          <w:i w:val="0"/>
          <w:iCs w:val="0"/>
          <w:noProof/>
          <w:kern w:val="2"/>
          <w:sz w:val="24"/>
          <w:szCs w:val="24"/>
          <w14:ligatures w14:val="standardContextual"/>
        </w:rPr>
      </w:pPr>
      <w:hyperlink w:anchor="_Toc207707479" w:history="1">
        <w:r w:rsidRPr="000B56B1">
          <w:rPr>
            <w:rStyle w:val="Hiperveza"/>
            <w:rFonts w:eastAsia="Calibri"/>
            <w:noProof/>
          </w:rPr>
          <w:t>Program (2044): Socijalna skrb – Dom za starije i nemoćne osobe Konavle</w:t>
        </w:r>
        <w:r>
          <w:rPr>
            <w:noProof/>
            <w:webHidden/>
          </w:rPr>
          <w:tab/>
        </w:r>
        <w:r>
          <w:rPr>
            <w:noProof/>
            <w:webHidden/>
          </w:rPr>
          <w:fldChar w:fldCharType="begin"/>
        </w:r>
        <w:r>
          <w:rPr>
            <w:noProof/>
            <w:webHidden/>
          </w:rPr>
          <w:instrText xml:space="preserve"> PAGEREF _Toc207707479 \h </w:instrText>
        </w:r>
        <w:r>
          <w:rPr>
            <w:noProof/>
            <w:webHidden/>
          </w:rPr>
        </w:r>
        <w:r>
          <w:rPr>
            <w:noProof/>
            <w:webHidden/>
          </w:rPr>
          <w:fldChar w:fldCharType="separate"/>
        </w:r>
        <w:r>
          <w:rPr>
            <w:noProof/>
            <w:webHidden/>
          </w:rPr>
          <w:t>175</w:t>
        </w:r>
        <w:r>
          <w:rPr>
            <w:noProof/>
            <w:webHidden/>
          </w:rPr>
          <w:fldChar w:fldCharType="end"/>
        </w:r>
      </w:hyperlink>
    </w:p>
    <w:p w14:paraId="35B1A3C3" w14:textId="2E7FF7E9"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80" w:history="1">
        <w:r w:rsidRPr="000B56B1">
          <w:rPr>
            <w:rStyle w:val="Hiperveza"/>
            <w:rFonts w:ascii="Arial" w:eastAsia="Calibri" w:hAnsi="Arial" w:cs="Arial"/>
            <w:noProof/>
          </w:rPr>
          <w:t>3.4.3.</w:t>
        </w:r>
        <w:r>
          <w:rPr>
            <w:rFonts w:eastAsiaTheme="minorEastAsia"/>
            <w:i w:val="0"/>
            <w:iCs w:val="0"/>
            <w:noProof/>
            <w:kern w:val="2"/>
            <w:sz w:val="24"/>
            <w:szCs w:val="24"/>
            <w14:ligatures w14:val="standardContextual"/>
          </w:rPr>
          <w:tab/>
        </w:r>
        <w:r w:rsidRPr="000B56B1">
          <w:rPr>
            <w:rStyle w:val="Hiperveza"/>
            <w:rFonts w:ascii="Arial" w:eastAsia="Calibri" w:hAnsi="Arial" w:cs="Arial"/>
            <w:noProof/>
          </w:rPr>
          <w:t>GLAVA: (020 05) USTANOVA PREDŠKOLSKOG ODGOJA – DJEČJI VRTIĆ KONAVLE</w:t>
        </w:r>
        <w:r>
          <w:rPr>
            <w:noProof/>
            <w:webHidden/>
          </w:rPr>
          <w:tab/>
        </w:r>
        <w:r>
          <w:rPr>
            <w:noProof/>
            <w:webHidden/>
          </w:rPr>
          <w:fldChar w:fldCharType="begin"/>
        </w:r>
        <w:r>
          <w:rPr>
            <w:noProof/>
            <w:webHidden/>
          </w:rPr>
          <w:instrText xml:space="preserve"> PAGEREF _Toc207707480 \h </w:instrText>
        </w:r>
        <w:r>
          <w:rPr>
            <w:noProof/>
            <w:webHidden/>
          </w:rPr>
        </w:r>
        <w:r>
          <w:rPr>
            <w:noProof/>
            <w:webHidden/>
          </w:rPr>
          <w:fldChar w:fldCharType="separate"/>
        </w:r>
        <w:r>
          <w:rPr>
            <w:noProof/>
            <w:webHidden/>
          </w:rPr>
          <w:t>188</w:t>
        </w:r>
        <w:r>
          <w:rPr>
            <w:noProof/>
            <w:webHidden/>
          </w:rPr>
          <w:fldChar w:fldCharType="end"/>
        </w:r>
      </w:hyperlink>
    </w:p>
    <w:p w14:paraId="7AE44C26" w14:textId="54352E72" w:rsidR="00910987" w:rsidRDefault="00910987">
      <w:pPr>
        <w:pStyle w:val="Sadraj3"/>
        <w:tabs>
          <w:tab w:val="right" w:leader="dot" w:pos="14560"/>
        </w:tabs>
        <w:rPr>
          <w:rFonts w:eastAsiaTheme="minorEastAsia"/>
          <w:i w:val="0"/>
          <w:iCs w:val="0"/>
          <w:noProof/>
          <w:kern w:val="2"/>
          <w:sz w:val="24"/>
          <w:szCs w:val="24"/>
          <w14:ligatures w14:val="standardContextual"/>
        </w:rPr>
      </w:pPr>
      <w:hyperlink w:anchor="_Toc207707481" w:history="1">
        <w:r w:rsidRPr="000B56B1">
          <w:rPr>
            <w:rStyle w:val="Hiperveza"/>
            <w:rFonts w:eastAsia="Calibri"/>
            <w:noProof/>
          </w:rPr>
          <w:t>Program (2051): Odgoj, naobrazba i skrb o predškolskoj djeci</w:t>
        </w:r>
        <w:r>
          <w:rPr>
            <w:noProof/>
            <w:webHidden/>
          </w:rPr>
          <w:tab/>
        </w:r>
        <w:r>
          <w:rPr>
            <w:noProof/>
            <w:webHidden/>
          </w:rPr>
          <w:fldChar w:fldCharType="begin"/>
        </w:r>
        <w:r>
          <w:rPr>
            <w:noProof/>
            <w:webHidden/>
          </w:rPr>
          <w:instrText xml:space="preserve"> PAGEREF _Toc207707481 \h </w:instrText>
        </w:r>
        <w:r>
          <w:rPr>
            <w:noProof/>
            <w:webHidden/>
          </w:rPr>
        </w:r>
        <w:r>
          <w:rPr>
            <w:noProof/>
            <w:webHidden/>
          </w:rPr>
          <w:fldChar w:fldCharType="separate"/>
        </w:r>
        <w:r>
          <w:rPr>
            <w:noProof/>
            <w:webHidden/>
          </w:rPr>
          <w:t>188</w:t>
        </w:r>
        <w:r>
          <w:rPr>
            <w:noProof/>
            <w:webHidden/>
          </w:rPr>
          <w:fldChar w:fldCharType="end"/>
        </w:r>
      </w:hyperlink>
    </w:p>
    <w:p w14:paraId="234A459E" w14:textId="1C075F2E"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82" w:history="1">
        <w:r w:rsidRPr="000B56B1">
          <w:rPr>
            <w:rStyle w:val="Hiperveza"/>
            <w:rFonts w:ascii="Arial" w:eastAsia="Calibri" w:hAnsi="Arial" w:cs="Arial"/>
            <w:noProof/>
          </w:rPr>
          <w:t>3.4.4.</w:t>
        </w:r>
        <w:r>
          <w:rPr>
            <w:rFonts w:eastAsiaTheme="minorEastAsia"/>
            <w:i w:val="0"/>
            <w:iCs w:val="0"/>
            <w:noProof/>
            <w:kern w:val="2"/>
            <w:sz w:val="24"/>
            <w:szCs w:val="24"/>
            <w14:ligatures w14:val="standardContextual"/>
          </w:rPr>
          <w:tab/>
        </w:r>
        <w:r w:rsidRPr="000B56B1">
          <w:rPr>
            <w:rStyle w:val="Hiperveza"/>
            <w:rFonts w:ascii="Arial" w:eastAsia="Calibri" w:hAnsi="Arial" w:cs="Arial"/>
            <w:noProof/>
          </w:rPr>
          <w:t>GLAVA: (030 02) USTANOVA ZA VATROGASNU DJELATNOST – JAVNA VATROGASNA POSTROJBA KONAVLE</w:t>
        </w:r>
        <w:r>
          <w:rPr>
            <w:noProof/>
            <w:webHidden/>
          </w:rPr>
          <w:tab/>
        </w:r>
        <w:r>
          <w:rPr>
            <w:noProof/>
            <w:webHidden/>
          </w:rPr>
          <w:fldChar w:fldCharType="begin"/>
        </w:r>
        <w:r>
          <w:rPr>
            <w:noProof/>
            <w:webHidden/>
          </w:rPr>
          <w:instrText xml:space="preserve"> PAGEREF _Toc207707482 \h </w:instrText>
        </w:r>
        <w:r>
          <w:rPr>
            <w:noProof/>
            <w:webHidden/>
          </w:rPr>
        </w:r>
        <w:r>
          <w:rPr>
            <w:noProof/>
            <w:webHidden/>
          </w:rPr>
          <w:fldChar w:fldCharType="separate"/>
        </w:r>
        <w:r>
          <w:rPr>
            <w:noProof/>
            <w:webHidden/>
          </w:rPr>
          <w:t>202</w:t>
        </w:r>
        <w:r>
          <w:rPr>
            <w:noProof/>
            <w:webHidden/>
          </w:rPr>
          <w:fldChar w:fldCharType="end"/>
        </w:r>
      </w:hyperlink>
    </w:p>
    <w:p w14:paraId="735D82F4" w14:textId="307D71C7" w:rsidR="00910987" w:rsidRDefault="00910987">
      <w:pPr>
        <w:pStyle w:val="Sadraj3"/>
        <w:tabs>
          <w:tab w:val="right" w:leader="dot" w:pos="14560"/>
        </w:tabs>
        <w:rPr>
          <w:rFonts w:eastAsiaTheme="minorEastAsia"/>
          <w:i w:val="0"/>
          <w:iCs w:val="0"/>
          <w:noProof/>
          <w:kern w:val="2"/>
          <w:sz w:val="24"/>
          <w:szCs w:val="24"/>
          <w14:ligatures w14:val="standardContextual"/>
        </w:rPr>
      </w:pPr>
      <w:hyperlink w:anchor="_Toc207707483" w:history="1">
        <w:r w:rsidRPr="000B56B1">
          <w:rPr>
            <w:rStyle w:val="Hiperveza"/>
            <w:rFonts w:eastAsia="Calibri"/>
            <w:noProof/>
          </w:rPr>
          <w:t>Program (2071): Redovna djelatnost javne vatrogasne postrojbe</w:t>
        </w:r>
        <w:r>
          <w:rPr>
            <w:noProof/>
            <w:webHidden/>
          </w:rPr>
          <w:tab/>
        </w:r>
        <w:r>
          <w:rPr>
            <w:noProof/>
            <w:webHidden/>
          </w:rPr>
          <w:fldChar w:fldCharType="begin"/>
        </w:r>
        <w:r>
          <w:rPr>
            <w:noProof/>
            <w:webHidden/>
          </w:rPr>
          <w:instrText xml:space="preserve"> PAGEREF _Toc207707483 \h </w:instrText>
        </w:r>
        <w:r>
          <w:rPr>
            <w:noProof/>
            <w:webHidden/>
          </w:rPr>
        </w:r>
        <w:r>
          <w:rPr>
            <w:noProof/>
            <w:webHidden/>
          </w:rPr>
          <w:fldChar w:fldCharType="separate"/>
        </w:r>
        <w:r>
          <w:rPr>
            <w:noProof/>
            <w:webHidden/>
          </w:rPr>
          <w:t>202</w:t>
        </w:r>
        <w:r>
          <w:rPr>
            <w:noProof/>
            <w:webHidden/>
          </w:rPr>
          <w:fldChar w:fldCharType="end"/>
        </w:r>
      </w:hyperlink>
    </w:p>
    <w:p w14:paraId="6575D28F" w14:textId="4DC8963B" w:rsidR="00910987" w:rsidRDefault="00910987">
      <w:pPr>
        <w:pStyle w:val="Sadraj1"/>
        <w:rPr>
          <w:rFonts w:asciiTheme="minorHAnsi" w:eastAsiaTheme="minorEastAsia" w:hAnsiTheme="minorHAnsi" w:cstheme="minorBidi"/>
          <w:b w:val="0"/>
          <w:bCs w:val="0"/>
          <w:caps w:val="0"/>
          <w:kern w:val="2"/>
          <w:sz w:val="24"/>
          <w:szCs w:val="24"/>
          <w14:ligatures w14:val="standardContextual"/>
        </w:rPr>
      </w:pPr>
      <w:hyperlink w:anchor="_Toc207707484" w:history="1">
        <w:r w:rsidRPr="000B56B1">
          <w:rPr>
            <w:rStyle w:val="Hiperveza"/>
          </w:rPr>
          <w:t>4. POSEBNI IZVJEŠTAJI U IZVJEŠTAJU O IZVRŠENJU PRORAČUNA</w:t>
        </w:r>
        <w:r>
          <w:rPr>
            <w:webHidden/>
          </w:rPr>
          <w:tab/>
        </w:r>
        <w:r>
          <w:rPr>
            <w:webHidden/>
          </w:rPr>
          <w:fldChar w:fldCharType="begin"/>
        </w:r>
        <w:r>
          <w:rPr>
            <w:webHidden/>
          </w:rPr>
          <w:instrText xml:space="preserve"> PAGEREF _Toc207707484 \h </w:instrText>
        </w:r>
        <w:r>
          <w:rPr>
            <w:webHidden/>
          </w:rPr>
        </w:r>
        <w:r>
          <w:rPr>
            <w:webHidden/>
          </w:rPr>
          <w:fldChar w:fldCharType="separate"/>
        </w:r>
        <w:r>
          <w:rPr>
            <w:webHidden/>
          </w:rPr>
          <w:t>214</w:t>
        </w:r>
        <w:r>
          <w:rPr>
            <w:webHidden/>
          </w:rPr>
          <w:fldChar w:fldCharType="end"/>
        </w:r>
      </w:hyperlink>
    </w:p>
    <w:p w14:paraId="741BA4F8" w14:textId="3BA8B70E"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85" w:history="1">
        <w:r w:rsidRPr="000B56B1">
          <w:rPr>
            <w:rStyle w:val="Hiperveza"/>
            <w:rFonts w:eastAsia="Calibri"/>
          </w:rPr>
          <w:t xml:space="preserve">4.1. </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Fonts w:eastAsia="Calibri"/>
          </w:rPr>
          <w:t>IZVJEŠTAJ O KORIŠTENJU PRORAČUNSKE ZALIHE</w:t>
        </w:r>
        <w:r>
          <w:rPr>
            <w:webHidden/>
          </w:rPr>
          <w:tab/>
        </w:r>
        <w:r>
          <w:rPr>
            <w:webHidden/>
          </w:rPr>
          <w:fldChar w:fldCharType="begin"/>
        </w:r>
        <w:r>
          <w:rPr>
            <w:webHidden/>
          </w:rPr>
          <w:instrText xml:space="preserve"> PAGEREF _Toc207707485 \h </w:instrText>
        </w:r>
        <w:r>
          <w:rPr>
            <w:webHidden/>
          </w:rPr>
        </w:r>
        <w:r>
          <w:rPr>
            <w:webHidden/>
          </w:rPr>
          <w:fldChar w:fldCharType="separate"/>
        </w:r>
        <w:r>
          <w:rPr>
            <w:webHidden/>
          </w:rPr>
          <w:t>214</w:t>
        </w:r>
        <w:r>
          <w:rPr>
            <w:webHidden/>
          </w:rPr>
          <w:fldChar w:fldCharType="end"/>
        </w:r>
      </w:hyperlink>
    </w:p>
    <w:p w14:paraId="6394A2F2" w14:textId="139C171F"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86" w:history="1">
        <w:r w:rsidRPr="000B56B1">
          <w:rPr>
            <w:rStyle w:val="Hiperveza"/>
          </w:rPr>
          <w:t>4.2.</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IZVJEŠTAJ O ZADUŽIVANJU NA DOMAĆEM I STRANOM TRŽIŠTU NOVCA I KAPITALA</w:t>
        </w:r>
        <w:r>
          <w:rPr>
            <w:webHidden/>
          </w:rPr>
          <w:tab/>
        </w:r>
        <w:r>
          <w:rPr>
            <w:webHidden/>
          </w:rPr>
          <w:fldChar w:fldCharType="begin"/>
        </w:r>
        <w:r>
          <w:rPr>
            <w:webHidden/>
          </w:rPr>
          <w:instrText xml:space="preserve"> PAGEREF _Toc207707486 \h </w:instrText>
        </w:r>
        <w:r>
          <w:rPr>
            <w:webHidden/>
          </w:rPr>
        </w:r>
        <w:r>
          <w:rPr>
            <w:webHidden/>
          </w:rPr>
          <w:fldChar w:fldCharType="separate"/>
        </w:r>
        <w:r>
          <w:rPr>
            <w:webHidden/>
          </w:rPr>
          <w:t>215</w:t>
        </w:r>
        <w:r>
          <w:rPr>
            <w:webHidden/>
          </w:rPr>
          <w:fldChar w:fldCharType="end"/>
        </w:r>
      </w:hyperlink>
    </w:p>
    <w:p w14:paraId="583C0AA2" w14:textId="51F4C9F7"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87" w:history="1">
        <w:r w:rsidRPr="000B56B1">
          <w:rPr>
            <w:rStyle w:val="Hiperveza"/>
            <w:rFonts w:ascii="Arial" w:hAnsi="Arial" w:cs="Arial"/>
            <w:noProof/>
          </w:rPr>
          <w:t>4.2.1.</w:t>
        </w:r>
        <w:r>
          <w:rPr>
            <w:rFonts w:eastAsiaTheme="minorEastAsia"/>
            <w:i w:val="0"/>
            <w:iCs w:val="0"/>
            <w:noProof/>
            <w:kern w:val="2"/>
            <w:sz w:val="24"/>
            <w:szCs w:val="24"/>
            <w14:ligatures w14:val="standardContextual"/>
          </w:rPr>
          <w:tab/>
        </w:r>
        <w:r w:rsidRPr="000B56B1">
          <w:rPr>
            <w:rStyle w:val="Hiperveza"/>
            <w:rFonts w:ascii="Arial" w:hAnsi="Arial" w:cs="Arial"/>
            <w:noProof/>
          </w:rPr>
          <w:t>PREGLED PRIMLJENIH KREDITA I OBVEZA PO KREDITIMA - OPĆINA</w:t>
        </w:r>
        <w:r>
          <w:rPr>
            <w:noProof/>
            <w:webHidden/>
          </w:rPr>
          <w:tab/>
        </w:r>
        <w:r>
          <w:rPr>
            <w:noProof/>
            <w:webHidden/>
          </w:rPr>
          <w:fldChar w:fldCharType="begin"/>
        </w:r>
        <w:r>
          <w:rPr>
            <w:noProof/>
            <w:webHidden/>
          </w:rPr>
          <w:instrText xml:space="preserve"> PAGEREF _Toc207707487 \h </w:instrText>
        </w:r>
        <w:r>
          <w:rPr>
            <w:noProof/>
            <w:webHidden/>
          </w:rPr>
        </w:r>
        <w:r>
          <w:rPr>
            <w:noProof/>
            <w:webHidden/>
          </w:rPr>
          <w:fldChar w:fldCharType="separate"/>
        </w:r>
        <w:r>
          <w:rPr>
            <w:noProof/>
            <w:webHidden/>
          </w:rPr>
          <w:t>215</w:t>
        </w:r>
        <w:r>
          <w:rPr>
            <w:noProof/>
            <w:webHidden/>
          </w:rPr>
          <w:fldChar w:fldCharType="end"/>
        </w:r>
      </w:hyperlink>
    </w:p>
    <w:p w14:paraId="1270D833" w14:textId="6D373A9A" w:rsidR="00910987" w:rsidRDefault="00910987">
      <w:pPr>
        <w:pStyle w:val="Sadraj4"/>
        <w:tabs>
          <w:tab w:val="left" w:pos="1540"/>
          <w:tab w:val="right" w:leader="dot" w:pos="14560"/>
        </w:tabs>
        <w:rPr>
          <w:rFonts w:eastAsiaTheme="minorEastAsia"/>
          <w:noProof/>
          <w:kern w:val="2"/>
          <w:sz w:val="24"/>
          <w:szCs w:val="24"/>
          <w14:ligatures w14:val="standardContextual"/>
        </w:rPr>
      </w:pPr>
      <w:hyperlink w:anchor="_Toc207707488" w:history="1">
        <w:r w:rsidRPr="000B56B1">
          <w:rPr>
            <w:rStyle w:val="Hiperveza"/>
            <w:rFonts w:eastAsia="Calibri"/>
            <w:noProof/>
          </w:rPr>
          <w:t>4.2.1.1.</w:t>
        </w:r>
        <w:r>
          <w:rPr>
            <w:rFonts w:eastAsiaTheme="minorEastAsia"/>
            <w:noProof/>
            <w:kern w:val="2"/>
            <w:sz w:val="24"/>
            <w:szCs w:val="24"/>
            <w14:ligatures w14:val="standardContextual"/>
          </w:rPr>
          <w:tab/>
        </w:r>
        <w:r w:rsidRPr="000B56B1">
          <w:rPr>
            <w:rStyle w:val="Hiperveza"/>
            <w:rFonts w:eastAsia="Calibri"/>
            <w:noProof/>
          </w:rPr>
          <w:t>PREGLED PRIMLJENIH KREDITA / ZAJMOVA I OBVEZA PO KREDITIMA / ZAJMOVIMA OD FINANCIJSKIH INSTITUCIJA</w:t>
        </w:r>
        <w:r>
          <w:rPr>
            <w:noProof/>
            <w:webHidden/>
          </w:rPr>
          <w:tab/>
        </w:r>
        <w:r>
          <w:rPr>
            <w:noProof/>
            <w:webHidden/>
          </w:rPr>
          <w:fldChar w:fldCharType="begin"/>
        </w:r>
        <w:r>
          <w:rPr>
            <w:noProof/>
            <w:webHidden/>
          </w:rPr>
          <w:instrText xml:space="preserve"> PAGEREF _Toc207707488 \h </w:instrText>
        </w:r>
        <w:r>
          <w:rPr>
            <w:noProof/>
            <w:webHidden/>
          </w:rPr>
        </w:r>
        <w:r>
          <w:rPr>
            <w:noProof/>
            <w:webHidden/>
          </w:rPr>
          <w:fldChar w:fldCharType="separate"/>
        </w:r>
        <w:r>
          <w:rPr>
            <w:noProof/>
            <w:webHidden/>
          </w:rPr>
          <w:t>215</w:t>
        </w:r>
        <w:r>
          <w:rPr>
            <w:noProof/>
            <w:webHidden/>
          </w:rPr>
          <w:fldChar w:fldCharType="end"/>
        </w:r>
      </w:hyperlink>
    </w:p>
    <w:p w14:paraId="0E22CCDC" w14:textId="1E0994EB" w:rsidR="00910987" w:rsidRDefault="00910987">
      <w:pPr>
        <w:pStyle w:val="Sadraj4"/>
        <w:tabs>
          <w:tab w:val="left" w:pos="1540"/>
          <w:tab w:val="right" w:leader="dot" w:pos="14560"/>
        </w:tabs>
        <w:rPr>
          <w:rFonts w:eastAsiaTheme="minorEastAsia"/>
          <w:noProof/>
          <w:kern w:val="2"/>
          <w:sz w:val="24"/>
          <w:szCs w:val="24"/>
          <w14:ligatures w14:val="standardContextual"/>
        </w:rPr>
      </w:pPr>
      <w:hyperlink w:anchor="_Toc207707489" w:history="1">
        <w:r w:rsidRPr="000B56B1">
          <w:rPr>
            <w:rStyle w:val="Hiperveza"/>
            <w:rFonts w:eastAsia="Calibri"/>
            <w:noProof/>
          </w:rPr>
          <w:t>4.2.1.2.</w:t>
        </w:r>
        <w:r>
          <w:rPr>
            <w:rFonts w:eastAsiaTheme="minorEastAsia"/>
            <w:noProof/>
            <w:kern w:val="2"/>
            <w:sz w:val="24"/>
            <w:szCs w:val="24"/>
            <w14:ligatures w14:val="standardContextual"/>
          </w:rPr>
          <w:tab/>
        </w:r>
        <w:r w:rsidRPr="000B56B1">
          <w:rPr>
            <w:rStyle w:val="Hiperveza"/>
            <w:rFonts w:eastAsia="Calibri"/>
            <w:noProof/>
          </w:rPr>
          <w:t>PREGLED PRIMLJENIH KREDITA I OBVEZA PO BESKAMATNIM ZAJMOVIMA IZ DRŽAVNOG PRORAČUNA</w:t>
        </w:r>
        <w:r>
          <w:rPr>
            <w:noProof/>
            <w:webHidden/>
          </w:rPr>
          <w:tab/>
        </w:r>
        <w:r>
          <w:rPr>
            <w:noProof/>
            <w:webHidden/>
          </w:rPr>
          <w:fldChar w:fldCharType="begin"/>
        </w:r>
        <w:r>
          <w:rPr>
            <w:noProof/>
            <w:webHidden/>
          </w:rPr>
          <w:instrText xml:space="preserve"> PAGEREF _Toc207707489 \h </w:instrText>
        </w:r>
        <w:r>
          <w:rPr>
            <w:noProof/>
            <w:webHidden/>
          </w:rPr>
        </w:r>
        <w:r>
          <w:rPr>
            <w:noProof/>
            <w:webHidden/>
          </w:rPr>
          <w:fldChar w:fldCharType="separate"/>
        </w:r>
        <w:r>
          <w:rPr>
            <w:noProof/>
            <w:webHidden/>
          </w:rPr>
          <w:t>223</w:t>
        </w:r>
        <w:r>
          <w:rPr>
            <w:noProof/>
            <w:webHidden/>
          </w:rPr>
          <w:fldChar w:fldCharType="end"/>
        </w:r>
      </w:hyperlink>
    </w:p>
    <w:p w14:paraId="6819CD77" w14:textId="2BE6CED5"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90" w:history="1">
        <w:r w:rsidRPr="000B56B1">
          <w:rPr>
            <w:rStyle w:val="Hiperveza"/>
            <w:rFonts w:ascii="Arial" w:hAnsi="Arial" w:cs="Arial"/>
            <w:noProof/>
          </w:rPr>
          <w:t>4.2.2.</w:t>
        </w:r>
        <w:r>
          <w:rPr>
            <w:rFonts w:eastAsiaTheme="minorEastAsia"/>
            <w:i w:val="0"/>
            <w:iCs w:val="0"/>
            <w:noProof/>
            <w:kern w:val="2"/>
            <w:sz w:val="24"/>
            <w:szCs w:val="24"/>
            <w14:ligatures w14:val="standardContextual"/>
          </w:rPr>
          <w:tab/>
        </w:r>
        <w:r w:rsidRPr="000B56B1">
          <w:rPr>
            <w:rStyle w:val="Hiperveza"/>
            <w:rFonts w:ascii="Arial" w:hAnsi="Arial" w:cs="Arial"/>
            <w:noProof/>
          </w:rPr>
          <w:t>PREGLED PRIMLJENIH KREDITA I OBVEZA PO KREDITIMA – PRORAČUNSKI KORISNICI</w:t>
        </w:r>
        <w:r>
          <w:rPr>
            <w:noProof/>
            <w:webHidden/>
          </w:rPr>
          <w:tab/>
        </w:r>
        <w:r>
          <w:rPr>
            <w:noProof/>
            <w:webHidden/>
          </w:rPr>
          <w:fldChar w:fldCharType="begin"/>
        </w:r>
        <w:r>
          <w:rPr>
            <w:noProof/>
            <w:webHidden/>
          </w:rPr>
          <w:instrText xml:space="preserve"> PAGEREF _Toc207707490 \h </w:instrText>
        </w:r>
        <w:r>
          <w:rPr>
            <w:noProof/>
            <w:webHidden/>
          </w:rPr>
        </w:r>
        <w:r>
          <w:rPr>
            <w:noProof/>
            <w:webHidden/>
          </w:rPr>
          <w:fldChar w:fldCharType="separate"/>
        </w:r>
        <w:r>
          <w:rPr>
            <w:noProof/>
            <w:webHidden/>
          </w:rPr>
          <w:t>225</w:t>
        </w:r>
        <w:r>
          <w:rPr>
            <w:noProof/>
            <w:webHidden/>
          </w:rPr>
          <w:fldChar w:fldCharType="end"/>
        </w:r>
      </w:hyperlink>
    </w:p>
    <w:p w14:paraId="40EC3B40" w14:textId="2F718A31"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91" w:history="1">
        <w:r w:rsidRPr="000B56B1">
          <w:rPr>
            <w:rStyle w:val="Hiperveza"/>
            <w:rFonts w:eastAsia="Calibri"/>
          </w:rPr>
          <w:t xml:space="preserve">4.3. </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Fonts w:eastAsia="Calibri"/>
          </w:rPr>
          <w:t>IZVJEŠTAJ O DANIM JAMSTVIMA I PLAĆANJIMA PO PROTESTIRANIM JAMSTVIMA</w:t>
        </w:r>
        <w:r>
          <w:rPr>
            <w:webHidden/>
          </w:rPr>
          <w:tab/>
        </w:r>
        <w:r>
          <w:rPr>
            <w:webHidden/>
          </w:rPr>
          <w:fldChar w:fldCharType="begin"/>
        </w:r>
        <w:r>
          <w:rPr>
            <w:webHidden/>
          </w:rPr>
          <w:instrText xml:space="preserve"> PAGEREF _Toc207707491 \h </w:instrText>
        </w:r>
        <w:r>
          <w:rPr>
            <w:webHidden/>
          </w:rPr>
        </w:r>
        <w:r>
          <w:rPr>
            <w:webHidden/>
          </w:rPr>
          <w:fldChar w:fldCharType="separate"/>
        </w:r>
        <w:r>
          <w:rPr>
            <w:webHidden/>
          </w:rPr>
          <w:t>225</w:t>
        </w:r>
        <w:r>
          <w:rPr>
            <w:webHidden/>
          </w:rPr>
          <w:fldChar w:fldCharType="end"/>
        </w:r>
      </w:hyperlink>
    </w:p>
    <w:p w14:paraId="41A9EB1B" w14:textId="75AC7B95"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92" w:history="1">
        <w:r w:rsidRPr="000B56B1">
          <w:rPr>
            <w:rStyle w:val="Hiperveza"/>
            <w:rFonts w:eastAsia="Calibri"/>
          </w:rPr>
          <w:t xml:space="preserve">4.4. </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Fonts w:eastAsia="Calibri"/>
          </w:rPr>
          <w:t>IZVJEŠTAJ O KORIŠTENJU SREDSTAVA FONDOVA EUROPSKE UNIJE</w:t>
        </w:r>
        <w:r>
          <w:rPr>
            <w:webHidden/>
          </w:rPr>
          <w:tab/>
        </w:r>
        <w:r>
          <w:rPr>
            <w:webHidden/>
          </w:rPr>
          <w:fldChar w:fldCharType="begin"/>
        </w:r>
        <w:r>
          <w:rPr>
            <w:webHidden/>
          </w:rPr>
          <w:instrText xml:space="preserve"> PAGEREF _Toc207707492 \h </w:instrText>
        </w:r>
        <w:r>
          <w:rPr>
            <w:webHidden/>
          </w:rPr>
        </w:r>
        <w:r>
          <w:rPr>
            <w:webHidden/>
          </w:rPr>
          <w:fldChar w:fldCharType="separate"/>
        </w:r>
        <w:r>
          <w:rPr>
            <w:webHidden/>
          </w:rPr>
          <w:t>228</w:t>
        </w:r>
        <w:r>
          <w:rPr>
            <w:webHidden/>
          </w:rPr>
          <w:fldChar w:fldCharType="end"/>
        </w:r>
      </w:hyperlink>
    </w:p>
    <w:p w14:paraId="2EAD3105" w14:textId="31A353AB"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93" w:history="1">
        <w:r w:rsidRPr="000B56B1">
          <w:rPr>
            <w:rStyle w:val="Hiperveza"/>
          </w:rPr>
          <w:t>4.5.</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IZVJEŠTAJ O DANIM ZAJMOVIMA I POTRAŽIVANJA PO DANIM ZAJMOVIMA</w:t>
        </w:r>
        <w:r>
          <w:rPr>
            <w:webHidden/>
          </w:rPr>
          <w:tab/>
        </w:r>
        <w:r>
          <w:rPr>
            <w:webHidden/>
          </w:rPr>
          <w:fldChar w:fldCharType="begin"/>
        </w:r>
        <w:r>
          <w:rPr>
            <w:webHidden/>
          </w:rPr>
          <w:instrText xml:space="preserve"> PAGEREF _Toc207707493 \h </w:instrText>
        </w:r>
        <w:r>
          <w:rPr>
            <w:webHidden/>
          </w:rPr>
        </w:r>
        <w:r>
          <w:rPr>
            <w:webHidden/>
          </w:rPr>
          <w:fldChar w:fldCharType="separate"/>
        </w:r>
        <w:r>
          <w:rPr>
            <w:webHidden/>
          </w:rPr>
          <w:t>240</w:t>
        </w:r>
        <w:r>
          <w:rPr>
            <w:webHidden/>
          </w:rPr>
          <w:fldChar w:fldCharType="end"/>
        </w:r>
      </w:hyperlink>
    </w:p>
    <w:p w14:paraId="453E47DC" w14:textId="254675D7"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494" w:history="1">
        <w:r w:rsidRPr="000B56B1">
          <w:rPr>
            <w:rStyle w:val="Hiperveza"/>
          </w:rPr>
          <w:t>4.6.</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IZVJEŠTAJ O STANJU POTRAŽIVANJA I DOSPJELIH OBVEZA TE STANJU POTENCIJALNIH OBVEZA PO OSNOVI SUDSKIH SPOROVA</w:t>
        </w:r>
        <w:r>
          <w:rPr>
            <w:webHidden/>
          </w:rPr>
          <w:tab/>
        </w:r>
        <w:r>
          <w:rPr>
            <w:webHidden/>
          </w:rPr>
          <w:fldChar w:fldCharType="begin"/>
        </w:r>
        <w:r>
          <w:rPr>
            <w:webHidden/>
          </w:rPr>
          <w:instrText xml:space="preserve"> PAGEREF _Toc207707494 \h </w:instrText>
        </w:r>
        <w:r>
          <w:rPr>
            <w:webHidden/>
          </w:rPr>
        </w:r>
        <w:r>
          <w:rPr>
            <w:webHidden/>
          </w:rPr>
          <w:fldChar w:fldCharType="separate"/>
        </w:r>
        <w:r>
          <w:rPr>
            <w:webHidden/>
          </w:rPr>
          <w:t>241</w:t>
        </w:r>
        <w:r>
          <w:rPr>
            <w:webHidden/>
          </w:rPr>
          <w:fldChar w:fldCharType="end"/>
        </w:r>
      </w:hyperlink>
    </w:p>
    <w:p w14:paraId="0157A1DC" w14:textId="3A459393"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95" w:history="1">
        <w:r w:rsidRPr="000B56B1">
          <w:rPr>
            <w:rStyle w:val="Hiperveza"/>
            <w:rFonts w:ascii="Arial" w:hAnsi="Arial" w:cs="Arial"/>
            <w:noProof/>
          </w:rPr>
          <w:t>4.6.1.</w:t>
        </w:r>
        <w:r>
          <w:rPr>
            <w:rFonts w:eastAsiaTheme="minorEastAsia"/>
            <w:i w:val="0"/>
            <w:iCs w:val="0"/>
            <w:noProof/>
            <w:kern w:val="2"/>
            <w:sz w:val="24"/>
            <w:szCs w:val="24"/>
            <w14:ligatures w14:val="standardContextual"/>
          </w:rPr>
          <w:tab/>
        </w:r>
        <w:r w:rsidRPr="000B56B1">
          <w:rPr>
            <w:rStyle w:val="Hiperveza"/>
            <w:rFonts w:ascii="Arial" w:hAnsi="Arial" w:cs="Arial"/>
            <w:noProof/>
          </w:rPr>
          <w:t>STANJE NENAPLAĆENIH POTRAŽIVANJA</w:t>
        </w:r>
        <w:r>
          <w:rPr>
            <w:noProof/>
            <w:webHidden/>
          </w:rPr>
          <w:tab/>
        </w:r>
        <w:r>
          <w:rPr>
            <w:noProof/>
            <w:webHidden/>
          </w:rPr>
          <w:fldChar w:fldCharType="begin"/>
        </w:r>
        <w:r>
          <w:rPr>
            <w:noProof/>
            <w:webHidden/>
          </w:rPr>
          <w:instrText xml:space="preserve"> PAGEREF _Toc207707495 \h </w:instrText>
        </w:r>
        <w:r>
          <w:rPr>
            <w:noProof/>
            <w:webHidden/>
          </w:rPr>
        </w:r>
        <w:r>
          <w:rPr>
            <w:noProof/>
            <w:webHidden/>
          </w:rPr>
          <w:fldChar w:fldCharType="separate"/>
        </w:r>
        <w:r>
          <w:rPr>
            <w:noProof/>
            <w:webHidden/>
          </w:rPr>
          <w:t>241</w:t>
        </w:r>
        <w:r>
          <w:rPr>
            <w:noProof/>
            <w:webHidden/>
          </w:rPr>
          <w:fldChar w:fldCharType="end"/>
        </w:r>
      </w:hyperlink>
    </w:p>
    <w:p w14:paraId="19E92DB8" w14:textId="704C38D0"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96" w:history="1">
        <w:r w:rsidRPr="000B56B1">
          <w:rPr>
            <w:rStyle w:val="Hiperveza"/>
            <w:rFonts w:ascii="Arial" w:hAnsi="Arial" w:cs="Arial"/>
            <w:noProof/>
          </w:rPr>
          <w:t>4.6.2.</w:t>
        </w:r>
        <w:r>
          <w:rPr>
            <w:rFonts w:eastAsiaTheme="minorEastAsia"/>
            <w:i w:val="0"/>
            <w:iCs w:val="0"/>
            <w:noProof/>
            <w:kern w:val="2"/>
            <w:sz w:val="24"/>
            <w:szCs w:val="24"/>
            <w14:ligatures w14:val="standardContextual"/>
          </w:rPr>
          <w:tab/>
        </w:r>
        <w:r w:rsidRPr="000B56B1">
          <w:rPr>
            <w:rStyle w:val="Hiperveza"/>
            <w:rFonts w:ascii="Arial" w:hAnsi="Arial" w:cs="Arial"/>
            <w:noProof/>
          </w:rPr>
          <w:t>PREGLED UKUPNIH OBVEZA I STANJE NEPODMIRENIH DOSPJELIH OBVEZA</w:t>
        </w:r>
        <w:r>
          <w:rPr>
            <w:noProof/>
            <w:webHidden/>
          </w:rPr>
          <w:tab/>
        </w:r>
        <w:r>
          <w:rPr>
            <w:noProof/>
            <w:webHidden/>
          </w:rPr>
          <w:fldChar w:fldCharType="begin"/>
        </w:r>
        <w:r>
          <w:rPr>
            <w:noProof/>
            <w:webHidden/>
          </w:rPr>
          <w:instrText xml:space="preserve"> PAGEREF _Toc207707496 \h </w:instrText>
        </w:r>
        <w:r>
          <w:rPr>
            <w:noProof/>
            <w:webHidden/>
          </w:rPr>
        </w:r>
        <w:r>
          <w:rPr>
            <w:noProof/>
            <w:webHidden/>
          </w:rPr>
          <w:fldChar w:fldCharType="separate"/>
        </w:r>
        <w:r>
          <w:rPr>
            <w:noProof/>
            <w:webHidden/>
          </w:rPr>
          <w:t>245</w:t>
        </w:r>
        <w:r>
          <w:rPr>
            <w:noProof/>
            <w:webHidden/>
          </w:rPr>
          <w:fldChar w:fldCharType="end"/>
        </w:r>
      </w:hyperlink>
    </w:p>
    <w:p w14:paraId="218BB98C" w14:textId="3F1BA6BB" w:rsidR="00910987" w:rsidRDefault="00910987">
      <w:pPr>
        <w:pStyle w:val="Sadraj3"/>
        <w:tabs>
          <w:tab w:val="left" w:pos="1320"/>
          <w:tab w:val="right" w:leader="dot" w:pos="14560"/>
        </w:tabs>
        <w:rPr>
          <w:rFonts w:eastAsiaTheme="minorEastAsia"/>
          <w:i w:val="0"/>
          <w:iCs w:val="0"/>
          <w:noProof/>
          <w:kern w:val="2"/>
          <w:sz w:val="24"/>
          <w:szCs w:val="24"/>
          <w14:ligatures w14:val="standardContextual"/>
        </w:rPr>
      </w:pPr>
      <w:hyperlink w:anchor="_Toc207707497" w:history="1">
        <w:r w:rsidRPr="000B56B1">
          <w:rPr>
            <w:rStyle w:val="Hiperveza"/>
            <w:rFonts w:ascii="Arial" w:hAnsi="Arial" w:cs="Arial"/>
            <w:noProof/>
          </w:rPr>
          <w:t>4.6.3.</w:t>
        </w:r>
        <w:r>
          <w:rPr>
            <w:rFonts w:eastAsiaTheme="minorEastAsia"/>
            <w:i w:val="0"/>
            <w:iCs w:val="0"/>
            <w:noProof/>
            <w:kern w:val="2"/>
            <w:sz w:val="24"/>
            <w:szCs w:val="24"/>
            <w14:ligatures w14:val="standardContextual"/>
          </w:rPr>
          <w:tab/>
        </w:r>
        <w:r w:rsidRPr="000B56B1">
          <w:rPr>
            <w:rStyle w:val="Hiperveza"/>
            <w:rFonts w:ascii="Arial" w:hAnsi="Arial" w:cs="Arial"/>
            <w:noProof/>
          </w:rPr>
          <w:t>STANJE POTENCIJALNIH OBVEZA</w:t>
        </w:r>
        <w:r>
          <w:rPr>
            <w:noProof/>
            <w:webHidden/>
          </w:rPr>
          <w:tab/>
        </w:r>
        <w:r>
          <w:rPr>
            <w:noProof/>
            <w:webHidden/>
          </w:rPr>
          <w:fldChar w:fldCharType="begin"/>
        </w:r>
        <w:r>
          <w:rPr>
            <w:noProof/>
            <w:webHidden/>
          </w:rPr>
          <w:instrText xml:space="preserve"> PAGEREF _Toc207707497 \h </w:instrText>
        </w:r>
        <w:r>
          <w:rPr>
            <w:noProof/>
            <w:webHidden/>
          </w:rPr>
        </w:r>
        <w:r>
          <w:rPr>
            <w:noProof/>
            <w:webHidden/>
          </w:rPr>
          <w:fldChar w:fldCharType="separate"/>
        </w:r>
        <w:r>
          <w:rPr>
            <w:noProof/>
            <w:webHidden/>
          </w:rPr>
          <w:t>248</w:t>
        </w:r>
        <w:r>
          <w:rPr>
            <w:noProof/>
            <w:webHidden/>
          </w:rPr>
          <w:fldChar w:fldCharType="end"/>
        </w:r>
      </w:hyperlink>
    </w:p>
    <w:p w14:paraId="0859FCB4" w14:textId="58DCC80F" w:rsidR="00910987" w:rsidRDefault="00910987">
      <w:pPr>
        <w:pStyle w:val="Sadraj1"/>
        <w:rPr>
          <w:rFonts w:asciiTheme="minorHAnsi" w:eastAsiaTheme="minorEastAsia" w:hAnsiTheme="minorHAnsi" w:cstheme="minorBidi"/>
          <w:b w:val="0"/>
          <w:bCs w:val="0"/>
          <w:caps w:val="0"/>
          <w:kern w:val="2"/>
          <w:sz w:val="24"/>
          <w:szCs w:val="24"/>
          <w14:ligatures w14:val="standardContextual"/>
        </w:rPr>
      </w:pPr>
      <w:hyperlink w:anchor="_Toc207707498" w:history="1">
        <w:r w:rsidRPr="000B56B1">
          <w:rPr>
            <w:rStyle w:val="Hiperveza"/>
          </w:rPr>
          <w:t xml:space="preserve">5. </w:t>
        </w:r>
        <w:r>
          <w:rPr>
            <w:rFonts w:asciiTheme="minorHAnsi" w:eastAsiaTheme="minorEastAsia" w:hAnsiTheme="minorHAnsi" w:cstheme="minorBidi"/>
            <w:b w:val="0"/>
            <w:bCs w:val="0"/>
            <w:caps w:val="0"/>
            <w:kern w:val="2"/>
            <w:sz w:val="24"/>
            <w:szCs w:val="24"/>
            <w14:ligatures w14:val="standardContextual"/>
          </w:rPr>
          <w:tab/>
        </w:r>
        <w:r w:rsidRPr="000B56B1">
          <w:rPr>
            <w:rStyle w:val="Hiperveza"/>
          </w:rPr>
          <w:t>IZVJEŠTAJ O PRERASPODJELI SREDSTAVA U PRORAČUNU OPĆINE KONAVLE ZA 2025.</w:t>
        </w:r>
        <w:r>
          <w:rPr>
            <w:webHidden/>
          </w:rPr>
          <w:tab/>
        </w:r>
        <w:r>
          <w:rPr>
            <w:webHidden/>
          </w:rPr>
          <w:fldChar w:fldCharType="begin"/>
        </w:r>
        <w:r>
          <w:rPr>
            <w:webHidden/>
          </w:rPr>
          <w:instrText xml:space="preserve"> PAGEREF _Toc207707498 \h </w:instrText>
        </w:r>
        <w:r>
          <w:rPr>
            <w:webHidden/>
          </w:rPr>
        </w:r>
        <w:r>
          <w:rPr>
            <w:webHidden/>
          </w:rPr>
          <w:fldChar w:fldCharType="separate"/>
        </w:r>
        <w:r>
          <w:rPr>
            <w:webHidden/>
          </w:rPr>
          <w:t>254</w:t>
        </w:r>
        <w:r>
          <w:rPr>
            <w:webHidden/>
          </w:rPr>
          <w:fldChar w:fldCharType="end"/>
        </w:r>
      </w:hyperlink>
    </w:p>
    <w:p w14:paraId="7F403022" w14:textId="2D1C8518" w:rsidR="00910987" w:rsidRDefault="00910987">
      <w:pPr>
        <w:pStyle w:val="Sadraj1"/>
        <w:rPr>
          <w:rFonts w:asciiTheme="minorHAnsi" w:eastAsiaTheme="minorEastAsia" w:hAnsiTheme="minorHAnsi" w:cstheme="minorBidi"/>
          <w:b w:val="0"/>
          <w:bCs w:val="0"/>
          <w:caps w:val="0"/>
          <w:kern w:val="2"/>
          <w:sz w:val="24"/>
          <w:szCs w:val="24"/>
          <w14:ligatures w14:val="standardContextual"/>
        </w:rPr>
      </w:pPr>
      <w:hyperlink w:anchor="_Toc207707499" w:history="1">
        <w:r w:rsidRPr="000B56B1">
          <w:rPr>
            <w:rStyle w:val="Hiperveza"/>
          </w:rPr>
          <w:t xml:space="preserve">6. </w:t>
        </w:r>
        <w:r>
          <w:rPr>
            <w:rFonts w:asciiTheme="minorHAnsi" w:eastAsiaTheme="minorEastAsia" w:hAnsiTheme="minorHAnsi" w:cstheme="minorBidi"/>
            <w:b w:val="0"/>
            <w:bCs w:val="0"/>
            <w:caps w:val="0"/>
            <w:kern w:val="2"/>
            <w:sz w:val="24"/>
            <w:szCs w:val="24"/>
            <w14:ligatures w14:val="standardContextual"/>
          </w:rPr>
          <w:tab/>
        </w:r>
        <w:r w:rsidRPr="000B56B1">
          <w:rPr>
            <w:rStyle w:val="Hiperveza"/>
          </w:rPr>
          <w:t>IZVJEŠTAJ O DANIM SUGLASNOSTIMA ZA ZADUŽIVANJE</w:t>
        </w:r>
        <w:r>
          <w:rPr>
            <w:webHidden/>
          </w:rPr>
          <w:tab/>
        </w:r>
        <w:r>
          <w:rPr>
            <w:webHidden/>
          </w:rPr>
          <w:fldChar w:fldCharType="begin"/>
        </w:r>
        <w:r>
          <w:rPr>
            <w:webHidden/>
          </w:rPr>
          <w:instrText xml:space="preserve"> PAGEREF _Toc207707499 \h </w:instrText>
        </w:r>
        <w:r>
          <w:rPr>
            <w:webHidden/>
          </w:rPr>
        </w:r>
        <w:r>
          <w:rPr>
            <w:webHidden/>
          </w:rPr>
          <w:fldChar w:fldCharType="separate"/>
        </w:r>
        <w:r>
          <w:rPr>
            <w:webHidden/>
          </w:rPr>
          <w:t>260</w:t>
        </w:r>
        <w:r>
          <w:rPr>
            <w:webHidden/>
          </w:rPr>
          <w:fldChar w:fldCharType="end"/>
        </w:r>
      </w:hyperlink>
    </w:p>
    <w:p w14:paraId="5C838D63" w14:textId="15C274F1" w:rsidR="00910987" w:rsidRDefault="00910987">
      <w:pPr>
        <w:pStyle w:val="Sadraj1"/>
        <w:rPr>
          <w:rFonts w:asciiTheme="minorHAnsi" w:eastAsiaTheme="minorEastAsia" w:hAnsiTheme="minorHAnsi" w:cstheme="minorBidi"/>
          <w:b w:val="0"/>
          <w:bCs w:val="0"/>
          <w:caps w:val="0"/>
          <w:kern w:val="2"/>
          <w:sz w:val="24"/>
          <w:szCs w:val="24"/>
          <w14:ligatures w14:val="standardContextual"/>
        </w:rPr>
      </w:pPr>
      <w:hyperlink w:anchor="_Toc207707500" w:history="1">
        <w:r w:rsidRPr="000B56B1">
          <w:rPr>
            <w:rStyle w:val="Hiperveza"/>
          </w:rPr>
          <w:t xml:space="preserve">7. </w:t>
        </w:r>
        <w:r>
          <w:rPr>
            <w:rFonts w:asciiTheme="minorHAnsi" w:eastAsiaTheme="minorEastAsia" w:hAnsiTheme="minorHAnsi" w:cstheme="minorBidi"/>
            <w:b w:val="0"/>
            <w:bCs w:val="0"/>
            <w:caps w:val="0"/>
            <w:kern w:val="2"/>
            <w:sz w:val="24"/>
            <w:szCs w:val="24"/>
            <w14:ligatures w14:val="standardContextual"/>
          </w:rPr>
          <w:tab/>
        </w:r>
        <w:r w:rsidRPr="000B56B1">
          <w:rPr>
            <w:rStyle w:val="Hiperveza"/>
          </w:rPr>
          <w:t>STANJE IMOVINE I OBVEZA, BILANCA (financijski izvještaji)</w:t>
        </w:r>
        <w:r>
          <w:rPr>
            <w:webHidden/>
          </w:rPr>
          <w:tab/>
        </w:r>
        <w:r>
          <w:rPr>
            <w:webHidden/>
          </w:rPr>
          <w:fldChar w:fldCharType="begin"/>
        </w:r>
        <w:r>
          <w:rPr>
            <w:webHidden/>
          </w:rPr>
          <w:instrText xml:space="preserve"> PAGEREF _Toc207707500 \h </w:instrText>
        </w:r>
        <w:r>
          <w:rPr>
            <w:webHidden/>
          </w:rPr>
        </w:r>
        <w:r>
          <w:rPr>
            <w:webHidden/>
          </w:rPr>
          <w:fldChar w:fldCharType="separate"/>
        </w:r>
        <w:r>
          <w:rPr>
            <w:webHidden/>
          </w:rPr>
          <w:t>264</w:t>
        </w:r>
        <w:r>
          <w:rPr>
            <w:webHidden/>
          </w:rPr>
          <w:fldChar w:fldCharType="end"/>
        </w:r>
      </w:hyperlink>
    </w:p>
    <w:p w14:paraId="3DD3E8F4" w14:textId="6F87D807"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501" w:history="1">
        <w:r w:rsidRPr="000B56B1">
          <w:rPr>
            <w:rStyle w:val="Hiperveza"/>
          </w:rPr>
          <w:t>7.1.</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STANJE IMOVINE I OBVEZA – OPĆINA, razina 22</w:t>
        </w:r>
        <w:r>
          <w:rPr>
            <w:webHidden/>
          </w:rPr>
          <w:tab/>
        </w:r>
        <w:r>
          <w:rPr>
            <w:webHidden/>
          </w:rPr>
          <w:fldChar w:fldCharType="begin"/>
        </w:r>
        <w:r>
          <w:rPr>
            <w:webHidden/>
          </w:rPr>
          <w:instrText xml:space="preserve"> PAGEREF _Toc207707501 \h </w:instrText>
        </w:r>
        <w:r>
          <w:rPr>
            <w:webHidden/>
          </w:rPr>
        </w:r>
        <w:r>
          <w:rPr>
            <w:webHidden/>
          </w:rPr>
          <w:fldChar w:fldCharType="separate"/>
        </w:r>
        <w:r>
          <w:rPr>
            <w:webHidden/>
          </w:rPr>
          <w:t>264</w:t>
        </w:r>
        <w:r>
          <w:rPr>
            <w:webHidden/>
          </w:rPr>
          <w:fldChar w:fldCharType="end"/>
        </w:r>
      </w:hyperlink>
    </w:p>
    <w:p w14:paraId="059CB841" w14:textId="05F36A2E"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502" w:history="1">
        <w:r w:rsidRPr="000B56B1">
          <w:rPr>
            <w:rStyle w:val="Hiperveza"/>
          </w:rPr>
          <w:t>7.2.</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STANJE IMOVINE I OBVEZA – OPĆINA I PRORAČUNSKI KORISNICI, razina 23</w:t>
        </w:r>
        <w:r>
          <w:rPr>
            <w:webHidden/>
          </w:rPr>
          <w:tab/>
        </w:r>
        <w:r>
          <w:rPr>
            <w:webHidden/>
          </w:rPr>
          <w:fldChar w:fldCharType="begin"/>
        </w:r>
        <w:r>
          <w:rPr>
            <w:webHidden/>
          </w:rPr>
          <w:instrText xml:space="preserve"> PAGEREF _Toc207707502 \h </w:instrText>
        </w:r>
        <w:r>
          <w:rPr>
            <w:webHidden/>
          </w:rPr>
        </w:r>
        <w:r>
          <w:rPr>
            <w:webHidden/>
          </w:rPr>
          <w:fldChar w:fldCharType="separate"/>
        </w:r>
        <w:r>
          <w:rPr>
            <w:webHidden/>
          </w:rPr>
          <w:t>269</w:t>
        </w:r>
        <w:r>
          <w:rPr>
            <w:webHidden/>
          </w:rPr>
          <w:fldChar w:fldCharType="end"/>
        </w:r>
      </w:hyperlink>
    </w:p>
    <w:p w14:paraId="68554065" w14:textId="50172123" w:rsidR="00910987" w:rsidRDefault="00910987">
      <w:pPr>
        <w:pStyle w:val="Sadraj1"/>
        <w:rPr>
          <w:rFonts w:asciiTheme="minorHAnsi" w:eastAsiaTheme="minorEastAsia" w:hAnsiTheme="minorHAnsi" w:cstheme="minorBidi"/>
          <w:b w:val="0"/>
          <w:bCs w:val="0"/>
          <w:caps w:val="0"/>
          <w:kern w:val="2"/>
          <w:sz w:val="24"/>
          <w:szCs w:val="24"/>
          <w14:ligatures w14:val="standardContextual"/>
        </w:rPr>
      </w:pPr>
      <w:hyperlink w:anchor="_Toc207707503" w:history="1">
        <w:r w:rsidRPr="000B56B1">
          <w:rPr>
            <w:rStyle w:val="Hiperveza"/>
          </w:rPr>
          <w:t xml:space="preserve">8. </w:t>
        </w:r>
        <w:r>
          <w:rPr>
            <w:rFonts w:asciiTheme="minorHAnsi" w:eastAsiaTheme="minorEastAsia" w:hAnsiTheme="minorHAnsi" w:cstheme="minorBidi"/>
            <w:b w:val="0"/>
            <w:bCs w:val="0"/>
            <w:caps w:val="0"/>
            <w:kern w:val="2"/>
            <w:sz w:val="24"/>
            <w:szCs w:val="24"/>
            <w14:ligatures w14:val="standardContextual"/>
          </w:rPr>
          <w:tab/>
        </w:r>
        <w:r w:rsidRPr="000B56B1">
          <w:rPr>
            <w:rStyle w:val="Hiperveza"/>
          </w:rPr>
          <w:t>IZVADAK PROJEKATA IZ STRATEŠKOG PLANA I PROVEDBENOG PROGRAMA</w:t>
        </w:r>
        <w:r>
          <w:rPr>
            <w:webHidden/>
          </w:rPr>
          <w:tab/>
        </w:r>
        <w:r>
          <w:rPr>
            <w:webHidden/>
          </w:rPr>
          <w:fldChar w:fldCharType="begin"/>
        </w:r>
        <w:r>
          <w:rPr>
            <w:webHidden/>
          </w:rPr>
          <w:instrText xml:space="preserve"> PAGEREF _Toc207707503 \h </w:instrText>
        </w:r>
        <w:r>
          <w:rPr>
            <w:webHidden/>
          </w:rPr>
        </w:r>
        <w:r>
          <w:rPr>
            <w:webHidden/>
          </w:rPr>
          <w:fldChar w:fldCharType="separate"/>
        </w:r>
        <w:r>
          <w:rPr>
            <w:webHidden/>
          </w:rPr>
          <w:t>272</w:t>
        </w:r>
        <w:r>
          <w:rPr>
            <w:webHidden/>
          </w:rPr>
          <w:fldChar w:fldCharType="end"/>
        </w:r>
      </w:hyperlink>
    </w:p>
    <w:p w14:paraId="29945808" w14:textId="34AB1BAE" w:rsidR="00910987" w:rsidRDefault="00910987">
      <w:pPr>
        <w:pStyle w:val="Sadraj1"/>
        <w:rPr>
          <w:rFonts w:asciiTheme="minorHAnsi" w:eastAsiaTheme="minorEastAsia" w:hAnsiTheme="minorHAnsi" w:cstheme="minorBidi"/>
          <w:b w:val="0"/>
          <w:bCs w:val="0"/>
          <w:caps w:val="0"/>
          <w:kern w:val="2"/>
          <w:sz w:val="24"/>
          <w:szCs w:val="24"/>
          <w14:ligatures w14:val="standardContextual"/>
        </w:rPr>
      </w:pPr>
      <w:hyperlink w:anchor="_Toc207707504" w:history="1">
        <w:r w:rsidRPr="000B56B1">
          <w:rPr>
            <w:rStyle w:val="Hiperveza"/>
          </w:rPr>
          <w:t xml:space="preserve">9. </w:t>
        </w:r>
        <w:r>
          <w:rPr>
            <w:rFonts w:asciiTheme="minorHAnsi" w:eastAsiaTheme="minorEastAsia" w:hAnsiTheme="minorHAnsi" w:cstheme="minorBidi"/>
            <w:b w:val="0"/>
            <w:bCs w:val="0"/>
            <w:caps w:val="0"/>
            <w:kern w:val="2"/>
            <w:sz w:val="24"/>
            <w:szCs w:val="24"/>
            <w14:ligatures w14:val="standardContextual"/>
          </w:rPr>
          <w:tab/>
        </w:r>
        <w:r w:rsidRPr="000B56B1">
          <w:rPr>
            <w:rStyle w:val="Hiperveza"/>
          </w:rPr>
          <w:t>ZAKLJUČAK</w:t>
        </w:r>
        <w:r>
          <w:rPr>
            <w:webHidden/>
          </w:rPr>
          <w:tab/>
        </w:r>
        <w:r>
          <w:rPr>
            <w:webHidden/>
          </w:rPr>
          <w:fldChar w:fldCharType="begin"/>
        </w:r>
        <w:r>
          <w:rPr>
            <w:webHidden/>
          </w:rPr>
          <w:instrText xml:space="preserve"> PAGEREF _Toc207707504 \h </w:instrText>
        </w:r>
        <w:r>
          <w:rPr>
            <w:webHidden/>
          </w:rPr>
        </w:r>
        <w:r>
          <w:rPr>
            <w:webHidden/>
          </w:rPr>
          <w:fldChar w:fldCharType="separate"/>
        </w:r>
        <w:r>
          <w:rPr>
            <w:webHidden/>
          </w:rPr>
          <w:t>300</w:t>
        </w:r>
        <w:r>
          <w:rPr>
            <w:webHidden/>
          </w:rPr>
          <w:fldChar w:fldCharType="end"/>
        </w:r>
      </w:hyperlink>
    </w:p>
    <w:p w14:paraId="3B01EF9E" w14:textId="12A22525" w:rsidR="00910987" w:rsidRDefault="00910987">
      <w:pPr>
        <w:pStyle w:val="Sadraj1"/>
        <w:rPr>
          <w:rFonts w:asciiTheme="minorHAnsi" w:eastAsiaTheme="minorEastAsia" w:hAnsiTheme="minorHAnsi" w:cstheme="minorBidi"/>
          <w:b w:val="0"/>
          <w:bCs w:val="0"/>
          <w:caps w:val="0"/>
          <w:kern w:val="2"/>
          <w:sz w:val="24"/>
          <w:szCs w:val="24"/>
          <w14:ligatures w14:val="standardContextual"/>
        </w:rPr>
      </w:pPr>
      <w:hyperlink w:anchor="_Toc207707505" w:history="1">
        <w:r w:rsidRPr="000B56B1">
          <w:rPr>
            <w:rStyle w:val="Hiperveza"/>
          </w:rPr>
          <w:t>10. DODACI</w:t>
        </w:r>
        <w:r>
          <w:rPr>
            <w:webHidden/>
          </w:rPr>
          <w:tab/>
        </w:r>
        <w:r>
          <w:rPr>
            <w:webHidden/>
          </w:rPr>
          <w:fldChar w:fldCharType="begin"/>
        </w:r>
        <w:r>
          <w:rPr>
            <w:webHidden/>
          </w:rPr>
          <w:instrText xml:space="preserve"> PAGEREF _Toc207707505 \h </w:instrText>
        </w:r>
        <w:r>
          <w:rPr>
            <w:webHidden/>
          </w:rPr>
        </w:r>
        <w:r>
          <w:rPr>
            <w:webHidden/>
          </w:rPr>
          <w:fldChar w:fldCharType="separate"/>
        </w:r>
        <w:r>
          <w:rPr>
            <w:webHidden/>
          </w:rPr>
          <w:t>305</w:t>
        </w:r>
        <w:r>
          <w:rPr>
            <w:webHidden/>
          </w:rPr>
          <w:fldChar w:fldCharType="end"/>
        </w:r>
      </w:hyperlink>
    </w:p>
    <w:p w14:paraId="54524987" w14:textId="1B56517F"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506" w:history="1">
        <w:r w:rsidRPr="000B56B1">
          <w:rPr>
            <w:rStyle w:val="Hiperveza"/>
          </w:rPr>
          <w:t>a.</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POPIS TABLICA</w:t>
        </w:r>
        <w:r>
          <w:rPr>
            <w:webHidden/>
          </w:rPr>
          <w:tab/>
        </w:r>
        <w:r>
          <w:rPr>
            <w:webHidden/>
          </w:rPr>
          <w:fldChar w:fldCharType="begin"/>
        </w:r>
        <w:r>
          <w:rPr>
            <w:webHidden/>
          </w:rPr>
          <w:instrText xml:space="preserve"> PAGEREF _Toc207707506 \h </w:instrText>
        </w:r>
        <w:r>
          <w:rPr>
            <w:webHidden/>
          </w:rPr>
        </w:r>
        <w:r>
          <w:rPr>
            <w:webHidden/>
          </w:rPr>
          <w:fldChar w:fldCharType="separate"/>
        </w:r>
        <w:r>
          <w:rPr>
            <w:webHidden/>
          </w:rPr>
          <w:t>305</w:t>
        </w:r>
        <w:r>
          <w:rPr>
            <w:webHidden/>
          </w:rPr>
          <w:fldChar w:fldCharType="end"/>
        </w:r>
      </w:hyperlink>
    </w:p>
    <w:p w14:paraId="73DBA4AB" w14:textId="4EBA35C5" w:rsidR="00910987" w:rsidRDefault="00910987">
      <w:pPr>
        <w:pStyle w:val="Sadraj2"/>
        <w:rPr>
          <w:rFonts w:asciiTheme="minorHAnsi" w:eastAsiaTheme="minorEastAsia" w:hAnsiTheme="minorHAnsi" w:cstheme="minorBidi"/>
          <w:i w:val="0"/>
          <w:iCs w:val="0"/>
          <w:smallCaps w:val="0"/>
          <w:kern w:val="2"/>
          <w:sz w:val="24"/>
          <w:szCs w:val="24"/>
          <w14:ligatures w14:val="standardContextual"/>
        </w:rPr>
      </w:pPr>
      <w:hyperlink w:anchor="_Toc207707507" w:history="1">
        <w:r w:rsidRPr="000B56B1">
          <w:rPr>
            <w:rStyle w:val="Hiperveza"/>
          </w:rPr>
          <w:t>b.</w:t>
        </w:r>
        <w:r>
          <w:rPr>
            <w:rFonts w:asciiTheme="minorHAnsi" w:eastAsiaTheme="minorEastAsia" w:hAnsiTheme="minorHAnsi" w:cstheme="minorBidi"/>
            <w:i w:val="0"/>
            <w:iCs w:val="0"/>
            <w:smallCaps w:val="0"/>
            <w:kern w:val="2"/>
            <w:sz w:val="24"/>
            <w:szCs w:val="24"/>
            <w14:ligatures w14:val="standardContextual"/>
          </w:rPr>
          <w:tab/>
        </w:r>
        <w:r w:rsidRPr="000B56B1">
          <w:rPr>
            <w:rStyle w:val="Hiperveza"/>
          </w:rPr>
          <w:t>POPIS GRAFOVA</w:t>
        </w:r>
        <w:r>
          <w:rPr>
            <w:webHidden/>
          </w:rPr>
          <w:tab/>
        </w:r>
        <w:r>
          <w:rPr>
            <w:webHidden/>
          </w:rPr>
          <w:fldChar w:fldCharType="begin"/>
        </w:r>
        <w:r>
          <w:rPr>
            <w:webHidden/>
          </w:rPr>
          <w:instrText xml:space="preserve"> PAGEREF _Toc207707507 \h </w:instrText>
        </w:r>
        <w:r>
          <w:rPr>
            <w:webHidden/>
          </w:rPr>
        </w:r>
        <w:r>
          <w:rPr>
            <w:webHidden/>
          </w:rPr>
          <w:fldChar w:fldCharType="separate"/>
        </w:r>
        <w:r>
          <w:rPr>
            <w:webHidden/>
          </w:rPr>
          <w:t>306</w:t>
        </w:r>
        <w:r>
          <w:rPr>
            <w:webHidden/>
          </w:rPr>
          <w:fldChar w:fldCharType="end"/>
        </w:r>
      </w:hyperlink>
    </w:p>
    <w:p w14:paraId="4C493226" w14:textId="19CCB1FD" w:rsidR="00910987" w:rsidRDefault="00910987">
      <w:pPr>
        <w:pStyle w:val="Sadraj1"/>
        <w:rPr>
          <w:rFonts w:asciiTheme="minorHAnsi" w:eastAsiaTheme="minorEastAsia" w:hAnsiTheme="minorHAnsi" w:cstheme="minorBidi"/>
          <w:b w:val="0"/>
          <w:bCs w:val="0"/>
          <w:caps w:val="0"/>
          <w:kern w:val="2"/>
          <w:sz w:val="24"/>
          <w:szCs w:val="24"/>
          <w14:ligatures w14:val="standardContextual"/>
        </w:rPr>
      </w:pPr>
      <w:hyperlink w:anchor="_Toc207707508" w:history="1">
        <w:r w:rsidRPr="000B56B1">
          <w:rPr>
            <w:rStyle w:val="Hiperveza"/>
          </w:rPr>
          <w:t>11. PRIVITAK: OPĆI I POSEBNI DIO PRORAČUNA (financijski dio, sastavni dio POLUGODIŠNJEG IZVJEŠTAJA O IZVRŠENJU PRORAČUNA OPĆINE KONAVLE ZA 2025. GODINU)</w:t>
        </w:r>
        <w:r>
          <w:rPr>
            <w:webHidden/>
          </w:rPr>
          <w:tab/>
        </w:r>
        <w:r>
          <w:rPr>
            <w:webHidden/>
          </w:rPr>
          <w:fldChar w:fldCharType="begin"/>
        </w:r>
        <w:r>
          <w:rPr>
            <w:webHidden/>
          </w:rPr>
          <w:instrText xml:space="preserve"> PAGEREF _Toc207707508 \h </w:instrText>
        </w:r>
        <w:r>
          <w:rPr>
            <w:webHidden/>
          </w:rPr>
        </w:r>
        <w:r>
          <w:rPr>
            <w:webHidden/>
          </w:rPr>
          <w:fldChar w:fldCharType="separate"/>
        </w:r>
        <w:r>
          <w:rPr>
            <w:webHidden/>
          </w:rPr>
          <w:t>307</w:t>
        </w:r>
        <w:r>
          <w:rPr>
            <w:webHidden/>
          </w:rPr>
          <w:fldChar w:fldCharType="end"/>
        </w:r>
      </w:hyperlink>
    </w:p>
    <w:p w14:paraId="70BCAD97" w14:textId="2F15C9BA" w:rsidR="00891119" w:rsidRPr="003A2F86" w:rsidRDefault="00F66355" w:rsidP="008A0FF4">
      <w:pPr>
        <w:spacing w:after="0" w:line="240" w:lineRule="auto"/>
        <w:jc w:val="both"/>
        <w:rPr>
          <w:rFonts w:ascii="Times New Roman" w:eastAsia="Calibri" w:hAnsi="Times New Roman" w:cs="Times New Roman"/>
          <w:sz w:val="20"/>
          <w:szCs w:val="20"/>
          <w:lang w:eastAsia="en-US"/>
        </w:rPr>
      </w:pPr>
      <w:r w:rsidRPr="00C05901">
        <w:rPr>
          <w:rFonts w:ascii="Arial" w:eastAsia="Calibri" w:hAnsi="Arial" w:cs="Arial"/>
          <w:noProof/>
          <w:sz w:val="18"/>
          <w:szCs w:val="20"/>
          <w:lang w:eastAsia="en-US"/>
        </w:rPr>
        <w:fldChar w:fldCharType="end"/>
      </w:r>
      <w:r w:rsidR="00891119" w:rsidRPr="003A2F86">
        <w:rPr>
          <w:rFonts w:ascii="Times New Roman" w:eastAsia="Calibri" w:hAnsi="Times New Roman" w:cs="Times New Roman"/>
          <w:color w:val="7030A0"/>
          <w:sz w:val="20"/>
          <w:szCs w:val="20"/>
          <w:lang w:eastAsia="en-US"/>
        </w:rPr>
        <w:br w:type="page"/>
      </w:r>
      <w:bookmarkStart w:id="0" w:name="_Toc513542350"/>
    </w:p>
    <w:p w14:paraId="115C6262" w14:textId="77777777" w:rsidR="00891119" w:rsidRPr="003A2F86" w:rsidRDefault="00891119" w:rsidP="0081009E">
      <w:pPr>
        <w:pStyle w:val="Naslov1"/>
        <w:rPr>
          <w:rFonts w:ascii="Arial" w:eastAsia="Calibri" w:hAnsi="Arial" w:cs="Arial"/>
          <w:sz w:val="22"/>
          <w:lang w:val="hr-HR"/>
        </w:rPr>
      </w:pPr>
      <w:bookmarkStart w:id="1" w:name="_Toc207707411"/>
      <w:r w:rsidRPr="003A2F86">
        <w:rPr>
          <w:rFonts w:ascii="Arial" w:eastAsia="Calibri" w:hAnsi="Arial" w:cs="Arial"/>
          <w:sz w:val="22"/>
          <w:lang w:val="hr-HR"/>
        </w:rPr>
        <w:lastRenderedPageBreak/>
        <w:t xml:space="preserve">1. </w:t>
      </w:r>
      <w:r w:rsidRPr="003A2F86">
        <w:rPr>
          <w:rFonts w:ascii="Arial" w:eastAsia="Calibri" w:hAnsi="Arial" w:cs="Arial"/>
          <w:sz w:val="22"/>
          <w:lang w:val="hr-HR"/>
        </w:rPr>
        <w:tab/>
        <w:t>UVOD</w:t>
      </w:r>
      <w:bookmarkStart w:id="2" w:name="Uvod"/>
      <w:bookmarkEnd w:id="0"/>
      <w:bookmarkEnd w:id="1"/>
      <w:bookmarkEnd w:id="2"/>
    </w:p>
    <w:p w14:paraId="20370C11" w14:textId="77777777" w:rsidR="00891119" w:rsidRPr="003A2F86" w:rsidRDefault="00891119" w:rsidP="00891119">
      <w:pPr>
        <w:autoSpaceDE w:val="0"/>
        <w:autoSpaceDN w:val="0"/>
        <w:adjustRightInd w:val="0"/>
        <w:spacing w:after="0" w:line="240" w:lineRule="auto"/>
        <w:rPr>
          <w:rFonts w:ascii="Arial" w:eastAsia="Times New Roman" w:hAnsi="Arial" w:cs="Arial"/>
        </w:rPr>
      </w:pPr>
    </w:p>
    <w:p w14:paraId="7AD6A012" w14:textId="2F9FFF19" w:rsidR="00891119" w:rsidRPr="003A2F86" w:rsidRDefault="00891119" w:rsidP="00646600">
      <w:pPr>
        <w:pStyle w:val="Naslov2"/>
        <w:jc w:val="center"/>
        <w:rPr>
          <w:rFonts w:ascii="Arial" w:hAnsi="Arial" w:cs="Arial"/>
          <w:sz w:val="22"/>
          <w:lang w:val="hr-HR"/>
        </w:rPr>
      </w:pPr>
      <w:bookmarkStart w:id="3" w:name="_Toc207707412"/>
      <w:r w:rsidRPr="003A2F86">
        <w:rPr>
          <w:rFonts w:ascii="Arial" w:hAnsi="Arial" w:cs="Arial"/>
          <w:sz w:val="22"/>
          <w:lang w:val="hr-HR"/>
        </w:rPr>
        <w:t>1.1.</w:t>
      </w:r>
      <w:r w:rsidRPr="003A2F86">
        <w:rPr>
          <w:rFonts w:ascii="Arial" w:hAnsi="Arial" w:cs="Arial"/>
          <w:sz w:val="22"/>
          <w:lang w:val="hr-HR"/>
        </w:rPr>
        <w:tab/>
        <w:t xml:space="preserve">OSVRT NA </w:t>
      </w:r>
      <w:r w:rsidR="00384F8D" w:rsidRPr="003A2F86">
        <w:rPr>
          <w:rFonts w:ascii="Arial" w:hAnsi="Arial" w:cs="Arial"/>
          <w:sz w:val="22"/>
          <w:lang w:val="hr-HR"/>
        </w:rPr>
        <w:t xml:space="preserve">ZAKONSKI OKVIR, </w:t>
      </w:r>
      <w:r w:rsidR="00F952A1" w:rsidRPr="003A2F86">
        <w:rPr>
          <w:rFonts w:ascii="Arial" w:hAnsi="Arial" w:cs="Arial"/>
          <w:sz w:val="22"/>
          <w:lang w:val="hr-HR"/>
        </w:rPr>
        <w:t xml:space="preserve">STRUKTURU I </w:t>
      </w:r>
      <w:r w:rsidRPr="003A2F86">
        <w:rPr>
          <w:rFonts w:ascii="Arial" w:hAnsi="Arial" w:cs="Arial"/>
          <w:sz w:val="22"/>
          <w:lang w:val="hr-HR"/>
        </w:rPr>
        <w:t>SADRŽAJ IZVJEŠTAJA</w:t>
      </w:r>
      <w:bookmarkEnd w:id="3"/>
    </w:p>
    <w:p w14:paraId="16C7BFB6" w14:textId="77777777" w:rsidR="00891119" w:rsidRPr="003A2F86" w:rsidRDefault="00891119" w:rsidP="00891119">
      <w:pPr>
        <w:autoSpaceDE w:val="0"/>
        <w:autoSpaceDN w:val="0"/>
        <w:adjustRightInd w:val="0"/>
        <w:spacing w:after="0" w:line="240" w:lineRule="auto"/>
        <w:jc w:val="both"/>
        <w:rPr>
          <w:rFonts w:ascii="Arial" w:eastAsia="Times New Roman" w:hAnsi="Arial" w:cs="Arial"/>
        </w:rPr>
      </w:pPr>
    </w:p>
    <w:p w14:paraId="0812759F" w14:textId="10E33C8C" w:rsidR="00891119" w:rsidRPr="003A2F86" w:rsidRDefault="00F952A1" w:rsidP="00891119">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b/>
          <w:i/>
        </w:rPr>
        <w:t>Polugodišnji i g</w:t>
      </w:r>
      <w:r w:rsidR="00621EED" w:rsidRPr="003A2F86">
        <w:rPr>
          <w:rFonts w:ascii="Arial" w:eastAsia="Times New Roman" w:hAnsi="Arial" w:cs="Arial"/>
          <w:b/>
          <w:i/>
        </w:rPr>
        <w:t>o</w:t>
      </w:r>
      <w:r w:rsidR="00891119" w:rsidRPr="003A2F86">
        <w:rPr>
          <w:rFonts w:ascii="Arial" w:eastAsia="Times New Roman" w:hAnsi="Arial" w:cs="Arial"/>
          <w:b/>
          <w:i/>
        </w:rPr>
        <w:t>dišnji izvještaj o izvršenju Proračuna Općine Konavle</w:t>
      </w:r>
      <w:r w:rsidR="00891119" w:rsidRPr="003A2F86">
        <w:rPr>
          <w:rFonts w:ascii="Arial" w:eastAsia="Times New Roman" w:hAnsi="Arial" w:cs="Arial"/>
          <w:b/>
          <w:i/>
          <w:sz w:val="24"/>
          <w:szCs w:val="24"/>
        </w:rPr>
        <w:t xml:space="preserve"> </w:t>
      </w:r>
      <w:r w:rsidR="00891119" w:rsidRPr="003A2F86">
        <w:rPr>
          <w:rFonts w:ascii="Arial" w:eastAsia="Times New Roman" w:hAnsi="Arial" w:cs="Arial"/>
        </w:rPr>
        <w:t xml:space="preserve">donosi se u skladu s odredbama </w:t>
      </w:r>
      <w:r w:rsidR="005D670F" w:rsidRPr="003A2F86">
        <w:rPr>
          <w:rFonts w:ascii="Arial" w:eastAsia="Times New Roman" w:hAnsi="Arial" w:cs="Arial"/>
        </w:rPr>
        <w:t xml:space="preserve">članka </w:t>
      </w:r>
      <w:r w:rsidR="00B04B82" w:rsidRPr="003A2F86">
        <w:rPr>
          <w:rFonts w:ascii="Arial" w:eastAsia="Times New Roman" w:hAnsi="Arial" w:cs="Arial"/>
        </w:rPr>
        <w:t>76</w:t>
      </w:r>
      <w:r w:rsidR="00891119" w:rsidRPr="003A2F86">
        <w:rPr>
          <w:rFonts w:ascii="Arial" w:eastAsia="Times New Roman" w:hAnsi="Arial" w:cs="Arial"/>
        </w:rPr>
        <w:t>.</w:t>
      </w:r>
      <w:r w:rsidR="008A00A2" w:rsidRPr="003A2F86">
        <w:rPr>
          <w:rFonts w:ascii="Arial" w:eastAsia="Times New Roman" w:hAnsi="Arial" w:cs="Arial"/>
        </w:rPr>
        <w:t xml:space="preserve"> </w:t>
      </w:r>
      <w:r w:rsidR="00891119" w:rsidRPr="003A2F86">
        <w:rPr>
          <w:rFonts w:ascii="Arial" w:eastAsia="Times New Roman" w:hAnsi="Arial" w:cs="Arial"/>
        </w:rPr>
        <w:t xml:space="preserve">Zakona o proračunu (Narodne novine </w:t>
      </w:r>
      <w:r w:rsidR="00B04B82" w:rsidRPr="003A2F86">
        <w:rPr>
          <w:rFonts w:ascii="Arial" w:eastAsia="Times New Roman" w:hAnsi="Arial" w:cs="Arial"/>
        </w:rPr>
        <w:t>144/21</w:t>
      </w:r>
      <w:r w:rsidR="00891119" w:rsidRPr="003A2F86">
        <w:rPr>
          <w:rFonts w:ascii="Arial" w:eastAsia="Times New Roman" w:hAnsi="Arial" w:cs="Arial"/>
        </w:rPr>
        <w:t>), te odredbama Pravilnika o polugodišnjem i godišnjem izvještaju o izvršenju proračuna</w:t>
      </w:r>
      <w:r w:rsidR="00435972" w:rsidRPr="003A2F86">
        <w:rPr>
          <w:rFonts w:ascii="Arial" w:eastAsia="Times New Roman" w:hAnsi="Arial" w:cs="Arial"/>
        </w:rPr>
        <w:t xml:space="preserve"> i financijskog plana</w:t>
      </w:r>
      <w:r w:rsidR="00891119" w:rsidRPr="003A2F86">
        <w:rPr>
          <w:rFonts w:ascii="Arial" w:eastAsia="Times New Roman" w:hAnsi="Arial" w:cs="Arial"/>
        </w:rPr>
        <w:t xml:space="preserve"> (Narodne novine </w:t>
      </w:r>
      <w:r w:rsidR="00435972" w:rsidRPr="003A2F86">
        <w:rPr>
          <w:rFonts w:ascii="Arial" w:eastAsia="Times New Roman" w:hAnsi="Arial" w:cs="Arial"/>
        </w:rPr>
        <w:t>85/23</w:t>
      </w:r>
      <w:r w:rsidR="00891119" w:rsidRPr="003A2F86">
        <w:rPr>
          <w:rFonts w:ascii="Arial" w:eastAsia="Times New Roman" w:hAnsi="Arial" w:cs="Arial"/>
        </w:rPr>
        <w:t>).</w:t>
      </w:r>
    </w:p>
    <w:p w14:paraId="473719B2" w14:textId="77777777" w:rsidR="00891119" w:rsidRPr="003A2F86" w:rsidRDefault="00891119" w:rsidP="00891119">
      <w:pPr>
        <w:autoSpaceDE w:val="0"/>
        <w:autoSpaceDN w:val="0"/>
        <w:adjustRightInd w:val="0"/>
        <w:spacing w:after="0" w:line="240" w:lineRule="auto"/>
        <w:jc w:val="both"/>
        <w:rPr>
          <w:rFonts w:ascii="Arial" w:eastAsia="Times New Roman" w:hAnsi="Arial" w:cs="Arial"/>
        </w:rPr>
      </w:pPr>
    </w:p>
    <w:p w14:paraId="27E19FB3" w14:textId="338BEA50" w:rsidR="00891119" w:rsidRPr="003A2F86" w:rsidRDefault="00891119" w:rsidP="00891119">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Član</w:t>
      </w:r>
      <w:r w:rsidR="00B04B82" w:rsidRPr="003A2F86">
        <w:rPr>
          <w:rFonts w:ascii="Arial" w:eastAsia="Times New Roman" w:hAnsi="Arial" w:cs="Arial"/>
        </w:rPr>
        <w:t>cima 77. do 80.</w:t>
      </w:r>
      <w:r w:rsidRPr="003A2F86">
        <w:rPr>
          <w:rFonts w:ascii="Arial" w:eastAsia="Times New Roman" w:hAnsi="Arial" w:cs="Arial"/>
        </w:rPr>
        <w:t xml:space="preserve"> Zakona o proračunu</w:t>
      </w:r>
      <w:r w:rsidR="00930F93" w:rsidRPr="003A2F86">
        <w:rPr>
          <w:rFonts w:ascii="Arial" w:eastAsia="Times New Roman" w:hAnsi="Arial" w:cs="Arial"/>
        </w:rPr>
        <w:t xml:space="preserve"> </w:t>
      </w:r>
      <w:r w:rsidRPr="003A2F86">
        <w:rPr>
          <w:rFonts w:ascii="Arial" w:eastAsia="Times New Roman" w:hAnsi="Arial" w:cs="Arial"/>
        </w:rPr>
        <w:t xml:space="preserve">utvrđeno je da </w:t>
      </w:r>
      <w:r w:rsidR="00435972" w:rsidRPr="003A2F86">
        <w:rPr>
          <w:rFonts w:ascii="Arial" w:eastAsia="Times New Roman" w:hAnsi="Arial" w:cs="Arial"/>
        </w:rPr>
        <w:t>polu</w:t>
      </w:r>
      <w:r w:rsidRPr="003A2F86">
        <w:rPr>
          <w:rFonts w:ascii="Arial" w:eastAsia="Times New Roman" w:hAnsi="Arial" w:cs="Arial"/>
        </w:rPr>
        <w:t>godišnji</w:t>
      </w:r>
      <w:r w:rsidR="00B633D1" w:rsidRPr="003A2F86">
        <w:rPr>
          <w:rFonts w:ascii="Arial" w:eastAsia="Times New Roman" w:hAnsi="Arial" w:cs="Arial"/>
        </w:rPr>
        <w:t xml:space="preserve"> / godišnji</w:t>
      </w:r>
      <w:r w:rsidRPr="003A2F86">
        <w:rPr>
          <w:rFonts w:ascii="Arial" w:eastAsia="Times New Roman" w:hAnsi="Arial" w:cs="Arial"/>
        </w:rPr>
        <w:t xml:space="preserve"> izvještaj o izvršenju proračuna jedinice lokalne samouprave </w:t>
      </w:r>
      <w:r w:rsidRPr="003A2F86">
        <w:rPr>
          <w:rFonts w:ascii="Arial" w:eastAsia="Times New Roman" w:hAnsi="Arial" w:cs="Arial"/>
          <w:i/>
        </w:rPr>
        <w:t>sadrži</w:t>
      </w:r>
      <w:r w:rsidRPr="003A2F86">
        <w:rPr>
          <w:rFonts w:ascii="Arial" w:eastAsia="Times New Roman" w:hAnsi="Arial" w:cs="Arial"/>
        </w:rPr>
        <w:t>:</w:t>
      </w:r>
    </w:p>
    <w:p w14:paraId="2A30066C" w14:textId="0C16CB6C" w:rsidR="00BE635B" w:rsidRPr="003A2F86" w:rsidRDefault="00891119" w:rsidP="001E17AD">
      <w:pPr>
        <w:autoSpaceDE w:val="0"/>
        <w:autoSpaceDN w:val="0"/>
        <w:adjustRightInd w:val="0"/>
        <w:spacing w:after="0" w:line="240" w:lineRule="auto"/>
        <w:ind w:firstLine="567"/>
        <w:jc w:val="both"/>
        <w:rPr>
          <w:rFonts w:ascii="Arial" w:eastAsia="Times New Roman" w:hAnsi="Arial" w:cs="Arial"/>
        </w:rPr>
      </w:pPr>
      <w:r w:rsidRPr="003A2F86">
        <w:rPr>
          <w:rFonts w:ascii="Arial" w:eastAsia="Times New Roman" w:hAnsi="Arial" w:cs="Arial"/>
        </w:rPr>
        <w:t xml:space="preserve">1. </w:t>
      </w:r>
      <w:r w:rsidRPr="003A2F86">
        <w:rPr>
          <w:rFonts w:ascii="Arial" w:eastAsia="Times New Roman" w:hAnsi="Arial" w:cs="Arial"/>
          <w:b/>
        </w:rPr>
        <w:t>opći dio</w:t>
      </w:r>
      <w:r w:rsidRPr="003A2F86">
        <w:rPr>
          <w:rFonts w:ascii="Arial" w:eastAsia="Times New Roman" w:hAnsi="Arial" w:cs="Arial"/>
        </w:rPr>
        <w:t xml:space="preserve"> proračuna </w:t>
      </w:r>
      <w:bookmarkStart w:id="4" w:name="_Hlk6158065"/>
      <w:r w:rsidR="00EE5313" w:rsidRPr="003A2F86">
        <w:rPr>
          <w:rFonts w:ascii="Arial" w:eastAsia="Times New Roman" w:hAnsi="Arial" w:cs="Arial"/>
          <w:i/>
        </w:rPr>
        <w:t>(</w:t>
      </w:r>
      <w:r w:rsidR="00EE5313" w:rsidRPr="003A2F86">
        <w:rPr>
          <w:rFonts w:ascii="Arial" w:eastAsia="Times New Roman" w:hAnsi="Arial" w:cs="Arial"/>
          <w:b/>
          <w:bCs/>
          <w:i/>
        </w:rPr>
        <w:t>privitak</w:t>
      </w:r>
      <w:r w:rsidR="00EE5313" w:rsidRPr="003A2F86">
        <w:rPr>
          <w:rFonts w:ascii="Arial" w:eastAsia="Times New Roman" w:hAnsi="Arial" w:cs="Arial"/>
          <w:i/>
        </w:rPr>
        <w:t>, financijski dio Izvještaja)</w:t>
      </w:r>
      <w:bookmarkEnd w:id="4"/>
      <w:r w:rsidR="00EE5313" w:rsidRPr="003A2F86">
        <w:rPr>
          <w:rFonts w:ascii="Arial" w:eastAsia="Times New Roman" w:hAnsi="Arial" w:cs="Arial"/>
        </w:rPr>
        <w:t xml:space="preserve"> </w:t>
      </w:r>
      <w:r w:rsidRPr="003A2F86">
        <w:rPr>
          <w:rFonts w:ascii="Arial" w:eastAsia="Times New Roman" w:hAnsi="Arial" w:cs="Arial"/>
        </w:rPr>
        <w:t>koji čini</w:t>
      </w:r>
      <w:r w:rsidR="00BE635B" w:rsidRPr="003A2F86">
        <w:rPr>
          <w:rFonts w:ascii="Arial" w:eastAsia="Times New Roman" w:hAnsi="Arial" w:cs="Arial"/>
        </w:rPr>
        <w:t>:</w:t>
      </w:r>
    </w:p>
    <w:p w14:paraId="694FF722" w14:textId="5F2CF2F3" w:rsidR="00BE635B" w:rsidRPr="003A2F86" w:rsidRDefault="00BE635B" w:rsidP="00BE635B">
      <w:pPr>
        <w:autoSpaceDE w:val="0"/>
        <w:autoSpaceDN w:val="0"/>
        <w:adjustRightInd w:val="0"/>
        <w:spacing w:after="0" w:line="240" w:lineRule="auto"/>
        <w:ind w:left="567" w:firstLine="709"/>
        <w:jc w:val="both"/>
        <w:rPr>
          <w:rFonts w:ascii="Arial" w:eastAsia="Times New Roman" w:hAnsi="Arial" w:cs="Arial"/>
        </w:rPr>
      </w:pPr>
      <w:r w:rsidRPr="003A2F86">
        <w:rPr>
          <w:rFonts w:ascii="Arial" w:eastAsia="Times New Roman" w:hAnsi="Arial" w:cs="Arial"/>
          <w:b/>
        </w:rPr>
        <w:t>-</w:t>
      </w:r>
      <w:r w:rsidRPr="003A2F86">
        <w:rPr>
          <w:rFonts w:ascii="Arial" w:eastAsia="Times New Roman" w:hAnsi="Arial" w:cs="Arial"/>
          <w:b/>
        </w:rPr>
        <w:tab/>
      </w:r>
      <w:r w:rsidR="00891119" w:rsidRPr="003A2F86">
        <w:rPr>
          <w:rFonts w:ascii="Arial" w:eastAsia="Times New Roman" w:hAnsi="Arial" w:cs="Arial"/>
        </w:rPr>
        <w:t xml:space="preserve"> </w:t>
      </w:r>
      <w:r w:rsidR="00435972" w:rsidRPr="003A2F86">
        <w:rPr>
          <w:rFonts w:ascii="Arial" w:eastAsia="Times New Roman" w:hAnsi="Arial" w:cs="Arial"/>
          <w:b/>
          <w:bCs/>
        </w:rPr>
        <w:t>sažetak</w:t>
      </w:r>
      <w:r w:rsidR="00435972" w:rsidRPr="003A2F86">
        <w:rPr>
          <w:rFonts w:ascii="Arial" w:eastAsia="Times New Roman" w:hAnsi="Arial" w:cs="Arial"/>
        </w:rPr>
        <w:t xml:space="preserve"> Računa prihoda i rashoda i Računa financiranja,</w:t>
      </w:r>
      <w:r w:rsidRPr="003A2F86">
        <w:rPr>
          <w:rFonts w:ascii="Arial" w:eastAsia="Times New Roman" w:hAnsi="Arial" w:cs="Arial"/>
        </w:rPr>
        <w:t xml:space="preserve"> (na razini razreda ekonomske klasifikacije)</w:t>
      </w:r>
    </w:p>
    <w:p w14:paraId="0B581A51" w14:textId="3C80D17A" w:rsidR="00BE635B" w:rsidRPr="003A2F86" w:rsidRDefault="00BE635B" w:rsidP="00BE635B">
      <w:pPr>
        <w:autoSpaceDE w:val="0"/>
        <w:autoSpaceDN w:val="0"/>
        <w:adjustRightInd w:val="0"/>
        <w:spacing w:after="0" w:line="240" w:lineRule="auto"/>
        <w:ind w:left="567" w:firstLine="709"/>
        <w:jc w:val="both"/>
        <w:rPr>
          <w:rFonts w:ascii="Arial" w:eastAsia="Times New Roman" w:hAnsi="Arial" w:cs="Arial"/>
        </w:rPr>
      </w:pPr>
      <w:r w:rsidRPr="003A2F86">
        <w:rPr>
          <w:rFonts w:ascii="Arial" w:eastAsia="Times New Roman" w:hAnsi="Arial" w:cs="Arial"/>
          <w:b/>
        </w:rPr>
        <w:t>-</w:t>
      </w:r>
      <w:r w:rsidRPr="003A2F86">
        <w:rPr>
          <w:rFonts w:ascii="Arial" w:eastAsia="Times New Roman" w:hAnsi="Arial" w:cs="Arial"/>
          <w:b/>
        </w:rPr>
        <w:tab/>
      </w:r>
      <w:r w:rsidR="00435972" w:rsidRPr="003A2F86">
        <w:rPr>
          <w:rFonts w:ascii="Arial" w:eastAsia="Times New Roman" w:hAnsi="Arial" w:cs="Arial"/>
        </w:rPr>
        <w:t xml:space="preserve"> </w:t>
      </w:r>
      <w:r w:rsidR="00891119" w:rsidRPr="003A2F86">
        <w:rPr>
          <w:rFonts w:ascii="Arial" w:eastAsia="Times New Roman" w:hAnsi="Arial" w:cs="Arial"/>
          <w:b/>
          <w:bCs/>
        </w:rPr>
        <w:t>Račun prihoda i rashoda</w:t>
      </w:r>
      <w:r w:rsidR="00891119" w:rsidRPr="003A2F86">
        <w:rPr>
          <w:rFonts w:ascii="Arial" w:eastAsia="Times New Roman" w:hAnsi="Arial" w:cs="Arial"/>
        </w:rPr>
        <w:t xml:space="preserve"> </w:t>
      </w:r>
      <w:r w:rsidR="00EE5313" w:rsidRPr="003A2F86">
        <w:rPr>
          <w:rFonts w:ascii="Arial" w:eastAsia="Times New Roman" w:hAnsi="Arial" w:cs="Arial"/>
        </w:rPr>
        <w:t>(prikaz prihoda i rashoda prema ekonomskoj klasifikaciji, izvorima financiranja i funkcijskoj klasifikaciji)</w:t>
      </w:r>
    </w:p>
    <w:p w14:paraId="15B86E4C" w14:textId="448A83F9" w:rsidR="00891119" w:rsidRPr="003A2F86" w:rsidRDefault="00BE635B" w:rsidP="00BE635B">
      <w:pPr>
        <w:autoSpaceDE w:val="0"/>
        <w:autoSpaceDN w:val="0"/>
        <w:adjustRightInd w:val="0"/>
        <w:spacing w:after="0" w:line="240" w:lineRule="auto"/>
        <w:ind w:left="567" w:firstLine="709"/>
        <w:jc w:val="both"/>
        <w:rPr>
          <w:rFonts w:ascii="Arial" w:eastAsia="Times New Roman" w:hAnsi="Arial" w:cs="Arial"/>
        </w:rPr>
      </w:pPr>
      <w:r w:rsidRPr="003A2F86">
        <w:rPr>
          <w:rFonts w:ascii="Arial" w:eastAsia="Times New Roman" w:hAnsi="Arial" w:cs="Arial"/>
          <w:b/>
        </w:rPr>
        <w:t>-</w:t>
      </w:r>
      <w:r w:rsidRPr="003A2F86">
        <w:rPr>
          <w:rFonts w:ascii="Arial" w:eastAsia="Times New Roman" w:hAnsi="Arial" w:cs="Arial"/>
          <w:b/>
        </w:rPr>
        <w:tab/>
        <w:t xml:space="preserve"> </w:t>
      </w:r>
      <w:r w:rsidR="00891119" w:rsidRPr="003A2F86">
        <w:rPr>
          <w:rFonts w:ascii="Arial" w:eastAsia="Times New Roman" w:hAnsi="Arial" w:cs="Arial"/>
          <w:b/>
          <w:bCs/>
        </w:rPr>
        <w:t>Račun financiranja</w:t>
      </w:r>
      <w:r w:rsidR="00EE5313" w:rsidRPr="003A2F86">
        <w:rPr>
          <w:rFonts w:ascii="Arial" w:eastAsia="Times New Roman" w:hAnsi="Arial" w:cs="Arial"/>
        </w:rPr>
        <w:t xml:space="preserve"> (prikaz primitaka i izdataka prema ekonomskoj </w:t>
      </w:r>
      <w:r w:rsidR="00891119" w:rsidRPr="003A2F86">
        <w:rPr>
          <w:rFonts w:ascii="Arial" w:eastAsia="Times New Roman" w:hAnsi="Arial" w:cs="Arial"/>
        </w:rPr>
        <w:t>klasifikacij</w:t>
      </w:r>
      <w:r w:rsidR="00BA03BC" w:rsidRPr="003A2F86">
        <w:rPr>
          <w:rFonts w:ascii="Arial" w:eastAsia="Times New Roman" w:hAnsi="Arial" w:cs="Arial"/>
        </w:rPr>
        <w:t>i</w:t>
      </w:r>
      <w:r w:rsidR="00EE5313" w:rsidRPr="003A2F86">
        <w:rPr>
          <w:rFonts w:ascii="Arial" w:eastAsia="Times New Roman" w:hAnsi="Arial" w:cs="Arial"/>
        </w:rPr>
        <w:t xml:space="preserve"> i izvorima financiranja)</w:t>
      </w:r>
      <w:r w:rsidR="00BA03BC" w:rsidRPr="003A2F86">
        <w:rPr>
          <w:rFonts w:ascii="Arial" w:eastAsia="Times New Roman" w:hAnsi="Arial" w:cs="Arial"/>
        </w:rPr>
        <w:t xml:space="preserve"> </w:t>
      </w:r>
    </w:p>
    <w:p w14:paraId="5F6C0C09" w14:textId="4C41F8A4" w:rsidR="00891119" w:rsidRPr="003A2F86" w:rsidRDefault="00891119" w:rsidP="001E17AD">
      <w:pPr>
        <w:autoSpaceDE w:val="0"/>
        <w:autoSpaceDN w:val="0"/>
        <w:adjustRightInd w:val="0"/>
        <w:spacing w:after="0" w:line="240" w:lineRule="auto"/>
        <w:ind w:firstLine="567"/>
        <w:jc w:val="both"/>
        <w:rPr>
          <w:rFonts w:ascii="Arial" w:eastAsia="Times New Roman" w:hAnsi="Arial" w:cs="Arial"/>
        </w:rPr>
      </w:pPr>
      <w:r w:rsidRPr="003A2F86">
        <w:rPr>
          <w:rFonts w:ascii="Arial" w:eastAsia="Times New Roman" w:hAnsi="Arial" w:cs="Arial"/>
        </w:rPr>
        <w:t xml:space="preserve">2. </w:t>
      </w:r>
      <w:r w:rsidRPr="003A2F86">
        <w:rPr>
          <w:rFonts w:ascii="Arial" w:eastAsia="Times New Roman" w:hAnsi="Arial" w:cs="Arial"/>
          <w:b/>
        </w:rPr>
        <w:t>posebni dio</w:t>
      </w:r>
      <w:r w:rsidRPr="003A2F86">
        <w:rPr>
          <w:rFonts w:ascii="Arial" w:eastAsia="Times New Roman" w:hAnsi="Arial" w:cs="Arial"/>
        </w:rPr>
        <w:t xml:space="preserve"> proračuna po organizacijskoj </w:t>
      </w:r>
      <w:r w:rsidR="008A76EE" w:rsidRPr="003A2F86">
        <w:rPr>
          <w:rFonts w:ascii="Arial" w:eastAsia="Times New Roman" w:hAnsi="Arial" w:cs="Arial"/>
        </w:rPr>
        <w:t>klasifikaciji</w:t>
      </w:r>
      <w:r w:rsidR="00BA03BC" w:rsidRPr="003A2F86">
        <w:rPr>
          <w:rFonts w:ascii="Arial" w:eastAsia="Times New Roman" w:hAnsi="Arial" w:cs="Arial"/>
        </w:rPr>
        <w:t>, izvorima i ekonomskoj klasifikaciji raspoređen u programe koji se sastoje od aktivnosti i projekata</w:t>
      </w:r>
      <w:r w:rsidRPr="003A2F86">
        <w:rPr>
          <w:rFonts w:ascii="Arial" w:eastAsia="Times New Roman" w:hAnsi="Arial" w:cs="Arial"/>
        </w:rPr>
        <w:t xml:space="preserve"> </w:t>
      </w:r>
      <w:r w:rsidRPr="003A2F86">
        <w:rPr>
          <w:rFonts w:ascii="Arial" w:eastAsia="Times New Roman" w:hAnsi="Arial" w:cs="Arial"/>
          <w:i/>
        </w:rPr>
        <w:t>(</w:t>
      </w:r>
      <w:r w:rsidR="006A6D70" w:rsidRPr="003A2F86">
        <w:rPr>
          <w:rFonts w:ascii="Arial" w:eastAsia="Times New Roman" w:hAnsi="Arial" w:cs="Arial"/>
          <w:b/>
          <w:i/>
        </w:rPr>
        <w:t>privitak</w:t>
      </w:r>
      <w:r w:rsidRPr="003A2F86">
        <w:rPr>
          <w:rFonts w:ascii="Arial" w:eastAsia="Times New Roman" w:hAnsi="Arial" w:cs="Arial"/>
          <w:i/>
        </w:rPr>
        <w:t>, financijski dio Izvještaja)</w:t>
      </w:r>
      <w:r w:rsidRPr="003A2F86">
        <w:rPr>
          <w:rFonts w:ascii="Arial" w:eastAsia="Times New Roman" w:hAnsi="Arial" w:cs="Arial"/>
        </w:rPr>
        <w:t>,</w:t>
      </w:r>
    </w:p>
    <w:p w14:paraId="5C1F74AC" w14:textId="06CACD6F" w:rsidR="00BA03BC" w:rsidRPr="003A2F86" w:rsidRDefault="00BA03BC" w:rsidP="001E17AD">
      <w:pPr>
        <w:autoSpaceDE w:val="0"/>
        <w:autoSpaceDN w:val="0"/>
        <w:adjustRightInd w:val="0"/>
        <w:spacing w:after="0" w:line="240" w:lineRule="auto"/>
        <w:ind w:firstLine="567"/>
        <w:jc w:val="both"/>
        <w:rPr>
          <w:rFonts w:ascii="Arial" w:eastAsia="Times New Roman" w:hAnsi="Arial" w:cs="Arial"/>
        </w:rPr>
      </w:pPr>
      <w:r w:rsidRPr="003A2F86">
        <w:rPr>
          <w:rFonts w:ascii="Arial" w:eastAsia="Times New Roman" w:hAnsi="Arial" w:cs="Arial"/>
          <w:bCs/>
        </w:rPr>
        <w:t>3.</w:t>
      </w:r>
      <w:r w:rsidRPr="003A2F86">
        <w:rPr>
          <w:rFonts w:ascii="Arial" w:eastAsia="Times New Roman" w:hAnsi="Arial" w:cs="Arial"/>
          <w:b/>
        </w:rPr>
        <w:t xml:space="preserve"> obrazloženje izvještaj</w:t>
      </w:r>
      <w:r w:rsidR="00930F93" w:rsidRPr="003A2F86">
        <w:rPr>
          <w:rFonts w:ascii="Arial" w:eastAsia="Times New Roman" w:hAnsi="Arial" w:cs="Arial"/>
          <w:b/>
        </w:rPr>
        <w:t>a</w:t>
      </w:r>
      <w:r w:rsidRPr="003A2F86">
        <w:rPr>
          <w:rFonts w:ascii="Arial" w:eastAsia="Times New Roman" w:hAnsi="Arial" w:cs="Arial"/>
          <w:b/>
        </w:rPr>
        <w:t xml:space="preserve"> o izvršenju proračuna </w:t>
      </w:r>
      <w:r w:rsidRPr="003A2F86">
        <w:rPr>
          <w:rFonts w:ascii="Arial" w:eastAsia="Times New Roman" w:hAnsi="Arial" w:cs="Arial"/>
        </w:rPr>
        <w:t xml:space="preserve">(ovo obrazloženje sukladno spomenutom Pravilniku ima više obveznih dijelova kao što su </w:t>
      </w:r>
      <w:hyperlink w:anchor="_2.__OBRAZLOŽENJE" w:history="1">
        <w:r w:rsidRPr="001B4970">
          <w:rPr>
            <w:rStyle w:val="Hiperveza"/>
            <w:rFonts w:ascii="Arial" w:eastAsia="Times New Roman" w:hAnsi="Arial" w:cs="Arial"/>
            <w:i/>
          </w:rPr>
          <w:t>točk</w:t>
        </w:r>
        <w:r w:rsidR="001B4970" w:rsidRPr="001B4970">
          <w:rPr>
            <w:rStyle w:val="Hiperveza"/>
            <w:rFonts w:ascii="Arial" w:eastAsia="Times New Roman" w:hAnsi="Arial" w:cs="Arial"/>
            <w:i/>
          </w:rPr>
          <w:t>a</w:t>
        </w:r>
        <w:r w:rsidRPr="001B4970">
          <w:rPr>
            <w:rStyle w:val="Hiperveza"/>
            <w:rFonts w:ascii="Arial" w:eastAsia="Times New Roman" w:hAnsi="Arial" w:cs="Arial"/>
            <w:i/>
          </w:rPr>
          <w:t xml:space="preserve"> </w:t>
        </w:r>
        <w:r w:rsidR="00FC0E6E" w:rsidRPr="001B4970">
          <w:rPr>
            <w:rStyle w:val="Hiperveza"/>
            <w:rFonts w:ascii="Arial" w:eastAsia="Times New Roman" w:hAnsi="Arial" w:cs="Arial"/>
            <w:i/>
          </w:rPr>
          <w:t>2.</w:t>
        </w:r>
      </w:hyperlink>
      <w:r w:rsidR="00FC0E6E" w:rsidRPr="003A2F86">
        <w:rPr>
          <w:rFonts w:ascii="Arial" w:eastAsia="Times New Roman" w:hAnsi="Arial" w:cs="Arial"/>
          <w:i/>
          <w:color w:val="FF0000"/>
        </w:rPr>
        <w:t xml:space="preserve"> </w:t>
      </w:r>
      <w:r w:rsidR="00FC0E6E" w:rsidRPr="00A224B5">
        <w:rPr>
          <w:rFonts w:ascii="Arial" w:eastAsia="Times New Roman" w:hAnsi="Arial" w:cs="Arial"/>
          <w:i/>
        </w:rPr>
        <w:t xml:space="preserve">i </w:t>
      </w:r>
      <w:hyperlink w:anchor="_3.__OBRAZLOŽENJE" w:history="1">
        <w:r w:rsidR="001B4970" w:rsidRPr="001B4970">
          <w:rPr>
            <w:rStyle w:val="Hiperveza"/>
            <w:rFonts w:ascii="Arial" w:eastAsia="Times New Roman" w:hAnsi="Arial" w:cs="Arial"/>
            <w:i/>
          </w:rPr>
          <w:t xml:space="preserve">točka </w:t>
        </w:r>
        <w:r w:rsidR="00FC0E6E" w:rsidRPr="001B4970">
          <w:rPr>
            <w:rStyle w:val="Hiperveza"/>
            <w:rFonts w:ascii="Arial" w:eastAsia="Times New Roman" w:hAnsi="Arial" w:cs="Arial"/>
            <w:i/>
          </w:rPr>
          <w:t>3</w:t>
        </w:r>
        <w:r w:rsidR="0011271E" w:rsidRPr="001B4970">
          <w:rPr>
            <w:rStyle w:val="Hiperveza"/>
            <w:rFonts w:ascii="Arial" w:eastAsia="Times New Roman" w:hAnsi="Arial" w:cs="Arial"/>
            <w:i/>
          </w:rPr>
          <w:t>.</w:t>
        </w:r>
      </w:hyperlink>
      <w:r w:rsidR="0011271E" w:rsidRPr="00A224B5">
        <w:rPr>
          <w:rFonts w:ascii="Arial" w:eastAsia="Times New Roman" w:hAnsi="Arial" w:cs="Arial"/>
          <w:i/>
        </w:rPr>
        <w:t xml:space="preserve">, </w:t>
      </w:r>
      <w:r w:rsidR="00D14D9B" w:rsidRPr="003A2F86">
        <w:rPr>
          <w:rFonts w:ascii="Arial" w:eastAsia="Times New Roman" w:hAnsi="Arial" w:cs="Arial"/>
          <w:iCs/>
        </w:rPr>
        <w:t>dakle</w:t>
      </w:r>
      <w:r w:rsidR="0011271E" w:rsidRPr="003A2F86">
        <w:rPr>
          <w:rFonts w:ascii="Arial" w:eastAsia="Times New Roman" w:hAnsi="Arial" w:cs="Arial"/>
          <w:iCs/>
        </w:rPr>
        <w:t xml:space="preserve"> obrazloženje općeg dijela i obrazloženje posebnog dijela izvještaja o izvršenju proračuna</w:t>
      </w:r>
      <w:r w:rsidRPr="003A2F86">
        <w:rPr>
          <w:rFonts w:ascii="Arial" w:eastAsia="Times New Roman" w:hAnsi="Arial" w:cs="Arial"/>
          <w:i/>
        </w:rPr>
        <w:t>)</w:t>
      </w:r>
      <w:r w:rsidRPr="003A2F86">
        <w:rPr>
          <w:rFonts w:ascii="Arial" w:eastAsia="Times New Roman" w:hAnsi="Arial" w:cs="Arial"/>
        </w:rPr>
        <w:t>.</w:t>
      </w:r>
    </w:p>
    <w:p w14:paraId="4D0977E5" w14:textId="0CB1019D" w:rsidR="00BA03BC" w:rsidRPr="003A2F86" w:rsidRDefault="00BA03BC" w:rsidP="001E17AD">
      <w:pPr>
        <w:autoSpaceDE w:val="0"/>
        <w:autoSpaceDN w:val="0"/>
        <w:adjustRightInd w:val="0"/>
        <w:spacing w:after="0" w:line="240" w:lineRule="auto"/>
        <w:ind w:firstLine="567"/>
        <w:jc w:val="both"/>
        <w:rPr>
          <w:rFonts w:ascii="Arial" w:eastAsia="Times New Roman" w:hAnsi="Arial" w:cs="Arial"/>
        </w:rPr>
      </w:pPr>
      <w:r w:rsidRPr="003A2F86">
        <w:rPr>
          <w:rFonts w:ascii="Arial" w:eastAsia="Times New Roman" w:hAnsi="Arial" w:cs="Arial"/>
        </w:rPr>
        <w:t xml:space="preserve">4. </w:t>
      </w:r>
      <w:r w:rsidRPr="003A2F86">
        <w:rPr>
          <w:rFonts w:ascii="Arial" w:eastAsia="Times New Roman" w:hAnsi="Arial" w:cs="Arial"/>
          <w:b/>
          <w:bCs/>
        </w:rPr>
        <w:t>po</w:t>
      </w:r>
      <w:r w:rsidR="009A2E53" w:rsidRPr="003A2F86">
        <w:rPr>
          <w:rFonts w:ascii="Arial" w:eastAsia="Times New Roman" w:hAnsi="Arial" w:cs="Arial"/>
          <w:b/>
          <w:bCs/>
        </w:rPr>
        <w:t>sebne izvještaje u izvještaju o izvršenju proračuna</w:t>
      </w:r>
      <w:r w:rsidR="009A2E53" w:rsidRPr="003A2F86">
        <w:rPr>
          <w:rFonts w:ascii="Arial" w:eastAsia="Times New Roman" w:hAnsi="Arial" w:cs="Arial"/>
        </w:rPr>
        <w:t xml:space="preserve">: </w:t>
      </w:r>
    </w:p>
    <w:p w14:paraId="4E89F249" w14:textId="36735DB0" w:rsidR="009A2E53" w:rsidRPr="003A2F86" w:rsidRDefault="009A2E53" w:rsidP="001E17AD">
      <w:pPr>
        <w:autoSpaceDE w:val="0"/>
        <w:autoSpaceDN w:val="0"/>
        <w:adjustRightInd w:val="0"/>
        <w:spacing w:after="0" w:line="240" w:lineRule="auto"/>
        <w:ind w:left="709" w:firstLine="142"/>
        <w:jc w:val="both"/>
        <w:rPr>
          <w:rFonts w:ascii="Arial" w:eastAsia="Times New Roman" w:hAnsi="Arial" w:cs="Arial"/>
        </w:rPr>
      </w:pPr>
      <w:r w:rsidRPr="003A2F86">
        <w:rPr>
          <w:rFonts w:ascii="Arial" w:eastAsia="Times New Roman" w:hAnsi="Arial" w:cs="Arial"/>
        </w:rPr>
        <w:t xml:space="preserve">4.1. </w:t>
      </w:r>
      <w:r w:rsidRPr="003A2F86">
        <w:rPr>
          <w:rFonts w:ascii="Arial" w:eastAsia="Times New Roman" w:hAnsi="Arial" w:cs="Arial"/>
          <w:b/>
        </w:rPr>
        <w:t>izvještaj o korištenju proračunske zalihe</w:t>
      </w:r>
      <w:r w:rsidRPr="003A2F86">
        <w:rPr>
          <w:rFonts w:ascii="Arial" w:eastAsia="Times New Roman" w:hAnsi="Arial" w:cs="Arial"/>
        </w:rPr>
        <w:t xml:space="preserve"> (</w:t>
      </w:r>
      <w:hyperlink w:anchor="_4.1.__IZVJEŠTAJ" w:history="1">
        <w:r w:rsidRPr="001B4970">
          <w:rPr>
            <w:rStyle w:val="Hiperveza"/>
            <w:rFonts w:ascii="Arial" w:eastAsia="Times New Roman" w:hAnsi="Arial" w:cs="Arial"/>
            <w:i/>
          </w:rPr>
          <w:t xml:space="preserve">točka </w:t>
        </w:r>
        <w:r w:rsidR="00FC0E6E" w:rsidRPr="001B4970">
          <w:rPr>
            <w:rStyle w:val="Hiperveza"/>
            <w:rFonts w:ascii="Arial" w:eastAsia="Times New Roman" w:hAnsi="Arial" w:cs="Arial"/>
            <w:i/>
          </w:rPr>
          <w:t>4.1</w:t>
        </w:r>
      </w:hyperlink>
      <w:r w:rsidRPr="003A2F86">
        <w:rPr>
          <w:rFonts w:ascii="Arial" w:eastAsia="Times New Roman" w:hAnsi="Arial" w:cs="Arial"/>
          <w:i/>
        </w:rPr>
        <w:t>.)</w:t>
      </w:r>
      <w:r w:rsidRPr="003A2F86">
        <w:rPr>
          <w:rFonts w:ascii="Arial" w:eastAsia="Times New Roman" w:hAnsi="Arial" w:cs="Arial"/>
        </w:rPr>
        <w:t>,</w:t>
      </w:r>
    </w:p>
    <w:p w14:paraId="47E4F188" w14:textId="5FA2C667" w:rsidR="00435972" w:rsidRPr="003A2F86" w:rsidRDefault="00435972" w:rsidP="00435972">
      <w:pPr>
        <w:autoSpaceDE w:val="0"/>
        <w:autoSpaceDN w:val="0"/>
        <w:adjustRightInd w:val="0"/>
        <w:spacing w:after="0" w:line="240" w:lineRule="auto"/>
        <w:ind w:left="709" w:firstLine="142"/>
        <w:jc w:val="both"/>
        <w:rPr>
          <w:rFonts w:ascii="Arial" w:eastAsia="Times New Roman" w:hAnsi="Arial" w:cs="Arial"/>
        </w:rPr>
      </w:pPr>
      <w:r w:rsidRPr="003A2F86">
        <w:rPr>
          <w:rFonts w:ascii="Arial" w:eastAsia="Times New Roman" w:hAnsi="Arial" w:cs="Arial"/>
        </w:rPr>
        <w:t>4.2.</w:t>
      </w:r>
      <w:r w:rsidRPr="003A2F86">
        <w:rPr>
          <w:rFonts w:ascii="Arial" w:eastAsia="Times New Roman" w:hAnsi="Arial" w:cs="Arial"/>
          <w:b/>
        </w:rPr>
        <w:t xml:space="preserve"> izvještaj o zaduživanju</w:t>
      </w:r>
      <w:r w:rsidRPr="003A2F86">
        <w:rPr>
          <w:rFonts w:ascii="Arial" w:eastAsia="Times New Roman" w:hAnsi="Arial" w:cs="Arial"/>
        </w:rPr>
        <w:t xml:space="preserve"> na domaćem i stranom tržištu novca i kapitala (</w:t>
      </w:r>
      <w:hyperlink w:anchor="_4.2._IZVJEŠTAJ_O" w:history="1">
        <w:r w:rsidRPr="001B4970">
          <w:rPr>
            <w:rStyle w:val="Hiperveza"/>
            <w:rFonts w:ascii="Arial" w:eastAsia="Times New Roman" w:hAnsi="Arial" w:cs="Arial"/>
            <w:i/>
          </w:rPr>
          <w:t xml:space="preserve">točka </w:t>
        </w:r>
        <w:r w:rsidR="00B176D3" w:rsidRPr="001B4970">
          <w:rPr>
            <w:rStyle w:val="Hiperveza"/>
            <w:rFonts w:ascii="Arial" w:eastAsia="Times New Roman" w:hAnsi="Arial" w:cs="Arial"/>
            <w:i/>
          </w:rPr>
          <w:t>4</w:t>
        </w:r>
        <w:r w:rsidRPr="001B4970">
          <w:rPr>
            <w:rStyle w:val="Hiperveza"/>
            <w:rFonts w:ascii="Arial" w:eastAsia="Times New Roman" w:hAnsi="Arial" w:cs="Arial"/>
            <w:i/>
          </w:rPr>
          <w:t>.</w:t>
        </w:r>
        <w:r w:rsidR="00FC0E6E" w:rsidRPr="001B4970">
          <w:rPr>
            <w:rStyle w:val="Hiperveza"/>
            <w:rFonts w:ascii="Arial" w:eastAsia="Times New Roman" w:hAnsi="Arial" w:cs="Arial"/>
            <w:i/>
          </w:rPr>
          <w:t>2.</w:t>
        </w:r>
      </w:hyperlink>
      <w:r w:rsidRPr="003A2F86">
        <w:rPr>
          <w:rFonts w:ascii="Arial" w:eastAsia="Times New Roman" w:hAnsi="Arial" w:cs="Arial"/>
          <w:i/>
        </w:rPr>
        <w:t>)</w:t>
      </w:r>
      <w:r w:rsidRPr="003A2F86">
        <w:rPr>
          <w:rFonts w:ascii="Arial" w:eastAsia="Times New Roman" w:hAnsi="Arial" w:cs="Arial"/>
        </w:rPr>
        <w:t>,</w:t>
      </w:r>
    </w:p>
    <w:p w14:paraId="2F7BFC78" w14:textId="0866414D" w:rsidR="00435972" w:rsidRPr="00A224B5" w:rsidRDefault="00435972" w:rsidP="00435972">
      <w:pPr>
        <w:autoSpaceDE w:val="0"/>
        <w:autoSpaceDN w:val="0"/>
        <w:adjustRightInd w:val="0"/>
        <w:spacing w:after="0" w:line="240" w:lineRule="auto"/>
        <w:ind w:left="709" w:firstLine="142"/>
        <w:jc w:val="both"/>
        <w:rPr>
          <w:rFonts w:ascii="Arial" w:eastAsia="Times New Roman" w:hAnsi="Arial" w:cs="Arial"/>
        </w:rPr>
      </w:pPr>
      <w:r w:rsidRPr="003A2F86">
        <w:rPr>
          <w:rFonts w:ascii="Arial" w:eastAsia="Times New Roman" w:hAnsi="Arial" w:cs="Arial"/>
        </w:rPr>
        <w:t xml:space="preserve">4.3. </w:t>
      </w:r>
      <w:r w:rsidRPr="003A2F86">
        <w:rPr>
          <w:rFonts w:ascii="Arial" w:eastAsia="Times New Roman" w:hAnsi="Arial" w:cs="Arial"/>
          <w:b/>
        </w:rPr>
        <w:t>izvještaj o danim jamstvima i plaćanjima po protestiranim jamstvima</w:t>
      </w:r>
      <w:r w:rsidRPr="003A2F86">
        <w:rPr>
          <w:rFonts w:ascii="Arial" w:eastAsia="Times New Roman" w:hAnsi="Arial" w:cs="Arial"/>
        </w:rPr>
        <w:t xml:space="preserve"> (</w:t>
      </w:r>
      <w:hyperlink w:anchor="_4.3.__IZVJEŠTAJ" w:history="1">
        <w:r w:rsidRPr="001B4970">
          <w:rPr>
            <w:rStyle w:val="Hiperveza"/>
            <w:rFonts w:ascii="Arial" w:eastAsia="Times New Roman" w:hAnsi="Arial" w:cs="Arial"/>
            <w:i/>
          </w:rPr>
          <w:t xml:space="preserve">točka </w:t>
        </w:r>
        <w:r w:rsidR="00FC0E6E" w:rsidRPr="001B4970">
          <w:rPr>
            <w:rStyle w:val="Hiperveza"/>
            <w:rFonts w:ascii="Arial" w:eastAsia="Times New Roman" w:hAnsi="Arial" w:cs="Arial"/>
            <w:i/>
          </w:rPr>
          <w:t>4.3.</w:t>
        </w:r>
      </w:hyperlink>
      <w:r w:rsidRPr="003A2F86">
        <w:rPr>
          <w:rFonts w:ascii="Arial" w:eastAsia="Times New Roman" w:hAnsi="Arial" w:cs="Arial"/>
          <w:i/>
        </w:rPr>
        <w:t>)</w:t>
      </w:r>
    </w:p>
    <w:p w14:paraId="048FA2C2" w14:textId="6A791E75" w:rsidR="00435972" w:rsidRPr="003A2F86" w:rsidRDefault="00B633D1" w:rsidP="003819AC">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Osim ova tri izvještaja koja se prikazuju u polugodišnjem izvještaju o izvršenju proračuna, godišnji izvještaj o izvršenju proračuna dopunjuje se dodatnim posebnim izvještajima i to:</w:t>
      </w:r>
    </w:p>
    <w:p w14:paraId="7691D01F" w14:textId="278FA92A" w:rsidR="009A2E53" w:rsidRPr="003A2F86" w:rsidRDefault="009A2E53" w:rsidP="001E17AD">
      <w:pPr>
        <w:autoSpaceDE w:val="0"/>
        <w:autoSpaceDN w:val="0"/>
        <w:adjustRightInd w:val="0"/>
        <w:spacing w:after="0" w:line="240" w:lineRule="auto"/>
        <w:ind w:left="709" w:firstLine="142"/>
        <w:jc w:val="both"/>
        <w:rPr>
          <w:rFonts w:ascii="Arial" w:eastAsia="Times New Roman" w:hAnsi="Arial" w:cs="Arial"/>
        </w:rPr>
      </w:pPr>
      <w:r w:rsidRPr="003A2F86">
        <w:rPr>
          <w:rFonts w:ascii="Arial" w:eastAsia="Times New Roman" w:hAnsi="Arial" w:cs="Arial"/>
        </w:rPr>
        <w:t>4.</w:t>
      </w:r>
      <w:r w:rsidR="00B633D1" w:rsidRPr="003A2F86">
        <w:rPr>
          <w:rFonts w:ascii="Arial" w:eastAsia="Times New Roman" w:hAnsi="Arial" w:cs="Arial"/>
        </w:rPr>
        <w:t>4</w:t>
      </w:r>
      <w:r w:rsidRPr="003A2F86">
        <w:rPr>
          <w:rFonts w:ascii="Arial" w:eastAsia="Times New Roman" w:hAnsi="Arial" w:cs="Arial"/>
        </w:rPr>
        <w:t xml:space="preserve">. </w:t>
      </w:r>
      <w:r w:rsidRPr="003A2F86">
        <w:rPr>
          <w:rFonts w:ascii="Arial" w:eastAsia="Times New Roman" w:hAnsi="Arial" w:cs="Arial"/>
          <w:b/>
          <w:bCs/>
        </w:rPr>
        <w:t xml:space="preserve">izvještaj o korištenju sredstava </w:t>
      </w:r>
      <w:r w:rsidR="00B633D1" w:rsidRPr="003A2F86">
        <w:rPr>
          <w:rFonts w:ascii="Arial" w:eastAsia="Times New Roman" w:hAnsi="Arial" w:cs="Arial"/>
          <w:b/>
          <w:bCs/>
        </w:rPr>
        <w:t xml:space="preserve">fondova </w:t>
      </w:r>
      <w:r w:rsidRPr="003A2F86">
        <w:rPr>
          <w:rFonts w:ascii="Arial" w:eastAsia="Times New Roman" w:hAnsi="Arial" w:cs="Arial"/>
          <w:b/>
          <w:bCs/>
        </w:rPr>
        <w:t>Europske unije</w:t>
      </w:r>
      <w:r w:rsidRPr="003A2F86">
        <w:rPr>
          <w:rFonts w:ascii="Arial" w:eastAsia="Times New Roman" w:hAnsi="Arial" w:cs="Arial"/>
        </w:rPr>
        <w:t xml:space="preserve"> </w:t>
      </w:r>
      <w:r w:rsidRPr="00A224B5">
        <w:rPr>
          <w:rFonts w:ascii="Arial" w:eastAsia="Times New Roman" w:hAnsi="Arial" w:cs="Arial"/>
        </w:rPr>
        <w:t>(</w:t>
      </w:r>
      <w:hyperlink w:anchor="_4.4.__IZVJEŠTAJ" w:history="1">
        <w:r w:rsidRPr="001B4970">
          <w:rPr>
            <w:rStyle w:val="Hiperveza"/>
            <w:rFonts w:ascii="Arial" w:eastAsia="Times New Roman" w:hAnsi="Arial" w:cs="Arial"/>
            <w:i/>
          </w:rPr>
          <w:t xml:space="preserve">točka </w:t>
        </w:r>
        <w:r w:rsidR="00FC0E6E" w:rsidRPr="001B4970">
          <w:rPr>
            <w:rStyle w:val="Hiperveza"/>
            <w:rFonts w:ascii="Arial" w:eastAsia="Times New Roman" w:hAnsi="Arial" w:cs="Arial"/>
            <w:i/>
          </w:rPr>
          <w:t>4.4.</w:t>
        </w:r>
      </w:hyperlink>
      <w:r w:rsidRPr="003A2F86">
        <w:rPr>
          <w:rFonts w:ascii="Arial" w:eastAsia="Times New Roman" w:hAnsi="Arial" w:cs="Arial"/>
          <w:i/>
        </w:rPr>
        <w:t>)</w:t>
      </w:r>
      <w:r w:rsidRPr="003A2F86">
        <w:rPr>
          <w:rFonts w:ascii="Arial" w:eastAsia="Times New Roman" w:hAnsi="Arial" w:cs="Arial"/>
        </w:rPr>
        <w:t>,</w:t>
      </w:r>
    </w:p>
    <w:p w14:paraId="04D87614" w14:textId="657D45D0" w:rsidR="009A2E53" w:rsidRPr="00A224B5" w:rsidRDefault="009A2E53" w:rsidP="001E17AD">
      <w:pPr>
        <w:autoSpaceDE w:val="0"/>
        <w:autoSpaceDN w:val="0"/>
        <w:adjustRightInd w:val="0"/>
        <w:spacing w:after="0" w:line="240" w:lineRule="auto"/>
        <w:ind w:left="709" w:firstLine="142"/>
        <w:jc w:val="both"/>
        <w:rPr>
          <w:rFonts w:ascii="Arial" w:eastAsia="Times New Roman" w:hAnsi="Arial" w:cs="Arial"/>
        </w:rPr>
      </w:pPr>
      <w:r w:rsidRPr="003A2F86">
        <w:rPr>
          <w:rFonts w:ascii="Arial" w:eastAsia="Times New Roman" w:hAnsi="Arial" w:cs="Arial"/>
        </w:rPr>
        <w:t>4.</w:t>
      </w:r>
      <w:r w:rsidR="00B633D1" w:rsidRPr="003A2F86">
        <w:rPr>
          <w:rFonts w:ascii="Arial" w:eastAsia="Times New Roman" w:hAnsi="Arial" w:cs="Arial"/>
        </w:rPr>
        <w:t>5</w:t>
      </w:r>
      <w:r w:rsidRPr="003A2F86">
        <w:rPr>
          <w:rFonts w:ascii="Arial" w:eastAsia="Times New Roman" w:hAnsi="Arial" w:cs="Arial"/>
        </w:rPr>
        <w:t xml:space="preserve">. </w:t>
      </w:r>
      <w:r w:rsidRPr="003A2F86">
        <w:rPr>
          <w:rFonts w:ascii="Arial" w:eastAsia="Times New Roman" w:hAnsi="Arial" w:cs="Arial"/>
          <w:b/>
          <w:bCs/>
        </w:rPr>
        <w:t>izvještaj o danim zajmovima i potraživanjima po danim zajmovima</w:t>
      </w:r>
      <w:r w:rsidRPr="003A2F86">
        <w:rPr>
          <w:rFonts w:ascii="Arial" w:eastAsia="Times New Roman" w:hAnsi="Arial" w:cs="Arial"/>
        </w:rPr>
        <w:t xml:space="preserve"> (</w:t>
      </w:r>
      <w:hyperlink w:anchor="_4.5._IZVJEŠTAJ_O" w:history="1">
        <w:r w:rsidRPr="001B4970">
          <w:rPr>
            <w:rStyle w:val="Hiperveza"/>
            <w:rFonts w:ascii="Arial" w:eastAsia="Times New Roman" w:hAnsi="Arial" w:cs="Arial"/>
            <w:i/>
          </w:rPr>
          <w:t xml:space="preserve">točka </w:t>
        </w:r>
        <w:r w:rsidR="00B176D3" w:rsidRPr="001B4970">
          <w:rPr>
            <w:rStyle w:val="Hiperveza"/>
            <w:rFonts w:ascii="Arial" w:eastAsia="Times New Roman" w:hAnsi="Arial" w:cs="Arial"/>
            <w:i/>
          </w:rPr>
          <w:t>4</w:t>
        </w:r>
        <w:r w:rsidR="00936B4D" w:rsidRPr="001B4970">
          <w:rPr>
            <w:rStyle w:val="Hiperveza"/>
            <w:rFonts w:ascii="Arial" w:eastAsia="Times New Roman" w:hAnsi="Arial" w:cs="Arial"/>
            <w:i/>
          </w:rPr>
          <w:t>.</w:t>
        </w:r>
        <w:r w:rsidR="00FC0E6E" w:rsidRPr="001B4970">
          <w:rPr>
            <w:rStyle w:val="Hiperveza"/>
            <w:rFonts w:ascii="Arial" w:eastAsia="Times New Roman" w:hAnsi="Arial" w:cs="Arial"/>
            <w:i/>
          </w:rPr>
          <w:t>5</w:t>
        </w:r>
        <w:r w:rsidR="00936B4D" w:rsidRPr="001B4970">
          <w:rPr>
            <w:rStyle w:val="Hiperveza"/>
            <w:rFonts w:ascii="Arial" w:eastAsia="Times New Roman" w:hAnsi="Arial" w:cs="Arial"/>
            <w:i/>
          </w:rPr>
          <w:t>.</w:t>
        </w:r>
      </w:hyperlink>
      <w:r w:rsidRPr="00A224B5">
        <w:rPr>
          <w:rFonts w:ascii="Arial" w:eastAsia="Times New Roman" w:hAnsi="Arial" w:cs="Arial"/>
          <w:i/>
        </w:rPr>
        <w:t>)</w:t>
      </w:r>
      <w:r w:rsidRPr="00A224B5">
        <w:rPr>
          <w:rFonts w:ascii="Arial" w:eastAsia="Times New Roman" w:hAnsi="Arial" w:cs="Arial"/>
        </w:rPr>
        <w:t>,</w:t>
      </w:r>
    </w:p>
    <w:p w14:paraId="74F3E2C8" w14:textId="5DD99934" w:rsidR="00523D5C" w:rsidRPr="003A2F86" w:rsidRDefault="00523D5C" w:rsidP="001E17AD">
      <w:pPr>
        <w:autoSpaceDE w:val="0"/>
        <w:autoSpaceDN w:val="0"/>
        <w:adjustRightInd w:val="0"/>
        <w:spacing w:after="0" w:line="240" w:lineRule="auto"/>
        <w:ind w:left="709" w:firstLine="142"/>
        <w:jc w:val="both"/>
        <w:rPr>
          <w:rFonts w:ascii="Arial" w:eastAsia="Times New Roman" w:hAnsi="Arial" w:cs="Arial"/>
          <w:b/>
          <w:bCs/>
        </w:rPr>
      </w:pPr>
      <w:r w:rsidRPr="003A2F86">
        <w:rPr>
          <w:rFonts w:ascii="Arial" w:eastAsia="Times New Roman" w:hAnsi="Arial" w:cs="Arial"/>
        </w:rPr>
        <w:t xml:space="preserve">4.6. </w:t>
      </w:r>
      <w:r w:rsidRPr="003A2F86">
        <w:rPr>
          <w:rFonts w:ascii="Arial" w:eastAsia="Times New Roman" w:hAnsi="Arial" w:cs="Arial"/>
          <w:b/>
          <w:bCs/>
        </w:rPr>
        <w:t xml:space="preserve">izvještaj o stanju potraživanja i dospjelih obveza, te stanju potencijalnih obveza po osnovi sudskih sporova </w:t>
      </w:r>
      <w:r w:rsidRPr="00A224B5">
        <w:rPr>
          <w:rFonts w:ascii="Arial" w:eastAsia="Times New Roman" w:hAnsi="Arial" w:cs="Arial"/>
          <w:i/>
          <w:iCs/>
        </w:rPr>
        <w:t>(</w:t>
      </w:r>
      <w:hyperlink w:anchor="_4.6._IZVJEŠTAJ_O" w:history="1">
        <w:r w:rsidRPr="001B4970">
          <w:rPr>
            <w:rStyle w:val="Hiperveza"/>
            <w:rFonts w:ascii="Arial" w:eastAsia="Times New Roman" w:hAnsi="Arial" w:cs="Arial"/>
            <w:i/>
          </w:rPr>
          <w:t xml:space="preserve">točka </w:t>
        </w:r>
        <w:r w:rsidR="00FC0E6E" w:rsidRPr="001B4970">
          <w:rPr>
            <w:rStyle w:val="Hiperveza"/>
            <w:rFonts w:ascii="Arial" w:eastAsia="Times New Roman" w:hAnsi="Arial" w:cs="Arial"/>
            <w:i/>
          </w:rPr>
          <w:t>4.6</w:t>
        </w:r>
        <w:r w:rsidR="00936B4D" w:rsidRPr="001B4970">
          <w:rPr>
            <w:rStyle w:val="Hiperveza"/>
            <w:rFonts w:ascii="Arial" w:eastAsia="Times New Roman" w:hAnsi="Arial" w:cs="Arial"/>
            <w:i/>
          </w:rPr>
          <w:t>.</w:t>
        </w:r>
      </w:hyperlink>
      <w:r w:rsidRPr="003A2F86">
        <w:rPr>
          <w:rFonts w:ascii="Arial" w:eastAsia="Times New Roman" w:hAnsi="Arial" w:cs="Arial"/>
          <w:i/>
        </w:rPr>
        <w:t>)</w:t>
      </w:r>
      <w:r w:rsidRPr="003A2F86">
        <w:rPr>
          <w:rFonts w:ascii="Arial" w:eastAsia="Times New Roman" w:hAnsi="Arial" w:cs="Arial"/>
        </w:rPr>
        <w:t xml:space="preserve">. </w:t>
      </w:r>
    </w:p>
    <w:p w14:paraId="5E27F356" w14:textId="77777777" w:rsidR="00523D5C" w:rsidRPr="003A2F86" w:rsidRDefault="00523D5C" w:rsidP="00E53CFD">
      <w:pPr>
        <w:autoSpaceDE w:val="0"/>
        <w:autoSpaceDN w:val="0"/>
        <w:adjustRightInd w:val="0"/>
        <w:spacing w:after="0" w:line="240" w:lineRule="auto"/>
        <w:jc w:val="both"/>
        <w:rPr>
          <w:rFonts w:ascii="Arial" w:eastAsia="Times New Roman" w:hAnsi="Arial" w:cs="Arial"/>
        </w:rPr>
      </w:pPr>
    </w:p>
    <w:p w14:paraId="7759798E" w14:textId="79EC9EA1" w:rsidR="00F952A1" w:rsidRPr="003A2F86" w:rsidRDefault="00F952A1" w:rsidP="00F952A1">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Sukladno odredbama članka 17., 20. i 21. Pravilnika o polugodišnjem i godišnjem izvještaju o izvršenju proračuna i financijskog plana </w:t>
      </w:r>
      <w:r w:rsidRPr="003A2F86">
        <w:rPr>
          <w:rFonts w:ascii="Arial" w:eastAsia="Times New Roman" w:hAnsi="Arial" w:cs="Arial"/>
          <w:b/>
          <w:bCs/>
          <w:iCs/>
          <w:lang w:eastAsia="en-US"/>
        </w:rPr>
        <w:t>polugodišnji izvještaj</w:t>
      </w:r>
      <w:r w:rsidRPr="003A2F86">
        <w:rPr>
          <w:rFonts w:ascii="Arial" w:eastAsia="Times New Roman" w:hAnsi="Arial" w:cs="Arial"/>
          <w:iCs/>
          <w:lang w:eastAsia="en-US"/>
        </w:rPr>
        <w:t xml:space="preserve"> o izvršenju proračuna sastoji se od obrazloženja </w:t>
      </w:r>
      <w:r w:rsidRPr="003A2F86">
        <w:rPr>
          <w:rFonts w:ascii="Arial" w:eastAsia="Times New Roman" w:hAnsi="Arial" w:cs="Arial"/>
          <w:b/>
          <w:bCs/>
          <w:i/>
          <w:lang w:eastAsia="en-US"/>
        </w:rPr>
        <w:t>općeg</w:t>
      </w:r>
      <w:r w:rsidRPr="003A2F86">
        <w:rPr>
          <w:rFonts w:ascii="Arial" w:eastAsia="Times New Roman" w:hAnsi="Arial" w:cs="Arial"/>
          <w:iCs/>
          <w:lang w:eastAsia="en-US"/>
        </w:rPr>
        <w:t xml:space="preserve"> dijela izvještaja o izvršenju proračuna, dok se </w:t>
      </w:r>
      <w:r w:rsidRPr="003A2F86">
        <w:rPr>
          <w:rFonts w:ascii="Arial" w:eastAsia="Times New Roman" w:hAnsi="Arial" w:cs="Arial"/>
          <w:b/>
          <w:bCs/>
          <w:iCs/>
          <w:lang w:eastAsia="en-US"/>
        </w:rPr>
        <w:t xml:space="preserve">godišnji izvještaj </w:t>
      </w:r>
      <w:r w:rsidRPr="003A2F86">
        <w:rPr>
          <w:rFonts w:ascii="Arial" w:eastAsia="Times New Roman" w:hAnsi="Arial" w:cs="Arial"/>
          <w:iCs/>
          <w:lang w:eastAsia="en-US"/>
        </w:rPr>
        <w:t xml:space="preserve">o izvršenju proračuna sastoji od obrazloženja </w:t>
      </w:r>
      <w:r w:rsidRPr="003A2F86">
        <w:rPr>
          <w:rFonts w:ascii="Arial" w:eastAsia="Times New Roman" w:hAnsi="Arial" w:cs="Arial"/>
          <w:b/>
          <w:bCs/>
          <w:i/>
          <w:lang w:eastAsia="en-US"/>
        </w:rPr>
        <w:t>općeg</w:t>
      </w:r>
      <w:r w:rsidRPr="003A2F86">
        <w:rPr>
          <w:rFonts w:ascii="Arial" w:eastAsia="Times New Roman" w:hAnsi="Arial" w:cs="Arial"/>
          <w:i/>
          <w:lang w:eastAsia="en-US"/>
        </w:rPr>
        <w:t xml:space="preserve"> </w:t>
      </w:r>
      <w:r w:rsidRPr="003A2F86">
        <w:rPr>
          <w:rFonts w:ascii="Arial" w:eastAsia="Times New Roman" w:hAnsi="Arial" w:cs="Arial"/>
          <w:b/>
          <w:bCs/>
          <w:i/>
          <w:lang w:eastAsia="en-US"/>
        </w:rPr>
        <w:t>i posebnog</w:t>
      </w:r>
      <w:r w:rsidRPr="003A2F86">
        <w:rPr>
          <w:rFonts w:ascii="Arial" w:eastAsia="Times New Roman" w:hAnsi="Arial" w:cs="Arial"/>
          <w:iCs/>
          <w:lang w:eastAsia="en-US"/>
        </w:rPr>
        <w:t xml:space="preserve"> dijela izvještaja o izvršenju proračuna.</w:t>
      </w:r>
    </w:p>
    <w:p w14:paraId="47F4847F" w14:textId="77777777" w:rsidR="003819AC" w:rsidRPr="003A2F86" w:rsidRDefault="003819AC" w:rsidP="00F952A1">
      <w:pPr>
        <w:spacing w:after="0" w:line="240" w:lineRule="auto"/>
        <w:jc w:val="both"/>
        <w:rPr>
          <w:rFonts w:ascii="Arial" w:eastAsia="Times New Roman" w:hAnsi="Arial" w:cs="Arial"/>
          <w:b/>
          <w:bCs/>
          <w:i/>
          <w:lang w:eastAsia="en-US"/>
        </w:rPr>
      </w:pPr>
    </w:p>
    <w:p w14:paraId="19059464" w14:textId="058E8798" w:rsidR="00F952A1" w:rsidRPr="003A2F86" w:rsidRDefault="00F952A1" w:rsidP="00F952A1">
      <w:pPr>
        <w:spacing w:after="0" w:line="240" w:lineRule="auto"/>
        <w:jc w:val="both"/>
        <w:rPr>
          <w:rFonts w:ascii="Arial" w:eastAsia="Times New Roman" w:hAnsi="Arial" w:cs="Arial"/>
          <w:iCs/>
          <w:lang w:eastAsia="en-US"/>
        </w:rPr>
      </w:pPr>
      <w:r w:rsidRPr="003A2F86">
        <w:rPr>
          <w:rFonts w:ascii="Arial" w:eastAsia="Times New Roman" w:hAnsi="Arial" w:cs="Arial"/>
          <w:b/>
          <w:bCs/>
          <w:i/>
          <w:lang w:eastAsia="en-US"/>
        </w:rPr>
        <w:t>Obrazloženje općeg dijela</w:t>
      </w:r>
      <w:r w:rsidRPr="003A2F86">
        <w:rPr>
          <w:rFonts w:ascii="Arial" w:eastAsia="Times New Roman" w:hAnsi="Arial" w:cs="Arial"/>
          <w:iCs/>
          <w:lang w:eastAsia="en-US"/>
        </w:rPr>
        <w:t xml:space="preserve"> izvještaja sadrži:</w:t>
      </w:r>
    </w:p>
    <w:p w14:paraId="061A70E3" w14:textId="77777777" w:rsidR="00F952A1" w:rsidRPr="003A2F86" w:rsidRDefault="00F952A1" w:rsidP="00F952A1">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a) </w:t>
      </w:r>
      <w:r w:rsidRPr="003A2F86">
        <w:rPr>
          <w:rFonts w:ascii="Arial" w:eastAsia="Times New Roman" w:hAnsi="Arial" w:cs="Arial"/>
          <w:i/>
          <w:lang w:eastAsia="en-US"/>
        </w:rPr>
        <w:t>obrazloženje ostvarenja prihoda i rashoda, primitaka i izdataka u izvještajnom razdoblju</w:t>
      </w:r>
      <w:r w:rsidRPr="003A2F86">
        <w:rPr>
          <w:rFonts w:ascii="Arial" w:eastAsia="Times New Roman" w:hAnsi="Arial" w:cs="Arial"/>
          <w:iCs/>
          <w:lang w:eastAsia="en-US"/>
        </w:rPr>
        <w:t>, koje dopunjuje podatke iz Računa prihoda i rashoda i Računa financiranja, a dodatno se dopunjuje i podacima o:</w:t>
      </w:r>
    </w:p>
    <w:p w14:paraId="3F695C8D" w14:textId="15F0C77E" w:rsidR="00F952A1" w:rsidRPr="003A2F86" w:rsidRDefault="00F952A1" w:rsidP="00F952A1">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ab/>
        <w:t>-</w:t>
      </w:r>
      <w:r w:rsidRPr="003A2F86">
        <w:rPr>
          <w:rFonts w:ascii="Arial" w:eastAsia="Times New Roman" w:hAnsi="Arial" w:cs="Arial"/>
          <w:iCs/>
          <w:lang w:eastAsia="en-US"/>
        </w:rPr>
        <w:tab/>
      </w:r>
      <w:r w:rsidRPr="003A2F86">
        <w:rPr>
          <w:rFonts w:ascii="Arial" w:eastAsia="Times New Roman" w:hAnsi="Arial" w:cs="Arial"/>
          <w:i/>
          <w:lang w:eastAsia="en-US"/>
        </w:rPr>
        <w:t>stanju novčanih sredstava</w:t>
      </w:r>
      <w:r w:rsidRPr="003A2F86">
        <w:rPr>
          <w:rFonts w:ascii="Arial" w:eastAsia="Times New Roman" w:hAnsi="Arial" w:cs="Arial"/>
          <w:iCs/>
          <w:lang w:eastAsia="en-US"/>
        </w:rPr>
        <w:t xml:space="preserve"> na računima proračuna i proračunskih korisnika na početku i na kraju proračunske godine</w:t>
      </w:r>
      <w:r w:rsidR="003819AC" w:rsidRPr="003A2F86">
        <w:rPr>
          <w:rFonts w:ascii="Arial" w:eastAsia="Times New Roman" w:hAnsi="Arial" w:cs="Arial"/>
          <w:iCs/>
          <w:lang w:eastAsia="en-US"/>
        </w:rPr>
        <w:t xml:space="preserve"> </w:t>
      </w:r>
      <w:r w:rsidR="003819AC" w:rsidRPr="00A224B5">
        <w:rPr>
          <w:rFonts w:ascii="Arial" w:eastAsia="Times New Roman" w:hAnsi="Arial" w:cs="Arial"/>
        </w:rPr>
        <w:t>(</w:t>
      </w:r>
      <w:hyperlink w:anchor="_2.10._STANJE_NOVČANIH" w:history="1">
        <w:r w:rsidR="003819AC" w:rsidRPr="00A224B5">
          <w:rPr>
            <w:rStyle w:val="Hiperveza"/>
            <w:rFonts w:ascii="Arial" w:eastAsia="Times New Roman" w:hAnsi="Arial" w:cs="Arial"/>
            <w:i/>
          </w:rPr>
          <w:t>točka 2.</w:t>
        </w:r>
        <w:r w:rsidR="002F4E15" w:rsidRPr="00A224B5">
          <w:rPr>
            <w:rStyle w:val="Hiperveza"/>
            <w:rFonts w:ascii="Arial" w:eastAsia="Times New Roman" w:hAnsi="Arial" w:cs="Arial"/>
            <w:i/>
          </w:rPr>
          <w:t>1</w:t>
        </w:r>
        <w:r w:rsidR="0011271E" w:rsidRPr="00A224B5">
          <w:rPr>
            <w:rStyle w:val="Hiperveza"/>
            <w:rFonts w:ascii="Arial" w:eastAsia="Times New Roman" w:hAnsi="Arial" w:cs="Arial"/>
            <w:i/>
          </w:rPr>
          <w:t>0</w:t>
        </w:r>
      </w:hyperlink>
      <w:r w:rsidR="003819AC" w:rsidRPr="003A2F86">
        <w:rPr>
          <w:rFonts w:ascii="Arial" w:eastAsia="Times New Roman" w:hAnsi="Arial" w:cs="Arial"/>
          <w:i/>
        </w:rPr>
        <w:t>.)</w:t>
      </w:r>
      <w:r w:rsidR="003819AC" w:rsidRPr="003A2F86">
        <w:rPr>
          <w:rFonts w:ascii="Arial" w:eastAsia="Times New Roman" w:hAnsi="Arial" w:cs="Arial"/>
        </w:rPr>
        <w:t>,</w:t>
      </w:r>
    </w:p>
    <w:p w14:paraId="48106DE1" w14:textId="214B61C7" w:rsidR="00F952A1" w:rsidRPr="003A2F86" w:rsidRDefault="00F952A1" w:rsidP="00F952A1">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ab/>
        <w:t>-</w:t>
      </w:r>
      <w:r w:rsidRPr="003A2F86">
        <w:rPr>
          <w:rFonts w:ascii="Arial" w:eastAsia="Times New Roman" w:hAnsi="Arial" w:cs="Arial"/>
          <w:iCs/>
          <w:lang w:eastAsia="en-US"/>
        </w:rPr>
        <w:tab/>
      </w:r>
      <w:r w:rsidRPr="003A2F86">
        <w:rPr>
          <w:rFonts w:ascii="Arial" w:eastAsia="Times New Roman" w:hAnsi="Arial" w:cs="Arial"/>
          <w:i/>
          <w:lang w:eastAsia="en-US"/>
        </w:rPr>
        <w:t xml:space="preserve">podatke o ostvarenim prihodima i primicima te rashodima i izdacima ostvarenim preuzimanjem nefinancijske i financijske imovine u naplati potraživanja javnih </w:t>
      </w:r>
      <w:r w:rsidRPr="00A224B5">
        <w:rPr>
          <w:rFonts w:ascii="Arial" w:eastAsia="Times New Roman" w:hAnsi="Arial" w:cs="Arial"/>
          <w:i/>
          <w:lang w:eastAsia="en-US"/>
        </w:rPr>
        <w:t>davanja</w:t>
      </w:r>
      <w:r w:rsidR="003819AC" w:rsidRPr="00A224B5">
        <w:rPr>
          <w:rFonts w:ascii="Arial" w:eastAsia="Times New Roman" w:hAnsi="Arial" w:cs="Arial"/>
        </w:rPr>
        <w:t xml:space="preserve"> (</w:t>
      </w:r>
      <w:hyperlink w:anchor="_2.11._PRIHODI_I" w:history="1">
        <w:r w:rsidR="003819AC" w:rsidRPr="00A224B5">
          <w:rPr>
            <w:rStyle w:val="Hiperveza"/>
            <w:rFonts w:ascii="Arial" w:eastAsia="Times New Roman" w:hAnsi="Arial" w:cs="Arial"/>
            <w:i/>
          </w:rPr>
          <w:t>točka 2.</w:t>
        </w:r>
        <w:r w:rsidR="002F4E15" w:rsidRPr="00A224B5">
          <w:rPr>
            <w:rStyle w:val="Hiperveza"/>
            <w:rFonts w:ascii="Arial" w:eastAsia="Times New Roman" w:hAnsi="Arial" w:cs="Arial"/>
            <w:i/>
          </w:rPr>
          <w:t>1</w:t>
        </w:r>
        <w:r w:rsidR="0011271E" w:rsidRPr="00A224B5">
          <w:rPr>
            <w:rStyle w:val="Hiperveza"/>
            <w:rFonts w:ascii="Arial" w:eastAsia="Times New Roman" w:hAnsi="Arial" w:cs="Arial"/>
            <w:i/>
          </w:rPr>
          <w:t>1</w:t>
        </w:r>
      </w:hyperlink>
      <w:r w:rsidR="003819AC" w:rsidRPr="003A2F86">
        <w:rPr>
          <w:rFonts w:ascii="Arial" w:eastAsia="Times New Roman" w:hAnsi="Arial" w:cs="Arial"/>
          <w:i/>
        </w:rPr>
        <w:t>.)</w:t>
      </w:r>
      <w:r w:rsidR="003819AC" w:rsidRPr="003A2F86">
        <w:rPr>
          <w:rFonts w:ascii="Arial" w:eastAsia="Times New Roman" w:hAnsi="Arial" w:cs="Arial"/>
        </w:rPr>
        <w:t>.</w:t>
      </w:r>
    </w:p>
    <w:p w14:paraId="395436B7" w14:textId="42371566" w:rsidR="00F952A1" w:rsidRPr="003A2F86" w:rsidRDefault="00F952A1" w:rsidP="00F952A1">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b) </w:t>
      </w:r>
      <w:r w:rsidRPr="003A2F86">
        <w:rPr>
          <w:rFonts w:ascii="Arial" w:eastAsia="Times New Roman" w:hAnsi="Arial" w:cs="Arial"/>
          <w:i/>
          <w:lang w:eastAsia="en-US"/>
        </w:rPr>
        <w:t>prikaz ostvarenog manjka odnosno viška</w:t>
      </w:r>
      <w:r w:rsidRPr="003A2F86">
        <w:rPr>
          <w:rFonts w:ascii="Arial" w:eastAsia="Times New Roman" w:hAnsi="Arial" w:cs="Arial"/>
          <w:iCs/>
          <w:lang w:eastAsia="en-US"/>
        </w:rPr>
        <w:t xml:space="preserve"> proračuna jedince lokalne i područne (regionalne) samouprave u izvještajnom </w:t>
      </w:r>
      <w:r w:rsidRPr="00A224B5">
        <w:rPr>
          <w:rFonts w:ascii="Arial" w:eastAsia="Times New Roman" w:hAnsi="Arial" w:cs="Arial"/>
          <w:iCs/>
          <w:lang w:eastAsia="en-US"/>
        </w:rPr>
        <w:t>razdoblju</w:t>
      </w:r>
      <w:r w:rsidR="003819AC" w:rsidRPr="00A224B5">
        <w:rPr>
          <w:rFonts w:ascii="Arial" w:eastAsia="Times New Roman" w:hAnsi="Arial" w:cs="Arial"/>
        </w:rPr>
        <w:t xml:space="preserve"> (</w:t>
      </w:r>
      <w:hyperlink w:anchor="_2.6._PRIKAZ_OSTVARENOG" w:history="1">
        <w:r w:rsidR="003819AC" w:rsidRPr="00A224B5">
          <w:rPr>
            <w:rStyle w:val="Hiperveza"/>
            <w:rFonts w:ascii="Arial" w:eastAsia="Times New Roman" w:hAnsi="Arial" w:cs="Arial"/>
            <w:i/>
          </w:rPr>
          <w:t>točka 2.6.</w:t>
        </w:r>
      </w:hyperlink>
      <w:r w:rsidR="003819AC" w:rsidRPr="003A2F86">
        <w:rPr>
          <w:rFonts w:ascii="Arial" w:eastAsia="Times New Roman" w:hAnsi="Arial" w:cs="Arial"/>
          <w:i/>
        </w:rPr>
        <w:t>)</w:t>
      </w:r>
      <w:r w:rsidR="003819AC" w:rsidRPr="003A2F86">
        <w:rPr>
          <w:rFonts w:ascii="Arial" w:eastAsia="Times New Roman" w:hAnsi="Arial" w:cs="Arial"/>
        </w:rPr>
        <w:t>.</w:t>
      </w:r>
    </w:p>
    <w:p w14:paraId="25779345" w14:textId="77777777" w:rsidR="00F952A1" w:rsidRPr="003A2F86" w:rsidRDefault="00F952A1" w:rsidP="00E53CFD">
      <w:pPr>
        <w:autoSpaceDE w:val="0"/>
        <w:autoSpaceDN w:val="0"/>
        <w:adjustRightInd w:val="0"/>
        <w:spacing w:after="0" w:line="240" w:lineRule="auto"/>
        <w:jc w:val="both"/>
        <w:rPr>
          <w:rFonts w:ascii="Arial" w:eastAsia="Times New Roman" w:hAnsi="Arial" w:cs="Arial"/>
        </w:rPr>
      </w:pPr>
    </w:p>
    <w:p w14:paraId="2DB1A47B" w14:textId="77777777" w:rsidR="00EE5313" w:rsidRPr="003A2F86" w:rsidRDefault="00EE5313" w:rsidP="00E53CFD">
      <w:pPr>
        <w:autoSpaceDE w:val="0"/>
        <w:autoSpaceDN w:val="0"/>
        <w:adjustRightInd w:val="0"/>
        <w:spacing w:after="0" w:line="240" w:lineRule="auto"/>
        <w:jc w:val="both"/>
        <w:rPr>
          <w:rFonts w:ascii="Arial" w:eastAsia="Times New Roman" w:hAnsi="Arial" w:cs="Arial"/>
        </w:rPr>
      </w:pPr>
    </w:p>
    <w:p w14:paraId="7D9AFE16" w14:textId="24215474" w:rsidR="00E53CFD" w:rsidRPr="003A2F86" w:rsidRDefault="00E53CFD" w:rsidP="00E53CFD">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Pored podataka propisanih Pravilnikom o polugodišnjem i godišnjem izvještaju o izvršenju proračun</w:t>
      </w:r>
      <w:r w:rsidR="00432A90" w:rsidRPr="003A2F86">
        <w:rPr>
          <w:rFonts w:ascii="Arial" w:eastAsia="Times New Roman" w:hAnsi="Arial" w:cs="Arial"/>
        </w:rPr>
        <w:t>a i financijskog plana</w:t>
      </w:r>
      <w:r w:rsidRPr="003A2F86">
        <w:rPr>
          <w:rFonts w:ascii="Arial" w:eastAsia="Times New Roman" w:hAnsi="Arial" w:cs="Arial"/>
        </w:rPr>
        <w:t xml:space="preserve">, cjeloviti </w:t>
      </w:r>
      <w:r w:rsidR="00432A90" w:rsidRPr="003A2F86">
        <w:rPr>
          <w:rFonts w:ascii="Arial" w:eastAsia="Times New Roman" w:hAnsi="Arial" w:cs="Arial"/>
        </w:rPr>
        <w:t xml:space="preserve">polugodišnji i godišnji </w:t>
      </w:r>
      <w:r w:rsidRPr="003A2F86">
        <w:rPr>
          <w:rFonts w:ascii="Arial" w:eastAsia="Times New Roman" w:hAnsi="Arial" w:cs="Arial"/>
        </w:rPr>
        <w:t>izvještaj o izvršenju proračuna Općine Konavle, sadrži i:</w:t>
      </w:r>
    </w:p>
    <w:p w14:paraId="3E1299D6" w14:textId="4CE5DB2E" w:rsidR="00E53CFD" w:rsidRPr="003A2F86" w:rsidRDefault="00E53CFD" w:rsidP="00E53CFD">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 </w:t>
      </w:r>
      <w:r w:rsidRPr="003A2F86">
        <w:rPr>
          <w:rFonts w:ascii="Arial" w:eastAsia="Times New Roman" w:hAnsi="Arial" w:cs="Arial"/>
          <w:b/>
        </w:rPr>
        <w:t>Izvještaj o izvršenim preraspodjelama proračunskih sredstava</w:t>
      </w:r>
      <w:r w:rsidRPr="003A2F86">
        <w:rPr>
          <w:rFonts w:ascii="Arial" w:eastAsia="Times New Roman" w:hAnsi="Arial" w:cs="Arial"/>
        </w:rPr>
        <w:t xml:space="preserve"> u 20</w:t>
      </w:r>
      <w:r w:rsidR="00E343BD" w:rsidRPr="003A2F86">
        <w:rPr>
          <w:rFonts w:ascii="Arial" w:eastAsia="Times New Roman" w:hAnsi="Arial" w:cs="Arial"/>
        </w:rPr>
        <w:t>2</w:t>
      </w:r>
      <w:r w:rsidR="00F24E08">
        <w:rPr>
          <w:rFonts w:ascii="Arial" w:eastAsia="Times New Roman" w:hAnsi="Arial" w:cs="Arial"/>
        </w:rPr>
        <w:t>5</w:t>
      </w:r>
      <w:r w:rsidRPr="003A2F86">
        <w:rPr>
          <w:rFonts w:ascii="Arial" w:eastAsia="Times New Roman" w:hAnsi="Arial" w:cs="Arial"/>
        </w:rPr>
        <w:t xml:space="preserve">. godini sukladno članku </w:t>
      </w:r>
      <w:r w:rsidR="008A41A7" w:rsidRPr="003A2F86">
        <w:rPr>
          <w:rFonts w:ascii="Arial" w:eastAsia="Times New Roman" w:hAnsi="Arial" w:cs="Arial"/>
        </w:rPr>
        <w:t>60</w:t>
      </w:r>
      <w:r w:rsidRPr="003A2F86">
        <w:rPr>
          <w:rFonts w:ascii="Arial" w:eastAsia="Times New Roman" w:hAnsi="Arial" w:cs="Arial"/>
        </w:rPr>
        <w:t xml:space="preserve">. stavak </w:t>
      </w:r>
      <w:r w:rsidR="008A41A7" w:rsidRPr="003A2F86">
        <w:rPr>
          <w:rFonts w:ascii="Arial" w:eastAsia="Times New Roman" w:hAnsi="Arial" w:cs="Arial"/>
        </w:rPr>
        <w:t>11</w:t>
      </w:r>
      <w:r w:rsidRPr="003A2F86">
        <w:rPr>
          <w:rFonts w:ascii="Arial" w:eastAsia="Times New Roman" w:hAnsi="Arial" w:cs="Arial"/>
        </w:rPr>
        <w:t xml:space="preserve">. Zakona o proračunu </w:t>
      </w:r>
      <w:r w:rsidRPr="00A224B5">
        <w:rPr>
          <w:rFonts w:ascii="Arial" w:eastAsia="Times New Roman" w:hAnsi="Arial" w:cs="Arial"/>
          <w:i/>
        </w:rPr>
        <w:t>(</w:t>
      </w:r>
      <w:hyperlink w:anchor="_5.__IZVJEŠTAJ" w:history="1">
        <w:r w:rsidRPr="00A224B5">
          <w:rPr>
            <w:rStyle w:val="Hiperveza"/>
            <w:rFonts w:ascii="Arial" w:eastAsia="Times New Roman" w:hAnsi="Arial" w:cs="Arial"/>
            <w:i/>
          </w:rPr>
          <w:t xml:space="preserve">točka </w:t>
        </w:r>
        <w:r w:rsidR="00A75579" w:rsidRPr="00A224B5">
          <w:rPr>
            <w:rStyle w:val="Hiperveza"/>
            <w:rFonts w:ascii="Arial" w:eastAsia="Times New Roman" w:hAnsi="Arial" w:cs="Arial"/>
            <w:i/>
          </w:rPr>
          <w:t>5</w:t>
        </w:r>
        <w:r w:rsidRPr="00A224B5">
          <w:rPr>
            <w:rStyle w:val="Hiperveza"/>
            <w:rFonts w:ascii="Arial" w:eastAsia="Times New Roman" w:hAnsi="Arial" w:cs="Arial"/>
            <w:i/>
          </w:rPr>
          <w:t>.</w:t>
        </w:r>
      </w:hyperlink>
      <w:r w:rsidRPr="00A224B5">
        <w:rPr>
          <w:rFonts w:ascii="Arial" w:eastAsia="Times New Roman" w:hAnsi="Arial" w:cs="Arial"/>
          <w:i/>
        </w:rPr>
        <w:t>)</w:t>
      </w:r>
      <w:r w:rsidR="008A00A2" w:rsidRPr="00A224B5">
        <w:rPr>
          <w:rFonts w:ascii="Arial" w:eastAsia="Times New Roman" w:hAnsi="Arial" w:cs="Arial"/>
        </w:rPr>
        <w:t>.</w:t>
      </w:r>
    </w:p>
    <w:p w14:paraId="45B750DA" w14:textId="77777777" w:rsidR="00E53CFD" w:rsidRPr="003A2F86" w:rsidRDefault="00E53CFD" w:rsidP="00E53CFD">
      <w:pPr>
        <w:autoSpaceDE w:val="0"/>
        <w:autoSpaceDN w:val="0"/>
        <w:adjustRightInd w:val="0"/>
        <w:spacing w:after="0" w:line="240" w:lineRule="auto"/>
        <w:jc w:val="both"/>
        <w:rPr>
          <w:rFonts w:ascii="Arial" w:eastAsia="Times New Roman" w:hAnsi="Arial" w:cs="Arial"/>
        </w:rPr>
      </w:pPr>
    </w:p>
    <w:p w14:paraId="24A58527" w14:textId="2FD6A135" w:rsidR="004612B0" w:rsidRPr="003A2F86" w:rsidRDefault="00E53CFD" w:rsidP="00E53CFD">
      <w:pPr>
        <w:autoSpaceDE w:val="0"/>
        <w:autoSpaceDN w:val="0"/>
        <w:adjustRightInd w:val="0"/>
        <w:spacing w:after="0" w:line="240" w:lineRule="auto"/>
        <w:jc w:val="both"/>
        <w:rPr>
          <w:rFonts w:ascii="Arial" w:eastAsia="Times New Roman" w:hAnsi="Arial" w:cs="Arial"/>
          <w:lang w:eastAsia="en-US"/>
        </w:rPr>
      </w:pPr>
      <w:r w:rsidRPr="003A2F86">
        <w:rPr>
          <w:rFonts w:ascii="Arial" w:eastAsia="Calibri" w:hAnsi="Arial" w:cs="Arial"/>
        </w:rPr>
        <w:t xml:space="preserve">Člankom </w:t>
      </w:r>
      <w:r w:rsidR="008E25ED" w:rsidRPr="003A2F86">
        <w:rPr>
          <w:rFonts w:ascii="Arial" w:eastAsia="Calibri" w:hAnsi="Arial" w:cs="Arial"/>
        </w:rPr>
        <w:t>29</w:t>
      </w:r>
      <w:r w:rsidRPr="003A2F86">
        <w:rPr>
          <w:rFonts w:ascii="Arial" w:eastAsia="Calibri" w:hAnsi="Arial" w:cs="Arial"/>
        </w:rPr>
        <w:t>. stavak 1. i 2. Oduke o izvršavanju proračuna Općine Konavle za 20</w:t>
      </w:r>
      <w:r w:rsidR="00621EED" w:rsidRPr="003A2F86">
        <w:rPr>
          <w:rFonts w:ascii="Arial" w:eastAsia="Calibri" w:hAnsi="Arial" w:cs="Arial"/>
        </w:rPr>
        <w:t>2</w:t>
      </w:r>
      <w:r w:rsidR="00F24E08">
        <w:rPr>
          <w:rFonts w:ascii="Arial" w:eastAsia="Calibri" w:hAnsi="Arial" w:cs="Arial"/>
        </w:rPr>
        <w:t>5</w:t>
      </w:r>
      <w:r w:rsidRPr="003A2F86">
        <w:rPr>
          <w:rFonts w:ascii="Arial" w:eastAsia="Calibri" w:hAnsi="Arial" w:cs="Arial"/>
        </w:rPr>
        <w:t xml:space="preserve">. godinu propisano je da općinski načelnik odobrava preraspodjelu sredstava na proračunskim stavkama najviše do 5% </w:t>
      </w:r>
      <w:r w:rsidR="008E25ED" w:rsidRPr="003A2F86">
        <w:rPr>
          <w:rFonts w:ascii="Arial" w:eastAsia="Calibri" w:hAnsi="Arial" w:cs="Arial"/>
        </w:rPr>
        <w:t xml:space="preserve">na razini skupine ekonomske klasifikacije koju donosi Općinsko vijeće koja se umanjuje i to unutar izvora financiranja opći prihodi i primici i unutar izvora financiranja namjenski primici. Preraspodjela sredstava unutar izvora financiranja opći prihodi i primici može se izvršiti najviše do 15% na razini skupine ekonomske klasifikacije koju donosi općinsko vijeće ako se time osigurava povećanje sredstava učešća Općine ili njenih proračunskih korisnika za financiranje projekata koji se sufinanciraju iz sredstava Europske unije. </w:t>
      </w:r>
      <w:r w:rsidRPr="003A2F86">
        <w:rPr>
          <w:rFonts w:ascii="Arial" w:eastAsia="Times New Roman" w:hAnsi="Arial" w:cs="Arial"/>
        </w:rPr>
        <w:t>U 20</w:t>
      </w:r>
      <w:r w:rsidR="00E343BD" w:rsidRPr="003A2F86">
        <w:rPr>
          <w:rFonts w:ascii="Arial" w:eastAsia="Times New Roman" w:hAnsi="Arial" w:cs="Arial"/>
        </w:rPr>
        <w:t>2</w:t>
      </w:r>
      <w:r w:rsidR="00F24E08">
        <w:rPr>
          <w:rFonts w:ascii="Arial" w:eastAsia="Times New Roman" w:hAnsi="Arial" w:cs="Arial"/>
        </w:rPr>
        <w:t>5</w:t>
      </w:r>
      <w:r w:rsidRPr="003A2F86">
        <w:rPr>
          <w:rFonts w:ascii="Arial" w:eastAsia="Times New Roman" w:hAnsi="Arial" w:cs="Arial"/>
        </w:rPr>
        <w:t>. Općinski načelnik</w:t>
      </w:r>
      <w:r w:rsidR="006B0C1F" w:rsidRPr="003A2F86">
        <w:rPr>
          <w:rFonts w:ascii="Arial" w:eastAsia="Times New Roman" w:hAnsi="Arial" w:cs="Arial"/>
        </w:rPr>
        <w:t xml:space="preserve"> je</w:t>
      </w:r>
      <w:r w:rsidR="008A41A7" w:rsidRPr="003A2F86">
        <w:rPr>
          <w:rFonts w:ascii="Arial" w:eastAsia="Times New Roman" w:hAnsi="Arial" w:cs="Arial"/>
        </w:rPr>
        <w:t xml:space="preserve"> </w:t>
      </w:r>
      <w:r w:rsidR="00F24E08">
        <w:rPr>
          <w:rFonts w:ascii="Arial" w:eastAsia="Times New Roman" w:hAnsi="Arial" w:cs="Arial"/>
        </w:rPr>
        <w:t>donio jednu</w:t>
      </w:r>
      <w:r w:rsidR="008A41A7" w:rsidRPr="003A2F86">
        <w:rPr>
          <w:rFonts w:ascii="Arial" w:eastAsia="Times New Roman" w:hAnsi="Arial" w:cs="Arial"/>
        </w:rPr>
        <w:t xml:space="preserve"> </w:t>
      </w:r>
      <w:r w:rsidRPr="003A2F86">
        <w:rPr>
          <w:rFonts w:ascii="Arial" w:eastAsia="Times New Roman" w:hAnsi="Arial" w:cs="Arial"/>
          <w:b/>
          <w:i/>
        </w:rPr>
        <w:t>Odluk</w:t>
      </w:r>
      <w:r w:rsidR="0035709F" w:rsidRPr="003A2F86">
        <w:rPr>
          <w:rFonts w:ascii="Arial" w:eastAsia="Times New Roman" w:hAnsi="Arial" w:cs="Arial"/>
          <w:b/>
          <w:i/>
        </w:rPr>
        <w:t>u</w:t>
      </w:r>
      <w:r w:rsidRPr="003A2F86">
        <w:rPr>
          <w:rFonts w:ascii="Arial" w:eastAsia="Times New Roman" w:hAnsi="Arial" w:cs="Arial"/>
        </w:rPr>
        <w:t xml:space="preserve"> </w:t>
      </w:r>
      <w:r w:rsidRPr="003A2F86">
        <w:rPr>
          <w:rFonts w:ascii="Arial" w:eastAsia="Times New Roman" w:hAnsi="Arial" w:cs="Arial"/>
          <w:b/>
          <w:i/>
        </w:rPr>
        <w:t>o</w:t>
      </w:r>
      <w:r w:rsidRPr="003A2F86">
        <w:rPr>
          <w:rFonts w:ascii="Arial" w:eastAsia="Times New Roman" w:hAnsi="Arial" w:cs="Arial"/>
        </w:rPr>
        <w:t xml:space="preserve"> </w:t>
      </w:r>
      <w:r w:rsidRPr="003A2F86">
        <w:rPr>
          <w:rFonts w:ascii="Arial" w:eastAsia="Times New Roman" w:hAnsi="Arial" w:cs="Arial"/>
          <w:b/>
          <w:i/>
        </w:rPr>
        <w:t>preraspodjeli</w:t>
      </w:r>
      <w:r w:rsidRPr="003A2F86">
        <w:rPr>
          <w:rFonts w:ascii="Arial" w:eastAsia="Times New Roman" w:hAnsi="Arial" w:cs="Arial"/>
        </w:rPr>
        <w:t xml:space="preserve"> </w:t>
      </w:r>
      <w:r w:rsidRPr="003A2F86">
        <w:rPr>
          <w:rFonts w:ascii="Arial" w:eastAsia="Times New Roman" w:hAnsi="Arial" w:cs="Arial"/>
          <w:b/>
          <w:i/>
        </w:rPr>
        <w:t>proračunskih sredstava</w:t>
      </w:r>
      <w:r w:rsidR="00AD6767" w:rsidRPr="003A2F86">
        <w:rPr>
          <w:rFonts w:ascii="Arial" w:eastAsia="Times New Roman" w:hAnsi="Arial" w:cs="Arial"/>
          <w:b/>
          <w:i/>
        </w:rPr>
        <w:t>.</w:t>
      </w:r>
    </w:p>
    <w:p w14:paraId="7CF1E75B" w14:textId="77777777" w:rsidR="004612B0" w:rsidRPr="003A2F86" w:rsidRDefault="004612B0" w:rsidP="00E53CFD">
      <w:pPr>
        <w:autoSpaceDE w:val="0"/>
        <w:autoSpaceDN w:val="0"/>
        <w:adjustRightInd w:val="0"/>
        <w:spacing w:after="0" w:line="240" w:lineRule="auto"/>
        <w:jc w:val="both"/>
        <w:rPr>
          <w:rFonts w:ascii="Arial" w:eastAsia="Times New Roman" w:hAnsi="Arial" w:cs="Arial"/>
          <w:lang w:eastAsia="en-US"/>
        </w:rPr>
      </w:pPr>
    </w:p>
    <w:p w14:paraId="72CE8C0F" w14:textId="10756C1E" w:rsidR="00AE78C4" w:rsidRPr="003A2F86" w:rsidRDefault="00AE78C4" w:rsidP="00AE78C4">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Podaci o izvršenju prihoda i rashoda, primitaka i izdataka iskazani su na razini odjeljka ekonomske klasifikacije (četvrta razina računskog plana), dok su podaci o planu iskazani na razini skupine ekonomske klasifikacije (</w:t>
      </w:r>
      <w:r w:rsidR="008E25ED" w:rsidRPr="003A2F86">
        <w:rPr>
          <w:rFonts w:ascii="Arial" w:eastAsia="Times New Roman" w:hAnsi="Arial" w:cs="Arial"/>
        </w:rPr>
        <w:t>druga</w:t>
      </w:r>
      <w:r w:rsidRPr="003A2F86">
        <w:rPr>
          <w:rFonts w:ascii="Arial" w:eastAsia="Times New Roman" w:hAnsi="Arial" w:cs="Arial"/>
        </w:rPr>
        <w:t xml:space="preserve"> razina računskog plana) sukladno usvojenom Proračunu.</w:t>
      </w:r>
    </w:p>
    <w:p w14:paraId="78E01594" w14:textId="77777777" w:rsidR="00AE78C4" w:rsidRPr="003A2F86" w:rsidRDefault="00AE78C4" w:rsidP="00642208">
      <w:pPr>
        <w:autoSpaceDE w:val="0"/>
        <w:autoSpaceDN w:val="0"/>
        <w:adjustRightInd w:val="0"/>
        <w:spacing w:after="0" w:line="240" w:lineRule="auto"/>
        <w:jc w:val="both"/>
        <w:rPr>
          <w:rFonts w:ascii="Arial" w:eastAsia="Times New Roman" w:hAnsi="Arial" w:cs="Arial"/>
        </w:rPr>
      </w:pPr>
    </w:p>
    <w:p w14:paraId="1A530A2F" w14:textId="57F349AA" w:rsidR="0001734D" w:rsidRPr="003A2F86" w:rsidRDefault="00E91779" w:rsidP="0001734D">
      <w:pPr>
        <w:autoSpaceDE w:val="0"/>
        <w:autoSpaceDN w:val="0"/>
        <w:adjustRightInd w:val="0"/>
        <w:spacing w:after="0" w:line="240" w:lineRule="auto"/>
        <w:jc w:val="both"/>
        <w:rPr>
          <w:rFonts w:ascii="Arial" w:eastAsia="Calibri" w:hAnsi="Arial" w:cs="Arial"/>
          <w:lang w:eastAsia="en-US"/>
        </w:rPr>
      </w:pPr>
      <w:r w:rsidRPr="003A2F86">
        <w:rPr>
          <w:rFonts w:ascii="Arial" w:eastAsia="Times New Roman" w:hAnsi="Arial" w:cs="Arial"/>
        </w:rPr>
        <w:t>Zakonom o proračunu</w:t>
      </w:r>
      <w:r w:rsidR="00037C6A" w:rsidRPr="003A2F86">
        <w:rPr>
          <w:rFonts w:ascii="Arial" w:eastAsia="Times New Roman" w:hAnsi="Arial" w:cs="Arial"/>
        </w:rPr>
        <w:t xml:space="preserve"> (NN 144/21)</w:t>
      </w:r>
      <w:r w:rsidR="009F5BBF" w:rsidRPr="003A2F86">
        <w:rPr>
          <w:rFonts w:ascii="Arial" w:eastAsia="Times New Roman" w:hAnsi="Arial" w:cs="Arial"/>
        </w:rPr>
        <w:t xml:space="preserve">, članak </w:t>
      </w:r>
      <w:r w:rsidRPr="003A2F86">
        <w:rPr>
          <w:rFonts w:ascii="Arial" w:eastAsia="Times New Roman" w:hAnsi="Arial" w:cs="Arial"/>
        </w:rPr>
        <w:t>88. i 89.</w:t>
      </w:r>
      <w:r w:rsidR="009F5BBF" w:rsidRPr="003A2F86">
        <w:rPr>
          <w:rFonts w:ascii="Arial" w:eastAsia="Times New Roman" w:hAnsi="Arial" w:cs="Arial"/>
        </w:rPr>
        <w:t xml:space="preserve">, </w:t>
      </w:r>
      <w:r w:rsidR="00891119" w:rsidRPr="003A2F86">
        <w:rPr>
          <w:rFonts w:ascii="Arial" w:eastAsia="Times New Roman" w:hAnsi="Arial" w:cs="Arial"/>
        </w:rPr>
        <w:t xml:space="preserve">propisana je obveza podnošenja </w:t>
      </w:r>
      <w:r w:rsidR="000B4A24" w:rsidRPr="003A2F86">
        <w:rPr>
          <w:rFonts w:ascii="Arial" w:eastAsia="Times New Roman" w:hAnsi="Arial" w:cs="Arial"/>
        </w:rPr>
        <w:t xml:space="preserve">polugodišnjeg </w:t>
      </w:r>
      <w:r w:rsidR="004C317A" w:rsidRPr="003A2F86">
        <w:rPr>
          <w:rFonts w:ascii="Arial" w:eastAsia="Calibri" w:hAnsi="Arial" w:cs="Arial"/>
          <w:lang w:eastAsia="en-US"/>
        </w:rPr>
        <w:t>(</w:t>
      </w:r>
      <w:r w:rsidR="00A565C9" w:rsidRPr="003A2F86">
        <w:rPr>
          <w:rFonts w:ascii="Arial" w:eastAsia="Calibri" w:hAnsi="Arial" w:cs="Arial"/>
          <w:lang w:eastAsia="en-US"/>
        </w:rPr>
        <w:t xml:space="preserve">do </w:t>
      </w:r>
      <w:r w:rsidR="002D66C2" w:rsidRPr="003A2F86">
        <w:rPr>
          <w:rFonts w:ascii="Arial" w:eastAsia="Calibri" w:hAnsi="Arial" w:cs="Arial"/>
          <w:lang w:eastAsia="en-US"/>
        </w:rPr>
        <w:t>30</w:t>
      </w:r>
      <w:r w:rsidR="004C317A" w:rsidRPr="003A2F86">
        <w:rPr>
          <w:rFonts w:ascii="Arial" w:eastAsia="Calibri" w:hAnsi="Arial" w:cs="Arial"/>
          <w:lang w:eastAsia="en-US"/>
        </w:rPr>
        <w:t xml:space="preserve">. rujna tekuće proračunske godine) </w:t>
      </w:r>
      <w:r w:rsidR="000B4A24" w:rsidRPr="003A2F86">
        <w:rPr>
          <w:rFonts w:ascii="Arial" w:eastAsia="Times New Roman" w:hAnsi="Arial" w:cs="Arial"/>
        </w:rPr>
        <w:t xml:space="preserve">i </w:t>
      </w:r>
      <w:r w:rsidR="00891119" w:rsidRPr="003A2F86">
        <w:rPr>
          <w:rFonts w:ascii="Arial" w:eastAsia="Times New Roman" w:hAnsi="Arial" w:cs="Arial"/>
        </w:rPr>
        <w:t xml:space="preserve">godišnjeg </w:t>
      </w:r>
      <w:r w:rsidR="004C317A" w:rsidRPr="003A2F86">
        <w:rPr>
          <w:rFonts w:ascii="Arial" w:eastAsia="Calibri" w:hAnsi="Arial" w:cs="Arial"/>
          <w:lang w:eastAsia="en-US"/>
        </w:rPr>
        <w:t xml:space="preserve">(do </w:t>
      </w:r>
      <w:r w:rsidR="002D66C2" w:rsidRPr="003A2F86">
        <w:rPr>
          <w:rFonts w:ascii="Arial" w:eastAsia="Calibri" w:hAnsi="Arial" w:cs="Arial"/>
          <w:lang w:eastAsia="en-US"/>
        </w:rPr>
        <w:t>31. svibnja</w:t>
      </w:r>
      <w:r w:rsidR="004C317A" w:rsidRPr="003A2F86">
        <w:rPr>
          <w:rFonts w:ascii="Arial" w:eastAsia="Calibri" w:hAnsi="Arial" w:cs="Arial"/>
          <w:lang w:eastAsia="en-US"/>
        </w:rPr>
        <w:t xml:space="preserve"> tekuće godine za prethodnu godinu) </w:t>
      </w:r>
      <w:r w:rsidR="00891119" w:rsidRPr="003A2F86">
        <w:rPr>
          <w:rFonts w:ascii="Arial" w:eastAsia="Times New Roman" w:hAnsi="Arial" w:cs="Arial"/>
        </w:rPr>
        <w:t xml:space="preserve">izvještaja o izvršenju proračuna na donošenje </w:t>
      </w:r>
      <w:r w:rsidR="00891119" w:rsidRPr="003A2F86">
        <w:rPr>
          <w:rFonts w:ascii="Arial" w:eastAsia="Times New Roman" w:hAnsi="Arial" w:cs="Arial"/>
          <w:b/>
          <w:bCs/>
        </w:rPr>
        <w:t>predstavničkom tijelu</w:t>
      </w:r>
      <w:r w:rsidR="00891119" w:rsidRPr="003A2F86">
        <w:rPr>
          <w:rFonts w:ascii="Arial" w:eastAsia="Times New Roman" w:hAnsi="Arial" w:cs="Arial"/>
        </w:rPr>
        <w:t xml:space="preserve"> jedinice lokalne i područne (regionalne) samouprave. </w:t>
      </w:r>
    </w:p>
    <w:p w14:paraId="4F28121E" w14:textId="77777777" w:rsidR="0001734D" w:rsidRPr="003A2F86" w:rsidRDefault="0001734D" w:rsidP="0001734D">
      <w:pPr>
        <w:autoSpaceDE w:val="0"/>
        <w:autoSpaceDN w:val="0"/>
        <w:adjustRightInd w:val="0"/>
        <w:spacing w:after="0" w:line="240" w:lineRule="auto"/>
        <w:jc w:val="both"/>
        <w:rPr>
          <w:rFonts w:ascii="Arial" w:eastAsia="Calibri" w:hAnsi="Arial" w:cs="Arial"/>
          <w:lang w:eastAsia="en-US"/>
        </w:rPr>
      </w:pPr>
    </w:p>
    <w:p w14:paraId="38379117" w14:textId="4DC08F6C" w:rsidR="00891119" w:rsidRPr="003A2F86" w:rsidRDefault="00891119" w:rsidP="0001734D">
      <w:pPr>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lang w:eastAsia="en-US"/>
        </w:rPr>
        <w:t>Financiranje javnih rashoda i izdataka u 20</w:t>
      </w:r>
      <w:r w:rsidR="00E343BD" w:rsidRPr="003A2F86">
        <w:rPr>
          <w:rFonts w:ascii="Arial" w:eastAsia="Calibri" w:hAnsi="Arial" w:cs="Arial"/>
          <w:lang w:eastAsia="en-US"/>
        </w:rPr>
        <w:t>2</w:t>
      </w:r>
      <w:r w:rsidR="00F24E08">
        <w:rPr>
          <w:rFonts w:ascii="Arial" w:eastAsia="Calibri" w:hAnsi="Arial" w:cs="Arial"/>
          <w:lang w:eastAsia="en-US"/>
        </w:rPr>
        <w:t>5</w:t>
      </w:r>
      <w:r w:rsidRPr="003A2F86">
        <w:rPr>
          <w:rFonts w:ascii="Arial" w:eastAsia="Calibri" w:hAnsi="Arial" w:cs="Arial"/>
          <w:lang w:eastAsia="en-US"/>
        </w:rPr>
        <w:t>. godini izvršeno je na temelju slijedećih financijsko-planskih dokumenata:</w:t>
      </w:r>
    </w:p>
    <w:p w14:paraId="46C5F872" w14:textId="3A4FD108" w:rsidR="00891119" w:rsidRPr="003A2F86" w:rsidRDefault="00891119" w:rsidP="00D50EED">
      <w:pPr>
        <w:spacing w:after="0" w:line="240" w:lineRule="auto"/>
        <w:ind w:firstLine="567"/>
        <w:jc w:val="both"/>
        <w:rPr>
          <w:rFonts w:ascii="Arial" w:eastAsia="Calibri" w:hAnsi="Arial" w:cs="Arial"/>
          <w:lang w:eastAsia="en-US"/>
        </w:rPr>
      </w:pPr>
      <w:r w:rsidRPr="003A2F86">
        <w:rPr>
          <w:rFonts w:ascii="Arial" w:eastAsia="Calibri" w:hAnsi="Arial" w:cs="Arial"/>
          <w:lang w:eastAsia="en-US"/>
        </w:rPr>
        <w:t>- Proračun Općine Konavle za 20</w:t>
      </w:r>
      <w:r w:rsidR="00E57268" w:rsidRPr="003A2F86">
        <w:rPr>
          <w:rFonts w:ascii="Arial" w:eastAsia="Calibri" w:hAnsi="Arial" w:cs="Arial"/>
          <w:lang w:eastAsia="en-US"/>
        </w:rPr>
        <w:t>2</w:t>
      </w:r>
      <w:r w:rsidR="00F24E08">
        <w:rPr>
          <w:rFonts w:ascii="Arial" w:eastAsia="Calibri" w:hAnsi="Arial" w:cs="Arial"/>
          <w:lang w:eastAsia="en-US"/>
        </w:rPr>
        <w:t>5</w:t>
      </w:r>
      <w:r w:rsidRPr="003A2F86">
        <w:rPr>
          <w:rFonts w:ascii="Arial" w:eastAsia="Calibri" w:hAnsi="Arial" w:cs="Arial"/>
          <w:lang w:eastAsia="en-US"/>
        </w:rPr>
        <w:t>. godinu s projekcijama proračuna za 20</w:t>
      </w:r>
      <w:r w:rsidR="002D6F6F" w:rsidRPr="003A2F86">
        <w:rPr>
          <w:rFonts w:ascii="Arial" w:eastAsia="Calibri" w:hAnsi="Arial" w:cs="Arial"/>
          <w:lang w:eastAsia="en-US"/>
        </w:rPr>
        <w:t>2</w:t>
      </w:r>
      <w:r w:rsidR="00F24E08">
        <w:rPr>
          <w:rFonts w:ascii="Arial" w:eastAsia="Calibri" w:hAnsi="Arial" w:cs="Arial"/>
          <w:lang w:eastAsia="en-US"/>
        </w:rPr>
        <w:t>6</w:t>
      </w:r>
      <w:r w:rsidRPr="003A2F86">
        <w:rPr>
          <w:rFonts w:ascii="Arial" w:eastAsia="Calibri" w:hAnsi="Arial" w:cs="Arial"/>
          <w:lang w:eastAsia="en-US"/>
        </w:rPr>
        <w:t>. i 202</w:t>
      </w:r>
      <w:r w:rsidR="00F24E08">
        <w:rPr>
          <w:rFonts w:ascii="Arial" w:eastAsia="Calibri" w:hAnsi="Arial" w:cs="Arial"/>
          <w:lang w:eastAsia="en-US"/>
        </w:rPr>
        <w:t>7</w:t>
      </w:r>
      <w:r w:rsidRPr="003A2F86">
        <w:rPr>
          <w:rFonts w:ascii="Arial" w:eastAsia="Calibri" w:hAnsi="Arial" w:cs="Arial"/>
          <w:lang w:eastAsia="en-US"/>
        </w:rPr>
        <w:t>. godinu i Odluka o izvršavanju proračuna Općine Konavle za 20</w:t>
      </w:r>
      <w:r w:rsidR="00E343BD" w:rsidRPr="003A2F86">
        <w:rPr>
          <w:rFonts w:ascii="Arial" w:eastAsia="Calibri" w:hAnsi="Arial" w:cs="Arial"/>
          <w:lang w:eastAsia="en-US"/>
        </w:rPr>
        <w:t>2</w:t>
      </w:r>
      <w:r w:rsidR="00F24E08">
        <w:rPr>
          <w:rFonts w:ascii="Arial" w:eastAsia="Calibri" w:hAnsi="Arial" w:cs="Arial"/>
          <w:lang w:eastAsia="en-US"/>
        </w:rPr>
        <w:t>5</w:t>
      </w:r>
      <w:r w:rsidRPr="003A2F86">
        <w:rPr>
          <w:rFonts w:ascii="Arial" w:eastAsia="Calibri" w:hAnsi="Arial" w:cs="Arial"/>
          <w:lang w:eastAsia="en-US"/>
        </w:rPr>
        <w:t xml:space="preserve">. godinu koje je usvojilo Općinsko vijeće </w:t>
      </w:r>
      <w:r w:rsidR="006B0C1F" w:rsidRPr="003A2F86">
        <w:rPr>
          <w:rFonts w:ascii="Arial" w:eastAsia="Calibri" w:hAnsi="Arial" w:cs="Arial"/>
          <w:lang w:eastAsia="en-US"/>
        </w:rPr>
        <w:t>1</w:t>
      </w:r>
      <w:r w:rsidR="00F24E08">
        <w:rPr>
          <w:rFonts w:ascii="Arial" w:eastAsia="Calibri" w:hAnsi="Arial" w:cs="Arial"/>
          <w:lang w:eastAsia="en-US"/>
        </w:rPr>
        <w:t>6</w:t>
      </w:r>
      <w:r w:rsidR="00E57268" w:rsidRPr="003A2F86">
        <w:rPr>
          <w:rFonts w:ascii="Arial" w:eastAsia="Calibri" w:hAnsi="Arial" w:cs="Arial"/>
          <w:lang w:eastAsia="en-US"/>
        </w:rPr>
        <w:t>. prosinca</w:t>
      </w:r>
      <w:r w:rsidRPr="003A2F86">
        <w:rPr>
          <w:rFonts w:ascii="Arial" w:eastAsia="Calibri" w:hAnsi="Arial" w:cs="Arial"/>
          <w:lang w:eastAsia="en-US"/>
        </w:rPr>
        <w:t xml:space="preserve"> 20</w:t>
      </w:r>
      <w:r w:rsidR="00436855" w:rsidRPr="003A2F86">
        <w:rPr>
          <w:rFonts w:ascii="Arial" w:eastAsia="Calibri" w:hAnsi="Arial" w:cs="Arial"/>
          <w:lang w:eastAsia="en-US"/>
        </w:rPr>
        <w:t>2</w:t>
      </w:r>
      <w:r w:rsidR="00F24E08">
        <w:rPr>
          <w:rFonts w:ascii="Arial" w:eastAsia="Calibri" w:hAnsi="Arial" w:cs="Arial"/>
          <w:lang w:eastAsia="en-US"/>
        </w:rPr>
        <w:t>4</w:t>
      </w:r>
      <w:r w:rsidRPr="003A2F86">
        <w:rPr>
          <w:rFonts w:ascii="Arial" w:eastAsia="Calibri" w:hAnsi="Arial" w:cs="Arial"/>
          <w:lang w:eastAsia="en-US"/>
        </w:rPr>
        <w:t>. godine i kojim je Proračun za 20</w:t>
      </w:r>
      <w:r w:rsidR="00E343BD" w:rsidRPr="003A2F86">
        <w:rPr>
          <w:rFonts w:ascii="Arial" w:eastAsia="Calibri" w:hAnsi="Arial" w:cs="Arial"/>
          <w:lang w:eastAsia="en-US"/>
        </w:rPr>
        <w:t>2</w:t>
      </w:r>
      <w:r w:rsidR="00F24E08">
        <w:rPr>
          <w:rFonts w:ascii="Arial" w:eastAsia="Calibri" w:hAnsi="Arial" w:cs="Arial"/>
          <w:lang w:eastAsia="en-US"/>
        </w:rPr>
        <w:t>5</w:t>
      </w:r>
      <w:r w:rsidRPr="003A2F86">
        <w:rPr>
          <w:rFonts w:ascii="Arial" w:eastAsia="Calibri" w:hAnsi="Arial" w:cs="Arial"/>
          <w:lang w:eastAsia="en-US"/>
        </w:rPr>
        <w:t xml:space="preserve">. utvrđen u iznosu </w:t>
      </w:r>
      <w:r w:rsidR="00F24E08">
        <w:rPr>
          <w:rFonts w:ascii="Arial" w:eastAsia="Calibri" w:hAnsi="Arial" w:cs="Arial"/>
          <w:lang w:eastAsia="en-US"/>
        </w:rPr>
        <w:t>39.980</w:t>
      </w:r>
      <w:r w:rsidR="006B0C1F" w:rsidRPr="003A2F86">
        <w:rPr>
          <w:rFonts w:ascii="Arial" w:eastAsia="Calibri" w:hAnsi="Arial" w:cs="Arial"/>
          <w:lang w:eastAsia="en-US"/>
        </w:rPr>
        <w:t>.000</w:t>
      </w:r>
      <w:r w:rsidR="007F0687" w:rsidRPr="003A2F86">
        <w:rPr>
          <w:rFonts w:ascii="Arial" w:eastAsia="Calibri" w:hAnsi="Arial" w:cs="Arial"/>
          <w:lang w:eastAsia="en-US"/>
        </w:rPr>
        <w:t xml:space="preserve"> €</w:t>
      </w:r>
      <w:r w:rsidR="004C317A" w:rsidRPr="003A2F86">
        <w:rPr>
          <w:rFonts w:ascii="Arial" w:eastAsia="Calibri" w:hAnsi="Arial" w:cs="Arial"/>
          <w:lang w:eastAsia="en-US"/>
        </w:rPr>
        <w:t xml:space="preserve"> (</w:t>
      </w:r>
      <w:r w:rsidRPr="003A2F86">
        <w:rPr>
          <w:rFonts w:ascii="Arial" w:eastAsia="Calibri" w:hAnsi="Arial" w:cs="Arial"/>
          <w:lang w:eastAsia="en-US"/>
        </w:rPr>
        <w:t>Služben</w:t>
      </w:r>
      <w:r w:rsidR="004C317A" w:rsidRPr="003A2F86">
        <w:rPr>
          <w:rFonts w:ascii="Arial" w:eastAsia="Calibri" w:hAnsi="Arial" w:cs="Arial"/>
          <w:lang w:eastAsia="en-US"/>
        </w:rPr>
        <w:t>i</w:t>
      </w:r>
      <w:r w:rsidRPr="003A2F86">
        <w:rPr>
          <w:rFonts w:ascii="Arial" w:eastAsia="Calibri" w:hAnsi="Arial" w:cs="Arial"/>
          <w:lang w:eastAsia="en-US"/>
        </w:rPr>
        <w:t xml:space="preserve"> glasnik Općine Konavle broj </w:t>
      </w:r>
      <w:r w:rsidR="00F24E08">
        <w:rPr>
          <w:rFonts w:ascii="Arial" w:eastAsia="Calibri" w:hAnsi="Arial" w:cs="Arial"/>
          <w:lang w:eastAsia="en-US"/>
        </w:rPr>
        <w:t>11</w:t>
      </w:r>
      <w:r w:rsidR="007F0687" w:rsidRPr="003A2F86">
        <w:rPr>
          <w:rFonts w:ascii="Arial" w:eastAsia="Calibri" w:hAnsi="Arial" w:cs="Arial"/>
          <w:lang w:eastAsia="en-US"/>
        </w:rPr>
        <w:t>/202</w:t>
      </w:r>
      <w:r w:rsidR="00F24E08">
        <w:rPr>
          <w:rFonts w:ascii="Arial" w:eastAsia="Calibri" w:hAnsi="Arial" w:cs="Arial"/>
          <w:lang w:eastAsia="en-US"/>
        </w:rPr>
        <w:t>4</w:t>
      </w:r>
      <w:r w:rsidR="004C317A" w:rsidRPr="003A2F86">
        <w:rPr>
          <w:rFonts w:ascii="Arial" w:eastAsia="Calibri" w:hAnsi="Arial" w:cs="Arial"/>
          <w:lang w:eastAsia="en-US"/>
        </w:rPr>
        <w:t>)</w:t>
      </w:r>
      <w:r w:rsidR="004E0B11" w:rsidRPr="003A2F86">
        <w:rPr>
          <w:rFonts w:ascii="Arial" w:eastAsia="Calibri" w:hAnsi="Arial" w:cs="Arial"/>
          <w:lang w:eastAsia="en-US"/>
        </w:rPr>
        <w:t>,</w:t>
      </w:r>
    </w:p>
    <w:p w14:paraId="13E26DD2" w14:textId="5C844957" w:rsidR="00906791" w:rsidRPr="003A2F86" w:rsidRDefault="00F24E08" w:rsidP="00906791">
      <w:pPr>
        <w:spacing w:after="0" w:line="240" w:lineRule="auto"/>
        <w:ind w:firstLine="567"/>
        <w:jc w:val="both"/>
        <w:rPr>
          <w:rFonts w:ascii="Arial" w:eastAsia="Calibri" w:hAnsi="Arial" w:cs="Arial"/>
          <w:lang w:eastAsia="en-US"/>
        </w:rPr>
      </w:pPr>
      <w:r>
        <w:rPr>
          <w:rFonts w:ascii="Arial" w:eastAsia="Calibri" w:hAnsi="Arial" w:cs="Arial"/>
          <w:lang w:eastAsia="en-US"/>
        </w:rPr>
        <w:t>- Odluka o preraspodjeli sredstava planiranih u Proračunu Općine Konavle za 2025. godinu od 6. lipnja 2025</w:t>
      </w:r>
      <w:r w:rsidR="00906791" w:rsidRPr="003A2F86">
        <w:rPr>
          <w:rFonts w:ascii="Arial" w:eastAsia="Calibri" w:hAnsi="Arial" w:cs="Arial"/>
          <w:lang w:eastAsia="en-US"/>
        </w:rPr>
        <w:t>.</w:t>
      </w:r>
    </w:p>
    <w:p w14:paraId="2C2157BF" w14:textId="77777777" w:rsidR="00906791" w:rsidRPr="003A2F86" w:rsidRDefault="00906791" w:rsidP="00D50EED">
      <w:pPr>
        <w:spacing w:after="0" w:line="240" w:lineRule="auto"/>
        <w:ind w:firstLine="567"/>
        <w:jc w:val="both"/>
        <w:rPr>
          <w:rFonts w:ascii="Arial" w:eastAsia="Calibri" w:hAnsi="Arial" w:cs="Arial"/>
          <w:lang w:eastAsia="en-US"/>
        </w:rPr>
      </w:pPr>
    </w:p>
    <w:p w14:paraId="27CCFC3A" w14:textId="03652CFB" w:rsidR="00891119" w:rsidRPr="003A2F86" w:rsidRDefault="00891119" w:rsidP="008C5760">
      <w:pPr>
        <w:autoSpaceDE w:val="0"/>
        <w:autoSpaceDN w:val="0"/>
        <w:adjustRightInd w:val="0"/>
        <w:spacing w:after="0" w:line="240" w:lineRule="auto"/>
        <w:ind w:firstLine="567"/>
        <w:jc w:val="both"/>
        <w:rPr>
          <w:rFonts w:ascii="Arial" w:eastAsia="Times New Roman" w:hAnsi="Arial" w:cs="Arial"/>
        </w:rPr>
      </w:pPr>
      <w:r w:rsidRPr="003A2F86">
        <w:rPr>
          <w:rFonts w:ascii="Arial" w:eastAsia="Times New Roman" w:hAnsi="Arial" w:cs="Arial"/>
        </w:rPr>
        <w:t xml:space="preserve">Prva i druga točka </w:t>
      </w:r>
      <w:r w:rsidR="001A2CE0" w:rsidRPr="003A2F86">
        <w:rPr>
          <w:rFonts w:ascii="Arial" w:eastAsia="Times New Roman" w:hAnsi="Arial" w:cs="Arial"/>
          <w:b/>
        </w:rPr>
        <w:t>G</w:t>
      </w:r>
      <w:r w:rsidRPr="003A2F86">
        <w:rPr>
          <w:rFonts w:ascii="Arial" w:eastAsia="Times New Roman" w:hAnsi="Arial" w:cs="Arial"/>
          <w:b/>
        </w:rPr>
        <w:t>odišnjeg izvještaja o izvršenju proračuna Općine Konavle za 20</w:t>
      </w:r>
      <w:r w:rsidR="00E343BD" w:rsidRPr="003A2F86">
        <w:rPr>
          <w:rFonts w:ascii="Arial" w:eastAsia="Times New Roman" w:hAnsi="Arial" w:cs="Arial"/>
          <w:b/>
        </w:rPr>
        <w:t>2</w:t>
      </w:r>
      <w:r w:rsidR="00F24E08">
        <w:rPr>
          <w:rFonts w:ascii="Arial" w:eastAsia="Times New Roman" w:hAnsi="Arial" w:cs="Arial"/>
          <w:b/>
        </w:rPr>
        <w:t>5</w:t>
      </w:r>
      <w:r w:rsidR="008C5760" w:rsidRPr="003A2F86">
        <w:rPr>
          <w:rFonts w:ascii="Arial" w:eastAsia="Times New Roman" w:hAnsi="Arial" w:cs="Arial"/>
          <w:b/>
        </w:rPr>
        <w:t>.</w:t>
      </w:r>
      <w:r w:rsidRPr="003A2F86">
        <w:rPr>
          <w:rFonts w:ascii="Arial" w:eastAsia="Times New Roman" w:hAnsi="Arial" w:cs="Arial"/>
          <w:b/>
        </w:rPr>
        <w:t xml:space="preserve"> </w:t>
      </w:r>
      <w:r w:rsidR="009846DC" w:rsidRPr="003A2F86">
        <w:rPr>
          <w:rFonts w:ascii="Arial" w:eastAsia="Times New Roman" w:hAnsi="Arial" w:cs="Arial"/>
        </w:rPr>
        <w:t>u skladu s odredbama Pravilnika o polugodišnjem i godišnjem izvještaju o izvršenju proračuna</w:t>
      </w:r>
      <w:r w:rsidR="007F0687" w:rsidRPr="003A2F86">
        <w:rPr>
          <w:rFonts w:ascii="Arial" w:eastAsia="Times New Roman" w:hAnsi="Arial" w:cs="Arial"/>
        </w:rPr>
        <w:t xml:space="preserve"> i financijskog plana</w:t>
      </w:r>
      <w:r w:rsidR="009846DC" w:rsidRPr="003A2F86">
        <w:rPr>
          <w:rFonts w:ascii="Arial" w:eastAsia="Times New Roman" w:hAnsi="Arial" w:cs="Arial"/>
        </w:rPr>
        <w:t xml:space="preserve"> iskazuju se </w:t>
      </w:r>
      <w:r w:rsidR="009846DC" w:rsidRPr="003A2F86">
        <w:rPr>
          <w:rFonts w:ascii="Arial" w:eastAsia="Times New Roman" w:hAnsi="Arial" w:cs="Arial"/>
          <w:i/>
          <w:u w:val="single"/>
        </w:rPr>
        <w:t>u tabličnom prikazu</w:t>
      </w:r>
      <w:r w:rsidR="009846DC" w:rsidRPr="003A2F86">
        <w:rPr>
          <w:rFonts w:ascii="Arial" w:eastAsia="Times New Roman" w:hAnsi="Arial" w:cs="Arial"/>
          <w:i/>
        </w:rPr>
        <w:t xml:space="preserve"> (u privitku) i dostavljaju Općinskom vijeću na donošenje</w:t>
      </w:r>
      <w:r w:rsidRPr="003A2F86">
        <w:rPr>
          <w:rFonts w:ascii="Arial" w:eastAsia="Times New Roman" w:hAnsi="Arial" w:cs="Arial"/>
        </w:rPr>
        <w:t>:</w:t>
      </w:r>
    </w:p>
    <w:p w14:paraId="7DF5078C" w14:textId="2E3E9C57" w:rsidR="00891119" w:rsidRPr="003A2F86" w:rsidRDefault="00891119" w:rsidP="009140A7">
      <w:pPr>
        <w:autoSpaceDE w:val="0"/>
        <w:autoSpaceDN w:val="0"/>
        <w:adjustRightInd w:val="0"/>
        <w:spacing w:after="0" w:line="240" w:lineRule="auto"/>
        <w:ind w:firstLine="567"/>
        <w:jc w:val="both"/>
        <w:rPr>
          <w:rFonts w:ascii="Arial" w:eastAsia="Times New Roman" w:hAnsi="Arial" w:cs="Arial"/>
        </w:rPr>
      </w:pPr>
      <w:r w:rsidRPr="003A2F86">
        <w:rPr>
          <w:rFonts w:ascii="Arial" w:eastAsia="Times New Roman" w:hAnsi="Arial" w:cs="Arial"/>
        </w:rPr>
        <w:t xml:space="preserve">1. </w:t>
      </w:r>
      <w:r w:rsidRPr="003A2F86">
        <w:rPr>
          <w:rFonts w:ascii="Arial" w:eastAsia="Times New Roman" w:hAnsi="Arial" w:cs="Arial"/>
          <w:b/>
        </w:rPr>
        <w:t>opći dio proračuna</w:t>
      </w:r>
      <w:r w:rsidRPr="003A2F86">
        <w:rPr>
          <w:rFonts w:ascii="Arial" w:eastAsia="Times New Roman" w:hAnsi="Arial" w:cs="Arial"/>
        </w:rPr>
        <w:t xml:space="preserve"> (1. sažetak Računa prihoda i rashoda i Računa financiranja na razini razreda ekonomske klasifikacije; 2. Račun prihoda i rashoda na razini odjeljka ekonomske klasifikacije kao i prihode i rashode prema izvorima financiranja, te rashode prema funkcijskom klasifikaciji; 3. Račun financiranja na razini odjeljka ekonomske klasifikacije kao i račun financiranja prema izvorima financiranja) – </w:t>
      </w:r>
      <w:r w:rsidRPr="009B2419">
        <w:rPr>
          <w:rFonts w:ascii="Arial" w:eastAsia="Times New Roman" w:hAnsi="Arial" w:cs="Arial"/>
          <w:i/>
        </w:rPr>
        <w:t>(</w:t>
      </w:r>
      <w:hyperlink w:anchor="_11._PRIVITAK:_OPĆI" w:history="1">
        <w:r w:rsidRPr="009B2419">
          <w:rPr>
            <w:rStyle w:val="Hiperveza"/>
            <w:rFonts w:ascii="Arial" w:eastAsia="Times New Roman" w:hAnsi="Arial" w:cs="Arial"/>
            <w:i/>
          </w:rPr>
          <w:t xml:space="preserve">članak 1. i 2. </w:t>
        </w:r>
        <w:r w:rsidR="00F24E08">
          <w:rPr>
            <w:rStyle w:val="Hiperveza"/>
            <w:rFonts w:ascii="Arial" w:eastAsia="Times New Roman" w:hAnsi="Arial" w:cs="Arial"/>
            <w:i/>
          </w:rPr>
          <w:t>Polug</w:t>
        </w:r>
        <w:r w:rsidRPr="009B2419">
          <w:rPr>
            <w:rStyle w:val="Hiperveza"/>
            <w:rFonts w:ascii="Arial" w:eastAsia="Times New Roman" w:hAnsi="Arial" w:cs="Arial"/>
            <w:i/>
          </w:rPr>
          <w:t>odišnjeg izvještaja o izvršenju proračuna Općine Konavle za 20</w:t>
        </w:r>
        <w:r w:rsidR="00E343BD" w:rsidRPr="009B2419">
          <w:rPr>
            <w:rStyle w:val="Hiperveza"/>
            <w:rFonts w:ascii="Arial" w:eastAsia="Times New Roman" w:hAnsi="Arial" w:cs="Arial"/>
            <w:i/>
          </w:rPr>
          <w:t>2</w:t>
        </w:r>
        <w:r w:rsidR="00F24E08">
          <w:rPr>
            <w:rStyle w:val="Hiperveza"/>
            <w:rFonts w:ascii="Arial" w:eastAsia="Times New Roman" w:hAnsi="Arial" w:cs="Arial"/>
            <w:i/>
          </w:rPr>
          <w:t>5</w:t>
        </w:r>
        <w:r w:rsidRPr="009B2419">
          <w:rPr>
            <w:rStyle w:val="Hiperveza"/>
            <w:rFonts w:ascii="Arial" w:eastAsia="Times New Roman" w:hAnsi="Arial" w:cs="Arial"/>
            <w:i/>
          </w:rPr>
          <w:t>.</w:t>
        </w:r>
      </w:hyperlink>
      <w:r w:rsidRPr="009B2419">
        <w:rPr>
          <w:rFonts w:ascii="Arial" w:eastAsia="Times New Roman" w:hAnsi="Arial" w:cs="Arial"/>
          <w:i/>
        </w:rPr>
        <w:t>)</w:t>
      </w:r>
      <w:r w:rsidRPr="009B2419">
        <w:rPr>
          <w:rFonts w:ascii="Arial" w:eastAsia="Times New Roman" w:hAnsi="Arial" w:cs="Arial"/>
        </w:rPr>
        <w:t xml:space="preserve"> </w:t>
      </w:r>
      <w:r w:rsidRPr="003A2F86">
        <w:rPr>
          <w:rFonts w:ascii="Arial" w:eastAsia="Times New Roman" w:hAnsi="Arial" w:cs="Arial"/>
        </w:rPr>
        <w:t xml:space="preserve">i </w:t>
      </w:r>
    </w:p>
    <w:p w14:paraId="3C2F74D4" w14:textId="56D174C2" w:rsidR="00891119" w:rsidRPr="004F12E0" w:rsidRDefault="00891119" w:rsidP="009140A7">
      <w:pPr>
        <w:autoSpaceDE w:val="0"/>
        <w:autoSpaceDN w:val="0"/>
        <w:adjustRightInd w:val="0"/>
        <w:spacing w:after="0" w:line="240" w:lineRule="auto"/>
        <w:ind w:firstLine="567"/>
        <w:jc w:val="both"/>
        <w:rPr>
          <w:rFonts w:ascii="Arial" w:eastAsia="Times New Roman" w:hAnsi="Arial" w:cs="Arial"/>
        </w:rPr>
      </w:pPr>
      <w:r w:rsidRPr="003A2F86">
        <w:rPr>
          <w:rFonts w:ascii="Arial" w:eastAsia="Times New Roman" w:hAnsi="Arial" w:cs="Arial"/>
        </w:rPr>
        <w:t xml:space="preserve">2. </w:t>
      </w:r>
      <w:r w:rsidRPr="003A2F86">
        <w:rPr>
          <w:rFonts w:ascii="Arial" w:eastAsia="Times New Roman" w:hAnsi="Arial" w:cs="Arial"/>
          <w:b/>
        </w:rPr>
        <w:t>posebni dio proračuna</w:t>
      </w:r>
      <w:r w:rsidRPr="003A2F86">
        <w:rPr>
          <w:rFonts w:ascii="Arial" w:eastAsia="Times New Roman" w:hAnsi="Arial" w:cs="Arial"/>
        </w:rPr>
        <w:t xml:space="preserve"> (koji sadrži izvršenje po organizacijskoj i izvršenje po programskoj klasifikaciji na razini </w:t>
      </w:r>
      <w:r w:rsidR="007F0687" w:rsidRPr="003A2F86">
        <w:rPr>
          <w:rFonts w:ascii="Arial" w:eastAsia="Times New Roman" w:hAnsi="Arial" w:cs="Arial"/>
        </w:rPr>
        <w:t xml:space="preserve">skupine i </w:t>
      </w:r>
      <w:r w:rsidRPr="003A2F86">
        <w:rPr>
          <w:rFonts w:ascii="Arial" w:eastAsia="Times New Roman" w:hAnsi="Arial" w:cs="Arial"/>
        </w:rPr>
        <w:t>odjeljka ekonomske klasifikacije) -</w:t>
      </w:r>
      <w:r w:rsidRPr="003A2F86">
        <w:rPr>
          <w:rFonts w:ascii="Arial" w:eastAsia="Times New Roman" w:hAnsi="Arial" w:cs="Arial"/>
          <w:i/>
        </w:rPr>
        <w:t xml:space="preserve"> </w:t>
      </w:r>
      <w:r w:rsidRPr="009B2419">
        <w:rPr>
          <w:rFonts w:ascii="Arial" w:eastAsia="Times New Roman" w:hAnsi="Arial" w:cs="Arial"/>
          <w:i/>
        </w:rPr>
        <w:t>(</w:t>
      </w:r>
      <w:hyperlink w:anchor="_11._PRIVITAK:_OPĆI" w:history="1">
        <w:r w:rsidRPr="009B2419">
          <w:rPr>
            <w:rStyle w:val="Hiperveza"/>
            <w:rFonts w:ascii="Arial" w:eastAsia="Times New Roman" w:hAnsi="Arial" w:cs="Arial"/>
            <w:i/>
          </w:rPr>
          <w:t xml:space="preserve">članak 3. </w:t>
        </w:r>
        <w:r w:rsidR="00F24E08">
          <w:rPr>
            <w:rStyle w:val="Hiperveza"/>
            <w:rFonts w:ascii="Arial" w:eastAsia="Times New Roman" w:hAnsi="Arial" w:cs="Arial"/>
            <w:i/>
          </w:rPr>
          <w:t>Polug</w:t>
        </w:r>
        <w:r w:rsidRPr="009B2419">
          <w:rPr>
            <w:rStyle w:val="Hiperveza"/>
            <w:rFonts w:ascii="Arial" w:eastAsia="Times New Roman" w:hAnsi="Arial" w:cs="Arial"/>
            <w:i/>
          </w:rPr>
          <w:t>odišnjeg izvještaja o izvršenju proračuna Općine Konavle za 20</w:t>
        </w:r>
        <w:r w:rsidR="00E343BD" w:rsidRPr="009B2419">
          <w:rPr>
            <w:rStyle w:val="Hiperveza"/>
            <w:rFonts w:ascii="Arial" w:eastAsia="Times New Roman" w:hAnsi="Arial" w:cs="Arial"/>
            <w:i/>
          </w:rPr>
          <w:t>2</w:t>
        </w:r>
        <w:r w:rsidR="00C203D9">
          <w:rPr>
            <w:rStyle w:val="Hiperveza"/>
            <w:rFonts w:ascii="Arial" w:eastAsia="Times New Roman" w:hAnsi="Arial" w:cs="Arial"/>
            <w:i/>
          </w:rPr>
          <w:t>5</w:t>
        </w:r>
        <w:r w:rsidRPr="009B2419">
          <w:rPr>
            <w:rStyle w:val="Hiperveza"/>
            <w:rFonts w:ascii="Arial" w:eastAsia="Times New Roman" w:hAnsi="Arial" w:cs="Arial"/>
            <w:i/>
          </w:rPr>
          <w:t>.</w:t>
        </w:r>
      </w:hyperlink>
      <w:r w:rsidRPr="009B2419">
        <w:rPr>
          <w:rFonts w:ascii="Arial" w:eastAsia="Times New Roman" w:hAnsi="Arial" w:cs="Arial"/>
          <w:i/>
        </w:rPr>
        <w:t>)</w:t>
      </w:r>
      <w:r w:rsidR="00931F56" w:rsidRPr="009B2419">
        <w:rPr>
          <w:rFonts w:ascii="Arial" w:eastAsia="Times New Roman" w:hAnsi="Arial" w:cs="Arial"/>
          <w:i/>
        </w:rPr>
        <w:t>.</w:t>
      </w:r>
    </w:p>
    <w:p w14:paraId="03A1C34F" w14:textId="77777777" w:rsidR="00891119" w:rsidRPr="003A2F86" w:rsidRDefault="00891119" w:rsidP="00891119">
      <w:pPr>
        <w:autoSpaceDE w:val="0"/>
        <w:autoSpaceDN w:val="0"/>
        <w:adjustRightInd w:val="0"/>
        <w:spacing w:after="0" w:line="240" w:lineRule="auto"/>
        <w:jc w:val="both"/>
        <w:rPr>
          <w:rFonts w:ascii="Arial" w:eastAsia="Times New Roman" w:hAnsi="Arial" w:cs="Arial"/>
        </w:rPr>
      </w:pPr>
    </w:p>
    <w:p w14:paraId="6FCE5C74" w14:textId="2EB313F7" w:rsidR="00E038C7" w:rsidRPr="003A2F86" w:rsidRDefault="00891119" w:rsidP="00891119">
      <w:pPr>
        <w:autoSpaceDE w:val="0"/>
        <w:autoSpaceDN w:val="0"/>
        <w:adjustRightInd w:val="0"/>
        <w:spacing w:after="0" w:line="240" w:lineRule="auto"/>
        <w:jc w:val="both"/>
        <w:rPr>
          <w:rFonts w:ascii="Arial" w:eastAsia="Times New Roman" w:hAnsi="Arial" w:cs="Arial"/>
          <w:bCs/>
        </w:rPr>
      </w:pPr>
      <w:r w:rsidRPr="003A2F86">
        <w:rPr>
          <w:rFonts w:ascii="Arial" w:eastAsia="Times New Roman" w:hAnsi="Arial" w:cs="Arial"/>
          <w:b/>
          <w:bCs/>
          <w:i/>
        </w:rPr>
        <w:t>Izvorni plan</w:t>
      </w:r>
      <w:r w:rsidRPr="003A2F86">
        <w:rPr>
          <w:rFonts w:ascii="Arial" w:eastAsia="Times New Roman" w:hAnsi="Arial" w:cs="Arial"/>
          <w:bCs/>
        </w:rPr>
        <w:t xml:space="preserve"> je </w:t>
      </w:r>
      <w:r w:rsidR="00A00F28" w:rsidRPr="003A2F86">
        <w:rPr>
          <w:rFonts w:ascii="Arial" w:eastAsia="Times New Roman" w:hAnsi="Arial" w:cs="Arial"/>
          <w:bCs/>
        </w:rPr>
        <w:t>prvi proračun kojeg je usvojilo Općinsko vijeće</w:t>
      </w:r>
      <w:r w:rsidRPr="003A2F86">
        <w:rPr>
          <w:rFonts w:ascii="Arial" w:eastAsia="Times New Roman" w:hAnsi="Arial" w:cs="Arial"/>
          <w:bCs/>
        </w:rPr>
        <w:t xml:space="preserve">. </w:t>
      </w:r>
    </w:p>
    <w:p w14:paraId="6C5EECDC" w14:textId="1CAFCDAD" w:rsidR="00A00F28" w:rsidRPr="003A2F86" w:rsidRDefault="00A00F28" w:rsidP="00891119">
      <w:pPr>
        <w:autoSpaceDE w:val="0"/>
        <w:autoSpaceDN w:val="0"/>
        <w:adjustRightInd w:val="0"/>
        <w:spacing w:after="0" w:line="240" w:lineRule="auto"/>
        <w:jc w:val="both"/>
        <w:rPr>
          <w:rFonts w:ascii="Arial" w:eastAsia="Times New Roman" w:hAnsi="Arial" w:cs="Arial"/>
          <w:bCs/>
        </w:rPr>
      </w:pPr>
      <w:r w:rsidRPr="003A2F86">
        <w:rPr>
          <w:rFonts w:ascii="Arial" w:eastAsia="Times New Roman" w:hAnsi="Arial" w:cs="Arial"/>
          <w:b/>
          <w:i/>
          <w:iCs/>
        </w:rPr>
        <w:t xml:space="preserve">Rebalans </w:t>
      </w:r>
      <w:r w:rsidRPr="003A2F86">
        <w:rPr>
          <w:rFonts w:ascii="Arial" w:eastAsia="Times New Roman" w:hAnsi="Arial" w:cs="Arial"/>
          <w:bCs/>
        </w:rPr>
        <w:t>su zadnje izmjene i dopune proračuna koje je usvojilo Općinsko vijeće u izvještajnom razdoblju,</w:t>
      </w:r>
    </w:p>
    <w:p w14:paraId="5ABDB52A" w14:textId="5E580841" w:rsidR="00891119" w:rsidRPr="003A2F86" w:rsidRDefault="003F4B57" w:rsidP="00891119">
      <w:pPr>
        <w:autoSpaceDE w:val="0"/>
        <w:autoSpaceDN w:val="0"/>
        <w:adjustRightInd w:val="0"/>
        <w:spacing w:after="0" w:line="240" w:lineRule="auto"/>
        <w:jc w:val="both"/>
        <w:rPr>
          <w:rFonts w:ascii="Arial" w:eastAsia="Times New Roman" w:hAnsi="Arial" w:cs="Arial"/>
          <w:bCs/>
        </w:rPr>
      </w:pPr>
      <w:r w:rsidRPr="003A2F86">
        <w:rPr>
          <w:rFonts w:ascii="Arial" w:eastAsia="Times New Roman" w:hAnsi="Arial" w:cs="Arial"/>
          <w:b/>
          <w:bCs/>
          <w:i/>
        </w:rPr>
        <w:lastRenderedPageBreak/>
        <w:t>Tekući</w:t>
      </w:r>
      <w:r w:rsidR="00C31484" w:rsidRPr="003A2F86">
        <w:rPr>
          <w:rFonts w:ascii="Arial" w:eastAsia="Times New Roman" w:hAnsi="Arial" w:cs="Arial"/>
          <w:b/>
          <w:bCs/>
          <w:i/>
        </w:rPr>
        <w:t xml:space="preserve"> plan</w:t>
      </w:r>
      <w:r w:rsidR="00891119" w:rsidRPr="003A2F86">
        <w:rPr>
          <w:rFonts w:ascii="Arial" w:eastAsia="Times New Roman" w:hAnsi="Arial" w:cs="Arial"/>
          <w:bCs/>
        </w:rPr>
        <w:t xml:space="preserve"> je Prora</w:t>
      </w:r>
      <w:r w:rsidR="00891119" w:rsidRPr="003A2F86">
        <w:rPr>
          <w:rFonts w:ascii="Arial" w:eastAsia="Arial,Bold" w:hAnsi="Arial" w:cs="Arial"/>
          <w:bCs/>
        </w:rPr>
        <w:t>č</w:t>
      </w:r>
      <w:r w:rsidR="00891119" w:rsidRPr="003A2F86">
        <w:rPr>
          <w:rFonts w:ascii="Arial" w:eastAsia="Times New Roman" w:hAnsi="Arial" w:cs="Arial"/>
          <w:bCs/>
        </w:rPr>
        <w:t>un odnosno posljednje izmjene i dopune Prora</w:t>
      </w:r>
      <w:r w:rsidR="00891119" w:rsidRPr="003A2F86">
        <w:rPr>
          <w:rFonts w:ascii="Arial" w:eastAsia="Arial,Bold" w:hAnsi="Arial" w:cs="Arial"/>
          <w:bCs/>
        </w:rPr>
        <w:t>č</w:t>
      </w:r>
      <w:r w:rsidR="00891119" w:rsidRPr="003A2F86">
        <w:rPr>
          <w:rFonts w:ascii="Arial" w:eastAsia="Times New Roman" w:hAnsi="Arial" w:cs="Arial"/>
          <w:bCs/>
        </w:rPr>
        <w:t>una s uklju</w:t>
      </w:r>
      <w:r w:rsidR="00891119" w:rsidRPr="003A2F86">
        <w:rPr>
          <w:rFonts w:ascii="Arial" w:eastAsia="Arial,Bold" w:hAnsi="Arial" w:cs="Arial"/>
          <w:bCs/>
        </w:rPr>
        <w:t>č</w:t>
      </w:r>
      <w:r w:rsidR="00891119" w:rsidRPr="003A2F86">
        <w:rPr>
          <w:rFonts w:ascii="Arial" w:eastAsia="Times New Roman" w:hAnsi="Arial" w:cs="Arial"/>
          <w:bCs/>
        </w:rPr>
        <w:t>enom na</w:t>
      </w:r>
      <w:r w:rsidR="00A8623C" w:rsidRPr="003A2F86">
        <w:rPr>
          <w:rFonts w:ascii="Arial" w:eastAsia="Times New Roman" w:hAnsi="Arial" w:cs="Arial"/>
          <w:bCs/>
        </w:rPr>
        <w:t>kn</w:t>
      </w:r>
      <w:r w:rsidR="00891119" w:rsidRPr="003A2F86">
        <w:rPr>
          <w:rFonts w:ascii="Arial" w:eastAsia="Times New Roman" w:hAnsi="Arial" w:cs="Arial"/>
          <w:bCs/>
        </w:rPr>
        <w:t>adno izvršenom preraspodjelom</w:t>
      </w:r>
      <w:r w:rsidR="00A00F28" w:rsidRPr="003A2F86">
        <w:rPr>
          <w:rFonts w:ascii="Arial" w:eastAsia="Times New Roman" w:hAnsi="Arial" w:cs="Arial"/>
          <w:bCs/>
        </w:rPr>
        <w:t xml:space="preserve"> u izvještajnom razdoblju.</w:t>
      </w:r>
      <w:r w:rsidR="00E57268" w:rsidRPr="003A2F86">
        <w:rPr>
          <w:rFonts w:ascii="Arial" w:eastAsia="Times New Roman" w:hAnsi="Arial" w:cs="Arial"/>
          <w:bCs/>
        </w:rPr>
        <w:t xml:space="preserve"> </w:t>
      </w:r>
      <w:r w:rsidR="00FE47C2" w:rsidRPr="003A2F86">
        <w:rPr>
          <w:rFonts w:ascii="Arial" w:eastAsia="Times New Roman" w:hAnsi="Arial" w:cs="Arial"/>
          <w:bCs/>
        </w:rPr>
        <w:t>O</w:t>
      </w:r>
      <w:r w:rsidR="00931F56" w:rsidRPr="003A2F86">
        <w:rPr>
          <w:rFonts w:ascii="Arial" w:eastAsia="Times New Roman" w:hAnsi="Arial" w:cs="Arial"/>
          <w:bCs/>
        </w:rPr>
        <w:t>pćinski na</w:t>
      </w:r>
      <w:r w:rsidR="00E57268" w:rsidRPr="003A2F86">
        <w:rPr>
          <w:rFonts w:ascii="Arial" w:eastAsia="Times New Roman" w:hAnsi="Arial" w:cs="Arial"/>
          <w:bCs/>
        </w:rPr>
        <w:t>č</w:t>
      </w:r>
      <w:r w:rsidR="00931F56" w:rsidRPr="003A2F86">
        <w:rPr>
          <w:rFonts w:ascii="Arial" w:eastAsia="Times New Roman" w:hAnsi="Arial" w:cs="Arial"/>
          <w:bCs/>
        </w:rPr>
        <w:t>elnik</w:t>
      </w:r>
      <w:r w:rsidR="00A00F28" w:rsidRPr="003A2F86">
        <w:rPr>
          <w:rFonts w:ascii="Arial" w:eastAsia="Times New Roman" w:hAnsi="Arial" w:cs="Arial"/>
          <w:bCs/>
        </w:rPr>
        <w:t xml:space="preserve"> </w:t>
      </w:r>
      <w:r w:rsidR="00C203D9">
        <w:rPr>
          <w:rFonts w:ascii="Arial" w:eastAsia="Times New Roman" w:hAnsi="Arial" w:cs="Arial"/>
          <w:bCs/>
        </w:rPr>
        <w:t xml:space="preserve">je u lipnju 2025. godine donio </w:t>
      </w:r>
      <w:r w:rsidR="008C5760" w:rsidRPr="003A2F86">
        <w:rPr>
          <w:rFonts w:ascii="Arial" w:eastAsia="Times New Roman" w:hAnsi="Arial" w:cs="Arial"/>
          <w:bCs/>
        </w:rPr>
        <w:t>odluku</w:t>
      </w:r>
      <w:r w:rsidR="00931F56" w:rsidRPr="003A2F86">
        <w:rPr>
          <w:rFonts w:ascii="Arial" w:eastAsia="Times New Roman" w:hAnsi="Arial" w:cs="Arial"/>
          <w:bCs/>
        </w:rPr>
        <w:t xml:space="preserve"> o preraspodjeli prora</w:t>
      </w:r>
      <w:r w:rsidR="00E57268" w:rsidRPr="003A2F86">
        <w:rPr>
          <w:rFonts w:ascii="Arial" w:eastAsia="Times New Roman" w:hAnsi="Arial" w:cs="Arial"/>
          <w:bCs/>
        </w:rPr>
        <w:t>č</w:t>
      </w:r>
      <w:r w:rsidR="00931F56" w:rsidRPr="003A2F86">
        <w:rPr>
          <w:rFonts w:ascii="Arial" w:eastAsia="Times New Roman" w:hAnsi="Arial" w:cs="Arial"/>
          <w:bCs/>
        </w:rPr>
        <w:t>unskih sredstava.</w:t>
      </w:r>
    </w:p>
    <w:p w14:paraId="3ADC032B" w14:textId="77777777" w:rsidR="00E343BD" w:rsidRPr="003A2F86" w:rsidRDefault="00E343BD" w:rsidP="00891119">
      <w:pPr>
        <w:autoSpaceDE w:val="0"/>
        <w:autoSpaceDN w:val="0"/>
        <w:adjustRightInd w:val="0"/>
        <w:spacing w:after="0" w:line="240" w:lineRule="auto"/>
        <w:jc w:val="both"/>
        <w:rPr>
          <w:rFonts w:ascii="Arial" w:eastAsia="Times New Roman" w:hAnsi="Arial" w:cs="Arial"/>
          <w:bCs/>
        </w:rPr>
      </w:pPr>
    </w:p>
    <w:p w14:paraId="25726C94" w14:textId="44D99EF3" w:rsidR="00E53CFD" w:rsidRPr="003A2F86" w:rsidRDefault="00891119" w:rsidP="00891119">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i/>
        </w:rPr>
        <w:t>Tablični prikaz</w:t>
      </w:r>
      <w:r w:rsidRPr="003A2F86">
        <w:rPr>
          <w:rFonts w:ascii="Arial" w:eastAsia="Times New Roman" w:hAnsi="Arial" w:cs="Arial"/>
        </w:rPr>
        <w:t xml:space="preserve"> </w:t>
      </w:r>
      <w:r w:rsidR="00C203D9">
        <w:rPr>
          <w:rFonts w:ascii="Arial" w:eastAsia="Times New Roman" w:hAnsi="Arial" w:cs="Arial"/>
        </w:rPr>
        <w:t>Polug</w:t>
      </w:r>
      <w:r w:rsidR="00A00F28" w:rsidRPr="003A2F86">
        <w:rPr>
          <w:rFonts w:ascii="Arial" w:eastAsia="Times New Roman" w:hAnsi="Arial" w:cs="Arial"/>
        </w:rPr>
        <w:t>o</w:t>
      </w:r>
      <w:r w:rsidRPr="003A2F86">
        <w:rPr>
          <w:rFonts w:ascii="Arial" w:eastAsia="Times New Roman" w:hAnsi="Arial" w:cs="Arial"/>
        </w:rPr>
        <w:t>dišnjeg izvještaja o izvršenju Prora</w:t>
      </w:r>
      <w:r w:rsidRPr="003A2F86">
        <w:rPr>
          <w:rFonts w:ascii="Arial" w:eastAsia="TimesNewRoman" w:hAnsi="Arial" w:cs="Arial"/>
        </w:rPr>
        <w:t>č</w:t>
      </w:r>
      <w:r w:rsidRPr="003A2F86">
        <w:rPr>
          <w:rFonts w:ascii="Arial" w:eastAsia="Times New Roman" w:hAnsi="Arial" w:cs="Arial"/>
        </w:rPr>
        <w:t>una Općine Konavle za 20</w:t>
      </w:r>
      <w:r w:rsidR="00E343BD" w:rsidRPr="003A2F86">
        <w:rPr>
          <w:rFonts w:ascii="Arial" w:eastAsia="Times New Roman" w:hAnsi="Arial" w:cs="Arial"/>
        </w:rPr>
        <w:t>2</w:t>
      </w:r>
      <w:r w:rsidR="00C203D9">
        <w:rPr>
          <w:rFonts w:ascii="Arial" w:eastAsia="Times New Roman" w:hAnsi="Arial" w:cs="Arial"/>
        </w:rPr>
        <w:t>5</w:t>
      </w:r>
      <w:r w:rsidRPr="003A2F86">
        <w:rPr>
          <w:rFonts w:ascii="Arial" w:eastAsia="Times New Roman" w:hAnsi="Arial" w:cs="Arial"/>
        </w:rPr>
        <w:t xml:space="preserve">. </w:t>
      </w:r>
      <w:r w:rsidR="006B0C1F" w:rsidRPr="003A2F86">
        <w:rPr>
          <w:rFonts w:ascii="Arial" w:eastAsia="Times New Roman" w:hAnsi="Arial" w:cs="Arial"/>
        </w:rPr>
        <w:t xml:space="preserve">objavljuje se </w:t>
      </w:r>
      <w:r w:rsidRPr="003A2F86">
        <w:rPr>
          <w:rFonts w:ascii="Arial" w:eastAsia="Times New Roman" w:hAnsi="Arial" w:cs="Arial"/>
        </w:rPr>
        <w:t>u „Službenom glasniku Općine Konavle“ (opći i posebni dio proračuna: članak 1. do 4.)</w:t>
      </w:r>
      <w:r w:rsidR="005B3283" w:rsidRPr="003A2F86">
        <w:rPr>
          <w:rFonts w:ascii="Arial" w:eastAsia="Times New Roman" w:hAnsi="Arial" w:cs="Arial"/>
        </w:rPr>
        <w:t xml:space="preserve">, </w:t>
      </w:r>
      <w:r w:rsidRPr="003A2F86">
        <w:rPr>
          <w:rFonts w:ascii="Arial" w:eastAsia="Times New Roman" w:hAnsi="Arial" w:cs="Arial"/>
        </w:rPr>
        <w:t xml:space="preserve">a cjelokupan </w:t>
      </w:r>
      <w:r w:rsidR="00C203D9">
        <w:rPr>
          <w:rFonts w:ascii="Arial" w:eastAsia="Times New Roman" w:hAnsi="Arial" w:cs="Arial"/>
        </w:rPr>
        <w:t>Polug</w:t>
      </w:r>
      <w:r w:rsidR="006B0C1F" w:rsidRPr="003A2F86">
        <w:rPr>
          <w:rFonts w:ascii="Arial" w:eastAsia="Times New Roman" w:hAnsi="Arial" w:cs="Arial"/>
        </w:rPr>
        <w:t>o</w:t>
      </w:r>
      <w:r w:rsidR="00A00F28" w:rsidRPr="003A2F86">
        <w:rPr>
          <w:rFonts w:ascii="Arial" w:eastAsia="Times New Roman" w:hAnsi="Arial" w:cs="Arial"/>
        </w:rPr>
        <w:t>d</w:t>
      </w:r>
      <w:r w:rsidRPr="003A2F86">
        <w:rPr>
          <w:rFonts w:ascii="Arial" w:eastAsia="Times New Roman" w:hAnsi="Arial" w:cs="Arial"/>
        </w:rPr>
        <w:t>išnji izvještaj o izvršenju Prora</w:t>
      </w:r>
      <w:r w:rsidRPr="003A2F86">
        <w:rPr>
          <w:rFonts w:ascii="Arial" w:eastAsia="TimesNewRoman" w:hAnsi="Arial" w:cs="Arial"/>
        </w:rPr>
        <w:t>č</w:t>
      </w:r>
      <w:r w:rsidRPr="003A2F86">
        <w:rPr>
          <w:rFonts w:ascii="Arial" w:eastAsia="Times New Roman" w:hAnsi="Arial" w:cs="Arial"/>
        </w:rPr>
        <w:t xml:space="preserve">una Općine Konavle sa svim prilozima se objavljuje na </w:t>
      </w:r>
      <w:r w:rsidR="00931F56" w:rsidRPr="003A2F86">
        <w:rPr>
          <w:rFonts w:ascii="Arial" w:eastAsia="Times New Roman" w:hAnsi="Arial" w:cs="Arial"/>
        </w:rPr>
        <w:t>mrežnoj</w:t>
      </w:r>
      <w:r w:rsidRPr="003A2F86">
        <w:rPr>
          <w:rFonts w:ascii="Arial" w:eastAsia="Times New Roman" w:hAnsi="Arial" w:cs="Arial"/>
        </w:rPr>
        <w:t xml:space="preserve"> stranici Općine Konavle </w:t>
      </w:r>
      <w:r w:rsidR="005B3283" w:rsidRPr="003A2F86">
        <w:rPr>
          <w:rFonts w:ascii="Arial" w:eastAsia="Times New Roman" w:hAnsi="Arial" w:cs="Arial"/>
        </w:rPr>
        <w:t>sukladno odredbama</w:t>
      </w:r>
      <w:r w:rsidR="007267EF" w:rsidRPr="003A2F86">
        <w:rPr>
          <w:rFonts w:ascii="Arial" w:eastAsia="Times New Roman" w:hAnsi="Arial" w:cs="Arial"/>
        </w:rPr>
        <w:t xml:space="preserve"> člank</w:t>
      </w:r>
      <w:r w:rsidR="005B3283" w:rsidRPr="003A2F86">
        <w:rPr>
          <w:rFonts w:ascii="Arial" w:eastAsia="Times New Roman" w:hAnsi="Arial" w:cs="Arial"/>
        </w:rPr>
        <w:t>a</w:t>
      </w:r>
      <w:r w:rsidR="007267EF" w:rsidRPr="003A2F86">
        <w:rPr>
          <w:rFonts w:ascii="Arial" w:eastAsia="Times New Roman" w:hAnsi="Arial" w:cs="Arial"/>
        </w:rPr>
        <w:t xml:space="preserve"> 15. </w:t>
      </w:r>
      <w:r w:rsidR="00AE60B2" w:rsidRPr="003A2F86">
        <w:rPr>
          <w:rFonts w:ascii="Arial" w:eastAsia="Times New Roman" w:hAnsi="Arial" w:cs="Arial"/>
        </w:rPr>
        <w:t>i člank</w:t>
      </w:r>
      <w:r w:rsidR="005B3283" w:rsidRPr="003A2F86">
        <w:rPr>
          <w:rFonts w:ascii="Arial" w:eastAsia="Times New Roman" w:hAnsi="Arial" w:cs="Arial"/>
        </w:rPr>
        <w:t>a</w:t>
      </w:r>
      <w:r w:rsidR="00AE60B2" w:rsidRPr="003A2F86">
        <w:rPr>
          <w:rFonts w:ascii="Arial" w:eastAsia="Times New Roman" w:hAnsi="Arial" w:cs="Arial"/>
        </w:rPr>
        <w:t xml:space="preserve"> 144. </w:t>
      </w:r>
      <w:r w:rsidR="007267EF" w:rsidRPr="003A2F86">
        <w:rPr>
          <w:rFonts w:ascii="Arial" w:eastAsia="Times New Roman" w:hAnsi="Arial" w:cs="Arial"/>
        </w:rPr>
        <w:t>Zakona o proračunu</w:t>
      </w:r>
      <w:r w:rsidR="0085229F" w:rsidRPr="003A2F86">
        <w:rPr>
          <w:rFonts w:ascii="Arial" w:eastAsia="Times New Roman" w:hAnsi="Arial" w:cs="Arial"/>
        </w:rPr>
        <w:t xml:space="preserve"> (NN 144/21)</w:t>
      </w:r>
      <w:r w:rsidRPr="003A2F86">
        <w:rPr>
          <w:rFonts w:ascii="Arial" w:eastAsia="Times New Roman" w:hAnsi="Arial" w:cs="Arial"/>
        </w:rPr>
        <w:t>.</w:t>
      </w:r>
    </w:p>
    <w:p w14:paraId="22CD1B2B" w14:textId="77777777" w:rsidR="00931F56" w:rsidRPr="003A2F86" w:rsidRDefault="00931F56" w:rsidP="00E53CFD">
      <w:pPr>
        <w:autoSpaceDE w:val="0"/>
        <w:autoSpaceDN w:val="0"/>
        <w:adjustRightInd w:val="0"/>
        <w:spacing w:after="0" w:line="240" w:lineRule="auto"/>
        <w:jc w:val="both"/>
        <w:rPr>
          <w:rFonts w:ascii="Arial" w:eastAsia="Times New Roman" w:hAnsi="Arial" w:cs="Arial"/>
        </w:rPr>
      </w:pPr>
    </w:p>
    <w:p w14:paraId="1796AF1A" w14:textId="28473111" w:rsidR="00F952A1" w:rsidRPr="003A2F86" w:rsidRDefault="00891119" w:rsidP="00E53CFD">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Općinsko vijeće Općine Konavle </w:t>
      </w:r>
      <w:r w:rsidR="007267EF" w:rsidRPr="003A2F86">
        <w:rPr>
          <w:rFonts w:ascii="Arial" w:eastAsia="Times New Roman" w:hAnsi="Arial" w:cs="Arial"/>
        </w:rPr>
        <w:t>donosi</w:t>
      </w:r>
      <w:r w:rsidR="00E57268" w:rsidRPr="003A2F86">
        <w:rPr>
          <w:rFonts w:ascii="Arial" w:eastAsia="Times New Roman" w:hAnsi="Arial" w:cs="Arial"/>
        </w:rPr>
        <w:t xml:space="preserve"> </w:t>
      </w:r>
      <w:r w:rsidR="00C203D9">
        <w:rPr>
          <w:rFonts w:ascii="Arial" w:eastAsia="Times New Roman" w:hAnsi="Arial" w:cs="Arial"/>
        </w:rPr>
        <w:t>Polug</w:t>
      </w:r>
      <w:r w:rsidR="001A2CE0" w:rsidRPr="003A2F86">
        <w:rPr>
          <w:rFonts w:ascii="Arial" w:eastAsia="Times New Roman" w:hAnsi="Arial" w:cs="Arial"/>
        </w:rPr>
        <w:t>o</w:t>
      </w:r>
      <w:r w:rsidR="00A00F28" w:rsidRPr="003A2F86">
        <w:rPr>
          <w:rFonts w:ascii="Arial" w:eastAsia="Times New Roman" w:hAnsi="Arial" w:cs="Arial"/>
        </w:rPr>
        <w:t>di</w:t>
      </w:r>
      <w:r w:rsidR="00E57268" w:rsidRPr="003A2F86">
        <w:rPr>
          <w:rFonts w:ascii="Arial" w:eastAsia="Times New Roman" w:hAnsi="Arial" w:cs="Arial"/>
        </w:rPr>
        <w:t>šnji</w:t>
      </w:r>
      <w:r w:rsidR="00EF7C70" w:rsidRPr="003A2F86">
        <w:rPr>
          <w:rFonts w:ascii="Arial" w:eastAsia="Times New Roman" w:hAnsi="Arial" w:cs="Arial"/>
        </w:rPr>
        <w:t xml:space="preserve"> </w:t>
      </w:r>
      <w:r w:rsidRPr="003A2F86">
        <w:rPr>
          <w:rFonts w:ascii="Arial" w:eastAsia="Times New Roman" w:hAnsi="Arial" w:cs="Arial"/>
        </w:rPr>
        <w:t>izvještaj o izvršenju proračuna Općine Konavle za 20</w:t>
      </w:r>
      <w:r w:rsidR="00E343BD" w:rsidRPr="003A2F86">
        <w:rPr>
          <w:rFonts w:ascii="Arial" w:eastAsia="Times New Roman" w:hAnsi="Arial" w:cs="Arial"/>
        </w:rPr>
        <w:t>2</w:t>
      </w:r>
      <w:r w:rsidR="00C203D9">
        <w:rPr>
          <w:rFonts w:ascii="Arial" w:eastAsia="Times New Roman" w:hAnsi="Arial" w:cs="Arial"/>
        </w:rPr>
        <w:t>5</w:t>
      </w:r>
      <w:r w:rsidRPr="003A2F86">
        <w:rPr>
          <w:rFonts w:ascii="Arial" w:eastAsia="Times New Roman" w:hAnsi="Arial" w:cs="Arial"/>
        </w:rPr>
        <w:t>.</w:t>
      </w:r>
    </w:p>
    <w:p w14:paraId="1CB6FC35" w14:textId="77777777" w:rsidR="00F952A1" w:rsidRPr="003A2F86" w:rsidRDefault="00F952A1" w:rsidP="00F952A1">
      <w:pPr>
        <w:autoSpaceDE w:val="0"/>
        <w:autoSpaceDN w:val="0"/>
        <w:adjustRightInd w:val="0"/>
        <w:spacing w:after="0" w:line="240" w:lineRule="auto"/>
        <w:jc w:val="both"/>
        <w:rPr>
          <w:rFonts w:ascii="Arial" w:eastAsia="Times New Roman" w:hAnsi="Arial" w:cs="Arial"/>
        </w:rPr>
      </w:pPr>
    </w:p>
    <w:p w14:paraId="124A4B94" w14:textId="77777777" w:rsidR="00F952A1" w:rsidRPr="003A2F86" w:rsidRDefault="00F952A1" w:rsidP="00C74247">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42"/>
        </w:tabs>
        <w:autoSpaceDE w:val="0"/>
        <w:autoSpaceDN w:val="0"/>
        <w:adjustRightInd w:val="0"/>
        <w:spacing w:after="0" w:line="240" w:lineRule="auto"/>
        <w:jc w:val="both"/>
        <w:rPr>
          <w:rFonts w:ascii="Arial" w:eastAsia="Times New Roman" w:hAnsi="Arial" w:cs="Arial"/>
          <w:b/>
          <w:bCs/>
          <w:i/>
          <w:iCs/>
        </w:rPr>
      </w:pPr>
    </w:p>
    <w:p w14:paraId="32F6438A" w14:textId="6BAC5D19" w:rsidR="00F952A1" w:rsidRPr="003A2F86" w:rsidRDefault="006B0C1F" w:rsidP="00C74247">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42"/>
        </w:tabs>
        <w:autoSpaceDE w:val="0"/>
        <w:autoSpaceDN w:val="0"/>
        <w:adjustRightInd w:val="0"/>
        <w:spacing w:after="0" w:line="240" w:lineRule="auto"/>
        <w:jc w:val="both"/>
        <w:rPr>
          <w:rFonts w:ascii="Arial" w:eastAsia="Times New Roman" w:hAnsi="Arial" w:cs="Arial"/>
          <w:b/>
          <w:bCs/>
          <w:i/>
          <w:iCs/>
        </w:rPr>
      </w:pPr>
      <w:r w:rsidRPr="003A2F86">
        <w:rPr>
          <w:rFonts w:ascii="Arial" w:eastAsia="Times New Roman" w:hAnsi="Arial" w:cs="Arial"/>
          <w:b/>
          <w:bCs/>
          <w:i/>
          <w:iCs/>
        </w:rPr>
        <w:t xml:space="preserve">Službena valuta u RH do 31.12.2022. godine bila je Hrvatska kuna (kn), dok je </w:t>
      </w:r>
      <w:r w:rsidR="004E14F1" w:rsidRPr="003A2F86">
        <w:rPr>
          <w:rFonts w:ascii="Arial" w:eastAsia="Times New Roman" w:hAnsi="Arial" w:cs="Arial"/>
          <w:b/>
          <w:bCs/>
          <w:i/>
          <w:iCs/>
        </w:rPr>
        <w:t>od 1.1.2023. godine,</w:t>
      </w:r>
      <w:r w:rsidRPr="003A2F86">
        <w:rPr>
          <w:rFonts w:ascii="Arial" w:eastAsia="Times New Roman" w:hAnsi="Arial" w:cs="Arial"/>
          <w:b/>
          <w:bCs/>
          <w:i/>
          <w:iCs/>
        </w:rPr>
        <w:t xml:space="preserve"> sukladno Zakonu o uvođenju eura (NN 57/22 i 88/22) </w:t>
      </w:r>
      <w:r w:rsidR="004E14F1" w:rsidRPr="003A2F86">
        <w:rPr>
          <w:rFonts w:ascii="Arial" w:eastAsia="Times New Roman" w:hAnsi="Arial" w:cs="Arial"/>
          <w:b/>
          <w:bCs/>
          <w:i/>
          <w:iCs/>
        </w:rPr>
        <w:t>službena valuta EURO</w:t>
      </w:r>
      <w:r w:rsidR="00F952A1" w:rsidRPr="003A2F86">
        <w:rPr>
          <w:rFonts w:ascii="Arial" w:eastAsia="Times New Roman" w:hAnsi="Arial" w:cs="Arial"/>
          <w:b/>
          <w:bCs/>
          <w:i/>
          <w:iCs/>
        </w:rPr>
        <w:t xml:space="preserve">. </w:t>
      </w:r>
    </w:p>
    <w:p w14:paraId="2C89C725" w14:textId="77777777" w:rsidR="00F952A1" w:rsidRPr="003A2F86" w:rsidRDefault="00F952A1" w:rsidP="00C74247">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42"/>
        </w:tabs>
        <w:autoSpaceDE w:val="0"/>
        <w:autoSpaceDN w:val="0"/>
        <w:adjustRightInd w:val="0"/>
        <w:spacing w:after="0" w:line="240" w:lineRule="auto"/>
        <w:jc w:val="both"/>
        <w:rPr>
          <w:rFonts w:ascii="Arial" w:eastAsia="Times New Roman" w:hAnsi="Arial" w:cs="Arial"/>
          <w:b/>
          <w:bCs/>
          <w:i/>
          <w:iCs/>
          <w:color w:val="FF0000"/>
        </w:rPr>
      </w:pPr>
      <w:r w:rsidRPr="003A2F86">
        <w:rPr>
          <w:rFonts w:ascii="Arial" w:eastAsia="Times New Roman" w:hAnsi="Arial" w:cs="Arial"/>
          <w:b/>
          <w:bCs/>
          <w:i/>
          <w:iCs/>
          <w:color w:val="FF0000"/>
        </w:rPr>
        <w:t>Kako bi podaci o prihodima i primicima, rashodima i izdacima prethodnih godina bili usporedivi s podacima nakon 1.1.2023. godine, svi su podaci u tablicama ovog izvješća, koji prikazuju iznose / vrijednosti prethodnih godina, preračunati u EURO primjenom fiksnog tečaja konverzije 1 EUR = 7,53450 kn. Iznimno, kod EU projekata gdje je poznat iznos uplate prihoda u valuti EURO, iskazuje se izvorni iznos prihoda u valuti EURO, a ne iznos dobiven primjenom tečaja konverzije.</w:t>
      </w:r>
    </w:p>
    <w:p w14:paraId="3CA9B141" w14:textId="77777777" w:rsidR="00F952A1" w:rsidRPr="003A2F86" w:rsidRDefault="00F952A1" w:rsidP="00C74247">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42"/>
        </w:tabs>
        <w:autoSpaceDE w:val="0"/>
        <w:autoSpaceDN w:val="0"/>
        <w:adjustRightInd w:val="0"/>
        <w:spacing w:after="0" w:line="240" w:lineRule="auto"/>
        <w:jc w:val="both"/>
        <w:rPr>
          <w:rFonts w:ascii="Arial" w:eastAsia="Times New Roman" w:hAnsi="Arial" w:cs="Arial"/>
          <w:i/>
          <w:iCs/>
        </w:rPr>
      </w:pPr>
      <w:r w:rsidRPr="003A2F86">
        <w:rPr>
          <w:rFonts w:ascii="Arial" w:eastAsia="Times New Roman" w:hAnsi="Arial" w:cs="Arial"/>
          <w:i/>
          <w:iCs/>
        </w:rPr>
        <w:t>Iznosi ranijih godina koji su preračunati iz Hrvatske kune u EURO služe isključivo za potrebe usporedbe s podacima koji se od 1.1.2023. iskazuju u službenoj valuti EURO, dok su u izvješćima o izvršenju proračuna za prethodna proračunska razdoblja vidljivi stvarni iznosi ostvarenja prihoda i primitaka, odnosno izvršenja rashoda i izdataka u tada važećoj službenoj valuti (kn).</w:t>
      </w:r>
    </w:p>
    <w:p w14:paraId="4B5B2745" w14:textId="77777777" w:rsidR="00F952A1" w:rsidRPr="003A2F86" w:rsidRDefault="00F952A1" w:rsidP="00C74247">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42"/>
        </w:tabs>
        <w:autoSpaceDE w:val="0"/>
        <w:autoSpaceDN w:val="0"/>
        <w:adjustRightInd w:val="0"/>
        <w:spacing w:after="0" w:line="240" w:lineRule="auto"/>
        <w:jc w:val="both"/>
        <w:rPr>
          <w:rFonts w:ascii="Arial" w:eastAsia="Times New Roman" w:hAnsi="Arial" w:cs="Arial"/>
          <w:i/>
          <w:iCs/>
        </w:rPr>
      </w:pPr>
    </w:p>
    <w:p w14:paraId="31BC2915" w14:textId="08126839" w:rsidR="00891119" w:rsidRPr="003A2F86" w:rsidRDefault="00891119" w:rsidP="00E53CFD">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br w:type="page"/>
      </w:r>
    </w:p>
    <w:p w14:paraId="5AD5A347" w14:textId="312697AE" w:rsidR="00891119" w:rsidRPr="003A2F86" w:rsidRDefault="00891119" w:rsidP="00646600">
      <w:pPr>
        <w:pStyle w:val="Naslov2"/>
        <w:jc w:val="center"/>
        <w:rPr>
          <w:rFonts w:ascii="Arial" w:hAnsi="Arial" w:cs="Arial"/>
          <w:sz w:val="22"/>
          <w:lang w:val="hr-HR"/>
        </w:rPr>
      </w:pPr>
      <w:bookmarkStart w:id="5" w:name="_Toc207707413"/>
      <w:r w:rsidRPr="003A2F86">
        <w:rPr>
          <w:rFonts w:ascii="Arial" w:hAnsi="Arial" w:cs="Arial"/>
          <w:sz w:val="22"/>
          <w:lang w:val="hr-HR"/>
        </w:rPr>
        <w:lastRenderedPageBreak/>
        <w:t>1.2.</w:t>
      </w:r>
      <w:r w:rsidRPr="003A2F86">
        <w:rPr>
          <w:rFonts w:ascii="Arial" w:hAnsi="Arial" w:cs="Arial"/>
          <w:sz w:val="22"/>
          <w:lang w:val="hr-HR"/>
        </w:rPr>
        <w:tab/>
        <w:t xml:space="preserve">OSVRT NA FINANCIJSKE IZVJEŠTAJE ZA </w:t>
      </w:r>
      <w:r w:rsidR="004E14F1" w:rsidRPr="003A2F86">
        <w:rPr>
          <w:rFonts w:ascii="Arial" w:hAnsi="Arial" w:cs="Arial"/>
          <w:sz w:val="22"/>
          <w:lang w:val="hr-HR"/>
        </w:rPr>
        <w:t>1-</w:t>
      </w:r>
      <w:r w:rsidR="00C203D9">
        <w:rPr>
          <w:rFonts w:ascii="Arial" w:hAnsi="Arial" w:cs="Arial"/>
          <w:sz w:val="22"/>
          <w:lang w:val="hr-HR"/>
        </w:rPr>
        <w:t>6</w:t>
      </w:r>
      <w:r w:rsidR="004E14F1" w:rsidRPr="003A2F86">
        <w:rPr>
          <w:rFonts w:ascii="Arial" w:hAnsi="Arial" w:cs="Arial"/>
          <w:sz w:val="22"/>
          <w:lang w:val="hr-HR"/>
        </w:rPr>
        <w:t>/</w:t>
      </w:r>
      <w:r w:rsidRPr="003A2F86">
        <w:rPr>
          <w:rFonts w:ascii="Arial" w:hAnsi="Arial" w:cs="Arial"/>
          <w:sz w:val="22"/>
          <w:lang w:val="hr-HR"/>
        </w:rPr>
        <w:t>20</w:t>
      </w:r>
      <w:r w:rsidR="009F5F32" w:rsidRPr="003A2F86">
        <w:rPr>
          <w:rFonts w:ascii="Arial" w:hAnsi="Arial" w:cs="Arial"/>
          <w:sz w:val="22"/>
          <w:lang w:val="hr-HR"/>
        </w:rPr>
        <w:t>2</w:t>
      </w:r>
      <w:r w:rsidR="00C203D9">
        <w:rPr>
          <w:rFonts w:ascii="Arial" w:hAnsi="Arial" w:cs="Arial"/>
          <w:sz w:val="22"/>
          <w:lang w:val="hr-HR"/>
        </w:rPr>
        <w:t>5</w:t>
      </w:r>
      <w:r w:rsidRPr="003A2F86">
        <w:rPr>
          <w:rFonts w:ascii="Arial" w:hAnsi="Arial" w:cs="Arial"/>
          <w:sz w:val="22"/>
          <w:lang w:val="hr-HR"/>
        </w:rPr>
        <w:t>.</w:t>
      </w:r>
      <w:r w:rsidR="00990C49" w:rsidRPr="003A2F86">
        <w:rPr>
          <w:rFonts w:ascii="Arial" w:hAnsi="Arial" w:cs="Arial"/>
          <w:sz w:val="22"/>
          <w:lang w:val="hr-HR"/>
        </w:rPr>
        <w:t xml:space="preserve"> I IZVJEŠTAJ O IZVRŠENJU PRORAČUNA ZA </w:t>
      </w:r>
      <w:r w:rsidR="004E14F1" w:rsidRPr="003A2F86">
        <w:rPr>
          <w:rFonts w:ascii="Arial" w:hAnsi="Arial" w:cs="Arial"/>
          <w:sz w:val="22"/>
          <w:lang w:val="hr-HR"/>
        </w:rPr>
        <w:t>1-</w:t>
      </w:r>
      <w:r w:rsidR="00C203D9">
        <w:rPr>
          <w:rFonts w:ascii="Arial" w:hAnsi="Arial" w:cs="Arial"/>
          <w:sz w:val="22"/>
          <w:lang w:val="hr-HR"/>
        </w:rPr>
        <w:t>6</w:t>
      </w:r>
      <w:r w:rsidR="004E14F1" w:rsidRPr="003A2F86">
        <w:rPr>
          <w:rFonts w:ascii="Arial" w:hAnsi="Arial" w:cs="Arial"/>
          <w:sz w:val="22"/>
          <w:lang w:val="hr-HR"/>
        </w:rPr>
        <w:t>/</w:t>
      </w:r>
      <w:r w:rsidR="00990C49" w:rsidRPr="003A2F86">
        <w:rPr>
          <w:rFonts w:ascii="Arial" w:hAnsi="Arial" w:cs="Arial"/>
          <w:sz w:val="22"/>
          <w:lang w:val="hr-HR"/>
        </w:rPr>
        <w:t>202</w:t>
      </w:r>
      <w:r w:rsidR="00C203D9">
        <w:rPr>
          <w:rFonts w:ascii="Arial" w:hAnsi="Arial" w:cs="Arial"/>
          <w:sz w:val="22"/>
          <w:lang w:val="hr-HR"/>
        </w:rPr>
        <w:t>5</w:t>
      </w:r>
      <w:r w:rsidR="00990C49" w:rsidRPr="003A2F86">
        <w:rPr>
          <w:rFonts w:ascii="Arial" w:hAnsi="Arial" w:cs="Arial"/>
          <w:sz w:val="22"/>
          <w:lang w:val="hr-HR"/>
        </w:rPr>
        <w:t>.</w:t>
      </w:r>
      <w:bookmarkEnd w:id="5"/>
    </w:p>
    <w:p w14:paraId="50E5BDD9" w14:textId="77777777" w:rsidR="00891119" w:rsidRPr="003A2F86" w:rsidRDefault="00891119" w:rsidP="00891119">
      <w:pPr>
        <w:autoSpaceDE w:val="0"/>
        <w:autoSpaceDN w:val="0"/>
        <w:adjustRightInd w:val="0"/>
        <w:spacing w:after="0" w:line="240" w:lineRule="auto"/>
        <w:jc w:val="both"/>
        <w:rPr>
          <w:rFonts w:ascii="Arial" w:eastAsia="Times New Roman" w:hAnsi="Arial" w:cs="Arial"/>
        </w:rPr>
      </w:pPr>
    </w:p>
    <w:p w14:paraId="18B10C9E" w14:textId="77777777" w:rsidR="00891119" w:rsidRPr="003A2F86" w:rsidRDefault="00891119" w:rsidP="00891119">
      <w:pPr>
        <w:autoSpaceDE w:val="0"/>
        <w:autoSpaceDN w:val="0"/>
        <w:adjustRightInd w:val="0"/>
        <w:spacing w:after="0" w:line="240" w:lineRule="auto"/>
        <w:jc w:val="both"/>
        <w:rPr>
          <w:rFonts w:ascii="Arial" w:eastAsia="Times New Roman" w:hAnsi="Arial" w:cs="Arial"/>
        </w:rPr>
      </w:pPr>
    </w:p>
    <w:p w14:paraId="5B3DDA9F" w14:textId="77777777" w:rsidR="00891119" w:rsidRPr="003A2F86" w:rsidRDefault="00891119" w:rsidP="00891119">
      <w:pPr>
        <w:autoSpaceDE w:val="0"/>
        <w:autoSpaceDN w:val="0"/>
        <w:adjustRightInd w:val="0"/>
        <w:spacing w:after="0" w:line="240" w:lineRule="auto"/>
        <w:jc w:val="both"/>
        <w:rPr>
          <w:rFonts w:ascii="Arial" w:eastAsia="Times New Roman" w:hAnsi="Arial" w:cs="Arial"/>
          <w:b/>
        </w:rPr>
      </w:pPr>
      <w:r w:rsidRPr="003A2F86">
        <w:rPr>
          <w:rFonts w:ascii="Arial" w:eastAsia="Times New Roman" w:hAnsi="Arial" w:cs="Arial"/>
          <w:b/>
          <w:u w:val="single"/>
        </w:rPr>
        <w:t>Proračun</w:t>
      </w:r>
      <w:r w:rsidRPr="003A2F86">
        <w:rPr>
          <w:rFonts w:ascii="Arial" w:eastAsia="Times New Roman" w:hAnsi="Arial" w:cs="Arial"/>
          <w:b/>
        </w:rPr>
        <w:t xml:space="preserve"> je </w:t>
      </w:r>
      <w:r w:rsidRPr="003A2F86">
        <w:rPr>
          <w:rFonts w:ascii="Arial" w:eastAsia="Times New Roman" w:hAnsi="Arial" w:cs="Arial"/>
          <w:b/>
          <w:i/>
        </w:rPr>
        <w:t>zbroj</w:t>
      </w:r>
      <w:r w:rsidRPr="003A2F86">
        <w:rPr>
          <w:rFonts w:ascii="Arial" w:eastAsia="Times New Roman" w:hAnsi="Arial" w:cs="Arial"/>
          <w:b/>
        </w:rPr>
        <w:t xml:space="preserve"> financijskih planova Općine i njenih upravnih odjela i financijskih planova proračunskih korisnika (PK)</w:t>
      </w:r>
      <w:r w:rsidRPr="003A2F86">
        <w:rPr>
          <w:rFonts w:ascii="Arial" w:eastAsia="Times New Roman" w:hAnsi="Arial" w:cs="Arial"/>
          <w:b/>
          <w:vertAlign w:val="superscript"/>
        </w:rPr>
        <w:footnoteReference w:id="1"/>
      </w:r>
      <w:r w:rsidRPr="003A2F86">
        <w:rPr>
          <w:rFonts w:ascii="Arial" w:eastAsia="Times New Roman" w:hAnsi="Arial" w:cs="Arial"/>
          <w:b/>
        </w:rPr>
        <w:t xml:space="preserve"> za koje su oni nadležni</w:t>
      </w:r>
      <w:r w:rsidR="000A0973" w:rsidRPr="003A2F86">
        <w:rPr>
          <w:rFonts w:ascii="Arial" w:eastAsia="Times New Roman" w:hAnsi="Arial" w:cs="Arial"/>
          <w:b/>
        </w:rPr>
        <w:t xml:space="preserve"> (</w:t>
      </w:r>
      <w:r w:rsidRPr="003A2F86">
        <w:rPr>
          <w:rFonts w:ascii="Arial" w:eastAsia="Times New Roman" w:hAnsi="Arial" w:cs="Arial"/>
          <w:b/>
        </w:rPr>
        <w:t>dakle uključuje sve vlastite i namjenske prihode, kao i pripadajuće rashode Općine i svih proračunskih korisnika</w:t>
      </w:r>
      <w:r w:rsidR="000A0973" w:rsidRPr="003A2F86">
        <w:rPr>
          <w:rFonts w:ascii="Arial" w:eastAsia="Times New Roman" w:hAnsi="Arial" w:cs="Arial"/>
          <w:b/>
        </w:rPr>
        <w:t>)</w:t>
      </w:r>
      <w:r w:rsidRPr="003A2F86">
        <w:rPr>
          <w:rFonts w:ascii="Arial" w:eastAsia="Times New Roman" w:hAnsi="Arial" w:cs="Arial"/>
          <w:b/>
        </w:rPr>
        <w:t>.</w:t>
      </w:r>
    </w:p>
    <w:p w14:paraId="23E94CA0" w14:textId="77777777" w:rsidR="00642208" w:rsidRPr="003A2F86" w:rsidRDefault="00642208" w:rsidP="00891119">
      <w:pPr>
        <w:autoSpaceDE w:val="0"/>
        <w:autoSpaceDN w:val="0"/>
        <w:adjustRightInd w:val="0"/>
        <w:spacing w:after="0" w:line="240" w:lineRule="auto"/>
        <w:jc w:val="both"/>
        <w:rPr>
          <w:rFonts w:ascii="Arial" w:eastAsia="Times New Roman" w:hAnsi="Arial" w:cs="Arial"/>
        </w:rPr>
      </w:pPr>
    </w:p>
    <w:p w14:paraId="447717D8" w14:textId="24BD0BE6" w:rsidR="00891119" w:rsidRPr="003A2F86" w:rsidRDefault="00891119" w:rsidP="00891119">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Prema Izvještaju o prihodima i rashodima, primicima i izdacima od 1. siječnja do </w:t>
      </w:r>
      <w:r w:rsidR="009140A7" w:rsidRPr="003A2F86">
        <w:rPr>
          <w:rFonts w:ascii="Arial" w:eastAsia="Times New Roman" w:hAnsi="Arial" w:cs="Arial"/>
        </w:rPr>
        <w:t>3</w:t>
      </w:r>
      <w:r w:rsidR="00C203D9">
        <w:rPr>
          <w:rFonts w:ascii="Arial" w:eastAsia="Times New Roman" w:hAnsi="Arial" w:cs="Arial"/>
        </w:rPr>
        <w:t xml:space="preserve">0. lipnja </w:t>
      </w:r>
      <w:r w:rsidR="00664654" w:rsidRPr="003A2F86">
        <w:rPr>
          <w:rFonts w:ascii="Arial" w:eastAsia="Times New Roman" w:hAnsi="Arial" w:cs="Arial"/>
        </w:rPr>
        <w:t>202</w:t>
      </w:r>
      <w:r w:rsidR="00C203D9">
        <w:rPr>
          <w:rFonts w:ascii="Arial" w:eastAsia="Times New Roman" w:hAnsi="Arial" w:cs="Arial"/>
        </w:rPr>
        <w:t>5</w:t>
      </w:r>
      <w:r w:rsidRPr="003A2F86">
        <w:rPr>
          <w:rFonts w:ascii="Arial" w:eastAsia="Times New Roman" w:hAnsi="Arial" w:cs="Arial"/>
        </w:rPr>
        <w:t xml:space="preserve">. (PR-RAS, </w:t>
      </w:r>
      <w:r w:rsidRPr="003A2F86">
        <w:rPr>
          <w:rFonts w:ascii="Arial" w:eastAsia="Times New Roman" w:hAnsi="Arial" w:cs="Arial"/>
          <w:b/>
          <w:color w:val="1F497D" w:themeColor="text2"/>
        </w:rPr>
        <w:t>razina 22</w:t>
      </w:r>
      <w:r w:rsidR="00A61327" w:rsidRPr="003A2F86">
        <w:rPr>
          <w:rStyle w:val="Referencafusnote"/>
          <w:rFonts w:ascii="Arial" w:eastAsia="Times New Roman" w:hAnsi="Arial" w:cs="Arial"/>
          <w:b/>
        </w:rPr>
        <w:footnoteReference w:id="2"/>
      </w:r>
      <w:r w:rsidRPr="003A2F86">
        <w:rPr>
          <w:rFonts w:ascii="Arial" w:eastAsia="Times New Roman" w:hAnsi="Arial" w:cs="Arial"/>
        </w:rPr>
        <w:t xml:space="preserve">) ukupni prihodi i primici iznose </w:t>
      </w:r>
      <w:r w:rsidR="00C203D9">
        <w:rPr>
          <w:rFonts w:ascii="Arial" w:eastAsia="Times New Roman" w:hAnsi="Arial" w:cs="Arial"/>
        </w:rPr>
        <w:t>7.438.784,88</w:t>
      </w:r>
      <w:r w:rsidR="0013260A" w:rsidRPr="003A2F86">
        <w:rPr>
          <w:rFonts w:ascii="Arial" w:eastAsia="Times New Roman" w:hAnsi="Arial" w:cs="Arial"/>
        </w:rPr>
        <w:t xml:space="preserve"> €</w:t>
      </w:r>
      <w:r w:rsidRPr="003A2F86">
        <w:rPr>
          <w:rFonts w:ascii="Arial" w:eastAsia="Times New Roman" w:hAnsi="Arial" w:cs="Arial"/>
        </w:rPr>
        <w:t xml:space="preserve">, a ukupni rashodi i izdaci iznose </w:t>
      </w:r>
      <w:r w:rsidR="00C203D9">
        <w:rPr>
          <w:rFonts w:ascii="Arial" w:eastAsia="Times New Roman" w:hAnsi="Arial" w:cs="Arial"/>
        </w:rPr>
        <w:t>9.638.788,05</w:t>
      </w:r>
      <w:r w:rsidR="0013260A" w:rsidRPr="003A2F86">
        <w:rPr>
          <w:rFonts w:ascii="Arial" w:eastAsia="Times New Roman" w:hAnsi="Arial" w:cs="Arial"/>
        </w:rPr>
        <w:t xml:space="preserve"> €</w:t>
      </w:r>
      <w:r w:rsidRPr="003A2F86">
        <w:rPr>
          <w:rFonts w:ascii="Arial" w:eastAsia="Times New Roman" w:hAnsi="Arial" w:cs="Arial"/>
        </w:rPr>
        <w:t xml:space="preserve"> te </w:t>
      </w:r>
      <w:r w:rsidR="004E14F1" w:rsidRPr="003A2F86">
        <w:rPr>
          <w:rFonts w:ascii="Arial" w:eastAsia="Times New Roman" w:hAnsi="Arial" w:cs="Arial"/>
        </w:rPr>
        <w:t>manjak</w:t>
      </w:r>
      <w:r w:rsidRPr="003A2F86">
        <w:rPr>
          <w:rFonts w:ascii="Arial" w:eastAsia="Times New Roman" w:hAnsi="Arial" w:cs="Arial"/>
        </w:rPr>
        <w:t xml:space="preserve"> prihoda tekućeg razdoblja iznosi </w:t>
      </w:r>
      <w:r w:rsidR="00C203D9">
        <w:rPr>
          <w:rFonts w:ascii="Arial" w:eastAsia="Times New Roman" w:hAnsi="Arial" w:cs="Arial"/>
        </w:rPr>
        <w:t>2.200.003,17</w:t>
      </w:r>
      <w:r w:rsidR="0013260A" w:rsidRPr="003A2F86">
        <w:rPr>
          <w:rFonts w:ascii="Arial" w:eastAsia="Times New Roman" w:hAnsi="Arial" w:cs="Arial"/>
        </w:rPr>
        <w:t xml:space="preserve"> €</w:t>
      </w:r>
      <w:r w:rsidRPr="003A2F86">
        <w:rPr>
          <w:rFonts w:ascii="Arial" w:eastAsia="Times New Roman" w:hAnsi="Arial" w:cs="Arial"/>
        </w:rPr>
        <w:t xml:space="preserve">. Preneseni višak prihoda i primitaka Općine iznosi </w:t>
      </w:r>
      <w:r w:rsidR="00C203D9" w:rsidRPr="003A2F86">
        <w:rPr>
          <w:rFonts w:ascii="Arial" w:eastAsia="Times New Roman" w:hAnsi="Arial" w:cs="Arial"/>
        </w:rPr>
        <w:t>2.314.003,03 €</w:t>
      </w:r>
      <w:r w:rsidR="00C203D9">
        <w:rPr>
          <w:rFonts w:ascii="Arial" w:eastAsia="Times New Roman" w:hAnsi="Arial" w:cs="Arial"/>
        </w:rPr>
        <w:t>, a ispravak rezultata iz ranijeg razdoblja 2.499.900,02</w:t>
      </w:r>
      <w:r w:rsidR="0013260A" w:rsidRPr="003A2F86">
        <w:rPr>
          <w:rFonts w:ascii="Arial" w:eastAsia="Times New Roman" w:hAnsi="Arial" w:cs="Arial"/>
        </w:rPr>
        <w:t xml:space="preserve"> €</w:t>
      </w:r>
      <w:r w:rsidR="001B629D" w:rsidRPr="003A2F86">
        <w:rPr>
          <w:rFonts w:ascii="Arial" w:eastAsia="Times New Roman" w:hAnsi="Arial" w:cs="Arial"/>
        </w:rPr>
        <w:t>,</w:t>
      </w:r>
      <w:r w:rsidR="00E42177" w:rsidRPr="003A2F86">
        <w:rPr>
          <w:rFonts w:ascii="Arial" w:eastAsia="Times New Roman" w:hAnsi="Arial" w:cs="Arial"/>
        </w:rPr>
        <w:t xml:space="preserve"> </w:t>
      </w:r>
      <w:r w:rsidR="00C203D9">
        <w:rPr>
          <w:rFonts w:ascii="Arial" w:eastAsia="Times New Roman" w:hAnsi="Arial" w:cs="Arial"/>
        </w:rPr>
        <w:t>te ukupni preneseni višak iznosi 4.813.903,05 €. U</w:t>
      </w:r>
      <w:r w:rsidRPr="003A2F86">
        <w:rPr>
          <w:rFonts w:ascii="Arial" w:eastAsia="Times New Roman" w:hAnsi="Arial" w:cs="Arial"/>
        </w:rPr>
        <w:t xml:space="preserve">kupni višak tekućeg razdoblja Općine Konavle iznosi </w:t>
      </w:r>
      <w:r w:rsidR="00D579AF" w:rsidRPr="003A2F86">
        <w:rPr>
          <w:rFonts w:ascii="Arial" w:eastAsia="Times New Roman" w:hAnsi="Arial" w:cs="Arial"/>
        </w:rPr>
        <w:t>2.</w:t>
      </w:r>
      <w:r w:rsidR="00C203D9">
        <w:rPr>
          <w:rFonts w:ascii="Arial" w:eastAsia="Times New Roman" w:hAnsi="Arial" w:cs="Arial"/>
        </w:rPr>
        <w:t>613.899,88</w:t>
      </w:r>
      <w:r w:rsidR="0013260A" w:rsidRPr="003A2F86">
        <w:rPr>
          <w:rFonts w:ascii="Arial" w:eastAsia="Times New Roman" w:hAnsi="Arial" w:cs="Arial"/>
        </w:rPr>
        <w:t xml:space="preserve"> €</w:t>
      </w:r>
      <w:r w:rsidRPr="003A2F86">
        <w:rPr>
          <w:rFonts w:ascii="Arial" w:eastAsia="Times New Roman" w:hAnsi="Arial" w:cs="Arial"/>
        </w:rPr>
        <w:t>.</w:t>
      </w:r>
    </w:p>
    <w:p w14:paraId="27DAA4FE" w14:textId="77777777" w:rsidR="000A0973" w:rsidRPr="003A2F86" w:rsidRDefault="000A0973" w:rsidP="000A0973">
      <w:pPr>
        <w:autoSpaceDE w:val="0"/>
        <w:autoSpaceDN w:val="0"/>
        <w:adjustRightInd w:val="0"/>
        <w:spacing w:after="0" w:line="240" w:lineRule="auto"/>
        <w:rPr>
          <w:rFonts w:ascii="Arial" w:eastAsia="Times New Roman" w:hAnsi="Arial" w:cs="Arial"/>
        </w:rPr>
      </w:pPr>
    </w:p>
    <w:p w14:paraId="09F870DB" w14:textId="6307181F" w:rsidR="00891119" w:rsidRPr="003A2F86" w:rsidRDefault="00891119" w:rsidP="00891119">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Prema Izvještaju o prihodima i rashodima, primicima i izdacima od 1. siječnja do </w:t>
      </w:r>
      <w:r w:rsidR="00C203D9" w:rsidRPr="00C203D9">
        <w:rPr>
          <w:rFonts w:ascii="Arial" w:eastAsia="Times New Roman" w:hAnsi="Arial" w:cs="Arial"/>
        </w:rPr>
        <w:t xml:space="preserve">30. lipnja 2025. </w:t>
      </w:r>
      <w:r w:rsidRPr="003A2F86">
        <w:rPr>
          <w:rFonts w:ascii="Arial" w:eastAsia="Times New Roman" w:hAnsi="Arial" w:cs="Arial"/>
        </w:rPr>
        <w:t xml:space="preserve">(PR-RAS, </w:t>
      </w:r>
      <w:r w:rsidRPr="003A2F86">
        <w:rPr>
          <w:rFonts w:ascii="Arial" w:eastAsia="Times New Roman" w:hAnsi="Arial" w:cs="Arial"/>
          <w:b/>
          <w:color w:val="7030A0"/>
        </w:rPr>
        <w:t>razina 23</w:t>
      </w:r>
      <w:r w:rsidR="00A60260" w:rsidRPr="003A2F86">
        <w:rPr>
          <w:rStyle w:val="Referencafusnote"/>
          <w:rFonts w:ascii="Arial" w:eastAsia="Times New Roman" w:hAnsi="Arial" w:cs="Arial"/>
          <w:b/>
        </w:rPr>
        <w:footnoteReference w:id="3"/>
      </w:r>
      <w:r w:rsidRPr="003A2F86">
        <w:rPr>
          <w:rFonts w:ascii="Arial" w:eastAsia="Times New Roman" w:hAnsi="Arial" w:cs="Arial"/>
        </w:rPr>
        <w:t xml:space="preserve">) ukupni prihodi i primici iznose </w:t>
      </w:r>
      <w:r w:rsidR="00F044B5">
        <w:rPr>
          <w:rFonts w:ascii="Arial" w:eastAsia="Times New Roman" w:hAnsi="Arial" w:cs="Arial"/>
        </w:rPr>
        <w:t>8.250.742,06</w:t>
      </w:r>
      <w:r w:rsidR="0013260A" w:rsidRPr="003A2F86">
        <w:rPr>
          <w:rFonts w:ascii="Arial" w:eastAsia="Times New Roman" w:hAnsi="Arial" w:cs="Arial"/>
        </w:rPr>
        <w:t xml:space="preserve"> €,</w:t>
      </w:r>
      <w:r w:rsidRPr="003A2F86">
        <w:rPr>
          <w:rFonts w:ascii="Arial" w:eastAsia="Times New Roman" w:hAnsi="Arial" w:cs="Arial"/>
        </w:rPr>
        <w:t xml:space="preserve"> a ukupni rashodi i izdaci iznose </w:t>
      </w:r>
      <w:r w:rsidR="00F044B5">
        <w:rPr>
          <w:rFonts w:ascii="Arial" w:eastAsia="Times New Roman" w:hAnsi="Arial" w:cs="Arial"/>
        </w:rPr>
        <w:t>10.341.887,93</w:t>
      </w:r>
      <w:r w:rsidR="0013260A" w:rsidRPr="003A2F86">
        <w:rPr>
          <w:rFonts w:ascii="Arial" w:eastAsia="Times New Roman" w:hAnsi="Arial" w:cs="Arial"/>
        </w:rPr>
        <w:t xml:space="preserve"> €</w:t>
      </w:r>
      <w:r w:rsidR="003819AC" w:rsidRPr="003A2F86">
        <w:rPr>
          <w:rFonts w:ascii="Arial" w:eastAsia="Times New Roman" w:hAnsi="Arial" w:cs="Arial"/>
        </w:rPr>
        <w:t>,</w:t>
      </w:r>
      <w:r w:rsidR="0013260A" w:rsidRPr="003A2F86">
        <w:rPr>
          <w:rFonts w:ascii="Arial" w:eastAsia="Times New Roman" w:hAnsi="Arial" w:cs="Arial"/>
        </w:rPr>
        <w:t xml:space="preserve"> </w:t>
      </w:r>
      <w:r w:rsidRPr="003A2F86">
        <w:rPr>
          <w:rFonts w:ascii="Arial" w:eastAsia="Times New Roman" w:hAnsi="Arial" w:cs="Arial"/>
        </w:rPr>
        <w:t xml:space="preserve">te </w:t>
      </w:r>
      <w:r w:rsidR="001B629D" w:rsidRPr="003A2F86">
        <w:rPr>
          <w:rFonts w:ascii="Arial" w:eastAsia="Times New Roman" w:hAnsi="Arial" w:cs="Arial"/>
          <w:b/>
          <w:bCs/>
        </w:rPr>
        <w:t>manjak</w:t>
      </w:r>
      <w:r w:rsidRPr="003A2F86">
        <w:rPr>
          <w:rFonts w:ascii="Arial" w:eastAsia="Times New Roman" w:hAnsi="Arial" w:cs="Arial"/>
        </w:rPr>
        <w:t xml:space="preserve"> prihoda tekućeg razdoblja iznosi </w:t>
      </w:r>
      <w:r w:rsidR="00F044B5">
        <w:rPr>
          <w:rFonts w:ascii="Arial" w:eastAsia="Times New Roman" w:hAnsi="Arial" w:cs="Arial"/>
        </w:rPr>
        <w:t>2</w:t>
      </w:r>
      <w:r w:rsidR="001B629D" w:rsidRPr="003A2F86">
        <w:rPr>
          <w:rFonts w:ascii="Arial" w:eastAsia="Times New Roman" w:hAnsi="Arial" w:cs="Arial"/>
        </w:rPr>
        <w:t>.</w:t>
      </w:r>
      <w:r w:rsidR="00D579AF" w:rsidRPr="003A2F86">
        <w:rPr>
          <w:rFonts w:ascii="Arial" w:eastAsia="Times New Roman" w:hAnsi="Arial" w:cs="Arial"/>
        </w:rPr>
        <w:t>091.</w:t>
      </w:r>
      <w:r w:rsidR="00F044B5">
        <w:rPr>
          <w:rFonts w:ascii="Arial" w:eastAsia="Times New Roman" w:hAnsi="Arial" w:cs="Arial"/>
        </w:rPr>
        <w:t>145,87</w:t>
      </w:r>
      <w:r w:rsidR="0013260A" w:rsidRPr="003A2F86">
        <w:rPr>
          <w:rFonts w:ascii="Arial" w:eastAsia="Times New Roman" w:hAnsi="Arial" w:cs="Arial"/>
        </w:rPr>
        <w:t xml:space="preserve"> €.</w:t>
      </w:r>
      <w:r w:rsidRPr="003A2F86">
        <w:rPr>
          <w:rFonts w:ascii="Arial" w:eastAsia="Times New Roman" w:hAnsi="Arial" w:cs="Arial"/>
        </w:rPr>
        <w:t xml:space="preserve"> Ukupno preneseni višak prihoda i primitaka Općine i njenih proračunskih korisnika iznosi </w:t>
      </w:r>
      <w:r w:rsidR="00F044B5" w:rsidRPr="003A2F86">
        <w:rPr>
          <w:rFonts w:ascii="Arial" w:eastAsia="Times New Roman" w:hAnsi="Arial" w:cs="Arial"/>
        </w:rPr>
        <w:t xml:space="preserve">2.068.159,72 </w:t>
      </w:r>
      <w:r w:rsidR="0013260A" w:rsidRPr="003A2F86">
        <w:rPr>
          <w:rFonts w:ascii="Arial" w:eastAsia="Times New Roman" w:hAnsi="Arial" w:cs="Arial"/>
        </w:rPr>
        <w:t>€</w:t>
      </w:r>
      <w:r w:rsidR="00F044B5">
        <w:rPr>
          <w:rFonts w:ascii="Arial" w:eastAsia="Times New Roman" w:hAnsi="Arial" w:cs="Arial"/>
        </w:rPr>
        <w:t xml:space="preserve">. Ispravak rezultata iz ranijeg razdoblja Općine iznosi 2.499.900,02 €, a dječjeg vrtića 2.125,96 €, odnosno sveukupno ispravak rezultata 2.502.025,98 €. Ukupni preneseni višak iz prethodnog razdoblja iznosi 4.570.185,70 €. Ukupni višak </w:t>
      </w:r>
      <w:r w:rsidRPr="003A2F86">
        <w:rPr>
          <w:rFonts w:ascii="Arial" w:eastAsia="Times New Roman" w:hAnsi="Arial" w:cs="Arial"/>
        </w:rPr>
        <w:t xml:space="preserve">Općine Konavle i svih njenih proračunskih korisnika </w:t>
      </w:r>
      <w:r w:rsidR="00F044B5">
        <w:rPr>
          <w:rFonts w:ascii="Arial" w:eastAsia="Times New Roman" w:hAnsi="Arial" w:cs="Arial"/>
        </w:rPr>
        <w:t xml:space="preserve">raspoloživ u sljedećem proračunskom razdoblju </w:t>
      </w:r>
      <w:r w:rsidRPr="003A2F86">
        <w:rPr>
          <w:rFonts w:ascii="Arial" w:eastAsia="Times New Roman" w:hAnsi="Arial" w:cs="Arial"/>
        </w:rPr>
        <w:t xml:space="preserve">iznosi </w:t>
      </w:r>
      <w:r w:rsidR="00D579AF" w:rsidRPr="003A2F86">
        <w:rPr>
          <w:rFonts w:ascii="Arial" w:eastAsia="Times New Roman" w:hAnsi="Arial" w:cs="Arial"/>
        </w:rPr>
        <w:t>2.</w:t>
      </w:r>
      <w:r w:rsidR="00F044B5">
        <w:rPr>
          <w:rFonts w:ascii="Arial" w:eastAsia="Times New Roman" w:hAnsi="Arial" w:cs="Arial"/>
        </w:rPr>
        <w:t>479.039,83</w:t>
      </w:r>
      <w:r w:rsidR="0013260A" w:rsidRPr="003A2F86">
        <w:rPr>
          <w:rFonts w:ascii="Arial" w:eastAsia="Times New Roman" w:hAnsi="Arial" w:cs="Arial"/>
        </w:rPr>
        <w:t xml:space="preserve"> €</w:t>
      </w:r>
      <w:r w:rsidRPr="003A2F86">
        <w:rPr>
          <w:rFonts w:ascii="Arial" w:eastAsia="Times New Roman" w:hAnsi="Arial" w:cs="Arial"/>
        </w:rPr>
        <w:t>.</w:t>
      </w:r>
      <w:r w:rsidR="00BF2507" w:rsidRPr="003A2F86">
        <w:rPr>
          <w:rFonts w:ascii="Arial" w:eastAsia="Times New Roman" w:hAnsi="Arial" w:cs="Arial"/>
        </w:rPr>
        <w:t xml:space="preserve"> </w:t>
      </w:r>
    </w:p>
    <w:p w14:paraId="1D4B3292" w14:textId="77777777" w:rsidR="00990C49" w:rsidRPr="003A2F86" w:rsidRDefault="00990C49" w:rsidP="00BF12F2">
      <w:pPr>
        <w:spacing w:after="0" w:line="240" w:lineRule="auto"/>
        <w:rPr>
          <w:rFonts w:ascii="Arial" w:eastAsia="Times New Roman" w:hAnsi="Arial" w:cs="Arial"/>
        </w:rPr>
      </w:pPr>
    </w:p>
    <w:p w14:paraId="154F67EF" w14:textId="650EF498" w:rsidR="00F952A1" w:rsidRPr="003A2F86" w:rsidRDefault="00990C49" w:rsidP="00BF12F2">
      <w:pPr>
        <w:spacing w:after="0" w:line="240" w:lineRule="auto"/>
        <w:rPr>
          <w:rFonts w:ascii="Arial" w:eastAsia="Times New Roman" w:hAnsi="Arial" w:cs="Arial"/>
        </w:rPr>
      </w:pPr>
      <w:r w:rsidRPr="003A2F86">
        <w:rPr>
          <w:rFonts w:ascii="Arial" w:eastAsia="Times New Roman" w:hAnsi="Arial" w:cs="Arial"/>
        </w:rPr>
        <w:t xml:space="preserve">Prema </w:t>
      </w:r>
      <w:r w:rsidR="00F044B5">
        <w:rPr>
          <w:rFonts w:ascii="Arial" w:eastAsia="Times New Roman" w:hAnsi="Arial" w:cs="Arial"/>
        </w:rPr>
        <w:t>Polug</w:t>
      </w:r>
      <w:r w:rsidRPr="003A2F86">
        <w:rPr>
          <w:rFonts w:ascii="Arial" w:eastAsia="Times New Roman" w:hAnsi="Arial" w:cs="Arial"/>
        </w:rPr>
        <w:t xml:space="preserve">odišnjem </w:t>
      </w:r>
      <w:r w:rsidRPr="003A2F86">
        <w:rPr>
          <w:rFonts w:ascii="Arial" w:eastAsia="Times New Roman" w:hAnsi="Arial" w:cs="Arial"/>
          <w:b/>
        </w:rPr>
        <w:t>izvještaju o izvršenju proračuna</w:t>
      </w:r>
      <w:r w:rsidRPr="003A2F86">
        <w:rPr>
          <w:rFonts w:ascii="Arial" w:eastAsia="Times New Roman" w:hAnsi="Arial" w:cs="Arial"/>
        </w:rPr>
        <w:t xml:space="preserve"> Općine Konavle za 202</w:t>
      </w:r>
      <w:r w:rsidR="00F044B5">
        <w:rPr>
          <w:rFonts w:ascii="Arial" w:eastAsia="Times New Roman" w:hAnsi="Arial" w:cs="Arial"/>
        </w:rPr>
        <w:t>5</w:t>
      </w:r>
      <w:r w:rsidRPr="003A2F86">
        <w:rPr>
          <w:rFonts w:ascii="Arial" w:eastAsia="Times New Roman" w:hAnsi="Arial" w:cs="Arial"/>
        </w:rPr>
        <w:t xml:space="preserve">., ukupno ostvareni prihodi i primici, kao i ukupno izvršeni rashodi i izdaci iskazani su u istim iznosima kao </w:t>
      </w:r>
      <w:r w:rsidR="009E5D1B" w:rsidRPr="003A2F86">
        <w:rPr>
          <w:rFonts w:ascii="Arial" w:eastAsia="Times New Roman" w:hAnsi="Arial" w:cs="Arial"/>
        </w:rPr>
        <w:t xml:space="preserve">što je prikazano u </w:t>
      </w:r>
      <w:r w:rsidRPr="003A2F86">
        <w:rPr>
          <w:rFonts w:ascii="Arial" w:eastAsia="Times New Roman" w:hAnsi="Arial" w:cs="Arial"/>
        </w:rPr>
        <w:t>izvještaj</w:t>
      </w:r>
      <w:r w:rsidR="009E5D1B" w:rsidRPr="003A2F86">
        <w:rPr>
          <w:rFonts w:ascii="Arial" w:eastAsia="Times New Roman" w:hAnsi="Arial" w:cs="Arial"/>
        </w:rPr>
        <w:t>u</w:t>
      </w:r>
      <w:r w:rsidRPr="003A2F86">
        <w:rPr>
          <w:rFonts w:ascii="Arial" w:eastAsia="Times New Roman" w:hAnsi="Arial" w:cs="Arial"/>
        </w:rPr>
        <w:t xml:space="preserve"> </w:t>
      </w:r>
      <w:r w:rsidRPr="003A2F86">
        <w:rPr>
          <w:rFonts w:ascii="Arial" w:eastAsia="Times New Roman" w:hAnsi="Arial" w:cs="Arial"/>
          <w:b/>
          <w:bCs/>
          <w:color w:val="7030A0"/>
        </w:rPr>
        <w:t>razine 23</w:t>
      </w:r>
      <w:r w:rsidRPr="003A2F86">
        <w:rPr>
          <w:rFonts w:ascii="Arial" w:eastAsia="Times New Roman" w:hAnsi="Arial" w:cs="Arial"/>
        </w:rPr>
        <w:t>.</w:t>
      </w:r>
      <w:r w:rsidR="00F952A1" w:rsidRPr="003A2F86">
        <w:rPr>
          <w:rFonts w:ascii="Arial" w:eastAsia="Times New Roman" w:hAnsi="Arial" w:cs="Arial"/>
        </w:rPr>
        <w:br w:type="page"/>
      </w:r>
    </w:p>
    <w:p w14:paraId="68E2C338" w14:textId="77777777" w:rsidR="00F952A1" w:rsidRPr="003A2F86" w:rsidRDefault="00F952A1" w:rsidP="00891119">
      <w:pPr>
        <w:autoSpaceDE w:val="0"/>
        <w:autoSpaceDN w:val="0"/>
        <w:adjustRightInd w:val="0"/>
        <w:spacing w:after="0" w:line="240" w:lineRule="auto"/>
        <w:jc w:val="both"/>
        <w:rPr>
          <w:rFonts w:ascii="Arial" w:eastAsia="Times New Roman" w:hAnsi="Arial" w:cs="Arial"/>
        </w:rPr>
      </w:pPr>
    </w:p>
    <w:p w14:paraId="2BC925A1" w14:textId="0522EE49" w:rsidR="00F308D8" w:rsidRPr="003A2F86" w:rsidRDefault="00F308D8" w:rsidP="00F308D8">
      <w:pPr>
        <w:pStyle w:val="Naslov2"/>
        <w:jc w:val="center"/>
        <w:rPr>
          <w:rFonts w:ascii="Arial" w:hAnsi="Arial" w:cs="Arial"/>
          <w:sz w:val="22"/>
          <w:lang w:val="hr-HR"/>
        </w:rPr>
      </w:pPr>
      <w:bookmarkStart w:id="6" w:name="_Toc207707414"/>
      <w:r w:rsidRPr="003A2F86">
        <w:rPr>
          <w:rFonts w:ascii="Arial" w:hAnsi="Arial" w:cs="Arial"/>
          <w:sz w:val="22"/>
          <w:lang w:val="hr-HR"/>
        </w:rPr>
        <w:t>1.</w:t>
      </w:r>
      <w:r w:rsidR="00F952A1" w:rsidRPr="003A2F86">
        <w:rPr>
          <w:rFonts w:ascii="Arial" w:hAnsi="Arial" w:cs="Arial"/>
          <w:sz w:val="22"/>
          <w:lang w:val="hr-HR"/>
        </w:rPr>
        <w:t>3</w:t>
      </w:r>
      <w:r w:rsidRPr="003A2F86">
        <w:rPr>
          <w:rFonts w:ascii="Arial" w:hAnsi="Arial" w:cs="Arial"/>
          <w:sz w:val="22"/>
          <w:lang w:val="hr-HR"/>
        </w:rPr>
        <w:t>.</w:t>
      </w:r>
      <w:r w:rsidRPr="003A2F86">
        <w:rPr>
          <w:rFonts w:ascii="Arial" w:hAnsi="Arial" w:cs="Arial"/>
          <w:sz w:val="22"/>
          <w:lang w:val="hr-HR"/>
        </w:rPr>
        <w:tab/>
        <w:t xml:space="preserve">OSVRT NA </w:t>
      </w:r>
      <w:r w:rsidR="006A7774" w:rsidRPr="003A2F86">
        <w:rPr>
          <w:rFonts w:ascii="Arial" w:hAnsi="Arial" w:cs="Arial"/>
          <w:sz w:val="22"/>
          <w:lang w:val="hr-HR"/>
        </w:rPr>
        <w:t xml:space="preserve">BROJ TURISTIČKIH DOLAZAKA I BROJ NOĆENJA U RAZDOBLJU </w:t>
      </w:r>
      <w:r w:rsidRPr="003A2F86">
        <w:rPr>
          <w:rFonts w:ascii="Arial" w:hAnsi="Arial" w:cs="Arial"/>
          <w:sz w:val="22"/>
          <w:lang w:val="hr-HR"/>
        </w:rPr>
        <w:t>2019.</w:t>
      </w:r>
      <w:r w:rsidR="006A7774" w:rsidRPr="003A2F86">
        <w:rPr>
          <w:rFonts w:ascii="Arial" w:hAnsi="Arial" w:cs="Arial"/>
          <w:sz w:val="22"/>
          <w:lang w:val="hr-HR"/>
        </w:rPr>
        <w:t>-202</w:t>
      </w:r>
      <w:r w:rsidR="00A52982" w:rsidRPr="003A2F86">
        <w:rPr>
          <w:rFonts w:ascii="Arial" w:hAnsi="Arial" w:cs="Arial"/>
          <w:sz w:val="22"/>
          <w:lang w:val="hr-HR"/>
        </w:rPr>
        <w:t>4</w:t>
      </w:r>
      <w:r w:rsidR="002D2128" w:rsidRPr="003A2F86">
        <w:rPr>
          <w:rFonts w:ascii="Arial" w:hAnsi="Arial" w:cs="Arial"/>
          <w:sz w:val="22"/>
          <w:lang w:val="hr-HR"/>
        </w:rPr>
        <w:t>.</w:t>
      </w:r>
      <w:r w:rsidR="00F044B5">
        <w:rPr>
          <w:rFonts w:ascii="Arial" w:hAnsi="Arial" w:cs="Arial"/>
          <w:sz w:val="22"/>
          <w:lang w:val="hr-HR"/>
        </w:rPr>
        <w:t xml:space="preserve"> i 1-6/2025</w:t>
      </w:r>
      <w:r w:rsidR="009532E3">
        <w:rPr>
          <w:rFonts w:ascii="Arial" w:hAnsi="Arial" w:cs="Arial"/>
          <w:sz w:val="22"/>
          <w:lang w:val="hr-HR"/>
        </w:rPr>
        <w:t>.</w:t>
      </w:r>
      <w:bookmarkEnd w:id="6"/>
    </w:p>
    <w:p w14:paraId="0BB8E18A" w14:textId="50C3F535" w:rsidR="00F308D8" w:rsidRPr="003A2F86" w:rsidRDefault="00F308D8" w:rsidP="00C47BEB">
      <w:pPr>
        <w:autoSpaceDE w:val="0"/>
        <w:autoSpaceDN w:val="0"/>
        <w:adjustRightInd w:val="0"/>
        <w:spacing w:after="0" w:line="240" w:lineRule="auto"/>
        <w:jc w:val="both"/>
        <w:rPr>
          <w:rFonts w:ascii="Arial" w:eastAsia="Times New Roman" w:hAnsi="Arial" w:cs="Arial"/>
        </w:rPr>
      </w:pPr>
    </w:p>
    <w:p w14:paraId="08A2D5C3" w14:textId="210E9FED" w:rsidR="0098055F" w:rsidRPr="003A2F86" w:rsidRDefault="0098055F" w:rsidP="00C47BEB">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U nastavku se daju podaci o broju dolazaka i noćenja u</w:t>
      </w:r>
      <w:r w:rsidR="00CF0BC2" w:rsidRPr="003A2F86">
        <w:rPr>
          <w:rFonts w:ascii="Arial" w:eastAsia="Times New Roman" w:hAnsi="Arial" w:cs="Arial"/>
        </w:rPr>
        <w:t xml:space="preserve"> razdoblju </w:t>
      </w:r>
      <w:r w:rsidRPr="003A2F86">
        <w:rPr>
          <w:rFonts w:ascii="Arial" w:eastAsia="Times New Roman" w:hAnsi="Arial" w:cs="Arial"/>
        </w:rPr>
        <w:t>2019.</w:t>
      </w:r>
      <w:r w:rsidR="00CF0BC2" w:rsidRPr="003A2F86">
        <w:rPr>
          <w:rFonts w:ascii="Arial" w:eastAsia="Times New Roman" w:hAnsi="Arial" w:cs="Arial"/>
        </w:rPr>
        <w:t>-202</w:t>
      </w:r>
      <w:r w:rsidR="001B629D" w:rsidRPr="003A2F86">
        <w:rPr>
          <w:rFonts w:ascii="Arial" w:eastAsia="Times New Roman" w:hAnsi="Arial" w:cs="Arial"/>
        </w:rPr>
        <w:t>4</w:t>
      </w:r>
      <w:r w:rsidR="00CF0BC2" w:rsidRPr="003A2F86">
        <w:rPr>
          <w:rFonts w:ascii="Arial" w:eastAsia="Times New Roman" w:hAnsi="Arial" w:cs="Arial"/>
        </w:rPr>
        <w:t>.</w:t>
      </w:r>
      <w:r w:rsidR="00F044B5">
        <w:rPr>
          <w:rFonts w:ascii="Arial" w:eastAsia="Times New Roman" w:hAnsi="Arial" w:cs="Arial"/>
        </w:rPr>
        <w:t xml:space="preserve"> i 1-6/2025</w:t>
      </w:r>
      <w:r w:rsidR="00907D81" w:rsidRPr="003A2F86">
        <w:rPr>
          <w:rFonts w:ascii="Arial" w:eastAsia="Times New Roman" w:hAnsi="Arial" w:cs="Arial"/>
        </w:rPr>
        <w:t>, kao i podaci po vrstama smještaja te rasporedu noćenja po najzastupljenijim turističkim mjestima Općine</w:t>
      </w:r>
      <w:r w:rsidR="006A7774" w:rsidRPr="003A2F86">
        <w:rPr>
          <w:rFonts w:ascii="Arial" w:eastAsia="Times New Roman" w:hAnsi="Arial" w:cs="Arial"/>
        </w:rPr>
        <w:t xml:space="preserve"> s obzirom da su prihodi Općine velikim dijelom uvjetovani turističkom sezonom.</w:t>
      </w:r>
    </w:p>
    <w:p w14:paraId="5F42403F" w14:textId="77777777" w:rsidR="00A0198A" w:rsidRPr="003A2F86" w:rsidRDefault="00A0198A" w:rsidP="0098055F">
      <w:pPr>
        <w:pStyle w:val="Opisslike"/>
      </w:pPr>
    </w:p>
    <w:p w14:paraId="11B4A833" w14:textId="101D0B6C" w:rsidR="0098055F" w:rsidRPr="003A2F86" w:rsidRDefault="0098055F" w:rsidP="0098055F">
      <w:pPr>
        <w:pStyle w:val="Opisslike"/>
        <w:rPr>
          <w:rFonts w:ascii="Arial" w:eastAsia="Calibri" w:hAnsi="Arial" w:cs="Arial"/>
        </w:rPr>
      </w:pPr>
      <w:bookmarkStart w:id="7" w:name="_Toc207706965"/>
      <w:r w:rsidRPr="003A2F86">
        <w:rPr>
          <w:color w:val="FF0000"/>
        </w:rPr>
        <w:t xml:space="preserve">Tablica </w:t>
      </w:r>
      <w:r w:rsidR="00B70269" w:rsidRPr="003A2F86">
        <w:rPr>
          <w:color w:val="FF0000"/>
        </w:rPr>
        <w:fldChar w:fldCharType="begin"/>
      </w:r>
      <w:r w:rsidR="00B70269" w:rsidRPr="003A2F86">
        <w:rPr>
          <w:color w:val="FF0000"/>
        </w:rPr>
        <w:instrText xml:space="preserve"> SEQ Tablica \* ARABIC </w:instrText>
      </w:r>
      <w:r w:rsidR="00B70269" w:rsidRPr="003A2F86">
        <w:rPr>
          <w:color w:val="FF0000"/>
        </w:rPr>
        <w:fldChar w:fldCharType="separate"/>
      </w:r>
      <w:r w:rsidR="00910987">
        <w:rPr>
          <w:noProof/>
          <w:color w:val="FF0000"/>
        </w:rPr>
        <w:t>1</w:t>
      </w:r>
      <w:r w:rsidR="00B70269" w:rsidRPr="003A2F86">
        <w:rPr>
          <w:color w:val="FF0000"/>
        </w:rPr>
        <w:fldChar w:fldCharType="end"/>
      </w:r>
      <w:r w:rsidRPr="003A2F86">
        <w:rPr>
          <w:color w:val="FF0000"/>
        </w:rPr>
        <w:t xml:space="preserve">.: </w:t>
      </w:r>
      <w:r w:rsidR="00A0198A" w:rsidRPr="003A2F86">
        <w:rPr>
          <w:rFonts w:ascii="Arial" w:eastAsia="Calibri" w:hAnsi="Arial" w:cs="Arial"/>
        </w:rPr>
        <w:t xml:space="preserve">Broj dolazaka i turističkih noćenja u </w:t>
      </w:r>
      <w:r w:rsidR="00304646" w:rsidRPr="003A2F86">
        <w:rPr>
          <w:rFonts w:ascii="Arial" w:eastAsia="Calibri" w:hAnsi="Arial" w:cs="Arial"/>
        </w:rPr>
        <w:t xml:space="preserve">razdoblju </w:t>
      </w:r>
      <w:r w:rsidR="00A0198A" w:rsidRPr="003A2F86">
        <w:rPr>
          <w:rFonts w:ascii="Arial" w:eastAsia="Calibri" w:hAnsi="Arial" w:cs="Arial"/>
        </w:rPr>
        <w:t>2019.</w:t>
      </w:r>
      <w:r w:rsidR="00304646" w:rsidRPr="003A2F86">
        <w:rPr>
          <w:rFonts w:ascii="Arial" w:eastAsia="Calibri" w:hAnsi="Arial" w:cs="Arial"/>
        </w:rPr>
        <w:t>-202</w:t>
      </w:r>
      <w:r w:rsidR="00AB3AC5" w:rsidRPr="003A2F86">
        <w:rPr>
          <w:rFonts w:ascii="Arial" w:eastAsia="Calibri" w:hAnsi="Arial" w:cs="Arial"/>
        </w:rPr>
        <w:t>4</w:t>
      </w:r>
      <w:r w:rsidR="00A0198A" w:rsidRPr="003A2F86">
        <w:rPr>
          <w:rFonts w:ascii="Arial" w:eastAsia="Calibri" w:hAnsi="Arial" w:cs="Arial"/>
        </w:rPr>
        <w:t>.</w:t>
      </w:r>
      <w:r w:rsidR="00F044B5">
        <w:rPr>
          <w:rFonts w:ascii="Arial" w:eastAsia="Calibri" w:hAnsi="Arial" w:cs="Arial"/>
        </w:rPr>
        <w:t xml:space="preserve"> i 1-6/2025.</w:t>
      </w:r>
      <w:bookmarkEnd w:id="7"/>
    </w:p>
    <w:p w14:paraId="0CDC7155" w14:textId="4103F6F7" w:rsidR="0098055F" w:rsidRPr="003A2F86" w:rsidRDefault="0098055F" w:rsidP="00C47BEB">
      <w:pPr>
        <w:autoSpaceDE w:val="0"/>
        <w:autoSpaceDN w:val="0"/>
        <w:adjustRightInd w:val="0"/>
        <w:spacing w:after="0" w:line="240" w:lineRule="auto"/>
        <w:jc w:val="both"/>
        <w:rPr>
          <w:rFonts w:ascii="Arial" w:eastAsia="Times New Roman" w:hAnsi="Arial" w:cs="Arial"/>
        </w:rPr>
      </w:pPr>
    </w:p>
    <w:p w14:paraId="768A9D40" w14:textId="60D7921B" w:rsidR="00926980" w:rsidRPr="003A2F86" w:rsidRDefault="00F32728" w:rsidP="009A6097">
      <w:pPr>
        <w:autoSpaceDE w:val="0"/>
        <w:autoSpaceDN w:val="0"/>
        <w:adjustRightInd w:val="0"/>
        <w:spacing w:after="0" w:line="240" w:lineRule="auto"/>
        <w:jc w:val="center"/>
        <w:rPr>
          <w:noProof/>
        </w:rPr>
      </w:pPr>
      <w:r w:rsidRPr="00F32728">
        <w:rPr>
          <w:noProof/>
        </w:rPr>
        <w:drawing>
          <wp:inline distT="0" distB="0" distL="0" distR="0" wp14:anchorId="518E0645" wp14:editId="7D81C66E">
            <wp:extent cx="9251950" cy="3351530"/>
            <wp:effectExtent l="0" t="0" r="6350" b="1270"/>
            <wp:docPr id="8766246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0" cy="3351530"/>
                    </a:xfrm>
                    <a:prstGeom prst="rect">
                      <a:avLst/>
                    </a:prstGeom>
                    <a:noFill/>
                    <a:ln>
                      <a:noFill/>
                    </a:ln>
                  </pic:spPr>
                </pic:pic>
              </a:graphicData>
            </a:graphic>
          </wp:inline>
        </w:drawing>
      </w:r>
    </w:p>
    <w:p w14:paraId="57673A25" w14:textId="77777777" w:rsidR="00926980" w:rsidRPr="003A2F86" w:rsidRDefault="00926980" w:rsidP="009A6097">
      <w:pPr>
        <w:autoSpaceDE w:val="0"/>
        <w:autoSpaceDN w:val="0"/>
        <w:adjustRightInd w:val="0"/>
        <w:spacing w:after="0" w:line="240" w:lineRule="auto"/>
        <w:jc w:val="center"/>
        <w:rPr>
          <w:rFonts w:ascii="Arial" w:eastAsia="Times New Roman" w:hAnsi="Arial" w:cs="Arial"/>
        </w:rPr>
      </w:pPr>
    </w:p>
    <w:p w14:paraId="29F42F56" w14:textId="1C393487" w:rsidR="00A0198A" w:rsidRPr="003A2F86" w:rsidRDefault="00A0198A" w:rsidP="00304646">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U slijedećoj tablici daju se podaci o </w:t>
      </w:r>
      <w:r w:rsidR="0054525C" w:rsidRPr="003A2F86">
        <w:rPr>
          <w:rFonts w:ascii="Arial" w:eastAsia="Times New Roman" w:hAnsi="Arial" w:cs="Arial"/>
        </w:rPr>
        <w:t>državama</w:t>
      </w:r>
      <w:r w:rsidRPr="003A2F86">
        <w:rPr>
          <w:rFonts w:ascii="Arial" w:eastAsia="Times New Roman" w:hAnsi="Arial" w:cs="Arial"/>
        </w:rPr>
        <w:t xml:space="preserve"> iz kojih je ostvaren najveći broj noćenja i dolazaka u </w:t>
      </w:r>
      <w:r w:rsidR="00304646" w:rsidRPr="003A2F86">
        <w:rPr>
          <w:rFonts w:ascii="Arial" w:eastAsia="Times New Roman" w:hAnsi="Arial" w:cs="Arial"/>
        </w:rPr>
        <w:t xml:space="preserve">razdoblju </w:t>
      </w:r>
      <w:r w:rsidRPr="003A2F86">
        <w:rPr>
          <w:rFonts w:ascii="Arial" w:eastAsia="Times New Roman" w:hAnsi="Arial" w:cs="Arial"/>
        </w:rPr>
        <w:t>20</w:t>
      </w:r>
      <w:r w:rsidR="00304646" w:rsidRPr="003A2F86">
        <w:rPr>
          <w:rFonts w:ascii="Arial" w:eastAsia="Times New Roman" w:hAnsi="Arial" w:cs="Arial"/>
        </w:rPr>
        <w:t>19</w:t>
      </w:r>
      <w:r w:rsidR="00885F26" w:rsidRPr="003A2F86">
        <w:rPr>
          <w:rFonts w:ascii="Arial" w:eastAsia="Times New Roman" w:hAnsi="Arial" w:cs="Arial"/>
        </w:rPr>
        <w:t>.</w:t>
      </w:r>
      <w:r w:rsidR="00304646" w:rsidRPr="003A2F86">
        <w:rPr>
          <w:rFonts w:ascii="Arial" w:eastAsia="Times New Roman" w:hAnsi="Arial" w:cs="Arial"/>
        </w:rPr>
        <w:t>-202</w:t>
      </w:r>
      <w:r w:rsidR="001B629D" w:rsidRPr="003A2F86">
        <w:rPr>
          <w:rFonts w:ascii="Arial" w:eastAsia="Times New Roman" w:hAnsi="Arial" w:cs="Arial"/>
        </w:rPr>
        <w:t>4</w:t>
      </w:r>
      <w:r w:rsidR="00304646" w:rsidRPr="003A2F86">
        <w:rPr>
          <w:rFonts w:ascii="Arial" w:eastAsia="Times New Roman" w:hAnsi="Arial" w:cs="Arial"/>
        </w:rPr>
        <w:t>.</w:t>
      </w:r>
      <w:r w:rsidR="00F32728">
        <w:rPr>
          <w:rFonts w:ascii="Arial" w:eastAsia="Times New Roman" w:hAnsi="Arial" w:cs="Arial"/>
        </w:rPr>
        <w:t xml:space="preserve"> i 1-6/2025.</w:t>
      </w:r>
    </w:p>
    <w:p w14:paraId="0F71B3BB" w14:textId="77777777" w:rsidR="006F1DAB" w:rsidRPr="003A2F86" w:rsidRDefault="006F1DAB" w:rsidP="00304646">
      <w:pPr>
        <w:autoSpaceDE w:val="0"/>
        <w:autoSpaceDN w:val="0"/>
        <w:adjustRightInd w:val="0"/>
        <w:spacing w:after="0" w:line="240" w:lineRule="auto"/>
        <w:jc w:val="both"/>
        <w:rPr>
          <w:rFonts w:ascii="Arial" w:eastAsia="Times New Roman" w:hAnsi="Arial" w:cs="Arial"/>
        </w:rPr>
      </w:pPr>
    </w:p>
    <w:p w14:paraId="23CE9AEB" w14:textId="77777777" w:rsidR="002E143F" w:rsidRDefault="002E143F" w:rsidP="00907D81">
      <w:pPr>
        <w:pStyle w:val="Opisslike"/>
      </w:pPr>
    </w:p>
    <w:p w14:paraId="0CFD845C" w14:textId="77777777" w:rsidR="00F32728" w:rsidRDefault="00F32728" w:rsidP="00F32728">
      <w:pPr>
        <w:rPr>
          <w:lang w:eastAsia="en-US"/>
        </w:rPr>
      </w:pPr>
    </w:p>
    <w:p w14:paraId="3A276B34" w14:textId="77777777" w:rsidR="00F32728" w:rsidRDefault="00F32728" w:rsidP="00F32728">
      <w:pPr>
        <w:rPr>
          <w:lang w:eastAsia="en-US"/>
        </w:rPr>
      </w:pPr>
    </w:p>
    <w:p w14:paraId="065AC8DF" w14:textId="77777777" w:rsidR="00F32728" w:rsidRPr="00F32728" w:rsidRDefault="00F32728" w:rsidP="00F32728">
      <w:pPr>
        <w:rPr>
          <w:lang w:eastAsia="en-US"/>
        </w:rPr>
      </w:pPr>
    </w:p>
    <w:p w14:paraId="5B3ABA24" w14:textId="2EE25AD6" w:rsidR="002D2128" w:rsidRPr="003A2F86" w:rsidRDefault="00907D81" w:rsidP="00AB3AC5">
      <w:pPr>
        <w:pStyle w:val="Opisslike"/>
        <w:rPr>
          <w:rFonts w:ascii="Arial" w:eastAsia="Calibri" w:hAnsi="Arial" w:cs="Arial"/>
        </w:rPr>
      </w:pPr>
      <w:bookmarkStart w:id="8" w:name="_Toc207706966"/>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2</w:t>
      </w:r>
      <w:r w:rsidRPr="003A2F86">
        <w:rPr>
          <w:color w:val="FF0000"/>
        </w:rPr>
        <w:fldChar w:fldCharType="end"/>
      </w:r>
      <w:r w:rsidRPr="003A2F86">
        <w:rPr>
          <w:color w:val="FF0000"/>
        </w:rPr>
        <w:t xml:space="preserve">.: </w:t>
      </w:r>
      <w:r w:rsidR="00AA29F9" w:rsidRPr="003A2F86">
        <w:rPr>
          <w:rFonts w:ascii="Arial" w:eastAsia="Calibri" w:hAnsi="Arial" w:cs="Arial"/>
        </w:rPr>
        <w:t>Države</w:t>
      </w:r>
      <w:r w:rsidR="00A0198A" w:rsidRPr="003A2F86">
        <w:rPr>
          <w:rFonts w:ascii="Arial" w:eastAsia="Calibri" w:hAnsi="Arial" w:cs="Arial"/>
        </w:rPr>
        <w:t xml:space="preserve"> </w:t>
      </w:r>
      <w:r w:rsidR="00D2697A">
        <w:rPr>
          <w:rFonts w:ascii="Arial" w:eastAsia="Calibri" w:hAnsi="Arial" w:cs="Arial"/>
        </w:rPr>
        <w:t xml:space="preserve">s većim brojem ostvarenih </w:t>
      </w:r>
      <w:r w:rsidR="00A0198A" w:rsidRPr="003A2F86">
        <w:rPr>
          <w:rFonts w:ascii="Arial" w:eastAsia="Calibri" w:hAnsi="Arial" w:cs="Arial"/>
        </w:rPr>
        <w:t>noćenja i dolazaka u</w:t>
      </w:r>
      <w:r w:rsidR="00000850" w:rsidRPr="003A2F86">
        <w:rPr>
          <w:rFonts w:ascii="Arial" w:eastAsia="Calibri" w:hAnsi="Arial" w:cs="Arial"/>
        </w:rPr>
        <w:t xml:space="preserve"> razdoblju </w:t>
      </w:r>
      <w:r w:rsidR="00304646" w:rsidRPr="003A2F86">
        <w:rPr>
          <w:rFonts w:ascii="Arial" w:eastAsia="Calibri" w:hAnsi="Arial" w:cs="Arial"/>
        </w:rPr>
        <w:t>2019.</w:t>
      </w:r>
      <w:r w:rsidR="00000850" w:rsidRPr="003A2F86">
        <w:rPr>
          <w:rFonts w:ascii="Arial" w:eastAsia="Calibri" w:hAnsi="Arial" w:cs="Arial"/>
        </w:rPr>
        <w:t>– 202</w:t>
      </w:r>
      <w:r w:rsidR="00AB3AC5" w:rsidRPr="003A2F86">
        <w:rPr>
          <w:rFonts w:ascii="Arial" w:eastAsia="Calibri" w:hAnsi="Arial" w:cs="Arial"/>
        </w:rPr>
        <w:t>4.</w:t>
      </w:r>
      <w:r w:rsidR="00F32728">
        <w:rPr>
          <w:rFonts w:ascii="Arial" w:eastAsia="Calibri" w:hAnsi="Arial" w:cs="Arial"/>
        </w:rPr>
        <w:t xml:space="preserve"> i 1-6/2025.</w:t>
      </w:r>
      <w:bookmarkEnd w:id="8"/>
    </w:p>
    <w:p w14:paraId="3F98DF23" w14:textId="0A8D65DA" w:rsidR="006F1DAB" w:rsidRDefault="00F32728" w:rsidP="006F1DAB">
      <w:pPr>
        <w:spacing w:after="0" w:line="240" w:lineRule="auto"/>
        <w:jc w:val="center"/>
        <w:rPr>
          <w:sz w:val="14"/>
          <w:szCs w:val="14"/>
          <w:lang w:eastAsia="en-US"/>
        </w:rPr>
      </w:pPr>
      <w:r w:rsidRPr="00F32728">
        <w:rPr>
          <w:noProof/>
        </w:rPr>
        <w:drawing>
          <wp:inline distT="0" distB="0" distL="0" distR="0" wp14:anchorId="5BDE4B25" wp14:editId="641105A0">
            <wp:extent cx="7896225" cy="3018667"/>
            <wp:effectExtent l="0" t="0" r="0" b="0"/>
            <wp:docPr id="142398976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6946" cy="3022766"/>
                    </a:xfrm>
                    <a:prstGeom prst="rect">
                      <a:avLst/>
                    </a:prstGeom>
                    <a:noFill/>
                    <a:ln>
                      <a:noFill/>
                    </a:ln>
                  </pic:spPr>
                </pic:pic>
              </a:graphicData>
            </a:graphic>
          </wp:inline>
        </w:drawing>
      </w:r>
    </w:p>
    <w:p w14:paraId="37D5E787" w14:textId="77777777" w:rsidR="00F32728" w:rsidRPr="003A2F86" w:rsidRDefault="00F32728" w:rsidP="006F1DAB">
      <w:pPr>
        <w:spacing w:after="0" w:line="240" w:lineRule="auto"/>
        <w:jc w:val="center"/>
        <w:rPr>
          <w:sz w:val="14"/>
          <w:szCs w:val="14"/>
          <w:lang w:eastAsia="en-US"/>
        </w:rPr>
      </w:pPr>
    </w:p>
    <w:p w14:paraId="40076F99" w14:textId="6F02C782" w:rsidR="001B629D" w:rsidRPr="003A2F86" w:rsidRDefault="00F32728" w:rsidP="006F1DAB">
      <w:pPr>
        <w:spacing w:after="0" w:line="240" w:lineRule="auto"/>
        <w:jc w:val="center"/>
        <w:rPr>
          <w:sz w:val="14"/>
          <w:szCs w:val="14"/>
          <w:lang w:eastAsia="en-US"/>
        </w:rPr>
      </w:pPr>
      <w:r w:rsidRPr="00F32728">
        <w:rPr>
          <w:noProof/>
        </w:rPr>
        <w:drawing>
          <wp:inline distT="0" distB="0" distL="0" distR="0" wp14:anchorId="6B136AC2" wp14:editId="4DE18FF5">
            <wp:extent cx="7934325" cy="2587233"/>
            <wp:effectExtent l="0" t="0" r="0" b="3810"/>
            <wp:docPr id="90210366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0129" cy="2592386"/>
                    </a:xfrm>
                    <a:prstGeom prst="rect">
                      <a:avLst/>
                    </a:prstGeom>
                    <a:noFill/>
                    <a:ln>
                      <a:noFill/>
                    </a:ln>
                  </pic:spPr>
                </pic:pic>
              </a:graphicData>
            </a:graphic>
          </wp:inline>
        </w:drawing>
      </w:r>
    </w:p>
    <w:p w14:paraId="0D8276B8" w14:textId="5124BC4F" w:rsidR="00891119" w:rsidRPr="003A2F86" w:rsidRDefault="00891119" w:rsidP="00DF4972">
      <w:pPr>
        <w:jc w:val="center"/>
        <w:rPr>
          <w:rFonts w:ascii="Arial" w:eastAsia="Times New Roman" w:hAnsi="Arial" w:cs="Arial"/>
        </w:rPr>
      </w:pPr>
      <w:r w:rsidRPr="003A2F86">
        <w:rPr>
          <w:rFonts w:ascii="Arial" w:eastAsia="Times New Roman" w:hAnsi="Arial" w:cs="Arial"/>
          <w:color w:val="FF0000"/>
        </w:rPr>
        <w:br w:type="page"/>
      </w:r>
    </w:p>
    <w:p w14:paraId="0BDFFF8F" w14:textId="5E0DCCD1" w:rsidR="00DF4972" w:rsidRPr="003A2F86" w:rsidRDefault="00891119" w:rsidP="00B13B66">
      <w:pPr>
        <w:pStyle w:val="Naslov1"/>
        <w:rPr>
          <w:rFonts w:ascii="Arial" w:eastAsia="Calibri" w:hAnsi="Arial" w:cs="Arial"/>
          <w:sz w:val="22"/>
          <w:lang w:val="hr-HR"/>
        </w:rPr>
      </w:pPr>
      <w:bookmarkStart w:id="9" w:name="_2.__OBRAZLOŽENJE"/>
      <w:bookmarkStart w:id="10" w:name="_Toc207707415"/>
      <w:bookmarkEnd w:id="9"/>
      <w:r w:rsidRPr="003A2F86">
        <w:rPr>
          <w:rFonts w:ascii="Arial" w:eastAsia="Calibri" w:hAnsi="Arial" w:cs="Arial"/>
          <w:sz w:val="22"/>
          <w:lang w:val="hr-HR"/>
        </w:rPr>
        <w:lastRenderedPageBreak/>
        <w:t xml:space="preserve">2. </w:t>
      </w:r>
      <w:r w:rsidRPr="003A2F86">
        <w:rPr>
          <w:rFonts w:ascii="Arial" w:eastAsia="Calibri" w:hAnsi="Arial" w:cs="Arial"/>
          <w:sz w:val="22"/>
          <w:lang w:val="hr-HR"/>
        </w:rPr>
        <w:tab/>
        <w:t xml:space="preserve">OBRAZLOŽENJE </w:t>
      </w:r>
      <w:r w:rsidR="006B063D" w:rsidRPr="003A2F86">
        <w:rPr>
          <w:rFonts w:ascii="Arial" w:eastAsia="Calibri" w:hAnsi="Arial" w:cs="Arial"/>
          <w:sz w:val="22"/>
          <w:lang w:val="hr-HR"/>
        </w:rPr>
        <w:t xml:space="preserve">OPĆEG DIJELA </w:t>
      </w:r>
      <w:r w:rsidR="00BF1881">
        <w:rPr>
          <w:rFonts w:ascii="Arial" w:eastAsia="Calibri" w:hAnsi="Arial" w:cs="Arial"/>
          <w:sz w:val="22"/>
          <w:lang w:val="hr-HR"/>
        </w:rPr>
        <w:t>POLUGO</w:t>
      </w:r>
      <w:r w:rsidR="00DF4972" w:rsidRPr="003A2F86">
        <w:rPr>
          <w:rFonts w:ascii="Arial" w:eastAsia="Calibri" w:hAnsi="Arial" w:cs="Arial"/>
          <w:sz w:val="22"/>
          <w:lang w:val="hr-HR"/>
        </w:rPr>
        <w:t>DIŠNJE</w:t>
      </w:r>
      <w:r w:rsidR="006B063D" w:rsidRPr="003A2F86">
        <w:rPr>
          <w:rFonts w:ascii="Arial" w:eastAsia="Calibri" w:hAnsi="Arial" w:cs="Arial"/>
          <w:sz w:val="22"/>
          <w:lang w:val="hr-HR"/>
        </w:rPr>
        <w:t>G</w:t>
      </w:r>
      <w:r w:rsidR="00DF4972" w:rsidRPr="003A2F86">
        <w:rPr>
          <w:rFonts w:ascii="Arial" w:eastAsia="Calibri" w:hAnsi="Arial" w:cs="Arial"/>
          <w:sz w:val="22"/>
          <w:lang w:val="hr-HR"/>
        </w:rPr>
        <w:t xml:space="preserve"> IZVJEŠTAJA O IZVRŠENJU PRORAČUNA</w:t>
      </w:r>
      <w:bookmarkStart w:id="11" w:name="Obrazloženje_općeg_dijela_izvještaja"/>
      <w:bookmarkEnd w:id="10"/>
      <w:bookmarkEnd w:id="11"/>
    </w:p>
    <w:p w14:paraId="6C8B0E5A" w14:textId="77777777" w:rsidR="00891119" w:rsidRPr="003A2F86" w:rsidRDefault="00891119" w:rsidP="00891119">
      <w:pPr>
        <w:autoSpaceDE w:val="0"/>
        <w:autoSpaceDN w:val="0"/>
        <w:adjustRightInd w:val="0"/>
        <w:spacing w:after="0" w:line="240" w:lineRule="auto"/>
        <w:rPr>
          <w:rFonts w:ascii="Arial" w:eastAsia="Times New Roman" w:hAnsi="Arial" w:cs="Arial"/>
          <w:sz w:val="18"/>
        </w:rPr>
      </w:pPr>
    </w:p>
    <w:p w14:paraId="5669F368" w14:textId="77777777" w:rsidR="00DF4972" w:rsidRPr="003A2F86" w:rsidRDefault="00DF4972" w:rsidP="00891119">
      <w:pPr>
        <w:autoSpaceDE w:val="0"/>
        <w:autoSpaceDN w:val="0"/>
        <w:adjustRightInd w:val="0"/>
        <w:spacing w:after="0" w:line="240" w:lineRule="auto"/>
        <w:rPr>
          <w:rFonts w:ascii="Arial" w:eastAsia="Times New Roman" w:hAnsi="Arial" w:cs="Arial"/>
          <w:sz w:val="18"/>
        </w:rPr>
      </w:pPr>
    </w:p>
    <w:p w14:paraId="69D10939" w14:textId="71B04481" w:rsidR="006B063D" w:rsidRPr="003A2F86" w:rsidRDefault="006B063D" w:rsidP="006B063D">
      <w:pPr>
        <w:pStyle w:val="Naslov2"/>
        <w:jc w:val="center"/>
        <w:rPr>
          <w:rFonts w:ascii="Arial" w:eastAsia="Calibri" w:hAnsi="Arial" w:cs="Arial"/>
          <w:sz w:val="22"/>
          <w:lang w:val="hr-HR"/>
        </w:rPr>
      </w:pPr>
      <w:bookmarkStart w:id="12" w:name="_Toc207707416"/>
      <w:r w:rsidRPr="003A2F86">
        <w:rPr>
          <w:rFonts w:ascii="Arial" w:eastAsia="Calibri" w:hAnsi="Arial" w:cs="Arial"/>
          <w:sz w:val="22"/>
          <w:lang w:val="hr-HR"/>
        </w:rPr>
        <w:t>2.1.</w:t>
      </w:r>
      <w:r w:rsidRPr="003A2F86">
        <w:rPr>
          <w:rFonts w:ascii="Arial" w:eastAsia="Calibri" w:hAnsi="Arial" w:cs="Arial"/>
          <w:sz w:val="22"/>
          <w:lang w:val="hr-HR"/>
        </w:rPr>
        <w:tab/>
        <w:t>PRIKAZ IZVRŠENJA PRORAČUNA ZA PRETHODNA RAZDOBLJA U VALUTI EURO, TE PLAN ZA 202</w:t>
      </w:r>
      <w:r w:rsidR="00BF1881">
        <w:rPr>
          <w:rFonts w:ascii="Arial" w:eastAsia="Calibri" w:hAnsi="Arial" w:cs="Arial"/>
          <w:sz w:val="22"/>
          <w:lang w:val="hr-HR"/>
        </w:rPr>
        <w:t>5</w:t>
      </w:r>
      <w:r w:rsidRPr="003A2F86">
        <w:rPr>
          <w:rFonts w:ascii="Arial" w:eastAsia="Calibri" w:hAnsi="Arial" w:cs="Arial"/>
          <w:sz w:val="22"/>
          <w:lang w:val="hr-HR"/>
        </w:rPr>
        <w:t xml:space="preserve">. S IZVRŠENJEM </w:t>
      </w:r>
      <w:r w:rsidR="00867243" w:rsidRPr="003A2F86">
        <w:rPr>
          <w:rFonts w:ascii="Arial" w:eastAsia="Calibri" w:hAnsi="Arial" w:cs="Arial"/>
          <w:sz w:val="22"/>
          <w:lang w:val="hr-HR"/>
        </w:rPr>
        <w:t xml:space="preserve">ZA </w:t>
      </w:r>
      <w:r w:rsidR="00EE37D6">
        <w:rPr>
          <w:rFonts w:ascii="Arial" w:eastAsia="Calibri" w:hAnsi="Arial" w:cs="Arial"/>
          <w:sz w:val="22"/>
          <w:lang w:val="hr-HR"/>
        </w:rPr>
        <w:t>1-6/</w:t>
      </w:r>
      <w:r w:rsidR="00F952A1" w:rsidRPr="003A2F86">
        <w:rPr>
          <w:rFonts w:ascii="Arial" w:eastAsia="Calibri" w:hAnsi="Arial" w:cs="Arial"/>
          <w:sz w:val="22"/>
          <w:lang w:val="hr-HR"/>
        </w:rPr>
        <w:t>202</w:t>
      </w:r>
      <w:r w:rsidR="00BF1881">
        <w:rPr>
          <w:rFonts w:ascii="Arial" w:eastAsia="Calibri" w:hAnsi="Arial" w:cs="Arial"/>
          <w:sz w:val="22"/>
          <w:lang w:val="hr-HR"/>
        </w:rPr>
        <w:t>5</w:t>
      </w:r>
      <w:r w:rsidRPr="003A2F86">
        <w:rPr>
          <w:rFonts w:ascii="Arial" w:eastAsia="Calibri" w:hAnsi="Arial" w:cs="Arial"/>
          <w:sz w:val="22"/>
          <w:lang w:val="hr-HR"/>
        </w:rPr>
        <w:t>.</w:t>
      </w:r>
      <w:bookmarkEnd w:id="12"/>
    </w:p>
    <w:p w14:paraId="74F73DF1" w14:textId="77777777" w:rsidR="00DF4972" w:rsidRPr="003A2F86" w:rsidRDefault="00DF4972" w:rsidP="00891119">
      <w:pPr>
        <w:autoSpaceDE w:val="0"/>
        <w:autoSpaceDN w:val="0"/>
        <w:adjustRightInd w:val="0"/>
        <w:spacing w:after="0" w:line="240" w:lineRule="auto"/>
        <w:rPr>
          <w:rFonts w:ascii="Arial" w:eastAsia="Times New Roman" w:hAnsi="Arial" w:cs="Arial"/>
          <w:sz w:val="18"/>
        </w:rPr>
      </w:pPr>
    </w:p>
    <w:p w14:paraId="2D014D93"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0A04B112" w14:textId="3B38321D" w:rsidR="006B063D" w:rsidRPr="003A2F86" w:rsidRDefault="006B063D" w:rsidP="006B063D">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U ovom dijelu Izvještaja prikazuje se izvršenje proračuna </w:t>
      </w:r>
      <w:r w:rsidRPr="003A2F86">
        <w:rPr>
          <w:rFonts w:ascii="Arial" w:eastAsia="Times New Roman" w:hAnsi="Arial" w:cs="Arial"/>
          <w:b/>
          <w:bCs/>
        </w:rPr>
        <w:t>za određeni niz prethodnih godina i tekuću 202</w:t>
      </w:r>
      <w:r w:rsidR="00BF1881">
        <w:rPr>
          <w:rFonts w:ascii="Arial" w:eastAsia="Times New Roman" w:hAnsi="Arial" w:cs="Arial"/>
          <w:b/>
          <w:bCs/>
        </w:rPr>
        <w:t>5</w:t>
      </w:r>
      <w:r w:rsidRPr="003A2F86">
        <w:rPr>
          <w:rFonts w:ascii="Arial" w:eastAsia="Times New Roman" w:hAnsi="Arial" w:cs="Arial"/>
          <w:b/>
          <w:bCs/>
        </w:rPr>
        <w:t>. godinu.</w:t>
      </w:r>
      <w:r w:rsidRPr="003A2F86">
        <w:rPr>
          <w:rFonts w:ascii="Arial" w:eastAsia="Times New Roman" w:hAnsi="Arial" w:cs="Arial"/>
        </w:rPr>
        <w:t xml:space="preserve"> Izvršenje uključuje Općinu (</w:t>
      </w:r>
      <w:r w:rsidRPr="003A2F86">
        <w:rPr>
          <w:rFonts w:ascii="Arial" w:eastAsia="Times New Roman" w:hAnsi="Arial" w:cs="Arial"/>
          <w:color w:val="1F497D" w:themeColor="text2"/>
        </w:rPr>
        <w:t>razina 22</w:t>
      </w:r>
      <w:r w:rsidRPr="003A2F86">
        <w:rPr>
          <w:rFonts w:ascii="Arial" w:eastAsia="Times New Roman" w:hAnsi="Arial" w:cs="Arial"/>
        </w:rPr>
        <w:t>), pojedinačno četiri proračunska korisnika Općine, te zbirno izvršenje koje uključuje Općinu i proračunske korisnike Općine (</w:t>
      </w:r>
      <w:r w:rsidRPr="003A2F86">
        <w:rPr>
          <w:rFonts w:ascii="Arial" w:eastAsia="Times New Roman" w:hAnsi="Arial" w:cs="Arial"/>
          <w:color w:val="7030A0"/>
        </w:rPr>
        <w:t>razina 23</w:t>
      </w:r>
      <w:r w:rsidRPr="003A2F86">
        <w:rPr>
          <w:rFonts w:ascii="Arial" w:eastAsia="Times New Roman" w:hAnsi="Arial" w:cs="Arial"/>
        </w:rPr>
        <w:t xml:space="preserve">). </w:t>
      </w:r>
    </w:p>
    <w:p w14:paraId="7109AD2B"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18037634" w14:textId="2D096D86" w:rsidR="00F952A1" w:rsidRPr="003A2F86" w:rsidRDefault="00F952A1" w:rsidP="006B063D">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b/>
          <w:bCs/>
        </w:rPr>
        <w:t>Proračunski korisnici Općine</w:t>
      </w:r>
      <w:r w:rsidRPr="003A2F86">
        <w:rPr>
          <w:rFonts w:ascii="Arial" w:eastAsia="Times New Roman" w:hAnsi="Arial" w:cs="Arial"/>
        </w:rPr>
        <w:t xml:space="preserve"> su:</w:t>
      </w:r>
    </w:p>
    <w:p w14:paraId="70D95605" w14:textId="3C479163" w:rsidR="00F952A1" w:rsidRPr="003A2F86" w:rsidRDefault="00F952A1" w:rsidP="00F952A1">
      <w:pPr>
        <w:autoSpaceDE w:val="0"/>
        <w:autoSpaceDN w:val="0"/>
        <w:adjustRightInd w:val="0"/>
        <w:spacing w:after="0" w:line="240" w:lineRule="auto"/>
        <w:ind w:firstLine="709"/>
        <w:jc w:val="both"/>
        <w:rPr>
          <w:rFonts w:ascii="Arial" w:eastAsia="Times New Roman" w:hAnsi="Arial" w:cs="Arial"/>
        </w:rPr>
      </w:pPr>
      <w:r w:rsidRPr="003A2F86">
        <w:rPr>
          <w:rFonts w:ascii="Arial" w:eastAsia="Times New Roman" w:hAnsi="Arial" w:cs="Arial"/>
        </w:rPr>
        <w:t>1. Predškolska ustanova Dječji vrtić Konavle,</w:t>
      </w:r>
    </w:p>
    <w:p w14:paraId="66F3F937" w14:textId="6EED6823" w:rsidR="00F952A1" w:rsidRPr="003A2F86" w:rsidRDefault="00F952A1" w:rsidP="00F952A1">
      <w:pPr>
        <w:autoSpaceDE w:val="0"/>
        <w:autoSpaceDN w:val="0"/>
        <w:adjustRightInd w:val="0"/>
        <w:spacing w:after="0" w:line="240" w:lineRule="auto"/>
        <w:ind w:firstLine="709"/>
        <w:jc w:val="both"/>
        <w:rPr>
          <w:rFonts w:ascii="Arial" w:eastAsia="Times New Roman" w:hAnsi="Arial" w:cs="Arial"/>
        </w:rPr>
      </w:pPr>
      <w:r w:rsidRPr="003A2F86">
        <w:rPr>
          <w:rFonts w:ascii="Arial" w:eastAsia="Times New Roman" w:hAnsi="Arial" w:cs="Arial"/>
        </w:rPr>
        <w:t>2. Muzeji i galerije Konavala</w:t>
      </w:r>
    </w:p>
    <w:p w14:paraId="1C61350D" w14:textId="429CCDAA" w:rsidR="00F952A1" w:rsidRPr="003A2F86" w:rsidRDefault="00F952A1" w:rsidP="00F952A1">
      <w:pPr>
        <w:autoSpaceDE w:val="0"/>
        <w:autoSpaceDN w:val="0"/>
        <w:adjustRightInd w:val="0"/>
        <w:spacing w:after="0" w:line="240" w:lineRule="auto"/>
        <w:ind w:firstLine="709"/>
        <w:jc w:val="both"/>
        <w:rPr>
          <w:rFonts w:ascii="Arial" w:eastAsia="Times New Roman" w:hAnsi="Arial" w:cs="Arial"/>
        </w:rPr>
      </w:pPr>
      <w:r w:rsidRPr="003A2F86">
        <w:rPr>
          <w:rFonts w:ascii="Arial" w:eastAsia="Times New Roman" w:hAnsi="Arial" w:cs="Arial"/>
        </w:rPr>
        <w:t>3. Javna vatrogasna postrojba Konavle</w:t>
      </w:r>
    </w:p>
    <w:p w14:paraId="2984D607" w14:textId="50BBB04C" w:rsidR="00F952A1" w:rsidRPr="003A2F86" w:rsidRDefault="00F952A1" w:rsidP="00F952A1">
      <w:pPr>
        <w:autoSpaceDE w:val="0"/>
        <w:autoSpaceDN w:val="0"/>
        <w:adjustRightInd w:val="0"/>
        <w:spacing w:after="0" w:line="240" w:lineRule="auto"/>
        <w:ind w:firstLine="709"/>
        <w:jc w:val="both"/>
        <w:rPr>
          <w:rFonts w:ascii="Arial" w:eastAsia="Times New Roman" w:hAnsi="Arial" w:cs="Arial"/>
        </w:rPr>
      </w:pPr>
      <w:r w:rsidRPr="003A2F86">
        <w:rPr>
          <w:rFonts w:ascii="Arial" w:eastAsia="Times New Roman" w:hAnsi="Arial" w:cs="Arial"/>
        </w:rPr>
        <w:t>4. Dom za starije i nemoćne osobe Konavle.</w:t>
      </w:r>
    </w:p>
    <w:p w14:paraId="2C3C227D" w14:textId="77777777" w:rsidR="00F952A1" w:rsidRPr="003A2F86" w:rsidRDefault="00F952A1" w:rsidP="006B063D">
      <w:pPr>
        <w:autoSpaceDE w:val="0"/>
        <w:autoSpaceDN w:val="0"/>
        <w:adjustRightInd w:val="0"/>
        <w:spacing w:after="0" w:line="240" w:lineRule="auto"/>
        <w:jc w:val="both"/>
        <w:rPr>
          <w:rFonts w:ascii="Arial" w:eastAsia="Times New Roman" w:hAnsi="Arial" w:cs="Arial"/>
        </w:rPr>
      </w:pPr>
    </w:p>
    <w:p w14:paraId="1B453C37"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Iz priloženih tabličnih i grafičkih prikaza u nastavku vidljiv je utjecaj i udio proračunskih korisnika u ostvarenju prihoda, odnosno izvršenju rashoda Proračuna Općine Konavle.</w:t>
      </w:r>
    </w:p>
    <w:p w14:paraId="61D432AF" w14:textId="2C38818B" w:rsidR="009E5D1B" w:rsidRPr="003A2F86" w:rsidRDefault="009E5D1B" w:rsidP="009E5D1B">
      <w:pPr>
        <w:autoSpaceDE w:val="0"/>
        <w:autoSpaceDN w:val="0"/>
        <w:adjustRightInd w:val="0"/>
        <w:spacing w:after="0" w:line="240" w:lineRule="auto"/>
        <w:jc w:val="both"/>
        <w:rPr>
          <w:rFonts w:ascii="Arial" w:eastAsia="Times New Roman" w:hAnsi="Arial" w:cs="Arial"/>
        </w:rPr>
      </w:pPr>
    </w:p>
    <w:p w14:paraId="47FA3797" w14:textId="6D0447BE" w:rsidR="006B063D" w:rsidRPr="003A2F86" w:rsidRDefault="009E5D1B" w:rsidP="009E5D1B">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Utjecaj pandemije bolesti COVID–19 tijekom 2020. i 2021. godine značajno je utjecao na smanjenje proračunskih sredstava </w:t>
      </w:r>
      <w:r w:rsidR="00323CD1" w:rsidRPr="003A2F86">
        <w:rPr>
          <w:rFonts w:ascii="Arial" w:eastAsia="Times New Roman" w:hAnsi="Arial" w:cs="Arial"/>
        </w:rPr>
        <w:t xml:space="preserve">što je vidljivo iz prikaza u nastavku </w:t>
      </w:r>
      <w:r w:rsidRPr="003A2F86">
        <w:rPr>
          <w:rFonts w:ascii="Arial" w:eastAsia="Times New Roman" w:hAnsi="Arial" w:cs="Arial"/>
        </w:rPr>
        <w:t>ove točke</w:t>
      </w:r>
      <w:r w:rsidR="004019B1" w:rsidRPr="003A2F86">
        <w:rPr>
          <w:rFonts w:ascii="Arial" w:eastAsia="Times New Roman" w:hAnsi="Arial" w:cs="Arial"/>
        </w:rPr>
        <w:t>.</w:t>
      </w:r>
    </w:p>
    <w:p w14:paraId="653368BB"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1CFE2180"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5C57DF20"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3217AE3C"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518404F2"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50BE86E3"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38499D8A"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7B2D8042"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69D73EF7" w14:textId="77777777" w:rsidR="009E5D1B" w:rsidRPr="003A2F86" w:rsidRDefault="009E5D1B" w:rsidP="006B063D">
      <w:pPr>
        <w:tabs>
          <w:tab w:val="left" w:pos="142"/>
        </w:tabs>
        <w:autoSpaceDE w:val="0"/>
        <w:autoSpaceDN w:val="0"/>
        <w:adjustRightInd w:val="0"/>
        <w:spacing w:after="0" w:line="240" w:lineRule="auto"/>
        <w:jc w:val="both"/>
        <w:rPr>
          <w:rFonts w:ascii="Arial" w:eastAsia="Times New Roman" w:hAnsi="Arial" w:cs="Arial"/>
        </w:rPr>
      </w:pPr>
    </w:p>
    <w:p w14:paraId="28D65E13" w14:textId="77777777" w:rsidR="009E5D1B" w:rsidRPr="003A2F86" w:rsidRDefault="009E5D1B" w:rsidP="006B063D">
      <w:pPr>
        <w:tabs>
          <w:tab w:val="left" w:pos="142"/>
        </w:tabs>
        <w:autoSpaceDE w:val="0"/>
        <w:autoSpaceDN w:val="0"/>
        <w:adjustRightInd w:val="0"/>
        <w:spacing w:after="0" w:line="240" w:lineRule="auto"/>
        <w:jc w:val="both"/>
        <w:rPr>
          <w:rFonts w:ascii="Arial" w:eastAsia="Times New Roman" w:hAnsi="Arial" w:cs="Arial"/>
        </w:rPr>
      </w:pPr>
    </w:p>
    <w:p w14:paraId="36167B34" w14:textId="77777777" w:rsidR="009E5D1B" w:rsidRPr="003A2F86" w:rsidRDefault="009E5D1B" w:rsidP="006B063D">
      <w:pPr>
        <w:tabs>
          <w:tab w:val="left" w:pos="142"/>
        </w:tabs>
        <w:autoSpaceDE w:val="0"/>
        <w:autoSpaceDN w:val="0"/>
        <w:adjustRightInd w:val="0"/>
        <w:spacing w:after="0" w:line="240" w:lineRule="auto"/>
        <w:jc w:val="both"/>
        <w:rPr>
          <w:rFonts w:ascii="Arial" w:eastAsia="Times New Roman" w:hAnsi="Arial" w:cs="Arial"/>
        </w:rPr>
      </w:pPr>
    </w:p>
    <w:p w14:paraId="1B9E6EF9"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2813F7D6"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58BA402C" w14:textId="77777777" w:rsidR="00E344E7" w:rsidRPr="003A2F86" w:rsidRDefault="00E344E7" w:rsidP="006B063D">
      <w:pPr>
        <w:tabs>
          <w:tab w:val="left" w:pos="142"/>
        </w:tabs>
        <w:autoSpaceDE w:val="0"/>
        <w:autoSpaceDN w:val="0"/>
        <w:adjustRightInd w:val="0"/>
        <w:spacing w:after="0" w:line="240" w:lineRule="auto"/>
        <w:jc w:val="both"/>
        <w:rPr>
          <w:rFonts w:ascii="Arial" w:eastAsia="Times New Roman" w:hAnsi="Arial" w:cs="Arial"/>
        </w:rPr>
      </w:pPr>
    </w:p>
    <w:p w14:paraId="21179B1F"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21A6A797"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11780F98"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45FAF57D" w14:textId="77777777" w:rsidR="006B063D" w:rsidRPr="003A2F86" w:rsidRDefault="006B063D" w:rsidP="006B063D">
      <w:pPr>
        <w:tabs>
          <w:tab w:val="left" w:pos="142"/>
        </w:tabs>
        <w:autoSpaceDE w:val="0"/>
        <w:autoSpaceDN w:val="0"/>
        <w:adjustRightInd w:val="0"/>
        <w:spacing w:after="0" w:line="240" w:lineRule="auto"/>
        <w:jc w:val="both"/>
        <w:rPr>
          <w:rFonts w:ascii="Arial" w:eastAsia="Times New Roman" w:hAnsi="Arial" w:cs="Arial"/>
        </w:rPr>
      </w:pPr>
    </w:p>
    <w:p w14:paraId="48E7AE28" w14:textId="5E587367" w:rsidR="00E344E7" w:rsidRPr="003A2F86" w:rsidRDefault="00E344E7" w:rsidP="00E344E7">
      <w:pPr>
        <w:autoSpaceDE w:val="0"/>
        <w:autoSpaceDN w:val="0"/>
        <w:adjustRightInd w:val="0"/>
        <w:spacing w:after="0" w:line="240" w:lineRule="auto"/>
        <w:jc w:val="both"/>
        <w:rPr>
          <w:rFonts w:ascii="Arial" w:eastAsia="Times New Roman" w:hAnsi="Arial" w:cs="Arial"/>
        </w:rPr>
      </w:pPr>
      <w:bookmarkStart w:id="13" w:name="_Hlk17956689"/>
      <w:r w:rsidRPr="003A2F86">
        <w:rPr>
          <w:rFonts w:ascii="Arial" w:eastAsia="Times New Roman" w:hAnsi="Arial" w:cs="Arial"/>
        </w:rPr>
        <w:lastRenderedPageBreak/>
        <w:t>U nastavku se daje tablica u kojoj je prikazano izvršenje proračuna za 2015.-202</w:t>
      </w:r>
      <w:r w:rsidR="00BF1881">
        <w:rPr>
          <w:rFonts w:ascii="Arial" w:eastAsia="Times New Roman" w:hAnsi="Arial" w:cs="Arial"/>
        </w:rPr>
        <w:t>5</w:t>
      </w:r>
      <w:r w:rsidRPr="003A2F86">
        <w:rPr>
          <w:rFonts w:ascii="Arial" w:eastAsia="Times New Roman" w:hAnsi="Arial" w:cs="Arial"/>
        </w:rPr>
        <w:t>. s planiranim proračunom za 202</w:t>
      </w:r>
      <w:r w:rsidR="00BF1881">
        <w:rPr>
          <w:rFonts w:ascii="Arial" w:eastAsia="Times New Roman" w:hAnsi="Arial" w:cs="Arial"/>
        </w:rPr>
        <w:t>5</w:t>
      </w:r>
      <w:r w:rsidRPr="003A2F86">
        <w:rPr>
          <w:rFonts w:ascii="Arial" w:eastAsia="Times New Roman" w:hAnsi="Arial" w:cs="Arial"/>
        </w:rPr>
        <w:t>. i projekcijama za 202</w:t>
      </w:r>
      <w:r w:rsidR="00BF1881">
        <w:rPr>
          <w:rFonts w:ascii="Arial" w:eastAsia="Times New Roman" w:hAnsi="Arial" w:cs="Arial"/>
        </w:rPr>
        <w:t>6</w:t>
      </w:r>
      <w:r w:rsidRPr="003A2F86">
        <w:rPr>
          <w:rFonts w:ascii="Arial" w:eastAsia="Times New Roman" w:hAnsi="Arial" w:cs="Arial"/>
        </w:rPr>
        <w:t>.-202</w:t>
      </w:r>
      <w:r w:rsidR="00BF1881">
        <w:rPr>
          <w:rFonts w:ascii="Arial" w:eastAsia="Times New Roman" w:hAnsi="Arial" w:cs="Arial"/>
        </w:rPr>
        <w:t>7</w:t>
      </w:r>
      <w:r w:rsidRPr="003A2F86">
        <w:rPr>
          <w:rFonts w:ascii="Arial" w:eastAsia="Times New Roman" w:hAnsi="Arial" w:cs="Arial"/>
        </w:rPr>
        <w:t>.</w:t>
      </w:r>
    </w:p>
    <w:p w14:paraId="7DF47141" w14:textId="77777777" w:rsidR="00E344E7" w:rsidRPr="003A2F86" w:rsidRDefault="00E344E7" w:rsidP="006B063D">
      <w:pPr>
        <w:pStyle w:val="Opisslike"/>
      </w:pPr>
    </w:p>
    <w:p w14:paraId="47A889E3" w14:textId="02F3F121" w:rsidR="006B063D" w:rsidRPr="003A2F86" w:rsidRDefault="006B063D" w:rsidP="006B063D">
      <w:pPr>
        <w:pStyle w:val="Opisslike"/>
        <w:rPr>
          <w:rFonts w:ascii="Arial" w:hAnsi="Arial" w:cs="Arial"/>
          <w:szCs w:val="18"/>
        </w:rPr>
      </w:pPr>
      <w:bookmarkStart w:id="14" w:name="_Toc207706967"/>
      <w:r w:rsidRPr="003A2F86">
        <w:rPr>
          <w:color w:val="FF0000"/>
        </w:rPr>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3</w:t>
      </w:r>
      <w:r w:rsidRPr="003A2F86">
        <w:rPr>
          <w:color w:val="FF0000"/>
        </w:rPr>
        <w:fldChar w:fldCharType="end"/>
      </w:r>
      <w:r w:rsidRPr="003A2F86">
        <w:rPr>
          <w:rFonts w:ascii="Arial" w:hAnsi="Arial" w:cs="Arial"/>
          <w:color w:val="FF0000"/>
          <w:sz w:val="22"/>
        </w:rPr>
        <w:t xml:space="preserve">. </w:t>
      </w:r>
      <w:r w:rsidRPr="003A2F86">
        <w:rPr>
          <w:rFonts w:ascii="Arial" w:hAnsi="Arial" w:cs="Arial"/>
          <w:szCs w:val="18"/>
        </w:rPr>
        <w:t>Pregled ostvarenja proračuna za razdoblje 2015.-202</w:t>
      </w:r>
      <w:r w:rsidR="00BF1881">
        <w:rPr>
          <w:rFonts w:ascii="Arial" w:hAnsi="Arial" w:cs="Arial"/>
          <w:szCs w:val="18"/>
        </w:rPr>
        <w:t>4</w:t>
      </w:r>
      <w:r w:rsidRPr="003A2F86">
        <w:rPr>
          <w:rFonts w:ascii="Arial" w:hAnsi="Arial" w:cs="Arial"/>
          <w:szCs w:val="18"/>
        </w:rPr>
        <w:t xml:space="preserve">. </w:t>
      </w:r>
      <w:r w:rsidR="004019B1" w:rsidRPr="003A2F86">
        <w:rPr>
          <w:rFonts w:ascii="Arial" w:hAnsi="Arial" w:cs="Arial"/>
          <w:szCs w:val="18"/>
        </w:rPr>
        <w:t>i 1-</w:t>
      </w:r>
      <w:r w:rsidR="00BF1881">
        <w:rPr>
          <w:rFonts w:ascii="Arial" w:hAnsi="Arial" w:cs="Arial"/>
          <w:szCs w:val="18"/>
        </w:rPr>
        <w:t>6/</w:t>
      </w:r>
      <w:r w:rsidR="004019B1" w:rsidRPr="003A2F86">
        <w:rPr>
          <w:rFonts w:ascii="Arial" w:hAnsi="Arial" w:cs="Arial"/>
          <w:szCs w:val="18"/>
        </w:rPr>
        <w:t>202</w:t>
      </w:r>
      <w:r w:rsidR="00BF1881">
        <w:rPr>
          <w:rFonts w:ascii="Arial" w:hAnsi="Arial" w:cs="Arial"/>
          <w:szCs w:val="18"/>
        </w:rPr>
        <w:t>5</w:t>
      </w:r>
      <w:r w:rsidR="004019B1" w:rsidRPr="003A2F86">
        <w:rPr>
          <w:rFonts w:ascii="Arial" w:hAnsi="Arial" w:cs="Arial"/>
          <w:szCs w:val="18"/>
        </w:rPr>
        <w:t xml:space="preserve">. </w:t>
      </w:r>
      <w:r w:rsidRPr="003A2F86">
        <w:rPr>
          <w:rFonts w:ascii="Arial" w:hAnsi="Arial" w:cs="Arial"/>
          <w:szCs w:val="18"/>
        </w:rPr>
        <w:t>s projekcijama 202</w:t>
      </w:r>
      <w:r w:rsidR="00BF1881">
        <w:rPr>
          <w:rFonts w:ascii="Arial" w:hAnsi="Arial" w:cs="Arial"/>
          <w:szCs w:val="18"/>
        </w:rPr>
        <w:t>6</w:t>
      </w:r>
      <w:r w:rsidRPr="003A2F86">
        <w:rPr>
          <w:rFonts w:ascii="Arial" w:hAnsi="Arial" w:cs="Arial"/>
          <w:szCs w:val="18"/>
        </w:rPr>
        <w:t>.-202</w:t>
      </w:r>
      <w:r w:rsidR="00BF1881">
        <w:rPr>
          <w:rFonts w:ascii="Arial" w:hAnsi="Arial" w:cs="Arial"/>
          <w:szCs w:val="18"/>
        </w:rPr>
        <w:t>7</w:t>
      </w:r>
      <w:r w:rsidRPr="003A2F86">
        <w:rPr>
          <w:rFonts w:ascii="Arial" w:hAnsi="Arial" w:cs="Arial"/>
          <w:szCs w:val="18"/>
        </w:rPr>
        <w:t>.</w:t>
      </w:r>
      <w:r w:rsidR="00DC2189" w:rsidRPr="003A2F86">
        <w:rPr>
          <w:rFonts w:ascii="Arial" w:hAnsi="Arial" w:cs="Arial"/>
          <w:szCs w:val="18"/>
        </w:rPr>
        <w:t xml:space="preserve">(€) </w:t>
      </w:r>
      <w:r w:rsidRPr="003A2F86">
        <w:rPr>
          <w:rFonts w:ascii="Arial" w:hAnsi="Arial" w:cs="Arial"/>
          <w:szCs w:val="18"/>
        </w:rPr>
        <w:t>– ukupno Općina i proračunski korisnici</w:t>
      </w:r>
      <w:bookmarkEnd w:id="14"/>
    </w:p>
    <w:bookmarkEnd w:id="13"/>
    <w:p w14:paraId="27BE9C43" w14:textId="03CDBBA8"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567D852A" w14:textId="0A00EC76" w:rsidR="006B063D" w:rsidRPr="003A2F86" w:rsidRDefault="00E50B9D" w:rsidP="00C30C24">
      <w:pPr>
        <w:autoSpaceDE w:val="0"/>
        <w:autoSpaceDN w:val="0"/>
        <w:adjustRightInd w:val="0"/>
        <w:spacing w:after="0" w:line="240" w:lineRule="auto"/>
        <w:jc w:val="center"/>
        <w:rPr>
          <w:rFonts w:ascii="Arial" w:eastAsia="Times New Roman" w:hAnsi="Arial" w:cs="Arial"/>
        </w:rPr>
      </w:pPr>
      <w:r w:rsidRPr="00E50B9D">
        <w:rPr>
          <w:noProof/>
        </w:rPr>
        <w:drawing>
          <wp:inline distT="0" distB="0" distL="0" distR="0" wp14:anchorId="27940E89" wp14:editId="1CA5E799">
            <wp:extent cx="9251950" cy="4377055"/>
            <wp:effectExtent l="0" t="0" r="6350" b="4445"/>
            <wp:docPr id="178240019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1950" cy="4377055"/>
                    </a:xfrm>
                    <a:prstGeom prst="rect">
                      <a:avLst/>
                    </a:prstGeom>
                    <a:noFill/>
                    <a:ln>
                      <a:noFill/>
                    </a:ln>
                  </pic:spPr>
                </pic:pic>
              </a:graphicData>
            </a:graphic>
          </wp:inline>
        </w:drawing>
      </w:r>
    </w:p>
    <w:p w14:paraId="318C1CF1" w14:textId="77777777" w:rsidR="003A24E1" w:rsidRPr="003A2F86" w:rsidRDefault="003A24E1" w:rsidP="00C30C24">
      <w:pPr>
        <w:autoSpaceDE w:val="0"/>
        <w:autoSpaceDN w:val="0"/>
        <w:adjustRightInd w:val="0"/>
        <w:spacing w:after="0" w:line="240" w:lineRule="auto"/>
        <w:jc w:val="center"/>
        <w:rPr>
          <w:rFonts w:ascii="Arial" w:eastAsia="Times New Roman" w:hAnsi="Arial" w:cs="Arial"/>
        </w:rPr>
      </w:pPr>
    </w:p>
    <w:p w14:paraId="1A1F79EB" w14:textId="77777777" w:rsidR="003A24E1" w:rsidRPr="003A2F86" w:rsidRDefault="003A24E1" w:rsidP="00C30C24">
      <w:pPr>
        <w:autoSpaceDE w:val="0"/>
        <w:autoSpaceDN w:val="0"/>
        <w:adjustRightInd w:val="0"/>
        <w:spacing w:after="0" w:line="240" w:lineRule="auto"/>
        <w:jc w:val="center"/>
        <w:rPr>
          <w:rFonts w:ascii="Arial" w:eastAsia="Times New Roman" w:hAnsi="Arial" w:cs="Arial"/>
        </w:rPr>
      </w:pPr>
    </w:p>
    <w:p w14:paraId="21647697" w14:textId="77777777" w:rsidR="003A24E1" w:rsidRPr="003A2F86" w:rsidRDefault="003A24E1" w:rsidP="00C30C24">
      <w:pPr>
        <w:autoSpaceDE w:val="0"/>
        <w:autoSpaceDN w:val="0"/>
        <w:adjustRightInd w:val="0"/>
        <w:spacing w:after="0" w:line="240" w:lineRule="auto"/>
        <w:jc w:val="center"/>
        <w:rPr>
          <w:rFonts w:ascii="Arial" w:eastAsia="Times New Roman" w:hAnsi="Arial" w:cs="Arial"/>
        </w:rPr>
      </w:pPr>
    </w:p>
    <w:p w14:paraId="3D0D5428" w14:textId="77777777" w:rsidR="00DC2189" w:rsidRPr="003A2F86" w:rsidRDefault="00DC2189" w:rsidP="00C30C24">
      <w:pPr>
        <w:autoSpaceDE w:val="0"/>
        <w:autoSpaceDN w:val="0"/>
        <w:adjustRightInd w:val="0"/>
        <w:spacing w:after="0" w:line="240" w:lineRule="auto"/>
        <w:jc w:val="center"/>
        <w:rPr>
          <w:rFonts w:ascii="Arial" w:eastAsia="Times New Roman" w:hAnsi="Arial" w:cs="Arial"/>
        </w:rPr>
      </w:pPr>
    </w:p>
    <w:p w14:paraId="224EB996" w14:textId="77777777" w:rsidR="003A24E1" w:rsidRPr="003A2F86" w:rsidRDefault="003A24E1" w:rsidP="00C30C24">
      <w:pPr>
        <w:autoSpaceDE w:val="0"/>
        <w:autoSpaceDN w:val="0"/>
        <w:adjustRightInd w:val="0"/>
        <w:spacing w:after="0" w:line="240" w:lineRule="auto"/>
        <w:jc w:val="center"/>
        <w:rPr>
          <w:rFonts w:ascii="Arial" w:eastAsia="Times New Roman" w:hAnsi="Arial" w:cs="Arial"/>
        </w:rPr>
      </w:pPr>
    </w:p>
    <w:p w14:paraId="49EB1DA3" w14:textId="77777777" w:rsidR="003A24E1" w:rsidRPr="003A2F86" w:rsidRDefault="003A24E1" w:rsidP="00C30C24">
      <w:pPr>
        <w:autoSpaceDE w:val="0"/>
        <w:autoSpaceDN w:val="0"/>
        <w:adjustRightInd w:val="0"/>
        <w:spacing w:after="0" w:line="240" w:lineRule="auto"/>
        <w:jc w:val="center"/>
        <w:rPr>
          <w:rFonts w:ascii="Arial" w:eastAsia="Times New Roman" w:hAnsi="Arial" w:cs="Arial"/>
        </w:rPr>
      </w:pPr>
    </w:p>
    <w:p w14:paraId="603DDB02" w14:textId="77777777" w:rsidR="006B063D" w:rsidRPr="003A2F86" w:rsidRDefault="006B063D" w:rsidP="006B063D">
      <w:pPr>
        <w:pStyle w:val="Opisslike"/>
      </w:pPr>
    </w:p>
    <w:p w14:paraId="4007CC58" w14:textId="774D2C91" w:rsidR="006B063D" w:rsidRPr="003A2F86" w:rsidRDefault="006B063D" w:rsidP="006B063D">
      <w:pPr>
        <w:pStyle w:val="Opisslike"/>
        <w:rPr>
          <w:rFonts w:ascii="Arial" w:hAnsi="Arial" w:cs="Arial"/>
        </w:rPr>
      </w:pPr>
      <w:bookmarkStart w:id="15" w:name="_Toc207707006"/>
      <w:r w:rsidRPr="003A2F86">
        <w:rPr>
          <w:color w:val="FF0000"/>
        </w:rPr>
        <w:t xml:space="preserve">Graf </w:t>
      </w:r>
      <w:r w:rsidRPr="003A2F86">
        <w:rPr>
          <w:color w:val="FF0000"/>
        </w:rPr>
        <w:fldChar w:fldCharType="begin"/>
      </w:r>
      <w:r w:rsidRPr="003A2F86">
        <w:rPr>
          <w:color w:val="FF0000"/>
        </w:rPr>
        <w:instrText xml:space="preserve"> SEQ Graf \* ARABIC </w:instrText>
      </w:r>
      <w:r w:rsidRPr="003A2F86">
        <w:rPr>
          <w:color w:val="FF0000"/>
        </w:rPr>
        <w:fldChar w:fldCharType="separate"/>
      </w:r>
      <w:r w:rsidR="00910987">
        <w:rPr>
          <w:noProof/>
          <w:color w:val="FF0000"/>
        </w:rPr>
        <w:t>1</w:t>
      </w:r>
      <w:r w:rsidRPr="003A2F86">
        <w:rPr>
          <w:color w:val="FF0000"/>
        </w:rPr>
        <w:fldChar w:fldCharType="end"/>
      </w:r>
      <w:r w:rsidRPr="003A2F86">
        <w:t>.:</w:t>
      </w:r>
      <w:r w:rsidRPr="003A2F86">
        <w:rPr>
          <w:rFonts w:ascii="Arial" w:hAnsi="Arial" w:cs="Arial"/>
        </w:rPr>
        <w:t xml:space="preserve">Struktura </w:t>
      </w:r>
      <w:r w:rsidRPr="003A2F86">
        <w:rPr>
          <w:rFonts w:ascii="Arial" w:hAnsi="Arial" w:cs="Arial"/>
          <w:u w:val="double"/>
        </w:rPr>
        <w:t>ostvarenih prihoda i primitaka</w:t>
      </w:r>
      <w:r w:rsidRPr="003A2F86">
        <w:rPr>
          <w:rFonts w:ascii="Arial" w:hAnsi="Arial" w:cs="Arial"/>
        </w:rPr>
        <w:t xml:space="preserve"> proračuna u razdoblju 2015.-202</w:t>
      </w:r>
      <w:r w:rsidR="00E50B9D">
        <w:rPr>
          <w:rFonts w:ascii="Arial" w:hAnsi="Arial" w:cs="Arial"/>
        </w:rPr>
        <w:t>4</w:t>
      </w:r>
      <w:r w:rsidRPr="003A2F86">
        <w:rPr>
          <w:rFonts w:ascii="Arial" w:hAnsi="Arial" w:cs="Arial"/>
        </w:rPr>
        <w:t>.</w:t>
      </w:r>
      <w:r w:rsidR="003A24E1" w:rsidRPr="003A2F86">
        <w:rPr>
          <w:rFonts w:ascii="Arial" w:hAnsi="Arial" w:cs="Arial"/>
        </w:rPr>
        <w:t xml:space="preserve"> i 1-</w:t>
      </w:r>
      <w:r w:rsidR="00E50B9D">
        <w:rPr>
          <w:rFonts w:ascii="Arial" w:hAnsi="Arial" w:cs="Arial"/>
        </w:rPr>
        <w:t>6</w:t>
      </w:r>
      <w:r w:rsidR="00992157" w:rsidRPr="003A2F86">
        <w:rPr>
          <w:rFonts w:ascii="Arial" w:hAnsi="Arial" w:cs="Arial"/>
        </w:rPr>
        <w:t>/</w:t>
      </w:r>
      <w:r w:rsidR="003A24E1" w:rsidRPr="003A2F86">
        <w:rPr>
          <w:rFonts w:ascii="Arial" w:hAnsi="Arial" w:cs="Arial"/>
        </w:rPr>
        <w:t>202</w:t>
      </w:r>
      <w:r w:rsidR="00E50B9D">
        <w:rPr>
          <w:rFonts w:ascii="Arial" w:hAnsi="Arial" w:cs="Arial"/>
        </w:rPr>
        <w:t>5</w:t>
      </w:r>
      <w:r w:rsidR="003A24E1" w:rsidRPr="003A2F86">
        <w:rPr>
          <w:rFonts w:ascii="Arial" w:hAnsi="Arial" w:cs="Arial"/>
        </w:rPr>
        <w:t>.</w:t>
      </w:r>
      <w:r w:rsidRPr="003A2F86">
        <w:rPr>
          <w:rFonts w:ascii="Arial" w:hAnsi="Arial" w:cs="Arial"/>
        </w:rPr>
        <w:t xml:space="preserve">: Općina i </w:t>
      </w:r>
      <w:r w:rsidR="004812B6" w:rsidRPr="003A2F86">
        <w:rPr>
          <w:rFonts w:ascii="Arial" w:hAnsi="Arial" w:cs="Arial"/>
        </w:rPr>
        <w:t xml:space="preserve">zbirno </w:t>
      </w:r>
      <w:r w:rsidRPr="003A2F86">
        <w:rPr>
          <w:rFonts w:ascii="Arial" w:hAnsi="Arial" w:cs="Arial"/>
        </w:rPr>
        <w:t>proračunski korisnici Općine (PK)</w:t>
      </w:r>
      <w:bookmarkEnd w:id="15"/>
    </w:p>
    <w:p w14:paraId="06372609"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noProof/>
          <w:color w:val="FF0000"/>
        </w:rPr>
        <w:drawing>
          <wp:anchor distT="0" distB="0" distL="114300" distR="114300" simplePos="0" relativeHeight="251697152" behindDoc="0" locked="0" layoutInCell="1" allowOverlap="1" wp14:anchorId="15B588E1" wp14:editId="281C1966">
            <wp:simplePos x="0" y="0"/>
            <wp:positionH relativeFrom="column">
              <wp:posOffset>1141096</wp:posOffset>
            </wp:positionH>
            <wp:positionV relativeFrom="paragraph">
              <wp:posOffset>152684</wp:posOffset>
            </wp:positionV>
            <wp:extent cx="6819900" cy="2664176"/>
            <wp:effectExtent l="0" t="0" r="0" b="3175"/>
            <wp:wrapNone/>
            <wp:docPr id="49"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0CBAE77D"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794F4D12"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724CA140"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00D2FBE1"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3915A24F"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0E0073B1"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4262F4B7"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6952D8C9"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2A537BBA"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5FBE46D7"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21B08FC2"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0D87BD4D"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2B75F2D0"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66F0E61C"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42B8A420"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407D454E"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20D88779" w14:textId="77777777" w:rsidR="006B063D" w:rsidRPr="003A2F86" w:rsidRDefault="006B063D" w:rsidP="006B063D">
      <w:pPr>
        <w:pStyle w:val="Opisslike"/>
      </w:pPr>
    </w:p>
    <w:p w14:paraId="2DD1E109" w14:textId="03A433F0" w:rsidR="006B063D" w:rsidRPr="003A2F86" w:rsidRDefault="006B063D" w:rsidP="006B063D">
      <w:pPr>
        <w:pStyle w:val="Opisslike"/>
        <w:rPr>
          <w:sz w:val="18"/>
          <w:szCs w:val="18"/>
        </w:rPr>
      </w:pPr>
      <w:bookmarkStart w:id="16" w:name="_Toc207707007"/>
      <w:r w:rsidRPr="003A2F86">
        <w:rPr>
          <w:color w:val="FF0000"/>
        </w:rPr>
        <w:t xml:space="preserve">Graf </w:t>
      </w:r>
      <w:r w:rsidRPr="003A2F86">
        <w:rPr>
          <w:color w:val="FF0000"/>
        </w:rPr>
        <w:fldChar w:fldCharType="begin"/>
      </w:r>
      <w:r w:rsidRPr="003A2F86">
        <w:rPr>
          <w:color w:val="FF0000"/>
        </w:rPr>
        <w:instrText xml:space="preserve"> SEQ Graf \* ARABIC </w:instrText>
      </w:r>
      <w:r w:rsidRPr="003A2F86">
        <w:rPr>
          <w:color w:val="FF0000"/>
        </w:rPr>
        <w:fldChar w:fldCharType="separate"/>
      </w:r>
      <w:r w:rsidR="00910987">
        <w:rPr>
          <w:noProof/>
          <w:color w:val="FF0000"/>
        </w:rPr>
        <w:t>2</w:t>
      </w:r>
      <w:r w:rsidRPr="003A2F86">
        <w:rPr>
          <w:color w:val="FF0000"/>
        </w:rPr>
        <w:fldChar w:fldCharType="end"/>
      </w:r>
      <w:r w:rsidRPr="003A2F86">
        <w:rPr>
          <w:color w:val="FF0000"/>
        </w:rPr>
        <w:t>.:</w:t>
      </w:r>
      <w:r w:rsidRPr="003A2F86">
        <w:t xml:space="preserve"> </w:t>
      </w:r>
      <w:r w:rsidRPr="003A2F86">
        <w:rPr>
          <w:rFonts w:ascii="Arial" w:hAnsi="Arial" w:cs="Arial"/>
        </w:rPr>
        <w:t xml:space="preserve">Struktura </w:t>
      </w:r>
      <w:r w:rsidRPr="003A2F86">
        <w:rPr>
          <w:rFonts w:ascii="Arial" w:hAnsi="Arial" w:cs="Arial"/>
          <w:u w:val="double"/>
        </w:rPr>
        <w:t>izvršenih rashoda i izdataka</w:t>
      </w:r>
      <w:r w:rsidRPr="003A2F86">
        <w:rPr>
          <w:rFonts w:ascii="Arial" w:hAnsi="Arial" w:cs="Arial"/>
        </w:rPr>
        <w:t xml:space="preserve"> proračuna u razdoblju 2015.-202</w:t>
      </w:r>
      <w:r w:rsidR="00C7606F">
        <w:rPr>
          <w:rFonts w:ascii="Arial" w:hAnsi="Arial" w:cs="Arial"/>
        </w:rPr>
        <w:t>4</w:t>
      </w:r>
      <w:r w:rsidRPr="003A2F86">
        <w:rPr>
          <w:rFonts w:ascii="Arial" w:hAnsi="Arial" w:cs="Arial"/>
        </w:rPr>
        <w:t>.</w:t>
      </w:r>
      <w:r w:rsidR="002F0639" w:rsidRPr="003A2F86">
        <w:rPr>
          <w:rFonts w:ascii="Arial" w:hAnsi="Arial" w:cs="Arial"/>
        </w:rPr>
        <w:t xml:space="preserve"> i </w:t>
      </w:r>
      <w:r w:rsidR="00C7606F">
        <w:rPr>
          <w:rFonts w:ascii="Arial" w:hAnsi="Arial" w:cs="Arial"/>
        </w:rPr>
        <w:t>6</w:t>
      </w:r>
      <w:r w:rsidR="002F0639" w:rsidRPr="003A2F86">
        <w:rPr>
          <w:rFonts w:ascii="Arial" w:hAnsi="Arial" w:cs="Arial"/>
        </w:rPr>
        <w:t>/202</w:t>
      </w:r>
      <w:r w:rsidR="00C7606F">
        <w:rPr>
          <w:rFonts w:ascii="Arial" w:hAnsi="Arial" w:cs="Arial"/>
        </w:rPr>
        <w:t>5</w:t>
      </w:r>
      <w:r w:rsidR="002F0639" w:rsidRPr="003A2F86">
        <w:rPr>
          <w:rFonts w:ascii="Arial" w:hAnsi="Arial" w:cs="Arial"/>
        </w:rPr>
        <w:t>.</w:t>
      </w:r>
      <w:r w:rsidRPr="003A2F86">
        <w:rPr>
          <w:rFonts w:ascii="Arial" w:hAnsi="Arial" w:cs="Arial"/>
        </w:rPr>
        <w:t xml:space="preserve">: Općina i </w:t>
      </w:r>
      <w:r w:rsidR="004812B6" w:rsidRPr="003A2F86">
        <w:rPr>
          <w:rFonts w:ascii="Arial" w:hAnsi="Arial" w:cs="Arial"/>
        </w:rPr>
        <w:t xml:space="preserve">zbirno </w:t>
      </w:r>
      <w:r w:rsidRPr="003A2F86">
        <w:rPr>
          <w:rFonts w:ascii="Arial" w:hAnsi="Arial" w:cs="Arial"/>
        </w:rPr>
        <w:t>proračunski korisnici Općine (PK)</w:t>
      </w:r>
      <w:bookmarkEnd w:id="16"/>
    </w:p>
    <w:p w14:paraId="67B2D2F6" w14:textId="0BF453B7" w:rsidR="006B063D" w:rsidRPr="003A2F86" w:rsidRDefault="002F313B" w:rsidP="006B063D">
      <w:pPr>
        <w:autoSpaceDE w:val="0"/>
        <w:autoSpaceDN w:val="0"/>
        <w:adjustRightInd w:val="0"/>
        <w:spacing w:after="0" w:line="240" w:lineRule="auto"/>
        <w:jc w:val="both"/>
        <w:rPr>
          <w:rFonts w:ascii="Arial" w:eastAsia="Times New Roman" w:hAnsi="Arial" w:cs="Arial"/>
        </w:rPr>
      </w:pPr>
      <w:r w:rsidRPr="003A2F86">
        <w:rPr>
          <w:rFonts w:ascii="Arial" w:hAnsi="Arial" w:cs="Arial"/>
          <w:noProof/>
          <w:color w:val="FF0000"/>
        </w:rPr>
        <w:drawing>
          <wp:anchor distT="0" distB="0" distL="114300" distR="114300" simplePos="0" relativeHeight="251681792" behindDoc="0" locked="0" layoutInCell="1" allowOverlap="1" wp14:anchorId="6761FB0C" wp14:editId="2339DFF8">
            <wp:simplePos x="0" y="0"/>
            <wp:positionH relativeFrom="column">
              <wp:posOffset>981489</wp:posOffset>
            </wp:positionH>
            <wp:positionV relativeFrom="paragraph">
              <wp:posOffset>9669</wp:posOffset>
            </wp:positionV>
            <wp:extent cx="6684728" cy="2767876"/>
            <wp:effectExtent l="0" t="0" r="1905" b="0"/>
            <wp:wrapNone/>
            <wp:docPr id="3"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52540627"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7C7CD763"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5C5FED45"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671E5717"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12000432"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25ADA8CA"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123110D2"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7F5F0E0B"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7CAAC051"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3DA0DB3D"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5F0777B8"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3C88AF67"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62BDC8EC"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25D20304"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04CA7EE8" w14:textId="77777777" w:rsidR="006B063D" w:rsidRPr="003A2F86" w:rsidRDefault="006B063D" w:rsidP="006B063D">
      <w:pPr>
        <w:autoSpaceDE w:val="0"/>
        <w:autoSpaceDN w:val="0"/>
        <w:adjustRightInd w:val="0"/>
        <w:spacing w:after="0" w:line="240" w:lineRule="auto"/>
        <w:jc w:val="both"/>
        <w:rPr>
          <w:rFonts w:ascii="Arial" w:eastAsia="Times New Roman" w:hAnsi="Arial" w:cs="Arial"/>
        </w:rPr>
      </w:pPr>
    </w:p>
    <w:p w14:paraId="67734493" w14:textId="77777777" w:rsidR="006B063D" w:rsidRPr="003A2F86" w:rsidRDefault="006B063D" w:rsidP="006B063D">
      <w:pPr>
        <w:rPr>
          <w:rFonts w:ascii="Times New Roman" w:eastAsia="Times New Roman" w:hAnsi="Times New Roman" w:cs="Times New Roman"/>
          <w:b/>
          <w:bCs/>
          <w:sz w:val="20"/>
          <w:szCs w:val="20"/>
          <w:lang w:eastAsia="en-US"/>
        </w:rPr>
      </w:pPr>
      <w:bookmarkStart w:id="17" w:name="_Hlk17956801"/>
      <w:r w:rsidRPr="003A2F86">
        <w:br w:type="page"/>
      </w:r>
    </w:p>
    <w:p w14:paraId="4C1AA161" w14:textId="726464A8" w:rsidR="006B063D" w:rsidRPr="003A2F86" w:rsidRDefault="006B063D" w:rsidP="006B063D">
      <w:pPr>
        <w:pStyle w:val="Opisslike"/>
        <w:keepNext/>
        <w:rPr>
          <w:rFonts w:ascii="Arial" w:eastAsia="Calibri" w:hAnsi="Arial" w:cs="Arial"/>
        </w:rPr>
      </w:pPr>
      <w:bookmarkStart w:id="18" w:name="_Toc207706968"/>
      <w:bookmarkEnd w:id="17"/>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4</w:t>
      </w:r>
      <w:r w:rsidRPr="003A2F86">
        <w:rPr>
          <w:color w:val="FF0000"/>
        </w:rPr>
        <w:fldChar w:fldCharType="end"/>
      </w:r>
      <w:r w:rsidRPr="003A2F86">
        <w:rPr>
          <w:color w:val="FF0000"/>
        </w:rPr>
        <w:t xml:space="preserve">.: </w:t>
      </w:r>
      <w:r w:rsidRPr="003A2F86">
        <w:rPr>
          <w:rFonts w:ascii="Arial" w:eastAsia="Calibri" w:hAnsi="Arial" w:cs="Arial"/>
        </w:rPr>
        <w:t xml:space="preserve">Pregled </w:t>
      </w:r>
      <w:r w:rsidR="004A29EF" w:rsidRPr="003A2F86">
        <w:rPr>
          <w:rFonts w:ascii="Arial" w:eastAsia="Calibri" w:hAnsi="Arial" w:cs="Arial"/>
        </w:rPr>
        <w:t xml:space="preserve">sveukupno </w:t>
      </w:r>
      <w:r w:rsidRPr="003A2F86">
        <w:rPr>
          <w:rFonts w:ascii="Arial" w:eastAsia="Calibri" w:hAnsi="Arial" w:cs="Arial"/>
        </w:rPr>
        <w:t xml:space="preserve">ostvarenih </w:t>
      </w:r>
      <w:r w:rsidRPr="003A2F86">
        <w:rPr>
          <w:rFonts w:ascii="Arial" w:eastAsia="Calibri" w:hAnsi="Arial" w:cs="Arial"/>
          <w:u w:val="single"/>
        </w:rPr>
        <w:t>prihoda i primitaka</w:t>
      </w:r>
      <w:r w:rsidRPr="003A2F86">
        <w:rPr>
          <w:rFonts w:ascii="Arial" w:eastAsia="Calibri" w:hAnsi="Arial" w:cs="Arial"/>
        </w:rPr>
        <w:t xml:space="preserve"> na razini skupine u razdoblju 2019.-202</w:t>
      </w:r>
      <w:r w:rsidR="00B21AE7">
        <w:rPr>
          <w:rFonts w:ascii="Arial" w:eastAsia="Calibri" w:hAnsi="Arial" w:cs="Arial"/>
        </w:rPr>
        <w:t>4</w:t>
      </w:r>
      <w:r w:rsidR="004F42F3" w:rsidRPr="003A2F86">
        <w:rPr>
          <w:rFonts w:ascii="Arial" w:eastAsia="Calibri" w:hAnsi="Arial" w:cs="Arial"/>
        </w:rPr>
        <w:t>.</w:t>
      </w:r>
      <w:r w:rsidR="00AF04F1">
        <w:rPr>
          <w:rFonts w:ascii="Arial" w:eastAsia="Calibri" w:hAnsi="Arial" w:cs="Arial"/>
        </w:rPr>
        <w:t xml:space="preserve"> i 1-6/2025.</w:t>
      </w:r>
      <w:r w:rsidR="004F42F3" w:rsidRPr="003A2F86">
        <w:rPr>
          <w:rFonts w:ascii="Arial" w:eastAsia="Calibri" w:hAnsi="Arial" w:cs="Arial"/>
        </w:rPr>
        <w:t xml:space="preserve"> </w:t>
      </w:r>
      <w:r w:rsidRPr="003A2F86">
        <w:rPr>
          <w:rFonts w:ascii="Arial" w:eastAsia="Calibri" w:hAnsi="Arial" w:cs="Arial"/>
        </w:rPr>
        <w:t>s prikazom povećanja / smanjenja (€)</w:t>
      </w:r>
      <w:bookmarkEnd w:id="18"/>
    </w:p>
    <w:p w14:paraId="34ADE83F" w14:textId="77777777" w:rsidR="006B063D" w:rsidRPr="003A2F86" w:rsidRDefault="006B063D" w:rsidP="001C6255">
      <w:pPr>
        <w:spacing w:after="0" w:line="240" w:lineRule="auto"/>
        <w:rPr>
          <w:lang w:eastAsia="en-US"/>
        </w:rPr>
      </w:pPr>
    </w:p>
    <w:p w14:paraId="08059453" w14:textId="450346DC" w:rsidR="006B063D" w:rsidRPr="003A2F86" w:rsidRDefault="00E20E6B" w:rsidP="006B063D">
      <w:pPr>
        <w:jc w:val="center"/>
        <w:rPr>
          <w:rFonts w:ascii="Arial" w:eastAsia="Times New Roman" w:hAnsi="Arial" w:cs="Arial"/>
        </w:rPr>
      </w:pPr>
      <w:r w:rsidRPr="00E20E6B">
        <w:rPr>
          <w:noProof/>
        </w:rPr>
        <w:drawing>
          <wp:inline distT="0" distB="0" distL="0" distR="0" wp14:anchorId="6C814DB7" wp14:editId="0A7940A5">
            <wp:extent cx="9251950" cy="3761105"/>
            <wp:effectExtent l="0" t="0" r="6350" b="0"/>
            <wp:docPr id="75699153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1950" cy="3761105"/>
                    </a:xfrm>
                    <a:prstGeom prst="rect">
                      <a:avLst/>
                    </a:prstGeom>
                    <a:noFill/>
                    <a:ln>
                      <a:noFill/>
                    </a:ln>
                  </pic:spPr>
                </pic:pic>
              </a:graphicData>
            </a:graphic>
          </wp:inline>
        </w:drawing>
      </w:r>
    </w:p>
    <w:p w14:paraId="09EE94F4" w14:textId="77777777" w:rsidR="004F42F3" w:rsidRDefault="004F42F3" w:rsidP="006B063D">
      <w:pPr>
        <w:jc w:val="center"/>
        <w:rPr>
          <w:rFonts w:ascii="Arial" w:eastAsia="Times New Roman" w:hAnsi="Arial" w:cs="Arial"/>
        </w:rPr>
      </w:pPr>
    </w:p>
    <w:p w14:paraId="01A1C734" w14:textId="77777777" w:rsidR="00E20E6B" w:rsidRDefault="00E20E6B" w:rsidP="006B063D">
      <w:pPr>
        <w:jc w:val="center"/>
        <w:rPr>
          <w:rFonts w:ascii="Arial" w:eastAsia="Times New Roman" w:hAnsi="Arial" w:cs="Arial"/>
        </w:rPr>
      </w:pPr>
    </w:p>
    <w:p w14:paraId="04D4AEE6" w14:textId="77777777" w:rsidR="00E20E6B" w:rsidRDefault="00E20E6B" w:rsidP="006B063D">
      <w:pPr>
        <w:jc w:val="center"/>
        <w:rPr>
          <w:rFonts w:ascii="Arial" w:eastAsia="Times New Roman" w:hAnsi="Arial" w:cs="Arial"/>
        </w:rPr>
      </w:pPr>
    </w:p>
    <w:p w14:paraId="1D4FFE38" w14:textId="77777777" w:rsidR="00E20E6B" w:rsidRDefault="00E20E6B" w:rsidP="006B063D">
      <w:pPr>
        <w:jc w:val="center"/>
        <w:rPr>
          <w:rFonts w:ascii="Arial" w:eastAsia="Times New Roman" w:hAnsi="Arial" w:cs="Arial"/>
        </w:rPr>
      </w:pPr>
    </w:p>
    <w:p w14:paraId="28B38608" w14:textId="77777777" w:rsidR="00E20E6B" w:rsidRPr="003A2F86" w:rsidRDefault="00E20E6B" w:rsidP="006B063D">
      <w:pPr>
        <w:jc w:val="center"/>
        <w:rPr>
          <w:rFonts w:ascii="Arial" w:eastAsia="Times New Roman" w:hAnsi="Arial" w:cs="Arial"/>
        </w:rPr>
      </w:pPr>
    </w:p>
    <w:p w14:paraId="5917FB09" w14:textId="77777777" w:rsidR="006B063D" w:rsidRPr="003A2F86" w:rsidRDefault="006B063D" w:rsidP="006B063D">
      <w:pPr>
        <w:jc w:val="center"/>
        <w:rPr>
          <w:rFonts w:ascii="Arial" w:eastAsia="Times New Roman" w:hAnsi="Arial" w:cs="Arial"/>
        </w:rPr>
      </w:pPr>
    </w:p>
    <w:p w14:paraId="08065BAB" w14:textId="638710D8" w:rsidR="006B063D" w:rsidRPr="003A2F86" w:rsidRDefault="006B063D" w:rsidP="006B063D">
      <w:pPr>
        <w:pStyle w:val="Opisslike"/>
        <w:keepNext/>
        <w:rPr>
          <w:rFonts w:ascii="Arial" w:eastAsia="Calibri" w:hAnsi="Arial" w:cs="Arial"/>
        </w:rPr>
      </w:pPr>
      <w:bookmarkStart w:id="19" w:name="_Toc207706969"/>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5</w:t>
      </w:r>
      <w:r w:rsidRPr="003A2F86">
        <w:rPr>
          <w:color w:val="FF0000"/>
        </w:rPr>
        <w:fldChar w:fldCharType="end"/>
      </w:r>
      <w:r w:rsidRPr="003A2F86">
        <w:rPr>
          <w:color w:val="FF0000"/>
        </w:rPr>
        <w:t xml:space="preserve">.: </w:t>
      </w:r>
      <w:r w:rsidRPr="003A2F86">
        <w:rPr>
          <w:rFonts w:ascii="Arial" w:eastAsia="Calibri" w:hAnsi="Arial" w:cs="Arial"/>
        </w:rPr>
        <w:t xml:space="preserve">Pregled </w:t>
      </w:r>
      <w:r w:rsidR="004A29EF" w:rsidRPr="003A2F86">
        <w:rPr>
          <w:rFonts w:ascii="Arial" w:eastAsia="Calibri" w:hAnsi="Arial" w:cs="Arial"/>
        </w:rPr>
        <w:t xml:space="preserve">sveukupno </w:t>
      </w:r>
      <w:r w:rsidRPr="003A2F86">
        <w:rPr>
          <w:rFonts w:ascii="Arial" w:eastAsia="Calibri" w:hAnsi="Arial" w:cs="Arial"/>
        </w:rPr>
        <w:t xml:space="preserve">izvršenih </w:t>
      </w:r>
      <w:r w:rsidRPr="003A2F86">
        <w:rPr>
          <w:rFonts w:ascii="Arial" w:eastAsia="Calibri" w:hAnsi="Arial" w:cs="Arial"/>
          <w:u w:val="single"/>
        </w:rPr>
        <w:t>rashoda i izdataka</w:t>
      </w:r>
      <w:r w:rsidRPr="003A2F86">
        <w:rPr>
          <w:rFonts w:ascii="Arial" w:eastAsia="Calibri" w:hAnsi="Arial" w:cs="Arial"/>
        </w:rPr>
        <w:t xml:space="preserve"> na razini skupine u razdoblju 2019.-202</w:t>
      </w:r>
      <w:r w:rsidR="00BA060F">
        <w:rPr>
          <w:rFonts w:ascii="Arial" w:eastAsia="Calibri" w:hAnsi="Arial" w:cs="Arial"/>
        </w:rPr>
        <w:t>4</w:t>
      </w:r>
      <w:r w:rsidR="004F42F3" w:rsidRPr="003A2F86">
        <w:rPr>
          <w:rFonts w:ascii="Arial" w:eastAsia="Calibri" w:hAnsi="Arial" w:cs="Arial"/>
        </w:rPr>
        <w:t>.</w:t>
      </w:r>
      <w:r w:rsidRPr="003A2F86">
        <w:rPr>
          <w:rFonts w:ascii="Arial" w:eastAsia="Calibri" w:hAnsi="Arial" w:cs="Arial"/>
        </w:rPr>
        <w:t xml:space="preserve"> </w:t>
      </w:r>
      <w:r w:rsidR="00E20E6B">
        <w:rPr>
          <w:rFonts w:ascii="Arial" w:eastAsia="Calibri" w:hAnsi="Arial" w:cs="Arial"/>
        </w:rPr>
        <w:t xml:space="preserve">i 1-6/2025. </w:t>
      </w:r>
      <w:r w:rsidRPr="003A2F86">
        <w:rPr>
          <w:rFonts w:ascii="Arial" w:eastAsia="Calibri" w:hAnsi="Arial" w:cs="Arial"/>
        </w:rPr>
        <w:t>s prikazom povećanja / smanjenja (€)</w:t>
      </w:r>
      <w:bookmarkEnd w:id="19"/>
    </w:p>
    <w:p w14:paraId="76F768F6" w14:textId="77777777" w:rsidR="006B063D" w:rsidRPr="003A2F86" w:rsidRDefault="006B063D" w:rsidP="006B063D">
      <w:pPr>
        <w:spacing w:after="0" w:line="240" w:lineRule="auto"/>
        <w:rPr>
          <w:lang w:eastAsia="en-US"/>
        </w:rPr>
      </w:pPr>
    </w:p>
    <w:p w14:paraId="5C34BEF8" w14:textId="38E4B6CE" w:rsidR="00D94CD3" w:rsidRPr="003A2F86" w:rsidRDefault="00E20E6B" w:rsidP="006B063D">
      <w:pPr>
        <w:jc w:val="center"/>
      </w:pPr>
      <w:r w:rsidRPr="00E20E6B">
        <w:rPr>
          <w:noProof/>
        </w:rPr>
        <w:drawing>
          <wp:inline distT="0" distB="0" distL="0" distR="0" wp14:anchorId="38C52D11" wp14:editId="260E1EAD">
            <wp:extent cx="9251950" cy="4408170"/>
            <wp:effectExtent l="0" t="0" r="6350" b="0"/>
            <wp:docPr id="63001167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1950" cy="4408170"/>
                    </a:xfrm>
                    <a:prstGeom prst="rect">
                      <a:avLst/>
                    </a:prstGeom>
                    <a:noFill/>
                    <a:ln>
                      <a:noFill/>
                    </a:ln>
                  </pic:spPr>
                </pic:pic>
              </a:graphicData>
            </a:graphic>
          </wp:inline>
        </w:drawing>
      </w:r>
    </w:p>
    <w:p w14:paraId="58D04719" w14:textId="6E8F1DB6" w:rsidR="00D94CD3" w:rsidRPr="003A2F86" w:rsidRDefault="00D94CD3" w:rsidP="006B063D">
      <w:pPr>
        <w:jc w:val="center"/>
        <w:rPr>
          <w:noProof/>
        </w:rPr>
      </w:pPr>
    </w:p>
    <w:p w14:paraId="44D325C8" w14:textId="77777777" w:rsidR="00193257" w:rsidRDefault="00193257" w:rsidP="006B063D">
      <w:pPr>
        <w:rPr>
          <w:rFonts w:ascii="Arial" w:eastAsia="Times New Roman" w:hAnsi="Arial" w:cs="Arial"/>
        </w:rPr>
      </w:pPr>
    </w:p>
    <w:p w14:paraId="674FFF74" w14:textId="77777777" w:rsidR="00E20E6B" w:rsidRPr="003A2F86" w:rsidRDefault="00E20E6B" w:rsidP="006B063D">
      <w:pPr>
        <w:rPr>
          <w:rFonts w:ascii="Arial" w:eastAsia="Times New Roman" w:hAnsi="Arial" w:cs="Arial"/>
        </w:rPr>
      </w:pPr>
    </w:p>
    <w:p w14:paraId="17091FFA" w14:textId="62DBCA1C" w:rsidR="006B063D" w:rsidRPr="003A2F86" w:rsidRDefault="006B063D" w:rsidP="006B063D">
      <w:pPr>
        <w:pStyle w:val="Opisslike"/>
        <w:keepNext/>
        <w:rPr>
          <w:rFonts w:ascii="Arial" w:eastAsia="Calibri" w:hAnsi="Arial" w:cs="Arial"/>
          <w:i/>
          <w:iCs/>
        </w:rPr>
      </w:pPr>
      <w:bookmarkStart w:id="20" w:name="_Toc207706970"/>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6</w:t>
      </w:r>
      <w:r w:rsidRPr="003A2F86">
        <w:rPr>
          <w:color w:val="FF0000"/>
        </w:rPr>
        <w:fldChar w:fldCharType="end"/>
      </w:r>
      <w:r w:rsidRPr="003A2F86">
        <w:rPr>
          <w:color w:val="FF0000"/>
        </w:rPr>
        <w:t xml:space="preserve">.: </w:t>
      </w:r>
      <w:bookmarkStart w:id="21" w:name="_Hlk101518237"/>
      <w:r w:rsidRPr="003A2F86">
        <w:rPr>
          <w:rFonts w:ascii="Arial" w:eastAsia="Calibri" w:hAnsi="Arial" w:cs="Arial"/>
        </w:rPr>
        <w:t xml:space="preserve">Pregled ostvarenih </w:t>
      </w:r>
      <w:r w:rsidRPr="003A2F86">
        <w:rPr>
          <w:rFonts w:ascii="Arial" w:eastAsia="Calibri" w:hAnsi="Arial" w:cs="Arial"/>
          <w:u w:val="single"/>
        </w:rPr>
        <w:t xml:space="preserve">prihoda i primitaka </w:t>
      </w:r>
      <w:r w:rsidRPr="003A2F86">
        <w:rPr>
          <w:rFonts w:ascii="Arial" w:eastAsia="Calibri" w:hAnsi="Arial" w:cs="Arial"/>
        </w:rPr>
        <w:t xml:space="preserve">na razini podskupine u </w:t>
      </w:r>
      <w:r w:rsidR="00FC010A">
        <w:rPr>
          <w:rFonts w:ascii="Arial" w:eastAsia="Calibri" w:hAnsi="Arial" w:cs="Arial"/>
          <w:u w:val="single"/>
        </w:rPr>
        <w:t>polug</w:t>
      </w:r>
      <w:r w:rsidR="008D3E91" w:rsidRPr="003A2F86">
        <w:rPr>
          <w:rFonts w:ascii="Arial" w:eastAsia="Calibri" w:hAnsi="Arial" w:cs="Arial"/>
          <w:u w:val="single"/>
        </w:rPr>
        <w:t>odišnjim</w:t>
      </w:r>
      <w:r w:rsidR="008D3E91" w:rsidRPr="003A2F86">
        <w:rPr>
          <w:rFonts w:ascii="Arial" w:eastAsia="Calibri" w:hAnsi="Arial" w:cs="Arial"/>
        </w:rPr>
        <w:t xml:space="preserve"> </w:t>
      </w:r>
      <w:r w:rsidRPr="003A2F86">
        <w:rPr>
          <w:rFonts w:ascii="Arial" w:eastAsia="Calibri" w:hAnsi="Arial" w:cs="Arial"/>
        </w:rPr>
        <w:t>izvještajnim razdobljima 2019. do 202</w:t>
      </w:r>
      <w:r w:rsidR="006E0657">
        <w:rPr>
          <w:rFonts w:ascii="Arial" w:eastAsia="Calibri" w:hAnsi="Arial" w:cs="Arial"/>
        </w:rPr>
        <w:t>5</w:t>
      </w:r>
      <w:r w:rsidRPr="003A2F86">
        <w:rPr>
          <w:rFonts w:ascii="Arial" w:eastAsia="Calibri" w:hAnsi="Arial" w:cs="Arial"/>
        </w:rPr>
        <w:t>.</w:t>
      </w:r>
      <w:r w:rsidR="00D94CD3" w:rsidRPr="003A2F86">
        <w:rPr>
          <w:rFonts w:ascii="Arial" w:eastAsia="Calibri" w:hAnsi="Arial" w:cs="Arial"/>
        </w:rPr>
        <w:t xml:space="preserve"> </w:t>
      </w:r>
      <w:r w:rsidRPr="003A2F86">
        <w:rPr>
          <w:rFonts w:ascii="Arial" w:eastAsia="Calibri" w:hAnsi="Arial" w:cs="Arial"/>
        </w:rPr>
        <w:t xml:space="preserve">(€) </w:t>
      </w:r>
      <w:r w:rsidRPr="003A2F86">
        <w:rPr>
          <w:rFonts w:ascii="Arial" w:eastAsia="Calibri" w:hAnsi="Arial" w:cs="Arial"/>
          <w:i/>
          <w:iCs/>
        </w:rPr>
        <w:t>(</w:t>
      </w:r>
      <w:r w:rsidRPr="003A2F86">
        <w:rPr>
          <w:rFonts w:ascii="Arial" w:eastAsia="Calibri" w:hAnsi="Arial" w:cs="Arial"/>
          <w:i/>
          <w:iCs/>
          <w:color w:val="548DD4" w:themeColor="text2" w:themeTint="99"/>
        </w:rPr>
        <w:t xml:space="preserve">razina 22 </w:t>
      </w:r>
      <w:r w:rsidRPr="003A2F86">
        <w:rPr>
          <w:rFonts w:ascii="Arial" w:eastAsia="Calibri" w:hAnsi="Arial" w:cs="Arial"/>
          <w:i/>
          <w:iCs/>
        </w:rPr>
        <w:t xml:space="preserve">i </w:t>
      </w:r>
      <w:r w:rsidRPr="003A2F86">
        <w:rPr>
          <w:rFonts w:ascii="Arial" w:eastAsia="Calibri" w:hAnsi="Arial" w:cs="Arial"/>
          <w:i/>
          <w:iCs/>
          <w:color w:val="7030A0"/>
        </w:rPr>
        <w:t>razina 23</w:t>
      </w:r>
      <w:r w:rsidRPr="003A2F86">
        <w:rPr>
          <w:rFonts w:ascii="Arial" w:eastAsia="Calibri" w:hAnsi="Arial" w:cs="Arial"/>
          <w:i/>
          <w:iCs/>
        </w:rPr>
        <w:t>)</w:t>
      </w:r>
      <w:bookmarkEnd w:id="20"/>
    </w:p>
    <w:bookmarkEnd w:id="21"/>
    <w:p w14:paraId="7425DA63" w14:textId="27B206E9" w:rsidR="00193257" w:rsidRDefault="00193257" w:rsidP="006B063D">
      <w:pPr>
        <w:autoSpaceDE w:val="0"/>
        <w:autoSpaceDN w:val="0"/>
        <w:adjustRightInd w:val="0"/>
        <w:spacing w:after="0" w:line="240" w:lineRule="auto"/>
        <w:jc w:val="center"/>
        <w:rPr>
          <w:noProof/>
        </w:rPr>
      </w:pPr>
    </w:p>
    <w:p w14:paraId="5E3B3BD1" w14:textId="4DE0A9CB" w:rsidR="006B063D" w:rsidRPr="003A2F86" w:rsidRDefault="002C2C7D" w:rsidP="006B063D">
      <w:pPr>
        <w:autoSpaceDE w:val="0"/>
        <w:autoSpaceDN w:val="0"/>
        <w:adjustRightInd w:val="0"/>
        <w:spacing w:after="0" w:line="240" w:lineRule="auto"/>
        <w:jc w:val="center"/>
        <w:rPr>
          <w:noProof/>
        </w:rPr>
      </w:pPr>
      <w:r w:rsidRPr="002C2C7D">
        <w:rPr>
          <w:noProof/>
        </w:rPr>
        <w:drawing>
          <wp:inline distT="0" distB="0" distL="0" distR="0" wp14:anchorId="764B3FA8" wp14:editId="7A0CCE42">
            <wp:extent cx="9251950" cy="5048885"/>
            <wp:effectExtent l="0" t="0" r="6350" b="0"/>
            <wp:docPr id="149550051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1950" cy="5048885"/>
                    </a:xfrm>
                    <a:prstGeom prst="rect">
                      <a:avLst/>
                    </a:prstGeom>
                    <a:noFill/>
                    <a:ln>
                      <a:noFill/>
                    </a:ln>
                  </pic:spPr>
                </pic:pic>
              </a:graphicData>
            </a:graphic>
          </wp:inline>
        </w:drawing>
      </w:r>
    </w:p>
    <w:p w14:paraId="167177C4" w14:textId="77777777" w:rsidR="006C544E" w:rsidRPr="003A2F86" w:rsidRDefault="006C544E" w:rsidP="006B063D">
      <w:pPr>
        <w:autoSpaceDE w:val="0"/>
        <w:autoSpaceDN w:val="0"/>
        <w:adjustRightInd w:val="0"/>
        <w:spacing w:after="0" w:line="240" w:lineRule="auto"/>
        <w:jc w:val="center"/>
        <w:rPr>
          <w:noProof/>
        </w:rPr>
      </w:pPr>
    </w:p>
    <w:p w14:paraId="4073FD4E" w14:textId="47F96749" w:rsidR="006C544E" w:rsidRPr="003A2F86" w:rsidRDefault="006C544E" w:rsidP="006B063D">
      <w:pPr>
        <w:autoSpaceDE w:val="0"/>
        <w:autoSpaceDN w:val="0"/>
        <w:adjustRightInd w:val="0"/>
        <w:spacing w:after="0" w:line="240" w:lineRule="auto"/>
        <w:jc w:val="center"/>
        <w:rPr>
          <w:noProof/>
        </w:rPr>
      </w:pPr>
    </w:p>
    <w:p w14:paraId="17A4D367" w14:textId="0D682442" w:rsidR="006C544E" w:rsidRPr="003A2F86" w:rsidRDefault="006C544E" w:rsidP="006B063D">
      <w:pPr>
        <w:autoSpaceDE w:val="0"/>
        <w:autoSpaceDN w:val="0"/>
        <w:adjustRightInd w:val="0"/>
        <w:spacing w:after="0" w:line="240" w:lineRule="auto"/>
        <w:jc w:val="center"/>
        <w:rPr>
          <w:noProof/>
        </w:rPr>
      </w:pPr>
    </w:p>
    <w:p w14:paraId="2172BA16" w14:textId="3AB785D9" w:rsidR="006B063D" w:rsidRPr="003A2F86" w:rsidRDefault="006B063D" w:rsidP="006B063D">
      <w:pPr>
        <w:autoSpaceDE w:val="0"/>
        <w:autoSpaceDN w:val="0"/>
        <w:adjustRightInd w:val="0"/>
        <w:spacing w:after="0" w:line="240" w:lineRule="auto"/>
        <w:jc w:val="center"/>
        <w:rPr>
          <w:noProof/>
        </w:rPr>
      </w:pPr>
    </w:p>
    <w:p w14:paraId="3AB903DE" w14:textId="77777777" w:rsidR="00FE3A08" w:rsidRDefault="00FE3A08" w:rsidP="006B063D">
      <w:pPr>
        <w:autoSpaceDE w:val="0"/>
        <w:autoSpaceDN w:val="0"/>
        <w:adjustRightInd w:val="0"/>
        <w:spacing w:after="0" w:line="240" w:lineRule="auto"/>
        <w:jc w:val="center"/>
        <w:rPr>
          <w:noProof/>
        </w:rPr>
      </w:pPr>
    </w:p>
    <w:p w14:paraId="3AD919AC" w14:textId="66ED64BA" w:rsidR="006E0657" w:rsidRDefault="002C2C7D" w:rsidP="006B063D">
      <w:pPr>
        <w:autoSpaceDE w:val="0"/>
        <w:autoSpaceDN w:val="0"/>
        <w:adjustRightInd w:val="0"/>
        <w:spacing w:after="0" w:line="240" w:lineRule="auto"/>
        <w:jc w:val="center"/>
        <w:rPr>
          <w:noProof/>
        </w:rPr>
      </w:pPr>
      <w:r w:rsidRPr="002C2C7D">
        <w:rPr>
          <w:noProof/>
        </w:rPr>
        <w:drawing>
          <wp:inline distT="0" distB="0" distL="0" distR="0" wp14:anchorId="396FC345" wp14:editId="791DF5B5">
            <wp:extent cx="9251950" cy="4191000"/>
            <wp:effectExtent l="0" t="0" r="6350" b="0"/>
            <wp:docPr id="177509595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4191000"/>
                    </a:xfrm>
                    <a:prstGeom prst="rect">
                      <a:avLst/>
                    </a:prstGeom>
                    <a:noFill/>
                    <a:ln>
                      <a:noFill/>
                    </a:ln>
                  </pic:spPr>
                </pic:pic>
              </a:graphicData>
            </a:graphic>
          </wp:inline>
        </w:drawing>
      </w:r>
    </w:p>
    <w:p w14:paraId="10E8D7F0" w14:textId="77777777" w:rsidR="006E0657" w:rsidRDefault="006E0657" w:rsidP="006B063D">
      <w:pPr>
        <w:autoSpaceDE w:val="0"/>
        <w:autoSpaceDN w:val="0"/>
        <w:adjustRightInd w:val="0"/>
        <w:spacing w:after="0" w:line="240" w:lineRule="auto"/>
        <w:jc w:val="center"/>
        <w:rPr>
          <w:noProof/>
        </w:rPr>
      </w:pPr>
    </w:p>
    <w:p w14:paraId="4B28E19A" w14:textId="77777777" w:rsidR="006E0657" w:rsidRDefault="006E0657" w:rsidP="006B063D">
      <w:pPr>
        <w:autoSpaceDE w:val="0"/>
        <w:autoSpaceDN w:val="0"/>
        <w:adjustRightInd w:val="0"/>
        <w:spacing w:after="0" w:line="240" w:lineRule="auto"/>
        <w:jc w:val="center"/>
        <w:rPr>
          <w:noProof/>
        </w:rPr>
      </w:pPr>
    </w:p>
    <w:p w14:paraId="5E3F5FCF" w14:textId="77777777" w:rsidR="006E0657" w:rsidRDefault="006E0657" w:rsidP="006B063D">
      <w:pPr>
        <w:autoSpaceDE w:val="0"/>
        <w:autoSpaceDN w:val="0"/>
        <w:adjustRightInd w:val="0"/>
        <w:spacing w:after="0" w:line="240" w:lineRule="auto"/>
        <w:jc w:val="center"/>
        <w:rPr>
          <w:noProof/>
        </w:rPr>
      </w:pPr>
    </w:p>
    <w:p w14:paraId="28BD5722" w14:textId="77777777" w:rsidR="006E0657" w:rsidRDefault="006E0657" w:rsidP="006B063D">
      <w:pPr>
        <w:autoSpaceDE w:val="0"/>
        <w:autoSpaceDN w:val="0"/>
        <w:adjustRightInd w:val="0"/>
        <w:spacing w:after="0" w:line="240" w:lineRule="auto"/>
        <w:jc w:val="center"/>
        <w:rPr>
          <w:noProof/>
        </w:rPr>
      </w:pPr>
    </w:p>
    <w:p w14:paraId="44FCD56D" w14:textId="77777777" w:rsidR="006E0657" w:rsidRDefault="006E0657" w:rsidP="006B063D">
      <w:pPr>
        <w:autoSpaceDE w:val="0"/>
        <w:autoSpaceDN w:val="0"/>
        <w:adjustRightInd w:val="0"/>
        <w:spacing w:after="0" w:line="240" w:lineRule="auto"/>
        <w:jc w:val="center"/>
        <w:rPr>
          <w:noProof/>
        </w:rPr>
      </w:pPr>
    </w:p>
    <w:p w14:paraId="0A41ECAC" w14:textId="77777777" w:rsidR="006E0657" w:rsidRDefault="006E0657" w:rsidP="006B063D">
      <w:pPr>
        <w:autoSpaceDE w:val="0"/>
        <w:autoSpaceDN w:val="0"/>
        <w:adjustRightInd w:val="0"/>
        <w:spacing w:after="0" w:line="240" w:lineRule="auto"/>
        <w:jc w:val="center"/>
        <w:rPr>
          <w:noProof/>
        </w:rPr>
      </w:pPr>
    </w:p>
    <w:p w14:paraId="7E5EAAA9" w14:textId="77777777" w:rsidR="006E0657" w:rsidRPr="003A2F86" w:rsidRDefault="006E0657" w:rsidP="006B063D">
      <w:pPr>
        <w:autoSpaceDE w:val="0"/>
        <w:autoSpaceDN w:val="0"/>
        <w:adjustRightInd w:val="0"/>
        <w:spacing w:after="0" w:line="240" w:lineRule="auto"/>
        <w:jc w:val="center"/>
        <w:rPr>
          <w:noProof/>
        </w:rPr>
      </w:pPr>
    </w:p>
    <w:p w14:paraId="5D8B0B5B" w14:textId="77777777" w:rsidR="005E15FB" w:rsidRPr="003A2F86" w:rsidRDefault="005E15FB" w:rsidP="006B063D">
      <w:pPr>
        <w:autoSpaceDE w:val="0"/>
        <w:autoSpaceDN w:val="0"/>
        <w:adjustRightInd w:val="0"/>
        <w:spacing w:after="0" w:line="240" w:lineRule="auto"/>
        <w:jc w:val="center"/>
        <w:rPr>
          <w:noProof/>
        </w:rPr>
      </w:pPr>
    </w:p>
    <w:p w14:paraId="6AFB14A6" w14:textId="77777777" w:rsidR="005E15FB" w:rsidRPr="003A2F86" w:rsidRDefault="005E15FB" w:rsidP="006B063D">
      <w:pPr>
        <w:autoSpaceDE w:val="0"/>
        <w:autoSpaceDN w:val="0"/>
        <w:adjustRightInd w:val="0"/>
        <w:spacing w:after="0" w:line="240" w:lineRule="auto"/>
        <w:jc w:val="center"/>
        <w:rPr>
          <w:noProof/>
        </w:rPr>
      </w:pPr>
    </w:p>
    <w:p w14:paraId="4959ACD1" w14:textId="2A9978E4" w:rsidR="006B063D" w:rsidRPr="003A2F86" w:rsidRDefault="006B063D" w:rsidP="006B063D">
      <w:pPr>
        <w:pStyle w:val="Opisslike"/>
        <w:keepNext/>
        <w:rPr>
          <w:rFonts w:ascii="Arial" w:eastAsia="Calibri" w:hAnsi="Arial" w:cs="Arial"/>
          <w:i/>
          <w:iCs/>
        </w:rPr>
      </w:pPr>
      <w:bookmarkStart w:id="22" w:name="_Toc207706971"/>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7</w:t>
      </w:r>
      <w:r w:rsidRPr="003A2F86">
        <w:rPr>
          <w:color w:val="FF0000"/>
        </w:rPr>
        <w:fldChar w:fldCharType="end"/>
      </w:r>
      <w:r w:rsidRPr="003A2F86">
        <w:rPr>
          <w:color w:val="FF0000"/>
        </w:rPr>
        <w:t xml:space="preserve">.: </w:t>
      </w:r>
      <w:r w:rsidRPr="003A2F86">
        <w:rPr>
          <w:rFonts w:ascii="Arial" w:eastAsia="Calibri" w:hAnsi="Arial" w:cs="Arial"/>
        </w:rPr>
        <w:t xml:space="preserve">Pregled izvršenih </w:t>
      </w:r>
      <w:r w:rsidRPr="003A2F86">
        <w:rPr>
          <w:rFonts w:ascii="Arial" w:eastAsia="Calibri" w:hAnsi="Arial" w:cs="Arial"/>
          <w:u w:val="single"/>
        </w:rPr>
        <w:t>rashoda i izdataka</w:t>
      </w:r>
      <w:r w:rsidRPr="003A2F86">
        <w:rPr>
          <w:rFonts w:ascii="Arial" w:eastAsia="Calibri" w:hAnsi="Arial" w:cs="Arial"/>
        </w:rPr>
        <w:t xml:space="preserve"> na razini podskupine u </w:t>
      </w:r>
      <w:r w:rsidR="00FC010A">
        <w:rPr>
          <w:rFonts w:ascii="Arial" w:eastAsia="Calibri" w:hAnsi="Arial" w:cs="Arial"/>
          <w:u w:val="single"/>
        </w:rPr>
        <w:t>polug</w:t>
      </w:r>
      <w:r w:rsidR="008D3E91" w:rsidRPr="003A2F86">
        <w:rPr>
          <w:rFonts w:ascii="Arial" w:eastAsia="Calibri" w:hAnsi="Arial" w:cs="Arial"/>
          <w:u w:val="single"/>
        </w:rPr>
        <w:t>odišnjim</w:t>
      </w:r>
      <w:r w:rsidR="008D3E91" w:rsidRPr="003A2F86">
        <w:rPr>
          <w:rFonts w:ascii="Arial" w:eastAsia="Calibri" w:hAnsi="Arial" w:cs="Arial"/>
        </w:rPr>
        <w:t xml:space="preserve"> </w:t>
      </w:r>
      <w:r w:rsidRPr="003A2F86">
        <w:rPr>
          <w:rFonts w:ascii="Arial" w:eastAsia="Calibri" w:hAnsi="Arial" w:cs="Arial"/>
        </w:rPr>
        <w:t>izvještajnim razdobljima 2019. do 202</w:t>
      </w:r>
      <w:r w:rsidR="006E0657">
        <w:rPr>
          <w:rFonts w:ascii="Arial" w:eastAsia="Calibri" w:hAnsi="Arial" w:cs="Arial"/>
        </w:rPr>
        <w:t>5</w:t>
      </w:r>
      <w:r w:rsidRPr="003A2F86">
        <w:rPr>
          <w:rFonts w:ascii="Arial" w:eastAsia="Calibri" w:hAnsi="Arial" w:cs="Arial"/>
        </w:rPr>
        <w:t>.</w:t>
      </w:r>
      <w:r w:rsidR="00193257" w:rsidRPr="003A2F86">
        <w:rPr>
          <w:rFonts w:ascii="Arial" w:eastAsia="Calibri" w:hAnsi="Arial" w:cs="Arial"/>
        </w:rPr>
        <w:t xml:space="preserve"> </w:t>
      </w:r>
      <w:r w:rsidRPr="003A2F86">
        <w:rPr>
          <w:rFonts w:ascii="Arial" w:eastAsia="Calibri" w:hAnsi="Arial" w:cs="Arial"/>
        </w:rPr>
        <w:t>(€)</w:t>
      </w:r>
      <w:r w:rsidRPr="003A2F86">
        <w:rPr>
          <w:rFonts w:ascii="Arial" w:eastAsia="Calibri" w:hAnsi="Arial" w:cs="Arial"/>
          <w:i/>
          <w:iCs/>
        </w:rPr>
        <w:t>(</w:t>
      </w:r>
      <w:r w:rsidRPr="003A2F86">
        <w:rPr>
          <w:rFonts w:ascii="Arial" w:eastAsia="Calibri" w:hAnsi="Arial" w:cs="Arial"/>
          <w:i/>
          <w:iCs/>
          <w:color w:val="548DD4" w:themeColor="text2" w:themeTint="99"/>
        </w:rPr>
        <w:t xml:space="preserve">razina 22 </w:t>
      </w:r>
      <w:r w:rsidRPr="003A2F86">
        <w:rPr>
          <w:rFonts w:ascii="Arial" w:eastAsia="Calibri" w:hAnsi="Arial" w:cs="Arial"/>
          <w:i/>
          <w:iCs/>
        </w:rPr>
        <w:t xml:space="preserve">i </w:t>
      </w:r>
      <w:r w:rsidRPr="003A2F86">
        <w:rPr>
          <w:rFonts w:ascii="Arial" w:eastAsia="Calibri" w:hAnsi="Arial" w:cs="Arial"/>
          <w:i/>
          <w:iCs/>
          <w:color w:val="7030A0"/>
        </w:rPr>
        <w:t>razina 23</w:t>
      </w:r>
      <w:r w:rsidRPr="003A2F86">
        <w:rPr>
          <w:rFonts w:ascii="Arial" w:eastAsia="Calibri" w:hAnsi="Arial" w:cs="Arial"/>
          <w:i/>
          <w:iCs/>
        </w:rPr>
        <w:t>)</w:t>
      </w:r>
      <w:bookmarkEnd w:id="22"/>
    </w:p>
    <w:p w14:paraId="7D4BA459" w14:textId="77777777" w:rsidR="00A66782" w:rsidRPr="003A2F86" w:rsidRDefault="00A66782" w:rsidP="00A66782">
      <w:pPr>
        <w:spacing w:after="0" w:line="240" w:lineRule="auto"/>
        <w:rPr>
          <w:lang w:eastAsia="en-US"/>
        </w:rPr>
      </w:pPr>
    </w:p>
    <w:p w14:paraId="3C4FAA57" w14:textId="20889405" w:rsidR="00FC010A" w:rsidRDefault="00FC010A" w:rsidP="00A66782">
      <w:pPr>
        <w:autoSpaceDE w:val="0"/>
        <w:autoSpaceDN w:val="0"/>
        <w:adjustRightInd w:val="0"/>
        <w:spacing w:after="0" w:line="240" w:lineRule="auto"/>
        <w:jc w:val="center"/>
        <w:rPr>
          <w:noProof/>
        </w:rPr>
      </w:pPr>
      <w:r w:rsidRPr="00FC010A">
        <w:rPr>
          <w:noProof/>
        </w:rPr>
        <w:drawing>
          <wp:inline distT="0" distB="0" distL="0" distR="0" wp14:anchorId="325C08AD" wp14:editId="60A4A67F">
            <wp:extent cx="9251950" cy="4879340"/>
            <wp:effectExtent l="0" t="0" r="6350" b="0"/>
            <wp:docPr id="955507045"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1950" cy="4879340"/>
                    </a:xfrm>
                    <a:prstGeom prst="rect">
                      <a:avLst/>
                    </a:prstGeom>
                    <a:noFill/>
                    <a:ln>
                      <a:noFill/>
                    </a:ln>
                  </pic:spPr>
                </pic:pic>
              </a:graphicData>
            </a:graphic>
          </wp:inline>
        </w:drawing>
      </w:r>
    </w:p>
    <w:p w14:paraId="1047AB11" w14:textId="5428BB17" w:rsidR="006B063D" w:rsidRPr="003A2F86" w:rsidRDefault="006B063D" w:rsidP="00A66782">
      <w:pPr>
        <w:autoSpaceDE w:val="0"/>
        <w:autoSpaceDN w:val="0"/>
        <w:adjustRightInd w:val="0"/>
        <w:spacing w:after="0" w:line="240" w:lineRule="auto"/>
        <w:jc w:val="center"/>
        <w:rPr>
          <w:noProof/>
        </w:rPr>
      </w:pPr>
    </w:p>
    <w:p w14:paraId="1B9572AB" w14:textId="21E0F8F4" w:rsidR="00A66782" w:rsidRPr="003A2F86" w:rsidRDefault="00FC010A" w:rsidP="006B063D">
      <w:pPr>
        <w:autoSpaceDE w:val="0"/>
        <w:autoSpaceDN w:val="0"/>
        <w:adjustRightInd w:val="0"/>
        <w:spacing w:after="0" w:line="240" w:lineRule="auto"/>
        <w:jc w:val="center"/>
        <w:rPr>
          <w:noProof/>
        </w:rPr>
      </w:pPr>
      <w:r w:rsidRPr="00FC010A">
        <w:rPr>
          <w:noProof/>
        </w:rPr>
        <w:lastRenderedPageBreak/>
        <w:drawing>
          <wp:inline distT="0" distB="0" distL="0" distR="0" wp14:anchorId="48FA878E" wp14:editId="6E342591">
            <wp:extent cx="9251950" cy="4394835"/>
            <wp:effectExtent l="0" t="0" r="6350" b="5715"/>
            <wp:docPr id="898376323"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1950" cy="4394835"/>
                    </a:xfrm>
                    <a:prstGeom prst="rect">
                      <a:avLst/>
                    </a:prstGeom>
                    <a:noFill/>
                    <a:ln>
                      <a:noFill/>
                    </a:ln>
                  </pic:spPr>
                </pic:pic>
              </a:graphicData>
            </a:graphic>
          </wp:inline>
        </w:drawing>
      </w:r>
    </w:p>
    <w:p w14:paraId="78DAF997" w14:textId="27944781" w:rsidR="00C46E75" w:rsidRPr="003A2F86" w:rsidRDefault="00C46E75" w:rsidP="006B063D">
      <w:pPr>
        <w:autoSpaceDE w:val="0"/>
        <w:autoSpaceDN w:val="0"/>
        <w:adjustRightInd w:val="0"/>
        <w:spacing w:after="0" w:line="240" w:lineRule="auto"/>
        <w:jc w:val="center"/>
        <w:rPr>
          <w:noProof/>
        </w:rPr>
      </w:pPr>
    </w:p>
    <w:p w14:paraId="78492CF3" w14:textId="52AAD373" w:rsidR="006B063D" w:rsidRPr="003A2F86" w:rsidRDefault="006B063D" w:rsidP="006B063D">
      <w:pPr>
        <w:autoSpaceDE w:val="0"/>
        <w:autoSpaceDN w:val="0"/>
        <w:adjustRightInd w:val="0"/>
        <w:spacing w:after="0" w:line="240" w:lineRule="auto"/>
        <w:jc w:val="center"/>
        <w:rPr>
          <w:rFonts w:ascii="Arial" w:eastAsia="Times New Roman" w:hAnsi="Arial" w:cs="Arial"/>
        </w:rPr>
      </w:pPr>
      <w:r w:rsidRPr="003A2F86">
        <w:rPr>
          <w:rFonts w:ascii="Arial" w:eastAsia="Times New Roman" w:hAnsi="Arial" w:cs="Arial"/>
        </w:rPr>
        <w:br w:type="page"/>
      </w:r>
    </w:p>
    <w:p w14:paraId="2A4E6B5A" w14:textId="77777777" w:rsidR="006B063D" w:rsidRPr="003A2F86" w:rsidRDefault="006B063D" w:rsidP="006B063D">
      <w:pPr>
        <w:pStyle w:val="Opisslike"/>
      </w:pPr>
    </w:p>
    <w:p w14:paraId="1D7925F4" w14:textId="19A1C6B9" w:rsidR="006B063D" w:rsidRPr="003A2F86" w:rsidRDefault="006B063D" w:rsidP="006B063D">
      <w:pPr>
        <w:pStyle w:val="Opisslike"/>
        <w:rPr>
          <w:rFonts w:ascii="Arial" w:hAnsi="Arial" w:cs="Arial"/>
          <w:sz w:val="22"/>
        </w:rPr>
      </w:pPr>
      <w:bookmarkStart w:id="23" w:name="_Toc207706972"/>
      <w:r w:rsidRPr="003A2F86">
        <w:rPr>
          <w:color w:val="FF0000"/>
        </w:rPr>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8</w:t>
      </w:r>
      <w:r w:rsidRPr="003A2F86">
        <w:rPr>
          <w:color w:val="FF0000"/>
        </w:rPr>
        <w:fldChar w:fldCharType="end"/>
      </w:r>
      <w:r w:rsidRPr="003A2F86">
        <w:rPr>
          <w:rFonts w:ascii="Arial" w:hAnsi="Arial" w:cs="Arial"/>
          <w:color w:val="FF0000"/>
          <w:sz w:val="22"/>
        </w:rPr>
        <w:t xml:space="preserve">.: </w:t>
      </w:r>
      <w:r w:rsidRPr="003A2F86">
        <w:rPr>
          <w:rFonts w:ascii="Arial" w:hAnsi="Arial" w:cs="Arial"/>
          <w:sz w:val="22"/>
        </w:rPr>
        <w:t>Pregled prihoda i rashoda proračunskih korisnika u ukupnom Proračunu u razdoblju 201</w:t>
      </w:r>
      <w:r w:rsidR="00944A88">
        <w:rPr>
          <w:rFonts w:ascii="Arial" w:hAnsi="Arial" w:cs="Arial"/>
          <w:sz w:val="22"/>
        </w:rPr>
        <w:t>9</w:t>
      </w:r>
      <w:r w:rsidRPr="003A2F86">
        <w:rPr>
          <w:rFonts w:ascii="Arial" w:hAnsi="Arial" w:cs="Arial"/>
          <w:sz w:val="22"/>
        </w:rPr>
        <w:t>.-202</w:t>
      </w:r>
      <w:r w:rsidR="00D44AB6" w:rsidRPr="003A2F86">
        <w:rPr>
          <w:rFonts w:ascii="Arial" w:hAnsi="Arial" w:cs="Arial"/>
          <w:sz w:val="22"/>
        </w:rPr>
        <w:t>4</w:t>
      </w:r>
      <w:r w:rsidR="00FE3A08" w:rsidRPr="003A2F86">
        <w:rPr>
          <w:rFonts w:ascii="Arial" w:hAnsi="Arial" w:cs="Arial"/>
          <w:sz w:val="22"/>
        </w:rPr>
        <w:t>.</w:t>
      </w:r>
      <w:r w:rsidR="00944A88">
        <w:rPr>
          <w:rFonts w:ascii="Arial" w:hAnsi="Arial" w:cs="Arial"/>
          <w:sz w:val="22"/>
        </w:rPr>
        <w:t xml:space="preserve"> i 1-6/2025.</w:t>
      </w:r>
      <w:r w:rsidRPr="003A2F86">
        <w:rPr>
          <w:rFonts w:ascii="Arial" w:hAnsi="Arial" w:cs="Arial"/>
          <w:sz w:val="22"/>
        </w:rPr>
        <w:t xml:space="preserve"> (€)</w:t>
      </w:r>
      <w:bookmarkEnd w:id="23"/>
      <w:r w:rsidRPr="003A2F86">
        <w:rPr>
          <w:rFonts w:ascii="Arial" w:hAnsi="Arial" w:cs="Arial"/>
          <w:sz w:val="22"/>
        </w:rPr>
        <w:t xml:space="preserve"> </w:t>
      </w:r>
    </w:p>
    <w:p w14:paraId="4BB1B557" w14:textId="77777777" w:rsidR="006B063D" w:rsidRPr="003A2F86" w:rsidRDefault="006B063D" w:rsidP="001C6255">
      <w:pPr>
        <w:spacing w:after="0" w:line="240" w:lineRule="auto"/>
      </w:pPr>
    </w:p>
    <w:p w14:paraId="3F6524B6" w14:textId="021B00A4" w:rsidR="00D44AB6" w:rsidRPr="003A2F86" w:rsidRDefault="00183C00" w:rsidP="006B063D">
      <w:pPr>
        <w:rPr>
          <w:noProof/>
        </w:rPr>
      </w:pPr>
      <w:r w:rsidRPr="00183C00">
        <w:rPr>
          <w:noProof/>
        </w:rPr>
        <w:drawing>
          <wp:inline distT="0" distB="0" distL="0" distR="0" wp14:anchorId="71C9C413" wp14:editId="47CCD49C">
            <wp:extent cx="4396435" cy="2372875"/>
            <wp:effectExtent l="0" t="0" r="4445" b="8890"/>
            <wp:docPr id="161691344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6636" cy="2389176"/>
                    </a:xfrm>
                    <a:prstGeom prst="rect">
                      <a:avLst/>
                    </a:prstGeom>
                    <a:noFill/>
                    <a:ln>
                      <a:noFill/>
                    </a:ln>
                  </pic:spPr>
                </pic:pic>
              </a:graphicData>
            </a:graphic>
          </wp:inline>
        </w:drawing>
      </w:r>
      <w:r w:rsidR="008D04DC" w:rsidRPr="003A2F86">
        <w:rPr>
          <w:noProof/>
        </w:rPr>
        <w:t xml:space="preserve">     </w:t>
      </w:r>
      <w:r w:rsidRPr="00183C00">
        <w:rPr>
          <w:noProof/>
        </w:rPr>
        <w:drawing>
          <wp:inline distT="0" distB="0" distL="0" distR="0" wp14:anchorId="7774C53C" wp14:editId="6790D593">
            <wp:extent cx="4645482" cy="2397668"/>
            <wp:effectExtent l="0" t="0" r="3175" b="3175"/>
            <wp:docPr id="162111773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2377" cy="2401227"/>
                    </a:xfrm>
                    <a:prstGeom prst="rect">
                      <a:avLst/>
                    </a:prstGeom>
                    <a:noFill/>
                    <a:ln>
                      <a:noFill/>
                    </a:ln>
                  </pic:spPr>
                </pic:pic>
              </a:graphicData>
            </a:graphic>
          </wp:inline>
        </w:drawing>
      </w:r>
    </w:p>
    <w:p w14:paraId="30FF6BF5" w14:textId="40B6321A" w:rsidR="00183C00" w:rsidRPr="003A2F86" w:rsidRDefault="00183C00" w:rsidP="006B063D">
      <w:pPr>
        <w:rPr>
          <w:noProof/>
        </w:rPr>
      </w:pPr>
      <w:r w:rsidRPr="00183C00">
        <w:rPr>
          <w:noProof/>
        </w:rPr>
        <w:drawing>
          <wp:inline distT="0" distB="0" distL="0" distR="0" wp14:anchorId="31758E8E" wp14:editId="102CB713">
            <wp:extent cx="4396105" cy="1137798"/>
            <wp:effectExtent l="0" t="0" r="4445" b="5715"/>
            <wp:docPr id="125531939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1748" cy="1152199"/>
                    </a:xfrm>
                    <a:prstGeom prst="rect">
                      <a:avLst/>
                    </a:prstGeom>
                    <a:noFill/>
                    <a:ln>
                      <a:noFill/>
                    </a:ln>
                  </pic:spPr>
                </pic:pic>
              </a:graphicData>
            </a:graphic>
          </wp:inline>
        </w:drawing>
      </w:r>
    </w:p>
    <w:p w14:paraId="5FC425CB" w14:textId="77777777" w:rsidR="006B063D" w:rsidRPr="003A2F86" w:rsidRDefault="006B063D" w:rsidP="006B063D">
      <w:pPr>
        <w:rPr>
          <w:rFonts w:ascii="Arial" w:eastAsia="Times New Roman" w:hAnsi="Arial" w:cs="Arial"/>
        </w:rPr>
      </w:pPr>
      <w:r w:rsidRPr="003A2F86">
        <w:rPr>
          <w:rFonts w:ascii="Arial" w:eastAsia="Times New Roman" w:hAnsi="Arial" w:cs="Arial"/>
        </w:rPr>
        <w:br w:type="page"/>
      </w:r>
    </w:p>
    <w:p w14:paraId="2D86C1C1" w14:textId="404055E7" w:rsidR="009B6F72" w:rsidRPr="003A2F86" w:rsidRDefault="00891119" w:rsidP="004A2AA6">
      <w:pPr>
        <w:pStyle w:val="Naslov2"/>
        <w:jc w:val="center"/>
        <w:rPr>
          <w:rFonts w:ascii="Arial" w:hAnsi="Arial" w:cs="Arial"/>
          <w:sz w:val="22"/>
          <w:szCs w:val="22"/>
          <w:lang w:val="hr-HR"/>
        </w:rPr>
      </w:pPr>
      <w:bookmarkStart w:id="24" w:name="_Hlk66794621"/>
      <w:bookmarkStart w:id="25" w:name="_Toc207707417"/>
      <w:r w:rsidRPr="003A2F86">
        <w:rPr>
          <w:rFonts w:ascii="Arial" w:eastAsia="Calibri" w:hAnsi="Arial" w:cs="Arial"/>
          <w:sz w:val="22"/>
          <w:szCs w:val="22"/>
          <w:lang w:val="hr-HR"/>
        </w:rPr>
        <w:lastRenderedPageBreak/>
        <w:t>2.</w:t>
      </w:r>
      <w:r w:rsidR="004A2AA6" w:rsidRPr="003A2F86">
        <w:rPr>
          <w:rFonts w:ascii="Arial" w:eastAsia="Calibri" w:hAnsi="Arial" w:cs="Arial"/>
          <w:sz w:val="22"/>
          <w:szCs w:val="22"/>
          <w:lang w:val="hr-HR"/>
        </w:rPr>
        <w:t>2</w:t>
      </w:r>
      <w:r w:rsidRPr="003A2F86">
        <w:rPr>
          <w:rFonts w:ascii="Arial" w:eastAsia="Calibri" w:hAnsi="Arial" w:cs="Arial"/>
          <w:sz w:val="22"/>
          <w:szCs w:val="22"/>
          <w:lang w:val="hr-HR"/>
        </w:rPr>
        <w:t>.</w:t>
      </w:r>
      <w:r w:rsidRPr="003A2F86">
        <w:rPr>
          <w:rFonts w:ascii="Arial" w:eastAsia="Calibri" w:hAnsi="Arial" w:cs="Arial"/>
          <w:sz w:val="22"/>
          <w:szCs w:val="22"/>
          <w:lang w:val="hr-HR"/>
        </w:rPr>
        <w:tab/>
      </w:r>
      <w:bookmarkEnd w:id="24"/>
      <w:r w:rsidR="009B6F72" w:rsidRPr="003A2F86">
        <w:rPr>
          <w:rFonts w:ascii="Arial" w:hAnsi="Arial" w:cs="Arial"/>
          <w:sz w:val="22"/>
          <w:szCs w:val="22"/>
          <w:lang w:val="hr-HR"/>
        </w:rPr>
        <w:t xml:space="preserve">PRIKAZ UDJELA IZVRŠENJA PRORAČUNSKIH KORISNIKA U </w:t>
      </w:r>
      <w:r w:rsidR="004A2AA6" w:rsidRPr="003A2F86">
        <w:rPr>
          <w:rFonts w:ascii="Arial" w:hAnsi="Arial" w:cs="Arial"/>
          <w:sz w:val="22"/>
          <w:szCs w:val="22"/>
          <w:lang w:val="hr-HR"/>
        </w:rPr>
        <w:t>SVE</w:t>
      </w:r>
      <w:r w:rsidR="009B6F72" w:rsidRPr="003A2F86">
        <w:rPr>
          <w:rFonts w:ascii="Arial" w:hAnsi="Arial" w:cs="Arial"/>
          <w:sz w:val="22"/>
          <w:szCs w:val="22"/>
          <w:lang w:val="hr-HR"/>
        </w:rPr>
        <w:t>UKUPNO IZVRŠEN</w:t>
      </w:r>
      <w:r w:rsidR="004A2AA6" w:rsidRPr="003A2F86">
        <w:rPr>
          <w:rFonts w:ascii="Arial" w:hAnsi="Arial" w:cs="Arial"/>
          <w:sz w:val="22"/>
          <w:szCs w:val="22"/>
          <w:lang w:val="hr-HR"/>
        </w:rPr>
        <w:t>OM</w:t>
      </w:r>
      <w:r w:rsidR="009B6F72" w:rsidRPr="003A2F86">
        <w:rPr>
          <w:rFonts w:ascii="Arial" w:hAnsi="Arial" w:cs="Arial"/>
          <w:sz w:val="22"/>
          <w:szCs w:val="22"/>
          <w:lang w:val="hr-HR"/>
        </w:rPr>
        <w:t xml:space="preserve"> PRORAČUN</w:t>
      </w:r>
      <w:r w:rsidR="004A2AA6" w:rsidRPr="003A2F86">
        <w:rPr>
          <w:rFonts w:ascii="Arial" w:hAnsi="Arial" w:cs="Arial"/>
          <w:sz w:val="22"/>
          <w:szCs w:val="22"/>
          <w:lang w:val="hr-HR"/>
        </w:rPr>
        <w:t>U</w:t>
      </w:r>
      <w:r w:rsidR="00711386" w:rsidRPr="003A2F86">
        <w:rPr>
          <w:rFonts w:ascii="Arial" w:hAnsi="Arial" w:cs="Arial"/>
          <w:sz w:val="22"/>
          <w:szCs w:val="22"/>
          <w:lang w:val="hr-HR"/>
        </w:rPr>
        <w:t xml:space="preserve"> ZA </w:t>
      </w:r>
      <w:r w:rsidR="00BB01CB">
        <w:rPr>
          <w:rFonts w:ascii="Arial" w:hAnsi="Arial" w:cs="Arial"/>
          <w:sz w:val="22"/>
          <w:szCs w:val="22"/>
          <w:lang w:val="hr-HR"/>
        </w:rPr>
        <w:t>1-6/</w:t>
      </w:r>
      <w:r w:rsidR="001B3297" w:rsidRPr="003A2F86">
        <w:rPr>
          <w:rFonts w:ascii="Arial" w:hAnsi="Arial" w:cs="Arial"/>
          <w:sz w:val="22"/>
          <w:szCs w:val="22"/>
          <w:lang w:val="hr-HR"/>
        </w:rPr>
        <w:t>202</w:t>
      </w:r>
      <w:r w:rsidR="00BB01CB">
        <w:rPr>
          <w:rFonts w:ascii="Arial" w:hAnsi="Arial" w:cs="Arial"/>
          <w:sz w:val="22"/>
          <w:szCs w:val="22"/>
          <w:lang w:val="hr-HR"/>
        </w:rPr>
        <w:t>5</w:t>
      </w:r>
      <w:r w:rsidR="001B3297" w:rsidRPr="003A2F86">
        <w:rPr>
          <w:rFonts w:ascii="Arial" w:hAnsi="Arial" w:cs="Arial"/>
          <w:sz w:val="22"/>
          <w:szCs w:val="22"/>
          <w:lang w:val="hr-HR"/>
        </w:rPr>
        <w:t>.</w:t>
      </w:r>
      <w:bookmarkEnd w:id="25"/>
    </w:p>
    <w:p w14:paraId="53032FE9" w14:textId="77777777" w:rsidR="009B6F72" w:rsidRPr="00474A7A" w:rsidRDefault="009B6F72" w:rsidP="00BE635B">
      <w:pPr>
        <w:autoSpaceDE w:val="0"/>
        <w:autoSpaceDN w:val="0"/>
        <w:adjustRightInd w:val="0"/>
        <w:spacing w:after="0" w:line="240" w:lineRule="auto"/>
        <w:jc w:val="both"/>
        <w:rPr>
          <w:rFonts w:ascii="Arial" w:eastAsia="Times New Roman" w:hAnsi="Arial" w:cs="Arial"/>
        </w:rPr>
      </w:pPr>
    </w:p>
    <w:p w14:paraId="22D229F9" w14:textId="7FCF6CD5" w:rsidR="00BE635B" w:rsidRPr="00474A7A" w:rsidRDefault="00BE635B" w:rsidP="00BE635B">
      <w:pPr>
        <w:autoSpaceDE w:val="0"/>
        <w:autoSpaceDN w:val="0"/>
        <w:adjustRightInd w:val="0"/>
        <w:spacing w:after="0" w:line="240" w:lineRule="auto"/>
        <w:jc w:val="both"/>
        <w:rPr>
          <w:rFonts w:ascii="Arial" w:eastAsia="Times New Roman" w:hAnsi="Arial" w:cs="Arial"/>
        </w:rPr>
      </w:pPr>
      <w:r w:rsidRPr="00474A7A">
        <w:rPr>
          <w:rFonts w:ascii="Arial" w:eastAsia="Times New Roman" w:hAnsi="Arial" w:cs="Arial"/>
        </w:rPr>
        <w:t xml:space="preserve">U nastavku se daje pregled ostvarenja prihoda i izvršenja rashoda </w:t>
      </w:r>
      <w:r w:rsidR="00A1458C" w:rsidRPr="00474A7A">
        <w:rPr>
          <w:rFonts w:ascii="Arial" w:eastAsia="Times New Roman" w:hAnsi="Arial" w:cs="Arial"/>
        </w:rPr>
        <w:t>u razdoblju 1-</w:t>
      </w:r>
      <w:r w:rsidR="00BB01CB">
        <w:rPr>
          <w:rFonts w:ascii="Arial" w:eastAsia="Times New Roman" w:hAnsi="Arial" w:cs="Arial"/>
        </w:rPr>
        <w:t>6</w:t>
      </w:r>
      <w:r w:rsidR="00A1458C" w:rsidRPr="00474A7A">
        <w:rPr>
          <w:rFonts w:ascii="Arial" w:eastAsia="Times New Roman" w:hAnsi="Arial" w:cs="Arial"/>
        </w:rPr>
        <w:t>/</w:t>
      </w:r>
      <w:r w:rsidRPr="00474A7A">
        <w:rPr>
          <w:rFonts w:ascii="Arial" w:eastAsia="Times New Roman" w:hAnsi="Arial" w:cs="Arial"/>
        </w:rPr>
        <w:t>202</w:t>
      </w:r>
      <w:r w:rsidR="00BB01CB">
        <w:rPr>
          <w:rFonts w:ascii="Arial" w:eastAsia="Times New Roman" w:hAnsi="Arial" w:cs="Arial"/>
        </w:rPr>
        <w:t>5</w:t>
      </w:r>
      <w:r w:rsidRPr="00474A7A">
        <w:rPr>
          <w:rFonts w:ascii="Arial" w:eastAsia="Times New Roman" w:hAnsi="Arial" w:cs="Arial"/>
        </w:rPr>
        <w:t>. za proračunske korisnike, kao i ostvarenje prihoda i primitaka Općine, te izvršenje rashoda i izdataka Općine koji su sadržani u ukupnom ostvarenju Proračuna Općine Konavle.</w:t>
      </w:r>
    </w:p>
    <w:p w14:paraId="73A10866" w14:textId="77777777" w:rsidR="00BE635B" w:rsidRPr="003A2F86" w:rsidRDefault="00BE635B" w:rsidP="00BE635B">
      <w:pPr>
        <w:autoSpaceDE w:val="0"/>
        <w:autoSpaceDN w:val="0"/>
        <w:adjustRightInd w:val="0"/>
        <w:spacing w:after="0" w:line="240" w:lineRule="auto"/>
        <w:jc w:val="both"/>
        <w:rPr>
          <w:rFonts w:ascii="Arial" w:eastAsia="Times New Roman" w:hAnsi="Arial" w:cs="Arial"/>
          <w:sz w:val="8"/>
          <w:szCs w:val="8"/>
        </w:rPr>
      </w:pPr>
    </w:p>
    <w:p w14:paraId="03CC342F" w14:textId="602D7C4D" w:rsidR="00BE635B" w:rsidRPr="003A2F86" w:rsidRDefault="00BE635B" w:rsidP="00BE635B">
      <w:pPr>
        <w:pStyle w:val="Opisslike"/>
        <w:rPr>
          <w:rFonts w:ascii="Arial" w:hAnsi="Arial" w:cs="Arial"/>
          <w:sz w:val="22"/>
        </w:rPr>
      </w:pPr>
      <w:bookmarkStart w:id="26" w:name="_Toc207706973"/>
      <w:bookmarkStart w:id="27" w:name="_Hlk17956817"/>
      <w:r w:rsidRPr="003A2F86">
        <w:rPr>
          <w:color w:val="FF0000"/>
        </w:rPr>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9</w:t>
      </w:r>
      <w:r w:rsidRPr="003A2F86">
        <w:rPr>
          <w:color w:val="FF0000"/>
        </w:rPr>
        <w:fldChar w:fldCharType="end"/>
      </w:r>
      <w:r w:rsidRPr="003A2F86">
        <w:rPr>
          <w:rFonts w:ascii="Arial" w:hAnsi="Arial" w:cs="Arial"/>
          <w:color w:val="FF0000"/>
          <w:sz w:val="22"/>
        </w:rPr>
        <w:t xml:space="preserve">.: </w:t>
      </w:r>
      <w:r w:rsidRPr="003A2F86">
        <w:rPr>
          <w:rFonts w:ascii="Arial" w:hAnsi="Arial" w:cs="Arial"/>
          <w:sz w:val="22"/>
        </w:rPr>
        <w:t xml:space="preserve">Pregled plana i </w:t>
      </w:r>
      <w:r w:rsidR="001C6255" w:rsidRPr="003A2F86">
        <w:rPr>
          <w:rFonts w:ascii="Arial" w:hAnsi="Arial" w:cs="Arial"/>
          <w:sz w:val="22"/>
        </w:rPr>
        <w:t xml:space="preserve">udjela izvršenja </w:t>
      </w:r>
      <w:r w:rsidRPr="003A2F86">
        <w:rPr>
          <w:rFonts w:ascii="Arial" w:hAnsi="Arial" w:cs="Arial"/>
          <w:sz w:val="22"/>
        </w:rPr>
        <w:t xml:space="preserve">proračuna </w:t>
      </w:r>
      <w:r w:rsidR="001A2C0E" w:rsidRPr="003A2F86">
        <w:rPr>
          <w:rFonts w:ascii="Arial" w:hAnsi="Arial" w:cs="Arial"/>
          <w:sz w:val="22"/>
        </w:rPr>
        <w:t xml:space="preserve">za </w:t>
      </w:r>
      <w:r w:rsidR="00BB01CB">
        <w:rPr>
          <w:rFonts w:ascii="Arial" w:hAnsi="Arial" w:cs="Arial"/>
          <w:sz w:val="22"/>
        </w:rPr>
        <w:t>1-6/2025</w:t>
      </w:r>
      <w:r w:rsidRPr="003A2F86">
        <w:rPr>
          <w:rFonts w:ascii="Arial" w:hAnsi="Arial" w:cs="Arial"/>
          <w:sz w:val="22"/>
        </w:rPr>
        <w:t xml:space="preserve">.– </w:t>
      </w:r>
      <w:r w:rsidRPr="008629EA">
        <w:rPr>
          <w:rFonts w:ascii="Arial" w:hAnsi="Arial" w:cs="Arial"/>
          <w:color w:val="1F497D" w:themeColor="text2"/>
          <w:sz w:val="22"/>
        </w:rPr>
        <w:t xml:space="preserve">Općina </w:t>
      </w:r>
      <w:r w:rsidRPr="003A2F86">
        <w:rPr>
          <w:rFonts w:ascii="Arial" w:hAnsi="Arial" w:cs="Arial"/>
          <w:sz w:val="22"/>
        </w:rPr>
        <w:t xml:space="preserve">i </w:t>
      </w:r>
      <w:r w:rsidR="004812B6" w:rsidRPr="003A2F86">
        <w:rPr>
          <w:rFonts w:ascii="Arial" w:hAnsi="Arial" w:cs="Arial"/>
          <w:sz w:val="22"/>
        </w:rPr>
        <w:t xml:space="preserve">zbirno </w:t>
      </w:r>
      <w:r w:rsidRPr="008629EA">
        <w:rPr>
          <w:rFonts w:ascii="Arial" w:hAnsi="Arial" w:cs="Arial"/>
          <w:color w:val="943634" w:themeColor="accent2" w:themeShade="BF"/>
          <w:sz w:val="22"/>
        </w:rPr>
        <w:t xml:space="preserve">proračunski korisnici </w:t>
      </w:r>
      <w:r w:rsidRPr="003A2F86">
        <w:rPr>
          <w:rFonts w:ascii="Arial" w:hAnsi="Arial" w:cs="Arial"/>
          <w:sz w:val="22"/>
        </w:rPr>
        <w:t>(€)</w:t>
      </w:r>
      <w:bookmarkEnd w:id="26"/>
    </w:p>
    <w:p w14:paraId="70E5D0FB" w14:textId="77777777" w:rsidR="004A2AA6" w:rsidRPr="003A2F86" w:rsidRDefault="004A2AA6" w:rsidP="004A2AA6">
      <w:pPr>
        <w:spacing w:after="0" w:line="240" w:lineRule="auto"/>
        <w:rPr>
          <w:lang w:eastAsia="en-US"/>
        </w:rPr>
      </w:pPr>
    </w:p>
    <w:p w14:paraId="21C98ED8" w14:textId="64E20EF2" w:rsidR="00401DE7" w:rsidRPr="003A2F86" w:rsidRDefault="00401DE7" w:rsidP="00C64DF9">
      <w:pPr>
        <w:jc w:val="center"/>
        <w:rPr>
          <w:lang w:eastAsia="en-US"/>
        </w:rPr>
      </w:pPr>
      <w:r w:rsidRPr="00401DE7">
        <w:rPr>
          <w:noProof/>
        </w:rPr>
        <w:drawing>
          <wp:inline distT="0" distB="0" distL="0" distR="0" wp14:anchorId="65FE4BA5" wp14:editId="34BF7639">
            <wp:extent cx="8651019" cy="5020203"/>
            <wp:effectExtent l="0" t="0" r="0" b="9525"/>
            <wp:docPr id="23173527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59438" cy="5025089"/>
                    </a:xfrm>
                    <a:prstGeom prst="rect">
                      <a:avLst/>
                    </a:prstGeom>
                    <a:noFill/>
                    <a:ln>
                      <a:noFill/>
                    </a:ln>
                  </pic:spPr>
                </pic:pic>
              </a:graphicData>
            </a:graphic>
          </wp:inline>
        </w:drawing>
      </w:r>
    </w:p>
    <w:p w14:paraId="4B985260" w14:textId="4498CA4B" w:rsidR="00BE635B" w:rsidRPr="003A2F86" w:rsidRDefault="00BE635B" w:rsidP="00BE635B">
      <w:pPr>
        <w:pStyle w:val="Opisslike"/>
        <w:rPr>
          <w:rFonts w:ascii="Arial" w:hAnsi="Arial" w:cs="Arial"/>
          <w:sz w:val="22"/>
        </w:rPr>
      </w:pPr>
      <w:bookmarkStart w:id="28" w:name="_Toc207706974"/>
      <w:bookmarkEnd w:id="27"/>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10</w:t>
      </w:r>
      <w:r w:rsidRPr="003A2F86">
        <w:rPr>
          <w:color w:val="FF0000"/>
        </w:rPr>
        <w:fldChar w:fldCharType="end"/>
      </w:r>
      <w:r w:rsidRPr="003A2F86">
        <w:rPr>
          <w:rFonts w:ascii="Arial" w:hAnsi="Arial" w:cs="Arial"/>
          <w:b w:val="0"/>
          <w:color w:val="FF0000"/>
          <w:sz w:val="22"/>
        </w:rPr>
        <w:t>:</w:t>
      </w:r>
      <w:r w:rsidRPr="003A2F86">
        <w:rPr>
          <w:rFonts w:ascii="Arial" w:hAnsi="Arial" w:cs="Arial"/>
          <w:color w:val="FF0000"/>
          <w:sz w:val="22"/>
        </w:rPr>
        <w:t xml:space="preserve"> </w:t>
      </w:r>
      <w:r w:rsidRPr="003A2F86">
        <w:rPr>
          <w:rFonts w:ascii="Arial" w:hAnsi="Arial" w:cs="Arial"/>
          <w:szCs w:val="18"/>
        </w:rPr>
        <w:t xml:space="preserve">Pregled planiranih i ostvarenih </w:t>
      </w:r>
      <w:r w:rsidRPr="003A2F86">
        <w:rPr>
          <w:rFonts w:ascii="Arial" w:hAnsi="Arial" w:cs="Arial"/>
          <w:szCs w:val="18"/>
          <w:u w:val="single"/>
        </w:rPr>
        <w:t>prihoda</w:t>
      </w:r>
      <w:r w:rsidRPr="003A2F86">
        <w:rPr>
          <w:rFonts w:ascii="Arial" w:hAnsi="Arial" w:cs="Arial"/>
          <w:szCs w:val="18"/>
        </w:rPr>
        <w:t xml:space="preserve"> za </w:t>
      </w:r>
      <w:r w:rsidR="00BB01CB">
        <w:rPr>
          <w:rFonts w:ascii="Arial" w:hAnsi="Arial" w:cs="Arial"/>
          <w:szCs w:val="18"/>
        </w:rPr>
        <w:t>1-6/</w:t>
      </w:r>
      <w:r w:rsidRPr="003A2F86">
        <w:rPr>
          <w:rFonts w:ascii="Arial" w:hAnsi="Arial" w:cs="Arial"/>
          <w:szCs w:val="18"/>
        </w:rPr>
        <w:t>202</w:t>
      </w:r>
      <w:r w:rsidR="00BB01CB">
        <w:rPr>
          <w:rFonts w:ascii="Arial" w:hAnsi="Arial" w:cs="Arial"/>
          <w:szCs w:val="18"/>
        </w:rPr>
        <w:t>5</w:t>
      </w:r>
      <w:r w:rsidRPr="003A2F86">
        <w:rPr>
          <w:rFonts w:ascii="Arial" w:hAnsi="Arial" w:cs="Arial"/>
          <w:szCs w:val="18"/>
        </w:rPr>
        <w:t xml:space="preserve">. - </w:t>
      </w:r>
      <w:r w:rsidRPr="003A2F86">
        <w:rPr>
          <w:rFonts w:ascii="Arial" w:hAnsi="Arial" w:cs="Arial"/>
          <w:color w:val="943634" w:themeColor="accent2" w:themeShade="BF"/>
          <w:szCs w:val="18"/>
        </w:rPr>
        <w:t xml:space="preserve">proračunski korisnici </w:t>
      </w:r>
      <w:r w:rsidRPr="003A2F86">
        <w:rPr>
          <w:rFonts w:ascii="Arial" w:hAnsi="Arial" w:cs="Arial"/>
          <w:szCs w:val="18"/>
        </w:rPr>
        <w:t>(pojedinačno) (€)</w:t>
      </w:r>
      <w:bookmarkEnd w:id="28"/>
    </w:p>
    <w:p w14:paraId="79D5A625" w14:textId="131DF890" w:rsidR="00BE635B" w:rsidRPr="003A2F86" w:rsidRDefault="00BE635B" w:rsidP="00BE635B">
      <w:pPr>
        <w:spacing w:after="0" w:line="240" w:lineRule="auto"/>
        <w:rPr>
          <w:sz w:val="16"/>
          <w:szCs w:val="16"/>
          <w:lang w:eastAsia="en-US"/>
        </w:rPr>
      </w:pPr>
    </w:p>
    <w:p w14:paraId="1453C98A" w14:textId="0E130AC9" w:rsidR="00BE635B" w:rsidRPr="003A2F86" w:rsidRDefault="00B36BEE" w:rsidP="00BE635B">
      <w:pPr>
        <w:spacing w:after="0" w:line="240" w:lineRule="auto"/>
        <w:rPr>
          <w:sz w:val="16"/>
          <w:szCs w:val="16"/>
          <w:lang w:eastAsia="en-US"/>
        </w:rPr>
      </w:pPr>
      <w:r w:rsidRPr="00B36BEE">
        <w:rPr>
          <w:noProof/>
        </w:rPr>
        <w:drawing>
          <wp:inline distT="0" distB="0" distL="0" distR="0" wp14:anchorId="3EFE6723" wp14:editId="46E2AC46">
            <wp:extent cx="9251950" cy="5749925"/>
            <wp:effectExtent l="0" t="0" r="6350" b="3175"/>
            <wp:docPr id="105787482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1950" cy="5749925"/>
                    </a:xfrm>
                    <a:prstGeom prst="rect">
                      <a:avLst/>
                    </a:prstGeom>
                    <a:noFill/>
                    <a:ln>
                      <a:noFill/>
                    </a:ln>
                  </pic:spPr>
                </pic:pic>
              </a:graphicData>
            </a:graphic>
          </wp:inline>
        </w:drawing>
      </w:r>
    </w:p>
    <w:p w14:paraId="69FEAB46" w14:textId="77777777" w:rsidR="00AA29F9" w:rsidRPr="003A2F86" w:rsidRDefault="00AA29F9" w:rsidP="00BE635B">
      <w:pPr>
        <w:spacing w:after="0" w:line="240" w:lineRule="auto"/>
        <w:rPr>
          <w:sz w:val="16"/>
          <w:szCs w:val="16"/>
          <w:lang w:eastAsia="en-US"/>
        </w:rPr>
      </w:pPr>
    </w:p>
    <w:p w14:paraId="636B40CF" w14:textId="562EF37B" w:rsidR="00BE635B" w:rsidRPr="003A2F86" w:rsidRDefault="00BE635B" w:rsidP="00BE635B">
      <w:pPr>
        <w:pStyle w:val="Opisslike"/>
        <w:keepNext/>
        <w:rPr>
          <w:rFonts w:ascii="Arial" w:hAnsi="Arial" w:cs="Arial"/>
          <w:noProof/>
        </w:rPr>
      </w:pPr>
      <w:bookmarkStart w:id="29" w:name="_Toc207706975"/>
      <w:r w:rsidRPr="003A2F86">
        <w:rPr>
          <w:color w:val="FF0000"/>
        </w:rPr>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11</w:t>
      </w:r>
      <w:r w:rsidRPr="003A2F86">
        <w:rPr>
          <w:color w:val="FF0000"/>
        </w:rPr>
        <w:fldChar w:fldCharType="end"/>
      </w:r>
      <w:r w:rsidRPr="003A2F86">
        <w:rPr>
          <w:color w:val="FF0000"/>
        </w:rPr>
        <w:t xml:space="preserve">. </w:t>
      </w:r>
      <w:r w:rsidRPr="003A2F86">
        <w:t>:</w:t>
      </w:r>
      <w:r w:rsidRPr="003A2F86">
        <w:rPr>
          <w:rFonts w:ascii="Arial" w:eastAsia="Calibri" w:hAnsi="Arial" w:cs="Arial"/>
        </w:rPr>
        <w:t xml:space="preserve">Pregled ostvarenih prihoda i primitaka </w:t>
      </w:r>
      <w:r w:rsidR="00CA3194" w:rsidRPr="003A2F86">
        <w:rPr>
          <w:rFonts w:ascii="Arial" w:eastAsia="Calibri" w:hAnsi="Arial" w:cs="Arial"/>
        </w:rPr>
        <w:t xml:space="preserve">u </w:t>
      </w:r>
      <w:r w:rsidR="00B36BEE">
        <w:rPr>
          <w:rFonts w:ascii="Arial" w:eastAsia="Calibri" w:hAnsi="Arial" w:cs="Arial"/>
        </w:rPr>
        <w:t>1-6/</w:t>
      </w:r>
      <w:r w:rsidR="00167939" w:rsidRPr="003A2F86">
        <w:rPr>
          <w:rFonts w:ascii="Arial" w:eastAsia="Calibri" w:hAnsi="Arial" w:cs="Arial"/>
        </w:rPr>
        <w:t>202</w:t>
      </w:r>
      <w:r w:rsidR="00B36BEE">
        <w:rPr>
          <w:rFonts w:ascii="Arial" w:eastAsia="Calibri" w:hAnsi="Arial" w:cs="Arial"/>
        </w:rPr>
        <w:t>5</w:t>
      </w:r>
      <w:r w:rsidRPr="003A2F86">
        <w:rPr>
          <w:rFonts w:ascii="Arial" w:eastAsia="Calibri" w:hAnsi="Arial" w:cs="Arial"/>
          <w:color w:val="000000" w:themeColor="text1"/>
        </w:rPr>
        <w:t xml:space="preserve">.: </w:t>
      </w:r>
      <w:r w:rsidRPr="003A2F86">
        <w:rPr>
          <w:rFonts w:ascii="Arial" w:eastAsia="Calibri" w:hAnsi="Arial" w:cs="Arial"/>
          <w:color w:val="943634" w:themeColor="accent2" w:themeShade="BF"/>
        </w:rPr>
        <w:t xml:space="preserve">proračunski korisnici </w:t>
      </w:r>
      <w:r w:rsidRPr="003A2F86">
        <w:rPr>
          <w:rFonts w:ascii="Arial" w:hAnsi="Arial" w:cs="Arial"/>
          <w:noProof/>
          <w:color w:val="000000" w:themeColor="text1"/>
        </w:rPr>
        <w:t>(pojedinačno</w:t>
      </w:r>
      <w:r w:rsidRPr="003A2F86">
        <w:rPr>
          <w:rFonts w:ascii="Arial" w:hAnsi="Arial" w:cs="Arial"/>
          <w:noProof/>
        </w:rPr>
        <w:t xml:space="preserve">), Općina </w:t>
      </w:r>
      <w:bookmarkStart w:id="30" w:name="_Hlk176177164"/>
      <w:r w:rsidRPr="003A2F86">
        <w:rPr>
          <w:rFonts w:ascii="Arial" w:hAnsi="Arial" w:cs="Arial"/>
          <w:noProof/>
        </w:rPr>
        <w:t>(</w:t>
      </w:r>
      <w:r w:rsidRPr="003A2F86">
        <w:rPr>
          <w:rFonts w:ascii="Arial" w:hAnsi="Arial" w:cs="Arial"/>
          <w:noProof/>
          <w:color w:val="0070C0"/>
        </w:rPr>
        <w:t>razina 22</w:t>
      </w:r>
      <w:r w:rsidRPr="003A2F86">
        <w:rPr>
          <w:rFonts w:ascii="Arial" w:hAnsi="Arial" w:cs="Arial"/>
          <w:noProof/>
        </w:rPr>
        <w:t>) i sveukupno (</w:t>
      </w:r>
      <w:r w:rsidRPr="003A2F86">
        <w:rPr>
          <w:rFonts w:ascii="Arial" w:hAnsi="Arial" w:cs="Arial"/>
          <w:noProof/>
          <w:color w:val="7030A0"/>
        </w:rPr>
        <w:t>razina 23</w:t>
      </w:r>
      <w:r w:rsidRPr="003A2F86">
        <w:rPr>
          <w:rFonts w:ascii="Arial" w:hAnsi="Arial" w:cs="Arial"/>
          <w:noProof/>
        </w:rPr>
        <w:t xml:space="preserve">) </w:t>
      </w:r>
      <w:r w:rsidR="007B469E" w:rsidRPr="003A2F86">
        <w:rPr>
          <w:rFonts w:ascii="Arial" w:hAnsi="Arial" w:cs="Arial"/>
          <w:noProof/>
        </w:rPr>
        <w:t>(€)</w:t>
      </w:r>
      <w:bookmarkEnd w:id="29"/>
    </w:p>
    <w:bookmarkEnd w:id="30"/>
    <w:p w14:paraId="29E0AD89" w14:textId="77777777" w:rsidR="003576BF" w:rsidRPr="003A2F86" w:rsidRDefault="003576BF" w:rsidP="003576BF">
      <w:pPr>
        <w:rPr>
          <w:sz w:val="12"/>
          <w:szCs w:val="12"/>
          <w:lang w:eastAsia="en-US"/>
        </w:rPr>
      </w:pPr>
    </w:p>
    <w:p w14:paraId="596F9E17" w14:textId="27B3AEBE" w:rsidR="003576BF" w:rsidRPr="003A2F86" w:rsidRDefault="00B36BEE" w:rsidP="00BE635B">
      <w:pPr>
        <w:jc w:val="center"/>
        <w:rPr>
          <w:lang w:eastAsia="en-US"/>
        </w:rPr>
      </w:pPr>
      <w:r w:rsidRPr="00B36BEE">
        <w:rPr>
          <w:noProof/>
        </w:rPr>
        <w:drawing>
          <wp:inline distT="0" distB="0" distL="0" distR="0" wp14:anchorId="4B5BBF67" wp14:editId="36614F1B">
            <wp:extent cx="9251950" cy="5227955"/>
            <wp:effectExtent l="0" t="0" r="6350" b="0"/>
            <wp:docPr id="97475301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5227955"/>
                    </a:xfrm>
                    <a:prstGeom prst="rect">
                      <a:avLst/>
                    </a:prstGeom>
                    <a:noFill/>
                    <a:ln>
                      <a:noFill/>
                    </a:ln>
                  </pic:spPr>
                </pic:pic>
              </a:graphicData>
            </a:graphic>
          </wp:inline>
        </w:drawing>
      </w:r>
    </w:p>
    <w:p w14:paraId="5EB90C84" w14:textId="2094B5ED" w:rsidR="003576BF" w:rsidRPr="003A2F86" w:rsidRDefault="00B36BEE" w:rsidP="00BE635B">
      <w:pPr>
        <w:jc w:val="center"/>
        <w:rPr>
          <w:lang w:eastAsia="en-US"/>
        </w:rPr>
      </w:pPr>
      <w:r w:rsidRPr="00B36BEE">
        <w:rPr>
          <w:noProof/>
        </w:rPr>
        <w:lastRenderedPageBreak/>
        <w:drawing>
          <wp:inline distT="0" distB="0" distL="0" distR="0" wp14:anchorId="1857BB25" wp14:editId="4B0225A0">
            <wp:extent cx="9251950" cy="5214620"/>
            <wp:effectExtent l="0" t="0" r="6350" b="5080"/>
            <wp:docPr id="153426257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1950" cy="5214620"/>
                    </a:xfrm>
                    <a:prstGeom prst="rect">
                      <a:avLst/>
                    </a:prstGeom>
                    <a:noFill/>
                    <a:ln>
                      <a:noFill/>
                    </a:ln>
                  </pic:spPr>
                </pic:pic>
              </a:graphicData>
            </a:graphic>
          </wp:inline>
        </w:drawing>
      </w:r>
    </w:p>
    <w:p w14:paraId="7FBD988D" w14:textId="3DEE5F6C" w:rsidR="00BE635B" w:rsidRPr="003A2F86" w:rsidRDefault="00BE635B" w:rsidP="003576BF">
      <w:pPr>
        <w:spacing w:after="0" w:line="240" w:lineRule="auto"/>
        <w:jc w:val="center"/>
        <w:rPr>
          <w:lang w:eastAsia="en-US"/>
        </w:rPr>
      </w:pPr>
    </w:p>
    <w:p w14:paraId="27926737" w14:textId="77777777" w:rsidR="00BE635B" w:rsidRPr="003A2F86" w:rsidRDefault="00BE635B" w:rsidP="003576BF">
      <w:pPr>
        <w:pStyle w:val="Opisslike"/>
        <w:rPr>
          <w:sz w:val="16"/>
          <w:szCs w:val="16"/>
        </w:rPr>
      </w:pPr>
    </w:p>
    <w:p w14:paraId="42D478AA" w14:textId="77777777" w:rsidR="00E6771A" w:rsidRPr="003A2F86" w:rsidRDefault="00E6771A" w:rsidP="003576BF">
      <w:pPr>
        <w:spacing w:after="0" w:line="240" w:lineRule="auto"/>
        <w:rPr>
          <w:lang w:eastAsia="en-US"/>
        </w:rPr>
      </w:pPr>
    </w:p>
    <w:p w14:paraId="032E5C64" w14:textId="77777777" w:rsidR="00E6771A" w:rsidRPr="003A2F86" w:rsidRDefault="00E6771A" w:rsidP="003576BF">
      <w:pPr>
        <w:spacing w:after="0" w:line="240" w:lineRule="auto"/>
        <w:rPr>
          <w:lang w:eastAsia="en-US"/>
        </w:rPr>
      </w:pPr>
    </w:p>
    <w:p w14:paraId="1D9BAA5C" w14:textId="77777777" w:rsidR="003576BF" w:rsidRPr="003A2F86" w:rsidRDefault="003576BF" w:rsidP="003576BF">
      <w:pPr>
        <w:spacing w:after="0" w:line="240" w:lineRule="auto"/>
        <w:rPr>
          <w:lang w:eastAsia="en-US"/>
        </w:rPr>
      </w:pPr>
    </w:p>
    <w:p w14:paraId="368E648D" w14:textId="3B1E1F6D" w:rsidR="00BE635B" w:rsidRPr="003A2F86" w:rsidRDefault="00BE635B" w:rsidP="00BE635B">
      <w:pPr>
        <w:pStyle w:val="Opisslike"/>
      </w:pPr>
      <w:bookmarkStart w:id="31" w:name="_Toc207707008"/>
      <w:r w:rsidRPr="003A2F86">
        <w:rPr>
          <w:color w:val="FF0000"/>
        </w:rPr>
        <w:t xml:space="preserve">Graf </w:t>
      </w:r>
      <w:r w:rsidRPr="003A2F86">
        <w:rPr>
          <w:color w:val="FF0000"/>
        </w:rPr>
        <w:fldChar w:fldCharType="begin"/>
      </w:r>
      <w:r w:rsidRPr="003A2F86">
        <w:rPr>
          <w:color w:val="FF0000"/>
        </w:rPr>
        <w:instrText xml:space="preserve"> SEQ Graf \* ARABIC </w:instrText>
      </w:r>
      <w:r w:rsidRPr="003A2F86">
        <w:rPr>
          <w:color w:val="FF0000"/>
        </w:rPr>
        <w:fldChar w:fldCharType="separate"/>
      </w:r>
      <w:r w:rsidR="00910987">
        <w:rPr>
          <w:noProof/>
          <w:color w:val="FF0000"/>
        </w:rPr>
        <w:t>3</w:t>
      </w:r>
      <w:r w:rsidRPr="003A2F86">
        <w:rPr>
          <w:color w:val="FF0000"/>
        </w:rPr>
        <w:fldChar w:fldCharType="end"/>
      </w:r>
      <w:r w:rsidRPr="003A2F86">
        <w:rPr>
          <w:color w:val="FF0000"/>
        </w:rPr>
        <w:t xml:space="preserve">.: </w:t>
      </w:r>
      <w:r w:rsidRPr="003A2F86">
        <w:t xml:space="preserve">Struktura </w:t>
      </w:r>
      <w:r w:rsidRPr="003A2F86">
        <w:rPr>
          <w:u w:val="single"/>
        </w:rPr>
        <w:t>ostvarenih vlastitih prihoda i primitaka</w:t>
      </w:r>
      <w:r w:rsidRPr="003A2F86">
        <w:t xml:space="preserve"> Proračuna u </w:t>
      </w:r>
      <w:r w:rsidR="00B36BEE">
        <w:t>1-6/</w:t>
      </w:r>
      <w:r w:rsidRPr="003A2F86">
        <w:t>202</w:t>
      </w:r>
      <w:r w:rsidR="00B36BEE">
        <w:t>5</w:t>
      </w:r>
      <w:r w:rsidRPr="003A2F86">
        <w:t xml:space="preserve">. (€)– </w:t>
      </w:r>
      <w:r w:rsidRPr="008629EA">
        <w:rPr>
          <w:color w:val="1F497D" w:themeColor="text2"/>
        </w:rPr>
        <w:t xml:space="preserve">Općina </w:t>
      </w:r>
      <w:r w:rsidRPr="003A2F86">
        <w:t xml:space="preserve">i </w:t>
      </w:r>
      <w:r w:rsidR="004812B6" w:rsidRPr="003A2F86">
        <w:t xml:space="preserve">pojedinačno </w:t>
      </w:r>
      <w:r w:rsidRPr="008629EA">
        <w:rPr>
          <w:color w:val="943634" w:themeColor="accent2" w:themeShade="BF"/>
        </w:rPr>
        <w:t>proračunski korisnici</w:t>
      </w:r>
      <w:bookmarkEnd w:id="31"/>
    </w:p>
    <w:p w14:paraId="5C3CBC87" w14:textId="77777777" w:rsidR="00E67F33" w:rsidRPr="003A2F86" w:rsidRDefault="00E67F33" w:rsidP="00E67F33">
      <w:pPr>
        <w:rPr>
          <w:lang w:eastAsia="en-US"/>
        </w:rPr>
      </w:pPr>
    </w:p>
    <w:p w14:paraId="0FB43836" w14:textId="77777777" w:rsidR="00BE635B" w:rsidRPr="003A2F86" w:rsidRDefault="00BE635B" w:rsidP="00BE635B">
      <w:pPr>
        <w:autoSpaceDE w:val="0"/>
        <w:autoSpaceDN w:val="0"/>
        <w:adjustRightInd w:val="0"/>
        <w:spacing w:after="0" w:line="240" w:lineRule="auto"/>
        <w:jc w:val="center"/>
      </w:pPr>
      <w:r w:rsidRPr="003A2F86">
        <w:rPr>
          <w:rFonts w:ascii="Arial" w:eastAsia="Calibri" w:hAnsi="Arial" w:cs="Arial"/>
          <w:noProof/>
          <w:color w:val="FF0000"/>
          <w:u w:val="single"/>
        </w:rPr>
        <w:drawing>
          <wp:inline distT="0" distB="0" distL="0" distR="0" wp14:anchorId="58472AAB" wp14:editId="2C6C6BAB">
            <wp:extent cx="7208520" cy="3094074"/>
            <wp:effectExtent l="0" t="0" r="11430" b="11430"/>
            <wp:docPr id="771" name="Objec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35F1A0" w14:textId="77777777" w:rsidR="00BF1FA2" w:rsidRPr="003A2F86" w:rsidRDefault="00BF1FA2" w:rsidP="00BE635B">
      <w:pPr>
        <w:autoSpaceDE w:val="0"/>
        <w:autoSpaceDN w:val="0"/>
        <w:adjustRightInd w:val="0"/>
        <w:spacing w:after="0" w:line="240" w:lineRule="auto"/>
        <w:jc w:val="center"/>
      </w:pPr>
    </w:p>
    <w:p w14:paraId="3CBF4693" w14:textId="77777777" w:rsidR="00BF1FA2" w:rsidRPr="003A2F86" w:rsidRDefault="00BF1FA2" w:rsidP="00BE635B">
      <w:pPr>
        <w:autoSpaceDE w:val="0"/>
        <w:autoSpaceDN w:val="0"/>
        <w:adjustRightInd w:val="0"/>
        <w:spacing w:after="0" w:line="240" w:lineRule="auto"/>
        <w:jc w:val="center"/>
      </w:pPr>
    </w:p>
    <w:p w14:paraId="2FF6C8B3" w14:textId="77777777" w:rsidR="00BF1FA2" w:rsidRPr="003A2F86" w:rsidRDefault="00BF1FA2" w:rsidP="00BE635B">
      <w:pPr>
        <w:autoSpaceDE w:val="0"/>
        <w:autoSpaceDN w:val="0"/>
        <w:adjustRightInd w:val="0"/>
        <w:spacing w:after="0" w:line="240" w:lineRule="auto"/>
        <w:jc w:val="center"/>
      </w:pPr>
    </w:p>
    <w:p w14:paraId="6F743A7D" w14:textId="77777777" w:rsidR="00BF1FA2" w:rsidRPr="003A2F86" w:rsidRDefault="00BF1FA2" w:rsidP="00BE635B">
      <w:pPr>
        <w:autoSpaceDE w:val="0"/>
        <w:autoSpaceDN w:val="0"/>
        <w:adjustRightInd w:val="0"/>
        <w:spacing w:after="0" w:line="240" w:lineRule="auto"/>
        <w:jc w:val="center"/>
      </w:pPr>
    </w:p>
    <w:p w14:paraId="73350050" w14:textId="77777777" w:rsidR="00BF1FA2" w:rsidRPr="003A2F86" w:rsidRDefault="00BF1FA2" w:rsidP="00BE635B">
      <w:pPr>
        <w:autoSpaceDE w:val="0"/>
        <w:autoSpaceDN w:val="0"/>
        <w:adjustRightInd w:val="0"/>
        <w:spacing w:after="0" w:line="240" w:lineRule="auto"/>
        <w:jc w:val="center"/>
      </w:pPr>
    </w:p>
    <w:p w14:paraId="798C3551" w14:textId="77777777" w:rsidR="00BF1FA2" w:rsidRPr="003A2F86" w:rsidRDefault="00BF1FA2" w:rsidP="00BE635B">
      <w:pPr>
        <w:autoSpaceDE w:val="0"/>
        <w:autoSpaceDN w:val="0"/>
        <w:adjustRightInd w:val="0"/>
        <w:spacing w:after="0" w:line="240" w:lineRule="auto"/>
        <w:jc w:val="center"/>
      </w:pPr>
    </w:p>
    <w:p w14:paraId="21C15C7D" w14:textId="77777777" w:rsidR="00BF1FA2" w:rsidRPr="003A2F86" w:rsidRDefault="00BF1FA2" w:rsidP="00BE635B">
      <w:pPr>
        <w:autoSpaceDE w:val="0"/>
        <w:autoSpaceDN w:val="0"/>
        <w:adjustRightInd w:val="0"/>
        <w:spacing w:after="0" w:line="240" w:lineRule="auto"/>
        <w:jc w:val="center"/>
      </w:pPr>
    </w:p>
    <w:p w14:paraId="03D2FD37" w14:textId="77777777" w:rsidR="00BF1FA2" w:rsidRPr="003A2F86" w:rsidRDefault="00BF1FA2" w:rsidP="00BE635B">
      <w:pPr>
        <w:autoSpaceDE w:val="0"/>
        <w:autoSpaceDN w:val="0"/>
        <w:adjustRightInd w:val="0"/>
        <w:spacing w:after="0" w:line="240" w:lineRule="auto"/>
        <w:jc w:val="center"/>
      </w:pPr>
    </w:p>
    <w:p w14:paraId="7B815929" w14:textId="77777777" w:rsidR="00BF1FA2" w:rsidRPr="003A2F86" w:rsidRDefault="00BF1FA2" w:rsidP="00BE635B">
      <w:pPr>
        <w:autoSpaceDE w:val="0"/>
        <w:autoSpaceDN w:val="0"/>
        <w:adjustRightInd w:val="0"/>
        <w:spacing w:after="0" w:line="240" w:lineRule="auto"/>
        <w:jc w:val="center"/>
      </w:pPr>
    </w:p>
    <w:p w14:paraId="232DA34E" w14:textId="77777777" w:rsidR="00BF1FA2" w:rsidRPr="003A2F86" w:rsidRDefault="00BF1FA2" w:rsidP="00BE635B">
      <w:pPr>
        <w:autoSpaceDE w:val="0"/>
        <w:autoSpaceDN w:val="0"/>
        <w:adjustRightInd w:val="0"/>
        <w:spacing w:after="0" w:line="240" w:lineRule="auto"/>
        <w:jc w:val="center"/>
      </w:pPr>
    </w:p>
    <w:p w14:paraId="6BBF652A" w14:textId="77777777" w:rsidR="00BF1FA2" w:rsidRPr="003A2F86" w:rsidRDefault="00BF1FA2" w:rsidP="00BE635B">
      <w:pPr>
        <w:autoSpaceDE w:val="0"/>
        <w:autoSpaceDN w:val="0"/>
        <w:adjustRightInd w:val="0"/>
        <w:spacing w:after="0" w:line="240" w:lineRule="auto"/>
        <w:jc w:val="center"/>
      </w:pPr>
    </w:p>
    <w:p w14:paraId="3BC981C5" w14:textId="77777777" w:rsidR="00BF1FA2" w:rsidRPr="003A2F86" w:rsidRDefault="00BF1FA2" w:rsidP="00BE635B">
      <w:pPr>
        <w:autoSpaceDE w:val="0"/>
        <w:autoSpaceDN w:val="0"/>
        <w:adjustRightInd w:val="0"/>
        <w:spacing w:after="0" w:line="240" w:lineRule="auto"/>
        <w:jc w:val="center"/>
      </w:pPr>
    </w:p>
    <w:p w14:paraId="4EF92E52" w14:textId="77777777" w:rsidR="00BF1FA2" w:rsidRPr="003A2F86" w:rsidRDefault="00BF1FA2" w:rsidP="00BE635B">
      <w:pPr>
        <w:autoSpaceDE w:val="0"/>
        <w:autoSpaceDN w:val="0"/>
        <w:adjustRightInd w:val="0"/>
        <w:spacing w:after="0" w:line="240" w:lineRule="auto"/>
        <w:jc w:val="center"/>
      </w:pPr>
    </w:p>
    <w:p w14:paraId="0FDD31EF" w14:textId="0D3F4359" w:rsidR="00BE635B" w:rsidRPr="003A2F86" w:rsidRDefault="00BE635B" w:rsidP="00BE635B">
      <w:pPr>
        <w:pStyle w:val="Opisslike"/>
        <w:keepNext/>
        <w:jc w:val="both"/>
        <w:rPr>
          <w:rFonts w:ascii="Arial" w:hAnsi="Arial" w:cs="Arial"/>
        </w:rPr>
      </w:pPr>
      <w:bookmarkStart w:id="32" w:name="_Toc207706976"/>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12</w:t>
      </w:r>
      <w:r w:rsidRPr="003A2F86">
        <w:rPr>
          <w:color w:val="FF0000"/>
        </w:rPr>
        <w:fldChar w:fldCharType="end"/>
      </w:r>
      <w:r w:rsidRPr="003A2F86">
        <w:rPr>
          <w:color w:val="FF0000"/>
        </w:rPr>
        <w:t xml:space="preserve">.: </w:t>
      </w:r>
      <w:r w:rsidRPr="003A2F86">
        <w:rPr>
          <w:rFonts w:ascii="Arial" w:hAnsi="Arial" w:cs="Arial"/>
        </w:rPr>
        <w:t xml:space="preserve">Pregled planiranih i izvršenih </w:t>
      </w:r>
      <w:r w:rsidRPr="003A2F86">
        <w:rPr>
          <w:rFonts w:ascii="Arial" w:hAnsi="Arial" w:cs="Arial"/>
          <w:u w:val="single"/>
        </w:rPr>
        <w:t>rashoda</w:t>
      </w:r>
      <w:r w:rsidRPr="003A2F86">
        <w:rPr>
          <w:rFonts w:ascii="Arial" w:hAnsi="Arial" w:cs="Arial"/>
        </w:rPr>
        <w:t xml:space="preserve"> </w:t>
      </w:r>
      <w:r w:rsidR="00CA3194" w:rsidRPr="003A2F86">
        <w:rPr>
          <w:rFonts w:ascii="Arial" w:hAnsi="Arial" w:cs="Arial"/>
        </w:rPr>
        <w:t xml:space="preserve">u </w:t>
      </w:r>
      <w:r w:rsidR="006A6A49">
        <w:rPr>
          <w:rFonts w:ascii="Arial" w:hAnsi="Arial" w:cs="Arial"/>
        </w:rPr>
        <w:t>1-6/</w:t>
      </w:r>
      <w:r w:rsidRPr="003A2F86">
        <w:rPr>
          <w:rFonts w:ascii="Arial" w:hAnsi="Arial" w:cs="Arial"/>
        </w:rPr>
        <w:t>202</w:t>
      </w:r>
      <w:r w:rsidR="006A6A49">
        <w:rPr>
          <w:rFonts w:ascii="Arial" w:hAnsi="Arial" w:cs="Arial"/>
        </w:rPr>
        <w:t>5</w:t>
      </w:r>
      <w:r w:rsidRPr="003A2F86">
        <w:rPr>
          <w:rFonts w:ascii="Arial" w:hAnsi="Arial" w:cs="Arial"/>
        </w:rPr>
        <w:t xml:space="preserve">. (€)- </w:t>
      </w:r>
      <w:r w:rsidRPr="003A2F86">
        <w:rPr>
          <w:rFonts w:ascii="Arial" w:hAnsi="Arial" w:cs="Arial"/>
          <w:color w:val="943634" w:themeColor="accent2" w:themeShade="BF"/>
        </w:rPr>
        <w:t xml:space="preserve">proračunski korisnici </w:t>
      </w:r>
      <w:r w:rsidRPr="003A2F86">
        <w:rPr>
          <w:rFonts w:ascii="Arial" w:hAnsi="Arial" w:cs="Arial"/>
        </w:rPr>
        <w:t>(pojedinačno)</w:t>
      </w:r>
      <w:bookmarkEnd w:id="32"/>
    </w:p>
    <w:p w14:paraId="33D147C9" w14:textId="77777777" w:rsidR="00BE635B" w:rsidRPr="003A2F86" w:rsidRDefault="00BE635B" w:rsidP="00BE635B">
      <w:pPr>
        <w:autoSpaceDE w:val="0"/>
        <w:autoSpaceDN w:val="0"/>
        <w:adjustRightInd w:val="0"/>
        <w:spacing w:after="0" w:line="240" w:lineRule="auto"/>
        <w:jc w:val="center"/>
        <w:rPr>
          <w:rFonts w:ascii="Arial" w:eastAsia="Calibri" w:hAnsi="Arial" w:cs="Arial"/>
          <w:bCs/>
          <w:sz w:val="12"/>
          <w:szCs w:val="12"/>
          <w:lang w:eastAsia="en-US"/>
        </w:rPr>
      </w:pPr>
    </w:p>
    <w:p w14:paraId="64639BF2" w14:textId="2D75E2AB" w:rsidR="00BF1FA2" w:rsidRPr="003A2F86" w:rsidRDefault="00C20C97" w:rsidP="00BE635B">
      <w:pPr>
        <w:autoSpaceDE w:val="0"/>
        <w:autoSpaceDN w:val="0"/>
        <w:adjustRightInd w:val="0"/>
        <w:spacing w:after="0" w:line="240" w:lineRule="auto"/>
        <w:jc w:val="center"/>
        <w:rPr>
          <w:rFonts w:ascii="Arial" w:eastAsia="Calibri" w:hAnsi="Arial" w:cs="Arial"/>
          <w:b/>
          <w:lang w:eastAsia="en-US"/>
        </w:rPr>
      </w:pPr>
      <w:r w:rsidRPr="00C20C97">
        <w:rPr>
          <w:noProof/>
        </w:rPr>
        <w:drawing>
          <wp:inline distT="0" distB="0" distL="0" distR="0" wp14:anchorId="2C7CC0EC" wp14:editId="43CDA870">
            <wp:extent cx="9251950" cy="5241290"/>
            <wp:effectExtent l="0" t="0" r="6350" b="0"/>
            <wp:docPr id="135678879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0" cy="5241290"/>
                    </a:xfrm>
                    <a:prstGeom prst="rect">
                      <a:avLst/>
                    </a:prstGeom>
                    <a:noFill/>
                    <a:ln>
                      <a:noFill/>
                    </a:ln>
                  </pic:spPr>
                </pic:pic>
              </a:graphicData>
            </a:graphic>
          </wp:inline>
        </w:drawing>
      </w:r>
    </w:p>
    <w:p w14:paraId="2FDFCC77" w14:textId="3FBFF2AD" w:rsidR="00254BD2" w:rsidRDefault="00254BD2" w:rsidP="00BE635B">
      <w:pPr>
        <w:autoSpaceDE w:val="0"/>
        <w:autoSpaceDN w:val="0"/>
        <w:adjustRightInd w:val="0"/>
        <w:spacing w:after="0" w:line="240" w:lineRule="auto"/>
        <w:jc w:val="center"/>
        <w:rPr>
          <w:rFonts w:ascii="Arial" w:eastAsia="Calibri" w:hAnsi="Arial" w:cs="Arial"/>
          <w:b/>
          <w:lang w:eastAsia="en-US"/>
        </w:rPr>
      </w:pPr>
    </w:p>
    <w:p w14:paraId="560CACAA" w14:textId="77777777" w:rsidR="00EE37D6" w:rsidRDefault="00EE37D6" w:rsidP="00BE635B">
      <w:pPr>
        <w:autoSpaceDE w:val="0"/>
        <w:autoSpaceDN w:val="0"/>
        <w:adjustRightInd w:val="0"/>
        <w:spacing w:after="0" w:line="240" w:lineRule="auto"/>
        <w:jc w:val="center"/>
        <w:rPr>
          <w:rFonts w:ascii="Arial" w:eastAsia="Calibri" w:hAnsi="Arial" w:cs="Arial"/>
          <w:b/>
          <w:lang w:eastAsia="en-US"/>
        </w:rPr>
      </w:pPr>
    </w:p>
    <w:p w14:paraId="1AA8099D" w14:textId="77777777" w:rsidR="00EE37D6" w:rsidRPr="003A2F86" w:rsidRDefault="00EE37D6" w:rsidP="00BE635B">
      <w:pPr>
        <w:autoSpaceDE w:val="0"/>
        <w:autoSpaceDN w:val="0"/>
        <w:adjustRightInd w:val="0"/>
        <w:spacing w:after="0" w:line="240" w:lineRule="auto"/>
        <w:jc w:val="center"/>
        <w:rPr>
          <w:rFonts w:ascii="Arial" w:eastAsia="Calibri" w:hAnsi="Arial" w:cs="Arial"/>
          <w:b/>
          <w:lang w:eastAsia="en-US"/>
        </w:rPr>
      </w:pPr>
    </w:p>
    <w:p w14:paraId="02B7B339" w14:textId="31F3C3DA" w:rsidR="00BE635B" w:rsidRPr="003A2F86" w:rsidRDefault="00BE635B" w:rsidP="00BE635B">
      <w:pPr>
        <w:pStyle w:val="Opisslike"/>
        <w:keepNext/>
        <w:rPr>
          <w:rFonts w:ascii="Arial" w:eastAsia="Calibri" w:hAnsi="Arial" w:cs="Arial"/>
        </w:rPr>
      </w:pPr>
      <w:bookmarkStart w:id="33" w:name="_Toc207706977"/>
      <w:bookmarkStart w:id="34" w:name="_Hlk66639673"/>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13</w:t>
      </w:r>
      <w:r w:rsidRPr="003A2F86">
        <w:rPr>
          <w:color w:val="FF0000"/>
        </w:rPr>
        <w:fldChar w:fldCharType="end"/>
      </w:r>
      <w:r w:rsidRPr="003A2F86">
        <w:rPr>
          <w:color w:val="FF0000"/>
        </w:rPr>
        <w:t xml:space="preserve">.: </w:t>
      </w:r>
      <w:r w:rsidRPr="003A2F86">
        <w:rPr>
          <w:rFonts w:ascii="Arial" w:eastAsia="Calibri" w:hAnsi="Arial" w:cs="Arial"/>
        </w:rPr>
        <w:t xml:space="preserve">Pregled izvršenih rashoda i izdataka u </w:t>
      </w:r>
      <w:r w:rsidR="00C20C97">
        <w:rPr>
          <w:rFonts w:ascii="Arial" w:eastAsia="Calibri" w:hAnsi="Arial" w:cs="Arial"/>
        </w:rPr>
        <w:t>1-6/</w:t>
      </w:r>
      <w:r w:rsidRPr="003A2F86">
        <w:rPr>
          <w:rFonts w:ascii="Arial" w:eastAsia="Calibri" w:hAnsi="Arial" w:cs="Arial"/>
        </w:rPr>
        <w:t>202</w:t>
      </w:r>
      <w:r w:rsidR="00C20C97">
        <w:rPr>
          <w:rFonts w:ascii="Arial" w:eastAsia="Calibri" w:hAnsi="Arial" w:cs="Arial"/>
        </w:rPr>
        <w:t>5</w:t>
      </w:r>
      <w:r w:rsidRPr="003A2F86">
        <w:rPr>
          <w:rFonts w:ascii="Arial" w:eastAsia="Calibri" w:hAnsi="Arial" w:cs="Arial"/>
        </w:rPr>
        <w:t xml:space="preserve">. (€): </w:t>
      </w:r>
      <w:r w:rsidRPr="003A2F86">
        <w:rPr>
          <w:rFonts w:ascii="Arial" w:eastAsia="Calibri" w:hAnsi="Arial" w:cs="Arial"/>
          <w:color w:val="943634" w:themeColor="accent2" w:themeShade="BF"/>
        </w:rPr>
        <w:t xml:space="preserve">proračunski korisnici </w:t>
      </w:r>
      <w:r w:rsidRPr="003A2F86">
        <w:rPr>
          <w:rFonts w:ascii="Arial" w:eastAsia="Calibri" w:hAnsi="Arial" w:cs="Arial"/>
        </w:rPr>
        <w:t>(pojedinačno), Općina (</w:t>
      </w:r>
      <w:r w:rsidRPr="003A2F86">
        <w:rPr>
          <w:rFonts w:ascii="Arial" w:eastAsia="Calibri" w:hAnsi="Arial" w:cs="Arial"/>
          <w:color w:val="0070C0"/>
        </w:rPr>
        <w:t>razina 22</w:t>
      </w:r>
      <w:r w:rsidRPr="003A2F86">
        <w:rPr>
          <w:rFonts w:ascii="Arial" w:eastAsia="Calibri" w:hAnsi="Arial" w:cs="Arial"/>
        </w:rPr>
        <w:t>) i sveukupno (</w:t>
      </w:r>
      <w:r w:rsidRPr="003A2F86">
        <w:rPr>
          <w:rFonts w:ascii="Arial" w:eastAsia="Calibri" w:hAnsi="Arial" w:cs="Arial"/>
          <w:color w:val="7030A0"/>
        </w:rPr>
        <w:t>razina 23</w:t>
      </w:r>
      <w:r w:rsidRPr="003A2F86">
        <w:rPr>
          <w:rFonts w:ascii="Arial" w:eastAsia="Calibri" w:hAnsi="Arial" w:cs="Arial"/>
        </w:rPr>
        <w:t>)</w:t>
      </w:r>
      <w:bookmarkEnd w:id="33"/>
    </w:p>
    <w:bookmarkEnd w:id="34"/>
    <w:p w14:paraId="5C633080" w14:textId="531F0989" w:rsidR="00BE635B" w:rsidRPr="003A2F86" w:rsidRDefault="00BE635B" w:rsidP="00254BD2">
      <w:pPr>
        <w:spacing w:after="0" w:line="240" w:lineRule="auto"/>
        <w:jc w:val="center"/>
        <w:rPr>
          <w:sz w:val="12"/>
          <w:szCs w:val="12"/>
          <w:lang w:eastAsia="en-US"/>
        </w:rPr>
      </w:pPr>
    </w:p>
    <w:p w14:paraId="76636F26" w14:textId="79320BA4" w:rsidR="00736848" w:rsidRPr="003A2F86" w:rsidRDefault="00650B43" w:rsidP="00BE635B">
      <w:pPr>
        <w:jc w:val="center"/>
        <w:rPr>
          <w:noProof/>
        </w:rPr>
      </w:pPr>
      <w:r w:rsidRPr="00650B43">
        <w:rPr>
          <w:noProof/>
        </w:rPr>
        <w:drawing>
          <wp:inline distT="0" distB="0" distL="0" distR="0" wp14:anchorId="3805584D" wp14:editId="72C32E4E">
            <wp:extent cx="9251950" cy="5652770"/>
            <wp:effectExtent l="0" t="0" r="6350" b="5080"/>
            <wp:docPr id="83691948"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51950" cy="5652770"/>
                    </a:xfrm>
                    <a:prstGeom prst="rect">
                      <a:avLst/>
                    </a:prstGeom>
                    <a:noFill/>
                    <a:ln>
                      <a:noFill/>
                    </a:ln>
                  </pic:spPr>
                </pic:pic>
              </a:graphicData>
            </a:graphic>
          </wp:inline>
        </w:drawing>
      </w:r>
    </w:p>
    <w:p w14:paraId="6502978A" w14:textId="77777777" w:rsidR="00EE37D6" w:rsidRPr="003A2F86" w:rsidRDefault="00EE37D6" w:rsidP="00BE635B">
      <w:pPr>
        <w:autoSpaceDE w:val="0"/>
        <w:autoSpaceDN w:val="0"/>
        <w:adjustRightInd w:val="0"/>
        <w:spacing w:after="0" w:line="240" w:lineRule="auto"/>
        <w:jc w:val="both"/>
        <w:rPr>
          <w:rFonts w:ascii="Arial" w:eastAsia="Times New Roman" w:hAnsi="Arial" w:cs="Arial"/>
          <w:sz w:val="16"/>
        </w:rPr>
      </w:pPr>
    </w:p>
    <w:p w14:paraId="4F007EF5" w14:textId="7C3ADC3D" w:rsidR="00BE635B" w:rsidRPr="003A2F86" w:rsidRDefault="00BE635B" w:rsidP="00BE635B">
      <w:pPr>
        <w:pStyle w:val="Opisslike"/>
        <w:rPr>
          <w:rFonts w:ascii="Arial" w:hAnsi="Arial" w:cs="Arial"/>
          <w:sz w:val="22"/>
          <w:szCs w:val="22"/>
        </w:rPr>
      </w:pPr>
      <w:bookmarkStart w:id="35" w:name="_Toc207707009"/>
      <w:r w:rsidRPr="003A2F86">
        <w:rPr>
          <w:color w:val="FF0000"/>
        </w:rPr>
        <w:t xml:space="preserve">Graf </w:t>
      </w:r>
      <w:r w:rsidRPr="003A2F86">
        <w:rPr>
          <w:color w:val="FF0000"/>
        </w:rPr>
        <w:fldChar w:fldCharType="begin"/>
      </w:r>
      <w:r w:rsidRPr="003A2F86">
        <w:rPr>
          <w:color w:val="FF0000"/>
        </w:rPr>
        <w:instrText xml:space="preserve"> SEQ Graf \* ARABIC </w:instrText>
      </w:r>
      <w:r w:rsidRPr="003A2F86">
        <w:rPr>
          <w:color w:val="FF0000"/>
        </w:rPr>
        <w:fldChar w:fldCharType="separate"/>
      </w:r>
      <w:r w:rsidR="00910987">
        <w:rPr>
          <w:noProof/>
          <w:color w:val="FF0000"/>
        </w:rPr>
        <w:t>4</w:t>
      </w:r>
      <w:r w:rsidRPr="003A2F86">
        <w:rPr>
          <w:color w:val="FF0000"/>
        </w:rPr>
        <w:fldChar w:fldCharType="end"/>
      </w:r>
      <w:r w:rsidRPr="003A2F86">
        <w:rPr>
          <w:color w:val="FF0000"/>
        </w:rPr>
        <w:t xml:space="preserve">.: </w:t>
      </w:r>
      <w:r w:rsidRPr="003A2F86">
        <w:rPr>
          <w:rFonts w:ascii="Arial" w:hAnsi="Arial" w:cs="Arial"/>
          <w:sz w:val="22"/>
          <w:szCs w:val="22"/>
        </w:rPr>
        <w:t>Struktura izvršenih rashoda i izdataka Proračuna</w:t>
      </w:r>
      <w:r w:rsidR="00CA3194" w:rsidRPr="003A2F86">
        <w:rPr>
          <w:rFonts w:ascii="Arial" w:hAnsi="Arial" w:cs="Arial"/>
          <w:sz w:val="22"/>
          <w:szCs w:val="22"/>
        </w:rPr>
        <w:t xml:space="preserve"> u</w:t>
      </w:r>
      <w:r w:rsidRPr="003A2F86">
        <w:rPr>
          <w:rFonts w:ascii="Arial" w:hAnsi="Arial" w:cs="Arial"/>
          <w:sz w:val="22"/>
          <w:szCs w:val="22"/>
        </w:rPr>
        <w:t xml:space="preserve"> </w:t>
      </w:r>
      <w:r w:rsidR="00650B43">
        <w:rPr>
          <w:rFonts w:ascii="Arial" w:hAnsi="Arial" w:cs="Arial"/>
          <w:sz w:val="22"/>
          <w:szCs w:val="22"/>
        </w:rPr>
        <w:t>1-6/</w:t>
      </w:r>
      <w:r w:rsidRPr="003A2F86">
        <w:rPr>
          <w:rFonts w:ascii="Arial" w:hAnsi="Arial" w:cs="Arial"/>
          <w:sz w:val="22"/>
          <w:szCs w:val="22"/>
        </w:rPr>
        <w:t>202</w:t>
      </w:r>
      <w:r w:rsidR="00650B43">
        <w:rPr>
          <w:rFonts w:ascii="Arial" w:hAnsi="Arial" w:cs="Arial"/>
          <w:sz w:val="22"/>
          <w:szCs w:val="22"/>
        </w:rPr>
        <w:t>5</w:t>
      </w:r>
      <w:r w:rsidRPr="003A2F86">
        <w:rPr>
          <w:rFonts w:ascii="Arial" w:hAnsi="Arial" w:cs="Arial"/>
          <w:sz w:val="22"/>
          <w:szCs w:val="22"/>
        </w:rPr>
        <w:t xml:space="preserve">. – </w:t>
      </w:r>
      <w:r w:rsidRPr="008629EA">
        <w:rPr>
          <w:rFonts w:ascii="Arial" w:hAnsi="Arial" w:cs="Arial"/>
          <w:color w:val="1F497D" w:themeColor="text2"/>
          <w:sz w:val="22"/>
          <w:szCs w:val="22"/>
        </w:rPr>
        <w:t xml:space="preserve">Općina </w:t>
      </w:r>
      <w:r w:rsidRPr="003A2F86">
        <w:rPr>
          <w:rFonts w:ascii="Arial" w:hAnsi="Arial" w:cs="Arial"/>
          <w:sz w:val="22"/>
          <w:szCs w:val="22"/>
        </w:rPr>
        <w:t xml:space="preserve">i </w:t>
      </w:r>
      <w:r w:rsidR="00B33699" w:rsidRPr="003A2F86">
        <w:rPr>
          <w:rFonts w:ascii="Arial" w:hAnsi="Arial" w:cs="Arial"/>
          <w:sz w:val="22"/>
          <w:szCs w:val="22"/>
        </w:rPr>
        <w:t xml:space="preserve">pojedinačno </w:t>
      </w:r>
      <w:r w:rsidRPr="008629EA">
        <w:rPr>
          <w:rFonts w:ascii="Arial" w:hAnsi="Arial" w:cs="Arial"/>
          <w:color w:val="943634" w:themeColor="accent2" w:themeShade="BF"/>
          <w:sz w:val="22"/>
          <w:szCs w:val="22"/>
        </w:rPr>
        <w:t>proračunski korisnici</w:t>
      </w:r>
      <w:bookmarkEnd w:id="35"/>
    </w:p>
    <w:p w14:paraId="61134DDA" w14:textId="77777777" w:rsidR="00BE635B" w:rsidRPr="003A2F86" w:rsidRDefault="00BE635B" w:rsidP="00BE635B">
      <w:pPr>
        <w:spacing w:after="0" w:line="240" w:lineRule="auto"/>
        <w:rPr>
          <w:lang w:eastAsia="en-US"/>
        </w:rPr>
      </w:pPr>
    </w:p>
    <w:p w14:paraId="3C9E7DA9" w14:textId="77777777" w:rsidR="00BE635B" w:rsidRPr="003A2F86" w:rsidRDefault="00BE635B" w:rsidP="00BE635B">
      <w:pPr>
        <w:autoSpaceDE w:val="0"/>
        <w:autoSpaceDN w:val="0"/>
        <w:adjustRightInd w:val="0"/>
        <w:spacing w:after="0" w:line="240" w:lineRule="auto"/>
        <w:jc w:val="center"/>
        <w:rPr>
          <w:rFonts w:ascii="Arial" w:eastAsia="Times New Roman" w:hAnsi="Arial" w:cs="Arial"/>
          <w:b/>
          <w:bCs/>
          <w:szCs w:val="18"/>
          <w:lang w:eastAsia="en-US"/>
        </w:rPr>
      </w:pPr>
      <w:r w:rsidRPr="003A2F86">
        <w:rPr>
          <w:rFonts w:ascii="Arial" w:eastAsia="Calibri" w:hAnsi="Arial" w:cs="Arial"/>
          <w:noProof/>
          <w:color w:val="FF0000"/>
          <w:u w:val="single"/>
        </w:rPr>
        <w:drawing>
          <wp:inline distT="0" distB="0" distL="0" distR="0" wp14:anchorId="49A59057" wp14:editId="1F4D05BB">
            <wp:extent cx="7179945" cy="2657475"/>
            <wp:effectExtent l="0" t="0" r="1905" b="9525"/>
            <wp:docPr id="795" name="Grafikon 7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479197"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7FA9157C"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14AA28C4"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5EEA9E46"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69C6D0AC"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0B40503F"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3D533ABB"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3D00FA77"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69957B99"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26B38AA7"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50DAFBFD"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7C01F225"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71B38274"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0EA096A7"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41C0378B"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061FB627"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099BA3CE" w14:textId="77777777" w:rsidR="00BE635B" w:rsidRPr="003A2F86" w:rsidRDefault="00BE635B" w:rsidP="00BE635B">
      <w:pPr>
        <w:autoSpaceDE w:val="0"/>
        <w:autoSpaceDN w:val="0"/>
        <w:adjustRightInd w:val="0"/>
        <w:spacing w:after="0" w:line="240" w:lineRule="auto"/>
        <w:jc w:val="both"/>
        <w:rPr>
          <w:rFonts w:ascii="Arial" w:eastAsia="Times New Roman" w:hAnsi="Arial" w:cs="Arial"/>
        </w:rPr>
      </w:pPr>
    </w:p>
    <w:p w14:paraId="32E7BAB4" w14:textId="77777777" w:rsidR="00BE635B" w:rsidRPr="003A2F86" w:rsidRDefault="00BE635B" w:rsidP="00BE635B">
      <w:pPr>
        <w:autoSpaceDE w:val="0"/>
        <w:autoSpaceDN w:val="0"/>
        <w:adjustRightInd w:val="0"/>
        <w:spacing w:after="0" w:line="240" w:lineRule="auto"/>
        <w:rPr>
          <w:rFonts w:ascii="Arial" w:eastAsia="Times New Roman" w:hAnsi="Arial" w:cs="Arial"/>
          <w:sz w:val="18"/>
        </w:rPr>
      </w:pPr>
    </w:p>
    <w:p w14:paraId="1C46B870" w14:textId="4513F5B5" w:rsidR="009B6F72" w:rsidRPr="003A2F86" w:rsidRDefault="009B6F72" w:rsidP="00F0319E">
      <w:pPr>
        <w:pStyle w:val="Naslov2"/>
        <w:jc w:val="center"/>
        <w:rPr>
          <w:rFonts w:ascii="Arial" w:hAnsi="Arial" w:cs="Arial"/>
          <w:sz w:val="22"/>
          <w:szCs w:val="22"/>
          <w:lang w:val="hr-HR"/>
        </w:rPr>
      </w:pPr>
      <w:bookmarkStart w:id="36" w:name="_Toc207707418"/>
      <w:r w:rsidRPr="003A2F86">
        <w:rPr>
          <w:rFonts w:ascii="Arial" w:hAnsi="Arial" w:cs="Arial"/>
          <w:sz w:val="22"/>
          <w:szCs w:val="22"/>
          <w:lang w:val="hr-HR"/>
        </w:rPr>
        <w:lastRenderedPageBreak/>
        <w:t>2.</w:t>
      </w:r>
      <w:r w:rsidR="004A2AA6" w:rsidRPr="003A2F86">
        <w:rPr>
          <w:rFonts w:ascii="Arial" w:hAnsi="Arial" w:cs="Arial"/>
          <w:sz w:val="22"/>
          <w:szCs w:val="22"/>
          <w:lang w:val="hr-HR"/>
        </w:rPr>
        <w:t>3</w:t>
      </w:r>
      <w:r w:rsidRPr="003A2F86">
        <w:rPr>
          <w:rFonts w:ascii="Arial" w:hAnsi="Arial" w:cs="Arial"/>
          <w:sz w:val="22"/>
          <w:szCs w:val="22"/>
          <w:lang w:val="hr-HR"/>
        </w:rPr>
        <w:t>.</w:t>
      </w:r>
      <w:r w:rsidRPr="003A2F86">
        <w:rPr>
          <w:rFonts w:ascii="Arial" w:hAnsi="Arial" w:cs="Arial"/>
          <w:sz w:val="22"/>
          <w:szCs w:val="22"/>
          <w:lang w:val="hr-HR"/>
        </w:rPr>
        <w:tab/>
      </w:r>
      <w:r w:rsidR="001B3297" w:rsidRPr="003A2F86">
        <w:rPr>
          <w:rFonts w:ascii="Arial" w:hAnsi="Arial" w:cs="Arial"/>
          <w:sz w:val="22"/>
          <w:szCs w:val="22"/>
          <w:lang w:val="hr-HR"/>
        </w:rPr>
        <w:t xml:space="preserve">SAŽETAK </w:t>
      </w:r>
      <w:r w:rsidR="00510C48">
        <w:rPr>
          <w:rFonts w:ascii="Arial" w:hAnsi="Arial" w:cs="Arial"/>
          <w:sz w:val="22"/>
          <w:szCs w:val="22"/>
          <w:lang w:val="hr-HR"/>
        </w:rPr>
        <w:t>–</w:t>
      </w:r>
      <w:r w:rsidR="004A2AA6" w:rsidRPr="003A2F86">
        <w:rPr>
          <w:rFonts w:ascii="Arial" w:hAnsi="Arial" w:cs="Arial"/>
          <w:sz w:val="22"/>
          <w:szCs w:val="22"/>
          <w:lang w:val="hr-HR"/>
        </w:rPr>
        <w:t xml:space="preserve"> </w:t>
      </w:r>
      <w:r w:rsidR="00510C48">
        <w:rPr>
          <w:rFonts w:ascii="Arial" w:hAnsi="Arial" w:cs="Arial"/>
          <w:sz w:val="22"/>
          <w:szCs w:val="22"/>
          <w:lang w:val="hr-HR"/>
        </w:rPr>
        <w:t xml:space="preserve">OBRAZLOŽENJE IZVRŠENJA PRIHODA I RASHODA, PRIMITAKA I IZDATAKA ZA </w:t>
      </w:r>
      <w:r w:rsidR="004A2AA6" w:rsidRPr="003A2F86">
        <w:rPr>
          <w:rFonts w:ascii="Arial" w:hAnsi="Arial" w:cs="Arial"/>
          <w:sz w:val="22"/>
          <w:szCs w:val="22"/>
          <w:lang w:val="hr-HR"/>
        </w:rPr>
        <w:t xml:space="preserve">SIJEČANJ – </w:t>
      </w:r>
      <w:r w:rsidR="00E0568A">
        <w:rPr>
          <w:rFonts w:ascii="Arial" w:hAnsi="Arial" w:cs="Arial"/>
          <w:sz w:val="22"/>
          <w:szCs w:val="22"/>
          <w:lang w:val="hr-HR"/>
        </w:rPr>
        <w:t>LIPANJ</w:t>
      </w:r>
      <w:r w:rsidR="004A2AA6" w:rsidRPr="003A2F86">
        <w:rPr>
          <w:rFonts w:ascii="Arial" w:hAnsi="Arial" w:cs="Arial"/>
          <w:sz w:val="22"/>
          <w:szCs w:val="22"/>
          <w:lang w:val="hr-HR"/>
        </w:rPr>
        <w:t xml:space="preserve"> 202</w:t>
      </w:r>
      <w:r w:rsidR="00E0568A">
        <w:rPr>
          <w:rFonts w:ascii="Arial" w:hAnsi="Arial" w:cs="Arial"/>
          <w:sz w:val="22"/>
          <w:szCs w:val="22"/>
          <w:lang w:val="hr-HR"/>
        </w:rPr>
        <w:t>5</w:t>
      </w:r>
      <w:r w:rsidR="004A2AA6" w:rsidRPr="003A2F86">
        <w:rPr>
          <w:rFonts w:ascii="Arial" w:hAnsi="Arial" w:cs="Arial"/>
          <w:sz w:val="22"/>
          <w:szCs w:val="22"/>
          <w:lang w:val="hr-HR"/>
        </w:rPr>
        <w:t>.</w:t>
      </w:r>
      <w:bookmarkStart w:id="37" w:name="Sažetak_izvršenje_proračuna_1_12_2024"/>
      <w:bookmarkEnd w:id="36"/>
      <w:bookmarkEnd w:id="37"/>
    </w:p>
    <w:p w14:paraId="14A560B5" w14:textId="77777777" w:rsidR="00F0319E" w:rsidRPr="003A2F86" w:rsidRDefault="00F0319E" w:rsidP="00F0319E">
      <w:pPr>
        <w:autoSpaceDE w:val="0"/>
        <w:autoSpaceDN w:val="0"/>
        <w:adjustRightInd w:val="0"/>
        <w:spacing w:after="0" w:line="240" w:lineRule="auto"/>
        <w:rPr>
          <w:rFonts w:ascii="Arial" w:hAnsi="Arial" w:cs="Arial"/>
        </w:rPr>
      </w:pPr>
    </w:p>
    <w:p w14:paraId="45835381" w14:textId="1A9B337C" w:rsidR="00F0319E" w:rsidRPr="003A2F86" w:rsidRDefault="00F0319E" w:rsidP="00F0319E">
      <w:pPr>
        <w:autoSpaceDE w:val="0"/>
        <w:autoSpaceDN w:val="0"/>
        <w:adjustRightInd w:val="0"/>
        <w:spacing w:after="0" w:line="240" w:lineRule="auto"/>
        <w:jc w:val="both"/>
        <w:rPr>
          <w:rFonts w:ascii="Arial" w:eastAsia="Calibri" w:hAnsi="Arial" w:cs="Arial"/>
          <w:color w:val="1F497D" w:themeColor="text2"/>
        </w:rPr>
      </w:pPr>
      <w:r w:rsidRPr="003A2F86">
        <w:rPr>
          <w:rFonts w:ascii="Arial" w:eastAsia="Calibri" w:hAnsi="Arial" w:cs="Arial"/>
          <w:b/>
          <w:bCs/>
          <w:color w:val="244061" w:themeColor="accent1" w:themeShade="80"/>
        </w:rPr>
        <w:t xml:space="preserve">Ukupni </w:t>
      </w:r>
      <w:r w:rsidRPr="003A2F86">
        <w:rPr>
          <w:rFonts w:ascii="Arial" w:eastAsia="Calibri" w:hAnsi="Arial" w:cs="Arial"/>
          <w:b/>
          <w:bCs/>
          <w:color w:val="244061" w:themeColor="accent1" w:themeShade="80"/>
          <w:u w:val="single"/>
        </w:rPr>
        <w:t>prihodi i primici</w:t>
      </w:r>
      <w:r w:rsidRPr="003A2F86">
        <w:rPr>
          <w:rFonts w:ascii="Arial" w:eastAsia="Calibri" w:hAnsi="Arial" w:cs="Arial"/>
          <w:b/>
          <w:bCs/>
          <w:color w:val="244061" w:themeColor="accent1" w:themeShade="80"/>
        </w:rPr>
        <w:t xml:space="preserve"> te rashodi i izdaci</w:t>
      </w:r>
      <w:r w:rsidRPr="003A2F86">
        <w:rPr>
          <w:rFonts w:ascii="Arial" w:eastAsia="Calibri" w:hAnsi="Arial" w:cs="Arial"/>
          <w:b/>
          <w:color w:val="244061" w:themeColor="accent1" w:themeShade="80"/>
        </w:rPr>
        <w:t xml:space="preserve"> </w:t>
      </w:r>
      <w:r w:rsidRPr="003A2F86">
        <w:rPr>
          <w:rFonts w:ascii="Arial" w:eastAsia="Calibri" w:hAnsi="Arial" w:cs="Arial"/>
          <w:color w:val="1F497D" w:themeColor="text2"/>
        </w:rPr>
        <w:t>proračuna za</w:t>
      </w:r>
      <w:r w:rsidRPr="003A2F86">
        <w:rPr>
          <w:rFonts w:ascii="Arial" w:eastAsia="Calibri" w:hAnsi="Arial" w:cs="Arial"/>
          <w:b/>
          <w:bCs/>
          <w:color w:val="244061" w:themeColor="accent1" w:themeShade="80"/>
        </w:rPr>
        <w:t xml:space="preserve"> </w:t>
      </w:r>
      <w:r w:rsidR="00E0568A">
        <w:rPr>
          <w:rFonts w:ascii="Arial" w:eastAsia="Calibri" w:hAnsi="Arial" w:cs="Arial"/>
          <w:b/>
          <w:bCs/>
          <w:color w:val="244061" w:themeColor="accent1" w:themeShade="80"/>
        </w:rPr>
        <w:t>1-6/</w:t>
      </w:r>
      <w:r w:rsidRPr="003A2F86">
        <w:rPr>
          <w:rFonts w:ascii="Arial" w:eastAsia="Calibri" w:hAnsi="Arial" w:cs="Arial"/>
          <w:b/>
          <w:bCs/>
          <w:color w:val="244061" w:themeColor="accent1" w:themeShade="80"/>
        </w:rPr>
        <w:t>202</w:t>
      </w:r>
      <w:r w:rsidR="00E0568A">
        <w:rPr>
          <w:rFonts w:ascii="Arial" w:eastAsia="Calibri" w:hAnsi="Arial" w:cs="Arial"/>
          <w:b/>
          <w:bCs/>
          <w:color w:val="244061" w:themeColor="accent1" w:themeShade="80"/>
        </w:rPr>
        <w:t>5</w:t>
      </w:r>
      <w:r w:rsidRPr="003A2F86">
        <w:rPr>
          <w:rFonts w:ascii="Arial" w:eastAsia="Calibri" w:hAnsi="Arial" w:cs="Arial"/>
          <w:b/>
          <w:bCs/>
          <w:color w:val="244061" w:themeColor="accent1" w:themeShade="80"/>
        </w:rPr>
        <w:t xml:space="preserve">. godinu </w:t>
      </w:r>
      <w:r w:rsidRPr="003A2F86">
        <w:rPr>
          <w:rFonts w:ascii="Arial" w:eastAsia="Calibri" w:hAnsi="Arial" w:cs="Arial"/>
          <w:color w:val="1F497D" w:themeColor="text2"/>
        </w:rPr>
        <w:t xml:space="preserve">planirani su u iznosu </w:t>
      </w:r>
      <w:r w:rsidR="00E0568A">
        <w:rPr>
          <w:rFonts w:ascii="Arial" w:eastAsia="Calibri" w:hAnsi="Arial" w:cs="Arial"/>
          <w:b/>
          <w:color w:val="1F497D" w:themeColor="text2"/>
          <w:u w:val="single"/>
        </w:rPr>
        <w:t>39.980.000</w:t>
      </w:r>
      <w:r w:rsidRPr="003A2F86">
        <w:rPr>
          <w:rFonts w:ascii="Arial" w:eastAsia="Calibri" w:hAnsi="Arial" w:cs="Arial"/>
          <w:color w:val="1F497D" w:themeColor="text2"/>
          <w:u w:val="single"/>
        </w:rPr>
        <w:t xml:space="preserve"> </w:t>
      </w:r>
      <w:r w:rsidRPr="003A2F86">
        <w:rPr>
          <w:rFonts w:ascii="Arial" w:eastAsia="Calibri" w:hAnsi="Arial" w:cs="Arial"/>
          <w:b/>
          <w:bCs/>
          <w:color w:val="1F497D" w:themeColor="text2"/>
          <w:u w:val="single"/>
        </w:rPr>
        <w:t>€</w:t>
      </w:r>
      <w:r w:rsidR="00254BD2" w:rsidRPr="003A2F86">
        <w:rPr>
          <w:rFonts w:ascii="Arial" w:eastAsia="Calibri" w:hAnsi="Arial" w:cs="Arial"/>
          <w:b/>
          <w:bCs/>
          <w:color w:val="1F497D" w:themeColor="text2"/>
          <w:u w:val="single"/>
        </w:rPr>
        <w:t>.</w:t>
      </w:r>
      <w:r w:rsidRPr="003A2F86">
        <w:rPr>
          <w:rFonts w:ascii="Arial" w:eastAsia="Calibri" w:hAnsi="Arial" w:cs="Arial"/>
          <w:color w:val="1F497D" w:themeColor="text2"/>
        </w:rPr>
        <w:t xml:space="preserve"> </w:t>
      </w:r>
      <w:r w:rsidR="00254BD2" w:rsidRPr="003A2F86">
        <w:rPr>
          <w:rFonts w:ascii="Arial" w:eastAsia="Calibri" w:hAnsi="Arial" w:cs="Arial"/>
          <w:color w:val="1F497D" w:themeColor="text2"/>
        </w:rPr>
        <w:t>Prihodi su</w:t>
      </w:r>
      <w:r w:rsidRPr="003A2F86">
        <w:rPr>
          <w:rFonts w:ascii="Arial" w:eastAsia="Calibri" w:hAnsi="Arial" w:cs="Arial"/>
          <w:color w:val="1F497D" w:themeColor="text2"/>
        </w:rPr>
        <w:t xml:space="preserve"> </w:t>
      </w:r>
      <w:r w:rsidR="00D924A3" w:rsidRPr="003A2F86">
        <w:rPr>
          <w:rFonts w:ascii="Arial" w:eastAsia="Calibri" w:hAnsi="Arial" w:cs="Arial"/>
          <w:color w:val="1F497D" w:themeColor="text2"/>
        </w:rPr>
        <w:t>ostvareni</w:t>
      </w:r>
      <w:r w:rsidRPr="003A2F86">
        <w:rPr>
          <w:rFonts w:ascii="Arial" w:eastAsia="Calibri" w:hAnsi="Arial" w:cs="Arial"/>
          <w:color w:val="1F497D" w:themeColor="text2"/>
        </w:rPr>
        <w:t xml:space="preserve"> u iznosu </w:t>
      </w:r>
      <w:r w:rsidR="00E0568A">
        <w:rPr>
          <w:rFonts w:ascii="Arial" w:eastAsia="Calibri" w:hAnsi="Arial" w:cs="Arial"/>
          <w:color w:val="1F497D" w:themeColor="text2"/>
        </w:rPr>
        <w:t>8.250.742,06</w:t>
      </w:r>
      <w:r w:rsidR="00254BD2" w:rsidRPr="003A2F86">
        <w:rPr>
          <w:rFonts w:ascii="Arial" w:eastAsia="Calibri" w:hAnsi="Arial" w:cs="Arial"/>
          <w:color w:val="1F497D" w:themeColor="text2"/>
        </w:rPr>
        <w:t xml:space="preserve"> </w:t>
      </w:r>
      <w:r w:rsidRPr="003A2F86">
        <w:rPr>
          <w:rFonts w:ascii="Arial" w:eastAsia="Calibri" w:hAnsi="Arial" w:cs="Arial"/>
          <w:color w:val="1F497D" w:themeColor="text2"/>
        </w:rPr>
        <w:t xml:space="preserve">€. </w:t>
      </w:r>
      <w:r w:rsidR="00323CD1" w:rsidRPr="003A2F86">
        <w:rPr>
          <w:rFonts w:ascii="Arial" w:eastAsia="Calibri" w:hAnsi="Arial" w:cs="Arial"/>
          <w:color w:val="1F497D" w:themeColor="text2"/>
        </w:rPr>
        <w:t xml:space="preserve">Primici nisu ostvareni. </w:t>
      </w:r>
      <w:r w:rsidRPr="003A2F86">
        <w:rPr>
          <w:rFonts w:ascii="Arial" w:eastAsia="Calibri" w:hAnsi="Arial" w:cs="Arial"/>
          <w:color w:val="1F497D" w:themeColor="text2"/>
        </w:rPr>
        <w:t xml:space="preserve">Prihodi i primici iz prethodnog razdoblja iznose </w:t>
      </w:r>
      <w:r w:rsidR="00E0568A">
        <w:rPr>
          <w:rFonts w:ascii="Arial" w:eastAsia="Calibri" w:hAnsi="Arial" w:cs="Arial"/>
          <w:color w:val="1F497D" w:themeColor="text2"/>
        </w:rPr>
        <w:t>2.068.159,72</w:t>
      </w:r>
      <w:r w:rsidRPr="003A2F86">
        <w:rPr>
          <w:rFonts w:ascii="Arial" w:eastAsia="Calibri" w:hAnsi="Arial" w:cs="Arial"/>
          <w:color w:val="1F497D" w:themeColor="text2"/>
        </w:rPr>
        <w:t xml:space="preserve"> €</w:t>
      </w:r>
      <w:r w:rsidR="00E0568A">
        <w:rPr>
          <w:rFonts w:ascii="Arial" w:eastAsia="Calibri" w:hAnsi="Arial" w:cs="Arial"/>
          <w:color w:val="1F497D" w:themeColor="text2"/>
        </w:rPr>
        <w:t>. Ispravak rezultata iz prethodnog razdoblja iznosi 2.502.025,98 € (ispravak rezultata Općine 2.499.900,02 i ispravak rezultata dječjeg vrtića 2.125,96 €). S</w:t>
      </w:r>
      <w:r w:rsidRPr="003A2F86">
        <w:rPr>
          <w:rFonts w:ascii="Arial" w:eastAsia="Calibri" w:hAnsi="Arial" w:cs="Arial"/>
          <w:color w:val="1F497D" w:themeColor="text2"/>
        </w:rPr>
        <w:t>veukupno ostvareni prihodi i primici s prenesenim rezultatom iz prethodnog razdoblja iznos</w:t>
      </w:r>
      <w:r w:rsidR="00D924A3" w:rsidRPr="003A2F86">
        <w:rPr>
          <w:rFonts w:ascii="Arial" w:eastAsia="Calibri" w:hAnsi="Arial" w:cs="Arial"/>
          <w:color w:val="1F497D" w:themeColor="text2"/>
        </w:rPr>
        <w:t>e</w:t>
      </w:r>
      <w:r w:rsidRPr="003A2F86">
        <w:rPr>
          <w:rFonts w:ascii="Arial" w:eastAsia="Calibri" w:hAnsi="Arial" w:cs="Arial"/>
          <w:color w:val="1F497D" w:themeColor="text2"/>
        </w:rPr>
        <w:t xml:space="preserve"> </w:t>
      </w:r>
      <w:r w:rsidR="00E0568A">
        <w:rPr>
          <w:rFonts w:ascii="Arial" w:eastAsia="Calibri" w:hAnsi="Arial" w:cs="Arial"/>
          <w:color w:val="1F497D" w:themeColor="text2"/>
        </w:rPr>
        <w:t>12.820.927,76</w:t>
      </w:r>
      <w:r w:rsidRPr="003A2F86">
        <w:rPr>
          <w:rFonts w:ascii="Arial" w:eastAsia="Calibri" w:hAnsi="Arial" w:cs="Arial"/>
          <w:color w:val="1F497D" w:themeColor="text2"/>
        </w:rPr>
        <w:t xml:space="preserve"> €. </w:t>
      </w:r>
      <w:r w:rsidR="00D924A3" w:rsidRPr="003A2F86">
        <w:rPr>
          <w:rFonts w:ascii="Arial" w:eastAsia="Calibri" w:hAnsi="Arial" w:cs="Arial"/>
          <w:color w:val="1F497D" w:themeColor="text2"/>
        </w:rPr>
        <w:t xml:space="preserve">Rashodi i izdaci su izvršeni u iznosu </w:t>
      </w:r>
      <w:r w:rsidR="00E0568A">
        <w:rPr>
          <w:rFonts w:ascii="Arial" w:eastAsia="Calibri" w:hAnsi="Arial" w:cs="Arial"/>
          <w:color w:val="1F497D" w:themeColor="text2"/>
        </w:rPr>
        <w:t>10.341.887,93</w:t>
      </w:r>
      <w:r w:rsidR="00D924A3" w:rsidRPr="003A2F86">
        <w:rPr>
          <w:rFonts w:ascii="Arial" w:eastAsia="Calibri" w:hAnsi="Arial" w:cs="Arial"/>
          <w:color w:val="1F497D" w:themeColor="text2"/>
        </w:rPr>
        <w:t xml:space="preserve"> €.</w:t>
      </w:r>
    </w:p>
    <w:p w14:paraId="4F69BDAD" w14:textId="77777777" w:rsidR="00F0319E" w:rsidRPr="003A2F86" w:rsidRDefault="00F0319E" w:rsidP="00F0319E">
      <w:pPr>
        <w:autoSpaceDE w:val="0"/>
        <w:autoSpaceDN w:val="0"/>
        <w:adjustRightInd w:val="0"/>
        <w:spacing w:after="0" w:line="240" w:lineRule="auto"/>
        <w:rPr>
          <w:rFonts w:ascii="Arial" w:eastAsia="Calibri" w:hAnsi="Arial" w:cs="Arial"/>
        </w:rPr>
      </w:pPr>
    </w:p>
    <w:p w14:paraId="269E7319" w14:textId="77777777" w:rsidR="00F0319E" w:rsidRPr="003A2F86" w:rsidRDefault="00F0319E" w:rsidP="00F0319E">
      <w:pPr>
        <w:autoSpaceDE w:val="0"/>
        <w:autoSpaceDN w:val="0"/>
        <w:adjustRightInd w:val="0"/>
        <w:spacing w:after="0" w:line="240" w:lineRule="auto"/>
        <w:rPr>
          <w:rFonts w:ascii="Arial" w:eastAsia="Calibri" w:hAnsi="Arial" w:cs="Arial"/>
        </w:rPr>
      </w:pPr>
      <w:r w:rsidRPr="003A2F86">
        <w:rPr>
          <w:rFonts w:ascii="Arial" w:eastAsia="Calibri" w:hAnsi="Arial" w:cs="Arial"/>
        </w:rPr>
        <w:t>Ukupne prihode i primitke proračuna čini zbroj:</w:t>
      </w:r>
    </w:p>
    <w:p w14:paraId="27B24EC4" w14:textId="77777777" w:rsidR="00F0319E" w:rsidRPr="003A2F86" w:rsidRDefault="00F0319E">
      <w:pPr>
        <w:pStyle w:val="Odlomakpopisa"/>
        <w:numPr>
          <w:ilvl w:val="0"/>
          <w:numId w:val="46"/>
        </w:numPr>
        <w:autoSpaceDE w:val="0"/>
        <w:autoSpaceDN w:val="0"/>
        <w:adjustRightInd w:val="0"/>
        <w:rPr>
          <w:rFonts w:ascii="Arial" w:eastAsia="Calibri" w:hAnsi="Arial" w:cs="Arial"/>
        </w:rPr>
      </w:pPr>
      <w:r w:rsidRPr="003A2F86">
        <w:rPr>
          <w:rFonts w:ascii="Arial" w:eastAsia="Calibri" w:hAnsi="Arial" w:cs="Arial"/>
        </w:rPr>
        <w:t>prihoda poslovanja</w:t>
      </w:r>
    </w:p>
    <w:p w14:paraId="7E847005" w14:textId="77777777" w:rsidR="00F0319E" w:rsidRPr="003A2F86" w:rsidRDefault="00F0319E">
      <w:pPr>
        <w:pStyle w:val="Odlomakpopisa"/>
        <w:numPr>
          <w:ilvl w:val="0"/>
          <w:numId w:val="46"/>
        </w:numPr>
        <w:autoSpaceDE w:val="0"/>
        <w:autoSpaceDN w:val="0"/>
        <w:adjustRightInd w:val="0"/>
        <w:rPr>
          <w:rFonts w:ascii="Arial" w:eastAsia="Calibri" w:hAnsi="Arial" w:cs="Arial"/>
        </w:rPr>
      </w:pPr>
      <w:r w:rsidRPr="003A2F86">
        <w:rPr>
          <w:rFonts w:ascii="Arial" w:eastAsia="Calibri" w:hAnsi="Arial" w:cs="Arial"/>
        </w:rPr>
        <w:t>prihoda od prodaje nefinancijske imovine</w:t>
      </w:r>
    </w:p>
    <w:p w14:paraId="39CA6036" w14:textId="77777777" w:rsidR="00F0319E" w:rsidRPr="003A2F86" w:rsidRDefault="00F0319E">
      <w:pPr>
        <w:pStyle w:val="Odlomakpopisa"/>
        <w:numPr>
          <w:ilvl w:val="0"/>
          <w:numId w:val="46"/>
        </w:numPr>
        <w:autoSpaceDE w:val="0"/>
        <w:autoSpaceDN w:val="0"/>
        <w:adjustRightInd w:val="0"/>
        <w:rPr>
          <w:rFonts w:ascii="Arial" w:eastAsia="Calibri" w:hAnsi="Arial" w:cs="Arial"/>
        </w:rPr>
      </w:pPr>
      <w:r w:rsidRPr="003A2F86">
        <w:rPr>
          <w:rFonts w:ascii="Arial" w:eastAsia="Calibri" w:hAnsi="Arial" w:cs="Arial"/>
        </w:rPr>
        <w:t>primici od financijske imovine i zaduživanja, te</w:t>
      </w:r>
    </w:p>
    <w:p w14:paraId="23D9BCC7" w14:textId="77777777" w:rsidR="00F0319E" w:rsidRPr="003A2F86" w:rsidRDefault="00F0319E">
      <w:pPr>
        <w:pStyle w:val="Odlomakpopisa"/>
        <w:numPr>
          <w:ilvl w:val="0"/>
          <w:numId w:val="46"/>
        </w:numPr>
        <w:autoSpaceDE w:val="0"/>
        <w:autoSpaceDN w:val="0"/>
        <w:adjustRightInd w:val="0"/>
        <w:rPr>
          <w:rFonts w:ascii="Arial" w:eastAsia="Calibri" w:hAnsi="Arial" w:cs="Arial"/>
        </w:rPr>
      </w:pPr>
      <w:r w:rsidRPr="003A2F86">
        <w:rPr>
          <w:rFonts w:ascii="Arial" w:eastAsia="Calibri" w:hAnsi="Arial" w:cs="Arial"/>
        </w:rPr>
        <w:t>raspoloživa sredstva iz prethodnih godina.</w:t>
      </w:r>
    </w:p>
    <w:p w14:paraId="732BEADE" w14:textId="77777777" w:rsidR="00F0319E" w:rsidRPr="003A2F86" w:rsidRDefault="00F0319E" w:rsidP="00F0319E">
      <w:pPr>
        <w:autoSpaceDE w:val="0"/>
        <w:autoSpaceDN w:val="0"/>
        <w:adjustRightInd w:val="0"/>
        <w:spacing w:after="0" w:line="240" w:lineRule="auto"/>
        <w:rPr>
          <w:rFonts w:ascii="Arial" w:eastAsia="Calibri" w:hAnsi="Arial" w:cs="Arial"/>
        </w:rPr>
      </w:pPr>
    </w:p>
    <w:p w14:paraId="76DE38E9" w14:textId="77777777" w:rsidR="00F0319E" w:rsidRPr="003A2F86" w:rsidRDefault="00F0319E" w:rsidP="00F0319E">
      <w:pPr>
        <w:autoSpaceDE w:val="0"/>
        <w:autoSpaceDN w:val="0"/>
        <w:adjustRightInd w:val="0"/>
        <w:spacing w:after="0" w:line="240" w:lineRule="auto"/>
        <w:rPr>
          <w:rFonts w:ascii="Arial" w:eastAsia="Calibri" w:hAnsi="Arial" w:cs="Arial"/>
        </w:rPr>
      </w:pPr>
      <w:r w:rsidRPr="003A2F86">
        <w:rPr>
          <w:rFonts w:ascii="Arial" w:eastAsia="Calibri" w:hAnsi="Arial" w:cs="Arial"/>
        </w:rPr>
        <w:t>Ukupne rashode i izdatke proračuna čini zbroj:</w:t>
      </w:r>
    </w:p>
    <w:p w14:paraId="463A42FF" w14:textId="77777777" w:rsidR="00F0319E" w:rsidRPr="003A2F86" w:rsidRDefault="00F0319E">
      <w:pPr>
        <w:pStyle w:val="Odlomakpopisa"/>
        <w:numPr>
          <w:ilvl w:val="0"/>
          <w:numId w:val="46"/>
        </w:numPr>
        <w:autoSpaceDE w:val="0"/>
        <w:autoSpaceDN w:val="0"/>
        <w:adjustRightInd w:val="0"/>
        <w:rPr>
          <w:rFonts w:ascii="Arial" w:eastAsia="Calibri" w:hAnsi="Arial" w:cs="Arial"/>
        </w:rPr>
      </w:pPr>
      <w:r w:rsidRPr="003A2F86">
        <w:rPr>
          <w:rFonts w:ascii="Arial" w:eastAsia="Calibri" w:hAnsi="Arial" w:cs="Arial"/>
        </w:rPr>
        <w:t>rashoda poslovanja</w:t>
      </w:r>
    </w:p>
    <w:p w14:paraId="44291052" w14:textId="77777777" w:rsidR="00F0319E" w:rsidRPr="003A2F86" w:rsidRDefault="00F0319E">
      <w:pPr>
        <w:pStyle w:val="Odlomakpopisa"/>
        <w:numPr>
          <w:ilvl w:val="0"/>
          <w:numId w:val="46"/>
        </w:numPr>
        <w:autoSpaceDE w:val="0"/>
        <w:autoSpaceDN w:val="0"/>
        <w:adjustRightInd w:val="0"/>
        <w:rPr>
          <w:rFonts w:ascii="Arial" w:eastAsia="Calibri" w:hAnsi="Arial" w:cs="Arial"/>
        </w:rPr>
      </w:pPr>
      <w:r w:rsidRPr="003A2F86">
        <w:rPr>
          <w:rFonts w:ascii="Arial" w:eastAsia="Calibri" w:hAnsi="Arial" w:cs="Arial"/>
        </w:rPr>
        <w:t>rashoda za nabavu nefinancijske imovine, te</w:t>
      </w:r>
    </w:p>
    <w:p w14:paraId="7663F1E7" w14:textId="77777777" w:rsidR="00F0319E" w:rsidRPr="003A2F86" w:rsidRDefault="00F0319E">
      <w:pPr>
        <w:pStyle w:val="Odlomakpopisa"/>
        <w:numPr>
          <w:ilvl w:val="0"/>
          <w:numId w:val="46"/>
        </w:numPr>
        <w:autoSpaceDE w:val="0"/>
        <w:autoSpaceDN w:val="0"/>
        <w:adjustRightInd w:val="0"/>
        <w:rPr>
          <w:rFonts w:ascii="Arial" w:eastAsia="Calibri" w:hAnsi="Arial" w:cs="Arial"/>
        </w:rPr>
      </w:pPr>
      <w:r w:rsidRPr="003A2F86">
        <w:rPr>
          <w:rFonts w:ascii="Arial" w:eastAsia="Calibri" w:hAnsi="Arial" w:cs="Arial"/>
        </w:rPr>
        <w:t>izdaci za financijsku imovinu i otplate zajmova.</w:t>
      </w:r>
    </w:p>
    <w:p w14:paraId="73441C22" w14:textId="77777777" w:rsidR="00F0319E" w:rsidRPr="00BB2E7A" w:rsidRDefault="00F0319E" w:rsidP="00F0319E">
      <w:pPr>
        <w:autoSpaceDE w:val="0"/>
        <w:autoSpaceDN w:val="0"/>
        <w:adjustRightInd w:val="0"/>
        <w:spacing w:after="0" w:line="240" w:lineRule="auto"/>
        <w:rPr>
          <w:rFonts w:ascii="Arial" w:eastAsia="Calibri" w:hAnsi="Arial" w:cs="Arial"/>
        </w:rPr>
      </w:pPr>
    </w:p>
    <w:p w14:paraId="16F82FE0" w14:textId="77777777" w:rsidR="00F0319E" w:rsidRPr="00BB2E7A" w:rsidRDefault="00F0319E" w:rsidP="003D15C8">
      <w:pPr>
        <w:autoSpaceDE w:val="0"/>
        <w:autoSpaceDN w:val="0"/>
        <w:adjustRightInd w:val="0"/>
        <w:spacing w:after="0" w:line="240" w:lineRule="auto"/>
        <w:jc w:val="both"/>
        <w:rPr>
          <w:rFonts w:ascii="Arial" w:eastAsia="Calibri" w:hAnsi="Arial" w:cs="Arial"/>
        </w:rPr>
      </w:pPr>
      <w:r w:rsidRPr="00BB2E7A">
        <w:rPr>
          <w:rFonts w:ascii="Arial" w:eastAsia="Calibri" w:hAnsi="Arial" w:cs="Arial"/>
        </w:rPr>
        <w:t xml:space="preserve">Račun </w:t>
      </w:r>
      <w:r w:rsidRPr="00BB2E7A">
        <w:rPr>
          <w:rFonts w:ascii="Arial" w:eastAsia="Calibri" w:hAnsi="Arial" w:cs="Arial"/>
          <w:b/>
          <w:bCs/>
        </w:rPr>
        <w:t>PRIHODA I RASHODA</w:t>
      </w:r>
      <w:r w:rsidRPr="00BB2E7A">
        <w:rPr>
          <w:rFonts w:ascii="Arial" w:eastAsia="Calibri" w:hAnsi="Arial" w:cs="Arial"/>
        </w:rPr>
        <w:t xml:space="preserve"> se sastoji od </w:t>
      </w:r>
      <w:r w:rsidRPr="00BB2E7A">
        <w:rPr>
          <w:rFonts w:ascii="Arial" w:eastAsia="Calibri" w:hAnsi="Arial" w:cs="Arial"/>
          <w:i/>
          <w:iCs/>
        </w:rPr>
        <w:t>zbroj prihoda</w:t>
      </w:r>
      <w:r w:rsidRPr="00BB2E7A">
        <w:rPr>
          <w:rFonts w:ascii="Arial" w:eastAsia="Calibri" w:hAnsi="Arial" w:cs="Arial"/>
        </w:rPr>
        <w:t xml:space="preserve"> koje čine prihodi poslovanja (6) i prihodi od prodaje nefinancijske imovine (7), </w:t>
      </w:r>
      <w:r w:rsidRPr="00BB2E7A">
        <w:rPr>
          <w:rFonts w:ascii="Arial" w:eastAsia="Calibri" w:hAnsi="Arial" w:cs="Arial"/>
          <w:i/>
          <w:iCs/>
        </w:rPr>
        <w:t>zbroja rashoda</w:t>
      </w:r>
      <w:r w:rsidRPr="00BB2E7A">
        <w:rPr>
          <w:rFonts w:ascii="Arial" w:eastAsia="Calibri" w:hAnsi="Arial" w:cs="Arial"/>
        </w:rPr>
        <w:t xml:space="preserve"> koje čine rashodi poslovanja (3) i rashodi za nabavu nefinancijske imovine (4), te razlike između ukupnih prihoda i ukupnih rashoda. </w:t>
      </w:r>
    </w:p>
    <w:p w14:paraId="74A23E82" w14:textId="77777777" w:rsidR="00F0319E" w:rsidRPr="003A2F86" w:rsidRDefault="00F0319E" w:rsidP="00F0319E">
      <w:pPr>
        <w:autoSpaceDE w:val="0"/>
        <w:autoSpaceDN w:val="0"/>
        <w:adjustRightInd w:val="0"/>
        <w:spacing w:after="0" w:line="240" w:lineRule="auto"/>
        <w:jc w:val="both"/>
        <w:rPr>
          <w:rFonts w:ascii="Arial" w:eastAsia="Times New Roman" w:hAnsi="Arial" w:cs="Arial"/>
        </w:rPr>
      </w:pPr>
    </w:p>
    <w:p w14:paraId="41FE463C" w14:textId="4307B4EF" w:rsidR="00F0319E" w:rsidRPr="003A2F86" w:rsidRDefault="00BB2E7A" w:rsidP="00F0319E">
      <w:pPr>
        <w:autoSpaceDE w:val="0"/>
        <w:autoSpaceDN w:val="0"/>
        <w:adjustRightInd w:val="0"/>
        <w:spacing w:after="0" w:line="240" w:lineRule="auto"/>
        <w:jc w:val="both"/>
      </w:pPr>
      <w:r w:rsidRPr="00BB2E7A">
        <w:rPr>
          <w:noProof/>
        </w:rPr>
        <w:drawing>
          <wp:inline distT="0" distB="0" distL="0" distR="0" wp14:anchorId="2E056190" wp14:editId="618E0D9E">
            <wp:extent cx="9251950" cy="2447925"/>
            <wp:effectExtent l="0" t="0" r="6350" b="9525"/>
            <wp:docPr id="144819627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1950" cy="2447925"/>
                    </a:xfrm>
                    <a:prstGeom prst="rect">
                      <a:avLst/>
                    </a:prstGeom>
                    <a:noFill/>
                    <a:ln>
                      <a:noFill/>
                    </a:ln>
                  </pic:spPr>
                </pic:pic>
              </a:graphicData>
            </a:graphic>
          </wp:inline>
        </w:drawing>
      </w:r>
    </w:p>
    <w:p w14:paraId="788F3D2F" w14:textId="77777777" w:rsidR="00CB73BB" w:rsidRPr="003A2F86" w:rsidRDefault="00CB73BB" w:rsidP="00F0319E">
      <w:pPr>
        <w:autoSpaceDE w:val="0"/>
        <w:autoSpaceDN w:val="0"/>
        <w:adjustRightInd w:val="0"/>
        <w:spacing w:after="0" w:line="240" w:lineRule="auto"/>
        <w:jc w:val="both"/>
        <w:rPr>
          <w:rFonts w:ascii="Arial" w:eastAsia="Times New Roman" w:hAnsi="Arial" w:cs="Arial"/>
        </w:rPr>
      </w:pPr>
    </w:p>
    <w:p w14:paraId="6F98A04F" w14:textId="77777777" w:rsidR="00F0319E" w:rsidRPr="003A2F86" w:rsidRDefault="00F0319E" w:rsidP="00F0319E">
      <w:pPr>
        <w:autoSpaceDE w:val="0"/>
        <w:autoSpaceDN w:val="0"/>
        <w:adjustRightInd w:val="0"/>
        <w:spacing w:after="0" w:line="240" w:lineRule="auto"/>
        <w:rPr>
          <w:rFonts w:ascii="Arial" w:eastAsia="Calibri" w:hAnsi="Arial" w:cs="Arial"/>
        </w:rPr>
      </w:pPr>
    </w:p>
    <w:p w14:paraId="4D4ADD5A" w14:textId="77777777" w:rsidR="00F0319E" w:rsidRPr="00BB2E7A" w:rsidRDefault="00F0319E" w:rsidP="00F0319E">
      <w:pPr>
        <w:autoSpaceDE w:val="0"/>
        <w:autoSpaceDN w:val="0"/>
        <w:adjustRightInd w:val="0"/>
        <w:spacing w:after="0" w:line="240" w:lineRule="auto"/>
        <w:rPr>
          <w:rFonts w:ascii="Arial" w:eastAsia="Calibri" w:hAnsi="Arial" w:cs="Arial"/>
        </w:rPr>
      </w:pPr>
      <w:r w:rsidRPr="00BB2E7A">
        <w:rPr>
          <w:rFonts w:ascii="Arial" w:eastAsia="Calibri" w:hAnsi="Arial" w:cs="Arial"/>
          <w:b/>
          <w:bCs/>
        </w:rPr>
        <w:lastRenderedPageBreak/>
        <w:t>RAČUN FINANCIRANJA</w:t>
      </w:r>
      <w:r w:rsidRPr="00BB2E7A">
        <w:rPr>
          <w:rFonts w:ascii="Arial" w:eastAsia="Calibri" w:hAnsi="Arial" w:cs="Arial"/>
        </w:rPr>
        <w:t xml:space="preserve"> se sastoji od primitaka od financijske imovine i zaduživanja (8), izdataka za financijsku imovinu i otplate zajmova (5), te razlike ukupnih primitaka i ukupnih izdataka.</w:t>
      </w:r>
    </w:p>
    <w:p w14:paraId="737BF6E1" w14:textId="6CDEB800" w:rsidR="00F0319E" w:rsidRPr="003A2F86" w:rsidRDefault="00BB2E7A" w:rsidP="00F0319E">
      <w:pPr>
        <w:autoSpaceDE w:val="0"/>
        <w:autoSpaceDN w:val="0"/>
        <w:adjustRightInd w:val="0"/>
        <w:spacing w:after="0" w:line="240" w:lineRule="auto"/>
        <w:jc w:val="both"/>
        <w:rPr>
          <w:rFonts w:ascii="Arial" w:eastAsia="Times New Roman" w:hAnsi="Arial" w:cs="Arial"/>
        </w:rPr>
      </w:pPr>
      <w:r w:rsidRPr="00BB2E7A">
        <w:rPr>
          <w:noProof/>
        </w:rPr>
        <w:drawing>
          <wp:inline distT="0" distB="0" distL="0" distR="0" wp14:anchorId="3C932E36" wp14:editId="1856AC1F">
            <wp:extent cx="9251950" cy="1326515"/>
            <wp:effectExtent l="0" t="0" r="6350" b="6985"/>
            <wp:docPr id="201390871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51950" cy="1326515"/>
                    </a:xfrm>
                    <a:prstGeom prst="rect">
                      <a:avLst/>
                    </a:prstGeom>
                    <a:noFill/>
                    <a:ln>
                      <a:noFill/>
                    </a:ln>
                  </pic:spPr>
                </pic:pic>
              </a:graphicData>
            </a:graphic>
          </wp:inline>
        </w:drawing>
      </w:r>
    </w:p>
    <w:p w14:paraId="730F4198" w14:textId="77777777" w:rsidR="00F817B9" w:rsidRPr="003A2F86" w:rsidRDefault="00F817B9" w:rsidP="00F0319E">
      <w:pPr>
        <w:autoSpaceDE w:val="0"/>
        <w:autoSpaceDN w:val="0"/>
        <w:adjustRightInd w:val="0"/>
        <w:spacing w:after="0" w:line="240" w:lineRule="auto"/>
        <w:jc w:val="both"/>
        <w:rPr>
          <w:rFonts w:ascii="Arial" w:eastAsia="Times New Roman" w:hAnsi="Arial" w:cs="Arial"/>
        </w:rPr>
      </w:pPr>
    </w:p>
    <w:p w14:paraId="651A4AEA" w14:textId="3BC50085" w:rsidR="00EE5E71" w:rsidRPr="003A2F86" w:rsidRDefault="00EE5E71" w:rsidP="00EE5E71">
      <w:pPr>
        <w:autoSpaceDE w:val="0"/>
        <w:autoSpaceDN w:val="0"/>
        <w:adjustRightInd w:val="0"/>
        <w:spacing w:after="0" w:line="240" w:lineRule="auto"/>
        <w:rPr>
          <w:rFonts w:ascii="Arial" w:eastAsia="Calibri" w:hAnsi="Arial" w:cs="Arial"/>
        </w:rPr>
      </w:pPr>
      <w:r w:rsidRPr="003A2F86">
        <w:rPr>
          <w:rFonts w:ascii="Arial" w:eastAsia="Calibri" w:hAnsi="Arial" w:cs="Arial"/>
        </w:rPr>
        <w:t xml:space="preserve">Sastavni dio proračuna je i </w:t>
      </w:r>
      <w:r w:rsidRPr="003A2F86">
        <w:rPr>
          <w:rFonts w:ascii="Arial" w:eastAsia="Calibri" w:hAnsi="Arial" w:cs="Arial"/>
          <w:b/>
          <w:bCs/>
        </w:rPr>
        <w:t>preneseni višak iz prethodnih godina</w:t>
      </w:r>
      <w:r w:rsidRPr="003A2F86">
        <w:rPr>
          <w:rFonts w:ascii="Arial" w:eastAsia="Calibri" w:hAnsi="Arial" w:cs="Arial"/>
        </w:rPr>
        <w:t xml:space="preserve"> ili </w:t>
      </w:r>
      <w:r w:rsidRPr="003A2F86">
        <w:rPr>
          <w:rFonts w:ascii="Arial" w:eastAsia="Calibri" w:hAnsi="Arial" w:cs="Arial"/>
          <w:b/>
          <w:bCs/>
        </w:rPr>
        <w:t>manjak iz prethodnih godina</w:t>
      </w:r>
      <w:r w:rsidRPr="003A2F86">
        <w:rPr>
          <w:rFonts w:ascii="Arial" w:eastAsia="Calibri" w:hAnsi="Arial" w:cs="Arial"/>
        </w:rPr>
        <w:t xml:space="preserve"> koji se mora pokriti u planiranom proračunskom razdoblju.</w:t>
      </w:r>
    </w:p>
    <w:p w14:paraId="5171ADB2" w14:textId="3A58BADB" w:rsidR="00EE5E71" w:rsidRPr="003A2F86" w:rsidRDefault="00BB2E7A" w:rsidP="00EE5E71">
      <w:pPr>
        <w:autoSpaceDE w:val="0"/>
        <w:autoSpaceDN w:val="0"/>
        <w:adjustRightInd w:val="0"/>
        <w:spacing w:after="0" w:line="240" w:lineRule="auto"/>
        <w:jc w:val="center"/>
        <w:rPr>
          <w:rFonts w:ascii="Arial" w:eastAsia="Times New Roman" w:hAnsi="Arial" w:cs="Arial"/>
        </w:rPr>
      </w:pPr>
      <w:r w:rsidRPr="00BB2E7A">
        <w:rPr>
          <w:noProof/>
        </w:rPr>
        <w:drawing>
          <wp:inline distT="0" distB="0" distL="0" distR="0" wp14:anchorId="22FE44A8" wp14:editId="43B7A0B1">
            <wp:extent cx="9251950" cy="1764030"/>
            <wp:effectExtent l="0" t="0" r="6350" b="7620"/>
            <wp:docPr id="148987969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1950" cy="1764030"/>
                    </a:xfrm>
                    <a:prstGeom prst="rect">
                      <a:avLst/>
                    </a:prstGeom>
                    <a:noFill/>
                    <a:ln>
                      <a:noFill/>
                    </a:ln>
                  </pic:spPr>
                </pic:pic>
              </a:graphicData>
            </a:graphic>
          </wp:inline>
        </w:drawing>
      </w:r>
    </w:p>
    <w:p w14:paraId="49BB39A1" w14:textId="509CD7F7" w:rsidR="00EE5E71" w:rsidRPr="003A2F86" w:rsidRDefault="00EE5E71" w:rsidP="00EE5E71">
      <w:pPr>
        <w:autoSpaceDE w:val="0"/>
        <w:autoSpaceDN w:val="0"/>
        <w:adjustRightInd w:val="0"/>
        <w:spacing w:after="0" w:line="240" w:lineRule="auto"/>
        <w:jc w:val="both"/>
        <w:rPr>
          <w:rFonts w:ascii="Arial" w:eastAsia="Times New Roman" w:hAnsi="Arial" w:cs="Arial"/>
        </w:rPr>
      </w:pPr>
    </w:p>
    <w:p w14:paraId="4E80D537" w14:textId="77777777" w:rsidR="00EE5E71" w:rsidRPr="003A2F86" w:rsidRDefault="00EE5E71" w:rsidP="00EE5E71">
      <w:pPr>
        <w:autoSpaceDE w:val="0"/>
        <w:autoSpaceDN w:val="0"/>
        <w:adjustRightInd w:val="0"/>
        <w:spacing w:after="0" w:line="240" w:lineRule="auto"/>
        <w:rPr>
          <w:rFonts w:ascii="Arial" w:eastAsia="Calibri" w:hAnsi="Arial" w:cs="Arial"/>
        </w:rPr>
      </w:pPr>
      <w:r w:rsidRPr="003A2F86">
        <w:rPr>
          <w:rFonts w:ascii="Arial" w:eastAsia="Calibri" w:hAnsi="Arial" w:cs="Arial"/>
        </w:rPr>
        <w:t>Zbroj svih prihoda i primitaka sa viškom i/ili manjkom iz prethodnih godina mora biti jednak zbroju svih rashoda i izdataka Proračuna.</w:t>
      </w:r>
    </w:p>
    <w:p w14:paraId="3F808735" w14:textId="77777777" w:rsidR="00EE5E71" w:rsidRPr="003A2F86" w:rsidRDefault="00EE5E71" w:rsidP="00EE5E71">
      <w:pPr>
        <w:autoSpaceDE w:val="0"/>
        <w:autoSpaceDN w:val="0"/>
        <w:adjustRightInd w:val="0"/>
        <w:spacing w:after="0" w:line="240" w:lineRule="auto"/>
        <w:rPr>
          <w:rFonts w:ascii="Arial" w:eastAsia="Calibri" w:hAnsi="Arial" w:cs="Arial"/>
        </w:rPr>
      </w:pPr>
    </w:p>
    <w:p w14:paraId="40CFC921" w14:textId="20E27C93" w:rsidR="00EE5E71" w:rsidRPr="003A2F86" w:rsidRDefault="00BB2E7A" w:rsidP="00CE26A6">
      <w:pPr>
        <w:autoSpaceDE w:val="0"/>
        <w:autoSpaceDN w:val="0"/>
        <w:adjustRightInd w:val="0"/>
        <w:spacing w:after="0" w:line="240" w:lineRule="auto"/>
        <w:jc w:val="center"/>
        <w:rPr>
          <w:rFonts w:ascii="Arial" w:eastAsia="Calibri" w:hAnsi="Arial" w:cs="Arial"/>
        </w:rPr>
      </w:pPr>
      <w:r w:rsidRPr="00BB2E7A">
        <w:rPr>
          <w:noProof/>
        </w:rPr>
        <w:drawing>
          <wp:inline distT="0" distB="0" distL="0" distR="0" wp14:anchorId="3DF73539" wp14:editId="3240FFF3">
            <wp:extent cx="9251950" cy="1025525"/>
            <wp:effectExtent l="0" t="0" r="6350" b="3175"/>
            <wp:docPr id="199619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51950" cy="1025525"/>
                    </a:xfrm>
                    <a:prstGeom prst="rect">
                      <a:avLst/>
                    </a:prstGeom>
                    <a:noFill/>
                    <a:ln>
                      <a:noFill/>
                    </a:ln>
                  </pic:spPr>
                </pic:pic>
              </a:graphicData>
            </a:graphic>
          </wp:inline>
        </w:drawing>
      </w:r>
    </w:p>
    <w:p w14:paraId="55731922" w14:textId="77777777" w:rsidR="00EE5E71" w:rsidRPr="003A2F86" w:rsidRDefault="00EE5E71" w:rsidP="00EE5E71">
      <w:pPr>
        <w:autoSpaceDE w:val="0"/>
        <w:autoSpaceDN w:val="0"/>
        <w:adjustRightInd w:val="0"/>
        <w:spacing w:after="0" w:line="240" w:lineRule="auto"/>
        <w:jc w:val="both"/>
        <w:rPr>
          <w:rFonts w:ascii="Arial" w:eastAsia="Times New Roman" w:hAnsi="Arial" w:cs="Arial"/>
        </w:rPr>
      </w:pPr>
    </w:p>
    <w:p w14:paraId="463B3386" w14:textId="77777777" w:rsidR="00CB73BB" w:rsidRPr="003A2F86" w:rsidRDefault="00CB73BB" w:rsidP="00EE5E71">
      <w:pPr>
        <w:autoSpaceDE w:val="0"/>
        <w:autoSpaceDN w:val="0"/>
        <w:adjustRightInd w:val="0"/>
        <w:spacing w:after="0" w:line="240" w:lineRule="auto"/>
        <w:jc w:val="both"/>
        <w:rPr>
          <w:rFonts w:ascii="Arial" w:eastAsia="Times New Roman" w:hAnsi="Arial" w:cs="Arial"/>
        </w:rPr>
      </w:pPr>
    </w:p>
    <w:p w14:paraId="31C17EBA" w14:textId="77777777" w:rsidR="00CB73BB" w:rsidRPr="003A2F86" w:rsidRDefault="00CB73BB" w:rsidP="00EE5E71">
      <w:pPr>
        <w:autoSpaceDE w:val="0"/>
        <w:autoSpaceDN w:val="0"/>
        <w:adjustRightInd w:val="0"/>
        <w:spacing w:after="0" w:line="240" w:lineRule="auto"/>
        <w:jc w:val="both"/>
        <w:rPr>
          <w:rFonts w:ascii="Arial" w:eastAsia="Times New Roman" w:hAnsi="Arial" w:cs="Arial"/>
        </w:rPr>
      </w:pPr>
    </w:p>
    <w:p w14:paraId="480C7623" w14:textId="77777777" w:rsidR="00CB73BB" w:rsidRPr="003A2F86" w:rsidRDefault="00CB73BB" w:rsidP="00EE5E71">
      <w:pPr>
        <w:autoSpaceDE w:val="0"/>
        <w:autoSpaceDN w:val="0"/>
        <w:adjustRightInd w:val="0"/>
        <w:spacing w:after="0" w:line="240" w:lineRule="auto"/>
        <w:jc w:val="both"/>
        <w:rPr>
          <w:rFonts w:ascii="Arial" w:eastAsia="Times New Roman" w:hAnsi="Arial" w:cs="Arial"/>
        </w:rPr>
      </w:pPr>
    </w:p>
    <w:p w14:paraId="62B4FE14" w14:textId="16635707" w:rsidR="003E02DB" w:rsidRPr="003A2F86" w:rsidRDefault="003E02DB" w:rsidP="00EE5E71">
      <w:pPr>
        <w:pStyle w:val="Naslov3"/>
        <w:jc w:val="center"/>
        <w:rPr>
          <w:rFonts w:ascii="Arial" w:eastAsia="Calibri" w:hAnsi="Arial" w:cs="Arial"/>
          <w:sz w:val="22"/>
          <w:lang w:val="hr-HR"/>
        </w:rPr>
      </w:pPr>
      <w:bookmarkStart w:id="38" w:name="_2.3.1.__PRIHODI"/>
      <w:bookmarkStart w:id="39" w:name="_Toc207707419"/>
      <w:bookmarkEnd w:id="38"/>
      <w:r w:rsidRPr="003A2F86">
        <w:rPr>
          <w:rFonts w:ascii="Arial" w:eastAsia="Calibri" w:hAnsi="Arial" w:cs="Arial"/>
          <w:sz w:val="22"/>
          <w:lang w:val="hr-HR"/>
        </w:rPr>
        <w:lastRenderedPageBreak/>
        <w:t>2.3.1.</w:t>
      </w:r>
      <w:r w:rsidRPr="003A2F86">
        <w:rPr>
          <w:rFonts w:ascii="Arial" w:eastAsia="Calibri" w:hAnsi="Arial" w:cs="Arial"/>
          <w:sz w:val="22"/>
          <w:lang w:val="hr-HR"/>
        </w:rPr>
        <w:tab/>
      </w:r>
      <w:r w:rsidR="00E97058" w:rsidRPr="003A2F86">
        <w:rPr>
          <w:rFonts w:ascii="Arial" w:eastAsia="Calibri" w:hAnsi="Arial" w:cs="Arial"/>
          <w:sz w:val="22"/>
          <w:lang w:val="hr-HR"/>
        </w:rPr>
        <w:tab/>
      </w:r>
      <w:r w:rsidRPr="003A2F86">
        <w:rPr>
          <w:rFonts w:ascii="Arial" w:eastAsia="Calibri" w:hAnsi="Arial" w:cs="Arial"/>
          <w:sz w:val="22"/>
          <w:lang w:val="hr-HR"/>
        </w:rPr>
        <w:t>PRIHODI I PRIMICI</w:t>
      </w:r>
      <w:bookmarkStart w:id="40" w:name="Prihodi_i_primici"/>
      <w:bookmarkEnd w:id="39"/>
      <w:bookmarkEnd w:id="40"/>
    </w:p>
    <w:p w14:paraId="548427CC" w14:textId="77777777" w:rsidR="003E02DB" w:rsidRPr="003A2F86" w:rsidRDefault="003E02DB" w:rsidP="003E02DB">
      <w:pPr>
        <w:spacing w:after="0" w:line="240" w:lineRule="auto"/>
        <w:jc w:val="both"/>
        <w:rPr>
          <w:rFonts w:ascii="Arial" w:eastAsia="Calibri" w:hAnsi="Arial" w:cs="Arial"/>
          <w:lang w:eastAsia="en-US"/>
        </w:rPr>
      </w:pPr>
    </w:p>
    <w:p w14:paraId="26F4FA94" w14:textId="26ACFD55" w:rsidR="00891119" w:rsidRPr="003A2F86" w:rsidRDefault="00891119" w:rsidP="00CA7A06">
      <w:pPr>
        <w:autoSpaceDE w:val="0"/>
        <w:autoSpaceDN w:val="0"/>
        <w:adjustRightInd w:val="0"/>
        <w:spacing w:after="0" w:line="240" w:lineRule="auto"/>
        <w:jc w:val="both"/>
        <w:rPr>
          <w:rFonts w:ascii="Arial" w:eastAsia="Calibri" w:hAnsi="Arial" w:cs="Arial"/>
          <w:color w:val="244061" w:themeColor="accent1" w:themeShade="80"/>
          <w:lang w:eastAsia="en-US"/>
        </w:rPr>
      </w:pPr>
      <w:bookmarkStart w:id="41" w:name="_Hlk114473267"/>
      <w:r w:rsidRPr="003A2F86">
        <w:rPr>
          <w:rFonts w:ascii="Arial" w:eastAsia="Calibri" w:hAnsi="Arial" w:cs="Arial"/>
          <w:b/>
          <w:bCs/>
          <w:color w:val="244061" w:themeColor="accent1" w:themeShade="80"/>
          <w:lang w:eastAsia="en-US"/>
        </w:rPr>
        <w:t>Ukupni prihodi i primici</w:t>
      </w:r>
      <w:r w:rsidR="00535F9E" w:rsidRPr="003A2F86">
        <w:rPr>
          <w:rFonts w:ascii="Arial" w:eastAsia="Calibri" w:hAnsi="Arial" w:cs="Arial"/>
          <w:b/>
          <w:color w:val="244061" w:themeColor="accent1" w:themeShade="80"/>
          <w:lang w:eastAsia="en-US"/>
        </w:rPr>
        <w:t xml:space="preserve"> </w:t>
      </w:r>
      <w:r w:rsidR="00BB2E7A">
        <w:rPr>
          <w:rFonts w:ascii="Arial" w:eastAsia="Calibri" w:hAnsi="Arial" w:cs="Arial"/>
          <w:b/>
          <w:color w:val="244061" w:themeColor="accent1" w:themeShade="80"/>
          <w:lang w:eastAsia="en-US"/>
        </w:rPr>
        <w:t>polug</w:t>
      </w:r>
      <w:r w:rsidR="00C46D2F" w:rsidRPr="003A2F86">
        <w:rPr>
          <w:rFonts w:ascii="Arial" w:eastAsia="Calibri" w:hAnsi="Arial" w:cs="Arial"/>
          <w:b/>
          <w:color w:val="244061" w:themeColor="accent1" w:themeShade="80"/>
          <w:lang w:eastAsia="en-US"/>
        </w:rPr>
        <w:t xml:space="preserve">odišnjeg </w:t>
      </w:r>
      <w:r w:rsidRPr="003A2F86">
        <w:rPr>
          <w:rFonts w:ascii="Arial" w:eastAsia="Calibri" w:hAnsi="Arial" w:cs="Arial"/>
          <w:b/>
          <w:color w:val="244061" w:themeColor="accent1" w:themeShade="80"/>
          <w:lang w:eastAsia="en-US"/>
        </w:rPr>
        <w:t>izvještaja</w:t>
      </w:r>
      <w:r w:rsidRPr="003A2F86">
        <w:rPr>
          <w:rFonts w:ascii="Arial" w:eastAsia="Calibri" w:hAnsi="Arial" w:cs="Arial"/>
          <w:color w:val="244061" w:themeColor="accent1" w:themeShade="80"/>
          <w:lang w:eastAsia="en-US"/>
        </w:rPr>
        <w:t xml:space="preserve"> </w:t>
      </w:r>
      <w:r w:rsidRPr="003A2F86">
        <w:rPr>
          <w:rFonts w:ascii="Arial" w:eastAsia="Calibri" w:hAnsi="Arial" w:cs="Arial"/>
          <w:color w:val="1F497D" w:themeColor="text2"/>
          <w:lang w:eastAsia="en-US"/>
        </w:rPr>
        <w:t xml:space="preserve">o izvršenju proračuna (što je jednako iznosima u </w:t>
      </w:r>
      <w:r w:rsidRPr="003A2F86">
        <w:rPr>
          <w:rFonts w:ascii="Arial" w:eastAsia="Times New Roman" w:hAnsi="Arial" w:cs="Arial"/>
          <w:iCs/>
          <w:color w:val="1F497D" w:themeColor="text2"/>
          <w:lang w:eastAsia="en-US"/>
        </w:rPr>
        <w:t xml:space="preserve">financijskim izvještajima </w:t>
      </w:r>
      <w:r w:rsidRPr="003A2F86">
        <w:rPr>
          <w:rFonts w:ascii="Arial" w:eastAsia="Times New Roman" w:hAnsi="Arial" w:cs="Arial"/>
          <w:iCs/>
          <w:color w:val="7030A0"/>
          <w:lang w:eastAsia="en-US"/>
        </w:rPr>
        <w:t>razina 23</w:t>
      </w:r>
      <w:r w:rsidRPr="003A2F86">
        <w:rPr>
          <w:rFonts w:ascii="Arial" w:eastAsia="Times New Roman" w:hAnsi="Arial" w:cs="Arial"/>
          <w:iCs/>
          <w:color w:val="1F497D" w:themeColor="text2"/>
          <w:lang w:eastAsia="en-US"/>
        </w:rPr>
        <w:t xml:space="preserve">) </w:t>
      </w:r>
      <w:r w:rsidRPr="003A2F86">
        <w:rPr>
          <w:rFonts w:ascii="Arial" w:eastAsia="Calibri" w:hAnsi="Arial" w:cs="Arial"/>
          <w:color w:val="1F497D" w:themeColor="text2"/>
          <w:lang w:eastAsia="en-US"/>
        </w:rPr>
        <w:t xml:space="preserve">ostvareni su u razdoblju siječanj - </w:t>
      </w:r>
      <w:r w:rsidR="00BB2E7A">
        <w:rPr>
          <w:rFonts w:ascii="Arial" w:eastAsia="Calibri" w:hAnsi="Arial" w:cs="Arial"/>
          <w:color w:val="1F497D" w:themeColor="text2"/>
          <w:lang w:eastAsia="en-US"/>
        </w:rPr>
        <w:t>lipanj</w:t>
      </w:r>
      <w:r w:rsidRPr="003A2F86">
        <w:rPr>
          <w:rFonts w:ascii="Arial" w:eastAsia="Calibri" w:hAnsi="Arial" w:cs="Arial"/>
          <w:color w:val="1F497D" w:themeColor="text2"/>
          <w:lang w:eastAsia="en-US"/>
        </w:rPr>
        <w:t xml:space="preserve"> 20</w:t>
      </w:r>
      <w:r w:rsidR="000B6BD3" w:rsidRPr="003A2F86">
        <w:rPr>
          <w:rFonts w:ascii="Arial" w:eastAsia="Calibri" w:hAnsi="Arial" w:cs="Arial"/>
          <w:color w:val="1F497D" w:themeColor="text2"/>
          <w:lang w:eastAsia="en-US"/>
        </w:rPr>
        <w:t>2</w:t>
      </w:r>
      <w:r w:rsidR="00BB2E7A">
        <w:rPr>
          <w:rFonts w:ascii="Arial" w:eastAsia="Calibri" w:hAnsi="Arial" w:cs="Arial"/>
          <w:color w:val="1F497D" w:themeColor="text2"/>
          <w:lang w:eastAsia="en-US"/>
        </w:rPr>
        <w:t>5</w:t>
      </w:r>
      <w:r w:rsidRPr="003A2F86">
        <w:rPr>
          <w:rFonts w:ascii="Arial" w:eastAsia="Calibri" w:hAnsi="Arial" w:cs="Arial"/>
          <w:color w:val="1F497D" w:themeColor="text2"/>
          <w:lang w:eastAsia="en-US"/>
        </w:rPr>
        <w:t xml:space="preserve">. godine u iznosu </w:t>
      </w:r>
      <w:r w:rsidR="00BB2E7A">
        <w:rPr>
          <w:rFonts w:ascii="Arial" w:eastAsia="Calibri" w:hAnsi="Arial" w:cs="Arial"/>
          <w:b/>
          <w:color w:val="1F497D" w:themeColor="text2"/>
          <w:u w:val="single"/>
          <w:lang w:eastAsia="en-US"/>
        </w:rPr>
        <w:t>8.250.742,06</w:t>
      </w:r>
      <w:r w:rsidRPr="003A2F86">
        <w:rPr>
          <w:rFonts w:ascii="Arial" w:eastAsia="Calibri" w:hAnsi="Arial" w:cs="Arial"/>
          <w:color w:val="1F497D" w:themeColor="text2"/>
          <w:u w:val="single"/>
          <w:lang w:eastAsia="en-US"/>
        </w:rPr>
        <w:t xml:space="preserve"> </w:t>
      </w:r>
      <w:r w:rsidR="00976588" w:rsidRPr="003A2F86">
        <w:rPr>
          <w:rFonts w:ascii="Arial" w:eastAsia="Calibri" w:hAnsi="Arial" w:cs="Arial"/>
          <w:b/>
          <w:bCs/>
          <w:color w:val="1F497D" w:themeColor="text2"/>
          <w:u w:val="single"/>
          <w:lang w:eastAsia="en-US"/>
        </w:rPr>
        <w:t>€</w:t>
      </w:r>
      <w:r w:rsidR="00976588" w:rsidRPr="003A2F86">
        <w:rPr>
          <w:rFonts w:ascii="Arial" w:eastAsia="Calibri" w:hAnsi="Arial" w:cs="Arial"/>
          <w:color w:val="1F497D" w:themeColor="text2"/>
          <w:lang w:eastAsia="en-US"/>
        </w:rPr>
        <w:t xml:space="preserve"> </w:t>
      </w:r>
      <w:r w:rsidRPr="003A2F86">
        <w:rPr>
          <w:rFonts w:ascii="Arial" w:eastAsia="Calibri" w:hAnsi="Arial" w:cs="Arial"/>
          <w:color w:val="1F497D" w:themeColor="text2"/>
          <w:lang w:eastAsia="en-US"/>
        </w:rPr>
        <w:t xml:space="preserve">odnosno </w:t>
      </w:r>
      <w:r w:rsidR="00BB2E7A">
        <w:rPr>
          <w:rFonts w:ascii="Arial" w:eastAsia="Calibri" w:hAnsi="Arial" w:cs="Arial"/>
          <w:color w:val="1F497D" w:themeColor="text2"/>
          <w:lang w:eastAsia="en-US"/>
        </w:rPr>
        <w:t>20,6</w:t>
      </w:r>
      <w:r w:rsidRPr="003A2F86">
        <w:rPr>
          <w:rFonts w:ascii="Arial" w:eastAsia="Calibri" w:hAnsi="Arial" w:cs="Arial"/>
          <w:color w:val="1F497D" w:themeColor="text2"/>
          <w:lang w:eastAsia="en-US"/>
        </w:rPr>
        <w:t xml:space="preserve">% plana. </w:t>
      </w:r>
      <w:r w:rsidR="004D23BF" w:rsidRPr="003A2F86">
        <w:rPr>
          <w:rFonts w:ascii="Arial" w:eastAsia="Calibri" w:hAnsi="Arial" w:cs="Arial"/>
          <w:color w:val="1F497D" w:themeColor="text2"/>
          <w:lang w:eastAsia="en-US"/>
        </w:rPr>
        <w:t>D</w:t>
      </w:r>
      <w:r w:rsidRPr="003A2F86">
        <w:rPr>
          <w:rFonts w:ascii="Arial" w:eastAsia="Calibri" w:hAnsi="Arial" w:cs="Arial"/>
          <w:color w:val="1F497D" w:themeColor="text2"/>
          <w:lang w:eastAsia="en-US"/>
        </w:rPr>
        <w:t xml:space="preserve">ijele se na prihode i primitke općinskog proračuna u iznosu </w:t>
      </w:r>
      <w:r w:rsidR="00BB2E7A">
        <w:rPr>
          <w:rFonts w:ascii="Arial" w:eastAsia="Calibri" w:hAnsi="Arial" w:cs="Arial"/>
          <w:b/>
          <w:color w:val="1F497D" w:themeColor="text2"/>
          <w:u w:val="single"/>
          <w:lang w:eastAsia="en-US"/>
        </w:rPr>
        <w:t>7.438.784,88</w:t>
      </w:r>
      <w:r w:rsidR="00976588" w:rsidRPr="003A2F86">
        <w:rPr>
          <w:rFonts w:ascii="Arial" w:eastAsia="Calibri" w:hAnsi="Arial" w:cs="Arial"/>
          <w:b/>
          <w:color w:val="1F497D" w:themeColor="text2"/>
          <w:u w:val="single"/>
          <w:lang w:eastAsia="en-US"/>
        </w:rPr>
        <w:t xml:space="preserve"> €</w:t>
      </w:r>
      <w:r w:rsidRPr="003A2F86">
        <w:rPr>
          <w:rFonts w:ascii="Arial" w:eastAsia="Calibri" w:hAnsi="Arial" w:cs="Arial"/>
          <w:lang w:eastAsia="en-US"/>
        </w:rPr>
        <w:t xml:space="preserve"> </w:t>
      </w:r>
      <w:r w:rsidRPr="003A2F86">
        <w:rPr>
          <w:rFonts w:ascii="Arial" w:eastAsia="Calibri" w:hAnsi="Arial" w:cs="Arial"/>
          <w:color w:val="244061" w:themeColor="accent1" w:themeShade="80"/>
          <w:lang w:eastAsia="en-US"/>
        </w:rPr>
        <w:t>(</w:t>
      </w:r>
      <w:r w:rsidRPr="003A2F86">
        <w:rPr>
          <w:rFonts w:ascii="Arial" w:eastAsia="Times New Roman" w:hAnsi="Arial" w:cs="Arial"/>
          <w:iCs/>
          <w:color w:val="244061" w:themeColor="accent1" w:themeShade="80"/>
          <w:lang w:eastAsia="en-US"/>
        </w:rPr>
        <w:t>financijski izvještaji razina 22)</w:t>
      </w:r>
      <w:r w:rsidRPr="003A2F86">
        <w:rPr>
          <w:rFonts w:ascii="Arial" w:eastAsia="Calibri" w:hAnsi="Arial" w:cs="Arial"/>
          <w:color w:val="244061" w:themeColor="accent1" w:themeShade="80"/>
          <w:lang w:eastAsia="en-US"/>
        </w:rPr>
        <w:t xml:space="preserve"> </w:t>
      </w:r>
      <w:r w:rsidRPr="003A2F86">
        <w:rPr>
          <w:rFonts w:ascii="Arial" w:eastAsia="Calibri" w:hAnsi="Arial" w:cs="Arial"/>
          <w:color w:val="1F497D" w:themeColor="text2"/>
          <w:lang w:eastAsia="en-US"/>
        </w:rPr>
        <w:t xml:space="preserve">i vlastite prihode četiri proračunska korisnika u iznosu </w:t>
      </w:r>
      <w:r w:rsidR="00A41C77">
        <w:rPr>
          <w:rFonts w:ascii="Arial" w:eastAsia="Calibri" w:hAnsi="Arial" w:cs="Arial"/>
          <w:b/>
          <w:color w:val="1F497D" w:themeColor="text2"/>
          <w:u w:val="single"/>
          <w:lang w:eastAsia="en-US"/>
        </w:rPr>
        <w:t>811.957,18</w:t>
      </w:r>
      <w:r w:rsidR="00976588" w:rsidRPr="003A2F86">
        <w:rPr>
          <w:rFonts w:ascii="Arial" w:eastAsia="Calibri" w:hAnsi="Arial" w:cs="Arial"/>
          <w:b/>
          <w:color w:val="1F497D" w:themeColor="text2"/>
          <w:u w:val="single"/>
          <w:lang w:eastAsia="en-US"/>
        </w:rPr>
        <w:t xml:space="preserve"> €</w:t>
      </w:r>
      <w:r w:rsidRPr="003A2F86">
        <w:rPr>
          <w:rFonts w:ascii="Arial" w:eastAsia="Calibri" w:hAnsi="Arial" w:cs="Arial"/>
          <w:color w:val="1F497D" w:themeColor="text2"/>
          <w:lang w:eastAsia="en-US"/>
        </w:rPr>
        <w:t xml:space="preserve"> </w:t>
      </w:r>
      <w:r w:rsidRPr="003A2F86">
        <w:rPr>
          <w:rFonts w:ascii="Arial" w:eastAsia="Calibri" w:hAnsi="Arial" w:cs="Arial"/>
          <w:color w:val="244061" w:themeColor="accent1" w:themeShade="80"/>
          <w:lang w:eastAsia="en-US"/>
        </w:rPr>
        <w:t xml:space="preserve">(dio </w:t>
      </w:r>
      <w:r w:rsidRPr="003A2F86">
        <w:rPr>
          <w:rFonts w:ascii="Arial" w:eastAsia="Times New Roman" w:hAnsi="Arial" w:cs="Arial"/>
          <w:iCs/>
          <w:color w:val="244061" w:themeColor="accent1" w:themeShade="80"/>
          <w:lang w:eastAsia="en-US"/>
        </w:rPr>
        <w:t>financijskih izvještaja razina 21 i 31)</w:t>
      </w:r>
      <w:r w:rsidRPr="003A2F86">
        <w:rPr>
          <w:rFonts w:ascii="Arial" w:eastAsia="Calibri" w:hAnsi="Arial" w:cs="Arial"/>
          <w:color w:val="244061" w:themeColor="accent1" w:themeShade="80"/>
          <w:lang w:eastAsia="en-US"/>
        </w:rPr>
        <w:t xml:space="preserve">. </w:t>
      </w:r>
    </w:p>
    <w:bookmarkEnd w:id="41"/>
    <w:p w14:paraId="1F3DB4F8" w14:textId="77777777" w:rsidR="000C093F" w:rsidRPr="003A2F86" w:rsidRDefault="000C093F" w:rsidP="00891119">
      <w:pPr>
        <w:autoSpaceDE w:val="0"/>
        <w:autoSpaceDN w:val="0"/>
        <w:adjustRightInd w:val="0"/>
        <w:spacing w:after="0" w:line="240" w:lineRule="auto"/>
        <w:jc w:val="both"/>
        <w:rPr>
          <w:rFonts w:ascii="Arial" w:eastAsia="Calibri" w:hAnsi="Arial" w:cs="Arial"/>
          <w:sz w:val="10"/>
          <w:lang w:eastAsia="en-US"/>
        </w:rPr>
      </w:pPr>
    </w:p>
    <w:p w14:paraId="1D544039" w14:textId="77777777" w:rsidR="00640804" w:rsidRPr="003A2F86" w:rsidRDefault="00640804" w:rsidP="00891119">
      <w:pPr>
        <w:autoSpaceDE w:val="0"/>
        <w:autoSpaceDN w:val="0"/>
        <w:adjustRightInd w:val="0"/>
        <w:spacing w:after="0" w:line="240" w:lineRule="auto"/>
        <w:jc w:val="both"/>
        <w:rPr>
          <w:rFonts w:ascii="Arial" w:eastAsia="Calibri" w:hAnsi="Arial" w:cs="Arial"/>
          <w:sz w:val="10"/>
          <w:lang w:eastAsia="en-US"/>
        </w:rPr>
      </w:pPr>
    </w:p>
    <w:p w14:paraId="4430920A" w14:textId="742DCB1A" w:rsidR="00F70689" w:rsidRPr="003A2F86" w:rsidRDefault="00F70689" w:rsidP="00F70689">
      <w:pPr>
        <w:pStyle w:val="Opisslike"/>
        <w:rPr>
          <w:rFonts w:ascii="Arial" w:hAnsi="Arial" w:cs="Arial"/>
        </w:rPr>
      </w:pPr>
      <w:bookmarkStart w:id="42" w:name="_Toc207707010"/>
      <w:r w:rsidRPr="003A2F86">
        <w:rPr>
          <w:rFonts w:ascii="Arial" w:hAnsi="Arial" w:cs="Arial"/>
          <w:color w:val="FF0000"/>
        </w:rPr>
        <w:t xml:space="preserve">Graf </w:t>
      </w:r>
      <w:r w:rsidRPr="003A2F86">
        <w:rPr>
          <w:rFonts w:ascii="Arial" w:hAnsi="Arial" w:cs="Arial"/>
          <w:color w:val="FF0000"/>
        </w:rPr>
        <w:fldChar w:fldCharType="begin"/>
      </w:r>
      <w:r w:rsidRPr="003A2F86">
        <w:rPr>
          <w:rFonts w:ascii="Arial" w:hAnsi="Arial" w:cs="Arial"/>
          <w:color w:val="FF0000"/>
        </w:rPr>
        <w:instrText xml:space="preserve"> SEQ Graf \* ARABIC </w:instrText>
      </w:r>
      <w:r w:rsidRPr="003A2F86">
        <w:rPr>
          <w:rFonts w:ascii="Arial" w:hAnsi="Arial" w:cs="Arial"/>
          <w:color w:val="FF0000"/>
        </w:rPr>
        <w:fldChar w:fldCharType="separate"/>
      </w:r>
      <w:r w:rsidR="00910987">
        <w:rPr>
          <w:rFonts w:ascii="Arial" w:hAnsi="Arial" w:cs="Arial"/>
          <w:noProof/>
          <w:color w:val="FF0000"/>
        </w:rPr>
        <w:t>5</w:t>
      </w:r>
      <w:r w:rsidRPr="003A2F86">
        <w:rPr>
          <w:rFonts w:ascii="Arial" w:hAnsi="Arial" w:cs="Arial"/>
          <w:color w:val="FF0000"/>
        </w:rPr>
        <w:fldChar w:fldCharType="end"/>
      </w:r>
      <w:r w:rsidRPr="003A2F86">
        <w:rPr>
          <w:rFonts w:ascii="Arial" w:hAnsi="Arial" w:cs="Arial"/>
          <w:color w:val="FF0000"/>
        </w:rPr>
        <w:t>.:</w:t>
      </w:r>
      <w:r w:rsidRPr="003A2F86">
        <w:rPr>
          <w:color w:val="FF0000"/>
        </w:rPr>
        <w:t xml:space="preserve"> </w:t>
      </w:r>
      <w:r w:rsidRPr="003A2F86">
        <w:rPr>
          <w:rFonts w:ascii="Arial" w:hAnsi="Arial" w:cs="Arial"/>
        </w:rPr>
        <w:t xml:space="preserve">Struktura ostvarenih prihoda i primitaka </w:t>
      </w:r>
      <w:r w:rsidR="00B33699" w:rsidRPr="003A2F86">
        <w:rPr>
          <w:rFonts w:ascii="Arial" w:hAnsi="Arial" w:cs="Arial"/>
        </w:rPr>
        <w:t>P</w:t>
      </w:r>
      <w:r w:rsidRPr="003A2F86">
        <w:rPr>
          <w:rFonts w:ascii="Arial" w:hAnsi="Arial" w:cs="Arial"/>
        </w:rPr>
        <w:t>roračuna u</w:t>
      </w:r>
      <w:r w:rsidR="00CA7A06" w:rsidRPr="003A2F86">
        <w:rPr>
          <w:rFonts w:ascii="Arial" w:hAnsi="Arial" w:cs="Arial"/>
        </w:rPr>
        <w:t xml:space="preserve"> </w:t>
      </w:r>
      <w:r w:rsidR="00A41C77">
        <w:rPr>
          <w:rFonts w:ascii="Arial" w:hAnsi="Arial" w:cs="Arial"/>
        </w:rPr>
        <w:t>1-6/</w:t>
      </w:r>
      <w:r w:rsidR="003A45CA" w:rsidRPr="003A2F86">
        <w:rPr>
          <w:rFonts w:ascii="Arial" w:hAnsi="Arial" w:cs="Arial"/>
        </w:rPr>
        <w:t>202</w:t>
      </w:r>
      <w:r w:rsidR="00A41C77">
        <w:rPr>
          <w:rFonts w:ascii="Arial" w:hAnsi="Arial" w:cs="Arial"/>
        </w:rPr>
        <w:t>5</w:t>
      </w:r>
      <w:r w:rsidRPr="003A2F86">
        <w:rPr>
          <w:rFonts w:ascii="Arial" w:hAnsi="Arial" w:cs="Arial"/>
        </w:rPr>
        <w:t>.</w:t>
      </w:r>
      <w:r w:rsidR="00976588" w:rsidRPr="003A2F86">
        <w:rPr>
          <w:rFonts w:asciiTheme="minorHAnsi" w:eastAsiaTheme="minorHAnsi" w:hAnsiTheme="minorHAnsi" w:cstheme="minorBidi"/>
          <w:b w:val="0"/>
          <w:bCs w:val="0"/>
          <w:sz w:val="28"/>
          <w:szCs w:val="28"/>
          <w:lang w:eastAsia="hr-HR"/>
        </w:rPr>
        <w:t xml:space="preserve"> </w:t>
      </w:r>
      <w:r w:rsidRPr="003A2F86">
        <w:rPr>
          <w:rFonts w:ascii="Arial" w:hAnsi="Arial" w:cs="Arial"/>
        </w:rPr>
        <w:t>po korisnicima</w:t>
      </w:r>
      <w:r w:rsidR="004812B6" w:rsidRPr="003A2F86">
        <w:rPr>
          <w:rFonts w:ascii="Arial" w:hAnsi="Arial" w:cs="Arial"/>
        </w:rPr>
        <w:t xml:space="preserve"> (€)</w:t>
      </w:r>
      <w:r w:rsidRPr="003A2F86">
        <w:rPr>
          <w:rFonts w:ascii="Arial" w:hAnsi="Arial" w:cs="Arial"/>
        </w:rPr>
        <w:t xml:space="preserve">: </w:t>
      </w:r>
      <w:r w:rsidRPr="00C41CF6">
        <w:rPr>
          <w:rFonts w:ascii="Arial" w:hAnsi="Arial" w:cs="Arial"/>
          <w:color w:val="1F497D" w:themeColor="text2"/>
        </w:rPr>
        <w:t>Općina</w:t>
      </w:r>
      <w:r w:rsidR="004812B6" w:rsidRPr="003A2F86">
        <w:rPr>
          <w:rFonts w:ascii="Arial" w:hAnsi="Arial" w:cs="Arial"/>
        </w:rPr>
        <w:t xml:space="preserve">, te </w:t>
      </w:r>
      <w:r w:rsidRPr="00C41CF6">
        <w:rPr>
          <w:rFonts w:ascii="Arial" w:hAnsi="Arial" w:cs="Arial"/>
          <w:color w:val="943634" w:themeColor="accent2" w:themeShade="BF"/>
        </w:rPr>
        <w:t xml:space="preserve">proračunski korisnici </w:t>
      </w:r>
      <w:r w:rsidR="004812B6" w:rsidRPr="003A2F86">
        <w:rPr>
          <w:rFonts w:ascii="Arial" w:hAnsi="Arial" w:cs="Arial"/>
        </w:rPr>
        <w:t>zbirno i pojedinačno</w:t>
      </w:r>
      <w:bookmarkEnd w:id="42"/>
    </w:p>
    <w:p w14:paraId="69F61BC3" w14:textId="77777777" w:rsidR="004A2AA6" w:rsidRPr="003A2F86" w:rsidRDefault="004A2AA6" w:rsidP="007B469E">
      <w:pPr>
        <w:spacing w:after="0" w:line="240" w:lineRule="auto"/>
        <w:rPr>
          <w:lang w:eastAsia="en-US"/>
        </w:rPr>
      </w:pPr>
    </w:p>
    <w:p w14:paraId="165F607A" w14:textId="52A7E03D" w:rsidR="00891119" w:rsidRPr="003A2F86" w:rsidRDefault="0047518F" w:rsidP="00891119">
      <w:pPr>
        <w:autoSpaceDE w:val="0"/>
        <w:autoSpaceDN w:val="0"/>
        <w:adjustRightInd w:val="0"/>
        <w:spacing w:after="0" w:line="240" w:lineRule="auto"/>
        <w:jc w:val="center"/>
        <w:rPr>
          <w:rFonts w:ascii="Arial" w:eastAsia="Calibri" w:hAnsi="Arial" w:cs="Arial"/>
          <w:lang w:eastAsia="en-US"/>
        </w:rPr>
      </w:pPr>
      <w:r w:rsidRPr="003A2F86">
        <w:rPr>
          <w:noProof/>
        </w:rPr>
        <mc:AlternateContent>
          <mc:Choice Requires="wps">
            <w:drawing>
              <wp:anchor distT="0" distB="0" distL="114300" distR="114300" simplePos="0" relativeHeight="251745280" behindDoc="0" locked="0" layoutInCell="1" allowOverlap="1" wp14:anchorId="49A2A556" wp14:editId="1A308696">
                <wp:simplePos x="0" y="0"/>
                <wp:positionH relativeFrom="column">
                  <wp:posOffset>6563995</wp:posOffset>
                </wp:positionH>
                <wp:positionV relativeFrom="paragraph">
                  <wp:posOffset>1520825</wp:posOffset>
                </wp:positionV>
                <wp:extent cx="639445" cy="46355"/>
                <wp:effectExtent l="0" t="57150" r="8255" b="29845"/>
                <wp:wrapNone/>
                <wp:docPr id="1789612574" name="Ravni poveznik sa strelicom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9445" cy="46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AEFD3D" id="_x0000_t32" coordsize="21600,21600" o:spt="32" o:oned="t" path="m,l21600,21600e" filled="f">
                <v:path arrowok="t" fillok="f" o:connecttype="none"/>
                <o:lock v:ext="edit" shapetype="t"/>
              </v:shapetype>
              <v:shape id="Ravni poveznik sa strelicom 2" o:spid="_x0000_s1026" type="#_x0000_t32" style="position:absolute;margin-left:516.85pt;margin-top:119.75pt;width:50.35pt;height:3.6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" strokecolor="#4579b8 [3044]">
                <v:stroke endarrow="block"/>
                <o:lock v:ext="edit" shapetype="f"/>
              </v:shape>
            </w:pict>
          </mc:Fallback>
        </mc:AlternateContent>
      </w:r>
      <w:r w:rsidR="00891119" w:rsidRPr="003A2F86">
        <w:rPr>
          <w:rFonts w:ascii="Arial" w:eastAsia="Calibri" w:hAnsi="Arial" w:cs="Arial"/>
          <w:noProof/>
          <w:color w:val="FF0000"/>
        </w:rPr>
        <w:drawing>
          <wp:inline distT="0" distB="0" distL="0" distR="0" wp14:anchorId="3C758F1E" wp14:editId="001306AB">
            <wp:extent cx="8410575" cy="2743200"/>
            <wp:effectExtent l="0" t="0" r="9525"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404EFCD" w14:textId="77777777" w:rsidR="00891119" w:rsidRPr="003A2F86" w:rsidRDefault="00891119" w:rsidP="00891119">
      <w:pPr>
        <w:autoSpaceDE w:val="0"/>
        <w:autoSpaceDN w:val="0"/>
        <w:adjustRightInd w:val="0"/>
        <w:spacing w:after="0" w:line="240" w:lineRule="auto"/>
        <w:jc w:val="both"/>
        <w:rPr>
          <w:rFonts w:ascii="Arial" w:eastAsia="Calibri" w:hAnsi="Arial" w:cs="Arial"/>
          <w:lang w:eastAsia="en-US"/>
        </w:rPr>
      </w:pPr>
    </w:p>
    <w:p w14:paraId="2C707041" w14:textId="5CE7DF7F" w:rsidR="00640804" w:rsidRPr="003A2F86" w:rsidRDefault="00640804" w:rsidP="00891119">
      <w:pPr>
        <w:autoSpaceDE w:val="0"/>
        <w:autoSpaceDN w:val="0"/>
        <w:adjustRightInd w:val="0"/>
        <w:spacing w:after="0" w:line="240" w:lineRule="auto"/>
        <w:jc w:val="both"/>
        <w:rPr>
          <w:rFonts w:ascii="Arial" w:eastAsia="Calibri" w:hAnsi="Arial" w:cs="Arial"/>
          <w:lang w:eastAsia="en-US"/>
        </w:rPr>
      </w:pPr>
    </w:p>
    <w:p w14:paraId="3FB88CB9" w14:textId="15D28B36" w:rsidR="00891119" w:rsidRPr="003A2F86" w:rsidRDefault="00891119" w:rsidP="00891119">
      <w:pPr>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b/>
          <w:i/>
          <w:lang w:eastAsia="en-US"/>
        </w:rPr>
        <w:t>Vlastiti prihodi</w:t>
      </w:r>
      <w:r w:rsidRPr="003A2F86">
        <w:rPr>
          <w:rFonts w:ascii="Arial" w:eastAsia="Calibri" w:hAnsi="Arial" w:cs="Arial"/>
          <w:i/>
          <w:lang w:eastAsia="en-US"/>
        </w:rPr>
        <w:t xml:space="preserve"> </w:t>
      </w:r>
      <w:r w:rsidRPr="00C41CF6">
        <w:rPr>
          <w:rFonts w:ascii="Arial" w:eastAsia="Calibri" w:hAnsi="Arial" w:cs="Arial"/>
          <w:b/>
          <w:i/>
          <w:color w:val="943634" w:themeColor="accent2" w:themeShade="BF"/>
          <w:lang w:eastAsia="en-US"/>
        </w:rPr>
        <w:t>proračunskih korisnika</w:t>
      </w:r>
      <w:r w:rsidRPr="00C41CF6">
        <w:rPr>
          <w:rFonts w:ascii="Arial" w:eastAsia="Calibri" w:hAnsi="Arial" w:cs="Arial"/>
          <w:color w:val="943634" w:themeColor="accent2" w:themeShade="BF"/>
          <w:lang w:eastAsia="en-US"/>
        </w:rPr>
        <w:t xml:space="preserve"> </w:t>
      </w:r>
      <w:r w:rsidRPr="003A2F86">
        <w:rPr>
          <w:rFonts w:ascii="Arial" w:eastAsia="Calibri" w:hAnsi="Arial" w:cs="Arial"/>
          <w:lang w:eastAsia="en-US"/>
        </w:rPr>
        <w:t xml:space="preserve">u iznosu </w:t>
      </w:r>
      <w:r w:rsidR="00A41C77">
        <w:rPr>
          <w:rFonts w:ascii="Arial" w:eastAsia="Calibri" w:hAnsi="Arial" w:cs="Arial"/>
          <w:b/>
          <w:lang w:eastAsia="en-US"/>
        </w:rPr>
        <w:t>811.957,18</w:t>
      </w:r>
      <w:r w:rsidR="00241EEC" w:rsidRPr="003A2F86">
        <w:rPr>
          <w:rFonts w:ascii="Arial" w:eastAsia="Calibri" w:hAnsi="Arial" w:cs="Arial"/>
          <w:b/>
          <w:lang w:eastAsia="en-US"/>
        </w:rPr>
        <w:t xml:space="preserve"> €</w:t>
      </w:r>
      <w:r w:rsidRPr="003A2F86">
        <w:rPr>
          <w:rFonts w:ascii="Arial" w:eastAsia="Calibri" w:hAnsi="Arial" w:cs="Arial"/>
          <w:lang w:eastAsia="en-US"/>
        </w:rPr>
        <w:t xml:space="preserve"> se odnose na:</w:t>
      </w:r>
    </w:p>
    <w:p w14:paraId="6D7D5A6B" w14:textId="2C436CC0" w:rsidR="00241EEC" w:rsidRPr="003A2F86" w:rsidRDefault="00241EEC" w:rsidP="00891119">
      <w:pPr>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lang w:eastAsia="en-US"/>
        </w:rPr>
        <w:t xml:space="preserve">- pomoći iz inozemstva i od subjekata unutar općeg proračuna, pomoći od međunarodnih organizacija (632) u iznosu </w:t>
      </w:r>
      <w:r w:rsidR="00A41C77">
        <w:rPr>
          <w:rFonts w:ascii="Arial" w:eastAsia="Calibri" w:hAnsi="Arial" w:cs="Arial"/>
          <w:lang w:eastAsia="en-US"/>
        </w:rPr>
        <w:t>2.409,00</w:t>
      </w:r>
      <w:r w:rsidRPr="003A2F86">
        <w:rPr>
          <w:rFonts w:ascii="Arial" w:eastAsia="Calibri" w:hAnsi="Arial" w:cs="Arial"/>
          <w:lang w:eastAsia="en-US"/>
        </w:rPr>
        <w:t xml:space="preserve"> € za ustanovu Muzeji i galerije Konavala,</w:t>
      </w:r>
    </w:p>
    <w:p w14:paraId="3A97E8C1" w14:textId="3DCD9B06" w:rsidR="00891119" w:rsidRPr="003A2F86" w:rsidRDefault="00891119" w:rsidP="00891119">
      <w:pPr>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lang w:eastAsia="en-US"/>
        </w:rPr>
        <w:t xml:space="preserve">- pomoći proračunskim korisnicima iz proračuna koji im nije nadležan (636) u iznosu </w:t>
      </w:r>
      <w:r w:rsidR="00A41C77">
        <w:rPr>
          <w:rFonts w:ascii="Arial" w:eastAsia="Calibri" w:hAnsi="Arial" w:cs="Arial"/>
          <w:lang w:eastAsia="en-US"/>
        </w:rPr>
        <w:t>27.240</w:t>
      </w:r>
      <w:r w:rsidR="00003D5F" w:rsidRPr="003A2F86">
        <w:rPr>
          <w:rFonts w:ascii="Arial" w:eastAsia="Calibri" w:hAnsi="Arial" w:cs="Arial"/>
          <w:lang w:eastAsia="en-US"/>
        </w:rPr>
        <w:t>,00</w:t>
      </w:r>
      <w:r w:rsidR="00241EEC" w:rsidRPr="003A2F86">
        <w:rPr>
          <w:rFonts w:ascii="Arial" w:eastAsia="Calibri" w:hAnsi="Arial" w:cs="Arial"/>
          <w:lang w:eastAsia="en-US"/>
        </w:rPr>
        <w:t xml:space="preserve"> €</w:t>
      </w:r>
      <w:r w:rsidRPr="003A2F86">
        <w:rPr>
          <w:rFonts w:ascii="Arial" w:eastAsia="Calibri" w:hAnsi="Arial" w:cs="Arial"/>
          <w:lang w:eastAsia="en-US"/>
        </w:rPr>
        <w:t xml:space="preserve"> i to</w:t>
      </w:r>
      <w:r w:rsidR="003A45CA" w:rsidRPr="003A2F86">
        <w:rPr>
          <w:rFonts w:ascii="Arial" w:eastAsia="Calibri" w:hAnsi="Arial" w:cs="Arial"/>
          <w:lang w:eastAsia="en-US"/>
        </w:rPr>
        <w:t>:</w:t>
      </w:r>
      <w:r w:rsidRPr="003A2F86">
        <w:rPr>
          <w:rFonts w:ascii="Arial" w:eastAsia="Calibri" w:hAnsi="Arial" w:cs="Arial"/>
          <w:lang w:eastAsia="en-US"/>
        </w:rPr>
        <w:t xml:space="preserve"> Dječjim vrtićima (Ministarstvo znanosti, obrazovanja i sporta </w:t>
      </w:r>
      <w:r w:rsidR="00A41C77">
        <w:rPr>
          <w:rFonts w:ascii="Arial" w:eastAsia="Calibri" w:hAnsi="Arial" w:cs="Arial"/>
          <w:lang w:eastAsia="en-US"/>
        </w:rPr>
        <w:t>0</w:t>
      </w:r>
      <w:r w:rsidR="00241EEC" w:rsidRPr="003A2F86">
        <w:rPr>
          <w:rFonts w:ascii="Arial" w:eastAsia="Calibri" w:hAnsi="Arial" w:cs="Arial"/>
          <w:lang w:eastAsia="en-US"/>
        </w:rPr>
        <w:t xml:space="preserve"> €</w:t>
      </w:r>
      <w:r w:rsidRPr="003A2F86">
        <w:rPr>
          <w:rFonts w:ascii="Arial" w:eastAsia="Calibri" w:hAnsi="Arial" w:cs="Arial"/>
          <w:lang w:eastAsia="en-US"/>
        </w:rPr>
        <w:t xml:space="preserve">), </w:t>
      </w:r>
      <w:r w:rsidR="003A45CA" w:rsidRPr="003A2F86">
        <w:rPr>
          <w:rFonts w:ascii="Arial" w:eastAsia="Calibri" w:hAnsi="Arial" w:cs="Arial"/>
          <w:lang w:eastAsia="en-US"/>
        </w:rPr>
        <w:t xml:space="preserve">Muzejima i galerijama Konavala (Ministarstvo kulture </w:t>
      </w:r>
      <w:r w:rsidR="00A41C77">
        <w:rPr>
          <w:rFonts w:ascii="Arial" w:eastAsia="Calibri" w:hAnsi="Arial" w:cs="Arial"/>
          <w:lang w:eastAsia="en-US"/>
        </w:rPr>
        <w:t>24.000</w:t>
      </w:r>
      <w:r w:rsidR="00241EEC" w:rsidRPr="003A2F86">
        <w:rPr>
          <w:rFonts w:ascii="Arial" w:eastAsia="Calibri" w:hAnsi="Arial" w:cs="Arial"/>
          <w:lang w:eastAsia="en-US"/>
        </w:rPr>
        <w:t xml:space="preserve"> €</w:t>
      </w:r>
      <w:r w:rsidR="003A45CA" w:rsidRPr="003A2F86">
        <w:rPr>
          <w:rFonts w:ascii="Arial" w:eastAsia="Calibri" w:hAnsi="Arial" w:cs="Arial"/>
          <w:lang w:eastAsia="en-US"/>
        </w:rPr>
        <w:t>),</w:t>
      </w:r>
      <w:r w:rsidR="00DD33EC" w:rsidRPr="003A2F86">
        <w:rPr>
          <w:rFonts w:ascii="Arial" w:eastAsia="Calibri" w:hAnsi="Arial" w:cs="Arial"/>
          <w:lang w:eastAsia="en-US"/>
        </w:rPr>
        <w:t xml:space="preserve"> </w:t>
      </w:r>
      <w:r w:rsidRPr="003A2F86">
        <w:rPr>
          <w:rFonts w:ascii="Arial" w:eastAsia="Calibri" w:hAnsi="Arial" w:cs="Arial"/>
          <w:lang w:eastAsia="en-US"/>
        </w:rPr>
        <w:t>Javnoj vatrogasnoj postrojbi (</w:t>
      </w:r>
      <w:r w:rsidR="00C46D2F" w:rsidRPr="003A2F86">
        <w:rPr>
          <w:rFonts w:ascii="Arial" w:eastAsia="Calibri" w:hAnsi="Arial" w:cs="Arial"/>
          <w:lang w:eastAsia="en-US"/>
        </w:rPr>
        <w:t>0</w:t>
      </w:r>
      <w:r w:rsidR="00241EEC" w:rsidRPr="003A2F86">
        <w:rPr>
          <w:rFonts w:ascii="Arial" w:eastAsia="Calibri" w:hAnsi="Arial" w:cs="Arial"/>
          <w:lang w:eastAsia="en-US"/>
        </w:rPr>
        <w:t xml:space="preserve"> €</w:t>
      </w:r>
      <w:r w:rsidRPr="003A2F86">
        <w:rPr>
          <w:rFonts w:ascii="Arial" w:eastAsia="Calibri" w:hAnsi="Arial" w:cs="Arial"/>
          <w:lang w:eastAsia="en-US"/>
        </w:rPr>
        <w:t>), Domu za starije i nemoćne osobe (</w:t>
      </w:r>
      <w:r w:rsidR="00A41C77">
        <w:rPr>
          <w:rFonts w:ascii="Arial" w:eastAsia="Calibri" w:hAnsi="Arial" w:cs="Arial"/>
          <w:lang w:eastAsia="en-US"/>
        </w:rPr>
        <w:t>3.240</w:t>
      </w:r>
      <w:r w:rsidR="00241EEC" w:rsidRPr="003A2F86">
        <w:rPr>
          <w:rFonts w:ascii="Arial" w:eastAsia="Calibri" w:hAnsi="Arial" w:cs="Arial"/>
          <w:lang w:eastAsia="en-US"/>
        </w:rPr>
        <w:t xml:space="preserve"> €</w:t>
      </w:r>
      <w:r w:rsidRPr="003A2F86">
        <w:rPr>
          <w:rFonts w:ascii="Arial" w:eastAsia="Calibri" w:hAnsi="Arial" w:cs="Arial"/>
          <w:lang w:eastAsia="en-US"/>
        </w:rPr>
        <w:t xml:space="preserve">), </w:t>
      </w:r>
    </w:p>
    <w:p w14:paraId="70C9124C" w14:textId="077059AD" w:rsidR="00891119" w:rsidRPr="003A2F86" w:rsidRDefault="00891119" w:rsidP="00891119">
      <w:pPr>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lang w:eastAsia="en-US"/>
        </w:rPr>
        <w:t xml:space="preserve">- prihodi po posebnim propisima (652) - ostali nespomenuti prihodi (6526) u iznosu </w:t>
      </w:r>
      <w:r w:rsidR="00A41C77">
        <w:rPr>
          <w:rFonts w:ascii="Arial" w:eastAsia="Calibri" w:hAnsi="Arial" w:cs="Arial"/>
          <w:lang w:eastAsia="en-US"/>
        </w:rPr>
        <w:t>720.839</w:t>
      </w:r>
      <w:r w:rsidR="00241EEC" w:rsidRPr="003A2F86">
        <w:rPr>
          <w:rFonts w:ascii="Arial" w:eastAsia="Calibri" w:hAnsi="Arial" w:cs="Arial"/>
          <w:lang w:eastAsia="en-US"/>
        </w:rPr>
        <w:t xml:space="preserve"> €</w:t>
      </w:r>
      <w:r w:rsidRPr="003A2F86">
        <w:rPr>
          <w:rFonts w:ascii="Arial" w:eastAsia="Calibri" w:hAnsi="Arial" w:cs="Arial"/>
          <w:lang w:eastAsia="en-US"/>
        </w:rPr>
        <w:t xml:space="preserve"> i to: Dječji vrtić </w:t>
      </w:r>
      <w:r w:rsidR="00A41C77">
        <w:rPr>
          <w:rFonts w:ascii="Arial" w:eastAsia="Calibri" w:hAnsi="Arial" w:cs="Arial"/>
          <w:lang w:eastAsia="en-US"/>
        </w:rPr>
        <w:t>243.743,30</w:t>
      </w:r>
      <w:r w:rsidR="00241EEC" w:rsidRPr="003A2F86">
        <w:rPr>
          <w:rFonts w:ascii="Arial" w:eastAsia="Calibri" w:hAnsi="Arial" w:cs="Arial"/>
          <w:lang w:eastAsia="en-US"/>
        </w:rPr>
        <w:t xml:space="preserve"> €</w:t>
      </w:r>
      <w:r w:rsidRPr="003A2F86">
        <w:rPr>
          <w:rFonts w:ascii="Arial" w:eastAsia="Calibri" w:hAnsi="Arial" w:cs="Arial"/>
          <w:lang w:eastAsia="en-US"/>
        </w:rPr>
        <w:t xml:space="preserve"> (sufinanciranje smještaja djece u vrtiću), Muzeji i galerije Konavala </w:t>
      </w:r>
      <w:r w:rsidR="00A41C77">
        <w:rPr>
          <w:rFonts w:ascii="Arial" w:eastAsia="Calibri" w:hAnsi="Arial" w:cs="Arial"/>
          <w:lang w:eastAsia="en-US"/>
        </w:rPr>
        <w:t>11.724,31</w:t>
      </w:r>
      <w:r w:rsidR="00241EEC" w:rsidRPr="003A2F86">
        <w:rPr>
          <w:rFonts w:ascii="Arial" w:eastAsia="Calibri" w:hAnsi="Arial" w:cs="Arial"/>
          <w:lang w:eastAsia="en-US"/>
        </w:rPr>
        <w:t xml:space="preserve"> €</w:t>
      </w:r>
      <w:r w:rsidRPr="003A2F86">
        <w:rPr>
          <w:rFonts w:ascii="Arial" w:eastAsia="Calibri" w:hAnsi="Arial" w:cs="Arial"/>
          <w:lang w:eastAsia="en-US"/>
        </w:rPr>
        <w:t xml:space="preserve"> (ulaznice), Dom za starije i nemoćne osobe </w:t>
      </w:r>
      <w:r w:rsidR="00A41C77">
        <w:rPr>
          <w:rFonts w:ascii="Arial" w:eastAsia="Calibri" w:hAnsi="Arial" w:cs="Arial"/>
          <w:lang w:eastAsia="en-US"/>
        </w:rPr>
        <w:t>465.371,39</w:t>
      </w:r>
      <w:r w:rsidR="00241EEC" w:rsidRPr="003A2F86">
        <w:rPr>
          <w:rFonts w:ascii="Arial" w:eastAsia="Calibri" w:hAnsi="Arial" w:cs="Arial"/>
          <w:lang w:eastAsia="en-US"/>
        </w:rPr>
        <w:t xml:space="preserve"> €</w:t>
      </w:r>
      <w:r w:rsidRPr="003A2F86">
        <w:rPr>
          <w:rFonts w:ascii="Arial" w:eastAsia="Calibri" w:hAnsi="Arial" w:cs="Arial"/>
          <w:lang w:eastAsia="en-US"/>
        </w:rPr>
        <w:t xml:space="preserve"> (sufinanciranje smještaja starijih osoba u domu</w:t>
      </w:r>
      <w:r w:rsidR="00241EEC" w:rsidRPr="003A2F86">
        <w:rPr>
          <w:rFonts w:ascii="Arial" w:eastAsia="Calibri" w:hAnsi="Arial" w:cs="Arial"/>
          <w:lang w:eastAsia="en-US"/>
        </w:rPr>
        <w:t xml:space="preserve"> </w:t>
      </w:r>
      <w:r w:rsidR="00A41C77">
        <w:rPr>
          <w:rFonts w:ascii="Arial" w:eastAsia="Calibri" w:hAnsi="Arial" w:cs="Arial"/>
          <w:lang w:eastAsia="en-US"/>
        </w:rPr>
        <w:t>463.420,64</w:t>
      </w:r>
      <w:r w:rsidR="00241EEC" w:rsidRPr="003A2F86">
        <w:rPr>
          <w:rFonts w:ascii="Arial" w:eastAsia="Calibri" w:hAnsi="Arial" w:cs="Arial"/>
          <w:lang w:eastAsia="en-US"/>
        </w:rPr>
        <w:t xml:space="preserve"> € i refundacija štete </w:t>
      </w:r>
      <w:r w:rsidR="00A41C77">
        <w:rPr>
          <w:rFonts w:ascii="Arial" w:eastAsia="Calibri" w:hAnsi="Arial" w:cs="Arial"/>
          <w:lang w:eastAsia="en-US"/>
        </w:rPr>
        <w:t>1.950,75</w:t>
      </w:r>
      <w:r w:rsidR="00241EEC" w:rsidRPr="003A2F86">
        <w:rPr>
          <w:rFonts w:ascii="Arial" w:eastAsia="Calibri" w:hAnsi="Arial" w:cs="Arial"/>
          <w:lang w:eastAsia="en-US"/>
        </w:rPr>
        <w:t xml:space="preserve"> €</w:t>
      </w:r>
      <w:r w:rsidRPr="003A2F86">
        <w:rPr>
          <w:rFonts w:ascii="Arial" w:eastAsia="Calibri" w:hAnsi="Arial" w:cs="Arial"/>
          <w:lang w:eastAsia="en-US"/>
        </w:rPr>
        <w:t>),</w:t>
      </w:r>
    </w:p>
    <w:p w14:paraId="6CCFD3CF" w14:textId="79099430" w:rsidR="00891119" w:rsidRPr="003A2F86" w:rsidRDefault="00891119" w:rsidP="00891119">
      <w:pPr>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lang w:eastAsia="en-US"/>
        </w:rPr>
        <w:lastRenderedPageBreak/>
        <w:t xml:space="preserve">- prihodi od prodaje proizvoda i pružanja usluga (661) </w:t>
      </w:r>
      <w:r w:rsidR="00A41C77">
        <w:rPr>
          <w:rFonts w:ascii="Arial" w:eastAsia="Calibri" w:hAnsi="Arial" w:cs="Arial"/>
          <w:lang w:eastAsia="en-US"/>
        </w:rPr>
        <w:t>61.016,19</w:t>
      </w:r>
      <w:r w:rsidR="00241EEC" w:rsidRPr="003A2F86">
        <w:rPr>
          <w:rFonts w:ascii="Arial" w:eastAsia="Calibri" w:hAnsi="Arial" w:cs="Arial"/>
          <w:lang w:eastAsia="en-US"/>
        </w:rPr>
        <w:t xml:space="preserve"> €</w:t>
      </w:r>
      <w:r w:rsidRPr="003A2F86">
        <w:rPr>
          <w:rFonts w:ascii="Arial" w:eastAsia="Calibri" w:hAnsi="Arial" w:cs="Arial"/>
          <w:lang w:eastAsia="en-US"/>
        </w:rPr>
        <w:t xml:space="preserve"> i to Dječji vrtić (usluge produženog boravka djece u osnovnoj školi Gruda</w:t>
      </w:r>
      <w:r w:rsidR="00DD7DA3" w:rsidRPr="003A2F86">
        <w:rPr>
          <w:rFonts w:ascii="Arial" w:eastAsia="Calibri" w:hAnsi="Arial" w:cs="Arial"/>
          <w:lang w:eastAsia="en-US"/>
        </w:rPr>
        <w:t xml:space="preserve"> i područnoj školi Čilipi</w:t>
      </w:r>
      <w:r w:rsidR="00FB5028" w:rsidRPr="003A2F86">
        <w:rPr>
          <w:rFonts w:ascii="Arial" w:eastAsia="Calibri" w:hAnsi="Arial" w:cs="Arial"/>
          <w:lang w:eastAsia="en-US"/>
        </w:rPr>
        <w:t>, te najma</w:t>
      </w:r>
      <w:r w:rsidRPr="003A2F86">
        <w:rPr>
          <w:rFonts w:ascii="Arial" w:eastAsia="Calibri" w:hAnsi="Arial" w:cs="Arial"/>
          <w:lang w:eastAsia="en-US"/>
        </w:rPr>
        <w:t xml:space="preserve">) </w:t>
      </w:r>
      <w:r w:rsidR="00A41C77">
        <w:rPr>
          <w:rFonts w:ascii="Arial" w:eastAsia="Calibri" w:hAnsi="Arial" w:cs="Arial"/>
          <w:lang w:eastAsia="en-US"/>
        </w:rPr>
        <w:t>18.359,35</w:t>
      </w:r>
      <w:r w:rsidR="00241EEC" w:rsidRPr="003A2F86">
        <w:rPr>
          <w:rFonts w:ascii="Arial" w:eastAsia="Calibri" w:hAnsi="Arial" w:cs="Arial"/>
          <w:lang w:eastAsia="en-US"/>
        </w:rPr>
        <w:t xml:space="preserve"> €</w:t>
      </w:r>
      <w:r w:rsidRPr="003A2F86">
        <w:rPr>
          <w:rFonts w:ascii="Arial" w:eastAsia="Calibri" w:hAnsi="Arial" w:cs="Arial"/>
          <w:lang w:eastAsia="en-US"/>
        </w:rPr>
        <w:t xml:space="preserve">, Muzeji i galerije Konavala (prodaja suvenira, razglednica i sl.) </w:t>
      </w:r>
      <w:r w:rsidR="00A41C77">
        <w:rPr>
          <w:rFonts w:ascii="Arial" w:eastAsia="Calibri" w:hAnsi="Arial" w:cs="Arial"/>
          <w:lang w:eastAsia="en-US"/>
        </w:rPr>
        <w:t>39.866,84</w:t>
      </w:r>
      <w:r w:rsidR="00241EEC" w:rsidRPr="003A2F86">
        <w:rPr>
          <w:rFonts w:ascii="Arial" w:eastAsia="Calibri" w:hAnsi="Arial" w:cs="Arial"/>
          <w:lang w:eastAsia="en-US"/>
        </w:rPr>
        <w:t xml:space="preserve"> €</w:t>
      </w:r>
      <w:r w:rsidRPr="003A2F86">
        <w:rPr>
          <w:rFonts w:ascii="Arial" w:eastAsia="Calibri" w:hAnsi="Arial" w:cs="Arial"/>
          <w:lang w:eastAsia="en-US"/>
        </w:rPr>
        <w:t xml:space="preserve">, Dom za starije i nemoćne osobe (usluga dnevnog boravka u domu </w:t>
      </w:r>
      <w:r w:rsidR="00A41C77">
        <w:rPr>
          <w:rFonts w:ascii="Arial" w:eastAsia="Calibri" w:hAnsi="Arial" w:cs="Arial"/>
          <w:lang w:eastAsia="en-US"/>
        </w:rPr>
        <w:t>2.790,00</w:t>
      </w:r>
      <w:r w:rsidR="00241EEC" w:rsidRPr="003A2F86">
        <w:rPr>
          <w:rFonts w:ascii="Arial" w:eastAsia="Calibri" w:hAnsi="Arial" w:cs="Arial"/>
          <w:lang w:eastAsia="en-US"/>
        </w:rPr>
        <w:t xml:space="preserve"> €</w:t>
      </w:r>
      <w:r w:rsidRPr="003A2F86">
        <w:rPr>
          <w:rFonts w:ascii="Arial" w:eastAsia="Calibri" w:hAnsi="Arial" w:cs="Arial"/>
          <w:lang w:eastAsia="en-US"/>
        </w:rPr>
        <w:t xml:space="preserve">), </w:t>
      </w:r>
    </w:p>
    <w:p w14:paraId="4C674D33" w14:textId="1E12612E" w:rsidR="00891119" w:rsidRPr="003A2F86" w:rsidRDefault="00891119" w:rsidP="00891119">
      <w:pPr>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lang w:eastAsia="en-US"/>
        </w:rPr>
        <w:t xml:space="preserve">- </w:t>
      </w:r>
      <w:r w:rsidR="004309F8" w:rsidRPr="003A2F86">
        <w:rPr>
          <w:rFonts w:ascii="Arial" w:eastAsia="Calibri" w:hAnsi="Arial" w:cs="Arial"/>
          <w:lang w:eastAsia="en-US"/>
        </w:rPr>
        <w:t xml:space="preserve">ostali </w:t>
      </w:r>
      <w:r w:rsidRPr="003A2F86">
        <w:rPr>
          <w:rFonts w:ascii="Arial" w:eastAsia="Calibri" w:hAnsi="Arial" w:cs="Arial"/>
          <w:lang w:eastAsia="en-US"/>
        </w:rPr>
        <w:t xml:space="preserve">prihodi </w:t>
      </w:r>
      <w:r w:rsidR="00943155" w:rsidRPr="003A2F86">
        <w:rPr>
          <w:rFonts w:ascii="Arial" w:eastAsia="Calibri" w:hAnsi="Arial" w:cs="Arial"/>
          <w:lang w:eastAsia="en-US"/>
        </w:rPr>
        <w:t xml:space="preserve">(683) </w:t>
      </w:r>
      <w:r w:rsidRPr="003A2F86">
        <w:rPr>
          <w:rFonts w:ascii="Arial" w:eastAsia="Calibri" w:hAnsi="Arial" w:cs="Arial"/>
          <w:lang w:eastAsia="en-US"/>
        </w:rPr>
        <w:t xml:space="preserve">u iznosu </w:t>
      </w:r>
      <w:r w:rsidR="00A41C77">
        <w:rPr>
          <w:rFonts w:ascii="Arial" w:eastAsia="Calibri" w:hAnsi="Arial" w:cs="Arial"/>
          <w:lang w:eastAsia="en-US"/>
        </w:rPr>
        <w:t>402,99</w:t>
      </w:r>
      <w:r w:rsidR="009F445F" w:rsidRPr="003A2F86">
        <w:rPr>
          <w:rFonts w:ascii="Arial" w:eastAsia="Calibri" w:hAnsi="Arial" w:cs="Arial"/>
          <w:lang w:eastAsia="en-US"/>
        </w:rPr>
        <w:t xml:space="preserve"> €</w:t>
      </w:r>
      <w:r w:rsidRPr="003A2F86">
        <w:rPr>
          <w:rFonts w:ascii="Arial" w:eastAsia="Calibri" w:hAnsi="Arial" w:cs="Arial"/>
          <w:lang w:eastAsia="en-US"/>
        </w:rPr>
        <w:t xml:space="preserve"> i to: Dom za starij</w:t>
      </w:r>
      <w:r w:rsidR="00741066" w:rsidRPr="003A2F86">
        <w:rPr>
          <w:rFonts w:ascii="Arial" w:eastAsia="Calibri" w:hAnsi="Arial" w:cs="Arial"/>
          <w:lang w:eastAsia="en-US"/>
        </w:rPr>
        <w:t>e i nemoćne osobe</w:t>
      </w:r>
      <w:r w:rsidR="00D06194" w:rsidRPr="003A2F86">
        <w:rPr>
          <w:rFonts w:ascii="Arial" w:eastAsia="Calibri" w:hAnsi="Arial" w:cs="Arial"/>
          <w:lang w:eastAsia="en-US"/>
        </w:rPr>
        <w:t>.</w:t>
      </w:r>
    </w:p>
    <w:p w14:paraId="32098A40" w14:textId="77777777" w:rsidR="00891119" w:rsidRPr="003A2F86" w:rsidRDefault="00891119" w:rsidP="00891119">
      <w:pPr>
        <w:autoSpaceDE w:val="0"/>
        <w:autoSpaceDN w:val="0"/>
        <w:adjustRightInd w:val="0"/>
        <w:spacing w:after="0" w:line="240" w:lineRule="auto"/>
        <w:jc w:val="both"/>
        <w:rPr>
          <w:rFonts w:ascii="Arial" w:eastAsia="Calibri" w:hAnsi="Arial" w:cs="Arial"/>
          <w:lang w:eastAsia="en-US"/>
        </w:rPr>
      </w:pPr>
    </w:p>
    <w:p w14:paraId="3309823B" w14:textId="5C9A9527" w:rsidR="00891119" w:rsidRPr="003A2F86" w:rsidRDefault="00891119" w:rsidP="00891119">
      <w:pPr>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i/>
          <w:lang w:eastAsia="en-US"/>
        </w:rPr>
        <w:t>Prihodi iz nadležnog proračuna Općine Konavle za financiranje redovne djelatnosti četiri proračunska korisnika</w:t>
      </w:r>
      <w:r w:rsidRPr="003A2F86">
        <w:rPr>
          <w:rFonts w:ascii="Arial" w:eastAsia="Calibri" w:hAnsi="Arial" w:cs="Arial"/>
          <w:lang w:eastAsia="en-US"/>
        </w:rPr>
        <w:t xml:space="preserve"> (671) izvršeni su u ukupnom iznosu </w:t>
      </w:r>
      <w:r w:rsidR="00A41C77">
        <w:rPr>
          <w:rFonts w:ascii="Arial" w:eastAsia="Calibri" w:hAnsi="Arial" w:cs="Arial"/>
          <w:b/>
          <w:bCs/>
          <w:lang w:eastAsia="en-US"/>
        </w:rPr>
        <w:t>2.280.770,24</w:t>
      </w:r>
      <w:r w:rsidR="009F445F" w:rsidRPr="003A2F86">
        <w:rPr>
          <w:rFonts w:ascii="Arial" w:eastAsia="Calibri" w:hAnsi="Arial" w:cs="Arial"/>
          <w:b/>
          <w:bCs/>
          <w:lang w:eastAsia="en-US"/>
        </w:rPr>
        <w:t xml:space="preserve"> €</w:t>
      </w:r>
      <w:r w:rsidRPr="003A2F86">
        <w:rPr>
          <w:rFonts w:ascii="Arial" w:eastAsia="Calibri" w:hAnsi="Arial" w:cs="Arial"/>
          <w:lang w:eastAsia="en-US"/>
        </w:rPr>
        <w:t xml:space="preserve"> (financijskim izvještajima Općine, razina 22, navedeni prijenosi su iskazani na računu 367 – prijenosi proračunskim korisnicima za financiranje redovne djelatnosti</w:t>
      </w:r>
      <w:r w:rsidR="00560934" w:rsidRPr="003A2F86">
        <w:rPr>
          <w:rFonts w:ascii="Arial" w:eastAsia="Calibri" w:hAnsi="Arial" w:cs="Arial"/>
          <w:lang w:eastAsia="en-US"/>
        </w:rPr>
        <w:t>)</w:t>
      </w:r>
      <w:r w:rsidRPr="003A2F86">
        <w:rPr>
          <w:rFonts w:ascii="Arial" w:eastAsia="Calibri" w:hAnsi="Arial" w:cs="Arial"/>
          <w:lang w:eastAsia="en-US"/>
        </w:rPr>
        <w:t xml:space="preserve">. </w:t>
      </w:r>
    </w:p>
    <w:p w14:paraId="0ED5E821" w14:textId="77777777" w:rsidR="000B54B6" w:rsidRPr="003A2F86" w:rsidRDefault="000B54B6" w:rsidP="00891119">
      <w:pPr>
        <w:autoSpaceDE w:val="0"/>
        <w:autoSpaceDN w:val="0"/>
        <w:adjustRightInd w:val="0"/>
        <w:spacing w:after="0" w:line="240" w:lineRule="auto"/>
        <w:jc w:val="both"/>
        <w:rPr>
          <w:rFonts w:ascii="Arial" w:eastAsia="Calibri" w:hAnsi="Arial" w:cs="Arial"/>
          <w:lang w:eastAsia="en-US"/>
        </w:rPr>
      </w:pPr>
    </w:p>
    <w:p w14:paraId="56DACED3" w14:textId="3C6A8A7D" w:rsidR="002171BD" w:rsidRPr="003A2F86" w:rsidRDefault="00602E49" w:rsidP="002171BD">
      <w:pPr>
        <w:pStyle w:val="Opisslike"/>
        <w:keepNext/>
      </w:pPr>
      <w:bookmarkStart w:id="43" w:name="_Toc207706978"/>
      <w:r w:rsidRPr="003A2F86">
        <w:rPr>
          <w:color w:val="FF0000"/>
        </w:rPr>
        <w:t xml:space="preserve">Tablica </w:t>
      </w:r>
      <w:r w:rsidR="002A3DE2" w:rsidRPr="003A2F86">
        <w:rPr>
          <w:color w:val="FF0000"/>
        </w:rPr>
        <w:fldChar w:fldCharType="begin"/>
      </w:r>
      <w:r w:rsidR="002A3DE2" w:rsidRPr="003A2F86">
        <w:rPr>
          <w:color w:val="FF0000"/>
        </w:rPr>
        <w:instrText xml:space="preserve"> SEQ Tablica \* ARABIC </w:instrText>
      </w:r>
      <w:r w:rsidR="002A3DE2" w:rsidRPr="003A2F86">
        <w:rPr>
          <w:color w:val="FF0000"/>
        </w:rPr>
        <w:fldChar w:fldCharType="separate"/>
      </w:r>
      <w:r w:rsidR="00910987">
        <w:rPr>
          <w:noProof/>
          <w:color w:val="FF0000"/>
        </w:rPr>
        <w:t>14</w:t>
      </w:r>
      <w:r w:rsidR="002A3DE2" w:rsidRPr="003A2F86">
        <w:rPr>
          <w:color w:val="FF0000"/>
        </w:rPr>
        <w:fldChar w:fldCharType="end"/>
      </w:r>
      <w:r w:rsidRPr="003A2F86">
        <w:t xml:space="preserve">.: </w:t>
      </w:r>
      <w:r w:rsidR="00FB2837" w:rsidRPr="003A2F86">
        <w:rPr>
          <w:rFonts w:ascii="Arial" w:eastAsia="Calibri" w:hAnsi="Arial" w:cs="Arial"/>
        </w:rPr>
        <w:t xml:space="preserve">Rekapitulacija </w:t>
      </w:r>
      <w:r w:rsidR="00FB2837" w:rsidRPr="003A2F86">
        <w:rPr>
          <w:rFonts w:ascii="Arial" w:eastAsia="Calibri" w:hAnsi="Arial" w:cs="Arial"/>
          <w:u w:val="single"/>
        </w:rPr>
        <w:t>prihoda</w:t>
      </w:r>
      <w:r w:rsidR="00FB2837" w:rsidRPr="003A2F86">
        <w:rPr>
          <w:rFonts w:ascii="Arial" w:eastAsia="Calibri" w:hAnsi="Arial" w:cs="Arial"/>
        </w:rPr>
        <w:t xml:space="preserve"> </w:t>
      </w:r>
      <w:r w:rsidR="00FB2837" w:rsidRPr="003A2F86">
        <w:rPr>
          <w:rFonts w:ascii="Arial" w:eastAsia="Calibri" w:hAnsi="Arial" w:cs="Arial"/>
          <w:color w:val="C0504D" w:themeColor="accent2"/>
        </w:rPr>
        <w:t xml:space="preserve">proračunskih korisnika </w:t>
      </w:r>
      <w:r w:rsidR="00FB2837" w:rsidRPr="003A2F86">
        <w:rPr>
          <w:rFonts w:ascii="Arial" w:eastAsia="Calibri" w:hAnsi="Arial" w:cs="Arial"/>
        </w:rPr>
        <w:t xml:space="preserve">u </w:t>
      </w:r>
      <w:r w:rsidR="00A41C77">
        <w:rPr>
          <w:rFonts w:ascii="Arial" w:eastAsia="Calibri" w:hAnsi="Arial" w:cs="Arial"/>
        </w:rPr>
        <w:t>1-6/</w:t>
      </w:r>
      <w:r w:rsidR="00741066" w:rsidRPr="003A2F86">
        <w:rPr>
          <w:rFonts w:ascii="Arial" w:eastAsia="Calibri" w:hAnsi="Arial" w:cs="Arial"/>
        </w:rPr>
        <w:t>202</w:t>
      </w:r>
      <w:r w:rsidR="00A41C77">
        <w:rPr>
          <w:rFonts w:ascii="Arial" w:eastAsia="Calibri" w:hAnsi="Arial" w:cs="Arial"/>
        </w:rPr>
        <w:t>5</w:t>
      </w:r>
      <w:r w:rsidR="00FB2837" w:rsidRPr="003A2F86">
        <w:rPr>
          <w:rFonts w:ascii="Arial" w:eastAsia="Calibri" w:hAnsi="Arial" w:cs="Arial"/>
        </w:rPr>
        <w:t>. po izvorima financiranja</w:t>
      </w:r>
      <w:r w:rsidR="007B469E" w:rsidRPr="003A2F86">
        <w:rPr>
          <w:rFonts w:ascii="Arial" w:eastAsia="Calibri" w:hAnsi="Arial" w:cs="Arial"/>
        </w:rPr>
        <w:t xml:space="preserve"> (€)</w:t>
      </w:r>
      <w:r w:rsidR="002171BD" w:rsidRPr="003A2F86">
        <w:rPr>
          <w:rFonts w:ascii="Arial" w:eastAsia="Calibri" w:hAnsi="Arial" w:cs="Arial"/>
        </w:rPr>
        <w:t xml:space="preserve"> – prihodi iz općinskog proračuna i vlastiti prihodi</w:t>
      </w:r>
      <w:bookmarkEnd w:id="43"/>
    </w:p>
    <w:p w14:paraId="682CDA23" w14:textId="77777777" w:rsidR="00B21CA6" w:rsidRPr="003A2F86" w:rsidRDefault="00B21CA6" w:rsidP="00CC25F5">
      <w:pPr>
        <w:autoSpaceDE w:val="0"/>
        <w:autoSpaceDN w:val="0"/>
        <w:adjustRightInd w:val="0"/>
        <w:spacing w:after="0" w:line="240" w:lineRule="auto"/>
        <w:jc w:val="both"/>
        <w:rPr>
          <w:rFonts w:ascii="Arial" w:eastAsia="Times New Roman" w:hAnsi="Arial" w:cs="Arial"/>
          <w:bCs/>
          <w:sz w:val="18"/>
          <w:szCs w:val="16"/>
          <w:lang w:eastAsia="en-US"/>
        </w:rPr>
      </w:pPr>
    </w:p>
    <w:p w14:paraId="210A358D" w14:textId="43B2C1FA" w:rsidR="0059620A" w:rsidRPr="003A2F86" w:rsidRDefault="0059620A" w:rsidP="00B21CA6">
      <w:pPr>
        <w:autoSpaceDE w:val="0"/>
        <w:autoSpaceDN w:val="0"/>
        <w:adjustRightInd w:val="0"/>
        <w:spacing w:after="0" w:line="240" w:lineRule="auto"/>
        <w:jc w:val="center"/>
        <w:rPr>
          <w:rFonts w:ascii="Arial" w:eastAsia="Times New Roman" w:hAnsi="Arial" w:cs="Arial"/>
          <w:b/>
          <w:i/>
          <w:iCs/>
          <w:sz w:val="18"/>
          <w:szCs w:val="16"/>
          <w:u w:val="single"/>
          <w:lang w:eastAsia="en-US"/>
        </w:rPr>
      </w:pPr>
      <w:r w:rsidRPr="0059620A">
        <w:rPr>
          <w:noProof/>
        </w:rPr>
        <w:drawing>
          <wp:inline distT="0" distB="0" distL="0" distR="0" wp14:anchorId="6974BDD0" wp14:editId="2CDD5FD9">
            <wp:extent cx="7578725" cy="1126490"/>
            <wp:effectExtent l="0" t="0" r="3175" b="0"/>
            <wp:docPr id="46070506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78725" cy="1126490"/>
                    </a:xfrm>
                    <a:prstGeom prst="rect">
                      <a:avLst/>
                    </a:prstGeom>
                    <a:noFill/>
                    <a:ln>
                      <a:noFill/>
                    </a:ln>
                  </pic:spPr>
                </pic:pic>
              </a:graphicData>
            </a:graphic>
          </wp:inline>
        </w:drawing>
      </w:r>
    </w:p>
    <w:p w14:paraId="3F9DF69E" w14:textId="1BB96010" w:rsidR="00CC25F5" w:rsidRPr="002340D1" w:rsidRDefault="00CC25F5" w:rsidP="00CC25F5">
      <w:pPr>
        <w:autoSpaceDE w:val="0"/>
        <w:autoSpaceDN w:val="0"/>
        <w:adjustRightInd w:val="0"/>
        <w:spacing w:after="0" w:line="240" w:lineRule="auto"/>
        <w:jc w:val="both"/>
        <w:rPr>
          <w:rFonts w:ascii="Arial" w:eastAsia="Times New Roman" w:hAnsi="Arial" w:cs="Arial"/>
          <w:b/>
          <w:i/>
          <w:iCs/>
          <w:sz w:val="18"/>
          <w:szCs w:val="16"/>
          <w:u w:val="single"/>
          <w:lang w:eastAsia="en-US"/>
        </w:rPr>
      </w:pPr>
      <w:r w:rsidRPr="002340D1">
        <w:rPr>
          <w:rFonts w:ascii="Arial" w:eastAsia="Times New Roman" w:hAnsi="Arial" w:cs="Arial"/>
          <w:b/>
          <w:i/>
          <w:iCs/>
          <w:sz w:val="18"/>
          <w:szCs w:val="16"/>
          <w:u w:val="single"/>
          <w:lang w:eastAsia="en-US"/>
        </w:rPr>
        <w:t>Obrazloženje izračuna:</w:t>
      </w:r>
    </w:p>
    <w:p w14:paraId="7DC73550" w14:textId="75C9A23C" w:rsidR="00CC25F5" w:rsidRPr="002340D1" w:rsidRDefault="00CC25F5" w:rsidP="00CC25F5">
      <w:pPr>
        <w:autoSpaceDE w:val="0"/>
        <w:autoSpaceDN w:val="0"/>
        <w:adjustRightInd w:val="0"/>
        <w:spacing w:after="0" w:line="240" w:lineRule="auto"/>
        <w:jc w:val="both"/>
        <w:rPr>
          <w:rFonts w:ascii="Arial" w:eastAsia="Times New Roman" w:hAnsi="Arial" w:cs="Arial"/>
          <w:iCs/>
          <w:sz w:val="18"/>
          <w:szCs w:val="16"/>
          <w:lang w:eastAsia="en-US"/>
        </w:rPr>
      </w:pPr>
      <w:r w:rsidRPr="002340D1">
        <w:rPr>
          <w:rFonts w:ascii="Arial" w:eastAsia="Times New Roman" w:hAnsi="Arial" w:cs="Arial"/>
          <w:b/>
          <w:iCs/>
          <w:sz w:val="18"/>
          <w:szCs w:val="16"/>
          <w:lang w:eastAsia="en-US"/>
        </w:rPr>
        <w:t xml:space="preserve">* ukupni prihodi PK iznose </w:t>
      </w:r>
      <w:r w:rsidR="0059620A" w:rsidRPr="002340D1">
        <w:rPr>
          <w:rFonts w:ascii="Arial" w:eastAsia="Times New Roman" w:hAnsi="Arial" w:cs="Arial"/>
          <w:b/>
          <w:iCs/>
          <w:sz w:val="18"/>
          <w:szCs w:val="16"/>
          <w:lang w:eastAsia="en-US"/>
        </w:rPr>
        <w:t>3.092.727,42</w:t>
      </w:r>
      <w:r w:rsidR="009F445F" w:rsidRPr="002340D1">
        <w:rPr>
          <w:rFonts w:ascii="Arial" w:eastAsia="Times New Roman" w:hAnsi="Arial" w:cs="Arial"/>
          <w:b/>
          <w:iCs/>
          <w:sz w:val="18"/>
          <w:szCs w:val="16"/>
          <w:lang w:eastAsia="en-US"/>
        </w:rPr>
        <w:t xml:space="preserve"> €</w:t>
      </w:r>
      <w:r w:rsidRPr="002340D1">
        <w:rPr>
          <w:rFonts w:ascii="Arial" w:eastAsia="Times New Roman" w:hAnsi="Arial" w:cs="Arial"/>
          <w:iCs/>
          <w:sz w:val="18"/>
          <w:szCs w:val="16"/>
          <w:lang w:eastAsia="en-US"/>
        </w:rPr>
        <w:t xml:space="preserve"> i sastoje se od prihoda iz općinskog proračuna </w:t>
      </w:r>
      <w:r w:rsidR="0059620A" w:rsidRPr="002340D1">
        <w:rPr>
          <w:rFonts w:ascii="Arial" w:eastAsia="Times New Roman" w:hAnsi="Arial" w:cs="Arial"/>
          <w:iCs/>
          <w:sz w:val="18"/>
          <w:szCs w:val="16"/>
          <w:lang w:eastAsia="en-US"/>
        </w:rPr>
        <w:t>2.280.770,24</w:t>
      </w:r>
      <w:r w:rsidR="009F445F" w:rsidRPr="002340D1">
        <w:rPr>
          <w:rFonts w:ascii="Arial" w:eastAsia="Times New Roman" w:hAnsi="Arial" w:cs="Arial"/>
          <w:iCs/>
          <w:sz w:val="18"/>
          <w:szCs w:val="16"/>
          <w:lang w:eastAsia="en-US"/>
        </w:rPr>
        <w:t xml:space="preserve"> €</w:t>
      </w:r>
      <w:r w:rsidRPr="002340D1">
        <w:rPr>
          <w:rFonts w:ascii="Arial" w:eastAsia="Times New Roman" w:hAnsi="Arial" w:cs="Arial"/>
          <w:iCs/>
          <w:sz w:val="18"/>
          <w:szCs w:val="16"/>
          <w:lang w:eastAsia="en-US"/>
        </w:rPr>
        <w:t xml:space="preserve"> i ostvarenih vlastitih prihoda </w:t>
      </w:r>
      <w:r w:rsidR="0059620A" w:rsidRPr="002340D1">
        <w:rPr>
          <w:rFonts w:ascii="Arial" w:eastAsia="Times New Roman" w:hAnsi="Arial" w:cs="Arial"/>
          <w:iCs/>
          <w:sz w:val="18"/>
          <w:szCs w:val="16"/>
          <w:lang w:eastAsia="en-US"/>
        </w:rPr>
        <w:t>811.957,18</w:t>
      </w:r>
      <w:r w:rsidR="009F445F" w:rsidRPr="002340D1">
        <w:rPr>
          <w:rFonts w:ascii="Arial" w:eastAsia="Times New Roman" w:hAnsi="Arial" w:cs="Arial"/>
          <w:iCs/>
          <w:sz w:val="18"/>
          <w:szCs w:val="16"/>
          <w:lang w:eastAsia="en-US"/>
        </w:rPr>
        <w:t xml:space="preserve"> €</w:t>
      </w:r>
    </w:p>
    <w:p w14:paraId="5E553F03" w14:textId="0E9E314B" w:rsidR="00CC25F5" w:rsidRPr="002340D1" w:rsidRDefault="00CC25F5" w:rsidP="00CC25F5">
      <w:pPr>
        <w:autoSpaceDE w:val="0"/>
        <w:autoSpaceDN w:val="0"/>
        <w:adjustRightInd w:val="0"/>
        <w:spacing w:after="0" w:line="240" w:lineRule="auto"/>
        <w:jc w:val="both"/>
        <w:rPr>
          <w:rFonts w:ascii="Arial" w:eastAsia="Times New Roman" w:hAnsi="Arial" w:cs="Arial"/>
          <w:iCs/>
          <w:sz w:val="18"/>
          <w:szCs w:val="16"/>
          <w:lang w:eastAsia="en-US"/>
        </w:rPr>
      </w:pPr>
      <w:r w:rsidRPr="002340D1">
        <w:rPr>
          <w:rFonts w:ascii="Arial" w:eastAsia="Times New Roman" w:hAnsi="Arial" w:cs="Arial"/>
          <w:iCs/>
          <w:sz w:val="18"/>
          <w:szCs w:val="16"/>
          <w:lang w:eastAsia="en-US"/>
        </w:rPr>
        <w:t xml:space="preserve">* </w:t>
      </w:r>
      <w:r w:rsidRPr="002340D1">
        <w:rPr>
          <w:rFonts w:ascii="Arial" w:eastAsia="Times New Roman" w:hAnsi="Arial" w:cs="Arial"/>
          <w:b/>
          <w:iCs/>
          <w:sz w:val="18"/>
          <w:szCs w:val="16"/>
          <w:lang w:eastAsia="en-US"/>
        </w:rPr>
        <w:t xml:space="preserve">prihodi iz općinskog proračuna u iznosu </w:t>
      </w:r>
      <w:r w:rsidR="0059620A" w:rsidRPr="002340D1">
        <w:rPr>
          <w:rFonts w:ascii="Arial" w:eastAsia="Times New Roman" w:hAnsi="Arial" w:cs="Arial"/>
          <w:b/>
          <w:iCs/>
          <w:sz w:val="18"/>
          <w:szCs w:val="16"/>
          <w:lang w:eastAsia="en-US"/>
        </w:rPr>
        <w:t>2.280.770,24</w:t>
      </w:r>
      <w:r w:rsidR="009F445F" w:rsidRPr="002340D1">
        <w:rPr>
          <w:rFonts w:ascii="Arial" w:eastAsia="Times New Roman" w:hAnsi="Arial" w:cs="Arial"/>
          <w:b/>
          <w:iCs/>
          <w:sz w:val="18"/>
          <w:szCs w:val="16"/>
          <w:lang w:eastAsia="en-US"/>
        </w:rPr>
        <w:t xml:space="preserve"> €</w:t>
      </w:r>
      <w:r w:rsidRPr="002340D1">
        <w:rPr>
          <w:rFonts w:ascii="Arial" w:eastAsia="Times New Roman" w:hAnsi="Arial" w:cs="Arial"/>
          <w:iCs/>
          <w:sz w:val="18"/>
          <w:szCs w:val="16"/>
          <w:lang w:eastAsia="en-US"/>
        </w:rPr>
        <w:t xml:space="preserve"> sastoje se od </w:t>
      </w:r>
      <w:r w:rsidR="0059620A" w:rsidRPr="002340D1">
        <w:rPr>
          <w:rFonts w:ascii="Arial" w:eastAsia="Times New Roman" w:hAnsi="Arial" w:cs="Arial"/>
          <w:iCs/>
          <w:sz w:val="18"/>
          <w:szCs w:val="16"/>
          <w:lang w:eastAsia="en-US"/>
        </w:rPr>
        <w:t>399.744,71</w:t>
      </w:r>
      <w:r w:rsidR="008118F9" w:rsidRPr="002340D1">
        <w:rPr>
          <w:rFonts w:ascii="Arial" w:eastAsia="Times New Roman" w:hAnsi="Arial" w:cs="Arial"/>
          <w:iCs/>
          <w:sz w:val="18"/>
          <w:szCs w:val="16"/>
          <w:lang w:eastAsia="en-US"/>
        </w:rPr>
        <w:t xml:space="preserve"> €</w:t>
      </w:r>
      <w:r w:rsidRPr="002340D1">
        <w:rPr>
          <w:rFonts w:ascii="Arial" w:eastAsia="Times New Roman" w:hAnsi="Arial" w:cs="Arial"/>
          <w:iCs/>
          <w:sz w:val="18"/>
          <w:szCs w:val="16"/>
          <w:lang w:eastAsia="en-US"/>
        </w:rPr>
        <w:t xml:space="preserve"> koje su PK ostvarili u 202</w:t>
      </w:r>
      <w:r w:rsidR="0059620A" w:rsidRPr="002340D1">
        <w:rPr>
          <w:rFonts w:ascii="Arial" w:eastAsia="Times New Roman" w:hAnsi="Arial" w:cs="Arial"/>
          <w:iCs/>
          <w:sz w:val="18"/>
          <w:szCs w:val="16"/>
          <w:lang w:eastAsia="en-US"/>
        </w:rPr>
        <w:t>5</w:t>
      </w:r>
      <w:r w:rsidRPr="002340D1">
        <w:rPr>
          <w:rFonts w:ascii="Arial" w:eastAsia="Times New Roman" w:hAnsi="Arial" w:cs="Arial"/>
          <w:iCs/>
          <w:sz w:val="18"/>
          <w:szCs w:val="16"/>
          <w:lang w:eastAsia="en-US"/>
        </w:rPr>
        <w:t>. (odnose se na podmirene obveze proračunskih korisnika iz 202</w:t>
      </w:r>
      <w:r w:rsidR="0059620A" w:rsidRPr="002340D1">
        <w:rPr>
          <w:rFonts w:ascii="Arial" w:eastAsia="Times New Roman" w:hAnsi="Arial" w:cs="Arial"/>
          <w:iCs/>
          <w:sz w:val="18"/>
          <w:szCs w:val="16"/>
          <w:lang w:eastAsia="en-US"/>
        </w:rPr>
        <w:t>4</w:t>
      </w:r>
      <w:r w:rsidRPr="002340D1">
        <w:rPr>
          <w:rFonts w:ascii="Arial" w:eastAsia="Times New Roman" w:hAnsi="Arial" w:cs="Arial"/>
          <w:iCs/>
          <w:sz w:val="18"/>
          <w:szCs w:val="16"/>
          <w:lang w:eastAsia="en-US"/>
        </w:rPr>
        <w:t xml:space="preserve">. kojima je izvor financiranja bio općinski proračun), te od sredstava u iznosu </w:t>
      </w:r>
      <w:r w:rsidR="002340D1" w:rsidRPr="002340D1">
        <w:rPr>
          <w:rFonts w:ascii="Arial" w:eastAsia="Times New Roman" w:hAnsi="Arial" w:cs="Arial"/>
          <w:iCs/>
          <w:sz w:val="18"/>
          <w:szCs w:val="16"/>
          <w:lang w:eastAsia="en-US"/>
        </w:rPr>
        <w:t>2.200.323,01</w:t>
      </w:r>
      <w:r w:rsidR="00370A7B" w:rsidRPr="002340D1">
        <w:rPr>
          <w:rFonts w:ascii="Arial" w:eastAsia="Times New Roman" w:hAnsi="Arial" w:cs="Arial"/>
          <w:iCs/>
          <w:sz w:val="18"/>
          <w:szCs w:val="16"/>
          <w:lang w:eastAsia="en-US"/>
        </w:rPr>
        <w:t xml:space="preserve"> €</w:t>
      </w:r>
      <w:r w:rsidRPr="002340D1">
        <w:rPr>
          <w:rFonts w:ascii="Arial" w:eastAsia="Times New Roman" w:hAnsi="Arial" w:cs="Arial"/>
          <w:iCs/>
          <w:sz w:val="18"/>
          <w:szCs w:val="16"/>
          <w:lang w:eastAsia="en-US"/>
        </w:rPr>
        <w:t xml:space="preserve"> (podmirene obveze po rashodima za 202</w:t>
      </w:r>
      <w:r w:rsidR="002340D1" w:rsidRPr="002340D1">
        <w:rPr>
          <w:rFonts w:ascii="Arial" w:eastAsia="Times New Roman" w:hAnsi="Arial" w:cs="Arial"/>
          <w:iCs/>
          <w:sz w:val="18"/>
          <w:szCs w:val="16"/>
          <w:lang w:eastAsia="en-US"/>
        </w:rPr>
        <w:t>5</w:t>
      </w:r>
      <w:r w:rsidRPr="002340D1">
        <w:rPr>
          <w:rFonts w:ascii="Arial" w:eastAsia="Times New Roman" w:hAnsi="Arial" w:cs="Arial"/>
          <w:iCs/>
          <w:sz w:val="18"/>
          <w:szCs w:val="16"/>
          <w:lang w:eastAsia="en-US"/>
        </w:rPr>
        <w:t>.</w:t>
      </w:r>
      <w:r w:rsidR="00744D0C">
        <w:rPr>
          <w:rFonts w:ascii="Arial" w:eastAsia="Times New Roman" w:hAnsi="Arial" w:cs="Arial"/>
          <w:iCs/>
          <w:sz w:val="18"/>
          <w:szCs w:val="16"/>
          <w:lang w:eastAsia="en-US"/>
        </w:rPr>
        <w:t xml:space="preserve"> </w:t>
      </w:r>
      <w:r w:rsidRPr="002340D1">
        <w:rPr>
          <w:rFonts w:ascii="Arial" w:eastAsia="Times New Roman" w:hAnsi="Arial" w:cs="Arial"/>
          <w:iCs/>
          <w:sz w:val="18"/>
          <w:szCs w:val="16"/>
          <w:lang w:eastAsia="en-US"/>
        </w:rPr>
        <w:t xml:space="preserve">godinu, dok neplaćene obveze po rashodima PK koje imaju evidentiran izvor financiranja općinski proračun koncem </w:t>
      </w:r>
      <w:r w:rsidR="002340D1" w:rsidRPr="002340D1">
        <w:rPr>
          <w:rFonts w:ascii="Arial" w:eastAsia="Times New Roman" w:hAnsi="Arial" w:cs="Arial"/>
          <w:iCs/>
          <w:sz w:val="18"/>
          <w:szCs w:val="16"/>
          <w:lang w:eastAsia="en-US"/>
        </w:rPr>
        <w:t>lipnja</w:t>
      </w:r>
      <w:r w:rsidR="00F4016F" w:rsidRPr="002340D1">
        <w:rPr>
          <w:rFonts w:ascii="Arial" w:eastAsia="Times New Roman" w:hAnsi="Arial" w:cs="Arial"/>
          <w:iCs/>
          <w:sz w:val="18"/>
          <w:szCs w:val="16"/>
          <w:lang w:eastAsia="en-US"/>
        </w:rPr>
        <w:t xml:space="preserve"> </w:t>
      </w:r>
      <w:r w:rsidRPr="002340D1">
        <w:rPr>
          <w:rFonts w:ascii="Arial" w:eastAsia="Times New Roman" w:hAnsi="Arial" w:cs="Arial"/>
          <w:iCs/>
          <w:sz w:val="18"/>
          <w:szCs w:val="16"/>
          <w:lang w:eastAsia="en-US"/>
        </w:rPr>
        <w:t>202</w:t>
      </w:r>
      <w:r w:rsidR="002340D1" w:rsidRPr="002340D1">
        <w:rPr>
          <w:rFonts w:ascii="Arial" w:eastAsia="Times New Roman" w:hAnsi="Arial" w:cs="Arial"/>
          <w:iCs/>
          <w:sz w:val="18"/>
          <w:szCs w:val="16"/>
          <w:lang w:eastAsia="en-US"/>
        </w:rPr>
        <w:t>5</w:t>
      </w:r>
      <w:r w:rsidRPr="002340D1">
        <w:rPr>
          <w:rFonts w:ascii="Arial" w:eastAsia="Times New Roman" w:hAnsi="Arial" w:cs="Arial"/>
          <w:iCs/>
          <w:sz w:val="18"/>
          <w:szCs w:val="16"/>
          <w:lang w:eastAsia="en-US"/>
        </w:rPr>
        <w:t xml:space="preserve">. godine iznose </w:t>
      </w:r>
      <w:r w:rsidR="002340D1" w:rsidRPr="002340D1">
        <w:rPr>
          <w:rFonts w:ascii="Arial" w:eastAsia="Times New Roman" w:hAnsi="Arial" w:cs="Arial"/>
          <w:iCs/>
          <w:sz w:val="18"/>
          <w:szCs w:val="16"/>
          <w:lang w:eastAsia="en-US"/>
        </w:rPr>
        <w:t>319.297,48</w:t>
      </w:r>
      <w:r w:rsidR="00370A7B" w:rsidRPr="002340D1">
        <w:rPr>
          <w:rFonts w:ascii="Arial" w:eastAsia="Times New Roman" w:hAnsi="Arial" w:cs="Arial"/>
          <w:iCs/>
          <w:sz w:val="18"/>
          <w:szCs w:val="16"/>
          <w:lang w:eastAsia="en-US"/>
        </w:rPr>
        <w:t xml:space="preserve"> €</w:t>
      </w:r>
      <w:r w:rsidRPr="002340D1">
        <w:rPr>
          <w:rFonts w:ascii="Arial" w:eastAsia="Times New Roman" w:hAnsi="Arial" w:cs="Arial"/>
          <w:iCs/>
          <w:sz w:val="18"/>
          <w:szCs w:val="16"/>
          <w:lang w:eastAsia="en-US"/>
        </w:rPr>
        <w:t xml:space="preserve"> i biti će prihod u </w:t>
      </w:r>
      <w:r w:rsidR="002340D1" w:rsidRPr="002340D1">
        <w:rPr>
          <w:rFonts w:ascii="Arial" w:eastAsia="Times New Roman" w:hAnsi="Arial" w:cs="Arial"/>
          <w:iCs/>
          <w:sz w:val="18"/>
          <w:szCs w:val="16"/>
          <w:lang w:eastAsia="en-US"/>
        </w:rPr>
        <w:t xml:space="preserve">drugom polugodištu </w:t>
      </w:r>
      <w:r w:rsidRPr="002340D1">
        <w:rPr>
          <w:rFonts w:ascii="Arial" w:eastAsia="Times New Roman" w:hAnsi="Arial" w:cs="Arial"/>
          <w:iCs/>
          <w:sz w:val="18"/>
          <w:szCs w:val="16"/>
          <w:lang w:eastAsia="en-US"/>
        </w:rPr>
        <w:t>202</w:t>
      </w:r>
      <w:r w:rsidR="00B21CA6" w:rsidRPr="002340D1">
        <w:rPr>
          <w:rFonts w:ascii="Arial" w:eastAsia="Times New Roman" w:hAnsi="Arial" w:cs="Arial"/>
          <w:iCs/>
          <w:sz w:val="18"/>
          <w:szCs w:val="16"/>
          <w:lang w:eastAsia="en-US"/>
        </w:rPr>
        <w:t>5</w:t>
      </w:r>
      <w:r w:rsidRPr="002340D1">
        <w:rPr>
          <w:rFonts w:ascii="Arial" w:eastAsia="Times New Roman" w:hAnsi="Arial" w:cs="Arial"/>
          <w:iCs/>
          <w:sz w:val="18"/>
          <w:szCs w:val="16"/>
          <w:lang w:eastAsia="en-US"/>
        </w:rPr>
        <w:t>.g.)</w:t>
      </w:r>
    </w:p>
    <w:p w14:paraId="23CA6EDD" w14:textId="77777777" w:rsidR="00D81A4F" w:rsidRPr="002340D1" w:rsidRDefault="00D81A4F" w:rsidP="00891119">
      <w:pPr>
        <w:autoSpaceDE w:val="0"/>
        <w:autoSpaceDN w:val="0"/>
        <w:adjustRightInd w:val="0"/>
        <w:spacing w:after="0" w:line="240" w:lineRule="auto"/>
        <w:jc w:val="both"/>
        <w:rPr>
          <w:rFonts w:ascii="Arial" w:eastAsia="Calibri" w:hAnsi="Arial" w:cs="Arial"/>
          <w:bCs/>
          <w:lang w:eastAsia="en-US"/>
        </w:rPr>
      </w:pPr>
    </w:p>
    <w:p w14:paraId="0A065465" w14:textId="1ED59D4B" w:rsidR="00132A37" w:rsidRPr="003A2F86" w:rsidRDefault="00132A37" w:rsidP="00891119">
      <w:pPr>
        <w:autoSpaceDE w:val="0"/>
        <w:autoSpaceDN w:val="0"/>
        <w:adjustRightInd w:val="0"/>
        <w:spacing w:after="0" w:line="240" w:lineRule="auto"/>
        <w:jc w:val="both"/>
        <w:rPr>
          <w:rFonts w:ascii="Arial" w:eastAsia="Calibri" w:hAnsi="Arial" w:cs="Arial"/>
          <w:bCs/>
          <w:lang w:eastAsia="en-US"/>
        </w:rPr>
      </w:pPr>
    </w:p>
    <w:p w14:paraId="3E6DCD09" w14:textId="77777777" w:rsidR="003E02DB" w:rsidRPr="003A2F86" w:rsidRDefault="003E02DB" w:rsidP="00891119">
      <w:pPr>
        <w:autoSpaceDE w:val="0"/>
        <w:autoSpaceDN w:val="0"/>
        <w:adjustRightInd w:val="0"/>
        <w:spacing w:after="0" w:line="240" w:lineRule="auto"/>
        <w:jc w:val="both"/>
        <w:rPr>
          <w:rFonts w:ascii="Arial" w:eastAsia="Calibri" w:hAnsi="Arial" w:cs="Arial"/>
          <w:bCs/>
          <w:lang w:eastAsia="en-US"/>
        </w:rPr>
      </w:pPr>
    </w:p>
    <w:p w14:paraId="632D2FFD" w14:textId="77777777" w:rsidR="00F4016F" w:rsidRPr="003A2F86" w:rsidRDefault="00F4016F" w:rsidP="00891119">
      <w:pPr>
        <w:autoSpaceDE w:val="0"/>
        <w:autoSpaceDN w:val="0"/>
        <w:adjustRightInd w:val="0"/>
        <w:spacing w:after="0" w:line="240" w:lineRule="auto"/>
        <w:jc w:val="both"/>
        <w:rPr>
          <w:rFonts w:ascii="Arial" w:eastAsia="Calibri" w:hAnsi="Arial" w:cs="Arial"/>
          <w:bCs/>
          <w:lang w:eastAsia="en-US"/>
        </w:rPr>
      </w:pPr>
    </w:p>
    <w:p w14:paraId="10F33003" w14:textId="77777777" w:rsidR="003E02DB" w:rsidRPr="003A2F86" w:rsidRDefault="003E02DB" w:rsidP="00891119">
      <w:pPr>
        <w:autoSpaceDE w:val="0"/>
        <w:autoSpaceDN w:val="0"/>
        <w:adjustRightInd w:val="0"/>
        <w:spacing w:after="0" w:line="240" w:lineRule="auto"/>
        <w:jc w:val="both"/>
        <w:rPr>
          <w:rFonts w:ascii="Arial" w:eastAsia="Calibri" w:hAnsi="Arial" w:cs="Arial"/>
          <w:bCs/>
          <w:lang w:eastAsia="en-US"/>
        </w:rPr>
      </w:pPr>
    </w:p>
    <w:p w14:paraId="6EF75103" w14:textId="77777777" w:rsidR="00D94411" w:rsidRPr="003A2F86" w:rsidRDefault="00D94411" w:rsidP="00891119">
      <w:pPr>
        <w:autoSpaceDE w:val="0"/>
        <w:autoSpaceDN w:val="0"/>
        <w:adjustRightInd w:val="0"/>
        <w:spacing w:after="0" w:line="240" w:lineRule="auto"/>
        <w:jc w:val="both"/>
        <w:rPr>
          <w:rFonts w:ascii="Arial" w:eastAsia="Calibri" w:hAnsi="Arial" w:cs="Arial"/>
          <w:bCs/>
          <w:lang w:eastAsia="en-US"/>
        </w:rPr>
      </w:pPr>
    </w:p>
    <w:p w14:paraId="12EEBBAB" w14:textId="77777777" w:rsidR="00D94411" w:rsidRDefault="00D94411" w:rsidP="00891119">
      <w:pPr>
        <w:autoSpaceDE w:val="0"/>
        <w:autoSpaceDN w:val="0"/>
        <w:adjustRightInd w:val="0"/>
        <w:spacing w:after="0" w:line="240" w:lineRule="auto"/>
        <w:jc w:val="both"/>
        <w:rPr>
          <w:rFonts w:ascii="Arial" w:eastAsia="Calibri" w:hAnsi="Arial" w:cs="Arial"/>
          <w:bCs/>
          <w:lang w:eastAsia="en-US"/>
        </w:rPr>
      </w:pPr>
    </w:p>
    <w:p w14:paraId="2AE373D3" w14:textId="77777777" w:rsidR="002340D1" w:rsidRDefault="002340D1" w:rsidP="00891119">
      <w:pPr>
        <w:autoSpaceDE w:val="0"/>
        <w:autoSpaceDN w:val="0"/>
        <w:adjustRightInd w:val="0"/>
        <w:spacing w:after="0" w:line="240" w:lineRule="auto"/>
        <w:jc w:val="both"/>
        <w:rPr>
          <w:rFonts w:ascii="Arial" w:eastAsia="Calibri" w:hAnsi="Arial" w:cs="Arial"/>
          <w:bCs/>
          <w:lang w:eastAsia="en-US"/>
        </w:rPr>
      </w:pPr>
    </w:p>
    <w:p w14:paraId="797C977A" w14:textId="77777777" w:rsidR="002340D1" w:rsidRDefault="002340D1" w:rsidP="00891119">
      <w:pPr>
        <w:autoSpaceDE w:val="0"/>
        <w:autoSpaceDN w:val="0"/>
        <w:adjustRightInd w:val="0"/>
        <w:spacing w:after="0" w:line="240" w:lineRule="auto"/>
        <w:jc w:val="both"/>
        <w:rPr>
          <w:rFonts w:ascii="Arial" w:eastAsia="Calibri" w:hAnsi="Arial" w:cs="Arial"/>
          <w:bCs/>
          <w:lang w:eastAsia="en-US"/>
        </w:rPr>
      </w:pPr>
    </w:p>
    <w:p w14:paraId="20A12742" w14:textId="77777777" w:rsidR="002340D1" w:rsidRDefault="002340D1" w:rsidP="00891119">
      <w:pPr>
        <w:autoSpaceDE w:val="0"/>
        <w:autoSpaceDN w:val="0"/>
        <w:adjustRightInd w:val="0"/>
        <w:spacing w:after="0" w:line="240" w:lineRule="auto"/>
        <w:jc w:val="both"/>
        <w:rPr>
          <w:rFonts w:ascii="Arial" w:eastAsia="Calibri" w:hAnsi="Arial" w:cs="Arial"/>
          <w:bCs/>
          <w:lang w:eastAsia="en-US"/>
        </w:rPr>
      </w:pPr>
    </w:p>
    <w:p w14:paraId="7FFB37B2" w14:textId="77777777" w:rsidR="002340D1" w:rsidRPr="003A2F86" w:rsidRDefault="002340D1" w:rsidP="00891119">
      <w:pPr>
        <w:autoSpaceDE w:val="0"/>
        <w:autoSpaceDN w:val="0"/>
        <w:adjustRightInd w:val="0"/>
        <w:spacing w:after="0" w:line="240" w:lineRule="auto"/>
        <w:jc w:val="both"/>
        <w:rPr>
          <w:rFonts w:ascii="Arial" w:eastAsia="Calibri" w:hAnsi="Arial" w:cs="Arial"/>
          <w:bCs/>
          <w:lang w:eastAsia="en-US"/>
        </w:rPr>
      </w:pPr>
    </w:p>
    <w:p w14:paraId="4EE3EB15" w14:textId="77777777" w:rsidR="00D94411" w:rsidRPr="003A2F86" w:rsidRDefault="00D94411" w:rsidP="00891119">
      <w:pPr>
        <w:autoSpaceDE w:val="0"/>
        <w:autoSpaceDN w:val="0"/>
        <w:adjustRightInd w:val="0"/>
        <w:spacing w:after="0" w:line="240" w:lineRule="auto"/>
        <w:jc w:val="both"/>
        <w:rPr>
          <w:rFonts w:ascii="Arial" w:eastAsia="Calibri" w:hAnsi="Arial" w:cs="Arial"/>
          <w:bCs/>
          <w:lang w:eastAsia="en-US"/>
        </w:rPr>
      </w:pPr>
    </w:p>
    <w:p w14:paraId="0E524ECE" w14:textId="77777777" w:rsidR="003E02DB" w:rsidRPr="003A2F86" w:rsidRDefault="003E02DB" w:rsidP="00891119">
      <w:pPr>
        <w:autoSpaceDE w:val="0"/>
        <w:autoSpaceDN w:val="0"/>
        <w:adjustRightInd w:val="0"/>
        <w:spacing w:after="0" w:line="240" w:lineRule="auto"/>
        <w:jc w:val="both"/>
        <w:rPr>
          <w:rFonts w:ascii="Arial" w:eastAsia="Calibri" w:hAnsi="Arial" w:cs="Arial"/>
          <w:bCs/>
          <w:lang w:eastAsia="en-US"/>
        </w:rPr>
      </w:pPr>
    </w:p>
    <w:p w14:paraId="266C2FA0" w14:textId="77777777" w:rsidR="003E02DB" w:rsidRPr="003A2F86" w:rsidRDefault="003E02DB" w:rsidP="00891119">
      <w:pPr>
        <w:autoSpaceDE w:val="0"/>
        <w:autoSpaceDN w:val="0"/>
        <w:adjustRightInd w:val="0"/>
        <w:spacing w:after="0" w:line="240" w:lineRule="auto"/>
        <w:jc w:val="both"/>
        <w:rPr>
          <w:rFonts w:ascii="Arial" w:eastAsia="Calibri" w:hAnsi="Arial" w:cs="Arial"/>
          <w:bCs/>
          <w:lang w:eastAsia="en-US"/>
        </w:rPr>
      </w:pPr>
    </w:p>
    <w:p w14:paraId="210DA73A" w14:textId="77777777" w:rsidR="003E02DB" w:rsidRPr="003A2F86" w:rsidRDefault="003E02DB" w:rsidP="003E02DB">
      <w:pPr>
        <w:autoSpaceDE w:val="0"/>
        <w:autoSpaceDN w:val="0"/>
        <w:adjustRightInd w:val="0"/>
        <w:spacing w:after="0" w:line="240" w:lineRule="auto"/>
        <w:jc w:val="both"/>
        <w:rPr>
          <w:rFonts w:ascii="Arial" w:eastAsia="Calibri" w:hAnsi="Arial" w:cs="Arial"/>
          <w:lang w:eastAsia="en-US"/>
        </w:rPr>
      </w:pPr>
    </w:p>
    <w:p w14:paraId="6BFE774B" w14:textId="77777777" w:rsidR="003E02DB"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lastRenderedPageBreak/>
        <w:t>U sljedećoj tablici dani su usporedni podaci na razini podskupine prihoda i primitaka Općine Konavle i to:</w:t>
      </w:r>
    </w:p>
    <w:p w14:paraId="1C336BDD" w14:textId="4BFD5B5E" w:rsidR="003E02DB"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(3a) ostvareno za razdoblje od I-</w:t>
      </w:r>
      <w:r w:rsidR="002340D1">
        <w:rPr>
          <w:rFonts w:ascii="Arial" w:eastAsia="Times New Roman" w:hAnsi="Arial" w:cs="Arial"/>
          <w:iCs/>
          <w:lang w:eastAsia="en-US"/>
        </w:rPr>
        <w:t>VI</w:t>
      </w:r>
      <w:r w:rsidRPr="003A2F86">
        <w:rPr>
          <w:rFonts w:ascii="Arial" w:eastAsia="Times New Roman" w:hAnsi="Arial" w:cs="Arial"/>
          <w:iCs/>
          <w:lang w:eastAsia="en-US"/>
        </w:rPr>
        <w:t xml:space="preserve"> 202</w:t>
      </w:r>
      <w:r w:rsidR="002340D1">
        <w:rPr>
          <w:rFonts w:ascii="Arial" w:eastAsia="Times New Roman" w:hAnsi="Arial" w:cs="Arial"/>
          <w:iCs/>
          <w:lang w:eastAsia="en-US"/>
        </w:rPr>
        <w:t>4</w:t>
      </w:r>
      <w:r w:rsidRPr="003A2F86">
        <w:rPr>
          <w:rFonts w:ascii="Arial" w:eastAsia="Times New Roman" w:hAnsi="Arial" w:cs="Arial"/>
          <w:iCs/>
          <w:lang w:eastAsia="en-US"/>
        </w:rPr>
        <w:t xml:space="preserve">. (bez vlastitih i namjenskih prihoda proračunskih korisnika, financijski izvještaji razina 22), </w:t>
      </w:r>
    </w:p>
    <w:p w14:paraId="7BBDBB3F" w14:textId="063C8DA0" w:rsidR="003E02DB"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(3b) ostvareno za razdoblje od I-</w:t>
      </w:r>
      <w:r w:rsidR="002340D1">
        <w:rPr>
          <w:rFonts w:ascii="Arial" w:eastAsia="Times New Roman" w:hAnsi="Arial" w:cs="Arial"/>
          <w:iCs/>
          <w:lang w:eastAsia="en-US"/>
        </w:rPr>
        <w:t>VI</w:t>
      </w:r>
      <w:r w:rsidRPr="003A2F86">
        <w:rPr>
          <w:rFonts w:ascii="Arial" w:eastAsia="Times New Roman" w:hAnsi="Arial" w:cs="Arial"/>
          <w:iCs/>
          <w:lang w:eastAsia="en-US"/>
        </w:rPr>
        <w:t xml:space="preserve"> 202</w:t>
      </w:r>
      <w:r w:rsidR="002340D1">
        <w:rPr>
          <w:rFonts w:ascii="Arial" w:eastAsia="Times New Roman" w:hAnsi="Arial" w:cs="Arial"/>
          <w:iCs/>
          <w:lang w:eastAsia="en-US"/>
        </w:rPr>
        <w:t>4</w:t>
      </w:r>
      <w:r w:rsidRPr="003A2F86">
        <w:rPr>
          <w:rFonts w:ascii="Arial" w:eastAsia="Times New Roman" w:hAnsi="Arial" w:cs="Arial"/>
          <w:iCs/>
          <w:lang w:eastAsia="en-US"/>
        </w:rPr>
        <w:t xml:space="preserve">. g. (s vlastitim i namjenskim prihodima proračunskih korisnika, financijski izvještaji razina 23), </w:t>
      </w:r>
    </w:p>
    <w:p w14:paraId="38C56868" w14:textId="1D6BA11A" w:rsidR="003E02DB"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 (4) </w:t>
      </w:r>
      <w:r w:rsidR="002340D1">
        <w:rPr>
          <w:rFonts w:ascii="Arial" w:eastAsia="Times New Roman" w:hAnsi="Arial" w:cs="Arial"/>
          <w:iCs/>
          <w:lang w:eastAsia="en-US"/>
        </w:rPr>
        <w:t xml:space="preserve">plan </w:t>
      </w:r>
      <w:r w:rsidRPr="003A2F86">
        <w:rPr>
          <w:rFonts w:ascii="Arial" w:eastAsia="Times New Roman" w:hAnsi="Arial" w:cs="Arial"/>
          <w:iCs/>
          <w:lang w:eastAsia="en-US"/>
        </w:rPr>
        <w:t>za 202</w:t>
      </w:r>
      <w:r w:rsidR="002340D1">
        <w:rPr>
          <w:rFonts w:ascii="Arial" w:eastAsia="Times New Roman" w:hAnsi="Arial" w:cs="Arial"/>
          <w:iCs/>
          <w:lang w:eastAsia="en-US"/>
        </w:rPr>
        <w:t>5</w:t>
      </w:r>
      <w:r w:rsidRPr="003A2F86">
        <w:rPr>
          <w:rFonts w:ascii="Arial" w:eastAsia="Times New Roman" w:hAnsi="Arial" w:cs="Arial"/>
          <w:iCs/>
          <w:lang w:eastAsia="en-US"/>
        </w:rPr>
        <w:t xml:space="preserve">. (u izvještajnom razdoblju je bilo preraspodjela), </w:t>
      </w:r>
    </w:p>
    <w:p w14:paraId="084335D3" w14:textId="6AAC71FC" w:rsidR="003E02DB"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(5a) ostvareno za razdoblje I-</w:t>
      </w:r>
      <w:r w:rsidR="002340D1">
        <w:rPr>
          <w:rFonts w:ascii="Arial" w:eastAsia="Times New Roman" w:hAnsi="Arial" w:cs="Arial"/>
          <w:iCs/>
          <w:lang w:eastAsia="en-US"/>
        </w:rPr>
        <w:t>VI</w:t>
      </w:r>
      <w:r w:rsidRPr="003A2F86">
        <w:rPr>
          <w:rFonts w:ascii="Arial" w:eastAsia="Times New Roman" w:hAnsi="Arial" w:cs="Arial"/>
          <w:iCs/>
          <w:lang w:eastAsia="en-US"/>
        </w:rPr>
        <w:t xml:space="preserve"> 202</w:t>
      </w:r>
      <w:r w:rsidR="002340D1">
        <w:rPr>
          <w:rFonts w:ascii="Arial" w:eastAsia="Times New Roman" w:hAnsi="Arial" w:cs="Arial"/>
          <w:iCs/>
          <w:lang w:eastAsia="en-US"/>
        </w:rPr>
        <w:t>5</w:t>
      </w:r>
      <w:r w:rsidRPr="003A2F86">
        <w:rPr>
          <w:rFonts w:ascii="Arial" w:eastAsia="Times New Roman" w:hAnsi="Arial" w:cs="Arial"/>
          <w:iCs/>
          <w:lang w:eastAsia="en-US"/>
        </w:rPr>
        <w:t xml:space="preserve">. (bez vlastitih i namjenskih prihoda proračunskih korisnika financijski izvještaji razina 22), </w:t>
      </w:r>
    </w:p>
    <w:p w14:paraId="1574A38A" w14:textId="20256B5A" w:rsidR="003E02DB"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(5b) ostvareno za razdoblje I-</w:t>
      </w:r>
      <w:r w:rsidR="002340D1">
        <w:rPr>
          <w:rFonts w:ascii="Arial" w:eastAsia="Times New Roman" w:hAnsi="Arial" w:cs="Arial"/>
          <w:iCs/>
          <w:lang w:eastAsia="en-US"/>
        </w:rPr>
        <w:t>VI</w:t>
      </w:r>
      <w:r w:rsidRPr="003A2F86">
        <w:rPr>
          <w:rFonts w:ascii="Arial" w:eastAsia="Times New Roman" w:hAnsi="Arial" w:cs="Arial"/>
          <w:iCs/>
          <w:lang w:eastAsia="en-US"/>
        </w:rPr>
        <w:t xml:space="preserve"> 202</w:t>
      </w:r>
      <w:r w:rsidR="002340D1">
        <w:rPr>
          <w:rFonts w:ascii="Arial" w:eastAsia="Times New Roman" w:hAnsi="Arial" w:cs="Arial"/>
          <w:iCs/>
          <w:lang w:eastAsia="en-US"/>
        </w:rPr>
        <w:t>5</w:t>
      </w:r>
      <w:r w:rsidRPr="003A2F86">
        <w:rPr>
          <w:rFonts w:ascii="Arial" w:eastAsia="Times New Roman" w:hAnsi="Arial" w:cs="Arial"/>
          <w:iCs/>
          <w:lang w:eastAsia="en-US"/>
        </w:rPr>
        <w:t>. (s vlastitim i namjenskim prihodima proračunskih korisnika, financijski izvještaji razina 23),</w:t>
      </w:r>
    </w:p>
    <w:p w14:paraId="36B2AE57" w14:textId="5B0E3BFE" w:rsidR="003E02DB"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(5c) ostvareno za razdoblje I-</w:t>
      </w:r>
      <w:r w:rsidR="002340D1">
        <w:rPr>
          <w:rFonts w:ascii="Arial" w:eastAsia="Times New Roman" w:hAnsi="Arial" w:cs="Arial"/>
          <w:iCs/>
          <w:lang w:eastAsia="en-US"/>
        </w:rPr>
        <w:t>VI</w:t>
      </w:r>
      <w:r w:rsidRPr="003A2F86">
        <w:rPr>
          <w:rFonts w:ascii="Arial" w:eastAsia="Times New Roman" w:hAnsi="Arial" w:cs="Arial"/>
          <w:iCs/>
          <w:lang w:eastAsia="en-US"/>
        </w:rPr>
        <w:t xml:space="preserve"> 202</w:t>
      </w:r>
      <w:r w:rsidR="002340D1">
        <w:rPr>
          <w:rFonts w:ascii="Arial" w:eastAsia="Times New Roman" w:hAnsi="Arial" w:cs="Arial"/>
          <w:iCs/>
          <w:lang w:eastAsia="en-US"/>
        </w:rPr>
        <w:t>5</w:t>
      </w:r>
      <w:r w:rsidRPr="003A2F86">
        <w:rPr>
          <w:rFonts w:ascii="Arial" w:eastAsia="Times New Roman" w:hAnsi="Arial" w:cs="Arial"/>
          <w:iCs/>
          <w:lang w:eastAsia="en-US"/>
        </w:rPr>
        <w:t xml:space="preserve">. – vlastiti i namjenski prihodi proračunskih korisnika, </w:t>
      </w:r>
    </w:p>
    <w:p w14:paraId="7FD704D6" w14:textId="4E0756B2" w:rsidR="003E02DB"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(6a) indeks ostvarenja za izvještajno razdoblje u odnosu na ostvarenje za izvještajno razdoblje prethodne godine i to prihodi i primici za 202</w:t>
      </w:r>
      <w:r w:rsidR="002340D1">
        <w:rPr>
          <w:rFonts w:ascii="Arial" w:eastAsia="Times New Roman" w:hAnsi="Arial" w:cs="Arial"/>
          <w:iCs/>
          <w:lang w:eastAsia="en-US"/>
        </w:rPr>
        <w:t>5</w:t>
      </w:r>
      <w:r w:rsidRPr="003A2F86">
        <w:rPr>
          <w:rFonts w:ascii="Arial" w:eastAsia="Times New Roman" w:hAnsi="Arial" w:cs="Arial"/>
          <w:iCs/>
          <w:lang w:eastAsia="en-US"/>
        </w:rPr>
        <w:t>. razina 22 (stupac 5a) u odnosu na prihode i primitke za 202</w:t>
      </w:r>
      <w:r w:rsidR="002340D1">
        <w:rPr>
          <w:rFonts w:ascii="Arial" w:eastAsia="Times New Roman" w:hAnsi="Arial" w:cs="Arial"/>
          <w:iCs/>
          <w:lang w:eastAsia="en-US"/>
        </w:rPr>
        <w:t>4</w:t>
      </w:r>
      <w:r w:rsidRPr="003A2F86">
        <w:rPr>
          <w:rFonts w:ascii="Arial" w:eastAsia="Times New Roman" w:hAnsi="Arial" w:cs="Arial"/>
          <w:iCs/>
          <w:lang w:eastAsia="en-US"/>
        </w:rPr>
        <w:t>. razina 22 (stupac 3a),</w:t>
      </w:r>
    </w:p>
    <w:p w14:paraId="76E17FA6" w14:textId="2FC1C37C" w:rsidR="003E02DB"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(6b) indeks ostvarenja za izvještajno razdoblje u odnosu na ostvarenje za izvještajno razdoblje prethodne godine i to prihodi i primici za 202</w:t>
      </w:r>
      <w:r w:rsidR="002340D1">
        <w:rPr>
          <w:rFonts w:ascii="Arial" w:eastAsia="Times New Roman" w:hAnsi="Arial" w:cs="Arial"/>
          <w:iCs/>
          <w:lang w:eastAsia="en-US"/>
        </w:rPr>
        <w:t>5</w:t>
      </w:r>
      <w:r w:rsidRPr="003A2F86">
        <w:rPr>
          <w:rFonts w:ascii="Arial" w:eastAsia="Times New Roman" w:hAnsi="Arial" w:cs="Arial"/>
          <w:iCs/>
          <w:lang w:eastAsia="en-US"/>
        </w:rPr>
        <w:t>. razina 23 (stupac 5b) u odnosu na prihode i primitke za 202</w:t>
      </w:r>
      <w:r w:rsidR="002340D1">
        <w:rPr>
          <w:rFonts w:ascii="Arial" w:eastAsia="Times New Roman" w:hAnsi="Arial" w:cs="Arial"/>
          <w:iCs/>
          <w:lang w:eastAsia="en-US"/>
        </w:rPr>
        <w:t>4</w:t>
      </w:r>
      <w:r w:rsidRPr="003A2F86">
        <w:rPr>
          <w:rFonts w:ascii="Arial" w:eastAsia="Times New Roman" w:hAnsi="Arial" w:cs="Arial"/>
          <w:iCs/>
          <w:lang w:eastAsia="en-US"/>
        </w:rPr>
        <w:t>. razina 23 (stupac 3b),</w:t>
      </w:r>
    </w:p>
    <w:p w14:paraId="43EAF186" w14:textId="78E73533" w:rsidR="003E02DB"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(7) indeks ostvarenja za izvještajno razdoblje 202</w:t>
      </w:r>
      <w:r w:rsidR="002340D1">
        <w:rPr>
          <w:rFonts w:ascii="Arial" w:eastAsia="Times New Roman" w:hAnsi="Arial" w:cs="Arial"/>
          <w:iCs/>
          <w:lang w:eastAsia="en-US"/>
        </w:rPr>
        <w:t>5</w:t>
      </w:r>
      <w:r w:rsidRPr="003A2F86">
        <w:rPr>
          <w:rFonts w:ascii="Arial" w:eastAsia="Times New Roman" w:hAnsi="Arial" w:cs="Arial"/>
          <w:iCs/>
          <w:lang w:eastAsia="en-US"/>
        </w:rPr>
        <w:t xml:space="preserve">. razina 23 (stupac 5b) u odnosu na </w:t>
      </w:r>
      <w:r w:rsidR="002340D1">
        <w:rPr>
          <w:rFonts w:ascii="Arial" w:eastAsia="Times New Roman" w:hAnsi="Arial" w:cs="Arial"/>
          <w:iCs/>
          <w:lang w:eastAsia="en-US"/>
        </w:rPr>
        <w:t>plan</w:t>
      </w:r>
      <w:r w:rsidRPr="003A2F86">
        <w:rPr>
          <w:rFonts w:ascii="Arial" w:eastAsia="Times New Roman" w:hAnsi="Arial" w:cs="Arial"/>
          <w:iCs/>
          <w:lang w:eastAsia="en-US"/>
        </w:rPr>
        <w:t xml:space="preserve"> 202</w:t>
      </w:r>
      <w:r w:rsidR="002340D1">
        <w:rPr>
          <w:rFonts w:ascii="Arial" w:eastAsia="Times New Roman" w:hAnsi="Arial" w:cs="Arial"/>
          <w:iCs/>
          <w:lang w:eastAsia="en-US"/>
        </w:rPr>
        <w:t>5</w:t>
      </w:r>
      <w:r w:rsidRPr="003A2F86">
        <w:rPr>
          <w:rFonts w:ascii="Arial" w:eastAsia="Times New Roman" w:hAnsi="Arial" w:cs="Arial"/>
          <w:iCs/>
          <w:lang w:eastAsia="en-US"/>
        </w:rPr>
        <w:t xml:space="preserve">. (stupac 4), te </w:t>
      </w:r>
    </w:p>
    <w:p w14:paraId="27408303" w14:textId="2E1BFFD2" w:rsidR="003E02DB"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(8) postotak učešća pojedinačno ostvarenih prihoda i primitaka (razina 23) u izvještajnom razdoblju 202</w:t>
      </w:r>
      <w:r w:rsidR="002340D1">
        <w:rPr>
          <w:rFonts w:ascii="Arial" w:eastAsia="Times New Roman" w:hAnsi="Arial" w:cs="Arial"/>
          <w:iCs/>
          <w:lang w:eastAsia="en-US"/>
        </w:rPr>
        <w:t>5</w:t>
      </w:r>
      <w:r w:rsidRPr="003A2F86">
        <w:rPr>
          <w:rFonts w:ascii="Arial" w:eastAsia="Times New Roman" w:hAnsi="Arial" w:cs="Arial"/>
          <w:iCs/>
          <w:lang w:eastAsia="en-US"/>
        </w:rPr>
        <w:t>. (stupac 5b) u ukupno ostvarenim prihodima i primicima za 202</w:t>
      </w:r>
      <w:r w:rsidR="002340D1">
        <w:rPr>
          <w:rFonts w:ascii="Arial" w:eastAsia="Times New Roman" w:hAnsi="Arial" w:cs="Arial"/>
          <w:iCs/>
          <w:lang w:eastAsia="en-US"/>
        </w:rPr>
        <w:t>5</w:t>
      </w:r>
      <w:r w:rsidRPr="003A2F86">
        <w:rPr>
          <w:rFonts w:ascii="Arial" w:eastAsia="Times New Roman" w:hAnsi="Arial" w:cs="Arial"/>
          <w:iCs/>
          <w:lang w:eastAsia="en-US"/>
        </w:rPr>
        <w:t>. (stupac 5b)</w:t>
      </w:r>
    </w:p>
    <w:p w14:paraId="70EEE20E" w14:textId="77777777" w:rsidR="003E02DB" w:rsidRPr="003A2F86" w:rsidRDefault="003E02DB" w:rsidP="003E02DB">
      <w:pPr>
        <w:spacing w:after="0" w:line="240" w:lineRule="auto"/>
        <w:jc w:val="both"/>
        <w:rPr>
          <w:rFonts w:ascii="Arial" w:eastAsia="Times New Roman" w:hAnsi="Arial" w:cs="Arial"/>
          <w:iCs/>
          <w:lang w:eastAsia="en-US"/>
        </w:rPr>
      </w:pPr>
    </w:p>
    <w:p w14:paraId="1763165E" w14:textId="77777777" w:rsidR="003E02DB" w:rsidRPr="003A2F86" w:rsidRDefault="003E02DB" w:rsidP="003E02DB">
      <w:pPr>
        <w:spacing w:after="0" w:line="240" w:lineRule="auto"/>
        <w:rPr>
          <w:rFonts w:ascii="Arial" w:eastAsia="Times New Roman" w:hAnsi="Arial" w:cs="Arial"/>
          <w:b/>
          <w:i/>
          <w:iCs/>
          <w:lang w:eastAsia="en-US"/>
        </w:rPr>
      </w:pPr>
      <w:r w:rsidRPr="003A2F86">
        <w:rPr>
          <w:rFonts w:ascii="Arial" w:eastAsia="Times New Roman" w:hAnsi="Arial" w:cs="Arial"/>
          <w:b/>
          <w:i/>
          <w:iCs/>
          <w:lang w:eastAsia="en-US"/>
        </w:rPr>
        <w:t>Napomena uz tablicu koja slijedi:</w:t>
      </w:r>
    </w:p>
    <w:p w14:paraId="4F5DE18C" w14:textId="77777777" w:rsidR="003E02DB" w:rsidRPr="003A2F86" w:rsidRDefault="003E02DB" w:rsidP="003E02DB">
      <w:pPr>
        <w:spacing w:after="0" w:line="240" w:lineRule="auto"/>
        <w:rPr>
          <w:rFonts w:ascii="Arial" w:eastAsia="Times New Roman" w:hAnsi="Arial" w:cs="Arial"/>
          <w:b/>
          <w:iCs/>
          <w:lang w:eastAsia="en-US"/>
        </w:rPr>
      </w:pPr>
    </w:p>
    <w:p w14:paraId="5FA2AA0C" w14:textId="77777777" w:rsidR="003E02DB"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iCs/>
          <w:u w:val="single"/>
          <w:lang w:eastAsia="en-US"/>
        </w:rPr>
        <w:t xml:space="preserve">U izvještaju o izvršenju proračuna </w:t>
      </w:r>
      <w:r w:rsidRPr="003A2F86">
        <w:rPr>
          <w:rFonts w:ascii="Arial" w:eastAsia="Times New Roman" w:hAnsi="Arial" w:cs="Arial"/>
          <w:iCs/>
          <w:lang w:eastAsia="en-US"/>
        </w:rPr>
        <w:t xml:space="preserve">su iskazani prihodi i primici iz stupca 5b, dakle prihodi i primici Općine sa svim prihodima i primicima proračunskih korisnika, financijski izvještaji razina 23. </w:t>
      </w:r>
    </w:p>
    <w:p w14:paraId="7E6287AA" w14:textId="77777777" w:rsidR="003E02DB" w:rsidRPr="003A2F86" w:rsidRDefault="003E02DB" w:rsidP="003E02DB">
      <w:pPr>
        <w:spacing w:after="0" w:line="240" w:lineRule="auto"/>
        <w:jc w:val="both"/>
        <w:rPr>
          <w:rFonts w:ascii="Arial" w:eastAsia="Times New Roman" w:hAnsi="Arial" w:cs="Arial"/>
          <w:iCs/>
          <w:lang w:eastAsia="en-US"/>
        </w:rPr>
      </w:pPr>
    </w:p>
    <w:p w14:paraId="24FB87E2" w14:textId="470AE45C" w:rsidR="003E02DB"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Dalje kroz tekst izvještaja navode se </w:t>
      </w:r>
      <w:r w:rsidRPr="003A2F86">
        <w:rPr>
          <w:rFonts w:ascii="Arial" w:eastAsia="Times New Roman" w:hAnsi="Arial" w:cs="Arial"/>
          <w:b/>
          <w:iCs/>
          <w:lang w:eastAsia="en-US"/>
        </w:rPr>
        <w:t>usporedbe</w:t>
      </w:r>
      <w:r w:rsidRPr="003A2F86">
        <w:rPr>
          <w:rFonts w:ascii="Arial" w:eastAsia="Times New Roman" w:hAnsi="Arial" w:cs="Arial"/>
          <w:iCs/>
          <w:lang w:eastAsia="en-US"/>
        </w:rPr>
        <w:t xml:space="preserve"> ostvarenog u 202</w:t>
      </w:r>
      <w:r w:rsidR="00685E7E">
        <w:rPr>
          <w:rFonts w:ascii="Arial" w:eastAsia="Times New Roman" w:hAnsi="Arial" w:cs="Arial"/>
          <w:iCs/>
          <w:lang w:eastAsia="en-US"/>
        </w:rPr>
        <w:t>5</w:t>
      </w:r>
      <w:r w:rsidRPr="003A2F86">
        <w:rPr>
          <w:rFonts w:ascii="Arial" w:eastAsia="Times New Roman" w:hAnsi="Arial" w:cs="Arial"/>
          <w:iCs/>
          <w:lang w:eastAsia="en-US"/>
        </w:rPr>
        <w:t>. (stupac 5 b u tablici) u odnosu na ostvareno u prethodnom proračunskom razdoblju 202</w:t>
      </w:r>
      <w:r w:rsidR="00685E7E">
        <w:rPr>
          <w:rFonts w:ascii="Arial" w:eastAsia="Times New Roman" w:hAnsi="Arial" w:cs="Arial"/>
          <w:iCs/>
          <w:lang w:eastAsia="en-US"/>
        </w:rPr>
        <w:t>4</w:t>
      </w:r>
      <w:r w:rsidRPr="003A2F86">
        <w:rPr>
          <w:rFonts w:ascii="Arial" w:eastAsia="Times New Roman" w:hAnsi="Arial" w:cs="Arial"/>
          <w:iCs/>
          <w:lang w:eastAsia="en-US"/>
        </w:rPr>
        <w:t xml:space="preserve">. godine (stupac 3b u tablici). </w:t>
      </w:r>
    </w:p>
    <w:p w14:paraId="15A61960" w14:textId="77777777" w:rsidR="009346FD" w:rsidRPr="003A2F86" w:rsidRDefault="009346FD" w:rsidP="003E02DB">
      <w:pPr>
        <w:spacing w:after="0" w:line="240" w:lineRule="auto"/>
        <w:rPr>
          <w:rFonts w:ascii="Arial" w:eastAsia="Times New Roman" w:hAnsi="Arial" w:cs="Arial"/>
          <w:iCs/>
          <w:lang w:eastAsia="en-US"/>
        </w:rPr>
      </w:pPr>
    </w:p>
    <w:p w14:paraId="3F5ED584" w14:textId="77777777" w:rsidR="009346FD" w:rsidRPr="003A2F86" w:rsidRDefault="009346FD" w:rsidP="003E02DB">
      <w:pPr>
        <w:spacing w:after="0" w:line="240" w:lineRule="auto"/>
        <w:rPr>
          <w:rFonts w:ascii="Arial" w:eastAsia="Times New Roman" w:hAnsi="Arial" w:cs="Arial"/>
          <w:iCs/>
          <w:lang w:eastAsia="en-US"/>
        </w:rPr>
      </w:pPr>
    </w:p>
    <w:p w14:paraId="5EC3717F" w14:textId="77777777" w:rsidR="009346FD" w:rsidRPr="003A2F86" w:rsidRDefault="009346FD" w:rsidP="003E02DB">
      <w:pPr>
        <w:spacing w:after="0" w:line="240" w:lineRule="auto"/>
        <w:rPr>
          <w:rFonts w:ascii="Arial" w:eastAsia="Times New Roman" w:hAnsi="Arial" w:cs="Arial"/>
          <w:iCs/>
          <w:lang w:eastAsia="en-US"/>
        </w:rPr>
        <w:sectPr w:rsidR="009346FD" w:rsidRPr="003A2F86" w:rsidSect="00A84C90">
          <w:headerReference w:type="default" r:id="rId38"/>
          <w:footerReference w:type="default" r:id="rId39"/>
          <w:type w:val="continuous"/>
          <w:pgSz w:w="16838" w:h="11906" w:orient="landscape" w:code="9"/>
          <w:pgMar w:top="1134" w:right="1134" w:bottom="1134" w:left="1134" w:header="720" w:footer="720" w:gutter="0"/>
          <w:pgNumType w:start="1" w:chapStyle="1"/>
          <w:cols w:space="720"/>
          <w:titlePg/>
          <w:docGrid w:linePitch="272"/>
        </w:sectPr>
      </w:pPr>
    </w:p>
    <w:p w14:paraId="60CC11D4" w14:textId="36942770" w:rsidR="009346FD" w:rsidRPr="003A2F86" w:rsidRDefault="003E02DB" w:rsidP="009346FD">
      <w:pPr>
        <w:pStyle w:val="Opisslike"/>
        <w:keepNext/>
        <w:jc w:val="both"/>
      </w:pPr>
      <w:bookmarkStart w:id="44" w:name="_Toc207706979"/>
      <w:bookmarkStart w:id="45" w:name="_Hlk17958624"/>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15</w:t>
      </w:r>
      <w:r w:rsidRPr="003A2F86">
        <w:rPr>
          <w:color w:val="FF0000"/>
        </w:rPr>
        <w:fldChar w:fldCharType="end"/>
      </w:r>
      <w:r w:rsidRPr="003A2F86">
        <w:rPr>
          <w:color w:val="FF0000"/>
        </w:rPr>
        <w:t xml:space="preserve">.: </w:t>
      </w:r>
      <w:r w:rsidRPr="003A2F86">
        <w:rPr>
          <w:rFonts w:ascii="Arial" w:hAnsi="Arial" w:cs="Arial"/>
          <w:iCs/>
        </w:rPr>
        <w:t xml:space="preserve">Pregled ostvarenih prihoda i primitaka </w:t>
      </w:r>
      <w:r w:rsidR="00CA3194" w:rsidRPr="003A2F86">
        <w:rPr>
          <w:rFonts w:ascii="Arial" w:hAnsi="Arial" w:cs="Arial"/>
          <w:iCs/>
        </w:rPr>
        <w:t>u</w:t>
      </w:r>
      <w:r w:rsidRPr="003A2F86">
        <w:rPr>
          <w:rFonts w:ascii="Arial" w:hAnsi="Arial" w:cs="Arial"/>
          <w:iCs/>
        </w:rPr>
        <w:t xml:space="preserve"> </w:t>
      </w:r>
      <w:r w:rsidR="00685E7E">
        <w:rPr>
          <w:rFonts w:ascii="Arial" w:hAnsi="Arial" w:cs="Arial"/>
          <w:iCs/>
        </w:rPr>
        <w:t>1-6/</w:t>
      </w:r>
      <w:r w:rsidRPr="003A2F86">
        <w:rPr>
          <w:rFonts w:ascii="Arial" w:hAnsi="Arial" w:cs="Arial"/>
          <w:iCs/>
        </w:rPr>
        <w:t>202</w:t>
      </w:r>
      <w:r w:rsidR="00685E7E">
        <w:rPr>
          <w:rFonts w:ascii="Arial" w:hAnsi="Arial" w:cs="Arial"/>
          <w:iCs/>
        </w:rPr>
        <w:t>5</w:t>
      </w:r>
      <w:r w:rsidRPr="003A2F86">
        <w:rPr>
          <w:rFonts w:ascii="Arial" w:hAnsi="Arial" w:cs="Arial"/>
          <w:iCs/>
        </w:rPr>
        <w:t>.</w:t>
      </w:r>
      <w:r w:rsidR="007B469E" w:rsidRPr="003A2F86">
        <w:rPr>
          <w:rFonts w:ascii="Arial" w:hAnsi="Arial" w:cs="Arial"/>
          <w:iCs/>
        </w:rPr>
        <w:t xml:space="preserve"> (€)</w:t>
      </w:r>
      <w:r w:rsidRPr="003A2F86">
        <w:rPr>
          <w:rFonts w:ascii="Arial" w:hAnsi="Arial" w:cs="Arial"/>
          <w:iCs/>
        </w:rPr>
        <w:t xml:space="preserve"> te usporedba s ostvarenjem </w:t>
      </w:r>
      <w:r w:rsidR="00685E7E">
        <w:rPr>
          <w:rFonts w:ascii="Arial" w:hAnsi="Arial" w:cs="Arial"/>
          <w:iCs/>
        </w:rPr>
        <w:t>1-6/</w:t>
      </w:r>
      <w:r w:rsidRPr="003A2F86">
        <w:rPr>
          <w:rFonts w:ascii="Arial" w:hAnsi="Arial" w:cs="Arial"/>
          <w:iCs/>
        </w:rPr>
        <w:t>202</w:t>
      </w:r>
      <w:r w:rsidR="00685E7E">
        <w:rPr>
          <w:rFonts w:ascii="Arial" w:hAnsi="Arial" w:cs="Arial"/>
          <w:iCs/>
        </w:rPr>
        <w:t>4</w:t>
      </w:r>
      <w:r w:rsidRPr="003A2F86">
        <w:rPr>
          <w:rFonts w:ascii="Arial" w:hAnsi="Arial" w:cs="Arial"/>
          <w:iCs/>
        </w:rPr>
        <w:t>. (</w:t>
      </w:r>
      <w:r w:rsidRPr="003A2F86">
        <w:rPr>
          <w:rFonts w:ascii="Arial" w:hAnsi="Arial" w:cs="Arial"/>
          <w:iCs/>
          <w:color w:val="0070C0"/>
        </w:rPr>
        <w:t xml:space="preserve">razina 22 </w:t>
      </w:r>
      <w:r w:rsidRPr="003A2F86">
        <w:rPr>
          <w:rFonts w:ascii="Arial" w:hAnsi="Arial" w:cs="Arial"/>
          <w:iCs/>
        </w:rPr>
        <w:t xml:space="preserve">i </w:t>
      </w:r>
      <w:r w:rsidRPr="003A2F86">
        <w:rPr>
          <w:rFonts w:ascii="Arial" w:hAnsi="Arial" w:cs="Arial"/>
          <w:iCs/>
          <w:color w:val="7030A0"/>
        </w:rPr>
        <w:t>razina 23</w:t>
      </w:r>
      <w:r w:rsidRPr="003A2F86">
        <w:rPr>
          <w:rFonts w:ascii="Arial" w:hAnsi="Arial" w:cs="Arial"/>
          <w:iCs/>
        </w:rPr>
        <w:t>) i planom za 202</w:t>
      </w:r>
      <w:r w:rsidR="00685E7E">
        <w:rPr>
          <w:rFonts w:ascii="Arial" w:hAnsi="Arial" w:cs="Arial"/>
          <w:iCs/>
        </w:rPr>
        <w:t>5</w:t>
      </w:r>
      <w:r w:rsidRPr="003A2F86">
        <w:rPr>
          <w:rFonts w:ascii="Arial" w:hAnsi="Arial" w:cs="Arial"/>
          <w:iCs/>
        </w:rPr>
        <w:t>.</w:t>
      </w:r>
      <w:bookmarkEnd w:id="44"/>
    </w:p>
    <w:p w14:paraId="75B69306" w14:textId="3F8D7609" w:rsidR="009346FD" w:rsidRPr="003A2F86" w:rsidRDefault="00685E7E" w:rsidP="003868B9">
      <w:pPr>
        <w:jc w:val="center"/>
      </w:pPr>
      <w:r w:rsidRPr="00685E7E">
        <w:rPr>
          <w:noProof/>
        </w:rPr>
        <w:drawing>
          <wp:inline distT="0" distB="0" distL="0" distR="0" wp14:anchorId="3FE9B7E3" wp14:editId="20E885B9">
            <wp:extent cx="8983066" cy="5812033"/>
            <wp:effectExtent l="0" t="0" r="8890" b="0"/>
            <wp:docPr id="102256527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85766" cy="5813780"/>
                    </a:xfrm>
                    <a:prstGeom prst="rect">
                      <a:avLst/>
                    </a:prstGeom>
                    <a:noFill/>
                    <a:ln>
                      <a:noFill/>
                    </a:ln>
                  </pic:spPr>
                </pic:pic>
              </a:graphicData>
            </a:graphic>
          </wp:inline>
        </w:drawing>
      </w:r>
    </w:p>
    <w:p w14:paraId="61E7A909" w14:textId="42DAAF53" w:rsidR="009346FD" w:rsidRPr="003A2F86" w:rsidRDefault="00685E7E" w:rsidP="003868B9">
      <w:pPr>
        <w:jc w:val="center"/>
      </w:pPr>
      <w:r w:rsidRPr="00685E7E">
        <w:rPr>
          <w:noProof/>
        </w:rPr>
        <w:lastRenderedPageBreak/>
        <w:drawing>
          <wp:inline distT="0" distB="0" distL="0" distR="0" wp14:anchorId="270D215B" wp14:editId="09E3D269">
            <wp:extent cx="8866023" cy="4790702"/>
            <wp:effectExtent l="0" t="0" r="0" b="0"/>
            <wp:docPr id="104267252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70063" cy="4792885"/>
                    </a:xfrm>
                    <a:prstGeom prst="rect">
                      <a:avLst/>
                    </a:prstGeom>
                    <a:noFill/>
                    <a:ln>
                      <a:noFill/>
                    </a:ln>
                  </pic:spPr>
                </pic:pic>
              </a:graphicData>
            </a:graphic>
          </wp:inline>
        </w:drawing>
      </w:r>
    </w:p>
    <w:bookmarkEnd w:id="45"/>
    <w:p w14:paraId="39E494D6" w14:textId="7A047A9E" w:rsidR="003E02DB" w:rsidRDefault="003E02DB" w:rsidP="003E02DB">
      <w:pPr>
        <w:spacing w:after="0" w:line="240" w:lineRule="auto"/>
        <w:jc w:val="center"/>
        <w:rPr>
          <w:noProof/>
        </w:rPr>
      </w:pPr>
    </w:p>
    <w:p w14:paraId="507DFEB3" w14:textId="77777777" w:rsidR="00685E7E" w:rsidRDefault="00685E7E" w:rsidP="003E02DB">
      <w:pPr>
        <w:spacing w:after="0" w:line="240" w:lineRule="auto"/>
        <w:jc w:val="center"/>
        <w:rPr>
          <w:noProof/>
        </w:rPr>
      </w:pPr>
    </w:p>
    <w:p w14:paraId="66A92DFC" w14:textId="77777777" w:rsidR="00685E7E" w:rsidRPr="003A2F86" w:rsidRDefault="00685E7E" w:rsidP="003E02DB">
      <w:pPr>
        <w:spacing w:after="0" w:line="240" w:lineRule="auto"/>
        <w:jc w:val="center"/>
        <w:rPr>
          <w:noProof/>
        </w:rPr>
      </w:pPr>
    </w:p>
    <w:p w14:paraId="596BA914" w14:textId="77777777" w:rsidR="003868B9" w:rsidRPr="003A2F86" w:rsidRDefault="003868B9" w:rsidP="003E02DB">
      <w:pPr>
        <w:spacing w:after="0" w:line="240" w:lineRule="auto"/>
        <w:jc w:val="both"/>
        <w:rPr>
          <w:rFonts w:ascii="Arial" w:eastAsia="Times New Roman" w:hAnsi="Arial" w:cs="Arial"/>
          <w:bCs/>
          <w:lang w:eastAsia="en-US"/>
        </w:rPr>
      </w:pPr>
      <w:bookmarkStart w:id="46" w:name="_Hlk114475560"/>
    </w:p>
    <w:p w14:paraId="539C7DED" w14:textId="743D99E8" w:rsidR="003E02DB" w:rsidRPr="003A2F86" w:rsidRDefault="003E02DB" w:rsidP="003E02DB">
      <w:pPr>
        <w:spacing w:after="0" w:line="240" w:lineRule="auto"/>
        <w:jc w:val="both"/>
        <w:rPr>
          <w:rFonts w:ascii="Arial" w:eastAsia="Times New Roman" w:hAnsi="Arial" w:cs="Arial"/>
          <w:bCs/>
          <w:lang w:eastAsia="en-US"/>
        </w:rPr>
      </w:pPr>
      <w:r w:rsidRPr="003A2F86">
        <w:rPr>
          <w:rFonts w:ascii="Arial" w:eastAsia="Times New Roman" w:hAnsi="Arial" w:cs="Arial"/>
          <w:bCs/>
          <w:lang w:eastAsia="en-US"/>
        </w:rPr>
        <w:lastRenderedPageBreak/>
        <w:t>Za 202</w:t>
      </w:r>
      <w:r w:rsidR="00685E7E">
        <w:rPr>
          <w:rFonts w:ascii="Arial" w:eastAsia="Times New Roman" w:hAnsi="Arial" w:cs="Arial"/>
          <w:bCs/>
          <w:lang w:eastAsia="en-US"/>
        </w:rPr>
        <w:t>5</w:t>
      </w:r>
      <w:r w:rsidRPr="003A2F86">
        <w:rPr>
          <w:rFonts w:ascii="Arial" w:eastAsia="Times New Roman" w:hAnsi="Arial" w:cs="Arial"/>
          <w:bCs/>
          <w:lang w:eastAsia="en-US"/>
        </w:rPr>
        <w:t xml:space="preserve">. godinu planirani prihodi proračuna iznose </w:t>
      </w:r>
      <w:r w:rsidR="00685E7E">
        <w:rPr>
          <w:rFonts w:ascii="Arial" w:eastAsia="Times New Roman" w:hAnsi="Arial" w:cs="Arial"/>
          <w:bCs/>
          <w:lang w:eastAsia="en-US"/>
        </w:rPr>
        <w:t>25.729.660</w:t>
      </w:r>
      <w:r w:rsidRPr="003A2F86">
        <w:rPr>
          <w:rFonts w:ascii="Arial" w:eastAsia="Times New Roman" w:hAnsi="Arial" w:cs="Arial"/>
          <w:bCs/>
          <w:lang w:eastAsia="en-US"/>
        </w:rPr>
        <w:t xml:space="preserve"> €, a planirani primici iznose </w:t>
      </w:r>
      <w:r w:rsidR="00685E7E">
        <w:rPr>
          <w:rFonts w:ascii="Arial" w:eastAsia="Times New Roman" w:hAnsi="Arial" w:cs="Arial"/>
          <w:bCs/>
          <w:lang w:eastAsia="en-US"/>
        </w:rPr>
        <w:t>8.5</w:t>
      </w:r>
      <w:r w:rsidR="003375A8" w:rsidRPr="003A2F86">
        <w:rPr>
          <w:rFonts w:ascii="Arial" w:eastAsia="Times New Roman" w:hAnsi="Arial" w:cs="Arial"/>
          <w:bCs/>
          <w:lang w:eastAsia="en-US"/>
        </w:rPr>
        <w:t>00.000</w:t>
      </w:r>
      <w:r w:rsidRPr="003A2F86">
        <w:rPr>
          <w:rFonts w:ascii="Arial" w:eastAsia="Times New Roman" w:hAnsi="Arial" w:cs="Arial"/>
          <w:bCs/>
          <w:lang w:eastAsia="en-US"/>
        </w:rPr>
        <w:t xml:space="preserve"> </w:t>
      </w:r>
      <w:r w:rsidR="0069140A" w:rsidRPr="003A2F86">
        <w:rPr>
          <w:rFonts w:ascii="Arial" w:eastAsia="Times New Roman" w:hAnsi="Arial" w:cs="Arial"/>
          <w:bCs/>
          <w:lang w:eastAsia="en-US"/>
        </w:rPr>
        <w:t xml:space="preserve">€ </w:t>
      </w:r>
      <w:r w:rsidRPr="003A2F86">
        <w:rPr>
          <w:rFonts w:ascii="Arial" w:eastAsia="Times New Roman" w:hAnsi="Arial" w:cs="Arial"/>
          <w:bCs/>
          <w:lang w:eastAsia="en-US"/>
        </w:rPr>
        <w:t xml:space="preserve">što sveukupno čini </w:t>
      </w:r>
      <w:r w:rsidR="00685E7E">
        <w:rPr>
          <w:rFonts w:ascii="Arial" w:eastAsia="Times New Roman" w:hAnsi="Arial" w:cs="Arial"/>
          <w:bCs/>
          <w:lang w:eastAsia="en-US"/>
        </w:rPr>
        <w:t>35.638.660</w:t>
      </w:r>
      <w:r w:rsidR="00CA3194" w:rsidRPr="003A2F86">
        <w:rPr>
          <w:rFonts w:ascii="Arial" w:eastAsia="Times New Roman" w:hAnsi="Arial" w:cs="Arial"/>
          <w:bCs/>
          <w:lang w:eastAsia="en-US"/>
        </w:rPr>
        <w:t xml:space="preserve"> </w:t>
      </w:r>
      <w:r w:rsidRPr="003A2F86">
        <w:rPr>
          <w:rFonts w:ascii="Arial" w:eastAsia="Times New Roman" w:hAnsi="Arial" w:cs="Arial"/>
          <w:bCs/>
          <w:lang w:eastAsia="en-US"/>
        </w:rPr>
        <w:t>€. Planirani viškovi iz prethodne godine iznose</w:t>
      </w:r>
      <w:r w:rsidR="00685E7E">
        <w:rPr>
          <w:rFonts w:ascii="Arial" w:eastAsia="Times New Roman" w:hAnsi="Arial" w:cs="Arial"/>
          <w:bCs/>
          <w:lang w:eastAsia="en-US"/>
        </w:rPr>
        <w:t xml:space="preserve"> 4.341.340</w:t>
      </w:r>
      <w:r w:rsidRPr="003A2F86">
        <w:rPr>
          <w:rFonts w:ascii="Arial" w:eastAsia="Times New Roman" w:hAnsi="Arial" w:cs="Arial"/>
          <w:bCs/>
          <w:lang w:eastAsia="en-US"/>
        </w:rPr>
        <w:t xml:space="preserve"> € (viškovi i manjkovi općine </w:t>
      </w:r>
      <w:r w:rsidR="008F7BA2">
        <w:rPr>
          <w:rFonts w:ascii="Arial" w:eastAsia="Times New Roman" w:hAnsi="Arial" w:cs="Arial"/>
          <w:bCs/>
          <w:lang w:eastAsia="en-US"/>
        </w:rPr>
        <w:t>4.813.903,05</w:t>
      </w:r>
      <w:r w:rsidRPr="003A2F86">
        <w:rPr>
          <w:rFonts w:ascii="Arial" w:eastAsia="Times New Roman" w:hAnsi="Arial" w:cs="Arial"/>
          <w:bCs/>
          <w:lang w:eastAsia="en-US"/>
        </w:rPr>
        <w:t xml:space="preserve"> € i proračunskih korisnika -</w:t>
      </w:r>
      <w:r w:rsidR="008F7BA2">
        <w:rPr>
          <w:rFonts w:ascii="Arial" w:eastAsia="Times New Roman" w:hAnsi="Arial" w:cs="Arial"/>
          <w:bCs/>
          <w:lang w:eastAsia="en-US"/>
        </w:rPr>
        <w:t>243.717,35</w:t>
      </w:r>
      <w:r w:rsidRPr="003A2F86">
        <w:rPr>
          <w:rFonts w:ascii="Arial" w:eastAsia="Times New Roman" w:hAnsi="Arial" w:cs="Arial"/>
          <w:bCs/>
          <w:lang w:eastAsia="en-US"/>
        </w:rPr>
        <w:t xml:space="preserve"> €), te ukupno planirani prihodi i primici iznose </w:t>
      </w:r>
      <w:r w:rsidR="008F7BA2">
        <w:rPr>
          <w:rFonts w:ascii="Arial" w:eastAsia="Times New Roman" w:hAnsi="Arial" w:cs="Arial"/>
          <w:bCs/>
          <w:lang w:eastAsia="en-US"/>
        </w:rPr>
        <w:t>39.980.000</w:t>
      </w:r>
      <w:r w:rsidRPr="003A2F86">
        <w:rPr>
          <w:rFonts w:ascii="Arial" w:eastAsia="Times New Roman" w:hAnsi="Arial" w:cs="Arial"/>
          <w:bCs/>
          <w:lang w:eastAsia="en-US"/>
        </w:rPr>
        <w:t xml:space="preserve"> €.</w:t>
      </w:r>
    </w:p>
    <w:p w14:paraId="3597C271" w14:textId="77777777" w:rsidR="003E02DB" w:rsidRPr="003A2F86" w:rsidRDefault="003E02DB" w:rsidP="003E02DB">
      <w:pPr>
        <w:spacing w:after="0" w:line="240" w:lineRule="auto"/>
        <w:jc w:val="both"/>
        <w:rPr>
          <w:rFonts w:ascii="Arial" w:eastAsia="Times New Roman" w:hAnsi="Arial" w:cs="Arial"/>
          <w:bCs/>
          <w:lang w:eastAsia="en-US"/>
        </w:rPr>
      </w:pPr>
    </w:p>
    <w:p w14:paraId="394AA160" w14:textId="122D2DBA" w:rsidR="002A6217" w:rsidRPr="003A2F86" w:rsidRDefault="003E02DB" w:rsidP="003E02DB">
      <w:pPr>
        <w:spacing w:after="0" w:line="240" w:lineRule="auto"/>
        <w:jc w:val="both"/>
        <w:rPr>
          <w:rFonts w:ascii="Arial" w:eastAsia="Times New Roman" w:hAnsi="Arial" w:cs="Arial"/>
          <w:iCs/>
          <w:lang w:eastAsia="en-US"/>
        </w:rPr>
      </w:pPr>
      <w:r w:rsidRPr="003A2F86">
        <w:rPr>
          <w:rFonts w:ascii="Arial" w:eastAsia="Times New Roman" w:hAnsi="Arial" w:cs="Arial"/>
          <w:b/>
          <w:bCs/>
          <w:iCs/>
          <w:lang w:eastAsia="en-US"/>
        </w:rPr>
        <w:t>Ukupni prihodi i primici</w:t>
      </w:r>
      <w:r w:rsidRPr="003A2F86">
        <w:rPr>
          <w:rFonts w:ascii="Arial" w:eastAsia="Times New Roman" w:hAnsi="Arial" w:cs="Arial"/>
          <w:iCs/>
          <w:lang w:eastAsia="en-US"/>
        </w:rPr>
        <w:t xml:space="preserve"> ostvareni su u iznosu </w:t>
      </w:r>
      <w:r w:rsidR="008F7BA2">
        <w:rPr>
          <w:rFonts w:ascii="Arial" w:eastAsia="Times New Roman" w:hAnsi="Arial" w:cs="Arial"/>
          <w:iCs/>
          <w:lang w:eastAsia="en-US"/>
        </w:rPr>
        <w:t>8.250.742,06</w:t>
      </w:r>
      <w:r w:rsidRPr="003A2F86">
        <w:rPr>
          <w:rFonts w:ascii="Arial" w:eastAsia="Times New Roman" w:hAnsi="Arial" w:cs="Arial"/>
          <w:iCs/>
          <w:lang w:eastAsia="en-US"/>
        </w:rPr>
        <w:t xml:space="preserve"> € što je </w:t>
      </w:r>
      <w:r w:rsidR="008F7BA2">
        <w:rPr>
          <w:rFonts w:ascii="Arial" w:eastAsia="Times New Roman" w:hAnsi="Arial" w:cs="Arial"/>
          <w:iCs/>
          <w:lang w:eastAsia="en-US"/>
        </w:rPr>
        <w:t>više</w:t>
      </w:r>
      <w:r w:rsidRPr="003A2F86">
        <w:rPr>
          <w:rFonts w:ascii="Arial" w:eastAsia="Times New Roman" w:hAnsi="Arial" w:cs="Arial"/>
          <w:iCs/>
          <w:lang w:eastAsia="en-US"/>
        </w:rPr>
        <w:t xml:space="preserve"> za </w:t>
      </w:r>
      <w:r w:rsidR="008F7BA2">
        <w:rPr>
          <w:rFonts w:ascii="Arial" w:eastAsia="Times New Roman" w:hAnsi="Arial" w:cs="Arial"/>
          <w:iCs/>
          <w:lang w:eastAsia="en-US"/>
        </w:rPr>
        <w:t>2.955.938,16</w:t>
      </w:r>
      <w:r w:rsidRPr="003A2F86">
        <w:rPr>
          <w:rFonts w:ascii="Arial" w:eastAsia="Times New Roman" w:hAnsi="Arial" w:cs="Arial"/>
          <w:iCs/>
          <w:lang w:eastAsia="en-US"/>
        </w:rPr>
        <w:t xml:space="preserve"> € ili </w:t>
      </w:r>
      <w:r w:rsidR="00493843">
        <w:rPr>
          <w:rFonts w:ascii="Arial" w:eastAsia="Times New Roman" w:hAnsi="Arial" w:cs="Arial"/>
          <w:iCs/>
          <w:lang w:eastAsia="en-US"/>
        </w:rPr>
        <w:t>55,8</w:t>
      </w:r>
      <w:r w:rsidRPr="003A2F86">
        <w:rPr>
          <w:rFonts w:ascii="Arial" w:eastAsia="Times New Roman" w:hAnsi="Arial" w:cs="Arial"/>
          <w:iCs/>
          <w:lang w:eastAsia="en-US"/>
        </w:rPr>
        <w:t xml:space="preserve">% u odnosu na </w:t>
      </w:r>
      <w:r w:rsidR="00104D65" w:rsidRPr="003A2F86">
        <w:rPr>
          <w:rFonts w:ascii="Arial" w:eastAsia="Times New Roman" w:hAnsi="Arial" w:cs="Arial"/>
          <w:iCs/>
          <w:lang w:eastAsia="en-US"/>
        </w:rPr>
        <w:t>izvještajno razdoblje prethodne 202</w:t>
      </w:r>
      <w:r w:rsidR="00493843">
        <w:rPr>
          <w:rFonts w:ascii="Arial" w:eastAsia="Times New Roman" w:hAnsi="Arial" w:cs="Arial"/>
          <w:iCs/>
          <w:lang w:eastAsia="en-US"/>
        </w:rPr>
        <w:t>4</w:t>
      </w:r>
      <w:r w:rsidR="00104D65" w:rsidRPr="003A2F86">
        <w:rPr>
          <w:rFonts w:ascii="Arial" w:eastAsia="Times New Roman" w:hAnsi="Arial" w:cs="Arial"/>
          <w:iCs/>
          <w:lang w:eastAsia="en-US"/>
        </w:rPr>
        <w:t>. godine.</w:t>
      </w:r>
      <w:r w:rsidR="002A6217" w:rsidRPr="003A2F86">
        <w:rPr>
          <w:rFonts w:ascii="Arial" w:eastAsia="Times New Roman" w:hAnsi="Arial" w:cs="Arial"/>
          <w:iCs/>
          <w:lang w:eastAsia="en-US"/>
        </w:rPr>
        <w:t xml:space="preserve"> </w:t>
      </w:r>
      <w:r w:rsidR="00493843">
        <w:rPr>
          <w:rFonts w:ascii="Arial" w:eastAsia="Times New Roman" w:hAnsi="Arial" w:cs="Arial"/>
          <w:iCs/>
          <w:lang w:eastAsia="en-US"/>
        </w:rPr>
        <w:t>Povećanje se odnosi na ostvarene prihode od pomoći za sufinanciranje izgradnje osnovne škole.</w:t>
      </w:r>
      <w:r w:rsidRPr="003A2F86">
        <w:rPr>
          <w:rFonts w:ascii="Arial" w:eastAsia="Times New Roman" w:hAnsi="Arial" w:cs="Arial"/>
          <w:iCs/>
          <w:lang w:eastAsia="en-US"/>
        </w:rPr>
        <w:t xml:space="preserve"> </w:t>
      </w:r>
    </w:p>
    <w:p w14:paraId="79E0F5D4" w14:textId="77777777" w:rsidR="005F0270" w:rsidRPr="00A47444" w:rsidRDefault="005F0270" w:rsidP="003E02DB">
      <w:pPr>
        <w:spacing w:after="0" w:line="240" w:lineRule="auto"/>
        <w:jc w:val="both"/>
        <w:rPr>
          <w:rFonts w:ascii="Arial" w:eastAsia="Times New Roman" w:hAnsi="Arial" w:cs="Arial"/>
          <w:b/>
          <w:bCs/>
          <w:iCs/>
          <w:lang w:eastAsia="en-US"/>
        </w:rPr>
      </w:pPr>
    </w:p>
    <w:p w14:paraId="3C6E1DDF" w14:textId="78EAFB71" w:rsidR="003E02DB" w:rsidRPr="00A47444" w:rsidRDefault="003E02DB" w:rsidP="003E02DB">
      <w:pPr>
        <w:spacing w:after="0" w:line="240" w:lineRule="auto"/>
        <w:jc w:val="both"/>
        <w:rPr>
          <w:rFonts w:ascii="Arial" w:eastAsia="Times New Roman" w:hAnsi="Arial" w:cs="Arial"/>
          <w:iCs/>
          <w:lang w:eastAsia="en-US"/>
        </w:rPr>
      </w:pPr>
      <w:r w:rsidRPr="00A47444">
        <w:rPr>
          <w:rFonts w:ascii="Arial" w:eastAsia="Times New Roman" w:hAnsi="Arial" w:cs="Arial"/>
          <w:b/>
          <w:bCs/>
          <w:iCs/>
          <w:lang w:eastAsia="en-US"/>
        </w:rPr>
        <w:t>Prihodi poslovanja</w:t>
      </w:r>
      <w:r w:rsidRPr="00A47444">
        <w:rPr>
          <w:rFonts w:ascii="Arial" w:eastAsia="Times New Roman" w:hAnsi="Arial" w:cs="Arial"/>
          <w:iCs/>
          <w:lang w:eastAsia="en-US"/>
        </w:rPr>
        <w:t xml:space="preserve"> (6) za 202</w:t>
      </w:r>
      <w:r w:rsidR="00493843" w:rsidRPr="00A47444">
        <w:rPr>
          <w:rFonts w:ascii="Arial" w:eastAsia="Times New Roman" w:hAnsi="Arial" w:cs="Arial"/>
          <w:iCs/>
          <w:lang w:eastAsia="en-US"/>
        </w:rPr>
        <w:t>5</w:t>
      </w:r>
      <w:r w:rsidRPr="00A47444">
        <w:rPr>
          <w:rFonts w:ascii="Arial" w:eastAsia="Times New Roman" w:hAnsi="Arial" w:cs="Arial"/>
          <w:iCs/>
          <w:lang w:eastAsia="en-US"/>
        </w:rPr>
        <w:t xml:space="preserve">. su veći za </w:t>
      </w:r>
      <w:r w:rsidR="00A47444" w:rsidRPr="00A47444">
        <w:rPr>
          <w:rFonts w:ascii="Arial" w:eastAsia="Times New Roman" w:hAnsi="Arial" w:cs="Arial"/>
          <w:iCs/>
          <w:lang w:eastAsia="en-US"/>
        </w:rPr>
        <w:t>3.100.513,54</w:t>
      </w:r>
      <w:r w:rsidRPr="00A47444">
        <w:rPr>
          <w:rFonts w:ascii="Arial" w:eastAsia="Times New Roman" w:hAnsi="Arial" w:cs="Arial"/>
          <w:iCs/>
          <w:lang w:eastAsia="en-US"/>
        </w:rPr>
        <w:t xml:space="preserve"> € ili </w:t>
      </w:r>
      <w:r w:rsidR="00A47444" w:rsidRPr="00A47444">
        <w:rPr>
          <w:rFonts w:ascii="Arial" w:eastAsia="Times New Roman" w:hAnsi="Arial" w:cs="Arial"/>
          <w:iCs/>
          <w:lang w:eastAsia="en-US"/>
        </w:rPr>
        <w:t>61</w:t>
      </w:r>
      <w:r w:rsidRPr="00A47444">
        <w:rPr>
          <w:rFonts w:ascii="Arial" w:eastAsia="Times New Roman" w:hAnsi="Arial" w:cs="Arial"/>
          <w:iCs/>
          <w:lang w:eastAsia="en-US"/>
        </w:rPr>
        <w:t>%</w:t>
      </w:r>
      <w:r w:rsidR="002A6217" w:rsidRPr="00A47444">
        <w:rPr>
          <w:rFonts w:ascii="Arial" w:eastAsia="Times New Roman" w:hAnsi="Arial" w:cs="Arial"/>
          <w:iCs/>
          <w:lang w:eastAsia="en-US"/>
        </w:rPr>
        <w:t xml:space="preserve"> u odnosu na 202</w:t>
      </w:r>
      <w:r w:rsidR="00A47444" w:rsidRPr="00A47444">
        <w:rPr>
          <w:rFonts w:ascii="Arial" w:eastAsia="Times New Roman" w:hAnsi="Arial" w:cs="Arial"/>
          <w:iCs/>
          <w:lang w:eastAsia="en-US"/>
        </w:rPr>
        <w:t>4</w:t>
      </w:r>
      <w:r w:rsidR="002A6217" w:rsidRPr="00A47444">
        <w:rPr>
          <w:rFonts w:ascii="Arial" w:eastAsia="Times New Roman" w:hAnsi="Arial" w:cs="Arial"/>
          <w:iCs/>
          <w:lang w:eastAsia="en-US"/>
        </w:rPr>
        <w:t>. godinu</w:t>
      </w:r>
      <w:r w:rsidR="00FE13D7" w:rsidRPr="00A47444">
        <w:rPr>
          <w:rFonts w:ascii="Arial" w:eastAsia="Times New Roman" w:hAnsi="Arial" w:cs="Arial"/>
          <w:iCs/>
          <w:lang w:eastAsia="en-US"/>
        </w:rPr>
        <w:t>.</w:t>
      </w:r>
      <w:r w:rsidRPr="00A47444">
        <w:rPr>
          <w:rFonts w:ascii="Arial" w:hAnsi="Arial" w:cs="Arial"/>
          <w:iCs/>
        </w:rPr>
        <w:t xml:space="preserve"> </w:t>
      </w:r>
    </w:p>
    <w:p w14:paraId="3A95CE7F" w14:textId="5AE885B9" w:rsidR="003E02DB" w:rsidRPr="00A47444" w:rsidRDefault="003E02DB" w:rsidP="003E02DB">
      <w:pPr>
        <w:spacing w:after="0" w:line="240" w:lineRule="auto"/>
        <w:jc w:val="both"/>
        <w:rPr>
          <w:rFonts w:ascii="Arial" w:hAnsi="Arial" w:cs="Arial"/>
          <w:iCs/>
        </w:rPr>
      </w:pPr>
      <w:bookmarkStart w:id="47" w:name="_Hlk145928812"/>
      <w:r w:rsidRPr="00A47444">
        <w:rPr>
          <w:rFonts w:ascii="Arial" w:hAnsi="Arial" w:cs="Arial"/>
          <w:iCs/>
        </w:rPr>
        <w:t>Najznačajniji udjel u ostvarenim prihodima i primicima za 202</w:t>
      </w:r>
      <w:r w:rsidR="00A47444" w:rsidRPr="00A47444">
        <w:rPr>
          <w:rFonts w:ascii="Arial" w:hAnsi="Arial" w:cs="Arial"/>
          <w:iCs/>
        </w:rPr>
        <w:t>5</w:t>
      </w:r>
      <w:r w:rsidRPr="00A47444">
        <w:rPr>
          <w:rFonts w:ascii="Arial" w:hAnsi="Arial" w:cs="Arial"/>
          <w:iCs/>
        </w:rPr>
        <w:t xml:space="preserve">. imaju prihodi od poreza (61) u iznosu </w:t>
      </w:r>
      <w:r w:rsidR="00A47444" w:rsidRPr="00A47444">
        <w:rPr>
          <w:rFonts w:ascii="Arial" w:hAnsi="Arial" w:cs="Arial"/>
          <w:iCs/>
        </w:rPr>
        <w:t>3.267.384,10</w:t>
      </w:r>
      <w:r w:rsidRPr="00A47444">
        <w:rPr>
          <w:rFonts w:ascii="Arial" w:hAnsi="Arial" w:cs="Arial"/>
          <w:iCs/>
        </w:rPr>
        <w:t xml:space="preserve"> € ili </w:t>
      </w:r>
      <w:r w:rsidR="00A47444" w:rsidRPr="00A47444">
        <w:rPr>
          <w:rFonts w:ascii="Arial" w:hAnsi="Arial" w:cs="Arial"/>
          <w:iCs/>
        </w:rPr>
        <w:t>39,6</w:t>
      </w:r>
      <w:r w:rsidRPr="00A47444">
        <w:rPr>
          <w:rFonts w:ascii="Arial" w:hAnsi="Arial" w:cs="Arial"/>
          <w:iCs/>
        </w:rPr>
        <w:t xml:space="preserve">%, </w:t>
      </w:r>
      <w:r w:rsidR="00A47444" w:rsidRPr="00A47444">
        <w:rPr>
          <w:rFonts w:ascii="Arial" w:hAnsi="Arial" w:cs="Arial"/>
          <w:iCs/>
        </w:rPr>
        <w:t xml:space="preserve">prihodi od pomoći (63) u iznosu 2.703.614,20 € ili 32,8%, </w:t>
      </w:r>
      <w:r w:rsidRPr="00A47444">
        <w:rPr>
          <w:rFonts w:ascii="Arial" w:hAnsi="Arial" w:cs="Arial"/>
          <w:iCs/>
        </w:rPr>
        <w:t xml:space="preserve">prihodi od upravnih i administrativnih pristojbi, pristojbi po posebnim propisima i naknade (65) u iznosu </w:t>
      </w:r>
      <w:r w:rsidR="00A47444" w:rsidRPr="00A47444">
        <w:rPr>
          <w:rFonts w:ascii="Arial" w:hAnsi="Arial" w:cs="Arial"/>
          <w:iCs/>
        </w:rPr>
        <w:t>1.635.925,76</w:t>
      </w:r>
      <w:r w:rsidRPr="00A47444">
        <w:rPr>
          <w:rFonts w:ascii="Arial" w:hAnsi="Arial" w:cs="Arial"/>
          <w:iCs/>
        </w:rPr>
        <w:t xml:space="preserve"> € ili </w:t>
      </w:r>
      <w:r w:rsidR="00A47444" w:rsidRPr="00A47444">
        <w:rPr>
          <w:rFonts w:ascii="Arial" w:hAnsi="Arial" w:cs="Arial"/>
          <w:iCs/>
        </w:rPr>
        <w:t>19,8</w:t>
      </w:r>
      <w:r w:rsidRPr="00A47444">
        <w:rPr>
          <w:rFonts w:ascii="Arial" w:hAnsi="Arial" w:cs="Arial"/>
          <w:iCs/>
        </w:rPr>
        <w:t xml:space="preserve">%, </w:t>
      </w:r>
      <w:r w:rsidR="000977A2" w:rsidRPr="00A47444">
        <w:rPr>
          <w:rFonts w:ascii="Arial" w:hAnsi="Arial" w:cs="Arial"/>
          <w:iCs/>
        </w:rPr>
        <w:t xml:space="preserve">prihodi od imovine </w:t>
      </w:r>
      <w:r w:rsidR="004B4C79" w:rsidRPr="00A47444">
        <w:rPr>
          <w:rFonts w:ascii="Arial" w:hAnsi="Arial" w:cs="Arial"/>
          <w:iCs/>
        </w:rPr>
        <w:t xml:space="preserve">(64) </w:t>
      </w:r>
      <w:r w:rsidR="00A47444" w:rsidRPr="00A47444">
        <w:rPr>
          <w:rFonts w:ascii="Arial" w:hAnsi="Arial" w:cs="Arial"/>
          <w:iCs/>
        </w:rPr>
        <w:t>479.569,36</w:t>
      </w:r>
      <w:r w:rsidR="000977A2" w:rsidRPr="00A47444">
        <w:rPr>
          <w:rFonts w:ascii="Arial" w:hAnsi="Arial" w:cs="Arial"/>
          <w:iCs/>
        </w:rPr>
        <w:t xml:space="preserve"> € ili </w:t>
      </w:r>
      <w:r w:rsidR="00A47444" w:rsidRPr="00A47444">
        <w:rPr>
          <w:rFonts w:ascii="Arial" w:hAnsi="Arial" w:cs="Arial"/>
          <w:iCs/>
        </w:rPr>
        <w:t>5</w:t>
      </w:r>
      <w:r w:rsidR="005F0270" w:rsidRPr="00A47444">
        <w:rPr>
          <w:rFonts w:ascii="Arial" w:hAnsi="Arial" w:cs="Arial"/>
          <w:iCs/>
        </w:rPr>
        <w:t>,8</w:t>
      </w:r>
      <w:r w:rsidR="000977A2" w:rsidRPr="00A47444">
        <w:rPr>
          <w:rFonts w:ascii="Arial" w:hAnsi="Arial" w:cs="Arial"/>
          <w:iCs/>
        </w:rPr>
        <w:t xml:space="preserve">%, </w:t>
      </w:r>
      <w:r w:rsidR="009F311E" w:rsidRPr="00A47444">
        <w:rPr>
          <w:rFonts w:ascii="Arial" w:hAnsi="Arial" w:cs="Arial"/>
          <w:iCs/>
        </w:rPr>
        <w:t>te</w:t>
      </w:r>
      <w:r w:rsidRPr="00A47444">
        <w:rPr>
          <w:rFonts w:ascii="Arial" w:hAnsi="Arial" w:cs="Arial"/>
          <w:iCs/>
        </w:rPr>
        <w:t xml:space="preserve"> </w:t>
      </w:r>
      <w:r w:rsidR="009F311E" w:rsidRPr="00A47444">
        <w:rPr>
          <w:rFonts w:ascii="Arial" w:hAnsi="Arial" w:cs="Arial"/>
          <w:iCs/>
        </w:rPr>
        <w:t xml:space="preserve">prihodi od prodaje </w:t>
      </w:r>
      <w:r w:rsidR="00A47444" w:rsidRPr="00A47444">
        <w:rPr>
          <w:rFonts w:ascii="Arial" w:hAnsi="Arial" w:cs="Arial"/>
          <w:iCs/>
        </w:rPr>
        <w:t>neproizvedene dugotrajne</w:t>
      </w:r>
      <w:r w:rsidR="009F311E" w:rsidRPr="00A47444">
        <w:rPr>
          <w:rFonts w:ascii="Arial" w:hAnsi="Arial" w:cs="Arial"/>
          <w:iCs/>
        </w:rPr>
        <w:t xml:space="preserve"> imovine (7</w:t>
      </w:r>
      <w:r w:rsidR="00A47444" w:rsidRPr="00A47444">
        <w:rPr>
          <w:rFonts w:ascii="Arial" w:hAnsi="Arial" w:cs="Arial"/>
          <w:iCs/>
        </w:rPr>
        <w:t>1</w:t>
      </w:r>
      <w:r w:rsidR="009F311E" w:rsidRPr="00A47444">
        <w:rPr>
          <w:rFonts w:ascii="Arial" w:hAnsi="Arial" w:cs="Arial"/>
          <w:iCs/>
        </w:rPr>
        <w:t xml:space="preserve">) u iznosu </w:t>
      </w:r>
      <w:r w:rsidR="00A47444" w:rsidRPr="00A47444">
        <w:rPr>
          <w:rFonts w:ascii="Arial" w:hAnsi="Arial" w:cs="Arial"/>
          <w:iCs/>
        </w:rPr>
        <w:t>66.932,00</w:t>
      </w:r>
      <w:r w:rsidR="009F311E" w:rsidRPr="00A47444">
        <w:rPr>
          <w:rFonts w:ascii="Arial" w:hAnsi="Arial" w:cs="Arial"/>
          <w:iCs/>
        </w:rPr>
        <w:t xml:space="preserve"> € ili </w:t>
      </w:r>
      <w:r w:rsidR="00A47444" w:rsidRPr="00A47444">
        <w:rPr>
          <w:rFonts w:ascii="Arial" w:hAnsi="Arial" w:cs="Arial"/>
          <w:iCs/>
        </w:rPr>
        <w:t>0,8</w:t>
      </w:r>
      <w:r w:rsidR="009F311E" w:rsidRPr="00A47444">
        <w:rPr>
          <w:rFonts w:ascii="Arial" w:hAnsi="Arial" w:cs="Arial"/>
          <w:iCs/>
        </w:rPr>
        <w:t xml:space="preserve">%, </w:t>
      </w:r>
      <w:r w:rsidRPr="00A47444">
        <w:rPr>
          <w:rFonts w:ascii="Arial" w:hAnsi="Arial" w:cs="Arial"/>
          <w:iCs/>
        </w:rPr>
        <w:t xml:space="preserve">ukupnih prihoda i primitaka. Primici od zaduživanja </w:t>
      </w:r>
      <w:r w:rsidR="009F311E" w:rsidRPr="00A47444">
        <w:rPr>
          <w:rFonts w:ascii="Arial" w:hAnsi="Arial" w:cs="Arial"/>
          <w:iCs/>
        </w:rPr>
        <w:t>ni</w:t>
      </w:r>
      <w:r w:rsidRPr="00A47444">
        <w:rPr>
          <w:rFonts w:ascii="Arial" w:hAnsi="Arial" w:cs="Arial"/>
          <w:iCs/>
        </w:rPr>
        <w:t>su ostvareni</w:t>
      </w:r>
      <w:r w:rsidR="000977A2" w:rsidRPr="00A47444">
        <w:rPr>
          <w:rFonts w:ascii="Arial" w:hAnsi="Arial" w:cs="Arial"/>
          <w:iCs/>
        </w:rPr>
        <w:t>.</w:t>
      </w:r>
      <w:r w:rsidR="005F0270" w:rsidRPr="00A47444">
        <w:rPr>
          <w:rFonts w:ascii="Arial" w:hAnsi="Arial" w:cs="Arial"/>
          <w:iCs/>
        </w:rPr>
        <w:t xml:space="preserve"> Svi ostali prihodi iznose </w:t>
      </w:r>
      <w:r w:rsidR="00A47444" w:rsidRPr="00A47444">
        <w:rPr>
          <w:rFonts w:ascii="Arial" w:hAnsi="Arial" w:cs="Arial"/>
          <w:iCs/>
        </w:rPr>
        <w:t>96.560,42</w:t>
      </w:r>
      <w:r w:rsidR="005F0270" w:rsidRPr="00A47444">
        <w:rPr>
          <w:rFonts w:ascii="Arial" w:hAnsi="Arial" w:cs="Arial"/>
          <w:iCs/>
        </w:rPr>
        <w:t xml:space="preserve"> € i čine </w:t>
      </w:r>
      <w:r w:rsidR="00A47444" w:rsidRPr="00A47444">
        <w:rPr>
          <w:rFonts w:ascii="Arial" w:hAnsi="Arial" w:cs="Arial"/>
          <w:iCs/>
        </w:rPr>
        <w:t>1,2</w:t>
      </w:r>
      <w:r w:rsidR="005F0270" w:rsidRPr="00A47444">
        <w:rPr>
          <w:rFonts w:ascii="Arial" w:hAnsi="Arial" w:cs="Arial"/>
          <w:iCs/>
        </w:rPr>
        <w:t>%.</w:t>
      </w:r>
    </w:p>
    <w:bookmarkEnd w:id="47"/>
    <w:p w14:paraId="201FB2CF" w14:textId="77777777" w:rsidR="003E02DB" w:rsidRPr="00A47444" w:rsidRDefault="003E02DB" w:rsidP="003E02DB">
      <w:pPr>
        <w:spacing w:after="0" w:line="240" w:lineRule="auto"/>
        <w:jc w:val="both"/>
        <w:rPr>
          <w:rFonts w:ascii="Arial" w:hAnsi="Arial" w:cs="Arial"/>
          <w:iCs/>
        </w:rPr>
      </w:pPr>
    </w:p>
    <w:p w14:paraId="7B1B6C6A" w14:textId="1896C00A" w:rsidR="003E02DB" w:rsidRPr="003A2F86" w:rsidRDefault="003E02DB" w:rsidP="003E02DB">
      <w:pPr>
        <w:pStyle w:val="Opisslike"/>
        <w:rPr>
          <w:rFonts w:ascii="Arial" w:hAnsi="Arial" w:cs="Arial"/>
          <w:sz w:val="22"/>
          <w:szCs w:val="22"/>
        </w:rPr>
      </w:pPr>
      <w:bookmarkStart w:id="48" w:name="_Toc207707011"/>
      <w:bookmarkEnd w:id="46"/>
      <w:r w:rsidRPr="003A2F86">
        <w:rPr>
          <w:color w:val="FF0000"/>
        </w:rPr>
        <w:t xml:space="preserve">Graf </w:t>
      </w:r>
      <w:r w:rsidRPr="003A2F86">
        <w:rPr>
          <w:color w:val="FF0000"/>
        </w:rPr>
        <w:fldChar w:fldCharType="begin"/>
      </w:r>
      <w:r w:rsidRPr="003A2F86">
        <w:rPr>
          <w:color w:val="FF0000"/>
        </w:rPr>
        <w:instrText xml:space="preserve"> SEQ Graf \* ARABIC </w:instrText>
      </w:r>
      <w:r w:rsidRPr="003A2F86">
        <w:rPr>
          <w:color w:val="FF0000"/>
        </w:rPr>
        <w:fldChar w:fldCharType="separate"/>
      </w:r>
      <w:r w:rsidR="00910987">
        <w:rPr>
          <w:noProof/>
          <w:color w:val="FF0000"/>
        </w:rPr>
        <w:t>6</w:t>
      </w:r>
      <w:r w:rsidRPr="003A2F86">
        <w:rPr>
          <w:color w:val="FF0000"/>
        </w:rPr>
        <w:fldChar w:fldCharType="end"/>
      </w:r>
      <w:r w:rsidRPr="003A2F86">
        <w:rPr>
          <w:color w:val="FF0000"/>
        </w:rPr>
        <w:t xml:space="preserve">.: </w:t>
      </w:r>
      <w:r w:rsidRPr="003A2F86">
        <w:rPr>
          <w:rFonts w:ascii="Arial" w:hAnsi="Arial" w:cs="Arial"/>
          <w:sz w:val="22"/>
          <w:szCs w:val="22"/>
        </w:rPr>
        <w:t xml:space="preserve">Struktura ostvarenih prihoda i primitaka </w:t>
      </w:r>
      <w:r w:rsidR="00B33699" w:rsidRPr="003A2F86">
        <w:rPr>
          <w:rFonts w:ascii="Arial" w:hAnsi="Arial" w:cs="Arial"/>
          <w:sz w:val="22"/>
          <w:szCs w:val="22"/>
        </w:rPr>
        <w:t xml:space="preserve">Proračuna </w:t>
      </w:r>
      <w:r w:rsidRPr="003A2F86">
        <w:rPr>
          <w:rFonts w:ascii="Arial" w:hAnsi="Arial" w:cs="Arial"/>
          <w:sz w:val="22"/>
          <w:szCs w:val="22"/>
        </w:rPr>
        <w:t xml:space="preserve">u </w:t>
      </w:r>
      <w:r w:rsidR="00A47444">
        <w:rPr>
          <w:rFonts w:ascii="Arial" w:hAnsi="Arial" w:cs="Arial"/>
          <w:sz w:val="22"/>
          <w:szCs w:val="22"/>
        </w:rPr>
        <w:t>1-6/</w:t>
      </w:r>
      <w:r w:rsidRPr="003A2F86">
        <w:rPr>
          <w:rFonts w:ascii="Arial" w:hAnsi="Arial" w:cs="Arial"/>
          <w:sz w:val="22"/>
          <w:szCs w:val="22"/>
        </w:rPr>
        <w:t>202</w:t>
      </w:r>
      <w:r w:rsidR="00A47444">
        <w:rPr>
          <w:rFonts w:ascii="Arial" w:hAnsi="Arial" w:cs="Arial"/>
          <w:sz w:val="22"/>
          <w:szCs w:val="22"/>
        </w:rPr>
        <w:t>5</w:t>
      </w:r>
      <w:r w:rsidRPr="003A2F86">
        <w:rPr>
          <w:rFonts w:ascii="Arial" w:hAnsi="Arial" w:cs="Arial"/>
          <w:sz w:val="22"/>
          <w:szCs w:val="22"/>
        </w:rPr>
        <w:t>. po ekonomskoj klasifikaciji</w:t>
      </w:r>
      <w:r w:rsidR="004812B6" w:rsidRPr="003A2F86">
        <w:rPr>
          <w:rFonts w:ascii="Arial" w:hAnsi="Arial" w:cs="Arial"/>
          <w:sz w:val="22"/>
          <w:szCs w:val="22"/>
        </w:rPr>
        <w:t xml:space="preserve"> (€)</w:t>
      </w:r>
      <w:r w:rsidRPr="003A2F86">
        <w:rPr>
          <w:rFonts w:ascii="Arial" w:hAnsi="Arial" w:cs="Arial"/>
          <w:sz w:val="22"/>
          <w:szCs w:val="22"/>
        </w:rPr>
        <w:t xml:space="preserve">: </w:t>
      </w:r>
      <w:r w:rsidR="004812B6" w:rsidRPr="003A2F86">
        <w:rPr>
          <w:rFonts w:ascii="Arial" w:hAnsi="Arial" w:cs="Arial"/>
          <w:sz w:val="22"/>
          <w:szCs w:val="22"/>
        </w:rPr>
        <w:t xml:space="preserve">sveukupno </w:t>
      </w:r>
      <w:r w:rsidRPr="00386EBA">
        <w:rPr>
          <w:rFonts w:ascii="Arial" w:hAnsi="Arial" w:cs="Arial"/>
          <w:color w:val="1F497D" w:themeColor="text2"/>
          <w:sz w:val="22"/>
          <w:szCs w:val="22"/>
        </w:rPr>
        <w:t xml:space="preserve">Općina </w:t>
      </w:r>
      <w:r w:rsidRPr="003A2F86">
        <w:rPr>
          <w:rFonts w:ascii="Arial" w:hAnsi="Arial" w:cs="Arial"/>
          <w:sz w:val="22"/>
          <w:szCs w:val="22"/>
        </w:rPr>
        <w:t xml:space="preserve">i </w:t>
      </w:r>
      <w:r w:rsidRPr="00386EBA">
        <w:rPr>
          <w:rFonts w:ascii="Arial" w:hAnsi="Arial" w:cs="Arial"/>
          <w:color w:val="943634" w:themeColor="accent2" w:themeShade="BF"/>
          <w:sz w:val="22"/>
          <w:szCs w:val="22"/>
        </w:rPr>
        <w:t>proračunski korisnici</w:t>
      </w:r>
      <w:bookmarkEnd w:id="48"/>
    </w:p>
    <w:p w14:paraId="414B237C" w14:textId="77777777" w:rsidR="003E02DB" w:rsidRPr="003A2F86" w:rsidRDefault="003E02DB" w:rsidP="007B469E">
      <w:pPr>
        <w:spacing w:after="0" w:line="240" w:lineRule="auto"/>
        <w:rPr>
          <w:lang w:eastAsia="en-US"/>
        </w:rPr>
      </w:pPr>
    </w:p>
    <w:p w14:paraId="661B07B5" w14:textId="77777777" w:rsidR="003E02DB" w:rsidRPr="003A2F86"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rPr>
      </w:pPr>
      <w:r w:rsidRPr="003A2F86">
        <w:rPr>
          <w:rFonts w:ascii="Arial" w:eastAsia="Times New Roman" w:hAnsi="Arial" w:cs="Arial"/>
          <w:noProof/>
          <w:color w:val="FF0000"/>
        </w:rPr>
        <w:drawing>
          <wp:inline distT="0" distB="0" distL="0" distR="0" wp14:anchorId="0DB470DD" wp14:editId="387A25D2">
            <wp:extent cx="7477125" cy="3143250"/>
            <wp:effectExtent l="0" t="0" r="9525" b="0"/>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C98968" w14:textId="77777777" w:rsidR="003E02DB" w:rsidRPr="003A2F86"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Cs w:val="24"/>
        </w:rPr>
      </w:pPr>
    </w:p>
    <w:p w14:paraId="3603857E" w14:textId="1F7EC1B7" w:rsidR="003E02DB" w:rsidRPr="003A2F86"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Cs w:val="24"/>
        </w:rPr>
      </w:pPr>
      <w:r w:rsidRPr="003A2F86">
        <w:rPr>
          <w:rFonts w:ascii="Arial" w:eastAsia="Times New Roman" w:hAnsi="Arial" w:cs="Arial"/>
          <w:color w:val="1F497D" w:themeColor="text2"/>
          <w:szCs w:val="24"/>
        </w:rPr>
        <w:lastRenderedPageBreak/>
        <w:t xml:space="preserve">Ukupno prihodi i primici Općine ostvareni su u iznosu </w:t>
      </w:r>
      <w:r w:rsidR="000A1D9C">
        <w:rPr>
          <w:rFonts w:ascii="Arial" w:eastAsia="Times New Roman" w:hAnsi="Arial" w:cs="Arial"/>
          <w:color w:val="1F497D" w:themeColor="text2"/>
          <w:szCs w:val="24"/>
        </w:rPr>
        <w:t>8.250.742,06</w:t>
      </w:r>
      <w:r w:rsidRPr="003A2F86">
        <w:rPr>
          <w:rFonts w:ascii="Arial" w:eastAsia="Times New Roman" w:hAnsi="Arial" w:cs="Arial"/>
          <w:color w:val="1F497D" w:themeColor="text2"/>
          <w:szCs w:val="24"/>
        </w:rPr>
        <w:t xml:space="preserve"> €, a prihodi proračunskih korisnika u iznosu </w:t>
      </w:r>
      <w:r w:rsidR="00401DE7">
        <w:rPr>
          <w:rFonts w:ascii="Arial" w:eastAsia="Times New Roman" w:hAnsi="Arial" w:cs="Arial"/>
          <w:color w:val="1F497D" w:themeColor="text2"/>
          <w:szCs w:val="24"/>
        </w:rPr>
        <w:t>811.957,18</w:t>
      </w:r>
      <w:r w:rsidRPr="003A2F86">
        <w:rPr>
          <w:rFonts w:ascii="Arial" w:eastAsia="Times New Roman" w:hAnsi="Arial" w:cs="Arial"/>
          <w:color w:val="1F497D" w:themeColor="text2"/>
          <w:szCs w:val="24"/>
        </w:rPr>
        <w:t xml:space="preserve"> €.</w:t>
      </w:r>
      <w:r w:rsidRPr="003A2F86">
        <w:rPr>
          <w:rFonts w:ascii="Arial" w:eastAsia="Times New Roman" w:hAnsi="Arial" w:cs="Arial"/>
          <w:szCs w:val="24"/>
        </w:rPr>
        <w:t xml:space="preserve"> Proračunski korisnici su iz nadležnog općinskog proračuna ostvarili </w:t>
      </w:r>
      <w:r w:rsidR="00401DE7">
        <w:rPr>
          <w:rFonts w:ascii="Arial" w:eastAsia="Times New Roman" w:hAnsi="Arial" w:cs="Arial"/>
          <w:szCs w:val="24"/>
        </w:rPr>
        <w:t>2.280.770,24</w:t>
      </w:r>
      <w:r w:rsidRPr="003A2F86">
        <w:rPr>
          <w:rFonts w:ascii="Arial" w:eastAsia="Times New Roman" w:hAnsi="Arial" w:cs="Arial"/>
          <w:szCs w:val="24"/>
        </w:rPr>
        <w:t xml:space="preserve"> € što s njihovim vlastitim prihodima (</w:t>
      </w:r>
      <w:r w:rsidR="00401DE7">
        <w:rPr>
          <w:rFonts w:ascii="Arial" w:eastAsia="Times New Roman" w:hAnsi="Arial" w:cs="Arial"/>
          <w:szCs w:val="24"/>
        </w:rPr>
        <w:t>811.957,18</w:t>
      </w:r>
      <w:r w:rsidRPr="003A2F86">
        <w:rPr>
          <w:rFonts w:ascii="Arial" w:eastAsia="Times New Roman" w:hAnsi="Arial" w:cs="Arial"/>
          <w:szCs w:val="24"/>
        </w:rPr>
        <w:t xml:space="preserve"> €) iznosi </w:t>
      </w:r>
      <w:r w:rsidR="00401DE7">
        <w:rPr>
          <w:rFonts w:ascii="Arial" w:eastAsia="Times New Roman" w:hAnsi="Arial" w:cs="Arial"/>
          <w:szCs w:val="24"/>
        </w:rPr>
        <w:t>3.092.727,42</w:t>
      </w:r>
      <w:r w:rsidRPr="003A2F86">
        <w:rPr>
          <w:rFonts w:ascii="Arial" w:eastAsia="Times New Roman" w:hAnsi="Arial" w:cs="Arial"/>
          <w:szCs w:val="24"/>
        </w:rPr>
        <w:t xml:space="preserve"> €.</w:t>
      </w:r>
    </w:p>
    <w:p w14:paraId="7C50BA45" w14:textId="77777777" w:rsidR="003E02DB" w:rsidRPr="003A2F86"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830D6E7" w14:textId="1F381028" w:rsidR="003E02DB" w:rsidRPr="003A2F86" w:rsidRDefault="003E02DB" w:rsidP="003E02DB">
      <w:pPr>
        <w:pStyle w:val="Opisslike"/>
        <w:keepNext/>
        <w:jc w:val="both"/>
        <w:rPr>
          <w:rFonts w:ascii="Arial" w:hAnsi="Arial" w:cs="Arial"/>
          <w:iCs/>
          <w:szCs w:val="22"/>
        </w:rPr>
      </w:pPr>
      <w:bookmarkStart w:id="49" w:name="_Toc207706980"/>
      <w:r w:rsidRPr="003A2F86">
        <w:rPr>
          <w:color w:val="FF0000"/>
        </w:rPr>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16</w:t>
      </w:r>
      <w:r w:rsidRPr="003A2F86">
        <w:rPr>
          <w:color w:val="FF0000"/>
        </w:rPr>
        <w:fldChar w:fldCharType="end"/>
      </w:r>
      <w:r w:rsidRPr="003A2F86">
        <w:rPr>
          <w:color w:val="FF0000"/>
        </w:rPr>
        <w:t xml:space="preserve">.: </w:t>
      </w:r>
      <w:r w:rsidRPr="003A2F86">
        <w:rPr>
          <w:rFonts w:ascii="Arial" w:hAnsi="Arial" w:cs="Arial"/>
          <w:iCs/>
          <w:szCs w:val="22"/>
        </w:rPr>
        <w:t xml:space="preserve">Pregled ostvarenih prihoda i primitaka za </w:t>
      </w:r>
      <w:r w:rsidR="00401DE7">
        <w:rPr>
          <w:rFonts w:ascii="Arial" w:hAnsi="Arial" w:cs="Arial"/>
          <w:iCs/>
          <w:szCs w:val="22"/>
        </w:rPr>
        <w:t>1-6/</w:t>
      </w:r>
      <w:r w:rsidRPr="003A2F86">
        <w:rPr>
          <w:rFonts w:ascii="Arial" w:hAnsi="Arial" w:cs="Arial"/>
          <w:iCs/>
          <w:szCs w:val="22"/>
        </w:rPr>
        <w:t>202</w:t>
      </w:r>
      <w:r w:rsidR="00401DE7">
        <w:rPr>
          <w:rFonts w:ascii="Arial" w:hAnsi="Arial" w:cs="Arial"/>
          <w:iCs/>
          <w:szCs w:val="22"/>
        </w:rPr>
        <w:t>5</w:t>
      </w:r>
      <w:r w:rsidRPr="003A2F86">
        <w:rPr>
          <w:rFonts w:ascii="Arial" w:hAnsi="Arial" w:cs="Arial"/>
          <w:iCs/>
          <w:szCs w:val="22"/>
        </w:rPr>
        <w:t xml:space="preserve">. na razini razreda i skupine: </w:t>
      </w:r>
      <w:r w:rsidRPr="00386EBA">
        <w:rPr>
          <w:rFonts w:ascii="Arial" w:hAnsi="Arial" w:cs="Arial"/>
          <w:iCs/>
          <w:color w:val="1F497D" w:themeColor="text2"/>
          <w:szCs w:val="22"/>
        </w:rPr>
        <w:t>Općina</w:t>
      </w:r>
      <w:r w:rsidRPr="003A2F86">
        <w:rPr>
          <w:rFonts w:ascii="Arial" w:hAnsi="Arial" w:cs="Arial"/>
          <w:iCs/>
          <w:szCs w:val="22"/>
        </w:rPr>
        <w:t xml:space="preserve">, </w:t>
      </w:r>
      <w:r w:rsidR="00014158" w:rsidRPr="003A2F86">
        <w:rPr>
          <w:rFonts w:ascii="Arial" w:hAnsi="Arial" w:cs="Arial"/>
          <w:iCs/>
          <w:szCs w:val="22"/>
        </w:rPr>
        <w:t xml:space="preserve">zbirno </w:t>
      </w:r>
      <w:r w:rsidRPr="00386EBA">
        <w:rPr>
          <w:rFonts w:ascii="Arial" w:hAnsi="Arial" w:cs="Arial"/>
          <w:iCs/>
          <w:color w:val="943634" w:themeColor="accent2" w:themeShade="BF"/>
          <w:szCs w:val="22"/>
        </w:rPr>
        <w:t xml:space="preserve">proračunski korisnici </w:t>
      </w:r>
      <w:r w:rsidRPr="003A2F86">
        <w:rPr>
          <w:rFonts w:ascii="Arial" w:hAnsi="Arial" w:cs="Arial"/>
          <w:iCs/>
          <w:szCs w:val="22"/>
        </w:rPr>
        <w:t>i sveukupno Proračun (€)</w:t>
      </w:r>
      <w:bookmarkEnd w:id="49"/>
    </w:p>
    <w:p w14:paraId="34B15501" w14:textId="77777777" w:rsidR="003E02DB" w:rsidRPr="003A2F86"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2"/>
          <w:szCs w:val="12"/>
        </w:rPr>
      </w:pPr>
    </w:p>
    <w:p w14:paraId="095CDA23" w14:textId="2A35F9D5" w:rsidR="0095465F" w:rsidRPr="003A2F86" w:rsidRDefault="00151995" w:rsidP="003B771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50" w:name="_Hlk176352365"/>
      <w:bookmarkStart w:id="51" w:name="_Hlk103066915"/>
      <w:r w:rsidRPr="00151995">
        <w:rPr>
          <w:noProof/>
        </w:rPr>
        <w:drawing>
          <wp:inline distT="0" distB="0" distL="0" distR="0" wp14:anchorId="7D5B10D8" wp14:editId="18AFC56F">
            <wp:extent cx="9184005" cy="4524375"/>
            <wp:effectExtent l="0" t="0" r="0" b="9525"/>
            <wp:docPr id="136258053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84005" cy="4524375"/>
                    </a:xfrm>
                    <a:prstGeom prst="rect">
                      <a:avLst/>
                    </a:prstGeom>
                    <a:noFill/>
                    <a:ln>
                      <a:noFill/>
                    </a:ln>
                  </pic:spPr>
                </pic:pic>
              </a:graphicData>
            </a:graphic>
          </wp:inline>
        </w:drawing>
      </w:r>
    </w:p>
    <w:p w14:paraId="6239792E" w14:textId="77777777" w:rsidR="00151995" w:rsidRDefault="00151995" w:rsidP="003B771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661E16E" w14:textId="7402FA05" w:rsidR="003B7715" w:rsidRPr="003A2F86" w:rsidRDefault="003B7715" w:rsidP="003B771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U prethodnoj tablici daje se pregled ostvarenih prihoda i primitaka za </w:t>
      </w:r>
      <w:r w:rsidR="00151995">
        <w:rPr>
          <w:rFonts w:ascii="Arial" w:eastAsia="Times New Roman" w:hAnsi="Arial" w:cs="Arial"/>
        </w:rPr>
        <w:t>polu</w:t>
      </w:r>
      <w:r w:rsidRPr="003A2F86">
        <w:rPr>
          <w:rFonts w:ascii="Arial" w:eastAsia="Times New Roman" w:hAnsi="Arial" w:cs="Arial"/>
        </w:rPr>
        <w:t>godišnje razdoblje 20</w:t>
      </w:r>
      <w:r w:rsidR="00151995">
        <w:rPr>
          <w:rFonts w:ascii="Arial" w:eastAsia="Times New Roman" w:hAnsi="Arial" w:cs="Arial"/>
        </w:rPr>
        <w:t>25</w:t>
      </w:r>
      <w:r w:rsidRPr="003A2F86">
        <w:rPr>
          <w:rFonts w:ascii="Arial" w:eastAsia="Times New Roman" w:hAnsi="Arial" w:cs="Arial"/>
        </w:rPr>
        <w:t xml:space="preserve">. godine na razini razreda i skupine za Općinu, zbirno za proračunske korisnike, te sveukupno za Proračun, dok se nakon tablice daje usporedni zbirni prikaz ostvarenih prihoda i primitaka po istim </w:t>
      </w:r>
      <w:r w:rsidR="00151995">
        <w:rPr>
          <w:rFonts w:ascii="Arial" w:eastAsia="Times New Roman" w:hAnsi="Arial" w:cs="Arial"/>
        </w:rPr>
        <w:t>kategorijama</w:t>
      </w:r>
      <w:r w:rsidRPr="003A2F86">
        <w:rPr>
          <w:rFonts w:ascii="Arial" w:eastAsia="Times New Roman" w:hAnsi="Arial" w:cs="Arial"/>
        </w:rPr>
        <w:t xml:space="preserve"> za </w:t>
      </w:r>
      <w:r w:rsidR="00151995">
        <w:rPr>
          <w:rFonts w:ascii="Arial" w:eastAsia="Times New Roman" w:hAnsi="Arial" w:cs="Arial"/>
        </w:rPr>
        <w:t xml:space="preserve">godišnja razdoblja </w:t>
      </w:r>
      <w:r w:rsidRPr="003A2F86">
        <w:rPr>
          <w:rFonts w:ascii="Arial" w:eastAsia="Times New Roman" w:hAnsi="Arial" w:cs="Arial"/>
        </w:rPr>
        <w:t>2019., 2021., 2022.</w:t>
      </w:r>
      <w:r w:rsidR="00151995">
        <w:rPr>
          <w:rFonts w:ascii="Arial" w:eastAsia="Times New Roman" w:hAnsi="Arial" w:cs="Arial"/>
        </w:rPr>
        <w:t>,</w:t>
      </w:r>
      <w:r w:rsidRPr="003A2F86">
        <w:rPr>
          <w:rFonts w:ascii="Arial" w:eastAsia="Times New Roman" w:hAnsi="Arial" w:cs="Arial"/>
        </w:rPr>
        <w:t xml:space="preserve"> 2023.</w:t>
      </w:r>
      <w:r w:rsidR="00151995">
        <w:rPr>
          <w:rFonts w:ascii="Arial" w:eastAsia="Times New Roman" w:hAnsi="Arial" w:cs="Arial"/>
        </w:rPr>
        <w:t xml:space="preserve"> i 202</w:t>
      </w:r>
      <w:r w:rsidR="00312F7D">
        <w:rPr>
          <w:rFonts w:ascii="Arial" w:eastAsia="Times New Roman" w:hAnsi="Arial" w:cs="Arial"/>
        </w:rPr>
        <w:t>4</w:t>
      </w:r>
      <w:r w:rsidR="00151995">
        <w:rPr>
          <w:rFonts w:ascii="Arial" w:eastAsia="Times New Roman" w:hAnsi="Arial" w:cs="Arial"/>
        </w:rPr>
        <w:t>.</w:t>
      </w:r>
    </w:p>
    <w:bookmarkEnd w:id="50"/>
    <w:p w14:paraId="3A1673CB" w14:textId="2AAF0FA6" w:rsidR="00B96741" w:rsidRPr="003A2F86" w:rsidRDefault="00151995" w:rsidP="00B967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2"/>
          <w:szCs w:val="12"/>
        </w:rPr>
      </w:pPr>
      <w:r w:rsidRPr="00151995">
        <w:rPr>
          <w:noProof/>
        </w:rPr>
        <w:lastRenderedPageBreak/>
        <w:drawing>
          <wp:inline distT="0" distB="0" distL="0" distR="0" wp14:anchorId="5FDF597A" wp14:editId="25CFA9BA">
            <wp:extent cx="9184005" cy="914400"/>
            <wp:effectExtent l="0" t="0" r="0" b="0"/>
            <wp:docPr id="201284852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84005" cy="914400"/>
                    </a:xfrm>
                    <a:prstGeom prst="rect">
                      <a:avLst/>
                    </a:prstGeom>
                    <a:noFill/>
                    <a:ln>
                      <a:noFill/>
                    </a:ln>
                  </pic:spPr>
                </pic:pic>
              </a:graphicData>
            </a:graphic>
          </wp:inline>
        </w:drawing>
      </w:r>
    </w:p>
    <w:p w14:paraId="17953D77" w14:textId="77777777" w:rsidR="00C71FC5" w:rsidRPr="003A2F86" w:rsidRDefault="00C71FC5" w:rsidP="00B967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2"/>
          <w:szCs w:val="12"/>
        </w:rPr>
      </w:pPr>
    </w:p>
    <w:p w14:paraId="3693512A" w14:textId="26ACFEE1" w:rsidR="00C71FC5" w:rsidRPr="003A2F86" w:rsidRDefault="00151995" w:rsidP="00B967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2"/>
          <w:szCs w:val="12"/>
        </w:rPr>
      </w:pPr>
      <w:r w:rsidRPr="00151995">
        <w:rPr>
          <w:noProof/>
        </w:rPr>
        <w:drawing>
          <wp:inline distT="0" distB="0" distL="0" distR="0" wp14:anchorId="32D0207C" wp14:editId="2057487D">
            <wp:extent cx="9134475" cy="1610541"/>
            <wp:effectExtent l="0" t="0" r="0" b="8890"/>
            <wp:docPr id="114861053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50034" cy="1613284"/>
                    </a:xfrm>
                    <a:prstGeom prst="rect">
                      <a:avLst/>
                    </a:prstGeom>
                    <a:noFill/>
                    <a:ln>
                      <a:noFill/>
                    </a:ln>
                  </pic:spPr>
                </pic:pic>
              </a:graphicData>
            </a:graphic>
          </wp:inline>
        </w:drawing>
      </w:r>
    </w:p>
    <w:p w14:paraId="25B1F0BE" w14:textId="77777777" w:rsidR="0095465F" w:rsidRPr="003A2F86" w:rsidRDefault="0095465F" w:rsidP="00B967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2"/>
          <w:szCs w:val="12"/>
        </w:rPr>
      </w:pPr>
    </w:p>
    <w:p w14:paraId="03542D99" w14:textId="689D3310" w:rsidR="003E02DB" w:rsidRPr="003A2F86" w:rsidRDefault="003E02DB"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ECBE6E2" w14:textId="16C153D4" w:rsidR="004F6DDA" w:rsidRPr="003A2F86" w:rsidRDefault="00307E59" w:rsidP="003E02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52" w:name="_Hlk145929104"/>
      <w:r w:rsidRPr="00307E59">
        <w:rPr>
          <w:noProof/>
        </w:rPr>
        <w:drawing>
          <wp:inline distT="0" distB="0" distL="0" distR="0" wp14:anchorId="293E66BA" wp14:editId="4E13B0F2">
            <wp:extent cx="9134475" cy="1786410"/>
            <wp:effectExtent l="0" t="0" r="0" b="4445"/>
            <wp:docPr id="461290902"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36853" cy="1786875"/>
                    </a:xfrm>
                    <a:prstGeom prst="rect">
                      <a:avLst/>
                    </a:prstGeom>
                    <a:noFill/>
                    <a:ln>
                      <a:noFill/>
                    </a:ln>
                  </pic:spPr>
                </pic:pic>
              </a:graphicData>
            </a:graphic>
          </wp:inline>
        </w:drawing>
      </w:r>
    </w:p>
    <w:bookmarkEnd w:id="51"/>
    <w:bookmarkEnd w:id="52"/>
    <w:p w14:paraId="6FEB19F5" w14:textId="77777777" w:rsidR="004A2AA6" w:rsidRDefault="004A2AA6" w:rsidP="00891119">
      <w:pPr>
        <w:autoSpaceDE w:val="0"/>
        <w:autoSpaceDN w:val="0"/>
        <w:adjustRightInd w:val="0"/>
        <w:spacing w:after="0" w:line="240" w:lineRule="auto"/>
        <w:jc w:val="both"/>
        <w:rPr>
          <w:rFonts w:ascii="Arial" w:eastAsia="Calibri" w:hAnsi="Arial" w:cs="Arial"/>
          <w:bCs/>
          <w:lang w:eastAsia="en-US"/>
        </w:rPr>
      </w:pPr>
    </w:p>
    <w:p w14:paraId="4D84591D" w14:textId="77777777" w:rsidR="00D95FEA" w:rsidRDefault="00D95FEA" w:rsidP="00891119">
      <w:pPr>
        <w:autoSpaceDE w:val="0"/>
        <w:autoSpaceDN w:val="0"/>
        <w:adjustRightInd w:val="0"/>
        <w:spacing w:after="0" w:line="240" w:lineRule="auto"/>
        <w:jc w:val="both"/>
        <w:rPr>
          <w:rFonts w:ascii="Arial" w:eastAsia="Calibri" w:hAnsi="Arial" w:cs="Arial"/>
          <w:bCs/>
          <w:lang w:eastAsia="en-US"/>
        </w:rPr>
      </w:pPr>
    </w:p>
    <w:p w14:paraId="762BEDA4" w14:textId="77777777" w:rsidR="00D95FEA" w:rsidRDefault="00D95FEA" w:rsidP="00891119">
      <w:pPr>
        <w:autoSpaceDE w:val="0"/>
        <w:autoSpaceDN w:val="0"/>
        <w:adjustRightInd w:val="0"/>
        <w:spacing w:after="0" w:line="240" w:lineRule="auto"/>
        <w:jc w:val="both"/>
        <w:rPr>
          <w:rFonts w:ascii="Arial" w:eastAsia="Calibri" w:hAnsi="Arial" w:cs="Arial"/>
          <w:bCs/>
          <w:lang w:eastAsia="en-US"/>
        </w:rPr>
      </w:pPr>
    </w:p>
    <w:p w14:paraId="578C47A9" w14:textId="77777777" w:rsidR="00D95FEA" w:rsidRDefault="00D95FEA" w:rsidP="00891119">
      <w:pPr>
        <w:autoSpaceDE w:val="0"/>
        <w:autoSpaceDN w:val="0"/>
        <w:adjustRightInd w:val="0"/>
        <w:spacing w:after="0" w:line="240" w:lineRule="auto"/>
        <w:jc w:val="both"/>
        <w:rPr>
          <w:rFonts w:ascii="Arial" w:eastAsia="Calibri" w:hAnsi="Arial" w:cs="Arial"/>
          <w:bCs/>
          <w:lang w:eastAsia="en-US"/>
        </w:rPr>
      </w:pPr>
    </w:p>
    <w:p w14:paraId="02EB2816" w14:textId="77777777" w:rsidR="00D95FEA" w:rsidRDefault="00D95FEA" w:rsidP="00891119">
      <w:pPr>
        <w:autoSpaceDE w:val="0"/>
        <w:autoSpaceDN w:val="0"/>
        <w:adjustRightInd w:val="0"/>
        <w:spacing w:after="0" w:line="240" w:lineRule="auto"/>
        <w:jc w:val="both"/>
        <w:rPr>
          <w:rFonts w:ascii="Arial" w:eastAsia="Calibri" w:hAnsi="Arial" w:cs="Arial"/>
          <w:bCs/>
          <w:lang w:eastAsia="en-US"/>
        </w:rPr>
      </w:pPr>
    </w:p>
    <w:p w14:paraId="4B3E6536" w14:textId="77777777" w:rsidR="00D95FEA" w:rsidRDefault="00D95FEA" w:rsidP="00891119">
      <w:pPr>
        <w:autoSpaceDE w:val="0"/>
        <w:autoSpaceDN w:val="0"/>
        <w:adjustRightInd w:val="0"/>
        <w:spacing w:after="0" w:line="240" w:lineRule="auto"/>
        <w:jc w:val="both"/>
        <w:rPr>
          <w:rFonts w:ascii="Arial" w:eastAsia="Calibri" w:hAnsi="Arial" w:cs="Arial"/>
          <w:bCs/>
          <w:lang w:eastAsia="en-US"/>
        </w:rPr>
      </w:pPr>
    </w:p>
    <w:p w14:paraId="0EF02FA4" w14:textId="77777777" w:rsidR="00D95FEA" w:rsidRPr="003A2F86" w:rsidRDefault="00D95FEA" w:rsidP="00891119">
      <w:pPr>
        <w:autoSpaceDE w:val="0"/>
        <w:autoSpaceDN w:val="0"/>
        <w:adjustRightInd w:val="0"/>
        <w:spacing w:after="0" w:line="240" w:lineRule="auto"/>
        <w:jc w:val="both"/>
        <w:rPr>
          <w:rFonts w:ascii="Arial" w:eastAsia="Calibri" w:hAnsi="Arial" w:cs="Arial"/>
          <w:bCs/>
          <w:lang w:eastAsia="en-US"/>
        </w:rPr>
      </w:pPr>
    </w:p>
    <w:p w14:paraId="0CDA1CA1" w14:textId="7C0E5D0A" w:rsidR="003E02DB" w:rsidRPr="003A2F86" w:rsidRDefault="003E02DB" w:rsidP="003E02DB">
      <w:pPr>
        <w:pStyle w:val="Naslov3"/>
        <w:jc w:val="center"/>
        <w:rPr>
          <w:rFonts w:ascii="Arial" w:hAnsi="Arial" w:cs="Arial"/>
          <w:sz w:val="22"/>
          <w:lang w:val="hr-HR"/>
        </w:rPr>
      </w:pPr>
      <w:bookmarkStart w:id="53" w:name="_2.3.2.__RASHODI"/>
      <w:bookmarkStart w:id="54" w:name="_Toc207707420"/>
      <w:bookmarkEnd w:id="53"/>
      <w:r w:rsidRPr="003A2F86">
        <w:rPr>
          <w:rFonts w:ascii="Arial" w:hAnsi="Arial" w:cs="Arial"/>
          <w:sz w:val="22"/>
          <w:lang w:val="hr-HR"/>
        </w:rPr>
        <w:lastRenderedPageBreak/>
        <w:t>2.3.2.</w:t>
      </w:r>
      <w:r w:rsidRPr="003A2F86">
        <w:rPr>
          <w:rFonts w:ascii="Arial" w:hAnsi="Arial" w:cs="Arial"/>
          <w:sz w:val="22"/>
          <w:lang w:val="hr-HR"/>
        </w:rPr>
        <w:tab/>
      </w:r>
      <w:r w:rsidR="00E97058" w:rsidRPr="003A2F86">
        <w:rPr>
          <w:rFonts w:ascii="Arial" w:hAnsi="Arial" w:cs="Arial"/>
          <w:sz w:val="22"/>
          <w:lang w:val="hr-HR"/>
        </w:rPr>
        <w:tab/>
      </w:r>
      <w:r w:rsidRPr="003A2F86">
        <w:rPr>
          <w:rFonts w:ascii="Arial" w:hAnsi="Arial" w:cs="Arial"/>
          <w:sz w:val="22"/>
          <w:lang w:val="hr-HR"/>
        </w:rPr>
        <w:t>RASHODI I IZDACI</w:t>
      </w:r>
      <w:bookmarkStart w:id="55" w:name="Rashodi_i_izdaci"/>
      <w:bookmarkEnd w:id="54"/>
      <w:bookmarkEnd w:id="55"/>
    </w:p>
    <w:p w14:paraId="730F7961" w14:textId="77777777" w:rsidR="004A2AA6" w:rsidRPr="003A2F86" w:rsidRDefault="004A2AA6" w:rsidP="00891119">
      <w:pPr>
        <w:autoSpaceDE w:val="0"/>
        <w:autoSpaceDN w:val="0"/>
        <w:adjustRightInd w:val="0"/>
        <w:spacing w:after="0" w:line="240" w:lineRule="auto"/>
        <w:jc w:val="both"/>
        <w:rPr>
          <w:rFonts w:ascii="Arial" w:eastAsia="Calibri" w:hAnsi="Arial" w:cs="Arial"/>
          <w:bCs/>
          <w:lang w:eastAsia="en-US"/>
        </w:rPr>
      </w:pPr>
    </w:p>
    <w:p w14:paraId="00FB32BE" w14:textId="7655FB7A" w:rsidR="00891119" w:rsidRPr="003A2F86" w:rsidRDefault="00891119" w:rsidP="00891119">
      <w:pPr>
        <w:autoSpaceDE w:val="0"/>
        <w:autoSpaceDN w:val="0"/>
        <w:adjustRightInd w:val="0"/>
        <w:spacing w:after="0" w:line="240" w:lineRule="auto"/>
        <w:jc w:val="both"/>
        <w:rPr>
          <w:rFonts w:ascii="Arial" w:eastAsia="Times New Roman" w:hAnsi="Arial" w:cs="Arial"/>
          <w:iCs/>
          <w:color w:val="1F497D" w:themeColor="text2"/>
          <w:lang w:eastAsia="en-US"/>
        </w:rPr>
      </w:pPr>
      <w:bookmarkStart w:id="56" w:name="_Hlk145932967"/>
      <w:r w:rsidRPr="003A2F86">
        <w:rPr>
          <w:rFonts w:ascii="Arial" w:eastAsia="Calibri" w:hAnsi="Arial" w:cs="Arial"/>
          <w:b/>
          <w:bCs/>
          <w:color w:val="365F91" w:themeColor="accent1" w:themeShade="BF"/>
          <w:lang w:eastAsia="en-US"/>
        </w:rPr>
        <w:t xml:space="preserve">Ukupni rashodi i izdaci </w:t>
      </w:r>
      <w:r w:rsidR="00D95FEA">
        <w:rPr>
          <w:rFonts w:ascii="Arial" w:eastAsia="Calibri" w:hAnsi="Arial" w:cs="Arial"/>
          <w:b/>
          <w:color w:val="365F91" w:themeColor="accent1" w:themeShade="BF"/>
          <w:lang w:eastAsia="en-US"/>
        </w:rPr>
        <w:t>Polug</w:t>
      </w:r>
      <w:r w:rsidRPr="003A2F86">
        <w:rPr>
          <w:rFonts w:ascii="Arial" w:eastAsia="Calibri" w:hAnsi="Arial" w:cs="Arial"/>
          <w:b/>
          <w:color w:val="365F91" w:themeColor="accent1" w:themeShade="BF"/>
          <w:lang w:eastAsia="en-US"/>
        </w:rPr>
        <w:t>odišnjeg izvještaja</w:t>
      </w:r>
      <w:r w:rsidRPr="003A2F86">
        <w:rPr>
          <w:rFonts w:ascii="Arial" w:eastAsia="Calibri" w:hAnsi="Arial" w:cs="Arial"/>
          <w:color w:val="365F91" w:themeColor="accent1" w:themeShade="BF"/>
          <w:lang w:eastAsia="en-US"/>
        </w:rPr>
        <w:t xml:space="preserve"> </w:t>
      </w:r>
      <w:r w:rsidRPr="003A2F86">
        <w:rPr>
          <w:rFonts w:ascii="Arial" w:eastAsia="Calibri" w:hAnsi="Arial" w:cs="Arial"/>
          <w:color w:val="1F497D" w:themeColor="text2"/>
          <w:lang w:eastAsia="en-US"/>
        </w:rPr>
        <w:t xml:space="preserve">o izvršenju proračuna (što je jednako iznosima u </w:t>
      </w:r>
      <w:r w:rsidRPr="003A2F86">
        <w:rPr>
          <w:rFonts w:ascii="Arial" w:eastAsia="Times New Roman" w:hAnsi="Arial" w:cs="Arial"/>
          <w:iCs/>
          <w:color w:val="1F497D" w:themeColor="text2"/>
          <w:lang w:eastAsia="en-US"/>
        </w:rPr>
        <w:t xml:space="preserve">financijskim izvještajima </w:t>
      </w:r>
      <w:r w:rsidRPr="003A2F86">
        <w:rPr>
          <w:rFonts w:ascii="Arial" w:eastAsia="Times New Roman" w:hAnsi="Arial" w:cs="Arial"/>
          <w:iCs/>
          <w:color w:val="7030A0"/>
          <w:lang w:eastAsia="en-US"/>
        </w:rPr>
        <w:t>razina 23</w:t>
      </w:r>
      <w:r w:rsidRPr="003A2F86">
        <w:rPr>
          <w:rFonts w:ascii="Arial" w:eastAsia="Times New Roman" w:hAnsi="Arial" w:cs="Arial"/>
          <w:iCs/>
          <w:color w:val="1F497D" w:themeColor="text2"/>
          <w:lang w:eastAsia="en-US"/>
        </w:rPr>
        <w:t xml:space="preserve">) </w:t>
      </w:r>
      <w:r w:rsidRPr="003A2F86">
        <w:rPr>
          <w:rFonts w:ascii="Arial" w:eastAsia="Calibri" w:hAnsi="Arial" w:cs="Arial"/>
          <w:color w:val="1F497D" w:themeColor="text2"/>
          <w:lang w:eastAsia="en-US"/>
        </w:rPr>
        <w:t xml:space="preserve">izvršeni su u iznosu </w:t>
      </w:r>
      <w:bookmarkStart w:id="57" w:name="_Hlk145934160"/>
      <w:r w:rsidR="00D95FEA">
        <w:rPr>
          <w:rFonts w:ascii="Arial" w:eastAsia="Calibri" w:hAnsi="Arial" w:cs="Arial"/>
          <w:b/>
          <w:color w:val="1F497D" w:themeColor="text2"/>
          <w:u w:val="single"/>
          <w:lang w:eastAsia="en-US"/>
        </w:rPr>
        <w:t>10.341.887,93</w:t>
      </w:r>
      <w:r w:rsidR="00370A7B" w:rsidRPr="003A2F86">
        <w:rPr>
          <w:rFonts w:ascii="Arial" w:eastAsia="Calibri" w:hAnsi="Arial" w:cs="Arial"/>
          <w:b/>
          <w:color w:val="1F497D" w:themeColor="text2"/>
          <w:u w:val="single"/>
          <w:lang w:eastAsia="en-US"/>
        </w:rPr>
        <w:t xml:space="preserve"> €</w:t>
      </w:r>
      <w:r w:rsidRPr="003A2F86">
        <w:rPr>
          <w:rFonts w:ascii="Arial" w:eastAsia="Calibri" w:hAnsi="Arial" w:cs="Arial"/>
          <w:lang w:eastAsia="en-US"/>
        </w:rPr>
        <w:t xml:space="preserve"> </w:t>
      </w:r>
      <w:bookmarkEnd w:id="57"/>
      <w:r w:rsidRPr="003A2F86">
        <w:rPr>
          <w:rFonts w:ascii="Arial" w:eastAsia="Calibri" w:hAnsi="Arial" w:cs="Arial"/>
          <w:color w:val="1F497D" w:themeColor="text2"/>
          <w:lang w:eastAsia="en-US"/>
        </w:rPr>
        <w:t xml:space="preserve">odnosno </w:t>
      </w:r>
      <w:r w:rsidR="00D95FEA">
        <w:rPr>
          <w:rFonts w:ascii="Arial" w:eastAsia="Calibri" w:hAnsi="Arial" w:cs="Arial"/>
          <w:color w:val="1F497D" w:themeColor="text2"/>
          <w:lang w:eastAsia="en-US"/>
        </w:rPr>
        <w:t>25,9</w:t>
      </w:r>
      <w:r w:rsidRPr="003A2F86">
        <w:rPr>
          <w:rFonts w:ascii="Arial" w:eastAsia="Calibri" w:hAnsi="Arial" w:cs="Arial"/>
          <w:color w:val="1F497D" w:themeColor="text2"/>
          <w:lang w:eastAsia="en-US"/>
        </w:rPr>
        <w:t xml:space="preserve">% plana. </w:t>
      </w:r>
      <w:r w:rsidR="000C093F" w:rsidRPr="003A2F86">
        <w:rPr>
          <w:rFonts w:ascii="Arial" w:eastAsia="Calibri" w:hAnsi="Arial" w:cs="Arial"/>
          <w:color w:val="244061" w:themeColor="accent1" w:themeShade="80"/>
          <w:lang w:eastAsia="en-US"/>
        </w:rPr>
        <w:t>D</w:t>
      </w:r>
      <w:r w:rsidRPr="003A2F86">
        <w:rPr>
          <w:rFonts w:ascii="Arial" w:eastAsia="Calibri" w:hAnsi="Arial" w:cs="Arial"/>
          <w:color w:val="244061" w:themeColor="accent1" w:themeShade="80"/>
          <w:lang w:eastAsia="en-US"/>
        </w:rPr>
        <w:t xml:space="preserve">ijele </w:t>
      </w:r>
      <w:r w:rsidRPr="003A2F86">
        <w:rPr>
          <w:rFonts w:ascii="Arial" w:eastAsia="Calibri" w:hAnsi="Arial" w:cs="Arial"/>
          <w:color w:val="1F497D" w:themeColor="text2"/>
          <w:lang w:eastAsia="en-US"/>
        </w:rPr>
        <w:t xml:space="preserve">se na rashode i izdatke </w:t>
      </w:r>
      <w:r w:rsidR="008E64F0" w:rsidRPr="003A2F86">
        <w:rPr>
          <w:rFonts w:ascii="Arial" w:eastAsia="Calibri" w:hAnsi="Arial" w:cs="Arial"/>
          <w:color w:val="1F497D" w:themeColor="text2"/>
          <w:lang w:eastAsia="en-US"/>
        </w:rPr>
        <w:t xml:space="preserve">upravnih odjela </w:t>
      </w:r>
      <w:r w:rsidRPr="003A2F86">
        <w:rPr>
          <w:rFonts w:ascii="Arial" w:eastAsia="Calibri" w:hAnsi="Arial" w:cs="Arial"/>
          <w:color w:val="1F497D" w:themeColor="text2"/>
          <w:lang w:eastAsia="en-US"/>
        </w:rPr>
        <w:t xml:space="preserve">općinskog proračuna </w:t>
      </w:r>
      <w:r w:rsidR="00D95FEA">
        <w:rPr>
          <w:rFonts w:ascii="Arial" w:eastAsia="Calibri" w:hAnsi="Arial" w:cs="Arial"/>
          <w:b/>
          <w:color w:val="1F497D" w:themeColor="text2"/>
          <w:u w:val="single"/>
          <w:lang w:eastAsia="en-US"/>
        </w:rPr>
        <w:t>7.358.017,81</w:t>
      </w:r>
      <w:r w:rsidR="00370A7B" w:rsidRPr="003A2F86">
        <w:rPr>
          <w:rFonts w:ascii="Arial" w:eastAsia="Calibri" w:hAnsi="Arial" w:cs="Arial"/>
          <w:b/>
          <w:color w:val="1F497D" w:themeColor="text2"/>
          <w:u w:val="single"/>
          <w:lang w:eastAsia="en-US"/>
        </w:rPr>
        <w:t xml:space="preserve"> €</w:t>
      </w:r>
      <w:r w:rsidRPr="003A2F86">
        <w:rPr>
          <w:rFonts w:ascii="Arial" w:eastAsia="Calibri" w:hAnsi="Arial" w:cs="Arial"/>
          <w:lang w:eastAsia="en-US"/>
        </w:rPr>
        <w:t xml:space="preserve"> </w:t>
      </w:r>
      <w:r w:rsidRPr="003A2F86">
        <w:rPr>
          <w:rFonts w:ascii="Arial" w:eastAsia="Calibri" w:hAnsi="Arial" w:cs="Arial"/>
          <w:color w:val="1F497D" w:themeColor="text2"/>
          <w:lang w:eastAsia="en-US"/>
        </w:rPr>
        <w:t>(</w:t>
      </w:r>
      <w:r w:rsidR="00D95FEA">
        <w:rPr>
          <w:rFonts w:ascii="Arial" w:eastAsia="Calibri" w:hAnsi="Arial" w:cs="Arial"/>
          <w:color w:val="1F497D" w:themeColor="text2"/>
          <w:lang w:eastAsia="en-US"/>
        </w:rPr>
        <w:t>9.638.788,05</w:t>
      </w:r>
      <w:r w:rsidR="00370A7B" w:rsidRPr="003A2F86">
        <w:rPr>
          <w:rFonts w:ascii="Arial" w:eastAsia="Calibri" w:hAnsi="Arial" w:cs="Arial"/>
          <w:color w:val="1F497D" w:themeColor="text2"/>
          <w:lang w:eastAsia="en-US"/>
        </w:rPr>
        <w:t xml:space="preserve"> €</w:t>
      </w:r>
      <w:r w:rsidRPr="003A2F86">
        <w:rPr>
          <w:rFonts w:ascii="Arial" w:eastAsia="Calibri" w:hAnsi="Arial" w:cs="Arial"/>
          <w:color w:val="1F497D" w:themeColor="text2"/>
          <w:lang w:eastAsia="en-US"/>
        </w:rPr>
        <w:t xml:space="preserve"> rashodi Općine razina 22 umanjeno za </w:t>
      </w:r>
      <w:r w:rsidR="008E64F0" w:rsidRPr="003A2F86">
        <w:rPr>
          <w:rFonts w:ascii="Arial" w:eastAsia="Calibri" w:hAnsi="Arial" w:cs="Arial"/>
          <w:color w:val="1F497D" w:themeColor="text2"/>
          <w:lang w:eastAsia="en-US"/>
        </w:rPr>
        <w:t xml:space="preserve">prijenose proračunskim korisnicima za </w:t>
      </w:r>
      <w:r w:rsidRPr="003A2F86">
        <w:rPr>
          <w:rFonts w:ascii="Arial" w:eastAsia="Calibri" w:hAnsi="Arial" w:cs="Arial"/>
          <w:color w:val="1F497D" w:themeColor="text2"/>
          <w:lang w:eastAsia="en-US"/>
        </w:rPr>
        <w:t xml:space="preserve">rashode koji su financirani </w:t>
      </w:r>
      <w:r w:rsidR="008E64F0" w:rsidRPr="003A2F86">
        <w:rPr>
          <w:rFonts w:ascii="Arial" w:eastAsia="Calibri" w:hAnsi="Arial" w:cs="Arial"/>
          <w:color w:val="1F497D" w:themeColor="text2"/>
          <w:lang w:eastAsia="en-US"/>
        </w:rPr>
        <w:t xml:space="preserve">sredstvima </w:t>
      </w:r>
      <w:r w:rsidRPr="003A2F86">
        <w:rPr>
          <w:rFonts w:ascii="Arial" w:eastAsia="Calibri" w:hAnsi="Arial" w:cs="Arial"/>
          <w:color w:val="1F497D" w:themeColor="text2"/>
          <w:lang w:eastAsia="en-US"/>
        </w:rPr>
        <w:t>iz općinskog proračuna u 20</w:t>
      </w:r>
      <w:r w:rsidR="00741066" w:rsidRPr="003A2F86">
        <w:rPr>
          <w:rFonts w:ascii="Arial" w:eastAsia="Calibri" w:hAnsi="Arial" w:cs="Arial"/>
          <w:color w:val="1F497D" w:themeColor="text2"/>
          <w:lang w:eastAsia="en-US"/>
        </w:rPr>
        <w:t>2</w:t>
      </w:r>
      <w:r w:rsidR="00D95FEA">
        <w:rPr>
          <w:rFonts w:ascii="Arial" w:eastAsia="Calibri" w:hAnsi="Arial" w:cs="Arial"/>
          <w:color w:val="1F497D" w:themeColor="text2"/>
          <w:lang w:eastAsia="en-US"/>
        </w:rPr>
        <w:t>5</w:t>
      </w:r>
      <w:r w:rsidRPr="003A2F86">
        <w:rPr>
          <w:rFonts w:ascii="Arial" w:eastAsia="Calibri" w:hAnsi="Arial" w:cs="Arial"/>
          <w:color w:val="1F497D" w:themeColor="text2"/>
          <w:lang w:eastAsia="en-US"/>
        </w:rPr>
        <w:t>.</w:t>
      </w:r>
      <w:r w:rsidR="00CE0ACB" w:rsidRPr="003A2F86">
        <w:rPr>
          <w:rFonts w:ascii="Arial" w:eastAsia="Calibri" w:hAnsi="Arial" w:cs="Arial"/>
          <w:color w:val="1F497D" w:themeColor="text2"/>
          <w:lang w:eastAsia="en-US"/>
        </w:rPr>
        <w:t xml:space="preserve"> u iznosu </w:t>
      </w:r>
      <w:r w:rsidR="00D95FEA">
        <w:rPr>
          <w:rFonts w:ascii="Arial" w:eastAsia="Calibri" w:hAnsi="Arial" w:cs="Arial"/>
          <w:color w:val="1F497D" w:themeColor="text2"/>
          <w:lang w:eastAsia="en-US"/>
        </w:rPr>
        <w:t>2.280.770,24</w:t>
      </w:r>
      <w:r w:rsidR="00370A7B" w:rsidRPr="003A2F86">
        <w:rPr>
          <w:rFonts w:ascii="Arial" w:eastAsia="Calibri" w:hAnsi="Arial" w:cs="Arial"/>
          <w:color w:val="1F497D" w:themeColor="text2"/>
          <w:lang w:eastAsia="en-US"/>
        </w:rPr>
        <w:t xml:space="preserve"> €</w:t>
      </w:r>
      <w:r w:rsidRPr="003A2F86">
        <w:rPr>
          <w:rFonts w:ascii="Arial" w:eastAsia="Calibri" w:hAnsi="Arial" w:cs="Arial"/>
          <w:color w:val="1F497D" w:themeColor="text2"/>
          <w:lang w:eastAsia="en-US"/>
        </w:rPr>
        <w:t xml:space="preserve">) i rashode </w:t>
      </w:r>
      <w:r w:rsidRPr="003A2F86">
        <w:rPr>
          <w:rFonts w:ascii="Arial" w:eastAsia="Times New Roman" w:hAnsi="Arial" w:cs="Arial"/>
          <w:iCs/>
          <w:color w:val="1F497D" w:themeColor="text2"/>
          <w:lang w:eastAsia="en-US"/>
        </w:rPr>
        <w:t xml:space="preserve">proračunskih korisnika </w:t>
      </w:r>
      <w:r w:rsidR="00D95FEA">
        <w:rPr>
          <w:rFonts w:ascii="Arial" w:eastAsia="Calibri" w:hAnsi="Arial" w:cs="Arial"/>
          <w:b/>
          <w:color w:val="1F497D" w:themeColor="text2"/>
          <w:u w:val="single"/>
          <w:lang w:eastAsia="en-US"/>
        </w:rPr>
        <w:t>2.983.870,12</w:t>
      </w:r>
      <w:r w:rsidR="00370A7B" w:rsidRPr="003A2F86">
        <w:rPr>
          <w:rFonts w:ascii="Arial" w:eastAsia="Calibri" w:hAnsi="Arial" w:cs="Arial"/>
          <w:b/>
          <w:color w:val="1F497D" w:themeColor="text2"/>
          <w:u w:val="single"/>
          <w:lang w:eastAsia="en-US"/>
        </w:rPr>
        <w:t xml:space="preserve"> €</w:t>
      </w:r>
      <w:r w:rsidRPr="003A2F86">
        <w:rPr>
          <w:rFonts w:ascii="Arial" w:eastAsia="Times New Roman" w:hAnsi="Arial" w:cs="Arial"/>
          <w:iCs/>
          <w:color w:val="1F497D" w:themeColor="text2"/>
          <w:lang w:eastAsia="en-US"/>
        </w:rPr>
        <w:t xml:space="preserve"> (izvor financiranja Općina + izvor financiranja</w:t>
      </w:r>
      <w:r w:rsidR="004C3BBF" w:rsidRPr="003A2F86">
        <w:rPr>
          <w:rFonts w:ascii="Arial" w:eastAsia="Times New Roman" w:hAnsi="Arial" w:cs="Arial"/>
          <w:iCs/>
          <w:color w:val="1F497D" w:themeColor="text2"/>
          <w:lang w:eastAsia="en-US"/>
        </w:rPr>
        <w:t xml:space="preserve"> vlastiti prihodi korisnika</w:t>
      </w:r>
      <w:r w:rsidRPr="003A2F86">
        <w:rPr>
          <w:rFonts w:ascii="Arial" w:eastAsia="Times New Roman" w:hAnsi="Arial" w:cs="Arial"/>
          <w:iCs/>
          <w:color w:val="1F497D" w:themeColor="text2"/>
          <w:lang w:eastAsia="en-US"/>
        </w:rPr>
        <w:t xml:space="preserve">). </w:t>
      </w:r>
    </w:p>
    <w:bookmarkEnd w:id="56"/>
    <w:p w14:paraId="3FD65B98" w14:textId="77777777" w:rsidR="000C093F" w:rsidRPr="003A2F86" w:rsidRDefault="000C093F" w:rsidP="000C093F">
      <w:pPr>
        <w:autoSpaceDE w:val="0"/>
        <w:autoSpaceDN w:val="0"/>
        <w:adjustRightInd w:val="0"/>
        <w:spacing w:after="0" w:line="240" w:lineRule="auto"/>
        <w:jc w:val="both"/>
        <w:rPr>
          <w:rFonts w:ascii="Arial" w:eastAsia="Calibri" w:hAnsi="Arial" w:cs="Arial"/>
          <w:bCs/>
          <w:lang w:eastAsia="en-US"/>
        </w:rPr>
      </w:pPr>
    </w:p>
    <w:p w14:paraId="35ECEB90" w14:textId="64792F88" w:rsidR="00F70689" w:rsidRPr="003A2F86" w:rsidRDefault="00F70689" w:rsidP="00F70689">
      <w:pPr>
        <w:pStyle w:val="Opisslike"/>
        <w:rPr>
          <w:rFonts w:ascii="Arial" w:hAnsi="Arial" w:cs="Arial"/>
        </w:rPr>
      </w:pPr>
      <w:bookmarkStart w:id="58" w:name="_Toc207707012"/>
      <w:r w:rsidRPr="003A2F86">
        <w:rPr>
          <w:color w:val="FF0000"/>
        </w:rPr>
        <w:t xml:space="preserve">Graf </w:t>
      </w:r>
      <w:r w:rsidR="00D95FEA">
        <w:rPr>
          <w:color w:val="FF0000"/>
        </w:rPr>
        <w:fldChar w:fldCharType="begin"/>
      </w:r>
      <w:r w:rsidR="00D95FEA">
        <w:rPr>
          <w:color w:val="FF0000"/>
        </w:rPr>
        <w:instrText xml:space="preserve"> SEQ Graf \* ARABIC </w:instrText>
      </w:r>
      <w:r w:rsidR="00D95FEA">
        <w:rPr>
          <w:color w:val="FF0000"/>
        </w:rPr>
        <w:fldChar w:fldCharType="separate"/>
      </w:r>
      <w:r w:rsidR="00910987">
        <w:rPr>
          <w:noProof/>
          <w:color w:val="FF0000"/>
        </w:rPr>
        <w:t>7</w:t>
      </w:r>
      <w:r w:rsidR="00D95FEA">
        <w:rPr>
          <w:color w:val="FF0000"/>
        </w:rPr>
        <w:fldChar w:fldCharType="end"/>
      </w:r>
      <w:r w:rsidRPr="003A2F86">
        <w:rPr>
          <w:color w:val="FF0000"/>
        </w:rPr>
        <w:t xml:space="preserve">.: </w:t>
      </w:r>
      <w:r w:rsidRPr="003A2F86">
        <w:rPr>
          <w:rFonts w:ascii="Arial" w:hAnsi="Arial" w:cs="Arial"/>
        </w:rPr>
        <w:t xml:space="preserve">Struktura izvršenih rashoda i izdataka </w:t>
      </w:r>
      <w:r w:rsidR="00B33699" w:rsidRPr="003A2F86">
        <w:rPr>
          <w:rFonts w:ascii="Arial" w:hAnsi="Arial" w:cs="Arial"/>
        </w:rPr>
        <w:t>P</w:t>
      </w:r>
      <w:r w:rsidRPr="003A2F86">
        <w:rPr>
          <w:rFonts w:ascii="Arial" w:hAnsi="Arial" w:cs="Arial"/>
        </w:rPr>
        <w:t xml:space="preserve">roračuna u </w:t>
      </w:r>
      <w:r w:rsidR="00B4279A">
        <w:rPr>
          <w:rFonts w:ascii="Arial" w:hAnsi="Arial" w:cs="Arial"/>
        </w:rPr>
        <w:t>1-6/</w:t>
      </w:r>
      <w:r w:rsidRPr="003A2F86">
        <w:rPr>
          <w:rFonts w:ascii="Arial" w:hAnsi="Arial" w:cs="Arial"/>
        </w:rPr>
        <w:t>20</w:t>
      </w:r>
      <w:r w:rsidR="00F04F70" w:rsidRPr="003A2F86">
        <w:rPr>
          <w:rFonts w:ascii="Arial" w:hAnsi="Arial" w:cs="Arial"/>
        </w:rPr>
        <w:t>2</w:t>
      </w:r>
      <w:r w:rsidR="00B4279A">
        <w:rPr>
          <w:rFonts w:ascii="Arial" w:hAnsi="Arial" w:cs="Arial"/>
        </w:rPr>
        <w:t>5</w:t>
      </w:r>
      <w:r w:rsidRPr="003A2F86">
        <w:rPr>
          <w:rFonts w:ascii="Arial" w:hAnsi="Arial" w:cs="Arial"/>
        </w:rPr>
        <w:t>.</w:t>
      </w:r>
      <w:r w:rsidR="00370A7B" w:rsidRPr="003A2F86">
        <w:rPr>
          <w:rFonts w:ascii="Arial" w:hAnsi="Arial" w:cs="Arial"/>
        </w:rPr>
        <w:t xml:space="preserve"> </w:t>
      </w:r>
      <w:r w:rsidR="00B33699" w:rsidRPr="003A2F86">
        <w:rPr>
          <w:rFonts w:ascii="Arial" w:hAnsi="Arial" w:cs="Arial"/>
        </w:rPr>
        <w:t xml:space="preserve">po korisnicima </w:t>
      </w:r>
      <w:r w:rsidR="00370A7B" w:rsidRPr="003A2F86">
        <w:rPr>
          <w:rFonts w:ascii="Arial" w:hAnsi="Arial" w:cs="Arial"/>
        </w:rPr>
        <w:t>(€)</w:t>
      </w:r>
      <w:r w:rsidR="00EE5330" w:rsidRPr="003A2F86">
        <w:rPr>
          <w:rFonts w:ascii="Arial" w:hAnsi="Arial" w:cs="Arial"/>
        </w:rPr>
        <w:t>:</w:t>
      </w:r>
      <w:r w:rsidRPr="003A2F86">
        <w:rPr>
          <w:rFonts w:ascii="Arial" w:hAnsi="Arial" w:cs="Arial"/>
        </w:rPr>
        <w:t xml:space="preserve"> </w:t>
      </w:r>
      <w:r w:rsidRPr="00386EBA">
        <w:rPr>
          <w:rFonts w:ascii="Arial" w:hAnsi="Arial" w:cs="Arial"/>
          <w:color w:val="1F497D" w:themeColor="text2"/>
        </w:rPr>
        <w:t>Općina</w:t>
      </w:r>
      <w:r w:rsidR="004812B6" w:rsidRPr="003A2F86">
        <w:rPr>
          <w:rFonts w:ascii="Arial" w:hAnsi="Arial" w:cs="Arial"/>
        </w:rPr>
        <w:t xml:space="preserve">, te </w:t>
      </w:r>
      <w:r w:rsidRPr="00386EBA">
        <w:rPr>
          <w:rFonts w:ascii="Arial" w:hAnsi="Arial" w:cs="Arial"/>
          <w:color w:val="943634" w:themeColor="accent2" w:themeShade="BF"/>
        </w:rPr>
        <w:t>proračunski korisnici</w:t>
      </w:r>
      <w:r w:rsidR="004812B6" w:rsidRPr="00386EBA">
        <w:rPr>
          <w:rFonts w:ascii="Arial" w:hAnsi="Arial" w:cs="Arial"/>
          <w:color w:val="943634" w:themeColor="accent2" w:themeShade="BF"/>
        </w:rPr>
        <w:t xml:space="preserve"> </w:t>
      </w:r>
      <w:r w:rsidR="004812B6" w:rsidRPr="003A2F86">
        <w:rPr>
          <w:rFonts w:ascii="Arial" w:hAnsi="Arial" w:cs="Arial"/>
        </w:rPr>
        <w:t>zbirno i pojedinačno</w:t>
      </w:r>
      <w:bookmarkEnd w:id="58"/>
      <w:r w:rsidR="004812B6" w:rsidRPr="003A2F86">
        <w:rPr>
          <w:rFonts w:ascii="Arial" w:hAnsi="Arial" w:cs="Arial"/>
        </w:rPr>
        <w:t xml:space="preserve"> </w:t>
      </w:r>
    </w:p>
    <w:p w14:paraId="5D15BE2A" w14:textId="77777777" w:rsidR="00891119" w:rsidRPr="003A2F86" w:rsidRDefault="00891119" w:rsidP="00891119">
      <w:pPr>
        <w:autoSpaceDE w:val="0"/>
        <w:autoSpaceDN w:val="0"/>
        <w:adjustRightInd w:val="0"/>
        <w:spacing w:after="0" w:line="240" w:lineRule="auto"/>
        <w:jc w:val="center"/>
        <w:rPr>
          <w:rFonts w:ascii="Arial" w:eastAsia="Calibri" w:hAnsi="Arial" w:cs="Arial"/>
          <w:lang w:eastAsia="en-US"/>
        </w:rPr>
      </w:pPr>
      <w:r w:rsidRPr="003A2F86">
        <w:rPr>
          <w:rFonts w:ascii="Arial" w:eastAsia="Calibri" w:hAnsi="Arial" w:cs="Arial"/>
          <w:noProof/>
          <w:color w:val="FF0000"/>
        </w:rPr>
        <w:drawing>
          <wp:inline distT="0" distB="0" distL="0" distR="0" wp14:anchorId="5D76D580" wp14:editId="07967540">
            <wp:extent cx="8686800" cy="3248025"/>
            <wp:effectExtent l="0" t="0" r="0" b="9525"/>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62D3CB5" w14:textId="77777777" w:rsidR="00891119" w:rsidRPr="003A2F86" w:rsidRDefault="00891119" w:rsidP="00891119">
      <w:pPr>
        <w:autoSpaceDE w:val="0"/>
        <w:autoSpaceDN w:val="0"/>
        <w:adjustRightInd w:val="0"/>
        <w:spacing w:after="0" w:line="240" w:lineRule="auto"/>
        <w:jc w:val="both"/>
        <w:rPr>
          <w:rFonts w:ascii="Arial" w:eastAsia="Times New Roman" w:hAnsi="Arial" w:cs="Arial"/>
          <w:iCs/>
          <w:lang w:eastAsia="en-US"/>
        </w:rPr>
      </w:pPr>
    </w:p>
    <w:p w14:paraId="307EB15D" w14:textId="207B4573" w:rsidR="00891119" w:rsidRPr="003A2F86" w:rsidRDefault="00891119" w:rsidP="00891119">
      <w:pPr>
        <w:autoSpaceDE w:val="0"/>
        <w:autoSpaceDN w:val="0"/>
        <w:adjustRightInd w:val="0"/>
        <w:spacing w:after="0" w:line="240" w:lineRule="auto"/>
        <w:jc w:val="both"/>
        <w:rPr>
          <w:rFonts w:ascii="Arial" w:eastAsia="Times New Roman" w:hAnsi="Arial" w:cs="Arial"/>
          <w:iCs/>
          <w:szCs w:val="20"/>
          <w:lang w:eastAsia="en-US"/>
        </w:rPr>
      </w:pPr>
      <w:r w:rsidRPr="003A2F86">
        <w:rPr>
          <w:rFonts w:ascii="Arial" w:eastAsia="Times New Roman" w:hAnsi="Arial" w:cs="Arial"/>
          <w:iCs/>
          <w:szCs w:val="20"/>
          <w:lang w:eastAsia="en-US"/>
        </w:rPr>
        <w:t xml:space="preserve">Od ukupnih rashoda proračunskih korisnika iz općinskog proračuna u </w:t>
      </w:r>
      <w:r w:rsidR="009B00AC" w:rsidRPr="003A2F86">
        <w:rPr>
          <w:rFonts w:ascii="Arial" w:eastAsia="Times New Roman" w:hAnsi="Arial" w:cs="Arial"/>
          <w:iCs/>
          <w:szCs w:val="20"/>
          <w:lang w:eastAsia="en-US"/>
        </w:rPr>
        <w:t>202</w:t>
      </w:r>
      <w:r w:rsidR="00B4279A">
        <w:rPr>
          <w:rFonts w:ascii="Arial" w:eastAsia="Times New Roman" w:hAnsi="Arial" w:cs="Arial"/>
          <w:iCs/>
          <w:szCs w:val="20"/>
          <w:lang w:eastAsia="en-US"/>
        </w:rPr>
        <w:t>5</w:t>
      </w:r>
      <w:r w:rsidR="00370A7B" w:rsidRPr="003A2F86">
        <w:rPr>
          <w:rFonts w:ascii="Arial" w:eastAsia="Times New Roman" w:hAnsi="Arial" w:cs="Arial"/>
          <w:iCs/>
          <w:szCs w:val="20"/>
          <w:lang w:eastAsia="en-US"/>
        </w:rPr>
        <w:t>.</w:t>
      </w:r>
      <w:r w:rsidRPr="003A2F86">
        <w:rPr>
          <w:rFonts w:ascii="Arial" w:eastAsia="Times New Roman" w:hAnsi="Arial" w:cs="Arial"/>
          <w:iCs/>
          <w:szCs w:val="20"/>
          <w:lang w:eastAsia="en-US"/>
        </w:rPr>
        <w:t xml:space="preserve"> je financirano </w:t>
      </w:r>
      <w:r w:rsidR="00B4279A">
        <w:rPr>
          <w:rFonts w:ascii="Arial" w:eastAsia="Times New Roman" w:hAnsi="Arial" w:cs="Arial"/>
          <w:iCs/>
          <w:szCs w:val="20"/>
          <w:lang w:eastAsia="en-US"/>
        </w:rPr>
        <w:t>2.280.770,24</w:t>
      </w:r>
      <w:r w:rsidR="0084311C" w:rsidRPr="003A2F86">
        <w:rPr>
          <w:rFonts w:ascii="Arial" w:eastAsia="Times New Roman" w:hAnsi="Arial" w:cs="Arial"/>
          <w:iCs/>
          <w:szCs w:val="20"/>
          <w:lang w:eastAsia="en-US"/>
        </w:rPr>
        <w:t xml:space="preserve"> €</w:t>
      </w:r>
      <w:r w:rsidRPr="003A2F86">
        <w:rPr>
          <w:rFonts w:ascii="Arial" w:eastAsia="Times New Roman" w:hAnsi="Arial" w:cs="Arial"/>
          <w:iCs/>
          <w:szCs w:val="20"/>
          <w:lang w:eastAsia="en-US"/>
        </w:rPr>
        <w:t xml:space="preserve"> (u financijskim izvještajima Općine, razina 22, iskazano na računu 367, dok se za isto izvještajno razdoblje u financijskim izvještajima proračunskih korisnika, razina 21 i 31, ovi rashodi iskazuju prema prirodnoj vrsti troška). </w:t>
      </w:r>
    </w:p>
    <w:p w14:paraId="07670CD0" w14:textId="77777777" w:rsidR="00943155" w:rsidRPr="003A2F86" w:rsidRDefault="00943155" w:rsidP="00891119">
      <w:pPr>
        <w:autoSpaceDE w:val="0"/>
        <w:autoSpaceDN w:val="0"/>
        <w:adjustRightInd w:val="0"/>
        <w:spacing w:after="0" w:line="240" w:lineRule="auto"/>
        <w:jc w:val="both"/>
        <w:rPr>
          <w:rFonts w:ascii="Arial" w:eastAsia="Times New Roman" w:hAnsi="Arial" w:cs="Arial"/>
          <w:iCs/>
          <w:szCs w:val="20"/>
          <w:lang w:eastAsia="en-US"/>
        </w:rPr>
      </w:pPr>
    </w:p>
    <w:p w14:paraId="17633ABE" w14:textId="0BAFF3CF" w:rsidR="00891119" w:rsidRPr="003A2F86" w:rsidRDefault="00891119" w:rsidP="00891119">
      <w:pPr>
        <w:autoSpaceDE w:val="0"/>
        <w:autoSpaceDN w:val="0"/>
        <w:adjustRightInd w:val="0"/>
        <w:spacing w:after="0" w:line="240" w:lineRule="auto"/>
        <w:jc w:val="both"/>
        <w:rPr>
          <w:rFonts w:ascii="Arial" w:eastAsia="Times New Roman" w:hAnsi="Arial" w:cs="Arial"/>
          <w:iCs/>
          <w:szCs w:val="20"/>
          <w:lang w:eastAsia="en-US"/>
        </w:rPr>
      </w:pPr>
      <w:r w:rsidRPr="003A2F86">
        <w:rPr>
          <w:rFonts w:ascii="Arial" w:eastAsia="Times New Roman" w:hAnsi="Arial" w:cs="Arial"/>
          <w:b/>
          <w:bCs/>
          <w:iCs/>
          <w:szCs w:val="20"/>
          <w:lang w:eastAsia="en-US"/>
        </w:rPr>
        <w:t xml:space="preserve">Rashodi </w:t>
      </w:r>
      <w:r w:rsidR="00543244" w:rsidRPr="003A2F86">
        <w:rPr>
          <w:rFonts w:ascii="Arial" w:eastAsia="Times New Roman" w:hAnsi="Arial" w:cs="Arial"/>
          <w:b/>
          <w:bCs/>
          <w:iCs/>
          <w:szCs w:val="20"/>
          <w:lang w:eastAsia="en-US"/>
        </w:rPr>
        <w:t>za 202</w:t>
      </w:r>
      <w:r w:rsidR="00B4279A">
        <w:rPr>
          <w:rFonts w:ascii="Arial" w:eastAsia="Times New Roman" w:hAnsi="Arial" w:cs="Arial"/>
          <w:b/>
          <w:bCs/>
          <w:iCs/>
          <w:szCs w:val="20"/>
          <w:lang w:eastAsia="en-US"/>
        </w:rPr>
        <w:t>5</w:t>
      </w:r>
      <w:r w:rsidR="00543244" w:rsidRPr="003A2F86">
        <w:rPr>
          <w:rFonts w:ascii="Arial" w:eastAsia="Times New Roman" w:hAnsi="Arial" w:cs="Arial"/>
          <w:b/>
          <w:bCs/>
          <w:iCs/>
          <w:szCs w:val="20"/>
          <w:lang w:eastAsia="en-US"/>
        </w:rPr>
        <w:t xml:space="preserve">. </w:t>
      </w:r>
      <w:r w:rsidRPr="003A2F86">
        <w:rPr>
          <w:rFonts w:ascii="Arial" w:eastAsia="Times New Roman" w:hAnsi="Arial" w:cs="Arial"/>
          <w:iCs/>
          <w:szCs w:val="20"/>
          <w:lang w:eastAsia="en-US"/>
        </w:rPr>
        <w:t xml:space="preserve">koje proračunski korisnici podmiruju iz svojih vlastitih izvora iznose </w:t>
      </w:r>
      <w:r w:rsidR="00B4279A">
        <w:rPr>
          <w:rFonts w:ascii="Arial" w:eastAsia="Times New Roman" w:hAnsi="Arial" w:cs="Arial"/>
          <w:iCs/>
          <w:szCs w:val="20"/>
          <w:lang w:eastAsia="en-US"/>
        </w:rPr>
        <w:t>783.547,11</w:t>
      </w:r>
      <w:r w:rsidR="0084311C" w:rsidRPr="003A2F86">
        <w:rPr>
          <w:rFonts w:ascii="Arial" w:eastAsia="Times New Roman" w:hAnsi="Arial" w:cs="Arial"/>
          <w:iCs/>
          <w:szCs w:val="20"/>
          <w:lang w:eastAsia="en-US"/>
        </w:rPr>
        <w:t xml:space="preserve"> €</w:t>
      </w:r>
      <w:r w:rsidRPr="003A2F86">
        <w:rPr>
          <w:rFonts w:ascii="Arial" w:eastAsia="Times New Roman" w:hAnsi="Arial" w:cs="Arial"/>
          <w:iCs/>
          <w:szCs w:val="20"/>
          <w:lang w:eastAsia="en-US"/>
        </w:rPr>
        <w:t xml:space="preserve">. Obveze </w:t>
      </w:r>
      <w:r w:rsidR="00AE5560" w:rsidRPr="003A2F86">
        <w:rPr>
          <w:rFonts w:ascii="Arial" w:eastAsia="Times New Roman" w:hAnsi="Arial" w:cs="Arial"/>
          <w:iCs/>
          <w:szCs w:val="20"/>
          <w:lang w:eastAsia="en-US"/>
        </w:rPr>
        <w:t xml:space="preserve">proračunskih korisnika </w:t>
      </w:r>
      <w:r w:rsidRPr="003A2F86">
        <w:rPr>
          <w:rFonts w:ascii="Arial" w:eastAsia="Times New Roman" w:hAnsi="Arial" w:cs="Arial"/>
          <w:iCs/>
          <w:szCs w:val="20"/>
          <w:lang w:eastAsia="en-US"/>
        </w:rPr>
        <w:t xml:space="preserve">za iskazane rashode </w:t>
      </w:r>
      <w:r w:rsidR="00AE5560" w:rsidRPr="003A2F86">
        <w:rPr>
          <w:rFonts w:ascii="Arial" w:eastAsia="Times New Roman" w:hAnsi="Arial" w:cs="Arial"/>
          <w:iCs/>
          <w:szCs w:val="20"/>
          <w:lang w:eastAsia="en-US"/>
        </w:rPr>
        <w:t xml:space="preserve">koncem </w:t>
      </w:r>
      <w:r w:rsidR="00B4279A">
        <w:rPr>
          <w:rFonts w:ascii="Arial" w:eastAsia="Times New Roman" w:hAnsi="Arial" w:cs="Arial"/>
          <w:iCs/>
          <w:szCs w:val="20"/>
          <w:lang w:eastAsia="en-US"/>
        </w:rPr>
        <w:t xml:space="preserve">lipnja </w:t>
      </w:r>
      <w:r w:rsidR="00417C6C" w:rsidRPr="003A2F86">
        <w:rPr>
          <w:rFonts w:ascii="Arial" w:eastAsia="Times New Roman" w:hAnsi="Arial" w:cs="Arial"/>
          <w:iCs/>
          <w:szCs w:val="20"/>
          <w:lang w:eastAsia="en-US"/>
        </w:rPr>
        <w:t>20</w:t>
      </w:r>
      <w:r w:rsidR="00445C54" w:rsidRPr="003A2F86">
        <w:rPr>
          <w:rFonts w:ascii="Arial" w:eastAsia="Times New Roman" w:hAnsi="Arial" w:cs="Arial"/>
          <w:iCs/>
          <w:szCs w:val="20"/>
          <w:lang w:eastAsia="en-US"/>
        </w:rPr>
        <w:t>2</w:t>
      </w:r>
      <w:r w:rsidR="00B4279A">
        <w:rPr>
          <w:rFonts w:ascii="Arial" w:eastAsia="Times New Roman" w:hAnsi="Arial" w:cs="Arial"/>
          <w:iCs/>
          <w:szCs w:val="20"/>
          <w:lang w:eastAsia="en-US"/>
        </w:rPr>
        <w:t>5</w:t>
      </w:r>
      <w:r w:rsidR="00445C54" w:rsidRPr="003A2F86">
        <w:rPr>
          <w:rFonts w:ascii="Arial" w:eastAsia="Times New Roman" w:hAnsi="Arial" w:cs="Arial"/>
          <w:iCs/>
          <w:szCs w:val="20"/>
          <w:lang w:eastAsia="en-US"/>
        </w:rPr>
        <w:t>.</w:t>
      </w:r>
      <w:r w:rsidR="00417C6C" w:rsidRPr="003A2F86">
        <w:rPr>
          <w:rFonts w:ascii="Arial" w:eastAsia="Times New Roman" w:hAnsi="Arial" w:cs="Arial"/>
          <w:iCs/>
          <w:szCs w:val="20"/>
          <w:lang w:eastAsia="en-US"/>
        </w:rPr>
        <w:t xml:space="preserve"> godine </w:t>
      </w:r>
      <w:r w:rsidR="004C317A" w:rsidRPr="003A2F86">
        <w:rPr>
          <w:rFonts w:ascii="Arial" w:eastAsia="Times New Roman" w:hAnsi="Arial" w:cs="Arial"/>
          <w:iCs/>
          <w:szCs w:val="20"/>
          <w:lang w:eastAsia="en-US"/>
        </w:rPr>
        <w:t>i</w:t>
      </w:r>
      <w:r w:rsidRPr="003A2F86">
        <w:rPr>
          <w:rFonts w:ascii="Arial" w:eastAsia="Times New Roman" w:hAnsi="Arial" w:cs="Arial"/>
          <w:iCs/>
          <w:szCs w:val="20"/>
          <w:lang w:eastAsia="en-US"/>
        </w:rPr>
        <w:t xml:space="preserve">znose </w:t>
      </w:r>
      <w:r w:rsidR="00B4279A">
        <w:rPr>
          <w:rFonts w:ascii="Arial" w:eastAsia="Times New Roman" w:hAnsi="Arial" w:cs="Arial"/>
          <w:iCs/>
          <w:szCs w:val="20"/>
          <w:lang w:eastAsia="en-US"/>
        </w:rPr>
        <w:t>464.402,71</w:t>
      </w:r>
      <w:r w:rsidR="0084311C" w:rsidRPr="003A2F86">
        <w:rPr>
          <w:rFonts w:ascii="Arial" w:eastAsia="Times New Roman" w:hAnsi="Arial" w:cs="Arial"/>
          <w:iCs/>
          <w:szCs w:val="20"/>
          <w:lang w:eastAsia="en-US"/>
        </w:rPr>
        <w:t xml:space="preserve"> €</w:t>
      </w:r>
      <w:r w:rsidRPr="003A2F86">
        <w:rPr>
          <w:rFonts w:ascii="Arial" w:eastAsia="Times New Roman" w:hAnsi="Arial" w:cs="Arial"/>
          <w:iCs/>
          <w:szCs w:val="20"/>
          <w:lang w:eastAsia="en-US"/>
        </w:rPr>
        <w:t>, od čega obveze kojima je izvor općinski proračun (</w:t>
      </w:r>
      <w:r w:rsidR="00E71456" w:rsidRPr="003A2F86">
        <w:rPr>
          <w:rFonts w:ascii="Arial" w:eastAsia="Times New Roman" w:hAnsi="Arial" w:cs="Arial"/>
          <w:iCs/>
          <w:szCs w:val="20"/>
          <w:lang w:eastAsia="en-US"/>
        </w:rPr>
        <w:t xml:space="preserve">izvor </w:t>
      </w:r>
      <w:r w:rsidRPr="003A2F86">
        <w:rPr>
          <w:rFonts w:ascii="Arial" w:eastAsia="Times New Roman" w:hAnsi="Arial" w:cs="Arial"/>
          <w:iCs/>
          <w:szCs w:val="20"/>
          <w:lang w:eastAsia="en-US"/>
        </w:rPr>
        <w:t xml:space="preserve">110) iznose </w:t>
      </w:r>
      <w:r w:rsidR="00B4279A">
        <w:rPr>
          <w:rFonts w:ascii="Arial" w:eastAsia="Times New Roman" w:hAnsi="Arial" w:cs="Arial"/>
          <w:iCs/>
          <w:szCs w:val="20"/>
          <w:lang w:eastAsia="en-US"/>
        </w:rPr>
        <w:t>319.297,48</w:t>
      </w:r>
      <w:r w:rsidR="0084311C" w:rsidRPr="003A2F86">
        <w:rPr>
          <w:rFonts w:ascii="Arial" w:eastAsia="Times New Roman" w:hAnsi="Arial" w:cs="Arial"/>
          <w:iCs/>
          <w:szCs w:val="20"/>
          <w:lang w:eastAsia="en-US"/>
        </w:rPr>
        <w:t xml:space="preserve"> €</w:t>
      </w:r>
      <w:r w:rsidRPr="003A2F86">
        <w:rPr>
          <w:rFonts w:ascii="Arial" w:eastAsia="Times New Roman" w:hAnsi="Arial" w:cs="Arial"/>
          <w:iCs/>
          <w:szCs w:val="20"/>
          <w:lang w:eastAsia="en-US"/>
        </w:rPr>
        <w:t xml:space="preserve"> (podmiruje se </w:t>
      </w:r>
      <w:r w:rsidR="0084311C" w:rsidRPr="003A2F86">
        <w:rPr>
          <w:rFonts w:ascii="Arial" w:eastAsia="Times New Roman" w:hAnsi="Arial" w:cs="Arial"/>
          <w:iCs/>
          <w:szCs w:val="20"/>
          <w:lang w:eastAsia="en-US"/>
        </w:rPr>
        <w:t xml:space="preserve">u </w:t>
      </w:r>
      <w:r w:rsidR="00B4279A">
        <w:rPr>
          <w:rFonts w:ascii="Arial" w:eastAsia="Times New Roman" w:hAnsi="Arial" w:cs="Arial"/>
          <w:iCs/>
          <w:szCs w:val="20"/>
          <w:lang w:eastAsia="en-US"/>
        </w:rPr>
        <w:t xml:space="preserve">drugom polugodištu </w:t>
      </w:r>
      <w:r w:rsidRPr="003A2F86">
        <w:rPr>
          <w:rFonts w:ascii="Arial" w:eastAsia="Times New Roman" w:hAnsi="Arial" w:cs="Arial"/>
          <w:iCs/>
          <w:szCs w:val="20"/>
          <w:lang w:eastAsia="en-US"/>
        </w:rPr>
        <w:t>20</w:t>
      </w:r>
      <w:r w:rsidR="00AE5560" w:rsidRPr="003A2F86">
        <w:rPr>
          <w:rFonts w:ascii="Arial" w:eastAsia="Times New Roman" w:hAnsi="Arial" w:cs="Arial"/>
          <w:iCs/>
          <w:szCs w:val="20"/>
          <w:lang w:eastAsia="en-US"/>
        </w:rPr>
        <w:t>2</w:t>
      </w:r>
      <w:r w:rsidR="00EF2340" w:rsidRPr="003A2F86">
        <w:rPr>
          <w:rFonts w:ascii="Arial" w:eastAsia="Times New Roman" w:hAnsi="Arial" w:cs="Arial"/>
          <w:iCs/>
          <w:szCs w:val="20"/>
          <w:lang w:eastAsia="en-US"/>
        </w:rPr>
        <w:t>5</w:t>
      </w:r>
      <w:r w:rsidRPr="003A2F86">
        <w:rPr>
          <w:rFonts w:ascii="Arial" w:eastAsia="Times New Roman" w:hAnsi="Arial" w:cs="Arial"/>
          <w:iCs/>
          <w:szCs w:val="20"/>
          <w:lang w:eastAsia="en-US"/>
        </w:rPr>
        <w:t xml:space="preserve">.), a obveze za iskazane rashode korisnika kojima su izvor vlastita sredstva </w:t>
      </w:r>
      <w:r w:rsidR="009B00AC" w:rsidRPr="003A2F86">
        <w:rPr>
          <w:rFonts w:ascii="Arial" w:eastAsia="Times New Roman" w:hAnsi="Arial" w:cs="Arial"/>
          <w:iCs/>
          <w:szCs w:val="20"/>
          <w:lang w:eastAsia="en-US"/>
        </w:rPr>
        <w:t xml:space="preserve">proračunskih korisnika </w:t>
      </w:r>
      <w:r w:rsidRPr="003A2F86">
        <w:rPr>
          <w:rFonts w:ascii="Arial" w:eastAsia="Times New Roman" w:hAnsi="Arial" w:cs="Arial"/>
          <w:iCs/>
          <w:szCs w:val="20"/>
          <w:lang w:eastAsia="en-US"/>
        </w:rPr>
        <w:t xml:space="preserve">iznose </w:t>
      </w:r>
      <w:r w:rsidR="00B4279A">
        <w:rPr>
          <w:rFonts w:ascii="Arial" w:eastAsia="Times New Roman" w:hAnsi="Arial" w:cs="Arial"/>
          <w:iCs/>
          <w:szCs w:val="20"/>
          <w:lang w:eastAsia="en-US"/>
        </w:rPr>
        <w:t>145.105,23</w:t>
      </w:r>
      <w:r w:rsidR="0084311C" w:rsidRPr="003A2F86">
        <w:rPr>
          <w:rFonts w:ascii="Arial" w:eastAsia="Times New Roman" w:hAnsi="Arial" w:cs="Arial"/>
          <w:iCs/>
          <w:szCs w:val="20"/>
          <w:lang w:eastAsia="en-US"/>
        </w:rPr>
        <w:t xml:space="preserve"> €</w:t>
      </w:r>
      <w:r w:rsidRPr="003A2F86">
        <w:rPr>
          <w:rFonts w:ascii="Arial" w:eastAsia="Times New Roman" w:hAnsi="Arial" w:cs="Arial"/>
          <w:iCs/>
          <w:szCs w:val="20"/>
          <w:lang w:eastAsia="en-US"/>
        </w:rPr>
        <w:t>.</w:t>
      </w:r>
    </w:p>
    <w:p w14:paraId="26A9B207" w14:textId="77777777" w:rsidR="004C37E6" w:rsidRPr="003A2F86" w:rsidRDefault="004C37E6" w:rsidP="00417C6C">
      <w:pPr>
        <w:autoSpaceDE w:val="0"/>
        <w:autoSpaceDN w:val="0"/>
        <w:adjustRightInd w:val="0"/>
        <w:spacing w:after="0" w:line="240" w:lineRule="auto"/>
        <w:jc w:val="both"/>
        <w:rPr>
          <w:rFonts w:ascii="Arial" w:eastAsia="Times New Roman" w:hAnsi="Arial" w:cs="Arial"/>
          <w:iCs/>
          <w:szCs w:val="16"/>
          <w:lang w:eastAsia="en-US"/>
        </w:rPr>
      </w:pPr>
    </w:p>
    <w:p w14:paraId="384C9E65" w14:textId="4B5ACDD2" w:rsidR="00FB2837" w:rsidRPr="003A2F86" w:rsidRDefault="00602E49" w:rsidP="00602E49">
      <w:pPr>
        <w:pStyle w:val="Opisslike"/>
        <w:keepNext/>
        <w:rPr>
          <w:rFonts w:ascii="Arial" w:eastAsia="Calibri" w:hAnsi="Arial" w:cs="Arial"/>
        </w:rPr>
      </w:pPr>
      <w:bookmarkStart w:id="59" w:name="_Toc207706981"/>
      <w:r w:rsidRPr="003A2F86">
        <w:rPr>
          <w:color w:val="FF0000"/>
        </w:rPr>
        <w:lastRenderedPageBreak/>
        <w:t xml:space="preserve">Tablica </w:t>
      </w:r>
      <w:r w:rsidR="002A3DE2" w:rsidRPr="003A2F86">
        <w:rPr>
          <w:color w:val="FF0000"/>
        </w:rPr>
        <w:fldChar w:fldCharType="begin"/>
      </w:r>
      <w:r w:rsidR="002A3DE2" w:rsidRPr="003A2F86">
        <w:rPr>
          <w:color w:val="FF0000"/>
        </w:rPr>
        <w:instrText xml:space="preserve"> SEQ Tablica \* ARABIC </w:instrText>
      </w:r>
      <w:r w:rsidR="002A3DE2" w:rsidRPr="003A2F86">
        <w:rPr>
          <w:color w:val="FF0000"/>
        </w:rPr>
        <w:fldChar w:fldCharType="separate"/>
      </w:r>
      <w:r w:rsidR="00910987">
        <w:rPr>
          <w:noProof/>
          <w:color w:val="FF0000"/>
        </w:rPr>
        <w:t>17</w:t>
      </w:r>
      <w:r w:rsidR="002A3DE2" w:rsidRPr="003A2F86">
        <w:rPr>
          <w:color w:val="FF0000"/>
        </w:rPr>
        <w:fldChar w:fldCharType="end"/>
      </w:r>
      <w:r w:rsidRPr="003A2F86">
        <w:rPr>
          <w:color w:val="FF0000"/>
        </w:rPr>
        <w:t xml:space="preserve">.: </w:t>
      </w:r>
      <w:r w:rsidR="00FB2837" w:rsidRPr="003A2F86">
        <w:rPr>
          <w:rFonts w:ascii="Arial" w:eastAsia="Calibri" w:hAnsi="Arial" w:cs="Arial"/>
        </w:rPr>
        <w:t xml:space="preserve">Rekapitulacija </w:t>
      </w:r>
      <w:r w:rsidR="00FB2837" w:rsidRPr="003A2F86">
        <w:rPr>
          <w:rFonts w:ascii="Arial" w:eastAsia="Calibri" w:hAnsi="Arial" w:cs="Arial"/>
          <w:u w:val="single"/>
        </w:rPr>
        <w:t>rashoda</w:t>
      </w:r>
      <w:r w:rsidR="00FB2837" w:rsidRPr="003A2F86">
        <w:rPr>
          <w:rFonts w:ascii="Arial" w:eastAsia="Calibri" w:hAnsi="Arial" w:cs="Arial"/>
        </w:rPr>
        <w:t xml:space="preserve"> </w:t>
      </w:r>
      <w:r w:rsidR="00FB2837" w:rsidRPr="003A2F86">
        <w:rPr>
          <w:rFonts w:ascii="Arial" w:eastAsia="Calibri" w:hAnsi="Arial" w:cs="Arial"/>
          <w:color w:val="C0504D" w:themeColor="accent2"/>
        </w:rPr>
        <w:t xml:space="preserve">proračunskih korisnika </w:t>
      </w:r>
      <w:r w:rsidR="00FB2837" w:rsidRPr="003A2F86">
        <w:rPr>
          <w:rFonts w:ascii="Arial" w:eastAsia="Calibri" w:hAnsi="Arial" w:cs="Arial"/>
        </w:rPr>
        <w:t xml:space="preserve">u </w:t>
      </w:r>
      <w:r w:rsidR="00B4279A">
        <w:rPr>
          <w:rFonts w:ascii="Arial" w:eastAsia="Calibri" w:hAnsi="Arial" w:cs="Arial"/>
        </w:rPr>
        <w:t>1-6/</w:t>
      </w:r>
      <w:r w:rsidR="004A0CCE" w:rsidRPr="003A2F86">
        <w:rPr>
          <w:rFonts w:ascii="Arial" w:eastAsia="Calibri" w:hAnsi="Arial" w:cs="Arial"/>
        </w:rPr>
        <w:t>202</w:t>
      </w:r>
      <w:r w:rsidR="00B4279A">
        <w:rPr>
          <w:rFonts w:ascii="Arial" w:eastAsia="Calibri" w:hAnsi="Arial" w:cs="Arial"/>
        </w:rPr>
        <w:t>5</w:t>
      </w:r>
      <w:r w:rsidR="00FB2837" w:rsidRPr="003A2F86">
        <w:rPr>
          <w:rFonts w:ascii="Arial" w:eastAsia="Calibri" w:hAnsi="Arial" w:cs="Arial"/>
        </w:rPr>
        <w:t>. po izvorima financiranja</w:t>
      </w:r>
      <w:r w:rsidR="00FE1202" w:rsidRPr="003A2F86">
        <w:rPr>
          <w:rFonts w:ascii="Arial" w:eastAsia="Calibri" w:hAnsi="Arial" w:cs="Arial"/>
        </w:rPr>
        <w:t xml:space="preserve"> </w:t>
      </w:r>
      <w:r w:rsidR="00620DCC" w:rsidRPr="003A2F86">
        <w:rPr>
          <w:rFonts w:ascii="Arial" w:eastAsia="Calibri" w:hAnsi="Arial" w:cs="Arial"/>
        </w:rPr>
        <w:t>(€)</w:t>
      </w:r>
      <w:bookmarkEnd w:id="59"/>
    </w:p>
    <w:p w14:paraId="02D067ED" w14:textId="77777777" w:rsidR="00F6312D" w:rsidRPr="003A2F86" w:rsidRDefault="00F6312D" w:rsidP="002C41DA">
      <w:pPr>
        <w:spacing w:after="0" w:line="240" w:lineRule="auto"/>
        <w:jc w:val="center"/>
      </w:pPr>
    </w:p>
    <w:p w14:paraId="6E65508C" w14:textId="68D96CE8" w:rsidR="004A0CCE" w:rsidRPr="003A2F86" w:rsidRDefault="0037327C" w:rsidP="002C41DA">
      <w:pPr>
        <w:spacing w:after="0" w:line="240" w:lineRule="auto"/>
        <w:jc w:val="center"/>
        <w:rPr>
          <w:lang w:eastAsia="en-US"/>
        </w:rPr>
      </w:pPr>
      <w:r w:rsidRPr="0037327C">
        <w:rPr>
          <w:noProof/>
        </w:rPr>
        <w:drawing>
          <wp:inline distT="0" distB="0" distL="0" distR="0" wp14:anchorId="0CDE4F79" wp14:editId="71C9E169">
            <wp:extent cx="7585710" cy="4389120"/>
            <wp:effectExtent l="0" t="0" r="0" b="0"/>
            <wp:docPr id="1016836659"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85710" cy="4389120"/>
                    </a:xfrm>
                    <a:prstGeom prst="rect">
                      <a:avLst/>
                    </a:prstGeom>
                    <a:noFill/>
                    <a:ln>
                      <a:noFill/>
                    </a:ln>
                  </pic:spPr>
                </pic:pic>
              </a:graphicData>
            </a:graphic>
          </wp:inline>
        </w:drawing>
      </w:r>
    </w:p>
    <w:p w14:paraId="26A20C0C" w14:textId="7DCB9BD8" w:rsidR="00417C6C" w:rsidRPr="003A2F86" w:rsidRDefault="00417C6C" w:rsidP="00891119">
      <w:pPr>
        <w:autoSpaceDE w:val="0"/>
        <w:autoSpaceDN w:val="0"/>
        <w:adjustRightInd w:val="0"/>
        <w:spacing w:after="0" w:line="240" w:lineRule="auto"/>
        <w:jc w:val="center"/>
        <w:rPr>
          <w:rFonts w:ascii="Arial" w:eastAsia="Times New Roman" w:hAnsi="Arial" w:cs="Arial"/>
          <w:bCs/>
          <w:sz w:val="16"/>
          <w:szCs w:val="16"/>
          <w:lang w:eastAsia="en-US"/>
        </w:rPr>
      </w:pPr>
    </w:p>
    <w:p w14:paraId="31B4F756" w14:textId="3BCDBFE6" w:rsidR="00891119" w:rsidRPr="003A2F86" w:rsidRDefault="00891119" w:rsidP="00891119">
      <w:pPr>
        <w:autoSpaceDE w:val="0"/>
        <w:autoSpaceDN w:val="0"/>
        <w:adjustRightInd w:val="0"/>
        <w:spacing w:after="0" w:line="240" w:lineRule="auto"/>
        <w:jc w:val="both"/>
        <w:rPr>
          <w:rFonts w:ascii="Arial" w:eastAsia="Times New Roman" w:hAnsi="Arial" w:cs="Arial"/>
          <w:b/>
          <w:i/>
          <w:iCs/>
          <w:sz w:val="18"/>
          <w:szCs w:val="16"/>
          <w:u w:val="single"/>
          <w:lang w:eastAsia="en-US"/>
        </w:rPr>
      </w:pPr>
      <w:r w:rsidRPr="003A2F86">
        <w:rPr>
          <w:rFonts w:ascii="Arial" w:eastAsia="Times New Roman" w:hAnsi="Arial" w:cs="Arial"/>
          <w:b/>
          <w:i/>
          <w:iCs/>
          <w:sz w:val="18"/>
          <w:szCs w:val="16"/>
          <w:u w:val="single"/>
          <w:lang w:eastAsia="en-US"/>
        </w:rPr>
        <w:t>Obrazloženje izračuna:</w:t>
      </w:r>
    </w:p>
    <w:p w14:paraId="068162F5" w14:textId="1E7B5FA7" w:rsidR="00891119" w:rsidRPr="003A2F86" w:rsidRDefault="00891119" w:rsidP="00891119">
      <w:pPr>
        <w:autoSpaceDE w:val="0"/>
        <w:autoSpaceDN w:val="0"/>
        <w:adjustRightInd w:val="0"/>
        <w:spacing w:after="0" w:line="240" w:lineRule="auto"/>
        <w:jc w:val="both"/>
        <w:rPr>
          <w:rFonts w:ascii="Arial" w:eastAsia="Times New Roman" w:hAnsi="Arial" w:cs="Arial"/>
          <w:iCs/>
          <w:sz w:val="18"/>
          <w:szCs w:val="16"/>
          <w:lang w:eastAsia="en-US"/>
        </w:rPr>
      </w:pPr>
      <w:r w:rsidRPr="003A2F86">
        <w:rPr>
          <w:rFonts w:ascii="Arial" w:eastAsia="Times New Roman" w:hAnsi="Arial" w:cs="Arial"/>
          <w:iCs/>
          <w:sz w:val="18"/>
          <w:szCs w:val="16"/>
          <w:lang w:eastAsia="en-US"/>
        </w:rPr>
        <w:t xml:space="preserve">* </w:t>
      </w:r>
      <w:r w:rsidRPr="003A2F86">
        <w:rPr>
          <w:rFonts w:ascii="Arial" w:eastAsia="Times New Roman" w:hAnsi="Arial" w:cs="Arial"/>
          <w:b/>
          <w:iCs/>
          <w:sz w:val="18"/>
          <w:szCs w:val="16"/>
          <w:lang w:eastAsia="en-US"/>
        </w:rPr>
        <w:t xml:space="preserve">rashodi PK u iznosu </w:t>
      </w:r>
      <w:r w:rsidR="0037327C">
        <w:rPr>
          <w:rFonts w:ascii="Arial" w:eastAsia="Times New Roman" w:hAnsi="Arial" w:cs="Arial"/>
          <w:b/>
          <w:iCs/>
          <w:sz w:val="18"/>
          <w:szCs w:val="16"/>
          <w:lang w:eastAsia="en-US"/>
        </w:rPr>
        <w:t>2.983.870,12</w:t>
      </w:r>
      <w:r w:rsidR="0084311C" w:rsidRPr="003A2F86">
        <w:rPr>
          <w:rFonts w:ascii="Arial" w:eastAsia="Times New Roman" w:hAnsi="Arial" w:cs="Arial"/>
          <w:b/>
          <w:iCs/>
          <w:sz w:val="18"/>
          <w:szCs w:val="16"/>
          <w:lang w:eastAsia="en-US"/>
        </w:rPr>
        <w:t xml:space="preserve"> €</w:t>
      </w:r>
      <w:r w:rsidRPr="003A2F86">
        <w:rPr>
          <w:rFonts w:ascii="Arial" w:eastAsia="Times New Roman" w:hAnsi="Arial" w:cs="Arial"/>
          <w:iCs/>
          <w:sz w:val="18"/>
          <w:szCs w:val="16"/>
          <w:lang w:eastAsia="en-US"/>
        </w:rPr>
        <w:t xml:space="preserve"> = sastoje se od rashoda financiranih vlastitim izvorima financiranja (</w:t>
      </w:r>
      <w:r w:rsidR="0028425E">
        <w:rPr>
          <w:rFonts w:ascii="Arial" w:eastAsia="Times New Roman" w:hAnsi="Arial" w:cs="Arial"/>
          <w:iCs/>
          <w:sz w:val="18"/>
          <w:szCs w:val="16"/>
          <w:lang w:eastAsia="en-US"/>
        </w:rPr>
        <w:t>783.547,11</w:t>
      </w:r>
      <w:r w:rsidR="0084311C" w:rsidRPr="003A2F86">
        <w:rPr>
          <w:rFonts w:ascii="Arial" w:eastAsia="Times New Roman" w:hAnsi="Arial" w:cs="Arial"/>
          <w:iCs/>
          <w:sz w:val="18"/>
          <w:szCs w:val="16"/>
          <w:lang w:eastAsia="en-US"/>
        </w:rPr>
        <w:t xml:space="preserve"> €</w:t>
      </w:r>
      <w:r w:rsidRPr="003A2F86">
        <w:rPr>
          <w:rFonts w:ascii="Arial" w:eastAsia="Times New Roman" w:hAnsi="Arial" w:cs="Arial"/>
          <w:iCs/>
          <w:sz w:val="18"/>
          <w:szCs w:val="16"/>
          <w:lang w:eastAsia="en-US"/>
        </w:rPr>
        <w:t xml:space="preserve">) i rashoda financiranih sredstvima općinskog proračuna </w:t>
      </w:r>
      <w:r w:rsidR="00E6317D" w:rsidRPr="003A2F86">
        <w:rPr>
          <w:rFonts w:ascii="Arial" w:eastAsia="Times New Roman" w:hAnsi="Arial" w:cs="Arial"/>
          <w:iCs/>
          <w:sz w:val="18"/>
          <w:szCs w:val="16"/>
          <w:lang w:eastAsia="en-US"/>
        </w:rPr>
        <w:t>(</w:t>
      </w:r>
      <w:r w:rsidR="0028425E">
        <w:rPr>
          <w:rFonts w:ascii="Arial" w:eastAsia="Times New Roman" w:hAnsi="Arial" w:cs="Arial"/>
          <w:iCs/>
          <w:sz w:val="18"/>
          <w:szCs w:val="16"/>
          <w:lang w:eastAsia="en-US"/>
        </w:rPr>
        <w:t>2.200.323,01</w:t>
      </w:r>
      <w:r w:rsidR="0084311C" w:rsidRPr="003A2F86">
        <w:rPr>
          <w:rFonts w:ascii="Arial" w:eastAsia="Times New Roman" w:hAnsi="Arial" w:cs="Arial"/>
          <w:iCs/>
          <w:sz w:val="18"/>
          <w:szCs w:val="16"/>
          <w:lang w:eastAsia="en-US"/>
        </w:rPr>
        <w:t xml:space="preserve"> €</w:t>
      </w:r>
      <w:r w:rsidR="00E6317D" w:rsidRPr="003A2F86">
        <w:rPr>
          <w:rFonts w:ascii="Arial" w:eastAsia="Times New Roman" w:hAnsi="Arial" w:cs="Arial"/>
          <w:iCs/>
          <w:sz w:val="18"/>
          <w:szCs w:val="16"/>
          <w:lang w:eastAsia="en-US"/>
        </w:rPr>
        <w:t>)</w:t>
      </w:r>
      <w:r w:rsidR="00D9705D" w:rsidRPr="003A2F86">
        <w:rPr>
          <w:rFonts w:ascii="Arial" w:eastAsia="Times New Roman" w:hAnsi="Arial" w:cs="Arial"/>
          <w:iCs/>
          <w:sz w:val="18"/>
          <w:szCs w:val="16"/>
          <w:lang w:eastAsia="en-US"/>
        </w:rPr>
        <w:t xml:space="preserve">. </w:t>
      </w:r>
    </w:p>
    <w:p w14:paraId="2CBDF3C6" w14:textId="7AD4CFC2" w:rsidR="00891119" w:rsidRPr="003A2F86" w:rsidRDefault="00891119" w:rsidP="00891119">
      <w:pPr>
        <w:autoSpaceDE w:val="0"/>
        <w:autoSpaceDN w:val="0"/>
        <w:adjustRightInd w:val="0"/>
        <w:spacing w:after="0" w:line="240" w:lineRule="auto"/>
        <w:jc w:val="both"/>
        <w:rPr>
          <w:rFonts w:ascii="Arial" w:eastAsia="Times New Roman" w:hAnsi="Arial" w:cs="Arial"/>
          <w:iCs/>
          <w:sz w:val="18"/>
          <w:szCs w:val="16"/>
          <w:lang w:eastAsia="en-US"/>
        </w:rPr>
      </w:pPr>
      <w:r w:rsidRPr="003A2F86">
        <w:rPr>
          <w:rFonts w:ascii="Arial" w:eastAsia="Times New Roman" w:hAnsi="Arial" w:cs="Arial"/>
          <w:b/>
          <w:iCs/>
          <w:sz w:val="18"/>
          <w:szCs w:val="16"/>
          <w:lang w:eastAsia="en-US"/>
        </w:rPr>
        <w:t xml:space="preserve">* ukupni prihodi PK iznose </w:t>
      </w:r>
      <w:r w:rsidR="0028425E">
        <w:rPr>
          <w:rFonts w:ascii="Arial" w:eastAsia="Times New Roman" w:hAnsi="Arial" w:cs="Arial"/>
          <w:b/>
          <w:iCs/>
          <w:sz w:val="18"/>
          <w:szCs w:val="16"/>
          <w:lang w:eastAsia="en-US"/>
        </w:rPr>
        <w:t>3.092.727,42</w:t>
      </w:r>
      <w:r w:rsidR="0084311C" w:rsidRPr="003A2F86">
        <w:rPr>
          <w:rFonts w:ascii="Arial" w:eastAsia="Times New Roman" w:hAnsi="Arial" w:cs="Arial"/>
          <w:b/>
          <w:iCs/>
          <w:sz w:val="18"/>
          <w:szCs w:val="16"/>
          <w:lang w:eastAsia="en-US"/>
        </w:rPr>
        <w:t xml:space="preserve"> €</w:t>
      </w:r>
      <w:r w:rsidRPr="003A2F86">
        <w:rPr>
          <w:rFonts w:ascii="Arial" w:eastAsia="Times New Roman" w:hAnsi="Arial" w:cs="Arial"/>
          <w:iCs/>
          <w:sz w:val="18"/>
          <w:szCs w:val="16"/>
          <w:lang w:eastAsia="en-US"/>
        </w:rPr>
        <w:t xml:space="preserve"> i sastoje se od prihoda iz općinskog proračuna </w:t>
      </w:r>
      <w:r w:rsidR="0028425E">
        <w:rPr>
          <w:rFonts w:ascii="Arial" w:eastAsia="Times New Roman" w:hAnsi="Arial" w:cs="Arial"/>
          <w:iCs/>
          <w:sz w:val="18"/>
          <w:szCs w:val="16"/>
          <w:lang w:eastAsia="en-US"/>
        </w:rPr>
        <w:t>2.280.770,24</w:t>
      </w:r>
      <w:r w:rsidR="0084311C" w:rsidRPr="003A2F86">
        <w:rPr>
          <w:rFonts w:ascii="Arial" w:eastAsia="Times New Roman" w:hAnsi="Arial" w:cs="Arial"/>
          <w:iCs/>
          <w:sz w:val="18"/>
          <w:szCs w:val="16"/>
          <w:lang w:eastAsia="en-US"/>
        </w:rPr>
        <w:t xml:space="preserve"> €</w:t>
      </w:r>
      <w:r w:rsidRPr="003A2F86">
        <w:rPr>
          <w:rFonts w:ascii="Arial" w:eastAsia="Times New Roman" w:hAnsi="Arial" w:cs="Arial"/>
          <w:iCs/>
          <w:sz w:val="18"/>
          <w:szCs w:val="16"/>
          <w:lang w:eastAsia="en-US"/>
        </w:rPr>
        <w:t xml:space="preserve"> i ostvarenih vlastitih prihoda </w:t>
      </w:r>
      <w:r w:rsidR="0028425E">
        <w:rPr>
          <w:rFonts w:ascii="Arial" w:eastAsia="Times New Roman" w:hAnsi="Arial" w:cs="Arial"/>
          <w:iCs/>
          <w:sz w:val="18"/>
          <w:szCs w:val="16"/>
          <w:lang w:eastAsia="en-US"/>
        </w:rPr>
        <w:t>811.957,18</w:t>
      </w:r>
      <w:r w:rsidR="0084311C" w:rsidRPr="003A2F86">
        <w:rPr>
          <w:rFonts w:ascii="Arial" w:eastAsia="Times New Roman" w:hAnsi="Arial" w:cs="Arial"/>
          <w:iCs/>
          <w:sz w:val="18"/>
          <w:szCs w:val="16"/>
          <w:lang w:eastAsia="en-US"/>
        </w:rPr>
        <w:t xml:space="preserve"> €</w:t>
      </w:r>
    </w:p>
    <w:p w14:paraId="295009BE" w14:textId="6735BF22" w:rsidR="008E3CF8" w:rsidRPr="003A2F86" w:rsidRDefault="004C37E6" w:rsidP="004C37E6">
      <w:pPr>
        <w:autoSpaceDE w:val="0"/>
        <w:autoSpaceDN w:val="0"/>
        <w:adjustRightInd w:val="0"/>
        <w:spacing w:after="0" w:line="240" w:lineRule="auto"/>
        <w:jc w:val="both"/>
        <w:rPr>
          <w:rFonts w:ascii="Arial" w:eastAsia="Times New Roman" w:hAnsi="Arial" w:cs="Arial"/>
          <w:iCs/>
          <w:sz w:val="18"/>
          <w:szCs w:val="16"/>
          <w:lang w:eastAsia="en-US"/>
        </w:rPr>
      </w:pPr>
      <w:r w:rsidRPr="003A2F86">
        <w:rPr>
          <w:rFonts w:ascii="Arial" w:eastAsia="Times New Roman" w:hAnsi="Arial" w:cs="Arial"/>
          <w:iCs/>
          <w:sz w:val="18"/>
          <w:szCs w:val="16"/>
          <w:lang w:eastAsia="en-US"/>
        </w:rPr>
        <w:t xml:space="preserve">* </w:t>
      </w:r>
      <w:r w:rsidRPr="003A2F86">
        <w:rPr>
          <w:rFonts w:ascii="Arial" w:eastAsia="Times New Roman" w:hAnsi="Arial" w:cs="Arial"/>
          <w:b/>
          <w:iCs/>
          <w:sz w:val="18"/>
          <w:szCs w:val="16"/>
          <w:lang w:eastAsia="en-US"/>
        </w:rPr>
        <w:t xml:space="preserve">prihodi iz općinskog proračuna u iznosu </w:t>
      </w:r>
      <w:r w:rsidR="0028425E">
        <w:rPr>
          <w:rFonts w:ascii="Arial" w:eastAsia="Times New Roman" w:hAnsi="Arial" w:cs="Arial"/>
          <w:b/>
          <w:iCs/>
          <w:sz w:val="18"/>
          <w:szCs w:val="16"/>
          <w:lang w:eastAsia="en-US"/>
        </w:rPr>
        <w:t>2.280.770,24</w:t>
      </w:r>
      <w:r w:rsidR="0084311C" w:rsidRPr="003A2F86">
        <w:rPr>
          <w:rFonts w:ascii="Arial" w:eastAsia="Times New Roman" w:hAnsi="Arial" w:cs="Arial"/>
          <w:b/>
          <w:iCs/>
          <w:sz w:val="18"/>
          <w:szCs w:val="16"/>
          <w:lang w:eastAsia="en-US"/>
        </w:rPr>
        <w:t xml:space="preserve"> €</w:t>
      </w:r>
      <w:r w:rsidRPr="003A2F86">
        <w:rPr>
          <w:rFonts w:ascii="Arial" w:eastAsia="Times New Roman" w:hAnsi="Arial" w:cs="Arial"/>
          <w:iCs/>
          <w:sz w:val="18"/>
          <w:szCs w:val="16"/>
          <w:lang w:eastAsia="en-US"/>
        </w:rPr>
        <w:t xml:space="preserve"> sastoje se od </w:t>
      </w:r>
      <w:r w:rsidR="0028425E">
        <w:rPr>
          <w:rFonts w:ascii="Arial" w:eastAsia="Times New Roman" w:hAnsi="Arial" w:cs="Arial"/>
          <w:iCs/>
          <w:sz w:val="18"/>
          <w:szCs w:val="16"/>
          <w:lang w:eastAsia="en-US"/>
        </w:rPr>
        <w:t>399.744,71</w:t>
      </w:r>
      <w:r w:rsidR="00620DCC" w:rsidRPr="003A2F86">
        <w:rPr>
          <w:rFonts w:ascii="Arial" w:eastAsia="Times New Roman" w:hAnsi="Arial" w:cs="Arial"/>
          <w:iCs/>
          <w:sz w:val="18"/>
          <w:szCs w:val="16"/>
          <w:lang w:eastAsia="en-US"/>
        </w:rPr>
        <w:t xml:space="preserve"> €</w:t>
      </w:r>
      <w:r w:rsidRPr="003A2F86">
        <w:rPr>
          <w:rFonts w:ascii="Arial" w:eastAsia="Times New Roman" w:hAnsi="Arial" w:cs="Arial"/>
          <w:iCs/>
          <w:sz w:val="18"/>
          <w:szCs w:val="16"/>
          <w:lang w:eastAsia="en-US"/>
        </w:rPr>
        <w:t xml:space="preserve"> koje su PK ostvarili u 202</w:t>
      </w:r>
      <w:r w:rsidR="0028425E">
        <w:rPr>
          <w:rFonts w:ascii="Arial" w:eastAsia="Times New Roman" w:hAnsi="Arial" w:cs="Arial"/>
          <w:iCs/>
          <w:sz w:val="18"/>
          <w:szCs w:val="16"/>
          <w:lang w:eastAsia="en-US"/>
        </w:rPr>
        <w:t>5</w:t>
      </w:r>
      <w:r w:rsidRPr="003A2F86">
        <w:rPr>
          <w:rFonts w:ascii="Arial" w:eastAsia="Times New Roman" w:hAnsi="Arial" w:cs="Arial"/>
          <w:iCs/>
          <w:sz w:val="18"/>
          <w:szCs w:val="16"/>
          <w:lang w:eastAsia="en-US"/>
        </w:rPr>
        <w:t>. (odnose se na podmirene obveze proračunskih korisnika iz 202</w:t>
      </w:r>
      <w:r w:rsidR="0028425E">
        <w:rPr>
          <w:rFonts w:ascii="Arial" w:eastAsia="Times New Roman" w:hAnsi="Arial" w:cs="Arial"/>
          <w:iCs/>
          <w:sz w:val="18"/>
          <w:szCs w:val="16"/>
          <w:lang w:eastAsia="en-US"/>
        </w:rPr>
        <w:t>4</w:t>
      </w:r>
      <w:r w:rsidRPr="003A2F86">
        <w:rPr>
          <w:rFonts w:ascii="Arial" w:eastAsia="Times New Roman" w:hAnsi="Arial" w:cs="Arial"/>
          <w:iCs/>
          <w:sz w:val="18"/>
          <w:szCs w:val="16"/>
          <w:lang w:eastAsia="en-US"/>
        </w:rPr>
        <w:t xml:space="preserve">. kojima je izvor financiranja bio općinski proračun), te od sredstava u iznosu </w:t>
      </w:r>
      <w:r w:rsidR="0028425E">
        <w:rPr>
          <w:rFonts w:ascii="Arial" w:eastAsia="Times New Roman" w:hAnsi="Arial" w:cs="Arial"/>
          <w:iCs/>
          <w:sz w:val="18"/>
          <w:szCs w:val="16"/>
          <w:lang w:eastAsia="en-US"/>
        </w:rPr>
        <w:t>2.200.323,01</w:t>
      </w:r>
      <w:r w:rsidR="0084311C" w:rsidRPr="003A2F86">
        <w:rPr>
          <w:rFonts w:ascii="Arial" w:eastAsia="Times New Roman" w:hAnsi="Arial" w:cs="Arial"/>
          <w:iCs/>
          <w:sz w:val="18"/>
          <w:szCs w:val="16"/>
          <w:lang w:eastAsia="en-US"/>
        </w:rPr>
        <w:t xml:space="preserve"> €</w:t>
      </w:r>
      <w:r w:rsidRPr="003A2F86">
        <w:rPr>
          <w:rFonts w:ascii="Arial" w:eastAsia="Times New Roman" w:hAnsi="Arial" w:cs="Arial"/>
          <w:iCs/>
          <w:sz w:val="18"/>
          <w:szCs w:val="16"/>
          <w:lang w:eastAsia="en-US"/>
        </w:rPr>
        <w:t xml:space="preserve"> (podmirene obveze po rashodima za 20</w:t>
      </w:r>
      <w:r w:rsidR="0028425E">
        <w:rPr>
          <w:rFonts w:ascii="Arial" w:eastAsia="Times New Roman" w:hAnsi="Arial" w:cs="Arial"/>
          <w:iCs/>
          <w:sz w:val="18"/>
          <w:szCs w:val="16"/>
          <w:lang w:eastAsia="en-US"/>
        </w:rPr>
        <w:t>25</w:t>
      </w:r>
      <w:r w:rsidRPr="003A2F86">
        <w:rPr>
          <w:rFonts w:ascii="Arial" w:eastAsia="Times New Roman" w:hAnsi="Arial" w:cs="Arial"/>
          <w:iCs/>
          <w:sz w:val="18"/>
          <w:szCs w:val="16"/>
          <w:lang w:eastAsia="en-US"/>
        </w:rPr>
        <w:t>.</w:t>
      </w:r>
      <w:r w:rsidR="00696E31">
        <w:rPr>
          <w:rFonts w:ascii="Arial" w:eastAsia="Times New Roman" w:hAnsi="Arial" w:cs="Arial"/>
          <w:iCs/>
          <w:sz w:val="18"/>
          <w:szCs w:val="16"/>
          <w:lang w:eastAsia="en-US"/>
        </w:rPr>
        <w:t xml:space="preserve"> </w:t>
      </w:r>
      <w:r w:rsidRPr="003A2F86">
        <w:rPr>
          <w:rFonts w:ascii="Arial" w:eastAsia="Times New Roman" w:hAnsi="Arial" w:cs="Arial"/>
          <w:iCs/>
          <w:sz w:val="18"/>
          <w:szCs w:val="16"/>
          <w:lang w:eastAsia="en-US"/>
        </w:rPr>
        <w:t>godinu, dok neplaćene obveze po rashodima PK koje imaju evidentiran izvor financiranja općinski proračun koncem</w:t>
      </w:r>
      <w:r w:rsidR="0028425E">
        <w:rPr>
          <w:rFonts w:ascii="Arial" w:eastAsia="Times New Roman" w:hAnsi="Arial" w:cs="Arial"/>
          <w:iCs/>
          <w:sz w:val="18"/>
          <w:szCs w:val="16"/>
          <w:lang w:eastAsia="en-US"/>
        </w:rPr>
        <w:t xml:space="preserve"> lipnja</w:t>
      </w:r>
      <w:r w:rsidRPr="003A2F86">
        <w:rPr>
          <w:rFonts w:ascii="Arial" w:eastAsia="Times New Roman" w:hAnsi="Arial" w:cs="Arial"/>
          <w:iCs/>
          <w:sz w:val="18"/>
          <w:szCs w:val="16"/>
          <w:lang w:eastAsia="en-US"/>
        </w:rPr>
        <w:t xml:space="preserve"> 202</w:t>
      </w:r>
      <w:r w:rsidR="0028425E">
        <w:rPr>
          <w:rFonts w:ascii="Arial" w:eastAsia="Times New Roman" w:hAnsi="Arial" w:cs="Arial"/>
          <w:iCs/>
          <w:sz w:val="18"/>
          <w:szCs w:val="16"/>
          <w:lang w:eastAsia="en-US"/>
        </w:rPr>
        <w:t>5</w:t>
      </w:r>
      <w:r w:rsidRPr="003A2F86">
        <w:rPr>
          <w:rFonts w:ascii="Arial" w:eastAsia="Times New Roman" w:hAnsi="Arial" w:cs="Arial"/>
          <w:iCs/>
          <w:sz w:val="18"/>
          <w:szCs w:val="16"/>
          <w:lang w:eastAsia="en-US"/>
        </w:rPr>
        <w:t xml:space="preserve">. godine iznose </w:t>
      </w:r>
      <w:r w:rsidR="0028425E">
        <w:rPr>
          <w:rFonts w:ascii="Arial" w:eastAsia="Times New Roman" w:hAnsi="Arial" w:cs="Arial"/>
          <w:iCs/>
          <w:sz w:val="18"/>
          <w:szCs w:val="16"/>
          <w:lang w:eastAsia="en-US"/>
        </w:rPr>
        <w:t>319.297,48</w:t>
      </w:r>
      <w:r w:rsidR="0084311C" w:rsidRPr="003A2F86">
        <w:rPr>
          <w:rFonts w:ascii="Arial" w:eastAsia="Times New Roman" w:hAnsi="Arial" w:cs="Arial"/>
          <w:iCs/>
          <w:sz w:val="18"/>
          <w:szCs w:val="16"/>
          <w:lang w:eastAsia="en-US"/>
        </w:rPr>
        <w:t xml:space="preserve"> €</w:t>
      </w:r>
      <w:r w:rsidRPr="003A2F86">
        <w:rPr>
          <w:rFonts w:ascii="Arial" w:eastAsia="Times New Roman" w:hAnsi="Arial" w:cs="Arial"/>
          <w:iCs/>
          <w:sz w:val="18"/>
          <w:szCs w:val="16"/>
          <w:lang w:eastAsia="en-US"/>
        </w:rPr>
        <w:t xml:space="preserve"> i biti će prihod u</w:t>
      </w:r>
      <w:r w:rsidR="0084311C" w:rsidRPr="003A2F86">
        <w:rPr>
          <w:rFonts w:ascii="Arial" w:eastAsia="Times New Roman" w:hAnsi="Arial" w:cs="Arial"/>
          <w:iCs/>
          <w:sz w:val="18"/>
          <w:szCs w:val="16"/>
          <w:lang w:eastAsia="en-US"/>
        </w:rPr>
        <w:t xml:space="preserve"> </w:t>
      </w:r>
      <w:r w:rsidR="0028425E">
        <w:rPr>
          <w:rFonts w:ascii="Arial" w:eastAsia="Times New Roman" w:hAnsi="Arial" w:cs="Arial"/>
          <w:iCs/>
          <w:sz w:val="18"/>
          <w:szCs w:val="16"/>
          <w:lang w:eastAsia="en-US"/>
        </w:rPr>
        <w:t xml:space="preserve">drugom polugodištu </w:t>
      </w:r>
      <w:r w:rsidRPr="003A2F86">
        <w:rPr>
          <w:rFonts w:ascii="Arial" w:eastAsia="Times New Roman" w:hAnsi="Arial" w:cs="Arial"/>
          <w:iCs/>
          <w:sz w:val="18"/>
          <w:szCs w:val="16"/>
          <w:lang w:eastAsia="en-US"/>
        </w:rPr>
        <w:t>202</w:t>
      </w:r>
      <w:r w:rsidR="008E3CF8" w:rsidRPr="003A2F86">
        <w:rPr>
          <w:rFonts w:ascii="Arial" w:eastAsia="Times New Roman" w:hAnsi="Arial" w:cs="Arial"/>
          <w:iCs/>
          <w:sz w:val="18"/>
          <w:szCs w:val="16"/>
          <w:lang w:eastAsia="en-US"/>
        </w:rPr>
        <w:t>5</w:t>
      </w:r>
      <w:r w:rsidRPr="003A2F86">
        <w:rPr>
          <w:rFonts w:ascii="Arial" w:eastAsia="Times New Roman" w:hAnsi="Arial" w:cs="Arial"/>
          <w:iCs/>
          <w:sz w:val="18"/>
          <w:szCs w:val="16"/>
          <w:lang w:eastAsia="en-US"/>
        </w:rPr>
        <w:t>.g.)</w:t>
      </w:r>
    </w:p>
    <w:p w14:paraId="5200470F" w14:textId="5FF48BF5" w:rsidR="004C37E6" w:rsidRPr="003A2F86" w:rsidRDefault="004C37E6" w:rsidP="004C37E6">
      <w:pPr>
        <w:autoSpaceDE w:val="0"/>
        <w:autoSpaceDN w:val="0"/>
        <w:adjustRightInd w:val="0"/>
        <w:spacing w:after="0" w:line="240" w:lineRule="auto"/>
        <w:jc w:val="both"/>
        <w:rPr>
          <w:rFonts w:ascii="Arial" w:eastAsia="Times New Roman" w:hAnsi="Arial" w:cs="Arial"/>
          <w:iCs/>
          <w:sz w:val="18"/>
          <w:szCs w:val="16"/>
          <w:lang w:eastAsia="en-US"/>
        </w:rPr>
      </w:pPr>
      <w:r w:rsidRPr="003A2F86">
        <w:rPr>
          <w:rFonts w:ascii="Arial" w:eastAsia="Times New Roman" w:hAnsi="Arial" w:cs="Arial"/>
          <w:iCs/>
          <w:sz w:val="18"/>
          <w:szCs w:val="16"/>
          <w:lang w:eastAsia="en-US"/>
        </w:rPr>
        <w:t xml:space="preserve"> </w:t>
      </w:r>
    </w:p>
    <w:p w14:paraId="2A2DEACD" w14:textId="7833F28B" w:rsidR="004A2AA6" w:rsidRPr="003A2F86" w:rsidRDefault="004A2AA6" w:rsidP="004A2AA6">
      <w:pPr>
        <w:autoSpaceDE w:val="0"/>
        <w:autoSpaceDN w:val="0"/>
        <w:adjustRightInd w:val="0"/>
        <w:spacing w:after="0" w:line="240" w:lineRule="auto"/>
        <w:jc w:val="center"/>
        <w:rPr>
          <w:rFonts w:ascii="Arial" w:eastAsia="Times New Roman" w:hAnsi="Arial" w:cs="Arial"/>
        </w:rPr>
      </w:pPr>
    </w:p>
    <w:p w14:paraId="0D6B9F5E" w14:textId="77777777" w:rsidR="00F6312D" w:rsidRPr="003A2F86" w:rsidRDefault="00F6312D" w:rsidP="004A2AA6">
      <w:pPr>
        <w:autoSpaceDE w:val="0"/>
        <w:autoSpaceDN w:val="0"/>
        <w:adjustRightInd w:val="0"/>
        <w:spacing w:after="0" w:line="240" w:lineRule="auto"/>
        <w:jc w:val="center"/>
        <w:rPr>
          <w:rFonts w:ascii="Arial" w:eastAsia="Times New Roman" w:hAnsi="Arial" w:cs="Arial"/>
        </w:rPr>
      </w:pPr>
    </w:p>
    <w:p w14:paraId="3E9579F0" w14:textId="5226E585" w:rsidR="004A2AA6" w:rsidRPr="003A2F86" w:rsidRDefault="004A2AA6" w:rsidP="004A2AA6">
      <w:pPr>
        <w:pStyle w:val="Opisslike"/>
        <w:rPr>
          <w:sz w:val="22"/>
          <w:szCs w:val="22"/>
        </w:rPr>
      </w:pPr>
      <w:bookmarkStart w:id="60" w:name="_Toc207707013"/>
      <w:r w:rsidRPr="003A2F86">
        <w:rPr>
          <w:color w:val="FF0000"/>
        </w:rPr>
        <w:t xml:space="preserve">Graf </w:t>
      </w:r>
      <w:r w:rsidRPr="003A2F86">
        <w:rPr>
          <w:color w:val="FF0000"/>
        </w:rPr>
        <w:fldChar w:fldCharType="begin"/>
      </w:r>
      <w:r w:rsidRPr="003A2F86">
        <w:rPr>
          <w:color w:val="FF0000"/>
        </w:rPr>
        <w:instrText xml:space="preserve"> SEQ Graf \* ARABIC </w:instrText>
      </w:r>
      <w:r w:rsidRPr="003A2F86">
        <w:rPr>
          <w:color w:val="FF0000"/>
        </w:rPr>
        <w:fldChar w:fldCharType="separate"/>
      </w:r>
      <w:r w:rsidR="00910987">
        <w:rPr>
          <w:noProof/>
          <w:color w:val="FF0000"/>
        </w:rPr>
        <w:t>8</w:t>
      </w:r>
      <w:r w:rsidRPr="003A2F86">
        <w:rPr>
          <w:color w:val="FF0000"/>
        </w:rPr>
        <w:fldChar w:fldCharType="end"/>
      </w:r>
      <w:r w:rsidRPr="003A2F86">
        <w:t xml:space="preserve">.: </w:t>
      </w:r>
      <w:r w:rsidRPr="003A2F86">
        <w:rPr>
          <w:sz w:val="22"/>
          <w:szCs w:val="22"/>
        </w:rPr>
        <w:t xml:space="preserve">Struktura izvršenih rashoda i izdataka Proračuna u </w:t>
      </w:r>
      <w:r w:rsidR="0028425E">
        <w:rPr>
          <w:sz w:val="22"/>
          <w:szCs w:val="22"/>
        </w:rPr>
        <w:t>1-6/</w:t>
      </w:r>
      <w:r w:rsidRPr="003A2F86">
        <w:rPr>
          <w:sz w:val="22"/>
          <w:szCs w:val="22"/>
        </w:rPr>
        <w:t>202</w:t>
      </w:r>
      <w:r w:rsidR="0028425E">
        <w:rPr>
          <w:sz w:val="22"/>
          <w:szCs w:val="22"/>
        </w:rPr>
        <w:t>5</w:t>
      </w:r>
      <w:r w:rsidRPr="003A2F86">
        <w:rPr>
          <w:sz w:val="22"/>
          <w:szCs w:val="22"/>
        </w:rPr>
        <w:t>.</w:t>
      </w:r>
      <w:r w:rsidR="00B33699" w:rsidRPr="003A2F86">
        <w:rPr>
          <w:sz w:val="22"/>
          <w:szCs w:val="22"/>
        </w:rPr>
        <w:t xml:space="preserve"> po ekonomskoj </w:t>
      </w:r>
      <w:r w:rsidRPr="003A2F86">
        <w:rPr>
          <w:sz w:val="22"/>
          <w:szCs w:val="22"/>
        </w:rPr>
        <w:t>klasifikacij</w:t>
      </w:r>
      <w:r w:rsidR="00B33699" w:rsidRPr="003A2F86">
        <w:rPr>
          <w:sz w:val="22"/>
          <w:szCs w:val="22"/>
        </w:rPr>
        <w:t>i</w:t>
      </w:r>
      <w:r w:rsidR="00717B72" w:rsidRPr="003A2F86">
        <w:rPr>
          <w:sz w:val="22"/>
          <w:szCs w:val="22"/>
        </w:rPr>
        <w:t xml:space="preserve"> (€) </w:t>
      </w:r>
      <w:r w:rsidR="00B33699" w:rsidRPr="003A2F86">
        <w:rPr>
          <w:sz w:val="22"/>
          <w:szCs w:val="22"/>
        </w:rPr>
        <w:t xml:space="preserve">: </w:t>
      </w:r>
      <w:r w:rsidR="004812B6" w:rsidRPr="003A2F86">
        <w:rPr>
          <w:sz w:val="22"/>
          <w:szCs w:val="22"/>
        </w:rPr>
        <w:t xml:space="preserve">sveukupno </w:t>
      </w:r>
      <w:r w:rsidRPr="00386EBA">
        <w:rPr>
          <w:color w:val="1F497D" w:themeColor="text2"/>
          <w:sz w:val="22"/>
          <w:szCs w:val="22"/>
        </w:rPr>
        <w:t xml:space="preserve">Općina </w:t>
      </w:r>
      <w:r w:rsidRPr="003A2F86">
        <w:rPr>
          <w:sz w:val="22"/>
          <w:szCs w:val="22"/>
        </w:rPr>
        <w:t xml:space="preserve">i </w:t>
      </w:r>
      <w:r w:rsidRPr="00386EBA">
        <w:rPr>
          <w:color w:val="943634" w:themeColor="accent2" w:themeShade="BF"/>
          <w:sz w:val="22"/>
          <w:szCs w:val="22"/>
        </w:rPr>
        <w:t>proračunski korisnici</w:t>
      </w:r>
      <w:bookmarkEnd w:id="60"/>
      <w:r w:rsidRPr="00386EBA">
        <w:rPr>
          <w:color w:val="943634" w:themeColor="accent2" w:themeShade="BF"/>
          <w:sz w:val="22"/>
          <w:szCs w:val="22"/>
        </w:rPr>
        <w:t xml:space="preserve"> </w:t>
      </w:r>
    </w:p>
    <w:p w14:paraId="0773C043" w14:textId="77777777" w:rsidR="004A2AA6" w:rsidRPr="003A2F86" w:rsidRDefault="004A2AA6" w:rsidP="004A2AA6">
      <w:pPr>
        <w:rPr>
          <w:lang w:eastAsia="en-US"/>
        </w:rPr>
      </w:pPr>
    </w:p>
    <w:p w14:paraId="7EA3762B" w14:textId="77777777" w:rsidR="004A2AA6" w:rsidRPr="003A2F86" w:rsidRDefault="004A2AA6" w:rsidP="004A2AA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360" w:hanging="360"/>
        <w:jc w:val="center"/>
        <w:rPr>
          <w:rFonts w:ascii="Arial" w:eastAsia="Times New Roman" w:hAnsi="Arial" w:cs="Arial"/>
        </w:rPr>
      </w:pPr>
      <w:r w:rsidRPr="003A2F86">
        <w:rPr>
          <w:rFonts w:ascii="Arial" w:eastAsia="Times New Roman" w:hAnsi="Arial" w:cs="Arial"/>
          <w:noProof/>
          <w:color w:val="FF0000"/>
        </w:rPr>
        <w:drawing>
          <wp:inline distT="0" distB="0" distL="0" distR="0" wp14:anchorId="7BF9FE40" wp14:editId="3720DEB7">
            <wp:extent cx="8448675" cy="4181475"/>
            <wp:effectExtent l="0" t="0" r="9525" b="9525"/>
            <wp:docPr id="780" name="Grafikon 7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FF959CA" w14:textId="77777777" w:rsidR="004A2AA6" w:rsidRPr="003A2F86" w:rsidRDefault="004A2AA6" w:rsidP="004A2AA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360" w:hanging="360"/>
        <w:jc w:val="both"/>
        <w:rPr>
          <w:rFonts w:ascii="Arial" w:eastAsia="Times New Roman" w:hAnsi="Arial" w:cs="Arial"/>
        </w:rPr>
      </w:pPr>
    </w:p>
    <w:p w14:paraId="6FC3A2D4" w14:textId="77777777" w:rsidR="00891119" w:rsidRPr="003A2F86" w:rsidRDefault="00891119" w:rsidP="00891119">
      <w:pPr>
        <w:autoSpaceDE w:val="0"/>
        <w:autoSpaceDN w:val="0"/>
        <w:adjustRightInd w:val="0"/>
        <w:spacing w:after="0" w:line="240" w:lineRule="auto"/>
        <w:jc w:val="center"/>
        <w:rPr>
          <w:rFonts w:ascii="Times New Roman" w:eastAsia="Calibri" w:hAnsi="Times New Roman" w:cs="Times New Roman"/>
          <w:sz w:val="20"/>
          <w:szCs w:val="20"/>
          <w:lang w:eastAsia="en-US"/>
        </w:rPr>
      </w:pPr>
    </w:p>
    <w:p w14:paraId="3F4A8CC9" w14:textId="77777777" w:rsidR="00891119" w:rsidRPr="003A2F86" w:rsidRDefault="00891119" w:rsidP="00891119">
      <w:pPr>
        <w:autoSpaceDE w:val="0"/>
        <w:autoSpaceDN w:val="0"/>
        <w:adjustRightInd w:val="0"/>
        <w:spacing w:after="0" w:line="240" w:lineRule="auto"/>
        <w:jc w:val="both"/>
        <w:rPr>
          <w:rFonts w:ascii="Arial" w:eastAsia="Calibri" w:hAnsi="Arial" w:cs="Arial"/>
          <w:lang w:eastAsia="en-US"/>
        </w:rPr>
        <w:sectPr w:rsidR="00891119" w:rsidRPr="003A2F86" w:rsidSect="00673312">
          <w:footerReference w:type="even" r:id="rId50"/>
          <w:footerReference w:type="default" r:id="rId51"/>
          <w:footerReference w:type="first" r:id="rId52"/>
          <w:type w:val="continuous"/>
          <w:pgSz w:w="16838" w:h="11906" w:orient="landscape" w:code="9"/>
          <w:pgMar w:top="1134" w:right="1134" w:bottom="1134" w:left="993" w:header="720" w:footer="720" w:gutter="0"/>
          <w:pgNumType w:chapStyle="1"/>
          <w:cols w:space="720"/>
          <w:titlePg/>
          <w:docGrid w:linePitch="272"/>
        </w:sectPr>
      </w:pPr>
    </w:p>
    <w:p w14:paraId="794115A0" w14:textId="77777777" w:rsidR="00B05CD2" w:rsidRPr="003A2F86" w:rsidRDefault="00B05CD2" w:rsidP="00B05CD2">
      <w:pPr>
        <w:spacing w:after="0" w:line="240" w:lineRule="auto"/>
        <w:jc w:val="both"/>
        <w:rPr>
          <w:rFonts w:ascii="Arial" w:eastAsia="Times New Roman" w:hAnsi="Arial" w:cs="Arial"/>
          <w:iCs/>
          <w:lang w:eastAsia="en-US"/>
        </w:rPr>
      </w:pPr>
      <w:bookmarkStart w:id="61" w:name="_Hlk103066982"/>
      <w:bookmarkStart w:id="62" w:name="_Hlk103067043"/>
      <w:r w:rsidRPr="003A2F86">
        <w:rPr>
          <w:rFonts w:ascii="Arial" w:eastAsia="Times New Roman" w:hAnsi="Arial" w:cs="Arial"/>
          <w:iCs/>
          <w:lang w:eastAsia="en-US"/>
        </w:rPr>
        <w:lastRenderedPageBreak/>
        <w:t>U sljedećoj tablici dani su usporedni podaci na razini podskupine rashoda i izdataka Općine Konavle i to:</w:t>
      </w:r>
    </w:p>
    <w:p w14:paraId="50E78705" w14:textId="355B9635" w:rsidR="00B05CD2" w:rsidRPr="003A2F86" w:rsidRDefault="00B05CD2" w:rsidP="00B05CD2">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(3a) izvršeno za razdoblje od I-</w:t>
      </w:r>
      <w:r w:rsidR="00901C13">
        <w:rPr>
          <w:rFonts w:ascii="Arial" w:eastAsia="Times New Roman" w:hAnsi="Arial" w:cs="Arial"/>
          <w:iCs/>
          <w:lang w:eastAsia="en-US"/>
        </w:rPr>
        <w:t>V</w:t>
      </w:r>
      <w:r w:rsidRPr="003A2F86">
        <w:rPr>
          <w:rFonts w:ascii="Arial" w:eastAsia="Times New Roman" w:hAnsi="Arial" w:cs="Arial"/>
          <w:iCs/>
          <w:lang w:eastAsia="en-US"/>
        </w:rPr>
        <w:t>I 202</w:t>
      </w:r>
      <w:r w:rsidR="00901C13">
        <w:rPr>
          <w:rFonts w:ascii="Arial" w:eastAsia="Times New Roman" w:hAnsi="Arial" w:cs="Arial"/>
          <w:iCs/>
          <w:lang w:eastAsia="en-US"/>
        </w:rPr>
        <w:t>4</w:t>
      </w:r>
      <w:r w:rsidRPr="003A2F86">
        <w:rPr>
          <w:rFonts w:ascii="Arial" w:eastAsia="Times New Roman" w:hAnsi="Arial" w:cs="Arial"/>
          <w:iCs/>
          <w:lang w:eastAsia="en-US"/>
        </w:rPr>
        <w:t xml:space="preserve">. g.(bez rashoda proračunskih korisnika koji su financirani iz njihovih vlastitih i namjenskih prihoda, financijski izvještaji razina 22), </w:t>
      </w:r>
    </w:p>
    <w:p w14:paraId="5D33BA3C" w14:textId="32E742E1" w:rsidR="00B05CD2" w:rsidRPr="003A2F86" w:rsidRDefault="00B05CD2" w:rsidP="00B05CD2">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(3b) izvršeno za razdoblje od I-</w:t>
      </w:r>
      <w:r w:rsidR="00901C13">
        <w:rPr>
          <w:rFonts w:ascii="Arial" w:eastAsia="Times New Roman" w:hAnsi="Arial" w:cs="Arial"/>
          <w:iCs/>
          <w:lang w:eastAsia="en-US"/>
        </w:rPr>
        <w:t>V</w:t>
      </w:r>
      <w:r w:rsidRPr="003A2F86">
        <w:rPr>
          <w:rFonts w:ascii="Arial" w:eastAsia="Times New Roman" w:hAnsi="Arial" w:cs="Arial"/>
          <w:iCs/>
          <w:lang w:eastAsia="en-US"/>
        </w:rPr>
        <w:t>I 202</w:t>
      </w:r>
      <w:r w:rsidR="00901C13">
        <w:rPr>
          <w:rFonts w:ascii="Arial" w:eastAsia="Times New Roman" w:hAnsi="Arial" w:cs="Arial"/>
          <w:iCs/>
          <w:lang w:eastAsia="en-US"/>
        </w:rPr>
        <w:t>4</w:t>
      </w:r>
      <w:r w:rsidRPr="003A2F86">
        <w:rPr>
          <w:rFonts w:ascii="Arial" w:eastAsia="Times New Roman" w:hAnsi="Arial" w:cs="Arial"/>
          <w:iCs/>
          <w:lang w:eastAsia="en-US"/>
        </w:rPr>
        <w:t xml:space="preserve">. g. (s rashodima proračunskih korisnika koji su financirani iz njihovih vlastitih i namjenskih prihoda, financijski izvještaji razina 23), </w:t>
      </w:r>
    </w:p>
    <w:p w14:paraId="247C6D76" w14:textId="609F6F28" w:rsidR="00B05CD2" w:rsidRPr="003A2F86" w:rsidRDefault="00B05CD2" w:rsidP="00B05CD2">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 (4) </w:t>
      </w:r>
      <w:r w:rsidR="00901C13">
        <w:rPr>
          <w:rFonts w:ascii="Arial" w:eastAsia="Times New Roman" w:hAnsi="Arial" w:cs="Arial"/>
          <w:iCs/>
          <w:lang w:eastAsia="en-US"/>
        </w:rPr>
        <w:t>plan s preraspodjelom</w:t>
      </w:r>
      <w:r w:rsidR="009C5F75" w:rsidRPr="003A2F86">
        <w:rPr>
          <w:rFonts w:ascii="Arial" w:eastAsia="Times New Roman" w:hAnsi="Arial" w:cs="Arial"/>
          <w:iCs/>
          <w:lang w:eastAsia="en-US"/>
        </w:rPr>
        <w:t xml:space="preserve"> </w:t>
      </w:r>
      <w:r w:rsidRPr="003A2F86">
        <w:rPr>
          <w:rFonts w:ascii="Arial" w:eastAsia="Times New Roman" w:hAnsi="Arial" w:cs="Arial"/>
          <w:iCs/>
          <w:lang w:eastAsia="en-US"/>
        </w:rPr>
        <w:t>za 202</w:t>
      </w:r>
      <w:r w:rsidR="00901C13">
        <w:rPr>
          <w:rFonts w:ascii="Arial" w:eastAsia="Times New Roman" w:hAnsi="Arial" w:cs="Arial"/>
          <w:iCs/>
          <w:lang w:eastAsia="en-US"/>
        </w:rPr>
        <w:t>5</w:t>
      </w:r>
      <w:r w:rsidRPr="003A2F86">
        <w:rPr>
          <w:rFonts w:ascii="Arial" w:eastAsia="Times New Roman" w:hAnsi="Arial" w:cs="Arial"/>
          <w:iCs/>
          <w:lang w:eastAsia="en-US"/>
        </w:rPr>
        <w:t xml:space="preserve">. (u izvještajnom razdoblju je bilo preraspodjela), </w:t>
      </w:r>
    </w:p>
    <w:p w14:paraId="547FFD4A" w14:textId="0269F7B7" w:rsidR="00B05CD2" w:rsidRPr="003A2F86" w:rsidRDefault="00B05CD2" w:rsidP="00B05CD2">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(5a) izvršeno za razdoblje I-</w:t>
      </w:r>
      <w:r w:rsidR="00901C13">
        <w:rPr>
          <w:rFonts w:ascii="Arial" w:eastAsia="Times New Roman" w:hAnsi="Arial" w:cs="Arial"/>
          <w:iCs/>
          <w:lang w:eastAsia="en-US"/>
        </w:rPr>
        <w:t>V</w:t>
      </w:r>
      <w:r w:rsidRPr="003A2F86">
        <w:rPr>
          <w:rFonts w:ascii="Arial" w:eastAsia="Times New Roman" w:hAnsi="Arial" w:cs="Arial"/>
          <w:iCs/>
          <w:lang w:eastAsia="en-US"/>
        </w:rPr>
        <w:t>I 202</w:t>
      </w:r>
      <w:r w:rsidR="00901C13">
        <w:rPr>
          <w:rFonts w:ascii="Arial" w:eastAsia="Times New Roman" w:hAnsi="Arial" w:cs="Arial"/>
          <w:iCs/>
          <w:lang w:eastAsia="en-US"/>
        </w:rPr>
        <w:t>5</w:t>
      </w:r>
      <w:r w:rsidRPr="003A2F86">
        <w:rPr>
          <w:rFonts w:ascii="Arial" w:eastAsia="Times New Roman" w:hAnsi="Arial" w:cs="Arial"/>
          <w:iCs/>
          <w:lang w:eastAsia="en-US"/>
        </w:rPr>
        <w:t xml:space="preserve">. (bez rashoda proračunskih korisnika koji su financirani iz njihovih vlastitih i namjenskih prihoda ali korištenjem računa 367 za rashode proračunskih korisnika koji su financirani iz općinskog proračuna, financijski izvještaji razina 22), </w:t>
      </w:r>
    </w:p>
    <w:p w14:paraId="4D24ED47" w14:textId="41581E87" w:rsidR="00B05CD2" w:rsidRPr="003A2F86" w:rsidRDefault="00B05CD2" w:rsidP="00B05CD2">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(5b) izvršeno za razdoblje I-</w:t>
      </w:r>
      <w:r w:rsidR="00901C13">
        <w:rPr>
          <w:rFonts w:ascii="Arial" w:eastAsia="Times New Roman" w:hAnsi="Arial" w:cs="Arial"/>
          <w:iCs/>
          <w:lang w:eastAsia="en-US"/>
        </w:rPr>
        <w:t>V</w:t>
      </w:r>
      <w:r w:rsidRPr="003A2F86">
        <w:rPr>
          <w:rFonts w:ascii="Arial" w:eastAsia="Times New Roman" w:hAnsi="Arial" w:cs="Arial"/>
          <w:iCs/>
          <w:lang w:eastAsia="en-US"/>
        </w:rPr>
        <w:t>I 202</w:t>
      </w:r>
      <w:r w:rsidR="00901C13">
        <w:rPr>
          <w:rFonts w:ascii="Arial" w:eastAsia="Times New Roman" w:hAnsi="Arial" w:cs="Arial"/>
          <w:iCs/>
          <w:lang w:eastAsia="en-US"/>
        </w:rPr>
        <w:t>5</w:t>
      </w:r>
      <w:r w:rsidRPr="003A2F86">
        <w:rPr>
          <w:rFonts w:ascii="Arial" w:eastAsia="Times New Roman" w:hAnsi="Arial" w:cs="Arial"/>
          <w:iCs/>
          <w:lang w:eastAsia="en-US"/>
        </w:rPr>
        <w:t>. (s rashodima proračunskih korisnika koji su financirani iz njihovih vlastitih i namjenskih prihoda, financijski izvještaji razina 23),</w:t>
      </w:r>
    </w:p>
    <w:p w14:paraId="1CAF9E21" w14:textId="196FFAE7" w:rsidR="00B05CD2" w:rsidRPr="003A2F86" w:rsidRDefault="00B05CD2" w:rsidP="00B05CD2">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(6a) indeks izvršenja za izvještajno razdoblje u odnosu na izvršenje za izvještajno razdoblje prethodne godine i to rashodi i izdaci za 202</w:t>
      </w:r>
      <w:r w:rsidR="00901C13">
        <w:rPr>
          <w:rFonts w:ascii="Arial" w:eastAsia="Times New Roman" w:hAnsi="Arial" w:cs="Arial"/>
          <w:iCs/>
          <w:lang w:eastAsia="en-US"/>
        </w:rPr>
        <w:t>5</w:t>
      </w:r>
      <w:r w:rsidRPr="003A2F86">
        <w:rPr>
          <w:rFonts w:ascii="Arial" w:eastAsia="Times New Roman" w:hAnsi="Arial" w:cs="Arial"/>
          <w:iCs/>
          <w:lang w:eastAsia="en-US"/>
        </w:rPr>
        <w:t>. razina 22 (stupac 5a) u odnosu na rashode i izdatke za 202</w:t>
      </w:r>
      <w:r w:rsidR="00901C13">
        <w:rPr>
          <w:rFonts w:ascii="Arial" w:eastAsia="Times New Roman" w:hAnsi="Arial" w:cs="Arial"/>
          <w:iCs/>
          <w:lang w:eastAsia="en-US"/>
        </w:rPr>
        <w:t>4</w:t>
      </w:r>
      <w:r w:rsidRPr="003A2F86">
        <w:rPr>
          <w:rFonts w:ascii="Arial" w:eastAsia="Times New Roman" w:hAnsi="Arial" w:cs="Arial"/>
          <w:iCs/>
          <w:lang w:eastAsia="en-US"/>
        </w:rPr>
        <w:t>. razina 22 (stupac 3a),</w:t>
      </w:r>
    </w:p>
    <w:p w14:paraId="18520998" w14:textId="5ED87EB6" w:rsidR="00B05CD2" w:rsidRPr="003A2F86" w:rsidRDefault="00B05CD2" w:rsidP="00B05CD2">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(6b) indeks izvršenja za izvještajno razdoblje u odnosu na izvršenje za izvještajno razdoblje prethodne godine i to rashodi i izdaci za 202</w:t>
      </w:r>
      <w:r w:rsidR="00901C13">
        <w:rPr>
          <w:rFonts w:ascii="Arial" w:eastAsia="Times New Roman" w:hAnsi="Arial" w:cs="Arial"/>
          <w:iCs/>
          <w:lang w:eastAsia="en-US"/>
        </w:rPr>
        <w:t>5</w:t>
      </w:r>
      <w:r w:rsidRPr="003A2F86">
        <w:rPr>
          <w:rFonts w:ascii="Arial" w:eastAsia="Times New Roman" w:hAnsi="Arial" w:cs="Arial"/>
          <w:iCs/>
          <w:lang w:eastAsia="en-US"/>
        </w:rPr>
        <w:t>. razine 23 (stupac 5b) u odnosu na rashode i izdatke za 202</w:t>
      </w:r>
      <w:r w:rsidR="00901C13">
        <w:rPr>
          <w:rFonts w:ascii="Arial" w:eastAsia="Times New Roman" w:hAnsi="Arial" w:cs="Arial"/>
          <w:iCs/>
          <w:lang w:eastAsia="en-US"/>
        </w:rPr>
        <w:t>4</w:t>
      </w:r>
      <w:r w:rsidRPr="003A2F86">
        <w:rPr>
          <w:rFonts w:ascii="Arial" w:eastAsia="Times New Roman" w:hAnsi="Arial" w:cs="Arial"/>
          <w:iCs/>
          <w:lang w:eastAsia="en-US"/>
        </w:rPr>
        <w:t>. razina 23 (stupac 3b),</w:t>
      </w:r>
    </w:p>
    <w:p w14:paraId="1E46C923" w14:textId="1BDC05D9" w:rsidR="00B05CD2" w:rsidRPr="003A2F86" w:rsidRDefault="00B05CD2" w:rsidP="00B05CD2">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(7) indeks izvršenja za izvještajno razdoblje 202</w:t>
      </w:r>
      <w:r w:rsidR="00901C13">
        <w:rPr>
          <w:rFonts w:ascii="Arial" w:eastAsia="Times New Roman" w:hAnsi="Arial" w:cs="Arial"/>
          <w:iCs/>
          <w:lang w:eastAsia="en-US"/>
        </w:rPr>
        <w:t>5</w:t>
      </w:r>
      <w:r w:rsidRPr="003A2F86">
        <w:rPr>
          <w:rFonts w:ascii="Arial" w:eastAsia="Times New Roman" w:hAnsi="Arial" w:cs="Arial"/>
          <w:iCs/>
          <w:lang w:eastAsia="en-US"/>
        </w:rPr>
        <w:t>. razina 23 (stupac 5b) u odnosu na plan 202</w:t>
      </w:r>
      <w:r w:rsidR="00901C13">
        <w:rPr>
          <w:rFonts w:ascii="Arial" w:eastAsia="Times New Roman" w:hAnsi="Arial" w:cs="Arial"/>
          <w:iCs/>
          <w:lang w:eastAsia="en-US"/>
        </w:rPr>
        <w:t>5</w:t>
      </w:r>
      <w:r w:rsidRPr="003A2F86">
        <w:rPr>
          <w:rFonts w:ascii="Arial" w:eastAsia="Times New Roman" w:hAnsi="Arial" w:cs="Arial"/>
          <w:iCs/>
          <w:lang w:eastAsia="en-US"/>
        </w:rPr>
        <w:t xml:space="preserve">. (stupac 4), te </w:t>
      </w:r>
    </w:p>
    <w:p w14:paraId="1C9F110B" w14:textId="3F6781D0" w:rsidR="00B05CD2" w:rsidRPr="003A2F86" w:rsidRDefault="00B05CD2" w:rsidP="00B05CD2">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(8) postotak učešća izvršenih rashoda i izdataka u izvještajnom razdoblju 202</w:t>
      </w:r>
      <w:r w:rsidR="00901C13">
        <w:rPr>
          <w:rFonts w:ascii="Arial" w:eastAsia="Times New Roman" w:hAnsi="Arial" w:cs="Arial"/>
          <w:iCs/>
          <w:lang w:eastAsia="en-US"/>
        </w:rPr>
        <w:t>5</w:t>
      </w:r>
      <w:r w:rsidRPr="003A2F86">
        <w:rPr>
          <w:rFonts w:ascii="Arial" w:eastAsia="Times New Roman" w:hAnsi="Arial" w:cs="Arial"/>
          <w:iCs/>
          <w:lang w:eastAsia="en-US"/>
        </w:rPr>
        <w:t>. (stupac 5b) u ukupno izvršenim rashodima i izdacima za 202</w:t>
      </w:r>
      <w:r w:rsidR="00901C13">
        <w:rPr>
          <w:rFonts w:ascii="Arial" w:eastAsia="Times New Roman" w:hAnsi="Arial" w:cs="Arial"/>
          <w:iCs/>
          <w:lang w:eastAsia="en-US"/>
        </w:rPr>
        <w:t>5</w:t>
      </w:r>
      <w:r w:rsidRPr="003A2F86">
        <w:rPr>
          <w:rFonts w:ascii="Arial" w:eastAsia="Times New Roman" w:hAnsi="Arial" w:cs="Arial"/>
          <w:iCs/>
          <w:lang w:eastAsia="en-US"/>
        </w:rPr>
        <w:t>.</w:t>
      </w:r>
    </w:p>
    <w:p w14:paraId="1D5D97DC" w14:textId="77777777" w:rsidR="00B05CD2" w:rsidRPr="003A2F86" w:rsidRDefault="00B05CD2" w:rsidP="00B05CD2">
      <w:pPr>
        <w:spacing w:after="0" w:line="240" w:lineRule="auto"/>
        <w:jc w:val="both"/>
        <w:rPr>
          <w:rFonts w:ascii="Arial" w:eastAsia="Times New Roman" w:hAnsi="Arial" w:cs="Arial"/>
          <w:iCs/>
          <w:lang w:eastAsia="en-US"/>
        </w:rPr>
      </w:pPr>
    </w:p>
    <w:p w14:paraId="2A9783A0" w14:textId="77777777" w:rsidR="00B05CD2" w:rsidRPr="003A2F86" w:rsidRDefault="00B05CD2" w:rsidP="00B05CD2">
      <w:pPr>
        <w:spacing w:after="0" w:line="240" w:lineRule="auto"/>
        <w:jc w:val="both"/>
        <w:rPr>
          <w:rFonts w:ascii="Arial" w:eastAsia="Times New Roman" w:hAnsi="Arial" w:cs="Arial"/>
          <w:b/>
          <w:i/>
          <w:iCs/>
          <w:lang w:eastAsia="en-US"/>
        </w:rPr>
      </w:pPr>
      <w:r w:rsidRPr="003A2F86">
        <w:rPr>
          <w:rFonts w:ascii="Arial" w:eastAsia="Times New Roman" w:hAnsi="Arial" w:cs="Arial"/>
          <w:b/>
          <w:i/>
          <w:iCs/>
          <w:lang w:eastAsia="en-US"/>
        </w:rPr>
        <w:t>Bitna napomena uz tablicu koja slijedi:</w:t>
      </w:r>
    </w:p>
    <w:p w14:paraId="11A16D84" w14:textId="77777777" w:rsidR="00B05CD2" w:rsidRPr="003A2F86" w:rsidRDefault="00B05CD2" w:rsidP="00B05CD2">
      <w:pPr>
        <w:spacing w:after="0" w:line="240" w:lineRule="auto"/>
        <w:jc w:val="both"/>
        <w:rPr>
          <w:rFonts w:ascii="Arial" w:eastAsia="Times New Roman" w:hAnsi="Arial" w:cs="Arial"/>
          <w:b/>
          <w:iCs/>
          <w:lang w:eastAsia="en-US"/>
        </w:rPr>
      </w:pPr>
    </w:p>
    <w:p w14:paraId="78F31301" w14:textId="77777777" w:rsidR="00B05CD2" w:rsidRPr="003A2F86" w:rsidRDefault="00B05CD2" w:rsidP="00B05CD2">
      <w:pPr>
        <w:spacing w:after="0" w:line="240" w:lineRule="auto"/>
        <w:jc w:val="both"/>
        <w:rPr>
          <w:rFonts w:ascii="Arial" w:eastAsia="Times New Roman" w:hAnsi="Arial" w:cs="Arial"/>
          <w:iCs/>
          <w:lang w:eastAsia="en-US"/>
        </w:rPr>
      </w:pPr>
      <w:r w:rsidRPr="003A2F86">
        <w:rPr>
          <w:rFonts w:ascii="Arial" w:eastAsia="Times New Roman" w:hAnsi="Arial" w:cs="Arial"/>
          <w:iCs/>
          <w:u w:val="single"/>
          <w:lang w:eastAsia="en-US"/>
        </w:rPr>
        <w:t>U izvještaju o izvršenju proračuna</w:t>
      </w:r>
      <w:r w:rsidRPr="003A2F86">
        <w:rPr>
          <w:rFonts w:ascii="Arial" w:eastAsia="Times New Roman" w:hAnsi="Arial" w:cs="Arial"/>
          <w:iCs/>
          <w:lang w:eastAsia="en-US"/>
        </w:rPr>
        <w:t xml:space="preserve"> su iskazani rashodi i izdaci iz stupca 5b, dakle rashodi i izdaci Općine sa svim rashodima i izdacima proračunskih korisnika, financijski izvještaji razina 23. </w:t>
      </w:r>
    </w:p>
    <w:p w14:paraId="202CF418" w14:textId="77777777" w:rsidR="00B05CD2" w:rsidRPr="003A2F86" w:rsidRDefault="00B05CD2" w:rsidP="00B05CD2">
      <w:pPr>
        <w:spacing w:after="0" w:line="240" w:lineRule="auto"/>
        <w:jc w:val="both"/>
        <w:rPr>
          <w:rFonts w:ascii="Arial" w:eastAsia="Times New Roman" w:hAnsi="Arial" w:cs="Arial"/>
          <w:iCs/>
          <w:lang w:eastAsia="en-US"/>
        </w:rPr>
      </w:pPr>
    </w:p>
    <w:p w14:paraId="779CF164" w14:textId="55F017C2" w:rsidR="00B05CD2" w:rsidRPr="003A2F86" w:rsidRDefault="00B05CD2" w:rsidP="00B05CD2">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Dalje kroz tekst izvještaja navode se </w:t>
      </w:r>
      <w:r w:rsidRPr="003A2F86">
        <w:rPr>
          <w:rFonts w:ascii="Arial" w:eastAsia="Times New Roman" w:hAnsi="Arial" w:cs="Arial"/>
          <w:b/>
          <w:iCs/>
          <w:lang w:eastAsia="en-US"/>
        </w:rPr>
        <w:t>usporedbe</w:t>
      </w:r>
      <w:r w:rsidRPr="003A2F86">
        <w:rPr>
          <w:rFonts w:ascii="Arial" w:eastAsia="Times New Roman" w:hAnsi="Arial" w:cs="Arial"/>
          <w:iCs/>
          <w:lang w:eastAsia="en-US"/>
        </w:rPr>
        <w:t xml:space="preserve"> izvršenog u 202</w:t>
      </w:r>
      <w:r w:rsidR="00901C13">
        <w:rPr>
          <w:rFonts w:ascii="Arial" w:eastAsia="Times New Roman" w:hAnsi="Arial" w:cs="Arial"/>
          <w:iCs/>
          <w:lang w:eastAsia="en-US"/>
        </w:rPr>
        <w:t>5</w:t>
      </w:r>
      <w:r w:rsidRPr="003A2F86">
        <w:rPr>
          <w:rFonts w:ascii="Arial" w:eastAsia="Times New Roman" w:hAnsi="Arial" w:cs="Arial"/>
          <w:iCs/>
          <w:lang w:eastAsia="en-US"/>
        </w:rPr>
        <w:t>. (stupac 5b u tablici) u odnosu na izvršeno u prethodnom proračunskom razdoblju 202</w:t>
      </w:r>
      <w:r w:rsidR="00901C13">
        <w:rPr>
          <w:rFonts w:ascii="Arial" w:eastAsia="Times New Roman" w:hAnsi="Arial" w:cs="Arial"/>
          <w:iCs/>
          <w:lang w:eastAsia="en-US"/>
        </w:rPr>
        <w:t>4</w:t>
      </w:r>
      <w:r w:rsidRPr="003A2F86">
        <w:rPr>
          <w:rFonts w:ascii="Arial" w:eastAsia="Times New Roman" w:hAnsi="Arial" w:cs="Arial"/>
          <w:iCs/>
          <w:lang w:eastAsia="en-US"/>
        </w:rPr>
        <w:t>. godine (stupac 3b u tablici).</w:t>
      </w:r>
    </w:p>
    <w:p w14:paraId="5AE57DC4" w14:textId="77777777" w:rsidR="00B05CD2" w:rsidRPr="003A2F86" w:rsidRDefault="00B05CD2" w:rsidP="00B05CD2">
      <w:pPr>
        <w:spacing w:after="0" w:line="240" w:lineRule="auto"/>
        <w:jc w:val="both"/>
        <w:rPr>
          <w:rFonts w:ascii="Arial" w:eastAsia="Times New Roman" w:hAnsi="Arial" w:cs="Arial"/>
          <w:b/>
          <w:i/>
          <w:iCs/>
          <w:lang w:eastAsia="en-US"/>
        </w:rPr>
      </w:pPr>
    </w:p>
    <w:p w14:paraId="3116AC89" w14:textId="77777777" w:rsidR="00B05CD2" w:rsidRPr="003A2F86" w:rsidRDefault="00B05CD2" w:rsidP="00B05CD2">
      <w:pPr>
        <w:spacing w:after="0" w:line="240" w:lineRule="auto"/>
        <w:jc w:val="both"/>
        <w:rPr>
          <w:rFonts w:ascii="Arial" w:eastAsia="Times New Roman" w:hAnsi="Arial" w:cs="Arial"/>
          <w:b/>
          <w:i/>
          <w:iCs/>
          <w:lang w:eastAsia="en-US"/>
        </w:rPr>
      </w:pPr>
      <w:r w:rsidRPr="003A2F86">
        <w:rPr>
          <w:rFonts w:ascii="Arial" w:eastAsia="Times New Roman" w:hAnsi="Arial" w:cs="Arial"/>
          <w:b/>
          <w:i/>
          <w:iCs/>
          <w:lang w:eastAsia="en-US"/>
        </w:rPr>
        <w:t>Bitna napomena uz obrazloženje rashoda u tekstu Izvješća:</w:t>
      </w:r>
    </w:p>
    <w:p w14:paraId="4DE5BF90" w14:textId="77777777" w:rsidR="00B05CD2" w:rsidRPr="003A2F86" w:rsidRDefault="00B05CD2" w:rsidP="00B05C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1F2CF35" w14:textId="37BFB53D" w:rsidR="00B05CD2" w:rsidRPr="003A2F86" w:rsidRDefault="00B05CD2" w:rsidP="00B05C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Kada se ukupni rashodi izvršenog proračuna dijele na rashode Općine i rashode proračunskih korisnika, pod rashodima Općine se navode </w:t>
      </w:r>
      <w:r w:rsidRPr="003A2F86">
        <w:rPr>
          <w:rFonts w:ascii="Arial" w:eastAsia="Times New Roman" w:hAnsi="Arial" w:cs="Arial"/>
          <w:b/>
          <w:bCs/>
        </w:rPr>
        <w:t>rashodi bez</w:t>
      </w:r>
      <w:r w:rsidRPr="003A2F86">
        <w:rPr>
          <w:rFonts w:ascii="Arial" w:eastAsia="Times New Roman" w:hAnsi="Arial" w:cs="Arial"/>
        </w:rPr>
        <w:t xml:space="preserve"> </w:t>
      </w:r>
      <w:r w:rsidRPr="003A2F86">
        <w:rPr>
          <w:rFonts w:ascii="Arial" w:eastAsia="Times New Roman" w:hAnsi="Arial" w:cs="Arial"/>
          <w:b/>
          <w:bCs/>
          <w:u w:val="single"/>
        </w:rPr>
        <w:t>rashoda podskupine 367,</w:t>
      </w:r>
      <w:r w:rsidRPr="003A2F86">
        <w:rPr>
          <w:u w:val="single"/>
        </w:rPr>
        <w:t xml:space="preserve"> </w:t>
      </w:r>
      <w:r w:rsidRPr="003A2F86">
        <w:rPr>
          <w:rFonts w:ascii="Arial" w:eastAsia="Times New Roman" w:hAnsi="Arial" w:cs="Arial"/>
          <w:b/>
          <w:bCs/>
          <w:u w:val="single"/>
        </w:rPr>
        <w:t>prijenosi proračunskim korisnicima iz nadležnog proračuna za financiranje redovne djelatnosti.</w:t>
      </w:r>
      <w:r w:rsidRPr="003A2F86">
        <w:rPr>
          <w:rFonts w:ascii="Arial" w:eastAsia="Times New Roman" w:hAnsi="Arial" w:cs="Arial"/>
        </w:rPr>
        <w:t xml:space="preserve"> Naime, rashodi podskupine 367 predstavljaju iznos rashoda koji Općina financira, odnosno doznačuje proračunskim korisnicima čime se povećava ukupan iznos rashoda proračuna Općine. Međutim, u raspodjeli izvršenih rashoda </w:t>
      </w:r>
      <w:r w:rsidRPr="003A2F86">
        <w:rPr>
          <w:rFonts w:ascii="Arial" w:eastAsia="Times New Roman" w:hAnsi="Arial" w:cs="Arial"/>
          <w:b/>
          <w:bCs/>
        </w:rPr>
        <w:t>po stvarnim korisnicima</w:t>
      </w:r>
      <w:r w:rsidRPr="003A2F86">
        <w:rPr>
          <w:rFonts w:ascii="Arial" w:eastAsia="Times New Roman" w:hAnsi="Arial" w:cs="Arial"/>
        </w:rPr>
        <w:t xml:space="preserve"> troška navodi se iznos </w:t>
      </w:r>
      <w:r w:rsidRPr="003A2F86">
        <w:rPr>
          <w:rFonts w:ascii="Arial" w:eastAsia="Times New Roman" w:hAnsi="Arial" w:cs="Arial"/>
          <w:highlight w:val="lightGray"/>
        </w:rPr>
        <w:t xml:space="preserve">koliko se od ukupno izvršenih rashoda odnosi na rashode proračunskih korisnika, a koliko bi Općina imala bez </w:t>
      </w:r>
      <w:r w:rsidR="00D94411" w:rsidRPr="003A2F86">
        <w:rPr>
          <w:rFonts w:ascii="Arial" w:eastAsia="Times New Roman" w:hAnsi="Arial" w:cs="Arial"/>
          <w:highlight w:val="lightGray"/>
        </w:rPr>
        <w:t xml:space="preserve">prijenosa </w:t>
      </w:r>
      <w:r w:rsidRPr="003A2F86">
        <w:rPr>
          <w:rFonts w:ascii="Arial" w:eastAsia="Times New Roman" w:hAnsi="Arial" w:cs="Arial"/>
          <w:highlight w:val="lightGray"/>
        </w:rPr>
        <w:t>proračunski</w:t>
      </w:r>
      <w:r w:rsidR="00D94411" w:rsidRPr="003A2F86">
        <w:rPr>
          <w:rFonts w:ascii="Arial" w:eastAsia="Times New Roman" w:hAnsi="Arial" w:cs="Arial"/>
          <w:highlight w:val="lightGray"/>
        </w:rPr>
        <w:t>m</w:t>
      </w:r>
      <w:r w:rsidRPr="003A2F86">
        <w:rPr>
          <w:rFonts w:ascii="Arial" w:eastAsia="Times New Roman" w:hAnsi="Arial" w:cs="Arial"/>
          <w:highlight w:val="lightGray"/>
        </w:rPr>
        <w:t xml:space="preserve"> korisni</w:t>
      </w:r>
      <w:r w:rsidR="00D94411" w:rsidRPr="003A2F86">
        <w:rPr>
          <w:rFonts w:ascii="Arial" w:eastAsia="Times New Roman" w:hAnsi="Arial" w:cs="Arial"/>
          <w:highlight w:val="lightGray"/>
        </w:rPr>
        <w:t>cima</w:t>
      </w:r>
      <w:r w:rsidRPr="003A2F86">
        <w:rPr>
          <w:rFonts w:ascii="Arial" w:eastAsia="Times New Roman" w:hAnsi="Arial" w:cs="Arial"/>
          <w:highlight w:val="lightGray"/>
        </w:rPr>
        <w:t>.</w:t>
      </w:r>
    </w:p>
    <w:p w14:paraId="5B03DA33" w14:textId="77777777" w:rsidR="00B05CD2" w:rsidRPr="003A2F86" w:rsidRDefault="00B05CD2" w:rsidP="00B05CD2">
      <w:pPr>
        <w:spacing w:after="0" w:line="240" w:lineRule="auto"/>
        <w:jc w:val="both"/>
        <w:rPr>
          <w:rFonts w:ascii="Arial" w:eastAsia="Times New Roman" w:hAnsi="Arial" w:cs="Arial"/>
          <w:iCs/>
          <w:lang w:eastAsia="en-US"/>
        </w:rPr>
      </w:pPr>
    </w:p>
    <w:p w14:paraId="3DD6CE57" w14:textId="77777777" w:rsidR="00B05CD2" w:rsidRPr="003A2F86" w:rsidRDefault="00B05CD2" w:rsidP="00B05CD2">
      <w:pPr>
        <w:spacing w:after="0" w:line="240" w:lineRule="auto"/>
        <w:jc w:val="both"/>
        <w:rPr>
          <w:rFonts w:ascii="Arial" w:eastAsia="Times New Roman" w:hAnsi="Arial" w:cs="Arial"/>
          <w:bCs/>
          <w:iCs/>
          <w:lang w:eastAsia="en-US"/>
        </w:rPr>
        <w:sectPr w:rsidR="00B05CD2" w:rsidRPr="003A2F86" w:rsidSect="00673312">
          <w:pgSz w:w="16838" w:h="11906" w:orient="landscape" w:code="9"/>
          <w:pgMar w:top="1134" w:right="1134" w:bottom="1418" w:left="1134" w:header="720" w:footer="720" w:gutter="0"/>
          <w:pgNumType w:chapStyle="1"/>
          <w:cols w:space="720"/>
          <w:titlePg/>
          <w:docGrid w:linePitch="272"/>
        </w:sectPr>
      </w:pPr>
      <w:r w:rsidRPr="003A2F86">
        <w:rPr>
          <w:rFonts w:ascii="Arial" w:eastAsia="Times New Roman" w:hAnsi="Arial" w:cs="Arial"/>
          <w:bCs/>
          <w:iCs/>
          <w:lang w:eastAsia="en-US"/>
        </w:rPr>
        <w:br w:type="page"/>
      </w:r>
    </w:p>
    <w:p w14:paraId="74B6BB17" w14:textId="0BBCA919" w:rsidR="00B05CD2" w:rsidRPr="003A2F86" w:rsidRDefault="00B05CD2" w:rsidP="00B05CD2">
      <w:pPr>
        <w:pStyle w:val="Opisslike"/>
        <w:keepNext/>
        <w:jc w:val="both"/>
        <w:rPr>
          <w:rFonts w:ascii="Arial" w:hAnsi="Arial" w:cs="Arial"/>
          <w:iCs/>
        </w:rPr>
      </w:pPr>
      <w:bookmarkStart w:id="63" w:name="_Toc207706982"/>
      <w:bookmarkStart w:id="64" w:name="_Hlk17961286"/>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18</w:t>
      </w:r>
      <w:r w:rsidRPr="003A2F86">
        <w:rPr>
          <w:color w:val="FF0000"/>
        </w:rPr>
        <w:fldChar w:fldCharType="end"/>
      </w:r>
      <w:r w:rsidRPr="003A2F86">
        <w:t xml:space="preserve">.: </w:t>
      </w:r>
      <w:r w:rsidRPr="003A2F86">
        <w:rPr>
          <w:rFonts w:ascii="Arial" w:hAnsi="Arial" w:cs="Arial"/>
          <w:iCs/>
        </w:rPr>
        <w:t xml:space="preserve">Pregled izvršenih rashoda i izdataka za </w:t>
      </w:r>
      <w:r w:rsidR="00901C13">
        <w:rPr>
          <w:rFonts w:ascii="Arial" w:hAnsi="Arial" w:cs="Arial"/>
          <w:iCs/>
        </w:rPr>
        <w:t>1-6/</w:t>
      </w:r>
      <w:r w:rsidR="00AD1CE4" w:rsidRPr="003A2F86">
        <w:rPr>
          <w:rFonts w:ascii="Arial" w:hAnsi="Arial" w:cs="Arial"/>
          <w:iCs/>
        </w:rPr>
        <w:t>202</w:t>
      </w:r>
      <w:r w:rsidR="00901C13">
        <w:rPr>
          <w:rFonts w:ascii="Arial" w:hAnsi="Arial" w:cs="Arial"/>
          <w:iCs/>
        </w:rPr>
        <w:t>5</w:t>
      </w:r>
      <w:r w:rsidRPr="003A2F86">
        <w:rPr>
          <w:rFonts w:ascii="Arial" w:hAnsi="Arial" w:cs="Arial"/>
          <w:iCs/>
        </w:rPr>
        <w:t xml:space="preserve">. te usporedba s izvršenjem za </w:t>
      </w:r>
      <w:r w:rsidR="00901C13">
        <w:rPr>
          <w:rFonts w:ascii="Arial" w:hAnsi="Arial" w:cs="Arial"/>
          <w:iCs/>
        </w:rPr>
        <w:t>1-6/</w:t>
      </w:r>
      <w:r w:rsidRPr="003A2F86">
        <w:rPr>
          <w:rFonts w:ascii="Arial" w:hAnsi="Arial" w:cs="Arial"/>
          <w:iCs/>
        </w:rPr>
        <w:t>202</w:t>
      </w:r>
      <w:r w:rsidR="00901C13">
        <w:rPr>
          <w:rFonts w:ascii="Arial" w:hAnsi="Arial" w:cs="Arial"/>
          <w:iCs/>
        </w:rPr>
        <w:t>4</w:t>
      </w:r>
      <w:r w:rsidRPr="003A2F86">
        <w:rPr>
          <w:rFonts w:ascii="Arial" w:hAnsi="Arial" w:cs="Arial"/>
          <w:iCs/>
        </w:rPr>
        <w:t>. (razina 22 i razina 23) i planom za 202</w:t>
      </w:r>
      <w:r w:rsidR="00901C13">
        <w:rPr>
          <w:rFonts w:ascii="Arial" w:hAnsi="Arial" w:cs="Arial"/>
          <w:iCs/>
        </w:rPr>
        <w:t>5</w:t>
      </w:r>
      <w:r w:rsidRPr="003A2F86">
        <w:rPr>
          <w:rFonts w:ascii="Arial" w:hAnsi="Arial" w:cs="Arial"/>
          <w:iCs/>
        </w:rPr>
        <w:t>. (€)</w:t>
      </w:r>
      <w:bookmarkEnd w:id="63"/>
    </w:p>
    <w:p w14:paraId="2134593E" w14:textId="5D697A0C" w:rsidR="00B05CD2" w:rsidRPr="003A2F86" w:rsidRDefault="00901C13" w:rsidP="00901C13">
      <w:pPr>
        <w:jc w:val="center"/>
        <w:rPr>
          <w:lang w:eastAsia="en-US"/>
        </w:rPr>
      </w:pPr>
      <w:r w:rsidRPr="00901C13">
        <w:rPr>
          <w:noProof/>
        </w:rPr>
        <w:drawing>
          <wp:inline distT="0" distB="0" distL="0" distR="0" wp14:anchorId="434D94EF" wp14:editId="22337B46">
            <wp:extent cx="9251950" cy="5495290"/>
            <wp:effectExtent l="0" t="0" r="6350" b="0"/>
            <wp:docPr id="1702166861"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51950" cy="5495290"/>
                    </a:xfrm>
                    <a:prstGeom prst="rect">
                      <a:avLst/>
                    </a:prstGeom>
                    <a:noFill/>
                    <a:ln>
                      <a:noFill/>
                    </a:ln>
                  </pic:spPr>
                </pic:pic>
              </a:graphicData>
            </a:graphic>
          </wp:inline>
        </w:drawing>
      </w:r>
    </w:p>
    <w:bookmarkEnd w:id="64"/>
    <w:p w14:paraId="70506AF9" w14:textId="5D5EF3EA" w:rsidR="00B05CD2" w:rsidRPr="003A2F86" w:rsidRDefault="00B05CD2" w:rsidP="00B05CD2">
      <w:pPr>
        <w:spacing w:after="0" w:line="240" w:lineRule="auto"/>
        <w:jc w:val="center"/>
        <w:rPr>
          <w:noProof/>
        </w:rPr>
      </w:pPr>
    </w:p>
    <w:p w14:paraId="4BC47D6D" w14:textId="77777777" w:rsidR="007D0EDE" w:rsidRPr="003A2F86" w:rsidRDefault="007D0EDE" w:rsidP="00B05CD2">
      <w:pPr>
        <w:spacing w:after="0" w:line="240" w:lineRule="auto"/>
        <w:jc w:val="center"/>
        <w:rPr>
          <w:noProof/>
        </w:rPr>
      </w:pPr>
    </w:p>
    <w:p w14:paraId="677F2820" w14:textId="77777777" w:rsidR="007D0EDE" w:rsidRPr="003A2F86" w:rsidRDefault="007D0EDE" w:rsidP="00B05CD2">
      <w:pPr>
        <w:spacing w:after="0" w:line="240" w:lineRule="auto"/>
        <w:jc w:val="center"/>
        <w:rPr>
          <w:noProof/>
        </w:rPr>
      </w:pPr>
    </w:p>
    <w:p w14:paraId="5824CF49" w14:textId="5A40E928" w:rsidR="00B05CD2" w:rsidRPr="003A2F86" w:rsidRDefault="00901C13" w:rsidP="00B05CD2">
      <w:pPr>
        <w:spacing w:after="0" w:line="240" w:lineRule="auto"/>
        <w:jc w:val="center"/>
        <w:rPr>
          <w:noProof/>
        </w:rPr>
      </w:pPr>
      <w:r w:rsidRPr="00901C13">
        <w:rPr>
          <w:noProof/>
        </w:rPr>
        <w:drawing>
          <wp:inline distT="0" distB="0" distL="0" distR="0" wp14:anchorId="142099FF" wp14:editId="6415DFF7">
            <wp:extent cx="9251950" cy="3923030"/>
            <wp:effectExtent l="0" t="0" r="6350" b="1270"/>
            <wp:docPr id="435628808"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51950" cy="3923030"/>
                    </a:xfrm>
                    <a:prstGeom prst="rect">
                      <a:avLst/>
                    </a:prstGeom>
                    <a:noFill/>
                    <a:ln>
                      <a:noFill/>
                    </a:ln>
                  </pic:spPr>
                </pic:pic>
              </a:graphicData>
            </a:graphic>
          </wp:inline>
        </w:drawing>
      </w:r>
    </w:p>
    <w:p w14:paraId="1731150A" w14:textId="77777777" w:rsidR="00B05CD2" w:rsidRPr="003A2F86" w:rsidRDefault="00B05CD2" w:rsidP="00B05CD2">
      <w:pPr>
        <w:spacing w:after="0" w:line="240" w:lineRule="auto"/>
        <w:jc w:val="center"/>
      </w:pPr>
    </w:p>
    <w:p w14:paraId="5100DB3A" w14:textId="77777777" w:rsidR="00B05CD2" w:rsidRPr="003A2F86" w:rsidRDefault="00B05CD2" w:rsidP="00B05CD2">
      <w:pPr>
        <w:rPr>
          <w:rFonts w:ascii="Arial" w:eastAsia="Times New Roman" w:hAnsi="Arial" w:cs="Arial"/>
          <w:bCs/>
          <w:iCs/>
          <w:lang w:eastAsia="en-US"/>
        </w:rPr>
      </w:pPr>
      <w:r w:rsidRPr="003A2F86">
        <w:rPr>
          <w:rFonts w:ascii="Arial" w:eastAsia="Times New Roman" w:hAnsi="Arial" w:cs="Arial"/>
          <w:bCs/>
          <w:iCs/>
          <w:lang w:eastAsia="en-US"/>
        </w:rPr>
        <w:br w:type="page"/>
      </w:r>
    </w:p>
    <w:p w14:paraId="28E71B8F" w14:textId="06C139BD" w:rsidR="00B05CD2" w:rsidRPr="003A2F86" w:rsidRDefault="00B05CD2" w:rsidP="00B05CD2">
      <w:pPr>
        <w:spacing w:after="0" w:line="240" w:lineRule="auto"/>
        <w:ind w:firstLine="709"/>
        <w:jc w:val="both"/>
        <w:rPr>
          <w:rFonts w:ascii="Arial" w:eastAsia="Calibri" w:hAnsi="Arial" w:cs="Arial"/>
          <w:lang w:eastAsia="en-US"/>
        </w:rPr>
      </w:pPr>
      <w:r w:rsidRPr="003A2F86">
        <w:rPr>
          <w:rFonts w:ascii="Arial" w:eastAsia="Calibri" w:hAnsi="Arial" w:cs="Arial"/>
          <w:lang w:eastAsia="en-US"/>
        </w:rPr>
        <w:lastRenderedPageBreak/>
        <w:t>Za 202</w:t>
      </w:r>
      <w:r w:rsidR="00901C13">
        <w:rPr>
          <w:rFonts w:ascii="Arial" w:eastAsia="Calibri" w:hAnsi="Arial" w:cs="Arial"/>
          <w:lang w:eastAsia="en-US"/>
        </w:rPr>
        <w:t>5</w:t>
      </w:r>
      <w:r w:rsidRPr="003A2F86">
        <w:rPr>
          <w:rFonts w:ascii="Arial" w:eastAsia="Calibri" w:hAnsi="Arial" w:cs="Arial"/>
          <w:lang w:eastAsia="en-US"/>
        </w:rPr>
        <w:t xml:space="preserve">. godinu planirani rashodi proračuna iznose </w:t>
      </w:r>
      <w:r w:rsidR="004C17CF">
        <w:rPr>
          <w:rFonts w:ascii="Arial" w:eastAsia="Calibri" w:hAnsi="Arial" w:cs="Arial"/>
          <w:lang w:eastAsia="en-US"/>
        </w:rPr>
        <w:t>38.616.558</w:t>
      </w:r>
      <w:r w:rsidRPr="003A2F86">
        <w:rPr>
          <w:rFonts w:ascii="Arial" w:eastAsia="Calibri" w:hAnsi="Arial" w:cs="Arial"/>
          <w:lang w:eastAsia="en-US"/>
        </w:rPr>
        <w:t xml:space="preserve"> €, izdaci iznose </w:t>
      </w:r>
      <w:r w:rsidR="007D0EDE" w:rsidRPr="003A2F86">
        <w:rPr>
          <w:rFonts w:ascii="Arial" w:eastAsia="Calibri" w:hAnsi="Arial" w:cs="Arial"/>
          <w:lang w:eastAsia="en-US"/>
        </w:rPr>
        <w:t>1.</w:t>
      </w:r>
      <w:r w:rsidR="004C17CF">
        <w:rPr>
          <w:rFonts w:ascii="Arial" w:eastAsia="Calibri" w:hAnsi="Arial" w:cs="Arial"/>
          <w:lang w:eastAsia="en-US"/>
        </w:rPr>
        <w:t>363.442</w:t>
      </w:r>
      <w:r w:rsidRPr="003A2F86">
        <w:rPr>
          <w:rFonts w:ascii="Arial" w:eastAsia="Calibri" w:hAnsi="Arial" w:cs="Arial"/>
          <w:lang w:eastAsia="en-US"/>
        </w:rPr>
        <w:t xml:space="preserve"> € što sveukupno čini </w:t>
      </w:r>
      <w:r w:rsidR="004C17CF">
        <w:rPr>
          <w:rFonts w:ascii="Arial" w:eastAsia="Calibri" w:hAnsi="Arial" w:cs="Arial"/>
          <w:lang w:eastAsia="en-US"/>
        </w:rPr>
        <w:t>39.980</w:t>
      </w:r>
      <w:r w:rsidR="007722F4" w:rsidRPr="003A2F86">
        <w:rPr>
          <w:rFonts w:ascii="Arial" w:eastAsia="Calibri" w:hAnsi="Arial" w:cs="Arial"/>
          <w:lang w:eastAsia="en-US"/>
        </w:rPr>
        <w:t>.000</w:t>
      </w:r>
      <w:r w:rsidR="00511B5B" w:rsidRPr="003A2F86">
        <w:rPr>
          <w:rFonts w:ascii="Arial" w:eastAsia="Calibri" w:hAnsi="Arial" w:cs="Arial"/>
          <w:lang w:eastAsia="en-US"/>
        </w:rPr>
        <w:t xml:space="preserve"> </w:t>
      </w:r>
      <w:r w:rsidRPr="003A2F86">
        <w:rPr>
          <w:rFonts w:ascii="Arial" w:eastAsia="Calibri" w:hAnsi="Arial" w:cs="Arial"/>
          <w:lang w:eastAsia="en-US"/>
        </w:rPr>
        <w:t>€.</w:t>
      </w:r>
    </w:p>
    <w:p w14:paraId="45190E79" w14:textId="77777777" w:rsidR="00B05CD2" w:rsidRPr="003A2F86" w:rsidRDefault="00B05CD2" w:rsidP="00B05CD2">
      <w:pPr>
        <w:spacing w:after="0" w:line="240" w:lineRule="auto"/>
        <w:jc w:val="both"/>
        <w:rPr>
          <w:rFonts w:ascii="Arial" w:eastAsia="Calibri" w:hAnsi="Arial" w:cs="Arial"/>
          <w:lang w:eastAsia="en-US"/>
        </w:rPr>
      </w:pPr>
    </w:p>
    <w:p w14:paraId="6D4D0368" w14:textId="678EF41B" w:rsidR="00B05CD2" w:rsidRPr="003A2F86" w:rsidRDefault="00B05CD2" w:rsidP="00B05CD2">
      <w:pPr>
        <w:spacing w:after="0" w:line="240" w:lineRule="auto"/>
        <w:jc w:val="both"/>
        <w:rPr>
          <w:rFonts w:ascii="Arial" w:eastAsia="Calibri" w:hAnsi="Arial" w:cs="Arial"/>
          <w:lang w:eastAsia="en-US"/>
        </w:rPr>
      </w:pPr>
      <w:bookmarkStart w:id="65" w:name="_Hlk145934652"/>
      <w:r w:rsidRPr="003A2F86">
        <w:rPr>
          <w:rFonts w:ascii="Arial" w:eastAsia="Calibri" w:hAnsi="Arial" w:cs="Arial"/>
          <w:lang w:eastAsia="en-US"/>
        </w:rPr>
        <w:tab/>
        <w:t xml:space="preserve">Vrijednosno najznačajniji je udjel </w:t>
      </w:r>
      <w:r w:rsidR="002F41EC">
        <w:rPr>
          <w:rFonts w:ascii="Arial" w:eastAsia="Calibri" w:hAnsi="Arial" w:cs="Arial"/>
          <w:lang w:eastAsia="en-US"/>
        </w:rPr>
        <w:t>r</w:t>
      </w:r>
      <w:r w:rsidR="002F41EC" w:rsidRPr="003A2F86">
        <w:rPr>
          <w:rFonts w:ascii="Arial" w:eastAsia="Calibri" w:hAnsi="Arial" w:cs="Arial"/>
          <w:lang w:eastAsia="en-US"/>
        </w:rPr>
        <w:t>ashod</w:t>
      </w:r>
      <w:r w:rsidR="002F41EC">
        <w:rPr>
          <w:rFonts w:ascii="Arial" w:eastAsia="Calibri" w:hAnsi="Arial" w:cs="Arial"/>
          <w:lang w:eastAsia="en-US"/>
        </w:rPr>
        <w:t>a</w:t>
      </w:r>
      <w:r w:rsidR="002F41EC" w:rsidRPr="003A2F86">
        <w:rPr>
          <w:rFonts w:ascii="Arial" w:eastAsia="Calibri" w:hAnsi="Arial" w:cs="Arial"/>
          <w:lang w:eastAsia="en-US"/>
        </w:rPr>
        <w:t xml:space="preserve"> za nabavu nefinancijske imovine (4) </w:t>
      </w:r>
      <w:r w:rsidR="002F41EC">
        <w:rPr>
          <w:rFonts w:ascii="Arial" w:eastAsia="Calibri" w:hAnsi="Arial" w:cs="Arial"/>
          <w:lang w:eastAsia="en-US"/>
        </w:rPr>
        <w:t>u iznosu 3.443.649,35</w:t>
      </w:r>
      <w:r w:rsidR="002F41EC" w:rsidRPr="003A2F86">
        <w:rPr>
          <w:rFonts w:ascii="Arial" w:eastAsia="Calibri" w:hAnsi="Arial" w:cs="Arial"/>
          <w:lang w:eastAsia="en-US"/>
        </w:rPr>
        <w:t xml:space="preserve"> € ili </w:t>
      </w:r>
      <w:r w:rsidR="002F41EC">
        <w:rPr>
          <w:rFonts w:ascii="Arial" w:eastAsia="Calibri" w:hAnsi="Arial" w:cs="Arial"/>
          <w:lang w:eastAsia="en-US"/>
        </w:rPr>
        <w:t>33</w:t>
      </w:r>
      <w:r w:rsidR="002F41EC" w:rsidRPr="003A2F86">
        <w:rPr>
          <w:rFonts w:ascii="Arial" w:eastAsia="Calibri" w:hAnsi="Arial" w:cs="Arial"/>
          <w:lang w:eastAsia="en-US"/>
        </w:rPr>
        <w:t>,3% ukupnih rashoda i izdataka. Potom slijede</w:t>
      </w:r>
      <w:r w:rsidR="002F41EC">
        <w:rPr>
          <w:rFonts w:ascii="Arial" w:eastAsia="Calibri" w:hAnsi="Arial" w:cs="Arial"/>
          <w:lang w:eastAsia="en-US"/>
        </w:rPr>
        <w:t xml:space="preserve"> r</w:t>
      </w:r>
      <w:r w:rsidR="00941AF7" w:rsidRPr="003A2F86">
        <w:rPr>
          <w:rFonts w:ascii="Arial" w:eastAsia="Calibri" w:hAnsi="Arial" w:cs="Arial"/>
          <w:lang w:eastAsia="en-US"/>
        </w:rPr>
        <w:t>ashod</w:t>
      </w:r>
      <w:r w:rsidR="002F41EC">
        <w:rPr>
          <w:rFonts w:ascii="Arial" w:eastAsia="Calibri" w:hAnsi="Arial" w:cs="Arial"/>
          <w:lang w:eastAsia="en-US"/>
        </w:rPr>
        <w:t>i</w:t>
      </w:r>
      <w:r w:rsidR="00941AF7" w:rsidRPr="003A2F86">
        <w:rPr>
          <w:rFonts w:ascii="Arial" w:eastAsia="Calibri" w:hAnsi="Arial" w:cs="Arial"/>
          <w:lang w:eastAsia="en-US"/>
        </w:rPr>
        <w:t xml:space="preserve"> za zaposlene (31)</w:t>
      </w:r>
      <w:r w:rsidR="007A3D74" w:rsidRPr="003A2F86">
        <w:rPr>
          <w:rFonts w:ascii="Arial" w:eastAsia="Calibri" w:hAnsi="Arial" w:cs="Arial"/>
          <w:lang w:eastAsia="en-US"/>
        </w:rPr>
        <w:t xml:space="preserve"> u iznosu </w:t>
      </w:r>
      <w:r w:rsidR="00941AF7">
        <w:rPr>
          <w:rFonts w:ascii="Arial" w:eastAsia="Calibri" w:hAnsi="Arial" w:cs="Arial"/>
          <w:lang w:eastAsia="en-US"/>
        </w:rPr>
        <w:t>2.811.493,95</w:t>
      </w:r>
      <w:r w:rsidR="007A3D74" w:rsidRPr="003A2F86">
        <w:rPr>
          <w:rFonts w:ascii="Arial" w:eastAsia="Calibri" w:hAnsi="Arial" w:cs="Arial"/>
          <w:lang w:eastAsia="en-US"/>
        </w:rPr>
        <w:t xml:space="preserve"> € ili </w:t>
      </w:r>
      <w:r w:rsidR="00941AF7">
        <w:rPr>
          <w:rFonts w:ascii="Arial" w:eastAsia="Calibri" w:hAnsi="Arial" w:cs="Arial"/>
          <w:lang w:eastAsia="en-US"/>
        </w:rPr>
        <w:t>27,2</w:t>
      </w:r>
      <w:r w:rsidR="007A3D74" w:rsidRPr="003A2F86">
        <w:rPr>
          <w:rFonts w:ascii="Arial" w:eastAsia="Calibri" w:hAnsi="Arial" w:cs="Arial"/>
          <w:lang w:eastAsia="en-US"/>
        </w:rPr>
        <w:t>%</w:t>
      </w:r>
      <w:r w:rsidR="002F41EC">
        <w:rPr>
          <w:rFonts w:ascii="Arial" w:eastAsia="Calibri" w:hAnsi="Arial" w:cs="Arial"/>
          <w:lang w:eastAsia="en-US"/>
        </w:rPr>
        <w:t xml:space="preserve">, </w:t>
      </w:r>
      <w:r w:rsidR="00941AF7" w:rsidRPr="003A2F86">
        <w:rPr>
          <w:rFonts w:ascii="Arial" w:eastAsia="Calibri" w:hAnsi="Arial" w:cs="Arial"/>
          <w:lang w:eastAsia="en-US"/>
        </w:rPr>
        <w:t>materijalni rashod</w:t>
      </w:r>
      <w:r w:rsidR="002F41EC">
        <w:rPr>
          <w:rFonts w:ascii="Arial" w:eastAsia="Calibri" w:hAnsi="Arial" w:cs="Arial"/>
          <w:lang w:eastAsia="en-US"/>
        </w:rPr>
        <w:t>i</w:t>
      </w:r>
      <w:r w:rsidR="00941AF7" w:rsidRPr="003A2F86">
        <w:rPr>
          <w:rFonts w:ascii="Arial" w:eastAsia="Calibri" w:hAnsi="Arial" w:cs="Arial"/>
          <w:lang w:eastAsia="en-US"/>
        </w:rPr>
        <w:t xml:space="preserve"> (32) </w:t>
      </w:r>
      <w:r w:rsidRPr="003A2F86">
        <w:rPr>
          <w:rFonts w:ascii="Arial" w:eastAsia="Calibri" w:hAnsi="Arial" w:cs="Arial"/>
          <w:lang w:eastAsia="en-US"/>
        </w:rPr>
        <w:t xml:space="preserve">u </w:t>
      </w:r>
      <w:r w:rsidR="007A3D74" w:rsidRPr="003A2F86">
        <w:rPr>
          <w:rFonts w:ascii="Arial" w:eastAsia="Calibri" w:hAnsi="Arial" w:cs="Arial"/>
          <w:lang w:eastAsia="en-US"/>
        </w:rPr>
        <w:t xml:space="preserve">iznosu </w:t>
      </w:r>
      <w:r w:rsidR="002F41EC">
        <w:rPr>
          <w:rFonts w:ascii="Arial" w:eastAsia="Calibri" w:hAnsi="Arial" w:cs="Arial"/>
          <w:lang w:eastAsia="en-US"/>
        </w:rPr>
        <w:t>2.515.521,61</w:t>
      </w:r>
      <w:r w:rsidR="007A3D74" w:rsidRPr="003A2F86">
        <w:rPr>
          <w:rFonts w:ascii="Arial" w:eastAsia="Calibri" w:hAnsi="Arial" w:cs="Arial"/>
          <w:lang w:eastAsia="en-US"/>
        </w:rPr>
        <w:t xml:space="preserve"> € ili </w:t>
      </w:r>
      <w:r w:rsidR="002F41EC">
        <w:rPr>
          <w:rFonts w:ascii="Arial" w:eastAsia="Calibri" w:hAnsi="Arial" w:cs="Arial"/>
          <w:lang w:eastAsia="en-US"/>
        </w:rPr>
        <w:t>24,3</w:t>
      </w:r>
      <w:r w:rsidR="007A3D74" w:rsidRPr="003A2F86">
        <w:rPr>
          <w:rFonts w:ascii="Arial" w:eastAsia="Calibri" w:hAnsi="Arial" w:cs="Arial"/>
          <w:lang w:eastAsia="en-US"/>
        </w:rPr>
        <w:t xml:space="preserve">% </w:t>
      </w:r>
      <w:r w:rsidRPr="003A2F86">
        <w:rPr>
          <w:rFonts w:ascii="Arial" w:eastAsia="Calibri" w:hAnsi="Arial" w:cs="Arial"/>
          <w:lang w:eastAsia="en-US"/>
        </w:rPr>
        <w:t xml:space="preserve">ukupno izvršenih rashoda i izdataka. </w:t>
      </w:r>
      <w:r w:rsidR="002F41EC">
        <w:rPr>
          <w:rFonts w:ascii="Arial" w:eastAsia="Calibri" w:hAnsi="Arial" w:cs="Arial"/>
          <w:lang w:eastAsia="en-US"/>
        </w:rPr>
        <w:t>Ostali rashodi (38) iznose 435.086,74 € ili 4,2%, izdaci za financijsku imovinu i otplate zajmova iznose 380.556,00 € ili 3,7%, naknade građanima i kućanstvima iznose 335.806,94 € ili 3,2%, a subvencije 312.210,80 € ili 3% ukupnih rashoda i izdataka. Svi ostali rashodi iznose 107.562,54 € ili</w:t>
      </w:r>
      <w:r w:rsidR="007722F4" w:rsidRPr="003A2F86">
        <w:rPr>
          <w:rFonts w:ascii="Arial" w:eastAsia="Calibri" w:hAnsi="Arial" w:cs="Arial"/>
          <w:lang w:eastAsia="en-US"/>
        </w:rPr>
        <w:t xml:space="preserve"> </w:t>
      </w:r>
      <w:r w:rsidR="002F49B3" w:rsidRPr="003A2F86">
        <w:rPr>
          <w:rFonts w:ascii="Arial" w:eastAsia="Calibri" w:hAnsi="Arial" w:cs="Arial"/>
          <w:lang w:eastAsia="en-US"/>
        </w:rPr>
        <w:t>1</w:t>
      </w:r>
      <w:r w:rsidR="002F41EC">
        <w:rPr>
          <w:rFonts w:ascii="Arial" w:eastAsia="Calibri" w:hAnsi="Arial" w:cs="Arial"/>
          <w:lang w:eastAsia="en-US"/>
        </w:rPr>
        <w:t>,1</w:t>
      </w:r>
      <w:r w:rsidR="007722F4" w:rsidRPr="003A2F86">
        <w:rPr>
          <w:rFonts w:ascii="Arial" w:eastAsia="Calibri" w:hAnsi="Arial" w:cs="Arial"/>
          <w:lang w:eastAsia="en-US"/>
        </w:rPr>
        <w:t xml:space="preserve">% </w:t>
      </w:r>
      <w:r w:rsidRPr="003A2F86">
        <w:rPr>
          <w:rFonts w:ascii="Arial" w:eastAsia="Calibri" w:hAnsi="Arial" w:cs="Arial"/>
          <w:lang w:eastAsia="en-US"/>
        </w:rPr>
        <w:t xml:space="preserve">ukupnih rashoda i izdataka. </w:t>
      </w:r>
    </w:p>
    <w:p w14:paraId="3E88A99D" w14:textId="77777777" w:rsidR="00B05CD2" w:rsidRPr="003A2F86" w:rsidRDefault="00B05CD2" w:rsidP="00B05CD2">
      <w:pPr>
        <w:spacing w:after="0" w:line="240" w:lineRule="auto"/>
        <w:jc w:val="both"/>
        <w:rPr>
          <w:rFonts w:ascii="Arial" w:eastAsia="Calibri" w:hAnsi="Arial" w:cs="Arial"/>
          <w:lang w:eastAsia="en-US"/>
        </w:rPr>
      </w:pPr>
    </w:p>
    <w:p w14:paraId="1BDFB731" w14:textId="36F3E6E1" w:rsidR="00B05CD2" w:rsidRPr="003A2F86" w:rsidRDefault="00B05CD2" w:rsidP="00B05CD2">
      <w:pPr>
        <w:spacing w:after="0" w:line="240" w:lineRule="auto"/>
        <w:jc w:val="both"/>
        <w:rPr>
          <w:rFonts w:ascii="Arial" w:eastAsia="Calibri" w:hAnsi="Arial" w:cs="Arial"/>
          <w:color w:val="1F497D" w:themeColor="text2"/>
          <w:lang w:eastAsia="en-US"/>
        </w:rPr>
      </w:pPr>
      <w:bookmarkStart w:id="66" w:name="_Hlk166595399"/>
      <w:r w:rsidRPr="003A2F86">
        <w:rPr>
          <w:rFonts w:ascii="Arial" w:eastAsia="Calibri" w:hAnsi="Arial" w:cs="Arial"/>
          <w:color w:val="1F497D" w:themeColor="text2"/>
          <w:lang w:eastAsia="en-US"/>
        </w:rPr>
        <w:tab/>
        <w:t xml:space="preserve">Ukupno rashodi i izdaci Općine iznose </w:t>
      </w:r>
      <w:r w:rsidR="002F41EC">
        <w:rPr>
          <w:rFonts w:ascii="Arial" w:eastAsia="Calibri" w:hAnsi="Arial" w:cs="Arial"/>
          <w:color w:val="1F497D" w:themeColor="text2"/>
          <w:lang w:eastAsia="en-US"/>
        </w:rPr>
        <w:t>7.358.017,81</w:t>
      </w:r>
      <w:r w:rsidRPr="003A2F86">
        <w:rPr>
          <w:rFonts w:ascii="Arial" w:eastAsia="Calibri" w:hAnsi="Arial" w:cs="Arial"/>
          <w:color w:val="1F497D" w:themeColor="text2"/>
          <w:lang w:eastAsia="en-US"/>
        </w:rPr>
        <w:t xml:space="preserve"> € (</w:t>
      </w:r>
      <w:r w:rsidR="00107832">
        <w:rPr>
          <w:rFonts w:ascii="Arial" w:eastAsia="Calibri" w:hAnsi="Arial" w:cs="Arial"/>
          <w:color w:val="1F497D" w:themeColor="text2"/>
          <w:lang w:eastAsia="en-US"/>
        </w:rPr>
        <w:t>71</w:t>
      </w:r>
      <w:r w:rsidR="00397270" w:rsidRPr="003A2F86">
        <w:rPr>
          <w:rFonts w:ascii="Arial" w:eastAsia="Calibri" w:hAnsi="Arial" w:cs="Arial"/>
          <w:color w:val="1F497D" w:themeColor="text2"/>
          <w:lang w:eastAsia="en-US"/>
        </w:rPr>
        <w:t>,</w:t>
      </w:r>
      <w:r w:rsidR="002F49B3" w:rsidRPr="003A2F86">
        <w:rPr>
          <w:rFonts w:ascii="Arial" w:eastAsia="Calibri" w:hAnsi="Arial" w:cs="Arial"/>
          <w:color w:val="1F497D" w:themeColor="text2"/>
          <w:lang w:eastAsia="en-US"/>
        </w:rPr>
        <w:t>1</w:t>
      </w:r>
      <w:r w:rsidRPr="003A2F86">
        <w:rPr>
          <w:rFonts w:ascii="Arial" w:eastAsia="Calibri" w:hAnsi="Arial" w:cs="Arial"/>
          <w:color w:val="1F497D" w:themeColor="text2"/>
          <w:lang w:eastAsia="en-US"/>
        </w:rPr>
        <w:t xml:space="preserve">%) (bez izvršenih prijenosa proračunskim korisnicima putem računa 367 u iznosu </w:t>
      </w:r>
      <w:r w:rsidR="00107832">
        <w:rPr>
          <w:rFonts w:ascii="Arial" w:eastAsia="Calibri" w:hAnsi="Arial" w:cs="Arial"/>
          <w:color w:val="1F497D" w:themeColor="text2"/>
          <w:lang w:eastAsia="en-US"/>
        </w:rPr>
        <w:t>2.280.770,24</w:t>
      </w:r>
      <w:r w:rsidRPr="003A2F86">
        <w:rPr>
          <w:rFonts w:ascii="Arial" w:eastAsia="Calibri" w:hAnsi="Arial" w:cs="Arial"/>
          <w:color w:val="1F497D" w:themeColor="text2"/>
          <w:lang w:eastAsia="en-US"/>
        </w:rPr>
        <w:t xml:space="preserve"> €), a rashodi i izdaci proračunskih korisnika iznose </w:t>
      </w:r>
      <w:r w:rsidR="00107832">
        <w:rPr>
          <w:rFonts w:ascii="Arial" w:eastAsia="Calibri" w:hAnsi="Arial" w:cs="Arial"/>
          <w:color w:val="1F497D" w:themeColor="text2"/>
          <w:lang w:eastAsia="en-US"/>
        </w:rPr>
        <w:t>2.983.870,12</w:t>
      </w:r>
      <w:r w:rsidRPr="003A2F86">
        <w:rPr>
          <w:rFonts w:ascii="Arial" w:eastAsia="Calibri" w:hAnsi="Arial" w:cs="Arial"/>
          <w:color w:val="1F497D" w:themeColor="text2"/>
          <w:lang w:eastAsia="en-US"/>
        </w:rPr>
        <w:t xml:space="preserve"> € (</w:t>
      </w:r>
      <w:r w:rsidR="00107832">
        <w:rPr>
          <w:rFonts w:ascii="Arial" w:eastAsia="Calibri" w:hAnsi="Arial" w:cs="Arial"/>
          <w:color w:val="1F497D" w:themeColor="text2"/>
          <w:lang w:eastAsia="en-US"/>
        </w:rPr>
        <w:t>28</w:t>
      </w:r>
      <w:r w:rsidR="00397270" w:rsidRPr="003A2F86">
        <w:rPr>
          <w:rFonts w:ascii="Arial" w:eastAsia="Calibri" w:hAnsi="Arial" w:cs="Arial"/>
          <w:color w:val="1F497D" w:themeColor="text2"/>
          <w:lang w:eastAsia="en-US"/>
        </w:rPr>
        <w:t>,</w:t>
      </w:r>
      <w:r w:rsidR="002F49B3" w:rsidRPr="003A2F86">
        <w:rPr>
          <w:rFonts w:ascii="Arial" w:eastAsia="Calibri" w:hAnsi="Arial" w:cs="Arial"/>
          <w:color w:val="1F497D" w:themeColor="text2"/>
          <w:lang w:eastAsia="en-US"/>
        </w:rPr>
        <w:t>9</w:t>
      </w:r>
      <w:r w:rsidRPr="003A2F86">
        <w:rPr>
          <w:rFonts w:ascii="Arial" w:eastAsia="Calibri" w:hAnsi="Arial" w:cs="Arial"/>
          <w:color w:val="1F497D" w:themeColor="text2"/>
          <w:lang w:eastAsia="en-US"/>
        </w:rPr>
        <w:t xml:space="preserve">%) (neovisno o izvoru financiranja) što ukupno iznosi </w:t>
      </w:r>
      <w:r w:rsidR="00107832">
        <w:rPr>
          <w:rFonts w:ascii="Arial" w:eastAsia="Calibri" w:hAnsi="Arial" w:cs="Arial"/>
          <w:color w:val="1F497D" w:themeColor="text2"/>
          <w:lang w:eastAsia="en-US"/>
        </w:rPr>
        <w:t>10.341.887,93</w:t>
      </w:r>
      <w:r w:rsidRPr="003A2F86">
        <w:rPr>
          <w:rFonts w:ascii="Arial" w:eastAsia="Calibri" w:hAnsi="Arial" w:cs="Arial"/>
          <w:color w:val="1F497D" w:themeColor="text2"/>
          <w:lang w:eastAsia="en-US"/>
        </w:rPr>
        <w:t xml:space="preserve"> €.</w:t>
      </w:r>
    </w:p>
    <w:bookmarkEnd w:id="65"/>
    <w:bookmarkEnd w:id="66"/>
    <w:p w14:paraId="70838D64" w14:textId="77777777" w:rsidR="00B05CD2" w:rsidRPr="003A2F86" w:rsidRDefault="00B05CD2" w:rsidP="00B05CD2">
      <w:pPr>
        <w:pStyle w:val="Opisslike"/>
      </w:pPr>
    </w:p>
    <w:p w14:paraId="4E6CF7A8" w14:textId="4BC6FCA4" w:rsidR="00B05CD2" w:rsidRPr="009135F4" w:rsidRDefault="00B05CD2" w:rsidP="00B05CD2">
      <w:pPr>
        <w:spacing w:after="0" w:line="240" w:lineRule="auto"/>
        <w:ind w:firstLine="709"/>
        <w:jc w:val="both"/>
        <w:rPr>
          <w:rFonts w:ascii="Arial" w:hAnsi="Arial" w:cs="Arial"/>
          <w:iCs/>
        </w:rPr>
      </w:pPr>
      <w:bookmarkStart w:id="67" w:name="_Hlk145934848"/>
      <w:r w:rsidRPr="009135F4">
        <w:rPr>
          <w:rFonts w:ascii="Arial" w:eastAsia="Calibri" w:hAnsi="Arial" w:cs="Arial"/>
          <w:lang w:eastAsia="en-US"/>
        </w:rPr>
        <w:t xml:space="preserve">Ukupno rashodi (rashodi poslovanja i rashodi za nabavu nefinancijske imovine) i izdaci za financijsku imovinu i otplate zajmova </w:t>
      </w:r>
      <w:r w:rsidR="008D2EFE" w:rsidRPr="009135F4">
        <w:rPr>
          <w:rFonts w:ascii="Arial" w:eastAsia="Calibri" w:hAnsi="Arial" w:cs="Arial"/>
          <w:lang w:eastAsia="en-US"/>
        </w:rPr>
        <w:t>veći</w:t>
      </w:r>
      <w:r w:rsidRPr="009135F4">
        <w:rPr>
          <w:rFonts w:ascii="Arial" w:eastAsia="Calibri" w:hAnsi="Arial" w:cs="Arial"/>
          <w:lang w:eastAsia="en-US"/>
        </w:rPr>
        <w:t xml:space="preserve"> su za </w:t>
      </w:r>
      <w:r w:rsidR="008C717C" w:rsidRPr="009135F4">
        <w:rPr>
          <w:rFonts w:ascii="Arial" w:eastAsia="Calibri" w:hAnsi="Arial" w:cs="Arial"/>
          <w:lang w:eastAsia="en-US"/>
        </w:rPr>
        <w:t>3.608.930,58</w:t>
      </w:r>
      <w:r w:rsidRPr="009135F4">
        <w:rPr>
          <w:rFonts w:ascii="Arial" w:eastAsia="Calibri" w:hAnsi="Arial" w:cs="Arial"/>
          <w:lang w:eastAsia="en-US"/>
        </w:rPr>
        <w:t xml:space="preserve"> € ili </w:t>
      </w:r>
      <w:r w:rsidR="008C717C" w:rsidRPr="009135F4">
        <w:rPr>
          <w:rFonts w:ascii="Arial" w:eastAsia="Calibri" w:hAnsi="Arial" w:cs="Arial"/>
          <w:lang w:eastAsia="en-US"/>
        </w:rPr>
        <w:t>53,6</w:t>
      </w:r>
      <w:r w:rsidRPr="009135F4">
        <w:rPr>
          <w:rFonts w:ascii="Arial" w:eastAsia="Calibri" w:hAnsi="Arial" w:cs="Arial"/>
          <w:lang w:eastAsia="en-US"/>
        </w:rPr>
        <w:t xml:space="preserve">% </w:t>
      </w:r>
      <w:r w:rsidRPr="009135F4">
        <w:rPr>
          <w:rFonts w:ascii="Arial" w:eastAsia="Calibri" w:hAnsi="Arial" w:cs="Arial"/>
          <w:iCs/>
          <w:lang w:eastAsia="en-US"/>
        </w:rPr>
        <w:t xml:space="preserve">u odnosu na prethodnu godinu. </w:t>
      </w:r>
      <w:r w:rsidRPr="009135F4">
        <w:rPr>
          <w:rFonts w:ascii="Arial" w:hAnsi="Arial" w:cs="Arial"/>
          <w:iCs/>
        </w:rPr>
        <w:t>Rashodi i izdaci uključuju rashode Općine i četiri proračunska korisnika.</w:t>
      </w:r>
      <w:r w:rsidR="008C717C" w:rsidRPr="009135F4">
        <w:rPr>
          <w:rFonts w:ascii="Arial" w:hAnsi="Arial" w:cs="Arial"/>
          <w:iCs/>
        </w:rPr>
        <w:t xml:space="preserve"> </w:t>
      </w:r>
    </w:p>
    <w:p w14:paraId="36B7494D" w14:textId="77777777" w:rsidR="00197F84" w:rsidRPr="009135F4" w:rsidRDefault="00197F84" w:rsidP="00B05CD2">
      <w:pPr>
        <w:spacing w:after="0" w:line="240" w:lineRule="auto"/>
        <w:ind w:firstLine="709"/>
        <w:jc w:val="both"/>
        <w:rPr>
          <w:rFonts w:ascii="Arial" w:eastAsia="Calibri" w:hAnsi="Arial" w:cs="Arial"/>
          <w:iCs/>
          <w:lang w:eastAsia="en-US"/>
        </w:rPr>
      </w:pPr>
    </w:p>
    <w:bookmarkEnd w:id="67"/>
    <w:p w14:paraId="01FC91EE" w14:textId="5EF96D3F" w:rsidR="00B05CD2" w:rsidRPr="003A2F86" w:rsidRDefault="00B05CD2" w:rsidP="00B05CD2">
      <w:pPr>
        <w:spacing w:after="0" w:line="240" w:lineRule="auto"/>
        <w:ind w:firstLine="709"/>
        <w:jc w:val="both"/>
        <w:rPr>
          <w:rFonts w:ascii="Arial" w:eastAsia="Times New Roman" w:hAnsi="Arial" w:cs="Arial"/>
          <w:iCs/>
        </w:rPr>
      </w:pPr>
      <w:r w:rsidRPr="003A2F86">
        <w:rPr>
          <w:rFonts w:ascii="Arial" w:eastAsia="Times New Roman" w:hAnsi="Arial" w:cs="Arial"/>
          <w:iCs/>
        </w:rPr>
        <w:t xml:space="preserve">U nastavku se daje tablica rashoda i izdataka na razini skupine u kojoj se prikazuju rashodi Općine (rashodi koji se odnose samo na Općinu i nisu uključeni rashodi koje je Općina iz svojih sredstava doznačila svojim proračunskim korisnicima za podmirivanje rashoda, </w:t>
      </w:r>
      <w:r w:rsidRPr="003A2F86">
        <w:rPr>
          <w:rFonts w:ascii="Arial" w:eastAsia="Times New Roman" w:hAnsi="Arial" w:cs="Arial"/>
          <w:b/>
          <w:bCs/>
          <w:iCs/>
        </w:rPr>
        <w:t>stupac 3</w:t>
      </w:r>
      <w:r w:rsidRPr="003A2F86">
        <w:rPr>
          <w:rFonts w:ascii="Arial" w:eastAsia="Times New Roman" w:hAnsi="Arial" w:cs="Arial"/>
          <w:iCs/>
        </w:rPr>
        <w:t>), rashodi koji se odnose na četiri proračunska korisnika (</w:t>
      </w:r>
      <w:r w:rsidRPr="003A2F86">
        <w:rPr>
          <w:rFonts w:ascii="Arial" w:eastAsia="Times New Roman" w:hAnsi="Arial" w:cs="Arial"/>
          <w:b/>
          <w:bCs/>
          <w:iCs/>
        </w:rPr>
        <w:t>stupac 4</w:t>
      </w:r>
      <w:r w:rsidRPr="003A2F86">
        <w:rPr>
          <w:rFonts w:ascii="Arial" w:eastAsia="Times New Roman" w:hAnsi="Arial" w:cs="Arial"/>
          <w:iCs/>
        </w:rPr>
        <w:t xml:space="preserve">), te zbirni rashodi Proračuna Općine Konavle (razina 23, uključuje rashode Općine i proračunskih korisnika). Ispod tablice daje se usporedni prikaz zbirnih podataka sveukupno izvršenih rashoda i izdataka </w:t>
      </w:r>
      <w:r w:rsidR="002A2F06" w:rsidRPr="003A2F86">
        <w:rPr>
          <w:rFonts w:ascii="Arial" w:eastAsia="Times New Roman" w:hAnsi="Arial" w:cs="Arial"/>
          <w:iCs/>
        </w:rPr>
        <w:t xml:space="preserve">tijekom </w:t>
      </w:r>
      <w:r w:rsidRPr="003A2F86">
        <w:rPr>
          <w:rFonts w:ascii="Arial" w:eastAsia="Times New Roman" w:hAnsi="Arial" w:cs="Arial"/>
          <w:iCs/>
        </w:rPr>
        <w:t>2019., 2021.</w:t>
      </w:r>
      <w:r w:rsidR="003866F4" w:rsidRPr="003A2F86">
        <w:rPr>
          <w:rFonts w:ascii="Arial" w:eastAsia="Times New Roman" w:hAnsi="Arial" w:cs="Arial"/>
          <w:iCs/>
        </w:rPr>
        <w:t>,</w:t>
      </w:r>
      <w:r w:rsidRPr="003A2F86">
        <w:rPr>
          <w:rFonts w:ascii="Arial" w:eastAsia="Times New Roman" w:hAnsi="Arial" w:cs="Arial"/>
          <w:iCs/>
        </w:rPr>
        <w:t xml:space="preserve"> 2022.</w:t>
      </w:r>
      <w:r w:rsidR="009135F4">
        <w:rPr>
          <w:rFonts w:ascii="Arial" w:eastAsia="Times New Roman" w:hAnsi="Arial" w:cs="Arial"/>
          <w:iCs/>
        </w:rPr>
        <w:t>,</w:t>
      </w:r>
      <w:r w:rsidR="003866F4" w:rsidRPr="003A2F86">
        <w:rPr>
          <w:rFonts w:ascii="Arial" w:eastAsia="Times New Roman" w:hAnsi="Arial" w:cs="Arial"/>
          <w:iCs/>
        </w:rPr>
        <w:t xml:space="preserve"> 2023. </w:t>
      </w:r>
      <w:r w:rsidR="009135F4">
        <w:rPr>
          <w:rFonts w:ascii="Arial" w:eastAsia="Times New Roman" w:hAnsi="Arial" w:cs="Arial"/>
          <w:iCs/>
        </w:rPr>
        <w:t xml:space="preserve">i 2024. </w:t>
      </w:r>
      <w:r w:rsidRPr="003A2F86">
        <w:rPr>
          <w:rFonts w:ascii="Arial" w:eastAsia="Times New Roman" w:hAnsi="Arial" w:cs="Arial"/>
          <w:iCs/>
        </w:rPr>
        <w:t>godin</w:t>
      </w:r>
      <w:r w:rsidR="002A2F06" w:rsidRPr="003A2F86">
        <w:rPr>
          <w:rFonts w:ascii="Arial" w:eastAsia="Times New Roman" w:hAnsi="Arial" w:cs="Arial"/>
          <w:iCs/>
        </w:rPr>
        <w:t>e</w:t>
      </w:r>
      <w:r w:rsidRPr="003A2F86">
        <w:rPr>
          <w:rFonts w:ascii="Arial" w:eastAsia="Times New Roman" w:hAnsi="Arial" w:cs="Arial"/>
          <w:iCs/>
        </w:rPr>
        <w:t>.</w:t>
      </w:r>
    </w:p>
    <w:p w14:paraId="3B5E7C84" w14:textId="77777777" w:rsidR="00F904EC" w:rsidRPr="003A2F86" w:rsidRDefault="00F904EC" w:rsidP="00B05CD2">
      <w:pPr>
        <w:spacing w:after="0" w:line="240" w:lineRule="auto"/>
        <w:ind w:firstLine="709"/>
        <w:jc w:val="both"/>
        <w:rPr>
          <w:rFonts w:ascii="Arial" w:eastAsia="Times New Roman" w:hAnsi="Arial" w:cs="Arial"/>
          <w:iCs/>
        </w:rPr>
      </w:pPr>
    </w:p>
    <w:p w14:paraId="517710C8" w14:textId="6D1D5066" w:rsidR="00B05CD2" w:rsidRDefault="00B05CD2" w:rsidP="00B05CD2">
      <w:pPr>
        <w:pStyle w:val="Opisslike"/>
        <w:keepNext/>
        <w:jc w:val="both"/>
        <w:rPr>
          <w:rFonts w:ascii="Arial" w:hAnsi="Arial" w:cs="Arial"/>
          <w:iCs/>
        </w:rPr>
      </w:pPr>
      <w:bookmarkStart w:id="68" w:name="_Toc207706983"/>
      <w:bookmarkStart w:id="69" w:name="_Hlk17961390"/>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19</w:t>
      </w:r>
      <w:r w:rsidRPr="003A2F86">
        <w:rPr>
          <w:color w:val="FF0000"/>
        </w:rPr>
        <w:fldChar w:fldCharType="end"/>
      </w:r>
      <w:r w:rsidRPr="003A2F86">
        <w:rPr>
          <w:color w:val="FF0000"/>
        </w:rPr>
        <w:t xml:space="preserve">.: </w:t>
      </w:r>
      <w:r w:rsidRPr="003A2F86">
        <w:rPr>
          <w:rFonts w:ascii="Arial" w:hAnsi="Arial" w:cs="Arial"/>
          <w:iCs/>
        </w:rPr>
        <w:t>Pregled izvršenih rashoda i izdataka za 202</w:t>
      </w:r>
      <w:r w:rsidR="003866F4" w:rsidRPr="003A2F86">
        <w:rPr>
          <w:rFonts w:ascii="Arial" w:hAnsi="Arial" w:cs="Arial"/>
          <w:iCs/>
        </w:rPr>
        <w:t>4</w:t>
      </w:r>
      <w:r w:rsidRPr="003A2F86">
        <w:rPr>
          <w:rFonts w:ascii="Arial" w:hAnsi="Arial" w:cs="Arial"/>
          <w:iCs/>
        </w:rPr>
        <w:t>. na razini razreda i skupine (€):</w:t>
      </w:r>
      <w:r w:rsidR="00E6317D" w:rsidRPr="003A2F86">
        <w:rPr>
          <w:rFonts w:ascii="Arial" w:hAnsi="Arial" w:cs="Arial"/>
          <w:iCs/>
        </w:rPr>
        <w:t xml:space="preserve"> </w:t>
      </w:r>
      <w:r w:rsidRPr="00386EBA">
        <w:rPr>
          <w:rFonts w:ascii="Arial" w:hAnsi="Arial" w:cs="Arial"/>
          <w:iCs/>
          <w:color w:val="1F497D" w:themeColor="text2"/>
        </w:rPr>
        <w:t>Općin</w:t>
      </w:r>
      <w:r w:rsidR="00014158" w:rsidRPr="00386EBA">
        <w:rPr>
          <w:rFonts w:ascii="Arial" w:hAnsi="Arial" w:cs="Arial"/>
          <w:iCs/>
          <w:color w:val="1F497D" w:themeColor="text2"/>
        </w:rPr>
        <w:t>a</w:t>
      </w:r>
      <w:r w:rsidRPr="003A2F86">
        <w:rPr>
          <w:rFonts w:ascii="Arial" w:hAnsi="Arial" w:cs="Arial"/>
          <w:iCs/>
        </w:rPr>
        <w:t xml:space="preserve">, </w:t>
      </w:r>
      <w:r w:rsidR="00014158" w:rsidRPr="003A2F86">
        <w:rPr>
          <w:rFonts w:ascii="Arial" w:hAnsi="Arial" w:cs="Arial"/>
          <w:iCs/>
        </w:rPr>
        <w:t xml:space="preserve">zbirno </w:t>
      </w:r>
      <w:r w:rsidRPr="00386EBA">
        <w:rPr>
          <w:rFonts w:ascii="Arial" w:hAnsi="Arial" w:cs="Arial"/>
          <w:iCs/>
          <w:color w:val="943634" w:themeColor="accent2" w:themeShade="BF"/>
        </w:rPr>
        <w:t>proračunski korisni</w:t>
      </w:r>
      <w:r w:rsidR="00014158" w:rsidRPr="00386EBA">
        <w:rPr>
          <w:rFonts w:ascii="Arial" w:hAnsi="Arial" w:cs="Arial"/>
          <w:iCs/>
          <w:color w:val="943634" w:themeColor="accent2" w:themeShade="BF"/>
        </w:rPr>
        <w:t>ci</w:t>
      </w:r>
      <w:r w:rsidRPr="00386EBA">
        <w:rPr>
          <w:rFonts w:ascii="Arial" w:hAnsi="Arial" w:cs="Arial"/>
          <w:iCs/>
          <w:color w:val="943634" w:themeColor="accent2" w:themeShade="BF"/>
        </w:rPr>
        <w:t xml:space="preserve"> </w:t>
      </w:r>
      <w:r w:rsidRPr="003A2F86">
        <w:rPr>
          <w:rFonts w:ascii="Arial" w:hAnsi="Arial" w:cs="Arial"/>
          <w:iCs/>
        </w:rPr>
        <w:t>i sveukupno Proračun</w:t>
      </w:r>
      <w:bookmarkEnd w:id="68"/>
    </w:p>
    <w:bookmarkEnd w:id="69"/>
    <w:p w14:paraId="7293B2D3" w14:textId="06EF56D9" w:rsidR="00DE6B6C" w:rsidRPr="003A2F86" w:rsidRDefault="00DE6B6C" w:rsidP="00B05CD2">
      <w:pPr>
        <w:spacing w:after="0" w:line="240" w:lineRule="auto"/>
        <w:jc w:val="center"/>
        <w:rPr>
          <w:rFonts w:ascii="Arial" w:eastAsia="Times New Roman" w:hAnsi="Arial" w:cs="Arial"/>
          <w:b/>
          <w:bCs/>
          <w:i/>
          <w:sz w:val="18"/>
          <w:szCs w:val="18"/>
        </w:rPr>
      </w:pPr>
      <w:r w:rsidRPr="00DE6B6C">
        <w:rPr>
          <w:noProof/>
        </w:rPr>
        <w:drawing>
          <wp:inline distT="0" distB="0" distL="0" distR="0" wp14:anchorId="0E18BF37" wp14:editId="30E9FD81">
            <wp:extent cx="9251950" cy="2661920"/>
            <wp:effectExtent l="0" t="0" r="6350" b="5080"/>
            <wp:docPr id="1998320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51950" cy="2661920"/>
                    </a:xfrm>
                    <a:prstGeom prst="rect">
                      <a:avLst/>
                    </a:prstGeom>
                    <a:noFill/>
                    <a:ln>
                      <a:noFill/>
                    </a:ln>
                  </pic:spPr>
                </pic:pic>
              </a:graphicData>
            </a:graphic>
          </wp:inline>
        </w:drawing>
      </w:r>
    </w:p>
    <w:p w14:paraId="67DF53B1" w14:textId="2AA17A00" w:rsidR="00197F84" w:rsidRPr="003A2F86" w:rsidRDefault="00197F84" w:rsidP="00197F84">
      <w:pPr>
        <w:spacing w:after="0" w:line="240" w:lineRule="auto"/>
        <w:jc w:val="center"/>
        <w:rPr>
          <w:rFonts w:ascii="Arial" w:eastAsia="Times New Roman" w:hAnsi="Arial" w:cs="Arial"/>
          <w:b/>
          <w:bCs/>
          <w:i/>
          <w:sz w:val="18"/>
          <w:szCs w:val="18"/>
        </w:rPr>
      </w:pPr>
      <w:r w:rsidRPr="003A2F86">
        <w:rPr>
          <w:rFonts w:ascii="Arial" w:eastAsia="Times New Roman" w:hAnsi="Arial" w:cs="Arial"/>
          <w:b/>
          <w:bCs/>
          <w:i/>
          <w:sz w:val="18"/>
          <w:szCs w:val="18"/>
        </w:rPr>
        <w:t xml:space="preserve">* ispod tablice za </w:t>
      </w:r>
      <w:r w:rsidR="00105475">
        <w:rPr>
          <w:rFonts w:ascii="Arial" w:eastAsia="Times New Roman" w:hAnsi="Arial" w:cs="Arial"/>
          <w:b/>
          <w:bCs/>
          <w:i/>
          <w:sz w:val="18"/>
          <w:szCs w:val="18"/>
        </w:rPr>
        <w:t>1-6/</w:t>
      </w:r>
      <w:r w:rsidRPr="003A2F86">
        <w:rPr>
          <w:rFonts w:ascii="Arial" w:eastAsia="Times New Roman" w:hAnsi="Arial" w:cs="Arial"/>
          <w:b/>
          <w:bCs/>
          <w:i/>
          <w:sz w:val="18"/>
          <w:szCs w:val="18"/>
        </w:rPr>
        <w:t>202</w:t>
      </w:r>
      <w:r w:rsidR="00105475">
        <w:rPr>
          <w:rFonts w:ascii="Arial" w:eastAsia="Times New Roman" w:hAnsi="Arial" w:cs="Arial"/>
          <w:b/>
          <w:bCs/>
          <w:i/>
          <w:sz w:val="18"/>
          <w:szCs w:val="18"/>
        </w:rPr>
        <w:t>5</w:t>
      </w:r>
      <w:r w:rsidRPr="003A2F86">
        <w:rPr>
          <w:rFonts w:ascii="Arial" w:eastAsia="Times New Roman" w:hAnsi="Arial" w:cs="Arial"/>
          <w:b/>
          <w:bCs/>
          <w:i/>
          <w:sz w:val="18"/>
          <w:szCs w:val="18"/>
        </w:rPr>
        <w:t xml:space="preserve">.g su zbirni usporedni podaci za sveukupno izvršenje prethodnih godina: </w:t>
      </w:r>
      <w:r w:rsidR="007A468D">
        <w:rPr>
          <w:rFonts w:ascii="Arial" w:eastAsia="Times New Roman" w:hAnsi="Arial" w:cs="Arial"/>
          <w:b/>
          <w:bCs/>
          <w:i/>
          <w:sz w:val="18"/>
          <w:szCs w:val="18"/>
        </w:rPr>
        <w:t xml:space="preserve">2024., </w:t>
      </w:r>
      <w:r w:rsidRPr="003A2F86">
        <w:rPr>
          <w:rFonts w:ascii="Arial" w:eastAsia="Times New Roman" w:hAnsi="Arial" w:cs="Arial"/>
          <w:b/>
          <w:bCs/>
          <w:i/>
          <w:sz w:val="18"/>
          <w:szCs w:val="18"/>
        </w:rPr>
        <w:t>2023., 2022., 2021.</w:t>
      </w:r>
      <w:r w:rsidR="007A468D">
        <w:rPr>
          <w:rFonts w:ascii="Arial" w:eastAsia="Times New Roman" w:hAnsi="Arial" w:cs="Arial"/>
          <w:b/>
          <w:bCs/>
          <w:i/>
          <w:sz w:val="18"/>
          <w:szCs w:val="18"/>
        </w:rPr>
        <w:t xml:space="preserve"> </w:t>
      </w:r>
      <w:r w:rsidRPr="003A2F86">
        <w:rPr>
          <w:rFonts w:ascii="Arial" w:eastAsia="Times New Roman" w:hAnsi="Arial" w:cs="Arial"/>
          <w:b/>
          <w:bCs/>
          <w:i/>
          <w:sz w:val="18"/>
          <w:szCs w:val="18"/>
        </w:rPr>
        <w:t>i 2019.g.</w:t>
      </w:r>
    </w:p>
    <w:p w14:paraId="6583A219" w14:textId="77777777" w:rsidR="00C87E75" w:rsidRPr="003A2F86" w:rsidRDefault="00C87E75" w:rsidP="00197F84">
      <w:pPr>
        <w:spacing w:after="0" w:line="240" w:lineRule="auto"/>
        <w:jc w:val="center"/>
        <w:rPr>
          <w:rFonts w:ascii="Arial" w:eastAsia="Times New Roman" w:hAnsi="Arial" w:cs="Arial"/>
          <w:b/>
          <w:bCs/>
          <w:i/>
          <w:sz w:val="18"/>
          <w:szCs w:val="18"/>
        </w:rPr>
      </w:pPr>
    </w:p>
    <w:p w14:paraId="0067A56F" w14:textId="08A5DB86" w:rsidR="00C87E75" w:rsidRPr="003A2F86" w:rsidRDefault="00DE6B6C" w:rsidP="00197F84">
      <w:pPr>
        <w:spacing w:after="0" w:line="240" w:lineRule="auto"/>
        <w:jc w:val="center"/>
        <w:rPr>
          <w:rFonts w:ascii="Arial" w:eastAsia="Times New Roman" w:hAnsi="Arial" w:cs="Arial"/>
          <w:b/>
          <w:bCs/>
          <w:i/>
          <w:sz w:val="18"/>
          <w:szCs w:val="18"/>
        </w:rPr>
      </w:pPr>
      <w:r w:rsidRPr="00DE6B6C">
        <w:rPr>
          <w:noProof/>
        </w:rPr>
        <w:drawing>
          <wp:inline distT="0" distB="0" distL="0" distR="0" wp14:anchorId="6AF37DF5" wp14:editId="50C13C6F">
            <wp:extent cx="9251950" cy="812800"/>
            <wp:effectExtent l="0" t="0" r="6350" b="6350"/>
            <wp:docPr id="1496424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1950" cy="812800"/>
                    </a:xfrm>
                    <a:prstGeom prst="rect">
                      <a:avLst/>
                    </a:prstGeom>
                    <a:noFill/>
                    <a:ln>
                      <a:noFill/>
                    </a:ln>
                  </pic:spPr>
                </pic:pic>
              </a:graphicData>
            </a:graphic>
          </wp:inline>
        </w:drawing>
      </w:r>
    </w:p>
    <w:p w14:paraId="3F1C09BC" w14:textId="10E68676" w:rsidR="00C87E75" w:rsidRPr="003A2F86" w:rsidRDefault="007A468D" w:rsidP="00197F84">
      <w:pPr>
        <w:spacing w:after="0" w:line="240" w:lineRule="auto"/>
        <w:jc w:val="center"/>
        <w:rPr>
          <w:rFonts w:ascii="Arial" w:eastAsia="Times New Roman" w:hAnsi="Arial" w:cs="Arial"/>
          <w:b/>
          <w:bCs/>
          <w:i/>
          <w:sz w:val="18"/>
          <w:szCs w:val="18"/>
        </w:rPr>
      </w:pPr>
      <w:r w:rsidRPr="007A468D">
        <w:rPr>
          <w:noProof/>
        </w:rPr>
        <w:drawing>
          <wp:inline distT="0" distB="0" distL="0" distR="0" wp14:anchorId="55BCC7A2" wp14:editId="5E9C8238">
            <wp:extent cx="9251950" cy="1583055"/>
            <wp:effectExtent l="0" t="0" r="6350" b="0"/>
            <wp:docPr id="1550406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51950" cy="1583055"/>
                    </a:xfrm>
                    <a:prstGeom prst="rect">
                      <a:avLst/>
                    </a:prstGeom>
                    <a:noFill/>
                    <a:ln>
                      <a:noFill/>
                    </a:ln>
                  </pic:spPr>
                </pic:pic>
              </a:graphicData>
            </a:graphic>
          </wp:inline>
        </w:drawing>
      </w:r>
    </w:p>
    <w:p w14:paraId="065D1133" w14:textId="77777777" w:rsidR="00C87E75" w:rsidRPr="003A2F86" w:rsidRDefault="00C87E75" w:rsidP="00197F84">
      <w:pPr>
        <w:spacing w:after="0" w:line="240" w:lineRule="auto"/>
        <w:jc w:val="center"/>
        <w:rPr>
          <w:rFonts w:ascii="Arial" w:eastAsia="Times New Roman" w:hAnsi="Arial" w:cs="Arial"/>
          <w:b/>
          <w:bCs/>
          <w:i/>
          <w:sz w:val="18"/>
          <w:szCs w:val="18"/>
        </w:rPr>
      </w:pPr>
    </w:p>
    <w:p w14:paraId="5CF4A872" w14:textId="77777777" w:rsidR="00C87E75" w:rsidRPr="003A2F86" w:rsidRDefault="00C87E75" w:rsidP="00197F84">
      <w:pPr>
        <w:spacing w:after="0" w:line="240" w:lineRule="auto"/>
        <w:jc w:val="center"/>
        <w:rPr>
          <w:rFonts w:ascii="Arial" w:eastAsia="Times New Roman" w:hAnsi="Arial" w:cs="Arial"/>
          <w:b/>
          <w:bCs/>
          <w:i/>
          <w:sz w:val="18"/>
          <w:szCs w:val="18"/>
        </w:rPr>
      </w:pPr>
    </w:p>
    <w:p w14:paraId="5A178FB7" w14:textId="77777777" w:rsidR="00C87E75" w:rsidRPr="003A2F86" w:rsidRDefault="00C87E75" w:rsidP="00197F84">
      <w:pPr>
        <w:spacing w:after="0" w:line="240" w:lineRule="auto"/>
        <w:jc w:val="center"/>
        <w:rPr>
          <w:rFonts w:ascii="Arial" w:eastAsia="Times New Roman" w:hAnsi="Arial" w:cs="Arial"/>
          <w:b/>
          <w:bCs/>
          <w:i/>
          <w:sz w:val="18"/>
          <w:szCs w:val="18"/>
        </w:rPr>
      </w:pPr>
    </w:p>
    <w:p w14:paraId="4810AF5A" w14:textId="77777777" w:rsidR="00C87E75" w:rsidRPr="003A2F86" w:rsidRDefault="00C87E75" w:rsidP="00197F84">
      <w:pPr>
        <w:spacing w:after="0" w:line="240" w:lineRule="auto"/>
        <w:jc w:val="center"/>
        <w:rPr>
          <w:rFonts w:ascii="Arial" w:eastAsia="Times New Roman" w:hAnsi="Arial" w:cs="Arial"/>
          <w:b/>
          <w:bCs/>
          <w:i/>
          <w:sz w:val="18"/>
          <w:szCs w:val="18"/>
        </w:rPr>
      </w:pPr>
    </w:p>
    <w:p w14:paraId="56919E1C" w14:textId="113F174B" w:rsidR="00C87E75" w:rsidRPr="003A2F86" w:rsidRDefault="007A468D" w:rsidP="00197F84">
      <w:pPr>
        <w:spacing w:after="0" w:line="240" w:lineRule="auto"/>
        <w:jc w:val="center"/>
        <w:rPr>
          <w:rFonts w:ascii="Arial" w:eastAsia="Times New Roman" w:hAnsi="Arial" w:cs="Arial"/>
          <w:b/>
          <w:bCs/>
          <w:i/>
          <w:sz w:val="18"/>
          <w:szCs w:val="18"/>
        </w:rPr>
      </w:pPr>
      <w:r w:rsidRPr="007A468D">
        <w:rPr>
          <w:noProof/>
        </w:rPr>
        <w:lastRenderedPageBreak/>
        <w:drawing>
          <wp:inline distT="0" distB="0" distL="0" distR="0" wp14:anchorId="2A67284C" wp14:editId="751A2DFD">
            <wp:extent cx="9251950" cy="1396365"/>
            <wp:effectExtent l="0" t="0" r="6350" b="0"/>
            <wp:docPr id="15164585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51950" cy="1396365"/>
                    </a:xfrm>
                    <a:prstGeom prst="rect">
                      <a:avLst/>
                    </a:prstGeom>
                    <a:noFill/>
                    <a:ln>
                      <a:noFill/>
                    </a:ln>
                  </pic:spPr>
                </pic:pic>
              </a:graphicData>
            </a:graphic>
          </wp:inline>
        </w:drawing>
      </w:r>
    </w:p>
    <w:p w14:paraId="54C525F7" w14:textId="77777777" w:rsidR="00C87E75" w:rsidRPr="003A2F86" w:rsidRDefault="00C87E75" w:rsidP="00197F84">
      <w:pPr>
        <w:spacing w:after="0" w:line="240" w:lineRule="auto"/>
        <w:jc w:val="center"/>
        <w:rPr>
          <w:rFonts w:ascii="Arial" w:eastAsia="Times New Roman" w:hAnsi="Arial" w:cs="Arial"/>
          <w:b/>
          <w:bCs/>
          <w:i/>
          <w:sz w:val="18"/>
          <w:szCs w:val="18"/>
        </w:rPr>
      </w:pPr>
    </w:p>
    <w:p w14:paraId="29901094" w14:textId="77777777" w:rsidR="0068398E" w:rsidRPr="003A2F86" w:rsidRDefault="0068398E" w:rsidP="00A1078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3C27B6B" w14:textId="6F70146C" w:rsidR="00C87E75" w:rsidRPr="003A2F86" w:rsidRDefault="00C87E75">
      <w:pPr>
        <w:rPr>
          <w:rFonts w:ascii="Arial" w:eastAsia="Times New Roman" w:hAnsi="Arial" w:cs="Arial"/>
        </w:rPr>
      </w:pPr>
      <w:r w:rsidRPr="003A2F86">
        <w:rPr>
          <w:rFonts w:ascii="Arial" w:eastAsia="Times New Roman" w:hAnsi="Arial" w:cs="Arial"/>
        </w:rPr>
        <w:br w:type="page"/>
      </w:r>
    </w:p>
    <w:p w14:paraId="70A00DD9" w14:textId="77777777" w:rsidR="00C87E75" w:rsidRPr="003A2F86" w:rsidRDefault="00C87E75" w:rsidP="00A1078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D5C51D4" w14:textId="6225DD14" w:rsidR="00993C17" w:rsidRPr="003A2F86" w:rsidRDefault="00993C17" w:rsidP="00F66355">
      <w:pPr>
        <w:pStyle w:val="Naslov2"/>
        <w:jc w:val="center"/>
        <w:rPr>
          <w:rFonts w:ascii="Arial" w:hAnsi="Arial" w:cs="Arial"/>
          <w:sz w:val="22"/>
          <w:szCs w:val="22"/>
          <w:lang w:val="hr-HR"/>
        </w:rPr>
      </w:pPr>
      <w:bookmarkStart w:id="70" w:name="_Toc207707421"/>
      <w:bookmarkEnd w:id="61"/>
      <w:bookmarkEnd w:id="62"/>
      <w:r w:rsidRPr="003A2F86">
        <w:rPr>
          <w:rFonts w:ascii="Arial" w:hAnsi="Arial" w:cs="Arial"/>
          <w:sz w:val="22"/>
          <w:szCs w:val="22"/>
          <w:lang w:val="hr-HR"/>
        </w:rPr>
        <w:t>2.</w:t>
      </w:r>
      <w:r w:rsidR="00F66355" w:rsidRPr="003A2F86">
        <w:rPr>
          <w:rFonts w:ascii="Arial" w:hAnsi="Arial" w:cs="Arial"/>
          <w:sz w:val="22"/>
          <w:szCs w:val="22"/>
          <w:lang w:val="hr-HR"/>
        </w:rPr>
        <w:t>4</w:t>
      </w:r>
      <w:r w:rsidRPr="003A2F86">
        <w:rPr>
          <w:rFonts w:ascii="Arial" w:hAnsi="Arial" w:cs="Arial"/>
          <w:sz w:val="22"/>
          <w:szCs w:val="22"/>
          <w:lang w:val="hr-HR"/>
        </w:rPr>
        <w:t xml:space="preserve">. </w:t>
      </w:r>
      <w:r w:rsidRPr="003A2F86">
        <w:rPr>
          <w:rFonts w:ascii="Arial" w:hAnsi="Arial" w:cs="Arial"/>
          <w:sz w:val="22"/>
          <w:szCs w:val="22"/>
          <w:lang w:val="hr-HR"/>
        </w:rPr>
        <w:tab/>
        <w:t>RAČUN PRIHODA I RASHODA</w:t>
      </w:r>
      <w:bookmarkStart w:id="71" w:name="Račun_prihoda_i_rashoda"/>
      <w:bookmarkEnd w:id="70"/>
      <w:bookmarkEnd w:id="71"/>
    </w:p>
    <w:p w14:paraId="38FB1D76" w14:textId="77777777" w:rsidR="00993C17" w:rsidRPr="003A2F86" w:rsidRDefault="00993C17" w:rsidP="00993C17">
      <w:pPr>
        <w:spacing w:after="0" w:line="240" w:lineRule="auto"/>
        <w:rPr>
          <w:lang w:eastAsia="en-US"/>
        </w:rPr>
      </w:pPr>
    </w:p>
    <w:p w14:paraId="18D9CB6B" w14:textId="6AC3FA31" w:rsidR="00993C17" w:rsidRPr="003A2F86" w:rsidRDefault="00993C17" w:rsidP="007963E6">
      <w:pPr>
        <w:spacing w:after="0" w:line="240" w:lineRule="auto"/>
        <w:jc w:val="both"/>
        <w:rPr>
          <w:rFonts w:ascii="Arial" w:eastAsia="Times New Roman" w:hAnsi="Arial" w:cs="Arial"/>
          <w:iCs/>
          <w:lang w:eastAsia="en-US"/>
        </w:rPr>
      </w:pPr>
      <w:r w:rsidRPr="003A2F86">
        <w:rPr>
          <w:rFonts w:ascii="Arial" w:eastAsia="Times New Roman" w:hAnsi="Arial" w:cs="Arial"/>
          <w:bCs/>
          <w:iCs/>
          <w:lang w:eastAsia="en-US"/>
        </w:rPr>
        <w:t>Prihodi poslovanja</w:t>
      </w:r>
      <w:r w:rsidRPr="003A2F86">
        <w:rPr>
          <w:rFonts w:ascii="Arial" w:eastAsia="Times New Roman" w:hAnsi="Arial" w:cs="Arial"/>
          <w:iCs/>
          <w:lang w:eastAsia="en-US"/>
        </w:rPr>
        <w:t xml:space="preserve"> (6) i prihodi od prodaje nefinancijske imovine (7) ostvareni su u iznosu </w:t>
      </w:r>
      <w:r w:rsidR="004E3845">
        <w:rPr>
          <w:rFonts w:ascii="Arial" w:eastAsia="Times New Roman" w:hAnsi="Arial" w:cs="Arial"/>
          <w:iCs/>
          <w:lang w:eastAsia="en-US"/>
        </w:rPr>
        <w:t>8.250.742,06</w:t>
      </w:r>
      <w:r w:rsidRPr="003A2F86">
        <w:rPr>
          <w:rFonts w:ascii="Arial" w:eastAsia="Times New Roman" w:hAnsi="Arial" w:cs="Arial"/>
          <w:iCs/>
          <w:lang w:eastAsia="en-US"/>
        </w:rPr>
        <w:t xml:space="preserve"> € što je za </w:t>
      </w:r>
      <w:r w:rsidR="004E3845">
        <w:rPr>
          <w:rFonts w:ascii="Arial" w:eastAsia="Times New Roman" w:hAnsi="Arial" w:cs="Arial"/>
          <w:iCs/>
          <w:lang w:eastAsia="en-US"/>
        </w:rPr>
        <w:t>2.958.098,16</w:t>
      </w:r>
      <w:r w:rsidRPr="003A2F86">
        <w:rPr>
          <w:rFonts w:ascii="Arial" w:eastAsia="Times New Roman" w:hAnsi="Arial" w:cs="Arial"/>
          <w:iCs/>
          <w:lang w:eastAsia="en-US"/>
        </w:rPr>
        <w:t xml:space="preserve"> € ili </w:t>
      </w:r>
      <w:r w:rsidR="00E1205C">
        <w:rPr>
          <w:rFonts w:ascii="Arial" w:eastAsia="Times New Roman" w:hAnsi="Arial" w:cs="Arial"/>
          <w:iCs/>
          <w:lang w:eastAsia="en-US"/>
        </w:rPr>
        <w:t>55,9</w:t>
      </w:r>
      <w:r w:rsidRPr="003A2F86">
        <w:rPr>
          <w:rFonts w:ascii="Arial" w:eastAsia="Times New Roman" w:hAnsi="Arial" w:cs="Arial"/>
          <w:iCs/>
          <w:lang w:eastAsia="en-US"/>
        </w:rPr>
        <w:t>% više u odnosu u na izvještajno razdoblje prethodne godine.</w:t>
      </w:r>
    </w:p>
    <w:p w14:paraId="71BA8EE5" w14:textId="77777777" w:rsidR="007963E6" w:rsidRPr="003A2F86" w:rsidRDefault="007963E6" w:rsidP="007963E6">
      <w:pPr>
        <w:spacing w:after="0" w:line="240" w:lineRule="auto"/>
        <w:jc w:val="both"/>
        <w:rPr>
          <w:rFonts w:ascii="Arial" w:eastAsia="Times New Roman" w:hAnsi="Arial" w:cs="Arial"/>
          <w:iCs/>
          <w:lang w:eastAsia="en-US"/>
        </w:rPr>
      </w:pPr>
    </w:p>
    <w:p w14:paraId="5AE74B19" w14:textId="3AC7EC95" w:rsidR="00F66355" w:rsidRPr="003A2F86" w:rsidRDefault="00F66355" w:rsidP="007963E6">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Rashodi poslovanja (3) i rashodi </w:t>
      </w:r>
      <w:r w:rsidR="002E304B" w:rsidRPr="003A2F86">
        <w:rPr>
          <w:rFonts w:ascii="Arial" w:eastAsia="Times New Roman" w:hAnsi="Arial" w:cs="Arial"/>
          <w:iCs/>
          <w:lang w:eastAsia="en-US"/>
        </w:rPr>
        <w:t xml:space="preserve">za nabavu nefinancijske imovine (4) ostvareni su u iznosu </w:t>
      </w:r>
      <w:r w:rsidR="00E1205C">
        <w:rPr>
          <w:rFonts w:ascii="Arial" w:eastAsia="Times New Roman" w:hAnsi="Arial" w:cs="Arial"/>
          <w:iCs/>
          <w:lang w:eastAsia="en-US"/>
        </w:rPr>
        <w:t>9.961.331,93</w:t>
      </w:r>
      <w:r w:rsidR="002E304B" w:rsidRPr="003A2F86">
        <w:rPr>
          <w:rFonts w:ascii="Arial" w:eastAsia="Times New Roman" w:hAnsi="Arial" w:cs="Arial"/>
          <w:iCs/>
          <w:lang w:eastAsia="en-US"/>
        </w:rPr>
        <w:t xml:space="preserve"> € što je za </w:t>
      </w:r>
      <w:r w:rsidR="00E1205C">
        <w:rPr>
          <w:rFonts w:ascii="Arial" w:eastAsia="Times New Roman" w:hAnsi="Arial" w:cs="Arial"/>
          <w:iCs/>
          <w:lang w:eastAsia="en-US"/>
        </w:rPr>
        <w:t>3.374.527,57</w:t>
      </w:r>
      <w:r w:rsidR="002E304B" w:rsidRPr="003A2F86">
        <w:rPr>
          <w:rFonts w:ascii="Arial" w:eastAsia="Times New Roman" w:hAnsi="Arial" w:cs="Arial"/>
          <w:iCs/>
          <w:lang w:eastAsia="en-US"/>
        </w:rPr>
        <w:t xml:space="preserve"> €</w:t>
      </w:r>
      <w:r w:rsidR="0069140A" w:rsidRPr="003A2F86">
        <w:rPr>
          <w:rFonts w:ascii="Arial" w:eastAsia="Times New Roman" w:hAnsi="Arial" w:cs="Arial"/>
          <w:iCs/>
          <w:lang w:eastAsia="en-US"/>
        </w:rPr>
        <w:t xml:space="preserve"> ili</w:t>
      </w:r>
      <w:r w:rsidR="002E304B" w:rsidRPr="003A2F86">
        <w:rPr>
          <w:rFonts w:ascii="Arial" w:eastAsia="Times New Roman" w:hAnsi="Arial" w:cs="Arial"/>
          <w:iCs/>
          <w:lang w:eastAsia="en-US"/>
        </w:rPr>
        <w:t xml:space="preserve"> </w:t>
      </w:r>
      <w:r w:rsidR="00334E73">
        <w:rPr>
          <w:rFonts w:ascii="Arial" w:eastAsia="Times New Roman" w:hAnsi="Arial" w:cs="Arial"/>
          <w:iCs/>
          <w:lang w:eastAsia="en-US"/>
        </w:rPr>
        <w:t>51,2</w:t>
      </w:r>
      <w:r w:rsidR="002E304B" w:rsidRPr="003A2F86">
        <w:rPr>
          <w:rFonts w:ascii="Arial" w:eastAsia="Times New Roman" w:hAnsi="Arial" w:cs="Arial"/>
          <w:iCs/>
          <w:lang w:eastAsia="en-US"/>
        </w:rPr>
        <w:t xml:space="preserve">% više u odnosu na izvještajno razdoblje prethodne godine. </w:t>
      </w:r>
    </w:p>
    <w:p w14:paraId="766EA45E" w14:textId="77777777" w:rsidR="007963E6" w:rsidRPr="003A2F86" w:rsidRDefault="007963E6" w:rsidP="007963E6">
      <w:pPr>
        <w:spacing w:after="0" w:line="240" w:lineRule="auto"/>
        <w:jc w:val="both"/>
        <w:rPr>
          <w:rFonts w:ascii="Arial" w:eastAsia="Times New Roman" w:hAnsi="Arial" w:cs="Arial"/>
          <w:iCs/>
          <w:lang w:eastAsia="en-US"/>
        </w:rPr>
      </w:pPr>
    </w:p>
    <w:p w14:paraId="04245FB3" w14:textId="77777777" w:rsidR="007963E6" w:rsidRPr="003A2F86" w:rsidRDefault="007963E6" w:rsidP="007963E6">
      <w:pPr>
        <w:spacing w:after="0" w:line="240" w:lineRule="auto"/>
        <w:jc w:val="both"/>
        <w:rPr>
          <w:rFonts w:ascii="Arial" w:eastAsia="Times New Roman" w:hAnsi="Arial" w:cs="Arial"/>
          <w:iCs/>
          <w:lang w:eastAsia="en-US"/>
        </w:rPr>
      </w:pPr>
    </w:p>
    <w:p w14:paraId="745EDD0A" w14:textId="028E8EA9" w:rsidR="00891119" w:rsidRPr="003A2F86" w:rsidRDefault="004113C9" w:rsidP="00F66355">
      <w:pPr>
        <w:pStyle w:val="Naslov3"/>
        <w:jc w:val="center"/>
        <w:rPr>
          <w:rFonts w:ascii="Arial" w:hAnsi="Arial" w:cs="Arial"/>
          <w:sz w:val="22"/>
          <w:szCs w:val="22"/>
          <w:lang w:val="hr-HR"/>
        </w:rPr>
      </w:pPr>
      <w:bookmarkStart w:id="72" w:name="_Toc207707422"/>
      <w:r w:rsidRPr="003A2F86">
        <w:rPr>
          <w:rFonts w:ascii="Arial" w:hAnsi="Arial" w:cs="Arial"/>
          <w:sz w:val="22"/>
          <w:szCs w:val="22"/>
          <w:lang w:val="hr-HR"/>
        </w:rPr>
        <w:t>2.</w:t>
      </w:r>
      <w:r w:rsidR="00F66355" w:rsidRPr="003A2F86">
        <w:rPr>
          <w:rFonts w:ascii="Arial" w:hAnsi="Arial" w:cs="Arial"/>
          <w:sz w:val="22"/>
          <w:szCs w:val="22"/>
          <w:lang w:val="hr-HR"/>
        </w:rPr>
        <w:t>4</w:t>
      </w:r>
      <w:r w:rsidRPr="003A2F86">
        <w:rPr>
          <w:rFonts w:ascii="Arial" w:hAnsi="Arial" w:cs="Arial"/>
          <w:sz w:val="22"/>
          <w:szCs w:val="22"/>
          <w:lang w:val="hr-HR"/>
        </w:rPr>
        <w:t>.1.</w:t>
      </w:r>
      <w:r w:rsidR="00891119" w:rsidRPr="003A2F86">
        <w:rPr>
          <w:rFonts w:ascii="Arial" w:hAnsi="Arial" w:cs="Arial"/>
          <w:sz w:val="22"/>
          <w:szCs w:val="22"/>
          <w:lang w:val="hr-HR"/>
        </w:rPr>
        <w:tab/>
      </w:r>
      <w:r w:rsidR="00E97058" w:rsidRPr="003A2F86">
        <w:rPr>
          <w:rFonts w:ascii="Arial" w:hAnsi="Arial" w:cs="Arial"/>
          <w:sz w:val="22"/>
          <w:szCs w:val="22"/>
          <w:lang w:val="hr-HR"/>
        </w:rPr>
        <w:t>PRIHODI POSLOVANJA</w:t>
      </w:r>
      <w:r w:rsidR="00744D8B" w:rsidRPr="003A2F86">
        <w:rPr>
          <w:rFonts w:ascii="Arial" w:hAnsi="Arial" w:cs="Arial"/>
          <w:sz w:val="22"/>
          <w:szCs w:val="22"/>
          <w:lang w:val="hr-HR"/>
        </w:rPr>
        <w:t xml:space="preserve"> (6)</w:t>
      </w:r>
      <w:bookmarkStart w:id="73" w:name="Prihodi_poslovanja"/>
      <w:bookmarkEnd w:id="72"/>
      <w:bookmarkEnd w:id="73"/>
    </w:p>
    <w:p w14:paraId="1164B735" w14:textId="77777777" w:rsidR="009F6AF8" w:rsidRPr="003A2F86" w:rsidRDefault="009F6AF8" w:rsidP="009F6AF8">
      <w:pPr>
        <w:pStyle w:val="Tijeloteksta2"/>
        <w:rPr>
          <w:rFonts w:ascii="Arial" w:hAnsi="Arial" w:cs="Arial"/>
          <w:b/>
          <w:iCs/>
          <w:sz w:val="22"/>
          <w:szCs w:val="22"/>
          <w:lang w:val="hr-HR"/>
        </w:rPr>
      </w:pPr>
    </w:p>
    <w:p w14:paraId="030ED816" w14:textId="57C5B65A" w:rsidR="00604828" w:rsidRPr="003A2F86" w:rsidRDefault="00604828" w:rsidP="00604828">
      <w:pPr>
        <w:spacing w:after="0" w:line="240" w:lineRule="auto"/>
        <w:jc w:val="both"/>
        <w:rPr>
          <w:rFonts w:ascii="Arial" w:eastAsia="Times New Roman" w:hAnsi="Arial" w:cs="Arial"/>
          <w:iCs/>
          <w:lang w:eastAsia="en-US"/>
        </w:rPr>
      </w:pPr>
      <w:r w:rsidRPr="003A2F86">
        <w:rPr>
          <w:rFonts w:ascii="Arial" w:eastAsia="Times New Roman" w:hAnsi="Arial" w:cs="Arial"/>
          <w:b/>
          <w:iCs/>
          <w:lang w:eastAsia="en-US"/>
        </w:rPr>
        <w:t>Prihodi poslovanja</w:t>
      </w:r>
      <w:r w:rsidRPr="003A2F86">
        <w:rPr>
          <w:rFonts w:ascii="Arial" w:eastAsia="Times New Roman" w:hAnsi="Arial" w:cs="Arial"/>
          <w:iCs/>
          <w:lang w:eastAsia="en-US"/>
        </w:rPr>
        <w:t xml:space="preserve"> (6) ostvareni su u iznosu </w:t>
      </w:r>
      <w:r w:rsidR="00666599">
        <w:rPr>
          <w:rFonts w:ascii="Arial" w:eastAsia="Times New Roman" w:hAnsi="Arial" w:cs="Arial"/>
          <w:iCs/>
          <w:lang w:eastAsia="en-US"/>
        </w:rPr>
        <w:t>8.183.053,84</w:t>
      </w:r>
      <w:r w:rsidR="00B563F7"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što je za </w:t>
      </w:r>
      <w:r w:rsidR="00666599">
        <w:rPr>
          <w:rFonts w:ascii="Arial" w:eastAsia="Times New Roman" w:hAnsi="Arial" w:cs="Arial"/>
          <w:iCs/>
          <w:lang w:eastAsia="en-US"/>
        </w:rPr>
        <w:t>3.</w:t>
      </w:r>
      <w:r w:rsidR="009C357D">
        <w:rPr>
          <w:rFonts w:ascii="Arial" w:eastAsia="Times New Roman" w:hAnsi="Arial" w:cs="Arial"/>
          <w:iCs/>
          <w:lang w:eastAsia="en-US"/>
        </w:rPr>
        <w:t>100.513,54</w:t>
      </w:r>
      <w:r w:rsidR="00B563F7"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ili </w:t>
      </w:r>
      <w:r w:rsidR="009C357D">
        <w:rPr>
          <w:rFonts w:ascii="Arial" w:eastAsia="Times New Roman" w:hAnsi="Arial" w:cs="Arial"/>
          <w:iCs/>
          <w:lang w:eastAsia="en-US"/>
        </w:rPr>
        <w:t>61</w:t>
      </w:r>
      <w:r w:rsidRPr="003A2F86">
        <w:rPr>
          <w:rFonts w:ascii="Arial" w:eastAsia="Times New Roman" w:hAnsi="Arial" w:cs="Arial"/>
          <w:iCs/>
          <w:lang w:eastAsia="en-US"/>
        </w:rPr>
        <w:t xml:space="preserve">% više u odnosu u na ostvarene prihode poslovanja u izvještajnom razdoblju prethodne godine. </w:t>
      </w:r>
      <w:r w:rsidR="00B563F7" w:rsidRPr="003A2F86">
        <w:rPr>
          <w:rFonts w:ascii="Arial" w:eastAsia="Times New Roman" w:hAnsi="Arial" w:cs="Arial"/>
          <w:iCs/>
          <w:lang w:eastAsia="en-US"/>
        </w:rPr>
        <w:t xml:space="preserve">Vrijednosno najveće povećanje prihoda se odnosi na prihode od </w:t>
      </w:r>
      <w:r w:rsidR="009C357D">
        <w:rPr>
          <w:rFonts w:ascii="Arial" w:eastAsia="Times New Roman" w:hAnsi="Arial" w:cs="Arial"/>
          <w:iCs/>
          <w:lang w:eastAsia="en-US"/>
        </w:rPr>
        <w:t>pomoći (za sufinanciranje izgradnje osnovne škole)</w:t>
      </w:r>
      <w:r w:rsidR="00B563F7" w:rsidRPr="003A2F86">
        <w:rPr>
          <w:rFonts w:ascii="Arial" w:eastAsia="Times New Roman" w:hAnsi="Arial" w:cs="Arial"/>
          <w:iCs/>
          <w:lang w:eastAsia="en-US"/>
        </w:rPr>
        <w:t>.</w:t>
      </w:r>
    </w:p>
    <w:p w14:paraId="6B84652F" w14:textId="77777777" w:rsidR="00604828" w:rsidRPr="003A2F86" w:rsidRDefault="00604828" w:rsidP="00604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12AA7D3" w14:textId="705107ED" w:rsidR="00604828" w:rsidRPr="003A2F86" w:rsidRDefault="00604828" w:rsidP="00604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Cs w:val="24"/>
        </w:rPr>
      </w:pPr>
      <w:r w:rsidRPr="003A2F86">
        <w:rPr>
          <w:rFonts w:ascii="Arial" w:eastAsia="Times New Roman" w:hAnsi="Arial" w:cs="Arial"/>
          <w:color w:val="1F497D" w:themeColor="text2"/>
        </w:rPr>
        <w:tab/>
        <w:t xml:space="preserve">Ukupni </w:t>
      </w:r>
      <w:r w:rsidRPr="003A2F86">
        <w:rPr>
          <w:rFonts w:ascii="Arial" w:eastAsia="Times New Roman" w:hAnsi="Arial" w:cs="Arial"/>
          <w:b/>
          <w:bCs/>
          <w:color w:val="1F497D" w:themeColor="text2"/>
        </w:rPr>
        <w:t>prihodi poslovanja</w:t>
      </w:r>
      <w:r w:rsidRPr="003A2F86">
        <w:rPr>
          <w:rFonts w:ascii="Arial" w:eastAsia="Times New Roman" w:hAnsi="Arial" w:cs="Arial"/>
          <w:color w:val="1F497D" w:themeColor="text2"/>
        </w:rPr>
        <w:t xml:space="preserve"> Općine iznose </w:t>
      </w:r>
      <w:r w:rsidR="00A00C7B">
        <w:rPr>
          <w:rFonts w:ascii="Arial" w:eastAsia="Times New Roman" w:hAnsi="Arial" w:cs="Arial"/>
          <w:color w:val="1F497D" w:themeColor="text2"/>
        </w:rPr>
        <w:t>7.438.784,88</w:t>
      </w:r>
      <w:r w:rsidR="00B563F7" w:rsidRPr="003A2F86">
        <w:rPr>
          <w:rFonts w:ascii="Arial" w:eastAsia="Times New Roman" w:hAnsi="Arial" w:cs="Arial"/>
          <w:color w:val="1F497D" w:themeColor="text2"/>
        </w:rPr>
        <w:t xml:space="preserve"> €</w:t>
      </w:r>
      <w:r w:rsidRPr="003A2F86">
        <w:rPr>
          <w:rFonts w:ascii="Arial" w:eastAsia="Times New Roman" w:hAnsi="Arial" w:cs="Arial"/>
          <w:color w:val="1F497D" w:themeColor="text2"/>
        </w:rPr>
        <w:t xml:space="preserve">, a </w:t>
      </w:r>
      <w:r w:rsidRPr="003A2F86">
        <w:rPr>
          <w:rFonts w:ascii="Arial" w:eastAsia="Times New Roman" w:hAnsi="Arial" w:cs="Arial"/>
          <w:color w:val="1F497D" w:themeColor="text2"/>
          <w:szCs w:val="24"/>
        </w:rPr>
        <w:t xml:space="preserve">prihodi proračunskih korisnika </w:t>
      </w:r>
      <w:r w:rsidR="00A00C7B">
        <w:rPr>
          <w:rFonts w:ascii="Arial" w:eastAsia="Times New Roman" w:hAnsi="Arial" w:cs="Arial"/>
          <w:color w:val="1F497D" w:themeColor="text2"/>
          <w:szCs w:val="24"/>
        </w:rPr>
        <w:t>811.957,18</w:t>
      </w:r>
      <w:r w:rsidR="00B563F7" w:rsidRPr="003A2F86">
        <w:rPr>
          <w:rFonts w:ascii="Arial" w:eastAsia="Times New Roman" w:hAnsi="Arial" w:cs="Arial"/>
          <w:color w:val="1F497D" w:themeColor="text2"/>
          <w:szCs w:val="24"/>
        </w:rPr>
        <w:t xml:space="preserve"> </w:t>
      </w:r>
      <w:r w:rsidR="003320E4" w:rsidRPr="003A2F86">
        <w:rPr>
          <w:rFonts w:ascii="Arial" w:eastAsia="Times New Roman" w:hAnsi="Arial" w:cs="Arial"/>
          <w:color w:val="1F497D" w:themeColor="text2"/>
          <w:szCs w:val="24"/>
        </w:rPr>
        <w:t xml:space="preserve">€ </w:t>
      </w:r>
      <w:r w:rsidRPr="003A2F86">
        <w:rPr>
          <w:rFonts w:ascii="Arial" w:eastAsia="Times New Roman" w:hAnsi="Arial" w:cs="Arial"/>
          <w:szCs w:val="24"/>
        </w:rPr>
        <w:t xml:space="preserve">što ukupno iznosi </w:t>
      </w:r>
      <w:r w:rsidR="00A00C7B">
        <w:rPr>
          <w:rFonts w:ascii="Arial" w:eastAsia="Times New Roman" w:hAnsi="Arial" w:cs="Arial"/>
          <w:szCs w:val="24"/>
        </w:rPr>
        <w:t>8.250.742,06</w:t>
      </w:r>
      <w:r w:rsidR="007C6D78" w:rsidRPr="003A2F86">
        <w:rPr>
          <w:rFonts w:ascii="Arial" w:eastAsia="Times New Roman" w:hAnsi="Arial" w:cs="Arial"/>
          <w:szCs w:val="24"/>
        </w:rPr>
        <w:t xml:space="preserve"> €</w:t>
      </w:r>
      <w:r w:rsidRPr="003A2F86">
        <w:rPr>
          <w:rFonts w:ascii="Arial" w:eastAsia="Times New Roman" w:hAnsi="Arial" w:cs="Arial"/>
          <w:szCs w:val="24"/>
        </w:rPr>
        <w:t>.</w:t>
      </w:r>
    </w:p>
    <w:p w14:paraId="6C751BD9" w14:textId="77777777" w:rsidR="00604828" w:rsidRPr="003A2F86" w:rsidRDefault="00604828" w:rsidP="00604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3BA37A2" w14:textId="2B6031DD" w:rsidR="00604828" w:rsidRPr="003A2F86" w:rsidRDefault="00604828" w:rsidP="006048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ab/>
        <w:t xml:space="preserve">Prihodi poslovanja Općine veći su za </w:t>
      </w:r>
      <w:r w:rsidRPr="003A2F86">
        <w:rPr>
          <w:rFonts w:ascii="Arial" w:eastAsia="Times New Roman" w:hAnsi="Arial" w:cs="Arial"/>
          <w:b/>
          <w:bCs/>
        </w:rPr>
        <w:t>veći su</w:t>
      </w:r>
      <w:r w:rsidRPr="003A2F86">
        <w:rPr>
          <w:rFonts w:ascii="Arial" w:eastAsia="Times New Roman" w:hAnsi="Arial" w:cs="Arial"/>
        </w:rPr>
        <w:t xml:space="preserve"> za </w:t>
      </w:r>
      <w:r w:rsidR="00563B5A">
        <w:rPr>
          <w:rFonts w:ascii="Arial" w:eastAsia="Times New Roman" w:hAnsi="Arial" w:cs="Arial"/>
        </w:rPr>
        <w:t>2.856.566,88</w:t>
      </w:r>
      <w:r w:rsidR="007C6D78" w:rsidRPr="003A2F86">
        <w:rPr>
          <w:rFonts w:ascii="Arial" w:eastAsia="Times New Roman" w:hAnsi="Arial" w:cs="Arial"/>
        </w:rPr>
        <w:t xml:space="preserve"> €</w:t>
      </w:r>
      <w:r w:rsidRPr="003A2F86">
        <w:rPr>
          <w:rFonts w:ascii="Arial" w:eastAsia="Times New Roman" w:hAnsi="Arial" w:cs="Arial"/>
        </w:rPr>
        <w:t xml:space="preserve"> ili </w:t>
      </w:r>
      <w:r w:rsidR="00563B5A">
        <w:rPr>
          <w:rFonts w:ascii="Arial" w:eastAsia="Times New Roman" w:hAnsi="Arial" w:cs="Arial"/>
        </w:rPr>
        <w:t>62,3</w:t>
      </w:r>
      <w:r w:rsidRPr="003A2F86">
        <w:rPr>
          <w:rFonts w:ascii="Arial" w:eastAsia="Times New Roman" w:hAnsi="Arial" w:cs="Arial"/>
        </w:rPr>
        <w:t xml:space="preserve">%, a vlastiti prihodi proračunskih korisnika za </w:t>
      </w:r>
      <w:r w:rsidR="00CC06DE">
        <w:rPr>
          <w:rFonts w:ascii="Arial" w:eastAsia="Times New Roman" w:hAnsi="Arial" w:cs="Arial"/>
        </w:rPr>
        <w:t>99.371,28</w:t>
      </w:r>
      <w:r w:rsidR="007C6D78" w:rsidRPr="003A2F86">
        <w:rPr>
          <w:rFonts w:ascii="Arial" w:eastAsia="Times New Roman" w:hAnsi="Arial" w:cs="Arial"/>
        </w:rPr>
        <w:t xml:space="preserve"> €</w:t>
      </w:r>
      <w:r w:rsidRPr="003A2F86">
        <w:rPr>
          <w:rFonts w:ascii="Arial" w:eastAsia="Times New Roman" w:hAnsi="Arial" w:cs="Arial"/>
        </w:rPr>
        <w:t xml:space="preserve"> ili </w:t>
      </w:r>
      <w:r w:rsidR="00CC06DE">
        <w:rPr>
          <w:rFonts w:ascii="Arial" w:eastAsia="Times New Roman" w:hAnsi="Arial" w:cs="Arial"/>
        </w:rPr>
        <w:t>13,9</w:t>
      </w:r>
      <w:r w:rsidRPr="003A2F86">
        <w:rPr>
          <w:rFonts w:ascii="Arial" w:eastAsia="Times New Roman" w:hAnsi="Arial" w:cs="Arial"/>
        </w:rPr>
        <w:t xml:space="preserve">% u odnosu na </w:t>
      </w:r>
      <w:r w:rsidR="007C6D78" w:rsidRPr="003A2F86">
        <w:rPr>
          <w:rFonts w:ascii="Arial" w:eastAsia="Times New Roman" w:hAnsi="Arial" w:cs="Arial"/>
        </w:rPr>
        <w:t xml:space="preserve">izvještajno razdoblje </w:t>
      </w:r>
      <w:r w:rsidRPr="003A2F86">
        <w:rPr>
          <w:rFonts w:ascii="Arial" w:eastAsia="Times New Roman" w:hAnsi="Arial" w:cs="Arial"/>
        </w:rPr>
        <w:t>prethodn</w:t>
      </w:r>
      <w:r w:rsidR="007C6D78" w:rsidRPr="003A2F86">
        <w:rPr>
          <w:rFonts w:ascii="Arial" w:eastAsia="Times New Roman" w:hAnsi="Arial" w:cs="Arial"/>
        </w:rPr>
        <w:t>e</w:t>
      </w:r>
      <w:r w:rsidR="00CC06DE">
        <w:rPr>
          <w:rFonts w:ascii="Arial" w:eastAsia="Times New Roman" w:hAnsi="Arial" w:cs="Arial"/>
        </w:rPr>
        <w:t xml:space="preserve"> </w:t>
      </w:r>
      <w:r w:rsidRPr="003A2F86">
        <w:rPr>
          <w:rFonts w:ascii="Arial" w:eastAsia="Times New Roman" w:hAnsi="Arial" w:cs="Arial"/>
        </w:rPr>
        <w:t>godin</w:t>
      </w:r>
      <w:r w:rsidR="007C6D78" w:rsidRPr="003A2F86">
        <w:rPr>
          <w:rFonts w:ascii="Arial" w:eastAsia="Times New Roman" w:hAnsi="Arial" w:cs="Arial"/>
        </w:rPr>
        <w:t>e</w:t>
      </w:r>
      <w:r w:rsidRPr="003A2F86">
        <w:rPr>
          <w:rFonts w:ascii="Arial" w:eastAsia="Times New Roman" w:hAnsi="Arial" w:cs="Arial"/>
        </w:rPr>
        <w:t xml:space="preserve">. </w:t>
      </w:r>
    </w:p>
    <w:p w14:paraId="100956A0" w14:textId="77777777" w:rsidR="004113C9" w:rsidRPr="003A2F86" w:rsidRDefault="004113C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6A92800" w14:textId="12BA7FB9"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ab/>
        <w:t>U nastavku se daje usporedni prikaz ostvarenih prihoda poslovanja</w:t>
      </w:r>
      <w:r w:rsidR="0077686B" w:rsidRPr="003A2F86">
        <w:rPr>
          <w:rFonts w:ascii="Arial" w:eastAsia="Times New Roman" w:hAnsi="Arial" w:cs="Arial"/>
        </w:rPr>
        <w:t xml:space="preserve"> (6)</w:t>
      </w:r>
      <w:r w:rsidR="008E4856" w:rsidRPr="003A2F86">
        <w:rPr>
          <w:rFonts w:ascii="Arial" w:eastAsia="Times New Roman" w:hAnsi="Arial" w:cs="Arial"/>
        </w:rPr>
        <w:t xml:space="preserve">, </w:t>
      </w:r>
      <w:r w:rsidRPr="003A2F86">
        <w:rPr>
          <w:rFonts w:ascii="Arial" w:eastAsia="Times New Roman" w:hAnsi="Arial" w:cs="Arial"/>
        </w:rPr>
        <w:t xml:space="preserve">samo </w:t>
      </w:r>
      <w:r w:rsidRPr="003A2F86">
        <w:rPr>
          <w:rFonts w:ascii="Arial" w:eastAsia="Times New Roman" w:hAnsi="Arial" w:cs="Arial"/>
          <w:b/>
          <w:bCs/>
        </w:rPr>
        <w:t>prihodi Općine bez prihoda proračunskih korisnika</w:t>
      </w:r>
      <w:r w:rsidRPr="003A2F86">
        <w:rPr>
          <w:rFonts w:ascii="Arial" w:eastAsia="Times New Roman" w:hAnsi="Arial" w:cs="Arial"/>
        </w:rPr>
        <w:t xml:space="preserve"> (</w:t>
      </w:r>
      <w:r w:rsidRPr="003A2F86">
        <w:rPr>
          <w:rFonts w:ascii="Arial" w:eastAsia="Times New Roman" w:hAnsi="Arial" w:cs="Arial"/>
          <w:color w:val="0070C0"/>
        </w:rPr>
        <w:t>razina 22</w:t>
      </w:r>
      <w:r w:rsidRPr="003A2F86">
        <w:rPr>
          <w:rFonts w:ascii="Arial" w:eastAsia="Times New Roman" w:hAnsi="Arial" w:cs="Arial"/>
        </w:rPr>
        <w:t>).</w:t>
      </w:r>
    </w:p>
    <w:p w14:paraId="185C8114" w14:textId="77777777" w:rsidR="00604828" w:rsidRPr="003A2F86" w:rsidRDefault="00604828" w:rsidP="00604828">
      <w:pPr>
        <w:pStyle w:val="Opisslike"/>
      </w:pPr>
    </w:p>
    <w:p w14:paraId="0DCC5212" w14:textId="77777777" w:rsidR="004113C9" w:rsidRPr="003A2F86" w:rsidRDefault="004113C9" w:rsidP="007963E6">
      <w:pPr>
        <w:spacing w:after="0" w:line="240" w:lineRule="auto"/>
        <w:rPr>
          <w:lang w:eastAsia="en-US"/>
        </w:rPr>
      </w:pPr>
    </w:p>
    <w:p w14:paraId="15AB9086" w14:textId="77777777" w:rsidR="004113C9" w:rsidRPr="003A2F86" w:rsidRDefault="004113C9" w:rsidP="007963E6">
      <w:pPr>
        <w:spacing w:after="0" w:line="240" w:lineRule="auto"/>
        <w:rPr>
          <w:lang w:eastAsia="en-US"/>
        </w:rPr>
      </w:pPr>
    </w:p>
    <w:p w14:paraId="1D489DB3" w14:textId="77777777" w:rsidR="00963C2A" w:rsidRPr="003A2F86" w:rsidRDefault="00963C2A" w:rsidP="007963E6">
      <w:pPr>
        <w:spacing w:after="0" w:line="240" w:lineRule="auto"/>
        <w:rPr>
          <w:lang w:eastAsia="en-US"/>
        </w:rPr>
      </w:pPr>
    </w:p>
    <w:p w14:paraId="1451ADC5" w14:textId="77777777" w:rsidR="00963C2A" w:rsidRPr="003A2F86" w:rsidRDefault="00963C2A" w:rsidP="007963E6">
      <w:pPr>
        <w:spacing w:after="0" w:line="240" w:lineRule="auto"/>
        <w:rPr>
          <w:lang w:eastAsia="en-US"/>
        </w:rPr>
      </w:pPr>
    </w:p>
    <w:p w14:paraId="12EE5393" w14:textId="77777777" w:rsidR="00963C2A" w:rsidRPr="003A2F86" w:rsidRDefault="00963C2A" w:rsidP="007963E6">
      <w:pPr>
        <w:spacing w:after="0" w:line="240" w:lineRule="auto"/>
        <w:rPr>
          <w:lang w:eastAsia="en-US"/>
        </w:rPr>
      </w:pPr>
    </w:p>
    <w:p w14:paraId="0BA0BBDF" w14:textId="77777777" w:rsidR="00963C2A" w:rsidRPr="003A2F86" w:rsidRDefault="00963C2A" w:rsidP="007963E6">
      <w:pPr>
        <w:spacing w:after="0" w:line="240" w:lineRule="auto"/>
        <w:rPr>
          <w:lang w:eastAsia="en-US"/>
        </w:rPr>
      </w:pPr>
    </w:p>
    <w:p w14:paraId="22C46F86" w14:textId="77777777" w:rsidR="00963C2A" w:rsidRPr="003A2F86" w:rsidRDefault="00963C2A" w:rsidP="007963E6">
      <w:pPr>
        <w:spacing w:after="0" w:line="240" w:lineRule="auto"/>
        <w:rPr>
          <w:lang w:eastAsia="en-US"/>
        </w:rPr>
      </w:pPr>
    </w:p>
    <w:p w14:paraId="7B9F483C" w14:textId="77777777" w:rsidR="00963C2A" w:rsidRPr="003A2F86" w:rsidRDefault="00963C2A" w:rsidP="007963E6">
      <w:pPr>
        <w:spacing w:after="0" w:line="240" w:lineRule="auto"/>
        <w:rPr>
          <w:lang w:eastAsia="en-US"/>
        </w:rPr>
      </w:pPr>
    </w:p>
    <w:p w14:paraId="17E129B6" w14:textId="77777777" w:rsidR="00963C2A" w:rsidRPr="003A2F86" w:rsidRDefault="00963C2A" w:rsidP="007963E6">
      <w:pPr>
        <w:spacing w:after="0" w:line="240" w:lineRule="auto"/>
        <w:rPr>
          <w:lang w:eastAsia="en-US"/>
        </w:rPr>
      </w:pPr>
    </w:p>
    <w:p w14:paraId="3083ADED" w14:textId="77777777" w:rsidR="00963C2A" w:rsidRDefault="00963C2A" w:rsidP="007963E6">
      <w:pPr>
        <w:spacing w:after="0" w:line="240" w:lineRule="auto"/>
        <w:rPr>
          <w:lang w:eastAsia="en-US"/>
        </w:rPr>
      </w:pPr>
    </w:p>
    <w:p w14:paraId="3B136038" w14:textId="77777777" w:rsidR="0071185A" w:rsidRPr="003A2F86" w:rsidRDefault="0071185A" w:rsidP="007963E6">
      <w:pPr>
        <w:spacing w:after="0" w:line="240" w:lineRule="auto"/>
        <w:rPr>
          <w:lang w:eastAsia="en-US"/>
        </w:rPr>
      </w:pPr>
    </w:p>
    <w:p w14:paraId="3A9B86DA" w14:textId="77777777" w:rsidR="004113C9" w:rsidRPr="003A2F86" w:rsidRDefault="004113C9" w:rsidP="007963E6">
      <w:pPr>
        <w:spacing w:after="0" w:line="240" w:lineRule="auto"/>
        <w:rPr>
          <w:lang w:eastAsia="en-US"/>
        </w:rPr>
      </w:pPr>
    </w:p>
    <w:p w14:paraId="201AD643" w14:textId="77777777" w:rsidR="007963E6" w:rsidRPr="003A2F86" w:rsidRDefault="007963E6" w:rsidP="007963E6">
      <w:pPr>
        <w:spacing w:after="0" w:line="240" w:lineRule="auto"/>
        <w:rPr>
          <w:lang w:eastAsia="en-US"/>
        </w:rPr>
      </w:pPr>
    </w:p>
    <w:p w14:paraId="70E2FEB7" w14:textId="77777777" w:rsidR="004113C9" w:rsidRPr="003A2F86" w:rsidRDefault="004113C9" w:rsidP="007963E6">
      <w:pPr>
        <w:spacing w:after="0" w:line="240" w:lineRule="auto"/>
        <w:rPr>
          <w:lang w:eastAsia="en-US"/>
        </w:rPr>
      </w:pPr>
    </w:p>
    <w:p w14:paraId="7D209B8C" w14:textId="2FED813A" w:rsidR="00604828" w:rsidRPr="003A2F86" w:rsidRDefault="00604828" w:rsidP="00604828">
      <w:pPr>
        <w:pStyle w:val="Opisslike"/>
        <w:rPr>
          <w:rFonts w:ascii="Arial" w:hAnsi="Arial" w:cs="Arial"/>
          <w:u w:val="single"/>
        </w:rPr>
      </w:pPr>
      <w:bookmarkStart w:id="74" w:name="_Toc207707014"/>
      <w:r w:rsidRPr="003A2F86">
        <w:rPr>
          <w:color w:val="FF0000"/>
        </w:rPr>
        <w:t xml:space="preserve">Graf </w:t>
      </w:r>
      <w:r w:rsidRPr="003A2F86">
        <w:rPr>
          <w:color w:val="FF0000"/>
        </w:rPr>
        <w:fldChar w:fldCharType="begin"/>
      </w:r>
      <w:r w:rsidRPr="003A2F86">
        <w:rPr>
          <w:color w:val="FF0000"/>
        </w:rPr>
        <w:instrText xml:space="preserve"> SEQ Graf \* ARABIC </w:instrText>
      </w:r>
      <w:r w:rsidRPr="003A2F86">
        <w:rPr>
          <w:color w:val="FF0000"/>
        </w:rPr>
        <w:fldChar w:fldCharType="separate"/>
      </w:r>
      <w:r w:rsidR="00910987">
        <w:rPr>
          <w:noProof/>
          <w:color w:val="FF0000"/>
        </w:rPr>
        <w:t>9</w:t>
      </w:r>
      <w:r w:rsidRPr="003A2F86">
        <w:rPr>
          <w:color w:val="FF0000"/>
        </w:rPr>
        <w:fldChar w:fldCharType="end"/>
      </w:r>
      <w:r w:rsidRPr="003A2F86">
        <w:rPr>
          <w:color w:val="FF0000"/>
        </w:rPr>
        <w:t xml:space="preserve">.: </w:t>
      </w:r>
      <w:r w:rsidRPr="003A2F86">
        <w:rPr>
          <w:rFonts w:ascii="Arial" w:hAnsi="Arial" w:cs="Arial"/>
        </w:rPr>
        <w:t xml:space="preserve">Usporedni prikaz ostvarenih </w:t>
      </w:r>
      <w:r w:rsidRPr="003A2F86">
        <w:rPr>
          <w:rFonts w:ascii="Arial" w:hAnsi="Arial" w:cs="Arial"/>
          <w:u w:val="single"/>
        </w:rPr>
        <w:t>prihoda poslovanja</w:t>
      </w:r>
      <w:r w:rsidRPr="003A2F86">
        <w:rPr>
          <w:rFonts w:ascii="Arial" w:hAnsi="Arial" w:cs="Arial"/>
        </w:rPr>
        <w:t xml:space="preserve"> (6) u razdoblju 2010.-202</w:t>
      </w:r>
      <w:r w:rsidR="00963C2A" w:rsidRPr="003A2F86">
        <w:rPr>
          <w:rFonts w:ascii="Arial" w:hAnsi="Arial" w:cs="Arial"/>
        </w:rPr>
        <w:t>4</w:t>
      </w:r>
      <w:r w:rsidRPr="003A2F86">
        <w:rPr>
          <w:rFonts w:ascii="Arial" w:hAnsi="Arial" w:cs="Arial"/>
        </w:rPr>
        <w:t>.</w:t>
      </w:r>
      <w:r w:rsidR="00CC06DE">
        <w:rPr>
          <w:rFonts w:ascii="Arial" w:hAnsi="Arial" w:cs="Arial"/>
        </w:rPr>
        <w:t xml:space="preserve"> i 1-6/2025.</w:t>
      </w:r>
      <w:r w:rsidR="009F6FC5" w:rsidRPr="003A2F86">
        <w:rPr>
          <w:rFonts w:ascii="Arial" w:hAnsi="Arial" w:cs="Arial"/>
        </w:rPr>
        <w:t xml:space="preserve"> (€)</w:t>
      </w:r>
      <w:r w:rsidRPr="003A2F86">
        <w:rPr>
          <w:rFonts w:ascii="Arial" w:hAnsi="Arial" w:cs="Arial"/>
        </w:rPr>
        <w:t xml:space="preserve">, </w:t>
      </w:r>
      <w:r w:rsidRPr="00474A7A">
        <w:rPr>
          <w:rFonts w:ascii="Arial" w:hAnsi="Arial" w:cs="Arial"/>
          <w:color w:val="1F497D" w:themeColor="text2"/>
          <w:u w:val="single"/>
        </w:rPr>
        <w:t xml:space="preserve">Općina </w:t>
      </w:r>
      <w:r w:rsidRPr="003A2F86">
        <w:rPr>
          <w:rFonts w:ascii="Arial" w:hAnsi="Arial" w:cs="Arial"/>
          <w:u w:val="single"/>
        </w:rPr>
        <w:t>bez prihoda proračunskih korisnika</w:t>
      </w:r>
      <w:bookmarkEnd w:id="74"/>
    </w:p>
    <w:p w14:paraId="09DD756D" w14:textId="77777777" w:rsidR="00197F84" w:rsidRPr="003A2F86" w:rsidRDefault="00197F84" w:rsidP="00197F84">
      <w:pPr>
        <w:rPr>
          <w:sz w:val="12"/>
          <w:szCs w:val="12"/>
          <w:lang w:eastAsia="en-US"/>
        </w:rPr>
      </w:pPr>
    </w:p>
    <w:p w14:paraId="66FC4377" w14:textId="77777777" w:rsidR="00604828" w:rsidRPr="003A2F86" w:rsidRDefault="00604828" w:rsidP="00604828">
      <w:pPr>
        <w:spacing w:after="0" w:line="240" w:lineRule="auto"/>
        <w:jc w:val="center"/>
        <w:rPr>
          <w:rFonts w:ascii="Arial" w:eastAsia="Times New Roman" w:hAnsi="Arial" w:cs="Arial"/>
          <w:bCs/>
          <w:i/>
          <w:iCs/>
          <w:sz w:val="20"/>
          <w:szCs w:val="20"/>
          <w:shd w:val="clear" w:color="auto" w:fill="FFFFFF"/>
          <w:lang w:eastAsia="en-US"/>
        </w:rPr>
      </w:pPr>
      <w:bookmarkStart w:id="75" w:name="_Hlk103067902"/>
      <w:r w:rsidRPr="003A2F86">
        <w:rPr>
          <w:rFonts w:ascii="Arial" w:eastAsia="Times New Roman" w:hAnsi="Arial" w:cs="Arial"/>
          <w:noProof/>
          <w:color w:val="FF0000"/>
        </w:rPr>
        <w:drawing>
          <wp:inline distT="0" distB="0" distL="0" distR="0" wp14:anchorId="1E56FCEE" wp14:editId="507831E7">
            <wp:extent cx="8998585" cy="3390900"/>
            <wp:effectExtent l="0" t="0" r="0" b="0"/>
            <wp:docPr id="63"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6B524F0" w14:textId="689DFECE" w:rsidR="00604828" w:rsidRPr="003A2F86" w:rsidRDefault="00604828" w:rsidP="0069140A">
      <w:pPr>
        <w:spacing w:after="0" w:line="240" w:lineRule="auto"/>
        <w:jc w:val="center"/>
        <w:rPr>
          <w:rFonts w:ascii="Arial" w:eastAsia="Times New Roman" w:hAnsi="Arial" w:cs="Arial"/>
          <w:bCs/>
          <w:i/>
          <w:iCs/>
          <w:color w:val="1F497D" w:themeColor="text2"/>
          <w:sz w:val="20"/>
          <w:szCs w:val="20"/>
          <w:shd w:val="clear" w:color="auto" w:fill="FFFFFF"/>
          <w:lang w:eastAsia="en-US"/>
        </w:rPr>
      </w:pPr>
      <w:r w:rsidRPr="003A2F86">
        <w:rPr>
          <w:rFonts w:ascii="Arial" w:eastAsia="Times New Roman" w:hAnsi="Arial" w:cs="Arial"/>
          <w:bCs/>
          <w:i/>
          <w:iCs/>
          <w:color w:val="1F497D" w:themeColor="text2"/>
          <w:sz w:val="20"/>
          <w:szCs w:val="20"/>
          <w:shd w:val="clear" w:color="auto" w:fill="FFFFFF"/>
          <w:lang w:eastAsia="en-US"/>
        </w:rPr>
        <w:t xml:space="preserve">* Graf uključuje samo prihode poslovanja </w:t>
      </w:r>
      <w:r w:rsidR="0069140A" w:rsidRPr="003A2F86">
        <w:rPr>
          <w:rFonts w:ascii="Arial" w:eastAsia="Times New Roman" w:hAnsi="Arial" w:cs="Arial"/>
          <w:bCs/>
          <w:i/>
          <w:iCs/>
          <w:color w:val="1F497D" w:themeColor="text2"/>
          <w:sz w:val="20"/>
          <w:szCs w:val="20"/>
          <w:shd w:val="clear" w:color="auto" w:fill="FFFFFF"/>
          <w:lang w:eastAsia="en-US"/>
        </w:rPr>
        <w:t xml:space="preserve">Općine </w:t>
      </w:r>
      <w:r w:rsidRPr="003A2F86">
        <w:rPr>
          <w:rFonts w:ascii="Arial" w:eastAsia="Times New Roman" w:hAnsi="Arial" w:cs="Arial"/>
          <w:bCs/>
          <w:i/>
          <w:iCs/>
          <w:color w:val="1F497D" w:themeColor="text2"/>
          <w:sz w:val="20"/>
          <w:szCs w:val="20"/>
          <w:shd w:val="clear" w:color="auto" w:fill="FFFFFF"/>
          <w:lang w:eastAsia="en-US"/>
        </w:rPr>
        <w:t>(6), dakle, ne prihode od prodaje nefinancijske imovine (7) niti primitke od zaduživanja (8)</w:t>
      </w:r>
    </w:p>
    <w:bookmarkEnd w:id="75"/>
    <w:p w14:paraId="201C19FE" w14:textId="77777777" w:rsidR="00604828" w:rsidRPr="003A2F86" w:rsidRDefault="00604828" w:rsidP="00604828">
      <w:pPr>
        <w:rPr>
          <w:lang w:eastAsia="en-US"/>
        </w:rPr>
      </w:pPr>
    </w:p>
    <w:p w14:paraId="2F68DB6B" w14:textId="4767585C" w:rsidR="00891119" w:rsidRPr="003A2F86" w:rsidRDefault="00891119" w:rsidP="001B3297">
      <w:pPr>
        <w:pStyle w:val="Naslov4"/>
        <w:rPr>
          <w:rFonts w:ascii="Arial" w:hAnsi="Arial" w:cs="Arial"/>
          <w:bCs/>
          <w:sz w:val="20"/>
          <w:shd w:val="clear" w:color="auto" w:fill="FFFFFF"/>
          <w:lang w:val="hr-HR"/>
        </w:rPr>
      </w:pPr>
      <w:r w:rsidRPr="003A2F86">
        <w:rPr>
          <w:rFonts w:ascii="Arial" w:hAnsi="Arial" w:cs="Arial"/>
          <w:shd w:val="clear" w:color="auto" w:fill="FFFFFF"/>
          <w:lang w:val="hr-HR"/>
        </w:rPr>
        <w:tab/>
      </w:r>
      <w:bookmarkStart w:id="76" w:name="_Toc207707423"/>
      <w:r w:rsidR="001B3297" w:rsidRPr="003A2F86">
        <w:rPr>
          <w:rFonts w:ascii="Arial" w:hAnsi="Arial" w:cs="Arial"/>
          <w:shd w:val="clear" w:color="auto" w:fill="FFFFFF"/>
          <w:lang w:val="hr-HR"/>
        </w:rPr>
        <w:t>2.4.1.1.</w:t>
      </w:r>
      <w:r w:rsidRPr="003A2F86">
        <w:rPr>
          <w:rFonts w:ascii="Arial" w:hAnsi="Arial" w:cs="Arial"/>
          <w:shd w:val="clear" w:color="auto" w:fill="FFFFFF"/>
          <w:lang w:val="hr-HR"/>
        </w:rPr>
        <w:t xml:space="preserve"> </w:t>
      </w:r>
      <w:r w:rsidRPr="003A2F86">
        <w:rPr>
          <w:rFonts w:ascii="Arial" w:hAnsi="Arial" w:cs="Arial"/>
          <w:shd w:val="clear" w:color="auto" w:fill="FFFFFF"/>
          <w:lang w:val="hr-HR"/>
        </w:rPr>
        <w:tab/>
      </w:r>
      <w:r w:rsidRPr="003A2F86">
        <w:rPr>
          <w:rFonts w:ascii="Arial" w:hAnsi="Arial" w:cs="Arial"/>
          <w:lang w:val="hr-HR"/>
        </w:rPr>
        <w:t>Prihodi od poreza</w:t>
      </w:r>
      <w:r w:rsidR="00744D8B" w:rsidRPr="003A2F86">
        <w:rPr>
          <w:rFonts w:ascii="Arial" w:hAnsi="Arial" w:cs="Arial"/>
          <w:lang w:val="hr-HR"/>
        </w:rPr>
        <w:t xml:space="preserve"> (61)</w:t>
      </w:r>
      <w:bookmarkEnd w:id="76"/>
    </w:p>
    <w:p w14:paraId="64B6566F" w14:textId="77777777" w:rsidR="00891119" w:rsidRPr="003A2F86" w:rsidRDefault="00891119" w:rsidP="00891119">
      <w:pPr>
        <w:tabs>
          <w:tab w:val="left" w:pos="567"/>
        </w:tabs>
        <w:spacing w:after="0" w:line="240" w:lineRule="auto"/>
        <w:jc w:val="both"/>
        <w:rPr>
          <w:rFonts w:ascii="Arial" w:eastAsia="Times New Roman" w:hAnsi="Arial" w:cs="Arial"/>
          <w:lang w:eastAsia="en-US"/>
        </w:rPr>
      </w:pPr>
    </w:p>
    <w:p w14:paraId="41768089" w14:textId="738C470B" w:rsidR="00F8681C" w:rsidRPr="003A2F86" w:rsidRDefault="00F8681C" w:rsidP="00F8681C">
      <w:pPr>
        <w:pStyle w:val="Tijeloteksta2"/>
        <w:rPr>
          <w:rFonts w:ascii="Arial" w:hAnsi="Arial" w:cs="Arial"/>
          <w:iCs/>
          <w:sz w:val="22"/>
          <w:szCs w:val="22"/>
          <w:lang w:val="hr-HR"/>
        </w:rPr>
      </w:pPr>
      <w:bookmarkStart w:id="77" w:name="_Hlk2524072"/>
      <w:bookmarkStart w:id="78" w:name="_Hlk103069542"/>
      <w:r w:rsidRPr="003A2F86">
        <w:rPr>
          <w:rFonts w:ascii="Arial" w:hAnsi="Arial" w:cs="Arial"/>
          <w:b/>
          <w:iCs/>
          <w:sz w:val="22"/>
          <w:szCs w:val="22"/>
          <w:lang w:val="hr-HR"/>
        </w:rPr>
        <w:t xml:space="preserve">Prihodi od poreza </w:t>
      </w:r>
      <w:r w:rsidRPr="003A2F86">
        <w:rPr>
          <w:rFonts w:ascii="Arial" w:hAnsi="Arial" w:cs="Arial"/>
          <w:iCs/>
          <w:sz w:val="22"/>
          <w:szCs w:val="22"/>
          <w:lang w:val="hr-HR"/>
        </w:rPr>
        <w:t xml:space="preserve">(61) ostvareni su u iznosu </w:t>
      </w:r>
      <w:r w:rsidR="001E0197">
        <w:rPr>
          <w:rFonts w:ascii="Arial" w:hAnsi="Arial" w:cs="Arial"/>
          <w:iCs/>
          <w:sz w:val="22"/>
          <w:szCs w:val="22"/>
          <w:lang w:val="hr-HR"/>
        </w:rPr>
        <w:t>3.267.384,10</w:t>
      </w:r>
      <w:r w:rsidRPr="003A2F86">
        <w:rPr>
          <w:rFonts w:ascii="Arial" w:hAnsi="Arial" w:cs="Arial"/>
          <w:iCs/>
          <w:sz w:val="22"/>
          <w:szCs w:val="22"/>
          <w:lang w:val="hr-HR"/>
        </w:rPr>
        <w:t xml:space="preserve"> € i veći su za </w:t>
      </w:r>
      <w:r w:rsidR="00711D3D">
        <w:rPr>
          <w:rFonts w:ascii="Arial" w:hAnsi="Arial" w:cs="Arial"/>
          <w:iCs/>
          <w:sz w:val="22"/>
          <w:szCs w:val="22"/>
          <w:lang w:val="hr-HR"/>
        </w:rPr>
        <w:t>435.397,17</w:t>
      </w:r>
      <w:r w:rsidRPr="003A2F86">
        <w:rPr>
          <w:rFonts w:ascii="Arial" w:hAnsi="Arial" w:cs="Arial"/>
          <w:iCs/>
          <w:sz w:val="22"/>
          <w:szCs w:val="22"/>
          <w:lang w:val="hr-HR"/>
        </w:rPr>
        <w:t xml:space="preserve"> € ili </w:t>
      </w:r>
      <w:r w:rsidR="00711D3D">
        <w:rPr>
          <w:rFonts w:ascii="Arial" w:hAnsi="Arial" w:cs="Arial"/>
          <w:iCs/>
          <w:sz w:val="22"/>
          <w:szCs w:val="22"/>
          <w:lang w:val="hr-HR"/>
        </w:rPr>
        <w:t>15,4</w:t>
      </w:r>
      <w:r w:rsidRPr="003A2F86">
        <w:rPr>
          <w:rFonts w:ascii="Arial" w:hAnsi="Arial" w:cs="Arial"/>
          <w:iCs/>
          <w:sz w:val="22"/>
          <w:szCs w:val="22"/>
          <w:lang w:val="hr-HR"/>
        </w:rPr>
        <w:t xml:space="preserve">% u odnosu na prethodnu godinu (kada su iznosili </w:t>
      </w:r>
      <w:r w:rsidR="00711D3D">
        <w:rPr>
          <w:rFonts w:ascii="Arial" w:hAnsi="Arial" w:cs="Arial"/>
          <w:iCs/>
          <w:sz w:val="22"/>
          <w:szCs w:val="22"/>
          <w:lang w:val="hr-HR"/>
        </w:rPr>
        <w:t>2.831.986,93</w:t>
      </w:r>
      <w:r w:rsidRPr="003A2F86">
        <w:rPr>
          <w:rFonts w:ascii="Arial" w:hAnsi="Arial" w:cs="Arial"/>
          <w:iCs/>
          <w:sz w:val="22"/>
          <w:szCs w:val="22"/>
          <w:lang w:val="hr-HR"/>
        </w:rPr>
        <w:t xml:space="preserve"> €). </w:t>
      </w:r>
    </w:p>
    <w:p w14:paraId="102E27F4" w14:textId="77777777" w:rsidR="00912BF4" w:rsidRPr="003A2F86" w:rsidRDefault="00912BF4" w:rsidP="00B21C26">
      <w:pPr>
        <w:spacing w:after="0" w:line="240" w:lineRule="auto"/>
        <w:jc w:val="both"/>
        <w:rPr>
          <w:rFonts w:ascii="Arial" w:eastAsia="Times New Roman" w:hAnsi="Arial" w:cs="Arial"/>
          <w:iCs/>
          <w:lang w:eastAsia="en-US"/>
        </w:rPr>
      </w:pPr>
    </w:p>
    <w:p w14:paraId="1F5FC88F" w14:textId="34C5151A" w:rsidR="00B21C26" w:rsidRPr="001B4916" w:rsidRDefault="00B21C26" w:rsidP="00B21C26">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Prema važećim zakonskim propisima (Zakon o lokalnim porezima NN 115/16), u 20</w:t>
      </w:r>
      <w:r w:rsidR="00334146" w:rsidRPr="003A2F86">
        <w:rPr>
          <w:rFonts w:ascii="Arial" w:eastAsia="Times New Roman" w:hAnsi="Arial" w:cs="Arial"/>
          <w:iCs/>
          <w:lang w:eastAsia="en-US"/>
        </w:rPr>
        <w:t>2</w:t>
      </w:r>
      <w:r w:rsidR="00711D3D">
        <w:rPr>
          <w:rFonts w:ascii="Arial" w:eastAsia="Times New Roman" w:hAnsi="Arial" w:cs="Arial"/>
          <w:iCs/>
          <w:lang w:eastAsia="en-US"/>
        </w:rPr>
        <w:t>5</w:t>
      </w:r>
      <w:r w:rsidRPr="003A2F86">
        <w:rPr>
          <w:rFonts w:ascii="Arial" w:eastAsia="Times New Roman" w:hAnsi="Arial" w:cs="Arial"/>
          <w:iCs/>
          <w:lang w:eastAsia="en-US"/>
        </w:rPr>
        <w:t>. godini se ostvaruju prihodi od poreza na dohodak, poreza na potrošnju i poreza na korištenje javnih površina</w:t>
      </w:r>
      <w:r w:rsidR="00711D3D">
        <w:rPr>
          <w:rFonts w:ascii="Arial" w:eastAsia="Times New Roman" w:hAnsi="Arial" w:cs="Arial"/>
          <w:iCs/>
          <w:lang w:eastAsia="en-US"/>
        </w:rPr>
        <w:t xml:space="preserve"> (dok se prihodi od </w:t>
      </w:r>
      <w:r w:rsidR="00711D3D" w:rsidRPr="003A2F86">
        <w:rPr>
          <w:rFonts w:ascii="Arial" w:eastAsia="Times New Roman" w:hAnsi="Arial" w:cs="Arial"/>
          <w:iCs/>
          <w:lang w:eastAsia="en-US"/>
        </w:rPr>
        <w:t>poreza na kuće za odmor</w:t>
      </w:r>
      <w:r w:rsidR="001B4916">
        <w:rPr>
          <w:rFonts w:ascii="Arial" w:eastAsia="Times New Roman" w:hAnsi="Arial" w:cs="Arial"/>
          <w:iCs/>
          <w:lang w:eastAsia="en-US"/>
        </w:rPr>
        <w:t xml:space="preserve"> naplaćuju samo od dugovanja iz prethodnih godina)</w:t>
      </w:r>
      <w:r w:rsidRPr="003A2F86">
        <w:rPr>
          <w:rFonts w:ascii="Arial" w:eastAsia="Times New Roman" w:hAnsi="Arial" w:cs="Arial"/>
          <w:iCs/>
          <w:lang w:eastAsia="en-US"/>
        </w:rPr>
        <w:t xml:space="preserve">. </w:t>
      </w:r>
      <w:r w:rsidR="00334146" w:rsidRPr="003A2F86">
        <w:rPr>
          <w:rFonts w:ascii="Arial" w:eastAsia="Times New Roman" w:hAnsi="Arial" w:cs="Arial"/>
          <w:b/>
          <w:bCs/>
          <w:iCs/>
          <w:lang w:eastAsia="en-US"/>
        </w:rPr>
        <w:t>Od 1.1.2024. ne ostvaruje se prihod od prireza na porez na dohodak.</w:t>
      </w:r>
      <w:r w:rsidR="001B4916">
        <w:rPr>
          <w:rFonts w:ascii="Arial" w:eastAsia="Times New Roman" w:hAnsi="Arial" w:cs="Arial"/>
          <w:b/>
          <w:bCs/>
          <w:iCs/>
          <w:lang w:eastAsia="en-US"/>
        </w:rPr>
        <w:t xml:space="preserve"> </w:t>
      </w:r>
      <w:r w:rsidR="001B4916">
        <w:rPr>
          <w:rFonts w:ascii="Arial" w:eastAsia="Times New Roman" w:hAnsi="Arial" w:cs="Arial"/>
          <w:iCs/>
          <w:lang w:eastAsia="en-US"/>
        </w:rPr>
        <w:t>Rješenja za novi porez na nekretnine nisu ispostavljena do konca lipnja 2025.</w:t>
      </w:r>
    </w:p>
    <w:p w14:paraId="6701D6C4" w14:textId="77777777" w:rsidR="00F8681C" w:rsidRPr="003A2F86" w:rsidRDefault="00F8681C" w:rsidP="00F8681C">
      <w:pPr>
        <w:spacing w:after="0" w:line="240" w:lineRule="auto"/>
        <w:jc w:val="both"/>
        <w:rPr>
          <w:rFonts w:ascii="Arial" w:hAnsi="Arial" w:cs="Arial"/>
          <w:iCs/>
        </w:rPr>
      </w:pPr>
      <w:r w:rsidRPr="003A2F86">
        <w:rPr>
          <w:rFonts w:ascii="Arial" w:hAnsi="Arial" w:cs="Arial"/>
          <w:iCs/>
        </w:rPr>
        <w:t>Prema odredbama Zakona o financiranju jedinica lokalne i područne (regionalne) samouprave (Narodne novine 127/17), prihod od poreza na dobit je prihod državnog proračuna.</w:t>
      </w:r>
    </w:p>
    <w:p w14:paraId="4C991C22" w14:textId="77777777" w:rsidR="00F8681C" w:rsidRPr="003A2F86" w:rsidRDefault="00F8681C" w:rsidP="00F8681C">
      <w:pPr>
        <w:spacing w:after="0" w:line="240" w:lineRule="auto"/>
        <w:ind w:firstLine="709"/>
        <w:jc w:val="both"/>
        <w:rPr>
          <w:rFonts w:ascii="Arial" w:eastAsia="Times New Roman" w:hAnsi="Arial" w:cs="Arial"/>
        </w:rPr>
      </w:pPr>
    </w:p>
    <w:p w14:paraId="3D3F7A46" w14:textId="389DD62A" w:rsidR="00B21C26" w:rsidRPr="003A2F86" w:rsidRDefault="00B21C26" w:rsidP="00B21C26">
      <w:pPr>
        <w:spacing w:after="0" w:line="240" w:lineRule="auto"/>
        <w:jc w:val="both"/>
        <w:rPr>
          <w:rFonts w:ascii="Arial" w:eastAsia="Times New Roman" w:hAnsi="Arial" w:cs="Arial"/>
        </w:rPr>
      </w:pPr>
      <w:r w:rsidRPr="003A2F86">
        <w:rPr>
          <w:rFonts w:ascii="Arial" w:eastAsia="Times New Roman" w:hAnsi="Arial" w:cs="Arial"/>
        </w:rPr>
        <w:t>Prihodi od poreza predstavljaju najznačajniji prihod proračuna Općine, a dijele se na:</w:t>
      </w:r>
    </w:p>
    <w:p w14:paraId="4742A107" w14:textId="7DE4C2DB" w:rsidR="00B21C26" w:rsidRPr="003A2F86" w:rsidRDefault="00B21C26" w:rsidP="00B21C26">
      <w:pPr>
        <w:spacing w:after="0" w:line="240" w:lineRule="auto"/>
        <w:ind w:firstLine="709"/>
        <w:jc w:val="both"/>
        <w:rPr>
          <w:rFonts w:ascii="Arial" w:eastAsia="Times New Roman" w:hAnsi="Arial" w:cs="Arial"/>
        </w:rPr>
      </w:pPr>
      <w:r w:rsidRPr="003A2F86">
        <w:rPr>
          <w:rFonts w:ascii="Arial" w:eastAsia="Times New Roman" w:hAnsi="Arial" w:cs="Arial"/>
        </w:rPr>
        <w:t xml:space="preserve">a) </w:t>
      </w:r>
      <w:r w:rsidRPr="003A2F86">
        <w:rPr>
          <w:rFonts w:ascii="Arial" w:eastAsia="Times New Roman" w:hAnsi="Arial" w:cs="Arial"/>
          <w:b/>
          <w:bCs/>
        </w:rPr>
        <w:t>prihode od poreza na dohodak (611)</w:t>
      </w:r>
      <w:r w:rsidRPr="003A2F86">
        <w:rPr>
          <w:rFonts w:ascii="Arial" w:eastAsia="Times New Roman" w:hAnsi="Arial" w:cs="Arial"/>
        </w:rPr>
        <w:t xml:space="preserve"> </w:t>
      </w:r>
      <w:r w:rsidR="00F8681C" w:rsidRPr="003A2F86">
        <w:rPr>
          <w:rFonts w:ascii="Arial" w:eastAsia="Times New Roman" w:hAnsi="Arial" w:cs="Arial"/>
        </w:rPr>
        <w:t xml:space="preserve">u iznosu </w:t>
      </w:r>
      <w:r w:rsidR="001C7D7D">
        <w:rPr>
          <w:rFonts w:ascii="Arial" w:eastAsia="Times New Roman" w:hAnsi="Arial" w:cs="Arial"/>
        </w:rPr>
        <w:t>2.846.748,20</w:t>
      </w:r>
      <w:r w:rsidR="00912BF4" w:rsidRPr="003A2F86">
        <w:rPr>
          <w:rFonts w:ascii="Arial" w:eastAsia="Times New Roman" w:hAnsi="Arial" w:cs="Arial"/>
        </w:rPr>
        <w:t xml:space="preserve"> € (porez i prirez na dohodak od nesamostalnog rada u iznosu </w:t>
      </w:r>
      <w:r w:rsidR="00DE4F9E">
        <w:rPr>
          <w:rFonts w:ascii="Arial" w:eastAsia="Times New Roman" w:hAnsi="Arial" w:cs="Arial"/>
        </w:rPr>
        <w:t>2.</w:t>
      </w:r>
      <w:r w:rsidR="006217C7">
        <w:rPr>
          <w:rFonts w:ascii="Arial" w:eastAsia="Times New Roman" w:hAnsi="Arial" w:cs="Arial"/>
        </w:rPr>
        <w:t>537.049,68</w:t>
      </w:r>
      <w:r w:rsidR="00912BF4" w:rsidRPr="003A2F86">
        <w:rPr>
          <w:rFonts w:ascii="Arial" w:eastAsia="Times New Roman" w:hAnsi="Arial" w:cs="Arial"/>
        </w:rPr>
        <w:t xml:space="preserve"> €, porez na dohodak od samostalnih djelatnosti </w:t>
      </w:r>
      <w:r w:rsidR="00DE4F9E">
        <w:rPr>
          <w:rFonts w:ascii="Arial" w:eastAsia="Times New Roman" w:hAnsi="Arial" w:cs="Arial"/>
        </w:rPr>
        <w:t>235.366,24</w:t>
      </w:r>
      <w:r w:rsidR="00912BF4" w:rsidRPr="003A2F86">
        <w:rPr>
          <w:rFonts w:ascii="Arial" w:eastAsia="Times New Roman" w:hAnsi="Arial" w:cs="Arial"/>
        </w:rPr>
        <w:t xml:space="preserve"> €, porez na dohodak od imovine i imovinskih prava </w:t>
      </w:r>
      <w:r w:rsidR="00DE4F9E">
        <w:rPr>
          <w:rFonts w:ascii="Arial" w:eastAsia="Times New Roman" w:hAnsi="Arial" w:cs="Arial"/>
        </w:rPr>
        <w:t>303.422,55</w:t>
      </w:r>
      <w:r w:rsidR="00912BF4" w:rsidRPr="003A2F86">
        <w:rPr>
          <w:rFonts w:ascii="Arial" w:eastAsia="Times New Roman" w:hAnsi="Arial" w:cs="Arial"/>
        </w:rPr>
        <w:t xml:space="preserve"> €, porez na dohodak od kapitala </w:t>
      </w:r>
      <w:r w:rsidR="00DE4F9E">
        <w:rPr>
          <w:rFonts w:ascii="Arial" w:eastAsia="Times New Roman" w:hAnsi="Arial" w:cs="Arial"/>
        </w:rPr>
        <w:t>220.866,66</w:t>
      </w:r>
      <w:r w:rsidR="00912BF4" w:rsidRPr="003A2F86">
        <w:rPr>
          <w:rFonts w:ascii="Arial" w:eastAsia="Times New Roman" w:hAnsi="Arial" w:cs="Arial"/>
        </w:rPr>
        <w:t xml:space="preserve"> €, porez na dohodak za decentralizirane funkcije vatrogastva u iznosu </w:t>
      </w:r>
      <w:r w:rsidR="006217C7">
        <w:rPr>
          <w:rFonts w:ascii="Arial" w:eastAsia="Times New Roman" w:hAnsi="Arial" w:cs="Arial"/>
        </w:rPr>
        <w:t>46.172,91</w:t>
      </w:r>
      <w:r w:rsidR="00912BF4" w:rsidRPr="003A2F86">
        <w:rPr>
          <w:rFonts w:ascii="Arial" w:eastAsia="Times New Roman" w:hAnsi="Arial" w:cs="Arial"/>
        </w:rPr>
        <w:t xml:space="preserve"> €, dok povrat poreza po godišnjim prijavama iznosi </w:t>
      </w:r>
      <w:r w:rsidR="006217C7">
        <w:rPr>
          <w:rFonts w:ascii="Arial" w:eastAsia="Times New Roman" w:hAnsi="Arial" w:cs="Arial"/>
        </w:rPr>
        <w:t>684.624,21</w:t>
      </w:r>
      <w:r w:rsidR="00912BF4" w:rsidRPr="003A2F86">
        <w:rPr>
          <w:rFonts w:ascii="Arial" w:eastAsia="Times New Roman" w:hAnsi="Arial" w:cs="Arial"/>
        </w:rPr>
        <w:t xml:space="preserve"> €, a uplate po godišnjim prijavama </w:t>
      </w:r>
      <w:r w:rsidR="006217C7">
        <w:rPr>
          <w:rFonts w:ascii="Arial" w:eastAsia="Times New Roman" w:hAnsi="Arial" w:cs="Arial"/>
        </w:rPr>
        <w:t>188.494,37</w:t>
      </w:r>
      <w:r w:rsidR="00912BF4" w:rsidRPr="003A2F86">
        <w:rPr>
          <w:rFonts w:ascii="Arial" w:eastAsia="Times New Roman" w:hAnsi="Arial" w:cs="Arial"/>
        </w:rPr>
        <w:t xml:space="preserve"> €),</w:t>
      </w:r>
    </w:p>
    <w:p w14:paraId="62285BF6" w14:textId="1F3078D5" w:rsidR="00B21C26" w:rsidRPr="003A2F86" w:rsidRDefault="00B21C26" w:rsidP="00B21C26">
      <w:pPr>
        <w:spacing w:after="0" w:line="240" w:lineRule="auto"/>
        <w:ind w:firstLine="709"/>
        <w:jc w:val="both"/>
        <w:rPr>
          <w:rFonts w:ascii="Arial" w:eastAsia="Times New Roman" w:hAnsi="Arial" w:cs="Arial"/>
        </w:rPr>
      </w:pPr>
      <w:r w:rsidRPr="003A2F86">
        <w:rPr>
          <w:rFonts w:ascii="Arial" w:eastAsia="Times New Roman" w:hAnsi="Arial" w:cs="Arial"/>
        </w:rPr>
        <w:t xml:space="preserve">b) </w:t>
      </w:r>
      <w:r w:rsidRPr="003A2F86">
        <w:rPr>
          <w:rFonts w:ascii="Arial" w:eastAsia="Times New Roman" w:hAnsi="Arial" w:cs="Arial"/>
          <w:b/>
          <w:bCs/>
        </w:rPr>
        <w:t>porez na imovinu (613)</w:t>
      </w:r>
      <w:r w:rsidRPr="003A2F86">
        <w:rPr>
          <w:rFonts w:ascii="Arial" w:eastAsia="Times New Roman" w:hAnsi="Arial" w:cs="Arial"/>
        </w:rPr>
        <w:t xml:space="preserve"> </w:t>
      </w:r>
      <w:r w:rsidR="00912BF4" w:rsidRPr="003A2F86">
        <w:rPr>
          <w:rFonts w:ascii="Arial" w:eastAsia="Times New Roman" w:hAnsi="Arial" w:cs="Arial"/>
        </w:rPr>
        <w:t xml:space="preserve">u iznosu </w:t>
      </w:r>
      <w:r w:rsidR="00DE4972">
        <w:rPr>
          <w:rFonts w:ascii="Arial" w:eastAsia="Times New Roman" w:hAnsi="Arial" w:cs="Arial"/>
        </w:rPr>
        <w:t>360.537,31</w:t>
      </w:r>
      <w:r w:rsidR="00912BF4" w:rsidRPr="003A2F86">
        <w:rPr>
          <w:rFonts w:ascii="Arial" w:eastAsia="Times New Roman" w:hAnsi="Arial" w:cs="Arial"/>
        </w:rPr>
        <w:t xml:space="preserve"> € (odnosno porez na promet nekretnina </w:t>
      </w:r>
      <w:r w:rsidR="00DE4972">
        <w:rPr>
          <w:rFonts w:ascii="Arial" w:eastAsia="Times New Roman" w:hAnsi="Arial" w:cs="Arial"/>
        </w:rPr>
        <w:t>347.679,24</w:t>
      </w:r>
      <w:r w:rsidR="00912BF4" w:rsidRPr="003A2F86">
        <w:rPr>
          <w:rFonts w:ascii="Arial" w:eastAsia="Times New Roman" w:hAnsi="Arial" w:cs="Arial"/>
        </w:rPr>
        <w:t xml:space="preserve"> €, te općinski porezi i to porez na kuće za odmor u iznosu </w:t>
      </w:r>
      <w:r w:rsidR="00DE4972">
        <w:rPr>
          <w:rFonts w:ascii="Arial" w:eastAsia="Times New Roman" w:hAnsi="Arial" w:cs="Arial"/>
        </w:rPr>
        <w:t>12.791,72</w:t>
      </w:r>
      <w:r w:rsidR="00912BF4" w:rsidRPr="003A2F86">
        <w:rPr>
          <w:rFonts w:ascii="Arial" w:eastAsia="Times New Roman" w:hAnsi="Arial" w:cs="Arial"/>
        </w:rPr>
        <w:t xml:space="preserve"> €, porez na korištenje javnih površina </w:t>
      </w:r>
      <w:r w:rsidR="00DE4972">
        <w:rPr>
          <w:rFonts w:ascii="Arial" w:eastAsia="Times New Roman" w:hAnsi="Arial" w:cs="Arial"/>
        </w:rPr>
        <w:t>66,35</w:t>
      </w:r>
      <w:r w:rsidR="00912BF4" w:rsidRPr="003A2F86">
        <w:rPr>
          <w:rFonts w:ascii="Arial" w:eastAsia="Times New Roman" w:hAnsi="Arial" w:cs="Arial"/>
        </w:rPr>
        <w:t xml:space="preserve"> €), </w:t>
      </w:r>
      <w:r w:rsidRPr="003A2F86">
        <w:rPr>
          <w:rFonts w:ascii="Arial" w:eastAsia="Times New Roman" w:hAnsi="Arial" w:cs="Arial"/>
        </w:rPr>
        <w:t xml:space="preserve">te </w:t>
      </w:r>
    </w:p>
    <w:p w14:paraId="415CE514" w14:textId="6558AE8C" w:rsidR="00B21C26" w:rsidRPr="003A2F86" w:rsidRDefault="00B21C26" w:rsidP="00B21C26">
      <w:pPr>
        <w:spacing w:after="0" w:line="240" w:lineRule="auto"/>
        <w:ind w:firstLine="709"/>
        <w:jc w:val="both"/>
        <w:rPr>
          <w:rFonts w:ascii="Arial" w:eastAsia="Times New Roman" w:hAnsi="Arial" w:cs="Arial"/>
        </w:rPr>
      </w:pPr>
      <w:r w:rsidRPr="003A2F86">
        <w:rPr>
          <w:rFonts w:ascii="Arial" w:eastAsia="Times New Roman" w:hAnsi="Arial" w:cs="Arial"/>
        </w:rPr>
        <w:t xml:space="preserve">c) </w:t>
      </w:r>
      <w:r w:rsidRPr="003A2F86">
        <w:rPr>
          <w:rFonts w:ascii="Arial" w:eastAsia="Times New Roman" w:hAnsi="Arial" w:cs="Arial"/>
          <w:b/>
          <w:bCs/>
        </w:rPr>
        <w:t>porezi na robu i usluge (614)</w:t>
      </w:r>
      <w:r w:rsidRPr="003A2F86">
        <w:rPr>
          <w:rFonts w:ascii="Arial" w:eastAsia="Times New Roman" w:hAnsi="Arial" w:cs="Arial"/>
        </w:rPr>
        <w:t xml:space="preserve"> </w:t>
      </w:r>
      <w:r w:rsidR="00912BF4" w:rsidRPr="003A2F86">
        <w:rPr>
          <w:rFonts w:ascii="Arial" w:eastAsia="Times New Roman" w:hAnsi="Arial" w:cs="Arial"/>
        </w:rPr>
        <w:t xml:space="preserve">u iznosu </w:t>
      </w:r>
      <w:r w:rsidR="003313AE">
        <w:rPr>
          <w:rFonts w:ascii="Arial" w:eastAsia="Times New Roman" w:hAnsi="Arial" w:cs="Arial"/>
        </w:rPr>
        <w:t>60.098,59</w:t>
      </w:r>
      <w:r w:rsidR="00912BF4" w:rsidRPr="003A2F86">
        <w:rPr>
          <w:rFonts w:ascii="Arial" w:eastAsia="Times New Roman" w:hAnsi="Arial" w:cs="Arial"/>
        </w:rPr>
        <w:t xml:space="preserve"> € (općinski porezi i to porez na potrošnju).</w:t>
      </w:r>
    </w:p>
    <w:p w14:paraId="2F14AC60" w14:textId="77777777" w:rsidR="00F8681C" w:rsidRPr="003A2F86" w:rsidRDefault="00F8681C" w:rsidP="00F8681C">
      <w:pPr>
        <w:spacing w:after="0" w:line="240" w:lineRule="auto"/>
        <w:jc w:val="both"/>
        <w:rPr>
          <w:rFonts w:ascii="Arial" w:hAnsi="Arial" w:cs="Arial"/>
          <w:iCs/>
        </w:rPr>
      </w:pPr>
    </w:p>
    <w:p w14:paraId="01FC13D9" w14:textId="1072BD77" w:rsidR="00912BF4" w:rsidRPr="003A2F86" w:rsidRDefault="00912BF4" w:rsidP="00912BF4">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U </w:t>
      </w:r>
      <w:r w:rsidR="003313AE">
        <w:rPr>
          <w:rFonts w:ascii="Arial" w:eastAsia="Times New Roman" w:hAnsi="Arial" w:cs="Arial"/>
          <w:iCs/>
          <w:lang w:eastAsia="en-US"/>
        </w:rPr>
        <w:t xml:space="preserve">prvom polugodištu </w:t>
      </w:r>
      <w:r w:rsidRPr="003A2F86">
        <w:rPr>
          <w:rFonts w:ascii="Arial" w:eastAsia="Times New Roman" w:hAnsi="Arial" w:cs="Arial"/>
          <w:iCs/>
          <w:lang w:eastAsia="en-US"/>
        </w:rPr>
        <w:t>202</w:t>
      </w:r>
      <w:r w:rsidR="003313AE">
        <w:rPr>
          <w:rFonts w:ascii="Arial" w:eastAsia="Times New Roman" w:hAnsi="Arial" w:cs="Arial"/>
          <w:iCs/>
          <w:lang w:eastAsia="en-US"/>
        </w:rPr>
        <w:t>5</w:t>
      </w:r>
      <w:r w:rsidRPr="003A2F86">
        <w:rPr>
          <w:rFonts w:ascii="Arial" w:eastAsia="Times New Roman" w:hAnsi="Arial" w:cs="Arial"/>
          <w:iCs/>
          <w:lang w:eastAsia="en-US"/>
        </w:rPr>
        <w:t xml:space="preserve">. prihodi od poreza na dohodak (611) su ostvareni u iznosu </w:t>
      </w:r>
      <w:r w:rsidR="003313AE">
        <w:rPr>
          <w:rFonts w:ascii="Arial" w:eastAsia="Times New Roman" w:hAnsi="Arial" w:cs="Arial"/>
          <w:iCs/>
          <w:lang w:eastAsia="en-US"/>
        </w:rPr>
        <w:t>2.846.748,20</w:t>
      </w:r>
      <w:r w:rsidRPr="003A2F86">
        <w:rPr>
          <w:rFonts w:ascii="Arial" w:eastAsia="Times New Roman" w:hAnsi="Arial" w:cs="Arial"/>
          <w:iCs/>
          <w:lang w:eastAsia="en-US"/>
        </w:rPr>
        <w:t xml:space="preserve"> € što je za </w:t>
      </w:r>
      <w:r w:rsidR="003313AE">
        <w:rPr>
          <w:rFonts w:ascii="Arial" w:eastAsia="Times New Roman" w:hAnsi="Arial" w:cs="Arial"/>
          <w:iCs/>
          <w:lang w:eastAsia="en-US"/>
        </w:rPr>
        <w:t>441.841,57</w:t>
      </w:r>
      <w:r w:rsidRPr="003A2F86">
        <w:rPr>
          <w:rFonts w:ascii="Arial" w:eastAsia="Times New Roman" w:hAnsi="Arial" w:cs="Arial"/>
          <w:iCs/>
          <w:lang w:eastAsia="en-US"/>
        </w:rPr>
        <w:t xml:space="preserve"> € ili 1</w:t>
      </w:r>
      <w:r w:rsidR="003313AE">
        <w:rPr>
          <w:rFonts w:ascii="Arial" w:eastAsia="Times New Roman" w:hAnsi="Arial" w:cs="Arial"/>
          <w:iCs/>
          <w:lang w:eastAsia="en-US"/>
        </w:rPr>
        <w:t>8</w:t>
      </w:r>
      <w:r w:rsidRPr="003A2F86">
        <w:rPr>
          <w:rFonts w:ascii="Arial" w:eastAsia="Times New Roman" w:hAnsi="Arial" w:cs="Arial"/>
          <w:iCs/>
          <w:lang w:eastAsia="en-US"/>
        </w:rPr>
        <w:t>,</w:t>
      </w:r>
      <w:r w:rsidR="003313AE">
        <w:rPr>
          <w:rFonts w:ascii="Arial" w:eastAsia="Times New Roman" w:hAnsi="Arial" w:cs="Arial"/>
          <w:iCs/>
          <w:lang w:eastAsia="en-US"/>
        </w:rPr>
        <w:t>4</w:t>
      </w:r>
      <w:r w:rsidRPr="003A2F86">
        <w:rPr>
          <w:rFonts w:ascii="Arial" w:eastAsia="Times New Roman" w:hAnsi="Arial" w:cs="Arial"/>
          <w:iCs/>
          <w:lang w:eastAsia="en-US"/>
        </w:rPr>
        <w:t>% više u odnosu na izvještajno razdoblje prethodne godine.</w:t>
      </w:r>
    </w:p>
    <w:p w14:paraId="3E921185" w14:textId="77777777" w:rsidR="00912BF4" w:rsidRPr="003A2F86" w:rsidRDefault="00912BF4" w:rsidP="00912BF4">
      <w:pPr>
        <w:spacing w:after="0" w:line="240" w:lineRule="auto"/>
        <w:jc w:val="both"/>
        <w:rPr>
          <w:rFonts w:ascii="Arial" w:eastAsia="Times New Roman" w:hAnsi="Arial" w:cs="Arial"/>
          <w:i/>
          <w:iCs/>
          <w:lang w:eastAsia="en-US"/>
        </w:rPr>
      </w:pPr>
    </w:p>
    <w:p w14:paraId="125241D5" w14:textId="22BB59ED" w:rsidR="009201B0" w:rsidRPr="003A2F86" w:rsidRDefault="009201B0" w:rsidP="009201B0">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Porez na kuće za odmor i porez na korištenje javnih površina (6131) su ostvareni u iznosu </w:t>
      </w:r>
      <w:r w:rsidR="00A62777">
        <w:rPr>
          <w:rFonts w:ascii="Arial" w:eastAsia="Times New Roman" w:hAnsi="Arial" w:cs="Arial"/>
          <w:iCs/>
          <w:lang w:eastAsia="en-US"/>
        </w:rPr>
        <w:t>12.858,07</w:t>
      </w:r>
      <w:r w:rsidRPr="003A2F86">
        <w:rPr>
          <w:rFonts w:ascii="Arial" w:eastAsia="Times New Roman" w:hAnsi="Arial" w:cs="Arial"/>
          <w:iCs/>
          <w:lang w:eastAsia="en-US"/>
        </w:rPr>
        <w:t xml:space="preserve"> € </w:t>
      </w:r>
      <w:r w:rsidR="00E95332" w:rsidRPr="003A2F86">
        <w:rPr>
          <w:rFonts w:ascii="Arial" w:eastAsia="Times New Roman" w:hAnsi="Arial" w:cs="Arial"/>
          <w:iCs/>
          <w:lang w:eastAsia="en-US"/>
        </w:rPr>
        <w:t xml:space="preserve">što je </w:t>
      </w:r>
      <w:r w:rsidRPr="003A2F86">
        <w:rPr>
          <w:rFonts w:ascii="Arial" w:eastAsia="Times New Roman" w:hAnsi="Arial" w:cs="Arial"/>
          <w:iCs/>
          <w:lang w:eastAsia="en-US"/>
        </w:rPr>
        <w:t xml:space="preserve">više za </w:t>
      </w:r>
      <w:r w:rsidR="00000BAB">
        <w:rPr>
          <w:rFonts w:ascii="Arial" w:eastAsia="Times New Roman" w:hAnsi="Arial" w:cs="Arial"/>
          <w:iCs/>
          <w:lang w:eastAsia="en-US"/>
        </w:rPr>
        <w:t>2.083,78</w:t>
      </w:r>
      <w:r w:rsidRPr="003A2F86">
        <w:rPr>
          <w:rFonts w:ascii="Arial" w:eastAsia="Times New Roman" w:hAnsi="Arial" w:cs="Arial"/>
          <w:iCs/>
          <w:lang w:eastAsia="en-US"/>
        </w:rPr>
        <w:t xml:space="preserve"> € ili </w:t>
      </w:r>
      <w:r w:rsidR="003120A1">
        <w:rPr>
          <w:rFonts w:ascii="Arial" w:eastAsia="Times New Roman" w:hAnsi="Arial" w:cs="Arial"/>
          <w:iCs/>
          <w:lang w:eastAsia="en-US"/>
        </w:rPr>
        <w:t>19,3</w:t>
      </w:r>
      <w:r w:rsidRPr="003A2F86">
        <w:rPr>
          <w:rFonts w:ascii="Arial" w:eastAsia="Times New Roman" w:hAnsi="Arial" w:cs="Arial"/>
          <w:iCs/>
          <w:lang w:eastAsia="en-US"/>
        </w:rPr>
        <w:t xml:space="preserve">% u odnosu na izvještajno razdoblje prethodne godine kada su ovi prihodi bili ostvareni u iznosu </w:t>
      </w:r>
      <w:r w:rsidR="003120A1">
        <w:rPr>
          <w:rFonts w:ascii="Arial" w:eastAsia="Times New Roman" w:hAnsi="Arial" w:cs="Arial"/>
          <w:iCs/>
          <w:lang w:eastAsia="en-US"/>
        </w:rPr>
        <w:t>10.774,29</w:t>
      </w:r>
      <w:r w:rsidRPr="003A2F86">
        <w:rPr>
          <w:rFonts w:ascii="Arial" w:eastAsia="Times New Roman" w:hAnsi="Arial" w:cs="Arial"/>
          <w:iCs/>
          <w:lang w:eastAsia="en-US"/>
        </w:rPr>
        <w:t xml:space="preserve"> €.</w:t>
      </w:r>
    </w:p>
    <w:p w14:paraId="6923FC1F" w14:textId="77777777" w:rsidR="007945A5" w:rsidRPr="003A2F86" w:rsidRDefault="007945A5" w:rsidP="00B0794B">
      <w:pPr>
        <w:spacing w:after="0" w:line="240" w:lineRule="auto"/>
        <w:jc w:val="both"/>
        <w:rPr>
          <w:rFonts w:ascii="Arial" w:eastAsia="Times New Roman" w:hAnsi="Arial" w:cs="Arial"/>
          <w:iCs/>
          <w:lang w:eastAsia="en-US"/>
        </w:rPr>
      </w:pPr>
    </w:p>
    <w:p w14:paraId="32669AEA" w14:textId="01A7F053" w:rsidR="00B0794B" w:rsidRPr="003A2F86" w:rsidRDefault="00B0794B" w:rsidP="00B0794B">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Prihodi od poreza na potrošnju (općinski porez) (6142) su ostvareni u iznosu </w:t>
      </w:r>
      <w:r w:rsidR="003120A1">
        <w:rPr>
          <w:rFonts w:ascii="Arial" w:eastAsia="Times New Roman" w:hAnsi="Arial" w:cs="Arial"/>
          <w:iCs/>
          <w:lang w:eastAsia="en-US"/>
        </w:rPr>
        <w:t>60.098,59</w:t>
      </w:r>
      <w:r w:rsidRPr="003A2F86">
        <w:rPr>
          <w:rFonts w:ascii="Arial" w:eastAsia="Times New Roman" w:hAnsi="Arial" w:cs="Arial"/>
          <w:iCs/>
          <w:lang w:eastAsia="en-US"/>
        </w:rPr>
        <w:t xml:space="preserve"> € što je </w:t>
      </w:r>
      <w:r w:rsidR="003120A1">
        <w:rPr>
          <w:rFonts w:ascii="Arial" w:eastAsia="Times New Roman" w:hAnsi="Arial" w:cs="Arial"/>
          <w:iCs/>
          <w:lang w:eastAsia="en-US"/>
        </w:rPr>
        <w:t>manje</w:t>
      </w:r>
      <w:r w:rsidRPr="003A2F86">
        <w:rPr>
          <w:rFonts w:ascii="Arial" w:eastAsia="Times New Roman" w:hAnsi="Arial" w:cs="Arial"/>
          <w:iCs/>
          <w:lang w:eastAsia="en-US"/>
        </w:rPr>
        <w:t xml:space="preserve"> za </w:t>
      </w:r>
      <w:r w:rsidR="003120A1">
        <w:rPr>
          <w:rFonts w:ascii="Arial" w:eastAsia="Times New Roman" w:hAnsi="Arial" w:cs="Arial"/>
          <w:iCs/>
          <w:lang w:eastAsia="en-US"/>
        </w:rPr>
        <w:t>5.981,86</w:t>
      </w:r>
      <w:r w:rsidRPr="003A2F86">
        <w:rPr>
          <w:rFonts w:ascii="Arial" w:eastAsia="Times New Roman" w:hAnsi="Arial" w:cs="Arial"/>
          <w:iCs/>
          <w:lang w:eastAsia="en-US"/>
        </w:rPr>
        <w:t xml:space="preserve"> </w:t>
      </w:r>
      <w:r w:rsidR="009757B5" w:rsidRPr="003A2F86">
        <w:rPr>
          <w:rFonts w:ascii="Arial" w:eastAsia="Times New Roman" w:hAnsi="Arial" w:cs="Arial"/>
          <w:iCs/>
          <w:lang w:eastAsia="en-US"/>
        </w:rPr>
        <w:t xml:space="preserve">€ ili </w:t>
      </w:r>
      <w:r w:rsidR="00904876">
        <w:rPr>
          <w:rFonts w:ascii="Arial" w:eastAsia="Times New Roman" w:hAnsi="Arial" w:cs="Arial"/>
          <w:iCs/>
          <w:lang w:eastAsia="en-US"/>
        </w:rPr>
        <w:t>9,1</w:t>
      </w:r>
      <w:r w:rsidR="009201B0" w:rsidRPr="003A2F86">
        <w:rPr>
          <w:rFonts w:ascii="Arial" w:eastAsia="Times New Roman" w:hAnsi="Arial" w:cs="Arial"/>
          <w:iCs/>
          <w:lang w:eastAsia="en-US"/>
        </w:rPr>
        <w:t>%</w:t>
      </w:r>
      <w:r w:rsidRPr="003A2F86">
        <w:rPr>
          <w:rFonts w:ascii="Arial" w:eastAsia="Times New Roman" w:hAnsi="Arial" w:cs="Arial"/>
          <w:iCs/>
          <w:lang w:eastAsia="en-US"/>
        </w:rPr>
        <w:t xml:space="preserve"> u odnosu na prethodnu godinu.</w:t>
      </w:r>
    </w:p>
    <w:p w14:paraId="2551C925" w14:textId="77777777" w:rsidR="00B0794B" w:rsidRPr="003A2F86" w:rsidRDefault="00B0794B" w:rsidP="00B0794B">
      <w:pPr>
        <w:spacing w:after="0" w:line="240" w:lineRule="auto"/>
        <w:jc w:val="both"/>
        <w:rPr>
          <w:rFonts w:ascii="Arial" w:eastAsia="Times New Roman" w:hAnsi="Arial" w:cs="Arial"/>
          <w:iCs/>
          <w:lang w:eastAsia="en-US"/>
        </w:rPr>
      </w:pPr>
    </w:p>
    <w:p w14:paraId="3A58A96B" w14:textId="5F1CD076" w:rsidR="00F70689" w:rsidRPr="003A2F86" w:rsidRDefault="00F70689" w:rsidP="00BD3037">
      <w:pPr>
        <w:pStyle w:val="Opisslike"/>
        <w:rPr>
          <w:rFonts w:ascii="Arial" w:hAnsi="Arial" w:cs="Arial"/>
        </w:rPr>
      </w:pPr>
      <w:bookmarkStart w:id="79" w:name="_Toc207707015"/>
      <w:bookmarkEnd w:id="77"/>
      <w:bookmarkEnd w:id="78"/>
      <w:r w:rsidRPr="003A2F86">
        <w:rPr>
          <w:color w:val="FF0000"/>
        </w:rPr>
        <w:t xml:space="preserve">Graf </w:t>
      </w:r>
      <w:r w:rsidRPr="003A2F86">
        <w:rPr>
          <w:color w:val="FF0000"/>
        </w:rPr>
        <w:fldChar w:fldCharType="begin"/>
      </w:r>
      <w:r w:rsidRPr="003A2F86">
        <w:rPr>
          <w:color w:val="FF0000"/>
        </w:rPr>
        <w:instrText xml:space="preserve"> SEQ Graf \* ARABIC </w:instrText>
      </w:r>
      <w:r w:rsidRPr="003A2F86">
        <w:rPr>
          <w:color w:val="FF0000"/>
        </w:rPr>
        <w:fldChar w:fldCharType="separate"/>
      </w:r>
      <w:r w:rsidR="00910987">
        <w:rPr>
          <w:noProof/>
          <w:color w:val="FF0000"/>
        </w:rPr>
        <w:t>10</w:t>
      </w:r>
      <w:r w:rsidRPr="003A2F86">
        <w:rPr>
          <w:color w:val="FF0000"/>
        </w:rPr>
        <w:fldChar w:fldCharType="end"/>
      </w:r>
      <w:r w:rsidRPr="003A2F86">
        <w:rPr>
          <w:color w:val="FF0000"/>
        </w:rPr>
        <w:t xml:space="preserve">.: </w:t>
      </w:r>
      <w:r w:rsidRPr="003A2F86">
        <w:rPr>
          <w:rFonts w:ascii="Arial" w:hAnsi="Arial" w:cs="Arial"/>
        </w:rPr>
        <w:t xml:space="preserve">Struktura ostvarenih prihoda od poreza (61) u </w:t>
      </w:r>
      <w:r w:rsidR="00904876">
        <w:rPr>
          <w:rFonts w:ascii="Arial" w:hAnsi="Arial" w:cs="Arial"/>
        </w:rPr>
        <w:t>1-6/</w:t>
      </w:r>
      <w:r w:rsidRPr="003A2F86">
        <w:rPr>
          <w:rFonts w:ascii="Arial" w:hAnsi="Arial" w:cs="Arial"/>
        </w:rPr>
        <w:t>20</w:t>
      </w:r>
      <w:r w:rsidR="00FC4F4E" w:rsidRPr="003A2F86">
        <w:rPr>
          <w:rFonts w:ascii="Arial" w:hAnsi="Arial" w:cs="Arial"/>
        </w:rPr>
        <w:t>2</w:t>
      </w:r>
      <w:r w:rsidR="00904876">
        <w:rPr>
          <w:rFonts w:ascii="Arial" w:hAnsi="Arial" w:cs="Arial"/>
        </w:rPr>
        <w:t>5</w:t>
      </w:r>
      <w:r w:rsidRPr="003A2F86">
        <w:rPr>
          <w:rFonts w:ascii="Arial" w:hAnsi="Arial" w:cs="Arial"/>
        </w:rPr>
        <w:t>.</w:t>
      </w:r>
      <w:r w:rsidR="003C4737" w:rsidRPr="003A2F86">
        <w:rPr>
          <w:rFonts w:ascii="Arial" w:hAnsi="Arial" w:cs="Arial"/>
        </w:rPr>
        <w:t xml:space="preserve"> (€)</w:t>
      </w:r>
      <w:bookmarkEnd w:id="79"/>
    </w:p>
    <w:p w14:paraId="7E00189C" w14:textId="77777777" w:rsidR="007963E6" w:rsidRPr="003A2F86" w:rsidRDefault="007963E6" w:rsidP="00C50076">
      <w:pPr>
        <w:spacing w:after="0" w:line="240" w:lineRule="auto"/>
        <w:rPr>
          <w:lang w:eastAsia="en-US"/>
        </w:rPr>
      </w:pPr>
    </w:p>
    <w:p w14:paraId="766836A0" w14:textId="77777777" w:rsidR="00891119" w:rsidRPr="003A2F86" w:rsidRDefault="00891119" w:rsidP="007963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rPr>
      </w:pPr>
      <w:r w:rsidRPr="003A2F86">
        <w:rPr>
          <w:rFonts w:ascii="Arial" w:eastAsia="Times New Roman" w:hAnsi="Arial" w:cs="Arial"/>
          <w:noProof/>
          <w:color w:val="FF0000"/>
        </w:rPr>
        <w:drawing>
          <wp:inline distT="0" distB="0" distL="0" distR="0" wp14:anchorId="6EC25814" wp14:editId="1E1B86F8">
            <wp:extent cx="7839075" cy="2400300"/>
            <wp:effectExtent l="0" t="0" r="9525" b="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AE569A0" w14:textId="77777777" w:rsidR="00281E75" w:rsidRPr="003A2F86" w:rsidRDefault="00281E75" w:rsidP="007963E6">
      <w:pPr>
        <w:spacing w:after="0" w:line="240" w:lineRule="auto"/>
        <w:rPr>
          <w:lang w:eastAsia="en-US"/>
        </w:rPr>
      </w:pPr>
      <w:bookmarkStart w:id="80" w:name="_Hlk77837043"/>
    </w:p>
    <w:p w14:paraId="08F7AE18" w14:textId="77777777" w:rsidR="00C50076" w:rsidRPr="003A2F86" w:rsidRDefault="00C50076" w:rsidP="007963E6">
      <w:pPr>
        <w:spacing w:after="0" w:line="240" w:lineRule="auto"/>
        <w:rPr>
          <w:lang w:eastAsia="en-US"/>
        </w:rPr>
      </w:pPr>
    </w:p>
    <w:p w14:paraId="10EE0418" w14:textId="77777777" w:rsidR="00C50076" w:rsidRPr="003A2F86" w:rsidRDefault="00C50076" w:rsidP="007963E6">
      <w:pPr>
        <w:spacing w:after="0" w:line="240" w:lineRule="auto"/>
        <w:rPr>
          <w:sz w:val="14"/>
          <w:szCs w:val="14"/>
          <w:lang w:eastAsia="en-US"/>
        </w:rPr>
      </w:pPr>
    </w:p>
    <w:p w14:paraId="0FC90A3D" w14:textId="3146F727" w:rsidR="00F70689" w:rsidRPr="003A2F86" w:rsidRDefault="00F70689" w:rsidP="00F70689">
      <w:pPr>
        <w:pStyle w:val="Opisslike"/>
        <w:rPr>
          <w:rFonts w:ascii="Arial" w:hAnsi="Arial" w:cs="Arial"/>
        </w:rPr>
      </w:pPr>
      <w:bookmarkStart w:id="81" w:name="_Toc207707016"/>
      <w:r w:rsidRPr="003A2F86">
        <w:rPr>
          <w:color w:val="FF0000"/>
        </w:rPr>
        <w:t xml:space="preserve">Graf </w:t>
      </w:r>
      <w:r w:rsidRPr="003A2F86">
        <w:rPr>
          <w:color w:val="FF0000"/>
        </w:rPr>
        <w:fldChar w:fldCharType="begin"/>
      </w:r>
      <w:r w:rsidRPr="003A2F86">
        <w:rPr>
          <w:color w:val="FF0000"/>
        </w:rPr>
        <w:instrText xml:space="preserve"> SEQ Graf \* ARABIC </w:instrText>
      </w:r>
      <w:r w:rsidRPr="003A2F86">
        <w:rPr>
          <w:color w:val="FF0000"/>
        </w:rPr>
        <w:fldChar w:fldCharType="separate"/>
      </w:r>
      <w:r w:rsidR="00910987">
        <w:rPr>
          <w:noProof/>
          <w:color w:val="FF0000"/>
        </w:rPr>
        <w:t>11</w:t>
      </w:r>
      <w:r w:rsidRPr="003A2F86">
        <w:rPr>
          <w:color w:val="FF0000"/>
        </w:rPr>
        <w:fldChar w:fldCharType="end"/>
      </w:r>
      <w:r w:rsidRPr="003A2F86">
        <w:t xml:space="preserve">.: </w:t>
      </w:r>
      <w:r w:rsidRPr="003A2F86">
        <w:rPr>
          <w:rFonts w:ascii="Arial" w:hAnsi="Arial" w:cs="Arial"/>
        </w:rPr>
        <w:t>Prihodi od poreza i prireza na dohodak (611) u razdoblju 2010.-20</w:t>
      </w:r>
      <w:r w:rsidR="00241503" w:rsidRPr="003A2F86">
        <w:rPr>
          <w:rFonts w:ascii="Arial" w:hAnsi="Arial" w:cs="Arial"/>
        </w:rPr>
        <w:t>2</w:t>
      </w:r>
      <w:r w:rsidR="00144EB6" w:rsidRPr="003A2F86">
        <w:rPr>
          <w:rFonts w:ascii="Arial" w:hAnsi="Arial" w:cs="Arial"/>
        </w:rPr>
        <w:t>4</w:t>
      </w:r>
      <w:r w:rsidR="009201B0" w:rsidRPr="003A2F86">
        <w:rPr>
          <w:rFonts w:ascii="Arial" w:hAnsi="Arial" w:cs="Arial"/>
        </w:rPr>
        <w:t>.</w:t>
      </w:r>
      <w:r w:rsidR="001A4906">
        <w:rPr>
          <w:rFonts w:ascii="Arial" w:hAnsi="Arial" w:cs="Arial"/>
        </w:rPr>
        <w:t xml:space="preserve"> i 1-6/2025.</w:t>
      </w:r>
      <w:r w:rsidR="005E739B" w:rsidRPr="003A2F86">
        <w:rPr>
          <w:rFonts w:ascii="Arial" w:hAnsi="Arial" w:cs="Arial"/>
        </w:rPr>
        <w:t xml:space="preserve"> (€)</w:t>
      </w:r>
      <w:bookmarkEnd w:id="81"/>
    </w:p>
    <w:p w14:paraId="2E9A748B" w14:textId="77777777" w:rsidR="00023F91" w:rsidRPr="003A2F86" w:rsidRDefault="00023F91" w:rsidP="00023F91">
      <w:pPr>
        <w:spacing w:after="0" w:line="240" w:lineRule="auto"/>
        <w:jc w:val="center"/>
        <w:rPr>
          <w:rFonts w:ascii="Arial" w:eastAsia="Times New Roman" w:hAnsi="Arial" w:cs="Arial"/>
          <w:i/>
          <w:iCs/>
          <w:lang w:eastAsia="en-US"/>
        </w:rPr>
      </w:pPr>
      <w:r w:rsidRPr="003A2F86">
        <w:rPr>
          <w:rFonts w:ascii="Arial" w:eastAsia="Times New Roman" w:hAnsi="Arial" w:cs="Arial"/>
          <w:i/>
          <w:iCs/>
          <w:noProof/>
          <w:color w:val="FF0000"/>
        </w:rPr>
        <w:drawing>
          <wp:inline distT="0" distB="0" distL="0" distR="0" wp14:anchorId="66C54607" wp14:editId="14F26581">
            <wp:extent cx="8503920" cy="3381375"/>
            <wp:effectExtent l="0" t="0" r="11430" b="9525"/>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785EBBE" w14:textId="77777777" w:rsidR="006924DE" w:rsidRPr="003A2F86" w:rsidRDefault="006924DE" w:rsidP="00891119">
      <w:pPr>
        <w:spacing w:after="0" w:line="240" w:lineRule="auto"/>
        <w:jc w:val="both"/>
        <w:rPr>
          <w:rFonts w:ascii="Arial" w:eastAsia="Times New Roman" w:hAnsi="Arial" w:cs="Arial"/>
          <w:i/>
          <w:iCs/>
          <w:sz w:val="20"/>
          <w:szCs w:val="20"/>
          <w:lang w:eastAsia="en-US"/>
        </w:rPr>
      </w:pPr>
    </w:p>
    <w:p w14:paraId="7675BCAE" w14:textId="05ED2A7F" w:rsidR="00891119" w:rsidRPr="003A2F86" w:rsidRDefault="00891119" w:rsidP="00891119">
      <w:pPr>
        <w:spacing w:after="0" w:line="240" w:lineRule="auto"/>
        <w:jc w:val="both"/>
        <w:rPr>
          <w:rFonts w:ascii="Arial" w:eastAsia="Times New Roman" w:hAnsi="Arial" w:cs="Arial"/>
          <w:i/>
          <w:iCs/>
          <w:lang w:eastAsia="en-US"/>
        </w:rPr>
      </w:pPr>
      <w:r w:rsidRPr="003A2F86">
        <w:rPr>
          <w:rFonts w:ascii="Arial" w:eastAsia="Times New Roman" w:hAnsi="Arial" w:cs="Arial"/>
          <w:i/>
          <w:iCs/>
          <w:lang w:eastAsia="en-US"/>
        </w:rPr>
        <w:t>*Usporedba:</w:t>
      </w:r>
    </w:p>
    <w:tbl>
      <w:tblPr>
        <w:tblW w:w="14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223"/>
        <w:gridCol w:w="1559"/>
        <w:gridCol w:w="1276"/>
        <w:gridCol w:w="9833"/>
      </w:tblGrid>
      <w:tr w:rsidR="008658C8" w:rsidRPr="003A2F86" w14:paraId="3698E929" w14:textId="77777777" w:rsidTr="000C0282">
        <w:trPr>
          <w:jc w:val="center"/>
        </w:trPr>
        <w:tc>
          <w:tcPr>
            <w:tcW w:w="846" w:type="dxa"/>
            <w:tcBorders>
              <w:right w:val="nil"/>
            </w:tcBorders>
            <w:vAlign w:val="center"/>
          </w:tcPr>
          <w:p w14:paraId="1DD4444B" w14:textId="77777777" w:rsidR="003A2156" w:rsidRPr="003A2F86" w:rsidRDefault="003A2156" w:rsidP="00891119">
            <w:pPr>
              <w:spacing w:after="0" w:line="240" w:lineRule="auto"/>
              <w:jc w:val="center"/>
              <w:rPr>
                <w:rFonts w:ascii="Arial" w:eastAsia="Times New Roman" w:hAnsi="Arial" w:cs="Arial"/>
                <w:b/>
                <w:i/>
                <w:iCs/>
                <w:sz w:val="16"/>
                <w:szCs w:val="16"/>
                <w:lang w:eastAsia="en-US"/>
              </w:rPr>
            </w:pPr>
          </w:p>
        </w:tc>
        <w:tc>
          <w:tcPr>
            <w:tcW w:w="4058" w:type="dxa"/>
            <w:gridSpan w:val="3"/>
            <w:tcBorders>
              <w:left w:val="nil"/>
              <w:right w:val="nil"/>
            </w:tcBorders>
          </w:tcPr>
          <w:p w14:paraId="734CA611" w14:textId="77777777" w:rsidR="003A2156" w:rsidRPr="003A2F86" w:rsidRDefault="003A2156" w:rsidP="00891119">
            <w:pPr>
              <w:spacing w:after="0" w:line="240" w:lineRule="auto"/>
              <w:jc w:val="center"/>
              <w:rPr>
                <w:rFonts w:ascii="Arial" w:eastAsia="Times New Roman" w:hAnsi="Arial" w:cs="Arial"/>
                <w:b/>
                <w:i/>
                <w:iCs/>
                <w:sz w:val="16"/>
                <w:szCs w:val="16"/>
                <w:lang w:eastAsia="en-US"/>
              </w:rPr>
            </w:pPr>
          </w:p>
        </w:tc>
        <w:tc>
          <w:tcPr>
            <w:tcW w:w="9833" w:type="dxa"/>
            <w:tcBorders>
              <w:left w:val="nil"/>
            </w:tcBorders>
            <w:vAlign w:val="center"/>
          </w:tcPr>
          <w:p w14:paraId="5E8BDC8D" w14:textId="77777777" w:rsidR="003A2156" w:rsidRPr="003A2F86" w:rsidRDefault="003A2156" w:rsidP="00232BCA">
            <w:pPr>
              <w:spacing w:after="0" w:line="240" w:lineRule="auto"/>
              <w:jc w:val="center"/>
              <w:rPr>
                <w:rFonts w:ascii="Arial" w:eastAsia="Times New Roman" w:hAnsi="Arial" w:cs="Arial"/>
                <w:b/>
                <w:i/>
                <w:iCs/>
                <w:sz w:val="16"/>
                <w:szCs w:val="16"/>
                <w:lang w:eastAsia="en-US"/>
              </w:rPr>
            </w:pPr>
            <w:r w:rsidRPr="003A2F86">
              <w:rPr>
                <w:rFonts w:ascii="Arial" w:eastAsia="Times New Roman" w:hAnsi="Arial" w:cs="Arial"/>
                <w:b/>
                <w:i/>
                <w:iCs/>
                <w:sz w:val="16"/>
                <w:szCs w:val="16"/>
                <w:lang w:eastAsia="en-US"/>
              </w:rPr>
              <w:t>Prihod od poreza i prireza na dohodak (</w:t>
            </w:r>
            <w:r w:rsidRPr="003A2F86">
              <w:rPr>
                <w:rFonts w:ascii="Arial" w:eastAsia="Times New Roman" w:hAnsi="Arial" w:cs="Arial"/>
                <w:b/>
                <w:i/>
                <w:iCs/>
                <w:color w:val="FF0000"/>
                <w:sz w:val="16"/>
                <w:szCs w:val="16"/>
                <w:lang w:eastAsia="en-US"/>
              </w:rPr>
              <w:t>611</w:t>
            </w:r>
            <w:r w:rsidRPr="003A2F86">
              <w:rPr>
                <w:rFonts w:ascii="Arial" w:eastAsia="Times New Roman" w:hAnsi="Arial" w:cs="Arial"/>
                <w:b/>
                <w:i/>
                <w:iCs/>
                <w:sz w:val="16"/>
                <w:szCs w:val="16"/>
                <w:lang w:eastAsia="en-US"/>
              </w:rPr>
              <w:t>)</w:t>
            </w:r>
          </w:p>
        </w:tc>
      </w:tr>
      <w:tr w:rsidR="008658C8" w:rsidRPr="003A2F86" w14:paraId="5BB7F117" w14:textId="77777777" w:rsidTr="000C0282">
        <w:trPr>
          <w:jc w:val="center"/>
        </w:trPr>
        <w:tc>
          <w:tcPr>
            <w:tcW w:w="846" w:type="dxa"/>
            <w:vMerge w:val="restart"/>
            <w:tcMar>
              <w:left w:w="0" w:type="dxa"/>
              <w:right w:w="0" w:type="dxa"/>
            </w:tcMar>
            <w:vAlign w:val="center"/>
          </w:tcPr>
          <w:p w14:paraId="23359EDE" w14:textId="77777777" w:rsidR="003A2156" w:rsidRPr="003A2F86" w:rsidRDefault="003A2156" w:rsidP="0077686B">
            <w:pPr>
              <w:spacing w:after="0" w:line="240" w:lineRule="auto"/>
              <w:jc w:val="center"/>
              <w:rPr>
                <w:rFonts w:ascii="Arial" w:eastAsia="Times New Roman" w:hAnsi="Arial" w:cs="Arial"/>
                <w:b/>
                <w:i/>
                <w:iCs/>
                <w:sz w:val="16"/>
                <w:szCs w:val="16"/>
                <w:lang w:eastAsia="en-US"/>
              </w:rPr>
            </w:pPr>
            <w:r w:rsidRPr="003A2F86">
              <w:rPr>
                <w:rFonts w:ascii="Arial" w:eastAsia="Times New Roman" w:hAnsi="Arial" w:cs="Arial"/>
                <w:b/>
                <w:i/>
                <w:iCs/>
                <w:sz w:val="16"/>
                <w:szCs w:val="16"/>
                <w:lang w:eastAsia="en-US"/>
              </w:rPr>
              <w:t>Godina</w:t>
            </w:r>
          </w:p>
        </w:tc>
        <w:tc>
          <w:tcPr>
            <w:tcW w:w="4058" w:type="dxa"/>
            <w:gridSpan w:val="3"/>
            <w:tcMar>
              <w:left w:w="0" w:type="dxa"/>
              <w:right w:w="0" w:type="dxa"/>
            </w:tcMar>
          </w:tcPr>
          <w:p w14:paraId="5B1C5D60" w14:textId="0CCAD671" w:rsidR="003A2156" w:rsidRPr="003A2F86" w:rsidRDefault="003A2156" w:rsidP="006934C9">
            <w:pPr>
              <w:spacing w:after="0" w:line="240" w:lineRule="auto"/>
              <w:jc w:val="center"/>
              <w:rPr>
                <w:rFonts w:ascii="Arial" w:eastAsia="Times New Roman" w:hAnsi="Arial" w:cs="Arial"/>
                <w:b/>
                <w:i/>
                <w:iCs/>
                <w:sz w:val="16"/>
                <w:szCs w:val="16"/>
                <w:lang w:eastAsia="en-US"/>
              </w:rPr>
            </w:pPr>
            <w:r w:rsidRPr="003A2F86">
              <w:rPr>
                <w:rFonts w:ascii="Arial" w:eastAsia="Times New Roman" w:hAnsi="Arial" w:cs="Arial"/>
                <w:b/>
                <w:i/>
                <w:iCs/>
                <w:sz w:val="16"/>
                <w:szCs w:val="16"/>
                <w:lang w:eastAsia="en-US"/>
              </w:rPr>
              <w:t xml:space="preserve">Iznos </w:t>
            </w:r>
            <w:r w:rsidRPr="003A2F86">
              <w:rPr>
                <w:rFonts w:ascii="Arial" w:eastAsia="Times New Roman" w:hAnsi="Arial" w:cs="Arial"/>
                <w:b/>
                <w:i/>
                <w:iCs/>
                <w:color w:val="FF0000"/>
                <w:sz w:val="16"/>
                <w:szCs w:val="16"/>
                <w:lang w:eastAsia="en-US"/>
              </w:rPr>
              <w:t>(</w:t>
            </w:r>
            <w:r w:rsidR="000C0282" w:rsidRPr="003A2F86">
              <w:rPr>
                <w:rFonts w:ascii="Arial" w:eastAsia="Times New Roman" w:hAnsi="Arial" w:cs="Arial"/>
                <w:b/>
                <w:i/>
                <w:iCs/>
                <w:color w:val="FF0000"/>
                <w:sz w:val="16"/>
                <w:szCs w:val="16"/>
                <w:lang w:eastAsia="en-US"/>
              </w:rPr>
              <w:t>€</w:t>
            </w:r>
            <w:r w:rsidRPr="003A2F86">
              <w:rPr>
                <w:rFonts w:ascii="Arial" w:eastAsia="Times New Roman" w:hAnsi="Arial" w:cs="Arial"/>
                <w:b/>
                <w:i/>
                <w:iCs/>
                <w:color w:val="FF0000"/>
                <w:sz w:val="16"/>
                <w:szCs w:val="16"/>
                <w:lang w:eastAsia="en-US"/>
              </w:rPr>
              <w:t>)</w:t>
            </w:r>
          </w:p>
        </w:tc>
        <w:tc>
          <w:tcPr>
            <w:tcW w:w="9833" w:type="dxa"/>
            <w:vAlign w:val="center"/>
          </w:tcPr>
          <w:p w14:paraId="6A370496" w14:textId="77777777" w:rsidR="003A2156" w:rsidRPr="003A2F86" w:rsidRDefault="003A2156" w:rsidP="00891119">
            <w:pPr>
              <w:spacing w:after="0" w:line="240" w:lineRule="auto"/>
              <w:jc w:val="center"/>
              <w:rPr>
                <w:rFonts w:ascii="Arial" w:eastAsia="Times New Roman" w:hAnsi="Arial" w:cs="Arial"/>
                <w:b/>
                <w:i/>
                <w:iCs/>
                <w:sz w:val="16"/>
                <w:szCs w:val="16"/>
                <w:lang w:eastAsia="en-US"/>
              </w:rPr>
            </w:pPr>
          </w:p>
        </w:tc>
      </w:tr>
      <w:tr w:rsidR="008658C8" w:rsidRPr="003A2F86" w14:paraId="639CCBE6" w14:textId="77777777" w:rsidTr="000C0282">
        <w:trPr>
          <w:jc w:val="center"/>
        </w:trPr>
        <w:tc>
          <w:tcPr>
            <w:tcW w:w="846" w:type="dxa"/>
            <w:vMerge/>
            <w:tcMar>
              <w:left w:w="0" w:type="dxa"/>
              <w:right w:w="0" w:type="dxa"/>
            </w:tcMar>
            <w:vAlign w:val="center"/>
          </w:tcPr>
          <w:p w14:paraId="3AA8F033" w14:textId="77777777" w:rsidR="003A2156" w:rsidRPr="003A2F86" w:rsidRDefault="003A2156" w:rsidP="0077686B">
            <w:pPr>
              <w:spacing w:after="0" w:line="240" w:lineRule="auto"/>
              <w:jc w:val="center"/>
              <w:rPr>
                <w:rFonts w:ascii="Arial" w:eastAsia="Times New Roman" w:hAnsi="Arial" w:cs="Arial"/>
                <w:b/>
                <w:i/>
                <w:iCs/>
                <w:sz w:val="16"/>
                <w:szCs w:val="16"/>
                <w:lang w:eastAsia="en-US"/>
              </w:rPr>
            </w:pPr>
          </w:p>
        </w:tc>
        <w:tc>
          <w:tcPr>
            <w:tcW w:w="1223" w:type="dxa"/>
            <w:tcMar>
              <w:left w:w="0" w:type="dxa"/>
              <w:right w:w="0" w:type="dxa"/>
            </w:tcMar>
            <w:vAlign w:val="center"/>
          </w:tcPr>
          <w:p w14:paraId="7E139D21" w14:textId="77777777" w:rsidR="0053028F" w:rsidRPr="003A2F86" w:rsidRDefault="003A2156" w:rsidP="003A2156">
            <w:pPr>
              <w:spacing w:after="0" w:line="240" w:lineRule="auto"/>
              <w:jc w:val="center"/>
              <w:rPr>
                <w:rFonts w:ascii="Arial" w:eastAsia="Times New Roman" w:hAnsi="Arial" w:cs="Arial"/>
                <w:b/>
                <w:i/>
                <w:iCs/>
                <w:sz w:val="16"/>
                <w:szCs w:val="16"/>
                <w:lang w:eastAsia="en-US"/>
              </w:rPr>
            </w:pPr>
            <w:r w:rsidRPr="003A2F86">
              <w:rPr>
                <w:rFonts w:ascii="Arial" w:eastAsia="Times New Roman" w:hAnsi="Arial" w:cs="Arial"/>
                <w:b/>
                <w:i/>
                <w:iCs/>
                <w:sz w:val="16"/>
                <w:szCs w:val="16"/>
                <w:lang w:eastAsia="en-US"/>
              </w:rPr>
              <w:t>iznos prireza</w:t>
            </w:r>
          </w:p>
          <w:p w14:paraId="517FFB91" w14:textId="77777777" w:rsidR="003A2156" w:rsidRPr="003A2F86" w:rsidRDefault="0053028F" w:rsidP="003A2156">
            <w:pPr>
              <w:spacing w:after="0" w:line="240" w:lineRule="auto"/>
              <w:jc w:val="center"/>
              <w:rPr>
                <w:rFonts w:ascii="Arial" w:eastAsia="Times New Roman" w:hAnsi="Arial" w:cs="Arial"/>
                <w:b/>
                <w:i/>
                <w:iCs/>
                <w:sz w:val="16"/>
                <w:szCs w:val="16"/>
                <w:lang w:eastAsia="en-US"/>
              </w:rPr>
            </w:pPr>
            <w:r w:rsidRPr="003A2F86">
              <w:rPr>
                <w:rFonts w:ascii="Arial" w:eastAsia="Times New Roman" w:hAnsi="Arial" w:cs="Arial"/>
                <w:b/>
                <w:i/>
                <w:iCs/>
                <w:sz w:val="16"/>
                <w:szCs w:val="16"/>
                <w:lang w:eastAsia="en-US"/>
              </w:rPr>
              <w:t>(dio stupca 4)</w:t>
            </w:r>
            <w:r w:rsidR="003A2156" w:rsidRPr="003A2F86">
              <w:rPr>
                <w:rFonts w:ascii="Arial" w:eastAsia="Times New Roman" w:hAnsi="Arial" w:cs="Arial"/>
                <w:b/>
                <w:i/>
                <w:iCs/>
                <w:sz w:val="16"/>
                <w:szCs w:val="16"/>
                <w:lang w:eastAsia="en-US"/>
              </w:rPr>
              <w:t xml:space="preserve"> </w:t>
            </w:r>
          </w:p>
        </w:tc>
        <w:tc>
          <w:tcPr>
            <w:tcW w:w="1559" w:type="dxa"/>
            <w:tcMar>
              <w:left w:w="0" w:type="dxa"/>
              <w:right w:w="0" w:type="dxa"/>
            </w:tcMar>
            <w:vAlign w:val="center"/>
          </w:tcPr>
          <w:p w14:paraId="35E2B7D4" w14:textId="77777777" w:rsidR="003A2156" w:rsidRPr="003A2F86" w:rsidRDefault="003A2156" w:rsidP="00232BCA">
            <w:pPr>
              <w:spacing w:after="0" w:line="240" w:lineRule="auto"/>
              <w:jc w:val="center"/>
              <w:rPr>
                <w:rFonts w:ascii="Arial" w:eastAsia="Times New Roman" w:hAnsi="Arial" w:cs="Arial"/>
                <w:b/>
                <w:i/>
                <w:iCs/>
                <w:sz w:val="16"/>
                <w:szCs w:val="16"/>
                <w:lang w:eastAsia="en-US"/>
              </w:rPr>
            </w:pPr>
            <w:r w:rsidRPr="003A2F86">
              <w:rPr>
                <w:rFonts w:ascii="Arial" w:eastAsia="Times New Roman" w:hAnsi="Arial" w:cs="Arial"/>
                <w:b/>
                <w:i/>
                <w:iCs/>
                <w:sz w:val="16"/>
                <w:szCs w:val="16"/>
                <w:lang w:eastAsia="en-US"/>
              </w:rPr>
              <w:t xml:space="preserve">Iznos </w:t>
            </w:r>
            <w:r w:rsidR="0053028F" w:rsidRPr="003A2F86">
              <w:rPr>
                <w:rFonts w:ascii="Arial" w:eastAsia="Times New Roman" w:hAnsi="Arial" w:cs="Arial"/>
                <w:b/>
                <w:i/>
                <w:iCs/>
                <w:sz w:val="16"/>
                <w:szCs w:val="16"/>
                <w:lang w:eastAsia="en-US"/>
              </w:rPr>
              <w:t xml:space="preserve">dijela poreza </w:t>
            </w:r>
            <w:r w:rsidRPr="003A2F86">
              <w:rPr>
                <w:rFonts w:ascii="Arial" w:eastAsia="Times New Roman" w:hAnsi="Arial" w:cs="Arial"/>
                <w:b/>
                <w:i/>
                <w:iCs/>
                <w:sz w:val="16"/>
                <w:szCs w:val="16"/>
                <w:lang w:eastAsia="en-US"/>
              </w:rPr>
              <w:t>ustupljenog za vatrogastvo</w:t>
            </w:r>
          </w:p>
          <w:p w14:paraId="55B304CC" w14:textId="77777777" w:rsidR="0053028F" w:rsidRPr="003A2F86" w:rsidRDefault="0053028F" w:rsidP="00232BCA">
            <w:pPr>
              <w:spacing w:after="0" w:line="240" w:lineRule="auto"/>
              <w:jc w:val="center"/>
              <w:rPr>
                <w:rFonts w:ascii="Arial" w:eastAsia="Times New Roman" w:hAnsi="Arial" w:cs="Arial"/>
                <w:b/>
                <w:i/>
                <w:iCs/>
                <w:sz w:val="16"/>
                <w:szCs w:val="16"/>
                <w:lang w:eastAsia="en-US"/>
              </w:rPr>
            </w:pPr>
            <w:r w:rsidRPr="003A2F86">
              <w:rPr>
                <w:rFonts w:ascii="Arial" w:eastAsia="Times New Roman" w:hAnsi="Arial" w:cs="Arial"/>
                <w:b/>
                <w:i/>
                <w:iCs/>
                <w:sz w:val="16"/>
                <w:szCs w:val="16"/>
                <w:lang w:eastAsia="en-US"/>
              </w:rPr>
              <w:t>(dio stupca 4)</w:t>
            </w:r>
          </w:p>
        </w:tc>
        <w:tc>
          <w:tcPr>
            <w:tcW w:w="1276" w:type="dxa"/>
            <w:shd w:val="clear" w:color="auto" w:fill="F2F2F2" w:themeFill="background1" w:themeFillShade="F2"/>
            <w:tcMar>
              <w:left w:w="0" w:type="dxa"/>
              <w:right w:w="0" w:type="dxa"/>
            </w:tcMar>
            <w:vAlign w:val="center"/>
          </w:tcPr>
          <w:p w14:paraId="4FCBFC92" w14:textId="77777777" w:rsidR="003A2156" w:rsidRPr="003A2F86" w:rsidRDefault="00B3325F" w:rsidP="00B3325F">
            <w:pPr>
              <w:spacing w:after="0" w:line="240" w:lineRule="auto"/>
              <w:jc w:val="center"/>
              <w:rPr>
                <w:rFonts w:ascii="Arial" w:eastAsia="Times New Roman" w:hAnsi="Arial" w:cs="Arial"/>
                <w:b/>
                <w:i/>
                <w:iCs/>
                <w:sz w:val="16"/>
                <w:szCs w:val="16"/>
                <w:lang w:eastAsia="en-US"/>
              </w:rPr>
            </w:pPr>
            <w:r w:rsidRPr="003A2F86">
              <w:rPr>
                <w:rFonts w:ascii="Arial" w:eastAsia="Times New Roman" w:hAnsi="Arial" w:cs="Arial"/>
                <w:b/>
                <w:i/>
                <w:iCs/>
                <w:sz w:val="16"/>
                <w:szCs w:val="16"/>
                <w:lang w:eastAsia="en-US"/>
              </w:rPr>
              <w:t>Sveukupno</w:t>
            </w:r>
            <w:r w:rsidR="003A2156" w:rsidRPr="003A2F86">
              <w:rPr>
                <w:rFonts w:ascii="Arial" w:eastAsia="Times New Roman" w:hAnsi="Arial" w:cs="Arial"/>
                <w:b/>
                <w:i/>
                <w:iCs/>
                <w:sz w:val="16"/>
                <w:szCs w:val="16"/>
                <w:lang w:eastAsia="en-US"/>
              </w:rPr>
              <w:t xml:space="preserve"> porez i prirez</w:t>
            </w:r>
          </w:p>
        </w:tc>
        <w:tc>
          <w:tcPr>
            <w:tcW w:w="9833" w:type="dxa"/>
            <w:vAlign w:val="center"/>
          </w:tcPr>
          <w:p w14:paraId="5FA54D8C" w14:textId="77777777" w:rsidR="003A2156" w:rsidRPr="003A2F86" w:rsidRDefault="003A2156" w:rsidP="00891119">
            <w:pPr>
              <w:spacing w:after="0" w:line="240" w:lineRule="auto"/>
              <w:jc w:val="center"/>
              <w:rPr>
                <w:rFonts w:ascii="Arial" w:eastAsia="Times New Roman" w:hAnsi="Arial" w:cs="Arial"/>
                <w:b/>
                <w:i/>
                <w:iCs/>
                <w:sz w:val="16"/>
                <w:szCs w:val="16"/>
                <w:lang w:eastAsia="en-US"/>
              </w:rPr>
            </w:pPr>
            <w:r w:rsidRPr="003A2F86">
              <w:rPr>
                <w:rFonts w:ascii="Arial" w:eastAsia="Times New Roman" w:hAnsi="Arial" w:cs="Arial"/>
                <w:b/>
                <w:i/>
                <w:iCs/>
                <w:sz w:val="16"/>
                <w:szCs w:val="16"/>
                <w:lang w:eastAsia="en-US"/>
              </w:rPr>
              <w:t>Obrazloženje</w:t>
            </w:r>
          </w:p>
        </w:tc>
      </w:tr>
      <w:tr w:rsidR="008658C8" w:rsidRPr="003A2F86" w14:paraId="45518B05" w14:textId="77777777" w:rsidTr="000C0282">
        <w:trPr>
          <w:jc w:val="center"/>
        </w:trPr>
        <w:tc>
          <w:tcPr>
            <w:tcW w:w="846" w:type="dxa"/>
            <w:tcMar>
              <w:left w:w="57" w:type="dxa"/>
              <w:right w:w="57" w:type="dxa"/>
            </w:tcMar>
            <w:vAlign w:val="center"/>
          </w:tcPr>
          <w:p w14:paraId="114720CE" w14:textId="77777777" w:rsidR="0053028F" w:rsidRPr="003A2F86" w:rsidRDefault="0053028F" w:rsidP="0077686B">
            <w:pPr>
              <w:spacing w:after="0" w:line="240" w:lineRule="auto"/>
              <w:jc w:val="center"/>
              <w:rPr>
                <w:rFonts w:ascii="Arial" w:eastAsia="Times New Roman" w:hAnsi="Arial" w:cs="Arial"/>
                <w:i/>
                <w:iCs/>
                <w:sz w:val="16"/>
                <w:szCs w:val="16"/>
                <w:lang w:eastAsia="en-US"/>
              </w:rPr>
            </w:pPr>
            <w:r w:rsidRPr="003A2F86">
              <w:rPr>
                <w:rFonts w:ascii="Arial" w:eastAsia="Times New Roman" w:hAnsi="Arial" w:cs="Arial"/>
                <w:i/>
                <w:iCs/>
                <w:sz w:val="16"/>
                <w:szCs w:val="16"/>
                <w:lang w:eastAsia="en-US"/>
              </w:rPr>
              <w:t>1</w:t>
            </w:r>
          </w:p>
        </w:tc>
        <w:tc>
          <w:tcPr>
            <w:tcW w:w="1223" w:type="dxa"/>
            <w:tcMar>
              <w:left w:w="57" w:type="dxa"/>
              <w:right w:w="57" w:type="dxa"/>
            </w:tcMar>
            <w:vAlign w:val="center"/>
          </w:tcPr>
          <w:p w14:paraId="70C2480A" w14:textId="77777777" w:rsidR="0053028F" w:rsidRPr="003A2F86" w:rsidRDefault="0053028F" w:rsidP="0053028F">
            <w:pPr>
              <w:spacing w:after="0" w:line="240" w:lineRule="auto"/>
              <w:jc w:val="center"/>
              <w:rPr>
                <w:rFonts w:ascii="Arial" w:eastAsia="Times New Roman" w:hAnsi="Arial" w:cs="Arial"/>
                <w:i/>
                <w:iCs/>
                <w:sz w:val="16"/>
                <w:szCs w:val="16"/>
                <w:lang w:eastAsia="en-US"/>
              </w:rPr>
            </w:pPr>
            <w:r w:rsidRPr="003A2F86">
              <w:rPr>
                <w:rFonts w:ascii="Arial" w:eastAsia="Times New Roman" w:hAnsi="Arial" w:cs="Arial"/>
                <w:i/>
                <w:iCs/>
                <w:sz w:val="16"/>
                <w:szCs w:val="16"/>
                <w:lang w:eastAsia="en-US"/>
              </w:rPr>
              <w:t>2</w:t>
            </w:r>
          </w:p>
        </w:tc>
        <w:tc>
          <w:tcPr>
            <w:tcW w:w="1559" w:type="dxa"/>
            <w:tcMar>
              <w:left w:w="57" w:type="dxa"/>
              <w:right w:w="57" w:type="dxa"/>
            </w:tcMar>
            <w:vAlign w:val="center"/>
          </w:tcPr>
          <w:p w14:paraId="6852933A" w14:textId="77777777" w:rsidR="0053028F" w:rsidRPr="003A2F86" w:rsidRDefault="0053028F" w:rsidP="0053028F">
            <w:pPr>
              <w:spacing w:after="0" w:line="240" w:lineRule="auto"/>
              <w:jc w:val="center"/>
              <w:rPr>
                <w:rFonts w:ascii="Arial" w:eastAsia="Times New Roman" w:hAnsi="Arial" w:cs="Arial"/>
                <w:i/>
                <w:iCs/>
                <w:sz w:val="16"/>
                <w:szCs w:val="16"/>
                <w:lang w:eastAsia="en-US"/>
              </w:rPr>
            </w:pPr>
            <w:r w:rsidRPr="003A2F86">
              <w:rPr>
                <w:rFonts w:ascii="Arial" w:eastAsia="Times New Roman" w:hAnsi="Arial" w:cs="Arial"/>
                <w:i/>
                <w:iCs/>
                <w:sz w:val="16"/>
                <w:szCs w:val="16"/>
                <w:lang w:eastAsia="en-US"/>
              </w:rPr>
              <w:t>3</w:t>
            </w:r>
          </w:p>
        </w:tc>
        <w:tc>
          <w:tcPr>
            <w:tcW w:w="1276" w:type="dxa"/>
            <w:tcMar>
              <w:left w:w="57" w:type="dxa"/>
              <w:right w:w="57" w:type="dxa"/>
            </w:tcMar>
            <w:vAlign w:val="center"/>
          </w:tcPr>
          <w:p w14:paraId="42E711FB" w14:textId="77777777" w:rsidR="0053028F" w:rsidRPr="003A2F86" w:rsidRDefault="0053028F" w:rsidP="0053028F">
            <w:pPr>
              <w:spacing w:after="0" w:line="240" w:lineRule="auto"/>
              <w:jc w:val="center"/>
              <w:rPr>
                <w:rFonts w:ascii="Arial" w:eastAsia="Times New Roman" w:hAnsi="Arial" w:cs="Arial"/>
                <w:i/>
                <w:iCs/>
                <w:sz w:val="16"/>
                <w:szCs w:val="16"/>
                <w:lang w:eastAsia="en-US"/>
              </w:rPr>
            </w:pPr>
            <w:r w:rsidRPr="003A2F86">
              <w:rPr>
                <w:rFonts w:ascii="Arial" w:eastAsia="Times New Roman" w:hAnsi="Arial" w:cs="Arial"/>
                <w:i/>
                <w:iCs/>
                <w:sz w:val="16"/>
                <w:szCs w:val="16"/>
                <w:lang w:eastAsia="en-US"/>
              </w:rPr>
              <w:t>4</w:t>
            </w:r>
          </w:p>
        </w:tc>
        <w:tc>
          <w:tcPr>
            <w:tcW w:w="9833" w:type="dxa"/>
            <w:vAlign w:val="center"/>
          </w:tcPr>
          <w:p w14:paraId="35A991F7" w14:textId="77777777" w:rsidR="0053028F" w:rsidRPr="003A2F86" w:rsidRDefault="0053028F" w:rsidP="0053028F">
            <w:pPr>
              <w:spacing w:after="0" w:line="240" w:lineRule="auto"/>
              <w:jc w:val="center"/>
              <w:rPr>
                <w:rFonts w:ascii="Arial" w:eastAsia="Times New Roman" w:hAnsi="Arial" w:cs="Arial"/>
                <w:i/>
                <w:iCs/>
                <w:sz w:val="16"/>
                <w:szCs w:val="16"/>
                <w:lang w:eastAsia="en-US"/>
              </w:rPr>
            </w:pPr>
            <w:r w:rsidRPr="003A2F86">
              <w:rPr>
                <w:rFonts w:ascii="Arial" w:eastAsia="Times New Roman" w:hAnsi="Arial" w:cs="Arial"/>
                <w:i/>
                <w:iCs/>
                <w:sz w:val="16"/>
                <w:szCs w:val="16"/>
                <w:lang w:eastAsia="en-US"/>
              </w:rPr>
              <w:t>5</w:t>
            </w:r>
          </w:p>
        </w:tc>
      </w:tr>
      <w:tr w:rsidR="000C0282" w:rsidRPr="003A2F86" w14:paraId="69B6B16E" w14:textId="77777777" w:rsidTr="00A201FC">
        <w:trPr>
          <w:jc w:val="center"/>
        </w:trPr>
        <w:tc>
          <w:tcPr>
            <w:tcW w:w="846" w:type="dxa"/>
            <w:tcBorders>
              <w:top w:val="nil"/>
              <w:left w:val="single" w:sz="8" w:space="0" w:color="000000"/>
              <w:bottom w:val="single" w:sz="8" w:space="0" w:color="000000"/>
              <w:right w:val="single" w:sz="8" w:space="0" w:color="000000"/>
            </w:tcBorders>
            <w:tcMar>
              <w:left w:w="57" w:type="dxa"/>
              <w:right w:w="57" w:type="dxa"/>
            </w:tcMar>
            <w:vAlign w:val="center"/>
          </w:tcPr>
          <w:p w14:paraId="644F13EF" w14:textId="713A2DF1" w:rsidR="000C0282" w:rsidRPr="003A2F86" w:rsidRDefault="000C0282" w:rsidP="000C0282">
            <w:pPr>
              <w:spacing w:after="0" w:line="240" w:lineRule="auto"/>
              <w:jc w:val="center"/>
              <w:rPr>
                <w:rFonts w:ascii="Arial" w:eastAsia="Times New Roman" w:hAnsi="Arial" w:cs="Arial"/>
                <w:i/>
                <w:iCs/>
                <w:sz w:val="16"/>
                <w:szCs w:val="16"/>
              </w:rPr>
            </w:pPr>
            <w:r w:rsidRPr="003A2F86">
              <w:rPr>
                <w:rFonts w:ascii="Arial" w:hAnsi="Arial" w:cs="Arial"/>
                <w:sz w:val="16"/>
                <w:szCs w:val="16"/>
              </w:rPr>
              <w:t>2012.</w:t>
            </w:r>
          </w:p>
        </w:tc>
        <w:tc>
          <w:tcPr>
            <w:tcW w:w="1223" w:type="dxa"/>
            <w:tcBorders>
              <w:top w:val="nil"/>
              <w:left w:val="nil"/>
              <w:bottom w:val="single" w:sz="8" w:space="0" w:color="000000"/>
              <w:right w:val="single" w:sz="8" w:space="0" w:color="000000"/>
            </w:tcBorders>
            <w:tcMar>
              <w:left w:w="57" w:type="dxa"/>
              <w:right w:w="57" w:type="dxa"/>
            </w:tcMar>
            <w:vAlign w:val="center"/>
          </w:tcPr>
          <w:p w14:paraId="48BC9EDA" w14:textId="32F65EB5"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x</w:t>
            </w:r>
          </w:p>
        </w:tc>
        <w:tc>
          <w:tcPr>
            <w:tcW w:w="1559" w:type="dxa"/>
            <w:tcBorders>
              <w:top w:val="nil"/>
              <w:left w:val="nil"/>
              <w:bottom w:val="single" w:sz="8" w:space="0" w:color="000000"/>
              <w:right w:val="single" w:sz="8" w:space="0" w:color="000000"/>
            </w:tcBorders>
            <w:tcMar>
              <w:left w:w="57" w:type="dxa"/>
              <w:right w:w="57" w:type="dxa"/>
            </w:tcMar>
            <w:vAlign w:val="center"/>
          </w:tcPr>
          <w:p w14:paraId="0726E1AC" w14:textId="6DC5DACC"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x</w:t>
            </w:r>
          </w:p>
        </w:tc>
        <w:tc>
          <w:tcPr>
            <w:tcW w:w="1276" w:type="dxa"/>
            <w:tcBorders>
              <w:top w:val="nil"/>
              <w:left w:val="nil"/>
              <w:bottom w:val="single" w:sz="8" w:space="0" w:color="000000"/>
              <w:right w:val="single" w:sz="8" w:space="0" w:color="000000"/>
            </w:tcBorders>
            <w:tcMar>
              <w:left w:w="57" w:type="dxa"/>
              <w:right w:w="57" w:type="dxa"/>
            </w:tcMar>
            <w:vAlign w:val="center"/>
          </w:tcPr>
          <w:p w14:paraId="79AC3A1B" w14:textId="57F1B942"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3.963.254,76</w:t>
            </w:r>
          </w:p>
        </w:tc>
        <w:tc>
          <w:tcPr>
            <w:tcW w:w="9833" w:type="dxa"/>
            <w:tcBorders>
              <w:top w:val="nil"/>
              <w:left w:val="nil"/>
              <w:bottom w:val="single" w:sz="8" w:space="0" w:color="000000"/>
              <w:right w:val="single" w:sz="8" w:space="0" w:color="000000"/>
            </w:tcBorders>
          </w:tcPr>
          <w:p w14:paraId="5F3E079B" w14:textId="6F5CF057" w:rsidR="000C0282" w:rsidRPr="003A2F86" w:rsidRDefault="000C0282" w:rsidP="000C0282">
            <w:pPr>
              <w:spacing w:after="0" w:line="240" w:lineRule="auto"/>
              <w:jc w:val="both"/>
              <w:rPr>
                <w:rFonts w:ascii="Arial" w:eastAsia="Times New Roman" w:hAnsi="Arial" w:cs="Arial"/>
                <w:i/>
                <w:iCs/>
                <w:sz w:val="16"/>
                <w:szCs w:val="16"/>
              </w:rPr>
            </w:pPr>
          </w:p>
        </w:tc>
      </w:tr>
      <w:tr w:rsidR="000C0282" w:rsidRPr="003A2F86" w14:paraId="267C98A5" w14:textId="77777777" w:rsidTr="00A201FC">
        <w:trPr>
          <w:jc w:val="center"/>
        </w:trPr>
        <w:tc>
          <w:tcPr>
            <w:tcW w:w="846" w:type="dxa"/>
            <w:tcBorders>
              <w:top w:val="nil"/>
              <w:left w:val="single" w:sz="8" w:space="0" w:color="000000"/>
              <w:bottom w:val="single" w:sz="8" w:space="0" w:color="000000"/>
              <w:right w:val="single" w:sz="8" w:space="0" w:color="000000"/>
            </w:tcBorders>
            <w:tcMar>
              <w:left w:w="57" w:type="dxa"/>
              <w:right w:w="57" w:type="dxa"/>
            </w:tcMar>
            <w:vAlign w:val="center"/>
          </w:tcPr>
          <w:p w14:paraId="20C1A6EC" w14:textId="6CEED9A7" w:rsidR="000C0282" w:rsidRPr="003A2F86" w:rsidRDefault="000C0282" w:rsidP="000C0282">
            <w:pPr>
              <w:spacing w:after="0" w:line="240" w:lineRule="auto"/>
              <w:jc w:val="center"/>
              <w:rPr>
                <w:rFonts w:ascii="Arial" w:eastAsia="Times New Roman" w:hAnsi="Arial" w:cs="Arial"/>
                <w:i/>
                <w:iCs/>
                <w:sz w:val="16"/>
                <w:szCs w:val="16"/>
              </w:rPr>
            </w:pPr>
            <w:r w:rsidRPr="003A2F86">
              <w:rPr>
                <w:rFonts w:ascii="Arial" w:hAnsi="Arial" w:cs="Arial"/>
                <w:sz w:val="16"/>
                <w:szCs w:val="16"/>
              </w:rPr>
              <w:t>2013.</w:t>
            </w:r>
          </w:p>
        </w:tc>
        <w:tc>
          <w:tcPr>
            <w:tcW w:w="1223" w:type="dxa"/>
            <w:tcBorders>
              <w:top w:val="nil"/>
              <w:left w:val="nil"/>
              <w:bottom w:val="single" w:sz="8" w:space="0" w:color="000000"/>
              <w:right w:val="single" w:sz="8" w:space="0" w:color="000000"/>
            </w:tcBorders>
            <w:tcMar>
              <w:left w:w="57" w:type="dxa"/>
              <w:right w:w="57" w:type="dxa"/>
            </w:tcMar>
            <w:vAlign w:val="center"/>
          </w:tcPr>
          <w:p w14:paraId="402D7D08" w14:textId="5F13490A"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318.861,55</w:t>
            </w:r>
          </w:p>
        </w:tc>
        <w:tc>
          <w:tcPr>
            <w:tcW w:w="1559" w:type="dxa"/>
            <w:tcBorders>
              <w:top w:val="nil"/>
              <w:left w:val="nil"/>
              <w:bottom w:val="single" w:sz="8" w:space="0" w:color="000000"/>
              <w:right w:val="single" w:sz="8" w:space="0" w:color="000000"/>
            </w:tcBorders>
            <w:tcMar>
              <w:left w:w="57" w:type="dxa"/>
              <w:right w:w="57" w:type="dxa"/>
            </w:tcMar>
            <w:vAlign w:val="center"/>
          </w:tcPr>
          <w:p w14:paraId="2C2278D2" w14:textId="6CB9A0ED"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55.268,01</w:t>
            </w:r>
          </w:p>
        </w:tc>
        <w:tc>
          <w:tcPr>
            <w:tcW w:w="1276" w:type="dxa"/>
            <w:tcBorders>
              <w:top w:val="nil"/>
              <w:left w:val="nil"/>
              <w:bottom w:val="single" w:sz="8" w:space="0" w:color="000000"/>
              <w:right w:val="single" w:sz="8" w:space="0" w:color="000000"/>
            </w:tcBorders>
            <w:tcMar>
              <w:left w:w="57" w:type="dxa"/>
              <w:right w:w="57" w:type="dxa"/>
            </w:tcMar>
            <w:vAlign w:val="center"/>
          </w:tcPr>
          <w:p w14:paraId="4181CCC2" w14:textId="752409C4"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4.145.204,33</w:t>
            </w:r>
          </w:p>
        </w:tc>
        <w:tc>
          <w:tcPr>
            <w:tcW w:w="9833" w:type="dxa"/>
            <w:tcBorders>
              <w:top w:val="nil"/>
              <w:left w:val="nil"/>
              <w:bottom w:val="single" w:sz="8" w:space="0" w:color="000000"/>
              <w:right w:val="single" w:sz="8" w:space="0" w:color="000000"/>
            </w:tcBorders>
          </w:tcPr>
          <w:p w14:paraId="2B98F85C" w14:textId="3553D707" w:rsidR="000C0282" w:rsidRPr="003A2F86" w:rsidRDefault="000C0282" w:rsidP="000C0282">
            <w:pPr>
              <w:spacing w:after="0" w:line="240" w:lineRule="auto"/>
              <w:jc w:val="both"/>
              <w:rPr>
                <w:rFonts w:ascii="Arial" w:eastAsia="Times New Roman" w:hAnsi="Arial" w:cs="Arial"/>
                <w:sz w:val="16"/>
                <w:szCs w:val="16"/>
              </w:rPr>
            </w:pPr>
            <w:r w:rsidRPr="003A2F86">
              <w:rPr>
                <w:rFonts w:ascii="Arial" w:hAnsi="Arial" w:cs="Arial"/>
                <w:sz w:val="16"/>
                <w:szCs w:val="16"/>
              </w:rPr>
              <w:t>što je za 181.949,57 € više u odnosu na prethodnu 2012.</w:t>
            </w:r>
            <w:r w:rsidR="00B6771A" w:rsidRPr="003A2F86">
              <w:rPr>
                <w:rFonts w:ascii="Arial" w:hAnsi="Arial" w:cs="Arial"/>
                <w:sz w:val="16"/>
                <w:szCs w:val="16"/>
              </w:rPr>
              <w:t xml:space="preserve"> </w:t>
            </w:r>
            <w:r w:rsidRPr="003A2F86">
              <w:rPr>
                <w:rFonts w:ascii="Arial" w:hAnsi="Arial" w:cs="Arial"/>
                <w:sz w:val="16"/>
                <w:szCs w:val="16"/>
              </w:rPr>
              <w:t>godinu</w:t>
            </w:r>
          </w:p>
        </w:tc>
      </w:tr>
      <w:tr w:rsidR="000C0282" w:rsidRPr="003A2F86" w14:paraId="5483FA6E" w14:textId="77777777" w:rsidTr="00A201FC">
        <w:trPr>
          <w:jc w:val="center"/>
        </w:trPr>
        <w:tc>
          <w:tcPr>
            <w:tcW w:w="846" w:type="dxa"/>
            <w:tcBorders>
              <w:top w:val="nil"/>
              <w:left w:val="single" w:sz="8" w:space="0" w:color="000000"/>
              <w:bottom w:val="single" w:sz="8" w:space="0" w:color="000000"/>
              <w:right w:val="single" w:sz="8" w:space="0" w:color="000000"/>
            </w:tcBorders>
            <w:tcMar>
              <w:left w:w="57" w:type="dxa"/>
              <w:right w:w="57" w:type="dxa"/>
            </w:tcMar>
            <w:vAlign w:val="center"/>
          </w:tcPr>
          <w:p w14:paraId="14F8C6C3" w14:textId="65B4D114" w:rsidR="000C0282" w:rsidRPr="003A2F86" w:rsidRDefault="000C0282" w:rsidP="000C0282">
            <w:pPr>
              <w:spacing w:after="0" w:line="240" w:lineRule="auto"/>
              <w:jc w:val="center"/>
              <w:rPr>
                <w:rFonts w:ascii="Arial" w:eastAsia="Times New Roman" w:hAnsi="Arial" w:cs="Arial"/>
                <w:i/>
                <w:iCs/>
                <w:sz w:val="16"/>
                <w:szCs w:val="16"/>
              </w:rPr>
            </w:pPr>
            <w:r w:rsidRPr="003A2F86">
              <w:rPr>
                <w:rFonts w:ascii="Arial" w:hAnsi="Arial" w:cs="Arial"/>
                <w:sz w:val="16"/>
                <w:szCs w:val="16"/>
              </w:rPr>
              <w:t>2014.</w:t>
            </w:r>
          </w:p>
        </w:tc>
        <w:tc>
          <w:tcPr>
            <w:tcW w:w="1223" w:type="dxa"/>
            <w:tcBorders>
              <w:top w:val="nil"/>
              <w:left w:val="nil"/>
              <w:bottom w:val="single" w:sz="8" w:space="0" w:color="000000"/>
              <w:right w:val="single" w:sz="8" w:space="0" w:color="000000"/>
            </w:tcBorders>
            <w:tcMar>
              <w:left w:w="57" w:type="dxa"/>
              <w:right w:w="57" w:type="dxa"/>
            </w:tcMar>
            <w:vAlign w:val="center"/>
          </w:tcPr>
          <w:p w14:paraId="26EDF1FF" w14:textId="140E374F"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339.141,43</w:t>
            </w:r>
          </w:p>
        </w:tc>
        <w:tc>
          <w:tcPr>
            <w:tcW w:w="1559" w:type="dxa"/>
            <w:tcBorders>
              <w:top w:val="nil"/>
              <w:left w:val="nil"/>
              <w:bottom w:val="single" w:sz="8" w:space="0" w:color="000000"/>
              <w:right w:val="single" w:sz="8" w:space="0" w:color="000000"/>
            </w:tcBorders>
            <w:tcMar>
              <w:left w:w="57" w:type="dxa"/>
              <w:right w:w="57" w:type="dxa"/>
            </w:tcMar>
            <w:vAlign w:val="center"/>
          </w:tcPr>
          <w:p w14:paraId="11697E3C" w14:textId="5F9111C2"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58.783,10</w:t>
            </w:r>
          </w:p>
        </w:tc>
        <w:tc>
          <w:tcPr>
            <w:tcW w:w="1276" w:type="dxa"/>
            <w:tcBorders>
              <w:top w:val="nil"/>
              <w:left w:val="nil"/>
              <w:bottom w:val="single" w:sz="8" w:space="0" w:color="000000"/>
              <w:right w:val="single" w:sz="8" w:space="0" w:color="000000"/>
            </w:tcBorders>
            <w:tcMar>
              <w:left w:w="57" w:type="dxa"/>
              <w:right w:w="57" w:type="dxa"/>
            </w:tcMar>
            <w:vAlign w:val="center"/>
          </w:tcPr>
          <w:p w14:paraId="171C78ED" w14:textId="059B00E0"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4.408.842,92</w:t>
            </w:r>
          </w:p>
        </w:tc>
        <w:tc>
          <w:tcPr>
            <w:tcW w:w="9833" w:type="dxa"/>
            <w:tcBorders>
              <w:top w:val="nil"/>
              <w:left w:val="nil"/>
              <w:bottom w:val="single" w:sz="8" w:space="0" w:color="000000"/>
              <w:right w:val="single" w:sz="8" w:space="0" w:color="000000"/>
            </w:tcBorders>
          </w:tcPr>
          <w:p w14:paraId="3A57C742" w14:textId="6C6CE85B" w:rsidR="000C0282" w:rsidRPr="003A2F86" w:rsidRDefault="000C0282" w:rsidP="000C0282">
            <w:pPr>
              <w:spacing w:after="0" w:line="240" w:lineRule="auto"/>
              <w:jc w:val="both"/>
              <w:rPr>
                <w:rFonts w:ascii="Arial" w:eastAsia="Times New Roman" w:hAnsi="Arial" w:cs="Arial"/>
                <w:sz w:val="16"/>
                <w:szCs w:val="16"/>
              </w:rPr>
            </w:pPr>
            <w:r w:rsidRPr="003A2F86">
              <w:rPr>
                <w:rFonts w:ascii="Arial" w:hAnsi="Arial" w:cs="Arial"/>
                <w:sz w:val="16"/>
                <w:szCs w:val="16"/>
              </w:rPr>
              <w:t>od čega porez i prirez na dohodak od nesamostalnog rada 4.350.059,86 € i porez na dohodak za decentralizirane funkcije vatrogastva 58.783,06 €. Ovi prihodi su u 2014. viši za 263.638,60 € u odnosu na prethodnu 2013.</w:t>
            </w:r>
            <w:r w:rsidR="00B6771A" w:rsidRPr="003A2F86">
              <w:rPr>
                <w:rFonts w:ascii="Arial" w:hAnsi="Arial" w:cs="Arial"/>
                <w:sz w:val="16"/>
                <w:szCs w:val="16"/>
              </w:rPr>
              <w:t xml:space="preserve"> </w:t>
            </w:r>
            <w:r w:rsidRPr="003A2F86">
              <w:rPr>
                <w:rFonts w:ascii="Arial" w:hAnsi="Arial" w:cs="Arial"/>
                <w:sz w:val="16"/>
                <w:szCs w:val="16"/>
              </w:rPr>
              <w:t>godinu. U 2014. su ukinute porezne olakšice koje su se odnosile na područje posebne državne skrbi.</w:t>
            </w:r>
          </w:p>
        </w:tc>
      </w:tr>
      <w:tr w:rsidR="000C0282" w:rsidRPr="003A2F86" w14:paraId="04E69701" w14:textId="77777777" w:rsidTr="00A201FC">
        <w:trPr>
          <w:jc w:val="center"/>
        </w:trPr>
        <w:tc>
          <w:tcPr>
            <w:tcW w:w="846" w:type="dxa"/>
            <w:tcBorders>
              <w:top w:val="nil"/>
              <w:left w:val="single" w:sz="8" w:space="0" w:color="000000"/>
              <w:bottom w:val="single" w:sz="8" w:space="0" w:color="000000"/>
              <w:right w:val="single" w:sz="8" w:space="0" w:color="000000"/>
            </w:tcBorders>
            <w:tcMar>
              <w:left w:w="57" w:type="dxa"/>
              <w:right w:w="57" w:type="dxa"/>
            </w:tcMar>
            <w:vAlign w:val="center"/>
          </w:tcPr>
          <w:p w14:paraId="662B246D" w14:textId="3ACA697B" w:rsidR="000C0282" w:rsidRPr="003A2F86" w:rsidRDefault="000C0282" w:rsidP="000C0282">
            <w:pPr>
              <w:spacing w:after="0" w:line="240" w:lineRule="auto"/>
              <w:jc w:val="center"/>
              <w:rPr>
                <w:rFonts w:ascii="Arial" w:eastAsia="Times New Roman" w:hAnsi="Arial" w:cs="Arial"/>
                <w:i/>
                <w:iCs/>
                <w:sz w:val="16"/>
                <w:szCs w:val="16"/>
              </w:rPr>
            </w:pPr>
            <w:r w:rsidRPr="003A2F86">
              <w:rPr>
                <w:rFonts w:ascii="Arial" w:hAnsi="Arial" w:cs="Arial"/>
                <w:sz w:val="16"/>
                <w:szCs w:val="16"/>
              </w:rPr>
              <w:t>2015.</w:t>
            </w:r>
          </w:p>
        </w:tc>
        <w:tc>
          <w:tcPr>
            <w:tcW w:w="1223" w:type="dxa"/>
            <w:tcBorders>
              <w:top w:val="nil"/>
              <w:left w:val="nil"/>
              <w:bottom w:val="single" w:sz="8" w:space="0" w:color="000000"/>
              <w:right w:val="single" w:sz="8" w:space="0" w:color="000000"/>
            </w:tcBorders>
            <w:tcMar>
              <w:left w:w="57" w:type="dxa"/>
              <w:right w:w="57" w:type="dxa"/>
            </w:tcMar>
            <w:vAlign w:val="center"/>
          </w:tcPr>
          <w:p w14:paraId="20215AF7" w14:textId="08942B62"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365.080,84</w:t>
            </w:r>
          </w:p>
        </w:tc>
        <w:tc>
          <w:tcPr>
            <w:tcW w:w="1559" w:type="dxa"/>
            <w:tcBorders>
              <w:top w:val="nil"/>
              <w:left w:val="nil"/>
              <w:bottom w:val="single" w:sz="8" w:space="0" w:color="000000"/>
              <w:right w:val="single" w:sz="8" w:space="0" w:color="000000"/>
            </w:tcBorders>
            <w:tcMar>
              <w:left w:w="57" w:type="dxa"/>
              <w:right w:w="57" w:type="dxa"/>
            </w:tcMar>
            <w:vAlign w:val="center"/>
          </w:tcPr>
          <w:p w14:paraId="3AAB88C0" w14:textId="39AA035B"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36.877,51</w:t>
            </w:r>
          </w:p>
        </w:tc>
        <w:tc>
          <w:tcPr>
            <w:tcW w:w="1276" w:type="dxa"/>
            <w:tcBorders>
              <w:top w:val="nil"/>
              <w:left w:val="nil"/>
              <w:bottom w:val="single" w:sz="8" w:space="0" w:color="000000"/>
              <w:right w:val="single" w:sz="8" w:space="0" w:color="000000"/>
            </w:tcBorders>
            <w:tcMar>
              <w:left w:w="57" w:type="dxa"/>
              <w:right w:w="57" w:type="dxa"/>
            </w:tcMar>
            <w:vAlign w:val="center"/>
          </w:tcPr>
          <w:p w14:paraId="61AA117A" w14:textId="673D8F01"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2.601.892,27</w:t>
            </w:r>
          </w:p>
        </w:tc>
        <w:tc>
          <w:tcPr>
            <w:tcW w:w="9833" w:type="dxa"/>
            <w:tcBorders>
              <w:top w:val="nil"/>
              <w:left w:val="nil"/>
              <w:bottom w:val="single" w:sz="8" w:space="0" w:color="000000"/>
              <w:right w:val="single" w:sz="8" w:space="0" w:color="000000"/>
            </w:tcBorders>
          </w:tcPr>
          <w:p w14:paraId="546D6C75" w14:textId="12E63ED6" w:rsidR="000C0282" w:rsidRPr="003A2F86" w:rsidRDefault="000C0282" w:rsidP="000C0282">
            <w:pPr>
              <w:spacing w:after="0" w:line="240" w:lineRule="auto"/>
              <w:jc w:val="both"/>
              <w:rPr>
                <w:rFonts w:ascii="Arial" w:eastAsia="Times New Roman" w:hAnsi="Arial" w:cs="Arial"/>
                <w:sz w:val="16"/>
                <w:szCs w:val="16"/>
              </w:rPr>
            </w:pPr>
            <w:r w:rsidRPr="003A2F86">
              <w:rPr>
                <w:rFonts w:ascii="Arial" w:hAnsi="Arial" w:cs="Arial"/>
                <w:sz w:val="16"/>
                <w:szCs w:val="16"/>
              </w:rPr>
              <w:t>što je 1.806.950,70 € ili 41,0% manje u odnosu na prethodnu 2014. godinu</w:t>
            </w:r>
          </w:p>
        </w:tc>
      </w:tr>
      <w:tr w:rsidR="000C0282" w:rsidRPr="003A2F86" w14:paraId="4CC94F93" w14:textId="77777777" w:rsidTr="00A201FC">
        <w:trPr>
          <w:jc w:val="center"/>
        </w:trPr>
        <w:tc>
          <w:tcPr>
            <w:tcW w:w="846" w:type="dxa"/>
            <w:tcBorders>
              <w:top w:val="nil"/>
              <w:left w:val="single" w:sz="8" w:space="0" w:color="000000"/>
              <w:bottom w:val="single" w:sz="8" w:space="0" w:color="000000"/>
              <w:right w:val="single" w:sz="8" w:space="0" w:color="000000"/>
            </w:tcBorders>
            <w:tcMar>
              <w:left w:w="57" w:type="dxa"/>
              <w:right w:w="57" w:type="dxa"/>
            </w:tcMar>
            <w:vAlign w:val="center"/>
          </w:tcPr>
          <w:p w14:paraId="1D3BB451" w14:textId="36E69534" w:rsidR="000C0282" w:rsidRPr="003A2F86" w:rsidRDefault="000C0282" w:rsidP="000C0282">
            <w:pPr>
              <w:spacing w:after="0" w:line="240" w:lineRule="auto"/>
              <w:jc w:val="center"/>
              <w:rPr>
                <w:rFonts w:ascii="Arial" w:eastAsia="Times New Roman" w:hAnsi="Arial" w:cs="Arial"/>
                <w:i/>
                <w:iCs/>
                <w:sz w:val="16"/>
                <w:szCs w:val="16"/>
              </w:rPr>
            </w:pPr>
            <w:r w:rsidRPr="003A2F86">
              <w:rPr>
                <w:rFonts w:ascii="Arial" w:hAnsi="Arial" w:cs="Arial"/>
                <w:sz w:val="16"/>
                <w:szCs w:val="16"/>
              </w:rPr>
              <w:t>2016.</w:t>
            </w:r>
          </w:p>
        </w:tc>
        <w:tc>
          <w:tcPr>
            <w:tcW w:w="1223" w:type="dxa"/>
            <w:tcBorders>
              <w:top w:val="nil"/>
              <w:left w:val="nil"/>
              <w:bottom w:val="single" w:sz="8" w:space="0" w:color="000000"/>
              <w:right w:val="single" w:sz="8" w:space="0" w:color="000000"/>
            </w:tcBorders>
            <w:tcMar>
              <w:left w:w="57" w:type="dxa"/>
              <w:right w:w="57" w:type="dxa"/>
            </w:tcMar>
            <w:vAlign w:val="center"/>
          </w:tcPr>
          <w:p w14:paraId="16814EAF" w14:textId="01888594"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402.860,40</w:t>
            </w:r>
          </w:p>
        </w:tc>
        <w:tc>
          <w:tcPr>
            <w:tcW w:w="1559" w:type="dxa"/>
            <w:tcBorders>
              <w:top w:val="nil"/>
              <w:left w:val="nil"/>
              <w:bottom w:val="single" w:sz="8" w:space="0" w:color="000000"/>
              <w:right w:val="single" w:sz="8" w:space="0" w:color="000000"/>
            </w:tcBorders>
            <w:tcMar>
              <w:left w:w="57" w:type="dxa"/>
              <w:right w:w="57" w:type="dxa"/>
            </w:tcMar>
            <w:vAlign w:val="center"/>
          </w:tcPr>
          <w:p w14:paraId="79B45F72" w14:textId="5DD402D5" w:rsidR="000C0282" w:rsidRPr="003A2F86" w:rsidRDefault="000C0282" w:rsidP="000C0282">
            <w:pPr>
              <w:spacing w:after="0" w:line="240" w:lineRule="auto"/>
              <w:jc w:val="right"/>
              <w:rPr>
                <w:rFonts w:ascii="Arial" w:eastAsia="Times New Roman" w:hAnsi="Arial" w:cs="Arial"/>
                <w:i/>
                <w:iCs/>
                <w:sz w:val="16"/>
                <w:szCs w:val="16"/>
              </w:rPr>
            </w:pPr>
            <w:r w:rsidRPr="003A2F86">
              <w:rPr>
                <w:rFonts w:ascii="Arial" w:hAnsi="Arial" w:cs="Arial"/>
                <w:sz w:val="16"/>
                <w:szCs w:val="16"/>
              </w:rPr>
              <w:t>40.693,69</w:t>
            </w:r>
          </w:p>
        </w:tc>
        <w:tc>
          <w:tcPr>
            <w:tcW w:w="1276" w:type="dxa"/>
            <w:tcBorders>
              <w:top w:val="nil"/>
              <w:left w:val="nil"/>
              <w:bottom w:val="single" w:sz="8" w:space="0" w:color="000000"/>
              <w:right w:val="single" w:sz="8" w:space="0" w:color="000000"/>
            </w:tcBorders>
            <w:tcMar>
              <w:left w:w="57" w:type="dxa"/>
              <w:right w:w="57" w:type="dxa"/>
            </w:tcMar>
            <w:vAlign w:val="center"/>
          </w:tcPr>
          <w:p w14:paraId="17BE8A62" w14:textId="5160782B" w:rsidR="000C0282" w:rsidRPr="003A2F86" w:rsidRDefault="000C0282" w:rsidP="000C0282">
            <w:pPr>
              <w:spacing w:after="0" w:line="240" w:lineRule="auto"/>
              <w:jc w:val="right"/>
              <w:rPr>
                <w:rFonts w:ascii="Arial" w:eastAsia="Times New Roman" w:hAnsi="Arial" w:cs="Arial"/>
                <w:sz w:val="16"/>
                <w:szCs w:val="16"/>
              </w:rPr>
            </w:pPr>
            <w:r w:rsidRPr="003A2F86">
              <w:rPr>
                <w:rFonts w:ascii="Arial" w:hAnsi="Arial" w:cs="Arial"/>
                <w:sz w:val="16"/>
                <w:szCs w:val="16"/>
              </w:rPr>
              <w:t>2.872.304,02</w:t>
            </w:r>
          </w:p>
        </w:tc>
        <w:tc>
          <w:tcPr>
            <w:tcW w:w="9833" w:type="dxa"/>
            <w:tcBorders>
              <w:top w:val="nil"/>
              <w:left w:val="nil"/>
              <w:bottom w:val="single" w:sz="8" w:space="0" w:color="000000"/>
              <w:right w:val="single" w:sz="8" w:space="0" w:color="000000"/>
            </w:tcBorders>
          </w:tcPr>
          <w:p w14:paraId="03CF8FB9" w14:textId="71E40B32" w:rsidR="000C0282" w:rsidRPr="003A2F86" w:rsidRDefault="000C0282" w:rsidP="000C0282">
            <w:pPr>
              <w:spacing w:after="0" w:line="240" w:lineRule="auto"/>
              <w:jc w:val="both"/>
              <w:rPr>
                <w:rFonts w:ascii="Arial" w:eastAsia="Times New Roman" w:hAnsi="Arial" w:cs="Arial"/>
                <w:sz w:val="16"/>
                <w:szCs w:val="16"/>
              </w:rPr>
            </w:pPr>
            <w:r w:rsidRPr="003A2F86">
              <w:rPr>
                <w:rFonts w:ascii="Arial" w:hAnsi="Arial" w:cs="Arial"/>
                <w:sz w:val="16"/>
                <w:szCs w:val="16"/>
              </w:rPr>
              <w:t>što je za 270.411,75 € ili 10,4% više u odnosu na izvještajno razdoblje prethodne 2015. godine</w:t>
            </w:r>
          </w:p>
        </w:tc>
      </w:tr>
      <w:tr w:rsidR="000C0282" w:rsidRPr="003A2F86" w14:paraId="030278F8" w14:textId="77777777" w:rsidTr="00A201FC">
        <w:trPr>
          <w:jc w:val="center"/>
        </w:trPr>
        <w:tc>
          <w:tcPr>
            <w:tcW w:w="846" w:type="dxa"/>
            <w:tcBorders>
              <w:top w:val="nil"/>
              <w:left w:val="single" w:sz="8" w:space="0" w:color="000000"/>
              <w:bottom w:val="single" w:sz="8" w:space="0" w:color="000000"/>
              <w:right w:val="single" w:sz="8" w:space="0" w:color="000000"/>
            </w:tcBorders>
            <w:tcMar>
              <w:left w:w="57" w:type="dxa"/>
              <w:right w:w="57" w:type="dxa"/>
            </w:tcMar>
            <w:vAlign w:val="center"/>
          </w:tcPr>
          <w:p w14:paraId="61FE8A0D" w14:textId="7583FDE6" w:rsidR="000C0282" w:rsidRPr="003A2F86" w:rsidRDefault="000C0282" w:rsidP="000C0282">
            <w:pPr>
              <w:spacing w:after="0" w:line="240" w:lineRule="auto"/>
              <w:jc w:val="center"/>
              <w:rPr>
                <w:rFonts w:ascii="Arial" w:eastAsia="Times New Roman" w:hAnsi="Arial" w:cs="Arial"/>
                <w:sz w:val="16"/>
                <w:szCs w:val="16"/>
              </w:rPr>
            </w:pPr>
            <w:r w:rsidRPr="003A2F86">
              <w:rPr>
                <w:rFonts w:ascii="Arial" w:hAnsi="Arial" w:cs="Arial"/>
                <w:sz w:val="16"/>
                <w:szCs w:val="16"/>
              </w:rPr>
              <w:t>2017.</w:t>
            </w:r>
          </w:p>
        </w:tc>
        <w:tc>
          <w:tcPr>
            <w:tcW w:w="1223" w:type="dxa"/>
            <w:tcBorders>
              <w:top w:val="nil"/>
              <w:left w:val="nil"/>
              <w:bottom w:val="single" w:sz="8" w:space="0" w:color="000000"/>
              <w:right w:val="single" w:sz="8" w:space="0" w:color="000000"/>
            </w:tcBorders>
            <w:tcMar>
              <w:left w:w="57" w:type="dxa"/>
              <w:right w:w="57" w:type="dxa"/>
            </w:tcMar>
            <w:vAlign w:val="center"/>
          </w:tcPr>
          <w:p w14:paraId="7D02F1C8" w14:textId="7DEA81E9" w:rsidR="000C0282" w:rsidRPr="003A2F86" w:rsidRDefault="000C0282" w:rsidP="000C0282">
            <w:pPr>
              <w:spacing w:after="0" w:line="240" w:lineRule="auto"/>
              <w:jc w:val="right"/>
              <w:rPr>
                <w:rFonts w:ascii="Arial" w:eastAsia="Times New Roman" w:hAnsi="Arial" w:cs="Arial"/>
                <w:sz w:val="16"/>
                <w:szCs w:val="16"/>
              </w:rPr>
            </w:pPr>
            <w:r w:rsidRPr="003A2F86">
              <w:rPr>
                <w:rFonts w:ascii="Arial" w:hAnsi="Arial" w:cs="Arial"/>
                <w:sz w:val="16"/>
                <w:szCs w:val="16"/>
              </w:rPr>
              <w:t>373.789,58</w:t>
            </w:r>
          </w:p>
        </w:tc>
        <w:tc>
          <w:tcPr>
            <w:tcW w:w="1559" w:type="dxa"/>
            <w:tcBorders>
              <w:top w:val="nil"/>
              <w:left w:val="nil"/>
              <w:bottom w:val="single" w:sz="8" w:space="0" w:color="000000"/>
              <w:right w:val="single" w:sz="8" w:space="0" w:color="000000"/>
            </w:tcBorders>
            <w:tcMar>
              <w:left w:w="57" w:type="dxa"/>
              <w:right w:w="57" w:type="dxa"/>
            </w:tcMar>
            <w:vAlign w:val="center"/>
          </w:tcPr>
          <w:p w14:paraId="7502766C" w14:textId="5565C4E3" w:rsidR="000C0282" w:rsidRPr="003A2F86" w:rsidRDefault="000C0282" w:rsidP="000C0282">
            <w:pPr>
              <w:spacing w:after="0" w:line="240" w:lineRule="auto"/>
              <w:jc w:val="right"/>
              <w:rPr>
                <w:rFonts w:ascii="Arial" w:eastAsia="Times New Roman" w:hAnsi="Arial" w:cs="Arial"/>
                <w:sz w:val="16"/>
                <w:szCs w:val="16"/>
              </w:rPr>
            </w:pPr>
            <w:r w:rsidRPr="003A2F86">
              <w:rPr>
                <w:rFonts w:ascii="Arial" w:hAnsi="Arial" w:cs="Arial"/>
                <w:sz w:val="16"/>
                <w:szCs w:val="16"/>
              </w:rPr>
              <w:t>37.757,19</w:t>
            </w:r>
          </w:p>
        </w:tc>
        <w:tc>
          <w:tcPr>
            <w:tcW w:w="1276" w:type="dxa"/>
            <w:tcBorders>
              <w:top w:val="nil"/>
              <w:left w:val="nil"/>
              <w:bottom w:val="single" w:sz="8" w:space="0" w:color="000000"/>
              <w:right w:val="single" w:sz="8" w:space="0" w:color="000000"/>
            </w:tcBorders>
            <w:tcMar>
              <w:left w:w="57" w:type="dxa"/>
              <w:right w:w="57" w:type="dxa"/>
            </w:tcMar>
            <w:vAlign w:val="center"/>
          </w:tcPr>
          <w:p w14:paraId="7A85F54E" w14:textId="5AE4A98D" w:rsidR="000C0282" w:rsidRPr="003A2F86" w:rsidRDefault="000C0282" w:rsidP="000C0282">
            <w:pPr>
              <w:spacing w:after="0" w:line="240" w:lineRule="auto"/>
              <w:jc w:val="right"/>
              <w:rPr>
                <w:rFonts w:ascii="Arial" w:eastAsia="Times New Roman" w:hAnsi="Arial" w:cs="Arial"/>
                <w:sz w:val="16"/>
                <w:szCs w:val="16"/>
              </w:rPr>
            </w:pPr>
            <w:r w:rsidRPr="003A2F86">
              <w:rPr>
                <w:rFonts w:ascii="Arial" w:hAnsi="Arial" w:cs="Arial"/>
                <w:sz w:val="16"/>
                <w:szCs w:val="16"/>
              </w:rPr>
              <w:t>2.661.228,84</w:t>
            </w:r>
          </w:p>
        </w:tc>
        <w:tc>
          <w:tcPr>
            <w:tcW w:w="9833" w:type="dxa"/>
            <w:tcBorders>
              <w:top w:val="nil"/>
              <w:left w:val="nil"/>
              <w:bottom w:val="single" w:sz="8" w:space="0" w:color="000000"/>
              <w:right w:val="single" w:sz="8" w:space="0" w:color="000000"/>
            </w:tcBorders>
          </w:tcPr>
          <w:p w14:paraId="0020BD15" w14:textId="46A97AFA" w:rsidR="000C0282" w:rsidRPr="003A2F86" w:rsidRDefault="000C0282" w:rsidP="000C0282">
            <w:pPr>
              <w:spacing w:after="0" w:line="240" w:lineRule="auto"/>
              <w:jc w:val="both"/>
              <w:rPr>
                <w:rFonts w:ascii="Arial" w:eastAsia="Times New Roman" w:hAnsi="Arial" w:cs="Arial"/>
                <w:sz w:val="16"/>
                <w:szCs w:val="16"/>
              </w:rPr>
            </w:pPr>
            <w:r w:rsidRPr="003A2F86">
              <w:rPr>
                <w:rFonts w:ascii="Arial" w:hAnsi="Arial" w:cs="Arial"/>
                <w:sz w:val="16"/>
                <w:szCs w:val="16"/>
              </w:rPr>
              <w:t>što je za 211.075,18 € ili 7,3% manje u odnosu na izvještajno razdoblje prethodne godine</w:t>
            </w:r>
          </w:p>
        </w:tc>
      </w:tr>
      <w:tr w:rsidR="000C0282" w:rsidRPr="003A2F86" w14:paraId="689F51D3" w14:textId="77777777" w:rsidTr="00A201FC">
        <w:trPr>
          <w:jc w:val="center"/>
        </w:trPr>
        <w:tc>
          <w:tcPr>
            <w:tcW w:w="846" w:type="dxa"/>
            <w:tcBorders>
              <w:top w:val="nil"/>
              <w:left w:val="single" w:sz="8" w:space="0" w:color="000000"/>
              <w:bottom w:val="single" w:sz="8" w:space="0" w:color="000000"/>
              <w:right w:val="single" w:sz="8" w:space="0" w:color="000000"/>
            </w:tcBorders>
            <w:tcMar>
              <w:left w:w="57" w:type="dxa"/>
              <w:right w:w="57" w:type="dxa"/>
            </w:tcMar>
            <w:vAlign w:val="center"/>
          </w:tcPr>
          <w:p w14:paraId="10E76743" w14:textId="13CC2671" w:rsidR="000C0282" w:rsidRPr="003A2F86" w:rsidRDefault="000C0282" w:rsidP="000C0282">
            <w:pPr>
              <w:spacing w:after="0" w:line="240" w:lineRule="auto"/>
              <w:jc w:val="center"/>
              <w:rPr>
                <w:rFonts w:ascii="Arial" w:eastAsia="Times New Roman" w:hAnsi="Arial" w:cs="Arial"/>
                <w:sz w:val="16"/>
                <w:szCs w:val="16"/>
              </w:rPr>
            </w:pPr>
            <w:r w:rsidRPr="003A2F86">
              <w:rPr>
                <w:rFonts w:ascii="Arial" w:hAnsi="Arial" w:cs="Arial"/>
                <w:sz w:val="16"/>
                <w:szCs w:val="16"/>
              </w:rPr>
              <w:lastRenderedPageBreak/>
              <w:t>2018.</w:t>
            </w:r>
          </w:p>
        </w:tc>
        <w:tc>
          <w:tcPr>
            <w:tcW w:w="1223" w:type="dxa"/>
            <w:tcBorders>
              <w:top w:val="nil"/>
              <w:left w:val="nil"/>
              <w:bottom w:val="single" w:sz="8" w:space="0" w:color="000000"/>
              <w:right w:val="single" w:sz="8" w:space="0" w:color="000000"/>
            </w:tcBorders>
            <w:tcMar>
              <w:left w:w="57" w:type="dxa"/>
              <w:right w:w="57" w:type="dxa"/>
            </w:tcMar>
            <w:vAlign w:val="center"/>
          </w:tcPr>
          <w:p w14:paraId="18713ACA" w14:textId="78EF7536" w:rsidR="000C0282" w:rsidRPr="003A2F86" w:rsidRDefault="000C0282" w:rsidP="000C0282">
            <w:pPr>
              <w:spacing w:after="0" w:line="240" w:lineRule="auto"/>
              <w:jc w:val="right"/>
              <w:rPr>
                <w:rFonts w:ascii="Arial" w:eastAsia="Times New Roman" w:hAnsi="Arial" w:cs="Arial"/>
                <w:sz w:val="16"/>
                <w:szCs w:val="16"/>
              </w:rPr>
            </w:pPr>
            <w:r w:rsidRPr="003A2F86">
              <w:rPr>
                <w:rFonts w:ascii="Arial" w:hAnsi="Arial" w:cs="Arial"/>
                <w:sz w:val="16"/>
                <w:szCs w:val="16"/>
              </w:rPr>
              <w:t>459.516,87</w:t>
            </w:r>
          </w:p>
        </w:tc>
        <w:tc>
          <w:tcPr>
            <w:tcW w:w="1559" w:type="dxa"/>
            <w:tcBorders>
              <w:top w:val="nil"/>
              <w:left w:val="nil"/>
              <w:bottom w:val="single" w:sz="8" w:space="0" w:color="000000"/>
              <w:right w:val="single" w:sz="8" w:space="0" w:color="000000"/>
            </w:tcBorders>
            <w:tcMar>
              <w:left w:w="57" w:type="dxa"/>
              <w:right w:w="57" w:type="dxa"/>
            </w:tcMar>
            <w:vAlign w:val="center"/>
          </w:tcPr>
          <w:p w14:paraId="4AE91995" w14:textId="1A3F1213" w:rsidR="000C0282" w:rsidRPr="003A2F86" w:rsidRDefault="000C0282" w:rsidP="000C0282">
            <w:pPr>
              <w:spacing w:after="0" w:line="240" w:lineRule="auto"/>
              <w:jc w:val="right"/>
              <w:rPr>
                <w:rFonts w:ascii="Arial" w:eastAsia="Times New Roman" w:hAnsi="Arial" w:cs="Arial"/>
                <w:sz w:val="16"/>
                <w:szCs w:val="16"/>
              </w:rPr>
            </w:pPr>
            <w:r w:rsidRPr="003A2F86">
              <w:rPr>
                <w:rFonts w:ascii="Arial" w:hAnsi="Arial" w:cs="Arial"/>
                <w:sz w:val="16"/>
                <w:szCs w:val="16"/>
              </w:rPr>
              <w:t>45.953,32</w:t>
            </w:r>
          </w:p>
        </w:tc>
        <w:tc>
          <w:tcPr>
            <w:tcW w:w="1276" w:type="dxa"/>
            <w:tcBorders>
              <w:top w:val="nil"/>
              <w:left w:val="nil"/>
              <w:bottom w:val="single" w:sz="8" w:space="0" w:color="000000"/>
              <w:right w:val="single" w:sz="8" w:space="0" w:color="000000"/>
            </w:tcBorders>
            <w:tcMar>
              <w:left w:w="57" w:type="dxa"/>
              <w:right w:w="57" w:type="dxa"/>
            </w:tcMar>
            <w:vAlign w:val="center"/>
          </w:tcPr>
          <w:p w14:paraId="6B87422E" w14:textId="5B29D873" w:rsidR="000C0282" w:rsidRPr="003A2F86" w:rsidRDefault="000C0282" w:rsidP="000C0282">
            <w:pPr>
              <w:spacing w:after="0" w:line="240" w:lineRule="auto"/>
              <w:jc w:val="right"/>
              <w:rPr>
                <w:rFonts w:ascii="Arial" w:eastAsia="Times New Roman" w:hAnsi="Arial" w:cs="Arial"/>
                <w:sz w:val="16"/>
                <w:szCs w:val="16"/>
              </w:rPr>
            </w:pPr>
            <w:r w:rsidRPr="003A2F86">
              <w:rPr>
                <w:rFonts w:ascii="Arial" w:hAnsi="Arial" w:cs="Arial"/>
                <w:sz w:val="16"/>
                <w:szCs w:val="16"/>
              </w:rPr>
              <w:t>3.263.034,03</w:t>
            </w:r>
          </w:p>
        </w:tc>
        <w:tc>
          <w:tcPr>
            <w:tcW w:w="9833" w:type="dxa"/>
            <w:tcBorders>
              <w:top w:val="nil"/>
              <w:left w:val="nil"/>
              <w:bottom w:val="single" w:sz="8" w:space="0" w:color="000000"/>
              <w:right w:val="single" w:sz="8" w:space="0" w:color="000000"/>
            </w:tcBorders>
          </w:tcPr>
          <w:p w14:paraId="3F02C729" w14:textId="0CA821DB" w:rsidR="000C0282" w:rsidRPr="003A2F86" w:rsidRDefault="000C0282" w:rsidP="000C0282">
            <w:pPr>
              <w:spacing w:after="0" w:line="240" w:lineRule="auto"/>
              <w:jc w:val="both"/>
              <w:rPr>
                <w:rFonts w:ascii="Arial" w:eastAsia="Times New Roman" w:hAnsi="Arial" w:cs="Arial"/>
                <w:sz w:val="16"/>
                <w:szCs w:val="16"/>
              </w:rPr>
            </w:pPr>
            <w:r w:rsidRPr="003A2F86">
              <w:rPr>
                <w:rFonts w:ascii="Arial" w:hAnsi="Arial" w:cs="Arial"/>
                <w:sz w:val="16"/>
                <w:szCs w:val="16"/>
              </w:rPr>
              <w:t>što je za 601.805,19 € ili 22,6% više u odnosu na izvještajno razdoblje prethodne godine</w:t>
            </w:r>
          </w:p>
        </w:tc>
      </w:tr>
      <w:tr w:rsidR="000C0282" w:rsidRPr="003A2F86" w14:paraId="5AB70C49" w14:textId="77777777" w:rsidTr="00A201FC">
        <w:trPr>
          <w:jc w:val="center"/>
        </w:trPr>
        <w:tc>
          <w:tcPr>
            <w:tcW w:w="846" w:type="dxa"/>
            <w:tcBorders>
              <w:top w:val="nil"/>
              <w:left w:val="single" w:sz="8" w:space="0" w:color="000000"/>
              <w:bottom w:val="single" w:sz="8" w:space="0" w:color="000000"/>
              <w:right w:val="single" w:sz="8" w:space="0" w:color="000000"/>
            </w:tcBorders>
            <w:tcMar>
              <w:left w:w="57" w:type="dxa"/>
              <w:right w:w="57" w:type="dxa"/>
            </w:tcMar>
            <w:vAlign w:val="center"/>
          </w:tcPr>
          <w:p w14:paraId="4312F500" w14:textId="6DE7CB97" w:rsidR="000C0282" w:rsidRPr="003A2F86" w:rsidRDefault="000C0282" w:rsidP="000C0282">
            <w:pPr>
              <w:spacing w:after="0" w:line="240" w:lineRule="auto"/>
              <w:jc w:val="center"/>
              <w:rPr>
                <w:rFonts w:ascii="Arial" w:eastAsia="Times New Roman" w:hAnsi="Arial" w:cs="Arial"/>
                <w:sz w:val="16"/>
                <w:szCs w:val="16"/>
              </w:rPr>
            </w:pPr>
            <w:r w:rsidRPr="003A2F86">
              <w:rPr>
                <w:rFonts w:ascii="Arial" w:hAnsi="Arial" w:cs="Arial"/>
                <w:sz w:val="16"/>
                <w:szCs w:val="16"/>
              </w:rPr>
              <w:t>2019.</w:t>
            </w:r>
          </w:p>
        </w:tc>
        <w:tc>
          <w:tcPr>
            <w:tcW w:w="1223" w:type="dxa"/>
            <w:tcBorders>
              <w:top w:val="nil"/>
              <w:left w:val="nil"/>
              <w:bottom w:val="single" w:sz="8" w:space="0" w:color="000000"/>
              <w:right w:val="single" w:sz="8" w:space="0" w:color="000000"/>
            </w:tcBorders>
            <w:tcMar>
              <w:left w:w="57" w:type="dxa"/>
              <w:right w:w="57" w:type="dxa"/>
            </w:tcMar>
            <w:vAlign w:val="center"/>
          </w:tcPr>
          <w:p w14:paraId="494DE9AD" w14:textId="21623598" w:rsidR="000C0282" w:rsidRPr="003A2F86" w:rsidRDefault="000C0282" w:rsidP="000C0282">
            <w:pPr>
              <w:spacing w:after="0" w:line="240" w:lineRule="auto"/>
              <w:jc w:val="right"/>
              <w:rPr>
                <w:rFonts w:ascii="Arial" w:eastAsia="Times New Roman" w:hAnsi="Arial" w:cs="Arial"/>
                <w:sz w:val="16"/>
                <w:szCs w:val="16"/>
              </w:rPr>
            </w:pPr>
            <w:r w:rsidRPr="003A2F86">
              <w:rPr>
                <w:rFonts w:ascii="Arial" w:hAnsi="Arial" w:cs="Arial"/>
                <w:sz w:val="16"/>
                <w:szCs w:val="16"/>
              </w:rPr>
              <w:t>497.538,57</w:t>
            </w:r>
          </w:p>
        </w:tc>
        <w:tc>
          <w:tcPr>
            <w:tcW w:w="1559" w:type="dxa"/>
            <w:tcBorders>
              <w:top w:val="nil"/>
              <w:left w:val="nil"/>
              <w:bottom w:val="single" w:sz="8" w:space="0" w:color="000000"/>
              <w:right w:val="single" w:sz="8" w:space="0" w:color="000000"/>
            </w:tcBorders>
            <w:tcMar>
              <w:left w:w="57" w:type="dxa"/>
              <w:right w:w="57" w:type="dxa"/>
            </w:tcMar>
            <w:vAlign w:val="center"/>
          </w:tcPr>
          <w:p w14:paraId="4D0A622C" w14:textId="022076C4" w:rsidR="000C0282" w:rsidRPr="003A2F86" w:rsidRDefault="000C0282" w:rsidP="000C0282">
            <w:pPr>
              <w:spacing w:after="0" w:line="240" w:lineRule="auto"/>
              <w:jc w:val="right"/>
              <w:rPr>
                <w:rFonts w:ascii="Arial" w:eastAsia="Times New Roman" w:hAnsi="Arial" w:cs="Arial"/>
                <w:sz w:val="16"/>
                <w:szCs w:val="16"/>
              </w:rPr>
            </w:pPr>
            <w:r w:rsidRPr="003A2F86">
              <w:rPr>
                <w:rFonts w:ascii="Arial" w:hAnsi="Arial" w:cs="Arial"/>
                <w:sz w:val="16"/>
                <w:szCs w:val="16"/>
              </w:rPr>
              <w:t>49.755,62</w:t>
            </w:r>
          </w:p>
        </w:tc>
        <w:tc>
          <w:tcPr>
            <w:tcW w:w="1276" w:type="dxa"/>
            <w:tcBorders>
              <w:top w:val="nil"/>
              <w:left w:val="nil"/>
              <w:bottom w:val="single" w:sz="8" w:space="0" w:color="000000"/>
              <w:right w:val="single" w:sz="8" w:space="0" w:color="000000"/>
            </w:tcBorders>
            <w:tcMar>
              <w:left w:w="57" w:type="dxa"/>
              <w:right w:w="57" w:type="dxa"/>
            </w:tcMar>
            <w:vAlign w:val="center"/>
          </w:tcPr>
          <w:p w14:paraId="22650109" w14:textId="62BC2BA5" w:rsidR="000C0282" w:rsidRPr="003A2F86" w:rsidRDefault="000C0282" w:rsidP="000C0282">
            <w:pPr>
              <w:spacing w:after="0" w:line="240" w:lineRule="auto"/>
              <w:jc w:val="right"/>
              <w:rPr>
                <w:rFonts w:ascii="Arial" w:eastAsia="Times New Roman" w:hAnsi="Arial" w:cs="Arial"/>
                <w:sz w:val="16"/>
                <w:szCs w:val="16"/>
              </w:rPr>
            </w:pPr>
            <w:r w:rsidRPr="003A2F86">
              <w:rPr>
                <w:rFonts w:ascii="Arial" w:hAnsi="Arial" w:cs="Arial"/>
                <w:sz w:val="16"/>
                <w:szCs w:val="16"/>
              </w:rPr>
              <w:t>3.535.710,70</w:t>
            </w:r>
          </w:p>
        </w:tc>
        <w:tc>
          <w:tcPr>
            <w:tcW w:w="9833" w:type="dxa"/>
            <w:tcBorders>
              <w:top w:val="nil"/>
              <w:left w:val="nil"/>
              <w:bottom w:val="single" w:sz="8" w:space="0" w:color="000000"/>
              <w:right w:val="single" w:sz="8" w:space="0" w:color="000000"/>
            </w:tcBorders>
          </w:tcPr>
          <w:p w14:paraId="17E581F3" w14:textId="14F7339D" w:rsidR="000C0282" w:rsidRPr="003A2F86" w:rsidRDefault="000C0282" w:rsidP="000C0282">
            <w:pPr>
              <w:spacing w:after="0" w:line="240" w:lineRule="auto"/>
              <w:jc w:val="both"/>
              <w:rPr>
                <w:rFonts w:ascii="Arial" w:eastAsia="Times New Roman" w:hAnsi="Arial" w:cs="Arial"/>
                <w:sz w:val="16"/>
                <w:szCs w:val="16"/>
              </w:rPr>
            </w:pPr>
            <w:r w:rsidRPr="003A2F86">
              <w:rPr>
                <w:rFonts w:ascii="Arial" w:hAnsi="Arial" w:cs="Arial"/>
                <w:sz w:val="16"/>
                <w:szCs w:val="16"/>
              </w:rPr>
              <w:t xml:space="preserve">što je za 272.676,67 € ili 8,4% više u odnosu na izvještajno razdoblje prethodne godine. U prvom polugodištu 2019. ovi prihodi su iznosili 1.708.013,60 €. </w:t>
            </w:r>
          </w:p>
        </w:tc>
      </w:tr>
      <w:tr w:rsidR="000C0282" w:rsidRPr="003A2F86" w14:paraId="46AAF93C" w14:textId="77777777" w:rsidTr="00A201FC">
        <w:trPr>
          <w:jc w:val="center"/>
        </w:trPr>
        <w:tc>
          <w:tcPr>
            <w:tcW w:w="846" w:type="dxa"/>
            <w:tcBorders>
              <w:top w:val="nil"/>
              <w:left w:val="single" w:sz="8" w:space="0" w:color="000000"/>
              <w:bottom w:val="single" w:sz="8" w:space="0" w:color="000000"/>
              <w:right w:val="single" w:sz="8" w:space="0" w:color="000000"/>
            </w:tcBorders>
            <w:tcMar>
              <w:left w:w="57" w:type="dxa"/>
              <w:right w:w="57" w:type="dxa"/>
            </w:tcMar>
            <w:vAlign w:val="center"/>
          </w:tcPr>
          <w:p w14:paraId="3B5F3186" w14:textId="5A8CBCCE" w:rsidR="000C0282" w:rsidRPr="003A2F86" w:rsidRDefault="000C0282" w:rsidP="000C0282">
            <w:pPr>
              <w:spacing w:after="0" w:line="240" w:lineRule="auto"/>
              <w:jc w:val="center"/>
              <w:rPr>
                <w:rFonts w:ascii="Arial" w:eastAsia="Times New Roman" w:hAnsi="Arial" w:cs="Arial"/>
                <w:sz w:val="16"/>
                <w:szCs w:val="16"/>
              </w:rPr>
            </w:pPr>
            <w:r w:rsidRPr="003A2F86">
              <w:rPr>
                <w:rFonts w:ascii="Arial" w:hAnsi="Arial" w:cs="Arial"/>
                <w:sz w:val="16"/>
                <w:szCs w:val="16"/>
              </w:rPr>
              <w:t>2020.</w:t>
            </w:r>
          </w:p>
        </w:tc>
        <w:tc>
          <w:tcPr>
            <w:tcW w:w="1223" w:type="dxa"/>
            <w:tcBorders>
              <w:top w:val="nil"/>
              <w:left w:val="nil"/>
              <w:bottom w:val="single" w:sz="8" w:space="0" w:color="000000"/>
              <w:right w:val="single" w:sz="8" w:space="0" w:color="000000"/>
            </w:tcBorders>
            <w:tcMar>
              <w:left w:w="57" w:type="dxa"/>
              <w:right w:w="57" w:type="dxa"/>
            </w:tcMar>
            <w:vAlign w:val="center"/>
          </w:tcPr>
          <w:p w14:paraId="4DFBB5D3" w14:textId="3CFCF77E" w:rsidR="000C0282" w:rsidRPr="003A2F86" w:rsidRDefault="000C0282" w:rsidP="000C0282">
            <w:pPr>
              <w:spacing w:after="0" w:line="240" w:lineRule="auto"/>
              <w:jc w:val="right"/>
              <w:rPr>
                <w:rFonts w:ascii="Arial" w:eastAsia="Times New Roman" w:hAnsi="Arial" w:cs="Arial"/>
                <w:sz w:val="16"/>
                <w:szCs w:val="16"/>
              </w:rPr>
            </w:pPr>
            <w:r w:rsidRPr="003A2F86">
              <w:rPr>
                <w:rFonts w:ascii="Arial" w:hAnsi="Arial" w:cs="Arial"/>
                <w:sz w:val="16"/>
                <w:szCs w:val="16"/>
              </w:rPr>
              <w:t>357.066,45</w:t>
            </w:r>
          </w:p>
        </w:tc>
        <w:tc>
          <w:tcPr>
            <w:tcW w:w="1559" w:type="dxa"/>
            <w:tcBorders>
              <w:top w:val="nil"/>
              <w:left w:val="nil"/>
              <w:bottom w:val="single" w:sz="8" w:space="0" w:color="000000"/>
              <w:right w:val="single" w:sz="8" w:space="0" w:color="000000"/>
            </w:tcBorders>
            <w:tcMar>
              <w:left w:w="57" w:type="dxa"/>
              <w:right w:w="57" w:type="dxa"/>
            </w:tcMar>
            <w:vAlign w:val="center"/>
          </w:tcPr>
          <w:p w14:paraId="4C7B38D1" w14:textId="16BCF55C" w:rsidR="000C0282" w:rsidRPr="003A2F86" w:rsidRDefault="000C0282" w:rsidP="000C0282">
            <w:pPr>
              <w:spacing w:after="0" w:line="240" w:lineRule="auto"/>
              <w:jc w:val="right"/>
              <w:rPr>
                <w:rFonts w:ascii="Arial" w:eastAsia="Times New Roman" w:hAnsi="Arial" w:cs="Arial"/>
                <w:sz w:val="16"/>
                <w:szCs w:val="16"/>
              </w:rPr>
            </w:pPr>
            <w:r w:rsidRPr="003A2F86">
              <w:rPr>
                <w:rFonts w:ascii="Arial" w:hAnsi="Arial" w:cs="Arial"/>
                <w:sz w:val="16"/>
                <w:szCs w:val="16"/>
              </w:rPr>
              <w:t>35.707,91</w:t>
            </w:r>
          </w:p>
        </w:tc>
        <w:tc>
          <w:tcPr>
            <w:tcW w:w="1276" w:type="dxa"/>
            <w:tcBorders>
              <w:top w:val="nil"/>
              <w:left w:val="nil"/>
              <w:bottom w:val="single" w:sz="8" w:space="0" w:color="000000"/>
              <w:right w:val="single" w:sz="8" w:space="0" w:color="000000"/>
            </w:tcBorders>
            <w:tcMar>
              <w:left w:w="57" w:type="dxa"/>
              <w:right w:w="57" w:type="dxa"/>
            </w:tcMar>
            <w:vAlign w:val="center"/>
          </w:tcPr>
          <w:p w14:paraId="2E3F899C" w14:textId="0B05F49D" w:rsidR="000C0282" w:rsidRPr="003A2F86" w:rsidRDefault="000C0282" w:rsidP="000C0282">
            <w:pPr>
              <w:spacing w:after="0" w:line="240" w:lineRule="auto"/>
              <w:jc w:val="right"/>
              <w:rPr>
                <w:rFonts w:ascii="Arial" w:eastAsia="Times New Roman" w:hAnsi="Arial" w:cs="Arial"/>
                <w:sz w:val="16"/>
                <w:szCs w:val="16"/>
              </w:rPr>
            </w:pPr>
            <w:r w:rsidRPr="003A2F86">
              <w:rPr>
                <w:rFonts w:ascii="Arial" w:hAnsi="Arial" w:cs="Arial"/>
                <w:sz w:val="16"/>
                <w:szCs w:val="16"/>
              </w:rPr>
              <w:t>2.285.866,86</w:t>
            </w:r>
          </w:p>
        </w:tc>
        <w:tc>
          <w:tcPr>
            <w:tcW w:w="9833" w:type="dxa"/>
            <w:tcBorders>
              <w:top w:val="nil"/>
              <w:left w:val="nil"/>
              <w:bottom w:val="single" w:sz="8" w:space="0" w:color="000000"/>
              <w:right w:val="single" w:sz="8" w:space="0" w:color="000000"/>
            </w:tcBorders>
          </w:tcPr>
          <w:p w14:paraId="568EFDC9" w14:textId="037A1006" w:rsidR="000C0282" w:rsidRPr="003A2F86" w:rsidRDefault="000C0282" w:rsidP="000C0282">
            <w:pPr>
              <w:spacing w:after="0" w:line="240" w:lineRule="auto"/>
              <w:jc w:val="both"/>
              <w:rPr>
                <w:rFonts w:ascii="Arial" w:eastAsia="Times New Roman" w:hAnsi="Arial" w:cs="Arial"/>
                <w:sz w:val="16"/>
                <w:szCs w:val="16"/>
              </w:rPr>
            </w:pPr>
            <w:r w:rsidRPr="003A2F86">
              <w:rPr>
                <w:rFonts w:ascii="Arial" w:hAnsi="Arial" w:cs="Arial"/>
                <w:sz w:val="16"/>
                <w:szCs w:val="16"/>
              </w:rPr>
              <w:t>što je za 1.249.843,84 € ili 35,4% manje u odnosu na izvještajno razdoblje prethodne godine. U prvom polugodištu 2020. ovi prihodi iznose 1.002.246,11 €.</w:t>
            </w:r>
          </w:p>
        </w:tc>
      </w:tr>
      <w:tr w:rsidR="00B0794B" w:rsidRPr="003A2F86" w14:paraId="1347062C" w14:textId="77777777" w:rsidTr="00A201FC">
        <w:trPr>
          <w:jc w:val="center"/>
        </w:trPr>
        <w:tc>
          <w:tcPr>
            <w:tcW w:w="846" w:type="dxa"/>
            <w:tcBorders>
              <w:top w:val="nil"/>
              <w:left w:val="single" w:sz="8" w:space="0" w:color="000000"/>
              <w:bottom w:val="single" w:sz="4" w:space="0" w:color="auto"/>
              <w:right w:val="single" w:sz="8" w:space="0" w:color="000000"/>
            </w:tcBorders>
            <w:tcMar>
              <w:left w:w="57" w:type="dxa"/>
              <w:right w:w="57" w:type="dxa"/>
            </w:tcMar>
            <w:vAlign w:val="center"/>
          </w:tcPr>
          <w:p w14:paraId="60A1B67F" w14:textId="7EEF2474" w:rsidR="00B0794B" w:rsidRPr="003A2F86" w:rsidRDefault="00B0794B" w:rsidP="00B0794B">
            <w:pPr>
              <w:spacing w:after="0" w:line="240" w:lineRule="auto"/>
              <w:jc w:val="center"/>
              <w:rPr>
                <w:rFonts w:ascii="Arial" w:eastAsia="Times New Roman" w:hAnsi="Arial" w:cs="Arial"/>
                <w:sz w:val="16"/>
                <w:szCs w:val="16"/>
              </w:rPr>
            </w:pPr>
            <w:r w:rsidRPr="003A2F86">
              <w:rPr>
                <w:rFonts w:ascii="Arial" w:hAnsi="Arial" w:cs="Arial"/>
                <w:sz w:val="16"/>
                <w:szCs w:val="16"/>
              </w:rPr>
              <w:t>2021.</w:t>
            </w:r>
          </w:p>
        </w:tc>
        <w:tc>
          <w:tcPr>
            <w:tcW w:w="1223" w:type="dxa"/>
            <w:tcBorders>
              <w:top w:val="nil"/>
              <w:left w:val="nil"/>
              <w:bottom w:val="single" w:sz="4" w:space="0" w:color="auto"/>
              <w:right w:val="single" w:sz="8" w:space="0" w:color="000000"/>
            </w:tcBorders>
            <w:tcMar>
              <w:left w:w="57" w:type="dxa"/>
              <w:right w:w="57" w:type="dxa"/>
            </w:tcMar>
            <w:vAlign w:val="center"/>
          </w:tcPr>
          <w:p w14:paraId="36E3225E" w14:textId="07CDE4C3" w:rsidR="00B0794B" w:rsidRPr="003A2F86" w:rsidRDefault="00B0794B" w:rsidP="00B0794B">
            <w:pPr>
              <w:spacing w:after="0" w:line="240" w:lineRule="auto"/>
              <w:jc w:val="right"/>
              <w:rPr>
                <w:rFonts w:ascii="Arial" w:eastAsia="Times New Roman" w:hAnsi="Arial" w:cs="Arial"/>
                <w:sz w:val="16"/>
                <w:szCs w:val="16"/>
              </w:rPr>
            </w:pPr>
            <w:r w:rsidRPr="003A2F86">
              <w:rPr>
                <w:rFonts w:ascii="Arial" w:hAnsi="Arial" w:cs="Arial"/>
                <w:sz w:val="16"/>
                <w:szCs w:val="16"/>
              </w:rPr>
              <w:t>278.743,69</w:t>
            </w:r>
          </w:p>
        </w:tc>
        <w:tc>
          <w:tcPr>
            <w:tcW w:w="1559" w:type="dxa"/>
            <w:tcBorders>
              <w:top w:val="nil"/>
              <w:left w:val="nil"/>
              <w:bottom w:val="single" w:sz="4" w:space="0" w:color="auto"/>
              <w:right w:val="single" w:sz="8" w:space="0" w:color="000000"/>
            </w:tcBorders>
            <w:tcMar>
              <w:left w:w="57" w:type="dxa"/>
              <w:right w:w="57" w:type="dxa"/>
            </w:tcMar>
            <w:vAlign w:val="center"/>
          </w:tcPr>
          <w:p w14:paraId="42AA5022" w14:textId="6F4C611F" w:rsidR="00B0794B" w:rsidRPr="003A2F86" w:rsidRDefault="00B0794B" w:rsidP="00B0794B">
            <w:pPr>
              <w:spacing w:after="0" w:line="240" w:lineRule="auto"/>
              <w:jc w:val="right"/>
              <w:rPr>
                <w:rFonts w:ascii="Arial" w:eastAsia="Times New Roman" w:hAnsi="Arial" w:cs="Arial"/>
                <w:sz w:val="16"/>
                <w:szCs w:val="16"/>
              </w:rPr>
            </w:pPr>
            <w:r w:rsidRPr="003A2F86">
              <w:rPr>
                <w:rFonts w:ascii="Arial" w:hAnsi="Arial" w:cs="Arial"/>
                <w:sz w:val="16"/>
                <w:szCs w:val="16"/>
              </w:rPr>
              <w:t>27.875,07</w:t>
            </w:r>
          </w:p>
        </w:tc>
        <w:tc>
          <w:tcPr>
            <w:tcW w:w="1276" w:type="dxa"/>
            <w:tcBorders>
              <w:top w:val="nil"/>
              <w:left w:val="nil"/>
              <w:bottom w:val="single" w:sz="4" w:space="0" w:color="auto"/>
              <w:right w:val="single" w:sz="8" w:space="0" w:color="000000"/>
            </w:tcBorders>
            <w:tcMar>
              <w:left w:w="57" w:type="dxa"/>
              <w:right w:w="57" w:type="dxa"/>
            </w:tcMar>
            <w:vAlign w:val="center"/>
          </w:tcPr>
          <w:p w14:paraId="1AD0F5FB" w14:textId="347B2DDD" w:rsidR="00B0794B" w:rsidRPr="003A2F86" w:rsidRDefault="00B0794B" w:rsidP="00B0794B">
            <w:pPr>
              <w:spacing w:after="0" w:line="240" w:lineRule="auto"/>
              <w:jc w:val="right"/>
              <w:rPr>
                <w:rFonts w:ascii="Arial" w:eastAsia="Times New Roman" w:hAnsi="Arial" w:cs="Arial"/>
                <w:sz w:val="16"/>
                <w:szCs w:val="16"/>
              </w:rPr>
            </w:pPr>
            <w:r w:rsidRPr="003A2F86">
              <w:rPr>
                <w:rFonts w:ascii="Arial" w:hAnsi="Arial" w:cs="Arial"/>
                <w:sz w:val="16"/>
                <w:szCs w:val="16"/>
              </w:rPr>
              <w:t>2.296.723,21</w:t>
            </w:r>
          </w:p>
        </w:tc>
        <w:tc>
          <w:tcPr>
            <w:tcW w:w="9833" w:type="dxa"/>
            <w:tcBorders>
              <w:top w:val="nil"/>
              <w:left w:val="nil"/>
              <w:bottom w:val="single" w:sz="8" w:space="0" w:color="000000"/>
              <w:right w:val="single" w:sz="8" w:space="0" w:color="000000"/>
            </w:tcBorders>
            <w:vAlign w:val="center"/>
          </w:tcPr>
          <w:p w14:paraId="5D79588D" w14:textId="75ABBCE4" w:rsidR="00B0794B" w:rsidRPr="003A2F86" w:rsidRDefault="00B0794B" w:rsidP="00B0794B">
            <w:pPr>
              <w:spacing w:after="0" w:line="240" w:lineRule="auto"/>
              <w:jc w:val="both"/>
              <w:rPr>
                <w:rFonts w:ascii="Arial" w:eastAsia="Times New Roman" w:hAnsi="Arial" w:cs="Arial"/>
                <w:sz w:val="16"/>
                <w:szCs w:val="16"/>
              </w:rPr>
            </w:pPr>
            <w:r w:rsidRPr="003A2F86">
              <w:rPr>
                <w:rFonts w:ascii="Arial" w:hAnsi="Arial" w:cs="Arial"/>
                <w:sz w:val="16"/>
                <w:szCs w:val="16"/>
              </w:rPr>
              <w:t xml:space="preserve">što je za 10.856,36 € ili 0,5% više u odnosu na izvještajno razdoblje prethodne 2020. godine. </w:t>
            </w:r>
            <w:r w:rsidRPr="003A2F86">
              <w:rPr>
                <w:rFonts w:ascii="Arial" w:hAnsi="Arial" w:cs="Arial"/>
                <w:b/>
                <w:bCs/>
                <w:sz w:val="16"/>
                <w:szCs w:val="16"/>
              </w:rPr>
              <w:t>Međutim, u odnosu na izvještajno razdoblje 2019. godine ovi prihodi su manji za 35% (1.238.987,48 €).</w:t>
            </w:r>
            <w:r w:rsidRPr="003A2F86">
              <w:rPr>
                <w:rFonts w:ascii="Arial" w:hAnsi="Arial" w:cs="Arial"/>
                <w:sz w:val="16"/>
                <w:szCs w:val="16"/>
              </w:rPr>
              <w:t xml:space="preserve"> U prvom polugodištu 2021. ovi prihodi su iznosili 1.194.100,73 €.</w:t>
            </w:r>
          </w:p>
        </w:tc>
      </w:tr>
      <w:tr w:rsidR="00B0794B" w:rsidRPr="003A2F86" w14:paraId="6DC560DA" w14:textId="77777777" w:rsidTr="00A201FC">
        <w:trPr>
          <w:jc w:val="center"/>
        </w:trPr>
        <w:tc>
          <w:tcPr>
            <w:tcW w:w="846" w:type="dxa"/>
            <w:tcBorders>
              <w:top w:val="nil"/>
              <w:left w:val="single" w:sz="8" w:space="0" w:color="000000"/>
              <w:bottom w:val="single" w:sz="4" w:space="0" w:color="auto"/>
              <w:right w:val="single" w:sz="8" w:space="0" w:color="000000"/>
            </w:tcBorders>
            <w:tcMar>
              <w:left w:w="57" w:type="dxa"/>
              <w:right w:w="57" w:type="dxa"/>
            </w:tcMar>
            <w:vAlign w:val="center"/>
          </w:tcPr>
          <w:p w14:paraId="24BA92BF" w14:textId="42BC8FE6" w:rsidR="00B0794B" w:rsidRPr="003A2F86" w:rsidRDefault="00B0794B" w:rsidP="00B0794B">
            <w:pPr>
              <w:spacing w:after="0" w:line="240" w:lineRule="auto"/>
              <w:jc w:val="center"/>
              <w:rPr>
                <w:rFonts w:ascii="Arial" w:eastAsia="Times New Roman" w:hAnsi="Arial" w:cs="Arial"/>
                <w:sz w:val="16"/>
                <w:szCs w:val="16"/>
              </w:rPr>
            </w:pPr>
            <w:r w:rsidRPr="003A2F86">
              <w:rPr>
                <w:rFonts w:ascii="Arial" w:hAnsi="Arial" w:cs="Arial"/>
                <w:sz w:val="16"/>
                <w:szCs w:val="16"/>
              </w:rPr>
              <w:t>2022.</w:t>
            </w:r>
          </w:p>
        </w:tc>
        <w:tc>
          <w:tcPr>
            <w:tcW w:w="1223" w:type="dxa"/>
            <w:tcBorders>
              <w:top w:val="nil"/>
              <w:left w:val="nil"/>
              <w:bottom w:val="single" w:sz="4" w:space="0" w:color="auto"/>
              <w:right w:val="single" w:sz="8" w:space="0" w:color="000000"/>
            </w:tcBorders>
            <w:tcMar>
              <w:left w:w="57" w:type="dxa"/>
              <w:right w:w="57" w:type="dxa"/>
            </w:tcMar>
            <w:vAlign w:val="center"/>
          </w:tcPr>
          <w:p w14:paraId="249C779D" w14:textId="4CEEF401" w:rsidR="00B0794B" w:rsidRPr="003A2F86" w:rsidRDefault="00B0794B" w:rsidP="00B0794B">
            <w:pPr>
              <w:spacing w:after="0" w:line="240" w:lineRule="auto"/>
              <w:jc w:val="right"/>
              <w:rPr>
                <w:rFonts w:ascii="Arial" w:eastAsia="Times New Roman" w:hAnsi="Arial" w:cs="Arial"/>
                <w:sz w:val="16"/>
                <w:szCs w:val="16"/>
              </w:rPr>
            </w:pPr>
            <w:r w:rsidRPr="003A2F86">
              <w:rPr>
                <w:rFonts w:ascii="Arial" w:hAnsi="Arial" w:cs="Arial"/>
                <w:sz w:val="16"/>
                <w:szCs w:val="16"/>
              </w:rPr>
              <w:t>403.609,94</w:t>
            </w:r>
          </w:p>
        </w:tc>
        <w:tc>
          <w:tcPr>
            <w:tcW w:w="1559" w:type="dxa"/>
            <w:tcBorders>
              <w:top w:val="nil"/>
              <w:left w:val="nil"/>
              <w:bottom w:val="single" w:sz="4" w:space="0" w:color="auto"/>
              <w:right w:val="single" w:sz="8" w:space="0" w:color="000000"/>
            </w:tcBorders>
            <w:tcMar>
              <w:left w:w="57" w:type="dxa"/>
              <w:right w:w="57" w:type="dxa"/>
            </w:tcMar>
            <w:vAlign w:val="center"/>
          </w:tcPr>
          <w:p w14:paraId="21A58DCA" w14:textId="38954753" w:rsidR="00B0794B" w:rsidRPr="003A2F86" w:rsidRDefault="00B0794B" w:rsidP="00B0794B">
            <w:pPr>
              <w:spacing w:after="0" w:line="240" w:lineRule="auto"/>
              <w:jc w:val="right"/>
              <w:rPr>
                <w:rFonts w:ascii="Arial" w:eastAsia="Times New Roman" w:hAnsi="Arial" w:cs="Arial"/>
                <w:sz w:val="16"/>
                <w:szCs w:val="16"/>
              </w:rPr>
            </w:pPr>
            <w:r w:rsidRPr="003A2F86">
              <w:rPr>
                <w:rFonts w:ascii="Arial" w:hAnsi="Arial" w:cs="Arial"/>
                <w:sz w:val="16"/>
                <w:szCs w:val="16"/>
              </w:rPr>
              <w:t>40.362,02</w:t>
            </w:r>
          </w:p>
        </w:tc>
        <w:tc>
          <w:tcPr>
            <w:tcW w:w="1276" w:type="dxa"/>
            <w:tcBorders>
              <w:top w:val="nil"/>
              <w:left w:val="nil"/>
              <w:bottom w:val="single" w:sz="4" w:space="0" w:color="auto"/>
              <w:right w:val="single" w:sz="8" w:space="0" w:color="000000"/>
            </w:tcBorders>
            <w:tcMar>
              <w:left w:w="57" w:type="dxa"/>
              <w:right w:w="57" w:type="dxa"/>
            </w:tcMar>
            <w:vAlign w:val="center"/>
          </w:tcPr>
          <w:p w14:paraId="673D4A5C" w14:textId="4F3CECEE" w:rsidR="00B0794B" w:rsidRPr="003A2F86" w:rsidRDefault="00B0794B" w:rsidP="00B0794B">
            <w:pPr>
              <w:spacing w:after="0" w:line="240" w:lineRule="auto"/>
              <w:jc w:val="right"/>
              <w:rPr>
                <w:rFonts w:ascii="Arial" w:eastAsia="Times New Roman" w:hAnsi="Arial" w:cs="Arial"/>
                <w:sz w:val="16"/>
                <w:szCs w:val="16"/>
              </w:rPr>
            </w:pPr>
            <w:r w:rsidRPr="003A2F86">
              <w:rPr>
                <w:rFonts w:ascii="Arial" w:hAnsi="Arial" w:cs="Arial"/>
                <w:sz w:val="16"/>
                <w:szCs w:val="16"/>
              </w:rPr>
              <w:t>3.511.175,97</w:t>
            </w:r>
          </w:p>
        </w:tc>
        <w:tc>
          <w:tcPr>
            <w:tcW w:w="9833" w:type="dxa"/>
            <w:tcBorders>
              <w:top w:val="nil"/>
              <w:left w:val="nil"/>
              <w:bottom w:val="single" w:sz="8" w:space="0" w:color="000000"/>
              <w:right w:val="single" w:sz="8" w:space="0" w:color="000000"/>
            </w:tcBorders>
            <w:vAlign w:val="center"/>
          </w:tcPr>
          <w:p w14:paraId="355A8C4E" w14:textId="587A6FD6" w:rsidR="00B0794B" w:rsidRPr="003A2F86" w:rsidRDefault="00B0794B" w:rsidP="00B0794B">
            <w:pPr>
              <w:spacing w:after="0" w:line="240" w:lineRule="auto"/>
              <w:jc w:val="both"/>
              <w:rPr>
                <w:rFonts w:ascii="Arial" w:eastAsia="Times New Roman" w:hAnsi="Arial" w:cs="Arial"/>
                <w:sz w:val="16"/>
                <w:szCs w:val="16"/>
              </w:rPr>
            </w:pPr>
            <w:r w:rsidRPr="003A2F86">
              <w:rPr>
                <w:rFonts w:ascii="Arial" w:hAnsi="Arial" w:cs="Arial"/>
                <w:sz w:val="16"/>
                <w:szCs w:val="16"/>
              </w:rPr>
              <w:t xml:space="preserve">što je za 1.214.452,75 € ili 52,9% više u odnosu na izvještajno razdoblje prethodne 2021. godine. </w:t>
            </w:r>
            <w:r w:rsidRPr="003A2F86">
              <w:rPr>
                <w:rFonts w:ascii="Arial" w:hAnsi="Arial" w:cs="Arial"/>
                <w:b/>
                <w:bCs/>
                <w:sz w:val="16"/>
                <w:szCs w:val="16"/>
              </w:rPr>
              <w:t>Međutim, u odnosu na izvještajno razdoblje 2019. godine ovi prihodi su manji za 0,7% (24.534,73 €).</w:t>
            </w:r>
            <w:r w:rsidRPr="003A2F86">
              <w:rPr>
                <w:rFonts w:ascii="Arial" w:hAnsi="Arial" w:cs="Arial"/>
                <w:sz w:val="16"/>
                <w:szCs w:val="16"/>
              </w:rPr>
              <w:t xml:space="preserve"> U prvom polugodištu 2022. ovi prihodi su iznosili 1.272.079 €.</w:t>
            </w:r>
          </w:p>
        </w:tc>
      </w:tr>
      <w:tr w:rsidR="00B0794B" w:rsidRPr="003A2F86" w14:paraId="50E5CB40" w14:textId="77777777" w:rsidTr="00A201FC">
        <w:trPr>
          <w:jc w:val="center"/>
        </w:trPr>
        <w:tc>
          <w:tcPr>
            <w:tcW w:w="846" w:type="dxa"/>
            <w:tcBorders>
              <w:top w:val="single" w:sz="4" w:space="0" w:color="auto"/>
              <w:left w:val="single" w:sz="8" w:space="0" w:color="000000"/>
              <w:bottom w:val="single" w:sz="4" w:space="0" w:color="auto"/>
              <w:right w:val="single" w:sz="8" w:space="0" w:color="000000"/>
            </w:tcBorders>
            <w:tcMar>
              <w:left w:w="57" w:type="dxa"/>
              <w:right w:w="57" w:type="dxa"/>
            </w:tcMar>
            <w:vAlign w:val="center"/>
          </w:tcPr>
          <w:p w14:paraId="0F17C302" w14:textId="5144EC91" w:rsidR="00B0794B" w:rsidRPr="003A2F86" w:rsidRDefault="00B0794B" w:rsidP="00B0794B">
            <w:pPr>
              <w:spacing w:after="0" w:line="240" w:lineRule="auto"/>
              <w:jc w:val="center"/>
              <w:rPr>
                <w:rFonts w:ascii="Arial" w:hAnsi="Arial" w:cs="Arial"/>
                <w:sz w:val="16"/>
                <w:szCs w:val="16"/>
              </w:rPr>
            </w:pPr>
            <w:r w:rsidRPr="003A2F86">
              <w:rPr>
                <w:rFonts w:ascii="Arial" w:hAnsi="Arial" w:cs="Arial"/>
                <w:sz w:val="16"/>
                <w:szCs w:val="16"/>
              </w:rPr>
              <w:t>2023.</w:t>
            </w:r>
          </w:p>
        </w:tc>
        <w:tc>
          <w:tcPr>
            <w:tcW w:w="1223" w:type="dxa"/>
            <w:tcBorders>
              <w:top w:val="single" w:sz="4" w:space="0" w:color="auto"/>
              <w:left w:val="nil"/>
              <w:bottom w:val="single" w:sz="4" w:space="0" w:color="auto"/>
              <w:right w:val="single" w:sz="8" w:space="0" w:color="000000"/>
            </w:tcBorders>
            <w:tcMar>
              <w:left w:w="57" w:type="dxa"/>
              <w:right w:w="57" w:type="dxa"/>
            </w:tcMar>
            <w:vAlign w:val="center"/>
          </w:tcPr>
          <w:p w14:paraId="1DA0CFB6" w14:textId="17850682" w:rsidR="00B0794B" w:rsidRPr="003A2F86" w:rsidRDefault="00B0794B" w:rsidP="00B0794B">
            <w:pPr>
              <w:spacing w:after="0" w:line="240" w:lineRule="auto"/>
              <w:jc w:val="right"/>
              <w:rPr>
                <w:rFonts w:ascii="Arial" w:hAnsi="Arial" w:cs="Arial"/>
                <w:sz w:val="16"/>
                <w:szCs w:val="16"/>
              </w:rPr>
            </w:pPr>
            <w:r w:rsidRPr="003A2F86">
              <w:rPr>
                <w:rFonts w:ascii="Arial" w:hAnsi="Arial" w:cs="Arial"/>
                <w:sz w:val="16"/>
                <w:szCs w:val="16"/>
              </w:rPr>
              <w:t>609.381,07</w:t>
            </w:r>
          </w:p>
        </w:tc>
        <w:tc>
          <w:tcPr>
            <w:tcW w:w="1559" w:type="dxa"/>
            <w:tcBorders>
              <w:top w:val="single" w:sz="4" w:space="0" w:color="auto"/>
              <w:left w:val="nil"/>
              <w:bottom w:val="single" w:sz="4" w:space="0" w:color="auto"/>
              <w:right w:val="single" w:sz="8" w:space="0" w:color="000000"/>
            </w:tcBorders>
            <w:tcMar>
              <w:left w:w="57" w:type="dxa"/>
              <w:right w:w="57" w:type="dxa"/>
            </w:tcMar>
            <w:vAlign w:val="center"/>
          </w:tcPr>
          <w:p w14:paraId="3D4D447F" w14:textId="0730A329" w:rsidR="00B0794B" w:rsidRPr="003A2F86" w:rsidRDefault="00B0794B" w:rsidP="00B0794B">
            <w:pPr>
              <w:spacing w:after="0" w:line="240" w:lineRule="auto"/>
              <w:jc w:val="right"/>
              <w:rPr>
                <w:rFonts w:ascii="Arial" w:hAnsi="Arial" w:cs="Arial"/>
                <w:sz w:val="16"/>
                <w:szCs w:val="16"/>
              </w:rPr>
            </w:pPr>
            <w:r w:rsidRPr="003A2F86">
              <w:rPr>
                <w:rFonts w:ascii="Arial" w:hAnsi="Arial" w:cs="Arial"/>
                <w:sz w:val="16"/>
                <w:szCs w:val="16"/>
              </w:rPr>
              <w:t>60.939,66</w:t>
            </w:r>
          </w:p>
        </w:tc>
        <w:tc>
          <w:tcPr>
            <w:tcW w:w="1276" w:type="dxa"/>
            <w:tcBorders>
              <w:top w:val="single" w:sz="4" w:space="0" w:color="auto"/>
              <w:left w:val="nil"/>
              <w:bottom w:val="single" w:sz="4" w:space="0" w:color="auto"/>
              <w:right w:val="single" w:sz="8" w:space="0" w:color="000000"/>
            </w:tcBorders>
            <w:tcMar>
              <w:left w:w="57" w:type="dxa"/>
              <w:right w:w="57" w:type="dxa"/>
            </w:tcMar>
            <w:vAlign w:val="center"/>
          </w:tcPr>
          <w:p w14:paraId="58498BA2" w14:textId="2FB9BC50" w:rsidR="00B0794B" w:rsidRPr="003A2F86" w:rsidRDefault="00B0794B" w:rsidP="00B0794B">
            <w:pPr>
              <w:spacing w:after="0" w:line="240" w:lineRule="auto"/>
              <w:jc w:val="right"/>
              <w:rPr>
                <w:rFonts w:ascii="Arial" w:hAnsi="Arial" w:cs="Arial"/>
                <w:sz w:val="16"/>
                <w:szCs w:val="16"/>
              </w:rPr>
            </w:pPr>
            <w:r w:rsidRPr="003A2F86">
              <w:rPr>
                <w:rFonts w:ascii="Arial" w:hAnsi="Arial" w:cs="Arial"/>
                <w:sz w:val="16"/>
                <w:szCs w:val="16"/>
              </w:rPr>
              <w:t>5.179.821,16</w:t>
            </w:r>
          </w:p>
        </w:tc>
        <w:tc>
          <w:tcPr>
            <w:tcW w:w="9833" w:type="dxa"/>
            <w:tcBorders>
              <w:top w:val="single" w:sz="8" w:space="0" w:color="000000"/>
              <w:left w:val="nil"/>
              <w:bottom w:val="single" w:sz="4" w:space="0" w:color="auto"/>
              <w:right w:val="single" w:sz="8" w:space="0" w:color="000000"/>
            </w:tcBorders>
            <w:vAlign w:val="center"/>
          </w:tcPr>
          <w:p w14:paraId="187EBB58" w14:textId="2C7FD75B" w:rsidR="00B0794B" w:rsidRPr="003A2F86" w:rsidRDefault="00B0794B" w:rsidP="00B0794B">
            <w:pPr>
              <w:spacing w:after="0" w:line="240" w:lineRule="auto"/>
              <w:jc w:val="both"/>
              <w:rPr>
                <w:rFonts w:ascii="Arial" w:hAnsi="Arial" w:cs="Arial"/>
                <w:sz w:val="16"/>
                <w:szCs w:val="16"/>
              </w:rPr>
            </w:pPr>
            <w:r w:rsidRPr="003A2F86">
              <w:rPr>
                <w:rFonts w:ascii="Arial" w:hAnsi="Arial" w:cs="Arial"/>
                <w:sz w:val="16"/>
                <w:szCs w:val="16"/>
              </w:rPr>
              <w:t xml:space="preserve">što je za 1.668.645,19 € ili 47,5% više u odnosu na izvještajno razdoblje prethodne 2022. godine. </w:t>
            </w:r>
            <w:r w:rsidRPr="003A2F86">
              <w:rPr>
                <w:rFonts w:ascii="Arial" w:hAnsi="Arial" w:cs="Arial"/>
                <w:b/>
                <w:bCs/>
                <w:sz w:val="16"/>
                <w:szCs w:val="16"/>
              </w:rPr>
              <w:t>Međutim, u odnosu na izvještajno razdoblje 2019. godine ovi prihodi su veći za 46,5% (1.644.110,46 €).</w:t>
            </w:r>
            <w:r w:rsidRPr="003A2F86">
              <w:rPr>
                <w:rFonts w:ascii="Arial" w:hAnsi="Arial" w:cs="Arial"/>
                <w:sz w:val="16"/>
                <w:szCs w:val="16"/>
              </w:rPr>
              <w:t xml:space="preserve"> U prvom polugodištu 2023. ovi prihodi iznose 1.996.904,82 €.</w:t>
            </w:r>
          </w:p>
        </w:tc>
      </w:tr>
      <w:tr w:rsidR="00A201FC" w:rsidRPr="003A2F86" w14:paraId="4F9AE027" w14:textId="77777777" w:rsidTr="002C29DE">
        <w:trPr>
          <w:jc w:val="center"/>
        </w:trPr>
        <w:tc>
          <w:tcPr>
            <w:tcW w:w="846" w:type="dxa"/>
            <w:tcBorders>
              <w:top w:val="single" w:sz="4" w:space="0" w:color="auto"/>
              <w:left w:val="single" w:sz="8" w:space="0" w:color="000000"/>
              <w:bottom w:val="single" w:sz="4" w:space="0" w:color="auto"/>
              <w:right w:val="single" w:sz="8" w:space="0" w:color="000000"/>
            </w:tcBorders>
            <w:tcMar>
              <w:left w:w="57" w:type="dxa"/>
              <w:right w:w="57" w:type="dxa"/>
            </w:tcMar>
            <w:vAlign w:val="center"/>
          </w:tcPr>
          <w:p w14:paraId="6B7047B8" w14:textId="15F72E2C" w:rsidR="00A201FC" w:rsidRPr="003A2F86" w:rsidRDefault="00A201FC" w:rsidP="00B0794B">
            <w:pPr>
              <w:spacing w:after="0" w:line="240" w:lineRule="auto"/>
              <w:jc w:val="center"/>
              <w:rPr>
                <w:rFonts w:ascii="Arial" w:hAnsi="Arial" w:cs="Arial"/>
                <w:sz w:val="16"/>
                <w:szCs w:val="16"/>
              </w:rPr>
            </w:pPr>
            <w:r w:rsidRPr="003A2F86">
              <w:rPr>
                <w:rFonts w:ascii="Arial" w:hAnsi="Arial" w:cs="Arial"/>
                <w:sz w:val="16"/>
                <w:szCs w:val="16"/>
              </w:rPr>
              <w:t>2024.</w:t>
            </w:r>
          </w:p>
        </w:tc>
        <w:tc>
          <w:tcPr>
            <w:tcW w:w="1223" w:type="dxa"/>
            <w:tcBorders>
              <w:top w:val="single" w:sz="4" w:space="0" w:color="auto"/>
              <w:left w:val="nil"/>
              <w:bottom w:val="single" w:sz="4" w:space="0" w:color="auto"/>
              <w:right w:val="single" w:sz="8" w:space="0" w:color="000000"/>
            </w:tcBorders>
            <w:tcMar>
              <w:left w:w="57" w:type="dxa"/>
              <w:right w:w="57" w:type="dxa"/>
            </w:tcMar>
            <w:vAlign w:val="center"/>
          </w:tcPr>
          <w:p w14:paraId="4D7C5C79" w14:textId="480B17BE" w:rsidR="00A201FC" w:rsidRPr="003A2F86" w:rsidRDefault="00A201FC" w:rsidP="00B0794B">
            <w:pPr>
              <w:spacing w:after="0" w:line="240" w:lineRule="auto"/>
              <w:jc w:val="right"/>
              <w:rPr>
                <w:rFonts w:ascii="Arial" w:hAnsi="Arial" w:cs="Arial"/>
                <w:sz w:val="16"/>
                <w:szCs w:val="16"/>
              </w:rPr>
            </w:pPr>
            <w:r w:rsidRPr="003A2F86">
              <w:rPr>
                <w:rFonts w:ascii="Arial" w:hAnsi="Arial" w:cs="Arial"/>
                <w:sz w:val="16"/>
                <w:szCs w:val="16"/>
              </w:rPr>
              <w:t>0,00</w:t>
            </w:r>
          </w:p>
        </w:tc>
        <w:tc>
          <w:tcPr>
            <w:tcW w:w="1559" w:type="dxa"/>
            <w:tcBorders>
              <w:top w:val="single" w:sz="4" w:space="0" w:color="auto"/>
              <w:left w:val="nil"/>
              <w:bottom w:val="single" w:sz="4" w:space="0" w:color="auto"/>
              <w:right w:val="single" w:sz="8" w:space="0" w:color="000000"/>
            </w:tcBorders>
            <w:tcMar>
              <w:left w:w="57" w:type="dxa"/>
              <w:right w:w="57" w:type="dxa"/>
            </w:tcMar>
            <w:vAlign w:val="center"/>
          </w:tcPr>
          <w:p w14:paraId="36F466E6" w14:textId="01836423" w:rsidR="00A201FC" w:rsidRPr="003A2F86" w:rsidRDefault="00EE2985" w:rsidP="00B0794B">
            <w:pPr>
              <w:spacing w:after="0" w:line="240" w:lineRule="auto"/>
              <w:jc w:val="right"/>
              <w:rPr>
                <w:rFonts w:ascii="Arial" w:hAnsi="Arial" w:cs="Arial"/>
                <w:sz w:val="16"/>
                <w:szCs w:val="16"/>
              </w:rPr>
            </w:pPr>
            <w:r w:rsidRPr="003A2F86">
              <w:rPr>
                <w:rFonts w:ascii="Arial" w:hAnsi="Arial" w:cs="Arial"/>
                <w:sz w:val="16"/>
                <w:szCs w:val="16"/>
              </w:rPr>
              <w:t>80.906,14</w:t>
            </w:r>
          </w:p>
        </w:tc>
        <w:tc>
          <w:tcPr>
            <w:tcW w:w="1276" w:type="dxa"/>
            <w:tcBorders>
              <w:top w:val="single" w:sz="4" w:space="0" w:color="auto"/>
              <w:left w:val="nil"/>
              <w:bottom w:val="single" w:sz="4" w:space="0" w:color="auto"/>
              <w:right w:val="single" w:sz="8" w:space="0" w:color="000000"/>
            </w:tcBorders>
            <w:tcMar>
              <w:left w:w="57" w:type="dxa"/>
              <w:right w:w="57" w:type="dxa"/>
            </w:tcMar>
            <w:vAlign w:val="center"/>
          </w:tcPr>
          <w:p w14:paraId="591C5055" w14:textId="1EE1E1DE" w:rsidR="00A201FC" w:rsidRPr="003A2F86" w:rsidRDefault="00EE2985" w:rsidP="00B0794B">
            <w:pPr>
              <w:spacing w:after="0" w:line="240" w:lineRule="auto"/>
              <w:jc w:val="right"/>
              <w:rPr>
                <w:rFonts w:ascii="Arial" w:hAnsi="Arial" w:cs="Arial"/>
                <w:sz w:val="16"/>
                <w:szCs w:val="16"/>
              </w:rPr>
            </w:pPr>
            <w:r w:rsidRPr="003A2F86">
              <w:rPr>
                <w:rFonts w:ascii="Arial" w:hAnsi="Arial" w:cs="Arial"/>
                <w:sz w:val="16"/>
                <w:szCs w:val="16"/>
              </w:rPr>
              <w:t>6.068.112,14</w:t>
            </w:r>
          </w:p>
        </w:tc>
        <w:tc>
          <w:tcPr>
            <w:tcW w:w="9833" w:type="dxa"/>
            <w:tcBorders>
              <w:top w:val="single" w:sz="4" w:space="0" w:color="auto"/>
              <w:left w:val="nil"/>
              <w:bottom w:val="single" w:sz="4" w:space="0" w:color="auto"/>
              <w:right w:val="single" w:sz="8" w:space="0" w:color="000000"/>
            </w:tcBorders>
            <w:vAlign w:val="center"/>
          </w:tcPr>
          <w:p w14:paraId="2E42B15C" w14:textId="01BBA009" w:rsidR="00A201FC" w:rsidRPr="003A2F86" w:rsidRDefault="00EE2985" w:rsidP="00EE2985">
            <w:pPr>
              <w:spacing w:after="0" w:line="240" w:lineRule="auto"/>
              <w:jc w:val="both"/>
              <w:rPr>
                <w:rFonts w:ascii="Arial" w:hAnsi="Arial" w:cs="Arial"/>
                <w:sz w:val="16"/>
                <w:szCs w:val="16"/>
              </w:rPr>
            </w:pPr>
            <w:r w:rsidRPr="003A2F86">
              <w:rPr>
                <w:rFonts w:ascii="Arial" w:hAnsi="Arial" w:cs="Arial"/>
                <w:sz w:val="16"/>
                <w:szCs w:val="16"/>
              </w:rPr>
              <w:t xml:space="preserve">što je za 888.290,98 € ili 17,1% više  u odnosu na izvještajno  razdoblje prethodne 2023. godine. </w:t>
            </w:r>
            <w:r w:rsidRPr="003A2F86">
              <w:rPr>
                <w:rFonts w:ascii="Arial" w:hAnsi="Arial" w:cs="Arial"/>
                <w:b/>
                <w:bCs/>
                <w:sz w:val="16"/>
                <w:szCs w:val="16"/>
              </w:rPr>
              <w:t>Međutim, u odnosu na izvještajno razdoblje 2019. godine ovi prihodi su veći za 71,6% (2.532.401,44 €).</w:t>
            </w:r>
            <w:r w:rsidRPr="003A2F86">
              <w:rPr>
                <w:rFonts w:ascii="Arial" w:hAnsi="Arial" w:cs="Arial"/>
                <w:sz w:val="16"/>
                <w:szCs w:val="16"/>
              </w:rPr>
              <w:t xml:space="preserve"> U prvom polugodištu 2024. ovi prihodi su iznosili 2.404.906,63 €. </w:t>
            </w:r>
            <w:r w:rsidRPr="003A2F86">
              <w:rPr>
                <w:rFonts w:ascii="Arial" w:hAnsi="Arial" w:cs="Arial"/>
                <w:b/>
                <w:bCs/>
                <w:sz w:val="16"/>
                <w:szCs w:val="16"/>
              </w:rPr>
              <w:t>Od 1.1.2024. ne ostvaruju se prihodi od prireza na porez na dohodak.</w:t>
            </w:r>
          </w:p>
        </w:tc>
      </w:tr>
      <w:tr w:rsidR="002C29DE" w:rsidRPr="009203E8" w14:paraId="7C809D45" w14:textId="77777777" w:rsidTr="00222421">
        <w:trPr>
          <w:jc w:val="center"/>
        </w:trPr>
        <w:tc>
          <w:tcPr>
            <w:tcW w:w="846" w:type="dxa"/>
            <w:tcBorders>
              <w:top w:val="nil"/>
              <w:left w:val="single" w:sz="8" w:space="0" w:color="000000"/>
              <w:bottom w:val="single" w:sz="8" w:space="0" w:color="000000"/>
              <w:right w:val="single" w:sz="8" w:space="0" w:color="000000"/>
            </w:tcBorders>
            <w:tcMar>
              <w:left w:w="57" w:type="dxa"/>
              <w:right w:w="57" w:type="dxa"/>
            </w:tcMar>
            <w:vAlign w:val="center"/>
          </w:tcPr>
          <w:p w14:paraId="7C98BC24" w14:textId="3EFF541E" w:rsidR="002C29DE" w:rsidRPr="009203E8" w:rsidRDefault="002C29DE" w:rsidP="002C29DE">
            <w:pPr>
              <w:spacing w:after="0" w:line="240" w:lineRule="auto"/>
              <w:jc w:val="center"/>
              <w:rPr>
                <w:rFonts w:ascii="Arial" w:hAnsi="Arial" w:cs="Arial"/>
                <w:sz w:val="16"/>
                <w:szCs w:val="16"/>
              </w:rPr>
            </w:pPr>
            <w:r w:rsidRPr="009203E8">
              <w:rPr>
                <w:rFonts w:ascii="Arial" w:hAnsi="Arial" w:cs="Arial"/>
                <w:color w:val="000000"/>
                <w:sz w:val="16"/>
                <w:szCs w:val="16"/>
              </w:rPr>
              <w:t>1-6/ 2025.</w:t>
            </w:r>
          </w:p>
        </w:tc>
        <w:tc>
          <w:tcPr>
            <w:tcW w:w="1223" w:type="dxa"/>
            <w:tcBorders>
              <w:top w:val="nil"/>
              <w:left w:val="nil"/>
              <w:bottom w:val="single" w:sz="8" w:space="0" w:color="000000"/>
              <w:right w:val="single" w:sz="8" w:space="0" w:color="000000"/>
            </w:tcBorders>
            <w:tcMar>
              <w:left w:w="57" w:type="dxa"/>
              <w:right w:w="57" w:type="dxa"/>
            </w:tcMar>
            <w:vAlign w:val="center"/>
          </w:tcPr>
          <w:p w14:paraId="0A76B88D" w14:textId="644AE341" w:rsidR="002C29DE" w:rsidRPr="009203E8" w:rsidRDefault="002C29DE" w:rsidP="002C29DE">
            <w:pPr>
              <w:spacing w:after="0" w:line="240" w:lineRule="auto"/>
              <w:jc w:val="right"/>
              <w:rPr>
                <w:rFonts w:ascii="Arial" w:hAnsi="Arial" w:cs="Arial"/>
                <w:sz w:val="16"/>
                <w:szCs w:val="16"/>
              </w:rPr>
            </w:pPr>
            <w:r w:rsidRPr="009203E8">
              <w:rPr>
                <w:rFonts w:ascii="Arial" w:hAnsi="Arial" w:cs="Arial"/>
                <w:color w:val="000000"/>
                <w:sz w:val="16"/>
                <w:szCs w:val="16"/>
              </w:rPr>
              <w:t>0,00</w:t>
            </w:r>
          </w:p>
        </w:tc>
        <w:tc>
          <w:tcPr>
            <w:tcW w:w="1559" w:type="dxa"/>
            <w:tcBorders>
              <w:top w:val="nil"/>
              <w:left w:val="nil"/>
              <w:bottom w:val="single" w:sz="8" w:space="0" w:color="000000"/>
              <w:right w:val="single" w:sz="8" w:space="0" w:color="000000"/>
            </w:tcBorders>
            <w:tcMar>
              <w:left w:w="57" w:type="dxa"/>
              <w:right w:w="57" w:type="dxa"/>
            </w:tcMar>
            <w:vAlign w:val="center"/>
          </w:tcPr>
          <w:p w14:paraId="0792BC4A" w14:textId="27FD2515" w:rsidR="002C29DE" w:rsidRPr="009203E8" w:rsidRDefault="002C29DE" w:rsidP="002C29DE">
            <w:pPr>
              <w:spacing w:after="0" w:line="240" w:lineRule="auto"/>
              <w:jc w:val="right"/>
              <w:rPr>
                <w:rFonts w:ascii="Arial" w:hAnsi="Arial" w:cs="Arial"/>
                <w:sz w:val="16"/>
                <w:szCs w:val="16"/>
              </w:rPr>
            </w:pPr>
            <w:r w:rsidRPr="009203E8">
              <w:rPr>
                <w:rFonts w:ascii="Arial" w:hAnsi="Arial" w:cs="Arial"/>
                <w:color w:val="000000"/>
                <w:sz w:val="16"/>
                <w:szCs w:val="16"/>
              </w:rPr>
              <w:t>46.172,91</w:t>
            </w:r>
          </w:p>
        </w:tc>
        <w:tc>
          <w:tcPr>
            <w:tcW w:w="1276" w:type="dxa"/>
            <w:tcBorders>
              <w:top w:val="nil"/>
              <w:left w:val="nil"/>
              <w:bottom w:val="single" w:sz="8" w:space="0" w:color="000000"/>
              <w:right w:val="single" w:sz="8" w:space="0" w:color="000000"/>
            </w:tcBorders>
            <w:tcMar>
              <w:left w:w="57" w:type="dxa"/>
              <w:right w:w="57" w:type="dxa"/>
            </w:tcMar>
            <w:vAlign w:val="center"/>
          </w:tcPr>
          <w:p w14:paraId="234E05CD" w14:textId="358462C2" w:rsidR="002C29DE" w:rsidRPr="009203E8" w:rsidRDefault="002C29DE" w:rsidP="002C29DE">
            <w:pPr>
              <w:spacing w:after="0" w:line="240" w:lineRule="auto"/>
              <w:jc w:val="right"/>
              <w:rPr>
                <w:rFonts w:ascii="Arial" w:hAnsi="Arial" w:cs="Arial"/>
                <w:sz w:val="16"/>
                <w:szCs w:val="16"/>
              </w:rPr>
            </w:pPr>
            <w:r w:rsidRPr="009203E8">
              <w:rPr>
                <w:rFonts w:ascii="Arial" w:hAnsi="Arial" w:cs="Arial"/>
                <w:color w:val="000000"/>
                <w:sz w:val="16"/>
                <w:szCs w:val="16"/>
              </w:rPr>
              <w:t>2.846.748,20</w:t>
            </w:r>
          </w:p>
        </w:tc>
        <w:tc>
          <w:tcPr>
            <w:tcW w:w="9833" w:type="dxa"/>
            <w:tcBorders>
              <w:top w:val="nil"/>
              <w:left w:val="nil"/>
              <w:bottom w:val="single" w:sz="8" w:space="0" w:color="000000"/>
              <w:right w:val="single" w:sz="8" w:space="0" w:color="000000"/>
            </w:tcBorders>
            <w:vAlign w:val="center"/>
          </w:tcPr>
          <w:p w14:paraId="034155AE" w14:textId="1DDC30EA" w:rsidR="002C29DE" w:rsidRPr="009203E8" w:rsidRDefault="002C29DE" w:rsidP="002C29DE">
            <w:pPr>
              <w:spacing w:after="0" w:line="240" w:lineRule="auto"/>
              <w:jc w:val="both"/>
              <w:rPr>
                <w:rFonts w:ascii="Arial" w:hAnsi="Arial" w:cs="Arial"/>
                <w:sz w:val="16"/>
                <w:szCs w:val="16"/>
              </w:rPr>
            </w:pPr>
            <w:r w:rsidRPr="009203E8">
              <w:rPr>
                <w:rFonts w:ascii="Arial" w:hAnsi="Arial" w:cs="Arial"/>
                <w:sz w:val="16"/>
                <w:szCs w:val="16"/>
              </w:rPr>
              <w:t>što je za 441.841,57 € ili 18,4% više  u odnosu na izvještajno razdoblje prethodne 2024. godine. U prvom polugodištu 2025. ovi prihodi su iznosili 2.846.748,20 €.</w:t>
            </w:r>
          </w:p>
        </w:tc>
      </w:tr>
    </w:tbl>
    <w:p w14:paraId="5F86698A" w14:textId="77777777" w:rsidR="00986BD0" w:rsidRPr="003A2F86" w:rsidRDefault="00986BD0" w:rsidP="00292C7C">
      <w:pPr>
        <w:spacing w:after="0" w:line="240" w:lineRule="auto"/>
        <w:jc w:val="both"/>
        <w:rPr>
          <w:rFonts w:ascii="Arial" w:eastAsia="Times New Roman" w:hAnsi="Arial" w:cs="Arial"/>
          <w:iCs/>
          <w:lang w:eastAsia="en-US"/>
        </w:rPr>
      </w:pPr>
    </w:p>
    <w:p w14:paraId="67F6E77F" w14:textId="0FA38DE3" w:rsidR="00542894" w:rsidRPr="003A2F86" w:rsidRDefault="00542894" w:rsidP="00542894">
      <w:pPr>
        <w:spacing w:after="0" w:line="240" w:lineRule="auto"/>
        <w:jc w:val="both"/>
        <w:rPr>
          <w:rFonts w:ascii="Arial" w:eastAsia="Times New Roman" w:hAnsi="Arial" w:cs="Arial"/>
          <w:lang w:eastAsia="en-US"/>
        </w:rPr>
      </w:pPr>
      <w:r w:rsidRPr="003A2F86">
        <w:rPr>
          <w:rFonts w:ascii="Arial" w:eastAsia="Times New Roman" w:hAnsi="Arial" w:cs="Arial"/>
          <w:b/>
          <w:bCs/>
          <w:lang w:eastAsia="en-US"/>
        </w:rPr>
        <w:t>Povrati poreza i prireza na dohodak</w:t>
      </w:r>
      <w:r w:rsidRPr="003A2F86">
        <w:rPr>
          <w:rFonts w:ascii="Arial" w:eastAsia="Times New Roman" w:hAnsi="Arial" w:cs="Arial"/>
          <w:lang w:eastAsia="en-US"/>
        </w:rPr>
        <w:t xml:space="preserve"> (6117) u iznosu -</w:t>
      </w:r>
      <w:r w:rsidR="009203E8">
        <w:rPr>
          <w:rFonts w:ascii="Arial" w:eastAsia="Times New Roman" w:hAnsi="Arial" w:cs="Arial"/>
          <w:lang w:eastAsia="en-US"/>
        </w:rPr>
        <w:t>684.624,21</w:t>
      </w:r>
      <w:r w:rsidRPr="003A2F86">
        <w:rPr>
          <w:rFonts w:ascii="Arial" w:eastAsia="Times New Roman" w:hAnsi="Arial" w:cs="Arial"/>
          <w:lang w:eastAsia="en-US"/>
        </w:rPr>
        <w:t xml:space="preserve"> € su u 202</w:t>
      </w:r>
      <w:r w:rsidR="009203E8">
        <w:rPr>
          <w:rFonts w:ascii="Arial" w:eastAsia="Times New Roman" w:hAnsi="Arial" w:cs="Arial"/>
          <w:lang w:eastAsia="en-US"/>
        </w:rPr>
        <w:t>5</w:t>
      </w:r>
      <w:r w:rsidRPr="003A2F86">
        <w:rPr>
          <w:rFonts w:ascii="Arial" w:eastAsia="Times New Roman" w:hAnsi="Arial" w:cs="Arial"/>
          <w:lang w:eastAsia="en-US"/>
        </w:rPr>
        <w:t xml:space="preserve">. veći nego u </w:t>
      </w:r>
      <w:r w:rsidR="003F683A">
        <w:rPr>
          <w:rFonts w:ascii="Arial" w:eastAsia="Times New Roman" w:hAnsi="Arial" w:cs="Arial"/>
          <w:lang w:eastAsia="en-US"/>
        </w:rPr>
        <w:t xml:space="preserve">prvom polugodištu </w:t>
      </w:r>
      <w:r w:rsidRPr="003A2F86">
        <w:rPr>
          <w:rFonts w:ascii="Arial" w:eastAsia="Times New Roman" w:hAnsi="Arial" w:cs="Arial"/>
          <w:lang w:eastAsia="en-US"/>
        </w:rPr>
        <w:t>202</w:t>
      </w:r>
      <w:r w:rsidR="009203E8">
        <w:rPr>
          <w:rFonts w:ascii="Arial" w:eastAsia="Times New Roman" w:hAnsi="Arial" w:cs="Arial"/>
          <w:lang w:eastAsia="en-US"/>
        </w:rPr>
        <w:t>4</w:t>
      </w:r>
      <w:r w:rsidRPr="003A2F86">
        <w:rPr>
          <w:rFonts w:ascii="Arial" w:eastAsia="Times New Roman" w:hAnsi="Arial" w:cs="Arial"/>
          <w:lang w:eastAsia="en-US"/>
        </w:rPr>
        <w:t xml:space="preserve">. godine (više </w:t>
      </w:r>
      <w:r w:rsidR="003F683A">
        <w:rPr>
          <w:rFonts w:ascii="Arial" w:eastAsia="Times New Roman" w:hAnsi="Arial" w:cs="Arial"/>
          <w:lang w:eastAsia="en-US"/>
        </w:rPr>
        <w:t>82.378,35</w:t>
      </w:r>
      <w:r w:rsidR="00E11912" w:rsidRPr="003A2F86">
        <w:rPr>
          <w:rFonts w:ascii="Arial" w:eastAsia="Times New Roman" w:hAnsi="Arial" w:cs="Arial"/>
          <w:lang w:eastAsia="en-US"/>
        </w:rPr>
        <w:t xml:space="preserve"> €</w:t>
      </w:r>
      <w:r w:rsidR="007945A5" w:rsidRPr="003A2F86">
        <w:rPr>
          <w:rFonts w:ascii="Arial" w:eastAsia="Times New Roman" w:hAnsi="Arial" w:cs="Arial"/>
          <w:lang w:eastAsia="en-US"/>
        </w:rPr>
        <w:t xml:space="preserve"> ili </w:t>
      </w:r>
      <w:r w:rsidR="00247759">
        <w:rPr>
          <w:rFonts w:ascii="Arial" w:eastAsia="Times New Roman" w:hAnsi="Arial" w:cs="Arial"/>
          <w:lang w:eastAsia="en-US"/>
        </w:rPr>
        <w:t>13,4</w:t>
      </w:r>
      <w:r w:rsidR="007945A5" w:rsidRPr="003A2F86">
        <w:rPr>
          <w:rFonts w:ascii="Arial" w:eastAsia="Times New Roman" w:hAnsi="Arial" w:cs="Arial"/>
          <w:lang w:eastAsia="en-US"/>
        </w:rPr>
        <w:t>%</w:t>
      </w:r>
      <w:r w:rsidR="00E11912" w:rsidRPr="003A2F86">
        <w:rPr>
          <w:rFonts w:ascii="Arial" w:eastAsia="Times New Roman" w:hAnsi="Arial" w:cs="Arial"/>
          <w:lang w:eastAsia="en-US"/>
        </w:rPr>
        <w:t>)</w:t>
      </w:r>
      <w:r w:rsidRPr="003A2F86">
        <w:rPr>
          <w:rFonts w:ascii="Arial" w:eastAsia="Times New Roman" w:hAnsi="Arial" w:cs="Arial"/>
          <w:lang w:eastAsia="en-US"/>
        </w:rPr>
        <w:t>.</w:t>
      </w:r>
    </w:p>
    <w:p w14:paraId="0CBC9A47" w14:textId="77777777" w:rsidR="00542894" w:rsidRPr="003A2F86" w:rsidRDefault="00542894" w:rsidP="00292C7C">
      <w:pPr>
        <w:spacing w:after="0" w:line="240" w:lineRule="auto"/>
        <w:jc w:val="both"/>
        <w:rPr>
          <w:rFonts w:ascii="Arial" w:eastAsia="Times New Roman" w:hAnsi="Arial" w:cs="Arial"/>
          <w:iCs/>
          <w:lang w:eastAsia="en-US"/>
        </w:rPr>
      </w:pPr>
    </w:p>
    <w:p w14:paraId="05716E69" w14:textId="3B9B4226" w:rsidR="00842B06" w:rsidRPr="003A2F86" w:rsidRDefault="00842B06" w:rsidP="00842B06">
      <w:pPr>
        <w:spacing w:after="0" w:line="240" w:lineRule="auto"/>
        <w:jc w:val="both"/>
        <w:rPr>
          <w:rFonts w:ascii="Arial" w:eastAsia="Times New Roman" w:hAnsi="Arial" w:cs="Arial"/>
          <w:iCs/>
          <w:lang w:eastAsia="en-US"/>
        </w:rPr>
      </w:pPr>
      <w:bookmarkStart w:id="82" w:name="_Hlk66197822"/>
      <w:bookmarkStart w:id="83" w:name="_Hlk77854997"/>
      <w:bookmarkEnd w:id="80"/>
      <w:r w:rsidRPr="003A2F86">
        <w:rPr>
          <w:rFonts w:ascii="Arial" w:eastAsia="Times New Roman" w:hAnsi="Arial" w:cs="Arial"/>
          <w:iCs/>
          <w:lang w:eastAsia="en-US"/>
        </w:rPr>
        <w:t xml:space="preserve">U okviru prihoda od poreza </w:t>
      </w:r>
      <w:r w:rsidR="00D26A04">
        <w:rPr>
          <w:rFonts w:ascii="Arial" w:eastAsia="Times New Roman" w:hAnsi="Arial" w:cs="Arial"/>
          <w:iCs/>
          <w:lang w:eastAsia="en-US"/>
        </w:rPr>
        <w:t>smanjenje</w:t>
      </w:r>
      <w:r w:rsidRPr="003A2F86">
        <w:rPr>
          <w:rFonts w:ascii="Arial" w:eastAsia="Times New Roman" w:hAnsi="Arial" w:cs="Arial"/>
          <w:iCs/>
          <w:lang w:eastAsia="en-US"/>
        </w:rPr>
        <w:t xml:space="preserve"> je ostvareno u okviru prihoda od poreza na promet nekretnina (6134) koji su ostvareni u iznosu </w:t>
      </w:r>
      <w:r w:rsidR="00D26A04">
        <w:rPr>
          <w:rFonts w:ascii="Arial" w:eastAsia="Times New Roman" w:hAnsi="Arial" w:cs="Arial"/>
          <w:iCs/>
          <w:lang w:eastAsia="en-US"/>
        </w:rPr>
        <w:t>347.679,24</w:t>
      </w:r>
      <w:r w:rsidRPr="003A2F86">
        <w:rPr>
          <w:rFonts w:ascii="Arial" w:eastAsia="Times New Roman" w:hAnsi="Arial" w:cs="Arial"/>
          <w:iCs/>
          <w:lang w:eastAsia="en-US"/>
        </w:rPr>
        <w:t xml:space="preserve"> € što je </w:t>
      </w:r>
      <w:r w:rsidR="00D26A04">
        <w:rPr>
          <w:rFonts w:ascii="Arial" w:eastAsia="Times New Roman" w:hAnsi="Arial" w:cs="Arial"/>
          <w:iCs/>
          <w:lang w:eastAsia="en-US"/>
        </w:rPr>
        <w:t>manje</w:t>
      </w:r>
      <w:r w:rsidRPr="003A2F86">
        <w:rPr>
          <w:rFonts w:ascii="Arial" w:eastAsia="Times New Roman" w:hAnsi="Arial" w:cs="Arial"/>
          <w:iCs/>
          <w:lang w:eastAsia="en-US"/>
        </w:rPr>
        <w:t xml:space="preserve"> za </w:t>
      </w:r>
      <w:r w:rsidR="00D26A04">
        <w:rPr>
          <w:rFonts w:ascii="Arial" w:eastAsia="Times New Roman" w:hAnsi="Arial" w:cs="Arial"/>
          <w:iCs/>
          <w:lang w:eastAsia="en-US"/>
        </w:rPr>
        <w:t>2.546,32</w:t>
      </w:r>
      <w:r w:rsidRPr="003A2F86">
        <w:rPr>
          <w:rFonts w:ascii="Arial" w:eastAsia="Times New Roman" w:hAnsi="Arial" w:cs="Arial"/>
          <w:iCs/>
          <w:lang w:eastAsia="en-US"/>
        </w:rPr>
        <w:t xml:space="preserve"> € ili </w:t>
      </w:r>
      <w:r w:rsidR="00D26A04">
        <w:rPr>
          <w:rFonts w:ascii="Arial" w:eastAsia="Times New Roman" w:hAnsi="Arial" w:cs="Arial"/>
          <w:iCs/>
          <w:lang w:eastAsia="en-US"/>
        </w:rPr>
        <w:t>0,7</w:t>
      </w:r>
      <w:r w:rsidRPr="003A2F86">
        <w:rPr>
          <w:rFonts w:ascii="Arial" w:eastAsia="Times New Roman" w:hAnsi="Arial" w:cs="Arial"/>
          <w:iCs/>
          <w:lang w:eastAsia="en-US"/>
        </w:rPr>
        <w:t>% u odnosu na izvještajno razdoblje prethodne godine.</w:t>
      </w:r>
    </w:p>
    <w:bookmarkEnd w:id="82"/>
    <w:p w14:paraId="5232E469" w14:textId="77777777" w:rsidR="00842B06" w:rsidRPr="003A2F86" w:rsidRDefault="00842B06" w:rsidP="00281E75">
      <w:pPr>
        <w:spacing w:after="0" w:line="240" w:lineRule="auto"/>
        <w:jc w:val="both"/>
        <w:rPr>
          <w:rFonts w:ascii="Arial" w:eastAsia="Times New Roman" w:hAnsi="Arial" w:cs="Arial"/>
          <w:iCs/>
          <w:lang w:eastAsia="en-US"/>
        </w:rPr>
      </w:pPr>
    </w:p>
    <w:p w14:paraId="1511E69E" w14:textId="5260448E" w:rsidR="00281E75" w:rsidRPr="003A2F86" w:rsidRDefault="00281E75" w:rsidP="00281E75">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Prihodi od poreza na promet nekretnina od 1.1.2017. u cijelosti pripadaju lokalnoj jedinici (od početka 2015. do konca 2016. općini je pripadalo 80% umjesto dotadašnjih 60%).</w:t>
      </w:r>
    </w:p>
    <w:p w14:paraId="703CB26E" w14:textId="77777777" w:rsidR="00891119" w:rsidRPr="003A2F86" w:rsidRDefault="00891119" w:rsidP="00891119">
      <w:pPr>
        <w:spacing w:after="0" w:line="240" w:lineRule="auto"/>
        <w:jc w:val="both"/>
        <w:rPr>
          <w:rFonts w:ascii="Arial" w:eastAsia="Times New Roman" w:hAnsi="Arial" w:cs="Arial"/>
          <w:i/>
          <w:iCs/>
          <w:lang w:eastAsia="en-US"/>
        </w:rPr>
      </w:pPr>
      <w:r w:rsidRPr="003A2F86">
        <w:rPr>
          <w:rFonts w:ascii="Arial" w:eastAsia="Times New Roman" w:hAnsi="Arial" w:cs="Arial"/>
          <w:i/>
          <w:iCs/>
          <w:lang w:eastAsia="en-US"/>
        </w:rPr>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850"/>
        <w:gridCol w:w="1134"/>
        <w:gridCol w:w="11204"/>
      </w:tblGrid>
      <w:tr w:rsidR="0003624E" w:rsidRPr="003A2F86" w14:paraId="759711D4" w14:textId="77777777" w:rsidTr="003F5539">
        <w:trPr>
          <w:jc w:val="center"/>
        </w:trPr>
        <w:tc>
          <w:tcPr>
            <w:tcW w:w="988" w:type="dxa"/>
            <w:tcBorders>
              <w:right w:val="nil"/>
            </w:tcBorders>
            <w:vAlign w:val="center"/>
          </w:tcPr>
          <w:p w14:paraId="6396287C" w14:textId="77777777" w:rsidR="00232BCA" w:rsidRPr="003A2F86" w:rsidRDefault="00232BCA" w:rsidP="00232BCA">
            <w:pPr>
              <w:spacing w:after="0" w:line="240" w:lineRule="auto"/>
              <w:jc w:val="center"/>
              <w:rPr>
                <w:rFonts w:ascii="Arial" w:eastAsia="Times New Roman" w:hAnsi="Arial" w:cs="Arial"/>
                <w:b/>
                <w:i/>
                <w:iCs/>
                <w:sz w:val="20"/>
                <w:szCs w:val="20"/>
                <w:lang w:eastAsia="en-US"/>
              </w:rPr>
            </w:pPr>
          </w:p>
        </w:tc>
        <w:tc>
          <w:tcPr>
            <w:tcW w:w="850" w:type="dxa"/>
            <w:tcBorders>
              <w:left w:val="nil"/>
              <w:right w:val="nil"/>
            </w:tcBorders>
          </w:tcPr>
          <w:p w14:paraId="129C0713" w14:textId="77777777" w:rsidR="00232BCA" w:rsidRPr="003A2F86" w:rsidRDefault="00232BCA" w:rsidP="00232BCA">
            <w:pPr>
              <w:spacing w:after="0" w:line="240" w:lineRule="auto"/>
              <w:jc w:val="center"/>
              <w:rPr>
                <w:rFonts w:ascii="Arial" w:eastAsia="Times New Roman" w:hAnsi="Arial" w:cs="Arial"/>
                <w:b/>
                <w:i/>
                <w:iCs/>
                <w:sz w:val="20"/>
                <w:szCs w:val="20"/>
                <w:lang w:eastAsia="en-US"/>
              </w:rPr>
            </w:pPr>
          </w:p>
        </w:tc>
        <w:tc>
          <w:tcPr>
            <w:tcW w:w="1134" w:type="dxa"/>
            <w:tcBorders>
              <w:left w:val="nil"/>
              <w:right w:val="nil"/>
            </w:tcBorders>
            <w:vAlign w:val="center"/>
          </w:tcPr>
          <w:p w14:paraId="06C81835" w14:textId="77777777" w:rsidR="00232BCA" w:rsidRPr="003A2F86" w:rsidRDefault="00232BCA" w:rsidP="00232BCA">
            <w:pPr>
              <w:spacing w:after="0" w:line="240" w:lineRule="auto"/>
              <w:jc w:val="center"/>
              <w:rPr>
                <w:rFonts w:ascii="Arial" w:eastAsia="Times New Roman" w:hAnsi="Arial" w:cs="Arial"/>
                <w:b/>
                <w:i/>
                <w:iCs/>
                <w:sz w:val="20"/>
                <w:szCs w:val="20"/>
                <w:lang w:eastAsia="en-US"/>
              </w:rPr>
            </w:pPr>
          </w:p>
        </w:tc>
        <w:tc>
          <w:tcPr>
            <w:tcW w:w="11204" w:type="dxa"/>
            <w:tcBorders>
              <w:left w:val="nil"/>
            </w:tcBorders>
            <w:vAlign w:val="center"/>
          </w:tcPr>
          <w:p w14:paraId="4555547D" w14:textId="77777777" w:rsidR="00232BCA" w:rsidRPr="003A2F86" w:rsidRDefault="00232BCA" w:rsidP="00232BCA">
            <w:pPr>
              <w:spacing w:after="0" w:line="240" w:lineRule="auto"/>
              <w:jc w:val="center"/>
              <w:rPr>
                <w:rFonts w:ascii="Arial" w:eastAsia="Times New Roman" w:hAnsi="Arial" w:cs="Arial"/>
                <w:b/>
                <w:i/>
                <w:iCs/>
                <w:sz w:val="20"/>
                <w:szCs w:val="20"/>
                <w:lang w:eastAsia="en-US"/>
              </w:rPr>
            </w:pPr>
            <w:r w:rsidRPr="003A2F86">
              <w:rPr>
                <w:rFonts w:ascii="Arial" w:eastAsia="Times New Roman" w:hAnsi="Arial" w:cs="Arial"/>
                <w:b/>
                <w:i/>
                <w:iCs/>
                <w:sz w:val="20"/>
                <w:szCs w:val="20"/>
                <w:lang w:eastAsia="en-US"/>
              </w:rPr>
              <w:t>Prihod od poreza na promet nekretnina (</w:t>
            </w:r>
            <w:r w:rsidRPr="003A2F86">
              <w:rPr>
                <w:rFonts w:ascii="Arial" w:eastAsia="Times New Roman" w:hAnsi="Arial" w:cs="Arial"/>
                <w:b/>
                <w:i/>
                <w:iCs/>
                <w:color w:val="FF0000"/>
                <w:sz w:val="20"/>
                <w:szCs w:val="20"/>
                <w:lang w:eastAsia="en-US"/>
              </w:rPr>
              <w:t>6134</w:t>
            </w:r>
            <w:r w:rsidRPr="003A2F86">
              <w:rPr>
                <w:rFonts w:ascii="Arial" w:eastAsia="Times New Roman" w:hAnsi="Arial" w:cs="Arial"/>
                <w:b/>
                <w:i/>
                <w:iCs/>
                <w:sz w:val="20"/>
                <w:szCs w:val="20"/>
                <w:lang w:eastAsia="en-US"/>
              </w:rPr>
              <w:t>)</w:t>
            </w:r>
          </w:p>
        </w:tc>
      </w:tr>
      <w:tr w:rsidR="0003624E" w:rsidRPr="003A2F86" w14:paraId="1E09C5B9" w14:textId="77777777" w:rsidTr="003F5539">
        <w:trPr>
          <w:jc w:val="center"/>
        </w:trPr>
        <w:tc>
          <w:tcPr>
            <w:tcW w:w="988" w:type="dxa"/>
            <w:vAlign w:val="center"/>
          </w:tcPr>
          <w:p w14:paraId="3F93EABA" w14:textId="77777777" w:rsidR="00232BCA" w:rsidRPr="003A2F86" w:rsidRDefault="00232BCA" w:rsidP="00891119">
            <w:pPr>
              <w:spacing w:after="0" w:line="240" w:lineRule="auto"/>
              <w:jc w:val="center"/>
              <w:rPr>
                <w:rFonts w:ascii="Arial" w:eastAsia="Times New Roman" w:hAnsi="Arial" w:cs="Arial"/>
                <w:b/>
                <w:i/>
                <w:iCs/>
                <w:sz w:val="18"/>
                <w:szCs w:val="18"/>
                <w:lang w:eastAsia="en-US"/>
              </w:rPr>
            </w:pPr>
            <w:r w:rsidRPr="003A2F86">
              <w:rPr>
                <w:rFonts w:ascii="Arial" w:eastAsia="Times New Roman" w:hAnsi="Arial" w:cs="Arial"/>
                <w:b/>
                <w:i/>
                <w:iCs/>
                <w:sz w:val="18"/>
                <w:szCs w:val="18"/>
                <w:lang w:eastAsia="en-US"/>
              </w:rPr>
              <w:t>Godina</w:t>
            </w:r>
          </w:p>
        </w:tc>
        <w:tc>
          <w:tcPr>
            <w:tcW w:w="850" w:type="dxa"/>
          </w:tcPr>
          <w:p w14:paraId="28A0AD06" w14:textId="77777777" w:rsidR="00232BCA" w:rsidRPr="003A2F86" w:rsidRDefault="00232BCA" w:rsidP="00DD3C90">
            <w:pPr>
              <w:spacing w:after="0" w:line="240" w:lineRule="auto"/>
              <w:jc w:val="center"/>
              <w:rPr>
                <w:rFonts w:ascii="Arial" w:eastAsia="Times New Roman" w:hAnsi="Arial" w:cs="Arial"/>
                <w:b/>
                <w:i/>
                <w:iCs/>
                <w:sz w:val="18"/>
                <w:szCs w:val="18"/>
                <w:lang w:eastAsia="en-US"/>
              </w:rPr>
            </w:pPr>
            <w:r w:rsidRPr="003A2F86">
              <w:rPr>
                <w:rFonts w:ascii="Arial" w:eastAsia="Times New Roman" w:hAnsi="Arial" w:cs="Arial"/>
                <w:b/>
                <w:i/>
                <w:iCs/>
                <w:sz w:val="18"/>
                <w:szCs w:val="18"/>
                <w:lang w:eastAsia="en-US"/>
              </w:rPr>
              <w:t xml:space="preserve">Stopa </w:t>
            </w:r>
          </w:p>
        </w:tc>
        <w:tc>
          <w:tcPr>
            <w:tcW w:w="1134" w:type="dxa"/>
            <w:vAlign w:val="center"/>
          </w:tcPr>
          <w:p w14:paraId="371A95A6" w14:textId="495192D8" w:rsidR="00232BCA" w:rsidRPr="003A2F86" w:rsidRDefault="00232BCA" w:rsidP="00891119">
            <w:pPr>
              <w:spacing w:after="0" w:line="240" w:lineRule="auto"/>
              <w:jc w:val="center"/>
              <w:rPr>
                <w:rFonts w:ascii="Arial" w:eastAsia="Times New Roman" w:hAnsi="Arial" w:cs="Arial"/>
                <w:b/>
                <w:i/>
                <w:iCs/>
                <w:sz w:val="18"/>
                <w:szCs w:val="18"/>
                <w:lang w:eastAsia="en-US"/>
              </w:rPr>
            </w:pPr>
            <w:r w:rsidRPr="003A2F86">
              <w:rPr>
                <w:rFonts w:ascii="Arial" w:eastAsia="Times New Roman" w:hAnsi="Arial" w:cs="Arial"/>
                <w:b/>
                <w:i/>
                <w:iCs/>
                <w:sz w:val="18"/>
                <w:szCs w:val="18"/>
                <w:lang w:eastAsia="en-US"/>
              </w:rPr>
              <w:t>Iznos</w:t>
            </w:r>
            <w:r w:rsidR="00542894" w:rsidRPr="003A2F86">
              <w:rPr>
                <w:rFonts w:ascii="Arial" w:eastAsia="Times New Roman" w:hAnsi="Arial" w:cs="Arial"/>
                <w:b/>
                <w:i/>
                <w:iCs/>
                <w:sz w:val="18"/>
                <w:szCs w:val="18"/>
                <w:lang w:eastAsia="en-US"/>
              </w:rPr>
              <w:t xml:space="preserve"> </w:t>
            </w:r>
            <w:r w:rsidR="00542894" w:rsidRPr="003A2F86">
              <w:rPr>
                <w:rFonts w:ascii="Arial" w:eastAsia="Times New Roman" w:hAnsi="Arial" w:cs="Arial"/>
                <w:b/>
                <w:i/>
                <w:iCs/>
                <w:color w:val="FF0000"/>
                <w:sz w:val="18"/>
                <w:szCs w:val="18"/>
                <w:lang w:eastAsia="en-US"/>
              </w:rPr>
              <w:t>(€)</w:t>
            </w:r>
          </w:p>
        </w:tc>
        <w:tc>
          <w:tcPr>
            <w:tcW w:w="11204" w:type="dxa"/>
            <w:vAlign w:val="center"/>
          </w:tcPr>
          <w:p w14:paraId="11EBCC50" w14:textId="77777777" w:rsidR="00232BCA" w:rsidRPr="003A2F86" w:rsidRDefault="00232BCA" w:rsidP="00891119">
            <w:pPr>
              <w:spacing w:after="0" w:line="240" w:lineRule="auto"/>
              <w:jc w:val="center"/>
              <w:rPr>
                <w:rFonts w:ascii="Arial" w:eastAsia="Times New Roman" w:hAnsi="Arial" w:cs="Arial"/>
                <w:b/>
                <w:i/>
                <w:iCs/>
                <w:sz w:val="20"/>
                <w:szCs w:val="20"/>
                <w:lang w:eastAsia="en-US"/>
              </w:rPr>
            </w:pPr>
            <w:r w:rsidRPr="003A2F86">
              <w:rPr>
                <w:rFonts w:ascii="Arial" w:eastAsia="Times New Roman" w:hAnsi="Arial" w:cs="Arial"/>
                <w:b/>
                <w:i/>
                <w:iCs/>
                <w:sz w:val="20"/>
                <w:szCs w:val="20"/>
                <w:lang w:eastAsia="en-US"/>
              </w:rPr>
              <w:t>Obrazloženje</w:t>
            </w:r>
          </w:p>
        </w:tc>
      </w:tr>
      <w:tr w:rsidR="00542894" w:rsidRPr="003A2F86" w14:paraId="0EA2B436" w14:textId="77777777" w:rsidTr="003F5539">
        <w:trPr>
          <w:jc w:val="center"/>
        </w:trPr>
        <w:tc>
          <w:tcPr>
            <w:tcW w:w="988" w:type="dxa"/>
          </w:tcPr>
          <w:p w14:paraId="77F30792" w14:textId="00023C53" w:rsidR="00542894" w:rsidRPr="003A2F86" w:rsidRDefault="00542894" w:rsidP="00542894">
            <w:pPr>
              <w:spacing w:after="0" w:line="240" w:lineRule="auto"/>
              <w:jc w:val="center"/>
              <w:rPr>
                <w:rFonts w:ascii="Arial" w:eastAsia="Times New Roman" w:hAnsi="Arial" w:cs="Arial"/>
                <w:i/>
                <w:iCs/>
                <w:sz w:val="16"/>
                <w:szCs w:val="16"/>
                <w:lang w:eastAsia="en-US"/>
              </w:rPr>
            </w:pPr>
            <w:r w:rsidRPr="003A2F86">
              <w:rPr>
                <w:rFonts w:ascii="Arial" w:hAnsi="Arial" w:cs="Arial"/>
                <w:sz w:val="16"/>
                <w:szCs w:val="16"/>
              </w:rPr>
              <w:t>2012.</w:t>
            </w:r>
          </w:p>
        </w:tc>
        <w:tc>
          <w:tcPr>
            <w:tcW w:w="850" w:type="dxa"/>
          </w:tcPr>
          <w:p w14:paraId="4176632D" w14:textId="1C96AD5E" w:rsidR="00542894" w:rsidRPr="003A2F86" w:rsidRDefault="00542894" w:rsidP="00542894">
            <w:pPr>
              <w:spacing w:after="0" w:line="240" w:lineRule="auto"/>
              <w:jc w:val="center"/>
              <w:rPr>
                <w:rFonts w:ascii="Arial" w:eastAsia="Times New Roman" w:hAnsi="Arial" w:cs="Arial"/>
                <w:i/>
                <w:iCs/>
                <w:sz w:val="16"/>
                <w:szCs w:val="16"/>
                <w:lang w:eastAsia="en-US"/>
              </w:rPr>
            </w:pPr>
            <w:r w:rsidRPr="003A2F86">
              <w:rPr>
                <w:rFonts w:ascii="Arial" w:hAnsi="Arial" w:cs="Arial"/>
                <w:sz w:val="16"/>
                <w:szCs w:val="16"/>
              </w:rPr>
              <w:t>5%</w:t>
            </w:r>
          </w:p>
        </w:tc>
        <w:tc>
          <w:tcPr>
            <w:tcW w:w="1134" w:type="dxa"/>
          </w:tcPr>
          <w:p w14:paraId="75C787FE" w14:textId="341AFF00" w:rsidR="00542894" w:rsidRPr="003A2F86" w:rsidRDefault="00542894" w:rsidP="00542894">
            <w:pPr>
              <w:spacing w:after="0" w:line="240" w:lineRule="auto"/>
              <w:jc w:val="right"/>
              <w:rPr>
                <w:rFonts w:ascii="Arial" w:eastAsia="Times New Roman" w:hAnsi="Arial" w:cs="Arial"/>
                <w:sz w:val="16"/>
                <w:szCs w:val="16"/>
                <w:lang w:eastAsia="en-US"/>
              </w:rPr>
            </w:pPr>
            <w:r w:rsidRPr="003A2F86">
              <w:rPr>
                <w:rFonts w:ascii="Arial" w:hAnsi="Arial" w:cs="Arial"/>
                <w:sz w:val="16"/>
                <w:szCs w:val="16"/>
              </w:rPr>
              <w:t>135.954,08</w:t>
            </w:r>
          </w:p>
        </w:tc>
        <w:tc>
          <w:tcPr>
            <w:tcW w:w="11204" w:type="dxa"/>
          </w:tcPr>
          <w:p w14:paraId="02B90287" w14:textId="77777777" w:rsidR="00542894" w:rsidRPr="003A2F86" w:rsidRDefault="00542894" w:rsidP="00542894">
            <w:pPr>
              <w:spacing w:after="0" w:line="240" w:lineRule="auto"/>
              <w:jc w:val="both"/>
              <w:rPr>
                <w:rFonts w:ascii="Arial" w:eastAsia="Times New Roman" w:hAnsi="Arial" w:cs="Arial"/>
                <w:i/>
                <w:iCs/>
                <w:sz w:val="16"/>
                <w:szCs w:val="16"/>
                <w:lang w:eastAsia="en-US"/>
              </w:rPr>
            </w:pPr>
          </w:p>
        </w:tc>
      </w:tr>
      <w:tr w:rsidR="00542894" w:rsidRPr="003A2F86" w14:paraId="3FF177A9" w14:textId="77777777" w:rsidTr="003F5539">
        <w:trPr>
          <w:jc w:val="center"/>
        </w:trPr>
        <w:tc>
          <w:tcPr>
            <w:tcW w:w="988" w:type="dxa"/>
          </w:tcPr>
          <w:p w14:paraId="12E833D2" w14:textId="6E24658D" w:rsidR="00542894" w:rsidRPr="003A2F86" w:rsidRDefault="00542894" w:rsidP="00542894">
            <w:pPr>
              <w:spacing w:after="0" w:line="240" w:lineRule="auto"/>
              <w:jc w:val="center"/>
              <w:rPr>
                <w:rFonts w:ascii="Arial" w:eastAsia="Times New Roman" w:hAnsi="Arial" w:cs="Arial"/>
                <w:i/>
                <w:iCs/>
                <w:sz w:val="16"/>
                <w:szCs w:val="16"/>
                <w:lang w:eastAsia="en-US"/>
              </w:rPr>
            </w:pPr>
            <w:r w:rsidRPr="003A2F86">
              <w:rPr>
                <w:rFonts w:ascii="Arial" w:hAnsi="Arial" w:cs="Arial"/>
                <w:sz w:val="16"/>
                <w:szCs w:val="16"/>
              </w:rPr>
              <w:t>2013.</w:t>
            </w:r>
          </w:p>
        </w:tc>
        <w:tc>
          <w:tcPr>
            <w:tcW w:w="850" w:type="dxa"/>
          </w:tcPr>
          <w:p w14:paraId="7118AC3E" w14:textId="3C176B23" w:rsidR="00542894" w:rsidRPr="003A2F86" w:rsidRDefault="00542894" w:rsidP="00542894">
            <w:pPr>
              <w:spacing w:after="0" w:line="240" w:lineRule="auto"/>
              <w:jc w:val="center"/>
              <w:rPr>
                <w:rFonts w:ascii="Arial" w:eastAsia="Times New Roman" w:hAnsi="Arial" w:cs="Arial"/>
                <w:i/>
                <w:iCs/>
                <w:sz w:val="16"/>
                <w:szCs w:val="16"/>
                <w:lang w:eastAsia="en-US"/>
              </w:rPr>
            </w:pPr>
            <w:r w:rsidRPr="003A2F86">
              <w:rPr>
                <w:rFonts w:ascii="Arial" w:hAnsi="Arial" w:cs="Arial"/>
                <w:sz w:val="16"/>
                <w:szCs w:val="16"/>
              </w:rPr>
              <w:t>5%</w:t>
            </w:r>
          </w:p>
        </w:tc>
        <w:tc>
          <w:tcPr>
            <w:tcW w:w="1134" w:type="dxa"/>
          </w:tcPr>
          <w:p w14:paraId="5A94C620" w14:textId="6DBAF35A" w:rsidR="00542894" w:rsidRPr="003A2F86" w:rsidRDefault="00542894" w:rsidP="00542894">
            <w:pPr>
              <w:spacing w:after="0" w:line="240" w:lineRule="auto"/>
              <w:jc w:val="right"/>
              <w:rPr>
                <w:rFonts w:ascii="Arial" w:eastAsia="Times New Roman" w:hAnsi="Arial" w:cs="Arial"/>
                <w:sz w:val="16"/>
                <w:szCs w:val="16"/>
                <w:lang w:eastAsia="en-US"/>
              </w:rPr>
            </w:pPr>
            <w:r w:rsidRPr="003A2F86">
              <w:rPr>
                <w:rFonts w:ascii="Arial" w:hAnsi="Arial" w:cs="Arial"/>
                <w:sz w:val="16"/>
                <w:szCs w:val="16"/>
              </w:rPr>
              <w:t>132.602,03</w:t>
            </w:r>
          </w:p>
        </w:tc>
        <w:tc>
          <w:tcPr>
            <w:tcW w:w="11204" w:type="dxa"/>
          </w:tcPr>
          <w:p w14:paraId="1881A05B" w14:textId="4EDC7D2B" w:rsidR="00542894" w:rsidRPr="003A2F86" w:rsidRDefault="00542894" w:rsidP="00542894">
            <w:pPr>
              <w:spacing w:after="0" w:line="240" w:lineRule="auto"/>
              <w:jc w:val="both"/>
              <w:rPr>
                <w:rFonts w:ascii="Arial" w:eastAsia="Times New Roman" w:hAnsi="Arial" w:cs="Arial"/>
                <w:sz w:val="16"/>
                <w:szCs w:val="16"/>
                <w:lang w:eastAsia="en-US"/>
              </w:rPr>
            </w:pPr>
            <w:r w:rsidRPr="003A2F86">
              <w:rPr>
                <w:rFonts w:ascii="Arial" w:hAnsi="Arial" w:cs="Arial"/>
                <w:sz w:val="16"/>
                <w:szCs w:val="16"/>
              </w:rPr>
              <w:t>što je za 3.352,05 € ili 2,5% manje u odnosu na prethodnu 2012.godinu</w:t>
            </w:r>
          </w:p>
        </w:tc>
      </w:tr>
      <w:tr w:rsidR="00542894" w:rsidRPr="003A2F86" w14:paraId="7B0F396E" w14:textId="77777777" w:rsidTr="003F5539">
        <w:trPr>
          <w:jc w:val="center"/>
        </w:trPr>
        <w:tc>
          <w:tcPr>
            <w:tcW w:w="988" w:type="dxa"/>
          </w:tcPr>
          <w:p w14:paraId="2D885581" w14:textId="6CAE3FCF" w:rsidR="00542894" w:rsidRPr="003A2F86" w:rsidRDefault="00542894" w:rsidP="00542894">
            <w:pPr>
              <w:spacing w:after="0" w:line="240" w:lineRule="auto"/>
              <w:jc w:val="center"/>
              <w:rPr>
                <w:rFonts w:ascii="Arial" w:eastAsia="Times New Roman" w:hAnsi="Arial" w:cs="Arial"/>
                <w:i/>
                <w:iCs/>
                <w:sz w:val="16"/>
                <w:szCs w:val="16"/>
                <w:lang w:eastAsia="en-US"/>
              </w:rPr>
            </w:pPr>
            <w:r w:rsidRPr="003A2F86">
              <w:rPr>
                <w:rFonts w:ascii="Arial" w:hAnsi="Arial" w:cs="Arial"/>
                <w:sz w:val="16"/>
                <w:szCs w:val="16"/>
              </w:rPr>
              <w:t>2014.</w:t>
            </w:r>
          </w:p>
        </w:tc>
        <w:tc>
          <w:tcPr>
            <w:tcW w:w="850" w:type="dxa"/>
          </w:tcPr>
          <w:p w14:paraId="6244F7CC" w14:textId="7A700883" w:rsidR="00542894" w:rsidRPr="003A2F86" w:rsidRDefault="00542894" w:rsidP="00542894">
            <w:pPr>
              <w:spacing w:after="0" w:line="240" w:lineRule="auto"/>
              <w:jc w:val="center"/>
              <w:rPr>
                <w:rFonts w:ascii="Arial" w:eastAsia="Times New Roman" w:hAnsi="Arial" w:cs="Arial"/>
                <w:i/>
                <w:iCs/>
                <w:sz w:val="16"/>
                <w:szCs w:val="16"/>
                <w:lang w:eastAsia="en-US"/>
              </w:rPr>
            </w:pPr>
            <w:r w:rsidRPr="003A2F86">
              <w:rPr>
                <w:rFonts w:ascii="Arial" w:hAnsi="Arial" w:cs="Arial"/>
                <w:sz w:val="16"/>
                <w:szCs w:val="16"/>
              </w:rPr>
              <w:t>5%</w:t>
            </w:r>
          </w:p>
        </w:tc>
        <w:tc>
          <w:tcPr>
            <w:tcW w:w="1134" w:type="dxa"/>
          </w:tcPr>
          <w:p w14:paraId="0AE34752" w14:textId="1E53FC4A" w:rsidR="00542894" w:rsidRPr="003A2F86" w:rsidRDefault="00542894" w:rsidP="00542894">
            <w:pPr>
              <w:spacing w:after="0" w:line="240" w:lineRule="auto"/>
              <w:jc w:val="right"/>
              <w:rPr>
                <w:rFonts w:ascii="Arial" w:eastAsia="Times New Roman" w:hAnsi="Arial" w:cs="Arial"/>
                <w:sz w:val="16"/>
                <w:szCs w:val="16"/>
                <w:lang w:eastAsia="en-US"/>
              </w:rPr>
            </w:pPr>
            <w:r w:rsidRPr="003A2F86">
              <w:rPr>
                <w:rFonts w:ascii="Arial" w:hAnsi="Arial" w:cs="Arial"/>
                <w:sz w:val="16"/>
                <w:szCs w:val="16"/>
              </w:rPr>
              <w:t>195.329,35</w:t>
            </w:r>
          </w:p>
        </w:tc>
        <w:tc>
          <w:tcPr>
            <w:tcW w:w="11204" w:type="dxa"/>
          </w:tcPr>
          <w:p w14:paraId="4C33D214" w14:textId="4FCBF830" w:rsidR="00542894" w:rsidRPr="003A2F86" w:rsidRDefault="00542894" w:rsidP="00542894">
            <w:pPr>
              <w:spacing w:after="0" w:line="240" w:lineRule="auto"/>
              <w:jc w:val="both"/>
              <w:rPr>
                <w:rFonts w:ascii="Arial" w:eastAsia="Times New Roman" w:hAnsi="Arial" w:cs="Arial"/>
                <w:sz w:val="16"/>
                <w:szCs w:val="16"/>
                <w:lang w:eastAsia="en-US"/>
              </w:rPr>
            </w:pPr>
            <w:r w:rsidRPr="003A2F86">
              <w:rPr>
                <w:rFonts w:ascii="Arial" w:hAnsi="Arial" w:cs="Arial"/>
                <w:sz w:val="16"/>
                <w:szCs w:val="16"/>
              </w:rPr>
              <w:t>što je za 62.727,32 € ili 47,3% više u odnosu na prethodnu 2013. godinu</w:t>
            </w:r>
          </w:p>
        </w:tc>
      </w:tr>
      <w:tr w:rsidR="00542894" w:rsidRPr="003A2F86" w14:paraId="668B2B1E" w14:textId="77777777" w:rsidTr="003F5539">
        <w:trPr>
          <w:jc w:val="center"/>
        </w:trPr>
        <w:tc>
          <w:tcPr>
            <w:tcW w:w="988" w:type="dxa"/>
          </w:tcPr>
          <w:p w14:paraId="121B2DF2" w14:textId="319AFCD1" w:rsidR="00542894" w:rsidRPr="003A2F86" w:rsidRDefault="00542894" w:rsidP="00542894">
            <w:pPr>
              <w:spacing w:after="0" w:line="240" w:lineRule="auto"/>
              <w:jc w:val="center"/>
              <w:rPr>
                <w:rFonts w:ascii="Arial" w:eastAsia="Times New Roman" w:hAnsi="Arial" w:cs="Arial"/>
                <w:i/>
                <w:iCs/>
                <w:sz w:val="16"/>
                <w:szCs w:val="16"/>
                <w:lang w:eastAsia="en-US"/>
              </w:rPr>
            </w:pPr>
            <w:r w:rsidRPr="003A2F86">
              <w:rPr>
                <w:rFonts w:ascii="Arial" w:hAnsi="Arial" w:cs="Arial"/>
                <w:sz w:val="16"/>
                <w:szCs w:val="16"/>
              </w:rPr>
              <w:t>2015.</w:t>
            </w:r>
          </w:p>
        </w:tc>
        <w:tc>
          <w:tcPr>
            <w:tcW w:w="850" w:type="dxa"/>
          </w:tcPr>
          <w:p w14:paraId="37BE4F7E" w14:textId="6B454C85" w:rsidR="00542894" w:rsidRPr="003A2F86" w:rsidRDefault="00542894" w:rsidP="00542894">
            <w:pPr>
              <w:spacing w:after="0" w:line="240" w:lineRule="auto"/>
              <w:jc w:val="center"/>
              <w:rPr>
                <w:rFonts w:ascii="Arial" w:eastAsia="Times New Roman" w:hAnsi="Arial" w:cs="Arial"/>
                <w:i/>
                <w:iCs/>
                <w:sz w:val="16"/>
                <w:szCs w:val="16"/>
                <w:lang w:eastAsia="en-US"/>
              </w:rPr>
            </w:pPr>
            <w:r w:rsidRPr="003A2F86">
              <w:rPr>
                <w:rFonts w:ascii="Arial" w:hAnsi="Arial" w:cs="Arial"/>
                <w:sz w:val="16"/>
                <w:szCs w:val="16"/>
              </w:rPr>
              <w:t>5%</w:t>
            </w:r>
          </w:p>
        </w:tc>
        <w:tc>
          <w:tcPr>
            <w:tcW w:w="1134" w:type="dxa"/>
          </w:tcPr>
          <w:p w14:paraId="1AFC5F8E" w14:textId="6D356169" w:rsidR="00542894" w:rsidRPr="003A2F86" w:rsidRDefault="00542894" w:rsidP="00542894">
            <w:pPr>
              <w:spacing w:after="0" w:line="240" w:lineRule="auto"/>
              <w:jc w:val="right"/>
              <w:rPr>
                <w:rFonts w:ascii="Arial" w:eastAsia="Times New Roman" w:hAnsi="Arial" w:cs="Arial"/>
                <w:sz w:val="16"/>
                <w:szCs w:val="16"/>
                <w:lang w:eastAsia="en-US"/>
              </w:rPr>
            </w:pPr>
            <w:r w:rsidRPr="003A2F86">
              <w:rPr>
                <w:rFonts w:ascii="Arial" w:hAnsi="Arial" w:cs="Arial"/>
                <w:sz w:val="16"/>
                <w:szCs w:val="16"/>
              </w:rPr>
              <w:t>319.509,16</w:t>
            </w:r>
          </w:p>
        </w:tc>
        <w:tc>
          <w:tcPr>
            <w:tcW w:w="11204" w:type="dxa"/>
          </w:tcPr>
          <w:p w14:paraId="5EEA88B3" w14:textId="3F7FB713" w:rsidR="00542894" w:rsidRPr="003A2F86" w:rsidRDefault="00542894" w:rsidP="00542894">
            <w:pPr>
              <w:spacing w:after="0" w:line="240" w:lineRule="auto"/>
              <w:jc w:val="both"/>
              <w:rPr>
                <w:rFonts w:ascii="Arial" w:eastAsia="Times New Roman" w:hAnsi="Arial" w:cs="Arial"/>
                <w:sz w:val="16"/>
                <w:szCs w:val="16"/>
                <w:lang w:eastAsia="en-US"/>
              </w:rPr>
            </w:pPr>
            <w:r w:rsidRPr="003A2F86">
              <w:rPr>
                <w:rFonts w:ascii="Arial" w:hAnsi="Arial" w:cs="Arial"/>
                <w:sz w:val="16"/>
                <w:szCs w:val="16"/>
              </w:rPr>
              <w:t>što je za 124.179,87 € ili 63,6% više u odnosu na prethodnu 2014. godinu</w:t>
            </w:r>
          </w:p>
        </w:tc>
      </w:tr>
      <w:tr w:rsidR="00542894" w:rsidRPr="003A2F86" w14:paraId="7AF8EDBD" w14:textId="77777777" w:rsidTr="003F5539">
        <w:trPr>
          <w:jc w:val="center"/>
        </w:trPr>
        <w:tc>
          <w:tcPr>
            <w:tcW w:w="988" w:type="dxa"/>
          </w:tcPr>
          <w:p w14:paraId="040213EA" w14:textId="74682FA6" w:rsidR="00542894" w:rsidRPr="003A2F86" w:rsidRDefault="00542894" w:rsidP="00542894">
            <w:pPr>
              <w:spacing w:after="0" w:line="240" w:lineRule="auto"/>
              <w:jc w:val="center"/>
              <w:rPr>
                <w:rFonts w:ascii="Arial" w:eastAsia="Times New Roman" w:hAnsi="Arial" w:cs="Arial"/>
                <w:i/>
                <w:iCs/>
                <w:sz w:val="16"/>
                <w:szCs w:val="16"/>
                <w:lang w:eastAsia="en-US"/>
              </w:rPr>
            </w:pPr>
            <w:r w:rsidRPr="003A2F86">
              <w:rPr>
                <w:rFonts w:ascii="Arial" w:hAnsi="Arial" w:cs="Arial"/>
                <w:sz w:val="16"/>
                <w:szCs w:val="16"/>
              </w:rPr>
              <w:t>2016.</w:t>
            </w:r>
          </w:p>
        </w:tc>
        <w:tc>
          <w:tcPr>
            <w:tcW w:w="850" w:type="dxa"/>
          </w:tcPr>
          <w:p w14:paraId="5EC2AEB4" w14:textId="74D41FBD" w:rsidR="00542894" w:rsidRPr="003A2F86" w:rsidRDefault="00542894" w:rsidP="00542894">
            <w:pPr>
              <w:spacing w:after="0" w:line="240" w:lineRule="auto"/>
              <w:jc w:val="center"/>
              <w:rPr>
                <w:rFonts w:ascii="Arial" w:eastAsia="Times New Roman" w:hAnsi="Arial" w:cs="Arial"/>
                <w:i/>
                <w:iCs/>
                <w:sz w:val="16"/>
                <w:szCs w:val="16"/>
                <w:lang w:eastAsia="en-US"/>
              </w:rPr>
            </w:pPr>
            <w:r w:rsidRPr="003A2F86">
              <w:rPr>
                <w:rFonts w:ascii="Arial" w:hAnsi="Arial" w:cs="Arial"/>
                <w:sz w:val="16"/>
                <w:szCs w:val="16"/>
              </w:rPr>
              <w:t>5%</w:t>
            </w:r>
          </w:p>
        </w:tc>
        <w:tc>
          <w:tcPr>
            <w:tcW w:w="1134" w:type="dxa"/>
          </w:tcPr>
          <w:p w14:paraId="6DB52028" w14:textId="0E5F588E" w:rsidR="00542894" w:rsidRPr="003A2F86" w:rsidRDefault="00542894" w:rsidP="00542894">
            <w:pPr>
              <w:spacing w:after="0" w:line="240" w:lineRule="auto"/>
              <w:jc w:val="right"/>
              <w:rPr>
                <w:rFonts w:ascii="Arial" w:eastAsia="Times New Roman" w:hAnsi="Arial" w:cs="Arial"/>
                <w:sz w:val="16"/>
                <w:szCs w:val="16"/>
                <w:lang w:eastAsia="en-US"/>
              </w:rPr>
            </w:pPr>
            <w:r w:rsidRPr="003A2F86">
              <w:rPr>
                <w:rFonts w:ascii="Arial" w:hAnsi="Arial" w:cs="Arial"/>
                <w:sz w:val="16"/>
                <w:szCs w:val="16"/>
              </w:rPr>
              <w:t>843.262,50</w:t>
            </w:r>
          </w:p>
        </w:tc>
        <w:tc>
          <w:tcPr>
            <w:tcW w:w="11204" w:type="dxa"/>
          </w:tcPr>
          <w:p w14:paraId="589F8688" w14:textId="572716DA" w:rsidR="00542894" w:rsidRPr="003A2F86" w:rsidRDefault="00542894" w:rsidP="00542894">
            <w:pPr>
              <w:spacing w:after="0" w:line="240" w:lineRule="auto"/>
              <w:jc w:val="both"/>
              <w:rPr>
                <w:rFonts w:ascii="Arial" w:eastAsia="Times New Roman" w:hAnsi="Arial" w:cs="Arial"/>
                <w:sz w:val="16"/>
                <w:szCs w:val="16"/>
                <w:lang w:eastAsia="en-US"/>
              </w:rPr>
            </w:pPr>
            <w:r w:rsidRPr="003A2F86">
              <w:rPr>
                <w:rFonts w:ascii="Arial" w:hAnsi="Arial" w:cs="Arial"/>
                <w:sz w:val="16"/>
                <w:szCs w:val="16"/>
              </w:rPr>
              <w:t>što je za 523.753,34 € ili 163,9% više u odnosu na izvještajno razdoblje prethodne 2015. godine</w:t>
            </w:r>
          </w:p>
        </w:tc>
      </w:tr>
      <w:tr w:rsidR="00542894" w:rsidRPr="003A2F86" w14:paraId="07787720" w14:textId="77777777" w:rsidTr="003F5539">
        <w:trPr>
          <w:jc w:val="center"/>
        </w:trPr>
        <w:tc>
          <w:tcPr>
            <w:tcW w:w="988" w:type="dxa"/>
          </w:tcPr>
          <w:p w14:paraId="3AC55FCD" w14:textId="7303D6BE" w:rsidR="00542894" w:rsidRPr="003A2F86" w:rsidRDefault="00542894" w:rsidP="00542894">
            <w:pPr>
              <w:spacing w:after="0" w:line="240" w:lineRule="auto"/>
              <w:jc w:val="center"/>
              <w:rPr>
                <w:rFonts w:ascii="Arial" w:eastAsia="Times New Roman" w:hAnsi="Arial" w:cs="Arial"/>
                <w:iCs/>
                <w:sz w:val="16"/>
                <w:szCs w:val="16"/>
                <w:lang w:eastAsia="en-US"/>
              </w:rPr>
            </w:pPr>
            <w:r w:rsidRPr="003A2F86">
              <w:rPr>
                <w:rFonts w:ascii="Arial" w:hAnsi="Arial" w:cs="Arial"/>
                <w:sz w:val="16"/>
                <w:szCs w:val="16"/>
              </w:rPr>
              <w:t>2017.</w:t>
            </w:r>
          </w:p>
        </w:tc>
        <w:tc>
          <w:tcPr>
            <w:tcW w:w="850" w:type="dxa"/>
          </w:tcPr>
          <w:p w14:paraId="40F903EE" w14:textId="6EBE7693" w:rsidR="00542894" w:rsidRPr="003A2F86" w:rsidRDefault="00542894" w:rsidP="00542894">
            <w:pPr>
              <w:spacing w:after="0" w:line="240" w:lineRule="auto"/>
              <w:jc w:val="center"/>
              <w:rPr>
                <w:rFonts w:ascii="Arial" w:eastAsia="Times New Roman" w:hAnsi="Arial" w:cs="Arial"/>
                <w:iCs/>
                <w:sz w:val="16"/>
                <w:szCs w:val="16"/>
                <w:lang w:eastAsia="en-US"/>
              </w:rPr>
            </w:pPr>
            <w:r w:rsidRPr="003A2F86">
              <w:rPr>
                <w:rFonts w:ascii="Arial" w:hAnsi="Arial" w:cs="Arial"/>
                <w:sz w:val="16"/>
                <w:szCs w:val="16"/>
              </w:rPr>
              <w:t>4%</w:t>
            </w:r>
          </w:p>
        </w:tc>
        <w:tc>
          <w:tcPr>
            <w:tcW w:w="1134" w:type="dxa"/>
          </w:tcPr>
          <w:p w14:paraId="2C188DBD" w14:textId="3FB674ED" w:rsidR="00542894" w:rsidRPr="003A2F86" w:rsidRDefault="00542894" w:rsidP="00542894">
            <w:pPr>
              <w:spacing w:after="0" w:line="240" w:lineRule="auto"/>
              <w:jc w:val="right"/>
              <w:rPr>
                <w:rFonts w:ascii="Arial" w:eastAsia="Times New Roman" w:hAnsi="Arial" w:cs="Arial"/>
                <w:sz w:val="16"/>
                <w:szCs w:val="16"/>
                <w:lang w:eastAsia="en-US"/>
              </w:rPr>
            </w:pPr>
            <w:r w:rsidRPr="003A2F86">
              <w:rPr>
                <w:rFonts w:ascii="Arial" w:hAnsi="Arial" w:cs="Arial"/>
                <w:sz w:val="16"/>
                <w:szCs w:val="16"/>
              </w:rPr>
              <w:t>452.321,33</w:t>
            </w:r>
          </w:p>
        </w:tc>
        <w:tc>
          <w:tcPr>
            <w:tcW w:w="11204" w:type="dxa"/>
          </w:tcPr>
          <w:p w14:paraId="4502620D" w14:textId="6D05E1EC" w:rsidR="00542894" w:rsidRPr="003A2F86" w:rsidRDefault="00542894" w:rsidP="00542894">
            <w:pPr>
              <w:spacing w:after="0" w:line="240" w:lineRule="auto"/>
              <w:jc w:val="both"/>
              <w:rPr>
                <w:rFonts w:ascii="Arial" w:eastAsia="Times New Roman" w:hAnsi="Arial" w:cs="Arial"/>
                <w:sz w:val="16"/>
                <w:szCs w:val="16"/>
                <w:lang w:eastAsia="en-US"/>
              </w:rPr>
            </w:pPr>
            <w:r w:rsidRPr="003A2F86">
              <w:rPr>
                <w:rFonts w:ascii="Arial" w:hAnsi="Arial" w:cs="Arial"/>
                <w:sz w:val="16"/>
                <w:szCs w:val="16"/>
              </w:rPr>
              <w:t xml:space="preserve">što je za 390.941,18 € ili 46,4% manje u odnosu na izvještajno razdoblje prethodne godine </w:t>
            </w:r>
          </w:p>
        </w:tc>
      </w:tr>
      <w:tr w:rsidR="00542894" w:rsidRPr="003A2F86" w14:paraId="794C6AA3" w14:textId="77777777" w:rsidTr="003F5539">
        <w:trPr>
          <w:trHeight w:val="272"/>
          <w:jc w:val="center"/>
        </w:trPr>
        <w:tc>
          <w:tcPr>
            <w:tcW w:w="988" w:type="dxa"/>
          </w:tcPr>
          <w:p w14:paraId="337EB768" w14:textId="75434949" w:rsidR="00542894" w:rsidRPr="003A2F86" w:rsidRDefault="00542894" w:rsidP="00542894">
            <w:pPr>
              <w:spacing w:after="0" w:line="240" w:lineRule="auto"/>
              <w:jc w:val="center"/>
              <w:rPr>
                <w:rFonts w:ascii="Arial" w:eastAsia="Times New Roman" w:hAnsi="Arial" w:cs="Arial"/>
                <w:iCs/>
                <w:sz w:val="16"/>
                <w:szCs w:val="16"/>
                <w:lang w:eastAsia="en-US"/>
              </w:rPr>
            </w:pPr>
            <w:r w:rsidRPr="003A2F86">
              <w:rPr>
                <w:rFonts w:ascii="Arial" w:hAnsi="Arial" w:cs="Arial"/>
                <w:sz w:val="16"/>
                <w:szCs w:val="16"/>
              </w:rPr>
              <w:t>2018.</w:t>
            </w:r>
          </w:p>
        </w:tc>
        <w:tc>
          <w:tcPr>
            <w:tcW w:w="850" w:type="dxa"/>
          </w:tcPr>
          <w:p w14:paraId="1F4ECDC6" w14:textId="33A1C9A5" w:rsidR="00542894" w:rsidRPr="003A2F86" w:rsidRDefault="00542894" w:rsidP="00542894">
            <w:pPr>
              <w:spacing w:after="0" w:line="240" w:lineRule="auto"/>
              <w:jc w:val="center"/>
              <w:rPr>
                <w:rFonts w:ascii="Arial" w:eastAsia="Times New Roman" w:hAnsi="Arial" w:cs="Arial"/>
                <w:iCs/>
                <w:sz w:val="16"/>
                <w:szCs w:val="16"/>
                <w:lang w:eastAsia="en-US"/>
              </w:rPr>
            </w:pPr>
            <w:r w:rsidRPr="003A2F86">
              <w:rPr>
                <w:rFonts w:ascii="Arial" w:hAnsi="Arial" w:cs="Arial"/>
                <w:sz w:val="16"/>
                <w:szCs w:val="16"/>
              </w:rPr>
              <w:t>4%</w:t>
            </w:r>
          </w:p>
        </w:tc>
        <w:tc>
          <w:tcPr>
            <w:tcW w:w="1134" w:type="dxa"/>
          </w:tcPr>
          <w:p w14:paraId="2D38F93A" w14:textId="7DC7258F" w:rsidR="00542894" w:rsidRPr="003A2F86" w:rsidRDefault="00542894" w:rsidP="00542894">
            <w:pPr>
              <w:spacing w:after="0" w:line="240" w:lineRule="auto"/>
              <w:jc w:val="right"/>
              <w:rPr>
                <w:rFonts w:ascii="Arial" w:eastAsia="Times New Roman" w:hAnsi="Arial" w:cs="Arial"/>
                <w:sz w:val="16"/>
                <w:szCs w:val="16"/>
                <w:lang w:eastAsia="en-US"/>
              </w:rPr>
            </w:pPr>
            <w:r w:rsidRPr="003A2F86">
              <w:rPr>
                <w:rFonts w:ascii="Arial" w:hAnsi="Arial" w:cs="Arial"/>
                <w:sz w:val="16"/>
                <w:szCs w:val="16"/>
              </w:rPr>
              <w:t>707.328,09</w:t>
            </w:r>
          </w:p>
        </w:tc>
        <w:tc>
          <w:tcPr>
            <w:tcW w:w="11204" w:type="dxa"/>
          </w:tcPr>
          <w:p w14:paraId="7DBDE6CE" w14:textId="73B5A26F" w:rsidR="00542894" w:rsidRPr="003A2F86" w:rsidRDefault="00542894" w:rsidP="00542894">
            <w:pPr>
              <w:spacing w:after="0" w:line="240" w:lineRule="auto"/>
              <w:jc w:val="both"/>
              <w:rPr>
                <w:rFonts w:ascii="Arial" w:eastAsia="Times New Roman" w:hAnsi="Arial" w:cs="Arial"/>
                <w:sz w:val="16"/>
                <w:szCs w:val="16"/>
                <w:lang w:eastAsia="en-US"/>
              </w:rPr>
            </w:pPr>
            <w:r w:rsidRPr="003A2F86">
              <w:rPr>
                <w:rFonts w:ascii="Arial" w:hAnsi="Arial" w:cs="Arial"/>
                <w:sz w:val="16"/>
                <w:szCs w:val="16"/>
              </w:rPr>
              <w:t>što je za 255.006,77 € ili 56,4% više u odnosu na izvještajno razdoblje prethodne godine (najveći udio povećanja ovih prihoda se odnosi na prodaju jedne veće nekretnine u Cavtatu - bivša zgrada Općine).</w:t>
            </w:r>
          </w:p>
        </w:tc>
      </w:tr>
      <w:tr w:rsidR="00542894" w:rsidRPr="003A2F86" w14:paraId="6D2109D3" w14:textId="77777777" w:rsidTr="003F5539">
        <w:trPr>
          <w:jc w:val="center"/>
        </w:trPr>
        <w:tc>
          <w:tcPr>
            <w:tcW w:w="988" w:type="dxa"/>
          </w:tcPr>
          <w:p w14:paraId="03A3EE86" w14:textId="2ABCBDA7" w:rsidR="00542894" w:rsidRPr="003A2F86" w:rsidRDefault="00542894" w:rsidP="00542894">
            <w:pPr>
              <w:spacing w:after="0" w:line="240" w:lineRule="auto"/>
              <w:jc w:val="center"/>
              <w:rPr>
                <w:rFonts w:ascii="Arial" w:eastAsia="Times New Roman" w:hAnsi="Arial" w:cs="Arial"/>
                <w:iCs/>
                <w:sz w:val="16"/>
                <w:szCs w:val="16"/>
                <w:lang w:eastAsia="en-US"/>
              </w:rPr>
            </w:pPr>
            <w:r w:rsidRPr="003A2F86">
              <w:rPr>
                <w:rFonts w:ascii="Arial" w:hAnsi="Arial" w:cs="Arial"/>
                <w:sz w:val="16"/>
                <w:szCs w:val="16"/>
              </w:rPr>
              <w:t>2019.</w:t>
            </w:r>
          </w:p>
        </w:tc>
        <w:tc>
          <w:tcPr>
            <w:tcW w:w="850" w:type="dxa"/>
          </w:tcPr>
          <w:p w14:paraId="43022F2B" w14:textId="7BFC5E83" w:rsidR="00542894" w:rsidRPr="003A2F86" w:rsidRDefault="00542894" w:rsidP="00542894">
            <w:pPr>
              <w:spacing w:after="0" w:line="240" w:lineRule="auto"/>
              <w:jc w:val="center"/>
              <w:rPr>
                <w:rFonts w:ascii="Arial" w:eastAsia="Times New Roman" w:hAnsi="Arial" w:cs="Arial"/>
                <w:iCs/>
                <w:sz w:val="16"/>
                <w:szCs w:val="16"/>
                <w:lang w:eastAsia="en-US"/>
              </w:rPr>
            </w:pPr>
            <w:r w:rsidRPr="003A2F86">
              <w:rPr>
                <w:rFonts w:ascii="Arial" w:hAnsi="Arial" w:cs="Arial"/>
                <w:sz w:val="16"/>
                <w:szCs w:val="16"/>
              </w:rPr>
              <w:t>3%</w:t>
            </w:r>
          </w:p>
        </w:tc>
        <w:tc>
          <w:tcPr>
            <w:tcW w:w="1134" w:type="dxa"/>
          </w:tcPr>
          <w:p w14:paraId="45D87011" w14:textId="1ABF6530" w:rsidR="00542894" w:rsidRPr="003A2F86" w:rsidRDefault="00542894" w:rsidP="00542894">
            <w:pPr>
              <w:spacing w:after="0" w:line="240" w:lineRule="auto"/>
              <w:jc w:val="right"/>
              <w:rPr>
                <w:rFonts w:ascii="Arial" w:eastAsia="Times New Roman" w:hAnsi="Arial" w:cs="Arial"/>
                <w:sz w:val="16"/>
                <w:szCs w:val="16"/>
                <w:lang w:eastAsia="en-US"/>
              </w:rPr>
            </w:pPr>
            <w:r w:rsidRPr="003A2F86">
              <w:rPr>
                <w:rFonts w:ascii="Arial" w:hAnsi="Arial" w:cs="Arial"/>
                <w:sz w:val="16"/>
                <w:szCs w:val="16"/>
              </w:rPr>
              <w:t>386.195,86</w:t>
            </w:r>
          </w:p>
        </w:tc>
        <w:tc>
          <w:tcPr>
            <w:tcW w:w="11204" w:type="dxa"/>
          </w:tcPr>
          <w:p w14:paraId="1B502826" w14:textId="5F6C878E" w:rsidR="00542894" w:rsidRPr="003A2F86" w:rsidRDefault="00542894" w:rsidP="00542894">
            <w:pPr>
              <w:spacing w:after="0" w:line="240" w:lineRule="auto"/>
              <w:jc w:val="both"/>
              <w:rPr>
                <w:rFonts w:ascii="Arial" w:eastAsia="Times New Roman" w:hAnsi="Arial" w:cs="Arial"/>
                <w:sz w:val="16"/>
                <w:szCs w:val="16"/>
                <w:lang w:eastAsia="en-US"/>
              </w:rPr>
            </w:pPr>
            <w:r w:rsidRPr="003A2F86">
              <w:rPr>
                <w:rFonts w:ascii="Arial" w:hAnsi="Arial" w:cs="Arial"/>
                <w:sz w:val="16"/>
                <w:szCs w:val="16"/>
              </w:rPr>
              <w:t>što je za</w:t>
            </w:r>
            <w:r w:rsidR="00C67F7C" w:rsidRPr="003A2F86">
              <w:rPr>
                <w:rFonts w:ascii="Arial" w:hAnsi="Arial" w:cs="Arial"/>
                <w:sz w:val="16"/>
                <w:szCs w:val="16"/>
              </w:rPr>
              <w:t xml:space="preserve"> </w:t>
            </w:r>
            <w:r w:rsidRPr="003A2F86">
              <w:rPr>
                <w:rFonts w:ascii="Arial" w:hAnsi="Arial" w:cs="Arial"/>
                <w:sz w:val="16"/>
                <w:szCs w:val="16"/>
              </w:rPr>
              <w:t>321.132,23 € ili 45,4% manje u odnosu na izvještajno razdoblje prethodne godine. U prvom polugodištu 2019. ovi prihodi su iznosili 143.106,07 €.</w:t>
            </w:r>
          </w:p>
        </w:tc>
      </w:tr>
      <w:tr w:rsidR="00542894" w:rsidRPr="003A2F86" w14:paraId="65866437" w14:textId="77777777" w:rsidTr="003F5539">
        <w:trPr>
          <w:jc w:val="center"/>
        </w:trPr>
        <w:tc>
          <w:tcPr>
            <w:tcW w:w="988" w:type="dxa"/>
          </w:tcPr>
          <w:p w14:paraId="2782E38F" w14:textId="045E889A" w:rsidR="00542894" w:rsidRPr="003A2F86" w:rsidRDefault="00542894" w:rsidP="00542894">
            <w:pPr>
              <w:spacing w:after="0" w:line="240" w:lineRule="auto"/>
              <w:jc w:val="center"/>
              <w:rPr>
                <w:rFonts w:ascii="Arial" w:eastAsia="Times New Roman" w:hAnsi="Arial" w:cs="Arial"/>
                <w:iCs/>
                <w:sz w:val="16"/>
                <w:szCs w:val="16"/>
                <w:lang w:eastAsia="en-US"/>
              </w:rPr>
            </w:pPr>
            <w:r w:rsidRPr="003A2F86">
              <w:rPr>
                <w:rFonts w:ascii="Arial" w:hAnsi="Arial" w:cs="Arial"/>
                <w:sz w:val="16"/>
                <w:szCs w:val="16"/>
              </w:rPr>
              <w:t>2020.</w:t>
            </w:r>
          </w:p>
        </w:tc>
        <w:tc>
          <w:tcPr>
            <w:tcW w:w="850" w:type="dxa"/>
          </w:tcPr>
          <w:p w14:paraId="63609AD2" w14:textId="799A1922" w:rsidR="00542894" w:rsidRPr="003A2F86" w:rsidRDefault="00542894" w:rsidP="00542894">
            <w:pPr>
              <w:spacing w:after="0" w:line="240" w:lineRule="auto"/>
              <w:jc w:val="center"/>
              <w:rPr>
                <w:rFonts w:ascii="Arial" w:eastAsia="Times New Roman" w:hAnsi="Arial" w:cs="Arial"/>
                <w:iCs/>
                <w:sz w:val="16"/>
                <w:szCs w:val="16"/>
                <w:lang w:eastAsia="en-US"/>
              </w:rPr>
            </w:pPr>
            <w:r w:rsidRPr="003A2F86">
              <w:rPr>
                <w:rFonts w:ascii="Arial" w:hAnsi="Arial" w:cs="Arial"/>
                <w:sz w:val="16"/>
                <w:szCs w:val="16"/>
              </w:rPr>
              <w:t>3%</w:t>
            </w:r>
          </w:p>
        </w:tc>
        <w:tc>
          <w:tcPr>
            <w:tcW w:w="1134" w:type="dxa"/>
          </w:tcPr>
          <w:p w14:paraId="0C205B22" w14:textId="044A62B0" w:rsidR="00542894" w:rsidRPr="003A2F86" w:rsidRDefault="00542894" w:rsidP="00542894">
            <w:pPr>
              <w:spacing w:after="0" w:line="240" w:lineRule="auto"/>
              <w:jc w:val="right"/>
              <w:rPr>
                <w:rFonts w:ascii="Arial" w:eastAsia="Times New Roman" w:hAnsi="Arial" w:cs="Arial"/>
                <w:sz w:val="16"/>
                <w:szCs w:val="16"/>
                <w:lang w:eastAsia="en-US"/>
              </w:rPr>
            </w:pPr>
            <w:r w:rsidRPr="003A2F86">
              <w:rPr>
                <w:rFonts w:ascii="Arial" w:hAnsi="Arial" w:cs="Arial"/>
                <w:sz w:val="16"/>
                <w:szCs w:val="16"/>
              </w:rPr>
              <w:t>370.155,32</w:t>
            </w:r>
          </w:p>
        </w:tc>
        <w:tc>
          <w:tcPr>
            <w:tcW w:w="11204" w:type="dxa"/>
            <w:tcBorders>
              <w:top w:val="nil"/>
              <w:left w:val="nil"/>
              <w:bottom w:val="single" w:sz="8" w:space="0" w:color="000000"/>
              <w:right w:val="single" w:sz="8" w:space="0" w:color="000000"/>
            </w:tcBorders>
          </w:tcPr>
          <w:p w14:paraId="5054EFF5" w14:textId="29C245A0" w:rsidR="00542894" w:rsidRPr="003A2F86" w:rsidRDefault="00542894" w:rsidP="00542894">
            <w:pPr>
              <w:spacing w:after="0" w:line="240" w:lineRule="auto"/>
              <w:jc w:val="both"/>
              <w:rPr>
                <w:rFonts w:ascii="Arial" w:eastAsia="Times New Roman" w:hAnsi="Arial" w:cs="Arial"/>
                <w:sz w:val="16"/>
                <w:szCs w:val="16"/>
                <w:lang w:eastAsia="en-US"/>
              </w:rPr>
            </w:pPr>
            <w:r w:rsidRPr="003A2F86">
              <w:rPr>
                <w:rFonts w:ascii="Arial" w:hAnsi="Arial" w:cs="Arial"/>
                <w:sz w:val="16"/>
                <w:szCs w:val="16"/>
              </w:rPr>
              <w:t>što je za 16.040,54 € ili 4,2% manje u odnosu na izvještajno razdoblje prethodne godine. U prvom polugodištu 2020. ovi prihodi su iznosili 218.676,99 €.</w:t>
            </w:r>
          </w:p>
        </w:tc>
      </w:tr>
      <w:tr w:rsidR="00542894" w:rsidRPr="003A2F86" w14:paraId="089BC980" w14:textId="77777777" w:rsidTr="003F5539">
        <w:trPr>
          <w:jc w:val="center"/>
        </w:trPr>
        <w:tc>
          <w:tcPr>
            <w:tcW w:w="988" w:type="dxa"/>
          </w:tcPr>
          <w:p w14:paraId="402AFB03" w14:textId="1C4A385A" w:rsidR="00542894" w:rsidRPr="003A2F86" w:rsidRDefault="00542894" w:rsidP="00542894">
            <w:pPr>
              <w:spacing w:after="0" w:line="240" w:lineRule="auto"/>
              <w:jc w:val="center"/>
              <w:rPr>
                <w:rFonts w:ascii="Arial" w:eastAsia="Times New Roman" w:hAnsi="Arial" w:cs="Arial"/>
                <w:iCs/>
                <w:sz w:val="16"/>
                <w:szCs w:val="16"/>
                <w:lang w:eastAsia="en-US"/>
              </w:rPr>
            </w:pPr>
            <w:r w:rsidRPr="003A2F86">
              <w:rPr>
                <w:rFonts w:ascii="Arial" w:hAnsi="Arial" w:cs="Arial"/>
                <w:sz w:val="16"/>
                <w:szCs w:val="16"/>
              </w:rPr>
              <w:t>2021.</w:t>
            </w:r>
          </w:p>
        </w:tc>
        <w:tc>
          <w:tcPr>
            <w:tcW w:w="850" w:type="dxa"/>
          </w:tcPr>
          <w:p w14:paraId="4BEC82AC" w14:textId="203AF2D3" w:rsidR="00542894" w:rsidRPr="003A2F86" w:rsidRDefault="00542894" w:rsidP="00542894">
            <w:pPr>
              <w:spacing w:after="0" w:line="240" w:lineRule="auto"/>
              <w:jc w:val="center"/>
              <w:rPr>
                <w:rFonts w:ascii="Arial" w:eastAsia="Times New Roman" w:hAnsi="Arial" w:cs="Arial"/>
                <w:iCs/>
                <w:sz w:val="16"/>
                <w:szCs w:val="16"/>
                <w:lang w:eastAsia="en-US"/>
              </w:rPr>
            </w:pPr>
            <w:r w:rsidRPr="003A2F86">
              <w:rPr>
                <w:rFonts w:ascii="Arial" w:hAnsi="Arial" w:cs="Arial"/>
                <w:sz w:val="16"/>
                <w:szCs w:val="16"/>
              </w:rPr>
              <w:t>3%</w:t>
            </w:r>
          </w:p>
        </w:tc>
        <w:tc>
          <w:tcPr>
            <w:tcW w:w="1134" w:type="dxa"/>
          </w:tcPr>
          <w:p w14:paraId="4B5DDF7E" w14:textId="6F0772A2" w:rsidR="00542894" w:rsidRPr="003A2F86" w:rsidRDefault="00542894" w:rsidP="00542894">
            <w:pPr>
              <w:spacing w:after="0" w:line="240" w:lineRule="auto"/>
              <w:jc w:val="right"/>
              <w:rPr>
                <w:rFonts w:ascii="Arial" w:eastAsia="Times New Roman" w:hAnsi="Arial" w:cs="Arial"/>
                <w:iCs/>
                <w:sz w:val="16"/>
                <w:szCs w:val="16"/>
                <w:lang w:eastAsia="en-US"/>
              </w:rPr>
            </w:pPr>
            <w:r w:rsidRPr="003A2F86">
              <w:rPr>
                <w:rFonts w:ascii="Arial" w:hAnsi="Arial" w:cs="Arial"/>
                <w:sz w:val="16"/>
                <w:szCs w:val="16"/>
              </w:rPr>
              <w:t>296.533,65</w:t>
            </w:r>
          </w:p>
        </w:tc>
        <w:tc>
          <w:tcPr>
            <w:tcW w:w="11204" w:type="dxa"/>
            <w:tcBorders>
              <w:top w:val="single" w:sz="8" w:space="0" w:color="000000"/>
              <w:left w:val="nil"/>
              <w:bottom w:val="single" w:sz="4" w:space="0" w:color="auto"/>
              <w:right w:val="single" w:sz="8" w:space="0" w:color="000000"/>
            </w:tcBorders>
          </w:tcPr>
          <w:p w14:paraId="6B53CAE6" w14:textId="3709FBBB" w:rsidR="00542894" w:rsidRPr="003A2F86" w:rsidRDefault="00542894" w:rsidP="00542894">
            <w:pPr>
              <w:spacing w:after="0" w:line="240" w:lineRule="auto"/>
              <w:jc w:val="both"/>
              <w:rPr>
                <w:rFonts w:ascii="Arial" w:eastAsia="Times New Roman" w:hAnsi="Arial" w:cs="Arial"/>
                <w:sz w:val="16"/>
                <w:szCs w:val="16"/>
                <w:lang w:eastAsia="en-US"/>
              </w:rPr>
            </w:pPr>
            <w:r w:rsidRPr="003A2F86">
              <w:rPr>
                <w:rFonts w:ascii="Arial" w:hAnsi="Arial" w:cs="Arial"/>
                <w:sz w:val="16"/>
                <w:szCs w:val="16"/>
              </w:rPr>
              <w:t>što je za 73.621,97 € ili 19,9% manje u odnosu na izvještajno razdoblje prethodne godine. U prvom polugodištu 2021. ovi prihodi su iznosili 203.529,50 €.</w:t>
            </w:r>
          </w:p>
        </w:tc>
      </w:tr>
      <w:tr w:rsidR="00542894" w:rsidRPr="003A2F86" w14:paraId="72AFF58C" w14:textId="77777777" w:rsidTr="003F5539">
        <w:trPr>
          <w:jc w:val="center"/>
        </w:trPr>
        <w:tc>
          <w:tcPr>
            <w:tcW w:w="988" w:type="dxa"/>
            <w:tcBorders>
              <w:top w:val="nil"/>
              <w:left w:val="single" w:sz="8" w:space="0" w:color="000000"/>
              <w:bottom w:val="single" w:sz="4" w:space="0" w:color="auto"/>
              <w:right w:val="single" w:sz="8" w:space="0" w:color="000000"/>
            </w:tcBorders>
          </w:tcPr>
          <w:p w14:paraId="16988842" w14:textId="64E0AC7D" w:rsidR="00542894" w:rsidRPr="003A2F86" w:rsidRDefault="00542894" w:rsidP="00542894">
            <w:pPr>
              <w:spacing w:after="0" w:line="240" w:lineRule="auto"/>
              <w:jc w:val="center"/>
              <w:rPr>
                <w:rFonts w:ascii="Arial" w:eastAsia="Times New Roman" w:hAnsi="Arial" w:cs="Arial"/>
                <w:sz w:val="16"/>
                <w:szCs w:val="16"/>
              </w:rPr>
            </w:pPr>
            <w:r w:rsidRPr="003A2F86">
              <w:rPr>
                <w:rFonts w:ascii="Arial" w:hAnsi="Arial" w:cs="Arial"/>
                <w:sz w:val="16"/>
                <w:szCs w:val="16"/>
              </w:rPr>
              <w:t>2022.</w:t>
            </w:r>
          </w:p>
        </w:tc>
        <w:tc>
          <w:tcPr>
            <w:tcW w:w="850" w:type="dxa"/>
            <w:tcBorders>
              <w:top w:val="nil"/>
              <w:left w:val="nil"/>
              <w:bottom w:val="single" w:sz="4" w:space="0" w:color="auto"/>
              <w:right w:val="single" w:sz="8" w:space="0" w:color="000000"/>
            </w:tcBorders>
          </w:tcPr>
          <w:p w14:paraId="74B01002" w14:textId="0D86709F" w:rsidR="00542894" w:rsidRPr="003A2F86" w:rsidRDefault="00542894" w:rsidP="00542894">
            <w:pPr>
              <w:spacing w:after="0" w:line="240" w:lineRule="auto"/>
              <w:jc w:val="center"/>
              <w:rPr>
                <w:rFonts w:ascii="Arial" w:eastAsia="Times New Roman" w:hAnsi="Arial" w:cs="Arial"/>
                <w:iCs/>
                <w:sz w:val="16"/>
                <w:szCs w:val="16"/>
                <w:lang w:eastAsia="en-US"/>
              </w:rPr>
            </w:pPr>
            <w:r w:rsidRPr="003A2F86">
              <w:rPr>
                <w:rFonts w:ascii="Arial" w:hAnsi="Arial" w:cs="Arial"/>
                <w:sz w:val="16"/>
                <w:szCs w:val="16"/>
              </w:rPr>
              <w:t>3%</w:t>
            </w:r>
          </w:p>
        </w:tc>
        <w:tc>
          <w:tcPr>
            <w:tcW w:w="1134" w:type="dxa"/>
            <w:tcBorders>
              <w:top w:val="nil"/>
              <w:left w:val="nil"/>
              <w:bottom w:val="single" w:sz="4" w:space="0" w:color="auto"/>
              <w:right w:val="single" w:sz="8" w:space="0" w:color="000000"/>
            </w:tcBorders>
          </w:tcPr>
          <w:p w14:paraId="21631A3C" w14:textId="55FE6A2A" w:rsidR="00542894" w:rsidRPr="003A2F86" w:rsidRDefault="00542894" w:rsidP="00542894">
            <w:pPr>
              <w:spacing w:after="0" w:line="240" w:lineRule="auto"/>
              <w:jc w:val="right"/>
              <w:rPr>
                <w:rFonts w:ascii="Arial" w:eastAsia="Times New Roman" w:hAnsi="Arial" w:cs="Arial"/>
                <w:iCs/>
                <w:sz w:val="16"/>
                <w:szCs w:val="16"/>
                <w:lang w:eastAsia="en-US"/>
              </w:rPr>
            </w:pPr>
            <w:r w:rsidRPr="003A2F86">
              <w:rPr>
                <w:rFonts w:ascii="Arial" w:hAnsi="Arial" w:cs="Arial"/>
                <w:sz w:val="16"/>
                <w:szCs w:val="16"/>
              </w:rPr>
              <w:t>372.794,06</w:t>
            </w:r>
          </w:p>
        </w:tc>
        <w:tc>
          <w:tcPr>
            <w:tcW w:w="11204" w:type="dxa"/>
            <w:tcBorders>
              <w:top w:val="nil"/>
              <w:left w:val="nil"/>
              <w:bottom w:val="single" w:sz="4" w:space="0" w:color="auto"/>
              <w:right w:val="single" w:sz="8" w:space="0" w:color="000000"/>
            </w:tcBorders>
          </w:tcPr>
          <w:p w14:paraId="71F22CDC" w14:textId="22D96E6A" w:rsidR="00542894" w:rsidRPr="003A2F86" w:rsidRDefault="00C67F7C" w:rsidP="00542894">
            <w:pPr>
              <w:spacing w:after="0" w:line="240" w:lineRule="auto"/>
              <w:jc w:val="both"/>
              <w:rPr>
                <w:rFonts w:ascii="Arial" w:hAnsi="Arial" w:cs="Arial"/>
                <w:sz w:val="16"/>
                <w:szCs w:val="16"/>
              </w:rPr>
            </w:pPr>
            <w:r w:rsidRPr="003A2F86">
              <w:rPr>
                <w:rFonts w:ascii="Arial" w:hAnsi="Arial" w:cs="Arial"/>
                <w:sz w:val="16"/>
                <w:szCs w:val="16"/>
              </w:rPr>
              <w:t>što je za 76.260,41 € ili 25,7% više u odnosu na izvještajno razdoblje prethodne godine. U prvom polugodištu 2022. ovi prihodi su iznosili 195.384,23 €.</w:t>
            </w:r>
          </w:p>
        </w:tc>
      </w:tr>
      <w:tr w:rsidR="00542894" w:rsidRPr="003A2F86" w14:paraId="64671646" w14:textId="77777777" w:rsidTr="003F5539">
        <w:trPr>
          <w:jc w:val="center"/>
        </w:trPr>
        <w:tc>
          <w:tcPr>
            <w:tcW w:w="988" w:type="dxa"/>
            <w:tcBorders>
              <w:top w:val="single" w:sz="4" w:space="0" w:color="auto"/>
              <w:left w:val="single" w:sz="8" w:space="0" w:color="000000"/>
              <w:bottom w:val="single" w:sz="4" w:space="0" w:color="auto"/>
              <w:right w:val="single" w:sz="8" w:space="0" w:color="000000"/>
            </w:tcBorders>
          </w:tcPr>
          <w:p w14:paraId="5D2B9BE7" w14:textId="16E2FED3" w:rsidR="00542894" w:rsidRPr="003A2F86" w:rsidRDefault="00542894" w:rsidP="00542894">
            <w:pPr>
              <w:spacing w:after="0" w:line="240" w:lineRule="auto"/>
              <w:jc w:val="center"/>
              <w:rPr>
                <w:rFonts w:ascii="Arial" w:hAnsi="Arial" w:cs="Arial"/>
                <w:sz w:val="16"/>
                <w:szCs w:val="16"/>
              </w:rPr>
            </w:pPr>
            <w:r w:rsidRPr="003A2F86">
              <w:rPr>
                <w:rFonts w:ascii="Arial" w:hAnsi="Arial" w:cs="Arial"/>
                <w:sz w:val="16"/>
                <w:szCs w:val="16"/>
              </w:rPr>
              <w:t>2023.</w:t>
            </w:r>
          </w:p>
        </w:tc>
        <w:tc>
          <w:tcPr>
            <w:tcW w:w="850" w:type="dxa"/>
            <w:tcBorders>
              <w:top w:val="single" w:sz="4" w:space="0" w:color="auto"/>
              <w:left w:val="nil"/>
              <w:bottom w:val="single" w:sz="4" w:space="0" w:color="auto"/>
              <w:right w:val="single" w:sz="8" w:space="0" w:color="000000"/>
            </w:tcBorders>
          </w:tcPr>
          <w:p w14:paraId="6D08E7A6" w14:textId="09D159B6" w:rsidR="00542894" w:rsidRPr="003A2F86" w:rsidRDefault="00542894" w:rsidP="00542894">
            <w:pPr>
              <w:spacing w:after="0" w:line="240" w:lineRule="auto"/>
              <w:jc w:val="center"/>
              <w:rPr>
                <w:rFonts w:ascii="Arial" w:hAnsi="Arial" w:cs="Arial"/>
                <w:sz w:val="16"/>
                <w:szCs w:val="16"/>
              </w:rPr>
            </w:pPr>
            <w:r w:rsidRPr="003A2F86">
              <w:rPr>
                <w:rFonts w:ascii="Arial" w:hAnsi="Arial" w:cs="Arial"/>
                <w:sz w:val="16"/>
                <w:szCs w:val="16"/>
              </w:rPr>
              <w:t>3%</w:t>
            </w:r>
          </w:p>
        </w:tc>
        <w:tc>
          <w:tcPr>
            <w:tcW w:w="1134" w:type="dxa"/>
            <w:tcBorders>
              <w:top w:val="single" w:sz="4" w:space="0" w:color="auto"/>
              <w:left w:val="nil"/>
              <w:bottom w:val="single" w:sz="4" w:space="0" w:color="auto"/>
              <w:right w:val="single" w:sz="8" w:space="0" w:color="000000"/>
            </w:tcBorders>
          </w:tcPr>
          <w:p w14:paraId="09ABB961" w14:textId="058EC990" w:rsidR="00542894" w:rsidRPr="003A2F86" w:rsidRDefault="00C67F7C" w:rsidP="00542894">
            <w:pPr>
              <w:spacing w:after="0" w:line="240" w:lineRule="auto"/>
              <w:jc w:val="right"/>
              <w:rPr>
                <w:rFonts w:ascii="Arial" w:hAnsi="Arial" w:cs="Arial"/>
                <w:sz w:val="16"/>
                <w:szCs w:val="16"/>
              </w:rPr>
            </w:pPr>
            <w:r w:rsidRPr="003A2F86">
              <w:rPr>
                <w:rFonts w:ascii="Arial" w:hAnsi="Arial" w:cs="Arial"/>
                <w:sz w:val="16"/>
                <w:szCs w:val="16"/>
              </w:rPr>
              <w:t>624.370,40</w:t>
            </w:r>
          </w:p>
        </w:tc>
        <w:tc>
          <w:tcPr>
            <w:tcW w:w="11204" w:type="dxa"/>
            <w:tcBorders>
              <w:top w:val="single" w:sz="4" w:space="0" w:color="auto"/>
              <w:left w:val="nil"/>
              <w:bottom w:val="single" w:sz="4" w:space="0" w:color="auto"/>
              <w:right w:val="single" w:sz="8" w:space="0" w:color="000000"/>
            </w:tcBorders>
          </w:tcPr>
          <w:p w14:paraId="1BF36B46" w14:textId="3F75974C" w:rsidR="00542894" w:rsidRPr="003A2F86" w:rsidRDefault="00C67F7C" w:rsidP="00542894">
            <w:pPr>
              <w:spacing w:after="0" w:line="240" w:lineRule="auto"/>
              <w:jc w:val="both"/>
              <w:rPr>
                <w:rFonts w:ascii="Arial" w:hAnsi="Arial" w:cs="Arial"/>
                <w:sz w:val="16"/>
                <w:szCs w:val="16"/>
              </w:rPr>
            </w:pPr>
            <w:r w:rsidRPr="003A2F86">
              <w:rPr>
                <w:rFonts w:ascii="Arial" w:hAnsi="Arial" w:cs="Arial"/>
                <w:sz w:val="16"/>
                <w:szCs w:val="16"/>
              </w:rPr>
              <w:t>što je za 251.576,34 € ili 67,5% više u odnosu na izvještajno razdoblje prethodne godine. U prvom polugodištu 2023. ovi prihodi su iznosili 218.951,06 €.</w:t>
            </w:r>
          </w:p>
        </w:tc>
      </w:tr>
      <w:tr w:rsidR="00A201FC" w:rsidRPr="003A2F86" w14:paraId="07C5B4D6" w14:textId="77777777" w:rsidTr="00D138B6">
        <w:trPr>
          <w:jc w:val="center"/>
        </w:trPr>
        <w:tc>
          <w:tcPr>
            <w:tcW w:w="988" w:type="dxa"/>
            <w:tcBorders>
              <w:top w:val="single" w:sz="4" w:space="0" w:color="auto"/>
              <w:left w:val="single" w:sz="8" w:space="0" w:color="000000"/>
              <w:bottom w:val="single" w:sz="4" w:space="0" w:color="auto"/>
              <w:right w:val="single" w:sz="8" w:space="0" w:color="000000"/>
            </w:tcBorders>
          </w:tcPr>
          <w:p w14:paraId="5F5D43AF" w14:textId="2F57A82C" w:rsidR="00A201FC" w:rsidRPr="003A2F86" w:rsidRDefault="00A201FC" w:rsidP="00A201FC">
            <w:pPr>
              <w:spacing w:after="0" w:line="240" w:lineRule="auto"/>
              <w:jc w:val="center"/>
              <w:rPr>
                <w:rFonts w:ascii="Arial" w:hAnsi="Arial" w:cs="Arial"/>
                <w:sz w:val="16"/>
                <w:szCs w:val="16"/>
              </w:rPr>
            </w:pPr>
            <w:r w:rsidRPr="003A2F86">
              <w:rPr>
                <w:rFonts w:ascii="Arial" w:hAnsi="Arial" w:cs="Arial"/>
                <w:sz w:val="16"/>
                <w:szCs w:val="16"/>
              </w:rPr>
              <w:t>2024.</w:t>
            </w:r>
          </w:p>
        </w:tc>
        <w:tc>
          <w:tcPr>
            <w:tcW w:w="850" w:type="dxa"/>
            <w:tcBorders>
              <w:top w:val="single" w:sz="4" w:space="0" w:color="auto"/>
              <w:left w:val="nil"/>
              <w:bottom w:val="single" w:sz="4" w:space="0" w:color="auto"/>
              <w:right w:val="single" w:sz="8" w:space="0" w:color="000000"/>
            </w:tcBorders>
          </w:tcPr>
          <w:p w14:paraId="17FA89E3" w14:textId="04453B46" w:rsidR="00A201FC" w:rsidRPr="003A2F86" w:rsidRDefault="00A201FC" w:rsidP="00A201FC">
            <w:pPr>
              <w:spacing w:after="0" w:line="240" w:lineRule="auto"/>
              <w:jc w:val="center"/>
              <w:rPr>
                <w:rFonts w:ascii="Arial" w:hAnsi="Arial" w:cs="Arial"/>
                <w:sz w:val="16"/>
                <w:szCs w:val="16"/>
              </w:rPr>
            </w:pPr>
            <w:r w:rsidRPr="003A2F86">
              <w:rPr>
                <w:rFonts w:ascii="Arial" w:hAnsi="Arial" w:cs="Arial"/>
                <w:sz w:val="16"/>
                <w:szCs w:val="16"/>
              </w:rPr>
              <w:t>3%</w:t>
            </w:r>
          </w:p>
        </w:tc>
        <w:tc>
          <w:tcPr>
            <w:tcW w:w="1134" w:type="dxa"/>
            <w:tcBorders>
              <w:top w:val="single" w:sz="4" w:space="0" w:color="auto"/>
              <w:left w:val="nil"/>
              <w:bottom w:val="single" w:sz="4" w:space="0" w:color="auto"/>
              <w:right w:val="single" w:sz="8" w:space="0" w:color="000000"/>
            </w:tcBorders>
          </w:tcPr>
          <w:p w14:paraId="01887FDE" w14:textId="7FDEEB54" w:rsidR="00A201FC" w:rsidRPr="003A2F86" w:rsidRDefault="00842B06" w:rsidP="00A201FC">
            <w:pPr>
              <w:spacing w:after="0" w:line="240" w:lineRule="auto"/>
              <w:jc w:val="right"/>
              <w:rPr>
                <w:rFonts w:ascii="Arial" w:hAnsi="Arial" w:cs="Arial"/>
                <w:sz w:val="16"/>
                <w:szCs w:val="16"/>
              </w:rPr>
            </w:pPr>
            <w:r w:rsidRPr="003A2F86">
              <w:rPr>
                <w:rFonts w:ascii="Arial" w:hAnsi="Arial" w:cs="Arial"/>
                <w:sz w:val="16"/>
                <w:szCs w:val="16"/>
              </w:rPr>
              <w:t>771.353,39</w:t>
            </w:r>
          </w:p>
        </w:tc>
        <w:tc>
          <w:tcPr>
            <w:tcW w:w="11204" w:type="dxa"/>
            <w:tcBorders>
              <w:top w:val="single" w:sz="4" w:space="0" w:color="auto"/>
              <w:left w:val="nil"/>
              <w:bottom w:val="single" w:sz="4" w:space="0" w:color="auto"/>
              <w:right w:val="single" w:sz="8" w:space="0" w:color="000000"/>
            </w:tcBorders>
          </w:tcPr>
          <w:p w14:paraId="6C9E162D" w14:textId="02F9227E" w:rsidR="00A201FC" w:rsidRPr="003A2F86" w:rsidRDefault="00842B06" w:rsidP="00842B06">
            <w:pPr>
              <w:spacing w:after="0" w:line="240" w:lineRule="auto"/>
              <w:jc w:val="both"/>
              <w:rPr>
                <w:rFonts w:ascii="Arial" w:hAnsi="Arial" w:cs="Arial"/>
                <w:sz w:val="16"/>
                <w:szCs w:val="16"/>
              </w:rPr>
            </w:pPr>
            <w:r w:rsidRPr="003A2F86">
              <w:rPr>
                <w:rFonts w:ascii="Arial" w:hAnsi="Arial" w:cs="Arial"/>
                <w:sz w:val="16"/>
                <w:szCs w:val="16"/>
              </w:rPr>
              <w:t>što je za 146.982,99 € ili 23,5% više u odnosu na izvještajno razdoblje prethodne godine. U prvom polugodištu 2024. ovi prihodi su iznosili 350.225,56 €.</w:t>
            </w:r>
          </w:p>
        </w:tc>
      </w:tr>
      <w:tr w:rsidR="00D138B6" w:rsidRPr="003A2F86" w14:paraId="069664F1" w14:textId="77777777" w:rsidTr="003F5539">
        <w:trPr>
          <w:jc w:val="center"/>
        </w:trPr>
        <w:tc>
          <w:tcPr>
            <w:tcW w:w="988" w:type="dxa"/>
            <w:tcBorders>
              <w:top w:val="single" w:sz="4" w:space="0" w:color="auto"/>
              <w:left w:val="single" w:sz="8" w:space="0" w:color="000000"/>
              <w:bottom w:val="single" w:sz="8" w:space="0" w:color="000000"/>
              <w:right w:val="single" w:sz="8" w:space="0" w:color="000000"/>
            </w:tcBorders>
          </w:tcPr>
          <w:p w14:paraId="56BAA1FF" w14:textId="3C74E7BE" w:rsidR="00D138B6" w:rsidRPr="003A2F86" w:rsidRDefault="00D138B6" w:rsidP="00D138B6">
            <w:pPr>
              <w:spacing w:after="0" w:line="240" w:lineRule="auto"/>
              <w:jc w:val="center"/>
              <w:rPr>
                <w:rFonts w:ascii="Arial" w:hAnsi="Arial" w:cs="Arial"/>
                <w:sz w:val="16"/>
                <w:szCs w:val="16"/>
              </w:rPr>
            </w:pPr>
            <w:r>
              <w:rPr>
                <w:rFonts w:ascii="Arial" w:hAnsi="Arial" w:cs="Arial"/>
                <w:sz w:val="16"/>
                <w:szCs w:val="16"/>
              </w:rPr>
              <w:t>1-6/2025.</w:t>
            </w:r>
          </w:p>
        </w:tc>
        <w:tc>
          <w:tcPr>
            <w:tcW w:w="850" w:type="dxa"/>
            <w:tcBorders>
              <w:top w:val="single" w:sz="4" w:space="0" w:color="auto"/>
              <w:left w:val="nil"/>
              <w:bottom w:val="single" w:sz="8" w:space="0" w:color="000000"/>
              <w:right w:val="single" w:sz="8" w:space="0" w:color="000000"/>
            </w:tcBorders>
          </w:tcPr>
          <w:p w14:paraId="50E5A753" w14:textId="22A2AE45" w:rsidR="00D138B6" w:rsidRPr="003A2F86" w:rsidRDefault="00D138B6" w:rsidP="00D138B6">
            <w:pPr>
              <w:spacing w:after="0" w:line="240" w:lineRule="auto"/>
              <w:jc w:val="center"/>
              <w:rPr>
                <w:rFonts w:ascii="Arial" w:hAnsi="Arial" w:cs="Arial"/>
                <w:sz w:val="16"/>
                <w:szCs w:val="16"/>
              </w:rPr>
            </w:pPr>
            <w:r w:rsidRPr="003A2F86">
              <w:rPr>
                <w:rFonts w:ascii="Arial" w:hAnsi="Arial" w:cs="Arial"/>
                <w:sz w:val="16"/>
                <w:szCs w:val="16"/>
              </w:rPr>
              <w:t>3%</w:t>
            </w:r>
          </w:p>
        </w:tc>
        <w:tc>
          <w:tcPr>
            <w:tcW w:w="1134" w:type="dxa"/>
            <w:tcBorders>
              <w:top w:val="single" w:sz="4" w:space="0" w:color="auto"/>
              <w:left w:val="nil"/>
              <w:bottom w:val="single" w:sz="8" w:space="0" w:color="000000"/>
              <w:right w:val="single" w:sz="8" w:space="0" w:color="000000"/>
            </w:tcBorders>
          </w:tcPr>
          <w:p w14:paraId="15510661" w14:textId="4C4BAFEA" w:rsidR="00D138B6" w:rsidRPr="003A2F86" w:rsidRDefault="00D138B6" w:rsidP="00D138B6">
            <w:pPr>
              <w:spacing w:after="0" w:line="240" w:lineRule="auto"/>
              <w:jc w:val="right"/>
              <w:rPr>
                <w:rFonts w:ascii="Arial" w:hAnsi="Arial" w:cs="Arial"/>
                <w:sz w:val="16"/>
                <w:szCs w:val="16"/>
              </w:rPr>
            </w:pPr>
            <w:r>
              <w:rPr>
                <w:rFonts w:ascii="Arial" w:hAnsi="Arial" w:cs="Arial"/>
                <w:sz w:val="16"/>
                <w:szCs w:val="16"/>
              </w:rPr>
              <w:t>347.679,24</w:t>
            </w:r>
          </w:p>
        </w:tc>
        <w:tc>
          <w:tcPr>
            <w:tcW w:w="11204" w:type="dxa"/>
            <w:tcBorders>
              <w:top w:val="single" w:sz="4" w:space="0" w:color="auto"/>
              <w:left w:val="nil"/>
              <w:bottom w:val="single" w:sz="8" w:space="0" w:color="000000"/>
              <w:right w:val="single" w:sz="8" w:space="0" w:color="000000"/>
            </w:tcBorders>
          </w:tcPr>
          <w:p w14:paraId="606E67F1" w14:textId="3CE8AD2D" w:rsidR="00D138B6" w:rsidRPr="003A2F86" w:rsidRDefault="00D138B6" w:rsidP="00D138B6">
            <w:pPr>
              <w:spacing w:after="0" w:line="240" w:lineRule="auto"/>
              <w:jc w:val="both"/>
              <w:rPr>
                <w:rFonts w:ascii="Arial" w:hAnsi="Arial" w:cs="Arial"/>
                <w:sz w:val="16"/>
                <w:szCs w:val="16"/>
              </w:rPr>
            </w:pPr>
            <w:r w:rsidRPr="00D138B6">
              <w:rPr>
                <w:rFonts w:ascii="Arial" w:hAnsi="Arial" w:cs="Arial"/>
                <w:sz w:val="16"/>
                <w:szCs w:val="16"/>
              </w:rPr>
              <w:t>što je za 2.546,32 € ili 0,1% manje u odnosu na izvještajno razdoblje prethodne godine. U prvom polugodištu 2025. ovi prihodi su iznosili 347.679,24 €.</w:t>
            </w:r>
          </w:p>
        </w:tc>
      </w:tr>
      <w:bookmarkEnd w:id="83"/>
    </w:tbl>
    <w:p w14:paraId="76E6232C" w14:textId="75E0346F" w:rsidR="00A879CA" w:rsidRPr="003A2F86" w:rsidRDefault="00A879CA" w:rsidP="00650D88">
      <w:pPr>
        <w:spacing w:after="0" w:line="240" w:lineRule="auto"/>
        <w:jc w:val="both"/>
        <w:rPr>
          <w:rFonts w:ascii="Arial" w:eastAsia="Times New Roman" w:hAnsi="Arial" w:cs="Arial"/>
          <w:lang w:eastAsia="en-US"/>
        </w:rPr>
      </w:pPr>
    </w:p>
    <w:p w14:paraId="61D091B5" w14:textId="2D0B7A74" w:rsidR="001102F5" w:rsidRPr="003A2F86" w:rsidRDefault="001102F5" w:rsidP="001102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b/>
          <w:bCs/>
        </w:rPr>
      </w:pPr>
      <w:r w:rsidRPr="003A2F86">
        <w:rPr>
          <w:rFonts w:ascii="Arial" w:eastAsia="Times New Roman" w:hAnsi="Arial" w:cs="Arial"/>
          <w:b/>
          <w:bCs/>
        </w:rPr>
        <w:lastRenderedPageBreak/>
        <w:t>Općinski porezi</w:t>
      </w:r>
    </w:p>
    <w:p w14:paraId="4B52F267" w14:textId="482A3FEB" w:rsidR="001102F5" w:rsidRPr="003A2F86" w:rsidRDefault="001102F5" w:rsidP="001102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7D0EC2B7" w14:textId="1DE5CFEA" w:rsidR="00E11912" w:rsidRPr="003A2F86" w:rsidRDefault="001102F5" w:rsidP="00E11912">
      <w:pPr>
        <w:spacing w:after="0" w:line="240" w:lineRule="auto"/>
        <w:jc w:val="both"/>
        <w:rPr>
          <w:rFonts w:ascii="Arial" w:eastAsia="Times New Roman" w:hAnsi="Arial" w:cs="Arial"/>
          <w:lang w:eastAsia="en-US"/>
        </w:rPr>
      </w:pPr>
      <w:r w:rsidRPr="003A2F86">
        <w:rPr>
          <w:rFonts w:ascii="Arial" w:eastAsia="Times New Roman" w:hAnsi="Arial" w:cs="Arial"/>
        </w:rPr>
        <w:t>Općinski porezi (porez na kuće za odmor, porez na korištenje javnih površina i porez na potrošnju)</w:t>
      </w:r>
      <w:r w:rsidR="00A13FE2" w:rsidRPr="003A2F86">
        <w:rPr>
          <w:rFonts w:ascii="Arial" w:eastAsia="Times New Roman" w:hAnsi="Arial" w:cs="Arial"/>
        </w:rPr>
        <w:t xml:space="preserve"> ostvareni su u izvještajnom razdoblju 20</w:t>
      </w:r>
      <w:r w:rsidR="00691210">
        <w:rPr>
          <w:rFonts w:ascii="Arial" w:eastAsia="Times New Roman" w:hAnsi="Arial" w:cs="Arial"/>
        </w:rPr>
        <w:t>25</w:t>
      </w:r>
      <w:r w:rsidR="00A13FE2" w:rsidRPr="003A2F86">
        <w:rPr>
          <w:rFonts w:ascii="Arial" w:eastAsia="Times New Roman" w:hAnsi="Arial" w:cs="Arial"/>
        </w:rPr>
        <w:t xml:space="preserve">. godine u iznosu </w:t>
      </w:r>
      <w:r w:rsidR="00842B06" w:rsidRPr="003A2F86">
        <w:rPr>
          <w:rFonts w:ascii="Arial" w:eastAsia="Times New Roman" w:hAnsi="Arial" w:cs="Arial"/>
        </w:rPr>
        <w:t>441.313,85</w:t>
      </w:r>
      <w:r w:rsidR="00E11912" w:rsidRPr="003A2F86">
        <w:rPr>
          <w:rFonts w:ascii="Arial" w:eastAsia="Times New Roman" w:hAnsi="Arial" w:cs="Arial"/>
        </w:rPr>
        <w:t xml:space="preserve"> €</w:t>
      </w:r>
      <w:r w:rsidR="00E87B67" w:rsidRPr="003A2F86">
        <w:rPr>
          <w:rFonts w:ascii="Arial" w:eastAsia="Times New Roman" w:hAnsi="Arial" w:cs="Arial"/>
        </w:rPr>
        <w:t xml:space="preserve"> što je više za </w:t>
      </w:r>
      <w:r w:rsidR="00842B06" w:rsidRPr="003A2F86">
        <w:rPr>
          <w:rFonts w:ascii="Arial" w:eastAsia="Times New Roman" w:hAnsi="Arial" w:cs="Arial"/>
        </w:rPr>
        <w:t>90.800,16</w:t>
      </w:r>
      <w:r w:rsidR="00E11912" w:rsidRPr="003A2F86">
        <w:rPr>
          <w:rFonts w:ascii="Arial" w:eastAsia="Times New Roman" w:hAnsi="Arial" w:cs="Arial"/>
        </w:rPr>
        <w:t xml:space="preserve"> €</w:t>
      </w:r>
      <w:r w:rsidR="00E87B67" w:rsidRPr="003A2F86">
        <w:rPr>
          <w:rFonts w:ascii="Arial" w:eastAsia="Times New Roman" w:hAnsi="Arial" w:cs="Arial"/>
        </w:rPr>
        <w:t xml:space="preserve"> ili </w:t>
      </w:r>
      <w:r w:rsidR="00842B06" w:rsidRPr="003A2F86">
        <w:rPr>
          <w:rFonts w:ascii="Arial" w:eastAsia="Times New Roman" w:hAnsi="Arial" w:cs="Arial"/>
        </w:rPr>
        <w:t>25,9</w:t>
      </w:r>
      <w:r w:rsidR="00E87B67" w:rsidRPr="003A2F86">
        <w:rPr>
          <w:rFonts w:ascii="Arial" w:eastAsia="Times New Roman" w:hAnsi="Arial" w:cs="Arial"/>
        </w:rPr>
        <w:t xml:space="preserve">% više u odnosu na </w:t>
      </w:r>
      <w:r w:rsidR="004733CE" w:rsidRPr="003A2F86">
        <w:rPr>
          <w:rFonts w:ascii="Arial" w:eastAsia="Times New Roman" w:hAnsi="Arial" w:cs="Arial"/>
        </w:rPr>
        <w:t xml:space="preserve">izvještajno razdoblje </w:t>
      </w:r>
      <w:r w:rsidR="00E87B67" w:rsidRPr="003A2F86">
        <w:rPr>
          <w:rFonts w:ascii="Arial" w:eastAsia="Times New Roman" w:hAnsi="Arial" w:cs="Arial"/>
        </w:rPr>
        <w:t>prethodn</w:t>
      </w:r>
      <w:r w:rsidR="004733CE" w:rsidRPr="003A2F86">
        <w:rPr>
          <w:rFonts w:ascii="Arial" w:eastAsia="Times New Roman" w:hAnsi="Arial" w:cs="Arial"/>
        </w:rPr>
        <w:t>e</w:t>
      </w:r>
      <w:r w:rsidR="00E87B67" w:rsidRPr="003A2F86">
        <w:rPr>
          <w:rFonts w:ascii="Arial" w:eastAsia="Times New Roman" w:hAnsi="Arial" w:cs="Arial"/>
        </w:rPr>
        <w:t xml:space="preserve"> godin</w:t>
      </w:r>
      <w:r w:rsidR="004733CE" w:rsidRPr="003A2F86">
        <w:rPr>
          <w:rFonts w:ascii="Arial" w:eastAsia="Times New Roman" w:hAnsi="Arial" w:cs="Arial"/>
        </w:rPr>
        <w:t>e</w:t>
      </w:r>
      <w:r w:rsidR="00A13FE2" w:rsidRPr="003A2F86">
        <w:rPr>
          <w:rFonts w:ascii="Arial" w:eastAsia="Times New Roman" w:hAnsi="Arial" w:cs="Arial"/>
        </w:rPr>
        <w:t xml:space="preserve">. </w:t>
      </w:r>
    </w:p>
    <w:p w14:paraId="2E5643CB" w14:textId="77777777" w:rsidR="00C1675B" w:rsidRPr="00BD38F4" w:rsidRDefault="00C1675B" w:rsidP="009B7F6A">
      <w:pPr>
        <w:spacing w:after="0" w:line="240" w:lineRule="auto"/>
        <w:jc w:val="both"/>
        <w:rPr>
          <w:rFonts w:ascii="Arial" w:eastAsia="Times New Roman" w:hAnsi="Arial" w:cs="Arial"/>
          <w:sz w:val="14"/>
          <w:szCs w:val="14"/>
          <w:lang w:eastAsia="en-US"/>
        </w:rPr>
      </w:pPr>
    </w:p>
    <w:p w14:paraId="71FDB2AC" w14:textId="302A7F3A" w:rsidR="00C1675B" w:rsidRDefault="00C1675B" w:rsidP="00C1675B">
      <w:pPr>
        <w:spacing w:after="0" w:line="240" w:lineRule="auto"/>
        <w:jc w:val="center"/>
        <w:rPr>
          <w:rFonts w:ascii="Arial" w:eastAsia="Times New Roman" w:hAnsi="Arial" w:cs="Arial"/>
          <w:lang w:eastAsia="en-US"/>
        </w:rPr>
      </w:pPr>
      <w:r w:rsidRPr="00C1675B">
        <w:rPr>
          <w:noProof/>
        </w:rPr>
        <w:drawing>
          <wp:inline distT="0" distB="0" distL="0" distR="0" wp14:anchorId="6B485371" wp14:editId="31DD2155">
            <wp:extent cx="8214360" cy="1959995"/>
            <wp:effectExtent l="0" t="0" r="0" b="2540"/>
            <wp:docPr id="21049017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29656" cy="1963645"/>
                    </a:xfrm>
                    <a:prstGeom prst="rect">
                      <a:avLst/>
                    </a:prstGeom>
                    <a:noFill/>
                    <a:ln>
                      <a:noFill/>
                    </a:ln>
                  </pic:spPr>
                </pic:pic>
              </a:graphicData>
            </a:graphic>
          </wp:inline>
        </w:drawing>
      </w:r>
    </w:p>
    <w:p w14:paraId="7CB44E51" w14:textId="3FD1933E" w:rsidR="009B7F6A" w:rsidRPr="003A2F86" w:rsidRDefault="009B7F6A" w:rsidP="009B7F6A">
      <w:pPr>
        <w:spacing w:after="0" w:line="240" w:lineRule="auto"/>
        <w:jc w:val="both"/>
        <w:rPr>
          <w:rFonts w:ascii="Arial" w:eastAsia="Times New Roman" w:hAnsi="Arial" w:cs="Arial"/>
          <w:lang w:eastAsia="en-US"/>
        </w:rPr>
      </w:pPr>
      <w:r w:rsidRPr="003A2F86">
        <w:rPr>
          <w:rFonts w:ascii="Arial" w:eastAsia="Times New Roman" w:hAnsi="Arial" w:cs="Arial"/>
          <w:lang w:eastAsia="en-US"/>
        </w:rPr>
        <w:t xml:space="preserve">Prihoda od poreza na tvrtku (6145) </w:t>
      </w:r>
      <w:r w:rsidR="004B7644">
        <w:rPr>
          <w:rFonts w:ascii="Arial" w:eastAsia="Times New Roman" w:hAnsi="Arial" w:cs="Arial"/>
          <w:lang w:eastAsia="en-US"/>
        </w:rPr>
        <w:t>nema</w:t>
      </w:r>
      <w:r w:rsidRPr="003A2F86">
        <w:rPr>
          <w:rFonts w:ascii="Arial" w:eastAsia="Times New Roman" w:hAnsi="Arial" w:cs="Arial"/>
          <w:lang w:eastAsia="en-US"/>
        </w:rPr>
        <w:t>. Početkom primjene Zakona o lokalnim porezima (NN 115/16), ukinut je porez na tvrtke, a ostvareni prihod u 2020. se odnosi</w:t>
      </w:r>
      <w:r w:rsidR="00842B06" w:rsidRPr="003A2F86">
        <w:rPr>
          <w:rFonts w:ascii="Arial" w:eastAsia="Times New Roman" w:hAnsi="Arial" w:cs="Arial"/>
          <w:lang w:eastAsia="en-US"/>
        </w:rPr>
        <w:t>o</w:t>
      </w:r>
      <w:r w:rsidRPr="003A2F86">
        <w:rPr>
          <w:rFonts w:ascii="Arial" w:eastAsia="Times New Roman" w:hAnsi="Arial" w:cs="Arial"/>
          <w:lang w:eastAsia="en-US"/>
        </w:rPr>
        <w:t xml:space="preserve"> na naplaćena potraživanja iz prethodnih godina po ispostavljenim rješenjima o ovrsi iz ranijih godina.</w:t>
      </w:r>
      <w:r w:rsidR="00B3260B">
        <w:rPr>
          <w:rFonts w:ascii="Arial" w:eastAsia="Times New Roman" w:hAnsi="Arial" w:cs="Arial"/>
          <w:lang w:eastAsia="en-US"/>
        </w:rPr>
        <w:t xml:space="preserve"> U 2025. se nisu ispostavljala rješenja za porez na kuće za odmor (ovaj porez ukinut), a rješenja za porez na nekretnine nisu ispostavljena u prvom polugodištu 2025.</w:t>
      </w:r>
    </w:p>
    <w:p w14:paraId="04795EC2" w14:textId="1267E6EE" w:rsidR="00C67F7C" w:rsidRDefault="00160D30" w:rsidP="00BD38F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lang w:eastAsia="en-US"/>
        </w:rPr>
      </w:pPr>
      <w:r>
        <w:rPr>
          <w:rFonts w:ascii="Arial" w:eastAsia="Times New Roman" w:hAnsi="Arial" w:cs="Arial"/>
          <w:i/>
          <w:iCs/>
          <w:lang w:eastAsia="en-US"/>
        </w:rPr>
        <w:tab/>
      </w:r>
      <w:r w:rsidR="00BD38F4">
        <w:rPr>
          <w:rFonts w:ascii="Arial" w:eastAsia="Times New Roman" w:hAnsi="Arial" w:cs="Arial"/>
          <w:i/>
          <w:iCs/>
          <w:lang w:eastAsia="en-US"/>
        </w:rPr>
        <w:tab/>
      </w:r>
      <w:r w:rsidR="00BD38F4">
        <w:rPr>
          <w:rFonts w:ascii="Arial" w:eastAsia="Times New Roman" w:hAnsi="Arial" w:cs="Arial"/>
          <w:i/>
          <w:iCs/>
          <w:lang w:eastAsia="en-US"/>
        </w:rPr>
        <w:tab/>
      </w:r>
      <w:r w:rsidR="00650D88" w:rsidRPr="003A2F86">
        <w:rPr>
          <w:rFonts w:ascii="Arial" w:eastAsia="Times New Roman" w:hAnsi="Arial" w:cs="Arial"/>
          <w:i/>
          <w:iCs/>
          <w:lang w:eastAsia="en-US"/>
        </w:rPr>
        <w:t>*Usporedba:</w:t>
      </w:r>
      <w:r w:rsidR="00281AA3" w:rsidRPr="003A2F86">
        <w:rPr>
          <w:rFonts w:ascii="Arial" w:eastAsia="Times New Roman" w:hAnsi="Arial" w:cs="Arial"/>
          <w:i/>
          <w:iCs/>
          <w:lang w:eastAsia="en-US"/>
        </w:rPr>
        <w:t xml:space="preserve"> </w:t>
      </w:r>
    </w:p>
    <w:p w14:paraId="4DCE1420" w14:textId="22F22FF8" w:rsidR="00BD38F4" w:rsidRDefault="00BD38F4" w:rsidP="00BD38F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i/>
          <w:iCs/>
          <w:lang w:eastAsia="en-US"/>
        </w:rPr>
      </w:pPr>
      <w:r w:rsidRPr="00BD38F4">
        <w:rPr>
          <w:noProof/>
        </w:rPr>
        <w:drawing>
          <wp:inline distT="0" distB="0" distL="0" distR="0" wp14:anchorId="3ABE03DE" wp14:editId="08F1EE71">
            <wp:extent cx="5257800" cy="2664221"/>
            <wp:effectExtent l="0" t="0" r="0" b="3175"/>
            <wp:docPr id="523266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7325" cy="2669048"/>
                    </a:xfrm>
                    <a:prstGeom prst="rect">
                      <a:avLst/>
                    </a:prstGeom>
                    <a:noFill/>
                    <a:ln>
                      <a:noFill/>
                    </a:ln>
                  </pic:spPr>
                </pic:pic>
              </a:graphicData>
            </a:graphic>
          </wp:inline>
        </w:drawing>
      </w:r>
    </w:p>
    <w:p w14:paraId="38719690" w14:textId="77777777" w:rsidR="00BD38F4" w:rsidRPr="003A2F86" w:rsidRDefault="00BD38F4" w:rsidP="00BD38F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20"/>
          <w:szCs w:val="20"/>
        </w:rPr>
      </w:pPr>
    </w:p>
    <w:p w14:paraId="4A663BCD" w14:textId="79C69493" w:rsidR="00891119" w:rsidRPr="003A2F86" w:rsidRDefault="00891119" w:rsidP="001B3297">
      <w:pPr>
        <w:pStyle w:val="Naslov4"/>
        <w:rPr>
          <w:rFonts w:ascii="Arial" w:hAnsi="Arial" w:cs="Arial"/>
          <w:shd w:val="clear" w:color="auto" w:fill="FFFFFF"/>
          <w:lang w:val="hr-HR"/>
        </w:rPr>
      </w:pPr>
      <w:r w:rsidRPr="003A2F86">
        <w:rPr>
          <w:rFonts w:ascii="Arial" w:hAnsi="Arial" w:cs="Arial"/>
          <w:shd w:val="clear" w:color="auto" w:fill="FFFFFF"/>
          <w:lang w:val="hr-HR"/>
        </w:rPr>
        <w:tab/>
      </w:r>
      <w:bookmarkStart w:id="84" w:name="_Toc207707424"/>
      <w:r w:rsidR="001B3297" w:rsidRPr="003A2F86">
        <w:rPr>
          <w:rFonts w:ascii="Arial" w:hAnsi="Arial" w:cs="Arial"/>
          <w:shd w:val="clear" w:color="auto" w:fill="FFFFFF"/>
          <w:lang w:val="hr-HR"/>
        </w:rPr>
        <w:t>2.4.1.</w:t>
      </w:r>
      <w:r w:rsidRPr="003A2F86">
        <w:rPr>
          <w:rFonts w:ascii="Arial" w:hAnsi="Arial" w:cs="Arial"/>
          <w:shd w:val="clear" w:color="auto" w:fill="FFFFFF"/>
          <w:lang w:val="hr-HR"/>
        </w:rPr>
        <w:t xml:space="preserve">2. </w:t>
      </w:r>
      <w:r w:rsidRPr="003A2F86">
        <w:rPr>
          <w:rFonts w:ascii="Arial" w:hAnsi="Arial" w:cs="Arial"/>
          <w:shd w:val="clear" w:color="auto" w:fill="FFFFFF"/>
          <w:lang w:val="hr-HR"/>
        </w:rPr>
        <w:tab/>
        <w:t>Pomoći</w:t>
      </w:r>
      <w:r w:rsidR="00744D8B" w:rsidRPr="003A2F86">
        <w:rPr>
          <w:rFonts w:ascii="Arial" w:hAnsi="Arial" w:cs="Arial"/>
          <w:shd w:val="clear" w:color="auto" w:fill="FFFFFF"/>
          <w:lang w:val="hr-HR"/>
        </w:rPr>
        <w:t xml:space="preserve"> (63)</w:t>
      </w:r>
      <w:bookmarkEnd w:id="84"/>
    </w:p>
    <w:p w14:paraId="4F1110D2" w14:textId="77777777" w:rsidR="00891119" w:rsidRPr="003A2F86" w:rsidRDefault="00891119" w:rsidP="00891119">
      <w:pPr>
        <w:tabs>
          <w:tab w:val="left" w:pos="567"/>
        </w:tabs>
        <w:spacing w:after="0" w:line="240" w:lineRule="auto"/>
        <w:jc w:val="both"/>
        <w:rPr>
          <w:rFonts w:ascii="Arial" w:eastAsia="Times New Roman" w:hAnsi="Arial" w:cs="Arial"/>
          <w:lang w:eastAsia="en-US"/>
        </w:rPr>
      </w:pPr>
      <w:bookmarkStart w:id="85" w:name="_Hlk103071491"/>
    </w:p>
    <w:p w14:paraId="5CBF30F6" w14:textId="6EB073E7" w:rsidR="00891119" w:rsidRPr="003A2F86" w:rsidRDefault="00705AA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b/>
          <w:lang w:eastAsia="en-US"/>
        </w:rPr>
        <w:t>P</w:t>
      </w:r>
      <w:r w:rsidR="00891119" w:rsidRPr="003A2F86">
        <w:rPr>
          <w:rFonts w:ascii="Arial" w:eastAsia="Times New Roman" w:hAnsi="Arial" w:cs="Arial"/>
          <w:b/>
          <w:lang w:eastAsia="en-US"/>
        </w:rPr>
        <w:t xml:space="preserve">omoći </w:t>
      </w:r>
      <w:r w:rsidR="00891119" w:rsidRPr="003A2F86">
        <w:rPr>
          <w:rFonts w:ascii="Arial" w:eastAsia="Times New Roman" w:hAnsi="Arial" w:cs="Arial"/>
          <w:lang w:eastAsia="en-US"/>
        </w:rPr>
        <w:t>(</w:t>
      </w:r>
      <w:r w:rsidR="00891119" w:rsidRPr="003A2F86">
        <w:rPr>
          <w:rFonts w:ascii="Arial" w:eastAsia="Times New Roman" w:hAnsi="Arial" w:cs="Arial"/>
          <w:b/>
          <w:bCs/>
          <w:lang w:eastAsia="en-US"/>
        </w:rPr>
        <w:t>63</w:t>
      </w:r>
      <w:r w:rsidR="00891119" w:rsidRPr="003A2F86">
        <w:rPr>
          <w:rFonts w:ascii="Arial" w:eastAsia="Times New Roman" w:hAnsi="Arial" w:cs="Arial"/>
          <w:lang w:eastAsia="en-US"/>
        </w:rPr>
        <w:t>)</w:t>
      </w:r>
      <w:r w:rsidRPr="003A2F86">
        <w:rPr>
          <w:rFonts w:ascii="Arial" w:eastAsia="Times New Roman" w:hAnsi="Arial" w:cs="Arial"/>
          <w:lang w:eastAsia="en-US"/>
        </w:rPr>
        <w:t xml:space="preserve"> su planirane</w:t>
      </w:r>
      <w:r w:rsidR="00891119" w:rsidRPr="003A2F86">
        <w:rPr>
          <w:rFonts w:ascii="Arial" w:eastAsia="Times New Roman" w:hAnsi="Arial" w:cs="Arial"/>
          <w:lang w:eastAsia="en-US"/>
        </w:rPr>
        <w:t xml:space="preserve"> u ukupnom iznosu </w:t>
      </w:r>
      <w:r w:rsidR="00D074B8">
        <w:rPr>
          <w:rFonts w:ascii="Arial" w:eastAsia="Times New Roman" w:hAnsi="Arial" w:cs="Arial"/>
          <w:lang w:eastAsia="en-US"/>
        </w:rPr>
        <w:t>7.146.496</w:t>
      </w:r>
      <w:r w:rsidR="00393833" w:rsidRPr="003A2F86">
        <w:rPr>
          <w:rFonts w:ascii="Arial" w:eastAsia="Times New Roman" w:hAnsi="Arial" w:cs="Arial"/>
          <w:lang w:eastAsia="en-US"/>
        </w:rPr>
        <w:t xml:space="preserve"> €</w:t>
      </w:r>
      <w:r w:rsidR="00891119" w:rsidRPr="003A2F86">
        <w:rPr>
          <w:rFonts w:ascii="Arial" w:eastAsia="Times New Roman" w:hAnsi="Arial" w:cs="Arial"/>
          <w:lang w:eastAsia="en-US"/>
        </w:rPr>
        <w:t xml:space="preserve">, a ostvarene su u iznosu </w:t>
      </w:r>
      <w:bookmarkStart w:id="86" w:name="_Hlk145930765"/>
      <w:r w:rsidR="00D074B8">
        <w:rPr>
          <w:rFonts w:ascii="Arial" w:eastAsia="Times New Roman" w:hAnsi="Arial" w:cs="Arial"/>
          <w:lang w:eastAsia="en-US"/>
        </w:rPr>
        <w:t>2.703.614,20</w:t>
      </w:r>
      <w:r w:rsidR="00393833" w:rsidRPr="003A2F86">
        <w:rPr>
          <w:rFonts w:ascii="Arial" w:eastAsia="Times New Roman" w:hAnsi="Arial" w:cs="Arial"/>
          <w:lang w:eastAsia="en-US"/>
        </w:rPr>
        <w:t xml:space="preserve"> €</w:t>
      </w:r>
      <w:r w:rsidR="00891119" w:rsidRPr="003A2F86">
        <w:rPr>
          <w:rFonts w:ascii="Arial" w:eastAsia="Times New Roman" w:hAnsi="Arial" w:cs="Arial"/>
          <w:lang w:eastAsia="en-US"/>
        </w:rPr>
        <w:t xml:space="preserve"> </w:t>
      </w:r>
      <w:bookmarkEnd w:id="86"/>
      <w:r w:rsidR="00891119" w:rsidRPr="003A2F86">
        <w:rPr>
          <w:rFonts w:ascii="Arial" w:eastAsia="Times New Roman" w:hAnsi="Arial" w:cs="Arial"/>
          <w:lang w:eastAsia="en-US"/>
        </w:rPr>
        <w:t xml:space="preserve">što </w:t>
      </w:r>
      <w:r w:rsidR="009B1328" w:rsidRPr="003A2F86">
        <w:rPr>
          <w:rFonts w:ascii="Arial" w:eastAsia="Times New Roman" w:hAnsi="Arial" w:cs="Arial"/>
          <w:lang w:eastAsia="en-US"/>
        </w:rPr>
        <w:t xml:space="preserve">iznosi </w:t>
      </w:r>
      <w:r w:rsidR="00D074B8">
        <w:rPr>
          <w:rFonts w:ascii="Arial" w:eastAsia="Times New Roman" w:hAnsi="Arial" w:cs="Arial"/>
          <w:lang w:eastAsia="en-US"/>
        </w:rPr>
        <w:t>37,8</w:t>
      </w:r>
      <w:r w:rsidR="00155A53" w:rsidRPr="003A2F86">
        <w:rPr>
          <w:rFonts w:ascii="Arial" w:eastAsia="Times New Roman" w:hAnsi="Arial" w:cs="Arial"/>
          <w:lang w:eastAsia="en-US"/>
        </w:rPr>
        <w:t>%</w:t>
      </w:r>
      <w:r w:rsidR="00891119" w:rsidRPr="003A2F86">
        <w:rPr>
          <w:rFonts w:ascii="Arial" w:eastAsia="Times New Roman" w:hAnsi="Arial" w:cs="Arial"/>
          <w:lang w:eastAsia="en-US"/>
        </w:rPr>
        <w:t xml:space="preserve"> </w:t>
      </w:r>
      <w:r w:rsidR="00242F6C" w:rsidRPr="003A2F86">
        <w:rPr>
          <w:rFonts w:ascii="Arial" w:eastAsia="Times New Roman" w:hAnsi="Arial" w:cs="Arial"/>
          <w:lang w:eastAsia="en-US"/>
        </w:rPr>
        <w:t xml:space="preserve">godišnjeg </w:t>
      </w:r>
      <w:r w:rsidR="00891119" w:rsidRPr="003A2F86">
        <w:rPr>
          <w:rFonts w:ascii="Arial" w:eastAsia="Times New Roman" w:hAnsi="Arial" w:cs="Arial"/>
          <w:lang w:eastAsia="en-US"/>
        </w:rPr>
        <w:t xml:space="preserve">plana. </w:t>
      </w:r>
      <w:r w:rsidR="00AF70AF" w:rsidRPr="003A2F86">
        <w:rPr>
          <w:rFonts w:ascii="Arial" w:eastAsia="Times New Roman" w:hAnsi="Arial" w:cs="Arial"/>
          <w:lang w:eastAsia="en-US"/>
        </w:rPr>
        <w:t xml:space="preserve">Vrijednosno </w:t>
      </w:r>
      <w:r w:rsidR="00B02AB7" w:rsidRPr="003A2F86">
        <w:rPr>
          <w:rFonts w:ascii="Arial" w:eastAsia="Times New Roman" w:hAnsi="Arial" w:cs="Arial"/>
          <w:lang w:eastAsia="en-US"/>
        </w:rPr>
        <w:t xml:space="preserve">najznačajnija planirana sredstva pomoći se odnose na </w:t>
      </w:r>
      <w:r w:rsidR="00AF70AF" w:rsidRPr="003A2F86">
        <w:rPr>
          <w:rFonts w:ascii="Arial" w:eastAsia="Times New Roman" w:hAnsi="Arial" w:cs="Arial"/>
          <w:lang w:eastAsia="en-US"/>
        </w:rPr>
        <w:t xml:space="preserve">pomoći za </w:t>
      </w:r>
      <w:r w:rsidR="00D074B8">
        <w:rPr>
          <w:rFonts w:ascii="Arial" w:eastAsia="Times New Roman" w:hAnsi="Arial" w:cs="Arial"/>
          <w:lang w:eastAsia="en-US"/>
        </w:rPr>
        <w:t>i</w:t>
      </w:r>
      <w:r w:rsidR="00B02AB7" w:rsidRPr="003A2F86">
        <w:rPr>
          <w:rFonts w:ascii="Arial" w:eastAsia="Times New Roman" w:hAnsi="Arial" w:cs="Arial"/>
          <w:lang w:eastAsia="en-US"/>
        </w:rPr>
        <w:t>zgradnju osnovne škole u Cavtatu</w:t>
      </w:r>
      <w:r w:rsidR="00A80E39" w:rsidRPr="003A2F86">
        <w:rPr>
          <w:rFonts w:ascii="Arial" w:eastAsia="Times New Roman" w:hAnsi="Arial" w:cs="Arial"/>
          <w:lang w:eastAsia="en-US"/>
        </w:rPr>
        <w:t>.</w:t>
      </w:r>
    </w:p>
    <w:p w14:paraId="3C798AF3" w14:textId="1DD45470" w:rsidR="00960E0D" w:rsidRPr="003A2F86" w:rsidRDefault="00960E0D" w:rsidP="00960E0D">
      <w:pPr>
        <w:tabs>
          <w:tab w:val="left" w:pos="567"/>
        </w:tabs>
        <w:spacing w:after="0" w:line="240" w:lineRule="auto"/>
        <w:jc w:val="both"/>
        <w:rPr>
          <w:rFonts w:ascii="Arial" w:eastAsia="Times New Roman" w:hAnsi="Arial" w:cs="Arial"/>
          <w:lang w:eastAsia="en-US"/>
        </w:rPr>
      </w:pPr>
    </w:p>
    <w:p w14:paraId="40BA21D4" w14:textId="6E73ACA9" w:rsidR="00960E0D" w:rsidRPr="003A2F86" w:rsidRDefault="00AF70AF" w:rsidP="00960E0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bCs/>
          <w:iCs/>
        </w:rPr>
      </w:pPr>
      <w:r w:rsidRPr="003A2F86">
        <w:rPr>
          <w:rFonts w:ascii="Arial" w:hAnsi="Arial" w:cs="Arial"/>
          <w:bCs/>
          <w:iCs/>
        </w:rPr>
        <w:t xml:space="preserve">Pomoći iz inozemstva (darovnice) i od subjekata unutar općeg proračuna (63) ostvareni su u iznosu </w:t>
      </w:r>
      <w:r w:rsidR="00F47981">
        <w:rPr>
          <w:rFonts w:ascii="Arial" w:hAnsi="Arial" w:cs="Arial"/>
          <w:bCs/>
          <w:iCs/>
        </w:rPr>
        <w:t>2.703.614,20</w:t>
      </w:r>
      <w:r w:rsidRPr="003A2F86">
        <w:rPr>
          <w:rFonts w:ascii="Arial" w:hAnsi="Arial" w:cs="Arial"/>
          <w:bCs/>
          <w:iCs/>
        </w:rPr>
        <w:t xml:space="preserve"> € što je za </w:t>
      </w:r>
      <w:r w:rsidR="00F47981">
        <w:rPr>
          <w:rFonts w:ascii="Arial" w:hAnsi="Arial" w:cs="Arial"/>
          <w:bCs/>
          <w:iCs/>
        </w:rPr>
        <w:t>2.423.274,99</w:t>
      </w:r>
      <w:r w:rsidRPr="003A2F86">
        <w:rPr>
          <w:rFonts w:ascii="Arial" w:hAnsi="Arial" w:cs="Arial"/>
          <w:bCs/>
          <w:iCs/>
        </w:rPr>
        <w:t xml:space="preserve"> € ili </w:t>
      </w:r>
      <w:r w:rsidR="00F47981">
        <w:rPr>
          <w:rFonts w:ascii="Arial" w:hAnsi="Arial" w:cs="Arial"/>
          <w:bCs/>
          <w:iCs/>
        </w:rPr>
        <w:t>864,4</w:t>
      </w:r>
      <w:r w:rsidRPr="003A2F86">
        <w:rPr>
          <w:rFonts w:ascii="Arial" w:hAnsi="Arial" w:cs="Arial"/>
          <w:bCs/>
          <w:iCs/>
        </w:rPr>
        <w:t xml:space="preserve">% </w:t>
      </w:r>
      <w:r w:rsidR="00B02AB7" w:rsidRPr="003A2F86">
        <w:rPr>
          <w:rFonts w:ascii="Arial" w:hAnsi="Arial" w:cs="Arial"/>
          <w:bCs/>
          <w:iCs/>
        </w:rPr>
        <w:t>manje</w:t>
      </w:r>
      <w:r w:rsidRPr="003A2F86">
        <w:rPr>
          <w:rFonts w:ascii="Arial" w:hAnsi="Arial" w:cs="Arial"/>
          <w:bCs/>
          <w:iCs/>
        </w:rPr>
        <w:t xml:space="preserve"> u odnosu na prethodnu godinu. Vrijednosno najznačajnij</w:t>
      </w:r>
      <w:r w:rsidR="00B02AB7" w:rsidRPr="003A2F86">
        <w:rPr>
          <w:rFonts w:ascii="Arial" w:hAnsi="Arial" w:cs="Arial"/>
          <w:bCs/>
          <w:iCs/>
        </w:rPr>
        <w:t xml:space="preserve">i prihodi prethodne godine su se odnosili na </w:t>
      </w:r>
      <w:r w:rsidR="00CC68AE" w:rsidRPr="003A2F86">
        <w:rPr>
          <w:rFonts w:ascii="Arial" w:hAnsi="Arial" w:cs="Arial"/>
          <w:bCs/>
          <w:iCs/>
        </w:rPr>
        <w:t>refundirana sredstva</w:t>
      </w:r>
      <w:r w:rsidRPr="003A2F86">
        <w:rPr>
          <w:rFonts w:ascii="Arial" w:hAnsi="Arial" w:cs="Arial"/>
          <w:bCs/>
          <w:iCs/>
        </w:rPr>
        <w:t xml:space="preserve"> za provedbu projekata sufinanciranih sredstvima državnog proračuna i EU sredstvima.</w:t>
      </w:r>
    </w:p>
    <w:p w14:paraId="70D54AB2" w14:textId="77777777" w:rsidR="00AF70AF" w:rsidRPr="003A2F86" w:rsidRDefault="00AF70AF" w:rsidP="00960E0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6F63AFD1" w14:textId="64D5A566" w:rsidR="00923EB7" w:rsidRPr="003A2F86" w:rsidRDefault="00AF70AF" w:rsidP="00923E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color w:val="1F497D" w:themeColor="text2"/>
        </w:rPr>
      </w:pPr>
      <w:r w:rsidRPr="003A2F86">
        <w:rPr>
          <w:rFonts w:ascii="Arial" w:hAnsi="Arial" w:cs="Arial"/>
          <w:color w:val="1F497D" w:themeColor="text2"/>
        </w:rPr>
        <w:t xml:space="preserve">Ukupni prihodi od pomoći (63) Općine iznose </w:t>
      </w:r>
      <w:r w:rsidR="00A448CE">
        <w:rPr>
          <w:rFonts w:ascii="Arial" w:hAnsi="Arial" w:cs="Arial"/>
          <w:color w:val="1F497D" w:themeColor="text2"/>
        </w:rPr>
        <w:t>2.673.965,20</w:t>
      </w:r>
      <w:r w:rsidRPr="003A2F86">
        <w:rPr>
          <w:rFonts w:ascii="Arial" w:hAnsi="Arial" w:cs="Arial"/>
          <w:color w:val="1F497D" w:themeColor="text2"/>
        </w:rPr>
        <w:t xml:space="preserve"> €, a prihodi proračunskih korisnika iznose </w:t>
      </w:r>
      <w:r w:rsidR="00A448CE">
        <w:rPr>
          <w:rFonts w:ascii="Arial" w:hAnsi="Arial" w:cs="Arial"/>
          <w:color w:val="1F497D" w:themeColor="text2"/>
        </w:rPr>
        <w:t>29.649</w:t>
      </w:r>
      <w:r w:rsidRPr="003A2F86">
        <w:rPr>
          <w:rFonts w:ascii="Arial" w:hAnsi="Arial" w:cs="Arial"/>
          <w:color w:val="1F497D" w:themeColor="text2"/>
        </w:rPr>
        <w:t xml:space="preserve"> €.</w:t>
      </w:r>
    </w:p>
    <w:p w14:paraId="766A08D4" w14:textId="77777777" w:rsidR="00AF70AF" w:rsidRPr="003A2F86" w:rsidRDefault="00AF70AF" w:rsidP="00923E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5E5CDA0A" w14:textId="05732469" w:rsidR="00923EB7" w:rsidRPr="006222A2" w:rsidRDefault="00160D30"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Pr>
          <w:rFonts w:ascii="Arial" w:eastAsia="Times New Roman" w:hAnsi="Arial" w:cs="Arial"/>
          <w:sz w:val="18"/>
          <w:szCs w:val="18"/>
          <w:lang w:eastAsia="en-US"/>
        </w:rPr>
        <w:t>D</w:t>
      </w:r>
      <w:r w:rsidR="00923EB7" w:rsidRPr="006222A2">
        <w:rPr>
          <w:rFonts w:ascii="Arial" w:eastAsia="Times New Roman" w:hAnsi="Arial" w:cs="Arial"/>
          <w:sz w:val="18"/>
          <w:szCs w:val="18"/>
          <w:lang w:eastAsia="en-US"/>
        </w:rPr>
        <w:t xml:space="preserve">o konca 2017. godine na temelju Zakona o izvršavanju državnog proračuna i Zakona o regionalnom razvoju, u okviru ovih prihoda su se ostvarivali prihodi od </w:t>
      </w:r>
      <w:r w:rsidR="00923EB7" w:rsidRPr="006222A2">
        <w:rPr>
          <w:rFonts w:ascii="Arial" w:eastAsia="Times New Roman" w:hAnsi="Arial" w:cs="Arial"/>
          <w:sz w:val="18"/>
          <w:szCs w:val="18"/>
        </w:rPr>
        <w:t xml:space="preserve">pomoći iz državnog proračuna od ustupljenog </w:t>
      </w:r>
      <w:r w:rsidR="00923EB7" w:rsidRPr="006222A2">
        <w:rPr>
          <w:rFonts w:ascii="Arial" w:eastAsia="Times New Roman" w:hAnsi="Arial" w:cs="Arial"/>
          <w:sz w:val="18"/>
          <w:szCs w:val="18"/>
          <w:lang w:eastAsia="en-US"/>
        </w:rPr>
        <w:t xml:space="preserve">poreza na dobit (do ukidanja područja posebne državne skrbi koncem 2014.), odnosno prihoda od pomoći </w:t>
      </w:r>
      <w:r w:rsidR="00923EB7" w:rsidRPr="006222A2">
        <w:rPr>
          <w:rFonts w:ascii="Arial" w:eastAsia="Times New Roman" w:hAnsi="Arial" w:cs="Arial"/>
          <w:sz w:val="18"/>
          <w:szCs w:val="18"/>
        </w:rPr>
        <w:t xml:space="preserve">na temelju </w:t>
      </w:r>
      <w:r w:rsidR="00923EB7" w:rsidRPr="006222A2">
        <w:rPr>
          <w:rFonts w:ascii="Arial" w:eastAsia="Times New Roman" w:hAnsi="Arial" w:cs="Arial"/>
          <w:sz w:val="18"/>
          <w:szCs w:val="18"/>
          <w:lang w:eastAsia="en-US"/>
        </w:rPr>
        <w:t xml:space="preserve">prijelaznog razdoblja na ime manje ostvarenih prihoda. Ovi prihodi su 2012. iznosili čak </w:t>
      </w:r>
      <w:r w:rsidR="00483694" w:rsidRPr="006222A2">
        <w:rPr>
          <w:rFonts w:ascii="Arial" w:eastAsia="Times New Roman" w:hAnsi="Arial" w:cs="Arial"/>
          <w:sz w:val="18"/>
          <w:szCs w:val="18"/>
          <w:lang w:eastAsia="en-US"/>
        </w:rPr>
        <w:t>1.941.343,95 €</w:t>
      </w:r>
      <w:r w:rsidR="00923EB7" w:rsidRPr="006222A2">
        <w:rPr>
          <w:rFonts w:ascii="Arial" w:eastAsia="Times New Roman" w:hAnsi="Arial" w:cs="Arial"/>
          <w:sz w:val="18"/>
          <w:szCs w:val="18"/>
          <w:lang w:eastAsia="en-US"/>
        </w:rPr>
        <w:t xml:space="preserve">, dok su u 2017. godini </w:t>
      </w:r>
      <w:r w:rsidR="009B1328" w:rsidRPr="006222A2">
        <w:rPr>
          <w:rFonts w:ascii="Arial" w:eastAsia="Times New Roman" w:hAnsi="Arial" w:cs="Arial"/>
          <w:sz w:val="18"/>
          <w:szCs w:val="18"/>
          <w:lang w:eastAsia="en-US"/>
        </w:rPr>
        <w:t xml:space="preserve">iznosili </w:t>
      </w:r>
      <w:r w:rsidR="00483694" w:rsidRPr="006222A2">
        <w:rPr>
          <w:rFonts w:ascii="Arial" w:eastAsia="Times New Roman" w:hAnsi="Arial" w:cs="Arial"/>
          <w:sz w:val="18"/>
          <w:szCs w:val="18"/>
          <w:lang w:eastAsia="en-US"/>
        </w:rPr>
        <w:t>446.079,63 €</w:t>
      </w:r>
      <w:r w:rsidR="009B1328" w:rsidRPr="006222A2">
        <w:rPr>
          <w:rFonts w:ascii="Arial" w:eastAsia="Times New Roman" w:hAnsi="Arial" w:cs="Arial"/>
          <w:sz w:val="18"/>
          <w:szCs w:val="18"/>
          <w:lang w:eastAsia="en-US"/>
        </w:rPr>
        <w:t xml:space="preserve"> (2017. godine su ukinuti ovi prihodi)</w:t>
      </w:r>
      <w:r w:rsidR="00923EB7" w:rsidRPr="006222A2">
        <w:rPr>
          <w:rFonts w:ascii="Arial" w:eastAsia="Times New Roman" w:hAnsi="Arial" w:cs="Arial"/>
          <w:sz w:val="18"/>
          <w:szCs w:val="18"/>
          <w:lang w:eastAsia="en-US"/>
        </w:rPr>
        <w:t>.</w:t>
      </w:r>
    </w:p>
    <w:p w14:paraId="74553DDE" w14:textId="77777777" w:rsidR="00960E0D" w:rsidRDefault="00960E0D" w:rsidP="00960E0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20"/>
          <w:szCs w:val="20"/>
        </w:rPr>
      </w:pPr>
    </w:p>
    <w:p w14:paraId="3DBE786E" w14:textId="000C194B" w:rsidR="00847308" w:rsidRPr="003A2F86" w:rsidRDefault="00847308" w:rsidP="0084730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3A2F86">
        <w:rPr>
          <w:rFonts w:ascii="Arial" w:eastAsia="Times New Roman" w:hAnsi="Arial" w:cs="Arial"/>
          <w:lang w:eastAsia="en-US"/>
        </w:rPr>
        <w:t>Ostvarene pomoći (</w:t>
      </w:r>
      <w:r w:rsidRPr="003A2F86">
        <w:rPr>
          <w:rFonts w:ascii="Arial" w:eastAsia="Times New Roman" w:hAnsi="Arial" w:cs="Arial"/>
          <w:b/>
          <w:bCs/>
          <w:lang w:eastAsia="en-US"/>
        </w:rPr>
        <w:t>63</w:t>
      </w:r>
      <w:r w:rsidRPr="003A2F86">
        <w:rPr>
          <w:rFonts w:ascii="Arial" w:eastAsia="Times New Roman" w:hAnsi="Arial" w:cs="Arial"/>
          <w:lang w:eastAsia="en-US"/>
        </w:rPr>
        <w:t xml:space="preserve">) u </w:t>
      </w:r>
      <w:r w:rsidR="00A448CE">
        <w:rPr>
          <w:rFonts w:ascii="Arial" w:eastAsia="Times New Roman" w:hAnsi="Arial" w:cs="Arial"/>
          <w:lang w:eastAsia="en-US"/>
        </w:rPr>
        <w:t>1-6/</w:t>
      </w:r>
      <w:r w:rsidRPr="003A2F86">
        <w:rPr>
          <w:rFonts w:ascii="Arial" w:eastAsia="Times New Roman" w:hAnsi="Arial" w:cs="Arial"/>
          <w:lang w:eastAsia="en-US"/>
        </w:rPr>
        <w:t>202</w:t>
      </w:r>
      <w:r w:rsidR="00A448CE">
        <w:rPr>
          <w:rFonts w:ascii="Arial" w:eastAsia="Times New Roman" w:hAnsi="Arial" w:cs="Arial"/>
          <w:lang w:eastAsia="en-US"/>
        </w:rPr>
        <w:t>5</w:t>
      </w:r>
      <w:r w:rsidRPr="003A2F86">
        <w:rPr>
          <w:rFonts w:ascii="Arial" w:eastAsia="Times New Roman" w:hAnsi="Arial" w:cs="Arial"/>
          <w:lang w:eastAsia="en-US"/>
        </w:rPr>
        <w:t>. godini se odnose na pomoći od inozemnih vlada (</w:t>
      </w:r>
      <w:r w:rsidRPr="00847308">
        <w:rPr>
          <w:rFonts w:ascii="Arial" w:eastAsia="Times New Roman" w:hAnsi="Arial" w:cs="Arial"/>
          <w:b/>
          <w:bCs/>
          <w:lang w:eastAsia="en-US"/>
        </w:rPr>
        <w:t>631</w:t>
      </w:r>
      <w:r w:rsidRPr="003A2F86">
        <w:rPr>
          <w:rFonts w:ascii="Arial" w:eastAsia="Times New Roman" w:hAnsi="Arial" w:cs="Arial"/>
          <w:lang w:eastAsia="en-US"/>
        </w:rPr>
        <w:t xml:space="preserve">) u iznosu </w:t>
      </w:r>
      <w:r w:rsidR="00881BFF">
        <w:rPr>
          <w:rFonts w:ascii="Arial" w:eastAsia="Times New Roman" w:hAnsi="Arial" w:cs="Arial"/>
          <w:lang w:eastAsia="en-US"/>
        </w:rPr>
        <w:t>0</w:t>
      </w:r>
      <w:r w:rsidRPr="003A2F86">
        <w:rPr>
          <w:rFonts w:ascii="Arial" w:eastAsia="Times New Roman" w:hAnsi="Arial" w:cs="Arial"/>
          <w:lang w:eastAsia="en-US"/>
        </w:rPr>
        <w:t xml:space="preserve"> € (projekti sufinancirani EU sredstvima), pomoći od međunarodnih organizacija i institucija EU (</w:t>
      </w:r>
      <w:r w:rsidRPr="00847308">
        <w:rPr>
          <w:rFonts w:ascii="Arial" w:eastAsia="Times New Roman" w:hAnsi="Arial" w:cs="Arial"/>
          <w:b/>
          <w:bCs/>
          <w:lang w:eastAsia="en-US"/>
        </w:rPr>
        <w:t>632</w:t>
      </w:r>
      <w:r w:rsidRPr="003A2F86">
        <w:rPr>
          <w:rFonts w:ascii="Arial" w:eastAsia="Times New Roman" w:hAnsi="Arial" w:cs="Arial"/>
          <w:lang w:eastAsia="en-US"/>
        </w:rPr>
        <w:t xml:space="preserve">) u iznosu </w:t>
      </w:r>
      <w:bookmarkStart w:id="87" w:name="_Hlk145930808"/>
      <w:r w:rsidR="00881BFF">
        <w:rPr>
          <w:rFonts w:ascii="Arial" w:hAnsi="Arial" w:cs="Arial"/>
        </w:rPr>
        <w:t>2.409</w:t>
      </w:r>
      <w:r w:rsidRPr="003A2F86">
        <w:rPr>
          <w:rFonts w:ascii="Arial" w:hAnsi="Arial" w:cs="Arial"/>
        </w:rPr>
        <w:t xml:space="preserve"> €</w:t>
      </w:r>
      <w:r w:rsidRPr="003A2F86">
        <w:rPr>
          <w:rFonts w:ascii="Arial" w:eastAsia="Times New Roman" w:hAnsi="Arial" w:cs="Arial"/>
          <w:lang w:eastAsia="en-US"/>
        </w:rPr>
        <w:t xml:space="preserve"> </w:t>
      </w:r>
      <w:bookmarkEnd w:id="87"/>
      <w:r w:rsidRPr="003A2F86">
        <w:rPr>
          <w:rFonts w:ascii="Arial" w:eastAsia="Times New Roman" w:hAnsi="Arial" w:cs="Arial"/>
          <w:lang w:eastAsia="en-US"/>
        </w:rPr>
        <w:t>(projekt ERASMUS + ustanove Muzeji i galerije Konavala), pomoći proračunu iz drugih proračuna (</w:t>
      </w:r>
      <w:r w:rsidRPr="00847308">
        <w:rPr>
          <w:rFonts w:ascii="Arial" w:eastAsia="Times New Roman" w:hAnsi="Arial" w:cs="Arial"/>
          <w:b/>
          <w:bCs/>
          <w:lang w:eastAsia="en-US"/>
        </w:rPr>
        <w:t>633</w:t>
      </w:r>
      <w:r w:rsidRPr="003A2F86">
        <w:rPr>
          <w:rFonts w:ascii="Arial" w:eastAsia="Times New Roman" w:hAnsi="Arial" w:cs="Arial"/>
          <w:lang w:eastAsia="en-US"/>
        </w:rPr>
        <w:t xml:space="preserve">) u iznosu </w:t>
      </w:r>
      <w:r w:rsidR="00881BFF">
        <w:rPr>
          <w:rFonts w:ascii="Arial" w:eastAsia="Times New Roman" w:hAnsi="Arial" w:cs="Arial"/>
          <w:lang w:eastAsia="en-US"/>
        </w:rPr>
        <w:t>289.096,01</w:t>
      </w:r>
      <w:r w:rsidRPr="003A2F86">
        <w:rPr>
          <w:rFonts w:ascii="Arial" w:eastAsia="Times New Roman" w:hAnsi="Arial" w:cs="Arial"/>
          <w:lang w:eastAsia="en-US"/>
        </w:rPr>
        <w:t xml:space="preserve"> €, pomoći od izvanproračunskih korisnika (634) u iznosu </w:t>
      </w:r>
      <w:r w:rsidR="00881BFF">
        <w:rPr>
          <w:rFonts w:ascii="Arial" w:eastAsia="Times New Roman" w:hAnsi="Arial" w:cs="Arial"/>
          <w:lang w:eastAsia="en-US"/>
        </w:rPr>
        <w:t>0</w:t>
      </w:r>
      <w:r w:rsidRPr="003A2F86">
        <w:rPr>
          <w:rFonts w:ascii="Arial" w:eastAsia="Times New Roman" w:hAnsi="Arial" w:cs="Arial"/>
          <w:lang w:eastAsia="en-US"/>
        </w:rPr>
        <w:t xml:space="preserve"> €, pomoći izravnanja za decentralizirane funkcije (</w:t>
      </w:r>
      <w:r w:rsidRPr="00847308">
        <w:rPr>
          <w:rFonts w:ascii="Arial" w:eastAsia="Times New Roman" w:hAnsi="Arial" w:cs="Arial"/>
          <w:b/>
          <w:bCs/>
          <w:lang w:eastAsia="en-US"/>
        </w:rPr>
        <w:t>635</w:t>
      </w:r>
      <w:r w:rsidRPr="003A2F86">
        <w:rPr>
          <w:rFonts w:ascii="Arial" w:eastAsia="Times New Roman" w:hAnsi="Arial" w:cs="Arial"/>
          <w:lang w:eastAsia="en-US"/>
        </w:rPr>
        <w:t xml:space="preserve">) u iznosu </w:t>
      </w:r>
      <w:r w:rsidR="00881BFF">
        <w:rPr>
          <w:rFonts w:ascii="Arial" w:eastAsia="Times New Roman" w:hAnsi="Arial" w:cs="Arial"/>
          <w:lang w:eastAsia="en-US"/>
        </w:rPr>
        <w:t>113.000</w:t>
      </w:r>
      <w:r w:rsidRPr="003A2F86">
        <w:rPr>
          <w:rFonts w:ascii="Arial" w:eastAsia="Times New Roman" w:hAnsi="Arial" w:cs="Arial"/>
          <w:lang w:eastAsia="en-US"/>
        </w:rPr>
        <w:t xml:space="preserve"> €, pomoći proračunskim korisnicima iz proračuna koji im nije nadležan (</w:t>
      </w:r>
      <w:r w:rsidRPr="00847308">
        <w:rPr>
          <w:rFonts w:ascii="Arial" w:eastAsia="Times New Roman" w:hAnsi="Arial" w:cs="Arial"/>
          <w:b/>
          <w:bCs/>
          <w:lang w:eastAsia="en-US"/>
        </w:rPr>
        <w:t>636</w:t>
      </w:r>
      <w:r w:rsidRPr="003A2F86">
        <w:rPr>
          <w:rFonts w:ascii="Arial" w:eastAsia="Times New Roman" w:hAnsi="Arial" w:cs="Arial"/>
          <w:lang w:eastAsia="en-US"/>
        </w:rPr>
        <w:t xml:space="preserve">) u iznosu </w:t>
      </w:r>
      <w:r w:rsidR="00902D5F">
        <w:rPr>
          <w:rFonts w:ascii="Arial" w:eastAsia="Times New Roman" w:hAnsi="Arial" w:cs="Arial"/>
          <w:lang w:eastAsia="en-US"/>
        </w:rPr>
        <w:t>27.240</w:t>
      </w:r>
      <w:r w:rsidRPr="003A2F86">
        <w:rPr>
          <w:rFonts w:ascii="Arial" w:eastAsia="Times New Roman" w:hAnsi="Arial" w:cs="Arial"/>
          <w:lang w:eastAsia="en-US"/>
        </w:rPr>
        <w:t xml:space="preserve"> € </w:t>
      </w:r>
      <w:r w:rsidRPr="003A2F86">
        <w:rPr>
          <w:rFonts w:ascii="Arial" w:eastAsia="Times New Roman" w:hAnsi="Arial" w:cs="Arial"/>
        </w:rPr>
        <w:t>(pomoći od nadležnog ministarstva za sufinanciranje predškolskog odgoja, sufinanciranje projekata ustanove u kulturi, kao i djelatnosti u domu za starije)</w:t>
      </w:r>
      <w:r w:rsidRPr="003A2F86">
        <w:rPr>
          <w:rFonts w:ascii="Arial" w:eastAsia="Times New Roman" w:hAnsi="Arial" w:cs="Arial"/>
          <w:lang w:eastAsia="en-US"/>
        </w:rPr>
        <w:t>, te pomoći temeljem prijenosa EU sredstava (</w:t>
      </w:r>
      <w:r w:rsidRPr="00847308">
        <w:rPr>
          <w:rFonts w:ascii="Arial" w:eastAsia="Times New Roman" w:hAnsi="Arial" w:cs="Arial"/>
          <w:b/>
          <w:bCs/>
          <w:lang w:eastAsia="en-US"/>
        </w:rPr>
        <w:t>638</w:t>
      </w:r>
      <w:r w:rsidRPr="003A2F86">
        <w:rPr>
          <w:rFonts w:ascii="Arial" w:eastAsia="Times New Roman" w:hAnsi="Arial" w:cs="Arial"/>
          <w:lang w:eastAsia="en-US"/>
        </w:rPr>
        <w:t xml:space="preserve">) u iznosu </w:t>
      </w:r>
      <w:r w:rsidR="00902D5F">
        <w:rPr>
          <w:rFonts w:ascii="Arial" w:eastAsia="Times New Roman" w:hAnsi="Arial" w:cs="Arial"/>
          <w:lang w:eastAsia="en-US"/>
        </w:rPr>
        <w:t>2.271.869,19</w:t>
      </w:r>
      <w:r w:rsidRPr="003A2F86">
        <w:rPr>
          <w:rFonts w:ascii="Arial" w:eastAsia="Times New Roman" w:hAnsi="Arial" w:cs="Arial"/>
          <w:lang w:eastAsia="en-US"/>
        </w:rPr>
        <w:t xml:space="preserve"> €.</w:t>
      </w:r>
    </w:p>
    <w:p w14:paraId="48457545" w14:textId="77777777" w:rsidR="00847308" w:rsidRDefault="00847308" w:rsidP="00960E0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20"/>
          <w:szCs w:val="20"/>
        </w:rPr>
      </w:pPr>
    </w:p>
    <w:p w14:paraId="1C2C2A81" w14:textId="2A058C57" w:rsidR="00847308" w:rsidRPr="00847308" w:rsidRDefault="00847308" w:rsidP="0084730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hAnsi="Arial" w:cs="Arial"/>
          <w:b/>
          <w:bCs/>
          <w:i/>
          <w:iCs/>
        </w:rPr>
      </w:pPr>
      <w:r w:rsidRPr="00847308">
        <w:rPr>
          <w:rFonts w:ascii="Arial" w:hAnsi="Arial" w:cs="Arial"/>
          <w:b/>
          <w:bCs/>
          <w:i/>
          <w:iCs/>
        </w:rPr>
        <w:t>631</w:t>
      </w:r>
      <w:r w:rsidRPr="00847308">
        <w:rPr>
          <w:rFonts w:ascii="Arial" w:eastAsia="Times New Roman" w:hAnsi="Arial" w:cs="Arial"/>
          <w:b/>
          <w:bCs/>
          <w:i/>
          <w:iCs/>
          <w:lang w:eastAsia="en-US"/>
        </w:rPr>
        <w:t xml:space="preserve"> Pomoći od inozemnih vlada</w:t>
      </w:r>
    </w:p>
    <w:p w14:paraId="662E42C5" w14:textId="77777777" w:rsidR="00847308" w:rsidRDefault="00847308" w:rsidP="00902D5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20"/>
          <w:szCs w:val="20"/>
        </w:rPr>
      </w:pPr>
    </w:p>
    <w:p w14:paraId="4A9EA92A" w14:textId="77777777" w:rsidR="00847308" w:rsidRPr="00902D5F" w:rsidRDefault="00847308" w:rsidP="0084730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902D5F">
        <w:rPr>
          <w:rFonts w:ascii="Arial" w:eastAsia="Times New Roman" w:hAnsi="Arial" w:cs="Arial"/>
          <w:sz w:val="18"/>
          <w:szCs w:val="18"/>
          <w:lang w:eastAsia="en-US"/>
        </w:rPr>
        <w:t xml:space="preserve">U </w:t>
      </w:r>
      <w:r w:rsidRPr="00DC3997">
        <w:rPr>
          <w:rFonts w:ascii="Arial" w:eastAsia="Times New Roman" w:hAnsi="Arial" w:cs="Arial"/>
          <w:b/>
          <w:bCs/>
          <w:sz w:val="18"/>
          <w:szCs w:val="18"/>
          <w:lang w:eastAsia="en-US"/>
        </w:rPr>
        <w:t>2024</w:t>
      </w:r>
      <w:r w:rsidRPr="00902D5F">
        <w:rPr>
          <w:rFonts w:ascii="Arial" w:eastAsia="Times New Roman" w:hAnsi="Arial" w:cs="Arial"/>
          <w:sz w:val="18"/>
          <w:szCs w:val="18"/>
          <w:lang w:eastAsia="en-US"/>
        </w:rPr>
        <w:t>. prihodi od pomoći od inozemnih vlada (</w:t>
      </w:r>
      <w:r w:rsidRPr="00902D5F">
        <w:rPr>
          <w:rFonts w:ascii="Arial" w:eastAsia="Times New Roman" w:hAnsi="Arial" w:cs="Arial"/>
          <w:b/>
          <w:bCs/>
          <w:sz w:val="18"/>
          <w:szCs w:val="18"/>
          <w:lang w:eastAsia="en-US"/>
        </w:rPr>
        <w:t>631</w:t>
      </w:r>
      <w:r w:rsidRPr="00902D5F">
        <w:rPr>
          <w:rFonts w:ascii="Arial" w:eastAsia="Times New Roman" w:hAnsi="Arial" w:cs="Arial"/>
          <w:sz w:val="18"/>
          <w:szCs w:val="18"/>
          <w:lang w:eastAsia="en-US"/>
        </w:rPr>
        <w:t>) su ostvareni u iznosu 288.576,59 € (predujmovi za provedbu projekata doznačili projektni partneri), a odnose se na prihode za:</w:t>
      </w:r>
    </w:p>
    <w:p w14:paraId="43CC9D21" w14:textId="77777777" w:rsidR="00847308" w:rsidRPr="00902D5F" w:rsidRDefault="00847308" w:rsidP="00847308">
      <w:pPr>
        <w:numPr>
          <w:ilvl w:val="0"/>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902D5F">
        <w:rPr>
          <w:rFonts w:ascii="Arial" w:eastAsia="Times New Roman" w:hAnsi="Arial" w:cs="Arial"/>
          <w:sz w:val="18"/>
          <w:szCs w:val="18"/>
          <w:lang w:eastAsia="en-US"/>
        </w:rPr>
        <w:t>projekt To 0 Waste, sufinanciranje projekta u iznosu 154.743,59 €,</w:t>
      </w:r>
    </w:p>
    <w:p w14:paraId="04940655" w14:textId="77777777" w:rsidR="00847308" w:rsidRPr="00902D5F" w:rsidRDefault="00847308" w:rsidP="00847308">
      <w:pPr>
        <w:numPr>
          <w:ilvl w:val="0"/>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902D5F">
        <w:rPr>
          <w:rFonts w:ascii="Arial" w:eastAsia="Times New Roman" w:hAnsi="Arial" w:cs="Arial"/>
          <w:sz w:val="18"/>
          <w:szCs w:val="18"/>
          <w:lang w:eastAsia="en-US"/>
        </w:rPr>
        <w:t xml:space="preserve">projekt Waterlink, sufinanciranje projekta u iznosu 133.833,00 €. </w:t>
      </w:r>
    </w:p>
    <w:p w14:paraId="0FAD0EE6" w14:textId="77777777" w:rsidR="00DC3997" w:rsidRDefault="00DC3997" w:rsidP="00DC39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20"/>
          <w:szCs w:val="20"/>
        </w:rPr>
      </w:pPr>
    </w:p>
    <w:p w14:paraId="51DDF923" w14:textId="4BAB8F80" w:rsidR="00DC3997" w:rsidRDefault="00DC3997" w:rsidP="00DC39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U </w:t>
      </w:r>
      <w:r w:rsidRPr="00DC3997">
        <w:rPr>
          <w:rFonts w:ascii="Arial" w:hAnsi="Arial" w:cs="Arial"/>
          <w:b/>
          <w:bCs/>
          <w:sz w:val="20"/>
          <w:szCs w:val="20"/>
        </w:rPr>
        <w:t>prvom polugodištu 2025.</w:t>
      </w:r>
      <w:r>
        <w:rPr>
          <w:rFonts w:ascii="Arial" w:hAnsi="Arial" w:cs="Arial"/>
          <w:sz w:val="20"/>
          <w:szCs w:val="20"/>
        </w:rPr>
        <w:t xml:space="preserve"> godine nije bilo pomoći od inozemnih vlada (631). </w:t>
      </w:r>
    </w:p>
    <w:p w14:paraId="617188F9" w14:textId="77777777" w:rsidR="00847308" w:rsidRPr="00847308" w:rsidRDefault="00847308" w:rsidP="0084730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153D3210" w14:textId="105C5949" w:rsidR="00847308" w:rsidRPr="00847308" w:rsidRDefault="00847308" w:rsidP="0084730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hAnsi="Arial" w:cs="Arial"/>
          <w:b/>
          <w:bCs/>
          <w:i/>
          <w:iCs/>
        </w:rPr>
      </w:pPr>
      <w:r w:rsidRPr="00847308">
        <w:rPr>
          <w:rFonts w:ascii="Arial" w:hAnsi="Arial" w:cs="Arial"/>
          <w:b/>
          <w:bCs/>
          <w:i/>
          <w:iCs/>
        </w:rPr>
        <w:t>63</w:t>
      </w:r>
      <w:r>
        <w:rPr>
          <w:rFonts w:ascii="Arial" w:hAnsi="Arial" w:cs="Arial"/>
          <w:b/>
          <w:bCs/>
          <w:i/>
          <w:iCs/>
        </w:rPr>
        <w:t>2</w:t>
      </w:r>
      <w:r w:rsidRPr="00847308">
        <w:rPr>
          <w:rFonts w:ascii="Arial" w:eastAsia="Times New Roman" w:hAnsi="Arial" w:cs="Arial"/>
          <w:b/>
          <w:bCs/>
          <w:i/>
          <w:iCs/>
          <w:lang w:eastAsia="en-US"/>
        </w:rPr>
        <w:t xml:space="preserve"> Pomoći od </w:t>
      </w:r>
      <w:r>
        <w:rPr>
          <w:rFonts w:ascii="Arial" w:eastAsia="Times New Roman" w:hAnsi="Arial" w:cs="Arial"/>
          <w:b/>
          <w:bCs/>
          <w:i/>
          <w:iCs/>
          <w:lang w:eastAsia="en-US"/>
        </w:rPr>
        <w:t>međunarodnih organizacija, te institucija i tijela EU</w:t>
      </w:r>
    </w:p>
    <w:p w14:paraId="156BC336" w14:textId="77777777" w:rsidR="00847308" w:rsidRDefault="00847308" w:rsidP="00960E0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20"/>
          <w:szCs w:val="20"/>
        </w:rPr>
      </w:pPr>
    </w:p>
    <w:p w14:paraId="72CEFDCA" w14:textId="77777777" w:rsidR="00F019CF" w:rsidRPr="003A2F86" w:rsidRDefault="00FA2A6C" w:rsidP="006222A2">
      <w:pPr>
        <w:overflowPunct w:val="0"/>
        <w:autoSpaceDE w:val="0"/>
        <w:autoSpaceDN w:val="0"/>
        <w:adjustRightInd w:val="0"/>
        <w:spacing w:after="0" w:line="240" w:lineRule="auto"/>
        <w:ind w:left="567" w:hanging="567"/>
        <w:jc w:val="both"/>
        <w:rPr>
          <w:rFonts w:ascii="Arial" w:hAnsi="Arial" w:cs="Arial"/>
          <w:sz w:val="18"/>
          <w:szCs w:val="18"/>
        </w:rPr>
      </w:pPr>
      <w:r w:rsidRPr="003A2F86">
        <w:rPr>
          <w:rFonts w:ascii="Arial" w:hAnsi="Arial" w:cs="Arial"/>
          <w:sz w:val="18"/>
          <w:szCs w:val="18"/>
        </w:rPr>
        <w:t>Pomoći od međunarodnih organizacija, te institucija i tijela EU (</w:t>
      </w:r>
      <w:r w:rsidRPr="003A2F86">
        <w:rPr>
          <w:rFonts w:ascii="Arial" w:hAnsi="Arial" w:cs="Arial"/>
          <w:b/>
          <w:bCs/>
          <w:sz w:val="18"/>
          <w:szCs w:val="18"/>
        </w:rPr>
        <w:t>632</w:t>
      </w:r>
      <w:r w:rsidRPr="003A2F86">
        <w:rPr>
          <w:rFonts w:ascii="Arial" w:hAnsi="Arial" w:cs="Arial"/>
          <w:sz w:val="18"/>
          <w:szCs w:val="18"/>
        </w:rPr>
        <w:t xml:space="preserve">) </w:t>
      </w:r>
      <w:r w:rsidRPr="003A2F86">
        <w:rPr>
          <w:rFonts w:ascii="Arial" w:hAnsi="Arial" w:cs="Arial"/>
          <w:b/>
          <w:bCs/>
          <w:sz w:val="18"/>
          <w:szCs w:val="18"/>
          <w:u w:val="single"/>
        </w:rPr>
        <w:t>u 2019</w:t>
      </w:r>
      <w:r w:rsidRPr="003A2F86">
        <w:rPr>
          <w:rFonts w:ascii="Arial" w:hAnsi="Arial" w:cs="Arial"/>
          <w:sz w:val="18"/>
          <w:szCs w:val="18"/>
        </w:rPr>
        <w:t xml:space="preserve">. godini su bile ostvarene u iznosu </w:t>
      </w:r>
      <w:r w:rsidR="00F019CF" w:rsidRPr="003A2F86">
        <w:rPr>
          <w:rFonts w:ascii="Arial" w:hAnsi="Arial" w:cs="Arial"/>
          <w:sz w:val="18"/>
          <w:szCs w:val="18"/>
        </w:rPr>
        <w:t>5.467,03 €</w:t>
      </w:r>
      <w:r w:rsidRPr="003A2F86">
        <w:rPr>
          <w:rFonts w:ascii="Arial" w:hAnsi="Arial" w:cs="Arial"/>
          <w:sz w:val="18"/>
          <w:szCs w:val="18"/>
        </w:rPr>
        <w:t xml:space="preserve"> i to za sufinanciranje provedbe projekta PART-HER u iznosu </w:t>
      </w:r>
      <w:r w:rsidR="00F019CF" w:rsidRPr="003A2F86">
        <w:rPr>
          <w:rFonts w:ascii="Arial" w:hAnsi="Arial" w:cs="Arial"/>
          <w:sz w:val="18"/>
          <w:szCs w:val="18"/>
        </w:rPr>
        <w:t>4.867,56 €</w:t>
      </w:r>
      <w:r w:rsidRPr="003A2F86">
        <w:rPr>
          <w:rFonts w:ascii="Arial" w:hAnsi="Arial" w:cs="Arial"/>
          <w:sz w:val="18"/>
          <w:szCs w:val="18"/>
        </w:rPr>
        <w:t xml:space="preserve"> (50% sredstava predviđenih ugovorom), te za putne troškove za sudjelovanje na konferenciji u Bukureštu</w:t>
      </w:r>
      <w:r w:rsidR="00F019CF" w:rsidRPr="003A2F86">
        <w:rPr>
          <w:rFonts w:ascii="Arial" w:hAnsi="Arial" w:cs="Arial"/>
          <w:sz w:val="18"/>
          <w:szCs w:val="18"/>
        </w:rPr>
        <w:t xml:space="preserve"> 599,47 €</w:t>
      </w:r>
      <w:r w:rsidRPr="003A2F86">
        <w:rPr>
          <w:rFonts w:ascii="Arial" w:hAnsi="Arial" w:cs="Arial"/>
          <w:sz w:val="18"/>
          <w:szCs w:val="18"/>
        </w:rPr>
        <w:t xml:space="preserve">. </w:t>
      </w:r>
    </w:p>
    <w:p w14:paraId="03214D9E" w14:textId="77777777" w:rsidR="00DB141A" w:rsidRPr="003A2F86" w:rsidRDefault="00DB141A" w:rsidP="006222A2">
      <w:pPr>
        <w:overflowPunct w:val="0"/>
        <w:autoSpaceDE w:val="0"/>
        <w:autoSpaceDN w:val="0"/>
        <w:adjustRightInd w:val="0"/>
        <w:spacing w:after="0" w:line="240" w:lineRule="auto"/>
        <w:ind w:left="567" w:hanging="567"/>
        <w:jc w:val="both"/>
        <w:rPr>
          <w:rFonts w:ascii="Arial" w:hAnsi="Arial" w:cs="Arial"/>
          <w:sz w:val="18"/>
          <w:szCs w:val="18"/>
        </w:rPr>
      </w:pPr>
    </w:p>
    <w:p w14:paraId="34A7A4C5" w14:textId="40FC2D50" w:rsidR="00FA2A6C" w:rsidRPr="003A2F86" w:rsidRDefault="00FA2A6C" w:rsidP="006222A2">
      <w:pPr>
        <w:overflowPunct w:val="0"/>
        <w:autoSpaceDE w:val="0"/>
        <w:autoSpaceDN w:val="0"/>
        <w:adjustRightInd w:val="0"/>
        <w:spacing w:after="0" w:line="240" w:lineRule="auto"/>
        <w:ind w:left="567" w:hanging="567"/>
        <w:jc w:val="both"/>
        <w:rPr>
          <w:rFonts w:ascii="Arial" w:hAnsi="Arial" w:cs="Arial"/>
          <w:sz w:val="18"/>
          <w:szCs w:val="18"/>
        </w:rPr>
      </w:pPr>
      <w:r w:rsidRPr="003A2F86">
        <w:rPr>
          <w:rFonts w:ascii="Arial" w:hAnsi="Arial" w:cs="Arial"/>
          <w:sz w:val="18"/>
          <w:szCs w:val="18"/>
        </w:rPr>
        <w:t xml:space="preserve">U </w:t>
      </w:r>
      <w:r w:rsidRPr="003A2F86">
        <w:rPr>
          <w:rFonts w:ascii="Arial" w:hAnsi="Arial" w:cs="Arial"/>
          <w:b/>
          <w:bCs/>
          <w:sz w:val="18"/>
          <w:szCs w:val="18"/>
          <w:u w:val="single"/>
        </w:rPr>
        <w:t>2020.</w:t>
      </w:r>
      <w:r w:rsidRPr="003A2F86">
        <w:rPr>
          <w:rFonts w:ascii="Arial" w:hAnsi="Arial" w:cs="Arial"/>
          <w:sz w:val="18"/>
          <w:szCs w:val="18"/>
        </w:rPr>
        <w:t xml:space="preserve"> prihodi </w:t>
      </w:r>
      <w:r w:rsidR="00847308">
        <w:rPr>
          <w:rFonts w:ascii="Arial" w:hAnsi="Arial" w:cs="Arial"/>
          <w:sz w:val="18"/>
          <w:szCs w:val="18"/>
        </w:rPr>
        <w:t xml:space="preserve">u okviru </w:t>
      </w:r>
      <w:r w:rsidR="00847308" w:rsidRPr="00847308">
        <w:rPr>
          <w:rFonts w:ascii="Arial" w:hAnsi="Arial" w:cs="Arial"/>
          <w:b/>
          <w:bCs/>
          <w:sz w:val="18"/>
          <w:szCs w:val="18"/>
        </w:rPr>
        <w:t>632</w:t>
      </w:r>
      <w:r w:rsidR="00847308">
        <w:rPr>
          <w:rFonts w:ascii="Arial" w:hAnsi="Arial" w:cs="Arial"/>
          <w:sz w:val="18"/>
          <w:szCs w:val="18"/>
        </w:rPr>
        <w:t xml:space="preserve"> </w:t>
      </w:r>
      <w:r w:rsidRPr="003A2F86">
        <w:rPr>
          <w:rFonts w:ascii="Arial" w:hAnsi="Arial" w:cs="Arial"/>
          <w:sz w:val="18"/>
          <w:szCs w:val="18"/>
        </w:rPr>
        <w:t xml:space="preserve">su </w:t>
      </w:r>
      <w:r w:rsidR="00847308">
        <w:rPr>
          <w:rFonts w:ascii="Arial" w:hAnsi="Arial" w:cs="Arial"/>
          <w:sz w:val="18"/>
          <w:szCs w:val="18"/>
        </w:rPr>
        <w:t>iznosili</w:t>
      </w:r>
      <w:r w:rsidRPr="003A2F86">
        <w:rPr>
          <w:rFonts w:ascii="Arial" w:hAnsi="Arial" w:cs="Arial"/>
          <w:sz w:val="18"/>
          <w:szCs w:val="18"/>
        </w:rPr>
        <w:t xml:space="preserve"> </w:t>
      </w:r>
      <w:r w:rsidR="00F019CF" w:rsidRPr="003A2F86">
        <w:rPr>
          <w:rFonts w:ascii="Arial" w:hAnsi="Arial" w:cs="Arial"/>
          <w:sz w:val="18"/>
          <w:szCs w:val="18"/>
        </w:rPr>
        <w:t>5.790,17 €</w:t>
      </w:r>
      <w:r w:rsidRPr="003A2F86">
        <w:rPr>
          <w:rFonts w:ascii="Arial" w:hAnsi="Arial" w:cs="Arial"/>
          <w:sz w:val="18"/>
          <w:szCs w:val="18"/>
        </w:rPr>
        <w:t>, a odnosili su se na prihode za:</w:t>
      </w:r>
    </w:p>
    <w:p w14:paraId="3DD115E2" w14:textId="19F1033B" w:rsidR="00FF135B" w:rsidRDefault="00FA2A6C" w:rsidP="00BA51D8">
      <w:pPr>
        <w:numPr>
          <w:ilvl w:val="0"/>
          <w:numId w:val="15"/>
        </w:numPr>
        <w:overflowPunct w:val="0"/>
        <w:autoSpaceDE w:val="0"/>
        <w:autoSpaceDN w:val="0"/>
        <w:adjustRightInd w:val="0"/>
        <w:spacing w:after="0" w:line="240" w:lineRule="auto"/>
        <w:ind w:left="567" w:hanging="567"/>
        <w:jc w:val="both"/>
        <w:rPr>
          <w:rFonts w:ascii="Arial" w:hAnsi="Arial" w:cs="Arial"/>
          <w:sz w:val="18"/>
          <w:szCs w:val="18"/>
        </w:rPr>
      </w:pPr>
      <w:r w:rsidRPr="00FF135B">
        <w:rPr>
          <w:rFonts w:ascii="Arial" w:hAnsi="Arial" w:cs="Arial"/>
          <w:sz w:val="18"/>
          <w:szCs w:val="18"/>
        </w:rPr>
        <w:t xml:space="preserve">projekt ĆIRO II, sufinanciranje projekta u iznosu </w:t>
      </w:r>
      <w:r w:rsidR="00176298" w:rsidRPr="00FF135B">
        <w:rPr>
          <w:rFonts w:ascii="Arial" w:hAnsi="Arial" w:cs="Arial"/>
          <w:sz w:val="18"/>
          <w:szCs w:val="18"/>
        </w:rPr>
        <w:t>4.073,38 € (</w:t>
      </w:r>
      <w:r w:rsidRPr="00FF135B">
        <w:rPr>
          <w:rFonts w:ascii="Arial" w:hAnsi="Arial" w:cs="Arial"/>
          <w:sz w:val="18"/>
          <w:szCs w:val="18"/>
        </w:rPr>
        <w:t>30.690,89 kn</w:t>
      </w:r>
      <w:r w:rsidR="00176298" w:rsidRPr="00FF135B">
        <w:rPr>
          <w:rFonts w:ascii="Arial" w:hAnsi="Arial" w:cs="Arial"/>
          <w:sz w:val="18"/>
          <w:szCs w:val="18"/>
        </w:rPr>
        <w:t>)</w:t>
      </w:r>
      <w:r w:rsidRPr="00FF135B">
        <w:rPr>
          <w:rFonts w:ascii="Arial" w:hAnsi="Arial" w:cs="Arial"/>
          <w:sz w:val="18"/>
          <w:szCs w:val="18"/>
        </w:rPr>
        <w:t xml:space="preserve"> (udio sufinanciranja 85% prihvatljivih troškova)</w:t>
      </w:r>
    </w:p>
    <w:p w14:paraId="3C9C1F74" w14:textId="0A00051E" w:rsidR="00FA2A6C" w:rsidRPr="00FF135B" w:rsidRDefault="00FA2A6C" w:rsidP="00BA51D8">
      <w:pPr>
        <w:numPr>
          <w:ilvl w:val="0"/>
          <w:numId w:val="15"/>
        </w:numPr>
        <w:overflowPunct w:val="0"/>
        <w:autoSpaceDE w:val="0"/>
        <w:autoSpaceDN w:val="0"/>
        <w:adjustRightInd w:val="0"/>
        <w:spacing w:after="0" w:line="240" w:lineRule="auto"/>
        <w:ind w:left="567" w:hanging="567"/>
        <w:jc w:val="both"/>
        <w:rPr>
          <w:rFonts w:ascii="Arial" w:hAnsi="Arial" w:cs="Arial"/>
          <w:sz w:val="18"/>
          <w:szCs w:val="18"/>
        </w:rPr>
      </w:pPr>
      <w:r w:rsidRPr="00FF135B">
        <w:rPr>
          <w:rFonts w:ascii="Arial" w:hAnsi="Arial" w:cs="Arial"/>
          <w:sz w:val="18"/>
          <w:szCs w:val="18"/>
        </w:rPr>
        <w:t xml:space="preserve">projekt Flood &amp; fire, sufinanciranje projekta u iznosu </w:t>
      </w:r>
      <w:r w:rsidR="00176298" w:rsidRPr="00FF135B">
        <w:rPr>
          <w:rFonts w:ascii="Arial" w:hAnsi="Arial" w:cs="Arial"/>
          <w:sz w:val="18"/>
          <w:szCs w:val="18"/>
        </w:rPr>
        <w:t>1.716,79 €(</w:t>
      </w:r>
      <w:r w:rsidRPr="00FF135B">
        <w:rPr>
          <w:rFonts w:ascii="Arial" w:hAnsi="Arial" w:cs="Arial"/>
          <w:sz w:val="18"/>
          <w:szCs w:val="18"/>
        </w:rPr>
        <w:t>12.934,87 kn</w:t>
      </w:r>
      <w:r w:rsidR="00176298" w:rsidRPr="00FF135B">
        <w:rPr>
          <w:rFonts w:ascii="Arial" w:hAnsi="Arial" w:cs="Arial"/>
          <w:sz w:val="18"/>
          <w:szCs w:val="18"/>
        </w:rPr>
        <w:t>)</w:t>
      </w:r>
      <w:r w:rsidRPr="00FF135B">
        <w:rPr>
          <w:rFonts w:ascii="Arial" w:hAnsi="Arial" w:cs="Arial"/>
          <w:sz w:val="18"/>
          <w:szCs w:val="18"/>
        </w:rPr>
        <w:t xml:space="preserve"> (udio sufinanciranja 85% prihvatljivih troškova). </w:t>
      </w:r>
    </w:p>
    <w:p w14:paraId="4C6F6CD9" w14:textId="77777777" w:rsidR="00FA2A6C" w:rsidRPr="003A2F86" w:rsidRDefault="00FA2A6C" w:rsidP="006222A2">
      <w:pPr>
        <w:overflowPunct w:val="0"/>
        <w:autoSpaceDE w:val="0"/>
        <w:autoSpaceDN w:val="0"/>
        <w:adjustRightInd w:val="0"/>
        <w:spacing w:after="0" w:line="240" w:lineRule="auto"/>
        <w:ind w:left="567" w:hanging="567"/>
        <w:jc w:val="both"/>
        <w:rPr>
          <w:rFonts w:ascii="Arial" w:hAnsi="Arial" w:cs="Arial"/>
          <w:sz w:val="18"/>
          <w:szCs w:val="18"/>
        </w:rPr>
      </w:pPr>
    </w:p>
    <w:p w14:paraId="69AF9426" w14:textId="42A3B43A" w:rsidR="00FA2A6C" w:rsidRPr="003A2F86" w:rsidRDefault="00FA2A6C" w:rsidP="006222A2">
      <w:pPr>
        <w:overflowPunct w:val="0"/>
        <w:autoSpaceDE w:val="0"/>
        <w:autoSpaceDN w:val="0"/>
        <w:adjustRightInd w:val="0"/>
        <w:spacing w:after="0" w:line="240" w:lineRule="auto"/>
        <w:ind w:left="567" w:hanging="567"/>
        <w:jc w:val="both"/>
        <w:rPr>
          <w:rFonts w:ascii="Arial" w:hAnsi="Arial" w:cs="Arial"/>
          <w:sz w:val="18"/>
          <w:szCs w:val="18"/>
        </w:rPr>
      </w:pPr>
      <w:r w:rsidRPr="003A2F86">
        <w:rPr>
          <w:rFonts w:ascii="Arial" w:hAnsi="Arial" w:cs="Arial"/>
          <w:sz w:val="18"/>
          <w:szCs w:val="18"/>
        </w:rPr>
        <w:lastRenderedPageBreak/>
        <w:t xml:space="preserve">U </w:t>
      </w:r>
      <w:r w:rsidRPr="003A2F86">
        <w:rPr>
          <w:rFonts w:ascii="Arial" w:hAnsi="Arial" w:cs="Arial"/>
          <w:b/>
          <w:bCs/>
          <w:sz w:val="18"/>
          <w:szCs w:val="18"/>
          <w:u w:val="single"/>
        </w:rPr>
        <w:t>2021.</w:t>
      </w:r>
      <w:r w:rsidRPr="003A2F86">
        <w:rPr>
          <w:rFonts w:ascii="Arial" w:hAnsi="Arial" w:cs="Arial"/>
          <w:sz w:val="18"/>
          <w:szCs w:val="18"/>
        </w:rPr>
        <w:t xml:space="preserve"> prihodi </w:t>
      </w:r>
      <w:r w:rsidR="00847308">
        <w:rPr>
          <w:rFonts w:ascii="Arial" w:hAnsi="Arial" w:cs="Arial"/>
          <w:sz w:val="18"/>
          <w:szCs w:val="18"/>
        </w:rPr>
        <w:t xml:space="preserve">u okviru </w:t>
      </w:r>
      <w:r w:rsidRPr="003A2F86">
        <w:rPr>
          <w:rFonts w:ascii="Arial" w:hAnsi="Arial" w:cs="Arial"/>
          <w:b/>
          <w:bCs/>
          <w:sz w:val="18"/>
          <w:szCs w:val="18"/>
        </w:rPr>
        <w:t>632</w:t>
      </w:r>
      <w:r w:rsidRPr="003A2F86">
        <w:rPr>
          <w:rFonts w:ascii="Arial" w:hAnsi="Arial" w:cs="Arial"/>
          <w:sz w:val="18"/>
          <w:szCs w:val="18"/>
        </w:rPr>
        <w:t xml:space="preserve"> su </w:t>
      </w:r>
      <w:r w:rsidR="00847308">
        <w:rPr>
          <w:rFonts w:ascii="Arial" w:hAnsi="Arial" w:cs="Arial"/>
          <w:sz w:val="18"/>
          <w:szCs w:val="18"/>
        </w:rPr>
        <w:t>iznosili</w:t>
      </w:r>
      <w:r w:rsidRPr="003A2F86">
        <w:rPr>
          <w:rFonts w:ascii="Arial" w:hAnsi="Arial" w:cs="Arial"/>
          <w:sz w:val="18"/>
          <w:szCs w:val="18"/>
        </w:rPr>
        <w:t xml:space="preserve"> </w:t>
      </w:r>
      <w:r w:rsidR="00176298" w:rsidRPr="003A2F86">
        <w:rPr>
          <w:rFonts w:ascii="Arial" w:hAnsi="Arial" w:cs="Arial"/>
          <w:sz w:val="18"/>
          <w:szCs w:val="18"/>
        </w:rPr>
        <w:t>131.415,44 €</w:t>
      </w:r>
      <w:r w:rsidRPr="003A2F86">
        <w:rPr>
          <w:rFonts w:ascii="Arial" w:hAnsi="Arial" w:cs="Arial"/>
          <w:sz w:val="18"/>
          <w:szCs w:val="18"/>
        </w:rPr>
        <w:t xml:space="preserve"> a odnos</w:t>
      </w:r>
      <w:r w:rsidR="00847308">
        <w:rPr>
          <w:rFonts w:ascii="Arial" w:hAnsi="Arial" w:cs="Arial"/>
          <w:sz w:val="18"/>
          <w:szCs w:val="18"/>
        </w:rPr>
        <w:t xml:space="preserve">ili su </w:t>
      </w:r>
      <w:r w:rsidRPr="003A2F86">
        <w:rPr>
          <w:rFonts w:ascii="Arial" w:hAnsi="Arial" w:cs="Arial"/>
          <w:sz w:val="18"/>
          <w:szCs w:val="18"/>
        </w:rPr>
        <w:t>se na prihode za:</w:t>
      </w:r>
    </w:p>
    <w:p w14:paraId="0FD37569" w14:textId="7F837BDE" w:rsidR="00FA2A6C" w:rsidRPr="003A2F86" w:rsidRDefault="00FA2A6C" w:rsidP="006222A2">
      <w:pPr>
        <w:numPr>
          <w:ilvl w:val="0"/>
          <w:numId w:val="15"/>
        </w:numPr>
        <w:overflowPunct w:val="0"/>
        <w:autoSpaceDE w:val="0"/>
        <w:autoSpaceDN w:val="0"/>
        <w:adjustRightInd w:val="0"/>
        <w:spacing w:after="0" w:line="240" w:lineRule="auto"/>
        <w:ind w:left="567" w:hanging="567"/>
        <w:jc w:val="both"/>
        <w:rPr>
          <w:rFonts w:ascii="Arial" w:hAnsi="Arial" w:cs="Arial"/>
          <w:sz w:val="18"/>
          <w:szCs w:val="18"/>
        </w:rPr>
      </w:pPr>
      <w:r w:rsidRPr="003A2F86">
        <w:rPr>
          <w:rFonts w:ascii="Arial" w:hAnsi="Arial" w:cs="Arial"/>
          <w:sz w:val="18"/>
          <w:szCs w:val="18"/>
        </w:rPr>
        <w:t xml:space="preserve">projekt ĆIRO II, program Interreg, sufinanciranje projekta prekogranične suradnje u iznosu </w:t>
      </w:r>
      <w:r w:rsidR="00176298" w:rsidRPr="003A2F86">
        <w:rPr>
          <w:rFonts w:ascii="Arial" w:hAnsi="Arial" w:cs="Arial"/>
          <w:sz w:val="18"/>
          <w:szCs w:val="18"/>
        </w:rPr>
        <w:t>63.038,81 €(</w:t>
      </w:r>
      <w:r w:rsidRPr="003A2F86">
        <w:rPr>
          <w:rFonts w:ascii="Arial" w:hAnsi="Arial" w:cs="Arial"/>
          <w:sz w:val="18"/>
          <w:szCs w:val="18"/>
        </w:rPr>
        <w:t>474.965,94 kn</w:t>
      </w:r>
      <w:r w:rsidR="00176298" w:rsidRPr="003A2F86">
        <w:rPr>
          <w:rFonts w:ascii="Arial" w:hAnsi="Arial" w:cs="Arial"/>
          <w:sz w:val="18"/>
          <w:szCs w:val="18"/>
        </w:rPr>
        <w:t>)</w:t>
      </w:r>
      <w:r w:rsidRPr="003A2F86">
        <w:rPr>
          <w:rFonts w:ascii="Arial" w:hAnsi="Arial" w:cs="Arial"/>
          <w:sz w:val="18"/>
          <w:szCs w:val="18"/>
        </w:rPr>
        <w:t>,</w:t>
      </w:r>
    </w:p>
    <w:p w14:paraId="3E4BFD6F" w14:textId="0E8883DF" w:rsidR="00FA2A6C" w:rsidRPr="003A2F86" w:rsidRDefault="00FA2A6C" w:rsidP="006222A2">
      <w:pPr>
        <w:numPr>
          <w:ilvl w:val="0"/>
          <w:numId w:val="15"/>
        </w:numPr>
        <w:overflowPunct w:val="0"/>
        <w:autoSpaceDE w:val="0"/>
        <w:autoSpaceDN w:val="0"/>
        <w:adjustRightInd w:val="0"/>
        <w:spacing w:after="0" w:line="240" w:lineRule="auto"/>
        <w:ind w:left="567" w:hanging="567"/>
        <w:jc w:val="both"/>
        <w:rPr>
          <w:rFonts w:ascii="Arial" w:hAnsi="Arial" w:cs="Arial"/>
          <w:sz w:val="18"/>
          <w:szCs w:val="18"/>
        </w:rPr>
      </w:pPr>
      <w:r w:rsidRPr="003A2F86">
        <w:rPr>
          <w:rFonts w:ascii="Arial" w:hAnsi="Arial" w:cs="Arial"/>
          <w:sz w:val="18"/>
          <w:szCs w:val="18"/>
        </w:rPr>
        <w:t xml:space="preserve">projekt Flood &amp; fire, program Interreg, sufinanciranje projekta prekogranične suradnje u iznosu </w:t>
      </w:r>
      <w:r w:rsidR="00C106EF" w:rsidRPr="003A2F86">
        <w:rPr>
          <w:rFonts w:ascii="Arial" w:hAnsi="Arial" w:cs="Arial"/>
          <w:sz w:val="18"/>
          <w:szCs w:val="18"/>
        </w:rPr>
        <w:t xml:space="preserve">40.034,16 € </w:t>
      </w:r>
      <w:r w:rsidR="00176298" w:rsidRPr="003A2F86">
        <w:rPr>
          <w:rFonts w:ascii="Arial" w:hAnsi="Arial" w:cs="Arial"/>
          <w:sz w:val="18"/>
          <w:szCs w:val="18"/>
        </w:rPr>
        <w:t>(</w:t>
      </w:r>
      <w:r w:rsidRPr="003A2F86">
        <w:rPr>
          <w:rFonts w:ascii="Arial" w:hAnsi="Arial" w:cs="Arial"/>
          <w:sz w:val="18"/>
          <w:szCs w:val="18"/>
        </w:rPr>
        <w:t>301.637,35 kn</w:t>
      </w:r>
      <w:r w:rsidR="00176298" w:rsidRPr="003A2F86">
        <w:rPr>
          <w:rFonts w:ascii="Arial" w:hAnsi="Arial" w:cs="Arial"/>
          <w:sz w:val="18"/>
          <w:szCs w:val="18"/>
        </w:rPr>
        <w:t>)</w:t>
      </w:r>
      <w:r w:rsidRPr="003A2F86">
        <w:rPr>
          <w:rFonts w:ascii="Arial" w:hAnsi="Arial" w:cs="Arial"/>
          <w:sz w:val="18"/>
          <w:szCs w:val="18"/>
        </w:rPr>
        <w:t>,</w:t>
      </w:r>
    </w:p>
    <w:p w14:paraId="04465F53" w14:textId="62B114F7" w:rsidR="00FA2A6C" w:rsidRPr="003A2F86" w:rsidRDefault="00FA2A6C" w:rsidP="006222A2">
      <w:pPr>
        <w:numPr>
          <w:ilvl w:val="0"/>
          <w:numId w:val="15"/>
        </w:numPr>
        <w:overflowPunct w:val="0"/>
        <w:autoSpaceDE w:val="0"/>
        <w:autoSpaceDN w:val="0"/>
        <w:adjustRightInd w:val="0"/>
        <w:spacing w:after="0" w:line="240" w:lineRule="auto"/>
        <w:ind w:left="567" w:hanging="567"/>
        <w:jc w:val="both"/>
        <w:rPr>
          <w:rFonts w:ascii="Arial" w:hAnsi="Arial" w:cs="Arial"/>
          <w:sz w:val="18"/>
          <w:szCs w:val="18"/>
        </w:rPr>
      </w:pPr>
      <w:r w:rsidRPr="003A2F86">
        <w:rPr>
          <w:rFonts w:ascii="Arial" w:hAnsi="Arial" w:cs="Arial"/>
          <w:sz w:val="18"/>
          <w:szCs w:val="18"/>
        </w:rPr>
        <w:t xml:space="preserve">projekt WiFi4EU – bežični Internet u iznosu </w:t>
      </w:r>
      <w:r w:rsidR="00C106EF" w:rsidRPr="003A2F86">
        <w:rPr>
          <w:rFonts w:ascii="Arial" w:hAnsi="Arial" w:cs="Arial"/>
          <w:sz w:val="18"/>
          <w:szCs w:val="18"/>
        </w:rPr>
        <w:t xml:space="preserve">14.971,63 € </w:t>
      </w:r>
      <w:r w:rsidR="00176298" w:rsidRPr="003A2F86">
        <w:rPr>
          <w:rFonts w:ascii="Arial" w:hAnsi="Arial" w:cs="Arial"/>
          <w:sz w:val="18"/>
          <w:szCs w:val="18"/>
        </w:rPr>
        <w:t>(</w:t>
      </w:r>
      <w:r w:rsidRPr="003A2F86">
        <w:rPr>
          <w:rFonts w:ascii="Arial" w:hAnsi="Arial" w:cs="Arial"/>
          <w:sz w:val="18"/>
          <w:szCs w:val="18"/>
        </w:rPr>
        <w:t>112.803,75 kn</w:t>
      </w:r>
      <w:r w:rsidR="00176298" w:rsidRPr="003A2F86">
        <w:rPr>
          <w:rFonts w:ascii="Arial" w:hAnsi="Arial" w:cs="Arial"/>
          <w:sz w:val="18"/>
          <w:szCs w:val="18"/>
        </w:rPr>
        <w:t>)</w:t>
      </w:r>
      <w:r w:rsidRPr="003A2F86">
        <w:rPr>
          <w:rFonts w:ascii="Arial" w:hAnsi="Arial" w:cs="Arial"/>
          <w:sz w:val="18"/>
          <w:szCs w:val="18"/>
        </w:rPr>
        <w:t xml:space="preserve">, te </w:t>
      </w:r>
    </w:p>
    <w:p w14:paraId="1AC39805" w14:textId="51D46A1A" w:rsidR="00FA2A6C" w:rsidRPr="003A2F86" w:rsidRDefault="00FA2A6C" w:rsidP="006222A2">
      <w:pPr>
        <w:numPr>
          <w:ilvl w:val="0"/>
          <w:numId w:val="15"/>
        </w:numPr>
        <w:overflowPunct w:val="0"/>
        <w:autoSpaceDE w:val="0"/>
        <w:autoSpaceDN w:val="0"/>
        <w:adjustRightInd w:val="0"/>
        <w:spacing w:after="0" w:line="240" w:lineRule="auto"/>
        <w:ind w:left="567" w:hanging="567"/>
        <w:jc w:val="both"/>
        <w:rPr>
          <w:rFonts w:ascii="Arial" w:hAnsi="Arial" w:cs="Arial"/>
          <w:sz w:val="18"/>
          <w:szCs w:val="18"/>
        </w:rPr>
      </w:pPr>
      <w:r w:rsidRPr="003A2F86">
        <w:rPr>
          <w:rFonts w:ascii="Arial" w:hAnsi="Arial" w:cs="Arial"/>
          <w:sz w:val="18"/>
          <w:szCs w:val="18"/>
        </w:rPr>
        <w:t xml:space="preserve">projekt Erasmus +, koordinator Austrija u iznosu </w:t>
      </w:r>
      <w:r w:rsidR="00C106EF" w:rsidRPr="003A2F86">
        <w:rPr>
          <w:rFonts w:ascii="Arial" w:hAnsi="Arial" w:cs="Arial"/>
          <w:sz w:val="18"/>
          <w:szCs w:val="18"/>
        </w:rPr>
        <w:t xml:space="preserve">13.370,84 € </w:t>
      </w:r>
      <w:r w:rsidR="00176298" w:rsidRPr="003A2F86">
        <w:rPr>
          <w:rFonts w:ascii="Arial" w:hAnsi="Arial" w:cs="Arial"/>
          <w:sz w:val="18"/>
          <w:szCs w:val="18"/>
        </w:rPr>
        <w:t>(</w:t>
      </w:r>
      <w:r w:rsidRPr="003A2F86">
        <w:rPr>
          <w:rFonts w:ascii="Arial" w:hAnsi="Arial" w:cs="Arial"/>
          <w:sz w:val="18"/>
          <w:szCs w:val="18"/>
        </w:rPr>
        <w:t>100.742,60 kn</w:t>
      </w:r>
      <w:r w:rsidR="00176298" w:rsidRPr="003A2F86">
        <w:rPr>
          <w:rFonts w:ascii="Arial" w:hAnsi="Arial" w:cs="Arial"/>
          <w:sz w:val="18"/>
          <w:szCs w:val="18"/>
        </w:rPr>
        <w:t>)</w:t>
      </w:r>
      <w:r w:rsidRPr="003A2F86">
        <w:rPr>
          <w:rFonts w:ascii="Arial" w:hAnsi="Arial" w:cs="Arial"/>
          <w:sz w:val="18"/>
          <w:szCs w:val="18"/>
        </w:rPr>
        <w:t xml:space="preserve"> (prihodi proračunskog korisnika, ustanova u kulturi).</w:t>
      </w:r>
    </w:p>
    <w:p w14:paraId="5EA7E15D" w14:textId="77777777" w:rsidR="00FA2A6C" w:rsidRPr="003A2F86" w:rsidRDefault="00FA2A6C"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hanging="567"/>
        <w:jc w:val="both"/>
        <w:rPr>
          <w:rFonts w:ascii="Arial" w:eastAsia="Times New Roman" w:hAnsi="Arial" w:cs="Arial"/>
          <w:sz w:val="18"/>
          <w:szCs w:val="18"/>
          <w:lang w:eastAsia="en-US"/>
        </w:rPr>
      </w:pPr>
    </w:p>
    <w:p w14:paraId="59F66F6E" w14:textId="39645E11" w:rsidR="00C92BD2" w:rsidRPr="003A2F86" w:rsidRDefault="00C92BD2"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hanging="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 xml:space="preserve">U </w:t>
      </w:r>
      <w:r w:rsidRPr="003A2F86">
        <w:rPr>
          <w:rFonts w:ascii="Arial" w:eastAsia="Times New Roman" w:hAnsi="Arial" w:cs="Arial"/>
          <w:b/>
          <w:bCs/>
          <w:sz w:val="18"/>
          <w:szCs w:val="18"/>
          <w:u w:val="single"/>
          <w:lang w:eastAsia="en-US"/>
        </w:rPr>
        <w:t>2022.</w:t>
      </w:r>
      <w:r w:rsidRPr="003A2F86">
        <w:rPr>
          <w:rFonts w:ascii="Arial" w:eastAsia="Times New Roman" w:hAnsi="Arial" w:cs="Arial"/>
          <w:sz w:val="18"/>
          <w:szCs w:val="18"/>
          <w:lang w:eastAsia="en-US"/>
        </w:rPr>
        <w:t xml:space="preserve"> ovi prihodi (</w:t>
      </w:r>
      <w:r w:rsidRPr="003A2F86">
        <w:rPr>
          <w:rFonts w:ascii="Arial" w:eastAsia="Times New Roman" w:hAnsi="Arial" w:cs="Arial"/>
          <w:b/>
          <w:bCs/>
          <w:sz w:val="18"/>
          <w:szCs w:val="18"/>
          <w:lang w:eastAsia="en-US"/>
        </w:rPr>
        <w:t>632</w:t>
      </w:r>
      <w:r w:rsidRPr="003A2F86">
        <w:rPr>
          <w:rFonts w:ascii="Arial" w:eastAsia="Times New Roman" w:hAnsi="Arial" w:cs="Arial"/>
          <w:sz w:val="18"/>
          <w:szCs w:val="18"/>
          <w:lang w:eastAsia="en-US"/>
        </w:rPr>
        <w:t xml:space="preserve">) su </w:t>
      </w:r>
      <w:r w:rsidR="00847308">
        <w:rPr>
          <w:rFonts w:ascii="Arial" w:eastAsia="Times New Roman" w:hAnsi="Arial" w:cs="Arial"/>
          <w:sz w:val="18"/>
          <w:szCs w:val="18"/>
          <w:lang w:eastAsia="en-US"/>
        </w:rPr>
        <w:t>iznosili</w:t>
      </w:r>
      <w:r w:rsidRPr="003A2F86">
        <w:rPr>
          <w:rFonts w:ascii="Arial" w:eastAsia="Times New Roman" w:hAnsi="Arial" w:cs="Arial"/>
          <w:sz w:val="18"/>
          <w:szCs w:val="18"/>
          <w:lang w:eastAsia="en-US"/>
        </w:rPr>
        <w:t xml:space="preserve"> </w:t>
      </w:r>
      <w:r w:rsidR="00C106EF" w:rsidRPr="003A2F86">
        <w:rPr>
          <w:rFonts w:ascii="Arial" w:eastAsia="Times New Roman" w:hAnsi="Arial" w:cs="Arial"/>
          <w:sz w:val="18"/>
          <w:szCs w:val="18"/>
          <w:lang w:eastAsia="en-US"/>
        </w:rPr>
        <w:t>32.064,42 €</w:t>
      </w:r>
      <w:r w:rsidRPr="003A2F86">
        <w:rPr>
          <w:rFonts w:ascii="Arial" w:eastAsia="Times New Roman" w:hAnsi="Arial" w:cs="Arial"/>
          <w:sz w:val="18"/>
          <w:szCs w:val="18"/>
          <w:lang w:eastAsia="en-US"/>
        </w:rPr>
        <w:t>, a odnos</w:t>
      </w:r>
      <w:r w:rsidR="00847308">
        <w:rPr>
          <w:rFonts w:ascii="Arial" w:eastAsia="Times New Roman" w:hAnsi="Arial" w:cs="Arial"/>
          <w:sz w:val="18"/>
          <w:szCs w:val="18"/>
          <w:lang w:eastAsia="en-US"/>
        </w:rPr>
        <w:t xml:space="preserve">ili su </w:t>
      </w:r>
      <w:r w:rsidRPr="003A2F86">
        <w:rPr>
          <w:rFonts w:ascii="Arial" w:eastAsia="Times New Roman" w:hAnsi="Arial" w:cs="Arial"/>
          <w:sz w:val="18"/>
          <w:szCs w:val="18"/>
          <w:lang w:eastAsia="en-US"/>
        </w:rPr>
        <w:t>se na prihode za:</w:t>
      </w:r>
    </w:p>
    <w:p w14:paraId="25D82392" w14:textId="71B75CD4" w:rsidR="00C92BD2" w:rsidRPr="003A2F86" w:rsidRDefault="00C92BD2"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hanging="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w:t>
      </w:r>
      <w:r w:rsidRPr="003A2F86">
        <w:rPr>
          <w:rFonts w:ascii="Arial" w:eastAsia="Times New Roman" w:hAnsi="Arial" w:cs="Arial"/>
          <w:sz w:val="18"/>
          <w:szCs w:val="18"/>
          <w:lang w:eastAsia="en-US"/>
        </w:rPr>
        <w:tab/>
        <w:t xml:space="preserve">prihodi Općine </w:t>
      </w:r>
      <w:r w:rsidR="00C106EF" w:rsidRPr="003A2F86">
        <w:rPr>
          <w:rFonts w:ascii="Arial" w:eastAsia="Times New Roman" w:hAnsi="Arial" w:cs="Arial"/>
          <w:sz w:val="18"/>
          <w:szCs w:val="18"/>
          <w:lang w:eastAsia="en-US"/>
        </w:rPr>
        <w:t>11.474,49 €</w:t>
      </w:r>
      <w:r w:rsidRPr="003A2F86">
        <w:rPr>
          <w:rFonts w:ascii="Arial" w:eastAsia="Times New Roman" w:hAnsi="Arial" w:cs="Arial"/>
          <w:sz w:val="18"/>
          <w:szCs w:val="18"/>
          <w:lang w:eastAsia="en-US"/>
        </w:rPr>
        <w:t xml:space="preserve"> i to:</w:t>
      </w:r>
    </w:p>
    <w:p w14:paraId="5E1DBDB4" w14:textId="13E89B53" w:rsidR="00C92BD2" w:rsidRPr="003A2F86" w:rsidRDefault="00C92BD2"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hanging="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ab/>
      </w:r>
      <w:r w:rsidRPr="003A2F86">
        <w:rPr>
          <w:rFonts w:ascii="Arial" w:eastAsia="Times New Roman" w:hAnsi="Arial" w:cs="Arial"/>
          <w:sz w:val="18"/>
          <w:szCs w:val="18"/>
          <w:lang w:eastAsia="en-US"/>
        </w:rPr>
        <w:tab/>
        <w:t>-</w:t>
      </w:r>
      <w:r w:rsidRPr="003A2F86">
        <w:rPr>
          <w:rFonts w:ascii="Arial" w:eastAsia="Times New Roman" w:hAnsi="Arial" w:cs="Arial"/>
          <w:sz w:val="18"/>
          <w:szCs w:val="18"/>
          <w:lang w:eastAsia="en-US"/>
        </w:rPr>
        <w:tab/>
        <w:t xml:space="preserve">projekt ĆIRO II, sufinanciranje projekta u iznosu </w:t>
      </w:r>
      <w:r w:rsidR="00C106EF" w:rsidRPr="003A2F86">
        <w:rPr>
          <w:rFonts w:ascii="Arial" w:eastAsia="Times New Roman" w:hAnsi="Arial" w:cs="Arial"/>
          <w:sz w:val="18"/>
          <w:szCs w:val="18"/>
          <w:lang w:eastAsia="en-US"/>
        </w:rPr>
        <w:t>3.495,06 € (</w:t>
      </w:r>
      <w:r w:rsidRPr="003A2F86">
        <w:rPr>
          <w:rFonts w:ascii="Arial" w:eastAsia="Times New Roman" w:hAnsi="Arial" w:cs="Arial"/>
          <w:sz w:val="18"/>
          <w:szCs w:val="18"/>
          <w:lang w:eastAsia="en-US"/>
        </w:rPr>
        <w:t>26.333,51 kn</w:t>
      </w:r>
      <w:r w:rsidR="00C106EF" w:rsidRPr="003A2F86">
        <w:rPr>
          <w:rFonts w:ascii="Arial" w:eastAsia="Times New Roman" w:hAnsi="Arial" w:cs="Arial"/>
          <w:sz w:val="18"/>
          <w:szCs w:val="18"/>
          <w:lang w:eastAsia="en-US"/>
        </w:rPr>
        <w:t>)</w:t>
      </w:r>
      <w:r w:rsidRPr="003A2F86">
        <w:rPr>
          <w:rFonts w:ascii="Arial" w:eastAsia="Times New Roman" w:hAnsi="Arial" w:cs="Arial"/>
          <w:sz w:val="18"/>
          <w:szCs w:val="18"/>
          <w:lang w:eastAsia="en-US"/>
        </w:rPr>
        <w:t>,</w:t>
      </w:r>
    </w:p>
    <w:p w14:paraId="36038E10" w14:textId="22585BFB" w:rsidR="00C92BD2" w:rsidRPr="003A2F86" w:rsidRDefault="00C92BD2"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hanging="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ab/>
      </w:r>
      <w:r w:rsidRPr="003A2F86">
        <w:rPr>
          <w:rFonts w:ascii="Arial" w:eastAsia="Times New Roman" w:hAnsi="Arial" w:cs="Arial"/>
          <w:sz w:val="18"/>
          <w:szCs w:val="18"/>
          <w:lang w:eastAsia="en-US"/>
        </w:rPr>
        <w:tab/>
        <w:t>-</w:t>
      </w:r>
      <w:r w:rsidRPr="003A2F86">
        <w:rPr>
          <w:rFonts w:ascii="Arial" w:eastAsia="Times New Roman" w:hAnsi="Arial" w:cs="Arial"/>
          <w:sz w:val="18"/>
          <w:szCs w:val="18"/>
          <w:lang w:eastAsia="en-US"/>
        </w:rPr>
        <w:tab/>
        <w:t xml:space="preserve">projekt Flood &amp; fire, sufinanciranje projekta u iznosu </w:t>
      </w:r>
      <w:r w:rsidR="00C106EF" w:rsidRPr="003A2F86">
        <w:rPr>
          <w:rFonts w:ascii="Arial" w:eastAsia="Times New Roman" w:hAnsi="Arial" w:cs="Arial"/>
          <w:sz w:val="18"/>
          <w:szCs w:val="18"/>
          <w:lang w:eastAsia="en-US"/>
        </w:rPr>
        <w:t>3.964,13 € (</w:t>
      </w:r>
      <w:r w:rsidRPr="003A2F86">
        <w:rPr>
          <w:rFonts w:ascii="Arial" w:eastAsia="Times New Roman" w:hAnsi="Arial" w:cs="Arial"/>
          <w:sz w:val="18"/>
          <w:szCs w:val="18"/>
          <w:lang w:eastAsia="en-US"/>
        </w:rPr>
        <w:t>29.867,71 kn</w:t>
      </w:r>
      <w:r w:rsidR="00C106EF" w:rsidRPr="003A2F86">
        <w:rPr>
          <w:rFonts w:ascii="Arial" w:eastAsia="Times New Roman" w:hAnsi="Arial" w:cs="Arial"/>
          <w:sz w:val="18"/>
          <w:szCs w:val="18"/>
          <w:lang w:eastAsia="en-US"/>
        </w:rPr>
        <w:t>)</w:t>
      </w:r>
      <w:r w:rsidRPr="003A2F86">
        <w:rPr>
          <w:rFonts w:ascii="Arial" w:eastAsia="Times New Roman" w:hAnsi="Arial" w:cs="Arial"/>
          <w:sz w:val="18"/>
          <w:szCs w:val="18"/>
          <w:lang w:eastAsia="en-US"/>
        </w:rPr>
        <w:t>,</w:t>
      </w:r>
    </w:p>
    <w:p w14:paraId="416DD653" w14:textId="16B4F988" w:rsidR="00C92BD2" w:rsidRPr="003A2F86" w:rsidRDefault="00C92BD2"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hanging="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ab/>
      </w:r>
      <w:r w:rsidRPr="003A2F86">
        <w:rPr>
          <w:rFonts w:ascii="Arial" w:eastAsia="Times New Roman" w:hAnsi="Arial" w:cs="Arial"/>
          <w:sz w:val="18"/>
          <w:szCs w:val="18"/>
          <w:lang w:eastAsia="en-US"/>
        </w:rPr>
        <w:tab/>
        <w:t>-</w:t>
      </w:r>
      <w:r w:rsidRPr="003A2F86">
        <w:rPr>
          <w:rFonts w:ascii="Arial" w:eastAsia="Times New Roman" w:hAnsi="Arial" w:cs="Arial"/>
          <w:sz w:val="18"/>
          <w:szCs w:val="18"/>
          <w:lang w:eastAsia="en-US"/>
        </w:rPr>
        <w:tab/>
        <w:t xml:space="preserve">projekt PART-HER u iznosu </w:t>
      </w:r>
      <w:r w:rsidR="00C106EF" w:rsidRPr="003A2F86">
        <w:rPr>
          <w:rFonts w:ascii="Arial" w:eastAsia="Times New Roman" w:hAnsi="Arial" w:cs="Arial"/>
          <w:sz w:val="18"/>
          <w:szCs w:val="18"/>
          <w:lang w:eastAsia="en-US"/>
        </w:rPr>
        <w:t>4.015,3 € (</w:t>
      </w:r>
      <w:r w:rsidRPr="003A2F86">
        <w:rPr>
          <w:rFonts w:ascii="Arial" w:eastAsia="Times New Roman" w:hAnsi="Arial" w:cs="Arial"/>
          <w:sz w:val="18"/>
          <w:szCs w:val="18"/>
          <w:lang w:eastAsia="en-US"/>
        </w:rPr>
        <w:t>30.253,30 kn</w:t>
      </w:r>
      <w:r w:rsidR="00C106EF" w:rsidRPr="003A2F86">
        <w:rPr>
          <w:rFonts w:ascii="Arial" w:eastAsia="Times New Roman" w:hAnsi="Arial" w:cs="Arial"/>
          <w:sz w:val="18"/>
          <w:szCs w:val="18"/>
          <w:lang w:eastAsia="en-US"/>
        </w:rPr>
        <w:t>)</w:t>
      </w:r>
      <w:r w:rsidRPr="003A2F86">
        <w:rPr>
          <w:rFonts w:ascii="Arial" w:eastAsia="Times New Roman" w:hAnsi="Arial" w:cs="Arial"/>
          <w:sz w:val="18"/>
          <w:szCs w:val="18"/>
          <w:lang w:eastAsia="en-US"/>
        </w:rPr>
        <w:t xml:space="preserve"> (okončani i prihvaćeni troškovi po završetku projekta), te</w:t>
      </w:r>
    </w:p>
    <w:p w14:paraId="2DC4182D" w14:textId="35CC8230" w:rsidR="00C92BD2" w:rsidRPr="003A2F86" w:rsidRDefault="00C92BD2"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hanging="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w:t>
      </w:r>
      <w:r w:rsidRPr="003A2F86">
        <w:rPr>
          <w:rFonts w:ascii="Arial" w:eastAsia="Times New Roman" w:hAnsi="Arial" w:cs="Arial"/>
          <w:sz w:val="18"/>
          <w:szCs w:val="18"/>
          <w:lang w:eastAsia="en-US"/>
        </w:rPr>
        <w:tab/>
        <w:t>prihodi proračunskog korisnika – ustanova u kulturi:</w:t>
      </w:r>
      <w:r w:rsidR="00C106EF" w:rsidRPr="003A2F86">
        <w:rPr>
          <w:rFonts w:ascii="Arial" w:eastAsia="Times New Roman" w:hAnsi="Arial" w:cs="Arial"/>
          <w:sz w:val="18"/>
          <w:szCs w:val="18"/>
          <w:lang w:eastAsia="en-US"/>
        </w:rPr>
        <w:t xml:space="preserve"> 20.589,93 €</w:t>
      </w:r>
      <w:r w:rsidRPr="003A2F86">
        <w:rPr>
          <w:rFonts w:ascii="Arial" w:eastAsia="Times New Roman" w:hAnsi="Arial" w:cs="Arial"/>
          <w:sz w:val="18"/>
          <w:szCs w:val="18"/>
          <w:lang w:eastAsia="en-US"/>
        </w:rPr>
        <w:t xml:space="preserve"> i to projekt Erasmus +, koordinator Austrija u iznosu </w:t>
      </w:r>
      <w:r w:rsidR="00C106EF" w:rsidRPr="003A2F86">
        <w:rPr>
          <w:rFonts w:ascii="Arial" w:eastAsia="Times New Roman" w:hAnsi="Arial" w:cs="Arial"/>
          <w:sz w:val="18"/>
          <w:szCs w:val="18"/>
          <w:lang w:eastAsia="en-US"/>
        </w:rPr>
        <w:t>13.860,65 € (</w:t>
      </w:r>
      <w:r w:rsidRPr="003A2F86">
        <w:rPr>
          <w:rFonts w:ascii="Arial" w:eastAsia="Times New Roman" w:hAnsi="Arial" w:cs="Arial"/>
          <w:sz w:val="18"/>
          <w:szCs w:val="18"/>
          <w:lang w:eastAsia="en-US"/>
        </w:rPr>
        <w:t>104.433,04 kn</w:t>
      </w:r>
      <w:r w:rsidR="00C106EF" w:rsidRPr="003A2F86">
        <w:rPr>
          <w:rFonts w:ascii="Arial" w:eastAsia="Times New Roman" w:hAnsi="Arial" w:cs="Arial"/>
          <w:sz w:val="18"/>
          <w:szCs w:val="18"/>
          <w:lang w:eastAsia="en-US"/>
        </w:rPr>
        <w:t>)</w:t>
      </w:r>
      <w:r w:rsidRPr="003A2F86">
        <w:rPr>
          <w:rFonts w:ascii="Arial" w:eastAsia="Times New Roman" w:hAnsi="Arial" w:cs="Arial"/>
          <w:sz w:val="18"/>
          <w:szCs w:val="18"/>
          <w:lang w:eastAsia="en-US"/>
        </w:rPr>
        <w:t xml:space="preserve"> i projekt ERASMUS +, Poljska koordin</w:t>
      </w:r>
      <w:r w:rsidR="00A520F8" w:rsidRPr="003A2F86">
        <w:rPr>
          <w:rFonts w:ascii="Arial" w:eastAsia="Times New Roman" w:hAnsi="Arial" w:cs="Arial"/>
          <w:sz w:val="18"/>
          <w:szCs w:val="18"/>
          <w:lang w:eastAsia="en-US"/>
        </w:rPr>
        <w:t>a</w:t>
      </w:r>
      <w:r w:rsidRPr="003A2F86">
        <w:rPr>
          <w:rFonts w:ascii="Arial" w:eastAsia="Times New Roman" w:hAnsi="Arial" w:cs="Arial"/>
          <w:sz w:val="18"/>
          <w:szCs w:val="18"/>
          <w:lang w:eastAsia="en-US"/>
        </w:rPr>
        <w:t xml:space="preserve">tor u iznosu </w:t>
      </w:r>
      <w:r w:rsidR="00C106EF" w:rsidRPr="003A2F86">
        <w:rPr>
          <w:rFonts w:ascii="Arial" w:eastAsia="Times New Roman" w:hAnsi="Arial" w:cs="Arial"/>
          <w:sz w:val="18"/>
          <w:szCs w:val="18"/>
          <w:lang w:eastAsia="en-US"/>
        </w:rPr>
        <w:t>6.729,28 € (</w:t>
      </w:r>
      <w:r w:rsidRPr="003A2F86">
        <w:rPr>
          <w:rFonts w:ascii="Arial" w:eastAsia="Times New Roman" w:hAnsi="Arial" w:cs="Arial"/>
          <w:sz w:val="18"/>
          <w:szCs w:val="18"/>
          <w:lang w:eastAsia="en-US"/>
        </w:rPr>
        <w:t>50.701,83 kn</w:t>
      </w:r>
      <w:r w:rsidR="00C106EF" w:rsidRPr="003A2F86">
        <w:rPr>
          <w:rFonts w:ascii="Arial" w:eastAsia="Times New Roman" w:hAnsi="Arial" w:cs="Arial"/>
          <w:sz w:val="18"/>
          <w:szCs w:val="18"/>
          <w:lang w:eastAsia="en-US"/>
        </w:rPr>
        <w:t>)</w:t>
      </w:r>
      <w:r w:rsidRPr="003A2F86">
        <w:rPr>
          <w:rFonts w:ascii="Arial" w:eastAsia="Times New Roman" w:hAnsi="Arial" w:cs="Arial"/>
          <w:sz w:val="18"/>
          <w:szCs w:val="18"/>
          <w:lang w:eastAsia="en-US"/>
        </w:rPr>
        <w:t>.</w:t>
      </w:r>
    </w:p>
    <w:p w14:paraId="58B0CE30" w14:textId="77777777" w:rsidR="00DB141A" w:rsidRPr="003A2F86" w:rsidRDefault="00DB141A" w:rsidP="006222A2">
      <w:pPr>
        <w:overflowPunct w:val="0"/>
        <w:autoSpaceDE w:val="0"/>
        <w:autoSpaceDN w:val="0"/>
        <w:adjustRightInd w:val="0"/>
        <w:spacing w:after="0" w:line="240" w:lineRule="auto"/>
        <w:ind w:left="567" w:hanging="567"/>
        <w:jc w:val="both"/>
        <w:rPr>
          <w:rFonts w:ascii="Arial" w:eastAsia="Times New Roman" w:hAnsi="Arial" w:cs="Arial"/>
          <w:sz w:val="20"/>
          <w:szCs w:val="20"/>
        </w:rPr>
      </w:pPr>
    </w:p>
    <w:p w14:paraId="7E54679B" w14:textId="3350FB8A" w:rsidR="00C106EF" w:rsidRPr="003A2F86" w:rsidRDefault="00C106EF"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hanging="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 xml:space="preserve">U </w:t>
      </w:r>
      <w:r w:rsidRPr="003A2F86">
        <w:rPr>
          <w:rFonts w:ascii="Arial" w:eastAsia="Times New Roman" w:hAnsi="Arial" w:cs="Arial"/>
          <w:b/>
          <w:bCs/>
          <w:sz w:val="18"/>
          <w:szCs w:val="18"/>
          <w:u w:val="single"/>
          <w:lang w:eastAsia="en-US"/>
        </w:rPr>
        <w:t>2023</w:t>
      </w:r>
      <w:r w:rsidRPr="003A2F86">
        <w:rPr>
          <w:rFonts w:ascii="Arial" w:eastAsia="Times New Roman" w:hAnsi="Arial" w:cs="Arial"/>
          <w:sz w:val="18"/>
          <w:szCs w:val="18"/>
          <w:lang w:eastAsia="en-US"/>
        </w:rPr>
        <w:t>. ovi prihodi (</w:t>
      </w:r>
      <w:r w:rsidRPr="003A2F86">
        <w:rPr>
          <w:rFonts w:ascii="Arial" w:eastAsia="Times New Roman" w:hAnsi="Arial" w:cs="Arial"/>
          <w:b/>
          <w:bCs/>
          <w:sz w:val="18"/>
          <w:szCs w:val="18"/>
          <w:lang w:eastAsia="en-US"/>
        </w:rPr>
        <w:t>632</w:t>
      </w:r>
      <w:r w:rsidRPr="003A2F86">
        <w:rPr>
          <w:rFonts w:ascii="Arial" w:eastAsia="Times New Roman" w:hAnsi="Arial" w:cs="Arial"/>
          <w:sz w:val="18"/>
          <w:szCs w:val="18"/>
          <w:lang w:eastAsia="en-US"/>
        </w:rPr>
        <w:t xml:space="preserve">) su </w:t>
      </w:r>
      <w:r w:rsidR="00847308">
        <w:rPr>
          <w:rFonts w:ascii="Arial" w:eastAsia="Times New Roman" w:hAnsi="Arial" w:cs="Arial"/>
          <w:sz w:val="18"/>
          <w:szCs w:val="18"/>
          <w:lang w:eastAsia="en-US"/>
        </w:rPr>
        <w:t>iznosili</w:t>
      </w:r>
      <w:r w:rsidRPr="003A2F86">
        <w:rPr>
          <w:rFonts w:ascii="Arial" w:eastAsia="Times New Roman" w:hAnsi="Arial" w:cs="Arial"/>
          <w:sz w:val="18"/>
          <w:szCs w:val="18"/>
          <w:lang w:eastAsia="en-US"/>
        </w:rPr>
        <w:t xml:space="preserve"> </w:t>
      </w:r>
      <w:r w:rsidR="00DB141A" w:rsidRPr="003A2F86">
        <w:rPr>
          <w:rFonts w:ascii="Arial" w:eastAsia="Times New Roman" w:hAnsi="Arial" w:cs="Arial"/>
          <w:sz w:val="18"/>
          <w:szCs w:val="18"/>
          <w:lang w:eastAsia="en-US"/>
        </w:rPr>
        <w:t xml:space="preserve">806.847,46 </w:t>
      </w:r>
      <w:r w:rsidRPr="003A2F86">
        <w:rPr>
          <w:rFonts w:ascii="Arial" w:eastAsia="Times New Roman" w:hAnsi="Arial" w:cs="Arial"/>
          <w:sz w:val="18"/>
          <w:szCs w:val="18"/>
          <w:lang w:eastAsia="en-US"/>
        </w:rPr>
        <w:t>€, a odnos</w:t>
      </w:r>
      <w:r w:rsidR="00DE5E6B" w:rsidRPr="003A2F86">
        <w:rPr>
          <w:rFonts w:ascii="Arial" w:eastAsia="Times New Roman" w:hAnsi="Arial" w:cs="Arial"/>
          <w:sz w:val="18"/>
          <w:szCs w:val="18"/>
          <w:lang w:eastAsia="en-US"/>
        </w:rPr>
        <w:t xml:space="preserve">ili su </w:t>
      </w:r>
      <w:r w:rsidRPr="003A2F86">
        <w:rPr>
          <w:rFonts w:ascii="Arial" w:eastAsia="Times New Roman" w:hAnsi="Arial" w:cs="Arial"/>
          <w:sz w:val="18"/>
          <w:szCs w:val="18"/>
          <w:lang w:eastAsia="en-US"/>
        </w:rPr>
        <w:t>se na prihode za:</w:t>
      </w:r>
    </w:p>
    <w:p w14:paraId="07179029" w14:textId="28B3E996" w:rsidR="00C106EF" w:rsidRPr="003A2F86" w:rsidRDefault="00C106EF"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hanging="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w:t>
      </w:r>
      <w:r w:rsidRPr="003A2F86">
        <w:rPr>
          <w:rFonts w:ascii="Arial" w:eastAsia="Times New Roman" w:hAnsi="Arial" w:cs="Arial"/>
          <w:sz w:val="18"/>
          <w:szCs w:val="18"/>
          <w:lang w:eastAsia="en-US"/>
        </w:rPr>
        <w:tab/>
        <w:t xml:space="preserve">prihodi Općine </w:t>
      </w:r>
      <w:r w:rsidR="00DB141A" w:rsidRPr="003A2F86">
        <w:rPr>
          <w:rFonts w:ascii="Arial" w:eastAsia="Times New Roman" w:hAnsi="Arial" w:cs="Arial"/>
          <w:sz w:val="18"/>
          <w:szCs w:val="18"/>
          <w:lang w:eastAsia="en-US"/>
        </w:rPr>
        <w:t>793.056,66</w:t>
      </w:r>
      <w:r w:rsidRPr="003A2F86">
        <w:rPr>
          <w:rFonts w:ascii="Arial" w:eastAsia="Times New Roman" w:hAnsi="Arial" w:cs="Arial"/>
          <w:sz w:val="18"/>
          <w:szCs w:val="18"/>
          <w:lang w:eastAsia="en-US"/>
        </w:rPr>
        <w:t xml:space="preserve"> € i to:</w:t>
      </w:r>
    </w:p>
    <w:p w14:paraId="2E022945" w14:textId="52C4DA68" w:rsidR="00C106EF" w:rsidRPr="003A2F86" w:rsidRDefault="00C106EF"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hanging="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ab/>
      </w:r>
      <w:r w:rsidRPr="003A2F86">
        <w:rPr>
          <w:rFonts w:ascii="Arial" w:eastAsia="Times New Roman" w:hAnsi="Arial" w:cs="Arial"/>
          <w:sz w:val="18"/>
          <w:szCs w:val="18"/>
          <w:lang w:eastAsia="en-US"/>
        </w:rPr>
        <w:tab/>
        <w:t>-</w:t>
      </w:r>
      <w:r w:rsidRPr="003A2F86">
        <w:rPr>
          <w:rFonts w:ascii="Arial" w:eastAsia="Times New Roman" w:hAnsi="Arial" w:cs="Arial"/>
          <w:sz w:val="18"/>
          <w:szCs w:val="18"/>
          <w:lang w:eastAsia="en-US"/>
        </w:rPr>
        <w:tab/>
        <w:t xml:space="preserve">projekt ĆIRO II, sufinanciranje projekta u iznosu </w:t>
      </w:r>
      <w:bookmarkStart w:id="88" w:name="_Hlk145930831"/>
      <w:r w:rsidR="00DB141A" w:rsidRPr="003A2F86">
        <w:rPr>
          <w:rFonts w:ascii="Arial" w:eastAsia="Times New Roman" w:hAnsi="Arial" w:cs="Arial"/>
          <w:sz w:val="18"/>
          <w:szCs w:val="18"/>
          <w:lang w:eastAsia="en-US"/>
        </w:rPr>
        <w:t>469.019,42</w:t>
      </w:r>
      <w:r w:rsidRPr="003A2F86">
        <w:rPr>
          <w:rFonts w:ascii="Arial" w:eastAsia="Times New Roman" w:hAnsi="Arial" w:cs="Arial"/>
          <w:sz w:val="18"/>
          <w:szCs w:val="18"/>
          <w:lang w:eastAsia="en-US"/>
        </w:rPr>
        <w:t xml:space="preserve"> €</w:t>
      </w:r>
      <w:bookmarkEnd w:id="88"/>
      <w:r w:rsidRPr="003A2F86">
        <w:rPr>
          <w:rFonts w:ascii="Arial" w:eastAsia="Times New Roman" w:hAnsi="Arial" w:cs="Arial"/>
          <w:sz w:val="18"/>
          <w:szCs w:val="18"/>
          <w:lang w:eastAsia="en-US"/>
        </w:rPr>
        <w:t>,</w:t>
      </w:r>
    </w:p>
    <w:p w14:paraId="23F614A2" w14:textId="45710055" w:rsidR="00C106EF" w:rsidRPr="003A2F86" w:rsidRDefault="00C106EF"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hanging="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ab/>
      </w:r>
      <w:r w:rsidRPr="003A2F86">
        <w:rPr>
          <w:rFonts w:ascii="Arial" w:eastAsia="Times New Roman" w:hAnsi="Arial" w:cs="Arial"/>
          <w:sz w:val="18"/>
          <w:szCs w:val="18"/>
          <w:lang w:eastAsia="en-US"/>
        </w:rPr>
        <w:tab/>
        <w:t>-</w:t>
      </w:r>
      <w:r w:rsidRPr="003A2F86">
        <w:rPr>
          <w:rFonts w:ascii="Arial" w:eastAsia="Times New Roman" w:hAnsi="Arial" w:cs="Arial"/>
          <w:sz w:val="18"/>
          <w:szCs w:val="18"/>
          <w:lang w:eastAsia="en-US"/>
        </w:rPr>
        <w:tab/>
        <w:t xml:space="preserve">projekt Flood &amp; fire, sufinanciranje projekta u iznosu </w:t>
      </w:r>
      <w:bookmarkStart w:id="89" w:name="_Hlk145930847"/>
      <w:r w:rsidR="00DB141A" w:rsidRPr="003A2F86">
        <w:rPr>
          <w:rFonts w:ascii="Arial" w:eastAsia="Times New Roman" w:hAnsi="Arial" w:cs="Arial"/>
          <w:sz w:val="18"/>
          <w:szCs w:val="18"/>
          <w:lang w:eastAsia="en-US"/>
        </w:rPr>
        <w:t>324.037,24</w:t>
      </w:r>
      <w:r w:rsidRPr="003A2F86">
        <w:rPr>
          <w:rFonts w:ascii="Arial" w:eastAsia="Times New Roman" w:hAnsi="Arial" w:cs="Arial"/>
          <w:sz w:val="18"/>
          <w:szCs w:val="18"/>
          <w:lang w:eastAsia="en-US"/>
        </w:rPr>
        <w:t xml:space="preserve"> €</w:t>
      </w:r>
      <w:r w:rsidR="00843C9B" w:rsidRPr="003A2F86">
        <w:rPr>
          <w:rFonts w:ascii="Arial" w:eastAsia="Times New Roman" w:hAnsi="Arial" w:cs="Arial"/>
          <w:sz w:val="18"/>
          <w:szCs w:val="18"/>
          <w:lang w:eastAsia="en-US"/>
        </w:rPr>
        <w:t>,</w:t>
      </w:r>
      <w:bookmarkEnd w:id="89"/>
    </w:p>
    <w:p w14:paraId="7690B1AF" w14:textId="6881DD9E" w:rsidR="00C92BD2" w:rsidRPr="003A2F86" w:rsidRDefault="00C106EF"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hanging="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w:t>
      </w:r>
      <w:r w:rsidRPr="003A2F86">
        <w:rPr>
          <w:rFonts w:ascii="Arial" w:eastAsia="Times New Roman" w:hAnsi="Arial" w:cs="Arial"/>
          <w:sz w:val="18"/>
          <w:szCs w:val="18"/>
          <w:lang w:eastAsia="en-US"/>
        </w:rPr>
        <w:tab/>
        <w:t xml:space="preserve">prihodi proračunskog korisnika – ustanova u kulturi: </w:t>
      </w:r>
      <w:bookmarkStart w:id="90" w:name="_Hlk145930883"/>
      <w:r w:rsidR="00DB141A" w:rsidRPr="003A2F86">
        <w:rPr>
          <w:rFonts w:ascii="Arial" w:eastAsia="Times New Roman" w:hAnsi="Arial" w:cs="Arial"/>
          <w:sz w:val="18"/>
          <w:szCs w:val="18"/>
          <w:lang w:eastAsia="en-US"/>
        </w:rPr>
        <w:t>13.790,80</w:t>
      </w:r>
      <w:r w:rsidRPr="003A2F86">
        <w:rPr>
          <w:rFonts w:ascii="Arial" w:eastAsia="Times New Roman" w:hAnsi="Arial" w:cs="Arial"/>
          <w:sz w:val="18"/>
          <w:szCs w:val="18"/>
          <w:lang w:eastAsia="en-US"/>
        </w:rPr>
        <w:t xml:space="preserve"> € </w:t>
      </w:r>
      <w:bookmarkEnd w:id="90"/>
      <w:r w:rsidRPr="003A2F86">
        <w:rPr>
          <w:rFonts w:ascii="Arial" w:eastAsia="Times New Roman" w:hAnsi="Arial" w:cs="Arial"/>
          <w:sz w:val="18"/>
          <w:szCs w:val="18"/>
          <w:lang w:eastAsia="en-US"/>
        </w:rPr>
        <w:t xml:space="preserve">i to projekt Erasmus+ </w:t>
      </w:r>
      <w:r w:rsidR="00843C9B" w:rsidRPr="003A2F86">
        <w:rPr>
          <w:rFonts w:ascii="Arial" w:eastAsia="Times New Roman" w:hAnsi="Arial" w:cs="Arial"/>
          <w:sz w:val="18"/>
          <w:szCs w:val="18"/>
          <w:lang w:eastAsia="en-US"/>
        </w:rPr>
        <w:t>Poljska koordinator</w:t>
      </w:r>
      <w:r w:rsidR="00DB141A" w:rsidRPr="003A2F86">
        <w:rPr>
          <w:rFonts w:ascii="Arial" w:eastAsia="Times New Roman" w:hAnsi="Arial" w:cs="Arial"/>
          <w:sz w:val="18"/>
          <w:szCs w:val="18"/>
          <w:lang w:eastAsia="en-US"/>
        </w:rPr>
        <w:t xml:space="preserve"> 1.790,80 €</w:t>
      </w:r>
      <w:r w:rsidR="00843C9B" w:rsidRPr="003A2F86">
        <w:rPr>
          <w:rFonts w:ascii="Arial" w:eastAsia="Times New Roman" w:hAnsi="Arial" w:cs="Arial"/>
          <w:sz w:val="18"/>
          <w:szCs w:val="18"/>
          <w:lang w:eastAsia="en-US"/>
        </w:rPr>
        <w:t xml:space="preserve">, </w:t>
      </w:r>
      <w:r w:rsidR="00DB141A" w:rsidRPr="003A2F86">
        <w:rPr>
          <w:rFonts w:ascii="Arial" w:eastAsia="Times New Roman" w:hAnsi="Arial" w:cs="Arial"/>
          <w:sz w:val="18"/>
          <w:szCs w:val="18"/>
          <w:lang w:eastAsia="en-US"/>
        </w:rPr>
        <w:t>te projekt Erasmus +, koordinator Belgija u iznosu 12.000 €</w:t>
      </w:r>
      <w:r w:rsidR="00843C9B" w:rsidRPr="003A2F86">
        <w:rPr>
          <w:rFonts w:ascii="Arial" w:eastAsia="Times New Roman" w:hAnsi="Arial" w:cs="Arial"/>
          <w:sz w:val="18"/>
          <w:szCs w:val="18"/>
          <w:lang w:eastAsia="en-US"/>
        </w:rPr>
        <w:t>.</w:t>
      </w:r>
      <w:r w:rsidR="00DE5E6B" w:rsidRPr="003A2F86">
        <w:rPr>
          <w:rFonts w:ascii="Arial" w:eastAsia="Times New Roman" w:hAnsi="Arial" w:cs="Arial"/>
          <w:sz w:val="18"/>
          <w:szCs w:val="18"/>
          <w:lang w:eastAsia="en-US"/>
        </w:rPr>
        <w:t xml:space="preserve"> </w:t>
      </w:r>
      <w:r w:rsidR="00C92BD2" w:rsidRPr="003A2F86">
        <w:rPr>
          <w:rFonts w:ascii="Arial" w:eastAsia="Times New Roman" w:hAnsi="Arial" w:cs="Arial"/>
          <w:sz w:val="18"/>
          <w:szCs w:val="18"/>
          <w:lang w:eastAsia="en-US"/>
        </w:rPr>
        <w:t xml:space="preserve">Vrijednosno najznačajnije </w:t>
      </w:r>
      <w:r w:rsidR="00843C9B" w:rsidRPr="003A2F86">
        <w:rPr>
          <w:rFonts w:ascii="Arial" w:eastAsia="Times New Roman" w:hAnsi="Arial" w:cs="Arial"/>
          <w:sz w:val="18"/>
          <w:szCs w:val="18"/>
          <w:lang w:eastAsia="en-US"/>
        </w:rPr>
        <w:t>povećanje</w:t>
      </w:r>
      <w:r w:rsidR="00C92BD2" w:rsidRPr="003A2F86">
        <w:rPr>
          <w:rFonts w:ascii="Arial" w:eastAsia="Times New Roman" w:hAnsi="Arial" w:cs="Arial"/>
          <w:sz w:val="18"/>
          <w:szCs w:val="18"/>
          <w:lang w:eastAsia="en-US"/>
        </w:rPr>
        <w:t xml:space="preserve"> se odnosi</w:t>
      </w:r>
      <w:r w:rsidR="00052BB5" w:rsidRPr="003A2F86">
        <w:rPr>
          <w:rFonts w:ascii="Arial" w:eastAsia="Times New Roman" w:hAnsi="Arial" w:cs="Arial"/>
          <w:sz w:val="18"/>
          <w:szCs w:val="18"/>
          <w:lang w:eastAsia="en-US"/>
        </w:rPr>
        <w:t>lo</w:t>
      </w:r>
      <w:r w:rsidR="00C92BD2" w:rsidRPr="003A2F86">
        <w:rPr>
          <w:rFonts w:ascii="Arial" w:eastAsia="Times New Roman" w:hAnsi="Arial" w:cs="Arial"/>
          <w:sz w:val="18"/>
          <w:szCs w:val="18"/>
          <w:lang w:eastAsia="en-US"/>
        </w:rPr>
        <w:t xml:space="preserve"> na prihode za sufinanciranje projekata prekogranične suradnje (dva projekta Interreg</w:t>
      </w:r>
      <w:r w:rsidR="00DB141A" w:rsidRPr="003A2F86">
        <w:rPr>
          <w:rFonts w:ascii="Arial" w:eastAsia="Times New Roman" w:hAnsi="Arial" w:cs="Arial"/>
          <w:sz w:val="18"/>
          <w:szCs w:val="18"/>
          <w:lang w:eastAsia="en-US"/>
        </w:rPr>
        <w:t xml:space="preserve"> – refundacija sredstava za izvršene projekte koji su prethodno financirani vlastitim sredstvima</w:t>
      </w:r>
      <w:r w:rsidR="00C92BD2" w:rsidRPr="003A2F86">
        <w:rPr>
          <w:rFonts w:ascii="Arial" w:eastAsia="Times New Roman" w:hAnsi="Arial" w:cs="Arial"/>
          <w:sz w:val="18"/>
          <w:szCs w:val="18"/>
          <w:lang w:eastAsia="en-US"/>
        </w:rPr>
        <w:t>).</w:t>
      </w:r>
    </w:p>
    <w:p w14:paraId="27FD7F5C" w14:textId="77777777" w:rsidR="00C92BD2" w:rsidRDefault="00C92BD2"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20"/>
          <w:szCs w:val="20"/>
          <w:lang w:eastAsia="en-US"/>
        </w:rPr>
      </w:pPr>
    </w:p>
    <w:p w14:paraId="2C857588" w14:textId="3E9CFAF0" w:rsidR="00DE5E6B" w:rsidRPr="006A1511" w:rsidRDefault="00DE5E6B" w:rsidP="00DE5E6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6A1511">
        <w:rPr>
          <w:rFonts w:ascii="Arial" w:eastAsia="Times New Roman" w:hAnsi="Arial" w:cs="Arial"/>
          <w:sz w:val="18"/>
          <w:szCs w:val="18"/>
          <w:lang w:eastAsia="en-US"/>
        </w:rPr>
        <w:t xml:space="preserve">U </w:t>
      </w:r>
      <w:r w:rsidRPr="006A1511">
        <w:rPr>
          <w:rFonts w:ascii="Arial" w:eastAsia="Times New Roman" w:hAnsi="Arial" w:cs="Arial"/>
          <w:b/>
          <w:bCs/>
          <w:sz w:val="18"/>
          <w:szCs w:val="18"/>
          <w:u w:val="single"/>
          <w:lang w:eastAsia="en-US"/>
        </w:rPr>
        <w:t>2024</w:t>
      </w:r>
      <w:r w:rsidRPr="006A1511">
        <w:rPr>
          <w:rFonts w:ascii="Arial" w:eastAsia="Times New Roman" w:hAnsi="Arial" w:cs="Arial"/>
          <w:sz w:val="18"/>
          <w:szCs w:val="18"/>
          <w:lang w:eastAsia="en-US"/>
        </w:rPr>
        <w:t>. godine prihodi</w:t>
      </w:r>
      <w:r w:rsidR="0095672B" w:rsidRPr="006A1511">
        <w:rPr>
          <w:rFonts w:ascii="Arial" w:eastAsia="Times New Roman" w:hAnsi="Arial" w:cs="Arial"/>
          <w:sz w:val="18"/>
          <w:szCs w:val="18"/>
          <w:lang w:eastAsia="en-US"/>
        </w:rPr>
        <w:t xml:space="preserve"> od pomoći od međunarodnih organizacija i tijela EU</w:t>
      </w:r>
      <w:r w:rsidRPr="006A1511">
        <w:rPr>
          <w:rFonts w:ascii="Arial" w:eastAsia="Times New Roman" w:hAnsi="Arial" w:cs="Arial"/>
          <w:sz w:val="18"/>
          <w:szCs w:val="18"/>
          <w:lang w:eastAsia="en-US"/>
        </w:rPr>
        <w:t xml:space="preserve"> (</w:t>
      </w:r>
      <w:r w:rsidRPr="006A1511">
        <w:rPr>
          <w:rFonts w:ascii="Arial" w:eastAsia="Times New Roman" w:hAnsi="Arial" w:cs="Arial"/>
          <w:b/>
          <w:bCs/>
          <w:sz w:val="18"/>
          <w:szCs w:val="18"/>
          <w:lang w:eastAsia="en-US"/>
        </w:rPr>
        <w:t>632</w:t>
      </w:r>
      <w:r w:rsidRPr="006A1511">
        <w:rPr>
          <w:rFonts w:ascii="Arial" w:eastAsia="Times New Roman" w:hAnsi="Arial" w:cs="Arial"/>
          <w:sz w:val="18"/>
          <w:szCs w:val="18"/>
          <w:lang w:eastAsia="en-US"/>
        </w:rPr>
        <w:t>) su ostvareni u iznosu 7.576,90 €, a odnose se na:</w:t>
      </w:r>
    </w:p>
    <w:p w14:paraId="524C82C4" w14:textId="54FEF35F" w:rsidR="00DE5E6B" w:rsidRPr="006A1511" w:rsidRDefault="00DE5E6B" w:rsidP="00DE5E6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r w:rsidRPr="006A1511">
        <w:rPr>
          <w:rFonts w:ascii="Arial" w:eastAsia="Times New Roman" w:hAnsi="Arial" w:cs="Arial"/>
          <w:sz w:val="18"/>
          <w:szCs w:val="18"/>
          <w:lang w:eastAsia="en-US"/>
        </w:rPr>
        <w:t>-</w:t>
      </w:r>
      <w:r w:rsidRPr="006A1511">
        <w:rPr>
          <w:rFonts w:ascii="Arial" w:eastAsia="Times New Roman" w:hAnsi="Arial" w:cs="Arial"/>
          <w:sz w:val="18"/>
          <w:szCs w:val="18"/>
          <w:lang w:eastAsia="en-US"/>
        </w:rPr>
        <w:tab/>
        <w:t>prihode proračunskog korisnika – ustanova u kulturi: 7.576,90 € i to projekt Erasmus+ Austrija koordinator.</w:t>
      </w:r>
    </w:p>
    <w:p w14:paraId="515E8FC3" w14:textId="77777777" w:rsidR="00DE5E6B" w:rsidRDefault="00DE5E6B"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22EEC6B7" w14:textId="6D76B55E" w:rsidR="00191A61" w:rsidRPr="00191A61" w:rsidRDefault="00191A61" w:rsidP="00191A6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191A61">
        <w:rPr>
          <w:rFonts w:ascii="Arial" w:eastAsia="Times New Roman" w:hAnsi="Arial" w:cs="Arial"/>
          <w:lang w:eastAsia="en-US"/>
        </w:rPr>
        <w:t xml:space="preserve">U </w:t>
      </w:r>
      <w:r>
        <w:rPr>
          <w:rFonts w:ascii="Arial" w:eastAsia="Times New Roman" w:hAnsi="Arial" w:cs="Arial"/>
          <w:lang w:eastAsia="en-US"/>
        </w:rPr>
        <w:t xml:space="preserve">prvom polugodištu </w:t>
      </w:r>
      <w:r w:rsidRPr="00191A61">
        <w:rPr>
          <w:rFonts w:ascii="Arial" w:eastAsia="Times New Roman" w:hAnsi="Arial" w:cs="Arial"/>
          <w:b/>
          <w:bCs/>
          <w:u w:val="single"/>
          <w:lang w:eastAsia="en-US"/>
        </w:rPr>
        <w:t>202</w:t>
      </w:r>
      <w:r>
        <w:rPr>
          <w:rFonts w:ascii="Arial" w:eastAsia="Times New Roman" w:hAnsi="Arial" w:cs="Arial"/>
          <w:b/>
          <w:bCs/>
          <w:u w:val="single"/>
          <w:lang w:eastAsia="en-US"/>
        </w:rPr>
        <w:t>5</w:t>
      </w:r>
      <w:r w:rsidRPr="00191A61">
        <w:rPr>
          <w:rFonts w:ascii="Arial" w:eastAsia="Times New Roman" w:hAnsi="Arial" w:cs="Arial"/>
          <w:lang w:eastAsia="en-US"/>
        </w:rPr>
        <w:t>. godine prihodi od pomoći od međunarodnih organizacija i tijela EU (</w:t>
      </w:r>
      <w:r w:rsidRPr="00191A61">
        <w:rPr>
          <w:rFonts w:ascii="Arial" w:eastAsia="Times New Roman" w:hAnsi="Arial" w:cs="Arial"/>
          <w:b/>
          <w:bCs/>
          <w:lang w:eastAsia="en-US"/>
        </w:rPr>
        <w:t>632</w:t>
      </w:r>
      <w:r w:rsidRPr="00191A61">
        <w:rPr>
          <w:rFonts w:ascii="Arial" w:eastAsia="Times New Roman" w:hAnsi="Arial" w:cs="Arial"/>
          <w:lang w:eastAsia="en-US"/>
        </w:rPr>
        <w:t xml:space="preserve">) su ostvareni u iznosu </w:t>
      </w:r>
      <w:r w:rsidR="00350AE0">
        <w:rPr>
          <w:rFonts w:ascii="Arial" w:eastAsia="Times New Roman" w:hAnsi="Arial" w:cs="Arial"/>
          <w:lang w:eastAsia="en-US"/>
        </w:rPr>
        <w:t>2.409</w:t>
      </w:r>
      <w:r w:rsidRPr="00191A61">
        <w:rPr>
          <w:rFonts w:ascii="Arial" w:eastAsia="Times New Roman" w:hAnsi="Arial" w:cs="Arial"/>
          <w:lang w:eastAsia="en-US"/>
        </w:rPr>
        <w:t xml:space="preserve"> €, a odnose se na:</w:t>
      </w:r>
    </w:p>
    <w:p w14:paraId="3D4A197F" w14:textId="19444E76" w:rsidR="00191A61" w:rsidRPr="00191A61" w:rsidRDefault="00191A61" w:rsidP="00191A6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191A61">
        <w:rPr>
          <w:rFonts w:ascii="Arial" w:eastAsia="Times New Roman" w:hAnsi="Arial" w:cs="Arial"/>
          <w:lang w:eastAsia="en-US"/>
        </w:rPr>
        <w:t>-</w:t>
      </w:r>
      <w:r w:rsidRPr="00191A61">
        <w:rPr>
          <w:rFonts w:ascii="Arial" w:eastAsia="Times New Roman" w:hAnsi="Arial" w:cs="Arial"/>
          <w:lang w:eastAsia="en-US"/>
        </w:rPr>
        <w:tab/>
        <w:t xml:space="preserve">prihode proračunskog korisnika – ustanova u kulturi: i to projekt Erasmus+ </w:t>
      </w:r>
      <w:r w:rsidR="00350AE0">
        <w:rPr>
          <w:rFonts w:ascii="Arial" w:eastAsia="Times New Roman" w:hAnsi="Arial" w:cs="Arial"/>
          <w:lang w:eastAsia="en-US"/>
        </w:rPr>
        <w:t>Belgija</w:t>
      </w:r>
      <w:r w:rsidRPr="00191A61">
        <w:rPr>
          <w:rFonts w:ascii="Arial" w:eastAsia="Times New Roman" w:hAnsi="Arial" w:cs="Arial"/>
          <w:lang w:eastAsia="en-US"/>
        </w:rPr>
        <w:t xml:space="preserve"> koordinator.</w:t>
      </w:r>
    </w:p>
    <w:p w14:paraId="1F9112C6" w14:textId="77777777" w:rsidR="00191A61" w:rsidRDefault="00191A61"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0E783ECD" w14:textId="1D544A15" w:rsidR="00847308" w:rsidRPr="00847308" w:rsidRDefault="00847308" w:rsidP="0084730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hAnsi="Arial" w:cs="Arial"/>
          <w:b/>
          <w:bCs/>
          <w:i/>
          <w:iCs/>
        </w:rPr>
      </w:pPr>
      <w:r w:rsidRPr="00847308">
        <w:rPr>
          <w:rFonts w:ascii="Arial" w:hAnsi="Arial" w:cs="Arial"/>
          <w:b/>
          <w:bCs/>
          <w:i/>
          <w:iCs/>
        </w:rPr>
        <w:t>63</w:t>
      </w:r>
      <w:r>
        <w:rPr>
          <w:rFonts w:ascii="Arial" w:hAnsi="Arial" w:cs="Arial"/>
          <w:b/>
          <w:bCs/>
          <w:i/>
          <w:iCs/>
        </w:rPr>
        <w:t>3</w:t>
      </w:r>
      <w:r w:rsidRPr="00847308">
        <w:rPr>
          <w:rFonts w:ascii="Arial" w:eastAsia="Times New Roman" w:hAnsi="Arial" w:cs="Arial"/>
          <w:b/>
          <w:bCs/>
          <w:i/>
          <w:iCs/>
          <w:lang w:eastAsia="en-US"/>
        </w:rPr>
        <w:t xml:space="preserve"> Pomoći </w:t>
      </w:r>
      <w:r>
        <w:rPr>
          <w:rFonts w:ascii="Arial" w:eastAsia="Times New Roman" w:hAnsi="Arial" w:cs="Arial"/>
          <w:b/>
          <w:bCs/>
          <w:i/>
          <w:iCs/>
          <w:lang w:eastAsia="en-US"/>
        </w:rPr>
        <w:t>proračunu iz drugih proračuna</w:t>
      </w:r>
    </w:p>
    <w:p w14:paraId="70913A58" w14:textId="77777777" w:rsidR="00847308" w:rsidRPr="003A2F86" w:rsidRDefault="00847308"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3E04C301" w14:textId="259B66E7" w:rsidR="0095672B" w:rsidRPr="003A2F86" w:rsidRDefault="0095672B" w:rsidP="009567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3A2F86">
        <w:rPr>
          <w:rFonts w:ascii="Arial" w:eastAsia="Times New Roman" w:hAnsi="Arial" w:cs="Arial"/>
          <w:lang w:eastAsia="en-US"/>
        </w:rPr>
        <w:t>Pomoći proračunu iz drugih proračuna (</w:t>
      </w:r>
      <w:r w:rsidRPr="00847308">
        <w:rPr>
          <w:rFonts w:ascii="Arial" w:eastAsia="Times New Roman" w:hAnsi="Arial" w:cs="Arial"/>
          <w:b/>
          <w:bCs/>
          <w:lang w:eastAsia="en-US"/>
        </w:rPr>
        <w:t>633</w:t>
      </w:r>
      <w:r w:rsidRPr="003A2F86">
        <w:rPr>
          <w:rFonts w:ascii="Arial" w:eastAsia="Times New Roman" w:hAnsi="Arial" w:cs="Arial"/>
          <w:lang w:eastAsia="en-US"/>
        </w:rPr>
        <w:t xml:space="preserve">) </w:t>
      </w:r>
      <w:r w:rsidR="00847308">
        <w:rPr>
          <w:rFonts w:ascii="Arial" w:eastAsia="Times New Roman" w:hAnsi="Arial" w:cs="Arial"/>
          <w:lang w:eastAsia="en-US"/>
        </w:rPr>
        <w:t>u 202</w:t>
      </w:r>
      <w:r w:rsidR="00E93D50">
        <w:rPr>
          <w:rFonts w:ascii="Arial" w:eastAsia="Times New Roman" w:hAnsi="Arial" w:cs="Arial"/>
          <w:lang w:eastAsia="en-US"/>
        </w:rPr>
        <w:t>5</w:t>
      </w:r>
      <w:r w:rsidR="00847308">
        <w:rPr>
          <w:rFonts w:ascii="Arial" w:eastAsia="Times New Roman" w:hAnsi="Arial" w:cs="Arial"/>
          <w:lang w:eastAsia="en-US"/>
        </w:rPr>
        <w:t xml:space="preserve">. </w:t>
      </w:r>
      <w:r w:rsidRPr="003A2F86">
        <w:rPr>
          <w:rFonts w:ascii="Arial" w:eastAsia="Times New Roman" w:hAnsi="Arial" w:cs="Arial"/>
          <w:lang w:eastAsia="en-US"/>
        </w:rPr>
        <w:t xml:space="preserve">u iznosu </w:t>
      </w:r>
      <w:r w:rsidR="00E93D50">
        <w:rPr>
          <w:rFonts w:ascii="Arial" w:eastAsia="Times New Roman" w:hAnsi="Arial" w:cs="Arial"/>
          <w:lang w:eastAsia="en-US"/>
        </w:rPr>
        <w:t>289.096,01</w:t>
      </w:r>
      <w:r w:rsidRPr="003A2F86">
        <w:rPr>
          <w:rFonts w:ascii="Arial" w:eastAsia="Times New Roman" w:hAnsi="Arial" w:cs="Arial"/>
          <w:lang w:eastAsia="en-US"/>
        </w:rPr>
        <w:t xml:space="preserve"> € što je za </w:t>
      </w:r>
      <w:r w:rsidR="009D1028">
        <w:rPr>
          <w:rFonts w:ascii="Arial" w:eastAsia="Times New Roman" w:hAnsi="Arial" w:cs="Arial"/>
          <w:lang w:eastAsia="en-US"/>
        </w:rPr>
        <w:t>229.275,98</w:t>
      </w:r>
      <w:r w:rsidRPr="003A2F86">
        <w:rPr>
          <w:rFonts w:ascii="Arial" w:eastAsia="Times New Roman" w:hAnsi="Arial" w:cs="Arial"/>
          <w:lang w:eastAsia="en-US"/>
        </w:rPr>
        <w:t xml:space="preserve"> € ili </w:t>
      </w:r>
      <w:r w:rsidR="009D1028">
        <w:rPr>
          <w:rFonts w:ascii="Arial" w:eastAsia="Times New Roman" w:hAnsi="Arial" w:cs="Arial"/>
          <w:lang w:eastAsia="en-US"/>
        </w:rPr>
        <w:t>383,3</w:t>
      </w:r>
      <w:r w:rsidRPr="003A2F86">
        <w:rPr>
          <w:rFonts w:ascii="Arial" w:eastAsia="Times New Roman" w:hAnsi="Arial" w:cs="Arial"/>
          <w:lang w:eastAsia="en-US"/>
        </w:rPr>
        <w:t xml:space="preserve">% više nego prethodne godine, a odnose se na tekuće pomoći u iznosu </w:t>
      </w:r>
      <w:r w:rsidR="009D1028">
        <w:rPr>
          <w:rFonts w:ascii="Arial" w:eastAsia="Times New Roman" w:hAnsi="Arial" w:cs="Arial"/>
          <w:lang w:eastAsia="en-US"/>
        </w:rPr>
        <w:t>97.967,82</w:t>
      </w:r>
      <w:r w:rsidRPr="003A2F86">
        <w:rPr>
          <w:rFonts w:ascii="Arial" w:eastAsia="Times New Roman" w:hAnsi="Arial" w:cs="Arial"/>
          <w:lang w:eastAsia="en-US"/>
        </w:rPr>
        <w:t xml:space="preserve"> € i kapitalne pomoći </w:t>
      </w:r>
      <w:r w:rsidR="00D60555">
        <w:rPr>
          <w:rFonts w:ascii="Arial" w:eastAsia="Times New Roman" w:hAnsi="Arial" w:cs="Arial"/>
          <w:lang w:eastAsia="en-US"/>
        </w:rPr>
        <w:t>191.128,19</w:t>
      </w:r>
      <w:r w:rsidRPr="003A2F86">
        <w:rPr>
          <w:rFonts w:ascii="Arial" w:eastAsia="Times New Roman" w:hAnsi="Arial" w:cs="Arial"/>
          <w:lang w:eastAsia="en-US"/>
        </w:rPr>
        <w:t xml:space="preserve"> €.</w:t>
      </w:r>
    </w:p>
    <w:p w14:paraId="57B9D52E" w14:textId="77777777" w:rsidR="0095672B" w:rsidRPr="003A2F86" w:rsidRDefault="0095672B" w:rsidP="009567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0F341B0F" w14:textId="1786B35B" w:rsidR="0095672B" w:rsidRPr="003A2F86" w:rsidRDefault="0095672B" w:rsidP="009567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AE7989">
        <w:rPr>
          <w:rFonts w:ascii="Arial" w:eastAsia="Times New Roman" w:hAnsi="Arial" w:cs="Arial"/>
          <w:b/>
          <w:bCs/>
          <w:i/>
          <w:iCs/>
          <w:lang w:eastAsia="en-US"/>
        </w:rPr>
        <w:t>Tekuće pomoći</w:t>
      </w:r>
      <w:r w:rsidRPr="003A2F86">
        <w:rPr>
          <w:rFonts w:ascii="Arial" w:eastAsia="Times New Roman" w:hAnsi="Arial" w:cs="Arial"/>
          <w:lang w:eastAsia="en-US"/>
        </w:rPr>
        <w:t xml:space="preserve"> proračunu iz drugih proračuna (6331) </w:t>
      </w:r>
      <w:r w:rsidR="00AE7989">
        <w:rPr>
          <w:rFonts w:ascii="Arial" w:eastAsia="Times New Roman" w:hAnsi="Arial" w:cs="Arial"/>
          <w:lang w:eastAsia="en-US"/>
        </w:rPr>
        <w:t xml:space="preserve">u </w:t>
      </w:r>
      <w:r w:rsidR="00AE7989" w:rsidRPr="00DC6C37">
        <w:rPr>
          <w:rFonts w:ascii="Arial" w:eastAsia="Times New Roman" w:hAnsi="Arial" w:cs="Arial"/>
          <w:b/>
          <w:bCs/>
          <w:lang w:eastAsia="en-US"/>
        </w:rPr>
        <w:t>202</w:t>
      </w:r>
      <w:r w:rsidR="00DC6C37" w:rsidRPr="00DC6C37">
        <w:rPr>
          <w:rFonts w:ascii="Arial" w:eastAsia="Times New Roman" w:hAnsi="Arial" w:cs="Arial"/>
          <w:b/>
          <w:bCs/>
          <w:lang w:eastAsia="en-US"/>
        </w:rPr>
        <w:t>5</w:t>
      </w:r>
      <w:r w:rsidR="00AE7989" w:rsidRPr="00DC6C37">
        <w:rPr>
          <w:rFonts w:ascii="Arial" w:eastAsia="Times New Roman" w:hAnsi="Arial" w:cs="Arial"/>
          <w:b/>
          <w:bCs/>
          <w:lang w:eastAsia="en-US"/>
        </w:rPr>
        <w:t>.</w:t>
      </w:r>
      <w:r w:rsidR="00AE7989">
        <w:rPr>
          <w:rFonts w:ascii="Arial" w:eastAsia="Times New Roman" w:hAnsi="Arial" w:cs="Arial"/>
          <w:lang w:eastAsia="en-US"/>
        </w:rPr>
        <w:t xml:space="preserve"> </w:t>
      </w:r>
      <w:r w:rsidRPr="003A2F86">
        <w:rPr>
          <w:rFonts w:ascii="Arial" w:eastAsia="Times New Roman" w:hAnsi="Arial" w:cs="Arial"/>
          <w:lang w:eastAsia="en-US"/>
        </w:rPr>
        <w:t xml:space="preserve">su ostvarene u iznosu </w:t>
      </w:r>
      <w:r w:rsidR="00DC6C37">
        <w:rPr>
          <w:rFonts w:ascii="Arial" w:eastAsia="Times New Roman" w:hAnsi="Arial" w:cs="Arial"/>
          <w:lang w:eastAsia="en-US"/>
        </w:rPr>
        <w:t>97.967,82</w:t>
      </w:r>
      <w:r w:rsidRPr="003A2F86">
        <w:rPr>
          <w:rFonts w:ascii="Arial" w:eastAsia="Times New Roman" w:hAnsi="Arial" w:cs="Arial"/>
          <w:lang w:eastAsia="en-US"/>
        </w:rPr>
        <w:t xml:space="preserve"> € od čega pomoći iz državnog proračuna </w:t>
      </w:r>
      <w:r w:rsidR="002F05E5">
        <w:rPr>
          <w:rFonts w:ascii="Arial" w:eastAsia="Times New Roman" w:hAnsi="Arial" w:cs="Arial"/>
          <w:lang w:eastAsia="en-US"/>
        </w:rPr>
        <w:t>u iznosu 96.220,31 € i pomoći iz proračuna grada Dubrovnika 1.747,51 €</w:t>
      </w:r>
      <w:r w:rsidR="0083771E">
        <w:rPr>
          <w:rFonts w:ascii="Arial" w:eastAsia="Times New Roman" w:hAnsi="Arial" w:cs="Arial"/>
          <w:lang w:eastAsia="en-US"/>
        </w:rPr>
        <w:t>. Pomoći iz državnog proračuna se odnose na</w:t>
      </w:r>
      <w:r w:rsidRPr="003A2F86">
        <w:rPr>
          <w:rFonts w:ascii="Arial" w:eastAsia="Times New Roman" w:hAnsi="Arial" w:cs="Arial"/>
          <w:lang w:eastAsia="en-US"/>
        </w:rPr>
        <w:t>:</w:t>
      </w:r>
    </w:p>
    <w:p w14:paraId="33BE9A24" w14:textId="75234778" w:rsidR="0095672B" w:rsidRDefault="0095672B" w:rsidP="009567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3A2F86">
        <w:rPr>
          <w:rFonts w:ascii="Arial" w:eastAsia="Times New Roman" w:hAnsi="Arial" w:cs="Arial"/>
          <w:lang w:eastAsia="en-US"/>
        </w:rPr>
        <w:t xml:space="preserve">- pomoći Ministarstva znanosti i obrazovanja za fiskalnu održivost dječjih vrtića u iznosu </w:t>
      </w:r>
      <w:r w:rsidR="00672C09">
        <w:rPr>
          <w:rFonts w:ascii="Arial" w:eastAsia="Times New Roman" w:hAnsi="Arial" w:cs="Arial"/>
          <w:lang w:eastAsia="en-US"/>
        </w:rPr>
        <w:t>55.860</w:t>
      </w:r>
      <w:r w:rsidRPr="003A2F86">
        <w:rPr>
          <w:rFonts w:ascii="Arial" w:eastAsia="Times New Roman" w:hAnsi="Arial" w:cs="Arial"/>
          <w:lang w:eastAsia="en-US"/>
        </w:rPr>
        <w:t xml:space="preserve"> €,</w:t>
      </w:r>
    </w:p>
    <w:p w14:paraId="057097B2" w14:textId="77777777" w:rsidR="009B7391" w:rsidRPr="003A2F86" w:rsidRDefault="009B7391" w:rsidP="009B739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3A2F86">
        <w:rPr>
          <w:rFonts w:ascii="Arial" w:eastAsia="Times New Roman" w:hAnsi="Arial" w:cs="Arial"/>
          <w:lang w:eastAsia="en-US"/>
        </w:rPr>
        <w:t xml:space="preserve">- pomoći za provedbu </w:t>
      </w:r>
      <w:r>
        <w:rPr>
          <w:rFonts w:ascii="Arial" w:eastAsia="Times New Roman" w:hAnsi="Arial" w:cs="Arial"/>
          <w:lang w:eastAsia="en-US"/>
        </w:rPr>
        <w:t xml:space="preserve">lokalnih </w:t>
      </w:r>
      <w:r w:rsidRPr="003A2F86">
        <w:rPr>
          <w:rFonts w:ascii="Arial" w:eastAsia="Times New Roman" w:hAnsi="Arial" w:cs="Arial"/>
          <w:lang w:eastAsia="en-US"/>
        </w:rPr>
        <w:t xml:space="preserve">izbora </w:t>
      </w:r>
      <w:r>
        <w:rPr>
          <w:rFonts w:ascii="Arial" w:eastAsia="Times New Roman" w:hAnsi="Arial" w:cs="Arial"/>
          <w:lang w:eastAsia="en-US"/>
        </w:rPr>
        <w:t>40.360,31</w:t>
      </w:r>
      <w:r w:rsidRPr="003A2F86">
        <w:rPr>
          <w:rFonts w:ascii="Arial" w:eastAsia="Times New Roman" w:hAnsi="Arial" w:cs="Arial"/>
          <w:lang w:eastAsia="en-US"/>
        </w:rPr>
        <w:t xml:space="preserve"> €</w:t>
      </w:r>
      <w:r>
        <w:rPr>
          <w:rFonts w:ascii="Arial" w:eastAsia="Times New Roman" w:hAnsi="Arial" w:cs="Arial"/>
          <w:lang w:eastAsia="en-US"/>
        </w:rPr>
        <w:t>.</w:t>
      </w:r>
    </w:p>
    <w:p w14:paraId="322C3530" w14:textId="0A441037" w:rsidR="0095672B" w:rsidRPr="003A2F86" w:rsidRDefault="009B7391" w:rsidP="009567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Pr>
          <w:rFonts w:ascii="Arial" w:eastAsia="Times New Roman" w:hAnsi="Arial" w:cs="Arial"/>
          <w:lang w:eastAsia="en-US"/>
        </w:rPr>
        <w:t>P</w:t>
      </w:r>
      <w:r w:rsidR="0095672B" w:rsidRPr="003A2F86">
        <w:rPr>
          <w:rFonts w:ascii="Arial" w:eastAsia="Times New Roman" w:hAnsi="Arial" w:cs="Arial"/>
          <w:lang w:eastAsia="en-US"/>
        </w:rPr>
        <w:t xml:space="preserve">omoć iz Državnog proračuna za funkcionalno spajanje, odnosno zajedničko obavljanje poslova između više jedinica lokalne obavljanje djelatnosti prijevoza putem društva Libertas u iznosu </w:t>
      </w:r>
      <w:r w:rsidR="00672C09">
        <w:rPr>
          <w:rFonts w:ascii="Arial" w:eastAsia="Times New Roman" w:hAnsi="Arial" w:cs="Arial"/>
          <w:lang w:eastAsia="en-US"/>
        </w:rPr>
        <w:t>0</w:t>
      </w:r>
      <w:r w:rsidR="0095672B" w:rsidRPr="003A2F86">
        <w:rPr>
          <w:rFonts w:ascii="Arial" w:eastAsia="Times New Roman" w:hAnsi="Arial" w:cs="Arial"/>
          <w:lang w:eastAsia="en-US"/>
        </w:rPr>
        <w:t xml:space="preserve"> €, te za obavljanje knjižnične djelatnosti putem Dubrovačkih knjižnica </w:t>
      </w:r>
      <w:r w:rsidR="00672C09">
        <w:rPr>
          <w:rFonts w:ascii="Arial" w:eastAsia="Times New Roman" w:hAnsi="Arial" w:cs="Arial"/>
          <w:lang w:eastAsia="en-US"/>
        </w:rPr>
        <w:t>0</w:t>
      </w:r>
      <w:r w:rsidR="0095672B" w:rsidRPr="003A2F86">
        <w:rPr>
          <w:rFonts w:ascii="Arial" w:eastAsia="Times New Roman" w:hAnsi="Arial" w:cs="Arial"/>
          <w:lang w:eastAsia="en-US"/>
        </w:rPr>
        <w:t xml:space="preserve"> €)</w:t>
      </w:r>
      <w:r w:rsidR="00716FEB">
        <w:rPr>
          <w:rFonts w:ascii="Arial" w:eastAsia="Times New Roman" w:hAnsi="Arial" w:cs="Arial"/>
          <w:lang w:eastAsia="en-US"/>
        </w:rPr>
        <w:t xml:space="preserve"> nisu ostvarene u prvom polugodištu.</w:t>
      </w:r>
    </w:p>
    <w:p w14:paraId="11ADE9C2" w14:textId="77777777" w:rsidR="00EE37D6" w:rsidRDefault="00EE37D6" w:rsidP="009567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3033574C" w14:textId="319D888E" w:rsidR="00D60555" w:rsidRPr="00D60555" w:rsidRDefault="00D60555" w:rsidP="00D605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D60555">
        <w:rPr>
          <w:rFonts w:ascii="Arial" w:eastAsia="Times New Roman" w:hAnsi="Arial" w:cs="Arial"/>
          <w:b/>
          <w:bCs/>
          <w:i/>
          <w:iCs/>
          <w:sz w:val="18"/>
          <w:szCs w:val="18"/>
          <w:lang w:eastAsia="en-US"/>
        </w:rPr>
        <w:t>Tekuće pomoći</w:t>
      </w:r>
      <w:r w:rsidRPr="00D60555">
        <w:rPr>
          <w:rFonts w:ascii="Arial" w:eastAsia="Times New Roman" w:hAnsi="Arial" w:cs="Arial"/>
          <w:sz w:val="18"/>
          <w:szCs w:val="18"/>
          <w:lang w:eastAsia="en-US"/>
        </w:rPr>
        <w:t xml:space="preserve"> proračunu iz drugih proračuna (6331) u </w:t>
      </w:r>
      <w:r w:rsidRPr="00D60555">
        <w:rPr>
          <w:rFonts w:ascii="Arial" w:eastAsia="Times New Roman" w:hAnsi="Arial" w:cs="Arial"/>
          <w:b/>
          <w:bCs/>
          <w:sz w:val="18"/>
          <w:szCs w:val="18"/>
          <w:lang w:eastAsia="en-US"/>
        </w:rPr>
        <w:t>2024.</w:t>
      </w:r>
      <w:r w:rsidRPr="00D60555">
        <w:rPr>
          <w:rFonts w:ascii="Arial" w:eastAsia="Times New Roman" w:hAnsi="Arial" w:cs="Arial"/>
          <w:sz w:val="18"/>
          <w:szCs w:val="18"/>
          <w:lang w:eastAsia="en-US"/>
        </w:rPr>
        <w:t xml:space="preserve"> su </w:t>
      </w:r>
      <w:r>
        <w:rPr>
          <w:rFonts w:ascii="Arial" w:eastAsia="Times New Roman" w:hAnsi="Arial" w:cs="Arial"/>
          <w:sz w:val="18"/>
          <w:szCs w:val="18"/>
          <w:lang w:eastAsia="en-US"/>
        </w:rPr>
        <w:t>iznosile</w:t>
      </w:r>
      <w:r w:rsidRPr="00D60555">
        <w:rPr>
          <w:rFonts w:ascii="Arial" w:eastAsia="Times New Roman" w:hAnsi="Arial" w:cs="Arial"/>
          <w:sz w:val="18"/>
          <w:szCs w:val="18"/>
          <w:lang w:eastAsia="en-US"/>
        </w:rPr>
        <w:t xml:space="preserve"> 184.176,14 € od čega pomoći iz državnog proračuna u iznosu 177.186,10 € i to:</w:t>
      </w:r>
    </w:p>
    <w:p w14:paraId="3CA8D035" w14:textId="39FBB9AD" w:rsidR="00D60555" w:rsidRPr="00D60555" w:rsidRDefault="00D60555" w:rsidP="00D605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D60555">
        <w:rPr>
          <w:rFonts w:ascii="Arial" w:eastAsia="Times New Roman" w:hAnsi="Arial" w:cs="Arial"/>
          <w:sz w:val="18"/>
          <w:szCs w:val="18"/>
          <w:lang w:eastAsia="en-US"/>
        </w:rPr>
        <w:lastRenderedPageBreak/>
        <w:t>- pomoći Središnji državni ured za demografiju i mlade u iznosu 2.156,62 € po konačnom obračunu tj. udio 15% sredstava iz državnog proračuna u sredstvima po ugovoru o dodjeli bespovratnih sredstava za provedbu projekta „Otvorimo južna vrata Lijepe naše“,</w:t>
      </w:r>
    </w:p>
    <w:p w14:paraId="334853AD" w14:textId="77777777" w:rsidR="00D60555" w:rsidRPr="00D60555" w:rsidRDefault="00D60555" w:rsidP="00D605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D60555">
        <w:rPr>
          <w:rFonts w:ascii="Arial" w:eastAsia="Times New Roman" w:hAnsi="Arial" w:cs="Arial"/>
          <w:sz w:val="18"/>
          <w:szCs w:val="18"/>
          <w:lang w:eastAsia="en-US"/>
        </w:rPr>
        <w:t>- pomoći Ministarstva znanosti i obrazovanja za fiskalnu održivost dječjih vrtića u iznosu 99.183 €,</w:t>
      </w:r>
    </w:p>
    <w:p w14:paraId="78BEE631" w14:textId="77777777" w:rsidR="00D60555" w:rsidRPr="00D60555" w:rsidRDefault="00D60555" w:rsidP="00D605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D60555">
        <w:rPr>
          <w:rFonts w:ascii="Arial" w:eastAsia="Times New Roman" w:hAnsi="Arial" w:cs="Arial"/>
          <w:sz w:val="18"/>
          <w:szCs w:val="18"/>
          <w:lang w:eastAsia="en-US"/>
        </w:rPr>
        <w:t>- pomoć iz Državnog proračuna za funkcionalno spajanje, odnosno zajedničko obavljanje poslova između više jedinica lokalne samouprave u iznosu 26.336,48 € (obavljanje djelatnosti prijevoza putem društva Libertas u iznosu 24.346,44 €, te za obavljanje knjižnične djelatnosti putem Dubrovačkih knjižnica 1.990,04 €),</w:t>
      </w:r>
    </w:p>
    <w:p w14:paraId="4E91D78B" w14:textId="77777777" w:rsidR="00D60555" w:rsidRPr="00D60555" w:rsidRDefault="00D60555" w:rsidP="00D605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D60555">
        <w:rPr>
          <w:rFonts w:ascii="Arial" w:eastAsia="Times New Roman" w:hAnsi="Arial" w:cs="Arial"/>
          <w:sz w:val="18"/>
          <w:szCs w:val="18"/>
          <w:lang w:eastAsia="en-US"/>
        </w:rPr>
        <w:t xml:space="preserve">- pomoći Ministarstva poljoprivrede za sufinanciranje manifestacije Mirisi Božića 2023. u iznosu 5.740 €, </w:t>
      </w:r>
    </w:p>
    <w:p w14:paraId="4C06BF25" w14:textId="77777777" w:rsidR="00D60555" w:rsidRPr="00D60555" w:rsidRDefault="00D60555" w:rsidP="00D605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D60555">
        <w:rPr>
          <w:rFonts w:ascii="Arial" w:eastAsia="Times New Roman" w:hAnsi="Arial" w:cs="Arial"/>
          <w:sz w:val="18"/>
          <w:szCs w:val="18"/>
          <w:lang w:eastAsia="en-US"/>
        </w:rPr>
        <w:t>- pomoći za provedbu izbora (za Europski parlament i za Hrvatski sabor) 828,50 €,</w:t>
      </w:r>
    </w:p>
    <w:p w14:paraId="39DFCB81" w14:textId="77777777" w:rsidR="00D60555" w:rsidRPr="00D60555" w:rsidRDefault="00D60555" w:rsidP="00D605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D60555">
        <w:rPr>
          <w:rFonts w:ascii="Arial" w:eastAsia="Times New Roman" w:hAnsi="Arial" w:cs="Arial"/>
          <w:sz w:val="18"/>
          <w:szCs w:val="18"/>
          <w:lang w:eastAsia="en-US"/>
        </w:rPr>
        <w:t>- pomoć Ministarstva za regionalni razvoj i EU fondove za sufinanciranje provedbe projekta u suradnju s Gradom Mostarom 42.941,50 € (Zajedno za zeleni razvoj).</w:t>
      </w:r>
    </w:p>
    <w:p w14:paraId="32DDA1DD" w14:textId="77777777" w:rsidR="00D60555" w:rsidRPr="00DC6C37" w:rsidRDefault="00D60555" w:rsidP="009567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p>
    <w:p w14:paraId="5938DEEF" w14:textId="32C4696F" w:rsidR="00747E4C" w:rsidRPr="003A2F86" w:rsidRDefault="00747E4C" w:rsidP="00AE79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 xml:space="preserve">Tekuće pomoći proračunu iz drugih proračuna (6331) u </w:t>
      </w:r>
      <w:r w:rsidRPr="003A2F86">
        <w:rPr>
          <w:rFonts w:ascii="Arial" w:eastAsia="Times New Roman" w:hAnsi="Arial" w:cs="Arial"/>
          <w:b/>
          <w:bCs/>
          <w:sz w:val="18"/>
          <w:szCs w:val="18"/>
          <w:lang w:eastAsia="en-US"/>
        </w:rPr>
        <w:t>2023.</w:t>
      </w:r>
      <w:r w:rsidRPr="003A2F86">
        <w:rPr>
          <w:rFonts w:ascii="Arial" w:eastAsia="Times New Roman" w:hAnsi="Arial" w:cs="Arial"/>
          <w:sz w:val="18"/>
          <w:szCs w:val="18"/>
          <w:lang w:eastAsia="en-US"/>
        </w:rPr>
        <w:t xml:space="preserve"> godini su</w:t>
      </w:r>
      <w:r w:rsidR="00B85134" w:rsidRPr="003A2F86">
        <w:rPr>
          <w:rFonts w:ascii="Arial" w:eastAsia="Times New Roman" w:hAnsi="Arial" w:cs="Arial"/>
          <w:sz w:val="18"/>
          <w:szCs w:val="18"/>
          <w:lang w:eastAsia="en-US"/>
        </w:rPr>
        <w:t xml:space="preserve"> bile</w:t>
      </w:r>
      <w:r w:rsidRPr="003A2F86">
        <w:rPr>
          <w:rFonts w:ascii="Arial" w:eastAsia="Times New Roman" w:hAnsi="Arial" w:cs="Arial"/>
          <w:sz w:val="18"/>
          <w:szCs w:val="18"/>
          <w:lang w:eastAsia="en-US"/>
        </w:rPr>
        <w:t xml:space="preserve"> ostvarene u iznosu 73.408,13 € od čega pomoći iz državnog proračuna u iznosu 67.165,60 € i to:</w:t>
      </w:r>
    </w:p>
    <w:p w14:paraId="75CD59E0" w14:textId="77777777" w:rsidR="00747E4C" w:rsidRPr="003A2F86" w:rsidRDefault="00747E4C" w:rsidP="00AE79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 pomoći Središnji državni ured za demografiju i mlade u iznosu 7.025,20 € tj. udio 15% sredstava iz državnog proračuna u sredstvima po ugovoru o dodjeli bespovratnih sredstava za provedbu projekta „Otvorimo južna vrata Lijepe naše“ – projekt koji se provodi u dječjem vrtiću,</w:t>
      </w:r>
    </w:p>
    <w:p w14:paraId="61FDEB85" w14:textId="77777777" w:rsidR="00747E4C" w:rsidRPr="003A2F86" w:rsidRDefault="00747E4C" w:rsidP="00AE79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 pomoći Ministarstva znanosti i obrazovanja za fiskalnu održivost dječjih vrtića u iznosu 23.751 €,</w:t>
      </w:r>
    </w:p>
    <w:p w14:paraId="654144FA" w14:textId="47EF1ECA" w:rsidR="00747E4C" w:rsidRPr="003A2F86" w:rsidRDefault="00747E4C" w:rsidP="00AE79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 pomoć iz Državnog proračuna za funkcionalno spajanje, odnosno zajedničko obavljanje poslova između više jedinica lokalne samouprave u iznosu 30.975 € (obavljanje djelatnosti prijevoza putem društva Libertas u iznosu 29.250 €, te za obavljanje knjižnične djelatnosti putem Dubrovačkih knjižnica 1.725 €),</w:t>
      </w:r>
    </w:p>
    <w:p w14:paraId="140007BC" w14:textId="77777777" w:rsidR="00747E4C" w:rsidRPr="003A2F86" w:rsidRDefault="00747E4C" w:rsidP="00AE79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 xml:space="preserve">- pomoći Ministarstva poljoprivrede za sufinanciranje manifestacije Mirisi Božića 2022. u iznosu 3.682,46 €, </w:t>
      </w:r>
    </w:p>
    <w:p w14:paraId="603573C3" w14:textId="77777777" w:rsidR="00747E4C" w:rsidRPr="003A2F86" w:rsidRDefault="00747E4C" w:rsidP="00AE79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 refundacija putnih troškova u iznosu 179,04 € za sudjelovanje jednog člana Općine na konstituirajućoj sjednica Odbora za praćenje i provedbu programa konkurentnost i kohezija,</w:t>
      </w:r>
    </w:p>
    <w:p w14:paraId="65393EC3" w14:textId="7DA6F014" w:rsidR="00747E4C" w:rsidRPr="003A2F86" w:rsidRDefault="00747E4C" w:rsidP="00AE79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 pomoć iz Ministarstva rada, mirovinskog sustava, obitelji i socijalne politike u iznosu 1.552,90 € (Odluka o kriterijima i mjerilima za financiranje  troškova stanovanja te iznosu sredstava za pojedinu jedinicu lokalne samouprave za 2023. godinu, NN 05/2023).</w:t>
      </w:r>
    </w:p>
    <w:p w14:paraId="468A0E7E" w14:textId="6993A43C" w:rsidR="00DE5AC9" w:rsidRPr="003A2F86" w:rsidRDefault="00747E4C" w:rsidP="00AE79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P</w:t>
      </w:r>
      <w:r w:rsidR="00DE5AC9" w:rsidRPr="003A2F86">
        <w:rPr>
          <w:rFonts w:ascii="Arial" w:eastAsia="Times New Roman" w:hAnsi="Arial" w:cs="Arial"/>
          <w:sz w:val="18"/>
          <w:szCs w:val="18"/>
          <w:lang w:eastAsia="en-US"/>
        </w:rPr>
        <w:t>omoći u skladu s odredbama 15. stavak 2. Zakona o financiranju JLP(R)S (Narodne novine 127/17)</w:t>
      </w:r>
      <w:r w:rsidRPr="003A2F86">
        <w:rPr>
          <w:rFonts w:ascii="Arial" w:eastAsia="Times New Roman" w:hAnsi="Arial" w:cs="Arial"/>
          <w:sz w:val="18"/>
          <w:szCs w:val="18"/>
          <w:lang w:eastAsia="en-US"/>
        </w:rPr>
        <w:t>,</w:t>
      </w:r>
      <w:r w:rsidR="00DE5AC9" w:rsidRPr="003A2F86">
        <w:rPr>
          <w:rFonts w:ascii="Arial" w:eastAsia="Times New Roman" w:hAnsi="Arial" w:cs="Arial"/>
          <w:sz w:val="18"/>
          <w:szCs w:val="18"/>
          <w:lang w:eastAsia="en-US"/>
        </w:rPr>
        <w:t xml:space="preserve"> kao razlika manje ostvarenih prihoda od poreza na dohodak u 2018. godine u odnosu na isto razdoblje 2017. godine</w:t>
      </w:r>
      <w:r w:rsidRPr="003A2F86">
        <w:rPr>
          <w:rFonts w:ascii="Arial" w:eastAsia="Times New Roman" w:hAnsi="Arial" w:cs="Arial"/>
          <w:sz w:val="18"/>
          <w:szCs w:val="18"/>
          <w:lang w:eastAsia="en-US"/>
        </w:rPr>
        <w:t xml:space="preserve"> posljednji put su ostvareni za 2022. godinu</w:t>
      </w:r>
      <w:r w:rsidR="00DE5AC9" w:rsidRPr="003A2F86">
        <w:rPr>
          <w:rFonts w:ascii="Arial" w:eastAsia="Times New Roman" w:hAnsi="Arial" w:cs="Arial"/>
          <w:sz w:val="18"/>
          <w:szCs w:val="18"/>
          <w:lang w:eastAsia="en-US"/>
        </w:rPr>
        <w:t xml:space="preserve"> (izmjena poreznih propisa 2017. godine,</w:t>
      </w:r>
      <w:r w:rsidRPr="003A2F86">
        <w:rPr>
          <w:rFonts w:ascii="Arial" w:eastAsia="Times New Roman" w:hAnsi="Arial" w:cs="Arial"/>
          <w:sz w:val="18"/>
          <w:szCs w:val="18"/>
          <w:lang w:eastAsia="en-US"/>
        </w:rPr>
        <w:t xml:space="preserve"> te su</w:t>
      </w:r>
      <w:r w:rsidR="00DE5AC9" w:rsidRPr="003A2F86">
        <w:rPr>
          <w:rFonts w:ascii="Arial" w:eastAsia="Times New Roman" w:hAnsi="Arial" w:cs="Arial"/>
          <w:sz w:val="18"/>
          <w:szCs w:val="18"/>
          <w:lang w:eastAsia="en-US"/>
        </w:rPr>
        <w:t xml:space="preserve"> za 2021. </w:t>
      </w:r>
      <w:r w:rsidRPr="003A2F86">
        <w:rPr>
          <w:rFonts w:ascii="Arial" w:eastAsia="Times New Roman" w:hAnsi="Arial" w:cs="Arial"/>
          <w:sz w:val="18"/>
          <w:szCs w:val="18"/>
          <w:lang w:eastAsia="en-US"/>
        </w:rPr>
        <w:t xml:space="preserve">isplaćene </w:t>
      </w:r>
      <w:r w:rsidR="00DE5AC9" w:rsidRPr="003A2F86">
        <w:rPr>
          <w:rFonts w:ascii="Arial" w:eastAsia="Times New Roman" w:hAnsi="Arial" w:cs="Arial"/>
          <w:sz w:val="18"/>
          <w:szCs w:val="18"/>
          <w:lang w:eastAsia="en-US"/>
        </w:rPr>
        <w:t>u visini 60%</w:t>
      </w:r>
      <w:r w:rsidRPr="003A2F86">
        <w:rPr>
          <w:rFonts w:ascii="Arial" w:eastAsia="Times New Roman" w:hAnsi="Arial" w:cs="Arial"/>
          <w:sz w:val="18"/>
          <w:szCs w:val="18"/>
          <w:lang w:eastAsia="en-US"/>
        </w:rPr>
        <w:t xml:space="preserve">, a za 2022. godinu u visini 30% </w:t>
      </w:r>
      <w:r w:rsidR="00DE5AC9" w:rsidRPr="003A2F86">
        <w:rPr>
          <w:rFonts w:ascii="Arial" w:eastAsia="Times New Roman" w:hAnsi="Arial" w:cs="Arial"/>
          <w:sz w:val="18"/>
          <w:szCs w:val="18"/>
          <w:lang w:eastAsia="en-US"/>
        </w:rPr>
        <w:t xml:space="preserve">pomoći utvrđenih Zakonom radi izmjene poreznih propisa iz područja oporezivanja poreza na dohodak). </w:t>
      </w:r>
    </w:p>
    <w:p w14:paraId="395ACF84" w14:textId="77777777" w:rsidR="00DE5AC9" w:rsidRPr="003A2F86" w:rsidRDefault="00DE5AC9" w:rsidP="00DE5AC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46824452" w14:textId="4F9FCBB9" w:rsidR="0095672B" w:rsidRPr="003A2F86" w:rsidRDefault="0095672B" w:rsidP="009567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3A2F86">
        <w:rPr>
          <w:rFonts w:ascii="Arial" w:eastAsia="Times New Roman" w:hAnsi="Arial" w:cs="Arial"/>
          <w:lang w:eastAsia="en-US"/>
        </w:rPr>
        <w:t xml:space="preserve">Dio tekućih pomoći iz drugih proračuna (6331) odnosi se na pomoći iz gradskog proračuna u iznosu </w:t>
      </w:r>
      <w:r w:rsidR="00716FEB">
        <w:rPr>
          <w:rFonts w:ascii="Arial" w:eastAsia="Times New Roman" w:hAnsi="Arial" w:cs="Arial"/>
          <w:lang w:eastAsia="en-US"/>
        </w:rPr>
        <w:t>1.747,51</w:t>
      </w:r>
      <w:r w:rsidRPr="003A2F86">
        <w:rPr>
          <w:rFonts w:ascii="Arial" w:eastAsia="Times New Roman" w:hAnsi="Arial" w:cs="Arial"/>
          <w:lang w:eastAsia="en-US"/>
        </w:rPr>
        <w:t xml:space="preserve"> € (sudjelovanje Grada Dubrovnika u sufinanciranju provedbe projekta unapređenje proizvodnje grožđa i vina sorte malvasija dubrovačka bijela I faza 2020.-2025</w:t>
      </w:r>
      <w:r w:rsidR="00905E33">
        <w:rPr>
          <w:rFonts w:ascii="Arial" w:eastAsia="Times New Roman" w:hAnsi="Arial" w:cs="Arial"/>
          <w:lang w:eastAsia="en-US"/>
        </w:rPr>
        <w:t>.</w:t>
      </w:r>
      <w:r w:rsidRPr="003A2F86">
        <w:rPr>
          <w:rFonts w:ascii="Arial" w:eastAsia="Times New Roman" w:hAnsi="Arial" w:cs="Arial"/>
          <w:lang w:eastAsia="en-US"/>
        </w:rPr>
        <w:t>).</w:t>
      </w:r>
    </w:p>
    <w:p w14:paraId="7FE7BC54" w14:textId="77777777" w:rsidR="0095672B" w:rsidRPr="003A2F86" w:rsidRDefault="0095672B" w:rsidP="00DE5AC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252CB417" w14:textId="463FECA2" w:rsidR="0095672B" w:rsidRPr="003A2F86" w:rsidRDefault="0095672B" w:rsidP="009567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r w:rsidRPr="00AE7989">
        <w:rPr>
          <w:rFonts w:ascii="Arial" w:hAnsi="Arial" w:cs="Arial"/>
          <w:b/>
          <w:bCs/>
          <w:i/>
          <w:iCs/>
        </w:rPr>
        <w:t>Kapitalne pomoći</w:t>
      </w:r>
      <w:r w:rsidRPr="003A2F86">
        <w:rPr>
          <w:rFonts w:ascii="Arial" w:hAnsi="Arial" w:cs="Arial"/>
        </w:rPr>
        <w:t xml:space="preserve"> proračunu iz drugih proračuna (6332) </w:t>
      </w:r>
      <w:r w:rsidR="00AE7989" w:rsidRPr="00905E33">
        <w:rPr>
          <w:rFonts w:ascii="Arial" w:hAnsi="Arial" w:cs="Arial"/>
          <w:b/>
          <w:bCs/>
        </w:rPr>
        <w:t>u 20</w:t>
      </w:r>
      <w:r w:rsidR="00905E33" w:rsidRPr="00905E33">
        <w:rPr>
          <w:rFonts w:ascii="Arial" w:hAnsi="Arial" w:cs="Arial"/>
          <w:b/>
          <w:bCs/>
        </w:rPr>
        <w:t>25</w:t>
      </w:r>
      <w:r w:rsidR="00AE7989" w:rsidRPr="00905E33">
        <w:rPr>
          <w:rFonts w:ascii="Arial" w:hAnsi="Arial" w:cs="Arial"/>
          <w:b/>
          <w:bCs/>
        </w:rPr>
        <w:t>.</w:t>
      </w:r>
      <w:r w:rsidR="00AE7989">
        <w:rPr>
          <w:rFonts w:ascii="Arial" w:hAnsi="Arial" w:cs="Arial"/>
        </w:rPr>
        <w:t xml:space="preserve"> </w:t>
      </w:r>
      <w:r w:rsidRPr="003A2F86">
        <w:rPr>
          <w:rFonts w:ascii="Arial" w:hAnsi="Arial" w:cs="Arial"/>
        </w:rPr>
        <w:t xml:space="preserve">su ostvarene u iznosu </w:t>
      </w:r>
      <w:r w:rsidR="00905E33">
        <w:rPr>
          <w:rFonts w:ascii="Arial" w:hAnsi="Arial" w:cs="Arial"/>
        </w:rPr>
        <w:t>191.128,19</w:t>
      </w:r>
      <w:r w:rsidRPr="003A2F86">
        <w:rPr>
          <w:rFonts w:ascii="Arial" w:hAnsi="Arial" w:cs="Arial"/>
        </w:rPr>
        <w:t xml:space="preserve"> € i odnose se na pomoć iz županijskog proračuna za uređenje pomorskog dobra 40.000 €, te pomoći iz državnog proračuna u iznosu </w:t>
      </w:r>
      <w:r w:rsidR="00905E33">
        <w:rPr>
          <w:rFonts w:ascii="Arial" w:hAnsi="Arial" w:cs="Arial"/>
        </w:rPr>
        <w:t>151.128,19</w:t>
      </w:r>
      <w:r w:rsidRPr="003A2F86">
        <w:rPr>
          <w:rFonts w:ascii="Arial" w:hAnsi="Arial" w:cs="Arial"/>
        </w:rPr>
        <w:t xml:space="preserve"> €. Pomoći iz državnog proračuna se odnose na </w:t>
      </w:r>
      <w:r w:rsidRPr="003A2F86">
        <w:rPr>
          <w:rFonts w:ascii="Arial" w:hAnsi="Arial" w:cs="Arial"/>
          <w:iCs/>
        </w:rPr>
        <w:t xml:space="preserve">pomoći za </w:t>
      </w:r>
      <w:r w:rsidR="00CF7547">
        <w:rPr>
          <w:rFonts w:ascii="Arial" w:hAnsi="Arial" w:cs="Arial"/>
          <w:iCs/>
        </w:rPr>
        <w:t>sufinanciranje provedbe EU projekta – izgradnja vatrogasnog doma</w:t>
      </w:r>
      <w:r w:rsidRPr="003A2F86">
        <w:rPr>
          <w:rFonts w:ascii="Arial" w:hAnsi="Arial" w:cs="Arial"/>
          <w:iCs/>
        </w:rPr>
        <w:t xml:space="preserve">. </w:t>
      </w:r>
    </w:p>
    <w:p w14:paraId="7024B742" w14:textId="77777777" w:rsidR="003A4F93" w:rsidRPr="003A2F86" w:rsidRDefault="003A4F93" w:rsidP="00DE5AC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330B69F9" w14:textId="35100864" w:rsidR="0095672B" w:rsidRPr="003A2F86" w:rsidRDefault="0095672B" w:rsidP="009567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U odnosu na prethodnu 202</w:t>
      </w:r>
      <w:r w:rsidR="00CF7547">
        <w:rPr>
          <w:rFonts w:ascii="Arial" w:eastAsia="Times New Roman" w:hAnsi="Arial" w:cs="Arial"/>
        </w:rPr>
        <w:t>4</w:t>
      </w:r>
      <w:r w:rsidRPr="003A2F86">
        <w:rPr>
          <w:rFonts w:ascii="Arial" w:eastAsia="Times New Roman" w:hAnsi="Arial" w:cs="Arial"/>
        </w:rPr>
        <w:t xml:space="preserve">. godinu prihodi od kapitalnih pomoći (6332) su </w:t>
      </w:r>
      <w:r w:rsidR="00CF7547">
        <w:rPr>
          <w:rFonts w:ascii="Arial" w:eastAsia="Times New Roman" w:hAnsi="Arial" w:cs="Arial"/>
        </w:rPr>
        <w:t>veći</w:t>
      </w:r>
      <w:r w:rsidRPr="003A2F86">
        <w:rPr>
          <w:rFonts w:ascii="Arial" w:eastAsia="Times New Roman" w:hAnsi="Arial" w:cs="Arial"/>
        </w:rPr>
        <w:t xml:space="preserve"> za </w:t>
      </w:r>
      <w:r w:rsidR="00CF7547">
        <w:rPr>
          <w:rFonts w:ascii="Arial" w:eastAsia="Times New Roman" w:hAnsi="Arial" w:cs="Arial"/>
        </w:rPr>
        <w:t>183.128,19</w:t>
      </w:r>
      <w:r w:rsidRPr="003A2F86">
        <w:rPr>
          <w:rFonts w:ascii="Arial" w:eastAsia="Times New Roman" w:hAnsi="Arial" w:cs="Arial"/>
        </w:rPr>
        <w:t xml:space="preserve"> € (prethodne godine </w:t>
      </w:r>
      <w:r w:rsidR="006A3C41">
        <w:rPr>
          <w:rFonts w:ascii="Arial" w:eastAsia="Times New Roman" w:hAnsi="Arial" w:cs="Arial"/>
        </w:rPr>
        <w:t xml:space="preserve">ostvareno 8.000 €, a u tekućoj godini </w:t>
      </w:r>
      <w:r w:rsidRPr="003A2F86">
        <w:rPr>
          <w:rFonts w:ascii="Arial" w:eastAsia="Times New Roman" w:hAnsi="Arial" w:cs="Arial"/>
        </w:rPr>
        <w:t xml:space="preserve">refundirana sredstva za sufinanciranje provedbe projekta </w:t>
      </w:r>
      <w:r w:rsidR="006A3C41">
        <w:rPr>
          <w:rFonts w:ascii="Arial" w:eastAsia="Times New Roman" w:hAnsi="Arial" w:cs="Arial"/>
        </w:rPr>
        <w:t>izgradnja vatrogasnog doma –Ministarstv</w:t>
      </w:r>
      <w:r w:rsidR="00160D30">
        <w:rPr>
          <w:rFonts w:ascii="Arial" w:eastAsia="Times New Roman" w:hAnsi="Arial" w:cs="Arial"/>
        </w:rPr>
        <w:t>o</w:t>
      </w:r>
      <w:r w:rsidR="006A3C41">
        <w:rPr>
          <w:rFonts w:ascii="Arial" w:eastAsia="Times New Roman" w:hAnsi="Arial" w:cs="Arial"/>
        </w:rPr>
        <w:t xml:space="preserve"> regionalnog razvoja i fondova EU</w:t>
      </w:r>
      <w:r w:rsidRPr="003A2F86">
        <w:rPr>
          <w:rFonts w:ascii="Arial" w:eastAsia="Times New Roman" w:hAnsi="Arial" w:cs="Arial"/>
        </w:rPr>
        <w:t>)</w:t>
      </w:r>
      <w:r w:rsidR="006A3C41">
        <w:rPr>
          <w:rFonts w:ascii="Arial" w:eastAsia="Times New Roman" w:hAnsi="Arial" w:cs="Arial"/>
        </w:rPr>
        <w:t>.</w:t>
      </w:r>
    </w:p>
    <w:p w14:paraId="277D8E66" w14:textId="77777777" w:rsidR="001079DF" w:rsidRPr="003A2F86" w:rsidRDefault="001079DF" w:rsidP="001079D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p>
    <w:p w14:paraId="2D894EDF" w14:textId="77777777" w:rsidR="00AE7989" w:rsidRPr="003A2F86" w:rsidRDefault="00AE7989" w:rsidP="00AE7989">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r w:rsidRPr="003A2F86">
        <w:rPr>
          <w:rFonts w:ascii="Arial" w:eastAsia="Times New Roman" w:hAnsi="Arial" w:cs="Arial"/>
          <w:sz w:val="18"/>
          <w:szCs w:val="18"/>
          <w:lang w:eastAsia="en-US"/>
        </w:rPr>
        <w:t xml:space="preserve">Sveukupno u </w:t>
      </w:r>
      <w:r w:rsidRPr="003A2F86">
        <w:rPr>
          <w:rFonts w:ascii="Arial" w:eastAsia="Times New Roman" w:hAnsi="Arial" w:cs="Arial"/>
          <w:b/>
          <w:bCs/>
          <w:sz w:val="18"/>
          <w:szCs w:val="18"/>
          <w:u w:val="single"/>
          <w:lang w:eastAsia="en-US"/>
        </w:rPr>
        <w:t>2021.</w:t>
      </w:r>
      <w:r w:rsidRPr="003A2F86">
        <w:rPr>
          <w:rFonts w:ascii="Arial" w:eastAsia="Times New Roman" w:hAnsi="Arial" w:cs="Arial"/>
          <w:sz w:val="18"/>
          <w:szCs w:val="18"/>
          <w:lang w:eastAsia="en-US"/>
        </w:rPr>
        <w:t xml:space="preserve"> prihodi od </w:t>
      </w:r>
      <w:r w:rsidRPr="003A2F86">
        <w:rPr>
          <w:rFonts w:ascii="Arial" w:eastAsia="Times New Roman" w:hAnsi="Arial" w:cs="Arial"/>
          <w:sz w:val="18"/>
          <w:szCs w:val="18"/>
          <w:u w:val="single"/>
          <w:lang w:eastAsia="en-US"/>
        </w:rPr>
        <w:t>kapitalnih pomoći</w:t>
      </w:r>
      <w:r w:rsidRPr="003A2F86">
        <w:rPr>
          <w:rFonts w:ascii="Arial" w:eastAsia="Times New Roman" w:hAnsi="Arial" w:cs="Arial"/>
          <w:sz w:val="18"/>
          <w:szCs w:val="18"/>
          <w:lang w:eastAsia="en-US"/>
        </w:rPr>
        <w:t xml:space="preserve"> (6332) su </w:t>
      </w:r>
      <w:bookmarkStart w:id="91" w:name="_Hlk103072629"/>
      <w:r w:rsidRPr="003A2F86">
        <w:rPr>
          <w:rFonts w:ascii="Arial" w:eastAsia="Times New Roman" w:hAnsi="Arial" w:cs="Arial"/>
          <w:sz w:val="18"/>
          <w:szCs w:val="18"/>
          <w:lang w:eastAsia="en-US"/>
        </w:rPr>
        <w:t>i</w:t>
      </w:r>
      <w:r w:rsidRPr="003A2F86">
        <w:rPr>
          <w:rFonts w:ascii="Arial" w:hAnsi="Arial" w:cs="Arial"/>
          <w:sz w:val="18"/>
          <w:szCs w:val="18"/>
        </w:rPr>
        <w:t>znosile 97.397,84 € i odnosile su se na pomoć iz županijskog proračuna za uređenje pomorskog dobra 19.908,42 €, p</w:t>
      </w:r>
      <w:r w:rsidRPr="003A2F86">
        <w:rPr>
          <w:rFonts w:ascii="Arial" w:hAnsi="Arial" w:cs="Arial"/>
          <w:iCs/>
          <w:sz w:val="18"/>
          <w:szCs w:val="18"/>
        </w:rPr>
        <w:t xml:space="preserve">omoći (Agencija za plaćanja u poljoprivredi, ribarstvu i ruralnom razvoju) u iznosu 2.417,00 € / 18.210,93 kn - udio 15% sredstava iz državnog proračuna u sredstvima po ugovoru o dodjeli bespovratnih sredstava za provedbu projekta izrada izmjena i dopuna prostornog plana, te pomoći Ministarstva regionalnoga razvoja i fondova Europske unije u iznosu 75.072,41 € / 565.633,07 kn za sufinanciranje provedbe EU projekta izgradnje reciklažnog dvorišta (odnosno 50% učešća vlastitih sredstava Općine). </w:t>
      </w:r>
    </w:p>
    <w:bookmarkEnd w:id="91"/>
    <w:p w14:paraId="29253E21" w14:textId="77777777" w:rsidR="00AE7989" w:rsidRDefault="00AE7989" w:rsidP="00AE7989">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p>
    <w:p w14:paraId="73AE4E17" w14:textId="77777777" w:rsidR="00AE7989" w:rsidRPr="003A2F86" w:rsidRDefault="00AE7989" w:rsidP="00AE7989">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 xml:space="preserve">Sveukupno </w:t>
      </w:r>
      <w:r w:rsidRPr="003A2F86">
        <w:rPr>
          <w:rFonts w:ascii="Arial" w:eastAsia="Times New Roman" w:hAnsi="Arial" w:cs="Arial"/>
          <w:b/>
          <w:bCs/>
          <w:sz w:val="18"/>
          <w:szCs w:val="18"/>
          <w:u w:val="single"/>
          <w:lang w:eastAsia="en-US"/>
        </w:rPr>
        <w:t>2022</w:t>
      </w:r>
      <w:r w:rsidRPr="003A2F86">
        <w:rPr>
          <w:rFonts w:ascii="Arial" w:eastAsia="Times New Roman" w:hAnsi="Arial" w:cs="Arial"/>
          <w:sz w:val="18"/>
          <w:szCs w:val="18"/>
          <w:lang w:eastAsia="en-US"/>
        </w:rPr>
        <w:t xml:space="preserve">. godine bile su ostvarene </w:t>
      </w:r>
      <w:r w:rsidRPr="003A2F86">
        <w:rPr>
          <w:rFonts w:ascii="Arial" w:eastAsia="Times New Roman" w:hAnsi="Arial" w:cs="Arial"/>
          <w:sz w:val="18"/>
          <w:szCs w:val="18"/>
          <w:u w:val="single"/>
          <w:lang w:eastAsia="en-US"/>
        </w:rPr>
        <w:t>kapitalne pomoći</w:t>
      </w:r>
      <w:r w:rsidRPr="003A2F86">
        <w:rPr>
          <w:rFonts w:ascii="Arial" w:eastAsia="Times New Roman" w:hAnsi="Arial" w:cs="Arial"/>
          <w:sz w:val="18"/>
          <w:szCs w:val="18"/>
          <w:lang w:eastAsia="en-US"/>
        </w:rPr>
        <w:t xml:space="preserve"> </w:t>
      </w:r>
      <w:r w:rsidRPr="003A2F86">
        <w:rPr>
          <w:rFonts w:ascii="Arial" w:hAnsi="Arial" w:cs="Arial"/>
          <w:sz w:val="18"/>
          <w:szCs w:val="18"/>
        </w:rPr>
        <w:t xml:space="preserve">(6332) </w:t>
      </w:r>
      <w:r w:rsidRPr="003A2F86">
        <w:rPr>
          <w:rFonts w:ascii="Arial" w:eastAsia="Times New Roman" w:hAnsi="Arial" w:cs="Arial"/>
          <w:sz w:val="18"/>
          <w:szCs w:val="18"/>
          <w:lang w:eastAsia="en-US"/>
        </w:rPr>
        <w:t xml:space="preserve">u iznosu 109.524,19 € i odnosile su se na pomoć iz županijskog proračuna za uređenje pomorskog dobra 26.544,56 € i za sufinanciranje elektroenergetskog priključka za buduću novu osnovnu školu Cavtat 26.544,56 €, pomoći Ministarstva regionalnoga razvoja i fondova Europske unije u iznosu 9.537,46 € za sufinanciranje provedbe EU projekta kojem je partner Grad Mostar (za uređenje dječjeg igrališta), pomoć Ministarstva mora, prometa i infrastrukture u iznosu 7.080,76 € za uređenje plaže, kao i pomoć Ministarstva kulture za uređenje ljetnog kina u Cavtatu u iznosu 39.816,84 €. </w:t>
      </w:r>
    </w:p>
    <w:p w14:paraId="15FA6D64" w14:textId="77777777" w:rsidR="00AE7989" w:rsidRDefault="00AE7989" w:rsidP="00AE7989">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p>
    <w:p w14:paraId="3AE858DA" w14:textId="00F6C544" w:rsidR="001079DF" w:rsidRPr="003A2F86" w:rsidRDefault="001079DF" w:rsidP="00AE7989">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r w:rsidRPr="003A2F86">
        <w:rPr>
          <w:rFonts w:ascii="Arial" w:eastAsia="Times New Roman" w:hAnsi="Arial" w:cs="Arial"/>
          <w:sz w:val="18"/>
          <w:szCs w:val="18"/>
          <w:lang w:eastAsia="en-US"/>
        </w:rPr>
        <w:t xml:space="preserve">Sveukupno </w:t>
      </w:r>
      <w:r w:rsidRPr="003A2F86">
        <w:rPr>
          <w:rFonts w:ascii="Arial" w:eastAsia="Times New Roman" w:hAnsi="Arial" w:cs="Arial"/>
          <w:b/>
          <w:bCs/>
          <w:sz w:val="18"/>
          <w:szCs w:val="18"/>
          <w:u w:val="single"/>
          <w:lang w:eastAsia="en-US"/>
        </w:rPr>
        <w:t>2023</w:t>
      </w:r>
      <w:r w:rsidRPr="003A2F86">
        <w:rPr>
          <w:rFonts w:ascii="Arial" w:eastAsia="Times New Roman" w:hAnsi="Arial" w:cs="Arial"/>
          <w:sz w:val="18"/>
          <w:szCs w:val="18"/>
          <w:lang w:eastAsia="en-US"/>
        </w:rPr>
        <w:t xml:space="preserve">. godine bile su ostvarene </w:t>
      </w:r>
      <w:r w:rsidRPr="003A2F86">
        <w:rPr>
          <w:rFonts w:ascii="Arial" w:eastAsia="Times New Roman" w:hAnsi="Arial" w:cs="Arial"/>
          <w:sz w:val="18"/>
          <w:szCs w:val="18"/>
          <w:u w:val="single"/>
          <w:lang w:eastAsia="en-US"/>
        </w:rPr>
        <w:t>kapitalne pomoći</w:t>
      </w:r>
      <w:r w:rsidRPr="003A2F86">
        <w:rPr>
          <w:rFonts w:ascii="Arial" w:eastAsia="Times New Roman" w:hAnsi="Arial" w:cs="Arial"/>
          <w:sz w:val="18"/>
          <w:szCs w:val="18"/>
          <w:lang w:eastAsia="en-US"/>
        </w:rPr>
        <w:t xml:space="preserve"> </w:t>
      </w:r>
      <w:r w:rsidRPr="003A2F86">
        <w:rPr>
          <w:rFonts w:ascii="Arial" w:hAnsi="Arial" w:cs="Arial"/>
          <w:sz w:val="18"/>
          <w:szCs w:val="18"/>
        </w:rPr>
        <w:t>(6332) u iznosu 143.300,14 € i odnosile su se na pomoć iz županijskog proračuna za uređenje pomorskog dobra 22.000 € i za nabavu opreme za održavanje igrališta 2.900 €, te pomoći iz državnog proračuna u iznosu 118.400,14 €. Pomoći iz državnog proračuna se odnose na pomoći Ministarstva regionalnoga razvoja i fondova Europske unije u iznosu 79.537,26 € (sufinanciranje projekta Ćiro II u iznosu 47.176,18 € i projekta Flood &amp; fire 32.361,08 €), pomoć Ministarstva turizma i sporta za uređenje jednog vježbališta 16.300 €, te pomoć Ministarstva kulture za uređenje ljetnog kina u Cavtatu u iznosu 22.562,88 €.</w:t>
      </w:r>
    </w:p>
    <w:p w14:paraId="44FF8F43" w14:textId="77777777" w:rsidR="001865FB" w:rsidRPr="003D2C3A" w:rsidRDefault="001865FB" w:rsidP="001865F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24D1330B" w14:textId="560B3CE5" w:rsidR="00905E33" w:rsidRPr="003A2F86" w:rsidRDefault="00827389" w:rsidP="008273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iCs/>
        </w:rPr>
      </w:pPr>
      <w:r>
        <w:rPr>
          <w:rFonts w:ascii="Arial" w:hAnsi="Arial" w:cs="Arial"/>
          <w:sz w:val="18"/>
          <w:szCs w:val="18"/>
        </w:rPr>
        <w:t>U</w:t>
      </w:r>
      <w:r w:rsidRPr="00827389">
        <w:rPr>
          <w:rFonts w:ascii="Arial" w:hAnsi="Arial" w:cs="Arial"/>
          <w:sz w:val="18"/>
          <w:szCs w:val="18"/>
        </w:rPr>
        <w:t xml:space="preserve"> </w:t>
      </w:r>
      <w:r w:rsidRPr="00827389">
        <w:rPr>
          <w:rFonts w:ascii="Arial" w:hAnsi="Arial" w:cs="Arial"/>
          <w:b/>
          <w:bCs/>
          <w:sz w:val="18"/>
          <w:szCs w:val="18"/>
          <w:u w:val="single"/>
        </w:rPr>
        <w:t>2024.</w:t>
      </w:r>
      <w:r w:rsidRPr="00827389">
        <w:rPr>
          <w:rFonts w:ascii="Arial" w:hAnsi="Arial" w:cs="Arial"/>
          <w:sz w:val="18"/>
          <w:szCs w:val="18"/>
        </w:rPr>
        <w:t xml:space="preserve"> k</w:t>
      </w:r>
      <w:r w:rsidR="00905E33" w:rsidRPr="00827389">
        <w:rPr>
          <w:rFonts w:ascii="Arial" w:hAnsi="Arial" w:cs="Arial"/>
          <w:i/>
          <w:iCs/>
          <w:sz w:val="18"/>
          <w:szCs w:val="18"/>
        </w:rPr>
        <w:t>apitalne pomoći</w:t>
      </w:r>
      <w:r w:rsidR="00905E33" w:rsidRPr="00827389">
        <w:rPr>
          <w:rFonts w:ascii="Arial" w:hAnsi="Arial" w:cs="Arial"/>
          <w:sz w:val="18"/>
          <w:szCs w:val="18"/>
        </w:rPr>
        <w:t xml:space="preserve"> (6332) su </w:t>
      </w:r>
      <w:r>
        <w:rPr>
          <w:rFonts w:ascii="Arial" w:hAnsi="Arial" w:cs="Arial"/>
          <w:sz w:val="18"/>
          <w:szCs w:val="18"/>
        </w:rPr>
        <w:t>iznosile</w:t>
      </w:r>
      <w:r w:rsidR="00905E33" w:rsidRPr="00827389">
        <w:rPr>
          <w:rFonts w:ascii="Arial" w:hAnsi="Arial" w:cs="Arial"/>
          <w:sz w:val="18"/>
          <w:szCs w:val="18"/>
        </w:rPr>
        <w:t xml:space="preserve"> 56.000 € i odnos</w:t>
      </w:r>
      <w:r>
        <w:rPr>
          <w:rFonts w:ascii="Arial" w:hAnsi="Arial" w:cs="Arial"/>
          <w:sz w:val="18"/>
          <w:szCs w:val="18"/>
        </w:rPr>
        <w:t>ile</w:t>
      </w:r>
      <w:r w:rsidR="003D2C3A">
        <w:rPr>
          <w:rFonts w:ascii="Arial" w:hAnsi="Arial" w:cs="Arial"/>
          <w:sz w:val="18"/>
          <w:szCs w:val="18"/>
        </w:rPr>
        <w:t xml:space="preserve"> su</w:t>
      </w:r>
      <w:r w:rsidR="00905E33" w:rsidRPr="00827389">
        <w:rPr>
          <w:rFonts w:ascii="Arial" w:hAnsi="Arial" w:cs="Arial"/>
          <w:sz w:val="18"/>
          <w:szCs w:val="18"/>
        </w:rPr>
        <w:t xml:space="preserve"> se na pomoć iz županijskog proračuna za uređenje pomorskog dobra 40.000 € i za održavanje igrališta 8.000 €, te pomoći </w:t>
      </w:r>
      <w:r w:rsidR="00905E33" w:rsidRPr="00827389">
        <w:rPr>
          <w:rFonts w:ascii="Arial" w:hAnsi="Arial" w:cs="Arial"/>
          <w:iCs/>
          <w:sz w:val="18"/>
          <w:szCs w:val="18"/>
        </w:rPr>
        <w:t xml:space="preserve">Ministarstva kulture za nabavu stolica za ljetno kino u Cavtatu 8.000 €. </w:t>
      </w:r>
    </w:p>
    <w:p w14:paraId="0478BB71" w14:textId="77777777" w:rsidR="00905E33" w:rsidRPr="003A2F86" w:rsidRDefault="00905E33" w:rsidP="001865F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20"/>
          <w:szCs w:val="20"/>
        </w:rPr>
      </w:pPr>
    </w:p>
    <w:p w14:paraId="1B27CDAA" w14:textId="77777777" w:rsidR="001865FB" w:rsidRPr="003A2F86" w:rsidRDefault="001865FB" w:rsidP="001865FB">
      <w:pPr>
        <w:spacing w:after="0" w:line="240" w:lineRule="auto"/>
        <w:jc w:val="both"/>
        <w:rPr>
          <w:rFonts w:ascii="Arial" w:eastAsia="Times New Roman" w:hAnsi="Arial" w:cs="Arial"/>
          <w:i/>
          <w:iCs/>
          <w:sz w:val="20"/>
          <w:szCs w:val="20"/>
        </w:rPr>
      </w:pPr>
      <w:bookmarkStart w:id="92" w:name="_Hlk77837513"/>
      <w:r w:rsidRPr="003A2F86">
        <w:rPr>
          <w:rFonts w:ascii="Arial" w:eastAsia="Times New Roman" w:hAnsi="Arial" w:cs="Arial"/>
          <w:i/>
          <w:iCs/>
          <w:sz w:val="20"/>
          <w:szCs w:val="20"/>
        </w:rPr>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275"/>
        <w:gridCol w:w="12191"/>
      </w:tblGrid>
      <w:tr w:rsidR="001865FB" w:rsidRPr="003A2F86" w14:paraId="4E5CEDE0" w14:textId="77777777" w:rsidTr="00B223BA">
        <w:trPr>
          <w:jc w:val="center"/>
        </w:trPr>
        <w:tc>
          <w:tcPr>
            <w:tcW w:w="14454" w:type="dxa"/>
            <w:gridSpan w:val="3"/>
            <w:vAlign w:val="center"/>
          </w:tcPr>
          <w:p w14:paraId="6109C1CE" w14:textId="0682DFBD" w:rsidR="001865FB" w:rsidRPr="003A2F86" w:rsidRDefault="001865FB" w:rsidP="00B223BA">
            <w:pPr>
              <w:spacing w:after="0" w:line="240" w:lineRule="auto"/>
              <w:jc w:val="center"/>
              <w:rPr>
                <w:rFonts w:ascii="Arial" w:eastAsia="Times New Roman" w:hAnsi="Arial" w:cs="Arial"/>
                <w:b/>
                <w:i/>
                <w:iCs/>
                <w:sz w:val="18"/>
                <w:szCs w:val="18"/>
              </w:rPr>
            </w:pPr>
            <w:r w:rsidRPr="003A2F86">
              <w:rPr>
                <w:rFonts w:ascii="Arial" w:eastAsia="Times New Roman" w:hAnsi="Arial" w:cs="Arial"/>
                <w:b/>
                <w:i/>
                <w:iCs/>
                <w:sz w:val="18"/>
                <w:szCs w:val="18"/>
              </w:rPr>
              <w:t xml:space="preserve">Prihod od pomoći – </w:t>
            </w:r>
            <w:r w:rsidRPr="003A2F86">
              <w:rPr>
                <w:rFonts w:ascii="Arial" w:eastAsia="Times New Roman" w:hAnsi="Arial" w:cs="Arial"/>
                <w:b/>
                <w:i/>
                <w:iCs/>
                <w:sz w:val="18"/>
                <w:szCs w:val="18"/>
                <w:highlight w:val="lightGray"/>
              </w:rPr>
              <w:t>državni proračun</w:t>
            </w:r>
            <w:r w:rsidRPr="003A2F86">
              <w:rPr>
                <w:rFonts w:ascii="Arial" w:eastAsia="Times New Roman" w:hAnsi="Arial" w:cs="Arial"/>
                <w:b/>
                <w:i/>
                <w:iCs/>
                <w:sz w:val="18"/>
                <w:szCs w:val="18"/>
              </w:rPr>
              <w:t xml:space="preserve"> (</w:t>
            </w:r>
            <w:r w:rsidRPr="003A2F86">
              <w:rPr>
                <w:rFonts w:ascii="Arial" w:eastAsia="Times New Roman" w:hAnsi="Arial" w:cs="Arial"/>
                <w:b/>
                <w:i/>
                <w:iCs/>
                <w:color w:val="FF0000"/>
                <w:sz w:val="18"/>
                <w:szCs w:val="18"/>
                <w:u w:val="single"/>
              </w:rPr>
              <w:t>dio</w:t>
            </w:r>
            <w:r w:rsidRPr="003A2F86">
              <w:rPr>
                <w:rFonts w:ascii="Arial" w:eastAsia="Times New Roman" w:hAnsi="Arial" w:cs="Arial"/>
                <w:b/>
                <w:i/>
                <w:iCs/>
                <w:color w:val="FF0000"/>
                <w:sz w:val="18"/>
                <w:szCs w:val="18"/>
              </w:rPr>
              <w:t xml:space="preserve"> 63</w:t>
            </w:r>
            <w:r w:rsidRPr="003A2F86">
              <w:rPr>
                <w:rFonts w:ascii="Arial" w:eastAsia="Times New Roman" w:hAnsi="Arial" w:cs="Arial"/>
                <w:b/>
                <w:i/>
                <w:iCs/>
                <w:sz w:val="18"/>
                <w:szCs w:val="18"/>
              </w:rPr>
              <w:t xml:space="preserve">, </w:t>
            </w:r>
            <w:r w:rsidRPr="003A2F86">
              <w:rPr>
                <w:rFonts w:ascii="Arial" w:eastAsia="Times New Roman" w:hAnsi="Arial" w:cs="Arial"/>
                <w:b/>
                <w:i/>
                <w:iCs/>
                <w:sz w:val="18"/>
                <w:szCs w:val="18"/>
                <w:highlight w:val="lightGray"/>
              </w:rPr>
              <w:t xml:space="preserve">tekuće </w:t>
            </w:r>
            <w:r w:rsidR="00FD1DF9" w:rsidRPr="003A2F86">
              <w:rPr>
                <w:rFonts w:ascii="Arial" w:eastAsia="Times New Roman" w:hAnsi="Arial" w:cs="Arial"/>
                <w:b/>
                <w:i/>
                <w:iCs/>
                <w:sz w:val="18"/>
                <w:szCs w:val="18"/>
                <w:highlight w:val="lightGray"/>
              </w:rPr>
              <w:t xml:space="preserve">i kapitalne </w:t>
            </w:r>
            <w:r w:rsidRPr="003A2F86">
              <w:rPr>
                <w:rFonts w:ascii="Arial" w:eastAsia="Times New Roman" w:hAnsi="Arial" w:cs="Arial"/>
                <w:b/>
                <w:i/>
                <w:iCs/>
                <w:sz w:val="18"/>
                <w:szCs w:val="18"/>
                <w:highlight w:val="lightGray"/>
              </w:rPr>
              <w:t>pomoći</w:t>
            </w:r>
            <w:r w:rsidRPr="003A2F86">
              <w:rPr>
                <w:rFonts w:ascii="Arial" w:eastAsia="Times New Roman" w:hAnsi="Arial" w:cs="Arial"/>
                <w:b/>
                <w:i/>
                <w:iCs/>
                <w:sz w:val="18"/>
                <w:szCs w:val="18"/>
              </w:rPr>
              <w:t>)</w:t>
            </w:r>
          </w:p>
        </w:tc>
      </w:tr>
      <w:tr w:rsidR="001865FB" w:rsidRPr="003A2F86" w14:paraId="15271820" w14:textId="77777777" w:rsidTr="002C014D">
        <w:trPr>
          <w:jc w:val="center"/>
        </w:trPr>
        <w:tc>
          <w:tcPr>
            <w:tcW w:w="988" w:type="dxa"/>
            <w:vAlign w:val="center"/>
          </w:tcPr>
          <w:p w14:paraId="5E1E95BF" w14:textId="77777777" w:rsidR="001865FB" w:rsidRPr="003A2F86" w:rsidRDefault="001865FB" w:rsidP="00B223BA">
            <w:pPr>
              <w:spacing w:after="0" w:line="240" w:lineRule="auto"/>
              <w:jc w:val="center"/>
              <w:rPr>
                <w:rFonts w:ascii="Arial" w:eastAsia="Times New Roman" w:hAnsi="Arial" w:cs="Arial"/>
                <w:b/>
                <w:i/>
                <w:iCs/>
                <w:sz w:val="18"/>
                <w:szCs w:val="18"/>
              </w:rPr>
            </w:pPr>
            <w:r w:rsidRPr="003A2F86">
              <w:rPr>
                <w:rFonts w:ascii="Arial" w:eastAsia="Times New Roman" w:hAnsi="Arial" w:cs="Arial"/>
                <w:b/>
                <w:i/>
                <w:iCs/>
                <w:sz w:val="18"/>
                <w:szCs w:val="18"/>
              </w:rPr>
              <w:t>Godina</w:t>
            </w:r>
          </w:p>
        </w:tc>
        <w:tc>
          <w:tcPr>
            <w:tcW w:w="1275" w:type="dxa"/>
            <w:vAlign w:val="center"/>
          </w:tcPr>
          <w:p w14:paraId="5663A564" w14:textId="77777777" w:rsidR="001865FB" w:rsidRPr="003A2F86" w:rsidRDefault="001865FB" w:rsidP="00B223BA">
            <w:pPr>
              <w:spacing w:after="0" w:line="240" w:lineRule="auto"/>
              <w:jc w:val="center"/>
              <w:rPr>
                <w:rFonts w:ascii="Arial" w:eastAsia="Times New Roman" w:hAnsi="Arial" w:cs="Arial"/>
                <w:b/>
                <w:i/>
                <w:iCs/>
                <w:sz w:val="18"/>
                <w:szCs w:val="18"/>
              </w:rPr>
            </w:pPr>
            <w:r w:rsidRPr="003A2F86">
              <w:rPr>
                <w:rFonts w:ascii="Arial" w:eastAsia="Times New Roman" w:hAnsi="Arial" w:cs="Arial"/>
                <w:b/>
                <w:i/>
                <w:iCs/>
                <w:sz w:val="18"/>
                <w:szCs w:val="18"/>
              </w:rPr>
              <w:t xml:space="preserve">Iznos </w:t>
            </w:r>
            <w:r w:rsidRPr="003A2F86">
              <w:rPr>
                <w:rFonts w:ascii="Arial" w:eastAsia="Times New Roman" w:hAnsi="Arial" w:cs="Arial"/>
                <w:b/>
                <w:i/>
                <w:iCs/>
                <w:color w:val="FF0000"/>
                <w:sz w:val="18"/>
                <w:szCs w:val="18"/>
              </w:rPr>
              <w:t>(€)</w:t>
            </w:r>
          </w:p>
        </w:tc>
        <w:tc>
          <w:tcPr>
            <w:tcW w:w="12191" w:type="dxa"/>
            <w:vAlign w:val="center"/>
          </w:tcPr>
          <w:p w14:paraId="47CCC179" w14:textId="77777777" w:rsidR="001865FB" w:rsidRPr="003A2F86" w:rsidRDefault="001865FB" w:rsidP="00B223BA">
            <w:pPr>
              <w:spacing w:after="0" w:line="240" w:lineRule="auto"/>
              <w:jc w:val="center"/>
              <w:rPr>
                <w:rFonts w:ascii="Arial" w:eastAsia="Times New Roman" w:hAnsi="Arial" w:cs="Arial"/>
                <w:b/>
                <w:i/>
                <w:iCs/>
                <w:sz w:val="18"/>
                <w:szCs w:val="18"/>
              </w:rPr>
            </w:pPr>
            <w:r w:rsidRPr="003A2F86">
              <w:rPr>
                <w:rFonts w:ascii="Arial" w:eastAsia="Times New Roman" w:hAnsi="Arial" w:cs="Arial"/>
                <w:b/>
                <w:i/>
                <w:iCs/>
                <w:sz w:val="18"/>
                <w:szCs w:val="18"/>
              </w:rPr>
              <w:t>Obrazloženje</w:t>
            </w:r>
          </w:p>
        </w:tc>
      </w:tr>
      <w:tr w:rsidR="001079DF" w:rsidRPr="003A2F86" w14:paraId="04120EED" w14:textId="77777777" w:rsidTr="00B223BA">
        <w:trPr>
          <w:jc w:val="center"/>
        </w:trPr>
        <w:tc>
          <w:tcPr>
            <w:tcW w:w="988" w:type="dxa"/>
            <w:tcBorders>
              <w:top w:val="nil"/>
              <w:left w:val="single" w:sz="8" w:space="0" w:color="000000"/>
              <w:bottom w:val="single" w:sz="8" w:space="0" w:color="000000"/>
              <w:right w:val="single" w:sz="8" w:space="0" w:color="000000"/>
            </w:tcBorders>
            <w:vAlign w:val="center"/>
          </w:tcPr>
          <w:p w14:paraId="17D53CF3" w14:textId="7E4FE4EA" w:rsidR="001079DF" w:rsidRPr="003A2F86" w:rsidRDefault="001079DF" w:rsidP="001079DF">
            <w:pPr>
              <w:spacing w:after="0" w:line="240" w:lineRule="auto"/>
              <w:jc w:val="center"/>
              <w:rPr>
                <w:rFonts w:ascii="Arial" w:eastAsia="Times New Roman" w:hAnsi="Arial" w:cs="Arial"/>
                <w:i/>
                <w:iCs/>
                <w:sz w:val="16"/>
                <w:szCs w:val="16"/>
              </w:rPr>
            </w:pPr>
            <w:r w:rsidRPr="003A2F86">
              <w:rPr>
                <w:rFonts w:ascii="Arial" w:hAnsi="Arial" w:cs="Arial"/>
                <w:i/>
                <w:iCs/>
                <w:sz w:val="16"/>
                <w:szCs w:val="16"/>
              </w:rPr>
              <w:t>2012.</w:t>
            </w:r>
          </w:p>
        </w:tc>
        <w:tc>
          <w:tcPr>
            <w:tcW w:w="1275" w:type="dxa"/>
            <w:tcBorders>
              <w:top w:val="nil"/>
              <w:left w:val="nil"/>
              <w:bottom w:val="single" w:sz="8" w:space="0" w:color="000000"/>
              <w:right w:val="single" w:sz="8" w:space="0" w:color="000000"/>
            </w:tcBorders>
            <w:vAlign w:val="center"/>
          </w:tcPr>
          <w:p w14:paraId="6A8FE807" w14:textId="5F871829" w:rsidR="001079DF" w:rsidRPr="003A2F86" w:rsidRDefault="001079DF" w:rsidP="001079DF">
            <w:pPr>
              <w:spacing w:after="0" w:line="240" w:lineRule="auto"/>
              <w:jc w:val="right"/>
              <w:rPr>
                <w:rFonts w:ascii="Arial" w:eastAsia="Times New Roman" w:hAnsi="Arial" w:cs="Arial"/>
                <w:i/>
                <w:iCs/>
                <w:sz w:val="16"/>
                <w:szCs w:val="16"/>
              </w:rPr>
            </w:pPr>
            <w:r w:rsidRPr="003A2F86">
              <w:rPr>
                <w:rFonts w:ascii="Arial" w:hAnsi="Arial" w:cs="Arial"/>
                <w:i/>
                <w:iCs/>
                <w:sz w:val="16"/>
                <w:szCs w:val="16"/>
              </w:rPr>
              <w:t>1.941.343,95</w:t>
            </w:r>
          </w:p>
        </w:tc>
        <w:tc>
          <w:tcPr>
            <w:tcW w:w="12191" w:type="dxa"/>
            <w:tcBorders>
              <w:top w:val="nil"/>
              <w:left w:val="nil"/>
              <w:bottom w:val="single" w:sz="8" w:space="0" w:color="000000"/>
              <w:right w:val="single" w:sz="8" w:space="0" w:color="000000"/>
            </w:tcBorders>
            <w:vAlign w:val="center"/>
          </w:tcPr>
          <w:p w14:paraId="2DC545C3" w14:textId="6D2A86D0" w:rsidR="001079DF" w:rsidRPr="003A2F86" w:rsidRDefault="001079DF" w:rsidP="001079DF">
            <w:pPr>
              <w:spacing w:after="0" w:line="240" w:lineRule="auto"/>
              <w:jc w:val="both"/>
              <w:rPr>
                <w:rFonts w:ascii="Arial" w:eastAsia="Times New Roman" w:hAnsi="Arial" w:cs="Arial"/>
                <w:sz w:val="16"/>
                <w:szCs w:val="16"/>
              </w:rPr>
            </w:pPr>
            <w:r w:rsidRPr="003A2F86">
              <w:rPr>
                <w:rFonts w:ascii="Arial" w:hAnsi="Arial" w:cs="Arial"/>
                <w:sz w:val="16"/>
                <w:szCs w:val="16"/>
              </w:rPr>
              <w:t>u skladu s odredbama Zakona o područjima posebne državne skrbi (Narodne novine 86/08 i 57/11)</w:t>
            </w:r>
          </w:p>
        </w:tc>
      </w:tr>
      <w:tr w:rsidR="001079DF" w:rsidRPr="003A2F86" w14:paraId="3035688B" w14:textId="77777777" w:rsidTr="00B223BA">
        <w:trPr>
          <w:jc w:val="center"/>
        </w:trPr>
        <w:tc>
          <w:tcPr>
            <w:tcW w:w="988" w:type="dxa"/>
            <w:tcBorders>
              <w:top w:val="nil"/>
              <w:left w:val="single" w:sz="8" w:space="0" w:color="000000"/>
              <w:bottom w:val="single" w:sz="8" w:space="0" w:color="000000"/>
              <w:right w:val="single" w:sz="8" w:space="0" w:color="000000"/>
            </w:tcBorders>
            <w:vAlign w:val="center"/>
          </w:tcPr>
          <w:p w14:paraId="43D35FB5" w14:textId="1CFA709D" w:rsidR="001079DF" w:rsidRPr="003A2F86" w:rsidRDefault="001079DF" w:rsidP="001079DF">
            <w:pPr>
              <w:spacing w:after="0" w:line="240" w:lineRule="auto"/>
              <w:jc w:val="center"/>
              <w:rPr>
                <w:rFonts w:ascii="Arial" w:eastAsia="Times New Roman" w:hAnsi="Arial" w:cs="Arial"/>
                <w:i/>
                <w:iCs/>
                <w:sz w:val="16"/>
                <w:szCs w:val="16"/>
              </w:rPr>
            </w:pPr>
            <w:r w:rsidRPr="003A2F86">
              <w:rPr>
                <w:rFonts w:ascii="Arial" w:hAnsi="Arial" w:cs="Arial"/>
                <w:i/>
                <w:iCs/>
                <w:sz w:val="16"/>
                <w:szCs w:val="16"/>
              </w:rPr>
              <w:t>2013.</w:t>
            </w:r>
          </w:p>
        </w:tc>
        <w:tc>
          <w:tcPr>
            <w:tcW w:w="1275" w:type="dxa"/>
            <w:tcBorders>
              <w:top w:val="nil"/>
              <w:left w:val="nil"/>
              <w:bottom w:val="single" w:sz="8" w:space="0" w:color="000000"/>
              <w:right w:val="single" w:sz="8" w:space="0" w:color="000000"/>
            </w:tcBorders>
            <w:vAlign w:val="center"/>
          </w:tcPr>
          <w:p w14:paraId="1F0B72C8" w14:textId="0CAA9B9A" w:rsidR="001079DF" w:rsidRPr="003A2F86" w:rsidRDefault="001079DF" w:rsidP="001079DF">
            <w:pPr>
              <w:spacing w:after="0" w:line="240" w:lineRule="auto"/>
              <w:jc w:val="right"/>
              <w:rPr>
                <w:rFonts w:ascii="Arial" w:eastAsia="Times New Roman" w:hAnsi="Arial" w:cs="Arial"/>
                <w:i/>
                <w:iCs/>
                <w:sz w:val="16"/>
                <w:szCs w:val="16"/>
              </w:rPr>
            </w:pPr>
            <w:r w:rsidRPr="003A2F86">
              <w:rPr>
                <w:rFonts w:ascii="Arial" w:hAnsi="Arial" w:cs="Arial"/>
                <w:i/>
                <w:iCs/>
                <w:sz w:val="16"/>
                <w:szCs w:val="16"/>
              </w:rPr>
              <w:t>1.387.541,71</w:t>
            </w:r>
          </w:p>
        </w:tc>
        <w:tc>
          <w:tcPr>
            <w:tcW w:w="12191" w:type="dxa"/>
            <w:tcBorders>
              <w:top w:val="nil"/>
              <w:left w:val="nil"/>
              <w:bottom w:val="single" w:sz="8" w:space="0" w:color="000000"/>
              <w:right w:val="single" w:sz="8" w:space="0" w:color="000000"/>
            </w:tcBorders>
            <w:vAlign w:val="center"/>
          </w:tcPr>
          <w:p w14:paraId="153F15D6" w14:textId="537BCE39" w:rsidR="001079DF" w:rsidRPr="003A2F86" w:rsidRDefault="001079DF" w:rsidP="001079DF">
            <w:pPr>
              <w:spacing w:after="0" w:line="240" w:lineRule="auto"/>
              <w:jc w:val="both"/>
              <w:rPr>
                <w:rFonts w:ascii="Arial" w:eastAsia="Times New Roman" w:hAnsi="Arial" w:cs="Arial"/>
                <w:sz w:val="16"/>
                <w:szCs w:val="16"/>
              </w:rPr>
            </w:pPr>
            <w:r w:rsidRPr="003A2F86">
              <w:rPr>
                <w:rFonts w:ascii="Arial" w:hAnsi="Arial" w:cs="Arial"/>
                <w:sz w:val="16"/>
                <w:szCs w:val="16"/>
              </w:rPr>
              <w:t>u skladu s odredbama Zakona o područjima posebne državne skrbi (Narodne novine 86/08 i 57/11)</w:t>
            </w:r>
          </w:p>
        </w:tc>
      </w:tr>
      <w:tr w:rsidR="001079DF" w:rsidRPr="003A2F86" w14:paraId="68875EDA" w14:textId="77777777" w:rsidTr="00B223BA">
        <w:trPr>
          <w:jc w:val="center"/>
        </w:trPr>
        <w:tc>
          <w:tcPr>
            <w:tcW w:w="988" w:type="dxa"/>
            <w:tcBorders>
              <w:top w:val="nil"/>
              <w:left w:val="single" w:sz="8" w:space="0" w:color="000000"/>
              <w:bottom w:val="single" w:sz="8" w:space="0" w:color="000000"/>
              <w:right w:val="single" w:sz="8" w:space="0" w:color="000000"/>
            </w:tcBorders>
            <w:vAlign w:val="center"/>
          </w:tcPr>
          <w:p w14:paraId="0BF86003" w14:textId="44CA75DE" w:rsidR="001079DF" w:rsidRPr="003A2F86" w:rsidRDefault="001079DF" w:rsidP="001079DF">
            <w:pPr>
              <w:spacing w:after="0" w:line="240" w:lineRule="auto"/>
              <w:jc w:val="center"/>
              <w:rPr>
                <w:rFonts w:ascii="Arial" w:eastAsia="Times New Roman" w:hAnsi="Arial" w:cs="Arial"/>
                <w:i/>
                <w:iCs/>
                <w:sz w:val="16"/>
                <w:szCs w:val="16"/>
              </w:rPr>
            </w:pPr>
            <w:r w:rsidRPr="003A2F86">
              <w:rPr>
                <w:rFonts w:ascii="Arial" w:hAnsi="Arial" w:cs="Arial"/>
                <w:i/>
                <w:iCs/>
                <w:sz w:val="16"/>
                <w:szCs w:val="16"/>
              </w:rPr>
              <w:t>2014.</w:t>
            </w:r>
          </w:p>
        </w:tc>
        <w:tc>
          <w:tcPr>
            <w:tcW w:w="1275" w:type="dxa"/>
            <w:tcBorders>
              <w:top w:val="nil"/>
              <w:left w:val="nil"/>
              <w:bottom w:val="single" w:sz="8" w:space="0" w:color="000000"/>
              <w:right w:val="single" w:sz="8" w:space="0" w:color="000000"/>
            </w:tcBorders>
            <w:vAlign w:val="center"/>
          </w:tcPr>
          <w:p w14:paraId="5287F974" w14:textId="1877BDEC" w:rsidR="001079DF" w:rsidRPr="003A2F86" w:rsidRDefault="001079DF" w:rsidP="001079DF">
            <w:pPr>
              <w:spacing w:after="0" w:line="240" w:lineRule="auto"/>
              <w:jc w:val="right"/>
              <w:rPr>
                <w:rFonts w:ascii="Arial" w:eastAsia="Times New Roman" w:hAnsi="Arial" w:cs="Arial"/>
                <w:i/>
                <w:iCs/>
                <w:sz w:val="16"/>
                <w:szCs w:val="16"/>
              </w:rPr>
            </w:pPr>
            <w:r w:rsidRPr="003A2F86">
              <w:rPr>
                <w:rFonts w:ascii="Arial" w:hAnsi="Arial" w:cs="Arial"/>
                <w:i/>
                <w:iCs/>
                <w:sz w:val="16"/>
                <w:szCs w:val="16"/>
              </w:rPr>
              <w:t>921.905,50</w:t>
            </w:r>
          </w:p>
        </w:tc>
        <w:tc>
          <w:tcPr>
            <w:tcW w:w="12191" w:type="dxa"/>
            <w:tcBorders>
              <w:top w:val="nil"/>
              <w:left w:val="nil"/>
              <w:bottom w:val="single" w:sz="8" w:space="0" w:color="000000"/>
              <w:right w:val="single" w:sz="8" w:space="0" w:color="000000"/>
            </w:tcBorders>
            <w:vAlign w:val="center"/>
          </w:tcPr>
          <w:p w14:paraId="4579B0FB" w14:textId="40637B59" w:rsidR="001079DF" w:rsidRPr="003A2F86" w:rsidRDefault="001079DF" w:rsidP="001079DF">
            <w:pPr>
              <w:spacing w:after="0" w:line="240" w:lineRule="auto"/>
              <w:jc w:val="both"/>
              <w:rPr>
                <w:rFonts w:ascii="Arial" w:eastAsia="Times New Roman" w:hAnsi="Arial" w:cs="Arial"/>
                <w:sz w:val="16"/>
                <w:szCs w:val="16"/>
              </w:rPr>
            </w:pPr>
            <w:r w:rsidRPr="003A2F86">
              <w:rPr>
                <w:rFonts w:ascii="Arial" w:hAnsi="Arial" w:cs="Arial"/>
                <w:sz w:val="16"/>
                <w:szCs w:val="16"/>
              </w:rPr>
              <w:t>u skladu s odredbama Zakona o područjima posebne državne skrbi (Narodne novine 86/08 i 57/11)</w:t>
            </w:r>
          </w:p>
        </w:tc>
      </w:tr>
      <w:tr w:rsidR="001079DF" w:rsidRPr="003A2F86" w14:paraId="12972161" w14:textId="77777777" w:rsidTr="00B223BA">
        <w:trPr>
          <w:jc w:val="center"/>
        </w:trPr>
        <w:tc>
          <w:tcPr>
            <w:tcW w:w="988" w:type="dxa"/>
            <w:tcBorders>
              <w:top w:val="nil"/>
              <w:left w:val="single" w:sz="8" w:space="0" w:color="000000"/>
              <w:bottom w:val="single" w:sz="8" w:space="0" w:color="000000"/>
              <w:right w:val="single" w:sz="8" w:space="0" w:color="000000"/>
            </w:tcBorders>
            <w:vAlign w:val="center"/>
          </w:tcPr>
          <w:p w14:paraId="2C4ED0F3" w14:textId="187F70BE" w:rsidR="001079DF" w:rsidRPr="003A2F86" w:rsidRDefault="001079DF" w:rsidP="001079DF">
            <w:pPr>
              <w:spacing w:after="0" w:line="240" w:lineRule="auto"/>
              <w:jc w:val="center"/>
              <w:rPr>
                <w:rFonts w:ascii="Arial" w:eastAsia="Times New Roman" w:hAnsi="Arial" w:cs="Arial"/>
                <w:i/>
                <w:iCs/>
                <w:sz w:val="16"/>
                <w:szCs w:val="16"/>
              </w:rPr>
            </w:pPr>
            <w:r w:rsidRPr="003A2F86">
              <w:rPr>
                <w:rFonts w:ascii="Arial" w:hAnsi="Arial" w:cs="Arial"/>
                <w:i/>
                <w:iCs/>
                <w:sz w:val="16"/>
                <w:szCs w:val="16"/>
              </w:rPr>
              <w:t>2015.</w:t>
            </w:r>
          </w:p>
        </w:tc>
        <w:tc>
          <w:tcPr>
            <w:tcW w:w="1275" w:type="dxa"/>
            <w:tcBorders>
              <w:top w:val="nil"/>
              <w:left w:val="nil"/>
              <w:bottom w:val="single" w:sz="8" w:space="0" w:color="000000"/>
              <w:right w:val="single" w:sz="8" w:space="0" w:color="000000"/>
            </w:tcBorders>
            <w:vAlign w:val="center"/>
          </w:tcPr>
          <w:p w14:paraId="66B2C880" w14:textId="771F8EE2" w:rsidR="001079DF" w:rsidRPr="003A2F86" w:rsidRDefault="001079DF" w:rsidP="001079DF">
            <w:pPr>
              <w:spacing w:after="0" w:line="240" w:lineRule="auto"/>
              <w:jc w:val="right"/>
              <w:rPr>
                <w:rFonts w:ascii="Arial" w:eastAsia="Times New Roman" w:hAnsi="Arial" w:cs="Arial"/>
                <w:i/>
                <w:iCs/>
                <w:sz w:val="16"/>
                <w:szCs w:val="16"/>
              </w:rPr>
            </w:pPr>
            <w:r w:rsidRPr="003A2F86">
              <w:rPr>
                <w:rFonts w:ascii="Arial" w:hAnsi="Arial" w:cs="Arial"/>
                <w:i/>
                <w:iCs/>
                <w:sz w:val="16"/>
                <w:szCs w:val="16"/>
              </w:rPr>
              <w:t>1.338.238,77</w:t>
            </w:r>
          </w:p>
        </w:tc>
        <w:tc>
          <w:tcPr>
            <w:tcW w:w="12191" w:type="dxa"/>
            <w:tcBorders>
              <w:top w:val="nil"/>
              <w:left w:val="nil"/>
              <w:bottom w:val="single" w:sz="8" w:space="0" w:color="000000"/>
              <w:right w:val="single" w:sz="8" w:space="0" w:color="000000"/>
            </w:tcBorders>
            <w:vAlign w:val="center"/>
          </w:tcPr>
          <w:p w14:paraId="73C2C89D" w14:textId="3719D5CA" w:rsidR="001079DF" w:rsidRPr="003A2F86" w:rsidRDefault="001079DF" w:rsidP="001079DF">
            <w:pPr>
              <w:spacing w:after="0" w:line="240" w:lineRule="auto"/>
              <w:jc w:val="both"/>
              <w:rPr>
                <w:rFonts w:ascii="Arial" w:eastAsia="Times New Roman" w:hAnsi="Arial" w:cs="Arial"/>
                <w:sz w:val="16"/>
                <w:szCs w:val="16"/>
              </w:rPr>
            </w:pPr>
            <w:r w:rsidRPr="003A2F86">
              <w:rPr>
                <w:rFonts w:ascii="Arial" w:hAnsi="Arial" w:cs="Arial"/>
                <w:sz w:val="16"/>
                <w:szCs w:val="16"/>
              </w:rPr>
              <w:t>u skladu s odredbama Zakona o izvršavanju proračuna RH za tekuću godinu i članka 38. Zakona o regionalnom razvoju RH (NN 147/14 – na snazi od 1.1.2015.) Pravo na ostvarivanje pomoći u prijelaznom razdoblju najdulje 3 godine.</w:t>
            </w:r>
          </w:p>
        </w:tc>
      </w:tr>
      <w:tr w:rsidR="001079DF" w:rsidRPr="003A2F86" w14:paraId="1C4067A4" w14:textId="77777777" w:rsidTr="00B223BA">
        <w:trPr>
          <w:jc w:val="center"/>
        </w:trPr>
        <w:tc>
          <w:tcPr>
            <w:tcW w:w="988" w:type="dxa"/>
            <w:tcBorders>
              <w:top w:val="nil"/>
              <w:left w:val="single" w:sz="8" w:space="0" w:color="000000"/>
              <w:bottom w:val="single" w:sz="8" w:space="0" w:color="000000"/>
              <w:right w:val="single" w:sz="8" w:space="0" w:color="000000"/>
            </w:tcBorders>
            <w:vAlign w:val="center"/>
          </w:tcPr>
          <w:p w14:paraId="4AE840E8" w14:textId="1EC95491" w:rsidR="001079DF" w:rsidRPr="003A2F86" w:rsidRDefault="001079DF" w:rsidP="001079DF">
            <w:pPr>
              <w:spacing w:after="0" w:line="240" w:lineRule="auto"/>
              <w:jc w:val="center"/>
              <w:rPr>
                <w:rFonts w:ascii="Arial" w:eastAsia="Times New Roman" w:hAnsi="Arial" w:cs="Arial"/>
                <w:i/>
                <w:iCs/>
                <w:sz w:val="16"/>
                <w:szCs w:val="16"/>
              </w:rPr>
            </w:pPr>
            <w:r w:rsidRPr="003A2F86">
              <w:rPr>
                <w:rFonts w:ascii="Arial" w:hAnsi="Arial" w:cs="Arial"/>
                <w:i/>
                <w:iCs/>
                <w:sz w:val="16"/>
                <w:szCs w:val="16"/>
              </w:rPr>
              <w:t>2016.</w:t>
            </w:r>
          </w:p>
        </w:tc>
        <w:tc>
          <w:tcPr>
            <w:tcW w:w="1275" w:type="dxa"/>
            <w:tcBorders>
              <w:top w:val="nil"/>
              <w:left w:val="nil"/>
              <w:bottom w:val="single" w:sz="8" w:space="0" w:color="000000"/>
              <w:right w:val="single" w:sz="8" w:space="0" w:color="000000"/>
            </w:tcBorders>
            <w:vAlign w:val="center"/>
          </w:tcPr>
          <w:p w14:paraId="4B0EE6BD" w14:textId="0E728EAC" w:rsidR="001079DF" w:rsidRPr="003A2F86" w:rsidRDefault="001079DF" w:rsidP="001079DF">
            <w:pPr>
              <w:spacing w:after="0" w:line="240" w:lineRule="auto"/>
              <w:jc w:val="right"/>
              <w:rPr>
                <w:rFonts w:ascii="Arial" w:eastAsia="Times New Roman" w:hAnsi="Arial" w:cs="Arial"/>
                <w:i/>
                <w:iCs/>
                <w:sz w:val="16"/>
                <w:szCs w:val="16"/>
              </w:rPr>
            </w:pPr>
            <w:r w:rsidRPr="003A2F86">
              <w:rPr>
                <w:rFonts w:ascii="Arial" w:hAnsi="Arial" w:cs="Arial"/>
                <w:i/>
                <w:iCs/>
                <w:sz w:val="16"/>
                <w:szCs w:val="16"/>
              </w:rPr>
              <w:t>743.465,92</w:t>
            </w:r>
          </w:p>
        </w:tc>
        <w:tc>
          <w:tcPr>
            <w:tcW w:w="12191" w:type="dxa"/>
            <w:tcBorders>
              <w:top w:val="nil"/>
              <w:left w:val="nil"/>
              <w:bottom w:val="single" w:sz="8" w:space="0" w:color="000000"/>
              <w:right w:val="single" w:sz="8" w:space="0" w:color="000000"/>
            </w:tcBorders>
            <w:vAlign w:val="center"/>
          </w:tcPr>
          <w:p w14:paraId="15B6AE10" w14:textId="0922F67A" w:rsidR="001079DF" w:rsidRPr="003A2F86" w:rsidRDefault="001079DF" w:rsidP="001079DF">
            <w:pPr>
              <w:spacing w:after="0" w:line="240" w:lineRule="auto"/>
              <w:jc w:val="both"/>
              <w:rPr>
                <w:rFonts w:ascii="Arial" w:eastAsia="Times New Roman" w:hAnsi="Arial" w:cs="Arial"/>
                <w:sz w:val="16"/>
                <w:szCs w:val="16"/>
              </w:rPr>
            </w:pPr>
            <w:r w:rsidRPr="003A2F86">
              <w:rPr>
                <w:rFonts w:ascii="Arial" w:hAnsi="Arial" w:cs="Arial"/>
                <w:sz w:val="16"/>
                <w:szCs w:val="16"/>
              </w:rPr>
              <w:t xml:space="preserve">u skladu sa Zakonom o izvršavanju proračuna RH za tekuću godinu i članka 38. Zakona o regionalnom razvoju RH (NN 147/14) </w:t>
            </w:r>
          </w:p>
        </w:tc>
      </w:tr>
      <w:tr w:rsidR="001079DF" w:rsidRPr="003A2F86" w14:paraId="7932FAC6" w14:textId="77777777" w:rsidTr="00B223BA">
        <w:trPr>
          <w:jc w:val="center"/>
        </w:trPr>
        <w:tc>
          <w:tcPr>
            <w:tcW w:w="988" w:type="dxa"/>
            <w:tcBorders>
              <w:top w:val="nil"/>
              <w:left w:val="single" w:sz="8" w:space="0" w:color="000000"/>
              <w:bottom w:val="single" w:sz="8" w:space="0" w:color="000000"/>
              <w:right w:val="single" w:sz="8" w:space="0" w:color="000000"/>
            </w:tcBorders>
            <w:vAlign w:val="center"/>
          </w:tcPr>
          <w:p w14:paraId="6DD4D185" w14:textId="14863B5F" w:rsidR="001079DF" w:rsidRPr="003A2F86" w:rsidRDefault="001079DF" w:rsidP="001079DF">
            <w:pPr>
              <w:spacing w:after="0" w:line="240" w:lineRule="auto"/>
              <w:jc w:val="center"/>
              <w:rPr>
                <w:rFonts w:ascii="Arial" w:eastAsia="Times New Roman" w:hAnsi="Arial" w:cs="Arial"/>
                <w:i/>
                <w:iCs/>
                <w:sz w:val="16"/>
                <w:szCs w:val="16"/>
              </w:rPr>
            </w:pPr>
            <w:r w:rsidRPr="003A2F86">
              <w:rPr>
                <w:rFonts w:ascii="Arial" w:hAnsi="Arial" w:cs="Arial"/>
                <w:i/>
                <w:iCs/>
                <w:sz w:val="16"/>
                <w:szCs w:val="16"/>
              </w:rPr>
              <w:t>2017.</w:t>
            </w:r>
          </w:p>
        </w:tc>
        <w:tc>
          <w:tcPr>
            <w:tcW w:w="1275" w:type="dxa"/>
            <w:tcBorders>
              <w:top w:val="nil"/>
              <w:left w:val="nil"/>
              <w:bottom w:val="single" w:sz="8" w:space="0" w:color="000000"/>
              <w:right w:val="single" w:sz="8" w:space="0" w:color="000000"/>
            </w:tcBorders>
            <w:vAlign w:val="center"/>
          </w:tcPr>
          <w:p w14:paraId="1876DE72" w14:textId="30321888" w:rsidR="001079DF" w:rsidRPr="003A2F86" w:rsidRDefault="001079DF" w:rsidP="001079DF">
            <w:pPr>
              <w:spacing w:after="0" w:line="240" w:lineRule="auto"/>
              <w:jc w:val="right"/>
              <w:rPr>
                <w:rFonts w:ascii="Arial" w:eastAsia="Times New Roman" w:hAnsi="Arial" w:cs="Arial"/>
                <w:i/>
                <w:iCs/>
                <w:sz w:val="16"/>
                <w:szCs w:val="16"/>
              </w:rPr>
            </w:pPr>
            <w:r w:rsidRPr="003A2F86">
              <w:rPr>
                <w:rFonts w:ascii="Arial" w:hAnsi="Arial" w:cs="Arial"/>
                <w:i/>
                <w:iCs/>
                <w:sz w:val="16"/>
                <w:szCs w:val="16"/>
              </w:rPr>
              <w:t>614.110,29</w:t>
            </w:r>
          </w:p>
        </w:tc>
        <w:tc>
          <w:tcPr>
            <w:tcW w:w="12191" w:type="dxa"/>
            <w:tcBorders>
              <w:top w:val="nil"/>
              <w:left w:val="nil"/>
              <w:bottom w:val="single" w:sz="8" w:space="0" w:color="000000"/>
              <w:right w:val="single" w:sz="8" w:space="0" w:color="000000"/>
            </w:tcBorders>
            <w:vAlign w:val="center"/>
          </w:tcPr>
          <w:p w14:paraId="23406A19" w14:textId="1CE9ACBD" w:rsidR="001079DF" w:rsidRPr="003A2F86" w:rsidRDefault="001079DF" w:rsidP="001079DF">
            <w:pPr>
              <w:spacing w:after="0" w:line="240" w:lineRule="auto"/>
              <w:jc w:val="both"/>
              <w:rPr>
                <w:rFonts w:ascii="Arial" w:eastAsia="Times New Roman" w:hAnsi="Arial" w:cs="Arial"/>
                <w:sz w:val="16"/>
                <w:szCs w:val="16"/>
              </w:rPr>
            </w:pPr>
            <w:r w:rsidRPr="003A2F86">
              <w:rPr>
                <w:rFonts w:ascii="Arial" w:hAnsi="Arial" w:cs="Arial"/>
                <w:sz w:val="16"/>
                <w:szCs w:val="16"/>
              </w:rPr>
              <w:t>U skladu s odredbama Zakona o izvršavanju proračuna RH za tekuću godinu i članka 38. Zakona o regionalnom razvoju RH (NN 147/14.) ukupno ostvareno 446.079,63 €.  Pored navedenog, u skladu s odredbama Zakona o izvršavanju proračuna RH za tekuću godinu, ostvareni su prihodi 168.030,69 € kao iznos sredstava koji jedinice ostvaruju u visini manje ostvarenih prihoda od poreza na dohodak zbog izmjene zakonskih propisa.</w:t>
            </w:r>
          </w:p>
        </w:tc>
      </w:tr>
      <w:tr w:rsidR="001079DF" w:rsidRPr="003A2F86" w14:paraId="691FBDF6" w14:textId="77777777" w:rsidTr="00B223BA">
        <w:trPr>
          <w:jc w:val="center"/>
        </w:trPr>
        <w:tc>
          <w:tcPr>
            <w:tcW w:w="988" w:type="dxa"/>
            <w:tcBorders>
              <w:top w:val="nil"/>
              <w:left w:val="single" w:sz="8" w:space="0" w:color="000000"/>
              <w:bottom w:val="single" w:sz="8" w:space="0" w:color="000000"/>
              <w:right w:val="single" w:sz="8" w:space="0" w:color="000000"/>
            </w:tcBorders>
            <w:vAlign w:val="center"/>
          </w:tcPr>
          <w:p w14:paraId="33CB78E3" w14:textId="1C81FCAE" w:rsidR="001079DF" w:rsidRPr="003A2F86" w:rsidRDefault="001079DF" w:rsidP="001079DF">
            <w:pPr>
              <w:spacing w:after="0" w:line="240" w:lineRule="auto"/>
              <w:jc w:val="center"/>
              <w:rPr>
                <w:rFonts w:ascii="Arial" w:eastAsia="Times New Roman" w:hAnsi="Arial" w:cs="Arial"/>
                <w:i/>
                <w:iCs/>
                <w:sz w:val="16"/>
                <w:szCs w:val="16"/>
                <w:lang w:eastAsia="en-US"/>
              </w:rPr>
            </w:pPr>
            <w:r w:rsidRPr="003A2F86">
              <w:rPr>
                <w:rFonts w:ascii="Arial" w:hAnsi="Arial" w:cs="Arial"/>
                <w:i/>
                <w:iCs/>
                <w:sz w:val="16"/>
                <w:szCs w:val="16"/>
              </w:rPr>
              <w:t>2018.</w:t>
            </w:r>
          </w:p>
        </w:tc>
        <w:tc>
          <w:tcPr>
            <w:tcW w:w="1275" w:type="dxa"/>
            <w:tcBorders>
              <w:top w:val="nil"/>
              <w:left w:val="nil"/>
              <w:bottom w:val="single" w:sz="8" w:space="0" w:color="000000"/>
              <w:right w:val="single" w:sz="8" w:space="0" w:color="000000"/>
            </w:tcBorders>
            <w:vAlign w:val="center"/>
          </w:tcPr>
          <w:p w14:paraId="1FE97927" w14:textId="1A3153C8" w:rsidR="001079DF" w:rsidRPr="003A2F86" w:rsidRDefault="001079DF" w:rsidP="001079DF">
            <w:pPr>
              <w:spacing w:after="0" w:line="240" w:lineRule="auto"/>
              <w:jc w:val="right"/>
              <w:rPr>
                <w:rFonts w:ascii="Arial" w:eastAsia="Times New Roman" w:hAnsi="Arial" w:cs="Arial"/>
                <w:i/>
                <w:iCs/>
                <w:sz w:val="16"/>
                <w:szCs w:val="16"/>
              </w:rPr>
            </w:pPr>
            <w:r w:rsidRPr="003A2F86">
              <w:rPr>
                <w:rFonts w:ascii="Arial" w:hAnsi="Arial" w:cs="Arial"/>
                <w:i/>
                <w:iCs/>
                <w:sz w:val="16"/>
                <w:szCs w:val="16"/>
              </w:rPr>
              <w:t>84.647,28</w:t>
            </w:r>
          </w:p>
        </w:tc>
        <w:tc>
          <w:tcPr>
            <w:tcW w:w="12191" w:type="dxa"/>
            <w:tcBorders>
              <w:top w:val="nil"/>
              <w:left w:val="nil"/>
              <w:bottom w:val="single" w:sz="8" w:space="0" w:color="000000"/>
              <w:right w:val="single" w:sz="8" w:space="0" w:color="000000"/>
            </w:tcBorders>
            <w:vAlign w:val="center"/>
          </w:tcPr>
          <w:p w14:paraId="5AD99B18" w14:textId="368BD77E" w:rsidR="001079DF" w:rsidRPr="003A2F86" w:rsidRDefault="001079DF" w:rsidP="001079DF">
            <w:pPr>
              <w:spacing w:after="0" w:line="240" w:lineRule="auto"/>
              <w:jc w:val="both"/>
              <w:rPr>
                <w:rFonts w:ascii="Arial" w:eastAsia="Times New Roman" w:hAnsi="Arial" w:cs="Arial"/>
                <w:sz w:val="16"/>
                <w:szCs w:val="16"/>
              </w:rPr>
            </w:pPr>
            <w:r w:rsidRPr="003A2F86">
              <w:rPr>
                <w:rFonts w:ascii="Arial" w:hAnsi="Arial" w:cs="Arial"/>
                <w:sz w:val="16"/>
                <w:szCs w:val="16"/>
              </w:rPr>
              <w:t>U skladu s odredbama Zakona o izvršavanju proračuna RH za 2017. godinu, ostvareni su u siječnju 2018. prihodi u iznosu 38.401,53 € kao nenamjenska pomoć na ime manje ostvarenog poreza na dohodak u 2017. u odnosu na isto razdoblje 2016. godine - kompenzacijska mjera pomoći radi izmjene poreznih propisa iz područja oporezivanja poreza na dohodak. Također, ostvarena je pomoć u iznosu 46.245,75 € sukladno članku 15. stavak 1. Zakona o financiranju JLP(R)S (NN 127/17) kao razlika manje ostvarenih prihoda od poreza na dohodak u prvom tromjesečju 2018. godine u odnosu na isto razdoblje 2017. godine (za 2019. i 2020 . u visini 100%, za 2021. u visini 60%, a za 2022. u visini 30% pomoći utvrđenih Zakonom radi izmjene poreznih propisa iz područja oporezivanja poreza na dohodak).</w:t>
            </w:r>
          </w:p>
        </w:tc>
      </w:tr>
      <w:tr w:rsidR="001079DF" w:rsidRPr="003A2F86" w14:paraId="5382576B" w14:textId="77777777" w:rsidTr="00B223BA">
        <w:trPr>
          <w:jc w:val="center"/>
        </w:trPr>
        <w:tc>
          <w:tcPr>
            <w:tcW w:w="988" w:type="dxa"/>
            <w:tcBorders>
              <w:top w:val="nil"/>
              <w:left w:val="single" w:sz="8" w:space="0" w:color="000000"/>
              <w:bottom w:val="single" w:sz="8" w:space="0" w:color="000000"/>
              <w:right w:val="single" w:sz="8" w:space="0" w:color="000000"/>
            </w:tcBorders>
            <w:vAlign w:val="center"/>
          </w:tcPr>
          <w:p w14:paraId="01C762D5" w14:textId="22454121" w:rsidR="001079DF" w:rsidRPr="003A2F86" w:rsidRDefault="001079DF" w:rsidP="001079DF">
            <w:pPr>
              <w:spacing w:after="0" w:line="240" w:lineRule="auto"/>
              <w:jc w:val="center"/>
              <w:rPr>
                <w:rFonts w:ascii="Arial" w:eastAsia="Times New Roman" w:hAnsi="Arial" w:cs="Arial"/>
                <w:iCs/>
                <w:sz w:val="16"/>
                <w:szCs w:val="16"/>
                <w:lang w:eastAsia="en-US"/>
              </w:rPr>
            </w:pPr>
            <w:r w:rsidRPr="003A2F86">
              <w:rPr>
                <w:rFonts w:ascii="Arial" w:hAnsi="Arial" w:cs="Arial"/>
                <w:sz w:val="16"/>
                <w:szCs w:val="16"/>
              </w:rPr>
              <w:t>2019.</w:t>
            </w:r>
          </w:p>
        </w:tc>
        <w:tc>
          <w:tcPr>
            <w:tcW w:w="1275" w:type="dxa"/>
            <w:tcBorders>
              <w:top w:val="nil"/>
              <w:left w:val="nil"/>
              <w:bottom w:val="single" w:sz="8" w:space="0" w:color="000000"/>
              <w:right w:val="single" w:sz="8" w:space="0" w:color="000000"/>
            </w:tcBorders>
            <w:vAlign w:val="center"/>
          </w:tcPr>
          <w:p w14:paraId="59273E66" w14:textId="18AA5229" w:rsidR="001079DF" w:rsidRPr="003A2F86" w:rsidRDefault="001079DF" w:rsidP="001079DF">
            <w:pPr>
              <w:spacing w:after="0" w:line="240" w:lineRule="auto"/>
              <w:jc w:val="right"/>
              <w:rPr>
                <w:rFonts w:ascii="Arial" w:eastAsia="Times New Roman" w:hAnsi="Arial" w:cs="Arial"/>
                <w:iCs/>
                <w:sz w:val="16"/>
                <w:szCs w:val="16"/>
                <w:lang w:eastAsia="en-US"/>
              </w:rPr>
            </w:pPr>
            <w:r w:rsidRPr="003A2F86">
              <w:rPr>
                <w:rFonts w:ascii="Arial" w:hAnsi="Arial" w:cs="Arial"/>
                <w:i/>
                <w:iCs/>
                <w:sz w:val="16"/>
                <w:szCs w:val="16"/>
              </w:rPr>
              <w:t>271.879,00</w:t>
            </w:r>
          </w:p>
        </w:tc>
        <w:tc>
          <w:tcPr>
            <w:tcW w:w="12191" w:type="dxa"/>
            <w:tcBorders>
              <w:top w:val="nil"/>
              <w:left w:val="nil"/>
              <w:bottom w:val="single" w:sz="8" w:space="0" w:color="000000"/>
              <w:right w:val="single" w:sz="8" w:space="0" w:color="000000"/>
            </w:tcBorders>
            <w:vAlign w:val="center"/>
          </w:tcPr>
          <w:p w14:paraId="184BA2E5" w14:textId="77777777" w:rsidR="001079DF" w:rsidRPr="003A2F86" w:rsidRDefault="001079DF" w:rsidP="001079DF">
            <w:pPr>
              <w:spacing w:after="0" w:line="240" w:lineRule="auto"/>
              <w:jc w:val="both"/>
              <w:rPr>
                <w:rFonts w:ascii="Arial" w:hAnsi="Arial" w:cs="Arial"/>
                <w:sz w:val="16"/>
                <w:szCs w:val="16"/>
              </w:rPr>
            </w:pPr>
            <w:r w:rsidRPr="003A2F86">
              <w:rPr>
                <w:rFonts w:ascii="Arial" w:hAnsi="Arial" w:cs="Arial"/>
                <w:sz w:val="16"/>
                <w:szCs w:val="16"/>
              </w:rPr>
              <w:t>Tekuće pomoći iz državnog proračuna u iznosu 125.884,20 € i to:</w:t>
            </w:r>
          </w:p>
          <w:p w14:paraId="56551BF2" w14:textId="77777777" w:rsidR="001079DF" w:rsidRPr="003A2F86" w:rsidRDefault="001079DF" w:rsidP="001079DF">
            <w:pPr>
              <w:spacing w:after="0" w:line="240" w:lineRule="auto"/>
              <w:jc w:val="both"/>
              <w:rPr>
                <w:rFonts w:ascii="Arial" w:hAnsi="Arial" w:cs="Arial"/>
                <w:sz w:val="16"/>
                <w:szCs w:val="16"/>
              </w:rPr>
            </w:pPr>
            <w:r w:rsidRPr="003A2F86">
              <w:rPr>
                <w:rFonts w:ascii="Arial" w:hAnsi="Arial" w:cs="Arial"/>
                <w:sz w:val="16"/>
                <w:szCs w:val="16"/>
              </w:rPr>
              <w:t>- pomoći u skladu s odredbama članka 15. Zakona o financiranju JLP(R)S u iznosu 44.224,66 €.</w:t>
            </w:r>
          </w:p>
          <w:p w14:paraId="7BAF36BB" w14:textId="77777777" w:rsidR="001079DF" w:rsidRPr="003A2F86" w:rsidRDefault="001079DF" w:rsidP="001079DF">
            <w:pPr>
              <w:spacing w:after="0" w:line="240" w:lineRule="auto"/>
              <w:jc w:val="both"/>
              <w:rPr>
                <w:rFonts w:ascii="Arial" w:hAnsi="Arial" w:cs="Arial"/>
                <w:sz w:val="16"/>
                <w:szCs w:val="16"/>
              </w:rPr>
            </w:pPr>
            <w:r w:rsidRPr="003A2F86">
              <w:rPr>
                <w:rFonts w:ascii="Arial" w:hAnsi="Arial" w:cs="Arial"/>
                <w:sz w:val="16"/>
                <w:szCs w:val="16"/>
              </w:rPr>
              <w:t>- pomoći Ministarstva za demografiju, obitelj, mlade i socijalnu politiku u iznosu 61.563,13 € tj. udio 15% sredstava iz državnog proračuna po ugovoru o dodjeli bespovratnih sredstava za provedbu projekta „Otvorimo južna vrata Lijepe naše“ (ukupno za projekt doznačeno 348.857,65 €, a u obvezama za primljeni predujam iskazano koncem godine 219.313,42 €), te</w:t>
            </w:r>
          </w:p>
          <w:p w14:paraId="7E5B3CD1" w14:textId="77777777" w:rsidR="001079DF" w:rsidRPr="003A2F86" w:rsidRDefault="001079DF" w:rsidP="001079DF">
            <w:pPr>
              <w:spacing w:after="0" w:line="240" w:lineRule="auto"/>
              <w:jc w:val="both"/>
              <w:rPr>
                <w:rFonts w:ascii="Arial" w:hAnsi="Arial" w:cs="Arial"/>
                <w:sz w:val="16"/>
                <w:szCs w:val="16"/>
              </w:rPr>
            </w:pPr>
            <w:r w:rsidRPr="003A2F86">
              <w:rPr>
                <w:rFonts w:ascii="Arial" w:hAnsi="Arial" w:cs="Arial"/>
                <w:sz w:val="16"/>
                <w:szCs w:val="16"/>
              </w:rPr>
              <w:t>- sredstva za provedbu izbora za EU parlament u iznosu 20.096,41 €.</w:t>
            </w:r>
          </w:p>
          <w:p w14:paraId="5659F113" w14:textId="518BE19E" w:rsidR="001079DF" w:rsidRPr="003A2F86" w:rsidRDefault="001079DF" w:rsidP="001079DF">
            <w:pPr>
              <w:spacing w:after="0" w:line="240" w:lineRule="auto"/>
              <w:jc w:val="both"/>
              <w:rPr>
                <w:rFonts w:ascii="Arial" w:eastAsia="Times New Roman" w:hAnsi="Arial" w:cs="Arial"/>
                <w:iCs/>
                <w:sz w:val="16"/>
                <w:szCs w:val="16"/>
                <w:lang w:eastAsia="en-US"/>
              </w:rPr>
            </w:pPr>
            <w:r w:rsidRPr="003A2F86">
              <w:rPr>
                <w:rFonts w:ascii="Arial" w:hAnsi="Arial" w:cs="Arial"/>
                <w:sz w:val="16"/>
                <w:szCs w:val="16"/>
              </w:rPr>
              <w:t xml:space="preserve">Kapitalne pomoći u iznosu 145.994,80 € i to za uređenje plaže Tiha 29.530,82 € i za uređenje dječjih igrališta 116.463,97 €. </w:t>
            </w:r>
          </w:p>
        </w:tc>
      </w:tr>
      <w:tr w:rsidR="001079DF" w:rsidRPr="003A2F86" w14:paraId="59A47DB1" w14:textId="77777777" w:rsidTr="00B223BA">
        <w:trPr>
          <w:jc w:val="center"/>
        </w:trPr>
        <w:tc>
          <w:tcPr>
            <w:tcW w:w="988" w:type="dxa"/>
            <w:tcBorders>
              <w:top w:val="nil"/>
              <w:left w:val="single" w:sz="8" w:space="0" w:color="000000"/>
              <w:bottom w:val="single" w:sz="8" w:space="0" w:color="000000"/>
              <w:right w:val="single" w:sz="8" w:space="0" w:color="000000"/>
            </w:tcBorders>
            <w:vAlign w:val="center"/>
          </w:tcPr>
          <w:p w14:paraId="4A6084D4" w14:textId="3034AC82" w:rsidR="001079DF" w:rsidRPr="003A2F86" w:rsidRDefault="001079DF" w:rsidP="001079DF">
            <w:pPr>
              <w:spacing w:after="0" w:line="240" w:lineRule="auto"/>
              <w:jc w:val="center"/>
              <w:rPr>
                <w:rFonts w:ascii="Arial" w:eastAsia="Times New Roman" w:hAnsi="Arial" w:cs="Arial"/>
                <w:i/>
                <w:iCs/>
                <w:sz w:val="16"/>
                <w:szCs w:val="16"/>
              </w:rPr>
            </w:pPr>
            <w:r w:rsidRPr="003A2F86">
              <w:rPr>
                <w:rFonts w:ascii="Arial" w:hAnsi="Arial" w:cs="Arial"/>
                <w:i/>
                <w:iCs/>
                <w:sz w:val="16"/>
                <w:szCs w:val="16"/>
              </w:rPr>
              <w:t>2020.</w:t>
            </w:r>
          </w:p>
        </w:tc>
        <w:tc>
          <w:tcPr>
            <w:tcW w:w="1275" w:type="dxa"/>
            <w:tcBorders>
              <w:top w:val="nil"/>
              <w:left w:val="nil"/>
              <w:bottom w:val="single" w:sz="8" w:space="0" w:color="000000"/>
              <w:right w:val="single" w:sz="8" w:space="0" w:color="000000"/>
            </w:tcBorders>
            <w:vAlign w:val="center"/>
          </w:tcPr>
          <w:p w14:paraId="73D49480" w14:textId="51535B67" w:rsidR="001079DF" w:rsidRPr="003A2F86" w:rsidRDefault="001079DF" w:rsidP="001079DF">
            <w:pPr>
              <w:spacing w:after="0" w:line="240" w:lineRule="auto"/>
              <w:jc w:val="right"/>
              <w:rPr>
                <w:rFonts w:ascii="Arial" w:hAnsi="Arial" w:cs="Arial"/>
                <w:sz w:val="16"/>
                <w:szCs w:val="16"/>
              </w:rPr>
            </w:pPr>
            <w:r w:rsidRPr="003A2F86">
              <w:rPr>
                <w:rFonts w:ascii="Arial" w:hAnsi="Arial" w:cs="Arial"/>
                <w:i/>
                <w:iCs/>
                <w:sz w:val="16"/>
                <w:szCs w:val="16"/>
              </w:rPr>
              <w:t>223.819,39</w:t>
            </w:r>
          </w:p>
        </w:tc>
        <w:tc>
          <w:tcPr>
            <w:tcW w:w="12191" w:type="dxa"/>
            <w:tcBorders>
              <w:top w:val="nil"/>
              <w:left w:val="nil"/>
              <w:bottom w:val="single" w:sz="8" w:space="0" w:color="000000"/>
              <w:right w:val="single" w:sz="8" w:space="0" w:color="000000"/>
            </w:tcBorders>
            <w:vAlign w:val="center"/>
          </w:tcPr>
          <w:p w14:paraId="1AA8D29C" w14:textId="6F593EB8" w:rsidR="001079DF"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Tekuće pomoći iz državnog proračuna (63311) i to: </w:t>
            </w:r>
            <w:r w:rsidRPr="003A2F86">
              <w:rPr>
                <w:rFonts w:ascii="Arial" w:hAnsi="Arial" w:cs="Arial"/>
                <w:sz w:val="16"/>
                <w:szCs w:val="16"/>
              </w:rPr>
              <w:br/>
              <w:t xml:space="preserve">a) pomoći u skladu s odredbama članka 24. Zakona o izvršavanju državnog proračuna RH za 2020. godinu (NN 117/19, 32/20, 42/20, 58/20) u iznosu 131.958,94 € u visini procijenjenog gubitka prihoda na temelju povećanja osobnog odbitka sukladno izmjenama propisa kojima je uređeno oporezivanje dohotka od 1.1.2020. (osnovni osobni odbitak 2019. iznosio 3.800 kn/504,35 €, a 2020. iznosi 4.000 kn/530,89 €), </w:t>
            </w:r>
            <w:r w:rsidRPr="003A2F86">
              <w:rPr>
                <w:rFonts w:ascii="Arial" w:hAnsi="Arial" w:cs="Arial"/>
                <w:sz w:val="16"/>
                <w:szCs w:val="16"/>
              </w:rPr>
              <w:br/>
              <w:t xml:space="preserve">b) pomoći u skladu s odredbama članka 15. Zakona o financiranju JLP(R)S u iznosu 44.224,66 € (izmjena poreznih propisa 2017.godine), </w:t>
            </w:r>
            <w:r w:rsidRPr="003A2F86">
              <w:rPr>
                <w:rFonts w:ascii="Arial" w:hAnsi="Arial" w:cs="Arial"/>
                <w:sz w:val="16"/>
                <w:szCs w:val="16"/>
              </w:rPr>
              <w:br/>
              <w:t>c) pomoći Ministarstva za demografiju, obitelj, mlade i socijalnu politiku u iznosu 21.400,63 € tj. udio 15% sredstava iz državnog proračuna u sredstvima po ugovoru o dodjeli bespovratnih sredstava za provedbu projekta „Otvorimo južna vrata Lijepe naše“,  d) sredstva za provedbu izbora za predsjednika RH u iznosu 26.235,15 €</w:t>
            </w:r>
          </w:p>
        </w:tc>
      </w:tr>
      <w:tr w:rsidR="001079DF" w:rsidRPr="003A2F86" w14:paraId="07410127" w14:textId="77777777" w:rsidTr="00B223BA">
        <w:trPr>
          <w:jc w:val="center"/>
        </w:trPr>
        <w:tc>
          <w:tcPr>
            <w:tcW w:w="988" w:type="dxa"/>
            <w:tcBorders>
              <w:top w:val="nil"/>
              <w:left w:val="single" w:sz="8" w:space="0" w:color="000000"/>
              <w:bottom w:val="single" w:sz="8" w:space="0" w:color="000000"/>
              <w:right w:val="single" w:sz="8" w:space="0" w:color="000000"/>
            </w:tcBorders>
            <w:vAlign w:val="center"/>
          </w:tcPr>
          <w:p w14:paraId="1676D308" w14:textId="0BAD2A34" w:rsidR="001079DF" w:rsidRPr="003A2F86" w:rsidRDefault="001079DF" w:rsidP="001079DF">
            <w:pPr>
              <w:spacing w:after="0" w:line="240" w:lineRule="auto"/>
              <w:jc w:val="center"/>
              <w:rPr>
                <w:rFonts w:ascii="Arial" w:eastAsia="Times New Roman" w:hAnsi="Arial" w:cs="Arial"/>
                <w:i/>
                <w:iCs/>
                <w:sz w:val="16"/>
                <w:szCs w:val="16"/>
              </w:rPr>
            </w:pPr>
            <w:r w:rsidRPr="003A2F86">
              <w:rPr>
                <w:rFonts w:ascii="Arial" w:hAnsi="Arial" w:cs="Arial"/>
                <w:i/>
                <w:iCs/>
                <w:sz w:val="16"/>
                <w:szCs w:val="16"/>
              </w:rPr>
              <w:t>2021.</w:t>
            </w:r>
          </w:p>
        </w:tc>
        <w:tc>
          <w:tcPr>
            <w:tcW w:w="1275" w:type="dxa"/>
            <w:tcBorders>
              <w:top w:val="nil"/>
              <w:left w:val="nil"/>
              <w:bottom w:val="single" w:sz="8" w:space="0" w:color="000000"/>
              <w:right w:val="single" w:sz="8" w:space="0" w:color="000000"/>
            </w:tcBorders>
            <w:vAlign w:val="center"/>
          </w:tcPr>
          <w:p w14:paraId="678AAAAD" w14:textId="54D40C59" w:rsidR="001079DF" w:rsidRPr="003A2F86" w:rsidRDefault="001079DF" w:rsidP="001079DF">
            <w:pPr>
              <w:spacing w:after="0" w:line="240" w:lineRule="auto"/>
              <w:jc w:val="right"/>
              <w:rPr>
                <w:rFonts w:ascii="Arial" w:hAnsi="Arial" w:cs="Arial"/>
                <w:sz w:val="16"/>
                <w:szCs w:val="16"/>
              </w:rPr>
            </w:pPr>
            <w:r w:rsidRPr="003A2F86">
              <w:rPr>
                <w:rFonts w:ascii="Arial" w:hAnsi="Arial" w:cs="Arial"/>
                <w:i/>
                <w:iCs/>
                <w:sz w:val="16"/>
                <w:szCs w:val="16"/>
              </w:rPr>
              <w:t>117.482,20</w:t>
            </w:r>
          </w:p>
        </w:tc>
        <w:tc>
          <w:tcPr>
            <w:tcW w:w="12191" w:type="dxa"/>
            <w:tcBorders>
              <w:top w:val="nil"/>
              <w:left w:val="nil"/>
              <w:bottom w:val="single" w:sz="8" w:space="0" w:color="000000"/>
              <w:right w:val="single" w:sz="8" w:space="0" w:color="000000"/>
            </w:tcBorders>
            <w:vAlign w:val="center"/>
          </w:tcPr>
          <w:p w14:paraId="622636AA" w14:textId="77777777" w:rsidR="001079DF"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Tekuće pomoći iz državnog proračuna (63311) i to: </w:t>
            </w:r>
            <w:r w:rsidRPr="003A2F86">
              <w:rPr>
                <w:rFonts w:ascii="Arial" w:hAnsi="Arial" w:cs="Arial"/>
                <w:sz w:val="16"/>
                <w:szCs w:val="16"/>
              </w:rPr>
              <w:br/>
              <w:t>a) pomoći u skladu s odredbama 15. stavak 2. Zakona o financiranju JLP(R)S (Narodne novine 127/17) u iznosu 13.267,40 €, kao razlika manje ostvarenih prihoda od poreza na dohodak u 2018. godine u odnosu na isto razdoblje 2017. godine (izmjena poreznih propisa 2017. godine, za 2021. u visini 60% pomoći utvrđenih Zakonom radi izmjene poreznih propisa iz područja oporezivanja poreza na dohodak).</w:t>
            </w:r>
            <w:r w:rsidRPr="003A2F86">
              <w:rPr>
                <w:rFonts w:ascii="Arial" w:hAnsi="Arial" w:cs="Arial"/>
                <w:sz w:val="16"/>
                <w:szCs w:val="16"/>
              </w:rPr>
              <w:br/>
              <w:t>b) pomoći Ministarstva za demografiju, obitelj, mlade i socijalnu politiku u iznosu 13.457,99 € tj. udio 15% sredstava iz državnog proračuna u sredstvima po ugovoru o dodjeli bespovratnih sredstava za provedbu projekta „Otvorimo južna vrata Lijepe naše“.</w:t>
            </w:r>
            <w:r w:rsidRPr="003A2F86">
              <w:rPr>
                <w:rFonts w:ascii="Arial" w:hAnsi="Arial" w:cs="Arial"/>
                <w:sz w:val="16"/>
                <w:szCs w:val="16"/>
              </w:rPr>
              <w:br/>
              <w:t xml:space="preserve">Kapitalne pomoći iz državnog proračuna (63321) i to:                                                                                                              </w:t>
            </w:r>
          </w:p>
          <w:p w14:paraId="143D1AFC" w14:textId="345C7F44" w:rsidR="001079DF" w:rsidRPr="003A2F86" w:rsidRDefault="001079DF" w:rsidP="001079DF">
            <w:pPr>
              <w:spacing w:after="0" w:line="240" w:lineRule="auto"/>
              <w:rPr>
                <w:rFonts w:ascii="Arial" w:eastAsia="Times New Roman" w:hAnsi="Arial" w:cs="Arial"/>
                <w:sz w:val="16"/>
                <w:szCs w:val="16"/>
                <w:lang w:eastAsia="en-US"/>
              </w:rPr>
            </w:pPr>
            <w:r w:rsidRPr="003A2F86">
              <w:rPr>
                <w:rFonts w:ascii="Arial" w:hAnsi="Arial" w:cs="Arial"/>
                <w:sz w:val="16"/>
                <w:szCs w:val="16"/>
              </w:rPr>
              <w:lastRenderedPageBreak/>
              <w:t xml:space="preserve"> a) pomoći (Agencija za plaćanja u poljoprivredi, ribarstvu i ruralnom razvoju) u iznosu 2.417,01 € - udio 15% sredstava iz državnog proračuna u sredstvima po ugovoru o dodjeli bespovratnih sredstava za provedbu projekta izrada izmjena i dopuna prostornog plana.                                                                                                                                                                  b) pomoći Ministarstva regionalnoga razvoja i fondova Europske unije u iznosu 75.072,41 € za sufinanciranje provedbe EU projekta izgradnje reciklažnoga dvorišta (odnosno 50% učešća vlastitih sredstava Općine).                                             </w:t>
            </w:r>
          </w:p>
        </w:tc>
      </w:tr>
      <w:tr w:rsidR="001079DF" w:rsidRPr="003A2F86" w14:paraId="5CE3A623" w14:textId="77777777" w:rsidTr="00B223BA">
        <w:trPr>
          <w:jc w:val="center"/>
        </w:trPr>
        <w:tc>
          <w:tcPr>
            <w:tcW w:w="988" w:type="dxa"/>
            <w:tcBorders>
              <w:top w:val="nil"/>
              <w:left w:val="single" w:sz="8" w:space="0" w:color="000000"/>
              <w:bottom w:val="single" w:sz="8" w:space="0" w:color="000000"/>
              <w:right w:val="single" w:sz="8" w:space="0" w:color="000000"/>
            </w:tcBorders>
            <w:vAlign w:val="center"/>
          </w:tcPr>
          <w:p w14:paraId="63D5F335" w14:textId="0013EE4F" w:rsidR="001079DF" w:rsidRPr="003A2F86" w:rsidRDefault="001079DF" w:rsidP="001079DF">
            <w:pPr>
              <w:spacing w:after="0" w:line="240" w:lineRule="auto"/>
              <w:jc w:val="center"/>
              <w:rPr>
                <w:rFonts w:ascii="Arial" w:eastAsia="Times New Roman" w:hAnsi="Arial" w:cs="Arial"/>
                <w:i/>
                <w:iCs/>
                <w:sz w:val="16"/>
                <w:szCs w:val="16"/>
              </w:rPr>
            </w:pPr>
            <w:r w:rsidRPr="003A2F86">
              <w:rPr>
                <w:rFonts w:ascii="Arial" w:hAnsi="Arial" w:cs="Arial"/>
                <w:i/>
                <w:iCs/>
                <w:sz w:val="16"/>
                <w:szCs w:val="16"/>
              </w:rPr>
              <w:lastRenderedPageBreak/>
              <w:t>2022.</w:t>
            </w:r>
          </w:p>
        </w:tc>
        <w:tc>
          <w:tcPr>
            <w:tcW w:w="1275" w:type="dxa"/>
            <w:tcBorders>
              <w:top w:val="nil"/>
              <w:left w:val="nil"/>
              <w:bottom w:val="single" w:sz="8" w:space="0" w:color="000000"/>
              <w:right w:val="single" w:sz="8" w:space="0" w:color="000000"/>
            </w:tcBorders>
            <w:vAlign w:val="center"/>
          </w:tcPr>
          <w:p w14:paraId="21E02161" w14:textId="6CD052CF" w:rsidR="001079DF" w:rsidRPr="003A2F86" w:rsidRDefault="001079DF" w:rsidP="001079DF">
            <w:pPr>
              <w:spacing w:after="0" w:line="240" w:lineRule="auto"/>
              <w:jc w:val="right"/>
              <w:rPr>
                <w:rFonts w:ascii="Arial" w:hAnsi="Arial" w:cs="Arial"/>
                <w:sz w:val="16"/>
                <w:szCs w:val="16"/>
              </w:rPr>
            </w:pPr>
            <w:r w:rsidRPr="003A2F86">
              <w:rPr>
                <w:rFonts w:ascii="Arial" w:hAnsi="Arial" w:cs="Arial"/>
                <w:i/>
                <w:iCs/>
                <w:sz w:val="16"/>
                <w:szCs w:val="16"/>
              </w:rPr>
              <w:t>93.787,21</w:t>
            </w:r>
          </w:p>
        </w:tc>
        <w:tc>
          <w:tcPr>
            <w:tcW w:w="12191" w:type="dxa"/>
            <w:tcBorders>
              <w:top w:val="nil"/>
              <w:left w:val="nil"/>
              <w:bottom w:val="single" w:sz="8" w:space="0" w:color="000000"/>
              <w:right w:val="single" w:sz="8" w:space="0" w:color="000000"/>
            </w:tcBorders>
            <w:vAlign w:val="center"/>
          </w:tcPr>
          <w:p w14:paraId="2FF1ED86" w14:textId="77777777" w:rsidR="00A6443B"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Tekuće pomoći iz državnog proračuna (63311) i to: </w:t>
            </w:r>
            <w:r w:rsidRPr="003A2F86">
              <w:rPr>
                <w:rFonts w:ascii="Arial" w:hAnsi="Arial" w:cs="Arial"/>
                <w:sz w:val="16"/>
                <w:szCs w:val="16"/>
              </w:rPr>
              <w:br/>
              <w:t>a) pomoći u skladu s odredbama 15. stavak 2. Zakona o financiranju JLP(R)S (Narodne novine 127/17) u iznosu 13.267,40 €, kao razlika manje ostvarenih prihoda od poreza na dohodak u 2018. godine u odnosu na isto razdoblje 2017. godine (izmjena poreznih propisa 2017. godine, za 2022. u visini 30% pomoći utvrđenih Zakonom radi izmjene poreznih propisa iz područja oporezivanja poreza na dohodak).</w:t>
            </w:r>
            <w:r w:rsidRPr="003A2F86">
              <w:rPr>
                <w:rFonts w:ascii="Arial" w:hAnsi="Arial" w:cs="Arial"/>
                <w:sz w:val="16"/>
                <w:szCs w:val="16"/>
              </w:rPr>
              <w:br/>
              <w:t>b) pomoći Ministarstva za demografiju, obitelj, mlade i socijalnu politiku u iznosu 24.084,74 € tj. udio 15% sredstava iz državnog proračuna u sredstvima po ugovoru o dodjeli bespovratnih sredstava za provedbu projekta „Otvorimo južna vrata Lijepe naše“.</w:t>
            </w:r>
          </w:p>
          <w:p w14:paraId="0217A4EF" w14:textId="5C07BD31" w:rsidR="001079DF"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Kapitalne pomoći iz državnog proračuna (63321) i to:                                                                                                                         </w:t>
            </w:r>
          </w:p>
          <w:p w14:paraId="25FF3C1D" w14:textId="77777777" w:rsidR="001079DF"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a) pomoć Ministarstva mora, prometa i infrastrukture za plažu Žal 7.080,76 €,                                                                                        </w:t>
            </w:r>
          </w:p>
          <w:p w14:paraId="00EF5A4F" w14:textId="77777777" w:rsidR="001079DF"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b) pomoć Ministarstva kulture 39.816,84 € za uređenje i revitalizaciju ljetnog kina u Cavtatu, te                                                        </w:t>
            </w:r>
          </w:p>
          <w:p w14:paraId="46B65B91" w14:textId="2E8BBF84" w:rsidR="001079DF" w:rsidRPr="003A2F86" w:rsidRDefault="001079DF" w:rsidP="001079DF">
            <w:pPr>
              <w:spacing w:after="0" w:line="240" w:lineRule="auto"/>
              <w:rPr>
                <w:rFonts w:ascii="Arial" w:eastAsia="Times New Roman" w:hAnsi="Arial" w:cs="Arial"/>
                <w:sz w:val="16"/>
                <w:szCs w:val="16"/>
                <w:lang w:eastAsia="en-US"/>
              </w:rPr>
            </w:pPr>
            <w:r w:rsidRPr="003A2F86">
              <w:rPr>
                <w:rFonts w:ascii="Arial" w:hAnsi="Arial" w:cs="Arial"/>
                <w:sz w:val="16"/>
                <w:szCs w:val="16"/>
              </w:rPr>
              <w:t xml:space="preserve">c) pomoć Ministarstva regionalnog razvoja i fondova EU 9.537,46 € za sufinanciranje provedbe EU projekta kojem je partner Grad Mostar (za uređenje dječjeg igrališta).                         </w:t>
            </w:r>
          </w:p>
        </w:tc>
      </w:tr>
      <w:tr w:rsidR="001079DF" w:rsidRPr="003A2F86" w14:paraId="1899EF70" w14:textId="77777777" w:rsidTr="00B223BA">
        <w:trPr>
          <w:jc w:val="center"/>
        </w:trPr>
        <w:tc>
          <w:tcPr>
            <w:tcW w:w="988" w:type="dxa"/>
            <w:tcBorders>
              <w:top w:val="nil"/>
              <w:left w:val="single" w:sz="8" w:space="0" w:color="000000"/>
              <w:bottom w:val="single" w:sz="8" w:space="0" w:color="000000"/>
              <w:right w:val="single" w:sz="8" w:space="0" w:color="000000"/>
            </w:tcBorders>
            <w:vAlign w:val="center"/>
          </w:tcPr>
          <w:p w14:paraId="24696C1A" w14:textId="61C9C534" w:rsidR="001079DF" w:rsidRPr="003A2F86" w:rsidRDefault="001079DF" w:rsidP="001079DF">
            <w:pPr>
              <w:spacing w:after="0" w:line="240" w:lineRule="auto"/>
              <w:jc w:val="center"/>
              <w:rPr>
                <w:rFonts w:ascii="Arial" w:hAnsi="Arial" w:cs="Arial"/>
                <w:i/>
                <w:iCs/>
                <w:sz w:val="16"/>
                <w:szCs w:val="16"/>
              </w:rPr>
            </w:pPr>
            <w:r w:rsidRPr="003A2F86">
              <w:rPr>
                <w:rFonts w:ascii="Arial" w:hAnsi="Arial" w:cs="Arial"/>
                <w:i/>
                <w:iCs/>
                <w:sz w:val="16"/>
                <w:szCs w:val="16"/>
              </w:rPr>
              <w:t>2023.</w:t>
            </w:r>
          </w:p>
        </w:tc>
        <w:tc>
          <w:tcPr>
            <w:tcW w:w="1275" w:type="dxa"/>
            <w:tcBorders>
              <w:top w:val="nil"/>
              <w:left w:val="nil"/>
              <w:bottom w:val="single" w:sz="8" w:space="0" w:color="000000"/>
              <w:right w:val="single" w:sz="8" w:space="0" w:color="000000"/>
            </w:tcBorders>
            <w:vAlign w:val="center"/>
          </w:tcPr>
          <w:p w14:paraId="7B64DDAF" w14:textId="3CBD2302" w:rsidR="001079DF" w:rsidRPr="003A2F86" w:rsidRDefault="001079DF" w:rsidP="001079DF">
            <w:pPr>
              <w:spacing w:after="0" w:line="240" w:lineRule="auto"/>
              <w:jc w:val="right"/>
              <w:rPr>
                <w:rFonts w:ascii="Arial" w:hAnsi="Arial" w:cs="Arial"/>
                <w:sz w:val="16"/>
                <w:szCs w:val="16"/>
              </w:rPr>
            </w:pPr>
            <w:r w:rsidRPr="003A2F86">
              <w:rPr>
                <w:rFonts w:ascii="Arial" w:hAnsi="Arial" w:cs="Arial"/>
                <w:i/>
                <w:iCs/>
                <w:sz w:val="16"/>
                <w:szCs w:val="16"/>
              </w:rPr>
              <w:t>185.565,74</w:t>
            </w:r>
          </w:p>
        </w:tc>
        <w:tc>
          <w:tcPr>
            <w:tcW w:w="12191" w:type="dxa"/>
            <w:tcBorders>
              <w:top w:val="nil"/>
              <w:left w:val="nil"/>
              <w:bottom w:val="single" w:sz="8" w:space="0" w:color="000000"/>
              <w:right w:val="single" w:sz="8" w:space="0" w:color="000000"/>
            </w:tcBorders>
            <w:vAlign w:val="center"/>
          </w:tcPr>
          <w:p w14:paraId="5D0193F9" w14:textId="77777777" w:rsidR="00A6443B"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Tekuće pomoći iz državnog proračuna (63311) u iznosu 67.165,60 € i kapitalne pomoći (63321) u iznosu 118.400,14 € i to: </w:t>
            </w:r>
            <w:r w:rsidRPr="003A2F86">
              <w:rPr>
                <w:rFonts w:ascii="Arial" w:hAnsi="Arial" w:cs="Arial"/>
                <w:sz w:val="16"/>
                <w:szCs w:val="16"/>
              </w:rPr>
              <w:br/>
              <w:t>a) pomoći Ministarstva za demografiju, obitelj, mlade i socijalnu politiku u iznosu 7.025,20 € tj. udio 15% sredstava iz državnog proračuna u sredstvima po ugovoru o dodjeli bespovratnih sredstava za provedbu projekta „Otvorimo južna vrata Lijepe naše“.</w:t>
            </w:r>
          </w:p>
          <w:p w14:paraId="0201A6F7" w14:textId="6AD08816" w:rsidR="001079DF"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b) pomoći Ministarstva poljoprivrede za potporu organizacije Mirisi Božića 2022. u iznosu 3.682,46 €,                                                </w:t>
            </w:r>
          </w:p>
          <w:p w14:paraId="7F0E379E" w14:textId="77777777" w:rsidR="001079DF"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c) refundacija putnih troškova 179,04 € člana Obora za praćenje Programa Konkurentnosti i Kohezija 2021.-2027. i Integriranog teritorijalnog programa 2021.-2027. (Ministarstvo regionalnoga razvoja i fondova EU),                                                                      </w:t>
            </w:r>
          </w:p>
          <w:p w14:paraId="3444BDF8" w14:textId="77777777" w:rsidR="001079DF" w:rsidRPr="003A2F86" w:rsidRDefault="001079DF" w:rsidP="001079DF">
            <w:pPr>
              <w:spacing w:after="0" w:line="240" w:lineRule="auto"/>
              <w:rPr>
                <w:rFonts w:ascii="Arial" w:hAnsi="Arial" w:cs="Arial"/>
                <w:sz w:val="16"/>
                <w:szCs w:val="16"/>
              </w:rPr>
            </w:pPr>
            <w:r w:rsidRPr="003A2F86">
              <w:rPr>
                <w:rFonts w:ascii="Arial" w:hAnsi="Arial" w:cs="Arial"/>
                <w:sz w:val="16"/>
                <w:szCs w:val="16"/>
              </w:rPr>
              <w:t>d) pomoći Ministarstva znanosti i obrazovanja u iznosu 23.751 € - fiskalna održivost dječjih vrtića,</w:t>
            </w:r>
            <w:r w:rsidRPr="003A2F86">
              <w:rPr>
                <w:rFonts w:ascii="Arial" w:hAnsi="Arial" w:cs="Arial"/>
                <w:sz w:val="16"/>
                <w:szCs w:val="16"/>
              </w:rPr>
              <w:br/>
              <w:t xml:space="preserve">e) pomoći Ministarstva financija za funkcionalno spajanje - rad odjeljenja Dubrovačke knjižnice u Konavlima 1.725 €, za javni prijevoz društva Libertas na području Konavala 29.250 €,                                                                                                                  </w:t>
            </w:r>
          </w:p>
          <w:p w14:paraId="34393D62" w14:textId="77777777" w:rsidR="00571ACA"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f) pomoć Ministarstva rada, mirovinskog sustava, obitelji i socijalne politike 1.552,90 € (za naknade za ogrjev).                         </w:t>
            </w:r>
          </w:p>
          <w:p w14:paraId="4C9D16B1" w14:textId="77777777" w:rsidR="00571ACA"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Kapitalne pomoći iz državnog proračuna (63321) i to:                                                                                                                         </w:t>
            </w:r>
          </w:p>
          <w:p w14:paraId="5E257ADD" w14:textId="77777777" w:rsidR="00571ACA"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a) pomoć Ministarstva kulture 22.562,88 € za uređenje ljetnog kina u Cavtatu,                                                                                     </w:t>
            </w:r>
          </w:p>
          <w:p w14:paraId="6EED476D" w14:textId="77777777" w:rsidR="00571ACA"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b) pomoć Ministarstva turizma i sporta 16.300 € za vanjsko vježbalište,                                                                                               </w:t>
            </w:r>
          </w:p>
          <w:p w14:paraId="15E54BCF" w14:textId="1FDA10C5" w:rsidR="001079DF" w:rsidRPr="003A2F86" w:rsidRDefault="001079DF" w:rsidP="001079DF">
            <w:pPr>
              <w:spacing w:after="0" w:line="240" w:lineRule="auto"/>
              <w:rPr>
                <w:rFonts w:ascii="Arial" w:hAnsi="Arial" w:cs="Arial"/>
                <w:sz w:val="16"/>
                <w:szCs w:val="16"/>
              </w:rPr>
            </w:pPr>
            <w:r w:rsidRPr="003A2F86">
              <w:rPr>
                <w:rFonts w:ascii="Arial" w:hAnsi="Arial" w:cs="Arial"/>
                <w:sz w:val="16"/>
                <w:szCs w:val="16"/>
              </w:rPr>
              <w:t xml:space="preserve">c) pomoć Ministarstva regionalnog razvoja i fondova EU i to 47.176,18 € za sufinanciranje provedbe EU projekta Ćiro II, te za sufinanciranje provedbe projekta Flood &amp; fire 32.361,08 €.                                                                                  </w:t>
            </w:r>
          </w:p>
        </w:tc>
      </w:tr>
      <w:tr w:rsidR="001079DF" w:rsidRPr="003A2F86" w14:paraId="2175593D" w14:textId="77777777" w:rsidTr="00656392">
        <w:trPr>
          <w:jc w:val="center"/>
        </w:trPr>
        <w:tc>
          <w:tcPr>
            <w:tcW w:w="988" w:type="dxa"/>
            <w:tcBorders>
              <w:top w:val="nil"/>
              <w:left w:val="single" w:sz="8" w:space="0" w:color="000000"/>
              <w:bottom w:val="single" w:sz="4" w:space="0" w:color="auto"/>
              <w:right w:val="single" w:sz="8" w:space="0" w:color="000000"/>
            </w:tcBorders>
            <w:vAlign w:val="center"/>
          </w:tcPr>
          <w:p w14:paraId="457633CC" w14:textId="3F640856" w:rsidR="001079DF" w:rsidRPr="003A2F86" w:rsidRDefault="001079DF" w:rsidP="001079DF">
            <w:pPr>
              <w:spacing w:after="0" w:line="240" w:lineRule="auto"/>
              <w:jc w:val="center"/>
              <w:rPr>
                <w:rFonts w:ascii="Arial" w:hAnsi="Arial" w:cs="Arial"/>
                <w:sz w:val="16"/>
                <w:szCs w:val="16"/>
              </w:rPr>
            </w:pPr>
            <w:r w:rsidRPr="003A2F86">
              <w:rPr>
                <w:rFonts w:ascii="Arial" w:hAnsi="Arial" w:cs="Arial"/>
                <w:i/>
                <w:iCs/>
                <w:sz w:val="16"/>
                <w:szCs w:val="16"/>
              </w:rPr>
              <w:t>2024.</w:t>
            </w:r>
          </w:p>
        </w:tc>
        <w:tc>
          <w:tcPr>
            <w:tcW w:w="1275" w:type="dxa"/>
            <w:tcBorders>
              <w:top w:val="nil"/>
              <w:left w:val="nil"/>
              <w:bottom w:val="single" w:sz="4" w:space="0" w:color="auto"/>
              <w:right w:val="single" w:sz="8" w:space="0" w:color="000000"/>
            </w:tcBorders>
            <w:vAlign w:val="center"/>
          </w:tcPr>
          <w:p w14:paraId="62ADE251" w14:textId="66856F46" w:rsidR="001079DF" w:rsidRPr="003A2F86" w:rsidRDefault="00E3624A" w:rsidP="001079DF">
            <w:pPr>
              <w:spacing w:after="0" w:line="240" w:lineRule="auto"/>
              <w:jc w:val="right"/>
              <w:rPr>
                <w:rFonts w:ascii="Arial" w:hAnsi="Arial" w:cs="Arial"/>
                <w:sz w:val="16"/>
                <w:szCs w:val="16"/>
              </w:rPr>
            </w:pPr>
            <w:r w:rsidRPr="003A2F86">
              <w:rPr>
                <w:rFonts w:ascii="Arial" w:hAnsi="Arial" w:cs="Arial"/>
                <w:i/>
                <w:iCs/>
                <w:sz w:val="16"/>
                <w:szCs w:val="16"/>
              </w:rPr>
              <w:t>185.186,10</w:t>
            </w:r>
          </w:p>
        </w:tc>
        <w:tc>
          <w:tcPr>
            <w:tcW w:w="12191" w:type="dxa"/>
            <w:tcBorders>
              <w:top w:val="nil"/>
              <w:left w:val="nil"/>
              <w:bottom w:val="single" w:sz="4" w:space="0" w:color="auto"/>
              <w:right w:val="single" w:sz="8" w:space="0" w:color="000000"/>
            </w:tcBorders>
            <w:vAlign w:val="center"/>
          </w:tcPr>
          <w:p w14:paraId="7F9C84C7" w14:textId="77777777" w:rsidR="00E3624A" w:rsidRPr="003A2F86" w:rsidRDefault="00E3624A" w:rsidP="00E3624A">
            <w:pPr>
              <w:spacing w:after="0" w:line="240" w:lineRule="auto"/>
              <w:rPr>
                <w:rFonts w:ascii="Arial" w:hAnsi="Arial" w:cs="Arial"/>
                <w:sz w:val="16"/>
                <w:szCs w:val="16"/>
              </w:rPr>
            </w:pPr>
            <w:r w:rsidRPr="003A2F86">
              <w:rPr>
                <w:rFonts w:ascii="Arial" w:hAnsi="Arial" w:cs="Arial"/>
                <w:sz w:val="16"/>
                <w:szCs w:val="16"/>
              </w:rPr>
              <w:t xml:space="preserve">Tekuće pomoći iz državnog proračuna (63311) u iznosu 177.186,10 € i kapitalne pomoći (63321) u iznosu 8.000 € i to: </w:t>
            </w:r>
          </w:p>
          <w:p w14:paraId="329EC00D" w14:textId="77777777" w:rsidR="00E3624A" w:rsidRPr="003A2F86" w:rsidRDefault="00E3624A" w:rsidP="00E3624A">
            <w:pPr>
              <w:spacing w:after="0" w:line="240" w:lineRule="auto"/>
              <w:rPr>
                <w:rFonts w:ascii="Arial" w:hAnsi="Arial" w:cs="Arial"/>
                <w:sz w:val="16"/>
                <w:szCs w:val="16"/>
              </w:rPr>
            </w:pPr>
            <w:r w:rsidRPr="003A2F86">
              <w:rPr>
                <w:rFonts w:ascii="Arial" w:hAnsi="Arial" w:cs="Arial"/>
                <w:sz w:val="16"/>
                <w:szCs w:val="16"/>
              </w:rPr>
              <w:t>a) pomoći Ministarstva za demografiju, obitelj, mlade i socijalnu politiku u iznosu 2.156,62 € tj. udio 15% sredstava iz državnog proračuna u sredstvima po ugovoru o dodjeli bespovratnih sredstava za provedbu projekta „Otvorimo južna vrata Lijepe naše“.</w:t>
            </w:r>
          </w:p>
          <w:p w14:paraId="09A5F058" w14:textId="77777777" w:rsidR="00E3624A" w:rsidRPr="003A2F86" w:rsidRDefault="00E3624A" w:rsidP="00E3624A">
            <w:pPr>
              <w:spacing w:after="0" w:line="240" w:lineRule="auto"/>
              <w:rPr>
                <w:rFonts w:ascii="Arial" w:hAnsi="Arial" w:cs="Arial"/>
                <w:sz w:val="16"/>
                <w:szCs w:val="16"/>
              </w:rPr>
            </w:pPr>
            <w:r w:rsidRPr="003A2F86">
              <w:rPr>
                <w:rFonts w:ascii="Arial" w:hAnsi="Arial" w:cs="Arial"/>
                <w:sz w:val="16"/>
                <w:szCs w:val="16"/>
              </w:rPr>
              <w:t xml:space="preserve">b) pomoći Ministarstva znanosti i obrazovanja u iznosu 99.183 € - fiskalna održivost dječjih vrtića,   </w:t>
            </w:r>
          </w:p>
          <w:p w14:paraId="616C5ACA" w14:textId="77777777" w:rsidR="00E3624A" w:rsidRPr="003A2F86" w:rsidRDefault="00E3624A" w:rsidP="00E3624A">
            <w:pPr>
              <w:spacing w:after="0" w:line="240" w:lineRule="auto"/>
              <w:rPr>
                <w:rFonts w:ascii="Arial" w:hAnsi="Arial" w:cs="Arial"/>
                <w:sz w:val="16"/>
                <w:szCs w:val="16"/>
              </w:rPr>
            </w:pPr>
            <w:r w:rsidRPr="003A2F86">
              <w:rPr>
                <w:rFonts w:ascii="Arial" w:hAnsi="Arial" w:cs="Arial"/>
                <w:sz w:val="16"/>
                <w:szCs w:val="16"/>
              </w:rPr>
              <w:t>c) pomoći Ministarstva financija za funkcionalno spajanje - rad odjeljenja Dubrovačke knjižnice u Konavlima 1.990,04 € i za javni prijevoz društva Libertas na području Konavala 24.346,44 €,</w:t>
            </w:r>
          </w:p>
          <w:p w14:paraId="0F3A9302" w14:textId="44191181" w:rsidR="00E3624A" w:rsidRPr="003A2F86" w:rsidRDefault="00E3624A" w:rsidP="00E3624A">
            <w:pPr>
              <w:spacing w:after="0" w:line="240" w:lineRule="auto"/>
              <w:rPr>
                <w:rFonts w:ascii="Arial" w:hAnsi="Arial" w:cs="Arial"/>
                <w:sz w:val="16"/>
                <w:szCs w:val="16"/>
              </w:rPr>
            </w:pPr>
            <w:r w:rsidRPr="003A2F86">
              <w:rPr>
                <w:rFonts w:ascii="Arial" w:hAnsi="Arial" w:cs="Arial"/>
                <w:sz w:val="16"/>
                <w:szCs w:val="16"/>
              </w:rPr>
              <w:t xml:space="preserve">d) pomoći Ministarstva poljoprivrede za potporu organizacije Mirisi Božića 2023. u iznosu 5.740 €,              </w:t>
            </w:r>
          </w:p>
          <w:p w14:paraId="0607258A" w14:textId="77777777" w:rsidR="00E3624A" w:rsidRPr="003A2F86" w:rsidRDefault="00E3624A" w:rsidP="00E3624A">
            <w:pPr>
              <w:spacing w:after="0" w:line="240" w:lineRule="auto"/>
              <w:rPr>
                <w:rFonts w:ascii="Arial" w:hAnsi="Arial" w:cs="Arial"/>
                <w:sz w:val="16"/>
                <w:szCs w:val="16"/>
              </w:rPr>
            </w:pPr>
            <w:r w:rsidRPr="003A2F86">
              <w:rPr>
                <w:rFonts w:ascii="Arial" w:hAnsi="Arial" w:cs="Arial"/>
                <w:sz w:val="16"/>
                <w:szCs w:val="16"/>
              </w:rPr>
              <w:t xml:space="preserve">e) pomoći za provedbu izbora za Hrvatski sabor 413,90 € i za provedbu izbora za Europski parlament 414,60 €, </w:t>
            </w:r>
          </w:p>
          <w:p w14:paraId="3BA3CCE3" w14:textId="78FC39BC" w:rsidR="00E3624A" w:rsidRPr="003A2F86" w:rsidRDefault="00E3624A" w:rsidP="00E3624A">
            <w:pPr>
              <w:spacing w:after="0" w:line="240" w:lineRule="auto"/>
              <w:rPr>
                <w:rFonts w:ascii="Arial" w:hAnsi="Arial" w:cs="Arial"/>
                <w:sz w:val="16"/>
                <w:szCs w:val="16"/>
              </w:rPr>
            </w:pPr>
            <w:r w:rsidRPr="003A2F86">
              <w:rPr>
                <w:rFonts w:ascii="Arial" w:hAnsi="Arial" w:cs="Arial"/>
                <w:sz w:val="16"/>
                <w:szCs w:val="16"/>
              </w:rPr>
              <w:t xml:space="preserve">f) pomoć Ministarstva regionalnog razvoja i fondova EU u iznosu 42.941,50 € za sufinanciranje provedbe EU projekta Zajedno za zeleni razvoj (suradnja Općine Konavle i Grada Mostara). </w:t>
            </w:r>
          </w:p>
          <w:p w14:paraId="43D019AA" w14:textId="51D47092" w:rsidR="001079DF" w:rsidRPr="003A2F86" w:rsidRDefault="00E3624A" w:rsidP="00E3624A">
            <w:pPr>
              <w:spacing w:after="0" w:line="240" w:lineRule="auto"/>
              <w:rPr>
                <w:rFonts w:ascii="Arial" w:hAnsi="Arial" w:cs="Arial"/>
                <w:sz w:val="16"/>
                <w:szCs w:val="16"/>
              </w:rPr>
            </w:pPr>
            <w:r w:rsidRPr="003A2F86">
              <w:rPr>
                <w:rFonts w:ascii="Arial" w:hAnsi="Arial" w:cs="Arial"/>
                <w:sz w:val="16"/>
                <w:szCs w:val="16"/>
              </w:rPr>
              <w:t xml:space="preserve">Kapitalne pomoći iz državnog proračuna (63321) u iznosu 8.000 € se odnosi na pomoć Ministarstva kulture za nabavu stolica u ljetnom kinu u Cavtatu.         </w:t>
            </w:r>
          </w:p>
        </w:tc>
      </w:tr>
      <w:tr w:rsidR="00E1166B" w:rsidRPr="003A2F86" w14:paraId="5FD057AF" w14:textId="77777777" w:rsidTr="00B03A7B">
        <w:trPr>
          <w:jc w:val="center"/>
        </w:trPr>
        <w:tc>
          <w:tcPr>
            <w:tcW w:w="988" w:type="dxa"/>
            <w:tcBorders>
              <w:top w:val="single" w:sz="4" w:space="0" w:color="auto"/>
              <w:left w:val="single" w:sz="8" w:space="0" w:color="000000"/>
              <w:bottom w:val="single" w:sz="8" w:space="0" w:color="000000"/>
              <w:right w:val="single" w:sz="8" w:space="0" w:color="000000"/>
            </w:tcBorders>
            <w:vAlign w:val="center"/>
          </w:tcPr>
          <w:p w14:paraId="232C7433" w14:textId="28B290E8" w:rsidR="00E1166B" w:rsidRPr="003A2F86" w:rsidRDefault="00E1166B" w:rsidP="00E1166B">
            <w:pPr>
              <w:spacing w:after="0" w:line="240" w:lineRule="auto"/>
              <w:jc w:val="center"/>
              <w:rPr>
                <w:rFonts w:ascii="Arial" w:hAnsi="Arial" w:cs="Arial"/>
                <w:i/>
                <w:iCs/>
                <w:sz w:val="16"/>
                <w:szCs w:val="16"/>
              </w:rPr>
            </w:pPr>
            <w:r>
              <w:rPr>
                <w:rFonts w:ascii="Arial" w:hAnsi="Arial" w:cs="Arial"/>
                <w:i/>
                <w:iCs/>
                <w:sz w:val="16"/>
                <w:szCs w:val="16"/>
              </w:rPr>
              <w:t>1-6/2025.</w:t>
            </w:r>
          </w:p>
        </w:tc>
        <w:tc>
          <w:tcPr>
            <w:tcW w:w="1275" w:type="dxa"/>
            <w:tcBorders>
              <w:top w:val="nil"/>
              <w:left w:val="nil"/>
              <w:bottom w:val="single" w:sz="8" w:space="0" w:color="000000"/>
              <w:right w:val="single" w:sz="8" w:space="0" w:color="000000"/>
            </w:tcBorders>
            <w:vAlign w:val="center"/>
          </w:tcPr>
          <w:p w14:paraId="7B727B66" w14:textId="32A12432" w:rsidR="00E1166B" w:rsidRPr="00E1166B" w:rsidRDefault="00E1166B" w:rsidP="00E1166B">
            <w:pPr>
              <w:spacing w:after="0" w:line="240" w:lineRule="auto"/>
              <w:jc w:val="right"/>
              <w:rPr>
                <w:rFonts w:ascii="Arial" w:hAnsi="Arial" w:cs="Arial"/>
                <w:i/>
                <w:iCs/>
                <w:sz w:val="16"/>
                <w:szCs w:val="16"/>
              </w:rPr>
            </w:pPr>
            <w:r w:rsidRPr="00E1166B">
              <w:rPr>
                <w:rFonts w:ascii="Arial" w:hAnsi="Arial" w:cs="Arial"/>
                <w:i/>
                <w:iCs/>
                <w:sz w:val="16"/>
                <w:szCs w:val="16"/>
              </w:rPr>
              <w:t>206.988,19</w:t>
            </w:r>
          </w:p>
        </w:tc>
        <w:tc>
          <w:tcPr>
            <w:tcW w:w="12191" w:type="dxa"/>
            <w:tcBorders>
              <w:top w:val="nil"/>
              <w:left w:val="nil"/>
              <w:bottom w:val="single" w:sz="8" w:space="0" w:color="000000"/>
              <w:right w:val="single" w:sz="8" w:space="0" w:color="000000"/>
            </w:tcBorders>
            <w:vAlign w:val="center"/>
          </w:tcPr>
          <w:p w14:paraId="6F367105" w14:textId="77777777" w:rsidR="00265227" w:rsidRPr="00265227" w:rsidRDefault="00265227" w:rsidP="00265227">
            <w:pPr>
              <w:spacing w:after="0" w:line="240" w:lineRule="auto"/>
              <w:rPr>
                <w:rFonts w:ascii="Arial" w:hAnsi="Arial" w:cs="Arial"/>
                <w:sz w:val="16"/>
                <w:szCs w:val="16"/>
              </w:rPr>
            </w:pPr>
            <w:r w:rsidRPr="00265227">
              <w:rPr>
                <w:rFonts w:ascii="Arial" w:hAnsi="Arial" w:cs="Arial"/>
                <w:sz w:val="16"/>
                <w:szCs w:val="16"/>
              </w:rPr>
              <w:t xml:space="preserve">"Tekuće pomoći iz državnog proračuna (63311) u iznosu 55.860 € i kapitalne pomoći (63321) u iznosu 151.128,19.€. Tekuća pomoć: </w:t>
            </w:r>
          </w:p>
          <w:p w14:paraId="71F50511" w14:textId="4B7A3309" w:rsidR="00E1166B" w:rsidRPr="00E1166B" w:rsidRDefault="00265227" w:rsidP="00265227">
            <w:pPr>
              <w:spacing w:after="0" w:line="240" w:lineRule="auto"/>
              <w:rPr>
                <w:rFonts w:ascii="Arial" w:hAnsi="Arial" w:cs="Arial"/>
                <w:sz w:val="16"/>
                <w:szCs w:val="16"/>
              </w:rPr>
            </w:pPr>
            <w:r w:rsidRPr="00265227">
              <w:rPr>
                <w:rFonts w:ascii="Arial" w:hAnsi="Arial" w:cs="Arial"/>
                <w:sz w:val="16"/>
                <w:szCs w:val="16"/>
              </w:rPr>
              <w:t>a) pomoći Ministarstva znanosti i obrazovanja u iznosu 55.860 € - fiskalna održivost dječjih vrtića.                                                                                                                                                              Kapitalna pomoć iz državnog proračuna u iznosu 151.128,19 € se odnosi na pomoć Ministarstva regionalnog razvoja i fondova Europske unije za sufinanciranje izgradnje vatrogasnog doma.                                                                                                                                                 "</w:t>
            </w:r>
          </w:p>
        </w:tc>
      </w:tr>
      <w:bookmarkEnd w:id="92"/>
    </w:tbl>
    <w:p w14:paraId="648347BE" w14:textId="77777777" w:rsidR="001865FB" w:rsidRPr="003A2F86" w:rsidRDefault="001865FB" w:rsidP="001865FB">
      <w:pPr>
        <w:overflowPunct w:val="0"/>
        <w:autoSpaceDE w:val="0"/>
        <w:autoSpaceDN w:val="0"/>
        <w:adjustRightInd w:val="0"/>
        <w:spacing w:after="0" w:line="240" w:lineRule="auto"/>
        <w:jc w:val="both"/>
        <w:rPr>
          <w:rFonts w:ascii="Arial" w:eastAsia="Times New Roman" w:hAnsi="Arial" w:cs="Arial"/>
          <w:sz w:val="18"/>
          <w:szCs w:val="18"/>
        </w:rPr>
      </w:pPr>
    </w:p>
    <w:p w14:paraId="339DE021" w14:textId="2EE56762" w:rsidR="00474A7A" w:rsidRPr="00847308" w:rsidRDefault="00474A7A" w:rsidP="00474A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hAnsi="Arial" w:cs="Arial"/>
          <w:b/>
          <w:bCs/>
          <w:i/>
          <w:iCs/>
        </w:rPr>
      </w:pPr>
      <w:r w:rsidRPr="00847308">
        <w:rPr>
          <w:rFonts w:ascii="Arial" w:hAnsi="Arial" w:cs="Arial"/>
          <w:b/>
          <w:bCs/>
          <w:i/>
          <w:iCs/>
        </w:rPr>
        <w:t>63</w:t>
      </w:r>
      <w:r>
        <w:rPr>
          <w:rFonts w:ascii="Arial" w:hAnsi="Arial" w:cs="Arial"/>
          <w:b/>
          <w:bCs/>
          <w:i/>
          <w:iCs/>
        </w:rPr>
        <w:t>4</w:t>
      </w:r>
      <w:r w:rsidRPr="00847308">
        <w:rPr>
          <w:rFonts w:ascii="Arial" w:eastAsia="Times New Roman" w:hAnsi="Arial" w:cs="Arial"/>
          <w:b/>
          <w:bCs/>
          <w:i/>
          <w:iCs/>
          <w:lang w:eastAsia="en-US"/>
        </w:rPr>
        <w:t xml:space="preserve"> Pomoći </w:t>
      </w:r>
      <w:r>
        <w:rPr>
          <w:rFonts w:ascii="Arial" w:eastAsia="Times New Roman" w:hAnsi="Arial" w:cs="Arial"/>
          <w:b/>
          <w:bCs/>
          <w:i/>
          <w:iCs/>
          <w:lang w:eastAsia="en-US"/>
        </w:rPr>
        <w:t>od izvanproračunskih korisnika</w:t>
      </w:r>
    </w:p>
    <w:p w14:paraId="417EAC1E" w14:textId="77777777" w:rsidR="00474A7A" w:rsidRDefault="00474A7A" w:rsidP="000412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41C9C549" w14:textId="3C2359D9" w:rsidR="00036316" w:rsidRPr="003A2F86" w:rsidRDefault="00041255" w:rsidP="0003631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r w:rsidRPr="003A2F86">
        <w:rPr>
          <w:rFonts w:ascii="Arial" w:hAnsi="Arial" w:cs="Arial"/>
        </w:rPr>
        <w:t>Pomoći od izvanproračunskih korisnika (</w:t>
      </w:r>
      <w:r w:rsidRPr="003A2F86">
        <w:rPr>
          <w:rFonts w:ascii="Arial" w:hAnsi="Arial" w:cs="Arial"/>
          <w:b/>
          <w:bCs/>
        </w:rPr>
        <w:t>634</w:t>
      </w:r>
      <w:r w:rsidRPr="003A2F86">
        <w:rPr>
          <w:rFonts w:ascii="Arial" w:hAnsi="Arial" w:cs="Arial"/>
        </w:rPr>
        <w:t xml:space="preserve">) </w:t>
      </w:r>
      <w:r w:rsidR="006222A2">
        <w:rPr>
          <w:rFonts w:ascii="Arial" w:hAnsi="Arial" w:cs="Arial"/>
        </w:rPr>
        <w:t xml:space="preserve">u </w:t>
      </w:r>
      <w:r w:rsidR="00036316">
        <w:rPr>
          <w:rFonts w:ascii="Arial" w:hAnsi="Arial" w:cs="Arial"/>
        </w:rPr>
        <w:t xml:space="preserve">prvom polugodištu </w:t>
      </w:r>
      <w:r w:rsidR="006222A2">
        <w:rPr>
          <w:rFonts w:ascii="Arial" w:hAnsi="Arial" w:cs="Arial"/>
        </w:rPr>
        <w:t>202</w:t>
      </w:r>
      <w:r w:rsidR="00036316">
        <w:rPr>
          <w:rFonts w:ascii="Arial" w:hAnsi="Arial" w:cs="Arial"/>
        </w:rPr>
        <w:t>5</w:t>
      </w:r>
      <w:r w:rsidR="006222A2">
        <w:rPr>
          <w:rFonts w:ascii="Arial" w:hAnsi="Arial" w:cs="Arial"/>
        </w:rPr>
        <w:t xml:space="preserve">. </w:t>
      </w:r>
      <w:r w:rsidR="00036316">
        <w:rPr>
          <w:rFonts w:ascii="Arial" w:hAnsi="Arial" w:cs="Arial"/>
        </w:rPr>
        <w:t>ni</w:t>
      </w:r>
      <w:r w:rsidRPr="003A2F86">
        <w:rPr>
          <w:rFonts w:ascii="Arial" w:hAnsi="Arial" w:cs="Arial"/>
        </w:rPr>
        <w:t>su ostvarene</w:t>
      </w:r>
      <w:r w:rsidR="00036316">
        <w:rPr>
          <w:rFonts w:ascii="Arial" w:hAnsi="Arial" w:cs="Arial"/>
        </w:rPr>
        <w:t>.</w:t>
      </w:r>
    </w:p>
    <w:p w14:paraId="10D769C8" w14:textId="09EEBDE2" w:rsidR="00041255" w:rsidRPr="003A2F86" w:rsidRDefault="00041255" w:rsidP="000412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3301DCF9" w14:textId="77777777" w:rsidR="00041255" w:rsidRPr="003A2F86" w:rsidRDefault="00041255" w:rsidP="0004125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18"/>
          <w:szCs w:val="18"/>
        </w:rPr>
      </w:pPr>
    </w:p>
    <w:p w14:paraId="5CE99BE3" w14:textId="083C43F6" w:rsidR="006222A2" w:rsidRPr="003A2F86" w:rsidRDefault="006222A2"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3A2F86">
        <w:rPr>
          <w:rFonts w:ascii="Arial" w:hAnsi="Arial" w:cs="Arial"/>
          <w:sz w:val="18"/>
          <w:szCs w:val="18"/>
        </w:rPr>
        <w:t xml:space="preserve">U </w:t>
      </w:r>
      <w:r w:rsidRPr="003A2F86">
        <w:rPr>
          <w:rFonts w:ascii="Arial" w:hAnsi="Arial" w:cs="Arial"/>
          <w:b/>
          <w:bCs/>
          <w:sz w:val="18"/>
          <w:szCs w:val="18"/>
        </w:rPr>
        <w:t>2022</w:t>
      </w:r>
      <w:r w:rsidRPr="003A2F86">
        <w:rPr>
          <w:rFonts w:ascii="Arial" w:hAnsi="Arial" w:cs="Arial"/>
          <w:sz w:val="18"/>
          <w:szCs w:val="18"/>
        </w:rPr>
        <w:t xml:space="preserve">. za održavanje cesta Županijska uprava za ceste je doznačila 251.098,49 €, dok je </w:t>
      </w:r>
      <w:r w:rsidRPr="003A2F86">
        <w:rPr>
          <w:rFonts w:ascii="Arial" w:eastAsia="Times New Roman" w:hAnsi="Arial" w:cs="Arial"/>
          <w:sz w:val="18"/>
          <w:szCs w:val="18"/>
          <w:lang w:eastAsia="en-US"/>
        </w:rPr>
        <w:t xml:space="preserve">pomoć Fonda za zaštitu okoliša za nabavu komunalne opreme iznosila 71.864,89 €. Ranijih godina su se ostvarivali prihodi od Hrvatskog zavoda za zapošljavanje za sufinanciranje javnih radova (dok u 2022. i 2023. ovih prihoda nema), te Hrvatskih voda za </w:t>
      </w:r>
      <w:r w:rsidRPr="003A2F86">
        <w:rPr>
          <w:rFonts w:ascii="Arial" w:eastAsia="Times New Roman" w:hAnsi="Arial" w:cs="Arial"/>
          <w:sz w:val="18"/>
          <w:szCs w:val="18"/>
        </w:rPr>
        <w:t>sufinanciranje proširenja baze komunalne naknade</w:t>
      </w:r>
      <w:r w:rsidRPr="003A2F86">
        <w:rPr>
          <w:rFonts w:ascii="Arial" w:eastAsia="Times New Roman" w:hAnsi="Arial" w:cs="Arial"/>
          <w:sz w:val="18"/>
          <w:szCs w:val="18"/>
          <w:lang w:eastAsia="en-US"/>
        </w:rPr>
        <w:t>.</w:t>
      </w:r>
    </w:p>
    <w:p w14:paraId="59841E80" w14:textId="77777777" w:rsidR="006222A2" w:rsidRDefault="006222A2"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p>
    <w:p w14:paraId="17550885" w14:textId="6B14638F" w:rsidR="00571ACA" w:rsidRDefault="00571ACA"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r w:rsidRPr="003A2F86">
        <w:rPr>
          <w:rFonts w:ascii="Arial" w:hAnsi="Arial" w:cs="Arial"/>
          <w:sz w:val="18"/>
          <w:szCs w:val="18"/>
        </w:rPr>
        <w:t xml:space="preserve">Pomoći od izvanproračunskih korisnika (634) </w:t>
      </w:r>
      <w:r w:rsidR="006222A2">
        <w:rPr>
          <w:rFonts w:ascii="Arial" w:hAnsi="Arial" w:cs="Arial"/>
          <w:sz w:val="18"/>
          <w:szCs w:val="18"/>
        </w:rPr>
        <w:t xml:space="preserve">u </w:t>
      </w:r>
      <w:r w:rsidRPr="003A2F86">
        <w:rPr>
          <w:rFonts w:ascii="Arial" w:hAnsi="Arial" w:cs="Arial"/>
          <w:b/>
          <w:bCs/>
          <w:sz w:val="18"/>
          <w:szCs w:val="18"/>
        </w:rPr>
        <w:t>2023.</w:t>
      </w:r>
      <w:r w:rsidRPr="003A2F86">
        <w:rPr>
          <w:rFonts w:ascii="Arial" w:hAnsi="Arial" w:cs="Arial"/>
          <w:sz w:val="18"/>
          <w:szCs w:val="18"/>
        </w:rPr>
        <w:t xml:space="preserve"> su ostvarene u iznosu 282.643,03 € i odnosile su se na pomoći od Županijske uprave za ceste za sufinanciranje održavanja </w:t>
      </w:r>
      <w:r w:rsidRPr="003A2F86">
        <w:rPr>
          <w:rFonts w:ascii="Arial" w:eastAsia="Times New Roman" w:hAnsi="Arial" w:cs="Arial"/>
          <w:sz w:val="18"/>
          <w:szCs w:val="18"/>
          <w:lang w:eastAsia="en-US"/>
        </w:rPr>
        <w:t xml:space="preserve">dijela lokalne ceste L69057 (26241-Vodovađa-D8) </w:t>
      </w:r>
      <w:r w:rsidRPr="003A2F86">
        <w:rPr>
          <w:rFonts w:ascii="Arial" w:hAnsi="Arial" w:cs="Arial"/>
          <w:sz w:val="18"/>
          <w:szCs w:val="18"/>
        </w:rPr>
        <w:t xml:space="preserve">u iznosu 198.941,13 € i pomoći Fonda za zaštitu okoliša za nabavu komunalne opreme u iznosu 83.701,90 €. </w:t>
      </w:r>
    </w:p>
    <w:p w14:paraId="15361563" w14:textId="77777777" w:rsidR="00265227" w:rsidRDefault="00265227"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p>
    <w:p w14:paraId="23DB274F" w14:textId="77777777" w:rsidR="00036316" w:rsidRDefault="00265227" w:rsidP="0026522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r w:rsidRPr="00265227">
        <w:rPr>
          <w:rFonts w:ascii="Arial" w:hAnsi="Arial" w:cs="Arial"/>
          <w:sz w:val="18"/>
          <w:szCs w:val="18"/>
        </w:rPr>
        <w:t xml:space="preserve">Pomoći od izvanproračunskih korisnika </w:t>
      </w:r>
      <w:r w:rsidRPr="00B54A75">
        <w:rPr>
          <w:rFonts w:ascii="Arial" w:hAnsi="Arial" w:cs="Arial"/>
          <w:sz w:val="18"/>
          <w:szCs w:val="18"/>
        </w:rPr>
        <w:t>(634</w:t>
      </w:r>
      <w:r w:rsidRPr="00265227">
        <w:rPr>
          <w:rFonts w:ascii="Arial" w:hAnsi="Arial" w:cs="Arial"/>
          <w:sz w:val="18"/>
          <w:szCs w:val="18"/>
        </w:rPr>
        <w:t xml:space="preserve">) u </w:t>
      </w:r>
      <w:r w:rsidRPr="00B54A75">
        <w:rPr>
          <w:rFonts w:ascii="Arial" w:hAnsi="Arial" w:cs="Arial"/>
          <w:b/>
          <w:bCs/>
          <w:sz w:val="18"/>
          <w:szCs w:val="18"/>
        </w:rPr>
        <w:t>2024</w:t>
      </w:r>
      <w:r w:rsidRPr="00265227">
        <w:rPr>
          <w:rFonts w:ascii="Arial" w:hAnsi="Arial" w:cs="Arial"/>
          <w:sz w:val="18"/>
          <w:szCs w:val="18"/>
        </w:rPr>
        <w:t>. su ostvarene u iznosu 239.476,33 € i odnose se na pomoći Općini u iznosu 226.476,33 € i pomoć proračunskom korisniku (Dom za starije i nemoćne osobe) 13.000 €.</w:t>
      </w:r>
      <w:r w:rsidR="00036316">
        <w:rPr>
          <w:rFonts w:ascii="Arial" w:hAnsi="Arial" w:cs="Arial"/>
          <w:sz w:val="18"/>
          <w:szCs w:val="18"/>
        </w:rPr>
        <w:t xml:space="preserve"> </w:t>
      </w:r>
    </w:p>
    <w:p w14:paraId="23BDCC5E" w14:textId="4355EA45" w:rsidR="00036316" w:rsidRPr="00265227" w:rsidRDefault="00265227" w:rsidP="0003631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r w:rsidRPr="00265227">
        <w:rPr>
          <w:rFonts w:ascii="Arial" w:hAnsi="Arial" w:cs="Arial"/>
          <w:sz w:val="18"/>
          <w:szCs w:val="18"/>
        </w:rPr>
        <w:t>Pomoći Općini se odnose na pomoći od Županijske uprave za ceste za sufinanciranje održavanja cesta u iznosu 54.108,13 € i pomoći Fonda za zaštitu okoliša i energetsku učinkovitost 172.368,20 € (pomoći za nabavu komunalne opreme 116.040 €, za izradu akcijskog plana energetski održivog razvoja i prilagodbe klimatskim promjenama 8.500,00 €, za sufinanciranje projekta rekreacijske zone Obod 47.828,20 €). Prethodne godine su bila ostvarena sredstva za održavanje cesta od Županijske uprave za ceste u iznosu 198.941,13 €.</w:t>
      </w:r>
    </w:p>
    <w:p w14:paraId="10E9EC57" w14:textId="77777777" w:rsidR="00265227" w:rsidRPr="00265227" w:rsidRDefault="00265227" w:rsidP="0026522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r w:rsidRPr="00265227">
        <w:rPr>
          <w:rFonts w:ascii="Arial" w:hAnsi="Arial" w:cs="Arial"/>
          <w:sz w:val="18"/>
          <w:szCs w:val="18"/>
        </w:rPr>
        <w:t>Pomoći proračunskom korisniku u iznosu 13.000 € odnose se na sredstva ostvarena kroz sufinanciranje nabave uređaja za sprječavanje nastanka biootpada (otpada od hrane) od strane Fonda za zaštitu okoliša i energetsku učinkovitost.</w:t>
      </w:r>
    </w:p>
    <w:p w14:paraId="4A91610B" w14:textId="77777777" w:rsidR="00265227" w:rsidRPr="003A2F86" w:rsidRDefault="00265227"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p>
    <w:p w14:paraId="3DB05C32" w14:textId="0C213D60" w:rsidR="00474A7A" w:rsidRDefault="00474A7A" w:rsidP="00474A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rPr>
      </w:pPr>
      <w:r w:rsidRPr="00847308">
        <w:rPr>
          <w:rFonts w:ascii="Arial" w:hAnsi="Arial" w:cs="Arial"/>
          <w:b/>
          <w:bCs/>
          <w:i/>
          <w:iCs/>
        </w:rPr>
        <w:t>63</w:t>
      </w:r>
      <w:r>
        <w:rPr>
          <w:rFonts w:ascii="Arial" w:hAnsi="Arial" w:cs="Arial"/>
          <w:b/>
          <w:bCs/>
          <w:i/>
          <w:iCs/>
        </w:rPr>
        <w:t>5</w:t>
      </w:r>
      <w:r w:rsidRPr="00847308">
        <w:rPr>
          <w:rFonts w:ascii="Arial" w:eastAsia="Times New Roman" w:hAnsi="Arial" w:cs="Arial"/>
          <w:b/>
          <w:bCs/>
          <w:i/>
          <w:iCs/>
          <w:lang w:eastAsia="en-US"/>
        </w:rPr>
        <w:t xml:space="preserve"> Pomoći </w:t>
      </w:r>
      <w:r>
        <w:rPr>
          <w:rFonts w:ascii="Arial" w:eastAsia="Times New Roman" w:hAnsi="Arial" w:cs="Arial"/>
          <w:b/>
          <w:bCs/>
          <w:i/>
          <w:iCs/>
          <w:lang w:eastAsia="en-US"/>
        </w:rPr>
        <w:t>izravnanja za decentralizirane funkcije</w:t>
      </w:r>
    </w:p>
    <w:p w14:paraId="3D2D3450" w14:textId="77777777" w:rsidR="00474A7A" w:rsidRPr="003A2F86" w:rsidRDefault="00474A7A" w:rsidP="00C8408C">
      <w:pPr>
        <w:overflowPunct w:val="0"/>
        <w:autoSpaceDE w:val="0"/>
        <w:autoSpaceDN w:val="0"/>
        <w:adjustRightInd w:val="0"/>
        <w:spacing w:after="0" w:line="240" w:lineRule="auto"/>
        <w:jc w:val="both"/>
        <w:rPr>
          <w:rFonts w:ascii="Arial" w:eastAsia="Times New Roman" w:hAnsi="Arial" w:cs="Arial"/>
        </w:rPr>
      </w:pPr>
    </w:p>
    <w:p w14:paraId="0CBE0D1A" w14:textId="28654A74" w:rsidR="00C41369" w:rsidRPr="003A2F86" w:rsidRDefault="001865FB"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3A2F86">
        <w:rPr>
          <w:rFonts w:ascii="Arial" w:eastAsia="Times New Roman" w:hAnsi="Arial" w:cs="Arial"/>
          <w:b/>
          <w:bCs/>
          <w:lang w:eastAsia="en-US"/>
        </w:rPr>
        <w:t>P</w:t>
      </w:r>
      <w:r w:rsidR="00D21B52" w:rsidRPr="003A2F86">
        <w:rPr>
          <w:rFonts w:ascii="Arial" w:eastAsia="Times New Roman" w:hAnsi="Arial" w:cs="Arial"/>
          <w:b/>
          <w:bCs/>
          <w:lang w:eastAsia="en-US"/>
        </w:rPr>
        <w:t xml:space="preserve">omoći izravnanja za decentralizirane funkcije vatrogastva </w:t>
      </w:r>
      <w:r w:rsidR="00D21B52" w:rsidRPr="003A2F86">
        <w:rPr>
          <w:rFonts w:ascii="Arial" w:eastAsia="Times New Roman" w:hAnsi="Arial" w:cs="Arial"/>
          <w:lang w:eastAsia="en-US"/>
        </w:rPr>
        <w:t>(</w:t>
      </w:r>
      <w:r w:rsidR="00D21B52" w:rsidRPr="003A2F86">
        <w:rPr>
          <w:rFonts w:ascii="Arial" w:eastAsia="Times New Roman" w:hAnsi="Arial" w:cs="Arial"/>
          <w:b/>
          <w:bCs/>
          <w:lang w:eastAsia="en-US"/>
        </w:rPr>
        <w:t>6351</w:t>
      </w:r>
      <w:r w:rsidR="00D21B52" w:rsidRPr="003A2F86">
        <w:rPr>
          <w:rFonts w:ascii="Arial" w:eastAsia="Times New Roman" w:hAnsi="Arial" w:cs="Arial"/>
          <w:lang w:eastAsia="en-US"/>
        </w:rPr>
        <w:t xml:space="preserve">) su u </w:t>
      </w:r>
      <w:r w:rsidR="009E344C">
        <w:rPr>
          <w:rFonts w:ascii="Arial" w:eastAsia="Times New Roman" w:hAnsi="Arial" w:cs="Arial"/>
          <w:lang w:eastAsia="en-US"/>
        </w:rPr>
        <w:t>1-6/</w:t>
      </w:r>
      <w:r w:rsidR="00D21B52" w:rsidRPr="003A2F86">
        <w:rPr>
          <w:rFonts w:ascii="Arial" w:eastAsia="Times New Roman" w:hAnsi="Arial" w:cs="Arial"/>
          <w:lang w:eastAsia="en-US"/>
        </w:rPr>
        <w:t>202</w:t>
      </w:r>
      <w:r w:rsidR="009E344C">
        <w:rPr>
          <w:rFonts w:ascii="Arial" w:eastAsia="Times New Roman" w:hAnsi="Arial" w:cs="Arial"/>
          <w:lang w:eastAsia="en-US"/>
        </w:rPr>
        <w:t>5</w:t>
      </w:r>
      <w:r w:rsidR="00D21B52" w:rsidRPr="003A2F86">
        <w:rPr>
          <w:rFonts w:ascii="Arial" w:eastAsia="Times New Roman" w:hAnsi="Arial" w:cs="Arial"/>
          <w:lang w:eastAsia="en-US"/>
        </w:rPr>
        <w:t>. ostvaren</w:t>
      </w:r>
      <w:r w:rsidRPr="003A2F86">
        <w:rPr>
          <w:rFonts w:ascii="Arial" w:eastAsia="Times New Roman" w:hAnsi="Arial" w:cs="Arial"/>
          <w:lang w:eastAsia="en-US"/>
        </w:rPr>
        <w:t>e</w:t>
      </w:r>
      <w:r w:rsidR="00D21B52" w:rsidRPr="003A2F86">
        <w:rPr>
          <w:rFonts w:ascii="Arial" w:eastAsia="Times New Roman" w:hAnsi="Arial" w:cs="Arial"/>
          <w:lang w:eastAsia="en-US"/>
        </w:rPr>
        <w:t xml:space="preserve"> u iznosu</w:t>
      </w:r>
      <w:r w:rsidR="003D26B5" w:rsidRPr="003A2F86">
        <w:rPr>
          <w:rFonts w:ascii="Arial" w:eastAsia="Times New Roman" w:hAnsi="Arial" w:cs="Arial"/>
          <w:lang w:eastAsia="en-US"/>
        </w:rPr>
        <w:t xml:space="preserve"> </w:t>
      </w:r>
      <w:r w:rsidR="009E344C">
        <w:rPr>
          <w:rFonts w:ascii="Arial" w:eastAsia="Times New Roman" w:hAnsi="Arial" w:cs="Arial"/>
          <w:lang w:eastAsia="en-US"/>
        </w:rPr>
        <w:t>113.000</w:t>
      </w:r>
      <w:r w:rsidR="005317BD" w:rsidRPr="003A2F86">
        <w:rPr>
          <w:rFonts w:ascii="Arial" w:eastAsia="Times New Roman" w:hAnsi="Arial" w:cs="Arial"/>
          <w:lang w:eastAsia="en-US"/>
        </w:rPr>
        <w:t xml:space="preserve"> €</w:t>
      </w:r>
      <w:r w:rsidR="00D21B52" w:rsidRPr="003A2F86">
        <w:rPr>
          <w:rFonts w:ascii="Arial" w:eastAsia="Times New Roman" w:hAnsi="Arial" w:cs="Arial"/>
          <w:lang w:eastAsia="en-US"/>
        </w:rPr>
        <w:t xml:space="preserve"> </w:t>
      </w:r>
      <w:r w:rsidR="00C41369" w:rsidRPr="003A2F86">
        <w:rPr>
          <w:rFonts w:ascii="Arial" w:eastAsia="Times New Roman" w:hAnsi="Arial" w:cs="Arial"/>
          <w:lang w:eastAsia="en-US"/>
        </w:rPr>
        <w:t xml:space="preserve">što je za </w:t>
      </w:r>
      <w:r w:rsidR="009E344C">
        <w:rPr>
          <w:rFonts w:ascii="Arial" w:eastAsia="Times New Roman" w:hAnsi="Arial" w:cs="Arial"/>
          <w:lang w:eastAsia="en-US"/>
        </w:rPr>
        <w:t>5.483,31</w:t>
      </w:r>
      <w:r w:rsidR="00C41369" w:rsidRPr="003A2F86">
        <w:rPr>
          <w:rFonts w:ascii="Arial" w:eastAsia="Times New Roman" w:hAnsi="Arial" w:cs="Arial"/>
          <w:lang w:eastAsia="en-US"/>
        </w:rPr>
        <w:t xml:space="preserve"> € </w:t>
      </w:r>
      <w:r w:rsidR="00C8408C" w:rsidRPr="003A2F86">
        <w:rPr>
          <w:rFonts w:ascii="Arial" w:eastAsia="Times New Roman" w:hAnsi="Arial" w:cs="Arial"/>
          <w:lang w:eastAsia="en-US"/>
        </w:rPr>
        <w:t xml:space="preserve">ili </w:t>
      </w:r>
      <w:r w:rsidR="009E344C">
        <w:rPr>
          <w:rFonts w:ascii="Arial" w:eastAsia="Times New Roman" w:hAnsi="Arial" w:cs="Arial"/>
          <w:lang w:eastAsia="en-US"/>
        </w:rPr>
        <w:t>4,6</w:t>
      </w:r>
      <w:r w:rsidR="00C8408C" w:rsidRPr="003A2F86">
        <w:rPr>
          <w:rFonts w:ascii="Arial" w:eastAsia="Times New Roman" w:hAnsi="Arial" w:cs="Arial"/>
          <w:lang w:eastAsia="en-US"/>
        </w:rPr>
        <w:t xml:space="preserve">% </w:t>
      </w:r>
      <w:r w:rsidR="005317BD" w:rsidRPr="003A2F86">
        <w:rPr>
          <w:rFonts w:ascii="Arial" w:eastAsia="Times New Roman" w:hAnsi="Arial" w:cs="Arial"/>
          <w:lang w:eastAsia="en-US"/>
        </w:rPr>
        <w:t>manje</w:t>
      </w:r>
      <w:r w:rsidR="00C41369" w:rsidRPr="003A2F86">
        <w:rPr>
          <w:rFonts w:ascii="Arial" w:eastAsia="Times New Roman" w:hAnsi="Arial" w:cs="Arial"/>
          <w:lang w:eastAsia="en-US"/>
        </w:rPr>
        <w:t xml:space="preserve"> nego u izvještajnom razdoblju 202</w:t>
      </w:r>
      <w:r w:rsidR="009E344C">
        <w:rPr>
          <w:rFonts w:ascii="Arial" w:eastAsia="Times New Roman" w:hAnsi="Arial" w:cs="Arial"/>
          <w:lang w:eastAsia="en-US"/>
        </w:rPr>
        <w:t>4</w:t>
      </w:r>
      <w:r w:rsidR="00C41369" w:rsidRPr="003A2F86">
        <w:rPr>
          <w:rFonts w:ascii="Arial" w:eastAsia="Times New Roman" w:hAnsi="Arial" w:cs="Arial"/>
          <w:lang w:eastAsia="en-US"/>
        </w:rPr>
        <w:t>.</w:t>
      </w:r>
      <w:r w:rsidR="009E344C">
        <w:rPr>
          <w:rFonts w:ascii="Arial" w:eastAsia="Times New Roman" w:hAnsi="Arial" w:cs="Arial"/>
          <w:lang w:eastAsia="en-US"/>
        </w:rPr>
        <w:t xml:space="preserve"> </w:t>
      </w:r>
      <w:r w:rsidR="00C41369" w:rsidRPr="003A2F86">
        <w:rPr>
          <w:rFonts w:ascii="Arial" w:eastAsia="Times New Roman" w:hAnsi="Arial" w:cs="Arial"/>
          <w:lang w:eastAsia="en-US"/>
        </w:rPr>
        <w:t>godine.</w:t>
      </w:r>
    </w:p>
    <w:p w14:paraId="6AB0898A" w14:textId="77777777" w:rsidR="00C41369" w:rsidRPr="003A2F86" w:rsidRDefault="00C41369"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p>
    <w:p w14:paraId="0E1EB33F" w14:textId="4E63E57E" w:rsidR="00B54A75" w:rsidRPr="003A2F86" w:rsidRDefault="00C41369" w:rsidP="00B54A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 xml:space="preserve">Sveukupno </w:t>
      </w:r>
      <w:r w:rsidR="003D26B5" w:rsidRPr="003A2F86">
        <w:rPr>
          <w:rFonts w:ascii="Arial" w:eastAsia="Times New Roman" w:hAnsi="Arial" w:cs="Arial"/>
          <w:sz w:val="18"/>
          <w:szCs w:val="18"/>
          <w:lang w:eastAsia="en-US"/>
        </w:rPr>
        <w:t>ostvarene pomoći izravnanja za decentralizirane funkcije vatrogastva (</w:t>
      </w:r>
      <w:r w:rsidR="003D26B5" w:rsidRPr="003A2F86">
        <w:rPr>
          <w:rFonts w:ascii="Arial" w:eastAsia="Times New Roman" w:hAnsi="Arial" w:cs="Arial"/>
          <w:b/>
          <w:bCs/>
          <w:sz w:val="18"/>
          <w:szCs w:val="18"/>
          <w:lang w:eastAsia="en-US"/>
        </w:rPr>
        <w:t>6351</w:t>
      </w:r>
      <w:r w:rsidR="003D26B5" w:rsidRPr="003A2F86">
        <w:rPr>
          <w:rFonts w:ascii="Arial" w:eastAsia="Times New Roman" w:hAnsi="Arial" w:cs="Arial"/>
          <w:sz w:val="18"/>
          <w:szCs w:val="18"/>
          <w:lang w:eastAsia="en-US"/>
        </w:rPr>
        <w:t xml:space="preserve">) </w:t>
      </w:r>
      <w:r w:rsidRPr="003A2F86">
        <w:rPr>
          <w:rFonts w:ascii="Arial" w:eastAsia="Times New Roman" w:hAnsi="Arial" w:cs="Arial"/>
          <w:sz w:val="18"/>
          <w:szCs w:val="18"/>
          <w:lang w:eastAsia="en-US"/>
        </w:rPr>
        <w:t xml:space="preserve">u </w:t>
      </w:r>
      <w:r w:rsidR="00C92BD2" w:rsidRPr="003A2F86">
        <w:rPr>
          <w:rFonts w:ascii="Arial" w:eastAsia="Times New Roman" w:hAnsi="Arial" w:cs="Arial"/>
          <w:sz w:val="18"/>
          <w:szCs w:val="18"/>
          <w:lang w:eastAsia="en-US"/>
        </w:rPr>
        <w:t xml:space="preserve">2020. su </w:t>
      </w:r>
      <w:r w:rsidR="003D26B5" w:rsidRPr="003A2F86">
        <w:rPr>
          <w:rFonts w:ascii="Arial" w:eastAsia="Times New Roman" w:hAnsi="Arial" w:cs="Arial"/>
          <w:sz w:val="18"/>
          <w:szCs w:val="18"/>
          <w:lang w:eastAsia="en-US"/>
        </w:rPr>
        <w:t>iznosile</w:t>
      </w:r>
      <w:r w:rsidR="00C92BD2" w:rsidRPr="003A2F86">
        <w:rPr>
          <w:rFonts w:ascii="Arial" w:eastAsia="Times New Roman" w:hAnsi="Arial" w:cs="Arial"/>
          <w:sz w:val="18"/>
          <w:szCs w:val="18"/>
          <w:lang w:eastAsia="en-US"/>
        </w:rPr>
        <w:t xml:space="preserve"> </w:t>
      </w:r>
      <w:r w:rsidRPr="003A2F86">
        <w:rPr>
          <w:rFonts w:ascii="Arial" w:eastAsia="Times New Roman" w:hAnsi="Arial" w:cs="Arial"/>
          <w:sz w:val="18"/>
          <w:szCs w:val="18"/>
          <w:lang w:eastAsia="en-US"/>
        </w:rPr>
        <w:t>242.635,48 €</w:t>
      </w:r>
      <w:r w:rsidR="00C92BD2" w:rsidRPr="003A2F86">
        <w:rPr>
          <w:rFonts w:ascii="Arial" w:eastAsia="Times New Roman" w:hAnsi="Arial" w:cs="Arial"/>
          <w:sz w:val="18"/>
          <w:szCs w:val="18"/>
          <w:lang w:eastAsia="en-US"/>
        </w:rPr>
        <w:t xml:space="preserve">, u 2021. su </w:t>
      </w:r>
      <w:r w:rsidR="003D26B5" w:rsidRPr="003A2F86">
        <w:rPr>
          <w:rFonts w:ascii="Arial" w:eastAsia="Times New Roman" w:hAnsi="Arial" w:cs="Arial"/>
          <w:sz w:val="18"/>
          <w:szCs w:val="18"/>
          <w:lang w:eastAsia="en-US"/>
        </w:rPr>
        <w:t>iznosile</w:t>
      </w:r>
      <w:r w:rsidR="00C92BD2" w:rsidRPr="003A2F86">
        <w:rPr>
          <w:rFonts w:ascii="Arial" w:eastAsia="Times New Roman" w:hAnsi="Arial" w:cs="Arial"/>
          <w:sz w:val="18"/>
          <w:szCs w:val="18"/>
          <w:lang w:eastAsia="en-US"/>
        </w:rPr>
        <w:t xml:space="preserve"> </w:t>
      </w:r>
      <w:r w:rsidRPr="003A2F86">
        <w:rPr>
          <w:rFonts w:ascii="Arial" w:eastAsia="Times New Roman" w:hAnsi="Arial" w:cs="Arial"/>
          <w:sz w:val="18"/>
          <w:szCs w:val="18"/>
          <w:lang w:eastAsia="en-US"/>
        </w:rPr>
        <w:t>251.505,87 €</w:t>
      </w:r>
      <w:r w:rsidR="00C92BD2" w:rsidRPr="003A2F86">
        <w:rPr>
          <w:rFonts w:ascii="Arial" w:eastAsia="Times New Roman" w:hAnsi="Arial" w:cs="Arial"/>
          <w:sz w:val="18"/>
          <w:szCs w:val="18"/>
          <w:lang w:eastAsia="en-US"/>
        </w:rPr>
        <w:t xml:space="preserve">, u 2022. </w:t>
      </w:r>
      <w:r w:rsidR="003D26B5" w:rsidRPr="003A2F86">
        <w:rPr>
          <w:rFonts w:ascii="Arial" w:eastAsia="Times New Roman" w:hAnsi="Arial" w:cs="Arial"/>
          <w:sz w:val="18"/>
          <w:szCs w:val="18"/>
          <w:lang w:eastAsia="en-US"/>
        </w:rPr>
        <w:t>su iznosile</w:t>
      </w:r>
      <w:r w:rsidR="00C92BD2" w:rsidRPr="003A2F86">
        <w:rPr>
          <w:rFonts w:ascii="Arial" w:eastAsia="Times New Roman" w:hAnsi="Arial" w:cs="Arial"/>
          <w:sz w:val="18"/>
          <w:szCs w:val="18"/>
          <w:lang w:eastAsia="en-US"/>
        </w:rPr>
        <w:t xml:space="preserve"> </w:t>
      </w:r>
      <w:r w:rsidRPr="003A2F86">
        <w:rPr>
          <w:rFonts w:ascii="Arial" w:eastAsia="Times New Roman" w:hAnsi="Arial" w:cs="Arial"/>
          <w:sz w:val="18"/>
          <w:szCs w:val="18"/>
          <w:lang w:eastAsia="en-US"/>
        </w:rPr>
        <w:t>238.103,02 €</w:t>
      </w:r>
      <w:r w:rsidR="003D26B5" w:rsidRPr="003A2F86">
        <w:rPr>
          <w:rFonts w:ascii="Arial" w:eastAsia="Times New Roman" w:hAnsi="Arial" w:cs="Arial"/>
          <w:sz w:val="18"/>
          <w:szCs w:val="18"/>
          <w:lang w:eastAsia="en-US"/>
        </w:rPr>
        <w:t xml:space="preserve">, u 2023. </w:t>
      </w:r>
      <w:r w:rsidR="00B54A75">
        <w:rPr>
          <w:rFonts w:ascii="Arial" w:eastAsia="Times New Roman" w:hAnsi="Arial" w:cs="Arial"/>
          <w:sz w:val="18"/>
          <w:szCs w:val="18"/>
          <w:lang w:eastAsia="en-US"/>
        </w:rPr>
        <w:t xml:space="preserve">su </w:t>
      </w:r>
      <w:r w:rsidR="003D26B5" w:rsidRPr="003A2F86">
        <w:rPr>
          <w:rFonts w:ascii="Arial" w:eastAsia="Times New Roman" w:hAnsi="Arial" w:cs="Arial"/>
          <w:sz w:val="18"/>
          <w:szCs w:val="18"/>
          <w:lang w:eastAsia="en-US"/>
        </w:rPr>
        <w:t xml:space="preserve">iznosile </w:t>
      </w:r>
      <w:bookmarkStart w:id="93" w:name="_Hlk145931093"/>
      <w:r w:rsidR="003D26B5" w:rsidRPr="003A2F86">
        <w:rPr>
          <w:rFonts w:ascii="Arial" w:eastAsia="Times New Roman" w:hAnsi="Arial" w:cs="Arial"/>
          <w:sz w:val="18"/>
          <w:szCs w:val="18"/>
          <w:lang w:eastAsia="en-US"/>
        </w:rPr>
        <w:t>214.650,92 €</w:t>
      </w:r>
      <w:bookmarkEnd w:id="93"/>
      <w:r w:rsidR="00B54A75">
        <w:rPr>
          <w:rFonts w:ascii="Arial" w:eastAsia="Times New Roman" w:hAnsi="Arial" w:cs="Arial"/>
          <w:sz w:val="18"/>
          <w:szCs w:val="18"/>
          <w:lang w:eastAsia="en-US"/>
        </w:rPr>
        <w:t>, dok</w:t>
      </w:r>
      <w:r w:rsidR="00B54A75" w:rsidRPr="003A2F86">
        <w:rPr>
          <w:rFonts w:ascii="Arial" w:eastAsia="Times New Roman" w:hAnsi="Arial" w:cs="Arial"/>
          <w:sz w:val="18"/>
          <w:szCs w:val="18"/>
          <w:lang w:eastAsia="en-US"/>
        </w:rPr>
        <w:t xml:space="preserve"> su u 202</w:t>
      </w:r>
      <w:r w:rsidR="00B54A75">
        <w:rPr>
          <w:rFonts w:ascii="Arial" w:eastAsia="Times New Roman" w:hAnsi="Arial" w:cs="Arial"/>
          <w:sz w:val="18"/>
          <w:szCs w:val="18"/>
          <w:lang w:eastAsia="en-US"/>
        </w:rPr>
        <w:t>4</w:t>
      </w:r>
      <w:r w:rsidR="00B54A75" w:rsidRPr="003A2F86">
        <w:rPr>
          <w:rFonts w:ascii="Arial" w:eastAsia="Times New Roman" w:hAnsi="Arial" w:cs="Arial"/>
          <w:sz w:val="18"/>
          <w:szCs w:val="18"/>
          <w:lang w:eastAsia="en-US"/>
        </w:rPr>
        <w:t xml:space="preserve">. godini iznosile </w:t>
      </w:r>
      <w:r w:rsidR="00B54A75">
        <w:rPr>
          <w:rFonts w:ascii="Arial" w:eastAsia="Times New Roman" w:hAnsi="Arial" w:cs="Arial"/>
          <w:sz w:val="18"/>
          <w:szCs w:val="18"/>
          <w:lang w:eastAsia="en-US"/>
        </w:rPr>
        <w:t>213.896,17</w:t>
      </w:r>
      <w:r w:rsidR="00B54A75" w:rsidRPr="003A2F86">
        <w:rPr>
          <w:rFonts w:ascii="Arial" w:eastAsia="Times New Roman" w:hAnsi="Arial" w:cs="Arial"/>
          <w:sz w:val="18"/>
          <w:szCs w:val="18"/>
          <w:lang w:eastAsia="en-US"/>
        </w:rPr>
        <w:t xml:space="preserve"> €.</w:t>
      </w:r>
    </w:p>
    <w:p w14:paraId="69C30376" w14:textId="4ACF29DD" w:rsidR="00C92BD2" w:rsidRPr="003A2F86" w:rsidRDefault="00C92BD2"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p>
    <w:p w14:paraId="16C1A0EA" w14:textId="39E6BC8C" w:rsidR="00474A7A" w:rsidRDefault="00474A7A" w:rsidP="00474A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rPr>
      </w:pPr>
      <w:r w:rsidRPr="00847308">
        <w:rPr>
          <w:rFonts w:ascii="Arial" w:hAnsi="Arial" w:cs="Arial"/>
          <w:b/>
          <w:bCs/>
          <w:i/>
          <w:iCs/>
        </w:rPr>
        <w:t>63</w:t>
      </w:r>
      <w:r>
        <w:rPr>
          <w:rFonts w:ascii="Arial" w:hAnsi="Arial" w:cs="Arial"/>
          <w:b/>
          <w:bCs/>
          <w:i/>
          <w:iCs/>
        </w:rPr>
        <w:t>6</w:t>
      </w:r>
      <w:r w:rsidRPr="00847308">
        <w:rPr>
          <w:rFonts w:ascii="Arial" w:eastAsia="Times New Roman" w:hAnsi="Arial" w:cs="Arial"/>
          <w:b/>
          <w:bCs/>
          <w:i/>
          <w:iCs/>
          <w:lang w:eastAsia="en-US"/>
        </w:rPr>
        <w:t xml:space="preserve"> Pomoći </w:t>
      </w:r>
      <w:r>
        <w:rPr>
          <w:rFonts w:ascii="Arial" w:eastAsia="Times New Roman" w:hAnsi="Arial" w:cs="Arial"/>
          <w:b/>
          <w:bCs/>
          <w:i/>
          <w:iCs/>
          <w:lang w:eastAsia="en-US"/>
        </w:rPr>
        <w:t>proračunskim korisnicima iz proračuna koji im nije nadležan</w:t>
      </w:r>
    </w:p>
    <w:p w14:paraId="7E6C2B2F" w14:textId="77777777" w:rsidR="00474A7A" w:rsidRPr="00474A7A" w:rsidRDefault="00474A7A" w:rsidP="003D26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37B1CA40" w14:textId="5A315CA1" w:rsidR="005317BD" w:rsidRPr="003A2F86" w:rsidRDefault="005317BD" w:rsidP="005317BD">
      <w:pPr>
        <w:overflowPunct w:val="0"/>
        <w:autoSpaceDE w:val="0"/>
        <w:autoSpaceDN w:val="0"/>
        <w:adjustRightInd w:val="0"/>
        <w:spacing w:after="0" w:line="240" w:lineRule="auto"/>
        <w:jc w:val="both"/>
        <w:rPr>
          <w:rFonts w:ascii="Arial" w:eastAsia="Times New Roman" w:hAnsi="Arial" w:cs="Arial"/>
        </w:rPr>
      </w:pPr>
      <w:bookmarkStart w:id="94" w:name="_Hlk206858047"/>
      <w:r w:rsidRPr="003A2F86">
        <w:rPr>
          <w:rFonts w:ascii="Arial" w:eastAsia="Times New Roman" w:hAnsi="Arial" w:cs="Arial"/>
          <w:b/>
          <w:bCs/>
        </w:rPr>
        <w:t xml:space="preserve">Pomoći proračunskim korisnicima iz proračuna koji im nije nadležan </w:t>
      </w:r>
      <w:r w:rsidRPr="003A2F86">
        <w:rPr>
          <w:rFonts w:ascii="Arial" w:eastAsia="Times New Roman" w:hAnsi="Arial" w:cs="Arial"/>
        </w:rPr>
        <w:t>(</w:t>
      </w:r>
      <w:r w:rsidRPr="003A2F86">
        <w:rPr>
          <w:rFonts w:ascii="Arial" w:eastAsia="Times New Roman" w:hAnsi="Arial" w:cs="Arial"/>
          <w:b/>
          <w:bCs/>
        </w:rPr>
        <w:t>636</w:t>
      </w:r>
      <w:r w:rsidRPr="003A2F86">
        <w:rPr>
          <w:rFonts w:ascii="Arial" w:eastAsia="Times New Roman" w:hAnsi="Arial" w:cs="Arial"/>
        </w:rPr>
        <w:t xml:space="preserve">) </w:t>
      </w:r>
      <w:r w:rsidR="006222A2">
        <w:rPr>
          <w:rFonts w:ascii="Arial" w:eastAsia="Times New Roman" w:hAnsi="Arial" w:cs="Arial"/>
        </w:rPr>
        <w:t>u 202</w:t>
      </w:r>
      <w:r w:rsidR="00604873">
        <w:rPr>
          <w:rFonts w:ascii="Arial" w:eastAsia="Times New Roman" w:hAnsi="Arial" w:cs="Arial"/>
        </w:rPr>
        <w:t>5</w:t>
      </w:r>
      <w:r w:rsidR="006222A2">
        <w:rPr>
          <w:rFonts w:ascii="Arial" w:eastAsia="Times New Roman" w:hAnsi="Arial" w:cs="Arial"/>
        </w:rPr>
        <w:t xml:space="preserve">. </w:t>
      </w:r>
      <w:r w:rsidRPr="003A2F86">
        <w:rPr>
          <w:rFonts w:ascii="Arial" w:eastAsia="Times New Roman" w:hAnsi="Arial" w:cs="Arial"/>
        </w:rPr>
        <w:t xml:space="preserve">su ostvarene u iznosu </w:t>
      </w:r>
      <w:r w:rsidR="00604873">
        <w:rPr>
          <w:rFonts w:ascii="Arial" w:eastAsia="Times New Roman" w:hAnsi="Arial" w:cs="Arial"/>
        </w:rPr>
        <w:t>27.240</w:t>
      </w:r>
      <w:r w:rsidRPr="003A2F86">
        <w:rPr>
          <w:rFonts w:ascii="Arial" w:eastAsia="Times New Roman" w:hAnsi="Arial" w:cs="Arial"/>
        </w:rPr>
        <w:t xml:space="preserve"> € (</w:t>
      </w:r>
      <w:r w:rsidR="00604873">
        <w:rPr>
          <w:rFonts w:ascii="Arial" w:eastAsia="Times New Roman" w:hAnsi="Arial" w:cs="Arial"/>
        </w:rPr>
        <w:t>više</w:t>
      </w:r>
      <w:r w:rsidRPr="003A2F86">
        <w:rPr>
          <w:rFonts w:ascii="Arial" w:eastAsia="Times New Roman" w:hAnsi="Arial" w:cs="Arial"/>
        </w:rPr>
        <w:t xml:space="preserve"> za </w:t>
      </w:r>
      <w:r w:rsidR="00604873">
        <w:rPr>
          <w:rFonts w:ascii="Arial" w:eastAsia="Times New Roman" w:hAnsi="Arial" w:cs="Arial"/>
        </w:rPr>
        <w:t>7.610,00</w:t>
      </w:r>
      <w:r w:rsidRPr="003A2F86">
        <w:rPr>
          <w:rFonts w:ascii="Arial" w:eastAsia="Times New Roman" w:hAnsi="Arial" w:cs="Arial"/>
        </w:rPr>
        <w:t xml:space="preserve"> € ili </w:t>
      </w:r>
      <w:r w:rsidR="00604873">
        <w:rPr>
          <w:rFonts w:ascii="Arial" w:eastAsia="Times New Roman" w:hAnsi="Arial" w:cs="Arial"/>
        </w:rPr>
        <w:t>38</w:t>
      </w:r>
      <w:r w:rsidRPr="003A2F86">
        <w:rPr>
          <w:rFonts w:ascii="Arial" w:eastAsia="Times New Roman" w:hAnsi="Arial" w:cs="Arial"/>
        </w:rPr>
        <w:t xml:space="preserve">,8% nego prethodne godine), a odnose se na pomoći: Muzejima i galerijama Konavala (Ministarstvo kulture </w:t>
      </w:r>
      <w:r w:rsidR="00A228B8">
        <w:rPr>
          <w:rFonts w:ascii="Arial" w:eastAsia="Times New Roman" w:hAnsi="Arial" w:cs="Arial"/>
        </w:rPr>
        <w:t>24.000</w:t>
      </w:r>
      <w:r w:rsidRPr="003A2F86">
        <w:rPr>
          <w:rFonts w:ascii="Arial" w:eastAsia="Times New Roman" w:hAnsi="Arial" w:cs="Arial"/>
        </w:rPr>
        <w:t xml:space="preserve"> €), Dječjim vrtićima Konavala (Ministarstvo znanosti, obrazovanja i sporta </w:t>
      </w:r>
      <w:r w:rsidR="00A228B8">
        <w:rPr>
          <w:rFonts w:ascii="Arial" w:eastAsia="Times New Roman" w:hAnsi="Arial" w:cs="Arial"/>
        </w:rPr>
        <w:t>0</w:t>
      </w:r>
      <w:r w:rsidRPr="003A2F86">
        <w:rPr>
          <w:rFonts w:ascii="Arial" w:eastAsia="Times New Roman" w:hAnsi="Arial" w:cs="Arial"/>
        </w:rPr>
        <w:t xml:space="preserve"> €), Domu za starije i nemoćne osobe u iznosu </w:t>
      </w:r>
      <w:r w:rsidR="00A228B8">
        <w:rPr>
          <w:rFonts w:ascii="Arial" w:eastAsia="Times New Roman" w:hAnsi="Arial" w:cs="Arial"/>
        </w:rPr>
        <w:t>3.240</w:t>
      </w:r>
      <w:r w:rsidRPr="003A2F86">
        <w:rPr>
          <w:rFonts w:ascii="Arial" w:eastAsia="Times New Roman" w:hAnsi="Arial" w:cs="Arial"/>
        </w:rPr>
        <w:t xml:space="preserve"> € (od Dubrovačko-neretvanske županije </w:t>
      </w:r>
      <w:r w:rsidR="00A228B8">
        <w:rPr>
          <w:rFonts w:ascii="Arial" w:eastAsia="Times New Roman" w:hAnsi="Arial" w:cs="Arial"/>
        </w:rPr>
        <w:t>0</w:t>
      </w:r>
      <w:r w:rsidRPr="003A2F86">
        <w:rPr>
          <w:rFonts w:ascii="Arial" w:eastAsia="Times New Roman" w:hAnsi="Arial" w:cs="Arial"/>
        </w:rPr>
        <w:t xml:space="preserve"> € i od Ministarstva za sufinanciranje cijene energenata </w:t>
      </w:r>
      <w:r w:rsidR="00A228B8">
        <w:rPr>
          <w:rFonts w:ascii="Arial" w:eastAsia="Times New Roman" w:hAnsi="Arial" w:cs="Arial"/>
        </w:rPr>
        <w:t>3.240</w:t>
      </w:r>
      <w:r w:rsidRPr="003A2F86">
        <w:rPr>
          <w:rFonts w:ascii="Arial" w:eastAsia="Times New Roman" w:hAnsi="Arial" w:cs="Arial"/>
        </w:rPr>
        <w:t xml:space="preserve"> €). </w:t>
      </w:r>
    </w:p>
    <w:bookmarkEnd w:id="94"/>
    <w:p w14:paraId="1F60A978" w14:textId="77777777" w:rsidR="00D37268" w:rsidRPr="003A2F86" w:rsidRDefault="00D37268" w:rsidP="00C92B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3F9B1F37" w14:textId="272A86BB" w:rsidR="00C92BD2" w:rsidRDefault="00C92BD2"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r w:rsidRPr="003A2F86">
        <w:rPr>
          <w:rFonts w:ascii="Arial" w:eastAsia="Times New Roman" w:hAnsi="Arial" w:cs="Arial"/>
          <w:sz w:val="18"/>
          <w:szCs w:val="18"/>
          <w:lang w:eastAsia="en-US"/>
        </w:rPr>
        <w:t>Pomoći proračunskim korisnicima iz proračuna koji im nije nadležan (</w:t>
      </w:r>
      <w:r w:rsidRPr="003A2F86">
        <w:rPr>
          <w:rFonts w:ascii="Arial" w:eastAsia="Times New Roman" w:hAnsi="Arial" w:cs="Arial"/>
          <w:b/>
          <w:bCs/>
          <w:sz w:val="18"/>
          <w:szCs w:val="18"/>
          <w:lang w:eastAsia="en-US"/>
        </w:rPr>
        <w:t>636</w:t>
      </w:r>
      <w:r w:rsidRPr="003A2F86">
        <w:rPr>
          <w:rFonts w:ascii="Arial" w:eastAsia="Times New Roman" w:hAnsi="Arial" w:cs="Arial"/>
          <w:sz w:val="18"/>
          <w:szCs w:val="18"/>
          <w:lang w:eastAsia="en-US"/>
        </w:rPr>
        <w:t xml:space="preserve">) su </w:t>
      </w:r>
      <w:r w:rsidR="006222A2">
        <w:rPr>
          <w:rFonts w:ascii="Arial" w:eastAsia="Times New Roman" w:hAnsi="Arial" w:cs="Arial"/>
          <w:sz w:val="18"/>
          <w:szCs w:val="18"/>
          <w:lang w:eastAsia="en-US"/>
        </w:rPr>
        <w:t xml:space="preserve">u </w:t>
      </w:r>
      <w:r w:rsidR="00D92358" w:rsidRPr="003A2F86">
        <w:rPr>
          <w:rFonts w:ascii="Arial" w:eastAsia="Times New Roman" w:hAnsi="Arial" w:cs="Arial"/>
          <w:b/>
          <w:bCs/>
          <w:sz w:val="18"/>
          <w:szCs w:val="18"/>
          <w:lang w:eastAsia="en-US"/>
        </w:rPr>
        <w:t>2023.</w:t>
      </w:r>
      <w:r w:rsidR="00D92358" w:rsidRPr="003A2F86">
        <w:rPr>
          <w:rFonts w:ascii="Arial" w:eastAsia="Times New Roman" w:hAnsi="Arial" w:cs="Arial"/>
          <w:sz w:val="18"/>
          <w:szCs w:val="18"/>
          <w:lang w:eastAsia="en-US"/>
        </w:rPr>
        <w:t xml:space="preserve"> </w:t>
      </w:r>
      <w:r w:rsidR="008D43A9" w:rsidRPr="003A2F86">
        <w:rPr>
          <w:rFonts w:ascii="Arial" w:eastAsia="Times New Roman" w:hAnsi="Arial" w:cs="Arial"/>
          <w:sz w:val="18"/>
          <w:szCs w:val="18"/>
          <w:lang w:eastAsia="en-US"/>
        </w:rPr>
        <w:t>iznosile</w:t>
      </w:r>
      <w:r w:rsidRPr="003A2F86">
        <w:rPr>
          <w:rFonts w:ascii="Arial" w:eastAsia="Times New Roman" w:hAnsi="Arial" w:cs="Arial"/>
          <w:sz w:val="18"/>
          <w:szCs w:val="18"/>
          <w:lang w:eastAsia="en-US"/>
        </w:rPr>
        <w:t xml:space="preserve"> </w:t>
      </w:r>
      <w:bookmarkStart w:id="95" w:name="_Hlk145931111"/>
      <w:r w:rsidR="00C8408C" w:rsidRPr="003A2F86">
        <w:rPr>
          <w:rFonts w:ascii="Arial" w:eastAsia="Times New Roman" w:hAnsi="Arial" w:cs="Arial"/>
          <w:sz w:val="18"/>
          <w:szCs w:val="18"/>
          <w:lang w:eastAsia="en-US"/>
        </w:rPr>
        <w:t>71.638,96</w:t>
      </w:r>
      <w:r w:rsidR="00C41369" w:rsidRPr="003A2F86">
        <w:rPr>
          <w:rFonts w:ascii="Arial" w:eastAsia="Times New Roman" w:hAnsi="Arial" w:cs="Arial"/>
          <w:sz w:val="18"/>
          <w:szCs w:val="18"/>
          <w:lang w:eastAsia="en-US"/>
        </w:rPr>
        <w:t xml:space="preserve"> €</w:t>
      </w:r>
      <w:bookmarkEnd w:id="95"/>
      <w:r w:rsidRPr="003A2F86">
        <w:rPr>
          <w:rFonts w:ascii="Arial" w:eastAsia="Times New Roman" w:hAnsi="Arial" w:cs="Arial"/>
          <w:sz w:val="18"/>
          <w:szCs w:val="18"/>
          <w:lang w:eastAsia="en-US"/>
        </w:rPr>
        <w:t>, a odnos</w:t>
      </w:r>
      <w:r w:rsidR="008D43A9" w:rsidRPr="003A2F86">
        <w:rPr>
          <w:rFonts w:ascii="Arial" w:eastAsia="Times New Roman" w:hAnsi="Arial" w:cs="Arial"/>
          <w:sz w:val="18"/>
          <w:szCs w:val="18"/>
          <w:lang w:eastAsia="en-US"/>
        </w:rPr>
        <w:t>ile su se</w:t>
      </w:r>
      <w:r w:rsidRPr="003A2F86">
        <w:rPr>
          <w:rFonts w:ascii="Arial" w:eastAsia="Times New Roman" w:hAnsi="Arial" w:cs="Arial"/>
          <w:sz w:val="18"/>
          <w:szCs w:val="18"/>
          <w:lang w:eastAsia="en-US"/>
        </w:rPr>
        <w:t xml:space="preserve"> na pomoći</w:t>
      </w:r>
      <w:r w:rsidR="00C8408C" w:rsidRPr="003A2F86">
        <w:rPr>
          <w:rFonts w:ascii="Arial" w:eastAsia="Times New Roman" w:hAnsi="Arial" w:cs="Arial"/>
          <w:sz w:val="18"/>
          <w:szCs w:val="18"/>
          <w:lang w:eastAsia="en-US"/>
        </w:rPr>
        <w:t xml:space="preserve">: </w:t>
      </w:r>
      <w:r w:rsidR="00C8408C" w:rsidRPr="003A2F86">
        <w:rPr>
          <w:rFonts w:ascii="Arial" w:hAnsi="Arial" w:cs="Arial"/>
          <w:sz w:val="18"/>
          <w:szCs w:val="18"/>
        </w:rPr>
        <w:t xml:space="preserve">Muzejima i galerijama Konavala (Ministarstvo kulture 16.324,91 €), Dječjim vrtićima Konavala (Ministarstvo znanosti, obrazovanja i sporta 7.368,16 €), Domu za starije i nemoćne osobe u iznosu 8.841,45 € (od Dubrovačko-neretvanske županije 1.327 € i od Ministarstva za sufinanciranje cijene energenata 7.514,45 €), Javnoj vatrogasnoj postrojbi 39.104,44 € (od Hrvatske vatrogasne zajednice). </w:t>
      </w:r>
    </w:p>
    <w:p w14:paraId="1075B95F" w14:textId="77777777" w:rsidR="009E344C" w:rsidRPr="00164015" w:rsidRDefault="009E344C"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p>
    <w:p w14:paraId="7C28DD77" w14:textId="04C99C0D" w:rsidR="009E344C" w:rsidRDefault="009E344C" w:rsidP="009E344C">
      <w:pPr>
        <w:overflowPunct w:val="0"/>
        <w:autoSpaceDE w:val="0"/>
        <w:autoSpaceDN w:val="0"/>
        <w:adjustRightInd w:val="0"/>
        <w:spacing w:after="0" w:line="240" w:lineRule="auto"/>
        <w:ind w:left="567"/>
        <w:jc w:val="both"/>
        <w:rPr>
          <w:rFonts w:ascii="Arial" w:eastAsia="Times New Roman" w:hAnsi="Arial" w:cs="Arial"/>
          <w:sz w:val="18"/>
          <w:szCs w:val="18"/>
        </w:rPr>
      </w:pPr>
      <w:r w:rsidRPr="00164015">
        <w:rPr>
          <w:rFonts w:ascii="Arial" w:eastAsia="Times New Roman" w:hAnsi="Arial" w:cs="Arial"/>
          <w:sz w:val="18"/>
          <w:szCs w:val="18"/>
        </w:rPr>
        <w:t>Pomoći proračunskim korisnicima iz proračuna koji im nije nadležan</w:t>
      </w:r>
      <w:r w:rsidRPr="009E344C">
        <w:rPr>
          <w:rFonts w:ascii="Arial" w:eastAsia="Times New Roman" w:hAnsi="Arial" w:cs="Arial"/>
          <w:b/>
          <w:bCs/>
          <w:sz w:val="18"/>
          <w:szCs w:val="18"/>
        </w:rPr>
        <w:t xml:space="preserve"> </w:t>
      </w:r>
      <w:r w:rsidRPr="009E344C">
        <w:rPr>
          <w:rFonts w:ascii="Arial" w:eastAsia="Times New Roman" w:hAnsi="Arial" w:cs="Arial"/>
          <w:sz w:val="18"/>
          <w:szCs w:val="18"/>
        </w:rPr>
        <w:t>(</w:t>
      </w:r>
      <w:r w:rsidRPr="009E344C">
        <w:rPr>
          <w:rFonts w:ascii="Arial" w:eastAsia="Times New Roman" w:hAnsi="Arial" w:cs="Arial"/>
          <w:b/>
          <w:bCs/>
          <w:sz w:val="18"/>
          <w:szCs w:val="18"/>
        </w:rPr>
        <w:t>636</w:t>
      </w:r>
      <w:r w:rsidRPr="009E344C">
        <w:rPr>
          <w:rFonts w:ascii="Arial" w:eastAsia="Times New Roman" w:hAnsi="Arial" w:cs="Arial"/>
          <w:sz w:val="18"/>
          <w:szCs w:val="18"/>
        </w:rPr>
        <w:t xml:space="preserve">) u 2024. su ostvarene u iznosu 40.257,00, a odnose se na pomoći: Muzejima i galerijama Konavala (Ministarstvo kulture 27.480 €), Dječjim vrtićima Konavala (Ministarstvo znanosti, obrazovanja i sporta 6.590 €), Domu za starije i nemoćne osobe u iznosu 6.187 € (od Dubrovačko-neretvanske županije 1.327 € i od Ministarstva za sufinanciranje cijene energenata 4.860 €). </w:t>
      </w:r>
    </w:p>
    <w:p w14:paraId="4C7DCA9E" w14:textId="77777777" w:rsidR="00CF5028" w:rsidRDefault="00CF5028"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p>
    <w:p w14:paraId="2DD7507B" w14:textId="77777777" w:rsidR="007F2395" w:rsidRDefault="007F2395"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p>
    <w:p w14:paraId="3B12E378" w14:textId="77777777" w:rsidR="007F2395" w:rsidRDefault="007F2395"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p>
    <w:p w14:paraId="384EBC06" w14:textId="77777777" w:rsidR="007F2395" w:rsidRPr="00270B77" w:rsidRDefault="007F2395"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2"/>
          <w:szCs w:val="12"/>
          <w:lang w:eastAsia="en-US"/>
        </w:rPr>
      </w:pPr>
    </w:p>
    <w:p w14:paraId="50985B66" w14:textId="7FB12D64" w:rsidR="00CF5028" w:rsidRDefault="00CF5028" w:rsidP="00CF50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rPr>
      </w:pPr>
      <w:r w:rsidRPr="00847308">
        <w:rPr>
          <w:rFonts w:ascii="Arial" w:hAnsi="Arial" w:cs="Arial"/>
          <w:b/>
          <w:bCs/>
          <w:i/>
          <w:iCs/>
        </w:rPr>
        <w:lastRenderedPageBreak/>
        <w:t>63</w:t>
      </w:r>
      <w:r>
        <w:rPr>
          <w:rFonts w:ascii="Arial" w:hAnsi="Arial" w:cs="Arial"/>
          <w:b/>
          <w:bCs/>
          <w:i/>
          <w:iCs/>
        </w:rPr>
        <w:t>8</w:t>
      </w:r>
      <w:r w:rsidRPr="00847308">
        <w:rPr>
          <w:rFonts w:ascii="Arial" w:eastAsia="Times New Roman" w:hAnsi="Arial" w:cs="Arial"/>
          <w:b/>
          <w:bCs/>
          <w:i/>
          <w:iCs/>
          <w:lang w:eastAsia="en-US"/>
        </w:rPr>
        <w:t xml:space="preserve"> Pomoći </w:t>
      </w:r>
      <w:r>
        <w:rPr>
          <w:rFonts w:ascii="Arial" w:eastAsia="Times New Roman" w:hAnsi="Arial" w:cs="Arial"/>
          <w:b/>
          <w:bCs/>
          <w:i/>
          <w:iCs/>
          <w:lang w:eastAsia="en-US"/>
        </w:rPr>
        <w:t>temeljem prijenosa EU sredstava</w:t>
      </w:r>
    </w:p>
    <w:p w14:paraId="3D096935" w14:textId="77777777" w:rsidR="00C92BD2" w:rsidRPr="003A2F86" w:rsidRDefault="00C92BD2" w:rsidP="00C8408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p>
    <w:p w14:paraId="0D14B4AD" w14:textId="201081DE" w:rsidR="005317BD" w:rsidRPr="003A2F86" w:rsidRDefault="005317BD" w:rsidP="005317BD">
      <w:pPr>
        <w:overflowPunct w:val="0"/>
        <w:autoSpaceDE w:val="0"/>
        <w:autoSpaceDN w:val="0"/>
        <w:adjustRightInd w:val="0"/>
        <w:spacing w:after="0" w:line="240" w:lineRule="auto"/>
        <w:jc w:val="both"/>
        <w:rPr>
          <w:rFonts w:ascii="Arial" w:eastAsia="Times New Roman" w:hAnsi="Arial" w:cs="Arial"/>
        </w:rPr>
      </w:pPr>
      <w:bookmarkStart w:id="96" w:name="_Hlk160005885"/>
      <w:bookmarkStart w:id="97" w:name="_Hlk103073381"/>
      <w:r w:rsidRPr="003A2F86">
        <w:rPr>
          <w:rFonts w:ascii="Arial" w:eastAsia="Times New Roman" w:hAnsi="Arial" w:cs="Arial"/>
          <w:b/>
          <w:bCs/>
        </w:rPr>
        <w:t>Pomoći temeljem prijenosa EU sredstava (638)</w:t>
      </w:r>
      <w:r w:rsidRPr="003A2F86">
        <w:rPr>
          <w:rFonts w:ascii="Arial" w:eastAsia="Times New Roman" w:hAnsi="Arial" w:cs="Arial"/>
        </w:rPr>
        <w:t xml:space="preserve"> u 202</w:t>
      </w:r>
      <w:r w:rsidR="00CB7E97">
        <w:rPr>
          <w:rFonts w:ascii="Arial" w:eastAsia="Times New Roman" w:hAnsi="Arial" w:cs="Arial"/>
        </w:rPr>
        <w:t>5</w:t>
      </w:r>
      <w:r w:rsidRPr="003A2F86">
        <w:rPr>
          <w:rFonts w:ascii="Arial" w:eastAsia="Times New Roman" w:hAnsi="Arial" w:cs="Arial"/>
        </w:rPr>
        <w:t xml:space="preserve">. su ostvarene u iznosu </w:t>
      </w:r>
      <w:r w:rsidR="00CB7E97">
        <w:rPr>
          <w:rFonts w:ascii="Arial" w:eastAsia="Times New Roman" w:hAnsi="Arial" w:cs="Arial"/>
        </w:rPr>
        <w:t>2.271.869,19</w:t>
      </w:r>
      <w:r w:rsidRPr="003A2F86">
        <w:rPr>
          <w:rFonts w:ascii="Arial" w:eastAsia="Times New Roman" w:hAnsi="Arial" w:cs="Arial"/>
        </w:rPr>
        <w:t xml:space="preserve"> € i </w:t>
      </w:r>
      <w:r w:rsidR="00C44D4D">
        <w:rPr>
          <w:rFonts w:ascii="Arial" w:eastAsia="Times New Roman" w:hAnsi="Arial" w:cs="Arial"/>
        </w:rPr>
        <w:t xml:space="preserve">u cijelosti se </w:t>
      </w:r>
      <w:r w:rsidRPr="003A2F86">
        <w:rPr>
          <w:rFonts w:ascii="Arial" w:eastAsia="Times New Roman" w:hAnsi="Arial" w:cs="Arial"/>
        </w:rPr>
        <w:t xml:space="preserve">odnose na </w:t>
      </w:r>
      <w:r w:rsidR="00CB7E97">
        <w:rPr>
          <w:rFonts w:ascii="Arial" w:eastAsia="Times New Roman" w:hAnsi="Arial" w:cs="Arial"/>
        </w:rPr>
        <w:t>pomoć za sufinanci</w:t>
      </w:r>
      <w:r w:rsidR="00C44D4D">
        <w:rPr>
          <w:rFonts w:ascii="Arial" w:eastAsia="Times New Roman" w:hAnsi="Arial" w:cs="Arial"/>
        </w:rPr>
        <w:t>ranje izgradnje osnovne škole</w:t>
      </w:r>
      <w:r w:rsidRPr="003A2F86">
        <w:rPr>
          <w:rFonts w:ascii="Arial" w:eastAsia="Times New Roman" w:hAnsi="Arial" w:cs="Arial"/>
        </w:rPr>
        <w:t>.</w:t>
      </w:r>
    </w:p>
    <w:bookmarkEnd w:id="96"/>
    <w:p w14:paraId="19B78077" w14:textId="77777777" w:rsidR="00C8408C" w:rsidRPr="00270B77" w:rsidRDefault="00C8408C" w:rsidP="00C8408C">
      <w:pPr>
        <w:overflowPunct w:val="0"/>
        <w:autoSpaceDE w:val="0"/>
        <w:autoSpaceDN w:val="0"/>
        <w:adjustRightInd w:val="0"/>
        <w:spacing w:after="0" w:line="240" w:lineRule="auto"/>
        <w:jc w:val="both"/>
        <w:rPr>
          <w:rFonts w:ascii="Arial" w:hAnsi="Arial" w:cs="Arial"/>
          <w:sz w:val="12"/>
          <w:szCs w:val="12"/>
        </w:rPr>
      </w:pPr>
    </w:p>
    <w:bookmarkEnd w:id="97"/>
    <w:p w14:paraId="3B78BF37" w14:textId="77777777" w:rsidR="005317BD" w:rsidRPr="003A2F86" w:rsidRDefault="005317BD"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Pomoći temeljem prijenosa EU sredstava (</w:t>
      </w:r>
      <w:r w:rsidRPr="003A2F86">
        <w:rPr>
          <w:rFonts w:ascii="Arial" w:eastAsia="Times New Roman" w:hAnsi="Arial" w:cs="Arial"/>
          <w:b/>
          <w:bCs/>
          <w:sz w:val="18"/>
          <w:szCs w:val="18"/>
          <w:lang w:eastAsia="en-US"/>
        </w:rPr>
        <w:t>638</w:t>
      </w:r>
      <w:r w:rsidRPr="003A2F86">
        <w:rPr>
          <w:rFonts w:ascii="Arial" w:eastAsia="Times New Roman" w:hAnsi="Arial" w:cs="Arial"/>
          <w:sz w:val="18"/>
          <w:szCs w:val="18"/>
          <w:lang w:eastAsia="en-US"/>
        </w:rPr>
        <w:t xml:space="preserve">) u </w:t>
      </w:r>
      <w:r w:rsidRPr="003A2F86">
        <w:rPr>
          <w:rFonts w:ascii="Arial" w:eastAsia="Times New Roman" w:hAnsi="Arial" w:cs="Arial"/>
          <w:b/>
          <w:bCs/>
          <w:sz w:val="18"/>
          <w:szCs w:val="18"/>
          <w:lang w:eastAsia="en-US"/>
        </w:rPr>
        <w:t>2020</w:t>
      </w:r>
      <w:r w:rsidRPr="003A2F86">
        <w:rPr>
          <w:rFonts w:ascii="Arial" w:eastAsia="Times New Roman" w:hAnsi="Arial" w:cs="Arial"/>
          <w:sz w:val="18"/>
          <w:szCs w:val="18"/>
          <w:lang w:eastAsia="en-US"/>
        </w:rPr>
        <w:t>. godini su bile ostvarene u iznosu 834.799,12 € i to kao tekuće pomoći za izobrazno informativne aktivnosti 25.157,48 €, projekt Otvorimo južna vrata lijepe naše koji se provodi putem vrtića 238.558,63 € i tekuća pomoć za podmirenje općih troškova izgradnje reciklažnog dvorišta u iznosu 20.634,68 €, te kao kapitalna pomoć za reciklažno dvorište 550.448,33 €.</w:t>
      </w:r>
    </w:p>
    <w:p w14:paraId="224C7700" w14:textId="77777777" w:rsidR="005317BD" w:rsidRPr="00BE31A9" w:rsidRDefault="005317BD" w:rsidP="006222A2">
      <w:pPr>
        <w:overflowPunct w:val="0"/>
        <w:autoSpaceDE w:val="0"/>
        <w:autoSpaceDN w:val="0"/>
        <w:adjustRightInd w:val="0"/>
        <w:spacing w:after="0" w:line="240" w:lineRule="auto"/>
        <w:ind w:left="567"/>
        <w:jc w:val="both"/>
        <w:rPr>
          <w:rFonts w:ascii="Arial" w:eastAsia="Times New Roman" w:hAnsi="Arial" w:cs="Arial"/>
          <w:sz w:val="18"/>
          <w:szCs w:val="18"/>
        </w:rPr>
      </w:pPr>
    </w:p>
    <w:p w14:paraId="6A7E028E" w14:textId="77777777" w:rsidR="005317BD" w:rsidRPr="003A2F86" w:rsidRDefault="005317BD"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 xml:space="preserve">U </w:t>
      </w:r>
      <w:r w:rsidRPr="003A2F86">
        <w:rPr>
          <w:rFonts w:ascii="Arial" w:eastAsia="Times New Roman" w:hAnsi="Arial" w:cs="Arial"/>
          <w:b/>
          <w:bCs/>
          <w:sz w:val="18"/>
          <w:szCs w:val="18"/>
          <w:lang w:eastAsia="en-US"/>
        </w:rPr>
        <w:t>2021</w:t>
      </w:r>
      <w:r w:rsidRPr="003A2F86">
        <w:rPr>
          <w:rFonts w:ascii="Arial" w:eastAsia="Times New Roman" w:hAnsi="Arial" w:cs="Arial"/>
          <w:sz w:val="18"/>
          <w:szCs w:val="18"/>
          <w:lang w:eastAsia="en-US"/>
        </w:rPr>
        <w:t>. godini su bila ostvarena EU sredstva (638) u iznosu 796.496,08 € ili 4,6% manje nego 2020. godine (tekuće pomoći 178.286,96 € za projekt Otvorimo južna vrata lijepe naše koji se provodi putem vrtića, te kapitalna pomoć za izgradnju vatrogasnog doma 604.512,75 € i izradu prostornog plana 13.696,36 €).</w:t>
      </w:r>
    </w:p>
    <w:p w14:paraId="7F34ED54" w14:textId="77777777" w:rsidR="005317BD" w:rsidRPr="003A2F86" w:rsidRDefault="005317BD"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p>
    <w:p w14:paraId="2C81B75D" w14:textId="1BED00CA" w:rsidR="005317BD" w:rsidRPr="003A2F86" w:rsidRDefault="005317BD" w:rsidP="006222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3A2F86">
        <w:rPr>
          <w:rFonts w:ascii="Arial" w:eastAsia="Times New Roman" w:hAnsi="Arial" w:cs="Arial"/>
          <w:sz w:val="18"/>
          <w:szCs w:val="18"/>
          <w:lang w:eastAsia="en-US"/>
        </w:rPr>
        <w:t xml:space="preserve">U </w:t>
      </w:r>
      <w:r w:rsidRPr="003A2F86">
        <w:rPr>
          <w:rFonts w:ascii="Arial" w:eastAsia="Times New Roman" w:hAnsi="Arial" w:cs="Arial"/>
          <w:b/>
          <w:bCs/>
          <w:sz w:val="18"/>
          <w:szCs w:val="18"/>
          <w:lang w:eastAsia="en-US"/>
        </w:rPr>
        <w:t>2022</w:t>
      </w:r>
      <w:r w:rsidRPr="003A2F86">
        <w:rPr>
          <w:rFonts w:ascii="Arial" w:eastAsia="Times New Roman" w:hAnsi="Arial" w:cs="Arial"/>
          <w:sz w:val="18"/>
          <w:szCs w:val="18"/>
          <w:lang w:eastAsia="en-US"/>
        </w:rPr>
        <w:t>. godini su ostvarena EU sredstva (638) u iznosu 136.480,20 € ili 82,9% manje nego 2021. godine. Ostvarene su tekuće pomoći za projekt Otvorimo južna vrata lijepe naše koji se provodi putem vrtića (od čega 2.313,29 € za okončanu I fazu projekta i kao predujam za II fazu projekta</w:t>
      </w:r>
      <w:r w:rsidR="00BE31A9">
        <w:rPr>
          <w:rFonts w:ascii="Arial" w:eastAsia="Times New Roman" w:hAnsi="Arial" w:cs="Arial"/>
          <w:sz w:val="18"/>
          <w:szCs w:val="18"/>
          <w:lang w:eastAsia="en-US"/>
        </w:rPr>
        <w:t xml:space="preserve"> </w:t>
      </w:r>
      <w:r w:rsidR="00BE31A9" w:rsidRPr="003A2F86">
        <w:rPr>
          <w:rFonts w:ascii="Arial" w:eastAsia="Times New Roman" w:hAnsi="Arial" w:cs="Arial"/>
          <w:sz w:val="18"/>
          <w:szCs w:val="18"/>
          <w:lang w:eastAsia="en-US"/>
        </w:rPr>
        <w:t>134.166,91 €</w:t>
      </w:r>
      <w:r w:rsidRPr="003A2F86">
        <w:rPr>
          <w:rFonts w:ascii="Arial" w:eastAsia="Times New Roman" w:hAnsi="Arial" w:cs="Arial"/>
          <w:sz w:val="18"/>
          <w:szCs w:val="18"/>
          <w:lang w:eastAsia="en-US"/>
        </w:rPr>
        <w:t xml:space="preserve">). </w:t>
      </w:r>
    </w:p>
    <w:p w14:paraId="07642A67" w14:textId="77777777" w:rsidR="005317BD" w:rsidRPr="003A2F86" w:rsidRDefault="005317BD" w:rsidP="006222A2">
      <w:pPr>
        <w:overflowPunct w:val="0"/>
        <w:autoSpaceDE w:val="0"/>
        <w:autoSpaceDN w:val="0"/>
        <w:adjustRightInd w:val="0"/>
        <w:spacing w:after="0" w:line="240" w:lineRule="auto"/>
        <w:ind w:left="567"/>
        <w:jc w:val="both"/>
        <w:rPr>
          <w:rFonts w:ascii="Arial" w:eastAsia="Times New Roman" w:hAnsi="Arial" w:cs="Arial"/>
          <w:sz w:val="18"/>
          <w:szCs w:val="18"/>
          <w:lang w:eastAsia="en-US"/>
        </w:rPr>
      </w:pPr>
    </w:p>
    <w:p w14:paraId="611ED947" w14:textId="24A75931" w:rsidR="00CB7E97" w:rsidRPr="00B87805" w:rsidRDefault="005317BD" w:rsidP="00C44D4D">
      <w:pPr>
        <w:overflowPunct w:val="0"/>
        <w:autoSpaceDE w:val="0"/>
        <w:autoSpaceDN w:val="0"/>
        <w:adjustRightInd w:val="0"/>
        <w:spacing w:after="0" w:line="240" w:lineRule="auto"/>
        <w:ind w:left="567"/>
        <w:jc w:val="both"/>
        <w:rPr>
          <w:rFonts w:ascii="Arial" w:eastAsia="Times New Roman" w:hAnsi="Arial" w:cs="Arial"/>
          <w:sz w:val="18"/>
          <w:szCs w:val="18"/>
        </w:rPr>
      </w:pPr>
      <w:r w:rsidRPr="00B87805">
        <w:rPr>
          <w:rFonts w:ascii="Arial" w:eastAsia="Times New Roman" w:hAnsi="Arial" w:cs="Arial"/>
          <w:sz w:val="18"/>
          <w:szCs w:val="18"/>
          <w:lang w:eastAsia="en-US"/>
        </w:rPr>
        <w:t xml:space="preserve">U </w:t>
      </w:r>
      <w:r w:rsidRPr="00B87805">
        <w:rPr>
          <w:rFonts w:ascii="Arial" w:eastAsia="Times New Roman" w:hAnsi="Arial" w:cs="Arial"/>
          <w:b/>
          <w:bCs/>
          <w:sz w:val="18"/>
          <w:szCs w:val="18"/>
          <w:lang w:eastAsia="en-US"/>
        </w:rPr>
        <w:t>2023</w:t>
      </w:r>
      <w:r w:rsidRPr="00B87805">
        <w:rPr>
          <w:rFonts w:ascii="Arial" w:eastAsia="Times New Roman" w:hAnsi="Arial" w:cs="Arial"/>
          <w:sz w:val="18"/>
          <w:szCs w:val="18"/>
          <w:lang w:eastAsia="en-US"/>
        </w:rPr>
        <w:t xml:space="preserve">. godini su </w:t>
      </w:r>
      <w:r w:rsidR="006222A2" w:rsidRPr="00B87805">
        <w:rPr>
          <w:rFonts w:ascii="Arial" w:eastAsia="Times New Roman" w:hAnsi="Arial" w:cs="Arial"/>
          <w:sz w:val="18"/>
          <w:szCs w:val="18"/>
          <w:lang w:eastAsia="en-US"/>
        </w:rPr>
        <w:t xml:space="preserve">bila </w:t>
      </w:r>
      <w:r w:rsidRPr="00B87805">
        <w:rPr>
          <w:rFonts w:ascii="Arial" w:eastAsia="Times New Roman" w:hAnsi="Arial" w:cs="Arial"/>
          <w:sz w:val="18"/>
          <w:szCs w:val="18"/>
          <w:lang w:eastAsia="en-US"/>
        </w:rPr>
        <w:t>ostvarena EU sredstva (638) u iznosu 39.809,65 € (projekt koji se provodio putem vrtića).</w:t>
      </w:r>
      <w:r w:rsidR="00C44D4D" w:rsidRPr="00B87805">
        <w:rPr>
          <w:rFonts w:ascii="Arial" w:eastAsia="Times New Roman" w:hAnsi="Arial" w:cs="Arial"/>
          <w:sz w:val="18"/>
          <w:szCs w:val="18"/>
          <w:lang w:eastAsia="en-US"/>
        </w:rPr>
        <w:t xml:space="preserve">, dok su u </w:t>
      </w:r>
      <w:r w:rsidR="00C44D4D" w:rsidRPr="00B87805">
        <w:rPr>
          <w:rFonts w:ascii="Arial" w:eastAsia="Times New Roman" w:hAnsi="Arial" w:cs="Arial"/>
          <w:b/>
          <w:bCs/>
          <w:sz w:val="18"/>
          <w:szCs w:val="18"/>
          <w:lang w:eastAsia="en-US"/>
        </w:rPr>
        <w:t>2024</w:t>
      </w:r>
      <w:r w:rsidR="00C44D4D" w:rsidRPr="00B87805">
        <w:rPr>
          <w:rFonts w:ascii="Arial" w:eastAsia="Times New Roman" w:hAnsi="Arial" w:cs="Arial"/>
          <w:sz w:val="18"/>
          <w:szCs w:val="18"/>
          <w:lang w:eastAsia="en-US"/>
        </w:rPr>
        <w:t xml:space="preserve">. godini ove pomoći iznosile </w:t>
      </w:r>
      <w:r w:rsidR="00CB7E97" w:rsidRPr="00B87805">
        <w:rPr>
          <w:rFonts w:ascii="Arial" w:eastAsia="Times New Roman" w:hAnsi="Arial" w:cs="Arial"/>
          <w:sz w:val="18"/>
          <w:szCs w:val="18"/>
        </w:rPr>
        <w:t>12.220,84 €</w:t>
      </w:r>
      <w:r w:rsidR="00B87805" w:rsidRPr="00B87805">
        <w:rPr>
          <w:rFonts w:ascii="Arial" w:eastAsia="Times New Roman" w:hAnsi="Arial" w:cs="Arial"/>
          <w:sz w:val="18"/>
          <w:szCs w:val="18"/>
        </w:rPr>
        <w:t xml:space="preserve"> na temelju konačnog obračuna po projektu Ot</w:t>
      </w:r>
      <w:r w:rsidR="00CB7E97" w:rsidRPr="00B87805">
        <w:rPr>
          <w:rFonts w:ascii="Arial" w:eastAsia="Times New Roman" w:hAnsi="Arial" w:cs="Arial"/>
          <w:sz w:val="18"/>
          <w:szCs w:val="18"/>
        </w:rPr>
        <w:t xml:space="preserve">vorimo južna vrata lijepe naše II faza. </w:t>
      </w:r>
    </w:p>
    <w:p w14:paraId="0FC70531" w14:textId="77777777" w:rsidR="00CB7E97" w:rsidRPr="00270B77" w:rsidRDefault="00CB7E97" w:rsidP="006222A2">
      <w:pPr>
        <w:overflowPunct w:val="0"/>
        <w:autoSpaceDE w:val="0"/>
        <w:autoSpaceDN w:val="0"/>
        <w:adjustRightInd w:val="0"/>
        <w:spacing w:after="0" w:line="240" w:lineRule="auto"/>
        <w:ind w:left="567"/>
        <w:jc w:val="both"/>
        <w:rPr>
          <w:rFonts w:ascii="Arial" w:eastAsia="Times New Roman" w:hAnsi="Arial" w:cs="Arial"/>
          <w:sz w:val="12"/>
          <w:szCs w:val="12"/>
        </w:rPr>
      </w:pPr>
    </w:p>
    <w:p w14:paraId="7E6E254B" w14:textId="77777777" w:rsidR="004E52BB" w:rsidRPr="00CC05F3" w:rsidRDefault="004E52BB" w:rsidP="004E52B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3A2F86">
        <w:rPr>
          <w:rFonts w:ascii="Arial" w:eastAsia="Times New Roman" w:hAnsi="Arial" w:cs="Arial"/>
          <w:i/>
          <w:iCs/>
          <w:sz w:val="20"/>
          <w:szCs w:val="20"/>
        </w:rPr>
        <w:t>*Usporedba:</w:t>
      </w:r>
      <w:r w:rsidRPr="003A2F86">
        <w:rPr>
          <w:rFonts w:ascii="Arial" w:eastAsia="Times New Roman" w:hAnsi="Arial" w:cs="Arial"/>
        </w:rPr>
        <w:t xml:space="preserve"> </w:t>
      </w:r>
    </w:p>
    <w:tbl>
      <w:tblPr>
        <w:tblW w:w="14307" w:type="dxa"/>
        <w:jc w:val="center"/>
        <w:tblLook w:val="04A0" w:firstRow="1" w:lastRow="0" w:firstColumn="1" w:lastColumn="0" w:noHBand="0" w:noVBand="1"/>
      </w:tblPr>
      <w:tblGrid>
        <w:gridCol w:w="768"/>
        <w:gridCol w:w="1151"/>
        <w:gridCol w:w="12388"/>
      </w:tblGrid>
      <w:tr w:rsidR="004E52BB" w:rsidRPr="003A2F86" w14:paraId="3CCC0344" w14:textId="77777777" w:rsidTr="00BB3F8C">
        <w:trPr>
          <w:trHeight w:val="300"/>
          <w:jc w:val="center"/>
        </w:trPr>
        <w:tc>
          <w:tcPr>
            <w:tcW w:w="14307" w:type="dxa"/>
            <w:gridSpan w:val="3"/>
            <w:tcBorders>
              <w:top w:val="single" w:sz="8" w:space="0" w:color="000000"/>
              <w:left w:val="single" w:sz="8" w:space="0" w:color="000000"/>
              <w:bottom w:val="single" w:sz="8" w:space="0" w:color="000000"/>
              <w:right w:val="single" w:sz="8" w:space="0" w:color="000000"/>
            </w:tcBorders>
            <w:vAlign w:val="center"/>
            <w:hideMark/>
          </w:tcPr>
          <w:p w14:paraId="6299AE99" w14:textId="77777777" w:rsidR="004E52BB" w:rsidRPr="003A2F86" w:rsidRDefault="004E52BB" w:rsidP="00B223BA">
            <w:pPr>
              <w:spacing w:after="0" w:line="240" w:lineRule="auto"/>
              <w:jc w:val="center"/>
              <w:rPr>
                <w:rFonts w:ascii="Arial" w:eastAsia="Times New Roman" w:hAnsi="Arial" w:cs="Arial"/>
                <w:b/>
                <w:bCs/>
                <w:i/>
                <w:iCs/>
                <w:sz w:val="18"/>
                <w:szCs w:val="18"/>
              </w:rPr>
            </w:pPr>
            <w:r w:rsidRPr="003A2F86">
              <w:rPr>
                <w:rFonts w:ascii="Arial" w:eastAsia="Times New Roman" w:hAnsi="Arial" w:cs="Arial"/>
                <w:b/>
                <w:bCs/>
                <w:i/>
                <w:iCs/>
                <w:sz w:val="18"/>
                <w:szCs w:val="18"/>
              </w:rPr>
              <w:t>Prihod od pomoći temeljem prijenosa EU sredstava – (</w:t>
            </w:r>
            <w:r w:rsidRPr="003A2F86">
              <w:rPr>
                <w:rFonts w:ascii="Arial" w:eastAsia="Times New Roman" w:hAnsi="Arial" w:cs="Arial"/>
                <w:b/>
                <w:bCs/>
                <w:i/>
                <w:iCs/>
                <w:color w:val="FF0000"/>
                <w:sz w:val="18"/>
                <w:szCs w:val="18"/>
              </w:rPr>
              <w:t>638</w:t>
            </w:r>
            <w:r w:rsidRPr="003A2F86">
              <w:rPr>
                <w:rFonts w:ascii="Arial" w:eastAsia="Times New Roman" w:hAnsi="Arial" w:cs="Arial"/>
                <w:b/>
                <w:bCs/>
                <w:i/>
                <w:iCs/>
                <w:sz w:val="18"/>
                <w:szCs w:val="18"/>
              </w:rPr>
              <w:t>)</w:t>
            </w:r>
          </w:p>
        </w:tc>
      </w:tr>
      <w:tr w:rsidR="004E52BB" w:rsidRPr="003A2F86" w14:paraId="5E592698" w14:textId="77777777" w:rsidTr="00BB3F8C">
        <w:trPr>
          <w:trHeight w:val="300"/>
          <w:jc w:val="center"/>
        </w:trPr>
        <w:tc>
          <w:tcPr>
            <w:tcW w:w="768" w:type="dxa"/>
            <w:tcBorders>
              <w:top w:val="nil"/>
              <w:left w:val="single" w:sz="8" w:space="0" w:color="000000"/>
              <w:bottom w:val="single" w:sz="8" w:space="0" w:color="000000"/>
              <w:right w:val="single" w:sz="8" w:space="0" w:color="000000"/>
            </w:tcBorders>
            <w:vAlign w:val="center"/>
            <w:hideMark/>
          </w:tcPr>
          <w:p w14:paraId="79A61FD1" w14:textId="77777777" w:rsidR="004E52BB" w:rsidRPr="00BB3F8C" w:rsidRDefault="004E52BB" w:rsidP="00B223BA">
            <w:pPr>
              <w:spacing w:after="0" w:line="240" w:lineRule="auto"/>
              <w:jc w:val="center"/>
              <w:rPr>
                <w:rFonts w:ascii="Arial" w:eastAsia="Times New Roman" w:hAnsi="Arial" w:cs="Arial"/>
                <w:b/>
                <w:bCs/>
                <w:i/>
                <w:iCs/>
                <w:sz w:val="16"/>
                <w:szCs w:val="16"/>
              </w:rPr>
            </w:pPr>
            <w:r w:rsidRPr="00BB3F8C">
              <w:rPr>
                <w:rFonts w:ascii="Arial" w:eastAsia="Times New Roman" w:hAnsi="Arial" w:cs="Arial"/>
                <w:b/>
                <w:bCs/>
                <w:i/>
                <w:iCs/>
                <w:sz w:val="16"/>
                <w:szCs w:val="16"/>
              </w:rPr>
              <w:t>Godina</w:t>
            </w:r>
          </w:p>
        </w:tc>
        <w:tc>
          <w:tcPr>
            <w:tcW w:w="1151" w:type="dxa"/>
            <w:tcBorders>
              <w:top w:val="nil"/>
              <w:left w:val="nil"/>
              <w:bottom w:val="single" w:sz="8" w:space="0" w:color="000000"/>
              <w:right w:val="single" w:sz="8" w:space="0" w:color="000000"/>
            </w:tcBorders>
            <w:vAlign w:val="center"/>
            <w:hideMark/>
          </w:tcPr>
          <w:p w14:paraId="751F8624" w14:textId="57F035FB" w:rsidR="004E52BB" w:rsidRPr="003A2F86" w:rsidRDefault="004E52BB" w:rsidP="00B223BA">
            <w:pPr>
              <w:spacing w:after="0" w:line="240" w:lineRule="auto"/>
              <w:jc w:val="center"/>
              <w:rPr>
                <w:rFonts w:ascii="Arial" w:eastAsia="Times New Roman" w:hAnsi="Arial" w:cs="Arial"/>
                <w:b/>
                <w:bCs/>
                <w:i/>
                <w:iCs/>
                <w:sz w:val="18"/>
                <w:szCs w:val="18"/>
              </w:rPr>
            </w:pPr>
            <w:r w:rsidRPr="003A2F86">
              <w:rPr>
                <w:rFonts w:ascii="Arial" w:eastAsia="Times New Roman" w:hAnsi="Arial" w:cs="Arial"/>
                <w:b/>
                <w:bCs/>
                <w:i/>
                <w:iCs/>
                <w:sz w:val="18"/>
                <w:szCs w:val="18"/>
              </w:rPr>
              <w:t xml:space="preserve">Iznos </w:t>
            </w:r>
            <w:r w:rsidRPr="003A2F86">
              <w:rPr>
                <w:rFonts w:ascii="Arial" w:eastAsia="Times New Roman" w:hAnsi="Arial" w:cs="Arial"/>
                <w:b/>
                <w:bCs/>
                <w:i/>
                <w:iCs/>
                <w:color w:val="FF0000"/>
                <w:sz w:val="18"/>
                <w:szCs w:val="18"/>
              </w:rPr>
              <w:t>(€)</w:t>
            </w:r>
          </w:p>
        </w:tc>
        <w:tc>
          <w:tcPr>
            <w:tcW w:w="12388" w:type="dxa"/>
            <w:tcBorders>
              <w:top w:val="nil"/>
              <w:left w:val="nil"/>
              <w:bottom w:val="single" w:sz="8" w:space="0" w:color="000000"/>
              <w:right w:val="single" w:sz="8" w:space="0" w:color="000000"/>
            </w:tcBorders>
            <w:vAlign w:val="center"/>
            <w:hideMark/>
          </w:tcPr>
          <w:p w14:paraId="5569FE99" w14:textId="77777777" w:rsidR="004E52BB" w:rsidRPr="003A2F86" w:rsidRDefault="004E52BB" w:rsidP="00B223BA">
            <w:pPr>
              <w:spacing w:after="0" w:line="240" w:lineRule="auto"/>
              <w:jc w:val="center"/>
              <w:rPr>
                <w:rFonts w:ascii="Arial" w:eastAsia="Times New Roman" w:hAnsi="Arial" w:cs="Arial"/>
                <w:b/>
                <w:bCs/>
                <w:i/>
                <w:iCs/>
                <w:sz w:val="18"/>
                <w:szCs w:val="18"/>
              </w:rPr>
            </w:pPr>
            <w:r w:rsidRPr="003A2F86">
              <w:rPr>
                <w:rFonts w:ascii="Arial" w:eastAsia="Times New Roman" w:hAnsi="Arial" w:cs="Arial"/>
                <w:b/>
                <w:bCs/>
                <w:i/>
                <w:iCs/>
                <w:sz w:val="18"/>
                <w:szCs w:val="18"/>
              </w:rPr>
              <w:t>Obrazloženje</w:t>
            </w:r>
          </w:p>
        </w:tc>
      </w:tr>
      <w:tr w:rsidR="004E52BB" w:rsidRPr="003A2F86" w14:paraId="320963DA" w14:textId="77777777" w:rsidTr="00BB3F8C">
        <w:trPr>
          <w:trHeight w:val="99"/>
          <w:jc w:val="center"/>
        </w:trPr>
        <w:tc>
          <w:tcPr>
            <w:tcW w:w="768" w:type="dxa"/>
            <w:tcBorders>
              <w:top w:val="nil"/>
              <w:left w:val="single" w:sz="8" w:space="0" w:color="000000"/>
              <w:bottom w:val="single" w:sz="8" w:space="0" w:color="000000"/>
              <w:right w:val="single" w:sz="8" w:space="0" w:color="000000"/>
            </w:tcBorders>
            <w:vAlign w:val="center"/>
            <w:hideMark/>
          </w:tcPr>
          <w:p w14:paraId="1D2A8E75" w14:textId="77777777" w:rsidR="004E52BB" w:rsidRPr="003A2F86" w:rsidRDefault="004E52BB" w:rsidP="004E52BB">
            <w:pPr>
              <w:spacing w:after="0" w:line="240" w:lineRule="auto"/>
              <w:jc w:val="center"/>
              <w:rPr>
                <w:rFonts w:ascii="Arial" w:eastAsia="Times New Roman" w:hAnsi="Arial" w:cs="Arial"/>
                <w:i/>
                <w:iCs/>
                <w:sz w:val="16"/>
                <w:szCs w:val="16"/>
              </w:rPr>
            </w:pPr>
            <w:r w:rsidRPr="003A2F86">
              <w:rPr>
                <w:rFonts w:ascii="Arial" w:eastAsia="Times New Roman" w:hAnsi="Arial" w:cs="Arial"/>
                <w:i/>
                <w:iCs/>
                <w:sz w:val="16"/>
                <w:szCs w:val="16"/>
              </w:rPr>
              <w:t>2015</w:t>
            </w:r>
          </w:p>
        </w:tc>
        <w:tc>
          <w:tcPr>
            <w:tcW w:w="1151" w:type="dxa"/>
            <w:tcBorders>
              <w:top w:val="nil"/>
              <w:left w:val="nil"/>
              <w:bottom w:val="single" w:sz="8" w:space="0" w:color="000000"/>
              <w:right w:val="single" w:sz="8" w:space="0" w:color="000000"/>
            </w:tcBorders>
            <w:vAlign w:val="center"/>
            <w:hideMark/>
          </w:tcPr>
          <w:p w14:paraId="04A7CDF0" w14:textId="0F3380B5" w:rsidR="004E52BB" w:rsidRPr="003A2F86" w:rsidRDefault="004E52BB" w:rsidP="004E52BB">
            <w:pPr>
              <w:spacing w:after="0" w:line="240" w:lineRule="auto"/>
              <w:jc w:val="right"/>
              <w:rPr>
                <w:rFonts w:ascii="Arial" w:eastAsia="Times New Roman" w:hAnsi="Arial" w:cs="Arial"/>
                <w:i/>
                <w:iCs/>
                <w:sz w:val="16"/>
                <w:szCs w:val="16"/>
              </w:rPr>
            </w:pPr>
            <w:r w:rsidRPr="003A2F86">
              <w:rPr>
                <w:rFonts w:ascii="Arial" w:hAnsi="Arial" w:cs="Arial"/>
                <w:sz w:val="16"/>
                <w:szCs w:val="16"/>
              </w:rPr>
              <w:t>24.428,25</w:t>
            </w:r>
          </w:p>
        </w:tc>
        <w:tc>
          <w:tcPr>
            <w:tcW w:w="12388" w:type="dxa"/>
            <w:tcBorders>
              <w:top w:val="nil"/>
              <w:left w:val="nil"/>
              <w:bottom w:val="single" w:sz="8" w:space="0" w:color="000000"/>
              <w:right w:val="single" w:sz="8" w:space="0" w:color="000000"/>
            </w:tcBorders>
            <w:vAlign w:val="center"/>
            <w:hideMark/>
          </w:tcPr>
          <w:p w14:paraId="349422D7" w14:textId="578C8792" w:rsidR="004E52BB" w:rsidRPr="003A2F86" w:rsidRDefault="004E52BB" w:rsidP="004E52BB">
            <w:pPr>
              <w:spacing w:after="0" w:line="240" w:lineRule="auto"/>
              <w:jc w:val="both"/>
              <w:rPr>
                <w:rFonts w:ascii="Arial" w:eastAsia="Times New Roman" w:hAnsi="Arial" w:cs="Arial"/>
                <w:sz w:val="16"/>
                <w:szCs w:val="16"/>
              </w:rPr>
            </w:pPr>
            <w:r w:rsidRPr="003A2F86">
              <w:rPr>
                <w:rFonts w:ascii="Arial" w:hAnsi="Arial" w:cs="Arial"/>
                <w:sz w:val="16"/>
                <w:szCs w:val="16"/>
              </w:rPr>
              <w:t>za provedbu projekta „Ćiro“</w:t>
            </w:r>
          </w:p>
        </w:tc>
      </w:tr>
      <w:tr w:rsidR="004E52BB" w:rsidRPr="003A2F86" w14:paraId="1FD8F16B" w14:textId="77777777" w:rsidTr="00BB3F8C">
        <w:trPr>
          <w:trHeight w:val="331"/>
          <w:jc w:val="center"/>
        </w:trPr>
        <w:tc>
          <w:tcPr>
            <w:tcW w:w="768" w:type="dxa"/>
            <w:tcBorders>
              <w:top w:val="nil"/>
              <w:left w:val="single" w:sz="8" w:space="0" w:color="000000"/>
              <w:bottom w:val="single" w:sz="8" w:space="0" w:color="000000"/>
              <w:right w:val="single" w:sz="8" w:space="0" w:color="000000"/>
            </w:tcBorders>
            <w:vAlign w:val="center"/>
            <w:hideMark/>
          </w:tcPr>
          <w:p w14:paraId="2D48828E" w14:textId="77777777" w:rsidR="004E52BB" w:rsidRPr="003A2F86" w:rsidRDefault="004E52BB" w:rsidP="004E52BB">
            <w:pPr>
              <w:spacing w:after="0" w:line="240" w:lineRule="auto"/>
              <w:jc w:val="center"/>
              <w:rPr>
                <w:rFonts w:ascii="Arial" w:eastAsia="Times New Roman" w:hAnsi="Arial" w:cs="Arial"/>
                <w:i/>
                <w:iCs/>
                <w:sz w:val="16"/>
                <w:szCs w:val="16"/>
              </w:rPr>
            </w:pPr>
            <w:r w:rsidRPr="003A2F86">
              <w:rPr>
                <w:rFonts w:ascii="Arial" w:eastAsia="Times New Roman" w:hAnsi="Arial" w:cs="Arial"/>
                <w:i/>
                <w:iCs/>
                <w:sz w:val="16"/>
                <w:szCs w:val="16"/>
              </w:rPr>
              <w:t>2016</w:t>
            </w:r>
          </w:p>
        </w:tc>
        <w:tc>
          <w:tcPr>
            <w:tcW w:w="1151" w:type="dxa"/>
            <w:tcBorders>
              <w:top w:val="nil"/>
              <w:left w:val="nil"/>
              <w:bottom w:val="single" w:sz="8" w:space="0" w:color="000000"/>
              <w:right w:val="single" w:sz="8" w:space="0" w:color="000000"/>
            </w:tcBorders>
            <w:vAlign w:val="center"/>
            <w:hideMark/>
          </w:tcPr>
          <w:p w14:paraId="51C54BB0" w14:textId="53D3A122" w:rsidR="004E52BB" w:rsidRPr="003A2F86" w:rsidRDefault="004E52BB" w:rsidP="004E52BB">
            <w:pPr>
              <w:spacing w:after="0" w:line="240" w:lineRule="auto"/>
              <w:jc w:val="right"/>
              <w:rPr>
                <w:rFonts w:ascii="Arial" w:eastAsia="Times New Roman" w:hAnsi="Arial" w:cs="Arial"/>
                <w:i/>
                <w:iCs/>
                <w:sz w:val="16"/>
                <w:szCs w:val="16"/>
              </w:rPr>
            </w:pPr>
            <w:r w:rsidRPr="003A2F86">
              <w:rPr>
                <w:rFonts w:ascii="Arial" w:hAnsi="Arial" w:cs="Arial"/>
                <w:sz w:val="16"/>
                <w:szCs w:val="16"/>
              </w:rPr>
              <w:t>665.845,38</w:t>
            </w:r>
          </w:p>
        </w:tc>
        <w:tc>
          <w:tcPr>
            <w:tcW w:w="12388" w:type="dxa"/>
            <w:tcBorders>
              <w:top w:val="nil"/>
              <w:left w:val="nil"/>
              <w:bottom w:val="single" w:sz="8" w:space="0" w:color="000000"/>
              <w:right w:val="single" w:sz="8" w:space="0" w:color="000000"/>
            </w:tcBorders>
            <w:vAlign w:val="center"/>
            <w:hideMark/>
          </w:tcPr>
          <w:p w14:paraId="18F5916E" w14:textId="4BD89673" w:rsidR="004E52BB" w:rsidRPr="003A2F86" w:rsidRDefault="004E52BB" w:rsidP="004E52BB">
            <w:pPr>
              <w:spacing w:after="0" w:line="240" w:lineRule="auto"/>
              <w:jc w:val="both"/>
              <w:rPr>
                <w:rFonts w:ascii="Arial" w:eastAsia="Times New Roman" w:hAnsi="Arial" w:cs="Arial"/>
                <w:sz w:val="16"/>
                <w:szCs w:val="16"/>
              </w:rPr>
            </w:pPr>
            <w:r w:rsidRPr="003A2F86">
              <w:rPr>
                <w:rFonts w:ascii="Arial" w:hAnsi="Arial" w:cs="Arial"/>
                <w:sz w:val="16"/>
                <w:szCs w:val="16"/>
              </w:rPr>
              <w:t>za provedbu projekta „Ćiro“ u iznosu 166.648,47 €, te nakon završetka izgradnje i stavljanja u upotrebu kanalizacijskog sustava „Zvekovica“ financiranog iz IPARD programa 499.196,95 €</w:t>
            </w:r>
          </w:p>
        </w:tc>
      </w:tr>
      <w:tr w:rsidR="004E52BB" w:rsidRPr="003A2F86" w14:paraId="66FCE574" w14:textId="77777777" w:rsidTr="00BB3F8C">
        <w:trPr>
          <w:trHeight w:val="216"/>
          <w:jc w:val="center"/>
        </w:trPr>
        <w:tc>
          <w:tcPr>
            <w:tcW w:w="768" w:type="dxa"/>
            <w:tcBorders>
              <w:top w:val="nil"/>
              <w:left w:val="single" w:sz="8" w:space="0" w:color="000000"/>
              <w:bottom w:val="single" w:sz="8" w:space="0" w:color="000000"/>
              <w:right w:val="single" w:sz="8" w:space="0" w:color="000000"/>
            </w:tcBorders>
            <w:vAlign w:val="center"/>
            <w:hideMark/>
          </w:tcPr>
          <w:p w14:paraId="60B26225" w14:textId="77777777" w:rsidR="004E52BB" w:rsidRPr="003A2F86" w:rsidRDefault="004E52BB" w:rsidP="004E52BB">
            <w:pPr>
              <w:spacing w:after="0" w:line="240" w:lineRule="auto"/>
              <w:jc w:val="center"/>
              <w:rPr>
                <w:rFonts w:ascii="Arial" w:eastAsia="Times New Roman" w:hAnsi="Arial" w:cs="Arial"/>
                <w:i/>
                <w:iCs/>
                <w:sz w:val="16"/>
                <w:szCs w:val="16"/>
              </w:rPr>
            </w:pPr>
            <w:r w:rsidRPr="003A2F86">
              <w:rPr>
                <w:rFonts w:ascii="Arial" w:eastAsia="Times New Roman" w:hAnsi="Arial" w:cs="Arial"/>
                <w:i/>
                <w:iCs/>
                <w:sz w:val="16"/>
                <w:szCs w:val="16"/>
              </w:rPr>
              <w:t>2017</w:t>
            </w:r>
          </w:p>
        </w:tc>
        <w:tc>
          <w:tcPr>
            <w:tcW w:w="1151" w:type="dxa"/>
            <w:tcBorders>
              <w:top w:val="nil"/>
              <w:left w:val="nil"/>
              <w:bottom w:val="single" w:sz="8" w:space="0" w:color="000000"/>
              <w:right w:val="single" w:sz="8" w:space="0" w:color="000000"/>
            </w:tcBorders>
            <w:vAlign w:val="center"/>
            <w:hideMark/>
          </w:tcPr>
          <w:p w14:paraId="366C2233" w14:textId="4C51CB2C" w:rsidR="004E52BB" w:rsidRPr="003A2F86" w:rsidRDefault="004E52BB" w:rsidP="004E52BB">
            <w:pPr>
              <w:spacing w:after="0" w:line="240" w:lineRule="auto"/>
              <w:jc w:val="right"/>
              <w:rPr>
                <w:rFonts w:ascii="Arial" w:eastAsia="Times New Roman" w:hAnsi="Arial" w:cs="Arial"/>
                <w:i/>
                <w:iCs/>
                <w:sz w:val="16"/>
                <w:szCs w:val="16"/>
              </w:rPr>
            </w:pPr>
            <w:r w:rsidRPr="003A2F86">
              <w:rPr>
                <w:rFonts w:ascii="Arial" w:hAnsi="Arial" w:cs="Arial"/>
                <w:sz w:val="16"/>
                <w:szCs w:val="16"/>
              </w:rPr>
              <w:t>50.157,01</w:t>
            </w:r>
          </w:p>
        </w:tc>
        <w:tc>
          <w:tcPr>
            <w:tcW w:w="12388" w:type="dxa"/>
            <w:tcBorders>
              <w:top w:val="nil"/>
              <w:left w:val="nil"/>
              <w:bottom w:val="single" w:sz="8" w:space="0" w:color="000000"/>
              <w:right w:val="single" w:sz="8" w:space="0" w:color="000000"/>
            </w:tcBorders>
            <w:vAlign w:val="center"/>
            <w:hideMark/>
          </w:tcPr>
          <w:p w14:paraId="6D68C28F" w14:textId="160EB7DD" w:rsidR="004E52BB" w:rsidRPr="003A2F86" w:rsidRDefault="004E52BB" w:rsidP="004E52BB">
            <w:pPr>
              <w:spacing w:after="0" w:line="240" w:lineRule="auto"/>
              <w:jc w:val="both"/>
              <w:rPr>
                <w:rFonts w:ascii="Arial" w:eastAsia="Times New Roman" w:hAnsi="Arial" w:cs="Arial"/>
                <w:sz w:val="16"/>
                <w:szCs w:val="16"/>
              </w:rPr>
            </w:pPr>
            <w:r w:rsidRPr="003A2F86">
              <w:rPr>
                <w:rFonts w:ascii="Arial" w:hAnsi="Arial" w:cs="Arial"/>
                <w:sz w:val="16"/>
                <w:szCs w:val="16"/>
              </w:rPr>
              <w:t>provedba projekta „Ćiro“ nakon odobrenja finalnog izvještaja</w:t>
            </w:r>
          </w:p>
        </w:tc>
      </w:tr>
      <w:tr w:rsidR="004E52BB" w:rsidRPr="003A2F86" w14:paraId="4B438E75" w14:textId="77777777" w:rsidTr="00BB3F8C">
        <w:trPr>
          <w:trHeight w:val="406"/>
          <w:jc w:val="center"/>
        </w:trPr>
        <w:tc>
          <w:tcPr>
            <w:tcW w:w="768" w:type="dxa"/>
            <w:tcBorders>
              <w:top w:val="nil"/>
              <w:left w:val="single" w:sz="8" w:space="0" w:color="000000"/>
              <w:bottom w:val="single" w:sz="8" w:space="0" w:color="000000"/>
              <w:right w:val="single" w:sz="8" w:space="0" w:color="000000"/>
            </w:tcBorders>
            <w:vAlign w:val="center"/>
            <w:hideMark/>
          </w:tcPr>
          <w:p w14:paraId="0EFB7693" w14:textId="77777777" w:rsidR="004E52BB" w:rsidRPr="003A2F86" w:rsidRDefault="004E52BB" w:rsidP="004E52BB">
            <w:pPr>
              <w:spacing w:after="0" w:line="240" w:lineRule="auto"/>
              <w:jc w:val="center"/>
              <w:rPr>
                <w:rFonts w:ascii="Arial" w:eastAsia="Times New Roman" w:hAnsi="Arial" w:cs="Arial"/>
                <w:i/>
                <w:iCs/>
                <w:sz w:val="16"/>
                <w:szCs w:val="16"/>
              </w:rPr>
            </w:pPr>
            <w:r w:rsidRPr="003A2F86">
              <w:rPr>
                <w:rFonts w:ascii="Arial" w:eastAsia="Times New Roman" w:hAnsi="Arial" w:cs="Arial"/>
                <w:i/>
                <w:iCs/>
                <w:sz w:val="16"/>
                <w:szCs w:val="16"/>
              </w:rPr>
              <w:t>2018</w:t>
            </w:r>
          </w:p>
        </w:tc>
        <w:tc>
          <w:tcPr>
            <w:tcW w:w="1151" w:type="dxa"/>
            <w:tcBorders>
              <w:top w:val="nil"/>
              <w:left w:val="nil"/>
              <w:bottom w:val="single" w:sz="8" w:space="0" w:color="000000"/>
              <w:right w:val="single" w:sz="8" w:space="0" w:color="000000"/>
            </w:tcBorders>
            <w:vAlign w:val="center"/>
            <w:hideMark/>
          </w:tcPr>
          <w:p w14:paraId="60009A4D" w14:textId="029702D2" w:rsidR="004E52BB" w:rsidRPr="003A2F86" w:rsidRDefault="004E52BB" w:rsidP="004E52BB">
            <w:pPr>
              <w:spacing w:after="0" w:line="240" w:lineRule="auto"/>
              <w:jc w:val="right"/>
              <w:rPr>
                <w:rFonts w:ascii="Arial" w:eastAsia="Times New Roman" w:hAnsi="Arial" w:cs="Arial"/>
                <w:i/>
                <w:iCs/>
                <w:sz w:val="16"/>
                <w:szCs w:val="16"/>
              </w:rPr>
            </w:pPr>
            <w:r w:rsidRPr="003A2F86">
              <w:rPr>
                <w:rFonts w:ascii="Arial" w:hAnsi="Arial" w:cs="Arial"/>
                <w:sz w:val="16"/>
                <w:szCs w:val="16"/>
              </w:rPr>
              <w:t>34.250,12</w:t>
            </w:r>
          </w:p>
        </w:tc>
        <w:tc>
          <w:tcPr>
            <w:tcW w:w="12388" w:type="dxa"/>
            <w:tcBorders>
              <w:top w:val="nil"/>
              <w:left w:val="nil"/>
              <w:bottom w:val="single" w:sz="8" w:space="0" w:color="000000"/>
              <w:right w:val="single" w:sz="8" w:space="0" w:color="000000"/>
            </w:tcBorders>
            <w:vAlign w:val="center"/>
            <w:hideMark/>
          </w:tcPr>
          <w:p w14:paraId="122C5EF5" w14:textId="0D968B61" w:rsidR="004E52BB" w:rsidRPr="003A2F86" w:rsidRDefault="004E52BB" w:rsidP="004E52BB">
            <w:pPr>
              <w:spacing w:after="0" w:line="240" w:lineRule="auto"/>
              <w:jc w:val="both"/>
              <w:rPr>
                <w:rFonts w:ascii="Arial" w:eastAsia="Times New Roman" w:hAnsi="Arial" w:cs="Arial"/>
                <w:sz w:val="16"/>
                <w:szCs w:val="16"/>
              </w:rPr>
            </w:pPr>
            <w:r w:rsidRPr="003A2F86">
              <w:rPr>
                <w:rFonts w:ascii="Arial" w:hAnsi="Arial" w:cs="Arial"/>
                <w:sz w:val="16"/>
                <w:szCs w:val="16"/>
              </w:rPr>
              <w:t>Muzeji i galerije Konavala za provedbu programa ERASMUS+ (ugovor s partnerima Finska i Portugal) 33.904,29 €, te Dječji vrtić Konavle za sudjelovanje ustanove u projektu međunarodne suradnje unutar programa ERASMUS+ u iznosu 345,81 €</w:t>
            </w:r>
          </w:p>
        </w:tc>
      </w:tr>
      <w:tr w:rsidR="004E52BB" w:rsidRPr="003A2F86" w14:paraId="638DC8E4" w14:textId="77777777" w:rsidTr="00BB3F8C">
        <w:trPr>
          <w:trHeight w:val="596"/>
          <w:jc w:val="center"/>
        </w:trPr>
        <w:tc>
          <w:tcPr>
            <w:tcW w:w="768" w:type="dxa"/>
            <w:tcBorders>
              <w:top w:val="nil"/>
              <w:left w:val="single" w:sz="8" w:space="0" w:color="000000"/>
              <w:bottom w:val="single" w:sz="8" w:space="0" w:color="000000"/>
              <w:right w:val="single" w:sz="8" w:space="0" w:color="000000"/>
            </w:tcBorders>
            <w:vAlign w:val="center"/>
            <w:hideMark/>
          </w:tcPr>
          <w:p w14:paraId="79BCF3D8" w14:textId="77777777" w:rsidR="004E52BB" w:rsidRPr="003A2F86" w:rsidRDefault="004E52BB" w:rsidP="004E52BB">
            <w:pPr>
              <w:spacing w:after="0" w:line="240" w:lineRule="auto"/>
              <w:jc w:val="center"/>
              <w:rPr>
                <w:rFonts w:ascii="Arial" w:eastAsia="Times New Roman" w:hAnsi="Arial" w:cs="Arial"/>
                <w:i/>
                <w:iCs/>
                <w:sz w:val="16"/>
                <w:szCs w:val="16"/>
              </w:rPr>
            </w:pPr>
            <w:r w:rsidRPr="003A2F86">
              <w:rPr>
                <w:rFonts w:ascii="Arial" w:eastAsia="Times New Roman" w:hAnsi="Arial" w:cs="Arial"/>
                <w:i/>
                <w:iCs/>
                <w:sz w:val="16"/>
                <w:szCs w:val="16"/>
              </w:rPr>
              <w:t>2019.</w:t>
            </w:r>
          </w:p>
        </w:tc>
        <w:tc>
          <w:tcPr>
            <w:tcW w:w="1151" w:type="dxa"/>
            <w:tcBorders>
              <w:top w:val="nil"/>
              <w:left w:val="nil"/>
              <w:bottom w:val="single" w:sz="8" w:space="0" w:color="000000"/>
              <w:right w:val="single" w:sz="8" w:space="0" w:color="000000"/>
            </w:tcBorders>
            <w:vAlign w:val="center"/>
            <w:hideMark/>
          </w:tcPr>
          <w:p w14:paraId="60E3A166" w14:textId="0331B3E2" w:rsidR="004E52BB" w:rsidRPr="003A2F86" w:rsidRDefault="004E52BB" w:rsidP="004E52BB">
            <w:pPr>
              <w:spacing w:after="0" w:line="240" w:lineRule="auto"/>
              <w:jc w:val="right"/>
              <w:rPr>
                <w:rFonts w:ascii="Arial" w:eastAsia="Times New Roman" w:hAnsi="Arial" w:cs="Arial"/>
                <w:i/>
                <w:iCs/>
                <w:sz w:val="16"/>
                <w:szCs w:val="16"/>
              </w:rPr>
            </w:pPr>
            <w:r w:rsidRPr="003A2F86">
              <w:rPr>
                <w:rFonts w:ascii="Arial" w:hAnsi="Arial" w:cs="Arial"/>
                <w:sz w:val="16"/>
                <w:szCs w:val="16"/>
              </w:rPr>
              <w:t>183.895,01</w:t>
            </w:r>
          </w:p>
        </w:tc>
        <w:tc>
          <w:tcPr>
            <w:tcW w:w="12388" w:type="dxa"/>
            <w:tcBorders>
              <w:top w:val="nil"/>
              <w:left w:val="nil"/>
              <w:bottom w:val="single" w:sz="8" w:space="0" w:color="000000"/>
              <w:right w:val="single" w:sz="8" w:space="0" w:color="000000"/>
            </w:tcBorders>
            <w:vAlign w:val="center"/>
            <w:hideMark/>
          </w:tcPr>
          <w:p w14:paraId="17B3B0AE" w14:textId="224D93A3" w:rsidR="004E52BB" w:rsidRPr="003A2F86" w:rsidRDefault="004E52BB" w:rsidP="004E52BB">
            <w:pPr>
              <w:spacing w:after="0" w:line="240" w:lineRule="auto"/>
              <w:jc w:val="both"/>
              <w:rPr>
                <w:rFonts w:ascii="Arial" w:eastAsia="Times New Roman" w:hAnsi="Arial" w:cs="Arial"/>
                <w:sz w:val="16"/>
                <w:szCs w:val="16"/>
              </w:rPr>
            </w:pPr>
            <w:r w:rsidRPr="003A2F86">
              <w:rPr>
                <w:rFonts w:ascii="Arial" w:hAnsi="Arial" w:cs="Arial"/>
                <w:sz w:val="16"/>
                <w:szCs w:val="16"/>
              </w:rPr>
              <w:t>Sredstva Općine u iznosu 183.463,25 € i sredstva ustanovi Muzeji i galerije Konavala 431,50 € za sudjelovanje ustanove u projektu međunarodne suradnje unutar programa ERASMUS+. Pomoći Općini za izobrazno informativne aktivnosti 28.269,51 € i za projekt Otvorimo južna vrata lijepe naše koji se provodi putem vrtića 129.544,31 €, te kapitalna pomoć za izgradnju reciklažnog dvorišta 25.649,43 € (zaključeni ugovori sufinanciranje projekata EU sredstvima).</w:t>
            </w:r>
          </w:p>
        </w:tc>
      </w:tr>
      <w:tr w:rsidR="004E52BB" w:rsidRPr="003A2F86" w14:paraId="6433B30D" w14:textId="77777777" w:rsidTr="00535023">
        <w:trPr>
          <w:trHeight w:val="698"/>
          <w:jc w:val="center"/>
        </w:trPr>
        <w:tc>
          <w:tcPr>
            <w:tcW w:w="768" w:type="dxa"/>
            <w:tcBorders>
              <w:top w:val="single" w:sz="8" w:space="0" w:color="000000"/>
              <w:left w:val="single" w:sz="8" w:space="0" w:color="000000"/>
              <w:bottom w:val="single" w:sz="4" w:space="0" w:color="auto"/>
              <w:right w:val="single" w:sz="8" w:space="0" w:color="000000"/>
            </w:tcBorders>
            <w:vAlign w:val="center"/>
            <w:hideMark/>
          </w:tcPr>
          <w:p w14:paraId="5160D02F" w14:textId="77777777" w:rsidR="004E52BB" w:rsidRPr="003A2F86" w:rsidRDefault="004E52BB" w:rsidP="004E52BB">
            <w:pPr>
              <w:spacing w:after="0" w:line="240" w:lineRule="auto"/>
              <w:jc w:val="center"/>
              <w:rPr>
                <w:rFonts w:ascii="Arial" w:eastAsia="Times New Roman" w:hAnsi="Arial" w:cs="Arial"/>
                <w:i/>
                <w:iCs/>
                <w:sz w:val="16"/>
                <w:szCs w:val="16"/>
              </w:rPr>
            </w:pPr>
            <w:r w:rsidRPr="003A2F86">
              <w:rPr>
                <w:rFonts w:ascii="Arial" w:eastAsia="Times New Roman" w:hAnsi="Arial" w:cs="Arial"/>
                <w:i/>
                <w:iCs/>
                <w:sz w:val="16"/>
                <w:szCs w:val="16"/>
              </w:rPr>
              <w:t>2020.</w:t>
            </w:r>
          </w:p>
        </w:tc>
        <w:tc>
          <w:tcPr>
            <w:tcW w:w="1151" w:type="dxa"/>
            <w:tcBorders>
              <w:top w:val="nil"/>
              <w:left w:val="nil"/>
              <w:bottom w:val="single" w:sz="8" w:space="0" w:color="000000"/>
              <w:right w:val="single" w:sz="8" w:space="0" w:color="000000"/>
            </w:tcBorders>
            <w:vAlign w:val="center"/>
            <w:hideMark/>
          </w:tcPr>
          <w:p w14:paraId="0A1F707F" w14:textId="5BDC0295" w:rsidR="004E52BB" w:rsidRPr="003A2F86" w:rsidRDefault="004E52BB" w:rsidP="004E52BB">
            <w:pPr>
              <w:spacing w:after="0" w:line="240" w:lineRule="auto"/>
              <w:jc w:val="right"/>
              <w:rPr>
                <w:rFonts w:ascii="Arial" w:eastAsia="Times New Roman" w:hAnsi="Arial" w:cs="Arial"/>
                <w:i/>
                <w:iCs/>
                <w:sz w:val="16"/>
                <w:szCs w:val="16"/>
              </w:rPr>
            </w:pPr>
            <w:r w:rsidRPr="003A2F86">
              <w:rPr>
                <w:rFonts w:ascii="Arial" w:hAnsi="Arial" w:cs="Arial"/>
                <w:sz w:val="16"/>
                <w:szCs w:val="16"/>
              </w:rPr>
              <w:t>843.335,39</w:t>
            </w:r>
          </w:p>
        </w:tc>
        <w:tc>
          <w:tcPr>
            <w:tcW w:w="12388" w:type="dxa"/>
            <w:tcBorders>
              <w:top w:val="nil"/>
              <w:left w:val="nil"/>
              <w:bottom w:val="single" w:sz="8" w:space="0" w:color="000000"/>
              <w:right w:val="single" w:sz="8" w:space="0" w:color="000000"/>
            </w:tcBorders>
            <w:vAlign w:val="center"/>
            <w:hideMark/>
          </w:tcPr>
          <w:p w14:paraId="732B6E4F" w14:textId="418D9D18" w:rsidR="004E52BB" w:rsidRPr="003A2F86" w:rsidRDefault="004E52BB" w:rsidP="004E52BB">
            <w:pPr>
              <w:spacing w:after="0" w:line="240" w:lineRule="auto"/>
              <w:jc w:val="both"/>
              <w:rPr>
                <w:rFonts w:ascii="Arial" w:eastAsia="Times New Roman" w:hAnsi="Arial" w:cs="Arial"/>
                <w:sz w:val="16"/>
                <w:szCs w:val="16"/>
              </w:rPr>
            </w:pPr>
            <w:r w:rsidRPr="003A2F86">
              <w:rPr>
                <w:rFonts w:ascii="Arial" w:hAnsi="Arial" w:cs="Arial"/>
                <w:sz w:val="16"/>
                <w:szCs w:val="16"/>
              </w:rPr>
              <w:t>Pomoći temeljem prijenosa EU sredstava (638) su ostvarena u iznosu 834.799,14 € i to kao tekuće pomoći za projekt Otvorimo južna vrata lijepe naše koji se provodi putem vrtića 238.558,64 €, tekuće pomoći za izgradnju reciklažnog dvorišta 20.634,65 €, tekuća pomoć za izobrazno informativne aktivnosti 25.157,55 €, kapitalna pomoć za reciklažno dvorište 550.448,30 €, te sredstva proračunskog korisnika Muzeji i galerije Konavala za program ERASMUS+ (ugovor s partnerima Finska i Portugal) 8.536,25 €.</w:t>
            </w:r>
          </w:p>
        </w:tc>
      </w:tr>
      <w:tr w:rsidR="004E52BB" w:rsidRPr="003A2F86" w14:paraId="1645EA64" w14:textId="77777777" w:rsidTr="00BB3F8C">
        <w:trPr>
          <w:trHeight w:val="482"/>
          <w:jc w:val="center"/>
        </w:trPr>
        <w:tc>
          <w:tcPr>
            <w:tcW w:w="768" w:type="dxa"/>
            <w:tcBorders>
              <w:top w:val="single" w:sz="4" w:space="0" w:color="auto"/>
              <w:left w:val="single" w:sz="8" w:space="0" w:color="000000"/>
              <w:bottom w:val="single" w:sz="4" w:space="0" w:color="auto"/>
              <w:right w:val="single" w:sz="8" w:space="0" w:color="000000"/>
            </w:tcBorders>
            <w:vAlign w:val="center"/>
          </w:tcPr>
          <w:p w14:paraId="2E68D85C" w14:textId="77777777" w:rsidR="004E52BB" w:rsidRPr="003A2F86" w:rsidRDefault="004E52BB" w:rsidP="004E52BB">
            <w:pPr>
              <w:spacing w:after="0" w:line="240" w:lineRule="auto"/>
              <w:jc w:val="center"/>
              <w:rPr>
                <w:rFonts w:ascii="Arial" w:eastAsia="Times New Roman" w:hAnsi="Arial" w:cs="Arial"/>
                <w:i/>
                <w:iCs/>
                <w:sz w:val="16"/>
                <w:szCs w:val="16"/>
              </w:rPr>
            </w:pPr>
            <w:r w:rsidRPr="003A2F86">
              <w:rPr>
                <w:rFonts w:ascii="Arial" w:eastAsia="Times New Roman" w:hAnsi="Arial" w:cs="Arial"/>
                <w:i/>
                <w:iCs/>
                <w:sz w:val="16"/>
                <w:szCs w:val="16"/>
              </w:rPr>
              <w:t>2021.</w:t>
            </w:r>
          </w:p>
        </w:tc>
        <w:tc>
          <w:tcPr>
            <w:tcW w:w="1151" w:type="dxa"/>
            <w:tcBorders>
              <w:top w:val="nil"/>
              <w:left w:val="nil"/>
              <w:bottom w:val="single" w:sz="4" w:space="0" w:color="auto"/>
              <w:right w:val="single" w:sz="8" w:space="0" w:color="000000"/>
            </w:tcBorders>
            <w:vAlign w:val="center"/>
          </w:tcPr>
          <w:p w14:paraId="074104B6" w14:textId="05415897" w:rsidR="004E52BB" w:rsidRPr="003A2F86" w:rsidRDefault="004E52BB" w:rsidP="004E52BB">
            <w:pPr>
              <w:spacing w:after="0" w:line="240" w:lineRule="auto"/>
              <w:jc w:val="right"/>
              <w:rPr>
                <w:rFonts w:ascii="Arial" w:eastAsia="Times New Roman" w:hAnsi="Arial" w:cs="Arial"/>
                <w:i/>
                <w:iCs/>
                <w:sz w:val="16"/>
                <w:szCs w:val="16"/>
              </w:rPr>
            </w:pPr>
            <w:r w:rsidRPr="003A2F86">
              <w:rPr>
                <w:rFonts w:ascii="Arial" w:hAnsi="Arial" w:cs="Arial"/>
                <w:sz w:val="16"/>
                <w:szCs w:val="16"/>
              </w:rPr>
              <w:t>796.496,08</w:t>
            </w:r>
          </w:p>
        </w:tc>
        <w:tc>
          <w:tcPr>
            <w:tcW w:w="12388" w:type="dxa"/>
            <w:tcBorders>
              <w:top w:val="nil"/>
              <w:left w:val="nil"/>
              <w:bottom w:val="single" w:sz="4" w:space="0" w:color="auto"/>
              <w:right w:val="single" w:sz="8" w:space="0" w:color="000000"/>
            </w:tcBorders>
            <w:vAlign w:val="center"/>
          </w:tcPr>
          <w:p w14:paraId="645E71F0" w14:textId="4C29E198" w:rsidR="004E52BB" w:rsidRPr="003A2F86" w:rsidRDefault="005317BD" w:rsidP="004E52BB">
            <w:pPr>
              <w:spacing w:after="0" w:line="240" w:lineRule="auto"/>
              <w:jc w:val="both"/>
              <w:rPr>
                <w:rFonts w:ascii="Arial" w:eastAsia="Times New Roman" w:hAnsi="Arial" w:cs="Arial"/>
                <w:sz w:val="16"/>
                <w:szCs w:val="16"/>
              </w:rPr>
            </w:pPr>
            <w:r w:rsidRPr="003A2F86">
              <w:rPr>
                <w:rFonts w:ascii="Arial" w:hAnsi="Arial" w:cs="Arial"/>
                <w:sz w:val="16"/>
                <w:szCs w:val="16"/>
              </w:rPr>
              <w:t>Pomoći temeljem prijenosa EU sredstava (638) su ostvarena u iznosu 796.496,08 € i to kao tekuće pomoći za projekt Otvorimo južna vrata lijepe naše koji se provodi putem vrtića 178.286,96 €, kapitalna pomoć za izradu prostornog plana 13.696,37 €, te kapitalna pomoć za izgradnju vatrogasnog doma na Grudi u iznosu 604.512,75 €.</w:t>
            </w:r>
          </w:p>
        </w:tc>
      </w:tr>
      <w:tr w:rsidR="004E52BB" w:rsidRPr="003A2F86" w14:paraId="1DBE334D" w14:textId="77777777" w:rsidTr="00027F4C">
        <w:trPr>
          <w:trHeight w:val="273"/>
          <w:jc w:val="center"/>
        </w:trPr>
        <w:tc>
          <w:tcPr>
            <w:tcW w:w="768" w:type="dxa"/>
            <w:tcBorders>
              <w:top w:val="single" w:sz="4" w:space="0" w:color="auto"/>
              <w:left w:val="single" w:sz="8" w:space="0" w:color="000000"/>
              <w:bottom w:val="single" w:sz="4" w:space="0" w:color="auto"/>
              <w:right w:val="single" w:sz="8" w:space="0" w:color="000000"/>
            </w:tcBorders>
            <w:vAlign w:val="center"/>
          </w:tcPr>
          <w:p w14:paraId="133DCEE1" w14:textId="77777777" w:rsidR="004E52BB" w:rsidRPr="003A2F86" w:rsidRDefault="004E52BB" w:rsidP="004E52BB">
            <w:pPr>
              <w:spacing w:after="0" w:line="240" w:lineRule="auto"/>
              <w:jc w:val="center"/>
              <w:rPr>
                <w:rFonts w:ascii="Arial" w:eastAsia="Times New Roman" w:hAnsi="Arial" w:cs="Arial"/>
                <w:i/>
                <w:iCs/>
                <w:sz w:val="16"/>
                <w:szCs w:val="16"/>
              </w:rPr>
            </w:pPr>
            <w:r w:rsidRPr="003A2F86">
              <w:rPr>
                <w:rFonts w:ascii="Arial" w:eastAsia="Times New Roman" w:hAnsi="Arial" w:cs="Arial"/>
                <w:i/>
                <w:iCs/>
                <w:sz w:val="16"/>
                <w:szCs w:val="16"/>
              </w:rPr>
              <w:t>2022.</w:t>
            </w:r>
          </w:p>
        </w:tc>
        <w:tc>
          <w:tcPr>
            <w:tcW w:w="1151" w:type="dxa"/>
            <w:tcBorders>
              <w:top w:val="single" w:sz="4" w:space="0" w:color="auto"/>
              <w:left w:val="nil"/>
              <w:bottom w:val="single" w:sz="4" w:space="0" w:color="auto"/>
              <w:right w:val="single" w:sz="8" w:space="0" w:color="000000"/>
            </w:tcBorders>
            <w:vAlign w:val="center"/>
          </w:tcPr>
          <w:p w14:paraId="45364B54" w14:textId="3B3D63BB" w:rsidR="004E52BB" w:rsidRPr="003A2F86" w:rsidRDefault="004E52BB" w:rsidP="004E52BB">
            <w:pPr>
              <w:spacing w:after="0" w:line="240" w:lineRule="auto"/>
              <w:jc w:val="right"/>
              <w:rPr>
                <w:rFonts w:ascii="Arial" w:hAnsi="Arial" w:cs="Arial"/>
                <w:i/>
                <w:iCs/>
                <w:sz w:val="16"/>
                <w:szCs w:val="16"/>
              </w:rPr>
            </w:pPr>
            <w:r w:rsidRPr="003A2F86">
              <w:rPr>
                <w:rFonts w:ascii="Arial" w:hAnsi="Arial" w:cs="Arial"/>
                <w:sz w:val="16"/>
                <w:szCs w:val="16"/>
              </w:rPr>
              <w:t>136.480,20</w:t>
            </w:r>
          </w:p>
        </w:tc>
        <w:tc>
          <w:tcPr>
            <w:tcW w:w="12388" w:type="dxa"/>
            <w:tcBorders>
              <w:top w:val="single" w:sz="4" w:space="0" w:color="auto"/>
              <w:left w:val="nil"/>
              <w:bottom w:val="single" w:sz="4" w:space="0" w:color="auto"/>
              <w:right w:val="single" w:sz="8" w:space="0" w:color="000000"/>
            </w:tcBorders>
            <w:vAlign w:val="center"/>
          </w:tcPr>
          <w:p w14:paraId="4EF4BB31" w14:textId="5A23BEB0" w:rsidR="004E52BB" w:rsidRPr="003A2F86" w:rsidRDefault="004E52BB" w:rsidP="004E52BB">
            <w:pPr>
              <w:spacing w:after="0" w:line="240" w:lineRule="auto"/>
              <w:jc w:val="both"/>
              <w:rPr>
                <w:rFonts w:ascii="Arial" w:hAnsi="Arial" w:cs="Arial"/>
                <w:sz w:val="16"/>
                <w:szCs w:val="16"/>
              </w:rPr>
            </w:pPr>
            <w:r w:rsidRPr="003A2F86">
              <w:rPr>
                <w:rFonts w:ascii="Arial" w:hAnsi="Arial" w:cs="Arial"/>
                <w:sz w:val="16"/>
                <w:szCs w:val="16"/>
              </w:rPr>
              <w:t xml:space="preserve">Pomoći temeljem prijenosa EU sredstava (638) su ostvarena u iznosu 136.480,31 € i to kao tekuće pomoći za projekt Otvorimo južna vrata lijepe naše koji </w:t>
            </w:r>
            <w:r w:rsidR="00027F4C">
              <w:rPr>
                <w:rFonts w:ascii="Arial" w:hAnsi="Arial" w:cs="Arial"/>
                <w:sz w:val="16"/>
                <w:szCs w:val="16"/>
              </w:rPr>
              <w:t>je provodio vrtić</w:t>
            </w:r>
            <w:r w:rsidRPr="003A2F86">
              <w:rPr>
                <w:rFonts w:ascii="Arial" w:hAnsi="Arial" w:cs="Arial"/>
                <w:sz w:val="16"/>
                <w:szCs w:val="16"/>
              </w:rPr>
              <w:t>.</w:t>
            </w:r>
          </w:p>
        </w:tc>
      </w:tr>
      <w:tr w:rsidR="004E52BB" w:rsidRPr="003A2F86" w14:paraId="32C702D9" w14:textId="77777777" w:rsidTr="00027F4C">
        <w:trPr>
          <w:trHeight w:val="277"/>
          <w:jc w:val="center"/>
        </w:trPr>
        <w:tc>
          <w:tcPr>
            <w:tcW w:w="768" w:type="dxa"/>
            <w:tcBorders>
              <w:top w:val="single" w:sz="4" w:space="0" w:color="auto"/>
              <w:left w:val="single" w:sz="8" w:space="0" w:color="000000"/>
              <w:bottom w:val="single" w:sz="4" w:space="0" w:color="auto"/>
              <w:right w:val="single" w:sz="8" w:space="0" w:color="000000"/>
            </w:tcBorders>
            <w:vAlign w:val="center"/>
          </w:tcPr>
          <w:p w14:paraId="15528961" w14:textId="0E2A293B" w:rsidR="004E52BB" w:rsidRPr="003A2F86" w:rsidRDefault="004E52BB" w:rsidP="004E52BB">
            <w:pPr>
              <w:spacing w:after="0" w:line="240" w:lineRule="auto"/>
              <w:jc w:val="center"/>
              <w:rPr>
                <w:rFonts w:ascii="Arial" w:eastAsia="Times New Roman" w:hAnsi="Arial" w:cs="Arial"/>
                <w:i/>
                <w:iCs/>
                <w:sz w:val="16"/>
                <w:szCs w:val="16"/>
              </w:rPr>
            </w:pPr>
            <w:r w:rsidRPr="003A2F86">
              <w:rPr>
                <w:rFonts w:ascii="Arial" w:eastAsia="Times New Roman" w:hAnsi="Arial" w:cs="Arial"/>
                <w:i/>
                <w:iCs/>
                <w:sz w:val="16"/>
                <w:szCs w:val="16"/>
              </w:rPr>
              <w:t>2023.</w:t>
            </w:r>
          </w:p>
        </w:tc>
        <w:tc>
          <w:tcPr>
            <w:tcW w:w="1151" w:type="dxa"/>
            <w:tcBorders>
              <w:top w:val="single" w:sz="4" w:space="0" w:color="auto"/>
              <w:left w:val="nil"/>
              <w:bottom w:val="single" w:sz="4" w:space="0" w:color="auto"/>
              <w:right w:val="single" w:sz="8" w:space="0" w:color="000000"/>
            </w:tcBorders>
            <w:vAlign w:val="center"/>
          </w:tcPr>
          <w:p w14:paraId="1A6D0DDB" w14:textId="46C26A0B" w:rsidR="004E52BB" w:rsidRPr="003A2F86" w:rsidRDefault="009256BD" w:rsidP="004E52BB">
            <w:pPr>
              <w:spacing w:after="0" w:line="240" w:lineRule="auto"/>
              <w:jc w:val="right"/>
              <w:rPr>
                <w:rFonts w:ascii="Arial" w:hAnsi="Arial" w:cs="Arial"/>
                <w:i/>
                <w:iCs/>
                <w:sz w:val="16"/>
                <w:szCs w:val="16"/>
              </w:rPr>
            </w:pPr>
            <w:r w:rsidRPr="003A2F86">
              <w:rPr>
                <w:rFonts w:ascii="Arial" w:hAnsi="Arial" w:cs="Arial"/>
                <w:sz w:val="16"/>
                <w:szCs w:val="16"/>
              </w:rPr>
              <w:t>39.809,65</w:t>
            </w:r>
          </w:p>
        </w:tc>
        <w:tc>
          <w:tcPr>
            <w:tcW w:w="12388" w:type="dxa"/>
            <w:tcBorders>
              <w:top w:val="single" w:sz="4" w:space="0" w:color="auto"/>
              <w:left w:val="nil"/>
              <w:bottom w:val="single" w:sz="4" w:space="0" w:color="auto"/>
              <w:right w:val="single" w:sz="8" w:space="0" w:color="000000"/>
            </w:tcBorders>
            <w:vAlign w:val="center"/>
          </w:tcPr>
          <w:p w14:paraId="64B94633" w14:textId="53D48832" w:rsidR="004E52BB" w:rsidRPr="003A2F86" w:rsidRDefault="009256BD" w:rsidP="004E52BB">
            <w:pPr>
              <w:spacing w:after="0" w:line="240" w:lineRule="auto"/>
              <w:jc w:val="both"/>
              <w:rPr>
                <w:rFonts w:ascii="Arial" w:hAnsi="Arial" w:cs="Arial"/>
                <w:sz w:val="16"/>
                <w:szCs w:val="16"/>
              </w:rPr>
            </w:pPr>
            <w:r w:rsidRPr="003A2F86">
              <w:rPr>
                <w:rFonts w:ascii="Arial" w:hAnsi="Arial" w:cs="Arial"/>
                <w:sz w:val="16"/>
                <w:szCs w:val="16"/>
              </w:rPr>
              <w:t>Pomoći temeljem prijenosa EU sredstava (638) su ostvarena u iznosu 39.809,65 € i to kao tekuće pomoći za projekt Otvorimo južna vrata lijepe naše koji se provod</w:t>
            </w:r>
            <w:r w:rsidR="00027F4C">
              <w:rPr>
                <w:rFonts w:ascii="Arial" w:hAnsi="Arial" w:cs="Arial"/>
                <w:sz w:val="16"/>
                <w:szCs w:val="16"/>
              </w:rPr>
              <w:t>io</w:t>
            </w:r>
            <w:r w:rsidRPr="003A2F86">
              <w:rPr>
                <w:rFonts w:ascii="Arial" w:hAnsi="Arial" w:cs="Arial"/>
                <w:sz w:val="16"/>
                <w:szCs w:val="16"/>
              </w:rPr>
              <w:t xml:space="preserve"> vrtić.</w:t>
            </w:r>
          </w:p>
        </w:tc>
      </w:tr>
      <w:tr w:rsidR="00B8530F" w:rsidRPr="003A2F86" w14:paraId="7524A77C" w14:textId="77777777" w:rsidTr="00BB3F8C">
        <w:trPr>
          <w:trHeight w:val="413"/>
          <w:jc w:val="center"/>
        </w:trPr>
        <w:tc>
          <w:tcPr>
            <w:tcW w:w="768" w:type="dxa"/>
            <w:tcBorders>
              <w:top w:val="single" w:sz="4" w:space="0" w:color="auto"/>
              <w:left w:val="single" w:sz="8" w:space="0" w:color="000000"/>
              <w:bottom w:val="single" w:sz="4" w:space="0" w:color="auto"/>
              <w:right w:val="single" w:sz="8" w:space="0" w:color="000000"/>
            </w:tcBorders>
            <w:vAlign w:val="center"/>
          </w:tcPr>
          <w:p w14:paraId="42F644D9" w14:textId="2FD4FE72" w:rsidR="00B8530F" w:rsidRPr="003A2F86" w:rsidRDefault="00B8530F" w:rsidP="00B8530F">
            <w:pPr>
              <w:spacing w:after="0" w:line="240" w:lineRule="auto"/>
              <w:jc w:val="center"/>
              <w:rPr>
                <w:rFonts w:ascii="Arial" w:eastAsia="Times New Roman" w:hAnsi="Arial" w:cs="Arial"/>
                <w:i/>
                <w:iCs/>
                <w:sz w:val="16"/>
                <w:szCs w:val="16"/>
              </w:rPr>
            </w:pPr>
            <w:r w:rsidRPr="003A2F86">
              <w:rPr>
                <w:rFonts w:ascii="Arial" w:eastAsia="Times New Roman" w:hAnsi="Arial" w:cs="Arial"/>
                <w:i/>
                <w:iCs/>
                <w:sz w:val="16"/>
                <w:szCs w:val="16"/>
              </w:rPr>
              <w:t>2024.</w:t>
            </w:r>
          </w:p>
        </w:tc>
        <w:tc>
          <w:tcPr>
            <w:tcW w:w="1151" w:type="dxa"/>
            <w:tcBorders>
              <w:top w:val="nil"/>
              <w:left w:val="nil"/>
              <w:bottom w:val="single" w:sz="4" w:space="0" w:color="auto"/>
              <w:right w:val="single" w:sz="8" w:space="0" w:color="000000"/>
            </w:tcBorders>
            <w:vAlign w:val="center"/>
          </w:tcPr>
          <w:p w14:paraId="7CBC1DFB" w14:textId="0C001AB7" w:rsidR="00B8530F" w:rsidRPr="003A2F86" w:rsidRDefault="00B8530F" w:rsidP="00B8530F">
            <w:pPr>
              <w:spacing w:after="0" w:line="240" w:lineRule="auto"/>
              <w:jc w:val="right"/>
              <w:rPr>
                <w:rFonts w:ascii="Arial" w:hAnsi="Arial" w:cs="Arial"/>
                <w:sz w:val="16"/>
                <w:szCs w:val="16"/>
              </w:rPr>
            </w:pPr>
            <w:r w:rsidRPr="003A2F86">
              <w:rPr>
                <w:rFonts w:ascii="Arial" w:hAnsi="Arial" w:cs="Arial"/>
                <w:sz w:val="16"/>
                <w:szCs w:val="16"/>
              </w:rPr>
              <w:t>12.220,84</w:t>
            </w:r>
          </w:p>
        </w:tc>
        <w:tc>
          <w:tcPr>
            <w:tcW w:w="12388" w:type="dxa"/>
            <w:tcBorders>
              <w:top w:val="nil"/>
              <w:left w:val="nil"/>
              <w:bottom w:val="single" w:sz="4" w:space="0" w:color="auto"/>
              <w:right w:val="single" w:sz="8" w:space="0" w:color="000000"/>
            </w:tcBorders>
            <w:vAlign w:val="center"/>
          </w:tcPr>
          <w:p w14:paraId="57D72EA0" w14:textId="27DD6E20" w:rsidR="00B8530F" w:rsidRPr="003A2F86" w:rsidRDefault="00B8530F" w:rsidP="00B8530F">
            <w:pPr>
              <w:spacing w:after="0" w:line="240" w:lineRule="auto"/>
              <w:jc w:val="both"/>
              <w:rPr>
                <w:rFonts w:ascii="Arial" w:hAnsi="Arial" w:cs="Arial"/>
                <w:sz w:val="16"/>
                <w:szCs w:val="16"/>
              </w:rPr>
            </w:pPr>
            <w:r w:rsidRPr="003A2F86">
              <w:rPr>
                <w:rFonts w:ascii="Arial" w:hAnsi="Arial" w:cs="Arial"/>
                <w:sz w:val="16"/>
                <w:szCs w:val="16"/>
              </w:rPr>
              <w:t>Pomoći temeljem prijenosa EU sredstava (638) su ostvarena u iznosu 12.220,84 € i to kao tekuće pomoći za projekt Otvorimo južna vrata lijepe naše koji se provodi putem vrtića (prihvaćen završni izvještaj).</w:t>
            </w:r>
          </w:p>
        </w:tc>
      </w:tr>
      <w:tr w:rsidR="00BE31A9" w:rsidRPr="003A2F86" w14:paraId="02C4D390" w14:textId="77777777" w:rsidTr="00BB3F8C">
        <w:trPr>
          <w:trHeight w:val="413"/>
          <w:jc w:val="center"/>
        </w:trPr>
        <w:tc>
          <w:tcPr>
            <w:tcW w:w="768" w:type="dxa"/>
            <w:tcBorders>
              <w:top w:val="single" w:sz="4" w:space="0" w:color="auto"/>
              <w:left w:val="single" w:sz="8" w:space="0" w:color="000000"/>
              <w:bottom w:val="single" w:sz="4" w:space="0" w:color="auto"/>
              <w:right w:val="single" w:sz="8" w:space="0" w:color="000000"/>
            </w:tcBorders>
            <w:vAlign w:val="center"/>
          </w:tcPr>
          <w:p w14:paraId="3A7DDA42" w14:textId="0FF721F4" w:rsidR="00BE31A9" w:rsidRPr="003A2F86" w:rsidRDefault="00BE31A9" w:rsidP="00B8530F">
            <w:pPr>
              <w:spacing w:after="0" w:line="240" w:lineRule="auto"/>
              <w:jc w:val="center"/>
              <w:rPr>
                <w:rFonts w:ascii="Arial" w:eastAsia="Times New Roman" w:hAnsi="Arial" w:cs="Arial"/>
                <w:i/>
                <w:iCs/>
                <w:sz w:val="16"/>
                <w:szCs w:val="16"/>
              </w:rPr>
            </w:pPr>
            <w:r>
              <w:rPr>
                <w:rFonts w:ascii="Arial" w:eastAsia="Times New Roman" w:hAnsi="Arial" w:cs="Arial"/>
                <w:i/>
                <w:iCs/>
                <w:sz w:val="16"/>
                <w:szCs w:val="16"/>
              </w:rPr>
              <w:t>1-6/2025.</w:t>
            </w:r>
          </w:p>
        </w:tc>
        <w:tc>
          <w:tcPr>
            <w:tcW w:w="1151" w:type="dxa"/>
            <w:tcBorders>
              <w:top w:val="single" w:sz="4" w:space="0" w:color="auto"/>
              <w:left w:val="nil"/>
              <w:bottom w:val="single" w:sz="8" w:space="0" w:color="000000"/>
              <w:right w:val="single" w:sz="8" w:space="0" w:color="000000"/>
            </w:tcBorders>
            <w:vAlign w:val="center"/>
          </w:tcPr>
          <w:p w14:paraId="092AE315" w14:textId="7BCDF798" w:rsidR="00BE31A9" w:rsidRPr="003A2F86" w:rsidRDefault="00BE31A9" w:rsidP="00B8530F">
            <w:pPr>
              <w:spacing w:after="0" w:line="240" w:lineRule="auto"/>
              <w:jc w:val="right"/>
              <w:rPr>
                <w:rFonts w:ascii="Arial" w:hAnsi="Arial" w:cs="Arial"/>
                <w:sz w:val="16"/>
                <w:szCs w:val="16"/>
              </w:rPr>
            </w:pPr>
            <w:r>
              <w:rPr>
                <w:rFonts w:ascii="Arial" w:hAnsi="Arial" w:cs="Arial"/>
                <w:sz w:val="16"/>
                <w:szCs w:val="16"/>
              </w:rPr>
              <w:t>2.271.869,19</w:t>
            </w:r>
          </w:p>
        </w:tc>
        <w:tc>
          <w:tcPr>
            <w:tcW w:w="12388" w:type="dxa"/>
            <w:tcBorders>
              <w:top w:val="single" w:sz="4" w:space="0" w:color="auto"/>
              <w:left w:val="nil"/>
              <w:bottom w:val="single" w:sz="8" w:space="0" w:color="000000"/>
              <w:right w:val="single" w:sz="8" w:space="0" w:color="000000"/>
            </w:tcBorders>
            <w:vAlign w:val="center"/>
          </w:tcPr>
          <w:p w14:paraId="4D564C95" w14:textId="7D98EFCE" w:rsidR="00BE31A9" w:rsidRPr="003A2F86" w:rsidRDefault="00BE31A9" w:rsidP="00B8530F">
            <w:pPr>
              <w:spacing w:after="0" w:line="240" w:lineRule="auto"/>
              <w:jc w:val="both"/>
              <w:rPr>
                <w:rFonts w:ascii="Arial" w:hAnsi="Arial" w:cs="Arial"/>
                <w:sz w:val="16"/>
                <w:szCs w:val="16"/>
              </w:rPr>
            </w:pPr>
            <w:r w:rsidRPr="00BE31A9">
              <w:rPr>
                <w:rFonts w:ascii="Arial" w:hAnsi="Arial" w:cs="Arial"/>
                <w:sz w:val="16"/>
                <w:szCs w:val="16"/>
              </w:rPr>
              <w:t>Pomoći temeljem prijenosa EU sredstava (638) su ostvarena sredstva u iznosu 2.271.869,19 € i to kao kapitalne pomoći za projekt izgradnje osnovne škole u Cavtatu (prijenos putem Dubrovačko-neretvanske županije).</w:t>
            </w:r>
          </w:p>
        </w:tc>
      </w:tr>
    </w:tbl>
    <w:bookmarkEnd w:id="85"/>
    <w:p w14:paraId="31F16CA8" w14:textId="587E1A28" w:rsidR="00B94C54" w:rsidRPr="003A2F86" w:rsidRDefault="00B15B5B" w:rsidP="003602FE">
      <w:pPr>
        <w:overflowPunct w:val="0"/>
        <w:autoSpaceDE w:val="0"/>
        <w:autoSpaceDN w:val="0"/>
        <w:adjustRightInd w:val="0"/>
        <w:spacing w:after="0" w:line="240" w:lineRule="auto"/>
        <w:jc w:val="both"/>
        <w:rPr>
          <w:rFonts w:ascii="Arial" w:eastAsia="Times New Roman" w:hAnsi="Arial" w:cs="Arial"/>
          <w:sz w:val="16"/>
          <w:szCs w:val="16"/>
        </w:rPr>
      </w:pPr>
      <w:r w:rsidRPr="003A2F86">
        <w:rPr>
          <w:rFonts w:ascii="Arial" w:eastAsia="Times New Roman" w:hAnsi="Arial" w:cs="Arial"/>
        </w:rPr>
        <w:lastRenderedPageBreak/>
        <w:t xml:space="preserve">U nastavku se daje kratak </w:t>
      </w:r>
      <w:r w:rsidRPr="003A2F86">
        <w:rPr>
          <w:rFonts w:ascii="Arial" w:eastAsia="Times New Roman" w:hAnsi="Arial" w:cs="Arial"/>
          <w:b/>
          <w:u w:val="single"/>
        </w:rPr>
        <w:t>pregled značajnijih</w:t>
      </w:r>
      <w:r w:rsidRPr="003A2F86">
        <w:rPr>
          <w:rFonts w:ascii="Arial" w:eastAsia="Times New Roman" w:hAnsi="Arial" w:cs="Arial"/>
        </w:rPr>
        <w:t xml:space="preserve"> </w:t>
      </w:r>
      <w:r w:rsidRPr="003A2F86">
        <w:rPr>
          <w:rFonts w:ascii="Arial" w:eastAsia="Times New Roman" w:hAnsi="Arial" w:cs="Arial"/>
          <w:b/>
        </w:rPr>
        <w:t xml:space="preserve">prihoda od pomoći </w:t>
      </w:r>
      <w:r w:rsidR="001865FB" w:rsidRPr="003A2F86">
        <w:rPr>
          <w:rFonts w:ascii="Arial" w:eastAsia="Times New Roman" w:hAnsi="Arial" w:cs="Arial"/>
          <w:bCs/>
        </w:rPr>
        <w:t>(evidentirani na podskup</w:t>
      </w:r>
      <w:r w:rsidR="003C7027" w:rsidRPr="003A2F86">
        <w:rPr>
          <w:rFonts w:ascii="Arial" w:eastAsia="Times New Roman" w:hAnsi="Arial" w:cs="Arial"/>
          <w:bCs/>
        </w:rPr>
        <w:t>i</w:t>
      </w:r>
      <w:r w:rsidR="001865FB" w:rsidRPr="003A2F86">
        <w:rPr>
          <w:rFonts w:ascii="Arial" w:eastAsia="Times New Roman" w:hAnsi="Arial" w:cs="Arial"/>
          <w:bCs/>
        </w:rPr>
        <w:t xml:space="preserve">nama prihoda </w:t>
      </w:r>
      <w:r w:rsidR="00535023">
        <w:rPr>
          <w:rFonts w:ascii="Arial" w:eastAsia="Times New Roman" w:hAnsi="Arial" w:cs="Arial"/>
          <w:bCs/>
        </w:rPr>
        <w:t xml:space="preserve">631, </w:t>
      </w:r>
      <w:r w:rsidR="001865FB" w:rsidRPr="003A2F86">
        <w:rPr>
          <w:rFonts w:ascii="Arial" w:eastAsia="Times New Roman" w:hAnsi="Arial" w:cs="Arial"/>
          <w:bCs/>
        </w:rPr>
        <w:t xml:space="preserve">632, 633, 634, 638, 663) </w:t>
      </w:r>
      <w:r w:rsidRPr="003A2F86">
        <w:rPr>
          <w:rFonts w:ascii="Arial" w:eastAsia="Times New Roman" w:hAnsi="Arial" w:cs="Arial"/>
          <w:b/>
        </w:rPr>
        <w:t xml:space="preserve">iz </w:t>
      </w:r>
      <w:r w:rsidRPr="003A2F86">
        <w:rPr>
          <w:rFonts w:ascii="Arial" w:eastAsia="Times New Roman" w:hAnsi="Arial" w:cs="Arial"/>
          <w:b/>
          <w:u w:val="single"/>
        </w:rPr>
        <w:t>prethodnih godina</w:t>
      </w:r>
      <w:r w:rsidRPr="003A2F86">
        <w:rPr>
          <w:rFonts w:ascii="Arial" w:eastAsia="Times New Roman" w:hAnsi="Arial" w:cs="Arial"/>
        </w:rPr>
        <w:t>, a na kraju tablice iskazuju se i zaključeni ugovori o sufinanciraju projekata na temelju kojih još nisu ostvareni prihodi</w:t>
      </w:r>
      <w:r w:rsidR="00783A2E" w:rsidRPr="003A2F86">
        <w:rPr>
          <w:rFonts w:ascii="Arial" w:eastAsia="Times New Roman" w:hAnsi="Arial" w:cs="Arial"/>
        </w:rPr>
        <w:t xml:space="preserve">, odnosno tek su se </w:t>
      </w:r>
      <w:r w:rsidR="00411FFA" w:rsidRPr="003A2F86">
        <w:rPr>
          <w:rFonts w:ascii="Arial" w:eastAsia="Times New Roman" w:hAnsi="Arial" w:cs="Arial"/>
        </w:rPr>
        <w:t>počeli ostvarivati.</w:t>
      </w:r>
    </w:p>
    <w:p w14:paraId="5CD5619E" w14:textId="77777777" w:rsidR="00A6443B" w:rsidRPr="003A2F86" w:rsidRDefault="00A6443B" w:rsidP="00F84887">
      <w:pPr>
        <w:overflowPunct w:val="0"/>
        <w:autoSpaceDE w:val="0"/>
        <w:autoSpaceDN w:val="0"/>
        <w:adjustRightInd w:val="0"/>
        <w:spacing w:after="0" w:line="240" w:lineRule="auto"/>
        <w:jc w:val="both"/>
        <w:rPr>
          <w:rFonts w:ascii="Arial" w:eastAsia="Times New Roman" w:hAnsi="Arial" w:cs="Arial"/>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50"/>
      </w:tblGrid>
      <w:tr w:rsidR="00F84887" w:rsidRPr="003A2F86" w14:paraId="75E1B5B1" w14:textId="77777777" w:rsidTr="00B223BA">
        <w:trPr>
          <w:jc w:val="center"/>
        </w:trPr>
        <w:tc>
          <w:tcPr>
            <w:tcW w:w="13750" w:type="dxa"/>
            <w:shd w:val="clear" w:color="auto" w:fill="B8CCE4" w:themeFill="accent1" w:themeFillTint="66"/>
            <w:vAlign w:val="center"/>
          </w:tcPr>
          <w:p w14:paraId="5819EE8E" w14:textId="77777777" w:rsidR="00F84887" w:rsidRPr="003A2F86" w:rsidRDefault="00F84887" w:rsidP="00B223BA">
            <w:pPr>
              <w:spacing w:after="0" w:line="240" w:lineRule="auto"/>
              <w:jc w:val="center"/>
              <w:rPr>
                <w:rFonts w:ascii="Arial" w:eastAsia="Times New Roman" w:hAnsi="Arial" w:cs="Arial"/>
                <w:b/>
                <w:i/>
                <w:iCs/>
                <w:sz w:val="20"/>
                <w:szCs w:val="20"/>
              </w:rPr>
            </w:pPr>
            <w:r w:rsidRPr="003A2F86">
              <w:rPr>
                <w:rFonts w:ascii="Arial" w:eastAsia="Times New Roman" w:hAnsi="Arial" w:cs="Arial"/>
                <w:b/>
                <w:i/>
                <w:iCs/>
                <w:sz w:val="20"/>
                <w:szCs w:val="20"/>
              </w:rPr>
              <w:t xml:space="preserve">Prihod od pomoći – </w:t>
            </w:r>
            <w:r w:rsidRPr="003A2F86">
              <w:rPr>
                <w:rFonts w:ascii="Arial" w:eastAsia="Times New Roman" w:hAnsi="Arial" w:cs="Arial"/>
                <w:b/>
                <w:i/>
                <w:iCs/>
                <w:color w:val="FF0000"/>
                <w:sz w:val="20"/>
                <w:szCs w:val="20"/>
                <w:u w:val="single"/>
              </w:rPr>
              <w:t>dio</w:t>
            </w:r>
            <w:r w:rsidRPr="003A2F86">
              <w:rPr>
                <w:rFonts w:ascii="Arial" w:eastAsia="Times New Roman" w:hAnsi="Arial" w:cs="Arial"/>
                <w:b/>
                <w:i/>
                <w:iCs/>
                <w:color w:val="FF0000"/>
                <w:sz w:val="20"/>
                <w:szCs w:val="20"/>
              </w:rPr>
              <w:t xml:space="preserve"> 63</w:t>
            </w:r>
            <w:r w:rsidRPr="003A2F86">
              <w:rPr>
                <w:rFonts w:ascii="Arial" w:eastAsia="Times New Roman" w:hAnsi="Arial" w:cs="Arial"/>
                <w:b/>
                <w:i/>
                <w:iCs/>
                <w:sz w:val="20"/>
                <w:szCs w:val="20"/>
              </w:rPr>
              <w:t xml:space="preserve"> (sufinanciranje projekata)</w:t>
            </w:r>
          </w:p>
        </w:tc>
      </w:tr>
    </w:tbl>
    <w:p w14:paraId="68248F6C" w14:textId="77777777" w:rsidR="00F84887" w:rsidRPr="003A2F86" w:rsidRDefault="00F84887" w:rsidP="003602FE">
      <w:pPr>
        <w:overflowPunct w:val="0"/>
        <w:autoSpaceDE w:val="0"/>
        <w:autoSpaceDN w:val="0"/>
        <w:adjustRightInd w:val="0"/>
        <w:spacing w:after="0" w:line="240" w:lineRule="auto"/>
        <w:jc w:val="both"/>
        <w:rPr>
          <w:rFonts w:ascii="Arial" w:eastAsia="Times New Roman" w:hAnsi="Arial" w:cs="Arial"/>
          <w:sz w:val="16"/>
          <w:szCs w:val="16"/>
        </w:rPr>
      </w:pPr>
    </w:p>
    <w:p w14:paraId="676D8FBB" w14:textId="703A9C1A" w:rsidR="0069140A"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r w:rsidRPr="003A2F86">
        <w:rPr>
          <w:noProof/>
        </w:rPr>
        <w:drawing>
          <wp:inline distT="0" distB="0" distL="0" distR="0" wp14:anchorId="2684AA99" wp14:editId="53BB8D00">
            <wp:extent cx="9069572" cy="5174698"/>
            <wp:effectExtent l="0" t="0" r="0" b="6985"/>
            <wp:docPr id="135257213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72579" cy="5176414"/>
                    </a:xfrm>
                    <a:prstGeom prst="rect">
                      <a:avLst/>
                    </a:prstGeom>
                    <a:noFill/>
                    <a:ln>
                      <a:noFill/>
                    </a:ln>
                  </pic:spPr>
                </pic:pic>
              </a:graphicData>
            </a:graphic>
          </wp:inline>
        </w:drawing>
      </w:r>
    </w:p>
    <w:p w14:paraId="176D5CAA" w14:textId="77777777" w:rsidR="00F72456" w:rsidRPr="003A2F86" w:rsidRDefault="00F72456" w:rsidP="003602FE">
      <w:pPr>
        <w:overflowPunct w:val="0"/>
        <w:autoSpaceDE w:val="0"/>
        <w:autoSpaceDN w:val="0"/>
        <w:adjustRightInd w:val="0"/>
        <w:spacing w:after="0" w:line="240" w:lineRule="auto"/>
        <w:jc w:val="both"/>
        <w:rPr>
          <w:rFonts w:ascii="Arial" w:eastAsia="Times New Roman" w:hAnsi="Arial" w:cs="Arial"/>
          <w:sz w:val="16"/>
          <w:szCs w:val="16"/>
        </w:rPr>
      </w:pPr>
    </w:p>
    <w:p w14:paraId="6BEC3C1E" w14:textId="7EBF4BEB" w:rsidR="00F72456"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r w:rsidRPr="003A2F86">
        <w:rPr>
          <w:noProof/>
        </w:rPr>
        <w:drawing>
          <wp:inline distT="0" distB="0" distL="0" distR="0" wp14:anchorId="4984822F" wp14:editId="57AEFEC2">
            <wp:extent cx="9251950" cy="5421630"/>
            <wp:effectExtent l="0" t="0" r="6350" b="7620"/>
            <wp:docPr id="143113245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51950" cy="5421630"/>
                    </a:xfrm>
                    <a:prstGeom prst="rect">
                      <a:avLst/>
                    </a:prstGeom>
                    <a:noFill/>
                    <a:ln>
                      <a:noFill/>
                    </a:ln>
                  </pic:spPr>
                </pic:pic>
              </a:graphicData>
            </a:graphic>
          </wp:inline>
        </w:drawing>
      </w:r>
    </w:p>
    <w:p w14:paraId="10C3AEDE" w14:textId="77777777" w:rsidR="00EF7FBB"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p>
    <w:p w14:paraId="38A8CDA8" w14:textId="77777777" w:rsidR="00EF7FBB"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p>
    <w:p w14:paraId="27FBAB45" w14:textId="6E1FC206" w:rsidR="00EF7FBB"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r w:rsidRPr="003A2F86">
        <w:rPr>
          <w:noProof/>
        </w:rPr>
        <w:lastRenderedPageBreak/>
        <w:drawing>
          <wp:inline distT="0" distB="0" distL="0" distR="0" wp14:anchorId="0454A5AA" wp14:editId="16CF47FF">
            <wp:extent cx="9251950" cy="5888355"/>
            <wp:effectExtent l="0" t="0" r="6350" b="0"/>
            <wp:docPr id="161199351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51950" cy="5888355"/>
                    </a:xfrm>
                    <a:prstGeom prst="rect">
                      <a:avLst/>
                    </a:prstGeom>
                    <a:noFill/>
                    <a:ln>
                      <a:noFill/>
                    </a:ln>
                  </pic:spPr>
                </pic:pic>
              </a:graphicData>
            </a:graphic>
          </wp:inline>
        </w:drawing>
      </w:r>
    </w:p>
    <w:p w14:paraId="25EB5EA0" w14:textId="77777777" w:rsidR="00EF7FBB"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p>
    <w:p w14:paraId="189EE6DB" w14:textId="77777777" w:rsidR="00EF7FBB"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p>
    <w:p w14:paraId="7E7828D0" w14:textId="66C30EDC" w:rsidR="00EF7FBB"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r w:rsidRPr="003A2F86">
        <w:rPr>
          <w:noProof/>
        </w:rPr>
        <w:drawing>
          <wp:inline distT="0" distB="0" distL="0" distR="0" wp14:anchorId="7D80C268" wp14:editId="4C7DB066">
            <wp:extent cx="9251950" cy="5278755"/>
            <wp:effectExtent l="0" t="0" r="6350" b="0"/>
            <wp:docPr id="3843011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51950" cy="5278755"/>
                    </a:xfrm>
                    <a:prstGeom prst="rect">
                      <a:avLst/>
                    </a:prstGeom>
                    <a:noFill/>
                    <a:ln>
                      <a:noFill/>
                    </a:ln>
                  </pic:spPr>
                </pic:pic>
              </a:graphicData>
            </a:graphic>
          </wp:inline>
        </w:drawing>
      </w:r>
    </w:p>
    <w:p w14:paraId="617A4354" w14:textId="77777777" w:rsidR="00EF7FBB"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p>
    <w:p w14:paraId="0702B67B" w14:textId="77777777" w:rsidR="00EF7FBB"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p>
    <w:p w14:paraId="5E52290F" w14:textId="77777777" w:rsidR="00EF7FBB"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p>
    <w:p w14:paraId="08EB2AFB" w14:textId="77777777" w:rsidR="0069140A" w:rsidRPr="003A2F86"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6C0C8B5F" w14:textId="6F704412" w:rsidR="0069140A" w:rsidRPr="003A2F86"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79A86387" w14:textId="21C986BB" w:rsidR="0069140A"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r w:rsidRPr="003A2F86">
        <w:rPr>
          <w:noProof/>
        </w:rPr>
        <w:lastRenderedPageBreak/>
        <w:drawing>
          <wp:inline distT="0" distB="0" distL="0" distR="0" wp14:anchorId="16BEB2AC" wp14:editId="5770AA0D">
            <wp:extent cx="9124950" cy="6052403"/>
            <wp:effectExtent l="0" t="0" r="0" b="5715"/>
            <wp:docPr id="1841572523"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25791" cy="6052961"/>
                    </a:xfrm>
                    <a:prstGeom prst="rect">
                      <a:avLst/>
                    </a:prstGeom>
                    <a:noFill/>
                    <a:ln>
                      <a:noFill/>
                    </a:ln>
                  </pic:spPr>
                </pic:pic>
              </a:graphicData>
            </a:graphic>
          </wp:inline>
        </w:drawing>
      </w:r>
    </w:p>
    <w:p w14:paraId="1654825D" w14:textId="77777777" w:rsidR="0069140A" w:rsidRPr="003A2F86" w:rsidRDefault="0069140A" w:rsidP="003602FE">
      <w:pPr>
        <w:overflowPunct w:val="0"/>
        <w:autoSpaceDE w:val="0"/>
        <w:autoSpaceDN w:val="0"/>
        <w:adjustRightInd w:val="0"/>
        <w:spacing w:after="0" w:line="240" w:lineRule="auto"/>
        <w:jc w:val="both"/>
        <w:rPr>
          <w:rFonts w:ascii="Arial" w:eastAsia="Times New Roman" w:hAnsi="Arial" w:cs="Arial"/>
          <w:sz w:val="16"/>
          <w:szCs w:val="16"/>
        </w:rPr>
      </w:pPr>
    </w:p>
    <w:p w14:paraId="538936A8" w14:textId="693A4CEE" w:rsidR="0069140A"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r w:rsidRPr="003A2F86">
        <w:rPr>
          <w:noProof/>
        </w:rPr>
        <w:drawing>
          <wp:inline distT="0" distB="0" distL="0" distR="0" wp14:anchorId="0C4F8107" wp14:editId="11BA2034">
            <wp:extent cx="9251950" cy="5926455"/>
            <wp:effectExtent l="0" t="0" r="6350" b="0"/>
            <wp:docPr id="44087142"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51950" cy="5926455"/>
                    </a:xfrm>
                    <a:prstGeom prst="rect">
                      <a:avLst/>
                    </a:prstGeom>
                    <a:noFill/>
                    <a:ln>
                      <a:noFill/>
                    </a:ln>
                  </pic:spPr>
                </pic:pic>
              </a:graphicData>
            </a:graphic>
          </wp:inline>
        </w:drawing>
      </w:r>
    </w:p>
    <w:p w14:paraId="45AC02A6" w14:textId="06BFF2AE" w:rsidR="0069140A"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r w:rsidRPr="003A2F86">
        <w:rPr>
          <w:noProof/>
        </w:rPr>
        <w:lastRenderedPageBreak/>
        <w:drawing>
          <wp:inline distT="0" distB="0" distL="0" distR="0" wp14:anchorId="1229CFAF" wp14:editId="4E0DE967">
            <wp:extent cx="8908415" cy="6156325"/>
            <wp:effectExtent l="0" t="0" r="6985" b="0"/>
            <wp:docPr id="1110830650"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08415" cy="6156325"/>
                    </a:xfrm>
                    <a:prstGeom prst="rect">
                      <a:avLst/>
                    </a:prstGeom>
                    <a:noFill/>
                    <a:ln>
                      <a:noFill/>
                    </a:ln>
                  </pic:spPr>
                </pic:pic>
              </a:graphicData>
            </a:graphic>
          </wp:inline>
        </w:drawing>
      </w:r>
    </w:p>
    <w:p w14:paraId="3EA2FB5E" w14:textId="1E23906E" w:rsidR="0069140A" w:rsidRPr="003A2F86" w:rsidRDefault="00EF7FBB" w:rsidP="003602FE">
      <w:pPr>
        <w:overflowPunct w:val="0"/>
        <w:autoSpaceDE w:val="0"/>
        <w:autoSpaceDN w:val="0"/>
        <w:adjustRightInd w:val="0"/>
        <w:spacing w:after="0" w:line="240" w:lineRule="auto"/>
        <w:jc w:val="both"/>
        <w:rPr>
          <w:rFonts w:ascii="Arial" w:eastAsia="Times New Roman" w:hAnsi="Arial" w:cs="Arial"/>
          <w:sz w:val="16"/>
          <w:szCs w:val="16"/>
        </w:rPr>
      </w:pPr>
      <w:r w:rsidRPr="003A2F86">
        <w:rPr>
          <w:noProof/>
        </w:rPr>
        <w:lastRenderedPageBreak/>
        <w:drawing>
          <wp:inline distT="0" distB="0" distL="0" distR="0" wp14:anchorId="650180C1" wp14:editId="3926FCE1">
            <wp:extent cx="9251950" cy="5926455"/>
            <wp:effectExtent l="0" t="0" r="6350" b="0"/>
            <wp:docPr id="715121742"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51950" cy="5926455"/>
                    </a:xfrm>
                    <a:prstGeom prst="rect">
                      <a:avLst/>
                    </a:prstGeom>
                    <a:noFill/>
                    <a:ln>
                      <a:noFill/>
                    </a:ln>
                  </pic:spPr>
                </pic:pic>
              </a:graphicData>
            </a:graphic>
          </wp:inline>
        </w:drawing>
      </w:r>
    </w:p>
    <w:p w14:paraId="67A3F666" w14:textId="77777777" w:rsidR="00B8530F" w:rsidRPr="003A2F86" w:rsidRDefault="00B8530F" w:rsidP="003602FE">
      <w:pPr>
        <w:overflowPunct w:val="0"/>
        <w:autoSpaceDE w:val="0"/>
        <w:autoSpaceDN w:val="0"/>
        <w:adjustRightInd w:val="0"/>
        <w:spacing w:after="0" w:line="240" w:lineRule="auto"/>
        <w:jc w:val="both"/>
        <w:rPr>
          <w:rFonts w:ascii="Arial" w:eastAsia="Times New Roman" w:hAnsi="Arial" w:cs="Arial"/>
          <w:sz w:val="16"/>
          <w:szCs w:val="16"/>
        </w:rPr>
      </w:pPr>
    </w:p>
    <w:p w14:paraId="620B2825" w14:textId="351C9CFE" w:rsidR="009D0C43" w:rsidRDefault="009D0C43" w:rsidP="003602FE">
      <w:pPr>
        <w:overflowPunct w:val="0"/>
        <w:autoSpaceDE w:val="0"/>
        <w:autoSpaceDN w:val="0"/>
        <w:adjustRightInd w:val="0"/>
        <w:spacing w:after="0" w:line="240" w:lineRule="auto"/>
        <w:jc w:val="both"/>
        <w:rPr>
          <w:noProof/>
        </w:rPr>
      </w:pPr>
      <w:r w:rsidRPr="009D0C43">
        <w:rPr>
          <w:noProof/>
        </w:rPr>
        <w:lastRenderedPageBreak/>
        <w:drawing>
          <wp:inline distT="0" distB="0" distL="0" distR="0" wp14:anchorId="599C5628" wp14:editId="24AA521B">
            <wp:extent cx="9217025" cy="6156325"/>
            <wp:effectExtent l="0" t="0" r="3175" b="0"/>
            <wp:docPr id="681559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17025" cy="6156325"/>
                    </a:xfrm>
                    <a:prstGeom prst="rect">
                      <a:avLst/>
                    </a:prstGeom>
                    <a:noFill/>
                    <a:ln>
                      <a:noFill/>
                    </a:ln>
                  </pic:spPr>
                </pic:pic>
              </a:graphicData>
            </a:graphic>
          </wp:inline>
        </w:drawing>
      </w:r>
    </w:p>
    <w:p w14:paraId="3B1A3450" w14:textId="1C53697D" w:rsidR="009D0C43" w:rsidRDefault="006C6458" w:rsidP="00F76153">
      <w:pPr>
        <w:overflowPunct w:val="0"/>
        <w:autoSpaceDE w:val="0"/>
        <w:autoSpaceDN w:val="0"/>
        <w:adjustRightInd w:val="0"/>
        <w:spacing w:after="0" w:line="240" w:lineRule="auto"/>
        <w:jc w:val="center"/>
        <w:rPr>
          <w:noProof/>
        </w:rPr>
      </w:pPr>
      <w:r w:rsidRPr="006C6458">
        <w:rPr>
          <w:noProof/>
        </w:rPr>
        <w:lastRenderedPageBreak/>
        <w:drawing>
          <wp:inline distT="0" distB="0" distL="0" distR="0" wp14:anchorId="1B6BCCAD" wp14:editId="237360C0">
            <wp:extent cx="8810625" cy="6156325"/>
            <wp:effectExtent l="0" t="0" r="9525" b="0"/>
            <wp:docPr id="1652099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10625" cy="6156325"/>
                    </a:xfrm>
                    <a:prstGeom prst="rect">
                      <a:avLst/>
                    </a:prstGeom>
                    <a:noFill/>
                    <a:ln>
                      <a:noFill/>
                    </a:ln>
                  </pic:spPr>
                </pic:pic>
              </a:graphicData>
            </a:graphic>
          </wp:inline>
        </w:drawing>
      </w:r>
    </w:p>
    <w:p w14:paraId="2C665ED2" w14:textId="160AADB1" w:rsidR="009D0C43" w:rsidRDefault="00904690" w:rsidP="00F76153">
      <w:pPr>
        <w:overflowPunct w:val="0"/>
        <w:autoSpaceDE w:val="0"/>
        <w:autoSpaceDN w:val="0"/>
        <w:adjustRightInd w:val="0"/>
        <w:spacing w:after="0" w:line="240" w:lineRule="auto"/>
        <w:jc w:val="center"/>
        <w:rPr>
          <w:noProof/>
        </w:rPr>
      </w:pPr>
      <w:r w:rsidRPr="00904690">
        <w:rPr>
          <w:noProof/>
        </w:rPr>
        <w:lastRenderedPageBreak/>
        <w:drawing>
          <wp:inline distT="0" distB="0" distL="0" distR="0" wp14:anchorId="5BE7649D" wp14:editId="1DD59587">
            <wp:extent cx="9251950" cy="4958080"/>
            <wp:effectExtent l="0" t="0" r="6350" b="0"/>
            <wp:docPr id="18441329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51950" cy="4958080"/>
                    </a:xfrm>
                    <a:prstGeom prst="rect">
                      <a:avLst/>
                    </a:prstGeom>
                    <a:noFill/>
                    <a:ln>
                      <a:noFill/>
                    </a:ln>
                  </pic:spPr>
                </pic:pic>
              </a:graphicData>
            </a:graphic>
          </wp:inline>
        </w:drawing>
      </w:r>
    </w:p>
    <w:p w14:paraId="1BE48C4A" w14:textId="77777777" w:rsidR="009D0C43" w:rsidRDefault="009D0C43" w:rsidP="003602FE">
      <w:pPr>
        <w:overflowPunct w:val="0"/>
        <w:autoSpaceDE w:val="0"/>
        <w:autoSpaceDN w:val="0"/>
        <w:adjustRightInd w:val="0"/>
        <w:spacing w:after="0" w:line="240" w:lineRule="auto"/>
        <w:jc w:val="both"/>
        <w:rPr>
          <w:noProof/>
        </w:rPr>
      </w:pPr>
    </w:p>
    <w:p w14:paraId="12BC4FC0" w14:textId="77777777" w:rsidR="009D0C43" w:rsidRDefault="009D0C43" w:rsidP="003602FE">
      <w:pPr>
        <w:overflowPunct w:val="0"/>
        <w:autoSpaceDE w:val="0"/>
        <w:autoSpaceDN w:val="0"/>
        <w:adjustRightInd w:val="0"/>
        <w:spacing w:after="0" w:line="240" w:lineRule="auto"/>
        <w:jc w:val="both"/>
        <w:rPr>
          <w:noProof/>
        </w:rPr>
      </w:pPr>
    </w:p>
    <w:p w14:paraId="4DE7C324" w14:textId="77777777" w:rsidR="009D0C43" w:rsidRDefault="009D0C43" w:rsidP="003602FE">
      <w:pPr>
        <w:overflowPunct w:val="0"/>
        <w:autoSpaceDE w:val="0"/>
        <w:autoSpaceDN w:val="0"/>
        <w:adjustRightInd w:val="0"/>
        <w:spacing w:after="0" w:line="240" w:lineRule="auto"/>
        <w:jc w:val="both"/>
        <w:rPr>
          <w:noProof/>
        </w:rPr>
      </w:pPr>
    </w:p>
    <w:p w14:paraId="20660FC2" w14:textId="77777777" w:rsidR="00904690" w:rsidRDefault="00904690" w:rsidP="003602FE">
      <w:pPr>
        <w:overflowPunct w:val="0"/>
        <w:autoSpaceDE w:val="0"/>
        <w:autoSpaceDN w:val="0"/>
        <w:adjustRightInd w:val="0"/>
        <w:spacing w:after="0" w:line="240" w:lineRule="auto"/>
        <w:jc w:val="both"/>
        <w:rPr>
          <w:noProof/>
        </w:rPr>
      </w:pPr>
    </w:p>
    <w:p w14:paraId="1E5B9299" w14:textId="77777777" w:rsidR="00904690" w:rsidRDefault="00904690" w:rsidP="003602FE">
      <w:pPr>
        <w:overflowPunct w:val="0"/>
        <w:autoSpaceDE w:val="0"/>
        <w:autoSpaceDN w:val="0"/>
        <w:adjustRightInd w:val="0"/>
        <w:spacing w:after="0" w:line="240" w:lineRule="auto"/>
        <w:jc w:val="both"/>
        <w:rPr>
          <w:noProof/>
        </w:rPr>
      </w:pPr>
    </w:p>
    <w:p w14:paraId="22BDEBC8" w14:textId="77777777" w:rsidR="00904690" w:rsidRDefault="00904690" w:rsidP="003602FE">
      <w:pPr>
        <w:overflowPunct w:val="0"/>
        <w:autoSpaceDE w:val="0"/>
        <w:autoSpaceDN w:val="0"/>
        <w:adjustRightInd w:val="0"/>
        <w:spacing w:after="0" w:line="240" w:lineRule="auto"/>
        <w:jc w:val="both"/>
        <w:rPr>
          <w:noProof/>
        </w:rPr>
      </w:pPr>
    </w:p>
    <w:p w14:paraId="7507E158" w14:textId="17450A13" w:rsidR="00EF7FBB" w:rsidRPr="003A2F86" w:rsidRDefault="00904690" w:rsidP="00F76153">
      <w:pPr>
        <w:overflowPunct w:val="0"/>
        <w:autoSpaceDE w:val="0"/>
        <w:autoSpaceDN w:val="0"/>
        <w:adjustRightInd w:val="0"/>
        <w:spacing w:after="0" w:line="240" w:lineRule="auto"/>
        <w:jc w:val="center"/>
        <w:rPr>
          <w:rFonts w:ascii="Arial" w:eastAsia="Times New Roman" w:hAnsi="Arial" w:cs="Arial"/>
          <w:sz w:val="16"/>
          <w:szCs w:val="16"/>
        </w:rPr>
      </w:pPr>
      <w:r w:rsidRPr="00904690">
        <w:rPr>
          <w:noProof/>
        </w:rPr>
        <w:lastRenderedPageBreak/>
        <w:drawing>
          <wp:inline distT="0" distB="0" distL="0" distR="0" wp14:anchorId="4369830D" wp14:editId="68F525A9">
            <wp:extent cx="7665720" cy="5921373"/>
            <wp:effectExtent l="0" t="0" r="0" b="3810"/>
            <wp:docPr id="3943556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69855" cy="5924567"/>
                    </a:xfrm>
                    <a:prstGeom prst="rect">
                      <a:avLst/>
                    </a:prstGeom>
                    <a:noFill/>
                    <a:ln>
                      <a:noFill/>
                    </a:ln>
                  </pic:spPr>
                </pic:pic>
              </a:graphicData>
            </a:graphic>
          </wp:inline>
        </w:drawing>
      </w:r>
      <w:r w:rsidR="00EF7FBB" w:rsidRPr="003A2F86">
        <w:rPr>
          <w:rFonts w:ascii="Arial" w:eastAsia="Times New Roman" w:hAnsi="Arial" w:cs="Arial"/>
          <w:sz w:val="16"/>
          <w:szCs w:val="16"/>
        </w:rPr>
        <w:br w:type="page"/>
      </w:r>
    </w:p>
    <w:p w14:paraId="4DE1E408" w14:textId="76B07544" w:rsidR="00891119" w:rsidRPr="003A2F86" w:rsidRDefault="00891119" w:rsidP="001B3297">
      <w:pPr>
        <w:pStyle w:val="Naslov4"/>
        <w:rPr>
          <w:rFonts w:ascii="Arial" w:hAnsi="Arial" w:cs="Arial"/>
          <w:shd w:val="clear" w:color="auto" w:fill="FFFFFF"/>
          <w:lang w:val="hr-HR"/>
        </w:rPr>
      </w:pPr>
      <w:bookmarkStart w:id="98" w:name="_Hlk103073780"/>
      <w:r w:rsidRPr="003A2F86">
        <w:rPr>
          <w:rFonts w:ascii="Arial" w:hAnsi="Arial" w:cs="Arial"/>
          <w:shd w:val="clear" w:color="auto" w:fill="FFFFFF"/>
          <w:lang w:val="hr-HR"/>
        </w:rPr>
        <w:lastRenderedPageBreak/>
        <w:tab/>
      </w:r>
      <w:bookmarkStart w:id="99" w:name="_Toc207707425"/>
      <w:r w:rsidR="001B3297" w:rsidRPr="003A2F86">
        <w:rPr>
          <w:rFonts w:ascii="Arial" w:hAnsi="Arial" w:cs="Arial"/>
          <w:shd w:val="clear" w:color="auto" w:fill="FFFFFF"/>
          <w:lang w:val="hr-HR"/>
        </w:rPr>
        <w:t>2.4.1</w:t>
      </w:r>
      <w:r w:rsidRPr="003A2F86">
        <w:rPr>
          <w:rFonts w:ascii="Arial" w:hAnsi="Arial" w:cs="Arial"/>
          <w:shd w:val="clear" w:color="auto" w:fill="FFFFFF"/>
          <w:lang w:val="hr-HR"/>
        </w:rPr>
        <w:t xml:space="preserve">.3. </w:t>
      </w:r>
      <w:r w:rsidRPr="003A2F86">
        <w:rPr>
          <w:rFonts w:ascii="Arial" w:hAnsi="Arial" w:cs="Arial"/>
          <w:shd w:val="clear" w:color="auto" w:fill="FFFFFF"/>
          <w:lang w:val="hr-HR"/>
        </w:rPr>
        <w:tab/>
        <w:t>Prihodi od imovine</w:t>
      </w:r>
      <w:r w:rsidR="00744D8B" w:rsidRPr="003A2F86">
        <w:rPr>
          <w:rFonts w:ascii="Arial" w:hAnsi="Arial" w:cs="Arial"/>
          <w:shd w:val="clear" w:color="auto" w:fill="FFFFFF"/>
          <w:lang w:val="hr-HR"/>
        </w:rPr>
        <w:t xml:space="preserve"> (64)</w:t>
      </w:r>
      <w:bookmarkEnd w:id="99"/>
    </w:p>
    <w:p w14:paraId="6DF5E1A4" w14:textId="77777777" w:rsidR="00891119" w:rsidRPr="003A2F86" w:rsidRDefault="00891119" w:rsidP="00891119">
      <w:pPr>
        <w:tabs>
          <w:tab w:val="left" w:pos="567"/>
        </w:tabs>
        <w:spacing w:after="0" w:line="240" w:lineRule="auto"/>
        <w:jc w:val="both"/>
        <w:rPr>
          <w:rFonts w:ascii="Arial" w:eastAsia="Times New Roman" w:hAnsi="Arial" w:cs="Arial"/>
          <w:lang w:eastAsia="en-US"/>
        </w:rPr>
      </w:pPr>
    </w:p>
    <w:p w14:paraId="3E512C34" w14:textId="1CB9D9E6" w:rsidR="003A2F86" w:rsidRPr="008E5A88" w:rsidRDefault="00A16565" w:rsidP="003A2F86">
      <w:pPr>
        <w:pStyle w:val="Tijeloteksta2"/>
        <w:rPr>
          <w:rFonts w:ascii="Arial" w:hAnsi="Arial" w:cs="Arial"/>
          <w:iCs/>
          <w:sz w:val="22"/>
          <w:szCs w:val="22"/>
          <w:lang w:val="hr-HR"/>
        </w:rPr>
      </w:pPr>
      <w:bookmarkStart w:id="100" w:name="_Hlk2529139"/>
      <w:r w:rsidRPr="008E5A88">
        <w:rPr>
          <w:rFonts w:ascii="Arial" w:hAnsi="Arial" w:cs="Arial"/>
          <w:b/>
          <w:iCs/>
          <w:sz w:val="22"/>
          <w:szCs w:val="22"/>
          <w:lang w:val="hr-HR"/>
        </w:rPr>
        <w:t>Prihodi od imovine</w:t>
      </w:r>
      <w:r w:rsidRPr="008E5A88">
        <w:rPr>
          <w:rFonts w:ascii="Arial" w:hAnsi="Arial" w:cs="Arial"/>
          <w:iCs/>
          <w:sz w:val="22"/>
          <w:szCs w:val="22"/>
          <w:lang w:val="hr-HR"/>
        </w:rPr>
        <w:t xml:space="preserve"> (64) ostvareni su </w:t>
      </w:r>
      <w:r w:rsidR="003A2F86" w:rsidRPr="008E5A88">
        <w:rPr>
          <w:rFonts w:ascii="Arial" w:hAnsi="Arial" w:cs="Arial"/>
          <w:iCs/>
          <w:sz w:val="22"/>
          <w:szCs w:val="22"/>
          <w:lang w:val="hr-HR"/>
        </w:rPr>
        <w:t xml:space="preserve">u iznosu </w:t>
      </w:r>
      <w:r w:rsidR="00A957EF">
        <w:rPr>
          <w:rFonts w:ascii="Arial" w:hAnsi="Arial" w:cs="Arial"/>
          <w:iCs/>
          <w:sz w:val="22"/>
          <w:szCs w:val="22"/>
          <w:lang w:val="hr-HR"/>
        </w:rPr>
        <w:t>479.569,36</w:t>
      </w:r>
      <w:r w:rsidR="003A2F86" w:rsidRPr="008E5A88">
        <w:rPr>
          <w:rFonts w:ascii="Arial" w:hAnsi="Arial" w:cs="Arial"/>
          <w:iCs/>
          <w:sz w:val="22"/>
          <w:szCs w:val="22"/>
          <w:lang w:val="hr-HR"/>
        </w:rPr>
        <w:t xml:space="preserve"> € su za </w:t>
      </w:r>
      <w:r w:rsidR="00A957EF">
        <w:rPr>
          <w:rFonts w:ascii="Arial" w:hAnsi="Arial" w:cs="Arial"/>
          <w:iCs/>
          <w:sz w:val="22"/>
          <w:szCs w:val="22"/>
          <w:lang w:val="hr-HR"/>
        </w:rPr>
        <w:t>1.853,74</w:t>
      </w:r>
      <w:r w:rsidR="003A2F86" w:rsidRPr="008E5A88">
        <w:rPr>
          <w:rFonts w:ascii="Arial" w:hAnsi="Arial" w:cs="Arial"/>
          <w:iCs/>
          <w:sz w:val="22"/>
          <w:szCs w:val="22"/>
          <w:lang w:val="hr-HR"/>
        </w:rPr>
        <w:t xml:space="preserve"> € ili </w:t>
      </w:r>
      <w:r w:rsidR="00A957EF">
        <w:rPr>
          <w:rFonts w:ascii="Arial" w:hAnsi="Arial" w:cs="Arial"/>
          <w:iCs/>
          <w:sz w:val="22"/>
          <w:szCs w:val="22"/>
          <w:lang w:val="hr-HR"/>
        </w:rPr>
        <w:t>0,4</w:t>
      </w:r>
      <w:r w:rsidR="003A2F86" w:rsidRPr="008E5A88">
        <w:rPr>
          <w:rFonts w:ascii="Arial" w:hAnsi="Arial" w:cs="Arial"/>
          <w:iCs/>
          <w:sz w:val="22"/>
          <w:szCs w:val="22"/>
          <w:lang w:val="hr-HR"/>
        </w:rPr>
        <w:t xml:space="preserve">% </w:t>
      </w:r>
      <w:r w:rsidR="00A957EF">
        <w:rPr>
          <w:rFonts w:ascii="Arial" w:hAnsi="Arial" w:cs="Arial"/>
          <w:iCs/>
          <w:sz w:val="22"/>
          <w:szCs w:val="22"/>
          <w:lang w:val="hr-HR"/>
        </w:rPr>
        <w:t>manje</w:t>
      </w:r>
      <w:r w:rsidR="003A2F86" w:rsidRPr="008E5A88">
        <w:rPr>
          <w:rFonts w:ascii="Arial" w:hAnsi="Arial" w:cs="Arial"/>
          <w:iCs/>
          <w:sz w:val="22"/>
          <w:szCs w:val="22"/>
          <w:lang w:val="hr-HR"/>
        </w:rPr>
        <w:t xml:space="preserve"> u odnosu na prethodnu 202</w:t>
      </w:r>
      <w:r w:rsidR="00A957EF">
        <w:rPr>
          <w:rFonts w:ascii="Arial" w:hAnsi="Arial" w:cs="Arial"/>
          <w:iCs/>
          <w:sz w:val="22"/>
          <w:szCs w:val="22"/>
          <w:lang w:val="hr-HR"/>
        </w:rPr>
        <w:t>4</w:t>
      </w:r>
      <w:r w:rsidR="003A2F86" w:rsidRPr="008E5A88">
        <w:rPr>
          <w:rFonts w:ascii="Arial" w:hAnsi="Arial" w:cs="Arial"/>
          <w:iCs/>
          <w:sz w:val="22"/>
          <w:szCs w:val="22"/>
          <w:lang w:val="hr-HR"/>
        </w:rPr>
        <w:t xml:space="preserve">. godinu. </w:t>
      </w:r>
    </w:p>
    <w:p w14:paraId="33470A88" w14:textId="77777777" w:rsidR="003A2F86" w:rsidRPr="008E5A88" w:rsidRDefault="003A2F86" w:rsidP="003A2F86">
      <w:pPr>
        <w:pStyle w:val="Tijeloteksta2"/>
        <w:rPr>
          <w:rFonts w:ascii="Arial" w:hAnsi="Arial" w:cs="Arial"/>
          <w:iCs/>
          <w:sz w:val="22"/>
          <w:szCs w:val="22"/>
          <w:lang w:val="hr-HR"/>
        </w:rPr>
      </w:pPr>
    </w:p>
    <w:p w14:paraId="55FC8D83" w14:textId="70730302" w:rsidR="003A2F86" w:rsidRPr="008E5A88" w:rsidRDefault="003A2F86" w:rsidP="003A2F86">
      <w:pPr>
        <w:pStyle w:val="Tijeloteksta2"/>
        <w:rPr>
          <w:rFonts w:ascii="Arial" w:hAnsi="Arial" w:cs="Arial"/>
          <w:iCs/>
          <w:sz w:val="22"/>
          <w:szCs w:val="22"/>
          <w:lang w:val="hr-HR"/>
        </w:rPr>
      </w:pPr>
      <w:r w:rsidRPr="008E5A88">
        <w:rPr>
          <w:rFonts w:ascii="Arial" w:hAnsi="Arial" w:cs="Arial"/>
          <w:iCs/>
          <w:sz w:val="22"/>
          <w:szCs w:val="22"/>
          <w:lang w:val="hr-HR"/>
        </w:rPr>
        <w:t xml:space="preserve">Prihodi od imovine se odnose na prihode od financijske imovine (kamate) (641) u iznosu </w:t>
      </w:r>
      <w:r w:rsidR="00A957EF">
        <w:rPr>
          <w:rFonts w:ascii="Arial" w:hAnsi="Arial" w:cs="Arial"/>
          <w:iCs/>
          <w:sz w:val="22"/>
          <w:szCs w:val="22"/>
          <w:lang w:val="hr-HR"/>
        </w:rPr>
        <w:t>2.300,56</w:t>
      </w:r>
      <w:r w:rsidRPr="008E5A88">
        <w:rPr>
          <w:rFonts w:ascii="Arial" w:hAnsi="Arial" w:cs="Arial"/>
          <w:iCs/>
          <w:sz w:val="22"/>
          <w:szCs w:val="22"/>
          <w:lang w:val="hr-HR"/>
        </w:rPr>
        <w:t xml:space="preserve"> €, te prihode od nefinancijske imovine (koncesije na vodama, koncesije na pomorskom dobru, zakupi, spomenička renta, naknade za taxi prijevoz, naknada za korištenje javnih površina, naknada za korištenje prostora elektrana, te druge naknade) (642) u iznosu </w:t>
      </w:r>
      <w:r w:rsidR="00E91EBB">
        <w:rPr>
          <w:rFonts w:ascii="Arial" w:hAnsi="Arial" w:cs="Arial"/>
          <w:iCs/>
          <w:sz w:val="22"/>
          <w:szCs w:val="22"/>
          <w:lang w:val="hr-HR"/>
        </w:rPr>
        <w:t>477.268,80</w:t>
      </w:r>
      <w:r w:rsidRPr="008E5A88">
        <w:rPr>
          <w:rFonts w:ascii="Arial" w:hAnsi="Arial" w:cs="Arial"/>
          <w:iCs/>
          <w:sz w:val="22"/>
          <w:szCs w:val="22"/>
          <w:lang w:val="hr-HR"/>
        </w:rPr>
        <w:t xml:space="preserve"> €. </w:t>
      </w:r>
    </w:p>
    <w:p w14:paraId="2FF32638" w14:textId="77777777" w:rsidR="003A2F86" w:rsidRPr="008E5A88" w:rsidRDefault="003A2F86" w:rsidP="003A2F86">
      <w:pPr>
        <w:pStyle w:val="Tijeloteksta2"/>
        <w:rPr>
          <w:rFonts w:ascii="Arial" w:hAnsi="Arial" w:cs="Arial"/>
          <w:iCs/>
          <w:sz w:val="22"/>
          <w:szCs w:val="22"/>
          <w:lang w:val="hr-HR"/>
        </w:rPr>
      </w:pPr>
    </w:p>
    <w:p w14:paraId="595E14B8" w14:textId="41133107" w:rsidR="00A16565" w:rsidRPr="008E5A88" w:rsidRDefault="00A16565" w:rsidP="003A2F86">
      <w:pPr>
        <w:pStyle w:val="Tijeloteksta2"/>
        <w:rPr>
          <w:rFonts w:ascii="Arial" w:hAnsi="Arial" w:cs="Arial"/>
          <w:sz w:val="22"/>
          <w:szCs w:val="22"/>
          <w:lang w:val="hr-HR"/>
        </w:rPr>
      </w:pPr>
      <w:r w:rsidRPr="008E5A88">
        <w:rPr>
          <w:rFonts w:ascii="Arial" w:hAnsi="Arial" w:cs="Arial"/>
          <w:color w:val="1F497D" w:themeColor="text2"/>
          <w:sz w:val="22"/>
          <w:szCs w:val="22"/>
          <w:lang w:val="hr-HR"/>
        </w:rPr>
        <w:t xml:space="preserve">Prihodi od imovine se u cijelosti odnose na prihode Općine. </w:t>
      </w:r>
      <w:r w:rsidRPr="008E5A88">
        <w:rPr>
          <w:rFonts w:ascii="Arial" w:hAnsi="Arial" w:cs="Arial"/>
          <w:sz w:val="22"/>
          <w:szCs w:val="22"/>
          <w:lang w:val="hr-HR"/>
        </w:rPr>
        <w:t xml:space="preserve">Prihodi od financijske imovine (641) u iznosu </w:t>
      </w:r>
      <w:r w:rsidR="0093215D">
        <w:rPr>
          <w:rFonts w:ascii="Arial" w:hAnsi="Arial" w:cs="Arial"/>
          <w:sz w:val="22"/>
          <w:szCs w:val="22"/>
          <w:lang w:val="hr-HR"/>
        </w:rPr>
        <w:t>2.300,56</w:t>
      </w:r>
      <w:r w:rsidRPr="008E5A88">
        <w:rPr>
          <w:rFonts w:ascii="Arial" w:hAnsi="Arial" w:cs="Arial"/>
          <w:sz w:val="22"/>
          <w:szCs w:val="22"/>
          <w:lang w:val="hr-HR"/>
        </w:rPr>
        <w:t xml:space="preserve"> € su ostvareni </w:t>
      </w:r>
      <w:r w:rsidR="0093215D">
        <w:rPr>
          <w:rFonts w:ascii="Arial" w:hAnsi="Arial" w:cs="Arial"/>
          <w:sz w:val="22"/>
          <w:szCs w:val="22"/>
          <w:lang w:val="hr-HR"/>
        </w:rPr>
        <w:t>manje</w:t>
      </w:r>
      <w:r w:rsidRPr="008E5A88">
        <w:rPr>
          <w:rFonts w:ascii="Arial" w:hAnsi="Arial" w:cs="Arial"/>
          <w:sz w:val="22"/>
          <w:szCs w:val="22"/>
          <w:lang w:val="hr-HR"/>
        </w:rPr>
        <w:t xml:space="preserve"> nego prethodne godine. </w:t>
      </w:r>
      <w:r w:rsidR="003A2F86" w:rsidRPr="008E5A88">
        <w:rPr>
          <w:rFonts w:ascii="Arial" w:hAnsi="Arial" w:cs="Arial"/>
          <w:sz w:val="22"/>
          <w:szCs w:val="22"/>
          <w:lang w:val="hr-HR"/>
        </w:rPr>
        <w:t xml:space="preserve">Ovi prihodi se odnose na kamate na oročena sredstva </w:t>
      </w:r>
      <w:r w:rsidR="0093215D">
        <w:rPr>
          <w:rFonts w:ascii="Arial" w:hAnsi="Arial" w:cs="Arial"/>
          <w:sz w:val="22"/>
          <w:szCs w:val="22"/>
          <w:lang w:val="hr-HR"/>
        </w:rPr>
        <w:t>131,81</w:t>
      </w:r>
      <w:r w:rsidR="003A2F86" w:rsidRPr="008E5A88">
        <w:rPr>
          <w:rFonts w:ascii="Arial" w:hAnsi="Arial" w:cs="Arial"/>
          <w:sz w:val="22"/>
          <w:szCs w:val="22"/>
          <w:lang w:val="hr-HR"/>
        </w:rPr>
        <w:t xml:space="preserve"> €, zatezne kamate u iznosu </w:t>
      </w:r>
      <w:r w:rsidR="0093215D">
        <w:rPr>
          <w:rFonts w:ascii="Arial" w:hAnsi="Arial" w:cs="Arial"/>
          <w:sz w:val="22"/>
          <w:szCs w:val="22"/>
          <w:lang w:val="hr-HR"/>
        </w:rPr>
        <w:t>679,77</w:t>
      </w:r>
      <w:r w:rsidR="003A2F86" w:rsidRPr="008E5A88">
        <w:rPr>
          <w:rFonts w:ascii="Arial" w:hAnsi="Arial" w:cs="Arial"/>
          <w:sz w:val="22"/>
          <w:szCs w:val="22"/>
          <w:lang w:val="hr-HR"/>
        </w:rPr>
        <w:t xml:space="preserve"> €</w:t>
      </w:r>
      <w:r w:rsidR="0097119D">
        <w:rPr>
          <w:rFonts w:ascii="Arial" w:hAnsi="Arial" w:cs="Arial"/>
          <w:sz w:val="22"/>
          <w:szCs w:val="22"/>
          <w:lang w:val="hr-HR"/>
        </w:rPr>
        <w:t xml:space="preserve"> i ostale financijske prihode 1.488,98 €</w:t>
      </w:r>
      <w:r w:rsidR="000A73F6">
        <w:rPr>
          <w:rFonts w:ascii="Arial" w:hAnsi="Arial" w:cs="Arial"/>
          <w:sz w:val="22"/>
          <w:szCs w:val="22"/>
          <w:lang w:val="hr-HR"/>
        </w:rPr>
        <w:t xml:space="preserve">. U drugom polugodištu 2023., kao i 2024. godine </w:t>
      </w:r>
      <w:r w:rsidR="00915D1E">
        <w:rPr>
          <w:rFonts w:ascii="Arial" w:hAnsi="Arial" w:cs="Arial"/>
          <w:sz w:val="22"/>
          <w:szCs w:val="22"/>
          <w:lang w:val="hr-HR"/>
        </w:rPr>
        <w:t>po prvi put</w:t>
      </w:r>
      <w:r w:rsidR="000A73F6">
        <w:rPr>
          <w:rFonts w:ascii="Arial" w:hAnsi="Arial" w:cs="Arial"/>
          <w:sz w:val="22"/>
          <w:szCs w:val="22"/>
          <w:lang w:val="hr-HR"/>
        </w:rPr>
        <w:t xml:space="preserve"> su bili </w:t>
      </w:r>
      <w:r w:rsidR="00915D1E">
        <w:rPr>
          <w:rFonts w:ascii="Arial" w:hAnsi="Arial" w:cs="Arial"/>
          <w:sz w:val="22"/>
          <w:szCs w:val="22"/>
          <w:lang w:val="hr-HR"/>
        </w:rPr>
        <w:t xml:space="preserve">ostvareni prihodi od </w:t>
      </w:r>
      <w:r w:rsidR="003A2F86" w:rsidRPr="008E5A88">
        <w:rPr>
          <w:rFonts w:ascii="Arial" w:hAnsi="Arial" w:cs="Arial"/>
          <w:sz w:val="22"/>
          <w:szCs w:val="22"/>
          <w:lang w:val="hr-HR"/>
        </w:rPr>
        <w:t>dobiti društva u suvlasništvu Općine (Zračna luka Dubrovnik</w:t>
      </w:r>
      <w:r w:rsidR="000A73F6">
        <w:rPr>
          <w:rFonts w:ascii="Arial" w:hAnsi="Arial" w:cs="Arial"/>
          <w:sz w:val="22"/>
          <w:szCs w:val="22"/>
          <w:lang w:val="hr-HR"/>
        </w:rPr>
        <w:t xml:space="preserve">, u 2023. iznos </w:t>
      </w:r>
      <w:r w:rsidR="000A73F6" w:rsidRPr="008E5A88">
        <w:rPr>
          <w:rFonts w:ascii="Arial" w:hAnsi="Arial" w:cs="Arial"/>
          <w:sz w:val="22"/>
          <w:szCs w:val="22"/>
          <w:lang w:val="hr-HR"/>
        </w:rPr>
        <w:t>653.286,51 €</w:t>
      </w:r>
      <w:r w:rsidR="000A73F6">
        <w:rPr>
          <w:rFonts w:ascii="Arial" w:hAnsi="Arial" w:cs="Arial"/>
          <w:sz w:val="22"/>
          <w:szCs w:val="22"/>
          <w:lang w:val="hr-HR"/>
        </w:rPr>
        <w:t xml:space="preserve">, u 2024. iznos </w:t>
      </w:r>
      <w:r w:rsidR="003A2F86" w:rsidRPr="008E5A88">
        <w:rPr>
          <w:rFonts w:ascii="Arial" w:hAnsi="Arial" w:cs="Arial"/>
          <w:sz w:val="22"/>
          <w:szCs w:val="22"/>
          <w:lang w:val="hr-HR"/>
        </w:rPr>
        <w:t>788.110,88 €</w:t>
      </w:r>
      <w:r w:rsidR="00915D1E">
        <w:rPr>
          <w:rFonts w:ascii="Arial" w:hAnsi="Arial" w:cs="Arial"/>
          <w:sz w:val="22"/>
          <w:szCs w:val="22"/>
          <w:lang w:val="hr-HR"/>
        </w:rPr>
        <w:t>).</w:t>
      </w:r>
    </w:p>
    <w:bookmarkEnd w:id="100"/>
    <w:p w14:paraId="28A5DE5D" w14:textId="77777777" w:rsidR="0032374E" w:rsidRPr="008E5A88" w:rsidRDefault="0032374E" w:rsidP="00A165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3FB07E5E" w14:textId="1F8738A2" w:rsidR="0032374E" w:rsidRPr="008E5A88" w:rsidRDefault="0032374E" w:rsidP="003237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r w:rsidRPr="008E5A88">
        <w:rPr>
          <w:rFonts w:ascii="Arial" w:hAnsi="Arial" w:cs="Arial"/>
        </w:rPr>
        <w:t>Prihodi od nefinancijske imovine (</w:t>
      </w:r>
      <w:r w:rsidRPr="008E5A88">
        <w:rPr>
          <w:rFonts w:ascii="Arial" w:hAnsi="Arial" w:cs="Arial"/>
          <w:b/>
        </w:rPr>
        <w:t>642</w:t>
      </w:r>
      <w:r w:rsidRPr="008E5A88">
        <w:rPr>
          <w:rFonts w:ascii="Arial" w:hAnsi="Arial" w:cs="Arial"/>
        </w:rPr>
        <w:t xml:space="preserve">) u iznosu </w:t>
      </w:r>
      <w:r w:rsidR="00915D1E">
        <w:rPr>
          <w:rFonts w:ascii="Arial" w:hAnsi="Arial" w:cs="Arial"/>
        </w:rPr>
        <w:t>477.268,80</w:t>
      </w:r>
      <w:r w:rsidRPr="008E5A88">
        <w:rPr>
          <w:rFonts w:ascii="Arial" w:hAnsi="Arial" w:cs="Arial"/>
        </w:rPr>
        <w:t xml:space="preserve"> € su za </w:t>
      </w:r>
      <w:r w:rsidR="00F70236">
        <w:rPr>
          <w:rFonts w:ascii="Arial" w:hAnsi="Arial" w:cs="Arial"/>
        </w:rPr>
        <w:t>361,43</w:t>
      </w:r>
      <w:r w:rsidRPr="008E5A88">
        <w:rPr>
          <w:rFonts w:ascii="Arial" w:hAnsi="Arial" w:cs="Arial"/>
        </w:rPr>
        <w:t xml:space="preserve"> € ili </w:t>
      </w:r>
      <w:r w:rsidR="00F70236">
        <w:rPr>
          <w:rFonts w:ascii="Arial" w:hAnsi="Arial" w:cs="Arial"/>
        </w:rPr>
        <w:t>0,08</w:t>
      </w:r>
      <w:r w:rsidRPr="008E5A88">
        <w:rPr>
          <w:rFonts w:ascii="Arial" w:hAnsi="Arial" w:cs="Arial"/>
        </w:rPr>
        <w:t xml:space="preserve">% </w:t>
      </w:r>
      <w:r w:rsidR="00F70236">
        <w:rPr>
          <w:rFonts w:ascii="Arial" w:hAnsi="Arial" w:cs="Arial"/>
        </w:rPr>
        <w:t>manje</w:t>
      </w:r>
      <w:r w:rsidRPr="008E5A88">
        <w:rPr>
          <w:rFonts w:ascii="Arial" w:hAnsi="Arial" w:cs="Arial"/>
        </w:rPr>
        <w:t xml:space="preserve"> u odnosu na prethodnu godinu.</w:t>
      </w:r>
    </w:p>
    <w:p w14:paraId="70ECAF2B" w14:textId="77777777" w:rsidR="0032374E" w:rsidRPr="008E5A88" w:rsidRDefault="0032374E" w:rsidP="003237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4308E85A" w14:textId="77800D70" w:rsidR="0032374E" w:rsidRPr="008E5A88" w:rsidRDefault="0032374E" w:rsidP="003237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bookmarkStart w:id="101" w:name="_Hlk160006061"/>
      <w:r w:rsidRPr="008E5A88">
        <w:rPr>
          <w:rFonts w:ascii="Arial" w:hAnsi="Arial" w:cs="Arial"/>
        </w:rPr>
        <w:t>U okviru prihoda od nefinancijske imovine (</w:t>
      </w:r>
      <w:r w:rsidRPr="008E5A88">
        <w:rPr>
          <w:rFonts w:ascii="Arial" w:hAnsi="Arial" w:cs="Arial"/>
          <w:b/>
        </w:rPr>
        <w:t>642</w:t>
      </w:r>
      <w:r w:rsidRPr="008E5A88">
        <w:rPr>
          <w:rFonts w:ascii="Arial" w:hAnsi="Arial" w:cs="Arial"/>
        </w:rPr>
        <w:t xml:space="preserve">) ostvareni su prihodi iz druge države, Općine Herceg novi (Crna gora) u iznosu </w:t>
      </w:r>
      <w:r w:rsidR="000F3096">
        <w:rPr>
          <w:rFonts w:ascii="Arial" w:hAnsi="Arial" w:cs="Arial"/>
        </w:rPr>
        <w:t>1</w:t>
      </w:r>
      <w:r w:rsidRPr="008E5A88">
        <w:rPr>
          <w:rFonts w:ascii="Arial" w:hAnsi="Arial" w:cs="Arial"/>
        </w:rPr>
        <w:t xml:space="preserve">75.000 € (ugovori potpisani koncem 2011. godine, a odnose se na naknadu za umanjenu upotrebnu vrijednost zemljišta u vlasništvu Općine Konavle kojom prolazi infrastrukturni objekt za transport vode cjevovod Plat – Herceg Novi). </w:t>
      </w:r>
    </w:p>
    <w:bookmarkEnd w:id="101"/>
    <w:p w14:paraId="47C6958B" w14:textId="77777777" w:rsidR="0032374E" w:rsidRPr="008E5A88" w:rsidRDefault="0032374E" w:rsidP="003237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72AD6894" w14:textId="6B810C57" w:rsidR="0032374E" w:rsidRPr="008E5A88" w:rsidRDefault="0032374E" w:rsidP="00A165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r w:rsidRPr="008E5A88">
        <w:rPr>
          <w:rFonts w:ascii="Arial" w:hAnsi="Arial" w:cs="Arial"/>
        </w:rPr>
        <w:t xml:space="preserve">U okviru prihoda od nefinancijske imovine (64) vrijednosno su značajniji </w:t>
      </w:r>
      <w:r w:rsidRPr="008E5A88">
        <w:rPr>
          <w:rFonts w:ascii="Arial" w:hAnsi="Arial" w:cs="Arial"/>
          <w:b/>
          <w:bCs/>
          <w:i/>
          <w:iCs/>
        </w:rPr>
        <w:t>prihodi od naknade za korištenje javnih površina</w:t>
      </w:r>
      <w:r w:rsidRPr="008E5A88">
        <w:rPr>
          <w:rFonts w:ascii="Arial" w:hAnsi="Arial" w:cs="Arial"/>
        </w:rPr>
        <w:t xml:space="preserve"> (u okviru računa 6423). Naime, ovi prihodi u izvještajnom razdoblju prethodne 202</w:t>
      </w:r>
      <w:r w:rsidR="002E1341">
        <w:rPr>
          <w:rFonts w:ascii="Arial" w:hAnsi="Arial" w:cs="Arial"/>
        </w:rPr>
        <w:t>4</w:t>
      </w:r>
      <w:r w:rsidRPr="008E5A88">
        <w:rPr>
          <w:rFonts w:ascii="Arial" w:hAnsi="Arial" w:cs="Arial"/>
        </w:rPr>
        <w:t xml:space="preserve">. godine iznosili su </w:t>
      </w:r>
      <w:r w:rsidR="002E1341">
        <w:rPr>
          <w:rFonts w:ascii="Arial" w:hAnsi="Arial" w:cs="Arial"/>
        </w:rPr>
        <w:t>18.</w:t>
      </w:r>
      <w:r w:rsidR="000545CD">
        <w:rPr>
          <w:rFonts w:ascii="Arial" w:hAnsi="Arial" w:cs="Arial"/>
        </w:rPr>
        <w:t>969,05</w:t>
      </w:r>
      <w:r w:rsidRPr="008E5A88">
        <w:rPr>
          <w:rFonts w:ascii="Arial" w:hAnsi="Arial" w:cs="Arial"/>
        </w:rPr>
        <w:t xml:space="preserve"> € dok u tekućoj godini iznose </w:t>
      </w:r>
      <w:r w:rsidR="002E1341" w:rsidRPr="002E1341">
        <w:rPr>
          <w:rFonts w:ascii="Arial" w:hAnsi="Arial" w:cs="Arial"/>
        </w:rPr>
        <w:t xml:space="preserve">65.418,74 </w:t>
      </w:r>
      <w:r w:rsidRPr="008E5A88">
        <w:rPr>
          <w:rFonts w:ascii="Arial" w:hAnsi="Arial" w:cs="Arial"/>
        </w:rPr>
        <w:t xml:space="preserve">€ što je za </w:t>
      </w:r>
      <w:r w:rsidR="000545CD">
        <w:rPr>
          <w:rFonts w:ascii="Arial" w:hAnsi="Arial" w:cs="Arial"/>
        </w:rPr>
        <w:t>46.449,69</w:t>
      </w:r>
      <w:r w:rsidRPr="008E5A88">
        <w:rPr>
          <w:rFonts w:ascii="Arial" w:hAnsi="Arial" w:cs="Arial"/>
        </w:rPr>
        <w:t xml:space="preserve"> više nego prethodne godine.</w:t>
      </w:r>
    </w:p>
    <w:p w14:paraId="261852C2" w14:textId="77777777" w:rsidR="00A87A78" w:rsidRDefault="00A87A78" w:rsidP="00A87A78">
      <w:pPr>
        <w:spacing w:after="0" w:line="240" w:lineRule="auto"/>
        <w:jc w:val="both"/>
        <w:rPr>
          <w:rFonts w:ascii="Arial" w:eastAsia="Times New Roman" w:hAnsi="Arial" w:cs="Arial"/>
          <w:sz w:val="18"/>
          <w:szCs w:val="18"/>
        </w:rPr>
      </w:pPr>
    </w:p>
    <w:p w14:paraId="37A1B736" w14:textId="6DD55309" w:rsidR="00A87A78" w:rsidRPr="003A2F86" w:rsidRDefault="00A87A78" w:rsidP="00D0351C">
      <w:pPr>
        <w:spacing w:after="0" w:line="240" w:lineRule="auto"/>
        <w:ind w:left="567"/>
        <w:jc w:val="both"/>
        <w:rPr>
          <w:rFonts w:ascii="Arial" w:eastAsia="Times New Roman" w:hAnsi="Arial" w:cs="Arial"/>
          <w:sz w:val="18"/>
          <w:szCs w:val="18"/>
        </w:rPr>
      </w:pPr>
      <w:r w:rsidRPr="00A87A78">
        <w:rPr>
          <w:rFonts w:ascii="Arial" w:eastAsia="Times New Roman" w:hAnsi="Arial" w:cs="Arial"/>
          <w:sz w:val="18"/>
          <w:szCs w:val="18"/>
        </w:rPr>
        <w:t xml:space="preserve">Prihodi od naknade za korištenje javnih površina su sveukupno 2017. godine iznosili 112.967,38 €, 2018. godine 228.254,67 €, 2019. godine 305.557,07 €. Nadalje, 2020. godine ostvareni su u iznosu 71.976,95 €, 2021. godine u iznosu 141.681,11 €, dok su 2022. godine iznosili 305.578,30 € (više za 163.897,19 € ili 115,7% u odnosu na 2021. godinu, a skoro </w:t>
      </w:r>
      <w:r w:rsidRPr="003A2F86">
        <w:rPr>
          <w:rFonts w:ascii="Arial" w:eastAsia="Times New Roman" w:hAnsi="Arial" w:cs="Arial"/>
          <w:sz w:val="18"/>
          <w:szCs w:val="18"/>
        </w:rPr>
        <w:t xml:space="preserve">isto odnosno neznatno više u odnosu na 2019. godinu). Sveukupno u 2023. godini ovi prihodi su iznosili 205.358,65 €, </w:t>
      </w:r>
      <w:r w:rsidR="00907E7E">
        <w:rPr>
          <w:rFonts w:ascii="Arial" w:eastAsia="Times New Roman" w:hAnsi="Arial" w:cs="Arial"/>
          <w:sz w:val="18"/>
          <w:szCs w:val="18"/>
        </w:rPr>
        <w:t xml:space="preserve">a u </w:t>
      </w:r>
      <w:r w:rsidRPr="003A2F86">
        <w:rPr>
          <w:rFonts w:ascii="Arial" w:eastAsia="Times New Roman" w:hAnsi="Arial" w:cs="Arial"/>
          <w:sz w:val="18"/>
          <w:szCs w:val="18"/>
        </w:rPr>
        <w:t xml:space="preserve">2024. </w:t>
      </w:r>
      <w:r w:rsidR="00907E7E">
        <w:rPr>
          <w:rFonts w:ascii="Arial" w:eastAsia="Times New Roman" w:hAnsi="Arial" w:cs="Arial"/>
          <w:sz w:val="18"/>
          <w:szCs w:val="18"/>
        </w:rPr>
        <w:t>su iznosili</w:t>
      </w:r>
      <w:r w:rsidRPr="003A2F86">
        <w:rPr>
          <w:rFonts w:ascii="Arial" w:eastAsia="Times New Roman" w:hAnsi="Arial" w:cs="Arial"/>
          <w:sz w:val="18"/>
          <w:szCs w:val="18"/>
        </w:rPr>
        <w:t xml:space="preserve"> </w:t>
      </w:r>
      <w:r>
        <w:rPr>
          <w:rFonts w:ascii="Arial" w:eastAsia="Times New Roman" w:hAnsi="Arial" w:cs="Arial"/>
          <w:sz w:val="18"/>
          <w:szCs w:val="18"/>
        </w:rPr>
        <w:t>301.914,90</w:t>
      </w:r>
      <w:r w:rsidRPr="0032374E">
        <w:rPr>
          <w:rFonts w:ascii="Arial" w:eastAsia="Times New Roman" w:hAnsi="Arial" w:cs="Arial"/>
          <w:sz w:val="18"/>
          <w:szCs w:val="18"/>
        </w:rPr>
        <w:t xml:space="preserve"> </w:t>
      </w:r>
      <w:r w:rsidRPr="003A2F86">
        <w:rPr>
          <w:rFonts w:ascii="Arial" w:eastAsia="Times New Roman" w:hAnsi="Arial" w:cs="Arial"/>
          <w:sz w:val="18"/>
          <w:szCs w:val="18"/>
        </w:rPr>
        <w:t>€.</w:t>
      </w:r>
    </w:p>
    <w:p w14:paraId="53183092" w14:textId="77777777" w:rsidR="0032374E" w:rsidRDefault="0032374E" w:rsidP="00A165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0AFB6524" w14:textId="32D15377" w:rsidR="0032374E" w:rsidRPr="0032374E" w:rsidRDefault="0032374E" w:rsidP="003237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r w:rsidRPr="0032374E">
        <w:rPr>
          <w:rFonts w:ascii="Arial" w:hAnsi="Arial" w:cs="Arial"/>
          <w:b/>
          <w:bCs/>
          <w:i/>
          <w:iCs/>
        </w:rPr>
        <w:t>Prihodi od koncesijskih odobrenja</w:t>
      </w:r>
      <w:r w:rsidRPr="0032374E">
        <w:rPr>
          <w:rFonts w:ascii="Arial" w:hAnsi="Arial" w:cs="Arial"/>
        </w:rPr>
        <w:t xml:space="preserve"> su ostvareni u iznosu </w:t>
      </w:r>
      <w:r w:rsidR="00245BFE">
        <w:rPr>
          <w:rFonts w:ascii="Arial" w:hAnsi="Arial" w:cs="Arial"/>
        </w:rPr>
        <w:t>2.442,60</w:t>
      </w:r>
      <w:r w:rsidRPr="0032374E">
        <w:rPr>
          <w:rFonts w:ascii="Arial" w:hAnsi="Arial" w:cs="Arial"/>
        </w:rPr>
        <w:t xml:space="preserve"> € (</w:t>
      </w:r>
      <w:r w:rsidR="007679A9">
        <w:rPr>
          <w:rFonts w:ascii="Arial" w:hAnsi="Arial" w:cs="Arial"/>
        </w:rPr>
        <w:t xml:space="preserve">a prethodne godine </w:t>
      </w:r>
      <w:r w:rsidRPr="0032374E">
        <w:rPr>
          <w:rFonts w:ascii="Arial" w:hAnsi="Arial" w:cs="Arial"/>
        </w:rPr>
        <w:t xml:space="preserve">su iznosili </w:t>
      </w:r>
      <w:r w:rsidR="00AE487D">
        <w:rPr>
          <w:rFonts w:ascii="Arial" w:hAnsi="Arial" w:cs="Arial"/>
        </w:rPr>
        <w:t>48.111,71</w:t>
      </w:r>
      <w:r w:rsidRPr="0032374E">
        <w:rPr>
          <w:rFonts w:ascii="Arial" w:hAnsi="Arial" w:cs="Arial"/>
        </w:rPr>
        <w:t xml:space="preserve"> €). Naime, u 2024. godini je sukladno novim odredbama Zakona o pomorskom dobru i morskim lukama (Narodne novine 83/2023) i plana upravljanja pomorskim dobrom proveden natječaj za dodjelu dozvola na pomorskom dobru (koje zamjenjuju koncesijska odobrenja). </w:t>
      </w:r>
      <w:r>
        <w:rPr>
          <w:rFonts w:ascii="Arial" w:eastAsia="Times New Roman" w:hAnsi="Arial" w:cs="Arial"/>
        </w:rPr>
        <w:t>P</w:t>
      </w:r>
      <w:r w:rsidRPr="003A2F86">
        <w:rPr>
          <w:rFonts w:ascii="Arial" w:eastAsia="Times New Roman" w:hAnsi="Arial" w:cs="Arial"/>
        </w:rPr>
        <w:t xml:space="preserve">rema novom Zakonu o pomorskom dobru i morskim lukama (NN 83/2023), umjesto pojma koncesijskih odobrenja uveden je novi način dodjele putem </w:t>
      </w:r>
      <w:r w:rsidRPr="003A2F86">
        <w:rPr>
          <w:rFonts w:ascii="Arial" w:eastAsia="Times New Roman" w:hAnsi="Arial" w:cs="Arial"/>
          <w:b/>
          <w:bCs/>
        </w:rPr>
        <w:t>dozvola na pomorskom dobru</w:t>
      </w:r>
      <w:r w:rsidRPr="003A2F86">
        <w:rPr>
          <w:rFonts w:ascii="Arial" w:eastAsia="Times New Roman" w:hAnsi="Arial" w:cs="Arial"/>
        </w:rPr>
        <w:t xml:space="preserve">, raspored prihoda (70% općina i 30% županija) i njihovo korištenje (za upravljanje pomorskim dobrom i financiranje odnosno sufinanciranje projekata na pomorskom </w:t>
      </w:r>
      <w:r w:rsidRPr="003A2F86">
        <w:rPr>
          <w:rFonts w:ascii="Arial" w:eastAsia="Times New Roman" w:hAnsi="Arial" w:cs="Arial"/>
          <w:color w:val="231F20"/>
        </w:rPr>
        <w:t xml:space="preserve">dobru i za aktivnosti kojima je cilj unaprjeđenje pomorskog dobra u općoj upotrebi, članak 42. spomenutog Zakona). </w:t>
      </w:r>
      <w:r w:rsidRPr="0032374E">
        <w:rPr>
          <w:rFonts w:ascii="Arial" w:hAnsi="Arial" w:cs="Arial"/>
        </w:rPr>
        <w:t>Ovi prihodi se evidentiraju u okviru prihoda od upravnih i administrativnih pristojbi i po posebnim propisima (65), a prihodi od koncesijskih odobrenja su ostvareni na temelju važećih koncesijskih odobrenja iz prethodnih godina.</w:t>
      </w:r>
    </w:p>
    <w:p w14:paraId="6963C9DA" w14:textId="77777777" w:rsidR="0032374E" w:rsidRPr="0032374E" w:rsidRDefault="0032374E" w:rsidP="003237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34439DBE" w14:textId="2017C85F" w:rsidR="0032374E" w:rsidRPr="0032374E" w:rsidRDefault="0032374E" w:rsidP="003237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bookmarkStart w:id="102" w:name="_Hlk160006123"/>
      <w:r w:rsidRPr="0032374E">
        <w:rPr>
          <w:rFonts w:ascii="Arial" w:hAnsi="Arial" w:cs="Arial"/>
          <w:iCs/>
        </w:rPr>
        <w:t xml:space="preserve">U okviru ovih prihoda ostvareni su i prihodi od </w:t>
      </w:r>
      <w:r w:rsidRPr="0032374E">
        <w:rPr>
          <w:rFonts w:ascii="Arial" w:hAnsi="Arial" w:cs="Arial"/>
          <w:b/>
          <w:bCs/>
          <w:i/>
          <w:iCs/>
        </w:rPr>
        <w:t>naknade za korištenje prostora elektrana</w:t>
      </w:r>
      <w:r w:rsidRPr="0032374E">
        <w:rPr>
          <w:rFonts w:ascii="Arial" w:hAnsi="Arial" w:cs="Arial"/>
        </w:rPr>
        <w:t xml:space="preserve"> (račun 6423). Prihodi od </w:t>
      </w:r>
      <w:r w:rsidRPr="0032374E">
        <w:rPr>
          <w:rFonts w:ascii="Arial" w:hAnsi="Arial" w:cs="Arial"/>
          <w:i/>
          <w:iCs/>
        </w:rPr>
        <w:t>naknade za korištenje prostora elektrana</w:t>
      </w:r>
      <w:r w:rsidRPr="0032374E">
        <w:rPr>
          <w:rFonts w:ascii="Arial" w:hAnsi="Arial" w:cs="Arial"/>
        </w:rPr>
        <w:t xml:space="preserve"> (račun 6423) su u 202</w:t>
      </w:r>
      <w:r w:rsidR="00AE487D">
        <w:rPr>
          <w:rFonts w:ascii="Arial" w:hAnsi="Arial" w:cs="Arial"/>
        </w:rPr>
        <w:t>5</w:t>
      </w:r>
      <w:r w:rsidRPr="0032374E">
        <w:rPr>
          <w:rFonts w:ascii="Arial" w:hAnsi="Arial" w:cs="Arial"/>
        </w:rPr>
        <w:t xml:space="preserve">. ostvareni u iznosu </w:t>
      </w:r>
      <w:bookmarkStart w:id="103" w:name="_Hlk195857601"/>
      <w:r w:rsidR="00AE487D">
        <w:rPr>
          <w:rFonts w:ascii="Arial" w:hAnsi="Arial" w:cs="Arial"/>
        </w:rPr>
        <w:t>121.315,14</w:t>
      </w:r>
      <w:r w:rsidRPr="0032374E">
        <w:rPr>
          <w:rFonts w:ascii="Arial" w:hAnsi="Arial" w:cs="Arial"/>
        </w:rPr>
        <w:t xml:space="preserve"> </w:t>
      </w:r>
      <w:bookmarkEnd w:id="103"/>
      <w:r w:rsidRPr="0032374E">
        <w:rPr>
          <w:rFonts w:ascii="Arial" w:hAnsi="Arial" w:cs="Arial"/>
        </w:rPr>
        <w:t xml:space="preserve">€ što je za </w:t>
      </w:r>
      <w:r w:rsidR="006F4D4B">
        <w:rPr>
          <w:rFonts w:ascii="Arial" w:hAnsi="Arial" w:cs="Arial"/>
        </w:rPr>
        <w:t>16.224,57</w:t>
      </w:r>
      <w:r w:rsidRPr="0032374E">
        <w:rPr>
          <w:rFonts w:ascii="Arial" w:hAnsi="Arial" w:cs="Arial"/>
        </w:rPr>
        <w:t xml:space="preserve"> € ili </w:t>
      </w:r>
      <w:r w:rsidR="006F4D4B">
        <w:rPr>
          <w:rFonts w:ascii="Arial" w:hAnsi="Arial" w:cs="Arial"/>
        </w:rPr>
        <w:t>11,8</w:t>
      </w:r>
      <w:r w:rsidRPr="0032374E">
        <w:rPr>
          <w:rFonts w:ascii="Arial" w:hAnsi="Arial" w:cs="Arial"/>
        </w:rPr>
        <w:t xml:space="preserve">% </w:t>
      </w:r>
      <w:r w:rsidR="006F4D4B">
        <w:rPr>
          <w:rFonts w:ascii="Arial" w:hAnsi="Arial" w:cs="Arial"/>
        </w:rPr>
        <w:t>manje</w:t>
      </w:r>
      <w:r w:rsidRPr="0032374E">
        <w:rPr>
          <w:rFonts w:ascii="Arial" w:hAnsi="Arial" w:cs="Arial"/>
        </w:rPr>
        <w:t xml:space="preserve"> nego prethodne godine. </w:t>
      </w:r>
    </w:p>
    <w:bookmarkEnd w:id="102"/>
    <w:p w14:paraId="3A674198" w14:textId="77777777" w:rsidR="0032374E" w:rsidRDefault="0032374E" w:rsidP="0032374E">
      <w:pPr>
        <w:spacing w:after="0" w:line="240" w:lineRule="auto"/>
        <w:jc w:val="both"/>
        <w:rPr>
          <w:rFonts w:ascii="Arial" w:eastAsia="Times New Roman" w:hAnsi="Arial" w:cs="Arial"/>
          <w:sz w:val="18"/>
          <w:szCs w:val="18"/>
        </w:rPr>
      </w:pPr>
    </w:p>
    <w:p w14:paraId="686BAD14" w14:textId="20E84BD1" w:rsidR="00A87A78" w:rsidRPr="00A87A78" w:rsidRDefault="00A87A78" w:rsidP="00D0351C">
      <w:pPr>
        <w:spacing w:after="0" w:line="240" w:lineRule="auto"/>
        <w:ind w:left="567"/>
        <w:jc w:val="both"/>
        <w:rPr>
          <w:rFonts w:ascii="Arial" w:eastAsia="Times New Roman" w:hAnsi="Arial" w:cs="Arial"/>
          <w:sz w:val="18"/>
          <w:szCs w:val="18"/>
        </w:rPr>
      </w:pPr>
      <w:r w:rsidRPr="00A87A78">
        <w:rPr>
          <w:rFonts w:ascii="Arial" w:eastAsia="Times New Roman" w:hAnsi="Arial" w:cs="Arial"/>
          <w:sz w:val="18"/>
          <w:szCs w:val="18"/>
        </w:rPr>
        <w:t xml:space="preserve">Elektrana je nakon sanacije od požara iz 2019., ponovno puštena u rad u ožujku 2020. Naknada se plaća prema Odluci o visini naknade za korištenje prostora koji koriste proizvodna postrojenja za proizvodnju električne energije (NN 24/95, 74/98, 99/98,84/13, 101/13). </w:t>
      </w:r>
      <w:bookmarkStart w:id="104" w:name="_Hlk145931447"/>
      <w:r w:rsidRPr="00A87A78">
        <w:rPr>
          <w:rFonts w:ascii="Arial" w:eastAsia="Times New Roman" w:hAnsi="Arial" w:cs="Arial"/>
          <w:sz w:val="18"/>
          <w:szCs w:val="18"/>
        </w:rPr>
        <w:t>Prihodi od naknade za korištenje prostora elektrana (u okviru računa 6423) su u 2014. bili ostvareni u iznosu 140.920,17 €, u 2015. u iznosu 77.872,01 €, u 2016. u iznosu 1.237.458,42 € jer je na temelju postignute nagodbe isplaćena razlika manjih uplata iz ranijih godina u iznosu 995.421,06 €, u 2017. u iznosu 158.633,51 €, u 2018. u iznosu 279.387,94 €, u 2019. u iznosu 33.960,81 € (elektrana bila zatvorena od početka siječnja 2019.), u 2020. su iznosili 126.370,62 €, u 2021. u iznosu 216.942,42 €, dok su u 2022. ovi prihodi ostvareni u iznosu 217.510,37 €, u 2023. godini u iznosu 235.579,13 €</w:t>
      </w:r>
      <w:r w:rsidR="00F73AD0">
        <w:rPr>
          <w:rFonts w:ascii="Arial" w:eastAsia="Times New Roman" w:hAnsi="Arial" w:cs="Arial"/>
          <w:sz w:val="18"/>
          <w:szCs w:val="18"/>
        </w:rPr>
        <w:t xml:space="preserve">, a u 2024. godini </w:t>
      </w:r>
      <w:r w:rsidR="00D50D9C">
        <w:rPr>
          <w:rFonts w:ascii="Arial" w:eastAsia="Times New Roman" w:hAnsi="Arial" w:cs="Arial"/>
          <w:sz w:val="18"/>
          <w:szCs w:val="18"/>
        </w:rPr>
        <w:t>245.698,70 €.</w:t>
      </w:r>
    </w:p>
    <w:bookmarkEnd w:id="104"/>
    <w:p w14:paraId="21074AEE" w14:textId="77777777" w:rsidR="0032374E" w:rsidRPr="0032374E" w:rsidRDefault="0032374E" w:rsidP="003237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2FD25C30" w14:textId="3EA9D798" w:rsidR="0032374E" w:rsidRPr="0032374E" w:rsidRDefault="0032374E" w:rsidP="003237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bookmarkStart w:id="105" w:name="_Hlk160006128"/>
      <w:r w:rsidRPr="0032374E">
        <w:rPr>
          <w:rFonts w:ascii="Arial" w:hAnsi="Arial" w:cs="Arial"/>
        </w:rPr>
        <w:t xml:space="preserve">Prihodi od zakupa poslovnih prostora (6422) su u tekućoj godini ostvareni u iznosu </w:t>
      </w:r>
      <w:r w:rsidR="00D50D9C">
        <w:rPr>
          <w:rFonts w:ascii="Arial" w:hAnsi="Arial" w:cs="Arial"/>
        </w:rPr>
        <w:t>42.916,26</w:t>
      </w:r>
      <w:r w:rsidRPr="0032374E">
        <w:rPr>
          <w:rFonts w:ascii="Arial" w:hAnsi="Arial" w:cs="Arial"/>
        </w:rPr>
        <w:t xml:space="preserve"> € što je za </w:t>
      </w:r>
      <w:r w:rsidR="00D50D9C">
        <w:rPr>
          <w:rFonts w:ascii="Arial" w:hAnsi="Arial" w:cs="Arial"/>
        </w:rPr>
        <w:t>7.738,69</w:t>
      </w:r>
      <w:r w:rsidRPr="0032374E">
        <w:rPr>
          <w:rFonts w:ascii="Arial" w:hAnsi="Arial" w:cs="Arial"/>
        </w:rPr>
        <w:t xml:space="preserve"> € ili </w:t>
      </w:r>
      <w:r w:rsidR="00B27745">
        <w:rPr>
          <w:rFonts w:ascii="Arial" w:hAnsi="Arial" w:cs="Arial"/>
        </w:rPr>
        <w:t>15,3</w:t>
      </w:r>
      <w:r w:rsidRPr="0032374E">
        <w:rPr>
          <w:rFonts w:ascii="Arial" w:hAnsi="Arial" w:cs="Arial"/>
        </w:rPr>
        <w:t xml:space="preserve">% </w:t>
      </w:r>
      <w:r w:rsidR="00B27745">
        <w:rPr>
          <w:rFonts w:ascii="Arial" w:hAnsi="Arial" w:cs="Arial"/>
        </w:rPr>
        <w:t>manje</w:t>
      </w:r>
      <w:r w:rsidRPr="0032374E">
        <w:rPr>
          <w:rFonts w:ascii="Arial" w:hAnsi="Arial" w:cs="Arial"/>
        </w:rPr>
        <w:t xml:space="preserve"> nego u izvještajnom razdoblju prethodne godine kada su iznosili </w:t>
      </w:r>
      <w:r w:rsidR="00B27745">
        <w:rPr>
          <w:rFonts w:ascii="Arial" w:hAnsi="Arial" w:cs="Arial"/>
        </w:rPr>
        <w:t>50.654,95</w:t>
      </w:r>
      <w:r w:rsidRPr="0032374E">
        <w:rPr>
          <w:rFonts w:ascii="Arial" w:hAnsi="Arial" w:cs="Arial"/>
        </w:rPr>
        <w:t xml:space="preserve"> €. </w:t>
      </w:r>
    </w:p>
    <w:p w14:paraId="34275B1B" w14:textId="77777777" w:rsidR="0032374E" w:rsidRPr="0032374E" w:rsidRDefault="0032374E" w:rsidP="003237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64DEE117" w14:textId="6120EA1D" w:rsidR="0032374E" w:rsidRPr="0032374E" w:rsidRDefault="00B27745" w:rsidP="003237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r>
        <w:rPr>
          <w:rFonts w:ascii="Arial" w:hAnsi="Arial" w:cs="Arial"/>
          <w:b/>
          <w:bCs/>
          <w:i/>
          <w:iCs/>
        </w:rPr>
        <w:t>P</w:t>
      </w:r>
      <w:r w:rsidR="0032374E" w:rsidRPr="0032374E">
        <w:rPr>
          <w:rFonts w:ascii="Arial" w:hAnsi="Arial" w:cs="Arial"/>
          <w:b/>
          <w:bCs/>
          <w:i/>
          <w:iCs/>
        </w:rPr>
        <w:t>rihodi od naknade za koncesiju na pomorskom dobru (raspored)</w:t>
      </w:r>
      <w:r w:rsidR="0032374E" w:rsidRPr="0032374E">
        <w:rPr>
          <w:rFonts w:ascii="Arial" w:hAnsi="Arial" w:cs="Arial"/>
          <w:iCs/>
        </w:rPr>
        <w:t xml:space="preserve"> </w:t>
      </w:r>
      <w:r w:rsidR="001F0877">
        <w:rPr>
          <w:rFonts w:ascii="Arial" w:hAnsi="Arial" w:cs="Arial"/>
          <w:iCs/>
        </w:rPr>
        <w:t>u tekućoj godini iznose 4.194,21 €, a u izvještajnom razdoblju prethodne godine su iznosili 6.639,15 €</w:t>
      </w:r>
      <w:r w:rsidR="0032374E" w:rsidRPr="0032374E">
        <w:rPr>
          <w:rFonts w:ascii="Arial" w:hAnsi="Arial" w:cs="Arial"/>
          <w:iCs/>
        </w:rPr>
        <w:t xml:space="preserve">. </w:t>
      </w:r>
    </w:p>
    <w:bookmarkEnd w:id="105"/>
    <w:p w14:paraId="6614E309" w14:textId="77777777" w:rsidR="0032374E" w:rsidRDefault="0032374E" w:rsidP="00A165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2B5EA9A1" w14:textId="3815CA6A" w:rsidR="00A16565" w:rsidRPr="003A2F86" w:rsidRDefault="00A16565" w:rsidP="00A165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106" w:name="_Hlk2529204"/>
      <w:r w:rsidRPr="003A2F86">
        <w:rPr>
          <w:rFonts w:ascii="Arial" w:eastAsia="Times New Roman" w:hAnsi="Arial" w:cs="Arial"/>
        </w:rPr>
        <w:t>U 202</w:t>
      </w:r>
      <w:r w:rsidR="00B275B6">
        <w:rPr>
          <w:rFonts w:ascii="Arial" w:eastAsia="Times New Roman" w:hAnsi="Arial" w:cs="Arial"/>
        </w:rPr>
        <w:t>5</w:t>
      </w:r>
      <w:r w:rsidRPr="003A2F86">
        <w:rPr>
          <w:rFonts w:ascii="Arial" w:eastAsia="Times New Roman" w:hAnsi="Arial" w:cs="Arial"/>
        </w:rPr>
        <w:t xml:space="preserve">. su ostvareni </w:t>
      </w:r>
      <w:r w:rsidRPr="00A87A78">
        <w:rPr>
          <w:rFonts w:ascii="Arial" w:eastAsia="Times New Roman" w:hAnsi="Arial" w:cs="Arial"/>
          <w:b/>
          <w:bCs/>
          <w:i/>
          <w:iCs/>
        </w:rPr>
        <w:t>prihodi od Hrvatskog telekoma</w:t>
      </w:r>
      <w:r w:rsidRPr="003A2F86">
        <w:rPr>
          <w:rFonts w:ascii="Arial" w:eastAsia="Times New Roman" w:hAnsi="Arial" w:cs="Arial"/>
        </w:rPr>
        <w:t xml:space="preserve"> u iznosu 61.285,88 € (kao i prethodne godine) na ime godišnje naknade za pravo puta na nekretninama na temelju dva rješenja (plaćanje naknade za elektroničko komunikacijsku mrežu, elektroničku komunikacijsku infrastrukturu i drugu opremu izgrađenu na nekretninama u vlasništvu Općine sukladno Zakonu o elektroničkim komunikacijama i Pravilniku o potvrdi i naknadi za pravo puta).</w:t>
      </w:r>
      <w:r w:rsidR="00A74C37">
        <w:rPr>
          <w:rFonts w:ascii="Arial" w:eastAsia="Times New Roman" w:hAnsi="Arial" w:cs="Arial"/>
        </w:rPr>
        <w:t xml:space="preserve"> Pored navedenog ostvareni su prihodi od Hrvatskog telekoma</w:t>
      </w:r>
      <w:r w:rsidR="00954804">
        <w:rPr>
          <w:rFonts w:ascii="Arial" w:eastAsia="Times New Roman" w:hAnsi="Arial" w:cs="Arial"/>
        </w:rPr>
        <w:t xml:space="preserve"> za pravo služnosti 15,93 €.</w:t>
      </w:r>
    </w:p>
    <w:p w14:paraId="36AB7179" w14:textId="77777777" w:rsidR="0032374E" w:rsidRDefault="0032374E" w:rsidP="00A165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18C3145D" w14:textId="654E261C" w:rsidR="00A16565" w:rsidRPr="003A2F86" w:rsidRDefault="00D0351C" w:rsidP="00A165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18"/>
          <w:szCs w:val="18"/>
        </w:rPr>
        <w:t>Prihod od Hrvatskog telekoma</w:t>
      </w:r>
      <w:r w:rsidR="00A16565" w:rsidRPr="003A2F86">
        <w:rPr>
          <w:rFonts w:ascii="Arial" w:eastAsia="Times New Roman" w:hAnsi="Arial" w:cs="Arial"/>
          <w:sz w:val="18"/>
          <w:szCs w:val="18"/>
        </w:rPr>
        <w:t xml:space="preserve"> 32.342,56 € (243.685,02 kn) je ostvaren prema rješenju iz veljače 2019. godine kojim su obuhvaćene nekretnine na kojima općina nema upisano vlasništvo u zemljišnim knjigama (putevi i slično). </w:t>
      </w:r>
      <w:r>
        <w:rPr>
          <w:rFonts w:ascii="Arial" w:eastAsia="Times New Roman" w:hAnsi="Arial" w:cs="Arial"/>
          <w:sz w:val="18"/>
          <w:szCs w:val="18"/>
        </w:rPr>
        <w:t>Prihod od Hrvatskog telekoma</w:t>
      </w:r>
      <w:r w:rsidRPr="003A2F86">
        <w:rPr>
          <w:rFonts w:ascii="Arial" w:eastAsia="Times New Roman" w:hAnsi="Arial" w:cs="Arial"/>
          <w:sz w:val="18"/>
          <w:szCs w:val="18"/>
        </w:rPr>
        <w:t xml:space="preserve"> </w:t>
      </w:r>
      <w:r w:rsidR="00A16565" w:rsidRPr="003A2F86">
        <w:rPr>
          <w:rFonts w:ascii="Arial" w:eastAsia="Times New Roman" w:hAnsi="Arial" w:cs="Arial"/>
          <w:sz w:val="18"/>
          <w:szCs w:val="18"/>
        </w:rPr>
        <w:t>28.943,32 € (218.073,43 kn) je ostvaren na temelju rješenja iz srpnja 2020. Naime, u srpnju 2020. godine HAKOM je ispostavio rješenje kojim zamjenjuje djelomično rješenje iz siječnja 2018. Novim rješenjem iz srpnja 2020. se utvrđuje pravo Općine na naknadu od 24. siječnja 2019. umjesto od 7.11.2017. kako je djelomičnim rješenjem bilo utvrđeno.</w:t>
      </w:r>
    </w:p>
    <w:bookmarkEnd w:id="106"/>
    <w:p w14:paraId="29B790B6" w14:textId="77777777" w:rsidR="00A16565" w:rsidRPr="003A2F86" w:rsidRDefault="00A16565" w:rsidP="00A165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356C8360" w14:textId="3D0FC2A4" w:rsidR="00BC58E1" w:rsidRPr="003A2F86" w:rsidRDefault="00BC58E1" w:rsidP="00BC58E1">
      <w:pPr>
        <w:spacing w:after="0" w:line="240" w:lineRule="auto"/>
        <w:jc w:val="both"/>
        <w:rPr>
          <w:rFonts w:ascii="Arial" w:eastAsia="Times New Roman" w:hAnsi="Arial" w:cs="Arial"/>
          <w:iCs/>
        </w:rPr>
      </w:pPr>
      <w:bookmarkStart w:id="107" w:name="_Hlk2529251"/>
      <w:bookmarkEnd w:id="98"/>
      <w:r w:rsidRPr="00A87A78">
        <w:rPr>
          <w:rFonts w:ascii="Arial" w:eastAsia="Times New Roman" w:hAnsi="Arial" w:cs="Arial"/>
          <w:b/>
          <w:bCs/>
          <w:i/>
        </w:rPr>
        <w:t>Naknada od naplate lučkih pristojbi</w:t>
      </w:r>
      <w:r w:rsidRPr="003A2F86">
        <w:rPr>
          <w:rFonts w:ascii="Arial" w:eastAsia="Times New Roman" w:hAnsi="Arial" w:cs="Arial"/>
          <w:iCs/>
        </w:rPr>
        <w:t xml:space="preserve"> na području Općine nije ostvarena. U 2019. godini je bila ostvarena ova naknada u iznosu </w:t>
      </w:r>
      <w:r w:rsidR="0065429F" w:rsidRPr="003A2F86">
        <w:rPr>
          <w:rFonts w:ascii="Arial" w:eastAsia="Times New Roman" w:hAnsi="Arial" w:cs="Arial"/>
          <w:iCs/>
        </w:rPr>
        <w:t xml:space="preserve">41.033,74 € </w:t>
      </w:r>
      <w:r w:rsidRPr="003A2F86">
        <w:rPr>
          <w:rFonts w:ascii="Arial" w:eastAsia="Times New Roman" w:hAnsi="Arial" w:cs="Arial"/>
          <w:iCs/>
        </w:rPr>
        <w:t>(na temelju prihoda lučke uprave iz 2017., prema odredbama Pravilnika o kriterijima za određivanje namjene pojedinog dijela luke otvorene za javni promet županijskog i lokalnog značaja, način plaćanja veza, uvjete korištenja, te određivanja maksimalne visine naknade i raspodjele prihoda - Narodne novine 94/2007, 79/2008 i 114/2012).</w:t>
      </w:r>
      <w:r w:rsidR="00821CC0" w:rsidRPr="003A2F86">
        <w:rPr>
          <w:rFonts w:ascii="Arial" w:eastAsia="Times New Roman" w:hAnsi="Arial" w:cs="Arial"/>
          <w:iCs/>
        </w:rPr>
        <w:t xml:space="preserve"> Lučka uprava je, uz sufinanciranje nadležnog Ministarstva, </w:t>
      </w:r>
      <w:r w:rsidR="00A74C37">
        <w:rPr>
          <w:rFonts w:ascii="Arial" w:eastAsia="Times New Roman" w:hAnsi="Arial" w:cs="Arial"/>
          <w:iCs/>
        </w:rPr>
        <w:t>provodila</w:t>
      </w:r>
      <w:r w:rsidR="00821CC0" w:rsidRPr="003A2F86">
        <w:rPr>
          <w:rFonts w:ascii="Arial" w:eastAsia="Times New Roman" w:hAnsi="Arial" w:cs="Arial"/>
          <w:iCs/>
        </w:rPr>
        <w:t xml:space="preserve"> radove uređenja rive u Cavtatu</w:t>
      </w:r>
      <w:r w:rsidR="00A74C37">
        <w:rPr>
          <w:rFonts w:ascii="Arial" w:eastAsia="Times New Roman" w:hAnsi="Arial" w:cs="Arial"/>
          <w:iCs/>
        </w:rPr>
        <w:t xml:space="preserve"> u 2022. i 2023. godini</w:t>
      </w:r>
      <w:r w:rsidR="0065429F" w:rsidRPr="003A2F86">
        <w:rPr>
          <w:rFonts w:ascii="Arial" w:eastAsia="Times New Roman" w:hAnsi="Arial" w:cs="Arial"/>
          <w:iCs/>
        </w:rPr>
        <w:t xml:space="preserve">. </w:t>
      </w:r>
    </w:p>
    <w:p w14:paraId="1EF8D836" w14:textId="77777777" w:rsidR="00BC58E1" w:rsidRPr="003A2F86" w:rsidRDefault="00BC58E1" w:rsidP="00D0351C">
      <w:pPr>
        <w:spacing w:after="0" w:line="240" w:lineRule="auto"/>
        <w:ind w:left="567"/>
        <w:jc w:val="both"/>
        <w:rPr>
          <w:rFonts w:ascii="Arial" w:eastAsia="Times New Roman" w:hAnsi="Arial" w:cs="Arial"/>
          <w:iCs/>
        </w:rPr>
      </w:pPr>
    </w:p>
    <w:bookmarkEnd w:id="107"/>
    <w:p w14:paraId="1614E640" w14:textId="77777777" w:rsidR="00D0351C" w:rsidRDefault="00471B9E" w:rsidP="00D035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3A2F86">
        <w:rPr>
          <w:rFonts w:ascii="Arial" w:eastAsia="Times New Roman" w:hAnsi="Arial" w:cs="Arial"/>
          <w:sz w:val="18"/>
          <w:szCs w:val="18"/>
        </w:rPr>
        <w:t>U okviru ovih prihoda (</w:t>
      </w:r>
      <w:r w:rsidRPr="003A2F86">
        <w:rPr>
          <w:rFonts w:ascii="Arial" w:eastAsia="Times New Roman" w:hAnsi="Arial" w:cs="Arial"/>
          <w:b/>
          <w:bCs/>
          <w:sz w:val="18"/>
          <w:szCs w:val="18"/>
        </w:rPr>
        <w:t>642</w:t>
      </w:r>
      <w:r w:rsidRPr="003A2F86">
        <w:rPr>
          <w:rFonts w:ascii="Arial" w:eastAsia="Times New Roman" w:hAnsi="Arial" w:cs="Arial"/>
          <w:sz w:val="18"/>
          <w:szCs w:val="18"/>
        </w:rPr>
        <w:t xml:space="preserve">), </w:t>
      </w:r>
      <w:r w:rsidRPr="003A2F86">
        <w:rPr>
          <w:rFonts w:ascii="Arial" w:eastAsia="Times New Roman" w:hAnsi="Arial" w:cs="Arial"/>
          <w:b/>
          <w:bCs/>
          <w:sz w:val="18"/>
          <w:szCs w:val="18"/>
          <w:u w:val="single"/>
        </w:rPr>
        <w:t>do konca 2017.</w:t>
      </w:r>
      <w:r w:rsidRPr="003A2F86">
        <w:rPr>
          <w:rFonts w:ascii="Arial" w:eastAsia="Times New Roman" w:hAnsi="Arial" w:cs="Arial"/>
          <w:sz w:val="18"/>
          <w:szCs w:val="18"/>
        </w:rPr>
        <w:t xml:space="preserve"> su bili značajni i </w:t>
      </w:r>
      <w:r w:rsidRPr="003A2F86">
        <w:rPr>
          <w:rFonts w:ascii="Arial" w:eastAsia="Times New Roman" w:hAnsi="Arial" w:cs="Arial"/>
          <w:b/>
          <w:i/>
          <w:sz w:val="18"/>
          <w:szCs w:val="18"/>
        </w:rPr>
        <w:t>prihodi od godišnjih na</w:t>
      </w:r>
      <w:r w:rsidR="00A8623C" w:rsidRPr="003A2F86">
        <w:rPr>
          <w:rFonts w:ascii="Arial" w:eastAsia="Times New Roman" w:hAnsi="Arial" w:cs="Arial"/>
          <w:b/>
          <w:i/>
          <w:sz w:val="18"/>
          <w:szCs w:val="18"/>
        </w:rPr>
        <w:t>kn</w:t>
      </w:r>
      <w:r w:rsidRPr="003A2F86">
        <w:rPr>
          <w:rFonts w:ascii="Arial" w:eastAsia="Times New Roman" w:hAnsi="Arial" w:cs="Arial"/>
          <w:b/>
          <w:i/>
          <w:sz w:val="18"/>
          <w:szCs w:val="18"/>
        </w:rPr>
        <w:t>ada za autotaxi prijevoz</w:t>
      </w:r>
      <w:r w:rsidRPr="003A2F86">
        <w:rPr>
          <w:rFonts w:ascii="Arial" w:eastAsia="Times New Roman" w:hAnsi="Arial" w:cs="Arial"/>
          <w:sz w:val="18"/>
          <w:szCs w:val="18"/>
        </w:rPr>
        <w:t xml:space="preserve"> (raniji propisi) u iznosu (2017. godine </w:t>
      </w:r>
      <w:r w:rsidR="0065429F" w:rsidRPr="003A2F86">
        <w:rPr>
          <w:rFonts w:ascii="Arial" w:eastAsia="Times New Roman" w:hAnsi="Arial" w:cs="Arial"/>
          <w:sz w:val="18"/>
          <w:szCs w:val="18"/>
        </w:rPr>
        <w:t>64.370,56 €</w:t>
      </w:r>
      <w:r w:rsidRPr="003A2F86">
        <w:rPr>
          <w:rFonts w:ascii="Arial" w:eastAsia="Times New Roman" w:hAnsi="Arial" w:cs="Arial"/>
          <w:sz w:val="18"/>
          <w:szCs w:val="18"/>
        </w:rPr>
        <w:t>), ali od 2018. godine ovih prihoda nema</w:t>
      </w:r>
      <w:r w:rsidR="00D0351C">
        <w:rPr>
          <w:rFonts w:ascii="Arial" w:eastAsia="Times New Roman" w:hAnsi="Arial" w:cs="Arial"/>
          <w:sz w:val="18"/>
          <w:szCs w:val="18"/>
        </w:rPr>
        <w:t>.</w:t>
      </w:r>
    </w:p>
    <w:p w14:paraId="1F5A4A69" w14:textId="77777777" w:rsidR="00D0351C" w:rsidRDefault="00D0351C" w:rsidP="00D035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79AC1D48" w14:textId="421042CD" w:rsidR="00481FB7" w:rsidRPr="003A2F86" w:rsidRDefault="00471B9E" w:rsidP="00D035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3A2F86">
        <w:rPr>
          <w:rFonts w:ascii="Arial" w:eastAsia="Times New Roman" w:hAnsi="Arial" w:cs="Arial"/>
          <w:sz w:val="18"/>
          <w:szCs w:val="18"/>
        </w:rPr>
        <w:t>Na</w:t>
      </w:r>
      <w:r w:rsidR="00A8623C" w:rsidRPr="003A2F86">
        <w:rPr>
          <w:rFonts w:ascii="Arial" w:eastAsia="Times New Roman" w:hAnsi="Arial" w:cs="Arial"/>
          <w:sz w:val="18"/>
          <w:szCs w:val="18"/>
        </w:rPr>
        <w:t>kn</w:t>
      </w:r>
      <w:r w:rsidRPr="003A2F86">
        <w:rPr>
          <w:rFonts w:ascii="Arial" w:eastAsia="Times New Roman" w:hAnsi="Arial" w:cs="Arial"/>
          <w:sz w:val="18"/>
          <w:szCs w:val="18"/>
        </w:rPr>
        <w:t>ada za izdavanje dozvole za obavljanje autotaksi prijevoza na području Općine prema novim propisima (Zakon o prijevozu u cestovnom prometu NN 41/18 i Odluka Općinskog vijeća o visini na</w:t>
      </w:r>
      <w:r w:rsidR="00A8623C" w:rsidRPr="003A2F86">
        <w:rPr>
          <w:rFonts w:ascii="Arial" w:eastAsia="Times New Roman" w:hAnsi="Arial" w:cs="Arial"/>
          <w:sz w:val="18"/>
          <w:szCs w:val="18"/>
        </w:rPr>
        <w:t>kn</w:t>
      </w:r>
      <w:r w:rsidRPr="003A2F86">
        <w:rPr>
          <w:rFonts w:ascii="Arial" w:eastAsia="Times New Roman" w:hAnsi="Arial" w:cs="Arial"/>
          <w:sz w:val="18"/>
          <w:szCs w:val="18"/>
        </w:rPr>
        <w:t xml:space="preserve">ade iz rujna 2018. (odluka objavljena u </w:t>
      </w:r>
      <w:r w:rsidR="00954804">
        <w:rPr>
          <w:rFonts w:ascii="Arial" w:eastAsia="Times New Roman" w:hAnsi="Arial" w:cs="Arial"/>
          <w:sz w:val="18"/>
          <w:szCs w:val="18"/>
        </w:rPr>
        <w:t>Službenom glasniku</w:t>
      </w:r>
      <w:r w:rsidRPr="003A2F86">
        <w:rPr>
          <w:rFonts w:ascii="Arial" w:eastAsia="Times New Roman" w:hAnsi="Arial" w:cs="Arial"/>
          <w:sz w:val="18"/>
          <w:szCs w:val="18"/>
        </w:rPr>
        <w:t xml:space="preserve"> Općine Konavle broj 9/18) </w:t>
      </w:r>
      <w:r w:rsidRPr="003A2F86">
        <w:rPr>
          <w:rFonts w:ascii="Arial" w:eastAsia="Times New Roman" w:hAnsi="Arial" w:cs="Arial"/>
          <w:sz w:val="18"/>
          <w:szCs w:val="18"/>
          <w:u w:val="single"/>
        </w:rPr>
        <w:t xml:space="preserve">iznosi </w:t>
      </w:r>
      <w:r w:rsidR="0065429F" w:rsidRPr="003A2F86">
        <w:rPr>
          <w:rFonts w:ascii="Arial" w:eastAsia="Times New Roman" w:hAnsi="Arial" w:cs="Arial"/>
          <w:sz w:val="18"/>
          <w:szCs w:val="18"/>
          <w:u w:val="single"/>
        </w:rPr>
        <w:t>66,36 € (</w:t>
      </w:r>
      <w:r w:rsidRPr="003A2F86">
        <w:rPr>
          <w:rFonts w:ascii="Arial" w:eastAsia="Times New Roman" w:hAnsi="Arial" w:cs="Arial"/>
          <w:sz w:val="18"/>
          <w:szCs w:val="18"/>
          <w:u w:val="single"/>
        </w:rPr>
        <w:t xml:space="preserve">500 </w:t>
      </w:r>
      <w:r w:rsidR="00A8623C" w:rsidRPr="003A2F86">
        <w:rPr>
          <w:rFonts w:ascii="Arial" w:eastAsia="Times New Roman" w:hAnsi="Arial" w:cs="Arial"/>
          <w:sz w:val="18"/>
          <w:szCs w:val="18"/>
          <w:u w:val="single"/>
        </w:rPr>
        <w:t>kn</w:t>
      </w:r>
      <w:r w:rsidR="0065429F" w:rsidRPr="003A2F86">
        <w:rPr>
          <w:rFonts w:ascii="Arial" w:eastAsia="Times New Roman" w:hAnsi="Arial" w:cs="Arial"/>
          <w:sz w:val="18"/>
          <w:szCs w:val="18"/>
          <w:u w:val="single"/>
        </w:rPr>
        <w:t>)</w:t>
      </w:r>
      <w:r w:rsidRPr="003A2F86">
        <w:rPr>
          <w:rFonts w:ascii="Arial" w:eastAsia="Times New Roman" w:hAnsi="Arial" w:cs="Arial"/>
          <w:sz w:val="18"/>
          <w:szCs w:val="18"/>
          <w:u w:val="single"/>
        </w:rPr>
        <w:t xml:space="preserve"> i vrijedi pet godina</w:t>
      </w:r>
      <w:r w:rsidRPr="003A2F86">
        <w:rPr>
          <w:rFonts w:ascii="Arial" w:eastAsia="Times New Roman" w:hAnsi="Arial" w:cs="Arial"/>
          <w:sz w:val="18"/>
          <w:szCs w:val="18"/>
        </w:rPr>
        <w:t xml:space="preserve">. Ova dozvola se izdaje za prijevoznika (isti može imati više vozila kojima obavlja prijevoz) i nije prenosiva, međutim nije moguće znati sa koliko vozila jedan prijevoznik obavlja autotaksi prijevoz na području Općine. </w:t>
      </w:r>
    </w:p>
    <w:p w14:paraId="5052607B" w14:textId="77777777" w:rsidR="00481FB7" w:rsidRPr="003A2F86" w:rsidRDefault="00481FB7" w:rsidP="00471B9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5B71144" w14:textId="040CC9F3" w:rsidR="004A29A1" w:rsidRPr="003A2F86" w:rsidRDefault="00481FB7" w:rsidP="00471B9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3A2F86">
        <w:rPr>
          <w:rFonts w:ascii="Arial" w:eastAsia="Times New Roman" w:hAnsi="Arial" w:cs="Arial"/>
          <w:sz w:val="18"/>
          <w:szCs w:val="18"/>
        </w:rPr>
        <w:t>Naknada za izdavanje dozvole naplaćuje se ovisno o najvećem broju vozila kojima se planira obavljati autotaksi prijevoz putnika, i to tako da se za jedno do dva vozila naplaćuje iznos kao za jednu dozvolu, za tri do deset vozila naplaćuje se iznos kao za šest dozvola, za 11 do 50 vozila naplaćuje se iznos kao za 30 dozvola, za 51 do 100 vozila naplaćuje se iznos kao za 70 dozvola, a za više od 100 vozila naplaćuje se iznos kao za 100 dozvola.</w:t>
      </w:r>
    </w:p>
    <w:p w14:paraId="348F2177" w14:textId="77777777" w:rsidR="00481FB7" w:rsidRPr="003A2F86" w:rsidRDefault="00481FB7" w:rsidP="00471B9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526CD88E" w14:textId="22F05964" w:rsidR="00471B9E" w:rsidRPr="003A2F86" w:rsidRDefault="00471B9E" w:rsidP="00471B9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3A2F86">
        <w:rPr>
          <w:rFonts w:ascii="Arial" w:eastAsia="Times New Roman" w:hAnsi="Arial" w:cs="Arial"/>
          <w:sz w:val="18"/>
          <w:szCs w:val="18"/>
        </w:rPr>
        <w:lastRenderedPageBreak/>
        <w:t xml:space="preserve">Prihodi </w:t>
      </w:r>
      <w:r w:rsidRPr="003A2F86">
        <w:rPr>
          <w:rFonts w:ascii="Arial" w:eastAsia="Times New Roman" w:hAnsi="Arial" w:cs="Arial"/>
          <w:b/>
          <w:bCs/>
          <w:sz w:val="18"/>
          <w:szCs w:val="18"/>
        </w:rPr>
        <w:t>od novih na</w:t>
      </w:r>
      <w:r w:rsidR="00A8623C" w:rsidRPr="003A2F86">
        <w:rPr>
          <w:rFonts w:ascii="Arial" w:eastAsia="Times New Roman" w:hAnsi="Arial" w:cs="Arial"/>
          <w:b/>
          <w:bCs/>
          <w:sz w:val="18"/>
          <w:szCs w:val="18"/>
        </w:rPr>
        <w:t>kn</w:t>
      </w:r>
      <w:r w:rsidRPr="003A2F86">
        <w:rPr>
          <w:rFonts w:ascii="Arial" w:eastAsia="Times New Roman" w:hAnsi="Arial" w:cs="Arial"/>
          <w:b/>
          <w:bCs/>
          <w:sz w:val="18"/>
          <w:szCs w:val="18"/>
        </w:rPr>
        <w:t>ada za obavljanje prijevoza</w:t>
      </w:r>
      <w:r w:rsidRPr="003A2F86">
        <w:rPr>
          <w:rFonts w:ascii="Arial" w:eastAsia="Times New Roman" w:hAnsi="Arial" w:cs="Arial"/>
          <w:sz w:val="18"/>
          <w:szCs w:val="18"/>
        </w:rPr>
        <w:t xml:space="preserve"> se iskazuju na računima prihoda po posebnim propisima (</w:t>
      </w:r>
      <w:r w:rsidRPr="003A2F86">
        <w:rPr>
          <w:rFonts w:ascii="Arial" w:eastAsia="Times New Roman" w:hAnsi="Arial" w:cs="Arial"/>
          <w:b/>
          <w:bCs/>
          <w:sz w:val="18"/>
          <w:szCs w:val="18"/>
        </w:rPr>
        <w:t xml:space="preserve">6512) </w:t>
      </w:r>
      <w:r w:rsidRPr="003A2F86">
        <w:rPr>
          <w:rFonts w:ascii="Arial" w:eastAsia="Times New Roman" w:hAnsi="Arial" w:cs="Arial"/>
          <w:sz w:val="18"/>
          <w:szCs w:val="18"/>
        </w:rPr>
        <w:t>(za usporedbu: prihodi od na</w:t>
      </w:r>
      <w:r w:rsidR="00A8623C" w:rsidRPr="003A2F86">
        <w:rPr>
          <w:rFonts w:ascii="Arial" w:eastAsia="Times New Roman" w:hAnsi="Arial" w:cs="Arial"/>
          <w:sz w:val="18"/>
          <w:szCs w:val="18"/>
        </w:rPr>
        <w:t>kn</w:t>
      </w:r>
      <w:r w:rsidRPr="003A2F86">
        <w:rPr>
          <w:rFonts w:ascii="Arial" w:eastAsia="Times New Roman" w:hAnsi="Arial" w:cs="Arial"/>
          <w:sz w:val="18"/>
          <w:szCs w:val="18"/>
        </w:rPr>
        <w:t xml:space="preserve">ade u 2019. ostvareni u iznosu </w:t>
      </w:r>
      <w:r w:rsidR="0065429F" w:rsidRPr="003A2F86">
        <w:rPr>
          <w:rFonts w:ascii="Arial" w:eastAsia="Times New Roman" w:hAnsi="Arial" w:cs="Arial"/>
          <w:sz w:val="18"/>
          <w:szCs w:val="18"/>
        </w:rPr>
        <w:t>9.455,17 €</w:t>
      </w:r>
      <w:r w:rsidR="00032C7B" w:rsidRPr="003A2F86">
        <w:rPr>
          <w:rFonts w:ascii="Arial" w:eastAsia="Times New Roman" w:hAnsi="Arial" w:cs="Arial"/>
          <w:sz w:val="18"/>
          <w:szCs w:val="18"/>
        </w:rPr>
        <w:t xml:space="preserve">, u 2020. ostvareni </w:t>
      </w:r>
      <w:r w:rsidR="0065429F" w:rsidRPr="003A2F86">
        <w:rPr>
          <w:rFonts w:ascii="Arial" w:eastAsia="Times New Roman" w:hAnsi="Arial" w:cs="Arial"/>
          <w:sz w:val="18"/>
          <w:szCs w:val="18"/>
        </w:rPr>
        <w:t>2.455,37 €</w:t>
      </w:r>
      <w:r w:rsidR="004A29A1" w:rsidRPr="003A2F86">
        <w:rPr>
          <w:rFonts w:ascii="Arial" w:eastAsia="Times New Roman" w:hAnsi="Arial" w:cs="Arial"/>
          <w:sz w:val="18"/>
          <w:szCs w:val="18"/>
        </w:rPr>
        <w:t xml:space="preserve">, u 2022. </w:t>
      </w:r>
      <w:r w:rsidR="0065429F" w:rsidRPr="003A2F86">
        <w:rPr>
          <w:rFonts w:ascii="Arial" w:eastAsia="Times New Roman" w:hAnsi="Arial" w:cs="Arial"/>
          <w:sz w:val="18"/>
          <w:szCs w:val="18"/>
        </w:rPr>
        <w:t xml:space="preserve">u iznosu 6.437,06 €, u 2023. u iznosu </w:t>
      </w:r>
      <w:r w:rsidR="000B325D" w:rsidRPr="003A2F86">
        <w:rPr>
          <w:rFonts w:ascii="Arial" w:eastAsia="Times New Roman" w:hAnsi="Arial" w:cs="Arial"/>
          <w:sz w:val="18"/>
          <w:szCs w:val="18"/>
        </w:rPr>
        <w:t>15.329,16</w:t>
      </w:r>
      <w:r w:rsidR="00481FB7" w:rsidRPr="003A2F86">
        <w:rPr>
          <w:rFonts w:ascii="Arial" w:eastAsia="Times New Roman" w:hAnsi="Arial" w:cs="Arial"/>
          <w:sz w:val="18"/>
          <w:szCs w:val="18"/>
        </w:rPr>
        <w:t xml:space="preserve"> €</w:t>
      </w:r>
      <w:r w:rsidR="008A443E" w:rsidRPr="003A2F86">
        <w:rPr>
          <w:rFonts w:ascii="Arial" w:eastAsia="Times New Roman" w:hAnsi="Arial" w:cs="Arial"/>
          <w:sz w:val="18"/>
          <w:szCs w:val="18"/>
        </w:rPr>
        <w:t>, dok su u prvom polugodištu 2024. godine ostvareni u iznosu 12.409,32 €</w:t>
      </w:r>
      <w:r w:rsidRPr="003A2F86">
        <w:rPr>
          <w:rFonts w:ascii="Arial" w:eastAsia="Times New Roman" w:hAnsi="Arial" w:cs="Arial"/>
          <w:sz w:val="18"/>
          <w:szCs w:val="18"/>
        </w:rPr>
        <w:t>).</w:t>
      </w:r>
    </w:p>
    <w:p w14:paraId="34BCA33E" w14:textId="77777777" w:rsidR="00471B9E" w:rsidRPr="003A2F86" w:rsidRDefault="00471B9E" w:rsidP="00FB23D8">
      <w:pPr>
        <w:spacing w:after="0" w:line="240" w:lineRule="auto"/>
        <w:jc w:val="both"/>
        <w:rPr>
          <w:rFonts w:ascii="Arial" w:eastAsia="Times New Roman" w:hAnsi="Arial" w:cs="Arial"/>
          <w:sz w:val="20"/>
          <w:szCs w:val="20"/>
        </w:rPr>
      </w:pPr>
    </w:p>
    <w:p w14:paraId="43CF4B54" w14:textId="25861B81" w:rsidR="00471B9E" w:rsidRPr="003A2F86" w:rsidRDefault="00943155" w:rsidP="00FB23D8">
      <w:pPr>
        <w:spacing w:after="0" w:line="240" w:lineRule="auto"/>
        <w:jc w:val="both"/>
        <w:rPr>
          <w:rFonts w:ascii="Arial" w:eastAsia="Times New Roman" w:hAnsi="Arial" w:cs="Arial"/>
        </w:rPr>
      </w:pPr>
      <w:r w:rsidRPr="003A2F86">
        <w:rPr>
          <w:rFonts w:ascii="Arial" w:eastAsia="Times New Roman" w:hAnsi="Arial" w:cs="Arial"/>
        </w:rPr>
        <w:t xml:space="preserve">U nastavku </w:t>
      </w:r>
      <w:r w:rsidR="0017752A" w:rsidRPr="003A2F86">
        <w:rPr>
          <w:rFonts w:ascii="Arial" w:eastAsia="Times New Roman" w:hAnsi="Arial" w:cs="Arial"/>
        </w:rPr>
        <w:t xml:space="preserve">se </w:t>
      </w:r>
      <w:r w:rsidRPr="003A2F86">
        <w:rPr>
          <w:rFonts w:ascii="Arial" w:eastAsia="Times New Roman" w:hAnsi="Arial" w:cs="Arial"/>
        </w:rPr>
        <w:t xml:space="preserve">daje usporedni prikaz ostvarenih prihoda od nefinancijske imovine </w:t>
      </w:r>
      <w:r w:rsidR="0017752A" w:rsidRPr="003A2F86">
        <w:rPr>
          <w:rFonts w:ascii="Arial" w:eastAsia="Times New Roman" w:hAnsi="Arial" w:cs="Arial"/>
        </w:rPr>
        <w:t xml:space="preserve">(642) </w:t>
      </w:r>
      <w:r w:rsidRPr="003A2F86">
        <w:rPr>
          <w:rFonts w:ascii="Arial" w:eastAsia="Times New Roman" w:hAnsi="Arial" w:cs="Arial"/>
        </w:rPr>
        <w:t>u razdoblju 2017-20</w:t>
      </w:r>
      <w:r w:rsidR="00635C77" w:rsidRPr="003A2F86">
        <w:rPr>
          <w:rFonts w:ascii="Arial" w:eastAsia="Times New Roman" w:hAnsi="Arial" w:cs="Arial"/>
        </w:rPr>
        <w:t>2</w:t>
      </w:r>
      <w:r w:rsidR="00A87A78">
        <w:rPr>
          <w:rFonts w:ascii="Arial" w:eastAsia="Times New Roman" w:hAnsi="Arial" w:cs="Arial"/>
        </w:rPr>
        <w:t>4</w:t>
      </w:r>
      <w:r w:rsidRPr="003A2F86">
        <w:rPr>
          <w:rFonts w:ascii="Arial" w:eastAsia="Times New Roman" w:hAnsi="Arial" w:cs="Arial"/>
        </w:rPr>
        <w:t>.</w:t>
      </w:r>
      <w:r w:rsidR="004907EF">
        <w:rPr>
          <w:rFonts w:ascii="Arial" w:eastAsia="Times New Roman" w:hAnsi="Arial" w:cs="Arial"/>
        </w:rPr>
        <w:t xml:space="preserve"> i 1-6/2025.</w:t>
      </w:r>
    </w:p>
    <w:p w14:paraId="73447C54" w14:textId="77777777" w:rsidR="00A87A78" w:rsidRDefault="00A87A78" w:rsidP="00E428E7">
      <w:pPr>
        <w:spacing w:after="0" w:line="240" w:lineRule="auto"/>
        <w:jc w:val="both"/>
        <w:rPr>
          <w:rFonts w:ascii="Arial" w:eastAsia="Times New Roman" w:hAnsi="Arial" w:cs="Arial"/>
          <w:i/>
          <w:iCs/>
          <w:sz w:val="20"/>
          <w:szCs w:val="20"/>
        </w:rPr>
      </w:pPr>
    </w:p>
    <w:p w14:paraId="1F9B404B" w14:textId="209E4832" w:rsidR="00E428E7" w:rsidRPr="003A2F86" w:rsidRDefault="00943155" w:rsidP="00E428E7">
      <w:pPr>
        <w:spacing w:after="0" w:line="240" w:lineRule="auto"/>
        <w:jc w:val="both"/>
        <w:rPr>
          <w:rFonts w:ascii="Arial" w:eastAsia="Times New Roman" w:hAnsi="Arial" w:cs="Arial"/>
          <w:i/>
          <w:iCs/>
          <w:sz w:val="20"/>
          <w:szCs w:val="20"/>
        </w:rPr>
      </w:pPr>
      <w:r w:rsidRPr="003A2F86">
        <w:rPr>
          <w:rFonts w:ascii="Arial" w:eastAsia="Times New Roman" w:hAnsi="Arial" w:cs="Arial"/>
          <w:i/>
          <w:iCs/>
          <w:sz w:val="20"/>
          <w:szCs w:val="20"/>
        </w:rPr>
        <w:t>*Usporedba:</w:t>
      </w:r>
    </w:p>
    <w:tbl>
      <w:tblPr>
        <w:tblW w:w="14742" w:type="dxa"/>
        <w:tblInd w:w="-10" w:type="dxa"/>
        <w:tblLayout w:type="fixed"/>
        <w:tblLook w:val="04A0" w:firstRow="1" w:lastRow="0" w:firstColumn="1" w:lastColumn="0" w:noHBand="0" w:noVBand="1"/>
      </w:tblPr>
      <w:tblGrid>
        <w:gridCol w:w="14742"/>
      </w:tblGrid>
      <w:tr w:rsidR="00475EC4" w:rsidRPr="003A2F86" w14:paraId="3C3425F1" w14:textId="77777777" w:rsidTr="007D3662">
        <w:trPr>
          <w:trHeight w:val="304"/>
        </w:trPr>
        <w:tc>
          <w:tcPr>
            <w:tcW w:w="14742" w:type="dxa"/>
            <w:tcBorders>
              <w:top w:val="single" w:sz="8" w:space="0" w:color="auto"/>
              <w:left w:val="single" w:sz="8" w:space="0" w:color="auto"/>
              <w:bottom w:val="single" w:sz="8" w:space="0" w:color="000000"/>
              <w:right w:val="single" w:sz="8" w:space="0" w:color="auto"/>
            </w:tcBorders>
            <w:vAlign w:val="center"/>
            <w:hideMark/>
          </w:tcPr>
          <w:p w14:paraId="2DAC0B24" w14:textId="77777777" w:rsidR="00475EC4" w:rsidRPr="003A2F86" w:rsidRDefault="00475EC4" w:rsidP="00B223BA">
            <w:pPr>
              <w:spacing w:after="0" w:line="240" w:lineRule="auto"/>
              <w:jc w:val="center"/>
              <w:rPr>
                <w:rFonts w:ascii="Arial" w:eastAsia="Times New Roman" w:hAnsi="Arial" w:cs="Arial"/>
                <w:b/>
                <w:bCs/>
                <w:i/>
                <w:iCs/>
                <w:sz w:val="18"/>
                <w:szCs w:val="18"/>
              </w:rPr>
            </w:pPr>
            <w:r w:rsidRPr="003A2F86">
              <w:rPr>
                <w:rFonts w:ascii="Arial" w:eastAsia="Times New Roman" w:hAnsi="Arial" w:cs="Arial"/>
                <w:b/>
                <w:bCs/>
                <w:i/>
                <w:iCs/>
                <w:sz w:val="18"/>
                <w:szCs w:val="18"/>
              </w:rPr>
              <w:t>Prihod od nefinancijske imovine (</w:t>
            </w:r>
            <w:r w:rsidRPr="003A2F86">
              <w:rPr>
                <w:rFonts w:ascii="Arial" w:eastAsia="Times New Roman" w:hAnsi="Arial" w:cs="Arial"/>
                <w:b/>
                <w:bCs/>
                <w:i/>
                <w:iCs/>
                <w:color w:val="FF0000"/>
                <w:sz w:val="18"/>
                <w:szCs w:val="18"/>
              </w:rPr>
              <w:t>642</w:t>
            </w:r>
            <w:r w:rsidRPr="003A2F86">
              <w:rPr>
                <w:rFonts w:ascii="Arial" w:eastAsia="Times New Roman" w:hAnsi="Arial" w:cs="Arial"/>
                <w:b/>
                <w:bCs/>
                <w:i/>
                <w:iCs/>
                <w:sz w:val="18"/>
                <w:szCs w:val="18"/>
              </w:rPr>
              <w:t>)</w:t>
            </w:r>
          </w:p>
        </w:tc>
      </w:tr>
    </w:tbl>
    <w:p w14:paraId="04C4C3E4" w14:textId="77777777" w:rsidR="00475EC4" w:rsidRPr="003A2F86" w:rsidRDefault="00475EC4" w:rsidP="00E428E7">
      <w:pPr>
        <w:spacing w:after="0" w:line="240" w:lineRule="auto"/>
        <w:jc w:val="both"/>
        <w:rPr>
          <w:rFonts w:ascii="Arial" w:eastAsia="Times New Roman" w:hAnsi="Arial" w:cs="Arial"/>
          <w:i/>
          <w:iCs/>
          <w:sz w:val="6"/>
          <w:szCs w:val="6"/>
        </w:rPr>
      </w:pPr>
    </w:p>
    <w:p w14:paraId="56E1CE40" w14:textId="77777777" w:rsidR="00475EC4" w:rsidRPr="007D3662" w:rsidRDefault="00475EC4" w:rsidP="00E428E7">
      <w:pPr>
        <w:spacing w:after="0" w:line="240" w:lineRule="auto"/>
        <w:jc w:val="both"/>
        <w:rPr>
          <w:rFonts w:ascii="Arial" w:eastAsia="Times New Roman" w:hAnsi="Arial" w:cs="Arial"/>
          <w:i/>
          <w:iCs/>
          <w:sz w:val="10"/>
          <w:szCs w:val="10"/>
        </w:rPr>
      </w:pPr>
    </w:p>
    <w:tbl>
      <w:tblPr>
        <w:tblW w:w="14732" w:type="dxa"/>
        <w:tblCellMar>
          <w:top w:w="28" w:type="dxa"/>
          <w:left w:w="28" w:type="dxa"/>
          <w:bottom w:w="28" w:type="dxa"/>
          <w:right w:w="28" w:type="dxa"/>
        </w:tblCellMar>
        <w:tblLook w:val="04A0" w:firstRow="1" w:lastRow="0" w:firstColumn="1" w:lastColumn="0" w:noHBand="0" w:noVBand="1"/>
      </w:tblPr>
      <w:tblGrid>
        <w:gridCol w:w="1266"/>
        <w:gridCol w:w="1134"/>
        <w:gridCol w:w="1134"/>
        <w:gridCol w:w="1134"/>
        <w:gridCol w:w="1134"/>
        <w:gridCol w:w="1134"/>
        <w:gridCol w:w="1276"/>
        <w:gridCol w:w="1134"/>
        <w:gridCol w:w="1134"/>
        <w:gridCol w:w="1134"/>
        <w:gridCol w:w="3118"/>
      </w:tblGrid>
      <w:tr w:rsidR="000F632C" w:rsidRPr="000F632C" w14:paraId="02BA53C7" w14:textId="77777777" w:rsidTr="00E5617A">
        <w:trPr>
          <w:trHeight w:val="804"/>
        </w:trPr>
        <w:tc>
          <w:tcPr>
            <w:tcW w:w="1266" w:type="dxa"/>
            <w:tcBorders>
              <w:top w:val="single" w:sz="4" w:space="0" w:color="auto"/>
              <w:left w:val="single" w:sz="8" w:space="0" w:color="auto"/>
              <w:bottom w:val="single" w:sz="8" w:space="0" w:color="auto"/>
              <w:right w:val="single" w:sz="8" w:space="0" w:color="000000"/>
            </w:tcBorders>
            <w:vAlign w:val="center"/>
            <w:hideMark/>
          </w:tcPr>
          <w:p w14:paraId="707A1068" w14:textId="77777777" w:rsidR="000F632C" w:rsidRPr="000F632C" w:rsidRDefault="000F632C" w:rsidP="000F632C">
            <w:pPr>
              <w:spacing w:after="0" w:line="240" w:lineRule="auto"/>
              <w:rPr>
                <w:rFonts w:ascii="Arial" w:eastAsia="Times New Roman" w:hAnsi="Arial" w:cs="Arial"/>
                <w:b/>
                <w:bCs/>
                <w:i/>
                <w:iCs/>
                <w:sz w:val="20"/>
                <w:szCs w:val="20"/>
              </w:rPr>
            </w:pPr>
            <w:bookmarkStart w:id="108" w:name="_Hlk206887671"/>
            <w:r w:rsidRPr="000F632C">
              <w:rPr>
                <w:rFonts w:ascii="Arial" w:eastAsia="Times New Roman" w:hAnsi="Arial" w:cs="Arial"/>
                <w:b/>
                <w:bCs/>
                <w:i/>
                <w:iCs/>
                <w:sz w:val="20"/>
                <w:szCs w:val="20"/>
              </w:rPr>
              <w:t>Vrsta prihoda</w:t>
            </w:r>
          </w:p>
        </w:tc>
        <w:tc>
          <w:tcPr>
            <w:tcW w:w="1134" w:type="dxa"/>
            <w:tcBorders>
              <w:top w:val="single" w:sz="4" w:space="0" w:color="auto"/>
              <w:left w:val="nil"/>
              <w:bottom w:val="single" w:sz="8" w:space="0" w:color="auto"/>
              <w:right w:val="single" w:sz="8" w:space="0" w:color="000000"/>
            </w:tcBorders>
            <w:vAlign w:val="center"/>
            <w:hideMark/>
          </w:tcPr>
          <w:p w14:paraId="15D4568E" w14:textId="77777777" w:rsidR="000F632C" w:rsidRPr="000F632C" w:rsidRDefault="000F632C" w:rsidP="000F632C">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2017.g. (€)</w:t>
            </w:r>
          </w:p>
        </w:tc>
        <w:tc>
          <w:tcPr>
            <w:tcW w:w="1134" w:type="dxa"/>
            <w:tcBorders>
              <w:top w:val="single" w:sz="4" w:space="0" w:color="auto"/>
              <w:left w:val="nil"/>
              <w:bottom w:val="single" w:sz="8" w:space="0" w:color="auto"/>
              <w:right w:val="single" w:sz="8" w:space="0" w:color="000000"/>
            </w:tcBorders>
            <w:vAlign w:val="center"/>
            <w:hideMark/>
          </w:tcPr>
          <w:p w14:paraId="0E0937DE" w14:textId="77777777" w:rsidR="000F632C" w:rsidRPr="000F632C" w:rsidRDefault="000F632C" w:rsidP="000F632C">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2018.g. (€)</w:t>
            </w:r>
          </w:p>
        </w:tc>
        <w:tc>
          <w:tcPr>
            <w:tcW w:w="1134" w:type="dxa"/>
            <w:tcBorders>
              <w:top w:val="single" w:sz="4" w:space="0" w:color="auto"/>
              <w:left w:val="nil"/>
              <w:bottom w:val="single" w:sz="8" w:space="0" w:color="auto"/>
              <w:right w:val="single" w:sz="8" w:space="0" w:color="000000"/>
            </w:tcBorders>
            <w:vAlign w:val="center"/>
            <w:hideMark/>
          </w:tcPr>
          <w:p w14:paraId="12B0EE8F" w14:textId="77777777" w:rsidR="000F632C" w:rsidRPr="000F632C" w:rsidRDefault="000F632C" w:rsidP="000F632C">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2019.g. (€)</w:t>
            </w:r>
          </w:p>
        </w:tc>
        <w:tc>
          <w:tcPr>
            <w:tcW w:w="1134" w:type="dxa"/>
            <w:tcBorders>
              <w:top w:val="single" w:sz="4" w:space="0" w:color="auto"/>
              <w:left w:val="nil"/>
              <w:bottom w:val="single" w:sz="8" w:space="0" w:color="auto"/>
              <w:right w:val="single" w:sz="8" w:space="0" w:color="000000"/>
            </w:tcBorders>
            <w:vAlign w:val="center"/>
            <w:hideMark/>
          </w:tcPr>
          <w:p w14:paraId="28BC8C30" w14:textId="77777777" w:rsidR="000F632C" w:rsidRPr="000F632C" w:rsidRDefault="000F632C" w:rsidP="000F632C">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2020.g. (€)</w:t>
            </w:r>
          </w:p>
        </w:tc>
        <w:tc>
          <w:tcPr>
            <w:tcW w:w="1134" w:type="dxa"/>
            <w:tcBorders>
              <w:top w:val="single" w:sz="4" w:space="0" w:color="auto"/>
              <w:left w:val="nil"/>
              <w:bottom w:val="single" w:sz="8" w:space="0" w:color="auto"/>
              <w:right w:val="single" w:sz="8" w:space="0" w:color="000000"/>
            </w:tcBorders>
            <w:vAlign w:val="center"/>
            <w:hideMark/>
          </w:tcPr>
          <w:p w14:paraId="645AD5AB" w14:textId="77777777" w:rsidR="000F632C" w:rsidRPr="000F632C" w:rsidRDefault="000F632C" w:rsidP="000F632C">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2021.g. (€)</w:t>
            </w:r>
          </w:p>
        </w:tc>
        <w:tc>
          <w:tcPr>
            <w:tcW w:w="1276" w:type="dxa"/>
            <w:tcBorders>
              <w:top w:val="single" w:sz="4" w:space="0" w:color="auto"/>
              <w:left w:val="nil"/>
              <w:bottom w:val="single" w:sz="8" w:space="0" w:color="auto"/>
              <w:right w:val="single" w:sz="8" w:space="0" w:color="auto"/>
            </w:tcBorders>
            <w:vAlign w:val="center"/>
            <w:hideMark/>
          </w:tcPr>
          <w:p w14:paraId="0BC3DEDC" w14:textId="77777777" w:rsidR="000F632C" w:rsidRPr="000F632C" w:rsidRDefault="000F632C" w:rsidP="000F632C">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/2022.g. (€)</w:t>
            </w:r>
          </w:p>
        </w:tc>
        <w:tc>
          <w:tcPr>
            <w:tcW w:w="1134" w:type="dxa"/>
            <w:tcBorders>
              <w:top w:val="single" w:sz="4" w:space="0" w:color="auto"/>
              <w:left w:val="nil"/>
              <w:bottom w:val="single" w:sz="8" w:space="0" w:color="auto"/>
              <w:right w:val="single" w:sz="8" w:space="0" w:color="auto"/>
            </w:tcBorders>
            <w:vAlign w:val="center"/>
            <w:hideMark/>
          </w:tcPr>
          <w:p w14:paraId="74495A50" w14:textId="77777777" w:rsidR="000F632C" w:rsidRPr="000F632C" w:rsidRDefault="000F632C" w:rsidP="000F632C">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2023.g. (€)</w:t>
            </w:r>
          </w:p>
        </w:tc>
        <w:tc>
          <w:tcPr>
            <w:tcW w:w="1134" w:type="dxa"/>
            <w:tcBorders>
              <w:top w:val="single" w:sz="4" w:space="0" w:color="auto"/>
              <w:left w:val="nil"/>
              <w:bottom w:val="single" w:sz="8" w:space="0" w:color="auto"/>
              <w:right w:val="single" w:sz="8" w:space="0" w:color="auto"/>
            </w:tcBorders>
            <w:vAlign w:val="center"/>
            <w:hideMark/>
          </w:tcPr>
          <w:p w14:paraId="3D1A9856" w14:textId="77777777" w:rsidR="000F632C" w:rsidRPr="000F632C" w:rsidRDefault="000F632C" w:rsidP="000F632C">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2024.g. (€)</w:t>
            </w:r>
          </w:p>
        </w:tc>
        <w:tc>
          <w:tcPr>
            <w:tcW w:w="1134" w:type="dxa"/>
            <w:tcBorders>
              <w:top w:val="single" w:sz="4" w:space="0" w:color="auto"/>
              <w:left w:val="nil"/>
              <w:bottom w:val="single" w:sz="8" w:space="0" w:color="auto"/>
              <w:right w:val="single" w:sz="8" w:space="0" w:color="auto"/>
            </w:tcBorders>
            <w:vAlign w:val="center"/>
            <w:hideMark/>
          </w:tcPr>
          <w:p w14:paraId="4052FD06" w14:textId="77777777" w:rsidR="000F632C" w:rsidRPr="000F632C" w:rsidRDefault="000F632C" w:rsidP="000F632C">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1-6/ 2025.g. (€)</w:t>
            </w:r>
          </w:p>
        </w:tc>
        <w:tc>
          <w:tcPr>
            <w:tcW w:w="3118" w:type="dxa"/>
            <w:tcBorders>
              <w:top w:val="single" w:sz="4" w:space="0" w:color="auto"/>
              <w:left w:val="nil"/>
              <w:bottom w:val="single" w:sz="8" w:space="0" w:color="auto"/>
              <w:right w:val="single" w:sz="8" w:space="0" w:color="auto"/>
            </w:tcBorders>
            <w:vAlign w:val="center"/>
            <w:hideMark/>
          </w:tcPr>
          <w:p w14:paraId="4AC1AA98" w14:textId="0B7B34DE" w:rsidR="000F632C" w:rsidRPr="000F632C" w:rsidRDefault="000F632C" w:rsidP="000F632C">
            <w:pPr>
              <w:spacing w:after="0" w:line="240" w:lineRule="auto"/>
              <w:jc w:val="center"/>
              <w:rPr>
                <w:rFonts w:ascii="Arial" w:eastAsia="Times New Roman" w:hAnsi="Arial" w:cs="Arial"/>
                <w:b/>
                <w:bCs/>
                <w:i/>
                <w:iCs/>
                <w:sz w:val="20"/>
                <w:szCs w:val="20"/>
              </w:rPr>
            </w:pPr>
            <w:r w:rsidRPr="000F632C">
              <w:rPr>
                <w:rFonts w:ascii="Arial" w:eastAsia="Times New Roman" w:hAnsi="Arial" w:cs="Arial"/>
                <w:b/>
                <w:bCs/>
                <w:i/>
                <w:iCs/>
                <w:sz w:val="20"/>
                <w:szCs w:val="20"/>
              </w:rPr>
              <w:t>Obrazloženje za prihode u razdoblju 202</w:t>
            </w:r>
            <w:r w:rsidR="007D3662">
              <w:rPr>
                <w:rFonts w:ascii="Arial" w:eastAsia="Times New Roman" w:hAnsi="Arial" w:cs="Arial"/>
                <w:b/>
                <w:bCs/>
                <w:i/>
                <w:iCs/>
                <w:sz w:val="20"/>
                <w:szCs w:val="20"/>
              </w:rPr>
              <w:t>5</w:t>
            </w:r>
            <w:r w:rsidRPr="000F632C">
              <w:rPr>
                <w:rFonts w:ascii="Arial" w:eastAsia="Times New Roman" w:hAnsi="Arial" w:cs="Arial"/>
                <w:b/>
                <w:bCs/>
                <w:i/>
                <w:iCs/>
                <w:sz w:val="20"/>
                <w:szCs w:val="20"/>
              </w:rPr>
              <w:t>.</w:t>
            </w:r>
          </w:p>
        </w:tc>
      </w:tr>
      <w:bookmarkEnd w:id="108"/>
      <w:tr w:rsidR="000F632C" w:rsidRPr="000F632C" w14:paraId="5DF38C4F" w14:textId="77777777" w:rsidTr="00E5617A">
        <w:trPr>
          <w:trHeight w:val="1020"/>
        </w:trPr>
        <w:tc>
          <w:tcPr>
            <w:tcW w:w="1266" w:type="dxa"/>
            <w:tcBorders>
              <w:top w:val="nil"/>
              <w:left w:val="single" w:sz="4" w:space="0" w:color="auto"/>
              <w:bottom w:val="single" w:sz="4" w:space="0" w:color="auto"/>
              <w:right w:val="single" w:sz="4" w:space="0" w:color="auto"/>
            </w:tcBorders>
            <w:vAlign w:val="center"/>
            <w:hideMark/>
          </w:tcPr>
          <w:p w14:paraId="412CA281" w14:textId="77777777" w:rsidR="000F632C" w:rsidRPr="000F632C" w:rsidRDefault="000F632C" w:rsidP="000F632C">
            <w:pPr>
              <w:spacing w:after="0" w:line="240" w:lineRule="auto"/>
              <w:rPr>
                <w:rFonts w:ascii="Arial" w:eastAsia="Times New Roman" w:hAnsi="Arial" w:cs="Arial"/>
                <w:sz w:val="16"/>
                <w:szCs w:val="16"/>
              </w:rPr>
            </w:pPr>
            <w:r w:rsidRPr="000F632C">
              <w:rPr>
                <w:rFonts w:ascii="Arial" w:eastAsia="Times New Roman" w:hAnsi="Arial" w:cs="Arial"/>
                <w:sz w:val="16"/>
                <w:szCs w:val="16"/>
              </w:rPr>
              <w:t>naknada za umanjenu upotrebnu vrijednost zemljišta</w:t>
            </w:r>
          </w:p>
        </w:tc>
        <w:tc>
          <w:tcPr>
            <w:tcW w:w="1134" w:type="dxa"/>
            <w:tcBorders>
              <w:top w:val="nil"/>
              <w:left w:val="nil"/>
              <w:bottom w:val="single" w:sz="4" w:space="0" w:color="auto"/>
              <w:right w:val="single" w:sz="4" w:space="0" w:color="auto"/>
            </w:tcBorders>
            <w:vAlign w:val="center"/>
            <w:hideMark/>
          </w:tcPr>
          <w:p w14:paraId="686304F5"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272.642,97</w:t>
            </w:r>
          </w:p>
        </w:tc>
        <w:tc>
          <w:tcPr>
            <w:tcW w:w="1134" w:type="dxa"/>
            <w:tcBorders>
              <w:top w:val="nil"/>
              <w:left w:val="nil"/>
              <w:bottom w:val="single" w:sz="4" w:space="0" w:color="auto"/>
              <w:right w:val="single" w:sz="4" w:space="0" w:color="auto"/>
            </w:tcBorders>
            <w:vAlign w:val="center"/>
            <w:hideMark/>
          </w:tcPr>
          <w:p w14:paraId="39C21088"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245.644,04</w:t>
            </w:r>
          </w:p>
        </w:tc>
        <w:tc>
          <w:tcPr>
            <w:tcW w:w="1134" w:type="dxa"/>
            <w:tcBorders>
              <w:top w:val="nil"/>
              <w:left w:val="nil"/>
              <w:bottom w:val="single" w:sz="4" w:space="0" w:color="auto"/>
              <w:right w:val="single" w:sz="4" w:space="0" w:color="auto"/>
            </w:tcBorders>
            <w:vAlign w:val="center"/>
            <w:hideMark/>
          </w:tcPr>
          <w:p w14:paraId="65010FF7"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295.078,16</w:t>
            </w:r>
          </w:p>
        </w:tc>
        <w:tc>
          <w:tcPr>
            <w:tcW w:w="1134" w:type="dxa"/>
            <w:tcBorders>
              <w:top w:val="nil"/>
              <w:left w:val="nil"/>
              <w:bottom w:val="single" w:sz="4" w:space="0" w:color="auto"/>
              <w:right w:val="single" w:sz="4" w:space="0" w:color="auto"/>
            </w:tcBorders>
            <w:vAlign w:val="center"/>
            <w:hideMark/>
          </w:tcPr>
          <w:p w14:paraId="74CE5968"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300.155,23</w:t>
            </w:r>
          </w:p>
        </w:tc>
        <w:tc>
          <w:tcPr>
            <w:tcW w:w="1134" w:type="dxa"/>
            <w:tcBorders>
              <w:top w:val="nil"/>
              <w:left w:val="nil"/>
              <w:bottom w:val="single" w:sz="4" w:space="0" w:color="auto"/>
              <w:right w:val="single" w:sz="4" w:space="0" w:color="auto"/>
            </w:tcBorders>
            <w:vAlign w:val="center"/>
            <w:hideMark/>
          </w:tcPr>
          <w:p w14:paraId="2B48F374"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299.640,89</w:t>
            </w:r>
          </w:p>
        </w:tc>
        <w:tc>
          <w:tcPr>
            <w:tcW w:w="1276" w:type="dxa"/>
            <w:tcBorders>
              <w:top w:val="nil"/>
              <w:left w:val="nil"/>
              <w:bottom w:val="single" w:sz="4" w:space="0" w:color="auto"/>
              <w:right w:val="single" w:sz="4" w:space="0" w:color="auto"/>
            </w:tcBorders>
            <w:vAlign w:val="center"/>
            <w:hideMark/>
          </w:tcPr>
          <w:p w14:paraId="28B0689B"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299.819,47</w:t>
            </w:r>
          </w:p>
        </w:tc>
        <w:tc>
          <w:tcPr>
            <w:tcW w:w="1134" w:type="dxa"/>
            <w:tcBorders>
              <w:top w:val="nil"/>
              <w:left w:val="nil"/>
              <w:bottom w:val="single" w:sz="4" w:space="0" w:color="auto"/>
              <w:right w:val="single" w:sz="4" w:space="0" w:color="auto"/>
            </w:tcBorders>
            <w:vAlign w:val="center"/>
            <w:hideMark/>
          </w:tcPr>
          <w:p w14:paraId="12A9D662"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300.000,00</w:t>
            </w:r>
          </w:p>
        </w:tc>
        <w:tc>
          <w:tcPr>
            <w:tcW w:w="1134" w:type="dxa"/>
            <w:tcBorders>
              <w:top w:val="nil"/>
              <w:left w:val="nil"/>
              <w:bottom w:val="single" w:sz="4" w:space="0" w:color="auto"/>
              <w:right w:val="single" w:sz="4" w:space="0" w:color="auto"/>
            </w:tcBorders>
            <w:vAlign w:val="center"/>
            <w:hideMark/>
          </w:tcPr>
          <w:p w14:paraId="18921970"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275.000,00</w:t>
            </w:r>
          </w:p>
        </w:tc>
        <w:tc>
          <w:tcPr>
            <w:tcW w:w="1134" w:type="dxa"/>
            <w:tcBorders>
              <w:top w:val="nil"/>
              <w:left w:val="nil"/>
              <w:bottom w:val="single" w:sz="4" w:space="0" w:color="auto"/>
              <w:right w:val="single" w:sz="4" w:space="0" w:color="auto"/>
            </w:tcBorders>
            <w:vAlign w:val="center"/>
            <w:hideMark/>
          </w:tcPr>
          <w:p w14:paraId="37E69B21"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175.000,00</w:t>
            </w:r>
          </w:p>
        </w:tc>
        <w:tc>
          <w:tcPr>
            <w:tcW w:w="3118" w:type="dxa"/>
            <w:tcBorders>
              <w:top w:val="nil"/>
              <w:left w:val="nil"/>
              <w:bottom w:val="single" w:sz="4" w:space="0" w:color="auto"/>
              <w:right w:val="single" w:sz="4" w:space="0" w:color="auto"/>
            </w:tcBorders>
            <w:vAlign w:val="center"/>
            <w:hideMark/>
          </w:tcPr>
          <w:p w14:paraId="24DA18BB" w14:textId="77777777" w:rsidR="000F632C" w:rsidRPr="000F632C" w:rsidRDefault="000F632C" w:rsidP="000F632C">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Prihodi iz druge države, Herceg novi (Crna gora) (ugovori potpisani koncem 2011. godine, a odnose se na naknadu za umanjenu upotrebnu vrijednost zemljišta u vlasništvu Općine Konavle kojom prolazi infrastrukturni objekt za transport vode cjevovod Plat – Herceg Novi.</w:t>
            </w:r>
          </w:p>
        </w:tc>
      </w:tr>
      <w:tr w:rsidR="000F632C" w:rsidRPr="000F632C" w14:paraId="6C083F11" w14:textId="77777777" w:rsidTr="00E5617A">
        <w:trPr>
          <w:trHeight w:val="612"/>
        </w:trPr>
        <w:tc>
          <w:tcPr>
            <w:tcW w:w="1266" w:type="dxa"/>
            <w:tcBorders>
              <w:top w:val="nil"/>
              <w:left w:val="single" w:sz="4" w:space="0" w:color="auto"/>
              <w:bottom w:val="single" w:sz="4" w:space="0" w:color="auto"/>
              <w:right w:val="single" w:sz="4" w:space="0" w:color="auto"/>
            </w:tcBorders>
            <w:vAlign w:val="center"/>
            <w:hideMark/>
          </w:tcPr>
          <w:p w14:paraId="635A8C63" w14:textId="77777777" w:rsidR="000F632C" w:rsidRPr="000F632C" w:rsidRDefault="000F632C" w:rsidP="000F632C">
            <w:pPr>
              <w:spacing w:after="0" w:line="240" w:lineRule="auto"/>
              <w:rPr>
                <w:rFonts w:ascii="Arial" w:eastAsia="Times New Roman" w:hAnsi="Arial" w:cs="Arial"/>
                <w:sz w:val="16"/>
                <w:szCs w:val="16"/>
              </w:rPr>
            </w:pPr>
            <w:r w:rsidRPr="000F632C">
              <w:rPr>
                <w:rFonts w:ascii="Arial" w:eastAsia="Times New Roman" w:hAnsi="Arial" w:cs="Arial"/>
                <w:sz w:val="16"/>
                <w:szCs w:val="16"/>
              </w:rPr>
              <w:t>naknada za korištenje prostora elektrana</w:t>
            </w:r>
          </w:p>
        </w:tc>
        <w:tc>
          <w:tcPr>
            <w:tcW w:w="1134" w:type="dxa"/>
            <w:tcBorders>
              <w:top w:val="nil"/>
              <w:left w:val="nil"/>
              <w:bottom w:val="single" w:sz="4" w:space="0" w:color="auto"/>
              <w:right w:val="single" w:sz="4" w:space="0" w:color="auto"/>
            </w:tcBorders>
            <w:vAlign w:val="center"/>
            <w:hideMark/>
          </w:tcPr>
          <w:p w14:paraId="23C89C11"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158.633,51</w:t>
            </w:r>
          </w:p>
        </w:tc>
        <w:tc>
          <w:tcPr>
            <w:tcW w:w="1134" w:type="dxa"/>
            <w:tcBorders>
              <w:top w:val="nil"/>
              <w:left w:val="nil"/>
              <w:bottom w:val="single" w:sz="4" w:space="0" w:color="auto"/>
              <w:right w:val="single" w:sz="4" w:space="0" w:color="auto"/>
            </w:tcBorders>
            <w:vAlign w:val="center"/>
            <w:hideMark/>
          </w:tcPr>
          <w:p w14:paraId="6217F371"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279.387,94</w:t>
            </w:r>
          </w:p>
        </w:tc>
        <w:tc>
          <w:tcPr>
            <w:tcW w:w="1134" w:type="dxa"/>
            <w:tcBorders>
              <w:top w:val="nil"/>
              <w:left w:val="nil"/>
              <w:bottom w:val="single" w:sz="4" w:space="0" w:color="auto"/>
              <w:right w:val="single" w:sz="4" w:space="0" w:color="auto"/>
            </w:tcBorders>
            <w:vAlign w:val="center"/>
            <w:hideMark/>
          </w:tcPr>
          <w:p w14:paraId="4BE329E4"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33.960,81</w:t>
            </w:r>
          </w:p>
        </w:tc>
        <w:tc>
          <w:tcPr>
            <w:tcW w:w="1134" w:type="dxa"/>
            <w:tcBorders>
              <w:top w:val="nil"/>
              <w:left w:val="nil"/>
              <w:bottom w:val="single" w:sz="4" w:space="0" w:color="auto"/>
              <w:right w:val="single" w:sz="4" w:space="0" w:color="auto"/>
            </w:tcBorders>
            <w:vAlign w:val="center"/>
            <w:hideMark/>
          </w:tcPr>
          <w:p w14:paraId="64CAE29F"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126.370,62</w:t>
            </w:r>
          </w:p>
        </w:tc>
        <w:tc>
          <w:tcPr>
            <w:tcW w:w="1134" w:type="dxa"/>
            <w:tcBorders>
              <w:top w:val="nil"/>
              <w:left w:val="nil"/>
              <w:bottom w:val="single" w:sz="4" w:space="0" w:color="auto"/>
              <w:right w:val="single" w:sz="4" w:space="0" w:color="auto"/>
            </w:tcBorders>
            <w:vAlign w:val="center"/>
            <w:hideMark/>
          </w:tcPr>
          <w:p w14:paraId="5664E2F3"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216.942,42</w:t>
            </w:r>
          </w:p>
        </w:tc>
        <w:tc>
          <w:tcPr>
            <w:tcW w:w="1276" w:type="dxa"/>
            <w:tcBorders>
              <w:top w:val="nil"/>
              <w:left w:val="nil"/>
              <w:bottom w:val="single" w:sz="4" w:space="0" w:color="auto"/>
              <w:right w:val="single" w:sz="4" w:space="0" w:color="auto"/>
            </w:tcBorders>
            <w:vAlign w:val="center"/>
            <w:hideMark/>
          </w:tcPr>
          <w:p w14:paraId="77636169"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217.510,37</w:t>
            </w:r>
          </w:p>
        </w:tc>
        <w:tc>
          <w:tcPr>
            <w:tcW w:w="1134" w:type="dxa"/>
            <w:tcBorders>
              <w:top w:val="nil"/>
              <w:left w:val="nil"/>
              <w:bottom w:val="single" w:sz="4" w:space="0" w:color="auto"/>
              <w:right w:val="single" w:sz="4" w:space="0" w:color="auto"/>
            </w:tcBorders>
            <w:vAlign w:val="center"/>
            <w:hideMark/>
          </w:tcPr>
          <w:p w14:paraId="3A9CF0E1"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235.579,13</w:t>
            </w:r>
          </w:p>
        </w:tc>
        <w:tc>
          <w:tcPr>
            <w:tcW w:w="1134" w:type="dxa"/>
            <w:tcBorders>
              <w:top w:val="nil"/>
              <w:left w:val="nil"/>
              <w:bottom w:val="single" w:sz="4" w:space="0" w:color="auto"/>
              <w:right w:val="single" w:sz="4" w:space="0" w:color="auto"/>
            </w:tcBorders>
            <w:vAlign w:val="center"/>
            <w:hideMark/>
          </w:tcPr>
          <w:p w14:paraId="31D1CBC5"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245.698,70</w:t>
            </w:r>
          </w:p>
        </w:tc>
        <w:tc>
          <w:tcPr>
            <w:tcW w:w="1134" w:type="dxa"/>
            <w:tcBorders>
              <w:top w:val="nil"/>
              <w:left w:val="nil"/>
              <w:bottom w:val="single" w:sz="4" w:space="0" w:color="auto"/>
              <w:right w:val="single" w:sz="4" w:space="0" w:color="auto"/>
            </w:tcBorders>
            <w:vAlign w:val="center"/>
            <w:hideMark/>
          </w:tcPr>
          <w:p w14:paraId="58830AD9"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121.315,14</w:t>
            </w:r>
          </w:p>
        </w:tc>
        <w:tc>
          <w:tcPr>
            <w:tcW w:w="3118" w:type="dxa"/>
            <w:tcBorders>
              <w:top w:val="nil"/>
              <w:left w:val="nil"/>
              <w:bottom w:val="single" w:sz="4" w:space="0" w:color="auto"/>
              <w:right w:val="single" w:sz="4" w:space="0" w:color="auto"/>
            </w:tcBorders>
            <w:vAlign w:val="center"/>
            <w:hideMark/>
          </w:tcPr>
          <w:p w14:paraId="36440F35" w14:textId="77777777" w:rsidR="000F632C" w:rsidRPr="000F632C" w:rsidRDefault="000F632C" w:rsidP="000F632C">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Elektrana je bila isključena iz rada od 10.1.2019 radi požara na objektu u kojem je bilo ljudskih žrtava do ožujka 2020. kada je ponovno započela s radom.</w:t>
            </w:r>
          </w:p>
        </w:tc>
      </w:tr>
      <w:tr w:rsidR="000F632C" w:rsidRPr="000F632C" w14:paraId="64912CF4" w14:textId="77777777" w:rsidTr="00E5617A">
        <w:trPr>
          <w:trHeight w:val="612"/>
        </w:trPr>
        <w:tc>
          <w:tcPr>
            <w:tcW w:w="1266" w:type="dxa"/>
            <w:tcBorders>
              <w:top w:val="nil"/>
              <w:left w:val="single" w:sz="4" w:space="0" w:color="auto"/>
              <w:bottom w:val="single" w:sz="4" w:space="0" w:color="auto"/>
              <w:right w:val="single" w:sz="4" w:space="0" w:color="auto"/>
            </w:tcBorders>
            <w:vAlign w:val="center"/>
            <w:hideMark/>
          </w:tcPr>
          <w:p w14:paraId="13684EB6" w14:textId="77777777" w:rsidR="000F632C" w:rsidRPr="000F632C" w:rsidRDefault="000F632C" w:rsidP="000F632C">
            <w:pPr>
              <w:spacing w:after="0" w:line="240" w:lineRule="auto"/>
              <w:rPr>
                <w:rFonts w:ascii="Arial" w:eastAsia="Times New Roman" w:hAnsi="Arial" w:cs="Arial"/>
                <w:sz w:val="16"/>
                <w:szCs w:val="16"/>
              </w:rPr>
            </w:pPr>
            <w:r w:rsidRPr="000F632C">
              <w:rPr>
                <w:rFonts w:ascii="Arial" w:eastAsia="Times New Roman" w:hAnsi="Arial" w:cs="Arial"/>
                <w:sz w:val="16"/>
                <w:szCs w:val="16"/>
              </w:rPr>
              <w:t>prihodi od korištenja javnih površina (5738)</w:t>
            </w:r>
          </w:p>
        </w:tc>
        <w:tc>
          <w:tcPr>
            <w:tcW w:w="1134" w:type="dxa"/>
            <w:tcBorders>
              <w:top w:val="nil"/>
              <w:left w:val="nil"/>
              <w:bottom w:val="single" w:sz="4" w:space="0" w:color="auto"/>
              <w:right w:val="single" w:sz="4" w:space="0" w:color="auto"/>
            </w:tcBorders>
            <w:vAlign w:val="center"/>
            <w:hideMark/>
          </w:tcPr>
          <w:p w14:paraId="23A06660"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112.967,38</w:t>
            </w:r>
          </w:p>
        </w:tc>
        <w:tc>
          <w:tcPr>
            <w:tcW w:w="1134" w:type="dxa"/>
            <w:tcBorders>
              <w:top w:val="nil"/>
              <w:left w:val="nil"/>
              <w:bottom w:val="single" w:sz="4" w:space="0" w:color="auto"/>
              <w:right w:val="single" w:sz="4" w:space="0" w:color="auto"/>
            </w:tcBorders>
            <w:vAlign w:val="center"/>
            <w:hideMark/>
          </w:tcPr>
          <w:p w14:paraId="5B842493"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228.254,67</w:t>
            </w:r>
          </w:p>
        </w:tc>
        <w:tc>
          <w:tcPr>
            <w:tcW w:w="1134" w:type="dxa"/>
            <w:tcBorders>
              <w:top w:val="nil"/>
              <w:left w:val="nil"/>
              <w:bottom w:val="single" w:sz="4" w:space="0" w:color="auto"/>
              <w:right w:val="single" w:sz="4" w:space="0" w:color="auto"/>
            </w:tcBorders>
            <w:vAlign w:val="center"/>
            <w:hideMark/>
          </w:tcPr>
          <w:p w14:paraId="777C01FA"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305.557,07</w:t>
            </w:r>
          </w:p>
        </w:tc>
        <w:tc>
          <w:tcPr>
            <w:tcW w:w="1134" w:type="dxa"/>
            <w:tcBorders>
              <w:top w:val="nil"/>
              <w:left w:val="nil"/>
              <w:bottom w:val="single" w:sz="4" w:space="0" w:color="auto"/>
              <w:right w:val="single" w:sz="4" w:space="0" w:color="auto"/>
            </w:tcBorders>
            <w:vAlign w:val="center"/>
            <w:hideMark/>
          </w:tcPr>
          <w:p w14:paraId="6B64C735"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71.976,95</w:t>
            </w:r>
          </w:p>
        </w:tc>
        <w:tc>
          <w:tcPr>
            <w:tcW w:w="1134" w:type="dxa"/>
            <w:tcBorders>
              <w:top w:val="nil"/>
              <w:left w:val="nil"/>
              <w:bottom w:val="single" w:sz="4" w:space="0" w:color="auto"/>
              <w:right w:val="single" w:sz="4" w:space="0" w:color="auto"/>
            </w:tcBorders>
            <w:vAlign w:val="center"/>
            <w:hideMark/>
          </w:tcPr>
          <w:p w14:paraId="143B31F8"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141.681,11</w:t>
            </w:r>
          </w:p>
        </w:tc>
        <w:tc>
          <w:tcPr>
            <w:tcW w:w="1276" w:type="dxa"/>
            <w:tcBorders>
              <w:top w:val="nil"/>
              <w:left w:val="nil"/>
              <w:bottom w:val="single" w:sz="4" w:space="0" w:color="auto"/>
              <w:right w:val="single" w:sz="4" w:space="0" w:color="auto"/>
            </w:tcBorders>
            <w:vAlign w:val="center"/>
            <w:hideMark/>
          </w:tcPr>
          <w:p w14:paraId="3DF8B85B"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305.578,30</w:t>
            </w:r>
          </w:p>
        </w:tc>
        <w:tc>
          <w:tcPr>
            <w:tcW w:w="1134" w:type="dxa"/>
            <w:tcBorders>
              <w:top w:val="nil"/>
              <w:left w:val="nil"/>
              <w:bottom w:val="single" w:sz="4" w:space="0" w:color="auto"/>
              <w:right w:val="single" w:sz="4" w:space="0" w:color="auto"/>
            </w:tcBorders>
            <w:vAlign w:val="center"/>
            <w:hideMark/>
          </w:tcPr>
          <w:p w14:paraId="09C55CEB"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205.358,65</w:t>
            </w:r>
          </w:p>
        </w:tc>
        <w:tc>
          <w:tcPr>
            <w:tcW w:w="1134" w:type="dxa"/>
            <w:tcBorders>
              <w:top w:val="nil"/>
              <w:left w:val="nil"/>
              <w:bottom w:val="single" w:sz="4" w:space="0" w:color="auto"/>
              <w:right w:val="single" w:sz="4" w:space="0" w:color="auto"/>
            </w:tcBorders>
            <w:vAlign w:val="center"/>
            <w:hideMark/>
          </w:tcPr>
          <w:p w14:paraId="738A5F63"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301.914,90</w:t>
            </w:r>
          </w:p>
        </w:tc>
        <w:tc>
          <w:tcPr>
            <w:tcW w:w="1134" w:type="dxa"/>
            <w:tcBorders>
              <w:top w:val="nil"/>
              <w:left w:val="nil"/>
              <w:bottom w:val="single" w:sz="4" w:space="0" w:color="auto"/>
              <w:right w:val="single" w:sz="4" w:space="0" w:color="auto"/>
            </w:tcBorders>
            <w:vAlign w:val="center"/>
            <w:hideMark/>
          </w:tcPr>
          <w:p w14:paraId="1E7A45C3"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65.418,74</w:t>
            </w:r>
          </w:p>
        </w:tc>
        <w:tc>
          <w:tcPr>
            <w:tcW w:w="3118" w:type="dxa"/>
            <w:tcBorders>
              <w:top w:val="nil"/>
              <w:left w:val="nil"/>
              <w:bottom w:val="single" w:sz="4" w:space="0" w:color="auto"/>
              <w:right w:val="single" w:sz="4" w:space="0" w:color="auto"/>
            </w:tcBorders>
            <w:vAlign w:val="center"/>
            <w:hideMark/>
          </w:tcPr>
          <w:p w14:paraId="53D319CA" w14:textId="77777777" w:rsidR="000F632C" w:rsidRPr="000F632C" w:rsidRDefault="000F632C" w:rsidP="000F632C">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 xml:space="preserve">Na temelju zaključenih ugovora o korištenju javnih površina i ispostavljenih računa. Ovi prihodi se odnose na naplaćena dugovanja iz prethodne godine i korištenje javnih površina u 2025. </w:t>
            </w:r>
          </w:p>
        </w:tc>
      </w:tr>
      <w:tr w:rsidR="000F632C" w:rsidRPr="000F632C" w14:paraId="59BFE569" w14:textId="77777777" w:rsidTr="00E5617A">
        <w:trPr>
          <w:trHeight w:val="684"/>
        </w:trPr>
        <w:tc>
          <w:tcPr>
            <w:tcW w:w="1266" w:type="dxa"/>
            <w:tcBorders>
              <w:top w:val="nil"/>
              <w:left w:val="single" w:sz="4" w:space="0" w:color="auto"/>
              <w:bottom w:val="single" w:sz="4" w:space="0" w:color="auto"/>
              <w:right w:val="single" w:sz="4" w:space="0" w:color="auto"/>
            </w:tcBorders>
            <w:vAlign w:val="center"/>
            <w:hideMark/>
          </w:tcPr>
          <w:p w14:paraId="30766CED" w14:textId="77777777" w:rsidR="000F632C" w:rsidRPr="000F632C" w:rsidRDefault="000F632C" w:rsidP="000F632C">
            <w:pPr>
              <w:spacing w:after="0" w:line="240" w:lineRule="auto"/>
              <w:rPr>
                <w:rFonts w:ascii="Arial" w:eastAsia="Times New Roman" w:hAnsi="Arial" w:cs="Arial"/>
                <w:sz w:val="16"/>
                <w:szCs w:val="16"/>
              </w:rPr>
            </w:pPr>
            <w:r w:rsidRPr="000F632C">
              <w:rPr>
                <w:rFonts w:ascii="Arial" w:eastAsia="Times New Roman" w:hAnsi="Arial" w:cs="Arial"/>
                <w:sz w:val="16"/>
                <w:szCs w:val="16"/>
              </w:rPr>
              <w:t>koncesijska odobrenja (5843)</w:t>
            </w:r>
          </w:p>
        </w:tc>
        <w:tc>
          <w:tcPr>
            <w:tcW w:w="1134" w:type="dxa"/>
            <w:tcBorders>
              <w:top w:val="nil"/>
              <w:left w:val="nil"/>
              <w:bottom w:val="single" w:sz="4" w:space="0" w:color="auto"/>
              <w:right w:val="single" w:sz="4" w:space="0" w:color="auto"/>
            </w:tcBorders>
            <w:vAlign w:val="center"/>
            <w:hideMark/>
          </w:tcPr>
          <w:p w14:paraId="4A3D833C"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51.330,21</w:t>
            </w:r>
          </w:p>
        </w:tc>
        <w:tc>
          <w:tcPr>
            <w:tcW w:w="1134" w:type="dxa"/>
            <w:tcBorders>
              <w:top w:val="nil"/>
              <w:left w:val="nil"/>
              <w:bottom w:val="single" w:sz="4" w:space="0" w:color="auto"/>
              <w:right w:val="single" w:sz="4" w:space="0" w:color="auto"/>
            </w:tcBorders>
            <w:vAlign w:val="center"/>
            <w:hideMark/>
          </w:tcPr>
          <w:p w14:paraId="34E0650C"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101.236,18</w:t>
            </w:r>
          </w:p>
        </w:tc>
        <w:tc>
          <w:tcPr>
            <w:tcW w:w="1134" w:type="dxa"/>
            <w:tcBorders>
              <w:top w:val="nil"/>
              <w:left w:val="nil"/>
              <w:bottom w:val="single" w:sz="4" w:space="0" w:color="auto"/>
              <w:right w:val="single" w:sz="4" w:space="0" w:color="auto"/>
            </w:tcBorders>
            <w:vAlign w:val="center"/>
            <w:hideMark/>
          </w:tcPr>
          <w:p w14:paraId="1F914571"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145.752,80</w:t>
            </w:r>
          </w:p>
        </w:tc>
        <w:tc>
          <w:tcPr>
            <w:tcW w:w="1134" w:type="dxa"/>
            <w:tcBorders>
              <w:top w:val="nil"/>
              <w:left w:val="nil"/>
              <w:bottom w:val="single" w:sz="4" w:space="0" w:color="auto"/>
              <w:right w:val="single" w:sz="4" w:space="0" w:color="auto"/>
            </w:tcBorders>
            <w:vAlign w:val="center"/>
            <w:hideMark/>
          </w:tcPr>
          <w:p w14:paraId="2321CFDA"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17.168,49</w:t>
            </w:r>
          </w:p>
        </w:tc>
        <w:tc>
          <w:tcPr>
            <w:tcW w:w="1134" w:type="dxa"/>
            <w:tcBorders>
              <w:top w:val="nil"/>
              <w:left w:val="nil"/>
              <w:bottom w:val="single" w:sz="4" w:space="0" w:color="auto"/>
              <w:right w:val="single" w:sz="4" w:space="0" w:color="auto"/>
            </w:tcBorders>
            <w:vAlign w:val="center"/>
            <w:hideMark/>
          </w:tcPr>
          <w:p w14:paraId="632FA2D4"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53.109,63</w:t>
            </w:r>
          </w:p>
        </w:tc>
        <w:tc>
          <w:tcPr>
            <w:tcW w:w="1276" w:type="dxa"/>
            <w:tcBorders>
              <w:top w:val="nil"/>
              <w:left w:val="nil"/>
              <w:bottom w:val="single" w:sz="4" w:space="0" w:color="auto"/>
              <w:right w:val="single" w:sz="4" w:space="0" w:color="auto"/>
            </w:tcBorders>
            <w:vAlign w:val="center"/>
            <w:hideMark/>
          </w:tcPr>
          <w:p w14:paraId="3586878B"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132.360,01</w:t>
            </w:r>
          </w:p>
        </w:tc>
        <w:tc>
          <w:tcPr>
            <w:tcW w:w="1134" w:type="dxa"/>
            <w:tcBorders>
              <w:top w:val="nil"/>
              <w:left w:val="nil"/>
              <w:bottom w:val="single" w:sz="4" w:space="0" w:color="auto"/>
              <w:right w:val="single" w:sz="4" w:space="0" w:color="auto"/>
            </w:tcBorders>
            <w:vAlign w:val="center"/>
            <w:hideMark/>
          </w:tcPr>
          <w:p w14:paraId="050AA1E3"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90.798,16</w:t>
            </w:r>
          </w:p>
        </w:tc>
        <w:tc>
          <w:tcPr>
            <w:tcW w:w="1134" w:type="dxa"/>
            <w:tcBorders>
              <w:top w:val="nil"/>
              <w:left w:val="nil"/>
              <w:bottom w:val="single" w:sz="4" w:space="0" w:color="auto"/>
              <w:right w:val="single" w:sz="4" w:space="0" w:color="auto"/>
            </w:tcBorders>
            <w:vAlign w:val="center"/>
            <w:hideMark/>
          </w:tcPr>
          <w:p w14:paraId="03F13266"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66.540,97</w:t>
            </w:r>
          </w:p>
        </w:tc>
        <w:tc>
          <w:tcPr>
            <w:tcW w:w="1134" w:type="dxa"/>
            <w:tcBorders>
              <w:top w:val="nil"/>
              <w:left w:val="nil"/>
              <w:bottom w:val="single" w:sz="4" w:space="0" w:color="auto"/>
              <w:right w:val="single" w:sz="4" w:space="0" w:color="auto"/>
            </w:tcBorders>
            <w:vAlign w:val="center"/>
            <w:hideMark/>
          </w:tcPr>
          <w:p w14:paraId="5727179E"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2.442,60</w:t>
            </w:r>
          </w:p>
        </w:tc>
        <w:tc>
          <w:tcPr>
            <w:tcW w:w="3118" w:type="dxa"/>
            <w:tcBorders>
              <w:top w:val="nil"/>
              <w:left w:val="nil"/>
              <w:bottom w:val="single" w:sz="4" w:space="0" w:color="auto"/>
              <w:right w:val="single" w:sz="4" w:space="0" w:color="auto"/>
            </w:tcBorders>
            <w:vAlign w:val="center"/>
            <w:hideMark/>
          </w:tcPr>
          <w:p w14:paraId="11C1FAD1" w14:textId="77777777" w:rsidR="000F632C" w:rsidRPr="000F632C" w:rsidRDefault="000F632C" w:rsidP="000F632C">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Odobrenja je ranijih godina ispostavljala Općina. U 2024. godini ova odobrenja zamjenjuje dozvola za obavljanje djelatnosti na pomorskom dobru, a naplaćeni prihodi su ostvareni po ranije ispostavljenim važećim rješenjima.</w:t>
            </w:r>
          </w:p>
        </w:tc>
      </w:tr>
      <w:tr w:rsidR="000F632C" w:rsidRPr="000F632C" w14:paraId="74E246B7" w14:textId="77777777" w:rsidTr="00E5617A">
        <w:trPr>
          <w:trHeight w:val="612"/>
        </w:trPr>
        <w:tc>
          <w:tcPr>
            <w:tcW w:w="1266" w:type="dxa"/>
            <w:tcBorders>
              <w:top w:val="nil"/>
              <w:left w:val="single" w:sz="4" w:space="0" w:color="auto"/>
              <w:bottom w:val="single" w:sz="4" w:space="0" w:color="auto"/>
              <w:right w:val="single" w:sz="4" w:space="0" w:color="auto"/>
            </w:tcBorders>
            <w:vAlign w:val="center"/>
            <w:hideMark/>
          </w:tcPr>
          <w:p w14:paraId="31D0E3E8" w14:textId="77777777" w:rsidR="000F632C" w:rsidRPr="000F632C" w:rsidRDefault="000F632C" w:rsidP="000F632C">
            <w:pPr>
              <w:spacing w:after="0" w:line="240" w:lineRule="auto"/>
              <w:rPr>
                <w:rFonts w:ascii="Arial" w:eastAsia="Times New Roman" w:hAnsi="Arial" w:cs="Arial"/>
                <w:sz w:val="16"/>
                <w:szCs w:val="16"/>
              </w:rPr>
            </w:pPr>
            <w:r w:rsidRPr="000F632C">
              <w:rPr>
                <w:rFonts w:ascii="Arial" w:eastAsia="Times New Roman" w:hAnsi="Arial" w:cs="Arial"/>
                <w:sz w:val="16"/>
                <w:szCs w:val="16"/>
              </w:rPr>
              <w:t>prihodi od zakupa poslovnih prostora (7722)</w:t>
            </w:r>
          </w:p>
        </w:tc>
        <w:tc>
          <w:tcPr>
            <w:tcW w:w="1134" w:type="dxa"/>
            <w:tcBorders>
              <w:top w:val="nil"/>
              <w:left w:val="nil"/>
              <w:bottom w:val="single" w:sz="4" w:space="0" w:color="auto"/>
              <w:right w:val="single" w:sz="4" w:space="0" w:color="auto"/>
            </w:tcBorders>
            <w:vAlign w:val="center"/>
            <w:hideMark/>
          </w:tcPr>
          <w:p w14:paraId="35C4114D"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62.736,87</w:t>
            </w:r>
          </w:p>
        </w:tc>
        <w:tc>
          <w:tcPr>
            <w:tcW w:w="1134" w:type="dxa"/>
            <w:tcBorders>
              <w:top w:val="nil"/>
              <w:left w:val="nil"/>
              <w:bottom w:val="single" w:sz="4" w:space="0" w:color="auto"/>
              <w:right w:val="single" w:sz="4" w:space="0" w:color="auto"/>
            </w:tcBorders>
            <w:vAlign w:val="center"/>
            <w:hideMark/>
          </w:tcPr>
          <w:p w14:paraId="3DD87E88"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62.914,88</w:t>
            </w:r>
          </w:p>
        </w:tc>
        <w:tc>
          <w:tcPr>
            <w:tcW w:w="1134" w:type="dxa"/>
            <w:tcBorders>
              <w:top w:val="nil"/>
              <w:left w:val="nil"/>
              <w:bottom w:val="single" w:sz="4" w:space="0" w:color="auto"/>
              <w:right w:val="single" w:sz="4" w:space="0" w:color="auto"/>
            </w:tcBorders>
            <w:vAlign w:val="center"/>
            <w:hideMark/>
          </w:tcPr>
          <w:p w14:paraId="357AECCA"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101.814,50</w:t>
            </w:r>
          </w:p>
        </w:tc>
        <w:tc>
          <w:tcPr>
            <w:tcW w:w="1134" w:type="dxa"/>
            <w:tcBorders>
              <w:top w:val="nil"/>
              <w:left w:val="nil"/>
              <w:bottom w:val="single" w:sz="4" w:space="0" w:color="auto"/>
              <w:right w:val="single" w:sz="4" w:space="0" w:color="auto"/>
            </w:tcBorders>
            <w:vAlign w:val="center"/>
            <w:hideMark/>
          </w:tcPr>
          <w:p w14:paraId="47DAE2DD"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58.503,77</w:t>
            </w:r>
          </w:p>
        </w:tc>
        <w:tc>
          <w:tcPr>
            <w:tcW w:w="1134" w:type="dxa"/>
            <w:tcBorders>
              <w:top w:val="nil"/>
              <w:left w:val="nil"/>
              <w:bottom w:val="single" w:sz="4" w:space="0" w:color="auto"/>
              <w:right w:val="single" w:sz="4" w:space="0" w:color="auto"/>
            </w:tcBorders>
            <w:vAlign w:val="center"/>
            <w:hideMark/>
          </w:tcPr>
          <w:p w14:paraId="333E1E30"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95.526,23</w:t>
            </w:r>
          </w:p>
        </w:tc>
        <w:tc>
          <w:tcPr>
            <w:tcW w:w="1276" w:type="dxa"/>
            <w:tcBorders>
              <w:top w:val="nil"/>
              <w:left w:val="nil"/>
              <w:bottom w:val="single" w:sz="4" w:space="0" w:color="auto"/>
              <w:right w:val="single" w:sz="4" w:space="0" w:color="auto"/>
            </w:tcBorders>
            <w:vAlign w:val="center"/>
            <w:hideMark/>
          </w:tcPr>
          <w:p w14:paraId="7118F279" w14:textId="77777777" w:rsidR="000F632C" w:rsidRPr="000F632C" w:rsidRDefault="000F632C" w:rsidP="000F632C">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111.632,34</w:t>
            </w:r>
          </w:p>
        </w:tc>
        <w:tc>
          <w:tcPr>
            <w:tcW w:w="1134" w:type="dxa"/>
            <w:tcBorders>
              <w:top w:val="nil"/>
              <w:left w:val="nil"/>
              <w:bottom w:val="single" w:sz="4" w:space="0" w:color="auto"/>
              <w:right w:val="single" w:sz="4" w:space="0" w:color="auto"/>
            </w:tcBorders>
            <w:vAlign w:val="center"/>
            <w:hideMark/>
          </w:tcPr>
          <w:p w14:paraId="651B0065"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95.752,70</w:t>
            </w:r>
          </w:p>
        </w:tc>
        <w:tc>
          <w:tcPr>
            <w:tcW w:w="1134" w:type="dxa"/>
            <w:tcBorders>
              <w:top w:val="nil"/>
              <w:left w:val="nil"/>
              <w:bottom w:val="single" w:sz="4" w:space="0" w:color="auto"/>
              <w:right w:val="single" w:sz="4" w:space="0" w:color="auto"/>
            </w:tcBorders>
            <w:vAlign w:val="center"/>
            <w:hideMark/>
          </w:tcPr>
          <w:p w14:paraId="57EB0705"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106.246,88</w:t>
            </w:r>
          </w:p>
        </w:tc>
        <w:tc>
          <w:tcPr>
            <w:tcW w:w="1134" w:type="dxa"/>
            <w:tcBorders>
              <w:top w:val="nil"/>
              <w:left w:val="nil"/>
              <w:bottom w:val="single" w:sz="4" w:space="0" w:color="auto"/>
              <w:right w:val="single" w:sz="4" w:space="0" w:color="auto"/>
            </w:tcBorders>
            <w:vAlign w:val="center"/>
            <w:hideMark/>
          </w:tcPr>
          <w:p w14:paraId="6E792CF8" w14:textId="77777777" w:rsidR="000F632C" w:rsidRPr="000F632C" w:rsidRDefault="000F632C" w:rsidP="000F632C">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42.916,26</w:t>
            </w:r>
          </w:p>
        </w:tc>
        <w:tc>
          <w:tcPr>
            <w:tcW w:w="3118" w:type="dxa"/>
            <w:tcBorders>
              <w:top w:val="nil"/>
              <w:left w:val="nil"/>
              <w:bottom w:val="single" w:sz="4" w:space="0" w:color="auto"/>
              <w:right w:val="single" w:sz="4" w:space="0" w:color="auto"/>
            </w:tcBorders>
            <w:vAlign w:val="center"/>
            <w:hideMark/>
          </w:tcPr>
          <w:p w14:paraId="39BF2459" w14:textId="77777777" w:rsidR="000F632C" w:rsidRPr="000F632C" w:rsidRDefault="000F632C" w:rsidP="000F632C">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Na temelju zaključenih ugovora i ispostavljenih računa zakupcima. Ovi prihodi se odnose na naplaćena dugovanja iz prethodne godine i na zakupe u 2024.</w:t>
            </w:r>
          </w:p>
        </w:tc>
      </w:tr>
    </w:tbl>
    <w:p w14:paraId="03947E03" w14:textId="77777777" w:rsidR="00E5617A" w:rsidRDefault="00E5617A" w:rsidP="00F91AE6">
      <w:pPr>
        <w:spacing w:after="0" w:line="240" w:lineRule="auto"/>
        <w:jc w:val="both"/>
        <w:rPr>
          <w:rFonts w:ascii="Arial" w:eastAsia="Times New Roman" w:hAnsi="Arial" w:cs="Arial"/>
        </w:rPr>
      </w:pPr>
    </w:p>
    <w:p w14:paraId="595AD91A" w14:textId="77777777" w:rsidR="00E5617A" w:rsidRDefault="00E5617A" w:rsidP="00F91AE6">
      <w:pPr>
        <w:spacing w:after="0" w:line="240" w:lineRule="auto"/>
        <w:jc w:val="both"/>
        <w:rPr>
          <w:rFonts w:ascii="Arial" w:eastAsia="Times New Roman" w:hAnsi="Arial" w:cs="Arial"/>
        </w:rPr>
      </w:pPr>
    </w:p>
    <w:p w14:paraId="0FC85268" w14:textId="77777777" w:rsidR="00E5617A" w:rsidRDefault="00E5617A" w:rsidP="00F91AE6">
      <w:pPr>
        <w:spacing w:after="0" w:line="240" w:lineRule="auto"/>
        <w:jc w:val="both"/>
        <w:rPr>
          <w:rFonts w:ascii="Arial" w:eastAsia="Times New Roman" w:hAnsi="Arial" w:cs="Arial"/>
        </w:rPr>
      </w:pPr>
    </w:p>
    <w:p w14:paraId="2133180D" w14:textId="77777777" w:rsidR="00E5617A" w:rsidRDefault="00E5617A" w:rsidP="00F91AE6">
      <w:pPr>
        <w:spacing w:after="0" w:line="240" w:lineRule="auto"/>
        <w:jc w:val="both"/>
        <w:rPr>
          <w:rFonts w:ascii="Arial" w:eastAsia="Times New Roman" w:hAnsi="Arial" w:cs="Arial"/>
        </w:rPr>
      </w:pPr>
    </w:p>
    <w:p w14:paraId="5141D545" w14:textId="77777777" w:rsidR="00E5617A" w:rsidRDefault="00E5617A" w:rsidP="00F91AE6">
      <w:pPr>
        <w:spacing w:after="0" w:line="240" w:lineRule="auto"/>
        <w:jc w:val="both"/>
        <w:rPr>
          <w:rFonts w:ascii="Arial" w:eastAsia="Times New Roman" w:hAnsi="Arial" w:cs="Arial"/>
        </w:rPr>
      </w:pPr>
    </w:p>
    <w:tbl>
      <w:tblPr>
        <w:tblW w:w="14737" w:type="dxa"/>
        <w:tblInd w:w="-5" w:type="dxa"/>
        <w:tblCellMar>
          <w:top w:w="28" w:type="dxa"/>
          <w:left w:w="28" w:type="dxa"/>
          <w:bottom w:w="28" w:type="dxa"/>
          <w:right w:w="28" w:type="dxa"/>
        </w:tblCellMar>
        <w:tblLook w:val="04A0" w:firstRow="1" w:lastRow="0" w:firstColumn="1" w:lastColumn="0" w:noHBand="0" w:noVBand="1"/>
      </w:tblPr>
      <w:tblGrid>
        <w:gridCol w:w="1267"/>
        <w:gridCol w:w="1135"/>
        <w:gridCol w:w="1135"/>
        <w:gridCol w:w="1135"/>
        <w:gridCol w:w="1134"/>
        <w:gridCol w:w="1134"/>
        <w:gridCol w:w="1276"/>
        <w:gridCol w:w="1134"/>
        <w:gridCol w:w="1134"/>
        <w:gridCol w:w="1134"/>
        <w:gridCol w:w="3119"/>
      </w:tblGrid>
      <w:tr w:rsidR="00E5617A" w:rsidRPr="000F632C" w14:paraId="2163F2A0" w14:textId="77777777" w:rsidTr="007D3662">
        <w:trPr>
          <w:trHeight w:val="701"/>
        </w:trPr>
        <w:tc>
          <w:tcPr>
            <w:tcW w:w="1267" w:type="dxa"/>
            <w:tcBorders>
              <w:top w:val="single" w:sz="4" w:space="0" w:color="auto"/>
              <w:left w:val="single" w:sz="8" w:space="0" w:color="auto"/>
              <w:bottom w:val="single" w:sz="8" w:space="0" w:color="auto"/>
              <w:right w:val="single" w:sz="8" w:space="0" w:color="000000"/>
            </w:tcBorders>
            <w:vAlign w:val="center"/>
            <w:hideMark/>
          </w:tcPr>
          <w:p w14:paraId="11A2CBD9" w14:textId="77777777" w:rsidR="00E5617A" w:rsidRPr="000F632C" w:rsidRDefault="00E5617A" w:rsidP="00DB4807">
            <w:pPr>
              <w:spacing w:after="0" w:line="240" w:lineRule="auto"/>
              <w:rPr>
                <w:rFonts w:ascii="Arial" w:eastAsia="Times New Roman" w:hAnsi="Arial" w:cs="Arial"/>
                <w:b/>
                <w:bCs/>
                <w:i/>
                <w:iCs/>
                <w:sz w:val="20"/>
                <w:szCs w:val="20"/>
              </w:rPr>
            </w:pPr>
            <w:r w:rsidRPr="000F632C">
              <w:rPr>
                <w:rFonts w:ascii="Arial" w:eastAsia="Times New Roman" w:hAnsi="Arial" w:cs="Arial"/>
                <w:b/>
                <w:bCs/>
                <w:i/>
                <w:iCs/>
                <w:sz w:val="20"/>
                <w:szCs w:val="20"/>
              </w:rPr>
              <w:lastRenderedPageBreak/>
              <w:t>Vrsta prihoda</w:t>
            </w:r>
          </w:p>
        </w:tc>
        <w:tc>
          <w:tcPr>
            <w:tcW w:w="1135" w:type="dxa"/>
            <w:tcBorders>
              <w:top w:val="single" w:sz="4" w:space="0" w:color="auto"/>
              <w:left w:val="nil"/>
              <w:bottom w:val="single" w:sz="8" w:space="0" w:color="auto"/>
              <w:right w:val="single" w:sz="8" w:space="0" w:color="000000"/>
            </w:tcBorders>
            <w:vAlign w:val="center"/>
            <w:hideMark/>
          </w:tcPr>
          <w:p w14:paraId="2D72EFD1"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2017.g. (€)</w:t>
            </w:r>
          </w:p>
        </w:tc>
        <w:tc>
          <w:tcPr>
            <w:tcW w:w="1135" w:type="dxa"/>
            <w:tcBorders>
              <w:top w:val="single" w:sz="4" w:space="0" w:color="auto"/>
              <w:left w:val="nil"/>
              <w:bottom w:val="single" w:sz="8" w:space="0" w:color="auto"/>
              <w:right w:val="single" w:sz="8" w:space="0" w:color="000000"/>
            </w:tcBorders>
            <w:vAlign w:val="center"/>
            <w:hideMark/>
          </w:tcPr>
          <w:p w14:paraId="2D66F04E"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2018.g. (€)</w:t>
            </w:r>
          </w:p>
        </w:tc>
        <w:tc>
          <w:tcPr>
            <w:tcW w:w="1135" w:type="dxa"/>
            <w:tcBorders>
              <w:top w:val="single" w:sz="4" w:space="0" w:color="auto"/>
              <w:left w:val="nil"/>
              <w:bottom w:val="single" w:sz="8" w:space="0" w:color="auto"/>
              <w:right w:val="single" w:sz="8" w:space="0" w:color="000000"/>
            </w:tcBorders>
            <w:vAlign w:val="center"/>
            <w:hideMark/>
          </w:tcPr>
          <w:p w14:paraId="611DAFD5"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2019.g. (€)</w:t>
            </w:r>
          </w:p>
        </w:tc>
        <w:tc>
          <w:tcPr>
            <w:tcW w:w="1134" w:type="dxa"/>
            <w:tcBorders>
              <w:top w:val="single" w:sz="4" w:space="0" w:color="auto"/>
              <w:left w:val="nil"/>
              <w:bottom w:val="single" w:sz="8" w:space="0" w:color="auto"/>
              <w:right w:val="single" w:sz="8" w:space="0" w:color="000000"/>
            </w:tcBorders>
            <w:vAlign w:val="center"/>
            <w:hideMark/>
          </w:tcPr>
          <w:p w14:paraId="4AEF73DE"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2020.g. (€)</w:t>
            </w:r>
          </w:p>
        </w:tc>
        <w:tc>
          <w:tcPr>
            <w:tcW w:w="1134" w:type="dxa"/>
            <w:tcBorders>
              <w:top w:val="single" w:sz="4" w:space="0" w:color="auto"/>
              <w:left w:val="nil"/>
              <w:bottom w:val="single" w:sz="8" w:space="0" w:color="auto"/>
              <w:right w:val="single" w:sz="8" w:space="0" w:color="000000"/>
            </w:tcBorders>
            <w:vAlign w:val="center"/>
            <w:hideMark/>
          </w:tcPr>
          <w:p w14:paraId="5F3CDE4B"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2021.g. (€)</w:t>
            </w:r>
          </w:p>
        </w:tc>
        <w:tc>
          <w:tcPr>
            <w:tcW w:w="1276" w:type="dxa"/>
            <w:tcBorders>
              <w:top w:val="single" w:sz="4" w:space="0" w:color="auto"/>
              <w:left w:val="nil"/>
              <w:bottom w:val="single" w:sz="8" w:space="0" w:color="auto"/>
              <w:right w:val="single" w:sz="8" w:space="0" w:color="auto"/>
            </w:tcBorders>
            <w:vAlign w:val="center"/>
            <w:hideMark/>
          </w:tcPr>
          <w:p w14:paraId="3D28CA7F"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/2022.g. (€)</w:t>
            </w:r>
          </w:p>
        </w:tc>
        <w:tc>
          <w:tcPr>
            <w:tcW w:w="1134" w:type="dxa"/>
            <w:tcBorders>
              <w:top w:val="single" w:sz="4" w:space="0" w:color="auto"/>
              <w:left w:val="nil"/>
              <w:bottom w:val="single" w:sz="8" w:space="0" w:color="auto"/>
              <w:right w:val="single" w:sz="8" w:space="0" w:color="auto"/>
            </w:tcBorders>
            <w:vAlign w:val="center"/>
            <w:hideMark/>
          </w:tcPr>
          <w:p w14:paraId="60ED4F83"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2023.g. (€)</w:t>
            </w:r>
          </w:p>
        </w:tc>
        <w:tc>
          <w:tcPr>
            <w:tcW w:w="1134" w:type="dxa"/>
            <w:tcBorders>
              <w:top w:val="single" w:sz="4" w:space="0" w:color="auto"/>
              <w:left w:val="nil"/>
              <w:bottom w:val="single" w:sz="8" w:space="0" w:color="auto"/>
              <w:right w:val="single" w:sz="8" w:space="0" w:color="auto"/>
            </w:tcBorders>
            <w:vAlign w:val="center"/>
            <w:hideMark/>
          </w:tcPr>
          <w:p w14:paraId="0B104B94"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2024.g. (€)</w:t>
            </w:r>
          </w:p>
        </w:tc>
        <w:tc>
          <w:tcPr>
            <w:tcW w:w="1134" w:type="dxa"/>
            <w:tcBorders>
              <w:top w:val="single" w:sz="4" w:space="0" w:color="auto"/>
              <w:left w:val="nil"/>
              <w:bottom w:val="single" w:sz="8" w:space="0" w:color="auto"/>
              <w:right w:val="single" w:sz="8" w:space="0" w:color="auto"/>
            </w:tcBorders>
            <w:vAlign w:val="center"/>
            <w:hideMark/>
          </w:tcPr>
          <w:p w14:paraId="0B303154"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1-6/ 2025.g. (€)</w:t>
            </w:r>
          </w:p>
        </w:tc>
        <w:tc>
          <w:tcPr>
            <w:tcW w:w="3119" w:type="dxa"/>
            <w:tcBorders>
              <w:top w:val="single" w:sz="4" w:space="0" w:color="auto"/>
              <w:left w:val="nil"/>
              <w:bottom w:val="single" w:sz="8" w:space="0" w:color="auto"/>
              <w:right w:val="single" w:sz="8" w:space="0" w:color="auto"/>
            </w:tcBorders>
            <w:vAlign w:val="center"/>
            <w:hideMark/>
          </w:tcPr>
          <w:p w14:paraId="52E11EB5" w14:textId="15A2C78C" w:rsidR="00E5617A" w:rsidRPr="000F632C" w:rsidRDefault="00E5617A" w:rsidP="00DB4807">
            <w:pPr>
              <w:spacing w:after="0" w:line="240" w:lineRule="auto"/>
              <w:jc w:val="center"/>
              <w:rPr>
                <w:rFonts w:ascii="Arial" w:eastAsia="Times New Roman" w:hAnsi="Arial" w:cs="Arial"/>
                <w:b/>
                <w:bCs/>
                <w:i/>
                <w:iCs/>
                <w:sz w:val="20"/>
                <w:szCs w:val="20"/>
              </w:rPr>
            </w:pPr>
            <w:r w:rsidRPr="000F632C">
              <w:rPr>
                <w:rFonts w:ascii="Arial" w:eastAsia="Times New Roman" w:hAnsi="Arial" w:cs="Arial"/>
                <w:b/>
                <w:bCs/>
                <w:i/>
                <w:iCs/>
                <w:sz w:val="20"/>
                <w:szCs w:val="20"/>
              </w:rPr>
              <w:t>Obrazloženje za prihode u razdoblju 202</w:t>
            </w:r>
            <w:r w:rsidR="007D3662">
              <w:rPr>
                <w:rFonts w:ascii="Arial" w:eastAsia="Times New Roman" w:hAnsi="Arial" w:cs="Arial"/>
                <w:b/>
                <w:bCs/>
                <w:i/>
                <w:iCs/>
                <w:sz w:val="20"/>
                <w:szCs w:val="20"/>
              </w:rPr>
              <w:t>5</w:t>
            </w:r>
            <w:r w:rsidRPr="000F632C">
              <w:rPr>
                <w:rFonts w:ascii="Arial" w:eastAsia="Times New Roman" w:hAnsi="Arial" w:cs="Arial"/>
                <w:b/>
                <w:bCs/>
                <w:i/>
                <w:iCs/>
                <w:sz w:val="20"/>
                <w:szCs w:val="20"/>
              </w:rPr>
              <w:t>.</w:t>
            </w:r>
          </w:p>
        </w:tc>
      </w:tr>
      <w:tr w:rsidR="00E5617A" w:rsidRPr="000F632C" w14:paraId="7820DB2C" w14:textId="77777777" w:rsidTr="00E5617A">
        <w:trPr>
          <w:trHeight w:val="3180"/>
        </w:trPr>
        <w:tc>
          <w:tcPr>
            <w:tcW w:w="1267" w:type="dxa"/>
            <w:tcBorders>
              <w:top w:val="nil"/>
              <w:left w:val="single" w:sz="4" w:space="0" w:color="auto"/>
              <w:bottom w:val="single" w:sz="4" w:space="0" w:color="auto"/>
              <w:right w:val="single" w:sz="4" w:space="0" w:color="auto"/>
            </w:tcBorders>
            <w:vAlign w:val="center"/>
            <w:hideMark/>
          </w:tcPr>
          <w:p w14:paraId="6EAC79D0" w14:textId="33CEED13"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naknada za pravo puta na nekretninama</w:t>
            </w:r>
          </w:p>
        </w:tc>
        <w:tc>
          <w:tcPr>
            <w:tcW w:w="1135" w:type="dxa"/>
            <w:tcBorders>
              <w:top w:val="nil"/>
              <w:left w:val="nil"/>
              <w:bottom w:val="single" w:sz="4" w:space="0" w:color="auto"/>
              <w:right w:val="single" w:sz="4" w:space="0" w:color="auto"/>
            </w:tcBorders>
            <w:vAlign w:val="center"/>
            <w:hideMark/>
          </w:tcPr>
          <w:p w14:paraId="69CA1FCA"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5" w:type="dxa"/>
            <w:tcBorders>
              <w:top w:val="nil"/>
              <w:left w:val="nil"/>
              <w:bottom w:val="single" w:sz="4" w:space="0" w:color="auto"/>
              <w:right w:val="single" w:sz="4" w:space="0" w:color="auto"/>
            </w:tcBorders>
            <w:vAlign w:val="center"/>
            <w:hideMark/>
          </w:tcPr>
          <w:p w14:paraId="0A3272B6"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57.887,14</w:t>
            </w:r>
          </w:p>
        </w:tc>
        <w:tc>
          <w:tcPr>
            <w:tcW w:w="1135" w:type="dxa"/>
            <w:tcBorders>
              <w:top w:val="nil"/>
              <w:left w:val="nil"/>
              <w:bottom w:val="single" w:sz="4" w:space="0" w:color="auto"/>
              <w:right w:val="single" w:sz="4" w:space="0" w:color="auto"/>
            </w:tcBorders>
            <w:vAlign w:val="center"/>
            <w:hideMark/>
          </w:tcPr>
          <w:p w14:paraId="4C6759ED"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61.286,13</w:t>
            </w:r>
          </w:p>
        </w:tc>
        <w:tc>
          <w:tcPr>
            <w:tcW w:w="1134" w:type="dxa"/>
            <w:tcBorders>
              <w:top w:val="nil"/>
              <w:left w:val="nil"/>
              <w:bottom w:val="single" w:sz="4" w:space="0" w:color="auto"/>
              <w:right w:val="single" w:sz="4" w:space="0" w:color="auto"/>
            </w:tcBorders>
            <w:vAlign w:val="center"/>
            <w:hideMark/>
          </w:tcPr>
          <w:p w14:paraId="33F1C093"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32.342,56</w:t>
            </w:r>
          </w:p>
        </w:tc>
        <w:tc>
          <w:tcPr>
            <w:tcW w:w="1134" w:type="dxa"/>
            <w:tcBorders>
              <w:top w:val="nil"/>
              <w:left w:val="nil"/>
              <w:bottom w:val="single" w:sz="4" w:space="0" w:color="auto"/>
              <w:right w:val="single" w:sz="4" w:space="0" w:color="auto"/>
            </w:tcBorders>
            <w:vAlign w:val="center"/>
            <w:hideMark/>
          </w:tcPr>
          <w:p w14:paraId="5C759B52"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32.342,56</w:t>
            </w:r>
          </w:p>
        </w:tc>
        <w:tc>
          <w:tcPr>
            <w:tcW w:w="1276" w:type="dxa"/>
            <w:tcBorders>
              <w:top w:val="nil"/>
              <w:left w:val="nil"/>
              <w:bottom w:val="single" w:sz="4" w:space="0" w:color="auto"/>
              <w:right w:val="single" w:sz="4" w:space="0" w:color="auto"/>
            </w:tcBorders>
            <w:vAlign w:val="center"/>
            <w:hideMark/>
          </w:tcPr>
          <w:p w14:paraId="26D4836A"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61.285,88</w:t>
            </w:r>
          </w:p>
        </w:tc>
        <w:tc>
          <w:tcPr>
            <w:tcW w:w="1134" w:type="dxa"/>
            <w:tcBorders>
              <w:top w:val="nil"/>
              <w:left w:val="nil"/>
              <w:bottom w:val="single" w:sz="4" w:space="0" w:color="auto"/>
              <w:right w:val="single" w:sz="4" w:space="0" w:color="auto"/>
            </w:tcBorders>
            <w:vAlign w:val="center"/>
            <w:hideMark/>
          </w:tcPr>
          <w:p w14:paraId="41C23F31"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61.301,81</w:t>
            </w:r>
          </w:p>
        </w:tc>
        <w:tc>
          <w:tcPr>
            <w:tcW w:w="1134" w:type="dxa"/>
            <w:tcBorders>
              <w:top w:val="nil"/>
              <w:left w:val="nil"/>
              <w:bottom w:val="single" w:sz="4" w:space="0" w:color="auto"/>
              <w:right w:val="single" w:sz="4" w:space="0" w:color="auto"/>
            </w:tcBorders>
            <w:vAlign w:val="center"/>
            <w:hideMark/>
          </w:tcPr>
          <w:p w14:paraId="53FF11CB"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61.285,88</w:t>
            </w:r>
          </w:p>
        </w:tc>
        <w:tc>
          <w:tcPr>
            <w:tcW w:w="1134" w:type="dxa"/>
            <w:tcBorders>
              <w:top w:val="nil"/>
              <w:left w:val="nil"/>
              <w:bottom w:val="single" w:sz="4" w:space="0" w:color="auto"/>
              <w:right w:val="single" w:sz="4" w:space="0" w:color="auto"/>
            </w:tcBorders>
            <w:vAlign w:val="center"/>
            <w:hideMark/>
          </w:tcPr>
          <w:p w14:paraId="7B5A6E29"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61.301,81</w:t>
            </w:r>
          </w:p>
        </w:tc>
        <w:tc>
          <w:tcPr>
            <w:tcW w:w="3119" w:type="dxa"/>
            <w:tcBorders>
              <w:top w:val="nil"/>
              <w:left w:val="nil"/>
              <w:bottom w:val="single" w:sz="4" w:space="0" w:color="auto"/>
              <w:right w:val="single" w:sz="4" w:space="0" w:color="auto"/>
            </w:tcBorders>
            <w:vAlign w:val="center"/>
            <w:hideMark/>
          </w:tcPr>
          <w:p w14:paraId="57411DCB"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 xml:space="preserve">Prihodi od Hrvatskog telekoma sukladno Zakonu o elektroničkim komunikacijama i Pravilniku o potvrdi i naknadi za pravo puta. U veljači 2019. godine HAKOM je ispostavio rješenje, a HT dostavio tablicu obračuna kojom su obuhvaćene nekretnine na kojima općina nema upisano vlasništvo u zemljišnim knjigama (putevi i slično), te godišnja naknada za ove nekretnine iznosi dodatno 243.685,02 kn (32.342,56 €). Prema djelomičnom rješenju HAKOM-a iz siječnja 2018. naknada za elektroničko komunikacijsku mrežu, elektroničku komunikacijsku infrastrukturu i drugu opremu izgrađenu na nekretninama u vlasništvu Općine iznosi 218.075,33 kn / 28.943,57 €.  Novim </w:t>
            </w:r>
            <w:r w:rsidRPr="000F632C">
              <w:rPr>
                <w:rFonts w:ascii="Arial" w:eastAsia="Times New Roman" w:hAnsi="Arial" w:cs="Arial"/>
                <w:b/>
                <w:bCs/>
                <w:sz w:val="16"/>
                <w:szCs w:val="16"/>
              </w:rPr>
              <w:t>rješenjem iz srpnja 2020.</w:t>
            </w:r>
            <w:r w:rsidRPr="000F632C">
              <w:rPr>
                <w:rFonts w:ascii="Arial" w:eastAsia="Times New Roman" w:hAnsi="Arial" w:cs="Arial"/>
                <w:sz w:val="16"/>
                <w:szCs w:val="16"/>
              </w:rPr>
              <w:t xml:space="preserve"> (zamjenjuje rješenje iz 2018.) se utvrđuje pravo Općine na naknadu od 24. siječnja 2019. umjesto od 7.11.2017.  U 2021. naplaćena naknada za razdoblje 24.01.2021.-23.01.2022. U 2022., 2023., 2024., kao i u 2025. g. je naplaćena naknada po rješenju iz veljače 2019. i srpnja 2020. godišnje u ukupnom iznosu 61.285,88 €.  Također, na temelju ugovora s Hrvatskim telekomom, ostvareni su prihodi za pravo služnosti na nekretninama na dvije lokacije u iznosu 15,93 €. </w:t>
            </w:r>
          </w:p>
        </w:tc>
      </w:tr>
      <w:tr w:rsidR="00E5617A" w:rsidRPr="000F632C" w14:paraId="4D46693D" w14:textId="77777777" w:rsidTr="00E5617A">
        <w:trPr>
          <w:trHeight w:val="1548"/>
        </w:trPr>
        <w:tc>
          <w:tcPr>
            <w:tcW w:w="1267" w:type="dxa"/>
            <w:tcBorders>
              <w:top w:val="nil"/>
              <w:left w:val="single" w:sz="4" w:space="0" w:color="auto"/>
              <w:bottom w:val="single" w:sz="4" w:space="0" w:color="auto"/>
              <w:right w:val="single" w:sz="4" w:space="0" w:color="auto"/>
            </w:tcBorders>
            <w:vAlign w:val="center"/>
            <w:hideMark/>
          </w:tcPr>
          <w:p w14:paraId="1F850C71"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naknada od naplate lučkih pristojbi</w:t>
            </w:r>
          </w:p>
        </w:tc>
        <w:tc>
          <w:tcPr>
            <w:tcW w:w="1135" w:type="dxa"/>
            <w:tcBorders>
              <w:top w:val="nil"/>
              <w:left w:val="nil"/>
              <w:bottom w:val="single" w:sz="4" w:space="0" w:color="auto"/>
              <w:right w:val="single" w:sz="4" w:space="0" w:color="auto"/>
            </w:tcBorders>
            <w:vAlign w:val="center"/>
            <w:hideMark/>
          </w:tcPr>
          <w:p w14:paraId="4E3AFC6E"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25.209,24</w:t>
            </w:r>
          </w:p>
        </w:tc>
        <w:tc>
          <w:tcPr>
            <w:tcW w:w="1135" w:type="dxa"/>
            <w:tcBorders>
              <w:top w:val="nil"/>
              <w:left w:val="nil"/>
              <w:bottom w:val="single" w:sz="4" w:space="0" w:color="auto"/>
              <w:right w:val="single" w:sz="4" w:space="0" w:color="auto"/>
            </w:tcBorders>
            <w:vAlign w:val="center"/>
            <w:hideMark/>
          </w:tcPr>
          <w:p w14:paraId="47F2D656"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5" w:type="dxa"/>
            <w:tcBorders>
              <w:top w:val="nil"/>
              <w:left w:val="nil"/>
              <w:bottom w:val="single" w:sz="4" w:space="0" w:color="auto"/>
              <w:right w:val="single" w:sz="4" w:space="0" w:color="auto"/>
            </w:tcBorders>
            <w:vAlign w:val="center"/>
            <w:hideMark/>
          </w:tcPr>
          <w:p w14:paraId="4A157AEE"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41.033,74</w:t>
            </w:r>
          </w:p>
        </w:tc>
        <w:tc>
          <w:tcPr>
            <w:tcW w:w="1134" w:type="dxa"/>
            <w:tcBorders>
              <w:top w:val="nil"/>
              <w:left w:val="nil"/>
              <w:bottom w:val="single" w:sz="4" w:space="0" w:color="auto"/>
              <w:right w:val="single" w:sz="4" w:space="0" w:color="auto"/>
            </w:tcBorders>
            <w:vAlign w:val="center"/>
            <w:hideMark/>
          </w:tcPr>
          <w:p w14:paraId="3519E68F"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134" w:type="dxa"/>
            <w:tcBorders>
              <w:top w:val="nil"/>
              <w:left w:val="nil"/>
              <w:bottom w:val="single" w:sz="4" w:space="0" w:color="auto"/>
              <w:right w:val="single" w:sz="4" w:space="0" w:color="auto"/>
            </w:tcBorders>
            <w:vAlign w:val="center"/>
            <w:hideMark/>
          </w:tcPr>
          <w:p w14:paraId="3DAEDD95"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276" w:type="dxa"/>
            <w:tcBorders>
              <w:top w:val="nil"/>
              <w:left w:val="nil"/>
              <w:bottom w:val="single" w:sz="4" w:space="0" w:color="auto"/>
              <w:right w:val="single" w:sz="4" w:space="0" w:color="auto"/>
            </w:tcBorders>
            <w:vAlign w:val="center"/>
            <w:hideMark/>
          </w:tcPr>
          <w:p w14:paraId="78776A9A"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134" w:type="dxa"/>
            <w:tcBorders>
              <w:top w:val="nil"/>
              <w:left w:val="nil"/>
              <w:bottom w:val="single" w:sz="4" w:space="0" w:color="auto"/>
              <w:right w:val="single" w:sz="4" w:space="0" w:color="auto"/>
            </w:tcBorders>
            <w:vAlign w:val="center"/>
            <w:hideMark/>
          </w:tcPr>
          <w:p w14:paraId="18418F1B"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261BCDB6"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13AF7CDC"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3119" w:type="dxa"/>
            <w:tcBorders>
              <w:top w:val="nil"/>
              <w:left w:val="nil"/>
              <w:bottom w:val="single" w:sz="4" w:space="0" w:color="auto"/>
              <w:right w:val="single" w:sz="4" w:space="0" w:color="auto"/>
            </w:tcBorders>
            <w:vAlign w:val="center"/>
            <w:hideMark/>
          </w:tcPr>
          <w:p w14:paraId="4E55D12C"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 xml:space="preserve">U 2025. nije ostvarena ova naknada. U 2019. godine je bila naplaćena naknada od naplate lučkih pristojbi na području Općine </w:t>
            </w:r>
            <w:r w:rsidRPr="000F632C">
              <w:rPr>
                <w:rFonts w:ascii="Arial" w:eastAsia="Times New Roman" w:hAnsi="Arial" w:cs="Arial"/>
                <w:b/>
                <w:bCs/>
                <w:sz w:val="16"/>
                <w:szCs w:val="16"/>
              </w:rPr>
              <w:t>tijekom 2017.</w:t>
            </w:r>
            <w:r w:rsidRPr="000F632C">
              <w:rPr>
                <w:rFonts w:ascii="Arial" w:eastAsia="Times New Roman" w:hAnsi="Arial" w:cs="Arial"/>
                <w:sz w:val="16"/>
                <w:szCs w:val="16"/>
              </w:rPr>
              <w:t xml:space="preserve"> te je Općini bilo doznačeno 30% neto prihoda iz 2017. u iznosu 41.033,74 € (prema odredbama Pravilnika o kriterijima za određivanje namjene pojedinog dijela luke otvorene za javni promet županijskog i lokalnog značaja, način plaćanja veza, uvjete korištenja, te određivanja maksimalne visine naknade i raspodjele prihoda – Narodne novine 94/2007, 79/2008, 114/2012, 47/2013).</w:t>
            </w:r>
          </w:p>
        </w:tc>
      </w:tr>
      <w:tr w:rsidR="00E5617A" w:rsidRPr="000F632C" w14:paraId="6BBD1A0F" w14:textId="77777777" w:rsidTr="00E5617A">
        <w:trPr>
          <w:trHeight w:val="816"/>
        </w:trPr>
        <w:tc>
          <w:tcPr>
            <w:tcW w:w="1267" w:type="dxa"/>
            <w:tcBorders>
              <w:top w:val="nil"/>
              <w:left w:val="single" w:sz="4" w:space="0" w:color="auto"/>
              <w:bottom w:val="single" w:sz="4" w:space="0" w:color="auto"/>
              <w:right w:val="single" w:sz="4" w:space="0" w:color="auto"/>
            </w:tcBorders>
            <w:vAlign w:val="center"/>
            <w:hideMark/>
          </w:tcPr>
          <w:p w14:paraId="2140245A"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naknada za koncesiju na pomorskom dobru (raspored)</w:t>
            </w:r>
          </w:p>
        </w:tc>
        <w:tc>
          <w:tcPr>
            <w:tcW w:w="1135" w:type="dxa"/>
            <w:tcBorders>
              <w:top w:val="nil"/>
              <w:left w:val="nil"/>
              <w:bottom w:val="single" w:sz="4" w:space="0" w:color="auto"/>
              <w:right w:val="single" w:sz="4" w:space="0" w:color="auto"/>
            </w:tcBorders>
            <w:vAlign w:val="center"/>
            <w:hideMark/>
          </w:tcPr>
          <w:p w14:paraId="34BF4658"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13.449,64</w:t>
            </w:r>
          </w:p>
        </w:tc>
        <w:tc>
          <w:tcPr>
            <w:tcW w:w="1135" w:type="dxa"/>
            <w:tcBorders>
              <w:top w:val="nil"/>
              <w:left w:val="nil"/>
              <w:bottom w:val="single" w:sz="4" w:space="0" w:color="auto"/>
              <w:right w:val="single" w:sz="4" w:space="0" w:color="auto"/>
            </w:tcBorders>
            <w:vAlign w:val="center"/>
            <w:hideMark/>
          </w:tcPr>
          <w:p w14:paraId="28FA79E8"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13.716,01</w:t>
            </w:r>
          </w:p>
        </w:tc>
        <w:tc>
          <w:tcPr>
            <w:tcW w:w="1135" w:type="dxa"/>
            <w:tcBorders>
              <w:top w:val="nil"/>
              <w:left w:val="nil"/>
              <w:bottom w:val="single" w:sz="4" w:space="0" w:color="auto"/>
              <w:right w:val="single" w:sz="4" w:space="0" w:color="auto"/>
            </w:tcBorders>
            <w:vAlign w:val="center"/>
            <w:hideMark/>
          </w:tcPr>
          <w:p w14:paraId="2C238E40"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13.740,79</w:t>
            </w:r>
          </w:p>
        </w:tc>
        <w:tc>
          <w:tcPr>
            <w:tcW w:w="1134" w:type="dxa"/>
            <w:tcBorders>
              <w:top w:val="nil"/>
              <w:left w:val="nil"/>
              <w:bottom w:val="single" w:sz="4" w:space="0" w:color="auto"/>
              <w:right w:val="single" w:sz="4" w:space="0" w:color="auto"/>
            </w:tcBorders>
            <w:vAlign w:val="center"/>
            <w:hideMark/>
          </w:tcPr>
          <w:p w14:paraId="6B150656"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9.499,48</w:t>
            </w:r>
          </w:p>
        </w:tc>
        <w:tc>
          <w:tcPr>
            <w:tcW w:w="1134" w:type="dxa"/>
            <w:tcBorders>
              <w:top w:val="nil"/>
              <w:left w:val="nil"/>
              <w:bottom w:val="single" w:sz="4" w:space="0" w:color="auto"/>
              <w:right w:val="single" w:sz="4" w:space="0" w:color="auto"/>
            </w:tcBorders>
            <w:vAlign w:val="center"/>
            <w:hideMark/>
          </w:tcPr>
          <w:p w14:paraId="20A11053"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12.761,55</w:t>
            </w:r>
          </w:p>
        </w:tc>
        <w:tc>
          <w:tcPr>
            <w:tcW w:w="1276" w:type="dxa"/>
            <w:tcBorders>
              <w:top w:val="nil"/>
              <w:left w:val="nil"/>
              <w:bottom w:val="single" w:sz="4" w:space="0" w:color="auto"/>
              <w:right w:val="single" w:sz="4" w:space="0" w:color="auto"/>
            </w:tcBorders>
            <w:vAlign w:val="center"/>
            <w:hideMark/>
          </w:tcPr>
          <w:p w14:paraId="5DFBF606"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13.884,98</w:t>
            </w:r>
          </w:p>
        </w:tc>
        <w:tc>
          <w:tcPr>
            <w:tcW w:w="1134" w:type="dxa"/>
            <w:tcBorders>
              <w:top w:val="nil"/>
              <w:left w:val="nil"/>
              <w:bottom w:val="single" w:sz="4" w:space="0" w:color="auto"/>
              <w:right w:val="single" w:sz="4" w:space="0" w:color="auto"/>
            </w:tcBorders>
            <w:vAlign w:val="center"/>
            <w:hideMark/>
          </w:tcPr>
          <w:p w14:paraId="261A3506"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24.371,23</w:t>
            </w:r>
          </w:p>
        </w:tc>
        <w:tc>
          <w:tcPr>
            <w:tcW w:w="1134" w:type="dxa"/>
            <w:tcBorders>
              <w:top w:val="nil"/>
              <w:left w:val="nil"/>
              <w:bottom w:val="single" w:sz="4" w:space="0" w:color="auto"/>
              <w:right w:val="single" w:sz="4" w:space="0" w:color="auto"/>
            </w:tcBorders>
            <w:vAlign w:val="center"/>
            <w:hideMark/>
          </w:tcPr>
          <w:p w14:paraId="5670EFC9"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26.525,47</w:t>
            </w:r>
          </w:p>
        </w:tc>
        <w:tc>
          <w:tcPr>
            <w:tcW w:w="1134" w:type="dxa"/>
            <w:tcBorders>
              <w:top w:val="nil"/>
              <w:left w:val="nil"/>
              <w:bottom w:val="single" w:sz="4" w:space="0" w:color="auto"/>
              <w:right w:val="single" w:sz="4" w:space="0" w:color="auto"/>
            </w:tcBorders>
            <w:vAlign w:val="center"/>
            <w:hideMark/>
          </w:tcPr>
          <w:p w14:paraId="45ABCC3C"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4.194,21</w:t>
            </w:r>
          </w:p>
        </w:tc>
        <w:tc>
          <w:tcPr>
            <w:tcW w:w="3119" w:type="dxa"/>
            <w:tcBorders>
              <w:top w:val="nil"/>
              <w:left w:val="nil"/>
              <w:bottom w:val="single" w:sz="4" w:space="0" w:color="auto"/>
              <w:right w:val="single" w:sz="4" w:space="0" w:color="auto"/>
            </w:tcBorders>
            <w:vAlign w:val="center"/>
            <w:hideMark/>
          </w:tcPr>
          <w:p w14:paraId="6AC6E7F2"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raspored sredstava sukladno odredbama Zakona o pomorskom dobru i morskim lukama</w:t>
            </w:r>
          </w:p>
        </w:tc>
      </w:tr>
      <w:tr w:rsidR="00E5617A" w:rsidRPr="000F632C" w14:paraId="0A3EB309" w14:textId="77777777" w:rsidTr="007D3662">
        <w:trPr>
          <w:trHeight w:val="701"/>
        </w:trPr>
        <w:tc>
          <w:tcPr>
            <w:tcW w:w="1267" w:type="dxa"/>
            <w:tcBorders>
              <w:top w:val="single" w:sz="4" w:space="0" w:color="auto"/>
              <w:left w:val="single" w:sz="8" w:space="0" w:color="auto"/>
              <w:bottom w:val="single" w:sz="8" w:space="0" w:color="auto"/>
              <w:right w:val="single" w:sz="8" w:space="0" w:color="000000"/>
            </w:tcBorders>
            <w:vAlign w:val="center"/>
            <w:hideMark/>
          </w:tcPr>
          <w:p w14:paraId="7CA9FB62" w14:textId="77777777" w:rsidR="00E5617A" w:rsidRPr="000F632C" w:rsidRDefault="00E5617A" w:rsidP="00DB4807">
            <w:pPr>
              <w:spacing w:after="0" w:line="240" w:lineRule="auto"/>
              <w:rPr>
                <w:rFonts w:ascii="Arial" w:eastAsia="Times New Roman" w:hAnsi="Arial" w:cs="Arial"/>
                <w:b/>
                <w:bCs/>
                <w:i/>
                <w:iCs/>
                <w:sz w:val="20"/>
                <w:szCs w:val="20"/>
              </w:rPr>
            </w:pPr>
            <w:r w:rsidRPr="000F632C">
              <w:rPr>
                <w:rFonts w:ascii="Arial" w:eastAsia="Times New Roman" w:hAnsi="Arial" w:cs="Arial"/>
                <w:b/>
                <w:bCs/>
                <w:i/>
                <w:iCs/>
                <w:sz w:val="20"/>
                <w:szCs w:val="20"/>
              </w:rPr>
              <w:lastRenderedPageBreak/>
              <w:t>Vrsta prihoda</w:t>
            </w:r>
          </w:p>
        </w:tc>
        <w:tc>
          <w:tcPr>
            <w:tcW w:w="1135" w:type="dxa"/>
            <w:tcBorders>
              <w:top w:val="single" w:sz="4" w:space="0" w:color="auto"/>
              <w:left w:val="nil"/>
              <w:bottom w:val="single" w:sz="8" w:space="0" w:color="auto"/>
              <w:right w:val="single" w:sz="8" w:space="0" w:color="000000"/>
            </w:tcBorders>
            <w:vAlign w:val="center"/>
            <w:hideMark/>
          </w:tcPr>
          <w:p w14:paraId="201DDA9C"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2017.g. (€)</w:t>
            </w:r>
          </w:p>
        </w:tc>
        <w:tc>
          <w:tcPr>
            <w:tcW w:w="1135" w:type="dxa"/>
            <w:tcBorders>
              <w:top w:val="single" w:sz="4" w:space="0" w:color="auto"/>
              <w:left w:val="nil"/>
              <w:bottom w:val="single" w:sz="8" w:space="0" w:color="auto"/>
              <w:right w:val="single" w:sz="8" w:space="0" w:color="000000"/>
            </w:tcBorders>
            <w:vAlign w:val="center"/>
            <w:hideMark/>
          </w:tcPr>
          <w:p w14:paraId="34585DD3"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2018.g. (€)</w:t>
            </w:r>
          </w:p>
        </w:tc>
        <w:tc>
          <w:tcPr>
            <w:tcW w:w="1135" w:type="dxa"/>
            <w:tcBorders>
              <w:top w:val="single" w:sz="4" w:space="0" w:color="auto"/>
              <w:left w:val="nil"/>
              <w:bottom w:val="single" w:sz="8" w:space="0" w:color="auto"/>
              <w:right w:val="single" w:sz="8" w:space="0" w:color="000000"/>
            </w:tcBorders>
            <w:vAlign w:val="center"/>
            <w:hideMark/>
          </w:tcPr>
          <w:p w14:paraId="3D14489C"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2019.g. (€)</w:t>
            </w:r>
          </w:p>
        </w:tc>
        <w:tc>
          <w:tcPr>
            <w:tcW w:w="1134" w:type="dxa"/>
            <w:tcBorders>
              <w:top w:val="single" w:sz="4" w:space="0" w:color="auto"/>
              <w:left w:val="nil"/>
              <w:bottom w:val="single" w:sz="8" w:space="0" w:color="auto"/>
              <w:right w:val="single" w:sz="8" w:space="0" w:color="000000"/>
            </w:tcBorders>
            <w:vAlign w:val="center"/>
            <w:hideMark/>
          </w:tcPr>
          <w:p w14:paraId="4E326429"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2020.g. (€)</w:t>
            </w:r>
          </w:p>
        </w:tc>
        <w:tc>
          <w:tcPr>
            <w:tcW w:w="1134" w:type="dxa"/>
            <w:tcBorders>
              <w:top w:val="single" w:sz="4" w:space="0" w:color="auto"/>
              <w:left w:val="nil"/>
              <w:bottom w:val="single" w:sz="8" w:space="0" w:color="auto"/>
              <w:right w:val="single" w:sz="8" w:space="0" w:color="000000"/>
            </w:tcBorders>
            <w:vAlign w:val="center"/>
            <w:hideMark/>
          </w:tcPr>
          <w:p w14:paraId="7E394A6A"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2021.g. (€)</w:t>
            </w:r>
          </w:p>
        </w:tc>
        <w:tc>
          <w:tcPr>
            <w:tcW w:w="1276" w:type="dxa"/>
            <w:tcBorders>
              <w:top w:val="single" w:sz="4" w:space="0" w:color="auto"/>
              <w:left w:val="nil"/>
              <w:bottom w:val="single" w:sz="8" w:space="0" w:color="auto"/>
              <w:right w:val="single" w:sz="8" w:space="0" w:color="auto"/>
            </w:tcBorders>
            <w:vAlign w:val="center"/>
            <w:hideMark/>
          </w:tcPr>
          <w:p w14:paraId="76E8B652"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/2022.g. (€)</w:t>
            </w:r>
          </w:p>
        </w:tc>
        <w:tc>
          <w:tcPr>
            <w:tcW w:w="1134" w:type="dxa"/>
            <w:tcBorders>
              <w:top w:val="single" w:sz="4" w:space="0" w:color="auto"/>
              <w:left w:val="nil"/>
              <w:bottom w:val="single" w:sz="8" w:space="0" w:color="auto"/>
              <w:right w:val="single" w:sz="8" w:space="0" w:color="auto"/>
            </w:tcBorders>
            <w:vAlign w:val="center"/>
            <w:hideMark/>
          </w:tcPr>
          <w:p w14:paraId="58A764B1"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2023.g. (€)</w:t>
            </w:r>
          </w:p>
        </w:tc>
        <w:tc>
          <w:tcPr>
            <w:tcW w:w="1134" w:type="dxa"/>
            <w:tcBorders>
              <w:top w:val="single" w:sz="4" w:space="0" w:color="auto"/>
              <w:left w:val="nil"/>
              <w:bottom w:val="single" w:sz="8" w:space="0" w:color="auto"/>
              <w:right w:val="single" w:sz="8" w:space="0" w:color="auto"/>
            </w:tcBorders>
            <w:vAlign w:val="center"/>
            <w:hideMark/>
          </w:tcPr>
          <w:p w14:paraId="28CED2B6"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2024.g. (€)</w:t>
            </w:r>
          </w:p>
        </w:tc>
        <w:tc>
          <w:tcPr>
            <w:tcW w:w="1134" w:type="dxa"/>
            <w:tcBorders>
              <w:top w:val="single" w:sz="4" w:space="0" w:color="auto"/>
              <w:left w:val="nil"/>
              <w:bottom w:val="single" w:sz="8" w:space="0" w:color="auto"/>
              <w:right w:val="single" w:sz="8" w:space="0" w:color="auto"/>
            </w:tcBorders>
            <w:vAlign w:val="center"/>
            <w:hideMark/>
          </w:tcPr>
          <w:p w14:paraId="217665FD"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1-6/ 2025.g. (€)</w:t>
            </w:r>
          </w:p>
        </w:tc>
        <w:tc>
          <w:tcPr>
            <w:tcW w:w="3119" w:type="dxa"/>
            <w:tcBorders>
              <w:top w:val="single" w:sz="4" w:space="0" w:color="auto"/>
              <w:left w:val="nil"/>
              <w:bottom w:val="single" w:sz="8" w:space="0" w:color="auto"/>
              <w:right w:val="single" w:sz="8" w:space="0" w:color="auto"/>
            </w:tcBorders>
            <w:vAlign w:val="center"/>
            <w:hideMark/>
          </w:tcPr>
          <w:p w14:paraId="56335487" w14:textId="189B4D26" w:rsidR="00E5617A" w:rsidRPr="000F632C" w:rsidRDefault="00E5617A" w:rsidP="00DB4807">
            <w:pPr>
              <w:spacing w:after="0" w:line="240" w:lineRule="auto"/>
              <w:jc w:val="center"/>
              <w:rPr>
                <w:rFonts w:ascii="Arial" w:eastAsia="Times New Roman" w:hAnsi="Arial" w:cs="Arial"/>
                <w:b/>
                <w:bCs/>
                <w:i/>
                <w:iCs/>
                <w:sz w:val="20"/>
                <w:szCs w:val="20"/>
              </w:rPr>
            </w:pPr>
            <w:r w:rsidRPr="000F632C">
              <w:rPr>
                <w:rFonts w:ascii="Arial" w:eastAsia="Times New Roman" w:hAnsi="Arial" w:cs="Arial"/>
                <w:b/>
                <w:bCs/>
                <w:i/>
                <w:iCs/>
                <w:sz w:val="20"/>
                <w:szCs w:val="20"/>
              </w:rPr>
              <w:t>Obrazloženje za prihode u razdoblju 202</w:t>
            </w:r>
            <w:r w:rsidR="007D3662">
              <w:rPr>
                <w:rFonts w:ascii="Arial" w:eastAsia="Times New Roman" w:hAnsi="Arial" w:cs="Arial"/>
                <w:b/>
                <w:bCs/>
                <w:i/>
                <w:iCs/>
                <w:sz w:val="20"/>
                <w:szCs w:val="20"/>
              </w:rPr>
              <w:t>5</w:t>
            </w:r>
            <w:r w:rsidRPr="000F632C">
              <w:rPr>
                <w:rFonts w:ascii="Arial" w:eastAsia="Times New Roman" w:hAnsi="Arial" w:cs="Arial"/>
                <w:b/>
                <w:bCs/>
                <w:i/>
                <w:iCs/>
                <w:sz w:val="20"/>
                <w:szCs w:val="20"/>
              </w:rPr>
              <w:t>.</w:t>
            </w:r>
          </w:p>
        </w:tc>
      </w:tr>
      <w:tr w:rsidR="00E5617A" w:rsidRPr="000F632C" w14:paraId="0E538126" w14:textId="77777777" w:rsidTr="00E5617A">
        <w:trPr>
          <w:trHeight w:val="1020"/>
        </w:trPr>
        <w:tc>
          <w:tcPr>
            <w:tcW w:w="1267" w:type="dxa"/>
            <w:tcBorders>
              <w:top w:val="nil"/>
              <w:left w:val="single" w:sz="4" w:space="0" w:color="auto"/>
              <w:bottom w:val="single" w:sz="4" w:space="0" w:color="auto"/>
              <w:right w:val="single" w:sz="4" w:space="0" w:color="auto"/>
            </w:tcBorders>
            <w:vAlign w:val="center"/>
            <w:hideMark/>
          </w:tcPr>
          <w:p w14:paraId="30A103CE"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 xml:space="preserve">naknada za zadržavanje nezakonito izgrađene zgrade u prostoru </w:t>
            </w:r>
          </w:p>
        </w:tc>
        <w:tc>
          <w:tcPr>
            <w:tcW w:w="1135" w:type="dxa"/>
            <w:tcBorders>
              <w:top w:val="nil"/>
              <w:left w:val="nil"/>
              <w:bottom w:val="single" w:sz="4" w:space="0" w:color="auto"/>
              <w:right w:val="single" w:sz="4" w:space="0" w:color="auto"/>
            </w:tcBorders>
            <w:vAlign w:val="center"/>
            <w:hideMark/>
          </w:tcPr>
          <w:p w14:paraId="2C1BD3F3"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10.282,63</w:t>
            </w:r>
          </w:p>
        </w:tc>
        <w:tc>
          <w:tcPr>
            <w:tcW w:w="1135" w:type="dxa"/>
            <w:tcBorders>
              <w:top w:val="nil"/>
              <w:left w:val="nil"/>
              <w:bottom w:val="single" w:sz="4" w:space="0" w:color="auto"/>
              <w:right w:val="single" w:sz="4" w:space="0" w:color="auto"/>
            </w:tcBorders>
            <w:vAlign w:val="center"/>
            <w:hideMark/>
          </w:tcPr>
          <w:p w14:paraId="429ECA26"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6.959,26</w:t>
            </w:r>
          </w:p>
        </w:tc>
        <w:tc>
          <w:tcPr>
            <w:tcW w:w="1135" w:type="dxa"/>
            <w:tcBorders>
              <w:top w:val="nil"/>
              <w:left w:val="nil"/>
              <w:bottom w:val="single" w:sz="4" w:space="0" w:color="auto"/>
              <w:right w:val="single" w:sz="4" w:space="0" w:color="auto"/>
            </w:tcBorders>
            <w:vAlign w:val="center"/>
            <w:hideMark/>
          </w:tcPr>
          <w:p w14:paraId="60BDE879"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12.117,51</w:t>
            </w:r>
          </w:p>
        </w:tc>
        <w:tc>
          <w:tcPr>
            <w:tcW w:w="1134" w:type="dxa"/>
            <w:tcBorders>
              <w:top w:val="nil"/>
              <w:left w:val="nil"/>
              <w:bottom w:val="single" w:sz="4" w:space="0" w:color="auto"/>
              <w:right w:val="single" w:sz="4" w:space="0" w:color="auto"/>
            </w:tcBorders>
            <w:vAlign w:val="center"/>
            <w:hideMark/>
          </w:tcPr>
          <w:p w14:paraId="708C4D89"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4.760,84</w:t>
            </w:r>
          </w:p>
        </w:tc>
        <w:tc>
          <w:tcPr>
            <w:tcW w:w="1134" w:type="dxa"/>
            <w:tcBorders>
              <w:top w:val="nil"/>
              <w:left w:val="nil"/>
              <w:bottom w:val="single" w:sz="4" w:space="0" w:color="auto"/>
              <w:right w:val="single" w:sz="4" w:space="0" w:color="auto"/>
            </w:tcBorders>
            <w:vAlign w:val="center"/>
            <w:hideMark/>
          </w:tcPr>
          <w:p w14:paraId="518769F8"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3.862,95</w:t>
            </w:r>
          </w:p>
        </w:tc>
        <w:tc>
          <w:tcPr>
            <w:tcW w:w="1276" w:type="dxa"/>
            <w:tcBorders>
              <w:top w:val="nil"/>
              <w:left w:val="nil"/>
              <w:bottom w:val="single" w:sz="4" w:space="0" w:color="auto"/>
              <w:right w:val="single" w:sz="4" w:space="0" w:color="auto"/>
            </w:tcBorders>
            <w:vAlign w:val="center"/>
            <w:hideMark/>
          </w:tcPr>
          <w:p w14:paraId="52F929D5"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3.927,24</w:t>
            </w:r>
          </w:p>
        </w:tc>
        <w:tc>
          <w:tcPr>
            <w:tcW w:w="1134" w:type="dxa"/>
            <w:tcBorders>
              <w:top w:val="nil"/>
              <w:left w:val="nil"/>
              <w:bottom w:val="single" w:sz="4" w:space="0" w:color="auto"/>
              <w:right w:val="single" w:sz="4" w:space="0" w:color="auto"/>
            </w:tcBorders>
            <w:vAlign w:val="center"/>
            <w:hideMark/>
          </w:tcPr>
          <w:p w14:paraId="3BC6A8F2"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373,97</w:t>
            </w:r>
          </w:p>
        </w:tc>
        <w:tc>
          <w:tcPr>
            <w:tcW w:w="1134" w:type="dxa"/>
            <w:tcBorders>
              <w:top w:val="nil"/>
              <w:left w:val="nil"/>
              <w:bottom w:val="single" w:sz="4" w:space="0" w:color="auto"/>
              <w:right w:val="single" w:sz="4" w:space="0" w:color="auto"/>
            </w:tcBorders>
            <w:vAlign w:val="center"/>
            <w:hideMark/>
          </w:tcPr>
          <w:p w14:paraId="4F4C1A37"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968,64</w:t>
            </w:r>
          </w:p>
        </w:tc>
        <w:tc>
          <w:tcPr>
            <w:tcW w:w="1134" w:type="dxa"/>
            <w:tcBorders>
              <w:top w:val="nil"/>
              <w:left w:val="nil"/>
              <w:bottom w:val="single" w:sz="4" w:space="0" w:color="auto"/>
              <w:right w:val="single" w:sz="4" w:space="0" w:color="auto"/>
            </w:tcBorders>
            <w:vAlign w:val="center"/>
            <w:hideMark/>
          </w:tcPr>
          <w:p w14:paraId="359682B4"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224,21</w:t>
            </w:r>
          </w:p>
        </w:tc>
        <w:tc>
          <w:tcPr>
            <w:tcW w:w="3119" w:type="dxa"/>
            <w:tcBorders>
              <w:top w:val="nil"/>
              <w:left w:val="nil"/>
              <w:bottom w:val="single" w:sz="4" w:space="0" w:color="auto"/>
              <w:right w:val="single" w:sz="4" w:space="0" w:color="auto"/>
            </w:tcBorders>
            <w:vAlign w:val="center"/>
            <w:hideMark/>
          </w:tcPr>
          <w:p w14:paraId="6A20FB3F"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Prihodi od naknade za zadržavanje nezakonito izgrađene zgrade u prostoru (</w:t>
            </w:r>
            <w:r w:rsidRPr="000F632C">
              <w:rPr>
                <w:rFonts w:ascii="Arial" w:eastAsia="Times New Roman" w:hAnsi="Arial" w:cs="Arial"/>
                <w:b/>
                <w:bCs/>
                <w:sz w:val="16"/>
                <w:szCs w:val="16"/>
              </w:rPr>
              <w:t>6429</w:t>
            </w:r>
            <w:r w:rsidRPr="000F632C">
              <w:rPr>
                <w:rFonts w:ascii="Arial" w:eastAsia="Times New Roman" w:hAnsi="Arial" w:cs="Arial"/>
                <w:sz w:val="16"/>
                <w:szCs w:val="16"/>
              </w:rPr>
              <w:t>) na temelju Zakona o postupanju s nezakonito izgrađenim zgradama (Narodne novine 86/12, 143/13, 65/17). Posljednjim izmjenama Zakona iz 2017. godine su promijenjeni i udjeli raspodjele prihoda te je ova naknada zajednički prihod državnog proračuna (40,0%), županijskog proračuna (30,0%) i proračuna Općine (30,0%).</w:t>
            </w:r>
          </w:p>
        </w:tc>
      </w:tr>
      <w:tr w:rsidR="00E5617A" w:rsidRPr="000F632C" w14:paraId="392154AD" w14:textId="77777777" w:rsidTr="00E5617A">
        <w:trPr>
          <w:trHeight w:val="1224"/>
        </w:trPr>
        <w:tc>
          <w:tcPr>
            <w:tcW w:w="1267" w:type="dxa"/>
            <w:tcBorders>
              <w:top w:val="nil"/>
              <w:left w:val="single" w:sz="4" w:space="0" w:color="auto"/>
              <w:bottom w:val="single" w:sz="4" w:space="0" w:color="auto"/>
              <w:right w:val="single" w:sz="4" w:space="0" w:color="auto"/>
            </w:tcBorders>
            <w:vAlign w:val="center"/>
            <w:hideMark/>
          </w:tcPr>
          <w:p w14:paraId="348E3971"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naknada za zakup poljoprivrednog zemljišta u državnom vlasništvu</w:t>
            </w:r>
          </w:p>
        </w:tc>
        <w:tc>
          <w:tcPr>
            <w:tcW w:w="1135" w:type="dxa"/>
            <w:tcBorders>
              <w:top w:val="nil"/>
              <w:left w:val="nil"/>
              <w:bottom w:val="single" w:sz="4" w:space="0" w:color="auto"/>
              <w:right w:val="single" w:sz="4" w:space="0" w:color="auto"/>
            </w:tcBorders>
            <w:vAlign w:val="center"/>
            <w:hideMark/>
          </w:tcPr>
          <w:p w14:paraId="4F3E6517"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5" w:type="dxa"/>
            <w:tcBorders>
              <w:top w:val="nil"/>
              <w:left w:val="nil"/>
              <w:bottom w:val="single" w:sz="4" w:space="0" w:color="auto"/>
              <w:right w:val="single" w:sz="4" w:space="0" w:color="auto"/>
            </w:tcBorders>
            <w:vAlign w:val="center"/>
            <w:hideMark/>
          </w:tcPr>
          <w:p w14:paraId="27B8F04F"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455,65</w:t>
            </w:r>
          </w:p>
        </w:tc>
        <w:tc>
          <w:tcPr>
            <w:tcW w:w="1135" w:type="dxa"/>
            <w:tcBorders>
              <w:top w:val="nil"/>
              <w:left w:val="nil"/>
              <w:bottom w:val="single" w:sz="4" w:space="0" w:color="auto"/>
              <w:right w:val="single" w:sz="4" w:space="0" w:color="auto"/>
            </w:tcBorders>
            <w:vAlign w:val="center"/>
            <w:hideMark/>
          </w:tcPr>
          <w:p w14:paraId="7CE7CF14"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1.629,83</w:t>
            </w:r>
          </w:p>
        </w:tc>
        <w:tc>
          <w:tcPr>
            <w:tcW w:w="1134" w:type="dxa"/>
            <w:tcBorders>
              <w:top w:val="nil"/>
              <w:left w:val="nil"/>
              <w:bottom w:val="single" w:sz="4" w:space="0" w:color="auto"/>
              <w:right w:val="single" w:sz="4" w:space="0" w:color="auto"/>
            </w:tcBorders>
            <w:vAlign w:val="center"/>
            <w:hideMark/>
          </w:tcPr>
          <w:p w14:paraId="64001DF0"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164,22</w:t>
            </w:r>
          </w:p>
        </w:tc>
        <w:tc>
          <w:tcPr>
            <w:tcW w:w="1134" w:type="dxa"/>
            <w:tcBorders>
              <w:top w:val="nil"/>
              <w:left w:val="nil"/>
              <w:bottom w:val="single" w:sz="4" w:space="0" w:color="auto"/>
              <w:right w:val="single" w:sz="4" w:space="0" w:color="auto"/>
            </w:tcBorders>
            <w:vAlign w:val="center"/>
            <w:hideMark/>
          </w:tcPr>
          <w:p w14:paraId="73895AC6"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276" w:type="dxa"/>
            <w:tcBorders>
              <w:top w:val="nil"/>
              <w:left w:val="nil"/>
              <w:bottom w:val="single" w:sz="4" w:space="0" w:color="auto"/>
              <w:right w:val="single" w:sz="4" w:space="0" w:color="auto"/>
            </w:tcBorders>
            <w:vAlign w:val="center"/>
            <w:hideMark/>
          </w:tcPr>
          <w:p w14:paraId="776C4EEB"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134" w:type="dxa"/>
            <w:tcBorders>
              <w:top w:val="nil"/>
              <w:left w:val="nil"/>
              <w:bottom w:val="single" w:sz="4" w:space="0" w:color="auto"/>
              <w:right w:val="single" w:sz="4" w:space="0" w:color="auto"/>
            </w:tcBorders>
            <w:vAlign w:val="center"/>
            <w:hideMark/>
          </w:tcPr>
          <w:p w14:paraId="111C8A48"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809,61</w:t>
            </w:r>
          </w:p>
        </w:tc>
        <w:tc>
          <w:tcPr>
            <w:tcW w:w="1134" w:type="dxa"/>
            <w:tcBorders>
              <w:top w:val="nil"/>
              <w:left w:val="nil"/>
              <w:bottom w:val="single" w:sz="4" w:space="0" w:color="auto"/>
              <w:right w:val="single" w:sz="4" w:space="0" w:color="auto"/>
            </w:tcBorders>
            <w:vAlign w:val="center"/>
            <w:hideMark/>
          </w:tcPr>
          <w:p w14:paraId="0EF197D8"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655AE8F9"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3119" w:type="dxa"/>
            <w:tcBorders>
              <w:top w:val="nil"/>
              <w:left w:val="nil"/>
              <w:bottom w:val="single" w:sz="4" w:space="0" w:color="auto"/>
              <w:right w:val="single" w:sz="4" w:space="0" w:color="auto"/>
            </w:tcBorders>
            <w:vAlign w:val="center"/>
            <w:hideMark/>
          </w:tcPr>
          <w:p w14:paraId="6BA87870"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raspored 65% sredstava od naknade za zakup poljoprivrednog zemljišta u državnom vlasništvu (zaključeni ugovori fizičkih osoba i nadležnog ministarstva)</w:t>
            </w:r>
          </w:p>
        </w:tc>
      </w:tr>
      <w:tr w:rsidR="00E5617A" w:rsidRPr="000F632C" w14:paraId="655D313F" w14:textId="77777777" w:rsidTr="00E5617A">
        <w:trPr>
          <w:trHeight w:val="816"/>
        </w:trPr>
        <w:tc>
          <w:tcPr>
            <w:tcW w:w="1267" w:type="dxa"/>
            <w:tcBorders>
              <w:top w:val="nil"/>
              <w:left w:val="single" w:sz="4" w:space="0" w:color="auto"/>
              <w:bottom w:val="single" w:sz="4" w:space="0" w:color="auto"/>
              <w:right w:val="single" w:sz="4" w:space="0" w:color="auto"/>
            </w:tcBorders>
            <w:vAlign w:val="center"/>
            <w:hideMark/>
          </w:tcPr>
          <w:p w14:paraId="4EBA5194"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naknada za obavljanje dimnjačarske službe</w:t>
            </w:r>
          </w:p>
        </w:tc>
        <w:tc>
          <w:tcPr>
            <w:tcW w:w="1135" w:type="dxa"/>
            <w:tcBorders>
              <w:top w:val="nil"/>
              <w:left w:val="nil"/>
              <w:bottom w:val="single" w:sz="4" w:space="0" w:color="auto"/>
              <w:right w:val="single" w:sz="4" w:space="0" w:color="auto"/>
            </w:tcBorders>
            <w:vAlign w:val="center"/>
            <w:hideMark/>
          </w:tcPr>
          <w:p w14:paraId="5CD887B6"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611,31</w:t>
            </w:r>
          </w:p>
        </w:tc>
        <w:tc>
          <w:tcPr>
            <w:tcW w:w="1135" w:type="dxa"/>
            <w:tcBorders>
              <w:top w:val="nil"/>
              <w:left w:val="nil"/>
              <w:bottom w:val="single" w:sz="4" w:space="0" w:color="auto"/>
              <w:right w:val="single" w:sz="4" w:space="0" w:color="auto"/>
            </w:tcBorders>
            <w:vAlign w:val="center"/>
            <w:hideMark/>
          </w:tcPr>
          <w:p w14:paraId="79DB2F00"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348,40</w:t>
            </w:r>
          </w:p>
        </w:tc>
        <w:tc>
          <w:tcPr>
            <w:tcW w:w="1135" w:type="dxa"/>
            <w:tcBorders>
              <w:top w:val="nil"/>
              <w:left w:val="nil"/>
              <w:bottom w:val="single" w:sz="4" w:space="0" w:color="auto"/>
              <w:right w:val="single" w:sz="4" w:space="0" w:color="auto"/>
            </w:tcBorders>
            <w:vAlign w:val="center"/>
            <w:hideMark/>
          </w:tcPr>
          <w:p w14:paraId="68A703B1"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598,71</w:t>
            </w:r>
          </w:p>
        </w:tc>
        <w:tc>
          <w:tcPr>
            <w:tcW w:w="1134" w:type="dxa"/>
            <w:tcBorders>
              <w:top w:val="nil"/>
              <w:left w:val="nil"/>
              <w:bottom w:val="single" w:sz="4" w:space="0" w:color="auto"/>
              <w:right w:val="single" w:sz="4" w:space="0" w:color="auto"/>
            </w:tcBorders>
            <w:vAlign w:val="center"/>
            <w:hideMark/>
          </w:tcPr>
          <w:p w14:paraId="6A457E55"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260,22</w:t>
            </w:r>
          </w:p>
        </w:tc>
        <w:tc>
          <w:tcPr>
            <w:tcW w:w="1134" w:type="dxa"/>
            <w:tcBorders>
              <w:top w:val="nil"/>
              <w:left w:val="nil"/>
              <w:bottom w:val="single" w:sz="4" w:space="0" w:color="auto"/>
              <w:right w:val="single" w:sz="4" w:space="0" w:color="auto"/>
            </w:tcBorders>
            <w:vAlign w:val="center"/>
            <w:hideMark/>
          </w:tcPr>
          <w:p w14:paraId="070C6557"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464,53</w:t>
            </w:r>
          </w:p>
        </w:tc>
        <w:tc>
          <w:tcPr>
            <w:tcW w:w="1276" w:type="dxa"/>
            <w:tcBorders>
              <w:top w:val="nil"/>
              <w:left w:val="nil"/>
              <w:bottom w:val="single" w:sz="4" w:space="0" w:color="auto"/>
              <w:right w:val="single" w:sz="4" w:space="0" w:color="auto"/>
            </w:tcBorders>
            <w:vAlign w:val="center"/>
            <w:hideMark/>
          </w:tcPr>
          <w:p w14:paraId="019861A6"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481,89</w:t>
            </w:r>
          </w:p>
        </w:tc>
        <w:tc>
          <w:tcPr>
            <w:tcW w:w="1134" w:type="dxa"/>
            <w:tcBorders>
              <w:top w:val="nil"/>
              <w:left w:val="nil"/>
              <w:bottom w:val="single" w:sz="4" w:space="0" w:color="auto"/>
              <w:right w:val="single" w:sz="4" w:space="0" w:color="auto"/>
            </w:tcBorders>
            <w:vAlign w:val="center"/>
            <w:hideMark/>
          </w:tcPr>
          <w:p w14:paraId="4DE6C2C5"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28CAD284"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900,00</w:t>
            </w:r>
          </w:p>
        </w:tc>
        <w:tc>
          <w:tcPr>
            <w:tcW w:w="1134" w:type="dxa"/>
            <w:tcBorders>
              <w:top w:val="nil"/>
              <w:left w:val="nil"/>
              <w:bottom w:val="single" w:sz="4" w:space="0" w:color="auto"/>
              <w:right w:val="single" w:sz="4" w:space="0" w:color="auto"/>
            </w:tcBorders>
            <w:vAlign w:val="center"/>
            <w:hideMark/>
          </w:tcPr>
          <w:p w14:paraId="07FAD3D2"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3119" w:type="dxa"/>
            <w:tcBorders>
              <w:top w:val="nil"/>
              <w:left w:val="nil"/>
              <w:bottom w:val="single" w:sz="4" w:space="0" w:color="auto"/>
              <w:right w:val="single" w:sz="4" w:space="0" w:color="auto"/>
            </w:tcBorders>
            <w:vAlign w:val="center"/>
            <w:hideMark/>
          </w:tcPr>
          <w:p w14:paraId="3C9CC5CE"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 xml:space="preserve">Na temelju zaključenog ugovora o koncesiji za obavljanje dimnjačarskih poslova na području Općine (za 2023. i 2024.g.). </w:t>
            </w:r>
          </w:p>
        </w:tc>
      </w:tr>
      <w:tr w:rsidR="00E5617A" w:rsidRPr="000F632C" w14:paraId="40A3C158" w14:textId="77777777" w:rsidTr="00E5617A">
        <w:trPr>
          <w:trHeight w:val="612"/>
        </w:trPr>
        <w:tc>
          <w:tcPr>
            <w:tcW w:w="1267" w:type="dxa"/>
            <w:tcBorders>
              <w:top w:val="nil"/>
              <w:left w:val="single" w:sz="4" w:space="0" w:color="auto"/>
              <w:bottom w:val="single" w:sz="4" w:space="0" w:color="auto"/>
              <w:right w:val="single" w:sz="4" w:space="0" w:color="auto"/>
            </w:tcBorders>
            <w:vAlign w:val="center"/>
            <w:hideMark/>
          </w:tcPr>
          <w:p w14:paraId="43372DAE"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naknada za koncesiju za crpljenje jama</w:t>
            </w:r>
          </w:p>
        </w:tc>
        <w:tc>
          <w:tcPr>
            <w:tcW w:w="1135" w:type="dxa"/>
            <w:tcBorders>
              <w:top w:val="nil"/>
              <w:left w:val="nil"/>
              <w:bottom w:val="single" w:sz="4" w:space="0" w:color="auto"/>
              <w:right w:val="single" w:sz="4" w:space="0" w:color="auto"/>
            </w:tcBorders>
            <w:vAlign w:val="center"/>
            <w:hideMark/>
          </w:tcPr>
          <w:p w14:paraId="36E0465A"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547,57</w:t>
            </w:r>
          </w:p>
        </w:tc>
        <w:tc>
          <w:tcPr>
            <w:tcW w:w="1135" w:type="dxa"/>
            <w:tcBorders>
              <w:top w:val="nil"/>
              <w:left w:val="nil"/>
              <w:bottom w:val="single" w:sz="4" w:space="0" w:color="auto"/>
              <w:right w:val="single" w:sz="4" w:space="0" w:color="auto"/>
            </w:tcBorders>
            <w:vAlign w:val="center"/>
            <w:hideMark/>
          </w:tcPr>
          <w:p w14:paraId="54F7B1E0"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5" w:type="dxa"/>
            <w:tcBorders>
              <w:top w:val="nil"/>
              <w:left w:val="nil"/>
              <w:bottom w:val="single" w:sz="4" w:space="0" w:color="auto"/>
              <w:right w:val="single" w:sz="4" w:space="0" w:color="auto"/>
            </w:tcBorders>
            <w:vAlign w:val="center"/>
            <w:hideMark/>
          </w:tcPr>
          <w:p w14:paraId="3D6FCDA5"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578,68</w:t>
            </w:r>
          </w:p>
        </w:tc>
        <w:tc>
          <w:tcPr>
            <w:tcW w:w="1134" w:type="dxa"/>
            <w:tcBorders>
              <w:top w:val="nil"/>
              <w:left w:val="nil"/>
              <w:bottom w:val="single" w:sz="4" w:space="0" w:color="auto"/>
              <w:right w:val="single" w:sz="4" w:space="0" w:color="auto"/>
            </w:tcBorders>
            <w:vAlign w:val="center"/>
            <w:hideMark/>
          </w:tcPr>
          <w:p w14:paraId="053102AB"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134" w:type="dxa"/>
            <w:tcBorders>
              <w:top w:val="nil"/>
              <w:left w:val="nil"/>
              <w:bottom w:val="single" w:sz="4" w:space="0" w:color="auto"/>
              <w:right w:val="single" w:sz="4" w:space="0" w:color="auto"/>
            </w:tcBorders>
            <w:vAlign w:val="center"/>
            <w:hideMark/>
          </w:tcPr>
          <w:p w14:paraId="444017CA"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276" w:type="dxa"/>
            <w:tcBorders>
              <w:top w:val="nil"/>
              <w:left w:val="nil"/>
              <w:bottom w:val="single" w:sz="4" w:space="0" w:color="auto"/>
              <w:right w:val="single" w:sz="4" w:space="0" w:color="auto"/>
            </w:tcBorders>
            <w:vAlign w:val="center"/>
            <w:hideMark/>
          </w:tcPr>
          <w:p w14:paraId="69DD66AA"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134" w:type="dxa"/>
            <w:tcBorders>
              <w:top w:val="nil"/>
              <w:left w:val="nil"/>
              <w:bottom w:val="single" w:sz="4" w:space="0" w:color="auto"/>
              <w:right w:val="single" w:sz="4" w:space="0" w:color="auto"/>
            </w:tcBorders>
            <w:vAlign w:val="center"/>
            <w:hideMark/>
          </w:tcPr>
          <w:p w14:paraId="6DB87021"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57B2A32A"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7B2A61CA"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3119" w:type="dxa"/>
            <w:tcBorders>
              <w:top w:val="nil"/>
              <w:left w:val="nil"/>
              <w:bottom w:val="single" w:sz="4" w:space="0" w:color="auto"/>
              <w:right w:val="single" w:sz="4" w:space="0" w:color="auto"/>
            </w:tcBorders>
            <w:vAlign w:val="center"/>
            <w:hideMark/>
          </w:tcPr>
          <w:p w14:paraId="23F672ED"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 xml:space="preserve">U 2025. nisu ostvareni ovi prihodi. Prihodi u 2019.g. ostvareni od dvije pravne osobe na temelju ugovora koji su bili važeći do konca 2018. </w:t>
            </w:r>
          </w:p>
        </w:tc>
      </w:tr>
      <w:tr w:rsidR="00E5617A" w:rsidRPr="000F632C" w14:paraId="39D43749" w14:textId="77777777" w:rsidTr="00E5617A">
        <w:trPr>
          <w:trHeight w:val="1632"/>
        </w:trPr>
        <w:tc>
          <w:tcPr>
            <w:tcW w:w="1267" w:type="dxa"/>
            <w:tcBorders>
              <w:top w:val="nil"/>
              <w:left w:val="single" w:sz="4" w:space="0" w:color="auto"/>
              <w:bottom w:val="single" w:sz="4" w:space="0" w:color="auto"/>
              <w:right w:val="single" w:sz="4" w:space="0" w:color="auto"/>
            </w:tcBorders>
            <w:vAlign w:val="center"/>
            <w:hideMark/>
          </w:tcPr>
          <w:p w14:paraId="653D1F3D"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naknada za koncesiju za opskrbu trgovina i prijevoz osoba u staroj jezgri Cavtat posebnim električnim vozilom</w:t>
            </w:r>
          </w:p>
        </w:tc>
        <w:tc>
          <w:tcPr>
            <w:tcW w:w="1135" w:type="dxa"/>
            <w:tcBorders>
              <w:top w:val="nil"/>
              <w:left w:val="nil"/>
              <w:bottom w:val="single" w:sz="4" w:space="0" w:color="auto"/>
              <w:right w:val="single" w:sz="4" w:space="0" w:color="auto"/>
            </w:tcBorders>
            <w:vAlign w:val="center"/>
            <w:hideMark/>
          </w:tcPr>
          <w:p w14:paraId="74E451EE"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5" w:type="dxa"/>
            <w:tcBorders>
              <w:top w:val="nil"/>
              <w:left w:val="nil"/>
              <w:bottom w:val="single" w:sz="4" w:space="0" w:color="auto"/>
              <w:right w:val="single" w:sz="4" w:space="0" w:color="auto"/>
            </w:tcBorders>
            <w:vAlign w:val="center"/>
            <w:hideMark/>
          </w:tcPr>
          <w:p w14:paraId="76281171"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387,11</w:t>
            </w:r>
          </w:p>
        </w:tc>
        <w:tc>
          <w:tcPr>
            <w:tcW w:w="1135" w:type="dxa"/>
            <w:tcBorders>
              <w:top w:val="nil"/>
              <w:left w:val="nil"/>
              <w:bottom w:val="single" w:sz="4" w:space="0" w:color="auto"/>
              <w:right w:val="single" w:sz="4" w:space="0" w:color="auto"/>
            </w:tcBorders>
            <w:vAlign w:val="center"/>
            <w:hideMark/>
          </w:tcPr>
          <w:p w14:paraId="7A321129"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679,38</w:t>
            </w:r>
          </w:p>
        </w:tc>
        <w:tc>
          <w:tcPr>
            <w:tcW w:w="1134" w:type="dxa"/>
            <w:tcBorders>
              <w:top w:val="nil"/>
              <w:left w:val="nil"/>
              <w:bottom w:val="single" w:sz="4" w:space="0" w:color="auto"/>
              <w:right w:val="single" w:sz="4" w:space="0" w:color="auto"/>
            </w:tcBorders>
            <w:vAlign w:val="center"/>
            <w:hideMark/>
          </w:tcPr>
          <w:p w14:paraId="6DC94E7F"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134" w:type="dxa"/>
            <w:tcBorders>
              <w:top w:val="nil"/>
              <w:left w:val="nil"/>
              <w:bottom w:val="single" w:sz="4" w:space="0" w:color="auto"/>
              <w:right w:val="single" w:sz="4" w:space="0" w:color="auto"/>
            </w:tcBorders>
            <w:vAlign w:val="center"/>
            <w:hideMark/>
          </w:tcPr>
          <w:p w14:paraId="5ED56109"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663,61</w:t>
            </w:r>
          </w:p>
        </w:tc>
        <w:tc>
          <w:tcPr>
            <w:tcW w:w="1276" w:type="dxa"/>
            <w:tcBorders>
              <w:top w:val="nil"/>
              <w:left w:val="nil"/>
              <w:bottom w:val="single" w:sz="4" w:space="0" w:color="auto"/>
              <w:right w:val="single" w:sz="4" w:space="0" w:color="auto"/>
            </w:tcBorders>
            <w:vAlign w:val="center"/>
            <w:hideMark/>
          </w:tcPr>
          <w:p w14:paraId="3AF87CB2"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831,89</w:t>
            </w:r>
          </w:p>
        </w:tc>
        <w:tc>
          <w:tcPr>
            <w:tcW w:w="1134" w:type="dxa"/>
            <w:tcBorders>
              <w:top w:val="nil"/>
              <w:left w:val="nil"/>
              <w:bottom w:val="single" w:sz="4" w:space="0" w:color="auto"/>
              <w:right w:val="single" w:sz="4" w:space="0" w:color="auto"/>
            </w:tcBorders>
            <w:vAlign w:val="center"/>
            <w:hideMark/>
          </w:tcPr>
          <w:p w14:paraId="69D49E1D"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1CC2BC7E"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75C5EE35"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3119" w:type="dxa"/>
            <w:tcBorders>
              <w:top w:val="nil"/>
              <w:left w:val="nil"/>
              <w:bottom w:val="single" w:sz="4" w:space="0" w:color="auto"/>
              <w:right w:val="single" w:sz="4" w:space="0" w:color="auto"/>
            </w:tcBorders>
            <w:vAlign w:val="center"/>
            <w:hideMark/>
          </w:tcPr>
          <w:p w14:paraId="45506F8C"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Na temelju zaključenog ugovora o koncesiji Općine s pravnom osobom od 18.6.2018. (koncesija za obavljanje djelatnosti prijevoza osoba i opskrbe trgovina i građana unutar stare jezgre Cavtata posebnim električnim vozilima - karić). Ugovor bio na rok 5 godina, godišnje 5.000 kn / 663,61 €. U tekućoj godini nema ovih prihoda.</w:t>
            </w:r>
          </w:p>
        </w:tc>
      </w:tr>
      <w:tr w:rsidR="00E5617A" w:rsidRPr="000F632C" w14:paraId="41A16DF8" w14:textId="77777777" w:rsidTr="00E5617A">
        <w:trPr>
          <w:trHeight w:val="684"/>
        </w:trPr>
        <w:tc>
          <w:tcPr>
            <w:tcW w:w="1267" w:type="dxa"/>
            <w:tcBorders>
              <w:top w:val="nil"/>
              <w:left w:val="single" w:sz="4" w:space="0" w:color="auto"/>
              <w:bottom w:val="single" w:sz="4" w:space="0" w:color="auto"/>
              <w:right w:val="single" w:sz="4" w:space="0" w:color="auto"/>
            </w:tcBorders>
            <w:vAlign w:val="center"/>
            <w:hideMark/>
          </w:tcPr>
          <w:p w14:paraId="1D59B4CD"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koncesija za premještanje vozila</w:t>
            </w:r>
          </w:p>
        </w:tc>
        <w:tc>
          <w:tcPr>
            <w:tcW w:w="1135" w:type="dxa"/>
            <w:tcBorders>
              <w:top w:val="nil"/>
              <w:left w:val="nil"/>
              <w:bottom w:val="single" w:sz="4" w:space="0" w:color="auto"/>
              <w:right w:val="single" w:sz="4" w:space="0" w:color="auto"/>
            </w:tcBorders>
            <w:vAlign w:val="center"/>
            <w:hideMark/>
          </w:tcPr>
          <w:p w14:paraId="1579E8AD"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5" w:type="dxa"/>
            <w:tcBorders>
              <w:top w:val="nil"/>
              <w:left w:val="nil"/>
              <w:bottom w:val="single" w:sz="4" w:space="0" w:color="auto"/>
              <w:right w:val="single" w:sz="4" w:space="0" w:color="auto"/>
            </w:tcBorders>
            <w:vAlign w:val="center"/>
            <w:hideMark/>
          </w:tcPr>
          <w:p w14:paraId="00E00447"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154,84</w:t>
            </w:r>
          </w:p>
        </w:tc>
        <w:tc>
          <w:tcPr>
            <w:tcW w:w="1135" w:type="dxa"/>
            <w:tcBorders>
              <w:top w:val="nil"/>
              <w:left w:val="nil"/>
              <w:bottom w:val="single" w:sz="4" w:space="0" w:color="auto"/>
              <w:right w:val="single" w:sz="4" w:space="0" w:color="auto"/>
            </w:tcBorders>
            <w:vAlign w:val="center"/>
            <w:hideMark/>
          </w:tcPr>
          <w:p w14:paraId="2D10B996"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400,38</w:t>
            </w:r>
          </w:p>
        </w:tc>
        <w:tc>
          <w:tcPr>
            <w:tcW w:w="1134" w:type="dxa"/>
            <w:tcBorders>
              <w:top w:val="nil"/>
              <w:left w:val="nil"/>
              <w:bottom w:val="single" w:sz="4" w:space="0" w:color="auto"/>
              <w:right w:val="single" w:sz="4" w:space="0" w:color="auto"/>
            </w:tcBorders>
            <w:vAlign w:val="center"/>
            <w:hideMark/>
          </w:tcPr>
          <w:p w14:paraId="75AC8642"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416,62</w:t>
            </w:r>
          </w:p>
        </w:tc>
        <w:tc>
          <w:tcPr>
            <w:tcW w:w="1134" w:type="dxa"/>
            <w:tcBorders>
              <w:top w:val="nil"/>
              <w:left w:val="nil"/>
              <w:bottom w:val="single" w:sz="4" w:space="0" w:color="auto"/>
              <w:right w:val="single" w:sz="4" w:space="0" w:color="auto"/>
            </w:tcBorders>
            <w:vAlign w:val="center"/>
            <w:hideMark/>
          </w:tcPr>
          <w:p w14:paraId="76A7845A"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265,45</w:t>
            </w:r>
          </w:p>
        </w:tc>
        <w:tc>
          <w:tcPr>
            <w:tcW w:w="1276" w:type="dxa"/>
            <w:tcBorders>
              <w:top w:val="nil"/>
              <w:left w:val="nil"/>
              <w:bottom w:val="single" w:sz="4" w:space="0" w:color="auto"/>
              <w:right w:val="single" w:sz="4" w:space="0" w:color="auto"/>
            </w:tcBorders>
            <w:vAlign w:val="center"/>
            <w:hideMark/>
          </w:tcPr>
          <w:p w14:paraId="138D685C"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542,34</w:t>
            </w:r>
          </w:p>
        </w:tc>
        <w:tc>
          <w:tcPr>
            <w:tcW w:w="1134" w:type="dxa"/>
            <w:tcBorders>
              <w:top w:val="nil"/>
              <w:left w:val="nil"/>
              <w:bottom w:val="single" w:sz="4" w:space="0" w:color="auto"/>
              <w:right w:val="single" w:sz="4" w:space="0" w:color="auto"/>
            </w:tcBorders>
            <w:vAlign w:val="center"/>
            <w:hideMark/>
          </w:tcPr>
          <w:p w14:paraId="32E9480C"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276,50</w:t>
            </w:r>
          </w:p>
        </w:tc>
        <w:tc>
          <w:tcPr>
            <w:tcW w:w="1134" w:type="dxa"/>
            <w:tcBorders>
              <w:top w:val="nil"/>
              <w:left w:val="nil"/>
              <w:bottom w:val="single" w:sz="4" w:space="0" w:color="auto"/>
              <w:right w:val="single" w:sz="4" w:space="0" w:color="auto"/>
            </w:tcBorders>
            <w:vAlign w:val="center"/>
            <w:hideMark/>
          </w:tcPr>
          <w:p w14:paraId="3A7DB7CC"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0400D2DF"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3119" w:type="dxa"/>
            <w:tcBorders>
              <w:top w:val="nil"/>
              <w:left w:val="nil"/>
              <w:bottom w:val="single" w:sz="4" w:space="0" w:color="auto"/>
              <w:right w:val="single" w:sz="4" w:space="0" w:color="auto"/>
            </w:tcBorders>
            <w:vAlign w:val="center"/>
            <w:hideMark/>
          </w:tcPr>
          <w:p w14:paraId="2EA66C9C"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Ugovor o koncesiji  za obavljanje djelatnosti premještanja nepropisno zaustavljenih i parkiranih vozila na području Općine od 18.6.2018, na rok 5 godina, godišnje 3.000 kn / 398,17 €. U tekućoj godini nema ovih prihoda.</w:t>
            </w:r>
          </w:p>
        </w:tc>
      </w:tr>
      <w:tr w:rsidR="00E5617A" w:rsidRPr="000F632C" w14:paraId="23606080" w14:textId="77777777" w:rsidTr="00E5617A">
        <w:trPr>
          <w:trHeight w:val="456"/>
        </w:trPr>
        <w:tc>
          <w:tcPr>
            <w:tcW w:w="1267" w:type="dxa"/>
            <w:tcBorders>
              <w:top w:val="nil"/>
              <w:left w:val="single" w:sz="4" w:space="0" w:color="auto"/>
              <w:bottom w:val="single" w:sz="4" w:space="0" w:color="auto"/>
              <w:right w:val="single" w:sz="4" w:space="0" w:color="auto"/>
            </w:tcBorders>
            <w:vAlign w:val="center"/>
            <w:hideMark/>
          </w:tcPr>
          <w:p w14:paraId="6904A001"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 xml:space="preserve">koncesija za javni WC </w:t>
            </w:r>
          </w:p>
        </w:tc>
        <w:tc>
          <w:tcPr>
            <w:tcW w:w="1135" w:type="dxa"/>
            <w:tcBorders>
              <w:top w:val="nil"/>
              <w:left w:val="nil"/>
              <w:bottom w:val="single" w:sz="4" w:space="0" w:color="auto"/>
              <w:right w:val="single" w:sz="4" w:space="0" w:color="auto"/>
            </w:tcBorders>
            <w:vAlign w:val="center"/>
            <w:hideMark/>
          </w:tcPr>
          <w:p w14:paraId="717B2931"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5" w:type="dxa"/>
            <w:tcBorders>
              <w:top w:val="nil"/>
              <w:left w:val="nil"/>
              <w:bottom w:val="single" w:sz="4" w:space="0" w:color="auto"/>
              <w:right w:val="single" w:sz="4" w:space="0" w:color="auto"/>
            </w:tcBorders>
            <w:vAlign w:val="center"/>
            <w:hideMark/>
          </w:tcPr>
          <w:p w14:paraId="1CE82D0C"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232,26</w:t>
            </w:r>
          </w:p>
        </w:tc>
        <w:tc>
          <w:tcPr>
            <w:tcW w:w="1135" w:type="dxa"/>
            <w:tcBorders>
              <w:top w:val="nil"/>
              <w:left w:val="nil"/>
              <w:bottom w:val="single" w:sz="4" w:space="0" w:color="auto"/>
              <w:right w:val="single" w:sz="4" w:space="0" w:color="auto"/>
            </w:tcBorders>
            <w:vAlign w:val="center"/>
            <w:hideMark/>
          </w:tcPr>
          <w:p w14:paraId="1214DCBC"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266,92</w:t>
            </w:r>
          </w:p>
        </w:tc>
        <w:tc>
          <w:tcPr>
            <w:tcW w:w="1134" w:type="dxa"/>
            <w:tcBorders>
              <w:top w:val="nil"/>
              <w:left w:val="nil"/>
              <w:bottom w:val="single" w:sz="4" w:space="0" w:color="auto"/>
              <w:right w:val="single" w:sz="4" w:space="0" w:color="auto"/>
            </w:tcBorders>
            <w:vAlign w:val="center"/>
            <w:hideMark/>
          </w:tcPr>
          <w:p w14:paraId="4564D4B0"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277,79</w:t>
            </w:r>
          </w:p>
        </w:tc>
        <w:tc>
          <w:tcPr>
            <w:tcW w:w="1134" w:type="dxa"/>
            <w:tcBorders>
              <w:top w:val="nil"/>
              <w:left w:val="nil"/>
              <w:bottom w:val="single" w:sz="4" w:space="0" w:color="auto"/>
              <w:right w:val="single" w:sz="4" w:space="0" w:color="auto"/>
            </w:tcBorders>
            <w:vAlign w:val="center"/>
            <w:hideMark/>
          </w:tcPr>
          <w:p w14:paraId="48404D36"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265,45</w:t>
            </w:r>
          </w:p>
        </w:tc>
        <w:tc>
          <w:tcPr>
            <w:tcW w:w="1276" w:type="dxa"/>
            <w:tcBorders>
              <w:top w:val="nil"/>
              <w:left w:val="nil"/>
              <w:bottom w:val="single" w:sz="4" w:space="0" w:color="auto"/>
              <w:right w:val="single" w:sz="4" w:space="0" w:color="auto"/>
            </w:tcBorders>
            <w:vAlign w:val="center"/>
            <w:hideMark/>
          </w:tcPr>
          <w:p w14:paraId="65DEF252"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267,36</w:t>
            </w:r>
          </w:p>
        </w:tc>
        <w:tc>
          <w:tcPr>
            <w:tcW w:w="1134" w:type="dxa"/>
            <w:tcBorders>
              <w:top w:val="nil"/>
              <w:left w:val="nil"/>
              <w:bottom w:val="single" w:sz="4" w:space="0" w:color="auto"/>
              <w:right w:val="single" w:sz="4" w:space="0" w:color="auto"/>
            </w:tcBorders>
            <w:vAlign w:val="center"/>
            <w:hideMark/>
          </w:tcPr>
          <w:p w14:paraId="35032E99"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561F7241"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0F6F1D2E"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3119" w:type="dxa"/>
            <w:tcBorders>
              <w:top w:val="nil"/>
              <w:left w:val="nil"/>
              <w:bottom w:val="single" w:sz="4" w:space="0" w:color="auto"/>
              <w:right w:val="single" w:sz="4" w:space="0" w:color="auto"/>
            </w:tcBorders>
            <w:vAlign w:val="center"/>
            <w:hideMark/>
          </w:tcPr>
          <w:p w14:paraId="34BF20F7"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Obavljanje djelatnosti održavanja i naplate javnog WC-a je povjerena društvu u vlasništvu Općine. U tekućoj godini nema ovih prihoda.</w:t>
            </w:r>
          </w:p>
        </w:tc>
      </w:tr>
    </w:tbl>
    <w:p w14:paraId="41869B77" w14:textId="77777777" w:rsidR="00E5617A" w:rsidRDefault="00E5617A" w:rsidP="00F91AE6">
      <w:pPr>
        <w:spacing w:after="0" w:line="240" w:lineRule="auto"/>
        <w:jc w:val="both"/>
        <w:rPr>
          <w:rFonts w:ascii="Arial" w:eastAsia="Times New Roman" w:hAnsi="Arial" w:cs="Arial"/>
        </w:rPr>
      </w:pPr>
    </w:p>
    <w:tbl>
      <w:tblPr>
        <w:tblW w:w="14737" w:type="dxa"/>
        <w:tblInd w:w="-5" w:type="dxa"/>
        <w:tblCellMar>
          <w:top w:w="28" w:type="dxa"/>
          <w:left w:w="28" w:type="dxa"/>
          <w:bottom w:w="28" w:type="dxa"/>
          <w:right w:w="28" w:type="dxa"/>
        </w:tblCellMar>
        <w:tblLook w:val="04A0" w:firstRow="1" w:lastRow="0" w:firstColumn="1" w:lastColumn="0" w:noHBand="0" w:noVBand="1"/>
      </w:tblPr>
      <w:tblGrid>
        <w:gridCol w:w="1267"/>
        <w:gridCol w:w="1135"/>
        <w:gridCol w:w="1135"/>
        <w:gridCol w:w="1135"/>
        <w:gridCol w:w="1134"/>
        <w:gridCol w:w="1134"/>
        <w:gridCol w:w="1276"/>
        <w:gridCol w:w="1134"/>
        <w:gridCol w:w="1134"/>
        <w:gridCol w:w="1134"/>
        <w:gridCol w:w="3119"/>
      </w:tblGrid>
      <w:tr w:rsidR="00E5617A" w:rsidRPr="000F632C" w14:paraId="606B3480" w14:textId="77777777" w:rsidTr="00E5617A">
        <w:trPr>
          <w:trHeight w:val="804"/>
        </w:trPr>
        <w:tc>
          <w:tcPr>
            <w:tcW w:w="1266" w:type="dxa"/>
            <w:tcBorders>
              <w:top w:val="single" w:sz="4" w:space="0" w:color="auto"/>
              <w:left w:val="single" w:sz="8" w:space="0" w:color="auto"/>
              <w:bottom w:val="single" w:sz="8" w:space="0" w:color="auto"/>
              <w:right w:val="single" w:sz="8" w:space="0" w:color="000000"/>
            </w:tcBorders>
            <w:vAlign w:val="center"/>
            <w:hideMark/>
          </w:tcPr>
          <w:p w14:paraId="22671AA4" w14:textId="77777777" w:rsidR="00E5617A" w:rsidRPr="000F632C" w:rsidRDefault="00E5617A" w:rsidP="00DB4807">
            <w:pPr>
              <w:spacing w:after="0" w:line="240" w:lineRule="auto"/>
              <w:rPr>
                <w:rFonts w:ascii="Arial" w:eastAsia="Times New Roman" w:hAnsi="Arial" w:cs="Arial"/>
                <w:b/>
                <w:bCs/>
                <w:i/>
                <w:iCs/>
                <w:sz w:val="20"/>
                <w:szCs w:val="20"/>
              </w:rPr>
            </w:pPr>
            <w:r w:rsidRPr="000F632C">
              <w:rPr>
                <w:rFonts w:ascii="Arial" w:eastAsia="Times New Roman" w:hAnsi="Arial" w:cs="Arial"/>
                <w:b/>
                <w:bCs/>
                <w:i/>
                <w:iCs/>
                <w:sz w:val="20"/>
                <w:szCs w:val="20"/>
              </w:rPr>
              <w:lastRenderedPageBreak/>
              <w:t>Vrsta prihoda</w:t>
            </w:r>
          </w:p>
        </w:tc>
        <w:tc>
          <w:tcPr>
            <w:tcW w:w="1134" w:type="dxa"/>
            <w:tcBorders>
              <w:top w:val="single" w:sz="4" w:space="0" w:color="auto"/>
              <w:left w:val="nil"/>
              <w:bottom w:val="single" w:sz="8" w:space="0" w:color="auto"/>
              <w:right w:val="single" w:sz="8" w:space="0" w:color="000000"/>
            </w:tcBorders>
            <w:vAlign w:val="center"/>
            <w:hideMark/>
          </w:tcPr>
          <w:p w14:paraId="6875CC29"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2017.g. (€)</w:t>
            </w:r>
          </w:p>
        </w:tc>
        <w:tc>
          <w:tcPr>
            <w:tcW w:w="1134" w:type="dxa"/>
            <w:tcBorders>
              <w:top w:val="single" w:sz="4" w:space="0" w:color="auto"/>
              <w:left w:val="nil"/>
              <w:bottom w:val="single" w:sz="8" w:space="0" w:color="auto"/>
              <w:right w:val="single" w:sz="8" w:space="0" w:color="000000"/>
            </w:tcBorders>
            <w:vAlign w:val="center"/>
            <w:hideMark/>
          </w:tcPr>
          <w:p w14:paraId="0A261EC9"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2018.g. (€)</w:t>
            </w:r>
          </w:p>
        </w:tc>
        <w:tc>
          <w:tcPr>
            <w:tcW w:w="1134" w:type="dxa"/>
            <w:tcBorders>
              <w:top w:val="single" w:sz="4" w:space="0" w:color="auto"/>
              <w:left w:val="nil"/>
              <w:bottom w:val="single" w:sz="8" w:space="0" w:color="auto"/>
              <w:right w:val="single" w:sz="8" w:space="0" w:color="000000"/>
            </w:tcBorders>
            <w:vAlign w:val="center"/>
            <w:hideMark/>
          </w:tcPr>
          <w:p w14:paraId="7377A8FB"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2019.g. (€)</w:t>
            </w:r>
          </w:p>
        </w:tc>
        <w:tc>
          <w:tcPr>
            <w:tcW w:w="1134" w:type="dxa"/>
            <w:tcBorders>
              <w:top w:val="single" w:sz="4" w:space="0" w:color="auto"/>
              <w:left w:val="nil"/>
              <w:bottom w:val="single" w:sz="8" w:space="0" w:color="auto"/>
              <w:right w:val="single" w:sz="8" w:space="0" w:color="000000"/>
            </w:tcBorders>
            <w:vAlign w:val="center"/>
            <w:hideMark/>
          </w:tcPr>
          <w:p w14:paraId="509AAC94"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2020.g. (€)</w:t>
            </w:r>
          </w:p>
        </w:tc>
        <w:tc>
          <w:tcPr>
            <w:tcW w:w="1134" w:type="dxa"/>
            <w:tcBorders>
              <w:top w:val="single" w:sz="4" w:space="0" w:color="auto"/>
              <w:left w:val="nil"/>
              <w:bottom w:val="single" w:sz="8" w:space="0" w:color="auto"/>
              <w:right w:val="single" w:sz="8" w:space="0" w:color="000000"/>
            </w:tcBorders>
            <w:vAlign w:val="center"/>
            <w:hideMark/>
          </w:tcPr>
          <w:p w14:paraId="58DB8C4C"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2021.g. (€)</w:t>
            </w:r>
          </w:p>
        </w:tc>
        <w:tc>
          <w:tcPr>
            <w:tcW w:w="1276" w:type="dxa"/>
            <w:tcBorders>
              <w:top w:val="single" w:sz="4" w:space="0" w:color="auto"/>
              <w:left w:val="nil"/>
              <w:bottom w:val="single" w:sz="8" w:space="0" w:color="auto"/>
              <w:right w:val="single" w:sz="8" w:space="0" w:color="auto"/>
            </w:tcBorders>
            <w:vAlign w:val="center"/>
            <w:hideMark/>
          </w:tcPr>
          <w:p w14:paraId="79A213FA"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/2022.g. (€)</w:t>
            </w:r>
          </w:p>
        </w:tc>
        <w:tc>
          <w:tcPr>
            <w:tcW w:w="1134" w:type="dxa"/>
            <w:tcBorders>
              <w:top w:val="single" w:sz="4" w:space="0" w:color="auto"/>
              <w:left w:val="nil"/>
              <w:bottom w:val="single" w:sz="8" w:space="0" w:color="auto"/>
              <w:right w:val="single" w:sz="8" w:space="0" w:color="auto"/>
            </w:tcBorders>
            <w:vAlign w:val="center"/>
            <w:hideMark/>
          </w:tcPr>
          <w:p w14:paraId="59E54BE4"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2023.g. (€)</w:t>
            </w:r>
          </w:p>
        </w:tc>
        <w:tc>
          <w:tcPr>
            <w:tcW w:w="1134" w:type="dxa"/>
            <w:tcBorders>
              <w:top w:val="single" w:sz="4" w:space="0" w:color="auto"/>
              <w:left w:val="nil"/>
              <w:bottom w:val="single" w:sz="8" w:space="0" w:color="auto"/>
              <w:right w:val="single" w:sz="8" w:space="0" w:color="auto"/>
            </w:tcBorders>
            <w:vAlign w:val="center"/>
            <w:hideMark/>
          </w:tcPr>
          <w:p w14:paraId="4C9D3D39"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2024.g. (€)</w:t>
            </w:r>
          </w:p>
        </w:tc>
        <w:tc>
          <w:tcPr>
            <w:tcW w:w="1134" w:type="dxa"/>
            <w:tcBorders>
              <w:top w:val="single" w:sz="4" w:space="0" w:color="auto"/>
              <w:left w:val="nil"/>
              <w:bottom w:val="single" w:sz="8" w:space="0" w:color="auto"/>
              <w:right w:val="single" w:sz="8" w:space="0" w:color="auto"/>
            </w:tcBorders>
            <w:vAlign w:val="center"/>
            <w:hideMark/>
          </w:tcPr>
          <w:p w14:paraId="474293EA" w14:textId="77777777" w:rsidR="00E5617A" w:rsidRPr="000F632C" w:rsidRDefault="00E5617A" w:rsidP="00DB4807">
            <w:pPr>
              <w:spacing w:after="0" w:line="240" w:lineRule="auto"/>
              <w:jc w:val="center"/>
              <w:rPr>
                <w:rFonts w:ascii="Arial" w:eastAsia="Times New Roman" w:hAnsi="Arial" w:cs="Arial"/>
                <w:b/>
                <w:bCs/>
                <w:i/>
                <w:iCs/>
                <w:sz w:val="18"/>
                <w:szCs w:val="18"/>
              </w:rPr>
            </w:pPr>
            <w:r w:rsidRPr="000F632C">
              <w:rPr>
                <w:rFonts w:ascii="Arial" w:eastAsia="Times New Roman" w:hAnsi="Arial" w:cs="Arial"/>
                <w:b/>
                <w:bCs/>
                <w:i/>
                <w:iCs/>
                <w:sz w:val="18"/>
                <w:szCs w:val="18"/>
              </w:rPr>
              <w:t>Iznos  1-6/ 2025.g. (€)</w:t>
            </w:r>
          </w:p>
        </w:tc>
        <w:tc>
          <w:tcPr>
            <w:tcW w:w="3118" w:type="dxa"/>
            <w:tcBorders>
              <w:top w:val="single" w:sz="4" w:space="0" w:color="auto"/>
              <w:left w:val="nil"/>
              <w:bottom w:val="single" w:sz="8" w:space="0" w:color="auto"/>
              <w:right w:val="single" w:sz="8" w:space="0" w:color="auto"/>
            </w:tcBorders>
            <w:vAlign w:val="center"/>
            <w:hideMark/>
          </w:tcPr>
          <w:p w14:paraId="60315A89" w14:textId="1C6C7537" w:rsidR="00E5617A" w:rsidRPr="000F632C" w:rsidRDefault="00E5617A" w:rsidP="00DB4807">
            <w:pPr>
              <w:spacing w:after="0" w:line="240" w:lineRule="auto"/>
              <w:jc w:val="center"/>
              <w:rPr>
                <w:rFonts w:ascii="Arial" w:eastAsia="Times New Roman" w:hAnsi="Arial" w:cs="Arial"/>
                <w:b/>
                <w:bCs/>
                <w:i/>
                <w:iCs/>
                <w:sz w:val="20"/>
                <w:szCs w:val="20"/>
              </w:rPr>
            </w:pPr>
            <w:r w:rsidRPr="000F632C">
              <w:rPr>
                <w:rFonts w:ascii="Arial" w:eastAsia="Times New Roman" w:hAnsi="Arial" w:cs="Arial"/>
                <w:b/>
                <w:bCs/>
                <w:i/>
                <w:iCs/>
                <w:sz w:val="20"/>
                <w:szCs w:val="20"/>
              </w:rPr>
              <w:t>Obrazloženje za prihode u razdoblju 202</w:t>
            </w:r>
            <w:r w:rsidR="007D3662">
              <w:rPr>
                <w:rFonts w:ascii="Arial" w:eastAsia="Times New Roman" w:hAnsi="Arial" w:cs="Arial"/>
                <w:b/>
                <w:bCs/>
                <w:i/>
                <w:iCs/>
                <w:sz w:val="20"/>
                <w:szCs w:val="20"/>
              </w:rPr>
              <w:t>5</w:t>
            </w:r>
            <w:r w:rsidRPr="000F632C">
              <w:rPr>
                <w:rFonts w:ascii="Arial" w:eastAsia="Times New Roman" w:hAnsi="Arial" w:cs="Arial"/>
                <w:b/>
                <w:bCs/>
                <w:i/>
                <w:iCs/>
                <w:sz w:val="20"/>
                <w:szCs w:val="20"/>
              </w:rPr>
              <w:t>.</w:t>
            </w:r>
          </w:p>
        </w:tc>
      </w:tr>
      <w:tr w:rsidR="00E5617A" w:rsidRPr="000F632C" w14:paraId="5F7398E5" w14:textId="77777777" w:rsidTr="00E5617A">
        <w:trPr>
          <w:trHeight w:val="1020"/>
        </w:trPr>
        <w:tc>
          <w:tcPr>
            <w:tcW w:w="1267" w:type="dxa"/>
            <w:tcBorders>
              <w:top w:val="nil"/>
              <w:left w:val="single" w:sz="4" w:space="0" w:color="auto"/>
              <w:bottom w:val="single" w:sz="4" w:space="0" w:color="auto"/>
              <w:right w:val="single" w:sz="4" w:space="0" w:color="auto"/>
            </w:tcBorders>
            <w:vAlign w:val="center"/>
            <w:hideMark/>
          </w:tcPr>
          <w:p w14:paraId="2302E5F5"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naknada za zauzetu površinu odobrenog eksploatacijskog polja (5827)</w:t>
            </w:r>
          </w:p>
        </w:tc>
        <w:tc>
          <w:tcPr>
            <w:tcW w:w="1135" w:type="dxa"/>
            <w:tcBorders>
              <w:top w:val="nil"/>
              <w:left w:val="nil"/>
              <w:bottom w:val="single" w:sz="4" w:space="0" w:color="auto"/>
              <w:right w:val="single" w:sz="4" w:space="0" w:color="auto"/>
            </w:tcBorders>
            <w:vAlign w:val="center"/>
            <w:hideMark/>
          </w:tcPr>
          <w:p w14:paraId="413CAF90"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5" w:type="dxa"/>
            <w:tcBorders>
              <w:top w:val="nil"/>
              <w:left w:val="nil"/>
              <w:bottom w:val="single" w:sz="4" w:space="0" w:color="auto"/>
              <w:right w:val="single" w:sz="4" w:space="0" w:color="auto"/>
            </w:tcBorders>
            <w:vAlign w:val="center"/>
            <w:hideMark/>
          </w:tcPr>
          <w:p w14:paraId="5027ECB2"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887,92</w:t>
            </w:r>
          </w:p>
        </w:tc>
        <w:tc>
          <w:tcPr>
            <w:tcW w:w="1135" w:type="dxa"/>
            <w:tcBorders>
              <w:top w:val="nil"/>
              <w:left w:val="nil"/>
              <w:bottom w:val="single" w:sz="4" w:space="0" w:color="auto"/>
              <w:right w:val="single" w:sz="4" w:space="0" w:color="auto"/>
            </w:tcBorders>
            <w:vAlign w:val="center"/>
            <w:hideMark/>
          </w:tcPr>
          <w:p w14:paraId="26B04A26"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451,26</w:t>
            </w:r>
          </w:p>
        </w:tc>
        <w:tc>
          <w:tcPr>
            <w:tcW w:w="1134" w:type="dxa"/>
            <w:tcBorders>
              <w:top w:val="nil"/>
              <w:left w:val="nil"/>
              <w:bottom w:val="single" w:sz="4" w:space="0" w:color="auto"/>
              <w:right w:val="single" w:sz="4" w:space="0" w:color="auto"/>
            </w:tcBorders>
            <w:vAlign w:val="center"/>
            <w:hideMark/>
          </w:tcPr>
          <w:p w14:paraId="54195358"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371,62</w:t>
            </w:r>
          </w:p>
        </w:tc>
        <w:tc>
          <w:tcPr>
            <w:tcW w:w="1134" w:type="dxa"/>
            <w:tcBorders>
              <w:top w:val="nil"/>
              <w:left w:val="nil"/>
              <w:bottom w:val="single" w:sz="4" w:space="0" w:color="auto"/>
              <w:right w:val="single" w:sz="4" w:space="0" w:color="auto"/>
            </w:tcBorders>
            <w:vAlign w:val="center"/>
            <w:hideMark/>
          </w:tcPr>
          <w:p w14:paraId="6A9F3201"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399,50</w:t>
            </w:r>
          </w:p>
        </w:tc>
        <w:tc>
          <w:tcPr>
            <w:tcW w:w="1276" w:type="dxa"/>
            <w:tcBorders>
              <w:top w:val="nil"/>
              <w:left w:val="nil"/>
              <w:bottom w:val="single" w:sz="4" w:space="0" w:color="auto"/>
              <w:right w:val="single" w:sz="4" w:space="0" w:color="auto"/>
            </w:tcBorders>
            <w:vAlign w:val="center"/>
            <w:hideMark/>
          </w:tcPr>
          <w:p w14:paraId="784E44CC"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407,46</w:t>
            </w:r>
          </w:p>
        </w:tc>
        <w:tc>
          <w:tcPr>
            <w:tcW w:w="1134" w:type="dxa"/>
            <w:tcBorders>
              <w:top w:val="nil"/>
              <w:left w:val="nil"/>
              <w:bottom w:val="single" w:sz="4" w:space="0" w:color="auto"/>
              <w:right w:val="single" w:sz="4" w:space="0" w:color="auto"/>
            </w:tcBorders>
            <w:vAlign w:val="center"/>
            <w:hideMark/>
          </w:tcPr>
          <w:p w14:paraId="6DB250A6"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404,54</w:t>
            </w:r>
          </w:p>
        </w:tc>
        <w:tc>
          <w:tcPr>
            <w:tcW w:w="1134" w:type="dxa"/>
            <w:tcBorders>
              <w:top w:val="nil"/>
              <w:left w:val="nil"/>
              <w:bottom w:val="single" w:sz="4" w:space="0" w:color="auto"/>
              <w:right w:val="single" w:sz="4" w:space="0" w:color="auto"/>
            </w:tcBorders>
            <w:vAlign w:val="center"/>
            <w:hideMark/>
          </w:tcPr>
          <w:p w14:paraId="6CCCEAF6"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1.004,54</w:t>
            </w:r>
          </w:p>
        </w:tc>
        <w:tc>
          <w:tcPr>
            <w:tcW w:w="1134" w:type="dxa"/>
            <w:tcBorders>
              <w:top w:val="nil"/>
              <w:left w:val="nil"/>
              <w:bottom w:val="single" w:sz="4" w:space="0" w:color="auto"/>
              <w:right w:val="single" w:sz="4" w:space="0" w:color="auto"/>
            </w:tcBorders>
            <w:vAlign w:val="center"/>
            <w:hideMark/>
          </w:tcPr>
          <w:p w14:paraId="0C5EC68C"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762,00</w:t>
            </w:r>
          </w:p>
        </w:tc>
        <w:tc>
          <w:tcPr>
            <w:tcW w:w="3119" w:type="dxa"/>
            <w:tcBorders>
              <w:top w:val="nil"/>
              <w:left w:val="nil"/>
              <w:bottom w:val="single" w:sz="4" w:space="0" w:color="auto"/>
              <w:right w:val="single" w:sz="4" w:space="0" w:color="auto"/>
            </w:tcBorders>
            <w:vAlign w:val="center"/>
            <w:hideMark/>
          </w:tcPr>
          <w:p w14:paraId="2AF3A0FB"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Naknadu uplaćuje jedno društvo na temelju rješenja koje ne ispostavlja Općina (zakonski propisi iz područja eksploatacije mineralnih sirovina (kamen, pijesak... )</w:t>
            </w:r>
          </w:p>
        </w:tc>
      </w:tr>
      <w:tr w:rsidR="00E5617A" w:rsidRPr="000F632C" w14:paraId="47B231C2" w14:textId="77777777" w:rsidTr="00E5617A">
        <w:trPr>
          <w:trHeight w:val="612"/>
        </w:trPr>
        <w:tc>
          <w:tcPr>
            <w:tcW w:w="1267" w:type="dxa"/>
            <w:tcBorders>
              <w:top w:val="nil"/>
              <w:left w:val="single" w:sz="4" w:space="0" w:color="auto"/>
              <w:bottom w:val="single" w:sz="4" w:space="0" w:color="auto"/>
              <w:right w:val="single" w:sz="4" w:space="0" w:color="auto"/>
            </w:tcBorders>
            <w:vAlign w:val="center"/>
            <w:hideMark/>
          </w:tcPr>
          <w:p w14:paraId="70BD6F9E"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naknada za zahvaćanje pitke vode (2960)</w:t>
            </w:r>
          </w:p>
        </w:tc>
        <w:tc>
          <w:tcPr>
            <w:tcW w:w="1135" w:type="dxa"/>
            <w:tcBorders>
              <w:top w:val="nil"/>
              <w:left w:val="nil"/>
              <w:bottom w:val="single" w:sz="4" w:space="0" w:color="auto"/>
              <w:right w:val="single" w:sz="4" w:space="0" w:color="auto"/>
            </w:tcBorders>
            <w:vAlign w:val="center"/>
            <w:hideMark/>
          </w:tcPr>
          <w:p w14:paraId="2E6FE5DA"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3.024,36</w:t>
            </w:r>
          </w:p>
        </w:tc>
        <w:tc>
          <w:tcPr>
            <w:tcW w:w="1135" w:type="dxa"/>
            <w:tcBorders>
              <w:top w:val="nil"/>
              <w:left w:val="nil"/>
              <w:bottom w:val="single" w:sz="4" w:space="0" w:color="auto"/>
              <w:right w:val="single" w:sz="4" w:space="0" w:color="auto"/>
            </w:tcBorders>
            <w:vAlign w:val="center"/>
            <w:hideMark/>
          </w:tcPr>
          <w:p w14:paraId="15D1B3F0"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1.346,15</w:t>
            </w:r>
          </w:p>
        </w:tc>
        <w:tc>
          <w:tcPr>
            <w:tcW w:w="1135" w:type="dxa"/>
            <w:tcBorders>
              <w:top w:val="nil"/>
              <w:left w:val="nil"/>
              <w:bottom w:val="single" w:sz="4" w:space="0" w:color="auto"/>
              <w:right w:val="single" w:sz="4" w:space="0" w:color="auto"/>
            </w:tcBorders>
            <w:vAlign w:val="center"/>
            <w:hideMark/>
          </w:tcPr>
          <w:p w14:paraId="28F0CC90"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1.966,82</w:t>
            </w:r>
          </w:p>
        </w:tc>
        <w:tc>
          <w:tcPr>
            <w:tcW w:w="1134" w:type="dxa"/>
            <w:tcBorders>
              <w:top w:val="nil"/>
              <w:left w:val="nil"/>
              <w:bottom w:val="single" w:sz="4" w:space="0" w:color="auto"/>
              <w:right w:val="single" w:sz="4" w:space="0" w:color="auto"/>
            </w:tcBorders>
            <w:vAlign w:val="center"/>
            <w:hideMark/>
          </w:tcPr>
          <w:p w14:paraId="38E48A01"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720,41</w:t>
            </w:r>
          </w:p>
        </w:tc>
        <w:tc>
          <w:tcPr>
            <w:tcW w:w="1134" w:type="dxa"/>
            <w:tcBorders>
              <w:top w:val="nil"/>
              <w:left w:val="nil"/>
              <w:bottom w:val="single" w:sz="4" w:space="0" w:color="auto"/>
              <w:right w:val="single" w:sz="4" w:space="0" w:color="auto"/>
            </w:tcBorders>
            <w:vAlign w:val="center"/>
            <w:hideMark/>
          </w:tcPr>
          <w:p w14:paraId="328F0C19"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342,11</w:t>
            </w:r>
          </w:p>
        </w:tc>
        <w:tc>
          <w:tcPr>
            <w:tcW w:w="1276" w:type="dxa"/>
            <w:tcBorders>
              <w:top w:val="nil"/>
              <w:left w:val="nil"/>
              <w:bottom w:val="single" w:sz="4" w:space="0" w:color="auto"/>
              <w:right w:val="single" w:sz="4" w:space="0" w:color="auto"/>
            </w:tcBorders>
            <w:vAlign w:val="center"/>
            <w:hideMark/>
          </w:tcPr>
          <w:p w14:paraId="34CFFCB7"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872,75</w:t>
            </w:r>
          </w:p>
        </w:tc>
        <w:tc>
          <w:tcPr>
            <w:tcW w:w="1134" w:type="dxa"/>
            <w:tcBorders>
              <w:top w:val="nil"/>
              <w:left w:val="nil"/>
              <w:bottom w:val="single" w:sz="4" w:space="0" w:color="auto"/>
              <w:right w:val="single" w:sz="4" w:space="0" w:color="auto"/>
            </w:tcBorders>
            <w:vAlign w:val="center"/>
            <w:hideMark/>
          </w:tcPr>
          <w:p w14:paraId="2A1EC5F5"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639,87</w:t>
            </w:r>
          </w:p>
        </w:tc>
        <w:tc>
          <w:tcPr>
            <w:tcW w:w="1134" w:type="dxa"/>
            <w:tcBorders>
              <w:top w:val="nil"/>
              <w:left w:val="nil"/>
              <w:bottom w:val="single" w:sz="4" w:space="0" w:color="auto"/>
              <w:right w:val="single" w:sz="4" w:space="0" w:color="auto"/>
            </w:tcBorders>
            <w:vAlign w:val="center"/>
            <w:hideMark/>
          </w:tcPr>
          <w:p w14:paraId="799D1ACC"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2.062,80</w:t>
            </w:r>
          </w:p>
        </w:tc>
        <w:tc>
          <w:tcPr>
            <w:tcW w:w="1134" w:type="dxa"/>
            <w:tcBorders>
              <w:top w:val="nil"/>
              <w:left w:val="nil"/>
              <w:bottom w:val="single" w:sz="4" w:space="0" w:color="auto"/>
              <w:right w:val="single" w:sz="4" w:space="0" w:color="auto"/>
            </w:tcBorders>
            <w:vAlign w:val="center"/>
            <w:hideMark/>
          </w:tcPr>
          <w:p w14:paraId="1B19F94D"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930,83</w:t>
            </w:r>
          </w:p>
        </w:tc>
        <w:tc>
          <w:tcPr>
            <w:tcW w:w="3119" w:type="dxa"/>
            <w:tcBorders>
              <w:top w:val="nil"/>
              <w:left w:val="nil"/>
              <w:bottom w:val="single" w:sz="4" w:space="0" w:color="auto"/>
              <w:right w:val="single" w:sz="4" w:space="0" w:color="auto"/>
            </w:tcBorders>
            <w:vAlign w:val="center"/>
            <w:hideMark/>
          </w:tcPr>
          <w:p w14:paraId="4E7DB5BF"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Naknadu uplaćuje jedno društvo na temelju rješenja koje nije ispostavlja Općina (zakonski propisi iz područja upravljanja vodama).</w:t>
            </w:r>
          </w:p>
        </w:tc>
      </w:tr>
      <w:tr w:rsidR="00E5617A" w:rsidRPr="000F632C" w14:paraId="6F59E8D7" w14:textId="77777777" w:rsidTr="00E5617A">
        <w:trPr>
          <w:trHeight w:val="1140"/>
        </w:trPr>
        <w:tc>
          <w:tcPr>
            <w:tcW w:w="1267" w:type="dxa"/>
            <w:tcBorders>
              <w:top w:val="nil"/>
              <w:left w:val="single" w:sz="4" w:space="0" w:color="auto"/>
              <w:bottom w:val="single" w:sz="4" w:space="0" w:color="auto"/>
              <w:right w:val="single" w:sz="4" w:space="0" w:color="auto"/>
            </w:tcBorders>
            <w:vAlign w:val="center"/>
            <w:hideMark/>
          </w:tcPr>
          <w:p w14:paraId="1A2BC35C"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spomenička renta</w:t>
            </w:r>
          </w:p>
        </w:tc>
        <w:tc>
          <w:tcPr>
            <w:tcW w:w="1135" w:type="dxa"/>
            <w:tcBorders>
              <w:top w:val="nil"/>
              <w:left w:val="nil"/>
              <w:bottom w:val="single" w:sz="4" w:space="0" w:color="auto"/>
              <w:right w:val="single" w:sz="4" w:space="0" w:color="auto"/>
            </w:tcBorders>
            <w:vAlign w:val="center"/>
            <w:hideMark/>
          </w:tcPr>
          <w:p w14:paraId="1BF258C5"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909,59</w:t>
            </w:r>
          </w:p>
        </w:tc>
        <w:tc>
          <w:tcPr>
            <w:tcW w:w="1135" w:type="dxa"/>
            <w:tcBorders>
              <w:top w:val="nil"/>
              <w:left w:val="nil"/>
              <w:bottom w:val="single" w:sz="4" w:space="0" w:color="auto"/>
              <w:right w:val="single" w:sz="4" w:space="0" w:color="auto"/>
            </w:tcBorders>
            <w:vAlign w:val="center"/>
            <w:hideMark/>
          </w:tcPr>
          <w:p w14:paraId="3B4447D2"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1.533,89</w:t>
            </w:r>
          </w:p>
        </w:tc>
        <w:tc>
          <w:tcPr>
            <w:tcW w:w="1135" w:type="dxa"/>
            <w:tcBorders>
              <w:top w:val="nil"/>
              <w:left w:val="nil"/>
              <w:bottom w:val="single" w:sz="4" w:space="0" w:color="auto"/>
              <w:right w:val="single" w:sz="4" w:space="0" w:color="auto"/>
            </w:tcBorders>
            <w:vAlign w:val="center"/>
            <w:hideMark/>
          </w:tcPr>
          <w:p w14:paraId="45841D5A"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1.098,82</w:t>
            </w:r>
          </w:p>
        </w:tc>
        <w:tc>
          <w:tcPr>
            <w:tcW w:w="1134" w:type="dxa"/>
            <w:tcBorders>
              <w:top w:val="nil"/>
              <w:left w:val="nil"/>
              <w:bottom w:val="single" w:sz="4" w:space="0" w:color="auto"/>
              <w:right w:val="single" w:sz="4" w:space="0" w:color="auto"/>
            </w:tcBorders>
            <w:vAlign w:val="center"/>
            <w:hideMark/>
          </w:tcPr>
          <w:p w14:paraId="7866EC45"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856,38</w:t>
            </w:r>
          </w:p>
        </w:tc>
        <w:tc>
          <w:tcPr>
            <w:tcW w:w="1134" w:type="dxa"/>
            <w:tcBorders>
              <w:top w:val="nil"/>
              <w:left w:val="nil"/>
              <w:bottom w:val="single" w:sz="4" w:space="0" w:color="auto"/>
              <w:right w:val="single" w:sz="4" w:space="0" w:color="auto"/>
            </w:tcBorders>
            <w:vAlign w:val="center"/>
            <w:hideMark/>
          </w:tcPr>
          <w:p w14:paraId="1F830675"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635,22</w:t>
            </w:r>
          </w:p>
        </w:tc>
        <w:tc>
          <w:tcPr>
            <w:tcW w:w="1276" w:type="dxa"/>
            <w:tcBorders>
              <w:top w:val="nil"/>
              <w:left w:val="nil"/>
              <w:bottom w:val="single" w:sz="4" w:space="0" w:color="auto"/>
              <w:right w:val="single" w:sz="4" w:space="0" w:color="auto"/>
            </w:tcBorders>
            <w:vAlign w:val="center"/>
            <w:hideMark/>
          </w:tcPr>
          <w:p w14:paraId="009B85DB"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279,35</w:t>
            </w:r>
          </w:p>
        </w:tc>
        <w:tc>
          <w:tcPr>
            <w:tcW w:w="1134" w:type="dxa"/>
            <w:tcBorders>
              <w:top w:val="nil"/>
              <w:left w:val="nil"/>
              <w:bottom w:val="single" w:sz="4" w:space="0" w:color="auto"/>
              <w:right w:val="single" w:sz="4" w:space="0" w:color="auto"/>
            </w:tcBorders>
            <w:vAlign w:val="center"/>
            <w:hideMark/>
          </w:tcPr>
          <w:p w14:paraId="696AE3BE"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278,26</w:t>
            </w:r>
          </w:p>
        </w:tc>
        <w:tc>
          <w:tcPr>
            <w:tcW w:w="1134" w:type="dxa"/>
            <w:tcBorders>
              <w:top w:val="nil"/>
              <w:left w:val="nil"/>
              <w:bottom w:val="single" w:sz="4" w:space="0" w:color="auto"/>
              <w:right w:val="single" w:sz="4" w:space="0" w:color="auto"/>
            </w:tcBorders>
            <w:vAlign w:val="center"/>
            <w:hideMark/>
          </w:tcPr>
          <w:p w14:paraId="44AFF147"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389,92</w:t>
            </w:r>
          </w:p>
        </w:tc>
        <w:tc>
          <w:tcPr>
            <w:tcW w:w="1134" w:type="dxa"/>
            <w:tcBorders>
              <w:top w:val="nil"/>
              <w:left w:val="nil"/>
              <w:bottom w:val="single" w:sz="4" w:space="0" w:color="auto"/>
              <w:right w:val="single" w:sz="4" w:space="0" w:color="auto"/>
            </w:tcBorders>
            <w:vAlign w:val="center"/>
            <w:hideMark/>
          </w:tcPr>
          <w:p w14:paraId="2CC7FC66"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440,40</w:t>
            </w:r>
          </w:p>
        </w:tc>
        <w:tc>
          <w:tcPr>
            <w:tcW w:w="3119" w:type="dxa"/>
            <w:tcBorders>
              <w:top w:val="nil"/>
              <w:left w:val="nil"/>
              <w:bottom w:val="single" w:sz="4" w:space="0" w:color="auto"/>
              <w:right w:val="single" w:sz="4" w:space="0" w:color="auto"/>
            </w:tcBorders>
            <w:vAlign w:val="center"/>
            <w:hideMark/>
          </w:tcPr>
          <w:p w14:paraId="0F2A9319"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Nije utvrđeno općinskom odlukom. Naplaćena renta na temelju članka 14.a Zakona o zaštiti i očuvanju kulturnih dobara (plaća se po stopi od 0,05 posto i osnovica je obračun je ukupni prihod ostvaren obavljanjem samo određenih djelatnosti kao što su djelatnosti trgovine na veliko duhanskim proizvodima, parfemima i kozmetikom, trgovina na malo duhanskim proizvodima u specijaliziranim prodavaonicama, djelatnosti kockanja i klađenja, novčarsko posredovanje itd.).</w:t>
            </w:r>
          </w:p>
        </w:tc>
      </w:tr>
      <w:tr w:rsidR="00E5617A" w:rsidRPr="000F632C" w14:paraId="5D68E2F4" w14:textId="77777777" w:rsidTr="00E5617A">
        <w:trPr>
          <w:trHeight w:val="1020"/>
        </w:trPr>
        <w:tc>
          <w:tcPr>
            <w:tcW w:w="1267" w:type="dxa"/>
            <w:tcBorders>
              <w:top w:val="nil"/>
              <w:left w:val="single" w:sz="4" w:space="0" w:color="auto"/>
              <w:bottom w:val="single" w:sz="4" w:space="0" w:color="auto"/>
              <w:right w:val="single" w:sz="4" w:space="0" w:color="auto"/>
            </w:tcBorders>
            <w:vAlign w:val="center"/>
            <w:hideMark/>
          </w:tcPr>
          <w:p w14:paraId="67467A3D"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dozvola za obavljanje autotaksi prijevoza (stari propisi)</w:t>
            </w:r>
          </w:p>
        </w:tc>
        <w:tc>
          <w:tcPr>
            <w:tcW w:w="1135" w:type="dxa"/>
            <w:tcBorders>
              <w:top w:val="nil"/>
              <w:left w:val="nil"/>
              <w:bottom w:val="single" w:sz="4" w:space="0" w:color="auto"/>
              <w:right w:val="single" w:sz="4" w:space="0" w:color="auto"/>
            </w:tcBorders>
            <w:vAlign w:val="center"/>
            <w:hideMark/>
          </w:tcPr>
          <w:p w14:paraId="15CC5300"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64.370,56</w:t>
            </w:r>
          </w:p>
        </w:tc>
        <w:tc>
          <w:tcPr>
            <w:tcW w:w="1135" w:type="dxa"/>
            <w:tcBorders>
              <w:top w:val="nil"/>
              <w:left w:val="nil"/>
              <w:bottom w:val="single" w:sz="4" w:space="0" w:color="auto"/>
              <w:right w:val="single" w:sz="4" w:space="0" w:color="auto"/>
            </w:tcBorders>
            <w:vAlign w:val="center"/>
            <w:hideMark/>
          </w:tcPr>
          <w:p w14:paraId="5A98DC7F"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5" w:type="dxa"/>
            <w:tcBorders>
              <w:top w:val="nil"/>
              <w:left w:val="nil"/>
              <w:bottom w:val="single" w:sz="4" w:space="0" w:color="auto"/>
              <w:right w:val="single" w:sz="4" w:space="0" w:color="auto"/>
            </w:tcBorders>
            <w:vAlign w:val="center"/>
            <w:hideMark/>
          </w:tcPr>
          <w:p w14:paraId="354FE880"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663,61</w:t>
            </w:r>
          </w:p>
        </w:tc>
        <w:tc>
          <w:tcPr>
            <w:tcW w:w="1134" w:type="dxa"/>
            <w:tcBorders>
              <w:top w:val="nil"/>
              <w:left w:val="nil"/>
              <w:bottom w:val="single" w:sz="4" w:space="0" w:color="auto"/>
              <w:right w:val="single" w:sz="4" w:space="0" w:color="auto"/>
            </w:tcBorders>
            <w:vAlign w:val="center"/>
            <w:hideMark/>
          </w:tcPr>
          <w:p w14:paraId="559753B6"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134" w:type="dxa"/>
            <w:tcBorders>
              <w:top w:val="nil"/>
              <w:left w:val="nil"/>
              <w:bottom w:val="single" w:sz="4" w:space="0" w:color="auto"/>
              <w:right w:val="single" w:sz="4" w:space="0" w:color="auto"/>
            </w:tcBorders>
            <w:vAlign w:val="center"/>
            <w:hideMark/>
          </w:tcPr>
          <w:p w14:paraId="29734576"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276" w:type="dxa"/>
            <w:tcBorders>
              <w:top w:val="nil"/>
              <w:left w:val="nil"/>
              <w:bottom w:val="single" w:sz="4" w:space="0" w:color="auto"/>
              <w:right w:val="single" w:sz="4" w:space="0" w:color="auto"/>
            </w:tcBorders>
            <w:vAlign w:val="center"/>
            <w:hideMark/>
          </w:tcPr>
          <w:p w14:paraId="463C7943"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134" w:type="dxa"/>
            <w:tcBorders>
              <w:top w:val="nil"/>
              <w:left w:val="nil"/>
              <w:bottom w:val="single" w:sz="4" w:space="0" w:color="auto"/>
              <w:right w:val="single" w:sz="4" w:space="0" w:color="auto"/>
            </w:tcBorders>
            <w:vAlign w:val="center"/>
            <w:hideMark/>
          </w:tcPr>
          <w:p w14:paraId="1904DE6D"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6AD5C254"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258CFC57"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3119" w:type="dxa"/>
            <w:tcBorders>
              <w:top w:val="nil"/>
              <w:left w:val="nil"/>
              <w:bottom w:val="single" w:sz="4" w:space="0" w:color="auto"/>
              <w:right w:val="single" w:sz="4" w:space="0" w:color="auto"/>
            </w:tcBorders>
            <w:vAlign w:val="center"/>
            <w:hideMark/>
          </w:tcPr>
          <w:p w14:paraId="2CB957C5"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Dozvole za obavljanje autotaksi prijevoza se od 2019. godine naplaćuju sukladno zakonskim propisima, a ne općinskim odlukama. U 2019. ostvareni prihod na temelju naplaćenog dugovanja iz 2018.g.</w:t>
            </w:r>
          </w:p>
        </w:tc>
      </w:tr>
      <w:tr w:rsidR="00E5617A" w:rsidRPr="000F632C" w14:paraId="5CE57D7D" w14:textId="77777777" w:rsidTr="00E5617A">
        <w:trPr>
          <w:trHeight w:val="1020"/>
        </w:trPr>
        <w:tc>
          <w:tcPr>
            <w:tcW w:w="1267" w:type="dxa"/>
            <w:tcBorders>
              <w:top w:val="nil"/>
              <w:left w:val="single" w:sz="4" w:space="0" w:color="auto"/>
              <w:bottom w:val="single" w:sz="4" w:space="0" w:color="auto"/>
              <w:right w:val="single" w:sz="4" w:space="0" w:color="auto"/>
            </w:tcBorders>
            <w:vAlign w:val="center"/>
            <w:hideMark/>
          </w:tcPr>
          <w:p w14:paraId="1BD781EF"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dozvola za obavljanje autotaksi prijevoza (novi propisi)</w:t>
            </w:r>
          </w:p>
        </w:tc>
        <w:tc>
          <w:tcPr>
            <w:tcW w:w="1135" w:type="dxa"/>
            <w:tcBorders>
              <w:top w:val="nil"/>
              <w:left w:val="nil"/>
              <w:bottom w:val="single" w:sz="4" w:space="0" w:color="auto"/>
              <w:right w:val="single" w:sz="4" w:space="0" w:color="auto"/>
            </w:tcBorders>
            <w:vAlign w:val="center"/>
            <w:hideMark/>
          </w:tcPr>
          <w:p w14:paraId="35A078C1"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5" w:type="dxa"/>
            <w:tcBorders>
              <w:top w:val="nil"/>
              <w:left w:val="nil"/>
              <w:bottom w:val="single" w:sz="4" w:space="0" w:color="auto"/>
              <w:right w:val="single" w:sz="4" w:space="0" w:color="auto"/>
            </w:tcBorders>
            <w:vAlign w:val="center"/>
            <w:hideMark/>
          </w:tcPr>
          <w:p w14:paraId="6845502A"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199,08</w:t>
            </w:r>
          </w:p>
        </w:tc>
        <w:tc>
          <w:tcPr>
            <w:tcW w:w="1135" w:type="dxa"/>
            <w:tcBorders>
              <w:top w:val="nil"/>
              <w:left w:val="nil"/>
              <w:bottom w:val="single" w:sz="4" w:space="0" w:color="auto"/>
              <w:right w:val="single" w:sz="4" w:space="0" w:color="auto"/>
            </w:tcBorders>
            <w:vAlign w:val="center"/>
            <w:hideMark/>
          </w:tcPr>
          <w:p w14:paraId="4621431C"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134" w:type="dxa"/>
            <w:tcBorders>
              <w:top w:val="nil"/>
              <w:left w:val="nil"/>
              <w:bottom w:val="single" w:sz="4" w:space="0" w:color="auto"/>
              <w:right w:val="single" w:sz="4" w:space="0" w:color="auto"/>
            </w:tcBorders>
            <w:vAlign w:val="center"/>
            <w:hideMark/>
          </w:tcPr>
          <w:p w14:paraId="05185993"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134" w:type="dxa"/>
            <w:tcBorders>
              <w:top w:val="nil"/>
              <w:left w:val="nil"/>
              <w:bottom w:val="single" w:sz="4" w:space="0" w:color="auto"/>
              <w:right w:val="single" w:sz="4" w:space="0" w:color="auto"/>
            </w:tcBorders>
            <w:vAlign w:val="center"/>
            <w:hideMark/>
          </w:tcPr>
          <w:p w14:paraId="12310C0F"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276" w:type="dxa"/>
            <w:tcBorders>
              <w:top w:val="nil"/>
              <w:left w:val="nil"/>
              <w:bottom w:val="single" w:sz="4" w:space="0" w:color="auto"/>
              <w:right w:val="single" w:sz="4" w:space="0" w:color="auto"/>
            </w:tcBorders>
            <w:vAlign w:val="center"/>
            <w:hideMark/>
          </w:tcPr>
          <w:p w14:paraId="7EA86301"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0,00</w:t>
            </w:r>
          </w:p>
        </w:tc>
        <w:tc>
          <w:tcPr>
            <w:tcW w:w="1134" w:type="dxa"/>
            <w:tcBorders>
              <w:top w:val="nil"/>
              <w:left w:val="nil"/>
              <w:bottom w:val="single" w:sz="4" w:space="0" w:color="auto"/>
              <w:right w:val="single" w:sz="4" w:space="0" w:color="auto"/>
            </w:tcBorders>
            <w:vAlign w:val="center"/>
            <w:hideMark/>
          </w:tcPr>
          <w:p w14:paraId="1CEB091D"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7FC958CD"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1134" w:type="dxa"/>
            <w:tcBorders>
              <w:top w:val="nil"/>
              <w:left w:val="nil"/>
              <w:bottom w:val="single" w:sz="4" w:space="0" w:color="auto"/>
              <w:right w:val="single" w:sz="4" w:space="0" w:color="auto"/>
            </w:tcBorders>
            <w:vAlign w:val="center"/>
            <w:hideMark/>
          </w:tcPr>
          <w:p w14:paraId="6A60A44F"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0,00</w:t>
            </w:r>
          </w:p>
        </w:tc>
        <w:tc>
          <w:tcPr>
            <w:tcW w:w="3119" w:type="dxa"/>
            <w:tcBorders>
              <w:top w:val="nil"/>
              <w:left w:val="nil"/>
              <w:bottom w:val="single" w:sz="4" w:space="0" w:color="auto"/>
              <w:right w:val="single" w:sz="4" w:space="0" w:color="auto"/>
            </w:tcBorders>
            <w:vAlign w:val="center"/>
            <w:hideMark/>
          </w:tcPr>
          <w:p w14:paraId="188C6403"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Od 2019. ovi prihodi evidentiraju se na računu računskog plana 651291.</w:t>
            </w:r>
          </w:p>
        </w:tc>
      </w:tr>
      <w:tr w:rsidR="00E5617A" w:rsidRPr="000F632C" w14:paraId="1B3CD1B3" w14:textId="77777777" w:rsidTr="00E5617A">
        <w:trPr>
          <w:trHeight w:val="300"/>
        </w:trPr>
        <w:tc>
          <w:tcPr>
            <w:tcW w:w="1267" w:type="dxa"/>
            <w:tcBorders>
              <w:top w:val="nil"/>
              <w:left w:val="single" w:sz="4" w:space="0" w:color="auto"/>
              <w:bottom w:val="nil"/>
              <w:right w:val="single" w:sz="4" w:space="0" w:color="auto"/>
            </w:tcBorders>
            <w:vAlign w:val="center"/>
            <w:hideMark/>
          </w:tcPr>
          <w:p w14:paraId="6B0BF94D" w14:textId="77777777" w:rsidR="00E5617A" w:rsidRPr="000F632C" w:rsidRDefault="00E5617A" w:rsidP="00DB4807">
            <w:pPr>
              <w:spacing w:after="0" w:line="240" w:lineRule="auto"/>
              <w:rPr>
                <w:rFonts w:ascii="Arial" w:eastAsia="Times New Roman" w:hAnsi="Arial" w:cs="Arial"/>
                <w:sz w:val="16"/>
                <w:szCs w:val="16"/>
              </w:rPr>
            </w:pPr>
            <w:r w:rsidRPr="000F632C">
              <w:rPr>
                <w:rFonts w:ascii="Arial" w:eastAsia="Times New Roman" w:hAnsi="Arial" w:cs="Arial"/>
                <w:sz w:val="16"/>
                <w:szCs w:val="16"/>
              </w:rPr>
              <w:t>druge naknade</w:t>
            </w:r>
          </w:p>
        </w:tc>
        <w:tc>
          <w:tcPr>
            <w:tcW w:w="1135" w:type="dxa"/>
            <w:tcBorders>
              <w:top w:val="nil"/>
              <w:left w:val="nil"/>
              <w:bottom w:val="nil"/>
              <w:right w:val="single" w:sz="4" w:space="0" w:color="auto"/>
            </w:tcBorders>
            <w:vAlign w:val="center"/>
            <w:hideMark/>
          </w:tcPr>
          <w:p w14:paraId="4567F775"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473,18</w:t>
            </w:r>
          </w:p>
        </w:tc>
        <w:tc>
          <w:tcPr>
            <w:tcW w:w="1135" w:type="dxa"/>
            <w:tcBorders>
              <w:top w:val="nil"/>
              <w:left w:val="nil"/>
              <w:bottom w:val="nil"/>
              <w:right w:val="single" w:sz="4" w:space="0" w:color="auto"/>
            </w:tcBorders>
            <w:vAlign w:val="center"/>
            <w:hideMark/>
          </w:tcPr>
          <w:p w14:paraId="408D2057"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255,20</w:t>
            </w:r>
          </w:p>
        </w:tc>
        <w:tc>
          <w:tcPr>
            <w:tcW w:w="1135" w:type="dxa"/>
            <w:tcBorders>
              <w:top w:val="nil"/>
              <w:left w:val="nil"/>
              <w:bottom w:val="nil"/>
              <w:right w:val="single" w:sz="4" w:space="0" w:color="auto"/>
            </w:tcBorders>
            <w:vAlign w:val="center"/>
            <w:hideMark/>
          </w:tcPr>
          <w:p w14:paraId="011E8579"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174,53</w:t>
            </w:r>
          </w:p>
        </w:tc>
        <w:tc>
          <w:tcPr>
            <w:tcW w:w="1134" w:type="dxa"/>
            <w:tcBorders>
              <w:top w:val="nil"/>
              <w:left w:val="nil"/>
              <w:bottom w:val="nil"/>
              <w:right w:val="single" w:sz="4" w:space="0" w:color="auto"/>
            </w:tcBorders>
            <w:vAlign w:val="center"/>
            <w:hideMark/>
          </w:tcPr>
          <w:p w14:paraId="0AF31A99"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2.994,27</w:t>
            </w:r>
          </w:p>
        </w:tc>
        <w:tc>
          <w:tcPr>
            <w:tcW w:w="1134" w:type="dxa"/>
            <w:tcBorders>
              <w:top w:val="nil"/>
              <w:left w:val="nil"/>
              <w:bottom w:val="nil"/>
              <w:right w:val="single" w:sz="4" w:space="0" w:color="auto"/>
            </w:tcBorders>
            <w:vAlign w:val="center"/>
            <w:hideMark/>
          </w:tcPr>
          <w:p w14:paraId="2B50166F"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9.470,89</w:t>
            </w:r>
          </w:p>
        </w:tc>
        <w:tc>
          <w:tcPr>
            <w:tcW w:w="1276" w:type="dxa"/>
            <w:tcBorders>
              <w:top w:val="nil"/>
              <w:left w:val="nil"/>
              <w:bottom w:val="nil"/>
              <w:right w:val="single" w:sz="4" w:space="0" w:color="auto"/>
            </w:tcBorders>
            <w:vAlign w:val="center"/>
            <w:hideMark/>
          </w:tcPr>
          <w:p w14:paraId="3A795DCE"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4.338,97</w:t>
            </w:r>
          </w:p>
        </w:tc>
        <w:tc>
          <w:tcPr>
            <w:tcW w:w="1134" w:type="dxa"/>
            <w:tcBorders>
              <w:top w:val="nil"/>
              <w:left w:val="nil"/>
              <w:bottom w:val="nil"/>
              <w:right w:val="single" w:sz="4" w:space="0" w:color="auto"/>
            </w:tcBorders>
            <w:vAlign w:val="center"/>
            <w:hideMark/>
          </w:tcPr>
          <w:p w14:paraId="5D106FE1"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3.657,84</w:t>
            </w:r>
          </w:p>
        </w:tc>
        <w:tc>
          <w:tcPr>
            <w:tcW w:w="1134" w:type="dxa"/>
            <w:tcBorders>
              <w:top w:val="nil"/>
              <w:left w:val="nil"/>
              <w:bottom w:val="nil"/>
              <w:right w:val="single" w:sz="4" w:space="0" w:color="auto"/>
            </w:tcBorders>
            <w:vAlign w:val="center"/>
            <w:hideMark/>
          </w:tcPr>
          <w:p w14:paraId="5AA0EA32"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3.649,80</w:t>
            </w:r>
          </w:p>
        </w:tc>
        <w:tc>
          <w:tcPr>
            <w:tcW w:w="1134" w:type="dxa"/>
            <w:tcBorders>
              <w:top w:val="nil"/>
              <w:left w:val="nil"/>
              <w:bottom w:val="nil"/>
              <w:right w:val="single" w:sz="4" w:space="0" w:color="auto"/>
            </w:tcBorders>
            <w:vAlign w:val="center"/>
            <w:hideMark/>
          </w:tcPr>
          <w:p w14:paraId="6A4569BC"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2.322,60</w:t>
            </w:r>
          </w:p>
        </w:tc>
        <w:tc>
          <w:tcPr>
            <w:tcW w:w="3119" w:type="dxa"/>
            <w:tcBorders>
              <w:top w:val="nil"/>
              <w:left w:val="nil"/>
              <w:bottom w:val="nil"/>
              <w:right w:val="single" w:sz="4" w:space="0" w:color="auto"/>
            </w:tcBorders>
            <w:vAlign w:val="center"/>
            <w:hideMark/>
          </w:tcPr>
          <w:p w14:paraId="03F64EE1" w14:textId="77777777" w:rsidR="00E5617A" w:rsidRPr="000F632C" w:rsidRDefault="00E5617A" w:rsidP="00DB4807">
            <w:pPr>
              <w:spacing w:after="0" w:line="240" w:lineRule="auto"/>
              <w:jc w:val="both"/>
              <w:rPr>
                <w:rFonts w:ascii="Arial" w:eastAsia="Times New Roman" w:hAnsi="Arial" w:cs="Arial"/>
                <w:sz w:val="16"/>
                <w:szCs w:val="16"/>
              </w:rPr>
            </w:pPr>
            <w:r w:rsidRPr="000F632C">
              <w:rPr>
                <w:rFonts w:ascii="Arial" w:eastAsia="Times New Roman" w:hAnsi="Arial" w:cs="Arial"/>
                <w:sz w:val="16"/>
                <w:szCs w:val="16"/>
              </w:rPr>
              <w:t>U 2025. su  ostvareni prihodi od naknade za korištenje zajedničkih prostora zgrade.</w:t>
            </w:r>
          </w:p>
        </w:tc>
      </w:tr>
      <w:tr w:rsidR="00E5617A" w:rsidRPr="000F632C" w14:paraId="4831DD96" w14:textId="77777777" w:rsidTr="00E5617A">
        <w:trPr>
          <w:trHeight w:val="300"/>
        </w:trPr>
        <w:tc>
          <w:tcPr>
            <w:tcW w:w="1267" w:type="dxa"/>
            <w:tcBorders>
              <w:top w:val="single" w:sz="8" w:space="0" w:color="auto"/>
              <w:left w:val="single" w:sz="8" w:space="0" w:color="auto"/>
              <w:bottom w:val="single" w:sz="8" w:space="0" w:color="auto"/>
              <w:right w:val="single" w:sz="8" w:space="0" w:color="000000"/>
            </w:tcBorders>
            <w:vAlign w:val="center"/>
            <w:hideMark/>
          </w:tcPr>
          <w:p w14:paraId="07459034" w14:textId="77777777" w:rsidR="00E5617A" w:rsidRPr="000F632C" w:rsidRDefault="00E5617A" w:rsidP="00DB4807">
            <w:pPr>
              <w:spacing w:after="0" w:line="240" w:lineRule="auto"/>
              <w:rPr>
                <w:rFonts w:ascii="Arial" w:eastAsia="Times New Roman" w:hAnsi="Arial" w:cs="Arial"/>
                <w:b/>
                <w:bCs/>
                <w:sz w:val="20"/>
                <w:szCs w:val="20"/>
              </w:rPr>
            </w:pPr>
            <w:r w:rsidRPr="000F632C">
              <w:rPr>
                <w:rFonts w:ascii="Arial" w:eastAsia="Times New Roman" w:hAnsi="Arial" w:cs="Arial"/>
                <w:b/>
                <w:bCs/>
                <w:sz w:val="20"/>
                <w:szCs w:val="20"/>
              </w:rPr>
              <w:t>UKUPNO</w:t>
            </w:r>
          </w:p>
        </w:tc>
        <w:tc>
          <w:tcPr>
            <w:tcW w:w="1135" w:type="dxa"/>
            <w:tcBorders>
              <w:top w:val="single" w:sz="8" w:space="0" w:color="auto"/>
              <w:left w:val="single" w:sz="8" w:space="0" w:color="auto"/>
              <w:bottom w:val="single" w:sz="8" w:space="0" w:color="auto"/>
              <w:right w:val="single" w:sz="4" w:space="0" w:color="auto"/>
            </w:tcBorders>
            <w:vAlign w:val="center"/>
            <w:hideMark/>
          </w:tcPr>
          <w:p w14:paraId="12B9DC02" w14:textId="77777777" w:rsidR="00E5617A" w:rsidRPr="000F632C" w:rsidRDefault="00E5617A" w:rsidP="00DB4807">
            <w:pPr>
              <w:spacing w:after="0" w:line="240" w:lineRule="auto"/>
              <w:jc w:val="right"/>
              <w:rPr>
                <w:rFonts w:ascii="Arial" w:eastAsia="Times New Roman" w:hAnsi="Arial" w:cs="Arial"/>
                <w:sz w:val="18"/>
                <w:szCs w:val="18"/>
              </w:rPr>
            </w:pPr>
            <w:r w:rsidRPr="000F632C">
              <w:rPr>
                <w:rFonts w:ascii="Arial" w:eastAsia="Times New Roman" w:hAnsi="Arial" w:cs="Arial"/>
                <w:sz w:val="18"/>
                <w:szCs w:val="18"/>
              </w:rPr>
              <w:t>777.189,02</w:t>
            </w:r>
          </w:p>
        </w:tc>
        <w:tc>
          <w:tcPr>
            <w:tcW w:w="1135" w:type="dxa"/>
            <w:tcBorders>
              <w:top w:val="single" w:sz="8" w:space="0" w:color="auto"/>
              <w:left w:val="single" w:sz="4" w:space="0" w:color="auto"/>
              <w:bottom w:val="single" w:sz="8" w:space="0" w:color="auto"/>
              <w:right w:val="single" w:sz="4" w:space="0" w:color="auto"/>
            </w:tcBorders>
            <w:vAlign w:val="center"/>
            <w:hideMark/>
          </w:tcPr>
          <w:p w14:paraId="7F39E648" w14:textId="77777777" w:rsidR="00E5617A" w:rsidRPr="000F632C" w:rsidRDefault="00E5617A" w:rsidP="00DB4807">
            <w:pPr>
              <w:spacing w:after="0" w:line="240" w:lineRule="auto"/>
              <w:jc w:val="right"/>
              <w:rPr>
                <w:rFonts w:ascii="Arial" w:eastAsia="Times New Roman" w:hAnsi="Arial" w:cs="Arial"/>
                <w:sz w:val="16"/>
                <w:szCs w:val="16"/>
              </w:rPr>
            </w:pPr>
            <w:r w:rsidRPr="000F632C">
              <w:rPr>
                <w:rFonts w:ascii="Arial" w:eastAsia="Times New Roman" w:hAnsi="Arial" w:cs="Arial"/>
                <w:sz w:val="16"/>
                <w:szCs w:val="16"/>
              </w:rPr>
              <w:t>1.001.800,62</w:t>
            </w:r>
          </w:p>
        </w:tc>
        <w:tc>
          <w:tcPr>
            <w:tcW w:w="1135" w:type="dxa"/>
            <w:tcBorders>
              <w:top w:val="single" w:sz="8" w:space="0" w:color="auto"/>
              <w:left w:val="single" w:sz="4" w:space="0" w:color="auto"/>
              <w:bottom w:val="single" w:sz="8" w:space="0" w:color="auto"/>
              <w:right w:val="single" w:sz="4" w:space="0" w:color="auto"/>
            </w:tcBorders>
            <w:vAlign w:val="center"/>
            <w:hideMark/>
          </w:tcPr>
          <w:p w14:paraId="6B4442C7" w14:textId="77777777" w:rsidR="00E5617A" w:rsidRPr="000F632C" w:rsidRDefault="00E5617A" w:rsidP="00DB4807">
            <w:pPr>
              <w:spacing w:after="0" w:line="240" w:lineRule="auto"/>
              <w:jc w:val="right"/>
              <w:rPr>
                <w:rFonts w:ascii="Arial" w:eastAsia="Times New Roman" w:hAnsi="Arial" w:cs="Arial"/>
                <w:i/>
                <w:iCs/>
                <w:sz w:val="16"/>
                <w:szCs w:val="16"/>
              </w:rPr>
            </w:pPr>
            <w:r w:rsidRPr="000F632C">
              <w:rPr>
                <w:rFonts w:ascii="Arial" w:eastAsia="Times New Roman" w:hAnsi="Arial" w:cs="Arial"/>
                <w:i/>
                <w:iCs/>
                <w:sz w:val="16"/>
                <w:szCs w:val="16"/>
              </w:rPr>
              <w:t>1.018.850,47</w:t>
            </w:r>
          </w:p>
        </w:tc>
        <w:tc>
          <w:tcPr>
            <w:tcW w:w="1134" w:type="dxa"/>
            <w:tcBorders>
              <w:top w:val="single" w:sz="8" w:space="0" w:color="auto"/>
              <w:left w:val="single" w:sz="4" w:space="0" w:color="auto"/>
              <w:bottom w:val="single" w:sz="8" w:space="0" w:color="auto"/>
              <w:right w:val="single" w:sz="4" w:space="0" w:color="auto"/>
            </w:tcBorders>
            <w:vAlign w:val="center"/>
            <w:hideMark/>
          </w:tcPr>
          <w:p w14:paraId="34C2B86A" w14:textId="77777777" w:rsidR="00E5617A" w:rsidRPr="000F632C" w:rsidRDefault="00E5617A" w:rsidP="00DB4807">
            <w:pPr>
              <w:spacing w:after="0" w:line="240" w:lineRule="auto"/>
              <w:jc w:val="right"/>
              <w:rPr>
                <w:rFonts w:ascii="Arial" w:eastAsia="Times New Roman" w:hAnsi="Arial" w:cs="Arial"/>
                <w:i/>
                <w:iCs/>
                <w:sz w:val="18"/>
                <w:szCs w:val="18"/>
              </w:rPr>
            </w:pPr>
            <w:r w:rsidRPr="000F632C">
              <w:rPr>
                <w:rFonts w:ascii="Arial" w:eastAsia="Times New Roman" w:hAnsi="Arial" w:cs="Arial"/>
                <w:i/>
                <w:iCs/>
                <w:sz w:val="18"/>
                <w:szCs w:val="18"/>
              </w:rPr>
              <w:t>626.839,48</w:t>
            </w:r>
          </w:p>
        </w:tc>
        <w:tc>
          <w:tcPr>
            <w:tcW w:w="1134" w:type="dxa"/>
            <w:tcBorders>
              <w:top w:val="single" w:sz="8" w:space="0" w:color="auto"/>
              <w:left w:val="single" w:sz="4" w:space="0" w:color="auto"/>
              <w:bottom w:val="single" w:sz="8" w:space="0" w:color="auto"/>
              <w:right w:val="single" w:sz="4" w:space="0" w:color="auto"/>
            </w:tcBorders>
            <w:vAlign w:val="center"/>
            <w:hideMark/>
          </w:tcPr>
          <w:p w14:paraId="2D29988B" w14:textId="77777777" w:rsidR="00E5617A" w:rsidRPr="000F632C" w:rsidRDefault="00E5617A" w:rsidP="00DB4807">
            <w:pPr>
              <w:spacing w:after="0" w:line="240" w:lineRule="auto"/>
              <w:jc w:val="right"/>
              <w:rPr>
                <w:rFonts w:ascii="Arial" w:eastAsia="Times New Roman" w:hAnsi="Arial" w:cs="Arial"/>
                <w:i/>
                <w:iCs/>
                <w:sz w:val="18"/>
                <w:szCs w:val="18"/>
              </w:rPr>
            </w:pPr>
            <w:r w:rsidRPr="000F632C">
              <w:rPr>
                <w:rFonts w:ascii="Arial" w:eastAsia="Times New Roman" w:hAnsi="Arial" w:cs="Arial"/>
                <w:i/>
                <w:iCs/>
                <w:sz w:val="18"/>
                <w:szCs w:val="18"/>
              </w:rPr>
              <w:t>868.374,10</w:t>
            </w:r>
          </w:p>
        </w:tc>
        <w:tc>
          <w:tcPr>
            <w:tcW w:w="1276" w:type="dxa"/>
            <w:tcBorders>
              <w:top w:val="single" w:sz="8" w:space="0" w:color="auto"/>
              <w:left w:val="single" w:sz="4" w:space="0" w:color="auto"/>
              <w:bottom w:val="single" w:sz="8" w:space="0" w:color="auto"/>
              <w:right w:val="single" w:sz="4" w:space="0" w:color="auto"/>
            </w:tcBorders>
            <w:vAlign w:val="center"/>
            <w:hideMark/>
          </w:tcPr>
          <w:p w14:paraId="2FCDE4C3" w14:textId="77777777" w:rsidR="00E5617A" w:rsidRPr="000F632C" w:rsidRDefault="00E5617A" w:rsidP="00DB4807">
            <w:pPr>
              <w:spacing w:after="0" w:line="240" w:lineRule="auto"/>
              <w:jc w:val="right"/>
              <w:rPr>
                <w:rFonts w:ascii="Arial" w:eastAsia="Times New Roman" w:hAnsi="Arial" w:cs="Arial"/>
                <w:i/>
                <w:iCs/>
                <w:sz w:val="18"/>
                <w:szCs w:val="18"/>
              </w:rPr>
            </w:pPr>
            <w:r w:rsidRPr="000F632C">
              <w:rPr>
                <w:rFonts w:ascii="Arial" w:eastAsia="Times New Roman" w:hAnsi="Arial" w:cs="Arial"/>
                <w:i/>
                <w:iCs/>
                <w:sz w:val="18"/>
                <w:szCs w:val="18"/>
              </w:rPr>
              <w:t>1.154.020,60</w:t>
            </w:r>
          </w:p>
        </w:tc>
        <w:tc>
          <w:tcPr>
            <w:tcW w:w="1134" w:type="dxa"/>
            <w:tcBorders>
              <w:top w:val="single" w:sz="8" w:space="0" w:color="auto"/>
              <w:left w:val="nil"/>
              <w:bottom w:val="single" w:sz="8" w:space="0" w:color="auto"/>
              <w:right w:val="single" w:sz="8" w:space="0" w:color="000000"/>
            </w:tcBorders>
            <w:vAlign w:val="center"/>
            <w:hideMark/>
          </w:tcPr>
          <w:p w14:paraId="08CDE5A2" w14:textId="77777777" w:rsidR="00E5617A" w:rsidRPr="000F632C" w:rsidRDefault="00E5617A" w:rsidP="00DB4807">
            <w:pPr>
              <w:spacing w:after="0" w:line="240" w:lineRule="auto"/>
              <w:jc w:val="right"/>
              <w:rPr>
                <w:rFonts w:ascii="Arial" w:eastAsia="Times New Roman" w:hAnsi="Arial" w:cs="Arial"/>
                <w:b/>
                <w:bCs/>
                <w:sz w:val="18"/>
                <w:szCs w:val="18"/>
              </w:rPr>
            </w:pPr>
            <w:r w:rsidRPr="000F632C">
              <w:rPr>
                <w:rFonts w:ascii="Arial" w:eastAsia="Times New Roman" w:hAnsi="Arial" w:cs="Arial"/>
                <w:b/>
                <w:bCs/>
                <w:sz w:val="18"/>
                <w:szCs w:val="18"/>
              </w:rPr>
              <w:t>1.019.602,27</w:t>
            </w:r>
          </w:p>
        </w:tc>
        <w:tc>
          <w:tcPr>
            <w:tcW w:w="1134" w:type="dxa"/>
            <w:tcBorders>
              <w:top w:val="single" w:sz="8" w:space="0" w:color="auto"/>
              <w:left w:val="nil"/>
              <w:bottom w:val="single" w:sz="8" w:space="0" w:color="auto"/>
              <w:right w:val="single" w:sz="8" w:space="0" w:color="auto"/>
            </w:tcBorders>
            <w:vAlign w:val="center"/>
            <w:hideMark/>
          </w:tcPr>
          <w:p w14:paraId="5DEF34B1" w14:textId="77777777" w:rsidR="00E5617A" w:rsidRPr="000F632C" w:rsidRDefault="00E5617A" w:rsidP="00DB4807">
            <w:pPr>
              <w:spacing w:after="0" w:line="240" w:lineRule="auto"/>
              <w:jc w:val="right"/>
              <w:rPr>
                <w:rFonts w:ascii="Arial" w:eastAsia="Times New Roman" w:hAnsi="Arial" w:cs="Arial"/>
                <w:b/>
                <w:bCs/>
                <w:sz w:val="18"/>
                <w:szCs w:val="18"/>
              </w:rPr>
            </w:pPr>
            <w:r w:rsidRPr="000F632C">
              <w:rPr>
                <w:rFonts w:ascii="Arial" w:eastAsia="Times New Roman" w:hAnsi="Arial" w:cs="Arial"/>
                <w:b/>
                <w:bCs/>
                <w:sz w:val="18"/>
                <w:szCs w:val="18"/>
              </w:rPr>
              <w:t>1.092.188,50</w:t>
            </w:r>
          </w:p>
        </w:tc>
        <w:tc>
          <w:tcPr>
            <w:tcW w:w="1134" w:type="dxa"/>
            <w:tcBorders>
              <w:top w:val="single" w:sz="8" w:space="0" w:color="auto"/>
              <w:left w:val="nil"/>
              <w:bottom w:val="single" w:sz="8" w:space="0" w:color="auto"/>
              <w:right w:val="single" w:sz="8" w:space="0" w:color="auto"/>
            </w:tcBorders>
            <w:vAlign w:val="center"/>
            <w:hideMark/>
          </w:tcPr>
          <w:p w14:paraId="3CC55706" w14:textId="77777777" w:rsidR="00E5617A" w:rsidRPr="000F632C" w:rsidRDefault="00E5617A" w:rsidP="00DB4807">
            <w:pPr>
              <w:spacing w:after="0" w:line="240" w:lineRule="auto"/>
              <w:jc w:val="right"/>
              <w:rPr>
                <w:rFonts w:ascii="Arial" w:eastAsia="Times New Roman" w:hAnsi="Arial" w:cs="Arial"/>
                <w:b/>
                <w:bCs/>
                <w:sz w:val="18"/>
                <w:szCs w:val="18"/>
              </w:rPr>
            </w:pPr>
            <w:r w:rsidRPr="000F632C">
              <w:rPr>
                <w:rFonts w:ascii="Arial" w:eastAsia="Times New Roman" w:hAnsi="Arial" w:cs="Arial"/>
                <w:b/>
                <w:bCs/>
                <w:sz w:val="18"/>
                <w:szCs w:val="18"/>
              </w:rPr>
              <w:t>477.268,80</w:t>
            </w:r>
          </w:p>
        </w:tc>
        <w:tc>
          <w:tcPr>
            <w:tcW w:w="3119" w:type="dxa"/>
            <w:tcBorders>
              <w:top w:val="single" w:sz="8" w:space="0" w:color="auto"/>
              <w:left w:val="nil"/>
              <w:bottom w:val="single" w:sz="8" w:space="0" w:color="auto"/>
              <w:right w:val="single" w:sz="8" w:space="0" w:color="auto"/>
            </w:tcBorders>
            <w:vAlign w:val="center"/>
            <w:hideMark/>
          </w:tcPr>
          <w:p w14:paraId="79A84A28" w14:textId="77777777" w:rsidR="00E5617A" w:rsidRPr="000F632C" w:rsidRDefault="00E5617A" w:rsidP="00DB4807">
            <w:pPr>
              <w:spacing w:after="0" w:line="240" w:lineRule="auto"/>
              <w:jc w:val="both"/>
              <w:rPr>
                <w:rFonts w:ascii="Arial" w:eastAsia="Times New Roman" w:hAnsi="Arial" w:cs="Arial"/>
                <w:b/>
                <w:bCs/>
                <w:sz w:val="18"/>
                <w:szCs w:val="18"/>
              </w:rPr>
            </w:pPr>
            <w:r w:rsidRPr="000F632C">
              <w:rPr>
                <w:rFonts w:ascii="Arial" w:eastAsia="Times New Roman" w:hAnsi="Arial" w:cs="Arial"/>
                <w:b/>
                <w:bCs/>
                <w:sz w:val="18"/>
                <w:szCs w:val="18"/>
              </w:rPr>
              <w:t> </w:t>
            </w:r>
          </w:p>
        </w:tc>
      </w:tr>
    </w:tbl>
    <w:p w14:paraId="3C0EA37A" w14:textId="77777777" w:rsidR="00E5617A" w:rsidRDefault="00E5617A" w:rsidP="00E5617A">
      <w:pPr>
        <w:spacing w:after="0" w:line="240" w:lineRule="auto"/>
        <w:jc w:val="both"/>
        <w:rPr>
          <w:rFonts w:ascii="Arial" w:eastAsia="Times New Roman" w:hAnsi="Arial" w:cs="Arial"/>
          <w:i/>
          <w:iCs/>
          <w:sz w:val="20"/>
          <w:szCs w:val="20"/>
        </w:rPr>
      </w:pPr>
    </w:p>
    <w:p w14:paraId="6F5D490E" w14:textId="77777777" w:rsidR="00E5617A" w:rsidRDefault="00E5617A" w:rsidP="00F91AE6">
      <w:pPr>
        <w:spacing w:after="0" w:line="240" w:lineRule="auto"/>
        <w:jc w:val="both"/>
        <w:rPr>
          <w:rFonts w:ascii="Arial" w:eastAsia="Times New Roman" w:hAnsi="Arial" w:cs="Arial"/>
        </w:rPr>
      </w:pPr>
    </w:p>
    <w:p w14:paraId="5F84B45C" w14:textId="77777777" w:rsidR="00E5617A" w:rsidRDefault="00E5617A" w:rsidP="00F91AE6">
      <w:pPr>
        <w:spacing w:after="0" w:line="240" w:lineRule="auto"/>
        <w:jc w:val="both"/>
        <w:rPr>
          <w:rFonts w:ascii="Arial" w:eastAsia="Times New Roman" w:hAnsi="Arial" w:cs="Arial"/>
        </w:rPr>
      </w:pPr>
    </w:p>
    <w:p w14:paraId="0C76926A" w14:textId="77777777" w:rsidR="00E5617A" w:rsidRDefault="00E5617A" w:rsidP="00F91AE6">
      <w:pPr>
        <w:spacing w:after="0" w:line="240" w:lineRule="auto"/>
        <w:jc w:val="both"/>
        <w:rPr>
          <w:rFonts w:ascii="Arial" w:eastAsia="Times New Roman" w:hAnsi="Arial" w:cs="Arial"/>
        </w:rPr>
      </w:pPr>
    </w:p>
    <w:p w14:paraId="72BDF697" w14:textId="77777777" w:rsidR="00E5617A" w:rsidRDefault="00E5617A" w:rsidP="00F91AE6">
      <w:pPr>
        <w:spacing w:after="0" w:line="240" w:lineRule="auto"/>
        <w:jc w:val="both"/>
        <w:rPr>
          <w:rFonts w:ascii="Arial" w:eastAsia="Times New Roman" w:hAnsi="Arial" w:cs="Arial"/>
        </w:rPr>
      </w:pPr>
    </w:p>
    <w:p w14:paraId="2D01E1F0" w14:textId="606F7EBA" w:rsidR="00F91AE6" w:rsidRPr="003A2F86" w:rsidRDefault="00F91AE6" w:rsidP="00F91AE6">
      <w:pPr>
        <w:spacing w:after="0" w:line="240" w:lineRule="auto"/>
        <w:jc w:val="both"/>
        <w:rPr>
          <w:rFonts w:ascii="Arial" w:eastAsia="Times New Roman" w:hAnsi="Arial" w:cs="Arial"/>
        </w:rPr>
      </w:pPr>
      <w:r w:rsidRPr="003A2F86">
        <w:rPr>
          <w:rFonts w:ascii="Arial" w:eastAsia="Times New Roman" w:hAnsi="Arial" w:cs="Arial"/>
        </w:rPr>
        <w:lastRenderedPageBreak/>
        <w:t xml:space="preserve">Prihodi od nefinancijske imovine su i prihodi od </w:t>
      </w:r>
      <w:r w:rsidRPr="003A2F86">
        <w:rPr>
          <w:rFonts w:ascii="Arial" w:eastAsia="Times New Roman" w:hAnsi="Arial" w:cs="Arial"/>
          <w:i/>
          <w:iCs/>
        </w:rPr>
        <w:t>naknade za zadržavanje nezakonito izgrađene zgrade u prostoru</w:t>
      </w:r>
      <w:r w:rsidRPr="003A2F86">
        <w:rPr>
          <w:rFonts w:ascii="Arial" w:eastAsia="Times New Roman" w:hAnsi="Arial" w:cs="Arial"/>
        </w:rPr>
        <w:t xml:space="preserve"> (6429) </w:t>
      </w:r>
      <w:r w:rsidR="000221EB" w:rsidRPr="003A2F86">
        <w:rPr>
          <w:rFonts w:ascii="Arial" w:eastAsia="Times New Roman" w:hAnsi="Arial" w:cs="Arial"/>
        </w:rPr>
        <w:t>ostvareni su u 202</w:t>
      </w:r>
      <w:r w:rsidR="00EE4120">
        <w:rPr>
          <w:rFonts w:ascii="Arial" w:eastAsia="Times New Roman" w:hAnsi="Arial" w:cs="Arial"/>
        </w:rPr>
        <w:t>5</w:t>
      </w:r>
      <w:r w:rsidR="000221EB" w:rsidRPr="003A2F86">
        <w:rPr>
          <w:rFonts w:ascii="Arial" w:eastAsia="Times New Roman" w:hAnsi="Arial" w:cs="Arial"/>
        </w:rPr>
        <w:t xml:space="preserve">. godini u </w:t>
      </w:r>
      <w:r w:rsidRPr="003A2F86">
        <w:rPr>
          <w:rFonts w:ascii="Arial" w:eastAsia="Times New Roman" w:hAnsi="Arial" w:cs="Arial"/>
        </w:rPr>
        <w:t xml:space="preserve">iznosu </w:t>
      </w:r>
      <w:r w:rsidR="00EE4120">
        <w:rPr>
          <w:rFonts w:ascii="Arial" w:eastAsia="Times New Roman" w:hAnsi="Arial" w:cs="Arial"/>
        </w:rPr>
        <w:t>224,21</w:t>
      </w:r>
      <w:r w:rsidR="000221EB" w:rsidRPr="003A2F86">
        <w:rPr>
          <w:rFonts w:ascii="Arial" w:eastAsia="Times New Roman" w:hAnsi="Arial" w:cs="Arial"/>
        </w:rPr>
        <w:t xml:space="preserve"> €</w:t>
      </w:r>
      <w:r w:rsidRPr="003A2F86">
        <w:rPr>
          <w:rFonts w:ascii="Arial" w:eastAsia="Times New Roman" w:hAnsi="Arial" w:cs="Arial"/>
        </w:rPr>
        <w:t xml:space="preserve">, na temelju Zakona o postupanju s nezakonito izgrađenim zgradama (Narodne novine 86/12, 143/13, 65/17, 14/19). Navedena naknada je zajednički prihod državnog proračuna (40%), županijskog proračuna (30%) i proračuna Općine (30%). </w:t>
      </w:r>
    </w:p>
    <w:p w14:paraId="4E139A31" w14:textId="77777777" w:rsidR="00D64664" w:rsidRPr="003A2F86" w:rsidRDefault="00D64664" w:rsidP="00F91AE6">
      <w:pPr>
        <w:spacing w:after="0" w:line="240" w:lineRule="auto"/>
        <w:jc w:val="both"/>
        <w:rPr>
          <w:rFonts w:ascii="Arial" w:eastAsia="Times New Roman" w:hAnsi="Arial" w:cs="Arial"/>
        </w:rPr>
      </w:pPr>
    </w:p>
    <w:p w14:paraId="522C8620" w14:textId="77777777" w:rsidR="00172CDF" w:rsidRPr="003A2F86" w:rsidRDefault="00172CDF" w:rsidP="00172CDF">
      <w:pPr>
        <w:spacing w:after="0" w:line="240" w:lineRule="auto"/>
        <w:jc w:val="both"/>
        <w:rPr>
          <w:rFonts w:ascii="Arial" w:eastAsia="Times New Roman" w:hAnsi="Arial" w:cs="Arial"/>
          <w:i/>
          <w:iCs/>
          <w:sz w:val="20"/>
          <w:szCs w:val="20"/>
        </w:rPr>
      </w:pPr>
      <w:r w:rsidRPr="003A2F86">
        <w:rPr>
          <w:rFonts w:ascii="Arial" w:eastAsia="Times New Roman" w:hAnsi="Arial" w:cs="Arial"/>
          <w:i/>
          <w:iCs/>
          <w:sz w:val="20"/>
          <w:szCs w:val="20"/>
        </w:rPr>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294"/>
        <w:gridCol w:w="11623"/>
      </w:tblGrid>
      <w:tr w:rsidR="004C595F" w:rsidRPr="003A2F86" w14:paraId="690C74E8" w14:textId="77777777" w:rsidTr="000221EB">
        <w:trPr>
          <w:jc w:val="center"/>
        </w:trPr>
        <w:tc>
          <w:tcPr>
            <w:tcW w:w="14046" w:type="dxa"/>
            <w:gridSpan w:val="3"/>
            <w:vAlign w:val="center"/>
          </w:tcPr>
          <w:p w14:paraId="11226380" w14:textId="619A98B8" w:rsidR="00891119" w:rsidRPr="003A2F86" w:rsidRDefault="00891119" w:rsidP="00891119">
            <w:pPr>
              <w:spacing w:after="0" w:line="240" w:lineRule="auto"/>
              <w:jc w:val="center"/>
              <w:rPr>
                <w:rFonts w:ascii="Arial" w:eastAsia="Times New Roman" w:hAnsi="Arial" w:cs="Arial"/>
                <w:b/>
                <w:i/>
                <w:iCs/>
                <w:sz w:val="18"/>
                <w:szCs w:val="18"/>
                <w:lang w:eastAsia="en-US"/>
              </w:rPr>
            </w:pPr>
            <w:r w:rsidRPr="003A2F86">
              <w:rPr>
                <w:rFonts w:ascii="Arial" w:eastAsia="Times New Roman" w:hAnsi="Arial" w:cs="Arial"/>
                <w:b/>
                <w:i/>
                <w:iCs/>
                <w:sz w:val="18"/>
                <w:szCs w:val="18"/>
                <w:lang w:eastAsia="en-US"/>
              </w:rPr>
              <w:t xml:space="preserve">Prihod od </w:t>
            </w:r>
            <w:r w:rsidRPr="003A2F86">
              <w:rPr>
                <w:rFonts w:ascii="Arial" w:eastAsia="Times New Roman" w:hAnsi="Arial" w:cs="Arial"/>
                <w:b/>
                <w:i/>
                <w:sz w:val="18"/>
                <w:szCs w:val="18"/>
              </w:rPr>
              <w:t>na</w:t>
            </w:r>
            <w:r w:rsidR="00A8623C" w:rsidRPr="003A2F86">
              <w:rPr>
                <w:rFonts w:ascii="Arial" w:eastAsia="Times New Roman" w:hAnsi="Arial" w:cs="Arial"/>
                <w:b/>
                <w:i/>
                <w:sz w:val="18"/>
                <w:szCs w:val="18"/>
              </w:rPr>
              <w:t>kn</w:t>
            </w:r>
            <w:r w:rsidRPr="003A2F86">
              <w:rPr>
                <w:rFonts w:ascii="Arial" w:eastAsia="Times New Roman" w:hAnsi="Arial" w:cs="Arial"/>
                <w:b/>
                <w:i/>
                <w:sz w:val="18"/>
                <w:szCs w:val="18"/>
              </w:rPr>
              <w:t>ade za zadržavanje nezakonito izgrađene zgrade u prostoru</w:t>
            </w:r>
            <w:r w:rsidRPr="003A2F86">
              <w:rPr>
                <w:rFonts w:ascii="Arial" w:eastAsia="Times New Roman" w:hAnsi="Arial" w:cs="Arial"/>
                <w:b/>
                <w:i/>
                <w:iCs/>
                <w:sz w:val="18"/>
                <w:szCs w:val="18"/>
                <w:lang w:eastAsia="en-US"/>
              </w:rPr>
              <w:t xml:space="preserve"> </w:t>
            </w:r>
            <w:r w:rsidRPr="003A2F86">
              <w:rPr>
                <w:rFonts w:ascii="Arial" w:eastAsia="Times New Roman" w:hAnsi="Arial" w:cs="Arial"/>
                <w:b/>
                <w:i/>
                <w:iCs/>
                <w:color w:val="FF0000"/>
                <w:sz w:val="18"/>
                <w:szCs w:val="18"/>
                <w:lang w:eastAsia="en-US"/>
              </w:rPr>
              <w:t>(6429)</w:t>
            </w:r>
          </w:p>
          <w:p w14:paraId="6F4FF239" w14:textId="6AEF317E" w:rsidR="00891119" w:rsidRPr="003A2F86" w:rsidRDefault="00891119" w:rsidP="00891119">
            <w:pPr>
              <w:spacing w:after="0" w:line="240" w:lineRule="auto"/>
              <w:jc w:val="center"/>
              <w:rPr>
                <w:rFonts w:ascii="Arial" w:eastAsia="Times New Roman" w:hAnsi="Arial" w:cs="Arial"/>
                <w:b/>
                <w:i/>
                <w:iCs/>
                <w:sz w:val="18"/>
                <w:szCs w:val="18"/>
                <w:lang w:eastAsia="en-US"/>
              </w:rPr>
            </w:pPr>
            <w:r w:rsidRPr="003A2F86">
              <w:rPr>
                <w:rFonts w:ascii="Arial" w:eastAsia="Times New Roman" w:hAnsi="Arial" w:cs="Arial"/>
                <w:i/>
                <w:sz w:val="18"/>
                <w:szCs w:val="18"/>
              </w:rPr>
              <w:t>(30% prihod Općine)</w:t>
            </w:r>
            <w:r w:rsidR="0082604B" w:rsidRPr="003A2F86">
              <w:rPr>
                <w:rFonts w:ascii="Arial" w:eastAsia="Times New Roman" w:hAnsi="Arial" w:cs="Arial"/>
                <w:i/>
                <w:sz w:val="18"/>
                <w:szCs w:val="18"/>
              </w:rPr>
              <w:t xml:space="preserve"> (namjenski prihodi)</w:t>
            </w:r>
          </w:p>
        </w:tc>
      </w:tr>
      <w:tr w:rsidR="000221EB" w:rsidRPr="003A2F86" w14:paraId="5375D01F" w14:textId="77777777" w:rsidTr="000221EB">
        <w:trPr>
          <w:jc w:val="center"/>
        </w:trPr>
        <w:tc>
          <w:tcPr>
            <w:tcW w:w="1129" w:type="dxa"/>
          </w:tcPr>
          <w:p w14:paraId="1DEDE065" w14:textId="51AE1C35" w:rsidR="000221EB" w:rsidRPr="003A2F86" w:rsidRDefault="000221EB" w:rsidP="000221EB">
            <w:pPr>
              <w:spacing w:after="0" w:line="240" w:lineRule="auto"/>
              <w:jc w:val="center"/>
              <w:rPr>
                <w:rFonts w:ascii="Arial" w:eastAsia="Times New Roman" w:hAnsi="Arial" w:cs="Arial"/>
                <w:b/>
                <w:bCs/>
                <w:i/>
                <w:iCs/>
                <w:sz w:val="18"/>
                <w:szCs w:val="18"/>
                <w:lang w:eastAsia="en-US"/>
              </w:rPr>
            </w:pPr>
            <w:r w:rsidRPr="003A2F86">
              <w:rPr>
                <w:rFonts w:ascii="Arial" w:hAnsi="Arial" w:cs="Arial"/>
                <w:b/>
                <w:bCs/>
                <w:sz w:val="18"/>
                <w:szCs w:val="18"/>
              </w:rPr>
              <w:t>Godina</w:t>
            </w:r>
          </w:p>
        </w:tc>
        <w:tc>
          <w:tcPr>
            <w:tcW w:w="1294" w:type="dxa"/>
          </w:tcPr>
          <w:p w14:paraId="49C63CB0" w14:textId="4C64BECC" w:rsidR="000221EB" w:rsidRPr="003A2F86" w:rsidRDefault="000221EB" w:rsidP="000221EB">
            <w:pPr>
              <w:spacing w:after="0" w:line="240" w:lineRule="auto"/>
              <w:jc w:val="center"/>
              <w:rPr>
                <w:rFonts w:ascii="Arial" w:eastAsia="Times New Roman" w:hAnsi="Arial" w:cs="Arial"/>
                <w:b/>
                <w:bCs/>
                <w:i/>
                <w:iCs/>
                <w:sz w:val="18"/>
                <w:szCs w:val="18"/>
                <w:lang w:eastAsia="en-US"/>
              </w:rPr>
            </w:pPr>
            <w:r w:rsidRPr="003A2F86">
              <w:rPr>
                <w:rFonts w:ascii="Arial" w:hAnsi="Arial" w:cs="Arial"/>
                <w:b/>
                <w:bCs/>
                <w:sz w:val="18"/>
                <w:szCs w:val="18"/>
              </w:rPr>
              <w:t xml:space="preserve">Iznos </w:t>
            </w:r>
            <w:r w:rsidRPr="003A2F86">
              <w:rPr>
                <w:rFonts w:ascii="Arial" w:hAnsi="Arial" w:cs="Arial"/>
                <w:b/>
                <w:bCs/>
                <w:color w:val="FF0000"/>
                <w:sz w:val="18"/>
                <w:szCs w:val="18"/>
              </w:rPr>
              <w:t>(€)</w:t>
            </w:r>
          </w:p>
        </w:tc>
        <w:tc>
          <w:tcPr>
            <w:tcW w:w="11623" w:type="dxa"/>
          </w:tcPr>
          <w:p w14:paraId="5512F60A" w14:textId="7913C081" w:rsidR="000221EB" w:rsidRPr="003A2F86" w:rsidRDefault="000221EB" w:rsidP="000221EB">
            <w:pPr>
              <w:spacing w:after="0" w:line="240" w:lineRule="auto"/>
              <w:jc w:val="center"/>
              <w:rPr>
                <w:rFonts w:ascii="Arial" w:eastAsia="Times New Roman" w:hAnsi="Arial" w:cs="Arial"/>
                <w:b/>
                <w:bCs/>
                <w:i/>
                <w:iCs/>
                <w:sz w:val="18"/>
                <w:szCs w:val="18"/>
                <w:lang w:eastAsia="en-US"/>
              </w:rPr>
            </w:pPr>
            <w:r w:rsidRPr="003A2F86">
              <w:rPr>
                <w:rFonts w:ascii="Arial" w:hAnsi="Arial" w:cs="Arial"/>
                <w:b/>
                <w:bCs/>
                <w:sz w:val="18"/>
                <w:szCs w:val="18"/>
              </w:rPr>
              <w:t>Obrazloženje</w:t>
            </w:r>
          </w:p>
        </w:tc>
      </w:tr>
      <w:tr w:rsidR="000221EB" w:rsidRPr="003A2F86" w14:paraId="28958FE2" w14:textId="77777777" w:rsidTr="000221EB">
        <w:trPr>
          <w:jc w:val="center"/>
        </w:trPr>
        <w:tc>
          <w:tcPr>
            <w:tcW w:w="1129" w:type="dxa"/>
            <w:tcBorders>
              <w:top w:val="nil"/>
              <w:left w:val="single" w:sz="8" w:space="0" w:color="000000"/>
              <w:bottom w:val="single" w:sz="8" w:space="0" w:color="000000"/>
              <w:right w:val="single" w:sz="8" w:space="0" w:color="000000"/>
            </w:tcBorders>
          </w:tcPr>
          <w:p w14:paraId="69BE2414" w14:textId="262CD041" w:rsidR="000221EB" w:rsidRPr="003A2F86" w:rsidRDefault="000221EB" w:rsidP="000221EB">
            <w:pPr>
              <w:spacing w:after="0" w:line="240" w:lineRule="auto"/>
              <w:jc w:val="center"/>
              <w:rPr>
                <w:rFonts w:ascii="Arial" w:eastAsia="Times New Roman" w:hAnsi="Arial" w:cs="Arial"/>
                <w:i/>
                <w:iCs/>
                <w:sz w:val="18"/>
                <w:szCs w:val="18"/>
                <w:lang w:eastAsia="en-US"/>
              </w:rPr>
            </w:pPr>
            <w:r w:rsidRPr="003A2F86">
              <w:rPr>
                <w:rFonts w:ascii="Arial" w:hAnsi="Arial" w:cs="Arial"/>
                <w:sz w:val="18"/>
                <w:szCs w:val="18"/>
              </w:rPr>
              <w:t>2012.</w:t>
            </w:r>
          </w:p>
        </w:tc>
        <w:tc>
          <w:tcPr>
            <w:tcW w:w="1294" w:type="dxa"/>
            <w:tcBorders>
              <w:top w:val="nil"/>
              <w:left w:val="nil"/>
              <w:bottom w:val="single" w:sz="8" w:space="0" w:color="000000"/>
              <w:right w:val="single" w:sz="8" w:space="0" w:color="000000"/>
            </w:tcBorders>
          </w:tcPr>
          <w:p w14:paraId="3E7B05E8" w14:textId="08FB5BA8" w:rsidR="000221EB" w:rsidRPr="003A2F86" w:rsidRDefault="000221EB" w:rsidP="000221EB">
            <w:pPr>
              <w:spacing w:after="0" w:line="240" w:lineRule="auto"/>
              <w:jc w:val="right"/>
              <w:rPr>
                <w:rFonts w:ascii="Arial" w:eastAsia="Times New Roman" w:hAnsi="Arial" w:cs="Arial"/>
                <w:i/>
                <w:iCs/>
                <w:sz w:val="18"/>
                <w:szCs w:val="18"/>
                <w:lang w:eastAsia="en-US"/>
              </w:rPr>
            </w:pPr>
            <w:r w:rsidRPr="003A2F86">
              <w:rPr>
                <w:rFonts w:ascii="Arial" w:hAnsi="Arial" w:cs="Arial"/>
                <w:sz w:val="18"/>
                <w:szCs w:val="18"/>
              </w:rPr>
              <w:t>11.175,29</w:t>
            </w:r>
          </w:p>
        </w:tc>
        <w:tc>
          <w:tcPr>
            <w:tcW w:w="11623" w:type="dxa"/>
            <w:tcBorders>
              <w:top w:val="nil"/>
              <w:left w:val="nil"/>
              <w:bottom w:val="single" w:sz="8" w:space="0" w:color="000000"/>
              <w:right w:val="single" w:sz="8" w:space="0" w:color="000000"/>
            </w:tcBorders>
          </w:tcPr>
          <w:p w14:paraId="109E6BAD" w14:textId="1B58C3A7" w:rsidR="000221EB" w:rsidRPr="003A2F86" w:rsidRDefault="000221EB" w:rsidP="000221EB">
            <w:pPr>
              <w:spacing w:after="0" w:line="240" w:lineRule="auto"/>
              <w:jc w:val="both"/>
              <w:rPr>
                <w:rFonts w:ascii="Arial" w:eastAsia="Times New Roman" w:hAnsi="Arial" w:cs="Arial"/>
                <w:sz w:val="18"/>
                <w:szCs w:val="18"/>
                <w:lang w:eastAsia="en-US"/>
              </w:rPr>
            </w:pPr>
            <w:r w:rsidRPr="003A2F86">
              <w:rPr>
                <w:rFonts w:ascii="Arial" w:hAnsi="Arial" w:cs="Arial"/>
                <w:sz w:val="18"/>
                <w:szCs w:val="18"/>
              </w:rPr>
              <w:t>(prva godina ostvarivanja ovih prihoda)</w:t>
            </w:r>
          </w:p>
        </w:tc>
      </w:tr>
      <w:tr w:rsidR="000221EB" w:rsidRPr="003A2F86" w14:paraId="7D559301" w14:textId="77777777" w:rsidTr="000221EB">
        <w:trPr>
          <w:jc w:val="center"/>
        </w:trPr>
        <w:tc>
          <w:tcPr>
            <w:tcW w:w="1129" w:type="dxa"/>
            <w:tcBorders>
              <w:top w:val="nil"/>
              <w:left w:val="single" w:sz="8" w:space="0" w:color="000000"/>
              <w:bottom w:val="single" w:sz="8" w:space="0" w:color="000000"/>
              <w:right w:val="single" w:sz="8" w:space="0" w:color="000000"/>
            </w:tcBorders>
          </w:tcPr>
          <w:p w14:paraId="0CBDA83F" w14:textId="0FA36343" w:rsidR="000221EB" w:rsidRPr="003A2F86" w:rsidRDefault="000221EB" w:rsidP="000221EB">
            <w:pPr>
              <w:spacing w:after="0" w:line="240" w:lineRule="auto"/>
              <w:jc w:val="center"/>
              <w:rPr>
                <w:rFonts w:ascii="Arial" w:eastAsia="Times New Roman" w:hAnsi="Arial" w:cs="Arial"/>
                <w:i/>
                <w:iCs/>
                <w:sz w:val="18"/>
                <w:szCs w:val="18"/>
                <w:lang w:eastAsia="en-US"/>
              </w:rPr>
            </w:pPr>
            <w:r w:rsidRPr="003A2F86">
              <w:rPr>
                <w:rFonts w:ascii="Arial" w:hAnsi="Arial" w:cs="Arial"/>
                <w:sz w:val="18"/>
                <w:szCs w:val="18"/>
              </w:rPr>
              <w:t>2013.</w:t>
            </w:r>
          </w:p>
        </w:tc>
        <w:tc>
          <w:tcPr>
            <w:tcW w:w="1294" w:type="dxa"/>
            <w:tcBorders>
              <w:top w:val="nil"/>
              <w:left w:val="nil"/>
              <w:bottom w:val="single" w:sz="8" w:space="0" w:color="000000"/>
              <w:right w:val="single" w:sz="8" w:space="0" w:color="000000"/>
            </w:tcBorders>
          </w:tcPr>
          <w:p w14:paraId="62EC35E0" w14:textId="188E9412" w:rsidR="000221EB" w:rsidRPr="003A2F86" w:rsidRDefault="000221EB" w:rsidP="000221EB">
            <w:pPr>
              <w:spacing w:after="0" w:line="240" w:lineRule="auto"/>
              <w:jc w:val="right"/>
              <w:rPr>
                <w:rFonts w:ascii="Arial" w:eastAsia="Times New Roman" w:hAnsi="Arial" w:cs="Arial"/>
                <w:i/>
                <w:iCs/>
                <w:sz w:val="18"/>
                <w:szCs w:val="18"/>
                <w:lang w:eastAsia="en-US"/>
              </w:rPr>
            </w:pPr>
            <w:r w:rsidRPr="003A2F86">
              <w:rPr>
                <w:rFonts w:ascii="Arial" w:hAnsi="Arial" w:cs="Arial"/>
                <w:sz w:val="18"/>
                <w:szCs w:val="18"/>
              </w:rPr>
              <w:t>30.641,43</w:t>
            </w:r>
          </w:p>
        </w:tc>
        <w:tc>
          <w:tcPr>
            <w:tcW w:w="11623" w:type="dxa"/>
            <w:tcBorders>
              <w:top w:val="nil"/>
              <w:left w:val="nil"/>
              <w:bottom w:val="single" w:sz="8" w:space="0" w:color="000000"/>
              <w:right w:val="single" w:sz="8" w:space="0" w:color="000000"/>
            </w:tcBorders>
          </w:tcPr>
          <w:p w14:paraId="1ADBCD09" w14:textId="34695A4D" w:rsidR="000221EB" w:rsidRPr="003A2F86" w:rsidRDefault="000221EB" w:rsidP="000221EB">
            <w:pPr>
              <w:spacing w:after="0" w:line="240" w:lineRule="auto"/>
              <w:jc w:val="both"/>
              <w:rPr>
                <w:rFonts w:ascii="Arial" w:eastAsia="Times New Roman" w:hAnsi="Arial" w:cs="Arial"/>
                <w:sz w:val="18"/>
                <w:szCs w:val="18"/>
                <w:lang w:eastAsia="en-US"/>
              </w:rPr>
            </w:pPr>
            <w:r w:rsidRPr="003A2F86">
              <w:rPr>
                <w:rFonts w:ascii="Arial" w:hAnsi="Arial" w:cs="Arial"/>
                <w:sz w:val="18"/>
                <w:szCs w:val="18"/>
              </w:rPr>
              <w:t>što je za 19.466,15 € ili 174,2% više u odnosu na prethodnu 2012. godinu</w:t>
            </w:r>
          </w:p>
        </w:tc>
      </w:tr>
      <w:tr w:rsidR="000221EB" w:rsidRPr="003A2F86" w14:paraId="5ED1AAD5" w14:textId="77777777" w:rsidTr="000221EB">
        <w:trPr>
          <w:jc w:val="center"/>
        </w:trPr>
        <w:tc>
          <w:tcPr>
            <w:tcW w:w="1129" w:type="dxa"/>
            <w:tcBorders>
              <w:top w:val="nil"/>
              <w:left w:val="single" w:sz="8" w:space="0" w:color="000000"/>
              <w:bottom w:val="single" w:sz="8" w:space="0" w:color="000000"/>
              <w:right w:val="single" w:sz="8" w:space="0" w:color="000000"/>
            </w:tcBorders>
          </w:tcPr>
          <w:p w14:paraId="56F58B2B" w14:textId="24934D5E" w:rsidR="000221EB" w:rsidRPr="003A2F86" w:rsidRDefault="000221EB" w:rsidP="000221EB">
            <w:pPr>
              <w:spacing w:after="0" w:line="240" w:lineRule="auto"/>
              <w:jc w:val="center"/>
              <w:rPr>
                <w:rFonts w:ascii="Arial" w:eastAsia="Times New Roman" w:hAnsi="Arial" w:cs="Arial"/>
                <w:i/>
                <w:iCs/>
                <w:sz w:val="18"/>
                <w:szCs w:val="18"/>
                <w:lang w:eastAsia="en-US"/>
              </w:rPr>
            </w:pPr>
            <w:r w:rsidRPr="003A2F86">
              <w:rPr>
                <w:rFonts w:ascii="Arial" w:hAnsi="Arial" w:cs="Arial"/>
                <w:sz w:val="18"/>
                <w:szCs w:val="18"/>
              </w:rPr>
              <w:t>2014.</w:t>
            </w:r>
          </w:p>
        </w:tc>
        <w:tc>
          <w:tcPr>
            <w:tcW w:w="1294" w:type="dxa"/>
            <w:tcBorders>
              <w:top w:val="nil"/>
              <w:left w:val="nil"/>
              <w:bottom w:val="single" w:sz="8" w:space="0" w:color="000000"/>
              <w:right w:val="single" w:sz="8" w:space="0" w:color="000000"/>
            </w:tcBorders>
          </w:tcPr>
          <w:p w14:paraId="24E8C990" w14:textId="5B6980F0" w:rsidR="000221EB" w:rsidRPr="003A2F86" w:rsidRDefault="000221EB" w:rsidP="000221EB">
            <w:pPr>
              <w:spacing w:after="0" w:line="240" w:lineRule="auto"/>
              <w:jc w:val="right"/>
              <w:rPr>
                <w:rFonts w:ascii="Arial" w:eastAsia="Times New Roman" w:hAnsi="Arial" w:cs="Arial"/>
                <w:i/>
                <w:iCs/>
                <w:sz w:val="18"/>
                <w:szCs w:val="18"/>
                <w:lang w:eastAsia="en-US"/>
              </w:rPr>
            </w:pPr>
            <w:r w:rsidRPr="003A2F86">
              <w:rPr>
                <w:rFonts w:ascii="Arial" w:hAnsi="Arial" w:cs="Arial"/>
                <w:sz w:val="18"/>
                <w:szCs w:val="18"/>
              </w:rPr>
              <w:t>37.601,28</w:t>
            </w:r>
          </w:p>
        </w:tc>
        <w:tc>
          <w:tcPr>
            <w:tcW w:w="11623" w:type="dxa"/>
            <w:tcBorders>
              <w:top w:val="nil"/>
              <w:left w:val="nil"/>
              <w:bottom w:val="single" w:sz="8" w:space="0" w:color="000000"/>
              <w:right w:val="single" w:sz="8" w:space="0" w:color="000000"/>
            </w:tcBorders>
          </w:tcPr>
          <w:p w14:paraId="11896418" w14:textId="664A5283" w:rsidR="000221EB" w:rsidRPr="003A2F86" w:rsidRDefault="000221EB" w:rsidP="000221EB">
            <w:pPr>
              <w:spacing w:after="0" w:line="240" w:lineRule="auto"/>
              <w:jc w:val="both"/>
              <w:rPr>
                <w:rFonts w:ascii="Arial" w:eastAsia="Times New Roman" w:hAnsi="Arial" w:cs="Arial"/>
                <w:sz w:val="18"/>
                <w:szCs w:val="18"/>
                <w:lang w:eastAsia="en-US"/>
              </w:rPr>
            </w:pPr>
            <w:r w:rsidRPr="003A2F86">
              <w:rPr>
                <w:rFonts w:ascii="Arial" w:hAnsi="Arial" w:cs="Arial"/>
                <w:sz w:val="18"/>
                <w:szCs w:val="18"/>
              </w:rPr>
              <w:t>što je za 6.959,85 €n ili 22,7% više u odnosu na prethodnu 2013. godinu</w:t>
            </w:r>
          </w:p>
        </w:tc>
      </w:tr>
      <w:tr w:rsidR="000221EB" w:rsidRPr="003A2F86" w14:paraId="5D63ABEA" w14:textId="77777777" w:rsidTr="000221EB">
        <w:trPr>
          <w:jc w:val="center"/>
        </w:trPr>
        <w:tc>
          <w:tcPr>
            <w:tcW w:w="1129" w:type="dxa"/>
            <w:tcBorders>
              <w:top w:val="nil"/>
              <w:left w:val="single" w:sz="8" w:space="0" w:color="000000"/>
              <w:bottom w:val="single" w:sz="8" w:space="0" w:color="000000"/>
              <w:right w:val="single" w:sz="8" w:space="0" w:color="000000"/>
            </w:tcBorders>
          </w:tcPr>
          <w:p w14:paraId="2C939D79" w14:textId="27C7FF56" w:rsidR="000221EB" w:rsidRPr="003A2F86" w:rsidRDefault="000221EB" w:rsidP="000221EB">
            <w:pPr>
              <w:spacing w:after="0" w:line="240" w:lineRule="auto"/>
              <w:jc w:val="center"/>
              <w:rPr>
                <w:rFonts w:ascii="Arial" w:eastAsia="Times New Roman" w:hAnsi="Arial" w:cs="Arial"/>
                <w:i/>
                <w:iCs/>
                <w:sz w:val="18"/>
                <w:szCs w:val="18"/>
                <w:lang w:eastAsia="en-US"/>
              </w:rPr>
            </w:pPr>
            <w:r w:rsidRPr="003A2F86">
              <w:rPr>
                <w:rFonts w:ascii="Arial" w:hAnsi="Arial" w:cs="Arial"/>
                <w:sz w:val="18"/>
                <w:szCs w:val="18"/>
              </w:rPr>
              <w:t>2015.</w:t>
            </w:r>
          </w:p>
        </w:tc>
        <w:tc>
          <w:tcPr>
            <w:tcW w:w="1294" w:type="dxa"/>
            <w:tcBorders>
              <w:top w:val="nil"/>
              <w:left w:val="nil"/>
              <w:bottom w:val="single" w:sz="8" w:space="0" w:color="000000"/>
              <w:right w:val="single" w:sz="8" w:space="0" w:color="000000"/>
            </w:tcBorders>
          </w:tcPr>
          <w:p w14:paraId="360CFA9B" w14:textId="69B657D1" w:rsidR="000221EB" w:rsidRPr="003A2F86" w:rsidRDefault="000221EB" w:rsidP="000221EB">
            <w:pPr>
              <w:spacing w:after="0" w:line="240" w:lineRule="auto"/>
              <w:jc w:val="right"/>
              <w:rPr>
                <w:rFonts w:ascii="Arial" w:eastAsia="Times New Roman" w:hAnsi="Arial" w:cs="Arial"/>
                <w:i/>
                <w:iCs/>
                <w:sz w:val="18"/>
                <w:szCs w:val="18"/>
                <w:lang w:eastAsia="en-US"/>
              </w:rPr>
            </w:pPr>
            <w:r w:rsidRPr="003A2F86">
              <w:rPr>
                <w:rFonts w:ascii="Arial" w:hAnsi="Arial" w:cs="Arial"/>
                <w:sz w:val="18"/>
                <w:szCs w:val="18"/>
              </w:rPr>
              <w:t>17.442,39</w:t>
            </w:r>
          </w:p>
        </w:tc>
        <w:tc>
          <w:tcPr>
            <w:tcW w:w="11623" w:type="dxa"/>
            <w:tcBorders>
              <w:top w:val="nil"/>
              <w:left w:val="nil"/>
              <w:bottom w:val="single" w:sz="8" w:space="0" w:color="000000"/>
              <w:right w:val="single" w:sz="8" w:space="0" w:color="000000"/>
            </w:tcBorders>
          </w:tcPr>
          <w:p w14:paraId="2AF6E95F" w14:textId="12644334" w:rsidR="000221EB" w:rsidRPr="003A2F86" w:rsidRDefault="000221EB" w:rsidP="000221EB">
            <w:pPr>
              <w:spacing w:after="0" w:line="240" w:lineRule="auto"/>
              <w:jc w:val="both"/>
              <w:rPr>
                <w:rFonts w:ascii="Arial" w:eastAsia="Times New Roman" w:hAnsi="Arial" w:cs="Arial"/>
                <w:sz w:val="18"/>
                <w:szCs w:val="18"/>
                <w:lang w:eastAsia="en-US"/>
              </w:rPr>
            </w:pPr>
            <w:r w:rsidRPr="003A2F86">
              <w:rPr>
                <w:rFonts w:ascii="Arial" w:hAnsi="Arial" w:cs="Arial"/>
                <w:sz w:val="18"/>
                <w:szCs w:val="18"/>
              </w:rPr>
              <w:t>što je za 20.158,89 € ili 46,4% manje u odnosu na prethodnu 2014. godinu</w:t>
            </w:r>
          </w:p>
        </w:tc>
      </w:tr>
      <w:tr w:rsidR="000221EB" w:rsidRPr="003A2F86" w14:paraId="31F42B2A" w14:textId="77777777" w:rsidTr="000221EB">
        <w:trPr>
          <w:trHeight w:val="267"/>
          <w:jc w:val="center"/>
        </w:trPr>
        <w:tc>
          <w:tcPr>
            <w:tcW w:w="1129" w:type="dxa"/>
            <w:tcBorders>
              <w:top w:val="nil"/>
              <w:left w:val="single" w:sz="8" w:space="0" w:color="000000"/>
              <w:bottom w:val="single" w:sz="8" w:space="0" w:color="000000"/>
              <w:right w:val="single" w:sz="8" w:space="0" w:color="000000"/>
            </w:tcBorders>
          </w:tcPr>
          <w:p w14:paraId="53C71802" w14:textId="6F7048D1" w:rsidR="000221EB" w:rsidRPr="003A2F86" w:rsidRDefault="000221EB" w:rsidP="000221EB">
            <w:pPr>
              <w:spacing w:after="0" w:line="240" w:lineRule="auto"/>
              <w:jc w:val="center"/>
              <w:rPr>
                <w:rFonts w:ascii="Arial" w:eastAsia="Times New Roman" w:hAnsi="Arial" w:cs="Arial"/>
                <w:i/>
                <w:iCs/>
                <w:sz w:val="18"/>
                <w:szCs w:val="18"/>
                <w:lang w:eastAsia="en-US"/>
              </w:rPr>
            </w:pPr>
            <w:r w:rsidRPr="003A2F86">
              <w:rPr>
                <w:rFonts w:ascii="Arial" w:hAnsi="Arial" w:cs="Arial"/>
                <w:sz w:val="18"/>
                <w:szCs w:val="18"/>
              </w:rPr>
              <w:t>2016.</w:t>
            </w:r>
          </w:p>
        </w:tc>
        <w:tc>
          <w:tcPr>
            <w:tcW w:w="1294" w:type="dxa"/>
            <w:tcBorders>
              <w:top w:val="nil"/>
              <w:left w:val="nil"/>
              <w:bottom w:val="single" w:sz="8" w:space="0" w:color="000000"/>
              <w:right w:val="single" w:sz="8" w:space="0" w:color="000000"/>
            </w:tcBorders>
          </w:tcPr>
          <w:p w14:paraId="17F0E310" w14:textId="2A96D683" w:rsidR="000221EB" w:rsidRPr="003A2F86" w:rsidRDefault="000221EB" w:rsidP="000221EB">
            <w:pPr>
              <w:spacing w:after="0" w:line="240" w:lineRule="auto"/>
              <w:jc w:val="right"/>
              <w:rPr>
                <w:rFonts w:ascii="Arial" w:eastAsia="Times New Roman" w:hAnsi="Arial" w:cs="Arial"/>
                <w:i/>
                <w:iCs/>
                <w:sz w:val="18"/>
                <w:szCs w:val="18"/>
                <w:lang w:eastAsia="en-US"/>
              </w:rPr>
            </w:pPr>
            <w:r w:rsidRPr="003A2F86">
              <w:rPr>
                <w:rFonts w:ascii="Arial" w:hAnsi="Arial" w:cs="Arial"/>
                <w:sz w:val="18"/>
                <w:szCs w:val="18"/>
              </w:rPr>
              <w:t>17.938,57</w:t>
            </w:r>
          </w:p>
        </w:tc>
        <w:tc>
          <w:tcPr>
            <w:tcW w:w="11623" w:type="dxa"/>
            <w:tcBorders>
              <w:top w:val="nil"/>
              <w:left w:val="nil"/>
              <w:bottom w:val="single" w:sz="8" w:space="0" w:color="000000"/>
              <w:right w:val="single" w:sz="8" w:space="0" w:color="000000"/>
            </w:tcBorders>
          </w:tcPr>
          <w:p w14:paraId="0F43AA97" w14:textId="3D86EEEB" w:rsidR="000221EB" w:rsidRPr="003A2F86" w:rsidRDefault="000221EB" w:rsidP="000221EB">
            <w:pPr>
              <w:spacing w:after="0" w:line="240" w:lineRule="auto"/>
              <w:jc w:val="both"/>
              <w:rPr>
                <w:rFonts w:ascii="Arial" w:eastAsia="Times New Roman" w:hAnsi="Arial" w:cs="Arial"/>
                <w:sz w:val="18"/>
                <w:szCs w:val="18"/>
                <w:lang w:eastAsia="en-US"/>
              </w:rPr>
            </w:pPr>
            <w:r w:rsidRPr="003A2F86">
              <w:rPr>
                <w:rFonts w:ascii="Arial" w:hAnsi="Arial" w:cs="Arial"/>
                <w:sz w:val="18"/>
                <w:szCs w:val="18"/>
              </w:rPr>
              <w:t>što je za 496,17 € ili 2,8% više u odnosu na izvještajno razdoblje prethodne 2015. godine</w:t>
            </w:r>
          </w:p>
        </w:tc>
      </w:tr>
      <w:tr w:rsidR="000221EB" w:rsidRPr="003A2F86" w14:paraId="3D637D8B" w14:textId="77777777" w:rsidTr="000221EB">
        <w:trPr>
          <w:jc w:val="center"/>
        </w:trPr>
        <w:tc>
          <w:tcPr>
            <w:tcW w:w="1129" w:type="dxa"/>
            <w:tcBorders>
              <w:top w:val="nil"/>
              <w:left w:val="single" w:sz="8" w:space="0" w:color="000000"/>
              <w:bottom w:val="single" w:sz="8" w:space="0" w:color="000000"/>
              <w:right w:val="single" w:sz="8" w:space="0" w:color="000000"/>
            </w:tcBorders>
          </w:tcPr>
          <w:p w14:paraId="7F28A898" w14:textId="1DD7675C" w:rsidR="000221EB" w:rsidRPr="003A2F86" w:rsidRDefault="000221EB" w:rsidP="000221EB">
            <w:pPr>
              <w:spacing w:after="0" w:line="240" w:lineRule="auto"/>
              <w:jc w:val="center"/>
              <w:rPr>
                <w:rFonts w:ascii="Arial" w:eastAsia="Times New Roman" w:hAnsi="Arial" w:cs="Arial"/>
                <w:i/>
                <w:iCs/>
                <w:sz w:val="18"/>
                <w:szCs w:val="18"/>
                <w:lang w:eastAsia="en-US"/>
              </w:rPr>
            </w:pPr>
            <w:r w:rsidRPr="003A2F86">
              <w:rPr>
                <w:rFonts w:ascii="Arial" w:hAnsi="Arial" w:cs="Arial"/>
                <w:sz w:val="18"/>
                <w:szCs w:val="18"/>
              </w:rPr>
              <w:t>2017.</w:t>
            </w:r>
          </w:p>
        </w:tc>
        <w:tc>
          <w:tcPr>
            <w:tcW w:w="1294" w:type="dxa"/>
            <w:tcBorders>
              <w:top w:val="nil"/>
              <w:left w:val="nil"/>
              <w:bottom w:val="single" w:sz="8" w:space="0" w:color="000000"/>
              <w:right w:val="single" w:sz="8" w:space="0" w:color="000000"/>
            </w:tcBorders>
          </w:tcPr>
          <w:p w14:paraId="55D8D437" w14:textId="31D123AD" w:rsidR="000221EB" w:rsidRPr="003A2F86" w:rsidRDefault="000221EB" w:rsidP="000221EB">
            <w:pPr>
              <w:spacing w:after="0" w:line="240" w:lineRule="auto"/>
              <w:jc w:val="right"/>
              <w:rPr>
                <w:rFonts w:ascii="Arial" w:eastAsia="Times New Roman" w:hAnsi="Arial" w:cs="Arial"/>
                <w:i/>
                <w:sz w:val="18"/>
                <w:szCs w:val="18"/>
              </w:rPr>
            </w:pPr>
            <w:r w:rsidRPr="003A2F86">
              <w:rPr>
                <w:rFonts w:ascii="Arial" w:hAnsi="Arial" w:cs="Arial"/>
                <w:sz w:val="18"/>
                <w:szCs w:val="18"/>
              </w:rPr>
              <w:t>10.282,63</w:t>
            </w:r>
          </w:p>
        </w:tc>
        <w:tc>
          <w:tcPr>
            <w:tcW w:w="11623" w:type="dxa"/>
            <w:tcBorders>
              <w:top w:val="nil"/>
              <w:left w:val="nil"/>
              <w:bottom w:val="single" w:sz="8" w:space="0" w:color="000000"/>
              <w:right w:val="single" w:sz="8" w:space="0" w:color="000000"/>
            </w:tcBorders>
          </w:tcPr>
          <w:p w14:paraId="7A522BB3" w14:textId="56514CC9" w:rsidR="000221EB" w:rsidRPr="003A2F86" w:rsidRDefault="000221EB" w:rsidP="000221EB">
            <w:pPr>
              <w:spacing w:after="0" w:line="240" w:lineRule="auto"/>
              <w:jc w:val="both"/>
              <w:rPr>
                <w:rFonts w:ascii="Arial" w:eastAsia="Times New Roman" w:hAnsi="Arial" w:cs="Arial"/>
                <w:sz w:val="18"/>
                <w:szCs w:val="18"/>
                <w:lang w:eastAsia="en-US"/>
              </w:rPr>
            </w:pPr>
            <w:r w:rsidRPr="003A2F86">
              <w:rPr>
                <w:rFonts w:ascii="Arial" w:hAnsi="Arial" w:cs="Arial"/>
                <w:sz w:val="18"/>
                <w:szCs w:val="18"/>
              </w:rPr>
              <w:t>što je za 7.655,94 € ili 42,7% manje u odnosu na izvještajno razdoblje prethodne godine (u prvom polugodištu ovi prihodi bili 7.326,10 €).</w:t>
            </w:r>
          </w:p>
        </w:tc>
      </w:tr>
      <w:tr w:rsidR="000221EB" w:rsidRPr="003A2F86" w14:paraId="1DD1F6FE" w14:textId="77777777" w:rsidTr="000221EB">
        <w:trPr>
          <w:jc w:val="center"/>
        </w:trPr>
        <w:tc>
          <w:tcPr>
            <w:tcW w:w="1129" w:type="dxa"/>
            <w:tcBorders>
              <w:top w:val="nil"/>
              <w:left w:val="single" w:sz="8" w:space="0" w:color="000000"/>
              <w:bottom w:val="single" w:sz="8" w:space="0" w:color="000000"/>
              <w:right w:val="single" w:sz="8" w:space="0" w:color="000000"/>
            </w:tcBorders>
          </w:tcPr>
          <w:p w14:paraId="2CD41FBB" w14:textId="5D61A15D" w:rsidR="000221EB" w:rsidRPr="003A2F86" w:rsidRDefault="000221EB" w:rsidP="000221EB">
            <w:pPr>
              <w:spacing w:after="0" w:line="240" w:lineRule="auto"/>
              <w:jc w:val="center"/>
              <w:rPr>
                <w:rFonts w:ascii="Arial" w:eastAsia="Times New Roman" w:hAnsi="Arial" w:cs="Arial"/>
                <w:i/>
                <w:iCs/>
                <w:sz w:val="18"/>
                <w:szCs w:val="18"/>
                <w:lang w:eastAsia="en-US"/>
              </w:rPr>
            </w:pPr>
            <w:r w:rsidRPr="003A2F86">
              <w:rPr>
                <w:rFonts w:ascii="Arial" w:hAnsi="Arial" w:cs="Arial"/>
                <w:sz w:val="18"/>
                <w:szCs w:val="18"/>
              </w:rPr>
              <w:t>2018.</w:t>
            </w:r>
          </w:p>
        </w:tc>
        <w:tc>
          <w:tcPr>
            <w:tcW w:w="1294" w:type="dxa"/>
            <w:tcBorders>
              <w:top w:val="nil"/>
              <w:left w:val="nil"/>
              <w:bottom w:val="single" w:sz="8" w:space="0" w:color="000000"/>
              <w:right w:val="single" w:sz="8" w:space="0" w:color="000000"/>
            </w:tcBorders>
          </w:tcPr>
          <w:p w14:paraId="60D2016E" w14:textId="73AA293E" w:rsidR="000221EB" w:rsidRPr="003A2F86" w:rsidRDefault="000221EB" w:rsidP="000221EB">
            <w:pPr>
              <w:spacing w:after="0" w:line="240" w:lineRule="auto"/>
              <w:jc w:val="right"/>
              <w:rPr>
                <w:rFonts w:ascii="Arial" w:eastAsia="Times New Roman" w:hAnsi="Arial" w:cs="Arial"/>
                <w:i/>
                <w:sz w:val="18"/>
                <w:szCs w:val="18"/>
              </w:rPr>
            </w:pPr>
            <w:r w:rsidRPr="003A2F86">
              <w:rPr>
                <w:rFonts w:ascii="Arial" w:hAnsi="Arial" w:cs="Arial"/>
                <w:sz w:val="18"/>
                <w:szCs w:val="18"/>
              </w:rPr>
              <w:t>6.959,26</w:t>
            </w:r>
          </w:p>
        </w:tc>
        <w:tc>
          <w:tcPr>
            <w:tcW w:w="11623" w:type="dxa"/>
            <w:tcBorders>
              <w:top w:val="nil"/>
              <w:left w:val="nil"/>
              <w:bottom w:val="single" w:sz="8" w:space="0" w:color="000000"/>
              <w:right w:val="single" w:sz="8" w:space="0" w:color="000000"/>
            </w:tcBorders>
          </w:tcPr>
          <w:p w14:paraId="738DB126" w14:textId="44BBB6C1" w:rsidR="000221EB" w:rsidRPr="003A2F86" w:rsidRDefault="000221EB" w:rsidP="000221EB">
            <w:pPr>
              <w:spacing w:after="0" w:line="240" w:lineRule="auto"/>
              <w:jc w:val="both"/>
              <w:rPr>
                <w:rFonts w:ascii="Arial" w:eastAsia="Times New Roman" w:hAnsi="Arial" w:cs="Arial"/>
                <w:sz w:val="18"/>
                <w:szCs w:val="18"/>
                <w:lang w:eastAsia="en-US"/>
              </w:rPr>
            </w:pPr>
            <w:r w:rsidRPr="003A2F86">
              <w:rPr>
                <w:rFonts w:ascii="Arial" w:hAnsi="Arial" w:cs="Arial"/>
                <w:sz w:val="18"/>
                <w:szCs w:val="18"/>
              </w:rPr>
              <w:t>što je za 3.323,37 € ili 32,3 % manje u odnosu na izvještajno razdoblje prethodne godine (u prvom polugodištu ovi prihodi bili 2.964,78 €).</w:t>
            </w:r>
          </w:p>
        </w:tc>
      </w:tr>
      <w:tr w:rsidR="000221EB" w:rsidRPr="003A2F86" w14:paraId="426548EC" w14:textId="77777777" w:rsidTr="000221EB">
        <w:trPr>
          <w:jc w:val="center"/>
        </w:trPr>
        <w:tc>
          <w:tcPr>
            <w:tcW w:w="1129" w:type="dxa"/>
            <w:tcBorders>
              <w:top w:val="nil"/>
              <w:left w:val="single" w:sz="8" w:space="0" w:color="000000"/>
              <w:bottom w:val="single" w:sz="8" w:space="0" w:color="000000"/>
              <w:right w:val="single" w:sz="8" w:space="0" w:color="000000"/>
            </w:tcBorders>
          </w:tcPr>
          <w:p w14:paraId="1AFD2F3D" w14:textId="03BAB50C" w:rsidR="000221EB" w:rsidRPr="003A2F86" w:rsidRDefault="000221EB" w:rsidP="000221EB">
            <w:pPr>
              <w:spacing w:after="0" w:line="240" w:lineRule="auto"/>
              <w:jc w:val="center"/>
              <w:rPr>
                <w:rFonts w:ascii="Arial" w:eastAsia="Times New Roman" w:hAnsi="Arial" w:cs="Arial"/>
                <w:i/>
                <w:iCs/>
                <w:sz w:val="18"/>
                <w:szCs w:val="18"/>
                <w:lang w:eastAsia="en-US"/>
              </w:rPr>
            </w:pPr>
            <w:r w:rsidRPr="003A2F86">
              <w:rPr>
                <w:rFonts w:ascii="Arial" w:hAnsi="Arial" w:cs="Arial"/>
                <w:sz w:val="18"/>
                <w:szCs w:val="18"/>
              </w:rPr>
              <w:t>2019.</w:t>
            </w:r>
          </w:p>
        </w:tc>
        <w:tc>
          <w:tcPr>
            <w:tcW w:w="1294" w:type="dxa"/>
            <w:tcBorders>
              <w:top w:val="nil"/>
              <w:left w:val="nil"/>
              <w:bottom w:val="single" w:sz="8" w:space="0" w:color="000000"/>
              <w:right w:val="single" w:sz="8" w:space="0" w:color="000000"/>
            </w:tcBorders>
          </w:tcPr>
          <w:p w14:paraId="7E09FD24" w14:textId="691385ED" w:rsidR="000221EB" w:rsidRPr="003A2F86" w:rsidRDefault="000221EB" w:rsidP="000221EB">
            <w:pPr>
              <w:spacing w:after="0" w:line="240" w:lineRule="auto"/>
              <w:jc w:val="right"/>
              <w:rPr>
                <w:rFonts w:ascii="Arial" w:eastAsia="Times New Roman" w:hAnsi="Arial" w:cs="Arial"/>
                <w:i/>
                <w:iCs/>
                <w:sz w:val="18"/>
                <w:szCs w:val="18"/>
                <w:lang w:eastAsia="en-US"/>
              </w:rPr>
            </w:pPr>
            <w:r w:rsidRPr="003A2F86">
              <w:rPr>
                <w:rFonts w:ascii="Arial" w:hAnsi="Arial" w:cs="Arial"/>
                <w:sz w:val="18"/>
                <w:szCs w:val="18"/>
              </w:rPr>
              <w:t>12.117,51</w:t>
            </w:r>
          </w:p>
        </w:tc>
        <w:tc>
          <w:tcPr>
            <w:tcW w:w="11623" w:type="dxa"/>
            <w:tcBorders>
              <w:top w:val="nil"/>
              <w:left w:val="nil"/>
              <w:bottom w:val="single" w:sz="8" w:space="0" w:color="000000"/>
              <w:right w:val="single" w:sz="8" w:space="0" w:color="000000"/>
            </w:tcBorders>
          </w:tcPr>
          <w:p w14:paraId="604140F1" w14:textId="50EF1E03" w:rsidR="000221EB" w:rsidRPr="003A2F86" w:rsidRDefault="000221EB" w:rsidP="000221EB">
            <w:pPr>
              <w:spacing w:after="0" w:line="240" w:lineRule="auto"/>
              <w:jc w:val="both"/>
              <w:rPr>
                <w:rFonts w:ascii="Arial" w:eastAsia="Times New Roman" w:hAnsi="Arial" w:cs="Arial"/>
                <w:sz w:val="18"/>
                <w:szCs w:val="18"/>
                <w:lang w:eastAsia="en-US"/>
              </w:rPr>
            </w:pPr>
            <w:r w:rsidRPr="003A2F86">
              <w:rPr>
                <w:rFonts w:ascii="Arial" w:hAnsi="Arial" w:cs="Arial"/>
                <w:sz w:val="18"/>
                <w:szCs w:val="18"/>
              </w:rPr>
              <w:t>što je za 5.158,25 € ili 74,3 % više u odnosu na izvještajno razdoblje prethodne 2018. g.(u prvom polugodištu ovi prihodi bili 8.106,92 €).</w:t>
            </w:r>
          </w:p>
        </w:tc>
      </w:tr>
      <w:tr w:rsidR="000221EB" w:rsidRPr="003A2F86" w14:paraId="1BC49FB0" w14:textId="77777777" w:rsidTr="000221EB">
        <w:trPr>
          <w:jc w:val="center"/>
        </w:trPr>
        <w:tc>
          <w:tcPr>
            <w:tcW w:w="1129" w:type="dxa"/>
            <w:tcBorders>
              <w:top w:val="nil"/>
              <w:left w:val="single" w:sz="8" w:space="0" w:color="000000"/>
              <w:bottom w:val="single" w:sz="8" w:space="0" w:color="000000"/>
              <w:right w:val="single" w:sz="8" w:space="0" w:color="000000"/>
            </w:tcBorders>
          </w:tcPr>
          <w:p w14:paraId="42AB6ABD" w14:textId="5D7CB9CA" w:rsidR="000221EB" w:rsidRPr="003A2F86" w:rsidRDefault="000221EB" w:rsidP="000221EB">
            <w:pPr>
              <w:spacing w:after="0" w:line="240" w:lineRule="auto"/>
              <w:jc w:val="center"/>
              <w:rPr>
                <w:rFonts w:ascii="Arial" w:eastAsia="Times New Roman" w:hAnsi="Arial" w:cs="Arial"/>
                <w:iCs/>
                <w:sz w:val="18"/>
                <w:szCs w:val="18"/>
                <w:lang w:eastAsia="en-US"/>
              </w:rPr>
            </w:pPr>
            <w:r w:rsidRPr="003A2F86">
              <w:rPr>
                <w:rFonts w:ascii="Arial" w:hAnsi="Arial" w:cs="Arial"/>
                <w:sz w:val="18"/>
                <w:szCs w:val="18"/>
              </w:rPr>
              <w:t xml:space="preserve"> 2020.</w:t>
            </w:r>
          </w:p>
        </w:tc>
        <w:tc>
          <w:tcPr>
            <w:tcW w:w="1294" w:type="dxa"/>
            <w:tcBorders>
              <w:top w:val="nil"/>
              <w:left w:val="nil"/>
              <w:bottom w:val="single" w:sz="8" w:space="0" w:color="000000"/>
              <w:right w:val="single" w:sz="8" w:space="0" w:color="000000"/>
            </w:tcBorders>
          </w:tcPr>
          <w:p w14:paraId="452AA8CE" w14:textId="64AD99D0" w:rsidR="000221EB" w:rsidRPr="003A2F86" w:rsidRDefault="000221EB" w:rsidP="000221EB">
            <w:pPr>
              <w:spacing w:after="0" w:line="240" w:lineRule="auto"/>
              <w:jc w:val="right"/>
              <w:rPr>
                <w:rFonts w:ascii="Arial" w:eastAsia="Times New Roman" w:hAnsi="Arial" w:cs="Arial"/>
                <w:sz w:val="18"/>
                <w:szCs w:val="18"/>
              </w:rPr>
            </w:pPr>
            <w:r w:rsidRPr="003A2F86">
              <w:rPr>
                <w:rFonts w:ascii="Arial" w:hAnsi="Arial" w:cs="Arial"/>
                <w:sz w:val="18"/>
                <w:szCs w:val="18"/>
              </w:rPr>
              <w:t>4.760,84</w:t>
            </w:r>
          </w:p>
        </w:tc>
        <w:tc>
          <w:tcPr>
            <w:tcW w:w="11623" w:type="dxa"/>
            <w:tcBorders>
              <w:top w:val="nil"/>
              <w:left w:val="nil"/>
              <w:bottom w:val="single" w:sz="8" w:space="0" w:color="000000"/>
              <w:right w:val="single" w:sz="8" w:space="0" w:color="000000"/>
            </w:tcBorders>
          </w:tcPr>
          <w:p w14:paraId="109AC001" w14:textId="62C09491" w:rsidR="000221EB" w:rsidRPr="003A2F86" w:rsidRDefault="000221EB" w:rsidP="000221EB">
            <w:pPr>
              <w:spacing w:after="0" w:line="240" w:lineRule="auto"/>
              <w:jc w:val="both"/>
              <w:rPr>
                <w:rFonts w:ascii="Arial" w:eastAsia="Times New Roman" w:hAnsi="Arial" w:cs="Arial"/>
                <w:iCs/>
                <w:sz w:val="18"/>
                <w:szCs w:val="18"/>
              </w:rPr>
            </w:pPr>
            <w:r w:rsidRPr="003A2F86">
              <w:rPr>
                <w:rFonts w:ascii="Arial" w:hAnsi="Arial" w:cs="Arial"/>
                <w:sz w:val="18"/>
                <w:szCs w:val="18"/>
              </w:rPr>
              <w:t>što je za 7.356,67 € ili 60,7% manje u odnosu na izvještajno razdoblje prethodne 2019. g. (U prvom polugodištu ovi prihodi bili 1.914,92 €).</w:t>
            </w:r>
          </w:p>
        </w:tc>
      </w:tr>
      <w:tr w:rsidR="000221EB" w:rsidRPr="003A2F86" w14:paraId="5780BDE7" w14:textId="77777777" w:rsidTr="000221EB">
        <w:trPr>
          <w:jc w:val="center"/>
        </w:trPr>
        <w:tc>
          <w:tcPr>
            <w:tcW w:w="1129" w:type="dxa"/>
            <w:tcBorders>
              <w:top w:val="nil"/>
              <w:left w:val="single" w:sz="8" w:space="0" w:color="000000"/>
              <w:bottom w:val="single" w:sz="8" w:space="0" w:color="000000"/>
              <w:right w:val="single" w:sz="8" w:space="0" w:color="000000"/>
            </w:tcBorders>
          </w:tcPr>
          <w:p w14:paraId="31CFBE73" w14:textId="3ECF6735" w:rsidR="000221EB" w:rsidRPr="003A2F86" w:rsidRDefault="000221EB" w:rsidP="000221EB">
            <w:pPr>
              <w:spacing w:after="0" w:line="240" w:lineRule="auto"/>
              <w:jc w:val="center"/>
              <w:rPr>
                <w:rFonts w:ascii="Arial" w:eastAsia="Times New Roman" w:hAnsi="Arial" w:cs="Arial"/>
                <w:i/>
                <w:iCs/>
                <w:sz w:val="18"/>
                <w:szCs w:val="18"/>
                <w:lang w:eastAsia="en-US"/>
              </w:rPr>
            </w:pPr>
            <w:r w:rsidRPr="003A2F86">
              <w:rPr>
                <w:rFonts w:ascii="Arial" w:hAnsi="Arial" w:cs="Arial"/>
                <w:sz w:val="18"/>
                <w:szCs w:val="18"/>
              </w:rPr>
              <w:t>2021.</w:t>
            </w:r>
          </w:p>
        </w:tc>
        <w:tc>
          <w:tcPr>
            <w:tcW w:w="1294" w:type="dxa"/>
            <w:tcBorders>
              <w:top w:val="nil"/>
              <w:left w:val="nil"/>
              <w:bottom w:val="single" w:sz="8" w:space="0" w:color="000000"/>
              <w:right w:val="single" w:sz="8" w:space="0" w:color="000000"/>
            </w:tcBorders>
          </w:tcPr>
          <w:p w14:paraId="09CA0C8F" w14:textId="4F38D8AF" w:rsidR="000221EB" w:rsidRPr="003A2F86" w:rsidRDefault="000221EB" w:rsidP="000221EB">
            <w:pPr>
              <w:spacing w:after="0" w:line="240" w:lineRule="auto"/>
              <w:jc w:val="right"/>
              <w:rPr>
                <w:rFonts w:ascii="Arial" w:eastAsia="Times New Roman" w:hAnsi="Arial" w:cs="Arial"/>
                <w:sz w:val="18"/>
                <w:szCs w:val="18"/>
              </w:rPr>
            </w:pPr>
            <w:r w:rsidRPr="003A2F86">
              <w:rPr>
                <w:rFonts w:ascii="Arial" w:hAnsi="Arial" w:cs="Arial"/>
                <w:sz w:val="18"/>
                <w:szCs w:val="18"/>
              </w:rPr>
              <w:t>3.862,95</w:t>
            </w:r>
          </w:p>
        </w:tc>
        <w:tc>
          <w:tcPr>
            <w:tcW w:w="11623" w:type="dxa"/>
            <w:tcBorders>
              <w:top w:val="nil"/>
              <w:left w:val="nil"/>
              <w:bottom w:val="single" w:sz="8" w:space="0" w:color="000000"/>
              <w:right w:val="single" w:sz="8" w:space="0" w:color="000000"/>
            </w:tcBorders>
          </w:tcPr>
          <w:p w14:paraId="27508811" w14:textId="12E6E5CC" w:rsidR="000221EB" w:rsidRPr="003A2F86" w:rsidRDefault="000221EB" w:rsidP="000221EB">
            <w:pPr>
              <w:spacing w:after="0" w:line="240" w:lineRule="auto"/>
              <w:jc w:val="both"/>
              <w:rPr>
                <w:rFonts w:ascii="Arial" w:eastAsia="Times New Roman" w:hAnsi="Arial" w:cs="Arial"/>
                <w:iCs/>
                <w:sz w:val="18"/>
                <w:szCs w:val="18"/>
              </w:rPr>
            </w:pPr>
            <w:r w:rsidRPr="003A2F86">
              <w:rPr>
                <w:rFonts w:ascii="Arial" w:hAnsi="Arial" w:cs="Arial"/>
                <w:sz w:val="18"/>
                <w:szCs w:val="18"/>
              </w:rPr>
              <w:t>što je za 897,90 € ili 18,7% manje u odnosu na izvještajno razdoblje prethodne 2020. g. (U prvom polugodištu ovi prihodi bili 1.777,90 €).</w:t>
            </w:r>
          </w:p>
        </w:tc>
      </w:tr>
      <w:tr w:rsidR="000221EB" w:rsidRPr="003A2F86" w14:paraId="06E09CBA" w14:textId="77777777" w:rsidTr="000221EB">
        <w:trPr>
          <w:jc w:val="center"/>
        </w:trPr>
        <w:tc>
          <w:tcPr>
            <w:tcW w:w="1129" w:type="dxa"/>
            <w:tcBorders>
              <w:top w:val="nil"/>
              <w:left w:val="single" w:sz="8" w:space="0" w:color="000000"/>
              <w:bottom w:val="single" w:sz="8" w:space="0" w:color="000000"/>
              <w:right w:val="single" w:sz="8" w:space="0" w:color="000000"/>
            </w:tcBorders>
          </w:tcPr>
          <w:p w14:paraId="52E83EC1" w14:textId="5DADBB03" w:rsidR="000221EB" w:rsidRPr="003A2F86" w:rsidRDefault="000221EB" w:rsidP="000221EB">
            <w:pPr>
              <w:spacing w:after="0" w:line="240" w:lineRule="auto"/>
              <w:jc w:val="center"/>
              <w:rPr>
                <w:rFonts w:ascii="Arial" w:hAnsi="Arial" w:cs="Arial"/>
                <w:sz w:val="18"/>
                <w:szCs w:val="18"/>
              </w:rPr>
            </w:pPr>
            <w:r w:rsidRPr="003A2F86">
              <w:rPr>
                <w:rFonts w:ascii="Arial" w:hAnsi="Arial" w:cs="Arial"/>
                <w:sz w:val="18"/>
                <w:szCs w:val="18"/>
              </w:rPr>
              <w:t>2022.</w:t>
            </w:r>
          </w:p>
        </w:tc>
        <w:tc>
          <w:tcPr>
            <w:tcW w:w="1294" w:type="dxa"/>
            <w:tcBorders>
              <w:top w:val="nil"/>
              <w:left w:val="nil"/>
              <w:bottom w:val="single" w:sz="8" w:space="0" w:color="000000"/>
              <w:right w:val="single" w:sz="8" w:space="0" w:color="000000"/>
            </w:tcBorders>
          </w:tcPr>
          <w:p w14:paraId="32BC576B" w14:textId="3DF1E910" w:rsidR="000221EB" w:rsidRPr="003A2F86" w:rsidRDefault="000221EB" w:rsidP="000221EB">
            <w:pPr>
              <w:spacing w:after="0" w:line="240" w:lineRule="auto"/>
              <w:jc w:val="right"/>
              <w:rPr>
                <w:rFonts w:ascii="Arial" w:hAnsi="Arial" w:cs="Arial"/>
                <w:sz w:val="18"/>
                <w:szCs w:val="18"/>
              </w:rPr>
            </w:pPr>
            <w:r w:rsidRPr="003A2F86">
              <w:rPr>
                <w:rFonts w:ascii="Arial" w:hAnsi="Arial" w:cs="Arial"/>
                <w:sz w:val="18"/>
                <w:szCs w:val="18"/>
              </w:rPr>
              <w:t>3.927,24</w:t>
            </w:r>
          </w:p>
        </w:tc>
        <w:tc>
          <w:tcPr>
            <w:tcW w:w="11623" w:type="dxa"/>
            <w:tcBorders>
              <w:top w:val="nil"/>
              <w:left w:val="nil"/>
              <w:bottom w:val="single" w:sz="8" w:space="0" w:color="000000"/>
              <w:right w:val="single" w:sz="8" w:space="0" w:color="000000"/>
            </w:tcBorders>
          </w:tcPr>
          <w:p w14:paraId="7E726D86" w14:textId="7557FEF7" w:rsidR="000221EB" w:rsidRPr="003A2F86" w:rsidRDefault="000221EB" w:rsidP="000221EB">
            <w:pPr>
              <w:spacing w:after="0" w:line="240" w:lineRule="auto"/>
              <w:jc w:val="both"/>
              <w:rPr>
                <w:rFonts w:ascii="Arial" w:hAnsi="Arial" w:cs="Arial"/>
                <w:sz w:val="18"/>
                <w:szCs w:val="18"/>
              </w:rPr>
            </w:pPr>
            <w:r w:rsidRPr="003A2F86">
              <w:rPr>
                <w:rFonts w:ascii="Arial" w:hAnsi="Arial" w:cs="Arial"/>
                <w:sz w:val="18"/>
                <w:szCs w:val="18"/>
              </w:rPr>
              <w:t>što je za 64,30 € ili 1,7% više u odnosu na izvještajno razdoblje prethodne 2021. g. (U prvom polugodištu ovi prihodi bili 2.485,83 €).</w:t>
            </w:r>
          </w:p>
        </w:tc>
      </w:tr>
      <w:tr w:rsidR="00D64664" w:rsidRPr="003A2F86" w14:paraId="2081E5F1" w14:textId="77777777" w:rsidTr="00B223BA">
        <w:trPr>
          <w:jc w:val="center"/>
        </w:trPr>
        <w:tc>
          <w:tcPr>
            <w:tcW w:w="1129" w:type="dxa"/>
            <w:tcBorders>
              <w:top w:val="nil"/>
              <w:left w:val="single" w:sz="8" w:space="0" w:color="000000"/>
              <w:bottom w:val="single" w:sz="8" w:space="0" w:color="000000"/>
              <w:right w:val="single" w:sz="8" w:space="0" w:color="000000"/>
            </w:tcBorders>
          </w:tcPr>
          <w:p w14:paraId="16426AE8" w14:textId="24BC0321" w:rsidR="00D64664" w:rsidRPr="003A2F86" w:rsidRDefault="00D64664" w:rsidP="00D64664">
            <w:pPr>
              <w:spacing w:after="0" w:line="240" w:lineRule="auto"/>
              <w:jc w:val="center"/>
              <w:rPr>
                <w:rFonts w:ascii="Arial" w:hAnsi="Arial" w:cs="Arial"/>
                <w:sz w:val="18"/>
                <w:szCs w:val="18"/>
              </w:rPr>
            </w:pPr>
            <w:r w:rsidRPr="003A2F86">
              <w:rPr>
                <w:rFonts w:ascii="Arial" w:hAnsi="Arial" w:cs="Arial"/>
                <w:sz w:val="18"/>
                <w:szCs w:val="18"/>
              </w:rPr>
              <w:t>2023.</w:t>
            </w:r>
          </w:p>
        </w:tc>
        <w:tc>
          <w:tcPr>
            <w:tcW w:w="1294" w:type="dxa"/>
            <w:tcBorders>
              <w:top w:val="nil"/>
              <w:left w:val="nil"/>
              <w:bottom w:val="single" w:sz="8" w:space="0" w:color="000000"/>
              <w:right w:val="single" w:sz="8" w:space="0" w:color="000000"/>
            </w:tcBorders>
            <w:vAlign w:val="center"/>
          </w:tcPr>
          <w:p w14:paraId="0D0C0FDD" w14:textId="4B807B33" w:rsidR="00D64664" w:rsidRPr="003A2F86" w:rsidRDefault="00D64664" w:rsidP="00D64664">
            <w:pPr>
              <w:spacing w:after="0" w:line="240" w:lineRule="auto"/>
              <w:jc w:val="right"/>
              <w:rPr>
                <w:rFonts w:ascii="Arial" w:hAnsi="Arial" w:cs="Arial"/>
                <w:sz w:val="18"/>
                <w:szCs w:val="18"/>
              </w:rPr>
            </w:pPr>
            <w:r w:rsidRPr="003A2F86">
              <w:rPr>
                <w:rFonts w:ascii="Arial" w:hAnsi="Arial" w:cs="Arial"/>
                <w:i/>
                <w:iCs/>
                <w:sz w:val="18"/>
                <w:szCs w:val="18"/>
              </w:rPr>
              <w:t>373,97</w:t>
            </w:r>
          </w:p>
        </w:tc>
        <w:tc>
          <w:tcPr>
            <w:tcW w:w="11623" w:type="dxa"/>
            <w:tcBorders>
              <w:top w:val="nil"/>
              <w:left w:val="nil"/>
              <w:bottom w:val="single" w:sz="8" w:space="0" w:color="000000"/>
              <w:right w:val="single" w:sz="8" w:space="0" w:color="000000"/>
            </w:tcBorders>
            <w:vAlign w:val="center"/>
          </w:tcPr>
          <w:p w14:paraId="22C95300" w14:textId="4D24A0D6" w:rsidR="00D64664" w:rsidRPr="003A2F86" w:rsidRDefault="00D64664" w:rsidP="00D64664">
            <w:pPr>
              <w:spacing w:after="0" w:line="240" w:lineRule="auto"/>
              <w:jc w:val="both"/>
              <w:rPr>
                <w:rFonts w:ascii="Arial" w:hAnsi="Arial" w:cs="Arial"/>
                <w:sz w:val="18"/>
                <w:szCs w:val="18"/>
              </w:rPr>
            </w:pPr>
            <w:r w:rsidRPr="003A2F86">
              <w:rPr>
                <w:rFonts w:ascii="Arial" w:hAnsi="Arial" w:cs="Arial"/>
                <w:sz w:val="18"/>
                <w:szCs w:val="18"/>
              </w:rPr>
              <w:t xml:space="preserve">što je za 3.553,27 € manje u odnosu na izvještajno razdoblje prethodne 2022. g. (U prvom polugodištu ovi prihodi bili 45,57 €). </w:t>
            </w:r>
          </w:p>
        </w:tc>
      </w:tr>
      <w:tr w:rsidR="00D91A7C" w:rsidRPr="003A2F86" w14:paraId="1001D1F4" w14:textId="77777777" w:rsidTr="00B223BA">
        <w:trPr>
          <w:jc w:val="center"/>
        </w:trPr>
        <w:tc>
          <w:tcPr>
            <w:tcW w:w="1129" w:type="dxa"/>
            <w:tcBorders>
              <w:top w:val="nil"/>
              <w:left w:val="single" w:sz="8" w:space="0" w:color="000000"/>
              <w:bottom w:val="single" w:sz="8" w:space="0" w:color="000000"/>
              <w:right w:val="single" w:sz="8" w:space="0" w:color="000000"/>
            </w:tcBorders>
          </w:tcPr>
          <w:p w14:paraId="2B7853F4" w14:textId="1CB2F24D" w:rsidR="00D91A7C" w:rsidRPr="003A2F86" w:rsidRDefault="00D91A7C" w:rsidP="00D91A7C">
            <w:pPr>
              <w:spacing w:after="0" w:line="240" w:lineRule="auto"/>
              <w:jc w:val="center"/>
              <w:rPr>
                <w:rFonts w:ascii="Arial" w:hAnsi="Arial" w:cs="Arial"/>
                <w:sz w:val="18"/>
                <w:szCs w:val="18"/>
              </w:rPr>
            </w:pPr>
            <w:r w:rsidRPr="003A2F86">
              <w:rPr>
                <w:rFonts w:ascii="Arial" w:hAnsi="Arial" w:cs="Arial"/>
                <w:sz w:val="18"/>
                <w:szCs w:val="18"/>
              </w:rPr>
              <w:t>2024.</w:t>
            </w:r>
          </w:p>
        </w:tc>
        <w:tc>
          <w:tcPr>
            <w:tcW w:w="1294" w:type="dxa"/>
            <w:tcBorders>
              <w:top w:val="nil"/>
              <w:left w:val="nil"/>
              <w:bottom w:val="single" w:sz="8" w:space="0" w:color="000000"/>
              <w:right w:val="single" w:sz="8" w:space="0" w:color="000000"/>
            </w:tcBorders>
            <w:vAlign w:val="center"/>
          </w:tcPr>
          <w:p w14:paraId="423993E1" w14:textId="29F0B071" w:rsidR="00D91A7C" w:rsidRPr="00761AF1" w:rsidRDefault="00D91A7C" w:rsidP="00D91A7C">
            <w:pPr>
              <w:spacing w:after="0" w:line="240" w:lineRule="auto"/>
              <w:jc w:val="right"/>
              <w:rPr>
                <w:rFonts w:ascii="Arial" w:hAnsi="Arial" w:cs="Arial"/>
                <w:sz w:val="18"/>
                <w:szCs w:val="18"/>
              </w:rPr>
            </w:pPr>
            <w:r w:rsidRPr="00761AF1">
              <w:rPr>
                <w:rFonts w:ascii="Arial" w:hAnsi="Arial" w:cs="Arial"/>
                <w:sz w:val="18"/>
                <w:szCs w:val="18"/>
              </w:rPr>
              <w:t>968,64</w:t>
            </w:r>
          </w:p>
        </w:tc>
        <w:tc>
          <w:tcPr>
            <w:tcW w:w="11623" w:type="dxa"/>
            <w:tcBorders>
              <w:top w:val="nil"/>
              <w:left w:val="nil"/>
              <w:bottom w:val="single" w:sz="8" w:space="0" w:color="000000"/>
              <w:right w:val="single" w:sz="8" w:space="0" w:color="000000"/>
            </w:tcBorders>
            <w:vAlign w:val="center"/>
          </w:tcPr>
          <w:p w14:paraId="35EAE938" w14:textId="4C14689E" w:rsidR="00D91A7C" w:rsidRPr="003A2F86" w:rsidRDefault="00D91A7C" w:rsidP="00D91A7C">
            <w:pPr>
              <w:spacing w:after="0" w:line="240" w:lineRule="auto"/>
              <w:jc w:val="both"/>
              <w:rPr>
                <w:rFonts w:ascii="Arial" w:hAnsi="Arial" w:cs="Arial"/>
                <w:sz w:val="18"/>
                <w:szCs w:val="18"/>
              </w:rPr>
            </w:pPr>
            <w:r>
              <w:rPr>
                <w:rFonts w:ascii="Arial" w:hAnsi="Arial" w:cs="Arial"/>
                <w:sz w:val="18"/>
                <w:szCs w:val="18"/>
              </w:rPr>
              <w:t xml:space="preserve">što je za 594,67 € više u odnosu na izvještajno razdoblje prethodne 2023. g. (U prvom polugodištu ovi prihodi bili 604,57 €).  </w:t>
            </w:r>
          </w:p>
        </w:tc>
      </w:tr>
      <w:tr w:rsidR="00EE4120" w:rsidRPr="00EE4120" w14:paraId="491B1515" w14:textId="77777777" w:rsidTr="0091655E">
        <w:trPr>
          <w:jc w:val="center"/>
        </w:trPr>
        <w:tc>
          <w:tcPr>
            <w:tcW w:w="1129" w:type="dxa"/>
          </w:tcPr>
          <w:p w14:paraId="3A713FDC" w14:textId="6608E56E" w:rsidR="00EE4120" w:rsidRPr="00EE4120" w:rsidRDefault="00EE4120" w:rsidP="00EE4120">
            <w:pPr>
              <w:spacing w:after="0" w:line="240" w:lineRule="auto"/>
              <w:jc w:val="center"/>
              <w:rPr>
                <w:rFonts w:ascii="Arial" w:hAnsi="Arial" w:cs="Arial"/>
                <w:sz w:val="18"/>
                <w:szCs w:val="18"/>
              </w:rPr>
            </w:pPr>
            <w:r>
              <w:rPr>
                <w:rFonts w:ascii="Arial" w:hAnsi="Arial" w:cs="Arial"/>
                <w:sz w:val="18"/>
                <w:szCs w:val="18"/>
              </w:rPr>
              <w:t>1-6/2025.</w:t>
            </w:r>
          </w:p>
        </w:tc>
        <w:tc>
          <w:tcPr>
            <w:tcW w:w="1294" w:type="dxa"/>
            <w:tcBorders>
              <w:top w:val="nil"/>
              <w:left w:val="nil"/>
              <w:bottom w:val="single" w:sz="8" w:space="0" w:color="000000"/>
              <w:right w:val="single" w:sz="8" w:space="0" w:color="000000"/>
            </w:tcBorders>
            <w:vAlign w:val="center"/>
          </w:tcPr>
          <w:p w14:paraId="25ABAB19" w14:textId="1D3232C1" w:rsidR="00EE4120" w:rsidRPr="00761AF1" w:rsidRDefault="00761AF1" w:rsidP="00EE4120">
            <w:pPr>
              <w:spacing w:after="0" w:line="240" w:lineRule="auto"/>
              <w:jc w:val="right"/>
              <w:rPr>
                <w:rFonts w:ascii="Arial" w:hAnsi="Arial" w:cs="Arial"/>
                <w:sz w:val="18"/>
                <w:szCs w:val="18"/>
              </w:rPr>
            </w:pPr>
            <w:r>
              <w:rPr>
                <w:rFonts w:ascii="Arial" w:hAnsi="Arial" w:cs="Arial"/>
                <w:sz w:val="18"/>
                <w:szCs w:val="18"/>
              </w:rPr>
              <w:t>224,21</w:t>
            </w:r>
          </w:p>
        </w:tc>
        <w:tc>
          <w:tcPr>
            <w:tcW w:w="11623" w:type="dxa"/>
            <w:tcBorders>
              <w:top w:val="nil"/>
              <w:left w:val="nil"/>
              <w:bottom w:val="single" w:sz="8" w:space="0" w:color="000000"/>
              <w:right w:val="single" w:sz="8" w:space="0" w:color="000000"/>
            </w:tcBorders>
            <w:vAlign w:val="center"/>
          </w:tcPr>
          <w:p w14:paraId="45CF9F32" w14:textId="55B843AB" w:rsidR="00EE4120" w:rsidRPr="00EE4120" w:rsidRDefault="00761AF1" w:rsidP="00EE4120">
            <w:pPr>
              <w:spacing w:after="0" w:line="240" w:lineRule="auto"/>
              <w:rPr>
                <w:rFonts w:ascii="Arial" w:hAnsi="Arial" w:cs="Arial"/>
                <w:i/>
                <w:iCs/>
                <w:sz w:val="18"/>
                <w:szCs w:val="18"/>
              </w:rPr>
            </w:pPr>
            <w:r w:rsidRPr="00761AF1">
              <w:rPr>
                <w:rFonts w:ascii="Arial" w:hAnsi="Arial" w:cs="Arial"/>
                <w:i/>
                <w:iCs/>
                <w:sz w:val="18"/>
                <w:szCs w:val="18"/>
              </w:rPr>
              <w:t xml:space="preserve">što je za 380,6 € manje  u odnosu na izvještajno razdoblje prethodne 2024. g. (U prvom polugodištu ovi prihodi bili 224,21 €).  </w:t>
            </w:r>
          </w:p>
        </w:tc>
      </w:tr>
      <w:tr w:rsidR="00D91A7C" w:rsidRPr="003A2F86" w14:paraId="391D0702" w14:textId="77777777" w:rsidTr="0091655E">
        <w:trPr>
          <w:jc w:val="center"/>
        </w:trPr>
        <w:tc>
          <w:tcPr>
            <w:tcW w:w="1129" w:type="dxa"/>
          </w:tcPr>
          <w:p w14:paraId="612ED4B0" w14:textId="64E3222D" w:rsidR="00D91A7C" w:rsidRPr="003A2F86" w:rsidRDefault="00D91A7C" w:rsidP="00D91A7C">
            <w:pPr>
              <w:spacing w:after="0" w:line="240" w:lineRule="auto"/>
              <w:jc w:val="both"/>
              <w:rPr>
                <w:rFonts w:ascii="Arial" w:eastAsia="Times New Roman" w:hAnsi="Arial" w:cs="Arial"/>
                <w:b/>
                <w:bCs/>
                <w:i/>
                <w:iCs/>
                <w:sz w:val="18"/>
                <w:szCs w:val="18"/>
                <w:lang w:eastAsia="en-US"/>
              </w:rPr>
            </w:pPr>
            <w:r w:rsidRPr="003A2F86">
              <w:rPr>
                <w:rFonts w:ascii="Arial" w:hAnsi="Arial" w:cs="Arial"/>
                <w:b/>
                <w:bCs/>
                <w:sz w:val="18"/>
                <w:szCs w:val="18"/>
              </w:rPr>
              <w:t>UKUPNO</w:t>
            </w:r>
          </w:p>
        </w:tc>
        <w:tc>
          <w:tcPr>
            <w:tcW w:w="1294" w:type="dxa"/>
            <w:tcBorders>
              <w:top w:val="nil"/>
              <w:left w:val="nil"/>
              <w:bottom w:val="single" w:sz="8" w:space="0" w:color="000000"/>
              <w:right w:val="single" w:sz="8" w:space="0" w:color="000000"/>
            </w:tcBorders>
            <w:vAlign w:val="center"/>
          </w:tcPr>
          <w:p w14:paraId="5CA25527" w14:textId="499E48E3" w:rsidR="00D91A7C" w:rsidRPr="003A2F86" w:rsidRDefault="00D91A7C" w:rsidP="00D91A7C">
            <w:pPr>
              <w:spacing w:after="0" w:line="240" w:lineRule="auto"/>
              <w:jc w:val="right"/>
              <w:rPr>
                <w:rFonts w:ascii="Arial" w:eastAsia="Times New Roman" w:hAnsi="Arial" w:cs="Arial"/>
                <w:b/>
                <w:bCs/>
                <w:i/>
                <w:sz w:val="18"/>
                <w:szCs w:val="18"/>
              </w:rPr>
            </w:pPr>
            <w:r>
              <w:rPr>
                <w:rFonts w:ascii="Arial" w:hAnsi="Arial" w:cs="Arial"/>
                <w:b/>
                <w:bCs/>
                <w:i/>
                <w:iCs/>
                <w:sz w:val="18"/>
                <w:szCs w:val="18"/>
              </w:rPr>
              <w:t>158.</w:t>
            </w:r>
            <w:r w:rsidR="006A2168">
              <w:rPr>
                <w:rFonts w:ascii="Arial" w:hAnsi="Arial" w:cs="Arial"/>
                <w:b/>
                <w:bCs/>
                <w:i/>
                <w:iCs/>
                <w:sz w:val="18"/>
                <w:szCs w:val="18"/>
              </w:rPr>
              <w:t>276,21</w:t>
            </w:r>
          </w:p>
        </w:tc>
        <w:tc>
          <w:tcPr>
            <w:tcW w:w="11623" w:type="dxa"/>
            <w:tcBorders>
              <w:top w:val="nil"/>
              <w:left w:val="nil"/>
              <w:bottom w:val="single" w:sz="8" w:space="0" w:color="000000"/>
              <w:right w:val="single" w:sz="8" w:space="0" w:color="000000"/>
            </w:tcBorders>
            <w:vAlign w:val="center"/>
          </w:tcPr>
          <w:p w14:paraId="5AA9A49D" w14:textId="5E15F82B" w:rsidR="00D91A7C" w:rsidRPr="003A2F86" w:rsidRDefault="00D91A7C" w:rsidP="00D91A7C">
            <w:pPr>
              <w:spacing w:after="0" w:line="240" w:lineRule="auto"/>
              <w:jc w:val="both"/>
              <w:rPr>
                <w:rFonts w:ascii="Arial" w:eastAsia="Times New Roman" w:hAnsi="Arial" w:cs="Arial"/>
                <w:i/>
                <w:iCs/>
                <w:sz w:val="18"/>
                <w:szCs w:val="18"/>
                <w:lang w:eastAsia="en-US"/>
              </w:rPr>
            </w:pPr>
            <w:r>
              <w:rPr>
                <w:rFonts w:ascii="Arial" w:hAnsi="Arial" w:cs="Arial"/>
                <w:i/>
                <w:iCs/>
                <w:sz w:val="18"/>
                <w:szCs w:val="18"/>
              </w:rPr>
              <w:t xml:space="preserve">Ostvareni prihodi od ove naknade od početka primjene Zakona o postupanju s nezakonito izgrađenim zgradama do konca </w:t>
            </w:r>
            <w:r w:rsidR="00761AF1">
              <w:rPr>
                <w:rFonts w:ascii="Arial" w:hAnsi="Arial" w:cs="Arial"/>
                <w:i/>
                <w:iCs/>
                <w:sz w:val="18"/>
                <w:szCs w:val="18"/>
              </w:rPr>
              <w:t xml:space="preserve">lipnja </w:t>
            </w:r>
            <w:r>
              <w:rPr>
                <w:rFonts w:ascii="Arial" w:hAnsi="Arial" w:cs="Arial"/>
                <w:i/>
                <w:iCs/>
                <w:sz w:val="18"/>
                <w:szCs w:val="18"/>
              </w:rPr>
              <w:t>202</w:t>
            </w:r>
            <w:r w:rsidR="00761AF1">
              <w:rPr>
                <w:rFonts w:ascii="Arial" w:hAnsi="Arial" w:cs="Arial"/>
                <w:i/>
                <w:iCs/>
                <w:sz w:val="18"/>
                <w:szCs w:val="18"/>
              </w:rPr>
              <w:t>5</w:t>
            </w:r>
            <w:r>
              <w:rPr>
                <w:rFonts w:ascii="Arial" w:hAnsi="Arial" w:cs="Arial"/>
                <w:i/>
                <w:iCs/>
                <w:sz w:val="18"/>
                <w:szCs w:val="18"/>
              </w:rPr>
              <w:t>.</w:t>
            </w:r>
          </w:p>
        </w:tc>
      </w:tr>
    </w:tbl>
    <w:p w14:paraId="7DA2F47E" w14:textId="6F8A7783" w:rsidR="00FB51CA" w:rsidRPr="003A2F86" w:rsidRDefault="00FB51CA"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425E84D" w14:textId="77777777" w:rsidR="00001050" w:rsidRPr="003A2F86" w:rsidRDefault="00001050"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5D0D50C" w14:textId="1D3B2CEA" w:rsidR="00891119" w:rsidRPr="003A2F86" w:rsidRDefault="001B3297" w:rsidP="001B3297">
      <w:pPr>
        <w:pStyle w:val="Naslov4"/>
        <w:rPr>
          <w:rFonts w:ascii="Arial" w:hAnsi="Arial" w:cs="Arial"/>
          <w:shd w:val="clear" w:color="auto" w:fill="FFFFFF"/>
          <w:lang w:val="hr-HR"/>
        </w:rPr>
      </w:pPr>
      <w:bookmarkStart w:id="109" w:name="_Toc207707426"/>
      <w:r w:rsidRPr="003A2F86">
        <w:rPr>
          <w:rFonts w:ascii="Arial" w:hAnsi="Arial" w:cs="Arial"/>
          <w:shd w:val="clear" w:color="auto" w:fill="FFFFFF"/>
          <w:lang w:val="hr-HR"/>
        </w:rPr>
        <w:t>2.4.1</w:t>
      </w:r>
      <w:r w:rsidR="00891119" w:rsidRPr="003A2F86">
        <w:rPr>
          <w:rFonts w:ascii="Arial" w:hAnsi="Arial" w:cs="Arial"/>
          <w:shd w:val="clear" w:color="auto" w:fill="FFFFFF"/>
          <w:lang w:val="hr-HR"/>
        </w:rPr>
        <w:t xml:space="preserve">.4. </w:t>
      </w:r>
      <w:r w:rsidR="00891119" w:rsidRPr="003A2F86">
        <w:rPr>
          <w:rFonts w:ascii="Arial" w:hAnsi="Arial" w:cs="Arial"/>
          <w:shd w:val="clear" w:color="auto" w:fill="FFFFFF"/>
          <w:lang w:val="hr-HR"/>
        </w:rPr>
        <w:tab/>
        <w:t>Prihodi po posebnim propisima</w:t>
      </w:r>
      <w:r w:rsidR="00744D8B" w:rsidRPr="003A2F86">
        <w:rPr>
          <w:rFonts w:ascii="Arial" w:hAnsi="Arial" w:cs="Arial"/>
          <w:shd w:val="clear" w:color="auto" w:fill="FFFFFF"/>
          <w:lang w:val="hr-HR"/>
        </w:rPr>
        <w:t xml:space="preserve"> (65)</w:t>
      </w:r>
      <w:bookmarkEnd w:id="109"/>
    </w:p>
    <w:p w14:paraId="3789F0DF" w14:textId="77777777" w:rsidR="00891119" w:rsidRPr="003A2F86" w:rsidRDefault="00891119" w:rsidP="00891119">
      <w:pPr>
        <w:tabs>
          <w:tab w:val="left" w:pos="567"/>
        </w:tabs>
        <w:spacing w:after="0" w:line="240" w:lineRule="auto"/>
        <w:jc w:val="both"/>
        <w:rPr>
          <w:rFonts w:ascii="Arial" w:eastAsia="Times New Roman" w:hAnsi="Arial" w:cs="Arial"/>
          <w:sz w:val="18"/>
          <w:szCs w:val="18"/>
          <w:lang w:eastAsia="en-US"/>
        </w:rPr>
      </w:pPr>
    </w:p>
    <w:p w14:paraId="179F9F9E" w14:textId="3636E84D" w:rsidR="00D91A7C" w:rsidRDefault="00817DF6" w:rsidP="00D91A7C">
      <w:pPr>
        <w:spacing w:after="0" w:line="240" w:lineRule="auto"/>
        <w:jc w:val="both"/>
        <w:rPr>
          <w:rFonts w:ascii="Arial" w:eastAsia="Times New Roman" w:hAnsi="Arial" w:cs="Arial"/>
          <w:iCs/>
          <w:lang w:eastAsia="en-US"/>
        </w:rPr>
      </w:pPr>
      <w:bookmarkStart w:id="110" w:name="_Hlk66210001"/>
      <w:r w:rsidRPr="003A2F86">
        <w:rPr>
          <w:rFonts w:ascii="Arial" w:eastAsia="Times New Roman" w:hAnsi="Arial" w:cs="Arial"/>
          <w:b/>
          <w:iCs/>
          <w:lang w:eastAsia="en-US"/>
        </w:rPr>
        <w:t xml:space="preserve">Prihodi od </w:t>
      </w:r>
      <w:r w:rsidRPr="003A2F86">
        <w:rPr>
          <w:rFonts w:ascii="Arial" w:eastAsia="Times New Roman" w:hAnsi="Arial" w:cs="Arial"/>
          <w:b/>
        </w:rPr>
        <w:t xml:space="preserve">upravnih i administrativnih pristojbi, pristojbi po posebnim propisima i naknada </w:t>
      </w:r>
      <w:r w:rsidRPr="003A2F86">
        <w:rPr>
          <w:rFonts w:ascii="Arial" w:eastAsia="Times New Roman" w:hAnsi="Arial" w:cs="Arial"/>
          <w:iCs/>
          <w:lang w:eastAsia="en-US"/>
        </w:rPr>
        <w:t xml:space="preserve">(65) </w:t>
      </w:r>
      <w:bookmarkStart w:id="111" w:name="_Hlk103075003"/>
      <w:bookmarkEnd w:id="110"/>
      <w:r w:rsidR="00D91A7C" w:rsidRPr="00D91A7C">
        <w:rPr>
          <w:rFonts w:ascii="Arial" w:eastAsia="Times New Roman" w:hAnsi="Arial" w:cs="Arial"/>
          <w:iCs/>
          <w:lang w:eastAsia="en-US"/>
        </w:rPr>
        <w:t xml:space="preserve">ostvareni su u iznosu </w:t>
      </w:r>
      <w:r w:rsidR="00202074">
        <w:rPr>
          <w:rFonts w:ascii="Arial" w:eastAsia="Times New Roman" w:hAnsi="Arial" w:cs="Arial"/>
          <w:iCs/>
          <w:lang w:eastAsia="en-US"/>
        </w:rPr>
        <w:t>1.635.925,76</w:t>
      </w:r>
      <w:r w:rsidR="00D91A7C" w:rsidRPr="00D91A7C">
        <w:rPr>
          <w:rFonts w:ascii="Arial" w:eastAsia="Times New Roman" w:hAnsi="Arial" w:cs="Arial"/>
          <w:iCs/>
          <w:lang w:eastAsia="en-US"/>
        </w:rPr>
        <w:t xml:space="preserve"> € što je za </w:t>
      </w:r>
      <w:r w:rsidR="007B48AC">
        <w:rPr>
          <w:rFonts w:ascii="Arial" w:eastAsia="Times New Roman" w:hAnsi="Arial" w:cs="Arial"/>
          <w:iCs/>
          <w:lang w:eastAsia="en-US"/>
        </w:rPr>
        <w:t>218.241,39</w:t>
      </w:r>
      <w:r w:rsidR="00D91A7C" w:rsidRPr="00D91A7C">
        <w:rPr>
          <w:rFonts w:ascii="Arial" w:eastAsia="Times New Roman" w:hAnsi="Arial" w:cs="Arial"/>
          <w:iCs/>
          <w:lang w:eastAsia="en-US"/>
        </w:rPr>
        <w:t xml:space="preserve"> € ili </w:t>
      </w:r>
      <w:r w:rsidR="007B48AC">
        <w:rPr>
          <w:rFonts w:ascii="Arial" w:eastAsia="Times New Roman" w:hAnsi="Arial" w:cs="Arial"/>
          <w:iCs/>
          <w:lang w:eastAsia="en-US"/>
        </w:rPr>
        <w:t>15,4</w:t>
      </w:r>
      <w:r w:rsidR="00D91A7C" w:rsidRPr="00D91A7C">
        <w:rPr>
          <w:rFonts w:ascii="Arial" w:eastAsia="Times New Roman" w:hAnsi="Arial" w:cs="Arial"/>
          <w:iCs/>
          <w:lang w:eastAsia="en-US"/>
        </w:rPr>
        <w:t>% više u odnosu na prethodnu godinu. Vrijednosno najznačajniji više ostvareni prihodi u okviru ove skupine su prihodi od turističke pristojbe</w:t>
      </w:r>
      <w:r w:rsidR="00797866">
        <w:rPr>
          <w:rFonts w:ascii="Arial" w:eastAsia="Times New Roman" w:hAnsi="Arial" w:cs="Arial"/>
          <w:iCs/>
          <w:lang w:eastAsia="en-US"/>
        </w:rPr>
        <w:t>,</w:t>
      </w:r>
      <w:r w:rsidR="00D91A7C" w:rsidRPr="00D91A7C">
        <w:rPr>
          <w:rFonts w:ascii="Arial" w:eastAsia="Times New Roman" w:hAnsi="Arial" w:cs="Arial"/>
          <w:iCs/>
          <w:lang w:eastAsia="en-US"/>
        </w:rPr>
        <w:t xml:space="preserve"> komunalne naknade</w:t>
      </w:r>
      <w:r w:rsidR="00797866">
        <w:rPr>
          <w:rFonts w:ascii="Arial" w:eastAsia="Times New Roman" w:hAnsi="Arial" w:cs="Arial"/>
          <w:iCs/>
          <w:lang w:eastAsia="en-US"/>
        </w:rPr>
        <w:t xml:space="preserve"> i</w:t>
      </w:r>
      <w:r w:rsidR="00D91A7C">
        <w:rPr>
          <w:rFonts w:ascii="Arial" w:eastAsia="Times New Roman" w:hAnsi="Arial" w:cs="Arial"/>
          <w:iCs/>
          <w:lang w:eastAsia="en-US"/>
        </w:rPr>
        <w:t xml:space="preserve"> </w:t>
      </w:r>
      <w:r w:rsidR="00D91A7C" w:rsidRPr="003A2F86">
        <w:rPr>
          <w:rFonts w:ascii="Arial" w:eastAsia="Times New Roman" w:hAnsi="Arial" w:cs="Arial"/>
          <w:iCs/>
          <w:lang w:eastAsia="en-US"/>
        </w:rPr>
        <w:t>od komunalnog doprinosa.</w:t>
      </w:r>
    </w:p>
    <w:p w14:paraId="2E2303D2" w14:textId="77777777" w:rsidR="00D91A7C" w:rsidRPr="00D91A7C" w:rsidRDefault="00D91A7C" w:rsidP="00D91A7C">
      <w:pPr>
        <w:spacing w:after="0" w:line="240" w:lineRule="auto"/>
        <w:jc w:val="both"/>
        <w:rPr>
          <w:rFonts w:ascii="Arial" w:eastAsia="Times New Roman" w:hAnsi="Arial" w:cs="Arial"/>
          <w:iCs/>
          <w:lang w:eastAsia="en-US"/>
        </w:rPr>
      </w:pPr>
    </w:p>
    <w:p w14:paraId="589A977F" w14:textId="70667C93" w:rsidR="00891119" w:rsidRPr="00797866" w:rsidRDefault="00891119" w:rsidP="00D91A7C">
      <w:pPr>
        <w:spacing w:after="0" w:line="240" w:lineRule="auto"/>
        <w:jc w:val="both"/>
        <w:rPr>
          <w:rFonts w:ascii="Arial" w:eastAsia="Times New Roman" w:hAnsi="Arial" w:cs="Arial"/>
          <w:iCs/>
          <w:color w:val="17365D" w:themeColor="text2" w:themeShade="BF"/>
          <w:lang w:eastAsia="en-US"/>
        </w:rPr>
      </w:pPr>
      <w:r w:rsidRPr="003A2F86">
        <w:rPr>
          <w:rFonts w:ascii="Arial" w:eastAsia="Times New Roman" w:hAnsi="Arial" w:cs="Arial"/>
          <w:color w:val="1F497D" w:themeColor="text2"/>
        </w:rPr>
        <w:t>Ukupni prihodi od upravnih i administrativnih pristojbi, pristojbi po posebnim propisima i na</w:t>
      </w:r>
      <w:r w:rsidR="00A8623C" w:rsidRPr="003A2F86">
        <w:rPr>
          <w:rFonts w:ascii="Arial" w:eastAsia="Times New Roman" w:hAnsi="Arial" w:cs="Arial"/>
          <w:color w:val="1F497D" w:themeColor="text2"/>
        </w:rPr>
        <w:t>kn</w:t>
      </w:r>
      <w:r w:rsidRPr="003A2F86">
        <w:rPr>
          <w:rFonts w:ascii="Arial" w:eastAsia="Times New Roman" w:hAnsi="Arial" w:cs="Arial"/>
          <w:color w:val="1F497D" w:themeColor="text2"/>
        </w:rPr>
        <w:t xml:space="preserve">ade (65) Općine iznose </w:t>
      </w:r>
      <w:bookmarkStart w:id="112" w:name="_Hlk145931602"/>
      <w:r w:rsidR="00797866">
        <w:rPr>
          <w:rFonts w:ascii="Arial" w:eastAsia="Times New Roman" w:hAnsi="Arial" w:cs="Arial"/>
          <w:iCs/>
          <w:color w:val="1F497D" w:themeColor="text2"/>
          <w:lang w:eastAsia="en-US"/>
        </w:rPr>
        <w:t>915.086,76</w:t>
      </w:r>
      <w:r w:rsidR="00723226" w:rsidRPr="003A2F86">
        <w:rPr>
          <w:rFonts w:ascii="Arial" w:eastAsia="Times New Roman" w:hAnsi="Arial" w:cs="Arial"/>
          <w:iCs/>
          <w:color w:val="1F497D" w:themeColor="text2"/>
          <w:lang w:eastAsia="en-US"/>
        </w:rPr>
        <w:t xml:space="preserve"> €</w:t>
      </w:r>
      <w:r w:rsidRPr="003A2F86">
        <w:rPr>
          <w:rFonts w:ascii="Arial" w:eastAsia="Times New Roman" w:hAnsi="Arial" w:cs="Arial"/>
          <w:color w:val="1F497D" w:themeColor="text2"/>
        </w:rPr>
        <w:t xml:space="preserve">, </w:t>
      </w:r>
      <w:bookmarkEnd w:id="112"/>
      <w:r w:rsidRPr="003A2F86">
        <w:rPr>
          <w:rFonts w:ascii="Arial" w:eastAsia="Times New Roman" w:hAnsi="Arial" w:cs="Arial"/>
          <w:color w:val="1F497D" w:themeColor="text2"/>
        </w:rPr>
        <w:t xml:space="preserve">a </w:t>
      </w:r>
      <w:r w:rsidRPr="003A2F86">
        <w:rPr>
          <w:rFonts w:ascii="Arial" w:eastAsia="Times New Roman" w:hAnsi="Arial" w:cs="Arial"/>
          <w:color w:val="1F497D" w:themeColor="text2"/>
          <w:szCs w:val="24"/>
        </w:rPr>
        <w:t xml:space="preserve">prihodi proračunskih korisnika </w:t>
      </w:r>
      <w:r w:rsidRPr="003A2F86">
        <w:rPr>
          <w:rFonts w:ascii="Arial" w:eastAsia="Times New Roman" w:hAnsi="Arial" w:cs="Arial"/>
          <w:color w:val="17365D" w:themeColor="text2" w:themeShade="BF"/>
          <w:szCs w:val="24"/>
        </w:rPr>
        <w:t xml:space="preserve">iznose </w:t>
      </w:r>
      <w:bookmarkStart w:id="113" w:name="_Hlk145931686"/>
      <w:r w:rsidR="00797866">
        <w:rPr>
          <w:rFonts w:ascii="Arial" w:eastAsia="Times New Roman" w:hAnsi="Arial" w:cs="Arial"/>
          <w:iCs/>
          <w:color w:val="17365D" w:themeColor="text2" w:themeShade="BF"/>
          <w:lang w:eastAsia="en-US"/>
        </w:rPr>
        <w:t>720.839,00</w:t>
      </w:r>
      <w:r w:rsidR="00926084" w:rsidRPr="003A2F86">
        <w:rPr>
          <w:rFonts w:ascii="Arial" w:eastAsia="Times New Roman" w:hAnsi="Arial" w:cs="Arial"/>
          <w:iCs/>
          <w:color w:val="17365D" w:themeColor="text2" w:themeShade="BF"/>
          <w:lang w:eastAsia="en-US"/>
        </w:rPr>
        <w:t xml:space="preserve"> €</w:t>
      </w:r>
      <w:r w:rsidR="006F73F7" w:rsidRPr="003A2F86">
        <w:rPr>
          <w:rFonts w:ascii="Arial" w:eastAsia="Times New Roman" w:hAnsi="Arial" w:cs="Arial"/>
          <w:iCs/>
          <w:color w:val="17365D" w:themeColor="text2" w:themeShade="BF"/>
          <w:lang w:eastAsia="en-US"/>
        </w:rPr>
        <w:t>.</w:t>
      </w:r>
      <w:bookmarkEnd w:id="113"/>
    </w:p>
    <w:p w14:paraId="27AFBF2E" w14:textId="77777777" w:rsidR="00D91A7C" w:rsidRDefault="00D91A7C" w:rsidP="00D64664">
      <w:pPr>
        <w:spacing w:after="0" w:line="240" w:lineRule="auto"/>
        <w:jc w:val="both"/>
        <w:rPr>
          <w:rFonts w:ascii="Arial" w:eastAsia="Times New Roman" w:hAnsi="Arial" w:cs="Arial"/>
          <w:iCs/>
          <w:lang w:eastAsia="en-US"/>
        </w:rPr>
      </w:pPr>
    </w:p>
    <w:p w14:paraId="4407F5B7" w14:textId="65A5E75D" w:rsidR="00817DF6" w:rsidRPr="003A2F86" w:rsidRDefault="00817DF6" w:rsidP="00817DF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lang w:eastAsia="en-US"/>
        </w:rPr>
        <w:t>Prihodi od upravnih i administrativnih pristojbi (</w:t>
      </w:r>
      <w:r w:rsidRPr="003A2F86">
        <w:rPr>
          <w:rFonts w:ascii="Arial" w:eastAsia="Calibri" w:hAnsi="Arial" w:cs="Arial"/>
          <w:b/>
          <w:bCs/>
          <w:lang w:eastAsia="en-US"/>
        </w:rPr>
        <w:t>651</w:t>
      </w:r>
      <w:r w:rsidRPr="003A2F86">
        <w:rPr>
          <w:rFonts w:ascii="Arial" w:eastAsia="Calibri" w:hAnsi="Arial" w:cs="Arial"/>
          <w:lang w:eastAsia="en-US"/>
        </w:rPr>
        <w:t xml:space="preserve">) u iznosu </w:t>
      </w:r>
      <w:r w:rsidR="00057309">
        <w:rPr>
          <w:rFonts w:ascii="Arial" w:eastAsia="Calibri" w:hAnsi="Arial" w:cs="Arial"/>
          <w:lang w:eastAsia="en-US"/>
        </w:rPr>
        <w:t>157.012,49</w:t>
      </w:r>
      <w:r w:rsidR="001534F0" w:rsidRPr="003A2F86">
        <w:rPr>
          <w:rFonts w:ascii="Arial" w:eastAsia="Calibri" w:hAnsi="Arial" w:cs="Arial"/>
          <w:lang w:eastAsia="en-US"/>
        </w:rPr>
        <w:t xml:space="preserve"> €</w:t>
      </w:r>
      <w:r w:rsidRPr="003A2F86">
        <w:rPr>
          <w:rFonts w:ascii="Arial" w:eastAsia="Calibri" w:hAnsi="Arial" w:cs="Arial"/>
          <w:lang w:eastAsia="en-US"/>
        </w:rPr>
        <w:t xml:space="preserve"> se odnose na:</w:t>
      </w:r>
    </w:p>
    <w:p w14:paraId="006A4A52" w14:textId="58A185A7" w:rsidR="00817DF6" w:rsidRPr="003A2F86" w:rsidRDefault="00817DF6">
      <w:pPr>
        <w:pStyle w:val="Odlomakpopisa"/>
        <w:numPr>
          <w:ilvl w:val="0"/>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284" w:hanging="284"/>
        <w:rPr>
          <w:rFonts w:ascii="Arial" w:eastAsia="Calibri" w:hAnsi="Arial" w:cs="Arial"/>
          <w:sz w:val="22"/>
          <w:szCs w:val="22"/>
        </w:rPr>
      </w:pPr>
      <w:r w:rsidRPr="003A2F86">
        <w:rPr>
          <w:rFonts w:ascii="Arial" w:eastAsia="Calibri" w:hAnsi="Arial" w:cs="Arial"/>
          <w:sz w:val="22"/>
          <w:szCs w:val="22"/>
        </w:rPr>
        <w:t xml:space="preserve">prihode od turističke pristojbe </w:t>
      </w:r>
      <w:r w:rsidR="00057309">
        <w:rPr>
          <w:rFonts w:ascii="Arial" w:eastAsia="Calibri" w:hAnsi="Arial" w:cs="Arial"/>
          <w:sz w:val="22"/>
          <w:szCs w:val="22"/>
        </w:rPr>
        <w:t>60.198,68</w:t>
      </w:r>
      <w:r w:rsidR="00D64664" w:rsidRPr="003A2F86">
        <w:rPr>
          <w:rFonts w:ascii="Arial" w:eastAsia="Calibri" w:hAnsi="Arial" w:cs="Arial"/>
          <w:sz w:val="22"/>
          <w:szCs w:val="22"/>
        </w:rPr>
        <w:t xml:space="preserve"> € (što je više za </w:t>
      </w:r>
      <w:r w:rsidR="002D0A6B">
        <w:rPr>
          <w:rFonts w:ascii="Arial" w:eastAsia="Calibri" w:hAnsi="Arial" w:cs="Arial"/>
          <w:sz w:val="22"/>
          <w:szCs w:val="22"/>
        </w:rPr>
        <w:t>8.138,35</w:t>
      </w:r>
      <w:r w:rsidR="00D64664" w:rsidRPr="003A2F86">
        <w:rPr>
          <w:rFonts w:ascii="Arial" w:eastAsia="Calibri" w:hAnsi="Arial" w:cs="Arial"/>
          <w:sz w:val="22"/>
          <w:szCs w:val="22"/>
        </w:rPr>
        <w:t xml:space="preserve"> € ili </w:t>
      </w:r>
      <w:r w:rsidR="00C23737">
        <w:rPr>
          <w:rFonts w:ascii="Arial" w:eastAsia="Calibri" w:hAnsi="Arial" w:cs="Arial"/>
          <w:sz w:val="22"/>
          <w:szCs w:val="22"/>
        </w:rPr>
        <w:t>1</w:t>
      </w:r>
      <w:r w:rsidR="002D0A6B">
        <w:rPr>
          <w:rFonts w:ascii="Arial" w:eastAsia="Calibri" w:hAnsi="Arial" w:cs="Arial"/>
          <w:sz w:val="22"/>
          <w:szCs w:val="22"/>
        </w:rPr>
        <w:t>5</w:t>
      </w:r>
      <w:r w:rsidR="00C23737">
        <w:rPr>
          <w:rFonts w:ascii="Arial" w:eastAsia="Calibri" w:hAnsi="Arial" w:cs="Arial"/>
          <w:sz w:val="22"/>
          <w:szCs w:val="22"/>
        </w:rPr>
        <w:t>,6</w:t>
      </w:r>
      <w:r w:rsidR="00D64664" w:rsidRPr="003A2F86">
        <w:rPr>
          <w:rFonts w:ascii="Arial" w:eastAsia="Calibri" w:hAnsi="Arial" w:cs="Arial"/>
          <w:sz w:val="22"/>
          <w:szCs w:val="22"/>
        </w:rPr>
        <w:t>% nego prethodne godine)</w:t>
      </w:r>
      <w:r w:rsidRPr="003A2F86">
        <w:rPr>
          <w:rFonts w:ascii="Arial" w:eastAsia="Calibri" w:hAnsi="Arial" w:cs="Arial"/>
          <w:sz w:val="22"/>
          <w:szCs w:val="22"/>
        </w:rPr>
        <w:t xml:space="preserve">, </w:t>
      </w:r>
    </w:p>
    <w:p w14:paraId="0EF7C7EB" w14:textId="37A2F008" w:rsidR="00CC19B3" w:rsidRPr="00B247B2" w:rsidRDefault="00D64664">
      <w:pPr>
        <w:pStyle w:val="Odlomakpopisa"/>
        <w:numPr>
          <w:ilvl w:val="0"/>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284" w:hanging="284"/>
        <w:rPr>
          <w:rFonts w:ascii="Arial" w:eastAsia="Calibri" w:hAnsi="Arial" w:cs="Arial"/>
          <w:sz w:val="18"/>
          <w:szCs w:val="18"/>
        </w:rPr>
      </w:pPr>
      <w:r w:rsidRPr="003A2F86">
        <w:rPr>
          <w:rFonts w:ascii="Arial" w:eastAsia="Calibri" w:hAnsi="Arial" w:cs="Arial"/>
          <w:sz w:val="22"/>
          <w:szCs w:val="22"/>
        </w:rPr>
        <w:t xml:space="preserve">prihode od </w:t>
      </w:r>
      <w:r w:rsidRPr="003A2F86">
        <w:rPr>
          <w:rFonts w:ascii="Arial" w:eastAsia="Calibri" w:hAnsi="Arial" w:cs="Arial"/>
          <w:b/>
          <w:bCs/>
          <w:i/>
          <w:iCs/>
          <w:sz w:val="22"/>
          <w:szCs w:val="22"/>
        </w:rPr>
        <w:t>dozvola za obavljanje autotaksi prijevoza prema novim propisima</w:t>
      </w:r>
      <w:r w:rsidRPr="003A2F86">
        <w:rPr>
          <w:rFonts w:ascii="Arial" w:eastAsia="Calibri" w:hAnsi="Arial" w:cs="Arial"/>
          <w:sz w:val="22"/>
          <w:szCs w:val="22"/>
        </w:rPr>
        <w:t xml:space="preserve"> u iznosu </w:t>
      </w:r>
      <w:r w:rsidR="00775AFF">
        <w:rPr>
          <w:rFonts w:ascii="Arial" w:eastAsia="Calibri" w:hAnsi="Arial" w:cs="Arial"/>
          <w:sz w:val="22"/>
          <w:szCs w:val="22"/>
        </w:rPr>
        <w:t>15.601,21</w:t>
      </w:r>
      <w:r w:rsidRPr="003A2F86">
        <w:rPr>
          <w:rFonts w:ascii="Arial" w:eastAsia="Calibri" w:hAnsi="Arial" w:cs="Arial"/>
          <w:sz w:val="22"/>
          <w:szCs w:val="22"/>
        </w:rPr>
        <w:t xml:space="preserve"> € (</w:t>
      </w:r>
      <w:r w:rsidRPr="00B247B2">
        <w:rPr>
          <w:rFonts w:ascii="Arial" w:eastAsia="Calibri" w:hAnsi="Arial" w:cs="Arial"/>
          <w:sz w:val="18"/>
          <w:szCs w:val="18"/>
        </w:rPr>
        <w:t>u 2018. iznosili 984,80 €, u 2019. iznosili 9.455,17 €, u 2020. iznosili 2.455,37 €, u 2021. su iznosili 9.423,32 €, u 2022.</w:t>
      </w:r>
      <w:r w:rsidR="00B247B2">
        <w:rPr>
          <w:rFonts w:ascii="Arial" w:eastAsia="Calibri" w:hAnsi="Arial" w:cs="Arial"/>
          <w:sz w:val="18"/>
          <w:szCs w:val="18"/>
        </w:rPr>
        <w:t xml:space="preserve"> iznosili</w:t>
      </w:r>
      <w:r w:rsidRPr="00B247B2">
        <w:rPr>
          <w:rFonts w:ascii="Arial" w:eastAsia="Calibri" w:hAnsi="Arial" w:cs="Arial"/>
          <w:sz w:val="18"/>
          <w:szCs w:val="18"/>
        </w:rPr>
        <w:t xml:space="preserve"> 7.830,65 €</w:t>
      </w:r>
      <w:r w:rsidR="00BC189E" w:rsidRPr="00B247B2">
        <w:rPr>
          <w:rFonts w:ascii="Arial" w:eastAsia="Calibri" w:hAnsi="Arial" w:cs="Arial"/>
          <w:sz w:val="18"/>
          <w:szCs w:val="18"/>
        </w:rPr>
        <w:t xml:space="preserve">, u 2023. </w:t>
      </w:r>
      <w:r w:rsidR="00B247B2">
        <w:rPr>
          <w:rFonts w:ascii="Arial" w:eastAsia="Calibri" w:hAnsi="Arial" w:cs="Arial"/>
          <w:sz w:val="18"/>
          <w:szCs w:val="18"/>
        </w:rPr>
        <w:t>iznosili</w:t>
      </w:r>
      <w:r w:rsidR="00BC189E" w:rsidRPr="00B247B2">
        <w:rPr>
          <w:rFonts w:ascii="Arial" w:eastAsia="Calibri" w:hAnsi="Arial" w:cs="Arial"/>
          <w:sz w:val="18"/>
          <w:szCs w:val="18"/>
        </w:rPr>
        <w:t xml:space="preserve"> 15.329,16 €</w:t>
      </w:r>
      <w:r w:rsidR="002D0A6B">
        <w:rPr>
          <w:rFonts w:ascii="Arial" w:eastAsia="Calibri" w:hAnsi="Arial" w:cs="Arial"/>
          <w:sz w:val="18"/>
          <w:szCs w:val="18"/>
        </w:rPr>
        <w:t>, a u 2024. iznosili 18.580,80 €</w:t>
      </w:r>
      <w:r w:rsidRPr="003A2F86">
        <w:rPr>
          <w:rFonts w:ascii="Arial" w:eastAsia="Calibri" w:hAnsi="Arial" w:cs="Arial"/>
          <w:sz w:val="22"/>
          <w:szCs w:val="22"/>
        </w:rPr>
        <w:t>)</w:t>
      </w:r>
      <w:r w:rsidR="00CC19B3" w:rsidRPr="00B247B2">
        <w:rPr>
          <w:rFonts w:ascii="Arial" w:eastAsia="Calibri" w:hAnsi="Arial" w:cs="Arial"/>
          <w:sz w:val="18"/>
          <w:szCs w:val="18"/>
        </w:rPr>
        <w:t>.</w:t>
      </w:r>
      <w:r w:rsidRPr="00B247B2">
        <w:rPr>
          <w:rFonts w:ascii="Arial" w:eastAsia="Calibri" w:hAnsi="Arial" w:cs="Arial"/>
          <w:sz w:val="18"/>
          <w:szCs w:val="18"/>
        </w:rPr>
        <w:t xml:space="preserve"> </w:t>
      </w:r>
      <w:r w:rsidR="00CC19B3" w:rsidRPr="00B247B2">
        <w:rPr>
          <w:rFonts w:ascii="Arial" w:eastAsia="Calibri" w:hAnsi="Arial" w:cs="Arial"/>
          <w:sz w:val="18"/>
          <w:szCs w:val="18"/>
        </w:rPr>
        <w:t>Do konca 2017. godine, autotaxi prijevoznici su plaćali naknade prema općinskim propisima (evidentirani u okviru računa 642, te su za 2017. iznosili 64.370,56 €).</w:t>
      </w:r>
    </w:p>
    <w:p w14:paraId="1D00C8B1" w14:textId="37FBC60C" w:rsidR="00CC19B3" w:rsidRPr="003A2F86" w:rsidRDefault="00CC19B3">
      <w:pPr>
        <w:pStyle w:val="Odlomakpopisa"/>
        <w:numPr>
          <w:ilvl w:val="0"/>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284" w:hanging="284"/>
        <w:rPr>
          <w:rFonts w:ascii="Arial" w:eastAsia="Calibri" w:hAnsi="Arial" w:cs="Arial"/>
          <w:sz w:val="22"/>
          <w:szCs w:val="22"/>
        </w:rPr>
      </w:pPr>
      <w:r w:rsidRPr="003A2F86">
        <w:rPr>
          <w:rFonts w:ascii="Arial" w:eastAsia="Calibri" w:hAnsi="Arial" w:cs="Arial"/>
          <w:sz w:val="22"/>
          <w:szCs w:val="22"/>
        </w:rPr>
        <w:lastRenderedPageBreak/>
        <w:t xml:space="preserve">prihode od prodaje državnih biljega i od drugih pristojbi </w:t>
      </w:r>
      <w:r w:rsidR="00775AFF">
        <w:rPr>
          <w:rFonts w:ascii="Arial" w:eastAsia="Calibri" w:hAnsi="Arial" w:cs="Arial"/>
          <w:sz w:val="22"/>
          <w:szCs w:val="22"/>
        </w:rPr>
        <w:t>49,50</w:t>
      </w:r>
      <w:r w:rsidRPr="003A2F86">
        <w:rPr>
          <w:rFonts w:ascii="Arial" w:eastAsia="Calibri" w:hAnsi="Arial" w:cs="Arial"/>
          <w:sz w:val="22"/>
          <w:szCs w:val="22"/>
        </w:rPr>
        <w:t xml:space="preserve"> €, </w:t>
      </w:r>
    </w:p>
    <w:p w14:paraId="0DD211E9" w14:textId="25D85303" w:rsidR="00CC19B3" w:rsidRPr="003A2F86" w:rsidRDefault="00CC19B3">
      <w:pPr>
        <w:pStyle w:val="Odlomakpopisa"/>
        <w:numPr>
          <w:ilvl w:val="0"/>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284" w:hanging="284"/>
        <w:rPr>
          <w:rFonts w:ascii="Arial" w:eastAsia="Calibri" w:hAnsi="Arial" w:cs="Arial"/>
          <w:sz w:val="22"/>
          <w:szCs w:val="22"/>
        </w:rPr>
      </w:pPr>
      <w:r w:rsidRPr="003A2F86">
        <w:rPr>
          <w:rFonts w:ascii="Arial" w:eastAsia="Calibri" w:hAnsi="Arial" w:cs="Arial"/>
          <w:sz w:val="22"/>
          <w:szCs w:val="22"/>
        </w:rPr>
        <w:t xml:space="preserve">prihode od pristojbi za izdavanje dozvola </w:t>
      </w:r>
      <w:r w:rsidR="00775AFF">
        <w:rPr>
          <w:rFonts w:ascii="Arial" w:eastAsia="Calibri" w:hAnsi="Arial" w:cs="Arial"/>
          <w:sz w:val="22"/>
          <w:szCs w:val="22"/>
        </w:rPr>
        <w:t>1.877,88</w:t>
      </w:r>
      <w:r w:rsidRPr="003A2F86">
        <w:rPr>
          <w:rFonts w:ascii="Arial" w:eastAsia="Calibri" w:hAnsi="Arial" w:cs="Arial"/>
          <w:sz w:val="22"/>
          <w:szCs w:val="22"/>
        </w:rPr>
        <w:t xml:space="preserve"> €, </w:t>
      </w:r>
    </w:p>
    <w:p w14:paraId="2B1CA1E3" w14:textId="560552AF" w:rsidR="00817DF6" w:rsidRPr="003A2F86" w:rsidRDefault="00D64664">
      <w:pPr>
        <w:pStyle w:val="Odlomakpopisa"/>
        <w:numPr>
          <w:ilvl w:val="0"/>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284" w:hanging="284"/>
        <w:rPr>
          <w:rFonts w:ascii="Arial" w:eastAsia="Calibri" w:hAnsi="Arial" w:cs="Arial"/>
          <w:sz w:val="22"/>
          <w:szCs w:val="22"/>
        </w:rPr>
      </w:pPr>
      <w:r w:rsidRPr="003A2F86">
        <w:rPr>
          <w:rFonts w:ascii="Arial" w:eastAsia="Calibri" w:hAnsi="Arial" w:cs="Arial"/>
          <w:sz w:val="22"/>
          <w:szCs w:val="22"/>
        </w:rPr>
        <w:t xml:space="preserve">te </w:t>
      </w:r>
      <w:r w:rsidR="00BC189E" w:rsidRPr="003A2F86">
        <w:rPr>
          <w:rFonts w:ascii="Arial" w:eastAsia="Calibri" w:hAnsi="Arial" w:cs="Arial"/>
          <w:sz w:val="22"/>
          <w:szCs w:val="22"/>
        </w:rPr>
        <w:t>prihod</w:t>
      </w:r>
      <w:r w:rsidR="00C23737">
        <w:rPr>
          <w:rFonts w:ascii="Arial" w:eastAsia="Calibri" w:hAnsi="Arial" w:cs="Arial"/>
          <w:sz w:val="22"/>
          <w:szCs w:val="22"/>
        </w:rPr>
        <w:t>e</w:t>
      </w:r>
      <w:r w:rsidR="00BC189E" w:rsidRPr="003A2F86">
        <w:rPr>
          <w:rFonts w:ascii="Arial" w:eastAsia="Calibri" w:hAnsi="Arial" w:cs="Arial"/>
          <w:sz w:val="22"/>
          <w:szCs w:val="22"/>
        </w:rPr>
        <w:t xml:space="preserve"> od dozvola za obavljanje djelatnosti na pomorskom dobru u iznosu </w:t>
      </w:r>
      <w:r w:rsidR="00846197">
        <w:rPr>
          <w:rFonts w:ascii="Arial" w:eastAsia="Calibri" w:hAnsi="Arial" w:cs="Arial"/>
          <w:sz w:val="22"/>
          <w:szCs w:val="22"/>
        </w:rPr>
        <w:t xml:space="preserve">79.285,22 € </w:t>
      </w:r>
      <w:r w:rsidR="00C23737">
        <w:rPr>
          <w:rFonts w:ascii="Arial" w:eastAsia="Calibri" w:hAnsi="Arial" w:cs="Arial"/>
          <w:sz w:val="22"/>
          <w:szCs w:val="22"/>
        </w:rPr>
        <w:t>(</w:t>
      </w:r>
      <w:r w:rsidR="00775AFF">
        <w:rPr>
          <w:rFonts w:ascii="Arial" w:eastAsia="Calibri" w:hAnsi="Arial" w:cs="Arial"/>
          <w:sz w:val="22"/>
          <w:szCs w:val="22"/>
        </w:rPr>
        <w:t>u 2024. ovi prihodi prvi put ostvareni i iznosili su 135.591,96</w:t>
      </w:r>
      <w:r w:rsidR="00775AFF" w:rsidRPr="003A2F86">
        <w:rPr>
          <w:rFonts w:ascii="Arial" w:eastAsia="Calibri" w:hAnsi="Arial" w:cs="Arial"/>
          <w:sz w:val="22"/>
          <w:szCs w:val="22"/>
        </w:rPr>
        <w:t xml:space="preserve"> €</w:t>
      </w:r>
      <w:r w:rsidR="00C23737">
        <w:rPr>
          <w:rFonts w:ascii="Arial" w:eastAsia="Calibri" w:hAnsi="Arial" w:cs="Arial"/>
          <w:sz w:val="22"/>
          <w:szCs w:val="22"/>
        </w:rPr>
        <w:t>)</w:t>
      </w:r>
      <w:r w:rsidRPr="003A2F86">
        <w:rPr>
          <w:rFonts w:ascii="Arial" w:eastAsia="Calibri" w:hAnsi="Arial" w:cs="Arial"/>
          <w:sz w:val="22"/>
          <w:szCs w:val="22"/>
        </w:rPr>
        <w:t>.</w:t>
      </w:r>
    </w:p>
    <w:p w14:paraId="5C985BCA" w14:textId="77777777" w:rsidR="00CC19B3" w:rsidRDefault="00CC19B3" w:rsidP="00110E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44F35C0C" w14:textId="77777777" w:rsidR="004E7BB3" w:rsidRPr="003A2F86" w:rsidRDefault="004E7BB3" w:rsidP="004E7BB3">
      <w:pPr>
        <w:spacing w:after="0" w:line="240" w:lineRule="auto"/>
        <w:jc w:val="both"/>
        <w:rPr>
          <w:rFonts w:ascii="Arial" w:eastAsia="Times New Roman" w:hAnsi="Arial" w:cs="Arial"/>
          <w:i/>
          <w:iCs/>
          <w:sz w:val="20"/>
          <w:szCs w:val="20"/>
        </w:rPr>
      </w:pPr>
      <w:r w:rsidRPr="003A2F86">
        <w:rPr>
          <w:rFonts w:ascii="Arial" w:eastAsia="Times New Roman" w:hAnsi="Arial" w:cs="Arial"/>
          <w:i/>
          <w:iCs/>
          <w:sz w:val="20"/>
          <w:szCs w:val="20"/>
        </w:rPr>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294"/>
        <w:gridCol w:w="11623"/>
      </w:tblGrid>
      <w:tr w:rsidR="004E7BB3" w:rsidRPr="003A2F86" w14:paraId="0F3D925D" w14:textId="77777777" w:rsidTr="00DB4807">
        <w:trPr>
          <w:jc w:val="center"/>
        </w:trPr>
        <w:tc>
          <w:tcPr>
            <w:tcW w:w="14046" w:type="dxa"/>
            <w:gridSpan w:val="3"/>
            <w:vAlign w:val="center"/>
          </w:tcPr>
          <w:p w14:paraId="471F1A37" w14:textId="77777777" w:rsidR="004E7BB3" w:rsidRPr="003A2F86" w:rsidRDefault="004E7BB3" w:rsidP="00DB4807">
            <w:pPr>
              <w:spacing w:after="0" w:line="240" w:lineRule="auto"/>
              <w:jc w:val="center"/>
              <w:rPr>
                <w:rFonts w:ascii="Arial" w:eastAsia="Times New Roman" w:hAnsi="Arial" w:cs="Arial"/>
                <w:b/>
                <w:i/>
                <w:iCs/>
                <w:sz w:val="18"/>
                <w:szCs w:val="18"/>
                <w:lang w:eastAsia="en-US"/>
              </w:rPr>
            </w:pPr>
            <w:r w:rsidRPr="0062007B">
              <w:rPr>
                <w:rFonts w:ascii="Arial" w:eastAsia="Times New Roman" w:hAnsi="Arial" w:cs="Arial"/>
                <w:b/>
                <w:i/>
                <w:iCs/>
                <w:sz w:val="18"/>
                <w:szCs w:val="18"/>
                <w:lang w:eastAsia="en-US"/>
              </w:rPr>
              <w:t>Prihod od dozvole za obavljanje djelatnosti na pomorskom dobru (</w:t>
            </w:r>
            <w:r w:rsidRPr="0062007B">
              <w:rPr>
                <w:rFonts w:ascii="Arial" w:eastAsia="Times New Roman" w:hAnsi="Arial" w:cs="Arial"/>
                <w:b/>
                <w:i/>
                <w:iCs/>
                <w:color w:val="EE0000"/>
                <w:sz w:val="18"/>
                <w:szCs w:val="18"/>
                <w:lang w:eastAsia="en-US"/>
              </w:rPr>
              <w:t>6512</w:t>
            </w:r>
            <w:r w:rsidRPr="0062007B">
              <w:rPr>
                <w:rFonts w:ascii="Arial" w:eastAsia="Times New Roman" w:hAnsi="Arial" w:cs="Arial"/>
                <w:b/>
                <w:i/>
                <w:iCs/>
                <w:sz w:val="18"/>
                <w:szCs w:val="18"/>
                <w:lang w:eastAsia="en-US"/>
              </w:rPr>
              <w:t xml:space="preserve">) </w:t>
            </w:r>
            <w:r w:rsidRPr="003A2F86">
              <w:rPr>
                <w:rFonts w:ascii="Arial" w:eastAsia="Times New Roman" w:hAnsi="Arial" w:cs="Arial"/>
                <w:i/>
                <w:sz w:val="18"/>
                <w:szCs w:val="18"/>
              </w:rPr>
              <w:t>(</w:t>
            </w:r>
            <w:r>
              <w:rPr>
                <w:rFonts w:ascii="Arial" w:eastAsia="Times New Roman" w:hAnsi="Arial" w:cs="Arial"/>
                <w:i/>
                <w:sz w:val="18"/>
                <w:szCs w:val="18"/>
              </w:rPr>
              <w:t>7</w:t>
            </w:r>
            <w:r w:rsidRPr="003A2F86">
              <w:rPr>
                <w:rFonts w:ascii="Arial" w:eastAsia="Times New Roman" w:hAnsi="Arial" w:cs="Arial"/>
                <w:i/>
                <w:sz w:val="18"/>
                <w:szCs w:val="18"/>
              </w:rPr>
              <w:t>0% prihod Općine</w:t>
            </w:r>
            <w:r>
              <w:rPr>
                <w:rFonts w:ascii="Arial" w:eastAsia="Times New Roman" w:hAnsi="Arial" w:cs="Arial"/>
                <w:i/>
                <w:sz w:val="18"/>
                <w:szCs w:val="18"/>
              </w:rPr>
              <w:t>, 30 % DNŽ</w:t>
            </w:r>
            <w:r w:rsidRPr="003A2F86">
              <w:rPr>
                <w:rFonts w:ascii="Arial" w:eastAsia="Times New Roman" w:hAnsi="Arial" w:cs="Arial"/>
                <w:i/>
                <w:sz w:val="18"/>
                <w:szCs w:val="18"/>
              </w:rPr>
              <w:t>) (namjenski prihodi)</w:t>
            </w:r>
          </w:p>
        </w:tc>
      </w:tr>
      <w:tr w:rsidR="004E7BB3" w:rsidRPr="003A2F86" w14:paraId="1AE53936" w14:textId="77777777" w:rsidTr="00DB4807">
        <w:trPr>
          <w:jc w:val="center"/>
        </w:trPr>
        <w:tc>
          <w:tcPr>
            <w:tcW w:w="1129" w:type="dxa"/>
            <w:vAlign w:val="center"/>
          </w:tcPr>
          <w:p w14:paraId="4824C038" w14:textId="77777777" w:rsidR="004E7BB3" w:rsidRPr="003A2F86" w:rsidRDefault="004E7BB3" w:rsidP="00DB4807">
            <w:pPr>
              <w:spacing w:after="0" w:line="240" w:lineRule="auto"/>
              <w:jc w:val="center"/>
              <w:rPr>
                <w:rFonts w:ascii="Arial" w:eastAsia="Times New Roman" w:hAnsi="Arial" w:cs="Arial"/>
                <w:b/>
                <w:bCs/>
                <w:i/>
                <w:iCs/>
                <w:sz w:val="18"/>
                <w:szCs w:val="18"/>
                <w:lang w:eastAsia="en-US"/>
              </w:rPr>
            </w:pPr>
            <w:r w:rsidRPr="003A2F86">
              <w:rPr>
                <w:rFonts w:ascii="Arial" w:hAnsi="Arial" w:cs="Arial"/>
                <w:b/>
                <w:bCs/>
                <w:sz w:val="18"/>
                <w:szCs w:val="18"/>
              </w:rPr>
              <w:t>Godina</w:t>
            </w:r>
          </w:p>
        </w:tc>
        <w:tc>
          <w:tcPr>
            <w:tcW w:w="1294" w:type="dxa"/>
            <w:vAlign w:val="center"/>
          </w:tcPr>
          <w:p w14:paraId="44EEF44B" w14:textId="77777777" w:rsidR="004E7BB3" w:rsidRPr="003A2F86" w:rsidRDefault="004E7BB3" w:rsidP="00DB4807">
            <w:pPr>
              <w:spacing w:after="0" w:line="240" w:lineRule="auto"/>
              <w:jc w:val="center"/>
              <w:rPr>
                <w:rFonts w:ascii="Arial" w:eastAsia="Times New Roman" w:hAnsi="Arial" w:cs="Arial"/>
                <w:b/>
                <w:bCs/>
                <w:i/>
                <w:iCs/>
                <w:sz w:val="18"/>
                <w:szCs w:val="18"/>
                <w:lang w:eastAsia="en-US"/>
              </w:rPr>
            </w:pPr>
            <w:r w:rsidRPr="003A2F86">
              <w:rPr>
                <w:rFonts w:ascii="Arial" w:hAnsi="Arial" w:cs="Arial"/>
                <w:b/>
                <w:bCs/>
                <w:sz w:val="18"/>
                <w:szCs w:val="18"/>
              </w:rPr>
              <w:t xml:space="preserve">Iznos </w:t>
            </w:r>
            <w:r w:rsidRPr="003A2F86">
              <w:rPr>
                <w:rFonts w:ascii="Arial" w:hAnsi="Arial" w:cs="Arial"/>
                <w:b/>
                <w:bCs/>
                <w:color w:val="FF0000"/>
                <w:sz w:val="18"/>
                <w:szCs w:val="18"/>
              </w:rPr>
              <w:t>(€)</w:t>
            </w:r>
          </w:p>
        </w:tc>
        <w:tc>
          <w:tcPr>
            <w:tcW w:w="11623" w:type="dxa"/>
            <w:vAlign w:val="center"/>
          </w:tcPr>
          <w:p w14:paraId="1E1EB3D2" w14:textId="77777777" w:rsidR="004E7BB3" w:rsidRPr="003A2F86" w:rsidRDefault="004E7BB3" w:rsidP="00DB4807">
            <w:pPr>
              <w:spacing w:after="0" w:line="240" w:lineRule="auto"/>
              <w:jc w:val="center"/>
              <w:rPr>
                <w:rFonts w:ascii="Arial" w:eastAsia="Times New Roman" w:hAnsi="Arial" w:cs="Arial"/>
                <w:b/>
                <w:bCs/>
                <w:i/>
                <w:iCs/>
                <w:sz w:val="18"/>
                <w:szCs w:val="18"/>
                <w:lang w:eastAsia="en-US"/>
              </w:rPr>
            </w:pPr>
            <w:r w:rsidRPr="003A2F86">
              <w:rPr>
                <w:rFonts w:ascii="Arial" w:hAnsi="Arial" w:cs="Arial"/>
                <w:b/>
                <w:bCs/>
                <w:sz w:val="18"/>
                <w:szCs w:val="18"/>
              </w:rPr>
              <w:t>Obrazloženje</w:t>
            </w:r>
          </w:p>
        </w:tc>
      </w:tr>
      <w:tr w:rsidR="004E7BB3" w:rsidRPr="00F301E1" w14:paraId="2167F673" w14:textId="77777777" w:rsidTr="00DB4807">
        <w:trPr>
          <w:jc w:val="center"/>
        </w:trPr>
        <w:tc>
          <w:tcPr>
            <w:tcW w:w="1129" w:type="dxa"/>
            <w:tcBorders>
              <w:top w:val="nil"/>
              <w:left w:val="single" w:sz="8" w:space="0" w:color="000000"/>
              <w:bottom w:val="single" w:sz="8" w:space="0" w:color="000000"/>
              <w:right w:val="single" w:sz="8" w:space="0" w:color="000000"/>
            </w:tcBorders>
            <w:vAlign w:val="center"/>
          </w:tcPr>
          <w:p w14:paraId="66D08FC0" w14:textId="77777777" w:rsidR="004E7BB3" w:rsidRPr="00F301E1" w:rsidRDefault="004E7BB3" w:rsidP="00DB4807">
            <w:pPr>
              <w:spacing w:after="0" w:line="240" w:lineRule="auto"/>
              <w:jc w:val="center"/>
              <w:rPr>
                <w:rFonts w:ascii="Arial" w:hAnsi="Arial" w:cs="Arial"/>
                <w:sz w:val="18"/>
                <w:szCs w:val="18"/>
              </w:rPr>
            </w:pPr>
            <w:r w:rsidRPr="003A2F86">
              <w:rPr>
                <w:rFonts w:ascii="Arial" w:hAnsi="Arial" w:cs="Arial"/>
                <w:sz w:val="18"/>
                <w:szCs w:val="18"/>
              </w:rPr>
              <w:t>20</w:t>
            </w:r>
            <w:r>
              <w:rPr>
                <w:rFonts w:ascii="Arial" w:hAnsi="Arial" w:cs="Arial"/>
                <w:sz w:val="18"/>
                <w:szCs w:val="18"/>
              </w:rPr>
              <w:t>24</w:t>
            </w:r>
            <w:r w:rsidRPr="003A2F86">
              <w:rPr>
                <w:rFonts w:ascii="Arial" w:hAnsi="Arial" w:cs="Arial"/>
                <w:sz w:val="18"/>
                <w:szCs w:val="18"/>
              </w:rPr>
              <w:t>.</w:t>
            </w:r>
          </w:p>
        </w:tc>
        <w:tc>
          <w:tcPr>
            <w:tcW w:w="1294" w:type="dxa"/>
            <w:tcBorders>
              <w:top w:val="nil"/>
              <w:left w:val="nil"/>
              <w:bottom w:val="single" w:sz="8" w:space="0" w:color="000000"/>
              <w:right w:val="single" w:sz="8" w:space="0" w:color="000000"/>
            </w:tcBorders>
            <w:vAlign w:val="center"/>
          </w:tcPr>
          <w:p w14:paraId="6A27AF5C" w14:textId="77777777" w:rsidR="004E7BB3" w:rsidRPr="00F301E1" w:rsidRDefault="004E7BB3" w:rsidP="00DB4807">
            <w:pPr>
              <w:spacing w:after="0" w:line="240" w:lineRule="auto"/>
              <w:jc w:val="right"/>
              <w:rPr>
                <w:rFonts w:ascii="Arial" w:hAnsi="Arial" w:cs="Arial"/>
                <w:sz w:val="18"/>
                <w:szCs w:val="18"/>
              </w:rPr>
            </w:pPr>
            <w:r>
              <w:rPr>
                <w:rFonts w:ascii="Arial" w:hAnsi="Arial" w:cs="Arial"/>
                <w:sz w:val="18"/>
                <w:szCs w:val="18"/>
              </w:rPr>
              <w:t>135.591,96</w:t>
            </w:r>
          </w:p>
        </w:tc>
        <w:tc>
          <w:tcPr>
            <w:tcW w:w="11623" w:type="dxa"/>
            <w:tcBorders>
              <w:top w:val="nil"/>
              <w:left w:val="nil"/>
              <w:bottom w:val="single" w:sz="8" w:space="0" w:color="000000"/>
              <w:right w:val="single" w:sz="8" w:space="0" w:color="000000"/>
            </w:tcBorders>
            <w:vAlign w:val="center"/>
          </w:tcPr>
          <w:p w14:paraId="0F7F4ADF" w14:textId="77777777" w:rsidR="004E7BB3" w:rsidRPr="00F301E1" w:rsidRDefault="004E7BB3" w:rsidP="00DB4807">
            <w:pPr>
              <w:spacing w:after="0" w:line="240" w:lineRule="auto"/>
              <w:jc w:val="both"/>
              <w:rPr>
                <w:rFonts w:ascii="Arial" w:hAnsi="Arial" w:cs="Arial"/>
                <w:sz w:val="18"/>
                <w:szCs w:val="18"/>
              </w:rPr>
            </w:pPr>
            <w:r>
              <w:rPr>
                <w:rFonts w:ascii="Arial" w:hAnsi="Arial" w:cs="Arial"/>
                <w:sz w:val="18"/>
                <w:szCs w:val="18"/>
              </w:rPr>
              <w:t>P</w:t>
            </w:r>
            <w:r w:rsidRPr="00F301E1">
              <w:rPr>
                <w:rFonts w:ascii="Arial" w:hAnsi="Arial" w:cs="Arial"/>
                <w:sz w:val="18"/>
                <w:szCs w:val="18"/>
              </w:rPr>
              <w:t>rvo ostvarenje ovih prihoda na temelju Zakona o pomorskom dobru i morskim lukama (NN 83/2023), U prvom polugodištu 2024. godine ovi prihodi iznosili 57.676,50 €.</w:t>
            </w:r>
          </w:p>
        </w:tc>
      </w:tr>
      <w:tr w:rsidR="004E7BB3" w:rsidRPr="00F301E1" w14:paraId="4C5E4474" w14:textId="77777777" w:rsidTr="00DB4807">
        <w:trPr>
          <w:jc w:val="center"/>
        </w:trPr>
        <w:tc>
          <w:tcPr>
            <w:tcW w:w="1129" w:type="dxa"/>
            <w:vAlign w:val="center"/>
          </w:tcPr>
          <w:p w14:paraId="2C665E6A" w14:textId="77777777" w:rsidR="004E7BB3" w:rsidRPr="00EE4120" w:rsidRDefault="004E7BB3" w:rsidP="00DB4807">
            <w:pPr>
              <w:spacing w:after="0" w:line="240" w:lineRule="auto"/>
              <w:jc w:val="center"/>
              <w:rPr>
                <w:rFonts w:ascii="Arial" w:hAnsi="Arial" w:cs="Arial"/>
                <w:sz w:val="18"/>
                <w:szCs w:val="18"/>
              </w:rPr>
            </w:pPr>
            <w:r>
              <w:rPr>
                <w:rFonts w:ascii="Arial" w:hAnsi="Arial" w:cs="Arial"/>
                <w:sz w:val="18"/>
                <w:szCs w:val="18"/>
              </w:rPr>
              <w:t>1-6/2025.</w:t>
            </w:r>
          </w:p>
        </w:tc>
        <w:tc>
          <w:tcPr>
            <w:tcW w:w="1294" w:type="dxa"/>
            <w:tcBorders>
              <w:top w:val="nil"/>
              <w:left w:val="nil"/>
              <w:bottom w:val="single" w:sz="8" w:space="0" w:color="000000"/>
              <w:right w:val="single" w:sz="8" w:space="0" w:color="000000"/>
            </w:tcBorders>
            <w:vAlign w:val="center"/>
          </w:tcPr>
          <w:p w14:paraId="6E40CAAB" w14:textId="77777777" w:rsidR="004E7BB3" w:rsidRPr="00761AF1" w:rsidRDefault="004E7BB3" w:rsidP="00DB4807">
            <w:pPr>
              <w:spacing w:after="0" w:line="240" w:lineRule="auto"/>
              <w:jc w:val="right"/>
              <w:rPr>
                <w:rFonts w:ascii="Arial" w:hAnsi="Arial" w:cs="Arial"/>
                <w:sz w:val="18"/>
                <w:szCs w:val="18"/>
              </w:rPr>
            </w:pPr>
            <w:r>
              <w:rPr>
                <w:rFonts w:ascii="Arial" w:hAnsi="Arial" w:cs="Arial"/>
                <w:sz w:val="18"/>
                <w:szCs w:val="18"/>
              </w:rPr>
              <w:t>79.285,22</w:t>
            </w:r>
          </w:p>
        </w:tc>
        <w:tc>
          <w:tcPr>
            <w:tcW w:w="11623" w:type="dxa"/>
            <w:tcBorders>
              <w:top w:val="nil"/>
              <w:left w:val="nil"/>
              <w:bottom w:val="single" w:sz="8" w:space="0" w:color="000000"/>
              <w:right w:val="single" w:sz="8" w:space="0" w:color="000000"/>
            </w:tcBorders>
            <w:vAlign w:val="center"/>
          </w:tcPr>
          <w:p w14:paraId="46ABEADF" w14:textId="77777777" w:rsidR="004E7BB3" w:rsidRPr="00F301E1" w:rsidRDefault="004E7BB3" w:rsidP="00DB4807">
            <w:pPr>
              <w:spacing w:after="0" w:line="240" w:lineRule="auto"/>
              <w:jc w:val="both"/>
              <w:rPr>
                <w:rFonts w:ascii="Arial" w:hAnsi="Arial" w:cs="Arial"/>
                <w:sz w:val="18"/>
                <w:szCs w:val="18"/>
              </w:rPr>
            </w:pPr>
            <w:r w:rsidRPr="00F301E1">
              <w:rPr>
                <w:rFonts w:ascii="Arial" w:hAnsi="Arial" w:cs="Arial"/>
                <w:sz w:val="18"/>
                <w:szCs w:val="18"/>
              </w:rPr>
              <w:t>U prvom polugodištu 2025. ovi prihodi iznose 79.285,22 €.</w:t>
            </w:r>
          </w:p>
        </w:tc>
      </w:tr>
    </w:tbl>
    <w:p w14:paraId="5774EF01" w14:textId="77777777" w:rsidR="004E7BB3" w:rsidRDefault="004E7BB3" w:rsidP="004E7BB3">
      <w:pPr>
        <w:spacing w:after="0" w:line="240" w:lineRule="auto"/>
        <w:jc w:val="both"/>
        <w:rPr>
          <w:rFonts w:ascii="Arial" w:eastAsia="Times New Roman" w:hAnsi="Arial" w:cs="Arial"/>
          <w:i/>
          <w:iCs/>
          <w:sz w:val="20"/>
          <w:szCs w:val="20"/>
        </w:rPr>
      </w:pPr>
    </w:p>
    <w:p w14:paraId="3C01E38A" w14:textId="77777777" w:rsidR="004E7BB3" w:rsidRPr="003A2F86" w:rsidRDefault="004E7BB3" w:rsidP="004E7BB3">
      <w:pPr>
        <w:spacing w:after="0" w:line="240" w:lineRule="auto"/>
        <w:jc w:val="both"/>
        <w:rPr>
          <w:rFonts w:ascii="Arial" w:eastAsia="Times New Roman" w:hAnsi="Arial" w:cs="Arial"/>
          <w:i/>
          <w:iCs/>
          <w:sz w:val="20"/>
          <w:szCs w:val="20"/>
        </w:rPr>
      </w:pPr>
      <w:r w:rsidRPr="003A2F86">
        <w:rPr>
          <w:rFonts w:ascii="Arial" w:eastAsia="Times New Roman" w:hAnsi="Arial" w:cs="Arial"/>
          <w:i/>
          <w:iCs/>
          <w:sz w:val="20"/>
          <w:szCs w:val="20"/>
        </w:rPr>
        <w:t>*Usporedba:</w:t>
      </w:r>
    </w:p>
    <w:tbl>
      <w:tblPr>
        <w:tblW w:w="14180" w:type="dxa"/>
        <w:jc w:val="center"/>
        <w:tblLayout w:type="fixed"/>
        <w:tblLook w:val="04A0" w:firstRow="1" w:lastRow="0" w:firstColumn="1" w:lastColumn="0" w:noHBand="0" w:noVBand="1"/>
      </w:tblPr>
      <w:tblGrid>
        <w:gridCol w:w="1135"/>
        <w:gridCol w:w="1134"/>
        <w:gridCol w:w="11911"/>
      </w:tblGrid>
      <w:tr w:rsidR="004E7BB3" w:rsidRPr="0001315B" w14:paraId="4BF2F0DE" w14:textId="77777777" w:rsidTr="00FB6F9B">
        <w:trPr>
          <w:trHeight w:val="360"/>
          <w:jc w:val="center"/>
        </w:trPr>
        <w:tc>
          <w:tcPr>
            <w:tcW w:w="14180" w:type="dxa"/>
            <w:gridSpan w:val="3"/>
            <w:tcBorders>
              <w:top w:val="single" w:sz="4" w:space="0" w:color="auto"/>
              <w:left w:val="single" w:sz="4" w:space="0" w:color="auto"/>
              <w:bottom w:val="single" w:sz="4" w:space="0" w:color="auto"/>
              <w:right w:val="single" w:sz="4" w:space="0" w:color="auto"/>
            </w:tcBorders>
            <w:vAlign w:val="center"/>
            <w:hideMark/>
          </w:tcPr>
          <w:p w14:paraId="2F82E75F" w14:textId="77777777" w:rsidR="004E7BB3" w:rsidRPr="0001315B" w:rsidRDefault="004E7BB3" w:rsidP="00DB4807">
            <w:pPr>
              <w:spacing w:after="0" w:line="240" w:lineRule="auto"/>
              <w:jc w:val="center"/>
              <w:rPr>
                <w:rFonts w:ascii="Arial" w:eastAsia="Times New Roman" w:hAnsi="Arial" w:cs="Arial"/>
                <w:b/>
                <w:bCs/>
                <w:i/>
                <w:iCs/>
                <w:sz w:val="20"/>
                <w:szCs w:val="20"/>
              </w:rPr>
            </w:pPr>
            <w:r w:rsidRPr="0001315B">
              <w:rPr>
                <w:rFonts w:ascii="Arial" w:eastAsia="Times New Roman" w:hAnsi="Arial" w:cs="Arial"/>
                <w:b/>
                <w:bCs/>
                <w:i/>
                <w:iCs/>
                <w:sz w:val="20"/>
                <w:szCs w:val="20"/>
              </w:rPr>
              <w:t>Prihod od dozvole za obavljanje prijevoza (</w:t>
            </w:r>
            <w:r w:rsidRPr="0001315B">
              <w:rPr>
                <w:rFonts w:ascii="Arial" w:eastAsia="Times New Roman" w:hAnsi="Arial" w:cs="Arial"/>
                <w:b/>
                <w:bCs/>
                <w:i/>
                <w:iCs/>
                <w:color w:val="FF0000"/>
                <w:sz w:val="20"/>
                <w:szCs w:val="20"/>
              </w:rPr>
              <w:t>6512</w:t>
            </w:r>
            <w:r w:rsidRPr="0001315B">
              <w:rPr>
                <w:rFonts w:ascii="Arial" w:eastAsia="Times New Roman" w:hAnsi="Arial" w:cs="Arial"/>
                <w:b/>
                <w:bCs/>
                <w:i/>
                <w:iCs/>
                <w:sz w:val="20"/>
                <w:szCs w:val="20"/>
              </w:rPr>
              <w:t>)</w:t>
            </w:r>
          </w:p>
        </w:tc>
      </w:tr>
      <w:tr w:rsidR="006C6706" w:rsidRPr="0001315B" w14:paraId="7D4A89FE" w14:textId="77777777" w:rsidTr="00FB6F9B">
        <w:trPr>
          <w:trHeight w:val="376"/>
          <w:jc w:val="center"/>
        </w:trPr>
        <w:tc>
          <w:tcPr>
            <w:tcW w:w="1135" w:type="dxa"/>
            <w:tcBorders>
              <w:top w:val="single" w:sz="4" w:space="0" w:color="auto"/>
              <w:left w:val="single" w:sz="8" w:space="0" w:color="000000"/>
              <w:bottom w:val="single" w:sz="8" w:space="0" w:color="000000"/>
              <w:right w:val="single" w:sz="8" w:space="0" w:color="000000"/>
            </w:tcBorders>
            <w:vAlign w:val="center"/>
            <w:hideMark/>
          </w:tcPr>
          <w:p w14:paraId="420F47D2" w14:textId="77777777" w:rsidR="004E7BB3" w:rsidRPr="0001315B" w:rsidRDefault="004E7BB3" w:rsidP="00DB4807">
            <w:pPr>
              <w:spacing w:after="0" w:line="240" w:lineRule="auto"/>
              <w:jc w:val="center"/>
              <w:rPr>
                <w:rFonts w:ascii="Arial" w:hAnsi="Arial" w:cs="Arial"/>
                <w:b/>
                <w:bCs/>
                <w:sz w:val="18"/>
                <w:szCs w:val="18"/>
              </w:rPr>
            </w:pPr>
            <w:r w:rsidRPr="0001315B">
              <w:rPr>
                <w:rFonts w:ascii="Arial" w:hAnsi="Arial" w:cs="Arial"/>
                <w:b/>
                <w:bCs/>
                <w:sz w:val="18"/>
                <w:szCs w:val="18"/>
              </w:rPr>
              <w:t>Godina</w:t>
            </w:r>
          </w:p>
        </w:tc>
        <w:tc>
          <w:tcPr>
            <w:tcW w:w="1134" w:type="dxa"/>
            <w:tcBorders>
              <w:top w:val="single" w:sz="4" w:space="0" w:color="auto"/>
              <w:left w:val="nil"/>
              <w:bottom w:val="single" w:sz="8" w:space="0" w:color="000000"/>
              <w:right w:val="single" w:sz="8" w:space="0" w:color="000000"/>
            </w:tcBorders>
            <w:vAlign w:val="center"/>
            <w:hideMark/>
          </w:tcPr>
          <w:p w14:paraId="5F430E97" w14:textId="77777777" w:rsidR="004E7BB3" w:rsidRPr="0001315B" w:rsidRDefault="004E7BB3" w:rsidP="00DB4807">
            <w:pPr>
              <w:spacing w:after="0" w:line="240" w:lineRule="auto"/>
              <w:jc w:val="center"/>
              <w:rPr>
                <w:rFonts w:ascii="Arial" w:hAnsi="Arial" w:cs="Arial"/>
                <w:b/>
                <w:bCs/>
                <w:sz w:val="18"/>
                <w:szCs w:val="18"/>
              </w:rPr>
            </w:pPr>
            <w:r w:rsidRPr="0001315B">
              <w:rPr>
                <w:rFonts w:ascii="Arial" w:hAnsi="Arial" w:cs="Arial"/>
                <w:b/>
                <w:bCs/>
                <w:sz w:val="18"/>
                <w:szCs w:val="18"/>
              </w:rPr>
              <w:t>Iznos (</w:t>
            </w:r>
            <w:r w:rsidRPr="000B6DCB">
              <w:rPr>
                <w:rFonts w:ascii="Arial" w:hAnsi="Arial" w:cs="Arial"/>
                <w:b/>
                <w:bCs/>
                <w:color w:val="EE0000"/>
                <w:sz w:val="18"/>
                <w:szCs w:val="18"/>
              </w:rPr>
              <w:t>€</w:t>
            </w:r>
            <w:r w:rsidRPr="0001315B">
              <w:rPr>
                <w:rFonts w:ascii="Arial" w:hAnsi="Arial" w:cs="Arial"/>
                <w:b/>
                <w:bCs/>
                <w:sz w:val="18"/>
                <w:szCs w:val="18"/>
              </w:rPr>
              <w:t>)</w:t>
            </w:r>
          </w:p>
        </w:tc>
        <w:tc>
          <w:tcPr>
            <w:tcW w:w="11911" w:type="dxa"/>
            <w:tcBorders>
              <w:top w:val="single" w:sz="4" w:space="0" w:color="auto"/>
              <w:left w:val="nil"/>
              <w:bottom w:val="single" w:sz="8" w:space="0" w:color="000000"/>
              <w:right w:val="single" w:sz="8" w:space="0" w:color="000000"/>
            </w:tcBorders>
            <w:vAlign w:val="center"/>
            <w:hideMark/>
          </w:tcPr>
          <w:p w14:paraId="2A93A5C0" w14:textId="77777777" w:rsidR="004E7BB3" w:rsidRPr="0001315B" w:rsidRDefault="004E7BB3" w:rsidP="00DB4807">
            <w:pPr>
              <w:spacing w:after="0" w:line="240" w:lineRule="auto"/>
              <w:jc w:val="center"/>
              <w:rPr>
                <w:rFonts w:ascii="Arial" w:hAnsi="Arial" w:cs="Arial"/>
                <w:b/>
                <w:bCs/>
                <w:sz w:val="18"/>
                <w:szCs w:val="18"/>
              </w:rPr>
            </w:pPr>
            <w:r w:rsidRPr="0001315B">
              <w:rPr>
                <w:rFonts w:ascii="Arial" w:hAnsi="Arial" w:cs="Arial"/>
                <w:b/>
                <w:bCs/>
                <w:sz w:val="18"/>
                <w:szCs w:val="18"/>
              </w:rPr>
              <w:t xml:space="preserve">Obrazloženje </w:t>
            </w:r>
          </w:p>
        </w:tc>
      </w:tr>
      <w:tr w:rsidR="006C6706" w:rsidRPr="0001315B" w14:paraId="0603E64A" w14:textId="77777777" w:rsidTr="00FB6F9B">
        <w:trPr>
          <w:trHeight w:val="273"/>
          <w:jc w:val="center"/>
        </w:trPr>
        <w:tc>
          <w:tcPr>
            <w:tcW w:w="1135" w:type="dxa"/>
            <w:tcBorders>
              <w:top w:val="nil"/>
              <w:left w:val="single" w:sz="8" w:space="0" w:color="000000"/>
              <w:bottom w:val="single" w:sz="8" w:space="0" w:color="000000"/>
              <w:right w:val="single" w:sz="8" w:space="0" w:color="000000"/>
            </w:tcBorders>
            <w:vAlign w:val="center"/>
            <w:hideMark/>
          </w:tcPr>
          <w:p w14:paraId="2F9CCDE9" w14:textId="77777777" w:rsidR="004E7BB3" w:rsidRPr="0001315B" w:rsidRDefault="004E7BB3" w:rsidP="00DB4807">
            <w:pPr>
              <w:spacing w:after="0" w:line="240" w:lineRule="auto"/>
              <w:jc w:val="center"/>
              <w:rPr>
                <w:rFonts w:ascii="Arial" w:eastAsia="Times New Roman" w:hAnsi="Arial" w:cs="Arial"/>
                <w:i/>
                <w:iCs/>
                <w:sz w:val="18"/>
                <w:szCs w:val="18"/>
              </w:rPr>
            </w:pPr>
            <w:r w:rsidRPr="0001315B">
              <w:rPr>
                <w:rFonts w:ascii="Arial" w:eastAsia="Times New Roman" w:hAnsi="Arial" w:cs="Arial"/>
                <w:i/>
                <w:iCs/>
                <w:sz w:val="18"/>
                <w:szCs w:val="18"/>
              </w:rPr>
              <w:t>2018.</w:t>
            </w:r>
          </w:p>
        </w:tc>
        <w:tc>
          <w:tcPr>
            <w:tcW w:w="1134" w:type="dxa"/>
            <w:tcBorders>
              <w:top w:val="nil"/>
              <w:left w:val="nil"/>
              <w:bottom w:val="single" w:sz="8" w:space="0" w:color="000000"/>
              <w:right w:val="single" w:sz="8" w:space="0" w:color="000000"/>
            </w:tcBorders>
            <w:vAlign w:val="center"/>
            <w:hideMark/>
          </w:tcPr>
          <w:p w14:paraId="2D942835" w14:textId="77777777" w:rsidR="004E7BB3" w:rsidRPr="0001315B" w:rsidRDefault="004E7BB3" w:rsidP="00DB4807">
            <w:pPr>
              <w:spacing w:after="0" w:line="240" w:lineRule="auto"/>
              <w:jc w:val="right"/>
              <w:rPr>
                <w:rFonts w:ascii="Arial" w:eastAsia="Times New Roman" w:hAnsi="Arial" w:cs="Arial"/>
                <w:i/>
                <w:iCs/>
                <w:sz w:val="18"/>
                <w:szCs w:val="18"/>
              </w:rPr>
            </w:pPr>
            <w:r w:rsidRPr="0001315B">
              <w:rPr>
                <w:rFonts w:ascii="Arial" w:eastAsia="Times New Roman" w:hAnsi="Arial" w:cs="Arial"/>
                <w:i/>
                <w:iCs/>
                <w:sz w:val="18"/>
                <w:szCs w:val="18"/>
              </w:rPr>
              <w:t>984,80</w:t>
            </w:r>
          </w:p>
        </w:tc>
        <w:tc>
          <w:tcPr>
            <w:tcW w:w="11911" w:type="dxa"/>
            <w:tcBorders>
              <w:top w:val="nil"/>
              <w:left w:val="nil"/>
              <w:bottom w:val="single" w:sz="8" w:space="0" w:color="000000"/>
              <w:right w:val="single" w:sz="8" w:space="0" w:color="000000"/>
            </w:tcBorders>
            <w:vAlign w:val="center"/>
            <w:hideMark/>
          </w:tcPr>
          <w:p w14:paraId="27D73473" w14:textId="77777777" w:rsidR="004E7BB3" w:rsidRPr="0001315B" w:rsidRDefault="004E7BB3" w:rsidP="00DB4807">
            <w:pPr>
              <w:spacing w:after="0" w:line="240" w:lineRule="auto"/>
              <w:jc w:val="both"/>
              <w:rPr>
                <w:rFonts w:ascii="Arial" w:eastAsia="Times New Roman" w:hAnsi="Arial" w:cs="Arial"/>
                <w:sz w:val="18"/>
                <w:szCs w:val="18"/>
              </w:rPr>
            </w:pPr>
            <w:r w:rsidRPr="0001315B">
              <w:rPr>
                <w:rFonts w:ascii="Arial" w:eastAsia="Times New Roman" w:hAnsi="Arial" w:cs="Arial"/>
                <w:sz w:val="18"/>
                <w:szCs w:val="18"/>
              </w:rPr>
              <w:t>prva godina ostvarenja ovih prihoda po novim propisima</w:t>
            </w:r>
          </w:p>
        </w:tc>
      </w:tr>
      <w:tr w:rsidR="006C6706" w:rsidRPr="0001315B" w14:paraId="47A89D7D" w14:textId="77777777" w:rsidTr="00FB6F9B">
        <w:trPr>
          <w:trHeight w:val="232"/>
          <w:jc w:val="center"/>
        </w:trPr>
        <w:tc>
          <w:tcPr>
            <w:tcW w:w="1135" w:type="dxa"/>
            <w:tcBorders>
              <w:top w:val="nil"/>
              <w:left w:val="single" w:sz="8" w:space="0" w:color="000000"/>
              <w:bottom w:val="single" w:sz="8" w:space="0" w:color="000000"/>
              <w:right w:val="single" w:sz="8" w:space="0" w:color="000000"/>
            </w:tcBorders>
            <w:vAlign w:val="center"/>
            <w:hideMark/>
          </w:tcPr>
          <w:p w14:paraId="5EA6556F" w14:textId="77777777" w:rsidR="004E7BB3" w:rsidRPr="0001315B" w:rsidRDefault="004E7BB3" w:rsidP="00DB4807">
            <w:pPr>
              <w:spacing w:after="0" w:line="240" w:lineRule="auto"/>
              <w:jc w:val="center"/>
              <w:rPr>
                <w:rFonts w:ascii="Arial" w:eastAsia="Times New Roman" w:hAnsi="Arial" w:cs="Arial"/>
                <w:i/>
                <w:iCs/>
                <w:sz w:val="18"/>
                <w:szCs w:val="18"/>
              </w:rPr>
            </w:pPr>
            <w:r w:rsidRPr="0001315B">
              <w:rPr>
                <w:rFonts w:ascii="Arial" w:eastAsia="Times New Roman" w:hAnsi="Arial" w:cs="Arial"/>
                <w:i/>
                <w:iCs/>
                <w:sz w:val="18"/>
                <w:szCs w:val="18"/>
              </w:rPr>
              <w:t>2019.</w:t>
            </w:r>
          </w:p>
        </w:tc>
        <w:tc>
          <w:tcPr>
            <w:tcW w:w="1134" w:type="dxa"/>
            <w:tcBorders>
              <w:top w:val="nil"/>
              <w:left w:val="nil"/>
              <w:bottom w:val="single" w:sz="8" w:space="0" w:color="000000"/>
              <w:right w:val="single" w:sz="8" w:space="0" w:color="000000"/>
            </w:tcBorders>
            <w:vAlign w:val="center"/>
            <w:hideMark/>
          </w:tcPr>
          <w:p w14:paraId="2E287824" w14:textId="77777777" w:rsidR="004E7BB3" w:rsidRPr="0001315B" w:rsidRDefault="004E7BB3" w:rsidP="00DB4807">
            <w:pPr>
              <w:spacing w:after="0" w:line="240" w:lineRule="auto"/>
              <w:jc w:val="right"/>
              <w:rPr>
                <w:rFonts w:ascii="Arial" w:eastAsia="Times New Roman" w:hAnsi="Arial" w:cs="Arial"/>
                <w:i/>
                <w:iCs/>
                <w:sz w:val="18"/>
                <w:szCs w:val="18"/>
              </w:rPr>
            </w:pPr>
            <w:r w:rsidRPr="0001315B">
              <w:rPr>
                <w:rFonts w:ascii="Arial" w:eastAsia="Times New Roman" w:hAnsi="Arial" w:cs="Arial"/>
                <w:i/>
                <w:iCs/>
                <w:sz w:val="18"/>
                <w:szCs w:val="18"/>
              </w:rPr>
              <w:t>9.455,17</w:t>
            </w:r>
          </w:p>
        </w:tc>
        <w:tc>
          <w:tcPr>
            <w:tcW w:w="11911" w:type="dxa"/>
            <w:tcBorders>
              <w:top w:val="nil"/>
              <w:left w:val="nil"/>
              <w:bottom w:val="single" w:sz="8" w:space="0" w:color="000000"/>
              <w:right w:val="single" w:sz="8" w:space="0" w:color="000000"/>
            </w:tcBorders>
            <w:vAlign w:val="center"/>
            <w:hideMark/>
          </w:tcPr>
          <w:p w14:paraId="6195B75F" w14:textId="77777777" w:rsidR="004E7BB3" w:rsidRPr="0001315B" w:rsidRDefault="004E7BB3" w:rsidP="00DB4807">
            <w:pPr>
              <w:spacing w:after="0" w:line="240" w:lineRule="auto"/>
              <w:jc w:val="both"/>
              <w:rPr>
                <w:rFonts w:ascii="Arial" w:eastAsia="Times New Roman" w:hAnsi="Arial" w:cs="Arial"/>
                <w:sz w:val="18"/>
                <w:szCs w:val="18"/>
              </w:rPr>
            </w:pPr>
            <w:r w:rsidRPr="0001315B">
              <w:rPr>
                <w:rFonts w:ascii="Arial" w:eastAsia="Times New Roman" w:hAnsi="Arial" w:cs="Arial"/>
                <w:sz w:val="18"/>
                <w:szCs w:val="18"/>
              </w:rPr>
              <w:t> </w:t>
            </w:r>
          </w:p>
        </w:tc>
      </w:tr>
      <w:tr w:rsidR="006C6706" w:rsidRPr="0001315B" w14:paraId="6D7678F3" w14:textId="77777777" w:rsidTr="00FB6F9B">
        <w:trPr>
          <w:trHeight w:val="123"/>
          <w:jc w:val="center"/>
        </w:trPr>
        <w:tc>
          <w:tcPr>
            <w:tcW w:w="1135" w:type="dxa"/>
            <w:tcBorders>
              <w:top w:val="nil"/>
              <w:left w:val="single" w:sz="8" w:space="0" w:color="000000"/>
              <w:bottom w:val="single" w:sz="8" w:space="0" w:color="000000"/>
              <w:right w:val="single" w:sz="8" w:space="0" w:color="000000"/>
            </w:tcBorders>
            <w:vAlign w:val="center"/>
            <w:hideMark/>
          </w:tcPr>
          <w:p w14:paraId="2AAEA66B" w14:textId="77777777" w:rsidR="004E7BB3" w:rsidRPr="0001315B" w:rsidRDefault="004E7BB3" w:rsidP="00DB4807">
            <w:pPr>
              <w:spacing w:after="0" w:line="240" w:lineRule="auto"/>
              <w:jc w:val="center"/>
              <w:rPr>
                <w:rFonts w:ascii="Arial" w:eastAsia="Times New Roman" w:hAnsi="Arial" w:cs="Arial"/>
                <w:i/>
                <w:iCs/>
                <w:sz w:val="18"/>
                <w:szCs w:val="18"/>
              </w:rPr>
            </w:pPr>
            <w:r w:rsidRPr="0001315B">
              <w:rPr>
                <w:rFonts w:ascii="Arial" w:eastAsia="Times New Roman" w:hAnsi="Arial" w:cs="Arial"/>
                <w:i/>
                <w:iCs/>
                <w:sz w:val="18"/>
                <w:szCs w:val="18"/>
              </w:rPr>
              <w:t>2020.</w:t>
            </w:r>
          </w:p>
        </w:tc>
        <w:tc>
          <w:tcPr>
            <w:tcW w:w="1134" w:type="dxa"/>
            <w:tcBorders>
              <w:top w:val="nil"/>
              <w:left w:val="nil"/>
              <w:bottom w:val="single" w:sz="8" w:space="0" w:color="000000"/>
              <w:right w:val="single" w:sz="8" w:space="0" w:color="000000"/>
            </w:tcBorders>
            <w:vAlign w:val="center"/>
            <w:hideMark/>
          </w:tcPr>
          <w:p w14:paraId="093320D4" w14:textId="77777777" w:rsidR="004E7BB3" w:rsidRPr="0001315B" w:rsidRDefault="004E7BB3" w:rsidP="00DB4807">
            <w:pPr>
              <w:spacing w:after="0" w:line="240" w:lineRule="auto"/>
              <w:jc w:val="right"/>
              <w:rPr>
                <w:rFonts w:ascii="Arial" w:eastAsia="Times New Roman" w:hAnsi="Arial" w:cs="Arial"/>
                <w:i/>
                <w:iCs/>
                <w:sz w:val="18"/>
                <w:szCs w:val="18"/>
              </w:rPr>
            </w:pPr>
            <w:r w:rsidRPr="0001315B">
              <w:rPr>
                <w:rFonts w:ascii="Arial" w:eastAsia="Times New Roman" w:hAnsi="Arial" w:cs="Arial"/>
                <w:i/>
                <w:iCs/>
                <w:sz w:val="18"/>
                <w:szCs w:val="18"/>
              </w:rPr>
              <w:t>2.455,37</w:t>
            </w:r>
          </w:p>
        </w:tc>
        <w:tc>
          <w:tcPr>
            <w:tcW w:w="11911" w:type="dxa"/>
            <w:tcBorders>
              <w:top w:val="nil"/>
              <w:left w:val="nil"/>
              <w:bottom w:val="single" w:sz="8" w:space="0" w:color="000000"/>
              <w:right w:val="single" w:sz="8" w:space="0" w:color="000000"/>
            </w:tcBorders>
            <w:vAlign w:val="center"/>
            <w:hideMark/>
          </w:tcPr>
          <w:p w14:paraId="097F2336" w14:textId="77777777" w:rsidR="004E7BB3" w:rsidRPr="0001315B" w:rsidRDefault="004E7BB3" w:rsidP="00DB4807">
            <w:pPr>
              <w:spacing w:after="0" w:line="240" w:lineRule="auto"/>
              <w:jc w:val="both"/>
              <w:rPr>
                <w:rFonts w:ascii="Arial" w:eastAsia="Times New Roman" w:hAnsi="Arial" w:cs="Arial"/>
                <w:sz w:val="18"/>
                <w:szCs w:val="18"/>
              </w:rPr>
            </w:pPr>
            <w:r w:rsidRPr="0001315B">
              <w:rPr>
                <w:rFonts w:ascii="Arial" w:eastAsia="Times New Roman" w:hAnsi="Arial" w:cs="Arial"/>
                <w:sz w:val="18"/>
                <w:szCs w:val="18"/>
              </w:rPr>
              <w:t> </w:t>
            </w:r>
          </w:p>
        </w:tc>
      </w:tr>
      <w:tr w:rsidR="006C6706" w:rsidRPr="0001315B" w14:paraId="12C86926" w14:textId="77777777" w:rsidTr="00FB6F9B">
        <w:trPr>
          <w:trHeight w:val="53"/>
          <w:jc w:val="center"/>
        </w:trPr>
        <w:tc>
          <w:tcPr>
            <w:tcW w:w="1135" w:type="dxa"/>
            <w:tcBorders>
              <w:top w:val="nil"/>
              <w:left w:val="single" w:sz="8" w:space="0" w:color="000000"/>
              <w:bottom w:val="single" w:sz="8" w:space="0" w:color="000000"/>
              <w:right w:val="single" w:sz="8" w:space="0" w:color="000000"/>
            </w:tcBorders>
            <w:vAlign w:val="center"/>
            <w:hideMark/>
          </w:tcPr>
          <w:p w14:paraId="750AF42A" w14:textId="77777777" w:rsidR="004E7BB3" w:rsidRPr="0001315B" w:rsidRDefault="004E7BB3" w:rsidP="00DB4807">
            <w:pPr>
              <w:spacing w:after="0" w:line="240" w:lineRule="auto"/>
              <w:jc w:val="center"/>
              <w:rPr>
                <w:rFonts w:ascii="Arial" w:eastAsia="Times New Roman" w:hAnsi="Arial" w:cs="Arial"/>
                <w:i/>
                <w:iCs/>
                <w:sz w:val="18"/>
                <w:szCs w:val="18"/>
              </w:rPr>
            </w:pPr>
            <w:r w:rsidRPr="0001315B">
              <w:rPr>
                <w:rFonts w:ascii="Arial" w:eastAsia="Times New Roman" w:hAnsi="Arial" w:cs="Arial"/>
                <w:i/>
                <w:iCs/>
                <w:sz w:val="18"/>
                <w:szCs w:val="18"/>
              </w:rPr>
              <w:t>2021.</w:t>
            </w:r>
          </w:p>
        </w:tc>
        <w:tc>
          <w:tcPr>
            <w:tcW w:w="1134" w:type="dxa"/>
            <w:tcBorders>
              <w:top w:val="nil"/>
              <w:left w:val="nil"/>
              <w:bottom w:val="single" w:sz="8" w:space="0" w:color="000000"/>
              <w:right w:val="single" w:sz="8" w:space="0" w:color="000000"/>
            </w:tcBorders>
            <w:vAlign w:val="center"/>
            <w:hideMark/>
          </w:tcPr>
          <w:p w14:paraId="4045F30F" w14:textId="77777777" w:rsidR="004E7BB3" w:rsidRPr="0001315B" w:rsidRDefault="004E7BB3" w:rsidP="00DB4807">
            <w:pPr>
              <w:spacing w:after="0" w:line="240" w:lineRule="auto"/>
              <w:jc w:val="right"/>
              <w:rPr>
                <w:rFonts w:ascii="Arial" w:eastAsia="Times New Roman" w:hAnsi="Arial" w:cs="Arial"/>
                <w:i/>
                <w:iCs/>
                <w:sz w:val="18"/>
                <w:szCs w:val="18"/>
              </w:rPr>
            </w:pPr>
            <w:r w:rsidRPr="0001315B">
              <w:rPr>
                <w:rFonts w:ascii="Arial" w:eastAsia="Times New Roman" w:hAnsi="Arial" w:cs="Arial"/>
                <w:i/>
                <w:iCs/>
                <w:sz w:val="18"/>
                <w:szCs w:val="18"/>
              </w:rPr>
              <w:t>9.423,23</w:t>
            </w:r>
          </w:p>
        </w:tc>
        <w:tc>
          <w:tcPr>
            <w:tcW w:w="11911" w:type="dxa"/>
            <w:tcBorders>
              <w:top w:val="nil"/>
              <w:left w:val="nil"/>
              <w:bottom w:val="single" w:sz="8" w:space="0" w:color="000000"/>
              <w:right w:val="single" w:sz="8" w:space="0" w:color="000000"/>
            </w:tcBorders>
            <w:vAlign w:val="center"/>
            <w:hideMark/>
          </w:tcPr>
          <w:p w14:paraId="568A4D68" w14:textId="77777777" w:rsidR="004E7BB3" w:rsidRPr="0001315B" w:rsidRDefault="004E7BB3" w:rsidP="00DB4807">
            <w:pPr>
              <w:spacing w:after="0" w:line="240" w:lineRule="auto"/>
              <w:jc w:val="both"/>
              <w:rPr>
                <w:rFonts w:ascii="Arial" w:eastAsia="Times New Roman" w:hAnsi="Arial" w:cs="Arial"/>
                <w:sz w:val="18"/>
                <w:szCs w:val="18"/>
              </w:rPr>
            </w:pPr>
            <w:r w:rsidRPr="0001315B">
              <w:rPr>
                <w:rFonts w:ascii="Arial" w:eastAsia="Times New Roman" w:hAnsi="Arial" w:cs="Arial"/>
                <w:sz w:val="18"/>
                <w:szCs w:val="18"/>
              </w:rPr>
              <w:t> </w:t>
            </w:r>
          </w:p>
        </w:tc>
      </w:tr>
      <w:tr w:rsidR="006C6706" w:rsidRPr="0001315B" w14:paraId="11CF9518" w14:textId="77777777" w:rsidTr="00FB6F9B">
        <w:trPr>
          <w:trHeight w:val="101"/>
          <w:jc w:val="center"/>
        </w:trPr>
        <w:tc>
          <w:tcPr>
            <w:tcW w:w="1135" w:type="dxa"/>
            <w:tcBorders>
              <w:top w:val="nil"/>
              <w:left w:val="single" w:sz="8" w:space="0" w:color="000000"/>
              <w:bottom w:val="single" w:sz="8" w:space="0" w:color="000000"/>
              <w:right w:val="single" w:sz="8" w:space="0" w:color="000000"/>
            </w:tcBorders>
            <w:vAlign w:val="center"/>
            <w:hideMark/>
          </w:tcPr>
          <w:p w14:paraId="2D768C88" w14:textId="77777777" w:rsidR="004E7BB3" w:rsidRPr="0001315B" w:rsidRDefault="004E7BB3" w:rsidP="00DB4807">
            <w:pPr>
              <w:spacing w:after="0" w:line="240" w:lineRule="auto"/>
              <w:jc w:val="center"/>
              <w:rPr>
                <w:rFonts w:ascii="Arial" w:eastAsia="Times New Roman" w:hAnsi="Arial" w:cs="Arial"/>
                <w:i/>
                <w:iCs/>
                <w:sz w:val="18"/>
                <w:szCs w:val="18"/>
              </w:rPr>
            </w:pPr>
            <w:r w:rsidRPr="0001315B">
              <w:rPr>
                <w:rFonts w:ascii="Arial" w:eastAsia="Times New Roman" w:hAnsi="Arial" w:cs="Arial"/>
                <w:i/>
                <w:iCs/>
                <w:sz w:val="18"/>
                <w:szCs w:val="18"/>
              </w:rPr>
              <w:t>2022.</w:t>
            </w:r>
          </w:p>
        </w:tc>
        <w:tc>
          <w:tcPr>
            <w:tcW w:w="1134" w:type="dxa"/>
            <w:tcBorders>
              <w:top w:val="nil"/>
              <w:left w:val="nil"/>
              <w:bottom w:val="single" w:sz="8" w:space="0" w:color="000000"/>
              <w:right w:val="single" w:sz="8" w:space="0" w:color="000000"/>
            </w:tcBorders>
            <w:vAlign w:val="center"/>
            <w:hideMark/>
          </w:tcPr>
          <w:p w14:paraId="37F9F9F3" w14:textId="77777777" w:rsidR="004E7BB3" w:rsidRPr="0001315B" w:rsidRDefault="004E7BB3" w:rsidP="00DB4807">
            <w:pPr>
              <w:spacing w:after="0" w:line="240" w:lineRule="auto"/>
              <w:jc w:val="right"/>
              <w:rPr>
                <w:rFonts w:ascii="Arial" w:eastAsia="Times New Roman" w:hAnsi="Arial" w:cs="Arial"/>
                <w:i/>
                <w:iCs/>
                <w:sz w:val="18"/>
                <w:szCs w:val="18"/>
              </w:rPr>
            </w:pPr>
            <w:r w:rsidRPr="0001315B">
              <w:rPr>
                <w:rFonts w:ascii="Arial" w:eastAsia="Times New Roman" w:hAnsi="Arial" w:cs="Arial"/>
                <w:i/>
                <w:iCs/>
                <w:sz w:val="18"/>
                <w:szCs w:val="18"/>
              </w:rPr>
              <w:t>7.830,65</w:t>
            </w:r>
          </w:p>
        </w:tc>
        <w:tc>
          <w:tcPr>
            <w:tcW w:w="11911" w:type="dxa"/>
            <w:tcBorders>
              <w:top w:val="nil"/>
              <w:left w:val="nil"/>
              <w:bottom w:val="single" w:sz="8" w:space="0" w:color="000000"/>
              <w:right w:val="single" w:sz="8" w:space="0" w:color="000000"/>
            </w:tcBorders>
            <w:vAlign w:val="center"/>
            <w:hideMark/>
          </w:tcPr>
          <w:p w14:paraId="0BF6B021" w14:textId="77777777" w:rsidR="004E7BB3" w:rsidRPr="0001315B" w:rsidRDefault="004E7BB3" w:rsidP="00DB4807">
            <w:pPr>
              <w:spacing w:after="0" w:line="240" w:lineRule="auto"/>
              <w:jc w:val="both"/>
              <w:rPr>
                <w:rFonts w:ascii="Arial" w:eastAsia="Times New Roman" w:hAnsi="Arial" w:cs="Arial"/>
                <w:sz w:val="18"/>
                <w:szCs w:val="18"/>
              </w:rPr>
            </w:pPr>
            <w:r w:rsidRPr="0001315B">
              <w:rPr>
                <w:rFonts w:ascii="Arial" w:eastAsia="Times New Roman" w:hAnsi="Arial" w:cs="Arial"/>
                <w:sz w:val="18"/>
                <w:szCs w:val="18"/>
              </w:rPr>
              <w:t> </w:t>
            </w:r>
          </w:p>
        </w:tc>
      </w:tr>
      <w:tr w:rsidR="006C6706" w:rsidRPr="0001315B" w14:paraId="212C0102" w14:textId="77777777" w:rsidTr="00FB6F9B">
        <w:trPr>
          <w:trHeight w:val="237"/>
          <w:jc w:val="center"/>
        </w:trPr>
        <w:tc>
          <w:tcPr>
            <w:tcW w:w="1135" w:type="dxa"/>
            <w:tcBorders>
              <w:top w:val="nil"/>
              <w:left w:val="single" w:sz="8" w:space="0" w:color="000000"/>
              <w:bottom w:val="single" w:sz="8" w:space="0" w:color="000000"/>
              <w:right w:val="single" w:sz="8" w:space="0" w:color="000000"/>
            </w:tcBorders>
            <w:vAlign w:val="center"/>
            <w:hideMark/>
          </w:tcPr>
          <w:p w14:paraId="6397688C" w14:textId="77777777" w:rsidR="004E7BB3" w:rsidRPr="0001315B" w:rsidRDefault="004E7BB3" w:rsidP="00DB4807">
            <w:pPr>
              <w:spacing w:after="0" w:line="240" w:lineRule="auto"/>
              <w:jc w:val="center"/>
              <w:rPr>
                <w:rFonts w:ascii="Arial" w:eastAsia="Times New Roman" w:hAnsi="Arial" w:cs="Arial"/>
                <w:i/>
                <w:iCs/>
                <w:sz w:val="18"/>
                <w:szCs w:val="18"/>
              </w:rPr>
            </w:pPr>
            <w:r w:rsidRPr="0001315B">
              <w:rPr>
                <w:rFonts w:ascii="Arial" w:eastAsia="Times New Roman" w:hAnsi="Arial" w:cs="Arial"/>
                <w:i/>
                <w:iCs/>
                <w:sz w:val="18"/>
                <w:szCs w:val="18"/>
              </w:rPr>
              <w:t>2023.</w:t>
            </w:r>
          </w:p>
        </w:tc>
        <w:tc>
          <w:tcPr>
            <w:tcW w:w="1134" w:type="dxa"/>
            <w:tcBorders>
              <w:top w:val="nil"/>
              <w:left w:val="nil"/>
              <w:bottom w:val="single" w:sz="8" w:space="0" w:color="000000"/>
              <w:right w:val="single" w:sz="8" w:space="0" w:color="000000"/>
            </w:tcBorders>
            <w:vAlign w:val="center"/>
            <w:hideMark/>
          </w:tcPr>
          <w:p w14:paraId="4292B0DB" w14:textId="77777777" w:rsidR="004E7BB3" w:rsidRPr="0001315B" w:rsidRDefault="004E7BB3" w:rsidP="00DB4807">
            <w:pPr>
              <w:spacing w:after="0" w:line="240" w:lineRule="auto"/>
              <w:jc w:val="right"/>
              <w:rPr>
                <w:rFonts w:ascii="Arial" w:eastAsia="Times New Roman" w:hAnsi="Arial" w:cs="Arial"/>
                <w:i/>
                <w:iCs/>
                <w:sz w:val="18"/>
                <w:szCs w:val="18"/>
              </w:rPr>
            </w:pPr>
            <w:r w:rsidRPr="0001315B">
              <w:rPr>
                <w:rFonts w:ascii="Arial" w:eastAsia="Times New Roman" w:hAnsi="Arial" w:cs="Arial"/>
                <w:i/>
                <w:iCs/>
                <w:sz w:val="18"/>
                <w:szCs w:val="18"/>
              </w:rPr>
              <w:t>15.329,16</w:t>
            </w:r>
          </w:p>
        </w:tc>
        <w:tc>
          <w:tcPr>
            <w:tcW w:w="11911" w:type="dxa"/>
            <w:tcBorders>
              <w:top w:val="nil"/>
              <w:left w:val="nil"/>
              <w:bottom w:val="single" w:sz="8" w:space="0" w:color="000000"/>
              <w:right w:val="single" w:sz="8" w:space="0" w:color="000000"/>
            </w:tcBorders>
            <w:vAlign w:val="center"/>
            <w:hideMark/>
          </w:tcPr>
          <w:p w14:paraId="10978DEA" w14:textId="77777777" w:rsidR="004E7BB3" w:rsidRPr="0001315B" w:rsidRDefault="004E7BB3" w:rsidP="00DB4807">
            <w:pPr>
              <w:spacing w:after="0" w:line="240" w:lineRule="auto"/>
              <w:jc w:val="both"/>
              <w:rPr>
                <w:rFonts w:ascii="Arial" w:eastAsia="Times New Roman" w:hAnsi="Arial" w:cs="Arial"/>
                <w:sz w:val="18"/>
                <w:szCs w:val="18"/>
              </w:rPr>
            </w:pPr>
            <w:r w:rsidRPr="0001315B">
              <w:rPr>
                <w:rFonts w:ascii="Arial" w:eastAsia="Times New Roman" w:hAnsi="Arial" w:cs="Arial"/>
                <w:sz w:val="18"/>
                <w:szCs w:val="18"/>
              </w:rPr>
              <w:t>što je više za 7.498,51 € ili 95,8% u odnosu na izvještajno razdoblje prethodne godine.</w:t>
            </w:r>
          </w:p>
        </w:tc>
      </w:tr>
      <w:tr w:rsidR="006C6706" w:rsidRPr="0001315B" w14:paraId="2D42AF47" w14:textId="77777777" w:rsidTr="00FB6F9B">
        <w:trPr>
          <w:trHeight w:val="178"/>
          <w:jc w:val="center"/>
        </w:trPr>
        <w:tc>
          <w:tcPr>
            <w:tcW w:w="1135" w:type="dxa"/>
            <w:tcBorders>
              <w:top w:val="nil"/>
              <w:left w:val="single" w:sz="8" w:space="0" w:color="000000"/>
              <w:bottom w:val="single" w:sz="8" w:space="0" w:color="000000"/>
              <w:right w:val="single" w:sz="8" w:space="0" w:color="000000"/>
            </w:tcBorders>
            <w:vAlign w:val="center"/>
            <w:hideMark/>
          </w:tcPr>
          <w:p w14:paraId="302F69A4" w14:textId="77777777" w:rsidR="004E7BB3" w:rsidRPr="0001315B" w:rsidRDefault="004E7BB3" w:rsidP="00DB4807">
            <w:pPr>
              <w:spacing w:after="0" w:line="240" w:lineRule="auto"/>
              <w:jc w:val="center"/>
              <w:rPr>
                <w:rFonts w:ascii="Arial" w:eastAsia="Times New Roman" w:hAnsi="Arial" w:cs="Arial"/>
                <w:i/>
                <w:iCs/>
                <w:sz w:val="18"/>
                <w:szCs w:val="18"/>
              </w:rPr>
            </w:pPr>
            <w:r w:rsidRPr="0001315B">
              <w:rPr>
                <w:rFonts w:ascii="Arial" w:eastAsia="Times New Roman" w:hAnsi="Arial" w:cs="Arial"/>
                <w:i/>
                <w:iCs/>
                <w:sz w:val="18"/>
                <w:szCs w:val="18"/>
              </w:rPr>
              <w:t>2024.</w:t>
            </w:r>
          </w:p>
        </w:tc>
        <w:tc>
          <w:tcPr>
            <w:tcW w:w="1134" w:type="dxa"/>
            <w:tcBorders>
              <w:top w:val="nil"/>
              <w:left w:val="nil"/>
              <w:bottom w:val="single" w:sz="8" w:space="0" w:color="000000"/>
              <w:right w:val="single" w:sz="8" w:space="0" w:color="000000"/>
            </w:tcBorders>
            <w:vAlign w:val="center"/>
            <w:hideMark/>
          </w:tcPr>
          <w:p w14:paraId="25F49019" w14:textId="77777777" w:rsidR="004E7BB3" w:rsidRPr="0001315B" w:rsidRDefault="004E7BB3" w:rsidP="00DB4807">
            <w:pPr>
              <w:spacing w:after="0" w:line="240" w:lineRule="auto"/>
              <w:jc w:val="right"/>
              <w:rPr>
                <w:rFonts w:ascii="Arial" w:eastAsia="Times New Roman" w:hAnsi="Arial" w:cs="Arial"/>
                <w:i/>
                <w:iCs/>
                <w:sz w:val="18"/>
                <w:szCs w:val="18"/>
              </w:rPr>
            </w:pPr>
            <w:r w:rsidRPr="0001315B">
              <w:rPr>
                <w:rFonts w:ascii="Arial" w:eastAsia="Times New Roman" w:hAnsi="Arial" w:cs="Arial"/>
                <w:i/>
                <w:iCs/>
                <w:sz w:val="18"/>
                <w:szCs w:val="18"/>
              </w:rPr>
              <w:t>18.580,80</w:t>
            </w:r>
          </w:p>
        </w:tc>
        <w:tc>
          <w:tcPr>
            <w:tcW w:w="11911" w:type="dxa"/>
            <w:tcBorders>
              <w:top w:val="nil"/>
              <w:left w:val="nil"/>
              <w:bottom w:val="single" w:sz="8" w:space="0" w:color="000000"/>
              <w:right w:val="single" w:sz="8" w:space="0" w:color="000000"/>
            </w:tcBorders>
            <w:vAlign w:val="center"/>
            <w:hideMark/>
          </w:tcPr>
          <w:p w14:paraId="3248C88E" w14:textId="46AF20A4" w:rsidR="004E7BB3" w:rsidRPr="0001315B" w:rsidRDefault="004E7BB3" w:rsidP="00DB4807">
            <w:pPr>
              <w:spacing w:after="0" w:line="240" w:lineRule="auto"/>
              <w:jc w:val="both"/>
              <w:rPr>
                <w:rFonts w:ascii="Arial" w:eastAsia="Times New Roman" w:hAnsi="Arial" w:cs="Arial"/>
                <w:sz w:val="18"/>
                <w:szCs w:val="18"/>
              </w:rPr>
            </w:pPr>
            <w:r w:rsidRPr="0001315B">
              <w:rPr>
                <w:rFonts w:ascii="Arial" w:eastAsia="Times New Roman" w:hAnsi="Arial" w:cs="Arial"/>
                <w:sz w:val="18"/>
                <w:szCs w:val="18"/>
              </w:rPr>
              <w:t xml:space="preserve">što je više za 3.251,64 € ili 21,2% u odnosu na izvještajno razdoblje prethodne godine. </w:t>
            </w:r>
            <w:r w:rsidR="006C6706">
              <w:rPr>
                <w:rFonts w:ascii="Arial" w:eastAsia="Times New Roman" w:hAnsi="Arial" w:cs="Arial"/>
                <w:sz w:val="18"/>
                <w:szCs w:val="18"/>
              </w:rPr>
              <w:t>P</w:t>
            </w:r>
            <w:r w:rsidRPr="0001315B">
              <w:rPr>
                <w:rFonts w:ascii="Arial" w:eastAsia="Times New Roman" w:hAnsi="Arial" w:cs="Arial"/>
                <w:sz w:val="18"/>
                <w:szCs w:val="18"/>
              </w:rPr>
              <w:t xml:space="preserve">rihodi prvog polugodišta 2024. iznose 12.409,32 €. </w:t>
            </w:r>
          </w:p>
        </w:tc>
      </w:tr>
      <w:tr w:rsidR="006C6706" w:rsidRPr="0001315B" w14:paraId="05BFFFE9" w14:textId="77777777" w:rsidTr="00FB6F9B">
        <w:trPr>
          <w:trHeight w:val="164"/>
          <w:jc w:val="center"/>
        </w:trPr>
        <w:tc>
          <w:tcPr>
            <w:tcW w:w="1135" w:type="dxa"/>
            <w:tcBorders>
              <w:top w:val="nil"/>
              <w:left w:val="single" w:sz="8" w:space="0" w:color="000000"/>
              <w:bottom w:val="single" w:sz="8" w:space="0" w:color="000000"/>
              <w:right w:val="single" w:sz="8" w:space="0" w:color="000000"/>
            </w:tcBorders>
            <w:vAlign w:val="center"/>
            <w:hideMark/>
          </w:tcPr>
          <w:p w14:paraId="724AF967" w14:textId="77777777" w:rsidR="004E7BB3" w:rsidRPr="0001315B" w:rsidRDefault="004E7BB3" w:rsidP="00DB4807">
            <w:pPr>
              <w:spacing w:after="0" w:line="240" w:lineRule="auto"/>
              <w:jc w:val="center"/>
              <w:rPr>
                <w:rFonts w:ascii="Arial" w:eastAsia="Times New Roman" w:hAnsi="Arial" w:cs="Arial"/>
                <w:i/>
                <w:iCs/>
                <w:sz w:val="18"/>
                <w:szCs w:val="18"/>
              </w:rPr>
            </w:pPr>
            <w:r w:rsidRPr="0001315B">
              <w:rPr>
                <w:rFonts w:ascii="Arial" w:eastAsia="Times New Roman" w:hAnsi="Arial" w:cs="Arial"/>
                <w:i/>
                <w:iCs/>
                <w:sz w:val="18"/>
                <w:szCs w:val="18"/>
              </w:rPr>
              <w:t>1-6/ 2025.</w:t>
            </w:r>
          </w:p>
        </w:tc>
        <w:tc>
          <w:tcPr>
            <w:tcW w:w="1134" w:type="dxa"/>
            <w:tcBorders>
              <w:top w:val="nil"/>
              <w:left w:val="nil"/>
              <w:bottom w:val="single" w:sz="8" w:space="0" w:color="000000"/>
              <w:right w:val="single" w:sz="8" w:space="0" w:color="000000"/>
            </w:tcBorders>
            <w:vAlign w:val="center"/>
            <w:hideMark/>
          </w:tcPr>
          <w:p w14:paraId="414ED09D" w14:textId="77777777" w:rsidR="004E7BB3" w:rsidRPr="0001315B" w:rsidRDefault="004E7BB3" w:rsidP="00DB4807">
            <w:pPr>
              <w:spacing w:after="0" w:line="240" w:lineRule="auto"/>
              <w:jc w:val="right"/>
              <w:rPr>
                <w:rFonts w:ascii="Arial" w:eastAsia="Times New Roman" w:hAnsi="Arial" w:cs="Arial"/>
                <w:i/>
                <w:iCs/>
                <w:sz w:val="18"/>
                <w:szCs w:val="18"/>
              </w:rPr>
            </w:pPr>
            <w:r w:rsidRPr="0001315B">
              <w:rPr>
                <w:rFonts w:ascii="Arial" w:eastAsia="Times New Roman" w:hAnsi="Arial" w:cs="Arial"/>
                <w:i/>
                <w:iCs/>
                <w:sz w:val="18"/>
                <w:szCs w:val="18"/>
              </w:rPr>
              <w:t>15.601,21</w:t>
            </w:r>
          </w:p>
        </w:tc>
        <w:tc>
          <w:tcPr>
            <w:tcW w:w="11911" w:type="dxa"/>
            <w:tcBorders>
              <w:top w:val="nil"/>
              <w:left w:val="nil"/>
              <w:bottom w:val="single" w:sz="8" w:space="0" w:color="000000"/>
              <w:right w:val="single" w:sz="8" w:space="0" w:color="000000"/>
            </w:tcBorders>
            <w:vAlign w:val="center"/>
            <w:hideMark/>
          </w:tcPr>
          <w:p w14:paraId="07A5FBF8" w14:textId="77777777" w:rsidR="004E7BB3" w:rsidRPr="0001315B" w:rsidRDefault="004E7BB3" w:rsidP="00DB4807">
            <w:pPr>
              <w:spacing w:after="0" w:line="240" w:lineRule="auto"/>
              <w:jc w:val="both"/>
              <w:rPr>
                <w:rFonts w:ascii="Arial" w:eastAsia="Times New Roman" w:hAnsi="Arial" w:cs="Arial"/>
                <w:sz w:val="18"/>
                <w:szCs w:val="18"/>
              </w:rPr>
            </w:pPr>
            <w:r w:rsidRPr="0001315B">
              <w:rPr>
                <w:rFonts w:ascii="Arial" w:eastAsia="Times New Roman" w:hAnsi="Arial" w:cs="Arial"/>
                <w:sz w:val="18"/>
                <w:szCs w:val="18"/>
              </w:rPr>
              <w:t xml:space="preserve">Ostvareni prihodi prvog polugodišta 2025. iznose 15.61,21 €. </w:t>
            </w:r>
          </w:p>
        </w:tc>
      </w:tr>
    </w:tbl>
    <w:p w14:paraId="31C94491" w14:textId="77777777" w:rsidR="004E7BB3" w:rsidRPr="004E7BB3" w:rsidRDefault="004E7BB3" w:rsidP="004E7BB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4"/>
          <w:szCs w:val="14"/>
          <w:lang w:eastAsia="en-US"/>
        </w:rPr>
      </w:pPr>
    </w:p>
    <w:bookmarkEnd w:id="111"/>
    <w:p w14:paraId="2801C57E" w14:textId="22BEB53D" w:rsidR="003A6E29" w:rsidRPr="003A2F86" w:rsidRDefault="00071EE4" w:rsidP="003A6E29">
      <w:pPr>
        <w:spacing w:after="0" w:line="240" w:lineRule="auto"/>
        <w:jc w:val="both"/>
        <w:rPr>
          <w:rFonts w:ascii="Arial" w:eastAsia="Calibri" w:hAnsi="Arial" w:cs="Arial"/>
          <w:lang w:eastAsia="en-US"/>
        </w:rPr>
      </w:pPr>
      <w:r w:rsidRPr="003A2F86">
        <w:rPr>
          <w:rFonts w:ascii="Arial" w:eastAsia="Times New Roman" w:hAnsi="Arial" w:cs="Arial"/>
          <w:i/>
          <w:iCs/>
          <w:sz w:val="20"/>
          <w:szCs w:val="20"/>
        </w:rPr>
        <w:t>*Usporedba:</w:t>
      </w:r>
      <w:r w:rsidRPr="003A2F86">
        <w:rPr>
          <w:rFonts w:ascii="Arial" w:eastAsia="Times New Roman" w:hAnsi="Arial" w:cs="Arial"/>
        </w:rPr>
        <w:t xml:space="preserve"> </w:t>
      </w:r>
    </w:p>
    <w:tbl>
      <w:tblPr>
        <w:tblW w:w="14307" w:type="dxa"/>
        <w:jc w:val="center"/>
        <w:tblLook w:val="04A0" w:firstRow="1" w:lastRow="0" w:firstColumn="1" w:lastColumn="0" w:noHBand="0" w:noVBand="1"/>
      </w:tblPr>
      <w:tblGrid>
        <w:gridCol w:w="993"/>
        <w:gridCol w:w="1124"/>
        <w:gridCol w:w="12190"/>
      </w:tblGrid>
      <w:tr w:rsidR="003A6E29" w:rsidRPr="003A2F86" w14:paraId="4EA1FC50" w14:textId="77777777" w:rsidTr="00AF1BBB">
        <w:trPr>
          <w:trHeight w:val="147"/>
          <w:jc w:val="center"/>
        </w:trPr>
        <w:tc>
          <w:tcPr>
            <w:tcW w:w="14307" w:type="dxa"/>
            <w:gridSpan w:val="3"/>
            <w:tcBorders>
              <w:top w:val="single" w:sz="8" w:space="0" w:color="auto"/>
              <w:left w:val="single" w:sz="8" w:space="0" w:color="auto"/>
              <w:bottom w:val="single" w:sz="8" w:space="0" w:color="000000"/>
              <w:right w:val="single" w:sz="4" w:space="0" w:color="auto"/>
            </w:tcBorders>
            <w:vAlign w:val="center"/>
            <w:hideMark/>
          </w:tcPr>
          <w:p w14:paraId="411E9E0C" w14:textId="77777777" w:rsidR="003A6E29" w:rsidRPr="003A2F86" w:rsidRDefault="003A6E29" w:rsidP="003A6E29">
            <w:pPr>
              <w:spacing w:after="0" w:line="240" w:lineRule="auto"/>
              <w:jc w:val="center"/>
              <w:rPr>
                <w:rFonts w:ascii="Arial" w:eastAsia="Times New Roman" w:hAnsi="Arial" w:cs="Arial"/>
                <w:b/>
                <w:bCs/>
                <w:i/>
                <w:iCs/>
                <w:color w:val="000000"/>
                <w:sz w:val="18"/>
                <w:szCs w:val="18"/>
              </w:rPr>
            </w:pPr>
            <w:r w:rsidRPr="003A2F86">
              <w:rPr>
                <w:rFonts w:ascii="Arial" w:eastAsia="Times New Roman" w:hAnsi="Arial" w:cs="Arial"/>
                <w:b/>
                <w:bCs/>
                <w:i/>
                <w:iCs/>
                <w:color w:val="000000"/>
                <w:sz w:val="18"/>
                <w:szCs w:val="18"/>
              </w:rPr>
              <w:t>Prihod od turističke pristojbe (</w:t>
            </w:r>
            <w:r w:rsidRPr="003A2F86">
              <w:rPr>
                <w:rFonts w:ascii="Arial" w:eastAsia="Times New Roman" w:hAnsi="Arial" w:cs="Arial"/>
                <w:b/>
                <w:bCs/>
                <w:i/>
                <w:iCs/>
                <w:color w:val="FF0000"/>
                <w:sz w:val="18"/>
                <w:szCs w:val="18"/>
              </w:rPr>
              <w:t>6514</w:t>
            </w:r>
            <w:r w:rsidRPr="003A2F86">
              <w:rPr>
                <w:rFonts w:ascii="Arial" w:eastAsia="Times New Roman" w:hAnsi="Arial" w:cs="Arial"/>
                <w:b/>
                <w:bCs/>
                <w:i/>
                <w:iCs/>
                <w:color w:val="000000"/>
                <w:sz w:val="18"/>
                <w:szCs w:val="18"/>
              </w:rPr>
              <w:t>)</w:t>
            </w:r>
          </w:p>
        </w:tc>
      </w:tr>
      <w:tr w:rsidR="003A6E29" w:rsidRPr="003A2F86" w14:paraId="70366F1B" w14:textId="77777777" w:rsidTr="00AF1BBB">
        <w:trPr>
          <w:trHeight w:val="199"/>
          <w:jc w:val="center"/>
        </w:trPr>
        <w:tc>
          <w:tcPr>
            <w:tcW w:w="993" w:type="dxa"/>
            <w:tcBorders>
              <w:top w:val="nil"/>
              <w:left w:val="single" w:sz="8" w:space="0" w:color="auto"/>
              <w:bottom w:val="single" w:sz="8" w:space="0" w:color="auto"/>
              <w:right w:val="single" w:sz="8" w:space="0" w:color="000000"/>
            </w:tcBorders>
            <w:vAlign w:val="center"/>
            <w:hideMark/>
          </w:tcPr>
          <w:p w14:paraId="37596D9E" w14:textId="77777777" w:rsidR="003A6E29" w:rsidRPr="003A2F86" w:rsidRDefault="003A6E29" w:rsidP="003A6E29">
            <w:pPr>
              <w:spacing w:after="0" w:line="240" w:lineRule="auto"/>
              <w:jc w:val="center"/>
              <w:rPr>
                <w:rFonts w:ascii="Arial" w:eastAsia="Times New Roman" w:hAnsi="Arial" w:cs="Arial"/>
                <w:b/>
                <w:bCs/>
                <w:i/>
                <w:iCs/>
                <w:color w:val="000000"/>
                <w:sz w:val="18"/>
                <w:szCs w:val="18"/>
              </w:rPr>
            </w:pPr>
            <w:r w:rsidRPr="003A2F86">
              <w:rPr>
                <w:rFonts w:ascii="Arial" w:eastAsia="Times New Roman" w:hAnsi="Arial" w:cs="Arial"/>
                <w:b/>
                <w:bCs/>
                <w:i/>
                <w:iCs/>
                <w:color w:val="000000"/>
                <w:sz w:val="18"/>
                <w:szCs w:val="18"/>
              </w:rPr>
              <w:t>Godina</w:t>
            </w:r>
          </w:p>
        </w:tc>
        <w:tc>
          <w:tcPr>
            <w:tcW w:w="1124" w:type="dxa"/>
            <w:tcBorders>
              <w:top w:val="nil"/>
              <w:left w:val="nil"/>
              <w:bottom w:val="single" w:sz="8" w:space="0" w:color="auto"/>
              <w:right w:val="single" w:sz="8" w:space="0" w:color="000000"/>
            </w:tcBorders>
            <w:vAlign w:val="center"/>
            <w:hideMark/>
          </w:tcPr>
          <w:p w14:paraId="7CCF1718" w14:textId="1216E461" w:rsidR="003A6E29" w:rsidRPr="003A2F86" w:rsidRDefault="003A6E29" w:rsidP="003A6E29">
            <w:pPr>
              <w:spacing w:after="0" w:line="240" w:lineRule="auto"/>
              <w:jc w:val="center"/>
              <w:rPr>
                <w:rFonts w:ascii="Arial" w:eastAsia="Times New Roman" w:hAnsi="Arial" w:cs="Arial"/>
                <w:b/>
                <w:bCs/>
                <w:i/>
                <w:iCs/>
                <w:color w:val="000000"/>
                <w:sz w:val="18"/>
                <w:szCs w:val="18"/>
              </w:rPr>
            </w:pPr>
            <w:r w:rsidRPr="003A2F86">
              <w:rPr>
                <w:rFonts w:ascii="Arial" w:eastAsia="Times New Roman" w:hAnsi="Arial" w:cs="Arial"/>
                <w:b/>
                <w:bCs/>
                <w:i/>
                <w:iCs/>
                <w:color w:val="000000"/>
                <w:sz w:val="18"/>
                <w:szCs w:val="18"/>
              </w:rPr>
              <w:t xml:space="preserve">Iznos </w:t>
            </w:r>
            <w:r w:rsidRPr="003A2F86">
              <w:rPr>
                <w:rFonts w:ascii="Arial" w:eastAsia="Times New Roman" w:hAnsi="Arial" w:cs="Arial"/>
                <w:b/>
                <w:bCs/>
                <w:i/>
                <w:iCs/>
                <w:color w:val="FF0000"/>
                <w:sz w:val="18"/>
                <w:szCs w:val="18"/>
              </w:rPr>
              <w:t>(</w:t>
            </w:r>
            <w:r w:rsidR="00BF4737" w:rsidRPr="003A2F86">
              <w:rPr>
                <w:rFonts w:ascii="Arial" w:eastAsia="Times New Roman" w:hAnsi="Arial" w:cs="Arial"/>
                <w:b/>
                <w:bCs/>
                <w:i/>
                <w:iCs/>
                <w:color w:val="FF0000"/>
                <w:sz w:val="18"/>
                <w:szCs w:val="18"/>
              </w:rPr>
              <w:t>€</w:t>
            </w:r>
            <w:r w:rsidRPr="003A2F86">
              <w:rPr>
                <w:rFonts w:ascii="Arial" w:eastAsia="Times New Roman" w:hAnsi="Arial" w:cs="Arial"/>
                <w:b/>
                <w:bCs/>
                <w:i/>
                <w:iCs/>
                <w:color w:val="FF0000"/>
                <w:sz w:val="18"/>
                <w:szCs w:val="18"/>
              </w:rPr>
              <w:t>)</w:t>
            </w:r>
          </w:p>
        </w:tc>
        <w:tc>
          <w:tcPr>
            <w:tcW w:w="12190" w:type="dxa"/>
            <w:tcBorders>
              <w:top w:val="nil"/>
              <w:left w:val="nil"/>
              <w:bottom w:val="single" w:sz="8" w:space="0" w:color="auto"/>
              <w:right w:val="single" w:sz="8" w:space="0" w:color="auto"/>
            </w:tcBorders>
            <w:vAlign w:val="center"/>
            <w:hideMark/>
          </w:tcPr>
          <w:p w14:paraId="2FB5E59C" w14:textId="77777777" w:rsidR="003A6E29" w:rsidRPr="003A2F86" w:rsidRDefault="003A6E29" w:rsidP="003A6E29">
            <w:pPr>
              <w:spacing w:after="0" w:line="240" w:lineRule="auto"/>
              <w:jc w:val="both"/>
              <w:rPr>
                <w:rFonts w:ascii="Arial" w:eastAsia="Times New Roman" w:hAnsi="Arial" w:cs="Arial"/>
                <w:b/>
                <w:bCs/>
                <w:i/>
                <w:iCs/>
                <w:color w:val="000000"/>
                <w:sz w:val="18"/>
                <w:szCs w:val="18"/>
              </w:rPr>
            </w:pPr>
            <w:r w:rsidRPr="003A2F86">
              <w:rPr>
                <w:rFonts w:ascii="Arial" w:eastAsia="Times New Roman" w:hAnsi="Arial" w:cs="Arial"/>
                <w:b/>
                <w:bCs/>
                <w:i/>
                <w:iCs/>
                <w:color w:val="000000"/>
                <w:sz w:val="18"/>
                <w:szCs w:val="18"/>
              </w:rPr>
              <w:t>Obrazloženje</w:t>
            </w:r>
          </w:p>
        </w:tc>
      </w:tr>
      <w:tr w:rsidR="00BF4737" w:rsidRPr="003A2F86" w14:paraId="369BDF03" w14:textId="77777777" w:rsidTr="00AF1BBB">
        <w:trPr>
          <w:trHeight w:val="204"/>
          <w:jc w:val="center"/>
        </w:trPr>
        <w:tc>
          <w:tcPr>
            <w:tcW w:w="993" w:type="dxa"/>
            <w:tcBorders>
              <w:top w:val="nil"/>
              <w:left w:val="single" w:sz="8" w:space="0" w:color="auto"/>
              <w:bottom w:val="single" w:sz="4" w:space="0" w:color="auto"/>
              <w:right w:val="single" w:sz="4" w:space="0" w:color="auto"/>
            </w:tcBorders>
            <w:vAlign w:val="center"/>
            <w:hideMark/>
          </w:tcPr>
          <w:p w14:paraId="73514C0D" w14:textId="2D4EFD43" w:rsidR="00BF4737" w:rsidRPr="003A2F86" w:rsidRDefault="00BF4737" w:rsidP="00BF4737">
            <w:pPr>
              <w:spacing w:after="0" w:line="240" w:lineRule="auto"/>
              <w:jc w:val="center"/>
              <w:rPr>
                <w:rFonts w:ascii="Arial" w:eastAsia="Times New Roman" w:hAnsi="Arial" w:cs="Arial"/>
                <w:i/>
                <w:iCs/>
                <w:color w:val="000000"/>
                <w:sz w:val="18"/>
                <w:szCs w:val="18"/>
              </w:rPr>
            </w:pPr>
            <w:r w:rsidRPr="003A2F86">
              <w:rPr>
                <w:rFonts w:ascii="Arial" w:hAnsi="Arial" w:cs="Arial"/>
                <w:sz w:val="18"/>
                <w:szCs w:val="18"/>
              </w:rPr>
              <w:t>2011.</w:t>
            </w:r>
          </w:p>
        </w:tc>
        <w:tc>
          <w:tcPr>
            <w:tcW w:w="1124" w:type="dxa"/>
            <w:tcBorders>
              <w:top w:val="nil"/>
              <w:left w:val="nil"/>
              <w:bottom w:val="single" w:sz="4" w:space="0" w:color="auto"/>
              <w:right w:val="single" w:sz="4" w:space="0" w:color="auto"/>
            </w:tcBorders>
            <w:vAlign w:val="center"/>
            <w:hideMark/>
          </w:tcPr>
          <w:p w14:paraId="10DF88A2" w14:textId="7A10C8AC" w:rsidR="00BF4737" w:rsidRPr="003A2F86" w:rsidRDefault="00BF4737" w:rsidP="00BF4737">
            <w:pPr>
              <w:spacing w:after="0" w:line="240" w:lineRule="auto"/>
              <w:jc w:val="right"/>
              <w:rPr>
                <w:rFonts w:ascii="Arial" w:eastAsia="Times New Roman" w:hAnsi="Arial" w:cs="Arial"/>
                <w:i/>
                <w:iCs/>
                <w:color w:val="000000"/>
                <w:sz w:val="18"/>
                <w:szCs w:val="18"/>
              </w:rPr>
            </w:pPr>
            <w:r w:rsidRPr="003A2F86">
              <w:rPr>
                <w:rFonts w:ascii="Arial" w:hAnsi="Arial" w:cs="Arial"/>
                <w:sz w:val="18"/>
                <w:szCs w:val="18"/>
              </w:rPr>
              <w:t>72.780,01</w:t>
            </w:r>
          </w:p>
        </w:tc>
        <w:tc>
          <w:tcPr>
            <w:tcW w:w="12190" w:type="dxa"/>
            <w:tcBorders>
              <w:top w:val="nil"/>
              <w:left w:val="nil"/>
              <w:bottom w:val="single" w:sz="4" w:space="0" w:color="auto"/>
              <w:right w:val="single" w:sz="8" w:space="0" w:color="auto"/>
            </w:tcBorders>
            <w:vAlign w:val="center"/>
            <w:hideMark/>
          </w:tcPr>
          <w:p w14:paraId="6A8976B5" w14:textId="70EF5E6D" w:rsidR="00BF4737" w:rsidRPr="003A2F86" w:rsidRDefault="00BF4737" w:rsidP="00BF4737">
            <w:pPr>
              <w:spacing w:after="0" w:line="240" w:lineRule="auto"/>
              <w:jc w:val="both"/>
              <w:rPr>
                <w:rFonts w:ascii="Arial" w:eastAsia="Times New Roman" w:hAnsi="Arial" w:cs="Arial"/>
                <w:color w:val="000000"/>
                <w:sz w:val="18"/>
                <w:szCs w:val="18"/>
              </w:rPr>
            </w:pPr>
          </w:p>
        </w:tc>
      </w:tr>
      <w:tr w:rsidR="00BF4737" w:rsidRPr="003A2F86" w14:paraId="7880C352" w14:textId="77777777" w:rsidTr="00AF1BBB">
        <w:trPr>
          <w:trHeight w:val="156"/>
          <w:jc w:val="center"/>
        </w:trPr>
        <w:tc>
          <w:tcPr>
            <w:tcW w:w="993" w:type="dxa"/>
            <w:tcBorders>
              <w:top w:val="nil"/>
              <w:left w:val="single" w:sz="8" w:space="0" w:color="auto"/>
              <w:bottom w:val="single" w:sz="4" w:space="0" w:color="auto"/>
              <w:right w:val="single" w:sz="4" w:space="0" w:color="auto"/>
            </w:tcBorders>
            <w:vAlign w:val="center"/>
            <w:hideMark/>
          </w:tcPr>
          <w:p w14:paraId="14C74717" w14:textId="5230629A" w:rsidR="00BF4737" w:rsidRPr="003A2F86" w:rsidRDefault="00BF4737" w:rsidP="00BF4737">
            <w:pPr>
              <w:spacing w:after="0" w:line="240" w:lineRule="auto"/>
              <w:jc w:val="center"/>
              <w:rPr>
                <w:rFonts w:ascii="Arial" w:eastAsia="Times New Roman" w:hAnsi="Arial" w:cs="Arial"/>
                <w:i/>
                <w:iCs/>
                <w:color w:val="000000"/>
                <w:sz w:val="18"/>
                <w:szCs w:val="18"/>
              </w:rPr>
            </w:pPr>
            <w:r w:rsidRPr="003A2F86">
              <w:rPr>
                <w:rFonts w:ascii="Arial" w:hAnsi="Arial" w:cs="Arial"/>
                <w:sz w:val="18"/>
                <w:szCs w:val="18"/>
              </w:rPr>
              <w:t>2012.</w:t>
            </w:r>
          </w:p>
        </w:tc>
        <w:tc>
          <w:tcPr>
            <w:tcW w:w="1124" w:type="dxa"/>
            <w:tcBorders>
              <w:top w:val="nil"/>
              <w:left w:val="nil"/>
              <w:bottom w:val="single" w:sz="4" w:space="0" w:color="auto"/>
              <w:right w:val="single" w:sz="4" w:space="0" w:color="auto"/>
            </w:tcBorders>
            <w:vAlign w:val="center"/>
            <w:hideMark/>
          </w:tcPr>
          <w:p w14:paraId="3BFEFE65" w14:textId="2DDEF79C" w:rsidR="00BF4737" w:rsidRPr="003A2F86" w:rsidRDefault="00BF4737" w:rsidP="00BF4737">
            <w:pPr>
              <w:spacing w:after="0" w:line="240" w:lineRule="auto"/>
              <w:jc w:val="right"/>
              <w:rPr>
                <w:rFonts w:ascii="Arial" w:eastAsia="Times New Roman" w:hAnsi="Arial" w:cs="Arial"/>
                <w:i/>
                <w:iCs/>
                <w:color w:val="000000"/>
                <w:sz w:val="18"/>
                <w:szCs w:val="18"/>
              </w:rPr>
            </w:pPr>
            <w:r w:rsidRPr="003A2F86">
              <w:rPr>
                <w:rFonts w:ascii="Arial" w:hAnsi="Arial" w:cs="Arial"/>
                <w:sz w:val="18"/>
                <w:szCs w:val="18"/>
              </w:rPr>
              <w:t>80.228,15</w:t>
            </w:r>
          </w:p>
        </w:tc>
        <w:tc>
          <w:tcPr>
            <w:tcW w:w="12190" w:type="dxa"/>
            <w:tcBorders>
              <w:top w:val="nil"/>
              <w:left w:val="nil"/>
              <w:bottom w:val="single" w:sz="4" w:space="0" w:color="auto"/>
              <w:right w:val="single" w:sz="8" w:space="0" w:color="auto"/>
            </w:tcBorders>
            <w:vAlign w:val="center"/>
            <w:hideMark/>
          </w:tcPr>
          <w:p w14:paraId="407235A5" w14:textId="416A5319" w:rsidR="00BF4737" w:rsidRPr="003A2F86" w:rsidRDefault="00BF4737" w:rsidP="00BF4737">
            <w:pPr>
              <w:spacing w:after="0" w:line="240" w:lineRule="auto"/>
              <w:jc w:val="both"/>
              <w:rPr>
                <w:rFonts w:ascii="Arial" w:eastAsia="Times New Roman" w:hAnsi="Arial" w:cs="Arial"/>
                <w:color w:val="000000"/>
                <w:sz w:val="16"/>
                <w:szCs w:val="16"/>
              </w:rPr>
            </w:pPr>
            <w:r w:rsidRPr="003A2F86">
              <w:rPr>
                <w:rFonts w:ascii="Arial" w:hAnsi="Arial" w:cs="Arial"/>
                <w:sz w:val="16"/>
                <w:szCs w:val="16"/>
              </w:rPr>
              <w:t xml:space="preserve">što je za 7.448,14 € ili 10,2% više u odnosu na izvještajno razdoblje prethodne godine </w:t>
            </w:r>
          </w:p>
        </w:tc>
      </w:tr>
      <w:tr w:rsidR="00BF4737" w:rsidRPr="003A2F86" w14:paraId="7A03C2C3" w14:textId="77777777" w:rsidTr="00AF1BBB">
        <w:trPr>
          <w:trHeight w:val="215"/>
          <w:jc w:val="center"/>
        </w:trPr>
        <w:tc>
          <w:tcPr>
            <w:tcW w:w="993" w:type="dxa"/>
            <w:tcBorders>
              <w:top w:val="nil"/>
              <w:left w:val="single" w:sz="8" w:space="0" w:color="auto"/>
              <w:bottom w:val="single" w:sz="4" w:space="0" w:color="auto"/>
              <w:right w:val="single" w:sz="4" w:space="0" w:color="auto"/>
            </w:tcBorders>
            <w:vAlign w:val="center"/>
            <w:hideMark/>
          </w:tcPr>
          <w:p w14:paraId="7ED20C75" w14:textId="2FA930FC" w:rsidR="00BF4737" w:rsidRPr="003A2F86" w:rsidRDefault="00BF4737" w:rsidP="00BF4737">
            <w:pPr>
              <w:spacing w:after="0" w:line="240" w:lineRule="auto"/>
              <w:jc w:val="center"/>
              <w:rPr>
                <w:rFonts w:ascii="Arial" w:eastAsia="Times New Roman" w:hAnsi="Arial" w:cs="Arial"/>
                <w:i/>
                <w:iCs/>
                <w:color w:val="000000"/>
                <w:sz w:val="18"/>
                <w:szCs w:val="18"/>
              </w:rPr>
            </w:pPr>
            <w:r w:rsidRPr="003A2F86">
              <w:rPr>
                <w:rFonts w:ascii="Arial" w:hAnsi="Arial" w:cs="Arial"/>
                <w:sz w:val="18"/>
                <w:szCs w:val="18"/>
              </w:rPr>
              <w:t>2013.</w:t>
            </w:r>
          </w:p>
        </w:tc>
        <w:tc>
          <w:tcPr>
            <w:tcW w:w="1124" w:type="dxa"/>
            <w:tcBorders>
              <w:top w:val="nil"/>
              <w:left w:val="nil"/>
              <w:bottom w:val="single" w:sz="4" w:space="0" w:color="auto"/>
              <w:right w:val="single" w:sz="4" w:space="0" w:color="auto"/>
            </w:tcBorders>
            <w:vAlign w:val="center"/>
            <w:hideMark/>
          </w:tcPr>
          <w:p w14:paraId="5B34E574" w14:textId="22F6CD71" w:rsidR="00BF4737" w:rsidRPr="003A2F86" w:rsidRDefault="00BF4737" w:rsidP="00BF4737">
            <w:pPr>
              <w:spacing w:after="0" w:line="240" w:lineRule="auto"/>
              <w:jc w:val="right"/>
              <w:rPr>
                <w:rFonts w:ascii="Arial" w:eastAsia="Times New Roman" w:hAnsi="Arial" w:cs="Arial"/>
                <w:i/>
                <w:iCs/>
                <w:color w:val="000000"/>
                <w:sz w:val="18"/>
                <w:szCs w:val="18"/>
              </w:rPr>
            </w:pPr>
            <w:r w:rsidRPr="003A2F86">
              <w:rPr>
                <w:rFonts w:ascii="Arial" w:hAnsi="Arial" w:cs="Arial"/>
                <w:sz w:val="18"/>
                <w:szCs w:val="18"/>
              </w:rPr>
              <w:t>82.406,37</w:t>
            </w:r>
          </w:p>
        </w:tc>
        <w:tc>
          <w:tcPr>
            <w:tcW w:w="12190" w:type="dxa"/>
            <w:tcBorders>
              <w:top w:val="nil"/>
              <w:left w:val="nil"/>
              <w:bottom w:val="single" w:sz="4" w:space="0" w:color="auto"/>
              <w:right w:val="single" w:sz="8" w:space="0" w:color="auto"/>
            </w:tcBorders>
            <w:vAlign w:val="center"/>
            <w:hideMark/>
          </w:tcPr>
          <w:p w14:paraId="17538436" w14:textId="7AA5D275" w:rsidR="00BF4737" w:rsidRPr="003A2F86" w:rsidRDefault="00BF4737" w:rsidP="00BF4737">
            <w:pPr>
              <w:spacing w:after="0" w:line="240" w:lineRule="auto"/>
              <w:jc w:val="both"/>
              <w:rPr>
                <w:rFonts w:ascii="Arial" w:eastAsia="Times New Roman" w:hAnsi="Arial" w:cs="Arial"/>
                <w:color w:val="000000"/>
                <w:sz w:val="16"/>
                <w:szCs w:val="16"/>
              </w:rPr>
            </w:pPr>
            <w:r w:rsidRPr="003A2F86">
              <w:rPr>
                <w:rFonts w:ascii="Arial" w:hAnsi="Arial" w:cs="Arial"/>
                <w:sz w:val="16"/>
                <w:szCs w:val="16"/>
              </w:rPr>
              <w:t xml:space="preserve">što je za 2.178,22 € ili 2,7% više u odnosu na izvještajno razdoblje prethodne godine </w:t>
            </w:r>
          </w:p>
        </w:tc>
      </w:tr>
      <w:tr w:rsidR="00BF4737" w:rsidRPr="003A2F86" w14:paraId="21587C23" w14:textId="77777777" w:rsidTr="00AF1BBB">
        <w:trPr>
          <w:trHeight w:val="276"/>
          <w:jc w:val="center"/>
        </w:trPr>
        <w:tc>
          <w:tcPr>
            <w:tcW w:w="993" w:type="dxa"/>
            <w:tcBorders>
              <w:top w:val="nil"/>
              <w:left w:val="single" w:sz="8" w:space="0" w:color="auto"/>
              <w:bottom w:val="single" w:sz="4" w:space="0" w:color="auto"/>
              <w:right w:val="single" w:sz="4" w:space="0" w:color="auto"/>
            </w:tcBorders>
            <w:vAlign w:val="center"/>
            <w:hideMark/>
          </w:tcPr>
          <w:p w14:paraId="7D53A70D" w14:textId="62130DDD" w:rsidR="00BF4737" w:rsidRPr="003A2F86" w:rsidRDefault="00BF4737" w:rsidP="00BF4737">
            <w:pPr>
              <w:spacing w:after="0" w:line="240" w:lineRule="auto"/>
              <w:jc w:val="center"/>
              <w:rPr>
                <w:rFonts w:ascii="Arial" w:eastAsia="Times New Roman" w:hAnsi="Arial" w:cs="Arial"/>
                <w:i/>
                <w:iCs/>
                <w:color w:val="000000"/>
                <w:sz w:val="18"/>
                <w:szCs w:val="18"/>
              </w:rPr>
            </w:pPr>
            <w:r w:rsidRPr="003A2F86">
              <w:rPr>
                <w:rFonts w:ascii="Arial" w:hAnsi="Arial" w:cs="Arial"/>
                <w:sz w:val="18"/>
                <w:szCs w:val="18"/>
              </w:rPr>
              <w:t>2014.</w:t>
            </w:r>
          </w:p>
        </w:tc>
        <w:tc>
          <w:tcPr>
            <w:tcW w:w="1124" w:type="dxa"/>
            <w:tcBorders>
              <w:top w:val="nil"/>
              <w:left w:val="nil"/>
              <w:bottom w:val="single" w:sz="4" w:space="0" w:color="auto"/>
              <w:right w:val="single" w:sz="4" w:space="0" w:color="auto"/>
            </w:tcBorders>
            <w:vAlign w:val="center"/>
            <w:hideMark/>
          </w:tcPr>
          <w:p w14:paraId="0D3C9370" w14:textId="1492AE3C" w:rsidR="00BF4737" w:rsidRPr="003A2F86" w:rsidRDefault="00BF4737" w:rsidP="00BF4737">
            <w:pPr>
              <w:spacing w:after="0" w:line="240" w:lineRule="auto"/>
              <w:jc w:val="right"/>
              <w:rPr>
                <w:rFonts w:ascii="Arial" w:eastAsia="Times New Roman" w:hAnsi="Arial" w:cs="Arial"/>
                <w:i/>
                <w:iCs/>
                <w:color w:val="000000"/>
                <w:sz w:val="18"/>
                <w:szCs w:val="18"/>
              </w:rPr>
            </w:pPr>
            <w:r w:rsidRPr="003A2F86">
              <w:rPr>
                <w:rFonts w:ascii="Arial" w:hAnsi="Arial" w:cs="Arial"/>
                <w:sz w:val="18"/>
                <w:szCs w:val="18"/>
              </w:rPr>
              <w:t>83.956,36</w:t>
            </w:r>
          </w:p>
        </w:tc>
        <w:tc>
          <w:tcPr>
            <w:tcW w:w="12190" w:type="dxa"/>
            <w:tcBorders>
              <w:top w:val="nil"/>
              <w:left w:val="nil"/>
              <w:bottom w:val="single" w:sz="4" w:space="0" w:color="auto"/>
              <w:right w:val="single" w:sz="8" w:space="0" w:color="auto"/>
            </w:tcBorders>
            <w:vAlign w:val="center"/>
            <w:hideMark/>
          </w:tcPr>
          <w:p w14:paraId="67F0F0F3" w14:textId="71C4AD39" w:rsidR="00BF4737" w:rsidRPr="003A2F86" w:rsidRDefault="00BF4737" w:rsidP="00BF4737">
            <w:pPr>
              <w:spacing w:after="0" w:line="240" w:lineRule="auto"/>
              <w:jc w:val="both"/>
              <w:rPr>
                <w:rFonts w:ascii="Arial" w:eastAsia="Times New Roman" w:hAnsi="Arial" w:cs="Arial"/>
                <w:color w:val="000000"/>
                <w:sz w:val="16"/>
                <w:szCs w:val="16"/>
              </w:rPr>
            </w:pPr>
            <w:r w:rsidRPr="003A2F86">
              <w:rPr>
                <w:rFonts w:ascii="Arial" w:hAnsi="Arial" w:cs="Arial"/>
                <w:sz w:val="16"/>
                <w:szCs w:val="16"/>
              </w:rPr>
              <w:t xml:space="preserve">što je za 1.549,99 € ili 1,9% više u odnosu na izvještajno razdoblje prethodne godine </w:t>
            </w:r>
          </w:p>
        </w:tc>
      </w:tr>
      <w:tr w:rsidR="00BF4737" w:rsidRPr="003A2F86" w14:paraId="183D31AD" w14:textId="77777777" w:rsidTr="00AF1BBB">
        <w:trPr>
          <w:trHeight w:val="300"/>
          <w:jc w:val="center"/>
        </w:trPr>
        <w:tc>
          <w:tcPr>
            <w:tcW w:w="993" w:type="dxa"/>
            <w:tcBorders>
              <w:top w:val="nil"/>
              <w:left w:val="single" w:sz="8" w:space="0" w:color="auto"/>
              <w:bottom w:val="single" w:sz="4" w:space="0" w:color="auto"/>
              <w:right w:val="single" w:sz="4" w:space="0" w:color="auto"/>
            </w:tcBorders>
            <w:vAlign w:val="center"/>
            <w:hideMark/>
          </w:tcPr>
          <w:p w14:paraId="5A9F06BB" w14:textId="3CFD2654" w:rsidR="00BF4737" w:rsidRPr="003A2F86" w:rsidRDefault="00BF4737" w:rsidP="00BF4737">
            <w:pPr>
              <w:spacing w:after="0" w:line="240" w:lineRule="auto"/>
              <w:jc w:val="center"/>
              <w:rPr>
                <w:rFonts w:ascii="Arial" w:eastAsia="Times New Roman" w:hAnsi="Arial" w:cs="Arial"/>
                <w:i/>
                <w:iCs/>
                <w:color w:val="000000"/>
                <w:sz w:val="18"/>
                <w:szCs w:val="18"/>
              </w:rPr>
            </w:pPr>
            <w:r w:rsidRPr="003A2F86">
              <w:rPr>
                <w:rFonts w:ascii="Arial" w:hAnsi="Arial" w:cs="Arial"/>
                <w:sz w:val="18"/>
                <w:szCs w:val="18"/>
              </w:rPr>
              <w:t>2015.</w:t>
            </w:r>
          </w:p>
        </w:tc>
        <w:tc>
          <w:tcPr>
            <w:tcW w:w="1124" w:type="dxa"/>
            <w:tcBorders>
              <w:top w:val="nil"/>
              <w:left w:val="nil"/>
              <w:bottom w:val="single" w:sz="4" w:space="0" w:color="auto"/>
              <w:right w:val="single" w:sz="4" w:space="0" w:color="auto"/>
            </w:tcBorders>
            <w:vAlign w:val="center"/>
            <w:hideMark/>
          </w:tcPr>
          <w:p w14:paraId="21D220BB" w14:textId="5A842958" w:rsidR="00BF4737" w:rsidRPr="003A2F86" w:rsidRDefault="00BF4737" w:rsidP="00BF4737">
            <w:pPr>
              <w:spacing w:after="0" w:line="240" w:lineRule="auto"/>
              <w:jc w:val="right"/>
              <w:rPr>
                <w:rFonts w:ascii="Arial" w:eastAsia="Times New Roman" w:hAnsi="Arial" w:cs="Arial"/>
                <w:i/>
                <w:iCs/>
                <w:color w:val="000000"/>
                <w:sz w:val="18"/>
                <w:szCs w:val="18"/>
              </w:rPr>
            </w:pPr>
            <w:r w:rsidRPr="003A2F86">
              <w:rPr>
                <w:rFonts w:ascii="Arial" w:hAnsi="Arial" w:cs="Arial"/>
                <w:sz w:val="18"/>
                <w:szCs w:val="18"/>
              </w:rPr>
              <w:t>85.035,88</w:t>
            </w:r>
          </w:p>
        </w:tc>
        <w:tc>
          <w:tcPr>
            <w:tcW w:w="12190" w:type="dxa"/>
            <w:tcBorders>
              <w:top w:val="nil"/>
              <w:left w:val="nil"/>
              <w:bottom w:val="single" w:sz="4" w:space="0" w:color="auto"/>
              <w:right w:val="single" w:sz="8" w:space="0" w:color="auto"/>
            </w:tcBorders>
            <w:vAlign w:val="center"/>
            <w:hideMark/>
          </w:tcPr>
          <w:p w14:paraId="153E75E3" w14:textId="0CBB2478" w:rsidR="00BF4737" w:rsidRPr="003A2F86" w:rsidRDefault="00BF4737" w:rsidP="00BF4737">
            <w:pPr>
              <w:spacing w:after="0" w:line="240" w:lineRule="auto"/>
              <w:jc w:val="both"/>
              <w:rPr>
                <w:rFonts w:ascii="Arial" w:eastAsia="Times New Roman" w:hAnsi="Arial" w:cs="Arial"/>
                <w:color w:val="000000"/>
                <w:sz w:val="16"/>
                <w:szCs w:val="16"/>
              </w:rPr>
            </w:pPr>
            <w:r w:rsidRPr="003A2F86">
              <w:rPr>
                <w:rFonts w:ascii="Arial" w:hAnsi="Arial" w:cs="Arial"/>
                <w:sz w:val="16"/>
                <w:szCs w:val="16"/>
              </w:rPr>
              <w:t xml:space="preserve">što je za 1.079,52 € ili 1,3% više u odnosu na izvještajno razdoblje prethodne godine </w:t>
            </w:r>
          </w:p>
        </w:tc>
      </w:tr>
      <w:tr w:rsidR="00BF4737" w:rsidRPr="003A2F86" w14:paraId="37E727BC" w14:textId="77777777" w:rsidTr="00AF1BBB">
        <w:trPr>
          <w:trHeight w:val="242"/>
          <w:jc w:val="center"/>
        </w:trPr>
        <w:tc>
          <w:tcPr>
            <w:tcW w:w="993" w:type="dxa"/>
            <w:tcBorders>
              <w:top w:val="nil"/>
              <w:left w:val="single" w:sz="8" w:space="0" w:color="auto"/>
              <w:bottom w:val="single" w:sz="4" w:space="0" w:color="auto"/>
              <w:right w:val="single" w:sz="4" w:space="0" w:color="auto"/>
            </w:tcBorders>
            <w:vAlign w:val="center"/>
            <w:hideMark/>
          </w:tcPr>
          <w:p w14:paraId="7EA773C4" w14:textId="07BAFAD4" w:rsidR="00BF4737" w:rsidRPr="003A2F86" w:rsidRDefault="00BF4737" w:rsidP="00BF4737">
            <w:pPr>
              <w:spacing w:after="0" w:line="240" w:lineRule="auto"/>
              <w:jc w:val="center"/>
              <w:rPr>
                <w:rFonts w:ascii="Arial" w:eastAsia="Times New Roman" w:hAnsi="Arial" w:cs="Arial"/>
                <w:i/>
                <w:iCs/>
                <w:color w:val="000000"/>
                <w:sz w:val="18"/>
                <w:szCs w:val="18"/>
              </w:rPr>
            </w:pPr>
            <w:r w:rsidRPr="003A2F86">
              <w:rPr>
                <w:rFonts w:ascii="Arial" w:hAnsi="Arial" w:cs="Arial"/>
                <w:sz w:val="18"/>
                <w:szCs w:val="18"/>
              </w:rPr>
              <w:t>2016.</w:t>
            </w:r>
          </w:p>
        </w:tc>
        <w:tc>
          <w:tcPr>
            <w:tcW w:w="1124" w:type="dxa"/>
            <w:tcBorders>
              <w:top w:val="nil"/>
              <w:left w:val="nil"/>
              <w:bottom w:val="single" w:sz="4" w:space="0" w:color="auto"/>
              <w:right w:val="single" w:sz="4" w:space="0" w:color="auto"/>
            </w:tcBorders>
            <w:vAlign w:val="center"/>
            <w:hideMark/>
          </w:tcPr>
          <w:p w14:paraId="79110FB3" w14:textId="348C228E" w:rsidR="00BF4737" w:rsidRPr="003A2F86" w:rsidRDefault="00BF4737" w:rsidP="00BF4737">
            <w:pPr>
              <w:spacing w:after="0" w:line="240" w:lineRule="auto"/>
              <w:jc w:val="right"/>
              <w:rPr>
                <w:rFonts w:ascii="Arial" w:eastAsia="Times New Roman" w:hAnsi="Arial" w:cs="Arial"/>
                <w:i/>
                <w:iCs/>
                <w:color w:val="000000"/>
                <w:sz w:val="18"/>
                <w:szCs w:val="18"/>
              </w:rPr>
            </w:pPr>
            <w:r w:rsidRPr="003A2F86">
              <w:rPr>
                <w:rFonts w:ascii="Arial" w:hAnsi="Arial" w:cs="Arial"/>
                <w:sz w:val="18"/>
                <w:szCs w:val="18"/>
              </w:rPr>
              <w:t>88.803,43</w:t>
            </w:r>
          </w:p>
        </w:tc>
        <w:tc>
          <w:tcPr>
            <w:tcW w:w="12190" w:type="dxa"/>
            <w:tcBorders>
              <w:top w:val="nil"/>
              <w:left w:val="nil"/>
              <w:bottom w:val="single" w:sz="4" w:space="0" w:color="auto"/>
              <w:right w:val="single" w:sz="8" w:space="0" w:color="auto"/>
            </w:tcBorders>
            <w:vAlign w:val="center"/>
            <w:hideMark/>
          </w:tcPr>
          <w:p w14:paraId="1E943CA4" w14:textId="1AF31892" w:rsidR="00BF4737" w:rsidRPr="003A2F86" w:rsidRDefault="00BF4737" w:rsidP="00BF4737">
            <w:pPr>
              <w:spacing w:after="0" w:line="240" w:lineRule="auto"/>
              <w:jc w:val="both"/>
              <w:rPr>
                <w:rFonts w:ascii="Arial" w:eastAsia="Times New Roman" w:hAnsi="Arial" w:cs="Arial"/>
                <w:color w:val="000000"/>
                <w:sz w:val="16"/>
                <w:szCs w:val="16"/>
              </w:rPr>
            </w:pPr>
            <w:r w:rsidRPr="003A2F86">
              <w:rPr>
                <w:rFonts w:ascii="Arial" w:hAnsi="Arial" w:cs="Arial"/>
                <w:sz w:val="16"/>
                <w:szCs w:val="16"/>
              </w:rPr>
              <w:t xml:space="preserve">što je za 3.767,55 € ili 4,4% više u odnosu na izvještajno razdoblje prethodne godine </w:t>
            </w:r>
          </w:p>
        </w:tc>
      </w:tr>
      <w:tr w:rsidR="00BF4737" w:rsidRPr="003A2F86" w14:paraId="1ACDB0F9" w14:textId="77777777" w:rsidTr="00AF1BBB">
        <w:trPr>
          <w:trHeight w:val="288"/>
          <w:jc w:val="center"/>
        </w:trPr>
        <w:tc>
          <w:tcPr>
            <w:tcW w:w="993" w:type="dxa"/>
            <w:tcBorders>
              <w:top w:val="nil"/>
              <w:left w:val="single" w:sz="8" w:space="0" w:color="auto"/>
              <w:bottom w:val="single" w:sz="4" w:space="0" w:color="auto"/>
              <w:right w:val="single" w:sz="4" w:space="0" w:color="auto"/>
            </w:tcBorders>
            <w:vAlign w:val="center"/>
            <w:hideMark/>
          </w:tcPr>
          <w:p w14:paraId="39EC2E11" w14:textId="2637C7D8" w:rsidR="00BF4737" w:rsidRPr="003A2F86" w:rsidRDefault="00BF4737" w:rsidP="00BF4737">
            <w:pPr>
              <w:spacing w:after="0" w:line="240" w:lineRule="auto"/>
              <w:jc w:val="center"/>
              <w:rPr>
                <w:rFonts w:ascii="Arial" w:eastAsia="Times New Roman" w:hAnsi="Arial" w:cs="Arial"/>
                <w:i/>
                <w:iCs/>
                <w:color w:val="000000"/>
                <w:sz w:val="18"/>
                <w:szCs w:val="18"/>
              </w:rPr>
            </w:pPr>
            <w:r w:rsidRPr="003A2F86">
              <w:rPr>
                <w:rFonts w:ascii="Arial" w:hAnsi="Arial" w:cs="Arial"/>
                <w:sz w:val="18"/>
                <w:szCs w:val="18"/>
              </w:rPr>
              <w:t>2017.</w:t>
            </w:r>
          </w:p>
        </w:tc>
        <w:tc>
          <w:tcPr>
            <w:tcW w:w="1124" w:type="dxa"/>
            <w:tcBorders>
              <w:top w:val="nil"/>
              <w:left w:val="nil"/>
              <w:bottom w:val="single" w:sz="4" w:space="0" w:color="auto"/>
              <w:right w:val="single" w:sz="4" w:space="0" w:color="auto"/>
            </w:tcBorders>
            <w:vAlign w:val="center"/>
            <w:hideMark/>
          </w:tcPr>
          <w:p w14:paraId="34B002B1" w14:textId="5952C1F5" w:rsidR="00BF4737" w:rsidRPr="003A2F86" w:rsidRDefault="00BF4737" w:rsidP="00BF4737">
            <w:pPr>
              <w:spacing w:after="0" w:line="240" w:lineRule="auto"/>
              <w:jc w:val="right"/>
              <w:rPr>
                <w:rFonts w:ascii="Arial" w:eastAsia="Times New Roman" w:hAnsi="Arial" w:cs="Arial"/>
                <w:i/>
                <w:iCs/>
                <w:color w:val="000000"/>
                <w:sz w:val="18"/>
                <w:szCs w:val="18"/>
              </w:rPr>
            </w:pPr>
            <w:r w:rsidRPr="003A2F86">
              <w:rPr>
                <w:rFonts w:ascii="Arial" w:hAnsi="Arial" w:cs="Arial"/>
                <w:sz w:val="18"/>
                <w:szCs w:val="18"/>
              </w:rPr>
              <w:t>96.475,18</w:t>
            </w:r>
          </w:p>
        </w:tc>
        <w:tc>
          <w:tcPr>
            <w:tcW w:w="12190" w:type="dxa"/>
            <w:tcBorders>
              <w:top w:val="nil"/>
              <w:left w:val="nil"/>
              <w:bottom w:val="single" w:sz="4" w:space="0" w:color="auto"/>
              <w:right w:val="single" w:sz="8" w:space="0" w:color="auto"/>
            </w:tcBorders>
            <w:vAlign w:val="center"/>
            <w:hideMark/>
          </w:tcPr>
          <w:p w14:paraId="5F6402D6" w14:textId="11CE4017" w:rsidR="00BF4737" w:rsidRPr="003A2F86" w:rsidRDefault="00BF4737" w:rsidP="00BF4737">
            <w:pPr>
              <w:spacing w:after="0" w:line="240" w:lineRule="auto"/>
              <w:jc w:val="both"/>
              <w:rPr>
                <w:rFonts w:ascii="Arial" w:eastAsia="Times New Roman" w:hAnsi="Arial" w:cs="Arial"/>
                <w:color w:val="000000"/>
                <w:sz w:val="16"/>
                <w:szCs w:val="16"/>
              </w:rPr>
            </w:pPr>
            <w:r w:rsidRPr="003A2F86">
              <w:rPr>
                <w:rFonts w:ascii="Arial" w:hAnsi="Arial" w:cs="Arial"/>
                <w:sz w:val="16"/>
                <w:szCs w:val="16"/>
              </w:rPr>
              <w:t xml:space="preserve">što je za 7.671,75 € ili 8,6% više u odnosu na izvještajno razdoblje prethodne godine </w:t>
            </w:r>
          </w:p>
        </w:tc>
      </w:tr>
      <w:tr w:rsidR="00BF4737" w:rsidRPr="003A2F86" w14:paraId="2477506F" w14:textId="77777777" w:rsidTr="00AF1BBB">
        <w:trPr>
          <w:trHeight w:val="264"/>
          <w:jc w:val="center"/>
        </w:trPr>
        <w:tc>
          <w:tcPr>
            <w:tcW w:w="993" w:type="dxa"/>
            <w:tcBorders>
              <w:top w:val="nil"/>
              <w:left w:val="single" w:sz="8" w:space="0" w:color="auto"/>
              <w:bottom w:val="single" w:sz="4" w:space="0" w:color="auto"/>
              <w:right w:val="single" w:sz="4" w:space="0" w:color="auto"/>
            </w:tcBorders>
            <w:vAlign w:val="center"/>
            <w:hideMark/>
          </w:tcPr>
          <w:p w14:paraId="600B0324" w14:textId="586A4F03" w:rsidR="00BF4737" w:rsidRPr="003A2F86" w:rsidRDefault="00BF4737" w:rsidP="00BF4737">
            <w:pPr>
              <w:spacing w:after="0" w:line="240" w:lineRule="auto"/>
              <w:jc w:val="center"/>
              <w:rPr>
                <w:rFonts w:ascii="Arial" w:eastAsia="Times New Roman" w:hAnsi="Arial" w:cs="Arial"/>
                <w:i/>
                <w:iCs/>
                <w:color w:val="000000"/>
                <w:sz w:val="18"/>
                <w:szCs w:val="18"/>
              </w:rPr>
            </w:pPr>
            <w:r w:rsidRPr="003A2F86">
              <w:rPr>
                <w:rFonts w:ascii="Arial" w:hAnsi="Arial" w:cs="Arial"/>
                <w:sz w:val="18"/>
                <w:szCs w:val="18"/>
              </w:rPr>
              <w:t>2018.</w:t>
            </w:r>
          </w:p>
        </w:tc>
        <w:tc>
          <w:tcPr>
            <w:tcW w:w="1124" w:type="dxa"/>
            <w:tcBorders>
              <w:top w:val="nil"/>
              <w:left w:val="nil"/>
              <w:bottom w:val="single" w:sz="4" w:space="0" w:color="auto"/>
              <w:right w:val="single" w:sz="4" w:space="0" w:color="auto"/>
            </w:tcBorders>
            <w:vAlign w:val="center"/>
            <w:hideMark/>
          </w:tcPr>
          <w:p w14:paraId="21846F3F" w14:textId="4248D16D" w:rsidR="00BF4737" w:rsidRPr="003A2F86" w:rsidRDefault="00BF4737" w:rsidP="00BF4737">
            <w:pPr>
              <w:spacing w:after="0" w:line="240" w:lineRule="auto"/>
              <w:jc w:val="right"/>
              <w:rPr>
                <w:rFonts w:ascii="Arial" w:eastAsia="Times New Roman" w:hAnsi="Arial" w:cs="Arial"/>
                <w:i/>
                <w:iCs/>
                <w:color w:val="000000"/>
                <w:sz w:val="18"/>
                <w:szCs w:val="18"/>
              </w:rPr>
            </w:pPr>
            <w:r w:rsidRPr="003A2F86">
              <w:rPr>
                <w:rFonts w:ascii="Arial" w:hAnsi="Arial" w:cs="Arial"/>
                <w:sz w:val="18"/>
                <w:szCs w:val="18"/>
              </w:rPr>
              <w:t>109.664,09</w:t>
            </w:r>
          </w:p>
        </w:tc>
        <w:tc>
          <w:tcPr>
            <w:tcW w:w="12190" w:type="dxa"/>
            <w:tcBorders>
              <w:top w:val="nil"/>
              <w:left w:val="nil"/>
              <w:bottom w:val="single" w:sz="4" w:space="0" w:color="auto"/>
              <w:right w:val="single" w:sz="8" w:space="0" w:color="auto"/>
            </w:tcBorders>
            <w:vAlign w:val="center"/>
            <w:hideMark/>
          </w:tcPr>
          <w:p w14:paraId="70AC7E54" w14:textId="03E06C36" w:rsidR="00BF4737" w:rsidRPr="003A2F86" w:rsidRDefault="00BF4737" w:rsidP="00BF4737">
            <w:pPr>
              <w:spacing w:after="0" w:line="240" w:lineRule="auto"/>
              <w:jc w:val="both"/>
              <w:rPr>
                <w:rFonts w:ascii="Arial" w:eastAsia="Times New Roman" w:hAnsi="Arial" w:cs="Arial"/>
                <w:color w:val="000000"/>
                <w:sz w:val="16"/>
                <w:szCs w:val="16"/>
              </w:rPr>
            </w:pPr>
            <w:r w:rsidRPr="003A2F86">
              <w:rPr>
                <w:rFonts w:ascii="Arial" w:hAnsi="Arial" w:cs="Arial"/>
                <w:sz w:val="16"/>
                <w:szCs w:val="16"/>
              </w:rPr>
              <w:t xml:space="preserve">što je za 13.188,91 € ili 13,7% više u odnosu na izvještajno razdoblje prethodne godine </w:t>
            </w:r>
          </w:p>
        </w:tc>
      </w:tr>
      <w:tr w:rsidR="00BF4737" w:rsidRPr="003A2F86" w14:paraId="6357609A" w14:textId="77777777" w:rsidTr="00AF1BBB">
        <w:trPr>
          <w:trHeight w:val="188"/>
          <w:jc w:val="center"/>
        </w:trPr>
        <w:tc>
          <w:tcPr>
            <w:tcW w:w="993" w:type="dxa"/>
            <w:tcBorders>
              <w:top w:val="nil"/>
              <w:left w:val="single" w:sz="8" w:space="0" w:color="auto"/>
              <w:bottom w:val="single" w:sz="4" w:space="0" w:color="auto"/>
              <w:right w:val="single" w:sz="4" w:space="0" w:color="auto"/>
            </w:tcBorders>
            <w:vAlign w:val="center"/>
            <w:hideMark/>
          </w:tcPr>
          <w:p w14:paraId="105565CE" w14:textId="54F08991" w:rsidR="00BF4737" w:rsidRPr="003A2F86" w:rsidRDefault="00BF4737" w:rsidP="00BF4737">
            <w:pPr>
              <w:spacing w:after="0" w:line="240" w:lineRule="auto"/>
              <w:jc w:val="center"/>
              <w:rPr>
                <w:rFonts w:ascii="Arial" w:eastAsia="Times New Roman" w:hAnsi="Arial" w:cs="Arial"/>
                <w:i/>
                <w:iCs/>
                <w:color w:val="000000"/>
                <w:sz w:val="18"/>
                <w:szCs w:val="18"/>
              </w:rPr>
            </w:pPr>
            <w:r w:rsidRPr="003A2F86">
              <w:rPr>
                <w:rFonts w:ascii="Arial" w:hAnsi="Arial" w:cs="Arial"/>
                <w:sz w:val="18"/>
                <w:szCs w:val="18"/>
              </w:rPr>
              <w:t>2019.</w:t>
            </w:r>
          </w:p>
        </w:tc>
        <w:tc>
          <w:tcPr>
            <w:tcW w:w="1124" w:type="dxa"/>
            <w:tcBorders>
              <w:top w:val="nil"/>
              <w:left w:val="nil"/>
              <w:bottom w:val="single" w:sz="4" w:space="0" w:color="auto"/>
              <w:right w:val="single" w:sz="4" w:space="0" w:color="auto"/>
            </w:tcBorders>
            <w:vAlign w:val="center"/>
            <w:hideMark/>
          </w:tcPr>
          <w:p w14:paraId="372F3B25" w14:textId="14333F71" w:rsidR="00BF4737" w:rsidRPr="003A2F86" w:rsidRDefault="00BF4737" w:rsidP="00BF4737">
            <w:pPr>
              <w:spacing w:after="0" w:line="240" w:lineRule="auto"/>
              <w:jc w:val="right"/>
              <w:rPr>
                <w:rFonts w:ascii="Arial" w:eastAsia="Times New Roman" w:hAnsi="Arial" w:cs="Arial"/>
                <w:i/>
                <w:iCs/>
                <w:color w:val="000000"/>
                <w:sz w:val="18"/>
                <w:szCs w:val="18"/>
              </w:rPr>
            </w:pPr>
            <w:r w:rsidRPr="003A2F86">
              <w:rPr>
                <w:rFonts w:ascii="Arial" w:hAnsi="Arial" w:cs="Arial"/>
                <w:sz w:val="18"/>
                <w:szCs w:val="18"/>
              </w:rPr>
              <w:t>137.450,79</w:t>
            </w:r>
          </w:p>
        </w:tc>
        <w:tc>
          <w:tcPr>
            <w:tcW w:w="12190" w:type="dxa"/>
            <w:tcBorders>
              <w:top w:val="nil"/>
              <w:left w:val="nil"/>
              <w:bottom w:val="single" w:sz="4" w:space="0" w:color="auto"/>
              <w:right w:val="single" w:sz="8" w:space="0" w:color="auto"/>
            </w:tcBorders>
            <w:vAlign w:val="center"/>
            <w:hideMark/>
          </w:tcPr>
          <w:p w14:paraId="29FCD3D5" w14:textId="0D6B60D2" w:rsidR="00BF4737" w:rsidRPr="003A2F86" w:rsidRDefault="00BF4737" w:rsidP="00BF4737">
            <w:pPr>
              <w:spacing w:after="0" w:line="240" w:lineRule="auto"/>
              <w:jc w:val="both"/>
              <w:rPr>
                <w:rFonts w:ascii="Arial" w:eastAsia="Times New Roman" w:hAnsi="Arial" w:cs="Arial"/>
                <w:color w:val="000000"/>
                <w:sz w:val="16"/>
                <w:szCs w:val="16"/>
              </w:rPr>
            </w:pPr>
            <w:r w:rsidRPr="003A2F86">
              <w:rPr>
                <w:rFonts w:ascii="Arial" w:hAnsi="Arial" w:cs="Arial"/>
                <w:sz w:val="16"/>
                <w:szCs w:val="16"/>
              </w:rPr>
              <w:t>što je za 27.786,70 € ili 25,3% više u odnosu na izvještajno razdoblje prethodne 2018. g. U prvom polugodištu 2019. ovi prihodi su iznosili 15.763,65 €.</w:t>
            </w:r>
          </w:p>
        </w:tc>
      </w:tr>
      <w:tr w:rsidR="00BF4737" w:rsidRPr="003A2F86" w14:paraId="46DBCA4C" w14:textId="77777777" w:rsidTr="00AF1BBB">
        <w:trPr>
          <w:trHeight w:val="274"/>
          <w:jc w:val="center"/>
        </w:trPr>
        <w:tc>
          <w:tcPr>
            <w:tcW w:w="993" w:type="dxa"/>
            <w:tcBorders>
              <w:top w:val="nil"/>
              <w:left w:val="single" w:sz="8" w:space="0" w:color="auto"/>
              <w:bottom w:val="single" w:sz="4" w:space="0" w:color="auto"/>
              <w:right w:val="single" w:sz="4" w:space="0" w:color="auto"/>
            </w:tcBorders>
            <w:vAlign w:val="center"/>
            <w:hideMark/>
          </w:tcPr>
          <w:p w14:paraId="2A21E610" w14:textId="7B07CA5E" w:rsidR="00BF4737" w:rsidRPr="003A2F86" w:rsidRDefault="00BF4737" w:rsidP="00BF4737">
            <w:pPr>
              <w:spacing w:after="0" w:line="240" w:lineRule="auto"/>
              <w:jc w:val="center"/>
              <w:rPr>
                <w:rFonts w:ascii="Arial" w:eastAsia="Times New Roman" w:hAnsi="Arial" w:cs="Arial"/>
                <w:i/>
                <w:iCs/>
                <w:color w:val="000000"/>
                <w:sz w:val="18"/>
                <w:szCs w:val="18"/>
              </w:rPr>
            </w:pPr>
            <w:r w:rsidRPr="003A2F86">
              <w:rPr>
                <w:rFonts w:ascii="Arial" w:hAnsi="Arial" w:cs="Arial"/>
                <w:sz w:val="18"/>
                <w:szCs w:val="18"/>
              </w:rPr>
              <w:t>2020.</w:t>
            </w:r>
          </w:p>
        </w:tc>
        <w:tc>
          <w:tcPr>
            <w:tcW w:w="1124" w:type="dxa"/>
            <w:tcBorders>
              <w:top w:val="single" w:sz="4" w:space="0" w:color="auto"/>
              <w:left w:val="nil"/>
              <w:bottom w:val="single" w:sz="4" w:space="0" w:color="auto"/>
              <w:right w:val="single" w:sz="4" w:space="0" w:color="auto"/>
            </w:tcBorders>
            <w:vAlign w:val="center"/>
            <w:hideMark/>
          </w:tcPr>
          <w:p w14:paraId="7183BFC9" w14:textId="0783714F" w:rsidR="00BF4737" w:rsidRPr="003A2F86" w:rsidRDefault="00BF4737" w:rsidP="00BF4737">
            <w:pPr>
              <w:spacing w:after="0" w:line="240" w:lineRule="auto"/>
              <w:jc w:val="right"/>
              <w:rPr>
                <w:rFonts w:ascii="Arial" w:eastAsia="Times New Roman" w:hAnsi="Arial" w:cs="Arial"/>
                <w:i/>
                <w:iCs/>
                <w:color w:val="000000"/>
                <w:sz w:val="18"/>
                <w:szCs w:val="18"/>
              </w:rPr>
            </w:pPr>
            <w:r w:rsidRPr="003A2F86">
              <w:rPr>
                <w:rFonts w:ascii="Arial" w:hAnsi="Arial" w:cs="Arial"/>
                <w:sz w:val="18"/>
                <w:szCs w:val="18"/>
              </w:rPr>
              <w:t>28.639,87</w:t>
            </w:r>
          </w:p>
        </w:tc>
        <w:tc>
          <w:tcPr>
            <w:tcW w:w="12190" w:type="dxa"/>
            <w:tcBorders>
              <w:top w:val="nil"/>
              <w:left w:val="single" w:sz="4" w:space="0" w:color="auto"/>
              <w:bottom w:val="single" w:sz="4" w:space="0" w:color="auto"/>
              <w:right w:val="single" w:sz="8" w:space="0" w:color="auto"/>
            </w:tcBorders>
            <w:vAlign w:val="center"/>
            <w:hideMark/>
          </w:tcPr>
          <w:p w14:paraId="66618943" w14:textId="4C6B1B4B" w:rsidR="00BF4737" w:rsidRPr="003A2F86" w:rsidRDefault="00BF4737" w:rsidP="00BF4737">
            <w:pPr>
              <w:spacing w:after="0" w:line="240" w:lineRule="auto"/>
              <w:jc w:val="both"/>
              <w:rPr>
                <w:rFonts w:ascii="Arial" w:eastAsia="Times New Roman" w:hAnsi="Arial" w:cs="Arial"/>
                <w:color w:val="000000"/>
                <w:sz w:val="16"/>
                <w:szCs w:val="16"/>
              </w:rPr>
            </w:pPr>
            <w:r w:rsidRPr="003A2F86">
              <w:rPr>
                <w:rFonts w:ascii="Arial" w:hAnsi="Arial" w:cs="Arial"/>
                <w:sz w:val="16"/>
                <w:szCs w:val="16"/>
              </w:rPr>
              <w:t>što je za 108.810,92 € ili 79,2% manje u odnosu na izvještajno razdoblje prethodne 2019. g. U prvom polugodištu 2020. ovi prihodi su iznosili 1.216,87 €.</w:t>
            </w:r>
          </w:p>
        </w:tc>
      </w:tr>
      <w:tr w:rsidR="00BF4737" w:rsidRPr="003A2F86" w14:paraId="5931A838" w14:textId="77777777" w:rsidTr="00AF1BBB">
        <w:trPr>
          <w:trHeight w:val="459"/>
          <w:jc w:val="center"/>
        </w:trPr>
        <w:tc>
          <w:tcPr>
            <w:tcW w:w="993" w:type="dxa"/>
            <w:tcBorders>
              <w:top w:val="single" w:sz="4" w:space="0" w:color="auto"/>
              <w:left w:val="single" w:sz="8" w:space="0" w:color="auto"/>
              <w:bottom w:val="single" w:sz="4" w:space="0" w:color="auto"/>
              <w:right w:val="single" w:sz="4" w:space="0" w:color="auto"/>
            </w:tcBorders>
            <w:vAlign w:val="center"/>
            <w:hideMark/>
          </w:tcPr>
          <w:p w14:paraId="78ECA238" w14:textId="7747ABC1" w:rsidR="00BF4737" w:rsidRPr="003A2F86" w:rsidRDefault="00BF4737" w:rsidP="00BF4737">
            <w:pPr>
              <w:spacing w:after="0" w:line="240" w:lineRule="auto"/>
              <w:jc w:val="center"/>
              <w:rPr>
                <w:rFonts w:ascii="Arial" w:eastAsia="Times New Roman" w:hAnsi="Arial" w:cs="Arial"/>
                <w:i/>
                <w:iCs/>
                <w:color w:val="000000"/>
                <w:sz w:val="18"/>
                <w:szCs w:val="18"/>
              </w:rPr>
            </w:pPr>
            <w:r w:rsidRPr="003A2F86">
              <w:rPr>
                <w:rFonts w:ascii="Arial" w:hAnsi="Arial" w:cs="Arial"/>
                <w:sz w:val="18"/>
                <w:szCs w:val="18"/>
              </w:rPr>
              <w:lastRenderedPageBreak/>
              <w:t>2021.</w:t>
            </w:r>
          </w:p>
        </w:tc>
        <w:tc>
          <w:tcPr>
            <w:tcW w:w="1124" w:type="dxa"/>
            <w:tcBorders>
              <w:top w:val="single" w:sz="4" w:space="0" w:color="auto"/>
              <w:left w:val="nil"/>
              <w:bottom w:val="single" w:sz="4" w:space="0" w:color="auto"/>
              <w:right w:val="single" w:sz="4" w:space="0" w:color="auto"/>
            </w:tcBorders>
            <w:vAlign w:val="center"/>
            <w:hideMark/>
          </w:tcPr>
          <w:p w14:paraId="29182BAA" w14:textId="54BB1862" w:rsidR="00BF4737" w:rsidRPr="003A2F86" w:rsidRDefault="00BF4737" w:rsidP="00BF4737">
            <w:pPr>
              <w:spacing w:after="0" w:line="240" w:lineRule="auto"/>
              <w:jc w:val="right"/>
              <w:rPr>
                <w:rFonts w:ascii="Arial" w:eastAsia="Times New Roman" w:hAnsi="Arial" w:cs="Arial"/>
                <w:i/>
                <w:iCs/>
                <w:color w:val="000000"/>
                <w:sz w:val="18"/>
                <w:szCs w:val="18"/>
              </w:rPr>
            </w:pPr>
            <w:r w:rsidRPr="003A2F86">
              <w:rPr>
                <w:rFonts w:ascii="Arial" w:hAnsi="Arial" w:cs="Arial"/>
                <w:sz w:val="18"/>
                <w:szCs w:val="18"/>
              </w:rPr>
              <w:t>56.955,92</w:t>
            </w:r>
          </w:p>
        </w:tc>
        <w:tc>
          <w:tcPr>
            <w:tcW w:w="12190" w:type="dxa"/>
            <w:tcBorders>
              <w:top w:val="single" w:sz="4" w:space="0" w:color="auto"/>
              <w:left w:val="nil"/>
              <w:bottom w:val="single" w:sz="4" w:space="0" w:color="auto"/>
              <w:right w:val="single" w:sz="8" w:space="0" w:color="auto"/>
            </w:tcBorders>
            <w:vAlign w:val="center"/>
            <w:hideMark/>
          </w:tcPr>
          <w:p w14:paraId="1F4FF333" w14:textId="7A6437D1" w:rsidR="00BF4737" w:rsidRPr="003A2F86" w:rsidRDefault="00BF4737" w:rsidP="00BF4737">
            <w:pPr>
              <w:spacing w:after="0" w:line="240" w:lineRule="auto"/>
              <w:jc w:val="both"/>
              <w:rPr>
                <w:rFonts w:ascii="Arial" w:eastAsia="Times New Roman" w:hAnsi="Arial" w:cs="Arial"/>
                <w:color w:val="000000"/>
                <w:sz w:val="16"/>
                <w:szCs w:val="16"/>
              </w:rPr>
            </w:pPr>
            <w:r w:rsidRPr="003A2F86">
              <w:rPr>
                <w:rFonts w:ascii="Arial" w:hAnsi="Arial" w:cs="Arial"/>
                <w:sz w:val="16"/>
                <w:szCs w:val="16"/>
              </w:rPr>
              <w:t>što je za 28.316,05 € ili 98,9% više u odnosu na izvještajno razdoblje prethodne 2020. g. Međutim, u odnosu na prihode 2019. godine, ovi prihodi su manji za</w:t>
            </w:r>
            <w:r w:rsidR="00AB02DE" w:rsidRPr="003A2F86">
              <w:rPr>
                <w:rFonts w:ascii="Arial" w:hAnsi="Arial" w:cs="Arial"/>
                <w:sz w:val="16"/>
                <w:szCs w:val="16"/>
              </w:rPr>
              <w:t xml:space="preserve"> </w:t>
            </w:r>
            <w:r w:rsidRPr="003A2F86">
              <w:rPr>
                <w:rFonts w:ascii="Arial" w:hAnsi="Arial" w:cs="Arial"/>
                <w:sz w:val="16"/>
                <w:szCs w:val="16"/>
              </w:rPr>
              <w:t>80.494,87 € ili 58,6%. U prvom polugodištu 2021. ovi prihodi su iznosili 2.940,85 €.</w:t>
            </w:r>
          </w:p>
        </w:tc>
      </w:tr>
      <w:tr w:rsidR="00BF4737" w:rsidRPr="003A2F86" w14:paraId="52D47128" w14:textId="77777777" w:rsidTr="00AF1BBB">
        <w:trPr>
          <w:trHeight w:val="290"/>
          <w:jc w:val="center"/>
        </w:trPr>
        <w:tc>
          <w:tcPr>
            <w:tcW w:w="993" w:type="dxa"/>
            <w:tcBorders>
              <w:top w:val="single" w:sz="4" w:space="0" w:color="auto"/>
              <w:left w:val="single" w:sz="8" w:space="0" w:color="auto"/>
              <w:bottom w:val="single" w:sz="4" w:space="0" w:color="auto"/>
              <w:right w:val="single" w:sz="4" w:space="0" w:color="auto"/>
            </w:tcBorders>
            <w:vAlign w:val="center"/>
          </w:tcPr>
          <w:p w14:paraId="15B088C6" w14:textId="0B7C9490" w:rsidR="00BF4737" w:rsidRPr="003A2F86" w:rsidRDefault="00BF4737" w:rsidP="00BF4737">
            <w:pPr>
              <w:spacing w:after="0" w:line="240" w:lineRule="auto"/>
              <w:jc w:val="center"/>
              <w:rPr>
                <w:rFonts w:ascii="Arial" w:eastAsia="Times New Roman" w:hAnsi="Arial" w:cs="Arial"/>
                <w:i/>
                <w:iCs/>
                <w:sz w:val="18"/>
                <w:szCs w:val="18"/>
              </w:rPr>
            </w:pPr>
            <w:r w:rsidRPr="003A2F86">
              <w:rPr>
                <w:rFonts w:ascii="Arial" w:hAnsi="Arial" w:cs="Arial"/>
                <w:sz w:val="18"/>
                <w:szCs w:val="18"/>
              </w:rPr>
              <w:t>2022.</w:t>
            </w:r>
          </w:p>
        </w:tc>
        <w:tc>
          <w:tcPr>
            <w:tcW w:w="1124" w:type="dxa"/>
            <w:tcBorders>
              <w:top w:val="single" w:sz="4" w:space="0" w:color="auto"/>
              <w:left w:val="nil"/>
              <w:bottom w:val="single" w:sz="4" w:space="0" w:color="auto"/>
              <w:right w:val="single" w:sz="4" w:space="0" w:color="auto"/>
            </w:tcBorders>
            <w:vAlign w:val="center"/>
          </w:tcPr>
          <w:p w14:paraId="307BCA67" w14:textId="7717CEBA" w:rsidR="00BF4737" w:rsidRPr="003A2F86" w:rsidRDefault="00BF4737" w:rsidP="00BF4737">
            <w:pPr>
              <w:spacing w:after="0" w:line="240" w:lineRule="auto"/>
              <w:jc w:val="right"/>
              <w:rPr>
                <w:rFonts w:ascii="Arial" w:eastAsia="Times New Roman" w:hAnsi="Arial" w:cs="Arial"/>
                <w:i/>
                <w:iCs/>
                <w:sz w:val="18"/>
                <w:szCs w:val="18"/>
              </w:rPr>
            </w:pPr>
            <w:r w:rsidRPr="003A2F86">
              <w:rPr>
                <w:rFonts w:ascii="Arial" w:hAnsi="Arial" w:cs="Arial"/>
                <w:sz w:val="18"/>
                <w:szCs w:val="18"/>
              </w:rPr>
              <w:t>162.246,16</w:t>
            </w:r>
          </w:p>
        </w:tc>
        <w:tc>
          <w:tcPr>
            <w:tcW w:w="12190" w:type="dxa"/>
            <w:tcBorders>
              <w:top w:val="single" w:sz="4" w:space="0" w:color="auto"/>
              <w:left w:val="nil"/>
              <w:bottom w:val="single" w:sz="4" w:space="0" w:color="auto"/>
              <w:right w:val="single" w:sz="8" w:space="0" w:color="auto"/>
            </w:tcBorders>
            <w:vAlign w:val="center"/>
          </w:tcPr>
          <w:p w14:paraId="1810AD48" w14:textId="431792B6" w:rsidR="00BF4737" w:rsidRPr="003A2F86" w:rsidRDefault="00BF4737" w:rsidP="00BF4737">
            <w:pPr>
              <w:spacing w:after="0" w:line="240" w:lineRule="auto"/>
              <w:jc w:val="both"/>
              <w:rPr>
                <w:rFonts w:ascii="Arial" w:eastAsia="Times New Roman" w:hAnsi="Arial" w:cs="Arial"/>
                <w:sz w:val="16"/>
                <w:szCs w:val="16"/>
              </w:rPr>
            </w:pPr>
            <w:r w:rsidRPr="003A2F86">
              <w:rPr>
                <w:rFonts w:ascii="Arial" w:hAnsi="Arial" w:cs="Arial"/>
                <w:sz w:val="16"/>
                <w:szCs w:val="16"/>
              </w:rPr>
              <w:t>što je za 105.290,24 € ili 184,9 % više u odnosu na izvještajno razdoblje prethodne 2021.g. U prvom polugodištu 2022. ovi prihodi su iznosili 30.801,03 €.</w:t>
            </w:r>
          </w:p>
        </w:tc>
      </w:tr>
      <w:tr w:rsidR="00CC19B3" w:rsidRPr="003A2F86" w14:paraId="0F1D61D6" w14:textId="77777777" w:rsidTr="00AF1BBB">
        <w:trPr>
          <w:trHeight w:val="242"/>
          <w:jc w:val="center"/>
        </w:trPr>
        <w:tc>
          <w:tcPr>
            <w:tcW w:w="993" w:type="dxa"/>
            <w:tcBorders>
              <w:top w:val="single" w:sz="4" w:space="0" w:color="auto"/>
              <w:left w:val="single" w:sz="8" w:space="0" w:color="auto"/>
              <w:bottom w:val="single" w:sz="4" w:space="0" w:color="auto"/>
              <w:right w:val="single" w:sz="4" w:space="0" w:color="auto"/>
            </w:tcBorders>
            <w:vAlign w:val="center"/>
          </w:tcPr>
          <w:p w14:paraId="523D36A8" w14:textId="453BF6E2" w:rsidR="00CC19B3" w:rsidRPr="003A2F86" w:rsidRDefault="00CC19B3" w:rsidP="00CC19B3">
            <w:pPr>
              <w:spacing w:after="0" w:line="240" w:lineRule="auto"/>
              <w:jc w:val="center"/>
              <w:rPr>
                <w:rFonts w:ascii="Arial" w:eastAsia="Times New Roman" w:hAnsi="Arial" w:cs="Arial"/>
                <w:i/>
                <w:iCs/>
                <w:sz w:val="18"/>
                <w:szCs w:val="18"/>
              </w:rPr>
            </w:pPr>
            <w:r w:rsidRPr="003A2F86">
              <w:rPr>
                <w:rFonts w:ascii="Arial" w:hAnsi="Arial" w:cs="Arial"/>
                <w:sz w:val="18"/>
                <w:szCs w:val="18"/>
              </w:rPr>
              <w:t>2023.</w:t>
            </w:r>
          </w:p>
        </w:tc>
        <w:tc>
          <w:tcPr>
            <w:tcW w:w="1124" w:type="dxa"/>
            <w:tcBorders>
              <w:top w:val="single" w:sz="4" w:space="0" w:color="auto"/>
              <w:left w:val="single" w:sz="4" w:space="0" w:color="auto"/>
              <w:bottom w:val="single" w:sz="4" w:space="0" w:color="auto"/>
              <w:right w:val="single" w:sz="4" w:space="0" w:color="auto"/>
            </w:tcBorders>
            <w:vAlign w:val="center"/>
          </w:tcPr>
          <w:p w14:paraId="11669AAF" w14:textId="79D24F42" w:rsidR="00CC19B3" w:rsidRPr="003A2F86" w:rsidRDefault="00CC19B3" w:rsidP="00CC19B3">
            <w:pPr>
              <w:spacing w:after="0" w:line="240" w:lineRule="auto"/>
              <w:jc w:val="right"/>
              <w:rPr>
                <w:rFonts w:ascii="Arial" w:eastAsia="Times New Roman" w:hAnsi="Arial" w:cs="Arial"/>
                <w:i/>
                <w:iCs/>
                <w:sz w:val="18"/>
                <w:szCs w:val="18"/>
              </w:rPr>
            </w:pPr>
            <w:r w:rsidRPr="003A2F86">
              <w:rPr>
                <w:rFonts w:ascii="Arial" w:hAnsi="Arial" w:cs="Arial"/>
                <w:i/>
                <w:iCs/>
                <w:sz w:val="18"/>
                <w:szCs w:val="18"/>
              </w:rPr>
              <w:t>193.986,45</w:t>
            </w:r>
          </w:p>
        </w:tc>
        <w:tc>
          <w:tcPr>
            <w:tcW w:w="12190" w:type="dxa"/>
            <w:tcBorders>
              <w:top w:val="single" w:sz="4" w:space="0" w:color="auto"/>
              <w:left w:val="nil"/>
              <w:bottom w:val="single" w:sz="4" w:space="0" w:color="auto"/>
              <w:right w:val="single" w:sz="8" w:space="0" w:color="auto"/>
            </w:tcBorders>
            <w:vAlign w:val="center"/>
          </w:tcPr>
          <w:p w14:paraId="2848E246" w14:textId="304B7884" w:rsidR="00CC19B3" w:rsidRPr="003A2F86" w:rsidRDefault="00CC19B3" w:rsidP="00CC19B3">
            <w:pPr>
              <w:spacing w:after="0" w:line="240" w:lineRule="auto"/>
              <w:jc w:val="both"/>
              <w:rPr>
                <w:rFonts w:ascii="Arial" w:eastAsia="Times New Roman" w:hAnsi="Arial" w:cs="Arial"/>
                <w:sz w:val="16"/>
                <w:szCs w:val="16"/>
              </w:rPr>
            </w:pPr>
            <w:r w:rsidRPr="003A2F86">
              <w:rPr>
                <w:rFonts w:ascii="Arial" w:hAnsi="Arial" w:cs="Arial"/>
                <w:sz w:val="16"/>
                <w:szCs w:val="16"/>
              </w:rPr>
              <w:t>što je za 31.740,29 € ili 19,6% više u odnosu na izvještajno razdoblje prethodne 2022. g. U prvom polugodištu 2023. ovi prihodi iznose 44.238,78 €.</w:t>
            </w:r>
          </w:p>
        </w:tc>
      </w:tr>
      <w:tr w:rsidR="00C23737" w:rsidRPr="00D0351C" w14:paraId="7800C159" w14:textId="77777777" w:rsidTr="00846197">
        <w:trPr>
          <w:trHeight w:val="287"/>
          <w:jc w:val="center"/>
        </w:trPr>
        <w:tc>
          <w:tcPr>
            <w:tcW w:w="993" w:type="dxa"/>
            <w:tcBorders>
              <w:top w:val="single" w:sz="4" w:space="0" w:color="auto"/>
              <w:left w:val="single" w:sz="8" w:space="0" w:color="auto"/>
              <w:bottom w:val="single" w:sz="4" w:space="0" w:color="auto"/>
              <w:right w:val="single" w:sz="4" w:space="0" w:color="auto"/>
            </w:tcBorders>
            <w:vAlign w:val="center"/>
          </w:tcPr>
          <w:p w14:paraId="02781D46" w14:textId="79A8F950" w:rsidR="00C23737" w:rsidRPr="00846197" w:rsidRDefault="00C23737" w:rsidP="00C23737">
            <w:pPr>
              <w:spacing w:after="0" w:line="240" w:lineRule="auto"/>
              <w:jc w:val="center"/>
              <w:rPr>
                <w:rFonts w:ascii="Arial" w:hAnsi="Arial" w:cs="Arial"/>
                <w:sz w:val="18"/>
                <w:szCs w:val="18"/>
              </w:rPr>
            </w:pPr>
            <w:r w:rsidRPr="00846197">
              <w:rPr>
                <w:rFonts w:ascii="Arial" w:hAnsi="Arial" w:cs="Arial"/>
                <w:sz w:val="18"/>
                <w:szCs w:val="18"/>
              </w:rPr>
              <w:t>2024.</w:t>
            </w:r>
          </w:p>
        </w:tc>
        <w:tc>
          <w:tcPr>
            <w:tcW w:w="1124" w:type="dxa"/>
            <w:tcBorders>
              <w:top w:val="single" w:sz="4" w:space="0" w:color="auto"/>
              <w:left w:val="single" w:sz="4" w:space="0" w:color="auto"/>
              <w:bottom w:val="single" w:sz="4" w:space="0" w:color="auto"/>
              <w:right w:val="single" w:sz="4" w:space="0" w:color="auto"/>
            </w:tcBorders>
            <w:vAlign w:val="center"/>
          </w:tcPr>
          <w:p w14:paraId="5507A67F" w14:textId="0B876EFE" w:rsidR="00C23737" w:rsidRPr="00D0351C" w:rsidRDefault="00C23737" w:rsidP="00C23737">
            <w:pPr>
              <w:spacing w:after="0" w:line="240" w:lineRule="auto"/>
              <w:jc w:val="right"/>
              <w:rPr>
                <w:rFonts w:ascii="Arial" w:hAnsi="Arial" w:cs="Arial"/>
                <w:i/>
                <w:iCs/>
                <w:sz w:val="18"/>
                <w:szCs w:val="18"/>
              </w:rPr>
            </w:pPr>
            <w:r w:rsidRPr="00D0351C">
              <w:rPr>
                <w:rFonts w:ascii="Arial" w:hAnsi="Arial" w:cs="Arial"/>
                <w:i/>
                <w:iCs/>
                <w:color w:val="000000"/>
                <w:sz w:val="18"/>
                <w:szCs w:val="18"/>
              </w:rPr>
              <w:t>218.493,86</w:t>
            </w:r>
          </w:p>
        </w:tc>
        <w:tc>
          <w:tcPr>
            <w:tcW w:w="12190" w:type="dxa"/>
            <w:tcBorders>
              <w:top w:val="single" w:sz="4" w:space="0" w:color="auto"/>
              <w:left w:val="nil"/>
              <w:bottom w:val="single" w:sz="4" w:space="0" w:color="auto"/>
              <w:right w:val="single" w:sz="8" w:space="0" w:color="auto"/>
            </w:tcBorders>
            <w:vAlign w:val="center"/>
          </w:tcPr>
          <w:p w14:paraId="218B4C74" w14:textId="1FB7AC44" w:rsidR="00C23737" w:rsidRPr="00D0351C" w:rsidRDefault="00C23737" w:rsidP="00C23737">
            <w:pPr>
              <w:spacing w:after="0" w:line="240" w:lineRule="auto"/>
              <w:jc w:val="both"/>
              <w:rPr>
                <w:rFonts w:ascii="Arial" w:hAnsi="Arial" w:cs="Arial"/>
                <w:sz w:val="16"/>
                <w:szCs w:val="16"/>
              </w:rPr>
            </w:pPr>
            <w:r w:rsidRPr="00D0351C">
              <w:rPr>
                <w:rFonts w:ascii="Arial" w:hAnsi="Arial" w:cs="Arial"/>
                <w:sz w:val="16"/>
                <w:szCs w:val="16"/>
              </w:rPr>
              <w:t>što je za 24.507,41 € ili 12,6% više u odnosu na izvještajno razdoblje prethodne godine. U prvom polugodištu 2024. ovi prihodi iznose 52.060,63 €.</w:t>
            </w:r>
          </w:p>
        </w:tc>
      </w:tr>
      <w:tr w:rsidR="00846197" w:rsidRPr="00D0351C" w14:paraId="11C41DFB" w14:textId="77777777" w:rsidTr="00AF1BBB">
        <w:trPr>
          <w:trHeight w:val="287"/>
          <w:jc w:val="center"/>
        </w:trPr>
        <w:tc>
          <w:tcPr>
            <w:tcW w:w="993" w:type="dxa"/>
            <w:tcBorders>
              <w:top w:val="single" w:sz="4" w:space="0" w:color="auto"/>
              <w:left w:val="single" w:sz="8" w:space="0" w:color="auto"/>
              <w:bottom w:val="single" w:sz="8" w:space="0" w:color="auto"/>
              <w:right w:val="single" w:sz="4" w:space="0" w:color="auto"/>
            </w:tcBorders>
            <w:vAlign w:val="center"/>
          </w:tcPr>
          <w:p w14:paraId="7FBBE6DA" w14:textId="5D790274" w:rsidR="00846197" w:rsidRPr="00846197" w:rsidRDefault="00846197" w:rsidP="00C23737">
            <w:pPr>
              <w:spacing w:after="0" w:line="240" w:lineRule="auto"/>
              <w:jc w:val="center"/>
              <w:rPr>
                <w:rFonts w:ascii="Arial" w:hAnsi="Arial" w:cs="Arial"/>
                <w:sz w:val="18"/>
                <w:szCs w:val="18"/>
              </w:rPr>
            </w:pPr>
            <w:r>
              <w:rPr>
                <w:rFonts w:ascii="Arial" w:hAnsi="Arial" w:cs="Arial"/>
                <w:sz w:val="18"/>
                <w:szCs w:val="18"/>
              </w:rPr>
              <w:t>1-6/2025.</w:t>
            </w:r>
          </w:p>
        </w:tc>
        <w:tc>
          <w:tcPr>
            <w:tcW w:w="1124" w:type="dxa"/>
            <w:tcBorders>
              <w:top w:val="single" w:sz="4" w:space="0" w:color="auto"/>
              <w:left w:val="single" w:sz="4" w:space="0" w:color="auto"/>
              <w:bottom w:val="single" w:sz="4" w:space="0" w:color="auto"/>
              <w:right w:val="single" w:sz="4" w:space="0" w:color="auto"/>
            </w:tcBorders>
            <w:vAlign w:val="center"/>
          </w:tcPr>
          <w:p w14:paraId="66943EDE" w14:textId="17ADC142" w:rsidR="00846197" w:rsidRPr="00D0351C" w:rsidRDefault="00846197" w:rsidP="00C23737">
            <w:pPr>
              <w:spacing w:after="0" w:line="240" w:lineRule="auto"/>
              <w:jc w:val="right"/>
              <w:rPr>
                <w:rFonts w:ascii="Arial" w:hAnsi="Arial" w:cs="Arial"/>
                <w:i/>
                <w:iCs/>
                <w:color w:val="000000"/>
                <w:sz w:val="18"/>
                <w:szCs w:val="18"/>
              </w:rPr>
            </w:pPr>
            <w:r>
              <w:rPr>
                <w:rFonts w:ascii="Arial" w:hAnsi="Arial" w:cs="Arial"/>
                <w:i/>
                <w:iCs/>
                <w:color w:val="000000"/>
                <w:sz w:val="18"/>
                <w:szCs w:val="18"/>
              </w:rPr>
              <w:t>60.198,68</w:t>
            </w:r>
          </w:p>
        </w:tc>
        <w:tc>
          <w:tcPr>
            <w:tcW w:w="12190" w:type="dxa"/>
            <w:tcBorders>
              <w:top w:val="single" w:sz="4" w:space="0" w:color="auto"/>
              <w:left w:val="nil"/>
              <w:bottom w:val="single" w:sz="4" w:space="0" w:color="auto"/>
              <w:right w:val="single" w:sz="8" w:space="0" w:color="auto"/>
            </w:tcBorders>
            <w:vAlign w:val="center"/>
          </w:tcPr>
          <w:p w14:paraId="603CA649" w14:textId="554BEA0C" w:rsidR="00846197" w:rsidRPr="00D0351C" w:rsidRDefault="00AA23FA" w:rsidP="00C23737">
            <w:pPr>
              <w:spacing w:after="0" w:line="240" w:lineRule="auto"/>
              <w:jc w:val="both"/>
              <w:rPr>
                <w:rFonts w:ascii="Arial" w:hAnsi="Arial" w:cs="Arial"/>
                <w:sz w:val="16"/>
                <w:szCs w:val="16"/>
              </w:rPr>
            </w:pPr>
            <w:r w:rsidRPr="00AA23FA">
              <w:rPr>
                <w:rFonts w:ascii="Arial" w:hAnsi="Arial" w:cs="Arial"/>
                <w:sz w:val="16"/>
                <w:szCs w:val="16"/>
              </w:rPr>
              <w:t>što je za 8.138,05 € ili 15,6% više u odnosu na izvještajno razdoblje prethodne godine. U prvom polugodištu 2025. ovi prihodi iznose 60.198,68 €.</w:t>
            </w:r>
          </w:p>
        </w:tc>
      </w:tr>
    </w:tbl>
    <w:p w14:paraId="3B174554" w14:textId="77777777" w:rsidR="00D66155" w:rsidRDefault="00D66155" w:rsidP="00C2373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contextualSpacing/>
        <w:jc w:val="both"/>
        <w:rPr>
          <w:rFonts w:ascii="Arial" w:eastAsia="Calibri" w:hAnsi="Arial" w:cs="Arial"/>
          <w:b/>
          <w:bCs/>
          <w:lang w:eastAsia="en-US"/>
        </w:rPr>
      </w:pPr>
      <w:bookmarkStart w:id="114" w:name="_Hlk103075446"/>
    </w:p>
    <w:p w14:paraId="1B96F0CE" w14:textId="4E52143C" w:rsidR="00C23737" w:rsidRPr="00C23737" w:rsidRDefault="003C3AEE" w:rsidP="00C2373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contextualSpacing/>
        <w:jc w:val="both"/>
        <w:rPr>
          <w:rFonts w:ascii="Arial" w:eastAsia="Calibri" w:hAnsi="Arial" w:cs="Arial"/>
          <w:lang w:eastAsia="en-US"/>
        </w:rPr>
      </w:pPr>
      <w:r w:rsidRPr="003A2F86">
        <w:rPr>
          <w:rFonts w:ascii="Arial" w:eastAsia="Calibri" w:hAnsi="Arial" w:cs="Arial"/>
          <w:b/>
          <w:bCs/>
          <w:lang w:eastAsia="en-US"/>
        </w:rPr>
        <w:t>Prihodi po posebnim propisima</w:t>
      </w:r>
      <w:r w:rsidRPr="003A2F86">
        <w:rPr>
          <w:rFonts w:ascii="Arial" w:eastAsia="Calibri" w:hAnsi="Arial" w:cs="Arial"/>
          <w:lang w:eastAsia="en-US"/>
        </w:rPr>
        <w:t xml:space="preserve"> (</w:t>
      </w:r>
      <w:r w:rsidRPr="003A2F86">
        <w:rPr>
          <w:rFonts w:ascii="Arial" w:eastAsia="Calibri" w:hAnsi="Arial" w:cs="Arial"/>
          <w:b/>
          <w:bCs/>
          <w:lang w:eastAsia="en-US"/>
        </w:rPr>
        <w:t>652</w:t>
      </w:r>
      <w:r w:rsidRPr="003A2F86">
        <w:rPr>
          <w:rFonts w:ascii="Arial" w:eastAsia="Calibri" w:hAnsi="Arial" w:cs="Arial"/>
          <w:lang w:eastAsia="en-US"/>
        </w:rPr>
        <w:t xml:space="preserve">) ostvareni su </w:t>
      </w:r>
      <w:r w:rsidR="00C23737" w:rsidRPr="00C23737">
        <w:rPr>
          <w:rFonts w:ascii="Arial" w:eastAsia="Calibri" w:hAnsi="Arial" w:cs="Arial"/>
          <w:lang w:eastAsia="en-US"/>
        </w:rPr>
        <w:t xml:space="preserve">u iznosu </w:t>
      </w:r>
      <w:r w:rsidR="00BF42D2">
        <w:rPr>
          <w:rFonts w:ascii="Arial" w:eastAsia="Calibri" w:hAnsi="Arial" w:cs="Arial"/>
          <w:lang w:eastAsia="en-US"/>
        </w:rPr>
        <w:t>791.311,02</w:t>
      </w:r>
      <w:r w:rsidR="00C23737" w:rsidRPr="00C23737">
        <w:rPr>
          <w:rFonts w:ascii="Arial" w:eastAsia="Calibri" w:hAnsi="Arial" w:cs="Arial"/>
          <w:lang w:eastAsia="en-US"/>
        </w:rPr>
        <w:t xml:space="preserve"> € odnosno </w:t>
      </w:r>
      <w:r w:rsidR="00BF42D2">
        <w:rPr>
          <w:rFonts w:ascii="Arial" w:eastAsia="Calibri" w:hAnsi="Arial" w:cs="Arial"/>
          <w:lang w:eastAsia="en-US"/>
        </w:rPr>
        <w:t>78.444,19</w:t>
      </w:r>
      <w:r w:rsidR="00C23737" w:rsidRPr="00C23737">
        <w:rPr>
          <w:rFonts w:ascii="Arial" w:eastAsia="Calibri" w:hAnsi="Arial" w:cs="Arial"/>
          <w:lang w:eastAsia="en-US"/>
        </w:rPr>
        <w:t xml:space="preserve"> € ili </w:t>
      </w:r>
      <w:r w:rsidR="00BF42D2">
        <w:rPr>
          <w:rFonts w:ascii="Arial" w:eastAsia="Calibri" w:hAnsi="Arial" w:cs="Arial"/>
          <w:lang w:eastAsia="en-US"/>
        </w:rPr>
        <w:t>11</w:t>
      </w:r>
      <w:r w:rsidR="00C23737" w:rsidRPr="00C23737">
        <w:rPr>
          <w:rFonts w:ascii="Arial" w:eastAsia="Calibri" w:hAnsi="Arial" w:cs="Arial"/>
          <w:lang w:eastAsia="en-US"/>
        </w:rPr>
        <w:t>% više u odnosu na prethodnu godinu.</w:t>
      </w:r>
    </w:p>
    <w:p w14:paraId="0AA04457" w14:textId="77777777" w:rsidR="003C3AEE" w:rsidRPr="003A2F86" w:rsidRDefault="003C3AEE" w:rsidP="003C3A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6"/>
          <w:szCs w:val="16"/>
          <w:lang w:eastAsia="en-US"/>
        </w:rPr>
      </w:pPr>
    </w:p>
    <w:p w14:paraId="416A773A" w14:textId="56CD88E2" w:rsidR="003C3AEE" w:rsidRPr="003A2F86" w:rsidRDefault="003C3AEE" w:rsidP="003C3A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color w:val="17365D" w:themeColor="text2" w:themeShade="BF"/>
          <w:lang w:eastAsia="en-US"/>
        </w:rPr>
      </w:pPr>
      <w:r w:rsidRPr="003A2F86">
        <w:rPr>
          <w:rFonts w:ascii="Arial" w:eastAsia="Calibri" w:hAnsi="Arial" w:cs="Arial"/>
          <w:color w:val="17365D" w:themeColor="text2" w:themeShade="BF"/>
          <w:lang w:eastAsia="en-US"/>
        </w:rPr>
        <w:t xml:space="preserve">Na prihode Općine se odnosi </w:t>
      </w:r>
      <w:r w:rsidR="00C57E65">
        <w:rPr>
          <w:rFonts w:ascii="Arial" w:eastAsia="Calibri" w:hAnsi="Arial" w:cs="Arial"/>
          <w:color w:val="17365D" w:themeColor="text2" w:themeShade="BF"/>
          <w:lang w:eastAsia="en-US"/>
        </w:rPr>
        <w:t>70.472,02</w:t>
      </w:r>
      <w:r w:rsidR="00BF4737" w:rsidRPr="003A2F86">
        <w:rPr>
          <w:rFonts w:ascii="Arial" w:eastAsia="Calibri" w:hAnsi="Arial" w:cs="Arial"/>
          <w:color w:val="17365D" w:themeColor="text2" w:themeShade="BF"/>
          <w:lang w:eastAsia="en-US"/>
        </w:rPr>
        <w:t xml:space="preserve"> €</w:t>
      </w:r>
      <w:r w:rsidRPr="003A2F86">
        <w:rPr>
          <w:rFonts w:ascii="Arial" w:eastAsia="Calibri" w:hAnsi="Arial" w:cs="Arial"/>
          <w:color w:val="17365D" w:themeColor="text2" w:themeShade="BF"/>
          <w:lang w:eastAsia="en-US"/>
        </w:rPr>
        <w:t xml:space="preserve"> (</w:t>
      </w:r>
      <w:r w:rsidR="00055E8A">
        <w:rPr>
          <w:rFonts w:ascii="Arial" w:eastAsia="Calibri" w:hAnsi="Arial" w:cs="Arial"/>
          <w:color w:val="17365D" w:themeColor="text2" w:themeShade="BF"/>
          <w:lang w:eastAsia="en-US"/>
        </w:rPr>
        <w:t>više</w:t>
      </w:r>
      <w:r w:rsidRPr="003A2F86">
        <w:rPr>
          <w:rFonts w:ascii="Arial" w:eastAsia="Calibri" w:hAnsi="Arial" w:cs="Arial"/>
          <w:color w:val="17365D" w:themeColor="text2" w:themeShade="BF"/>
          <w:lang w:eastAsia="en-US"/>
        </w:rPr>
        <w:t xml:space="preserve"> za </w:t>
      </w:r>
      <w:r w:rsidR="00055E8A">
        <w:rPr>
          <w:rFonts w:ascii="Arial" w:eastAsia="Calibri" w:hAnsi="Arial" w:cs="Arial"/>
          <w:color w:val="17365D" w:themeColor="text2" w:themeShade="BF"/>
          <w:lang w:eastAsia="en-US"/>
        </w:rPr>
        <w:t>5.542,28</w:t>
      </w:r>
      <w:r w:rsidR="00BF4737" w:rsidRPr="003A2F86">
        <w:rPr>
          <w:rFonts w:ascii="Arial" w:eastAsia="Calibri" w:hAnsi="Arial" w:cs="Arial"/>
          <w:color w:val="17365D" w:themeColor="text2" w:themeShade="BF"/>
          <w:lang w:eastAsia="en-US"/>
        </w:rPr>
        <w:t xml:space="preserve"> €</w:t>
      </w:r>
      <w:r w:rsidRPr="003A2F86">
        <w:rPr>
          <w:rFonts w:ascii="Arial" w:eastAsia="Calibri" w:hAnsi="Arial" w:cs="Arial"/>
          <w:color w:val="17365D" w:themeColor="text2" w:themeShade="BF"/>
          <w:lang w:eastAsia="en-US"/>
        </w:rPr>
        <w:t xml:space="preserve"> </w:t>
      </w:r>
      <w:r w:rsidR="00BF4737" w:rsidRPr="003A2F86">
        <w:rPr>
          <w:rFonts w:ascii="Arial" w:eastAsia="Calibri" w:hAnsi="Arial" w:cs="Arial"/>
          <w:color w:val="17365D" w:themeColor="text2" w:themeShade="BF"/>
          <w:lang w:eastAsia="en-US"/>
        </w:rPr>
        <w:t xml:space="preserve">ili </w:t>
      </w:r>
      <w:r w:rsidR="00055E8A">
        <w:rPr>
          <w:rFonts w:ascii="Arial" w:eastAsia="Calibri" w:hAnsi="Arial" w:cs="Arial"/>
          <w:color w:val="17365D" w:themeColor="text2" w:themeShade="BF"/>
          <w:lang w:eastAsia="en-US"/>
        </w:rPr>
        <w:t>8,5</w:t>
      </w:r>
      <w:r w:rsidR="00BF4737" w:rsidRPr="003A2F86">
        <w:rPr>
          <w:rFonts w:ascii="Arial" w:eastAsia="Calibri" w:hAnsi="Arial" w:cs="Arial"/>
          <w:color w:val="17365D" w:themeColor="text2" w:themeShade="BF"/>
          <w:lang w:eastAsia="en-US"/>
        </w:rPr>
        <w:t xml:space="preserve">% </w:t>
      </w:r>
      <w:r w:rsidRPr="003A2F86">
        <w:rPr>
          <w:rFonts w:ascii="Arial" w:eastAsia="Calibri" w:hAnsi="Arial" w:cs="Arial"/>
          <w:color w:val="17365D" w:themeColor="text2" w:themeShade="BF"/>
          <w:lang w:eastAsia="en-US"/>
        </w:rPr>
        <w:t>u odnosu na 202</w:t>
      </w:r>
      <w:r w:rsidR="00055E8A">
        <w:rPr>
          <w:rFonts w:ascii="Arial" w:eastAsia="Calibri" w:hAnsi="Arial" w:cs="Arial"/>
          <w:color w:val="17365D" w:themeColor="text2" w:themeShade="BF"/>
          <w:lang w:eastAsia="en-US"/>
        </w:rPr>
        <w:t>4</w:t>
      </w:r>
      <w:r w:rsidRPr="003A2F86">
        <w:rPr>
          <w:rFonts w:ascii="Arial" w:eastAsia="Calibri" w:hAnsi="Arial" w:cs="Arial"/>
          <w:color w:val="17365D" w:themeColor="text2" w:themeShade="BF"/>
          <w:lang w:eastAsia="en-US"/>
        </w:rPr>
        <w:t xml:space="preserve">.g), a na prihode proračunskih korisnika </w:t>
      </w:r>
      <w:r w:rsidR="00C57E65">
        <w:rPr>
          <w:rFonts w:ascii="Arial" w:eastAsia="Calibri" w:hAnsi="Arial" w:cs="Arial"/>
          <w:color w:val="17365D" w:themeColor="text2" w:themeShade="BF"/>
          <w:lang w:eastAsia="en-US"/>
        </w:rPr>
        <w:t xml:space="preserve">720.839,00 </w:t>
      </w:r>
      <w:r w:rsidR="00BF4737" w:rsidRPr="003A2F86">
        <w:rPr>
          <w:rFonts w:ascii="Arial" w:eastAsia="Calibri" w:hAnsi="Arial" w:cs="Arial"/>
          <w:color w:val="17365D" w:themeColor="text2" w:themeShade="BF"/>
          <w:lang w:eastAsia="en-US"/>
        </w:rPr>
        <w:t>€</w:t>
      </w:r>
      <w:r w:rsidR="00CC19B3" w:rsidRPr="003A2F86">
        <w:rPr>
          <w:rFonts w:ascii="Arial" w:eastAsia="Calibri" w:hAnsi="Arial" w:cs="Arial"/>
          <w:color w:val="17365D" w:themeColor="text2" w:themeShade="BF"/>
          <w:lang w:eastAsia="en-US"/>
        </w:rPr>
        <w:t xml:space="preserve"> (više za </w:t>
      </w:r>
      <w:r w:rsidR="00B726DF">
        <w:rPr>
          <w:rFonts w:ascii="Arial" w:eastAsia="Calibri" w:hAnsi="Arial" w:cs="Arial"/>
          <w:color w:val="17365D" w:themeColor="text2" w:themeShade="BF"/>
          <w:lang w:eastAsia="en-US"/>
        </w:rPr>
        <w:t>72.901,91</w:t>
      </w:r>
      <w:r w:rsidR="00CC19B3" w:rsidRPr="003A2F86">
        <w:rPr>
          <w:rFonts w:ascii="Arial" w:eastAsia="Calibri" w:hAnsi="Arial" w:cs="Arial"/>
          <w:color w:val="17365D" w:themeColor="text2" w:themeShade="BF"/>
          <w:lang w:eastAsia="en-US"/>
        </w:rPr>
        <w:t xml:space="preserve"> € ili </w:t>
      </w:r>
      <w:r w:rsidR="00B726DF">
        <w:rPr>
          <w:rFonts w:ascii="Arial" w:eastAsia="Calibri" w:hAnsi="Arial" w:cs="Arial"/>
          <w:color w:val="17365D" w:themeColor="text2" w:themeShade="BF"/>
          <w:lang w:eastAsia="en-US"/>
        </w:rPr>
        <w:t>11,3</w:t>
      </w:r>
      <w:r w:rsidR="00CC19B3" w:rsidRPr="003A2F86">
        <w:rPr>
          <w:rFonts w:ascii="Arial" w:eastAsia="Calibri" w:hAnsi="Arial" w:cs="Arial"/>
          <w:color w:val="17365D" w:themeColor="text2" w:themeShade="BF"/>
          <w:lang w:eastAsia="en-US"/>
        </w:rPr>
        <w:t>% u odnosu na 202</w:t>
      </w:r>
      <w:r w:rsidR="00B726DF">
        <w:rPr>
          <w:rFonts w:ascii="Arial" w:eastAsia="Calibri" w:hAnsi="Arial" w:cs="Arial"/>
          <w:color w:val="17365D" w:themeColor="text2" w:themeShade="BF"/>
          <w:lang w:eastAsia="en-US"/>
        </w:rPr>
        <w:t>4</w:t>
      </w:r>
      <w:r w:rsidR="00CC19B3" w:rsidRPr="003A2F86">
        <w:rPr>
          <w:rFonts w:ascii="Arial" w:eastAsia="Calibri" w:hAnsi="Arial" w:cs="Arial"/>
          <w:color w:val="17365D" w:themeColor="text2" w:themeShade="BF"/>
          <w:lang w:eastAsia="en-US"/>
        </w:rPr>
        <w:t>.g)</w:t>
      </w:r>
      <w:r w:rsidRPr="003A2F86">
        <w:rPr>
          <w:rFonts w:ascii="Arial" w:eastAsia="Calibri" w:hAnsi="Arial" w:cs="Arial"/>
          <w:color w:val="17365D" w:themeColor="text2" w:themeShade="BF"/>
          <w:lang w:eastAsia="en-US"/>
        </w:rPr>
        <w:t>.</w:t>
      </w:r>
    </w:p>
    <w:p w14:paraId="0C61CAD5" w14:textId="77777777" w:rsidR="00BF4737" w:rsidRPr="003A2F86" w:rsidRDefault="00BF4737" w:rsidP="003C3A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21DE7516" w14:textId="77777777" w:rsidR="00B247B2" w:rsidRDefault="00CC19B3" w:rsidP="00BF63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Calibri" w:hAnsi="Arial" w:cs="Arial"/>
          <w:sz w:val="18"/>
          <w:szCs w:val="16"/>
          <w:lang w:eastAsia="en-US"/>
        </w:rPr>
      </w:pPr>
      <w:r w:rsidRPr="00BF63BC">
        <w:rPr>
          <w:rFonts w:ascii="Arial" w:eastAsia="Calibri" w:hAnsi="Arial" w:cs="Arial"/>
          <w:sz w:val="18"/>
          <w:szCs w:val="18"/>
          <w:lang w:eastAsia="en-US"/>
        </w:rPr>
        <w:t xml:space="preserve">Općina </w:t>
      </w:r>
      <w:r w:rsidR="00BB1FD3" w:rsidRPr="00BF63BC">
        <w:rPr>
          <w:rFonts w:ascii="Arial" w:eastAsia="Calibri" w:hAnsi="Arial" w:cs="Arial"/>
          <w:sz w:val="18"/>
          <w:szCs w:val="18"/>
          <w:lang w:eastAsia="en-US"/>
        </w:rPr>
        <w:t xml:space="preserve">je </w:t>
      </w:r>
      <w:r w:rsidRPr="00BF63BC">
        <w:rPr>
          <w:rFonts w:ascii="Arial" w:eastAsia="Calibri" w:hAnsi="Arial" w:cs="Arial"/>
          <w:sz w:val="18"/>
          <w:szCs w:val="18"/>
          <w:lang w:eastAsia="en-US"/>
        </w:rPr>
        <w:t>u 2021. i 2022. ostvarila jednokratnu naknadu za trajno priključenje Zračna luke na sustav javne odvodnje. U 2022. godini ovaj prihod je iznosio 64.149,36 €, a u 2021. godini 320.746,83 € (</w:t>
      </w:r>
      <w:r w:rsidRPr="00BF63BC">
        <w:rPr>
          <w:rFonts w:ascii="Arial" w:eastAsia="Calibri" w:hAnsi="Arial" w:cs="Arial"/>
          <w:sz w:val="18"/>
          <w:szCs w:val="16"/>
          <w:lang w:eastAsia="en-US"/>
        </w:rPr>
        <w:t xml:space="preserve">na temelju zaključenog ugovora s Općinom). Također, </w:t>
      </w:r>
      <w:r w:rsidR="00BB1FD3" w:rsidRPr="00BF63BC">
        <w:rPr>
          <w:rFonts w:ascii="Arial" w:eastAsia="Calibri" w:hAnsi="Arial" w:cs="Arial"/>
          <w:sz w:val="18"/>
          <w:szCs w:val="16"/>
          <w:lang w:eastAsia="en-US"/>
        </w:rPr>
        <w:t>2022.</w:t>
      </w:r>
      <w:r w:rsidRPr="00BF63BC">
        <w:rPr>
          <w:rFonts w:ascii="Arial" w:eastAsia="Calibri" w:hAnsi="Arial" w:cs="Arial"/>
          <w:sz w:val="18"/>
          <w:szCs w:val="16"/>
          <w:lang w:eastAsia="en-US"/>
        </w:rPr>
        <w:t xml:space="preserve"> godine su bili ostvareni prihodi od ošasne imovine (novčana sredstva) 40.389,68 €. </w:t>
      </w:r>
    </w:p>
    <w:p w14:paraId="0F27A940" w14:textId="77777777" w:rsidR="00F72A6E" w:rsidRDefault="00F72A6E" w:rsidP="00B247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Cs w:val="20"/>
          <w:lang w:eastAsia="en-US"/>
        </w:rPr>
      </w:pPr>
    </w:p>
    <w:p w14:paraId="5157BD46" w14:textId="774579BE" w:rsidR="00CC19B3" w:rsidRPr="003A2F86" w:rsidRDefault="00BB1FD3" w:rsidP="00CC19B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Cs w:val="20"/>
          <w:lang w:eastAsia="en-US"/>
        </w:rPr>
      </w:pPr>
      <w:r w:rsidRPr="003A2F86">
        <w:rPr>
          <w:rFonts w:ascii="Arial" w:eastAsia="Calibri" w:hAnsi="Arial" w:cs="Arial"/>
          <w:szCs w:val="20"/>
          <w:lang w:eastAsia="en-US"/>
        </w:rPr>
        <w:t>P</w:t>
      </w:r>
      <w:r w:rsidR="00CC19B3" w:rsidRPr="003A2F86">
        <w:rPr>
          <w:rFonts w:ascii="Arial" w:eastAsia="Calibri" w:hAnsi="Arial" w:cs="Arial"/>
          <w:szCs w:val="20"/>
          <w:lang w:eastAsia="en-US"/>
        </w:rPr>
        <w:t xml:space="preserve">rihodi od ulaza u staru jezgru Cavtata su </w:t>
      </w:r>
      <w:r w:rsidRPr="003A2F86">
        <w:rPr>
          <w:rFonts w:ascii="Arial" w:eastAsia="Calibri" w:hAnsi="Arial" w:cs="Arial"/>
          <w:szCs w:val="20"/>
          <w:lang w:eastAsia="en-US"/>
        </w:rPr>
        <w:t>u izvještajnom razdoblju prethodne 202</w:t>
      </w:r>
      <w:r w:rsidR="00EA72E1">
        <w:rPr>
          <w:rFonts w:ascii="Arial" w:eastAsia="Calibri" w:hAnsi="Arial" w:cs="Arial"/>
          <w:szCs w:val="20"/>
          <w:lang w:eastAsia="en-US"/>
        </w:rPr>
        <w:t>4</w:t>
      </w:r>
      <w:r w:rsidRPr="003A2F86">
        <w:rPr>
          <w:rFonts w:ascii="Arial" w:eastAsia="Calibri" w:hAnsi="Arial" w:cs="Arial"/>
          <w:szCs w:val="20"/>
          <w:lang w:eastAsia="en-US"/>
        </w:rPr>
        <w:t>.</w:t>
      </w:r>
      <w:r w:rsidR="00CC19B3" w:rsidRPr="003A2F86">
        <w:rPr>
          <w:rFonts w:ascii="Arial" w:eastAsia="Calibri" w:hAnsi="Arial" w:cs="Arial"/>
          <w:szCs w:val="20"/>
          <w:lang w:eastAsia="en-US"/>
        </w:rPr>
        <w:t xml:space="preserve"> godine iznosili </w:t>
      </w:r>
      <w:r w:rsidR="00EA72E1">
        <w:rPr>
          <w:rFonts w:ascii="Arial" w:eastAsia="Calibri" w:hAnsi="Arial" w:cs="Arial"/>
          <w:szCs w:val="20"/>
          <w:lang w:eastAsia="en-US"/>
        </w:rPr>
        <w:t>24.654</w:t>
      </w:r>
      <w:r w:rsidR="00CC19B3" w:rsidRPr="003A2F86">
        <w:rPr>
          <w:rFonts w:ascii="Arial" w:eastAsia="Calibri" w:hAnsi="Arial" w:cs="Arial"/>
          <w:szCs w:val="20"/>
          <w:lang w:eastAsia="en-US"/>
        </w:rPr>
        <w:t xml:space="preserve"> €, dok u tekućoj godini iznose </w:t>
      </w:r>
      <w:r w:rsidR="00EA72E1">
        <w:rPr>
          <w:rFonts w:ascii="Arial" w:eastAsia="Calibri" w:hAnsi="Arial" w:cs="Arial"/>
          <w:szCs w:val="20"/>
          <w:lang w:eastAsia="en-US"/>
        </w:rPr>
        <w:t>29.426,60</w:t>
      </w:r>
      <w:r w:rsidR="00871860" w:rsidRPr="003A2F86">
        <w:rPr>
          <w:rFonts w:ascii="Arial" w:eastAsia="Calibri" w:hAnsi="Arial" w:cs="Arial"/>
          <w:szCs w:val="20"/>
          <w:lang w:eastAsia="en-US"/>
        </w:rPr>
        <w:t xml:space="preserve"> €</w:t>
      </w:r>
      <w:r w:rsidR="00EA72E1">
        <w:rPr>
          <w:rFonts w:ascii="Arial" w:eastAsia="Calibri" w:hAnsi="Arial" w:cs="Arial"/>
          <w:szCs w:val="20"/>
          <w:lang w:eastAsia="en-US"/>
        </w:rPr>
        <w:t>.</w:t>
      </w:r>
    </w:p>
    <w:p w14:paraId="30C4D6BE" w14:textId="77777777" w:rsidR="00EA7FD2" w:rsidRPr="003A2F86" w:rsidRDefault="00EA7FD2" w:rsidP="003C3A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Cs w:val="20"/>
          <w:lang w:eastAsia="en-US"/>
        </w:rPr>
      </w:pPr>
    </w:p>
    <w:p w14:paraId="3D9B4DA9" w14:textId="7640FE57" w:rsidR="00C23737" w:rsidRPr="00C23737" w:rsidRDefault="00C23737" w:rsidP="00C2373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C23737">
        <w:rPr>
          <w:rFonts w:ascii="Arial" w:eastAsia="Calibri" w:hAnsi="Arial" w:cs="Arial"/>
          <w:lang w:eastAsia="en-US"/>
        </w:rPr>
        <w:t xml:space="preserve">Vrijednosno najznačajniji dio ovih prihoda Općine se odnosi na prihode </w:t>
      </w:r>
      <w:bookmarkStart w:id="115" w:name="_Hlk160006495"/>
      <w:r w:rsidRPr="00C23737">
        <w:rPr>
          <w:rFonts w:ascii="Arial" w:eastAsia="Calibri" w:hAnsi="Arial" w:cs="Arial"/>
          <w:lang w:eastAsia="en-US"/>
        </w:rPr>
        <w:t xml:space="preserve">od Hrvatskih voda za usluge naplate vodne naknade s komunalnom naknadom </w:t>
      </w:r>
      <w:bookmarkStart w:id="116" w:name="_Hlk160006505"/>
      <w:bookmarkEnd w:id="115"/>
      <w:r w:rsidR="00EA72E1">
        <w:rPr>
          <w:rFonts w:ascii="Arial" w:eastAsia="Calibri" w:hAnsi="Arial" w:cs="Arial"/>
          <w:lang w:eastAsia="en-US"/>
        </w:rPr>
        <w:t>40.956,41 €</w:t>
      </w:r>
      <w:r w:rsidR="00187BBA">
        <w:rPr>
          <w:rFonts w:ascii="Arial" w:eastAsia="Calibri" w:hAnsi="Arial" w:cs="Arial"/>
          <w:lang w:eastAsia="en-US"/>
        </w:rPr>
        <w:t>.</w:t>
      </w:r>
      <w:r w:rsidR="00EA72E1">
        <w:rPr>
          <w:rFonts w:ascii="Arial" w:eastAsia="Calibri" w:hAnsi="Arial" w:cs="Arial"/>
          <w:lang w:eastAsia="en-US"/>
        </w:rPr>
        <w:t xml:space="preserve"> </w:t>
      </w:r>
      <w:r w:rsidRPr="00C23737">
        <w:rPr>
          <w:rFonts w:ascii="Arial" w:eastAsia="Calibri" w:hAnsi="Arial" w:cs="Arial"/>
          <w:lang w:eastAsia="en-US"/>
        </w:rPr>
        <w:t xml:space="preserve">Nadalje, prihodi od naknade za saniranje odlagališta smeća </w:t>
      </w:r>
      <w:r w:rsidR="00AA3ED8">
        <w:rPr>
          <w:rFonts w:ascii="Arial" w:eastAsia="Calibri" w:hAnsi="Arial" w:cs="Arial"/>
          <w:lang w:eastAsia="en-US"/>
        </w:rPr>
        <w:t xml:space="preserve">nisu </w:t>
      </w:r>
      <w:r w:rsidRPr="00C23737">
        <w:rPr>
          <w:rFonts w:ascii="Arial" w:eastAsia="Calibri" w:hAnsi="Arial" w:cs="Arial"/>
          <w:lang w:eastAsia="en-US"/>
        </w:rPr>
        <w:t xml:space="preserve">ostvareni </w:t>
      </w:r>
      <w:r w:rsidR="00AA3ED8">
        <w:rPr>
          <w:rFonts w:ascii="Arial" w:eastAsia="Calibri" w:hAnsi="Arial" w:cs="Arial"/>
          <w:lang w:eastAsia="en-US"/>
        </w:rPr>
        <w:t>u prvom polugodištu 2025. godine</w:t>
      </w:r>
      <w:r w:rsidRPr="00C23737">
        <w:rPr>
          <w:rFonts w:ascii="Arial" w:eastAsia="Calibri" w:hAnsi="Arial" w:cs="Arial"/>
          <w:lang w:eastAsia="en-US"/>
        </w:rPr>
        <w:t xml:space="preserve"> (</w:t>
      </w:r>
      <w:r w:rsidR="00AA3ED8">
        <w:rPr>
          <w:rFonts w:ascii="Arial" w:eastAsia="Calibri" w:hAnsi="Arial" w:cs="Arial"/>
          <w:lang w:eastAsia="en-US"/>
        </w:rPr>
        <w:t>ukupno u 2023. godini</w:t>
      </w:r>
      <w:r w:rsidRPr="00C23737">
        <w:rPr>
          <w:rFonts w:ascii="Arial" w:eastAsia="Calibri" w:hAnsi="Arial" w:cs="Arial"/>
          <w:lang w:eastAsia="en-US"/>
        </w:rPr>
        <w:t xml:space="preserve"> 63.549,57 €</w:t>
      </w:r>
      <w:r w:rsidR="00AA3ED8">
        <w:rPr>
          <w:rFonts w:ascii="Arial" w:eastAsia="Calibri" w:hAnsi="Arial" w:cs="Arial"/>
          <w:lang w:eastAsia="en-US"/>
        </w:rPr>
        <w:t xml:space="preserve">, a u 2024. godini </w:t>
      </w:r>
      <w:r w:rsidR="00AA3ED8" w:rsidRPr="00C23737">
        <w:rPr>
          <w:rFonts w:ascii="Arial" w:eastAsia="Calibri" w:hAnsi="Arial" w:cs="Arial"/>
          <w:lang w:eastAsia="en-US"/>
        </w:rPr>
        <w:t>21.187,30 €</w:t>
      </w:r>
      <w:r w:rsidRPr="00C23737">
        <w:rPr>
          <w:rFonts w:ascii="Arial" w:eastAsia="Calibri" w:hAnsi="Arial" w:cs="Arial"/>
          <w:lang w:eastAsia="en-US"/>
        </w:rPr>
        <w:t xml:space="preserve">). Također, ostvareni su prihodi od vodnog doprinosa (jedinici lokalne samouprave pripada 8,0% vodnoga doprinosa naplaćenoga na njenom području, a Hrvatske vode su obvezne navedeni prihod doznačavati u proračun jedinice jednom mjesečno) u iznosu </w:t>
      </w:r>
      <w:r w:rsidR="008406BA">
        <w:rPr>
          <w:rFonts w:ascii="Arial" w:eastAsia="Calibri" w:hAnsi="Arial" w:cs="Arial"/>
          <w:lang w:eastAsia="en-US"/>
        </w:rPr>
        <w:t>9,39</w:t>
      </w:r>
      <w:r w:rsidRPr="00C23737">
        <w:rPr>
          <w:rFonts w:ascii="Arial" w:eastAsia="Calibri" w:hAnsi="Arial" w:cs="Arial"/>
          <w:lang w:eastAsia="en-US"/>
        </w:rPr>
        <w:t xml:space="preserve"> € (</w:t>
      </w:r>
      <w:r w:rsidR="008406BA">
        <w:rPr>
          <w:rFonts w:ascii="Arial" w:eastAsia="Calibri" w:hAnsi="Arial" w:cs="Arial"/>
          <w:lang w:eastAsia="en-US"/>
        </w:rPr>
        <w:t xml:space="preserve">ukupno u 2023. godini </w:t>
      </w:r>
      <w:r w:rsidRPr="00C23737">
        <w:rPr>
          <w:rFonts w:ascii="Arial" w:eastAsia="Calibri" w:hAnsi="Arial" w:cs="Arial"/>
          <w:lang w:eastAsia="en-US"/>
        </w:rPr>
        <w:t>1.004,76</w:t>
      </w:r>
      <w:r w:rsidR="008406BA">
        <w:rPr>
          <w:rFonts w:ascii="Arial" w:eastAsia="Calibri" w:hAnsi="Arial" w:cs="Arial"/>
          <w:lang w:eastAsia="en-US"/>
        </w:rPr>
        <w:t xml:space="preserve"> €, u 2024. godini</w:t>
      </w:r>
      <w:r w:rsidRPr="00C23737">
        <w:rPr>
          <w:rFonts w:ascii="Arial" w:eastAsia="Calibri" w:hAnsi="Arial" w:cs="Arial"/>
          <w:lang w:eastAsia="en-US"/>
        </w:rPr>
        <w:t xml:space="preserve"> </w:t>
      </w:r>
      <w:r w:rsidR="00344128" w:rsidRPr="00C23737">
        <w:rPr>
          <w:rFonts w:ascii="Arial" w:eastAsia="Calibri" w:hAnsi="Arial" w:cs="Arial"/>
          <w:lang w:eastAsia="en-US"/>
        </w:rPr>
        <w:t>337,69 €</w:t>
      </w:r>
      <w:r w:rsidRPr="00C23737">
        <w:rPr>
          <w:rFonts w:ascii="Arial" w:eastAsia="Calibri" w:hAnsi="Arial" w:cs="Arial"/>
          <w:lang w:eastAsia="en-US"/>
        </w:rPr>
        <w:t xml:space="preserve">), od prenamjene poljoprivrednog zemljišta u iznosu </w:t>
      </w:r>
      <w:r w:rsidR="00D162B4">
        <w:rPr>
          <w:rFonts w:ascii="Arial" w:eastAsia="Calibri" w:hAnsi="Arial" w:cs="Arial"/>
          <w:lang w:eastAsia="en-US"/>
        </w:rPr>
        <w:t>0</w:t>
      </w:r>
      <w:r w:rsidRPr="00C23737">
        <w:rPr>
          <w:rFonts w:ascii="Arial" w:eastAsia="Calibri" w:hAnsi="Arial" w:cs="Arial"/>
          <w:lang w:eastAsia="en-US"/>
        </w:rPr>
        <w:t xml:space="preserve"> € (</w:t>
      </w:r>
      <w:r w:rsidR="008406BA">
        <w:rPr>
          <w:rFonts w:ascii="Arial" w:eastAsia="Calibri" w:hAnsi="Arial" w:cs="Arial"/>
          <w:lang w:eastAsia="en-US"/>
        </w:rPr>
        <w:t xml:space="preserve">ukupno u 2023. godini </w:t>
      </w:r>
      <w:r w:rsidRPr="00C23737">
        <w:rPr>
          <w:rFonts w:ascii="Arial" w:eastAsia="Calibri" w:hAnsi="Arial" w:cs="Arial"/>
          <w:lang w:eastAsia="en-US"/>
        </w:rPr>
        <w:t>2.089,09 €</w:t>
      </w:r>
      <w:r w:rsidR="008406BA">
        <w:rPr>
          <w:rFonts w:ascii="Arial" w:eastAsia="Calibri" w:hAnsi="Arial" w:cs="Arial"/>
          <w:lang w:eastAsia="en-US"/>
        </w:rPr>
        <w:t xml:space="preserve">, u 2024. godini </w:t>
      </w:r>
      <w:r w:rsidR="00D162B4" w:rsidRPr="00C23737">
        <w:rPr>
          <w:rFonts w:ascii="Arial" w:eastAsia="Calibri" w:hAnsi="Arial" w:cs="Arial"/>
          <w:lang w:eastAsia="en-US"/>
        </w:rPr>
        <w:t>1.085,28 €</w:t>
      </w:r>
      <w:r w:rsidRPr="00C23737">
        <w:rPr>
          <w:rFonts w:ascii="Arial" w:eastAsia="Calibri" w:hAnsi="Arial" w:cs="Arial"/>
          <w:lang w:eastAsia="en-US"/>
        </w:rPr>
        <w:t xml:space="preserve">), te od naknade štete troškova ovrhe </w:t>
      </w:r>
      <w:r w:rsidR="00A30B8A">
        <w:rPr>
          <w:rFonts w:ascii="Arial" w:eastAsia="Calibri" w:hAnsi="Arial" w:cs="Arial"/>
          <w:lang w:eastAsia="en-US"/>
        </w:rPr>
        <w:t>79,62</w:t>
      </w:r>
      <w:r w:rsidRPr="00C23737">
        <w:rPr>
          <w:rFonts w:ascii="Arial" w:eastAsia="Calibri" w:hAnsi="Arial" w:cs="Arial"/>
          <w:lang w:eastAsia="en-US"/>
        </w:rPr>
        <w:t xml:space="preserve"> €. </w:t>
      </w:r>
      <w:bookmarkEnd w:id="116"/>
    </w:p>
    <w:p w14:paraId="175F18F7" w14:textId="77777777" w:rsidR="00C23737" w:rsidRDefault="00C23737" w:rsidP="00CC19B3">
      <w:pPr>
        <w:pStyle w:val="Odlomakpopi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0"/>
        <w:rPr>
          <w:rFonts w:ascii="Arial" w:eastAsia="Calibri" w:hAnsi="Arial" w:cs="Arial"/>
          <w:sz w:val="22"/>
          <w:szCs w:val="22"/>
        </w:rPr>
      </w:pPr>
    </w:p>
    <w:p w14:paraId="62B61338" w14:textId="098B96A4" w:rsidR="00C23737" w:rsidRPr="00D0351C" w:rsidRDefault="00C23737" w:rsidP="00C2373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8"/>
          <w:szCs w:val="18"/>
          <w:lang w:eastAsia="en-US"/>
        </w:rPr>
      </w:pPr>
      <w:r w:rsidRPr="00C23737">
        <w:rPr>
          <w:rFonts w:ascii="Arial" w:eastAsia="Calibri" w:hAnsi="Arial" w:cs="Arial"/>
          <w:lang w:eastAsia="en-US"/>
        </w:rPr>
        <w:t xml:space="preserve">Prihodi od naknade za pružene usluge za obračun i naplatu naknade za uređenje voda koja se naplaćuje zajedno s komunalnom naknadom u tekućoj godini u iznosu </w:t>
      </w:r>
      <w:r w:rsidR="00A30B8A">
        <w:rPr>
          <w:rFonts w:ascii="Arial" w:eastAsia="Calibri" w:hAnsi="Arial" w:cs="Arial"/>
          <w:lang w:eastAsia="en-US"/>
        </w:rPr>
        <w:t xml:space="preserve">40.956,41 </w:t>
      </w:r>
      <w:r w:rsidRPr="00C23737">
        <w:rPr>
          <w:rFonts w:ascii="Arial" w:eastAsia="Calibri" w:hAnsi="Arial" w:cs="Arial"/>
          <w:lang w:eastAsia="en-US"/>
        </w:rPr>
        <w:t>€ se odnose na prihode od usluge naplate za 202</w:t>
      </w:r>
      <w:r w:rsidR="00A30B8A">
        <w:rPr>
          <w:rFonts w:ascii="Arial" w:eastAsia="Calibri" w:hAnsi="Arial" w:cs="Arial"/>
          <w:lang w:eastAsia="en-US"/>
        </w:rPr>
        <w:t>4</w:t>
      </w:r>
      <w:r w:rsidRPr="00C23737">
        <w:rPr>
          <w:rFonts w:ascii="Arial" w:eastAsia="Calibri" w:hAnsi="Arial" w:cs="Arial"/>
          <w:lang w:eastAsia="en-US"/>
        </w:rPr>
        <w:t>. godinu</w:t>
      </w:r>
      <w:r w:rsidR="00D0351C">
        <w:rPr>
          <w:rFonts w:ascii="Arial" w:eastAsia="Calibri" w:hAnsi="Arial" w:cs="Arial"/>
          <w:lang w:eastAsia="en-US"/>
        </w:rPr>
        <w:t>.</w:t>
      </w:r>
      <w:r w:rsidRPr="00C23737">
        <w:rPr>
          <w:rFonts w:ascii="Arial" w:eastAsia="Calibri" w:hAnsi="Arial" w:cs="Arial"/>
          <w:lang w:eastAsia="en-US"/>
        </w:rPr>
        <w:t xml:space="preserve"> </w:t>
      </w:r>
      <w:r w:rsidRPr="00D0351C">
        <w:rPr>
          <w:rFonts w:ascii="Arial" w:eastAsia="Calibri" w:hAnsi="Arial" w:cs="Arial"/>
          <w:sz w:val="18"/>
          <w:szCs w:val="18"/>
          <w:lang w:eastAsia="en-US"/>
        </w:rPr>
        <w:t>(</w:t>
      </w:r>
      <w:r w:rsidR="00D0351C">
        <w:rPr>
          <w:rFonts w:ascii="Arial" w:eastAsia="Calibri" w:hAnsi="Arial" w:cs="Arial"/>
          <w:sz w:val="18"/>
          <w:szCs w:val="18"/>
          <w:lang w:eastAsia="en-US"/>
        </w:rPr>
        <w:t>U</w:t>
      </w:r>
      <w:r w:rsidRPr="00D0351C">
        <w:rPr>
          <w:rFonts w:ascii="Arial" w:eastAsia="Calibri" w:hAnsi="Arial" w:cs="Arial"/>
          <w:sz w:val="18"/>
          <w:szCs w:val="18"/>
          <w:lang w:eastAsia="en-US"/>
        </w:rPr>
        <w:t xml:space="preserve"> 2014. ovi prihodi od usluga iznosili 9.577,28 €, u 2015. su iznosili 11.542,90 €, u 2017. su iznosili 22.155,42 €, u 2018. su iznosili 1.760,92 €, u 2019. su iznosili 29.742,52 €, u 2020. su iznosili 30.614,74 €, u 2021. su iznosili 35.160,15 €, u 2022. su iznosili 43.643,84 €, u 2023. godini 42.113,03 €</w:t>
      </w:r>
      <w:r w:rsidR="00620597">
        <w:rPr>
          <w:rFonts w:ascii="Arial" w:eastAsia="Calibri" w:hAnsi="Arial" w:cs="Arial"/>
          <w:sz w:val="18"/>
          <w:szCs w:val="18"/>
          <w:lang w:eastAsia="en-US"/>
        </w:rPr>
        <w:t xml:space="preserve">, u 2024. godini </w:t>
      </w:r>
      <w:r w:rsidR="00187BBA" w:rsidRPr="00187BBA">
        <w:rPr>
          <w:rFonts w:ascii="Arial" w:eastAsia="Calibri" w:hAnsi="Arial" w:cs="Arial"/>
          <w:sz w:val="18"/>
          <w:szCs w:val="18"/>
          <w:lang w:eastAsia="en-US"/>
        </w:rPr>
        <w:t>38.940,98 €</w:t>
      </w:r>
      <w:r w:rsidRPr="00D0351C">
        <w:rPr>
          <w:rFonts w:ascii="Arial" w:eastAsia="Calibri" w:hAnsi="Arial" w:cs="Arial"/>
          <w:sz w:val="18"/>
          <w:szCs w:val="18"/>
          <w:lang w:eastAsia="en-US"/>
        </w:rPr>
        <w:t>).</w:t>
      </w:r>
    </w:p>
    <w:p w14:paraId="7E0C3789" w14:textId="77777777" w:rsidR="00C23737" w:rsidRPr="00C23737" w:rsidRDefault="00C23737" w:rsidP="00C2373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bookmarkEnd w:id="114"/>
    <w:p w14:paraId="5D3C7B1C" w14:textId="6CAC093F" w:rsidR="00CC19B3" w:rsidRPr="003A2F86" w:rsidRDefault="00A05B7B" w:rsidP="00CC19B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rPr>
      </w:pPr>
      <w:r w:rsidRPr="003A2F86">
        <w:rPr>
          <w:rFonts w:ascii="Arial" w:hAnsi="Arial" w:cs="Arial"/>
          <w:bCs/>
          <w:iCs/>
        </w:rPr>
        <w:t xml:space="preserve">U okviru prihodi od </w:t>
      </w:r>
      <w:r w:rsidRPr="003A2F86">
        <w:rPr>
          <w:rFonts w:ascii="Arial" w:hAnsi="Arial" w:cs="Arial"/>
          <w:bCs/>
        </w:rPr>
        <w:t>upravnih i administrativnih pristojbi, pristojbi po posebnim propisima i naknada</w:t>
      </w:r>
      <w:r w:rsidRPr="003A2F86">
        <w:rPr>
          <w:rFonts w:ascii="Arial" w:hAnsi="Arial" w:cs="Arial"/>
          <w:b/>
        </w:rPr>
        <w:t xml:space="preserve"> </w:t>
      </w:r>
      <w:r w:rsidRPr="003A2F86">
        <w:rPr>
          <w:rFonts w:ascii="Arial" w:hAnsi="Arial" w:cs="Arial"/>
          <w:iCs/>
        </w:rPr>
        <w:t xml:space="preserve">(65), vrijednosno najznačajniji prihodi </w:t>
      </w:r>
      <w:r w:rsidRPr="003A2F86">
        <w:rPr>
          <w:rFonts w:ascii="Arial" w:eastAsia="Calibri" w:hAnsi="Arial" w:cs="Arial"/>
          <w:lang w:eastAsia="en-US"/>
        </w:rPr>
        <w:t>Općine se odnose na prihode u okviru</w:t>
      </w:r>
      <w:r w:rsidR="009A2A97" w:rsidRPr="003A2F86">
        <w:rPr>
          <w:rFonts w:ascii="Arial" w:eastAsia="Calibri" w:hAnsi="Arial" w:cs="Arial"/>
          <w:lang w:eastAsia="en-US"/>
        </w:rPr>
        <w:t xml:space="preserve"> podskupine prihoda </w:t>
      </w:r>
      <w:r w:rsidR="009A2A97" w:rsidRPr="003A2F86">
        <w:rPr>
          <w:rFonts w:ascii="Arial" w:eastAsia="Calibri" w:hAnsi="Arial" w:cs="Arial"/>
          <w:b/>
          <w:bCs/>
          <w:lang w:eastAsia="en-US"/>
        </w:rPr>
        <w:t>653</w:t>
      </w:r>
      <w:r w:rsidRPr="003A2F86">
        <w:rPr>
          <w:rFonts w:ascii="Arial" w:eastAsia="Calibri" w:hAnsi="Arial" w:cs="Arial"/>
          <w:lang w:eastAsia="en-US"/>
        </w:rPr>
        <w:t xml:space="preserve"> (komunalni doprinos -</w:t>
      </w:r>
      <w:r w:rsidR="003C3AEE" w:rsidRPr="003A2F86">
        <w:rPr>
          <w:rFonts w:ascii="Arial" w:eastAsia="Calibri" w:hAnsi="Arial" w:cs="Arial"/>
          <w:lang w:eastAsia="en-US"/>
        </w:rPr>
        <w:t xml:space="preserve"> </w:t>
      </w:r>
      <w:r w:rsidRPr="003A2F86">
        <w:rPr>
          <w:rFonts w:ascii="Arial" w:eastAsia="Calibri" w:hAnsi="Arial" w:cs="Arial"/>
          <w:lang w:eastAsia="en-US"/>
        </w:rPr>
        <w:t>6531 i komunalna naknada -</w:t>
      </w:r>
      <w:r w:rsidR="003C3AEE" w:rsidRPr="003A2F86">
        <w:rPr>
          <w:rFonts w:ascii="Arial" w:eastAsia="Calibri" w:hAnsi="Arial" w:cs="Arial"/>
          <w:lang w:eastAsia="en-US"/>
        </w:rPr>
        <w:t xml:space="preserve"> </w:t>
      </w:r>
      <w:r w:rsidRPr="003A2F86">
        <w:rPr>
          <w:rFonts w:ascii="Arial" w:eastAsia="Calibri" w:hAnsi="Arial" w:cs="Arial"/>
          <w:lang w:eastAsia="en-US"/>
        </w:rPr>
        <w:t xml:space="preserve">6532) u ukupnom iznosu </w:t>
      </w:r>
      <w:r w:rsidR="00187BBA">
        <w:rPr>
          <w:rFonts w:ascii="Arial" w:eastAsia="Calibri" w:hAnsi="Arial" w:cs="Arial"/>
        </w:rPr>
        <w:t>687.602,25</w:t>
      </w:r>
      <w:r w:rsidR="00CC19B3" w:rsidRPr="003A2F86">
        <w:rPr>
          <w:rFonts w:ascii="Arial" w:eastAsia="Calibri" w:hAnsi="Arial" w:cs="Arial"/>
        </w:rPr>
        <w:t xml:space="preserve"> € što je za </w:t>
      </w:r>
      <w:r w:rsidR="00C51C58">
        <w:rPr>
          <w:rFonts w:ascii="Arial" w:eastAsia="Calibri" w:hAnsi="Arial" w:cs="Arial"/>
        </w:rPr>
        <w:t>106.555</w:t>
      </w:r>
      <w:r w:rsidR="00CC19B3" w:rsidRPr="003A2F86">
        <w:rPr>
          <w:rFonts w:ascii="Arial" w:eastAsia="Calibri" w:hAnsi="Arial" w:cs="Arial"/>
        </w:rPr>
        <w:t xml:space="preserve"> € ili </w:t>
      </w:r>
      <w:r w:rsidR="00C51C58">
        <w:rPr>
          <w:rFonts w:ascii="Arial" w:eastAsia="Calibri" w:hAnsi="Arial" w:cs="Arial"/>
        </w:rPr>
        <w:t>18,3</w:t>
      </w:r>
      <w:r w:rsidR="00CC19B3" w:rsidRPr="003A2F86">
        <w:rPr>
          <w:rFonts w:ascii="Arial" w:eastAsia="Calibri" w:hAnsi="Arial" w:cs="Arial"/>
        </w:rPr>
        <w:t xml:space="preserve">% </w:t>
      </w:r>
      <w:r w:rsidR="00C23737">
        <w:rPr>
          <w:rFonts w:ascii="Arial" w:eastAsia="Calibri" w:hAnsi="Arial" w:cs="Arial"/>
        </w:rPr>
        <w:t>više</w:t>
      </w:r>
      <w:r w:rsidR="00CC19B3" w:rsidRPr="003A2F86">
        <w:rPr>
          <w:rFonts w:ascii="Arial" w:eastAsia="Calibri" w:hAnsi="Arial" w:cs="Arial"/>
        </w:rPr>
        <w:t xml:space="preserve"> u odnosu na </w:t>
      </w:r>
      <w:r w:rsidR="00CC19B3" w:rsidRPr="003A2F86">
        <w:rPr>
          <w:rFonts w:ascii="Arial" w:hAnsi="Arial" w:cs="Arial"/>
          <w:iCs/>
        </w:rPr>
        <w:t>izvještajno razdoblje prethodne godine.</w:t>
      </w:r>
    </w:p>
    <w:p w14:paraId="604E72B1" w14:textId="77777777" w:rsidR="00023378" w:rsidRPr="003A2F86" w:rsidRDefault="00023378" w:rsidP="009A2A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6"/>
          <w:szCs w:val="16"/>
          <w:lang w:eastAsia="en-US"/>
        </w:rPr>
      </w:pPr>
      <w:bookmarkStart w:id="117" w:name="_Hlk103075487"/>
    </w:p>
    <w:bookmarkEnd w:id="117"/>
    <w:p w14:paraId="4CB1EA4F" w14:textId="04C117D1" w:rsidR="00C23737" w:rsidRPr="00EE2CA0" w:rsidRDefault="00464968" w:rsidP="00C23737">
      <w:pPr>
        <w:pStyle w:val="Tijeloteksta2"/>
        <w:rPr>
          <w:rFonts w:ascii="Arial" w:hAnsi="Arial" w:cs="Arial"/>
          <w:iCs/>
          <w:sz w:val="22"/>
          <w:szCs w:val="22"/>
          <w:lang w:val="hr-HR"/>
        </w:rPr>
      </w:pPr>
      <w:r w:rsidRPr="00B247B2">
        <w:rPr>
          <w:rFonts w:ascii="Arial" w:hAnsi="Arial" w:cs="Arial"/>
          <w:iCs/>
          <w:sz w:val="22"/>
          <w:szCs w:val="22"/>
          <w:lang w:val="hr-HR"/>
        </w:rPr>
        <w:t xml:space="preserve">Prihodi od </w:t>
      </w:r>
      <w:r w:rsidRPr="00B247B2">
        <w:rPr>
          <w:rFonts w:ascii="Arial" w:hAnsi="Arial" w:cs="Arial"/>
          <w:b/>
          <w:bCs/>
          <w:iCs/>
          <w:sz w:val="22"/>
          <w:szCs w:val="22"/>
          <w:lang w:val="hr-HR"/>
        </w:rPr>
        <w:t>komunalnog doprinosa</w:t>
      </w:r>
      <w:r w:rsidRPr="00B247B2">
        <w:rPr>
          <w:rFonts w:ascii="Arial" w:hAnsi="Arial" w:cs="Arial"/>
          <w:iCs/>
          <w:sz w:val="22"/>
          <w:szCs w:val="22"/>
          <w:lang w:val="hr-HR"/>
        </w:rPr>
        <w:t xml:space="preserve"> (6531) su ostvareni u iznosu </w:t>
      </w:r>
      <w:r w:rsidR="00C51C58">
        <w:rPr>
          <w:rFonts w:ascii="Arial" w:hAnsi="Arial" w:cs="Arial"/>
          <w:iCs/>
          <w:sz w:val="22"/>
          <w:szCs w:val="22"/>
          <w:lang w:val="hr-HR"/>
        </w:rPr>
        <w:t>161.927,80</w:t>
      </w:r>
      <w:r w:rsidR="00C23737" w:rsidRPr="00B247B2">
        <w:rPr>
          <w:rFonts w:ascii="Arial" w:hAnsi="Arial" w:cs="Arial"/>
          <w:iCs/>
          <w:sz w:val="22"/>
          <w:szCs w:val="22"/>
          <w:lang w:val="hr-HR"/>
        </w:rPr>
        <w:t xml:space="preserve"> € što je </w:t>
      </w:r>
      <w:r w:rsidR="00C51C58">
        <w:rPr>
          <w:rFonts w:ascii="Arial" w:hAnsi="Arial" w:cs="Arial"/>
          <w:iCs/>
          <w:sz w:val="22"/>
          <w:szCs w:val="22"/>
          <w:lang w:val="hr-HR"/>
        </w:rPr>
        <w:t>više</w:t>
      </w:r>
      <w:r w:rsidR="00C23737" w:rsidRPr="00B247B2">
        <w:rPr>
          <w:rFonts w:ascii="Arial" w:hAnsi="Arial" w:cs="Arial"/>
          <w:iCs/>
          <w:sz w:val="22"/>
          <w:szCs w:val="22"/>
          <w:lang w:val="hr-HR"/>
        </w:rPr>
        <w:t xml:space="preserve"> za </w:t>
      </w:r>
      <w:r w:rsidR="00C51C58">
        <w:rPr>
          <w:rFonts w:ascii="Arial" w:hAnsi="Arial" w:cs="Arial"/>
          <w:iCs/>
          <w:sz w:val="22"/>
          <w:szCs w:val="22"/>
          <w:lang w:val="hr-HR"/>
        </w:rPr>
        <w:t>40.475,25</w:t>
      </w:r>
      <w:r w:rsidR="00C23737" w:rsidRPr="00B247B2">
        <w:rPr>
          <w:rFonts w:ascii="Arial" w:hAnsi="Arial" w:cs="Arial"/>
          <w:iCs/>
          <w:sz w:val="22"/>
          <w:szCs w:val="22"/>
          <w:lang w:val="hr-HR"/>
        </w:rPr>
        <w:t xml:space="preserve"> € ili </w:t>
      </w:r>
      <w:r w:rsidR="00C51C58">
        <w:rPr>
          <w:rFonts w:ascii="Arial" w:hAnsi="Arial" w:cs="Arial"/>
          <w:iCs/>
          <w:sz w:val="22"/>
          <w:szCs w:val="22"/>
          <w:lang w:val="hr-HR"/>
        </w:rPr>
        <w:t>33</w:t>
      </w:r>
      <w:r w:rsidR="00C23737" w:rsidRPr="00B247B2">
        <w:rPr>
          <w:rFonts w:ascii="Arial" w:hAnsi="Arial" w:cs="Arial"/>
          <w:iCs/>
          <w:sz w:val="22"/>
          <w:szCs w:val="22"/>
          <w:lang w:val="hr-HR"/>
        </w:rPr>
        <w:t xml:space="preserve">,3% u odnosu na </w:t>
      </w:r>
      <w:r w:rsidR="00C23737" w:rsidRPr="00EE2CA0">
        <w:rPr>
          <w:rFonts w:ascii="Arial" w:hAnsi="Arial" w:cs="Arial"/>
          <w:iCs/>
          <w:sz w:val="22"/>
          <w:szCs w:val="22"/>
          <w:lang w:val="hr-HR"/>
        </w:rPr>
        <w:fldChar w:fldCharType="begin"/>
      </w:r>
      <w:r w:rsidR="00C23737" w:rsidRPr="00EE2CA0">
        <w:rPr>
          <w:rFonts w:ascii="Arial" w:hAnsi="Arial" w:cs="Arial"/>
          <w:iCs/>
          <w:sz w:val="22"/>
          <w:szCs w:val="22"/>
          <w:lang w:val="hr-HR"/>
        </w:rPr>
        <w:instrText xml:space="preserve"> LINK Word.Document.8 "C:\\Users\\Korisnik\\Desktop\\2020. za godišnji\\Bilješke uz financijske izvještaje za 2020, RADNO sa zarezom duže.doc" "OLE_LINK1" \a \r  \* MERGEFORMAT </w:instrText>
      </w:r>
      <w:r w:rsidR="00C23737" w:rsidRPr="00EE2CA0">
        <w:rPr>
          <w:rFonts w:ascii="Arial" w:hAnsi="Arial" w:cs="Arial"/>
          <w:iCs/>
          <w:sz w:val="22"/>
          <w:szCs w:val="22"/>
          <w:lang w:val="hr-HR"/>
        </w:rPr>
        <w:fldChar w:fldCharType="separate"/>
      </w:r>
      <w:r w:rsidR="00C23737" w:rsidRPr="00EE2CA0">
        <w:rPr>
          <w:rFonts w:ascii="Arial" w:hAnsi="Arial" w:cs="Arial"/>
          <w:sz w:val="22"/>
          <w:szCs w:val="22"/>
          <w:lang w:val="hr-HR"/>
        </w:rPr>
        <w:t>isto izvještajno razdoblje prethodne godine</w:t>
      </w:r>
      <w:r w:rsidR="00C23737" w:rsidRPr="00EE2CA0">
        <w:rPr>
          <w:rFonts w:ascii="Arial" w:hAnsi="Arial" w:cs="Arial"/>
          <w:iCs/>
          <w:sz w:val="22"/>
          <w:szCs w:val="22"/>
          <w:lang w:val="hr-HR"/>
        </w:rPr>
        <w:fldChar w:fldCharType="end"/>
      </w:r>
      <w:r w:rsidR="00C23737" w:rsidRPr="00EE2CA0">
        <w:rPr>
          <w:rFonts w:ascii="Arial" w:hAnsi="Arial" w:cs="Arial"/>
          <w:iCs/>
          <w:sz w:val="22"/>
          <w:szCs w:val="22"/>
          <w:lang w:val="hr-HR"/>
        </w:rPr>
        <w:t>.</w:t>
      </w:r>
    </w:p>
    <w:p w14:paraId="534BA076" w14:textId="77777777" w:rsidR="00C51C58" w:rsidRDefault="00C51C58" w:rsidP="00C23737">
      <w:pPr>
        <w:pStyle w:val="Tijeloteksta2"/>
        <w:rPr>
          <w:rFonts w:ascii="Arial" w:eastAsia="Calibri" w:hAnsi="Arial" w:cs="Arial"/>
          <w:sz w:val="16"/>
          <w:szCs w:val="16"/>
          <w:lang w:val="hr-HR"/>
        </w:rPr>
      </w:pPr>
    </w:p>
    <w:p w14:paraId="19041886" w14:textId="77777777" w:rsidR="00C51C58" w:rsidRDefault="00C51C58" w:rsidP="00C23737">
      <w:pPr>
        <w:pStyle w:val="Tijeloteksta2"/>
        <w:rPr>
          <w:rFonts w:ascii="Arial" w:eastAsia="Calibri" w:hAnsi="Arial" w:cs="Arial"/>
          <w:sz w:val="16"/>
          <w:szCs w:val="16"/>
          <w:lang w:val="hr-HR"/>
        </w:rPr>
      </w:pPr>
    </w:p>
    <w:p w14:paraId="66F6208D" w14:textId="77777777" w:rsidR="00C51C58" w:rsidRDefault="00C51C58" w:rsidP="00C23737">
      <w:pPr>
        <w:pStyle w:val="Tijeloteksta2"/>
        <w:rPr>
          <w:rFonts w:ascii="Arial" w:eastAsia="Calibri" w:hAnsi="Arial" w:cs="Arial"/>
          <w:sz w:val="16"/>
          <w:szCs w:val="16"/>
          <w:lang w:val="hr-HR"/>
        </w:rPr>
      </w:pPr>
    </w:p>
    <w:p w14:paraId="7439E4EA" w14:textId="77777777" w:rsidR="00C51C58" w:rsidRPr="00EE2CA0" w:rsidRDefault="00C51C58" w:rsidP="00C23737">
      <w:pPr>
        <w:pStyle w:val="Tijeloteksta2"/>
        <w:rPr>
          <w:rFonts w:ascii="Arial" w:eastAsia="Calibri" w:hAnsi="Arial" w:cs="Arial"/>
          <w:sz w:val="16"/>
          <w:szCs w:val="16"/>
          <w:lang w:val="hr-HR"/>
        </w:rPr>
      </w:pPr>
    </w:p>
    <w:p w14:paraId="643A97F2" w14:textId="3804583D" w:rsidR="009A2A97" w:rsidRPr="00EE2CA0" w:rsidRDefault="009A2A97" w:rsidP="003E14B7">
      <w:pPr>
        <w:spacing w:after="0" w:line="240" w:lineRule="auto"/>
        <w:jc w:val="both"/>
        <w:rPr>
          <w:rFonts w:ascii="Arial" w:eastAsia="Calibri" w:hAnsi="Arial" w:cs="Arial"/>
          <w:sz w:val="20"/>
          <w:szCs w:val="20"/>
          <w:lang w:eastAsia="en-US"/>
        </w:rPr>
      </w:pPr>
      <w:r w:rsidRPr="00EE2CA0">
        <w:rPr>
          <w:rFonts w:ascii="Arial" w:eastAsia="Times New Roman" w:hAnsi="Arial" w:cs="Arial"/>
          <w:i/>
          <w:iCs/>
          <w:sz w:val="18"/>
          <w:szCs w:val="18"/>
        </w:rPr>
        <w:lastRenderedPageBreak/>
        <w:t>* Usporedba:</w:t>
      </w:r>
      <w:r w:rsidRPr="00EE2CA0">
        <w:rPr>
          <w:rFonts w:ascii="Arial" w:eastAsia="Calibri" w:hAnsi="Arial" w:cs="Arial"/>
          <w:sz w:val="20"/>
          <w:szCs w:val="20"/>
          <w:lang w:eastAsia="en-US"/>
        </w:rPr>
        <w:t xml:space="preserve"> </w:t>
      </w:r>
    </w:p>
    <w:tbl>
      <w:tblPr>
        <w:tblW w:w="14705" w:type="dxa"/>
        <w:jc w:val="center"/>
        <w:tblLook w:val="04A0" w:firstRow="1" w:lastRow="0" w:firstColumn="1" w:lastColumn="0" w:noHBand="0" w:noVBand="1"/>
      </w:tblPr>
      <w:tblGrid>
        <w:gridCol w:w="1123"/>
        <w:gridCol w:w="1267"/>
        <w:gridCol w:w="12315"/>
      </w:tblGrid>
      <w:tr w:rsidR="003E14B7" w:rsidRPr="00EE2CA0" w14:paraId="27EE8242" w14:textId="77777777" w:rsidTr="00B57693">
        <w:trPr>
          <w:trHeight w:val="237"/>
          <w:jc w:val="center"/>
        </w:trPr>
        <w:tc>
          <w:tcPr>
            <w:tcW w:w="14705" w:type="dxa"/>
            <w:gridSpan w:val="3"/>
            <w:tcBorders>
              <w:top w:val="single" w:sz="8" w:space="0" w:color="000000"/>
              <w:left w:val="single" w:sz="8" w:space="0" w:color="000000"/>
              <w:bottom w:val="single" w:sz="8" w:space="0" w:color="000000"/>
              <w:right w:val="single" w:sz="4" w:space="0" w:color="auto"/>
            </w:tcBorders>
            <w:vAlign w:val="center"/>
            <w:hideMark/>
          </w:tcPr>
          <w:p w14:paraId="4E18C947" w14:textId="77777777" w:rsidR="003E14B7" w:rsidRPr="00EE2CA0" w:rsidRDefault="003E14B7" w:rsidP="003E14B7">
            <w:pPr>
              <w:spacing w:after="0" w:line="240" w:lineRule="auto"/>
              <w:jc w:val="center"/>
              <w:rPr>
                <w:rFonts w:ascii="Arial" w:eastAsia="Times New Roman" w:hAnsi="Arial" w:cs="Arial"/>
                <w:b/>
                <w:bCs/>
                <w:i/>
                <w:iCs/>
                <w:sz w:val="18"/>
                <w:szCs w:val="18"/>
              </w:rPr>
            </w:pPr>
            <w:r w:rsidRPr="00EE2CA0">
              <w:rPr>
                <w:rFonts w:ascii="Arial" w:eastAsia="Times New Roman" w:hAnsi="Arial" w:cs="Arial"/>
                <w:b/>
                <w:bCs/>
                <w:i/>
                <w:iCs/>
                <w:sz w:val="18"/>
                <w:szCs w:val="18"/>
              </w:rPr>
              <w:t>Prihod od komunalnog doprinosa (</w:t>
            </w:r>
            <w:r w:rsidRPr="00EE2CA0">
              <w:rPr>
                <w:rFonts w:ascii="Arial" w:eastAsia="Times New Roman" w:hAnsi="Arial" w:cs="Arial"/>
                <w:b/>
                <w:bCs/>
                <w:i/>
                <w:iCs/>
                <w:color w:val="FF0000"/>
                <w:sz w:val="18"/>
                <w:szCs w:val="18"/>
              </w:rPr>
              <w:t>6531</w:t>
            </w:r>
            <w:r w:rsidRPr="00EE2CA0">
              <w:rPr>
                <w:rFonts w:ascii="Arial" w:eastAsia="Times New Roman" w:hAnsi="Arial" w:cs="Arial"/>
                <w:b/>
                <w:bCs/>
                <w:i/>
                <w:iCs/>
                <w:sz w:val="18"/>
                <w:szCs w:val="18"/>
              </w:rPr>
              <w:t>)</w:t>
            </w:r>
          </w:p>
        </w:tc>
      </w:tr>
      <w:tr w:rsidR="003E14B7" w:rsidRPr="003A2F86" w14:paraId="64B7EE1C" w14:textId="77777777" w:rsidTr="0095794B">
        <w:trPr>
          <w:trHeight w:val="228"/>
          <w:jc w:val="center"/>
        </w:trPr>
        <w:tc>
          <w:tcPr>
            <w:tcW w:w="1123" w:type="dxa"/>
            <w:tcBorders>
              <w:top w:val="nil"/>
              <w:left w:val="single" w:sz="8" w:space="0" w:color="000000"/>
              <w:bottom w:val="single" w:sz="8" w:space="0" w:color="000000"/>
              <w:right w:val="single" w:sz="8" w:space="0" w:color="000000"/>
            </w:tcBorders>
            <w:vAlign w:val="center"/>
            <w:hideMark/>
          </w:tcPr>
          <w:p w14:paraId="0407F32D" w14:textId="77777777" w:rsidR="003E14B7" w:rsidRPr="003A2F86" w:rsidRDefault="003E14B7" w:rsidP="003E14B7">
            <w:pPr>
              <w:spacing w:after="0" w:line="240" w:lineRule="auto"/>
              <w:jc w:val="center"/>
              <w:rPr>
                <w:rFonts w:ascii="Arial" w:eastAsia="Times New Roman" w:hAnsi="Arial" w:cs="Arial"/>
                <w:b/>
                <w:bCs/>
                <w:i/>
                <w:iCs/>
                <w:sz w:val="18"/>
                <w:szCs w:val="18"/>
              </w:rPr>
            </w:pPr>
            <w:r w:rsidRPr="003A2F86">
              <w:rPr>
                <w:rFonts w:ascii="Arial" w:eastAsia="Times New Roman" w:hAnsi="Arial" w:cs="Arial"/>
                <w:b/>
                <w:bCs/>
                <w:i/>
                <w:iCs/>
                <w:sz w:val="18"/>
                <w:szCs w:val="18"/>
              </w:rPr>
              <w:t>Godina</w:t>
            </w:r>
          </w:p>
        </w:tc>
        <w:tc>
          <w:tcPr>
            <w:tcW w:w="1267" w:type="dxa"/>
            <w:tcBorders>
              <w:top w:val="nil"/>
              <w:left w:val="nil"/>
              <w:bottom w:val="single" w:sz="8" w:space="0" w:color="000000"/>
              <w:right w:val="single" w:sz="8" w:space="0" w:color="000000"/>
            </w:tcBorders>
            <w:vAlign w:val="center"/>
            <w:hideMark/>
          </w:tcPr>
          <w:p w14:paraId="4008A69E" w14:textId="1292927E" w:rsidR="003E14B7" w:rsidRPr="003A2F86" w:rsidRDefault="003E14B7" w:rsidP="003E14B7">
            <w:pPr>
              <w:spacing w:after="0" w:line="240" w:lineRule="auto"/>
              <w:jc w:val="center"/>
              <w:rPr>
                <w:rFonts w:ascii="Arial" w:eastAsia="Times New Roman" w:hAnsi="Arial" w:cs="Arial"/>
                <w:b/>
                <w:bCs/>
                <w:i/>
                <w:iCs/>
                <w:sz w:val="18"/>
                <w:szCs w:val="18"/>
              </w:rPr>
            </w:pPr>
            <w:r w:rsidRPr="003A2F86">
              <w:rPr>
                <w:rFonts w:ascii="Arial" w:eastAsia="Times New Roman" w:hAnsi="Arial" w:cs="Arial"/>
                <w:b/>
                <w:bCs/>
                <w:i/>
                <w:iCs/>
                <w:sz w:val="18"/>
                <w:szCs w:val="18"/>
              </w:rPr>
              <w:t xml:space="preserve">Iznos </w:t>
            </w:r>
            <w:r w:rsidRPr="003A2F86">
              <w:rPr>
                <w:rFonts w:ascii="Arial" w:eastAsia="Times New Roman" w:hAnsi="Arial" w:cs="Arial"/>
                <w:b/>
                <w:bCs/>
                <w:i/>
                <w:iCs/>
                <w:color w:val="FF0000"/>
                <w:sz w:val="18"/>
                <w:szCs w:val="18"/>
              </w:rPr>
              <w:t>(</w:t>
            </w:r>
            <w:r w:rsidR="00B57693" w:rsidRPr="003A2F86">
              <w:rPr>
                <w:rFonts w:ascii="Arial" w:eastAsia="Times New Roman" w:hAnsi="Arial" w:cs="Arial"/>
                <w:b/>
                <w:bCs/>
                <w:i/>
                <w:iCs/>
                <w:color w:val="FF0000"/>
                <w:sz w:val="18"/>
                <w:szCs w:val="18"/>
              </w:rPr>
              <w:t>€</w:t>
            </w:r>
            <w:r w:rsidRPr="003A2F86">
              <w:rPr>
                <w:rFonts w:ascii="Arial" w:eastAsia="Times New Roman" w:hAnsi="Arial" w:cs="Arial"/>
                <w:b/>
                <w:bCs/>
                <w:i/>
                <w:iCs/>
                <w:color w:val="FF0000"/>
                <w:sz w:val="18"/>
                <w:szCs w:val="18"/>
              </w:rPr>
              <w:t>)</w:t>
            </w:r>
          </w:p>
        </w:tc>
        <w:tc>
          <w:tcPr>
            <w:tcW w:w="12315" w:type="dxa"/>
            <w:tcBorders>
              <w:top w:val="nil"/>
              <w:left w:val="nil"/>
              <w:bottom w:val="single" w:sz="8" w:space="0" w:color="000000"/>
              <w:right w:val="single" w:sz="8" w:space="0" w:color="000000"/>
            </w:tcBorders>
            <w:vAlign w:val="center"/>
            <w:hideMark/>
          </w:tcPr>
          <w:p w14:paraId="26ECC7C1" w14:textId="77777777" w:rsidR="003E14B7" w:rsidRPr="003A2F86" w:rsidRDefault="003E14B7" w:rsidP="003E14B7">
            <w:pPr>
              <w:spacing w:after="0" w:line="240" w:lineRule="auto"/>
              <w:jc w:val="center"/>
              <w:rPr>
                <w:rFonts w:ascii="Arial" w:eastAsia="Times New Roman" w:hAnsi="Arial" w:cs="Arial"/>
                <w:b/>
                <w:bCs/>
                <w:i/>
                <w:iCs/>
                <w:sz w:val="18"/>
                <w:szCs w:val="18"/>
              </w:rPr>
            </w:pPr>
            <w:r w:rsidRPr="003A2F86">
              <w:rPr>
                <w:rFonts w:ascii="Arial" w:eastAsia="Times New Roman" w:hAnsi="Arial" w:cs="Arial"/>
                <w:b/>
                <w:bCs/>
                <w:i/>
                <w:iCs/>
                <w:sz w:val="18"/>
                <w:szCs w:val="18"/>
              </w:rPr>
              <w:t>Obrazloženje</w:t>
            </w:r>
          </w:p>
        </w:tc>
      </w:tr>
      <w:tr w:rsidR="00464968" w:rsidRPr="003A2F86" w14:paraId="57C51F64" w14:textId="77777777" w:rsidTr="0095794B">
        <w:trPr>
          <w:trHeight w:val="77"/>
          <w:jc w:val="center"/>
        </w:trPr>
        <w:tc>
          <w:tcPr>
            <w:tcW w:w="1123" w:type="dxa"/>
            <w:tcBorders>
              <w:top w:val="nil"/>
              <w:left w:val="single" w:sz="8" w:space="0" w:color="000000"/>
              <w:bottom w:val="single" w:sz="8" w:space="0" w:color="000000"/>
              <w:right w:val="single" w:sz="8" w:space="0" w:color="000000"/>
            </w:tcBorders>
            <w:vAlign w:val="center"/>
            <w:hideMark/>
          </w:tcPr>
          <w:p w14:paraId="7F368E72" w14:textId="7D88654C"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2012.</w:t>
            </w:r>
          </w:p>
        </w:tc>
        <w:tc>
          <w:tcPr>
            <w:tcW w:w="1267" w:type="dxa"/>
            <w:tcBorders>
              <w:top w:val="nil"/>
              <w:left w:val="nil"/>
              <w:bottom w:val="single" w:sz="8" w:space="0" w:color="000000"/>
              <w:right w:val="single" w:sz="8" w:space="0" w:color="000000"/>
            </w:tcBorders>
            <w:vAlign w:val="center"/>
            <w:hideMark/>
          </w:tcPr>
          <w:p w14:paraId="6B03A94B" w14:textId="2F3FC2DD"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55.284,73</w:t>
            </w:r>
          </w:p>
        </w:tc>
        <w:tc>
          <w:tcPr>
            <w:tcW w:w="12315" w:type="dxa"/>
            <w:tcBorders>
              <w:top w:val="nil"/>
              <w:left w:val="nil"/>
              <w:bottom w:val="single" w:sz="8" w:space="0" w:color="000000"/>
              <w:right w:val="single" w:sz="8" w:space="0" w:color="000000"/>
            </w:tcBorders>
            <w:vAlign w:val="center"/>
            <w:hideMark/>
          </w:tcPr>
          <w:p w14:paraId="06828215" w14:textId="33C4AAFE" w:rsidR="00464968" w:rsidRPr="003A2F86" w:rsidRDefault="00464968" w:rsidP="00464968">
            <w:pPr>
              <w:spacing w:after="0" w:line="240" w:lineRule="auto"/>
              <w:jc w:val="both"/>
              <w:rPr>
                <w:rFonts w:ascii="Arial" w:eastAsia="Times New Roman" w:hAnsi="Arial" w:cs="Arial"/>
                <w:i/>
                <w:iCs/>
                <w:sz w:val="18"/>
                <w:szCs w:val="18"/>
              </w:rPr>
            </w:pPr>
            <w:r w:rsidRPr="003A2F86">
              <w:rPr>
                <w:rFonts w:ascii="Arial" w:hAnsi="Arial" w:cs="Arial"/>
                <w:i/>
                <w:iCs/>
                <w:sz w:val="20"/>
                <w:szCs w:val="20"/>
              </w:rPr>
              <w:t> </w:t>
            </w:r>
          </w:p>
        </w:tc>
      </w:tr>
      <w:tr w:rsidR="00464968" w:rsidRPr="003A2F86" w14:paraId="4AD2BD41" w14:textId="77777777" w:rsidTr="0095794B">
        <w:trPr>
          <w:trHeight w:val="365"/>
          <w:jc w:val="center"/>
        </w:trPr>
        <w:tc>
          <w:tcPr>
            <w:tcW w:w="1123" w:type="dxa"/>
            <w:tcBorders>
              <w:top w:val="nil"/>
              <w:left w:val="single" w:sz="8" w:space="0" w:color="000000"/>
              <w:bottom w:val="single" w:sz="8" w:space="0" w:color="000000"/>
              <w:right w:val="single" w:sz="8" w:space="0" w:color="000000"/>
            </w:tcBorders>
            <w:vAlign w:val="center"/>
            <w:hideMark/>
          </w:tcPr>
          <w:p w14:paraId="40522F45" w14:textId="3620FE43"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2013.</w:t>
            </w:r>
          </w:p>
        </w:tc>
        <w:tc>
          <w:tcPr>
            <w:tcW w:w="1267" w:type="dxa"/>
            <w:tcBorders>
              <w:top w:val="nil"/>
              <w:left w:val="nil"/>
              <w:bottom w:val="single" w:sz="8" w:space="0" w:color="000000"/>
              <w:right w:val="single" w:sz="8" w:space="0" w:color="000000"/>
            </w:tcBorders>
            <w:vAlign w:val="center"/>
            <w:hideMark/>
          </w:tcPr>
          <w:p w14:paraId="2BEC5225" w14:textId="357BFA74"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423.109,43</w:t>
            </w:r>
          </w:p>
        </w:tc>
        <w:tc>
          <w:tcPr>
            <w:tcW w:w="12315" w:type="dxa"/>
            <w:tcBorders>
              <w:top w:val="nil"/>
              <w:left w:val="nil"/>
              <w:bottom w:val="single" w:sz="8" w:space="0" w:color="000000"/>
              <w:right w:val="single" w:sz="8" w:space="0" w:color="000000"/>
            </w:tcBorders>
            <w:vAlign w:val="center"/>
            <w:hideMark/>
          </w:tcPr>
          <w:p w14:paraId="24181462" w14:textId="7C29FB40"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od čega su se pojedinačno najznačajniji prihodi odnosili na prihode po rješenju Zračnoj luci Dubrovnik u iznosu 185.307,98 € (rekonstrukcija građenja grade C i privođenja konačnoj namjeni preostalog dijela tunela)</w:t>
            </w:r>
          </w:p>
        </w:tc>
      </w:tr>
      <w:tr w:rsidR="00464968" w:rsidRPr="003A2F86" w14:paraId="6E00C73F" w14:textId="77777777" w:rsidTr="0095794B">
        <w:trPr>
          <w:trHeight w:val="216"/>
          <w:jc w:val="center"/>
        </w:trPr>
        <w:tc>
          <w:tcPr>
            <w:tcW w:w="1123" w:type="dxa"/>
            <w:tcBorders>
              <w:top w:val="nil"/>
              <w:left w:val="single" w:sz="8" w:space="0" w:color="000000"/>
              <w:bottom w:val="single" w:sz="8" w:space="0" w:color="000000"/>
              <w:right w:val="single" w:sz="8" w:space="0" w:color="000000"/>
            </w:tcBorders>
            <w:vAlign w:val="center"/>
            <w:hideMark/>
          </w:tcPr>
          <w:p w14:paraId="11B355A9" w14:textId="0D979B2A"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2014.</w:t>
            </w:r>
          </w:p>
        </w:tc>
        <w:tc>
          <w:tcPr>
            <w:tcW w:w="1267" w:type="dxa"/>
            <w:tcBorders>
              <w:top w:val="nil"/>
              <w:left w:val="nil"/>
              <w:bottom w:val="single" w:sz="8" w:space="0" w:color="000000"/>
              <w:right w:val="single" w:sz="8" w:space="0" w:color="000000"/>
            </w:tcBorders>
            <w:vAlign w:val="center"/>
            <w:hideMark/>
          </w:tcPr>
          <w:p w14:paraId="27E9EF37" w14:textId="0499502D"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307.704,96</w:t>
            </w:r>
          </w:p>
        </w:tc>
        <w:tc>
          <w:tcPr>
            <w:tcW w:w="12315" w:type="dxa"/>
            <w:tcBorders>
              <w:top w:val="nil"/>
              <w:left w:val="nil"/>
              <w:bottom w:val="single" w:sz="8" w:space="0" w:color="000000"/>
              <w:right w:val="single" w:sz="8" w:space="0" w:color="000000"/>
            </w:tcBorders>
            <w:vAlign w:val="center"/>
            <w:hideMark/>
          </w:tcPr>
          <w:p w14:paraId="548ADB02" w14:textId="4F139D1A"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od čega u prvom polugodištu 2014. godine 130.364,86 €. Ovi prihodi su za 115.404,47 € ili 27,3% manji u odnosu na prethodnu godinu.</w:t>
            </w:r>
          </w:p>
        </w:tc>
      </w:tr>
      <w:tr w:rsidR="00464968" w:rsidRPr="003A2F86" w14:paraId="43693FF1" w14:textId="77777777" w:rsidTr="0095794B">
        <w:trPr>
          <w:trHeight w:val="248"/>
          <w:jc w:val="center"/>
        </w:trPr>
        <w:tc>
          <w:tcPr>
            <w:tcW w:w="1123" w:type="dxa"/>
            <w:tcBorders>
              <w:top w:val="nil"/>
              <w:left w:val="single" w:sz="8" w:space="0" w:color="000000"/>
              <w:bottom w:val="single" w:sz="8" w:space="0" w:color="000000"/>
              <w:right w:val="single" w:sz="8" w:space="0" w:color="000000"/>
            </w:tcBorders>
            <w:vAlign w:val="center"/>
            <w:hideMark/>
          </w:tcPr>
          <w:p w14:paraId="2EE8AED4" w14:textId="216063FC"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2015.</w:t>
            </w:r>
          </w:p>
        </w:tc>
        <w:tc>
          <w:tcPr>
            <w:tcW w:w="1267" w:type="dxa"/>
            <w:tcBorders>
              <w:top w:val="nil"/>
              <w:left w:val="nil"/>
              <w:bottom w:val="single" w:sz="8" w:space="0" w:color="000000"/>
              <w:right w:val="single" w:sz="8" w:space="0" w:color="000000"/>
            </w:tcBorders>
            <w:vAlign w:val="center"/>
            <w:hideMark/>
          </w:tcPr>
          <w:p w14:paraId="2F87C712" w14:textId="399A36C2"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179.871,33</w:t>
            </w:r>
          </w:p>
        </w:tc>
        <w:tc>
          <w:tcPr>
            <w:tcW w:w="12315" w:type="dxa"/>
            <w:tcBorders>
              <w:top w:val="nil"/>
              <w:left w:val="nil"/>
              <w:bottom w:val="single" w:sz="8" w:space="0" w:color="000000"/>
              <w:right w:val="single" w:sz="8" w:space="0" w:color="000000"/>
            </w:tcBorders>
            <w:vAlign w:val="center"/>
            <w:hideMark/>
          </w:tcPr>
          <w:p w14:paraId="06ECBF08" w14:textId="119B8819"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od čega u prvom polugodištu 2015. godine 94.035,54 €. Ovi prihodi su za 127.833,64 € ili 41,5% manji u odnosu na prethodnu godinu.</w:t>
            </w:r>
          </w:p>
        </w:tc>
      </w:tr>
      <w:tr w:rsidR="00464968" w:rsidRPr="003A2F86" w14:paraId="4FE5A536" w14:textId="77777777" w:rsidTr="0095794B">
        <w:trPr>
          <w:trHeight w:val="102"/>
          <w:jc w:val="center"/>
        </w:trPr>
        <w:tc>
          <w:tcPr>
            <w:tcW w:w="1123" w:type="dxa"/>
            <w:tcBorders>
              <w:top w:val="nil"/>
              <w:left w:val="single" w:sz="8" w:space="0" w:color="000000"/>
              <w:bottom w:val="single" w:sz="8" w:space="0" w:color="000000"/>
              <w:right w:val="single" w:sz="8" w:space="0" w:color="000000"/>
            </w:tcBorders>
            <w:vAlign w:val="center"/>
            <w:hideMark/>
          </w:tcPr>
          <w:p w14:paraId="37C6D692" w14:textId="029B4E73"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2016.</w:t>
            </w:r>
          </w:p>
        </w:tc>
        <w:tc>
          <w:tcPr>
            <w:tcW w:w="1267" w:type="dxa"/>
            <w:tcBorders>
              <w:top w:val="nil"/>
              <w:left w:val="nil"/>
              <w:bottom w:val="single" w:sz="8" w:space="0" w:color="000000"/>
              <w:right w:val="single" w:sz="8" w:space="0" w:color="000000"/>
            </w:tcBorders>
            <w:vAlign w:val="center"/>
            <w:hideMark/>
          </w:tcPr>
          <w:p w14:paraId="62226698" w14:textId="4BA36F8C"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253.160,69</w:t>
            </w:r>
          </w:p>
        </w:tc>
        <w:tc>
          <w:tcPr>
            <w:tcW w:w="12315" w:type="dxa"/>
            <w:tcBorders>
              <w:top w:val="nil"/>
              <w:left w:val="nil"/>
              <w:bottom w:val="single" w:sz="8" w:space="0" w:color="000000"/>
              <w:right w:val="single" w:sz="8" w:space="0" w:color="000000"/>
            </w:tcBorders>
            <w:vAlign w:val="center"/>
            <w:hideMark/>
          </w:tcPr>
          <w:p w14:paraId="5CC6C0F7" w14:textId="5AB2DE3D"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U prvom polugodištu 2016. godine ovi prihodi iznosili su 115.090,44 €. U 2016. godini ovi prihodi su za 73.289,36 € ili 40,8% veći u odnosu na prethodnu godinu.</w:t>
            </w:r>
          </w:p>
        </w:tc>
      </w:tr>
      <w:tr w:rsidR="00464968" w:rsidRPr="003A2F86" w14:paraId="0C8580AF" w14:textId="77777777" w:rsidTr="0095794B">
        <w:trPr>
          <w:trHeight w:val="263"/>
          <w:jc w:val="center"/>
        </w:trPr>
        <w:tc>
          <w:tcPr>
            <w:tcW w:w="1123" w:type="dxa"/>
            <w:tcBorders>
              <w:top w:val="nil"/>
              <w:left w:val="single" w:sz="8" w:space="0" w:color="000000"/>
              <w:bottom w:val="single" w:sz="8" w:space="0" w:color="000000"/>
              <w:right w:val="single" w:sz="8" w:space="0" w:color="000000"/>
            </w:tcBorders>
            <w:vAlign w:val="center"/>
            <w:hideMark/>
          </w:tcPr>
          <w:p w14:paraId="37FFEE85" w14:textId="1EE02579"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2017.</w:t>
            </w:r>
          </w:p>
        </w:tc>
        <w:tc>
          <w:tcPr>
            <w:tcW w:w="1267" w:type="dxa"/>
            <w:tcBorders>
              <w:top w:val="nil"/>
              <w:left w:val="nil"/>
              <w:bottom w:val="single" w:sz="8" w:space="0" w:color="000000"/>
              <w:right w:val="single" w:sz="8" w:space="0" w:color="000000"/>
            </w:tcBorders>
            <w:vAlign w:val="center"/>
            <w:hideMark/>
          </w:tcPr>
          <w:p w14:paraId="706E3F5A" w14:textId="5E9E7216"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223.595,87</w:t>
            </w:r>
          </w:p>
        </w:tc>
        <w:tc>
          <w:tcPr>
            <w:tcW w:w="12315" w:type="dxa"/>
            <w:tcBorders>
              <w:top w:val="nil"/>
              <w:left w:val="nil"/>
              <w:bottom w:val="single" w:sz="8" w:space="0" w:color="000000"/>
              <w:right w:val="single" w:sz="8" w:space="0" w:color="000000"/>
            </w:tcBorders>
            <w:vAlign w:val="center"/>
            <w:hideMark/>
          </w:tcPr>
          <w:p w14:paraId="50815422" w14:textId="2C8EDCB6"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što je manje za 29.564,82 € ili 11,7% u odnosu na izvještajno razdoblje prethodne godine. U prvom polugodištu 2017. godine ovi prihodi iznosili su 165.658,59 €.</w:t>
            </w:r>
          </w:p>
        </w:tc>
      </w:tr>
      <w:tr w:rsidR="00464968" w:rsidRPr="003A2F86" w14:paraId="22702B3C" w14:textId="77777777" w:rsidTr="0095794B">
        <w:trPr>
          <w:trHeight w:val="263"/>
          <w:jc w:val="center"/>
        </w:trPr>
        <w:tc>
          <w:tcPr>
            <w:tcW w:w="1123" w:type="dxa"/>
            <w:tcBorders>
              <w:top w:val="nil"/>
              <w:left w:val="single" w:sz="8" w:space="0" w:color="000000"/>
              <w:bottom w:val="single" w:sz="8" w:space="0" w:color="000000"/>
              <w:right w:val="single" w:sz="8" w:space="0" w:color="000000"/>
            </w:tcBorders>
            <w:vAlign w:val="center"/>
            <w:hideMark/>
          </w:tcPr>
          <w:p w14:paraId="78A6755D" w14:textId="022FB322"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2018.</w:t>
            </w:r>
          </w:p>
        </w:tc>
        <w:tc>
          <w:tcPr>
            <w:tcW w:w="1267" w:type="dxa"/>
            <w:tcBorders>
              <w:top w:val="nil"/>
              <w:left w:val="nil"/>
              <w:bottom w:val="single" w:sz="8" w:space="0" w:color="000000"/>
              <w:right w:val="single" w:sz="8" w:space="0" w:color="000000"/>
            </w:tcBorders>
            <w:vAlign w:val="center"/>
            <w:hideMark/>
          </w:tcPr>
          <w:p w14:paraId="24F16F0B" w14:textId="10DE5B01"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1.925.319,35</w:t>
            </w:r>
          </w:p>
        </w:tc>
        <w:tc>
          <w:tcPr>
            <w:tcW w:w="12315" w:type="dxa"/>
            <w:tcBorders>
              <w:top w:val="nil"/>
              <w:left w:val="nil"/>
              <w:bottom w:val="single" w:sz="8" w:space="0" w:color="000000"/>
              <w:right w:val="single" w:sz="8" w:space="0" w:color="000000"/>
            </w:tcBorders>
            <w:vAlign w:val="center"/>
            <w:hideMark/>
          </w:tcPr>
          <w:p w14:paraId="5D3DAF05" w14:textId="23091AD5"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što je više za 1.701.723,48 € ili 761,1% više u odnosu na izvještajno razdoblje prethodne godine. Vrijednosno najznačajniji iznos se odnosi na prihode po rješenjima Zračnoj luci Dubrovniku za rekonstrukciju i nadogradnju zgrade u ukupnom iznosu 1.508.053,87 €. U prvom polugodištu 2018. godine ovi prihodi iznosili su 176.931,07 €.</w:t>
            </w:r>
          </w:p>
        </w:tc>
      </w:tr>
      <w:tr w:rsidR="00464968" w:rsidRPr="003A2F86" w14:paraId="0AF05FD9" w14:textId="77777777" w:rsidTr="0095794B">
        <w:trPr>
          <w:trHeight w:val="202"/>
          <w:jc w:val="center"/>
        </w:trPr>
        <w:tc>
          <w:tcPr>
            <w:tcW w:w="1123" w:type="dxa"/>
            <w:tcBorders>
              <w:top w:val="nil"/>
              <w:left w:val="single" w:sz="8" w:space="0" w:color="000000"/>
              <w:bottom w:val="single" w:sz="8" w:space="0" w:color="000000"/>
              <w:right w:val="single" w:sz="8" w:space="0" w:color="000000"/>
            </w:tcBorders>
            <w:vAlign w:val="center"/>
            <w:hideMark/>
          </w:tcPr>
          <w:p w14:paraId="44375D29" w14:textId="3D19D19B"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2019.</w:t>
            </w:r>
          </w:p>
        </w:tc>
        <w:tc>
          <w:tcPr>
            <w:tcW w:w="1267" w:type="dxa"/>
            <w:tcBorders>
              <w:top w:val="nil"/>
              <w:left w:val="nil"/>
              <w:bottom w:val="single" w:sz="8" w:space="0" w:color="000000"/>
              <w:right w:val="single" w:sz="8" w:space="0" w:color="000000"/>
            </w:tcBorders>
            <w:vAlign w:val="center"/>
            <w:hideMark/>
          </w:tcPr>
          <w:p w14:paraId="1AFDC8DC" w14:textId="4A0E1C99"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223.405,79</w:t>
            </w:r>
          </w:p>
        </w:tc>
        <w:tc>
          <w:tcPr>
            <w:tcW w:w="12315" w:type="dxa"/>
            <w:tcBorders>
              <w:top w:val="nil"/>
              <w:left w:val="nil"/>
              <w:bottom w:val="single" w:sz="8" w:space="0" w:color="000000"/>
              <w:right w:val="single" w:sz="8" w:space="0" w:color="000000"/>
            </w:tcBorders>
            <w:vAlign w:val="center"/>
            <w:hideMark/>
          </w:tcPr>
          <w:p w14:paraId="150F6708" w14:textId="390D576D"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što je manje za 1.701.913,56 € ili 88,4% manje u odnosu na izvještajno razdoblje prethodne godine. U prvom polugodištu 2019. godine ovi prihodi iznosili su 119.769,09 €.</w:t>
            </w:r>
          </w:p>
        </w:tc>
      </w:tr>
      <w:tr w:rsidR="00464968" w:rsidRPr="003A2F86" w14:paraId="4BC78BEC" w14:textId="77777777" w:rsidTr="0095794B">
        <w:trPr>
          <w:trHeight w:val="264"/>
          <w:jc w:val="center"/>
        </w:trPr>
        <w:tc>
          <w:tcPr>
            <w:tcW w:w="1123" w:type="dxa"/>
            <w:tcBorders>
              <w:top w:val="nil"/>
              <w:left w:val="single" w:sz="8" w:space="0" w:color="000000"/>
              <w:bottom w:val="single" w:sz="8" w:space="0" w:color="000000"/>
              <w:right w:val="single" w:sz="8" w:space="0" w:color="000000"/>
            </w:tcBorders>
            <w:vAlign w:val="center"/>
            <w:hideMark/>
          </w:tcPr>
          <w:p w14:paraId="4299B550" w14:textId="56B3C460"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2020.</w:t>
            </w:r>
          </w:p>
        </w:tc>
        <w:tc>
          <w:tcPr>
            <w:tcW w:w="1267" w:type="dxa"/>
            <w:tcBorders>
              <w:top w:val="nil"/>
              <w:left w:val="nil"/>
              <w:bottom w:val="single" w:sz="8" w:space="0" w:color="000000"/>
              <w:right w:val="single" w:sz="8" w:space="0" w:color="000000"/>
            </w:tcBorders>
            <w:vAlign w:val="center"/>
            <w:hideMark/>
          </w:tcPr>
          <w:p w14:paraId="1DCDA1B8" w14:textId="09884338"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105.369,56</w:t>
            </w:r>
          </w:p>
        </w:tc>
        <w:tc>
          <w:tcPr>
            <w:tcW w:w="12315" w:type="dxa"/>
            <w:tcBorders>
              <w:top w:val="nil"/>
              <w:left w:val="nil"/>
              <w:bottom w:val="single" w:sz="8" w:space="0" w:color="000000"/>
              <w:right w:val="single" w:sz="8" w:space="0" w:color="000000"/>
            </w:tcBorders>
            <w:vAlign w:val="center"/>
            <w:hideMark/>
          </w:tcPr>
          <w:p w14:paraId="74C1D9A5" w14:textId="27906A7F"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što je manje za 118.036,23 € ili 52,8% manje u odnosu na izvještajno razdoblje prethodne godine. Ostvareni prihodi prvog polugodišta 2020. iznosili su 56.955,47 €.</w:t>
            </w:r>
          </w:p>
        </w:tc>
      </w:tr>
      <w:tr w:rsidR="00464968" w:rsidRPr="003A2F86" w14:paraId="1AF3E20A" w14:textId="77777777" w:rsidTr="0095794B">
        <w:trPr>
          <w:trHeight w:val="471"/>
          <w:jc w:val="center"/>
        </w:trPr>
        <w:tc>
          <w:tcPr>
            <w:tcW w:w="1123" w:type="dxa"/>
            <w:tcBorders>
              <w:top w:val="nil"/>
              <w:left w:val="single" w:sz="8" w:space="0" w:color="000000"/>
              <w:bottom w:val="single" w:sz="8" w:space="0" w:color="000000"/>
              <w:right w:val="single" w:sz="8" w:space="0" w:color="000000"/>
            </w:tcBorders>
            <w:vAlign w:val="center"/>
            <w:hideMark/>
          </w:tcPr>
          <w:p w14:paraId="414FB5AD" w14:textId="70F8775C"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2021.</w:t>
            </w:r>
          </w:p>
        </w:tc>
        <w:tc>
          <w:tcPr>
            <w:tcW w:w="1267" w:type="dxa"/>
            <w:tcBorders>
              <w:top w:val="nil"/>
              <w:left w:val="nil"/>
              <w:bottom w:val="single" w:sz="8" w:space="0" w:color="000000"/>
              <w:right w:val="single" w:sz="8" w:space="0" w:color="000000"/>
            </w:tcBorders>
            <w:vAlign w:val="center"/>
            <w:hideMark/>
          </w:tcPr>
          <w:p w14:paraId="29F978A1" w14:textId="562B27F6"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173.922,48</w:t>
            </w:r>
          </w:p>
        </w:tc>
        <w:tc>
          <w:tcPr>
            <w:tcW w:w="12315" w:type="dxa"/>
            <w:tcBorders>
              <w:top w:val="nil"/>
              <w:left w:val="nil"/>
              <w:bottom w:val="single" w:sz="8" w:space="0" w:color="000000"/>
              <w:right w:val="single" w:sz="8" w:space="0" w:color="000000"/>
            </w:tcBorders>
            <w:vAlign w:val="center"/>
            <w:hideMark/>
          </w:tcPr>
          <w:p w14:paraId="6295769A" w14:textId="7CAF9DC1"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što je više za 68.552,92 € ili 65,1% više u odnosu na izvještajno razdoblje prethodne godine. Ostvareni prihodi prvog polugodišta 2021. iznose 79.789,67 €. Ovi prihodi su najvećim dijelom ostvareni više jer je naplaćen jedan višegodišnji dug u iznosu 23.273,34 €.</w:t>
            </w:r>
          </w:p>
        </w:tc>
      </w:tr>
      <w:tr w:rsidR="00464968" w:rsidRPr="003A2F86" w14:paraId="47D64EB7" w14:textId="77777777" w:rsidTr="0095794B">
        <w:trPr>
          <w:trHeight w:val="188"/>
          <w:jc w:val="center"/>
        </w:trPr>
        <w:tc>
          <w:tcPr>
            <w:tcW w:w="1123" w:type="dxa"/>
            <w:tcBorders>
              <w:top w:val="nil"/>
              <w:left w:val="single" w:sz="8" w:space="0" w:color="000000"/>
              <w:bottom w:val="single" w:sz="8" w:space="0" w:color="000000"/>
              <w:right w:val="single" w:sz="8" w:space="0" w:color="000000"/>
            </w:tcBorders>
            <w:vAlign w:val="center"/>
          </w:tcPr>
          <w:p w14:paraId="761384D9" w14:textId="62B98FA6" w:rsidR="00464968" w:rsidRPr="003A2F86" w:rsidRDefault="00464968" w:rsidP="00464968">
            <w:pPr>
              <w:spacing w:after="0" w:line="240" w:lineRule="auto"/>
              <w:jc w:val="center"/>
              <w:rPr>
                <w:rFonts w:ascii="Arial" w:hAnsi="Arial" w:cs="Arial"/>
                <w:i/>
                <w:iCs/>
                <w:sz w:val="18"/>
                <w:szCs w:val="18"/>
              </w:rPr>
            </w:pPr>
            <w:r w:rsidRPr="003A2F86">
              <w:rPr>
                <w:rFonts w:ascii="Arial" w:hAnsi="Arial" w:cs="Arial"/>
                <w:i/>
                <w:iCs/>
                <w:sz w:val="18"/>
                <w:szCs w:val="18"/>
              </w:rPr>
              <w:t>2022.</w:t>
            </w:r>
          </w:p>
        </w:tc>
        <w:tc>
          <w:tcPr>
            <w:tcW w:w="1267" w:type="dxa"/>
            <w:tcBorders>
              <w:top w:val="nil"/>
              <w:left w:val="nil"/>
              <w:bottom w:val="single" w:sz="8" w:space="0" w:color="000000"/>
              <w:right w:val="single" w:sz="8" w:space="0" w:color="000000"/>
            </w:tcBorders>
            <w:vAlign w:val="center"/>
          </w:tcPr>
          <w:p w14:paraId="65DC5E48" w14:textId="49AEFC2D"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287.974,63</w:t>
            </w:r>
          </w:p>
        </w:tc>
        <w:tc>
          <w:tcPr>
            <w:tcW w:w="12315" w:type="dxa"/>
            <w:tcBorders>
              <w:top w:val="nil"/>
              <w:left w:val="nil"/>
              <w:bottom w:val="single" w:sz="8" w:space="0" w:color="000000"/>
              <w:right w:val="single" w:sz="8" w:space="0" w:color="000000"/>
            </w:tcBorders>
            <w:vAlign w:val="center"/>
          </w:tcPr>
          <w:p w14:paraId="5219EE43" w14:textId="6768E029"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 xml:space="preserve">što je više za 114.052,15 € ili 65,6% više u odnosu na izvještajno razdoblje prethodne godine. Ostvareni prihodi prvog polugodišta 2022. iznose 102.718,15 €. </w:t>
            </w:r>
          </w:p>
        </w:tc>
      </w:tr>
      <w:tr w:rsidR="00464968" w:rsidRPr="003A2F86" w14:paraId="67B3CCEF" w14:textId="77777777" w:rsidTr="00C51C58">
        <w:trPr>
          <w:trHeight w:val="249"/>
          <w:jc w:val="center"/>
        </w:trPr>
        <w:tc>
          <w:tcPr>
            <w:tcW w:w="1123" w:type="dxa"/>
            <w:tcBorders>
              <w:top w:val="single" w:sz="8" w:space="0" w:color="000000"/>
              <w:left w:val="single" w:sz="8" w:space="0" w:color="000000"/>
              <w:bottom w:val="single" w:sz="4" w:space="0" w:color="auto"/>
              <w:right w:val="single" w:sz="8" w:space="0" w:color="000000"/>
            </w:tcBorders>
            <w:vAlign w:val="center"/>
          </w:tcPr>
          <w:p w14:paraId="290D90DD" w14:textId="04668259" w:rsidR="00464968" w:rsidRPr="003A2F86" w:rsidRDefault="00464968" w:rsidP="00464968">
            <w:pPr>
              <w:spacing w:after="0" w:line="240" w:lineRule="auto"/>
              <w:jc w:val="center"/>
              <w:rPr>
                <w:rFonts w:ascii="Arial" w:hAnsi="Arial" w:cs="Arial"/>
                <w:i/>
                <w:iCs/>
                <w:sz w:val="18"/>
                <w:szCs w:val="18"/>
              </w:rPr>
            </w:pPr>
            <w:r w:rsidRPr="003A2F86">
              <w:rPr>
                <w:rFonts w:ascii="Arial" w:hAnsi="Arial" w:cs="Arial"/>
                <w:i/>
                <w:iCs/>
                <w:sz w:val="18"/>
                <w:szCs w:val="18"/>
              </w:rPr>
              <w:t>2023.</w:t>
            </w:r>
          </w:p>
        </w:tc>
        <w:tc>
          <w:tcPr>
            <w:tcW w:w="1267" w:type="dxa"/>
            <w:tcBorders>
              <w:top w:val="single" w:sz="8" w:space="0" w:color="000000"/>
              <w:left w:val="nil"/>
              <w:bottom w:val="single" w:sz="4" w:space="0" w:color="auto"/>
              <w:right w:val="single" w:sz="8" w:space="0" w:color="000000"/>
            </w:tcBorders>
            <w:vAlign w:val="center"/>
          </w:tcPr>
          <w:p w14:paraId="087B2955" w14:textId="71C369FD"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321.075,56</w:t>
            </w:r>
          </w:p>
        </w:tc>
        <w:tc>
          <w:tcPr>
            <w:tcW w:w="12315" w:type="dxa"/>
            <w:tcBorders>
              <w:top w:val="single" w:sz="8" w:space="0" w:color="000000"/>
              <w:left w:val="nil"/>
              <w:bottom w:val="single" w:sz="4" w:space="0" w:color="auto"/>
              <w:right w:val="single" w:sz="8" w:space="0" w:color="000000"/>
            </w:tcBorders>
            <w:vAlign w:val="center"/>
          </w:tcPr>
          <w:p w14:paraId="77ED5A72" w14:textId="77E5ACCC"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 xml:space="preserve">što je više za 33.100,93 € ili 11,9% više u odnosu na izvještajno razdoblje prethodne godine. Ostvareni prihodi prvog polugodišta 2023. iznose 158.623,85 €. </w:t>
            </w:r>
          </w:p>
        </w:tc>
      </w:tr>
      <w:tr w:rsidR="0095794B" w:rsidRPr="003A2F86" w14:paraId="13EA8182" w14:textId="77777777" w:rsidTr="00C51C58">
        <w:trPr>
          <w:trHeight w:val="345"/>
          <w:jc w:val="center"/>
        </w:trPr>
        <w:tc>
          <w:tcPr>
            <w:tcW w:w="1123" w:type="dxa"/>
            <w:tcBorders>
              <w:top w:val="single" w:sz="4" w:space="0" w:color="auto"/>
              <w:left w:val="single" w:sz="8" w:space="0" w:color="000000"/>
              <w:bottom w:val="single" w:sz="4" w:space="0" w:color="auto"/>
              <w:right w:val="single" w:sz="8" w:space="0" w:color="000000"/>
            </w:tcBorders>
            <w:vAlign w:val="center"/>
          </w:tcPr>
          <w:p w14:paraId="3272E996" w14:textId="7D71E5D6" w:rsidR="0095794B" w:rsidRPr="003A2F86" w:rsidRDefault="0095794B" w:rsidP="0095794B">
            <w:pPr>
              <w:spacing w:after="0" w:line="240" w:lineRule="auto"/>
              <w:jc w:val="center"/>
              <w:rPr>
                <w:rFonts w:ascii="Arial" w:hAnsi="Arial" w:cs="Arial"/>
                <w:i/>
                <w:iCs/>
                <w:sz w:val="18"/>
                <w:szCs w:val="18"/>
              </w:rPr>
            </w:pPr>
            <w:r w:rsidRPr="003A2F86">
              <w:rPr>
                <w:rFonts w:ascii="Arial" w:hAnsi="Arial" w:cs="Arial"/>
                <w:i/>
                <w:iCs/>
                <w:sz w:val="18"/>
                <w:szCs w:val="18"/>
              </w:rPr>
              <w:t>2024.</w:t>
            </w:r>
          </w:p>
        </w:tc>
        <w:tc>
          <w:tcPr>
            <w:tcW w:w="1267" w:type="dxa"/>
            <w:tcBorders>
              <w:top w:val="single" w:sz="4" w:space="0" w:color="auto"/>
              <w:left w:val="nil"/>
              <w:bottom w:val="single" w:sz="4" w:space="0" w:color="auto"/>
              <w:right w:val="single" w:sz="8" w:space="0" w:color="000000"/>
            </w:tcBorders>
            <w:vAlign w:val="center"/>
          </w:tcPr>
          <w:p w14:paraId="7D77EE8A" w14:textId="2DE646BF" w:rsidR="0095794B" w:rsidRPr="0095794B" w:rsidRDefault="0095794B" w:rsidP="0095794B">
            <w:pPr>
              <w:spacing w:after="0" w:line="240" w:lineRule="auto"/>
              <w:jc w:val="right"/>
              <w:rPr>
                <w:rFonts w:ascii="Arial" w:hAnsi="Arial" w:cs="Arial"/>
                <w:i/>
                <w:iCs/>
                <w:sz w:val="18"/>
                <w:szCs w:val="18"/>
              </w:rPr>
            </w:pPr>
            <w:r w:rsidRPr="0095794B">
              <w:rPr>
                <w:rFonts w:ascii="Arial" w:hAnsi="Arial" w:cs="Arial"/>
                <w:i/>
                <w:iCs/>
                <w:sz w:val="18"/>
                <w:szCs w:val="18"/>
              </w:rPr>
              <w:t>275.271,92</w:t>
            </w:r>
          </w:p>
        </w:tc>
        <w:tc>
          <w:tcPr>
            <w:tcW w:w="12315" w:type="dxa"/>
            <w:tcBorders>
              <w:top w:val="single" w:sz="4" w:space="0" w:color="auto"/>
              <w:left w:val="nil"/>
              <w:bottom w:val="single" w:sz="4" w:space="0" w:color="auto"/>
              <w:right w:val="single" w:sz="8" w:space="0" w:color="000000"/>
            </w:tcBorders>
            <w:vAlign w:val="center"/>
          </w:tcPr>
          <w:p w14:paraId="7D07162C" w14:textId="62645E1C" w:rsidR="0095794B" w:rsidRPr="0095794B" w:rsidRDefault="0095794B" w:rsidP="0095794B">
            <w:pPr>
              <w:spacing w:after="0" w:line="240" w:lineRule="auto"/>
              <w:jc w:val="both"/>
              <w:rPr>
                <w:rFonts w:ascii="Arial" w:hAnsi="Arial" w:cs="Arial"/>
                <w:sz w:val="16"/>
                <w:szCs w:val="16"/>
              </w:rPr>
            </w:pPr>
            <w:r w:rsidRPr="0095794B">
              <w:rPr>
                <w:rFonts w:ascii="Arial" w:hAnsi="Arial" w:cs="Arial"/>
                <w:sz w:val="16"/>
                <w:szCs w:val="16"/>
              </w:rPr>
              <w:t xml:space="preserve">što je manje za 45.803,640 € ili 14,3% manje u odnosu na izvještajno razdoblje prethodne godine. Ostvareni prihodi prvog polugodišta 2024. iznose 121.452,55 €. </w:t>
            </w:r>
          </w:p>
        </w:tc>
      </w:tr>
      <w:tr w:rsidR="00C51C58" w:rsidRPr="003A2F86" w14:paraId="7298BC5A" w14:textId="77777777" w:rsidTr="00C51C58">
        <w:trPr>
          <w:trHeight w:val="345"/>
          <w:jc w:val="center"/>
        </w:trPr>
        <w:tc>
          <w:tcPr>
            <w:tcW w:w="1123" w:type="dxa"/>
            <w:tcBorders>
              <w:top w:val="single" w:sz="4" w:space="0" w:color="auto"/>
              <w:left w:val="single" w:sz="8" w:space="0" w:color="000000"/>
              <w:bottom w:val="single" w:sz="8" w:space="0" w:color="000000"/>
              <w:right w:val="single" w:sz="8" w:space="0" w:color="000000"/>
            </w:tcBorders>
            <w:vAlign w:val="center"/>
          </w:tcPr>
          <w:p w14:paraId="2FA3A441" w14:textId="7B81D731" w:rsidR="00C51C58" w:rsidRPr="003A2F86" w:rsidRDefault="00C51C58" w:rsidP="0095794B">
            <w:pPr>
              <w:spacing w:after="0" w:line="240" w:lineRule="auto"/>
              <w:jc w:val="center"/>
              <w:rPr>
                <w:rFonts w:ascii="Arial" w:hAnsi="Arial" w:cs="Arial"/>
                <w:i/>
                <w:iCs/>
                <w:sz w:val="18"/>
                <w:szCs w:val="18"/>
              </w:rPr>
            </w:pPr>
            <w:r>
              <w:rPr>
                <w:rFonts w:ascii="Arial" w:hAnsi="Arial" w:cs="Arial"/>
                <w:i/>
                <w:iCs/>
                <w:sz w:val="18"/>
                <w:szCs w:val="18"/>
              </w:rPr>
              <w:t>1-6/2025.</w:t>
            </w:r>
          </w:p>
        </w:tc>
        <w:tc>
          <w:tcPr>
            <w:tcW w:w="1267" w:type="dxa"/>
            <w:tcBorders>
              <w:top w:val="single" w:sz="4" w:space="0" w:color="auto"/>
              <w:left w:val="nil"/>
              <w:bottom w:val="single" w:sz="8" w:space="0" w:color="000000"/>
              <w:right w:val="single" w:sz="8" w:space="0" w:color="000000"/>
            </w:tcBorders>
            <w:vAlign w:val="center"/>
          </w:tcPr>
          <w:p w14:paraId="33E12502" w14:textId="07335024" w:rsidR="00C51C58" w:rsidRPr="0095794B" w:rsidRDefault="00C51C58" w:rsidP="0095794B">
            <w:pPr>
              <w:spacing w:after="0" w:line="240" w:lineRule="auto"/>
              <w:jc w:val="right"/>
              <w:rPr>
                <w:rFonts w:ascii="Arial" w:hAnsi="Arial" w:cs="Arial"/>
                <w:i/>
                <w:iCs/>
                <w:sz w:val="18"/>
                <w:szCs w:val="18"/>
              </w:rPr>
            </w:pPr>
            <w:r>
              <w:rPr>
                <w:rFonts w:ascii="Arial" w:hAnsi="Arial" w:cs="Arial"/>
                <w:i/>
                <w:iCs/>
                <w:sz w:val="18"/>
                <w:szCs w:val="18"/>
              </w:rPr>
              <w:t>161.927,80</w:t>
            </w:r>
          </w:p>
        </w:tc>
        <w:tc>
          <w:tcPr>
            <w:tcW w:w="12315" w:type="dxa"/>
            <w:tcBorders>
              <w:top w:val="single" w:sz="4" w:space="0" w:color="auto"/>
              <w:left w:val="nil"/>
              <w:bottom w:val="single" w:sz="8" w:space="0" w:color="000000"/>
              <w:right w:val="single" w:sz="8" w:space="0" w:color="000000"/>
            </w:tcBorders>
            <w:vAlign w:val="center"/>
          </w:tcPr>
          <w:p w14:paraId="5F559DEF" w14:textId="015579D4" w:rsidR="00C51C58" w:rsidRPr="0095794B" w:rsidRDefault="00574DD4" w:rsidP="0095794B">
            <w:pPr>
              <w:spacing w:after="0" w:line="240" w:lineRule="auto"/>
              <w:jc w:val="both"/>
              <w:rPr>
                <w:rFonts w:ascii="Arial" w:hAnsi="Arial" w:cs="Arial"/>
                <w:sz w:val="16"/>
                <w:szCs w:val="16"/>
              </w:rPr>
            </w:pPr>
            <w:r w:rsidRPr="00574DD4">
              <w:rPr>
                <w:rFonts w:ascii="Arial" w:hAnsi="Arial" w:cs="Arial"/>
                <w:sz w:val="16"/>
                <w:szCs w:val="16"/>
              </w:rPr>
              <w:t>što je manje za 40.475,25 € ili 33,3% više u odnosu na izvještajno razdoblje prethodne godine. Ostvareni prihodi prvog polugodišta 2025. iznose 161.927,80 €.</w:t>
            </w:r>
          </w:p>
        </w:tc>
      </w:tr>
    </w:tbl>
    <w:p w14:paraId="20E9C1D8" w14:textId="42BE4CFE" w:rsidR="003E14B7" w:rsidRPr="0095794B" w:rsidRDefault="003E14B7" w:rsidP="009A2A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6FC989A0" w14:textId="024650E4" w:rsidR="0095794B" w:rsidRDefault="00464968" w:rsidP="0095794B">
      <w:pPr>
        <w:pStyle w:val="Tijeloteksta2"/>
        <w:rPr>
          <w:rFonts w:ascii="Arial" w:eastAsia="Calibri" w:hAnsi="Arial" w:cs="Arial"/>
          <w:iCs/>
          <w:sz w:val="22"/>
          <w:szCs w:val="22"/>
          <w:lang w:val="hr-HR"/>
        </w:rPr>
      </w:pPr>
      <w:r w:rsidRPr="0095794B">
        <w:rPr>
          <w:rFonts w:ascii="Arial" w:eastAsia="Calibri" w:hAnsi="Arial" w:cs="Arial"/>
          <w:sz w:val="22"/>
          <w:szCs w:val="22"/>
          <w:lang w:val="hr-HR"/>
        </w:rPr>
        <w:t xml:space="preserve">Prihodi od </w:t>
      </w:r>
      <w:r w:rsidRPr="0095794B">
        <w:rPr>
          <w:rFonts w:ascii="Arial" w:eastAsia="Calibri" w:hAnsi="Arial" w:cs="Arial"/>
          <w:b/>
          <w:bCs/>
          <w:sz w:val="22"/>
          <w:szCs w:val="22"/>
          <w:lang w:val="hr-HR"/>
        </w:rPr>
        <w:t>komunalne naknade</w:t>
      </w:r>
      <w:r w:rsidRPr="0095794B">
        <w:rPr>
          <w:rFonts w:ascii="Arial" w:eastAsia="Calibri" w:hAnsi="Arial" w:cs="Arial"/>
          <w:sz w:val="22"/>
          <w:szCs w:val="22"/>
          <w:lang w:val="hr-HR"/>
        </w:rPr>
        <w:t xml:space="preserve"> (6532) su ostvareni u iznosu </w:t>
      </w:r>
      <w:r w:rsidR="00574DD4">
        <w:rPr>
          <w:rFonts w:ascii="Arial" w:eastAsia="Calibri" w:hAnsi="Arial" w:cs="Arial"/>
          <w:sz w:val="22"/>
          <w:szCs w:val="22"/>
          <w:lang w:val="hr-HR"/>
        </w:rPr>
        <w:t>525.674,45</w:t>
      </w:r>
      <w:r w:rsidR="0095794B" w:rsidRPr="0095794B">
        <w:rPr>
          <w:rFonts w:ascii="Arial" w:eastAsia="Calibri" w:hAnsi="Arial" w:cs="Arial"/>
          <w:sz w:val="22"/>
          <w:szCs w:val="22"/>
          <w:lang w:val="hr-HR"/>
        </w:rPr>
        <w:t xml:space="preserve"> € što je za </w:t>
      </w:r>
      <w:r w:rsidR="00574DD4">
        <w:rPr>
          <w:rFonts w:ascii="Arial" w:eastAsia="Calibri" w:hAnsi="Arial" w:cs="Arial"/>
          <w:sz w:val="22"/>
          <w:szCs w:val="22"/>
          <w:lang w:val="hr-HR"/>
        </w:rPr>
        <w:t>66.079,75</w:t>
      </w:r>
      <w:r w:rsidR="0095794B" w:rsidRPr="0095794B">
        <w:rPr>
          <w:rFonts w:ascii="Arial" w:eastAsia="Calibri" w:hAnsi="Arial" w:cs="Arial"/>
          <w:sz w:val="22"/>
          <w:szCs w:val="22"/>
          <w:lang w:val="hr-HR"/>
        </w:rPr>
        <w:t xml:space="preserve"> € ili </w:t>
      </w:r>
      <w:r w:rsidR="00574DD4">
        <w:rPr>
          <w:rFonts w:ascii="Arial" w:eastAsia="Calibri" w:hAnsi="Arial" w:cs="Arial"/>
          <w:sz w:val="22"/>
          <w:szCs w:val="22"/>
          <w:lang w:val="hr-HR"/>
        </w:rPr>
        <w:t>14,4</w:t>
      </w:r>
      <w:r w:rsidR="0095794B" w:rsidRPr="0095794B">
        <w:rPr>
          <w:rFonts w:ascii="Arial" w:eastAsia="Calibri" w:hAnsi="Arial" w:cs="Arial"/>
          <w:sz w:val="22"/>
          <w:szCs w:val="22"/>
          <w:lang w:val="hr-HR"/>
        </w:rPr>
        <w:t xml:space="preserve">% više u odnosu na izvještajno </w:t>
      </w:r>
      <w:r w:rsidR="0095794B" w:rsidRPr="0095794B">
        <w:rPr>
          <w:rFonts w:ascii="Arial" w:eastAsia="Calibri" w:hAnsi="Arial" w:cs="Arial"/>
          <w:iCs/>
          <w:sz w:val="22"/>
          <w:szCs w:val="22"/>
          <w:lang w:val="hr-HR"/>
        </w:rPr>
        <w:t xml:space="preserve">razdoblje prethodne godine. </w:t>
      </w:r>
    </w:p>
    <w:p w14:paraId="106CB87D" w14:textId="77777777" w:rsidR="00EE2CA0" w:rsidRDefault="00EE2CA0" w:rsidP="0095794B">
      <w:pPr>
        <w:pStyle w:val="Tijeloteksta2"/>
        <w:rPr>
          <w:rFonts w:ascii="Arial" w:eastAsia="Calibri" w:hAnsi="Arial" w:cs="Arial"/>
          <w:iCs/>
          <w:sz w:val="22"/>
          <w:szCs w:val="22"/>
          <w:lang w:val="hr-HR"/>
        </w:rPr>
      </w:pPr>
    </w:p>
    <w:p w14:paraId="51B4DA08" w14:textId="2BC9A1D9" w:rsidR="0095794B" w:rsidRPr="00AD1580" w:rsidRDefault="0095794B" w:rsidP="00AD1580">
      <w:pPr>
        <w:spacing w:after="0" w:line="240" w:lineRule="auto"/>
        <w:ind w:left="567"/>
        <w:jc w:val="both"/>
        <w:rPr>
          <w:rFonts w:ascii="Arial" w:eastAsia="Calibri" w:hAnsi="Arial" w:cs="Arial"/>
          <w:sz w:val="18"/>
          <w:szCs w:val="18"/>
          <w:lang w:eastAsia="en-US"/>
        </w:rPr>
      </w:pPr>
      <w:r w:rsidRPr="00AD1580">
        <w:rPr>
          <w:rFonts w:ascii="Arial" w:eastAsia="Calibri" w:hAnsi="Arial" w:cs="Arial"/>
          <w:sz w:val="18"/>
          <w:szCs w:val="18"/>
          <w:lang w:eastAsia="en-US"/>
        </w:rPr>
        <w:t xml:space="preserve">Nakon proširenja obveznika komunalne naknade, ovi prihodi su bili značajnije povećani u 2019. i 2020. godini. U 2021. se bitno smanjio iznos ovih prihoda uvjetovan činjenicom da prema odredbama Zakona o komunalnom gospodarstvu u najvećem dijelu nisu naplaćeni prihodi od komunalne naknade od pravnih osoba koje nisu obavljale poslovnu djelatnost više od šest mjeseci. U 2022. su prihodi veći, odnosno vratili su se na razinu 2019. godine. Tijekom 2022. godine je proširen obim obuhvata obveznika komunalne naknade na Molunat nakon obavljene izmjere objekata, te su ovi prihodi veći za 2023. kao </w:t>
      </w:r>
      <w:r w:rsidR="00574DD4">
        <w:rPr>
          <w:rFonts w:ascii="Arial" w:eastAsia="Calibri" w:hAnsi="Arial" w:cs="Arial"/>
          <w:sz w:val="18"/>
          <w:szCs w:val="18"/>
          <w:lang w:eastAsia="en-US"/>
        </w:rPr>
        <w:t>sljedeće godine</w:t>
      </w:r>
      <w:r w:rsidRPr="00AD1580">
        <w:rPr>
          <w:rFonts w:ascii="Arial" w:eastAsia="Calibri" w:hAnsi="Arial" w:cs="Arial"/>
          <w:sz w:val="18"/>
          <w:szCs w:val="18"/>
          <w:lang w:eastAsia="en-US"/>
        </w:rPr>
        <w:t>.</w:t>
      </w:r>
    </w:p>
    <w:p w14:paraId="2DFBA211" w14:textId="77777777" w:rsidR="00AF1BBB" w:rsidRPr="003A2F86" w:rsidRDefault="00AF1BBB" w:rsidP="009A2A97">
      <w:pPr>
        <w:spacing w:after="0" w:line="240" w:lineRule="auto"/>
        <w:jc w:val="both"/>
        <w:rPr>
          <w:rFonts w:ascii="Arial" w:eastAsia="Times New Roman" w:hAnsi="Arial" w:cs="Arial"/>
          <w:sz w:val="12"/>
          <w:szCs w:val="12"/>
        </w:rPr>
      </w:pPr>
    </w:p>
    <w:p w14:paraId="7024516B" w14:textId="2C1CEE7C" w:rsidR="009A2A97" w:rsidRPr="003A2F86" w:rsidRDefault="009A2A97" w:rsidP="003E14B7">
      <w:pPr>
        <w:spacing w:after="0" w:line="240" w:lineRule="auto"/>
        <w:jc w:val="both"/>
        <w:rPr>
          <w:rFonts w:ascii="Arial" w:eastAsia="Calibri" w:hAnsi="Arial" w:cs="Arial"/>
          <w:lang w:eastAsia="en-US"/>
        </w:rPr>
      </w:pPr>
      <w:r w:rsidRPr="003A2F86">
        <w:rPr>
          <w:rFonts w:ascii="Arial" w:eastAsia="Times New Roman" w:hAnsi="Arial" w:cs="Arial"/>
          <w:i/>
          <w:iCs/>
          <w:sz w:val="20"/>
          <w:szCs w:val="20"/>
        </w:rPr>
        <w:t>* Usporedba:</w:t>
      </w:r>
    </w:p>
    <w:tbl>
      <w:tblPr>
        <w:tblW w:w="14601" w:type="dxa"/>
        <w:jc w:val="center"/>
        <w:tblLook w:val="04A0" w:firstRow="1" w:lastRow="0" w:firstColumn="1" w:lastColumn="0" w:noHBand="0" w:noVBand="1"/>
      </w:tblPr>
      <w:tblGrid>
        <w:gridCol w:w="1109"/>
        <w:gridCol w:w="1267"/>
        <w:gridCol w:w="12225"/>
      </w:tblGrid>
      <w:tr w:rsidR="003E14B7" w:rsidRPr="003A2F86" w14:paraId="47D4AB5B" w14:textId="77777777" w:rsidTr="00AF1BBB">
        <w:trPr>
          <w:trHeight w:val="155"/>
          <w:jc w:val="center"/>
        </w:trPr>
        <w:tc>
          <w:tcPr>
            <w:tcW w:w="14601" w:type="dxa"/>
            <w:gridSpan w:val="3"/>
            <w:tcBorders>
              <w:top w:val="single" w:sz="8" w:space="0" w:color="000000"/>
              <w:left w:val="single" w:sz="8" w:space="0" w:color="000000"/>
              <w:bottom w:val="single" w:sz="8" w:space="0" w:color="000000"/>
              <w:right w:val="single" w:sz="4" w:space="0" w:color="auto"/>
            </w:tcBorders>
            <w:vAlign w:val="center"/>
            <w:hideMark/>
          </w:tcPr>
          <w:p w14:paraId="0CEEFFB6" w14:textId="77777777" w:rsidR="003E14B7" w:rsidRPr="003A2F86" w:rsidRDefault="003E14B7" w:rsidP="003E14B7">
            <w:pPr>
              <w:spacing w:after="0" w:line="240" w:lineRule="auto"/>
              <w:jc w:val="center"/>
              <w:rPr>
                <w:rFonts w:ascii="Arial" w:eastAsia="Times New Roman" w:hAnsi="Arial" w:cs="Arial"/>
                <w:b/>
                <w:bCs/>
                <w:i/>
                <w:iCs/>
                <w:sz w:val="18"/>
                <w:szCs w:val="18"/>
              </w:rPr>
            </w:pPr>
            <w:r w:rsidRPr="003A2F86">
              <w:rPr>
                <w:rFonts w:ascii="Arial" w:eastAsia="Times New Roman" w:hAnsi="Arial" w:cs="Arial"/>
                <w:b/>
                <w:bCs/>
                <w:i/>
                <w:iCs/>
                <w:sz w:val="18"/>
                <w:szCs w:val="18"/>
              </w:rPr>
              <w:t>Prihod od komunalne naknade (</w:t>
            </w:r>
            <w:r w:rsidRPr="003A2F86">
              <w:rPr>
                <w:rFonts w:ascii="Arial" w:eastAsia="Times New Roman" w:hAnsi="Arial" w:cs="Arial"/>
                <w:b/>
                <w:bCs/>
                <w:i/>
                <w:iCs/>
                <w:color w:val="FF0000"/>
                <w:sz w:val="18"/>
                <w:szCs w:val="18"/>
              </w:rPr>
              <w:t>6532</w:t>
            </w:r>
            <w:r w:rsidRPr="003A2F86">
              <w:rPr>
                <w:rFonts w:ascii="Arial" w:eastAsia="Times New Roman" w:hAnsi="Arial" w:cs="Arial"/>
                <w:b/>
                <w:bCs/>
                <w:i/>
                <w:iCs/>
                <w:sz w:val="18"/>
                <w:szCs w:val="18"/>
              </w:rPr>
              <w:t>)</w:t>
            </w:r>
          </w:p>
        </w:tc>
      </w:tr>
      <w:tr w:rsidR="003E14B7" w:rsidRPr="003A2F86" w14:paraId="036F4701" w14:textId="77777777" w:rsidTr="00AF1BBB">
        <w:trPr>
          <w:trHeight w:val="135"/>
          <w:jc w:val="center"/>
        </w:trPr>
        <w:tc>
          <w:tcPr>
            <w:tcW w:w="1112" w:type="dxa"/>
            <w:tcBorders>
              <w:top w:val="nil"/>
              <w:left w:val="single" w:sz="8" w:space="0" w:color="000000"/>
              <w:bottom w:val="single" w:sz="8" w:space="0" w:color="000000"/>
              <w:right w:val="single" w:sz="8" w:space="0" w:color="000000"/>
            </w:tcBorders>
            <w:vAlign w:val="center"/>
            <w:hideMark/>
          </w:tcPr>
          <w:p w14:paraId="44BEA268" w14:textId="77777777" w:rsidR="003E14B7" w:rsidRPr="003A2F86" w:rsidRDefault="003E14B7" w:rsidP="003E14B7">
            <w:pPr>
              <w:spacing w:after="0" w:line="240" w:lineRule="auto"/>
              <w:jc w:val="center"/>
              <w:rPr>
                <w:rFonts w:ascii="Arial" w:eastAsia="Times New Roman" w:hAnsi="Arial" w:cs="Arial"/>
                <w:b/>
                <w:bCs/>
                <w:i/>
                <w:iCs/>
                <w:sz w:val="18"/>
                <w:szCs w:val="18"/>
              </w:rPr>
            </w:pPr>
            <w:r w:rsidRPr="003A2F86">
              <w:rPr>
                <w:rFonts w:ascii="Arial" w:eastAsia="Times New Roman" w:hAnsi="Arial" w:cs="Arial"/>
                <w:b/>
                <w:bCs/>
                <w:i/>
                <w:iCs/>
                <w:sz w:val="18"/>
                <w:szCs w:val="18"/>
              </w:rPr>
              <w:t>Godina</w:t>
            </w:r>
          </w:p>
        </w:tc>
        <w:tc>
          <w:tcPr>
            <w:tcW w:w="1146" w:type="dxa"/>
            <w:tcBorders>
              <w:top w:val="nil"/>
              <w:left w:val="nil"/>
              <w:bottom w:val="single" w:sz="8" w:space="0" w:color="000000"/>
              <w:right w:val="single" w:sz="8" w:space="0" w:color="000000"/>
            </w:tcBorders>
            <w:vAlign w:val="center"/>
            <w:hideMark/>
          </w:tcPr>
          <w:p w14:paraId="606950F6" w14:textId="0B9482E6" w:rsidR="003E14B7" w:rsidRPr="003A2F86" w:rsidRDefault="003E14B7" w:rsidP="003E14B7">
            <w:pPr>
              <w:spacing w:after="0" w:line="240" w:lineRule="auto"/>
              <w:jc w:val="center"/>
              <w:rPr>
                <w:rFonts w:ascii="Arial" w:eastAsia="Times New Roman" w:hAnsi="Arial" w:cs="Arial"/>
                <w:b/>
                <w:bCs/>
                <w:i/>
                <w:iCs/>
                <w:sz w:val="18"/>
                <w:szCs w:val="18"/>
              </w:rPr>
            </w:pPr>
            <w:r w:rsidRPr="003A2F86">
              <w:rPr>
                <w:rFonts w:ascii="Arial" w:eastAsia="Times New Roman" w:hAnsi="Arial" w:cs="Arial"/>
                <w:b/>
                <w:bCs/>
                <w:i/>
                <w:iCs/>
                <w:sz w:val="18"/>
                <w:szCs w:val="18"/>
              </w:rPr>
              <w:t xml:space="preserve">Iznos </w:t>
            </w:r>
            <w:r w:rsidRPr="003A2F86">
              <w:rPr>
                <w:rFonts w:ascii="Arial" w:eastAsia="Times New Roman" w:hAnsi="Arial" w:cs="Arial"/>
                <w:b/>
                <w:bCs/>
                <w:i/>
                <w:iCs/>
                <w:color w:val="FF0000"/>
                <w:sz w:val="18"/>
                <w:szCs w:val="18"/>
              </w:rPr>
              <w:t>(</w:t>
            </w:r>
            <w:r w:rsidR="00B57693" w:rsidRPr="003A2F86">
              <w:rPr>
                <w:rFonts w:ascii="Arial" w:eastAsia="Times New Roman" w:hAnsi="Arial" w:cs="Arial"/>
                <w:b/>
                <w:bCs/>
                <w:i/>
                <w:iCs/>
                <w:color w:val="FF0000"/>
                <w:sz w:val="18"/>
                <w:szCs w:val="18"/>
              </w:rPr>
              <w:t>€</w:t>
            </w:r>
            <w:r w:rsidRPr="003A2F86">
              <w:rPr>
                <w:rFonts w:ascii="Arial" w:eastAsia="Times New Roman" w:hAnsi="Arial" w:cs="Arial"/>
                <w:b/>
                <w:bCs/>
                <w:i/>
                <w:iCs/>
                <w:color w:val="FF0000"/>
                <w:sz w:val="18"/>
                <w:szCs w:val="18"/>
              </w:rPr>
              <w:t>)</w:t>
            </w:r>
          </w:p>
        </w:tc>
        <w:tc>
          <w:tcPr>
            <w:tcW w:w="12343" w:type="dxa"/>
            <w:tcBorders>
              <w:top w:val="nil"/>
              <w:left w:val="nil"/>
              <w:bottom w:val="single" w:sz="8" w:space="0" w:color="000000"/>
              <w:right w:val="single" w:sz="8" w:space="0" w:color="000000"/>
            </w:tcBorders>
            <w:vAlign w:val="center"/>
            <w:hideMark/>
          </w:tcPr>
          <w:p w14:paraId="4353DDC2" w14:textId="77777777" w:rsidR="003E14B7" w:rsidRPr="003A2F86" w:rsidRDefault="003E14B7" w:rsidP="003E14B7">
            <w:pPr>
              <w:spacing w:after="0" w:line="240" w:lineRule="auto"/>
              <w:jc w:val="center"/>
              <w:rPr>
                <w:rFonts w:ascii="Arial" w:eastAsia="Times New Roman" w:hAnsi="Arial" w:cs="Arial"/>
                <w:b/>
                <w:bCs/>
                <w:i/>
                <w:iCs/>
                <w:sz w:val="18"/>
                <w:szCs w:val="18"/>
              </w:rPr>
            </w:pPr>
            <w:r w:rsidRPr="003A2F86">
              <w:rPr>
                <w:rFonts w:ascii="Arial" w:eastAsia="Times New Roman" w:hAnsi="Arial" w:cs="Arial"/>
                <w:b/>
                <w:bCs/>
                <w:i/>
                <w:iCs/>
                <w:sz w:val="18"/>
                <w:szCs w:val="18"/>
              </w:rPr>
              <w:t>Obrazloženje</w:t>
            </w:r>
          </w:p>
        </w:tc>
      </w:tr>
      <w:tr w:rsidR="00464968" w:rsidRPr="003A2F86" w14:paraId="3378F7E9" w14:textId="77777777" w:rsidTr="00AF1BBB">
        <w:trPr>
          <w:trHeight w:val="219"/>
          <w:jc w:val="center"/>
        </w:trPr>
        <w:tc>
          <w:tcPr>
            <w:tcW w:w="1112" w:type="dxa"/>
            <w:tcBorders>
              <w:top w:val="nil"/>
              <w:left w:val="single" w:sz="8" w:space="0" w:color="000000"/>
              <w:bottom w:val="single" w:sz="8" w:space="0" w:color="000000"/>
              <w:right w:val="single" w:sz="8" w:space="0" w:color="000000"/>
            </w:tcBorders>
            <w:vAlign w:val="center"/>
            <w:hideMark/>
          </w:tcPr>
          <w:p w14:paraId="5F039793" w14:textId="6F39D5D6"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2012.</w:t>
            </w:r>
          </w:p>
        </w:tc>
        <w:tc>
          <w:tcPr>
            <w:tcW w:w="1146" w:type="dxa"/>
            <w:tcBorders>
              <w:top w:val="nil"/>
              <w:left w:val="nil"/>
              <w:bottom w:val="single" w:sz="8" w:space="0" w:color="000000"/>
              <w:right w:val="single" w:sz="8" w:space="0" w:color="000000"/>
            </w:tcBorders>
            <w:vAlign w:val="center"/>
            <w:hideMark/>
          </w:tcPr>
          <w:p w14:paraId="27DAD4AB" w14:textId="1CCDDEF1"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384.119,45</w:t>
            </w:r>
          </w:p>
        </w:tc>
        <w:tc>
          <w:tcPr>
            <w:tcW w:w="12343" w:type="dxa"/>
            <w:tcBorders>
              <w:top w:val="nil"/>
              <w:left w:val="nil"/>
              <w:bottom w:val="single" w:sz="8" w:space="0" w:color="000000"/>
              <w:right w:val="single" w:sz="8" w:space="0" w:color="000000"/>
            </w:tcBorders>
            <w:vAlign w:val="center"/>
            <w:hideMark/>
          </w:tcPr>
          <w:p w14:paraId="111D7E0A" w14:textId="79F11B56"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 </w:t>
            </w:r>
          </w:p>
        </w:tc>
      </w:tr>
      <w:tr w:rsidR="00464968" w:rsidRPr="003A2F86" w14:paraId="39C47CA7" w14:textId="77777777" w:rsidTr="00AF1BBB">
        <w:trPr>
          <w:trHeight w:val="110"/>
          <w:jc w:val="center"/>
        </w:trPr>
        <w:tc>
          <w:tcPr>
            <w:tcW w:w="1112" w:type="dxa"/>
            <w:tcBorders>
              <w:top w:val="nil"/>
              <w:left w:val="single" w:sz="8" w:space="0" w:color="000000"/>
              <w:bottom w:val="single" w:sz="8" w:space="0" w:color="000000"/>
              <w:right w:val="single" w:sz="8" w:space="0" w:color="000000"/>
            </w:tcBorders>
            <w:vAlign w:val="center"/>
            <w:hideMark/>
          </w:tcPr>
          <w:p w14:paraId="42CB7AEA" w14:textId="30746594"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2013.</w:t>
            </w:r>
          </w:p>
        </w:tc>
        <w:tc>
          <w:tcPr>
            <w:tcW w:w="1146" w:type="dxa"/>
            <w:tcBorders>
              <w:top w:val="nil"/>
              <w:left w:val="nil"/>
              <w:bottom w:val="single" w:sz="8" w:space="0" w:color="000000"/>
              <w:right w:val="single" w:sz="8" w:space="0" w:color="000000"/>
            </w:tcBorders>
            <w:vAlign w:val="center"/>
            <w:hideMark/>
          </w:tcPr>
          <w:p w14:paraId="1337319C" w14:textId="7B91A9DF"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401.874,14</w:t>
            </w:r>
          </w:p>
        </w:tc>
        <w:tc>
          <w:tcPr>
            <w:tcW w:w="12343" w:type="dxa"/>
            <w:tcBorders>
              <w:top w:val="nil"/>
              <w:left w:val="nil"/>
              <w:bottom w:val="single" w:sz="8" w:space="0" w:color="000000"/>
              <w:right w:val="single" w:sz="8" w:space="0" w:color="000000"/>
            </w:tcBorders>
            <w:vAlign w:val="center"/>
            <w:hideMark/>
          </w:tcPr>
          <w:p w14:paraId="4776F5E7" w14:textId="01E3032B"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u odnosu na prethodnu godinu veći su za 17.754,70 € ili 4,6%.</w:t>
            </w:r>
          </w:p>
        </w:tc>
      </w:tr>
      <w:tr w:rsidR="00464968" w:rsidRPr="003A2F86" w14:paraId="583CB244" w14:textId="77777777" w:rsidTr="00AF1BBB">
        <w:trPr>
          <w:trHeight w:val="261"/>
          <w:jc w:val="center"/>
        </w:trPr>
        <w:tc>
          <w:tcPr>
            <w:tcW w:w="1112" w:type="dxa"/>
            <w:tcBorders>
              <w:top w:val="nil"/>
              <w:left w:val="single" w:sz="8" w:space="0" w:color="000000"/>
              <w:bottom w:val="single" w:sz="8" w:space="0" w:color="000000"/>
              <w:right w:val="single" w:sz="8" w:space="0" w:color="000000"/>
            </w:tcBorders>
            <w:vAlign w:val="center"/>
            <w:hideMark/>
          </w:tcPr>
          <w:p w14:paraId="41EEF56C" w14:textId="17AFD703"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2014.</w:t>
            </w:r>
          </w:p>
        </w:tc>
        <w:tc>
          <w:tcPr>
            <w:tcW w:w="1146" w:type="dxa"/>
            <w:tcBorders>
              <w:top w:val="nil"/>
              <w:left w:val="nil"/>
              <w:bottom w:val="single" w:sz="8" w:space="0" w:color="000000"/>
              <w:right w:val="single" w:sz="8" w:space="0" w:color="000000"/>
            </w:tcBorders>
            <w:vAlign w:val="center"/>
            <w:hideMark/>
          </w:tcPr>
          <w:p w14:paraId="074A1983" w14:textId="389CCF39"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461.526,06</w:t>
            </w:r>
          </w:p>
        </w:tc>
        <w:tc>
          <w:tcPr>
            <w:tcW w:w="12343" w:type="dxa"/>
            <w:tcBorders>
              <w:top w:val="nil"/>
              <w:left w:val="nil"/>
              <w:bottom w:val="single" w:sz="8" w:space="0" w:color="000000"/>
              <w:right w:val="single" w:sz="8" w:space="0" w:color="000000"/>
            </w:tcBorders>
            <w:vAlign w:val="center"/>
            <w:hideMark/>
          </w:tcPr>
          <w:p w14:paraId="40C171EF" w14:textId="495A1464"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od čega u prvom polugodištu 2014. godine 215.915,85 €. U odnosu na prethodnu godinu veći su za 59.651,92 € ili 14,8%.</w:t>
            </w:r>
          </w:p>
        </w:tc>
      </w:tr>
      <w:tr w:rsidR="00464968" w:rsidRPr="003A2F86" w14:paraId="74CF13EB" w14:textId="77777777" w:rsidTr="00AF1BBB">
        <w:trPr>
          <w:trHeight w:val="252"/>
          <w:jc w:val="center"/>
        </w:trPr>
        <w:tc>
          <w:tcPr>
            <w:tcW w:w="1112" w:type="dxa"/>
            <w:tcBorders>
              <w:top w:val="nil"/>
              <w:left w:val="single" w:sz="8" w:space="0" w:color="000000"/>
              <w:bottom w:val="single" w:sz="8" w:space="0" w:color="000000"/>
              <w:right w:val="single" w:sz="8" w:space="0" w:color="000000"/>
            </w:tcBorders>
            <w:vAlign w:val="center"/>
            <w:hideMark/>
          </w:tcPr>
          <w:p w14:paraId="2B8FCFBE" w14:textId="1AFBAF16"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2015.</w:t>
            </w:r>
          </w:p>
        </w:tc>
        <w:tc>
          <w:tcPr>
            <w:tcW w:w="1146" w:type="dxa"/>
            <w:tcBorders>
              <w:top w:val="nil"/>
              <w:left w:val="nil"/>
              <w:bottom w:val="single" w:sz="8" w:space="0" w:color="000000"/>
              <w:right w:val="single" w:sz="8" w:space="0" w:color="000000"/>
            </w:tcBorders>
            <w:vAlign w:val="center"/>
            <w:hideMark/>
          </w:tcPr>
          <w:p w14:paraId="47217B39" w14:textId="6560602C"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442.031,68</w:t>
            </w:r>
          </w:p>
        </w:tc>
        <w:tc>
          <w:tcPr>
            <w:tcW w:w="12343" w:type="dxa"/>
            <w:tcBorders>
              <w:top w:val="nil"/>
              <w:left w:val="nil"/>
              <w:bottom w:val="single" w:sz="8" w:space="0" w:color="000000"/>
              <w:right w:val="single" w:sz="8" w:space="0" w:color="000000"/>
            </w:tcBorders>
            <w:vAlign w:val="center"/>
            <w:hideMark/>
          </w:tcPr>
          <w:p w14:paraId="6A811352" w14:textId="34DB4E53"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od čega u prvom polugodištu 2015. godine 213.640,86 €. U odnosu na prethodnu godinu manji su za 19.494,38 € ili 4,22%.</w:t>
            </w:r>
          </w:p>
        </w:tc>
      </w:tr>
      <w:tr w:rsidR="00464968" w:rsidRPr="003A2F86" w14:paraId="19B7E8AE" w14:textId="77777777" w:rsidTr="00AF1BBB">
        <w:trPr>
          <w:trHeight w:val="231"/>
          <w:jc w:val="center"/>
        </w:trPr>
        <w:tc>
          <w:tcPr>
            <w:tcW w:w="1112" w:type="dxa"/>
            <w:tcBorders>
              <w:top w:val="nil"/>
              <w:left w:val="single" w:sz="8" w:space="0" w:color="000000"/>
              <w:bottom w:val="single" w:sz="8" w:space="0" w:color="000000"/>
              <w:right w:val="single" w:sz="8" w:space="0" w:color="000000"/>
            </w:tcBorders>
            <w:vAlign w:val="center"/>
            <w:hideMark/>
          </w:tcPr>
          <w:p w14:paraId="473C0420" w14:textId="4C47043E"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2016.</w:t>
            </w:r>
          </w:p>
        </w:tc>
        <w:tc>
          <w:tcPr>
            <w:tcW w:w="1146" w:type="dxa"/>
            <w:tcBorders>
              <w:top w:val="nil"/>
              <w:left w:val="nil"/>
              <w:bottom w:val="single" w:sz="8" w:space="0" w:color="000000"/>
              <w:right w:val="single" w:sz="8" w:space="0" w:color="000000"/>
            </w:tcBorders>
            <w:vAlign w:val="center"/>
            <w:hideMark/>
          </w:tcPr>
          <w:p w14:paraId="64770CE0" w14:textId="091CFA7F"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482.012,02</w:t>
            </w:r>
          </w:p>
        </w:tc>
        <w:tc>
          <w:tcPr>
            <w:tcW w:w="12343" w:type="dxa"/>
            <w:tcBorders>
              <w:top w:val="nil"/>
              <w:left w:val="nil"/>
              <w:bottom w:val="single" w:sz="8" w:space="0" w:color="000000"/>
              <w:right w:val="single" w:sz="8" w:space="0" w:color="000000"/>
            </w:tcBorders>
            <w:vAlign w:val="center"/>
            <w:hideMark/>
          </w:tcPr>
          <w:p w14:paraId="4635D1A1" w14:textId="3CDF5BCC"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U prvom polugodištu 2016. godine ovi prihodi iznosili su 251.377,23 €. U 2016. godinu ovi prihodi su za 39.980,34 € ili 9,4% veći u odnosu na prethodnu godinu.</w:t>
            </w:r>
          </w:p>
        </w:tc>
      </w:tr>
      <w:tr w:rsidR="00464968" w:rsidRPr="003A2F86" w14:paraId="095A1AEC" w14:textId="77777777" w:rsidTr="00AF1BBB">
        <w:trPr>
          <w:trHeight w:val="249"/>
          <w:jc w:val="center"/>
        </w:trPr>
        <w:tc>
          <w:tcPr>
            <w:tcW w:w="1112" w:type="dxa"/>
            <w:tcBorders>
              <w:top w:val="nil"/>
              <w:left w:val="single" w:sz="8" w:space="0" w:color="000000"/>
              <w:bottom w:val="single" w:sz="8" w:space="0" w:color="000000"/>
              <w:right w:val="single" w:sz="8" w:space="0" w:color="000000"/>
            </w:tcBorders>
            <w:vAlign w:val="center"/>
            <w:hideMark/>
          </w:tcPr>
          <w:p w14:paraId="3F6610DC" w14:textId="7EC337D9"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2017.</w:t>
            </w:r>
          </w:p>
        </w:tc>
        <w:tc>
          <w:tcPr>
            <w:tcW w:w="1146" w:type="dxa"/>
            <w:tcBorders>
              <w:top w:val="nil"/>
              <w:left w:val="nil"/>
              <w:bottom w:val="single" w:sz="8" w:space="0" w:color="000000"/>
              <w:right w:val="single" w:sz="8" w:space="0" w:color="000000"/>
            </w:tcBorders>
            <w:vAlign w:val="center"/>
            <w:hideMark/>
          </w:tcPr>
          <w:p w14:paraId="49A1A3DC" w14:textId="6B05F8B9"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465.734,38</w:t>
            </w:r>
          </w:p>
        </w:tc>
        <w:tc>
          <w:tcPr>
            <w:tcW w:w="12343" w:type="dxa"/>
            <w:tcBorders>
              <w:top w:val="nil"/>
              <w:left w:val="nil"/>
              <w:bottom w:val="single" w:sz="8" w:space="0" w:color="000000"/>
              <w:right w:val="single" w:sz="8" w:space="0" w:color="000000"/>
            </w:tcBorders>
            <w:vAlign w:val="center"/>
            <w:hideMark/>
          </w:tcPr>
          <w:p w14:paraId="591803E4" w14:textId="7998F82C"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 xml:space="preserve">što je manje za 16.277,64 € ili 3,4% u odnosu na izvještajno razdoblje prethodne 2016. godine. U prvom polugodištu 2017. godine ovi prihodi iznosili su 239.892,61 €. </w:t>
            </w:r>
          </w:p>
        </w:tc>
      </w:tr>
      <w:tr w:rsidR="00464968" w:rsidRPr="003A2F86" w14:paraId="149E489E" w14:textId="77777777" w:rsidTr="00AF1BBB">
        <w:trPr>
          <w:trHeight w:val="267"/>
          <w:jc w:val="center"/>
        </w:trPr>
        <w:tc>
          <w:tcPr>
            <w:tcW w:w="1112" w:type="dxa"/>
            <w:tcBorders>
              <w:top w:val="nil"/>
              <w:left w:val="single" w:sz="8" w:space="0" w:color="000000"/>
              <w:bottom w:val="single" w:sz="8" w:space="0" w:color="000000"/>
              <w:right w:val="single" w:sz="8" w:space="0" w:color="000000"/>
            </w:tcBorders>
            <w:vAlign w:val="center"/>
            <w:hideMark/>
          </w:tcPr>
          <w:p w14:paraId="60C78216" w14:textId="465A3CC6"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2018.</w:t>
            </w:r>
          </w:p>
        </w:tc>
        <w:tc>
          <w:tcPr>
            <w:tcW w:w="1146" w:type="dxa"/>
            <w:tcBorders>
              <w:top w:val="nil"/>
              <w:left w:val="nil"/>
              <w:bottom w:val="single" w:sz="8" w:space="0" w:color="000000"/>
              <w:right w:val="single" w:sz="8" w:space="0" w:color="000000"/>
            </w:tcBorders>
            <w:vAlign w:val="center"/>
            <w:hideMark/>
          </w:tcPr>
          <w:p w14:paraId="60D6623A" w14:textId="678E4F19"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583.322,60</w:t>
            </w:r>
          </w:p>
        </w:tc>
        <w:tc>
          <w:tcPr>
            <w:tcW w:w="12343" w:type="dxa"/>
            <w:tcBorders>
              <w:top w:val="nil"/>
              <w:left w:val="nil"/>
              <w:bottom w:val="single" w:sz="8" w:space="0" w:color="000000"/>
              <w:right w:val="single" w:sz="8" w:space="0" w:color="000000"/>
            </w:tcBorders>
            <w:vAlign w:val="center"/>
            <w:hideMark/>
          </w:tcPr>
          <w:p w14:paraId="1B833BEA" w14:textId="3CA76B6A"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 xml:space="preserve">što je više za 117.588,22 € ili 25,3% u odnosu na izvještajno razdoblje prethodne godine. U prvom polugodištu 2018. godine ovi prihodi iznosili su 282.307,81 €. </w:t>
            </w:r>
          </w:p>
        </w:tc>
      </w:tr>
      <w:tr w:rsidR="00464968" w:rsidRPr="003A2F86" w14:paraId="36E078FD" w14:textId="77777777" w:rsidTr="00AF1BBB">
        <w:trPr>
          <w:trHeight w:val="256"/>
          <w:jc w:val="center"/>
        </w:trPr>
        <w:tc>
          <w:tcPr>
            <w:tcW w:w="1112" w:type="dxa"/>
            <w:tcBorders>
              <w:top w:val="nil"/>
              <w:left w:val="single" w:sz="8" w:space="0" w:color="000000"/>
              <w:bottom w:val="single" w:sz="8" w:space="0" w:color="000000"/>
              <w:right w:val="single" w:sz="8" w:space="0" w:color="000000"/>
            </w:tcBorders>
            <w:vAlign w:val="center"/>
            <w:hideMark/>
          </w:tcPr>
          <w:p w14:paraId="17548940" w14:textId="48DE603E"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lastRenderedPageBreak/>
              <w:t>2019.</w:t>
            </w:r>
          </w:p>
        </w:tc>
        <w:tc>
          <w:tcPr>
            <w:tcW w:w="1146" w:type="dxa"/>
            <w:tcBorders>
              <w:top w:val="nil"/>
              <w:left w:val="nil"/>
              <w:bottom w:val="single" w:sz="8" w:space="0" w:color="000000"/>
              <w:right w:val="single" w:sz="8" w:space="0" w:color="000000"/>
            </w:tcBorders>
            <w:vAlign w:val="center"/>
            <w:hideMark/>
          </w:tcPr>
          <w:p w14:paraId="21222A67" w14:textId="3F75AFC4"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830.736,26</w:t>
            </w:r>
          </w:p>
        </w:tc>
        <w:tc>
          <w:tcPr>
            <w:tcW w:w="12343" w:type="dxa"/>
            <w:tcBorders>
              <w:top w:val="nil"/>
              <w:left w:val="nil"/>
              <w:bottom w:val="single" w:sz="8" w:space="0" w:color="000000"/>
              <w:right w:val="single" w:sz="8" w:space="0" w:color="000000"/>
            </w:tcBorders>
            <w:vAlign w:val="center"/>
            <w:hideMark/>
          </w:tcPr>
          <w:p w14:paraId="36C17634" w14:textId="05F5C258"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 xml:space="preserve">što je više za 247.413,66 € ili 42,4% u odnosu na izvještajno razdoblje prethodne godine. U prvom polugodištu 2019. godine ovi prihodi iznosili su 340.306,99 €. </w:t>
            </w:r>
          </w:p>
        </w:tc>
      </w:tr>
      <w:tr w:rsidR="00464968" w:rsidRPr="003A2F86" w14:paraId="216AE866" w14:textId="77777777" w:rsidTr="00AF1BBB">
        <w:trPr>
          <w:trHeight w:val="276"/>
          <w:jc w:val="center"/>
        </w:trPr>
        <w:tc>
          <w:tcPr>
            <w:tcW w:w="1112" w:type="dxa"/>
            <w:tcBorders>
              <w:top w:val="nil"/>
              <w:left w:val="single" w:sz="8" w:space="0" w:color="000000"/>
              <w:bottom w:val="single" w:sz="8" w:space="0" w:color="000000"/>
              <w:right w:val="single" w:sz="8" w:space="0" w:color="000000"/>
            </w:tcBorders>
            <w:vAlign w:val="center"/>
            <w:hideMark/>
          </w:tcPr>
          <w:p w14:paraId="5C8E626B" w14:textId="2510CAFD"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2020.</w:t>
            </w:r>
          </w:p>
        </w:tc>
        <w:tc>
          <w:tcPr>
            <w:tcW w:w="1146" w:type="dxa"/>
            <w:tcBorders>
              <w:top w:val="nil"/>
              <w:left w:val="nil"/>
              <w:bottom w:val="single" w:sz="8" w:space="0" w:color="000000"/>
              <w:right w:val="single" w:sz="8" w:space="0" w:color="000000"/>
            </w:tcBorders>
            <w:vAlign w:val="center"/>
            <w:hideMark/>
          </w:tcPr>
          <w:p w14:paraId="5D627AE9" w14:textId="3705F4A7"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927.547,44</w:t>
            </w:r>
          </w:p>
        </w:tc>
        <w:tc>
          <w:tcPr>
            <w:tcW w:w="12343" w:type="dxa"/>
            <w:tcBorders>
              <w:top w:val="nil"/>
              <w:left w:val="nil"/>
              <w:bottom w:val="single" w:sz="8" w:space="0" w:color="000000"/>
              <w:right w:val="single" w:sz="8" w:space="0" w:color="000000"/>
            </w:tcBorders>
            <w:vAlign w:val="center"/>
            <w:hideMark/>
          </w:tcPr>
          <w:p w14:paraId="261226E5" w14:textId="3A60D301"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što je više za 96.811,18 € ili 11,7% u odnosu na izvještajno razdoblje prethodne godine. Ostvareni prihodi prvog polugodišta 2020. su iznosili 380.114,22 €. Ovi prihodi su povećani jer je u 2019., a zatim i početkom 2020. proširen obuhvat obveznika komunalne naknade nakon što je prethodne godine obavljena terenska izmjera i kontrola obveznika u dva naselja.</w:t>
            </w:r>
          </w:p>
        </w:tc>
      </w:tr>
      <w:tr w:rsidR="00464968" w:rsidRPr="003A2F86" w14:paraId="18611251" w14:textId="77777777" w:rsidTr="00AF1BBB">
        <w:trPr>
          <w:trHeight w:val="255"/>
          <w:jc w:val="center"/>
        </w:trPr>
        <w:tc>
          <w:tcPr>
            <w:tcW w:w="1112" w:type="dxa"/>
            <w:tcBorders>
              <w:top w:val="nil"/>
              <w:left w:val="single" w:sz="8" w:space="0" w:color="000000"/>
              <w:bottom w:val="single" w:sz="8" w:space="0" w:color="000000"/>
              <w:right w:val="single" w:sz="8" w:space="0" w:color="000000"/>
            </w:tcBorders>
            <w:vAlign w:val="center"/>
            <w:hideMark/>
          </w:tcPr>
          <w:p w14:paraId="1D62564A" w14:textId="1BC8457F"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2021.</w:t>
            </w:r>
          </w:p>
        </w:tc>
        <w:tc>
          <w:tcPr>
            <w:tcW w:w="1146" w:type="dxa"/>
            <w:tcBorders>
              <w:top w:val="nil"/>
              <w:left w:val="nil"/>
              <w:bottom w:val="single" w:sz="8" w:space="0" w:color="000000"/>
              <w:right w:val="single" w:sz="8" w:space="0" w:color="000000"/>
            </w:tcBorders>
            <w:vAlign w:val="center"/>
            <w:hideMark/>
          </w:tcPr>
          <w:p w14:paraId="6095286D" w14:textId="532922DC"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651.350,41</w:t>
            </w:r>
          </w:p>
        </w:tc>
        <w:tc>
          <w:tcPr>
            <w:tcW w:w="12343" w:type="dxa"/>
            <w:tcBorders>
              <w:top w:val="nil"/>
              <w:left w:val="nil"/>
              <w:bottom w:val="single" w:sz="8" w:space="0" w:color="000000"/>
              <w:right w:val="single" w:sz="8" w:space="0" w:color="000000"/>
            </w:tcBorders>
            <w:vAlign w:val="center"/>
            <w:hideMark/>
          </w:tcPr>
          <w:p w14:paraId="553CCBBE" w14:textId="502C1EA6"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što je manje za 276.197,04 € ili 29,8% u odnosu na izvještajno razdoblje prethodne godine. Ostvareni prihodi prvog polugodišta 2021. iznose 207.438,52 €.</w:t>
            </w:r>
          </w:p>
        </w:tc>
      </w:tr>
      <w:tr w:rsidR="00464968" w:rsidRPr="003A2F86" w14:paraId="3D1111EE" w14:textId="77777777" w:rsidTr="00AF1BBB">
        <w:trPr>
          <w:trHeight w:val="258"/>
          <w:jc w:val="center"/>
        </w:trPr>
        <w:tc>
          <w:tcPr>
            <w:tcW w:w="1112" w:type="dxa"/>
            <w:tcBorders>
              <w:top w:val="nil"/>
              <w:left w:val="single" w:sz="8" w:space="0" w:color="000000"/>
              <w:bottom w:val="single" w:sz="8" w:space="0" w:color="000000"/>
              <w:right w:val="single" w:sz="8" w:space="0" w:color="000000"/>
            </w:tcBorders>
            <w:vAlign w:val="center"/>
          </w:tcPr>
          <w:p w14:paraId="004731AE" w14:textId="77FE7F2E"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2022.</w:t>
            </w:r>
          </w:p>
        </w:tc>
        <w:tc>
          <w:tcPr>
            <w:tcW w:w="1146" w:type="dxa"/>
            <w:tcBorders>
              <w:top w:val="nil"/>
              <w:left w:val="nil"/>
              <w:bottom w:val="single" w:sz="8" w:space="0" w:color="000000"/>
              <w:right w:val="single" w:sz="8" w:space="0" w:color="000000"/>
            </w:tcBorders>
            <w:vAlign w:val="center"/>
          </w:tcPr>
          <w:p w14:paraId="46498BD2" w14:textId="3F274127"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864.623,37</w:t>
            </w:r>
          </w:p>
        </w:tc>
        <w:tc>
          <w:tcPr>
            <w:tcW w:w="12343" w:type="dxa"/>
            <w:tcBorders>
              <w:top w:val="nil"/>
              <w:left w:val="nil"/>
              <w:bottom w:val="single" w:sz="8" w:space="0" w:color="000000"/>
              <w:right w:val="single" w:sz="8" w:space="0" w:color="000000"/>
            </w:tcBorders>
            <w:vAlign w:val="center"/>
          </w:tcPr>
          <w:p w14:paraId="0E85C632" w14:textId="48B67E84"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što je više za 213.272,96 € ili 32,7% u odnosu na izvještajno razdoblje prethodne godine. Ostvareni prihodi prvog polugodišta 2022. iznose 475.710,39 €.</w:t>
            </w:r>
          </w:p>
        </w:tc>
      </w:tr>
      <w:tr w:rsidR="00464968" w:rsidRPr="003A2F86" w14:paraId="019DCB3A" w14:textId="77777777" w:rsidTr="00AF1BBB">
        <w:trPr>
          <w:trHeight w:val="277"/>
          <w:jc w:val="center"/>
        </w:trPr>
        <w:tc>
          <w:tcPr>
            <w:tcW w:w="1112" w:type="dxa"/>
            <w:tcBorders>
              <w:top w:val="nil"/>
              <w:left w:val="single" w:sz="8" w:space="0" w:color="000000"/>
              <w:bottom w:val="single" w:sz="4" w:space="0" w:color="auto"/>
              <w:right w:val="single" w:sz="8" w:space="0" w:color="000000"/>
            </w:tcBorders>
            <w:vAlign w:val="center"/>
          </w:tcPr>
          <w:p w14:paraId="73FE1BA6" w14:textId="23FB143F" w:rsidR="00464968" w:rsidRPr="003A2F86" w:rsidRDefault="00464968" w:rsidP="00464968">
            <w:pPr>
              <w:spacing w:after="0" w:line="240" w:lineRule="auto"/>
              <w:jc w:val="center"/>
              <w:rPr>
                <w:rFonts w:ascii="Arial" w:eastAsia="Times New Roman" w:hAnsi="Arial" w:cs="Arial"/>
                <w:i/>
                <w:iCs/>
                <w:sz w:val="18"/>
                <w:szCs w:val="18"/>
              </w:rPr>
            </w:pPr>
            <w:r w:rsidRPr="003A2F86">
              <w:rPr>
                <w:rFonts w:ascii="Arial" w:hAnsi="Arial" w:cs="Arial"/>
                <w:i/>
                <w:iCs/>
                <w:sz w:val="18"/>
                <w:szCs w:val="18"/>
              </w:rPr>
              <w:t>2023.</w:t>
            </w:r>
          </w:p>
        </w:tc>
        <w:tc>
          <w:tcPr>
            <w:tcW w:w="1146" w:type="dxa"/>
            <w:tcBorders>
              <w:top w:val="nil"/>
              <w:left w:val="nil"/>
              <w:bottom w:val="single" w:sz="4" w:space="0" w:color="auto"/>
              <w:right w:val="single" w:sz="8" w:space="0" w:color="000000"/>
            </w:tcBorders>
            <w:vAlign w:val="center"/>
          </w:tcPr>
          <w:p w14:paraId="76779CC6" w14:textId="46B7BA32" w:rsidR="00464968" w:rsidRPr="003A2F86" w:rsidRDefault="00464968" w:rsidP="00464968">
            <w:pPr>
              <w:spacing w:after="0" w:line="240" w:lineRule="auto"/>
              <w:jc w:val="right"/>
              <w:rPr>
                <w:rFonts w:ascii="Arial" w:eastAsia="Times New Roman" w:hAnsi="Arial" w:cs="Arial"/>
                <w:i/>
                <w:iCs/>
                <w:sz w:val="18"/>
                <w:szCs w:val="18"/>
              </w:rPr>
            </w:pPr>
            <w:r w:rsidRPr="003A2F86">
              <w:rPr>
                <w:rFonts w:ascii="Arial" w:hAnsi="Arial" w:cs="Arial"/>
                <w:i/>
                <w:iCs/>
                <w:sz w:val="18"/>
                <w:szCs w:val="18"/>
              </w:rPr>
              <w:t>985.391,54</w:t>
            </w:r>
          </w:p>
        </w:tc>
        <w:tc>
          <w:tcPr>
            <w:tcW w:w="12343" w:type="dxa"/>
            <w:tcBorders>
              <w:top w:val="nil"/>
              <w:left w:val="nil"/>
              <w:bottom w:val="single" w:sz="4" w:space="0" w:color="auto"/>
              <w:right w:val="single" w:sz="8" w:space="0" w:color="000000"/>
            </w:tcBorders>
            <w:vAlign w:val="center"/>
          </w:tcPr>
          <w:p w14:paraId="65C6404E" w14:textId="45E21A8C" w:rsidR="00464968" w:rsidRPr="003A2F86" w:rsidRDefault="00464968" w:rsidP="00464968">
            <w:pPr>
              <w:spacing w:after="0" w:line="240" w:lineRule="auto"/>
              <w:jc w:val="both"/>
              <w:rPr>
                <w:rFonts w:ascii="Arial" w:eastAsia="Times New Roman" w:hAnsi="Arial" w:cs="Arial"/>
                <w:sz w:val="16"/>
                <w:szCs w:val="16"/>
              </w:rPr>
            </w:pPr>
            <w:r w:rsidRPr="003A2F86">
              <w:rPr>
                <w:rFonts w:ascii="Arial" w:hAnsi="Arial" w:cs="Arial"/>
                <w:sz w:val="16"/>
                <w:szCs w:val="16"/>
              </w:rPr>
              <w:t>što je više za 120.768,17 € ili 14% u odnosu na izvještajno godišnje razdoblje prethodne godine. Ostvareni prihodi prvog polugodišta 2023. iznose 488.333,64 €.</w:t>
            </w:r>
          </w:p>
        </w:tc>
      </w:tr>
      <w:tr w:rsidR="002D002F" w:rsidRPr="003A2F86" w14:paraId="77BE4E95" w14:textId="77777777" w:rsidTr="00574DD4">
        <w:trPr>
          <w:trHeight w:val="254"/>
          <w:jc w:val="center"/>
        </w:trPr>
        <w:tc>
          <w:tcPr>
            <w:tcW w:w="1112" w:type="dxa"/>
            <w:tcBorders>
              <w:top w:val="single" w:sz="4" w:space="0" w:color="auto"/>
              <w:left w:val="single" w:sz="8" w:space="0" w:color="000000"/>
              <w:bottom w:val="single" w:sz="4" w:space="0" w:color="auto"/>
              <w:right w:val="single" w:sz="8" w:space="0" w:color="000000"/>
            </w:tcBorders>
            <w:vAlign w:val="center"/>
          </w:tcPr>
          <w:p w14:paraId="5BE6C124" w14:textId="7FB6D968" w:rsidR="002D002F" w:rsidRPr="003A2F86" w:rsidRDefault="002D002F" w:rsidP="00464968">
            <w:pPr>
              <w:spacing w:after="0" w:line="240" w:lineRule="auto"/>
              <w:jc w:val="center"/>
              <w:rPr>
                <w:rFonts w:ascii="Arial" w:hAnsi="Arial" w:cs="Arial"/>
                <w:i/>
                <w:iCs/>
                <w:sz w:val="18"/>
                <w:szCs w:val="18"/>
              </w:rPr>
            </w:pPr>
            <w:r w:rsidRPr="003A2F86">
              <w:rPr>
                <w:rFonts w:ascii="Arial" w:hAnsi="Arial" w:cs="Arial"/>
                <w:i/>
                <w:iCs/>
                <w:sz w:val="18"/>
                <w:szCs w:val="18"/>
              </w:rPr>
              <w:t>2024.</w:t>
            </w:r>
          </w:p>
        </w:tc>
        <w:tc>
          <w:tcPr>
            <w:tcW w:w="1146" w:type="dxa"/>
            <w:tcBorders>
              <w:top w:val="single" w:sz="4" w:space="0" w:color="auto"/>
              <w:left w:val="nil"/>
              <w:bottom w:val="single" w:sz="4" w:space="0" w:color="auto"/>
              <w:right w:val="single" w:sz="8" w:space="0" w:color="000000"/>
            </w:tcBorders>
            <w:vAlign w:val="center"/>
          </w:tcPr>
          <w:p w14:paraId="3E8C7265" w14:textId="207170E7" w:rsidR="002D002F" w:rsidRPr="003A2F86" w:rsidRDefault="0095794B" w:rsidP="00464968">
            <w:pPr>
              <w:spacing w:after="0" w:line="240" w:lineRule="auto"/>
              <w:jc w:val="right"/>
              <w:rPr>
                <w:rFonts w:ascii="Arial" w:hAnsi="Arial" w:cs="Arial"/>
                <w:i/>
                <w:iCs/>
                <w:sz w:val="18"/>
                <w:szCs w:val="18"/>
              </w:rPr>
            </w:pPr>
            <w:r w:rsidRPr="0095794B">
              <w:rPr>
                <w:rFonts w:ascii="Arial" w:hAnsi="Arial" w:cs="Arial"/>
                <w:i/>
                <w:iCs/>
                <w:sz w:val="18"/>
                <w:szCs w:val="18"/>
              </w:rPr>
              <w:t>1.089.673,50</w:t>
            </w:r>
          </w:p>
        </w:tc>
        <w:tc>
          <w:tcPr>
            <w:tcW w:w="12343" w:type="dxa"/>
            <w:tcBorders>
              <w:top w:val="single" w:sz="4" w:space="0" w:color="auto"/>
              <w:left w:val="nil"/>
              <w:bottom w:val="single" w:sz="4" w:space="0" w:color="auto"/>
              <w:right w:val="single" w:sz="8" w:space="0" w:color="000000"/>
            </w:tcBorders>
            <w:vAlign w:val="center"/>
          </w:tcPr>
          <w:p w14:paraId="2D0D713F" w14:textId="407E144A" w:rsidR="002D002F" w:rsidRPr="003A2F86" w:rsidRDefault="0095794B" w:rsidP="00464968">
            <w:pPr>
              <w:spacing w:after="0" w:line="240" w:lineRule="auto"/>
              <w:jc w:val="both"/>
              <w:rPr>
                <w:rFonts w:ascii="Arial" w:hAnsi="Arial" w:cs="Arial"/>
                <w:sz w:val="16"/>
                <w:szCs w:val="16"/>
              </w:rPr>
            </w:pPr>
            <w:r w:rsidRPr="0095794B">
              <w:rPr>
                <w:rFonts w:ascii="Arial" w:hAnsi="Arial" w:cs="Arial"/>
                <w:sz w:val="16"/>
                <w:szCs w:val="16"/>
              </w:rPr>
              <w:t>što je više za 104.281,96 € ili 10,6% u odnosu na izvještajno razdoblje prethodne godine. Ostvareni prihodi prvog polugodišta 2024. iznose 459.594,70 €.</w:t>
            </w:r>
          </w:p>
        </w:tc>
      </w:tr>
      <w:tr w:rsidR="00574DD4" w:rsidRPr="003A2F86" w14:paraId="7AADB62B" w14:textId="77777777" w:rsidTr="00AF1BBB">
        <w:trPr>
          <w:trHeight w:val="254"/>
          <w:jc w:val="center"/>
        </w:trPr>
        <w:tc>
          <w:tcPr>
            <w:tcW w:w="1112" w:type="dxa"/>
            <w:tcBorders>
              <w:top w:val="single" w:sz="4" w:space="0" w:color="auto"/>
              <w:left w:val="single" w:sz="8" w:space="0" w:color="000000"/>
              <w:bottom w:val="single" w:sz="8" w:space="0" w:color="000000"/>
              <w:right w:val="single" w:sz="8" w:space="0" w:color="000000"/>
            </w:tcBorders>
            <w:vAlign w:val="center"/>
          </w:tcPr>
          <w:p w14:paraId="69D9FE41" w14:textId="2E4BCCFE" w:rsidR="00574DD4" w:rsidRPr="003A2F86" w:rsidRDefault="00574DD4" w:rsidP="00464968">
            <w:pPr>
              <w:spacing w:after="0" w:line="240" w:lineRule="auto"/>
              <w:jc w:val="center"/>
              <w:rPr>
                <w:rFonts w:ascii="Arial" w:hAnsi="Arial" w:cs="Arial"/>
                <w:i/>
                <w:iCs/>
                <w:sz w:val="18"/>
                <w:szCs w:val="18"/>
              </w:rPr>
            </w:pPr>
            <w:r>
              <w:rPr>
                <w:rFonts w:ascii="Arial" w:hAnsi="Arial" w:cs="Arial"/>
                <w:i/>
                <w:iCs/>
                <w:sz w:val="18"/>
                <w:szCs w:val="18"/>
              </w:rPr>
              <w:t>1-6/2025.</w:t>
            </w:r>
          </w:p>
        </w:tc>
        <w:tc>
          <w:tcPr>
            <w:tcW w:w="1146" w:type="dxa"/>
            <w:tcBorders>
              <w:top w:val="single" w:sz="4" w:space="0" w:color="auto"/>
              <w:left w:val="nil"/>
              <w:bottom w:val="single" w:sz="8" w:space="0" w:color="000000"/>
              <w:right w:val="single" w:sz="8" w:space="0" w:color="000000"/>
            </w:tcBorders>
            <w:vAlign w:val="center"/>
          </w:tcPr>
          <w:p w14:paraId="6AFBE218" w14:textId="0509DE89" w:rsidR="00574DD4" w:rsidRPr="0095794B" w:rsidRDefault="00026F05" w:rsidP="00464968">
            <w:pPr>
              <w:spacing w:after="0" w:line="240" w:lineRule="auto"/>
              <w:jc w:val="right"/>
              <w:rPr>
                <w:rFonts w:ascii="Arial" w:hAnsi="Arial" w:cs="Arial"/>
                <w:i/>
                <w:iCs/>
                <w:sz w:val="18"/>
                <w:szCs w:val="18"/>
              </w:rPr>
            </w:pPr>
            <w:r>
              <w:rPr>
                <w:rFonts w:ascii="Arial" w:hAnsi="Arial" w:cs="Arial"/>
                <w:i/>
                <w:iCs/>
                <w:sz w:val="18"/>
                <w:szCs w:val="18"/>
              </w:rPr>
              <w:t>525.674,45</w:t>
            </w:r>
          </w:p>
        </w:tc>
        <w:tc>
          <w:tcPr>
            <w:tcW w:w="12343" w:type="dxa"/>
            <w:tcBorders>
              <w:top w:val="single" w:sz="4" w:space="0" w:color="auto"/>
              <w:left w:val="nil"/>
              <w:bottom w:val="single" w:sz="8" w:space="0" w:color="000000"/>
              <w:right w:val="single" w:sz="8" w:space="0" w:color="000000"/>
            </w:tcBorders>
            <w:vAlign w:val="center"/>
          </w:tcPr>
          <w:p w14:paraId="5C1DB4CB" w14:textId="68C5805A" w:rsidR="00574DD4" w:rsidRPr="0095794B" w:rsidRDefault="00026F05" w:rsidP="00464968">
            <w:pPr>
              <w:spacing w:after="0" w:line="240" w:lineRule="auto"/>
              <w:jc w:val="both"/>
              <w:rPr>
                <w:rFonts w:ascii="Arial" w:hAnsi="Arial" w:cs="Arial"/>
                <w:sz w:val="16"/>
                <w:szCs w:val="16"/>
              </w:rPr>
            </w:pPr>
            <w:r w:rsidRPr="00026F05">
              <w:rPr>
                <w:rFonts w:ascii="Arial" w:hAnsi="Arial" w:cs="Arial"/>
                <w:sz w:val="16"/>
                <w:szCs w:val="16"/>
              </w:rPr>
              <w:t>što je više za 66.079,75 € ili 14,4% u odnosu na izvještajno razdoblje prethodne godine. Ostvareni prihodi prvog polugodišta 2025. iznose 525.674,45 €.</w:t>
            </w:r>
          </w:p>
        </w:tc>
      </w:tr>
    </w:tbl>
    <w:p w14:paraId="4130388A" w14:textId="62F430A2" w:rsidR="00CF0F33" w:rsidRPr="003A2F86" w:rsidRDefault="00CF0F33">
      <w:pPr>
        <w:rPr>
          <w:rFonts w:ascii="Arial" w:eastAsia="Times New Roman" w:hAnsi="Arial" w:cs="Arial"/>
          <w:iCs/>
          <w:lang w:eastAsia="en-US"/>
        </w:rPr>
      </w:pPr>
      <w:r w:rsidRPr="003A2F86">
        <w:rPr>
          <w:rFonts w:ascii="Arial" w:eastAsia="Times New Roman" w:hAnsi="Arial" w:cs="Arial"/>
          <w:iCs/>
          <w:color w:val="C00000"/>
          <w:lang w:eastAsia="en-US"/>
        </w:rPr>
        <w:br w:type="page"/>
      </w:r>
    </w:p>
    <w:p w14:paraId="0F2061E8" w14:textId="266EB43E" w:rsidR="009A2A97" w:rsidRPr="003A2F86" w:rsidRDefault="009A2A97" w:rsidP="009A2A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iCs/>
          <w:lang w:eastAsia="en-US"/>
        </w:rPr>
      </w:pPr>
      <w:r w:rsidRPr="003A2F86">
        <w:rPr>
          <w:rFonts w:ascii="Arial" w:eastAsia="Times New Roman" w:hAnsi="Arial" w:cs="Arial"/>
          <w:b/>
          <w:u w:val="single"/>
          <w:lang w:eastAsia="en-US"/>
        </w:rPr>
        <w:lastRenderedPageBreak/>
        <w:t>Vlastiti prihodi proračunskih korisnika (podskupina računa 652)</w:t>
      </w:r>
    </w:p>
    <w:p w14:paraId="5D8BC7D7" w14:textId="77777777" w:rsidR="00515633" w:rsidRPr="003A2F86" w:rsidRDefault="0051563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lang w:eastAsia="en-US"/>
        </w:rPr>
      </w:pPr>
    </w:p>
    <w:p w14:paraId="4974A02E" w14:textId="03E342B6"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b/>
          <w:u w:val="single"/>
          <w:lang w:eastAsia="en-US"/>
        </w:rPr>
      </w:pPr>
      <w:r w:rsidRPr="003A2F86">
        <w:rPr>
          <w:rFonts w:ascii="Arial" w:eastAsia="Calibri" w:hAnsi="Arial" w:cs="Arial"/>
          <w:lang w:eastAsia="en-US"/>
        </w:rPr>
        <w:t xml:space="preserve">U okviru prihoda </w:t>
      </w:r>
      <w:r w:rsidR="00B3168E" w:rsidRPr="003A2F86">
        <w:rPr>
          <w:rFonts w:ascii="Arial" w:eastAsia="Calibri" w:hAnsi="Arial" w:cs="Arial"/>
          <w:lang w:eastAsia="en-US"/>
        </w:rPr>
        <w:t xml:space="preserve">po posebnim propisima </w:t>
      </w:r>
      <w:r w:rsidRPr="003A2F86">
        <w:rPr>
          <w:rFonts w:ascii="Arial" w:eastAsia="Calibri" w:hAnsi="Arial" w:cs="Arial"/>
          <w:lang w:eastAsia="en-US"/>
        </w:rPr>
        <w:t xml:space="preserve">(65), </w:t>
      </w:r>
      <w:bookmarkStart w:id="118" w:name="_Hlk103076119"/>
      <w:r w:rsidRPr="003A2F86">
        <w:rPr>
          <w:rFonts w:ascii="Arial" w:eastAsia="Times New Roman" w:hAnsi="Arial" w:cs="Arial"/>
          <w:b/>
          <w:lang w:eastAsia="en-US"/>
        </w:rPr>
        <w:t>vlastiti prihodi proračunskih korisnika (652)</w:t>
      </w:r>
      <w:r w:rsidRPr="003A2F86">
        <w:rPr>
          <w:rFonts w:ascii="Arial" w:eastAsia="Times New Roman" w:hAnsi="Arial" w:cs="Arial"/>
          <w:lang w:eastAsia="en-US"/>
        </w:rPr>
        <w:t xml:space="preserve"> u iznosu </w:t>
      </w:r>
      <w:r w:rsidR="00A620EE">
        <w:rPr>
          <w:rFonts w:ascii="Arial" w:eastAsia="Calibri" w:hAnsi="Arial" w:cs="Arial"/>
          <w:lang w:eastAsia="en-US"/>
        </w:rPr>
        <w:t>720.839</w:t>
      </w:r>
      <w:r w:rsidR="0010509D" w:rsidRPr="003A2F86">
        <w:rPr>
          <w:rFonts w:ascii="Arial" w:eastAsia="Calibri" w:hAnsi="Arial" w:cs="Arial"/>
          <w:lang w:eastAsia="en-US"/>
        </w:rPr>
        <w:t xml:space="preserve"> €</w:t>
      </w:r>
      <w:r w:rsidRPr="003A2F86">
        <w:rPr>
          <w:rFonts w:ascii="Arial" w:eastAsia="Times New Roman" w:hAnsi="Arial" w:cs="Arial"/>
          <w:lang w:eastAsia="en-US"/>
        </w:rPr>
        <w:t xml:space="preserve"> (</w:t>
      </w:r>
      <w:r w:rsidR="00A620EE">
        <w:rPr>
          <w:rFonts w:ascii="Arial" w:eastAsia="Calibri" w:hAnsi="Arial" w:cs="Arial"/>
          <w:lang w:eastAsia="en-US"/>
        </w:rPr>
        <w:t>72.901,91</w:t>
      </w:r>
      <w:r w:rsidR="002B6862" w:rsidRPr="003A2F86">
        <w:rPr>
          <w:rFonts w:ascii="Arial" w:eastAsia="Calibri" w:hAnsi="Arial" w:cs="Arial"/>
          <w:lang w:eastAsia="en-US"/>
        </w:rPr>
        <w:t xml:space="preserve"> €</w:t>
      </w:r>
      <w:r w:rsidRPr="003A2F86">
        <w:rPr>
          <w:rFonts w:ascii="Arial" w:eastAsia="Calibri" w:hAnsi="Arial" w:cs="Arial"/>
          <w:lang w:eastAsia="en-US"/>
        </w:rPr>
        <w:t xml:space="preserve"> </w:t>
      </w:r>
      <w:r w:rsidR="00EC1C82" w:rsidRPr="003A2F86">
        <w:rPr>
          <w:rFonts w:ascii="Arial" w:eastAsia="Calibri" w:hAnsi="Arial" w:cs="Arial"/>
          <w:lang w:eastAsia="en-US"/>
        </w:rPr>
        <w:t xml:space="preserve">ili </w:t>
      </w:r>
      <w:r w:rsidR="008569C2">
        <w:rPr>
          <w:rFonts w:ascii="Arial" w:eastAsia="Calibri" w:hAnsi="Arial" w:cs="Arial"/>
          <w:lang w:eastAsia="en-US"/>
        </w:rPr>
        <w:t>11,3</w:t>
      </w:r>
      <w:r w:rsidR="00EC1C82" w:rsidRPr="003A2F86">
        <w:rPr>
          <w:rFonts w:ascii="Arial" w:eastAsia="Calibri" w:hAnsi="Arial" w:cs="Arial"/>
          <w:lang w:eastAsia="en-US"/>
        </w:rPr>
        <w:t xml:space="preserve">% </w:t>
      </w:r>
      <w:r w:rsidR="0075571D" w:rsidRPr="003A2F86">
        <w:rPr>
          <w:rFonts w:ascii="Arial" w:eastAsia="Calibri" w:hAnsi="Arial" w:cs="Arial"/>
          <w:lang w:eastAsia="en-US"/>
        </w:rPr>
        <w:t>više</w:t>
      </w:r>
      <w:r w:rsidRPr="003A2F86">
        <w:rPr>
          <w:rFonts w:ascii="Arial" w:eastAsia="Calibri" w:hAnsi="Arial" w:cs="Arial"/>
          <w:lang w:eastAsia="en-US"/>
        </w:rPr>
        <w:t xml:space="preserve"> nego </w:t>
      </w:r>
      <w:r w:rsidR="0075571D" w:rsidRPr="003A2F86">
        <w:rPr>
          <w:rFonts w:ascii="Arial" w:eastAsia="Calibri" w:hAnsi="Arial" w:cs="Arial"/>
          <w:lang w:eastAsia="en-US"/>
        </w:rPr>
        <w:t>202</w:t>
      </w:r>
      <w:r w:rsidR="008569C2">
        <w:rPr>
          <w:rFonts w:ascii="Arial" w:eastAsia="Calibri" w:hAnsi="Arial" w:cs="Arial"/>
          <w:lang w:eastAsia="en-US"/>
        </w:rPr>
        <w:t>4</w:t>
      </w:r>
      <w:r w:rsidR="0075571D" w:rsidRPr="003A2F86">
        <w:rPr>
          <w:rFonts w:ascii="Arial" w:eastAsia="Calibri" w:hAnsi="Arial" w:cs="Arial"/>
          <w:lang w:eastAsia="en-US"/>
        </w:rPr>
        <w:t xml:space="preserve">. </w:t>
      </w:r>
      <w:r w:rsidRPr="003A2F86">
        <w:rPr>
          <w:rFonts w:ascii="Arial" w:eastAsia="Calibri" w:hAnsi="Arial" w:cs="Arial"/>
          <w:lang w:eastAsia="en-US"/>
        </w:rPr>
        <w:t>godine)</w:t>
      </w:r>
      <w:r w:rsidRPr="003A2F86">
        <w:rPr>
          <w:rFonts w:ascii="Arial" w:eastAsia="Times New Roman" w:hAnsi="Arial" w:cs="Arial"/>
          <w:lang w:eastAsia="en-US"/>
        </w:rPr>
        <w:t xml:space="preserve"> odnose se na:</w:t>
      </w:r>
    </w:p>
    <w:p w14:paraId="1A31E539" w14:textId="09329059"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3A2F86">
        <w:rPr>
          <w:rFonts w:ascii="Arial" w:eastAsia="Times New Roman" w:hAnsi="Arial" w:cs="Arial"/>
          <w:lang w:eastAsia="en-US"/>
        </w:rPr>
        <w:t xml:space="preserve">- prihodi od sufinanciranja cijene smještaja u vrtiću </w:t>
      </w:r>
      <w:bookmarkStart w:id="119" w:name="_Hlk145931905"/>
      <w:r w:rsidR="008569C2">
        <w:rPr>
          <w:rFonts w:ascii="Arial" w:eastAsia="Times New Roman" w:hAnsi="Arial" w:cs="Arial"/>
          <w:lang w:eastAsia="en-US"/>
        </w:rPr>
        <w:t>242.529,71</w:t>
      </w:r>
      <w:r w:rsidR="002B6862" w:rsidRPr="003A2F86">
        <w:rPr>
          <w:rFonts w:ascii="Arial" w:eastAsia="Times New Roman" w:hAnsi="Arial" w:cs="Arial"/>
          <w:lang w:eastAsia="en-US"/>
        </w:rPr>
        <w:t xml:space="preserve"> €</w:t>
      </w:r>
      <w:r w:rsidR="00D3020E" w:rsidRPr="003A2F86">
        <w:rPr>
          <w:rFonts w:ascii="Arial" w:eastAsia="Times New Roman" w:hAnsi="Arial" w:cs="Arial"/>
          <w:lang w:eastAsia="en-US"/>
        </w:rPr>
        <w:t xml:space="preserve"> </w:t>
      </w:r>
      <w:bookmarkEnd w:id="119"/>
      <w:r w:rsidR="004479DA" w:rsidRPr="003A2F86">
        <w:rPr>
          <w:rFonts w:ascii="Arial" w:eastAsia="Times New Roman" w:hAnsi="Arial" w:cs="Arial"/>
          <w:lang w:eastAsia="en-US"/>
        </w:rPr>
        <w:t>(</w:t>
      </w:r>
      <w:r w:rsidR="0096789B" w:rsidRPr="003A2F86">
        <w:rPr>
          <w:rFonts w:ascii="Arial" w:eastAsia="Times New Roman" w:hAnsi="Arial" w:cs="Arial"/>
          <w:lang w:eastAsia="en-US"/>
        </w:rPr>
        <w:t xml:space="preserve">Prihodi </w:t>
      </w:r>
      <w:r w:rsidR="00D3020E" w:rsidRPr="003A2F86">
        <w:rPr>
          <w:rFonts w:ascii="Arial" w:eastAsia="Times New Roman" w:hAnsi="Arial" w:cs="Arial"/>
          <w:lang w:eastAsia="en-US"/>
        </w:rPr>
        <w:t xml:space="preserve">od sufinanciranja </w:t>
      </w:r>
      <w:r w:rsidR="0075571D" w:rsidRPr="003A2F86">
        <w:rPr>
          <w:rFonts w:ascii="Arial" w:eastAsia="Times New Roman" w:hAnsi="Arial" w:cs="Arial"/>
          <w:lang w:eastAsia="en-US"/>
        </w:rPr>
        <w:t xml:space="preserve">veći </w:t>
      </w:r>
      <w:r w:rsidR="00F15F81" w:rsidRPr="003A2F86">
        <w:rPr>
          <w:rFonts w:ascii="Arial" w:eastAsia="Times New Roman" w:hAnsi="Arial" w:cs="Arial"/>
          <w:lang w:eastAsia="en-US"/>
        </w:rPr>
        <w:t xml:space="preserve">za </w:t>
      </w:r>
      <w:r w:rsidR="006D7207">
        <w:rPr>
          <w:rFonts w:ascii="Arial" w:eastAsia="Times New Roman" w:hAnsi="Arial" w:cs="Arial"/>
          <w:lang w:eastAsia="en-US"/>
        </w:rPr>
        <w:t>5.906,41</w:t>
      </w:r>
      <w:r w:rsidR="002B6862" w:rsidRPr="003A2F86">
        <w:rPr>
          <w:rFonts w:ascii="Arial" w:eastAsia="Times New Roman" w:hAnsi="Arial" w:cs="Arial"/>
          <w:lang w:eastAsia="en-US"/>
        </w:rPr>
        <w:t xml:space="preserve"> €</w:t>
      </w:r>
      <w:r w:rsidR="002126FE" w:rsidRPr="003A2F86">
        <w:rPr>
          <w:rFonts w:ascii="Arial" w:eastAsia="Times New Roman" w:hAnsi="Arial" w:cs="Arial"/>
          <w:lang w:eastAsia="en-US"/>
        </w:rPr>
        <w:t xml:space="preserve"> ili </w:t>
      </w:r>
      <w:r w:rsidR="0061468C">
        <w:rPr>
          <w:rFonts w:ascii="Arial" w:eastAsia="Times New Roman" w:hAnsi="Arial" w:cs="Arial"/>
          <w:lang w:eastAsia="en-US"/>
        </w:rPr>
        <w:t>2,5</w:t>
      </w:r>
      <w:r w:rsidR="002126FE" w:rsidRPr="003A2F86">
        <w:rPr>
          <w:rFonts w:ascii="Arial" w:eastAsia="Times New Roman" w:hAnsi="Arial" w:cs="Arial"/>
          <w:lang w:eastAsia="en-US"/>
        </w:rPr>
        <w:t>%</w:t>
      </w:r>
      <w:r w:rsidR="00CB7E9C" w:rsidRPr="003A2F86">
        <w:rPr>
          <w:rFonts w:ascii="Arial" w:eastAsia="Times New Roman" w:hAnsi="Arial" w:cs="Arial"/>
          <w:lang w:eastAsia="en-US"/>
        </w:rPr>
        <w:t xml:space="preserve"> </w:t>
      </w:r>
      <w:r w:rsidR="0096789B" w:rsidRPr="003A2F86">
        <w:rPr>
          <w:rFonts w:ascii="Arial" w:eastAsia="Times New Roman" w:hAnsi="Arial" w:cs="Arial"/>
          <w:lang w:eastAsia="en-US"/>
        </w:rPr>
        <w:t>u odnosu na izvještajno razdoblje prethodne godine</w:t>
      </w:r>
      <w:r w:rsidR="00A2546A" w:rsidRPr="003A2F86">
        <w:rPr>
          <w:rFonts w:ascii="Arial" w:eastAsia="Times New Roman" w:hAnsi="Arial" w:cs="Arial"/>
          <w:lang w:eastAsia="en-US"/>
        </w:rPr>
        <w:t>)</w:t>
      </w:r>
      <w:r w:rsidR="0096789B" w:rsidRPr="003A2F86">
        <w:rPr>
          <w:rFonts w:ascii="Arial" w:eastAsia="Times New Roman" w:hAnsi="Arial" w:cs="Arial"/>
          <w:lang w:eastAsia="en-US"/>
        </w:rPr>
        <w:t>.</w:t>
      </w:r>
      <w:r w:rsidR="002126FE" w:rsidRPr="003A2F86">
        <w:rPr>
          <w:rFonts w:ascii="Arial" w:eastAsia="Times New Roman" w:hAnsi="Arial" w:cs="Arial"/>
          <w:lang w:eastAsia="en-US"/>
        </w:rPr>
        <w:t xml:space="preserve"> </w:t>
      </w:r>
      <w:r w:rsidR="002C1344" w:rsidRPr="003A2F86">
        <w:rPr>
          <w:rFonts w:ascii="Arial" w:eastAsia="Times New Roman" w:hAnsi="Arial" w:cs="Arial"/>
          <w:lang w:eastAsia="en-US"/>
        </w:rPr>
        <w:t>Od listopada 2021. povećane su cijene smještaja u vrtiću.</w:t>
      </w:r>
    </w:p>
    <w:p w14:paraId="07336D63" w14:textId="0867B8E9"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3A2F86">
        <w:rPr>
          <w:rFonts w:ascii="Arial" w:eastAsia="Times New Roman" w:hAnsi="Arial" w:cs="Arial"/>
          <w:lang w:eastAsia="en-US"/>
        </w:rPr>
        <w:t xml:space="preserve">- prihodi od prodaje ulaznica i suvenira u ustanovi u kulturi </w:t>
      </w:r>
      <w:bookmarkStart w:id="120" w:name="_Hlk145931939"/>
      <w:r w:rsidR="0002452B">
        <w:rPr>
          <w:rFonts w:ascii="Arial" w:eastAsia="Times New Roman" w:hAnsi="Arial" w:cs="Arial"/>
          <w:lang w:eastAsia="en-US"/>
        </w:rPr>
        <w:t>11.724,31</w:t>
      </w:r>
      <w:r w:rsidR="002B6862" w:rsidRPr="003A2F86">
        <w:rPr>
          <w:rFonts w:ascii="Arial" w:eastAsia="Times New Roman" w:hAnsi="Arial" w:cs="Arial"/>
          <w:lang w:eastAsia="en-US"/>
        </w:rPr>
        <w:t xml:space="preserve"> €</w:t>
      </w:r>
      <w:r w:rsidR="00096C58" w:rsidRPr="003A2F86">
        <w:rPr>
          <w:rFonts w:ascii="Arial" w:eastAsia="Times New Roman" w:hAnsi="Arial" w:cs="Arial"/>
          <w:lang w:eastAsia="en-US"/>
        </w:rPr>
        <w:t xml:space="preserve"> </w:t>
      </w:r>
      <w:bookmarkEnd w:id="120"/>
      <w:r w:rsidR="00921FEF" w:rsidRPr="003A2F86">
        <w:rPr>
          <w:rFonts w:ascii="Arial" w:eastAsia="Times New Roman" w:hAnsi="Arial" w:cs="Arial"/>
          <w:lang w:eastAsia="en-US"/>
        </w:rPr>
        <w:t xml:space="preserve">(Prihodi </w:t>
      </w:r>
      <w:r w:rsidR="00446C74">
        <w:rPr>
          <w:rFonts w:ascii="Arial" w:eastAsia="Times New Roman" w:hAnsi="Arial" w:cs="Arial"/>
          <w:lang w:eastAsia="en-US"/>
        </w:rPr>
        <w:t>manji</w:t>
      </w:r>
      <w:r w:rsidR="00921FEF" w:rsidRPr="003A2F86">
        <w:rPr>
          <w:rFonts w:ascii="Arial" w:eastAsia="Times New Roman" w:hAnsi="Arial" w:cs="Arial"/>
          <w:lang w:eastAsia="en-US"/>
        </w:rPr>
        <w:t xml:space="preserve"> za </w:t>
      </w:r>
      <w:r w:rsidR="00446C74">
        <w:rPr>
          <w:rFonts w:ascii="Arial" w:eastAsia="Times New Roman" w:hAnsi="Arial" w:cs="Arial"/>
          <w:lang w:eastAsia="en-US"/>
        </w:rPr>
        <w:t>573,16</w:t>
      </w:r>
      <w:r w:rsidR="0061572D" w:rsidRPr="003A2F86">
        <w:rPr>
          <w:rFonts w:ascii="Arial" w:eastAsia="Times New Roman" w:hAnsi="Arial" w:cs="Arial"/>
          <w:lang w:eastAsia="en-US"/>
        </w:rPr>
        <w:t xml:space="preserve"> €</w:t>
      </w:r>
      <w:r w:rsidR="00921FEF" w:rsidRPr="003A2F86">
        <w:rPr>
          <w:rFonts w:ascii="Arial" w:eastAsia="Times New Roman" w:hAnsi="Arial" w:cs="Arial"/>
          <w:lang w:eastAsia="en-US"/>
        </w:rPr>
        <w:t xml:space="preserve"> u odnosu na izvještajno razdoblje prethodne godine).</w:t>
      </w:r>
      <w:r w:rsidR="004B4FB7" w:rsidRPr="003A2F86">
        <w:rPr>
          <w:rFonts w:ascii="Arial" w:eastAsia="Times New Roman" w:hAnsi="Arial" w:cs="Arial"/>
          <w:lang w:eastAsia="en-US"/>
        </w:rPr>
        <w:t xml:space="preserve"> </w:t>
      </w:r>
    </w:p>
    <w:p w14:paraId="024C28D0" w14:textId="2DBC2340" w:rsidR="00921FEF"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3A2F86">
        <w:rPr>
          <w:rFonts w:ascii="Arial" w:eastAsia="Times New Roman" w:hAnsi="Arial" w:cs="Arial"/>
          <w:lang w:eastAsia="en-US"/>
        </w:rPr>
        <w:t xml:space="preserve">- prihodi od usluga smještaja u Domu za starije i nemoćne osobe </w:t>
      </w:r>
      <w:bookmarkStart w:id="121" w:name="_Hlk145931956"/>
      <w:r w:rsidR="00446C74">
        <w:rPr>
          <w:rFonts w:ascii="Arial" w:eastAsia="Times New Roman" w:hAnsi="Arial" w:cs="Arial"/>
          <w:lang w:eastAsia="en-US"/>
        </w:rPr>
        <w:t>463.420,64</w:t>
      </w:r>
      <w:r w:rsidR="0061572D" w:rsidRPr="003A2F86">
        <w:rPr>
          <w:rFonts w:ascii="Arial" w:eastAsia="Times New Roman" w:hAnsi="Arial" w:cs="Arial"/>
          <w:lang w:eastAsia="en-US"/>
        </w:rPr>
        <w:t xml:space="preserve"> €</w:t>
      </w:r>
      <w:r w:rsidR="00EC1C82" w:rsidRPr="003A2F86">
        <w:rPr>
          <w:rFonts w:ascii="Arial" w:eastAsia="Times New Roman" w:hAnsi="Arial" w:cs="Arial"/>
          <w:lang w:eastAsia="en-US"/>
        </w:rPr>
        <w:t xml:space="preserve"> </w:t>
      </w:r>
      <w:bookmarkEnd w:id="121"/>
      <w:r w:rsidR="00EC1C82" w:rsidRPr="003A2F86">
        <w:rPr>
          <w:rFonts w:ascii="Arial" w:eastAsia="Times New Roman" w:hAnsi="Arial" w:cs="Arial"/>
          <w:lang w:eastAsia="en-US"/>
        </w:rPr>
        <w:t>i od re</w:t>
      </w:r>
      <w:r w:rsidR="00CA06A2" w:rsidRPr="003A2F86">
        <w:rPr>
          <w:rFonts w:ascii="Arial" w:eastAsia="Times New Roman" w:hAnsi="Arial" w:cs="Arial"/>
          <w:lang w:eastAsia="en-US"/>
        </w:rPr>
        <w:t>f</w:t>
      </w:r>
      <w:r w:rsidR="00EC1C82" w:rsidRPr="003A2F86">
        <w:rPr>
          <w:rFonts w:ascii="Arial" w:eastAsia="Times New Roman" w:hAnsi="Arial" w:cs="Arial"/>
          <w:lang w:eastAsia="en-US"/>
        </w:rPr>
        <w:t>undacije i na</w:t>
      </w:r>
      <w:r w:rsidR="00A8623C" w:rsidRPr="003A2F86">
        <w:rPr>
          <w:rFonts w:ascii="Arial" w:eastAsia="Times New Roman" w:hAnsi="Arial" w:cs="Arial"/>
          <w:lang w:eastAsia="en-US"/>
        </w:rPr>
        <w:t>kn</w:t>
      </w:r>
      <w:r w:rsidR="00EC1C82" w:rsidRPr="003A2F86">
        <w:rPr>
          <w:rFonts w:ascii="Arial" w:eastAsia="Times New Roman" w:hAnsi="Arial" w:cs="Arial"/>
          <w:lang w:eastAsia="en-US"/>
        </w:rPr>
        <w:t xml:space="preserve">ade štete na imovini Doma </w:t>
      </w:r>
      <w:bookmarkStart w:id="122" w:name="_Hlk145931979"/>
      <w:r w:rsidR="00446C74">
        <w:rPr>
          <w:rFonts w:ascii="Arial" w:eastAsia="Times New Roman" w:hAnsi="Arial" w:cs="Arial"/>
          <w:lang w:eastAsia="en-US"/>
        </w:rPr>
        <w:t>1.950,75</w:t>
      </w:r>
      <w:r w:rsidR="0061572D" w:rsidRPr="003A2F86">
        <w:rPr>
          <w:rFonts w:ascii="Arial" w:eastAsia="Times New Roman" w:hAnsi="Arial" w:cs="Arial"/>
          <w:lang w:eastAsia="en-US"/>
        </w:rPr>
        <w:t xml:space="preserve"> €</w:t>
      </w:r>
      <w:r w:rsidR="004479DA" w:rsidRPr="003A2F86">
        <w:rPr>
          <w:rFonts w:ascii="Arial" w:eastAsia="Times New Roman" w:hAnsi="Arial" w:cs="Arial"/>
          <w:lang w:eastAsia="en-US"/>
        </w:rPr>
        <w:t xml:space="preserve"> </w:t>
      </w:r>
      <w:bookmarkEnd w:id="122"/>
      <w:r w:rsidR="004479DA" w:rsidRPr="003A2F86">
        <w:rPr>
          <w:rFonts w:ascii="Arial" w:eastAsia="Times New Roman" w:hAnsi="Arial" w:cs="Arial"/>
          <w:lang w:eastAsia="en-US"/>
        </w:rPr>
        <w:t xml:space="preserve">(sveukupno </w:t>
      </w:r>
      <w:r w:rsidR="00FA7630">
        <w:rPr>
          <w:rFonts w:ascii="Arial" w:eastAsia="Times New Roman" w:hAnsi="Arial" w:cs="Arial"/>
          <w:lang w:eastAsia="en-US"/>
        </w:rPr>
        <w:t>465.371,39</w:t>
      </w:r>
      <w:r w:rsidR="00350AD6" w:rsidRPr="003A2F86">
        <w:rPr>
          <w:rFonts w:ascii="Arial" w:eastAsia="Times New Roman" w:hAnsi="Arial" w:cs="Arial"/>
          <w:lang w:eastAsia="en-US"/>
        </w:rPr>
        <w:t xml:space="preserve"> </w:t>
      </w:r>
      <w:r w:rsidR="0061572D" w:rsidRPr="003A2F86">
        <w:rPr>
          <w:rFonts w:ascii="Arial" w:eastAsia="Times New Roman" w:hAnsi="Arial" w:cs="Arial"/>
          <w:lang w:eastAsia="en-US"/>
        </w:rPr>
        <w:t>€</w:t>
      </w:r>
      <w:r w:rsidR="004479DA" w:rsidRPr="003A2F86">
        <w:rPr>
          <w:rFonts w:ascii="Arial" w:eastAsia="Times New Roman" w:hAnsi="Arial" w:cs="Arial"/>
          <w:lang w:eastAsia="en-US"/>
        </w:rPr>
        <w:t>)</w:t>
      </w:r>
      <w:r w:rsidR="00A2546A" w:rsidRPr="003A2F86">
        <w:rPr>
          <w:rFonts w:ascii="Arial" w:eastAsia="Times New Roman" w:hAnsi="Arial" w:cs="Arial"/>
          <w:lang w:eastAsia="en-US"/>
        </w:rPr>
        <w:t>.</w:t>
      </w:r>
      <w:r w:rsidR="009836CF" w:rsidRPr="003A2F86">
        <w:rPr>
          <w:rFonts w:ascii="Arial" w:eastAsia="Times New Roman" w:hAnsi="Arial" w:cs="Arial"/>
          <w:lang w:eastAsia="en-US"/>
        </w:rPr>
        <w:t xml:space="preserve"> </w:t>
      </w:r>
      <w:r w:rsidR="00921FEF" w:rsidRPr="003A2F86">
        <w:rPr>
          <w:rFonts w:ascii="Arial" w:eastAsia="Times New Roman" w:hAnsi="Arial" w:cs="Arial"/>
          <w:lang w:eastAsia="en-US"/>
        </w:rPr>
        <w:t xml:space="preserve">(Prihodi </w:t>
      </w:r>
      <w:r w:rsidR="00D3020E" w:rsidRPr="003A2F86">
        <w:rPr>
          <w:rFonts w:ascii="Arial" w:eastAsia="Times New Roman" w:hAnsi="Arial" w:cs="Arial"/>
          <w:lang w:eastAsia="en-US"/>
        </w:rPr>
        <w:t xml:space="preserve">od sufinanciranja </w:t>
      </w:r>
      <w:r w:rsidR="00921FEF" w:rsidRPr="003A2F86">
        <w:rPr>
          <w:rFonts w:ascii="Arial" w:eastAsia="Times New Roman" w:hAnsi="Arial" w:cs="Arial"/>
          <w:lang w:eastAsia="en-US"/>
        </w:rPr>
        <w:t xml:space="preserve">veći za </w:t>
      </w:r>
      <w:r w:rsidR="0095794B">
        <w:rPr>
          <w:rFonts w:ascii="Arial" w:eastAsia="Times New Roman" w:hAnsi="Arial" w:cs="Arial"/>
          <w:lang w:eastAsia="en-US"/>
        </w:rPr>
        <w:t>66.</w:t>
      </w:r>
      <w:r w:rsidR="00FA7630">
        <w:rPr>
          <w:rFonts w:ascii="Arial" w:eastAsia="Times New Roman" w:hAnsi="Arial" w:cs="Arial"/>
          <w:lang w:eastAsia="en-US"/>
        </w:rPr>
        <w:t>374,22</w:t>
      </w:r>
      <w:r w:rsidR="0061572D" w:rsidRPr="003A2F86">
        <w:rPr>
          <w:rFonts w:ascii="Arial" w:eastAsia="Times New Roman" w:hAnsi="Arial" w:cs="Arial"/>
          <w:lang w:eastAsia="en-US"/>
        </w:rPr>
        <w:t xml:space="preserve"> €</w:t>
      </w:r>
      <w:r w:rsidR="000879CE">
        <w:rPr>
          <w:rFonts w:ascii="Arial" w:eastAsia="Times New Roman" w:hAnsi="Arial" w:cs="Arial"/>
          <w:lang w:eastAsia="en-US"/>
        </w:rPr>
        <w:t xml:space="preserve"> ili 16,7 %</w:t>
      </w:r>
      <w:r w:rsidR="00921FEF" w:rsidRPr="003A2F86">
        <w:rPr>
          <w:rFonts w:ascii="Arial" w:eastAsia="Times New Roman" w:hAnsi="Arial" w:cs="Arial"/>
          <w:lang w:eastAsia="en-US"/>
        </w:rPr>
        <w:t xml:space="preserve"> u odnosu na izvještajno razdoblje prethodne godine). </w:t>
      </w:r>
      <w:r w:rsidR="00350AD6" w:rsidRPr="003A2F86">
        <w:rPr>
          <w:rFonts w:ascii="Arial" w:eastAsia="Times New Roman" w:hAnsi="Arial" w:cs="Arial"/>
          <w:lang w:eastAsia="en-US"/>
        </w:rPr>
        <w:t>Početkom</w:t>
      </w:r>
      <w:r w:rsidR="0061572D" w:rsidRPr="003A2F86">
        <w:rPr>
          <w:rFonts w:ascii="Arial" w:eastAsia="Times New Roman" w:hAnsi="Arial" w:cs="Arial"/>
          <w:lang w:eastAsia="en-US"/>
        </w:rPr>
        <w:t xml:space="preserve"> 2021. godine </w:t>
      </w:r>
      <w:r w:rsidR="00921FEF" w:rsidRPr="003A2F86">
        <w:rPr>
          <w:rFonts w:ascii="Arial" w:eastAsia="Times New Roman" w:hAnsi="Arial" w:cs="Arial"/>
          <w:lang w:eastAsia="en-US"/>
        </w:rPr>
        <w:t>povećan</w:t>
      </w:r>
      <w:r w:rsidR="0061572D" w:rsidRPr="003A2F86">
        <w:rPr>
          <w:rFonts w:ascii="Arial" w:eastAsia="Times New Roman" w:hAnsi="Arial" w:cs="Arial"/>
          <w:lang w:eastAsia="en-US"/>
        </w:rPr>
        <w:t xml:space="preserve">e su </w:t>
      </w:r>
      <w:r w:rsidR="00921FEF" w:rsidRPr="003A2F86">
        <w:rPr>
          <w:rFonts w:ascii="Arial" w:eastAsia="Times New Roman" w:hAnsi="Arial" w:cs="Arial"/>
          <w:lang w:eastAsia="en-US"/>
        </w:rPr>
        <w:t>cijene smještaja u domu</w:t>
      </w:r>
      <w:r w:rsidR="00350AD6" w:rsidRPr="003A2F86">
        <w:rPr>
          <w:rFonts w:ascii="Arial" w:eastAsia="Times New Roman" w:hAnsi="Arial" w:cs="Arial"/>
          <w:lang w:eastAsia="en-US"/>
        </w:rPr>
        <w:t>, a novo povećanje cijena je bilo koncem lipnja 2024.</w:t>
      </w:r>
      <w:r w:rsidR="00921FEF" w:rsidRPr="003A2F86">
        <w:rPr>
          <w:rFonts w:ascii="Arial" w:eastAsia="Times New Roman" w:hAnsi="Arial" w:cs="Arial"/>
          <w:lang w:eastAsia="en-US"/>
        </w:rPr>
        <w:t xml:space="preserve"> </w:t>
      </w:r>
    </w:p>
    <w:p w14:paraId="5E968358" w14:textId="77777777" w:rsidR="00921FEF" w:rsidRPr="00B15877" w:rsidRDefault="00921FEF"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p>
    <w:bookmarkEnd w:id="118"/>
    <w:p w14:paraId="10CDC2B8" w14:textId="77777777" w:rsidR="00AD1580" w:rsidRDefault="009857B2" w:rsidP="00EE2CA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lang w:eastAsia="en-US"/>
        </w:rPr>
      </w:pPr>
      <w:r w:rsidRPr="00AD1580">
        <w:rPr>
          <w:rFonts w:ascii="Arial" w:eastAsia="Times New Roman" w:hAnsi="Arial" w:cs="Arial"/>
          <w:sz w:val="18"/>
          <w:szCs w:val="18"/>
          <w:lang w:eastAsia="en-US"/>
        </w:rPr>
        <w:t xml:space="preserve">Za vrijeme pandemije </w:t>
      </w:r>
      <w:r w:rsidR="00FD5C81" w:rsidRPr="00AD1580">
        <w:rPr>
          <w:rFonts w:ascii="Arial" w:eastAsia="Times New Roman" w:hAnsi="Arial" w:cs="Arial"/>
          <w:sz w:val="18"/>
          <w:szCs w:val="18"/>
          <w:lang w:eastAsia="en-US"/>
        </w:rPr>
        <w:t>bolesti COVID 19</w:t>
      </w:r>
      <w:r w:rsidRPr="00AD1580">
        <w:rPr>
          <w:rFonts w:ascii="Arial" w:eastAsia="Times New Roman" w:hAnsi="Arial" w:cs="Arial"/>
          <w:sz w:val="18"/>
          <w:szCs w:val="18"/>
          <w:lang w:eastAsia="en-US"/>
        </w:rPr>
        <w:t xml:space="preserve"> </w:t>
      </w:r>
      <w:r w:rsidR="00497088" w:rsidRPr="00AD1580">
        <w:rPr>
          <w:rFonts w:ascii="Arial" w:eastAsia="Times New Roman" w:hAnsi="Arial" w:cs="Arial"/>
          <w:sz w:val="18"/>
          <w:szCs w:val="18"/>
          <w:lang w:eastAsia="en-US"/>
        </w:rPr>
        <w:t xml:space="preserve">nisu se pružale </w:t>
      </w:r>
      <w:r w:rsidRPr="00AD1580">
        <w:rPr>
          <w:rFonts w:ascii="Arial" w:eastAsia="Times New Roman" w:hAnsi="Arial" w:cs="Arial"/>
          <w:sz w:val="18"/>
          <w:szCs w:val="18"/>
          <w:lang w:eastAsia="en-US"/>
        </w:rPr>
        <w:t xml:space="preserve">usluge dnevnog boravka čiji prihodi se iskazuju u okviru </w:t>
      </w:r>
      <w:r w:rsidR="00627BD6" w:rsidRPr="00AD1580">
        <w:rPr>
          <w:rFonts w:ascii="Arial" w:eastAsia="Times New Roman" w:hAnsi="Arial" w:cs="Arial"/>
          <w:sz w:val="18"/>
          <w:szCs w:val="18"/>
          <w:lang w:eastAsia="en-US"/>
        </w:rPr>
        <w:t>pod</w:t>
      </w:r>
      <w:r w:rsidRPr="00AD1580">
        <w:rPr>
          <w:rFonts w:ascii="Arial" w:eastAsia="Times New Roman" w:hAnsi="Arial" w:cs="Arial"/>
          <w:sz w:val="18"/>
          <w:szCs w:val="18"/>
          <w:lang w:eastAsia="en-US"/>
        </w:rPr>
        <w:t xml:space="preserve">skupine </w:t>
      </w:r>
      <w:r w:rsidR="00C83DB1" w:rsidRPr="00AD1580">
        <w:rPr>
          <w:rFonts w:ascii="Arial" w:eastAsia="Times New Roman" w:hAnsi="Arial" w:cs="Arial"/>
          <w:sz w:val="18"/>
          <w:szCs w:val="18"/>
          <w:lang w:eastAsia="en-US"/>
        </w:rPr>
        <w:t xml:space="preserve">prihoda </w:t>
      </w:r>
      <w:r w:rsidRPr="00AD1580">
        <w:rPr>
          <w:rFonts w:ascii="Arial" w:eastAsia="Times New Roman" w:hAnsi="Arial" w:cs="Arial"/>
          <w:sz w:val="18"/>
          <w:szCs w:val="18"/>
          <w:lang w:eastAsia="en-US"/>
        </w:rPr>
        <w:t>661.</w:t>
      </w:r>
      <w:r w:rsidR="00C57629" w:rsidRPr="00AD1580">
        <w:rPr>
          <w:rFonts w:ascii="Arial" w:eastAsia="Times New Roman" w:hAnsi="Arial" w:cs="Arial"/>
          <w:sz w:val="18"/>
          <w:szCs w:val="18"/>
          <w:lang w:eastAsia="en-US"/>
        </w:rPr>
        <w:t xml:space="preserve"> </w:t>
      </w:r>
      <w:r w:rsidR="00497088" w:rsidRPr="00AD1580">
        <w:rPr>
          <w:rFonts w:ascii="Arial" w:eastAsia="Times New Roman" w:hAnsi="Arial" w:cs="Arial"/>
          <w:sz w:val="18"/>
          <w:szCs w:val="18"/>
          <w:lang w:eastAsia="en-US"/>
        </w:rPr>
        <w:t xml:space="preserve">Ove usluge se ponovno pružaju </w:t>
      </w:r>
      <w:r w:rsidR="00350AD6" w:rsidRPr="00AD1580">
        <w:rPr>
          <w:rFonts w:ascii="Arial" w:eastAsia="Times New Roman" w:hAnsi="Arial" w:cs="Arial"/>
          <w:sz w:val="18"/>
          <w:szCs w:val="18"/>
          <w:lang w:eastAsia="en-US"/>
        </w:rPr>
        <w:t>od</w:t>
      </w:r>
      <w:r w:rsidR="00497088" w:rsidRPr="00AD1580">
        <w:rPr>
          <w:rFonts w:ascii="Arial" w:eastAsia="Times New Roman" w:hAnsi="Arial" w:cs="Arial"/>
          <w:sz w:val="18"/>
          <w:szCs w:val="18"/>
          <w:lang w:eastAsia="en-US"/>
        </w:rPr>
        <w:t xml:space="preserve"> 2022. godin</w:t>
      </w:r>
      <w:r w:rsidR="00350AD6" w:rsidRPr="00AD1580">
        <w:rPr>
          <w:rFonts w:ascii="Arial" w:eastAsia="Times New Roman" w:hAnsi="Arial" w:cs="Arial"/>
          <w:sz w:val="18"/>
          <w:szCs w:val="18"/>
          <w:lang w:eastAsia="en-US"/>
        </w:rPr>
        <w:t>e</w:t>
      </w:r>
      <w:r w:rsidR="00497088" w:rsidRPr="00AD1580">
        <w:rPr>
          <w:rFonts w:ascii="Arial" w:eastAsia="Times New Roman" w:hAnsi="Arial" w:cs="Arial"/>
          <w:sz w:val="18"/>
          <w:szCs w:val="18"/>
          <w:lang w:eastAsia="en-US"/>
        </w:rPr>
        <w:t xml:space="preserve">. </w:t>
      </w:r>
    </w:p>
    <w:p w14:paraId="4E1BF679" w14:textId="77777777" w:rsidR="00AD1580" w:rsidRDefault="00AD1580"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lang w:eastAsia="en-US"/>
        </w:rPr>
      </w:pPr>
    </w:p>
    <w:p w14:paraId="5AF832D9" w14:textId="58FDE2D0" w:rsidR="009836CF" w:rsidRPr="003A2F86" w:rsidRDefault="0061572D"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lang w:eastAsia="en-US"/>
        </w:rPr>
      </w:pPr>
      <w:r w:rsidRPr="003A2F86">
        <w:rPr>
          <w:rFonts w:ascii="Arial" w:eastAsia="Times New Roman" w:hAnsi="Arial" w:cs="Arial"/>
          <w:lang w:eastAsia="en-US"/>
        </w:rPr>
        <w:t>K</w:t>
      </w:r>
      <w:r w:rsidR="00C53971" w:rsidRPr="003A2F86">
        <w:rPr>
          <w:rFonts w:ascii="Arial" w:eastAsia="Times New Roman" w:hAnsi="Arial" w:cs="Arial"/>
          <w:lang w:eastAsia="en-US"/>
        </w:rPr>
        <w:t xml:space="preserve">oncem </w:t>
      </w:r>
      <w:r w:rsidR="000879CE">
        <w:rPr>
          <w:rFonts w:ascii="Arial" w:eastAsia="Times New Roman" w:hAnsi="Arial" w:cs="Arial"/>
          <w:lang w:eastAsia="en-US"/>
        </w:rPr>
        <w:t xml:space="preserve">lipnja </w:t>
      </w:r>
      <w:r w:rsidR="00AB0F9F" w:rsidRPr="003A2F86">
        <w:rPr>
          <w:rFonts w:ascii="Arial" w:eastAsia="Times New Roman" w:hAnsi="Arial" w:cs="Arial"/>
          <w:lang w:eastAsia="en-US"/>
        </w:rPr>
        <w:t>202</w:t>
      </w:r>
      <w:r w:rsidR="000879CE">
        <w:rPr>
          <w:rFonts w:ascii="Arial" w:eastAsia="Times New Roman" w:hAnsi="Arial" w:cs="Arial"/>
          <w:lang w:eastAsia="en-US"/>
        </w:rPr>
        <w:t>5</w:t>
      </w:r>
      <w:r w:rsidR="00AB0F9F" w:rsidRPr="003A2F86">
        <w:rPr>
          <w:rFonts w:ascii="Arial" w:eastAsia="Times New Roman" w:hAnsi="Arial" w:cs="Arial"/>
          <w:lang w:eastAsia="en-US"/>
        </w:rPr>
        <w:t>. godine</w:t>
      </w:r>
      <w:r w:rsidR="005D412F">
        <w:rPr>
          <w:rFonts w:ascii="Arial" w:eastAsia="Times New Roman" w:hAnsi="Arial" w:cs="Arial"/>
          <w:lang w:eastAsia="en-US"/>
        </w:rPr>
        <w:t xml:space="preserve"> u Domu je smješteno</w:t>
      </w:r>
      <w:r w:rsidR="00A17FDB" w:rsidRPr="003A2F86">
        <w:rPr>
          <w:rFonts w:ascii="Arial" w:eastAsia="Times New Roman" w:hAnsi="Arial" w:cs="Arial"/>
          <w:lang w:eastAsia="en-US"/>
        </w:rPr>
        <w:t xml:space="preserve"> </w:t>
      </w:r>
      <w:r w:rsidRPr="003A2F86">
        <w:rPr>
          <w:rFonts w:ascii="Arial" w:eastAsia="Times New Roman" w:hAnsi="Arial" w:cs="Arial"/>
          <w:lang w:eastAsia="en-US"/>
        </w:rPr>
        <w:t>82 korisnika.</w:t>
      </w:r>
    </w:p>
    <w:p w14:paraId="7EC39E66" w14:textId="77777777" w:rsidR="00627BD6" w:rsidRPr="00B15877" w:rsidRDefault="00627BD6"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8"/>
          <w:szCs w:val="18"/>
          <w:lang w:eastAsia="en-US"/>
        </w:rPr>
      </w:pPr>
    </w:p>
    <w:p w14:paraId="3B10E81F" w14:textId="77777777" w:rsidR="00EE2CA0" w:rsidRDefault="00C57629" w:rsidP="00EE2CA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Calibri" w:hAnsi="Arial" w:cs="Arial"/>
          <w:sz w:val="18"/>
          <w:szCs w:val="18"/>
          <w:lang w:eastAsia="en-US"/>
        </w:rPr>
      </w:pPr>
      <w:r w:rsidRPr="00AD1580">
        <w:rPr>
          <w:rFonts w:ascii="Arial" w:eastAsia="Calibri" w:hAnsi="Arial" w:cs="Arial"/>
          <w:sz w:val="18"/>
          <w:szCs w:val="18"/>
          <w:lang w:eastAsia="en-US"/>
        </w:rPr>
        <w:t>U veljači 2020. je bila donesena odluka o povećanju cijena</w:t>
      </w:r>
      <w:r w:rsidR="00C53971" w:rsidRPr="00AD1580">
        <w:rPr>
          <w:rFonts w:ascii="Arial" w:eastAsia="Calibri" w:hAnsi="Arial" w:cs="Arial"/>
          <w:sz w:val="18"/>
          <w:szCs w:val="18"/>
          <w:lang w:eastAsia="en-US"/>
        </w:rPr>
        <w:t xml:space="preserve"> u Domu</w:t>
      </w:r>
      <w:r w:rsidRPr="00AD1580">
        <w:rPr>
          <w:rFonts w:ascii="Arial" w:eastAsia="Calibri" w:hAnsi="Arial" w:cs="Arial"/>
          <w:sz w:val="18"/>
          <w:szCs w:val="18"/>
          <w:lang w:eastAsia="en-US"/>
        </w:rPr>
        <w:t xml:space="preserve"> (Službeni glasnik Općine Konavle 1/2020</w:t>
      </w:r>
      <w:r w:rsidR="00921FEF" w:rsidRPr="00AD1580">
        <w:rPr>
          <w:rFonts w:ascii="Arial" w:eastAsia="Calibri" w:hAnsi="Arial" w:cs="Arial"/>
          <w:sz w:val="18"/>
          <w:szCs w:val="18"/>
          <w:lang w:eastAsia="en-US"/>
        </w:rPr>
        <w:t xml:space="preserve"> </w:t>
      </w:r>
      <w:r w:rsidR="00326CBF" w:rsidRPr="00AD1580">
        <w:rPr>
          <w:rFonts w:ascii="Arial" w:eastAsia="Calibri" w:hAnsi="Arial" w:cs="Arial"/>
          <w:sz w:val="18"/>
          <w:szCs w:val="18"/>
          <w:lang w:eastAsia="en-US"/>
        </w:rPr>
        <w:t xml:space="preserve">koje bi zamjenjivali cijene </w:t>
      </w:r>
      <w:r w:rsidR="00921FEF" w:rsidRPr="00AD1580">
        <w:rPr>
          <w:rFonts w:ascii="Arial" w:eastAsia="Calibri" w:hAnsi="Arial" w:cs="Arial"/>
          <w:sz w:val="18"/>
          <w:szCs w:val="18"/>
          <w:lang w:eastAsia="en-US"/>
        </w:rPr>
        <w:t>utvrđen</w:t>
      </w:r>
      <w:r w:rsidR="00326CBF" w:rsidRPr="00AD1580">
        <w:rPr>
          <w:rFonts w:ascii="Arial" w:eastAsia="Calibri" w:hAnsi="Arial" w:cs="Arial"/>
          <w:sz w:val="18"/>
          <w:szCs w:val="18"/>
          <w:lang w:eastAsia="en-US"/>
        </w:rPr>
        <w:t>e</w:t>
      </w:r>
      <w:r w:rsidR="00921FEF" w:rsidRPr="00AD1580">
        <w:rPr>
          <w:rFonts w:ascii="Arial" w:eastAsia="Calibri" w:hAnsi="Arial" w:cs="Arial"/>
          <w:sz w:val="18"/>
          <w:szCs w:val="18"/>
          <w:lang w:eastAsia="en-US"/>
        </w:rPr>
        <w:t xml:space="preserve"> u Službenom glasniku Općine Konavle 3/2015</w:t>
      </w:r>
      <w:r w:rsidRPr="00AD1580">
        <w:rPr>
          <w:rFonts w:ascii="Arial" w:eastAsia="Calibri" w:hAnsi="Arial" w:cs="Arial"/>
          <w:sz w:val="18"/>
          <w:szCs w:val="18"/>
          <w:lang w:eastAsia="en-US"/>
        </w:rPr>
        <w:t xml:space="preserve">), ali je primjena iste </w:t>
      </w:r>
      <w:r w:rsidR="006E157D" w:rsidRPr="00AD1580">
        <w:rPr>
          <w:rFonts w:ascii="Arial" w:eastAsia="Calibri" w:hAnsi="Arial" w:cs="Arial"/>
          <w:sz w:val="18"/>
          <w:szCs w:val="18"/>
          <w:lang w:eastAsia="en-US"/>
        </w:rPr>
        <w:t>zbog nas</w:t>
      </w:r>
      <w:r w:rsidR="006F0A7C" w:rsidRPr="00AD1580">
        <w:rPr>
          <w:rFonts w:ascii="Arial" w:eastAsia="Calibri" w:hAnsi="Arial" w:cs="Arial"/>
          <w:sz w:val="18"/>
          <w:szCs w:val="18"/>
          <w:lang w:eastAsia="en-US"/>
        </w:rPr>
        <w:t xml:space="preserve">tanka pandemije </w:t>
      </w:r>
      <w:r w:rsidR="0061572D" w:rsidRPr="00AD1580">
        <w:rPr>
          <w:rFonts w:ascii="Arial" w:eastAsia="Calibri" w:hAnsi="Arial" w:cs="Arial"/>
          <w:sz w:val="18"/>
          <w:szCs w:val="18"/>
          <w:lang w:eastAsia="en-US"/>
        </w:rPr>
        <w:t xml:space="preserve">bila </w:t>
      </w:r>
      <w:r w:rsidR="00921FEF" w:rsidRPr="00AD1580">
        <w:rPr>
          <w:rFonts w:ascii="Arial" w:eastAsia="Calibri" w:hAnsi="Arial" w:cs="Arial"/>
          <w:sz w:val="18"/>
          <w:szCs w:val="18"/>
          <w:lang w:eastAsia="en-US"/>
        </w:rPr>
        <w:t>obustavljena do početka siječnja 2021. godine (Službeni glasnik Općine Konavle 11/2020).</w:t>
      </w:r>
      <w:r w:rsidR="000D7C5B" w:rsidRPr="00AD1580">
        <w:rPr>
          <w:rFonts w:ascii="Arial" w:eastAsia="Calibri" w:hAnsi="Arial" w:cs="Arial"/>
          <w:sz w:val="18"/>
          <w:szCs w:val="18"/>
          <w:lang w:eastAsia="en-US"/>
        </w:rPr>
        <w:t xml:space="preserve"> </w:t>
      </w:r>
    </w:p>
    <w:p w14:paraId="31A09AA7" w14:textId="1EF319DC" w:rsidR="00D231C6" w:rsidRPr="000879CE" w:rsidRDefault="000879CE"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8"/>
          <w:szCs w:val="18"/>
          <w:lang w:eastAsia="en-US"/>
        </w:rPr>
      </w:pPr>
      <w:r>
        <w:rPr>
          <w:rFonts w:ascii="Arial" w:eastAsia="Calibri" w:hAnsi="Arial" w:cs="Arial"/>
          <w:sz w:val="18"/>
          <w:szCs w:val="18"/>
          <w:lang w:eastAsia="en-US"/>
        </w:rPr>
        <w:tab/>
      </w:r>
      <w:r w:rsidR="000D7C5B" w:rsidRPr="000879CE">
        <w:rPr>
          <w:rFonts w:ascii="Arial" w:eastAsia="Calibri" w:hAnsi="Arial" w:cs="Arial"/>
          <w:sz w:val="18"/>
          <w:szCs w:val="18"/>
          <w:lang w:eastAsia="en-US"/>
        </w:rPr>
        <w:t>Nova odluka o cijenama usluga u Domu je donesena 21. lipnja 2024. godine (Službeni glasnik Općine Konavle 4/2024).</w:t>
      </w:r>
    </w:p>
    <w:p w14:paraId="7959CC36" w14:textId="7AD3F557" w:rsidR="00D231C6" w:rsidRPr="00B15877" w:rsidRDefault="00D231C6"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8"/>
          <w:szCs w:val="18"/>
          <w:lang w:eastAsia="en-US"/>
        </w:rPr>
      </w:pPr>
    </w:p>
    <w:p w14:paraId="3077FD19" w14:textId="1FF8723A" w:rsidR="0053618C" w:rsidRPr="00AD1580" w:rsidRDefault="0053618C" w:rsidP="00EE2CA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Calibri" w:hAnsi="Arial" w:cs="Arial"/>
          <w:sz w:val="18"/>
          <w:szCs w:val="18"/>
          <w:lang w:eastAsia="en-US"/>
        </w:rPr>
      </w:pPr>
      <w:r w:rsidRPr="00AD1580">
        <w:rPr>
          <w:rFonts w:ascii="Arial" w:eastAsia="Calibri" w:hAnsi="Arial" w:cs="Arial"/>
          <w:sz w:val="18"/>
          <w:szCs w:val="18"/>
          <w:lang w:eastAsia="en-US"/>
        </w:rPr>
        <w:t xml:space="preserve">U rujnu 2021. donesena je odluka o vrstama programa i utvrđivanju mjerila za sudjelovanje roditelja – korisnika u cijeni programa dječjeg vrtića (Službeni glasnik Općine Konavle 7 i 8/2021). Ovom odlukom </w:t>
      </w:r>
      <w:r w:rsidR="002605AF" w:rsidRPr="00AD1580">
        <w:rPr>
          <w:rFonts w:ascii="Arial" w:eastAsia="Calibri" w:hAnsi="Arial" w:cs="Arial"/>
          <w:sz w:val="18"/>
          <w:szCs w:val="18"/>
          <w:lang w:eastAsia="en-US"/>
        </w:rPr>
        <w:t>je prestala s primjenom odluka iz 2010., odnosno 2012. godine, te je utvrđena ekonomska cijena vrtića, iznos i uvjeti sudjelovanja korisnika – roditelja u cijeni</w:t>
      </w:r>
      <w:r w:rsidR="00CC0257" w:rsidRPr="00AD1580">
        <w:rPr>
          <w:rFonts w:ascii="Arial" w:eastAsia="Calibri" w:hAnsi="Arial" w:cs="Arial"/>
          <w:sz w:val="18"/>
          <w:szCs w:val="18"/>
          <w:lang w:eastAsia="en-US"/>
        </w:rPr>
        <w:t xml:space="preserve"> (primjena od listopada 2021.).</w:t>
      </w:r>
    </w:p>
    <w:p w14:paraId="661580E4" w14:textId="61FEA58F" w:rsidR="00100B0D" w:rsidRPr="00B15877" w:rsidRDefault="00100B0D"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8"/>
          <w:szCs w:val="18"/>
          <w:lang w:eastAsia="en-US"/>
        </w:rPr>
      </w:pPr>
    </w:p>
    <w:p w14:paraId="56C15A7E" w14:textId="16AF97E4" w:rsidR="00497088" w:rsidRPr="00D0351C" w:rsidRDefault="006F0A7C"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8"/>
          <w:szCs w:val="18"/>
          <w:lang w:eastAsia="en-US"/>
        </w:rPr>
      </w:pPr>
      <w:r w:rsidRPr="003A2F86">
        <w:rPr>
          <w:rFonts w:ascii="Arial" w:eastAsia="Calibri" w:hAnsi="Arial" w:cs="Arial"/>
          <w:lang w:eastAsia="en-US"/>
        </w:rPr>
        <w:t>U 202</w:t>
      </w:r>
      <w:r w:rsidR="00B15877">
        <w:rPr>
          <w:rFonts w:ascii="Arial" w:eastAsia="Calibri" w:hAnsi="Arial" w:cs="Arial"/>
          <w:lang w:eastAsia="en-US"/>
        </w:rPr>
        <w:t>5</w:t>
      </w:r>
      <w:r w:rsidRPr="003A2F86">
        <w:rPr>
          <w:rFonts w:ascii="Arial" w:eastAsia="Calibri" w:hAnsi="Arial" w:cs="Arial"/>
          <w:lang w:eastAsia="en-US"/>
        </w:rPr>
        <w:t xml:space="preserve">. </w:t>
      </w:r>
      <w:r w:rsidR="00891119" w:rsidRPr="003A2F86">
        <w:rPr>
          <w:rFonts w:ascii="Arial" w:eastAsia="Calibri" w:hAnsi="Arial" w:cs="Arial"/>
          <w:lang w:eastAsia="en-US"/>
        </w:rPr>
        <w:t>proračunsk</w:t>
      </w:r>
      <w:r w:rsidR="00EC1C82" w:rsidRPr="003A2F86">
        <w:rPr>
          <w:rFonts w:ascii="Arial" w:eastAsia="Calibri" w:hAnsi="Arial" w:cs="Arial"/>
          <w:lang w:eastAsia="en-US"/>
        </w:rPr>
        <w:t>om korisniku Dječjem vrtiću iz općinskog proračuna refundira</w:t>
      </w:r>
      <w:r w:rsidR="006D6DCF" w:rsidRPr="003A2F86">
        <w:rPr>
          <w:rFonts w:ascii="Arial" w:eastAsia="Calibri" w:hAnsi="Arial" w:cs="Arial"/>
          <w:lang w:eastAsia="en-US"/>
        </w:rPr>
        <w:t>na su</w:t>
      </w:r>
      <w:r w:rsidR="00EC1C82" w:rsidRPr="003A2F86">
        <w:rPr>
          <w:rFonts w:ascii="Arial" w:eastAsia="Calibri" w:hAnsi="Arial" w:cs="Arial"/>
          <w:lang w:eastAsia="en-US"/>
        </w:rPr>
        <w:t xml:space="preserve"> sredstva za trošak boravka djece u dječjem vrtiću (socijalne i demografske mjere)</w:t>
      </w:r>
      <w:r w:rsidR="006D6DCF" w:rsidRPr="003A2F86">
        <w:rPr>
          <w:rFonts w:ascii="Arial" w:eastAsia="Calibri" w:hAnsi="Arial" w:cs="Arial"/>
          <w:lang w:eastAsia="en-US"/>
        </w:rPr>
        <w:t xml:space="preserve"> u iznosu </w:t>
      </w:r>
      <w:r w:rsidR="00646D83">
        <w:rPr>
          <w:rFonts w:ascii="Arial" w:eastAsia="Calibri" w:hAnsi="Arial" w:cs="Arial"/>
          <w:lang w:eastAsia="en-US"/>
        </w:rPr>
        <w:t>36.425,95</w:t>
      </w:r>
      <w:r w:rsidR="0061572D" w:rsidRPr="003A2F86">
        <w:rPr>
          <w:rFonts w:ascii="Arial" w:eastAsia="Calibri" w:hAnsi="Arial" w:cs="Arial"/>
          <w:lang w:eastAsia="en-US"/>
        </w:rPr>
        <w:t xml:space="preserve"> €</w:t>
      </w:r>
      <w:r w:rsidR="00EC1C82" w:rsidRPr="003A2F86">
        <w:rPr>
          <w:rFonts w:ascii="Arial" w:eastAsia="Calibri" w:hAnsi="Arial" w:cs="Arial"/>
          <w:lang w:eastAsia="en-US"/>
        </w:rPr>
        <w:t xml:space="preserve">. </w:t>
      </w:r>
      <w:r w:rsidR="00EC1C82" w:rsidRPr="00D0351C">
        <w:rPr>
          <w:rFonts w:ascii="Arial" w:eastAsia="Calibri" w:hAnsi="Arial" w:cs="Arial"/>
          <w:sz w:val="18"/>
          <w:szCs w:val="18"/>
          <w:lang w:eastAsia="en-US"/>
        </w:rPr>
        <w:t xml:space="preserve">Ovi prihodi </w:t>
      </w:r>
      <w:r w:rsidR="00C83DB1" w:rsidRPr="00D0351C">
        <w:rPr>
          <w:rFonts w:ascii="Arial" w:eastAsia="Calibri" w:hAnsi="Arial" w:cs="Arial"/>
          <w:sz w:val="18"/>
          <w:szCs w:val="18"/>
          <w:lang w:eastAsia="en-US"/>
        </w:rPr>
        <w:t xml:space="preserve">vrtića su </w:t>
      </w:r>
      <w:r w:rsidR="00A43C21" w:rsidRPr="00D0351C">
        <w:rPr>
          <w:rFonts w:ascii="Arial" w:eastAsia="Calibri" w:hAnsi="Arial" w:cs="Arial"/>
          <w:sz w:val="18"/>
          <w:szCs w:val="18"/>
          <w:lang w:eastAsia="en-US"/>
        </w:rPr>
        <w:t xml:space="preserve">ukupno </w:t>
      </w:r>
      <w:r w:rsidR="00EC1C82" w:rsidRPr="00D0351C">
        <w:rPr>
          <w:rFonts w:ascii="Arial" w:eastAsia="Calibri" w:hAnsi="Arial" w:cs="Arial"/>
          <w:sz w:val="18"/>
          <w:szCs w:val="18"/>
          <w:lang w:eastAsia="en-US"/>
        </w:rPr>
        <w:t xml:space="preserve">u 2019. </w:t>
      </w:r>
      <w:r w:rsidR="00C83DB1" w:rsidRPr="00D0351C">
        <w:rPr>
          <w:rFonts w:ascii="Arial" w:eastAsia="Calibri" w:hAnsi="Arial" w:cs="Arial"/>
          <w:sz w:val="18"/>
          <w:szCs w:val="18"/>
          <w:lang w:eastAsia="en-US"/>
        </w:rPr>
        <w:t>i</w:t>
      </w:r>
      <w:r w:rsidR="00EC1C82" w:rsidRPr="00D0351C">
        <w:rPr>
          <w:rFonts w:ascii="Arial" w:eastAsia="Calibri" w:hAnsi="Arial" w:cs="Arial"/>
          <w:sz w:val="18"/>
          <w:szCs w:val="18"/>
          <w:lang w:eastAsia="en-US"/>
        </w:rPr>
        <w:t>znos</w:t>
      </w:r>
      <w:r w:rsidR="00C83DB1" w:rsidRPr="00D0351C">
        <w:rPr>
          <w:rFonts w:ascii="Arial" w:eastAsia="Calibri" w:hAnsi="Arial" w:cs="Arial"/>
          <w:sz w:val="18"/>
          <w:szCs w:val="18"/>
          <w:lang w:eastAsia="en-US"/>
        </w:rPr>
        <w:t xml:space="preserve">ili </w:t>
      </w:r>
      <w:r w:rsidR="00A55013" w:rsidRPr="00D0351C">
        <w:rPr>
          <w:rFonts w:ascii="Arial" w:eastAsia="Calibri" w:hAnsi="Arial" w:cs="Arial"/>
          <w:sz w:val="18"/>
          <w:szCs w:val="18"/>
          <w:lang w:eastAsia="en-US"/>
        </w:rPr>
        <w:t>80.057,07 €</w:t>
      </w:r>
      <w:r w:rsidR="00A43C21" w:rsidRPr="00D0351C">
        <w:rPr>
          <w:rFonts w:ascii="Arial" w:eastAsia="Calibri" w:hAnsi="Arial" w:cs="Arial"/>
          <w:sz w:val="18"/>
          <w:szCs w:val="18"/>
          <w:lang w:eastAsia="en-US"/>
        </w:rPr>
        <w:t>, u 2020.</w:t>
      </w:r>
      <w:r w:rsidR="00133D44" w:rsidRPr="00D0351C">
        <w:rPr>
          <w:rFonts w:ascii="Arial" w:eastAsia="Calibri" w:hAnsi="Arial" w:cs="Arial"/>
          <w:sz w:val="18"/>
          <w:szCs w:val="18"/>
          <w:lang w:eastAsia="en-US"/>
        </w:rPr>
        <w:t xml:space="preserve"> </w:t>
      </w:r>
      <w:r w:rsidR="00A43C21" w:rsidRPr="00D0351C">
        <w:rPr>
          <w:rFonts w:ascii="Arial" w:eastAsia="Calibri" w:hAnsi="Arial" w:cs="Arial"/>
          <w:sz w:val="18"/>
          <w:szCs w:val="18"/>
          <w:lang w:eastAsia="en-US"/>
        </w:rPr>
        <w:t xml:space="preserve">godini ukupno </w:t>
      </w:r>
      <w:r w:rsidR="00A55013" w:rsidRPr="00D0351C">
        <w:rPr>
          <w:rFonts w:ascii="Arial" w:eastAsia="Calibri" w:hAnsi="Arial" w:cs="Arial"/>
          <w:sz w:val="18"/>
          <w:szCs w:val="18"/>
          <w:lang w:eastAsia="en-US"/>
        </w:rPr>
        <w:t>55.119,12 €</w:t>
      </w:r>
      <w:r w:rsidR="00497088" w:rsidRPr="00D0351C">
        <w:rPr>
          <w:rFonts w:ascii="Arial" w:eastAsia="Calibri" w:hAnsi="Arial" w:cs="Arial"/>
          <w:sz w:val="18"/>
          <w:szCs w:val="18"/>
          <w:lang w:eastAsia="en-US"/>
        </w:rPr>
        <w:t xml:space="preserve">, u 2021. godini ukupno </w:t>
      </w:r>
      <w:r w:rsidR="00A55013" w:rsidRPr="00D0351C">
        <w:rPr>
          <w:rFonts w:ascii="Arial" w:eastAsia="Calibri" w:hAnsi="Arial" w:cs="Arial"/>
          <w:sz w:val="18"/>
          <w:szCs w:val="18"/>
          <w:lang w:eastAsia="en-US"/>
        </w:rPr>
        <w:t>65.480,12 €</w:t>
      </w:r>
      <w:r w:rsidR="0061572D" w:rsidRPr="00D0351C">
        <w:rPr>
          <w:rFonts w:ascii="Arial" w:eastAsia="Calibri" w:hAnsi="Arial" w:cs="Arial"/>
          <w:sz w:val="18"/>
          <w:szCs w:val="18"/>
          <w:lang w:eastAsia="en-US"/>
        </w:rPr>
        <w:t xml:space="preserve">, u 2022. </w:t>
      </w:r>
      <w:r w:rsidR="00CA1C19" w:rsidRPr="00D0351C">
        <w:rPr>
          <w:rFonts w:ascii="Arial" w:eastAsia="Calibri" w:hAnsi="Arial" w:cs="Arial"/>
          <w:sz w:val="18"/>
          <w:szCs w:val="18"/>
          <w:lang w:eastAsia="en-US"/>
        </w:rPr>
        <w:t xml:space="preserve">su </w:t>
      </w:r>
      <w:r w:rsidR="0061572D" w:rsidRPr="00D0351C">
        <w:rPr>
          <w:rFonts w:ascii="Arial" w:eastAsia="Calibri" w:hAnsi="Arial" w:cs="Arial"/>
          <w:sz w:val="18"/>
          <w:szCs w:val="18"/>
          <w:lang w:eastAsia="en-US"/>
        </w:rPr>
        <w:t xml:space="preserve">iznosili </w:t>
      </w:r>
      <w:r w:rsidR="00A55013" w:rsidRPr="00D0351C">
        <w:rPr>
          <w:rFonts w:ascii="Arial" w:eastAsia="Calibri" w:hAnsi="Arial" w:cs="Arial"/>
          <w:sz w:val="18"/>
          <w:szCs w:val="18"/>
          <w:lang w:eastAsia="en-US"/>
        </w:rPr>
        <w:t>53.236,45 €</w:t>
      </w:r>
      <w:r w:rsidR="00CA1C19" w:rsidRPr="00D0351C">
        <w:rPr>
          <w:rFonts w:ascii="Arial" w:eastAsia="Calibri" w:hAnsi="Arial" w:cs="Arial"/>
          <w:sz w:val="18"/>
          <w:szCs w:val="18"/>
          <w:lang w:eastAsia="en-US"/>
        </w:rPr>
        <w:t>, u 2023. godini 57.338,85 €</w:t>
      </w:r>
      <w:r w:rsidR="003B6AE9">
        <w:rPr>
          <w:rFonts w:ascii="Arial" w:eastAsia="Calibri" w:hAnsi="Arial" w:cs="Arial"/>
          <w:sz w:val="18"/>
          <w:szCs w:val="18"/>
          <w:lang w:eastAsia="en-US"/>
        </w:rPr>
        <w:t xml:space="preserve">, dok su u 2024. iznosili </w:t>
      </w:r>
      <w:r w:rsidR="00EC6C6F">
        <w:rPr>
          <w:rFonts w:ascii="Arial" w:eastAsia="Calibri" w:hAnsi="Arial" w:cs="Arial"/>
          <w:sz w:val="18"/>
          <w:szCs w:val="18"/>
          <w:lang w:eastAsia="en-US"/>
        </w:rPr>
        <w:t>68.075,16</w:t>
      </w:r>
      <w:r w:rsidR="003B6AE9">
        <w:rPr>
          <w:rFonts w:ascii="Arial" w:eastAsia="Calibri" w:hAnsi="Arial" w:cs="Arial"/>
          <w:sz w:val="18"/>
          <w:szCs w:val="18"/>
          <w:lang w:eastAsia="en-US"/>
        </w:rPr>
        <w:t xml:space="preserve"> €</w:t>
      </w:r>
      <w:r w:rsidR="00CA1C19" w:rsidRPr="00D0351C">
        <w:rPr>
          <w:rFonts w:ascii="Arial" w:eastAsia="Calibri" w:hAnsi="Arial" w:cs="Arial"/>
          <w:sz w:val="18"/>
          <w:szCs w:val="18"/>
          <w:lang w:eastAsia="en-US"/>
        </w:rPr>
        <w:t>.</w:t>
      </w:r>
      <w:r w:rsidR="00DF049A" w:rsidRPr="00D0351C">
        <w:rPr>
          <w:rFonts w:ascii="Arial" w:eastAsia="Calibri" w:hAnsi="Arial" w:cs="Arial"/>
          <w:sz w:val="18"/>
          <w:szCs w:val="18"/>
          <w:lang w:eastAsia="en-US"/>
        </w:rPr>
        <w:t xml:space="preserve"> </w:t>
      </w:r>
    </w:p>
    <w:p w14:paraId="5891839E" w14:textId="77777777" w:rsidR="00A55013" w:rsidRPr="003A2F86" w:rsidRDefault="00A55013"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04FC21C4" w14:textId="62DF75AE" w:rsidR="00EC1C82" w:rsidRPr="003A2F86" w:rsidRDefault="00DF049A" w:rsidP="00DF04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lang w:eastAsia="en-US"/>
        </w:rPr>
        <w:t xml:space="preserve">Također, proračunskom korisniku </w:t>
      </w:r>
      <w:r w:rsidR="004479DA" w:rsidRPr="003A2F86">
        <w:rPr>
          <w:rFonts w:ascii="Arial" w:eastAsia="Calibri" w:hAnsi="Arial" w:cs="Arial"/>
          <w:lang w:eastAsia="en-US"/>
        </w:rPr>
        <w:t>Dom za starije i nemoćne osobe</w:t>
      </w:r>
      <w:r w:rsidRPr="003A2F86">
        <w:rPr>
          <w:rFonts w:ascii="Arial" w:eastAsia="Calibri" w:hAnsi="Arial" w:cs="Arial"/>
          <w:lang w:eastAsia="en-US"/>
        </w:rPr>
        <w:t xml:space="preserve"> iz općinskog proračuna </w:t>
      </w:r>
      <w:r w:rsidR="004479DA" w:rsidRPr="003A2F86">
        <w:rPr>
          <w:rFonts w:ascii="Arial" w:eastAsia="Calibri" w:hAnsi="Arial" w:cs="Arial"/>
          <w:lang w:eastAsia="en-US"/>
        </w:rPr>
        <w:t>se sufinancira 20% osnovne cijene usluga stanovnicima Općine s propisanim godinama boravka</w:t>
      </w:r>
      <w:r w:rsidR="005D412F">
        <w:rPr>
          <w:rFonts w:ascii="Arial" w:eastAsia="Calibri" w:hAnsi="Arial" w:cs="Arial"/>
          <w:lang w:eastAsia="en-US"/>
        </w:rPr>
        <w:t>. U</w:t>
      </w:r>
      <w:r w:rsidR="00295E3A" w:rsidRPr="003A2F86">
        <w:rPr>
          <w:rFonts w:ascii="Arial" w:eastAsia="Calibri" w:hAnsi="Arial" w:cs="Arial"/>
          <w:lang w:eastAsia="en-US"/>
        </w:rPr>
        <w:t xml:space="preserve"> </w:t>
      </w:r>
      <w:r w:rsidR="00C83DB1" w:rsidRPr="003A2F86">
        <w:rPr>
          <w:rFonts w:ascii="Arial" w:eastAsia="Calibri" w:hAnsi="Arial" w:cs="Arial"/>
          <w:lang w:eastAsia="en-US"/>
        </w:rPr>
        <w:t>202</w:t>
      </w:r>
      <w:r w:rsidR="003702C2">
        <w:rPr>
          <w:rFonts w:ascii="Arial" w:eastAsia="Calibri" w:hAnsi="Arial" w:cs="Arial"/>
          <w:lang w:eastAsia="en-US"/>
        </w:rPr>
        <w:t>5</w:t>
      </w:r>
      <w:r w:rsidR="00C83DB1" w:rsidRPr="003A2F86">
        <w:rPr>
          <w:rFonts w:ascii="Arial" w:eastAsia="Calibri" w:hAnsi="Arial" w:cs="Arial"/>
          <w:lang w:eastAsia="en-US"/>
        </w:rPr>
        <w:t xml:space="preserve">. sufinancirano je </w:t>
      </w:r>
      <w:r w:rsidR="003702C2">
        <w:rPr>
          <w:rFonts w:ascii="Arial" w:eastAsia="Calibri" w:hAnsi="Arial" w:cs="Arial"/>
          <w:lang w:eastAsia="en-US"/>
        </w:rPr>
        <w:t>50.585,83 €</w:t>
      </w:r>
      <w:r w:rsidR="00A17FDB" w:rsidRPr="003A2F86">
        <w:rPr>
          <w:rFonts w:ascii="Arial" w:eastAsia="Calibri" w:hAnsi="Arial" w:cs="Arial"/>
          <w:lang w:eastAsia="en-US"/>
        </w:rPr>
        <w:t>.</w:t>
      </w:r>
      <w:r w:rsidRPr="003A2F86">
        <w:rPr>
          <w:rFonts w:ascii="Arial" w:eastAsia="Calibri" w:hAnsi="Arial" w:cs="Arial"/>
          <w:lang w:eastAsia="en-US"/>
        </w:rPr>
        <w:t xml:space="preserve"> </w:t>
      </w:r>
      <w:r w:rsidRPr="00D0351C">
        <w:rPr>
          <w:rFonts w:ascii="Arial" w:eastAsia="Calibri" w:hAnsi="Arial" w:cs="Arial"/>
          <w:sz w:val="18"/>
          <w:szCs w:val="18"/>
          <w:lang w:eastAsia="en-US"/>
        </w:rPr>
        <w:t xml:space="preserve">Ovi prihodi </w:t>
      </w:r>
      <w:r w:rsidR="00C83DB1" w:rsidRPr="00D0351C">
        <w:rPr>
          <w:rFonts w:ascii="Arial" w:eastAsia="Calibri" w:hAnsi="Arial" w:cs="Arial"/>
          <w:sz w:val="18"/>
          <w:szCs w:val="18"/>
          <w:lang w:eastAsia="en-US"/>
        </w:rPr>
        <w:t xml:space="preserve">Doma </w:t>
      </w:r>
      <w:r w:rsidR="005D412F" w:rsidRPr="00D0351C">
        <w:rPr>
          <w:rFonts w:ascii="Arial" w:eastAsia="Calibri" w:hAnsi="Arial" w:cs="Arial"/>
          <w:sz w:val="18"/>
          <w:szCs w:val="18"/>
          <w:lang w:eastAsia="en-US"/>
        </w:rPr>
        <w:t xml:space="preserve">(a rashodi Općine) </w:t>
      </w:r>
      <w:r w:rsidR="00A43C21" w:rsidRPr="00D0351C">
        <w:rPr>
          <w:rFonts w:ascii="Arial" w:eastAsia="Calibri" w:hAnsi="Arial" w:cs="Arial"/>
          <w:sz w:val="18"/>
          <w:szCs w:val="18"/>
          <w:lang w:eastAsia="en-US"/>
        </w:rPr>
        <w:t xml:space="preserve">su ukupno </w:t>
      </w:r>
      <w:r w:rsidRPr="00D0351C">
        <w:rPr>
          <w:rFonts w:ascii="Arial" w:eastAsia="Calibri" w:hAnsi="Arial" w:cs="Arial"/>
          <w:sz w:val="18"/>
          <w:szCs w:val="18"/>
          <w:lang w:eastAsia="en-US"/>
        </w:rPr>
        <w:t xml:space="preserve">u 2019. </w:t>
      </w:r>
      <w:r w:rsidR="00C83DB1" w:rsidRPr="00D0351C">
        <w:rPr>
          <w:rFonts w:ascii="Arial" w:eastAsia="Calibri" w:hAnsi="Arial" w:cs="Arial"/>
          <w:sz w:val="18"/>
          <w:szCs w:val="18"/>
          <w:lang w:eastAsia="en-US"/>
        </w:rPr>
        <w:t xml:space="preserve">iznosili </w:t>
      </w:r>
      <w:r w:rsidR="00A55013" w:rsidRPr="00D0351C">
        <w:rPr>
          <w:rFonts w:ascii="Arial" w:eastAsia="Calibri" w:hAnsi="Arial" w:cs="Arial"/>
          <w:sz w:val="18"/>
          <w:szCs w:val="18"/>
          <w:lang w:eastAsia="en-US"/>
        </w:rPr>
        <w:t>62.132,16 €</w:t>
      </w:r>
      <w:r w:rsidR="00A43C21" w:rsidRPr="00D0351C">
        <w:rPr>
          <w:rFonts w:ascii="Arial" w:eastAsia="Calibri" w:hAnsi="Arial" w:cs="Arial"/>
          <w:sz w:val="18"/>
          <w:szCs w:val="18"/>
          <w:lang w:eastAsia="en-US"/>
        </w:rPr>
        <w:t xml:space="preserve">, u 2020. godini </w:t>
      </w:r>
      <w:r w:rsidR="00A55013" w:rsidRPr="00D0351C">
        <w:rPr>
          <w:rFonts w:ascii="Arial" w:eastAsia="Calibri" w:hAnsi="Arial" w:cs="Arial"/>
          <w:sz w:val="18"/>
          <w:szCs w:val="18"/>
          <w:lang w:eastAsia="en-US"/>
        </w:rPr>
        <w:t>63.390,03 €</w:t>
      </w:r>
      <w:r w:rsidR="007F1184" w:rsidRPr="00D0351C">
        <w:rPr>
          <w:rFonts w:ascii="Arial" w:eastAsia="Calibri" w:hAnsi="Arial" w:cs="Arial"/>
          <w:sz w:val="18"/>
          <w:szCs w:val="18"/>
          <w:lang w:eastAsia="en-US"/>
        </w:rPr>
        <w:t xml:space="preserve">, u 2021. godini </w:t>
      </w:r>
      <w:r w:rsidR="00A55013" w:rsidRPr="00D0351C">
        <w:rPr>
          <w:rFonts w:ascii="Arial" w:eastAsia="Calibri" w:hAnsi="Arial" w:cs="Arial"/>
          <w:sz w:val="18"/>
          <w:szCs w:val="18"/>
          <w:lang w:eastAsia="en-US"/>
        </w:rPr>
        <w:t>70.503,43 €, u 2022. godini 79.717,48 €</w:t>
      </w:r>
      <w:r w:rsidR="00CA1C19" w:rsidRPr="00D0351C">
        <w:rPr>
          <w:rFonts w:ascii="Arial" w:eastAsia="Calibri" w:hAnsi="Arial" w:cs="Arial"/>
          <w:sz w:val="18"/>
          <w:szCs w:val="18"/>
          <w:lang w:eastAsia="en-US"/>
        </w:rPr>
        <w:t xml:space="preserve">, u 2023. godini </w:t>
      </w:r>
      <w:r w:rsidR="005D412F" w:rsidRPr="00D0351C">
        <w:rPr>
          <w:rFonts w:ascii="Arial" w:eastAsia="Calibri" w:hAnsi="Arial" w:cs="Arial"/>
          <w:sz w:val="18"/>
          <w:szCs w:val="18"/>
          <w:lang w:eastAsia="en-US"/>
        </w:rPr>
        <w:t>84.455,98</w:t>
      </w:r>
      <w:r w:rsidR="00CA1C19" w:rsidRPr="00D0351C">
        <w:rPr>
          <w:rFonts w:ascii="Arial" w:eastAsia="Calibri" w:hAnsi="Arial" w:cs="Arial"/>
          <w:sz w:val="18"/>
          <w:szCs w:val="18"/>
          <w:lang w:eastAsia="en-US"/>
        </w:rPr>
        <w:t xml:space="preserve"> €</w:t>
      </w:r>
      <w:r w:rsidR="005B169E">
        <w:rPr>
          <w:rFonts w:ascii="Arial" w:eastAsia="Calibri" w:hAnsi="Arial" w:cs="Arial"/>
          <w:sz w:val="18"/>
          <w:szCs w:val="18"/>
          <w:lang w:eastAsia="en-US"/>
        </w:rPr>
        <w:t>,</w:t>
      </w:r>
      <w:r w:rsidR="00EC6C6F">
        <w:rPr>
          <w:rFonts w:ascii="Arial" w:eastAsia="Calibri" w:hAnsi="Arial" w:cs="Arial"/>
          <w:sz w:val="18"/>
          <w:szCs w:val="18"/>
          <w:lang w:eastAsia="en-US"/>
        </w:rPr>
        <w:t xml:space="preserve"> a u 2024. godini 89.979,38 €</w:t>
      </w:r>
      <w:r w:rsidR="00D0351C">
        <w:rPr>
          <w:rFonts w:ascii="Arial" w:eastAsia="Calibri" w:hAnsi="Arial" w:cs="Arial"/>
          <w:sz w:val="18"/>
          <w:szCs w:val="18"/>
          <w:lang w:eastAsia="en-US"/>
        </w:rPr>
        <w:t xml:space="preserve">. </w:t>
      </w:r>
      <w:r w:rsidR="00C83DB1" w:rsidRPr="003A2F86">
        <w:rPr>
          <w:rFonts w:ascii="Arial" w:eastAsia="Calibri" w:hAnsi="Arial" w:cs="Arial"/>
          <w:lang w:eastAsia="en-US"/>
        </w:rPr>
        <w:t xml:space="preserve">Sredstva sa sufinanciranje cijene smještaja u vrtiću i domu su uključena u ukupne prihode proračunskih korisnika iskazane u okviru podskupine prihoda 652. </w:t>
      </w:r>
    </w:p>
    <w:p w14:paraId="6F6084BD" w14:textId="77777777" w:rsidR="00A55013" w:rsidRPr="003A2F86" w:rsidRDefault="00A5501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16976E5F" w14:textId="77777777" w:rsidR="001C45AE" w:rsidRPr="003A2F86" w:rsidRDefault="001C45AE"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4925BA3A" w14:textId="77777777" w:rsidR="00A55013" w:rsidRDefault="00A5501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2847C34F" w14:textId="77777777" w:rsidR="005D412F" w:rsidRDefault="005D412F"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27094551" w14:textId="77777777" w:rsidR="005B169E" w:rsidRDefault="005B169E"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1EF19AE8" w14:textId="77777777" w:rsidR="005B169E" w:rsidRDefault="005B169E"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1B4FFCCB" w14:textId="77777777" w:rsidR="005B169E" w:rsidRDefault="005B169E"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3111639B" w14:textId="77777777" w:rsidR="00A55013" w:rsidRPr="003A2F86" w:rsidRDefault="00A5501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658556D9"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b/>
          <w:i/>
          <w:iCs/>
          <w:lang w:eastAsia="en-US"/>
        </w:rPr>
      </w:pPr>
      <w:r w:rsidRPr="003A2F86">
        <w:rPr>
          <w:rFonts w:ascii="Arial" w:eastAsia="Calibri" w:hAnsi="Arial" w:cs="Arial"/>
          <w:b/>
          <w:i/>
          <w:iCs/>
          <w:lang w:eastAsia="en-US"/>
        </w:rPr>
        <w:lastRenderedPageBreak/>
        <w:t xml:space="preserve">* Dodatno obrazloženje uz prihode po posebnim propisima </w:t>
      </w:r>
      <w:r w:rsidRPr="003A2F86">
        <w:rPr>
          <w:rFonts w:ascii="Arial" w:eastAsia="Calibri" w:hAnsi="Arial" w:cs="Arial"/>
          <w:b/>
          <w:i/>
          <w:iCs/>
          <w:color w:val="FF0000"/>
          <w:lang w:eastAsia="en-US"/>
        </w:rPr>
        <w:t>(652)</w:t>
      </w:r>
      <w:r w:rsidR="00EC1C82" w:rsidRPr="003A2F86">
        <w:rPr>
          <w:rFonts w:ascii="Arial" w:eastAsia="Calibri" w:hAnsi="Arial" w:cs="Arial"/>
          <w:b/>
          <w:i/>
          <w:iCs/>
          <w:color w:val="FF0000"/>
          <w:lang w:eastAsia="en-US"/>
        </w:rPr>
        <w:t xml:space="preserve"> </w:t>
      </w:r>
      <w:r w:rsidR="00EC1C82" w:rsidRPr="003A2F86">
        <w:rPr>
          <w:rFonts w:ascii="Arial" w:eastAsia="Calibri" w:hAnsi="Arial" w:cs="Arial"/>
          <w:b/>
          <w:i/>
          <w:iCs/>
          <w:lang w:eastAsia="en-US"/>
        </w:rPr>
        <w:t xml:space="preserve">– </w:t>
      </w:r>
      <w:r w:rsidR="00EC1C82" w:rsidRPr="00AD1580">
        <w:rPr>
          <w:rFonts w:ascii="Arial" w:eastAsia="Calibri" w:hAnsi="Arial" w:cs="Arial"/>
          <w:b/>
          <w:i/>
          <w:iCs/>
          <w:color w:val="943634" w:themeColor="accent2" w:themeShade="BF"/>
          <w:lang w:eastAsia="en-US"/>
        </w:rPr>
        <w:t>proračunski korisnici</w:t>
      </w:r>
      <w:r w:rsidRPr="003A2F86">
        <w:rPr>
          <w:rFonts w:ascii="Arial" w:eastAsia="Calibri" w:hAnsi="Arial" w:cs="Arial"/>
          <w:b/>
          <w:i/>
          <w:iCs/>
          <w:lang w:eastAsia="en-US"/>
        </w:rPr>
        <w:t>:</w:t>
      </w:r>
    </w:p>
    <w:p w14:paraId="2467E2D0" w14:textId="0D58E71D" w:rsidR="00A43C21" w:rsidRPr="003A2F86" w:rsidRDefault="00A43C21"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61D7FA83" w14:textId="434C1F78" w:rsidR="005B169E" w:rsidRPr="003A2F86" w:rsidRDefault="005B169E"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5B169E">
        <w:rPr>
          <w:noProof/>
        </w:rPr>
        <w:drawing>
          <wp:inline distT="0" distB="0" distL="0" distR="0" wp14:anchorId="393FCF51" wp14:editId="667D9CB2">
            <wp:extent cx="9251950" cy="4466590"/>
            <wp:effectExtent l="0" t="0" r="6350" b="0"/>
            <wp:docPr id="368339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4466590"/>
                    </a:xfrm>
                    <a:prstGeom prst="rect">
                      <a:avLst/>
                    </a:prstGeom>
                    <a:noFill/>
                    <a:ln>
                      <a:noFill/>
                    </a:ln>
                  </pic:spPr>
                </pic:pic>
              </a:graphicData>
            </a:graphic>
          </wp:inline>
        </w:drawing>
      </w:r>
    </w:p>
    <w:p w14:paraId="1881A7A4" w14:textId="2F23B133" w:rsidR="00597A79" w:rsidRPr="003A2F86" w:rsidRDefault="00597A79">
      <w:pPr>
        <w:rPr>
          <w:rFonts w:ascii="Arial" w:eastAsia="Calibri" w:hAnsi="Arial" w:cs="Arial"/>
          <w:lang w:eastAsia="en-US"/>
        </w:rPr>
      </w:pPr>
      <w:r w:rsidRPr="003A2F86">
        <w:rPr>
          <w:rFonts w:ascii="Arial" w:eastAsia="Calibri" w:hAnsi="Arial" w:cs="Arial"/>
          <w:lang w:eastAsia="en-US"/>
        </w:rPr>
        <w:br w:type="page"/>
      </w:r>
    </w:p>
    <w:p w14:paraId="163947F4" w14:textId="168B00C8" w:rsidR="00891119" w:rsidRPr="003A2F86" w:rsidRDefault="001D64C8" w:rsidP="001D64C8">
      <w:pPr>
        <w:pStyle w:val="Naslov4"/>
        <w:rPr>
          <w:rFonts w:ascii="Arial" w:hAnsi="Arial" w:cs="Arial"/>
          <w:lang w:val="hr-HR"/>
        </w:rPr>
      </w:pPr>
      <w:bookmarkStart w:id="123" w:name="_Toc207707427"/>
      <w:r w:rsidRPr="003A2F86">
        <w:rPr>
          <w:rFonts w:ascii="Arial" w:hAnsi="Arial" w:cs="Arial"/>
          <w:lang w:val="hr-HR"/>
        </w:rPr>
        <w:lastRenderedPageBreak/>
        <w:t>2.4.1</w:t>
      </w:r>
      <w:r w:rsidR="00891119" w:rsidRPr="003A2F86">
        <w:rPr>
          <w:rFonts w:ascii="Arial" w:hAnsi="Arial" w:cs="Arial"/>
          <w:lang w:val="hr-HR"/>
        </w:rPr>
        <w:t xml:space="preserve">.5. </w:t>
      </w:r>
      <w:r w:rsidR="00891119" w:rsidRPr="003A2F86">
        <w:rPr>
          <w:rFonts w:ascii="Arial" w:hAnsi="Arial" w:cs="Arial"/>
          <w:lang w:val="hr-HR"/>
        </w:rPr>
        <w:tab/>
      </w:r>
      <w:r w:rsidRPr="003A2F86">
        <w:rPr>
          <w:rFonts w:ascii="Arial" w:hAnsi="Arial" w:cs="Arial"/>
          <w:lang w:val="hr-HR"/>
        </w:rPr>
        <w:t>Prihodi od prodaje, donacija i o</w:t>
      </w:r>
      <w:r w:rsidR="00891119" w:rsidRPr="003A2F86">
        <w:rPr>
          <w:rFonts w:ascii="Arial" w:hAnsi="Arial" w:cs="Arial"/>
          <w:lang w:val="hr-HR"/>
        </w:rPr>
        <w:t xml:space="preserve">stali prihodi </w:t>
      </w:r>
      <w:r w:rsidR="00744D8B" w:rsidRPr="003A2F86">
        <w:rPr>
          <w:rFonts w:ascii="Arial" w:hAnsi="Arial" w:cs="Arial"/>
          <w:lang w:val="hr-HR"/>
        </w:rPr>
        <w:t>(66 i 68)</w:t>
      </w:r>
      <w:bookmarkEnd w:id="123"/>
    </w:p>
    <w:p w14:paraId="2E8A2047" w14:textId="77777777" w:rsidR="00891119" w:rsidRPr="003A2F86" w:rsidRDefault="00891119" w:rsidP="00891119">
      <w:pPr>
        <w:tabs>
          <w:tab w:val="left" w:pos="567"/>
        </w:tabs>
        <w:spacing w:after="0" w:line="240" w:lineRule="auto"/>
        <w:jc w:val="both"/>
        <w:rPr>
          <w:rFonts w:ascii="Arial" w:eastAsia="Times New Roman" w:hAnsi="Arial" w:cs="Arial"/>
          <w:lang w:eastAsia="en-US"/>
        </w:rPr>
      </w:pPr>
    </w:p>
    <w:p w14:paraId="040505F5" w14:textId="77777777" w:rsidR="00891119" w:rsidRPr="003A2F86" w:rsidRDefault="00891119" w:rsidP="00891119">
      <w:pPr>
        <w:tabs>
          <w:tab w:val="left" w:pos="567"/>
        </w:tabs>
        <w:spacing w:after="0" w:line="240" w:lineRule="auto"/>
        <w:jc w:val="both"/>
        <w:rPr>
          <w:rFonts w:ascii="Arial" w:eastAsia="Times New Roman" w:hAnsi="Arial" w:cs="Arial"/>
          <w:lang w:eastAsia="en-US"/>
        </w:rPr>
      </w:pPr>
      <w:r w:rsidRPr="003A2F86">
        <w:rPr>
          <w:rFonts w:ascii="Arial" w:eastAsia="Times New Roman" w:hAnsi="Arial" w:cs="Arial"/>
          <w:lang w:eastAsia="en-US"/>
        </w:rPr>
        <w:t>Ostali prihodi se odnose na prihode od prodaje proizvoda i pruženih usluga (vlastiti prihodi, 661), prihode od donacija (663), te prihode od kazni i ostalih prihoda (681 i 683).</w:t>
      </w:r>
    </w:p>
    <w:p w14:paraId="4FC24A64" w14:textId="77777777" w:rsidR="00F4256F" w:rsidRPr="003A2F86" w:rsidRDefault="00F4256F" w:rsidP="00891119">
      <w:pPr>
        <w:tabs>
          <w:tab w:val="left" w:pos="567"/>
        </w:tabs>
        <w:spacing w:after="0" w:line="240" w:lineRule="auto"/>
        <w:jc w:val="both"/>
        <w:rPr>
          <w:rFonts w:ascii="Arial" w:eastAsia="Times New Roman" w:hAnsi="Arial" w:cs="Arial"/>
          <w:lang w:eastAsia="en-US"/>
        </w:rPr>
      </w:pPr>
    </w:p>
    <w:p w14:paraId="4B32462C" w14:textId="0BF0A0EE" w:rsidR="005D412F" w:rsidRPr="005D412F" w:rsidRDefault="00FD6017" w:rsidP="005D412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b/>
          <w:lang w:eastAsia="en-US"/>
        </w:rPr>
        <w:t xml:space="preserve">Prihodi od prodaje proizvoda i robe, te pruženih usluga i prihodi od donacija </w:t>
      </w:r>
      <w:r w:rsidRPr="003A2F86">
        <w:rPr>
          <w:rFonts w:ascii="Arial" w:eastAsia="Calibri" w:hAnsi="Arial" w:cs="Arial"/>
          <w:lang w:eastAsia="en-US"/>
        </w:rPr>
        <w:t xml:space="preserve">(66) </w:t>
      </w:r>
      <w:r w:rsidR="005D412F" w:rsidRPr="005D412F">
        <w:rPr>
          <w:rFonts w:ascii="Arial" w:eastAsia="Calibri" w:hAnsi="Arial" w:cs="Arial"/>
          <w:lang w:eastAsia="en-US"/>
        </w:rPr>
        <w:t xml:space="preserve">ostvareni su u iznosu </w:t>
      </w:r>
      <w:r w:rsidR="00D9069D">
        <w:rPr>
          <w:rFonts w:ascii="Arial" w:eastAsia="Calibri" w:hAnsi="Arial" w:cs="Arial"/>
          <w:lang w:eastAsia="en-US"/>
        </w:rPr>
        <w:t>87.631,26</w:t>
      </w:r>
      <w:r w:rsidR="005D412F" w:rsidRPr="005D412F">
        <w:rPr>
          <w:rFonts w:ascii="Arial" w:eastAsia="Calibri" w:hAnsi="Arial" w:cs="Arial"/>
          <w:lang w:eastAsia="en-US"/>
        </w:rPr>
        <w:t xml:space="preserve"> € što je za </w:t>
      </w:r>
      <w:r w:rsidR="00D9069D">
        <w:rPr>
          <w:rFonts w:ascii="Arial" w:eastAsia="Calibri" w:hAnsi="Arial" w:cs="Arial"/>
          <w:lang w:eastAsia="en-US"/>
        </w:rPr>
        <w:t>19.492,78</w:t>
      </w:r>
      <w:r w:rsidR="005D412F" w:rsidRPr="005D412F">
        <w:rPr>
          <w:rFonts w:ascii="Arial" w:eastAsia="Calibri" w:hAnsi="Arial" w:cs="Arial"/>
          <w:lang w:eastAsia="en-US"/>
        </w:rPr>
        <w:t xml:space="preserve"> € ili </w:t>
      </w:r>
      <w:r w:rsidR="00D9069D">
        <w:rPr>
          <w:rFonts w:ascii="Arial" w:eastAsia="Calibri" w:hAnsi="Arial" w:cs="Arial"/>
          <w:lang w:eastAsia="en-US"/>
        </w:rPr>
        <w:t>28,6</w:t>
      </w:r>
      <w:r w:rsidR="005D412F" w:rsidRPr="005D412F">
        <w:rPr>
          <w:rFonts w:ascii="Arial" w:eastAsia="Calibri" w:hAnsi="Arial" w:cs="Arial"/>
          <w:lang w:eastAsia="en-US"/>
        </w:rPr>
        <w:t xml:space="preserve">% više u odnosu na prethodnu godinu. </w:t>
      </w:r>
    </w:p>
    <w:p w14:paraId="62BAEE82" w14:textId="77777777" w:rsidR="005D412F" w:rsidRPr="005D412F" w:rsidRDefault="005D412F" w:rsidP="005D412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7E23D559" w14:textId="4183BD0E"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1F497D" w:themeColor="text2"/>
          <w:szCs w:val="24"/>
        </w:rPr>
      </w:pPr>
      <w:r w:rsidRPr="003A2F86">
        <w:rPr>
          <w:rFonts w:ascii="Arial" w:eastAsia="Times New Roman" w:hAnsi="Arial" w:cs="Arial"/>
          <w:color w:val="1F497D" w:themeColor="text2"/>
        </w:rPr>
        <w:t>Ukupni prihodi od prodaje proizvoda i robe, te pruženih usluga i prihodi od donacija (</w:t>
      </w:r>
      <w:r w:rsidRPr="003A2F86">
        <w:rPr>
          <w:rFonts w:ascii="Arial" w:eastAsia="Times New Roman" w:hAnsi="Arial" w:cs="Arial"/>
          <w:b/>
          <w:bCs/>
          <w:color w:val="1F497D" w:themeColor="text2"/>
        </w:rPr>
        <w:t>66</w:t>
      </w:r>
      <w:r w:rsidRPr="003A2F86">
        <w:rPr>
          <w:rFonts w:ascii="Arial" w:eastAsia="Times New Roman" w:hAnsi="Arial" w:cs="Arial"/>
          <w:color w:val="1F497D" w:themeColor="text2"/>
        </w:rPr>
        <w:t xml:space="preserve">) Općine iznose </w:t>
      </w:r>
      <w:bookmarkStart w:id="124" w:name="_Hlk145932018"/>
      <w:r w:rsidR="00770CDF">
        <w:rPr>
          <w:rFonts w:ascii="Arial" w:eastAsia="Times New Roman" w:hAnsi="Arial" w:cs="Arial"/>
          <w:color w:val="1F497D" w:themeColor="text2"/>
        </w:rPr>
        <w:t>26.615,07</w:t>
      </w:r>
      <w:r w:rsidR="001E1408" w:rsidRPr="003A2F86">
        <w:rPr>
          <w:rFonts w:ascii="Arial" w:eastAsia="Times New Roman" w:hAnsi="Arial" w:cs="Arial"/>
          <w:color w:val="1F497D" w:themeColor="text2"/>
        </w:rPr>
        <w:t xml:space="preserve"> €</w:t>
      </w:r>
      <w:r w:rsidR="00D702F6" w:rsidRPr="003A2F86">
        <w:rPr>
          <w:rFonts w:ascii="Arial" w:eastAsia="Times New Roman" w:hAnsi="Arial" w:cs="Arial"/>
          <w:color w:val="1F497D" w:themeColor="text2"/>
        </w:rPr>
        <w:t xml:space="preserve"> (donacije </w:t>
      </w:r>
      <w:r w:rsidR="003D0C24">
        <w:rPr>
          <w:rFonts w:ascii="Arial" w:eastAsia="Times New Roman" w:hAnsi="Arial" w:cs="Arial"/>
          <w:color w:val="1F497D" w:themeColor="text2"/>
        </w:rPr>
        <w:t>26.454,88</w:t>
      </w:r>
      <w:r w:rsidR="00D702F6" w:rsidRPr="003A2F86">
        <w:rPr>
          <w:rFonts w:ascii="Arial" w:eastAsia="Times New Roman" w:hAnsi="Arial" w:cs="Arial"/>
          <w:color w:val="1F497D" w:themeColor="text2"/>
        </w:rPr>
        <w:t xml:space="preserve"> € i prihodi od prodaje </w:t>
      </w:r>
      <w:r w:rsidR="00770CDF">
        <w:rPr>
          <w:rFonts w:ascii="Arial" w:eastAsia="Times New Roman" w:hAnsi="Arial" w:cs="Arial"/>
          <w:color w:val="1F497D" w:themeColor="text2"/>
        </w:rPr>
        <w:t>160,19</w:t>
      </w:r>
      <w:r w:rsidR="00D702F6" w:rsidRPr="003A2F86">
        <w:rPr>
          <w:rFonts w:ascii="Arial" w:eastAsia="Times New Roman" w:hAnsi="Arial" w:cs="Arial"/>
          <w:color w:val="1F497D" w:themeColor="text2"/>
        </w:rPr>
        <w:t xml:space="preserve"> €)</w:t>
      </w:r>
      <w:r w:rsidRPr="003A2F86">
        <w:rPr>
          <w:rFonts w:ascii="Arial" w:eastAsia="Times New Roman" w:hAnsi="Arial" w:cs="Arial"/>
          <w:color w:val="1F497D" w:themeColor="text2"/>
        </w:rPr>
        <w:t xml:space="preserve">, </w:t>
      </w:r>
      <w:bookmarkEnd w:id="124"/>
      <w:r w:rsidRPr="003A2F86">
        <w:rPr>
          <w:rFonts w:ascii="Arial" w:eastAsia="Times New Roman" w:hAnsi="Arial" w:cs="Arial"/>
          <w:color w:val="1F497D" w:themeColor="text2"/>
        </w:rPr>
        <w:t xml:space="preserve">a </w:t>
      </w:r>
      <w:r w:rsidRPr="003A2F86">
        <w:rPr>
          <w:rFonts w:ascii="Arial" w:eastAsia="Times New Roman" w:hAnsi="Arial" w:cs="Arial"/>
          <w:color w:val="1F497D" w:themeColor="text2"/>
          <w:szCs w:val="24"/>
        </w:rPr>
        <w:t xml:space="preserve">prihodi proračunskih korisnika </w:t>
      </w:r>
      <w:bookmarkStart w:id="125" w:name="_Hlk145932039"/>
      <w:r w:rsidR="00770CDF">
        <w:rPr>
          <w:rFonts w:ascii="Arial" w:eastAsia="Times New Roman" w:hAnsi="Arial" w:cs="Arial"/>
          <w:color w:val="1F497D" w:themeColor="text2"/>
          <w:szCs w:val="24"/>
        </w:rPr>
        <w:t>61.016,19</w:t>
      </w:r>
      <w:r w:rsidR="001E1408" w:rsidRPr="003A2F86">
        <w:rPr>
          <w:rFonts w:ascii="Arial" w:eastAsia="Times New Roman" w:hAnsi="Arial" w:cs="Arial"/>
          <w:color w:val="1F497D" w:themeColor="text2"/>
          <w:szCs w:val="24"/>
        </w:rPr>
        <w:t xml:space="preserve"> €</w:t>
      </w:r>
      <w:r w:rsidR="00D702F6" w:rsidRPr="003A2F86">
        <w:rPr>
          <w:rFonts w:ascii="Arial" w:eastAsia="Times New Roman" w:hAnsi="Arial" w:cs="Arial"/>
          <w:color w:val="1F497D" w:themeColor="text2"/>
          <w:szCs w:val="24"/>
        </w:rPr>
        <w:t xml:space="preserve"> (donacije </w:t>
      </w:r>
      <w:r w:rsidR="003D0C24">
        <w:rPr>
          <w:rFonts w:ascii="Arial" w:eastAsia="Times New Roman" w:hAnsi="Arial" w:cs="Arial"/>
          <w:color w:val="1F497D" w:themeColor="text2"/>
          <w:szCs w:val="24"/>
        </w:rPr>
        <w:t>0</w:t>
      </w:r>
      <w:r w:rsidR="00D702F6" w:rsidRPr="003A2F86">
        <w:rPr>
          <w:rFonts w:ascii="Arial" w:eastAsia="Times New Roman" w:hAnsi="Arial" w:cs="Arial"/>
          <w:color w:val="1F497D" w:themeColor="text2"/>
          <w:szCs w:val="24"/>
        </w:rPr>
        <w:t xml:space="preserve"> € i prihodi od prodaje </w:t>
      </w:r>
      <w:r w:rsidR="003D0C24">
        <w:rPr>
          <w:rFonts w:ascii="Arial" w:eastAsia="Times New Roman" w:hAnsi="Arial" w:cs="Arial"/>
          <w:color w:val="1F497D" w:themeColor="text2"/>
          <w:szCs w:val="24"/>
        </w:rPr>
        <w:t>61.016,19</w:t>
      </w:r>
      <w:r w:rsidR="00D702F6" w:rsidRPr="003A2F86">
        <w:rPr>
          <w:rFonts w:ascii="Arial" w:eastAsia="Times New Roman" w:hAnsi="Arial" w:cs="Arial"/>
          <w:color w:val="1F497D" w:themeColor="text2"/>
          <w:szCs w:val="24"/>
        </w:rPr>
        <w:t xml:space="preserve"> €)</w:t>
      </w:r>
      <w:r w:rsidRPr="003A2F86">
        <w:rPr>
          <w:rFonts w:ascii="Arial" w:eastAsia="Times New Roman" w:hAnsi="Arial" w:cs="Arial"/>
          <w:color w:val="1F497D" w:themeColor="text2"/>
          <w:szCs w:val="24"/>
        </w:rPr>
        <w:t>.</w:t>
      </w:r>
      <w:bookmarkEnd w:id="125"/>
    </w:p>
    <w:p w14:paraId="3FBCC58C"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1EE7DA3A" w14:textId="691E9753" w:rsidR="00D702F6" w:rsidRPr="003A2F86" w:rsidRDefault="00D702F6" w:rsidP="00D702F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lang w:eastAsia="en-US"/>
        </w:rPr>
        <w:t xml:space="preserve">Prihodi od usluga (661) u iznosu </w:t>
      </w:r>
      <w:r w:rsidR="00450090">
        <w:rPr>
          <w:rFonts w:ascii="Arial" w:eastAsia="Calibri" w:hAnsi="Arial" w:cs="Arial"/>
          <w:lang w:eastAsia="en-US"/>
        </w:rPr>
        <w:t>61.176,38</w:t>
      </w:r>
      <w:r w:rsidRPr="003A2F86">
        <w:rPr>
          <w:rFonts w:ascii="Arial" w:eastAsia="Calibri" w:hAnsi="Arial" w:cs="Arial"/>
          <w:lang w:eastAsia="en-US"/>
        </w:rPr>
        <w:t xml:space="preserve"> € se odnose na prihode Općine u iznosu </w:t>
      </w:r>
      <w:r w:rsidR="00F00D43">
        <w:rPr>
          <w:rFonts w:ascii="Arial" w:eastAsia="Calibri" w:hAnsi="Arial" w:cs="Arial"/>
          <w:lang w:eastAsia="en-US"/>
        </w:rPr>
        <w:t>160,19</w:t>
      </w:r>
      <w:r w:rsidRPr="003A2F86">
        <w:rPr>
          <w:rFonts w:ascii="Arial" w:eastAsia="Calibri" w:hAnsi="Arial" w:cs="Arial"/>
          <w:lang w:eastAsia="en-US"/>
        </w:rPr>
        <w:t xml:space="preserve"> € od samoproizvodnje električne energije putem solarne elektrane na krovu zgrade (ovi prihodi prvi put ostvareni 2022. godine), te prihode proračunskih korisnika </w:t>
      </w:r>
      <w:r w:rsidR="00F00D43">
        <w:rPr>
          <w:rFonts w:ascii="Arial" w:eastAsia="Calibri" w:hAnsi="Arial" w:cs="Arial"/>
          <w:lang w:eastAsia="en-US"/>
        </w:rPr>
        <w:t>61.016,19</w:t>
      </w:r>
      <w:r w:rsidRPr="003A2F86">
        <w:rPr>
          <w:rFonts w:ascii="Arial" w:eastAsia="Calibri" w:hAnsi="Arial" w:cs="Arial"/>
          <w:lang w:eastAsia="en-US"/>
        </w:rPr>
        <w:t xml:space="preserve"> €.</w:t>
      </w:r>
    </w:p>
    <w:p w14:paraId="2F6EAEAC" w14:textId="77777777" w:rsidR="00363C5F" w:rsidRDefault="00363C5F" w:rsidP="00363C5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0B99EA8A" w14:textId="565ABCAB" w:rsidR="00363C5F" w:rsidRDefault="00363C5F" w:rsidP="00363C5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63C5F">
        <w:rPr>
          <w:rFonts w:ascii="Arial" w:eastAsia="Calibri" w:hAnsi="Arial" w:cs="Arial"/>
          <w:lang w:eastAsia="en-US"/>
        </w:rPr>
        <w:t xml:space="preserve">Prihodi od donacija </w:t>
      </w:r>
      <w:r>
        <w:rPr>
          <w:rFonts w:ascii="Arial" w:eastAsia="Calibri" w:hAnsi="Arial" w:cs="Arial"/>
          <w:lang w:eastAsia="en-US"/>
        </w:rPr>
        <w:t xml:space="preserve">(663) </w:t>
      </w:r>
      <w:r w:rsidRPr="00363C5F">
        <w:rPr>
          <w:rFonts w:ascii="Arial" w:eastAsia="Calibri" w:hAnsi="Arial" w:cs="Arial"/>
          <w:lang w:eastAsia="en-US"/>
        </w:rPr>
        <w:t>su ostvareni</w:t>
      </w:r>
      <w:r>
        <w:rPr>
          <w:rFonts w:ascii="Arial" w:eastAsia="Calibri" w:hAnsi="Arial" w:cs="Arial"/>
          <w:lang w:eastAsia="en-US"/>
        </w:rPr>
        <w:t xml:space="preserve"> u iznosu </w:t>
      </w:r>
      <w:r w:rsidR="00F00D43">
        <w:rPr>
          <w:rFonts w:ascii="Arial" w:eastAsia="Calibri" w:hAnsi="Arial" w:cs="Arial"/>
          <w:lang w:eastAsia="en-US"/>
        </w:rPr>
        <w:t>26.454,88</w:t>
      </w:r>
      <w:r>
        <w:rPr>
          <w:rFonts w:ascii="Arial" w:eastAsia="Calibri" w:hAnsi="Arial" w:cs="Arial"/>
          <w:lang w:eastAsia="en-US"/>
        </w:rPr>
        <w:t xml:space="preserve"> €</w:t>
      </w:r>
      <w:r w:rsidR="00F00D43">
        <w:rPr>
          <w:rFonts w:ascii="Arial" w:eastAsia="Calibri" w:hAnsi="Arial" w:cs="Arial"/>
          <w:lang w:eastAsia="en-US"/>
        </w:rPr>
        <w:t xml:space="preserve"> i u cijelosti se odnose na prihode Općine.</w:t>
      </w:r>
    </w:p>
    <w:p w14:paraId="1CF212E7" w14:textId="77777777" w:rsidR="00363C5F" w:rsidRPr="00363C5F" w:rsidRDefault="00363C5F" w:rsidP="00363C5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442FD580" w14:textId="46C19DBE" w:rsidR="00363C5F" w:rsidRPr="00363C5F" w:rsidRDefault="00363C5F" w:rsidP="00363C5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63C5F">
        <w:rPr>
          <w:rFonts w:ascii="Arial" w:eastAsia="Calibri" w:hAnsi="Arial" w:cs="Arial"/>
          <w:lang w:eastAsia="en-US"/>
        </w:rPr>
        <w:t xml:space="preserve">Prihodi Općine od donacija </w:t>
      </w:r>
      <w:r>
        <w:rPr>
          <w:rFonts w:ascii="Arial" w:eastAsia="Calibri" w:hAnsi="Arial" w:cs="Arial"/>
          <w:lang w:eastAsia="en-US"/>
        </w:rPr>
        <w:t xml:space="preserve">(663) </w:t>
      </w:r>
      <w:r w:rsidRPr="00363C5F">
        <w:rPr>
          <w:rFonts w:ascii="Arial" w:eastAsia="Calibri" w:hAnsi="Arial" w:cs="Arial"/>
          <w:lang w:eastAsia="en-US"/>
        </w:rPr>
        <w:t>se odnose na:</w:t>
      </w:r>
    </w:p>
    <w:p w14:paraId="7A1E613E" w14:textId="3D415F58" w:rsidR="00363C5F" w:rsidRPr="00363C5F" w:rsidRDefault="00363C5F" w:rsidP="00363C5F">
      <w:pPr>
        <w:numPr>
          <w:ilvl w:val="0"/>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63C5F">
        <w:rPr>
          <w:rFonts w:ascii="Arial" w:eastAsia="Calibri" w:hAnsi="Arial" w:cs="Arial"/>
          <w:lang w:eastAsia="en-US"/>
        </w:rPr>
        <w:t xml:space="preserve">donacija za mjesne odbore </w:t>
      </w:r>
      <w:r w:rsidR="00410382">
        <w:rPr>
          <w:rFonts w:ascii="Arial" w:eastAsia="Calibri" w:hAnsi="Arial" w:cs="Arial"/>
          <w:lang w:eastAsia="en-US"/>
        </w:rPr>
        <w:t>0</w:t>
      </w:r>
      <w:r w:rsidRPr="00363C5F">
        <w:rPr>
          <w:rFonts w:ascii="Arial" w:eastAsia="Calibri" w:hAnsi="Arial" w:cs="Arial"/>
          <w:lang w:eastAsia="en-US"/>
        </w:rPr>
        <w:t>,00 €,</w:t>
      </w:r>
    </w:p>
    <w:p w14:paraId="7A858E3E" w14:textId="1BAEB477" w:rsidR="00363C5F" w:rsidRPr="00363C5F" w:rsidRDefault="00363C5F" w:rsidP="00363C5F">
      <w:pPr>
        <w:numPr>
          <w:ilvl w:val="0"/>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63C5F">
        <w:rPr>
          <w:rFonts w:ascii="Arial" w:eastAsia="Calibri" w:hAnsi="Arial" w:cs="Arial"/>
          <w:lang w:eastAsia="en-US"/>
        </w:rPr>
        <w:t xml:space="preserve">donacija za sufinanciranje strateškog projekta Marina Cavtat &amp; resort </w:t>
      </w:r>
      <w:r w:rsidR="00410382">
        <w:rPr>
          <w:rFonts w:ascii="Arial" w:eastAsia="Calibri" w:hAnsi="Arial" w:cs="Arial"/>
          <w:lang w:eastAsia="en-US"/>
        </w:rPr>
        <w:t>7.558,88</w:t>
      </w:r>
      <w:r w:rsidRPr="00363C5F">
        <w:rPr>
          <w:rFonts w:ascii="Arial" w:eastAsia="Calibri" w:hAnsi="Arial" w:cs="Arial"/>
          <w:lang w:eastAsia="en-US"/>
        </w:rPr>
        <w:t xml:space="preserve"> € (donacija pravne osobe),</w:t>
      </w:r>
    </w:p>
    <w:p w14:paraId="70AED123" w14:textId="08D8F9B5" w:rsidR="00363C5F" w:rsidRPr="00363C5F" w:rsidRDefault="00363C5F" w:rsidP="00363C5F">
      <w:pPr>
        <w:numPr>
          <w:ilvl w:val="0"/>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63C5F">
        <w:rPr>
          <w:rFonts w:ascii="Arial" w:eastAsia="Calibri" w:hAnsi="Arial" w:cs="Arial"/>
          <w:lang w:eastAsia="en-US"/>
        </w:rPr>
        <w:t xml:space="preserve">donacija </w:t>
      </w:r>
      <w:r w:rsidR="004E51FF">
        <w:rPr>
          <w:rFonts w:ascii="Arial" w:eastAsia="Calibri" w:hAnsi="Arial" w:cs="Arial"/>
          <w:lang w:eastAsia="en-US"/>
        </w:rPr>
        <w:t>Zračne luke</w:t>
      </w:r>
      <w:r w:rsidRPr="00363C5F">
        <w:rPr>
          <w:rFonts w:ascii="Arial" w:eastAsia="Calibri" w:hAnsi="Arial" w:cs="Arial"/>
          <w:lang w:eastAsia="en-US"/>
        </w:rPr>
        <w:t xml:space="preserve"> </w:t>
      </w:r>
      <w:r w:rsidR="004E51FF">
        <w:rPr>
          <w:rFonts w:ascii="Arial" w:eastAsia="Calibri" w:hAnsi="Arial" w:cs="Arial"/>
          <w:lang w:eastAsia="en-US"/>
        </w:rPr>
        <w:t>18.896</w:t>
      </w:r>
      <w:r w:rsidRPr="00363C5F">
        <w:rPr>
          <w:rFonts w:ascii="Arial" w:eastAsia="Calibri" w:hAnsi="Arial" w:cs="Arial"/>
          <w:lang w:eastAsia="en-US"/>
        </w:rPr>
        <w:t xml:space="preserve"> € </w:t>
      </w:r>
      <w:r w:rsidR="004E51FF">
        <w:rPr>
          <w:rFonts w:ascii="Arial" w:eastAsia="Calibri" w:hAnsi="Arial" w:cs="Arial"/>
          <w:lang w:eastAsia="en-US"/>
        </w:rPr>
        <w:t xml:space="preserve">(za prijevod knjige s portugalskog, za </w:t>
      </w:r>
      <w:r w:rsidR="00997D22">
        <w:rPr>
          <w:rFonts w:ascii="Arial" w:eastAsia="Calibri" w:hAnsi="Arial" w:cs="Arial"/>
          <w:lang w:eastAsia="en-US"/>
        </w:rPr>
        <w:t>uređenje igrališta na Stravči, za otkup slike Vlaha Bukovca)</w:t>
      </w:r>
      <w:r w:rsidRPr="00363C5F">
        <w:rPr>
          <w:rFonts w:ascii="Arial" w:eastAsia="Calibri" w:hAnsi="Arial" w:cs="Arial"/>
          <w:lang w:eastAsia="en-US"/>
        </w:rPr>
        <w:t xml:space="preserve">, </w:t>
      </w:r>
    </w:p>
    <w:p w14:paraId="7D9A2C37" w14:textId="34AD9E0E" w:rsidR="00363C5F" w:rsidRPr="00363C5F" w:rsidRDefault="00363C5F" w:rsidP="00363C5F">
      <w:pPr>
        <w:numPr>
          <w:ilvl w:val="0"/>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63C5F">
        <w:rPr>
          <w:rFonts w:ascii="Arial" w:eastAsia="Calibri" w:hAnsi="Arial" w:cs="Arial"/>
          <w:lang w:eastAsia="en-US"/>
        </w:rPr>
        <w:t xml:space="preserve">donacija pravne osobe </w:t>
      </w:r>
      <w:r w:rsidR="004A4F99">
        <w:rPr>
          <w:rFonts w:ascii="Arial" w:eastAsia="Calibri" w:hAnsi="Arial" w:cs="Arial"/>
          <w:lang w:eastAsia="en-US"/>
        </w:rPr>
        <w:t xml:space="preserve">(glavnog partnera) </w:t>
      </w:r>
      <w:r w:rsidRPr="00363C5F">
        <w:rPr>
          <w:rFonts w:ascii="Arial" w:eastAsia="Calibri" w:hAnsi="Arial" w:cs="Arial"/>
          <w:lang w:eastAsia="en-US"/>
        </w:rPr>
        <w:t xml:space="preserve">za provedbu EU projekta Crossmart </w:t>
      </w:r>
      <w:r w:rsidR="00997D22">
        <w:rPr>
          <w:rFonts w:ascii="Arial" w:eastAsia="Calibri" w:hAnsi="Arial" w:cs="Arial"/>
          <w:lang w:eastAsia="en-US"/>
        </w:rPr>
        <w:t>nije bilo u prvom polugodištu 2025. godine</w:t>
      </w:r>
      <w:r w:rsidRPr="00363C5F">
        <w:rPr>
          <w:rFonts w:ascii="Arial" w:eastAsia="Calibri" w:hAnsi="Arial" w:cs="Arial"/>
          <w:lang w:eastAsia="en-US"/>
        </w:rPr>
        <w:t>.</w:t>
      </w:r>
    </w:p>
    <w:p w14:paraId="0A9FCC56" w14:textId="77777777" w:rsidR="00363C5F" w:rsidRPr="003A2F86" w:rsidRDefault="00363C5F" w:rsidP="00D702F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5639E4F6" w14:textId="7DF746B5" w:rsidR="004E25D7" w:rsidRPr="003A2F86" w:rsidRDefault="004E25D7" w:rsidP="004E25D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Times New Roman" w:hAnsi="Arial" w:cs="Arial"/>
          <w:iCs/>
          <w:lang w:eastAsia="en-US"/>
        </w:rPr>
      </w:pPr>
      <w:r w:rsidRPr="003A2F86">
        <w:rPr>
          <w:rFonts w:ascii="Arial" w:eastAsia="Times New Roman" w:hAnsi="Arial" w:cs="Arial"/>
          <w:b/>
          <w:u w:val="single"/>
          <w:lang w:eastAsia="en-US"/>
        </w:rPr>
        <w:t>Vlastiti prihodi proračunskih korisnika (podskupina računa 661 i 663)</w:t>
      </w:r>
    </w:p>
    <w:p w14:paraId="7AC699D8" w14:textId="77777777" w:rsidR="00F1168D" w:rsidRPr="003A2F86" w:rsidRDefault="00F1168D" w:rsidP="00F116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5B3EBC9A" w14:textId="03954406" w:rsidR="00F1168D" w:rsidRPr="003A2F86" w:rsidRDefault="00F1168D" w:rsidP="00F116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lang w:eastAsia="en-US"/>
        </w:rPr>
        <w:t xml:space="preserve">Prihodi proračunskih korisnika (dio 66) u iznosu </w:t>
      </w:r>
      <w:r w:rsidR="00414423">
        <w:rPr>
          <w:rFonts w:ascii="Arial" w:eastAsia="Calibri" w:hAnsi="Arial" w:cs="Arial"/>
          <w:lang w:eastAsia="en-US"/>
        </w:rPr>
        <w:t>61.016,19</w:t>
      </w:r>
      <w:r w:rsidR="001E1408" w:rsidRPr="003A2F86">
        <w:rPr>
          <w:rFonts w:ascii="Arial" w:eastAsia="Calibri" w:hAnsi="Arial" w:cs="Arial"/>
          <w:lang w:eastAsia="en-US"/>
        </w:rPr>
        <w:t xml:space="preserve"> €</w:t>
      </w:r>
      <w:r w:rsidRPr="003A2F86">
        <w:rPr>
          <w:rFonts w:ascii="Arial" w:eastAsia="Calibri" w:hAnsi="Arial" w:cs="Arial"/>
          <w:lang w:eastAsia="en-US"/>
        </w:rPr>
        <w:t xml:space="preserve"> </w:t>
      </w:r>
      <w:r w:rsidR="00414423">
        <w:rPr>
          <w:rFonts w:ascii="Arial" w:eastAsia="Calibri" w:hAnsi="Arial" w:cs="Arial"/>
          <w:lang w:eastAsia="en-US"/>
        </w:rPr>
        <w:t xml:space="preserve">u cijelosti </w:t>
      </w:r>
      <w:r w:rsidRPr="003A2F86">
        <w:rPr>
          <w:rFonts w:ascii="Arial" w:eastAsia="Calibri" w:hAnsi="Arial" w:cs="Arial"/>
          <w:lang w:eastAsia="en-US"/>
        </w:rPr>
        <w:t xml:space="preserve">se odnose na prihode od prodaje (661) </w:t>
      </w:r>
      <w:r w:rsidR="00414423">
        <w:rPr>
          <w:rFonts w:ascii="Arial" w:eastAsia="Calibri" w:hAnsi="Arial" w:cs="Arial"/>
          <w:lang w:eastAsia="en-US"/>
        </w:rPr>
        <w:t xml:space="preserve">dok nije bilo </w:t>
      </w:r>
      <w:r w:rsidRPr="003A2F86">
        <w:rPr>
          <w:rFonts w:ascii="Arial" w:eastAsia="Calibri" w:hAnsi="Arial" w:cs="Arial"/>
          <w:lang w:eastAsia="en-US"/>
        </w:rPr>
        <w:t>prihod</w:t>
      </w:r>
      <w:r w:rsidR="00414423">
        <w:rPr>
          <w:rFonts w:ascii="Arial" w:eastAsia="Calibri" w:hAnsi="Arial" w:cs="Arial"/>
          <w:lang w:eastAsia="en-US"/>
        </w:rPr>
        <w:t>a</w:t>
      </w:r>
      <w:r w:rsidRPr="003A2F86">
        <w:rPr>
          <w:rFonts w:ascii="Arial" w:eastAsia="Calibri" w:hAnsi="Arial" w:cs="Arial"/>
          <w:lang w:eastAsia="en-US"/>
        </w:rPr>
        <w:t xml:space="preserve"> od donacija (663)</w:t>
      </w:r>
      <w:r w:rsidR="004A4F99">
        <w:rPr>
          <w:rFonts w:ascii="Arial" w:eastAsia="Calibri" w:hAnsi="Arial" w:cs="Arial"/>
          <w:lang w:eastAsia="en-US"/>
        </w:rPr>
        <w:t>.</w:t>
      </w:r>
    </w:p>
    <w:p w14:paraId="3EA29C3E" w14:textId="77777777" w:rsidR="00F1168D" w:rsidRPr="003A2F86" w:rsidRDefault="00F1168D" w:rsidP="00F1168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4967602E" w14:textId="3F9942AD" w:rsidR="00363C5F" w:rsidRPr="00363C5F" w:rsidRDefault="00363C5F" w:rsidP="00363C5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63C5F">
        <w:rPr>
          <w:rFonts w:ascii="Arial" w:eastAsia="Calibri" w:hAnsi="Arial" w:cs="Arial"/>
          <w:lang w:eastAsia="en-US"/>
        </w:rPr>
        <w:t>Prihodi proračunskih korisnika od prodaje (</w:t>
      </w:r>
      <w:r w:rsidRPr="00363C5F">
        <w:rPr>
          <w:rFonts w:ascii="Arial" w:eastAsia="Calibri" w:hAnsi="Arial" w:cs="Arial"/>
          <w:b/>
          <w:bCs/>
          <w:lang w:eastAsia="en-US"/>
        </w:rPr>
        <w:t>661</w:t>
      </w:r>
      <w:r w:rsidRPr="00363C5F">
        <w:rPr>
          <w:rFonts w:ascii="Arial" w:eastAsia="Calibri" w:hAnsi="Arial" w:cs="Arial"/>
          <w:lang w:eastAsia="en-US"/>
        </w:rPr>
        <w:t xml:space="preserve">) odnose se na Dječji vrtić za prihode od usluga prehrane djece u produženom boravku </w:t>
      </w:r>
      <w:r w:rsidR="00414423">
        <w:rPr>
          <w:rFonts w:ascii="Arial" w:eastAsia="Calibri" w:hAnsi="Arial" w:cs="Arial"/>
          <w:lang w:eastAsia="en-US"/>
        </w:rPr>
        <w:t>17.403,75</w:t>
      </w:r>
      <w:r w:rsidRPr="00363C5F">
        <w:rPr>
          <w:rFonts w:ascii="Arial" w:eastAsia="Calibri" w:hAnsi="Arial" w:cs="Arial"/>
          <w:lang w:eastAsia="en-US"/>
        </w:rPr>
        <w:t xml:space="preserve"> € i drugih usluga 955,60 €, Muzeji i galerije Konavala za prodaju suvenira i slično </w:t>
      </w:r>
      <w:r w:rsidR="00005362">
        <w:rPr>
          <w:rFonts w:ascii="Arial" w:eastAsia="Calibri" w:hAnsi="Arial" w:cs="Arial"/>
          <w:lang w:eastAsia="en-US"/>
        </w:rPr>
        <w:t>39.866,84</w:t>
      </w:r>
      <w:r w:rsidRPr="00363C5F">
        <w:rPr>
          <w:rFonts w:ascii="Arial" w:eastAsia="Calibri" w:hAnsi="Arial" w:cs="Arial"/>
          <w:lang w:eastAsia="en-US"/>
        </w:rPr>
        <w:t xml:space="preserve"> €, a Dom za starije i nemoćne osobe je ostvario prihode od usluga dnevnog boravka u iznosu </w:t>
      </w:r>
      <w:r w:rsidR="006331E1">
        <w:rPr>
          <w:rFonts w:ascii="Arial" w:eastAsia="Calibri" w:hAnsi="Arial" w:cs="Arial"/>
          <w:lang w:eastAsia="en-US"/>
        </w:rPr>
        <w:t>2.790</w:t>
      </w:r>
      <w:r w:rsidRPr="00363C5F">
        <w:rPr>
          <w:rFonts w:ascii="Arial" w:eastAsia="Calibri" w:hAnsi="Arial" w:cs="Arial"/>
          <w:lang w:eastAsia="en-US"/>
        </w:rPr>
        <w:t xml:space="preserve"> €. </w:t>
      </w:r>
    </w:p>
    <w:p w14:paraId="29B31F54" w14:textId="57C58FFD" w:rsidR="00F8381C" w:rsidRPr="003A2F86" w:rsidRDefault="00F8381C" w:rsidP="00F22810">
      <w:pPr>
        <w:spacing w:after="0" w:line="240" w:lineRule="auto"/>
        <w:jc w:val="both"/>
        <w:rPr>
          <w:rFonts w:ascii="Arial" w:eastAsia="Times New Roman" w:hAnsi="Arial" w:cs="Arial"/>
          <w:sz w:val="20"/>
          <w:szCs w:val="20"/>
        </w:rPr>
      </w:pPr>
    </w:p>
    <w:p w14:paraId="0DFB31EE" w14:textId="77777777" w:rsidR="009A3E9D" w:rsidRPr="003A2F86" w:rsidRDefault="009A3E9D"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0509D3AE" w14:textId="77777777" w:rsidR="00716FD1" w:rsidRPr="003A2F86" w:rsidRDefault="00716FD1"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25D70F5F" w14:textId="77777777" w:rsidR="00A006CB" w:rsidRPr="003A2F86" w:rsidRDefault="00A006CB"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2154CAB9" w14:textId="77777777" w:rsidR="00A006CB" w:rsidRDefault="00A006CB"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0AB32881" w14:textId="77777777" w:rsidR="006331E1" w:rsidRDefault="006331E1"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3A24EB05" w14:textId="77777777" w:rsidR="006331E1" w:rsidRDefault="006331E1"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2FFAA5B5" w14:textId="77777777" w:rsidR="006331E1" w:rsidRPr="003A2F86" w:rsidRDefault="006331E1"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0B714102" w14:textId="77777777" w:rsidR="00EA7FD2" w:rsidRPr="003A2F86" w:rsidRDefault="00EA7FD2"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7762C6C8" w14:textId="77777777" w:rsidR="00EA7FD2" w:rsidRPr="003A2F86" w:rsidRDefault="00EA7FD2"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p w14:paraId="60A85F1C" w14:textId="16F648D4" w:rsidR="007254F2" w:rsidRDefault="00F22810"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r w:rsidRPr="003A2F86">
        <w:rPr>
          <w:rFonts w:ascii="Arial" w:eastAsia="Times New Roman" w:hAnsi="Arial" w:cs="Arial"/>
          <w:i/>
          <w:iCs/>
          <w:sz w:val="20"/>
          <w:szCs w:val="20"/>
        </w:rPr>
        <w:t>* Usporedba:</w:t>
      </w:r>
    </w:p>
    <w:p w14:paraId="756CBEBB" w14:textId="0A5F8995" w:rsidR="006331E1" w:rsidRPr="003A2F86" w:rsidRDefault="006331E1"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
          <w:iCs/>
          <w:sz w:val="20"/>
          <w:szCs w:val="20"/>
        </w:rPr>
      </w:pPr>
    </w:p>
    <w:tbl>
      <w:tblPr>
        <w:tblStyle w:val="Reetkatablice"/>
        <w:tblW w:w="0" w:type="auto"/>
        <w:tblInd w:w="-147" w:type="dxa"/>
        <w:tblLook w:val="04A0" w:firstRow="1" w:lastRow="0" w:firstColumn="1" w:lastColumn="0" w:noHBand="0" w:noVBand="1"/>
      </w:tblPr>
      <w:tblGrid>
        <w:gridCol w:w="1067"/>
        <w:gridCol w:w="1107"/>
        <w:gridCol w:w="1107"/>
        <w:gridCol w:w="857"/>
        <w:gridCol w:w="1103"/>
        <w:gridCol w:w="1134"/>
        <w:gridCol w:w="8332"/>
      </w:tblGrid>
      <w:tr w:rsidR="00F8381C" w:rsidRPr="003A2F86" w14:paraId="010561CD" w14:textId="77777777" w:rsidTr="00716FD1">
        <w:trPr>
          <w:trHeight w:val="300"/>
        </w:trPr>
        <w:tc>
          <w:tcPr>
            <w:tcW w:w="14707" w:type="dxa"/>
            <w:gridSpan w:val="7"/>
            <w:hideMark/>
          </w:tcPr>
          <w:p w14:paraId="53A1CB69" w14:textId="77777777" w:rsidR="00F8381C" w:rsidRPr="003A2F86" w:rsidRDefault="00F8381C" w:rsidP="0041622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18"/>
                <w:szCs w:val="18"/>
              </w:rPr>
            </w:pPr>
            <w:r w:rsidRPr="003A2F86">
              <w:rPr>
                <w:rFonts w:ascii="Arial" w:hAnsi="Arial" w:cs="Arial"/>
                <w:b/>
                <w:bCs/>
                <w:sz w:val="18"/>
                <w:szCs w:val="18"/>
              </w:rPr>
              <w:t>Prihodi od prodaje i pruženih usluga (</w:t>
            </w:r>
            <w:r w:rsidRPr="003A2F86">
              <w:rPr>
                <w:rFonts w:ascii="Arial" w:hAnsi="Arial" w:cs="Arial"/>
                <w:b/>
                <w:bCs/>
                <w:color w:val="FF0000"/>
                <w:sz w:val="18"/>
                <w:szCs w:val="18"/>
              </w:rPr>
              <w:t>661</w:t>
            </w:r>
            <w:r w:rsidRPr="003A2F86">
              <w:rPr>
                <w:rFonts w:ascii="Arial" w:hAnsi="Arial" w:cs="Arial"/>
                <w:b/>
                <w:bCs/>
                <w:sz w:val="18"/>
                <w:szCs w:val="18"/>
              </w:rPr>
              <w:t>)</w:t>
            </w:r>
          </w:p>
        </w:tc>
      </w:tr>
      <w:tr w:rsidR="00F8381C" w:rsidRPr="003A2F86" w14:paraId="2CE15306" w14:textId="77777777" w:rsidTr="00C37D80">
        <w:trPr>
          <w:trHeight w:val="765"/>
        </w:trPr>
        <w:tc>
          <w:tcPr>
            <w:tcW w:w="1067" w:type="dxa"/>
            <w:vAlign w:val="center"/>
            <w:hideMark/>
          </w:tcPr>
          <w:p w14:paraId="4685A31B" w14:textId="77777777" w:rsidR="00F8381C" w:rsidRPr="003A2F86" w:rsidRDefault="00F8381C" w:rsidP="007A557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18"/>
                <w:szCs w:val="18"/>
              </w:rPr>
            </w:pPr>
            <w:r w:rsidRPr="003A2F86">
              <w:rPr>
                <w:rFonts w:ascii="Arial" w:hAnsi="Arial" w:cs="Arial"/>
                <w:b/>
                <w:bCs/>
                <w:sz w:val="18"/>
                <w:szCs w:val="18"/>
              </w:rPr>
              <w:t>Godina</w:t>
            </w:r>
          </w:p>
        </w:tc>
        <w:tc>
          <w:tcPr>
            <w:tcW w:w="1107" w:type="dxa"/>
            <w:vAlign w:val="center"/>
            <w:hideMark/>
          </w:tcPr>
          <w:p w14:paraId="0FCF0E0B" w14:textId="77777777" w:rsidR="00F8381C" w:rsidRPr="003A2F86" w:rsidRDefault="00F8381C"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18"/>
                <w:szCs w:val="18"/>
              </w:rPr>
            </w:pPr>
            <w:r w:rsidRPr="003A2F86">
              <w:rPr>
                <w:rFonts w:ascii="Arial" w:hAnsi="Arial" w:cs="Arial"/>
                <w:b/>
                <w:bCs/>
                <w:sz w:val="18"/>
                <w:szCs w:val="18"/>
              </w:rPr>
              <w:t>Dječji vrtić</w:t>
            </w:r>
          </w:p>
        </w:tc>
        <w:tc>
          <w:tcPr>
            <w:tcW w:w="1107" w:type="dxa"/>
            <w:vAlign w:val="center"/>
            <w:hideMark/>
          </w:tcPr>
          <w:p w14:paraId="155A62A9" w14:textId="77777777" w:rsidR="00F8381C" w:rsidRPr="003A2F86" w:rsidRDefault="00F8381C"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18"/>
                <w:szCs w:val="18"/>
              </w:rPr>
            </w:pPr>
            <w:r w:rsidRPr="003A2F86">
              <w:rPr>
                <w:rFonts w:ascii="Arial" w:hAnsi="Arial" w:cs="Arial"/>
                <w:b/>
                <w:bCs/>
                <w:sz w:val="18"/>
                <w:szCs w:val="18"/>
              </w:rPr>
              <w:t>Muzeji i galerije</w:t>
            </w:r>
          </w:p>
        </w:tc>
        <w:tc>
          <w:tcPr>
            <w:tcW w:w="857" w:type="dxa"/>
            <w:vAlign w:val="center"/>
            <w:hideMark/>
          </w:tcPr>
          <w:p w14:paraId="4787BCBE" w14:textId="47A43B78" w:rsidR="00F8381C" w:rsidRPr="003A2F86" w:rsidRDefault="00F8381C"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12"/>
                <w:szCs w:val="12"/>
              </w:rPr>
            </w:pPr>
            <w:r w:rsidRPr="003A2F86">
              <w:rPr>
                <w:rFonts w:ascii="Arial" w:hAnsi="Arial" w:cs="Arial"/>
                <w:b/>
                <w:bCs/>
                <w:sz w:val="12"/>
                <w:szCs w:val="12"/>
              </w:rPr>
              <w:t>Javna vatrogasna postrojba</w:t>
            </w:r>
          </w:p>
        </w:tc>
        <w:tc>
          <w:tcPr>
            <w:tcW w:w="1103" w:type="dxa"/>
            <w:vAlign w:val="center"/>
            <w:hideMark/>
          </w:tcPr>
          <w:p w14:paraId="3D60AC93" w14:textId="77777777" w:rsidR="00F8381C" w:rsidRPr="003A2F86" w:rsidRDefault="00F8381C"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16"/>
                <w:szCs w:val="16"/>
              </w:rPr>
            </w:pPr>
            <w:r w:rsidRPr="003A2F86">
              <w:rPr>
                <w:rFonts w:ascii="Arial" w:hAnsi="Arial" w:cs="Arial"/>
                <w:b/>
                <w:bCs/>
                <w:sz w:val="16"/>
                <w:szCs w:val="16"/>
              </w:rPr>
              <w:t>Dom za starije i nemoćne osobe</w:t>
            </w:r>
          </w:p>
        </w:tc>
        <w:tc>
          <w:tcPr>
            <w:tcW w:w="1134" w:type="dxa"/>
            <w:vAlign w:val="center"/>
            <w:hideMark/>
          </w:tcPr>
          <w:p w14:paraId="40C95E4A" w14:textId="11C374E7" w:rsidR="00F8381C" w:rsidRPr="003A2F86" w:rsidRDefault="00F8381C" w:rsidP="006C7BD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18"/>
                <w:szCs w:val="18"/>
              </w:rPr>
            </w:pPr>
            <w:r w:rsidRPr="003A2F86">
              <w:rPr>
                <w:rFonts w:ascii="Arial" w:hAnsi="Arial" w:cs="Arial"/>
                <w:b/>
                <w:bCs/>
                <w:sz w:val="18"/>
                <w:szCs w:val="18"/>
              </w:rPr>
              <w:t>Ukupno</w:t>
            </w:r>
            <w:r w:rsidR="00597899" w:rsidRPr="003A2F86">
              <w:rPr>
                <w:rFonts w:ascii="Arial" w:hAnsi="Arial" w:cs="Arial"/>
                <w:b/>
                <w:bCs/>
                <w:sz w:val="18"/>
                <w:szCs w:val="18"/>
              </w:rPr>
              <w:t xml:space="preserve"> </w:t>
            </w:r>
            <w:r w:rsidR="00597899" w:rsidRPr="003A2F86">
              <w:rPr>
                <w:rFonts w:ascii="Arial" w:hAnsi="Arial" w:cs="Arial"/>
                <w:b/>
                <w:bCs/>
                <w:color w:val="FF0000"/>
                <w:sz w:val="18"/>
                <w:szCs w:val="18"/>
              </w:rPr>
              <w:t>(€)</w:t>
            </w:r>
          </w:p>
        </w:tc>
        <w:tc>
          <w:tcPr>
            <w:tcW w:w="8332" w:type="dxa"/>
            <w:vAlign w:val="center"/>
            <w:hideMark/>
          </w:tcPr>
          <w:p w14:paraId="08332363" w14:textId="77777777" w:rsidR="00F8381C" w:rsidRPr="003A2F86" w:rsidRDefault="00F8381C" w:rsidP="007A557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18"/>
                <w:szCs w:val="18"/>
              </w:rPr>
            </w:pPr>
            <w:r w:rsidRPr="003A2F86">
              <w:rPr>
                <w:rFonts w:ascii="Arial" w:hAnsi="Arial" w:cs="Arial"/>
                <w:b/>
                <w:bCs/>
                <w:sz w:val="18"/>
                <w:szCs w:val="18"/>
              </w:rPr>
              <w:t>Obrazloženje</w:t>
            </w:r>
          </w:p>
        </w:tc>
      </w:tr>
      <w:tr w:rsidR="00C37D80" w:rsidRPr="003A2F86" w14:paraId="3C266832" w14:textId="77777777" w:rsidTr="00C37D80">
        <w:trPr>
          <w:trHeight w:val="357"/>
        </w:trPr>
        <w:tc>
          <w:tcPr>
            <w:tcW w:w="1067" w:type="dxa"/>
            <w:tcBorders>
              <w:top w:val="single" w:sz="4" w:space="0" w:color="auto"/>
              <w:left w:val="single" w:sz="4" w:space="0" w:color="auto"/>
              <w:bottom w:val="single" w:sz="4" w:space="0" w:color="auto"/>
              <w:right w:val="single" w:sz="4" w:space="0" w:color="auto"/>
            </w:tcBorders>
            <w:vAlign w:val="center"/>
          </w:tcPr>
          <w:p w14:paraId="4170B968" w14:textId="19CC6FEC"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6B60DC">
              <w:rPr>
                <w:rFonts w:ascii="Calibri" w:hAnsi="Calibri" w:cs="Calibri"/>
                <w:b/>
                <w:bCs/>
                <w:color w:val="000000"/>
              </w:rPr>
              <w:t>2016.</w:t>
            </w:r>
          </w:p>
        </w:tc>
        <w:tc>
          <w:tcPr>
            <w:tcW w:w="1107" w:type="dxa"/>
            <w:tcBorders>
              <w:top w:val="single" w:sz="4" w:space="0" w:color="auto"/>
              <w:left w:val="nil"/>
              <w:bottom w:val="single" w:sz="4" w:space="0" w:color="auto"/>
              <w:right w:val="single" w:sz="4" w:space="0" w:color="auto"/>
            </w:tcBorders>
            <w:vAlign w:val="center"/>
          </w:tcPr>
          <w:p w14:paraId="1C85B269" w14:textId="1DE364AA"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i/>
                <w:iCs/>
                <w:color w:val="000000"/>
              </w:rPr>
              <w:t>0,00</w:t>
            </w:r>
          </w:p>
        </w:tc>
        <w:tc>
          <w:tcPr>
            <w:tcW w:w="1107" w:type="dxa"/>
            <w:tcBorders>
              <w:top w:val="single" w:sz="4" w:space="0" w:color="auto"/>
              <w:left w:val="nil"/>
              <w:bottom w:val="single" w:sz="4" w:space="0" w:color="auto"/>
              <w:right w:val="single" w:sz="4" w:space="0" w:color="auto"/>
            </w:tcBorders>
            <w:vAlign w:val="center"/>
          </w:tcPr>
          <w:p w14:paraId="501A21A3" w14:textId="17A3851A"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i/>
                <w:iCs/>
                <w:color w:val="000000"/>
              </w:rPr>
              <w:t>4.049,66</w:t>
            </w:r>
          </w:p>
        </w:tc>
        <w:tc>
          <w:tcPr>
            <w:tcW w:w="857" w:type="dxa"/>
            <w:tcBorders>
              <w:top w:val="single" w:sz="4" w:space="0" w:color="auto"/>
              <w:left w:val="nil"/>
              <w:bottom w:val="single" w:sz="4" w:space="0" w:color="auto"/>
              <w:right w:val="single" w:sz="4" w:space="0" w:color="auto"/>
            </w:tcBorders>
            <w:vAlign w:val="center"/>
          </w:tcPr>
          <w:p w14:paraId="15894C99" w14:textId="69957D54"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i/>
                <w:iCs/>
                <w:color w:val="000000"/>
              </w:rPr>
              <w:t>0,00</w:t>
            </w:r>
          </w:p>
        </w:tc>
        <w:tc>
          <w:tcPr>
            <w:tcW w:w="1103" w:type="dxa"/>
            <w:tcBorders>
              <w:top w:val="single" w:sz="4" w:space="0" w:color="auto"/>
              <w:left w:val="nil"/>
              <w:bottom w:val="single" w:sz="4" w:space="0" w:color="auto"/>
              <w:right w:val="single" w:sz="4" w:space="0" w:color="auto"/>
            </w:tcBorders>
            <w:vAlign w:val="center"/>
          </w:tcPr>
          <w:p w14:paraId="4F4C5004" w14:textId="42F06F17"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i/>
                <w:iCs/>
                <w:color w:val="000000"/>
              </w:rPr>
              <w:t>0,00</w:t>
            </w:r>
          </w:p>
        </w:tc>
        <w:tc>
          <w:tcPr>
            <w:tcW w:w="1134" w:type="dxa"/>
            <w:tcBorders>
              <w:top w:val="single" w:sz="4" w:space="0" w:color="auto"/>
              <w:left w:val="nil"/>
              <w:bottom w:val="single" w:sz="4" w:space="0" w:color="auto"/>
              <w:right w:val="single" w:sz="4" w:space="0" w:color="auto"/>
            </w:tcBorders>
            <w:vAlign w:val="center"/>
          </w:tcPr>
          <w:p w14:paraId="3DA67967" w14:textId="3C331C26"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b/>
                <w:bCs/>
                <w:i/>
                <w:iCs/>
                <w:color w:val="000000"/>
              </w:rPr>
              <w:t>4.049,66</w:t>
            </w:r>
          </w:p>
        </w:tc>
        <w:tc>
          <w:tcPr>
            <w:tcW w:w="8332" w:type="dxa"/>
            <w:tcBorders>
              <w:top w:val="single" w:sz="4" w:space="0" w:color="auto"/>
              <w:left w:val="nil"/>
              <w:bottom w:val="single" w:sz="4" w:space="0" w:color="auto"/>
              <w:right w:val="single" w:sz="4" w:space="0" w:color="auto"/>
            </w:tcBorders>
            <w:vAlign w:val="center"/>
          </w:tcPr>
          <w:p w14:paraId="368C36FD" w14:textId="13B8D8FB" w:rsidR="00C37D80" w:rsidRPr="00C37D80"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b/>
                <w:bCs/>
                <w:sz w:val="14"/>
                <w:szCs w:val="14"/>
              </w:rPr>
            </w:pPr>
            <w:r w:rsidRPr="00C37D80">
              <w:rPr>
                <w:rFonts w:ascii="Calibri" w:hAnsi="Calibri" w:cs="Calibri"/>
                <w:sz w:val="14"/>
                <w:szCs w:val="14"/>
              </w:rPr>
              <w:t xml:space="preserve">Muzeji i galerije Konavala - prihodi od prodaje suvenira, razglednica i sl. Prethodne 2015. godine niti jedan proračunski korisnik nije imao prihode od pruženih usluga. </w:t>
            </w:r>
          </w:p>
        </w:tc>
      </w:tr>
      <w:tr w:rsidR="00C37D80" w:rsidRPr="003A2F86" w14:paraId="565FE587" w14:textId="77777777" w:rsidTr="00C37D80">
        <w:trPr>
          <w:trHeight w:val="405"/>
        </w:trPr>
        <w:tc>
          <w:tcPr>
            <w:tcW w:w="1067" w:type="dxa"/>
            <w:tcBorders>
              <w:top w:val="nil"/>
              <w:left w:val="single" w:sz="4" w:space="0" w:color="auto"/>
              <w:bottom w:val="single" w:sz="4" w:space="0" w:color="auto"/>
              <w:right w:val="single" w:sz="4" w:space="0" w:color="auto"/>
            </w:tcBorders>
            <w:vAlign w:val="center"/>
          </w:tcPr>
          <w:p w14:paraId="5139759A" w14:textId="114B3D08"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6B60DC">
              <w:rPr>
                <w:rFonts w:ascii="Calibri" w:hAnsi="Calibri" w:cs="Calibri"/>
                <w:b/>
                <w:bCs/>
                <w:color w:val="000000"/>
              </w:rPr>
              <w:t>2017.</w:t>
            </w:r>
          </w:p>
        </w:tc>
        <w:tc>
          <w:tcPr>
            <w:tcW w:w="1107" w:type="dxa"/>
            <w:tcBorders>
              <w:top w:val="nil"/>
              <w:left w:val="nil"/>
              <w:bottom w:val="single" w:sz="4" w:space="0" w:color="auto"/>
              <w:right w:val="single" w:sz="4" w:space="0" w:color="auto"/>
            </w:tcBorders>
            <w:vAlign w:val="center"/>
          </w:tcPr>
          <w:p w14:paraId="24617767" w14:textId="263F080C"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i/>
                <w:iCs/>
                <w:color w:val="000000"/>
              </w:rPr>
              <w:t>2.951,42</w:t>
            </w:r>
          </w:p>
        </w:tc>
        <w:tc>
          <w:tcPr>
            <w:tcW w:w="1107" w:type="dxa"/>
            <w:tcBorders>
              <w:top w:val="nil"/>
              <w:left w:val="nil"/>
              <w:bottom w:val="single" w:sz="4" w:space="0" w:color="auto"/>
              <w:right w:val="single" w:sz="4" w:space="0" w:color="auto"/>
            </w:tcBorders>
            <w:vAlign w:val="center"/>
          </w:tcPr>
          <w:p w14:paraId="4A2E77D2" w14:textId="20203DDD"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i/>
                <w:iCs/>
                <w:color w:val="000000"/>
              </w:rPr>
              <w:t>7.041,65</w:t>
            </w:r>
          </w:p>
        </w:tc>
        <w:tc>
          <w:tcPr>
            <w:tcW w:w="857" w:type="dxa"/>
            <w:tcBorders>
              <w:top w:val="nil"/>
              <w:left w:val="nil"/>
              <w:bottom w:val="single" w:sz="4" w:space="0" w:color="auto"/>
              <w:right w:val="single" w:sz="4" w:space="0" w:color="auto"/>
            </w:tcBorders>
            <w:vAlign w:val="center"/>
          </w:tcPr>
          <w:p w14:paraId="73B77F1D" w14:textId="528C8CBC"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i/>
                <w:iCs/>
                <w:color w:val="000000"/>
              </w:rPr>
              <w:t>0,00</w:t>
            </w:r>
          </w:p>
        </w:tc>
        <w:tc>
          <w:tcPr>
            <w:tcW w:w="1103" w:type="dxa"/>
            <w:tcBorders>
              <w:top w:val="nil"/>
              <w:left w:val="nil"/>
              <w:bottom w:val="single" w:sz="4" w:space="0" w:color="auto"/>
              <w:right w:val="single" w:sz="4" w:space="0" w:color="auto"/>
            </w:tcBorders>
            <w:vAlign w:val="center"/>
          </w:tcPr>
          <w:p w14:paraId="619474D8" w14:textId="16E6B226"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i/>
                <w:iCs/>
                <w:color w:val="000000"/>
              </w:rPr>
              <w:t>0,00</w:t>
            </w:r>
          </w:p>
        </w:tc>
        <w:tc>
          <w:tcPr>
            <w:tcW w:w="1134" w:type="dxa"/>
            <w:tcBorders>
              <w:top w:val="nil"/>
              <w:left w:val="nil"/>
              <w:bottom w:val="single" w:sz="4" w:space="0" w:color="auto"/>
              <w:right w:val="single" w:sz="4" w:space="0" w:color="auto"/>
            </w:tcBorders>
            <w:vAlign w:val="center"/>
          </w:tcPr>
          <w:p w14:paraId="17535F4F" w14:textId="48D3F1DC"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b/>
                <w:bCs/>
                <w:i/>
                <w:iCs/>
                <w:color w:val="000000"/>
              </w:rPr>
              <w:t>9.993,07</w:t>
            </w:r>
          </w:p>
        </w:tc>
        <w:tc>
          <w:tcPr>
            <w:tcW w:w="8332" w:type="dxa"/>
            <w:tcBorders>
              <w:top w:val="nil"/>
              <w:left w:val="nil"/>
              <w:bottom w:val="single" w:sz="4" w:space="0" w:color="auto"/>
              <w:right w:val="single" w:sz="4" w:space="0" w:color="auto"/>
            </w:tcBorders>
            <w:vAlign w:val="center"/>
          </w:tcPr>
          <w:p w14:paraId="747C0F32" w14:textId="3DBCF56D" w:rsidR="00C37D80" w:rsidRPr="00C37D80"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b/>
                <w:bCs/>
                <w:sz w:val="14"/>
                <w:szCs w:val="14"/>
              </w:rPr>
            </w:pPr>
            <w:r w:rsidRPr="00C37D80">
              <w:rPr>
                <w:rFonts w:ascii="Calibri" w:hAnsi="Calibri" w:cs="Calibri"/>
                <w:sz w:val="14"/>
                <w:szCs w:val="14"/>
              </w:rPr>
              <w:t xml:space="preserve">Dječji vrtić - prihodi od pružanja usluga prehrane djece u produženom boravku u OŠ Gruda. Muzeji i galerije Konavala - prihodi od prodaje suvenira, razglednica i sl.  </w:t>
            </w:r>
          </w:p>
        </w:tc>
      </w:tr>
      <w:tr w:rsidR="00C37D80" w:rsidRPr="003A2F86" w14:paraId="665E2139" w14:textId="77777777" w:rsidTr="00C37D80">
        <w:trPr>
          <w:trHeight w:val="553"/>
        </w:trPr>
        <w:tc>
          <w:tcPr>
            <w:tcW w:w="1067" w:type="dxa"/>
            <w:tcBorders>
              <w:top w:val="nil"/>
              <w:left w:val="single" w:sz="4" w:space="0" w:color="auto"/>
              <w:bottom w:val="single" w:sz="4" w:space="0" w:color="auto"/>
              <w:right w:val="single" w:sz="4" w:space="0" w:color="auto"/>
            </w:tcBorders>
            <w:noWrap/>
            <w:vAlign w:val="center"/>
            <w:hideMark/>
          </w:tcPr>
          <w:p w14:paraId="5B3AE0A6" w14:textId="0F5685B5"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6B60DC">
              <w:rPr>
                <w:rFonts w:ascii="Calibri" w:hAnsi="Calibri" w:cs="Calibri"/>
                <w:b/>
                <w:bCs/>
                <w:color w:val="000000"/>
              </w:rPr>
              <w:t>2018.</w:t>
            </w:r>
          </w:p>
        </w:tc>
        <w:tc>
          <w:tcPr>
            <w:tcW w:w="1107" w:type="dxa"/>
            <w:tcBorders>
              <w:top w:val="nil"/>
              <w:left w:val="nil"/>
              <w:bottom w:val="single" w:sz="4" w:space="0" w:color="auto"/>
              <w:right w:val="single" w:sz="4" w:space="0" w:color="auto"/>
            </w:tcBorders>
            <w:noWrap/>
            <w:vAlign w:val="center"/>
            <w:hideMark/>
          </w:tcPr>
          <w:p w14:paraId="7CC9277A" w14:textId="08B0F517"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9.947,57</w:t>
            </w:r>
          </w:p>
        </w:tc>
        <w:tc>
          <w:tcPr>
            <w:tcW w:w="1107" w:type="dxa"/>
            <w:tcBorders>
              <w:top w:val="nil"/>
              <w:left w:val="nil"/>
              <w:bottom w:val="single" w:sz="4" w:space="0" w:color="auto"/>
              <w:right w:val="single" w:sz="4" w:space="0" w:color="auto"/>
            </w:tcBorders>
            <w:noWrap/>
            <w:vAlign w:val="center"/>
            <w:hideMark/>
          </w:tcPr>
          <w:p w14:paraId="4BFC7818" w14:textId="1A3C7554"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17.806,57</w:t>
            </w:r>
          </w:p>
        </w:tc>
        <w:tc>
          <w:tcPr>
            <w:tcW w:w="857" w:type="dxa"/>
            <w:tcBorders>
              <w:top w:val="nil"/>
              <w:left w:val="nil"/>
              <w:bottom w:val="single" w:sz="4" w:space="0" w:color="auto"/>
              <w:right w:val="single" w:sz="4" w:space="0" w:color="auto"/>
            </w:tcBorders>
            <w:noWrap/>
            <w:vAlign w:val="center"/>
            <w:hideMark/>
          </w:tcPr>
          <w:p w14:paraId="2F980577" w14:textId="3ABB07D3"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0,00</w:t>
            </w:r>
          </w:p>
        </w:tc>
        <w:tc>
          <w:tcPr>
            <w:tcW w:w="1103" w:type="dxa"/>
            <w:tcBorders>
              <w:top w:val="nil"/>
              <w:left w:val="nil"/>
              <w:bottom w:val="single" w:sz="4" w:space="0" w:color="auto"/>
              <w:right w:val="single" w:sz="4" w:space="0" w:color="auto"/>
            </w:tcBorders>
            <w:noWrap/>
            <w:vAlign w:val="center"/>
            <w:hideMark/>
          </w:tcPr>
          <w:p w14:paraId="76166A6A" w14:textId="7F513C79"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1.256,59</w:t>
            </w:r>
          </w:p>
        </w:tc>
        <w:tc>
          <w:tcPr>
            <w:tcW w:w="1134" w:type="dxa"/>
            <w:tcBorders>
              <w:top w:val="nil"/>
              <w:left w:val="nil"/>
              <w:bottom w:val="single" w:sz="4" w:space="0" w:color="auto"/>
              <w:right w:val="single" w:sz="4" w:space="0" w:color="auto"/>
            </w:tcBorders>
            <w:noWrap/>
            <w:vAlign w:val="center"/>
            <w:hideMark/>
          </w:tcPr>
          <w:p w14:paraId="54FD4996" w14:textId="4ABB9309"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b/>
                <w:bCs/>
                <w:i/>
                <w:iCs/>
                <w:color w:val="000000"/>
              </w:rPr>
              <w:t>29.010,74</w:t>
            </w:r>
          </w:p>
        </w:tc>
        <w:tc>
          <w:tcPr>
            <w:tcW w:w="8332" w:type="dxa"/>
            <w:tcBorders>
              <w:top w:val="nil"/>
              <w:left w:val="nil"/>
              <w:bottom w:val="single" w:sz="4" w:space="0" w:color="auto"/>
              <w:right w:val="single" w:sz="4" w:space="0" w:color="auto"/>
            </w:tcBorders>
            <w:vAlign w:val="center"/>
            <w:hideMark/>
          </w:tcPr>
          <w:p w14:paraId="13FCDAAF" w14:textId="60065C70" w:rsidR="00C37D80" w:rsidRPr="00C37D80"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C37D80">
              <w:rPr>
                <w:rFonts w:ascii="Calibri" w:hAnsi="Calibri" w:cs="Calibri"/>
                <w:sz w:val="14"/>
                <w:szCs w:val="14"/>
              </w:rPr>
              <w:t>Dječji vrtić - prihodi od pružanja usluga prehrane djece u produženom boravku u OŠ Gruda. Muzeji i galerije Konavala - prihodi od prodaje suvenira, razglednica i sl.  Dom za starije i nemoćne osobe- prihodi od pružanja usluge dnevnog boravka.</w:t>
            </w:r>
          </w:p>
        </w:tc>
      </w:tr>
      <w:tr w:rsidR="00C37D80" w:rsidRPr="003A2F86" w14:paraId="48C0B5A1" w14:textId="77777777" w:rsidTr="00C37D80">
        <w:trPr>
          <w:trHeight w:val="533"/>
        </w:trPr>
        <w:tc>
          <w:tcPr>
            <w:tcW w:w="1067" w:type="dxa"/>
            <w:tcBorders>
              <w:top w:val="nil"/>
              <w:left w:val="single" w:sz="4" w:space="0" w:color="auto"/>
              <w:bottom w:val="single" w:sz="4" w:space="0" w:color="auto"/>
              <w:right w:val="single" w:sz="4" w:space="0" w:color="auto"/>
            </w:tcBorders>
            <w:noWrap/>
            <w:vAlign w:val="center"/>
            <w:hideMark/>
          </w:tcPr>
          <w:p w14:paraId="442D63A5" w14:textId="188A23CF"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6B60DC">
              <w:rPr>
                <w:rFonts w:ascii="Calibri" w:hAnsi="Calibri" w:cs="Calibri"/>
                <w:b/>
                <w:bCs/>
                <w:color w:val="000000"/>
              </w:rPr>
              <w:t>2019</w:t>
            </w:r>
          </w:p>
        </w:tc>
        <w:tc>
          <w:tcPr>
            <w:tcW w:w="1107" w:type="dxa"/>
            <w:tcBorders>
              <w:top w:val="nil"/>
              <w:left w:val="nil"/>
              <w:bottom w:val="single" w:sz="4" w:space="0" w:color="auto"/>
              <w:right w:val="single" w:sz="4" w:space="0" w:color="auto"/>
            </w:tcBorders>
            <w:noWrap/>
            <w:vAlign w:val="center"/>
            <w:hideMark/>
          </w:tcPr>
          <w:p w14:paraId="1C5485EA" w14:textId="5676BC91"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7.374,08</w:t>
            </w:r>
          </w:p>
        </w:tc>
        <w:tc>
          <w:tcPr>
            <w:tcW w:w="1107" w:type="dxa"/>
            <w:tcBorders>
              <w:top w:val="nil"/>
              <w:left w:val="nil"/>
              <w:bottom w:val="single" w:sz="4" w:space="0" w:color="auto"/>
              <w:right w:val="single" w:sz="4" w:space="0" w:color="auto"/>
            </w:tcBorders>
            <w:noWrap/>
            <w:vAlign w:val="center"/>
            <w:hideMark/>
          </w:tcPr>
          <w:p w14:paraId="71A214BB" w14:textId="6C0C52D3"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29.428,46</w:t>
            </w:r>
          </w:p>
        </w:tc>
        <w:tc>
          <w:tcPr>
            <w:tcW w:w="857" w:type="dxa"/>
            <w:tcBorders>
              <w:top w:val="nil"/>
              <w:left w:val="nil"/>
              <w:bottom w:val="single" w:sz="4" w:space="0" w:color="auto"/>
              <w:right w:val="single" w:sz="4" w:space="0" w:color="auto"/>
            </w:tcBorders>
            <w:noWrap/>
            <w:vAlign w:val="center"/>
            <w:hideMark/>
          </w:tcPr>
          <w:p w14:paraId="72024902" w14:textId="34AEBB16"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0,00</w:t>
            </w:r>
          </w:p>
        </w:tc>
        <w:tc>
          <w:tcPr>
            <w:tcW w:w="1103" w:type="dxa"/>
            <w:tcBorders>
              <w:top w:val="nil"/>
              <w:left w:val="nil"/>
              <w:bottom w:val="single" w:sz="4" w:space="0" w:color="auto"/>
              <w:right w:val="single" w:sz="4" w:space="0" w:color="auto"/>
            </w:tcBorders>
            <w:noWrap/>
            <w:vAlign w:val="center"/>
            <w:hideMark/>
          </w:tcPr>
          <w:p w14:paraId="5CB7D453" w14:textId="339D9108"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5.569,08</w:t>
            </w:r>
          </w:p>
        </w:tc>
        <w:tc>
          <w:tcPr>
            <w:tcW w:w="1134" w:type="dxa"/>
            <w:tcBorders>
              <w:top w:val="nil"/>
              <w:left w:val="nil"/>
              <w:bottom w:val="single" w:sz="4" w:space="0" w:color="auto"/>
              <w:right w:val="single" w:sz="4" w:space="0" w:color="auto"/>
            </w:tcBorders>
            <w:noWrap/>
            <w:vAlign w:val="center"/>
            <w:hideMark/>
          </w:tcPr>
          <w:p w14:paraId="13596513" w14:textId="0DE6D08A"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b/>
                <w:bCs/>
                <w:i/>
                <w:iCs/>
                <w:color w:val="000000"/>
              </w:rPr>
              <w:t>42.371,61</w:t>
            </w:r>
          </w:p>
        </w:tc>
        <w:tc>
          <w:tcPr>
            <w:tcW w:w="8332" w:type="dxa"/>
            <w:tcBorders>
              <w:top w:val="nil"/>
              <w:left w:val="nil"/>
              <w:bottom w:val="nil"/>
              <w:right w:val="single" w:sz="4" w:space="0" w:color="auto"/>
            </w:tcBorders>
            <w:vAlign w:val="center"/>
            <w:hideMark/>
          </w:tcPr>
          <w:p w14:paraId="6787331C" w14:textId="6AAAB3E7" w:rsidR="00C37D80" w:rsidRPr="00C37D80"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C37D80">
              <w:rPr>
                <w:rFonts w:ascii="Calibri" w:hAnsi="Calibri" w:cs="Calibri"/>
                <w:sz w:val="14"/>
                <w:szCs w:val="14"/>
              </w:rPr>
              <w:t>Dječji vrtić - prihodi od pružanja usluga prehrane djece u produženom boravku u OŠ Gruda i PŠ Čilipi. Muzeji i galerije Konavala - prihodi od prodaje suvenira, razglednica i sl.  Dom za starije i nemoćne osobe- prihodi od pružanja usluge dnevnog boravka.</w:t>
            </w:r>
          </w:p>
        </w:tc>
      </w:tr>
      <w:tr w:rsidR="00C37D80" w:rsidRPr="003A2F86" w14:paraId="1F2FC81D" w14:textId="77777777" w:rsidTr="00C37D80">
        <w:trPr>
          <w:trHeight w:val="967"/>
        </w:trPr>
        <w:tc>
          <w:tcPr>
            <w:tcW w:w="1067" w:type="dxa"/>
            <w:tcBorders>
              <w:top w:val="nil"/>
              <w:left w:val="single" w:sz="4" w:space="0" w:color="auto"/>
              <w:bottom w:val="single" w:sz="4" w:space="0" w:color="auto"/>
              <w:right w:val="single" w:sz="4" w:space="0" w:color="auto"/>
            </w:tcBorders>
            <w:vAlign w:val="center"/>
            <w:hideMark/>
          </w:tcPr>
          <w:p w14:paraId="2404B004" w14:textId="6066E347"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6B60DC">
              <w:rPr>
                <w:rFonts w:ascii="Calibri" w:hAnsi="Calibri" w:cs="Calibri"/>
                <w:b/>
                <w:bCs/>
                <w:color w:val="000000"/>
              </w:rPr>
              <w:t>2020.</w:t>
            </w:r>
          </w:p>
        </w:tc>
        <w:tc>
          <w:tcPr>
            <w:tcW w:w="1107" w:type="dxa"/>
            <w:tcBorders>
              <w:top w:val="nil"/>
              <w:left w:val="nil"/>
              <w:bottom w:val="single" w:sz="4" w:space="0" w:color="auto"/>
              <w:right w:val="single" w:sz="4" w:space="0" w:color="auto"/>
            </w:tcBorders>
            <w:noWrap/>
            <w:vAlign w:val="center"/>
            <w:hideMark/>
          </w:tcPr>
          <w:p w14:paraId="62E14AB7" w14:textId="734CF481"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15.419,07</w:t>
            </w:r>
          </w:p>
        </w:tc>
        <w:tc>
          <w:tcPr>
            <w:tcW w:w="1107" w:type="dxa"/>
            <w:tcBorders>
              <w:top w:val="nil"/>
              <w:left w:val="nil"/>
              <w:bottom w:val="single" w:sz="4" w:space="0" w:color="auto"/>
              <w:right w:val="single" w:sz="4" w:space="0" w:color="auto"/>
            </w:tcBorders>
            <w:noWrap/>
            <w:vAlign w:val="center"/>
            <w:hideMark/>
          </w:tcPr>
          <w:p w14:paraId="77FC3055" w14:textId="221EFF6A"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19.157,95</w:t>
            </w:r>
          </w:p>
        </w:tc>
        <w:tc>
          <w:tcPr>
            <w:tcW w:w="857" w:type="dxa"/>
            <w:tcBorders>
              <w:top w:val="nil"/>
              <w:left w:val="nil"/>
              <w:bottom w:val="single" w:sz="4" w:space="0" w:color="auto"/>
              <w:right w:val="single" w:sz="4" w:space="0" w:color="auto"/>
            </w:tcBorders>
            <w:noWrap/>
            <w:vAlign w:val="center"/>
            <w:hideMark/>
          </w:tcPr>
          <w:p w14:paraId="20D735A0" w14:textId="21010513"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0,00</w:t>
            </w:r>
          </w:p>
        </w:tc>
        <w:tc>
          <w:tcPr>
            <w:tcW w:w="1103" w:type="dxa"/>
            <w:tcBorders>
              <w:top w:val="nil"/>
              <w:left w:val="nil"/>
              <w:bottom w:val="single" w:sz="4" w:space="0" w:color="auto"/>
              <w:right w:val="single" w:sz="4" w:space="0" w:color="auto"/>
            </w:tcBorders>
            <w:noWrap/>
            <w:vAlign w:val="center"/>
            <w:hideMark/>
          </w:tcPr>
          <w:p w14:paraId="7B3101A1" w14:textId="254BF54C"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1.282,27</w:t>
            </w:r>
          </w:p>
        </w:tc>
        <w:tc>
          <w:tcPr>
            <w:tcW w:w="1134" w:type="dxa"/>
            <w:tcBorders>
              <w:top w:val="nil"/>
              <w:left w:val="nil"/>
              <w:bottom w:val="single" w:sz="4" w:space="0" w:color="auto"/>
              <w:right w:val="single" w:sz="4" w:space="0" w:color="auto"/>
            </w:tcBorders>
            <w:noWrap/>
            <w:vAlign w:val="center"/>
            <w:hideMark/>
          </w:tcPr>
          <w:p w14:paraId="22187AC5" w14:textId="32A13D69"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b/>
                <w:bCs/>
                <w:i/>
                <w:iCs/>
                <w:color w:val="000000"/>
              </w:rPr>
              <w:t>35.859,29</w:t>
            </w:r>
          </w:p>
        </w:tc>
        <w:tc>
          <w:tcPr>
            <w:tcW w:w="8332" w:type="dxa"/>
            <w:tcBorders>
              <w:top w:val="single" w:sz="4" w:space="0" w:color="auto"/>
              <w:left w:val="nil"/>
              <w:bottom w:val="nil"/>
              <w:right w:val="nil"/>
            </w:tcBorders>
            <w:vAlign w:val="center"/>
            <w:hideMark/>
          </w:tcPr>
          <w:p w14:paraId="202AA605" w14:textId="7C160C1A" w:rsidR="00C37D80" w:rsidRPr="00C37D80"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C37D80">
              <w:rPr>
                <w:rFonts w:ascii="Calibri" w:hAnsi="Calibri" w:cs="Calibri"/>
                <w:sz w:val="14"/>
                <w:szCs w:val="14"/>
              </w:rPr>
              <w:t>Dječji vrtić - prihodi od pružanja usluga prehrane djece u produženom boravku u OŠ Gruda i PŠ Čilipi, (dio školske godine usluga nije pružana jer su škole bile zatvorene zbog pandemije virusa). Muzeji i galerije Konavala - prihodi od prodaje suvenira, razglednica i sl. do sredine ožujka 2020. (kada su muzeji zatvoreni za posjetitelje) i ponovno od lipnja 2020. U Domu za starije i nemoćne osobe- nema prihoda od pružanja usluge dnevnog boravka do sredine ožujka 2020. kada je pružanje ove usluge zbog pandemije virusa COVID 19 obustavljeno.</w:t>
            </w:r>
          </w:p>
        </w:tc>
      </w:tr>
      <w:tr w:rsidR="00C37D80" w:rsidRPr="003A2F86" w14:paraId="2A73D738" w14:textId="77777777" w:rsidTr="00C37D80">
        <w:trPr>
          <w:trHeight w:val="555"/>
        </w:trPr>
        <w:tc>
          <w:tcPr>
            <w:tcW w:w="1067" w:type="dxa"/>
            <w:tcBorders>
              <w:top w:val="nil"/>
              <w:left w:val="single" w:sz="4" w:space="0" w:color="auto"/>
              <w:bottom w:val="single" w:sz="4" w:space="0" w:color="auto"/>
              <w:right w:val="single" w:sz="4" w:space="0" w:color="auto"/>
            </w:tcBorders>
            <w:vAlign w:val="center"/>
            <w:hideMark/>
          </w:tcPr>
          <w:p w14:paraId="071CC027" w14:textId="181C69F4"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6B60DC">
              <w:rPr>
                <w:rFonts w:ascii="Calibri" w:hAnsi="Calibri" w:cs="Calibri"/>
                <w:b/>
                <w:bCs/>
                <w:color w:val="000000"/>
              </w:rPr>
              <w:t>2021.</w:t>
            </w:r>
          </w:p>
        </w:tc>
        <w:tc>
          <w:tcPr>
            <w:tcW w:w="1107" w:type="dxa"/>
            <w:tcBorders>
              <w:top w:val="nil"/>
              <w:left w:val="nil"/>
              <w:bottom w:val="single" w:sz="4" w:space="0" w:color="auto"/>
              <w:right w:val="single" w:sz="4" w:space="0" w:color="auto"/>
            </w:tcBorders>
            <w:noWrap/>
            <w:vAlign w:val="center"/>
            <w:hideMark/>
          </w:tcPr>
          <w:p w14:paraId="750453CF" w14:textId="0DD9536E"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17.730,44</w:t>
            </w:r>
          </w:p>
        </w:tc>
        <w:tc>
          <w:tcPr>
            <w:tcW w:w="1107" w:type="dxa"/>
            <w:tcBorders>
              <w:top w:val="nil"/>
              <w:left w:val="nil"/>
              <w:bottom w:val="single" w:sz="4" w:space="0" w:color="auto"/>
              <w:right w:val="single" w:sz="4" w:space="0" w:color="auto"/>
            </w:tcBorders>
            <w:noWrap/>
            <w:vAlign w:val="center"/>
            <w:hideMark/>
          </w:tcPr>
          <w:p w14:paraId="42101C84" w14:textId="0C386EB8"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23.265,36</w:t>
            </w:r>
          </w:p>
        </w:tc>
        <w:tc>
          <w:tcPr>
            <w:tcW w:w="857" w:type="dxa"/>
            <w:tcBorders>
              <w:top w:val="nil"/>
              <w:left w:val="nil"/>
              <w:bottom w:val="single" w:sz="4" w:space="0" w:color="auto"/>
              <w:right w:val="single" w:sz="4" w:space="0" w:color="auto"/>
            </w:tcBorders>
            <w:noWrap/>
            <w:vAlign w:val="center"/>
            <w:hideMark/>
          </w:tcPr>
          <w:p w14:paraId="7F22D894" w14:textId="48ED4D14"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0,00</w:t>
            </w:r>
          </w:p>
        </w:tc>
        <w:tc>
          <w:tcPr>
            <w:tcW w:w="1103" w:type="dxa"/>
            <w:tcBorders>
              <w:top w:val="nil"/>
              <w:left w:val="nil"/>
              <w:bottom w:val="single" w:sz="4" w:space="0" w:color="auto"/>
              <w:right w:val="single" w:sz="4" w:space="0" w:color="auto"/>
            </w:tcBorders>
            <w:noWrap/>
            <w:vAlign w:val="center"/>
            <w:hideMark/>
          </w:tcPr>
          <w:p w14:paraId="76DBA3CB" w14:textId="31A6224F"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0,00</w:t>
            </w:r>
          </w:p>
        </w:tc>
        <w:tc>
          <w:tcPr>
            <w:tcW w:w="1134" w:type="dxa"/>
            <w:tcBorders>
              <w:top w:val="nil"/>
              <w:left w:val="nil"/>
              <w:bottom w:val="single" w:sz="4" w:space="0" w:color="auto"/>
              <w:right w:val="single" w:sz="4" w:space="0" w:color="auto"/>
            </w:tcBorders>
            <w:noWrap/>
            <w:vAlign w:val="center"/>
            <w:hideMark/>
          </w:tcPr>
          <w:p w14:paraId="632790AA" w14:textId="1BFDF63E"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b/>
                <w:bCs/>
                <w:i/>
                <w:iCs/>
                <w:color w:val="000000"/>
              </w:rPr>
              <w:t>40.995,80</w:t>
            </w:r>
          </w:p>
        </w:tc>
        <w:tc>
          <w:tcPr>
            <w:tcW w:w="8332" w:type="dxa"/>
            <w:tcBorders>
              <w:top w:val="single" w:sz="4" w:space="0" w:color="auto"/>
              <w:left w:val="nil"/>
              <w:bottom w:val="single" w:sz="4" w:space="0" w:color="auto"/>
              <w:right w:val="nil"/>
            </w:tcBorders>
            <w:vAlign w:val="center"/>
            <w:hideMark/>
          </w:tcPr>
          <w:p w14:paraId="7FE5B593" w14:textId="3888C042" w:rsidR="00C37D80" w:rsidRPr="00C37D80"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C37D80">
              <w:rPr>
                <w:rFonts w:ascii="Calibri" w:hAnsi="Calibri" w:cs="Calibri"/>
                <w:sz w:val="14"/>
                <w:szCs w:val="14"/>
              </w:rPr>
              <w:t>Dječji vrtić - prihodi od pružanja usluga prehrane djece u produženom boravku u OŠ Gruda i PŠ Čilipi, te od najma. Muzeji i galerije Konavala - prihodi od prodaje suvenira, razglednica i sl. U Domu za starije i nemoćne osobe- prihodi od pružanja usluge dnevnog boravka je zbog pandemije virusa COVID 19 obustavljeno.</w:t>
            </w:r>
          </w:p>
        </w:tc>
      </w:tr>
      <w:tr w:rsidR="00C37D80" w:rsidRPr="003A2F86" w14:paraId="6F88073A" w14:textId="77777777" w:rsidTr="00C37D80">
        <w:trPr>
          <w:trHeight w:val="595"/>
        </w:trPr>
        <w:tc>
          <w:tcPr>
            <w:tcW w:w="1067" w:type="dxa"/>
            <w:tcBorders>
              <w:top w:val="nil"/>
              <w:left w:val="single" w:sz="4" w:space="0" w:color="auto"/>
              <w:bottom w:val="single" w:sz="4" w:space="0" w:color="auto"/>
              <w:right w:val="single" w:sz="4" w:space="0" w:color="auto"/>
            </w:tcBorders>
            <w:vAlign w:val="center"/>
            <w:hideMark/>
          </w:tcPr>
          <w:p w14:paraId="52C5C34C" w14:textId="6C6A8349"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6B60DC">
              <w:rPr>
                <w:rFonts w:ascii="Calibri" w:hAnsi="Calibri" w:cs="Calibri"/>
                <w:b/>
                <w:bCs/>
                <w:color w:val="000000"/>
              </w:rPr>
              <w:t>2022.</w:t>
            </w:r>
          </w:p>
        </w:tc>
        <w:tc>
          <w:tcPr>
            <w:tcW w:w="1107" w:type="dxa"/>
            <w:tcBorders>
              <w:top w:val="nil"/>
              <w:left w:val="nil"/>
              <w:bottom w:val="single" w:sz="4" w:space="0" w:color="auto"/>
              <w:right w:val="single" w:sz="4" w:space="0" w:color="auto"/>
            </w:tcBorders>
            <w:noWrap/>
            <w:vAlign w:val="center"/>
            <w:hideMark/>
          </w:tcPr>
          <w:p w14:paraId="07E21C18" w14:textId="7B8E4718"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17.411,91</w:t>
            </w:r>
          </w:p>
        </w:tc>
        <w:tc>
          <w:tcPr>
            <w:tcW w:w="1107" w:type="dxa"/>
            <w:tcBorders>
              <w:top w:val="nil"/>
              <w:left w:val="nil"/>
              <w:bottom w:val="single" w:sz="4" w:space="0" w:color="auto"/>
              <w:right w:val="single" w:sz="4" w:space="0" w:color="auto"/>
            </w:tcBorders>
            <w:noWrap/>
            <w:vAlign w:val="center"/>
            <w:hideMark/>
          </w:tcPr>
          <w:p w14:paraId="085C8443" w14:textId="6CD9C733"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33.533,43</w:t>
            </w:r>
          </w:p>
        </w:tc>
        <w:tc>
          <w:tcPr>
            <w:tcW w:w="857" w:type="dxa"/>
            <w:tcBorders>
              <w:top w:val="nil"/>
              <w:left w:val="nil"/>
              <w:bottom w:val="single" w:sz="4" w:space="0" w:color="auto"/>
              <w:right w:val="single" w:sz="4" w:space="0" w:color="auto"/>
            </w:tcBorders>
            <w:noWrap/>
            <w:vAlign w:val="center"/>
            <w:hideMark/>
          </w:tcPr>
          <w:p w14:paraId="604AB303" w14:textId="3944D221"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0,00</w:t>
            </w:r>
          </w:p>
        </w:tc>
        <w:tc>
          <w:tcPr>
            <w:tcW w:w="1103" w:type="dxa"/>
            <w:tcBorders>
              <w:top w:val="nil"/>
              <w:left w:val="nil"/>
              <w:bottom w:val="single" w:sz="4" w:space="0" w:color="auto"/>
              <w:right w:val="single" w:sz="4" w:space="0" w:color="auto"/>
            </w:tcBorders>
            <w:noWrap/>
            <w:vAlign w:val="center"/>
            <w:hideMark/>
          </w:tcPr>
          <w:p w14:paraId="2CC26E88" w14:textId="05D5DA5A"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color w:val="000000"/>
              </w:rPr>
              <w:t>4.297,68</w:t>
            </w:r>
          </w:p>
        </w:tc>
        <w:tc>
          <w:tcPr>
            <w:tcW w:w="1134" w:type="dxa"/>
            <w:tcBorders>
              <w:top w:val="nil"/>
              <w:left w:val="nil"/>
              <w:bottom w:val="single" w:sz="4" w:space="0" w:color="auto"/>
              <w:right w:val="single" w:sz="4" w:space="0" w:color="auto"/>
            </w:tcBorders>
            <w:noWrap/>
            <w:vAlign w:val="center"/>
            <w:hideMark/>
          </w:tcPr>
          <w:p w14:paraId="3A171539" w14:textId="72495266"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b/>
                <w:bCs/>
                <w:i/>
                <w:iCs/>
                <w:color w:val="000000"/>
              </w:rPr>
              <w:t>55.243,02</w:t>
            </w:r>
          </w:p>
        </w:tc>
        <w:tc>
          <w:tcPr>
            <w:tcW w:w="8332" w:type="dxa"/>
            <w:tcBorders>
              <w:top w:val="nil"/>
              <w:left w:val="nil"/>
              <w:bottom w:val="single" w:sz="4" w:space="0" w:color="auto"/>
              <w:right w:val="single" w:sz="4" w:space="0" w:color="auto"/>
            </w:tcBorders>
            <w:vAlign w:val="center"/>
            <w:hideMark/>
          </w:tcPr>
          <w:p w14:paraId="2295FFEE" w14:textId="2DE7CF6C" w:rsidR="00C37D80" w:rsidRPr="00C37D80"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C37D80">
              <w:rPr>
                <w:rFonts w:ascii="Calibri" w:hAnsi="Calibri" w:cs="Calibri"/>
                <w:sz w:val="14"/>
                <w:szCs w:val="14"/>
              </w:rPr>
              <w:t>Dječji vrtić - prihodi od pružanja usluga prehrane djece u produženom boravku u OŠ Gruda i PŠ Čilipi, te od najma. Muzeji i galerije Konavala - prihodi od prodaje suvenira, razglednica i sl. U Domu za starije i nemoćne osobe- prihodi od pružanja usluge dnevnog boravka.</w:t>
            </w:r>
          </w:p>
        </w:tc>
      </w:tr>
      <w:tr w:rsidR="00C37D80" w:rsidRPr="003A2F86" w14:paraId="4EA40802" w14:textId="77777777" w:rsidTr="00C37D80">
        <w:trPr>
          <w:trHeight w:val="547"/>
        </w:trPr>
        <w:tc>
          <w:tcPr>
            <w:tcW w:w="1067" w:type="dxa"/>
            <w:tcBorders>
              <w:top w:val="nil"/>
              <w:left w:val="single" w:sz="4" w:space="0" w:color="auto"/>
              <w:bottom w:val="single" w:sz="4" w:space="0" w:color="auto"/>
              <w:right w:val="single" w:sz="4" w:space="0" w:color="auto"/>
            </w:tcBorders>
            <w:vAlign w:val="center"/>
          </w:tcPr>
          <w:p w14:paraId="7867A08E" w14:textId="5FA1DD4C"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r w:rsidRPr="006B60DC">
              <w:rPr>
                <w:rFonts w:ascii="Calibri" w:hAnsi="Calibri" w:cs="Calibri"/>
                <w:b/>
                <w:bCs/>
              </w:rPr>
              <w:t>2023.</w:t>
            </w:r>
          </w:p>
        </w:tc>
        <w:tc>
          <w:tcPr>
            <w:tcW w:w="1107" w:type="dxa"/>
            <w:tcBorders>
              <w:top w:val="nil"/>
              <w:left w:val="nil"/>
              <w:bottom w:val="single" w:sz="4" w:space="0" w:color="auto"/>
              <w:right w:val="single" w:sz="4" w:space="0" w:color="auto"/>
            </w:tcBorders>
            <w:noWrap/>
            <w:vAlign w:val="center"/>
          </w:tcPr>
          <w:p w14:paraId="3A8764F1" w14:textId="0778A196"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rPr>
              <w:t>23.541,43</w:t>
            </w:r>
          </w:p>
        </w:tc>
        <w:tc>
          <w:tcPr>
            <w:tcW w:w="1107" w:type="dxa"/>
            <w:tcBorders>
              <w:top w:val="nil"/>
              <w:left w:val="nil"/>
              <w:bottom w:val="single" w:sz="4" w:space="0" w:color="auto"/>
              <w:right w:val="single" w:sz="4" w:space="0" w:color="auto"/>
            </w:tcBorders>
            <w:noWrap/>
            <w:vAlign w:val="center"/>
          </w:tcPr>
          <w:p w14:paraId="7738470A" w14:textId="3E205C66"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rPr>
              <w:t>35.860,04</w:t>
            </w:r>
          </w:p>
        </w:tc>
        <w:tc>
          <w:tcPr>
            <w:tcW w:w="857" w:type="dxa"/>
            <w:tcBorders>
              <w:top w:val="nil"/>
              <w:left w:val="nil"/>
              <w:bottom w:val="single" w:sz="4" w:space="0" w:color="auto"/>
              <w:right w:val="single" w:sz="4" w:space="0" w:color="auto"/>
            </w:tcBorders>
            <w:noWrap/>
            <w:vAlign w:val="center"/>
          </w:tcPr>
          <w:p w14:paraId="450A5480" w14:textId="725A26C1"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rPr>
              <w:t>0,00</w:t>
            </w:r>
          </w:p>
        </w:tc>
        <w:tc>
          <w:tcPr>
            <w:tcW w:w="1103" w:type="dxa"/>
            <w:tcBorders>
              <w:top w:val="nil"/>
              <w:left w:val="nil"/>
              <w:bottom w:val="single" w:sz="4" w:space="0" w:color="auto"/>
              <w:right w:val="single" w:sz="4" w:space="0" w:color="auto"/>
            </w:tcBorders>
            <w:noWrap/>
            <w:vAlign w:val="center"/>
          </w:tcPr>
          <w:p w14:paraId="385894BB" w14:textId="62EC8A46"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rPr>
            </w:pPr>
            <w:r w:rsidRPr="006B60DC">
              <w:rPr>
                <w:rFonts w:ascii="Calibri" w:hAnsi="Calibri" w:cs="Calibri"/>
                <w:i/>
                <w:iCs/>
              </w:rPr>
              <w:t>6.896,32</w:t>
            </w:r>
          </w:p>
        </w:tc>
        <w:tc>
          <w:tcPr>
            <w:tcW w:w="1134" w:type="dxa"/>
            <w:tcBorders>
              <w:top w:val="nil"/>
              <w:left w:val="nil"/>
              <w:bottom w:val="single" w:sz="4" w:space="0" w:color="auto"/>
              <w:right w:val="single" w:sz="4" w:space="0" w:color="auto"/>
            </w:tcBorders>
            <w:noWrap/>
            <w:vAlign w:val="center"/>
          </w:tcPr>
          <w:p w14:paraId="394EA8CB" w14:textId="31630C35"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b/>
                <w:bCs/>
              </w:rPr>
            </w:pPr>
            <w:r w:rsidRPr="006B60DC">
              <w:rPr>
                <w:rFonts w:ascii="Calibri" w:hAnsi="Calibri" w:cs="Calibri"/>
                <w:b/>
                <w:bCs/>
                <w:i/>
                <w:iCs/>
              </w:rPr>
              <w:t>66.297,79</w:t>
            </w:r>
          </w:p>
        </w:tc>
        <w:tc>
          <w:tcPr>
            <w:tcW w:w="8332" w:type="dxa"/>
            <w:tcBorders>
              <w:top w:val="nil"/>
              <w:left w:val="nil"/>
              <w:bottom w:val="single" w:sz="4" w:space="0" w:color="auto"/>
              <w:right w:val="single" w:sz="4" w:space="0" w:color="auto"/>
            </w:tcBorders>
            <w:vAlign w:val="center"/>
          </w:tcPr>
          <w:p w14:paraId="19AE4BF0" w14:textId="617D7F9B" w:rsidR="00C37D80" w:rsidRPr="00C37D80"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C37D80">
              <w:rPr>
                <w:rFonts w:ascii="Calibri" w:hAnsi="Calibri" w:cs="Calibri"/>
                <w:sz w:val="14"/>
                <w:szCs w:val="14"/>
              </w:rPr>
              <w:t>Dječji vrtić - prihodi od pružanja usluga prehrane djece u produženom boravku u OŠ Gruda i PŠ Čilipi, te od najma. Muzeji i galerije Konavala - prihodi od prodaje suvenira, razglednica i sl. U Domu za starije i nemoćne osobe- prihodi od pružanja usluge dnevnog boravka.</w:t>
            </w:r>
          </w:p>
        </w:tc>
      </w:tr>
      <w:tr w:rsidR="00C37D80" w:rsidRPr="003A2F86" w14:paraId="30288455" w14:textId="77777777" w:rsidTr="00C37D80">
        <w:trPr>
          <w:trHeight w:val="547"/>
        </w:trPr>
        <w:tc>
          <w:tcPr>
            <w:tcW w:w="1067" w:type="dxa"/>
            <w:tcBorders>
              <w:top w:val="nil"/>
              <w:left w:val="single" w:sz="4" w:space="0" w:color="auto"/>
              <w:bottom w:val="single" w:sz="4" w:space="0" w:color="auto"/>
              <w:right w:val="single" w:sz="4" w:space="0" w:color="auto"/>
            </w:tcBorders>
            <w:vAlign w:val="center"/>
          </w:tcPr>
          <w:p w14:paraId="5F155562" w14:textId="482BFF0D"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color w:val="000000"/>
              </w:rPr>
            </w:pPr>
            <w:r w:rsidRPr="006B60DC">
              <w:rPr>
                <w:rFonts w:ascii="Calibri" w:hAnsi="Calibri" w:cs="Calibri"/>
                <w:b/>
                <w:bCs/>
              </w:rPr>
              <w:t>2024.</w:t>
            </w:r>
          </w:p>
        </w:tc>
        <w:tc>
          <w:tcPr>
            <w:tcW w:w="1107" w:type="dxa"/>
            <w:tcBorders>
              <w:top w:val="nil"/>
              <w:left w:val="nil"/>
              <w:bottom w:val="single" w:sz="4" w:space="0" w:color="auto"/>
              <w:right w:val="single" w:sz="4" w:space="0" w:color="auto"/>
            </w:tcBorders>
            <w:noWrap/>
            <w:vAlign w:val="center"/>
          </w:tcPr>
          <w:p w14:paraId="50798CE8" w14:textId="07EF209E"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Calibri" w:hAnsi="Calibri" w:cs="Calibri"/>
                <w:i/>
                <w:iCs/>
              </w:rPr>
            </w:pPr>
            <w:r w:rsidRPr="006B60DC">
              <w:rPr>
                <w:rFonts w:ascii="Calibri" w:hAnsi="Calibri" w:cs="Calibri"/>
                <w:i/>
                <w:iCs/>
              </w:rPr>
              <w:t>31.865,10</w:t>
            </w:r>
          </w:p>
        </w:tc>
        <w:tc>
          <w:tcPr>
            <w:tcW w:w="1107" w:type="dxa"/>
            <w:tcBorders>
              <w:top w:val="nil"/>
              <w:left w:val="nil"/>
              <w:bottom w:val="single" w:sz="4" w:space="0" w:color="auto"/>
              <w:right w:val="single" w:sz="4" w:space="0" w:color="auto"/>
            </w:tcBorders>
            <w:noWrap/>
            <w:vAlign w:val="center"/>
          </w:tcPr>
          <w:p w14:paraId="621F873B" w14:textId="04E56D74"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Calibri" w:hAnsi="Calibri" w:cs="Calibri"/>
                <w:i/>
                <w:iCs/>
              </w:rPr>
            </w:pPr>
            <w:r w:rsidRPr="006B60DC">
              <w:rPr>
                <w:rFonts w:ascii="Calibri" w:hAnsi="Calibri" w:cs="Calibri"/>
                <w:i/>
                <w:iCs/>
              </w:rPr>
              <w:t>32.832,79</w:t>
            </w:r>
          </w:p>
        </w:tc>
        <w:tc>
          <w:tcPr>
            <w:tcW w:w="857" w:type="dxa"/>
            <w:tcBorders>
              <w:top w:val="nil"/>
              <w:left w:val="nil"/>
              <w:bottom w:val="single" w:sz="4" w:space="0" w:color="auto"/>
              <w:right w:val="single" w:sz="4" w:space="0" w:color="auto"/>
            </w:tcBorders>
            <w:noWrap/>
            <w:vAlign w:val="center"/>
          </w:tcPr>
          <w:p w14:paraId="6E93D24D" w14:textId="791671B4"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Calibri" w:hAnsi="Calibri" w:cs="Calibri"/>
                <w:i/>
                <w:iCs/>
              </w:rPr>
            </w:pPr>
            <w:r w:rsidRPr="006B60DC">
              <w:rPr>
                <w:rFonts w:ascii="Calibri" w:hAnsi="Calibri" w:cs="Calibri"/>
                <w:i/>
                <w:iCs/>
              </w:rPr>
              <w:t>0,00</w:t>
            </w:r>
          </w:p>
        </w:tc>
        <w:tc>
          <w:tcPr>
            <w:tcW w:w="1103" w:type="dxa"/>
            <w:tcBorders>
              <w:top w:val="nil"/>
              <w:left w:val="nil"/>
              <w:bottom w:val="single" w:sz="4" w:space="0" w:color="auto"/>
              <w:right w:val="single" w:sz="4" w:space="0" w:color="auto"/>
            </w:tcBorders>
            <w:noWrap/>
            <w:vAlign w:val="center"/>
          </w:tcPr>
          <w:p w14:paraId="37F7B515" w14:textId="5BCA3A08"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Calibri" w:hAnsi="Calibri" w:cs="Calibri"/>
                <w:i/>
                <w:iCs/>
              </w:rPr>
            </w:pPr>
            <w:r w:rsidRPr="006B60DC">
              <w:rPr>
                <w:rFonts w:ascii="Calibri" w:hAnsi="Calibri" w:cs="Calibri"/>
                <w:i/>
                <w:iCs/>
              </w:rPr>
              <w:t>5.448,86</w:t>
            </w:r>
          </w:p>
        </w:tc>
        <w:tc>
          <w:tcPr>
            <w:tcW w:w="1134" w:type="dxa"/>
            <w:tcBorders>
              <w:top w:val="nil"/>
              <w:left w:val="nil"/>
              <w:bottom w:val="single" w:sz="4" w:space="0" w:color="auto"/>
              <w:right w:val="single" w:sz="4" w:space="0" w:color="auto"/>
            </w:tcBorders>
            <w:noWrap/>
            <w:vAlign w:val="center"/>
          </w:tcPr>
          <w:p w14:paraId="34EAA9B1" w14:textId="2C1DBA9C"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Calibri" w:hAnsi="Calibri" w:cs="Calibri"/>
                <w:b/>
                <w:bCs/>
                <w:i/>
                <w:iCs/>
              </w:rPr>
            </w:pPr>
            <w:r w:rsidRPr="006B60DC">
              <w:rPr>
                <w:rFonts w:ascii="Calibri" w:hAnsi="Calibri" w:cs="Calibri"/>
                <w:b/>
                <w:bCs/>
                <w:i/>
                <w:iCs/>
              </w:rPr>
              <w:t>70.146,75</w:t>
            </w:r>
          </w:p>
        </w:tc>
        <w:tc>
          <w:tcPr>
            <w:tcW w:w="8332" w:type="dxa"/>
            <w:tcBorders>
              <w:top w:val="nil"/>
              <w:left w:val="nil"/>
              <w:bottom w:val="single" w:sz="4" w:space="0" w:color="auto"/>
              <w:right w:val="single" w:sz="4" w:space="0" w:color="auto"/>
            </w:tcBorders>
            <w:vAlign w:val="center"/>
          </w:tcPr>
          <w:p w14:paraId="297CB495" w14:textId="2FDFB9AF" w:rsidR="00C37D80" w:rsidRPr="00C37D80"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C37D80">
              <w:rPr>
                <w:rFonts w:ascii="Calibri" w:hAnsi="Calibri" w:cs="Calibri"/>
                <w:sz w:val="14"/>
                <w:szCs w:val="14"/>
              </w:rPr>
              <w:t>Dječji vrtić - prihodi od pružanja usluga prehrane djece u produženom boravku u OŠ Gruda i PŠ Čilipi, te od najma. Muzeji i galerije Konavala - prihodi od prodaje suvenira, razglednica i sl. U Domu za starije i nemoćne osobe- prihodi od pružanja usluge dnevnog boravka.</w:t>
            </w:r>
          </w:p>
        </w:tc>
      </w:tr>
      <w:tr w:rsidR="00C37D80" w:rsidRPr="003A2F86" w14:paraId="192B61D2" w14:textId="77777777" w:rsidTr="00C37D80">
        <w:trPr>
          <w:trHeight w:val="547"/>
        </w:trPr>
        <w:tc>
          <w:tcPr>
            <w:tcW w:w="1067" w:type="dxa"/>
            <w:tcBorders>
              <w:top w:val="nil"/>
              <w:left w:val="single" w:sz="4" w:space="0" w:color="auto"/>
              <w:bottom w:val="single" w:sz="4" w:space="0" w:color="auto"/>
              <w:right w:val="single" w:sz="4" w:space="0" w:color="auto"/>
            </w:tcBorders>
            <w:vAlign w:val="center"/>
          </w:tcPr>
          <w:p w14:paraId="65ED5B1F" w14:textId="09E5CFA8"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color w:val="000000"/>
              </w:rPr>
            </w:pPr>
            <w:r w:rsidRPr="006B60DC">
              <w:rPr>
                <w:rFonts w:ascii="Calibri" w:hAnsi="Calibri" w:cs="Calibri"/>
                <w:b/>
                <w:bCs/>
              </w:rPr>
              <w:t>1-6/ 2025.</w:t>
            </w:r>
          </w:p>
        </w:tc>
        <w:tc>
          <w:tcPr>
            <w:tcW w:w="1107" w:type="dxa"/>
            <w:tcBorders>
              <w:top w:val="nil"/>
              <w:left w:val="nil"/>
              <w:bottom w:val="single" w:sz="4" w:space="0" w:color="auto"/>
              <w:right w:val="single" w:sz="4" w:space="0" w:color="auto"/>
            </w:tcBorders>
            <w:noWrap/>
            <w:vAlign w:val="center"/>
          </w:tcPr>
          <w:p w14:paraId="5DCD90A6" w14:textId="505C099E"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Calibri" w:hAnsi="Calibri" w:cs="Calibri"/>
                <w:i/>
                <w:iCs/>
              </w:rPr>
            </w:pPr>
            <w:r w:rsidRPr="006B60DC">
              <w:rPr>
                <w:rFonts w:ascii="Calibri" w:hAnsi="Calibri" w:cs="Calibri"/>
                <w:i/>
                <w:iCs/>
              </w:rPr>
              <w:t>18.359,35</w:t>
            </w:r>
          </w:p>
        </w:tc>
        <w:tc>
          <w:tcPr>
            <w:tcW w:w="1107" w:type="dxa"/>
            <w:tcBorders>
              <w:top w:val="nil"/>
              <w:left w:val="nil"/>
              <w:bottom w:val="single" w:sz="4" w:space="0" w:color="auto"/>
              <w:right w:val="single" w:sz="4" w:space="0" w:color="auto"/>
            </w:tcBorders>
            <w:noWrap/>
            <w:vAlign w:val="center"/>
          </w:tcPr>
          <w:p w14:paraId="323308B9" w14:textId="75E9C4F7"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Calibri" w:hAnsi="Calibri" w:cs="Calibri"/>
                <w:i/>
                <w:iCs/>
              </w:rPr>
            </w:pPr>
            <w:r w:rsidRPr="006B60DC">
              <w:rPr>
                <w:rFonts w:ascii="Calibri" w:hAnsi="Calibri" w:cs="Calibri"/>
                <w:i/>
                <w:iCs/>
              </w:rPr>
              <w:t>39.857,84</w:t>
            </w:r>
          </w:p>
        </w:tc>
        <w:tc>
          <w:tcPr>
            <w:tcW w:w="857" w:type="dxa"/>
            <w:tcBorders>
              <w:top w:val="nil"/>
              <w:left w:val="nil"/>
              <w:bottom w:val="single" w:sz="4" w:space="0" w:color="auto"/>
              <w:right w:val="single" w:sz="4" w:space="0" w:color="auto"/>
            </w:tcBorders>
            <w:noWrap/>
            <w:vAlign w:val="center"/>
          </w:tcPr>
          <w:p w14:paraId="6AE26191" w14:textId="24363E61"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Calibri" w:hAnsi="Calibri" w:cs="Calibri"/>
                <w:i/>
                <w:iCs/>
              </w:rPr>
            </w:pPr>
            <w:r w:rsidRPr="006B60DC">
              <w:rPr>
                <w:rFonts w:ascii="Calibri" w:hAnsi="Calibri" w:cs="Calibri"/>
                <w:i/>
                <w:iCs/>
              </w:rPr>
              <w:t>0,00</w:t>
            </w:r>
          </w:p>
        </w:tc>
        <w:tc>
          <w:tcPr>
            <w:tcW w:w="1103" w:type="dxa"/>
            <w:tcBorders>
              <w:top w:val="nil"/>
              <w:left w:val="nil"/>
              <w:bottom w:val="single" w:sz="4" w:space="0" w:color="auto"/>
              <w:right w:val="single" w:sz="4" w:space="0" w:color="auto"/>
            </w:tcBorders>
            <w:noWrap/>
            <w:vAlign w:val="center"/>
          </w:tcPr>
          <w:p w14:paraId="09C5F901" w14:textId="5003D273"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Calibri" w:hAnsi="Calibri" w:cs="Calibri"/>
                <w:i/>
                <w:iCs/>
              </w:rPr>
            </w:pPr>
            <w:r w:rsidRPr="006B60DC">
              <w:rPr>
                <w:rFonts w:ascii="Calibri" w:hAnsi="Calibri" w:cs="Calibri"/>
                <w:i/>
                <w:iCs/>
              </w:rPr>
              <w:t>2.790,00</w:t>
            </w:r>
          </w:p>
        </w:tc>
        <w:tc>
          <w:tcPr>
            <w:tcW w:w="1134" w:type="dxa"/>
            <w:tcBorders>
              <w:top w:val="nil"/>
              <w:left w:val="nil"/>
              <w:bottom w:val="single" w:sz="4" w:space="0" w:color="auto"/>
              <w:right w:val="single" w:sz="4" w:space="0" w:color="auto"/>
            </w:tcBorders>
            <w:noWrap/>
            <w:vAlign w:val="center"/>
          </w:tcPr>
          <w:p w14:paraId="0AEE62A0" w14:textId="3DAD5CFF" w:rsidR="00C37D80" w:rsidRPr="006B60DC"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Calibri" w:hAnsi="Calibri" w:cs="Calibri"/>
                <w:b/>
                <w:bCs/>
                <w:i/>
                <w:iCs/>
              </w:rPr>
            </w:pPr>
            <w:r w:rsidRPr="006B60DC">
              <w:rPr>
                <w:rFonts w:ascii="Calibri" w:hAnsi="Calibri" w:cs="Calibri"/>
                <w:b/>
                <w:bCs/>
                <w:i/>
                <w:iCs/>
              </w:rPr>
              <w:t>61.007,19</w:t>
            </w:r>
          </w:p>
        </w:tc>
        <w:tc>
          <w:tcPr>
            <w:tcW w:w="8332" w:type="dxa"/>
            <w:tcBorders>
              <w:top w:val="nil"/>
              <w:left w:val="nil"/>
              <w:bottom w:val="single" w:sz="4" w:space="0" w:color="auto"/>
              <w:right w:val="single" w:sz="4" w:space="0" w:color="auto"/>
            </w:tcBorders>
            <w:vAlign w:val="center"/>
          </w:tcPr>
          <w:p w14:paraId="764A3DA2" w14:textId="3ED56699" w:rsidR="00C37D80" w:rsidRPr="00C37D80" w:rsidRDefault="00C37D80" w:rsidP="00C37D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hAnsi="Arial" w:cs="Arial"/>
                <w:sz w:val="14"/>
                <w:szCs w:val="14"/>
              </w:rPr>
            </w:pPr>
            <w:r w:rsidRPr="00C37D80">
              <w:rPr>
                <w:rFonts w:ascii="Calibri" w:hAnsi="Calibri" w:cs="Calibri"/>
                <w:sz w:val="14"/>
                <w:szCs w:val="14"/>
              </w:rPr>
              <w:t>Dječji vrtić - prihodi od pružanja usluga prehrane djece u produženom boravku u OŠ Gruda i PŠ Čilipi, te od najma. Muzeji i galerije Konavala - prihodi od prodaje suvenira, razglednica i sl. U Domu za starije i nemoćne osobe- prihodi od pružanja usluge dnevnog boravka.</w:t>
            </w:r>
          </w:p>
        </w:tc>
      </w:tr>
    </w:tbl>
    <w:p w14:paraId="6650B6B9" w14:textId="77777777" w:rsidR="0039648D" w:rsidRPr="003A2F86" w:rsidRDefault="0039648D" w:rsidP="00F838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5B6A2494" w14:textId="77BCBA92" w:rsidR="00363C5F" w:rsidRPr="00363C5F" w:rsidRDefault="00363C5F" w:rsidP="00363C5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63C5F">
        <w:rPr>
          <w:rFonts w:ascii="Arial" w:eastAsia="Calibri" w:hAnsi="Arial" w:cs="Arial"/>
          <w:lang w:eastAsia="en-US"/>
        </w:rPr>
        <w:t>Prihod</w:t>
      </w:r>
      <w:r w:rsidR="007D3363">
        <w:rPr>
          <w:rFonts w:ascii="Arial" w:eastAsia="Calibri" w:hAnsi="Arial" w:cs="Arial"/>
          <w:lang w:eastAsia="en-US"/>
        </w:rPr>
        <w:t>a</w:t>
      </w:r>
      <w:r w:rsidRPr="00363C5F">
        <w:rPr>
          <w:rFonts w:ascii="Arial" w:eastAsia="Calibri" w:hAnsi="Arial" w:cs="Arial"/>
          <w:lang w:eastAsia="en-US"/>
        </w:rPr>
        <w:t xml:space="preserve"> proračunskih korisnika od donacija (</w:t>
      </w:r>
      <w:r w:rsidRPr="00363C5F">
        <w:rPr>
          <w:rFonts w:ascii="Arial" w:eastAsia="Calibri" w:hAnsi="Arial" w:cs="Arial"/>
          <w:b/>
          <w:bCs/>
          <w:lang w:eastAsia="en-US"/>
        </w:rPr>
        <w:t>663</w:t>
      </w:r>
      <w:r w:rsidRPr="00363C5F">
        <w:rPr>
          <w:rFonts w:ascii="Arial" w:eastAsia="Calibri" w:hAnsi="Arial" w:cs="Arial"/>
          <w:lang w:eastAsia="en-US"/>
        </w:rPr>
        <w:t xml:space="preserve">) </w:t>
      </w:r>
      <w:r w:rsidR="007D3363">
        <w:rPr>
          <w:rFonts w:ascii="Arial" w:eastAsia="Calibri" w:hAnsi="Arial" w:cs="Arial"/>
          <w:lang w:eastAsia="en-US"/>
        </w:rPr>
        <w:t xml:space="preserve">nije bilo u prvom polugodištu 2025. godine. </w:t>
      </w:r>
    </w:p>
    <w:p w14:paraId="0D073947" w14:textId="77777777" w:rsidR="00363C5F" w:rsidRDefault="00363C5F"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rPr>
      </w:pPr>
    </w:p>
    <w:p w14:paraId="741119C7" w14:textId="77777777" w:rsidR="001C45AE" w:rsidRPr="003A2F86" w:rsidRDefault="001C45AE">
      <w:pPr>
        <w:rPr>
          <w:rFonts w:ascii="Arial" w:eastAsia="Calibri" w:hAnsi="Arial" w:cs="Arial"/>
          <w:lang w:eastAsia="en-US"/>
        </w:rPr>
      </w:pPr>
      <w:r w:rsidRPr="003A2F86">
        <w:rPr>
          <w:rFonts w:ascii="Arial" w:eastAsia="Calibri" w:hAnsi="Arial" w:cs="Arial"/>
          <w:lang w:eastAsia="en-US"/>
        </w:rPr>
        <w:br w:type="page"/>
      </w:r>
    </w:p>
    <w:p w14:paraId="5AA3616D"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655CFC0B" w14:textId="3328EC36" w:rsidR="00C739DA" w:rsidRPr="003A2F86" w:rsidRDefault="00E53B1F" w:rsidP="00E53B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center"/>
        <w:rPr>
          <w:rFonts w:ascii="Arial" w:eastAsia="Calibri" w:hAnsi="Arial" w:cs="Arial"/>
          <w:u w:val="single"/>
          <w:lang w:eastAsia="en-US"/>
        </w:rPr>
      </w:pPr>
      <w:r w:rsidRPr="003A2F86">
        <w:rPr>
          <w:rFonts w:ascii="Arial" w:eastAsia="Calibri" w:hAnsi="Arial" w:cs="Arial"/>
          <w:b/>
          <w:u w:val="single"/>
          <w:lang w:eastAsia="en-US"/>
        </w:rPr>
        <w:t xml:space="preserve">Kazne, upravne mjere i ostali prihodi </w:t>
      </w:r>
      <w:r w:rsidRPr="003A2F86">
        <w:rPr>
          <w:rFonts w:ascii="Arial" w:eastAsia="Calibri" w:hAnsi="Arial" w:cs="Arial"/>
          <w:u w:val="single"/>
          <w:lang w:eastAsia="en-US"/>
        </w:rPr>
        <w:t>(</w:t>
      </w:r>
      <w:r w:rsidRPr="003A2F86">
        <w:rPr>
          <w:rFonts w:ascii="Arial" w:eastAsia="Calibri" w:hAnsi="Arial" w:cs="Arial"/>
          <w:b/>
          <w:bCs/>
          <w:u w:val="single"/>
          <w:lang w:eastAsia="en-US"/>
        </w:rPr>
        <w:t>68</w:t>
      </w:r>
      <w:r w:rsidRPr="003A2F86">
        <w:rPr>
          <w:rFonts w:ascii="Arial" w:eastAsia="Calibri" w:hAnsi="Arial" w:cs="Arial"/>
          <w:u w:val="single"/>
          <w:lang w:eastAsia="en-US"/>
        </w:rPr>
        <w:t>)</w:t>
      </w:r>
    </w:p>
    <w:p w14:paraId="64093755" w14:textId="1B0D18AE" w:rsidR="00705A83" w:rsidRPr="003A2F86" w:rsidRDefault="00705A8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29426BD6" w14:textId="5D047574" w:rsidR="00FA76C0" w:rsidRPr="003A2F86" w:rsidRDefault="00E53B1F" w:rsidP="00E53B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b/>
          <w:lang w:eastAsia="en-US"/>
        </w:rPr>
        <w:t xml:space="preserve">Kazne, upravne mjere i ostali prihodi </w:t>
      </w:r>
      <w:r w:rsidRPr="003A2F86">
        <w:rPr>
          <w:rFonts w:ascii="Arial" w:eastAsia="Calibri" w:hAnsi="Arial" w:cs="Arial"/>
          <w:lang w:eastAsia="en-US"/>
        </w:rPr>
        <w:t>(</w:t>
      </w:r>
      <w:r w:rsidRPr="003A2F86">
        <w:rPr>
          <w:rFonts w:ascii="Arial" w:eastAsia="Calibri" w:hAnsi="Arial" w:cs="Arial"/>
          <w:b/>
          <w:bCs/>
          <w:lang w:eastAsia="en-US"/>
        </w:rPr>
        <w:t>68</w:t>
      </w:r>
      <w:r w:rsidRPr="003A2F86">
        <w:rPr>
          <w:rFonts w:ascii="Arial" w:eastAsia="Calibri" w:hAnsi="Arial" w:cs="Arial"/>
          <w:lang w:eastAsia="en-US"/>
        </w:rPr>
        <w:t xml:space="preserve">) ostvarene su u iznosu </w:t>
      </w:r>
      <w:bookmarkStart w:id="126" w:name="_Hlk145932179"/>
      <w:r w:rsidR="007D3363">
        <w:rPr>
          <w:rFonts w:ascii="Arial" w:eastAsia="Calibri" w:hAnsi="Arial" w:cs="Arial"/>
          <w:lang w:eastAsia="en-US"/>
        </w:rPr>
        <w:t>8.929,16</w:t>
      </w:r>
      <w:r w:rsidR="00062552" w:rsidRPr="003A2F86">
        <w:rPr>
          <w:rFonts w:ascii="Arial" w:eastAsia="Calibri" w:hAnsi="Arial" w:cs="Arial"/>
          <w:lang w:eastAsia="en-US"/>
        </w:rPr>
        <w:t xml:space="preserve"> €</w:t>
      </w:r>
      <w:r w:rsidRPr="003A2F86">
        <w:rPr>
          <w:rFonts w:ascii="Arial" w:eastAsia="Calibri" w:hAnsi="Arial" w:cs="Arial"/>
          <w:lang w:eastAsia="en-US"/>
        </w:rPr>
        <w:t xml:space="preserve"> </w:t>
      </w:r>
      <w:bookmarkEnd w:id="126"/>
      <w:r w:rsidRPr="003A2F86">
        <w:rPr>
          <w:rFonts w:ascii="Arial" w:eastAsia="Calibri" w:hAnsi="Arial" w:cs="Arial"/>
          <w:lang w:eastAsia="en-US"/>
        </w:rPr>
        <w:t xml:space="preserve">i odnose se na </w:t>
      </w:r>
      <w:r w:rsidRPr="003A2F86">
        <w:rPr>
          <w:rFonts w:ascii="Arial" w:eastAsia="Times New Roman" w:hAnsi="Arial" w:cs="Arial"/>
          <w:color w:val="1F497D" w:themeColor="text2"/>
        </w:rPr>
        <w:t>općinske</w:t>
      </w:r>
      <w:r w:rsidRPr="003A2F86">
        <w:rPr>
          <w:rFonts w:ascii="Arial" w:eastAsia="Calibri" w:hAnsi="Arial" w:cs="Arial"/>
          <w:color w:val="17365D" w:themeColor="text2" w:themeShade="BF"/>
          <w:lang w:eastAsia="en-US"/>
        </w:rPr>
        <w:t xml:space="preserve"> </w:t>
      </w:r>
      <w:r w:rsidRPr="003A2F86">
        <w:rPr>
          <w:rFonts w:ascii="Arial" w:eastAsia="Times New Roman" w:hAnsi="Arial" w:cs="Arial"/>
          <w:color w:val="1F497D" w:themeColor="text2"/>
        </w:rPr>
        <w:t>prihode</w:t>
      </w:r>
      <w:r w:rsidRPr="003A2F86">
        <w:rPr>
          <w:rFonts w:ascii="Arial" w:eastAsia="Calibri" w:hAnsi="Arial" w:cs="Arial"/>
          <w:color w:val="17365D" w:themeColor="text2" w:themeShade="BF"/>
          <w:lang w:eastAsia="en-US"/>
        </w:rPr>
        <w:t xml:space="preserve"> </w:t>
      </w:r>
      <w:r w:rsidRPr="003A2F86">
        <w:rPr>
          <w:rFonts w:ascii="Arial" w:eastAsia="Times New Roman" w:hAnsi="Arial" w:cs="Arial"/>
          <w:color w:val="1F497D" w:themeColor="text2"/>
        </w:rPr>
        <w:t>u</w:t>
      </w:r>
      <w:r w:rsidRPr="003A2F86">
        <w:rPr>
          <w:rFonts w:ascii="Arial" w:eastAsia="Calibri" w:hAnsi="Arial" w:cs="Arial"/>
          <w:color w:val="17365D" w:themeColor="text2" w:themeShade="BF"/>
          <w:lang w:eastAsia="en-US"/>
        </w:rPr>
        <w:t xml:space="preserve"> </w:t>
      </w:r>
      <w:r w:rsidRPr="003A2F86">
        <w:rPr>
          <w:rFonts w:ascii="Arial" w:eastAsia="Times New Roman" w:hAnsi="Arial" w:cs="Arial"/>
          <w:color w:val="1F497D" w:themeColor="text2"/>
        </w:rPr>
        <w:t>iznosu</w:t>
      </w:r>
      <w:r w:rsidRPr="003A2F86">
        <w:rPr>
          <w:rFonts w:ascii="Arial" w:eastAsia="Calibri" w:hAnsi="Arial" w:cs="Arial"/>
          <w:color w:val="17365D" w:themeColor="text2" w:themeShade="BF"/>
          <w:lang w:eastAsia="en-US"/>
        </w:rPr>
        <w:t xml:space="preserve"> </w:t>
      </w:r>
      <w:bookmarkStart w:id="127" w:name="_Hlk145932189"/>
      <w:r w:rsidR="003803A4">
        <w:rPr>
          <w:rFonts w:ascii="Arial" w:eastAsia="Times New Roman" w:hAnsi="Arial" w:cs="Arial"/>
          <w:color w:val="1F497D" w:themeColor="text2"/>
        </w:rPr>
        <w:t>8.526,17</w:t>
      </w:r>
      <w:r w:rsidR="00062552" w:rsidRPr="003A2F86">
        <w:rPr>
          <w:rFonts w:ascii="Arial" w:eastAsia="Times New Roman" w:hAnsi="Arial" w:cs="Arial"/>
          <w:color w:val="1F497D" w:themeColor="text2"/>
        </w:rPr>
        <w:t xml:space="preserve"> €</w:t>
      </w:r>
      <w:r w:rsidRPr="003A2F86">
        <w:rPr>
          <w:rFonts w:ascii="Arial" w:eastAsia="Calibri" w:hAnsi="Arial" w:cs="Arial"/>
          <w:color w:val="17365D" w:themeColor="text2" w:themeShade="BF"/>
          <w:lang w:eastAsia="en-US"/>
        </w:rPr>
        <w:t xml:space="preserve"> </w:t>
      </w:r>
      <w:bookmarkEnd w:id="127"/>
      <w:r w:rsidRPr="003A2F86">
        <w:rPr>
          <w:rFonts w:ascii="Arial" w:eastAsia="Times New Roman" w:hAnsi="Arial" w:cs="Arial"/>
          <w:color w:val="1F497D" w:themeColor="text2"/>
        </w:rPr>
        <w:t>i</w:t>
      </w:r>
      <w:r w:rsidRPr="003A2F86">
        <w:rPr>
          <w:rFonts w:ascii="Arial" w:eastAsia="Calibri" w:hAnsi="Arial" w:cs="Arial"/>
          <w:color w:val="17365D" w:themeColor="text2" w:themeShade="BF"/>
          <w:lang w:eastAsia="en-US"/>
        </w:rPr>
        <w:t xml:space="preserve"> </w:t>
      </w:r>
      <w:r w:rsidRPr="003A2F86">
        <w:rPr>
          <w:rFonts w:ascii="Arial" w:eastAsia="Times New Roman" w:hAnsi="Arial" w:cs="Arial"/>
          <w:color w:val="1F497D" w:themeColor="text2"/>
        </w:rPr>
        <w:t>prihode</w:t>
      </w:r>
      <w:r w:rsidRPr="003A2F86">
        <w:rPr>
          <w:rFonts w:ascii="Arial" w:eastAsia="Calibri" w:hAnsi="Arial" w:cs="Arial"/>
          <w:color w:val="17365D" w:themeColor="text2" w:themeShade="BF"/>
          <w:lang w:eastAsia="en-US"/>
        </w:rPr>
        <w:t xml:space="preserve"> </w:t>
      </w:r>
      <w:r w:rsidRPr="003A2F86">
        <w:rPr>
          <w:rFonts w:ascii="Arial" w:eastAsia="Times New Roman" w:hAnsi="Arial" w:cs="Arial"/>
          <w:color w:val="1F497D" w:themeColor="text2"/>
        </w:rPr>
        <w:t>proračunskih</w:t>
      </w:r>
      <w:r w:rsidRPr="003A2F86">
        <w:rPr>
          <w:rFonts w:ascii="Arial" w:eastAsia="Calibri" w:hAnsi="Arial" w:cs="Arial"/>
          <w:color w:val="17365D" w:themeColor="text2" w:themeShade="BF"/>
          <w:lang w:eastAsia="en-US"/>
        </w:rPr>
        <w:t xml:space="preserve"> </w:t>
      </w:r>
      <w:r w:rsidRPr="003A2F86">
        <w:rPr>
          <w:rFonts w:ascii="Arial" w:eastAsia="Times New Roman" w:hAnsi="Arial" w:cs="Arial"/>
          <w:color w:val="1F497D" w:themeColor="text2"/>
        </w:rPr>
        <w:t>korisnika</w:t>
      </w:r>
      <w:r w:rsidRPr="003A2F86">
        <w:rPr>
          <w:rFonts w:ascii="Arial" w:eastAsia="Calibri" w:hAnsi="Arial" w:cs="Arial"/>
          <w:color w:val="17365D" w:themeColor="text2" w:themeShade="BF"/>
          <w:lang w:eastAsia="en-US"/>
        </w:rPr>
        <w:t xml:space="preserve"> </w:t>
      </w:r>
      <w:bookmarkStart w:id="128" w:name="_Hlk145932264"/>
      <w:r w:rsidR="003803A4">
        <w:rPr>
          <w:rFonts w:ascii="Arial" w:eastAsia="Calibri" w:hAnsi="Arial" w:cs="Arial"/>
          <w:color w:val="17365D" w:themeColor="text2" w:themeShade="BF"/>
          <w:lang w:eastAsia="en-US"/>
        </w:rPr>
        <w:t>402,99</w:t>
      </w:r>
      <w:r w:rsidR="00062552" w:rsidRPr="003A2F86">
        <w:rPr>
          <w:rFonts w:ascii="Arial" w:eastAsia="Calibri" w:hAnsi="Arial" w:cs="Arial"/>
          <w:color w:val="17365D" w:themeColor="text2" w:themeShade="BF"/>
          <w:lang w:eastAsia="en-US"/>
        </w:rPr>
        <w:t xml:space="preserve"> €</w:t>
      </w:r>
      <w:r w:rsidRPr="003A2F86">
        <w:rPr>
          <w:rFonts w:ascii="Arial" w:eastAsia="Calibri" w:hAnsi="Arial" w:cs="Arial"/>
          <w:color w:val="17365D" w:themeColor="text2" w:themeShade="BF"/>
          <w:lang w:eastAsia="en-US"/>
        </w:rPr>
        <w:t xml:space="preserve"> </w:t>
      </w:r>
      <w:bookmarkEnd w:id="128"/>
      <w:r w:rsidRPr="003A2F86">
        <w:rPr>
          <w:rFonts w:ascii="Arial" w:eastAsia="Calibri" w:hAnsi="Arial" w:cs="Arial"/>
          <w:lang w:eastAsia="en-US"/>
        </w:rPr>
        <w:t xml:space="preserve">(prihod Doma za starije i nemoćne osobe za razne povrate sredstava). </w:t>
      </w:r>
    </w:p>
    <w:p w14:paraId="67BDD056" w14:textId="77777777" w:rsidR="00FA76C0" w:rsidRPr="003A2F86" w:rsidRDefault="00FA76C0" w:rsidP="00E53B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716BF52A" w14:textId="0CB232C6" w:rsidR="00B47149" w:rsidRPr="00B674AA" w:rsidRDefault="00363C5F" w:rsidP="00B47149">
      <w:pPr>
        <w:spacing w:after="0" w:line="240" w:lineRule="auto"/>
        <w:jc w:val="both"/>
        <w:rPr>
          <w:rFonts w:ascii="Arial" w:eastAsia="Calibri" w:hAnsi="Arial" w:cs="Arial"/>
          <w:lang w:eastAsia="en-US"/>
        </w:rPr>
      </w:pPr>
      <w:r w:rsidRPr="00363C5F">
        <w:rPr>
          <w:rFonts w:ascii="Arial" w:eastAsia="Calibri" w:hAnsi="Arial" w:cs="Arial"/>
          <w:lang w:eastAsia="en-US"/>
        </w:rPr>
        <w:t xml:space="preserve">Prihodi Općine se odnose na prihode na temelju naplaćenih prekršaja u prometu (rješenja o počinjenim prekršajima u prometu - prometno redarstvo u ljetnoj sezoni) u iznosu </w:t>
      </w:r>
      <w:r w:rsidR="00D62BE0">
        <w:rPr>
          <w:rFonts w:ascii="Arial" w:eastAsia="Calibri" w:hAnsi="Arial" w:cs="Arial"/>
          <w:lang w:eastAsia="en-US"/>
        </w:rPr>
        <w:t>6.690</w:t>
      </w:r>
      <w:r w:rsidRPr="00363C5F">
        <w:rPr>
          <w:rFonts w:ascii="Arial" w:eastAsia="Calibri" w:hAnsi="Arial" w:cs="Arial"/>
          <w:lang w:eastAsia="en-US"/>
        </w:rPr>
        <w:t xml:space="preserve"> € (</w:t>
      </w:r>
      <w:r w:rsidR="00D62BE0">
        <w:rPr>
          <w:rFonts w:ascii="Arial" w:eastAsia="Calibri" w:hAnsi="Arial" w:cs="Arial"/>
          <w:lang w:eastAsia="en-US"/>
        </w:rPr>
        <w:t>u prvom polugodištu 2024. godine iznosili 5.835 €</w:t>
      </w:r>
      <w:r w:rsidRPr="00363C5F">
        <w:rPr>
          <w:rFonts w:ascii="Arial" w:eastAsia="Calibri" w:hAnsi="Arial" w:cs="Arial"/>
          <w:lang w:eastAsia="en-US"/>
        </w:rPr>
        <w:t xml:space="preserve">), prihoda od kazni u iznosu </w:t>
      </w:r>
      <w:r w:rsidR="009F6EB5">
        <w:rPr>
          <w:rFonts w:ascii="Arial" w:eastAsia="Calibri" w:hAnsi="Arial" w:cs="Arial"/>
          <w:lang w:eastAsia="en-US"/>
        </w:rPr>
        <w:t>189,54</w:t>
      </w:r>
      <w:r w:rsidRPr="00363C5F">
        <w:rPr>
          <w:rFonts w:ascii="Arial" w:eastAsia="Calibri" w:hAnsi="Arial" w:cs="Arial"/>
          <w:lang w:eastAsia="en-US"/>
        </w:rPr>
        <w:t xml:space="preserve"> € koje je naplatio komunalni redar, </w:t>
      </w:r>
      <w:r w:rsidR="009F6EB5">
        <w:rPr>
          <w:rFonts w:ascii="Arial" w:eastAsia="Calibri" w:hAnsi="Arial" w:cs="Arial"/>
          <w:lang w:eastAsia="en-US"/>
        </w:rPr>
        <w:t xml:space="preserve">prekršajni nalog komunalnog redara 274,45 €, </w:t>
      </w:r>
      <w:r w:rsidRPr="00363C5F">
        <w:rPr>
          <w:rFonts w:ascii="Arial" w:eastAsia="Calibri" w:hAnsi="Arial" w:cs="Arial"/>
          <w:lang w:eastAsia="en-US"/>
        </w:rPr>
        <w:t>te ostalih prihoda u iznosu 1</w:t>
      </w:r>
      <w:r w:rsidR="009F6EB5">
        <w:rPr>
          <w:rFonts w:ascii="Arial" w:eastAsia="Calibri" w:hAnsi="Arial" w:cs="Arial"/>
          <w:lang w:eastAsia="en-US"/>
        </w:rPr>
        <w:t>.372,18</w:t>
      </w:r>
      <w:r w:rsidRPr="00363C5F">
        <w:rPr>
          <w:rFonts w:ascii="Arial" w:eastAsia="Calibri" w:hAnsi="Arial" w:cs="Arial"/>
          <w:lang w:eastAsia="en-US"/>
        </w:rPr>
        <w:t xml:space="preserve"> €</w:t>
      </w:r>
      <w:r w:rsidR="00EE2CA0">
        <w:rPr>
          <w:rFonts w:ascii="Arial" w:eastAsia="Calibri" w:hAnsi="Arial" w:cs="Arial"/>
          <w:lang w:eastAsia="en-US"/>
        </w:rPr>
        <w:t xml:space="preserve"> (</w:t>
      </w:r>
      <w:r w:rsidR="00B47149" w:rsidRPr="00B674AA">
        <w:rPr>
          <w:rFonts w:ascii="Arial" w:eastAsia="Calibri" w:hAnsi="Arial" w:cs="Arial"/>
          <w:lang w:eastAsia="en-US"/>
        </w:rPr>
        <w:t xml:space="preserve">više različitih pojedinačnih uplata, </w:t>
      </w:r>
      <w:r w:rsidR="00916704">
        <w:rPr>
          <w:rFonts w:ascii="Arial" w:eastAsia="Calibri" w:hAnsi="Arial" w:cs="Arial"/>
          <w:lang w:eastAsia="en-US"/>
        </w:rPr>
        <w:t xml:space="preserve">dok nije bilo </w:t>
      </w:r>
      <w:r w:rsidR="00B47149" w:rsidRPr="00B674AA">
        <w:rPr>
          <w:rFonts w:ascii="Arial" w:eastAsia="Calibri" w:hAnsi="Arial" w:cs="Arial"/>
          <w:lang w:eastAsia="en-US"/>
        </w:rPr>
        <w:t xml:space="preserve">refundacije troška električke energije zakupoprimaca </w:t>
      </w:r>
      <w:r w:rsidR="00916704">
        <w:rPr>
          <w:rFonts w:ascii="Arial" w:eastAsia="Calibri" w:hAnsi="Arial" w:cs="Arial"/>
          <w:lang w:eastAsia="en-US"/>
        </w:rPr>
        <w:t>u prvom polugodištu).</w:t>
      </w:r>
    </w:p>
    <w:p w14:paraId="0DC68A3E" w14:textId="77777777" w:rsidR="00257C78" w:rsidRPr="003A2F86" w:rsidRDefault="00257C78" w:rsidP="00F1168D">
      <w:pPr>
        <w:spacing w:after="0" w:line="240" w:lineRule="auto"/>
        <w:jc w:val="both"/>
        <w:rPr>
          <w:rFonts w:ascii="Arial" w:eastAsia="Calibri" w:hAnsi="Arial" w:cs="Arial"/>
          <w:lang w:eastAsia="en-US"/>
        </w:rPr>
      </w:pPr>
    </w:p>
    <w:p w14:paraId="3EF624E0" w14:textId="39891869" w:rsidR="00FA76C0" w:rsidRPr="003A2F86" w:rsidRDefault="00E53B1F" w:rsidP="00E53B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sidRPr="003A2F86">
        <w:rPr>
          <w:rFonts w:ascii="Arial" w:eastAsia="Times New Roman" w:hAnsi="Arial" w:cs="Arial"/>
          <w:i/>
          <w:iCs/>
          <w:sz w:val="20"/>
          <w:szCs w:val="20"/>
        </w:rPr>
        <w:t>* Usporedba:</w:t>
      </w:r>
      <w:r w:rsidRPr="003A2F86">
        <w:rPr>
          <w:rFonts w:ascii="Arial" w:eastAsia="Calibri" w:hAnsi="Arial" w:cs="Arial"/>
          <w:lang w:eastAsia="en-US"/>
        </w:rPr>
        <w:t xml:space="preserve"> </w:t>
      </w:r>
      <w:bookmarkStart w:id="129" w:name="_Hlk103076400"/>
    </w:p>
    <w:tbl>
      <w:tblPr>
        <w:tblStyle w:val="Reetkatablice"/>
        <w:tblW w:w="13190" w:type="dxa"/>
        <w:jc w:val="center"/>
        <w:tblLook w:val="04A0" w:firstRow="1" w:lastRow="0" w:firstColumn="1" w:lastColumn="0" w:noHBand="0" w:noVBand="1"/>
      </w:tblPr>
      <w:tblGrid>
        <w:gridCol w:w="983"/>
        <w:gridCol w:w="1139"/>
        <w:gridCol w:w="6195"/>
        <w:gridCol w:w="2370"/>
        <w:gridCol w:w="2503"/>
      </w:tblGrid>
      <w:tr w:rsidR="003D15C8" w:rsidRPr="003A2F86" w14:paraId="2944A168" w14:textId="532F8D5B" w:rsidTr="003D15C8">
        <w:trPr>
          <w:trHeight w:val="285"/>
          <w:jc w:val="center"/>
        </w:trPr>
        <w:tc>
          <w:tcPr>
            <w:tcW w:w="983" w:type="dxa"/>
            <w:vMerge w:val="restart"/>
            <w:vAlign w:val="center"/>
          </w:tcPr>
          <w:p w14:paraId="060CC4DD" w14:textId="2A5D145F"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b/>
                <w:bCs/>
                <w:i/>
                <w:iCs/>
                <w:lang w:eastAsia="en-US"/>
              </w:rPr>
            </w:pPr>
            <w:r w:rsidRPr="003A2F86">
              <w:rPr>
                <w:rFonts w:ascii="Arial" w:eastAsia="Calibri" w:hAnsi="Arial" w:cs="Arial"/>
                <w:b/>
                <w:bCs/>
                <w:i/>
                <w:iCs/>
                <w:sz w:val="18"/>
                <w:szCs w:val="18"/>
                <w:lang w:eastAsia="en-US"/>
              </w:rPr>
              <w:t>Godina</w:t>
            </w:r>
          </w:p>
        </w:tc>
        <w:tc>
          <w:tcPr>
            <w:tcW w:w="1139" w:type="dxa"/>
            <w:vMerge w:val="restart"/>
            <w:vAlign w:val="center"/>
          </w:tcPr>
          <w:p w14:paraId="138FC628" w14:textId="3173E320"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b/>
                <w:bCs/>
                <w:i/>
                <w:iCs/>
                <w:lang w:eastAsia="en-US"/>
              </w:rPr>
            </w:pPr>
            <w:r w:rsidRPr="003A2F86">
              <w:rPr>
                <w:rFonts w:ascii="Arial" w:eastAsia="Calibri" w:hAnsi="Arial" w:cs="Arial"/>
                <w:b/>
                <w:bCs/>
                <w:i/>
                <w:iCs/>
                <w:sz w:val="18"/>
                <w:szCs w:val="18"/>
                <w:lang w:eastAsia="en-US"/>
              </w:rPr>
              <w:t xml:space="preserve">Iznos </w:t>
            </w:r>
            <w:r w:rsidRPr="003A2F86">
              <w:rPr>
                <w:rFonts w:ascii="Arial" w:eastAsia="Calibri" w:hAnsi="Arial" w:cs="Arial"/>
                <w:b/>
                <w:bCs/>
                <w:i/>
                <w:iCs/>
                <w:color w:val="FF0000"/>
                <w:sz w:val="18"/>
                <w:szCs w:val="18"/>
                <w:lang w:eastAsia="en-US"/>
              </w:rPr>
              <w:t>(€)</w:t>
            </w:r>
          </w:p>
        </w:tc>
        <w:tc>
          <w:tcPr>
            <w:tcW w:w="6195" w:type="dxa"/>
            <w:vAlign w:val="center"/>
          </w:tcPr>
          <w:p w14:paraId="15F669C6" w14:textId="689FBDF3"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b/>
                <w:bCs/>
                <w:i/>
                <w:iCs/>
                <w:lang w:eastAsia="en-US"/>
              </w:rPr>
            </w:pPr>
            <w:r w:rsidRPr="003A2F86">
              <w:rPr>
                <w:rFonts w:ascii="Arial" w:eastAsia="Calibri" w:hAnsi="Arial" w:cs="Arial"/>
                <w:b/>
                <w:bCs/>
                <w:i/>
                <w:iCs/>
                <w:lang w:eastAsia="en-US"/>
              </w:rPr>
              <w:t>Prihod od kazne za prekršaj u prometu (</w:t>
            </w:r>
            <w:r w:rsidRPr="003A2F86">
              <w:rPr>
                <w:rFonts w:ascii="Arial" w:eastAsia="Calibri" w:hAnsi="Arial" w:cs="Arial"/>
                <w:b/>
                <w:bCs/>
                <w:i/>
                <w:iCs/>
                <w:color w:val="FF0000"/>
                <w:lang w:eastAsia="en-US"/>
              </w:rPr>
              <w:t>6815</w:t>
            </w:r>
            <w:r w:rsidRPr="003A2F86">
              <w:rPr>
                <w:rFonts w:ascii="Arial" w:eastAsia="Calibri" w:hAnsi="Arial" w:cs="Arial"/>
                <w:b/>
                <w:bCs/>
                <w:i/>
                <w:iCs/>
                <w:lang w:eastAsia="en-US"/>
              </w:rPr>
              <w:t>)</w:t>
            </w:r>
          </w:p>
        </w:tc>
        <w:tc>
          <w:tcPr>
            <w:tcW w:w="2370" w:type="dxa"/>
            <w:vMerge w:val="restart"/>
            <w:vAlign w:val="center"/>
          </w:tcPr>
          <w:p w14:paraId="63364139" w14:textId="400237C2"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b/>
                <w:bCs/>
                <w:i/>
                <w:iCs/>
                <w:lang w:eastAsia="en-US"/>
              </w:rPr>
            </w:pPr>
            <w:r>
              <w:rPr>
                <w:rFonts w:ascii="Arial" w:eastAsia="Calibri" w:hAnsi="Arial" w:cs="Arial"/>
                <w:b/>
                <w:bCs/>
                <w:i/>
                <w:iCs/>
                <w:lang w:eastAsia="en-US"/>
              </w:rPr>
              <w:t xml:space="preserve">Kazne komunalno redarstvo </w:t>
            </w:r>
            <w:r w:rsidRPr="003A2F86">
              <w:rPr>
                <w:rFonts w:ascii="Arial" w:eastAsia="Calibri" w:hAnsi="Arial" w:cs="Arial"/>
                <w:b/>
                <w:bCs/>
                <w:i/>
                <w:iCs/>
                <w:lang w:eastAsia="en-US"/>
              </w:rPr>
              <w:t>(</w:t>
            </w:r>
            <w:r w:rsidRPr="003A2F86">
              <w:rPr>
                <w:rFonts w:ascii="Arial" w:eastAsia="Calibri" w:hAnsi="Arial" w:cs="Arial"/>
                <w:b/>
                <w:bCs/>
                <w:i/>
                <w:iCs/>
                <w:color w:val="FF0000"/>
                <w:lang w:eastAsia="en-US"/>
              </w:rPr>
              <w:t>6815</w:t>
            </w:r>
            <w:r w:rsidRPr="003A2F86">
              <w:rPr>
                <w:rFonts w:ascii="Arial" w:eastAsia="Calibri" w:hAnsi="Arial" w:cs="Arial"/>
                <w:b/>
                <w:bCs/>
                <w:i/>
                <w:iCs/>
                <w:lang w:eastAsia="en-US"/>
              </w:rPr>
              <w:t>)</w:t>
            </w:r>
          </w:p>
        </w:tc>
        <w:tc>
          <w:tcPr>
            <w:tcW w:w="2503" w:type="dxa"/>
            <w:vMerge w:val="restart"/>
            <w:vAlign w:val="center"/>
          </w:tcPr>
          <w:p w14:paraId="624EB8E5" w14:textId="67D7546E"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b/>
                <w:bCs/>
                <w:i/>
                <w:iCs/>
                <w:lang w:eastAsia="en-US"/>
              </w:rPr>
            </w:pPr>
            <w:r>
              <w:rPr>
                <w:rFonts w:ascii="Arial" w:eastAsia="Calibri" w:hAnsi="Arial" w:cs="Arial"/>
                <w:b/>
                <w:bCs/>
                <w:i/>
                <w:iCs/>
                <w:lang w:eastAsia="en-US"/>
              </w:rPr>
              <w:t xml:space="preserve">Prekršajni nalog </w:t>
            </w:r>
            <w:r w:rsidRPr="003A2F86">
              <w:rPr>
                <w:rFonts w:ascii="Arial" w:eastAsia="Calibri" w:hAnsi="Arial" w:cs="Arial"/>
                <w:b/>
                <w:bCs/>
                <w:i/>
                <w:iCs/>
                <w:lang w:eastAsia="en-US"/>
              </w:rPr>
              <w:t>(</w:t>
            </w:r>
            <w:r w:rsidRPr="003A2F86">
              <w:rPr>
                <w:rFonts w:ascii="Arial" w:eastAsia="Calibri" w:hAnsi="Arial" w:cs="Arial"/>
                <w:b/>
                <w:bCs/>
                <w:i/>
                <w:iCs/>
                <w:color w:val="FF0000"/>
                <w:lang w:eastAsia="en-US"/>
              </w:rPr>
              <w:t>6815</w:t>
            </w:r>
            <w:r w:rsidRPr="003A2F86">
              <w:rPr>
                <w:rFonts w:ascii="Arial" w:eastAsia="Calibri" w:hAnsi="Arial" w:cs="Arial"/>
                <w:b/>
                <w:bCs/>
                <w:i/>
                <w:iCs/>
                <w:lang w:eastAsia="en-US"/>
              </w:rPr>
              <w:t>)</w:t>
            </w:r>
          </w:p>
        </w:tc>
      </w:tr>
      <w:tr w:rsidR="003D15C8" w:rsidRPr="003A2F86" w14:paraId="68AFD367" w14:textId="1186B817" w:rsidTr="006778CB">
        <w:trPr>
          <w:trHeight w:val="315"/>
          <w:jc w:val="center"/>
        </w:trPr>
        <w:tc>
          <w:tcPr>
            <w:tcW w:w="983" w:type="dxa"/>
            <w:vMerge/>
            <w:hideMark/>
          </w:tcPr>
          <w:p w14:paraId="48F0C967" w14:textId="0D3E4EAE"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b/>
                <w:bCs/>
                <w:i/>
                <w:iCs/>
                <w:sz w:val="18"/>
                <w:szCs w:val="18"/>
                <w:lang w:eastAsia="en-US"/>
              </w:rPr>
            </w:pPr>
          </w:p>
        </w:tc>
        <w:tc>
          <w:tcPr>
            <w:tcW w:w="1139" w:type="dxa"/>
            <w:vMerge/>
            <w:hideMark/>
          </w:tcPr>
          <w:p w14:paraId="586B5E37" w14:textId="525C13E4"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b/>
                <w:bCs/>
                <w:i/>
                <w:iCs/>
                <w:sz w:val="18"/>
                <w:szCs w:val="18"/>
                <w:lang w:eastAsia="en-US"/>
              </w:rPr>
            </w:pPr>
          </w:p>
        </w:tc>
        <w:tc>
          <w:tcPr>
            <w:tcW w:w="6195" w:type="dxa"/>
            <w:hideMark/>
          </w:tcPr>
          <w:p w14:paraId="2A0A501B" w14:textId="77777777"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b/>
                <w:bCs/>
                <w:i/>
                <w:iCs/>
                <w:sz w:val="18"/>
                <w:szCs w:val="18"/>
                <w:lang w:eastAsia="en-US"/>
              </w:rPr>
            </w:pPr>
            <w:r w:rsidRPr="003A2F86">
              <w:rPr>
                <w:rFonts w:ascii="Arial" w:eastAsia="Calibri" w:hAnsi="Arial" w:cs="Arial"/>
                <w:b/>
                <w:bCs/>
                <w:i/>
                <w:iCs/>
                <w:sz w:val="18"/>
                <w:szCs w:val="18"/>
                <w:lang w:eastAsia="en-US"/>
              </w:rPr>
              <w:t>Obrazloženje</w:t>
            </w:r>
          </w:p>
        </w:tc>
        <w:tc>
          <w:tcPr>
            <w:tcW w:w="2370" w:type="dxa"/>
            <w:vMerge/>
            <w:vAlign w:val="center"/>
          </w:tcPr>
          <w:p w14:paraId="1491044A" w14:textId="77777777"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b/>
                <w:bCs/>
                <w:i/>
                <w:iCs/>
                <w:sz w:val="18"/>
                <w:szCs w:val="18"/>
                <w:lang w:eastAsia="en-US"/>
              </w:rPr>
            </w:pPr>
          </w:p>
        </w:tc>
        <w:tc>
          <w:tcPr>
            <w:tcW w:w="2503" w:type="dxa"/>
            <w:vMerge/>
            <w:vAlign w:val="center"/>
          </w:tcPr>
          <w:p w14:paraId="78510133" w14:textId="77777777"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b/>
                <w:bCs/>
                <w:i/>
                <w:iCs/>
                <w:sz w:val="18"/>
                <w:szCs w:val="18"/>
                <w:lang w:eastAsia="en-US"/>
              </w:rPr>
            </w:pPr>
          </w:p>
        </w:tc>
      </w:tr>
      <w:tr w:rsidR="003D15C8" w:rsidRPr="003A2F86" w14:paraId="26712D98" w14:textId="07D6F375" w:rsidTr="006778CB">
        <w:trPr>
          <w:trHeight w:val="300"/>
          <w:jc w:val="center"/>
        </w:trPr>
        <w:tc>
          <w:tcPr>
            <w:tcW w:w="983" w:type="dxa"/>
            <w:vAlign w:val="center"/>
            <w:hideMark/>
          </w:tcPr>
          <w:p w14:paraId="3C4E0E14" w14:textId="77777777"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6"/>
                <w:szCs w:val="16"/>
                <w:lang w:eastAsia="en-US"/>
              </w:rPr>
            </w:pPr>
            <w:r w:rsidRPr="006B60DC">
              <w:rPr>
                <w:rFonts w:ascii="Arial" w:eastAsia="Calibri" w:hAnsi="Arial" w:cs="Arial"/>
                <w:i/>
                <w:iCs/>
                <w:sz w:val="16"/>
                <w:szCs w:val="16"/>
                <w:lang w:eastAsia="en-US"/>
              </w:rPr>
              <w:t>2017.</w:t>
            </w:r>
          </w:p>
        </w:tc>
        <w:tc>
          <w:tcPr>
            <w:tcW w:w="1139" w:type="dxa"/>
            <w:vAlign w:val="center"/>
            <w:hideMark/>
          </w:tcPr>
          <w:p w14:paraId="197EF22E" w14:textId="42911EA6"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6"/>
                <w:szCs w:val="16"/>
                <w:lang w:eastAsia="en-US"/>
              </w:rPr>
            </w:pPr>
            <w:r w:rsidRPr="006B60DC">
              <w:rPr>
                <w:rFonts w:ascii="Arial" w:hAnsi="Arial" w:cs="Arial"/>
                <w:i/>
                <w:iCs/>
                <w:color w:val="000000"/>
                <w:sz w:val="16"/>
                <w:szCs w:val="16"/>
              </w:rPr>
              <w:t>544,16</w:t>
            </w:r>
          </w:p>
        </w:tc>
        <w:tc>
          <w:tcPr>
            <w:tcW w:w="6195" w:type="dxa"/>
            <w:vAlign w:val="center"/>
            <w:hideMark/>
          </w:tcPr>
          <w:p w14:paraId="361D8B2E" w14:textId="5B933070"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6"/>
                <w:szCs w:val="16"/>
                <w:lang w:eastAsia="en-US"/>
              </w:rPr>
            </w:pPr>
            <w:r w:rsidRPr="006B60DC">
              <w:rPr>
                <w:rFonts w:ascii="Arial" w:hAnsi="Arial" w:cs="Arial"/>
                <w:color w:val="000000"/>
                <w:sz w:val="16"/>
                <w:szCs w:val="16"/>
              </w:rPr>
              <w:t>prva godina ostvarivanja ovih prihoda</w:t>
            </w:r>
          </w:p>
        </w:tc>
        <w:tc>
          <w:tcPr>
            <w:tcW w:w="2370" w:type="dxa"/>
            <w:vAlign w:val="center"/>
          </w:tcPr>
          <w:p w14:paraId="2CD5DDBC" w14:textId="72E50CDC"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color w:val="000000"/>
                <w:sz w:val="18"/>
                <w:szCs w:val="18"/>
              </w:rPr>
            </w:pPr>
            <w:r>
              <w:rPr>
                <w:rFonts w:ascii="Arial" w:hAnsi="Arial" w:cs="Arial"/>
                <w:color w:val="000000"/>
                <w:sz w:val="18"/>
                <w:szCs w:val="18"/>
              </w:rPr>
              <w:t>-</w:t>
            </w:r>
          </w:p>
        </w:tc>
        <w:tc>
          <w:tcPr>
            <w:tcW w:w="2503" w:type="dxa"/>
            <w:vAlign w:val="center"/>
          </w:tcPr>
          <w:p w14:paraId="5C467FE8" w14:textId="50695CE3"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color w:val="000000"/>
                <w:sz w:val="18"/>
                <w:szCs w:val="18"/>
              </w:rPr>
            </w:pPr>
            <w:r>
              <w:rPr>
                <w:rFonts w:ascii="Arial" w:hAnsi="Arial" w:cs="Arial"/>
                <w:color w:val="000000"/>
                <w:sz w:val="18"/>
                <w:szCs w:val="18"/>
              </w:rPr>
              <w:t>-</w:t>
            </w:r>
          </w:p>
        </w:tc>
      </w:tr>
      <w:tr w:rsidR="003D15C8" w:rsidRPr="003A2F86" w14:paraId="3ED81837" w14:textId="4EE2BD6E" w:rsidTr="006778CB">
        <w:trPr>
          <w:trHeight w:val="317"/>
          <w:jc w:val="center"/>
        </w:trPr>
        <w:tc>
          <w:tcPr>
            <w:tcW w:w="983" w:type="dxa"/>
            <w:vAlign w:val="center"/>
            <w:hideMark/>
          </w:tcPr>
          <w:p w14:paraId="5EEED770" w14:textId="77777777"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6"/>
                <w:szCs w:val="16"/>
                <w:lang w:eastAsia="en-US"/>
              </w:rPr>
            </w:pPr>
            <w:r w:rsidRPr="006B60DC">
              <w:rPr>
                <w:rFonts w:ascii="Arial" w:eastAsia="Calibri" w:hAnsi="Arial" w:cs="Arial"/>
                <w:i/>
                <w:iCs/>
                <w:sz w:val="16"/>
                <w:szCs w:val="16"/>
                <w:lang w:eastAsia="en-US"/>
              </w:rPr>
              <w:t>2018.</w:t>
            </w:r>
          </w:p>
        </w:tc>
        <w:tc>
          <w:tcPr>
            <w:tcW w:w="1139" w:type="dxa"/>
            <w:vAlign w:val="center"/>
            <w:hideMark/>
          </w:tcPr>
          <w:p w14:paraId="0BCBDEE0" w14:textId="3E97F832"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6"/>
                <w:szCs w:val="16"/>
                <w:lang w:eastAsia="en-US"/>
              </w:rPr>
            </w:pPr>
            <w:r w:rsidRPr="006B60DC">
              <w:rPr>
                <w:rFonts w:ascii="Arial" w:hAnsi="Arial" w:cs="Arial"/>
                <w:i/>
                <w:iCs/>
                <w:color w:val="000000"/>
                <w:sz w:val="16"/>
                <w:szCs w:val="16"/>
              </w:rPr>
              <w:t>10.156,32</w:t>
            </w:r>
          </w:p>
        </w:tc>
        <w:tc>
          <w:tcPr>
            <w:tcW w:w="6195" w:type="dxa"/>
            <w:vAlign w:val="center"/>
            <w:hideMark/>
          </w:tcPr>
          <w:p w14:paraId="2731DC2B" w14:textId="53D40017"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6"/>
                <w:szCs w:val="16"/>
                <w:lang w:eastAsia="en-US"/>
              </w:rPr>
            </w:pPr>
            <w:r w:rsidRPr="006B60DC">
              <w:rPr>
                <w:rFonts w:ascii="Arial" w:hAnsi="Arial" w:cs="Arial"/>
                <w:color w:val="000000"/>
                <w:sz w:val="16"/>
                <w:szCs w:val="16"/>
              </w:rPr>
              <w:t>što je za 9.612,15 € više u odnosu na izvještajno razdoblje prethodne godine (prihodi prvog polugodišta 2018. iznosili 2.511,78 €)</w:t>
            </w:r>
          </w:p>
        </w:tc>
        <w:tc>
          <w:tcPr>
            <w:tcW w:w="2370" w:type="dxa"/>
            <w:vAlign w:val="center"/>
          </w:tcPr>
          <w:p w14:paraId="065078AC" w14:textId="582B4BBB"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color w:val="000000"/>
                <w:sz w:val="18"/>
                <w:szCs w:val="18"/>
              </w:rPr>
            </w:pPr>
            <w:r>
              <w:rPr>
                <w:rFonts w:ascii="Arial" w:hAnsi="Arial" w:cs="Arial"/>
                <w:color w:val="000000"/>
                <w:sz w:val="18"/>
                <w:szCs w:val="18"/>
              </w:rPr>
              <w:t>-</w:t>
            </w:r>
          </w:p>
        </w:tc>
        <w:tc>
          <w:tcPr>
            <w:tcW w:w="2503" w:type="dxa"/>
            <w:vAlign w:val="center"/>
          </w:tcPr>
          <w:p w14:paraId="6B8A0A30" w14:textId="021128FC"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color w:val="000000"/>
                <w:sz w:val="18"/>
                <w:szCs w:val="18"/>
              </w:rPr>
            </w:pPr>
            <w:r>
              <w:rPr>
                <w:rFonts w:ascii="Arial" w:hAnsi="Arial" w:cs="Arial"/>
                <w:color w:val="000000"/>
                <w:sz w:val="18"/>
                <w:szCs w:val="18"/>
              </w:rPr>
              <w:t>-</w:t>
            </w:r>
          </w:p>
        </w:tc>
      </w:tr>
      <w:tr w:rsidR="003D15C8" w:rsidRPr="003A2F86" w14:paraId="5AEB562A" w14:textId="3C0CD45D" w:rsidTr="006778CB">
        <w:trPr>
          <w:trHeight w:val="255"/>
          <w:jc w:val="center"/>
        </w:trPr>
        <w:tc>
          <w:tcPr>
            <w:tcW w:w="983" w:type="dxa"/>
            <w:vAlign w:val="center"/>
            <w:hideMark/>
          </w:tcPr>
          <w:p w14:paraId="0325D179" w14:textId="77777777"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6"/>
                <w:szCs w:val="16"/>
                <w:lang w:eastAsia="en-US"/>
              </w:rPr>
            </w:pPr>
            <w:r w:rsidRPr="006B60DC">
              <w:rPr>
                <w:rFonts w:ascii="Arial" w:eastAsia="Calibri" w:hAnsi="Arial" w:cs="Arial"/>
                <w:i/>
                <w:iCs/>
                <w:sz w:val="16"/>
                <w:szCs w:val="16"/>
                <w:lang w:eastAsia="en-US"/>
              </w:rPr>
              <w:t>2019.</w:t>
            </w:r>
          </w:p>
        </w:tc>
        <w:tc>
          <w:tcPr>
            <w:tcW w:w="1139" w:type="dxa"/>
            <w:vAlign w:val="center"/>
            <w:hideMark/>
          </w:tcPr>
          <w:p w14:paraId="5CE1BA1D" w14:textId="308DEDE8"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6"/>
                <w:szCs w:val="16"/>
                <w:lang w:eastAsia="en-US"/>
              </w:rPr>
            </w:pPr>
            <w:r w:rsidRPr="006B60DC">
              <w:rPr>
                <w:rFonts w:ascii="Arial" w:hAnsi="Arial" w:cs="Arial"/>
                <w:i/>
                <w:iCs/>
                <w:color w:val="000000"/>
                <w:sz w:val="16"/>
                <w:szCs w:val="16"/>
              </w:rPr>
              <w:t>15.939,24</w:t>
            </w:r>
          </w:p>
        </w:tc>
        <w:tc>
          <w:tcPr>
            <w:tcW w:w="6195" w:type="dxa"/>
            <w:vAlign w:val="center"/>
            <w:hideMark/>
          </w:tcPr>
          <w:p w14:paraId="5AADDC5A" w14:textId="458AC555"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6"/>
                <w:szCs w:val="16"/>
                <w:lang w:eastAsia="en-US"/>
              </w:rPr>
            </w:pPr>
            <w:r w:rsidRPr="006B60DC">
              <w:rPr>
                <w:rFonts w:ascii="Arial" w:hAnsi="Arial" w:cs="Arial"/>
                <w:color w:val="000000"/>
                <w:sz w:val="16"/>
                <w:szCs w:val="16"/>
              </w:rPr>
              <w:t>što je za 5.782,93 € ili 56,9% više u odnosu na izvještajno razdoblje prethodne godine (prihodi prvog polugodišta 2019. iznosili 6.111,38 €)</w:t>
            </w:r>
          </w:p>
        </w:tc>
        <w:tc>
          <w:tcPr>
            <w:tcW w:w="2370" w:type="dxa"/>
            <w:vAlign w:val="center"/>
          </w:tcPr>
          <w:p w14:paraId="15520BBF" w14:textId="10052FDC"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color w:val="000000"/>
                <w:sz w:val="18"/>
                <w:szCs w:val="18"/>
              </w:rPr>
            </w:pPr>
            <w:r>
              <w:rPr>
                <w:rFonts w:ascii="Arial" w:hAnsi="Arial" w:cs="Arial"/>
                <w:color w:val="000000"/>
                <w:sz w:val="18"/>
                <w:szCs w:val="18"/>
              </w:rPr>
              <w:t>-</w:t>
            </w:r>
          </w:p>
        </w:tc>
        <w:tc>
          <w:tcPr>
            <w:tcW w:w="2503" w:type="dxa"/>
            <w:vAlign w:val="center"/>
          </w:tcPr>
          <w:p w14:paraId="533BBC2A" w14:textId="1966F961"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color w:val="000000"/>
                <w:sz w:val="18"/>
                <w:szCs w:val="18"/>
              </w:rPr>
            </w:pPr>
            <w:r>
              <w:rPr>
                <w:rFonts w:ascii="Arial" w:hAnsi="Arial" w:cs="Arial"/>
                <w:color w:val="000000"/>
                <w:sz w:val="18"/>
                <w:szCs w:val="18"/>
              </w:rPr>
              <w:t>-</w:t>
            </w:r>
          </w:p>
        </w:tc>
      </w:tr>
      <w:tr w:rsidR="003D15C8" w:rsidRPr="003A2F86" w14:paraId="38672A39" w14:textId="02E1BEFA" w:rsidTr="006778CB">
        <w:trPr>
          <w:trHeight w:val="288"/>
          <w:jc w:val="center"/>
        </w:trPr>
        <w:tc>
          <w:tcPr>
            <w:tcW w:w="983" w:type="dxa"/>
            <w:vAlign w:val="center"/>
            <w:hideMark/>
          </w:tcPr>
          <w:p w14:paraId="11557190" w14:textId="77777777"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6"/>
                <w:szCs w:val="16"/>
                <w:lang w:eastAsia="en-US"/>
              </w:rPr>
            </w:pPr>
            <w:r w:rsidRPr="006B60DC">
              <w:rPr>
                <w:rFonts w:ascii="Arial" w:eastAsia="Calibri" w:hAnsi="Arial" w:cs="Arial"/>
                <w:i/>
                <w:iCs/>
                <w:sz w:val="16"/>
                <w:szCs w:val="16"/>
                <w:lang w:eastAsia="en-US"/>
              </w:rPr>
              <w:t>2020.</w:t>
            </w:r>
          </w:p>
        </w:tc>
        <w:tc>
          <w:tcPr>
            <w:tcW w:w="1139" w:type="dxa"/>
            <w:vAlign w:val="center"/>
            <w:hideMark/>
          </w:tcPr>
          <w:p w14:paraId="15F24ECC" w14:textId="48B308CA"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6"/>
                <w:szCs w:val="16"/>
                <w:lang w:eastAsia="en-US"/>
              </w:rPr>
            </w:pPr>
            <w:r w:rsidRPr="006B60DC">
              <w:rPr>
                <w:rFonts w:ascii="Arial" w:hAnsi="Arial" w:cs="Arial"/>
                <w:i/>
                <w:iCs/>
                <w:color w:val="000000"/>
                <w:sz w:val="16"/>
                <w:szCs w:val="16"/>
              </w:rPr>
              <w:t>404,80</w:t>
            </w:r>
          </w:p>
        </w:tc>
        <w:tc>
          <w:tcPr>
            <w:tcW w:w="6195" w:type="dxa"/>
            <w:vAlign w:val="center"/>
            <w:hideMark/>
          </w:tcPr>
          <w:p w14:paraId="0BC5A567" w14:textId="1C28CC7B"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6"/>
                <w:szCs w:val="16"/>
                <w:lang w:eastAsia="en-US"/>
              </w:rPr>
            </w:pPr>
            <w:r w:rsidRPr="006B60DC">
              <w:rPr>
                <w:rFonts w:ascii="Arial" w:hAnsi="Arial" w:cs="Arial"/>
                <w:color w:val="000000"/>
                <w:sz w:val="16"/>
                <w:szCs w:val="16"/>
              </w:rPr>
              <w:t>što je za 15.534,44 € ili 97,5% manje u odnosu na izvještajno razdoblje prethodne godine (prihodi prvog polugodišta 2020. iznosili 245,54 €)</w:t>
            </w:r>
          </w:p>
        </w:tc>
        <w:tc>
          <w:tcPr>
            <w:tcW w:w="2370" w:type="dxa"/>
            <w:vAlign w:val="center"/>
          </w:tcPr>
          <w:p w14:paraId="22813EF5" w14:textId="3209C61E"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color w:val="000000"/>
                <w:sz w:val="18"/>
                <w:szCs w:val="18"/>
              </w:rPr>
            </w:pPr>
            <w:r>
              <w:rPr>
                <w:rFonts w:ascii="Arial" w:hAnsi="Arial" w:cs="Arial"/>
                <w:color w:val="000000"/>
                <w:sz w:val="18"/>
                <w:szCs w:val="18"/>
              </w:rPr>
              <w:t>-</w:t>
            </w:r>
          </w:p>
        </w:tc>
        <w:tc>
          <w:tcPr>
            <w:tcW w:w="2503" w:type="dxa"/>
            <w:vAlign w:val="center"/>
          </w:tcPr>
          <w:p w14:paraId="2968407B" w14:textId="3D4A6F29"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color w:val="000000"/>
                <w:sz w:val="18"/>
                <w:szCs w:val="18"/>
              </w:rPr>
            </w:pPr>
            <w:r>
              <w:rPr>
                <w:rFonts w:ascii="Arial" w:hAnsi="Arial" w:cs="Arial"/>
                <w:color w:val="000000"/>
                <w:sz w:val="18"/>
                <w:szCs w:val="18"/>
              </w:rPr>
              <w:t>-</w:t>
            </w:r>
          </w:p>
        </w:tc>
      </w:tr>
      <w:tr w:rsidR="003D15C8" w:rsidRPr="003A2F86" w14:paraId="43D7639E" w14:textId="546803EE" w:rsidTr="006778CB">
        <w:trPr>
          <w:trHeight w:val="485"/>
          <w:jc w:val="center"/>
        </w:trPr>
        <w:tc>
          <w:tcPr>
            <w:tcW w:w="983" w:type="dxa"/>
            <w:vAlign w:val="center"/>
            <w:hideMark/>
          </w:tcPr>
          <w:p w14:paraId="68CBA352" w14:textId="77777777"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6"/>
                <w:szCs w:val="16"/>
                <w:lang w:eastAsia="en-US"/>
              </w:rPr>
            </w:pPr>
            <w:r w:rsidRPr="006B60DC">
              <w:rPr>
                <w:rFonts w:ascii="Arial" w:eastAsia="Calibri" w:hAnsi="Arial" w:cs="Arial"/>
                <w:i/>
                <w:iCs/>
                <w:sz w:val="16"/>
                <w:szCs w:val="16"/>
                <w:lang w:eastAsia="en-US"/>
              </w:rPr>
              <w:t>2021.</w:t>
            </w:r>
          </w:p>
        </w:tc>
        <w:tc>
          <w:tcPr>
            <w:tcW w:w="1139" w:type="dxa"/>
            <w:vAlign w:val="center"/>
            <w:hideMark/>
          </w:tcPr>
          <w:p w14:paraId="67458017" w14:textId="06C711E5"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6"/>
                <w:szCs w:val="16"/>
                <w:lang w:eastAsia="en-US"/>
              </w:rPr>
            </w:pPr>
            <w:r w:rsidRPr="006B60DC">
              <w:rPr>
                <w:rFonts w:ascii="Arial" w:hAnsi="Arial" w:cs="Arial"/>
                <w:i/>
                <w:iCs/>
                <w:color w:val="000000"/>
                <w:sz w:val="16"/>
                <w:szCs w:val="16"/>
              </w:rPr>
              <w:t>1.457,55</w:t>
            </w:r>
          </w:p>
        </w:tc>
        <w:tc>
          <w:tcPr>
            <w:tcW w:w="6195" w:type="dxa"/>
            <w:vAlign w:val="center"/>
            <w:hideMark/>
          </w:tcPr>
          <w:p w14:paraId="704FE37F" w14:textId="6C05DD50"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6"/>
                <w:szCs w:val="16"/>
                <w:lang w:eastAsia="en-US"/>
              </w:rPr>
            </w:pPr>
            <w:r w:rsidRPr="006B60DC">
              <w:rPr>
                <w:rFonts w:ascii="Arial" w:hAnsi="Arial" w:cs="Arial"/>
                <w:sz w:val="16"/>
                <w:szCs w:val="16"/>
              </w:rPr>
              <w:t>što je za 1.052,74 € ili 260% više u odnosu na izvještajno razdoblje prethodne godine, ali čak 14.481,70 € ili 90,9% manje nego u izvještajnom razdoblju 2019. godine (prihodi prvog polugodišta 2021. godine su iznosili 205,72 €)</w:t>
            </w:r>
          </w:p>
        </w:tc>
        <w:tc>
          <w:tcPr>
            <w:tcW w:w="2370" w:type="dxa"/>
            <w:vAlign w:val="center"/>
          </w:tcPr>
          <w:p w14:paraId="16702BF6" w14:textId="3C023368"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Pr>
                <w:rFonts w:ascii="Arial" w:hAnsi="Arial" w:cs="Arial"/>
                <w:sz w:val="18"/>
                <w:szCs w:val="18"/>
              </w:rPr>
              <w:t>-</w:t>
            </w:r>
          </w:p>
        </w:tc>
        <w:tc>
          <w:tcPr>
            <w:tcW w:w="2503" w:type="dxa"/>
            <w:vAlign w:val="center"/>
          </w:tcPr>
          <w:p w14:paraId="356BB12E" w14:textId="28FBF5E4"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Pr>
                <w:rFonts w:ascii="Arial" w:hAnsi="Arial" w:cs="Arial"/>
                <w:sz w:val="18"/>
                <w:szCs w:val="18"/>
              </w:rPr>
              <w:t>-</w:t>
            </w:r>
          </w:p>
        </w:tc>
      </w:tr>
      <w:tr w:rsidR="003D15C8" w:rsidRPr="003A2F86" w14:paraId="64B44F66" w14:textId="60BD1D67" w:rsidTr="006778CB">
        <w:trPr>
          <w:trHeight w:val="280"/>
          <w:jc w:val="center"/>
        </w:trPr>
        <w:tc>
          <w:tcPr>
            <w:tcW w:w="983" w:type="dxa"/>
            <w:vAlign w:val="center"/>
            <w:hideMark/>
          </w:tcPr>
          <w:p w14:paraId="39156E34" w14:textId="61EF32B4"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6"/>
                <w:szCs w:val="16"/>
                <w:lang w:eastAsia="en-US"/>
              </w:rPr>
            </w:pPr>
            <w:r w:rsidRPr="006B60DC">
              <w:rPr>
                <w:rFonts w:ascii="Arial" w:eastAsia="Calibri" w:hAnsi="Arial" w:cs="Arial"/>
                <w:i/>
                <w:iCs/>
                <w:sz w:val="16"/>
                <w:szCs w:val="16"/>
                <w:lang w:eastAsia="en-US"/>
              </w:rPr>
              <w:t>2022.</w:t>
            </w:r>
          </w:p>
        </w:tc>
        <w:tc>
          <w:tcPr>
            <w:tcW w:w="1139" w:type="dxa"/>
            <w:vAlign w:val="center"/>
          </w:tcPr>
          <w:p w14:paraId="06319783" w14:textId="2CB0DC2A"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6"/>
                <w:szCs w:val="16"/>
                <w:lang w:eastAsia="en-US"/>
              </w:rPr>
            </w:pPr>
            <w:r w:rsidRPr="006B60DC">
              <w:rPr>
                <w:rFonts w:ascii="Arial" w:hAnsi="Arial" w:cs="Arial"/>
                <w:i/>
                <w:iCs/>
                <w:color w:val="000000"/>
                <w:sz w:val="16"/>
                <w:szCs w:val="16"/>
              </w:rPr>
              <w:t>3.912,00</w:t>
            </w:r>
          </w:p>
        </w:tc>
        <w:tc>
          <w:tcPr>
            <w:tcW w:w="6195" w:type="dxa"/>
            <w:vAlign w:val="center"/>
          </w:tcPr>
          <w:p w14:paraId="378E2F2B" w14:textId="07967469"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6"/>
                <w:szCs w:val="16"/>
                <w:lang w:eastAsia="en-US"/>
              </w:rPr>
            </w:pPr>
            <w:r w:rsidRPr="006B60DC">
              <w:rPr>
                <w:rFonts w:ascii="Arial" w:hAnsi="Arial" w:cs="Arial"/>
                <w:sz w:val="16"/>
                <w:szCs w:val="16"/>
              </w:rPr>
              <w:t>što je za 2.454,46 € ili 168,4% više u odnosu na izvještajno razdoblje prethodne godine, ali čak 12.02,24 € ili 75,5% manje nego u izvještajnom razdoblju 2019. godine (prihodi prvog polugodišta 2022. godine su iznosili 1.284,09 €).</w:t>
            </w:r>
          </w:p>
        </w:tc>
        <w:tc>
          <w:tcPr>
            <w:tcW w:w="2370" w:type="dxa"/>
            <w:vAlign w:val="center"/>
          </w:tcPr>
          <w:p w14:paraId="5C4DACE5" w14:textId="3B7AF3B3"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Pr>
                <w:rFonts w:ascii="Arial" w:hAnsi="Arial" w:cs="Arial"/>
                <w:sz w:val="18"/>
                <w:szCs w:val="18"/>
              </w:rPr>
              <w:t>-</w:t>
            </w:r>
          </w:p>
        </w:tc>
        <w:tc>
          <w:tcPr>
            <w:tcW w:w="2503" w:type="dxa"/>
            <w:vAlign w:val="center"/>
          </w:tcPr>
          <w:p w14:paraId="521DE763" w14:textId="6F8AA531"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Pr>
                <w:rFonts w:ascii="Arial" w:hAnsi="Arial" w:cs="Arial"/>
                <w:sz w:val="18"/>
                <w:szCs w:val="18"/>
              </w:rPr>
              <w:t>-</w:t>
            </w:r>
          </w:p>
        </w:tc>
      </w:tr>
      <w:tr w:rsidR="003D15C8" w:rsidRPr="003A2F86" w14:paraId="480747F8" w14:textId="764801DC" w:rsidTr="006778CB">
        <w:trPr>
          <w:trHeight w:val="280"/>
          <w:jc w:val="center"/>
        </w:trPr>
        <w:tc>
          <w:tcPr>
            <w:tcW w:w="983" w:type="dxa"/>
            <w:vAlign w:val="center"/>
          </w:tcPr>
          <w:p w14:paraId="52E6D533" w14:textId="15B55BD4"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6"/>
                <w:szCs w:val="16"/>
                <w:lang w:eastAsia="en-US"/>
              </w:rPr>
            </w:pPr>
            <w:r w:rsidRPr="006B60DC">
              <w:rPr>
                <w:rFonts w:ascii="Arial" w:eastAsia="Calibri" w:hAnsi="Arial" w:cs="Arial"/>
                <w:i/>
                <w:iCs/>
                <w:sz w:val="16"/>
                <w:szCs w:val="16"/>
                <w:lang w:eastAsia="en-US"/>
              </w:rPr>
              <w:t>2023.</w:t>
            </w:r>
          </w:p>
        </w:tc>
        <w:tc>
          <w:tcPr>
            <w:tcW w:w="1139" w:type="dxa"/>
            <w:vAlign w:val="center"/>
          </w:tcPr>
          <w:p w14:paraId="7C8DF518" w14:textId="5F4C8F05"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6"/>
                <w:szCs w:val="16"/>
                <w:lang w:eastAsia="en-US"/>
              </w:rPr>
            </w:pPr>
            <w:r w:rsidRPr="006B60DC">
              <w:rPr>
                <w:rFonts w:ascii="Arial" w:hAnsi="Arial" w:cs="Arial"/>
                <w:i/>
                <w:iCs/>
                <w:color w:val="000000"/>
                <w:sz w:val="16"/>
                <w:szCs w:val="16"/>
              </w:rPr>
              <w:t>1.104,82</w:t>
            </w:r>
          </w:p>
        </w:tc>
        <w:tc>
          <w:tcPr>
            <w:tcW w:w="6195" w:type="dxa"/>
            <w:vAlign w:val="center"/>
          </w:tcPr>
          <w:p w14:paraId="6D008550" w14:textId="7309BAF5"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both"/>
              <w:rPr>
                <w:rFonts w:ascii="Arial" w:eastAsia="Calibri" w:hAnsi="Arial" w:cs="Arial"/>
                <w:sz w:val="16"/>
                <w:szCs w:val="16"/>
                <w:lang w:eastAsia="en-US"/>
              </w:rPr>
            </w:pPr>
            <w:r w:rsidRPr="006B60DC">
              <w:rPr>
                <w:rFonts w:ascii="Arial" w:hAnsi="Arial" w:cs="Arial"/>
                <w:sz w:val="16"/>
                <w:szCs w:val="16"/>
              </w:rPr>
              <w:t xml:space="preserve">što je za 2.807,18 € ili 71,8% manje u odnosu na izvještajno godišnje razdoblje prethodne godine (prihodi prvog polugodišta 2023. godine su iznosili 165 €). Manje nego prethodne godine </w:t>
            </w:r>
            <w:r w:rsidRPr="006B60DC">
              <w:rPr>
                <w:rFonts w:ascii="Arial" w:eastAsia="Calibri" w:hAnsi="Arial" w:cs="Arial"/>
                <w:sz w:val="16"/>
                <w:szCs w:val="16"/>
                <w:lang w:eastAsia="en-US"/>
              </w:rPr>
              <w:t>€ jer su se izvodili radovi uz rivu u Cavtatu što je utjecalo na manje prihode od kazni jer je bilo onemogućeno parkiranje.</w:t>
            </w:r>
          </w:p>
        </w:tc>
        <w:tc>
          <w:tcPr>
            <w:tcW w:w="2370" w:type="dxa"/>
            <w:vAlign w:val="center"/>
          </w:tcPr>
          <w:p w14:paraId="237BCDB2" w14:textId="76E3E879"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Pr>
                <w:rFonts w:ascii="Arial" w:hAnsi="Arial" w:cs="Arial"/>
                <w:sz w:val="18"/>
                <w:szCs w:val="18"/>
              </w:rPr>
              <w:t>-</w:t>
            </w:r>
          </w:p>
        </w:tc>
        <w:tc>
          <w:tcPr>
            <w:tcW w:w="2503" w:type="dxa"/>
            <w:vAlign w:val="center"/>
          </w:tcPr>
          <w:p w14:paraId="437C4012" w14:textId="7EA99A13" w:rsidR="003D15C8" w:rsidRPr="003A2F86"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hAnsi="Arial" w:cs="Arial"/>
                <w:sz w:val="18"/>
                <w:szCs w:val="18"/>
              </w:rPr>
            </w:pPr>
            <w:r>
              <w:rPr>
                <w:rFonts w:ascii="Arial" w:hAnsi="Arial" w:cs="Arial"/>
                <w:sz w:val="18"/>
                <w:szCs w:val="18"/>
              </w:rPr>
              <w:t>-</w:t>
            </w:r>
          </w:p>
        </w:tc>
      </w:tr>
      <w:tr w:rsidR="003D15C8" w:rsidRPr="00D26B62" w14:paraId="1F44DBE7" w14:textId="34E78777" w:rsidTr="006778CB">
        <w:trPr>
          <w:trHeight w:val="280"/>
          <w:jc w:val="center"/>
        </w:trPr>
        <w:tc>
          <w:tcPr>
            <w:tcW w:w="983" w:type="dxa"/>
            <w:vAlign w:val="center"/>
          </w:tcPr>
          <w:p w14:paraId="679A1A3A" w14:textId="43CEA6F3"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6"/>
                <w:szCs w:val="16"/>
                <w:lang w:eastAsia="en-US"/>
              </w:rPr>
            </w:pPr>
            <w:r w:rsidRPr="006B60DC">
              <w:rPr>
                <w:rFonts w:ascii="Arial" w:eastAsia="Calibri" w:hAnsi="Arial" w:cs="Arial"/>
                <w:i/>
                <w:iCs/>
                <w:sz w:val="16"/>
                <w:szCs w:val="16"/>
                <w:lang w:eastAsia="en-US"/>
              </w:rPr>
              <w:t>2024.</w:t>
            </w:r>
          </w:p>
        </w:tc>
        <w:tc>
          <w:tcPr>
            <w:tcW w:w="1139" w:type="dxa"/>
            <w:vAlign w:val="center"/>
          </w:tcPr>
          <w:p w14:paraId="1DED0B73" w14:textId="1FCA6117"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6"/>
                <w:szCs w:val="16"/>
                <w:lang w:eastAsia="en-US"/>
              </w:rPr>
            </w:pPr>
            <w:r w:rsidRPr="006B60DC">
              <w:rPr>
                <w:rFonts w:ascii="Arial" w:eastAsia="Calibri" w:hAnsi="Arial" w:cs="Arial"/>
                <w:i/>
                <w:iCs/>
                <w:sz w:val="16"/>
                <w:szCs w:val="16"/>
                <w:lang w:eastAsia="en-US"/>
              </w:rPr>
              <w:t>10.083,01</w:t>
            </w:r>
          </w:p>
        </w:tc>
        <w:tc>
          <w:tcPr>
            <w:tcW w:w="6195" w:type="dxa"/>
            <w:vAlign w:val="center"/>
          </w:tcPr>
          <w:p w14:paraId="29DD063B" w14:textId="73933F01"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i/>
                <w:iCs/>
                <w:sz w:val="16"/>
                <w:szCs w:val="16"/>
                <w:lang w:eastAsia="en-US"/>
              </w:rPr>
            </w:pPr>
            <w:r w:rsidRPr="006B60DC">
              <w:rPr>
                <w:rFonts w:ascii="Arial" w:eastAsia="Calibri" w:hAnsi="Arial" w:cs="Arial"/>
                <w:i/>
                <w:iCs/>
                <w:sz w:val="16"/>
                <w:szCs w:val="16"/>
                <w:lang w:eastAsia="en-US"/>
              </w:rPr>
              <w:t>što je za 8.978,19 € više u odnosu na izvještajno razdoblje prethodne godine (prihodi prvog polugodišta 2024. godine su iznosili 855 €.</w:t>
            </w:r>
          </w:p>
        </w:tc>
        <w:tc>
          <w:tcPr>
            <w:tcW w:w="2370" w:type="dxa"/>
            <w:vAlign w:val="center"/>
          </w:tcPr>
          <w:p w14:paraId="0B06D3E2" w14:textId="18A480E5" w:rsidR="003D15C8" w:rsidRPr="00D26B62"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8"/>
                <w:szCs w:val="18"/>
                <w:lang w:eastAsia="en-US"/>
              </w:rPr>
            </w:pPr>
            <w:r>
              <w:rPr>
                <w:rFonts w:ascii="Arial" w:eastAsia="Calibri" w:hAnsi="Arial" w:cs="Arial"/>
                <w:i/>
                <w:iCs/>
                <w:sz w:val="18"/>
                <w:szCs w:val="18"/>
                <w:lang w:eastAsia="en-US"/>
              </w:rPr>
              <w:t>4.458,51</w:t>
            </w:r>
          </w:p>
        </w:tc>
        <w:tc>
          <w:tcPr>
            <w:tcW w:w="2503" w:type="dxa"/>
            <w:vAlign w:val="center"/>
          </w:tcPr>
          <w:p w14:paraId="3144B008" w14:textId="5B3AAD3D" w:rsidR="003D15C8" w:rsidRPr="00D26B62"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8"/>
                <w:szCs w:val="18"/>
                <w:lang w:eastAsia="en-US"/>
              </w:rPr>
            </w:pPr>
            <w:r>
              <w:rPr>
                <w:rFonts w:ascii="Arial" w:eastAsia="Calibri" w:hAnsi="Arial" w:cs="Arial"/>
                <w:i/>
                <w:iCs/>
                <w:sz w:val="18"/>
                <w:szCs w:val="18"/>
                <w:lang w:eastAsia="en-US"/>
              </w:rPr>
              <w:t>-</w:t>
            </w:r>
          </w:p>
        </w:tc>
      </w:tr>
      <w:tr w:rsidR="003D15C8" w:rsidRPr="00D26B62" w14:paraId="16FDE975" w14:textId="36BC81A9" w:rsidTr="006778CB">
        <w:trPr>
          <w:trHeight w:val="280"/>
          <w:jc w:val="center"/>
        </w:trPr>
        <w:tc>
          <w:tcPr>
            <w:tcW w:w="983" w:type="dxa"/>
            <w:vAlign w:val="center"/>
          </w:tcPr>
          <w:p w14:paraId="5D7E552C" w14:textId="16A1A884"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iCs/>
                <w:sz w:val="16"/>
                <w:szCs w:val="16"/>
                <w:lang w:eastAsia="en-US"/>
              </w:rPr>
            </w:pPr>
            <w:r w:rsidRPr="006B60DC">
              <w:rPr>
                <w:rFonts w:ascii="Arial" w:eastAsia="Calibri" w:hAnsi="Arial" w:cs="Arial"/>
                <w:i/>
                <w:iCs/>
                <w:sz w:val="16"/>
                <w:szCs w:val="16"/>
                <w:lang w:eastAsia="en-US"/>
              </w:rPr>
              <w:t>1-6/2025.</w:t>
            </w:r>
          </w:p>
        </w:tc>
        <w:tc>
          <w:tcPr>
            <w:tcW w:w="1139" w:type="dxa"/>
            <w:vAlign w:val="center"/>
          </w:tcPr>
          <w:p w14:paraId="529661F5" w14:textId="212582AC"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6"/>
                <w:szCs w:val="16"/>
                <w:lang w:eastAsia="en-US"/>
              </w:rPr>
            </w:pPr>
            <w:r w:rsidRPr="006B60DC">
              <w:rPr>
                <w:rFonts w:ascii="Arial" w:eastAsia="Calibri" w:hAnsi="Arial" w:cs="Arial"/>
                <w:i/>
                <w:iCs/>
                <w:sz w:val="16"/>
                <w:szCs w:val="16"/>
                <w:lang w:eastAsia="en-US"/>
              </w:rPr>
              <w:t>6.690,00</w:t>
            </w:r>
          </w:p>
        </w:tc>
        <w:tc>
          <w:tcPr>
            <w:tcW w:w="6195" w:type="dxa"/>
            <w:vAlign w:val="center"/>
          </w:tcPr>
          <w:p w14:paraId="6E38E033" w14:textId="77777777" w:rsidR="003D15C8" w:rsidRPr="006B60DC"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i/>
                <w:iCs/>
                <w:sz w:val="16"/>
                <w:szCs w:val="16"/>
                <w:lang w:eastAsia="en-US"/>
              </w:rPr>
            </w:pPr>
          </w:p>
        </w:tc>
        <w:tc>
          <w:tcPr>
            <w:tcW w:w="2370" w:type="dxa"/>
            <w:vAlign w:val="center"/>
          </w:tcPr>
          <w:p w14:paraId="070EF0E7" w14:textId="58FDD5D1" w:rsidR="003D15C8" w:rsidRPr="00D26B62"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8"/>
                <w:szCs w:val="18"/>
                <w:lang w:eastAsia="en-US"/>
              </w:rPr>
            </w:pPr>
            <w:r>
              <w:rPr>
                <w:rFonts w:ascii="Arial" w:eastAsia="Calibri" w:hAnsi="Arial" w:cs="Arial"/>
                <w:i/>
                <w:iCs/>
                <w:sz w:val="18"/>
                <w:szCs w:val="18"/>
                <w:lang w:eastAsia="en-US"/>
              </w:rPr>
              <w:t>189,54</w:t>
            </w:r>
          </w:p>
        </w:tc>
        <w:tc>
          <w:tcPr>
            <w:tcW w:w="2503" w:type="dxa"/>
            <w:vAlign w:val="center"/>
          </w:tcPr>
          <w:p w14:paraId="78C6F2C7" w14:textId="594A8788" w:rsidR="003D15C8" w:rsidRPr="00F25C10" w:rsidRDefault="003D15C8" w:rsidP="003D15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i/>
                <w:iCs/>
                <w:sz w:val="18"/>
                <w:szCs w:val="18"/>
                <w:lang w:eastAsia="en-US"/>
              </w:rPr>
            </w:pPr>
            <w:r w:rsidRPr="00F25C10">
              <w:rPr>
                <w:rFonts w:ascii="Arial" w:hAnsi="Arial" w:cs="Arial"/>
                <w:i/>
                <w:iCs/>
                <w:sz w:val="18"/>
                <w:szCs w:val="18"/>
              </w:rPr>
              <w:t>274,45</w:t>
            </w:r>
          </w:p>
        </w:tc>
      </w:tr>
    </w:tbl>
    <w:p w14:paraId="4DB3DAF4" w14:textId="07E3B403" w:rsidR="00102CA3" w:rsidRPr="003A2F86" w:rsidRDefault="00102CA3" w:rsidP="00E53B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0"/>
          <w:szCs w:val="10"/>
          <w:lang w:eastAsia="en-US"/>
        </w:rPr>
      </w:pPr>
    </w:p>
    <w:p w14:paraId="360BF73E" w14:textId="4FA630C5" w:rsidR="000C1373" w:rsidRPr="003A2F86" w:rsidRDefault="000C1373">
      <w:pPr>
        <w:rPr>
          <w:rFonts w:ascii="Arial" w:eastAsia="Calibri" w:hAnsi="Arial" w:cs="Arial"/>
          <w:lang w:eastAsia="en-US"/>
        </w:rPr>
      </w:pPr>
      <w:r w:rsidRPr="003A2F86">
        <w:rPr>
          <w:rFonts w:ascii="Arial" w:eastAsia="Calibri" w:hAnsi="Arial" w:cs="Arial"/>
          <w:lang w:eastAsia="en-US"/>
        </w:rPr>
        <w:br w:type="page"/>
      </w:r>
    </w:p>
    <w:p w14:paraId="35A9C8AA" w14:textId="77777777" w:rsidR="00102CA3" w:rsidRPr="003A2F86" w:rsidRDefault="00102CA3" w:rsidP="00E53B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509CB383" w14:textId="229C6213" w:rsidR="00891119" w:rsidRPr="003A2F86" w:rsidRDefault="004113C9" w:rsidP="00F66355">
      <w:pPr>
        <w:pStyle w:val="Naslov3"/>
        <w:jc w:val="center"/>
        <w:rPr>
          <w:rFonts w:ascii="Arial" w:hAnsi="Arial" w:cs="Arial"/>
          <w:sz w:val="22"/>
          <w:szCs w:val="22"/>
          <w:lang w:val="hr-HR"/>
        </w:rPr>
      </w:pPr>
      <w:bookmarkStart w:id="130" w:name="_Toc207707428"/>
      <w:r w:rsidRPr="003A2F86">
        <w:rPr>
          <w:rFonts w:ascii="Arial" w:hAnsi="Arial" w:cs="Arial"/>
          <w:sz w:val="22"/>
          <w:szCs w:val="22"/>
          <w:lang w:val="hr-HR"/>
        </w:rPr>
        <w:t>2.</w:t>
      </w:r>
      <w:r w:rsidR="00F66355" w:rsidRPr="003A2F86">
        <w:rPr>
          <w:rFonts w:ascii="Arial" w:hAnsi="Arial" w:cs="Arial"/>
          <w:sz w:val="22"/>
          <w:szCs w:val="22"/>
          <w:lang w:val="hr-HR"/>
        </w:rPr>
        <w:t>4</w:t>
      </w:r>
      <w:r w:rsidRPr="003A2F86">
        <w:rPr>
          <w:rFonts w:ascii="Arial" w:hAnsi="Arial" w:cs="Arial"/>
          <w:sz w:val="22"/>
          <w:szCs w:val="22"/>
          <w:lang w:val="hr-HR"/>
        </w:rPr>
        <w:t>.2.</w:t>
      </w:r>
      <w:r w:rsidR="00891119" w:rsidRPr="003A2F86">
        <w:rPr>
          <w:rFonts w:ascii="Arial" w:hAnsi="Arial" w:cs="Arial"/>
          <w:sz w:val="22"/>
          <w:szCs w:val="22"/>
          <w:lang w:val="hr-HR"/>
        </w:rPr>
        <w:tab/>
        <w:t>P</w:t>
      </w:r>
      <w:r w:rsidR="00E97058" w:rsidRPr="003A2F86">
        <w:rPr>
          <w:rFonts w:ascii="Arial" w:hAnsi="Arial" w:cs="Arial"/>
          <w:sz w:val="22"/>
          <w:szCs w:val="22"/>
          <w:lang w:val="hr-HR"/>
        </w:rPr>
        <w:t>RIHODI OD PRODAJE NEFINANCIJSKE IMOVINE</w:t>
      </w:r>
      <w:r w:rsidR="00744D8B" w:rsidRPr="003A2F86">
        <w:rPr>
          <w:rFonts w:ascii="Arial" w:hAnsi="Arial" w:cs="Arial"/>
          <w:sz w:val="22"/>
          <w:szCs w:val="22"/>
          <w:lang w:val="hr-HR"/>
        </w:rPr>
        <w:t xml:space="preserve"> (7)</w:t>
      </w:r>
      <w:bookmarkEnd w:id="130"/>
    </w:p>
    <w:p w14:paraId="18F88395" w14:textId="77777777" w:rsidR="00297233" w:rsidRPr="003A2F86" w:rsidRDefault="00297233" w:rsidP="00D6545B">
      <w:pPr>
        <w:spacing w:after="0" w:line="240" w:lineRule="auto"/>
      </w:pPr>
    </w:p>
    <w:p w14:paraId="10DCA62D" w14:textId="2784CB6E" w:rsidR="00297233" w:rsidRPr="003A2F86" w:rsidRDefault="00297233" w:rsidP="00557A5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rPr>
      </w:pPr>
      <w:r w:rsidRPr="003A2F86">
        <w:rPr>
          <w:rFonts w:ascii="Arial" w:hAnsi="Arial" w:cs="Arial"/>
          <w:b/>
          <w:iCs/>
        </w:rPr>
        <w:t xml:space="preserve">Prihodi od prodaje nefinancijske imovine (7) </w:t>
      </w:r>
      <w:r w:rsidR="006E5D66" w:rsidRPr="006E5D66">
        <w:rPr>
          <w:rFonts w:ascii="Arial" w:hAnsi="Arial" w:cs="Arial"/>
          <w:bCs/>
          <w:iCs/>
        </w:rPr>
        <w:t>izn</w:t>
      </w:r>
      <w:r w:rsidR="006E5D66">
        <w:rPr>
          <w:rFonts w:ascii="Arial" w:hAnsi="Arial" w:cs="Arial"/>
          <w:bCs/>
          <w:iCs/>
        </w:rPr>
        <w:t>o</w:t>
      </w:r>
      <w:r w:rsidR="006E5D66" w:rsidRPr="006E5D66">
        <w:rPr>
          <w:rFonts w:ascii="Arial" w:hAnsi="Arial" w:cs="Arial"/>
          <w:bCs/>
          <w:iCs/>
        </w:rPr>
        <w:t>se</w:t>
      </w:r>
      <w:r w:rsidR="006E5D66">
        <w:rPr>
          <w:rFonts w:ascii="Arial" w:hAnsi="Arial" w:cs="Arial"/>
          <w:b/>
          <w:iCs/>
        </w:rPr>
        <w:t xml:space="preserve"> </w:t>
      </w:r>
      <w:r w:rsidR="006E5D66">
        <w:rPr>
          <w:rFonts w:ascii="Arial" w:hAnsi="Arial" w:cs="Arial"/>
          <w:iCs/>
        </w:rPr>
        <w:t>67.688,22</w:t>
      </w:r>
      <w:r w:rsidR="00557A53" w:rsidRPr="002122DE">
        <w:rPr>
          <w:rFonts w:ascii="Arial" w:hAnsi="Arial" w:cs="Arial"/>
          <w:iCs/>
        </w:rPr>
        <w:t xml:space="preserve"> € </w:t>
      </w:r>
      <w:r w:rsidR="00557A53" w:rsidRPr="002122DE">
        <w:rPr>
          <w:rFonts w:ascii="Arial" w:eastAsia="Calibri" w:hAnsi="Arial" w:cs="Arial"/>
          <w:iCs/>
        </w:rPr>
        <w:t xml:space="preserve">što je za </w:t>
      </w:r>
      <w:r w:rsidR="006E5D66">
        <w:rPr>
          <w:rFonts w:ascii="Arial" w:eastAsia="Calibri" w:hAnsi="Arial" w:cs="Arial"/>
          <w:iCs/>
        </w:rPr>
        <w:t>144.575,38</w:t>
      </w:r>
      <w:r w:rsidR="00557A53" w:rsidRPr="002122DE">
        <w:rPr>
          <w:rFonts w:ascii="Arial" w:eastAsia="Calibri" w:hAnsi="Arial" w:cs="Arial"/>
          <w:iCs/>
        </w:rPr>
        <w:t xml:space="preserve"> € </w:t>
      </w:r>
      <w:r w:rsidR="006E5D66">
        <w:rPr>
          <w:rFonts w:ascii="Arial" w:eastAsia="Calibri" w:hAnsi="Arial" w:cs="Arial"/>
          <w:iCs/>
        </w:rPr>
        <w:t>ili 67,1% manje</w:t>
      </w:r>
      <w:r w:rsidR="00557A53" w:rsidRPr="002122DE">
        <w:rPr>
          <w:rFonts w:ascii="Arial" w:eastAsia="Calibri" w:hAnsi="Arial" w:cs="Arial"/>
          <w:iCs/>
        </w:rPr>
        <w:t xml:space="preserve"> u odnosu na prethodnu godinu kada su iznosili </w:t>
      </w:r>
      <w:r w:rsidR="006E5D66">
        <w:rPr>
          <w:rFonts w:ascii="Arial" w:eastAsia="Calibri" w:hAnsi="Arial" w:cs="Arial"/>
          <w:iCs/>
        </w:rPr>
        <w:t>212.263,60</w:t>
      </w:r>
      <w:r w:rsidR="00557A53" w:rsidRPr="002122DE">
        <w:rPr>
          <w:rFonts w:ascii="Arial" w:eastAsia="Calibri" w:hAnsi="Arial" w:cs="Arial"/>
          <w:iCs/>
        </w:rPr>
        <w:t xml:space="preserve"> €.</w:t>
      </w:r>
      <w:r w:rsidR="00557A53">
        <w:rPr>
          <w:rFonts w:ascii="Arial" w:eastAsia="Calibri" w:hAnsi="Arial" w:cs="Arial"/>
          <w:iCs/>
        </w:rPr>
        <w:t xml:space="preserve"> </w:t>
      </w:r>
      <w:r w:rsidR="006E5D66">
        <w:rPr>
          <w:rFonts w:ascii="Arial" w:eastAsia="Calibri" w:hAnsi="Arial" w:cs="Arial"/>
          <w:iCs/>
          <w:color w:val="1F497D" w:themeColor="text2"/>
          <w:lang w:eastAsia="en-US"/>
        </w:rPr>
        <w:t>O</w:t>
      </w:r>
      <w:r w:rsidRPr="003A2F86">
        <w:rPr>
          <w:rFonts w:ascii="Arial" w:eastAsia="Calibri" w:hAnsi="Arial" w:cs="Arial"/>
          <w:iCs/>
          <w:color w:val="1F497D" w:themeColor="text2"/>
          <w:lang w:eastAsia="en-US"/>
        </w:rPr>
        <w:t xml:space="preserve">dnose </w:t>
      </w:r>
      <w:r w:rsidR="006E5D66">
        <w:rPr>
          <w:rFonts w:ascii="Arial" w:eastAsia="Calibri" w:hAnsi="Arial" w:cs="Arial"/>
          <w:iCs/>
          <w:color w:val="1F497D" w:themeColor="text2"/>
          <w:lang w:eastAsia="en-US"/>
        </w:rPr>
        <w:t xml:space="preserve">se </w:t>
      </w:r>
      <w:r w:rsidRPr="003A2F86">
        <w:rPr>
          <w:rFonts w:ascii="Arial" w:eastAsia="Calibri" w:hAnsi="Arial" w:cs="Arial"/>
          <w:iCs/>
          <w:color w:val="1F497D" w:themeColor="text2"/>
          <w:lang w:eastAsia="en-US"/>
        </w:rPr>
        <w:t>na prihode Općine</w:t>
      </w:r>
      <w:r w:rsidR="006E5D66">
        <w:rPr>
          <w:rFonts w:ascii="Arial" w:eastAsia="Calibri" w:hAnsi="Arial" w:cs="Arial"/>
          <w:iCs/>
          <w:color w:val="1F497D" w:themeColor="text2"/>
          <w:lang w:eastAsia="en-US"/>
        </w:rPr>
        <w:t xml:space="preserve"> 67.638,22 € i prihode proračunskog korisnika (Muzeji i galerije Konavala) 50 €.</w:t>
      </w:r>
    </w:p>
    <w:p w14:paraId="71D1912E" w14:textId="77777777" w:rsidR="00297233" w:rsidRPr="003A2F86" w:rsidRDefault="00297233" w:rsidP="002972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3795C1B8" w14:textId="591F6AF9" w:rsidR="00557A53" w:rsidRPr="00557A53" w:rsidRDefault="006E5D66" w:rsidP="00557A5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r>
        <w:rPr>
          <w:rFonts w:ascii="Arial" w:eastAsia="Calibri" w:hAnsi="Arial" w:cs="Arial"/>
          <w:iCs/>
          <w:lang w:eastAsia="en-US"/>
        </w:rPr>
        <w:t>Prihodi Općine</w:t>
      </w:r>
      <w:r w:rsidR="00557A53" w:rsidRPr="00557A53">
        <w:rPr>
          <w:rFonts w:ascii="Arial" w:eastAsia="Calibri" w:hAnsi="Arial" w:cs="Arial"/>
          <w:iCs/>
          <w:lang w:eastAsia="en-US"/>
        </w:rPr>
        <w:t xml:space="preserve"> se odnose na prihode od prodaje zemljišta (</w:t>
      </w:r>
      <w:r w:rsidR="00557A53" w:rsidRPr="00557A53">
        <w:rPr>
          <w:rFonts w:ascii="Arial" w:eastAsia="Calibri" w:hAnsi="Arial" w:cs="Arial"/>
          <w:b/>
          <w:iCs/>
          <w:lang w:eastAsia="en-US"/>
        </w:rPr>
        <w:t>711</w:t>
      </w:r>
      <w:r w:rsidR="00557A53" w:rsidRPr="00557A53">
        <w:rPr>
          <w:rFonts w:ascii="Arial" w:eastAsia="Calibri" w:hAnsi="Arial" w:cs="Arial"/>
          <w:iCs/>
          <w:lang w:eastAsia="en-US"/>
        </w:rPr>
        <w:t xml:space="preserve">) u iznosu </w:t>
      </w:r>
      <w:r>
        <w:rPr>
          <w:rFonts w:ascii="Arial" w:eastAsia="Calibri" w:hAnsi="Arial" w:cs="Arial"/>
          <w:iCs/>
          <w:lang w:eastAsia="en-US"/>
        </w:rPr>
        <w:t>66.932</w:t>
      </w:r>
      <w:r w:rsidR="00557A53" w:rsidRPr="00557A53">
        <w:rPr>
          <w:rFonts w:ascii="Arial" w:eastAsia="Calibri" w:hAnsi="Arial" w:cs="Arial"/>
          <w:iCs/>
          <w:lang w:eastAsia="en-US"/>
        </w:rPr>
        <w:t xml:space="preserve"> € i prihode od prodaje proizvedene dugotrajne imovine (</w:t>
      </w:r>
      <w:r w:rsidR="00557A53" w:rsidRPr="00557A53">
        <w:rPr>
          <w:rFonts w:ascii="Arial" w:eastAsia="Calibri" w:hAnsi="Arial" w:cs="Arial"/>
          <w:b/>
          <w:iCs/>
          <w:lang w:eastAsia="en-US"/>
        </w:rPr>
        <w:t>72</w:t>
      </w:r>
      <w:r w:rsidR="00557A53" w:rsidRPr="00557A53">
        <w:rPr>
          <w:rFonts w:ascii="Arial" w:eastAsia="Calibri" w:hAnsi="Arial" w:cs="Arial"/>
          <w:iCs/>
          <w:lang w:eastAsia="en-US"/>
        </w:rPr>
        <w:t xml:space="preserve">) u iznosu </w:t>
      </w:r>
      <w:r>
        <w:rPr>
          <w:rFonts w:ascii="Arial" w:eastAsia="Calibri" w:hAnsi="Arial" w:cs="Arial"/>
          <w:iCs/>
          <w:lang w:eastAsia="en-US"/>
        </w:rPr>
        <w:t>756,22</w:t>
      </w:r>
      <w:r w:rsidR="00557A53" w:rsidRPr="00557A53">
        <w:rPr>
          <w:rFonts w:ascii="Arial" w:eastAsia="Calibri" w:hAnsi="Arial" w:cs="Arial"/>
          <w:iCs/>
          <w:lang w:eastAsia="en-US"/>
        </w:rPr>
        <w:t xml:space="preserve"> € i to prihodi od prodaje stanova na kojima je postojalo stanarsko pravo u iznosu </w:t>
      </w:r>
      <w:r>
        <w:rPr>
          <w:rFonts w:ascii="Arial" w:eastAsia="Calibri" w:hAnsi="Arial" w:cs="Arial"/>
          <w:iCs/>
          <w:lang w:eastAsia="en-US"/>
        </w:rPr>
        <w:t>706,22</w:t>
      </w:r>
      <w:r w:rsidR="00557A53" w:rsidRPr="00557A53">
        <w:rPr>
          <w:rFonts w:ascii="Arial" w:eastAsia="Calibri" w:hAnsi="Arial" w:cs="Arial"/>
          <w:iCs/>
          <w:lang w:eastAsia="en-US"/>
        </w:rPr>
        <w:t xml:space="preserve"> €</w:t>
      </w:r>
      <w:r>
        <w:rPr>
          <w:rFonts w:ascii="Arial" w:eastAsia="Calibri" w:hAnsi="Arial" w:cs="Arial"/>
          <w:iCs/>
          <w:lang w:eastAsia="en-US"/>
        </w:rPr>
        <w:t xml:space="preserve">, dok nije bilo </w:t>
      </w:r>
      <w:r w:rsidR="00557A53" w:rsidRPr="00557A53">
        <w:rPr>
          <w:rFonts w:ascii="Arial" w:eastAsia="Calibri" w:hAnsi="Arial" w:cs="Arial"/>
          <w:iCs/>
          <w:lang w:eastAsia="en-US"/>
        </w:rPr>
        <w:t xml:space="preserve">naknade troškova za legalizirane stanove na Zvekovici </w:t>
      </w:r>
      <w:r>
        <w:rPr>
          <w:rFonts w:ascii="Arial" w:eastAsia="Calibri" w:hAnsi="Arial" w:cs="Arial"/>
          <w:iCs/>
          <w:lang w:eastAsia="en-US"/>
        </w:rPr>
        <w:t>(</w:t>
      </w:r>
      <w:r w:rsidR="00804101">
        <w:rPr>
          <w:rFonts w:ascii="Arial" w:eastAsia="Calibri" w:hAnsi="Arial" w:cs="Arial"/>
          <w:iCs/>
          <w:lang w:eastAsia="en-US"/>
        </w:rPr>
        <w:t>dvije</w:t>
      </w:r>
      <w:r>
        <w:rPr>
          <w:rFonts w:ascii="Arial" w:eastAsia="Calibri" w:hAnsi="Arial" w:cs="Arial"/>
          <w:iCs/>
          <w:lang w:eastAsia="en-US"/>
        </w:rPr>
        <w:t xml:space="preserve"> obročne otplate).</w:t>
      </w:r>
    </w:p>
    <w:p w14:paraId="07357322" w14:textId="77777777" w:rsidR="00557A53" w:rsidRPr="00557A53" w:rsidRDefault="00557A53" w:rsidP="00557A5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p>
    <w:p w14:paraId="288E972D" w14:textId="4ADB960A" w:rsidR="00557A53" w:rsidRPr="00557A53" w:rsidRDefault="00557A53" w:rsidP="00557A5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lang w:eastAsia="en-US"/>
        </w:rPr>
      </w:pPr>
      <w:r w:rsidRPr="00557A53">
        <w:rPr>
          <w:rFonts w:ascii="Arial" w:eastAsia="Calibri" w:hAnsi="Arial" w:cs="Arial"/>
          <w:iCs/>
          <w:lang w:eastAsia="en-US"/>
        </w:rPr>
        <w:t>Ostvareni prihodi od prodaje zemljišta se odnose na prodaju zemljišta radi formiranja građevinskih čestica, a za potrebe ishođenja građevinske dozvole</w:t>
      </w:r>
      <w:r w:rsidR="00804101">
        <w:rPr>
          <w:rFonts w:ascii="Arial" w:eastAsia="Calibri" w:hAnsi="Arial" w:cs="Arial"/>
          <w:iCs/>
          <w:lang w:eastAsia="en-US"/>
        </w:rPr>
        <w:t xml:space="preserve">, te na temelju zamjene zemljišta sa Zračnom lukom Dubrovnik. </w:t>
      </w:r>
      <w:r w:rsidRPr="00557A53">
        <w:rPr>
          <w:rFonts w:ascii="Arial" w:eastAsia="Calibri" w:hAnsi="Arial" w:cs="Arial"/>
          <w:iCs/>
          <w:lang w:eastAsia="en-US"/>
        </w:rPr>
        <w:t xml:space="preserve">Prodajna cijena je utvrđena na temelju procjene tržišne vrijednosti nekretnine ovlaštenog sudskog vještaka. </w:t>
      </w:r>
    </w:p>
    <w:p w14:paraId="22FFAABC" w14:textId="77777777" w:rsidR="00557A53" w:rsidRDefault="00557A53" w:rsidP="00C353E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695C2D35" w14:textId="37049613" w:rsidR="00C353EF" w:rsidRPr="003A2F86" w:rsidRDefault="00B47149" w:rsidP="00B4714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Calibri" w:hAnsi="Arial" w:cs="Arial"/>
          <w:sz w:val="18"/>
          <w:szCs w:val="18"/>
          <w:lang w:eastAsia="en-US"/>
        </w:rPr>
      </w:pPr>
      <w:r>
        <w:rPr>
          <w:rFonts w:ascii="Arial" w:eastAsia="Calibri" w:hAnsi="Arial" w:cs="Arial"/>
          <w:iCs/>
          <w:sz w:val="18"/>
          <w:szCs w:val="18"/>
          <w:lang w:eastAsia="en-US"/>
        </w:rPr>
        <w:t xml:space="preserve">U 2023. </w:t>
      </w:r>
      <w:r w:rsidR="00C353EF" w:rsidRPr="003A2F86">
        <w:rPr>
          <w:rFonts w:ascii="Arial" w:eastAsia="Calibri" w:hAnsi="Arial" w:cs="Arial"/>
          <w:iCs/>
          <w:sz w:val="18"/>
          <w:szCs w:val="18"/>
          <w:lang w:eastAsia="en-US"/>
        </w:rPr>
        <w:t>ostvareni prihodi od prodaje zemljišta su se odnosili prodaju zemljišta kupcima radi formiranja građevinskih čestica, a za potrebe ishođenja građevinske dozvole.</w:t>
      </w:r>
      <w:r w:rsidR="00477B00" w:rsidRPr="003A2F86">
        <w:rPr>
          <w:rFonts w:ascii="Arial" w:eastAsia="Calibri" w:hAnsi="Arial" w:cs="Arial"/>
          <w:iCs/>
          <w:sz w:val="18"/>
          <w:szCs w:val="18"/>
          <w:lang w:eastAsia="en-US"/>
        </w:rPr>
        <w:t xml:space="preserve"> Također, </w:t>
      </w:r>
      <w:r>
        <w:rPr>
          <w:rFonts w:ascii="Arial" w:eastAsia="Calibri" w:hAnsi="Arial" w:cs="Arial"/>
          <w:iCs/>
          <w:sz w:val="18"/>
          <w:szCs w:val="18"/>
          <w:lang w:eastAsia="en-US"/>
        </w:rPr>
        <w:t>u 2023.</w:t>
      </w:r>
      <w:r w:rsidR="00477B00" w:rsidRPr="003A2F86">
        <w:rPr>
          <w:rFonts w:ascii="Arial" w:eastAsia="Calibri" w:hAnsi="Arial" w:cs="Arial"/>
          <w:iCs/>
          <w:sz w:val="18"/>
          <w:szCs w:val="18"/>
          <w:lang w:eastAsia="en-US"/>
        </w:rPr>
        <w:t xml:space="preserve"> ostvarena su s</w:t>
      </w:r>
      <w:r w:rsidR="00477B00" w:rsidRPr="003A2F86">
        <w:rPr>
          <w:rFonts w:ascii="Arial" w:eastAsia="Calibri" w:hAnsi="Arial" w:cs="Arial"/>
          <w:sz w:val="18"/>
          <w:szCs w:val="18"/>
          <w:lang w:eastAsia="en-US"/>
        </w:rPr>
        <w:t xml:space="preserve">redstva od prodaje zemljišta 2.861.030,41 € Zračnoj luci Dubrovnik (prostor buduće poduzetničke zone, 51.531 m²). </w:t>
      </w:r>
    </w:p>
    <w:p w14:paraId="2EBBECB0" w14:textId="77777777" w:rsidR="00477B00" w:rsidRPr="003A2F86" w:rsidRDefault="00477B00" w:rsidP="00C353E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2BD22762" w14:textId="3C40EEE2" w:rsidR="00996CFB" w:rsidRPr="002122DE" w:rsidRDefault="00C353EF" w:rsidP="00996CF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rPr>
      </w:pPr>
      <w:r w:rsidRPr="003A2F86">
        <w:rPr>
          <w:rFonts w:ascii="Arial" w:eastAsia="Calibri" w:hAnsi="Arial" w:cs="Arial"/>
          <w:lang w:eastAsia="en-US"/>
        </w:rPr>
        <w:t xml:space="preserve">Prihodi od prodaje stanova na kojima je postojalo stanarsko pravo (ugovori o kupoprodaji stanova sa stanarskim pravom koje je ranijih godina zaključila Općina i društvo Domouprava d.o.o. s kupcima) </w:t>
      </w:r>
      <w:r w:rsidR="00996CFB" w:rsidRPr="002122DE">
        <w:rPr>
          <w:rFonts w:ascii="Arial" w:eastAsia="Calibri" w:hAnsi="Arial" w:cs="Arial"/>
        </w:rPr>
        <w:t xml:space="preserve">ostvareni su u iznosu </w:t>
      </w:r>
      <w:r w:rsidR="00804101">
        <w:rPr>
          <w:rFonts w:ascii="Arial" w:eastAsia="Calibri" w:hAnsi="Arial" w:cs="Arial"/>
        </w:rPr>
        <w:t>706,22</w:t>
      </w:r>
      <w:r w:rsidR="00996CFB" w:rsidRPr="002122DE">
        <w:rPr>
          <w:rFonts w:ascii="Arial" w:eastAsia="Calibri" w:hAnsi="Arial" w:cs="Arial"/>
        </w:rPr>
        <w:t xml:space="preserve"> € što je za </w:t>
      </w:r>
      <w:r w:rsidR="00804101">
        <w:rPr>
          <w:rFonts w:ascii="Arial" w:eastAsia="Calibri" w:hAnsi="Arial" w:cs="Arial"/>
        </w:rPr>
        <w:t>347,75</w:t>
      </w:r>
      <w:r w:rsidR="00996CFB" w:rsidRPr="002122DE">
        <w:rPr>
          <w:rFonts w:ascii="Arial" w:eastAsia="Calibri" w:hAnsi="Arial" w:cs="Arial"/>
        </w:rPr>
        <w:t xml:space="preserve"> € ili </w:t>
      </w:r>
      <w:r w:rsidR="00804101">
        <w:rPr>
          <w:rFonts w:ascii="Arial" w:eastAsia="Calibri" w:hAnsi="Arial" w:cs="Arial"/>
        </w:rPr>
        <w:t>33</w:t>
      </w:r>
      <w:r w:rsidR="00996CFB" w:rsidRPr="002122DE">
        <w:rPr>
          <w:rFonts w:ascii="Arial" w:eastAsia="Calibri" w:hAnsi="Arial" w:cs="Arial"/>
        </w:rPr>
        <w:t>% manje u odnosu na prethodnu godinu. Ovi prihodi se odnose na prihode po</w:t>
      </w:r>
      <w:r w:rsidR="00996CFB" w:rsidRPr="002122DE">
        <w:rPr>
          <w:rFonts w:ascii="Arial" w:hAnsi="Arial" w:cs="Arial"/>
        </w:rPr>
        <w:t xml:space="preserve"> </w:t>
      </w:r>
      <w:r w:rsidR="00996CFB" w:rsidRPr="002122DE">
        <w:rPr>
          <w:rFonts w:ascii="Arial" w:eastAsia="Calibri" w:hAnsi="Arial" w:cs="Arial"/>
        </w:rPr>
        <w:t>ugovorima o kupoprodaji stanova sa stanarskim pravom koje je ranijih godina zaključila Općina i društvo Domouprava s kupcima.</w:t>
      </w:r>
    </w:p>
    <w:p w14:paraId="7A914662" w14:textId="383DB5CA" w:rsidR="00477B00" w:rsidRPr="003A2F86" w:rsidRDefault="00477B00" w:rsidP="00C353E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7E67CD3F" w14:textId="5875E4D0" w:rsidR="00C353EF" w:rsidRPr="003A2F86" w:rsidRDefault="00804101" w:rsidP="00C353E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r>
        <w:rPr>
          <w:rFonts w:ascii="Arial" w:eastAsia="Calibri" w:hAnsi="Arial" w:cs="Arial"/>
          <w:lang w:eastAsia="en-US"/>
        </w:rPr>
        <w:t xml:space="preserve">U izvještajnom razdoblju </w:t>
      </w:r>
      <w:r w:rsidR="0061154C">
        <w:rPr>
          <w:rFonts w:ascii="Arial" w:eastAsia="Calibri" w:hAnsi="Arial" w:cs="Arial"/>
          <w:lang w:eastAsia="en-US"/>
        </w:rPr>
        <w:t>2024.</w:t>
      </w:r>
      <w:r>
        <w:rPr>
          <w:rFonts w:ascii="Arial" w:eastAsia="Calibri" w:hAnsi="Arial" w:cs="Arial"/>
          <w:lang w:eastAsia="en-US"/>
        </w:rPr>
        <w:t xml:space="preserve"> godine bili su </w:t>
      </w:r>
      <w:r w:rsidR="00477B00" w:rsidRPr="003A2F86">
        <w:rPr>
          <w:rFonts w:ascii="Arial" w:eastAsia="Calibri" w:hAnsi="Arial" w:cs="Arial"/>
          <w:lang w:eastAsia="en-US"/>
        </w:rPr>
        <w:t xml:space="preserve">ostvareni prihodi </w:t>
      </w:r>
      <w:r w:rsidR="00014BB6" w:rsidRPr="003A2F86">
        <w:rPr>
          <w:rFonts w:ascii="Arial" w:eastAsia="Calibri" w:hAnsi="Arial" w:cs="Arial"/>
          <w:lang w:eastAsia="en-US"/>
        </w:rPr>
        <w:t xml:space="preserve">u iznosu </w:t>
      </w:r>
      <w:r>
        <w:rPr>
          <w:rFonts w:ascii="Arial" w:eastAsia="Calibri" w:hAnsi="Arial" w:cs="Arial"/>
          <w:lang w:eastAsia="en-US"/>
        </w:rPr>
        <w:t>205.279,63</w:t>
      </w:r>
      <w:r w:rsidR="00014BB6" w:rsidRPr="003A2F86">
        <w:rPr>
          <w:rFonts w:ascii="Arial" w:eastAsia="Calibri" w:hAnsi="Arial" w:cs="Arial"/>
          <w:lang w:eastAsia="en-US"/>
        </w:rPr>
        <w:t xml:space="preserve"> € </w:t>
      </w:r>
      <w:r w:rsidR="00477B00" w:rsidRPr="003A2F86">
        <w:rPr>
          <w:rFonts w:ascii="Arial" w:eastAsia="Calibri" w:hAnsi="Arial" w:cs="Arial"/>
          <w:lang w:eastAsia="en-US"/>
        </w:rPr>
        <w:t>od nadoknade</w:t>
      </w:r>
      <w:r w:rsidR="00014BB6" w:rsidRPr="003A2F86">
        <w:rPr>
          <w:rFonts w:ascii="Arial" w:eastAsia="Calibri" w:hAnsi="Arial" w:cs="Arial"/>
          <w:lang w:eastAsia="en-US"/>
        </w:rPr>
        <w:t xml:space="preserve"> razmjernog dijela vrijednosti zemljišta na kojem su izgrađene zgrade i troškova koje je Općina imala u vezi legalizacije, ucrtavanja i etažiranja zgrada na Zvekovici, uključujući izradu snimki izvedenog stanja i naknadu za zadržavanje u prostoru, kao i troškova parcelacije zemljišta, izrade procjembenog elaborata, te komunalnih i vodnih doprinosa</w:t>
      </w:r>
      <w:r w:rsidR="00477B00" w:rsidRPr="003A2F86">
        <w:rPr>
          <w:rFonts w:ascii="Arial" w:eastAsia="Calibri" w:hAnsi="Arial" w:cs="Arial"/>
          <w:lang w:eastAsia="en-US"/>
        </w:rPr>
        <w:t xml:space="preserve"> troškova</w:t>
      </w:r>
      <w:r w:rsidR="00014BB6" w:rsidRPr="003A2F86">
        <w:rPr>
          <w:rFonts w:ascii="Arial" w:eastAsia="Calibri" w:hAnsi="Arial" w:cs="Arial"/>
          <w:lang w:eastAsia="en-US"/>
        </w:rPr>
        <w:t xml:space="preserve">, a sve </w:t>
      </w:r>
      <w:r w:rsidR="00477B00" w:rsidRPr="003A2F86">
        <w:rPr>
          <w:rFonts w:ascii="Arial" w:eastAsia="Calibri" w:hAnsi="Arial" w:cs="Arial"/>
          <w:lang w:eastAsia="en-US"/>
        </w:rPr>
        <w:t>na temelju zaključenih sudskih nagodbi</w:t>
      </w:r>
      <w:r w:rsidR="00014BB6" w:rsidRPr="003A2F86">
        <w:rPr>
          <w:rFonts w:ascii="Arial" w:eastAsia="Calibri" w:hAnsi="Arial" w:cs="Arial"/>
          <w:lang w:eastAsia="en-US"/>
        </w:rPr>
        <w:t>. Ovi prihodi su ostvareni nakon višegodišnjih pravnih postupaka i radnji.</w:t>
      </w:r>
      <w:r>
        <w:rPr>
          <w:rFonts w:ascii="Arial" w:eastAsia="Calibri" w:hAnsi="Arial" w:cs="Arial"/>
          <w:lang w:eastAsia="en-US"/>
        </w:rPr>
        <w:t xml:space="preserve"> Sveukupno u 2024. godini ovi prihodi su ostvareni u iznosu 273.495,47</w:t>
      </w:r>
      <w:r w:rsidRPr="003A2F86">
        <w:rPr>
          <w:rFonts w:ascii="Arial" w:eastAsia="Calibri" w:hAnsi="Arial" w:cs="Arial"/>
          <w:lang w:eastAsia="en-US"/>
        </w:rPr>
        <w:t xml:space="preserve"> €</w:t>
      </w:r>
      <w:r>
        <w:rPr>
          <w:rFonts w:ascii="Arial" w:eastAsia="Calibri" w:hAnsi="Arial" w:cs="Arial"/>
          <w:lang w:eastAsia="en-US"/>
        </w:rPr>
        <w:t>. Dug na temelju dvije obročne otplate koncem lipnja 2025. godine iznosi 20.552,86 €.</w:t>
      </w:r>
    </w:p>
    <w:p w14:paraId="1270D878" w14:textId="616396C6" w:rsidR="00C353EF" w:rsidRPr="003A2F86" w:rsidRDefault="00C353EF">
      <w:pPr>
        <w:rPr>
          <w:rFonts w:ascii="Arial" w:eastAsia="Calibri" w:hAnsi="Arial" w:cs="Arial"/>
          <w:iCs/>
          <w:lang w:eastAsia="en-US"/>
        </w:rPr>
      </w:pPr>
      <w:bookmarkStart w:id="131" w:name="_Hlk65499413"/>
      <w:r w:rsidRPr="003A2F86">
        <w:rPr>
          <w:rFonts w:ascii="Arial" w:eastAsia="Calibri" w:hAnsi="Arial" w:cs="Arial"/>
          <w:iCs/>
          <w:lang w:eastAsia="en-US"/>
        </w:rPr>
        <w:br w:type="page"/>
      </w:r>
    </w:p>
    <w:p w14:paraId="0D73D38E" w14:textId="5E602668" w:rsidR="002E304B" w:rsidRPr="003A2F86" w:rsidRDefault="002E304B" w:rsidP="002E304B">
      <w:pPr>
        <w:pStyle w:val="Naslov3"/>
        <w:jc w:val="center"/>
        <w:rPr>
          <w:rFonts w:ascii="Arial" w:hAnsi="Arial" w:cs="Arial"/>
          <w:sz w:val="22"/>
          <w:szCs w:val="22"/>
          <w:lang w:val="hr-HR"/>
        </w:rPr>
      </w:pPr>
      <w:bookmarkStart w:id="132" w:name="_Toc207707429"/>
      <w:bookmarkEnd w:id="131"/>
      <w:r w:rsidRPr="003A2F86">
        <w:rPr>
          <w:rFonts w:ascii="Arial" w:hAnsi="Arial" w:cs="Arial"/>
          <w:sz w:val="22"/>
          <w:szCs w:val="22"/>
          <w:lang w:val="hr-HR"/>
        </w:rPr>
        <w:lastRenderedPageBreak/>
        <w:t>2.4.3.</w:t>
      </w:r>
      <w:r w:rsidRPr="003A2F86">
        <w:rPr>
          <w:rFonts w:ascii="Arial" w:hAnsi="Arial" w:cs="Arial"/>
          <w:sz w:val="22"/>
          <w:szCs w:val="22"/>
          <w:lang w:val="hr-HR"/>
        </w:rPr>
        <w:tab/>
        <w:t>R</w:t>
      </w:r>
      <w:r w:rsidR="00E97058" w:rsidRPr="003A2F86">
        <w:rPr>
          <w:rFonts w:ascii="Arial" w:hAnsi="Arial" w:cs="Arial"/>
          <w:sz w:val="22"/>
          <w:szCs w:val="22"/>
          <w:lang w:val="hr-HR"/>
        </w:rPr>
        <w:t>ASHODI POSLOVANJA</w:t>
      </w:r>
      <w:r w:rsidR="00744D8B" w:rsidRPr="003A2F86">
        <w:rPr>
          <w:rFonts w:ascii="Arial" w:hAnsi="Arial" w:cs="Arial"/>
          <w:sz w:val="22"/>
          <w:szCs w:val="22"/>
          <w:lang w:val="hr-HR"/>
        </w:rPr>
        <w:t xml:space="preserve"> (3)</w:t>
      </w:r>
      <w:bookmarkStart w:id="133" w:name="Rashodi_poslovanja"/>
      <w:bookmarkEnd w:id="132"/>
      <w:bookmarkEnd w:id="133"/>
    </w:p>
    <w:p w14:paraId="37945C74" w14:textId="77777777" w:rsidR="00F66355" w:rsidRPr="003A2F86" w:rsidRDefault="00F66355"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bookmarkEnd w:id="129"/>
    <w:p w14:paraId="586F566E" w14:textId="7169E65B" w:rsidR="00F34F33" w:rsidRPr="00F34F33" w:rsidRDefault="00F34F33" w:rsidP="00F34F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F34F33">
        <w:rPr>
          <w:rFonts w:ascii="Arial" w:eastAsia="Times New Roman" w:hAnsi="Arial" w:cs="Arial"/>
          <w:b/>
          <w:iCs/>
        </w:rPr>
        <w:t>Rashodi poslovanja</w:t>
      </w:r>
      <w:r w:rsidRPr="00F34F33">
        <w:rPr>
          <w:rFonts w:ascii="Arial" w:eastAsia="Times New Roman" w:hAnsi="Arial" w:cs="Arial"/>
          <w:iCs/>
        </w:rPr>
        <w:t xml:space="preserve"> (3) izvršeni su u iznosu </w:t>
      </w:r>
      <w:r w:rsidR="00DA2A7C">
        <w:rPr>
          <w:rFonts w:ascii="Arial" w:eastAsia="Times New Roman" w:hAnsi="Arial" w:cs="Arial"/>
          <w:iCs/>
        </w:rPr>
        <w:t>6.517.682,58</w:t>
      </w:r>
      <w:r w:rsidRPr="00F34F33">
        <w:rPr>
          <w:rFonts w:ascii="Arial" w:eastAsia="Times New Roman" w:hAnsi="Arial" w:cs="Arial"/>
          <w:iCs/>
        </w:rPr>
        <w:t xml:space="preserve"> € što je za </w:t>
      </w:r>
      <w:r w:rsidR="00DA2A7C">
        <w:rPr>
          <w:rFonts w:ascii="Arial" w:eastAsia="Times New Roman" w:hAnsi="Arial" w:cs="Arial"/>
          <w:iCs/>
        </w:rPr>
        <w:t>1.595.413,74</w:t>
      </w:r>
      <w:r w:rsidRPr="00F34F33">
        <w:rPr>
          <w:rFonts w:ascii="Arial" w:eastAsia="Times New Roman" w:hAnsi="Arial" w:cs="Arial"/>
          <w:iCs/>
        </w:rPr>
        <w:t xml:space="preserve"> € ili </w:t>
      </w:r>
      <w:r w:rsidR="00DA2A7C">
        <w:rPr>
          <w:rFonts w:ascii="Arial" w:eastAsia="Times New Roman" w:hAnsi="Arial" w:cs="Arial"/>
          <w:iCs/>
        </w:rPr>
        <w:t>32,4</w:t>
      </w:r>
      <w:r w:rsidRPr="00F34F33">
        <w:rPr>
          <w:rFonts w:ascii="Arial" w:eastAsia="Times New Roman" w:hAnsi="Arial" w:cs="Arial"/>
          <w:iCs/>
        </w:rPr>
        <w:t xml:space="preserve">% više u odnosu na izvršene rashode poslovanja u izvještajnom razdoblju prethodne godine. </w:t>
      </w:r>
    </w:p>
    <w:p w14:paraId="04BCE6FE"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18B93B86" w14:textId="2C071ECA" w:rsidR="005E3453" w:rsidRPr="003A2F86" w:rsidRDefault="005E345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1F497D" w:themeColor="text2"/>
        </w:rPr>
      </w:pPr>
      <w:r w:rsidRPr="003A2F86">
        <w:rPr>
          <w:rFonts w:ascii="Arial" w:eastAsia="Times New Roman" w:hAnsi="Arial" w:cs="Arial"/>
          <w:color w:val="1F497D" w:themeColor="text2"/>
        </w:rPr>
        <w:tab/>
        <w:t xml:space="preserve">Ukupni </w:t>
      </w:r>
      <w:r w:rsidRPr="003A2F86">
        <w:rPr>
          <w:rFonts w:ascii="Arial" w:eastAsia="Times New Roman" w:hAnsi="Arial" w:cs="Arial"/>
          <w:b/>
          <w:bCs/>
          <w:color w:val="1F497D" w:themeColor="text2"/>
        </w:rPr>
        <w:t xml:space="preserve">rashodi poslovanja Općine (razred 3 bez rashoda </w:t>
      </w:r>
      <w:r w:rsidRPr="003A2F86">
        <w:rPr>
          <w:rFonts w:ascii="Arial" w:eastAsia="Times New Roman" w:hAnsi="Arial" w:cs="Arial"/>
          <w:b/>
          <w:bCs/>
          <w:color w:val="1F497D" w:themeColor="text2"/>
          <w:u w:val="single"/>
        </w:rPr>
        <w:t>podskupina 367</w:t>
      </w:r>
      <w:r w:rsidRPr="003A2F86">
        <w:rPr>
          <w:rFonts w:ascii="Arial" w:eastAsia="Times New Roman" w:hAnsi="Arial" w:cs="Arial"/>
          <w:b/>
          <w:bCs/>
          <w:color w:val="1F497D" w:themeColor="text2"/>
        </w:rPr>
        <w:t>,</w:t>
      </w:r>
      <w:r w:rsidRPr="003A2F86">
        <w:rPr>
          <w:rFonts w:ascii="Arial" w:eastAsia="Times New Roman" w:hAnsi="Arial" w:cs="Arial"/>
          <w:color w:val="1F497D" w:themeColor="text2"/>
        </w:rPr>
        <w:t xml:space="preserve"> prijenosi proračunskim korisnicima iz nadležnog proračuna za financiranje redovne djelatnosti) iznose </w:t>
      </w:r>
      <w:bookmarkStart w:id="134" w:name="_Hlk145935144"/>
      <w:r w:rsidR="00DA2A7C">
        <w:rPr>
          <w:rFonts w:ascii="Arial" w:eastAsia="Times New Roman" w:hAnsi="Arial" w:cs="Arial"/>
          <w:color w:val="1F497D" w:themeColor="text2"/>
        </w:rPr>
        <w:t>3.569.258,46</w:t>
      </w:r>
      <w:r w:rsidRPr="003A2F86">
        <w:rPr>
          <w:rFonts w:ascii="Arial" w:eastAsia="Times New Roman" w:hAnsi="Arial" w:cs="Arial"/>
          <w:color w:val="1F497D" w:themeColor="text2"/>
        </w:rPr>
        <w:t xml:space="preserve"> € </w:t>
      </w:r>
      <w:bookmarkEnd w:id="134"/>
      <w:r w:rsidRPr="003A2F86">
        <w:rPr>
          <w:rFonts w:ascii="Arial" w:eastAsia="Times New Roman" w:hAnsi="Arial" w:cs="Arial"/>
          <w:color w:val="1F497D" w:themeColor="text2"/>
        </w:rPr>
        <w:t>(</w:t>
      </w:r>
      <w:r w:rsidR="00DA2A7C">
        <w:rPr>
          <w:rFonts w:ascii="Arial" w:eastAsia="Times New Roman" w:hAnsi="Arial" w:cs="Arial"/>
          <w:color w:val="1F497D" w:themeColor="text2"/>
        </w:rPr>
        <w:t>54,8</w:t>
      </w:r>
      <w:r w:rsidRPr="003A2F86">
        <w:rPr>
          <w:rFonts w:ascii="Arial" w:eastAsia="Times New Roman" w:hAnsi="Arial" w:cs="Arial"/>
          <w:color w:val="1F497D" w:themeColor="text2"/>
        </w:rPr>
        <w:t xml:space="preserve">%), a </w:t>
      </w:r>
      <w:r w:rsidRPr="003A2F86">
        <w:rPr>
          <w:rFonts w:ascii="Arial" w:eastAsia="Times New Roman" w:hAnsi="Arial" w:cs="Arial"/>
          <w:b/>
          <w:bCs/>
          <w:color w:val="1F497D" w:themeColor="text2"/>
        </w:rPr>
        <w:t>rashodi poslovanja (3) proračunskih korisnika</w:t>
      </w:r>
      <w:r w:rsidRPr="003A2F86">
        <w:rPr>
          <w:rFonts w:ascii="Arial" w:eastAsia="Times New Roman" w:hAnsi="Arial" w:cs="Arial"/>
          <w:color w:val="1F497D" w:themeColor="text2"/>
        </w:rPr>
        <w:t xml:space="preserve"> iznose </w:t>
      </w:r>
      <w:r w:rsidR="00DA2A7C">
        <w:rPr>
          <w:rFonts w:ascii="Arial" w:eastAsia="Times New Roman" w:hAnsi="Arial" w:cs="Arial"/>
          <w:color w:val="1F497D" w:themeColor="text2"/>
        </w:rPr>
        <w:t>2.948.424,12</w:t>
      </w:r>
      <w:r w:rsidRPr="003A2F86">
        <w:rPr>
          <w:rFonts w:ascii="Arial" w:eastAsia="Times New Roman" w:hAnsi="Arial" w:cs="Arial"/>
          <w:color w:val="1F497D" w:themeColor="text2"/>
        </w:rPr>
        <w:t xml:space="preserve"> € (</w:t>
      </w:r>
      <w:r w:rsidR="00F34F33">
        <w:rPr>
          <w:rFonts w:ascii="Arial" w:eastAsia="Times New Roman" w:hAnsi="Arial" w:cs="Arial"/>
          <w:color w:val="1F497D" w:themeColor="text2"/>
        </w:rPr>
        <w:t>4</w:t>
      </w:r>
      <w:r w:rsidR="00DA2A7C">
        <w:rPr>
          <w:rFonts w:ascii="Arial" w:eastAsia="Times New Roman" w:hAnsi="Arial" w:cs="Arial"/>
          <w:color w:val="1F497D" w:themeColor="text2"/>
        </w:rPr>
        <w:t>5,2</w:t>
      </w:r>
      <w:r w:rsidRPr="003A2F86">
        <w:rPr>
          <w:rFonts w:ascii="Arial" w:eastAsia="Times New Roman" w:hAnsi="Arial" w:cs="Arial"/>
          <w:color w:val="1F497D" w:themeColor="text2"/>
        </w:rPr>
        <w:t>%).</w:t>
      </w:r>
    </w:p>
    <w:p w14:paraId="53BEE83C" w14:textId="0DEEAEEC" w:rsidR="00FD482B" w:rsidRDefault="001C444A"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b/>
          <w:bCs/>
          <w:u w:val="single"/>
        </w:rPr>
        <w:t>Rashodi podskupine 367</w:t>
      </w:r>
      <w:r w:rsidRPr="003A2F86">
        <w:rPr>
          <w:rFonts w:ascii="Arial" w:eastAsia="Times New Roman" w:hAnsi="Arial" w:cs="Arial"/>
        </w:rPr>
        <w:t xml:space="preserve"> predstavljaju iznos rashoda koji Općina financira, odnosno doznačuje proračunskim korisnicima </w:t>
      </w:r>
      <w:r w:rsidR="00B763B2" w:rsidRPr="003A2F86">
        <w:rPr>
          <w:rFonts w:ascii="Arial" w:eastAsia="Times New Roman" w:hAnsi="Arial" w:cs="Arial"/>
        </w:rPr>
        <w:t xml:space="preserve">čime se </w:t>
      </w:r>
      <w:r w:rsidRPr="003A2F86">
        <w:rPr>
          <w:rFonts w:ascii="Arial" w:eastAsia="Times New Roman" w:hAnsi="Arial" w:cs="Arial"/>
        </w:rPr>
        <w:t xml:space="preserve">povećava ukupan iznos rashoda proračuna Općine. Međutim, tablica u nastavku prikazuje </w:t>
      </w:r>
      <w:r w:rsidR="00B763B2" w:rsidRPr="003A2F86">
        <w:rPr>
          <w:rFonts w:ascii="Arial" w:eastAsia="Times New Roman" w:hAnsi="Arial" w:cs="Arial"/>
        </w:rPr>
        <w:t xml:space="preserve">koliko se od ukupno izvršenih rashoda odnosi na rashode proračunskih korisnika, a koliko Općina bez </w:t>
      </w:r>
      <w:r w:rsidR="00624C0F" w:rsidRPr="003A2F86">
        <w:rPr>
          <w:rFonts w:ascii="Arial" w:eastAsia="Times New Roman" w:hAnsi="Arial" w:cs="Arial"/>
        </w:rPr>
        <w:t xml:space="preserve">prijenosa </w:t>
      </w:r>
      <w:r w:rsidR="00B763B2" w:rsidRPr="003A2F86">
        <w:rPr>
          <w:rFonts w:ascii="Arial" w:eastAsia="Times New Roman" w:hAnsi="Arial" w:cs="Arial"/>
        </w:rPr>
        <w:t>proračunski</w:t>
      </w:r>
      <w:r w:rsidR="00624C0F" w:rsidRPr="003A2F86">
        <w:rPr>
          <w:rFonts w:ascii="Arial" w:eastAsia="Times New Roman" w:hAnsi="Arial" w:cs="Arial"/>
        </w:rPr>
        <w:t>m</w:t>
      </w:r>
      <w:r w:rsidR="00B763B2" w:rsidRPr="003A2F86">
        <w:rPr>
          <w:rFonts w:ascii="Arial" w:eastAsia="Times New Roman" w:hAnsi="Arial" w:cs="Arial"/>
        </w:rPr>
        <w:t xml:space="preserve"> korisni</w:t>
      </w:r>
      <w:r w:rsidR="00624C0F" w:rsidRPr="003A2F86">
        <w:rPr>
          <w:rFonts w:ascii="Arial" w:eastAsia="Times New Roman" w:hAnsi="Arial" w:cs="Arial"/>
        </w:rPr>
        <w:t>cima</w:t>
      </w:r>
      <w:r w:rsidR="00B763B2" w:rsidRPr="003A2F86">
        <w:rPr>
          <w:rFonts w:ascii="Arial" w:eastAsia="Times New Roman" w:hAnsi="Arial" w:cs="Arial"/>
        </w:rPr>
        <w:t>.</w:t>
      </w:r>
    </w:p>
    <w:p w14:paraId="5AE407AC" w14:textId="77777777" w:rsidR="00F34F33" w:rsidRDefault="00F34F3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E77F624" w14:textId="6EBE8D59" w:rsidR="000F7EC5" w:rsidRDefault="00F34F33"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ab/>
        <w:t xml:space="preserve">Rashodi </w:t>
      </w:r>
      <w:r w:rsidR="000F7EC5">
        <w:rPr>
          <w:rFonts w:ascii="Arial" w:eastAsia="Times New Roman" w:hAnsi="Arial" w:cs="Arial"/>
        </w:rPr>
        <w:t xml:space="preserve">poslovanja (3) </w:t>
      </w:r>
      <w:r>
        <w:rPr>
          <w:rFonts w:ascii="Arial" w:eastAsia="Times New Roman" w:hAnsi="Arial" w:cs="Arial"/>
        </w:rPr>
        <w:t>Općine (bez rashoda</w:t>
      </w:r>
      <w:r w:rsidR="000F7EC5">
        <w:rPr>
          <w:rFonts w:ascii="Arial" w:eastAsia="Times New Roman" w:hAnsi="Arial" w:cs="Arial"/>
        </w:rPr>
        <w:t xml:space="preserve"> </w:t>
      </w:r>
      <w:r>
        <w:rPr>
          <w:rFonts w:ascii="Arial" w:eastAsia="Times New Roman" w:hAnsi="Arial" w:cs="Arial"/>
        </w:rPr>
        <w:t>p</w:t>
      </w:r>
      <w:r w:rsidR="000F7EC5">
        <w:rPr>
          <w:rFonts w:ascii="Arial" w:eastAsia="Times New Roman" w:hAnsi="Arial" w:cs="Arial"/>
        </w:rPr>
        <w:t xml:space="preserve">odskupina 367) </w:t>
      </w:r>
      <w:r>
        <w:rPr>
          <w:rFonts w:ascii="Arial" w:eastAsia="Times New Roman" w:hAnsi="Arial" w:cs="Arial"/>
        </w:rPr>
        <w:t xml:space="preserve">su </w:t>
      </w:r>
      <w:r w:rsidR="000F7EC5">
        <w:rPr>
          <w:rFonts w:ascii="Arial" w:eastAsia="Times New Roman" w:hAnsi="Arial" w:cs="Arial"/>
        </w:rPr>
        <w:t>veći</w:t>
      </w:r>
      <w:r>
        <w:rPr>
          <w:rFonts w:ascii="Arial" w:eastAsia="Times New Roman" w:hAnsi="Arial" w:cs="Arial"/>
        </w:rPr>
        <w:t xml:space="preserve"> za </w:t>
      </w:r>
      <w:r w:rsidR="00DA2A7C">
        <w:rPr>
          <w:rFonts w:ascii="Arial" w:eastAsia="Times New Roman" w:hAnsi="Arial" w:cs="Arial"/>
        </w:rPr>
        <w:t>866.510,77</w:t>
      </w:r>
      <w:r>
        <w:rPr>
          <w:rFonts w:ascii="Arial" w:eastAsia="Times New Roman" w:hAnsi="Arial" w:cs="Arial"/>
        </w:rPr>
        <w:t xml:space="preserve"> € ili </w:t>
      </w:r>
      <w:r w:rsidR="00DA2A7C">
        <w:rPr>
          <w:rFonts w:ascii="Arial" w:eastAsia="Times New Roman" w:hAnsi="Arial" w:cs="Arial"/>
        </w:rPr>
        <w:t>32,1</w:t>
      </w:r>
      <w:r>
        <w:rPr>
          <w:rFonts w:ascii="Arial" w:eastAsia="Times New Roman" w:hAnsi="Arial" w:cs="Arial"/>
        </w:rPr>
        <w:t>% u odnosu na prethodnu godinu</w:t>
      </w:r>
      <w:r w:rsidR="000F7EC5">
        <w:rPr>
          <w:rFonts w:ascii="Arial" w:eastAsia="Times New Roman" w:hAnsi="Arial" w:cs="Arial"/>
        </w:rPr>
        <w:t xml:space="preserve">. Rashodi poskupine 367 su veći za </w:t>
      </w:r>
      <w:r w:rsidR="00DA2A7C">
        <w:rPr>
          <w:rFonts w:ascii="Arial" w:eastAsia="Times New Roman" w:hAnsi="Arial" w:cs="Arial"/>
        </w:rPr>
        <w:t>789.060,77</w:t>
      </w:r>
      <w:r w:rsidR="000F7EC5">
        <w:rPr>
          <w:rFonts w:ascii="Arial" w:eastAsia="Times New Roman" w:hAnsi="Arial" w:cs="Arial"/>
        </w:rPr>
        <w:t xml:space="preserve"> € ili </w:t>
      </w:r>
      <w:r w:rsidR="00DA2A7C">
        <w:rPr>
          <w:rFonts w:ascii="Arial" w:eastAsia="Times New Roman" w:hAnsi="Arial" w:cs="Arial"/>
        </w:rPr>
        <w:t>52,9</w:t>
      </w:r>
      <w:r w:rsidR="000F7EC5">
        <w:rPr>
          <w:rFonts w:ascii="Arial" w:eastAsia="Times New Roman" w:hAnsi="Arial" w:cs="Arial"/>
        </w:rPr>
        <w:t>%.</w:t>
      </w:r>
    </w:p>
    <w:p w14:paraId="22E22327" w14:textId="527E5CDE" w:rsidR="00F34F33" w:rsidRPr="003A2F86" w:rsidRDefault="000F7EC5"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ab/>
        <w:t xml:space="preserve">Rashodi poslovanja (3) proračunskih korisnika su veći za </w:t>
      </w:r>
      <w:r w:rsidR="00DA2A7C">
        <w:rPr>
          <w:rFonts w:ascii="Arial" w:eastAsia="Times New Roman" w:hAnsi="Arial" w:cs="Arial"/>
        </w:rPr>
        <w:t>728.902,97</w:t>
      </w:r>
      <w:r>
        <w:rPr>
          <w:rFonts w:ascii="Arial" w:eastAsia="Times New Roman" w:hAnsi="Arial" w:cs="Arial"/>
        </w:rPr>
        <w:t xml:space="preserve"> € ili </w:t>
      </w:r>
      <w:r w:rsidR="00472628">
        <w:rPr>
          <w:rFonts w:ascii="Arial" w:eastAsia="Times New Roman" w:hAnsi="Arial" w:cs="Arial"/>
        </w:rPr>
        <w:t>32,8</w:t>
      </w:r>
      <w:r>
        <w:rPr>
          <w:rFonts w:ascii="Arial" w:eastAsia="Times New Roman" w:hAnsi="Arial" w:cs="Arial"/>
        </w:rPr>
        <w:t>% u odnosu na prethodnu 2023. godinu.</w:t>
      </w:r>
    </w:p>
    <w:p w14:paraId="169B6A91" w14:textId="77777777" w:rsidR="00B763B2" w:rsidRPr="003A2F86" w:rsidRDefault="00B763B2"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EA8C39F" w14:textId="51CF08D3" w:rsidR="00FD482B" w:rsidRPr="003A2F86" w:rsidRDefault="00D62E70" w:rsidP="00FD482B">
      <w:pPr>
        <w:pStyle w:val="Opisslike"/>
      </w:pPr>
      <w:bookmarkStart w:id="135" w:name="_Toc207707017"/>
      <w:r w:rsidRPr="003A2F86">
        <w:rPr>
          <w:noProof/>
        </w:rPr>
        <w:drawing>
          <wp:anchor distT="0" distB="0" distL="114300" distR="114300" simplePos="0" relativeHeight="251599872" behindDoc="0" locked="0" layoutInCell="1" allowOverlap="1" wp14:anchorId="6E129E3B" wp14:editId="72B05D28">
            <wp:simplePos x="0" y="0"/>
            <wp:positionH relativeFrom="column">
              <wp:posOffset>-58420</wp:posOffset>
            </wp:positionH>
            <wp:positionV relativeFrom="paragraph">
              <wp:posOffset>304165</wp:posOffset>
            </wp:positionV>
            <wp:extent cx="9237345" cy="3000375"/>
            <wp:effectExtent l="0" t="0" r="0" b="0"/>
            <wp:wrapSquare wrapText="bothSides"/>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00FD482B" w:rsidRPr="003A2F86">
        <w:rPr>
          <w:color w:val="FF0000"/>
        </w:rPr>
        <w:t xml:space="preserve">Graf </w:t>
      </w:r>
      <w:r w:rsidR="00FD482B" w:rsidRPr="003A2F86">
        <w:rPr>
          <w:color w:val="FF0000"/>
        </w:rPr>
        <w:fldChar w:fldCharType="begin"/>
      </w:r>
      <w:r w:rsidR="00FD482B" w:rsidRPr="003A2F86">
        <w:rPr>
          <w:color w:val="FF0000"/>
        </w:rPr>
        <w:instrText xml:space="preserve"> SEQ Graf \* ARABIC </w:instrText>
      </w:r>
      <w:r w:rsidR="00FD482B" w:rsidRPr="003A2F86">
        <w:rPr>
          <w:color w:val="FF0000"/>
        </w:rPr>
        <w:fldChar w:fldCharType="separate"/>
      </w:r>
      <w:r w:rsidR="00910987">
        <w:rPr>
          <w:noProof/>
          <w:color w:val="FF0000"/>
        </w:rPr>
        <w:t>12</w:t>
      </w:r>
      <w:r w:rsidR="00FD482B" w:rsidRPr="003A2F86">
        <w:rPr>
          <w:color w:val="FF0000"/>
        </w:rPr>
        <w:fldChar w:fldCharType="end"/>
      </w:r>
      <w:r w:rsidR="00FD482B" w:rsidRPr="003A2F86">
        <w:rPr>
          <w:color w:val="FF0000"/>
        </w:rPr>
        <w:t xml:space="preserve">.: </w:t>
      </w:r>
      <w:r w:rsidR="00FD482B" w:rsidRPr="003A2F86">
        <w:rPr>
          <w:rFonts w:ascii="Arial" w:hAnsi="Arial" w:cs="Arial"/>
        </w:rPr>
        <w:t xml:space="preserve">Struktura izvršenih </w:t>
      </w:r>
      <w:r w:rsidR="00FD482B" w:rsidRPr="003A2F86">
        <w:rPr>
          <w:rFonts w:ascii="Arial" w:hAnsi="Arial" w:cs="Arial"/>
          <w:u w:val="single"/>
        </w:rPr>
        <w:t>rashoda poslovanja (3</w:t>
      </w:r>
      <w:r w:rsidR="00FD482B" w:rsidRPr="003A2F86">
        <w:rPr>
          <w:rFonts w:ascii="Arial" w:hAnsi="Arial" w:cs="Arial"/>
          <w:u w:val="double"/>
        </w:rPr>
        <w:t>)</w:t>
      </w:r>
      <w:r w:rsidR="00FD482B" w:rsidRPr="003A2F86">
        <w:rPr>
          <w:rFonts w:ascii="Arial" w:hAnsi="Arial" w:cs="Arial"/>
        </w:rPr>
        <w:t xml:space="preserve"> u razdoblju 2015.-202</w:t>
      </w:r>
      <w:r w:rsidR="000F7EC5">
        <w:rPr>
          <w:rFonts w:ascii="Arial" w:hAnsi="Arial" w:cs="Arial"/>
        </w:rPr>
        <w:t>4</w:t>
      </w:r>
      <w:r w:rsidR="00FD482B" w:rsidRPr="003A2F86">
        <w:rPr>
          <w:rFonts w:ascii="Arial" w:hAnsi="Arial" w:cs="Arial"/>
        </w:rPr>
        <w:t>.</w:t>
      </w:r>
      <w:r w:rsidR="00472628">
        <w:rPr>
          <w:rFonts w:ascii="Arial" w:hAnsi="Arial" w:cs="Arial"/>
        </w:rPr>
        <w:t xml:space="preserve"> i 1-6/2025</w:t>
      </w:r>
      <w:r w:rsidR="00D33050">
        <w:rPr>
          <w:rFonts w:ascii="Arial" w:hAnsi="Arial" w:cs="Arial"/>
        </w:rPr>
        <w:t>.</w:t>
      </w:r>
      <w:r w:rsidR="00624C0F" w:rsidRPr="003A2F86">
        <w:rPr>
          <w:rFonts w:ascii="Arial" w:hAnsi="Arial" w:cs="Arial"/>
        </w:rPr>
        <w:t xml:space="preserve"> (€)</w:t>
      </w:r>
      <w:r w:rsidR="00FD482B" w:rsidRPr="003A2F86">
        <w:rPr>
          <w:rFonts w:ascii="Arial" w:hAnsi="Arial" w:cs="Arial"/>
        </w:rPr>
        <w:t xml:space="preserve">: </w:t>
      </w:r>
      <w:r w:rsidR="00FD482B" w:rsidRPr="00F06C2F">
        <w:rPr>
          <w:rFonts w:ascii="Arial" w:hAnsi="Arial" w:cs="Arial"/>
          <w:color w:val="1F497D" w:themeColor="text2"/>
        </w:rPr>
        <w:t xml:space="preserve">Općina </w:t>
      </w:r>
      <w:r w:rsidR="00FD482B" w:rsidRPr="003A2F86">
        <w:rPr>
          <w:rFonts w:ascii="Arial" w:hAnsi="Arial" w:cs="Arial"/>
        </w:rPr>
        <w:t xml:space="preserve">i </w:t>
      </w:r>
      <w:r w:rsidR="00487F1B" w:rsidRPr="003A2F86">
        <w:rPr>
          <w:rFonts w:ascii="Arial" w:hAnsi="Arial" w:cs="Arial"/>
        </w:rPr>
        <w:t xml:space="preserve">zbirno </w:t>
      </w:r>
      <w:r w:rsidR="00FD482B" w:rsidRPr="00F06C2F">
        <w:rPr>
          <w:rFonts w:ascii="Arial" w:hAnsi="Arial" w:cs="Arial"/>
          <w:color w:val="943634" w:themeColor="accent2" w:themeShade="BF"/>
        </w:rPr>
        <w:t xml:space="preserve">proračunski korisnici </w:t>
      </w:r>
      <w:r w:rsidR="00FD482B" w:rsidRPr="003A2F86">
        <w:rPr>
          <w:rFonts w:ascii="Arial" w:hAnsi="Arial" w:cs="Arial"/>
        </w:rPr>
        <w:t>Općine (PK)</w:t>
      </w:r>
      <w:bookmarkEnd w:id="135"/>
    </w:p>
    <w:p w14:paraId="48013A89" w14:textId="77777777" w:rsidR="008B6239" w:rsidRPr="003A2F86" w:rsidRDefault="008B623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422E0C2C" w14:textId="77777777" w:rsidR="001649CD" w:rsidRPr="003A2F86" w:rsidRDefault="001649CD" w:rsidP="00891119">
      <w:pPr>
        <w:spacing w:after="0" w:line="240" w:lineRule="auto"/>
        <w:jc w:val="both"/>
        <w:rPr>
          <w:rFonts w:ascii="Arial" w:eastAsia="Times New Roman" w:hAnsi="Arial" w:cs="Arial"/>
          <w:lang w:eastAsia="en-US"/>
        </w:rPr>
      </w:pPr>
    </w:p>
    <w:p w14:paraId="3EF5CA0C" w14:textId="60893E83" w:rsidR="00891119" w:rsidRPr="003A2F86" w:rsidRDefault="001C45AE" w:rsidP="001C45AE">
      <w:pPr>
        <w:pStyle w:val="Naslov4"/>
        <w:rPr>
          <w:rFonts w:ascii="Arial" w:hAnsi="Arial" w:cs="Arial"/>
          <w:lang w:val="hr-HR"/>
        </w:rPr>
      </w:pPr>
      <w:bookmarkStart w:id="136" w:name="_Toc207707430"/>
      <w:r w:rsidRPr="003A2F86">
        <w:rPr>
          <w:rFonts w:ascii="Arial" w:hAnsi="Arial" w:cs="Arial"/>
          <w:lang w:val="hr-HR"/>
        </w:rPr>
        <w:lastRenderedPageBreak/>
        <w:t>2.4.3</w:t>
      </w:r>
      <w:r w:rsidR="00891119" w:rsidRPr="003A2F86">
        <w:rPr>
          <w:rFonts w:ascii="Arial" w:hAnsi="Arial" w:cs="Arial"/>
          <w:lang w:val="hr-HR"/>
        </w:rPr>
        <w:t xml:space="preserve">.1. </w:t>
      </w:r>
      <w:r w:rsidR="00891119" w:rsidRPr="003A2F86">
        <w:rPr>
          <w:rFonts w:ascii="Arial" w:hAnsi="Arial" w:cs="Arial"/>
          <w:lang w:val="hr-HR"/>
        </w:rPr>
        <w:tab/>
        <w:t>Rashodi za zaposlene</w:t>
      </w:r>
      <w:r w:rsidR="002B2168" w:rsidRPr="003A2F86">
        <w:rPr>
          <w:rFonts w:ascii="Arial" w:hAnsi="Arial" w:cs="Arial"/>
          <w:lang w:val="hr-HR"/>
        </w:rPr>
        <w:t xml:space="preserve"> (31)</w:t>
      </w:r>
      <w:bookmarkEnd w:id="136"/>
    </w:p>
    <w:p w14:paraId="765500C7" w14:textId="77777777" w:rsidR="00891119" w:rsidRPr="003A2F86" w:rsidRDefault="00891119" w:rsidP="00891119">
      <w:pPr>
        <w:tabs>
          <w:tab w:val="left" w:pos="567"/>
        </w:tabs>
        <w:spacing w:after="0" w:line="240" w:lineRule="auto"/>
        <w:jc w:val="both"/>
        <w:rPr>
          <w:rFonts w:ascii="Arial" w:eastAsia="Times New Roman" w:hAnsi="Arial" w:cs="Arial"/>
          <w:lang w:eastAsia="en-US"/>
        </w:rPr>
      </w:pPr>
    </w:p>
    <w:p w14:paraId="360BCB01" w14:textId="4002B27D" w:rsidR="009358A4" w:rsidRPr="003A2F86" w:rsidRDefault="00891119" w:rsidP="009358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3A2F86">
        <w:rPr>
          <w:rFonts w:ascii="Arial" w:eastAsia="Times New Roman" w:hAnsi="Arial" w:cs="Arial"/>
        </w:rPr>
        <w:t xml:space="preserve">Rashodi za zaposlene (31) obuhvaćaju </w:t>
      </w:r>
      <w:r w:rsidR="009358A4" w:rsidRPr="003A2F86">
        <w:rPr>
          <w:rFonts w:ascii="Arial" w:eastAsia="Times New Roman" w:hAnsi="Arial" w:cs="Arial"/>
          <w:iCs/>
        </w:rPr>
        <w:t>bruto plaće, doprinose na plaće i ostale rashode za zaposlene (na</w:t>
      </w:r>
      <w:r w:rsidR="00A8623C" w:rsidRPr="003A2F86">
        <w:rPr>
          <w:rFonts w:ascii="Arial" w:eastAsia="Times New Roman" w:hAnsi="Arial" w:cs="Arial"/>
          <w:iCs/>
        </w:rPr>
        <w:t>kn</w:t>
      </w:r>
      <w:r w:rsidR="009358A4" w:rsidRPr="003A2F86">
        <w:rPr>
          <w:rFonts w:ascii="Arial" w:eastAsia="Times New Roman" w:hAnsi="Arial" w:cs="Arial"/>
          <w:iCs/>
        </w:rPr>
        <w:t xml:space="preserve">ada za smrt užeg člana obitelji, božićnica, regres i slično) i to </w:t>
      </w:r>
      <w:r w:rsidRPr="003A2F86">
        <w:rPr>
          <w:rFonts w:ascii="Arial" w:eastAsia="Times New Roman" w:hAnsi="Arial" w:cs="Arial"/>
        </w:rPr>
        <w:t>plaće za zaposlenike općinske uprave, te zaposlenike četiri proračunska korisnika (Dječji vrtić Konavle, Muzeji i galerije Konavala, Javna vatrogasna postrojba Konavle, Dom za starije i nemoćne osobe).</w:t>
      </w:r>
      <w:r w:rsidR="009358A4" w:rsidRPr="003A2F86">
        <w:rPr>
          <w:rFonts w:ascii="Arial" w:eastAsia="Times New Roman" w:hAnsi="Arial" w:cs="Arial"/>
          <w:iCs/>
        </w:rPr>
        <w:t xml:space="preserve"> </w:t>
      </w:r>
    </w:p>
    <w:p w14:paraId="7D77B0D0"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137" w:name="_Hlk82682631"/>
    </w:p>
    <w:p w14:paraId="5139B5C9" w14:textId="035548C4" w:rsidR="001649CD" w:rsidRPr="003A2F86" w:rsidRDefault="001649CD" w:rsidP="001649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bookmarkStart w:id="138" w:name="_Hlk101768465"/>
      <w:r w:rsidRPr="003A2F86">
        <w:rPr>
          <w:rFonts w:ascii="Arial" w:hAnsi="Arial" w:cs="Arial"/>
          <w:b/>
          <w:iCs/>
          <w:color w:val="1F497D" w:themeColor="text2"/>
        </w:rPr>
        <w:t>Rashodi za zaposlene</w:t>
      </w:r>
      <w:r w:rsidRPr="003A2F86">
        <w:rPr>
          <w:rFonts w:ascii="Arial" w:hAnsi="Arial" w:cs="Arial"/>
          <w:iCs/>
          <w:color w:val="1F497D" w:themeColor="text2"/>
        </w:rPr>
        <w:t xml:space="preserve"> (31) izvršeni su u iznosu </w:t>
      </w:r>
      <w:r w:rsidR="00472628">
        <w:rPr>
          <w:rFonts w:ascii="Arial" w:hAnsi="Arial" w:cs="Arial"/>
          <w:iCs/>
          <w:color w:val="1F497D" w:themeColor="text2"/>
        </w:rPr>
        <w:t>2.811.493,95</w:t>
      </w:r>
      <w:r w:rsidRPr="003A2F86">
        <w:rPr>
          <w:rFonts w:ascii="Arial" w:hAnsi="Arial" w:cs="Arial"/>
          <w:iCs/>
          <w:color w:val="1F497D" w:themeColor="text2"/>
        </w:rPr>
        <w:t xml:space="preserve"> € što je za </w:t>
      </w:r>
      <w:r w:rsidR="00E3711F">
        <w:rPr>
          <w:rFonts w:ascii="Arial" w:hAnsi="Arial" w:cs="Arial"/>
          <w:iCs/>
          <w:color w:val="1F497D" w:themeColor="text2"/>
        </w:rPr>
        <w:t>703.458,89</w:t>
      </w:r>
      <w:r w:rsidRPr="003A2F86">
        <w:rPr>
          <w:rFonts w:ascii="Arial" w:hAnsi="Arial" w:cs="Arial"/>
          <w:iCs/>
          <w:color w:val="1F497D" w:themeColor="text2"/>
        </w:rPr>
        <w:t xml:space="preserve"> € ili </w:t>
      </w:r>
      <w:r w:rsidR="00E3711F">
        <w:rPr>
          <w:rFonts w:ascii="Arial" w:hAnsi="Arial" w:cs="Arial"/>
          <w:iCs/>
          <w:color w:val="1F497D" w:themeColor="text2"/>
        </w:rPr>
        <w:t>33,4</w:t>
      </w:r>
      <w:r w:rsidRPr="003A2F86">
        <w:rPr>
          <w:rFonts w:ascii="Arial" w:hAnsi="Arial" w:cs="Arial"/>
          <w:iCs/>
          <w:color w:val="1F497D" w:themeColor="text2"/>
        </w:rPr>
        <w:t xml:space="preserve">% više u odnosu na prethodnu godinu. </w:t>
      </w:r>
      <w:bookmarkStart w:id="139" w:name="_Hlk64846355"/>
    </w:p>
    <w:p w14:paraId="2DFFBA3C" w14:textId="77777777" w:rsidR="001649CD" w:rsidRPr="003A2F86" w:rsidRDefault="001649CD" w:rsidP="001649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p>
    <w:bookmarkEnd w:id="139"/>
    <w:p w14:paraId="466EC65E" w14:textId="04897345" w:rsidR="0041713F" w:rsidRPr="002122DE" w:rsidRDefault="001649CD" w:rsidP="0041713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r w:rsidRPr="003A2F86">
        <w:rPr>
          <w:rFonts w:ascii="Arial" w:hAnsi="Arial" w:cs="Arial"/>
        </w:rPr>
        <w:t>Rashodi za zaposlene Općine (31) obuhvaćaju plaće za zaposlenike općinske uprave i dužnosnike (načelnika i zamjenika načelnika). Prosječan broj zaposlenih na osnovi stanja na početku</w:t>
      </w:r>
      <w:r w:rsidR="00635674" w:rsidRPr="003A2F86">
        <w:rPr>
          <w:rFonts w:ascii="Arial" w:hAnsi="Arial" w:cs="Arial"/>
        </w:rPr>
        <w:t xml:space="preserve"> </w:t>
      </w:r>
      <w:r w:rsidR="0041713F" w:rsidRPr="002122DE">
        <w:rPr>
          <w:rFonts w:ascii="Arial" w:hAnsi="Arial" w:cs="Arial"/>
        </w:rPr>
        <w:t>25, a na kraju razdoblja je 2</w:t>
      </w:r>
      <w:r w:rsidR="00E3711F">
        <w:rPr>
          <w:rFonts w:ascii="Arial" w:hAnsi="Arial" w:cs="Arial"/>
        </w:rPr>
        <w:t>5</w:t>
      </w:r>
      <w:r w:rsidR="0041713F" w:rsidRPr="002122DE">
        <w:rPr>
          <w:rFonts w:ascii="Arial" w:hAnsi="Arial" w:cs="Arial"/>
        </w:rPr>
        <w:t>.</w:t>
      </w:r>
    </w:p>
    <w:p w14:paraId="6010C446" w14:textId="77777777" w:rsidR="001649CD" w:rsidRPr="003A2F86" w:rsidRDefault="001649CD" w:rsidP="001649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bookmarkEnd w:id="138"/>
    <w:p w14:paraId="2E3FD44A" w14:textId="2E45CDC4" w:rsidR="0041713F" w:rsidRPr="0041713F" w:rsidRDefault="0041713F" w:rsidP="0041713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r w:rsidRPr="0041713F">
        <w:rPr>
          <w:rFonts w:ascii="Arial" w:hAnsi="Arial" w:cs="Arial"/>
        </w:rPr>
        <w:t>Prosječan broj zaposlenih kod korisnika na osnovi stanja na kraju izvještajnog razdoblja je 1</w:t>
      </w:r>
      <w:r w:rsidR="00E3711F">
        <w:rPr>
          <w:rFonts w:ascii="Arial" w:hAnsi="Arial" w:cs="Arial"/>
        </w:rPr>
        <w:t>84</w:t>
      </w:r>
      <w:r w:rsidRPr="0041713F">
        <w:rPr>
          <w:rFonts w:ascii="Arial" w:hAnsi="Arial" w:cs="Arial"/>
        </w:rPr>
        <w:t>, a na osnovi sati rada je 17</w:t>
      </w:r>
      <w:r w:rsidR="00E3711F">
        <w:rPr>
          <w:rFonts w:ascii="Arial" w:hAnsi="Arial" w:cs="Arial"/>
        </w:rPr>
        <w:t>1</w:t>
      </w:r>
      <w:r w:rsidRPr="0041713F">
        <w:rPr>
          <w:rFonts w:ascii="Arial" w:hAnsi="Arial" w:cs="Arial"/>
        </w:rPr>
        <w:t>.</w:t>
      </w:r>
    </w:p>
    <w:p w14:paraId="7522B32C" w14:textId="77777777" w:rsidR="001649CD" w:rsidRPr="003A2F86" w:rsidRDefault="001649CD" w:rsidP="001649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49A9A74F" w14:textId="77777777" w:rsidR="00710130" w:rsidRPr="00710130" w:rsidRDefault="00635674" w:rsidP="0071013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r w:rsidRPr="003A2F86">
        <w:rPr>
          <w:rFonts w:ascii="Arial" w:hAnsi="Arial" w:cs="Arial"/>
        </w:rPr>
        <w:t>Od listopada 2023. godine osnovica za obračun plaća djelatnika iznosi 947,18 € (u visini osnovice za obračun plaća državnih službenika i namještenika)</w:t>
      </w:r>
      <w:r w:rsidR="00710130">
        <w:rPr>
          <w:rFonts w:ascii="Arial" w:hAnsi="Arial" w:cs="Arial"/>
        </w:rPr>
        <w:t xml:space="preserve"> </w:t>
      </w:r>
      <w:r w:rsidR="00710130" w:rsidRPr="00710130">
        <w:rPr>
          <w:rFonts w:ascii="Arial" w:hAnsi="Arial" w:cs="Arial"/>
        </w:rPr>
        <w:t>i nije se mijenjala do konca 2024. godine. Od rujna 2024. izmijenjeni su koeficijenti za obračun plaće općinskih zaposlenika, kao i proračunskih korisnika.</w:t>
      </w:r>
    </w:p>
    <w:p w14:paraId="589C10DC" w14:textId="77777777" w:rsidR="001649CD" w:rsidRPr="003A2F86" w:rsidRDefault="001649CD" w:rsidP="001649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290208BF" w14:textId="2107CEB2" w:rsidR="001649CD" w:rsidRPr="003A2F86" w:rsidRDefault="001649CD" w:rsidP="001649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3A2F86">
        <w:rPr>
          <w:rFonts w:ascii="Arial" w:eastAsia="Times New Roman" w:hAnsi="Arial" w:cs="Arial"/>
          <w:iCs/>
        </w:rPr>
        <w:t xml:space="preserve">Koeficijent za obračun plaće općinskog načelnika </w:t>
      </w:r>
      <w:r w:rsidR="00635674" w:rsidRPr="003A2F86">
        <w:rPr>
          <w:rFonts w:ascii="Arial" w:eastAsia="Times New Roman" w:hAnsi="Arial" w:cs="Arial"/>
          <w:iCs/>
        </w:rPr>
        <w:t xml:space="preserve">iznosi </w:t>
      </w:r>
      <w:r w:rsidRPr="003A2F86">
        <w:rPr>
          <w:rFonts w:ascii="Arial" w:eastAsia="Times New Roman" w:hAnsi="Arial" w:cs="Arial"/>
          <w:iCs/>
        </w:rPr>
        <w:t>4,5</w:t>
      </w:r>
      <w:r w:rsidR="00635674" w:rsidRPr="003A2F86">
        <w:rPr>
          <w:rFonts w:ascii="Arial" w:eastAsia="Times New Roman" w:hAnsi="Arial" w:cs="Arial"/>
          <w:iCs/>
        </w:rPr>
        <w:t>5</w:t>
      </w:r>
      <w:r w:rsidRPr="003A2F86">
        <w:rPr>
          <w:rFonts w:ascii="Arial" w:eastAsia="Times New Roman" w:hAnsi="Arial" w:cs="Arial"/>
          <w:iCs/>
        </w:rPr>
        <w:t xml:space="preserve">. </w:t>
      </w:r>
    </w:p>
    <w:p w14:paraId="145DC565" w14:textId="77777777" w:rsidR="001649CD" w:rsidRPr="003A2F86" w:rsidRDefault="001649CD" w:rsidP="001649C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2CD1FD6A" w14:textId="50EB2576" w:rsidR="00710130" w:rsidRPr="00710130" w:rsidRDefault="004F3360" w:rsidP="0071013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3A2F86">
        <w:rPr>
          <w:rFonts w:ascii="Arial" w:eastAsia="Times New Roman" w:hAnsi="Arial" w:cs="Arial"/>
          <w:iCs/>
          <w:color w:val="007BB8"/>
        </w:rPr>
        <w:t xml:space="preserve">Rashodi za zaposlene (31) </w:t>
      </w:r>
      <w:r w:rsidRPr="003A2F86">
        <w:rPr>
          <w:rFonts w:ascii="Arial" w:eastAsia="Times New Roman" w:hAnsi="Arial" w:cs="Arial"/>
          <w:b/>
          <w:bCs/>
          <w:iCs/>
          <w:color w:val="007BB8"/>
        </w:rPr>
        <w:t>Općine</w:t>
      </w:r>
      <w:r w:rsidRPr="003A2F86">
        <w:rPr>
          <w:rFonts w:ascii="Arial" w:eastAsia="Times New Roman" w:hAnsi="Arial" w:cs="Arial"/>
          <w:iCs/>
        </w:rPr>
        <w:t xml:space="preserve"> (bez proračunskih korisnika)</w:t>
      </w:r>
      <w:r w:rsidR="00710130">
        <w:rPr>
          <w:rFonts w:ascii="Arial" w:eastAsia="Times New Roman" w:hAnsi="Arial" w:cs="Arial"/>
          <w:iCs/>
        </w:rPr>
        <w:t xml:space="preserve"> </w:t>
      </w:r>
      <w:r w:rsidR="00710130" w:rsidRPr="00710130">
        <w:rPr>
          <w:rFonts w:ascii="Arial" w:eastAsia="Times New Roman" w:hAnsi="Arial" w:cs="Arial"/>
          <w:iCs/>
        </w:rPr>
        <w:t xml:space="preserve">iznose </w:t>
      </w:r>
      <w:r w:rsidR="00E3711F">
        <w:rPr>
          <w:rFonts w:ascii="Arial" w:eastAsia="Times New Roman" w:hAnsi="Arial" w:cs="Arial"/>
          <w:iCs/>
        </w:rPr>
        <w:t>458.951,04</w:t>
      </w:r>
      <w:r w:rsidR="00710130" w:rsidRPr="00710130">
        <w:rPr>
          <w:rFonts w:ascii="Arial" w:eastAsia="Times New Roman" w:hAnsi="Arial" w:cs="Arial"/>
          <w:iCs/>
        </w:rPr>
        <w:t xml:space="preserve"> € (</w:t>
      </w:r>
      <w:r w:rsidR="00E3711F">
        <w:rPr>
          <w:rFonts w:ascii="Arial" w:eastAsia="Times New Roman" w:hAnsi="Arial" w:cs="Arial"/>
          <w:iCs/>
        </w:rPr>
        <w:t>63.782,63</w:t>
      </w:r>
      <w:r w:rsidR="00710130" w:rsidRPr="00710130">
        <w:rPr>
          <w:rFonts w:ascii="Arial" w:eastAsia="Times New Roman" w:hAnsi="Arial" w:cs="Arial"/>
          <w:iCs/>
        </w:rPr>
        <w:t xml:space="preserve"> € ili </w:t>
      </w:r>
      <w:r w:rsidR="00E3711F">
        <w:rPr>
          <w:rFonts w:ascii="Arial" w:eastAsia="Times New Roman" w:hAnsi="Arial" w:cs="Arial"/>
          <w:iCs/>
        </w:rPr>
        <w:t>16,1</w:t>
      </w:r>
      <w:r w:rsidR="00710130" w:rsidRPr="00710130">
        <w:rPr>
          <w:rFonts w:ascii="Arial" w:eastAsia="Times New Roman" w:hAnsi="Arial" w:cs="Arial"/>
          <w:iCs/>
        </w:rPr>
        <w:t xml:space="preserve">% više u odnosu na prethodnu godinu). Ovi rashodi za zaposlene uključuju plaće zaposlenika općinske uprave, plaće djelatnika zaposlenih na provedbi tri EU projekta, plaće dužnosnika (načelnika). </w:t>
      </w:r>
    </w:p>
    <w:p w14:paraId="0EF3A8A6" w14:textId="77777777" w:rsidR="00710130" w:rsidRPr="00710130" w:rsidRDefault="00710130" w:rsidP="0071013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4708B234" w14:textId="0DA126DC" w:rsidR="00710130" w:rsidRPr="003A2F86" w:rsidRDefault="00710130" w:rsidP="0071013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710130">
        <w:rPr>
          <w:rFonts w:ascii="Arial" w:eastAsia="Times New Roman" w:hAnsi="Arial" w:cs="Arial"/>
          <w:iCs/>
        </w:rPr>
        <w:t xml:space="preserve">Rashodi za plaće djelatnika Općine </w:t>
      </w:r>
      <w:r>
        <w:rPr>
          <w:rFonts w:ascii="Arial" w:eastAsia="Times New Roman" w:hAnsi="Arial" w:cs="Arial"/>
          <w:iCs/>
        </w:rPr>
        <w:t>u iznosu</w:t>
      </w:r>
      <w:r w:rsidRPr="00710130">
        <w:rPr>
          <w:rFonts w:ascii="Arial" w:eastAsia="Times New Roman" w:hAnsi="Arial" w:cs="Arial"/>
          <w:iCs/>
        </w:rPr>
        <w:t xml:space="preserve"> </w:t>
      </w:r>
      <w:r w:rsidR="00E3711F">
        <w:rPr>
          <w:rFonts w:ascii="Arial" w:eastAsia="Times New Roman" w:hAnsi="Arial" w:cs="Arial"/>
          <w:iCs/>
        </w:rPr>
        <w:t>458.951,04</w:t>
      </w:r>
      <w:r w:rsidRPr="00710130">
        <w:rPr>
          <w:rFonts w:ascii="Arial" w:eastAsia="Times New Roman" w:hAnsi="Arial" w:cs="Arial"/>
          <w:iCs/>
        </w:rPr>
        <w:t xml:space="preserve"> €</w:t>
      </w:r>
      <w:r>
        <w:rPr>
          <w:rFonts w:ascii="Arial" w:eastAsia="Times New Roman" w:hAnsi="Arial" w:cs="Arial"/>
          <w:iCs/>
        </w:rPr>
        <w:t xml:space="preserve"> čine</w:t>
      </w:r>
      <w:r w:rsidRPr="00710130">
        <w:rPr>
          <w:rFonts w:ascii="Arial" w:eastAsia="Times New Roman" w:hAnsi="Arial" w:cs="Arial"/>
          <w:iCs/>
        </w:rPr>
        <w:t xml:space="preserve"> </w:t>
      </w:r>
      <w:r w:rsidR="00E3711F">
        <w:rPr>
          <w:rFonts w:ascii="Arial" w:eastAsia="Times New Roman" w:hAnsi="Arial" w:cs="Arial"/>
          <w:iCs/>
        </w:rPr>
        <w:t>16,3</w:t>
      </w:r>
      <w:r w:rsidRPr="00710130">
        <w:rPr>
          <w:rFonts w:ascii="Arial" w:eastAsia="Times New Roman" w:hAnsi="Arial" w:cs="Arial"/>
          <w:iCs/>
        </w:rPr>
        <w:t>% ukupnih rashoda za zaposlene</w:t>
      </w:r>
      <w:r>
        <w:rPr>
          <w:rFonts w:ascii="Arial" w:eastAsia="Times New Roman" w:hAnsi="Arial" w:cs="Arial"/>
          <w:iCs/>
        </w:rPr>
        <w:t xml:space="preserve"> </w:t>
      </w:r>
      <w:r w:rsidRPr="003A2F86">
        <w:rPr>
          <w:rFonts w:ascii="Arial" w:eastAsia="Times New Roman" w:hAnsi="Arial" w:cs="Arial"/>
          <w:iCs/>
        </w:rPr>
        <w:t>(razina 23)</w:t>
      </w:r>
      <w:r>
        <w:rPr>
          <w:rFonts w:ascii="Arial" w:eastAsia="Times New Roman" w:hAnsi="Arial" w:cs="Arial"/>
          <w:iCs/>
        </w:rPr>
        <w:t xml:space="preserve">. </w:t>
      </w:r>
    </w:p>
    <w:p w14:paraId="33A95A58" w14:textId="77777777" w:rsidR="00710130" w:rsidRPr="003A2F86" w:rsidRDefault="00710130" w:rsidP="0071013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7D3B1204" w14:textId="1CEEA68C" w:rsidR="004F3360" w:rsidRPr="003A2F86" w:rsidRDefault="004F3360" w:rsidP="004F33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3A2F86">
        <w:rPr>
          <w:rFonts w:ascii="Arial" w:eastAsia="Times New Roman" w:hAnsi="Arial" w:cs="Arial"/>
          <w:iCs/>
        </w:rPr>
        <w:t xml:space="preserve">Rashodi za zaposlene svih </w:t>
      </w:r>
      <w:r w:rsidRPr="003A2F86">
        <w:rPr>
          <w:rFonts w:ascii="Arial" w:eastAsia="Times New Roman" w:hAnsi="Arial" w:cs="Arial"/>
          <w:b/>
          <w:bCs/>
          <w:iCs/>
        </w:rPr>
        <w:t>proračunskih korisnika</w:t>
      </w:r>
      <w:r w:rsidRPr="003A2F86">
        <w:rPr>
          <w:rFonts w:ascii="Arial" w:eastAsia="Times New Roman" w:hAnsi="Arial" w:cs="Arial"/>
          <w:iCs/>
        </w:rPr>
        <w:t xml:space="preserve"> iznose </w:t>
      </w:r>
      <w:r w:rsidR="00E3711F">
        <w:rPr>
          <w:rFonts w:ascii="Arial" w:eastAsia="Times New Roman" w:hAnsi="Arial" w:cs="Arial"/>
          <w:iCs/>
        </w:rPr>
        <w:t>2.352.542,91</w:t>
      </w:r>
      <w:r w:rsidR="00D947DC" w:rsidRPr="003A2F86">
        <w:rPr>
          <w:rFonts w:ascii="Arial" w:eastAsia="Times New Roman" w:hAnsi="Arial" w:cs="Arial"/>
          <w:iCs/>
        </w:rPr>
        <w:t xml:space="preserve"> €</w:t>
      </w:r>
      <w:r w:rsidRPr="003A2F86">
        <w:rPr>
          <w:rFonts w:ascii="Arial" w:eastAsia="Times New Roman" w:hAnsi="Arial" w:cs="Arial"/>
          <w:iCs/>
        </w:rPr>
        <w:t xml:space="preserve"> ili </w:t>
      </w:r>
      <w:r w:rsidR="00B66050" w:rsidRPr="003A2F86">
        <w:rPr>
          <w:rFonts w:ascii="Arial" w:eastAsia="Times New Roman" w:hAnsi="Arial" w:cs="Arial"/>
          <w:iCs/>
        </w:rPr>
        <w:t>8</w:t>
      </w:r>
      <w:r w:rsidR="00E3711F">
        <w:rPr>
          <w:rFonts w:ascii="Arial" w:eastAsia="Times New Roman" w:hAnsi="Arial" w:cs="Arial"/>
          <w:iCs/>
        </w:rPr>
        <w:t>3,7</w:t>
      </w:r>
      <w:r w:rsidRPr="003A2F86">
        <w:rPr>
          <w:rFonts w:ascii="Arial" w:eastAsia="Times New Roman" w:hAnsi="Arial" w:cs="Arial"/>
          <w:iCs/>
        </w:rPr>
        <w:t xml:space="preserve">% rashoda za zaposlene (31), </w:t>
      </w:r>
      <w:r w:rsidRPr="003A2F86">
        <w:rPr>
          <w:rFonts w:ascii="Arial" w:eastAsia="Times New Roman" w:hAnsi="Arial" w:cs="Arial"/>
          <w:b/>
          <w:bCs/>
          <w:iCs/>
        </w:rPr>
        <w:t>razina 23</w:t>
      </w:r>
      <w:r w:rsidRPr="003A2F86">
        <w:rPr>
          <w:rFonts w:ascii="Arial" w:eastAsia="Times New Roman" w:hAnsi="Arial" w:cs="Arial"/>
          <w:iCs/>
        </w:rPr>
        <w:t>.</w:t>
      </w:r>
    </w:p>
    <w:p w14:paraId="7A24ECAC" w14:textId="759882E9" w:rsidR="004F3360" w:rsidRPr="003A2F86" w:rsidRDefault="004F3360" w:rsidP="0098054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bookmarkEnd w:id="137"/>
    <w:p w14:paraId="1F5D1A60" w14:textId="1CC5928C" w:rsidR="0098054A" w:rsidRPr="003A2F86" w:rsidRDefault="00E10E5A" w:rsidP="0098054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3A2F86">
        <w:rPr>
          <w:rFonts w:ascii="Arial" w:eastAsia="Times New Roman" w:hAnsi="Arial" w:cs="Arial"/>
          <w:iCs/>
        </w:rPr>
        <w:t xml:space="preserve">U isplaćenim plaćama </w:t>
      </w:r>
      <w:r w:rsidR="00254255" w:rsidRPr="003A2F86">
        <w:rPr>
          <w:rFonts w:ascii="Arial" w:eastAsia="Times New Roman" w:hAnsi="Arial" w:cs="Arial"/>
          <w:iCs/>
        </w:rPr>
        <w:t xml:space="preserve">su </w:t>
      </w:r>
      <w:r w:rsidRPr="003A2F86">
        <w:rPr>
          <w:rFonts w:ascii="Arial" w:eastAsia="Times New Roman" w:hAnsi="Arial" w:cs="Arial"/>
          <w:iCs/>
        </w:rPr>
        <w:t xml:space="preserve">izvršeni rashodi za plaće </w:t>
      </w:r>
      <w:r w:rsidR="00655A4E" w:rsidRPr="003A2F86">
        <w:rPr>
          <w:rFonts w:ascii="Arial" w:eastAsia="Times New Roman" w:hAnsi="Arial" w:cs="Arial"/>
          <w:iCs/>
        </w:rPr>
        <w:t xml:space="preserve">koje se sufinanciraju kroz </w:t>
      </w:r>
      <w:r w:rsidR="005C7C1F">
        <w:rPr>
          <w:rFonts w:ascii="Arial" w:eastAsia="Times New Roman" w:hAnsi="Arial" w:cs="Arial"/>
          <w:iCs/>
        </w:rPr>
        <w:t>tri projekta</w:t>
      </w:r>
      <w:r w:rsidR="0098054A" w:rsidRPr="003A2F86">
        <w:rPr>
          <w:rFonts w:ascii="Arial" w:eastAsia="Times New Roman" w:hAnsi="Arial" w:cs="Arial"/>
          <w:iCs/>
        </w:rPr>
        <w:t xml:space="preserve"> (sufinancirano sredstvima EU</w:t>
      </w:r>
      <w:r w:rsidR="00254255" w:rsidRPr="003A2F86">
        <w:rPr>
          <w:rFonts w:ascii="Arial" w:eastAsia="Times New Roman" w:hAnsi="Arial" w:cs="Arial"/>
          <w:iCs/>
        </w:rPr>
        <w:t>)</w:t>
      </w:r>
      <w:r w:rsidR="00D947DC" w:rsidRPr="003A2F86">
        <w:rPr>
          <w:rFonts w:ascii="Arial" w:eastAsia="Times New Roman" w:hAnsi="Arial" w:cs="Arial"/>
          <w:iCs/>
        </w:rPr>
        <w:t xml:space="preserve">. </w:t>
      </w:r>
      <w:r w:rsidR="00B03E89" w:rsidRPr="003A2F86">
        <w:rPr>
          <w:rFonts w:ascii="Arial" w:eastAsia="Times New Roman" w:hAnsi="Arial" w:cs="Arial"/>
          <w:iCs/>
        </w:rPr>
        <w:t xml:space="preserve">Doprinosi </w:t>
      </w:r>
      <w:r w:rsidR="00915A2F" w:rsidRPr="003A2F86">
        <w:rPr>
          <w:rFonts w:ascii="Arial" w:eastAsia="Times New Roman" w:hAnsi="Arial" w:cs="Arial"/>
          <w:iCs/>
        </w:rPr>
        <w:t xml:space="preserve">iz plaća i na plaće </w:t>
      </w:r>
      <w:r w:rsidR="00B03E89" w:rsidRPr="003A2F86">
        <w:rPr>
          <w:rFonts w:ascii="Arial" w:eastAsia="Times New Roman" w:hAnsi="Arial" w:cs="Arial"/>
          <w:iCs/>
        </w:rPr>
        <w:t>se tijekom 202</w:t>
      </w:r>
      <w:r w:rsidR="005C7C1F">
        <w:rPr>
          <w:rFonts w:ascii="Arial" w:eastAsia="Times New Roman" w:hAnsi="Arial" w:cs="Arial"/>
          <w:iCs/>
        </w:rPr>
        <w:t>5</w:t>
      </w:r>
      <w:r w:rsidR="00B03E89" w:rsidRPr="003A2F86">
        <w:rPr>
          <w:rFonts w:ascii="Arial" w:eastAsia="Times New Roman" w:hAnsi="Arial" w:cs="Arial"/>
          <w:iCs/>
        </w:rPr>
        <w:t xml:space="preserve">. </w:t>
      </w:r>
      <w:r w:rsidR="007803D3" w:rsidRPr="003A2F86">
        <w:rPr>
          <w:rFonts w:ascii="Arial" w:eastAsia="Times New Roman" w:hAnsi="Arial" w:cs="Arial"/>
          <w:iCs/>
        </w:rPr>
        <w:t>o</w:t>
      </w:r>
      <w:r w:rsidR="00B03E89" w:rsidRPr="003A2F86">
        <w:rPr>
          <w:rFonts w:ascii="Arial" w:eastAsia="Times New Roman" w:hAnsi="Arial" w:cs="Arial"/>
          <w:iCs/>
        </w:rPr>
        <w:t xml:space="preserve">bračunavaju kao i </w:t>
      </w:r>
      <w:r w:rsidR="00D947DC" w:rsidRPr="003A2F86">
        <w:rPr>
          <w:rFonts w:ascii="Arial" w:eastAsia="Times New Roman" w:hAnsi="Arial" w:cs="Arial"/>
          <w:iCs/>
        </w:rPr>
        <w:t>u razdoblju 2020.-202</w:t>
      </w:r>
      <w:r w:rsidR="005C7C1F">
        <w:rPr>
          <w:rFonts w:ascii="Arial" w:eastAsia="Times New Roman" w:hAnsi="Arial" w:cs="Arial"/>
          <w:iCs/>
        </w:rPr>
        <w:t>4</w:t>
      </w:r>
      <w:r w:rsidR="00D947DC" w:rsidRPr="003A2F86">
        <w:rPr>
          <w:rFonts w:ascii="Arial" w:eastAsia="Times New Roman" w:hAnsi="Arial" w:cs="Arial"/>
          <w:iCs/>
        </w:rPr>
        <w:t>. (</w:t>
      </w:r>
      <w:r w:rsidR="00ED39AC" w:rsidRPr="003A2F86">
        <w:rPr>
          <w:rFonts w:ascii="Arial" w:eastAsia="Times New Roman" w:hAnsi="Arial" w:cs="Arial"/>
          <w:iCs/>
        </w:rPr>
        <w:t>d</w:t>
      </w:r>
      <w:r w:rsidR="00157E04" w:rsidRPr="003A2F86">
        <w:rPr>
          <w:rFonts w:ascii="Arial" w:eastAsia="Times New Roman" w:hAnsi="Arial" w:cs="Arial"/>
          <w:iCs/>
        </w:rPr>
        <w:t>oprinos za zdravstveno</w:t>
      </w:r>
      <w:r w:rsidR="00915A2F" w:rsidRPr="003A2F86">
        <w:rPr>
          <w:rFonts w:ascii="Arial" w:eastAsia="Times New Roman" w:hAnsi="Arial" w:cs="Arial"/>
          <w:iCs/>
        </w:rPr>
        <w:t xml:space="preserve"> osiguranje iznosi 16,5% </w:t>
      </w:r>
      <w:r w:rsidR="00ED39AC" w:rsidRPr="003A2F86">
        <w:rPr>
          <w:rFonts w:ascii="Arial" w:eastAsia="Times New Roman" w:hAnsi="Arial" w:cs="Arial"/>
          <w:iCs/>
        </w:rPr>
        <w:t xml:space="preserve">- </w:t>
      </w:r>
      <w:r w:rsidR="00915A2F" w:rsidRPr="003A2F86">
        <w:rPr>
          <w:rFonts w:ascii="Arial" w:eastAsia="Times New Roman" w:hAnsi="Arial" w:cs="Arial"/>
          <w:iCs/>
        </w:rPr>
        <w:t xml:space="preserve"> do </w:t>
      </w:r>
      <w:r w:rsidR="008705F9" w:rsidRPr="003A2F86">
        <w:rPr>
          <w:rFonts w:ascii="Arial" w:eastAsia="Times New Roman" w:hAnsi="Arial" w:cs="Arial"/>
          <w:iCs/>
        </w:rPr>
        <w:t>konca 20</w:t>
      </w:r>
      <w:r w:rsidR="0088348F" w:rsidRPr="003A2F86">
        <w:rPr>
          <w:rFonts w:ascii="Arial" w:eastAsia="Times New Roman" w:hAnsi="Arial" w:cs="Arial"/>
          <w:iCs/>
        </w:rPr>
        <w:t>18</w:t>
      </w:r>
      <w:r w:rsidR="00ED39AC" w:rsidRPr="003A2F86">
        <w:rPr>
          <w:rFonts w:ascii="Arial" w:eastAsia="Times New Roman" w:hAnsi="Arial" w:cs="Arial"/>
          <w:iCs/>
        </w:rPr>
        <w:t>.g. iznosio 15%, te d</w:t>
      </w:r>
      <w:r w:rsidR="00157E04" w:rsidRPr="003A2F86">
        <w:rPr>
          <w:rFonts w:ascii="Arial" w:eastAsia="Times New Roman" w:hAnsi="Arial" w:cs="Arial"/>
          <w:iCs/>
        </w:rPr>
        <w:t xml:space="preserve">oprinosi iz plaće </w:t>
      </w:r>
      <w:r w:rsidR="00ED39AC" w:rsidRPr="003A2F86">
        <w:rPr>
          <w:rFonts w:ascii="Arial" w:eastAsia="Times New Roman" w:hAnsi="Arial" w:cs="Arial"/>
          <w:iCs/>
        </w:rPr>
        <w:t xml:space="preserve">- </w:t>
      </w:r>
      <w:r w:rsidR="00157E04" w:rsidRPr="003A2F86">
        <w:rPr>
          <w:rFonts w:ascii="Arial" w:eastAsia="Times New Roman" w:hAnsi="Arial" w:cs="Arial"/>
          <w:iCs/>
        </w:rPr>
        <w:t>mirovinsko osiguranje</w:t>
      </w:r>
      <w:r w:rsidR="00ED39AC" w:rsidRPr="003A2F86">
        <w:rPr>
          <w:rFonts w:ascii="Arial" w:eastAsia="Times New Roman" w:hAnsi="Arial" w:cs="Arial"/>
          <w:iCs/>
        </w:rPr>
        <w:t xml:space="preserve"> </w:t>
      </w:r>
      <w:r w:rsidR="00157E04" w:rsidRPr="003A2F86">
        <w:rPr>
          <w:rFonts w:ascii="Arial" w:eastAsia="Times New Roman" w:hAnsi="Arial" w:cs="Arial"/>
          <w:iCs/>
        </w:rPr>
        <w:t>je 20%</w:t>
      </w:r>
      <w:r w:rsidR="00ED39AC" w:rsidRPr="003A2F86">
        <w:rPr>
          <w:rFonts w:ascii="Arial" w:eastAsia="Times New Roman" w:hAnsi="Arial" w:cs="Arial"/>
          <w:iCs/>
        </w:rPr>
        <w:t>)</w:t>
      </w:r>
      <w:r w:rsidR="00157E04" w:rsidRPr="003A2F86">
        <w:rPr>
          <w:rFonts w:ascii="Arial" w:eastAsia="Times New Roman" w:hAnsi="Arial" w:cs="Arial"/>
          <w:iCs/>
        </w:rPr>
        <w:t>.</w:t>
      </w:r>
      <w:r w:rsidR="00915A2F" w:rsidRPr="003A2F86">
        <w:rPr>
          <w:rFonts w:ascii="Arial" w:eastAsia="Times New Roman" w:hAnsi="Arial" w:cs="Arial"/>
          <w:iCs/>
        </w:rPr>
        <w:t xml:space="preserve"> Od početka 2020. osnovni osobni odbitak je povećan s 3.800 </w:t>
      </w:r>
      <w:r w:rsidR="00A8623C" w:rsidRPr="003A2F86">
        <w:rPr>
          <w:rFonts w:ascii="Arial" w:eastAsia="Times New Roman" w:hAnsi="Arial" w:cs="Arial"/>
          <w:iCs/>
        </w:rPr>
        <w:t>kn</w:t>
      </w:r>
      <w:r w:rsidR="00915A2F" w:rsidRPr="003A2F86">
        <w:rPr>
          <w:rFonts w:ascii="Arial" w:eastAsia="Times New Roman" w:hAnsi="Arial" w:cs="Arial"/>
          <w:iCs/>
        </w:rPr>
        <w:t xml:space="preserve"> na 4.000 </w:t>
      </w:r>
      <w:r w:rsidR="00A8623C" w:rsidRPr="003A2F86">
        <w:rPr>
          <w:rFonts w:ascii="Arial" w:eastAsia="Times New Roman" w:hAnsi="Arial" w:cs="Arial"/>
          <w:iCs/>
        </w:rPr>
        <w:t>kn</w:t>
      </w:r>
      <w:r w:rsidR="00B66050" w:rsidRPr="003A2F86">
        <w:rPr>
          <w:rFonts w:ascii="Arial" w:eastAsia="Times New Roman" w:hAnsi="Arial" w:cs="Arial"/>
          <w:iCs/>
        </w:rPr>
        <w:t xml:space="preserve"> (530,90 €)</w:t>
      </w:r>
      <w:r w:rsidR="00915A2F" w:rsidRPr="003A2F86">
        <w:rPr>
          <w:rFonts w:ascii="Arial" w:eastAsia="Times New Roman" w:hAnsi="Arial" w:cs="Arial"/>
          <w:iCs/>
        </w:rPr>
        <w:t>.</w:t>
      </w:r>
      <w:r w:rsidR="00B66050" w:rsidRPr="003A2F86">
        <w:rPr>
          <w:rFonts w:ascii="Arial" w:eastAsia="Times New Roman" w:hAnsi="Arial" w:cs="Arial"/>
          <w:iCs/>
        </w:rPr>
        <w:t xml:space="preserve"> Osobni odbitak </w:t>
      </w:r>
      <w:r w:rsidR="005C7C1F">
        <w:rPr>
          <w:rFonts w:ascii="Arial" w:eastAsia="Times New Roman" w:hAnsi="Arial" w:cs="Arial"/>
          <w:iCs/>
        </w:rPr>
        <w:t xml:space="preserve">tijekom </w:t>
      </w:r>
      <w:r w:rsidR="00B66050" w:rsidRPr="003A2F86">
        <w:rPr>
          <w:rFonts w:ascii="Arial" w:eastAsia="Times New Roman" w:hAnsi="Arial" w:cs="Arial"/>
          <w:iCs/>
        </w:rPr>
        <w:t>202</w:t>
      </w:r>
      <w:r w:rsidR="00254255" w:rsidRPr="003A2F86">
        <w:rPr>
          <w:rFonts w:ascii="Arial" w:eastAsia="Times New Roman" w:hAnsi="Arial" w:cs="Arial"/>
          <w:iCs/>
        </w:rPr>
        <w:t>4</w:t>
      </w:r>
      <w:r w:rsidR="00B66050" w:rsidRPr="003A2F86">
        <w:rPr>
          <w:rFonts w:ascii="Arial" w:eastAsia="Times New Roman" w:hAnsi="Arial" w:cs="Arial"/>
          <w:iCs/>
        </w:rPr>
        <w:t>. godin</w:t>
      </w:r>
      <w:r w:rsidR="00254255" w:rsidRPr="003A2F86">
        <w:rPr>
          <w:rFonts w:ascii="Arial" w:eastAsia="Times New Roman" w:hAnsi="Arial" w:cs="Arial"/>
          <w:iCs/>
        </w:rPr>
        <w:t>e</w:t>
      </w:r>
      <w:r w:rsidR="00B66050" w:rsidRPr="003A2F86">
        <w:rPr>
          <w:rFonts w:ascii="Arial" w:eastAsia="Times New Roman" w:hAnsi="Arial" w:cs="Arial"/>
          <w:iCs/>
        </w:rPr>
        <w:t xml:space="preserve"> </w:t>
      </w:r>
      <w:r w:rsidR="005C7C1F">
        <w:rPr>
          <w:rFonts w:ascii="Arial" w:eastAsia="Times New Roman" w:hAnsi="Arial" w:cs="Arial"/>
          <w:iCs/>
        </w:rPr>
        <w:t xml:space="preserve">je iznosio </w:t>
      </w:r>
      <w:r w:rsidR="00254255" w:rsidRPr="003A2F86">
        <w:rPr>
          <w:rFonts w:ascii="Arial" w:eastAsia="Times New Roman" w:hAnsi="Arial" w:cs="Arial"/>
          <w:iCs/>
        </w:rPr>
        <w:t>560</w:t>
      </w:r>
      <w:r w:rsidR="00B66050" w:rsidRPr="003A2F86">
        <w:rPr>
          <w:rFonts w:ascii="Arial" w:eastAsia="Times New Roman" w:hAnsi="Arial" w:cs="Arial"/>
          <w:iCs/>
        </w:rPr>
        <w:t xml:space="preserve"> €</w:t>
      </w:r>
      <w:r w:rsidR="005C7C1F">
        <w:rPr>
          <w:rFonts w:ascii="Arial" w:eastAsia="Times New Roman" w:hAnsi="Arial" w:cs="Arial"/>
          <w:iCs/>
        </w:rPr>
        <w:t>, a od početka 2025. iznosi 600 €</w:t>
      </w:r>
      <w:r w:rsidR="00B66050" w:rsidRPr="003A2F86">
        <w:rPr>
          <w:rFonts w:ascii="Arial" w:eastAsia="Times New Roman" w:hAnsi="Arial" w:cs="Arial"/>
          <w:iCs/>
        </w:rPr>
        <w:t>.</w:t>
      </w:r>
    </w:p>
    <w:p w14:paraId="5FF7547C" w14:textId="77777777" w:rsidR="00D947DC" w:rsidRPr="003A2F86" w:rsidRDefault="00D947DC" w:rsidP="0098054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1C9990F" w14:textId="103F1DD9" w:rsidR="00734B74" w:rsidRPr="003A2F86" w:rsidRDefault="00734B74" w:rsidP="008B19E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Udio rashoda za </w:t>
      </w:r>
      <w:r w:rsidRPr="003A2F86">
        <w:rPr>
          <w:rFonts w:ascii="Arial" w:eastAsia="Times New Roman" w:hAnsi="Arial" w:cs="Arial"/>
          <w:b/>
          <w:bCs/>
        </w:rPr>
        <w:t xml:space="preserve">plaće Općinske uprave i </w:t>
      </w:r>
      <w:r w:rsidR="00DD380B" w:rsidRPr="003A2F86">
        <w:rPr>
          <w:rFonts w:ascii="Arial" w:eastAsia="Times New Roman" w:hAnsi="Arial" w:cs="Arial"/>
          <w:b/>
          <w:bCs/>
        </w:rPr>
        <w:t>dužnosnika</w:t>
      </w:r>
      <w:r w:rsidR="00DD380B" w:rsidRPr="003A2F86">
        <w:rPr>
          <w:rFonts w:ascii="Arial" w:eastAsia="Times New Roman" w:hAnsi="Arial" w:cs="Arial"/>
        </w:rPr>
        <w:t xml:space="preserve"> u sveukupnim rashodima i izdacima </w:t>
      </w:r>
      <w:r w:rsidR="00DD380B" w:rsidRPr="003A2F86">
        <w:rPr>
          <w:rFonts w:ascii="Arial" w:eastAsia="Times New Roman" w:hAnsi="Arial" w:cs="Arial"/>
          <w:b/>
          <w:bCs/>
        </w:rPr>
        <w:t>razine 22</w:t>
      </w:r>
      <w:r w:rsidR="00DD380B" w:rsidRPr="003A2F86">
        <w:rPr>
          <w:rFonts w:ascii="Arial" w:eastAsia="Times New Roman" w:hAnsi="Arial" w:cs="Arial"/>
        </w:rPr>
        <w:t xml:space="preserve"> </w:t>
      </w:r>
      <w:r w:rsidR="009E5BF0" w:rsidRPr="003A2F86">
        <w:rPr>
          <w:rFonts w:ascii="Arial" w:eastAsia="Times New Roman" w:hAnsi="Arial" w:cs="Arial"/>
        </w:rPr>
        <w:t>(rashodi Općine</w:t>
      </w:r>
      <w:r w:rsidR="00786B6D" w:rsidRPr="003A2F86">
        <w:rPr>
          <w:rFonts w:ascii="Arial" w:eastAsia="Times New Roman" w:hAnsi="Arial" w:cs="Arial"/>
        </w:rPr>
        <w:t xml:space="preserve"> s rashodima</w:t>
      </w:r>
      <w:r w:rsidR="009E5BF0" w:rsidRPr="003A2F86">
        <w:rPr>
          <w:rFonts w:ascii="Arial" w:eastAsia="Times New Roman" w:hAnsi="Arial" w:cs="Arial"/>
        </w:rPr>
        <w:t xml:space="preserve"> računa 367</w:t>
      </w:r>
      <w:r w:rsidR="00D947DC" w:rsidRPr="003A2F86">
        <w:rPr>
          <w:rFonts w:ascii="Arial" w:eastAsia="Times New Roman" w:hAnsi="Arial" w:cs="Arial"/>
        </w:rPr>
        <w:t xml:space="preserve"> – prijenosi proračunskim korisnicima</w:t>
      </w:r>
      <w:r w:rsidR="009E5BF0" w:rsidRPr="003A2F86">
        <w:rPr>
          <w:rFonts w:ascii="Arial" w:eastAsia="Times New Roman" w:hAnsi="Arial" w:cs="Arial"/>
        </w:rPr>
        <w:t xml:space="preserve">) </w:t>
      </w:r>
      <w:r w:rsidR="00DD380B" w:rsidRPr="003A2F86">
        <w:rPr>
          <w:rFonts w:ascii="Arial" w:eastAsia="Times New Roman" w:hAnsi="Arial" w:cs="Arial"/>
        </w:rPr>
        <w:t xml:space="preserve">iznosi </w:t>
      </w:r>
      <w:r w:rsidR="005C7C1F">
        <w:rPr>
          <w:rFonts w:ascii="Arial" w:eastAsia="Times New Roman" w:hAnsi="Arial" w:cs="Arial"/>
        </w:rPr>
        <w:t>4,8</w:t>
      </w:r>
      <w:r w:rsidR="00D947DC" w:rsidRPr="003A2F86">
        <w:rPr>
          <w:rFonts w:ascii="Arial" w:eastAsia="Times New Roman" w:hAnsi="Arial" w:cs="Arial"/>
        </w:rPr>
        <w:t>%</w:t>
      </w:r>
      <w:r w:rsidR="00DD380B" w:rsidRPr="003A2F86">
        <w:rPr>
          <w:rFonts w:ascii="Arial" w:eastAsia="Times New Roman" w:hAnsi="Arial" w:cs="Arial"/>
        </w:rPr>
        <w:t xml:space="preserve">, dok udio rashoda za plaće Općinske uprave i dužnosnika u rashodima i izdacima samo Općine (bez rashoda računa 367, odnosno </w:t>
      </w:r>
      <w:r w:rsidR="006D0795" w:rsidRPr="003A2F86">
        <w:rPr>
          <w:rFonts w:ascii="Arial" w:eastAsia="Times New Roman" w:hAnsi="Arial" w:cs="Arial"/>
        </w:rPr>
        <w:t xml:space="preserve">bez </w:t>
      </w:r>
      <w:r w:rsidR="009E5BF0" w:rsidRPr="003A2F86">
        <w:rPr>
          <w:rFonts w:ascii="Arial" w:eastAsia="Times New Roman" w:hAnsi="Arial" w:cs="Arial"/>
        </w:rPr>
        <w:t>pomoći proračunski</w:t>
      </w:r>
      <w:r w:rsidR="002E769C">
        <w:rPr>
          <w:rFonts w:ascii="Arial" w:eastAsia="Times New Roman" w:hAnsi="Arial" w:cs="Arial"/>
        </w:rPr>
        <w:t>m</w:t>
      </w:r>
      <w:r w:rsidR="009E5BF0" w:rsidRPr="003A2F86">
        <w:rPr>
          <w:rFonts w:ascii="Arial" w:eastAsia="Times New Roman" w:hAnsi="Arial" w:cs="Arial"/>
        </w:rPr>
        <w:t xml:space="preserve"> korisnicima za financiranje redovne djelatnosti) iznosi </w:t>
      </w:r>
      <w:r w:rsidR="005C7C1F">
        <w:rPr>
          <w:rFonts w:ascii="Arial" w:eastAsia="Times New Roman" w:hAnsi="Arial" w:cs="Arial"/>
        </w:rPr>
        <w:t>6,2</w:t>
      </w:r>
      <w:r w:rsidR="009E5BF0" w:rsidRPr="003A2F86">
        <w:rPr>
          <w:rFonts w:ascii="Arial" w:eastAsia="Times New Roman" w:hAnsi="Arial" w:cs="Arial"/>
        </w:rPr>
        <w:t>%</w:t>
      </w:r>
      <w:r w:rsidR="005F7259" w:rsidRPr="003A2F86">
        <w:rPr>
          <w:rFonts w:ascii="Arial" w:eastAsia="Times New Roman" w:hAnsi="Arial" w:cs="Arial"/>
        </w:rPr>
        <w:t>.</w:t>
      </w:r>
    </w:p>
    <w:p w14:paraId="7455969A" w14:textId="713B8B04" w:rsidR="00B70EAA" w:rsidRPr="003A2F86" w:rsidRDefault="00B70EAA" w:rsidP="00B70EAA">
      <w:pPr>
        <w:pStyle w:val="Opisslike"/>
      </w:pPr>
    </w:p>
    <w:p w14:paraId="7E517186" w14:textId="6B968B24" w:rsidR="00407A28" w:rsidRPr="003A2F86" w:rsidRDefault="006A3908" w:rsidP="00FD482B">
      <w:pPr>
        <w:pStyle w:val="Opisslike"/>
        <w:rPr>
          <w:rFonts w:ascii="Arial" w:hAnsi="Arial" w:cs="Arial"/>
        </w:rPr>
      </w:pPr>
      <w:bookmarkStart w:id="140" w:name="_Toc207707018"/>
      <w:r w:rsidRPr="003A2F86">
        <w:rPr>
          <w:noProof/>
        </w:rPr>
        <w:lastRenderedPageBreak/>
        <w:drawing>
          <wp:anchor distT="0" distB="0" distL="114300" distR="114300" simplePos="0" relativeHeight="251616256" behindDoc="0" locked="0" layoutInCell="1" allowOverlap="1" wp14:anchorId="3DC6A203" wp14:editId="54BADD12">
            <wp:simplePos x="0" y="0"/>
            <wp:positionH relativeFrom="column">
              <wp:posOffset>13335</wp:posOffset>
            </wp:positionH>
            <wp:positionV relativeFrom="paragraph">
              <wp:posOffset>287655</wp:posOffset>
            </wp:positionV>
            <wp:extent cx="9199245" cy="3143250"/>
            <wp:effectExtent l="0" t="0" r="0" b="0"/>
            <wp:wrapSquare wrapText="bothSides"/>
            <wp:docPr id="730" name="Chart 7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sidR="00407A28" w:rsidRPr="003A2F86">
        <w:rPr>
          <w:color w:val="FF0000"/>
        </w:rPr>
        <w:t xml:space="preserve">Graf </w:t>
      </w:r>
      <w:r w:rsidR="00407A28" w:rsidRPr="003A2F86">
        <w:rPr>
          <w:color w:val="FF0000"/>
        </w:rPr>
        <w:fldChar w:fldCharType="begin"/>
      </w:r>
      <w:r w:rsidR="00407A28" w:rsidRPr="003A2F86">
        <w:rPr>
          <w:color w:val="FF0000"/>
        </w:rPr>
        <w:instrText xml:space="preserve"> SEQ Graf \* ARABIC </w:instrText>
      </w:r>
      <w:r w:rsidR="00407A28" w:rsidRPr="003A2F86">
        <w:rPr>
          <w:color w:val="FF0000"/>
        </w:rPr>
        <w:fldChar w:fldCharType="separate"/>
      </w:r>
      <w:r w:rsidR="00910987">
        <w:rPr>
          <w:noProof/>
          <w:color w:val="FF0000"/>
        </w:rPr>
        <w:t>13</w:t>
      </w:r>
      <w:r w:rsidR="00407A28" w:rsidRPr="003A2F86">
        <w:rPr>
          <w:color w:val="FF0000"/>
        </w:rPr>
        <w:fldChar w:fldCharType="end"/>
      </w:r>
      <w:r w:rsidR="00407A28" w:rsidRPr="003A2F86">
        <w:rPr>
          <w:color w:val="FF0000"/>
        </w:rPr>
        <w:t xml:space="preserve">.: </w:t>
      </w:r>
      <w:r w:rsidR="00407A28" w:rsidRPr="003A2F86">
        <w:rPr>
          <w:rFonts w:ascii="Arial" w:hAnsi="Arial" w:cs="Arial"/>
        </w:rPr>
        <w:t xml:space="preserve">Struktura izvršenih </w:t>
      </w:r>
      <w:r w:rsidR="00407A28" w:rsidRPr="003A2F86">
        <w:rPr>
          <w:rFonts w:ascii="Arial" w:hAnsi="Arial" w:cs="Arial"/>
          <w:u w:val="single"/>
        </w:rPr>
        <w:t>rashoda za zaposlene (31)</w:t>
      </w:r>
      <w:r w:rsidR="00407A28" w:rsidRPr="003A2F86">
        <w:rPr>
          <w:rFonts w:ascii="Arial" w:hAnsi="Arial" w:cs="Arial"/>
        </w:rPr>
        <w:t xml:space="preserve"> u razdoblju 2015.-20</w:t>
      </w:r>
      <w:r w:rsidR="008B19E1" w:rsidRPr="003A2F86">
        <w:rPr>
          <w:rFonts w:ascii="Arial" w:hAnsi="Arial" w:cs="Arial"/>
        </w:rPr>
        <w:t>2</w:t>
      </w:r>
      <w:r w:rsidR="002E769C">
        <w:rPr>
          <w:rFonts w:ascii="Arial" w:hAnsi="Arial" w:cs="Arial"/>
        </w:rPr>
        <w:t>4</w:t>
      </w:r>
      <w:r w:rsidR="00FD700B" w:rsidRPr="003A2F86">
        <w:rPr>
          <w:rFonts w:ascii="Arial" w:hAnsi="Arial" w:cs="Arial"/>
        </w:rPr>
        <w:t>.</w:t>
      </w:r>
      <w:r w:rsidR="005C7C1F">
        <w:rPr>
          <w:rFonts w:ascii="Arial" w:hAnsi="Arial" w:cs="Arial"/>
        </w:rPr>
        <w:t xml:space="preserve"> i 1-6/2025.</w:t>
      </w:r>
      <w:r w:rsidR="006D0BF1" w:rsidRPr="003A2F86">
        <w:rPr>
          <w:rFonts w:ascii="Arial" w:hAnsi="Arial" w:cs="Arial"/>
        </w:rPr>
        <w:t xml:space="preserve"> (€)</w:t>
      </w:r>
      <w:r w:rsidR="00407A28" w:rsidRPr="003A2F86">
        <w:rPr>
          <w:rFonts w:ascii="Arial" w:hAnsi="Arial" w:cs="Arial"/>
        </w:rPr>
        <w:t xml:space="preserve">: </w:t>
      </w:r>
      <w:r w:rsidR="00407A28" w:rsidRPr="00277540">
        <w:rPr>
          <w:rFonts w:ascii="Arial" w:hAnsi="Arial" w:cs="Arial"/>
          <w:color w:val="1F497D" w:themeColor="text2"/>
        </w:rPr>
        <w:t xml:space="preserve">Općina </w:t>
      </w:r>
      <w:r w:rsidR="00407A28" w:rsidRPr="003A2F86">
        <w:rPr>
          <w:rFonts w:ascii="Arial" w:hAnsi="Arial" w:cs="Arial"/>
        </w:rPr>
        <w:t xml:space="preserve">i </w:t>
      </w:r>
      <w:r w:rsidR="00487F1B" w:rsidRPr="003A2F86">
        <w:rPr>
          <w:rFonts w:ascii="Arial" w:hAnsi="Arial" w:cs="Arial"/>
        </w:rPr>
        <w:t xml:space="preserve">zbirno </w:t>
      </w:r>
      <w:r w:rsidR="00407A28" w:rsidRPr="00277540">
        <w:rPr>
          <w:rFonts w:ascii="Arial" w:hAnsi="Arial" w:cs="Arial"/>
          <w:color w:val="943634" w:themeColor="accent2" w:themeShade="BF"/>
        </w:rPr>
        <w:t xml:space="preserve">proračunski korisnici </w:t>
      </w:r>
      <w:r w:rsidR="00407A28" w:rsidRPr="003A2F86">
        <w:rPr>
          <w:rFonts w:ascii="Arial" w:hAnsi="Arial" w:cs="Arial"/>
        </w:rPr>
        <w:t>Općine (PK)</w:t>
      </w:r>
      <w:bookmarkEnd w:id="140"/>
    </w:p>
    <w:p w14:paraId="3B0E2D4B" w14:textId="6A96C865" w:rsidR="00630AE2" w:rsidRPr="003A2F86" w:rsidRDefault="00630AE2" w:rsidP="00630AE2">
      <w:pPr>
        <w:autoSpaceDE w:val="0"/>
        <w:autoSpaceDN w:val="0"/>
        <w:adjustRightInd w:val="0"/>
        <w:spacing w:after="0" w:line="240" w:lineRule="auto"/>
        <w:jc w:val="both"/>
        <w:rPr>
          <w:rFonts w:ascii="Arial" w:eastAsia="Times New Roman" w:hAnsi="Arial" w:cs="Arial"/>
        </w:rPr>
      </w:pPr>
    </w:p>
    <w:p w14:paraId="326C3FB6" w14:textId="188F88ED" w:rsidR="001C3D95" w:rsidRPr="003A2F86" w:rsidRDefault="00B70EAA" w:rsidP="00B70EAA">
      <w:pPr>
        <w:pStyle w:val="Opisslike"/>
        <w:rPr>
          <w:rFonts w:ascii="Arial" w:hAnsi="Arial" w:cs="Arial"/>
        </w:rPr>
      </w:pPr>
      <w:bookmarkStart w:id="141" w:name="_Toc207707019"/>
      <w:r w:rsidRPr="003A2F86">
        <w:rPr>
          <w:rFonts w:ascii="Arial" w:hAnsi="Arial" w:cs="Arial"/>
          <w:iCs/>
          <w:noProof/>
          <w:color w:val="FF0000"/>
          <w:lang w:eastAsia="hr-HR"/>
        </w:rPr>
        <w:drawing>
          <wp:anchor distT="0" distB="0" distL="114300" distR="114300" simplePos="0" relativeHeight="251664384" behindDoc="0" locked="0" layoutInCell="1" allowOverlap="1" wp14:anchorId="6E2C9B00" wp14:editId="17B94E66">
            <wp:simplePos x="0" y="0"/>
            <wp:positionH relativeFrom="column">
              <wp:posOffset>-299085</wp:posOffset>
            </wp:positionH>
            <wp:positionV relativeFrom="paragraph">
              <wp:posOffset>147955</wp:posOffset>
            </wp:positionV>
            <wp:extent cx="9515475" cy="2297430"/>
            <wp:effectExtent l="0" t="0" r="9525" b="7620"/>
            <wp:wrapSquare wrapText="bothSides"/>
            <wp:docPr id="768" name="Grafikon 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00407A28" w:rsidRPr="003A2F86">
        <w:rPr>
          <w:color w:val="FF0000"/>
        </w:rPr>
        <w:t xml:space="preserve">Graf </w:t>
      </w:r>
      <w:r w:rsidR="00407A28" w:rsidRPr="003A2F86">
        <w:rPr>
          <w:color w:val="FF0000"/>
        </w:rPr>
        <w:fldChar w:fldCharType="begin"/>
      </w:r>
      <w:r w:rsidR="00407A28" w:rsidRPr="003A2F86">
        <w:rPr>
          <w:color w:val="FF0000"/>
        </w:rPr>
        <w:instrText xml:space="preserve"> SEQ Graf \* ARABIC </w:instrText>
      </w:r>
      <w:r w:rsidR="00407A28" w:rsidRPr="003A2F86">
        <w:rPr>
          <w:color w:val="FF0000"/>
        </w:rPr>
        <w:fldChar w:fldCharType="separate"/>
      </w:r>
      <w:r w:rsidR="00910987">
        <w:rPr>
          <w:noProof/>
          <w:color w:val="FF0000"/>
        </w:rPr>
        <w:t>14</w:t>
      </w:r>
      <w:r w:rsidR="00407A28" w:rsidRPr="003A2F86">
        <w:rPr>
          <w:color w:val="FF0000"/>
        </w:rPr>
        <w:fldChar w:fldCharType="end"/>
      </w:r>
      <w:r w:rsidR="00407A28" w:rsidRPr="003A2F86">
        <w:rPr>
          <w:color w:val="FF0000"/>
        </w:rPr>
        <w:t xml:space="preserve">.: </w:t>
      </w:r>
      <w:r w:rsidR="00407A28" w:rsidRPr="003A2F86">
        <w:rPr>
          <w:rFonts w:ascii="Arial" w:hAnsi="Arial" w:cs="Arial"/>
        </w:rPr>
        <w:t xml:space="preserve">Struktura izvršenih </w:t>
      </w:r>
      <w:r w:rsidR="00407A28" w:rsidRPr="003A2F86">
        <w:rPr>
          <w:rFonts w:ascii="Arial" w:hAnsi="Arial" w:cs="Arial"/>
          <w:u w:val="single"/>
        </w:rPr>
        <w:t>rashoda za zaposlene (31)</w:t>
      </w:r>
      <w:r w:rsidR="00407A28" w:rsidRPr="003A2F86">
        <w:rPr>
          <w:rFonts w:ascii="Arial" w:hAnsi="Arial" w:cs="Arial"/>
        </w:rPr>
        <w:t xml:space="preserve"> u </w:t>
      </w:r>
      <w:r w:rsidR="003E1F8C">
        <w:rPr>
          <w:rFonts w:ascii="Arial" w:hAnsi="Arial" w:cs="Arial"/>
        </w:rPr>
        <w:t>1-6/</w:t>
      </w:r>
      <w:r w:rsidR="0032026B" w:rsidRPr="003A2F86">
        <w:rPr>
          <w:rFonts w:ascii="Arial" w:hAnsi="Arial" w:cs="Arial"/>
        </w:rPr>
        <w:t>202</w:t>
      </w:r>
      <w:r w:rsidR="003E1F8C">
        <w:rPr>
          <w:rFonts w:ascii="Arial" w:hAnsi="Arial" w:cs="Arial"/>
        </w:rPr>
        <w:t>5</w:t>
      </w:r>
      <w:r w:rsidR="00407A28" w:rsidRPr="003A2F86">
        <w:rPr>
          <w:rFonts w:ascii="Arial" w:hAnsi="Arial" w:cs="Arial"/>
        </w:rPr>
        <w:t>. po korisnicima</w:t>
      </w:r>
      <w:r w:rsidR="00917E83" w:rsidRPr="003A2F86">
        <w:rPr>
          <w:rFonts w:ascii="Arial" w:hAnsi="Arial" w:cs="Arial"/>
        </w:rPr>
        <w:t xml:space="preserve"> </w:t>
      </w:r>
      <w:r w:rsidR="00407A28" w:rsidRPr="003A2F86">
        <w:rPr>
          <w:rFonts w:ascii="Arial" w:hAnsi="Arial" w:cs="Arial"/>
        </w:rPr>
        <w:t xml:space="preserve">– </w:t>
      </w:r>
      <w:r w:rsidR="00407A28" w:rsidRPr="003823C8">
        <w:rPr>
          <w:rFonts w:ascii="Arial" w:hAnsi="Arial" w:cs="Arial"/>
          <w:color w:val="1F497D" w:themeColor="text2"/>
        </w:rPr>
        <w:t xml:space="preserve">Općina </w:t>
      </w:r>
      <w:r w:rsidR="00407A28" w:rsidRPr="003A2F86">
        <w:rPr>
          <w:rFonts w:ascii="Arial" w:hAnsi="Arial" w:cs="Arial"/>
        </w:rPr>
        <w:t xml:space="preserve">i </w:t>
      </w:r>
      <w:r w:rsidR="00407A28" w:rsidRPr="003823C8">
        <w:rPr>
          <w:rFonts w:ascii="Arial" w:hAnsi="Arial" w:cs="Arial"/>
          <w:color w:val="943634" w:themeColor="accent2" w:themeShade="BF"/>
        </w:rPr>
        <w:t>proračunski korisnici</w:t>
      </w:r>
      <w:r w:rsidR="00487F1B" w:rsidRPr="003823C8">
        <w:rPr>
          <w:rFonts w:ascii="Arial" w:hAnsi="Arial" w:cs="Arial"/>
          <w:color w:val="943634" w:themeColor="accent2" w:themeShade="BF"/>
        </w:rPr>
        <w:t xml:space="preserve"> </w:t>
      </w:r>
      <w:r w:rsidR="00487F1B" w:rsidRPr="003A2F86">
        <w:rPr>
          <w:rFonts w:ascii="Arial" w:hAnsi="Arial" w:cs="Arial"/>
        </w:rPr>
        <w:t>zbirno i pojedinačno</w:t>
      </w:r>
      <w:bookmarkEnd w:id="141"/>
    </w:p>
    <w:p w14:paraId="614DEF82" w14:textId="255291DE" w:rsidR="005F7259" w:rsidRPr="003A2F86" w:rsidRDefault="005F7259" w:rsidP="00891119">
      <w:pPr>
        <w:spacing w:after="0" w:line="240" w:lineRule="auto"/>
        <w:jc w:val="both"/>
        <w:rPr>
          <w:rFonts w:ascii="Arial" w:eastAsia="Times New Roman" w:hAnsi="Arial" w:cs="Arial"/>
          <w:b/>
          <w:lang w:eastAsia="en-US"/>
        </w:rPr>
      </w:pPr>
    </w:p>
    <w:p w14:paraId="1809130D" w14:textId="47F45A66" w:rsidR="00891119" w:rsidRPr="003A2F86" w:rsidRDefault="002B2168" w:rsidP="002B2168">
      <w:pPr>
        <w:pStyle w:val="Naslov4"/>
        <w:rPr>
          <w:rFonts w:ascii="Arial" w:hAnsi="Arial" w:cs="Arial"/>
          <w:lang w:val="hr-HR"/>
        </w:rPr>
      </w:pPr>
      <w:bookmarkStart w:id="142" w:name="_Toc207707431"/>
      <w:r w:rsidRPr="003A2F86">
        <w:rPr>
          <w:rFonts w:ascii="Arial" w:hAnsi="Arial" w:cs="Arial"/>
          <w:lang w:val="hr-HR"/>
        </w:rPr>
        <w:t>2.4.3</w:t>
      </w:r>
      <w:r w:rsidR="00891119" w:rsidRPr="003A2F86">
        <w:rPr>
          <w:rFonts w:ascii="Arial" w:hAnsi="Arial" w:cs="Arial"/>
          <w:lang w:val="hr-HR"/>
        </w:rPr>
        <w:t xml:space="preserve">.2. </w:t>
      </w:r>
      <w:r w:rsidR="00891119" w:rsidRPr="003A2F86">
        <w:rPr>
          <w:rFonts w:ascii="Arial" w:hAnsi="Arial" w:cs="Arial"/>
          <w:lang w:val="hr-HR"/>
        </w:rPr>
        <w:tab/>
        <w:t>Materijalni rashodi</w:t>
      </w:r>
      <w:r w:rsidR="00D3435A" w:rsidRPr="003A2F86">
        <w:rPr>
          <w:rFonts w:ascii="Arial" w:hAnsi="Arial" w:cs="Arial"/>
          <w:lang w:val="hr-HR"/>
        </w:rPr>
        <w:t xml:space="preserve"> (32)</w:t>
      </w:r>
      <w:bookmarkEnd w:id="142"/>
    </w:p>
    <w:p w14:paraId="2F2CA447" w14:textId="25400AED" w:rsidR="00891119" w:rsidRPr="003A2F86" w:rsidRDefault="00891119" w:rsidP="00343D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F123C6D" w14:textId="6AEFDF5A" w:rsidR="002E769C" w:rsidRPr="002E769C" w:rsidRDefault="00343DA4" w:rsidP="002E769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bookmarkStart w:id="143" w:name="_Hlk114740586"/>
      <w:r w:rsidRPr="003A2F86">
        <w:rPr>
          <w:rFonts w:ascii="Arial" w:hAnsi="Arial" w:cs="Arial"/>
          <w:b/>
          <w:iCs/>
        </w:rPr>
        <w:t>Materijalni rashodi</w:t>
      </w:r>
      <w:r w:rsidRPr="003A2F86">
        <w:rPr>
          <w:rFonts w:ascii="Arial" w:hAnsi="Arial" w:cs="Arial"/>
          <w:iCs/>
        </w:rPr>
        <w:t xml:space="preserve"> (32) izvršeni su </w:t>
      </w:r>
      <w:r w:rsidR="002E769C" w:rsidRPr="002E769C">
        <w:rPr>
          <w:rFonts w:ascii="Arial" w:hAnsi="Arial" w:cs="Arial"/>
          <w:iCs/>
        </w:rPr>
        <w:t xml:space="preserve">u iznosu </w:t>
      </w:r>
      <w:r w:rsidR="003E1F8C">
        <w:rPr>
          <w:rFonts w:ascii="Arial" w:hAnsi="Arial" w:cs="Arial"/>
          <w:iCs/>
        </w:rPr>
        <w:t>2.515.521,61</w:t>
      </w:r>
      <w:r w:rsidR="002E769C" w:rsidRPr="002E769C">
        <w:rPr>
          <w:rFonts w:ascii="Arial" w:hAnsi="Arial" w:cs="Arial"/>
          <w:iCs/>
        </w:rPr>
        <w:t xml:space="preserve"> € što je za </w:t>
      </w:r>
      <w:r w:rsidR="003E1F8C">
        <w:rPr>
          <w:rFonts w:ascii="Arial" w:hAnsi="Arial" w:cs="Arial"/>
          <w:iCs/>
        </w:rPr>
        <w:t>688.522,10</w:t>
      </w:r>
      <w:r w:rsidR="002E769C" w:rsidRPr="002E769C">
        <w:rPr>
          <w:rFonts w:ascii="Arial" w:hAnsi="Arial" w:cs="Arial"/>
          <w:iCs/>
        </w:rPr>
        <w:t xml:space="preserve"> € ili </w:t>
      </w:r>
      <w:r w:rsidR="003E1F8C">
        <w:rPr>
          <w:rFonts w:ascii="Arial" w:hAnsi="Arial" w:cs="Arial"/>
          <w:iCs/>
        </w:rPr>
        <w:t>37,7</w:t>
      </w:r>
      <w:r w:rsidR="002E769C" w:rsidRPr="002E769C">
        <w:rPr>
          <w:rFonts w:ascii="Arial" w:hAnsi="Arial" w:cs="Arial"/>
          <w:iCs/>
        </w:rPr>
        <w:t>% više u odnosu na prethodnu godinu</w:t>
      </w:r>
      <w:r w:rsidR="00365384">
        <w:rPr>
          <w:rFonts w:ascii="Arial" w:hAnsi="Arial" w:cs="Arial"/>
          <w:iCs/>
        </w:rPr>
        <w:t>.</w:t>
      </w:r>
      <w:r w:rsidR="002E769C" w:rsidRPr="002E769C">
        <w:rPr>
          <w:rFonts w:ascii="Arial" w:hAnsi="Arial" w:cs="Arial"/>
          <w:iCs/>
        </w:rPr>
        <w:t xml:space="preserve"> Rashodi se izvršavaju u većem obimu posebice kroz program održavanja komunalne infrastrukture.</w:t>
      </w:r>
    </w:p>
    <w:p w14:paraId="79A51908" w14:textId="77777777" w:rsidR="002E769C" w:rsidRPr="002E769C" w:rsidRDefault="002E769C" w:rsidP="002E769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p>
    <w:p w14:paraId="0BDE0F81" w14:textId="07C25E6A" w:rsidR="00D04104" w:rsidRPr="003A2F86" w:rsidRDefault="00D04104" w:rsidP="00D041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color w:val="1F497D" w:themeColor="text2"/>
        </w:rPr>
      </w:pPr>
      <w:r w:rsidRPr="003A2F86">
        <w:rPr>
          <w:rFonts w:ascii="Arial" w:eastAsia="Times New Roman" w:hAnsi="Arial" w:cs="Arial"/>
          <w:iCs/>
          <w:color w:val="1F497D" w:themeColor="text2"/>
        </w:rPr>
        <w:t>Na rashode Općine</w:t>
      </w:r>
      <w:r w:rsidR="008F2BF6" w:rsidRPr="003A2F86">
        <w:rPr>
          <w:rFonts w:ascii="Arial" w:eastAsia="Times New Roman" w:hAnsi="Arial" w:cs="Arial"/>
          <w:iCs/>
          <w:color w:val="1F497D" w:themeColor="text2"/>
        </w:rPr>
        <w:t xml:space="preserve"> </w:t>
      </w:r>
      <w:r w:rsidRPr="003A2F86">
        <w:rPr>
          <w:rFonts w:ascii="Arial" w:eastAsia="Times New Roman" w:hAnsi="Arial" w:cs="Arial"/>
          <w:iCs/>
          <w:color w:val="1F497D" w:themeColor="text2"/>
        </w:rPr>
        <w:t xml:space="preserve">odnosi se </w:t>
      </w:r>
      <w:bookmarkStart w:id="144" w:name="_Hlk145935503"/>
      <w:r w:rsidR="003E1F8C">
        <w:rPr>
          <w:rFonts w:ascii="Arial" w:eastAsia="Times New Roman" w:hAnsi="Arial" w:cs="Arial"/>
          <w:iCs/>
          <w:color w:val="1F497D" w:themeColor="text2"/>
        </w:rPr>
        <w:t>1.919.845,23</w:t>
      </w:r>
      <w:r w:rsidR="00567125" w:rsidRPr="003A2F86">
        <w:rPr>
          <w:rFonts w:ascii="Arial" w:eastAsia="Times New Roman" w:hAnsi="Arial" w:cs="Arial"/>
          <w:iCs/>
          <w:color w:val="1F497D" w:themeColor="text2"/>
        </w:rPr>
        <w:t xml:space="preserve"> €</w:t>
      </w:r>
      <w:r w:rsidRPr="003A2F86">
        <w:rPr>
          <w:rFonts w:ascii="Arial" w:eastAsia="Times New Roman" w:hAnsi="Arial" w:cs="Arial"/>
          <w:iCs/>
          <w:color w:val="1F497D" w:themeColor="text2"/>
        </w:rPr>
        <w:t xml:space="preserve"> ili </w:t>
      </w:r>
      <w:r w:rsidR="002E769C">
        <w:rPr>
          <w:rFonts w:ascii="Arial" w:eastAsia="Times New Roman" w:hAnsi="Arial" w:cs="Arial"/>
          <w:iCs/>
          <w:color w:val="1F497D" w:themeColor="text2"/>
        </w:rPr>
        <w:t>7</w:t>
      </w:r>
      <w:r w:rsidR="003E1F8C">
        <w:rPr>
          <w:rFonts w:ascii="Arial" w:eastAsia="Times New Roman" w:hAnsi="Arial" w:cs="Arial"/>
          <w:iCs/>
          <w:color w:val="1F497D" w:themeColor="text2"/>
        </w:rPr>
        <w:t>6,3</w:t>
      </w:r>
      <w:r w:rsidRPr="003A2F86">
        <w:rPr>
          <w:rFonts w:ascii="Arial" w:eastAsia="Times New Roman" w:hAnsi="Arial" w:cs="Arial"/>
          <w:iCs/>
          <w:color w:val="1F497D" w:themeColor="text2"/>
        </w:rPr>
        <w:t xml:space="preserve">%, </w:t>
      </w:r>
      <w:bookmarkEnd w:id="144"/>
      <w:r w:rsidRPr="003A2F86">
        <w:rPr>
          <w:rFonts w:ascii="Arial" w:eastAsia="Times New Roman" w:hAnsi="Arial" w:cs="Arial"/>
          <w:iCs/>
          <w:color w:val="1F497D" w:themeColor="text2"/>
        </w:rPr>
        <w:t xml:space="preserve">a na proračunske korisnike </w:t>
      </w:r>
      <w:bookmarkStart w:id="145" w:name="_Hlk145935514"/>
      <w:r w:rsidR="003E1F8C">
        <w:rPr>
          <w:rFonts w:ascii="Arial" w:eastAsia="Times New Roman" w:hAnsi="Arial" w:cs="Arial"/>
          <w:iCs/>
          <w:color w:val="1F497D" w:themeColor="text2"/>
        </w:rPr>
        <w:t>595.676,38</w:t>
      </w:r>
      <w:r w:rsidR="00567125" w:rsidRPr="003A2F86">
        <w:rPr>
          <w:rFonts w:ascii="Arial" w:eastAsia="Times New Roman" w:hAnsi="Arial" w:cs="Arial"/>
          <w:iCs/>
          <w:color w:val="1F497D" w:themeColor="text2"/>
        </w:rPr>
        <w:t xml:space="preserve"> €</w:t>
      </w:r>
      <w:r w:rsidRPr="003A2F86">
        <w:rPr>
          <w:rFonts w:ascii="Arial" w:eastAsia="Times New Roman" w:hAnsi="Arial" w:cs="Arial"/>
          <w:iCs/>
          <w:color w:val="1F497D" w:themeColor="text2"/>
        </w:rPr>
        <w:t xml:space="preserve"> ili </w:t>
      </w:r>
      <w:r w:rsidR="00A9558A" w:rsidRPr="003A2F86">
        <w:rPr>
          <w:rFonts w:ascii="Arial" w:eastAsia="Times New Roman" w:hAnsi="Arial" w:cs="Arial"/>
          <w:iCs/>
          <w:color w:val="1F497D" w:themeColor="text2"/>
        </w:rPr>
        <w:t>2</w:t>
      </w:r>
      <w:r w:rsidR="003E1F8C">
        <w:rPr>
          <w:rFonts w:ascii="Arial" w:eastAsia="Times New Roman" w:hAnsi="Arial" w:cs="Arial"/>
          <w:iCs/>
          <w:color w:val="1F497D" w:themeColor="text2"/>
        </w:rPr>
        <w:t>3,7</w:t>
      </w:r>
      <w:r w:rsidRPr="003A2F86">
        <w:rPr>
          <w:rFonts w:ascii="Arial" w:eastAsia="Times New Roman" w:hAnsi="Arial" w:cs="Arial"/>
          <w:iCs/>
          <w:color w:val="1F497D" w:themeColor="text2"/>
        </w:rPr>
        <w:t xml:space="preserve">% </w:t>
      </w:r>
      <w:bookmarkEnd w:id="145"/>
      <w:r w:rsidRPr="003A2F86">
        <w:rPr>
          <w:rFonts w:ascii="Arial" w:eastAsia="Times New Roman" w:hAnsi="Arial" w:cs="Arial"/>
          <w:iCs/>
          <w:color w:val="1F497D" w:themeColor="text2"/>
        </w:rPr>
        <w:t xml:space="preserve">ukupnih materijalnih rashoda (32, razina 23). </w:t>
      </w:r>
    </w:p>
    <w:p w14:paraId="61058707" w14:textId="77777777" w:rsidR="00D04104" w:rsidRPr="003A2F86" w:rsidRDefault="00D04104" w:rsidP="00343D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p>
    <w:p w14:paraId="4B5C78CF" w14:textId="298D3261" w:rsidR="002E769C" w:rsidRPr="002E769C" w:rsidRDefault="002E769C" w:rsidP="002E769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bookmarkStart w:id="146" w:name="_Hlk145935574"/>
      <w:bookmarkStart w:id="147" w:name="_Hlk200536980"/>
      <w:r w:rsidRPr="002E769C">
        <w:rPr>
          <w:rFonts w:ascii="Arial" w:hAnsi="Arial" w:cs="Arial"/>
        </w:rPr>
        <w:t xml:space="preserve">U okviru materijalnih rashoda (32) najznačajniji rashodi Općine se odnose na rashode iz programa održavanja komunalne infrastrukture (komunalne usluge, usluge tekućeg i investicijskog održavanja) u iznosu </w:t>
      </w:r>
      <w:r w:rsidR="003E1F8C">
        <w:rPr>
          <w:rFonts w:ascii="Arial" w:hAnsi="Arial" w:cs="Arial"/>
        </w:rPr>
        <w:t>657.853,06</w:t>
      </w:r>
      <w:r w:rsidRPr="002E769C">
        <w:rPr>
          <w:rFonts w:ascii="Arial" w:hAnsi="Arial" w:cs="Arial"/>
        </w:rPr>
        <w:t xml:space="preserve"> €. </w:t>
      </w:r>
    </w:p>
    <w:p w14:paraId="07CA6F99" w14:textId="77777777" w:rsidR="008F2BF6" w:rsidRPr="003A2F86" w:rsidRDefault="008F2BF6" w:rsidP="008F2BF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p>
    <w:bookmarkEnd w:id="146"/>
    <w:p w14:paraId="67A2689A" w14:textId="2F456E56" w:rsidR="002E769C" w:rsidRPr="002E769C" w:rsidRDefault="002E769C" w:rsidP="002E769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2E769C">
        <w:rPr>
          <w:rFonts w:ascii="Arial" w:eastAsia="Times New Roman" w:hAnsi="Arial" w:cs="Arial"/>
        </w:rPr>
        <w:t xml:space="preserve">U okviru materijalnih rashoda (32) najznačajniji rashodi proračunskih korisnika se odnose na nabavu namirnica za prehranu djece u dječjem vrtiću i prehranu starijih osoba u domu za starije i nemoćne osobe u iznosu </w:t>
      </w:r>
      <w:r w:rsidR="00AA74F2">
        <w:rPr>
          <w:rFonts w:ascii="Arial" w:eastAsia="Times New Roman" w:hAnsi="Arial" w:cs="Arial"/>
        </w:rPr>
        <w:t>135.064,12</w:t>
      </w:r>
      <w:r w:rsidRPr="002E769C">
        <w:rPr>
          <w:rFonts w:ascii="Arial" w:eastAsia="Times New Roman" w:hAnsi="Arial" w:cs="Arial"/>
        </w:rPr>
        <w:t xml:space="preserve"> €.</w:t>
      </w:r>
    </w:p>
    <w:bookmarkEnd w:id="147"/>
    <w:p w14:paraId="08B932F9" w14:textId="77777777" w:rsidR="008F2BF6" w:rsidRPr="003A2F86" w:rsidRDefault="008F2BF6" w:rsidP="00D041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p>
    <w:p w14:paraId="3FBF6765" w14:textId="77777777" w:rsidR="00343DA4" w:rsidRPr="003A2F86" w:rsidRDefault="00343DA4" w:rsidP="00D041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iCs/>
        </w:rPr>
      </w:pPr>
    </w:p>
    <w:p w14:paraId="4D35540C" w14:textId="45F6D53B" w:rsidR="00D35EA9" w:rsidRPr="003A2F86" w:rsidRDefault="00407A28" w:rsidP="00407A28">
      <w:pPr>
        <w:pStyle w:val="Opisslike"/>
        <w:rPr>
          <w:rFonts w:ascii="Arial" w:hAnsi="Arial" w:cs="Arial"/>
        </w:rPr>
      </w:pPr>
      <w:bookmarkStart w:id="148" w:name="_Toc207707020"/>
      <w:bookmarkEnd w:id="143"/>
      <w:r w:rsidRPr="003A2F86">
        <w:rPr>
          <w:color w:val="FF0000"/>
        </w:rPr>
        <w:t xml:space="preserve">Graf </w:t>
      </w:r>
      <w:r w:rsidRPr="003A2F86">
        <w:rPr>
          <w:color w:val="FF0000"/>
        </w:rPr>
        <w:fldChar w:fldCharType="begin"/>
      </w:r>
      <w:r w:rsidRPr="003A2F86">
        <w:rPr>
          <w:color w:val="FF0000"/>
        </w:rPr>
        <w:instrText xml:space="preserve"> SEQ Graf \* ARABIC </w:instrText>
      </w:r>
      <w:r w:rsidRPr="003A2F86">
        <w:rPr>
          <w:color w:val="FF0000"/>
        </w:rPr>
        <w:fldChar w:fldCharType="separate"/>
      </w:r>
      <w:r w:rsidR="00910987">
        <w:rPr>
          <w:noProof/>
          <w:color w:val="FF0000"/>
        </w:rPr>
        <w:t>15</w:t>
      </w:r>
      <w:r w:rsidRPr="003A2F86">
        <w:rPr>
          <w:color w:val="FF0000"/>
        </w:rPr>
        <w:fldChar w:fldCharType="end"/>
      </w:r>
      <w:r w:rsidRPr="003A2F86">
        <w:rPr>
          <w:color w:val="FF0000"/>
        </w:rPr>
        <w:t xml:space="preserve">.: </w:t>
      </w:r>
      <w:r w:rsidRPr="003A2F86">
        <w:rPr>
          <w:rFonts w:ascii="Arial" w:hAnsi="Arial" w:cs="Arial"/>
        </w:rPr>
        <w:t xml:space="preserve">Struktura izvršenih </w:t>
      </w:r>
      <w:r w:rsidRPr="003A2F86">
        <w:rPr>
          <w:rFonts w:ascii="Arial" w:hAnsi="Arial" w:cs="Arial"/>
          <w:u w:val="single"/>
        </w:rPr>
        <w:t>materijalnih rashoda (32</w:t>
      </w:r>
      <w:r w:rsidRPr="003A2F86">
        <w:rPr>
          <w:rFonts w:ascii="Arial" w:hAnsi="Arial" w:cs="Arial"/>
          <w:u w:val="double"/>
        </w:rPr>
        <w:t>)</w:t>
      </w:r>
      <w:r w:rsidRPr="003A2F86">
        <w:rPr>
          <w:rFonts w:ascii="Arial" w:hAnsi="Arial" w:cs="Arial"/>
        </w:rPr>
        <w:t xml:space="preserve"> u razdoblju 2015.-20</w:t>
      </w:r>
      <w:r w:rsidR="0011498B" w:rsidRPr="003A2F86">
        <w:rPr>
          <w:rFonts w:ascii="Arial" w:hAnsi="Arial" w:cs="Arial"/>
        </w:rPr>
        <w:t>2</w:t>
      </w:r>
      <w:r w:rsidR="00A9558A" w:rsidRPr="003A2F86">
        <w:rPr>
          <w:rFonts w:ascii="Arial" w:hAnsi="Arial" w:cs="Arial"/>
        </w:rPr>
        <w:t>4.</w:t>
      </w:r>
      <w:r w:rsidR="00AA74F2">
        <w:rPr>
          <w:rFonts w:ascii="Arial" w:hAnsi="Arial" w:cs="Arial"/>
        </w:rPr>
        <w:t xml:space="preserve"> i 1-6/2025.</w:t>
      </w:r>
      <w:r w:rsidR="00A9558A" w:rsidRPr="003A2F86">
        <w:rPr>
          <w:rFonts w:ascii="Arial" w:hAnsi="Arial" w:cs="Arial"/>
        </w:rPr>
        <w:t xml:space="preserve"> </w:t>
      </w:r>
      <w:r w:rsidR="00567125" w:rsidRPr="003A2F86">
        <w:rPr>
          <w:rFonts w:ascii="Arial" w:hAnsi="Arial" w:cs="Arial"/>
        </w:rPr>
        <w:t>(€)</w:t>
      </w:r>
      <w:r w:rsidRPr="003A2F86">
        <w:rPr>
          <w:rFonts w:ascii="Arial" w:hAnsi="Arial" w:cs="Arial"/>
        </w:rPr>
        <w:t xml:space="preserve">: </w:t>
      </w:r>
      <w:r w:rsidRPr="00616BAC">
        <w:rPr>
          <w:rFonts w:ascii="Arial" w:hAnsi="Arial" w:cs="Arial"/>
          <w:color w:val="1F497D" w:themeColor="text2"/>
        </w:rPr>
        <w:t xml:space="preserve">Općina </w:t>
      </w:r>
      <w:r w:rsidRPr="003A2F86">
        <w:rPr>
          <w:rFonts w:ascii="Arial" w:hAnsi="Arial" w:cs="Arial"/>
        </w:rPr>
        <w:t xml:space="preserve">i </w:t>
      </w:r>
      <w:r w:rsidR="001D482D" w:rsidRPr="003A2F86">
        <w:rPr>
          <w:rFonts w:ascii="Arial" w:hAnsi="Arial" w:cs="Arial"/>
        </w:rPr>
        <w:t xml:space="preserve">zbirno </w:t>
      </w:r>
      <w:r w:rsidRPr="00616BAC">
        <w:rPr>
          <w:rFonts w:ascii="Arial" w:hAnsi="Arial" w:cs="Arial"/>
          <w:color w:val="943634" w:themeColor="accent2" w:themeShade="BF"/>
        </w:rPr>
        <w:t xml:space="preserve">proračunski korisnici </w:t>
      </w:r>
      <w:r w:rsidRPr="003A2F86">
        <w:rPr>
          <w:rFonts w:ascii="Arial" w:hAnsi="Arial" w:cs="Arial"/>
        </w:rPr>
        <w:t>Općine (PK)</w:t>
      </w:r>
      <w:bookmarkEnd w:id="148"/>
    </w:p>
    <w:p w14:paraId="47FEA067" w14:textId="136E27ED" w:rsidR="00D35EA9" w:rsidRPr="003A2F86" w:rsidRDefault="00FD482B" w:rsidP="00D35EA9">
      <w:pPr>
        <w:autoSpaceDE w:val="0"/>
        <w:autoSpaceDN w:val="0"/>
        <w:adjustRightInd w:val="0"/>
        <w:spacing w:after="0" w:line="240" w:lineRule="auto"/>
        <w:jc w:val="both"/>
        <w:rPr>
          <w:rFonts w:ascii="Arial" w:eastAsia="Times New Roman" w:hAnsi="Arial" w:cs="Arial"/>
        </w:rPr>
      </w:pPr>
      <w:r w:rsidRPr="003A2F86">
        <w:rPr>
          <w:noProof/>
        </w:rPr>
        <w:drawing>
          <wp:anchor distT="0" distB="0" distL="114300" distR="114300" simplePos="0" relativeHeight="251631616" behindDoc="0" locked="0" layoutInCell="1" allowOverlap="1" wp14:anchorId="6E45521C" wp14:editId="1A7CEEE1">
            <wp:simplePos x="0" y="0"/>
            <wp:positionH relativeFrom="column">
              <wp:posOffset>130700</wp:posOffset>
            </wp:positionH>
            <wp:positionV relativeFrom="paragraph">
              <wp:posOffset>17007</wp:posOffset>
            </wp:positionV>
            <wp:extent cx="9237345" cy="3000375"/>
            <wp:effectExtent l="0" t="0" r="0" b="0"/>
            <wp:wrapTopAndBottom/>
            <wp:docPr id="738" name="Chart 7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p>
    <w:p w14:paraId="4F946488" w14:textId="77777777" w:rsidR="00463C67" w:rsidRDefault="00463C67" w:rsidP="008575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A4D7C59" w14:textId="0A209591" w:rsidR="00500BE9" w:rsidRPr="003A2F86" w:rsidRDefault="00891119" w:rsidP="008575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lastRenderedPageBreak/>
        <w:t>Na</w:t>
      </w:r>
      <w:r w:rsidR="00A8623C" w:rsidRPr="003A2F86">
        <w:rPr>
          <w:rFonts w:ascii="Arial" w:eastAsia="Times New Roman" w:hAnsi="Arial" w:cs="Arial"/>
        </w:rPr>
        <w:t>kn</w:t>
      </w:r>
      <w:r w:rsidRPr="003A2F86">
        <w:rPr>
          <w:rFonts w:ascii="Arial" w:eastAsia="Times New Roman" w:hAnsi="Arial" w:cs="Arial"/>
        </w:rPr>
        <w:t xml:space="preserve">ade troškova zaposlenima (321) izvršene su u iznosu </w:t>
      </w:r>
      <w:r w:rsidR="00090AEE">
        <w:rPr>
          <w:rFonts w:ascii="Arial" w:eastAsia="Times New Roman" w:hAnsi="Arial" w:cs="Arial"/>
        </w:rPr>
        <w:t>127.041,50</w:t>
      </w:r>
      <w:r w:rsidR="001930F3" w:rsidRPr="003A2F86">
        <w:rPr>
          <w:rFonts w:ascii="Arial" w:eastAsia="Times New Roman" w:hAnsi="Arial" w:cs="Arial"/>
        </w:rPr>
        <w:t xml:space="preserve"> €</w:t>
      </w:r>
      <w:r w:rsidRPr="003A2F86">
        <w:rPr>
          <w:rFonts w:ascii="Arial" w:eastAsia="Times New Roman" w:hAnsi="Arial" w:cs="Arial"/>
        </w:rPr>
        <w:t xml:space="preserve"> što je za </w:t>
      </w:r>
      <w:r w:rsidR="00D2086A">
        <w:rPr>
          <w:rFonts w:ascii="Arial" w:eastAsia="Times New Roman" w:hAnsi="Arial" w:cs="Arial"/>
        </w:rPr>
        <w:t>15.692,60</w:t>
      </w:r>
      <w:r w:rsidR="001930F3" w:rsidRPr="003A2F86">
        <w:rPr>
          <w:rFonts w:ascii="Arial" w:eastAsia="Times New Roman" w:hAnsi="Arial" w:cs="Arial"/>
        </w:rPr>
        <w:t xml:space="preserve"> €</w:t>
      </w:r>
      <w:r w:rsidRPr="003A2F86">
        <w:rPr>
          <w:rFonts w:ascii="Arial" w:eastAsia="Times New Roman" w:hAnsi="Arial" w:cs="Arial"/>
        </w:rPr>
        <w:t xml:space="preserve"> ili </w:t>
      </w:r>
      <w:r w:rsidR="00D2086A">
        <w:rPr>
          <w:rFonts w:ascii="Arial" w:eastAsia="Times New Roman" w:hAnsi="Arial" w:cs="Arial"/>
        </w:rPr>
        <w:t>14,1</w:t>
      </w:r>
      <w:r w:rsidRPr="003A2F86">
        <w:rPr>
          <w:rFonts w:ascii="Arial" w:eastAsia="Times New Roman" w:hAnsi="Arial" w:cs="Arial"/>
        </w:rPr>
        <w:t xml:space="preserve">% </w:t>
      </w:r>
      <w:r w:rsidR="001930F3" w:rsidRPr="003A2F86">
        <w:rPr>
          <w:rFonts w:ascii="Arial" w:eastAsia="Times New Roman" w:hAnsi="Arial" w:cs="Arial"/>
        </w:rPr>
        <w:t>više</w:t>
      </w:r>
      <w:r w:rsidRPr="003A2F86">
        <w:rPr>
          <w:rFonts w:ascii="Arial" w:eastAsia="Times New Roman" w:hAnsi="Arial" w:cs="Arial"/>
        </w:rPr>
        <w:t xml:space="preserve"> nego </w:t>
      </w:r>
      <w:r w:rsidR="009E612D">
        <w:rPr>
          <w:rFonts w:ascii="Arial" w:eastAsia="Times New Roman" w:hAnsi="Arial" w:cs="Arial"/>
        </w:rPr>
        <w:t xml:space="preserve">u istom razdoblju </w:t>
      </w:r>
      <w:r w:rsidRPr="003A2F86">
        <w:rPr>
          <w:rFonts w:ascii="Arial" w:eastAsia="Times New Roman" w:hAnsi="Arial" w:cs="Arial"/>
        </w:rPr>
        <w:t xml:space="preserve">prethodne godine. </w:t>
      </w:r>
      <w:r w:rsidRPr="003A2F86">
        <w:rPr>
          <w:rFonts w:ascii="Arial" w:eastAsia="Times New Roman" w:hAnsi="Arial" w:cs="Arial"/>
          <w:iCs/>
        </w:rPr>
        <w:t>Ove na</w:t>
      </w:r>
      <w:r w:rsidR="00A8623C" w:rsidRPr="003A2F86">
        <w:rPr>
          <w:rFonts w:ascii="Arial" w:eastAsia="Times New Roman" w:hAnsi="Arial" w:cs="Arial"/>
          <w:iCs/>
        </w:rPr>
        <w:t>kn</w:t>
      </w:r>
      <w:r w:rsidRPr="003A2F86">
        <w:rPr>
          <w:rFonts w:ascii="Arial" w:eastAsia="Times New Roman" w:hAnsi="Arial" w:cs="Arial"/>
          <w:iCs/>
        </w:rPr>
        <w:t>ade uključuju na</w:t>
      </w:r>
      <w:r w:rsidR="00A8623C" w:rsidRPr="003A2F86">
        <w:rPr>
          <w:rFonts w:ascii="Arial" w:eastAsia="Times New Roman" w:hAnsi="Arial" w:cs="Arial"/>
          <w:iCs/>
        </w:rPr>
        <w:t>kn</w:t>
      </w:r>
      <w:r w:rsidRPr="003A2F86">
        <w:rPr>
          <w:rFonts w:ascii="Arial" w:eastAsia="Times New Roman" w:hAnsi="Arial" w:cs="Arial"/>
          <w:iCs/>
        </w:rPr>
        <w:t xml:space="preserve">ade za prijevoz na posao i s posla </w:t>
      </w:r>
      <w:r w:rsidR="00D2086A">
        <w:rPr>
          <w:rFonts w:ascii="Arial" w:eastAsia="Times New Roman" w:hAnsi="Arial" w:cs="Arial"/>
          <w:iCs/>
        </w:rPr>
        <w:t>100.509,03</w:t>
      </w:r>
      <w:r w:rsidR="001930F3" w:rsidRPr="003A2F86">
        <w:rPr>
          <w:rFonts w:ascii="Arial" w:eastAsia="Times New Roman" w:hAnsi="Arial" w:cs="Arial"/>
          <w:iCs/>
        </w:rPr>
        <w:t xml:space="preserve"> €</w:t>
      </w:r>
      <w:r w:rsidRPr="003A2F86">
        <w:rPr>
          <w:rFonts w:ascii="Arial" w:eastAsia="Times New Roman" w:hAnsi="Arial" w:cs="Arial"/>
          <w:iCs/>
        </w:rPr>
        <w:t xml:space="preserve">, službena putovanja </w:t>
      </w:r>
      <w:r w:rsidR="00D2086A">
        <w:rPr>
          <w:rFonts w:ascii="Arial" w:eastAsia="Times New Roman" w:hAnsi="Arial" w:cs="Arial"/>
          <w:iCs/>
        </w:rPr>
        <w:t>11.237,50</w:t>
      </w:r>
      <w:r w:rsidR="001930F3" w:rsidRPr="003A2F86">
        <w:rPr>
          <w:rFonts w:ascii="Arial" w:eastAsia="Times New Roman" w:hAnsi="Arial" w:cs="Arial"/>
          <w:iCs/>
        </w:rPr>
        <w:t xml:space="preserve"> €</w:t>
      </w:r>
      <w:r w:rsidRPr="003A2F86">
        <w:rPr>
          <w:rFonts w:ascii="Arial" w:eastAsia="Times New Roman" w:hAnsi="Arial" w:cs="Arial"/>
          <w:iCs/>
        </w:rPr>
        <w:t xml:space="preserve"> i stručno usavršavanje zaposlenika </w:t>
      </w:r>
      <w:r w:rsidR="00D2086A">
        <w:rPr>
          <w:rFonts w:ascii="Arial" w:eastAsia="Times New Roman" w:hAnsi="Arial" w:cs="Arial"/>
          <w:iCs/>
        </w:rPr>
        <w:t>15.294,87</w:t>
      </w:r>
      <w:r w:rsidR="001930F3" w:rsidRPr="003A2F86">
        <w:rPr>
          <w:rFonts w:ascii="Arial" w:eastAsia="Times New Roman" w:hAnsi="Arial" w:cs="Arial"/>
          <w:iCs/>
        </w:rPr>
        <w:t xml:space="preserve"> €</w:t>
      </w:r>
      <w:r w:rsidRPr="003A2F86">
        <w:rPr>
          <w:rFonts w:ascii="Arial" w:eastAsia="Times New Roman" w:hAnsi="Arial" w:cs="Arial"/>
          <w:iCs/>
        </w:rPr>
        <w:t xml:space="preserve">. </w:t>
      </w:r>
      <w:r w:rsidRPr="003A2F86">
        <w:rPr>
          <w:rFonts w:ascii="Arial" w:eastAsia="Times New Roman" w:hAnsi="Arial" w:cs="Arial"/>
          <w:iCs/>
          <w:color w:val="244061" w:themeColor="accent1" w:themeShade="80"/>
        </w:rPr>
        <w:t>Na</w:t>
      </w:r>
      <w:r w:rsidRPr="003A2F86">
        <w:rPr>
          <w:rFonts w:ascii="Arial" w:eastAsia="Times New Roman" w:hAnsi="Arial" w:cs="Arial"/>
          <w:iCs/>
          <w:color w:val="7030A0"/>
        </w:rPr>
        <w:t xml:space="preserve"> </w:t>
      </w:r>
      <w:r w:rsidRPr="003A2F86">
        <w:rPr>
          <w:rFonts w:ascii="Arial" w:eastAsia="Times New Roman" w:hAnsi="Arial" w:cs="Arial"/>
          <w:iCs/>
          <w:color w:val="244061" w:themeColor="accent1" w:themeShade="80"/>
        </w:rPr>
        <w:t xml:space="preserve">rashode Općine odnosi se </w:t>
      </w:r>
      <w:r w:rsidR="00D2086A">
        <w:rPr>
          <w:rFonts w:ascii="Arial" w:eastAsia="Times New Roman" w:hAnsi="Arial" w:cs="Arial"/>
          <w:iCs/>
          <w:color w:val="244061" w:themeColor="accent1" w:themeShade="80"/>
        </w:rPr>
        <w:t>27.115,44</w:t>
      </w:r>
      <w:r w:rsidR="005D1A35" w:rsidRPr="003A2F86">
        <w:rPr>
          <w:rFonts w:ascii="Arial" w:eastAsia="Times New Roman" w:hAnsi="Arial" w:cs="Arial"/>
          <w:iCs/>
          <w:color w:val="244061" w:themeColor="accent1" w:themeShade="80"/>
        </w:rPr>
        <w:t xml:space="preserve"> €</w:t>
      </w:r>
      <w:r w:rsidRPr="003A2F86">
        <w:rPr>
          <w:rFonts w:ascii="Arial" w:eastAsia="Times New Roman" w:hAnsi="Arial" w:cs="Arial"/>
          <w:iCs/>
          <w:color w:val="5F497A" w:themeColor="accent4" w:themeShade="BF"/>
        </w:rPr>
        <w:t xml:space="preserve"> </w:t>
      </w:r>
      <w:r w:rsidRPr="003A2F86">
        <w:rPr>
          <w:rFonts w:ascii="Arial" w:eastAsia="Times New Roman" w:hAnsi="Arial" w:cs="Arial"/>
          <w:iCs/>
        </w:rPr>
        <w:t>(na</w:t>
      </w:r>
      <w:r w:rsidR="00A8623C" w:rsidRPr="003A2F86">
        <w:rPr>
          <w:rFonts w:ascii="Arial" w:eastAsia="Times New Roman" w:hAnsi="Arial" w:cs="Arial"/>
          <w:iCs/>
        </w:rPr>
        <w:t>kn</w:t>
      </w:r>
      <w:r w:rsidRPr="003A2F86">
        <w:rPr>
          <w:rFonts w:ascii="Arial" w:eastAsia="Times New Roman" w:hAnsi="Arial" w:cs="Arial"/>
          <w:iCs/>
        </w:rPr>
        <w:t xml:space="preserve">ade za prijevoz na posao i s posla </w:t>
      </w:r>
      <w:r w:rsidR="00D2086A">
        <w:rPr>
          <w:rFonts w:ascii="Arial" w:eastAsia="Times New Roman" w:hAnsi="Arial" w:cs="Arial"/>
          <w:iCs/>
        </w:rPr>
        <w:t>19.429,26</w:t>
      </w:r>
      <w:r w:rsidR="005D1A35" w:rsidRPr="003A2F86">
        <w:rPr>
          <w:rFonts w:ascii="Arial" w:eastAsia="Times New Roman" w:hAnsi="Arial" w:cs="Arial"/>
          <w:iCs/>
        </w:rPr>
        <w:t xml:space="preserve"> €</w:t>
      </w:r>
      <w:r w:rsidRPr="003A2F86">
        <w:rPr>
          <w:rFonts w:ascii="Arial" w:eastAsia="Times New Roman" w:hAnsi="Arial" w:cs="Arial"/>
          <w:iCs/>
        </w:rPr>
        <w:t xml:space="preserve">, službena putovanja </w:t>
      </w:r>
      <w:r w:rsidR="00D2086A">
        <w:rPr>
          <w:rFonts w:ascii="Arial" w:eastAsia="Times New Roman" w:hAnsi="Arial" w:cs="Arial"/>
          <w:iCs/>
        </w:rPr>
        <w:t>6.202,18</w:t>
      </w:r>
      <w:r w:rsidR="005D1A35" w:rsidRPr="003A2F86">
        <w:rPr>
          <w:rFonts w:ascii="Arial" w:eastAsia="Times New Roman" w:hAnsi="Arial" w:cs="Arial"/>
          <w:iCs/>
        </w:rPr>
        <w:t xml:space="preserve"> €</w:t>
      </w:r>
      <w:r w:rsidRPr="003A2F86">
        <w:rPr>
          <w:rFonts w:ascii="Arial" w:eastAsia="Times New Roman" w:hAnsi="Arial" w:cs="Arial"/>
          <w:iCs/>
        </w:rPr>
        <w:t xml:space="preserve"> i stručno usavršavanje zaposlenika </w:t>
      </w:r>
      <w:r w:rsidR="00D2086A">
        <w:rPr>
          <w:rFonts w:ascii="Arial" w:eastAsia="Times New Roman" w:hAnsi="Arial" w:cs="Arial"/>
          <w:iCs/>
        </w:rPr>
        <w:t>1.484</w:t>
      </w:r>
      <w:r w:rsidR="005D1A35" w:rsidRPr="003A2F86">
        <w:rPr>
          <w:rFonts w:ascii="Arial" w:eastAsia="Times New Roman" w:hAnsi="Arial" w:cs="Arial"/>
          <w:iCs/>
        </w:rPr>
        <w:t xml:space="preserve"> €</w:t>
      </w:r>
      <w:r w:rsidRPr="003A2F86">
        <w:rPr>
          <w:rFonts w:ascii="Arial" w:eastAsia="Times New Roman" w:hAnsi="Arial" w:cs="Arial"/>
          <w:iCs/>
        </w:rPr>
        <w:t xml:space="preserve">) </w:t>
      </w:r>
      <w:r w:rsidRPr="003A2F86">
        <w:rPr>
          <w:rFonts w:ascii="Arial" w:eastAsia="Times New Roman" w:hAnsi="Arial" w:cs="Arial"/>
          <w:iCs/>
          <w:color w:val="1F497D" w:themeColor="text2"/>
        </w:rPr>
        <w:t xml:space="preserve">i rashode proračunskih korisnika u iznosu </w:t>
      </w:r>
      <w:r w:rsidR="00D2086A">
        <w:rPr>
          <w:rFonts w:ascii="Arial" w:eastAsia="Times New Roman" w:hAnsi="Arial" w:cs="Arial"/>
          <w:iCs/>
          <w:color w:val="1F497D" w:themeColor="text2"/>
        </w:rPr>
        <w:t>99.926,06</w:t>
      </w:r>
      <w:r w:rsidR="0074431A" w:rsidRPr="003A2F86">
        <w:rPr>
          <w:rFonts w:ascii="Arial" w:eastAsia="Times New Roman" w:hAnsi="Arial" w:cs="Arial"/>
          <w:iCs/>
          <w:color w:val="1F497D" w:themeColor="text2"/>
        </w:rPr>
        <w:t xml:space="preserve"> €.</w:t>
      </w:r>
    </w:p>
    <w:p w14:paraId="3630A2E0" w14:textId="77777777" w:rsidR="00D2086A" w:rsidRDefault="00D2086A"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A0326F6" w14:textId="3A4E0979" w:rsidR="00891119" w:rsidRPr="00D2086A"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color w:val="1F497D" w:themeColor="text2"/>
        </w:rPr>
      </w:pPr>
      <w:r w:rsidRPr="003A2F86">
        <w:rPr>
          <w:rFonts w:ascii="Arial" w:eastAsia="Times New Roman" w:hAnsi="Arial" w:cs="Arial"/>
        </w:rPr>
        <w:t xml:space="preserve">Rashodi za materijal i energiju (322) izvršeni su u iznosu </w:t>
      </w:r>
      <w:r w:rsidR="00D2086A">
        <w:rPr>
          <w:rFonts w:ascii="Arial" w:eastAsia="Times New Roman" w:hAnsi="Arial" w:cs="Arial"/>
        </w:rPr>
        <w:t>425.121,43</w:t>
      </w:r>
      <w:r w:rsidR="005D1A35" w:rsidRPr="003A2F86">
        <w:rPr>
          <w:rFonts w:ascii="Arial" w:eastAsia="Times New Roman" w:hAnsi="Arial" w:cs="Arial"/>
        </w:rPr>
        <w:t xml:space="preserve"> €</w:t>
      </w:r>
      <w:r w:rsidR="009E612D">
        <w:rPr>
          <w:rFonts w:ascii="Arial" w:eastAsia="Times New Roman" w:hAnsi="Arial" w:cs="Arial"/>
        </w:rPr>
        <w:t xml:space="preserve"> </w:t>
      </w:r>
      <w:r w:rsidR="009E612D" w:rsidRPr="009E612D">
        <w:rPr>
          <w:rFonts w:ascii="Arial" w:eastAsia="Times New Roman" w:hAnsi="Arial" w:cs="Arial"/>
        </w:rPr>
        <w:t xml:space="preserve">što je za </w:t>
      </w:r>
      <w:r w:rsidR="009E612D">
        <w:rPr>
          <w:rFonts w:ascii="Arial" w:eastAsia="Times New Roman" w:hAnsi="Arial" w:cs="Arial"/>
        </w:rPr>
        <w:t>13.873,08</w:t>
      </w:r>
      <w:r w:rsidR="009E612D" w:rsidRPr="009E612D">
        <w:rPr>
          <w:rFonts w:ascii="Arial" w:eastAsia="Times New Roman" w:hAnsi="Arial" w:cs="Arial"/>
        </w:rPr>
        <w:t xml:space="preserve"> € ili </w:t>
      </w:r>
      <w:r w:rsidR="009E612D">
        <w:rPr>
          <w:rFonts w:ascii="Arial" w:eastAsia="Times New Roman" w:hAnsi="Arial" w:cs="Arial"/>
        </w:rPr>
        <w:t>3,6</w:t>
      </w:r>
      <w:r w:rsidR="009E612D" w:rsidRPr="009E612D">
        <w:rPr>
          <w:rFonts w:ascii="Arial" w:eastAsia="Times New Roman" w:hAnsi="Arial" w:cs="Arial"/>
        </w:rPr>
        <w:t xml:space="preserve">% </w:t>
      </w:r>
      <w:r w:rsidR="009E612D">
        <w:rPr>
          <w:rFonts w:ascii="Arial" w:eastAsia="Times New Roman" w:hAnsi="Arial" w:cs="Arial"/>
        </w:rPr>
        <w:t>manje</w:t>
      </w:r>
      <w:r w:rsidR="009E612D" w:rsidRPr="009E612D">
        <w:rPr>
          <w:rFonts w:ascii="Arial" w:eastAsia="Times New Roman" w:hAnsi="Arial" w:cs="Arial"/>
        </w:rPr>
        <w:t xml:space="preserve"> nego </w:t>
      </w:r>
      <w:r w:rsidR="009E612D">
        <w:rPr>
          <w:rFonts w:ascii="Arial" w:eastAsia="Times New Roman" w:hAnsi="Arial" w:cs="Arial"/>
        </w:rPr>
        <w:t>u istom razdoblju prethodne godine</w:t>
      </w:r>
      <w:r w:rsidR="009E612D" w:rsidRPr="009E612D">
        <w:rPr>
          <w:rFonts w:ascii="Arial" w:eastAsia="Times New Roman" w:hAnsi="Arial" w:cs="Arial"/>
        </w:rPr>
        <w:t>.</w:t>
      </w:r>
      <w:r w:rsidRPr="003A2F86">
        <w:rPr>
          <w:rFonts w:ascii="Arial" w:eastAsia="Times New Roman" w:hAnsi="Arial" w:cs="Arial"/>
        </w:rPr>
        <w:t xml:space="preserve"> Ovi rashodi se odnose na rashode za uredski materijal i ostale materijalne rashode, rashode za materijal i sirovine, rashode za energiju, rashode za materijal i dijelove za tekuće i investicijsko održavanje, sitan, te rashode za službenu i radnu odjeću i obuću.</w:t>
      </w:r>
      <w:r w:rsidRPr="003A2F86">
        <w:rPr>
          <w:rFonts w:ascii="Arial" w:eastAsia="Times New Roman" w:hAnsi="Arial" w:cs="Arial"/>
          <w:iCs/>
        </w:rPr>
        <w:t xml:space="preserve"> </w:t>
      </w:r>
      <w:r w:rsidRPr="003A2F86">
        <w:rPr>
          <w:rFonts w:ascii="Arial" w:eastAsia="Times New Roman" w:hAnsi="Arial" w:cs="Arial"/>
          <w:iCs/>
          <w:color w:val="1F497D" w:themeColor="text2"/>
        </w:rPr>
        <w:t xml:space="preserve">Na rashode </w:t>
      </w:r>
      <w:r w:rsidR="008526B4" w:rsidRPr="003A2F86">
        <w:rPr>
          <w:rFonts w:ascii="Arial" w:eastAsia="Times New Roman" w:hAnsi="Arial" w:cs="Arial"/>
          <w:iCs/>
          <w:color w:val="1F497D" w:themeColor="text2"/>
        </w:rPr>
        <w:t xml:space="preserve">(322) </w:t>
      </w:r>
      <w:r w:rsidRPr="003A2F86">
        <w:rPr>
          <w:rFonts w:ascii="Arial" w:eastAsia="Times New Roman" w:hAnsi="Arial" w:cs="Arial"/>
          <w:iCs/>
          <w:color w:val="1F497D" w:themeColor="text2"/>
        </w:rPr>
        <w:t xml:space="preserve">Općine odnosi se </w:t>
      </w:r>
      <w:r w:rsidR="00D2086A">
        <w:rPr>
          <w:rFonts w:ascii="Arial" w:eastAsia="Times New Roman" w:hAnsi="Arial" w:cs="Arial"/>
          <w:iCs/>
          <w:color w:val="1F497D" w:themeColor="text2"/>
        </w:rPr>
        <w:t>149.036,48</w:t>
      </w:r>
      <w:r w:rsidR="005D1A35" w:rsidRPr="003A2F86">
        <w:rPr>
          <w:rFonts w:ascii="Arial" w:eastAsia="Times New Roman" w:hAnsi="Arial" w:cs="Arial"/>
          <w:iCs/>
          <w:color w:val="1F497D" w:themeColor="text2"/>
        </w:rPr>
        <w:t xml:space="preserve"> €</w:t>
      </w:r>
      <w:r w:rsidR="008526B4" w:rsidRPr="003A2F86">
        <w:rPr>
          <w:rFonts w:ascii="Arial" w:eastAsia="Times New Roman" w:hAnsi="Arial" w:cs="Arial"/>
          <w:iCs/>
          <w:color w:val="1F497D" w:themeColor="text2"/>
        </w:rPr>
        <w:t xml:space="preserve">, a </w:t>
      </w:r>
      <w:r w:rsidRPr="003A2F86">
        <w:rPr>
          <w:rFonts w:ascii="Arial" w:eastAsia="Times New Roman" w:hAnsi="Arial" w:cs="Arial"/>
          <w:iCs/>
          <w:color w:val="1F497D" w:themeColor="text2"/>
        </w:rPr>
        <w:t xml:space="preserve">rashode proračunskih korisnika </w:t>
      </w:r>
      <w:r w:rsidR="00D2086A">
        <w:rPr>
          <w:rFonts w:ascii="Arial" w:eastAsia="Times New Roman" w:hAnsi="Arial" w:cs="Arial"/>
          <w:iCs/>
          <w:color w:val="1F497D" w:themeColor="text2"/>
        </w:rPr>
        <w:t>276.084,95</w:t>
      </w:r>
      <w:r w:rsidR="005D1A35" w:rsidRPr="003A2F86">
        <w:rPr>
          <w:rFonts w:ascii="Arial" w:eastAsia="Times New Roman" w:hAnsi="Arial" w:cs="Arial"/>
          <w:iCs/>
          <w:color w:val="1F497D" w:themeColor="text2"/>
        </w:rPr>
        <w:t xml:space="preserve"> €.</w:t>
      </w:r>
    </w:p>
    <w:p w14:paraId="55FA81E9"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656999F" w14:textId="5CDEA0F9" w:rsidR="007E1763" w:rsidRPr="003A2F86" w:rsidRDefault="007E1763" w:rsidP="007E176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U okviru ukupnih rashoda za materijal i energiju (322) vrijednosno </w:t>
      </w:r>
      <w:r w:rsidR="00D2086A">
        <w:rPr>
          <w:rFonts w:ascii="Arial" w:eastAsia="Times New Roman" w:hAnsi="Arial" w:cs="Arial"/>
        </w:rPr>
        <w:t>z</w:t>
      </w:r>
      <w:r w:rsidRPr="003A2F86">
        <w:rPr>
          <w:rFonts w:ascii="Arial" w:eastAsia="Times New Roman" w:hAnsi="Arial" w:cs="Arial"/>
        </w:rPr>
        <w:t xml:space="preserve">načajniji su rashodi za energiju (3223 - električna energija, plin, motorni benzin i dizel gorivo) u iznosu </w:t>
      </w:r>
      <w:r w:rsidR="00D2086A">
        <w:rPr>
          <w:rFonts w:ascii="Arial" w:eastAsia="Times New Roman" w:hAnsi="Arial" w:cs="Arial"/>
        </w:rPr>
        <w:t>128.786,78</w:t>
      </w:r>
      <w:r w:rsidR="005D1A35" w:rsidRPr="003A2F86">
        <w:rPr>
          <w:rFonts w:ascii="Arial" w:eastAsia="Times New Roman" w:hAnsi="Arial" w:cs="Arial"/>
        </w:rPr>
        <w:t xml:space="preserve"> €</w:t>
      </w:r>
      <w:r w:rsidRPr="003A2F86">
        <w:rPr>
          <w:rFonts w:ascii="Arial" w:eastAsia="Times New Roman" w:hAnsi="Arial" w:cs="Arial"/>
        </w:rPr>
        <w:t xml:space="preserve"> ili </w:t>
      </w:r>
      <w:r w:rsidR="00D2086A">
        <w:rPr>
          <w:rFonts w:ascii="Arial" w:eastAsia="Times New Roman" w:hAnsi="Arial" w:cs="Arial"/>
        </w:rPr>
        <w:t>30,3</w:t>
      </w:r>
      <w:r w:rsidRPr="003A2F86">
        <w:rPr>
          <w:rFonts w:ascii="Arial" w:eastAsia="Times New Roman" w:hAnsi="Arial" w:cs="Arial"/>
        </w:rPr>
        <w:t>% rashoda za materijal i energiju (u okviru čega troškovi električne energije za javnu rasvjetu</w:t>
      </w:r>
      <w:r w:rsidR="0074431A" w:rsidRPr="003A2F86">
        <w:rPr>
          <w:rFonts w:ascii="Arial" w:eastAsia="Times New Roman" w:hAnsi="Arial" w:cs="Arial"/>
        </w:rPr>
        <w:t xml:space="preserve"> iznose</w:t>
      </w:r>
      <w:r w:rsidRPr="003A2F86">
        <w:rPr>
          <w:rFonts w:ascii="Arial" w:eastAsia="Times New Roman" w:hAnsi="Arial" w:cs="Arial"/>
        </w:rPr>
        <w:t xml:space="preserve"> </w:t>
      </w:r>
      <w:r w:rsidR="00D2086A">
        <w:rPr>
          <w:rFonts w:ascii="Arial" w:eastAsia="Times New Roman" w:hAnsi="Arial" w:cs="Arial"/>
        </w:rPr>
        <w:t>34.007,57</w:t>
      </w:r>
      <w:r w:rsidR="005D1A35" w:rsidRPr="003A2F86">
        <w:rPr>
          <w:rFonts w:ascii="Arial" w:eastAsia="Times New Roman" w:hAnsi="Arial" w:cs="Arial"/>
        </w:rPr>
        <w:t xml:space="preserve"> €</w:t>
      </w:r>
      <w:r w:rsidRPr="003A2F86">
        <w:rPr>
          <w:rFonts w:ascii="Arial" w:eastAsia="Times New Roman" w:hAnsi="Arial" w:cs="Arial"/>
        </w:rPr>
        <w:t xml:space="preserve">). </w:t>
      </w:r>
    </w:p>
    <w:p w14:paraId="4350114C" w14:textId="77777777" w:rsidR="007E1763" w:rsidRPr="003A2F86" w:rsidRDefault="007E1763" w:rsidP="00BF0FD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1B474B6" w14:textId="6A486847" w:rsidR="00BF0FDE" w:rsidRPr="003A2F86" w:rsidRDefault="007E1763" w:rsidP="00BF0FD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Rashodi</w:t>
      </w:r>
      <w:r w:rsidR="00BF0FDE" w:rsidRPr="003A2F86">
        <w:rPr>
          <w:rFonts w:ascii="Arial" w:eastAsia="Times New Roman" w:hAnsi="Arial" w:cs="Arial"/>
        </w:rPr>
        <w:t xml:space="preserve"> za materijal i sirovine (3222) iznose </w:t>
      </w:r>
      <w:r w:rsidR="00D2086A">
        <w:rPr>
          <w:rFonts w:ascii="Arial" w:eastAsia="Times New Roman" w:hAnsi="Arial" w:cs="Arial"/>
        </w:rPr>
        <w:t>141.550,24</w:t>
      </w:r>
      <w:r w:rsidR="005D1A35" w:rsidRPr="003A2F86">
        <w:rPr>
          <w:rFonts w:ascii="Arial" w:eastAsia="Times New Roman" w:hAnsi="Arial" w:cs="Arial"/>
        </w:rPr>
        <w:t xml:space="preserve"> €</w:t>
      </w:r>
      <w:r w:rsidR="00BF0FDE" w:rsidRPr="003A2F86">
        <w:rPr>
          <w:rFonts w:ascii="Arial" w:eastAsia="Times New Roman" w:hAnsi="Arial" w:cs="Arial"/>
        </w:rPr>
        <w:t xml:space="preserve">, od čega </w:t>
      </w:r>
      <w:r w:rsidR="00BF0FDE" w:rsidRPr="003A2F86">
        <w:rPr>
          <w:rFonts w:ascii="Arial" w:eastAsia="Times New Roman" w:hAnsi="Arial" w:cs="Arial"/>
          <w:color w:val="1F497D" w:themeColor="text2"/>
        </w:rPr>
        <w:t xml:space="preserve">rashodi Općine iznose </w:t>
      </w:r>
      <w:r w:rsidR="00D2086A">
        <w:rPr>
          <w:rFonts w:ascii="Arial" w:eastAsia="Times New Roman" w:hAnsi="Arial" w:cs="Arial"/>
          <w:color w:val="1F497D" w:themeColor="text2"/>
        </w:rPr>
        <w:t>2.066,25</w:t>
      </w:r>
      <w:r w:rsidR="005D1A35" w:rsidRPr="003A2F86">
        <w:rPr>
          <w:rFonts w:ascii="Arial" w:eastAsia="Times New Roman" w:hAnsi="Arial" w:cs="Arial"/>
          <w:color w:val="1F497D" w:themeColor="text2"/>
        </w:rPr>
        <w:t xml:space="preserve"> €</w:t>
      </w:r>
      <w:r w:rsidR="00BF0FDE" w:rsidRPr="003A2F86">
        <w:rPr>
          <w:rFonts w:ascii="Arial" w:eastAsia="Times New Roman" w:hAnsi="Arial" w:cs="Arial"/>
          <w:color w:val="1F497D" w:themeColor="text2"/>
        </w:rPr>
        <w:t xml:space="preserve">, a proračunskih korisnika </w:t>
      </w:r>
      <w:r w:rsidR="00D2086A">
        <w:rPr>
          <w:rFonts w:ascii="Arial" w:eastAsia="Times New Roman" w:hAnsi="Arial" w:cs="Arial"/>
          <w:color w:val="1F497D" w:themeColor="text2"/>
        </w:rPr>
        <w:t>139.483,99</w:t>
      </w:r>
      <w:r w:rsidR="005D1A35" w:rsidRPr="003A2F86">
        <w:rPr>
          <w:rFonts w:ascii="Arial" w:eastAsia="Times New Roman" w:hAnsi="Arial" w:cs="Arial"/>
          <w:color w:val="1F497D" w:themeColor="text2"/>
        </w:rPr>
        <w:t xml:space="preserve"> €</w:t>
      </w:r>
      <w:r w:rsidR="00BF0FDE" w:rsidRPr="003A2F86">
        <w:rPr>
          <w:rFonts w:ascii="Arial" w:eastAsia="Times New Roman" w:hAnsi="Arial" w:cs="Arial"/>
          <w:color w:val="1F497D" w:themeColor="text2"/>
        </w:rPr>
        <w:t xml:space="preserve">. </w:t>
      </w:r>
      <w:r w:rsidR="00BF0FDE" w:rsidRPr="003A2F86">
        <w:rPr>
          <w:rFonts w:ascii="Arial" w:eastAsia="Times New Roman" w:hAnsi="Arial" w:cs="Arial"/>
        </w:rPr>
        <w:t xml:space="preserve">Vrijednosno najznačajniji rashodi za materijal i sirovine proračunskih korisnika se odnosi na spomenutu nabavu i utrošak namirnica za dječji vrtić i dom za starije i nemoćne </w:t>
      </w:r>
      <w:r w:rsidR="00D2086A" w:rsidRPr="00D2086A">
        <w:rPr>
          <w:rFonts w:ascii="Arial" w:eastAsia="Times New Roman" w:hAnsi="Arial" w:cs="Arial"/>
          <w:iCs/>
        </w:rPr>
        <w:t xml:space="preserve">135.064,12 </w:t>
      </w:r>
      <w:r w:rsidR="00790182" w:rsidRPr="003A2F86">
        <w:rPr>
          <w:rFonts w:ascii="Arial" w:eastAsia="Times New Roman" w:hAnsi="Arial" w:cs="Arial"/>
          <w:iCs/>
        </w:rPr>
        <w:t>€.</w:t>
      </w:r>
    </w:p>
    <w:p w14:paraId="32EE5DBC"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D8EB342" w14:textId="61F84EDF" w:rsidR="00891119" w:rsidRPr="009E612D"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227ACB"/>
        </w:rPr>
      </w:pPr>
      <w:r w:rsidRPr="003A2F86">
        <w:rPr>
          <w:rFonts w:ascii="Arial" w:eastAsia="Times New Roman" w:hAnsi="Arial" w:cs="Arial"/>
        </w:rPr>
        <w:t xml:space="preserve">Rashodi za materijal i dijelove za tekuće i investicijsko održavanje (3224) iznose </w:t>
      </w:r>
      <w:r w:rsidR="00D2086A">
        <w:rPr>
          <w:rFonts w:ascii="Arial" w:eastAsia="Times New Roman" w:hAnsi="Arial" w:cs="Arial"/>
        </w:rPr>
        <w:t>47.826,41</w:t>
      </w:r>
      <w:r w:rsidR="005D1A35" w:rsidRPr="003A2F86">
        <w:rPr>
          <w:rFonts w:ascii="Arial" w:eastAsia="Times New Roman" w:hAnsi="Arial" w:cs="Arial"/>
        </w:rPr>
        <w:t xml:space="preserve"> €</w:t>
      </w:r>
      <w:r w:rsidRPr="003A2F86">
        <w:rPr>
          <w:rFonts w:ascii="Arial" w:eastAsia="Times New Roman" w:hAnsi="Arial" w:cs="Arial"/>
        </w:rPr>
        <w:t xml:space="preserve">, od </w:t>
      </w:r>
      <w:r w:rsidRPr="009E612D">
        <w:rPr>
          <w:rFonts w:ascii="Arial" w:eastAsia="Times New Roman" w:hAnsi="Arial" w:cs="Arial"/>
        </w:rPr>
        <w:t xml:space="preserve">čega </w:t>
      </w:r>
      <w:r w:rsidRPr="009E612D">
        <w:rPr>
          <w:rFonts w:ascii="Arial" w:eastAsia="Times New Roman" w:hAnsi="Arial" w:cs="Arial"/>
          <w:color w:val="227ACB"/>
        </w:rPr>
        <w:t xml:space="preserve">rashodi Općine iznose </w:t>
      </w:r>
      <w:r w:rsidR="009E612D" w:rsidRPr="009E612D">
        <w:rPr>
          <w:rFonts w:ascii="Arial" w:eastAsia="Times New Roman" w:hAnsi="Arial" w:cs="Arial"/>
          <w:color w:val="227ACB"/>
        </w:rPr>
        <w:t>36.434,72</w:t>
      </w:r>
      <w:r w:rsidR="005D1A35" w:rsidRPr="009E612D">
        <w:rPr>
          <w:rFonts w:ascii="Arial" w:eastAsia="Times New Roman" w:hAnsi="Arial" w:cs="Arial"/>
          <w:color w:val="227ACB"/>
        </w:rPr>
        <w:t xml:space="preserve"> €</w:t>
      </w:r>
      <w:r w:rsidRPr="009E612D">
        <w:rPr>
          <w:rFonts w:ascii="Arial" w:eastAsia="Times New Roman" w:hAnsi="Arial" w:cs="Arial"/>
          <w:color w:val="227ACB"/>
        </w:rPr>
        <w:t xml:space="preserve"> </w:t>
      </w:r>
      <w:r w:rsidRPr="009E612D">
        <w:rPr>
          <w:rFonts w:ascii="Arial" w:eastAsia="Times New Roman" w:hAnsi="Arial" w:cs="Arial"/>
        </w:rPr>
        <w:t>(u</w:t>
      </w:r>
      <w:r w:rsidRPr="003A2F86">
        <w:rPr>
          <w:rFonts w:ascii="Arial" w:eastAsia="Times New Roman" w:hAnsi="Arial" w:cs="Arial"/>
        </w:rPr>
        <w:t xml:space="preserve"> okviru čega se najznačajniji rashodi odnose na nabavu raznog materijala za komunalno održavanje)</w:t>
      </w:r>
      <w:r w:rsidR="00D73C78" w:rsidRPr="003A2F86">
        <w:rPr>
          <w:rFonts w:ascii="Arial" w:eastAsia="Times New Roman" w:hAnsi="Arial" w:cs="Arial"/>
        </w:rPr>
        <w:t xml:space="preserve">, dok </w:t>
      </w:r>
      <w:r w:rsidR="00D73C78" w:rsidRPr="009E612D">
        <w:rPr>
          <w:rFonts w:ascii="Arial" w:eastAsia="Times New Roman" w:hAnsi="Arial" w:cs="Arial"/>
          <w:color w:val="227ACB"/>
        </w:rPr>
        <w:t xml:space="preserve">rashodi proračunskih korisnika iznose </w:t>
      </w:r>
      <w:r w:rsidR="009E612D" w:rsidRPr="009E612D">
        <w:rPr>
          <w:rFonts w:ascii="Arial" w:eastAsia="Times New Roman" w:hAnsi="Arial" w:cs="Arial"/>
          <w:color w:val="227ACB"/>
        </w:rPr>
        <w:t xml:space="preserve">11.391,69 </w:t>
      </w:r>
      <w:r w:rsidR="00D73C78" w:rsidRPr="009E612D">
        <w:rPr>
          <w:rFonts w:ascii="Arial" w:eastAsia="Times New Roman" w:hAnsi="Arial" w:cs="Arial"/>
          <w:color w:val="227ACB"/>
        </w:rPr>
        <w:t>€.</w:t>
      </w:r>
    </w:p>
    <w:p w14:paraId="667FF37E" w14:textId="77777777" w:rsidR="00891119" w:rsidRPr="009E612D"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5AD272D" w14:textId="35C5E1E0" w:rsidR="00C20BAB"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color w:val="365F91" w:themeColor="accent1" w:themeShade="BF"/>
        </w:rPr>
      </w:pPr>
      <w:r w:rsidRPr="003A2F86">
        <w:rPr>
          <w:rFonts w:ascii="Arial" w:eastAsia="Times New Roman" w:hAnsi="Arial" w:cs="Arial"/>
        </w:rPr>
        <w:t xml:space="preserve">Rashodi za usluge (323) izvršeni su u iznosu </w:t>
      </w:r>
      <w:r w:rsidR="009E612D">
        <w:rPr>
          <w:rFonts w:ascii="Arial" w:eastAsia="Times New Roman" w:hAnsi="Arial" w:cs="Arial"/>
        </w:rPr>
        <w:t>1.845.551,19</w:t>
      </w:r>
      <w:r w:rsidR="005D1A35" w:rsidRPr="003A2F86">
        <w:rPr>
          <w:rFonts w:ascii="Arial" w:eastAsia="Times New Roman" w:hAnsi="Arial" w:cs="Arial"/>
        </w:rPr>
        <w:t xml:space="preserve"> €</w:t>
      </w:r>
      <w:r w:rsidRPr="003A2F86">
        <w:rPr>
          <w:rFonts w:ascii="Arial" w:eastAsia="Times New Roman" w:hAnsi="Arial" w:cs="Arial"/>
        </w:rPr>
        <w:t xml:space="preserve"> što je za </w:t>
      </w:r>
      <w:r w:rsidR="009E612D">
        <w:rPr>
          <w:rFonts w:ascii="Arial" w:eastAsia="Times New Roman" w:hAnsi="Arial" w:cs="Arial"/>
        </w:rPr>
        <w:t>618.359,66</w:t>
      </w:r>
      <w:r w:rsidR="005D1A35" w:rsidRPr="003A2F86">
        <w:rPr>
          <w:rFonts w:ascii="Arial" w:eastAsia="Times New Roman" w:hAnsi="Arial" w:cs="Arial"/>
        </w:rPr>
        <w:t xml:space="preserve"> €</w:t>
      </w:r>
      <w:r w:rsidRPr="003A2F86">
        <w:rPr>
          <w:rFonts w:ascii="Arial" w:eastAsia="Times New Roman" w:hAnsi="Arial" w:cs="Arial"/>
        </w:rPr>
        <w:t xml:space="preserve"> ili </w:t>
      </w:r>
      <w:r w:rsidR="009E612D">
        <w:rPr>
          <w:rFonts w:ascii="Arial" w:eastAsia="Times New Roman" w:hAnsi="Arial" w:cs="Arial"/>
        </w:rPr>
        <w:t>50,4</w:t>
      </w:r>
      <w:r w:rsidRPr="003A2F86">
        <w:rPr>
          <w:rFonts w:ascii="Arial" w:eastAsia="Times New Roman" w:hAnsi="Arial" w:cs="Arial"/>
        </w:rPr>
        <w:t xml:space="preserve">% </w:t>
      </w:r>
      <w:r w:rsidR="00F32479">
        <w:rPr>
          <w:rFonts w:ascii="Arial" w:eastAsia="Times New Roman" w:hAnsi="Arial" w:cs="Arial"/>
        </w:rPr>
        <w:t>više</w:t>
      </w:r>
      <w:r w:rsidRPr="003A2F86">
        <w:rPr>
          <w:rFonts w:ascii="Arial" w:eastAsia="Times New Roman" w:hAnsi="Arial" w:cs="Arial"/>
        </w:rPr>
        <w:t xml:space="preserve"> u odnosu na prethodnu</w:t>
      </w:r>
      <w:r w:rsidR="009E612D">
        <w:rPr>
          <w:rFonts w:ascii="Arial" w:eastAsia="Times New Roman" w:hAnsi="Arial" w:cs="Arial"/>
        </w:rPr>
        <w:t xml:space="preserve"> godinu, </w:t>
      </w:r>
      <w:r w:rsidRPr="003A2F86">
        <w:rPr>
          <w:rFonts w:ascii="Arial" w:eastAsia="Times New Roman" w:hAnsi="Arial" w:cs="Arial"/>
          <w:iCs/>
          <w:color w:val="365F91" w:themeColor="accent1" w:themeShade="BF"/>
        </w:rPr>
        <w:t xml:space="preserve">Na rashode Općine odnosi se </w:t>
      </w:r>
      <w:r w:rsidR="009E612D">
        <w:rPr>
          <w:rFonts w:ascii="Arial" w:eastAsia="Times New Roman" w:hAnsi="Arial" w:cs="Arial"/>
          <w:iCs/>
          <w:color w:val="365F91" w:themeColor="accent1" w:themeShade="BF"/>
        </w:rPr>
        <w:t>1.648.382,81</w:t>
      </w:r>
      <w:r w:rsidR="006E60C3" w:rsidRPr="003A2F86">
        <w:rPr>
          <w:rFonts w:ascii="Arial" w:eastAsia="Times New Roman" w:hAnsi="Arial" w:cs="Arial"/>
          <w:iCs/>
          <w:color w:val="365F91" w:themeColor="accent1" w:themeShade="BF"/>
        </w:rPr>
        <w:t xml:space="preserve"> €</w:t>
      </w:r>
      <w:r w:rsidRPr="003A2F86">
        <w:rPr>
          <w:rFonts w:ascii="Arial" w:eastAsia="Times New Roman" w:hAnsi="Arial" w:cs="Arial"/>
          <w:iCs/>
          <w:color w:val="365F91" w:themeColor="accent1" w:themeShade="BF"/>
        </w:rPr>
        <w:t xml:space="preserve"> i rashode proračunskih korisnika u iznosu </w:t>
      </w:r>
      <w:r w:rsidR="009E612D">
        <w:rPr>
          <w:rFonts w:ascii="Arial" w:eastAsia="Times New Roman" w:hAnsi="Arial" w:cs="Arial"/>
          <w:iCs/>
          <w:color w:val="365F91" w:themeColor="accent1" w:themeShade="BF"/>
        </w:rPr>
        <w:t>197.168,38</w:t>
      </w:r>
      <w:r w:rsidR="006E60C3" w:rsidRPr="003A2F86">
        <w:rPr>
          <w:rFonts w:ascii="Arial" w:eastAsia="Times New Roman" w:hAnsi="Arial" w:cs="Arial"/>
          <w:iCs/>
          <w:color w:val="365F91" w:themeColor="accent1" w:themeShade="BF"/>
        </w:rPr>
        <w:t xml:space="preserve"> €</w:t>
      </w:r>
      <w:r w:rsidRPr="003A2F86">
        <w:rPr>
          <w:rFonts w:ascii="Arial" w:eastAsia="Times New Roman" w:hAnsi="Arial" w:cs="Arial"/>
          <w:iCs/>
          <w:color w:val="365F91" w:themeColor="accent1" w:themeShade="BF"/>
        </w:rPr>
        <w:t>.</w:t>
      </w:r>
      <w:r w:rsidR="00683706" w:rsidRPr="003A2F86">
        <w:rPr>
          <w:rFonts w:ascii="Arial" w:eastAsia="Times New Roman" w:hAnsi="Arial" w:cs="Arial"/>
          <w:iCs/>
          <w:color w:val="365F91" w:themeColor="accent1" w:themeShade="BF"/>
        </w:rPr>
        <w:t xml:space="preserve"> </w:t>
      </w:r>
    </w:p>
    <w:p w14:paraId="6EC4D398" w14:textId="77777777" w:rsidR="00C20BAB" w:rsidRPr="003A2F86" w:rsidRDefault="00C20BAB"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2B5E07D1" w14:textId="40271B6F" w:rsidR="00891119" w:rsidRPr="00324198"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24198">
        <w:rPr>
          <w:rFonts w:ascii="Arial" w:eastAsia="Times New Roman" w:hAnsi="Arial" w:cs="Arial"/>
        </w:rPr>
        <w:t>Vrijednosno značajniji izvršeni rashodi za usluge (323) (ukupno Općina i proračunski korisnici) odnosi se na:</w:t>
      </w:r>
    </w:p>
    <w:p w14:paraId="199E3D28" w14:textId="17243859" w:rsidR="00B071E6" w:rsidRPr="00AE234E" w:rsidRDefault="00651B9A" w:rsidP="00B071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24198">
        <w:rPr>
          <w:rFonts w:ascii="Arial" w:eastAsia="Times New Roman" w:hAnsi="Arial" w:cs="Arial"/>
        </w:rPr>
        <w:tab/>
        <w:t xml:space="preserve">- usluge tekućeg i investicijskog održavanja (3232) ostvarene u iznosu </w:t>
      </w:r>
      <w:r w:rsidR="009E612D">
        <w:rPr>
          <w:rFonts w:ascii="Arial" w:eastAsia="Times New Roman" w:hAnsi="Arial" w:cs="Arial"/>
        </w:rPr>
        <w:t>893.119,93</w:t>
      </w:r>
      <w:r w:rsidR="005A37D9" w:rsidRPr="00324198">
        <w:rPr>
          <w:rFonts w:ascii="Arial" w:eastAsia="Times New Roman" w:hAnsi="Arial" w:cs="Arial"/>
        </w:rPr>
        <w:t xml:space="preserve"> €</w:t>
      </w:r>
      <w:r w:rsidRPr="00324198">
        <w:rPr>
          <w:rFonts w:ascii="Arial" w:eastAsia="Times New Roman" w:hAnsi="Arial" w:cs="Arial"/>
        </w:rPr>
        <w:t xml:space="preserve"> i to općina </w:t>
      </w:r>
      <w:r w:rsidR="009E612D">
        <w:rPr>
          <w:rFonts w:ascii="Arial" w:eastAsia="Times New Roman" w:hAnsi="Arial" w:cs="Arial"/>
        </w:rPr>
        <w:t>800.407,10</w:t>
      </w:r>
      <w:r w:rsidR="005A37D9" w:rsidRPr="00324198">
        <w:rPr>
          <w:rFonts w:ascii="Arial" w:eastAsia="Times New Roman" w:hAnsi="Arial" w:cs="Arial"/>
        </w:rPr>
        <w:t xml:space="preserve"> €</w:t>
      </w:r>
      <w:r w:rsidRPr="00324198">
        <w:rPr>
          <w:rFonts w:ascii="Arial" w:eastAsia="Times New Roman" w:hAnsi="Arial" w:cs="Arial"/>
        </w:rPr>
        <w:t xml:space="preserve">, a proračunski korisnici </w:t>
      </w:r>
      <w:r w:rsidR="009E612D">
        <w:rPr>
          <w:rFonts w:ascii="Arial" w:eastAsia="Times New Roman" w:hAnsi="Arial" w:cs="Arial"/>
        </w:rPr>
        <w:t>92.712,83</w:t>
      </w:r>
      <w:r w:rsidR="005A37D9" w:rsidRPr="00696C89">
        <w:rPr>
          <w:rFonts w:ascii="Arial" w:eastAsia="Times New Roman" w:hAnsi="Arial" w:cs="Arial"/>
        </w:rPr>
        <w:t xml:space="preserve"> €</w:t>
      </w:r>
      <w:r w:rsidRPr="00696C89">
        <w:rPr>
          <w:rFonts w:ascii="Arial" w:eastAsia="Times New Roman" w:hAnsi="Arial" w:cs="Arial"/>
        </w:rPr>
        <w:t xml:space="preserve"> (ukupno ovi rashodi su </w:t>
      </w:r>
      <w:r w:rsidR="00324198" w:rsidRPr="00696C89">
        <w:rPr>
          <w:rFonts w:ascii="Arial" w:eastAsia="Times New Roman" w:hAnsi="Arial" w:cs="Arial"/>
        </w:rPr>
        <w:t>više</w:t>
      </w:r>
      <w:r w:rsidRPr="00696C89">
        <w:rPr>
          <w:rFonts w:ascii="Arial" w:eastAsia="Times New Roman" w:hAnsi="Arial" w:cs="Arial"/>
        </w:rPr>
        <w:t xml:space="preserve"> izvršeni u odnosu na prethodnu proračunsku godinu za </w:t>
      </w:r>
      <w:r w:rsidR="009E612D">
        <w:rPr>
          <w:rFonts w:ascii="Arial" w:eastAsia="Times New Roman" w:hAnsi="Arial" w:cs="Arial"/>
          <w:iCs/>
        </w:rPr>
        <w:t>370.440,74</w:t>
      </w:r>
      <w:r w:rsidR="005A37D9" w:rsidRPr="00696C89">
        <w:rPr>
          <w:rFonts w:ascii="Arial" w:eastAsia="Times New Roman" w:hAnsi="Arial" w:cs="Arial"/>
          <w:iCs/>
        </w:rPr>
        <w:t xml:space="preserve"> €</w:t>
      </w:r>
      <w:r w:rsidRPr="00696C89">
        <w:rPr>
          <w:rFonts w:ascii="Arial" w:eastAsia="Times New Roman" w:hAnsi="Arial" w:cs="Arial"/>
          <w:iCs/>
        </w:rPr>
        <w:t xml:space="preserve"> ili </w:t>
      </w:r>
      <w:r w:rsidR="009E612D">
        <w:rPr>
          <w:rFonts w:ascii="Arial" w:eastAsia="Times New Roman" w:hAnsi="Arial" w:cs="Arial"/>
          <w:iCs/>
        </w:rPr>
        <w:t>70,9</w:t>
      </w:r>
      <w:r w:rsidRPr="00696C89">
        <w:rPr>
          <w:rFonts w:ascii="Arial" w:eastAsia="Times New Roman" w:hAnsi="Arial" w:cs="Arial"/>
        </w:rPr>
        <w:t xml:space="preserve">%). </w:t>
      </w:r>
      <w:r w:rsidR="00AE234E">
        <w:rPr>
          <w:rFonts w:ascii="Arial" w:eastAsia="Times New Roman" w:hAnsi="Arial" w:cs="Arial"/>
        </w:rPr>
        <w:t>Najznačajnije p</w:t>
      </w:r>
      <w:r w:rsidR="009E612D">
        <w:rPr>
          <w:rFonts w:ascii="Arial" w:eastAsia="Times New Roman" w:hAnsi="Arial" w:cs="Arial"/>
        </w:rPr>
        <w:t xml:space="preserve">ovećanje izvršeno kroz </w:t>
      </w:r>
      <w:r w:rsidR="009E612D" w:rsidRPr="00AE234E">
        <w:rPr>
          <w:rFonts w:ascii="Arial" w:eastAsia="Times New Roman" w:hAnsi="Arial" w:cs="Arial"/>
        </w:rPr>
        <w:t>kapitalni projekt izgradnje nove osnovne škole u Cavtatu</w:t>
      </w:r>
      <w:r w:rsidR="00AE234E" w:rsidRPr="00AE234E">
        <w:rPr>
          <w:rFonts w:ascii="Arial" w:eastAsia="Times New Roman" w:hAnsi="Arial" w:cs="Arial"/>
        </w:rPr>
        <w:t>, te ulaganje u održavanje domova kulture / društvenih prostora diljem općine.</w:t>
      </w:r>
    </w:p>
    <w:p w14:paraId="515EA096" w14:textId="35E5B4A3" w:rsidR="00B942DC" w:rsidRPr="00AE234E" w:rsidRDefault="00B942DC" w:rsidP="00B942D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AE234E">
        <w:rPr>
          <w:rFonts w:ascii="Arial" w:eastAsia="Times New Roman" w:hAnsi="Arial" w:cs="Arial"/>
        </w:rPr>
        <w:tab/>
        <w:t xml:space="preserve">- rashodi za komunalne usluge (3234) ostvareni su u iznosu </w:t>
      </w:r>
      <w:r w:rsidR="00AE234E" w:rsidRPr="00AE234E">
        <w:rPr>
          <w:rFonts w:ascii="Arial" w:eastAsia="Times New Roman" w:hAnsi="Arial" w:cs="Arial"/>
        </w:rPr>
        <w:t>323.267,90</w:t>
      </w:r>
      <w:r w:rsidR="00084204" w:rsidRPr="00AE234E">
        <w:rPr>
          <w:rFonts w:ascii="Arial" w:eastAsia="Times New Roman" w:hAnsi="Arial" w:cs="Arial"/>
        </w:rPr>
        <w:t xml:space="preserve"> €</w:t>
      </w:r>
      <w:r w:rsidRPr="00AE234E">
        <w:rPr>
          <w:rFonts w:ascii="Arial" w:eastAsia="Times New Roman" w:hAnsi="Arial" w:cs="Arial"/>
        </w:rPr>
        <w:t xml:space="preserve"> i to općina </w:t>
      </w:r>
      <w:r w:rsidR="00AE234E" w:rsidRPr="00AE234E">
        <w:rPr>
          <w:rFonts w:ascii="Arial" w:eastAsia="Times New Roman" w:hAnsi="Arial" w:cs="Arial"/>
        </w:rPr>
        <w:t>302.415,17</w:t>
      </w:r>
      <w:r w:rsidR="00084204" w:rsidRPr="00AE234E">
        <w:rPr>
          <w:rFonts w:ascii="Arial" w:eastAsia="Times New Roman" w:hAnsi="Arial" w:cs="Arial"/>
        </w:rPr>
        <w:t xml:space="preserve"> €</w:t>
      </w:r>
      <w:r w:rsidRPr="00AE234E">
        <w:rPr>
          <w:rFonts w:ascii="Arial" w:eastAsia="Times New Roman" w:hAnsi="Arial" w:cs="Arial"/>
        </w:rPr>
        <w:t xml:space="preserve"> a proračunski korisnici </w:t>
      </w:r>
      <w:r w:rsidR="00AE234E" w:rsidRPr="00AE234E">
        <w:rPr>
          <w:rFonts w:ascii="Arial" w:eastAsia="Times New Roman" w:hAnsi="Arial" w:cs="Arial"/>
        </w:rPr>
        <w:t>20.852,73</w:t>
      </w:r>
      <w:r w:rsidR="00084204" w:rsidRPr="00AE234E">
        <w:rPr>
          <w:rFonts w:ascii="Arial" w:eastAsia="Times New Roman" w:hAnsi="Arial" w:cs="Arial"/>
        </w:rPr>
        <w:t xml:space="preserve"> €</w:t>
      </w:r>
      <w:r w:rsidRPr="00AE234E">
        <w:rPr>
          <w:rFonts w:ascii="Arial" w:eastAsia="Times New Roman" w:hAnsi="Arial" w:cs="Arial"/>
        </w:rPr>
        <w:t xml:space="preserve"> (ukupno rashodi na odjeljku 3234 </w:t>
      </w:r>
      <w:r w:rsidR="00696C89" w:rsidRPr="00AE234E">
        <w:rPr>
          <w:rFonts w:ascii="Arial" w:eastAsia="Times New Roman" w:hAnsi="Arial" w:cs="Arial"/>
        </w:rPr>
        <w:t>više</w:t>
      </w:r>
      <w:r w:rsidRPr="00AE234E">
        <w:rPr>
          <w:rFonts w:ascii="Arial" w:eastAsia="Times New Roman" w:hAnsi="Arial" w:cs="Arial"/>
        </w:rPr>
        <w:t xml:space="preserve"> izvršeni u odnosu na prethodnu proračunsku godinu </w:t>
      </w:r>
      <w:r w:rsidR="00AE234E" w:rsidRPr="00AE234E">
        <w:rPr>
          <w:rFonts w:ascii="Arial" w:eastAsia="Times New Roman" w:hAnsi="Arial" w:cs="Arial"/>
          <w:iCs/>
        </w:rPr>
        <w:t>117.206,40</w:t>
      </w:r>
      <w:r w:rsidR="00084204" w:rsidRPr="00AE234E">
        <w:rPr>
          <w:rFonts w:ascii="Arial" w:eastAsia="Times New Roman" w:hAnsi="Arial" w:cs="Arial"/>
          <w:iCs/>
        </w:rPr>
        <w:t xml:space="preserve"> €</w:t>
      </w:r>
      <w:r w:rsidR="00E8715C" w:rsidRPr="00AE234E">
        <w:rPr>
          <w:rFonts w:ascii="Arial" w:eastAsia="Times New Roman" w:hAnsi="Arial" w:cs="Arial"/>
          <w:iCs/>
        </w:rPr>
        <w:t xml:space="preserve"> ili </w:t>
      </w:r>
      <w:r w:rsidR="00AE234E" w:rsidRPr="00AE234E">
        <w:rPr>
          <w:rFonts w:ascii="Arial" w:eastAsia="Times New Roman" w:hAnsi="Arial" w:cs="Arial"/>
          <w:iCs/>
        </w:rPr>
        <w:t>56,9</w:t>
      </w:r>
      <w:r w:rsidR="00E8715C" w:rsidRPr="00AE234E">
        <w:rPr>
          <w:rFonts w:ascii="Arial" w:eastAsia="Times New Roman" w:hAnsi="Arial" w:cs="Arial"/>
          <w:iCs/>
        </w:rPr>
        <w:t>%</w:t>
      </w:r>
      <w:r w:rsidRPr="00AE234E">
        <w:rPr>
          <w:rFonts w:ascii="Arial" w:eastAsia="Times New Roman" w:hAnsi="Arial" w:cs="Arial"/>
        </w:rPr>
        <w:t>),</w:t>
      </w:r>
    </w:p>
    <w:p w14:paraId="54F25121" w14:textId="30ADBD85" w:rsidR="00891119" w:rsidRPr="00AE234E" w:rsidRDefault="000D4AE8" w:rsidP="000D4AE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AE234E">
        <w:rPr>
          <w:rFonts w:ascii="Arial" w:eastAsia="Times New Roman" w:hAnsi="Arial" w:cs="Arial"/>
        </w:rPr>
        <w:tab/>
        <w:t xml:space="preserve">- rashodi za intelektualne usluge (3237) </w:t>
      </w:r>
      <w:r w:rsidR="0051251D" w:rsidRPr="00AE234E">
        <w:rPr>
          <w:rFonts w:ascii="Arial" w:eastAsia="Times New Roman" w:hAnsi="Arial" w:cs="Arial"/>
        </w:rPr>
        <w:t>izvršeni</w:t>
      </w:r>
      <w:r w:rsidRPr="00AE234E">
        <w:rPr>
          <w:rFonts w:ascii="Arial" w:eastAsia="Times New Roman" w:hAnsi="Arial" w:cs="Arial"/>
        </w:rPr>
        <w:t xml:space="preserve"> su u iznosu </w:t>
      </w:r>
      <w:r w:rsidR="00AE234E" w:rsidRPr="00AE234E">
        <w:rPr>
          <w:rFonts w:ascii="Arial" w:eastAsia="Times New Roman" w:hAnsi="Arial" w:cs="Arial"/>
        </w:rPr>
        <w:t>295.091,39</w:t>
      </w:r>
      <w:r w:rsidR="00084204" w:rsidRPr="00AE234E">
        <w:rPr>
          <w:rFonts w:ascii="Arial" w:eastAsia="Times New Roman" w:hAnsi="Arial" w:cs="Arial"/>
        </w:rPr>
        <w:t xml:space="preserve"> €</w:t>
      </w:r>
      <w:r w:rsidRPr="00AE234E">
        <w:rPr>
          <w:rFonts w:ascii="Arial" w:eastAsia="Times New Roman" w:hAnsi="Arial" w:cs="Arial"/>
        </w:rPr>
        <w:t xml:space="preserve"> i to općina </w:t>
      </w:r>
      <w:r w:rsidR="00AE234E" w:rsidRPr="00AE234E">
        <w:rPr>
          <w:rFonts w:ascii="Arial" w:eastAsia="Times New Roman" w:hAnsi="Arial" w:cs="Arial"/>
        </w:rPr>
        <w:t>291.502,50</w:t>
      </w:r>
      <w:r w:rsidR="00084204" w:rsidRPr="00AE234E">
        <w:rPr>
          <w:rFonts w:ascii="Arial" w:eastAsia="Times New Roman" w:hAnsi="Arial" w:cs="Arial"/>
        </w:rPr>
        <w:t xml:space="preserve"> €</w:t>
      </w:r>
      <w:r w:rsidRPr="00AE234E">
        <w:rPr>
          <w:rFonts w:ascii="Arial" w:eastAsia="Times New Roman" w:hAnsi="Arial" w:cs="Arial"/>
        </w:rPr>
        <w:t xml:space="preserve">, a proračunski korisnici </w:t>
      </w:r>
      <w:r w:rsidR="00AE234E" w:rsidRPr="00AE234E">
        <w:rPr>
          <w:rFonts w:ascii="Arial" w:eastAsia="Times New Roman" w:hAnsi="Arial" w:cs="Arial"/>
        </w:rPr>
        <w:t>3.588,89</w:t>
      </w:r>
      <w:r w:rsidR="00084204" w:rsidRPr="00AE234E">
        <w:rPr>
          <w:rFonts w:ascii="Arial" w:eastAsia="Times New Roman" w:hAnsi="Arial" w:cs="Arial"/>
        </w:rPr>
        <w:t xml:space="preserve"> €</w:t>
      </w:r>
      <w:r w:rsidRPr="00AE234E">
        <w:rPr>
          <w:rFonts w:ascii="Arial" w:eastAsia="Times New Roman" w:hAnsi="Arial" w:cs="Arial"/>
        </w:rPr>
        <w:t xml:space="preserve"> (Ukupno rashodi na odjeljku 3237 </w:t>
      </w:r>
      <w:r w:rsidR="00E14EE6" w:rsidRPr="00AE234E">
        <w:rPr>
          <w:rFonts w:ascii="Arial" w:eastAsia="Times New Roman" w:hAnsi="Arial" w:cs="Arial"/>
        </w:rPr>
        <w:t>više</w:t>
      </w:r>
      <w:r w:rsidRPr="00AE234E">
        <w:rPr>
          <w:rFonts w:ascii="Arial" w:eastAsia="Times New Roman" w:hAnsi="Arial" w:cs="Arial"/>
        </w:rPr>
        <w:t xml:space="preserve"> izvršeni u odnosu na prethodnu proračunsku godinu za </w:t>
      </w:r>
      <w:r w:rsidR="00AE234E" w:rsidRPr="00AE234E">
        <w:rPr>
          <w:rFonts w:ascii="Arial" w:eastAsia="Times New Roman" w:hAnsi="Arial" w:cs="Arial"/>
          <w:iCs/>
        </w:rPr>
        <w:t>94.186,29</w:t>
      </w:r>
      <w:r w:rsidR="00084204" w:rsidRPr="00AE234E">
        <w:rPr>
          <w:rFonts w:ascii="Arial" w:eastAsia="Times New Roman" w:hAnsi="Arial" w:cs="Arial"/>
          <w:iCs/>
        </w:rPr>
        <w:t xml:space="preserve"> €</w:t>
      </w:r>
      <w:r w:rsidRPr="00AE234E">
        <w:rPr>
          <w:rFonts w:ascii="Arial" w:eastAsia="Times New Roman" w:hAnsi="Arial" w:cs="Arial"/>
          <w:iCs/>
        </w:rPr>
        <w:t xml:space="preserve"> ili </w:t>
      </w:r>
      <w:r w:rsidR="00AE234E" w:rsidRPr="00AE234E">
        <w:rPr>
          <w:rFonts w:ascii="Arial" w:eastAsia="Times New Roman" w:hAnsi="Arial" w:cs="Arial"/>
          <w:iCs/>
        </w:rPr>
        <w:t>46,9</w:t>
      </w:r>
      <w:r w:rsidR="0051251D" w:rsidRPr="00AE234E">
        <w:rPr>
          <w:rFonts w:ascii="Arial" w:eastAsia="Times New Roman" w:hAnsi="Arial" w:cs="Arial"/>
          <w:iCs/>
        </w:rPr>
        <w:t>%</w:t>
      </w:r>
      <w:r w:rsidR="00084204" w:rsidRPr="00AE234E">
        <w:rPr>
          <w:rFonts w:ascii="Arial" w:eastAsia="Times New Roman" w:hAnsi="Arial" w:cs="Arial"/>
          <w:iCs/>
        </w:rPr>
        <w:t>.</w:t>
      </w:r>
      <w:r w:rsidR="004819B1" w:rsidRPr="00AE234E">
        <w:rPr>
          <w:rFonts w:ascii="Arial" w:eastAsia="Times New Roman" w:hAnsi="Arial" w:cs="Arial"/>
        </w:rPr>
        <w:t>)</w:t>
      </w:r>
      <w:r w:rsidR="00AC79F2" w:rsidRPr="00AE234E">
        <w:rPr>
          <w:rFonts w:ascii="Arial" w:eastAsia="Times New Roman" w:hAnsi="Arial" w:cs="Arial"/>
        </w:rPr>
        <w:t>. Vrijednosno najznačajniji više izvršeni rashodi se odnose na geodetsko katastarske usluge (izrada geodetskih podloga i elaborata)</w:t>
      </w:r>
      <w:r w:rsidR="00891119" w:rsidRPr="00AE234E">
        <w:rPr>
          <w:rFonts w:ascii="Arial" w:eastAsia="Times New Roman" w:hAnsi="Arial" w:cs="Arial"/>
        </w:rPr>
        <w:t>,</w:t>
      </w:r>
      <w:r w:rsidR="00AC79F2" w:rsidRPr="00AE234E">
        <w:rPr>
          <w:rFonts w:ascii="Arial" w:eastAsia="Times New Roman" w:hAnsi="Arial" w:cs="Arial"/>
        </w:rPr>
        <w:t xml:space="preserve"> odvjetničke usluge (usluge zastupanja na ročištu, sastavljanja podnesaka u više predmeta</w:t>
      </w:r>
      <w:r w:rsidR="00D86863" w:rsidRPr="00AE234E">
        <w:rPr>
          <w:rFonts w:ascii="Arial" w:eastAsia="Times New Roman" w:hAnsi="Arial" w:cs="Arial"/>
        </w:rPr>
        <w:t>), te druge intelektualne usluge iz područja programa gradnje i programa održavanja komunalne infrastrukture</w:t>
      </w:r>
      <w:r w:rsidR="00AE234E" w:rsidRPr="00AE234E">
        <w:rPr>
          <w:rFonts w:ascii="Arial" w:eastAsia="Times New Roman" w:hAnsi="Arial" w:cs="Arial"/>
        </w:rPr>
        <w:t>.</w:t>
      </w:r>
    </w:p>
    <w:p w14:paraId="6F1F3168" w14:textId="1C7AD24B" w:rsidR="00891119" w:rsidRPr="004B1B3D" w:rsidRDefault="009B6770" w:rsidP="00A611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AE234E">
        <w:rPr>
          <w:rFonts w:ascii="Arial" w:eastAsia="Times New Roman" w:hAnsi="Arial" w:cs="Arial"/>
        </w:rPr>
        <w:tab/>
      </w:r>
      <w:r w:rsidR="00891119" w:rsidRPr="00AE234E">
        <w:rPr>
          <w:rFonts w:ascii="Arial" w:eastAsia="Times New Roman" w:hAnsi="Arial" w:cs="Arial"/>
        </w:rPr>
        <w:t xml:space="preserve">- rashodi za zdravstvene i veterinarske usluge (3236) ostvareni su u iznosu </w:t>
      </w:r>
      <w:r w:rsidR="00AE234E" w:rsidRPr="00AE234E">
        <w:rPr>
          <w:rFonts w:ascii="Arial" w:eastAsia="Times New Roman" w:hAnsi="Arial" w:cs="Arial"/>
        </w:rPr>
        <w:t>47.987,06</w:t>
      </w:r>
      <w:r w:rsidR="00084204" w:rsidRPr="00AE234E">
        <w:rPr>
          <w:rFonts w:ascii="Arial" w:eastAsia="Times New Roman" w:hAnsi="Arial" w:cs="Arial"/>
        </w:rPr>
        <w:t xml:space="preserve"> €</w:t>
      </w:r>
      <w:r w:rsidR="00891119" w:rsidRPr="00AE234E">
        <w:rPr>
          <w:rFonts w:ascii="Arial" w:eastAsia="Times New Roman" w:hAnsi="Arial" w:cs="Arial"/>
        </w:rPr>
        <w:t xml:space="preserve"> i to općina </w:t>
      </w:r>
      <w:r w:rsidR="00AE234E" w:rsidRPr="00AE234E">
        <w:rPr>
          <w:rFonts w:ascii="Arial" w:eastAsia="Times New Roman" w:hAnsi="Arial" w:cs="Arial"/>
        </w:rPr>
        <w:t>32.428,36</w:t>
      </w:r>
      <w:r w:rsidR="00084204" w:rsidRPr="00AE234E">
        <w:rPr>
          <w:rFonts w:ascii="Arial" w:eastAsia="Times New Roman" w:hAnsi="Arial" w:cs="Arial"/>
        </w:rPr>
        <w:t xml:space="preserve"> €</w:t>
      </w:r>
      <w:r w:rsidR="00891119" w:rsidRPr="00AE234E">
        <w:rPr>
          <w:rFonts w:ascii="Arial" w:eastAsia="Times New Roman" w:hAnsi="Arial" w:cs="Arial"/>
        </w:rPr>
        <w:t xml:space="preserve"> (značajniji rashodi se odnose na sufinanciranje rada specijalističke ambulante kardiologije u iznosu </w:t>
      </w:r>
      <w:r w:rsidR="00AE234E" w:rsidRPr="00AE234E">
        <w:rPr>
          <w:rFonts w:ascii="Arial" w:eastAsia="Times New Roman" w:hAnsi="Arial" w:cs="Arial"/>
        </w:rPr>
        <w:t>16.125,01</w:t>
      </w:r>
      <w:r w:rsidR="009B2692" w:rsidRPr="00AE234E">
        <w:rPr>
          <w:rFonts w:ascii="Arial" w:eastAsia="Times New Roman" w:hAnsi="Arial" w:cs="Arial"/>
        </w:rPr>
        <w:t xml:space="preserve"> €</w:t>
      </w:r>
      <w:r w:rsidR="00891119" w:rsidRPr="00AE234E">
        <w:rPr>
          <w:rFonts w:ascii="Arial" w:eastAsia="Times New Roman" w:hAnsi="Arial" w:cs="Arial"/>
        </w:rPr>
        <w:t>, usluge fizijatra</w:t>
      </w:r>
      <w:r w:rsidR="009B2692" w:rsidRPr="00AE234E">
        <w:rPr>
          <w:rFonts w:ascii="Arial" w:eastAsia="Times New Roman" w:hAnsi="Arial" w:cs="Arial"/>
        </w:rPr>
        <w:t>,</w:t>
      </w:r>
      <w:r w:rsidR="00891119" w:rsidRPr="00AE234E">
        <w:rPr>
          <w:rFonts w:ascii="Arial" w:eastAsia="Times New Roman" w:hAnsi="Arial" w:cs="Arial"/>
        </w:rPr>
        <w:t xml:space="preserve"> rada stomatološke ambulante</w:t>
      </w:r>
      <w:r w:rsidR="009B2692" w:rsidRPr="00AE234E">
        <w:rPr>
          <w:rFonts w:ascii="Arial" w:eastAsia="Times New Roman" w:hAnsi="Arial" w:cs="Arial"/>
        </w:rPr>
        <w:t xml:space="preserve"> i čistačice u ambulanti</w:t>
      </w:r>
      <w:r w:rsidR="00891119" w:rsidRPr="00AE234E">
        <w:rPr>
          <w:rFonts w:ascii="Arial" w:eastAsia="Times New Roman" w:hAnsi="Arial" w:cs="Arial"/>
        </w:rPr>
        <w:t xml:space="preserve"> </w:t>
      </w:r>
      <w:r w:rsidR="00AE234E" w:rsidRPr="00AE234E">
        <w:rPr>
          <w:rFonts w:ascii="Arial" w:eastAsia="Times New Roman" w:hAnsi="Arial" w:cs="Arial"/>
        </w:rPr>
        <w:t>8.340,00</w:t>
      </w:r>
      <w:r w:rsidR="00084204" w:rsidRPr="00AE234E">
        <w:rPr>
          <w:rFonts w:ascii="Arial" w:eastAsia="Times New Roman" w:hAnsi="Arial" w:cs="Arial"/>
        </w:rPr>
        <w:t xml:space="preserve"> €</w:t>
      </w:r>
      <w:r w:rsidR="00891119" w:rsidRPr="00AE234E">
        <w:rPr>
          <w:rFonts w:ascii="Arial" w:eastAsia="Times New Roman" w:hAnsi="Arial" w:cs="Arial"/>
        </w:rPr>
        <w:t xml:space="preserve">, obavljanje laboratorijskih usluga za potrebe stanovništva u ambulantama u iznosu </w:t>
      </w:r>
      <w:r w:rsidR="00AE234E" w:rsidRPr="00AE234E">
        <w:rPr>
          <w:rFonts w:ascii="Arial" w:eastAsia="Times New Roman" w:hAnsi="Arial" w:cs="Arial"/>
        </w:rPr>
        <w:t>7.963,35</w:t>
      </w:r>
      <w:r w:rsidR="00AC7B53" w:rsidRPr="00AE234E">
        <w:rPr>
          <w:rFonts w:ascii="Arial" w:eastAsia="Times New Roman" w:hAnsi="Arial" w:cs="Arial"/>
        </w:rPr>
        <w:t xml:space="preserve"> €</w:t>
      </w:r>
      <w:r w:rsidR="006927EB" w:rsidRPr="00AE234E">
        <w:rPr>
          <w:rFonts w:ascii="Arial" w:eastAsia="Times New Roman" w:hAnsi="Arial" w:cs="Arial"/>
        </w:rPr>
        <w:t xml:space="preserve"> </w:t>
      </w:r>
      <w:r w:rsidR="00891119" w:rsidRPr="00AE234E">
        <w:rPr>
          <w:rFonts w:ascii="Arial" w:eastAsia="Times New Roman" w:hAnsi="Arial" w:cs="Arial"/>
        </w:rPr>
        <w:t xml:space="preserve">tj. rad medicinsko - biokemijskog laboratorija; </w:t>
      </w:r>
      <w:r w:rsidR="00AE234E" w:rsidRPr="00AE234E">
        <w:rPr>
          <w:rFonts w:ascii="Arial" w:eastAsia="Times New Roman" w:hAnsi="Arial" w:cs="Arial"/>
        </w:rPr>
        <w:lastRenderedPageBreak/>
        <w:t xml:space="preserve">dok nije bilo </w:t>
      </w:r>
      <w:r w:rsidR="00891119" w:rsidRPr="00AE234E">
        <w:rPr>
          <w:rFonts w:ascii="Arial" w:eastAsia="Times New Roman" w:hAnsi="Arial" w:cs="Arial"/>
        </w:rPr>
        <w:t>sufinanciranj</w:t>
      </w:r>
      <w:r w:rsidR="00AE234E" w:rsidRPr="00AE234E">
        <w:rPr>
          <w:rFonts w:ascii="Arial" w:eastAsia="Times New Roman" w:hAnsi="Arial" w:cs="Arial"/>
        </w:rPr>
        <w:t xml:space="preserve">a </w:t>
      </w:r>
      <w:r w:rsidR="00891119" w:rsidRPr="00AE234E">
        <w:rPr>
          <w:rFonts w:ascii="Arial" w:eastAsia="Times New Roman" w:hAnsi="Arial" w:cs="Arial"/>
        </w:rPr>
        <w:t xml:space="preserve">rada Hitne medicinske pomoći u Zračnoj luci </w:t>
      </w:r>
      <w:r w:rsidR="00AE234E" w:rsidRPr="00AE234E">
        <w:rPr>
          <w:rFonts w:ascii="Arial" w:eastAsia="Times New Roman" w:hAnsi="Arial" w:cs="Arial"/>
        </w:rPr>
        <w:t>kao ranijih godina</w:t>
      </w:r>
      <w:r w:rsidR="009B2692" w:rsidRPr="00AE234E">
        <w:rPr>
          <w:rFonts w:ascii="Arial" w:eastAsia="Times New Roman" w:hAnsi="Arial" w:cs="Arial"/>
        </w:rPr>
        <w:t xml:space="preserve">, </w:t>
      </w:r>
      <w:r w:rsidR="00AE234E" w:rsidRPr="00AE234E">
        <w:rPr>
          <w:rFonts w:ascii="Arial" w:eastAsia="Times New Roman" w:hAnsi="Arial" w:cs="Arial"/>
        </w:rPr>
        <w:t>niti</w:t>
      </w:r>
      <w:r w:rsidR="009B2692" w:rsidRPr="00AE234E">
        <w:rPr>
          <w:rFonts w:ascii="Arial" w:eastAsia="Times New Roman" w:hAnsi="Arial" w:cs="Arial"/>
        </w:rPr>
        <w:t xml:space="preserve"> veterinarsk</w:t>
      </w:r>
      <w:r w:rsidR="00AE234E" w:rsidRPr="00AE234E">
        <w:rPr>
          <w:rFonts w:ascii="Arial" w:eastAsia="Times New Roman" w:hAnsi="Arial" w:cs="Arial"/>
        </w:rPr>
        <w:t>ih</w:t>
      </w:r>
      <w:r w:rsidR="009B2692" w:rsidRPr="00AE234E">
        <w:rPr>
          <w:rFonts w:ascii="Arial" w:eastAsia="Times New Roman" w:hAnsi="Arial" w:cs="Arial"/>
        </w:rPr>
        <w:t xml:space="preserve"> uslug</w:t>
      </w:r>
      <w:r w:rsidR="00AE234E" w:rsidRPr="00AE234E">
        <w:rPr>
          <w:rFonts w:ascii="Arial" w:eastAsia="Times New Roman" w:hAnsi="Arial" w:cs="Arial"/>
        </w:rPr>
        <w:t>a</w:t>
      </w:r>
      <w:r w:rsidR="009B2692" w:rsidRPr="00AE234E">
        <w:rPr>
          <w:rFonts w:ascii="Arial" w:eastAsia="Times New Roman" w:hAnsi="Arial" w:cs="Arial"/>
        </w:rPr>
        <w:t xml:space="preserve"> u okviru programa sanitarno </w:t>
      </w:r>
      <w:r w:rsidR="009B2692" w:rsidRPr="00696C89">
        <w:rPr>
          <w:rFonts w:ascii="Arial" w:eastAsia="Times New Roman" w:hAnsi="Arial" w:cs="Arial"/>
        </w:rPr>
        <w:t>veterinarskih aktivnosti i zaštite životinja</w:t>
      </w:r>
      <w:r w:rsidR="00891119" w:rsidRPr="00696C89">
        <w:rPr>
          <w:rFonts w:ascii="Arial" w:eastAsia="Times New Roman" w:hAnsi="Arial" w:cs="Arial"/>
        </w:rPr>
        <w:t xml:space="preserve">) iz programa Socijalno-zdravstvene zaštite), a proračunski korisnici </w:t>
      </w:r>
      <w:r w:rsidR="00AE234E">
        <w:rPr>
          <w:rFonts w:ascii="Arial" w:eastAsia="Times New Roman" w:hAnsi="Arial" w:cs="Arial"/>
        </w:rPr>
        <w:t>15.558,70</w:t>
      </w:r>
      <w:r w:rsidR="00084204" w:rsidRPr="00696C89">
        <w:rPr>
          <w:rFonts w:ascii="Arial" w:eastAsia="Times New Roman" w:hAnsi="Arial" w:cs="Arial"/>
        </w:rPr>
        <w:t xml:space="preserve"> €</w:t>
      </w:r>
      <w:r w:rsidR="00891119" w:rsidRPr="00696C89">
        <w:rPr>
          <w:rFonts w:ascii="Arial" w:eastAsia="Times New Roman" w:hAnsi="Arial" w:cs="Arial"/>
        </w:rPr>
        <w:t xml:space="preserve">. Ovi rashodi su </w:t>
      </w:r>
      <w:r w:rsidR="00696C89" w:rsidRPr="00696C89">
        <w:rPr>
          <w:rFonts w:ascii="Arial" w:eastAsia="Times New Roman" w:hAnsi="Arial" w:cs="Arial"/>
        </w:rPr>
        <w:t>manji</w:t>
      </w:r>
      <w:r w:rsidR="00891119" w:rsidRPr="00696C89">
        <w:rPr>
          <w:rFonts w:ascii="Arial" w:eastAsia="Times New Roman" w:hAnsi="Arial" w:cs="Arial"/>
        </w:rPr>
        <w:t xml:space="preserve"> nego </w:t>
      </w:r>
      <w:r w:rsidR="00891119" w:rsidRPr="004B1B3D">
        <w:rPr>
          <w:rFonts w:ascii="Arial" w:eastAsia="Times New Roman" w:hAnsi="Arial" w:cs="Arial"/>
        </w:rPr>
        <w:t xml:space="preserve">prethodne godine za </w:t>
      </w:r>
      <w:r w:rsidR="00AE234E" w:rsidRPr="004B1B3D">
        <w:rPr>
          <w:rFonts w:ascii="Arial" w:eastAsia="Times New Roman" w:hAnsi="Arial" w:cs="Arial"/>
        </w:rPr>
        <w:t>16.014,72</w:t>
      </w:r>
      <w:r w:rsidR="00AC7B53" w:rsidRPr="004B1B3D">
        <w:rPr>
          <w:rFonts w:ascii="Arial" w:eastAsia="Times New Roman" w:hAnsi="Arial" w:cs="Arial"/>
        </w:rPr>
        <w:t xml:space="preserve"> €</w:t>
      </w:r>
      <w:r w:rsidRPr="004B1B3D">
        <w:rPr>
          <w:rFonts w:ascii="Arial" w:eastAsia="Times New Roman" w:hAnsi="Arial" w:cs="Arial"/>
        </w:rPr>
        <w:t xml:space="preserve"> ili </w:t>
      </w:r>
      <w:r w:rsidR="00AE234E" w:rsidRPr="004B1B3D">
        <w:rPr>
          <w:rFonts w:ascii="Arial" w:eastAsia="Times New Roman" w:hAnsi="Arial" w:cs="Arial"/>
        </w:rPr>
        <w:t>25</w:t>
      </w:r>
      <w:r w:rsidRPr="004B1B3D">
        <w:rPr>
          <w:rFonts w:ascii="Arial" w:eastAsia="Times New Roman" w:hAnsi="Arial" w:cs="Arial"/>
        </w:rPr>
        <w:t>%</w:t>
      </w:r>
      <w:r w:rsidR="00891119" w:rsidRPr="004B1B3D">
        <w:rPr>
          <w:rFonts w:ascii="Arial" w:eastAsia="Times New Roman" w:hAnsi="Arial" w:cs="Arial"/>
        </w:rPr>
        <w:t>.</w:t>
      </w:r>
      <w:r w:rsidR="00A611C4" w:rsidRPr="004B1B3D">
        <w:rPr>
          <w:rFonts w:ascii="Arial" w:eastAsia="Times New Roman" w:hAnsi="Arial" w:cs="Arial"/>
        </w:rPr>
        <w:t xml:space="preserve"> </w:t>
      </w:r>
    </w:p>
    <w:p w14:paraId="1AB75B7E" w14:textId="6BECD7DB" w:rsidR="00891119" w:rsidRPr="004B1B3D" w:rsidRDefault="00A611C4"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B1B3D">
        <w:rPr>
          <w:rFonts w:ascii="Arial" w:eastAsia="Times New Roman" w:hAnsi="Arial" w:cs="Arial"/>
        </w:rPr>
        <w:tab/>
      </w:r>
      <w:r w:rsidR="00891119" w:rsidRPr="004B1B3D">
        <w:rPr>
          <w:rFonts w:ascii="Arial" w:eastAsia="Times New Roman" w:hAnsi="Arial" w:cs="Arial"/>
        </w:rPr>
        <w:t xml:space="preserve">- rashodi za zakupnine i najamnine (3235) ostvareni su u iznosu </w:t>
      </w:r>
      <w:r w:rsidR="004B1B3D" w:rsidRPr="004B1B3D">
        <w:rPr>
          <w:rFonts w:ascii="Arial" w:eastAsia="Times New Roman" w:hAnsi="Arial" w:cs="Arial"/>
        </w:rPr>
        <w:t>100.056,58</w:t>
      </w:r>
      <w:r w:rsidR="00AC7B53" w:rsidRPr="004B1B3D">
        <w:rPr>
          <w:rFonts w:ascii="Arial" w:eastAsia="Times New Roman" w:hAnsi="Arial" w:cs="Arial"/>
        </w:rPr>
        <w:t xml:space="preserve"> €</w:t>
      </w:r>
      <w:r w:rsidR="00891119" w:rsidRPr="004B1B3D">
        <w:rPr>
          <w:rFonts w:ascii="Arial" w:eastAsia="Times New Roman" w:hAnsi="Arial" w:cs="Arial"/>
        </w:rPr>
        <w:t xml:space="preserve">, </w:t>
      </w:r>
      <w:r w:rsidR="0047499A" w:rsidRPr="004B1B3D">
        <w:rPr>
          <w:rFonts w:ascii="Arial" w:eastAsia="Times New Roman" w:hAnsi="Arial" w:cs="Arial"/>
        </w:rPr>
        <w:t>od čega</w:t>
      </w:r>
      <w:r w:rsidR="00891119" w:rsidRPr="004B1B3D">
        <w:rPr>
          <w:rFonts w:ascii="Arial" w:eastAsia="Times New Roman" w:hAnsi="Arial" w:cs="Arial"/>
        </w:rPr>
        <w:t xml:space="preserve"> Općin</w:t>
      </w:r>
      <w:r w:rsidR="0047499A" w:rsidRPr="004B1B3D">
        <w:rPr>
          <w:rFonts w:ascii="Arial" w:eastAsia="Times New Roman" w:hAnsi="Arial" w:cs="Arial"/>
        </w:rPr>
        <w:t>a</w:t>
      </w:r>
      <w:r w:rsidR="00891119" w:rsidRPr="004B1B3D">
        <w:rPr>
          <w:rFonts w:ascii="Arial" w:eastAsia="Times New Roman" w:hAnsi="Arial" w:cs="Arial"/>
        </w:rPr>
        <w:t xml:space="preserve"> </w:t>
      </w:r>
      <w:r w:rsidR="004B1B3D" w:rsidRPr="004B1B3D">
        <w:rPr>
          <w:rFonts w:ascii="Arial" w:eastAsia="Times New Roman" w:hAnsi="Arial" w:cs="Arial"/>
        </w:rPr>
        <w:t>98.256,58</w:t>
      </w:r>
      <w:r w:rsidR="00AC7B53" w:rsidRPr="004B1B3D">
        <w:rPr>
          <w:rFonts w:ascii="Arial" w:eastAsia="Times New Roman" w:hAnsi="Arial" w:cs="Arial"/>
        </w:rPr>
        <w:t xml:space="preserve"> €</w:t>
      </w:r>
      <w:r w:rsidR="0047499A" w:rsidRPr="004B1B3D">
        <w:rPr>
          <w:rFonts w:ascii="Arial" w:eastAsia="Times New Roman" w:hAnsi="Arial" w:cs="Arial"/>
        </w:rPr>
        <w:t xml:space="preserve"> i proračunski korisnici </w:t>
      </w:r>
      <w:r w:rsidR="004B1B3D" w:rsidRPr="004B1B3D">
        <w:rPr>
          <w:rFonts w:ascii="Arial" w:eastAsia="Times New Roman" w:hAnsi="Arial" w:cs="Arial"/>
        </w:rPr>
        <w:t>1.800</w:t>
      </w:r>
      <w:r w:rsidR="00AC7B53" w:rsidRPr="004B1B3D">
        <w:rPr>
          <w:rFonts w:ascii="Arial" w:eastAsia="Times New Roman" w:hAnsi="Arial" w:cs="Arial"/>
        </w:rPr>
        <w:t xml:space="preserve"> €</w:t>
      </w:r>
      <w:r w:rsidR="0047499A" w:rsidRPr="004B1B3D">
        <w:rPr>
          <w:rFonts w:ascii="Arial" w:eastAsia="Times New Roman" w:hAnsi="Arial" w:cs="Arial"/>
        </w:rPr>
        <w:t xml:space="preserve"> </w:t>
      </w:r>
      <w:r w:rsidR="00891119" w:rsidRPr="004B1B3D">
        <w:rPr>
          <w:rFonts w:ascii="Arial" w:eastAsia="Times New Roman" w:hAnsi="Arial" w:cs="Arial"/>
        </w:rPr>
        <w:t>(</w:t>
      </w:r>
      <w:r w:rsidR="004B1B3D" w:rsidRPr="004B1B3D">
        <w:rPr>
          <w:rFonts w:ascii="Arial" w:eastAsia="Times New Roman" w:hAnsi="Arial" w:cs="Arial"/>
        </w:rPr>
        <w:t xml:space="preserve">manje </w:t>
      </w:r>
      <w:r w:rsidR="00891119" w:rsidRPr="004B1B3D">
        <w:rPr>
          <w:rFonts w:ascii="Arial" w:eastAsia="Times New Roman" w:hAnsi="Arial" w:cs="Arial"/>
        </w:rPr>
        <w:t>izvršeni rashodi u odnosu na prethodn</w:t>
      </w:r>
      <w:r w:rsidR="004B1B3D" w:rsidRPr="004B1B3D">
        <w:rPr>
          <w:rFonts w:ascii="Arial" w:eastAsia="Times New Roman" w:hAnsi="Arial" w:cs="Arial"/>
        </w:rPr>
        <w:t>o</w:t>
      </w:r>
      <w:r w:rsidR="00891119" w:rsidRPr="004B1B3D">
        <w:rPr>
          <w:rFonts w:ascii="Arial" w:eastAsia="Times New Roman" w:hAnsi="Arial" w:cs="Arial"/>
        </w:rPr>
        <w:t xml:space="preserve"> proračunsk</w:t>
      </w:r>
      <w:r w:rsidR="004B1B3D" w:rsidRPr="004B1B3D">
        <w:rPr>
          <w:rFonts w:ascii="Arial" w:eastAsia="Times New Roman" w:hAnsi="Arial" w:cs="Arial"/>
        </w:rPr>
        <w:t>o</w:t>
      </w:r>
      <w:r w:rsidR="00891119" w:rsidRPr="004B1B3D">
        <w:rPr>
          <w:rFonts w:ascii="Arial" w:eastAsia="Times New Roman" w:hAnsi="Arial" w:cs="Arial"/>
        </w:rPr>
        <w:t xml:space="preserve"> </w:t>
      </w:r>
      <w:r w:rsidR="004B1B3D" w:rsidRPr="004B1B3D">
        <w:rPr>
          <w:rFonts w:ascii="Arial" w:eastAsia="Times New Roman" w:hAnsi="Arial" w:cs="Arial"/>
        </w:rPr>
        <w:t xml:space="preserve">razdoblje </w:t>
      </w:r>
      <w:r w:rsidR="00891119" w:rsidRPr="004B1B3D">
        <w:rPr>
          <w:rFonts w:ascii="Arial" w:eastAsia="Times New Roman" w:hAnsi="Arial" w:cs="Arial"/>
        </w:rPr>
        <w:t xml:space="preserve">za </w:t>
      </w:r>
      <w:r w:rsidR="004B1B3D" w:rsidRPr="004B1B3D">
        <w:rPr>
          <w:rFonts w:ascii="Arial" w:eastAsia="Times New Roman" w:hAnsi="Arial" w:cs="Arial"/>
        </w:rPr>
        <w:t>5.365,48</w:t>
      </w:r>
      <w:r w:rsidR="00AC7B53" w:rsidRPr="004B1B3D">
        <w:rPr>
          <w:rFonts w:ascii="Arial" w:eastAsia="Times New Roman" w:hAnsi="Arial" w:cs="Arial"/>
        </w:rPr>
        <w:t xml:space="preserve"> €</w:t>
      </w:r>
      <w:r w:rsidR="009B6770" w:rsidRPr="004B1B3D">
        <w:rPr>
          <w:rFonts w:ascii="Arial" w:eastAsia="Times New Roman" w:hAnsi="Arial" w:cs="Arial"/>
        </w:rPr>
        <w:t xml:space="preserve"> ili </w:t>
      </w:r>
      <w:r w:rsidR="004B1B3D" w:rsidRPr="004B1B3D">
        <w:rPr>
          <w:rFonts w:ascii="Arial" w:eastAsia="Times New Roman" w:hAnsi="Arial" w:cs="Arial"/>
        </w:rPr>
        <w:t>5,1</w:t>
      </w:r>
      <w:r w:rsidR="009B6770" w:rsidRPr="004B1B3D">
        <w:rPr>
          <w:rFonts w:ascii="Arial" w:eastAsia="Times New Roman" w:hAnsi="Arial" w:cs="Arial"/>
        </w:rPr>
        <w:t>%</w:t>
      </w:r>
      <w:r w:rsidR="006927EB" w:rsidRPr="004B1B3D">
        <w:rPr>
          <w:rFonts w:ascii="Arial" w:eastAsia="Times New Roman" w:hAnsi="Arial" w:cs="Arial"/>
        </w:rPr>
        <w:t>)</w:t>
      </w:r>
      <w:r w:rsidR="00891119" w:rsidRPr="004B1B3D">
        <w:rPr>
          <w:rFonts w:ascii="Arial" w:eastAsia="Times New Roman" w:hAnsi="Arial" w:cs="Arial"/>
        </w:rPr>
        <w:t xml:space="preserve">; ovi rashodi obuhvaćaju rashode za najmove odjeljenja dječjih vrtića u Čilipima i u Cavtatu u ukupnom iznosu </w:t>
      </w:r>
      <w:r w:rsidR="004B1B3D" w:rsidRPr="004B1B3D">
        <w:rPr>
          <w:rFonts w:ascii="Arial" w:eastAsia="Times New Roman" w:hAnsi="Arial" w:cs="Arial"/>
        </w:rPr>
        <w:t>28.550</w:t>
      </w:r>
      <w:r w:rsidR="00AC7B53" w:rsidRPr="004B1B3D">
        <w:rPr>
          <w:rFonts w:ascii="Arial" w:eastAsia="Times New Roman" w:hAnsi="Arial" w:cs="Arial"/>
        </w:rPr>
        <w:t xml:space="preserve"> €</w:t>
      </w:r>
      <w:r w:rsidR="004A16EE" w:rsidRPr="004B1B3D">
        <w:rPr>
          <w:rFonts w:ascii="Arial" w:eastAsia="Times New Roman" w:hAnsi="Arial" w:cs="Arial"/>
        </w:rPr>
        <w:t xml:space="preserve"> (prethodne godine </w:t>
      </w:r>
      <w:r w:rsidR="004B1B3D" w:rsidRPr="004B1B3D">
        <w:rPr>
          <w:rFonts w:ascii="Arial" w:eastAsia="Times New Roman" w:hAnsi="Arial" w:cs="Arial"/>
        </w:rPr>
        <w:t>25.606,20</w:t>
      </w:r>
      <w:r w:rsidR="00AC7B53" w:rsidRPr="004B1B3D">
        <w:rPr>
          <w:rFonts w:ascii="Arial" w:eastAsia="Times New Roman" w:hAnsi="Arial" w:cs="Arial"/>
        </w:rPr>
        <w:t xml:space="preserve"> </w:t>
      </w:r>
      <w:r w:rsidR="004B5388" w:rsidRPr="004B1B3D">
        <w:rPr>
          <w:rFonts w:ascii="Arial" w:eastAsia="Times New Roman" w:hAnsi="Arial" w:cs="Arial"/>
        </w:rPr>
        <w:t>€</w:t>
      </w:r>
      <w:r w:rsidR="004B1B3D" w:rsidRPr="004B1B3D">
        <w:rPr>
          <w:rFonts w:ascii="Arial" w:eastAsia="Times New Roman" w:hAnsi="Arial" w:cs="Arial"/>
        </w:rPr>
        <w:t>, a povećanje se odnosi na iznos poreza na dodanu vrijednost koji uvećava iznos najamnine jednog prostora</w:t>
      </w:r>
      <w:r w:rsidR="004A16EE" w:rsidRPr="004B1B3D">
        <w:rPr>
          <w:rFonts w:ascii="Arial" w:eastAsia="Times New Roman" w:hAnsi="Arial" w:cs="Arial"/>
        </w:rPr>
        <w:t>)</w:t>
      </w:r>
      <w:r w:rsidR="00891119" w:rsidRPr="004B1B3D">
        <w:rPr>
          <w:rFonts w:ascii="Arial" w:eastAsia="Times New Roman" w:hAnsi="Arial" w:cs="Arial"/>
        </w:rPr>
        <w:t xml:space="preserve">, te </w:t>
      </w:r>
      <w:r w:rsidR="004A16EE" w:rsidRPr="004B1B3D">
        <w:rPr>
          <w:rFonts w:ascii="Arial" w:eastAsia="Times New Roman" w:hAnsi="Arial" w:cs="Arial"/>
        </w:rPr>
        <w:t xml:space="preserve">rashode za najam uredskih prostora </w:t>
      </w:r>
      <w:r w:rsidR="004B1B3D" w:rsidRPr="004B1B3D">
        <w:rPr>
          <w:rFonts w:ascii="Arial" w:eastAsia="Times New Roman" w:hAnsi="Arial" w:cs="Arial"/>
        </w:rPr>
        <w:t>44.794,26</w:t>
      </w:r>
      <w:r w:rsidR="00AC7B53" w:rsidRPr="004B1B3D">
        <w:rPr>
          <w:rFonts w:ascii="Arial" w:eastAsia="Times New Roman" w:hAnsi="Arial" w:cs="Arial"/>
        </w:rPr>
        <w:t xml:space="preserve"> €</w:t>
      </w:r>
      <w:r w:rsidR="004A16EE" w:rsidRPr="004B1B3D">
        <w:rPr>
          <w:rFonts w:ascii="Arial" w:eastAsia="Times New Roman" w:hAnsi="Arial" w:cs="Arial"/>
        </w:rPr>
        <w:t xml:space="preserve"> (</w:t>
      </w:r>
      <w:r w:rsidR="00955557" w:rsidRPr="004B1B3D">
        <w:rPr>
          <w:rFonts w:ascii="Arial" w:eastAsia="Times New Roman" w:hAnsi="Arial" w:cs="Arial"/>
        </w:rPr>
        <w:t xml:space="preserve">kao i </w:t>
      </w:r>
      <w:r w:rsidR="004A16EE" w:rsidRPr="004B1B3D">
        <w:rPr>
          <w:rFonts w:ascii="Arial" w:eastAsia="Times New Roman" w:hAnsi="Arial" w:cs="Arial"/>
        </w:rPr>
        <w:t>prethodne godine), te druge najmove objekata i opreme kao što su korpe za sječu granja, najam kamera za video nadzor odlagališta otpada),</w:t>
      </w:r>
      <w:r w:rsidR="00891119" w:rsidRPr="004B1B3D">
        <w:rPr>
          <w:rFonts w:ascii="Arial" w:eastAsia="Times New Roman" w:hAnsi="Arial" w:cs="Arial"/>
        </w:rPr>
        <w:t xml:space="preserve"> </w:t>
      </w:r>
    </w:p>
    <w:p w14:paraId="073DBC3B" w14:textId="7590AD9A" w:rsidR="00891119" w:rsidRPr="004B1B3D" w:rsidRDefault="00A611C4"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B1B3D">
        <w:rPr>
          <w:rFonts w:ascii="Arial" w:eastAsia="Times New Roman" w:hAnsi="Arial" w:cs="Arial"/>
        </w:rPr>
        <w:tab/>
      </w:r>
      <w:r w:rsidR="00891119" w:rsidRPr="004B1B3D">
        <w:rPr>
          <w:rFonts w:ascii="Arial" w:eastAsia="Times New Roman" w:hAnsi="Arial" w:cs="Arial"/>
        </w:rPr>
        <w:t xml:space="preserve">- usluge promidžbe i informiranja (3233) ostvarene su u iznosu </w:t>
      </w:r>
      <w:r w:rsidR="004B1B3D" w:rsidRPr="004B1B3D">
        <w:rPr>
          <w:rFonts w:ascii="Arial" w:eastAsia="Times New Roman" w:hAnsi="Arial" w:cs="Arial"/>
        </w:rPr>
        <w:t>44.878,60</w:t>
      </w:r>
      <w:r w:rsidR="00C8299F" w:rsidRPr="004B1B3D">
        <w:rPr>
          <w:rFonts w:ascii="Arial" w:eastAsia="Times New Roman" w:hAnsi="Arial" w:cs="Arial"/>
        </w:rPr>
        <w:t xml:space="preserve"> €</w:t>
      </w:r>
      <w:r w:rsidR="00891119" w:rsidRPr="004B1B3D">
        <w:rPr>
          <w:rFonts w:ascii="Arial" w:eastAsia="Times New Roman" w:hAnsi="Arial" w:cs="Arial"/>
        </w:rPr>
        <w:t xml:space="preserve"> (ovi rashodi su </w:t>
      </w:r>
      <w:r w:rsidR="00955557" w:rsidRPr="004B1B3D">
        <w:rPr>
          <w:rFonts w:ascii="Arial" w:eastAsia="Times New Roman" w:hAnsi="Arial" w:cs="Arial"/>
        </w:rPr>
        <w:t>veći</w:t>
      </w:r>
      <w:r w:rsidR="00891119" w:rsidRPr="004B1B3D">
        <w:rPr>
          <w:rFonts w:ascii="Arial" w:eastAsia="Times New Roman" w:hAnsi="Arial" w:cs="Arial"/>
        </w:rPr>
        <w:t xml:space="preserve"> u odnosu na prethodnu godinu za </w:t>
      </w:r>
      <w:r w:rsidR="004B1B3D" w:rsidRPr="004B1B3D">
        <w:rPr>
          <w:rFonts w:ascii="Arial" w:eastAsia="Times New Roman" w:hAnsi="Arial" w:cs="Arial"/>
        </w:rPr>
        <w:t>17.901,35</w:t>
      </w:r>
      <w:r w:rsidR="00C8299F" w:rsidRPr="004B1B3D">
        <w:rPr>
          <w:rFonts w:ascii="Arial" w:eastAsia="Times New Roman" w:hAnsi="Arial" w:cs="Arial"/>
        </w:rPr>
        <w:t xml:space="preserve"> €</w:t>
      </w:r>
      <w:r w:rsidR="00891119" w:rsidRPr="004B1B3D">
        <w:rPr>
          <w:rFonts w:ascii="Arial" w:eastAsia="Times New Roman" w:hAnsi="Arial" w:cs="Arial"/>
        </w:rPr>
        <w:t xml:space="preserve"> </w:t>
      </w:r>
      <w:r w:rsidR="00DF58A1" w:rsidRPr="004B1B3D">
        <w:rPr>
          <w:rFonts w:ascii="Arial" w:eastAsia="Times New Roman" w:hAnsi="Arial" w:cs="Arial"/>
        </w:rPr>
        <w:t xml:space="preserve">ili </w:t>
      </w:r>
      <w:r w:rsidR="004B1B3D" w:rsidRPr="004B1B3D">
        <w:rPr>
          <w:rFonts w:ascii="Arial" w:eastAsia="Times New Roman" w:hAnsi="Arial" w:cs="Arial"/>
        </w:rPr>
        <w:t>66,4</w:t>
      </w:r>
      <w:r w:rsidR="00DF58A1" w:rsidRPr="004B1B3D">
        <w:rPr>
          <w:rFonts w:ascii="Arial" w:eastAsia="Times New Roman" w:hAnsi="Arial" w:cs="Arial"/>
        </w:rPr>
        <w:t>%</w:t>
      </w:r>
      <w:r w:rsidR="00891119" w:rsidRPr="004B1B3D">
        <w:rPr>
          <w:rFonts w:ascii="Arial" w:eastAsia="Times New Roman" w:hAnsi="Arial" w:cs="Arial"/>
        </w:rPr>
        <w:t xml:space="preserve">), i to općina </w:t>
      </w:r>
      <w:r w:rsidR="004B1B3D" w:rsidRPr="004B1B3D">
        <w:rPr>
          <w:rFonts w:ascii="Arial" w:eastAsia="Times New Roman" w:hAnsi="Arial" w:cs="Arial"/>
        </w:rPr>
        <w:t>42.284,35</w:t>
      </w:r>
      <w:r w:rsidR="00C8299F" w:rsidRPr="004B1B3D">
        <w:rPr>
          <w:rFonts w:ascii="Arial" w:eastAsia="Times New Roman" w:hAnsi="Arial" w:cs="Arial"/>
        </w:rPr>
        <w:t xml:space="preserve"> €</w:t>
      </w:r>
      <w:r w:rsidR="00891119" w:rsidRPr="004B1B3D">
        <w:rPr>
          <w:rFonts w:ascii="Arial" w:eastAsia="Times New Roman" w:hAnsi="Arial" w:cs="Arial"/>
        </w:rPr>
        <w:t xml:space="preserve"> (navedeni rashodi uključuju razvoj i održavanje Internet stranice Općine, čestitke povodom blagdana, objave oglasa i natječaja u tisku i Narodnim novinama, tisak službenog glasnika, savjetovanje s javnošću i upravljanje imovinom, te druge usluge promidžbe i informiranja), a proračunski korisnici </w:t>
      </w:r>
      <w:r w:rsidR="004B1B3D" w:rsidRPr="004B1B3D">
        <w:rPr>
          <w:rFonts w:ascii="Arial" w:eastAsia="Times New Roman" w:hAnsi="Arial" w:cs="Arial"/>
        </w:rPr>
        <w:t>2.594,25</w:t>
      </w:r>
      <w:r w:rsidR="00C8299F" w:rsidRPr="004B1B3D">
        <w:rPr>
          <w:rFonts w:ascii="Arial" w:eastAsia="Times New Roman" w:hAnsi="Arial" w:cs="Arial"/>
        </w:rPr>
        <w:t xml:space="preserve"> €</w:t>
      </w:r>
      <w:r w:rsidR="00924646" w:rsidRPr="004B1B3D">
        <w:rPr>
          <w:rFonts w:ascii="Arial" w:eastAsia="Times New Roman" w:hAnsi="Arial" w:cs="Arial"/>
        </w:rPr>
        <w:t xml:space="preserve">. </w:t>
      </w:r>
    </w:p>
    <w:p w14:paraId="0A74C9A0" w14:textId="680949EA" w:rsidR="0051251D" w:rsidRPr="00AC6571" w:rsidRDefault="00A611C4" w:rsidP="0051251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B1B3D">
        <w:rPr>
          <w:rFonts w:ascii="Arial" w:eastAsia="Times New Roman" w:hAnsi="Arial" w:cs="Arial"/>
        </w:rPr>
        <w:tab/>
      </w:r>
      <w:r w:rsidR="00891119" w:rsidRPr="004B1B3D">
        <w:rPr>
          <w:rFonts w:ascii="Arial" w:eastAsia="Times New Roman" w:hAnsi="Arial" w:cs="Arial"/>
        </w:rPr>
        <w:t xml:space="preserve">- rashodi za usluge telefona, pošte i prijevoza </w:t>
      </w:r>
      <w:r w:rsidR="001C6CAB" w:rsidRPr="004B1B3D">
        <w:rPr>
          <w:rFonts w:ascii="Arial" w:eastAsia="Times New Roman" w:hAnsi="Arial" w:cs="Arial"/>
        </w:rPr>
        <w:t xml:space="preserve">(3231) </w:t>
      </w:r>
      <w:r w:rsidR="00891119" w:rsidRPr="004B1B3D">
        <w:rPr>
          <w:rFonts w:ascii="Arial" w:eastAsia="Times New Roman" w:hAnsi="Arial" w:cs="Arial"/>
        </w:rPr>
        <w:t xml:space="preserve">ostvareni su u iznosu </w:t>
      </w:r>
      <w:r w:rsidR="004B1B3D" w:rsidRPr="004B1B3D">
        <w:rPr>
          <w:rFonts w:ascii="Arial" w:eastAsia="Times New Roman" w:hAnsi="Arial" w:cs="Arial"/>
        </w:rPr>
        <w:t>26.457,35</w:t>
      </w:r>
      <w:r w:rsidR="00C8299F" w:rsidRPr="004B1B3D">
        <w:rPr>
          <w:rFonts w:ascii="Arial" w:eastAsia="Times New Roman" w:hAnsi="Arial" w:cs="Arial"/>
        </w:rPr>
        <w:t xml:space="preserve"> €</w:t>
      </w:r>
      <w:r w:rsidR="00891119" w:rsidRPr="004B1B3D">
        <w:rPr>
          <w:rFonts w:ascii="Arial" w:eastAsia="Times New Roman" w:hAnsi="Arial" w:cs="Arial"/>
        </w:rPr>
        <w:t xml:space="preserve"> (ovi rashodi su </w:t>
      </w:r>
      <w:r w:rsidR="00955557" w:rsidRPr="004B1B3D">
        <w:rPr>
          <w:rFonts w:ascii="Arial" w:eastAsia="Times New Roman" w:hAnsi="Arial" w:cs="Arial"/>
        </w:rPr>
        <w:t>manji</w:t>
      </w:r>
      <w:r w:rsidR="00891119" w:rsidRPr="004B1B3D">
        <w:rPr>
          <w:rFonts w:ascii="Arial" w:eastAsia="Times New Roman" w:hAnsi="Arial" w:cs="Arial"/>
        </w:rPr>
        <w:t xml:space="preserve"> u odnosu na prethodnu godinu za </w:t>
      </w:r>
      <w:r w:rsidR="004B1B3D" w:rsidRPr="00AC6571">
        <w:rPr>
          <w:rFonts w:ascii="Arial" w:eastAsia="Times New Roman" w:hAnsi="Arial" w:cs="Arial"/>
        </w:rPr>
        <w:t>184,78</w:t>
      </w:r>
      <w:r w:rsidR="00955557" w:rsidRPr="00AC6571">
        <w:rPr>
          <w:rFonts w:ascii="Arial" w:eastAsia="Times New Roman" w:hAnsi="Arial" w:cs="Arial"/>
        </w:rPr>
        <w:t xml:space="preserve"> €</w:t>
      </w:r>
      <w:r w:rsidR="00DF58A1" w:rsidRPr="00AC6571">
        <w:rPr>
          <w:rFonts w:ascii="Arial" w:eastAsia="Times New Roman" w:hAnsi="Arial" w:cs="Arial"/>
        </w:rPr>
        <w:t xml:space="preserve"> ili </w:t>
      </w:r>
      <w:r w:rsidR="004B1B3D" w:rsidRPr="00AC6571">
        <w:rPr>
          <w:rFonts w:ascii="Arial" w:eastAsia="Times New Roman" w:hAnsi="Arial" w:cs="Arial"/>
        </w:rPr>
        <w:t>0,7</w:t>
      </w:r>
      <w:r w:rsidR="00C8299F" w:rsidRPr="00AC6571">
        <w:rPr>
          <w:rFonts w:ascii="Arial" w:eastAsia="Times New Roman" w:hAnsi="Arial" w:cs="Arial"/>
        </w:rPr>
        <w:t xml:space="preserve">%), </w:t>
      </w:r>
      <w:r w:rsidR="00891119" w:rsidRPr="00AC6571">
        <w:rPr>
          <w:rFonts w:ascii="Arial" w:eastAsia="Times New Roman" w:hAnsi="Arial" w:cs="Arial"/>
        </w:rPr>
        <w:t xml:space="preserve">i to općina </w:t>
      </w:r>
      <w:r w:rsidR="004B1B3D" w:rsidRPr="00AC6571">
        <w:rPr>
          <w:rFonts w:ascii="Arial" w:eastAsia="Times New Roman" w:hAnsi="Arial" w:cs="Arial"/>
        </w:rPr>
        <w:t>13.124,45</w:t>
      </w:r>
      <w:r w:rsidR="00C8299F" w:rsidRPr="00AC6571">
        <w:rPr>
          <w:rFonts w:ascii="Arial" w:eastAsia="Times New Roman" w:hAnsi="Arial" w:cs="Arial"/>
        </w:rPr>
        <w:t xml:space="preserve"> €</w:t>
      </w:r>
      <w:r w:rsidR="00891119" w:rsidRPr="00AC6571">
        <w:rPr>
          <w:rFonts w:ascii="Arial" w:eastAsia="Times New Roman" w:hAnsi="Arial" w:cs="Arial"/>
        </w:rPr>
        <w:t xml:space="preserve">, a proračunski korisnici </w:t>
      </w:r>
      <w:r w:rsidR="004B1B3D" w:rsidRPr="00AC6571">
        <w:rPr>
          <w:rFonts w:ascii="Arial" w:eastAsia="Times New Roman" w:hAnsi="Arial" w:cs="Arial"/>
        </w:rPr>
        <w:t>13.332,90</w:t>
      </w:r>
      <w:r w:rsidR="00C8299F" w:rsidRPr="00AC6571">
        <w:rPr>
          <w:rFonts w:ascii="Arial" w:eastAsia="Times New Roman" w:hAnsi="Arial" w:cs="Arial"/>
        </w:rPr>
        <w:t xml:space="preserve"> €</w:t>
      </w:r>
      <w:r w:rsidR="0051251D" w:rsidRPr="00AC6571">
        <w:rPr>
          <w:rFonts w:ascii="Arial" w:eastAsia="Times New Roman" w:hAnsi="Arial" w:cs="Arial"/>
        </w:rPr>
        <w:t xml:space="preserve"> (</w:t>
      </w:r>
      <w:r w:rsidR="00955557" w:rsidRPr="00AC6571">
        <w:rPr>
          <w:rFonts w:ascii="Arial" w:eastAsia="Times New Roman" w:hAnsi="Arial" w:cs="Arial"/>
        </w:rPr>
        <w:t>U</w:t>
      </w:r>
      <w:r w:rsidR="0051251D" w:rsidRPr="00AC6571">
        <w:rPr>
          <w:rFonts w:ascii="Arial" w:eastAsia="Times New Roman" w:hAnsi="Arial" w:cs="Arial"/>
        </w:rPr>
        <w:t xml:space="preserve"> okviru ovih rashoda usluge prijevoza </w:t>
      </w:r>
      <w:r w:rsidR="00955557" w:rsidRPr="00AC6571">
        <w:rPr>
          <w:rFonts w:ascii="Arial" w:eastAsia="Times New Roman" w:hAnsi="Arial" w:cs="Arial"/>
        </w:rPr>
        <w:t xml:space="preserve">iznose </w:t>
      </w:r>
      <w:r w:rsidR="004B1B3D" w:rsidRPr="00AC6571">
        <w:rPr>
          <w:rFonts w:ascii="Arial" w:eastAsia="Times New Roman" w:hAnsi="Arial" w:cs="Arial"/>
        </w:rPr>
        <w:t>7.313,74</w:t>
      </w:r>
      <w:r w:rsidR="00955557" w:rsidRPr="00AC6571">
        <w:rPr>
          <w:rFonts w:ascii="Arial" w:eastAsia="Times New Roman" w:hAnsi="Arial" w:cs="Arial"/>
        </w:rPr>
        <w:t xml:space="preserve"> €</w:t>
      </w:r>
      <w:r w:rsidR="0051251D" w:rsidRPr="00AC6571">
        <w:rPr>
          <w:rFonts w:ascii="Arial" w:eastAsia="Times New Roman" w:hAnsi="Arial" w:cs="Arial"/>
        </w:rPr>
        <w:t>.)</w:t>
      </w:r>
    </w:p>
    <w:p w14:paraId="2B422023" w14:textId="778986D4" w:rsidR="00A611C4" w:rsidRPr="00AC6571" w:rsidRDefault="00A611C4" w:rsidP="00A611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AC6571">
        <w:rPr>
          <w:rFonts w:ascii="Arial" w:eastAsia="Times New Roman" w:hAnsi="Arial" w:cs="Arial"/>
        </w:rPr>
        <w:tab/>
        <w:t xml:space="preserve">- rashodi za računalne usluge (3238) ostvareni su u iznosu </w:t>
      </w:r>
      <w:r w:rsidR="00AC6571" w:rsidRPr="00AC6571">
        <w:rPr>
          <w:rFonts w:ascii="Arial" w:eastAsia="Times New Roman" w:hAnsi="Arial" w:cs="Arial"/>
        </w:rPr>
        <w:t>30.117,12</w:t>
      </w:r>
      <w:r w:rsidR="00294886" w:rsidRPr="00AC6571">
        <w:rPr>
          <w:rFonts w:ascii="Arial" w:eastAsia="Times New Roman" w:hAnsi="Arial" w:cs="Arial"/>
        </w:rPr>
        <w:t xml:space="preserve"> €</w:t>
      </w:r>
      <w:r w:rsidRPr="00AC6571">
        <w:rPr>
          <w:rFonts w:ascii="Arial" w:eastAsia="Times New Roman" w:hAnsi="Arial" w:cs="Arial"/>
        </w:rPr>
        <w:t xml:space="preserve"> </w:t>
      </w:r>
      <w:r w:rsidR="00441337" w:rsidRPr="00AC6571">
        <w:rPr>
          <w:rFonts w:ascii="Arial" w:eastAsia="Times New Roman" w:hAnsi="Arial" w:cs="Arial"/>
        </w:rPr>
        <w:t xml:space="preserve">(ovi rashodi su veći u odnosu na prethodnu godinu za </w:t>
      </w:r>
      <w:r w:rsidR="00AC6571" w:rsidRPr="00AC6571">
        <w:rPr>
          <w:rFonts w:ascii="Arial" w:eastAsia="Times New Roman" w:hAnsi="Arial" w:cs="Arial"/>
        </w:rPr>
        <w:t>8.522,00</w:t>
      </w:r>
      <w:r w:rsidR="00441337" w:rsidRPr="00AC6571">
        <w:rPr>
          <w:rFonts w:ascii="Arial" w:eastAsia="Times New Roman" w:hAnsi="Arial" w:cs="Arial"/>
        </w:rPr>
        <w:t xml:space="preserve"> € ili </w:t>
      </w:r>
      <w:r w:rsidR="001C6CAB" w:rsidRPr="00AC6571">
        <w:rPr>
          <w:rFonts w:ascii="Arial" w:eastAsia="Times New Roman" w:hAnsi="Arial" w:cs="Arial"/>
        </w:rPr>
        <w:t>3</w:t>
      </w:r>
      <w:r w:rsidR="00AC6571" w:rsidRPr="00AC6571">
        <w:rPr>
          <w:rFonts w:ascii="Arial" w:eastAsia="Times New Roman" w:hAnsi="Arial" w:cs="Arial"/>
        </w:rPr>
        <w:t>9,5</w:t>
      </w:r>
      <w:r w:rsidR="00441337" w:rsidRPr="00AC6571">
        <w:rPr>
          <w:rFonts w:ascii="Arial" w:eastAsia="Times New Roman" w:hAnsi="Arial" w:cs="Arial"/>
        </w:rPr>
        <w:t xml:space="preserve">%), </w:t>
      </w:r>
      <w:r w:rsidRPr="00AC6571">
        <w:rPr>
          <w:rFonts w:ascii="Arial" w:eastAsia="Times New Roman" w:hAnsi="Arial" w:cs="Arial"/>
        </w:rPr>
        <w:t xml:space="preserve">i to općina </w:t>
      </w:r>
      <w:r w:rsidR="00AC6571" w:rsidRPr="00AC6571">
        <w:rPr>
          <w:rFonts w:ascii="Arial" w:eastAsia="Times New Roman" w:hAnsi="Arial" w:cs="Arial"/>
        </w:rPr>
        <w:t>26.315,37</w:t>
      </w:r>
      <w:r w:rsidR="00294886" w:rsidRPr="00AC6571">
        <w:rPr>
          <w:rFonts w:ascii="Arial" w:eastAsia="Times New Roman" w:hAnsi="Arial" w:cs="Arial"/>
        </w:rPr>
        <w:t xml:space="preserve"> €</w:t>
      </w:r>
      <w:r w:rsidRPr="00AC6571">
        <w:rPr>
          <w:rFonts w:ascii="Arial" w:eastAsia="Times New Roman" w:hAnsi="Arial" w:cs="Arial"/>
        </w:rPr>
        <w:t xml:space="preserve"> (</w:t>
      </w:r>
      <w:r w:rsidR="00955557" w:rsidRPr="00AC6571">
        <w:rPr>
          <w:rFonts w:ascii="Arial" w:eastAsia="Times New Roman" w:hAnsi="Arial" w:cs="Arial"/>
        </w:rPr>
        <w:t>od čega</w:t>
      </w:r>
      <w:r w:rsidRPr="00AC6571">
        <w:rPr>
          <w:rFonts w:ascii="Arial" w:eastAsia="Times New Roman" w:hAnsi="Arial" w:cs="Arial"/>
        </w:rPr>
        <w:t xml:space="preserve"> usluge održavanja i ažuriranja računalnog programa zajedno za općinu i četiri proračunska korisnika putem sustava općinske riznice</w:t>
      </w:r>
      <w:r w:rsidR="00955557" w:rsidRPr="00AC6571">
        <w:rPr>
          <w:rFonts w:ascii="Arial" w:eastAsia="Times New Roman" w:hAnsi="Arial" w:cs="Arial"/>
        </w:rPr>
        <w:t xml:space="preserve"> </w:t>
      </w:r>
      <w:r w:rsidR="00AC6571" w:rsidRPr="00AC6571">
        <w:rPr>
          <w:rFonts w:ascii="Arial" w:eastAsia="Times New Roman" w:hAnsi="Arial" w:cs="Arial"/>
        </w:rPr>
        <w:t>26.148,78</w:t>
      </w:r>
      <w:r w:rsidR="00955557" w:rsidRPr="00AC6571">
        <w:rPr>
          <w:rFonts w:ascii="Arial" w:eastAsia="Times New Roman" w:hAnsi="Arial" w:cs="Arial"/>
        </w:rPr>
        <w:t xml:space="preserve"> €</w:t>
      </w:r>
      <w:r w:rsidRPr="00AC6571">
        <w:rPr>
          <w:rFonts w:ascii="Arial" w:eastAsia="Times New Roman" w:hAnsi="Arial" w:cs="Arial"/>
        </w:rPr>
        <w:t xml:space="preserve">), a proračunski korisnici </w:t>
      </w:r>
      <w:r w:rsidR="001C6CAB" w:rsidRPr="00AC6571">
        <w:rPr>
          <w:rFonts w:ascii="Arial" w:eastAsia="Times New Roman" w:hAnsi="Arial" w:cs="Arial"/>
        </w:rPr>
        <w:t>3</w:t>
      </w:r>
      <w:r w:rsidR="00AC6571" w:rsidRPr="00AC6571">
        <w:rPr>
          <w:rFonts w:ascii="Arial" w:eastAsia="Times New Roman" w:hAnsi="Arial" w:cs="Arial"/>
        </w:rPr>
        <w:t>.801,75</w:t>
      </w:r>
      <w:r w:rsidR="00294886" w:rsidRPr="00AC6571">
        <w:rPr>
          <w:rFonts w:ascii="Arial" w:eastAsia="Times New Roman" w:hAnsi="Arial" w:cs="Arial"/>
        </w:rPr>
        <w:t xml:space="preserve"> €</w:t>
      </w:r>
      <w:r w:rsidR="004F75CD" w:rsidRPr="00AC6571">
        <w:rPr>
          <w:rFonts w:ascii="Arial" w:eastAsia="Times New Roman" w:hAnsi="Arial" w:cs="Arial"/>
        </w:rPr>
        <w:t xml:space="preserve">. </w:t>
      </w:r>
      <w:r w:rsidR="00294886" w:rsidRPr="00AC6571">
        <w:rPr>
          <w:rFonts w:ascii="Arial" w:eastAsia="Times New Roman" w:hAnsi="Arial" w:cs="Arial"/>
        </w:rPr>
        <w:t xml:space="preserve">Od 2023., </w:t>
      </w:r>
      <w:r w:rsidR="004F75CD" w:rsidRPr="00AC6571">
        <w:rPr>
          <w:rFonts w:ascii="Arial" w:eastAsia="Times New Roman" w:hAnsi="Arial" w:cs="Arial"/>
        </w:rPr>
        <w:t xml:space="preserve">zbog potrebe prilagođavanja programa novim obvezama (uvođenje e-pisarnice, program transparentnosti rashoda i prilagođavanja programa uvođenju </w:t>
      </w:r>
      <w:r w:rsidR="0022395F" w:rsidRPr="00AC6571">
        <w:rPr>
          <w:rFonts w:ascii="Arial" w:eastAsia="Times New Roman" w:hAnsi="Arial" w:cs="Arial"/>
        </w:rPr>
        <w:t>eura</w:t>
      </w:r>
      <w:r w:rsidR="007D45A7" w:rsidRPr="00AC6571">
        <w:rPr>
          <w:rFonts w:ascii="Arial" w:eastAsia="Times New Roman" w:hAnsi="Arial" w:cs="Arial"/>
        </w:rPr>
        <w:t>, a zatim i novih poreza</w:t>
      </w:r>
      <w:r w:rsidR="00441337" w:rsidRPr="00AC6571">
        <w:rPr>
          <w:rFonts w:ascii="Arial" w:eastAsia="Times New Roman" w:hAnsi="Arial" w:cs="Arial"/>
        </w:rPr>
        <w:t>)</w:t>
      </w:r>
      <w:r w:rsidR="004F75CD" w:rsidRPr="00AC6571">
        <w:rPr>
          <w:rFonts w:ascii="Arial" w:eastAsia="Times New Roman" w:hAnsi="Arial" w:cs="Arial"/>
        </w:rPr>
        <w:t xml:space="preserve"> rashodi su veći nego prethodn</w:t>
      </w:r>
      <w:r w:rsidR="00441337" w:rsidRPr="00AC6571">
        <w:rPr>
          <w:rFonts w:ascii="Arial" w:eastAsia="Times New Roman" w:hAnsi="Arial" w:cs="Arial"/>
        </w:rPr>
        <w:t>ih godina</w:t>
      </w:r>
      <w:r w:rsidRPr="00AC6571">
        <w:rPr>
          <w:rFonts w:ascii="Arial" w:eastAsia="Times New Roman" w:hAnsi="Arial" w:cs="Arial"/>
        </w:rPr>
        <w:t>),</w:t>
      </w:r>
    </w:p>
    <w:p w14:paraId="6ACB1732" w14:textId="62E8B2BB" w:rsidR="00D968E2" w:rsidRPr="00AC6571" w:rsidRDefault="00AE5F79"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AC6571">
        <w:rPr>
          <w:rFonts w:ascii="Arial" w:eastAsia="Times New Roman" w:hAnsi="Arial" w:cs="Arial"/>
        </w:rPr>
        <w:tab/>
      </w:r>
      <w:r w:rsidR="00891119" w:rsidRPr="00AC6571">
        <w:rPr>
          <w:rFonts w:ascii="Arial" w:eastAsia="Times New Roman" w:hAnsi="Arial" w:cs="Arial"/>
        </w:rPr>
        <w:t>- rashodi za ostale usluge (3239) ostva</w:t>
      </w:r>
      <w:r w:rsidR="00A70CBC" w:rsidRPr="00AC6571">
        <w:rPr>
          <w:rFonts w:ascii="Arial" w:eastAsia="Times New Roman" w:hAnsi="Arial" w:cs="Arial"/>
        </w:rPr>
        <w:t xml:space="preserve">reni su u iznosu </w:t>
      </w:r>
      <w:r w:rsidR="00AC6571" w:rsidRPr="00AC6571">
        <w:rPr>
          <w:rFonts w:ascii="Arial" w:eastAsia="Times New Roman" w:hAnsi="Arial" w:cs="Arial"/>
        </w:rPr>
        <w:t>84.575,26</w:t>
      </w:r>
      <w:r w:rsidR="00294886" w:rsidRPr="00AC6571">
        <w:rPr>
          <w:rFonts w:ascii="Arial" w:eastAsia="Times New Roman" w:hAnsi="Arial" w:cs="Arial"/>
        </w:rPr>
        <w:t xml:space="preserve"> €</w:t>
      </w:r>
      <w:r w:rsidR="00891119" w:rsidRPr="00AC6571">
        <w:rPr>
          <w:rFonts w:ascii="Arial" w:eastAsia="Times New Roman" w:hAnsi="Arial" w:cs="Arial"/>
        </w:rPr>
        <w:t xml:space="preserve"> (</w:t>
      </w:r>
      <w:r w:rsidR="002E390A" w:rsidRPr="00AC6571">
        <w:rPr>
          <w:rFonts w:ascii="Arial" w:eastAsia="Times New Roman" w:hAnsi="Arial" w:cs="Arial"/>
        </w:rPr>
        <w:t>više</w:t>
      </w:r>
      <w:r w:rsidR="00891119" w:rsidRPr="00AC6571">
        <w:rPr>
          <w:rFonts w:ascii="Arial" w:eastAsia="Times New Roman" w:hAnsi="Arial" w:cs="Arial"/>
        </w:rPr>
        <w:t xml:space="preserve"> u odnosu na prethodnu godinu </w:t>
      </w:r>
      <w:r w:rsidR="00AC6571" w:rsidRPr="00AC6571">
        <w:rPr>
          <w:rFonts w:ascii="Arial" w:eastAsia="Times New Roman" w:hAnsi="Arial" w:cs="Arial"/>
        </w:rPr>
        <w:t>31.667,86</w:t>
      </w:r>
      <w:r w:rsidR="00294886" w:rsidRPr="00AC6571">
        <w:rPr>
          <w:rFonts w:ascii="Arial" w:eastAsia="Times New Roman" w:hAnsi="Arial" w:cs="Arial"/>
        </w:rPr>
        <w:t xml:space="preserve"> €</w:t>
      </w:r>
      <w:r w:rsidRPr="00AC6571">
        <w:rPr>
          <w:rFonts w:ascii="Arial" w:eastAsia="Times New Roman" w:hAnsi="Arial" w:cs="Arial"/>
        </w:rPr>
        <w:t xml:space="preserve"> ili </w:t>
      </w:r>
      <w:r w:rsidR="007D45A7" w:rsidRPr="00AC6571">
        <w:rPr>
          <w:rFonts w:ascii="Arial" w:eastAsia="Times New Roman" w:hAnsi="Arial" w:cs="Arial"/>
        </w:rPr>
        <w:t>5</w:t>
      </w:r>
      <w:r w:rsidR="00AC6571" w:rsidRPr="00AC6571">
        <w:rPr>
          <w:rFonts w:ascii="Arial" w:eastAsia="Times New Roman" w:hAnsi="Arial" w:cs="Arial"/>
        </w:rPr>
        <w:t>9,9</w:t>
      </w:r>
      <w:r w:rsidRPr="00AC6571">
        <w:rPr>
          <w:rFonts w:ascii="Arial" w:eastAsia="Times New Roman" w:hAnsi="Arial" w:cs="Arial"/>
        </w:rPr>
        <w:t>%</w:t>
      </w:r>
      <w:r w:rsidR="00891119" w:rsidRPr="00AC6571">
        <w:rPr>
          <w:rFonts w:ascii="Arial" w:eastAsia="Times New Roman" w:hAnsi="Arial" w:cs="Arial"/>
        </w:rPr>
        <w:t xml:space="preserve">) i to općina </w:t>
      </w:r>
      <w:r w:rsidR="00AC6571" w:rsidRPr="00AC6571">
        <w:rPr>
          <w:rFonts w:ascii="Arial" w:eastAsia="Times New Roman" w:hAnsi="Arial" w:cs="Arial"/>
        </w:rPr>
        <w:t>84.575,26</w:t>
      </w:r>
      <w:r w:rsidR="00294886" w:rsidRPr="00AC6571">
        <w:rPr>
          <w:rFonts w:ascii="Arial" w:eastAsia="Times New Roman" w:hAnsi="Arial" w:cs="Arial"/>
        </w:rPr>
        <w:t xml:space="preserve"> €</w:t>
      </w:r>
      <w:r w:rsidR="004819B1" w:rsidRPr="00AC6571">
        <w:rPr>
          <w:rFonts w:ascii="Arial" w:eastAsia="Times New Roman" w:hAnsi="Arial" w:cs="Arial"/>
        </w:rPr>
        <w:t>, a</w:t>
      </w:r>
      <w:r w:rsidR="00891119" w:rsidRPr="00AC6571">
        <w:rPr>
          <w:rFonts w:ascii="Arial" w:eastAsia="Times New Roman" w:hAnsi="Arial" w:cs="Arial"/>
        </w:rPr>
        <w:t xml:space="preserve"> proračunski korisnici </w:t>
      </w:r>
      <w:r w:rsidR="00AC6571" w:rsidRPr="00AC6571">
        <w:rPr>
          <w:rFonts w:ascii="Arial" w:eastAsia="Times New Roman" w:hAnsi="Arial" w:cs="Arial"/>
        </w:rPr>
        <w:t>42.926,33</w:t>
      </w:r>
      <w:r w:rsidR="00294886" w:rsidRPr="00AC6571">
        <w:rPr>
          <w:rFonts w:ascii="Arial" w:eastAsia="Times New Roman" w:hAnsi="Arial" w:cs="Arial"/>
        </w:rPr>
        <w:t xml:space="preserve"> €</w:t>
      </w:r>
      <w:r w:rsidR="00A611C4" w:rsidRPr="00AC6571">
        <w:rPr>
          <w:rFonts w:ascii="Arial" w:eastAsia="Times New Roman" w:hAnsi="Arial" w:cs="Arial"/>
        </w:rPr>
        <w:t>.</w:t>
      </w:r>
      <w:r w:rsidR="004819B1" w:rsidRPr="00AC6571">
        <w:rPr>
          <w:rFonts w:ascii="Arial" w:eastAsia="Times New Roman" w:hAnsi="Arial" w:cs="Arial"/>
        </w:rPr>
        <w:t xml:space="preserve"> </w:t>
      </w:r>
      <w:r w:rsidR="004819B1" w:rsidRPr="00AC6571">
        <w:rPr>
          <w:rFonts w:ascii="Arial" w:eastAsia="Times New Roman" w:hAnsi="Arial" w:cs="Arial"/>
          <w:sz w:val="18"/>
          <w:szCs w:val="18"/>
        </w:rPr>
        <w:t>(</w:t>
      </w:r>
      <w:r w:rsidR="0051251D" w:rsidRPr="00AC6571">
        <w:rPr>
          <w:rFonts w:ascii="Arial" w:eastAsia="Times New Roman" w:hAnsi="Arial" w:cs="Arial"/>
          <w:sz w:val="18"/>
          <w:szCs w:val="18"/>
        </w:rPr>
        <w:t xml:space="preserve">Usluge Porezne uprave za naplatu prihoda u visini 1% naplaćenih prihoda za 2018. iznosili su </w:t>
      </w:r>
      <w:r w:rsidR="00294886" w:rsidRPr="00AC6571">
        <w:rPr>
          <w:rFonts w:ascii="Arial" w:eastAsia="Times New Roman" w:hAnsi="Arial" w:cs="Arial"/>
          <w:sz w:val="18"/>
          <w:szCs w:val="18"/>
        </w:rPr>
        <w:t>29.781,76 €</w:t>
      </w:r>
      <w:r w:rsidR="0051251D" w:rsidRPr="00AC6571">
        <w:rPr>
          <w:rFonts w:ascii="Arial" w:eastAsia="Times New Roman" w:hAnsi="Arial" w:cs="Arial"/>
          <w:sz w:val="18"/>
          <w:szCs w:val="18"/>
        </w:rPr>
        <w:t xml:space="preserve">, za 2019. godinu </w:t>
      </w:r>
      <w:r w:rsidR="00294886" w:rsidRPr="00AC6571">
        <w:rPr>
          <w:rFonts w:ascii="Arial" w:eastAsia="Times New Roman" w:hAnsi="Arial" w:cs="Arial"/>
          <w:sz w:val="18"/>
          <w:szCs w:val="18"/>
        </w:rPr>
        <w:t>35.224,82 €</w:t>
      </w:r>
      <w:r w:rsidR="0051251D" w:rsidRPr="00AC6571">
        <w:rPr>
          <w:rFonts w:ascii="Arial" w:eastAsia="Times New Roman" w:hAnsi="Arial" w:cs="Arial"/>
          <w:sz w:val="18"/>
          <w:szCs w:val="18"/>
        </w:rPr>
        <w:t xml:space="preserve">, za 2020. iznose </w:t>
      </w:r>
      <w:r w:rsidR="00294886" w:rsidRPr="00AC6571">
        <w:rPr>
          <w:rFonts w:ascii="Arial" w:eastAsia="Times New Roman" w:hAnsi="Arial" w:cs="Arial"/>
          <w:sz w:val="18"/>
          <w:szCs w:val="18"/>
        </w:rPr>
        <w:t>26.658,25 €</w:t>
      </w:r>
      <w:r w:rsidR="0051251D" w:rsidRPr="00AC6571">
        <w:rPr>
          <w:rFonts w:ascii="Arial" w:eastAsia="Times New Roman" w:hAnsi="Arial" w:cs="Arial"/>
          <w:sz w:val="18"/>
          <w:szCs w:val="18"/>
        </w:rPr>
        <w:t xml:space="preserve">, za 2021. su iznosili </w:t>
      </w:r>
      <w:r w:rsidR="00294886" w:rsidRPr="00AC6571">
        <w:rPr>
          <w:rFonts w:ascii="Arial" w:eastAsia="Times New Roman" w:hAnsi="Arial" w:cs="Arial"/>
          <w:sz w:val="18"/>
          <w:szCs w:val="18"/>
        </w:rPr>
        <w:t>23.303,53 €</w:t>
      </w:r>
      <w:r w:rsidR="0051251D" w:rsidRPr="00AC6571">
        <w:rPr>
          <w:rFonts w:ascii="Arial" w:eastAsia="Times New Roman" w:hAnsi="Arial" w:cs="Arial"/>
          <w:sz w:val="18"/>
          <w:szCs w:val="18"/>
        </w:rPr>
        <w:t xml:space="preserve">, za 2022. </w:t>
      </w:r>
      <w:r w:rsidR="00294886" w:rsidRPr="00AC6571">
        <w:rPr>
          <w:rFonts w:ascii="Arial" w:eastAsia="Times New Roman" w:hAnsi="Arial" w:cs="Arial"/>
          <w:sz w:val="18"/>
          <w:szCs w:val="18"/>
        </w:rPr>
        <w:t xml:space="preserve">su iznosili 32.908,10 €, </w:t>
      </w:r>
      <w:r w:rsidR="00441337" w:rsidRPr="00AC6571">
        <w:rPr>
          <w:rFonts w:ascii="Arial" w:eastAsia="Times New Roman" w:hAnsi="Arial" w:cs="Arial"/>
          <w:sz w:val="18"/>
          <w:szCs w:val="18"/>
        </w:rPr>
        <w:t>za</w:t>
      </w:r>
      <w:r w:rsidR="00294886" w:rsidRPr="00AC6571">
        <w:rPr>
          <w:rFonts w:ascii="Arial" w:eastAsia="Times New Roman" w:hAnsi="Arial" w:cs="Arial"/>
          <w:sz w:val="18"/>
          <w:szCs w:val="18"/>
        </w:rPr>
        <w:t xml:space="preserve"> 2023. </w:t>
      </w:r>
      <w:r w:rsidR="00441337" w:rsidRPr="00AC6571">
        <w:rPr>
          <w:rFonts w:ascii="Arial" w:eastAsia="Times New Roman" w:hAnsi="Arial" w:cs="Arial"/>
          <w:sz w:val="18"/>
          <w:szCs w:val="18"/>
        </w:rPr>
        <w:t xml:space="preserve">su iznosili </w:t>
      </w:r>
      <w:r w:rsidR="00770095" w:rsidRPr="00AC6571">
        <w:rPr>
          <w:rFonts w:ascii="Arial" w:eastAsia="Times New Roman" w:hAnsi="Arial" w:cs="Arial"/>
          <w:sz w:val="18"/>
          <w:szCs w:val="18"/>
        </w:rPr>
        <w:t>50.339,27</w:t>
      </w:r>
      <w:r w:rsidR="00294886" w:rsidRPr="00AC6571">
        <w:rPr>
          <w:rFonts w:ascii="Arial" w:eastAsia="Times New Roman" w:hAnsi="Arial" w:cs="Arial"/>
          <w:sz w:val="18"/>
          <w:szCs w:val="18"/>
        </w:rPr>
        <w:t xml:space="preserve"> €</w:t>
      </w:r>
      <w:r w:rsidR="00441337" w:rsidRPr="00AC6571">
        <w:rPr>
          <w:rFonts w:ascii="Arial" w:eastAsia="Times New Roman" w:hAnsi="Arial" w:cs="Arial"/>
          <w:sz w:val="18"/>
          <w:szCs w:val="18"/>
        </w:rPr>
        <w:t xml:space="preserve">, za 2024. </w:t>
      </w:r>
      <w:r w:rsidR="00AC6571" w:rsidRPr="00AC6571">
        <w:rPr>
          <w:rFonts w:ascii="Arial" w:eastAsia="Times New Roman" w:hAnsi="Arial" w:cs="Arial"/>
          <w:sz w:val="18"/>
          <w:szCs w:val="18"/>
        </w:rPr>
        <w:t>su iznosili</w:t>
      </w:r>
      <w:r w:rsidR="00441337" w:rsidRPr="00AC6571">
        <w:rPr>
          <w:rFonts w:ascii="Arial" w:eastAsia="Times New Roman" w:hAnsi="Arial" w:cs="Arial"/>
          <w:sz w:val="18"/>
          <w:szCs w:val="18"/>
        </w:rPr>
        <w:t xml:space="preserve"> </w:t>
      </w:r>
      <w:r w:rsidR="007D45A7" w:rsidRPr="00AC6571">
        <w:rPr>
          <w:rFonts w:ascii="Arial" w:eastAsia="Times New Roman" w:hAnsi="Arial" w:cs="Arial"/>
          <w:sz w:val="18"/>
          <w:szCs w:val="18"/>
        </w:rPr>
        <w:t>60.248,46</w:t>
      </w:r>
      <w:r w:rsidR="00441337" w:rsidRPr="00AC6571">
        <w:rPr>
          <w:rFonts w:ascii="Arial" w:eastAsia="Times New Roman" w:hAnsi="Arial" w:cs="Arial"/>
          <w:sz w:val="18"/>
          <w:szCs w:val="18"/>
        </w:rPr>
        <w:t xml:space="preserve"> €</w:t>
      </w:r>
      <w:r w:rsidR="00AC6571" w:rsidRPr="00AC6571">
        <w:rPr>
          <w:rFonts w:ascii="Arial" w:eastAsia="Times New Roman" w:hAnsi="Arial" w:cs="Arial"/>
          <w:sz w:val="18"/>
          <w:szCs w:val="18"/>
        </w:rPr>
        <w:t>, dok za 2025. iznose 32.796,31 €  u prvom polugodištu</w:t>
      </w:r>
      <w:r w:rsidR="00294886" w:rsidRPr="00AC6571">
        <w:rPr>
          <w:rFonts w:ascii="Arial" w:eastAsia="Times New Roman" w:hAnsi="Arial" w:cs="Arial"/>
          <w:sz w:val="18"/>
          <w:szCs w:val="18"/>
        </w:rPr>
        <w:t>)</w:t>
      </w:r>
      <w:r w:rsidR="00294886" w:rsidRPr="00AC6571">
        <w:rPr>
          <w:rFonts w:ascii="Arial" w:eastAsia="Times New Roman" w:hAnsi="Arial" w:cs="Arial"/>
        </w:rPr>
        <w:t>.</w:t>
      </w:r>
    </w:p>
    <w:p w14:paraId="513B4C8D" w14:textId="77777777" w:rsidR="00294886" w:rsidRPr="007D45A7" w:rsidRDefault="00294886"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C45CAFC" w14:textId="04BEE2A5" w:rsidR="00D968E2" w:rsidRPr="007D45A7"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7D45A7">
        <w:rPr>
          <w:rFonts w:ascii="Arial" w:eastAsia="Times New Roman" w:hAnsi="Arial" w:cs="Arial"/>
          <w:b/>
          <w:bCs/>
        </w:rPr>
        <w:t>Naknade troškova osobama izvan radnog odnosa</w:t>
      </w:r>
      <w:r w:rsidRPr="007D45A7">
        <w:rPr>
          <w:rFonts w:ascii="Arial" w:eastAsia="Times New Roman" w:hAnsi="Arial" w:cs="Arial"/>
        </w:rPr>
        <w:t xml:space="preserve"> (324) izvršeni su u iznosu </w:t>
      </w:r>
      <w:r w:rsidR="00026D16">
        <w:rPr>
          <w:rFonts w:ascii="Arial" w:eastAsia="Times New Roman" w:hAnsi="Arial" w:cs="Arial"/>
        </w:rPr>
        <w:t>2.801,18</w:t>
      </w:r>
      <w:r w:rsidR="006A1054" w:rsidRPr="007D45A7">
        <w:rPr>
          <w:rFonts w:ascii="Arial" w:eastAsia="Times New Roman" w:hAnsi="Arial" w:cs="Arial"/>
        </w:rPr>
        <w:t xml:space="preserve"> </w:t>
      </w:r>
      <w:r w:rsidR="00294886" w:rsidRPr="007D45A7">
        <w:rPr>
          <w:rFonts w:ascii="Arial" w:eastAsia="Times New Roman" w:hAnsi="Arial" w:cs="Arial"/>
        </w:rPr>
        <w:t>€</w:t>
      </w:r>
      <w:r w:rsidRPr="007D45A7">
        <w:rPr>
          <w:rFonts w:ascii="Arial" w:eastAsia="Times New Roman" w:hAnsi="Arial" w:cs="Arial"/>
        </w:rPr>
        <w:t xml:space="preserve"> što je za </w:t>
      </w:r>
      <w:r w:rsidR="00026D16">
        <w:rPr>
          <w:rFonts w:ascii="Arial" w:eastAsia="Times New Roman" w:hAnsi="Arial" w:cs="Arial"/>
        </w:rPr>
        <w:t>1.643,11</w:t>
      </w:r>
      <w:r w:rsidR="00294886" w:rsidRPr="007D45A7">
        <w:rPr>
          <w:rFonts w:ascii="Arial" w:eastAsia="Times New Roman" w:hAnsi="Arial" w:cs="Arial"/>
        </w:rPr>
        <w:t xml:space="preserve"> €</w:t>
      </w:r>
      <w:r w:rsidRPr="007D45A7">
        <w:rPr>
          <w:rFonts w:ascii="Arial" w:eastAsia="Times New Roman" w:hAnsi="Arial" w:cs="Arial"/>
        </w:rPr>
        <w:t xml:space="preserve"> ili </w:t>
      </w:r>
      <w:r w:rsidR="00026D16">
        <w:rPr>
          <w:rFonts w:ascii="Arial" w:eastAsia="Times New Roman" w:hAnsi="Arial" w:cs="Arial"/>
        </w:rPr>
        <w:t>141,9</w:t>
      </w:r>
      <w:r w:rsidRPr="007D45A7">
        <w:rPr>
          <w:rFonts w:ascii="Arial" w:eastAsia="Times New Roman" w:hAnsi="Arial" w:cs="Arial"/>
        </w:rPr>
        <w:t xml:space="preserve">% </w:t>
      </w:r>
      <w:r w:rsidR="00026D16">
        <w:rPr>
          <w:rFonts w:ascii="Arial" w:eastAsia="Times New Roman" w:hAnsi="Arial" w:cs="Arial"/>
        </w:rPr>
        <w:t>više</w:t>
      </w:r>
      <w:r w:rsidRPr="007D45A7">
        <w:rPr>
          <w:rFonts w:ascii="Arial" w:eastAsia="Times New Roman" w:hAnsi="Arial" w:cs="Arial"/>
        </w:rPr>
        <w:t xml:space="preserve"> u odnosu na </w:t>
      </w:r>
      <w:r w:rsidRPr="007D45A7">
        <w:rPr>
          <w:rFonts w:ascii="Arial" w:eastAsia="Times New Roman" w:hAnsi="Arial" w:cs="Arial"/>
          <w:iCs/>
        </w:rPr>
        <w:t xml:space="preserve">izvještajno razdoblje prethodne godine kada su iznosili </w:t>
      </w:r>
      <w:r w:rsidR="00026D16">
        <w:rPr>
          <w:rFonts w:ascii="Arial" w:eastAsia="Times New Roman" w:hAnsi="Arial" w:cs="Arial"/>
          <w:iCs/>
        </w:rPr>
        <w:t>1.158,07</w:t>
      </w:r>
      <w:r w:rsidR="00294886" w:rsidRPr="007D45A7">
        <w:rPr>
          <w:rFonts w:ascii="Arial" w:eastAsia="Times New Roman" w:hAnsi="Arial" w:cs="Arial"/>
          <w:iCs/>
        </w:rPr>
        <w:t xml:space="preserve"> €</w:t>
      </w:r>
      <w:r w:rsidRPr="007D45A7">
        <w:rPr>
          <w:rFonts w:ascii="Arial" w:eastAsia="Times New Roman" w:hAnsi="Arial" w:cs="Arial"/>
          <w:iCs/>
        </w:rPr>
        <w:t xml:space="preserve">. </w:t>
      </w:r>
      <w:r w:rsidR="00067547">
        <w:rPr>
          <w:rFonts w:ascii="Arial" w:eastAsia="Times New Roman" w:hAnsi="Arial" w:cs="Arial"/>
          <w:iCs/>
          <w:color w:val="1F497D" w:themeColor="text2"/>
        </w:rPr>
        <w:t xml:space="preserve">Na rashode </w:t>
      </w:r>
      <w:r w:rsidR="0021122B" w:rsidRPr="0021122B">
        <w:rPr>
          <w:rFonts w:ascii="Arial" w:eastAsia="Times New Roman" w:hAnsi="Arial" w:cs="Arial"/>
          <w:iCs/>
          <w:color w:val="1F497D" w:themeColor="text2"/>
        </w:rPr>
        <w:t>Općine</w:t>
      </w:r>
      <w:r w:rsidR="00067547">
        <w:rPr>
          <w:rFonts w:ascii="Arial" w:eastAsia="Times New Roman" w:hAnsi="Arial" w:cs="Arial"/>
          <w:iCs/>
          <w:color w:val="1F497D" w:themeColor="text2"/>
        </w:rPr>
        <w:t xml:space="preserve"> se odnosi 2.267,77 €, a na proračunske korisnike 533,41 €</w:t>
      </w:r>
      <w:r w:rsidR="0021122B" w:rsidRPr="0021122B">
        <w:rPr>
          <w:rFonts w:ascii="Arial" w:eastAsia="Times New Roman" w:hAnsi="Arial" w:cs="Arial"/>
          <w:iCs/>
          <w:color w:val="1F497D" w:themeColor="text2"/>
        </w:rPr>
        <w:t>.</w:t>
      </w:r>
      <w:r w:rsidR="00CD3480" w:rsidRPr="0021122B">
        <w:rPr>
          <w:rFonts w:ascii="Arial" w:eastAsia="Times New Roman" w:hAnsi="Arial" w:cs="Arial"/>
          <w:iCs/>
          <w:color w:val="1F497D" w:themeColor="text2"/>
        </w:rPr>
        <w:t xml:space="preserve"> </w:t>
      </w:r>
      <w:r w:rsidR="007D45A7" w:rsidRPr="007D45A7">
        <w:rPr>
          <w:rFonts w:ascii="Arial" w:eastAsia="Times New Roman" w:hAnsi="Arial" w:cs="Arial"/>
          <w:iCs/>
        </w:rPr>
        <w:t>Vrijednosno najznačajnije o</w:t>
      </w:r>
      <w:r w:rsidRPr="007D45A7">
        <w:rPr>
          <w:rFonts w:ascii="Arial" w:eastAsia="Times New Roman" w:hAnsi="Arial" w:cs="Arial"/>
        </w:rPr>
        <w:t xml:space="preserve">ve naknade </w:t>
      </w:r>
      <w:r w:rsidRPr="007D45A7">
        <w:rPr>
          <w:rFonts w:ascii="Arial" w:eastAsia="Times New Roman" w:hAnsi="Arial" w:cs="Arial"/>
          <w:iCs/>
        </w:rPr>
        <w:t xml:space="preserve">(324) </w:t>
      </w:r>
      <w:r w:rsidR="007D45A7" w:rsidRPr="007D45A7">
        <w:rPr>
          <w:rFonts w:ascii="Arial" w:eastAsia="Times New Roman" w:hAnsi="Arial" w:cs="Arial"/>
          <w:iCs/>
        </w:rPr>
        <w:t xml:space="preserve">u iznosu </w:t>
      </w:r>
      <w:r w:rsidR="00067547">
        <w:rPr>
          <w:rFonts w:ascii="Arial" w:eastAsia="Times New Roman" w:hAnsi="Arial" w:cs="Arial"/>
          <w:iCs/>
        </w:rPr>
        <w:t>580,14</w:t>
      </w:r>
      <w:r w:rsidR="007D45A7" w:rsidRPr="007D45A7">
        <w:rPr>
          <w:rFonts w:ascii="Arial" w:eastAsia="Times New Roman" w:hAnsi="Arial" w:cs="Arial"/>
          <w:iCs/>
        </w:rPr>
        <w:t xml:space="preserve"> € </w:t>
      </w:r>
      <w:r w:rsidRPr="007D45A7">
        <w:rPr>
          <w:rFonts w:ascii="Arial" w:eastAsia="Times New Roman" w:hAnsi="Arial" w:cs="Arial"/>
          <w:iCs/>
        </w:rPr>
        <w:t>se</w:t>
      </w:r>
      <w:r w:rsidR="00441337" w:rsidRPr="007D45A7">
        <w:rPr>
          <w:rFonts w:ascii="Arial" w:eastAsia="Times New Roman" w:hAnsi="Arial" w:cs="Arial"/>
          <w:iCs/>
        </w:rPr>
        <w:t xml:space="preserve"> </w:t>
      </w:r>
      <w:r w:rsidRPr="007D45A7">
        <w:rPr>
          <w:rFonts w:ascii="Arial" w:eastAsia="Times New Roman" w:hAnsi="Arial" w:cs="Arial"/>
          <w:iCs/>
        </w:rPr>
        <w:t>odnose na rashode Općine</w:t>
      </w:r>
      <w:r w:rsidRPr="007D45A7">
        <w:rPr>
          <w:rFonts w:ascii="Arial" w:eastAsia="Times New Roman" w:hAnsi="Arial" w:cs="Arial"/>
        </w:rPr>
        <w:t xml:space="preserve"> (troškovi rada Dubrovačko-neretvanske županije, Upravnog odjela za prostorno uređenje, gradnju i zaštitu okoliša, Ispostava Gruda - putni troškovi izlaska na očevid)</w:t>
      </w:r>
      <w:r w:rsidR="002F04F1" w:rsidRPr="007D45A7">
        <w:rPr>
          <w:rFonts w:ascii="Arial" w:eastAsia="Times New Roman" w:hAnsi="Arial" w:cs="Arial"/>
        </w:rPr>
        <w:t>.</w:t>
      </w:r>
    </w:p>
    <w:p w14:paraId="127F0AEC" w14:textId="77777777" w:rsidR="00D968E2" w:rsidRPr="007D45A7"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4FA2620" w14:textId="6DBDDA9C" w:rsidR="00D968E2" w:rsidRPr="007D45A7"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7D45A7">
        <w:rPr>
          <w:rFonts w:ascii="Arial" w:eastAsia="Times New Roman" w:hAnsi="Arial" w:cs="Arial"/>
          <w:b/>
          <w:bCs/>
        </w:rPr>
        <w:t>Ostali nespomenuti rashodi poslovanja</w:t>
      </w:r>
      <w:r w:rsidRPr="007D45A7">
        <w:rPr>
          <w:rFonts w:ascii="Arial" w:eastAsia="Times New Roman" w:hAnsi="Arial" w:cs="Arial"/>
        </w:rPr>
        <w:t xml:space="preserve"> (329) izvršeni su u iznosu </w:t>
      </w:r>
      <w:r w:rsidR="00067547">
        <w:rPr>
          <w:rFonts w:ascii="Arial" w:eastAsia="Times New Roman" w:hAnsi="Arial" w:cs="Arial"/>
        </w:rPr>
        <w:t>115.006,31</w:t>
      </w:r>
      <w:r w:rsidR="002F04F1" w:rsidRPr="007D45A7">
        <w:rPr>
          <w:rFonts w:ascii="Arial" w:eastAsia="Times New Roman" w:hAnsi="Arial" w:cs="Arial"/>
        </w:rPr>
        <w:t xml:space="preserve"> €</w:t>
      </w:r>
      <w:r w:rsidRPr="007D45A7">
        <w:rPr>
          <w:rFonts w:ascii="Arial" w:eastAsia="Times New Roman" w:hAnsi="Arial" w:cs="Arial"/>
        </w:rPr>
        <w:t xml:space="preserve"> što je za </w:t>
      </w:r>
      <w:r w:rsidR="00067547">
        <w:rPr>
          <w:rFonts w:ascii="Arial" w:eastAsia="Times New Roman" w:hAnsi="Arial" w:cs="Arial"/>
        </w:rPr>
        <w:t>66.699,81</w:t>
      </w:r>
      <w:r w:rsidR="002F04F1" w:rsidRPr="007D45A7">
        <w:rPr>
          <w:rFonts w:ascii="Arial" w:eastAsia="Times New Roman" w:hAnsi="Arial" w:cs="Arial"/>
        </w:rPr>
        <w:t xml:space="preserve"> €</w:t>
      </w:r>
      <w:r w:rsidRPr="007D45A7">
        <w:rPr>
          <w:rFonts w:ascii="Arial" w:eastAsia="Times New Roman" w:hAnsi="Arial" w:cs="Arial"/>
        </w:rPr>
        <w:t xml:space="preserve"> ili </w:t>
      </w:r>
      <w:r w:rsidR="00067547">
        <w:rPr>
          <w:rFonts w:ascii="Arial" w:eastAsia="Times New Roman" w:hAnsi="Arial" w:cs="Arial"/>
        </w:rPr>
        <w:t>138,1</w:t>
      </w:r>
      <w:r w:rsidRPr="007D45A7">
        <w:rPr>
          <w:rFonts w:ascii="Arial" w:eastAsia="Times New Roman" w:hAnsi="Arial" w:cs="Arial"/>
        </w:rPr>
        <w:t xml:space="preserve">% više u odnosu na prethodnu godinu. </w:t>
      </w:r>
      <w:r w:rsidR="00AB2A1A" w:rsidRPr="00CD3480">
        <w:rPr>
          <w:rFonts w:ascii="Arial" w:eastAsia="Times New Roman" w:hAnsi="Arial" w:cs="Arial"/>
          <w:iCs/>
          <w:color w:val="1F497D" w:themeColor="text2"/>
        </w:rPr>
        <w:t xml:space="preserve">U okviru ovih rashoda (329) izvršeni su rashodi Općine u iznosu </w:t>
      </w:r>
      <w:r w:rsidR="00067547">
        <w:rPr>
          <w:rFonts w:ascii="Arial" w:eastAsia="Times New Roman" w:hAnsi="Arial" w:cs="Arial"/>
          <w:color w:val="1F497D" w:themeColor="text2"/>
        </w:rPr>
        <w:t>93.042,73</w:t>
      </w:r>
      <w:r w:rsidR="002F04F1" w:rsidRPr="00CD3480">
        <w:rPr>
          <w:rFonts w:ascii="Arial" w:eastAsia="Times New Roman" w:hAnsi="Arial" w:cs="Arial"/>
          <w:color w:val="1F497D" w:themeColor="text2"/>
        </w:rPr>
        <w:t xml:space="preserve"> €</w:t>
      </w:r>
      <w:r w:rsidR="00AB2A1A" w:rsidRPr="00CD3480">
        <w:rPr>
          <w:rFonts w:ascii="Arial" w:eastAsia="Times New Roman" w:hAnsi="Arial" w:cs="Arial"/>
          <w:iCs/>
          <w:color w:val="1F497D" w:themeColor="text2"/>
        </w:rPr>
        <w:t xml:space="preserve"> i rashodi proračunskih korisnika u iznosu </w:t>
      </w:r>
      <w:r w:rsidR="00067547">
        <w:rPr>
          <w:rFonts w:ascii="Arial" w:eastAsia="Times New Roman" w:hAnsi="Arial" w:cs="Arial"/>
          <w:iCs/>
          <w:color w:val="1F497D" w:themeColor="text2"/>
        </w:rPr>
        <w:t>21.963,58</w:t>
      </w:r>
      <w:r w:rsidR="002F04F1" w:rsidRPr="00CD3480">
        <w:rPr>
          <w:rFonts w:ascii="Arial" w:eastAsia="Times New Roman" w:hAnsi="Arial" w:cs="Arial"/>
          <w:iCs/>
          <w:color w:val="1F497D" w:themeColor="text2"/>
        </w:rPr>
        <w:t xml:space="preserve"> € </w:t>
      </w:r>
      <w:r w:rsidR="00AB2A1A" w:rsidRPr="007D45A7">
        <w:rPr>
          <w:rFonts w:ascii="Arial" w:eastAsia="Times New Roman" w:hAnsi="Arial" w:cs="Arial"/>
          <w:iCs/>
        </w:rPr>
        <w:t xml:space="preserve">(premije osiguranja i druge pristojbe i naknade). </w:t>
      </w:r>
    </w:p>
    <w:p w14:paraId="28F8F15D" w14:textId="38FC728F" w:rsidR="00AB2A1A" w:rsidRDefault="00EF4BC8" w:rsidP="00AB2A1A">
      <w:pPr>
        <w:spacing w:after="0" w:line="240" w:lineRule="auto"/>
        <w:jc w:val="both"/>
        <w:rPr>
          <w:rFonts w:ascii="Arial" w:eastAsia="Times New Roman" w:hAnsi="Arial" w:cs="Arial"/>
        </w:rPr>
      </w:pPr>
      <w:r>
        <w:rPr>
          <w:rFonts w:ascii="Arial" w:eastAsia="Times New Roman" w:hAnsi="Arial" w:cs="Arial"/>
        </w:rPr>
        <w:t>Rashodi Općine</w:t>
      </w:r>
      <w:r w:rsidR="00C17564" w:rsidRPr="00BE0561">
        <w:rPr>
          <w:rFonts w:ascii="Arial" w:eastAsia="Times New Roman" w:hAnsi="Arial" w:cs="Arial"/>
        </w:rPr>
        <w:t xml:space="preserve"> </w:t>
      </w:r>
      <w:r w:rsidR="00AB2A1A" w:rsidRPr="00BE0561">
        <w:rPr>
          <w:rFonts w:ascii="Arial" w:eastAsia="Times New Roman" w:hAnsi="Arial" w:cs="Arial"/>
        </w:rPr>
        <w:t xml:space="preserve">(329) se odnose na </w:t>
      </w:r>
      <w:r w:rsidR="00067547">
        <w:rPr>
          <w:rFonts w:ascii="Arial" w:eastAsia="Times New Roman" w:hAnsi="Arial" w:cs="Arial"/>
        </w:rPr>
        <w:t xml:space="preserve">naknade rada predstavničkog tijela i ostalih tijela (3291) </w:t>
      </w:r>
      <w:r>
        <w:rPr>
          <w:rFonts w:ascii="Arial" w:eastAsia="Times New Roman" w:hAnsi="Arial" w:cs="Arial"/>
        </w:rPr>
        <w:t>56.714,15</w:t>
      </w:r>
      <w:r w:rsidR="00067547">
        <w:rPr>
          <w:rFonts w:ascii="Arial" w:eastAsia="Times New Roman" w:hAnsi="Arial" w:cs="Arial"/>
        </w:rPr>
        <w:t xml:space="preserve"> € (</w:t>
      </w:r>
      <w:r w:rsidR="002F04F1" w:rsidRPr="00BE0561">
        <w:rPr>
          <w:rFonts w:ascii="Arial" w:eastAsia="Times New Roman" w:hAnsi="Arial" w:cs="Arial"/>
        </w:rPr>
        <w:t xml:space="preserve">naknade rada predstavničkog tijela </w:t>
      </w:r>
      <w:r w:rsidR="00067547">
        <w:rPr>
          <w:rFonts w:ascii="Arial" w:eastAsia="Times New Roman" w:hAnsi="Arial" w:cs="Arial"/>
        </w:rPr>
        <w:t>2.627,68</w:t>
      </w:r>
      <w:r w:rsidR="002F04F1" w:rsidRPr="00BE0561">
        <w:rPr>
          <w:rFonts w:ascii="Arial" w:eastAsia="Times New Roman" w:hAnsi="Arial" w:cs="Arial"/>
        </w:rPr>
        <w:t xml:space="preserve"> €, </w:t>
      </w:r>
      <w:r w:rsidR="00067547">
        <w:rPr>
          <w:rFonts w:ascii="Arial" w:eastAsia="Times New Roman" w:hAnsi="Arial" w:cs="Arial"/>
        </w:rPr>
        <w:t xml:space="preserve">troškove provedbe lokalnih izbora 53.509,12 € - naknade birački odbori i izborno povjerenstvo, naknade službenog puta članovima predstavničkog tijela 577,35 €), </w:t>
      </w:r>
      <w:r w:rsidR="00AB2A1A" w:rsidRPr="00BE0561">
        <w:rPr>
          <w:rFonts w:ascii="Arial" w:eastAsia="Times New Roman" w:hAnsi="Arial" w:cs="Arial"/>
        </w:rPr>
        <w:t xml:space="preserve">premije osiguranja (3292) </w:t>
      </w:r>
      <w:r w:rsidR="007E4013">
        <w:rPr>
          <w:rFonts w:ascii="Arial" w:eastAsia="Times New Roman" w:hAnsi="Arial" w:cs="Arial"/>
        </w:rPr>
        <w:t>7.539,02</w:t>
      </w:r>
      <w:r w:rsidR="002F04F1" w:rsidRPr="00BE0561">
        <w:rPr>
          <w:rFonts w:ascii="Arial" w:eastAsia="Times New Roman" w:hAnsi="Arial" w:cs="Arial"/>
        </w:rPr>
        <w:t xml:space="preserve"> €</w:t>
      </w:r>
      <w:r w:rsidR="00AB2A1A" w:rsidRPr="00BE0561">
        <w:rPr>
          <w:rFonts w:ascii="Arial" w:eastAsia="Times New Roman" w:hAnsi="Arial" w:cs="Arial"/>
        </w:rPr>
        <w:t xml:space="preserve">, reprezentaciju (3293) </w:t>
      </w:r>
      <w:r w:rsidR="007E4013">
        <w:rPr>
          <w:rFonts w:ascii="Arial" w:eastAsia="Times New Roman" w:hAnsi="Arial" w:cs="Arial"/>
        </w:rPr>
        <w:t>9.354,82</w:t>
      </w:r>
      <w:r w:rsidR="002F04F1" w:rsidRPr="00BE0561">
        <w:rPr>
          <w:rFonts w:ascii="Arial" w:eastAsia="Times New Roman" w:hAnsi="Arial" w:cs="Arial"/>
        </w:rPr>
        <w:t xml:space="preserve"> €</w:t>
      </w:r>
      <w:r w:rsidR="00AB2A1A" w:rsidRPr="00BE0561">
        <w:rPr>
          <w:rFonts w:ascii="Arial" w:eastAsia="Times New Roman" w:hAnsi="Arial" w:cs="Arial"/>
        </w:rPr>
        <w:t xml:space="preserve">, članarine (3294) </w:t>
      </w:r>
      <w:r w:rsidR="007E4013">
        <w:rPr>
          <w:rFonts w:ascii="Arial" w:eastAsia="Times New Roman" w:hAnsi="Arial" w:cs="Arial"/>
        </w:rPr>
        <w:t>4.918,87</w:t>
      </w:r>
      <w:r w:rsidR="002F04F1" w:rsidRPr="00BE0561">
        <w:rPr>
          <w:rFonts w:ascii="Arial" w:eastAsia="Times New Roman" w:hAnsi="Arial" w:cs="Arial"/>
        </w:rPr>
        <w:t xml:space="preserve"> €</w:t>
      </w:r>
      <w:r w:rsidR="00AB2A1A" w:rsidRPr="00BE0561">
        <w:rPr>
          <w:rFonts w:ascii="Arial" w:eastAsia="Times New Roman" w:hAnsi="Arial" w:cs="Arial"/>
        </w:rPr>
        <w:t xml:space="preserve">, pristojbe i naknade (3295) </w:t>
      </w:r>
      <w:r w:rsidR="007E4013">
        <w:rPr>
          <w:rFonts w:ascii="Arial" w:eastAsia="Times New Roman" w:hAnsi="Arial" w:cs="Arial"/>
        </w:rPr>
        <w:t>4.726,97</w:t>
      </w:r>
      <w:r w:rsidR="002F04F1" w:rsidRPr="00BE0561">
        <w:rPr>
          <w:rFonts w:ascii="Arial" w:eastAsia="Times New Roman" w:hAnsi="Arial" w:cs="Arial"/>
        </w:rPr>
        <w:t xml:space="preserve"> €</w:t>
      </w:r>
      <w:r w:rsidR="00AB2A1A" w:rsidRPr="00BE0561">
        <w:rPr>
          <w:rFonts w:ascii="Arial" w:eastAsia="Times New Roman" w:hAnsi="Arial" w:cs="Arial"/>
        </w:rPr>
        <w:t xml:space="preserve">, te ostale rashode poslovanja (3299) </w:t>
      </w:r>
      <w:r w:rsidR="007E4013">
        <w:rPr>
          <w:rFonts w:ascii="Arial" w:eastAsia="Times New Roman" w:hAnsi="Arial" w:cs="Arial"/>
        </w:rPr>
        <w:t>9.788,90</w:t>
      </w:r>
      <w:r w:rsidR="002F04F1" w:rsidRPr="00BE0561">
        <w:rPr>
          <w:rFonts w:ascii="Arial" w:eastAsia="Times New Roman" w:hAnsi="Arial" w:cs="Arial"/>
        </w:rPr>
        <w:t xml:space="preserve"> €</w:t>
      </w:r>
      <w:r w:rsidR="00AB2A1A" w:rsidRPr="00BE0561">
        <w:rPr>
          <w:rFonts w:ascii="Arial" w:eastAsia="Times New Roman" w:hAnsi="Arial" w:cs="Arial"/>
        </w:rPr>
        <w:t xml:space="preserve">. </w:t>
      </w:r>
    </w:p>
    <w:p w14:paraId="279471B1" w14:textId="1DAFADFA" w:rsidR="007E4013" w:rsidRPr="00BE0561" w:rsidRDefault="007E4013" w:rsidP="007E40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lastRenderedPageBreak/>
        <w:t xml:space="preserve">Rashodi proračunskih korisnika (329) iznose 21.963,58 €, od čega se vrijednosno značajniji odnose na naknade upravnim vijećima kod proračunskih korisnika 8.230,00 € (vrtić 4.068,40 € i dom za stare 4.161,60 €) i premije osiguranja 8.860,81 €. </w:t>
      </w:r>
    </w:p>
    <w:p w14:paraId="3982A450" w14:textId="04DA5C36" w:rsidR="007E4013" w:rsidRPr="00BE0561" w:rsidRDefault="007E4013" w:rsidP="00AB2A1A">
      <w:pPr>
        <w:spacing w:after="0" w:line="240" w:lineRule="auto"/>
        <w:jc w:val="both"/>
        <w:rPr>
          <w:rFonts w:ascii="Arial" w:eastAsia="Times New Roman" w:hAnsi="Arial" w:cs="Arial"/>
          <w:iCs/>
        </w:rPr>
      </w:pPr>
    </w:p>
    <w:p w14:paraId="3EFF66FE" w14:textId="14788142" w:rsidR="00790C2C" w:rsidRDefault="00790C2C" w:rsidP="002112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CD3480">
        <w:rPr>
          <w:rFonts w:ascii="Arial" w:eastAsia="Times New Roman" w:hAnsi="Arial" w:cs="Arial"/>
          <w:sz w:val="18"/>
          <w:szCs w:val="18"/>
        </w:rPr>
        <w:t xml:space="preserve">Od ožujka 2020. do studenoga 2021., nije bilo isplate naknada za rad vijećnicima općinskog vijeća, dok naknada za rad upravnih vijeća ustanova </w:t>
      </w:r>
      <w:r w:rsidR="002F04F1" w:rsidRPr="00CD3480">
        <w:rPr>
          <w:rFonts w:ascii="Arial" w:eastAsia="Times New Roman" w:hAnsi="Arial" w:cs="Arial"/>
          <w:sz w:val="18"/>
          <w:szCs w:val="18"/>
        </w:rPr>
        <w:t>nije bilo do konca 2022. godine</w:t>
      </w:r>
      <w:r w:rsidRPr="00CD3480">
        <w:rPr>
          <w:rFonts w:ascii="Arial" w:eastAsia="Times New Roman" w:hAnsi="Arial" w:cs="Arial"/>
          <w:sz w:val="18"/>
          <w:szCs w:val="18"/>
        </w:rPr>
        <w:t>. Naime, nastupanjem okolnosti smanjenih prihoda proračuna sve naknade za rad vijećnicima kao i članovima upravnih vijeća su ukinute u ožujku 2020. Općinsko vijeće je lipnju 2021. donijelo novu Odluku o naknadama vijećnicima Općinskog vijeća (Službeni glasnik Općine Konavle broj 5/2021) kojom su utvrđene naknade za rad u visini važeće dnevnice za službeni put u RH (naknada po održanoj sjednici). U 2021. godini je bila isplaćena naknada samo za jednu održanu sjednicu. U 2022. su isplaćene naknade za preostale održane sjednice iz 2021. godine, kao i iz 2022. godine.</w:t>
      </w:r>
      <w:r w:rsidR="00214D99" w:rsidRPr="00CD3480">
        <w:rPr>
          <w:sz w:val="18"/>
          <w:szCs w:val="18"/>
        </w:rPr>
        <w:t xml:space="preserve"> </w:t>
      </w:r>
      <w:r w:rsidR="00214D99" w:rsidRPr="00CD3480">
        <w:rPr>
          <w:rFonts w:ascii="Arial" w:eastAsia="Times New Roman" w:hAnsi="Arial" w:cs="Arial"/>
          <w:sz w:val="18"/>
          <w:szCs w:val="18"/>
        </w:rPr>
        <w:t>Odlukom Općinskog vijeća 28. lipnja 2023. godine naknada za rad člana općinskog vijeća za sudjelovanje na sjednici je 50 €, a predsjedniku 70 €.</w:t>
      </w:r>
      <w:r w:rsidR="002F04F1" w:rsidRPr="00CD3480">
        <w:rPr>
          <w:rFonts w:ascii="Arial" w:eastAsia="Times New Roman" w:hAnsi="Arial" w:cs="Arial"/>
          <w:sz w:val="18"/>
          <w:szCs w:val="18"/>
        </w:rPr>
        <w:t xml:space="preserve"> Od početka 2023. isplaćuje se naknada za rad upravnog vijeća dječjih vrtića</w:t>
      </w:r>
      <w:r w:rsidR="001C3B74" w:rsidRPr="00CD3480">
        <w:rPr>
          <w:rFonts w:ascii="Arial" w:eastAsia="Times New Roman" w:hAnsi="Arial" w:cs="Arial"/>
          <w:sz w:val="18"/>
          <w:szCs w:val="18"/>
        </w:rPr>
        <w:t xml:space="preserve"> i u 2024. godine iznosi </w:t>
      </w:r>
      <w:r w:rsidR="00BE0561" w:rsidRPr="00CD3480">
        <w:rPr>
          <w:rFonts w:ascii="Arial" w:eastAsia="Times New Roman" w:hAnsi="Arial" w:cs="Arial"/>
          <w:sz w:val="18"/>
          <w:szCs w:val="18"/>
        </w:rPr>
        <w:t>8.322,60</w:t>
      </w:r>
      <w:r w:rsidR="001C3B74" w:rsidRPr="00CD3480">
        <w:rPr>
          <w:rFonts w:ascii="Arial" w:eastAsia="Times New Roman" w:hAnsi="Arial" w:cs="Arial"/>
          <w:sz w:val="18"/>
          <w:szCs w:val="18"/>
        </w:rPr>
        <w:t xml:space="preserve"> € (u </w:t>
      </w:r>
      <w:r w:rsidR="002F04F1" w:rsidRPr="00CD3480">
        <w:rPr>
          <w:rFonts w:ascii="Arial" w:eastAsia="Times New Roman" w:hAnsi="Arial" w:cs="Arial"/>
          <w:sz w:val="18"/>
          <w:szCs w:val="18"/>
        </w:rPr>
        <w:t>2023. ovi rashodi iznos</w:t>
      </w:r>
      <w:r w:rsidR="001C3B74" w:rsidRPr="00CD3480">
        <w:rPr>
          <w:rFonts w:ascii="Arial" w:eastAsia="Times New Roman" w:hAnsi="Arial" w:cs="Arial"/>
          <w:sz w:val="18"/>
          <w:szCs w:val="18"/>
        </w:rPr>
        <w:t>ili</w:t>
      </w:r>
      <w:r w:rsidR="002F04F1" w:rsidRPr="00CD3480">
        <w:rPr>
          <w:rFonts w:ascii="Arial" w:eastAsia="Times New Roman" w:hAnsi="Arial" w:cs="Arial"/>
          <w:sz w:val="18"/>
          <w:szCs w:val="18"/>
        </w:rPr>
        <w:t xml:space="preserve"> </w:t>
      </w:r>
      <w:r w:rsidR="00FC25AA" w:rsidRPr="00CD3480">
        <w:rPr>
          <w:rFonts w:ascii="Arial" w:eastAsia="Times New Roman" w:hAnsi="Arial" w:cs="Arial"/>
          <w:sz w:val="18"/>
          <w:szCs w:val="18"/>
        </w:rPr>
        <w:t>7.824,75</w:t>
      </w:r>
      <w:r w:rsidR="002F04F1" w:rsidRPr="00CD3480">
        <w:rPr>
          <w:rFonts w:ascii="Arial" w:eastAsia="Times New Roman" w:hAnsi="Arial" w:cs="Arial"/>
          <w:sz w:val="18"/>
          <w:szCs w:val="18"/>
        </w:rPr>
        <w:t xml:space="preserve"> €</w:t>
      </w:r>
      <w:r w:rsidR="001C3B74" w:rsidRPr="00CD3480">
        <w:rPr>
          <w:rFonts w:ascii="Arial" w:eastAsia="Times New Roman" w:hAnsi="Arial" w:cs="Arial"/>
          <w:sz w:val="18"/>
          <w:szCs w:val="18"/>
        </w:rPr>
        <w:t>)</w:t>
      </w:r>
      <w:r w:rsidR="002F04F1" w:rsidRPr="00CD3480">
        <w:rPr>
          <w:rFonts w:ascii="Arial" w:eastAsia="Times New Roman" w:hAnsi="Arial" w:cs="Arial"/>
          <w:sz w:val="18"/>
          <w:szCs w:val="18"/>
        </w:rPr>
        <w:t>.</w:t>
      </w:r>
      <w:r w:rsidR="00FC25AA" w:rsidRPr="00CD3480">
        <w:rPr>
          <w:rFonts w:ascii="Arial" w:eastAsia="Times New Roman" w:hAnsi="Arial" w:cs="Arial"/>
          <w:sz w:val="18"/>
          <w:szCs w:val="18"/>
        </w:rPr>
        <w:t xml:space="preserve"> Naknada za rad članova upravnog vijeća u Domu za starije </w:t>
      </w:r>
      <w:r w:rsidR="001C3B74" w:rsidRPr="00CD3480">
        <w:rPr>
          <w:rFonts w:ascii="Arial" w:eastAsia="Times New Roman" w:hAnsi="Arial" w:cs="Arial"/>
          <w:sz w:val="18"/>
          <w:szCs w:val="18"/>
        </w:rPr>
        <w:t>u 2023. je iznosila</w:t>
      </w:r>
      <w:r w:rsidR="00FC25AA" w:rsidRPr="00CD3480">
        <w:rPr>
          <w:rFonts w:ascii="Arial" w:eastAsia="Times New Roman" w:hAnsi="Arial" w:cs="Arial"/>
          <w:sz w:val="18"/>
          <w:szCs w:val="18"/>
        </w:rPr>
        <w:t xml:space="preserve"> 8.536,80 €</w:t>
      </w:r>
      <w:r w:rsidR="001C3B74" w:rsidRPr="00CD3480">
        <w:rPr>
          <w:rFonts w:ascii="Arial" w:eastAsia="Times New Roman" w:hAnsi="Arial" w:cs="Arial"/>
          <w:sz w:val="18"/>
          <w:szCs w:val="18"/>
        </w:rPr>
        <w:t xml:space="preserve">, a u 2024. godine iznosi </w:t>
      </w:r>
      <w:r w:rsidR="00BE0561" w:rsidRPr="00CD3480">
        <w:rPr>
          <w:rFonts w:ascii="Arial" w:eastAsia="Times New Roman" w:hAnsi="Arial" w:cs="Arial"/>
          <w:sz w:val="18"/>
          <w:szCs w:val="18"/>
        </w:rPr>
        <w:t>8.323,20</w:t>
      </w:r>
      <w:r w:rsidR="001C3B74" w:rsidRPr="00CD3480">
        <w:rPr>
          <w:rFonts w:ascii="Arial" w:eastAsia="Times New Roman" w:hAnsi="Arial" w:cs="Arial"/>
          <w:sz w:val="18"/>
          <w:szCs w:val="18"/>
        </w:rPr>
        <w:t xml:space="preserve"> €</w:t>
      </w:r>
      <w:r w:rsidR="00FC25AA" w:rsidRPr="00CD3480">
        <w:rPr>
          <w:rFonts w:ascii="Arial" w:eastAsia="Times New Roman" w:hAnsi="Arial" w:cs="Arial"/>
          <w:sz w:val="18"/>
          <w:szCs w:val="18"/>
        </w:rPr>
        <w:t>.</w:t>
      </w:r>
    </w:p>
    <w:p w14:paraId="5A00CDA0" w14:textId="77777777" w:rsidR="007E4013" w:rsidRPr="00CD3480" w:rsidRDefault="007E4013" w:rsidP="002112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p>
    <w:p w14:paraId="6890E148" w14:textId="265B0B0E" w:rsidR="008976D7" w:rsidRPr="006D630F" w:rsidRDefault="001C3B74" w:rsidP="008976D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r w:rsidRPr="00BE0561">
        <w:rPr>
          <w:rFonts w:ascii="Arial" w:eastAsia="Times New Roman" w:hAnsi="Arial" w:cs="Arial"/>
        </w:rPr>
        <w:t>Sveukupno r</w:t>
      </w:r>
      <w:r w:rsidR="00C17564" w:rsidRPr="00BE0561">
        <w:rPr>
          <w:rFonts w:ascii="Arial" w:eastAsia="Times New Roman" w:hAnsi="Arial" w:cs="Arial"/>
        </w:rPr>
        <w:t xml:space="preserve">ashodi za premije osiguranja (3292) su ostvareni u iznosu </w:t>
      </w:r>
      <w:r w:rsidR="007E4013">
        <w:rPr>
          <w:rFonts w:ascii="Arial" w:eastAsia="Times New Roman" w:hAnsi="Arial" w:cs="Arial"/>
        </w:rPr>
        <w:t>16.399,83</w:t>
      </w:r>
      <w:r w:rsidR="00B16E53" w:rsidRPr="00BE0561">
        <w:rPr>
          <w:rFonts w:ascii="Arial" w:eastAsia="Times New Roman" w:hAnsi="Arial" w:cs="Arial"/>
        </w:rPr>
        <w:t xml:space="preserve"> €</w:t>
      </w:r>
      <w:r w:rsidR="00C17564" w:rsidRPr="00BE0561">
        <w:rPr>
          <w:rFonts w:ascii="Arial" w:eastAsia="Times New Roman" w:hAnsi="Arial" w:cs="Arial"/>
        </w:rPr>
        <w:t xml:space="preserve"> što je za </w:t>
      </w:r>
      <w:r w:rsidR="007E4013">
        <w:rPr>
          <w:rFonts w:ascii="Arial" w:eastAsia="Times New Roman" w:hAnsi="Arial" w:cs="Arial"/>
        </w:rPr>
        <w:t>6.473,15</w:t>
      </w:r>
      <w:r w:rsidRPr="00BE0561">
        <w:rPr>
          <w:rFonts w:ascii="Arial" w:eastAsia="Times New Roman" w:hAnsi="Arial" w:cs="Arial"/>
        </w:rPr>
        <w:t xml:space="preserve"> €</w:t>
      </w:r>
      <w:r w:rsidR="00C17564" w:rsidRPr="00BE0561">
        <w:rPr>
          <w:rFonts w:ascii="Arial" w:eastAsia="Times New Roman" w:hAnsi="Arial" w:cs="Arial"/>
        </w:rPr>
        <w:t xml:space="preserve"> ili </w:t>
      </w:r>
      <w:r w:rsidR="007E4013">
        <w:rPr>
          <w:rFonts w:ascii="Arial" w:eastAsia="Times New Roman" w:hAnsi="Arial" w:cs="Arial"/>
        </w:rPr>
        <w:t>65,2</w:t>
      </w:r>
      <w:r w:rsidR="00C17564" w:rsidRPr="00BE0561">
        <w:rPr>
          <w:rFonts w:ascii="Arial" w:eastAsia="Times New Roman" w:hAnsi="Arial" w:cs="Arial"/>
        </w:rPr>
        <w:t xml:space="preserve">% </w:t>
      </w:r>
      <w:r w:rsidR="00BE0561" w:rsidRPr="00BE0561">
        <w:rPr>
          <w:rFonts w:ascii="Arial" w:eastAsia="Times New Roman" w:hAnsi="Arial" w:cs="Arial"/>
        </w:rPr>
        <w:t>više</w:t>
      </w:r>
      <w:r w:rsidR="00C17564" w:rsidRPr="00BE0561">
        <w:rPr>
          <w:rFonts w:ascii="Arial" w:eastAsia="Times New Roman" w:hAnsi="Arial" w:cs="Arial"/>
        </w:rPr>
        <w:t xml:space="preserve"> od rashoda iskazanih u prethodnoj </w:t>
      </w:r>
      <w:r w:rsidR="00C17564" w:rsidRPr="006D630F">
        <w:rPr>
          <w:rFonts w:ascii="Arial" w:eastAsia="Times New Roman" w:hAnsi="Arial" w:cs="Arial"/>
        </w:rPr>
        <w:t xml:space="preserve">proračunskoj godini (osiguranje vozila, imovine). </w:t>
      </w:r>
      <w:r w:rsidR="008976D7" w:rsidRPr="006D630F">
        <w:rPr>
          <w:rFonts w:ascii="Arial" w:hAnsi="Arial" w:cs="Arial"/>
        </w:rPr>
        <w:t>U 202</w:t>
      </w:r>
      <w:r w:rsidR="007E4013">
        <w:rPr>
          <w:rFonts w:ascii="Arial" w:hAnsi="Arial" w:cs="Arial"/>
        </w:rPr>
        <w:t>5</w:t>
      </w:r>
      <w:r w:rsidR="008976D7" w:rsidRPr="006D630F">
        <w:rPr>
          <w:rFonts w:ascii="Arial" w:hAnsi="Arial" w:cs="Arial"/>
        </w:rPr>
        <w:t xml:space="preserve">., kao niti u </w:t>
      </w:r>
      <w:r w:rsidRPr="006D630F">
        <w:rPr>
          <w:rFonts w:ascii="Arial" w:hAnsi="Arial" w:cs="Arial"/>
        </w:rPr>
        <w:t xml:space="preserve">razdoblju </w:t>
      </w:r>
      <w:r w:rsidR="008976D7" w:rsidRPr="006D630F">
        <w:rPr>
          <w:rFonts w:ascii="Arial" w:hAnsi="Arial" w:cs="Arial"/>
        </w:rPr>
        <w:t>2020</w:t>
      </w:r>
      <w:r w:rsidRPr="006D630F">
        <w:rPr>
          <w:rFonts w:ascii="Arial" w:hAnsi="Arial" w:cs="Arial"/>
        </w:rPr>
        <w:t>-202</w:t>
      </w:r>
      <w:r w:rsidR="007E4013">
        <w:rPr>
          <w:rFonts w:ascii="Arial" w:hAnsi="Arial" w:cs="Arial"/>
        </w:rPr>
        <w:t>4</w:t>
      </w:r>
      <w:r w:rsidR="008976D7" w:rsidRPr="006D630F">
        <w:rPr>
          <w:rFonts w:ascii="Arial" w:hAnsi="Arial" w:cs="Arial"/>
        </w:rPr>
        <w:t>. nije bilo plaćanj</w:t>
      </w:r>
      <w:r w:rsidR="009F07E0">
        <w:rPr>
          <w:rFonts w:ascii="Arial" w:hAnsi="Arial" w:cs="Arial"/>
        </w:rPr>
        <w:t>a</w:t>
      </w:r>
      <w:r w:rsidR="008976D7" w:rsidRPr="006D630F">
        <w:rPr>
          <w:rFonts w:ascii="Arial" w:hAnsi="Arial" w:cs="Arial"/>
        </w:rPr>
        <w:t xml:space="preserve"> premije osiguranja zaposlenika</w:t>
      </w:r>
      <w:r w:rsidR="00AB007F" w:rsidRPr="006D630F">
        <w:rPr>
          <w:rFonts w:ascii="Arial" w:hAnsi="Arial" w:cs="Arial"/>
        </w:rPr>
        <w:t xml:space="preserve"> Općine</w:t>
      </w:r>
      <w:r w:rsidR="008976D7" w:rsidRPr="006D630F">
        <w:rPr>
          <w:rFonts w:ascii="Arial" w:hAnsi="Arial" w:cs="Arial"/>
        </w:rPr>
        <w:t>.</w:t>
      </w:r>
    </w:p>
    <w:p w14:paraId="1A367F7C" w14:textId="77777777" w:rsidR="008976D7" w:rsidRPr="004F2598" w:rsidRDefault="008976D7" w:rsidP="008976D7">
      <w:pPr>
        <w:autoSpaceDE w:val="0"/>
        <w:autoSpaceDN w:val="0"/>
        <w:adjustRightInd w:val="0"/>
        <w:spacing w:after="0" w:line="240" w:lineRule="auto"/>
        <w:jc w:val="both"/>
        <w:rPr>
          <w:rFonts w:ascii="Arial" w:eastAsia="Times New Roman" w:hAnsi="Arial" w:cs="Arial"/>
          <w:color w:val="000000" w:themeColor="text1"/>
        </w:rPr>
      </w:pPr>
    </w:p>
    <w:p w14:paraId="39FBD262" w14:textId="43BDE3F1" w:rsidR="00C17564" w:rsidRPr="00925528" w:rsidRDefault="00297592" w:rsidP="00C17564">
      <w:pPr>
        <w:autoSpaceDE w:val="0"/>
        <w:autoSpaceDN w:val="0"/>
        <w:adjustRightInd w:val="0"/>
        <w:spacing w:after="0" w:line="240" w:lineRule="auto"/>
        <w:jc w:val="both"/>
        <w:rPr>
          <w:rFonts w:ascii="Arial" w:eastAsia="Times New Roman" w:hAnsi="Arial" w:cs="Arial"/>
          <w:color w:val="000000" w:themeColor="text1"/>
        </w:rPr>
      </w:pPr>
      <w:r w:rsidRPr="00925528">
        <w:rPr>
          <w:rFonts w:ascii="Arial" w:eastAsia="Times New Roman" w:hAnsi="Arial" w:cs="Arial"/>
          <w:color w:val="000000" w:themeColor="text1"/>
        </w:rPr>
        <w:t>Rashodi za osiguranje</w:t>
      </w:r>
      <w:r w:rsidR="00C17564" w:rsidRPr="00925528">
        <w:rPr>
          <w:rFonts w:ascii="Arial" w:eastAsia="Times New Roman" w:hAnsi="Arial" w:cs="Arial"/>
          <w:color w:val="000000" w:themeColor="text1"/>
        </w:rPr>
        <w:t xml:space="preserve"> se odnose na rashode osiguranja prijevoznih sredstava i općinske imovine </w:t>
      </w:r>
      <w:r w:rsidR="004F2598" w:rsidRPr="00925528">
        <w:rPr>
          <w:rFonts w:ascii="Arial" w:eastAsia="Times New Roman" w:hAnsi="Arial" w:cs="Arial"/>
          <w:color w:val="000000" w:themeColor="text1"/>
        </w:rPr>
        <w:t>7.539,02</w:t>
      </w:r>
      <w:r w:rsidR="00D6328B" w:rsidRPr="00925528">
        <w:rPr>
          <w:rFonts w:ascii="Arial" w:eastAsia="Times New Roman" w:hAnsi="Arial" w:cs="Arial"/>
          <w:color w:val="000000" w:themeColor="text1"/>
        </w:rPr>
        <w:t xml:space="preserve"> </w:t>
      </w:r>
      <w:r w:rsidRPr="00925528">
        <w:rPr>
          <w:rFonts w:ascii="Arial" w:eastAsia="Times New Roman" w:hAnsi="Arial" w:cs="Arial"/>
          <w:color w:val="000000" w:themeColor="text1"/>
        </w:rPr>
        <w:t>€</w:t>
      </w:r>
      <w:r w:rsidR="00C17564" w:rsidRPr="00925528">
        <w:rPr>
          <w:rFonts w:ascii="Arial" w:eastAsia="Times New Roman" w:hAnsi="Arial" w:cs="Arial"/>
          <w:color w:val="000000" w:themeColor="text1"/>
        </w:rPr>
        <w:t xml:space="preserve">, te rashode proračunskih korisnika </w:t>
      </w:r>
      <w:r w:rsidR="004F2598" w:rsidRPr="00925528">
        <w:rPr>
          <w:rFonts w:ascii="Arial" w:eastAsia="Times New Roman" w:hAnsi="Arial" w:cs="Arial"/>
          <w:color w:val="000000" w:themeColor="text1"/>
        </w:rPr>
        <w:t>8.860,81</w:t>
      </w:r>
      <w:r w:rsidRPr="00925528">
        <w:rPr>
          <w:rFonts w:ascii="Arial" w:eastAsia="Times New Roman" w:hAnsi="Arial" w:cs="Arial"/>
          <w:color w:val="000000" w:themeColor="text1"/>
        </w:rPr>
        <w:t xml:space="preserve"> €</w:t>
      </w:r>
      <w:r w:rsidR="00C17564" w:rsidRPr="00925528">
        <w:rPr>
          <w:rFonts w:ascii="Arial" w:eastAsia="Times New Roman" w:hAnsi="Arial" w:cs="Arial"/>
          <w:color w:val="000000" w:themeColor="text1"/>
        </w:rPr>
        <w:t xml:space="preserve">. Vrijednosno najznačajniji pojedinačni iznos police odnosi se na plaćanje premije osiguranja imovine. U Općini je to medicinska oprema kardiološke ambulante </w:t>
      </w:r>
      <w:r w:rsidR="004F2598" w:rsidRPr="00925528">
        <w:rPr>
          <w:rFonts w:ascii="Arial" w:eastAsia="Times New Roman" w:hAnsi="Arial" w:cs="Arial"/>
          <w:color w:val="000000" w:themeColor="text1"/>
        </w:rPr>
        <w:t>1.227,24</w:t>
      </w:r>
      <w:r w:rsidRPr="00925528">
        <w:rPr>
          <w:rFonts w:ascii="Arial" w:eastAsia="Times New Roman" w:hAnsi="Arial" w:cs="Arial"/>
          <w:color w:val="000000" w:themeColor="text1"/>
        </w:rPr>
        <w:t xml:space="preserve"> €</w:t>
      </w:r>
      <w:r w:rsidR="001172CB" w:rsidRPr="00925528">
        <w:rPr>
          <w:rFonts w:ascii="Arial" w:eastAsia="Times New Roman" w:hAnsi="Arial" w:cs="Arial"/>
          <w:color w:val="000000" w:themeColor="text1"/>
        </w:rPr>
        <w:t>,</w:t>
      </w:r>
      <w:r w:rsidR="00C17564" w:rsidRPr="00925528">
        <w:rPr>
          <w:rFonts w:ascii="Arial" w:eastAsia="Times New Roman" w:hAnsi="Arial" w:cs="Arial"/>
          <w:color w:val="000000" w:themeColor="text1"/>
        </w:rPr>
        <w:t xml:space="preserve"> </w:t>
      </w:r>
      <w:r w:rsidR="004F2598" w:rsidRPr="00925528">
        <w:rPr>
          <w:rFonts w:ascii="Arial" w:eastAsia="Times New Roman" w:hAnsi="Arial" w:cs="Arial"/>
          <w:color w:val="000000" w:themeColor="text1"/>
        </w:rPr>
        <w:t xml:space="preserve">osiguranje novog komunalnog vozila </w:t>
      </w:r>
      <w:r w:rsidR="00925528" w:rsidRPr="00925528">
        <w:rPr>
          <w:rFonts w:ascii="Arial" w:eastAsia="Times New Roman" w:hAnsi="Arial" w:cs="Arial"/>
          <w:color w:val="000000" w:themeColor="text1"/>
        </w:rPr>
        <w:t>3.826,39</w:t>
      </w:r>
      <w:r w:rsidR="004F2598" w:rsidRPr="00925528">
        <w:rPr>
          <w:rFonts w:ascii="Arial" w:eastAsia="Times New Roman" w:hAnsi="Arial" w:cs="Arial"/>
          <w:color w:val="000000" w:themeColor="text1"/>
        </w:rPr>
        <w:t xml:space="preserve"> € (vozilo dano na korištenje društvu u vlasništvu), </w:t>
      </w:r>
      <w:r w:rsidR="00C17564" w:rsidRPr="00925528">
        <w:rPr>
          <w:rFonts w:ascii="Arial" w:eastAsia="Times New Roman" w:hAnsi="Arial" w:cs="Arial"/>
          <w:color w:val="000000" w:themeColor="text1"/>
        </w:rPr>
        <w:t xml:space="preserve">osiguranje u iznosu </w:t>
      </w:r>
      <w:r w:rsidR="004F2598" w:rsidRPr="00925528">
        <w:rPr>
          <w:rFonts w:ascii="Arial" w:eastAsia="Times New Roman" w:hAnsi="Arial" w:cs="Arial"/>
          <w:color w:val="000000" w:themeColor="text1"/>
        </w:rPr>
        <w:t>1.816,88</w:t>
      </w:r>
      <w:r w:rsidRPr="00925528">
        <w:rPr>
          <w:rFonts w:ascii="Arial" w:eastAsia="Times New Roman" w:hAnsi="Arial" w:cs="Arial"/>
          <w:color w:val="000000" w:themeColor="text1"/>
        </w:rPr>
        <w:t xml:space="preserve"> €</w:t>
      </w:r>
      <w:r w:rsidR="00C17564" w:rsidRPr="00925528">
        <w:rPr>
          <w:rFonts w:ascii="Arial" w:eastAsia="Times New Roman" w:hAnsi="Arial" w:cs="Arial"/>
          <w:color w:val="000000" w:themeColor="text1"/>
        </w:rPr>
        <w:t xml:space="preserve"> višenamjenske cisterne za vodu koja je 2019. godine dobivena na korištenje od Ministarstva gospodarstva, poduzetništva i obrta (koristi Javna vatrogasna postrojba)</w:t>
      </w:r>
      <w:r w:rsidRPr="00925528">
        <w:rPr>
          <w:rFonts w:ascii="Arial" w:eastAsia="Times New Roman" w:hAnsi="Arial" w:cs="Arial"/>
          <w:color w:val="000000" w:themeColor="text1"/>
        </w:rPr>
        <w:t xml:space="preserve">, osiguranje </w:t>
      </w:r>
      <w:r w:rsidR="004F2598" w:rsidRPr="00925528">
        <w:rPr>
          <w:rFonts w:ascii="Arial" w:eastAsia="Times New Roman" w:hAnsi="Arial" w:cs="Arial"/>
          <w:color w:val="000000" w:themeColor="text1"/>
        </w:rPr>
        <w:t xml:space="preserve">dva </w:t>
      </w:r>
      <w:r w:rsidRPr="00925528">
        <w:rPr>
          <w:rFonts w:ascii="Arial" w:eastAsia="Times New Roman" w:hAnsi="Arial" w:cs="Arial"/>
          <w:color w:val="000000" w:themeColor="text1"/>
        </w:rPr>
        <w:t xml:space="preserve">vozila Općine </w:t>
      </w:r>
      <w:r w:rsidR="004F2598" w:rsidRPr="00925528">
        <w:rPr>
          <w:rFonts w:ascii="Arial" w:eastAsia="Times New Roman" w:hAnsi="Arial" w:cs="Arial"/>
          <w:color w:val="000000" w:themeColor="text1"/>
        </w:rPr>
        <w:t>548,67</w:t>
      </w:r>
      <w:r w:rsidRPr="00925528">
        <w:rPr>
          <w:rFonts w:ascii="Arial" w:eastAsia="Times New Roman" w:hAnsi="Arial" w:cs="Arial"/>
          <w:color w:val="000000" w:themeColor="text1"/>
        </w:rPr>
        <w:t xml:space="preserve"> €, osiguranje malog terenskog vozila (ATV) koje je nabavljeno iz projekta ĆIRO II u iznosu </w:t>
      </w:r>
      <w:r w:rsidR="004F2598" w:rsidRPr="00925528">
        <w:rPr>
          <w:rFonts w:ascii="Arial" w:eastAsia="Times New Roman" w:hAnsi="Arial" w:cs="Arial"/>
          <w:color w:val="000000" w:themeColor="text1"/>
        </w:rPr>
        <w:t>119,84</w:t>
      </w:r>
      <w:r w:rsidRPr="00925528">
        <w:rPr>
          <w:rFonts w:ascii="Arial" w:eastAsia="Times New Roman" w:hAnsi="Arial" w:cs="Arial"/>
          <w:color w:val="000000" w:themeColor="text1"/>
        </w:rPr>
        <w:t xml:space="preserve"> €</w:t>
      </w:r>
      <w:r w:rsidR="00991585" w:rsidRPr="00925528">
        <w:rPr>
          <w:rFonts w:ascii="Arial" w:eastAsia="Times New Roman" w:hAnsi="Arial" w:cs="Arial"/>
          <w:color w:val="000000" w:themeColor="text1"/>
        </w:rPr>
        <w:t xml:space="preserve">, osiguranje </w:t>
      </w:r>
      <w:r w:rsidR="00613ADB" w:rsidRPr="00925528">
        <w:rPr>
          <w:rFonts w:ascii="Arial" w:eastAsia="Times New Roman" w:hAnsi="Arial" w:cs="Arial"/>
          <w:color w:val="000000" w:themeColor="text1"/>
        </w:rPr>
        <w:t xml:space="preserve">vatrogasnog kamiona nabavljenog iz projekta Flood &amp; fire </w:t>
      </w:r>
      <w:r w:rsidR="00925528" w:rsidRPr="00925528">
        <w:rPr>
          <w:rFonts w:ascii="Arial" w:eastAsia="Times New Roman" w:hAnsi="Arial" w:cs="Arial"/>
          <w:color w:val="000000" w:themeColor="text1"/>
        </w:rPr>
        <w:t>0</w:t>
      </w:r>
      <w:r w:rsidR="00613ADB" w:rsidRPr="00925528">
        <w:rPr>
          <w:rFonts w:ascii="Arial" w:eastAsia="Times New Roman" w:hAnsi="Arial" w:cs="Arial"/>
          <w:color w:val="000000" w:themeColor="text1"/>
        </w:rPr>
        <w:t xml:space="preserve"> €</w:t>
      </w:r>
      <w:r w:rsidR="00C63097" w:rsidRPr="00925528">
        <w:rPr>
          <w:rFonts w:ascii="Arial" w:eastAsia="Times New Roman" w:hAnsi="Arial" w:cs="Arial"/>
          <w:color w:val="000000" w:themeColor="text1"/>
        </w:rPr>
        <w:t xml:space="preserve"> i drugo</w:t>
      </w:r>
      <w:r w:rsidR="00C17564" w:rsidRPr="00925528">
        <w:rPr>
          <w:rFonts w:ascii="Arial" w:eastAsia="Times New Roman" w:hAnsi="Arial" w:cs="Arial"/>
          <w:color w:val="000000" w:themeColor="text1"/>
        </w:rPr>
        <w:t xml:space="preserve">. Kod proračunskih korisnika vrijednosno najznačajniji rashodi odnose se na osiguranje imovine i opreme doma za starije i nemoćne osobe </w:t>
      </w:r>
      <w:r w:rsidR="00925528" w:rsidRPr="00925528">
        <w:rPr>
          <w:rFonts w:ascii="Arial" w:eastAsia="Times New Roman" w:hAnsi="Arial" w:cs="Arial"/>
          <w:color w:val="000000" w:themeColor="text1"/>
        </w:rPr>
        <w:t xml:space="preserve">4.782,23 </w:t>
      </w:r>
      <w:r w:rsidRPr="00925528">
        <w:rPr>
          <w:rFonts w:ascii="Arial" w:eastAsia="Times New Roman" w:hAnsi="Arial" w:cs="Arial"/>
          <w:color w:val="000000" w:themeColor="text1"/>
        </w:rPr>
        <w:t>€</w:t>
      </w:r>
      <w:r w:rsidR="00C17564" w:rsidRPr="00925528">
        <w:rPr>
          <w:rFonts w:ascii="Arial" w:eastAsia="Times New Roman" w:hAnsi="Arial" w:cs="Arial"/>
          <w:color w:val="000000" w:themeColor="text1"/>
        </w:rPr>
        <w:t xml:space="preserve"> (osiguranje zgrade koja je dana na korištenje Domu, ali je u vlasništvu Općine, te osiguranje opreme koja je u dana u vlasništvo Domu).</w:t>
      </w:r>
    </w:p>
    <w:p w14:paraId="0CC2D7B7" w14:textId="77777777" w:rsidR="00C17564" w:rsidRPr="006D630F" w:rsidRDefault="00C17564" w:rsidP="00C175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AEC20A6" w14:textId="73B119B5" w:rsidR="008976D7" w:rsidRPr="006D630F" w:rsidRDefault="00D968E2" w:rsidP="008976D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r w:rsidRPr="006D630F">
        <w:rPr>
          <w:rFonts w:ascii="Arial" w:eastAsia="Times New Roman" w:hAnsi="Arial" w:cs="Arial"/>
        </w:rPr>
        <w:t xml:space="preserve">Rashodi za reprezentaciju (3293) ostvareni su u iznosu </w:t>
      </w:r>
      <w:r w:rsidR="00925528">
        <w:rPr>
          <w:rFonts w:ascii="Arial" w:eastAsia="Times New Roman" w:hAnsi="Arial" w:cs="Arial"/>
        </w:rPr>
        <w:t>13.138,95</w:t>
      </w:r>
      <w:r w:rsidR="00297592" w:rsidRPr="006D630F">
        <w:rPr>
          <w:rFonts w:ascii="Arial" w:eastAsia="Times New Roman" w:hAnsi="Arial" w:cs="Arial"/>
        </w:rPr>
        <w:t xml:space="preserve"> €</w:t>
      </w:r>
      <w:r w:rsidRPr="006D630F">
        <w:rPr>
          <w:rFonts w:ascii="Arial" w:eastAsia="Times New Roman" w:hAnsi="Arial" w:cs="Arial"/>
        </w:rPr>
        <w:t xml:space="preserve"> što je za </w:t>
      </w:r>
      <w:r w:rsidR="00925528">
        <w:rPr>
          <w:rFonts w:ascii="Arial" w:eastAsia="Times New Roman" w:hAnsi="Arial" w:cs="Arial"/>
        </w:rPr>
        <w:t>2.734,33</w:t>
      </w:r>
      <w:r w:rsidR="006D630F" w:rsidRPr="006D630F">
        <w:rPr>
          <w:rFonts w:ascii="Arial" w:eastAsia="Times New Roman" w:hAnsi="Arial" w:cs="Arial"/>
        </w:rPr>
        <w:t xml:space="preserve"> </w:t>
      </w:r>
      <w:r w:rsidR="00297592" w:rsidRPr="006D630F">
        <w:rPr>
          <w:rFonts w:ascii="Arial" w:eastAsia="Times New Roman" w:hAnsi="Arial" w:cs="Arial"/>
        </w:rPr>
        <w:t>€</w:t>
      </w:r>
      <w:r w:rsidRPr="006D630F">
        <w:rPr>
          <w:rFonts w:ascii="Arial" w:eastAsia="Times New Roman" w:hAnsi="Arial" w:cs="Arial"/>
        </w:rPr>
        <w:t xml:space="preserve"> </w:t>
      </w:r>
      <w:r w:rsidR="00B95528" w:rsidRPr="006D630F">
        <w:rPr>
          <w:rFonts w:ascii="Arial" w:eastAsia="Times New Roman" w:hAnsi="Arial" w:cs="Arial"/>
        </w:rPr>
        <w:t>više</w:t>
      </w:r>
      <w:r w:rsidRPr="006D630F">
        <w:rPr>
          <w:rFonts w:ascii="Arial" w:eastAsia="Times New Roman" w:hAnsi="Arial" w:cs="Arial"/>
        </w:rPr>
        <w:t xml:space="preserve"> nego prethodne godine. </w:t>
      </w:r>
      <w:r w:rsidR="008976D7" w:rsidRPr="006D630F">
        <w:rPr>
          <w:rFonts w:ascii="Arial" w:hAnsi="Arial" w:cs="Arial"/>
        </w:rPr>
        <w:t xml:space="preserve">Vrijednosno najznačajniji ovi rashodi se odnose na restoranske usluge prigodom obilježavanja </w:t>
      </w:r>
      <w:r w:rsidR="00C07967" w:rsidRPr="006D630F">
        <w:rPr>
          <w:rFonts w:ascii="Arial" w:hAnsi="Arial" w:cs="Arial"/>
        </w:rPr>
        <w:t xml:space="preserve">božićnih </w:t>
      </w:r>
      <w:r w:rsidR="008976D7" w:rsidRPr="006D630F">
        <w:rPr>
          <w:rFonts w:ascii="Arial" w:hAnsi="Arial" w:cs="Arial"/>
        </w:rPr>
        <w:t>blagdana te drugi rashodi povodom obilježavanja blagdana, obljetnica</w:t>
      </w:r>
      <w:r w:rsidR="00C07967" w:rsidRPr="006D630F">
        <w:rPr>
          <w:rFonts w:ascii="Arial" w:hAnsi="Arial" w:cs="Arial"/>
        </w:rPr>
        <w:t>, protokolarnih posjeta</w:t>
      </w:r>
      <w:r w:rsidR="008976D7" w:rsidRPr="006D630F">
        <w:rPr>
          <w:rFonts w:ascii="Arial" w:hAnsi="Arial" w:cs="Arial"/>
        </w:rPr>
        <w:t xml:space="preserve"> i slično. </w:t>
      </w:r>
      <w:r w:rsidR="00C07967" w:rsidRPr="006D630F">
        <w:rPr>
          <w:rFonts w:ascii="Arial" w:hAnsi="Arial" w:cs="Arial"/>
        </w:rPr>
        <w:t>Rashode za obilježavanje Dana Općine se izvršavaju u drugoj polovici</w:t>
      </w:r>
      <w:r w:rsidR="00925528">
        <w:rPr>
          <w:rFonts w:ascii="Arial" w:hAnsi="Arial" w:cs="Arial"/>
        </w:rPr>
        <w:t xml:space="preserve"> godine</w:t>
      </w:r>
      <w:r w:rsidR="00C07967" w:rsidRPr="006D630F">
        <w:rPr>
          <w:rFonts w:ascii="Arial" w:hAnsi="Arial" w:cs="Arial"/>
        </w:rPr>
        <w:t xml:space="preserve">. Rashodi Općine iznose </w:t>
      </w:r>
      <w:r w:rsidR="00925528">
        <w:rPr>
          <w:rFonts w:ascii="Arial" w:hAnsi="Arial" w:cs="Arial"/>
        </w:rPr>
        <w:t>9.354,82</w:t>
      </w:r>
      <w:r w:rsidR="00C07967" w:rsidRPr="006D630F">
        <w:rPr>
          <w:rFonts w:ascii="Arial" w:hAnsi="Arial" w:cs="Arial"/>
        </w:rPr>
        <w:t xml:space="preserve"> €, a rashodi proračunskih korisnika </w:t>
      </w:r>
      <w:r w:rsidR="00925528">
        <w:rPr>
          <w:rFonts w:ascii="Arial" w:hAnsi="Arial" w:cs="Arial"/>
        </w:rPr>
        <w:t>3.784,13</w:t>
      </w:r>
      <w:r w:rsidR="00C07967" w:rsidRPr="006D630F">
        <w:rPr>
          <w:rFonts w:ascii="Arial" w:hAnsi="Arial" w:cs="Arial"/>
        </w:rPr>
        <w:t xml:space="preserve"> €.</w:t>
      </w:r>
    </w:p>
    <w:p w14:paraId="7F632AF1" w14:textId="4FAD67C8" w:rsidR="00C17564" w:rsidRPr="006D630F" w:rsidRDefault="00C17564" w:rsidP="008976D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D21AAC2" w14:textId="20AF3399" w:rsidR="00C17564" w:rsidRPr="006D630F" w:rsidRDefault="00C17564" w:rsidP="008976D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6D630F">
        <w:rPr>
          <w:rFonts w:ascii="Arial" w:eastAsia="Times New Roman" w:hAnsi="Arial" w:cs="Arial"/>
        </w:rPr>
        <w:t xml:space="preserve">Rashodi za članarine (3294) su ostvareni u iznosu </w:t>
      </w:r>
      <w:r w:rsidR="00925528">
        <w:rPr>
          <w:rFonts w:ascii="Arial" w:eastAsia="Times New Roman" w:hAnsi="Arial" w:cs="Arial"/>
        </w:rPr>
        <w:t>5.238,87</w:t>
      </w:r>
      <w:r w:rsidR="00297592" w:rsidRPr="006D630F">
        <w:rPr>
          <w:rFonts w:ascii="Arial" w:eastAsia="Times New Roman" w:hAnsi="Arial" w:cs="Arial"/>
        </w:rPr>
        <w:t xml:space="preserve"> €</w:t>
      </w:r>
      <w:r w:rsidRPr="006D630F">
        <w:rPr>
          <w:rFonts w:ascii="Arial" w:eastAsia="Times New Roman" w:hAnsi="Arial" w:cs="Arial"/>
        </w:rPr>
        <w:t>, od čega se odnose na rashode Općine</w:t>
      </w:r>
      <w:r w:rsidR="007D335E" w:rsidRPr="006D630F">
        <w:rPr>
          <w:rFonts w:ascii="Arial" w:eastAsia="Times New Roman" w:hAnsi="Arial" w:cs="Arial"/>
        </w:rPr>
        <w:t xml:space="preserve"> </w:t>
      </w:r>
      <w:r w:rsidR="00925528">
        <w:rPr>
          <w:rFonts w:ascii="Arial" w:eastAsia="Times New Roman" w:hAnsi="Arial" w:cs="Arial"/>
        </w:rPr>
        <w:t>4.918,87</w:t>
      </w:r>
      <w:r w:rsidR="007D335E" w:rsidRPr="006D630F">
        <w:rPr>
          <w:rFonts w:ascii="Arial" w:eastAsia="Times New Roman" w:hAnsi="Arial" w:cs="Arial"/>
        </w:rPr>
        <w:t xml:space="preserve"> €</w:t>
      </w:r>
      <w:r w:rsidRPr="006D630F">
        <w:rPr>
          <w:rFonts w:ascii="Arial" w:eastAsia="Times New Roman" w:hAnsi="Arial" w:cs="Arial"/>
        </w:rPr>
        <w:t xml:space="preserve"> (članarina Zajednica Općina</w:t>
      </w:r>
      <w:r w:rsidR="007D335E" w:rsidRPr="006D630F">
        <w:rPr>
          <w:rFonts w:ascii="Arial" w:eastAsia="Times New Roman" w:hAnsi="Arial" w:cs="Arial"/>
        </w:rPr>
        <w:t>, članarina Lokalna akcijska skupina u ribarstvu</w:t>
      </w:r>
      <w:r w:rsidR="00C07967" w:rsidRPr="006D630F">
        <w:rPr>
          <w:rFonts w:ascii="Arial" w:eastAsia="Times New Roman" w:hAnsi="Arial" w:cs="Arial"/>
        </w:rPr>
        <w:t>,</w:t>
      </w:r>
      <w:r w:rsidR="007D335E" w:rsidRPr="006D630F">
        <w:rPr>
          <w:rFonts w:ascii="Arial" w:eastAsia="Times New Roman" w:hAnsi="Arial" w:cs="Arial"/>
        </w:rPr>
        <w:t xml:space="preserve"> članarina lokalna akcijska grupa Dubrovačka traversa)</w:t>
      </w:r>
      <w:r w:rsidRPr="006D630F">
        <w:rPr>
          <w:rFonts w:ascii="Arial" w:eastAsia="Times New Roman" w:hAnsi="Arial" w:cs="Arial"/>
        </w:rPr>
        <w:t xml:space="preserve">, a </w:t>
      </w:r>
      <w:r w:rsidR="006D630F" w:rsidRPr="006D630F">
        <w:rPr>
          <w:rFonts w:ascii="Arial" w:eastAsia="Times New Roman" w:hAnsi="Arial" w:cs="Arial"/>
        </w:rPr>
        <w:t>320</w:t>
      </w:r>
      <w:r w:rsidR="007D335E" w:rsidRPr="006D630F">
        <w:rPr>
          <w:rFonts w:ascii="Arial" w:eastAsia="Times New Roman" w:hAnsi="Arial" w:cs="Arial"/>
        </w:rPr>
        <w:t xml:space="preserve"> €</w:t>
      </w:r>
      <w:r w:rsidRPr="006D630F">
        <w:rPr>
          <w:rFonts w:ascii="Arial" w:eastAsia="Times New Roman" w:hAnsi="Arial" w:cs="Arial"/>
        </w:rPr>
        <w:t xml:space="preserve"> na proračunsk</w:t>
      </w:r>
      <w:r w:rsidR="007D335E" w:rsidRPr="006D630F">
        <w:rPr>
          <w:rFonts w:ascii="Arial" w:eastAsia="Times New Roman" w:hAnsi="Arial" w:cs="Arial"/>
        </w:rPr>
        <w:t>og korisnika</w:t>
      </w:r>
      <w:r w:rsidRPr="006D630F">
        <w:rPr>
          <w:rFonts w:ascii="Arial" w:eastAsia="Times New Roman" w:hAnsi="Arial" w:cs="Arial"/>
        </w:rPr>
        <w:t xml:space="preserve">. </w:t>
      </w:r>
    </w:p>
    <w:p w14:paraId="71195B5A" w14:textId="77777777" w:rsidR="00D968E2" w:rsidRPr="006D630F"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CF9F5B7" w14:textId="094BC949" w:rsidR="004456F7" w:rsidRPr="006D630F"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6D630F">
        <w:rPr>
          <w:rFonts w:ascii="Arial" w:eastAsia="Times New Roman" w:hAnsi="Arial" w:cs="Arial"/>
        </w:rPr>
        <w:t xml:space="preserve">Rashodi za pristojbe i naknade (3295) su ostvareni u iznosu </w:t>
      </w:r>
      <w:r w:rsidR="00925528">
        <w:rPr>
          <w:rFonts w:ascii="Arial" w:eastAsia="Times New Roman" w:hAnsi="Arial" w:cs="Arial"/>
        </w:rPr>
        <w:t>5.158,61</w:t>
      </w:r>
      <w:r w:rsidR="007D335E" w:rsidRPr="006D630F">
        <w:rPr>
          <w:rFonts w:ascii="Arial" w:eastAsia="Times New Roman" w:hAnsi="Arial" w:cs="Arial"/>
        </w:rPr>
        <w:t xml:space="preserve"> €</w:t>
      </w:r>
      <w:r w:rsidRPr="006D630F">
        <w:rPr>
          <w:rFonts w:ascii="Arial" w:eastAsia="Times New Roman" w:hAnsi="Arial" w:cs="Arial"/>
        </w:rPr>
        <w:t xml:space="preserve"> što je </w:t>
      </w:r>
      <w:r w:rsidR="006D630F" w:rsidRPr="006D630F">
        <w:rPr>
          <w:rFonts w:ascii="Arial" w:eastAsia="Times New Roman" w:hAnsi="Arial" w:cs="Arial"/>
        </w:rPr>
        <w:t>više</w:t>
      </w:r>
      <w:r w:rsidRPr="006D630F">
        <w:rPr>
          <w:rFonts w:ascii="Arial" w:eastAsia="Times New Roman" w:hAnsi="Arial" w:cs="Arial"/>
        </w:rPr>
        <w:t xml:space="preserve"> za </w:t>
      </w:r>
      <w:r w:rsidR="00925528">
        <w:rPr>
          <w:rFonts w:ascii="Arial" w:eastAsia="Times New Roman" w:hAnsi="Arial" w:cs="Arial"/>
        </w:rPr>
        <w:t>3.243,34</w:t>
      </w:r>
      <w:r w:rsidR="003D19ED" w:rsidRPr="006D630F">
        <w:rPr>
          <w:rFonts w:ascii="Arial" w:eastAsia="Times New Roman" w:hAnsi="Arial" w:cs="Arial"/>
        </w:rPr>
        <w:t xml:space="preserve"> €</w:t>
      </w:r>
      <w:r w:rsidRPr="006D630F">
        <w:rPr>
          <w:rFonts w:ascii="Arial" w:eastAsia="Times New Roman" w:hAnsi="Arial" w:cs="Arial"/>
        </w:rPr>
        <w:t xml:space="preserve"> u odnosu na prethodnu proračunsku godinu kada su iznosili </w:t>
      </w:r>
      <w:r w:rsidR="00925528">
        <w:rPr>
          <w:rFonts w:ascii="Arial" w:eastAsia="Times New Roman" w:hAnsi="Arial" w:cs="Arial"/>
        </w:rPr>
        <w:t>1.915,27</w:t>
      </w:r>
      <w:r w:rsidR="006D630F" w:rsidRPr="006D630F">
        <w:rPr>
          <w:rFonts w:ascii="Arial" w:eastAsia="Times New Roman" w:hAnsi="Arial" w:cs="Arial"/>
        </w:rPr>
        <w:t>37</w:t>
      </w:r>
      <w:r w:rsidR="003D19ED" w:rsidRPr="006D630F">
        <w:rPr>
          <w:rFonts w:ascii="Arial" w:eastAsia="Times New Roman" w:hAnsi="Arial" w:cs="Arial"/>
        </w:rPr>
        <w:t xml:space="preserve"> €</w:t>
      </w:r>
      <w:r w:rsidR="00C07967" w:rsidRPr="006D630F">
        <w:rPr>
          <w:rFonts w:ascii="Arial" w:eastAsia="Times New Roman" w:hAnsi="Arial" w:cs="Arial"/>
        </w:rPr>
        <w:t>.</w:t>
      </w:r>
      <w:r w:rsidRPr="006D630F">
        <w:rPr>
          <w:rFonts w:ascii="Arial" w:eastAsia="Times New Roman" w:hAnsi="Arial" w:cs="Arial"/>
        </w:rPr>
        <w:t xml:space="preserve"> Ovi rashodi se odnose na javnobilježničke i sudske pristojbe, upravne pristojbe, troškove očevida, te novčane naknade poslodavca zbog nezapošljavanja osoba s invaliditetom. </w:t>
      </w:r>
      <w:r w:rsidR="004456F7" w:rsidRPr="006D630F">
        <w:rPr>
          <w:rFonts w:ascii="Arial" w:eastAsia="Times New Roman" w:hAnsi="Arial" w:cs="Arial"/>
        </w:rPr>
        <w:t xml:space="preserve">Rashodi Općine iznose </w:t>
      </w:r>
      <w:r w:rsidR="00925528">
        <w:rPr>
          <w:rFonts w:ascii="Arial" w:eastAsia="Times New Roman" w:hAnsi="Arial" w:cs="Arial"/>
        </w:rPr>
        <w:t>4.726,97</w:t>
      </w:r>
      <w:r w:rsidR="007D335E" w:rsidRPr="006D630F">
        <w:rPr>
          <w:rFonts w:ascii="Arial" w:eastAsia="Times New Roman" w:hAnsi="Arial" w:cs="Arial"/>
        </w:rPr>
        <w:t xml:space="preserve"> €</w:t>
      </w:r>
      <w:r w:rsidR="004456F7" w:rsidRPr="006D630F">
        <w:rPr>
          <w:rFonts w:ascii="Arial" w:eastAsia="Times New Roman" w:hAnsi="Arial" w:cs="Arial"/>
        </w:rPr>
        <w:t xml:space="preserve">, a rashodi proračunskih korisnika </w:t>
      </w:r>
      <w:r w:rsidR="00925528">
        <w:rPr>
          <w:rFonts w:ascii="Arial" w:eastAsia="Times New Roman" w:hAnsi="Arial" w:cs="Arial"/>
        </w:rPr>
        <w:t>431,64</w:t>
      </w:r>
      <w:r w:rsidR="007D335E" w:rsidRPr="006D630F">
        <w:rPr>
          <w:rFonts w:ascii="Arial" w:eastAsia="Times New Roman" w:hAnsi="Arial" w:cs="Arial"/>
        </w:rPr>
        <w:t xml:space="preserve"> €</w:t>
      </w:r>
      <w:r w:rsidR="004456F7" w:rsidRPr="006D630F">
        <w:rPr>
          <w:rFonts w:ascii="Arial" w:eastAsia="Times New Roman" w:hAnsi="Arial" w:cs="Arial"/>
        </w:rPr>
        <w:t>.</w:t>
      </w:r>
    </w:p>
    <w:p w14:paraId="7BDDCC85" w14:textId="77777777" w:rsidR="004456F7" w:rsidRPr="006D630F" w:rsidRDefault="004456F7"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9660CA7" w14:textId="16AD9261" w:rsidR="0021122B"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b/>
          <w:bCs/>
          <w:i/>
          <w:iCs/>
        </w:rPr>
      </w:pPr>
      <w:r w:rsidRPr="006D630F">
        <w:rPr>
          <w:rFonts w:ascii="Arial" w:eastAsia="Times New Roman" w:hAnsi="Arial" w:cs="Arial"/>
        </w:rPr>
        <w:t xml:space="preserve">Ranijih godina su u okviru ovih rashoda </w:t>
      </w:r>
      <w:r w:rsidR="00C17564" w:rsidRPr="006D630F">
        <w:rPr>
          <w:rFonts w:ascii="Arial" w:eastAsia="Times New Roman" w:hAnsi="Arial" w:cs="Arial"/>
        </w:rPr>
        <w:t xml:space="preserve">(3295) </w:t>
      </w:r>
      <w:r w:rsidRPr="006D630F">
        <w:rPr>
          <w:rFonts w:ascii="Arial" w:eastAsia="Times New Roman" w:hAnsi="Arial" w:cs="Arial"/>
        </w:rPr>
        <w:t xml:space="preserve">bili iskazani rashodi za </w:t>
      </w:r>
      <w:r w:rsidRPr="006D630F">
        <w:rPr>
          <w:rFonts w:ascii="Arial" w:eastAsia="Times New Roman" w:hAnsi="Arial" w:cs="Arial"/>
          <w:b/>
          <w:bCs/>
          <w:i/>
          <w:iCs/>
        </w:rPr>
        <w:t>plaćenu naknadu za zadržavanje nezakonito izgrađenih zgrada</w:t>
      </w:r>
      <w:r w:rsidR="0021122B">
        <w:rPr>
          <w:rFonts w:ascii="Arial" w:eastAsia="Times New Roman" w:hAnsi="Arial" w:cs="Arial"/>
          <w:b/>
          <w:bCs/>
          <w:i/>
          <w:iCs/>
        </w:rPr>
        <w:t>.</w:t>
      </w:r>
      <w:r w:rsidR="0021122B" w:rsidRPr="0021122B">
        <w:rPr>
          <w:rFonts w:ascii="Arial" w:eastAsia="Times New Roman" w:hAnsi="Arial" w:cs="Arial"/>
        </w:rPr>
        <w:t xml:space="preserve"> </w:t>
      </w:r>
      <w:r w:rsidR="0021122B" w:rsidRPr="006D630F">
        <w:rPr>
          <w:rFonts w:ascii="Arial" w:eastAsia="Times New Roman" w:hAnsi="Arial" w:cs="Arial"/>
        </w:rPr>
        <w:t>U 202</w:t>
      </w:r>
      <w:r w:rsidR="00925528">
        <w:rPr>
          <w:rFonts w:ascii="Arial" w:eastAsia="Times New Roman" w:hAnsi="Arial" w:cs="Arial"/>
        </w:rPr>
        <w:t>5</w:t>
      </w:r>
      <w:r w:rsidR="0021122B" w:rsidRPr="006D630F">
        <w:rPr>
          <w:rFonts w:ascii="Arial" w:eastAsia="Times New Roman" w:hAnsi="Arial" w:cs="Arial"/>
        </w:rPr>
        <w:t xml:space="preserve">. </w:t>
      </w:r>
      <w:r w:rsidR="00925528">
        <w:rPr>
          <w:rFonts w:ascii="Arial" w:eastAsia="Times New Roman" w:hAnsi="Arial" w:cs="Arial"/>
        </w:rPr>
        <w:t>ovi rashodi su izvršeni u iznosu 477,46 € (legalizacija doma kulture u Cavtatu).</w:t>
      </w:r>
    </w:p>
    <w:p w14:paraId="5F07C7F9" w14:textId="77777777" w:rsidR="0021122B" w:rsidRPr="00082B02" w:rsidRDefault="0021122B"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3E767C5E" w14:textId="0FCE44F5" w:rsidR="004456F7" w:rsidRPr="006D630F" w:rsidRDefault="0021122B" w:rsidP="002112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rPr>
      </w:pPr>
      <w:r>
        <w:rPr>
          <w:rFonts w:ascii="Arial" w:eastAsia="Times New Roman" w:hAnsi="Arial" w:cs="Arial"/>
          <w:sz w:val="18"/>
          <w:szCs w:val="18"/>
        </w:rPr>
        <w:lastRenderedPageBreak/>
        <w:t>U</w:t>
      </w:r>
      <w:r w:rsidR="00D968E2" w:rsidRPr="00CD3480">
        <w:rPr>
          <w:rFonts w:ascii="Arial" w:eastAsia="Times New Roman" w:hAnsi="Arial" w:cs="Arial"/>
          <w:sz w:val="18"/>
          <w:szCs w:val="18"/>
        </w:rPr>
        <w:t xml:space="preserve"> 2017. su </w:t>
      </w:r>
      <w:r>
        <w:rPr>
          <w:rFonts w:ascii="Arial" w:eastAsia="Times New Roman" w:hAnsi="Arial" w:cs="Arial"/>
          <w:sz w:val="18"/>
          <w:szCs w:val="18"/>
        </w:rPr>
        <w:t xml:space="preserve">rashodi za </w:t>
      </w:r>
      <w:r w:rsidRPr="0021122B">
        <w:rPr>
          <w:rFonts w:ascii="Arial" w:eastAsia="Times New Roman" w:hAnsi="Arial" w:cs="Arial"/>
          <w:sz w:val="18"/>
          <w:szCs w:val="18"/>
        </w:rPr>
        <w:t xml:space="preserve">naknadu za zadržavanje nezakonito izgrađenih zgrada </w:t>
      </w:r>
      <w:r w:rsidR="00D968E2" w:rsidRPr="00CD3480">
        <w:rPr>
          <w:rFonts w:ascii="Arial" w:eastAsia="Times New Roman" w:hAnsi="Arial" w:cs="Arial"/>
          <w:sz w:val="18"/>
          <w:szCs w:val="18"/>
        </w:rPr>
        <w:t xml:space="preserve">rashodi izvršeni u iznosu </w:t>
      </w:r>
      <w:r w:rsidR="007D335E" w:rsidRPr="00CD3480">
        <w:rPr>
          <w:rFonts w:ascii="Arial" w:eastAsia="Times New Roman" w:hAnsi="Arial" w:cs="Arial"/>
          <w:sz w:val="18"/>
          <w:szCs w:val="18"/>
        </w:rPr>
        <w:t>1.462,74 €</w:t>
      </w:r>
      <w:r w:rsidR="00D968E2" w:rsidRPr="00CD3480">
        <w:rPr>
          <w:rFonts w:ascii="Arial" w:eastAsia="Times New Roman" w:hAnsi="Arial" w:cs="Arial"/>
          <w:sz w:val="18"/>
          <w:szCs w:val="18"/>
        </w:rPr>
        <w:t xml:space="preserve"> - sportski centar Gnjile, ex.škola Vitaljina, stambene i pomoćne zgrade Popovići polje, u 2018. su izvršeni u iznosu </w:t>
      </w:r>
      <w:r w:rsidR="007D335E" w:rsidRPr="00CD3480">
        <w:rPr>
          <w:rFonts w:ascii="Arial" w:eastAsia="Times New Roman" w:hAnsi="Arial" w:cs="Arial"/>
          <w:sz w:val="18"/>
          <w:szCs w:val="18"/>
        </w:rPr>
        <w:t>2.327,26 €</w:t>
      </w:r>
      <w:r w:rsidR="00D968E2" w:rsidRPr="00CD3480">
        <w:rPr>
          <w:rFonts w:ascii="Arial" w:eastAsia="Times New Roman" w:hAnsi="Arial" w:cs="Arial"/>
          <w:sz w:val="18"/>
          <w:szCs w:val="18"/>
        </w:rPr>
        <w:t xml:space="preserve"> - zgrada Konavoski dvori i zgrada bivše škole u Moluntu, u 2019. u iznosu </w:t>
      </w:r>
      <w:r w:rsidR="007D335E" w:rsidRPr="00CD3480">
        <w:rPr>
          <w:rFonts w:ascii="Arial" w:eastAsia="Times New Roman" w:hAnsi="Arial" w:cs="Arial"/>
          <w:sz w:val="18"/>
          <w:szCs w:val="18"/>
        </w:rPr>
        <w:t>631,18 €</w:t>
      </w:r>
      <w:r w:rsidR="00D968E2" w:rsidRPr="00CD3480">
        <w:rPr>
          <w:rFonts w:ascii="Arial" w:eastAsia="Times New Roman" w:hAnsi="Arial" w:cs="Arial"/>
          <w:sz w:val="18"/>
          <w:szCs w:val="18"/>
        </w:rPr>
        <w:t xml:space="preserve"> – sportski kompleks Šupjaka, a u 2020. u iznosu </w:t>
      </w:r>
      <w:r w:rsidR="007D335E" w:rsidRPr="00CD3480">
        <w:rPr>
          <w:rFonts w:ascii="Arial" w:eastAsia="Times New Roman" w:hAnsi="Arial" w:cs="Arial"/>
          <w:sz w:val="18"/>
          <w:szCs w:val="18"/>
        </w:rPr>
        <w:t>262,58 €</w:t>
      </w:r>
      <w:r w:rsidR="00D968E2" w:rsidRPr="00CD3480">
        <w:rPr>
          <w:rFonts w:ascii="Arial" w:eastAsia="Times New Roman" w:hAnsi="Arial" w:cs="Arial"/>
          <w:sz w:val="18"/>
          <w:szCs w:val="18"/>
        </w:rPr>
        <w:t xml:space="preserve"> - dom kulture Duba konavoska, </w:t>
      </w:r>
      <w:r w:rsidR="007D335E" w:rsidRPr="00CD3480">
        <w:rPr>
          <w:rFonts w:ascii="Arial" w:eastAsia="Times New Roman" w:hAnsi="Arial" w:cs="Arial"/>
          <w:sz w:val="18"/>
          <w:szCs w:val="18"/>
        </w:rPr>
        <w:t>66,66 €</w:t>
      </w:r>
      <w:r w:rsidR="00D968E2" w:rsidRPr="00CD3480">
        <w:rPr>
          <w:rFonts w:ascii="Arial" w:eastAsia="Times New Roman" w:hAnsi="Arial" w:cs="Arial"/>
          <w:sz w:val="18"/>
          <w:szCs w:val="18"/>
        </w:rPr>
        <w:t>- škola Popovići</w:t>
      </w:r>
      <w:r w:rsidR="00D968E2" w:rsidRPr="006D630F">
        <w:rPr>
          <w:rFonts w:ascii="Arial" w:eastAsia="Times New Roman" w:hAnsi="Arial" w:cs="Arial"/>
        </w:rPr>
        <w:t xml:space="preserve">). </w:t>
      </w:r>
    </w:p>
    <w:p w14:paraId="0BDF1CA7" w14:textId="77777777" w:rsidR="004456F7" w:rsidRPr="006D630F" w:rsidRDefault="004456F7"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41E32C8" w14:textId="617F5CE6" w:rsidR="0021122B" w:rsidRDefault="004456F7" w:rsidP="004456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b/>
        </w:rPr>
      </w:pPr>
      <w:r w:rsidRPr="006D630F">
        <w:rPr>
          <w:rFonts w:ascii="Arial" w:eastAsia="Times New Roman" w:hAnsi="Arial" w:cs="Arial"/>
        </w:rPr>
        <w:t xml:space="preserve">Od 2019. godine Općina je obveznik plaćanja </w:t>
      </w:r>
      <w:r w:rsidRPr="006D630F">
        <w:rPr>
          <w:rFonts w:ascii="Arial" w:eastAsia="Times New Roman" w:hAnsi="Arial" w:cs="Arial"/>
          <w:b/>
        </w:rPr>
        <w:t xml:space="preserve">poticajne naknade za smanjenje količine miješanog komunalnog otpada. </w:t>
      </w:r>
      <w:r w:rsidR="0021122B" w:rsidRPr="006D630F">
        <w:rPr>
          <w:rFonts w:ascii="Arial" w:eastAsia="Times New Roman" w:hAnsi="Arial" w:cs="Arial"/>
        </w:rPr>
        <w:t xml:space="preserve">U </w:t>
      </w:r>
      <w:r w:rsidR="00106A2D">
        <w:rPr>
          <w:rFonts w:ascii="Arial" w:eastAsia="Times New Roman" w:hAnsi="Arial" w:cs="Arial"/>
        </w:rPr>
        <w:t xml:space="preserve">prvom polugodištu </w:t>
      </w:r>
      <w:r w:rsidR="0021122B" w:rsidRPr="006D630F">
        <w:rPr>
          <w:rFonts w:ascii="Arial" w:eastAsia="Times New Roman" w:hAnsi="Arial" w:cs="Arial"/>
        </w:rPr>
        <w:t>202</w:t>
      </w:r>
      <w:r w:rsidR="00106A2D">
        <w:rPr>
          <w:rFonts w:ascii="Arial" w:eastAsia="Times New Roman" w:hAnsi="Arial" w:cs="Arial"/>
        </w:rPr>
        <w:t>5</w:t>
      </w:r>
      <w:r w:rsidR="0021122B" w:rsidRPr="006D630F">
        <w:rPr>
          <w:rFonts w:ascii="Arial" w:eastAsia="Times New Roman" w:hAnsi="Arial" w:cs="Arial"/>
        </w:rPr>
        <w:t xml:space="preserve">. godini ovi rashodi </w:t>
      </w:r>
      <w:r w:rsidR="00106A2D">
        <w:rPr>
          <w:rFonts w:ascii="Arial" w:eastAsia="Times New Roman" w:hAnsi="Arial" w:cs="Arial"/>
        </w:rPr>
        <w:t>nisu izvršeni.</w:t>
      </w:r>
    </w:p>
    <w:p w14:paraId="37687D9B" w14:textId="77777777" w:rsidR="0021122B" w:rsidRPr="0021122B" w:rsidRDefault="0021122B" w:rsidP="004456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bCs/>
        </w:rPr>
      </w:pPr>
    </w:p>
    <w:p w14:paraId="33960B32" w14:textId="1146471A" w:rsidR="004456F7" w:rsidRPr="00792C2A" w:rsidRDefault="00082B02" w:rsidP="0075189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rPr>
      </w:pPr>
      <w:r>
        <w:rPr>
          <w:rFonts w:ascii="Arial" w:eastAsia="Times New Roman" w:hAnsi="Arial" w:cs="Arial"/>
          <w:sz w:val="18"/>
          <w:szCs w:val="18"/>
        </w:rPr>
        <w:t>Na</w:t>
      </w:r>
      <w:r w:rsidR="004456F7" w:rsidRPr="00CD3480">
        <w:rPr>
          <w:rFonts w:ascii="Arial" w:eastAsia="Times New Roman" w:hAnsi="Arial" w:cs="Arial"/>
          <w:sz w:val="18"/>
          <w:szCs w:val="18"/>
        </w:rPr>
        <w:t xml:space="preserve"> temelju rješenja Fonda za zaštitu okoliša i energetsku učinkovitost u 2019. prvi put je plaćeno </w:t>
      </w:r>
      <w:r w:rsidR="007D335E" w:rsidRPr="00CD3480">
        <w:rPr>
          <w:rFonts w:ascii="Arial" w:eastAsia="Times New Roman" w:hAnsi="Arial" w:cs="Arial"/>
          <w:sz w:val="18"/>
          <w:szCs w:val="18"/>
        </w:rPr>
        <w:t>2.195,20 €</w:t>
      </w:r>
      <w:r w:rsidR="004456F7" w:rsidRPr="00CD3480">
        <w:rPr>
          <w:rFonts w:ascii="Arial" w:eastAsia="Times New Roman" w:hAnsi="Arial" w:cs="Arial"/>
          <w:sz w:val="18"/>
          <w:szCs w:val="18"/>
        </w:rPr>
        <w:t xml:space="preserve"> na ime </w:t>
      </w:r>
      <w:r w:rsidR="004456F7" w:rsidRPr="00CD3480">
        <w:rPr>
          <w:rFonts w:ascii="Arial" w:eastAsia="Times New Roman" w:hAnsi="Arial" w:cs="Arial"/>
          <w:b/>
          <w:sz w:val="18"/>
          <w:szCs w:val="18"/>
        </w:rPr>
        <w:t>poticajne naknade za smanjenje količine miješanog komunalnog otpada</w:t>
      </w:r>
      <w:r w:rsidR="004456F7" w:rsidRPr="00CD3480">
        <w:rPr>
          <w:rFonts w:ascii="Arial" w:eastAsia="Times New Roman" w:hAnsi="Arial" w:cs="Arial"/>
          <w:sz w:val="18"/>
          <w:szCs w:val="18"/>
        </w:rPr>
        <w:t xml:space="preserve"> za studeni i prosinac 2017. godine (početak primjene zakona) sukladno odredbama članka 29. Zakona o održivom gospodarenju otpadom (NN 94/13, 73/17, 14/19) i članka 24. Uredbe o gospodarenju komunalnim otpadom (NN 50/17). U 2020. je plaćena poticajna naknada za 2018. godinu u iznosu </w:t>
      </w:r>
      <w:r w:rsidR="007D335E" w:rsidRPr="00CD3480">
        <w:rPr>
          <w:rFonts w:ascii="Arial" w:eastAsia="Times New Roman" w:hAnsi="Arial" w:cs="Arial"/>
          <w:sz w:val="18"/>
          <w:szCs w:val="18"/>
        </w:rPr>
        <w:t>926,96 €</w:t>
      </w:r>
      <w:r w:rsidR="004456F7" w:rsidRPr="00CD3480">
        <w:rPr>
          <w:rFonts w:ascii="Arial" w:eastAsia="Times New Roman" w:hAnsi="Arial" w:cs="Arial"/>
          <w:sz w:val="18"/>
          <w:szCs w:val="18"/>
        </w:rPr>
        <w:t xml:space="preserve">. U 2021. Fond je ispostavio rješenje za plaćanje poticajne naknade u iznosu </w:t>
      </w:r>
      <w:r w:rsidR="007D335E" w:rsidRPr="00CD3480">
        <w:rPr>
          <w:rFonts w:ascii="Arial" w:eastAsia="Times New Roman" w:hAnsi="Arial" w:cs="Arial"/>
          <w:sz w:val="18"/>
          <w:szCs w:val="18"/>
        </w:rPr>
        <w:t>8.917,15 €</w:t>
      </w:r>
      <w:r w:rsidR="004456F7" w:rsidRPr="00CD3480">
        <w:rPr>
          <w:rFonts w:ascii="Arial" w:eastAsia="Times New Roman" w:hAnsi="Arial" w:cs="Arial"/>
          <w:sz w:val="18"/>
          <w:szCs w:val="18"/>
        </w:rPr>
        <w:t xml:space="preserve"> (naknada za 2020.godinu). Za 2022. godinu ova naknada iznosi </w:t>
      </w:r>
      <w:r w:rsidR="008E79BC" w:rsidRPr="00CD3480">
        <w:rPr>
          <w:rFonts w:ascii="Arial" w:eastAsia="Times New Roman" w:hAnsi="Arial" w:cs="Arial"/>
          <w:sz w:val="18"/>
          <w:szCs w:val="18"/>
        </w:rPr>
        <w:t>31.379,12 €</w:t>
      </w:r>
      <w:r w:rsidR="004456F7" w:rsidRPr="00CD3480">
        <w:rPr>
          <w:rFonts w:ascii="Arial" w:eastAsia="Times New Roman" w:hAnsi="Arial" w:cs="Arial"/>
          <w:sz w:val="18"/>
          <w:szCs w:val="18"/>
        </w:rPr>
        <w:t xml:space="preserve"> što je više za </w:t>
      </w:r>
      <w:r w:rsidR="008E79BC" w:rsidRPr="00CD3480">
        <w:rPr>
          <w:rFonts w:ascii="Arial" w:eastAsia="Times New Roman" w:hAnsi="Arial" w:cs="Arial"/>
          <w:sz w:val="18"/>
          <w:szCs w:val="18"/>
        </w:rPr>
        <w:t>22.461,97 €</w:t>
      </w:r>
      <w:r w:rsidR="004456F7" w:rsidRPr="00CD3480">
        <w:rPr>
          <w:rFonts w:ascii="Arial" w:eastAsia="Times New Roman" w:hAnsi="Arial" w:cs="Arial"/>
          <w:sz w:val="18"/>
          <w:szCs w:val="18"/>
        </w:rPr>
        <w:t xml:space="preserve"> nego </w:t>
      </w:r>
      <w:r w:rsidR="008E79BC" w:rsidRPr="00CD3480">
        <w:rPr>
          <w:rFonts w:ascii="Arial" w:eastAsia="Times New Roman" w:hAnsi="Arial" w:cs="Arial"/>
          <w:sz w:val="18"/>
          <w:szCs w:val="18"/>
        </w:rPr>
        <w:t>2021.</w:t>
      </w:r>
      <w:r w:rsidR="004456F7" w:rsidRPr="00CD3480">
        <w:rPr>
          <w:rFonts w:ascii="Arial" w:eastAsia="Times New Roman" w:hAnsi="Arial" w:cs="Arial"/>
          <w:sz w:val="18"/>
          <w:szCs w:val="18"/>
        </w:rPr>
        <w:t xml:space="preserve"> godine</w:t>
      </w:r>
      <w:r w:rsidR="00E1376B" w:rsidRPr="00CD3480">
        <w:rPr>
          <w:rFonts w:ascii="Arial" w:eastAsia="Times New Roman" w:hAnsi="Arial" w:cs="Arial"/>
          <w:sz w:val="18"/>
          <w:szCs w:val="18"/>
        </w:rPr>
        <w:t xml:space="preserve">. Za 2023. godinu poticajna naknada </w:t>
      </w:r>
      <w:r w:rsidR="00C07967" w:rsidRPr="00CD3480">
        <w:rPr>
          <w:rFonts w:ascii="Arial" w:eastAsia="Times New Roman" w:hAnsi="Arial" w:cs="Arial"/>
          <w:sz w:val="18"/>
          <w:szCs w:val="18"/>
        </w:rPr>
        <w:t xml:space="preserve">je iznosila </w:t>
      </w:r>
      <w:r w:rsidR="00E1376B" w:rsidRPr="00CD3480">
        <w:rPr>
          <w:rFonts w:ascii="Arial" w:eastAsia="Times New Roman" w:hAnsi="Arial" w:cs="Arial"/>
          <w:sz w:val="18"/>
          <w:szCs w:val="18"/>
        </w:rPr>
        <w:t xml:space="preserve">40.278,43 € </w:t>
      </w:r>
      <w:r w:rsidR="00EE6839" w:rsidRPr="00CD3480">
        <w:rPr>
          <w:rFonts w:ascii="Arial" w:eastAsia="Times New Roman" w:hAnsi="Arial" w:cs="Arial"/>
          <w:sz w:val="18"/>
          <w:szCs w:val="18"/>
        </w:rPr>
        <w:t>što je više za 8.899,31 € ili 28,4</w:t>
      </w:r>
      <w:r w:rsidR="009A1DCB" w:rsidRPr="00CD3480">
        <w:rPr>
          <w:rFonts w:ascii="Arial" w:eastAsia="Times New Roman" w:hAnsi="Arial" w:cs="Arial"/>
          <w:sz w:val="18"/>
          <w:szCs w:val="18"/>
        </w:rPr>
        <w:t xml:space="preserve">% </w:t>
      </w:r>
      <w:r w:rsidR="00EE6839" w:rsidRPr="00CD3480">
        <w:rPr>
          <w:rFonts w:ascii="Arial" w:eastAsia="Times New Roman" w:hAnsi="Arial" w:cs="Arial"/>
          <w:sz w:val="18"/>
          <w:szCs w:val="18"/>
        </w:rPr>
        <w:t>nego 2022. godine</w:t>
      </w:r>
      <w:r w:rsidR="009A1DCB" w:rsidRPr="00CD3480">
        <w:rPr>
          <w:rFonts w:ascii="Arial" w:eastAsia="Times New Roman" w:hAnsi="Arial" w:cs="Arial"/>
          <w:sz w:val="18"/>
          <w:szCs w:val="18"/>
        </w:rPr>
        <w:t>.</w:t>
      </w:r>
      <w:r w:rsidR="00C07967" w:rsidRPr="006D630F">
        <w:rPr>
          <w:rFonts w:ascii="Arial" w:eastAsia="Times New Roman" w:hAnsi="Arial" w:cs="Arial"/>
        </w:rPr>
        <w:t xml:space="preserve"> </w:t>
      </w:r>
      <w:r w:rsidR="00751891">
        <w:rPr>
          <w:rFonts w:ascii="Arial" w:eastAsia="Times New Roman" w:hAnsi="Arial" w:cs="Arial"/>
        </w:rPr>
        <w:t xml:space="preserve">U 2024. godini rashodi za ovu naknadu iznose </w:t>
      </w:r>
      <w:r w:rsidR="00106A2D" w:rsidRPr="006D630F">
        <w:rPr>
          <w:rFonts w:ascii="Arial" w:eastAsia="Times New Roman" w:hAnsi="Arial" w:cs="Arial"/>
        </w:rPr>
        <w:t xml:space="preserve">44.873,04 € </w:t>
      </w:r>
      <w:r w:rsidR="00751891">
        <w:rPr>
          <w:rFonts w:ascii="Arial" w:eastAsia="Times New Roman" w:hAnsi="Arial" w:cs="Arial"/>
        </w:rPr>
        <w:t>(obračun za 2023. godinu).</w:t>
      </w:r>
    </w:p>
    <w:p w14:paraId="3C039D6C" w14:textId="77777777" w:rsidR="00106A2D" w:rsidRDefault="00106A2D"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3F0CA5EC" w14:textId="77890039" w:rsidR="008E79BC" w:rsidRPr="00082B02"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792C2A">
        <w:rPr>
          <w:rFonts w:ascii="Arial" w:eastAsia="Times New Roman" w:hAnsi="Arial" w:cs="Arial"/>
        </w:rPr>
        <w:t xml:space="preserve">U okviru rashoda za pristojbe i naknade (3295) iskazano je plaćanje </w:t>
      </w:r>
      <w:r w:rsidRPr="00792C2A">
        <w:rPr>
          <w:rFonts w:ascii="Arial" w:eastAsia="Times New Roman" w:hAnsi="Arial" w:cs="Arial"/>
          <w:b/>
          <w:bCs/>
          <w:i/>
          <w:iCs/>
        </w:rPr>
        <w:t>novčane naknade zbog nezapošljavanja osobe s invaliditetom</w:t>
      </w:r>
      <w:r w:rsidRPr="00792C2A">
        <w:rPr>
          <w:rFonts w:ascii="Arial" w:eastAsia="Times New Roman" w:hAnsi="Arial" w:cs="Arial"/>
        </w:rPr>
        <w:t>, što je obveza od početka 2015. godine. Ova naknada za Općinu je</w:t>
      </w:r>
      <w:r w:rsidR="008E79BC" w:rsidRPr="00792C2A">
        <w:rPr>
          <w:rFonts w:ascii="Arial" w:eastAsia="Times New Roman" w:hAnsi="Arial" w:cs="Arial"/>
        </w:rPr>
        <w:t xml:space="preserve"> 202</w:t>
      </w:r>
      <w:r w:rsidR="00751891">
        <w:rPr>
          <w:rFonts w:ascii="Arial" w:eastAsia="Times New Roman" w:hAnsi="Arial" w:cs="Arial"/>
        </w:rPr>
        <w:t>5</w:t>
      </w:r>
      <w:r w:rsidR="008E79BC" w:rsidRPr="00792C2A">
        <w:rPr>
          <w:rFonts w:ascii="Arial" w:eastAsia="Times New Roman" w:hAnsi="Arial" w:cs="Arial"/>
        </w:rPr>
        <w:t>. godine</w:t>
      </w:r>
      <w:r w:rsidRPr="00792C2A">
        <w:rPr>
          <w:rFonts w:ascii="Arial" w:eastAsia="Times New Roman" w:hAnsi="Arial" w:cs="Arial"/>
        </w:rPr>
        <w:t xml:space="preserve"> izvršena u iznosu </w:t>
      </w:r>
      <w:r w:rsidR="00751891">
        <w:rPr>
          <w:rFonts w:ascii="Arial" w:eastAsia="Times New Roman" w:hAnsi="Arial" w:cs="Arial"/>
        </w:rPr>
        <w:t>1.358</w:t>
      </w:r>
      <w:r w:rsidR="008E79BC" w:rsidRPr="00792C2A">
        <w:rPr>
          <w:rFonts w:ascii="Arial" w:eastAsia="Times New Roman" w:hAnsi="Arial" w:cs="Arial"/>
        </w:rPr>
        <w:t xml:space="preserve"> €</w:t>
      </w:r>
      <w:r w:rsidR="00751891">
        <w:rPr>
          <w:rFonts w:ascii="Arial" w:eastAsia="Times New Roman" w:hAnsi="Arial" w:cs="Arial"/>
        </w:rPr>
        <w:t xml:space="preserve"> (mjesečno 194 €)</w:t>
      </w:r>
      <w:r w:rsidRPr="00792C2A">
        <w:rPr>
          <w:rFonts w:ascii="Arial" w:eastAsia="Times New Roman" w:hAnsi="Arial" w:cs="Arial"/>
        </w:rPr>
        <w:t xml:space="preserve">. </w:t>
      </w:r>
      <w:r w:rsidRPr="00082B02">
        <w:rPr>
          <w:rFonts w:ascii="Arial" w:eastAsia="Times New Roman" w:hAnsi="Arial" w:cs="Arial"/>
          <w:sz w:val="18"/>
          <w:szCs w:val="18"/>
        </w:rPr>
        <w:t xml:space="preserve">Naime, prema Zakonu o doprinosima, za sve poslodavce propisana je obveza plaćanja naknade u visini 20% (od ožujka 2020.) propisane minimalne plaće </w:t>
      </w:r>
      <w:r w:rsidRPr="00082B02">
        <w:rPr>
          <w:rFonts w:ascii="Arial" w:eastAsia="Times New Roman" w:hAnsi="Arial" w:cs="Arial"/>
          <w:spacing w:val="3"/>
          <w:sz w:val="18"/>
          <w:szCs w:val="18"/>
          <w:lang w:eastAsia="en-US"/>
        </w:rPr>
        <w:t>za svaku osobu s invaliditetom koju su bili obvezni zaposliti</w:t>
      </w:r>
      <w:r w:rsidRPr="00082B02">
        <w:rPr>
          <w:rFonts w:ascii="Arial" w:eastAsia="Times New Roman" w:hAnsi="Arial" w:cs="Arial"/>
          <w:sz w:val="18"/>
          <w:szCs w:val="18"/>
        </w:rPr>
        <w:t xml:space="preserve"> (svi poslodavci koji zapošljavaju 20 i više radnika, ako nemaju određeni broj zaposlenih osoba s invaliditetom).</w:t>
      </w:r>
      <w:r w:rsidR="006A6095" w:rsidRPr="00082B02">
        <w:rPr>
          <w:rFonts w:ascii="Arial" w:eastAsia="Times New Roman" w:hAnsi="Arial" w:cs="Arial"/>
          <w:sz w:val="18"/>
          <w:szCs w:val="18"/>
        </w:rPr>
        <w:t xml:space="preserve"> </w:t>
      </w:r>
    </w:p>
    <w:p w14:paraId="6DC038C6" w14:textId="77777777" w:rsidR="004456F7" w:rsidRPr="00792C2A" w:rsidRDefault="004456F7" w:rsidP="004456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11EEB0B" w14:textId="5B0EC95B" w:rsidR="00D968E2" w:rsidRPr="00792C2A" w:rsidRDefault="00D968E2" w:rsidP="00D968E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792C2A">
        <w:rPr>
          <w:rFonts w:ascii="Arial" w:eastAsia="Times New Roman" w:hAnsi="Arial" w:cs="Arial"/>
        </w:rPr>
        <w:t xml:space="preserve">Ostali nespomenuti rashodi poslovanja (3299) ostvareni su u iznosu </w:t>
      </w:r>
      <w:r w:rsidR="00751891">
        <w:rPr>
          <w:rFonts w:ascii="Arial" w:eastAsia="Times New Roman" w:hAnsi="Arial" w:cs="Arial"/>
        </w:rPr>
        <w:t>10.125,90</w:t>
      </w:r>
      <w:r w:rsidR="008E79BC" w:rsidRPr="00792C2A">
        <w:rPr>
          <w:rFonts w:ascii="Arial" w:eastAsia="Times New Roman" w:hAnsi="Arial" w:cs="Arial"/>
        </w:rPr>
        <w:t xml:space="preserve"> €</w:t>
      </w:r>
      <w:r w:rsidRPr="00792C2A">
        <w:rPr>
          <w:rFonts w:ascii="Arial" w:eastAsia="Times New Roman" w:hAnsi="Arial" w:cs="Arial"/>
        </w:rPr>
        <w:t xml:space="preserve"> što je </w:t>
      </w:r>
      <w:r w:rsidR="00F23774">
        <w:rPr>
          <w:rFonts w:ascii="Arial" w:eastAsia="Times New Roman" w:hAnsi="Arial" w:cs="Arial"/>
        </w:rPr>
        <w:t>manje</w:t>
      </w:r>
      <w:r w:rsidRPr="00792C2A">
        <w:rPr>
          <w:rFonts w:ascii="Arial" w:eastAsia="Times New Roman" w:hAnsi="Arial" w:cs="Arial"/>
        </w:rPr>
        <w:t xml:space="preserve"> za </w:t>
      </w:r>
      <w:r w:rsidR="00F23774">
        <w:rPr>
          <w:rFonts w:ascii="Arial" w:eastAsia="Times New Roman" w:hAnsi="Arial" w:cs="Arial"/>
        </w:rPr>
        <w:t>888,28</w:t>
      </w:r>
      <w:r w:rsidR="008E79BC" w:rsidRPr="00792C2A">
        <w:rPr>
          <w:rFonts w:ascii="Arial" w:eastAsia="Times New Roman" w:hAnsi="Arial" w:cs="Arial"/>
        </w:rPr>
        <w:t xml:space="preserve"> €</w:t>
      </w:r>
      <w:r w:rsidR="00F23774">
        <w:rPr>
          <w:rFonts w:ascii="Arial" w:eastAsia="Times New Roman" w:hAnsi="Arial" w:cs="Arial"/>
        </w:rPr>
        <w:t xml:space="preserve"> u odnosu na izvještajno razdoblje prethodne godine</w:t>
      </w:r>
      <w:r w:rsidR="00C07967" w:rsidRPr="00792C2A">
        <w:rPr>
          <w:rFonts w:ascii="Arial" w:eastAsia="Times New Roman" w:hAnsi="Arial" w:cs="Arial"/>
        </w:rPr>
        <w:t>.</w:t>
      </w:r>
      <w:r w:rsidRPr="00792C2A">
        <w:rPr>
          <w:rFonts w:ascii="Arial" w:eastAsia="Times New Roman" w:hAnsi="Arial" w:cs="Arial"/>
        </w:rPr>
        <w:t xml:space="preserve"> </w:t>
      </w:r>
      <w:r w:rsidR="004456F7" w:rsidRPr="00792C2A">
        <w:rPr>
          <w:rFonts w:ascii="Arial" w:eastAsia="Times New Roman" w:hAnsi="Arial" w:cs="Arial"/>
        </w:rPr>
        <w:t xml:space="preserve">Na rashode Općine se odnosi </w:t>
      </w:r>
      <w:r w:rsidR="00F23774">
        <w:rPr>
          <w:rFonts w:ascii="Arial" w:eastAsia="Times New Roman" w:hAnsi="Arial" w:cs="Arial"/>
        </w:rPr>
        <w:t>9.788,90</w:t>
      </w:r>
      <w:r w:rsidR="008E79BC" w:rsidRPr="00792C2A">
        <w:rPr>
          <w:rFonts w:ascii="Arial" w:eastAsia="Times New Roman" w:hAnsi="Arial" w:cs="Arial"/>
        </w:rPr>
        <w:t xml:space="preserve"> €</w:t>
      </w:r>
      <w:r w:rsidR="004456F7" w:rsidRPr="00792C2A">
        <w:rPr>
          <w:rFonts w:ascii="Arial" w:eastAsia="Times New Roman" w:hAnsi="Arial" w:cs="Arial"/>
        </w:rPr>
        <w:t xml:space="preserve">, a na proračunske korisnike </w:t>
      </w:r>
      <w:r w:rsidR="00F23774">
        <w:rPr>
          <w:rFonts w:ascii="Arial" w:eastAsia="Times New Roman" w:hAnsi="Arial" w:cs="Arial"/>
        </w:rPr>
        <w:t>336,10</w:t>
      </w:r>
      <w:r w:rsidR="008E79BC" w:rsidRPr="00792C2A">
        <w:rPr>
          <w:rFonts w:ascii="Arial" w:eastAsia="Times New Roman" w:hAnsi="Arial" w:cs="Arial"/>
        </w:rPr>
        <w:t xml:space="preserve"> €</w:t>
      </w:r>
      <w:r w:rsidR="004456F7" w:rsidRPr="00792C2A">
        <w:rPr>
          <w:rFonts w:ascii="Arial" w:eastAsia="Times New Roman" w:hAnsi="Arial" w:cs="Arial"/>
        </w:rPr>
        <w:t xml:space="preserve">. </w:t>
      </w:r>
      <w:r w:rsidRPr="00792C2A">
        <w:rPr>
          <w:rFonts w:ascii="Arial" w:eastAsia="Times New Roman" w:hAnsi="Arial" w:cs="Arial"/>
        </w:rPr>
        <w:t xml:space="preserve">U okviru rashoda Općine </w:t>
      </w:r>
      <w:r w:rsidR="00F23774">
        <w:rPr>
          <w:rFonts w:ascii="Arial" w:eastAsia="Times New Roman" w:hAnsi="Arial" w:cs="Arial"/>
        </w:rPr>
        <w:t xml:space="preserve">prethodnih godina su se iskazivale </w:t>
      </w:r>
      <w:r w:rsidRPr="00792C2A">
        <w:rPr>
          <w:rFonts w:ascii="Arial" w:eastAsia="Times New Roman" w:hAnsi="Arial" w:cs="Arial"/>
        </w:rPr>
        <w:t>uplat</w:t>
      </w:r>
      <w:r w:rsidR="008E79BC" w:rsidRPr="00792C2A">
        <w:rPr>
          <w:rFonts w:ascii="Arial" w:eastAsia="Times New Roman" w:hAnsi="Arial" w:cs="Arial"/>
        </w:rPr>
        <w:t>e</w:t>
      </w:r>
      <w:r w:rsidRPr="00792C2A">
        <w:rPr>
          <w:rFonts w:ascii="Arial" w:eastAsia="Times New Roman" w:hAnsi="Arial" w:cs="Arial"/>
        </w:rPr>
        <w:t xml:space="preserve"> u državni proračun u visini 55,0% naplaćenih prihoda od ugovora o prodaji stanova sa stanarskim pravom. </w:t>
      </w:r>
      <w:r w:rsidR="008E79BC" w:rsidRPr="00792C2A">
        <w:rPr>
          <w:rFonts w:ascii="Arial" w:eastAsia="Times New Roman" w:hAnsi="Arial" w:cs="Arial"/>
        </w:rPr>
        <w:t xml:space="preserve">U </w:t>
      </w:r>
      <w:r w:rsidR="000027F3" w:rsidRPr="00792C2A">
        <w:rPr>
          <w:rFonts w:ascii="Arial" w:eastAsia="Times New Roman" w:hAnsi="Arial" w:cs="Arial"/>
        </w:rPr>
        <w:t>2022.</w:t>
      </w:r>
      <w:r w:rsidR="008E79BC" w:rsidRPr="00792C2A">
        <w:rPr>
          <w:rFonts w:ascii="Arial" w:eastAsia="Times New Roman" w:hAnsi="Arial" w:cs="Arial"/>
        </w:rPr>
        <w:t xml:space="preserve"> godini ovi rashodi su bili izvršeni u iznosu </w:t>
      </w:r>
      <w:r w:rsidR="00FC2207" w:rsidRPr="00792C2A">
        <w:rPr>
          <w:rFonts w:ascii="Arial" w:eastAsia="Times New Roman" w:hAnsi="Arial" w:cs="Arial"/>
        </w:rPr>
        <w:t xml:space="preserve">4.607,26 €, </w:t>
      </w:r>
      <w:r w:rsidR="00082B02">
        <w:rPr>
          <w:rFonts w:ascii="Arial" w:eastAsia="Times New Roman" w:hAnsi="Arial" w:cs="Arial"/>
        </w:rPr>
        <w:t>u</w:t>
      </w:r>
      <w:r w:rsidR="00F4538A" w:rsidRPr="00792C2A">
        <w:rPr>
          <w:rFonts w:ascii="Arial" w:eastAsia="Times New Roman" w:hAnsi="Arial" w:cs="Arial"/>
        </w:rPr>
        <w:t xml:space="preserve"> </w:t>
      </w:r>
      <w:r w:rsidR="000027F3" w:rsidRPr="00792C2A">
        <w:rPr>
          <w:rFonts w:ascii="Arial" w:eastAsia="Times New Roman" w:hAnsi="Arial" w:cs="Arial"/>
        </w:rPr>
        <w:t>2023.</w:t>
      </w:r>
      <w:r w:rsidR="00F4538A" w:rsidRPr="00792C2A">
        <w:rPr>
          <w:rFonts w:ascii="Arial" w:eastAsia="Times New Roman" w:hAnsi="Arial" w:cs="Arial"/>
        </w:rPr>
        <w:t xml:space="preserve"> godini </w:t>
      </w:r>
      <w:r w:rsidR="000027F3" w:rsidRPr="00792C2A">
        <w:rPr>
          <w:rFonts w:ascii="Arial" w:eastAsia="Times New Roman" w:hAnsi="Arial" w:cs="Arial"/>
        </w:rPr>
        <w:t>u iznosu</w:t>
      </w:r>
      <w:r w:rsidR="00CF3CFA" w:rsidRPr="00792C2A">
        <w:rPr>
          <w:rFonts w:ascii="Arial" w:eastAsia="Times New Roman" w:hAnsi="Arial" w:cs="Arial"/>
        </w:rPr>
        <w:t xml:space="preserve"> 344,38 €</w:t>
      </w:r>
      <w:r w:rsidR="000027F3" w:rsidRPr="00792C2A">
        <w:rPr>
          <w:rFonts w:ascii="Arial" w:eastAsia="Times New Roman" w:hAnsi="Arial" w:cs="Arial"/>
        </w:rPr>
        <w:t xml:space="preserve">, a u 2024. godini </w:t>
      </w:r>
      <w:r w:rsidR="00792C2A" w:rsidRPr="00792C2A">
        <w:rPr>
          <w:rFonts w:ascii="Arial" w:eastAsia="Times New Roman" w:hAnsi="Arial" w:cs="Arial"/>
        </w:rPr>
        <w:t>iznose 15,63 €</w:t>
      </w:r>
      <w:r w:rsidR="006D7615" w:rsidRPr="00792C2A">
        <w:rPr>
          <w:rFonts w:ascii="Arial" w:eastAsia="Times New Roman" w:hAnsi="Arial" w:cs="Arial"/>
        </w:rPr>
        <w:t xml:space="preserve">. </w:t>
      </w:r>
      <w:r w:rsidRPr="00792C2A">
        <w:rPr>
          <w:rFonts w:ascii="Arial" w:eastAsia="Times New Roman" w:hAnsi="Arial" w:cs="Arial"/>
        </w:rPr>
        <w:t xml:space="preserve">Pored navedenog su izvršeni rashodi za cvijeće, svijeće i vijence za potrebe protokola, troškove fotokopiranja, izvatke iz katastra i sl. </w:t>
      </w:r>
    </w:p>
    <w:p w14:paraId="709F2E07" w14:textId="77777777" w:rsidR="009C53D1" w:rsidRPr="003A2F86" w:rsidRDefault="009C53D1"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6A673A4" w14:textId="77777777" w:rsidR="00790C2C" w:rsidRPr="003A2F86" w:rsidRDefault="00790C2C"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5B5A4ED" w14:textId="72F001A9" w:rsidR="00891119" w:rsidRPr="003A2F86" w:rsidRDefault="00D3435A" w:rsidP="00D3435A">
      <w:pPr>
        <w:pStyle w:val="Naslov4"/>
        <w:rPr>
          <w:rFonts w:ascii="Arial" w:hAnsi="Arial" w:cs="Arial"/>
          <w:lang w:val="hr-HR"/>
        </w:rPr>
      </w:pPr>
      <w:bookmarkStart w:id="149" w:name="_Toc207707432"/>
      <w:r w:rsidRPr="003A2F86">
        <w:rPr>
          <w:rFonts w:ascii="Arial" w:hAnsi="Arial" w:cs="Arial"/>
          <w:lang w:val="hr-HR"/>
        </w:rPr>
        <w:t>2.4.3</w:t>
      </w:r>
      <w:r w:rsidR="00891119" w:rsidRPr="003A2F86">
        <w:rPr>
          <w:rFonts w:ascii="Arial" w:hAnsi="Arial" w:cs="Arial"/>
          <w:lang w:val="hr-HR"/>
        </w:rPr>
        <w:t xml:space="preserve">.3. </w:t>
      </w:r>
      <w:r w:rsidR="00891119" w:rsidRPr="003A2F86">
        <w:rPr>
          <w:rFonts w:ascii="Arial" w:hAnsi="Arial" w:cs="Arial"/>
          <w:lang w:val="hr-HR"/>
        </w:rPr>
        <w:tab/>
        <w:t>Financijski rashodi</w:t>
      </w:r>
      <w:r w:rsidRPr="003A2F86">
        <w:rPr>
          <w:rFonts w:ascii="Arial" w:hAnsi="Arial" w:cs="Arial"/>
          <w:lang w:val="hr-HR"/>
        </w:rPr>
        <w:t xml:space="preserve"> (34)</w:t>
      </w:r>
      <w:bookmarkEnd w:id="149"/>
    </w:p>
    <w:p w14:paraId="4484DE9B"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E28D0B0" w14:textId="298F5CB5" w:rsidR="00792C2A" w:rsidRPr="00792C2A" w:rsidRDefault="00792C2A" w:rsidP="00792C2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150" w:name="_Hlk145938147"/>
      <w:r w:rsidRPr="00792C2A">
        <w:rPr>
          <w:rFonts w:ascii="Arial" w:eastAsia="Times New Roman" w:hAnsi="Arial" w:cs="Arial"/>
          <w:b/>
        </w:rPr>
        <w:t>Financijski rashodi</w:t>
      </w:r>
      <w:r w:rsidRPr="00792C2A">
        <w:rPr>
          <w:rFonts w:ascii="Arial" w:eastAsia="Times New Roman" w:hAnsi="Arial" w:cs="Arial"/>
        </w:rPr>
        <w:t xml:space="preserve"> (34) izvršeni su u iznosu </w:t>
      </w:r>
      <w:bookmarkStart w:id="151" w:name="_Hlk200537008"/>
      <w:r w:rsidR="00112EB7">
        <w:rPr>
          <w:rFonts w:ascii="Arial" w:eastAsia="Times New Roman" w:hAnsi="Arial" w:cs="Arial"/>
        </w:rPr>
        <w:t>24.508,55</w:t>
      </w:r>
      <w:r w:rsidRPr="00792C2A">
        <w:rPr>
          <w:rFonts w:ascii="Arial" w:eastAsia="Times New Roman" w:hAnsi="Arial" w:cs="Arial"/>
        </w:rPr>
        <w:t xml:space="preserve"> € što je manje za </w:t>
      </w:r>
      <w:r w:rsidR="00112EB7">
        <w:rPr>
          <w:rFonts w:ascii="Arial" w:eastAsia="Times New Roman" w:hAnsi="Arial" w:cs="Arial"/>
        </w:rPr>
        <w:t>6.055,37</w:t>
      </w:r>
      <w:r w:rsidRPr="00792C2A">
        <w:rPr>
          <w:rFonts w:ascii="Arial" w:eastAsia="Times New Roman" w:hAnsi="Arial" w:cs="Arial"/>
        </w:rPr>
        <w:t xml:space="preserve"> € ili 1</w:t>
      </w:r>
      <w:r w:rsidR="00112EB7">
        <w:rPr>
          <w:rFonts w:ascii="Arial" w:eastAsia="Times New Roman" w:hAnsi="Arial" w:cs="Arial"/>
        </w:rPr>
        <w:t>9,8</w:t>
      </w:r>
      <w:r w:rsidRPr="00792C2A">
        <w:rPr>
          <w:rFonts w:ascii="Arial" w:eastAsia="Times New Roman" w:hAnsi="Arial" w:cs="Arial"/>
        </w:rPr>
        <w:t xml:space="preserve">% u odnosu na prethodnu godinu. </w:t>
      </w:r>
      <w:bookmarkEnd w:id="151"/>
      <w:r w:rsidRPr="00792C2A">
        <w:rPr>
          <w:rFonts w:ascii="Arial" w:eastAsia="Times New Roman" w:hAnsi="Arial" w:cs="Arial"/>
        </w:rPr>
        <w:t xml:space="preserve">Ovi rashodi se odnose na kamate za primljene kredite i zajmove (342) u iznosu </w:t>
      </w:r>
      <w:bookmarkStart w:id="152" w:name="_Hlk200537048"/>
      <w:r w:rsidR="00112EB7">
        <w:rPr>
          <w:rFonts w:ascii="Arial" w:eastAsia="Times New Roman" w:hAnsi="Arial" w:cs="Arial"/>
        </w:rPr>
        <w:t>10.417,43</w:t>
      </w:r>
      <w:r w:rsidRPr="00792C2A">
        <w:rPr>
          <w:rFonts w:ascii="Arial" w:eastAsia="Times New Roman" w:hAnsi="Arial" w:cs="Arial"/>
        </w:rPr>
        <w:t xml:space="preserve"> </w:t>
      </w:r>
      <w:bookmarkEnd w:id="152"/>
      <w:r w:rsidRPr="00792C2A">
        <w:rPr>
          <w:rFonts w:ascii="Arial" w:eastAsia="Times New Roman" w:hAnsi="Arial" w:cs="Arial"/>
        </w:rPr>
        <w:t>€ (</w:t>
      </w:r>
      <w:r w:rsidR="00112EB7">
        <w:rPr>
          <w:rFonts w:ascii="Arial" w:eastAsia="Times New Roman" w:hAnsi="Arial" w:cs="Arial"/>
        </w:rPr>
        <w:t xml:space="preserve">u proračunskom razdoblju </w:t>
      </w:r>
      <w:r w:rsidRPr="00792C2A">
        <w:rPr>
          <w:rFonts w:ascii="Arial" w:eastAsia="Times New Roman" w:hAnsi="Arial" w:cs="Arial"/>
        </w:rPr>
        <w:t xml:space="preserve">prethodne godine iznosili </w:t>
      </w:r>
      <w:bookmarkStart w:id="153" w:name="_Hlk200537059"/>
      <w:r w:rsidR="00112EB7">
        <w:rPr>
          <w:rFonts w:ascii="Arial" w:eastAsia="Times New Roman" w:hAnsi="Arial" w:cs="Arial"/>
        </w:rPr>
        <w:t>21.678,61</w:t>
      </w:r>
      <w:r w:rsidRPr="00792C2A">
        <w:rPr>
          <w:rFonts w:ascii="Arial" w:eastAsia="Times New Roman" w:hAnsi="Arial" w:cs="Arial"/>
        </w:rPr>
        <w:t xml:space="preserve"> </w:t>
      </w:r>
      <w:bookmarkEnd w:id="153"/>
      <w:r w:rsidRPr="00792C2A">
        <w:rPr>
          <w:rFonts w:ascii="Arial" w:eastAsia="Times New Roman" w:hAnsi="Arial" w:cs="Arial"/>
        </w:rPr>
        <w:t xml:space="preserve">€ redovne kamate po kreditu) i ostale financijske rashode (343) u iznosu </w:t>
      </w:r>
      <w:bookmarkStart w:id="154" w:name="_Hlk200537074"/>
      <w:r w:rsidR="00112EB7">
        <w:rPr>
          <w:rFonts w:ascii="Arial" w:eastAsia="Times New Roman" w:hAnsi="Arial" w:cs="Arial"/>
        </w:rPr>
        <w:t>14.091,12</w:t>
      </w:r>
      <w:r w:rsidRPr="00792C2A">
        <w:rPr>
          <w:rFonts w:ascii="Arial" w:eastAsia="Times New Roman" w:hAnsi="Arial" w:cs="Arial"/>
        </w:rPr>
        <w:t xml:space="preserve"> </w:t>
      </w:r>
      <w:bookmarkEnd w:id="154"/>
      <w:r w:rsidRPr="00792C2A">
        <w:rPr>
          <w:rFonts w:ascii="Arial" w:eastAsia="Times New Roman" w:hAnsi="Arial" w:cs="Arial"/>
        </w:rPr>
        <w:t xml:space="preserve">€. Ostali financijski rashodi se odnose na bankarske usluge i usluge platnog prometa. </w:t>
      </w:r>
    </w:p>
    <w:p w14:paraId="110EB656" w14:textId="77777777" w:rsidR="009C0D25" w:rsidRPr="003A2F86" w:rsidRDefault="009C0D25" w:rsidP="005435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7671544" w14:textId="757F60DA" w:rsidR="009C0D25" w:rsidRPr="003A2F86" w:rsidRDefault="009C0D25" w:rsidP="009C0D2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3A2F86">
        <w:rPr>
          <w:rFonts w:ascii="Arial" w:eastAsia="Times New Roman" w:hAnsi="Arial" w:cs="Arial"/>
          <w:iCs/>
          <w:color w:val="1F497D" w:themeColor="text2"/>
        </w:rPr>
        <w:t xml:space="preserve">Na rashode Općine odnosi se </w:t>
      </w:r>
      <w:bookmarkStart w:id="155" w:name="_Hlk200537118"/>
      <w:r w:rsidR="004C16D0">
        <w:rPr>
          <w:rFonts w:ascii="Arial" w:eastAsia="Times New Roman" w:hAnsi="Arial" w:cs="Arial"/>
          <w:iCs/>
          <w:color w:val="1F497D" w:themeColor="text2"/>
        </w:rPr>
        <w:t>24.303,72</w:t>
      </w:r>
      <w:r w:rsidRPr="003A2F86">
        <w:rPr>
          <w:rFonts w:ascii="Arial" w:eastAsia="Times New Roman" w:hAnsi="Arial" w:cs="Arial"/>
          <w:iCs/>
          <w:color w:val="1F497D" w:themeColor="text2"/>
        </w:rPr>
        <w:t xml:space="preserve"> € </w:t>
      </w:r>
      <w:bookmarkEnd w:id="155"/>
      <w:r w:rsidRPr="003A2F86">
        <w:rPr>
          <w:rFonts w:ascii="Arial" w:eastAsia="Times New Roman" w:hAnsi="Arial" w:cs="Arial"/>
          <w:iCs/>
        </w:rPr>
        <w:t>ili 99,</w:t>
      </w:r>
      <w:r w:rsidR="004C16D0">
        <w:rPr>
          <w:rFonts w:ascii="Arial" w:eastAsia="Times New Roman" w:hAnsi="Arial" w:cs="Arial"/>
          <w:iCs/>
        </w:rPr>
        <w:t>2</w:t>
      </w:r>
      <w:r w:rsidRPr="003A2F86">
        <w:rPr>
          <w:rFonts w:ascii="Arial" w:eastAsia="Times New Roman" w:hAnsi="Arial" w:cs="Arial"/>
          <w:iCs/>
        </w:rPr>
        <w:t xml:space="preserve">%, </w:t>
      </w:r>
      <w:r w:rsidRPr="003A2F86">
        <w:rPr>
          <w:rFonts w:ascii="Arial" w:eastAsia="Times New Roman" w:hAnsi="Arial" w:cs="Arial"/>
          <w:iCs/>
          <w:color w:val="1F497D" w:themeColor="text2"/>
        </w:rPr>
        <w:t xml:space="preserve">a na proračunske korisnike </w:t>
      </w:r>
      <w:r w:rsidR="004C16D0">
        <w:rPr>
          <w:rFonts w:ascii="Arial" w:eastAsia="Times New Roman" w:hAnsi="Arial" w:cs="Arial"/>
          <w:iCs/>
          <w:color w:val="1F497D" w:themeColor="text2"/>
        </w:rPr>
        <w:t>204,83</w:t>
      </w:r>
      <w:r w:rsidRPr="003A2F86">
        <w:rPr>
          <w:rFonts w:ascii="Arial" w:eastAsia="Times New Roman" w:hAnsi="Arial" w:cs="Arial"/>
          <w:iCs/>
          <w:color w:val="1F497D" w:themeColor="text2"/>
        </w:rPr>
        <w:t xml:space="preserve"> €</w:t>
      </w:r>
      <w:r w:rsidRPr="003A2F86">
        <w:rPr>
          <w:rFonts w:ascii="Arial" w:eastAsia="Times New Roman" w:hAnsi="Arial" w:cs="Arial"/>
          <w:iCs/>
        </w:rPr>
        <w:t xml:space="preserve"> ili 0,</w:t>
      </w:r>
      <w:r w:rsidR="004C16D0">
        <w:rPr>
          <w:rFonts w:ascii="Arial" w:eastAsia="Times New Roman" w:hAnsi="Arial" w:cs="Arial"/>
          <w:iCs/>
        </w:rPr>
        <w:t>8</w:t>
      </w:r>
      <w:r w:rsidRPr="003A2F86">
        <w:rPr>
          <w:rFonts w:ascii="Arial" w:eastAsia="Times New Roman" w:hAnsi="Arial" w:cs="Arial"/>
          <w:iCs/>
        </w:rPr>
        <w:t>% ukupnih financijskih rashoda.</w:t>
      </w:r>
    </w:p>
    <w:p w14:paraId="10C8C65D" w14:textId="77777777" w:rsidR="008866EA" w:rsidRPr="003A2F86" w:rsidRDefault="008866EA" w:rsidP="008866E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323DD7D2" w14:textId="694E14FF" w:rsidR="008866EA" w:rsidRPr="003A2F86" w:rsidRDefault="008866EA" w:rsidP="008866E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bookmarkStart w:id="156" w:name="_Hlk207631578"/>
      <w:r w:rsidRPr="003A2F86">
        <w:rPr>
          <w:rFonts w:ascii="Arial" w:hAnsi="Arial" w:cs="Arial"/>
        </w:rPr>
        <w:t>U tekućoj 20</w:t>
      </w:r>
      <w:r w:rsidR="004C16D0">
        <w:rPr>
          <w:rFonts w:ascii="Arial" w:hAnsi="Arial" w:cs="Arial"/>
        </w:rPr>
        <w:t>25</w:t>
      </w:r>
      <w:r w:rsidRPr="003A2F86">
        <w:rPr>
          <w:rFonts w:ascii="Arial" w:hAnsi="Arial" w:cs="Arial"/>
        </w:rPr>
        <w:t xml:space="preserve">. podmirene su kamate po kreditu za izgradnju doma za starije u iznosu </w:t>
      </w:r>
      <w:r w:rsidR="004C16D0">
        <w:rPr>
          <w:rFonts w:ascii="Arial" w:hAnsi="Arial" w:cs="Arial"/>
        </w:rPr>
        <w:t>2.498,06</w:t>
      </w:r>
      <w:r w:rsidRPr="003A2F86">
        <w:rPr>
          <w:rFonts w:ascii="Arial" w:hAnsi="Arial" w:cs="Arial"/>
        </w:rPr>
        <w:t xml:space="preserve"> €, redovne kamate za kredit za izgradnju vatrogasnog doma u iznosu </w:t>
      </w:r>
      <w:r w:rsidR="004C16D0">
        <w:rPr>
          <w:rFonts w:ascii="Arial" w:hAnsi="Arial" w:cs="Arial"/>
        </w:rPr>
        <w:t>6.467,48</w:t>
      </w:r>
      <w:r w:rsidRPr="003A2F86">
        <w:rPr>
          <w:rFonts w:ascii="Arial" w:hAnsi="Arial" w:cs="Arial"/>
        </w:rPr>
        <w:t xml:space="preserve"> €, te kamate za kredit za izmjenu javne rasvjete (energetska učinkovitost) u iznosu </w:t>
      </w:r>
      <w:r w:rsidR="004C16D0">
        <w:rPr>
          <w:rFonts w:ascii="Arial" w:hAnsi="Arial" w:cs="Arial"/>
        </w:rPr>
        <w:t>1.451,89</w:t>
      </w:r>
      <w:r w:rsidRPr="003A2F86">
        <w:rPr>
          <w:rFonts w:ascii="Arial" w:hAnsi="Arial" w:cs="Arial"/>
        </w:rPr>
        <w:t xml:space="preserve"> €. </w:t>
      </w:r>
    </w:p>
    <w:bookmarkEnd w:id="156"/>
    <w:p w14:paraId="5B9DBAE6" w14:textId="77777777" w:rsidR="009C0D25" w:rsidRPr="00082B02" w:rsidRDefault="009C0D25" w:rsidP="005435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2AB47DDA" w14:textId="4649C9E0" w:rsidR="009C0D25" w:rsidRPr="003A2F86" w:rsidRDefault="00A06C94" w:rsidP="002112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r w:rsidRPr="003A2F86">
        <w:rPr>
          <w:rFonts w:ascii="Arial" w:hAnsi="Arial" w:cs="Arial"/>
          <w:sz w:val="18"/>
          <w:szCs w:val="18"/>
        </w:rPr>
        <w:t>Sveukupno u</w:t>
      </w:r>
      <w:r w:rsidR="009C0D25" w:rsidRPr="003A2F86">
        <w:rPr>
          <w:rFonts w:ascii="Arial" w:hAnsi="Arial" w:cs="Arial"/>
          <w:sz w:val="18"/>
          <w:szCs w:val="18"/>
        </w:rPr>
        <w:t xml:space="preserve"> </w:t>
      </w:r>
      <w:r w:rsidR="009C0D25" w:rsidRPr="004C16D0">
        <w:rPr>
          <w:rFonts w:ascii="Arial" w:hAnsi="Arial" w:cs="Arial"/>
          <w:b/>
          <w:bCs/>
          <w:sz w:val="18"/>
          <w:szCs w:val="18"/>
        </w:rPr>
        <w:t>2023</w:t>
      </w:r>
      <w:r w:rsidR="009C0D25" w:rsidRPr="003A2F86">
        <w:rPr>
          <w:rFonts w:ascii="Arial" w:hAnsi="Arial" w:cs="Arial"/>
          <w:sz w:val="18"/>
          <w:szCs w:val="18"/>
        </w:rPr>
        <w:t xml:space="preserve">. podmirene su kamate po kreditu za izgradnju doma za starije 32.382,77 €, redovne kamate za odobreni kredit za izgradnju vatrogasnog doma 13.378,45 €, te interkalarne kamate za odobreni, a nerealizirani kredit za izmjenu javne rasvjete (energetska učinkovitost) 34,93 €. </w:t>
      </w:r>
    </w:p>
    <w:p w14:paraId="04B5BBBE" w14:textId="43165423" w:rsidR="009C0D25" w:rsidRDefault="004C16D0" w:rsidP="004C16D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Pr>
          <w:rFonts w:ascii="Arial" w:eastAsia="Times New Roman" w:hAnsi="Arial" w:cs="Arial"/>
          <w:sz w:val="18"/>
          <w:szCs w:val="18"/>
        </w:rPr>
        <w:lastRenderedPageBreak/>
        <w:t xml:space="preserve">Sveukupno u </w:t>
      </w:r>
      <w:r w:rsidRPr="004C16D0">
        <w:rPr>
          <w:rFonts w:ascii="Arial" w:eastAsia="Times New Roman" w:hAnsi="Arial" w:cs="Arial"/>
          <w:b/>
          <w:bCs/>
          <w:sz w:val="18"/>
          <w:szCs w:val="18"/>
        </w:rPr>
        <w:t>2024</w:t>
      </w:r>
      <w:r>
        <w:rPr>
          <w:rFonts w:ascii="Arial" w:eastAsia="Times New Roman" w:hAnsi="Arial" w:cs="Arial"/>
          <w:sz w:val="18"/>
          <w:szCs w:val="18"/>
        </w:rPr>
        <w:t xml:space="preserve">. </w:t>
      </w:r>
      <w:r w:rsidRPr="004C16D0">
        <w:rPr>
          <w:rFonts w:ascii="Arial" w:eastAsia="Times New Roman" w:hAnsi="Arial" w:cs="Arial"/>
          <w:sz w:val="18"/>
          <w:szCs w:val="18"/>
        </w:rPr>
        <w:t>podmirene su kamate po kreditu za izgradnju doma za starije u iznosu 21.334,83 €, redovne kamate za odobreni kredit za izgradnju vatrogasnog doma u iznosu 13.378,46 €, te kamate za odobreni kredit za izmjenu javne rasvjete (energetska učinkovitost) u iznosu 3.777,01 €.</w:t>
      </w:r>
    </w:p>
    <w:p w14:paraId="74DC44BD" w14:textId="77777777" w:rsidR="004C16D0" w:rsidRPr="00082B02" w:rsidRDefault="004C16D0" w:rsidP="004C16D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p>
    <w:p w14:paraId="4184DAD5" w14:textId="3463BD37" w:rsidR="00A06C94" w:rsidRDefault="006D7615" w:rsidP="005435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Za kredit </w:t>
      </w:r>
      <w:r w:rsidR="009C0D25" w:rsidRPr="003A2F86">
        <w:rPr>
          <w:rFonts w:ascii="Arial" w:eastAsia="Times New Roman" w:hAnsi="Arial" w:cs="Arial"/>
        </w:rPr>
        <w:t xml:space="preserve">za izgradnju doma </w:t>
      </w:r>
      <w:r w:rsidRPr="003A2F86">
        <w:rPr>
          <w:rFonts w:ascii="Arial" w:eastAsia="Times New Roman" w:hAnsi="Arial" w:cs="Arial"/>
        </w:rPr>
        <w:t xml:space="preserve">visina kamate stope za redovne kamate je </w:t>
      </w:r>
      <w:r w:rsidR="00792C2A">
        <w:rPr>
          <w:rFonts w:ascii="Arial" w:eastAsia="Times New Roman" w:hAnsi="Arial" w:cs="Arial"/>
        </w:rPr>
        <w:t xml:space="preserve">ranijih godina bila </w:t>
      </w:r>
      <w:r w:rsidRPr="003A2F86">
        <w:rPr>
          <w:rFonts w:ascii="Arial" w:eastAsia="Times New Roman" w:hAnsi="Arial" w:cs="Arial"/>
        </w:rPr>
        <w:t>porasla</w:t>
      </w:r>
      <w:r w:rsidR="00A06C94" w:rsidRPr="003A2F86">
        <w:rPr>
          <w:rFonts w:ascii="Arial" w:eastAsia="Times New Roman" w:hAnsi="Arial" w:cs="Arial"/>
        </w:rPr>
        <w:t xml:space="preserve">, ali je </w:t>
      </w:r>
      <w:r w:rsidR="00792C2A">
        <w:rPr>
          <w:rFonts w:ascii="Arial" w:eastAsia="Times New Roman" w:hAnsi="Arial" w:cs="Arial"/>
        </w:rPr>
        <w:t>koncem 2023 i u 2024. godini smanjena</w:t>
      </w:r>
      <w:r w:rsidRPr="003A2F86">
        <w:rPr>
          <w:rFonts w:ascii="Arial" w:eastAsia="Times New Roman" w:hAnsi="Arial" w:cs="Arial"/>
        </w:rPr>
        <w:t xml:space="preserve">. </w:t>
      </w:r>
      <w:bookmarkStart w:id="157" w:name="_Hlk166596669"/>
      <w:r w:rsidRPr="0021122B">
        <w:rPr>
          <w:rFonts w:ascii="Arial" w:eastAsia="Times New Roman" w:hAnsi="Arial" w:cs="Arial"/>
          <w:sz w:val="18"/>
          <w:szCs w:val="18"/>
        </w:rPr>
        <w:t xml:space="preserve">Za </w:t>
      </w:r>
      <w:r w:rsidR="00A06C94" w:rsidRPr="0021122B">
        <w:rPr>
          <w:rFonts w:ascii="Arial" w:eastAsia="Times New Roman" w:hAnsi="Arial" w:cs="Arial"/>
          <w:sz w:val="18"/>
          <w:szCs w:val="18"/>
        </w:rPr>
        <w:t>2022. godinu</w:t>
      </w:r>
      <w:r w:rsidRPr="0021122B">
        <w:rPr>
          <w:rFonts w:ascii="Arial" w:eastAsia="Times New Roman" w:hAnsi="Arial" w:cs="Arial"/>
          <w:sz w:val="18"/>
          <w:szCs w:val="18"/>
        </w:rPr>
        <w:t xml:space="preserve"> ove kamate su iznosile </w:t>
      </w:r>
      <w:r w:rsidR="009C0D25" w:rsidRPr="0021122B">
        <w:rPr>
          <w:rFonts w:ascii="Arial" w:eastAsia="Times New Roman" w:hAnsi="Arial" w:cs="Arial"/>
          <w:sz w:val="18"/>
          <w:szCs w:val="18"/>
        </w:rPr>
        <w:t>14.249,05</w:t>
      </w:r>
      <w:r w:rsidRPr="0021122B">
        <w:rPr>
          <w:rFonts w:ascii="Arial" w:eastAsia="Times New Roman" w:hAnsi="Arial" w:cs="Arial"/>
          <w:sz w:val="18"/>
          <w:szCs w:val="18"/>
        </w:rPr>
        <w:t xml:space="preserve"> €, dok </w:t>
      </w:r>
      <w:r w:rsidR="00A06C94" w:rsidRPr="0021122B">
        <w:rPr>
          <w:rFonts w:ascii="Arial" w:eastAsia="Times New Roman" w:hAnsi="Arial" w:cs="Arial"/>
          <w:sz w:val="18"/>
          <w:szCs w:val="18"/>
        </w:rPr>
        <w:t xml:space="preserve">su </w:t>
      </w:r>
      <w:r w:rsidR="00E729CF" w:rsidRPr="0021122B">
        <w:rPr>
          <w:rFonts w:ascii="Arial" w:eastAsia="Times New Roman" w:hAnsi="Arial" w:cs="Arial"/>
          <w:sz w:val="18"/>
          <w:szCs w:val="18"/>
        </w:rPr>
        <w:t xml:space="preserve">u 2023. godini </w:t>
      </w:r>
      <w:r w:rsidRPr="0021122B">
        <w:rPr>
          <w:rFonts w:ascii="Arial" w:eastAsia="Times New Roman" w:hAnsi="Arial" w:cs="Arial"/>
          <w:sz w:val="18"/>
          <w:szCs w:val="18"/>
        </w:rPr>
        <w:t>iznos</w:t>
      </w:r>
      <w:r w:rsidR="00A06C94" w:rsidRPr="0021122B">
        <w:rPr>
          <w:rFonts w:ascii="Arial" w:eastAsia="Times New Roman" w:hAnsi="Arial" w:cs="Arial"/>
          <w:sz w:val="18"/>
          <w:szCs w:val="18"/>
        </w:rPr>
        <w:t>ile</w:t>
      </w:r>
      <w:r w:rsidRPr="0021122B">
        <w:rPr>
          <w:rFonts w:ascii="Arial" w:eastAsia="Times New Roman" w:hAnsi="Arial" w:cs="Arial"/>
          <w:sz w:val="18"/>
          <w:szCs w:val="18"/>
        </w:rPr>
        <w:t xml:space="preserve"> </w:t>
      </w:r>
      <w:r w:rsidR="009C0D25" w:rsidRPr="0021122B">
        <w:rPr>
          <w:rFonts w:ascii="Arial" w:eastAsia="Times New Roman" w:hAnsi="Arial" w:cs="Arial"/>
          <w:sz w:val="18"/>
          <w:szCs w:val="18"/>
        </w:rPr>
        <w:t>32.382,77 € (</w:t>
      </w:r>
      <w:r w:rsidRPr="0021122B">
        <w:rPr>
          <w:rFonts w:ascii="Arial" w:eastAsia="Times New Roman" w:hAnsi="Arial" w:cs="Arial"/>
          <w:sz w:val="18"/>
          <w:szCs w:val="18"/>
        </w:rPr>
        <w:t xml:space="preserve">više </w:t>
      </w:r>
      <w:r w:rsidR="009C0D25" w:rsidRPr="0021122B">
        <w:rPr>
          <w:rFonts w:ascii="Arial" w:eastAsia="Times New Roman" w:hAnsi="Arial" w:cs="Arial"/>
          <w:sz w:val="18"/>
          <w:szCs w:val="18"/>
        </w:rPr>
        <w:t>18.133,72</w:t>
      </w:r>
      <w:r w:rsidRPr="0021122B">
        <w:rPr>
          <w:rFonts w:ascii="Arial" w:eastAsia="Times New Roman" w:hAnsi="Arial" w:cs="Arial"/>
          <w:sz w:val="18"/>
          <w:szCs w:val="18"/>
        </w:rPr>
        <w:t xml:space="preserve"> €</w:t>
      </w:r>
      <w:r w:rsidR="009C0D25" w:rsidRPr="0021122B">
        <w:rPr>
          <w:rFonts w:ascii="Arial" w:eastAsia="Times New Roman" w:hAnsi="Arial" w:cs="Arial"/>
          <w:sz w:val="18"/>
          <w:szCs w:val="18"/>
        </w:rPr>
        <w:t>)</w:t>
      </w:r>
      <w:r w:rsidR="000524B2" w:rsidRPr="0021122B">
        <w:rPr>
          <w:rFonts w:ascii="Arial" w:eastAsia="Times New Roman" w:hAnsi="Arial" w:cs="Arial"/>
          <w:sz w:val="18"/>
          <w:szCs w:val="18"/>
        </w:rPr>
        <w:t xml:space="preserve">, </w:t>
      </w:r>
      <w:r w:rsidR="000524B2">
        <w:rPr>
          <w:rFonts w:ascii="Arial" w:eastAsia="Times New Roman" w:hAnsi="Arial" w:cs="Arial"/>
        </w:rPr>
        <w:t xml:space="preserve">a za 2024. godinu </w:t>
      </w:r>
      <w:r w:rsidR="0021122B">
        <w:rPr>
          <w:rFonts w:ascii="Arial" w:eastAsia="Times New Roman" w:hAnsi="Arial" w:cs="Arial"/>
        </w:rPr>
        <w:t xml:space="preserve">kamate </w:t>
      </w:r>
      <w:r w:rsidR="000524B2">
        <w:rPr>
          <w:rFonts w:ascii="Arial" w:eastAsia="Times New Roman" w:hAnsi="Arial" w:cs="Arial"/>
        </w:rPr>
        <w:t>iznose 21.334,83 € (manje za 11.047,94 € u odnosu na prethodnu godinu).</w:t>
      </w:r>
      <w:r w:rsidR="004C16D0">
        <w:rPr>
          <w:rFonts w:ascii="Arial" w:eastAsia="Times New Roman" w:hAnsi="Arial" w:cs="Arial"/>
        </w:rPr>
        <w:t xml:space="preserve"> U prvom polugodištu 2025. godine u cijelosti je otplaćen kredit za izgradnju doma za stare. </w:t>
      </w:r>
    </w:p>
    <w:p w14:paraId="3E22E3D4" w14:textId="77777777" w:rsidR="004C16D0" w:rsidRPr="003A2F86" w:rsidRDefault="004C16D0" w:rsidP="005435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9D2884B" w14:textId="5BF49DBD" w:rsidR="00A06C94" w:rsidRPr="0021122B" w:rsidRDefault="006D7615" w:rsidP="00082B0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21122B">
        <w:rPr>
          <w:rFonts w:ascii="Arial" w:eastAsia="Times New Roman" w:hAnsi="Arial" w:cs="Arial"/>
          <w:sz w:val="18"/>
          <w:szCs w:val="18"/>
        </w:rPr>
        <w:t xml:space="preserve">Kamatna stopa za ovaj kredit </w:t>
      </w:r>
      <w:r w:rsidR="00A06C94" w:rsidRPr="0021122B">
        <w:rPr>
          <w:rFonts w:ascii="Arial" w:eastAsia="Times New Roman" w:hAnsi="Arial" w:cs="Arial"/>
          <w:sz w:val="18"/>
          <w:szCs w:val="18"/>
        </w:rPr>
        <w:t xml:space="preserve">30.6.22. iznosila je 0,016%, a </w:t>
      </w:r>
      <w:r w:rsidRPr="0021122B">
        <w:rPr>
          <w:rFonts w:ascii="Arial" w:eastAsia="Times New Roman" w:hAnsi="Arial" w:cs="Arial"/>
          <w:sz w:val="18"/>
          <w:szCs w:val="18"/>
        </w:rPr>
        <w:t>30.6.23</w:t>
      </w:r>
      <w:r w:rsidR="00506EBA" w:rsidRPr="0021122B">
        <w:rPr>
          <w:rFonts w:ascii="Arial" w:eastAsia="Times New Roman" w:hAnsi="Arial" w:cs="Arial"/>
          <w:sz w:val="18"/>
          <w:szCs w:val="18"/>
        </w:rPr>
        <w:t>.</w:t>
      </w:r>
      <w:r w:rsidRPr="0021122B">
        <w:rPr>
          <w:rFonts w:ascii="Arial" w:eastAsia="Times New Roman" w:hAnsi="Arial" w:cs="Arial"/>
          <w:sz w:val="18"/>
          <w:szCs w:val="18"/>
        </w:rPr>
        <w:t xml:space="preserve"> iznosi</w:t>
      </w:r>
      <w:r w:rsidR="00A06C94" w:rsidRPr="0021122B">
        <w:rPr>
          <w:rFonts w:ascii="Arial" w:eastAsia="Times New Roman" w:hAnsi="Arial" w:cs="Arial"/>
          <w:sz w:val="18"/>
          <w:szCs w:val="18"/>
        </w:rPr>
        <w:t>la je</w:t>
      </w:r>
      <w:r w:rsidRPr="0021122B">
        <w:rPr>
          <w:rFonts w:ascii="Arial" w:eastAsia="Times New Roman" w:hAnsi="Arial" w:cs="Arial"/>
          <w:sz w:val="18"/>
          <w:szCs w:val="18"/>
        </w:rPr>
        <w:t xml:space="preserve"> 4.495</w:t>
      </w:r>
      <w:r w:rsidR="00506EBA" w:rsidRPr="0021122B">
        <w:rPr>
          <w:rFonts w:ascii="Arial" w:eastAsia="Times New Roman" w:hAnsi="Arial" w:cs="Arial"/>
          <w:sz w:val="18"/>
          <w:szCs w:val="18"/>
        </w:rPr>
        <w:t>%</w:t>
      </w:r>
      <w:r w:rsidR="00A06C94" w:rsidRPr="0021122B">
        <w:rPr>
          <w:rFonts w:ascii="Arial" w:eastAsia="Times New Roman" w:hAnsi="Arial" w:cs="Arial"/>
          <w:sz w:val="18"/>
          <w:szCs w:val="18"/>
        </w:rPr>
        <w:t xml:space="preserve">. </w:t>
      </w:r>
    </w:p>
    <w:p w14:paraId="347530BA" w14:textId="20CBE9BC" w:rsidR="006D7615" w:rsidRPr="0021122B" w:rsidRDefault="009C0D25" w:rsidP="00082B0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21122B">
        <w:rPr>
          <w:rFonts w:ascii="Arial" w:eastAsia="Times New Roman" w:hAnsi="Arial" w:cs="Arial"/>
          <w:sz w:val="18"/>
          <w:szCs w:val="18"/>
        </w:rPr>
        <w:t xml:space="preserve">Kamatna stopa za ovaj kredit </w:t>
      </w:r>
      <w:r w:rsidR="00A06C94" w:rsidRPr="0021122B">
        <w:rPr>
          <w:rFonts w:ascii="Arial" w:eastAsia="Times New Roman" w:hAnsi="Arial" w:cs="Arial"/>
          <w:sz w:val="18"/>
          <w:szCs w:val="18"/>
        </w:rPr>
        <w:t xml:space="preserve">31.12.22. iznosila je 2,673%, a </w:t>
      </w:r>
      <w:r w:rsidRPr="0021122B">
        <w:rPr>
          <w:rFonts w:ascii="Arial" w:eastAsia="Times New Roman" w:hAnsi="Arial" w:cs="Arial"/>
          <w:sz w:val="18"/>
          <w:szCs w:val="18"/>
        </w:rPr>
        <w:t>31.12.23. iznosi</w:t>
      </w:r>
      <w:r w:rsidR="00A06C94" w:rsidRPr="0021122B">
        <w:rPr>
          <w:rFonts w:ascii="Arial" w:eastAsia="Times New Roman" w:hAnsi="Arial" w:cs="Arial"/>
          <w:sz w:val="18"/>
          <w:szCs w:val="18"/>
        </w:rPr>
        <w:t>la je</w:t>
      </w:r>
      <w:r w:rsidRPr="0021122B">
        <w:rPr>
          <w:rFonts w:ascii="Arial" w:eastAsia="Times New Roman" w:hAnsi="Arial" w:cs="Arial"/>
          <w:sz w:val="18"/>
          <w:szCs w:val="18"/>
        </w:rPr>
        <w:t xml:space="preserve"> </w:t>
      </w:r>
      <w:r w:rsidR="00983151" w:rsidRPr="0021122B">
        <w:rPr>
          <w:rFonts w:ascii="Arial" w:eastAsia="Times New Roman" w:hAnsi="Arial" w:cs="Arial"/>
          <w:sz w:val="18"/>
          <w:szCs w:val="18"/>
        </w:rPr>
        <w:t>5,452</w:t>
      </w:r>
      <w:r w:rsidRPr="0021122B">
        <w:rPr>
          <w:rFonts w:ascii="Arial" w:eastAsia="Times New Roman" w:hAnsi="Arial" w:cs="Arial"/>
          <w:sz w:val="18"/>
          <w:szCs w:val="18"/>
        </w:rPr>
        <w:t>%</w:t>
      </w:r>
      <w:r w:rsidR="00A06C94" w:rsidRPr="0021122B">
        <w:rPr>
          <w:rFonts w:ascii="Arial" w:eastAsia="Times New Roman" w:hAnsi="Arial" w:cs="Arial"/>
          <w:sz w:val="18"/>
          <w:szCs w:val="18"/>
        </w:rPr>
        <w:t>.</w:t>
      </w:r>
      <w:r w:rsidRPr="0021122B">
        <w:rPr>
          <w:rFonts w:ascii="Arial" w:eastAsia="Times New Roman" w:hAnsi="Arial" w:cs="Arial"/>
          <w:sz w:val="18"/>
          <w:szCs w:val="18"/>
        </w:rPr>
        <w:t xml:space="preserve"> </w:t>
      </w:r>
    </w:p>
    <w:bookmarkEnd w:id="157"/>
    <w:p w14:paraId="573E1652" w14:textId="08B39220" w:rsidR="004C16D0" w:rsidRPr="004C16D0" w:rsidRDefault="004C16D0" w:rsidP="004C16D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r w:rsidRPr="004C16D0">
        <w:rPr>
          <w:rFonts w:ascii="Arial" w:eastAsia="Times New Roman" w:hAnsi="Arial" w:cs="Arial"/>
          <w:sz w:val="18"/>
          <w:szCs w:val="18"/>
        </w:rPr>
        <w:tab/>
        <w:t>Kamata u ožujku 2024. je iznosila 5,373 %, u lipnju 2024. je iznosila 5,382%, a 31.12.24. iznosila je 4,806%.</w:t>
      </w:r>
    </w:p>
    <w:p w14:paraId="74789A4C" w14:textId="77777777" w:rsidR="0021122B" w:rsidRDefault="0021122B" w:rsidP="005435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9C362C4" w14:textId="5A276163" w:rsidR="00506EBA" w:rsidRDefault="00A06C94" w:rsidP="005435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Kamata u ožujku 202</w:t>
      </w:r>
      <w:r w:rsidR="004C16D0">
        <w:rPr>
          <w:rFonts w:ascii="Arial" w:eastAsia="Times New Roman" w:hAnsi="Arial" w:cs="Arial"/>
        </w:rPr>
        <w:t>5</w:t>
      </w:r>
      <w:r w:rsidRPr="003A2F86">
        <w:rPr>
          <w:rFonts w:ascii="Arial" w:eastAsia="Times New Roman" w:hAnsi="Arial" w:cs="Arial"/>
        </w:rPr>
        <w:t xml:space="preserve">. je iznosila </w:t>
      </w:r>
      <w:r w:rsidR="004C16D0">
        <w:rPr>
          <w:rFonts w:ascii="Arial" w:eastAsia="Times New Roman" w:hAnsi="Arial" w:cs="Arial"/>
        </w:rPr>
        <w:t>4,163</w:t>
      </w:r>
      <w:r w:rsidRPr="003A2F86">
        <w:rPr>
          <w:rFonts w:ascii="Arial" w:eastAsia="Times New Roman" w:hAnsi="Arial" w:cs="Arial"/>
        </w:rPr>
        <w:t xml:space="preserve"> %</w:t>
      </w:r>
      <w:r w:rsidR="009923F0">
        <w:rPr>
          <w:rFonts w:ascii="Arial" w:eastAsia="Times New Roman" w:hAnsi="Arial" w:cs="Arial"/>
        </w:rPr>
        <w:t>, a u travnju 2025. godine u vrijeme konačne otplate kredita 3,808%.</w:t>
      </w:r>
    </w:p>
    <w:p w14:paraId="374000C6" w14:textId="77777777" w:rsidR="009923F0" w:rsidRDefault="009923F0" w:rsidP="005435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CE0CAAE" w14:textId="59E7649F" w:rsidR="009923F0" w:rsidRPr="003A2F86" w:rsidRDefault="009923F0" w:rsidP="005435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Naknada za prijevremenu otplatu kredita je plaćena 1.463,53 € (kamate do konačne otplate u rujnu 2025. bi bile veće).</w:t>
      </w:r>
    </w:p>
    <w:bookmarkEnd w:id="150"/>
    <w:p w14:paraId="582CC254" w14:textId="45D47829" w:rsidR="00A76325" w:rsidRPr="003A2F86" w:rsidRDefault="00A76325" w:rsidP="00C175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br w:type="page"/>
      </w:r>
    </w:p>
    <w:p w14:paraId="482800D5" w14:textId="5BB1FC0A" w:rsidR="00891119" w:rsidRPr="003A2F86" w:rsidRDefault="00D3435A" w:rsidP="00D3435A">
      <w:pPr>
        <w:pStyle w:val="Naslov4"/>
        <w:rPr>
          <w:rFonts w:ascii="Arial" w:hAnsi="Arial" w:cs="Arial"/>
          <w:lang w:val="hr-HR"/>
        </w:rPr>
      </w:pPr>
      <w:bookmarkStart w:id="158" w:name="_Toc207707433"/>
      <w:r w:rsidRPr="003A2F86">
        <w:rPr>
          <w:rFonts w:ascii="Arial" w:hAnsi="Arial" w:cs="Arial"/>
          <w:lang w:val="hr-HR"/>
        </w:rPr>
        <w:lastRenderedPageBreak/>
        <w:t>2.4.3</w:t>
      </w:r>
      <w:r w:rsidR="00891119" w:rsidRPr="003A2F86">
        <w:rPr>
          <w:rFonts w:ascii="Arial" w:hAnsi="Arial" w:cs="Arial"/>
          <w:lang w:val="hr-HR"/>
        </w:rPr>
        <w:t xml:space="preserve">.4. </w:t>
      </w:r>
      <w:r w:rsidR="00891119" w:rsidRPr="003A2F86">
        <w:rPr>
          <w:rFonts w:ascii="Arial" w:hAnsi="Arial" w:cs="Arial"/>
          <w:lang w:val="hr-HR"/>
        </w:rPr>
        <w:tab/>
      </w:r>
      <w:r w:rsidR="00891119" w:rsidRPr="003A2F86">
        <w:rPr>
          <w:rFonts w:ascii="Arial" w:hAnsi="Arial" w:cs="Arial"/>
          <w:iCs/>
          <w:lang w:val="hr-HR"/>
        </w:rPr>
        <w:t>Subvencije</w:t>
      </w:r>
      <w:r w:rsidRPr="003A2F86">
        <w:rPr>
          <w:rFonts w:ascii="Arial" w:hAnsi="Arial" w:cs="Arial"/>
          <w:iCs/>
          <w:lang w:val="hr-HR"/>
        </w:rPr>
        <w:t xml:space="preserve"> (35)</w:t>
      </w:r>
      <w:bookmarkEnd w:id="158"/>
    </w:p>
    <w:p w14:paraId="41B4CFEF"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3E59C6DB" w14:textId="09D49961" w:rsidR="000524B2" w:rsidRPr="000524B2" w:rsidRDefault="000524B2" w:rsidP="00052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0524B2">
        <w:rPr>
          <w:rFonts w:ascii="Arial" w:eastAsia="Times New Roman" w:hAnsi="Arial" w:cs="Arial"/>
          <w:b/>
        </w:rPr>
        <w:t>Subvencije</w:t>
      </w:r>
      <w:r w:rsidRPr="000524B2">
        <w:rPr>
          <w:rFonts w:ascii="Arial" w:eastAsia="Times New Roman" w:hAnsi="Arial" w:cs="Arial"/>
        </w:rPr>
        <w:t xml:space="preserve"> (35) izvršene su u iznosu </w:t>
      </w:r>
      <w:bookmarkStart w:id="159" w:name="_Hlk200537219"/>
      <w:r w:rsidR="009923F0">
        <w:rPr>
          <w:rFonts w:ascii="Arial" w:eastAsia="Times New Roman" w:hAnsi="Arial" w:cs="Arial"/>
        </w:rPr>
        <w:t>312.210,80</w:t>
      </w:r>
      <w:r w:rsidRPr="000524B2">
        <w:rPr>
          <w:rFonts w:ascii="Arial" w:eastAsia="Times New Roman" w:hAnsi="Arial" w:cs="Arial"/>
        </w:rPr>
        <w:t xml:space="preserve"> </w:t>
      </w:r>
      <w:bookmarkEnd w:id="159"/>
      <w:r w:rsidRPr="000524B2">
        <w:rPr>
          <w:rFonts w:ascii="Arial" w:eastAsia="Times New Roman" w:hAnsi="Arial" w:cs="Arial"/>
        </w:rPr>
        <w:t xml:space="preserve">€ što je za </w:t>
      </w:r>
      <w:bookmarkStart w:id="160" w:name="_Hlk200537230"/>
      <w:r w:rsidR="009923F0">
        <w:rPr>
          <w:rFonts w:ascii="Arial" w:eastAsia="Times New Roman" w:hAnsi="Arial" w:cs="Arial"/>
        </w:rPr>
        <w:t>41.705,20</w:t>
      </w:r>
      <w:r w:rsidRPr="000524B2">
        <w:rPr>
          <w:rFonts w:ascii="Arial" w:eastAsia="Times New Roman" w:hAnsi="Arial" w:cs="Arial"/>
        </w:rPr>
        <w:t xml:space="preserve"> € ili </w:t>
      </w:r>
      <w:r w:rsidR="009923F0">
        <w:rPr>
          <w:rFonts w:ascii="Arial" w:eastAsia="Times New Roman" w:hAnsi="Arial" w:cs="Arial"/>
        </w:rPr>
        <w:t>11,8</w:t>
      </w:r>
      <w:r w:rsidRPr="000524B2">
        <w:rPr>
          <w:rFonts w:ascii="Arial" w:eastAsia="Times New Roman" w:hAnsi="Arial" w:cs="Arial"/>
        </w:rPr>
        <w:t xml:space="preserve">% </w:t>
      </w:r>
      <w:r w:rsidR="009923F0">
        <w:rPr>
          <w:rFonts w:ascii="Arial" w:eastAsia="Times New Roman" w:hAnsi="Arial" w:cs="Arial"/>
        </w:rPr>
        <w:t>manje</w:t>
      </w:r>
      <w:r w:rsidRPr="000524B2">
        <w:rPr>
          <w:rFonts w:ascii="Arial" w:eastAsia="Times New Roman" w:hAnsi="Arial" w:cs="Arial"/>
        </w:rPr>
        <w:t xml:space="preserve"> </w:t>
      </w:r>
      <w:bookmarkEnd w:id="160"/>
      <w:r w:rsidRPr="000524B2">
        <w:rPr>
          <w:rFonts w:ascii="Arial" w:eastAsia="Times New Roman" w:hAnsi="Arial" w:cs="Arial"/>
        </w:rPr>
        <w:t xml:space="preserve">u odnosu na prethodnu godinu. </w:t>
      </w:r>
    </w:p>
    <w:p w14:paraId="152E94FB" w14:textId="383DD975" w:rsidR="000524B2" w:rsidRPr="000524B2" w:rsidRDefault="000524B2" w:rsidP="00052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161" w:name="_Hlk200537244"/>
      <w:r w:rsidRPr="000524B2">
        <w:rPr>
          <w:rFonts w:ascii="Arial" w:eastAsia="Times New Roman" w:hAnsi="Arial" w:cs="Arial"/>
        </w:rPr>
        <w:t xml:space="preserve">Subvencije se odnose na subvencije društvu Libertas (društvo u suvlasništvu Općine) za financiranje troškova javnog prijevoza (na temelju zaključenih ugovora o sufinanciranju nerentabilnih linija iz lipnja 2018. godine i više dodataka ugovoru) u iznosu </w:t>
      </w:r>
      <w:r w:rsidR="009923F0">
        <w:rPr>
          <w:rFonts w:ascii="Arial" w:eastAsia="Times New Roman" w:hAnsi="Arial" w:cs="Arial"/>
        </w:rPr>
        <w:t>62.210,80</w:t>
      </w:r>
      <w:r w:rsidRPr="000524B2">
        <w:rPr>
          <w:rFonts w:ascii="Arial" w:eastAsia="Times New Roman" w:hAnsi="Arial" w:cs="Arial"/>
        </w:rPr>
        <w:t xml:space="preserve"> € (</w:t>
      </w:r>
      <w:r w:rsidR="00EA5A5C">
        <w:rPr>
          <w:rFonts w:ascii="Arial" w:eastAsia="Times New Roman" w:hAnsi="Arial" w:cs="Arial"/>
        </w:rPr>
        <w:t>više</w:t>
      </w:r>
      <w:r w:rsidRPr="000524B2">
        <w:rPr>
          <w:rFonts w:ascii="Arial" w:eastAsia="Times New Roman" w:hAnsi="Arial" w:cs="Arial"/>
        </w:rPr>
        <w:t xml:space="preserve"> za </w:t>
      </w:r>
      <w:r w:rsidR="00EA5A5C">
        <w:rPr>
          <w:rFonts w:ascii="Arial" w:eastAsia="Times New Roman" w:hAnsi="Arial" w:cs="Arial"/>
        </w:rPr>
        <w:t>8.294,80</w:t>
      </w:r>
      <w:r w:rsidRPr="000524B2">
        <w:rPr>
          <w:rFonts w:ascii="Arial" w:eastAsia="Times New Roman" w:hAnsi="Arial" w:cs="Arial"/>
        </w:rPr>
        <w:t xml:space="preserve"> € nego prethodne godine), te subvencije društvu Čistoća i zelenilo Konavle (društvo u vlasništvu Općine) za financiranje nadzora i sakupljanja nelegalno odloženog otpada diljem Općine nakon izgradnje reciklažnog dvorišta u iznosu </w:t>
      </w:r>
      <w:r w:rsidR="009923F0">
        <w:rPr>
          <w:rFonts w:ascii="Arial" w:eastAsia="Times New Roman" w:hAnsi="Arial" w:cs="Arial"/>
        </w:rPr>
        <w:t>25</w:t>
      </w:r>
      <w:r w:rsidRPr="000524B2">
        <w:rPr>
          <w:rFonts w:ascii="Arial" w:eastAsia="Times New Roman" w:hAnsi="Arial" w:cs="Arial"/>
        </w:rPr>
        <w:t>0.000 € (</w:t>
      </w:r>
      <w:r w:rsidR="009923F0">
        <w:rPr>
          <w:rFonts w:ascii="Arial" w:eastAsia="Times New Roman" w:hAnsi="Arial" w:cs="Arial"/>
        </w:rPr>
        <w:t>manje</w:t>
      </w:r>
      <w:r w:rsidRPr="000524B2">
        <w:rPr>
          <w:rFonts w:ascii="Arial" w:eastAsia="Times New Roman" w:hAnsi="Arial" w:cs="Arial"/>
        </w:rPr>
        <w:t xml:space="preserve"> nego prethodne godine </w:t>
      </w:r>
      <w:r w:rsidR="009923F0">
        <w:rPr>
          <w:rFonts w:ascii="Arial" w:eastAsia="Times New Roman" w:hAnsi="Arial" w:cs="Arial"/>
        </w:rPr>
        <w:t>50.000</w:t>
      </w:r>
      <w:r w:rsidRPr="000524B2">
        <w:rPr>
          <w:rFonts w:ascii="Arial" w:eastAsia="Times New Roman" w:hAnsi="Arial" w:cs="Arial"/>
        </w:rPr>
        <w:t xml:space="preserve"> €).</w:t>
      </w:r>
    </w:p>
    <w:bookmarkEnd w:id="161"/>
    <w:p w14:paraId="7159BA04" w14:textId="77777777" w:rsidR="00C13C7A" w:rsidRPr="003A2F86" w:rsidRDefault="00C13C7A"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17B27FD" w14:textId="77777777" w:rsidR="005435C4" w:rsidRPr="003A2F86" w:rsidRDefault="005435C4"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D6720CD" w14:textId="6E875407" w:rsidR="00891119" w:rsidRPr="003A2F86" w:rsidRDefault="00D3435A" w:rsidP="00D3435A">
      <w:pPr>
        <w:pStyle w:val="Naslov4"/>
        <w:rPr>
          <w:rFonts w:ascii="Arial" w:hAnsi="Arial" w:cs="Arial"/>
          <w:lang w:val="hr-HR"/>
        </w:rPr>
      </w:pPr>
      <w:bookmarkStart w:id="162" w:name="_Toc207707434"/>
      <w:r w:rsidRPr="003A2F86">
        <w:rPr>
          <w:rFonts w:ascii="Arial" w:hAnsi="Arial" w:cs="Arial"/>
          <w:lang w:val="hr-HR"/>
        </w:rPr>
        <w:t>2.4.3.5</w:t>
      </w:r>
      <w:r w:rsidR="00891119" w:rsidRPr="003A2F86">
        <w:rPr>
          <w:rFonts w:ascii="Arial" w:hAnsi="Arial" w:cs="Arial"/>
          <w:lang w:val="hr-HR"/>
        </w:rPr>
        <w:t xml:space="preserve">. </w:t>
      </w:r>
      <w:r w:rsidR="00891119" w:rsidRPr="003A2F86">
        <w:rPr>
          <w:rFonts w:ascii="Arial" w:hAnsi="Arial" w:cs="Arial"/>
          <w:lang w:val="hr-HR"/>
        </w:rPr>
        <w:tab/>
        <w:t>Pomoći dane u inozemstvo i unutar općeg proračuna</w:t>
      </w:r>
      <w:r w:rsidRPr="003A2F86">
        <w:rPr>
          <w:rFonts w:ascii="Arial" w:hAnsi="Arial" w:cs="Arial"/>
          <w:lang w:val="hr-HR"/>
        </w:rPr>
        <w:t xml:space="preserve"> (36)</w:t>
      </w:r>
      <w:bookmarkEnd w:id="162"/>
    </w:p>
    <w:p w14:paraId="08623B02"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880865A" w14:textId="49EF0A27" w:rsidR="002A3E41" w:rsidRPr="002A3E41" w:rsidRDefault="002A3E41" w:rsidP="002A3E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2A3E41">
        <w:rPr>
          <w:rFonts w:ascii="Arial" w:eastAsia="Times New Roman" w:hAnsi="Arial" w:cs="Arial"/>
          <w:b/>
        </w:rPr>
        <w:t>Pomoći dane u inozemstvo i unutar općeg proračuna</w:t>
      </w:r>
      <w:r w:rsidRPr="002A3E41">
        <w:rPr>
          <w:rFonts w:ascii="Arial" w:eastAsia="Times New Roman" w:hAnsi="Arial" w:cs="Arial"/>
        </w:rPr>
        <w:t xml:space="preserve"> (36) izvršene su u iznosu </w:t>
      </w:r>
      <w:bookmarkStart w:id="163" w:name="_Hlk200537264"/>
      <w:r w:rsidR="009923F0">
        <w:rPr>
          <w:rFonts w:ascii="Arial" w:eastAsia="Times New Roman" w:hAnsi="Arial" w:cs="Arial"/>
        </w:rPr>
        <w:t>83.053,99</w:t>
      </w:r>
      <w:r w:rsidRPr="002A3E41">
        <w:rPr>
          <w:rFonts w:ascii="Arial" w:eastAsia="Times New Roman" w:hAnsi="Arial" w:cs="Arial"/>
        </w:rPr>
        <w:t xml:space="preserve"> € što je za </w:t>
      </w:r>
      <w:r w:rsidR="009923F0">
        <w:rPr>
          <w:rFonts w:ascii="Arial" w:eastAsia="Times New Roman" w:hAnsi="Arial" w:cs="Arial"/>
        </w:rPr>
        <w:t>36.943,86</w:t>
      </w:r>
      <w:r w:rsidRPr="002A3E41">
        <w:rPr>
          <w:rFonts w:ascii="Arial" w:eastAsia="Times New Roman" w:hAnsi="Arial" w:cs="Arial"/>
        </w:rPr>
        <w:t xml:space="preserve"> € ili </w:t>
      </w:r>
      <w:r w:rsidR="009923F0">
        <w:rPr>
          <w:rFonts w:ascii="Arial" w:eastAsia="Times New Roman" w:hAnsi="Arial" w:cs="Arial"/>
        </w:rPr>
        <w:t>80,1</w:t>
      </w:r>
      <w:r w:rsidRPr="002A3E41">
        <w:rPr>
          <w:rFonts w:ascii="Arial" w:eastAsia="Times New Roman" w:hAnsi="Arial" w:cs="Arial"/>
        </w:rPr>
        <w:t xml:space="preserve">% </w:t>
      </w:r>
      <w:r w:rsidR="009923F0">
        <w:rPr>
          <w:rFonts w:ascii="Arial" w:eastAsia="Times New Roman" w:hAnsi="Arial" w:cs="Arial"/>
        </w:rPr>
        <w:t>više</w:t>
      </w:r>
      <w:r w:rsidRPr="002A3E41">
        <w:rPr>
          <w:rFonts w:ascii="Arial" w:eastAsia="Times New Roman" w:hAnsi="Arial" w:cs="Arial"/>
        </w:rPr>
        <w:t xml:space="preserve"> u odnosu na prethodnu godinu</w:t>
      </w:r>
      <w:bookmarkEnd w:id="163"/>
      <w:r w:rsidRPr="002A3E41">
        <w:rPr>
          <w:rFonts w:ascii="Arial" w:eastAsia="Times New Roman" w:hAnsi="Arial" w:cs="Arial"/>
        </w:rPr>
        <w:t>.</w:t>
      </w:r>
      <w:r w:rsidRPr="002A3E41">
        <w:rPr>
          <w:rFonts w:ascii="Arial" w:hAnsi="Arial" w:cs="Arial"/>
          <w:color w:val="0070C0"/>
        </w:rPr>
        <w:t xml:space="preserve"> </w:t>
      </w:r>
      <w:r w:rsidRPr="003A2F86">
        <w:rPr>
          <w:rFonts w:ascii="Arial" w:hAnsi="Arial" w:cs="Arial"/>
          <w:color w:val="0070C0"/>
        </w:rPr>
        <w:t>Ovi rashodi se u cijelosti odnose na rashode Općine.</w:t>
      </w:r>
    </w:p>
    <w:p w14:paraId="1A297BFA" w14:textId="4485F40C" w:rsidR="001B4F4E" w:rsidRPr="003A2F86" w:rsidRDefault="001B4F4E" w:rsidP="00C13C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B0E7C93" w14:textId="4CB8CDFA" w:rsidR="00C13C7A" w:rsidRPr="003A2F86" w:rsidRDefault="00C13C7A" w:rsidP="00C13C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Tekuć</w:t>
      </w:r>
      <w:r w:rsidR="00FA0597" w:rsidRPr="003A2F86">
        <w:rPr>
          <w:rFonts w:ascii="Arial" w:eastAsia="Times New Roman" w:hAnsi="Arial" w:cs="Arial"/>
        </w:rPr>
        <w:t>ih</w:t>
      </w:r>
      <w:r w:rsidRPr="003A2F86">
        <w:rPr>
          <w:rFonts w:ascii="Arial" w:eastAsia="Times New Roman" w:hAnsi="Arial" w:cs="Arial"/>
        </w:rPr>
        <w:t xml:space="preserve"> pomoći međunarodnim organizacijama (3621) </w:t>
      </w:r>
      <w:r w:rsidR="00FA0597" w:rsidRPr="003A2F86">
        <w:rPr>
          <w:rFonts w:ascii="Arial" w:eastAsia="Times New Roman" w:hAnsi="Arial" w:cs="Arial"/>
        </w:rPr>
        <w:t>nema (ranijih godina se odnosile n</w:t>
      </w:r>
      <w:r w:rsidRPr="003A2F86">
        <w:rPr>
          <w:rFonts w:ascii="Arial" w:eastAsia="Times New Roman" w:hAnsi="Arial" w:cs="Arial"/>
        </w:rPr>
        <w:t xml:space="preserve">a doznaku ustanove Muzeji i galerije institucijama u inozemstvu </w:t>
      </w:r>
      <w:r w:rsidR="00FA0597" w:rsidRPr="003A2F86">
        <w:rPr>
          <w:rFonts w:ascii="Arial" w:eastAsia="Times New Roman" w:hAnsi="Arial" w:cs="Arial"/>
        </w:rPr>
        <w:t xml:space="preserve">- </w:t>
      </w:r>
      <w:r w:rsidRPr="003A2F86">
        <w:rPr>
          <w:rFonts w:ascii="Arial" w:eastAsia="Times New Roman" w:hAnsi="Arial" w:cs="Arial"/>
        </w:rPr>
        <w:t>partnerima u projektu unutar programa ERASMUS</w:t>
      </w:r>
      <w:r w:rsidR="00FA0597" w:rsidRPr="003A2F86">
        <w:rPr>
          <w:rFonts w:ascii="Arial" w:eastAsia="Times New Roman" w:hAnsi="Arial" w:cs="Arial"/>
        </w:rPr>
        <w:t>)</w:t>
      </w:r>
      <w:r w:rsidRPr="003A2F86">
        <w:rPr>
          <w:rFonts w:ascii="Arial" w:eastAsia="Times New Roman" w:hAnsi="Arial" w:cs="Arial"/>
        </w:rPr>
        <w:t>.</w:t>
      </w:r>
    </w:p>
    <w:p w14:paraId="2287CFC8" w14:textId="77777777" w:rsidR="0099436F" w:rsidRPr="003A2F86" w:rsidRDefault="0099436F" w:rsidP="00C13C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0CDA0F4" w14:textId="77777777" w:rsidR="00276996" w:rsidRDefault="002A3E41" w:rsidP="007969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Pr>
          <w:rFonts w:ascii="Arial" w:eastAsia="Times New Roman" w:hAnsi="Arial" w:cs="Arial"/>
          <w:b/>
          <w:bCs/>
        </w:rPr>
        <w:t>P</w:t>
      </w:r>
      <w:r w:rsidR="00C13C7A" w:rsidRPr="003A2F86">
        <w:rPr>
          <w:rFonts w:ascii="Arial" w:eastAsia="Times New Roman" w:hAnsi="Arial" w:cs="Arial"/>
          <w:b/>
          <w:bCs/>
        </w:rPr>
        <w:t>omoći unutar općeg proračuna</w:t>
      </w:r>
      <w:r w:rsidR="001B4F4E" w:rsidRPr="003A2F86">
        <w:rPr>
          <w:rFonts w:ascii="Arial" w:eastAsia="Times New Roman" w:hAnsi="Arial" w:cs="Arial"/>
          <w:b/>
          <w:bCs/>
        </w:rPr>
        <w:t xml:space="preserve"> (363)</w:t>
      </w:r>
      <w:r w:rsidR="00C13C7A" w:rsidRPr="003A2F86">
        <w:rPr>
          <w:rFonts w:ascii="Arial" w:eastAsia="Times New Roman" w:hAnsi="Arial" w:cs="Arial"/>
        </w:rPr>
        <w:t xml:space="preserve"> </w:t>
      </w:r>
      <w:r w:rsidR="009923F0">
        <w:rPr>
          <w:rFonts w:ascii="Arial" w:eastAsia="Times New Roman" w:hAnsi="Arial" w:cs="Arial"/>
        </w:rPr>
        <w:t xml:space="preserve">nema u prvom polugodištu 2025. godine. </w:t>
      </w:r>
    </w:p>
    <w:p w14:paraId="3E3CB214" w14:textId="77777777" w:rsidR="00276996" w:rsidRDefault="00276996" w:rsidP="007969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646BD8C5" w14:textId="0BA46ED6" w:rsidR="0079691F" w:rsidRPr="003A2F86" w:rsidRDefault="00276996" w:rsidP="002769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firstLine="567"/>
        <w:jc w:val="both"/>
        <w:rPr>
          <w:rFonts w:ascii="Arial" w:eastAsia="Times New Roman" w:hAnsi="Arial" w:cs="Arial"/>
        </w:rPr>
      </w:pPr>
      <w:r w:rsidRPr="00276996">
        <w:rPr>
          <w:rFonts w:ascii="Arial" w:eastAsia="Times New Roman" w:hAnsi="Arial" w:cs="Arial"/>
          <w:sz w:val="18"/>
          <w:szCs w:val="18"/>
        </w:rPr>
        <w:t xml:space="preserve">Ukupno u 2024. godini su bile izvršene ove pomoći </w:t>
      </w:r>
      <w:r w:rsidR="002A3E41" w:rsidRPr="00276996">
        <w:rPr>
          <w:rFonts w:ascii="Arial" w:eastAsia="Times New Roman" w:hAnsi="Arial" w:cs="Arial"/>
          <w:sz w:val="18"/>
          <w:szCs w:val="18"/>
        </w:rPr>
        <w:t>u iznosu 13.075,65 €</w:t>
      </w:r>
      <w:r w:rsidR="00D86863" w:rsidRPr="00276996">
        <w:rPr>
          <w:rFonts w:ascii="Arial" w:eastAsia="Times New Roman" w:hAnsi="Arial" w:cs="Arial"/>
          <w:sz w:val="18"/>
          <w:szCs w:val="18"/>
        </w:rPr>
        <w:t xml:space="preserve"> </w:t>
      </w:r>
      <w:r w:rsidR="002A3E41" w:rsidRPr="00276996">
        <w:rPr>
          <w:rFonts w:ascii="Arial" w:eastAsia="Times New Roman" w:hAnsi="Arial" w:cs="Arial"/>
          <w:sz w:val="18"/>
          <w:szCs w:val="18"/>
        </w:rPr>
        <w:t>(</w:t>
      </w:r>
      <w:r w:rsidR="00D86863" w:rsidRPr="00276996">
        <w:rPr>
          <w:rFonts w:ascii="Arial" w:eastAsia="Times New Roman" w:hAnsi="Arial" w:cs="Arial"/>
          <w:sz w:val="18"/>
          <w:szCs w:val="18"/>
        </w:rPr>
        <w:t xml:space="preserve">utrošak </w:t>
      </w:r>
      <w:r w:rsidR="0099436F" w:rsidRPr="00276996">
        <w:rPr>
          <w:rFonts w:ascii="Arial" w:eastAsia="Times New Roman" w:hAnsi="Arial" w:cs="Arial"/>
          <w:sz w:val="18"/>
          <w:szCs w:val="18"/>
        </w:rPr>
        <w:t>namjenske naknade</w:t>
      </w:r>
      <w:r w:rsidR="00D86863" w:rsidRPr="00276996">
        <w:rPr>
          <w:rFonts w:ascii="Arial" w:eastAsia="Times New Roman" w:hAnsi="Arial" w:cs="Arial"/>
          <w:sz w:val="18"/>
          <w:szCs w:val="18"/>
        </w:rPr>
        <w:t xml:space="preserve"> za sanaciju odlagališta otpada</w:t>
      </w:r>
      <w:r w:rsidR="0099436F" w:rsidRPr="00276996">
        <w:rPr>
          <w:rFonts w:ascii="Arial" w:eastAsia="Times New Roman" w:hAnsi="Arial" w:cs="Arial"/>
          <w:sz w:val="18"/>
          <w:szCs w:val="18"/>
        </w:rPr>
        <w:t>)</w:t>
      </w:r>
      <w:r w:rsidR="001B4F4E" w:rsidRPr="00276996">
        <w:rPr>
          <w:rFonts w:ascii="Arial" w:eastAsia="Times New Roman" w:hAnsi="Arial" w:cs="Arial"/>
          <w:sz w:val="18"/>
          <w:szCs w:val="18"/>
        </w:rPr>
        <w:t>.</w:t>
      </w:r>
      <w:r w:rsidR="00010A93" w:rsidRPr="00276996">
        <w:rPr>
          <w:rFonts w:ascii="Arial" w:eastAsia="Times New Roman" w:hAnsi="Arial" w:cs="Arial"/>
          <w:sz w:val="18"/>
          <w:szCs w:val="18"/>
        </w:rPr>
        <w:t xml:space="preserve"> </w:t>
      </w:r>
    </w:p>
    <w:p w14:paraId="64F2E91A" w14:textId="77777777" w:rsidR="0079691F" w:rsidRPr="00082B02" w:rsidRDefault="0079691F" w:rsidP="007969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718504B2" w14:textId="1021A5B8" w:rsidR="0079691F" w:rsidRPr="003A2F86" w:rsidRDefault="0079691F" w:rsidP="002112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3A2F86">
        <w:rPr>
          <w:rFonts w:ascii="Arial" w:eastAsia="Times New Roman" w:hAnsi="Arial" w:cs="Arial"/>
          <w:sz w:val="18"/>
          <w:szCs w:val="18"/>
        </w:rPr>
        <w:t xml:space="preserve">Namjensku naknadu je naplaćivalo društvo u suvlasništvu Općine od korisnika usluga s područja Konavala, a služila je za sanaciju odlagališta otpada Grabovica. Dana 31. srpnja 2023. godine sukladno članku 179. stavak 1. Zakona o gospodarenju otpadom (NN 84/21) prestaje obveza plaćanja naknade za gradnju građevina za gospodarenje komunalnim otpadom iz članka 33. stavka 13. Zakona o održivom gospodarenju otpadom (Narodne novine 94/13, 73/17, 14/19 i 98/19), koja je određena odlukom predstavničkog tijela jedinice lokalne samouprave koja je donesena do dana stupanja na snagu ovoga Zakona (namjenska naknada). Slijedom navedenog, računi Čistoće d.o.o. od mjeseca kolovoza 2023. godine </w:t>
      </w:r>
      <w:r w:rsidR="006F4BCA" w:rsidRPr="003A2F86">
        <w:rPr>
          <w:rFonts w:ascii="Arial" w:eastAsia="Times New Roman" w:hAnsi="Arial" w:cs="Arial"/>
          <w:sz w:val="18"/>
          <w:szCs w:val="18"/>
        </w:rPr>
        <w:t>su</w:t>
      </w:r>
      <w:r w:rsidRPr="003A2F86">
        <w:rPr>
          <w:rFonts w:ascii="Arial" w:eastAsia="Times New Roman" w:hAnsi="Arial" w:cs="Arial"/>
          <w:sz w:val="18"/>
          <w:szCs w:val="18"/>
        </w:rPr>
        <w:t xml:space="preserve"> umanjeni za iznos namjenske naknade.</w:t>
      </w:r>
    </w:p>
    <w:p w14:paraId="17120419" w14:textId="77777777" w:rsidR="0079691F" w:rsidRPr="0021122B" w:rsidRDefault="0079691F" w:rsidP="007969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6B319E7E" w14:textId="3ACB16E3" w:rsidR="0099436F" w:rsidRPr="003A2F86" w:rsidRDefault="0079691F" w:rsidP="002112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3A2F86">
        <w:rPr>
          <w:rFonts w:ascii="Arial" w:eastAsia="Times New Roman" w:hAnsi="Arial" w:cs="Arial"/>
          <w:sz w:val="18"/>
          <w:szCs w:val="18"/>
        </w:rPr>
        <w:t>Sveukupno u 2021. godini su</w:t>
      </w:r>
      <w:r w:rsidR="00010A93" w:rsidRPr="003A2F86">
        <w:rPr>
          <w:rFonts w:ascii="Arial" w:eastAsia="Times New Roman" w:hAnsi="Arial" w:cs="Arial"/>
          <w:sz w:val="18"/>
          <w:szCs w:val="18"/>
        </w:rPr>
        <w:t xml:space="preserve"> bili izvršeni prijenosi </w:t>
      </w:r>
      <w:r w:rsidRPr="003A2F86">
        <w:rPr>
          <w:rFonts w:ascii="Arial" w:eastAsia="Times New Roman" w:hAnsi="Arial" w:cs="Arial"/>
          <w:sz w:val="18"/>
          <w:szCs w:val="18"/>
        </w:rPr>
        <w:t xml:space="preserve">(36) </w:t>
      </w:r>
      <w:r w:rsidR="001B4F4E" w:rsidRPr="003A2F86">
        <w:rPr>
          <w:rFonts w:ascii="Arial" w:eastAsia="Times New Roman" w:hAnsi="Arial" w:cs="Arial"/>
          <w:sz w:val="18"/>
          <w:szCs w:val="18"/>
        </w:rPr>
        <w:t xml:space="preserve">u iznosu </w:t>
      </w:r>
      <w:r w:rsidRPr="003A2F86">
        <w:rPr>
          <w:rFonts w:ascii="Arial" w:eastAsia="Times New Roman" w:hAnsi="Arial" w:cs="Arial"/>
          <w:sz w:val="18"/>
          <w:szCs w:val="18"/>
        </w:rPr>
        <w:t>26.230,84 €</w:t>
      </w:r>
      <w:r w:rsidR="0099436F" w:rsidRPr="003A2F86">
        <w:rPr>
          <w:rFonts w:ascii="Arial" w:eastAsia="Times New Roman" w:hAnsi="Arial" w:cs="Arial"/>
          <w:sz w:val="18"/>
          <w:szCs w:val="18"/>
        </w:rPr>
        <w:t>.</w:t>
      </w:r>
      <w:r w:rsidR="00010A93" w:rsidRPr="003A2F86">
        <w:rPr>
          <w:rFonts w:ascii="Arial" w:eastAsia="Times New Roman" w:hAnsi="Arial" w:cs="Arial"/>
          <w:sz w:val="18"/>
          <w:szCs w:val="18"/>
        </w:rPr>
        <w:t xml:space="preserve"> </w:t>
      </w:r>
      <w:r w:rsidR="0099436F" w:rsidRPr="003A2F86">
        <w:rPr>
          <w:rFonts w:ascii="Arial" w:eastAsia="Times New Roman" w:hAnsi="Arial" w:cs="Arial"/>
          <w:sz w:val="18"/>
          <w:szCs w:val="18"/>
        </w:rPr>
        <w:t xml:space="preserve">Prijenos u iznosu </w:t>
      </w:r>
      <w:r w:rsidRPr="003A2F86">
        <w:rPr>
          <w:rFonts w:ascii="Arial" w:eastAsia="Times New Roman" w:hAnsi="Arial" w:cs="Arial"/>
          <w:sz w:val="18"/>
          <w:szCs w:val="18"/>
        </w:rPr>
        <w:t>18.009,85 €</w:t>
      </w:r>
      <w:r w:rsidR="0099436F" w:rsidRPr="003A2F86">
        <w:rPr>
          <w:rFonts w:ascii="Arial" w:eastAsia="Times New Roman" w:hAnsi="Arial" w:cs="Arial"/>
          <w:sz w:val="18"/>
          <w:szCs w:val="18"/>
        </w:rPr>
        <w:t xml:space="preserve"> je izvršen Fondu za zaštitu okoliša i energetsku učinkovitost na temelju ugovora iz 2019. i njegovih dodataka i to za nabavu kanti za odvojeno prikupljanje otpada (javnu nabavu proveo Fond, a Općina bila obvezna doznačiti udio sufinanciranja kanti). U ožujku i travnju 2021. godine Općina je preuzela 4.000 komada spremnika (2.000 kanti za plastiku, te 2.000 kanti za papir i karton).</w:t>
      </w:r>
    </w:p>
    <w:p w14:paraId="74E65D10" w14:textId="699A3996" w:rsidR="00FA0597" w:rsidRPr="00082B02" w:rsidRDefault="00FA0597" w:rsidP="00C13C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532CBEF2" w14:textId="5B332D4C" w:rsidR="00351DB6" w:rsidRPr="003A2F86" w:rsidRDefault="00351DB6" w:rsidP="00351DB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bookmarkStart w:id="164" w:name="_Hlk97229090"/>
      <w:r w:rsidRPr="003A2F86">
        <w:rPr>
          <w:rFonts w:ascii="Arial" w:hAnsi="Arial" w:cs="Arial"/>
        </w:rPr>
        <w:t xml:space="preserve">Pomoći proračunskim korisnicima drugih proračuna (366) su izvršene u iznosu </w:t>
      </w:r>
      <w:r w:rsidR="00276996">
        <w:rPr>
          <w:rFonts w:ascii="Arial" w:hAnsi="Arial" w:cs="Arial"/>
        </w:rPr>
        <w:t>83.053,99</w:t>
      </w:r>
      <w:r w:rsidRPr="003A2F86">
        <w:rPr>
          <w:rFonts w:ascii="Arial" w:hAnsi="Arial" w:cs="Arial"/>
        </w:rPr>
        <w:t xml:space="preserve"> €</w:t>
      </w:r>
      <w:r w:rsidR="00A123DD">
        <w:rPr>
          <w:rFonts w:ascii="Arial" w:hAnsi="Arial" w:cs="Arial"/>
        </w:rPr>
        <w:t xml:space="preserve"> </w:t>
      </w:r>
      <w:r w:rsidR="00A123DD" w:rsidRPr="002122DE">
        <w:rPr>
          <w:rFonts w:ascii="Arial" w:hAnsi="Arial" w:cs="Arial"/>
        </w:rPr>
        <w:t xml:space="preserve">(više za </w:t>
      </w:r>
      <w:r w:rsidR="00276996">
        <w:rPr>
          <w:rFonts w:ascii="Arial" w:hAnsi="Arial" w:cs="Arial"/>
        </w:rPr>
        <w:t>36.943,86</w:t>
      </w:r>
      <w:r w:rsidR="00A123DD" w:rsidRPr="002122DE">
        <w:rPr>
          <w:rFonts w:ascii="Arial" w:hAnsi="Arial" w:cs="Arial"/>
        </w:rPr>
        <w:t xml:space="preserve"> € </w:t>
      </w:r>
      <w:r w:rsidR="00A123DD">
        <w:rPr>
          <w:rFonts w:ascii="Arial" w:hAnsi="Arial" w:cs="Arial"/>
        </w:rPr>
        <w:t xml:space="preserve">ili </w:t>
      </w:r>
      <w:r w:rsidR="00276996">
        <w:rPr>
          <w:rFonts w:ascii="Arial" w:hAnsi="Arial" w:cs="Arial"/>
        </w:rPr>
        <w:t>80,1</w:t>
      </w:r>
      <w:r w:rsidR="00A123DD">
        <w:rPr>
          <w:rFonts w:ascii="Arial" w:hAnsi="Arial" w:cs="Arial"/>
        </w:rPr>
        <w:t xml:space="preserve"> % </w:t>
      </w:r>
      <w:r w:rsidR="00A123DD" w:rsidRPr="002122DE">
        <w:rPr>
          <w:rFonts w:ascii="Arial" w:hAnsi="Arial" w:cs="Arial"/>
        </w:rPr>
        <w:t>nego prethodne godine</w:t>
      </w:r>
      <w:r w:rsidR="00A123DD">
        <w:rPr>
          <w:rFonts w:ascii="Arial" w:hAnsi="Arial" w:cs="Arial"/>
        </w:rPr>
        <w:t>)</w:t>
      </w:r>
      <w:r w:rsidRPr="003A2F86">
        <w:rPr>
          <w:rFonts w:ascii="Arial" w:hAnsi="Arial" w:cs="Arial"/>
        </w:rPr>
        <w:t xml:space="preserve"> i odnose se na tekuće pomoći proračunskim korisnicima drugih proračuna (3661) u iznosu </w:t>
      </w:r>
      <w:r w:rsidR="00276996">
        <w:rPr>
          <w:rFonts w:ascii="Arial" w:hAnsi="Arial" w:cs="Arial"/>
        </w:rPr>
        <w:t xml:space="preserve">53.053,99 </w:t>
      </w:r>
      <w:r w:rsidRPr="003A2F86">
        <w:rPr>
          <w:rFonts w:ascii="Arial" w:hAnsi="Arial" w:cs="Arial"/>
        </w:rPr>
        <w:t>€</w:t>
      </w:r>
      <w:r w:rsidR="002A3E41">
        <w:rPr>
          <w:rFonts w:ascii="Arial" w:hAnsi="Arial" w:cs="Arial"/>
        </w:rPr>
        <w:t xml:space="preserve"> i k</w:t>
      </w:r>
      <w:r w:rsidRPr="003A2F86">
        <w:rPr>
          <w:rFonts w:ascii="Arial" w:hAnsi="Arial" w:cs="Arial"/>
        </w:rPr>
        <w:t>apitaln</w:t>
      </w:r>
      <w:r w:rsidR="002A3E41">
        <w:rPr>
          <w:rFonts w:ascii="Arial" w:hAnsi="Arial" w:cs="Arial"/>
        </w:rPr>
        <w:t>e</w:t>
      </w:r>
      <w:r w:rsidRPr="003A2F86">
        <w:rPr>
          <w:rFonts w:ascii="Arial" w:hAnsi="Arial" w:cs="Arial"/>
        </w:rPr>
        <w:t xml:space="preserve"> pomoći proračunskim korisnicima (3662)</w:t>
      </w:r>
      <w:r w:rsidR="002A3E41">
        <w:rPr>
          <w:rFonts w:ascii="Arial" w:hAnsi="Arial" w:cs="Arial"/>
        </w:rPr>
        <w:t xml:space="preserve"> u iznosu </w:t>
      </w:r>
      <w:r w:rsidR="00276996">
        <w:rPr>
          <w:rFonts w:ascii="Arial" w:hAnsi="Arial" w:cs="Arial"/>
        </w:rPr>
        <w:t>30</w:t>
      </w:r>
      <w:r w:rsidR="002A3E41">
        <w:rPr>
          <w:rFonts w:ascii="Arial" w:hAnsi="Arial" w:cs="Arial"/>
        </w:rPr>
        <w:t>.000 €</w:t>
      </w:r>
      <w:r w:rsidRPr="003A2F86">
        <w:rPr>
          <w:rFonts w:ascii="Arial" w:hAnsi="Arial" w:cs="Arial"/>
        </w:rPr>
        <w:t xml:space="preserve">. </w:t>
      </w:r>
      <w:bookmarkEnd w:id="164"/>
      <w:r w:rsidRPr="003A2F86">
        <w:rPr>
          <w:rFonts w:ascii="Arial" w:hAnsi="Arial" w:cs="Arial"/>
        </w:rPr>
        <w:t>Prijenosi se odnose na:</w:t>
      </w:r>
    </w:p>
    <w:p w14:paraId="2FB0EA79" w14:textId="395CD252" w:rsidR="00A123DD" w:rsidRPr="00A123DD" w:rsidRDefault="00A123DD" w:rsidP="00A123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r w:rsidRPr="00A123DD">
        <w:rPr>
          <w:rFonts w:ascii="Arial" w:hAnsi="Arial" w:cs="Arial"/>
        </w:rPr>
        <w:t xml:space="preserve">- financiranje školskih i izvanškolskih aktivnosti u </w:t>
      </w:r>
      <w:r w:rsidRPr="00276996">
        <w:rPr>
          <w:rFonts w:ascii="Arial" w:hAnsi="Arial" w:cs="Arial"/>
        </w:rPr>
        <w:t xml:space="preserve">iznosu </w:t>
      </w:r>
      <w:bookmarkStart w:id="165" w:name="_Hlk200537315"/>
      <w:r w:rsidR="00276996" w:rsidRPr="00276996">
        <w:rPr>
          <w:rFonts w:ascii="Arial" w:hAnsi="Arial" w:cs="Arial"/>
        </w:rPr>
        <w:t>20.011,21</w:t>
      </w:r>
      <w:r w:rsidRPr="00276996">
        <w:rPr>
          <w:rFonts w:ascii="Arial" w:hAnsi="Arial" w:cs="Arial"/>
        </w:rPr>
        <w:t xml:space="preserve"> </w:t>
      </w:r>
      <w:bookmarkEnd w:id="165"/>
      <w:r w:rsidRPr="00276996">
        <w:rPr>
          <w:rFonts w:ascii="Arial" w:hAnsi="Arial" w:cs="Arial"/>
        </w:rPr>
        <w:t xml:space="preserve">€ (rad glazbene </w:t>
      </w:r>
      <w:r w:rsidRPr="00A123DD">
        <w:rPr>
          <w:rFonts w:ascii="Arial" w:hAnsi="Arial" w:cs="Arial"/>
        </w:rPr>
        <w:t xml:space="preserve">škole Luke Sorkočević u osnovnoj školi Cavtat u iznosu </w:t>
      </w:r>
      <w:r w:rsidR="00276996">
        <w:rPr>
          <w:rFonts w:ascii="Arial" w:hAnsi="Arial" w:cs="Arial"/>
        </w:rPr>
        <w:t>5.750</w:t>
      </w:r>
      <w:r w:rsidRPr="00A123DD">
        <w:rPr>
          <w:rFonts w:ascii="Arial" w:hAnsi="Arial" w:cs="Arial"/>
        </w:rPr>
        <w:t xml:space="preserve"> €- proračunski korisnik Dubrovačko-neretvanske županije; doznaka Dubrovačkim knjižnicama za redovan rad ispostave knjižnice u Cavtatu u iznosu </w:t>
      </w:r>
      <w:r w:rsidR="00276996">
        <w:rPr>
          <w:rFonts w:ascii="Arial" w:hAnsi="Arial" w:cs="Arial"/>
        </w:rPr>
        <w:t>11.261,21</w:t>
      </w:r>
      <w:r w:rsidRPr="00A123DD">
        <w:rPr>
          <w:rFonts w:ascii="Arial" w:hAnsi="Arial" w:cs="Arial"/>
        </w:rPr>
        <w:t xml:space="preserve"> € - proračunski korisnik Grada Dubrovnika, potpora osnovnoj školi Cavtat za školske aktivnosti u sportu i kulturi </w:t>
      </w:r>
      <w:r w:rsidR="00276996">
        <w:rPr>
          <w:rFonts w:ascii="Arial" w:hAnsi="Arial" w:cs="Arial"/>
        </w:rPr>
        <w:t>1.5</w:t>
      </w:r>
      <w:r w:rsidRPr="00A123DD">
        <w:rPr>
          <w:rFonts w:ascii="Arial" w:hAnsi="Arial" w:cs="Arial"/>
        </w:rPr>
        <w:t xml:space="preserve">00,00 €, potpora osnovnoj školi Gruda za školske aktivnosti u sportu i kulturi </w:t>
      </w:r>
      <w:r w:rsidR="00276996">
        <w:rPr>
          <w:rFonts w:ascii="Arial" w:hAnsi="Arial" w:cs="Arial"/>
        </w:rPr>
        <w:t>1.5</w:t>
      </w:r>
      <w:r w:rsidRPr="00A123DD">
        <w:rPr>
          <w:rFonts w:ascii="Arial" w:hAnsi="Arial" w:cs="Arial"/>
        </w:rPr>
        <w:t>00,00 €);</w:t>
      </w:r>
    </w:p>
    <w:p w14:paraId="311FEE36" w14:textId="65591B07" w:rsidR="00A123DD" w:rsidRPr="00A123DD" w:rsidRDefault="00A123DD" w:rsidP="00A123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r w:rsidRPr="00A123DD">
        <w:rPr>
          <w:rFonts w:ascii="Arial" w:hAnsi="Arial" w:cs="Arial"/>
        </w:rPr>
        <w:lastRenderedPageBreak/>
        <w:t xml:space="preserve">- potpora osnovnoj školi Cavtat u iznosu </w:t>
      </w:r>
      <w:bookmarkStart w:id="166" w:name="_Hlk200537485"/>
      <w:r w:rsidR="00276996">
        <w:rPr>
          <w:rFonts w:ascii="Arial" w:hAnsi="Arial" w:cs="Arial"/>
        </w:rPr>
        <w:t>7.660,30</w:t>
      </w:r>
      <w:r w:rsidRPr="00A123DD">
        <w:rPr>
          <w:rFonts w:ascii="Arial" w:hAnsi="Arial" w:cs="Arial"/>
        </w:rPr>
        <w:t xml:space="preserve"> </w:t>
      </w:r>
      <w:bookmarkEnd w:id="166"/>
      <w:r w:rsidRPr="00A123DD">
        <w:rPr>
          <w:rFonts w:ascii="Arial" w:hAnsi="Arial" w:cs="Arial"/>
        </w:rPr>
        <w:t xml:space="preserve">€ za provedbu programa unapređenja kvaliteta življenja osoba s invaliditetom, odnosno za </w:t>
      </w:r>
      <w:bookmarkStart w:id="167" w:name="_Hlk97229250"/>
      <w:r w:rsidRPr="00A123DD">
        <w:rPr>
          <w:rFonts w:ascii="Arial" w:hAnsi="Arial" w:cs="Arial"/>
        </w:rPr>
        <w:t>zapošljavanje osobe s invaliditetom</w:t>
      </w:r>
      <w:bookmarkEnd w:id="167"/>
      <w:r w:rsidRPr="00A123DD">
        <w:rPr>
          <w:rFonts w:ascii="Arial" w:hAnsi="Arial" w:cs="Arial"/>
        </w:rPr>
        <w:t>;</w:t>
      </w:r>
    </w:p>
    <w:p w14:paraId="310267AF" w14:textId="13B67BD9" w:rsidR="00A123DD" w:rsidRPr="00A123DD" w:rsidRDefault="00A123DD" w:rsidP="00A123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r w:rsidRPr="00A123DD">
        <w:rPr>
          <w:rFonts w:ascii="Arial" w:hAnsi="Arial" w:cs="Arial"/>
        </w:rPr>
        <w:t xml:space="preserve">- doznaka </w:t>
      </w:r>
      <w:bookmarkStart w:id="168" w:name="_Hlk200537502"/>
      <w:r w:rsidR="00276996">
        <w:rPr>
          <w:rFonts w:ascii="Arial" w:hAnsi="Arial" w:cs="Arial"/>
        </w:rPr>
        <w:t>25.382,48</w:t>
      </w:r>
      <w:r w:rsidRPr="00A123DD">
        <w:rPr>
          <w:rFonts w:ascii="Arial" w:hAnsi="Arial" w:cs="Arial"/>
        </w:rPr>
        <w:t xml:space="preserve"> </w:t>
      </w:r>
      <w:bookmarkEnd w:id="168"/>
      <w:r w:rsidRPr="00A123DD">
        <w:rPr>
          <w:rFonts w:ascii="Arial" w:hAnsi="Arial" w:cs="Arial"/>
        </w:rPr>
        <w:t>€ Dubrovačko-neretvanskoj županiji prema zaključenim ugovorima u visini sufinanciranja produženog boravka u osnovnoj školi Gruda i Cavtat,</w:t>
      </w:r>
    </w:p>
    <w:p w14:paraId="445064CA" w14:textId="77777777" w:rsidR="00A123DD" w:rsidRPr="00A123DD" w:rsidRDefault="00A123DD" w:rsidP="00A123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2C556E20" w14:textId="1E1FA4FF" w:rsidR="00276996" w:rsidRDefault="00A123DD" w:rsidP="00A123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bookmarkStart w:id="169" w:name="_Hlk200537596"/>
      <w:r w:rsidRPr="00A123DD">
        <w:rPr>
          <w:rFonts w:ascii="Arial" w:hAnsi="Arial" w:cs="Arial"/>
        </w:rPr>
        <w:t xml:space="preserve">Kapitalna pomoć u iznosu </w:t>
      </w:r>
      <w:r w:rsidR="00276996">
        <w:rPr>
          <w:rFonts w:ascii="Arial" w:hAnsi="Arial" w:cs="Arial"/>
        </w:rPr>
        <w:t>30</w:t>
      </w:r>
      <w:r w:rsidRPr="00A123DD">
        <w:rPr>
          <w:rFonts w:ascii="Arial" w:hAnsi="Arial" w:cs="Arial"/>
        </w:rPr>
        <w:t xml:space="preserve">.000 € se odnosi na prijenos Zavodu za hitnu medicinu (proračunski korisnik županije) za </w:t>
      </w:r>
      <w:r w:rsidR="00276996">
        <w:rPr>
          <w:rFonts w:ascii="Arial" w:hAnsi="Arial" w:cs="Arial"/>
        </w:rPr>
        <w:t xml:space="preserve">nabavu vozila za sanitetski prijevoz. </w:t>
      </w:r>
    </w:p>
    <w:bookmarkEnd w:id="169"/>
    <w:p w14:paraId="52E42A9A" w14:textId="2CEB1424" w:rsidR="00657828" w:rsidRPr="003A2F86" w:rsidRDefault="000B1E6A" w:rsidP="002112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3A2F86">
        <w:rPr>
          <w:rFonts w:ascii="Arial" w:eastAsia="Times New Roman" w:hAnsi="Arial" w:cs="Arial"/>
          <w:sz w:val="18"/>
          <w:szCs w:val="18"/>
        </w:rPr>
        <w:t xml:space="preserve">Sveukupno u 2022. godini je </w:t>
      </w:r>
      <w:r w:rsidR="00010A93" w:rsidRPr="003A2F86">
        <w:rPr>
          <w:rFonts w:ascii="Arial" w:eastAsia="Times New Roman" w:hAnsi="Arial" w:cs="Arial"/>
          <w:sz w:val="18"/>
          <w:szCs w:val="18"/>
        </w:rPr>
        <w:t>bila izvršena k</w:t>
      </w:r>
      <w:r w:rsidR="00657828" w:rsidRPr="003A2F86">
        <w:rPr>
          <w:rFonts w:ascii="Arial" w:eastAsia="Times New Roman" w:hAnsi="Arial" w:cs="Arial"/>
          <w:sz w:val="18"/>
          <w:szCs w:val="18"/>
        </w:rPr>
        <w:t xml:space="preserve">apitalna pomoć u iznosu </w:t>
      </w:r>
      <w:r w:rsidRPr="003A2F86">
        <w:rPr>
          <w:rFonts w:ascii="Arial" w:eastAsia="Times New Roman" w:hAnsi="Arial" w:cs="Arial"/>
          <w:sz w:val="18"/>
          <w:szCs w:val="18"/>
        </w:rPr>
        <w:t>13.272,28 €</w:t>
      </w:r>
      <w:r w:rsidR="00657828" w:rsidRPr="003A2F86">
        <w:rPr>
          <w:rFonts w:ascii="Arial" w:eastAsia="Times New Roman" w:hAnsi="Arial" w:cs="Arial"/>
          <w:sz w:val="18"/>
          <w:szCs w:val="18"/>
        </w:rPr>
        <w:t xml:space="preserve"> </w:t>
      </w:r>
      <w:r w:rsidR="002225FA" w:rsidRPr="003A2F86">
        <w:rPr>
          <w:rFonts w:ascii="Arial" w:eastAsia="Times New Roman" w:hAnsi="Arial" w:cs="Arial"/>
          <w:sz w:val="18"/>
          <w:szCs w:val="18"/>
        </w:rPr>
        <w:t>(</w:t>
      </w:r>
      <w:r w:rsidR="00657828" w:rsidRPr="003A2F86">
        <w:rPr>
          <w:rFonts w:ascii="Arial" w:eastAsia="Times New Roman" w:hAnsi="Arial" w:cs="Arial"/>
          <w:sz w:val="18"/>
          <w:szCs w:val="18"/>
        </w:rPr>
        <w:t>prijenos Domu zdravlja Dubrovnik</w:t>
      </w:r>
      <w:r w:rsidR="002225FA" w:rsidRPr="003A2F86">
        <w:rPr>
          <w:rFonts w:ascii="Arial" w:eastAsia="Times New Roman" w:hAnsi="Arial" w:cs="Arial"/>
          <w:sz w:val="18"/>
          <w:szCs w:val="18"/>
        </w:rPr>
        <w:t>,</w:t>
      </w:r>
      <w:r w:rsidR="00657828" w:rsidRPr="003A2F86">
        <w:rPr>
          <w:rFonts w:ascii="Arial" w:eastAsia="Times New Roman" w:hAnsi="Arial" w:cs="Arial"/>
          <w:sz w:val="18"/>
          <w:szCs w:val="18"/>
        </w:rPr>
        <w:t xml:space="preserve"> proračunski korisnik županije</w:t>
      </w:r>
      <w:r w:rsidR="002225FA" w:rsidRPr="003A2F86">
        <w:rPr>
          <w:rFonts w:ascii="Arial" w:eastAsia="Times New Roman" w:hAnsi="Arial" w:cs="Arial"/>
          <w:sz w:val="18"/>
          <w:szCs w:val="18"/>
        </w:rPr>
        <w:t xml:space="preserve">, </w:t>
      </w:r>
      <w:r w:rsidR="00657828" w:rsidRPr="003A2F86">
        <w:rPr>
          <w:rFonts w:ascii="Arial" w:eastAsia="Times New Roman" w:hAnsi="Arial" w:cs="Arial"/>
          <w:sz w:val="18"/>
          <w:szCs w:val="18"/>
        </w:rPr>
        <w:t xml:space="preserve">za nabavu kombi vozila za sanitetski prijevoz. Ovih pomoći </w:t>
      </w:r>
      <w:r w:rsidR="002225FA" w:rsidRPr="003A2F86">
        <w:rPr>
          <w:rFonts w:ascii="Arial" w:eastAsia="Times New Roman" w:hAnsi="Arial" w:cs="Arial"/>
          <w:sz w:val="18"/>
          <w:szCs w:val="18"/>
        </w:rPr>
        <w:t>nema u</w:t>
      </w:r>
      <w:r w:rsidR="00657828" w:rsidRPr="003A2F86">
        <w:rPr>
          <w:rFonts w:ascii="Arial" w:eastAsia="Times New Roman" w:hAnsi="Arial" w:cs="Arial"/>
          <w:sz w:val="18"/>
          <w:szCs w:val="18"/>
        </w:rPr>
        <w:t xml:space="preserve"> izvještajnom razdoblju</w:t>
      </w:r>
      <w:r w:rsidR="002225FA" w:rsidRPr="003A2F86">
        <w:rPr>
          <w:rFonts w:ascii="Arial" w:eastAsia="Times New Roman" w:hAnsi="Arial" w:cs="Arial"/>
          <w:sz w:val="18"/>
          <w:szCs w:val="18"/>
        </w:rPr>
        <w:t xml:space="preserve"> tekuće godine</w:t>
      </w:r>
      <w:r w:rsidR="00657828" w:rsidRPr="003A2F86">
        <w:rPr>
          <w:rFonts w:ascii="Arial" w:eastAsia="Times New Roman" w:hAnsi="Arial" w:cs="Arial"/>
          <w:sz w:val="18"/>
          <w:szCs w:val="18"/>
        </w:rPr>
        <w:t>.</w:t>
      </w:r>
    </w:p>
    <w:p w14:paraId="04140800" w14:textId="0F83A332" w:rsidR="0021122B" w:rsidRPr="003A2F86" w:rsidRDefault="0021122B" w:rsidP="002112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r w:rsidRPr="003A2F86">
        <w:rPr>
          <w:rFonts w:ascii="Arial" w:hAnsi="Arial" w:cs="Arial"/>
          <w:sz w:val="18"/>
          <w:szCs w:val="18"/>
        </w:rPr>
        <w:t>Sveukupno u 2023. godini je bila izvršena kapitalna pomoć u iznosu 11.000 € se odnosi na prijenos Domu zdravlja Dubrovnik, (proračunski korisnik županije) za nabavu stolice za stomatološku ambulantu na Grudi. Prethodne godine je bila jedna pomoć u iznosu 3.981,68 € Općoj bolnici Dubrovnik za nabavu opreme za fizijatriju.</w:t>
      </w:r>
    </w:p>
    <w:p w14:paraId="629C62A6" w14:textId="54F437AB" w:rsidR="00276996" w:rsidRPr="00276996" w:rsidRDefault="00276996" w:rsidP="002769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firstLine="567"/>
        <w:jc w:val="both"/>
        <w:rPr>
          <w:rFonts w:ascii="Arial" w:hAnsi="Arial" w:cs="Arial"/>
          <w:sz w:val="18"/>
          <w:szCs w:val="18"/>
        </w:rPr>
      </w:pPr>
      <w:r w:rsidRPr="00276996">
        <w:rPr>
          <w:rFonts w:ascii="Arial" w:hAnsi="Arial" w:cs="Arial"/>
          <w:sz w:val="18"/>
          <w:szCs w:val="18"/>
        </w:rPr>
        <w:t>Sveukupno u 2024. godini je bila izvršena kapitalna pomoć u iznosu 12.000 € i odnosila se na nabavu EKG uređaja za hitnu medicinsku pomoć smještenu u zračnoj luci Dubrovnik.</w:t>
      </w:r>
    </w:p>
    <w:p w14:paraId="5787CC15" w14:textId="77777777" w:rsidR="00276996" w:rsidRPr="00FD0F25" w:rsidRDefault="00276996" w:rsidP="006232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55496B59" w14:textId="08D7FE4E" w:rsidR="00623214" w:rsidRPr="003A2F86" w:rsidRDefault="00623214" w:rsidP="006232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Prijenosi proračunskim korisnicima iz nadležnog proračuna za financiranje redovne djelatnosti (3671) su u financijskim izvještajima, razina 22, </w:t>
      </w:r>
      <w:r w:rsidR="0021122B">
        <w:rPr>
          <w:rFonts w:ascii="Arial" w:eastAsia="Times New Roman" w:hAnsi="Arial" w:cs="Arial"/>
        </w:rPr>
        <w:t>i</w:t>
      </w:r>
      <w:r w:rsidRPr="003A2F86">
        <w:rPr>
          <w:rFonts w:ascii="Arial" w:eastAsia="Times New Roman" w:hAnsi="Arial" w:cs="Arial"/>
        </w:rPr>
        <w:t xml:space="preserve">skazani u okviru podskupine 367 u iznosu </w:t>
      </w:r>
      <w:r w:rsidR="00276996">
        <w:rPr>
          <w:rFonts w:ascii="Arial" w:eastAsia="Times New Roman" w:hAnsi="Arial" w:cs="Arial"/>
          <w:b/>
          <w:bCs/>
        </w:rPr>
        <w:t>2.280.770,24</w:t>
      </w:r>
      <w:r w:rsidR="000B1E6A" w:rsidRPr="003A2F86">
        <w:rPr>
          <w:rFonts w:ascii="Arial" w:eastAsia="Times New Roman" w:hAnsi="Arial" w:cs="Arial"/>
          <w:b/>
          <w:bCs/>
        </w:rPr>
        <w:t xml:space="preserve"> €</w:t>
      </w:r>
      <w:r w:rsidRPr="003A2F86">
        <w:rPr>
          <w:rFonts w:ascii="Arial" w:eastAsia="Times New Roman" w:hAnsi="Arial" w:cs="Arial"/>
        </w:rPr>
        <w:t xml:space="preserve">. Međutim, u financijskim izvještajima, razina 23, kao i u </w:t>
      </w:r>
      <w:r w:rsidR="00A76325" w:rsidRPr="003A2F86">
        <w:rPr>
          <w:rFonts w:ascii="Arial" w:eastAsia="Times New Roman" w:hAnsi="Arial" w:cs="Arial"/>
        </w:rPr>
        <w:t xml:space="preserve">polugodišnjem / </w:t>
      </w:r>
      <w:r w:rsidRPr="003A2F86">
        <w:rPr>
          <w:rFonts w:ascii="Arial" w:eastAsia="Times New Roman" w:hAnsi="Arial" w:cs="Arial"/>
        </w:rPr>
        <w:t>godišnjem izvještaju o izvršenju proračuna, ovi rashodi se iskazuju pojedinačno prema prirodnoj vrsti svakog rashoda</w:t>
      </w:r>
      <w:r w:rsidRPr="003A2F86">
        <w:rPr>
          <w:rFonts w:ascii="Arial" w:eastAsia="Times New Roman" w:hAnsi="Arial" w:cs="Arial"/>
          <w:iCs/>
          <w:sz w:val="20"/>
        </w:rPr>
        <w:t xml:space="preserve"> </w:t>
      </w:r>
      <w:r w:rsidRPr="003A2F86">
        <w:rPr>
          <w:rFonts w:ascii="Arial" w:eastAsia="Times New Roman" w:hAnsi="Arial" w:cs="Arial"/>
          <w:iCs/>
        </w:rPr>
        <w:t>što znači da se ne iskazuju rashodi na podskupini 367.</w:t>
      </w:r>
    </w:p>
    <w:p w14:paraId="3764B599" w14:textId="78CF4F77" w:rsidR="006032DC" w:rsidRPr="003A2F86" w:rsidRDefault="00891119" w:rsidP="001F27A0">
      <w:pPr>
        <w:spacing w:after="0" w:line="240" w:lineRule="auto"/>
        <w:jc w:val="both"/>
        <w:rPr>
          <w:rFonts w:ascii="Arial" w:eastAsia="Times New Roman" w:hAnsi="Arial" w:cs="Arial"/>
          <w:sz w:val="20"/>
          <w:szCs w:val="20"/>
        </w:rPr>
      </w:pPr>
      <w:r w:rsidRPr="003A2F86">
        <w:rPr>
          <w:rFonts w:ascii="Arial" w:eastAsia="Times New Roman" w:hAnsi="Arial" w:cs="Arial"/>
          <w:i/>
          <w:iCs/>
          <w:sz w:val="20"/>
          <w:szCs w:val="20"/>
        </w:rPr>
        <w:t>* Usporedba:</w:t>
      </w:r>
    </w:p>
    <w:p w14:paraId="31948105" w14:textId="4E85E000" w:rsidR="00A76325" w:rsidRPr="003A2F86" w:rsidRDefault="00276996" w:rsidP="004176BC">
      <w:pPr>
        <w:spacing w:after="0" w:line="240" w:lineRule="auto"/>
        <w:jc w:val="center"/>
        <w:rPr>
          <w:rFonts w:ascii="Arial" w:eastAsia="Times New Roman" w:hAnsi="Arial" w:cs="Arial"/>
          <w:sz w:val="20"/>
          <w:szCs w:val="20"/>
        </w:rPr>
      </w:pPr>
      <w:r w:rsidRPr="00276996">
        <w:rPr>
          <w:noProof/>
        </w:rPr>
        <w:drawing>
          <wp:inline distT="0" distB="0" distL="0" distR="0" wp14:anchorId="061419F2" wp14:editId="40E1ED6C">
            <wp:extent cx="5434545" cy="3285460"/>
            <wp:effectExtent l="0" t="0" r="0" b="0"/>
            <wp:docPr id="145618612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48363" cy="3293814"/>
                    </a:xfrm>
                    <a:prstGeom prst="rect">
                      <a:avLst/>
                    </a:prstGeom>
                    <a:noFill/>
                    <a:ln>
                      <a:noFill/>
                    </a:ln>
                  </pic:spPr>
                </pic:pic>
              </a:graphicData>
            </a:graphic>
          </wp:inline>
        </w:drawing>
      </w:r>
      <w:r w:rsidR="00A76325" w:rsidRPr="003A2F86">
        <w:rPr>
          <w:rFonts w:ascii="Arial" w:eastAsia="Times New Roman" w:hAnsi="Arial" w:cs="Arial"/>
          <w:sz w:val="20"/>
          <w:szCs w:val="20"/>
        </w:rPr>
        <w:br w:type="page"/>
      </w:r>
    </w:p>
    <w:p w14:paraId="2168EF61" w14:textId="2033D6A6" w:rsidR="00891119" w:rsidRPr="003A2F86" w:rsidRDefault="00D3435A" w:rsidP="00D3435A">
      <w:pPr>
        <w:pStyle w:val="Naslov4"/>
        <w:rPr>
          <w:rFonts w:ascii="Arial" w:hAnsi="Arial" w:cs="Arial"/>
          <w:lang w:val="hr-HR"/>
        </w:rPr>
      </w:pPr>
      <w:bookmarkStart w:id="170" w:name="_Toc207707435"/>
      <w:r w:rsidRPr="003A2F86">
        <w:rPr>
          <w:rFonts w:ascii="Arial" w:hAnsi="Arial" w:cs="Arial"/>
          <w:lang w:val="hr-HR"/>
        </w:rPr>
        <w:lastRenderedPageBreak/>
        <w:t>3.4.3.6</w:t>
      </w:r>
      <w:r w:rsidR="00891119" w:rsidRPr="003A2F86">
        <w:rPr>
          <w:rFonts w:ascii="Arial" w:hAnsi="Arial" w:cs="Arial"/>
          <w:lang w:val="hr-HR"/>
        </w:rPr>
        <w:t xml:space="preserve">. </w:t>
      </w:r>
      <w:r w:rsidR="00891119" w:rsidRPr="003A2F86">
        <w:rPr>
          <w:rFonts w:ascii="Arial" w:hAnsi="Arial" w:cs="Arial"/>
          <w:lang w:val="hr-HR"/>
        </w:rPr>
        <w:tab/>
        <w:t>Na</w:t>
      </w:r>
      <w:r w:rsidR="00A8623C" w:rsidRPr="003A2F86">
        <w:rPr>
          <w:rFonts w:ascii="Arial" w:hAnsi="Arial" w:cs="Arial"/>
          <w:lang w:val="hr-HR"/>
        </w:rPr>
        <w:t>kn</w:t>
      </w:r>
      <w:r w:rsidR="00891119" w:rsidRPr="003A2F86">
        <w:rPr>
          <w:rFonts w:ascii="Arial" w:hAnsi="Arial" w:cs="Arial"/>
          <w:lang w:val="hr-HR"/>
        </w:rPr>
        <w:t>ade građanima i kućanstvima na temelju osiguranja i druge na</w:t>
      </w:r>
      <w:r w:rsidR="00A8623C" w:rsidRPr="003A2F86">
        <w:rPr>
          <w:rFonts w:ascii="Arial" w:hAnsi="Arial" w:cs="Arial"/>
          <w:lang w:val="hr-HR"/>
        </w:rPr>
        <w:t>kn</w:t>
      </w:r>
      <w:r w:rsidR="00891119" w:rsidRPr="003A2F86">
        <w:rPr>
          <w:rFonts w:ascii="Arial" w:hAnsi="Arial" w:cs="Arial"/>
          <w:lang w:val="hr-HR"/>
        </w:rPr>
        <w:t>ade</w:t>
      </w:r>
      <w:r w:rsidRPr="003A2F86">
        <w:rPr>
          <w:rFonts w:ascii="Arial" w:hAnsi="Arial" w:cs="Arial"/>
          <w:lang w:val="hr-HR"/>
        </w:rPr>
        <w:t xml:space="preserve"> (37)</w:t>
      </w:r>
      <w:bookmarkEnd w:id="170"/>
    </w:p>
    <w:p w14:paraId="51B412C9"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2B6135F" w14:textId="660ACABF" w:rsidR="00A123DD" w:rsidRPr="00A123DD" w:rsidRDefault="00A123DD" w:rsidP="00A123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171" w:name="_Hlk65515565"/>
      <w:r w:rsidRPr="00A123DD">
        <w:rPr>
          <w:rFonts w:ascii="Arial" w:eastAsia="Times New Roman" w:hAnsi="Arial" w:cs="Arial"/>
          <w:b/>
        </w:rPr>
        <w:t>Naknade građanima i kućanstvima na temelju osiguranja i druge naknade</w:t>
      </w:r>
      <w:r w:rsidRPr="00A123DD">
        <w:rPr>
          <w:rFonts w:ascii="Arial" w:eastAsia="Times New Roman" w:hAnsi="Arial" w:cs="Arial"/>
        </w:rPr>
        <w:t xml:space="preserve"> (37) izvršene su u iznosu </w:t>
      </w:r>
      <w:bookmarkStart w:id="172" w:name="_Hlk200537875"/>
      <w:r w:rsidR="00947DD2">
        <w:rPr>
          <w:rFonts w:ascii="Arial" w:eastAsia="Times New Roman" w:hAnsi="Arial" w:cs="Arial"/>
        </w:rPr>
        <w:t>335.806,94</w:t>
      </w:r>
      <w:r w:rsidRPr="00A123DD">
        <w:rPr>
          <w:rFonts w:ascii="Arial" w:eastAsia="Times New Roman" w:hAnsi="Arial" w:cs="Arial"/>
        </w:rPr>
        <w:t xml:space="preserve"> </w:t>
      </w:r>
      <w:bookmarkEnd w:id="172"/>
      <w:r w:rsidRPr="00A123DD">
        <w:rPr>
          <w:rFonts w:ascii="Arial" w:eastAsia="Times New Roman" w:hAnsi="Arial" w:cs="Arial"/>
        </w:rPr>
        <w:t xml:space="preserve">€ što je za </w:t>
      </w:r>
      <w:r w:rsidR="00947DD2">
        <w:rPr>
          <w:rFonts w:ascii="Arial" w:eastAsia="Times New Roman" w:hAnsi="Arial" w:cs="Arial"/>
        </w:rPr>
        <w:t>59.305,77</w:t>
      </w:r>
      <w:r w:rsidRPr="00A123DD">
        <w:rPr>
          <w:rFonts w:ascii="Arial" w:eastAsia="Times New Roman" w:hAnsi="Arial" w:cs="Arial"/>
        </w:rPr>
        <w:t xml:space="preserve"> € ili </w:t>
      </w:r>
      <w:r w:rsidR="00947DD2">
        <w:rPr>
          <w:rFonts w:ascii="Arial" w:eastAsia="Times New Roman" w:hAnsi="Arial" w:cs="Arial"/>
        </w:rPr>
        <w:t>21,4</w:t>
      </w:r>
      <w:r w:rsidRPr="00A123DD">
        <w:rPr>
          <w:rFonts w:ascii="Arial" w:eastAsia="Times New Roman" w:hAnsi="Arial" w:cs="Arial"/>
        </w:rPr>
        <w:t xml:space="preserve">% više u odnosu na prethodnu godinu. Ove naknade se odnose na naknade u novcu (3721) </w:t>
      </w:r>
      <w:r w:rsidR="00947DD2">
        <w:rPr>
          <w:rFonts w:ascii="Arial" w:eastAsia="Times New Roman" w:hAnsi="Arial" w:cs="Arial"/>
        </w:rPr>
        <w:t>177.228,13</w:t>
      </w:r>
      <w:r w:rsidRPr="00A123DD">
        <w:rPr>
          <w:rFonts w:ascii="Arial" w:eastAsia="Times New Roman" w:hAnsi="Arial" w:cs="Arial"/>
        </w:rPr>
        <w:t xml:space="preserve"> € i naknade u naravi (3722) </w:t>
      </w:r>
      <w:r w:rsidR="00947DD2">
        <w:rPr>
          <w:rFonts w:ascii="Arial" w:eastAsia="Times New Roman" w:hAnsi="Arial" w:cs="Arial"/>
        </w:rPr>
        <w:t>158.578,81</w:t>
      </w:r>
      <w:r w:rsidRPr="00A123DD">
        <w:rPr>
          <w:rFonts w:ascii="Arial" w:eastAsia="Times New Roman" w:hAnsi="Arial" w:cs="Arial"/>
        </w:rPr>
        <w:t xml:space="preserve"> €. </w:t>
      </w:r>
    </w:p>
    <w:p w14:paraId="2E11F230" w14:textId="77777777" w:rsidR="00A123DD" w:rsidRPr="00A123DD" w:rsidRDefault="00A123DD" w:rsidP="00A123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184EAA4" w14:textId="669CE400" w:rsidR="00A123DD" w:rsidRPr="00A123DD" w:rsidRDefault="00A123DD" w:rsidP="00A123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A123DD">
        <w:rPr>
          <w:rFonts w:ascii="Arial" w:eastAsia="Times New Roman" w:hAnsi="Arial" w:cs="Arial"/>
        </w:rPr>
        <w:t xml:space="preserve">Naknade u novcu su izvršene u iznosu </w:t>
      </w:r>
      <w:r w:rsidR="00947DD2">
        <w:rPr>
          <w:rFonts w:ascii="Arial" w:eastAsia="Times New Roman" w:hAnsi="Arial" w:cs="Arial"/>
        </w:rPr>
        <w:t>177.228,13</w:t>
      </w:r>
      <w:r w:rsidRPr="00A123DD">
        <w:rPr>
          <w:rFonts w:ascii="Arial" w:eastAsia="Times New Roman" w:hAnsi="Arial" w:cs="Arial"/>
        </w:rPr>
        <w:t xml:space="preserve"> € ili više za </w:t>
      </w:r>
      <w:r w:rsidR="00947DD2">
        <w:rPr>
          <w:rFonts w:ascii="Arial" w:eastAsia="Times New Roman" w:hAnsi="Arial" w:cs="Arial"/>
        </w:rPr>
        <w:t>44.585,38</w:t>
      </w:r>
      <w:r w:rsidRPr="00A123DD">
        <w:rPr>
          <w:rFonts w:ascii="Arial" w:eastAsia="Times New Roman" w:hAnsi="Arial" w:cs="Arial"/>
        </w:rPr>
        <w:t xml:space="preserve"> € ili </w:t>
      </w:r>
      <w:r w:rsidR="00947DD2">
        <w:rPr>
          <w:rFonts w:ascii="Arial" w:eastAsia="Times New Roman" w:hAnsi="Arial" w:cs="Arial"/>
        </w:rPr>
        <w:t>33,6</w:t>
      </w:r>
      <w:r w:rsidRPr="00A123DD">
        <w:rPr>
          <w:rFonts w:ascii="Arial" w:eastAsia="Times New Roman" w:hAnsi="Arial" w:cs="Arial"/>
        </w:rPr>
        <w:t xml:space="preserve">% u odnosu na prethodnu godinu, a odnose se na: </w:t>
      </w:r>
    </w:p>
    <w:p w14:paraId="048223D6" w14:textId="5DD1CE98" w:rsidR="00F10593" w:rsidRPr="004E59A0" w:rsidRDefault="00F10593" w:rsidP="00F10593">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bookmarkStart w:id="173" w:name="_Hlk97229428"/>
      <w:r w:rsidRPr="004E59A0">
        <w:rPr>
          <w:rFonts w:ascii="Arial" w:eastAsia="Times New Roman" w:hAnsi="Arial" w:cs="Arial"/>
        </w:rPr>
        <w:t xml:space="preserve">stipendije i školarine u iznosu </w:t>
      </w:r>
      <w:r>
        <w:rPr>
          <w:rFonts w:ascii="Arial" w:eastAsia="Times New Roman" w:hAnsi="Arial" w:cs="Arial"/>
        </w:rPr>
        <w:t>141.100</w:t>
      </w:r>
      <w:r w:rsidRPr="004E59A0">
        <w:rPr>
          <w:rFonts w:ascii="Arial" w:eastAsia="Times New Roman" w:hAnsi="Arial" w:cs="Arial"/>
        </w:rPr>
        <w:t xml:space="preserve"> € (više za 43.700 €, iznos stipendije je </w:t>
      </w:r>
      <w:r w:rsidR="00111106" w:rsidRPr="004E59A0">
        <w:rPr>
          <w:rFonts w:ascii="Arial" w:eastAsia="Times New Roman" w:hAnsi="Arial" w:cs="Arial"/>
        </w:rPr>
        <w:t>veći</w:t>
      </w:r>
      <w:r w:rsidRPr="004E59A0">
        <w:rPr>
          <w:rFonts w:ascii="Arial" w:eastAsia="Times New Roman" w:hAnsi="Arial" w:cs="Arial"/>
        </w:rPr>
        <w:t xml:space="preserve"> nego prethodne godine), </w:t>
      </w:r>
    </w:p>
    <w:p w14:paraId="632A48D4" w14:textId="519745B4" w:rsidR="00A123DD" w:rsidRPr="004E59A0"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4E59A0">
        <w:rPr>
          <w:rFonts w:ascii="Arial" w:eastAsia="Times New Roman" w:hAnsi="Arial" w:cs="Arial"/>
        </w:rPr>
        <w:t xml:space="preserve">potpore za novorođenu djecu u iznosu </w:t>
      </w:r>
      <w:bookmarkStart w:id="174" w:name="_Hlk200538194"/>
      <w:r w:rsidR="004E59A0" w:rsidRPr="004E59A0">
        <w:rPr>
          <w:rFonts w:ascii="Arial" w:eastAsia="Times New Roman" w:hAnsi="Arial" w:cs="Arial"/>
        </w:rPr>
        <w:t>22.100</w:t>
      </w:r>
      <w:r w:rsidRPr="004E59A0">
        <w:rPr>
          <w:rFonts w:ascii="Arial" w:eastAsia="Times New Roman" w:hAnsi="Arial" w:cs="Arial"/>
        </w:rPr>
        <w:t xml:space="preserve"> </w:t>
      </w:r>
      <w:bookmarkEnd w:id="174"/>
      <w:r w:rsidRPr="004E59A0">
        <w:rPr>
          <w:rFonts w:ascii="Arial" w:eastAsia="Times New Roman" w:hAnsi="Arial" w:cs="Arial"/>
        </w:rPr>
        <w:t xml:space="preserve">€ (više za </w:t>
      </w:r>
      <w:r w:rsidR="004E59A0" w:rsidRPr="004E59A0">
        <w:rPr>
          <w:rFonts w:ascii="Arial" w:eastAsia="Times New Roman" w:hAnsi="Arial" w:cs="Arial"/>
        </w:rPr>
        <w:t>3.840</w:t>
      </w:r>
      <w:r w:rsidRPr="004E59A0">
        <w:rPr>
          <w:rFonts w:ascii="Arial" w:eastAsia="Times New Roman" w:hAnsi="Arial" w:cs="Arial"/>
        </w:rPr>
        <w:t xml:space="preserve"> €, visina naknade </w:t>
      </w:r>
      <w:r w:rsidR="004E59A0" w:rsidRPr="004E59A0">
        <w:rPr>
          <w:rFonts w:ascii="Arial" w:eastAsia="Times New Roman" w:hAnsi="Arial" w:cs="Arial"/>
        </w:rPr>
        <w:t>je veća u odnosu na prethodnu godinu</w:t>
      </w:r>
      <w:r w:rsidRPr="004E59A0">
        <w:rPr>
          <w:rFonts w:ascii="Arial" w:eastAsia="Times New Roman" w:hAnsi="Arial" w:cs="Arial"/>
        </w:rPr>
        <w:t xml:space="preserve">), </w:t>
      </w:r>
    </w:p>
    <w:p w14:paraId="6631584A" w14:textId="4928E762" w:rsidR="00A123DD" w:rsidRPr="00937582"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937582">
        <w:rPr>
          <w:rFonts w:ascii="Arial" w:eastAsia="Times New Roman" w:hAnsi="Arial" w:cs="Arial"/>
        </w:rPr>
        <w:t xml:space="preserve">jednokratne novčane pomoći socijalno ugroženim i nemoćnim osobama u iznosu </w:t>
      </w:r>
      <w:bookmarkStart w:id="175" w:name="_Hlk200538321"/>
      <w:r w:rsidR="00937582">
        <w:rPr>
          <w:rFonts w:ascii="Arial" w:eastAsia="Times New Roman" w:hAnsi="Arial" w:cs="Arial"/>
        </w:rPr>
        <w:t>2.750</w:t>
      </w:r>
      <w:r w:rsidRPr="00937582">
        <w:rPr>
          <w:rFonts w:ascii="Arial" w:eastAsia="Times New Roman" w:hAnsi="Arial" w:cs="Arial"/>
        </w:rPr>
        <w:t xml:space="preserve"> </w:t>
      </w:r>
      <w:bookmarkEnd w:id="175"/>
      <w:r w:rsidRPr="00937582">
        <w:rPr>
          <w:rFonts w:ascii="Arial" w:eastAsia="Times New Roman" w:hAnsi="Arial" w:cs="Arial"/>
        </w:rPr>
        <w:t>€ u skladu s odredbama socijalnog programa</w:t>
      </w:r>
      <w:r w:rsidR="004E59A0" w:rsidRPr="00937582">
        <w:rPr>
          <w:rFonts w:ascii="Arial" w:eastAsia="Times New Roman" w:hAnsi="Arial" w:cs="Arial"/>
        </w:rPr>
        <w:t xml:space="preserve"> (</w:t>
      </w:r>
      <w:r w:rsidR="00937582">
        <w:rPr>
          <w:rFonts w:ascii="Arial" w:eastAsia="Times New Roman" w:hAnsi="Arial" w:cs="Arial"/>
        </w:rPr>
        <w:t>više</w:t>
      </w:r>
      <w:r w:rsidR="004E59A0" w:rsidRPr="00937582">
        <w:rPr>
          <w:rFonts w:ascii="Arial" w:eastAsia="Times New Roman" w:hAnsi="Arial" w:cs="Arial"/>
        </w:rPr>
        <w:t xml:space="preserve"> za </w:t>
      </w:r>
      <w:r w:rsidR="00937582">
        <w:rPr>
          <w:rFonts w:ascii="Arial" w:eastAsia="Times New Roman" w:hAnsi="Arial" w:cs="Arial"/>
        </w:rPr>
        <w:t xml:space="preserve">1.000 </w:t>
      </w:r>
      <w:r w:rsidR="004E59A0" w:rsidRPr="00937582">
        <w:rPr>
          <w:rFonts w:ascii="Arial" w:eastAsia="Times New Roman" w:hAnsi="Arial" w:cs="Arial"/>
        </w:rPr>
        <w:t>€)</w:t>
      </w:r>
      <w:r w:rsidRPr="00937582">
        <w:rPr>
          <w:rFonts w:ascii="Arial" w:eastAsia="Times New Roman" w:hAnsi="Arial" w:cs="Arial"/>
        </w:rPr>
        <w:t xml:space="preserve">, </w:t>
      </w:r>
    </w:p>
    <w:p w14:paraId="0E150546" w14:textId="075A5C75" w:rsidR="00A123DD" w:rsidRPr="00937582"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937582">
        <w:rPr>
          <w:rFonts w:ascii="Arial" w:eastAsia="Times New Roman" w:hAnsi="Arial" w:cs="Arial"/>
        </w:rPr>
        <w:t xml:space="preserve">jednokratne pomoći za podmirenje troškova stanovanja socijalno ugroženih i nemoćnih osoba u iznosu </w:t>
      </w:r>
      <w:bookmarkStart w:id="176" w:name="_Hlk200538638"/>
      <w:r w:rsidR="00937582">
        <w:rPr>
          <w:rFonts w:ascii="Arial" w:eastAsia="Times New Roman" w:hAnsi="Arial" w:cs="Arial"/>
        </w:rPr>
        <w:t>3.060</w:t>
      </w:r>
      <w:r w:rsidRPr="00937582">
        <w:rPr>
          <w:rFonts w:ascii="Arial" w:eastAsia="Times New Roman" w:hAnsi="Arial" w:cs="Arial"/>
        </w:rPr>
        <w:t xml:space="preserve"> </w:t>
      </w:r>
      <w:bookmarkEnd w:id="176"/>
      <w:r w:rsidRPr="00937582">
        <w:rPr>
          <w:rFonts w:ascii="Arial" w:eastAsia="Times New Roman" w:hAnsi="Arial" w:cs="Arial"/>
        </w:rPr>
        <w:t xml:space="preserve">€ (više za 660 €), </w:t>
      </w:r>
    </w:p>
    <w:p w14:paraId="5778019B" w14:textId="57B99DF2" w:rsidR="00A123DD" w:rsidRPr="00937582"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937582">
        <w:rPr>
          <w:rFonts w:ascii="Arial" w:eastAsia="Times New Roman" w:hAnsi="Arial" w:cs="Arial"/>
        </w:rPr>
        <w:t xml:space="preserve">stalna pomoć socijalno ugroženim osobama u iznosu </w:t>
      </w:r>
      <w:r w:rsidR="004E59A0" w:rsidRPr="00937582">
        <w:rPr>
          <w:rFonts w:ascii="Arial" w:eastAsia="Times New Roman" w:hAnsi="Arial" w:cs="Arial"/>
        </w:rPr>
        <w:t>6.180</w:t>
      </w:r>
      <w:r w:rsidRPr="00937582">
        <w:rPr>
          <w:rFonts w:ascii="Arial" w:eastAsia="Times New Roman" w:hAnsi="Arial" w:cs="Arial"/>
        </w:rPr>
        <w:t xml:space="preserve"> € (više za </w:t>
      </w:r>
      <w:r w:rsidR="004E59A0" w:rsidRPr="00937582">
        <w:rPr>
          <w:rFonts w:ascii="Arial" w:eastAsia="Times New Roman" w:hAnsi="Arial" w:cs="Arial"/>
        </w:rPr>
        <w:t>780</w:t>
      </w:r>
      <w:r w:rsidRPr="00937582">
        <w:rPr>
          <w:rFonts w:ascii="Arial" w:eastAsia="Times New Roman" w:hAnsi="Arial" w:cs="Arial"/>
        </w:rPr>
        <w:t xml:space="preserve"> €),</w:t>
      </w:r>
    </w:p>
    <w:p w14:paraId="10E197DC" w14:textId="77777777" w:rsidR="004E59A0" w:rsidRPr="004E59A0" w:rsidRDefault="004E59A0" w:rsidP="004E59A0">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4E59A0">
        <w:rPr>
          <w:rFonts w:ascii="Arial" w:eastAsia="Times New Roman" w:hAnsi="Arial" w:cs="Arial"/>
        </w:rPr>
        <w:t>pomoć mladoj invalidnoj osobi 1.000 €,</w:t>
      </w:r>
    </w:p>
    <w:p w14:paraId="31E27379" w14:textId="3984FBAC" w:rsidR="00A123DD" w:rsidRPr="004E59A0"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4E59A0">
        <w:rPr>
          <w:rFonts w:ascii="Arial" w:eastAsia="Times New Roman" w:hAnsi="Arial" w:cs="Arial"/>
        </w:rPr>
        <w:t xml:space="preserve">pomoć za liječenje i nabavu pomagala u iznosu </w:t>
      </w:r>
      <w:r w:rsidR="004E59A0" w:rsidRPr="004E59A0">
        <w:rPr>
          <w:rFonts w:ascii="Arial" w:eastAsia="Times New Roman" w:hAnsi="Arial" w:cs="Arial"/>
        </w:rPr>
        <w:t>568,13</w:t>
      </w:r>
      <w:r w:rsidRPr="004E59A0">
        <w:rPr>
          <w:rFonts w:ascii="Arial" w:eastAsia="Times New Roman" w:hAnsi="Arial" w:cs="Arial"/>
        </w:rPr>
        <w:t xml:space="preserve"> € (</w:t>
      </w:r>
      <w:r w:rsidR="004E59A0" w:rsidRPr="004E59A0">
        <w:rPr>
          <w:rFonts w:ascii="Arial" w:eastAsia="Times New Roman" w:hAnsi="Arial" w:cs="Arial"/>
        </w:rPr>
        <w:t>manje</w:t>
      </w:r>
      <w:r w:rsidRPr="004E59A0">
        <w:rPr>
          <w:rFonts w:ascii="Arial" w:eastAsia="Times New Roman" w:hAnsi="Arial" w:cs="Arial"/>
        </w:rPr>
        <w:t xml:space="preserve"> za </w:t>
      </w:r>
      <w:r w:rsidR="004E59A0" w:rsidRPr="004E59A0">
        <w:rPr>
          <w:rFonts w:ascii="Arial" w:eastAsia="Times New Roman" w:hAnsi="Arial" w:cs="Arial"/>
        </w:rPr>
        <w:t>2.431,87</w:t>
      </w:r>
      <w:r w:rsidRPr="004E59A0">
        <w:rPr>
          <w:rFonts w:ascii="Arial" w:eastAsia="Times New Roman" w:hAnsi="Arial" w:cs="Arial"/>
        </w:rPr>
        <w:t xml:space="preserve"> €),</w:t>
      </w:r>
    </w:p>
    <w:p w14:paraId="13B9B747" w14:textId="77777777" w:rsidR="00937582" w:rsidRPr="004E59A0" w:rsidRDefault="00937582" w:rsidP="00937582">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4E59A0">
        <w:rPr>
          <w:rFonts w:ascii="Arial" w:eastAsia="Times New Roman" w:hAnsi="Arial" w:cs="Arial"/>
        </w:rPr>
        <w:t xml:space="preserve">sufinanciranje prijevoza u novcu studentima izvan Dubrovnika </w:t>
      </w:r>
      <w:r>
        <w:rPr>
          <w:rFonts w:ascii="Arial" w:eastAsia="Times New Roman" w:hAnsi="Arial" w:cs="Arial"/>
        </w:rPr>
        <w:t>470</w:t>
      </w:r>
      <w:r w:rsidRPr="004E59A0">
        <w:rPr>
          <w:rFonts w:ascii="Arial" w:eastAsia="Times New Roman" w:hAnsi="Arial" w:cs="Arial"/>
        </w:rPr>
        <w:t xml:space="preserve"> € (mjera uvedena 2018.),</w:t>
      </w:r>
    </w:p>
    <w:p w14:paraId="5774AC77" w14:textId="539B1981" w:rsidR="00A123DD" w:rsidRPr="00937582"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4E59A0">
        <w:rPr>
          <w:rFonts w:ascii="Arial" w:eastAsia="Times New Roman" w:hAnsi="Arial" w:cs="Arial"/>
        </w:rPr>
        <w:t xml:space="preserve">jednokratne pomoći povodom božićnih i novogodišnjih blagdana obiteljima poginulih branitelja u iznosu </w:t>
      </w:r>
      <w:r w:rsidR="004E59A0" w:rsidRPr="004E59A0">
        <w:rPr>
          <w:rFonts w:ascii="Arial" w:eastAsia="Times New Roman" w:hAnsi="Arial" w:cs="Arial"/>
        </w:rPr>
        <w:t xml:space="preserve">0 € (ovi rashodi se izvršavaju u drugom </w:t>
      </w:r>
      <w:r w:rsidR="004E59A0" w:rsidRPr="00937582">
        <w:rPr>
          <w:rFonts w:ascii="Arial" w:eastAsia="Times New Roman" w:hAnsi="Arial" w:cs="Arial"/>
        </w:rPr>
        <w:t xml:space="preserve">polugodištu godine), </w:t>
      </w:r>
    </w:p>
    <w:p w14:paraId="32094452" w14:textId="5686C510" w:rsidR="00A123DD" w:rsidRPr="00937582" w:rsidRDefault="00937582"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4E59A0">
        <w:rPr>
          <w:rFonts w:ascii="Arial" w:eastAsia="Times New Roman" w:hAnsi="Arial" w:cs="Arial"/>
        </w:rPr>
        <w:t xml:space="preserve">pomoć za nabavu školskih udžbenika odnosno školskog pribora 0 € (izvršava se kroz program socijalne skrbi, te kroz demografski program - </w:t>
      </w:r>
      <w:r w:rsidR="00A123DD" w:rsidRPr="00937582">
        <w:rPr>
          <w:rFonts w:ascii="Arial" w:eastAsia="Times New Roman" w:hAnsi="Arial" w:cs="Arial"/>
        </w:rPr>
        <w:t xml:space="preserve">sufinanciranje priključka na vodovodnu i kanalizacijsku mrežu u iznosu </w:t>
      </w:r>
      <w:r w:rsidR="004E59A0" w:rsidRPr="00937582">
        <w:rPr>
          <w:rFonts w:ascii="Arial" w:eastAsia="Times New Roman" w:hAnsi="Arial" w:cs="Arial"/>
        </w:rPr>
        <w:t>0</w:t>
      </w:r>
      <w:r w:rsidR="00A123DD" w:rsidRPr="00937582">
        <w:rPr>
          <w:rFonts w:ascii="Arial" w:eastAsia="Times New Roman" w:hAnsi="Arial" w:cs="Arial"/>
        </w:rPr>
        <w:t xml:space="preserve"> €</w:t>
      </w:r>
      <w:r w:rsidR="004E59A0" w:rsidRPr="00937582">
        <w:rPr>
          <w:rFonts w:ascii="Arial" w:eastAsia="Times New Roman" w:hAnsi="Arial" w:cs="Arial"/>
        </w:rPr>
        <w:t>,</w:t>
      </w:r>
    </w:p>
    <w:p w14:paraId="0C2CA152" w14:textId="77777777" w:rsidR="00937582" w:rsidRPr="004E59A0" w:rsidRDefault="00937582" w:rsidP="00937582">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bookmarkStart w:id="177" w:name="_Hlk200538506"/>
      <w:r w:rsidRPr="004E59A0">
        <w:rPr>
          <w:rFonts w:ascii="Arial" w:eastAsia="Times New Roman" w:hAnsi="Arial" w:cs="Arial"/>
        </w:rPr>
        <w:t>sufinanciranje nabave školskog pribora za roditelje s više djece, a sve u drugom polugodištu godine).</w:t>
      </w:r>
      <w:bookmarkEnd w:id="177"/>
    </w:p>
    <w:p w14:paraId="294CB749" w14:textId="36DB3DCF" w:rsidR="00A123DD" w:rsidRPr="00937582"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937582">
        <w:rPr>
          <w:rFonts w:ascii="Arial" w:eastAsia="Times New Roman" w:hAnsi="Arial" w:cs="Arial"/>
        </w:rPr>
        <w:t>sufinanciranje prijevoza učenika kojima je prva autobusna stanica udaljena više od dva kilometra 0 €,</w:t>
      </w:r>
    </w:p>
    <w:p w14:paraId="7F2039BE" w14:textId="0A987C0E" w:rsidR="00A123DD" w:rsidRPr="00937582"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937582">
        <w:rPr>
          <w:rFonts w:ascii="Arial" w:eastAsia="Times New Roman" w:hAnsi="Arial" w:cs="Arial"/>
        </w:rPr>
        <w:t xml:space="preserve">pomoći za ogrjev socijalno ugroženih osoba </w:t>
      </w:r>
      <w:r w:rsidR="00937582" w:rsidRPr="00937582">
        <w:rPr>
          <w:rFonts w:ascii="Arial" w:eastAsia="Times New Roman" w:hAnsi="Arial" w:cs="Arial"/>
        </w:rPr>
        <w:t>0</w:t>
      </w:r>
      <w:r w:rsidRPr="00937582">
        <w:rPr>
          <w:rFonts w:ascii="Arial" w:eastAsia="Times New Roman" w:hAnsi="Arial" w:cs="Arial"/>
        </w:rPr>
        <w:t>,00 €.</w:t>
      </w:r>
    </w:p>
    <w:p w14:paraId="12542024" w14:textId="77777777" w:rsidR="00A123DD" w:rsidRPr="00937582" w:rsidRDefault="00A123DD" w:rsidP="00A123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937582">
        <w:rPr>
          <w:rFonts w:ascii="Arial" w:eastAsia="Times New Roman" w:hAnsi="Arial" w:cs="Arial"/>
        </w:rPr>
        <w:t>Vrijednosno najveće povećanje se odnosi na više izvršene rashode za stipendije.</w:t>
      </w:r>
    </w:p>
    <w:p w14:paraId="4061D121" w14:textId="77777777" w:rsidR="00A123DD" w:rsidRPr="00937582" w:rsidRDefault="00A123DD" w:rsidP="00A123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03A0C6D8" w14:textId="5E4E0297" w:rsidR="00A123DD" w:rsidRPr="00F10593" w:rsidRDefault="00A123DD" w:rsidP="00A123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A123DD">
        <w:rPr>
          <w:rFonts w:ascii="Arial" w:eastAsia="Times New Roman" w:hAnsi="Arial" w:cs="Arial"/>
        </w:rPr>
        <w:t xml:space="preserve">Naknade građanima i kućanstvima u naravi (3722) su izvršene u iznosu </w:t>
      </w:r>
      <w:r w:rsidR="00947DD2">
        <w:rPr>
          <w:rFonts w:ascii="Arial" w:eastAsia="Times New Roman" w:hAnsi="Arial" w:cs="Arial"/>
        </w:rPr>
        <w:t>158.578,81</w:t>
      </w:r>
      <w:r w:rsidRPr="00A123DD">
        <w:rPr>
          <w:rFonts w:ascii="Arial" w:eastAsia="Times New Roman" w:hAnsi="Arial" w:cs="Arial"/>
        </w:rPr>
        <w:t xml:space="preserve"> € ili </w:t>
      </w:r>
      <w:r w:rsidR="00947DD2">
        <w:rPr>
          <w:rFonts w:ascii="Arial" w:eastAsia="Times New Roman" w:hAnsi="Arial" w:cs="Arial"/>
        </w:rPr>
        <w:t>14.720,39</w:t>
      </w:r>
      <w:r w:rsidRPr="00A123DD">
        <w:rPr>
          <w:rFonts w:ascii="Arial" w:eastAsia="Times New Roman" w:hAnsi="Arial" w:cs="Arial"/>
        </w:rPr>
        <w:t xml:space="preserve"> €</w:t>
      </w:r>
      <w:r w:rsidR="00947DD2">
        <w:rPr>
          <w:rFonts w:ascii="Arial" w:eastAsia="Times New Roman" w:hAnsi="Arial" w:cs="Arial"/>
        </w:rPr>
        <w:t xml:space="preserve"> ili 10,2% više</w:t>
      </w:r>
      <w:r w:rsidRPr="00A123DD">
        <w:rPr>
          <w:rFonts w:ascii="Arial" w:eastAsia="Times New Roman" w:hAnsi="Arial" w:cs="Arial"/>
        </w:rPr>
        <w:t xml:space="preserve"> nego prethodne godine, a odnose </w:t>
      </w:r>
      <w:r w:rsidRPr="00F10593">
        <w:rPr>
          <w:rFonts w:ascii="Arial" w:eastAsia="Times New Roman" w:hAnsi="Arial" w:cs="Arial"/>
        </w:rPr>
        <w:t>se na:</w:t>
      </w:r>
    </w:p>
    <w:p w14:paraId="49F8F681" w14:textId="3B55A110" w:rsidR="00A123DD" w:rsidRPr="00F10593" w:rsidRDefault="00A123DD" w:rsidP="00FD0F25">
      <w:pPr>
        <w:numPr>
          <w:ilvl w:val="0"/>
          <w:numId w:val="16"/>
        </w:numPr>
        <w:overflowPunct w:val="0"/>
        <w:autoSpaceDE w:val="0"/>
        <w:autoSpaceDN w:val="0"/>
        <w:adjustRightInd w:val="0"/>
        <w:spacing w:after="0" w:line="240" w:lineRule="auto"/>
        <w:ind w:left="284" w:firstLine="0"/>
        <w:jc w:val="both"/>
        <w:rPr>
          <w:rFonts w:ascii="Arial" w:eastAsia="Times New Roman" w:hAnsi="Arial" w:cs="Arial"/>
        </w:rPr>
      </w:pPr>
      <w:r w:rsidRPr="00F10593">
        <w:rPr>
          <w:rFonts w:ascii="Arial" w:eastAsia="Times New Roman" w:hAnsi="Arial" w:cs="Arial"/>
        </w:rPr>
        <w:t xml:space="preserve">sufinanciranje cijene boravka djece u dječjem vrtiću u iznosu </w:t>
      </w:r>
      <w:bookmarkStart w:id="178" w:name="_Hlk200538157"/>
      <w:bookmarkStart w:id="179" w:name="_Hlk159973988"/>
      <w:r w:rsidR="00F10593" w:rsidRPr="00F10593">
        <w:rPr>
          <w:rFonts w:ascii="Arial" w:eastAsia="Times New Roman" w:hAnsi="Arial" w:cs="Arial"/>
        </w:rPr>
        <w:t>36.425,95</w:t>
      </w:r>
      <w:r w:rsidRPr="00F10593">
        <w:rPr>
          <w:rFonts w:ascii="Arial" w:eastAsia="Times New Roman" w:hAnsi="Arial" w:cs="Arial"/>
        </w:rPr>
        <w:t xml:space="preserve"> </w:t>
      </w:r>
      <w:bookmarkEnd w:id="178"/>
      <w:r w:rsidRPr="00F10593">
        <w:rPr>
          <w:rFonts w:ascii="Arial" w:eastAsia="Times New Roman" w:hAnsi="Arial" w:cs="Arial"/>
        </w:rPr>
        <w:t xml:space="preserve">€ (od čega kroz program socijalne skrbi </w:t>
      </w:r>
      <w:bookmarkStart w:id="180" w:name="_Hlk200538167"/>
      <w:r w:rsidR="00F10593" w:rsidRPr="00F10593">
        <w:rPr>
          <w:rFonts w:ascii="Arial" w:eastAsia="Times New Roman" w:hAnsi="Arial" w:cs="Arial"/>
        </w:rPr>
        <w:t>7.624,62</w:t>
      </w:r>
      <w:r w:rsidRPr="00F10593">
        <w:rPr>
          <w:rFonts w:ascii="Arial" w:eastAsia="Times New Roman" w:hAnsi="Arial" w:cs="Arial"/>
        </w:rPr>
        <w:t xml:space="preserve"> </w:t>
      </w:r>
      <w:bookmarkEnd w:id="180"/>
      <w:r w:rsidRPr="00F10593">
        <w:rPr>
          <w:rFonts w:ascii="Arial" w:eastAsia="Times New Roman" w:hAnsi="Arial" w:cs="Arial"/>
        </w:rPr>
        <w:t xml:space="preserve">€, a kroz demografski program </w:t>
      </w:r>
      <w:bookmarkStart w:id="181" w:name="_Hlk200538177"/>
      <w:r w:rsidR="00F10593" w:rsidRPr="00F10593">
        <w:rPr>
          <w:rFonts w:ascii="Arial" w:eastAsia="Times New Roman" w:hAnsi="Arial" w:cs="Arial"/>
        </w:rPr>
        <w:t>28.801,33</w:t>
      </w:r>
      <w:r w:rsidRPr="00F10593">
        <w:rPr>
          <w:rFonts w:ascii="Arial" w:eastAsia="Times New Roman" w:hAnsi="Arial" w:cs="Arial"/>
        </w:rPr>
        <w:t xml:space="preserve"> </w:t>
      </w:r>
      <w:bookmarkEnd w:id="181"/>
      <w:r w:rsidRPr="00F10593">
        <w:rPr>
          <w:rFonts w:ascii="Arial" w:eastAsia="Times New Roman" w:hAnsi="Arial" w:cs="Arial"/>
        </w:rPr>
        <w:t>€).</w:t>
      </w:r>
      <w:bookmarkEnd w:id="179"/>
      <w:r w:rsidRPr="00F10593">
        <w:rPr>
          <w:rFonts w:ascii="Arial" w:eastAsia="Times New Roman" w:hAnsi="Arial" w:cs="Arial"/>
        </w:rPr>
        <w:t xml:space="preserve"> Ukupno je za sufinanciranje cijene boravka djece u dječjem vrtiću izvršeno više </w:t>
      </w:r>
      <w:r w:rsidR="00F10593" w:rsidRPr="00F10593">
        <w:rPr>
          <w:rFonts w:ascii="Arial" w:eastAsia="Times New Roman" w:hAnsi="Arial" w:cs="Arial"/>
        </w:rPr>
        <w:t>7.800,15</w:t>
      </w:r>
      <w:r w:rsidRPr="00F10593">
        <w:rPr>
          <w:rFonts w:ascii="Arial" w:eastAsia="Times New Roman" w:hAnsi="Arial" w:cs="Arial"/>
        </w:rPr>
        <w:t xml:space="preserve"> €. </w:t>
      </w:r>
    </w:p>
    <w:p w14:paraId="6F1588E1" w14:textId="0FC1B207" w:rsidR="00A123DD" w:rsidRPr="004B325E" w:rsidRDefault="00A123DD" w:rsidP="003F690F">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4B325E">
        <w:rPr>
          <w:rFonts w:ascii="Arial" w:eastAsia="Times New Roman" w:hAnsi="Arial" w:cs="Arial"/>
        </w:rPr>
        <w:t xml:space="preserve">sufinanciranje cijene prijevoza učenika i studenata u iznosu </w:t>
      </w:r>
      <w:bookmarkStart w:id="182" w:name="_Hlk200538220"/>
      <w:r w:rsidR="004B325E" w:rsidRPr="004B325E">
        <w:rPr>
          <w:rFonts w:ascii="Arial" w:eastAsia="Times New Roman" w:hAnsi="Arial" w:cs="Arial"/>
        </w:rPr>
        <w:t>52.639,54</w:t>
      </w:r>
      <w:r w:rsidRPr="004B325E">
        <w:rPr>
          <w:rFonts w:ascii="Arial" w:eastAsia="Times New Roman" w:hAnsi="Arial" w:cs="Arial"/>
        </w:rPr>
        <w:t xml:space="preserve"> </w:t>
      </w:r>
      <w:bookmarkEnd w:id="182"/>
      <w:r w:rsidRPr="004B325E">
        <w:rPr>
          <w:rFonts w:ascii="Arial" w:eastAsia="Times New Roman" w:hAnsi="Arial" w:cs="Arial"/>
        </w:rPr>
        <w:t xml:space="preserve">€ </w:t>
      </w:r>
      <w:bookmarkStart w:id="183" w:name="_Hlk159973958"/>
      <w:r w:rsidRPr="004B325E">
        <w:rPr>
          <w:rFonts w:ascii="Arial" w:eastAsia="Times New Roman" w:hAnsi="Arial" w:cs="Arial"/>
        </w:rPr>
        <w:t xml:space="preserve">(više za </w:t>
      </w:r>
      <w:r w:rsidR="004B325E">
        <w:rPr>
          <w:rFonts w:ascii="Arial" w:eastAsia="Times New Roman" w:hAnsi="Arial" w:cs="Arial"/>
        </w:rPr>
        <w:t>2.800,72</w:t>
      </w:r>
      <w:r w:rsidRPr="004B325E">
        <w:rPr>
          <w:rFonts w:ascii="Arial" w:eastAsia="Times New Roman" w:hAnsi="Arial" w:cs="Arial"/>
        </w:rPr>
        <w:t xml:space="preserve"> €),</w:t>
      </w:r>
      <w:bookmarkEnd w:id="183"/>
    </w:p>
    <w:p w14:paraId="28310DA9" w14:textId="2A29A543" w:rsidR="00A123DD" w:rsidRPr="00F10593"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F10593">
        <w:rPr>
          <w:rFonts w:ascii="Arial" w:eastAsia="Times New Roman" w:hAnsi="Arial" w:cs="Arial"/>
        </w:rPr>
        <w:t xml:space="preserve">sufinanciranje cijene prijevoza građana (bolesni, dobrovoljni darivatelji krvi, invalidi) u iznosu </w:t>
      </w:r>
      <w:bookmarkStart w:id="184" w:name="_Hlk200538245"/>
      <w:r w:rsidR="00F10593" w:rsidRPr="00F10593">
        <w:rPr>
          <w:rFonts w:ascii="Arial" w:eastAsia="Times New Roman" w:hAnsi="Arial" w:cs="Arial"/>
        </w:rPr>
        <w:t>5.158,73</w:t>
      </w:r>
      <w:r w:rsidRPr="00F10593">
        <w:rPr>
          <w:rFonts w:ascii="Arial" w:eastAsia="Times New Roman" w:hAnsi="Arial" w:cs="Arial"/>
        </w:rPr>
        <w:t xml:space="preserve"> </w:t>
      </w:r>
      <w:bookmarkEnd w:id="184"/>
      <w:r w:rsidRPr="00F10593">
        <w:rPr>
          <w:rFonts w:ascii="Arial" w:eastAsia="Times New Roman" w:hAnsi="Arial" w:cs="Arial"/>
        </w:rPr>
        <w:t>€</w:t>
      </w:r>
      <w:r w:rsidR="00F10593" w:rsidRPr="00F10593">
        <w:rPr>
          <w:rFonts w:ascii="Arial" w:eastAsia="Times New Roman" w:hAnsi="Arial" w:cs="Arial"/>
        </w:rPr>
        <w:t>,</w:t>
      </w:r>
    </w:p>
    <w:p w14:paraId="7CE5D1DA" w14:textId="56F7799F" w:rsidR="00A123DD" w:rsidRPr="00F10593"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F10593">
        <w:rPr>
          <w:rFonts w:ascii="Arial" w:eastAsia="Times New Roman" w:hAnsi="Arial" w:cs="Arial"/>
        </w:rPr>
        <w:t xml:space="preserve">sufinanciranje prijevoza umirovljenika </w:t>
      </w:r>
      <w:bookmarkStart w:id="185" w:name="_Hlk200538261"/>
      <w:r w:rsidR="00F10593" w:rsidRPr="00F10593">
        <w:rPr>
          <w:rFonts w:ascii="Arial" w:eastAsia="Times New Roman" w:hAnsi="Arial" w:cs="Arial"/>
        </w:rPr>
        <w:t>9.212,86</w:t>
      </w:r>
      <w:r w:rsidRPr="00F10593">
        <w:rPr>
          <w:rFonts w:ascii="Arial" w:eastAsia="Times New Roman" w:hAnsi="Arial" w:cs="Arial"/>
        </w:rPr>
        <w:t xml:space="preserve"> </w:t>
      </w:r>
      <w:bookmarkEnd w:id="185"/>
      <w:r w:rsidRPr="00F10593">
        <w:rPr>
          <w:rFonts w:ascii="Arial" w:eastAsia="Times New Roman" w:hAnsi="Arial" w:cs="Arial"/>
        </w:rPr>
        <w:t xml:space="preserve">€ (u tekućoj godini izvršeno više nego prethodne godine </w:t>
      </w:r>
      <w:r w:rsidR="00F10593" w:rsidRPr="00F10593">
        <w:rPr>
          <w:rFonts w:ascii="Arial" w:eastAsia="Times New Roman" w:hAnsi="Arial" w:cs="Arial"/>
        </w:rPr>
        <w:t>889,43</w:t>
      </w:r>
      <w:r w:rsidRPr="00F10593">
        <w:rPr>
          <w:rFonts w:ascii="Arial" w:eastAsia="Times New Roman" w:hAnsi="Arial" w:cs="Arial"/>
        </w:rPr>
        <w:t xml:space="preserve"> €),</w:t>
      </w:r>
    </w:p>
    <w:p w14:paraId="17B080A6" w14:textId="6A334F69" w:rsidR="00A123DD" w:rsidRPr="00F10593"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F10593">
        <w:rPr>
          <w:rFonts w:ascii="Arial" w:eastAsia="Times New Roman" w:hAnsi="Arial" w:cs="Arial"/>
        </w:rPr>
        <w:t xml:space="preserve">sufinanciranje prijevoza izbjeglicama iz Ukrajine </w:t>
      </w:r>
      <w:bookmarkStart w:id="186" w:name="_Hlk200538277"/>
      <w:r w:rsidR="00F10593" w:rsidRPr="00F10593">
        <w:rPr>
          <w:rFonts w:ascii="Arial" w:eastAsia="Times New Roman" w:hAnsi="Arial" w:cs="Arial"/>
        </w:rPr>
        <w:t>3.355,90</w:t>
      </w:r>
      <w:r w:rsidRPr="00F10593">
        <w:rPr>
          <w:rFonts w:ascii="Arial" w:eastAsia="Times New Roman" w:hAnsi="Arial" w:cs="Arial"/>
        </w:rPr>
        <w:t xml:space="preserve"> </w:t>
      </w:r>
      <w:bookmarkEnd w:id="186"/>
      <w:r w:rsidRPr="00F10593">
        <w:rPr>
          <w:rFonts w:ascii="Arial" w:eastAsia="Times New Roman" w:hAnsi="Arial" w:cs="Arial"/>
        </w:rPr>
        <w:t>€ (ovi rashodi prvi put izvršeni 2022. godine),</w:t>
      </w:r>
    </w:p>
    <w:p w14:paraId="69441BDF" w14:textId="154FC0D9" w:rsidR="00A123DD" w:rsidRPr="004B325E"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F10593">
        <w:rPr>
          <w:rFonts w:ascii="Arial" w:eastAsia="Times New Roman" w:hAnsi="Arial" w:cs="Arial"/>
        </w:rPr>
        <w:t xml:space="preserve">sufinanciranje cijene osnovnih usluga smještaja u Domu za starije i nemoćne osobe stanovnicima Općine (u visini 20%) u iznosu </w:t>
      </w:r>
      <w:bookmarkStart w:id="187" w:name="_Hlk200538082"/>
      <w:r w:rsidR="00F10593" w:rsidRPr="00F10593">
        <w:rPr>
          <w:rFonts w:ascii="Arial" w:eastAsia="Times New Roman" w:hAnsi="Arial" w:cs="Arial"/>
        </w:rPr>
        <w:t>50.585,83</w:t>
      </w:r>
      <w:r w:rsidRPr="00F10593">
        <w:rPr>
          <w:rFonts w:ascii="Arial" w:eastAsia="Times New Roman" w:hAnsi="Arial" w:cs="Arial"/>
        </w:rPr>
        <w:t xml:space="preserve"> </w:t>
      </w:r>
      <w:bookmarkEnd w:id="187"/>
      <w:r w:rsidRPr="00F10593">
        <w:rPr>
          <w:rFonts w:ascii="Arial" w:eastAsia="Times New Roman" w:hAnsi="Arial" w:cs="Arial"/>
        </w:rPr>
        <w:t xml:space="preserve">€ </w:t>
      </w:r>
      <w:r w:rsidRPr="004B325E">
        <w:rPr>
          <w:rFonts w:ascii="Arial" w:eastAsia="Times New Roman" w:hAnsi="Arial" w:cs="Arial"/>
        </w:rPr>
        <w:t xml:space="preserve">(više za </w:t>
      </w:r>
      <w:r w:rsidR="00F10593" w:rsidRPr="004B325E">
        <w:rPr>
          <w:rFonts w:ascii="Arial" w:eastAsia="Times New Roman" w:hAnsi="Arial" w:cs="Arial"/>
        </w:rPr>
        <w:t>8.798,14</w:t>
      </w:r>
      <w:r w:rsidRPr="004B325E">
        <w:rPr>
          <w:rFonts w:ascii="Arial" w:eastAsia="Times New Roman" w:hAnsi="Arial" w:cs="Arial"/>
        </w:rPr>
        <w:t xml:space="preserve"> € nego prethodne godine, a svake godine je vidljiv sve veći porast ovih rashoda).</w:t>
      </w:r>
    </w:p>
    <w:p w14:paraId="74EE235C" w14:textId="0DBEF197" w:rsidR="00A123DD" w:rsidRPr="004B325E"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4B325E">
        <w:rPr>
          <w:rFonts w:ascii="Arial" w:eastAsia="Times New Roman" w:hAnsi="Arial" w:cs="Arial"/>
        </w:rPr>
        <w:t xml:space="preserve">jednokratne pomoći socijalno ugroženim i nemoćnim osobama u iznosu </w:t>
      </w:r>
      <w:r w:rsidR="004B325E" w:rsidRPr="004B325E">
        <w:rPr>
          <w:rFonts w:ascii="Arial" w:eastAsia="Times New Roman" w:hAnsi="Arial" w:cs="Arial"/>
        </w:rPr>
        <w:t>1.200</w:t>
      </w:r>
      <w:r w:rsidRPr="004B325E">
        <w:rPr>
          <w:rFonts w:ascii="Arial" w:eastAsia="Times New Roman" w:hAnsi="Arial" w:cs="Arial"/>
        </w:rPr>
        <w:t xml:space="preserve"> € u skladu s odredbama socijalnog programa (troškovi najma stana i naknade troškova električne energije </w:t>
      </w:r>
      <w:r w:rsidR="004B325E" w:rsidRPr="004B325E">
        <w:rPr>
          <w:rFonts w:ascii="Arial" w:eastAsia="Times New Roman" w:hAnsi="Arial" w:cs="Arial"/>
        </w:rPr>
        <w:t>1.200</w:t>
      </w:r>
      <w:r w:rsidRPr="004B325E">
        <w:rPr>
          <w:rFonts w:ascii="Arial" w:eastAsia="Times New Roman" w:hAnsi="Arial" w:cs="Arial"/>
        </w:rPr>
        <w:t xml:space="preserve"> €), </w:t>
      </w:r>
    </w:p>
    <w:p w14:paraId="6ECF6918" w14:textId="0863476A" w:rsidR="00A123DD" w:rsidRPr="004B325E"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4B325E">
        <w:rPr>
          <w:rFonts w:ascii="Arial" w:eastAsia="Times New Roman" w:hAnsi="Arial" w:cs="Arial"/>
        </w:rPr>
        <w:t xml:space="preserve">pomoći za ogrjev socijalno ugroženih u iznosu </w:t>
      </w:r>
      <w:r w:rsidR="004B325E" w:rsidRPr="004B325E">
        <w:rPr>
          <w:rFonts w:ascii="Arial" w:eastAsia="Times New Roman" w:hAnsi="Arial" w:cs="Arial"/>
        </w:rPr>
        <w:t>0</w:t>
      </w:r>
      <w:r w:rsidRPr="004B325E">
        <w:rPr>
          <w:rFonts w:ascii="Arial" w:eastAsia="Times New Roman" w:hAnsi="Arial" w:cs="Arial"/>
        </w:rPr>
        <w:t xml:space="preserve"> € (nabava drvnog ogrjeva),</w:t>
      </w:r>
    </w:p>
    <w:p w14:paraId="25FFB47B" w14:textId="0ABA901F" w:rsidR="00A123DD" w:rsidRPr="004B325E" w:rsidRDefault="00A123DD" w:rsidP="00FD0F25">
      <w:pPr>
        <w:numPr>
          <w:ilvl w:val="0"/>
          <w:numId w:val="1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4B325E">
        <w:rPr>
          <w:rFonts w:ascii="Arial" w:eastAsia="Times New Roman" w:hAnsi="Arial" w:cs="Arial"/>
        </w:rPr>
        <w:lastRenderedPageBreak/>
        <w:t xml:space="preserve">sufinanciranje prijevoza vode stanovništvu s područja Općine bez vodovodne mreže u iznosu </w:t>
      </w:r>
      <w:r w:rsidR="004B325E" w:rsidRPr="004B325E">
        <w:rPr>
          <w:rFonts w:ascii="Arial" w:eastAsia="Times New Roman" w:hAnsi="Arial" w:cs="Arial"/>
        </w:rPr>
        <w:t>0</w:t>
      </w:r>
      <w:r w:rsidRPr="004B325E">
        <w:rPr>
          <w:rFonts w:ascii="Arial" w:eastAsia="Times New Roman" w:hAnsi="Arial" w:cs="Arial"/>
        </w:rPr>
        <w:t xml:space="preserve"> €.</w:t>
      </w:r>
    </w:p>
    <w:bookmarkEnd w:id="173"/>
    <w:p w14:paraId="792ED3A7" w14:textId="77777777" w:rsidR="005775D8" w:rsidRPr="003A2F86" w:rsidRDefault="005775D8" w:rsidP="003550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bookmarkEnd w:id="171"/>
    <w:p w14:paraId="1B7CB68C" w14:textId="77777777" w:rsidR="00856864" w:rsidRPr="003A2F86" w:rsidRDefault="00640EEF"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U nastavku se daje pregled sufinanciranja usluga smještaja u dječjem vrtiću i domu za starije i nemoćne osobe (</w:t>
      </w:r>
      <w:r w:rsidRPr="003A2F86">
        <w:rPr>
          <w:rFonts w:ascii="Arial" w:eastAsia="Times New Roman" w:hAnsi="Arial" w:cs="Arial"/>
          <w:b/>
        </w:rPr>
        <w:t>proračunskim korisnicima Općine</w:t>
      </w:r>
      <w:r w:rsidRPr="003A2F86">
        <w:rPr>
          <w:rFonts w:ascii="Arial" w:eastAsia="Times New Roman" w:hAnsi="Arial" w:cs="Arial"/>
        </w:rPr>
        <w:t xml:space="preserve">). Naima, Općina kroz </w:t>
      </w:r>
      <w:r w:rsidR="00856864" w:rsidRPr="0021122B">
        <w:rPr>
          <w:rFonts w:ascii="Arial" w:eastAsia="Times New Roman" w:hAnsi="Arial" w:cs="Arial"/>
          <w:i/>
          <w:iCs/>
        </w:rPr>
        <w:t>Program demografskih mjera (2040)</w:t>
      </w:r>
      <w:r w:rsidR="00856864" w:rsidRPr="003A2F86">
        <w:rPr>
          <w:rFonts w:ascii="Arial" w:eastAsia="Times New Roman" w:hAnsi="Arial" w:cs="Arial"/>
        </w:rPr>
        <w:t xml:space="preserve"> i </w:t>
      </w:r>
      <w:r w:rsidR="00856864" w:rsidRPr="0021122B">
        <w:rPr>
          <w:rFonts w:ascii="Arial" w:eastAsia="Times New Roman" w:hAnsi="Arial" w:cs="Arial"/>
          <w:i/>
          <w:iCs/>
        </w:rPr>
        <w:t>Program socijalne pomoći (2041)</w:t>
      </w:r>
      <w:r w:rsidR="00856864" w:rsidRPr="003A2F86">
        <w:rPr>
          <w:rFonts w:ascii="Arial" w:eastAsia="Times New Roman" w:hAnsi="Arial" w:cs="Arial"/>
        </w:rPr>
        <w:t xml:space="preserve"> sufinancira smještaj djece u dječjem vrtiću (demografska mjera i mjera socijalne pomoći) te se iznosi sufinanciranja iskazuju kao rashodi (konta </w:t>
      </w:r>
      <w:r w:rsidR="001C2901" w:rsidRPr="003A2F86">
        <w:rPr>
          <w:rFonts w:ascii="Arial" w:eastAsia="Times New Roman" w:hAnsi="Arial" w:cs="Arial"/>
        </w:rPr>
        <w:t xml:space="preserve">rashoda </w:t>
      </w:r>
      <w:r w:rsidR="00856864" w:rsidRPr="003A2F86">
        <w:rPr>
          <w:rFonts w:ascii="Arial" w:eastAsia="Times New Roman" w:hAnsi="Arial" w:cs="Arial"/>
        </w:rPr>
        <w:t>na odjeljku 3722). S druge strane, proračunski korisnici Općine koji provode mjere smještaja iskazuju prihode u visin</w:t>
      </w:r>
      <w:r w:rsidR="001C2901" w:rsidRPr="003A2F86">
        <w:rPr>
          <w:rFonts w:ascii="Arial" w:eastAsia="Times New Roman" w:hAnsi="Arial" w:cs="Arial"/>
        </w:rPr>
        <w:t>i sufinanciranih iznosa (konta prihoda na odjeljku 6526).</w:t>
      </w:r>
      <w:r w:rsidR="001D5520" w:rsidRPr="003A2F86">
        <w:rPr>
          <w:rFonts w:ascii="Arial" w:eastAsia="Times New Roman" w:hAnsi="Arial" w:cs="Arial"/>
        </w:rPr>
        <w:t xml:space="preserve"> Dakle, kroz konsolidirani izvještaj, odnosno izvještaj o izvršenju proračuna iznosi sufinanciranja kod proračunskih korisnika Općine predstavljaju vlastite prihode proračunskih korisnika, a kod Općine iznosi sufinanciranja su rashodi proračuna.</w:t>
      </w:r>
    </w:p>
    <w:p w14:paraId="25E78A26" w14:textId="77777777" w:rsidR="003714DD" w:rsidRPr="003A2F86" w:rsidRDefault="003714DD" w:rsidP="00597899">
      <w:pPr>
        <w:spacing w:after="0" w:line="240" w:lineRule="auto"/>
        <w:ind w:left="1418" w:firstLine="709"/>
        <w:jc w:val="both"/>
        <w:rPr>
          <w:rFonts w:ascii="Arial" w:eastAsia="Times New Roman" w:hAnsi="Arial" w:cs="Arial"/>
          <w:i/>
          <w:iCs/>
          <w:sz w:val="20"/>
          <w:szCs w:val="20"/>
        </w:rPr>
      </w:pPr>
    </w:p>
    <w:p w14:paraId="6ABA2B26" w14:textId="6E7BFEB6" w:rsidR="001C2901" w:rsidRPr="003A2F86" w:rsidRDefault="001C2901" w:rsidP="00597899">
      <w:pPr>
        <w:spacing w:after="0" w:line="240" w:lineRule="auto"/>
        <w:ind w:left="1418" w:firstLine="709"/>
        <w:jc w:val="both"/>
        <w:rPr>
          <w:rFonts w:ascii="Arial" w:eastAsia="Times New Roman" w:hAnsi="Arial" w:cs="Arial"/>
          <w:i/>
          <w:iCs/>
          <w:sz w:val="20"/>
          <w:szCs w:val="20"/>
        </w:rPr>
      </w:pPr>
      <w:r w:rsidRPr="003A2F86">
        <w:rPr>
          <w:rFonts w:ascii="Arial" w:eastAsia="Times New Roman" w:hAnsi="Arial" w:cs="Arial"/>
          <w:i/>
          <w:iCs/>
          <w:sz w:val="20"/>
          <w:szCs w:val="20"/>
        </w:rPr>
        <w:t>* Usporedba:</w:t>
      </w:r>
    </w:p>
    <w:p w14:paraId="17A101B5" w14:textId="3CF0DB49" w:rsidR="0085356B" w:rsidRPr="003A2F86" w:rsidRDefault="00947DD2" w:rsidP="003714DD">
      <w:pPr>
        <w:spacing w:after="0" w:line="240" w:lineRule="auto"/>
        <w:jc w:val="center"/>
        <w:rPr>
          <w:rFonts w:ascii="Arial" w:eastAsia="Times New Roman" w:hAnsi="Arial" w:cs="Arial"/>
          <w:b/>
          <w:lang w:eastAsia="en-US"/>
        </w:rPr>
      </w:pPr>
      <w:r w:rsidRPr="00947DD2">
        <w:rPr>
          <w:noProof/>
        </w:rPr>
        <w:drawing>
          <wp:inline distT="0" distB="0" distL="0" distR="0" wp14:anchorId="1901B55F" wp14:editId="29AF1622">
            <wp:extent cx="6868795" cy="4051300"/>
            <wp:effectExtent l="0" t="0" r="8255" b="6350"/>
            <wp:docPr id="172819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68795" cy="4051300"/>
                    </a:xfrm>
                    <a:prstGeom prst="rect">
                      <a:avLst/>
                    </a:prstGeom>
                    <a:noFill/>
                    <a:ln>
                      <a:noFill/>
                    </a:ln>
                  </pic:spPr>
                </pic:pic>
              </a:graphicData>
            </a:graphic>
          </wp:inline>
        </w:drawing>
      </w:r>
    </w:p>
    <w:p w14:paraId="63FD19E5" w14:textId="610D76C0" w:rsidR="00C6029C" w:rsidRPr="003A2F86" w:rsidRDefault="00C6029C">
      <w:pPr>
        <w:rPr>
          <w:rFonts w:ascii="Arial" w:eastAsia="Times New Roman" w:hAnsi="Arial" w:cs="Arial"/>
          <w:b/>
          <w:lang w:eastAsia="en-US"/>
        </w:rPr>
      </w:pPr>
      <w:r w:rsidRPr="003A2F86">
        <w:rPr>
          <w:rFonts w:ascii="Arial" w:eastAsia="Times New Roman" w:hAnsi="Arial" w:cs="Arial"/>
          <w:b/>
          <w:lang w:eastAsia="en-US"/>
        </w:rPr>
        <w:br w:type="page"/>
      </w:r>
    </w:p>
    <w:p w14:paraId="31B7B04C" w14:textId="76D727C5" w:rsidR="00891119" w:rsidRPr="003A2F86" w:rsidRDefault="00B5484A" w:rsidP="00B5484A">
      <w:pPr>
        <w:pStyle w:val="Naslov4"/>
        <w:rPr>
          <w:rFonts w:ascii="Arial" w:hAnsi="Arial" w:cs="Arial"/>
          <w:lang w:val="hr-HR"/>
        </w:rPr>
      </w:pPr>
      <w:bookmarkStart w:id="188" w:name="_Toc207707436"/>
      <w:r w:rsidRPr="003A2F86">
        <w:rPr>
          <w:rFonts w:ascii="Arial" w:hAnsi="Arial" w:cs="Arial"/>
          <w:lang w:val="hr-HR"/>
        </w:rPr>
        <w:lastRenderedPageBreak/>
        <w:t>2.4.3</w:t>
      </w:r>
      <w:r w:rsidR="00891119" w:rsidRPr="003A2F86">
        <w:rPr>
          <w:rFonts w:ascii="Arial" w:hAnsi="Arial" w:cs="Arial"/>
          <w:lang w:val="hr-HR"/>
        </w:rPr>
        <w:t xml:space="preserve">.7. </w:t>
      </w:r>
      <w:r w:rsidR="00891119" w:rsidRPr="003A2F86">
        <w:rPr>
          <w:rFonts w:ascii="Arial" w:hAnsi="Arial" w:cs="Arial"/>
          <w:lang w:val="hr-HR"/>
        </w:rPr>
        <w:tab/>
        <w:t>Ostali rashodi</w:t>
      </w:r>
      <w:r w:rsidRPr="003A2F86">
        <w:rPr>
          <w:rFonts w:ascii="Arial" w:hAnsi="Arial" w:cs="Arial"/>
          <w:lang w:val="hr-HR"/>
        </w:rPr>
        <w:t xml:space="preserve"> (38)</w:t>
      </w:r>
      <w:bookmarkEnd w:id="188"/>
    </w:p>
    <w:p w14:paraId="6EF32611" w14:textId="77777777" w:rsidR="00623214" w:rsidRPr="003A2F86" w:rsidRDefault="00623214" w:rsidP="00616BA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u w:val="single"/>
        </w:rPr>
      </w:pPr>
    </w:p>
    <w:p w14:paraId="77984219" w14:textId="1C096C13" w:rsidR="00A123DD" w:rsidRPr="00A123DD" w:rsidRDefault="00A123DD" w:rsidP="00A123D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189" w:name="_Hlk65516139"/>
      <w:bookmarkStart w:id="190" w:name="_Hlk97229886"/>
      <w:r w:rsidRPr="00A123DD">
        <w:rPr>
          <w:rFonts w:ascii="Arial" w:eastAsia="Times New Roman" w:hAnsi="Arial" w:cs="Arial"/>
          <w:b/>
        </w:rPr>
        <w:t>Ostali rashodi</w:t>
      </w:r>
      <w:r w:rsidRPr="00A123DD">
        <w:rPr>
          <w:rFonts w:ascii="Arial" w:eastAsia="Times New Roman" w:hAnsi="Arial" w:cs="Arial"/>
        </w:rPr>
        <w:t xml:space="preserve"> (38) izvršeni su u iznosu </w:t>
      </w:r>
      <w:bookmarkStart w:id="191" w:name="_Hlk200540015"/>
      <w:r w:rsidR="00F863B0">
        <w:rPr>
          <w:rFonts w:ascii="Arial" w:eastAsia="Times New Roman" w:hAnsi="Arial" w:cs="Arial"/>
        </w:rPr>
        <w:t>435.086,74</w:t>
      </w:r>
      <w:r w:rsidRPr="00A123DD">
        <w:rPr>
          <w:rFonts w:ascii="Arial" w:eastAsia="Times New Roman" w:hAnsi="Arial" w:cs="Arial"/>
        </w:rPr>
        <w:t xml:space="preserve"> € što je za </w:t>
      </w:r>
      <w:r w:rsidR="00F863B0">
        <w:rPr>
          <w:rFonts w:ascii="Arial" w:eastAsia="Times New Roman" w:hAnsi="Arial" w:cs="Arial"/>
        </w:rPr>
        <w:t xml:space="preserve">154.943,69 </w:t>
      </w:r>
      <w:r w:rsidRPr="00A123DD">
        <w:rPr>
          <w:rFonts w:ascii="Arial" w:eastAsia="Times New Roman" w:hAnsi="Arial" w:cs="Arial"/>
        </w:rPr>
        <w:t xml:space="preserve">€ ili </w:t>
      </w:r>
      <w:r w:rsidR="00F863B0">
        <w:rPr>
          <w:rFonts w:ascii="Arial" w:eastAsia="Times New Roman" w:hAnsi="Arial" w:cs="Arial"/>
        </w:rPr>
        <w:t>55,3</w:t>
      </w:r>
      <w:r w:rsidRPr="00A123DD">
        <w:rPr>
          <w:rFonts w:ascii="Arial" w:eastAsia="Times New Roman" w:hAnsi="Arial" w:cs="Arial"/>
        </w:rPr>
        <w:t>% više u odnosu na prethodnu godinu</w:t>
      </w:r>
      <w:bookmarkEnd w:id="191"/>
      <w:r w:rsidRPr="00A123DD">
        <w:rPr>
          <w:rFonts w:ascii="Arial" w:eastAsia="Times New Roman" w:hAnsi="Arial" w:cs="Arial"/>
        </w:rPr>
        <w:t xml:space="preserve">. </w:t>
      </w:r>
      <w:bookmarkStart w:id="192" w:name="_Hlk200540027"/>
      <w:r w:rsidR="00D65C57" w:rsidRPr="003A2F86">
        <w:rPr>
          <w:rFonts w:ascii="Arial" w:hAnsi="Arial" w:cs="Arial"/>
        </w:rPr>
        <w:t>Osnovni razlog većeg izvršenja ostalih rashoda je veće izvršenje rashoda za tekuće donacije (na temelju provedenog javnog natječaja javnih potreba u kulturi</w:t>
      </w:r>
      <w:r w:rsidR="00F863B0">
        <w:rPr>
          <w:rFonts w:ascii="Arial" w:hAnsi="Arial" w:cs="Arial"/>
        </w:rPr>
        <w:t xml:space="preserve"> i socijalnoj skrbi</w:t>
      </w:r>
      <w:r w:rsidR="00D65C57" w:rsidRPr="003A2F86">
        <w:rPr>
          <w:rFonts w:ascii="Arial" w:hAnsi="Arial" w:cs="Arial"/>
        </w:rPr>
        <w:t>).</w:t>
      </w:r>
      <w:r w:rsidR="00513CC3">
        <w:rPr>
          <w:rFonts w:ascii="Arial" w:hAnsi="Arial" w:cs="Arial"/>
        </w:rPr>
        <w:t xml:space="preserve"> </w:t>
      </w:r>
      <w:bookmarkEnd w:id="192"/>
      <w:r w:rsidRPr="00A123DD">
        <w:rPr>
          <w:rFonts w:ascii="Arial" w:eastAsia="Times New Roman" w:hAnsi="Arial" w:cs="Arial"/>
        </w:rPr>
        <w:t xml:space="preserve">Ostali rashodi (38) se odnose na tekuće donacije (381) u iznosu </w:t>
      </w:r>
      <w:bookmarkStart w:id="193" w:name="_Hlk200540050"/>
      <w:r w:rsidR="00F863B0">
        <w:rPr>
          <w:rFonts w:ascii="Arial" w:eastAsia="Times New Roman" w:hAnsi="Arial" w:cs="Arial"/>
        </w:rPr>
        <w:t>339.328,54</w:t>
      </w:r>
      <w:r w:rsidRPr="00A123DD">
        <w:rPr>
          <w:rFonts w:ascii="Arial" w:eastAsia="Times New Roman" w:hAnsi="Arial" w:cs="Arial"/>
        </w:rPr>
        <w:t xml:space="preserve"> €, </w:t>
      </w:r>
      <w:bookmarkEnd w:id="193"/>
      <w:r w:rsidRPr="00A123DD">
        <w:rPr>
          <w:rFonts w:ascii="Arial" w:eastAsia="Times New Roman" w:hAnsi="Arial" w:cs="Arial"/>
        </w:rPr>
        <w:t xml:space="preserve">kapitalne donacije (382) u iznosu 0 €, naknade šteta (383) fizičkim i pravnim osobama u iznosu 0 €, te kapitalne pomoći (386) u iznosu </w:t>
      </w:r>
      <w:r w:rsidR="00F863B0">
        <w:rPr>
          <w:rFonts w:ascii="Arial" w:eastAsia="Times New Roman" w:hAnsi="Arial" w:cs="Arial"/>
        </w:rPr>
        <w:t>95.758,20</w:t>
      </w:r>
      <w:r w:rsidRPr="00A123DD">
        <w:rPr>
          <w:rFonts w:ascii="Arial" w:eastAsia="Times New Roman" w:hAnsi="Arial" w:cs="Arial"/>
        </w:rPr>
        <w:t xml:space="preserve"> €. </w:t>
      </w:r>
    </w:p>
    <w:p w14:paraId="106A6A9A" w14:textId="77777777" w:rsidR="00A123DD" w:rsidRPr="00D90909" w:rsidRDefault="00A123DD" w:rsidP="00681E5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18"/>
          <w:szCs w:val="18"/>
        </w:rPr>
      </w:pPr>
    </w:p>
    <w:p w14:paraId="154A3B5A" w14:textId="4296A7A8" w:rsidR="001F27A0" w:rsidRPr="003A2F86" w:rsidRDefault="00681E59" w:rsidP="002112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r w:rsidRPr="003A2F86">
        <w:rPr>
          <w:rFonts w:ascii="Arial" w:hAnsi="Arial" w:cs="Arial"/>
          <w:sz w:val="18"/>
          <w:szCs w:val="18"/>
        </w:rPr>
        <w:t>Tekuće donacije (381) u 2019. su bile izvršene u iznosu 323.336,25 €, dok su u 2020. godini izvršene u iznosu 135.658,24 €, a u 2021. godini u iznosu 228.944,83 €. U 2022. godini su tekuće donacije izvršene u iznosu 214.799,33 €</w:t>
      </w:r>
      <w:r w:rsidR="001F27A0" w:rsidRPr="003A2F86">
        <w:rPr>
          <w:rFonts w:ascii="Arial" w:hAnsi="Arial" w:cs="Arial"/>
          <w:sz w:val="18"/>
          <w:szCs w:val="18"/>
        </w:rPr>
        <w:t xml:space="preserve">, a u </w:t>
      </w:r>
      <w:r w:rsidRPr="003A2F86">
        <w:rPr>
          <w:rFonts w:ascii="Arial" w:hAnsi="Arial" w:cs="Arial"/>
          <w:sz w:val="18"/>
          <w:szCs w:val="18"/>
        </w:rPr>
        <w:t xml:space="preserve">.2023. godini su </w:t>
      </w:r>
      <w:r w:rsidR="001F27A0" w:rsidRPr="003A2F86">
        <w:rPr>
          <w:rFonts w:ascii="Arial" w:hAnsi="Arial" w:cs="Arial"/>
          <w:sz w:val="18"/>
          <w:szCs w:val="18"/>
        </w:rPr>
        <w:t xml:space="preserve">bile </w:t>
      </w:r>
      <w:r w:rsidRPr="003A2F86">
        <w:rPr>
          <w:rFonts w:ascii="Arial" w:hAnsi="Arial" w:cs="Arial"/>
          <w:sz w:val="18"/>
          <w:szCs w:val="18"/>
        </w:rPr>
        <w:t xml:space="preserve">izvršene u iznosu 277.240,01 €. </w:t>
      </w:r>
      <w:r w:rsidR="00F863B0">
        <w:rPr>
          <w:rFonts w:ascii="Arial" w:hAnsi="Arial" w:cs="Arial"/>
          <w:sz w:val="18"/>
          <w:szCs w:val="18"/>
        </w:rPr>
        <w:t>U 2024. godini tekuće donacije su iznosile 405.138,94 €.</w:t>
      </w:r>
    </w:p>
    <w:p w14:paraId="64260345" w14:textId="77777777" w:rsidR="001F27A0" w:rsidRPr="00D90909" w:rsidRDefault="001F27A0" w:rsidP="00681E5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18"/>
          <w:szCs w:val="18"/>
        </w:rPr>
      </w:pPr>
    </w:p>
    <w:p w14:paraId="7B2E18A9" w14:textId="77777777" w:rsidR="00D65C57" w:rsidRPr="00D65C57" w:rsidRDefault="00D65C57" w:rsidP="00D65C5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D65C57">
        <w:rPr>
          <w:rFonts w:ascii="Arial" w:eastAsia="Times New Roman" w:hAnsi="Arial" w:cs="Arial"/>
        </w:rPr>
        <w:t>Tekuće donacije (</w:t>
      </w:r>
      <w:r w:rsidRPr="005832B6">
        <w:rPr>
          <w:rFonts w:ascii="Arial" w:eastAsia="Times New Roman" w:hAnsi="Arial" w:cs="Arial"/>
          <w:b/>
          <w:bCs/>
        </w:rPr>
        <w:t>381</w:t>
      </w:r>
      <w:r w:rsidRPr="00D65C57">
        <w:rPr>
          <w:rFonts w:ascii="Arial" w:eastAsia="Times New Roman" w:hAnsi="Arial" w:cs="Arial"/>
        </w:rPr>
        <w:t>) se odnose na:</w:t>
      </w:r>
    </w:p>
    <w:p w14:paraId="32751497" w14:textId="1B792264" w:rsidR="00D65C57" w:rsidRPr="00D65C57" w:rsidRDefault="00D65C57" w:rsidP="00D90909">
      <w:pPr>
        <w:numPr>
          <w:ilvl w:val="0"/>
          <w:numId w:val="1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D65C57">
        <w:rPr>
          <w:rFonts w:ascii="Arial" w:eastAsia="Times New Roman" w:hAnsi="Arial" w:cs="Arial"/>
        </w:rPr>
        <w:t xml:space="preserve">financiranje osnovnih aktivnosti Vatrogasne zajednice i dobrovoljnih vatrogasnih društava u iznosu </w:t>
      </w:r>
      <w:r w:rsidR="00F863B0">
        <w:rPr>
          <w:rFonts w:ascii="Arial" w:eastAsia="Times New Roman" w:hAnsi="Arial" w:cs="Arial"/>
        </w:rPr>
        <w:t>105</w:t>
      </w:r>
      <w:r w:rsidRPr="00D65C57">
        <w:rPr>
          <w:rFonts w:ascii="Arial" w:eastAsia="Times New Roman" w:hAnsi="Arial" w:cs="Arial"/>
        </w:rPr>
        <w:t xml:space="preserve">.000 € (što je više za </w:t>
      </w:r>
      <w:r w:rsidR="00F863B0">
        <w:rPr>
          <w:rFonts w:ascii="Arial" w:eastAsia="Times New Roman" w:hAnsi="Arial" w:cs="Arial"/>
        </w:rPr>
        <w:t>43.360</w:t>
      </w:r>
      <w:r w:rsidRPr="00D65C57">
        <w:rPr>
          <w:rFonts w:ascii="Arial" w:eastAsia="Times New Roman" w:hAnsi="Arial" w:cs="Arial"/>
        </w:rPr>
        <w:t xml:space="preserve"> € u odnosu na prethodnu godinu), </w:t>
      </w:r>
    </w:p>
    <w:p w14:paraId="50A3AECF" w14:textId="2892387C" w:rsidR="00D65C57" w:rsidRPr="00D65C57" w:rsidRDefault="00D65C57" w:rsidP="00D90909">
      <w:pPr>
        <w:numPr>
          <w:ilvl w:val="0"/>
          <w:numId w:val="1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D65C57">
        <w:rPr>
          <w:rFonts w:ascii="Arial" w:eastAsia="Times New Roman" w:hAnsi="Arial" w:cs="Arial"/>
        </w:rPr>
        <w:t xml:space="preserve">udrugama i društvima u sportu </w:t>
      </w:r>
      <w:r w:rsidR="00B61A70">
        <w:rPr>
          <w:rFonts w:ascii="Arial" w:eastAsia="Times New Roman" w:hAnsi="Arial" w:cs="Arial"/>
        </w:rPr>
        <w:t>82.500</w:t>
      </w:r>
      <w:r w:rsidRPr="00D65C57">
        <w:rPr>
          <w:rFonts w:ascii="Arial" w:eastAsia="Times New Roman" w:hAnsi="Arial" w:cs="Arial"/>
        </w:rPr>
        <w:t xml:space="preserve"> € (u skladu sa Zakonom o sportu putem Zajednice sportova Općine Konavle, više </w:t>
      </w:r>
      <w:r w:rsidR="00B61A70">
        <w:rPr>
          <w:rFonts w:ascii="Arial" w:eastAsia="Times New Roman" w:hAnsi="Arial" w:cs="Arial"/>
        </w:rPr>
        <w:t>12</w:t>
      </w:r>
      <w:r w:rsidRPr="00D65C57">
        <w:rPr>
          <w:rFonts w:ascii="Arial" w:eastAsia="Times New Roman" w:hAnsi="Arial" w:cs="Arial"/>
        </w:rPr>
        <w:t xml:space="preserve">.500 € nego </w:t>
      </w:r>
      <w:r w:rsidR="00513CC3">
        <w:rPr>
          <w:rFonts w:ascii="Arial" w:eastAsia="Times New Roman" w:hAnsi="Arial" w:cs="Arial"/>
        </w:rPr>
        <w:t>2024.g.</w:t>
      </w:r>
      <w:r w:rsidRPr="00D65C57">
        <w:rPr>
          <w:rFonts w:ascii="Arial" w:eastAsia="Times New Roman" w:hAnsi="Arial" w:cs="Arial"/>
        </w:rPr>
        <w:t xml:space="preserve">), </w:t>
      </w:r>
    </w:p>
    <w:p w14:paraId="32761FC1" w14:textId="2AE3AAA7" w:rsidR="00D65C57" w:rsidRDefault="00D65C57" w:rsidP="00D90909">
      <w:pPr>
        <w:numPr>
          <w:ilvl w:val="0"/>
          <w:numId w:val="1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D65C57">
        <w:rPr>
          <w:rFonts w:ascii="Arial" w:eastAsia="Times New Roman" w:hAnsi="Arial" w:cs="Arial"/>
        </w:rPr>
        <w:t xml:space="preserve">udrugama i društvima u kulturi putem javnog natječaja </w:t>
      </w:r>
      <w:r w:rsidR="00B61A70">
        <w:rPr>
          <w:rFonts w:ascii="Arial" w:eastAsia="Times New Roman" w:hAnsi="Arial" w:cs="Arial"/>
        </w:rPr>
        <w:t>99</w:t>
      </w:r>
      <w:r w:rsidRPr="00D65C57">
        <w:rPr>
          <w:rFonts w:ascii="Arial" w:eastAsia="Times New Roman" w:hAnsi="Arial" w:cs="Arial"/>
        </w:rPr>
        <w:t>.000 €</w:t>
      </w:r>
      <w:r w:rsidR="00B61A70">
        <w:rPr>
          <w:rFonts w:ascii="Arial" w:eastAsia="Times New Roman" w:hAnsi="Arial" w:cs="Arial"/>
        </w:rPr>
        <w:t xml:space="preserve"> (48.000 € više nego prethodne godine)</w:t>
      </w:r>
      <w:r w:rsidRPr="00D65C57">
        <w:rPr>
          <w:rFonts w:ascii="Arial" w:eastAsia="Times New Roman" w:hAnsi="Arial" w:cs="Arial"/>
        </w:rPr>
        <w:t>,</w:t>
      </w:r>
    </w:p>
    <w:p w14:paraId="44949F8F" w14:textId="074B2C05" w:rsidR="00B61A70" w:rsidRDefault="00B61A70" w:rsidP="00B61A70">
      <w:pPr>
        <w:numPr>
          <w:ilvl w:val="0"/>
          <w:numId w:val="1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D65C57">
        <w:rPr>
          <w:rFonts w:ascii="Arial" w:eastAsia="Times New Roman" w:hAnsi="Arial" w:cs="Arial"/>
        </w:rPr>
        <w:t xml:space="preserve">udrugama i društvima u </w:t>
      </w:r>
      <w:r>
        <w:rPr>
          <w:rFonts w:ascii="Arial" w:eastAsia="Times New Roman" w:hAnsi="Arial" w:cs="Arial"/>
        </w:rPr>
        <w:t>socijali</w:t>
      </w:r>
      <w:r w:rsidRPr="00D65C57">
        <w:rPr>
          <w:rFonts w:ascii="Arial" w:eastAsia="Times New Roman" w:hAnsi="Arial" w:cs="Arial"/>
        </w:rPr>
        <w:t xml:space="preserve"> putem javnog natječaja </w:t>
      </w:r>
      <w:r>
        <w:rPr>
          <w:rFonts w:ascii="Arial" w:eastAsia="Times New Roman" w:hAnsi="Arial" w:cs="Arial"/>
        </w:rPr>
        <w:t>14.130</w:t>
      </w:r>
      <w:r w:rsidRPr="00D65C57">
        <w:rPr>
          <w:rFonts w:ascii="Arial" w:eastAsia="Times New Roman" w:hAnsi="Arial" w:cs="Arial"/>
        </w:rPr>
        <w:t xml:space="preserve"> €</w:t>
      </w:r>
      <w:r>
        <w:rPr>
          <w:rFonts w:ascii="Arial" w:eastAsia="Times New Roman" w:hAnsi="Arial" w:cs="Arial"/>
        </w:rPr>
        <w:t xml:space="preserve"> (prethodne godine nije bilo ovih rashoda)</w:t>
      </w:r>
      <w:r w:rsidRPr="00D65C57">
        <w:rPr>
          <w:rFonts w:ascii="Arial" w:eastAsia="Times New Roman" w:hAnsi="Arial" w:cs="Arial"/>
        </w:rPr>
        <w:t>,</w:t>
      </w:r>
    </w:p>
    <w:p w14:paraId="78ACFFCF" w14:textId="77777777" w:rsidR="00D65C57" w:rsidRPr="00D65C57" w:rsidRDefault="00D65C57" w:rsidP="00D90909">
      <w:pPr>
        <w:numPr>
          <w:ilvl w:val="0"/>
          <w:numId w:val="1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D65C57">
        <w:rPr>
          <w:rFonts w:ascii="Arial" w:eastAsia="Times New Roman" w:hAnsi="Arial" w:cs="Arial"/>
        </w:rPr>
        <w:t xml:space="preserve">donacije humanitarnim organizacijama - Crveni križ 20.000 € (više 10.710 € nego prethodne godine), </w:t>
      </w:r>
    </w:p>
    <w:p w14:paraId="1FDE9A18" w14:textId="2DFDAB8E" w:rsidR="00D65C57" w:rsidRPr="00D65C57" w:rsidRDefault="00D65C57" w:rsidP="00D90909">
      <w:pPr>
        <w:numPr>
          <w:ilvl w:val="0"/>
          <w:numId w:val="1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D65C57">
        <w:rPr>
          <w:rFonts w:ascii="Arial" w:eastAsia="Times New Roman" w:hAnsi="Arial" w:cs="Arial"/>
        </w:rPr>
        <w:t xml:space="preserve">donacija za rad Hrvatske gorske službe spašavanja </w:t>
      </w:r>
      <w:r w:rsidR="00B61A70">
        <w:rPr>
          <w:rFonts w:ascii="Arial" w:eastAsia="Times New Roman" w:hAnsi="Arial" w:cs="Arial"/>
        </w:rPr>
        <w:t>5</w:t>
      </w:r>
      <w:r w:rsidRPr="00D65C57">
        <w:rPr>
          <w:rFonts w:ascii="Arial" w:eastAsia="Times New Roman" w:hAnsi="Arial" w:cs="Arial"/>
        </w:rPr>
        <w:t xml:space="preserve">.000 €, </w:t>
      </w:r>
    </w:p>
    <w:p w14:paraId="39CA41CB" w14:textId="6325691E" w:rsidR="00D65C57" w:rsidRPr="00D65C57" w:rsidRDefault="00D65C57" w:rsidP="00D90909">
      <w:pPr>
        <w:numPr>
          <w:ilvl w:val="0"/>
          <w:numId w:val="1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D65C57">
        <w:rPr>
          <w:rFonts w:ascii="Arial" w:eastAsia="Times New Roman" w:hAnsi="Arial" w:cs="Arial"/>
        </w:rPr>
        <w:t xml:space="preserve">financiranje redovnog rada političkih stranaka </w:t>
      </w:r>
      <w:r w:rsidR="00B61A70">
        <w:rPr>
          <w:rFonts w:ascii="Arial" w:eastAsia="Times New Roman" w:hAnsi="Arial" w:cs="Arial"/>
        </w:rPr>
        <w:t>1.169,99</w:t>
      </w:r>
      <w:r w:rsidRPr="00D65C57">
        <w:rPr>
          <w:rFonts w:ascii="Arial" w:eastAsia="Times New Roman" w:hAnsi="Arial" w:cs="Arial"/>
        </w:rPr>
        <w:t xml:space="preserve"> € (</w:t>
      </w:r>
      <w:r w:rsidR="00B61A70">
        <w:rPr>
          <w:rFonts w:ascii="Arial" w:eastAsia="Times New Roman" w:hAnsi="Arial" w:cs="Arial"/>
        </w:rPr>
        <w:t>855,01 € manje</w:t>
      </w:r>
      <w:r w:rsidRPr="00D65C57">
        <w:rPr>
          <w:rFonts w:ascii="Arial" w:eastAsia="Times New Roman" w:hAnsi="Arial" w:cs="Arial"/>
        </w:rPr>
        <w:t xml:space="preserve"> nego prethodne godine),</w:t>
      </w:r>
    </w:p>
    <w:p w14:paraId="1F4ACFA1" w14:textId="087C5495" w:rsidR="00D65C57" w:rsidRPr="00D65C57" w:rsidRDefault="00D65C57" w:rsidP="00D90909">
      <w:pPr>
        <w:numPr>
          <w:ilvl w:val="0"/>
          <w:numId w:val="17"/>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284" w:firstLine="0"/>
        <w:jc w:val="both"/>
        <w:rPr>
          <w:rFonts w:ascii="Arial" w:eastAsia="Times New Roman" w:hAnsi="Arial" w:cs="Arial"/>
        </w:rPr>
      </w:pPr>
      <w:r w:rsidRPr="00D65C57">
        <w:rPr>
          <w:rFonts w:ascii="Arial" w:eastAsia="Times New Roman" w:hAnsi="Arial" w:cs="Arial"/>
        </w:rPr>
        <w:t xml:space="preserve">ostale tekuće donacije u iznosu </w:t>
      </w:r>
      <w:r w:rsidR="00FA43EE">
        <w:rPr>
          <w:rFonts w:ascii="Arial" w:eastAsia="Times New Roman" w:hAnsi="Arial" w:cs="Arial"/>
        </w:rPr>
        <w:t>12.528,55</w:t>
      </w:r>
      <w:r w:rsidRPr="00D65C57">
        <w:rPr>
          <w:rFonts w:ascii="Arial" w:eastAsia="Times New Roman" w:hAnsi="Arial" w:cs="Arial"/>
        </w:rPr>
        <w:t xml:space="preserve"> € (donacije za potpore i pokroviteljstva na temelju ugovora manje </w:t>
      </w:r>
      <w:r w:rsidR="00FA43EE">
        <w:rPr>
          <w:rFonts w:ascii="Arial" w:eastAsia="Times New Roman" w:hAnsi="Arial" w:cs="Arial"/>
        </w:rPr>
        <w:t>6.885,39</w:t>
      </w:r>
      <w:r w:rsidRPr="00D65C57">
        <w:rPr>
          <w:rFonts w:ascii="Arial" w:eastAsia="Times New Roman" w:hAnsi="Arial" w:cs="Arial"/>
        </w:rPr>
        <w:t xml:space="preserve"> € nego prethodne godine).</w:t>
      </w:r>
    </w:p>
    <w:p w14:paraId="212048EC" w14:textId="77777777" w:rsidR="00681E59" w:rsidRPr="00CA0C18" w:rsidRDefault="00681E59" w:rsidP="00681E5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14"/>
          <w:szCs w:val="14"/>
        </w:rPr>
      </w:pPr>
    </w:p>
    <w:p w14:paraId="72B51783" w14:textId="7FA0BA04" w:rsidR="00A600D4" w:rsidRPr="00FA43EE" w:rsidRDefault="00A600D4" w:rsidP="00FA43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21122B">
        <w:rPr>
          <w:rFonts w:ascii="Arial" w:eastAsia="Times New Roman" w:hAnsi="Arial" w:cs="Arial"/>
          <w:sz w:val="18"/>
          <w:szCs w:val="18"/>
        </w:rPr>
        <w:t xml:space="preserve">Kapitalne donacije (382) </w:t>
      </w:r>
      <w:r w:rsidR="0021122B" w:rsidRPr="00FA43EE">
        <w:rPr>
          <w:rFonts w:ascii="Arial" w:eastAsia="Times New Roman" w:hAnsi="Arial" w:cs="Arial"/>
          <w:b/>
          <w:bCs/>
          <w:sz w:val="18"/>
          <w:szCs w:val="18"/>
        </w:rPr>
        <w:t>2023</w:t>
      </w:r>
      <w:r w:rsidR="0021122B" w:rsidRPr="0021122B">
        <w:rPr>
          <w:rFonts w:ascii="Arial" w:eastAsia="Times New Roman" w:hAnsi="Arial" w:cs="Arial"/>
          <w:sz w:val="18"/>
          <w:szCs w:val="18"/>
        </w:rPr>
        <w:t>.</w:t>
      </w:r>
      <w:r w:rsidRPr="0021122B">
        <w:rPr>
          <w:rFonts w:ascii="Arial" w:eastAsia="Times New Roman" w:hAnsi="Arial" w:cs="Arial"/>
          <w:sz w:val="18"/>
          <w:szCs w:val="18"/>
        </w:rPr>
        <w:t xml:space="preserve"> godine su</w:t>
      </w:r>
      <w:r w:rsidR="0021122B" w:rsidRPr="0021122B">
        <w:rPr>
          <w:rFonts w:ascii="Arial" w:eastAsia="Times New Roman" w:hAnsi="Arial" w:cs="Arial"/>
          <w:sz w:val="18"/>
          <w:szCs w:val="18"/>
        </w:rPr>
        <w:t xml:space="preserve"> bile</w:t>
      </w:r>
      <w:r w:rsidRPr="0021122B">
        <w:rPr>
          <w:rFonts w:ascii="Arial" w:eastAsia="Times New Roman" w:hAnsi="Arial" w:cs="Arial"/>
          <w:sz w:val="18"/>
          <w:szCs w:val="18"/>
        </w:rPr>
        <w:t xml:space="preserve"> izvršene u iznosu 31.404,46 € i odnosile su se na donacije za uređenje dvaju župnih ureda i nabavu opreme za pčelarsku udrugu. </w:t>
      </w:r>
      <w:bookmarkStart w:id="194" w:name="_Hlk200541127"/>
      <w:r w:rsidRPr="00FA43EE">
        <w:rPr>
          <w:rFonts w:ascii="Arial" w:eastAsia="Times New Roman" w:hAnsi="Arial" w:cs="Arial"/>
          <w:sz w:val="18"/>
          <w:szCs w:val="18"/>
        </w:rPr>
        <w:t xml:space="preserve">U </w:t>
      </w:r>
      <w:r w:rsidRPr="00FA43EE">
        <w:rPr>
          <w:rFonts w:ascii="Arial" w:eastAsia="Times New Roman" w:hAnsi="Arial" w:cs="Arial"/>
          <w:b/>
          <w:bCs/>
          <w:sz w:val="18"/>
          <w:szCs w:val="18"/>
        </w:rPr>
        <w:t>2024</w:t>
      </w:r>
      <w:r w:rsidRPr="00FA43EE">
        <w:rPr>
          <w:rFonts w:ascii="Arial" w:eastAsia="Times New Roman" w:hAnsi="Arial" w:cs="Arial"/>
          <w:sz w:val="18"/>
          <w:szCs w:val="18"/>
        </w:rPr>
        <w:t>. godini kapitalne donacije (382) su izvršene u iznosu 1.000 € i odnose se na donaciju udruzi za nabavu endoskopskog stupa i lasera za Opću bolnicu Dubrovnik.</w:t>
      </w:r>
    </w:p>
    <w:bookmarkEnd w:id="194"/>
    <w:p w14:paraId="581A4AF4" w14:textId="77777777" w:rsidR="00210A2D" w:rsidRDefault="00210A2D" w:rsidP="00681E5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18"/>
          <w:szCs w:val="18"/>
        </w:rPr>
      </w:pPr>
    </w:p>
    <w:p w14:paraId="53AAA7A0" w14:textId="4B1CAC70" w:rsidR="00FA43EE" w:rsidRPr="00FA43EE" w:rsidRDefault="00FA43EE" w:rsidP="00FA43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FA43EE">
        <w:rPr>
          <w:rFonts w:ascii="Arial" w:eastAsia="Times New Roman" w:hAnsi="Arial" w:cs="Arial"/>
        </w:rPr>
        <w:t xml:space="preserve">U </w:t>
      </w:r>
      <w:r w:rsidRPr="00FA43EE">
        <w:rPr>
          <w:rFonts w:ascii="Arial" w:eastAsia="Times New Roman" w:hAnsi="Arial" w:cs="Arial"/>
          <w:b/>
          <w:bCs/>
        </w:rPr>
        <w:t>202</w:t>
      </w:r>
      <w:r>
        <w:rPr>
          <w:rFonts w:ascii="Arial" w:eastAsia="Times New Roman" w:hAnsi="Arial" w:cs="Arial"/>
          <w:b/>
          <w:bCs/>
        </w:rPr>
        <w:t>5</w:t>
      </w:r>
      <w:r w:rsidRPr="00FA43EE">
        <w:rPr>
          <w:rFonts w:ascii="Arial" w:eastAsia="Times New Roman" w:hAnsi="Arial" w:cs="Arial"/>
        </w:rPr>
        <w:t>. godini kapitalne donacije (</w:t>
      </w:r>
      <w:r w:rsidRPr="005832B6">
        <w:rPr>
          <w:rFonts w:ascii="Arial" w:eastAsia="Times New Roman" w:hAnsi="Arial" w:cs="Arial"/>
          <w:b/>
          <w:bCs/>
        </w:rPr>
        <w:t>382</w:t>
      </w:r>
      <w:r w:rsidRPr="00FA43EE">
        <w:rPr>
          <w:rFonts w:ascii="Arial" w:eastAsia="Times New Roman" w:hAnsi="Arial" w:cs="Arial"/>
        </w:rPr>
        <w:t xml:space="preserve">) </w:t>
      </w:r>
      <w:r>
        <w:rPr>
          <w:rFonts w:ascii="Arial" w:eastAsia="Times New Roman" w:hAnsi="Arial" w:cs="Arial"/>
        </w:rPr>
        <w:t>nisu</w:t>
      </w:r>
      <w:r w:rsidRPr="00FA43EE">
        <w:rPr>
          <w:rFonts w:ascii="Arial" w:eastAsia="Times New Roman" w:hAnsi="Arial" w:cs="Arial"/>
        </w:rPr>
        <w:t>.</w:t>
      </w:r>
    </w:p>
    <w:p w14:paraId="643B57F8" w14:textId="77777777" w:rsidR="00FA43EE" w:rsidRPr="00FA43EE" w:rsidRDefault="00FA43EE" w:rsidP="00681E5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18"/>
          <w:szCs w:val="18"/>
        </w:rPr>
      </w:pPr>
    </w:p>
    <w:p w14:paraId="2FD47938" w14:textId="77777777" w:rsidR="00A600D4" w:rsidRPr="00A600D4" w:rsidRDefault="00A600D4" w:rsidP="00A600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A600D4">
        <w:rPr>
          <w:rFonts w:ascii="Arial" w:eastAsia="Times New Roman" w:hAnsi="Arial" w:cs="Arial"/>
        </w:rPr>
        <w:t>Kazne, penali i naknade šteta (</w:t>
      </w:r>
      <w:r w:rsidRPr="005832B6">
        <w:rPr>
          <w:rFonts w:ascii="Arial" w:eastAsia="Times New Roman" w:hAnsi="Arial" w:cs="Arial"/>
          <w:b/>
          <w:bCs/>
        </w:rPr>
        <w:t>383</w:t>
      </w:r>
      <w:r w:rsidRPr="00A600D4">
        <w:rPr>
          <w:rFonts w:ascii="Arial" w:eastAsia="Times New Roman" w:hAnsi="Arial" w:cs="Arial"/>
          <w:b/>
        </w:rPr>
        <w:t>)</w:t>
      </w:r>
      <w:r w:rsidRPr="00A600D4">
        <w:rPr>
          <w:rFonts w:ascii="Arial" w:eastAsia="Times New Roman" w:hAnsi="Arial" w:cs="Arial"/>
        </w:rPr>
        <w:t xml:space="preserve"> u tekućem izvještajnom razdoblju nisu izvršene, kao niti prethodne godine. </w:t>
      </w:r>
    </w:p>
    <w:p w14:paraId="1107C7C7" w14:textId="77777777" w:rsidR="00681E59" w:rsidRPr="00D90909" w:rsidRDefault="00681E59" w:rsidP="00681E5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18"/>
          <w:szCs w:val="18"/>
        </w:rPr>
      </w:pPr>
    </w:p>
    <w:p w14:paraId="38CA5167" w14:textId="73F8F179" w:rsidR="0084780C" w:rsidRPr="003A2F86" w:rsidRDefault="00681E59" w:rsidP="002112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r w:rsidRPr="003A2F86">
        <w:rPr>
          <w:rFonts w:ascii="Arial" w:hAnsi="Arial" w:cs="Arial"/>
          <w:sz w:val="18"/>
          <w:szCs w:val="18"/>
        </w:rPr>
        <w:t>Kapitalne pomoći (386) u 2021. su izvršene u iznosu 190.324,31 €, u 2022. su izvršene u iznosu 67.025,24 €</w:t>
      </w:r>
      <w:r w:rsidR="00E637EF" w:rsidRPr="003A2F86">
        <w:rPr>
          <w:rFonts w:ascii="Arial" w:hAnsi="Arial" w:cs="Arial"/>
          <w:sz w:val="18"/>
          <w:szCs w:val="18"/>
        </w:rPr>
        <w:t xml:space="preserve">, dok su </w:t>
      </w:r>
      <w:r w:rsidR="00A3385B" w:rsidRPr="003A2F86">
        <w:rPr>
          <w:rFonts w:ascii="Arial" w:hAnsi="Arial" w:cs="Arial"/>
          <w:sz w:val="18"/>
          <w:szCs w:val="18"/>
        </w:rPr>
        <w:t>2023.</w:t>
      </w:r>
      <w:r w:rsidR="00E637EF" w:rsidRPr="003A2F86">
        <w:rPr>
          <w:rFonts w:ascii="Arial" w:hAnsi="Arial" w:cs="Arial"/>
          <w:sz w:val="18"/>
          <w:szCs w:val="18"/>
        </w:rPr>
        <w:t xml:space="preserve"> iznosile </w:t>
      </w:r>
      <w:r w:rsidR="0021122B">
        <w:rPr>
          <w:rFonts w:ascii="Arial" w:hAnsi="Arial" w:cs="Arial"/>
          <w:sz w:val="18"/>
          <w:szCs w:val="18"/>
        </w:rPr>
        <w:t>241.460,52</w:t>
      </w:r>
      <w:r w:rsidR="00E637EF" w:rsidRPr="003A2F86">
        <w:rPr>
          <w:rFonts w:ascii="Arial" w:hAnsi="Arial" w:cs="Arial"/>
          <w:sz w:val="18"/>
          <w:szCs w:val="18"/>
        </w:rPr>
        <w:t xml:space="preserve"> €.</w:t>
      </w:r>
    </w:p>
    <w:p w14:paraId="09950244" w14:textId="77777777" w:rsidR="0084780C" w:rsidRPr="00D90909" w:rsidRDefault="0084780C" w:rsidP="00681E5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18"/>
          <w:szCs w:val="18"/>
        </w:rPr>
      </w:pPr>
    </w:p>
    <w:p w14:paraId="28475D57" w14:textId="34CBCA1B" w:rsidR="00A600D4" w:rsidRPr="00A600D4" w:rsidRDefault="00C175AC" w:rsidP="00A600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U</w:t>
      </w:r>
      <w:r w:rsidR="00A600D4" w:rsidRPr="00A600D4">
        <w:rPr>
          <w:rFonts w:ascii="Arial" w:eastAsia="Times New Roman" w:hAnsi="Arial" w:cs="Arial"/>
        </w:rPr>
        <w:t xml:space="preserve"> 20</w:t>
      </w:r>
      <w:r w:rsidR="00FA43EE">
        <w:rPr>
          <w:rFonts w:ascii="Arial" w:eastAsia="Times New Roman" w:hAnsi="Arial" w:cs="Arial"/>
        </w:rPr>
        <w:t>25</w:t>
      </w:r>
      <w:r w:rsidR="00A600D4" w:rsidRPr="00A600D4">
        <w:rPr>
          <w:rFonts w:ascii="Arial" w:eastAsia="Times New Roman" w:hAnsi="Arial" w:cs="Arial"/>
        </w:rPr>
        <w:t xml:space="preserve">. godini </w:t>
      </w:r>
      <w:r w:rsidRPr="00A600D4">
        <w:rPr>
          <w:rFonts w:ascii="Arial" w:eastAsia="Times New Roman" w:hAnsi="Arial" w:cs="Arial"/>
        </w:rPr>
        <w:t xml:space="preserve">kapitalne pomoći </w:t>
      </w:r>
      <w:r w:rsidR="005832B6">
        <w:rPr>
          <w:rFonts w:ascii="Arial" w:eastAsia="Times New Roman" w:hAnsi="Arial" w:cs="Arial"/>
        </w:rPr>
        <w:t>(</w:t>
      </w:r>
      <w:r w:rsidR="005832B6" w:rsidRPr="005832B6">
        <w:rPr>
          <w:rFonts w:ascii="Arial" w:eastAsia="Times New Roman" w:hAnsi="Arial" w:cs="Arial"/>
          <w:b/>
          <w:bCs/>
        </w:rPr>
        <w:t>386</w:t>
      </w:r>
      <w:r w:rsidR="005832B6">
        <w:rPr>
          <w:rFonts w:ascii="Arial" w:eastAsia="Times New Roman" w:hAnsi="Arial" w:cs="Arial"/>
        </w:rPr>
        <w:t xml:space="preserve">) </w:t>
      </w:r>
      <w:r>
        <w:rPr>
          <w:rFonts w:ascii="Arial" w:eastAsia="Times New Roman" w:hAnsi="Arial" w:cs="Arial"/>
        </w:rPr>
        <w:t>iznose</w:t>
      </w:r>
      <w:r w:rsidR="00A600D4" w:rsidRPr="00A600D4">
        <w:rPr>
          <w:rFonts w:ascii="Arial" w:eastAsia="Times New Roman" w:hAnsi="Arial" w:cs="Arial"/>
        </w:rPr>
        <w:t xml:space="preserve"> </w:t>
      </w:r>
      <w:bookmarkStart w:id="195" w:name="_Hlk200541155"/>
      <w:r w:rsidR="00FA43EE">
        <w:rPr>
          <w:rFonts w:ascii="Arial" w:eastAsia="Times New Roman" w:hAnsi="Arial" w:cs="Arial"/>
        </w:rPr>
        <w:t>95.758,20</w:t>
      </w:r>
      <w:r w:rsidR="00A600D4" w:rsidRPr="00A600D4">
        <w:rPr>
          <w:rFonts w:ascii="Arial" w:eastAsia="Times New Roman" w:hAnsi="Arial" w:cs="Arial"/>
        </w:rPr>
        <w:t xml:space="preserve"> </w:t>
      </w:r>
      <w:bookmarkEnd w:id="195"/>
      <w:r w:rsidR="00A600D4" w:rsidRPr="00A600D4">
        <w:rPr>
          <w:rFonts w:ascii="Arial" w:eastAsia="Times New Roman" w:hAnsi="Arial" w:cs="Arial"/>
        </w:rPr>
        <w:t xml:space="preserve">€ što je </w:t>
      </w:r>
      <w:r w:rsidR="00FA43EE">
        <w:rPr>
          <w:rFonts w:ascii="Arial" w:eastAsia="Times New Roman" w:hAnsi="Arial" w:cs="Arial"/>
        </w:rPr>
        <w:t>više</w:t>
      </w:r>
      <w:r w:rsidR="00A600D4" w:rsidRPr="00A600D4">
        <w:rPr>
          <w:rFonts w:ascii="Arial" w:eastAsia="Times New Roman" w:hAnsi="Arial" w:cs="Arial"/>
        </w:rPr>
        <w:t xml:space="preserve"> za </w:t>
      </w:r>
      <w:r w:rsidR="00FA43EE">
        <w:rPr>
          <w:rFonts w:ascii="Arial" w:eastAsia="Times New Roman" w:hAnsi="Arial" w:cs="Arial"/>
        </w:rPr>
        <w:t>28.984,09</w:t>
      </w:r>
      <w:r w:rsidR="00A600D4" w:rsidRPr="00A600D4">
        <w:rPr>
          <w:rFonts w:ascii="Arial" w:eastAsia="Times New Roman" w:hAnsi="Arial" w:cs="Arial"/>
        </w:rPr>
        <w:t xml:space="preserve"> € ili </w:t>
      </w:r>
      <w:r w:rsidR="00FA43EE">
        <w:rPr>
          <w:rFonts w:ascii="Arial" w:eastAsia="Times New Roman" w:hAnsi="Arial" w:cs="Arial"/>
        </w:rPr>
        <w:t>43,4</w:t>
      </w:r>
      <w:r w:rsidR="00A600D4" w:rsidRPr="00A600D4">
        <w:rPr>
          <w:rFonts w:ascii="Arial" w:eastAsia="Times New Roman" w:hAnsi="Arial" w:cs="Arial"/>
        </w:rPr>
        <w:t>%</w:t>
      </w:r>
      <w:r>
        <w:rPr>
          <w:rFonts w:ascii="Arial" w:eastAsia="Times New Roman" w:hAnsi="Arial" w:cs="Arial"/>
        </w:rPr>
        <w:t xml:space="preserve"> nego prethodne godine</w:t>
      </w:r>
      <w:r w:rsidR="00A600D4" w:rsidRPr="00A600D4">
        <w:rPr>
          <w:rFonts w:ascii="Arial" w:eastAsia="Times New Roman" w:hAnsi="Arial" w:cs="Arial"/>
        </w:rPr>
        <w:t xml:space="preserve">. Ove pomoći se u cijelosti odnose na prijenose pomoći društvima u vlasništvu Općine (Konavosko komunalno društvo d.o.o. i Čistoća i zelenilo Konavle d.o.o.), te društvu u suvlasništvu (Čistoća d.o.o. Dubrovnik) za nabavu nefinancijske imovine. Općina je, kao i prethodne godine, doznačila komunalnom društvu (Konavosko komunalno društvo d.o.o.) sredstva u iznosu </w:t>
      </w:r>
      <w:bookmarkStart w:id="196" w:name="_Hlk200541206"/>
      <w:r w:rsidR="00FA43EE">
        <w:rPr>
          <w:rFonts w:ascii="Arial" w:eastAsia="Times New Roman" w:hAnsi="Arial" w:cs="Arial"/>
        </w:rPr>
        <w:t>40.758,20.</w:t>
      </w:r>
      <w:r w:rsidR="00A600D4" w:rsidRPr="00A600D4">
        <w:rPr>
          <w:rFonts w:ascii="Arial" w:eastAsia="Times New Roman" w:hAnsi="Arial" w:cs="Arial"/>
        </w:rPr>
        <w:t xml:space="preserve"> € </w:t>
      </w:r>
      <w:bookmarkEnd w:id="196"/>
      <w:r w:rsidR="00A600D4" w:rsidRPr="00A600D4">
        <w:rPr>
          <w:rFonts w:ascii="Arial" w:eastAsia="Times New Roman" w:hAnsi="Arial" w:cs="Arial"/>
        </w:rPr>
        <w:t xml:space="preserve">(od čega </w:t>
      </w:r>
      <w:r w:rsidR="00FA43EE">
        <w:rPr>
          <w:rFonts w:ascii="Arial" w:eastAsia="Times New Roman" w:hAnsi="Arial" w:cs="Arial"/>
        </w:rPr>
        <w:t>38.558,16</w:t>
      </w:r>
      <w:r w:rsidR="00A600D4" w:rsidRPr="00A600D4">
        <w:rPr>
          <w:rFonts w:ascii="Arial" w:eastAsia="Times New Roman" w:hAnsi="Arial" w:cs="Arial"/>
        </w:rPr>
        <w:t xml:space="preserve"> € za povrat </w:t>
      </w:r>
      <w:r w:rsidR="00FA43EE">
        <w:rPr>
          <w:rFonts w:ascii="Arial" w:eastAsia="Times New Roman" w:hAnsi="Arial" w:cs="Arial"/>
        </w:rPr>
        <w:t>jednog</w:t>
      </w:r>
      <w:r w:rsidR="00A600D4" w:rsidRPr="00A600D4">
        <w:rPr>
          <w:rFonts w:ascii="Arial" w:eastAsia="Times New Roman" w:hAnsi="Arial" w:cs="Arial"/>
        </w:rPr>
        <w:t xml:space="preserve"> obroka kredita - kredit za izgradnju kanalizacijskog sustava i vodovoda</w:t>
      </w:r>
      <w:bookmarkStart w:id="197" w:name="_Hlk200541239"/>
      <w:r w:rsidR="00A600D4" w:rsidRPr="00A600D4">
        <w:rPr>
          <w:rFonts w:ascii="Arial" w:eastAsia="Times New Roman" w:hAnsi="Arial" w:cs="Arial"/>
        </w:rPr>
        <w:t xml:space="preserve">, te za kapitalna pomoć za izgradnju novog vodovodnog sustava u naselju Palje brdo </w:t>
      </w:r>
      <w:bookmarkEnd w:id="197"/>
      <w:r w:rsidR="00FA43EE">
        <w:rPr>
          <w:rFonts w:ascii="Arial" w:eastAsia="Times New Roman" w:hAnsi="Arial" w:cs="Arial"/>
        </w:rPr>
        <w:t>2.200,04</w:t>
      </w:r>
      <w:r w:rsidR="00A600D4" w:rsidRPr="00A600D4">
        <w:rPr>
          <w:rFonts w:ascii="Arial" w:eastAsia="Times New Roman" w:hAnsi="Arial" w:cs="Arial"/>
        </w:rPr>
        <w:t xml:space="preserve"> €). Društvu za održavanje čistoće i sakupljanje otpada (Čistoća i zelenilo Konavle d.o.o.) doznačeno je </w:t>
      </w:r>
      <w:bookmarkStart w:id="198" w:name="_Hlk200541261"/>
      <w:r w:rsidR="00FA43EE">
        <w:rPr>
          <w:rFonts w:ascii="Arial" w:eastAsia="Times New Roman" w:hAnsi="Arial" w:cs="Arial"/>
        </w:rPr>
        <w:t>55.000</w:t>
      </w:r>
      <w:r w:rsidR="00A600D4" w:rsidRPr="00A600D4">
        <w:rPr>
          <w:rFonts w:ascii="Arial" w:eastAsia="Times New Roman" w:hAnsi="Arial" w:cs="Arial"/>
        </w:rPr>
        <w:t xml:space="preserve"> </w:t>
      </w:r>
      <w:bookmarkEnd w:id="198"/>
      <w:r w:rsidR="00A600D4" w:rsidRPr="00A600D4">
        <w:rPr>
          <w:rFonts w:ascii="Arial" w:eastAsia="Times New Roman" w:hAnsi="Arial" w:cs="Arial"/>
        </w:rPr>
        <w:t xml:space="preserve">€ </w:t>
      </w:r>
      <w:bookmarkStart w:id="199" w:name="_Hlk200541277"/>
      <w:r w:rsidR="00A600D4" w:rsidRPr="00A600D4">
        <w:rPr>
          <w:rFonts w:ascii="Arial" w:eastAsia="Times New Roman" w:hAnsi="Arial" w:cs="Arial"/>
        </w:rPr>
        <w:t>(</w:t>
      </w:r>
      <w:r w:rsidR="00FA43EE">
        <w:rPr>
          <w:rFonts w:ascii="Arial" w:eastAsia="Times New Roman" w:hAnsi="Arial" w:cs="Arial"/>
        </w:rPr>
        <w:t>refundacija sredstava za nabavljeno komunalno vozilo</w:t>
      </w:r>
      <w:r w:rsidR="00A600D4" w:rsidRPr="00A600D4">
        <w:rPr>
          <w:rFonts w:ascii="Arial" w:eastAsia="Times New Roman" w:hAnsi="Arial" w:cs="Arial"/>
        </w:rPr>
        <w:t>). Prijenos</w:t>
      </w:r>
      <w:r w:rsidR="00FA43EE">
        <w:rPr>
          <w:rFonts w:ascii="Arial" w:eastAsia="Times New Roman" w:hAnsi="Arial" w:cs="Arial"/>
        </w:rPr>
        <w:t>a</w:t>
      </w:r>
      <w:r w:rsidR="00A600D4" w:rsidRPr="00A600D4">
        <w:rPr>
          <w:rFonts w:ascii="Arial" w:eastAsia="Times New Roman" w:hAnsi="Arial" w:cs="Arial"/>
        </w:rPr>
        <w:t xml:space="preserve"> društvu u suvlasništvu </w:t>
      </w:r>
      <w:r w:rsidR="00FA43EE">
        <w:rPr>
          <w:rFonts w:ascii="Arial" w:eastAsia="Times New Roman" w:hAnsi="Arial" w:cs="Arial"/>
        </w:rPr>
        <w:t>nije bilo u prvom polugodištu 2025. godine (o</w:t>
      </w:r>
      <w:r w:rsidR="00A600D4" w:rsidRPr="00A600D4">
        <w:rPr>
          <w:rFonts w:ascii="Arial" w:eastAsia="Times New Roman" w:hAnsi="Arial" w:cs="Arial"/>
        </w:rPr>
        <w:t xml:space="preserve">dnosi </w:t>
      </w:r>
      <w:r w:rsidR="00FA43EE">
        <w:rPr>
          <w:rFonts w:ascii="Arial" w:eastAsia="Times New Roman" w:hAnsi="Arial" w:cs="Arial"/>
        </w:rPr>
        <w:t xml:space="preserve">se </w:t>
      </w:r>
      <w:r w:rsidR="00A600D4" w:rsidRPr="00A600D4">
        <w:rPr>
          <w:rFonts w:ascii="Arial" w:eastAsia="Times New Roman" w:hAnsi="Arial" w:cs="Arial"/>
        </w:rPr>
        <w:t>na obvezu preuređenja i zatvaranja odlagališta otpada na Grabovici</w:t>
      </w:r>
      <w:r w:rsidR="00FA43EE">
        <w:rPr>
          <w:rFonts w:ascii="Arial" w:eastAsia="Times New Roman" w:hAnsi="Arial" w:cs="Arial"/>
        </w:rPr>
        <w:t>)</w:t>
      </w:r>
      <w:r w:rsidR="00A600D4" w:rsidRPr="00A600D4">
        <w:rPr>
          <w:rFonts w:ascii="Arial" w:eastAsia="Times New Roman" w:hAnsi="Arial" w:cs="Arial"/>
        </w:rPr>
        <w:t>.</w:t>
      </w:r>
    </w:p>
    <w:bookmarkEnd w:id="199"/>
    <w:p w14:paraId="7C642D17" w14:textId="77777777" w:rsidR="00C175AC" w:rsidRDefault="00C175AC" w:rsidP="00B5484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18"/>
          <w:szCs w:val="18"/>
        </w:rPr>
      </w:pPr>
    </w:p>
    <w:p w14:paraId="05FEDE80" w14:textId="35C347C2" w:rsidR="009C53D1" w:rsidRPr="003A2F86" w:rsidRDefault="00A3385B" w:rsidP="00513CC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3A2F86">
        <w:rPr>
          <w:rFonts w:ascii="Arial" w:hAnsi="Arial" w:cs="Arial"/>
          <w:sz w:val="18"/>
          <w:szCs w:val="18"/>
        </w:rPr>
        <w:t>U</w:t>
      </w:r>
      <w:r w:rsidR="00E637EF" w:rsidRPr="003A2F86">
        <w:rPr>
          <w:rFonts w:ascii="Arial" w:hAnsi="Arial" w:cs="Arial"/>
          <w:sz w:val="18"/>
          <w:szCs w:val="18"/>
        </w:rPr>
        <w:t xml:space="preserve"> 2023. godin</w:t>
      </w:r>
      <w:r w:rsidR="00D90909">
        <w:rPr>
          <w:rFonts w:ascii="Arial" w:hAnsi="Arial" w:cs="Arial"/>
          <w:sz w:val="18"/>
          <w:szCs w:val="18"/>
        </w:rPr>
        <w:t>i</w:t>
      </w:r>
      <w:r w:rsidR="00E637EF" w:rsidRPr="003A2F86">
        <w:rPr>
          <w:rFonts w:ascii="Arial" w:hAnsi="Arial" w:cs="Arial"/>
          <w:sz w:val="18"/>
          <w:szCs w:val="18"/>
        </w:rPr>
        <w:t xml:space="preserve"> izvršen p</w:t>
      </w:r>
      <w:r w:rsidR="00681E59" w:rsidRPr="003A2F86">
        <w:rPr>
          <w:rFonts w:ascii="Arial" w:hAnsi="Arial" w:cs="Arial"/>
          <w:sz w:val="18"/>
          <w:szCs w:val="18"/>
        </w:rPr>
        <w:t xml:space="preserve">rijenos u iznosu 14.666,05 € </w:t>
      </w:r>
      <w:r w:rsidR="00E637EF" w:rsidRPr="003A2F86">
        <w:rPr>
          <w:rFonts w:ascii="Arial" w:hAnsi="Arial" w:cs="Arial"/>
          <w:sz w:val="18"/>
          <w:szCs w:val="18"/>
        </w:rPr>
        <w:t xml:space="preserve">koji se odnosio na utrošak namjenske naknade na temelju obveze </w:t>
      </w:r>
      <w:r w:rsidR="00681E59" w:rsidRPr="003A2F86">
        <w:rPr>
          <w:rFonts w:ascii="Arial" w:hAnsi="Arial" w:cs="Arial"/>
          <w:sz w:val="18"/>
          <w:szCs w:val="18"/>
        </w:rPr>
        <w:t>preuređenja i zatvaranja odlagališta otpada na Grabovici</w:t>
      </w:r>
      <w:r w:rsidR="00D90909">
        <w:rPr>
          <w:rFonts w:ascii="Arial" w:hAnsi="Arial" w:cs="Arial"/>
          <w:sz w:val="18"/>
          <w:szCs w:val="18"/>
        </w:rPr>
        <w:t xml:space="preserve"> </w:t>
      </w:r>
      <w:r w:rsidR="00D90909" w:rsidRPr="003A2F86">
        <w:rPr>
          <w:rFonts w:ascii="Arial" w:hAnsi="Arial" w:cs="Arial"/>
          <w:sz w:val="18"/>
          <w:szCs w:val="18"/>
        </w:rPr>
        <w:t>(Čistoća d.o.o. Dubrovnik)</w:t>
      </w:r>
      <w:r w:rsidR="00681E59" w:rsidRPr="003A2F86">
        <w:rPr>
          <w:rFonts w:ascii="Arial" w:hAnsi="Arial" w:cs="Arial"/>
          <w:sz w:val="18"/>
          <w:szCs w:val="18"/>
        </w:rPr>
        <w:t>.</w:t>
      </w:r>
      <w:bookmarkEnd w:id="189"/>
      <w:bookmarkEnd w:id="190"/>
      <w:r w:rsidR="00FA43EE">
        <w:rPr>
          <w:rFonts w:ascii="Arial" w:hAnsi="Arial" w:cs="Arial"/>
          <w:sz w:val="18"/>
          <w:szCs w:val="18"/>
        </w:rPr>
        <w:t xml:space="preserve"> U 2024. godini ovaj prijenos iznosio 8.111,65 €.</w:t>
      </w:r>
      <w:r w:rsidR="009C53D1" w:rsidRPr="003A2F86">
        <w:rPr>
          <w:rFonts w:ascii="Arial" w:eastAsia="Times New Roman" w:hAnsi="Arial" w:cs="Arial"/>
          <w:sz w:val="18"/>
          <w:szCs w:val="18"/>
        </w:rPr>
        <w:br w:type="page"/>
      </w:r>
    </w:p>
    <w:p w14:paraId="1DAA8030" w14:textId="5901140A" w:rsidR="00891119" w:rsidRPr="003A2F86" w:rsidRDefault="002E304B" w:rsidP="00A840CD">
      <w:pPr>
        <w:pStyle w:val="Naslov3"/>
        <w:jc w:val="center"/>
        <w:rPr>
          <w:rFonts w:ascii="Arial" w:hAnsi="Arial" w:cs="Arial"/>
          <w:sz w:val="22"/>
          <w:szCs w:val="22"/>
          <w:lang w:val="hr-HR"/>
        </w:rPr>
      </w:pPr>
      <w:bookmarkStart w:id="200" w:name="_Toc207707437"/>
      <w:r w:rsidRPr="003A2F86">
        <w:rPr>
          <w:rFonts w:ascii="Arial" w:hAnsi="Arial" w:cs="Arial"/>
          <w:sz w:val="22"/>
          <w:szCs w:val="22"/>
          <w:lang w:val="hr-HR"/>
        </w:rPr>
        <w:lastRenderedPageBreak/>
        <w:t>2.4.4.</w:t>
      </w:r>
      <w:r w:rsidR="00891119" w:rsidRPr="003A2F86">
        <w:rPr>
          <w:rFonts w:ascii="Arial" w:hAnsi="Arial" w:cs="Arial"/>
          <w:sz w:val="22"/>
          <w:szCs w:val="22"/>
          <w:lang w:val="hr-HR"/>
        </w:rPr>
        <w:tab/>
        <w:t>R</w:t>
      </w:r>
      <w:r w:rsidR="00E97058" w:rsidRPr="003A2F86">
        <w:rPr>
          <w:rFonts w:ascii="Arial" w:hAnsi="Arial" w:cs="Arial"/>
          <w:sz w:val="22"/>
          <w:szCs w:val="22"/>
          <w:lang w:val="hr-HR"/>
        </w:rPr>
        <w:t>ASHODI ZA NABAVU NEFINANCIJSKE IMOVINE</w:t>
      </w:r>
      <w:r w:rsidR="00B5484A" w:rsidRPr="003A2F86">
        <w:rPr>
          <w:rFonts w:ascii="Arial" w:hAnsi="Arial" w:cs="Arial"/>
          <w:sz w:val="22"/>
          <w:szCs w:val="22"/>
          <w:lang w:val="hr-HR"/>
        </w:rPr>
        <w:t xml:space="preserve"> (4)</w:t>
      </w:r>
      <w:bookmarkStart w:id="201" w:name="Rashodi_za_nabavu_nefinancijeke_imovine"/>
      <w:bookmarkEnd w:id="200"/>
      <w:bookmarkEnd w:id="201"/>
    </w:p>
    <w:p w14:paraId="310460F1"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34E853C2" w14:textId="470BDEF7" w:rsidR="00580602" w:rsidRPr="00580602" w:rsidRDefault="00580602" w:rsidP="0058060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580602">
        <w:rPr>
          <w:rFonts w:ascii="Arial" w:eastAsia="Times New Roman" w:hAnsi="Arial" w:cs="Arial"/>
          <w:b/>
        </w:rPr>
        <w:t>Rashodi za nabavu nefinancijske imovne</w:t>
      </w:r>
      <w:r w:rsidRPr="00580602">
        <w:rPr>
          <w:rFonts w:ascii="Arial" w:eastAsia="Times New Roman" w:hAnsi="Arial" w:cs="Arial"/>
        </w:rPr>
        <w:t xml:space="preserve"> (4) su izvršeni u iznosu </w:t>
      </w:r>
      <w:bookmarkStart w:id="202" w:name="_Hlk200541322"/>
      <w:r w:rsidR="002F4132">
        <w:rPr>
          <w:rFonts w:ascii="Arial" w:eastAsia="Times New Roman" w:hAnsi="Arial" w:cs="Arial"/>
        </w:rPr>
        <w:t>3.443.649,35</w:t>
      </w:r>
      <w:r w:rsidRPr="00580602">
        <w:rPr>
          <w:rFonts w:ascii="Arial" w:eastAsia="Times New Roman" w:hAnsi="Arial" w:cs="Arial"/>
        </w:rPr>
        <w:t xml:space="preserve"> € što je za </w:t>
      </w:r>
      <w:r w:rsidR="002F4132">
        <w:rPr>
          <w:rFonts w:ascii="Arial" w:eastAsia="Times New Roman" w:hAnsi="Arial" w:cs="Arial"/>
        </w:rPr>
        <w:t>1.779.113,67</w:t>
      </w:r>
      <w:r w:rsidRPr="00580602">
        <w:rPr>
          <w:rFonts w:ascii="Arial" w:eastAsia="Times New Roman" w:hAnsi="Arial" w:cs="Arial"/>
        </w:rPr>
        <w:t xml:space="preserve"> € ili </w:t>
      </w:r>
      <w:r w:rsidR="002F4132">
        <w:rPr>
          <w:rFonts w:ascii="Arial" w:eastAsia="Times New Roman" w:hAnsi="Arial" w:cs="Arial"/>
        </w:rPr>
        <w:t>106,9</w:t>
      </w:r>
      <w:r w:rsidRPr="00580602">
        <w:rPr>
          <w:rFonts w:ascii="Arial" w:eastAsia="Times New Roman" w:hAnsi="Arial" w:cs="Arial"/>
        </w:rPr>
        <w:t xml:space="preserve">% više u odnosu na </w:t>
      </w:r>
      <w:r w:rsidRPr="00580602">
        <w:rPr>
          <w:rFonts w:ascii="Arial" w:eastAsia="Times New Roman" w:hAnsi="Arial" w:cs="Arial"/>
          <w:iCs/>
        </w:rPr>
        <w:t>izvještajno razdoblje prethodne godine</w:t>
      </w:r>
      <w:bookmarkEnd w:id="202"/>
      <w:r w:rsidRPr="00580602">
        <w:rPr>
          <w:rFonts w:ascii="Arial" w:eastAsia="Times New Roman" w:hAnsi="Arial" w:cs="Arial"/>
        </w:rPr>
        <w:t xml:space="preserve">. </w:t>
      </w:r>
    </w:p>
    <w:p w14:paraId="0B8CAF95" w14:textId="77777777" w:rsidR="00FD31DB" w:rsidRPr="003A2F86" w:rsidRDefault="00FD31DB" w:rsidP="002711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rPr>
      </w:pPr>
    </w:p>
    <w:p w14:paraId="7DAD3E23" w14:textId="64CDA47C" w:rsidR="000B1FCF" w:rsidRPr="003A2F86" w:rsidRDefault="000B1FCF" w:rsidP="002711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1F497D" w:themeColor="text2"/>
        </w:rPr>
      </w:pPr>
      <w:r w:rsidRPr="003A2F86">
        <w:rPr>
          <w:rFonts w:ascii="Arial" w:eastAsia="Times New Roman" w:hAnsi="Arial" w:cs="Arial"/>
          <w:color w:val="1F497D" w:themeColor="text2"/>
        </w:rPr>
        <w:tab/>
      </w:r>
      <w:bookmarkStart w:id="203" w:name="_Hlk200541356"/>
      <w:r w:rsidRPr="003A2F86">
        <w:rPr>
          <w:rFonts w:ascii="Arial" w:eastAsia="Times New Roman" w:hAnsi="Arial" w:cs="Arial"/>
          <w:color w:val="1F497D" w:themeColor="text2"/>
        </w:rPr>
        <w:t xml:space="preserve">Ukupni rashodi za nabavu nefinancijske imovine Općine iznose </w:t>
      </w:r>
      <w:r w:rsidR="002F4132">
        <w:rPr>
          <w:rFonts w:ascii="Arial" w:eastAsia="Times New Roman" w:hAnsi="Arial" w:cs="Arial"/>
          <w:color w:val="1F497D" w:themeColor="text2"/>
        </w:rPr>
        <w:t>3.408.203,35</w:t>
      </w:r>
      <w:r w:rsidR="00F9504C" w:rsidRPr="003A2F86">
        <w:rPr>
          <w:rFonts w:ascii="Arial" w:eastAsia="Times New Roman" w:hAnsi="Arial" w:cs="Arial"/>
          <w:color w:val="1F497D" w:themeColor="text2"/>
        </w:rPr>
        <w:t xml:space="preserve"> €</w:t>
      </w:r>
      <w:r w:rsidRPr="003A2F86">
        <w:rPr>
          <w:rFonts w:ascii="Arial" w:eastAsia="Times New Roman" w:hAnsi="Arial" w:cs="Arial"/>
          <w:color w:val="1F497D" w:themeColor="text2"/>
        </w:rPr>
        <w:t xml:space="preserve">, a rashodi za nabavu nefinancijske imovine proračunskih korisnika iznose </w:t>
      </w:r>
      <w:r w:rsidR="002F4132">
        <w:rPr>
          <w:rFonts w:ascii="Arial" w:eastAsia="Times New Roman" w:hAnsi="Arial" w:cs="Arial"/>
          <w:color w:val="1F497D" w:themeColor="text2"/>
        </w:rPr>
        <w:t>35.446,00</w:t>
      </w:r>
      <w:r w:rsidR="00F9504C" w:rsidRPr="003A2F86">
        <w:rPr>
          <w:rFonts w:ascii="Arial" w:eastAsia="Times New Roman" w:hAnsi="Arial" w:cs="Arial"/>
          <w:color w:val="1F497D" w:themeColor="text2"/>
        </w:rPr>
        <w:t xml:space="preserve"> €</w:t>
      </w:r>
      <w:r w:rsidRPr="003A2F86">
        <w:rPr>
          <w:rFonts w:ascii="Arial" w:eastAsia="Times New Roman" w:hAnsi="Arial" w:cs="Arial"/>
          <w:color w:val="1F497D" w:themeColor="text2"/>
        </w:rPr>
        <w:t>.</w:t>
      </w:r>
    </w:p>
    <w:bookmarkEnd w:id="203"/>
    <w:p w14:paraId="0F980A65" w14:textId="77777777" w:rsidR="00873F04" w:rsidRPr="003A2F86" w:rsidRDefault="00873F04" w:rsidP="00153B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1A00F73" w14:textId="0A8D163D" w:rsidR="00777D33" w:rsidRPr="00777D33" w:rsidRDefault="00777D33" w:rsidP="00777D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b/>
          <w:bCs/>
        </w:rPr>
      </w:pPr>
      <w:bookmarkStart w:id="204" w:name="_Hlk176441873"/>
      <w:r w:rsidRPr="00777D33">
        <w:rPr>
          <w:rFonts w:ascii="Arial" w:eastAsia="Times New Roman" w:hAnsi="Arial" w:cs="Arial"/>
          <w:b/>
          <w:bCs/>
        </w:rPr>
        <w:tab/>
        <w:t xml:space="preserve">Ukupni rashodi za nabavu nefinancijske imovine (4) Općine </w:t>
      </w:r>
      <w:bookmarkStart w:id="205" w:name="_Hlk200541423"/>
      <w:r w:rsidRPr="00777D33">
        <w:rPr>
          <w:rFonts w:ascii="Arial" w:eastAsia="Times New Roman" w:hAnsi="Arial" w:cs="Arial"/>
          <w:b/>
          <w:bCs/>
        </w:rPr>
        <w:t xml:space="preserve">su veći za </w:t>
      </w:r>
      <w:r w:rsidR="002F4132">
        <w:rPr>
          <w:rFonts w:ascii="Arial" w:eastAsia="Times New Roman" w:hAnsi="Arial" w:cs="Arial"/>
          <w:b/>
          <w:bCs/>
        </w:rPr>
        <w:t>1.776.231,91</w:t>
      </w:r>
      <w:r w:rsidRPr="00777D33">
        <w:rPr>
          <w:rFonts w:ascii="Arial" w:eastAsia="Times New Roman" w:hAnsi="Arial" w:cs="Arial"/>
          <w:b/>
          <w:bCs/>
        </w:rPr>
        <w:t xml:space="preserve"> € ili </w:t>
      </w:r>
      <w:r w:rsidR="002F4132">
        <w:rPr>
          <w:rFonts w:ascii="Arial" w:eastAsia="Times New Roman" w:hAnsi="Arial" w:cs="Arial"/>
          <w:b/>
          <w:bCs/>
        </w:rPr>
        <w:t>108,8</w:t>
      </w:r>
      <w:r w:rsidRPr="00777D33">
        <w:rPr>
          <w:rFonts w:ascii="Arial" w:eastAsia="Times New Roman" w:hAnsi="Arial" w:cs="Arial"/>
          <w:b/>
          <w:bCs/>
        </w:rPr>
        <w:t xml:space="preserve">%, a rashodi proračunskih korisnika su veći za </w:t>
      </w:r>
      <w:r w:rsidR="002F4132">
        <w:rPr>
          <w:rFonts w:ascii="Arial" w:eastAsia="Times New Roman" w:hAnsi="Arial" w:cs="Arial"/>
          <w:b/>
          <w:bCs/>
        </w:rPr>
        <w:t>2.881,76</w:t>
      </w:r>
      <w:r w:rsidRPr="00777D33">
        <w:rPr>
          <w:rFonts w:ascii="Arial" w:eastAsia="Times New Roman" w:hAnsi="Arial" w:cs="Arial"/>
          <w:b/>
          <w:bCs/>
        </w:rPr>
        <w:t xml:space="preserve"> € ili 8</w:t>
      </w:r>
      <w:r w:rsidR="002F4132">
        <w:rPr>
          <w:rFonts w:ascii="Arial" w:eastAsia="Times New Roman" w:hAnsi="Arial" w:cs="Arial"/>
          <w:b/>
          <w:bCs/>
        </w:rPr>
        <w:t>,8</w:t>
      </w:r>
      <w:r w:rsidRPr="00777D33">
        <w:rPr>
          <w:rFonts w:ascii="Arial" w:eastAsia="Times New Roman" w:hAnsi="Arial" w:cs="Arial"/>
          <w:b/>
          <w:bCs/>
        </w:rPr>
        <w:t>%.</w:t>
      </w:r>
    </w:p>
    <w:p w14:paraId="66B42CA8" w14:textId="77777777" w:rsidR="00777D33" w:rsidRDefault="00777D33" w:rsidP="00777D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206" w:name="_Hlk65516997"/>
      <w:bookmarkEnd w:id="204"/>
      <w:bookmarkEnd w:id="205"/>
    </w:p>
    <w:p w14:paraId="4DAEE16E" w14:textId="4C7A3791" w:rsidR="00777D33" w:rsidRDefault="00777D33" w:rsidP="00777D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207" w:name="_Hlk200541436"/>
      <w:r w:rsidRPr="00777D33">
        <w:rPr>
          <w:rFonts w:ascii="Arial" w:eastAsia="Times New Roman" w:hAnsi="Arial" w:cs="Arial"/>
        </w:rPr>
        <w:t>U okviru ove skupine rashoda prethodne godine bili su izvršeni samo pojedinačno manja ulaganja, dok se u tekućoj godini vrijednosno najznačajniji rashodi odnose na izgradnju / uređenje parkinga, te nogostupa.</w:t>
      </w:r>
    </w:p>
    <w:bookmarkEnd w:id="207"/>
    <w:p w14:paraId="3547013F" w14:textId="77777777" w:rsidR="004807FD" w:rsidRPr="00777D33" w:rsidRDefault="004807FD" w:rsidP="00777D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20BEAAD" w14:textId="65AA4567" w:rsidR="00D92D0C" w:rsidRPr="003A2F86" w:rsidRDefault="000E3F08" w:rsidP="00917E83">
      <w:pPr>
        <w:pStyle w:val="Opisslike"/>
        <w:rPr>
          <w:rFonts w:ascii="Arial" w:hAnsi="Arial" w:cs="Arial"/>
        </w:rPr>
      </w:pPr>
      <w:bookmarkStart w:id="208" w:name="_Toc207707021"/>
      <w:bookmarkEnd w:id="206"/>
      <w:r w:rsidRPr="003A2F86">
        <w:rPr>
          <w:noProof/>
        </w:rPr>
        <w:drawing>
          <wp:anchor distT="0" distB="0" distL="114300" distR="114300" simplePos="0" relativeHeight="251649024" behindDoc="0" locked="0" layoutInCell="1" allowOverlap="1" wp14:anchorId="70BF3A72" wp14:editId="7008D7B4">
            <wp:simplePos x="0" y="0"/>
            <wp:positionH relativeFrom="column">
              <wp:posOffset>-88900</wp:posOffset>
            </wp:positionH>
            <wp:positionV relativeFrom="paragraph">
              <wp:posOffset>284480</wp:posOffset>
            </wp:positionV>
            <wp:extent cx="9134475" cy="3374390"/>
            <wp:effectExtent l="0" t="0" r="0" b="0"/>
            <wp:wrapTopAndBottom/>
            <wp:docPr id="743" name="Chart 7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r w:rsidR="0075731E" w:rsidRPr="003A2F86">
        <w:rPr>
          <w:color w:val="FF0000"/>
        </w:rPr>
        <w:t xml:space="preserve">Graf </w:t>
      </w:r>
      <w:r w:rsidR="0075731E" w:rsidRPr="003A2F86">
        <w:rPr>
          <w:color w:val="FF0000"/>
        </w:rPr>
        <w:fldChar w:fldCharType="begin"/>
      </w:r>
      <w:r w:rsidR="0075731E" w:rsidRPr="003A2F86">
        <w:rPr>
          <w:color w:val="FF0000"/>
        </w:rPr>
        <w:instrText xml:space="preserve"> SEQ Graf \* ARABIC </w:instrText>
      </w:r>
      <w:r w:rsidR="0075731E" w:rsidRPr="003A2F86">
        <w:rPr>
          <w:color w:val="FF0000"/>
        </w:rPr>
        <w:fldChar w:fldCharType="separate"/>
      </w:r>
      <w:r w:rsidR="00910987">
        <w:rPr>
          <w:noProof/>
          <w:color w:val="FF0000"/>
        </w:rPr>
        <w:t>16</w:t>
      </w:r>
      <w:r w:rsidR="0075731E" w:rsidRPr="003A2F86">
        <w:rPr>
          <w:color w:val="FF0000"/>
        </w:rPr>
        <w:fldChar w:fldCharType="end"/>
      </w:r>
      <w:r w:rsidR="0075731E" w:rsidRPr="003A2F86">
        <w:rPr>
          <w:color w:val="FF0000"/>
        </w:rPr>
        <w:t xml:space="preserve">.: </w:t>
      </w:r>
      <w:r w:rsidR="0075731E" w:rsidRPr="003A2F86">
        <w:rPr>
          <w:rFonts w:ascii="Arial" w:hAnsi="Arial" w:cs="Arial"/>
          <w:sz w:val="18"/>
          <w:szCs w:val="18"/>
        </w:rPr>
        <w:t xml:space="preserve">Struktura izvršenih </w:t>
      </w:r>
      <w:r w:rsidR="0075731E" w:rsidRPr="003A2F86">
        <w:rPr>
          <w:rFonts w:ascii="Arial" w:hAnsi="Arial" w:cs="Arial"/>
          <w:sz w:val="18"/>
          <w:szCs w:val="18"/>
          <w:u w:val="single"/>
        </w:rPr>
        <w:t>rashoda za nabavu nefinancijske imovine (4)</w:t>
      </w:r>
      <w:r w:rsidR="0075731E" w:rsidRPr="003A2F86">
        <w:rPr>
          <w:rFonts w:ascii="Arial" w:hAnsi="Arial" w:cs="Arial"/>
          <w:sz w:val="18"/>
          <w:szCs w:val="18"/>
        </w:rPr>
        <w:t xml:space="preserve"> u razdoblju 2015.-20</w:t>
      </w:r>
      <w:r w:rsidR="009F024D" w:rsidRPr="003A2F86">
        <w:rPr>
          <w:rFonts w:ascii="Arial" w:hAnsi="Arial" w:cs="Arial"/>
          <w:sz w:val="18"/>
          <w:szCs w:val="18"/>
        </w:rPr>
        <w:t>2</w:t>
      </w:r>
      <w:r w:rsidR="004E5404" w:rsidRPr="003A2F86">
        <w:rPr>
          <w:rFonts w:ascii="Arial" w:hAnsi="Arial" w:cs="Arial"/>
          <w:sz w:val="18"/>
          <w:szCs w:val="18"/>
        </w:rPr>
        <w:t>4.</w:t>
      </w:r>
      <w:r w:rsidR="002F4132">
        <w:rPr>
          <w:rFonts w:ascii="Arial" w:hAnsi="Arial" w:cs="Arial"/>
          <w:sz w:val="18"/>
          <w:szCs w:val="18"/>
        </w:rPr>
        <w:t xml:space="preserve"> i 1-6/2025.</w:t>
      </w:r>
      <w:r w:rsidR="004E5404" w:rsidRPr="003A2F86">
        <w:rPr>
          <w:rFonts w:ascii="Arial" w:hAnsi="Arial" w:cs="Arial"/>
          <w:sz w:val="18"/>
          <w:szCs w:val="18"/>
        </w:rPr>
        <w:t xml:space="preserve"> </w:t>
      </w:r>
      <w:r w:rsidR="00E97058" w:rsidRPr="003A2F86">
        <w:rPr>
          <w:rFonts w:ascii="Arial" w:hAnsi="Arial" w:cs="Arial"/>
          <w:sz w:val="18"/>
          <w:szCs w:val="18"/>
        </w:rPr>
        <w:t>(</w:t>
      </w:r>
      <w:r w:rsidR="00E26DDB" w:rsidRPr="003A2F86">
        <w:rPr>
          <w:rFonts w:ascii="Arial" w:hAnsi="Arial" w:cs="Arial"/>
          <w:sz w:val="18"/>
          <w:szCs w:val="18"/>
        </w:rPr>
        <w:t>€)</w:t>
      </w:r>
      <w:r w:rsidR="0075731E" w:rsidRPr="003A2F86">
        <w:rPr>
          <w:rFonts w:ascii="Arial" w:hAnsi="Arial" w:cs="Arial"/>
          <w:sz w:val="18"/>
          <w:szCs w:val="18"/>
        </w:rPr>
        <w:t>:</w:t>
      </w:r>
      <w:r w:rsidR="006A7B7F" w:rsidRPr="003A2F86">
        <w:rPr>
          <w:rFonts w:ascii="Arial" w:hAnsi="Arial" w:cs="Arial"/>
          <w:sz w:val="18"/>
          <w:szCs w:val="18"/>
        </w:rPr>
        <w:t xml:space="preserve"> </w:t>
      </w:r>
      <w:r w:rsidR="0075731E" w:rsidRPr="00260628">
        <w:rPr>
          <w:rFonts w:ascii="Arial" w:hAnsi="Arial" w:cs="Arial"/>
          <w:color w:val="1F497D" w:themeColor="text2"/>
          <w:sz w:val="18"/>
          <w:szCs w:val="18"/>
        </w:rPr>
        <w:t xml:space="preserve">Općina </w:t>
      </w:r>
      <w:r w:rsidR="0075731E" w:rsidRPr="003A2F86">
        <w:rPr>
          <w:rFonts w:ascii="Arial" w:hAnsi="Arial" w:cs="Arial"/>
          <w:sz w:val="18"/>
          <w:szCs w:val="18"/>
        </w:rPr>
        <w:t xml:space="preserve">i </w:t>
      </w:r>
      <w:r w:rsidR="0097596B" w:rsidRPr="003A2F86">
        <w:rPr>
          <w:rFonts w:ascii="Arial" w:hAnsi="Arial" w:cs="Arial"/>
          <w:sz w:val="18"/>
          <w:szCs w:val="18"/>
        </w:rPr>
        <w:t xml:space="preserve">zbirno </w:t>
      </w:r>
      <w:r w:rsidR="0075731E" w:rsidRPr="00260628">
        <w:rPr>
          <w:rFonts w:ascii="Arial" w:hAnsi="Arial" w:cs="Arial"/>
          <w:color w:val="943634" w:themeColor="accent2" w:themeShade="BF"/>
          <w:sz w:val="18"/>
          <w:szCs w:val="18"/>
        </w:rPr>
        <w:t>proračunski korisnici</w:t>
      </w:r>
      <w:r w:rsidR="0075731E" w:rsidRPr="00260628">
        <w:rPr>
          <w:rFonts w:ascii="Arial" w:hAnsi="Arial" w:cs="Arial"/>
          <w:color w:val="943634" w:themeColor="accent2" w:themeShade="BF"/>
        </w:rPr>
        <w:t xml:space="preserve"> </w:t>
      </w:r>
      <w:r w:rsidR="0075731E" w:rsidRPr="003A2F86">
        <w:rPr>
          <w:rFonts w:ascii="Arial" w:hAnsi="Arial" w:cs="Arial"/>
          <w:sz w:val="18"/>
          <w:szCs w:val="18"/>
        </w:rPr>
        <w:t>Općine</w:t>
      </w:r>
      <w:bookmarkEnd w:id="208"/>
      <w:r w:rsidR="0075731E" w:rsidRPr="003A2F86">
        <w:rPr>
          <w:rFonts w:ascii="Arial" w:hAnsi="Arial" w:cs="Arial"/>
        </w:rPr>
        <w:t xml:space="preserve"> </w:t>
      </w:r>
    </w:p>
    <w:p w14:paraId="2A95FAA4" w14:textId="56BD38D3" w:rsidR="00CF3FDD" w:rsidRPr="003A2F86" w:rsidRDefault="00CF3FDD"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4379E1F" w14:textId="16266A58" w:rsidR="00891119" w:rsidRPr="003A2F86" w:rsidRDefault="00B5484A" w:rsidP="00B5484A">
      <w:pPr>
        <w:pStyle w:val="Naslov4"/>
        <w:rPr>
          <w:rFonts w:ascii="Arial" w:hAnsi="Arial" w:cs="Arial"/>
          <w:lang w:val="hr-HR"/>
        </w:rPr>
      </w:pPr>
      <w:bookmarkStart w:id="209" w:name="_Toc207707438"/>
      <w:r w:rsidRPr="003A2F86">
        <w:rPr>
          <w:rFonts w:ascii="Arial" w:hAnsi="Arial" w:cs="Arial"/>
          <w:lang w:val="hr-HR"/>
        </w:rPr>
        <w:t>2.4.4.</w:t>
      </w:r>
      <w:r w:rsidR="00891119" w:rsidRPr="003A2F86">
        <w:rPr>
          <w:rFonts w:ascii="Arial" w:hAnsi="Arial" w:cs="Arial"/>
          <w:lang w:val="hr-HR"/>
        </w:rPr>
        <w:t xml:space="preserve">1. </w:t>
      </w:r>
      <w:r w:rsidR="00891119" w:rsidRPr="003A2F86">
        <w:rPr>
          <w:rFonts w:ascii="Arial" w:hAnsi="Arial" w:cs="Arial"/>
          <w:lang w:val="hr-HR"/>
        </w:rPr>
        <w:tab/>
        <w:t>Rashodi za nabavu neproizvedene dugotrajne imovine</w:t>
      </w:r>
      <w:r w:rsidRPr="003A2F86">
        <w:rPr>
          <w:rFonts w:ascii="Arial" w:hAnsi="Arial" w:cs="Arial"/>
          <w:lang w:val="hr-HR"/>
        </w:rPr>
        <w:t xml:space="preserve"> (41)</w:t>
      </w:r>
      <w:bookmarkEnd w:id="209"/>
    </w:p>
    <w:p w14:paraId="34B9C4E2"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009477F" w14:textId="41DCD732" w:rsidR="004807FD" w:rsidRDefault="004807FD" w:rsidP="00480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807FD">
        <w:rPr>
          <w:rFonts w:ascii="Arial" w:eastAsia="Times New Roman" w:hAnsi="Arial" w:cs="Arial"/>
        </w:rPr>
        <w:t>Rashodi za nabavu ne</w:t>
      </w:r>
      <w:r w:rsidRPr="004807FD">
        <w:rPr>
          <w:rFonts w:ascii="Arial" w:eastAsia="Times New Roman" w:hAnsi="Arial" w:cs="Arial"/>
          <w:iCs/>
        </w:rPr>
        <w:t>proizvedene dugotrajne imovine</w:t>
      </w:r>
      <w:r w:rsidRPr="004807FD">
        <w:rPr>
          <w:rFonts w:ascii="Arial" w:eastAsia="Times New Roman" w:hAnsi="Arial" w:cs="Arial"/>
        </w:rPr>
        <w:t xml:space="preserve"> </w:t>
      </w:r>
      <w:r w:rsidRPr="004807FD">
        <w:rPr>
          <w:rFonts w:ascii="Arial" w:eastAsia="Times New Roman" w:hAnsi="Arial" w:cs="Arial"/>
          <w:iCs/>
        </w:rPr>
        <w:t xml:space="preserve">(41) </w:t>
      </w:r>
      <w:r w:rsidRPr="004807FD">
        <w:rPr>
          <w:rFonts w:ascii="Arial" w:eastAsia="Times New Roman" w:hAnsi="Arial" w:cs="Arial"/>
        </w:rPr>
        <w:t>u izvještajnom razdoblju prethodne 202</w:t>
      </w:r>
      <w:r w:rsidR="00091D90">
        <w:rPr>
          <w:rFonts w:ascii="Arial" w:eastAsia="Times New Roman" w:hAnsi="Arial" w:cs="Arial"/>
        </w:rPr>
        <w:t>4</w:t>
      </w:r>
      <w:r w:rsidRPr="004807FD">
        <w:rPr>
          <w:rFonts w:ascii="Arial" w:eastAsia="Times New Roman" w:hAnsi="Arial" w:cs="Arial"/>
        </w:rPr>
        <w:t xml:space="preserve">. su bili izvršeni u iznosu </w:t>
      </w:r>
      <w:r w:rsidR="00091D90">
        <w:rPr>
          <w:rFonts w:ascii="Arial" w:eastAsia="Times New Roman" w:hAnsi="Arial" w:cs="Arial"/>
        </w:rPr>
        <w:t>25.000</w:t>
      </w:r>
      <w:r w:rsidRPr="004807FD">
        <w:rPr>
          <w:rFonts w:ascii="Arial" w:eastAsia="Times New Roman" w:hAnsi="Arial" w:cs="Arial"/>
        </w:rPr>
        <w:t xml:space="preserve"> € (</w:t>
      </w:r>
      <w:r w:rsidR="00091D90" w:rsidRPr="00091D90">
        <w:rPr>
          <w:rFonts w:ascii="Arial" w:eastAsia="Times New Roman" w:hAnsi="Arial" w:cs="Arial"/>
        </w:rPr>
        <w:t>nabav</w:t>
      </w:r>
      <w:r w:rsidR="00091D90">
        <w:rPr>
          <w:rFonts w:ascii="Arial" w:eastAsia="Times New Roman" w:hAnsi="Arial" w:cs="Arial"/>
        </w:rPr>
        <w:t>a</w:t>
      </w:r>
      <w:r w:rsidR="00091D90" w:rsidRPr="00091D90">
        <w:rPr>
          <w:rFonts w:ascii="Arial" w:eastAsia="Times New Roman" w:hAnsi="Arial" w:cs="Arial"/>
        </w:rPr>
        <w:t xml:space="preserve"> zemljišta za izgradnju boćarskog doma</w:t>
      </w:r>
      <w:r w:rsidRPr="004807FD">
        <w:rPr>
          <w:rFonts w:ascii="Arial" w:eastAsia="Times New Roman" w:hAnsi="Arial" w:cs="Arial"/>
        </w:rPr>
        <w:t xml:space="preserve">), dok u </w:t>
      </w:r>
      <w:r w:rsidR="00C175AC">
        <w:rPr>
          <w:rFonts w:ascii="Arial" w:eastAsia="Times New Roman" w:hAnsi="Arial" w:cs="Arial"/>
        </w:rPr>
        <w:t>202</w:t>
      </w:r>
      <w:r w:rsidR="00091D90">
        <w:rPr>
          <w:rFonts w:ascii="Arial" w:eastAsia="Times New Roman" w:hAnsi="Arial" w:cs="Arial"/>
        </w:rPr>
        <w:t>5</w:t>
      </w:r>
      <w:r w:rsidR="00C175AC">
        <w:rPr>
          <w:rFonts w:ascii="Arial" w:eastAsia="Times New Roman" w:hAnsi="Arial" w:cs="Arial"/>
        </w:rPr>
        <w:t>.</w:t>
      </w:r>
      <w:r w:rsidRPr="004807FD">
        <w:rPr>
          <w:rFonts w:ascii="Arial" w:eastAsia="Times New Roman" w:hAnsi="Arial" w:cs="Arial"/>
        </w:rPr>
        <w:t xml:space="preserve"> godini ovi rashodi </w:t>
      </w:r>
      <w:r w:rsidR="00091D90">
        <w:rPr>
          <w:rFonts w:ascii="Arial" w:eastAsia="Times New Roman" w:hAnsi="Arial" w:cs="Arial"/>
        </w:rPr>
        <w:t xml:space="preserve">nisu </w:t>
      </w:r>
      <w:r w:rsidRPr="004807FD">
        <w:rPr>
          <w:rFonts w:ascii="Arial" w:eastAsia="Times New Roman" w:hAnsi="Arial" w:cs="Arial"/>
        </w:rPr>
        <w:t>izvršeni</w:t>
      </w:r>
      <w:r w:rsidR="00091D90">
        <w:rPr>
          <w:rFonts w:ascii="Arial" w:eastAsia="Times New Roman" w:hAnsi="Arial" w:cs="Arial"/>
        </w:rPr>
        <w:t>.</w:t>
      </w:r>
    </w:p>
    <w:p w14:paraId="6626559D" w14:textId="77777777" w:rsidR="004807FD" w:rsidRPr="004807FD" w:rsidRDefault="004807FD" w:rsidP="00480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p>
    <w:p w14:paraId="755C0E41" w14:textId="247ED9D1" w:rsidR="00891119" w:rsidRPr="003A2F86" w:rsidRDefault="00B5484A" w:rsidP="00B5484A">
      <w:pPr>
        <w:pStyle w:val="Naslov4"/>
        <w:rPr>
          <w:rFonts w:ascii="Arial" w:hAnsi="Arial" w:cs="Arial"/>
          <w:lang w:val="hr-HR"/>
        </w:rPr>
      </w:pPr>
      <w:bookmarkStart w:id="210" w:name="_Toc207707439"/>
      <w:r w:rsidRPr="003A2F86">
        <w:rPr>
          <w:rFonts w:ascii="Arial" w:hAnsi="Arial" w:cs="Arial"/>
          <w:lang w:val="hr-HR"/>
        </w:rPr>
        <w:t>2.4.4.</w:t>
      </w:r>
      <w:r w:rsidR="00891119" w:rsidRPr="003A2F86">
        <w:rPr>
          <w:rFonts w:ascii="Arial" w:hAnsi="Arial" w:cs="Arial"/>
          <w:lang w:val="hr-HR"/>
        </w:rPr>
        <w:t xml:space="preserve">2. </w:t>
      </w:r>
      <w:r w:rsidR="00891119" w:rsidRPr="003A2F86">
        <w:rPr>
          <w:rFonts w:ascii="Arial" w:hAnsi="Arial" w:cs="Arial"/>
          <w:lang w:val="hr-HR"/>
        </w:rPr>
        <w:tab/>
        <w:t>Rashodi za nabavu proizvedene dugotrajne imovine</w:t>
      </w:r>
      <w:r w:rsidRPr="003A2F86">
        <w:rPr>
          <w:rFonts w:ascii="Arial" w:hAnsi="Arial" w:cs="Arial"/>
          <w:lang w:val="hr-HR"/>
        </w:rPr>
        <w:t xml:space="preserve"> (42)</w:t>
      </w:r>
      <w:bookmarkEnd w:id="210"/>
    </w:p>
    <w:p w14:paraId="679BC44E" w14:textId="3C5C8278"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4060C70" w14:textId="6BC339B5" w:rsidR="004807FD" w:rsidRPr="004807FD" w:rsidRDefault="004807FD" w:rsidP="00480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4807FD">
        <w:rPr>
          <w:rFonts w:ascii="Arial" w:eastAsia="Times New Roman" w:hAnsi="Arial" w:cs="Arial"/>
        </w:rPr>
        <w:t xml:space="preserve">Rashodi za nabavu </w:t>
      </w:r>
      <w:r w:rsidRPr="004807FD">
        <w:rPr>
          <w:rFonts w:ascii="Arial" w:eastAsia="Times New Roman" w:hAnsi="Arial" w:cs="Arial"/>
          <w:iCs/>
        </w:rPr>
        <w:t>proizvedene dugotrajne imovine</w:t>
      </w:r>
      <w:r w:rsidRPr="004807FD">
        <w:rPr>
          <w:rFonts w:ascii="Arial" w:eastAsia="Times New Roman" w:hAnsi="Arial" w:cs="Arial"/>
        </w:rPr>
        <w:t xml:space="preserve"> </w:t>
      </w:r>
      <w:r w:rsidRPr="004807FD">
        <w:rPr>
          <w:rFonts w:ascii="Arial" w:eastAsia="Times New Roman" w:hAnsi="Arial" w:cs="Arial"/>
          <w:iCs/>
        </w:rPr>
        <w:t>(</w:t>
      </w:r>
      <w:r w:rsidRPr="004807FD">
        <w:rPr>
          <w:rFonts w:ascii="Arial" w:eastAsia="Times New Roman" w:hAnsi="Arial" w:cs="Arial"/>
          <w:b/>
          <w:bCs/>
          <w:iCs/>
        </w:rPr>
        <w:t>42</w:t>
      </w:r>
      <w:r w:rsidRPr="004807FD">
        <w:rPr>
          <w:rFonts w:ascii="Arial" w:eastAsia="Times New Roman" w:hAnsi="Arial" w:cs="Arial"/>
          <w:iCs/>
        </w:rPr>
        <w:t>)</w:t>
      </w:r>
      <w:r w:rsidRPr="004807FD">
        <w:rPr>
          <w:rFonts w:ascii="Arial" w:eastAsia="Times New Roman" w:hAnsi="Arial" w:cs="Arial"/>
        </w:rPr>
        <w:t xml:space="preserve"> u 202</w:t>
      </w:r>
      <w:r w:rsidR="00091D90">
        <w:rPr>
          <w:rFonts w:ascii="Arial" w:eastAsia="Times New Roman" w:hAnsi="Arial" w:cs="Arial"/>
        </w:rPr>
        <w:t>5</w:t>
      </w:r>
      <w:r w:rsidRPr="004807FD">
        <w:rPr>
          <w:rFonts w:ascii="Arial" w:eastAsia="Times New Roman" w:hAnsi="Arial" w:cs="Arial"/>
        </w:rPr>
        <w:t xml:space="preserve">. godini iznose </w:t>
      </w:r>
      <w:r w:rsidR="00091D90">
        <w:rPr>
          <w:rFonts w:ascii="Arial" w:eastAsia="Times New Roman" w:hAnsi="Arial" w:cs="Arial"/>
        </w:rPr>
        <w:t>3.443.649,35</w:t>
      </w:r>
      <w:r w:rsidRPr="004807FD">
        <w:rPr>
          <w:rFonts w:ascii="Arial" w:eastAsia="Times New Roman" w:hAnsi="Arial" w:cs="Arial"/>
        </w:rPr>
        <w:t xml:space="preserve"> €. Izvršeni rashodi se odnose na ulaganja u građevinske objekte (421) u iznosu </w:t>
      </w:r>
      <w:r w:rsidR="00091D90">
        <w:rPr>
          <w:rFonts w:ascii="Arial" w:eastAsia="Times New Roman" w:hAnsi="Arial" w:cs="Arial"/>
        </w:rPr>
        <w:t>2.894.634,27</w:t>
      </w:r>
      <w:r w:rsidRPr="004807FD">
        <w:rPr>
          <w:rFonts w:ascii="Arial" w:eastAsia="Times New Roman" w:hAnsi="Arial" w:cs="Arial"/>
        </w:rPr>
        <w:t xml:space="preserve"> €, rashode za opremu (422) u iznosu </w:t>
      </w:r>
      <w:r w:rsidR="00091D90">
        <w:rPr>
          <w:rFonts w:ascii="Arial" w:eastAsia="Times New Roman" w:hAnsi="Arial" w:cs="Arial"/>
        </w:rPr>
        <w:t>167.519,39</w:t>
      </w:r>
      <w:r w:rsidRPr="004807FD">
        <w:rPr>
          <w:rFonts w:ascii="Arial" w:eastAsia="Times New Roman" w:hAnsi="Arial" w:cs="Arial"/>
        </w:rPr>
        <w:t xml:space="preserve"> €, rashodi za nabavu prijevoznih sredstava </w:t>
      </w:r>
      <w:r w:rsidR="00091D90">
        <w:rPr>
          <w:rFonts w:ascii="Arial" w:eastAsia="Times New Roman" w:hAnsi="Arial" w:cs="Arial"/>
        </w:rPr>
        <w:t>272.333,75</w:t>
      </w:r>
      <w:r w:rsidRPr="004807FD">
        <w:rPr>
          <w:rFonts w:ascii="Arial" w:eastAsia="Times New Roman" w:hAnsi="Arial" w:cs="Arial"/>
        </w:rPr>
        <w:t xml:space="preserve"> €, rashode za umjetnička djela i ostale izložbene vrijednosti </w:t>
      </w:r>
      <w:r w:rsidR="00091D90">
        <w:rPr>
          <w:rFonts w:ascii="Arial" w:eastAsia="Times New Roman" w:hAnsi="Arial" w:cs="Arial"/>
        </w:rPr>
        <w:t>20.180</w:t>
      </w:r>
      <w:r w:rsidRPr="004807FD">
        <w:rPr>
          <w:rFonts w:ascii="Arial" w:eastAsia="Times New Roman" w:hAnsi="Arial" w:cs="Arial"/>
        </w:rPr>
        <w:t xml:space="preserve"> €, te rashode za znanstvene radove i dokumentaciju (426 - projektna dokumentacija i računalni programi) u iznosu </w:t>
      </w:r>
      <w:r w:rsidR="00091D90">
        <w:rPr>
          <w:rFonts w:ascii="Arial" w:eastAsia="Times New Roman" w:hAnsi="Arial" w:cs="Arial"/>
        </w:rPr>
        <w:t>88.981,94</w:t>
      </w:r>
      <w:r w:rsidRPr="004807FD">
        <w:rPr>
          <w:rFonts w:ascii="Arial" w:eastAsia="Times New Roman" w:hAnsi="Arial" w:cs="Arial"/>
        </w:rPr>
        <w:t xml:space="preserve"> €. </w:t>
      </w:r>
    </w:p>
    <w:p w14:paraId="089E4F7F" w14:textId="77777777" w:rsidR="004807FD" w:rsidRPr="00260628" w:rsidRDefault="004807FD" w:rsidP="000E3F0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1A81BA17" w14:textId="3DCE300A" w:rsidR="007F46FA" w:rsidRPr="003A2F86" w:rsidRDefault="007F46FA" w:rsidP="00C175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r w:rsidRPr="003A2F86">
        <w:rPr>
          <w:rFonts w:ascii="Arial" w:hAnsi="Arial" w:cs="Arial"/>
          <w:sz w:val="18"/>
          <w:szCs w:val="18"/>
        </w:rPr>
        <w:t xml:space="preserve">Rashodi za nabavu </w:t>
      </w:r>
      <w:r w:rsidRPr="003A2F86">
        <w:rPr>
          <w:rFonts w:ascii="Arial" w:hAnsi="Arial" w:cs="Arial"/>
          <w:iCs/>
          <w:sz w:val="18"/>
          <w:szCs w:val="18"/>
        </w:rPr>
        <w:t>proizvedene dugotrajne imovine</w:t>
      </w:r>
      <w:r w:rsidRPr="003A2F86">
        <w:rPr>
          <w:rFonts w:ascii="Arial" w:hAnsi="Arial" w:cs="Arial"/>
          <w:sz w:val="18"/>
          <w:szCs w:val="18"/>
        </w:rPr>
        <w:t xml:space="preserve"> </w:t>
      </w:r>
      <w:r w:rsidRPr="003A2F86">
        <w:rPr>
          <w:rFonts w:ascii="Arial" w:hAnsi="Arial" w:cs="Arial"/>
          <w:iCs/>
          <w:sz w:val="18"/>
          <w:szCs w:val="18"/>
        </w:rPr>
        <w:t>(</w:t>
      </w:r>
      <w:r w:rsidRPr="003A2F86">
        <w:rPr>
          <w:rFonts w:ascii="Arial" w:hAnsi="Arial" w:cs="Arial"/>
          <w:b/>
          <w:bCs/>
          <w:iCs/>
          <w:sz w:val="18"/>
          <w:szCs w:val="18"/>
        </w:rPr>
        <w:t>42</w:t>
      </w:r>
      <w:r w:rsidRPr="003A2F86">
        <w:rPr>
          <w:rFonts w:ascii="Arial" w:hAnsi="Arial" w:cs="Arial"/>
          <w:iCs/>
          <w:sz w:val="18"/>
          <w:szCs w:val="18"/>
        </w:rPr>
        <w:t>)</w:t>
      </w:r>
      <w:r w:rsidRPr="003A2F86">
        <w:rPr>
          <w:rFonts w:ascii="Arial" w:hAnsi="Arial" w:cs="Arial"/>
          <w:sz w:val="18"/>
          <w:szCs w:val="18"/>
        </w:rPr>
        <w:t xml:space="preserve"> </w:t>
      </w:r>
      <w:r w:rsidR="007A4A71" w:rsidRPr="003A2F86">
        <w:rPr>
          <w:rFonts w:ascii="Arial" w:hAnsi="Arial" w:cs="Arial"/>
          <w:sz w:val="18"/>
          <w:szCs w:val="18"/>
        </w:rPr>
        <w:t xml:space="preserve">sveukupno </w:t>
      </w:r>
      <w:r w:rsidRPr="003A2F86">
        <w:rPr>
          <w:rFonts w:ascii="Arial" w:hAnsi="Arial" w:cs="Arial"/>
          <w:sz w:val="18"/>
          <w:szCs w:val="18"/>
        </w:rPr>
        <w:t xml:space="preserve">u </w:t>
      </w:r>
      <w:r w:rsidRPr="00091D90">
        <w:rPr>
          <w:rFonts w:ascii="Arial" w:hAnsi="Arial" w:cs="Arial"/>
          <w:b/>
          <w:bCs/>
          <w:sz w:val="18"/>
          <w:szCs w:val="18"/>
          <w:u w:val="single"/>
        </w:rPr>
        <w:t>2023</w:t>
      </w:r>
      <w:r w:rsidRPr="003A2F86">
        <w:rPr>
          <w:rFonts w:ascii="Arial" w:hAnsi="Arial" w:cs="Arial"/>
          <w:sz w:val="18"/>
          <w:szCs w:val="18"/>
        </w:rPr>
        <w:t xml:space="preserve">. godini </w:t>
      </w:r>
      <w:r w:rsidR="004807FD">
        <w:rPr>
          <w:rFonts w:ascii="Arial" w:hAnsi="Arial" w:cs="Arial"/>
          <w:sz w:val="18"/>
          <w:szCs w:val="18"/>
        </w:rPr>
        <w:t>su iznosili</w:t>
      </w:r>
      <w:r w:rsidRPr="003A2F86">
        <w:rPr>
          <w:rFonts w:ascii="Arial" w:hAnsi="Arial" w:cs="Arial"/>
          <w:sz w:val="18"/>
          <w:szCs w:val="18"/>
        </w:rPr>
        <w:t xml:space="preserve"> 572.692,67 €</w:t>
      </w:r>
      <w:r w:rsidR="007A4A71" w:rsidRPr="003A2F86">
        <w:rPr>
          <w:rFonts w:ascii="Arial" w:hAnsi="Arial" w:cs="Arial"/>
          <w:sz w:val="18"/>
          <w:szCs w:val="18"/>
        </w:rPr>
        <w:t xml:space="preserve">, a odnosili su se na </w:t>
      </w:r>
      <w:r w:rsidRPr="003A2F86">
        <w:rPr>
          <w:rFonts w:ascii="Arial" w:hAnsi="Arial" w:cs="Arial"/>
          <w:sz w:val="18"/>
          <w:szCs w:val="18"/>
        </w:rPr>
        <w:t>ulaganja u građevinske objekte (421) u iznosu 189.676,78 €, rashode za opremu (422) u iznosu 135.679,61 €, nabavu umjetničkih vrijednosti (424) u iznosu 6.717 € i rashode za znanstvene radove i dokumentaciju (426 - projektna dokumentacija) u iznosu 240.619,28 €, dok nije bilo rashoda za nabavu prijevoznih sredstava (423).</w:t>
      </w:r>
    </w:p>
    <w:p w14:paraId="6A1CEBED" w14:textId="77777777" w:rsidR="00091D90" w:rsidRDefault="00091D90" w:rsidP="007F46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18"/>
          <w:szCs w:val="18"/>
        </w:rPr>
      </w:pPr>
    </w:p>
    <w:p w14:paraId="518EC76A" w14:textId="5CF97B5A" w:rsidR="00091D90" w:rsidRPr="00091D90" w:rsidRDefault="00091D90" w:rsidP="00091D9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091D90">
        <w:rPr>
          <w:rFonts w:ascii="Arial" w:eastAsia="Times New Roman" w:hAnsi="Arial" w:cs="Arial"/>
          <w:sz w:val="18"/>
          <w:szCs w:val="18"/>
        </w:rPr>
        <w:t xml:space="preserve">Rashodi za nabavu </w:t>
      </w:r>
      <w:r w:rsidRPr="00091D90">
        <w:rPr>
          <w:rFonts w:ascii="Arial" w:eastAsia="Times New Roman" w:hAnsi="Arial" w:cs="Arial"/>
          <w:iCs/>
          <w:sz w:val="18"/>
          <w:szCs w:val="18"/>
        </w:rPr>
        <w:t>proizvedene dugotrajne imovine</w:t>
      </w:r>
      <w:r w:rsidRPr="00091D90">
        <w:rPr>
          <w:rFonts w:ascii="Arial" w:eastAsia="Times New Roman" w:hAnsi="Arial" w:cs="Arial"/>
          <w:sz w:val="18"/>
          <w:szCs w:val="18"/>
        </w:rPr>
        <w:t xml:space="preserve"> </w:t>
      </w:r>
      <w:r w:rsidRPr="00091D90">
        <w:rPr>
          <w:rFonts w:ascii="Arial" w:eastAsia="Times New Roman" w:hAnsi="Arial" w:cs="Arial"/>
          <w:iCs/>
          <w:sz w:val="18"/>
          <w:szCs w:val="18"/>
        </w:rPr>
        <w:t>(</w:t>
      </w:r>
      <w:r w:rsidRPr="00091D90">
        <w:rPr>
          <w:rFonts w:ascii="Arial" w:eastAsia="Times New Roman" w:hAnsi="Arial" w:cs="Arial"/>
          <w:b/>
          <w:bCs/>
          <w:iCs/>
          <w:sz w:val="18"/>
          <w:szCs w:val="18"/>
        </w:rPr>
        <w:t>42</w:t>
      </w:r>
      <w:r w:rsidRPr="00091D90">
        <w:rPr>
          <w:rFonts w:ascii="Arial" w:eastAsia="Times New Roman" w:hAnsi="Arial" w:cs="Arial"/>
          <w:iCs/>
          <w:sz w:val="18"/>
          <w:szCs w:val="18"/>
        </w:rPr>
        <w:t>)</w:t>
      </w:r>
      <w:r w:rsidRPr="00091D90">
        <w:rPr>
          <w:rFonts w:ascii="Arial" w:eastAsia="Times New Roman" w:hAnsi="Arial" w:cs="Arial"/>
          <w:sz w:val="18"/>
          <w:szCs w:val="18"/>
        </w:rPr>
        <w:t xml:space="preserve"> u </w:t>
      </w:r>
      <w:r w:rsidRPr="00091D90">
        <w:rPr>
          <w:rFonts w:ascii="Arial" w:eastAsia="Times New Roman" w:hAnsi="Arial" w:cs="Arial"/>
          <w:b/>
          <w:bCs/>
          <w:sz w:val="18"/>
          <w:szCs w:val="18"/>
          <w:u w:val="single"/>
        </w:rPr>
        <w:t>2024</w:t>
      </w:r>
      <w:r w:rsidRPr="00091D90">
        <w:rPr>
          <w:rFonts w:ascii="Arial" w:eastAsia="Times New Roman" w:hAnsi="Arial" w:cs="Arial"/>
          <w:sz w:val="18"/>
          <w:szCs w:val="18"/>
        </w:rPr>
        <w:t xml:space="preserve">. godini </w:t>
      </w:r>
      <w:r>
        <w:rPr>
          <w:rFonts w:ascii="Arial" w:eastAsia="Times New Roman" w:hAnsi="Arial" w:cs="Arial"/>
          <w:sz w:val="18"/>
          <w:szCs w:val="18"/>
        </w:rPr>
        <w:t>su iznosili</w:t>
      </w:r>
      <w:r w:rsidRPr="00091D90">
        <w:rPr>
          <w:rFonts w:ascii="Arial" w:eastAsia="Times New Roman" w:hAnsi="Arial" w:cs="Arial"/>
          <w:sz w:val="18"/>
          <w:szCs w:val="18"/>
        </w:rPr>
        <w:t xml:space="preserve"> 2.607.416,01 €</w:t>
      </w:r>
      <w:r>
        <w:rPr>
          <w:rFonts w:ascii="Arial" w:eastAsia="Times New Roman" w:hAnsi="Arial" w:cs="Arial"/>
          <w:sz w:val="18"/>
          <w:szCs w:val="18"/>
        </w:rPr>
        <w:t>, a odnosili su se na u</w:t>
      </w:r>
      <w:r w:rsidRPr="00091D90">
        <w:rPr>
          <w:rFonts w:ascii="Arial" w:eastAsia="Times New Roman" w:hAnsi="Arial" w:cs="Arial"/>
          <w:sz w:val="18"/>
          <w:szCs w:val="18"/>
        </w:rPr>
        <w:t xml:space="preserve">laganja u građevinske objekte (421) u iznosu 1.876.420,11 €, rashode za opremu (422) u iznosu 303.321,46 €, rashodi za nabavu prijevoznih sredstava 229.125 €, rashode za umjetnička djela i ostale izložbene vrijednosti 4.300 €, te rashode za znanstvene radove i dokumentaciju (426 - projektna dokumentacija i računalni programi) u iznosu 194.249,44 €. </w:t>
      </w:r>
    </w:p>
    <w:p w14:paraId="2CB908AE" w14:textId="77777777" w:rsidR="00091D90" w:rsidRPr="00260628" w:rsidRDefault="00091D90" w:rsidP="007F46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hAnsi="Arial" w:cs="Arial"/>
          <w:sz w:val="18"/>
          <w:szCs w:val="18"/>
        </w:rPr>
      </w:pPr>
    </w:p>
    <w:p w14:paraId="5041CCB5" w14:textId="5D07347A"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1F497D" w:themeColor="text2"/>
        </w:rPr>
      </w:pPr>
      <w:r w:rsidRPr="003A2F86">
        <w:rPr>
          <w:rFonts w:ascii="Arial" w:eastAsia="Times New Roman" w:hAnsi="Arial" w:cs="Arial"/>
          <w:color w:val="1F497D" w:themeColor="text2"/>
        </w:rPr>
        <w:t xml:space="preserve">U okviru ovih rashoda (42) na rashode općine </w:t>
      </w:r>
      <w:r w:rsidR="00091D90" w:rsidRPr="00091D90">
        <w:rPr>
          <w:rFonts w:ascii="Arial" w:eastAsia="Times New Roman" w:hAnsi="Arial" w:cs="Arial"/>
          <w:color w:val="1F497D" w:themeColor="text2"/>
          <w:u w:val="single"/>
        </w:rPr>
        <w:t>2025</w:t>
      </w:r>
      <w:r w:rsidR="00091D90">
        <w:rPr>
          <w:rFonts w:ascii="Arial" w:eastAsia="Times New Roman" w:hAnsi="Arial" w:cs="Arial"/>
          <w:color w:val="1F497D" w:themeColor="text2"/>
        </w:rPr>
        <w:t xml:space="preserve">. godine </w:t>
      </w:r>
      <w:r w:rsidRPr="003A2F86">
        <w:rPr>
          <w:rFonts w:ascii="Arial" w:eastAsia="Times New Roman" w:hAnsi="Arial" w:cs="Arial"/>
          <w:color w:val="1F497D" w:themeColor="text2"/>
        </w:rPr>
        <w:t xml:space="preserve">odnosi se </w:t>
      </w:r>
      <w:r w:rsidR="00091D90">
        <w:rPr>
          <w:rFonts w:ascii="Arial" w:eastAsia="Times New Roman" w:hAnsi="Arial" w:cs="Arial"/>
          <w:color w:val="1F497D" w:themeColor="text2"/>
        </w:rPr>
        <w:t>3.408.203,35</w:t>
      </w:r>
      <w:r w:rsidR="00215669" w:rsidRPr="003A2F86">
        <w:rPr>
          <w:rFonts w:ascii="Arial" w:eastAsia="Times New Roman" w:hAnsi="Arial" w:cs="Arial"/>
          <w:color w:val="1F497D" w:themeColor="text2"/>
        </w:rPr>
        <w:t xml:space="preserve"> €</w:t>
      </w:r>
      <w:r w:rsidRPr="003A2F86">
        <w:rPr>
          <w:rFonts w:ascii="Arial" w:eastAsia="Times New Roman" w:hAnsi="Arial" w:cs="Arial"/>
          <w:color w:val="1F497D" w:themeColor="text2"/>
        </w:rPr>
        <w:t xml:space="preserve">, a na rashode proračunskih korisnika </w:t>
      </w:r>
      <w:r w:rsidR="00091D90">
        <w:rPr>
          <w:rFonts w:ascii="Arial" w:eastAsia="Times New Roman" w:hAnsi="Arial" w:cs="Arial"/>
          <w:color w:val="1F497D" w:themeColor="text2"/>
        </w:rPr>
        <w:t>35.446,00</w:t>
      </w:r>
      <w:r w:rsidR="00215669" w:rsidRPr="003A2F86">
        <w:rPr>
          <w:rFonts w:ascii="Arial" w:eastAsia="Times New Roman" w:hAnsi="Arial" w:cs="Arial"/>
          <w:color w:val="1F497D" w:themeColor="text2"/>
        </w:rPr>
        <w:t xml:space="preserve"> €</w:t>
      </w:r>
      <w:r w:rsidRPr="003A2F86">
        <w:rPr>
          <w:rFonts w:ascii="Arial" w:eastAsia="Times New Roman" w:hAnsi="Arial" w:cs="Arial"/>
          <w:color w:val="1F497D" w:themeColor="text2"/>
        </w:rPr>
        <w:t xml:space="preserve">. </w:t>
      </w:r>
    </w:p>
    <w:p w14:paraId="692AB4B0" w14:textId="77777777" w:rsidR="00CF3FDD" w:rsidRDefault="00CF3FDD" w:rsidP="00E5147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5E0B61BD" w14:textId="3CACD1B0" w:rsidR="00B32CDB" w:rsidRPr="00B32CDB" w:rsidRDefault="00B32CDB" w:rsidP="00B32C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B32CDB">
        <w:rPr>
          <w:rFonts w:ascii="Arial" w:eastAsia="Times New Roman" w:hAnsi="Arial" w:cs="Arial"/>
          <w:b/>
          <w:bCs/>
        </w:rPr>
        <w:t>Rashodi Općine</w:t>
      </w:r>
      <w:r>
        <w:rPr>
          <w:rFonts w:ascii="Arial" w:eastAsia="Times New Roman" w:hAnsi="Arial" w:cs="Arial"/>
        </w:rPr>
        <w:t xml:space="preserve"> </w:t>
      </w:r>
      <w:r w:rsidRPr="00B32CDB">
        <w:rPr>
          <w:rFonts w:ascii="Arial" w:eastAsia="Times New Roman" w:hAnsi="Arial" w:cs="Arial"/>
        </w:rPr>
        <w:t xml:space="preserve">za nabavu </w:t>
      </w:r>
      <w:r w:rsidRPr="00B32CDB">
        <w:rPr>
          <w:rFonts w:ascii="Arial" w:eastAsia="Times New Roman" w:hAnsi="Arial" w:cs="Arial"/>
          <w:iCs/>
        </w:rPr>
        <w:t>proizvedene dugotrajne imovine</w:t>
      </w:r>
      <w:r w:rsidRPr="00B32CDB">
        <w:rPr>
          <w:rFonts w:ascii="Arial" w:eastAsia="Times New Roman" w:hAnsi="Arial" w:cs="Arial"/>
        </w:rPr>
        <w:t xml:space="preserve"> </w:t>
      </w:r>
      <w:r w:rsidRPr="00B32CDB">
        <w:rPr>
          <w:rFonts w:ascii="Arial" w:eastAsia="Times New Roman" w:hAnsi="Arial" w:cs="Arial"/>
          <w:iCs/>
        </w:rPr>
        <w:t>(42)</w:t>
      </w:r>
      <w:r w:rsidRPr="00B32CDB">
        <w:rPr>
          <w:rFonts w:ascii="Arial" w:eastAsia="Times New Roman" w:hAnsi="Arial" w:cs="Arial"/>
        </w:rPr>
        <w:t xml:space="preserve"> u 202</w:t>
      </w:r>
      <w:r w:rsidR="00091D90">
        <w:rPr>
          <w:rFonts w:ascii="Arial" w:eastAsia="Times New Roman" w:hAnsi="Arial" w:cs="Arial"/>
        </w:rPr>
        <w:t>5</w:t>
      </w:r>
      <w:r w:rsidRPr="00B32CDB">
        <w:rPr>
          <w:rFonts w:ascii="Arial" w:eastAsia="Times New Roman" w:hAnsi="Arial" w:cs="Arial"/>
        </w:rPr>
        <w:t xml:space="preserve">. godini iznose </w:t>
      </w:r>
      <w:r w:rsidR="00091D90">
        <w:rPr>
          <w:rFonts w:ascii="Arial" w:eastAsia="Times New Roman" w:hAnsi="Arial" w:cs="Arial"/>
        </w:rPr>
        <w:t>3.408.203,35</w:t>
      </w:r>
      <w:r w:rsidRPr="00B32CDB">
        <w:rPr>
          <w:rFonts w:ascii="Arial" w:eastAsia="Times New Roman" w:hAnsi="Arial" w:cs="Arial"/>
        </w:rPr>
        <w:t xml:space="preserve"> €. </w:t>
      </w:r>
      <w:bookmarkStart w:id="211" w:name="_Hlk5487264"/>
      <w:r w:rsidRPr="00B32CDB">
        <w:rPr>
          <w:rFonts w:ascii="Arial" w:eastAsia="Times New Roman" w:hAnsi="Arial" w:cs="Arial"/>
        </w:rPr>
        <w:t xml:space="preserve">Izvršeni rashodi se odnose na ulaganja u građevinske objekte (421) u iznosu </w:t>
      </w:r>
      <w:r w:rsidR="00091D90">
        <w:rPr>
          <w:rFonts w:ascii="Arial" w:eastAsia="Times New Roman" w:hAnsi="Arial" w:cs="Arial"/>
        </w:rPr>
        <w:t>2.894.634,27</w:t>
      </w:r>
      <w:r w:rsidRPr="00B32CDB">
        <w:rPr>
          <w:rFonts w:ascii="Arial" w:eastAsia="Times New Roman" w:hAnsi="Arial" w:cs="Arial"/>
        </w:rPr>
        <w:t xml:space="preserve"> €, rashode za opremu (422) u iznosu </w:t>
      </w:r>
      <w:r w:rsidR="00091D90">
        <w:rPr>
          <w:rFonts w:ascii="Arial" w:eastAsia="Times New Roman" w:hAnsi="Arial" w:cs="Arial"/>
        </w:rPr>
        <w:t>152.253,39</w:t>
      </w:r>
      <w:r w:rsidRPr="00B32CDB">
        <w:rPr>
          <w:rFonts w:ascii="Arial" w:eastAsia="Times New Roman" w:hAnsi="Arial" w:cs="Arial"/>
        </w:rPr>
        <w:t xml:space="preserve"> €, rashodi za nabavu prijevoznih sredstava </w:t>
      </w:r>
      <w:r w:rsidR="00091D90">
        <w:rPr>
          <w:rFonts w:ascii="Arial" w:eastAsia="Times New Roman" w:hAnsi="Arial" w:cs="Arial"/>
        </w:rPr>
        <w:t>272.333,75</w:t>
      </w:r>
      <w:r w:rsidRPr="00B32CDB">
        <w:rPr>
          <w:rFonts w:ascii="Arial" w:eastAsia="Times New Roman" w:hAnsi="Arial" w:cs="Arial"/>
        </w:rPr>
        <w:t xml:space="preserve"> €, te rashode za znanstvene radove i dokumentaciju (426 - projektna dokumentacija i računalni programi) u iznosu </w:t>
      </w:r>
      <w:r w:rsidR="00091D90">
        <w:rPr>
          <w:rFonts w:ascii="Arial" w:eastAsia="Times New Roman" w:hAnsi="Arial" w:cs="Arial"/>
        </w:rPr>
        <w:t>88.981,94</w:t>
      </w:r>
      <w:r w:rsidRPr="00B32CDB">
        <w:rPr>
          <w:rFonts w:ascii="Arial" w:eastAsia="Times New Roman" w:hAnsi="Arial" w:cs="Arial"/>
        </w:rPr>
        <w:t xml:space="preserve"> €. </w:t>
      </w:r>
    </w:p>
    <w:bookmarkEnd w:id="211"/>
    <w:p w14:paraId="7AB1ED65" w14:textId="77777777" w:rsidR="00B32CDB" w:rsidRDefault="00B32CDB" w:rsidP="002606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b/>
          <w:bCs/>
          <w:sz w:val="18"/>
          <w:szCs w:val="18"/>
        </w:rPr>
      </w:pPr>
    </w:p>
    <w:p w14:paraId="4F011933" w14:textId="44B6B031" w:rsidR="00B32CDB" w:rsidRPr="003A2F86" w:rsidRDefault="00B32CDB" w:rsidP="00C175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3A2F86">
        <w:rPr>
          <w:rFonts w:ascii="Arial" w:eastAsia="Times New Roman" w:hAnsi="Arial" w:cs="Arial"/>
          <w:b/>
          <w:bCs/>
          <w:sz w:val="18"/>
          <w:szCs w:val="18"/>
        </w:rPr>
        <w:t>Rashodi Općine</w:t>
      </w:r>
      <w:r w:rsidRPr="003A2F86">
        <w:rPr>
          <w:rFonts w:ascii="Arial" w:eastAsia="Times New Roman" w:hAnsi="Arial" w:cs="Arial"/>
          <w:sz w:val="18"/>
          <w:szCs w:val="18"/>
        </w:rPr>
        <w:t xml:space="preserve"> za nabavu </w:t>
      </w:r>
      <w:r w:rsidRPr="003A2F86">
        <w:rPr>
          <w:rFonts w:ascii="Arial" w:eastAsia="Times New Roman" w:hAnsi="Arial" w:cs="Arial"/>
          <w:iCs/>
          <w:sz w:val="18"/>
          <w:szCs w:val="18"/>
        </w:rPr>
        <w:t>proizvedene dugotrajne imovine</w:t>
      </w:r>
      <w:r w:rsidRPr="003A2F86">
        <w:rPr>
          <w:rFonts w:ascii="Arial" w:eastAsia="Times New Roman" w:hAnsi="Arial" w:cs="Arial"/>
          <w:sz w:val="18"/>
          <w:szCs w:val="18"/>
        </w:rPr>
        <w:t xml:space="preserve"> </w:t>
      </w:r>
      <w:r w:rsidRPr="003A2F86">
        <w:rPr>
          <w:rFonts w:ascii="Arial" w:eastAsia="Times New Roman" w:hAnsi="Arial" w:cs="Arial"/>
          <w:iCs/>
          <w:sz w:val="18"/>
          <w:szCs w:val="18"/>
        </w:rPr>
        <w:t>(42)</w:t>
      </w:r>
      <w:r w:rsidRPr="003A2F86">
        <w:rPr>
          <w:rFonts w:ascii="Arial" w:eastAsia="Times New Roman" w:hAnsi="Arial" w:cs="Arial"/>
          <w:sz w:val="18"/>
          <w:szCs w:val="18"/>
        </w:rPr>
        <w:t xml:space="preserve"> sveukupno u 2021. bili izvršeni u iznosu 591.159,43 €, a u 2022. godini su iznosili 2.150.744,34 €, u 2023. godini </w:t>
      </w:r>
      <w:r w:rsidR="00091D90">
        <w:rPr>
          <w:rFonts w:ascii="Arial" w:eastAsia="Times New Roman" w:hAnsi="Arial" w:cs="Arial"/>
          <w:sz w:val="18"/>
          <w:szCs w:val="18"/>
        </w:rPr>
        <w:t>su</w:t>
      </w:r>
      <w:r w:rsidRPr="003A2F86">
        <w:rPr>
          <w:rFonts w:ascii="Arial" w:eastAsia="Times New Roman" w:hAnsi="Arial" w:cs="Arial"/>
          <w:sz w:val="18"/>
          <w:szCs w:val="18"/>
        </w:rPr>
        <w:t xml:space="preserve"> iznosili 513.067,77 €</w:t>
      </w:r>
      <w:r w:rsidR="00091D90">
        <w:rPr>
          <w:rFonts w:ascii="Arial" w:eastAsia="Times New Roman" w:hAnsi="Arial" w:cs="Arial"/>
          <w:sz w:val="18"/>
          <w:szCs w:val="18"/>
        </w:rPr>
        <w:t>, dok su u 2024. godini iznosili 2.497.233,70 €.</w:t>
      </w:r>
    </w:p>
    <w:p w14:paraId="44093B76" w14:textId="77777777" w:rsidR="00B32CDB" w:rsidRPr="00260628" w:rsidRDefault="00B32CDB" w:rsidP="00E5147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2CCCB376" w14:textId="219DD9E0" w:rsidR="00936F31" w:rsidRPr="003A2F86" w:rsidRDefault="00936F31"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b/>
          <w:bCs/>
        </w:rPr>
        <w:t>Rashodi proračunskih korisnika</w:t>
      </w:r>
      <w:r w:rsidRPr="003A2F86">
        <w:rPr>
          <w:rFonts w:ascii="Arial" w:eastAsia="Times New Roman" w:hAnsi="Arial" w:cs="Arial"/>
        </w:rPr>
        <w:t xml:space="preserve"> </w:t>
      </w:r>
      <w:r w:rsidR="006C140A" w:rsidRPr="003A2F86">
        <w:rPr>
          <w:rFonts w:ascii="Arial" w:eastAsia="Times New Roman" w:hAnsi="Arial" w:cs="Arial"/>
        </w:rPr>
        <w:t>u 202</w:t>
      </w:r>
      <w:r w:rsidR="00A34118">
        <w:rPr>
          <w:rFonts w:ascii="Arial" w:eastAsia="Times New Roman" w:hAnsi="Arial" w:cs="Arial"/>
        </w:rPr>
        <w:t>5</w:t>
      </w:r>
      <w:r w:rsidR="006C140A" w:rsidRPr="003A2F86">
        <w:rPr>
          <w:rFonts w:ascii="Arial" w:eastAsia="Times New Roman" w:hAnsi="Arial" w:cs="Arial"/>
        </w:rPr>
        <w:t xml:space="preserve">. godini za nabavu </w:t>
      </w:r>
      <w:r w:rsidR="00B15038" w:rsidRPr="003A2F86">
        <w:rPr>
          <w:rFonts w:ascii="Arial" w:eastAsia="Times New Roman" w:hAnsi="Arial" w:cs="Arial"/>
        </w:rPr>
        <w:t xml:space="preserve">proizvedene dugotrajne imovine (42) </w:t>
      </w:r>
      <w:r w:rsidRPr="003A2F86">
        <w:rPr>
          <w:rFonts w:ascii="Arial" w:eastAsia="Times New Roman" w:hAnsi="Arial" w:cs="Arial"/>
        </w:rPr>
        <w:t xml:space="preserve">se odnose na nabavu opreme (422) </w:t>
      </w:r>
      <w:r w:rsidR="00A34118">
        <w:rPr>
          <w:rFonts w:ascii="Arial" w:eastAsia="Times New Roman" w:hAnsi="Arial" w:cs="Arial"/>
        </w:rPr>
        <w:t>35.446,00</w:t>
      </w:r>
      <w:r w:rsidR="006C140A" w:rsidRPr="003A2F86">
        <w:rPr>
          <w:rFonts w:ascii="Arial" w:eastAsia="Times New Roman" w:hAnsi="Arial" w:cs="Arial"/>
        </w:rPr>
        <w:t xml:space="preserve"> €</w:t>
      </w:r>
      <w:r w:rsidR="003332AB" w:rsidRPr="003A2F86">
        <w:rPr>
          <w:rFonts w:ascii="Arial" w:eastAsia="Times New Roman" w:hAnsi="Arial" w:cs="Arial"/>
        </w:rPr>
        <w:t>.</w:t>
      </w:r>
      <w:r w:rsidRPr="003A2F86">
        <w:rPr>
          <w:rFonts w:ascii="Arial" w:eastAsia="Times New Roman" w:hAnsi="Arial" w:cs="Arial"/>
        </w:rPr>
        <w:t xml:space="preserve"> </w:t>
      </w:r>
    </w:p>
    <w:p w14:paraId="039A9BE5" w14:textId="77777777" w:rsidR="006C140A" w:rsidRPr="003A2F86" w:rsidRDefault="006C140A" w:rsidP="00B54F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bookmarkStart w:id="212" w:name="_Hlk5487381"/>
      <w:bookmarkStart w:id="213" w:name="_Hlk65517617"/>
    </w:p>
    <w:p w14:paraId="11C65AB0" w14:textId="0EDC900B" w:rsidR="00B32CDB" w:rsidRPr="00B32CDB" w:rsidRDefault="00B32CDB" w:rsidP="00B32C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B32CDB">
        <w:rPr>
          <w:rFonts w:ascii="Arial" w:eastAsia="Times New Roman" w:hAnsi="Arial" w:cs="Arial"/>
          <w:b/>
        </w:rPr>
        <w:t>Rashodi za građevinske objekte (</w:t>
      </w:r>
      <w:r w:rsidRPr="00B32CDB">
        <w:rPr>
          <w:rFonts w:ascii="Arial" w:eastAsia="Times New Roman" w:hAnsi="Arial" w:cs="Arial"/>
        </w:rPr>
        <w:t>421</w:t>
      </w:r>
      <w:r w:rsidRPr="00B32CDB">
        <w:rPr>
          <w:rFonts w:ascii="Arial" w:eastAsia="Times New Roman" w:hAnsi="Arial" w:cs="Arial"/>
          <w:b/>
        </w:rPr>
        <w:t xml:space="preserve">) </w:t>
      </w:r>
      <w:r w:rsidRPr="00B32CDB">
        <w:rPr>
          <w:rFonts w:ascii="Arial" w:eastAsia="Times New Roman" w:hAnsi="Arial" w:cs="Arial"/>
        </w:rPr>
        <w:t>u 202</w:t>
      </w:r>
      <w:r w:rsidR="00A34118">
        <w:rPr>
          <w:rFonts w:ascii="Arial" w:eastAsia="Times New Roman" w:hAnsi="Arial" w:cs="Arial"/>
        </w:rPr>
        <w:t>5</w:t>
      </w:r>
      <w:r w:rsidRPr="00B32CDB">
        <w:rPr>
          <w:rFonts w:ascii="Arial" w:eastAsia="Times New Roman" w:hAnsi="Arial" w:cs="Arial"/>
        </w:rPr>
        <w:t xml:space="preserve">. godini </w:t>
      </w:r>
      <w:r>
        <w:rPr>
          <w:rFonts w:ascii="Arial" w:eastAsia="Times New Roman" w:hAnsi="Arial" w:cs="Arial"/>
        </w:rPr>
        <w:t>iznose</w:t>
      </w:r>
      <w:r w:rsidRPr="00B32CDB">
        <w:rPr>
          <w:rFonts w:ascii="Arial" w:eastAsia="Times New Roman" w:hAnsi="Arial" w:cs="Arial"/>
        </w:rPr>
        <w:t xml:space="preserve"> </w:t>
      </w:r>
      <w:r w:rsidR="00A34118">
        <w:rPr>
          <w:rFonts w:ascii="Arial" w:eastAsia="Times New Roman" w:hAnsi="Arial" w:cs="Arial"/>
        </w:rPr>
        <w:t>2.894.634,27</w:t>
      </w:r>
      <w:r w:rsidRPr="00B32CDB">
        <w:rPr>
          <w:rFonts w:ascii="Arial" w:eastAsia="Times New Roman" w:hAnsi="Arial" w:cs="Arial"/>
        </w:rPr>
        <w:t xml:space="preserve"> € što je za </w:t>
      </w:r>
      <w:r w:rsidR="00A34118">
        <w:rPr>
          <w:rFonts w:ascii="Arial" w:eastAsia="Times New Roman" w:hAnsi="Arial" w:cs="Arial"/>
        </w:rPr>
        <w:t>1.542.729,70</w:t>
      </w:r>
      <w:r w:rsidRPr="00B32CDB">
        <w:rPr>
          <w:rFonts w:ascii="Arial" w:eastAsia="Times New Roman" w:hAnsi="Arial" w:cs="Arial"/>
        </w:rPr>
        <w:t xml:space="preserve"> € ili </w:t>
      </w:r>
      <w:r w:rsidR="00A34118">
        <w:rPr>
          <w:rFonts w:ascii="Arial" w:eastAsia="Times New Roman" w:hAnsi="Arial" w:cs="Arial"/>
        </w:rPr>
        <w:t>114,1</w:t>
      </w:r>
      <w:r w:rsidRPr="00B32CDB">
        <w:rPr>
          <w:rFonts w:ascii="Arial" w:eastAsia="Times New Roman" w:hAnsi="Arial" w:cs="Arial"/>
        </w:rPr>
        <w:t xml:space="preserve">% više u odnosu na </w:t>
      </w:r>
      <w:r w:rsidR="00C175AC">
        <w:rPr>
          <w:rFonts w:ascii="Arial" w:eastAsia="Times New Roman" w:hAnsi="Arial" w:cs="Arial"/>
        </w:rPr>
        <w:t>202</w:t>
      </w:r>
      <w:r w:rsidR="00A34118">
        <w:rPr>
          <w:rFonts w:ascii="Arial" w:eastAsia="Times New Roman" w:hAnsi="Arial" w:cs="Arial"/>
        </w:rPr>
        <w:t>4</w:t>
      </w:r>
      <w:r w:rsidR="00C175AC">
        <w:rPr>
          <w:rFonts w:ascii="Arial" w:eastAsia="Times New Roman" w:hAnsi="Arial" w:cs="Arial"/>
        </w:rPr>
        <w:t>.</w:t>
      </w:r>
      <w:r w:rsidRPr="00B32CDB">
        <w:rPr>
          <w:rFonts w:ascii="Arial" w:eastAsia="Times New Roman" w:hAnsi="Arial" w:cs="Arial"/>
        </w:rPr>
        <w:t xml:space="preserve"> godinu. Vrijednosno najznačajnija ulaganja se odnose na:</w:t>
      </w:r>
    </w:p>
    <w:p w14:paraId="28A76734" w14:textId="392F03F7" w:rsidR="00A34118" w:rsidRPr="00A34118" w:rsidRDefault="00B32CDB" w:rsidP="00B32C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bookmarkStart w:id="214" w:name="_Hlk200541743"/>
      <w:r w:rsidRPr="00A34118">
        <w:rPr>
          <w:rFonts w:ascii="Arial" w:eastAsia="Calibri" w:hAnsi="Arial" w:cs="Arial"/>
          <w:lang w:eastAsia="en-US"/>
        </w:rPr>
        <w:t xml:space="preserve">- ulaganja u poslovne objekte (4212) u iznosu </w:t>
      </w:r>
      <w:r w:rsidR="00A34118" w:rsidRPr="00A34118">
        <w:rPr>
          <w:rFonts w:ascii="Arial" w:eastAsia="Calibri" w:hAnsi="Arial" w:cs="Arial"/>
          <w:lang w:eastAsia="en-US"/>
        </w:rPr>
        <w:t>2.480.541,07</w:t>
      </w:r>
      <w:r w:rsidRPr="00A34118">
        <w:rPr>
          <w:rFonts w:ascii="Arial" w:eastAsia="Calibri" w:hAnsi="Arial" w:cs="Arial"/>
          <w:lang w:eastAsia="en-US"/>
        </w:rPr>
        <w:t xml:space="preserve"> € i </w:t>
      </w:r>
      <w:r w:rsidR="00A34118" w:rsidRPr="00A34118">
        <w:rPr>
          <w:rFonts w:ascii="Arial" w:eastAsia="Calibri" w:hAnsi="Arial" w:cs="Arial"/>
          <w:lang w:eastAsia="en-US"/>
        </w:rPr>
        <w:t>u cijelosti se odnosi na izgradnju zgrade osnovne škole u Cavtatu,</w:t>
      </w:r>
    </w:p>
    <w:p w14:paraId="5365C19D" w14:textId="6ED39911" w:rsidR="00B32CDB" w:rsidRPr="00A34118" w:rsidRDefault="00B32CDB" w:rsidP="00B32C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215" w:name="_Hlk207635790"/>
      <w:r w:rsidRPr="00A34118">
        <w:rPr>
          <w:rFonts w:ascii="Arial" w:eastAsia="Calibri" w:hAnsi="Arial" w:cs="Arial"/>
          <w:lang w:eastAsia="en-US"/>
        </w:rPr>
        <w:t xml:space="preserve">- ulaganja u ceste i ostale prometne objekte </w:t>
      </w:r>
      <w:r w:rsidRPr="00A34118">
        <w:rPr>
          <w:rFonts w:ascii="Arial" w:eastAsia="Times New Roman" w:hAnsi="Arial" w:cs="Arial"/>
        </w:rPr>
        <w:t xml:space="preserve">(4213) u iznosu </w:t>
      </w:r>
      <w:r w:rsidR="00A34118" w:rsidRPr="00A34118">
        <w:rPr>
          <w:rFonts w:ascii="Arial" w:eastAsia="Times New Roman" w:hAnsi="Arial" w:cs="Arial"/>
        </w:rPr>
        <w:t>201.664,92</w:t>
      </w:r>
      <w:r w:rsidRPr="00A34118">
        <w:rPr>
          <w:rFonts w:ascii="Arial" w:eastAsia="Times New Roman" w:hAnsi="Arial" w:cs="Arial"/>
        </w:rPr>
        <w:t xml:space="preserve"> € koji se odnose na radove na parkingu </w:t>
      </w:r>
      <w:r w:rsidR="00A34118" w:rsidRPr="00A34118">
        <w:rPr>
          <w:rFonts w:ascii="Arial" w:eastAsia="Times New Roman" w:hAnsi="Arial" w:cs="Arial"/>
        </w:rPr>
        <w:t xml:space="preserve">na Grudi 80.312,50 €, parkingu </w:t>
      </w:r>
      <w:r w:rsidRPr="00A34118">
        <w:rPr>
          <w:rFonts w:ascii="Arial" w:eastAsia="Times New Roman" w:hAnsi="Arial" w:cs="Arial"/>
        </w:rPr>
        <w:t xml:space="preserve">u Tihoj u iznosu </w:t>
      </w:r>
      <w:r w:rsidR="00A34118" w:rsidRPr="00A34118">
        <w:rPr>
          <w:rFonts w:ascii="Arial" w:eastAsia="Times New Roman" w:hAnsi="Arial" w:cs="Arial"/>
        </w:rPr>
        <w:t>18.430,00</w:t>
      </w:r>
      <w:r w:rsidRPr="00A34118">
        <w:rPr>
          <w:rFonts w:ascii="Arial" w:eastAsia="Times New Roman" w:hAnsi="Arial" w:cs="Arial"/>
        </w:rPr>
        <w:t xml:space="preserve"> €,</w:t>
      </w:r>
      <w:r w:rsidR="00A34118" w:rsidRPr="00A34118">
        <w:rPr>
          <w:rFonts w:ascii="Arial" w:eastAsia="Times New Roman" w:hAnsi="Arial" w:cs="Arial"/>
        </w:rPr>
        <w:t xml:space="preserve"> parking uz cestu na Zvekovici 32.275,80 €, </w:t>
      </w:r>
      <w:r w:rsidRPr="00A34118">
        <w:rPr>
          <w:rFonts w:ascii="Arial" w:eastAsia="Times New Roman" w:hAnsi="Arial" w:cs="Arial"/>
        </w:rPr>
        <w:t xml:space="preserve">izgradnju nogostupa u Čilipima </w:t>
      </w:r>
      <w:r w:rsidR="00A34118" w:rsidRPr="00A34118">
        <w:rPr>
          <w:rFonts w:ascii="Arial" w:eastAsia="Times New Roman" w:hAnsi="Arial" w:cs="Arial"/>
        </w:rPr>
        <w:t>70.646,22</w:t>
      </w:r>
      <w:r w:rsidRPr="00A34118">
        <w:rPr>
          <w:rFonts w:ascii="Arial" w:eastAsia="Times New Roman" w:hAnsi="Arial" w:cs="Arial"/>
        </w:rPr>
        <w:t xml:space="preserve">, </w:t>
      </w:r>
    </w:p>
    <w:p w14:paraId="01C18F0A" w14:textId="0B855F38" w:rsidR="00B32CDB" w:rsidRPr="00B636A6" w:rsidRDefault="00B32CDB" w:rsidP="00B32C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B636A6">
        <w:rPr>
          <w:rFonts w:ascii="Arial" w:eastAsia="Times New Roman" w:hAnsi="Arial" w:cs="Arial"/>
        </w:rPr>
        <w:t xml:space="preserve">- ulaganja u ostale građevinske objekte (4214) u iznosu </w:t>
      </w:r>
      <w:r w:rsidR="00A34118" w:rsidRPr="00B636A6">
        <w:rPr>
          <w:rFonts w:ascii="Arial" w:eastAsia="Times New Roman" w:hAnsi="Arial" w:cs="Arial"/>
        </w:rPr>
        <w:t>212.428,28</w:t>
      </w:r>
      <w:r w:rsidRPr="00B636A6">
        <w:rPr>
          <w:rFonts w:ascii="Arial" w:eastAsia="Times New Roman" w:hAnsi="Arial" w:cs="Arial"/>
        </w:rPr>
        <w:t xml:space="preserve"> € </w:t>
      </w:r>
      <w:r w:rsidRPr="00B636A6">
        <w:rPr>
          <w:rFonts w:ascii="Arial" w:eastAsia="Calibri" w:hAnsi="Arial" w:cs="Arial"/>
          <w:lang w:eastAsia="en-US"/>
        </w:rPr>
        <w:t>i to:</w:t>
      </w:r>
      <w:r w:rsidRPr="00B636A6">
        <w:rPr>
          <w:rFonts w:ascii="Arial" w:eastAsia="Times New Roman" w:hAnsi="Arial" w:cs="Arial"/>
        </w:rPr>
        <w:t xml:space="preserve"> postavljanje javne rasvjete </w:t>
      </w:r>
      <w:r w:rsidR="00A34118" w:rsidRPr="00B636A6">
        <w:rPr>
          <w:rFonts w:ascii="Arial" w:eastAsia="Times New Roman" w:hAnsi="Arial" w:cs="Arial"/>
        </w:rPr>
        <w:t>173.334,05</w:t>
      </w:r>
      <w:r w:rsidRPr="00B636A6">
        <w:rPr>
          <w:rFonts w:ascii="Arial" w:eastAsia="Times New Roman" w:hAnsi="Arial" w:cs="Arial"/>
        </w:rPr>
        <w:t xml:space="preserve"> € na više lokacija, </w:t>
      </w:r>
      <w:r w:rsidRPr="00B636A6">
        <w:rPr>
          <w:rFonts w:ascii="Arial" w:eastAsia="Calibri" w:hAnsi="Arial" w:cs="Arial"/>
          <w:lang w:eastAsia="en-US"/>
        </w:rPr>
        <w:t xml:space="preserve">radove na dječjim igralištima </w:t>
      </w:r>
      <w:r w:rsidR="00B636A6" w:rsidRPr="00B636A6">
        <w:rPr>
          <w:rFonts w:ascii="Arial" w:eastAsia="Calibri" w:hAnsi="Arial" w:cs="Arial"/>
          <w:lang w:eastAsia="en-US"/>
        </w:rPr>
        <w:t>39.094,23</w:t>
      </w:r>
      <w:r w:rsidRPr="00B636A6">
        <w:rPr>
          <w:rFonts w:ascii="Arial" w:eastAsia="Calibri" w:hAnsi="Arial" w:cs="Arial"/>
          <w:lang w:eastAsia="en-US"/>
        </w:rPr>
        <w:t xml:space="preserve"> €.</w:t>
      </w:r>
    </w:p>
    <w:bookmarkEnd w:id="214"/>
    <w:bookmarkEnd w:id="215"/>
    <w:p w14:paraId="791CAE6A" w14:textId="77777777" w:rsidR="00B32CDB" w:rsidRPr="00B636A6" w:rsidRDefault="00B32CDB" w:rsidP="005A429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3E3EE924" w14:textId="77777777" w:rsidR="00A34118" w:rsidRPr="003A2F86" w:rsidRDefault="00A34118" w:rsidP="00A3411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bookmarkStart w:id="216" w:name="_Hlk101790007"/>
      <w:r w:rsidRPr="003A2F86">
        <w:rPr>
          <w:rFonts w:ascii="Arial" w:hAnsi="Arial" w:cs="Arial"/>
          <w:b/>
          <w:sz w:val="18"/>
          <w:szCs w:val="18"/>
        </w:rPr>
        <w:lastRenderedPageBreak/>
        <w:t>Rashodi za građevinske objekte (</w:t>
      </w:r>
      <w:r w:rsidRPr="003A2F86">
        <w:rPr>
          <w:rFonts w:ascii="Arial" w:hAnsi="Arial" w:cs="Arial"/>
          <w:sz w:val="18"/>
          <w:szCs w:val="18"/>
        </w:rPr>
        <w:t>421</w:t>
      </w:r>
      <w:r w:rsidRPr="003A2F86">
        <w:rPr>
          <w:rFonts w:ascii="Arial" w:hAnsi="Arial" w:cs="Arial"/>
          <w:b/>
          <w:sz w:val="18"/>
          <w:szCs w:val="18"/>
        </w:rPr>
        <w:t xml:space="preserve">) </w:t>
      </w:r>
      <w:r w:rsidRPr="003A2F86">
        <w:rPr>
          <w:rFonts w:ascii="Arial" w:hAnsi="Arial" w:cs="Arial"/>
          <w:sz w:val="18"/>
          <w:szCs w:val="18"/>
        </w:rPr>
        <w:t xml:space="preserve">su u 2020. su bili izvršeni u iznosu 457.059,66 €, u 2021. u iznosu 591.159,33 €, u 2022. godini izvršeni u iznosu 1.518.730,29 €, u 2023. </w:t>
      </w:r>
      <w:r>
        <w:rPr>
          <w:rFonts w:ascii="Arial" w:hAnsi="Arial" w:cs="Arial"/>
          <w:sz w:val="18"/>
          <w:szCs w:val="18"/>
        </w:rPr>
        <w:t xml:space="preserve">su bili </w:t>
      </w:r>
      <w:r w:rsidRPr="003A2F86">
        <w:rPr>
          <w:rFonts w:ascii="Arial" w:hAnsi="Arial" w:cs="Arial"/>
          <w:sz w:val="18"/>
          <w:szCs w:val="18"/>
        </w:rPr>
        <w:t>izvršeni u iznosu 189.676,78 €</w:t>
      </w:r>
      <w:bookmarkEnd w:id="216"/>
      <w:r>
        <w:rPr>
          <w:rFonts w:ascii="Arial" w:hAnsi="Arial" w:cs="Arial"/>
          <w:sz w:val="18"/>
          <w:szCs w:val="18"/>
        </w:rPr>
        <w:t>, dok su u 2024. godini iznosili 1.876.420,11 €</w:t>
      </w:r>
    </w:p>
    <w:p w14:paraId="70A550A6" w14:textId="77777777" w:rsidR="00A34118" w:rsidRDefault="00A34118" w:rsidP="005A429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5390557A" w14:textId="1F15F061" w:rsidR="00C175AC" w:rsidRDefault="00B32CDB" w:rsidP="00B32C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217" w:name="_Hlk200541884"/>
      <w:r w:rsidRPr="00B32CDB">
        <w:rPr>
          <w:rFonts w:ascii="Arial" w:eastAsia="Times New Roman" w:hAnsi="Arial" w:cs="Arial"/>
          <w:b/>
        </w:rPr>
        <w:t>Rashodi za nabavu opreme (</w:t>
      </w:r>
      <w:r w:rsidRPr="00B32CDB">
        <w:rPr>
          <w:rFonts w:ascii="Arial" w:eastAsia="Times New Roman" w:hAnsi="Arial" w:cs="Arial"/>
        </w:rPr>
        <w:t>422</w:t>
      </w:r>
      <w:r w:rsidRPr="00B32CDB">
        <w:rPr>
          <w:rFonts w:ascii="Arial" w:eastAsia="Times New Roman" w:hAnsi="Arial" w:cs="Arial"/>
          <w:b/>
        </w:rPr>
        <w:t>)</w:t>
      </w:r>
      <w:r w:rsidRPr="00B32CDB">
        <w:rPr>
          <w:rFonts w:ascii="Arial" w:eastAsia="Times New Roman" w:hAnsi="Arial" w:cs="Arial"/>
        </w:rPr>
        <w:t xml:space="preserve"> </w:t>
      </w:r>
      <w:r w:rsidR="00B636A6">
        <w:rPr>
          <w:rFonts w:ascii="Arial" w:eastAsia="Times New Roman" w:hAnsi="Arial" w:cs="Arial"/>
        </w:rPr>
        <w:t>u prvom polugodištu 2025</w:t>
      </w:r>
      <w:bookmarkStart w:id="218" w:name="_Hlk207635820"/>
      <w:r w:rsidR="00B636A6">
        <w:rPr>
          <w:rFonts w:ascii="Arial" w:eastAsia="Times New Roman" w:hAnsi="Arial" w:cs="Arial"/>
        </w:rPr>
        <w:t xml:space="preserve">. </w:t>
      </w:r>
      <w:r w:rsidRPr="00B32CDB">
        <w:rPr>
          <w:rFonts w:ascii="Arial" w:eastAsia="Times New Roman" w:hAnsi="Arial" w:cs="Arial"/>
        </w:rPr>
        <w:t xml:space="preserve">izvršeni su u iznosu </w:t>
      </w:r>
      <w:r w:rsidR="00B636A6">
        <w:rPr>
          <w:rFonts w:ascii="Arial" w:eastAsia="Times New Roman" w:hAnsi="Arial" w:cs="Arial"/>
        </w:rPr>
        <w:t>167.519,39</w:t>
      </w:r>
      <w:r w:rsidRPr="00B32CDB">
        <w:rPr>
          <w:rFonts w:ascii="Arial" w:eastAsia="Times New Roman" w:hAnsi="Arial" w:cs="Arial"/>
        </w:rPr>
        <w:t xml:space="preserve"> € što je za </w:t>
      </w:r>
      <w:r w:rsidR="00B636A6">
        <w:rPr>
          <w:rFonts w:ascii="Arial" w:eastAsia="Times New Roman" w:hAnsi="Arial" w:cs="Arial"/>
        </w:rPr>
        <w:t>53.330,32</w:t>
      </w:r>
      <w:r w:rsidRPr="00B32CDB">
        <w:rPr>
          <w:rFonts w:ascii="Arial" w:eastAsia="Times New Roman" w:hAnsi="Arial" w:cs="Arial"/>
        </w:rPr>
        <w:t xml:space="preserve"> € ili </w:t>
      </w:r>
      <w:r w:rsidR="00B636A6">
        <w:rPr>
          <w:rFonts w:ascii="Arial" w:eastAsia="Times New Roman" w:hAnsi="Arial" w:cs="Arial"/>
        </w:rPr>
        <w:t>24,1</w:t>
      </w:r>
      <w:r w:rsidRPr="00B32CDB">
        <w:rPr>
          <w:rFonts w:ascii="Arial" w:eastAsia="Times New Roman" w:hAnsi="Arial" w:cs="Arial"/>
        </w:rPr>
        <w:t xml:space="preserve">% </w:t>
      </w:r>
      <w:r w:rsidR="00B636A6">
        <w:rPr>
          <w:rFonts w:ascii="Arial" w:eastAsia="Times New Roman" w:hAnsi="Arial" w:cs="Arial"/>
        </w:rPr>
        <w:t>manje</w:t>
      </w:r>
      <w:r w:rsidRPr="00B32CDB">
        <w:rPr>
          <w:rFonts w:ascii="Arial" w:eastAsia="Times New Roman" w:hAnsi="Arial" w:cs="Arial"/>
        </w:rPr>
        <w:t xml:space="preserve"> u odnosu na prethodnu godinu kada su ovi rashodi iznosili </w:t>
      </w:r>
      <w:r w:rsidR="00B636A6">
        <w:rPr>
          <w:rFonts w:ascii="Arial" w:eastAsia="Times New Roman" w:hAnsi="Arial" w:cs="Arial"/>
        </w:rPr>
        <w:t>220.849,71</w:t>
      </w:r>
      <w:r w:rsidRPr="00B32CDB">
        <w:rPr>
          <w:rFonts w:ascii="Arial" w:eastAsia="Times New Roman" w:hAnsi="Arial" w:cs="Arial"/>
        </w:rPr>
        <w:t xml:space="preserve"> €. </w:t>
      </w:r>
    </w:p>
    <w:bookmarkEnd w:id="217"/>
    <w:bookmarkEnd w:id="218"/>
    <w:p w14:paraId="2C7ED6AD" w14:textId="77777777" w:rsidR="00C175AC" w:rsidRPr="00C175AC" w:rsidRDefault="00C175AC" w:rsidP="002606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2C819FDA" w14:textId="632C106B" w:rsidR="00B32CDB" w:rsidRPr="00C175AC" w:rsidRDefault="00B32CDB" w:rsidP="00C175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C175AC">
        <w:rPr>
          <w:rFonts w:ascii="Arial" w:eastAsia="Times New Roman" w:hAnsi="Arial" w:cs="Arial"/>
          <w:sz w:val="18"/>
          <w:szCs w:val="18"/>
        </w:rPr>
        <w:t>U 2023. godini vrijednosno najznačajniji rashodi</w:t>
      </w:r>
      <w:r w:rsidR="00C175AC">
        <w:rPr>
          <w:rFonts w:ascii="Arial" w:eastAsia="Times New Roman" w:hAnsi="Arial" w:cs="Arial"/>
          <w:sz w:val="18"/>
          <w:szCs w:val="18"/>
        </w:rPr>
        <w:t xml:space="preserve"> za nabavu opreme </w:t>
      </w:r>
      <w:r w:rsidRPr="00C175AC">
        <w:rPr>
          <w:rFonts w:ascii="Arial" w:eastAsia="Times New Roman" w:hAnsi="Arial" w:cs="Arial"/>
          <w:sz w:val="18"/>
          <w:szCs w:val="18"/>
        </w:rPr>
        <w:t>su se odnosili na nabavu komunalne opreme (mobilni kontejner i preša balirka) 50.687,50 €, kamera – sustav videonadzora parkiranja u blizini zračne luke 13.487,50 €, te oprema za dječja igrališta 14.535,46 €.</w:t>
      </w:r>
    </w:p>
    <w:p w14:paraId="680B2055" w14:textId="0218C36C" w:rsidR="00B636A6" w:rsidRPr="00B636A6" w:rsidRDefault="00B636A6" w:rsidP="00B636A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firstLine="567"/>
        <w:jc w:val="both"/>
        <w:rPr>
          <w:rFonts w:ascii="Arial" w:eastAsia="Times New Roman" w:hAnsi="Arial" w:cs="Arial"/>
          <w:sz w:val="18"/>
          <w:szCs w:val="18"/>
        </w:rPr>
      </w:pPr>
      <w:r>
        <w:rPr>
          <w:rFonts w:ascii="Arial" w:eastAsia="Times New Roman" w:hAnsi="Arial" w:cs="Arial"/>
          <w:b/>
          <w:sz w:val="18"/>
          <w:szCs w:val="18"/>
        </w:rPr>
        <w:t xml:space="preserve">U 2024. </w:t>
      </w:r>
      <w:r w:rsidRPr="00B636A6">
        <w:rPr>
          <w:rFonts w:ascii="Arial" w:eastAsia="Times New Roman" w:hAnsi="Arial" w:cs="Arial"/>
          <w:bCs/>
          <w:sz w:val="18"/>
          <w:szCs w:val="18"/>
        </w:rPr>
        <w:t>rashodi za nabavu opreme</w:t>
      </w:r>
      <w:r w:rsidRPr="00B636A6">
        <w:rPr>
          <w:rFonts w:ascii="Arial" w:eastAsia="Times New Roman" w:hAnsi="Arial" w:cs="Arial"/>
          <w:b/>
          <w:sz w:val="18"/>
          <w:szCs w:val="18"/>
        </w:rPr>
        <w:t xml:space="preserve"> (</w:t>
      </w:r>
      <w:r w:rsidRPr="00B636A6">
        <w:rPr>
          <w:rFonts w:ascii="Arial" w:eastAsia="Times New Roman" w:hAnsi="Arial" w:cs="Arial"/>
          <w:sz w:val="18"/>
          <w:szCs w:val="18"/>
        </w:rPr>
        <w:t>422</w:t>
      </w:r>
      <w:r w:rsidRPr="00B636A6">
        <w:rPr>
          <w:rFonts w:ascii="Arial" w:eastAsia="Times New Roman" w:hAnsi="Arial" w:cs="Arial"/>
          <w:b/>
          <w:sz w:val="18"/>
          <w:szCs w:val="18"/>
        </w:rPr>
        <w:t>)</w:t>
      </w:r>
      <w:r w:rsidRPr="00B636A6">
        <w:rPr>
          <w:rFonts w:ascii="Arial" w:eastAsia="Times New Roman" w:hAnsi="Arial" w:cs="Arial"/>
          <w:sz w:val="18"/>
          <w:szCs w:val="18"/>
        </w:rPr>
        <w:t xml:space="preserve"> </w:t>
      </w:r>
      <w:r>
        <w:rPr>
          <w:rFonts w:ascii="Arial" w:eastAsia="Times New Roman" w:hAnsi="Arial" w:cs="Arial"/>
          <w:sz w:val="18"/>
          <w:szCs w:val="18"/>
        </w:rPr>
        <w:t>su iznosili</w:t>
      </w:r>
      <w:r w:rsidRPr="00B636A6">
        <w:rPr>
          <w:rFonts w:ascii="Arial" w:eastAsia="Times New Roman" w:hAnsi="Arial" w:cs="Arial"/>
          <w:sz w:val="18"/>
          <w:szCs w:val="18"/>
        </w:rPr>
        <w:t xml:space="preserve"> 303.321,46 €. </w:t>
      </w:r>
    </w:p>
    <w:p w14:paraId="03DE3814" w14:textId="77777777" w:rsidR="00B32CDB" w:rsidRPr="00C175AC" w:rsidRDefault="00B32CDB" w:rsidP="00B32C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7F1A0E7C" w14:textId="32CEBBFA" w:rsidR="00B32CDB" w:rsidRPr="00B32CDB" w:rsidRDefault="00B32CDB" w:rsidP="00B32C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color w:val="004E9A"/>
        </w:rPr>
      </w:pPr>
      <w:r w:rsidRPr="00B32CDB">
        <w:rPr>
          <w:rFonts w:ascii="Arial" w:eastAsia="Times New Roman" w:hAnsi="Arial" w:cs="Arial"/>
          <w:color w:val="004E9A"/>
        </w:rPr>
        <w:t>Rashodi Općine za nabavu opreme</w:t>
      </w:r>
      <w:r w:rsidR="00B636A6">
        <w:rPr>
          <w:rFonts w:ascii="Arial" w:eastAsia="Times New Roman" w:hAnsi="Arial" w:cs="Arial"/>
          <w:color w:val="004E9A"/>
        </w:rPr>
        <w:t xml:space="preserve"> u 2025.</w:t>
      </w:r>
      <w:r w:rsidRPr="00B32CDB">
        <w:rPr>
          <w:rFonts w:ascii="Arial" w:eastAsia="Times New Roman" w:hAnsi="Arial" w:cs="Arial"/>
          <w:color w:val="004E9A"/>
        </w:rPr>
        <w:t xml:space="preserve"> iznose </w:t>
      </w:r>
      <w:bookmarkStart w:id="219" w:name="_Hlk200541904"/>
      <w:r w:rsidR="00B636A6">
        <w:rPr>
          <w:rFonts w:ascii="Arial" w:eastAsia="Times New Roman" w:hAnsi="Arial" w:cs="Arial"/>
          <w:color w:val="004E9A"/>
        </w:rPr>
        <w:t>167.519,39</w:t>
      </w:r>
      <w:r w:rsidRPr="00B32CDB">
        <w:rPr>
          <w:rFonts w:ascii="Arial" w:eastAsia="Times New Roman" w:hAnsi="Arial" w:cs="Arial"/>
          <w:color w:val="004E9A"/>
        </w:rPr>
        <w:t xml:space="preserve"> </w:t>
      </w:r>
      <w:bookmarkEnd w:id="219"/>
      <w:r w:rsidRPr="00B32CDB">
        <w:rPr>
          <w:rFonts w:ascii="Arial" w:eastAsia="Times New Roman" w:hAnsi="Arial" w:cs="Arial"/>
          <w:color w:val="004E9A"/>
        </w:rPr>
        <w:t xml:space="preserve">€, a rashodi proračunskih korisnika iznose </w:t>
      </w:r>
      <w:bookmarkStart w:id="220" w:name="_Hlk200541911"/>
      <w:r w:rsidR="00B636A6">
        <w:rPr>
          <w:rFonts w:ascii="Arial" w:eastAsia="Times New Roman" w:hAnsi="Arial" w:cs="Arial"/>
          <w:color w:val="004E9A"/>
        </w:rPr>
        <w:t>15.266</w:t>
      </w:r>
      <w:r w:rsidRPr="00B32CDB">
        <w:rPr>
          <w:rFonts w:ascii="Arial" w:eastAsia="Times New Roman" w:hAnsi="Arial" w:cs="Arial"/>
          <w:color w:val="004E9A"/>
        </w:rPr>
        <w:t xml:space="preserve"> </w:t>
      </w:r>
      <w:bookmarkEnd w:id="220"/>
      <w:r w:rsidRPr="00B32CDB">
        <w:rPr>
          <w:rFonts w:ascii="Arial" w:eastAsia="Times New Roman" w:hAnsi="Arial" w:cs="Arial"/>
          <w:color w:val="004E9A"/>
        </w:rPr>
        <w:t>€.</w:t>
      </w:r>
    </w:p>
    <w:p w14:paraId="575804FE" w14:textId="77777777" w:rsidR="00B32CDB" w:rsidRDefault="00B32CDB" w:rsidP="005A429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4BFC6DEB" w14:textId="16460FBF" w:rsidR="00940D3B" w:rsidRPr="00940D3B" w:rsidRDefault="00940D3B" w:rsidP="00940D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221" w:name="_Hlk200541958"/>
      <w:r w:rsidRPr="00940D3B">
        <w:rPr>
          <w:rFonts w:ascii="Arial" w:eastAsia="Times New Roman" w:hAnsi="Arial" w:cs="Arial"/>
        </w:rPr>
        <w:t xml:space="preserve">U tekućoj godini </w:t>
      </w:r>
      <w:r w:rsidRPr="00B636A6">
        <w:rPr>
          <w:rFonts w:ascii="Arial" w:eastAsia="Times New Roman" w:hAnsi="Arial" w:cs="Arial"/>
          <w:b/>
          <w:bCs/>
        </w:rPr>
        <w:t>rashodi Općine</w:t>
      </w:r>
      <w:r w:rsidRPr="00940D3B">
        <w:rPr>
          <w:rFonts w:ascii="Arial" w:eastAsia="Times New Roman" w:hAnsi="Arial" w:cs="Arial"/>
        </w:rPr>
        <w:t xml:space="preserve"> za nabavu opreme odnose se na nabavu računalne opreme u iznosu </w:t>
      </w:r>
      <w:r w:rsidR="001A6931">
        <w:rPr>
          <w:rFonts w:ascii="Arial" w:eastAsia="Times New Roman" w:hAnsi="Arial" w:cs="Arial"/>
        </w:rPr>
        <w:t>4.571,25</w:t>
      </w:r>
      <w:r w:rsidRPr="00940D3B">
        <w:rPr>
          <w:rFonts w:ascii="Arial" w:eastAsia="Times New Roman" w:hAnsi="Arial" w:cs="Arial"/>
        </w:rPr>
        <w:t xml:space="preserve"> €, nabavu </w:t>
      </w:r>
      <w:r w:rsidR="001A6931">
        <w:rPr>
          <w:rFonts w:ascii="Arial" w:eastAsia="Times New Roman" w:hAnsi="Arial" w:cs="Arial"/>
        </w:rPr>
        <w:t>uređaja za mjerenje mutnoće vode i protoka vode u okviru projekta Waterlink 37.654,64</w:t>
      </w:r>
      <w:r w:rsidRPr="00940D3B">
        <w:rPr>
          <w:rFonts w:ascii="Arial" w:eastAsia="Times New Roman" w:hAnsi="Arial" w:cs="Arial"/>
        </w:rPr>
        <w:t xml:space="preserve"> €, </w:t>
      </w:r>
      <w:r w:rsidR="001A6931" w:rsidRPr="00940D3B">
        <w:rPr>
          <w:rFonts w:ascii="Arial" w:eastAsia="Times New Roman" w:hAnsi="Arial" w:cs="Arial"/>
        </w:rPr>
        <w:t>oprema za dječja igrališta</w:t>
      </w:r>
      <w:r w:rsidR="001A6931">
        <w:rPr>
          <w:rFonts w:ascii="Arial" w:eastAsia="Times New Roman" w:hAnsi="Arial" w:cs="Arial"/>
        </w:rPr>
        <w:t xml:space="preserve"> 37.840 €, </w:t>
      </w:r>
      <w:r w:rsidRPr="00940D3B">
        <w:rPr>
          <w:rFonts w:ascii="Arial" w:eastAsia="Times New Roman" w:hAnsi="Arial" w:cs="Arial"/>
        </w:rPr>
        <w:t>te komunalna oprema (</w:t>
      </w:r>
      <w:r w:rsidR="001A6931">
        <w:rPr>
          <w:rFonts w:ascii="Arial" w:eastAsia="Times New Roman" w:hAnsi="Arial" w:cs="Arial"/>
        </w:rPr>
        <w:t>polupodzemni spremnici za plastiku i staklo</w:t>
      </w:r>
      <w:r w:rsidRPr="00940D3B">
        <w:rPr>
          <w:rFonts w:ascii="Arial" w:eastAsia="Times New Roman" w:hAnsi="Arial" w:cs="Arial"/>
        </w:rPr>
        <w:t xml:space="preserve">) </w:t>
      </w:r>
      <w:r w:rsidR="001A6931">
        <w:rPr>
          <w:rFonts w:ascii="Arial" w:eastAsia="Times New Roman" w:hAnsi="Arial" w:cs="Arial"/>
        </w:rPr>
        <w:t>72.187,50 €</w:t>
      </w:r>
      <w:r w:rsidRPr="00940D3B">
        <w:rPr>
          <w:rFonts w:ascii="Arial" w:eastAsia="Times New Roman" w:hAnsi="Arial" w:cs="Arial"/>
        </w:rPr>
        <w:t xml:space="preserve">. </w:t>
      </w:r>
    </w:p>
    <w:bookmarkEnd w:id="221"/>
    <w:p w14:paraId="0776C3B5" w14:textId="77777777" w:rsidR="00940D3B" w:rsidRPr="00940D3B" w:rsidRDefault="00940D3B" w:rsidP="00940D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723EA98D" w14:textId="6EF37982" w:rsidR="00940D3B" w:rsidRPr="00940D3B" w:rsidRDefault="00940D3B" w:rsidP="00940D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bCs/>
        </w:rPr>
      </w:pPr>
      <w:r w:rsidRPr="00940D3B">
        <w:rPr>
          <w:rFonts w:ascii="Arial" w:eastAsia="Times New Roman" w:hAnsi="Arial" w:cs="Arial"/>
          <w:bCs/>
        </w:rPr>
        <w:t xml:space="preserve">Rashodi proračunskih korisnika za nabavu opreme </w:t>
      </w:r>
      <w:r w:rsidR="00F55B17">
        <w:rPr>
          <w:rFonts w:ascii="Arial" w:eastAsia="Times New Roman" w:hAnsi="Arial" w:cs="Arial"/>
          <w:bCs/>
        </w:rPr>
        <w:t xml:space="preserve">u 2025. godini </w:t>
      </w:r>
      <w:r w:rsidRPr="00940D3B">
        <w:rPr>
          <w:rFonts w:ascii="Arial" w:eastAsia="Times New Roman" w:hAnsi="Arial" w:cs="Arial"/>
          <w:bCs/>
        </w:rPr>
        <w:t>se odnose na opremanje dječjih skupina, kuhinje dječjeg vrtića i drugo.</w:t>
      </w:r>
    </w:p>
    <w:p w14:paraId="17A30177" w14:textId="77777777" w:rsidR="00B32CDB" w:rsidRPr="00260628" w:rsidRDefault="00B32CDB" w:rsidP="005A429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sz w:val="18"/>
          <w:szCs w:val="18"/>
          <w:lang w:eastAsia="en-US"/>
        </w:rPr>
      </w:pPr>
    </w:p>
    <w:p w14:paraId="5F79DC05" w14:textId="287577A0" w:rsidR="001A39C3" w:rsidRPr="003A2F86" w:rsidRDefault="001A39C3" w:rsidP="00C175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3A2F86">
        <w:rPr>
          <w:rFonts w:ascii="Arial" w:eastAsia="Times New Roman" w:hAnsi="Arial" w:cs="Arial"/>
          <w:sz w:val="18"/>
          <w:szCs w:val="18"/>
        </w:rPr>
        <w:t xml:space="preserve">U </w:t>
      </w:r>
      <w:r w:rsidRPr="00C175AC">
        <w:rPr>
          <w:rFonts w:ascii="Arial" w:eastAsia="Times New Roman" w:hAnsi="Arial" w:cs="Arial"/>
          <w:b/>
          <w:bCs/>
          <w:sz w:val="18"/>
          <w:szCs w:val="18"/>
        </w:rPr>
        <w:t>2021</w:t>
      </w:r>
      <w:r w:rsidRPr="003A2F86">
        <w:rPr>
          <w:rFonts w:ascii="Arial" w:eastAsia="Times New Roman" w:hAnsi="Arial" w:cs="Arial"/>
          <w:sz w:val="18"/>
          <w:szCs w:val="18"/>
        </w:rPr>
        <w:t>. godini vrijednosno najznačajniji rashodi</w:t>
      </w:r>
      <w:r w:rsidR="00C175AC">
        <w:rPr>
          <w:rFonts w:ascii="Arial" w:eastAsia="Times New Roman" w:hAnsi="Arial" w:cs="Arial"/>
          <w:sz w:val="18"/>
          <w:szCs w:val="18"/>
        </w:rPr>
        <w:t xml:space="preserve"> za nabavu opreme</w:t>
      </w:r>
      <w:r w:rsidRPr="003A2F86">
        <w:rPr>
          <w:rFonts w:ascii="Arial" w:eastAsia="Times New Roman" w:hAnsi="Arial" w:cs="Arial"/>
          <w:sz w:val="18"/>
          <w:szCs w:val="18"/>
        </w:rPr>
        <w:t xml:space="preserve"> su se odnosili na nabavu WiFi bazne stanice za bežični Internet u iznosu 19.539,58 €, te dvije kamere za nadzor brzine prometa u iznosu 5.546,22 € koje su donirane Ministarstvu unutarnjih poslova. </w:t>
      </w:r>
    </w:p>
    <w:p w14:paraId="50703C65" w14:textId="1E359859" w:rsidR="00B54FE6" w:rsidRPr="003A2F86" w:rsidRDefault="001A39C3" w:rsidP="00C175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Calibri" w:hAnsi="Arial" w:cs="Arial"/>
          <w:sz w:val="18"/>
          <w:szCs w:val="18"/>
          <w:lang w:eastAsia="en-US"/>
        </w:rPr>
      </w:pPr>
      <w:bookmarkStart w:id="222" w:name="_Hlk145942434"/>
      <w:bookmarkStart w:id="223" w:name="_Hlk176442320"/>
      <w:r w:rsidRPr="003A2F86">
        <w:rPr>
          <w:rFonts w:ascii="Arial" w:eastAsia="Calibri" w:hAnsi="Arial" w:cs="Arial"/>
          <w:sz w:val="18"/>
          <w:szCs w:val="18"/>
          <w:lang w:eastAsia="en-US"/>
        </w:rPr>
        <w:t xml:space="preserve">Sveukupno u </w:t>
      </w:r>
      <w:r w:rsidRPr="00C175AC">
        <w:rPr>
          <w:rFonts w:ascii="Arial" w:eastAsia="Calibri" w:hAnsi="Arial" w:cs="Arial"/>
          <w:b/>
          <w:bCs/>
          <w:sz w:val="18"/>
          <w:szCs w:val="18"/>
          <w:lang w:eastAsia="en-US"/>
        </w:rPr>
        <w:t>2022</w:t>
      </w:r>
      <w:r w:rsidRPr="003A2F86">
        <w:rPr>
          <w:rFonts w:ascii="Arial" w:eastAsia="Calibri" w:hAnsi="Arial" w:cs="Arial"/>
          <w:sz w:val="18"/>
          <w:szCs w:val="18"/>
          <w:lang w:eastAsia="en-US"/>
        </w:rPr>
        <w:t>. rashodi Općine za nabavu Opreme su iznosili 209.313,33 € (</w:t>
      </w:r>
      <w:r w:rsidRPr="003A2F86">
        <w:rPr>
          <w:rFonts w:ascii="Arial" w:eastAsia="Times New Roman" w:hAnsi="Arial" w:cs="Arial"/>
          <w:sz w:val="18"/>
          <w:szCs w:val="18"/>
        </w:rPr>
        <w:t xml:space="preserve">najvećim dijelom izvršeni rashodi putem projekata Flood &amp; fire i ĆIRO II. U 2022. godini je nabavljena računalna i uredska oprema 5.713,55 €, radio stanice za vatrogasce 4.977,11 €, oprema za vatrogastvo 65.166,90 € - setovi vatrogasnih odijela s cjelokupnom opremom, kontejneri </w:t>
      </w:r>
      <w:r w:rsidR="00B15038" w:rsidRPr="003A2F86">
        <w:rPr>
          <w:rFonts w:ascii="Arial" w:eastAsia="Times New Roman" w:hAnsi="Arial" w:cs="Arial"/>
          <w:sz w:val="18"/>
          <w:szCs w:val="18"/>
        </w:rPr>
        <w:t>87.597,05 €</w:t>
      </w:r>
      <w:r w:rsidRPr="003A2F86">
        <w:rPr>
          <w:rFonts w:ascii="Arial" w:eastAsia="Times New Roman" w:hAnsi="Arial" w:cs="Arial"/>
          <w:sz w:val="18"/>
          <w:szCs w:val="18"/>
        </w:rPr>
        <w:t xml:space="preserve">, pametne klupe </w:t>
      </w:r>
      <w:r w:rsidR="00B15038" w:rsidRPr="003A2F86">
        <w:rPr>
          <w:rFonts w:ascii="Arial" w:eastAsia="Times New Roman" w:hAnsi="Arial" w:cs="Arial"/>
          <w:sz w:val="18"/>
          <w:szCs w:val="18"/>
        </w:rPr>
        <w:t>19.908,42 €</w:t>
      </w:r>
      <w:r w:rsidRPr="003A2F86">
        <w:rPr>
          <w:rFonts w:ascii="Arial" w:eastAsia="Times New Roman" w:hAnsi="Arial" w:cs="Arial"/>
          <w:sz w:val="18"/>
          <w:szCs w:val="18"/>
        </w:rPr>
        <w:t xml:space="preserve">, solarni punjač za električne bicikle </w:t>
      </w:r>
      <w:r w:rsidR="00B15038" w:rsidRPr="003A2F86">
        <w:rPr>
          <w:rFonts w:ascii="Arial" w:eastAsia="Times New Roman" w:hAnsi="Arial" w:cs="Arial"/>
          <w:sz w:val="18"/>
          <w:szCs w:val="18"/>
        </w:rPr>
        <w:t>8.295,18 €</w:t>
      </w:r>
      <w:r w:rsidRPr="003A2F86">
        <w:rPr>
          <w:rFonts w:ascii="Arial" w:eastAsia="Times New Roman" w:hAnsi="Arial" w:cs="Arial"/>
          <w:sz w:val="18"/>
          <w:szCs w:val="18"/>
        </w:rPr>
        <w:t xml:space="preserve">, interaktivni multimedijalni zaslon </w:t>
      </w:r>
      <w:r w:rsidR="00B15038" w:rsidRPr="003A2F86">
        <w:rPr>
          <w:rFonts w:ascii="Arial" w:eastAsia="Times New Roman" w:hAnsi="Arial" w:cs="Arial"/>
          <w:sz w:val="18"/>
          <w:szCs w:val="18"/>
        </w:rPr>
        <w:t>10.628,61 €</w:t>
      </w:r>
      <w:r w:rsidRPr="003A2F86">
        <w:rPr>
          <w:rFonts w:ascii="Arial" w:eastAsia="Times New Roman" w:hAnsi="Arial" w:cs="Arial"/>
          <w:sz w:val="18"/>
          <w:szCs w:val="18"/>
        </w:rPr>
        <w:t xml:space="preserve"> i drugo</w:t>
      </w:r>
      <w:r w:rsidR="00B15038" w:rsidRPr="003A2F86">
        <w:rPr>
          <w:rFonts w:ascii="Arial" w:eastAsia="Times New Roman" w:hAnsi="Arial" w:cs="Arial"/>
          <w:sz w:val="18"/>
          <w:szCs w:val="18"/>
        </w:rPr>
        <w:t>.</w:t>
      </w:r>
    </w:p>
    <w:bookmarkEnd w:id="212"/>
    <w:bookmarkEnd w:id="222"/>
    <w:p w14:paraId="210D33BC" w14:textId="2A5ECFD4" w:rsidR="006D6055" w:rsidRDefault="006D6055" w:rsidP="00C175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sidRPr="003A2F86">
        <w:rPr>
          <w:rFonts w:ascii="Arial" w:eastAsia="Times New Roman" w:hAnsi="Arial" w:cs="Arial"/>
          <w:sz w:val="18"/>
          <w:szCs w:val="18"/>
        </w:rPr>
        <w:t xml:space="preserve">Sveukupno u </w:t>
      </w:r>
      <w:r w:rsidRPr="00C175AC">
        <w:rPr>
          <w:rFonts w:ascii="Arial" w:eastAsia="Times New Roman" w:hAnsi="Arial" w:cs="Arial"/>
          <w:b/>
          <w:bCs/>
          <w:sz w:val="18"/>
          <w:szCs w:val="18"/>
        </w:rPr>
        <w:t>2023</w:t>
      </w:r>
      <w:r w:rsidRPr="003A2F86">
        <w:rPr>
          <w:rFonts w:ascii="Arial" w:eastAsia="Times New Roman" w:hAnsi="Arial" w:cs="Arial"/>
          <w:sz w:val="18"/>
          <w:szCs w:val="18"/>
        </w:rPr>
        <w:t>. bili su izvršeni rashodi Općine za nabavu računalne i uredske opreme 4.798,75 €, klima uređaj za ljetno kino 262,50 €, mobilni kontejner i preša balirka kartona 50.687,50 €, kamera – sustav videonadzora parkiranja u blizini zračne luke 13.487,50 €, te oprema za dječja igrališta 14.535,46 €.</w:t>
      </w:r>
    </w:p>
    <w:p w14:paraId="3DFD352A" w14:textId="20CB6FB1" w:rsidR="00F55B17" w:rsidRPr="003A2F86" w:rsidRDefault="00F55B17" w:rsidP="00C175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Pr>
          <w:rFonts w:ascii="Arial" w:eastAsia="Times New Roman" w:hAnsi="Arial" w:cs="Arial"/>
          <w:sz w:val="18"/>
          <w:szCs w:val="18"/>
        </w:rPr>
        <w:t xml:space="preserve">U </w:t>
      </w:r>
      <w:r w:rsidRPr="00F55B17">
        <w:rPr>
          <w:rFonts w:ascii="Arial" w:eastAsia="Times New Roman" w:hAnsi="Arial" w:cs="Arial"/>
          <w:b/>
          <w:bCs/>
          <w:sz w:val="18"/>
          <w:szCs w:val="18"/>
        </w:rPr>
        <w:t>2024</w:t>
      </w:r>
      <w:r>
        <w:rPr>
          <w:rFonts w:ascii="Arial" w:eastAsia="Times New Roman" w:hAnsi="Arial" w:cs="Arial"/>
          <w:sz w:val="18"/>
          <w:szCs w:val="18"/>
        </w:rPr>
        <w:t xml:space="preserve">. rashodi Općine za nabavu opreme su iznosili 221.939,22 € (od čega se dio odnosi na </w:t>
      </w:r>
      <w:r w:rsidRPr="00F55B17">
        <w:rPr>
          <w:rFonts w:ascii="Arial" w:eastAsia="Times New Roman" w:hAnsi="Arial" w:cs="Arial"/>
          <w:sz w:val="18"/>
          <w:szCs w:val="18"/>
        </w:rPr>
        <w:t>opremanje ekološkog parka u Pridvorju 15.687,5 € (trimer, agregat, traktorska kosilica, setovi stolova i klupa), traktorska kosilica za uređenje nogometnog igrališta 3.982,66 €, te komunalna oprema (kontejneri razni) 145.050,00 €, oprema za dječja igrališta 8.931,25 €, setovi stolova i klupa za rekreacijsku zonu na Obodu 4.125,00 €, oprema za vanjsko vježbalište u Čilipima (projekt Workout) 22.412,50 €, nabavu glazbene opreme 8.246,42 € (razglasna i druga oprema za kulturna događanja).</w:t>
      </w:r>
    </w:p>
    <w:bookmarkEnd w:id="223"/>
    <w:p w14:paraId="69D48492" w14:textId="77777777" w:rsidR="00F55B17" w:rsidRPr="00260628" w:rsidRDefault="00F55B17" w:rsidP="00B54FE6">
      <w:pPr>
        <w:tabs>
          <w:tab w:val="left" w:pos="5670"/>
        </w:tabs>
        <w:overflowPunct w:val="0"/>
        <w:autoSpaceDE w:val="0"/>
        <w:autoSpaceDN w:val="0"/>
        <w:adjustRightInd w:val="0"/>
        <w:spacing w:after="0" w:line="240" w:lineRule="auto"/>
        <w:jc w:val="both"/>
        <w:rPr>
          <w:rFonts w:ascii="Arial" w:eastAsia="Times New Roman" w:hAnsi="Arial" w:cs="Arial"/>
          <w:sz w:val="18"/>
          <w:szCs w:val="18"/>
        </w:rPr>
      </w:pPr>
    </w:p>
    <w:p w14:paraId="0190282D" w14:textId="11B9203E" w:rsidR="00940D3B" w:rsidRPr="00940D3B" w:rsidRDefault="00940D3B" w:rsidP="00940D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940D3B">
        <w:rPr>
          <w:rFonts w:ascii="Arial" w:eastAsia="Times New Roman" w:hAnsi="Arial" w:cs="Arial"/>
          <w:b/>
        </w:rPr>
        <w:t>Rashodi za prijevozna sredstva (</w:t>
      </w:r>
      <w:r w:rsidRPr="00940D3B">
        <w:rPr>
          <w:rFonts w:ascii="Arial" w:eastAsia="Times New Roman" w:hAnsi="Arial" w:cs="Arial"/>
        </w:rPr>
        <w:t>423</w:t>
      </w:r>
      <w:r w:rsidRPr="00940D3B">
        <w:rPr>
          <w:rFonts w:ascii="Arial" w:eastAsia="Times New Roman" w:hAnsi="Arial" w:cs="Arial"/>
          <w:b/>
        </w:rPr>
        <w:t>)</w:t>
      </w:r>
      <w:r w:rsidRPr="00940D3B">
        <w:rPr>
          <w:rFonts w:ascii="Arial" w:eastAsia="Times New Roman" w:hAnsi="Arial" w:cs="Arial"/>
        </w:rPr>
        <w:t xml:space="preserve"> prethodne godine</w:t>
      </w:r>
      <w:r w:rsidR="00F55B17">
        <w:rPr>
          <w:rFonts w:ascii="Arial" w:eastAsia="Times New Roman" w:hAnsi="Arial" w:cs="Arial"/>
        </w:rPr>
        <w:t xml:space="preserve"> u izvještajnom razdoblju</w:t>
      </w:r>
      <w:r w:rsidRPr="00940D3B">
        <w:rPr>
          <w:rFonts w:ascii="Arial" w:eastAsia="Times New Roman" w:hAnsi="Arial" w:cs="Arial"/>
        </w:rPr>
        <w:t xml:space="preserve"> nisu bili izvršeni, a u </w:t>
      </w:r>
      <w:bookmarkStart w:id="224" w:name="_Hlk200542001"/>
      <w:r w:rsidRPr="00940D3B">
        <w:rPr>
          <w:rFonts w:ascii="Arial" w:eastAsia="Times New Roman" w:hAnsi="Arial" w:cs="Arial"/>
        </w:rPr>
        <w:t xml:space="preserve">tekućoj godini su izvršeni u iznosu </w:t>
      </w:r>
      <w:r w:rsidR="00F55B17">
        <w:rPr>
          <w:rFonts w:ascii="Arial" w:eastAsia="Times New Roman" w:hAnsi="Arial" w:cs="Arial"/>
        </w:rPr>
        <w:t>272.333,75</w:t>
      </w:r>
      <w:r w:rsidRPr="00940D3B">
        <w:rPr>
          <w:rFonts w:ascii="Arial" w:eastAsia="Times New Roman" w:hAnsi="Arial" w:cs="Arial"/>
        </w:rPr>
        <w:t xml:space="preserve"> €. Ovi rashodi se odnose na Općinu. </w:t>
      </w:r>
      <w:bookmarkStart w:id="225" w:name="_Hlk207636406"/>
      <w:r w:rsidRPr="00940D3B">
        <w:rPr>
          <w:rFonts w:ascii="Arial" w:eastAsia="Times New Roman" w:hAnsi="Arial" w:cs="Arial"/>
        </w:rPr>
        <w:t xml:space="preserve">Općina je nabavila </w:t>
      </w:r>
      <w:r w:rsidR="00C50A9B">
        <w:rPr>
          <w:rFonts w:ascii="Arial" w:eastAsia="Times New Roman" w:hAnsi="Arial" w:cs="Arial"/>
        </w:rPr>
        <w:t xml:space="preserve">teretno vozilo man s </w:t>
      </w:r>
      <w:r w:rsidR="00B91591">
        <w:rPr>
          <w:rFonts w:ascii="Arial" w:eastAsia="Times New Roman" w:hAnsi="Arial" w:cs="Arial"/>
        </w:rPr>
        <w:t>k</w:t>
      </w:r>
      <w:r w:rsidR="00C50A9B">
        <w:rPr>
          <w:rFonts w:ascii="Arial" w:eastAsia="Times New Roman" w:hAnsi="Arial" w:cs="Arial"/>
        </w:rPr>
        <w:t>iperskim sandukom (projekt To 0 waste)</w:t>
      </w:r>
      <w:r w:rsidRPr="00940D3B">
        <w:rPr>
          <w:rFonts w:ascii="Arial" w:eastAsia="Times New Roman" w:hAnsi="Arial" w:cs="Arial"/>
        </w:rPr>
        <w:t xml:space="preserve"> koje je </w:t>
      </w:r>
      <w:r w:rsidR="00C50A9B">
        <w:rPr>
          <w:rFonts w:ascii="Arial" w:eastAsia="Times New Roman" w:hAnsi="Arial" w:cs="Arial"/>
        </w:rPr>
        <w:t>dala na korištenje društvu u vlasništvu Općine, Čistoća i zelenilo Konavle d.o.o.</w:t>
      </w:r>
    </w:p>
    <w:bookmarkEnd w:id="225"/>
    <w:p w14:paraId="3D5BB088" w14:textId="77777777" w:rsidR="00940D3B" w:rsidRPr="000E4677" w:rsidRDefault="00940D3B" w:rsidP="00B54FE6">
      <w:pPr>
        <w:tabs>
          <w:tab w:val="left" w:pos="5670"/>
        </w:tabs>
        <w:overflowPunct w:val="0"/>
        <w:autoSpaceDE w:val="0"/>
        <w:autoSpaceDN w:val="0"/>
        <w:adjustRightInd w:val="0"/>
        <w:spacing w:after="0" w:line="240" w:lineRule="auto"/>
        <w:jc w:val="both"/>
        <w:rPr>
          <w:rFonts w:ascii="Arial" w:eastAsia="Times New Roman" w:hAnsi="Arial" w:cs="Arial"/>
          <w:b/>
          <w:sz w:val="18"/>
          <w:szCs w:val="18"/>
        </w:rPr>
      </w:pPr>
    </w:p>
    <w:p w14:paraId="6422C6F2" w14:textId="77777777" w:rsidR="00C50A9B" w:rsidRDefault="000C5DE6" w:rsidP="00C175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bookmarkStart w:id="226" w:name="_Hlk145942485"/>
      <w:bookmarkEnd w:id="213"/>
      <w:bookmarkEnd w:id="224"/>
      <w:r w:rsidRPr="003A2F86">
        <w:rPr>
          <w:rFonts w:ascii="Arial" w:eastAsia="Times New Roman" w:hAnsi="Arial" w:cs="Arial"/>
          <w:b/>
          <w:sz w:val="18"/>
          <w:szCs w:val="18"/>
        </w:rPr>
        <w:t>Rashodi za prijevozna sredstva (</w:t>
      </w:r>
      <w:r w:rsidRPr="003A2F86">
        <w:rPr>
          <w:rFonts w:ascii="Arial" w:eastAsia="Times New Roman" w:hAnsi="Arial" w:cs="Arial"/>
          <w:sz w:val="18"/>
          <w:szCs w:val="18"/>
        </w:rPr>
        <w:t>423</w:t>
      </w:r>
      <w:r w:rsidRPr="003A2F86">
        <w:rPr>
          <w:rFonts w:ascii="Arial" w:eastAsia="Times New Roman" w:hAnsi="Arial" w:cs="Arial"/>
          <w:b/>
          <w:sz w:val="18"/>
          <w:szCs w:val="18"/>
        </w:rPr>
        <w:t>)</w:t>
      </w:r>
      <w:r w:rsidRPr="003A2F86">
        <w:rPr>
          <w:rFonts w:ascii="Arial" w:eastAsia="Times New Roman" w:hAnsi="Arial" w:cs="Arial"/>
          <w:sz w:val="18"/>
          <w:szCs w:val="18"/>
        </w:rPr>
        <w:t xml:space="preserve"> </w:t>
      </w:r>
      <w:r w:rsidR="00B15038" w:rsidRPr="003A2F86">
        <w:rPr>
          <w:rFonts w:ascii="Arial" w:eastAsia="Times New Roman" w:hAnsi="Arial" w:cs="Arial"/>
          <w:sz w:val="18"/>
          <w:szCs w:val="18"/>
        </w:rPr>
        <w:t xml:space="preserve">sveukupno u </w:t>
      </w:r>
      <w:r w:rsidR="00B15038" w:rsidRPr="00C50A9B">
        <w:rPr>
          <w:rFonts w:ascii="Arial" w:eastAsia="Times New Roman" w:hAnsi="Arial" w:cs="Arial"/>
          <w:b/>
          <w:bCs/>
          <w:sz w:val="18"/>
          <w:szCs w:val="18"/>
        </w:rPr>
        <w:t>2022</w:t>
      </w:r>
      <w:r w:rsidR="00B15038" w:rsidRPr="003A2F86">
        <w:rPr>
          <w:rFonts w:ascii="Arial" w:eastAsia="Times New Roman" w:hAnsi="Arial" w:cs="Arial"/>
          <w:sz w:val="18"/>
          <w:szCs w:val="18"/>
        </w:rPr>
        <w:t xml:space="preserve">. godini su bili </w:t>
      </w:r>
      <w:r w:rsidRPr="003A2F86">
        <w:rPr>
          <w:rFonts w:ascii="Arial" w:eastAsia="Times New Roman" w:hAnsi="Arial" w:cs="Arial"/>
          <w:sz w:val="18"/>
          <w:szCs w:val="18"/>
        </w:rPr>
        <w:t>izvršeni</w:t>
      </w:r>
      <w:r w:rsidR="00B15038" w:rsidRPr="003A2F86">
        <w:rPr>
          <w:rFonts w:ascii="Arial" w:eastAsia="Times New Roman" w:hAnsi="Arial" w:cs="Arial"/>
          <w:sz w:val="18"/>
          <w:szCs w:val="18"/>
        </w:rPr>
        <w:t xml:space="preserve"> </w:t>
      </w:r>
      <w:r w:rsidRPr="003A2F86">
        <w:rPr>
          <w:rFonts w:ascii="Arial" w:eastAsia="Times New Roman" w:hAnsi="Arial" w:cs="Arial"/>
          <w:sz w:val="18"/>
          <w:szCs w:val="18"/>
        </w:rPr>
        <w:t xml:space="preserve">u iznosu </w:t>
      </w:r>
      <w:r w:rsidR="00B15038" w:rsidRPr="003A2F86">
        <w:rPr>
          <w:rFonts w:ascii="Arial" w:eastAsia="Times New Roman" w:hAnsi="Arial" w:cs="Arial"/>
          <w:sz w:val="18"/>
          <w:szCs w:val="18"/>
        </w:rPr>
        <w:t xml:space="preserve">285.060,42 € i odnosili su se na </w:t>
      </w:r>
      <w:r w:rsidRPr="003A2F86">
        <w:rPr>
          <w:rFonts w:ascii="Arial" w:eastAsia="Times New Roman" w:hAnsi="Arial" w:cs="Arial"/>
          <w:sz w:val="18"/>
          <w:szCs w:val="18"/>
        </w:rPr>
        <w:t>nabavu vatrogasn</w:t>
      </w:r>
      <w:r w:rsidR="00B15038" w:rsidRPr="003A2F86">
        <w:rPr>
          <w:rFonts w:ascii="Arial" w:eastAsia="Times New Roman" w:hAnsi="Arial" w:cs="Arial"/>
          <w:sz w:val="18"/>
          <w:szCs w:val="18"/>
        </w:rPr>
        <w:t>e</w:t>
      </w:r>
      <w:r w:rsidRPr="003A2F86">
        <w:rPr>
          <w:rFonts w:ascii="Arial" w:eastAsia="Times New Roman" w:hAnsi="Arial" w:cs="Arial"/>
          <w:sz w:val="18"/>
          <w:szCs w:val="18"/>
        </w:rPr>
        <w:t xml:space="preserve"> cisterne u iznosu </w:t>
      </w:r>
      <w:r w:rsidR="00B15038" w:rsidRPr="003A2F86">
        <w:rPr>
          <w:rFonts w:ascii="Arial" w:eastAsia="Times New Roman" w:hAnsi="Arial" w:cs="Arial"/>
          <w:sz w:val="18"/>
          <w:szCs w:val="18"/>
        </w:rPr>
        <w:t>198.868,54 €</w:t>
      </w:r>
      <w:r w:rsidRPr="003A2F86">
        <w:rPr>
          <w:rFonts w:ascii="Arial" w:eastAsia="Times New Roman" w:hAnsi="Arial" w:cs="Arial"/>
          <w:sz w:val="18"/>
          <w:szCs w:val="18"/>
        </w:rPr>
        <w:t xml:space="preserve">, malog terenskog vozila (ATV) u iznosu </w:t>
      </w:r>
      <w:r w:rsidR="00B15038" w:rsidRPr="003A2F86">
        <w:rPr>
          <w:rFonts w:ascii="Arial" w:eastAsia="Times New Roman" w:hAnsi="Arial" w:cs="Arial"/>
          <w:sz w:val="18"/>
          <w:szCs w:val="18"/>
        </w:rPr>
        <w:t>36.118,36 €</w:t>
      </w:r>
      <w:r w:rsidRPr="003A2F86">
        <w:rPr>
          <w:rFonts w:ascii="Arial" w:eastAsia="Times New Roman" w:hAnsi="Arial" w:cs="Arial"/>
          <w:sz w:val="18"/>
          <w:szCs w:val="18"/>
        </w:rPr>
        <w:t xml:space="preserve"> i terenskog vozila u iznosu </w:t>
      </w:r>
      <w:r w:rsidR="00B15038" w:rsidRPr="003A2F86">
        <w:rPr>
          <w:rFonts w:ascii="Arial" w:eastAsia="Times New Roman" w:hAnsi="Arial" w:cs="Arial"/>
          <w:sz w:val="18"/>
          <w:szCs w:val="18"/>
        </w:rPr>
        <w:t>16.084,68 €</w:t>
      </w:r>
      <w:r w:rsidRPr="003A2F86">
        <w:rPr>
          <w:rFonts w:ascii="Arial" w:eastAsia="Times New Roman" w:hAnsi="Arial" w:cs="Arial"/>
          <w:sz w:val="18"/>
          <w:szCs w:val="18"/>
        </w:rPr>
        <w:t xml:space="preserve">, nabavu bicikli </w:t>
      </w:r>
      <w:r w:rsidR="00B15038" w:rsidRPr="003A2F86">
        <w:rPr>
          <w:rFonts w:ascii="Arial" w:eastAsia="Times New Roman" w:hAnsi="Arial" w:cs="Arial"/>
          <w:sz w:val="18"/>
          <w:szCs w:val="18"/>
        </w:rPr>
        <w:t>22.052,56 €</w:t>
      </w:r>
      <w:r w:rsidRPr="003A2F86">
        <w:rPr>
          <w:rFonts w:ascii="Arial" w:eastAsia="Times New Roman" w:hAnsi="Arial" w:cs="Arial"/>
          <w:sz w:val="18"/>
          <w:szCs w:val="18"/>
        </w:rPr>
        <w:t xml:space="preserve">, te nabavu dva drona (bespilotna letjelica) u iznosu </w:t>
      </w:r>
      <w:r w:rsidR="002C0456" w:rsidRPr="003A2F86">
        <w:rPr>
          <w:rFonts w:ascii="Arial" w:eastAsia="Times New Roman" w:hAnsi="Arial" w:cs="Arial"/>
          <w:sz w:val="18"/>
          <w:szCs w:val="18"/>
        </w:rPr>
        <w:t>11.936,29 €,</w:t>
      </w:r>
      <w:r w:rsidRPr="003A2F86">
        <w:rPr>
          <w:rFonts w:ascii="Arial" w:eastAsia="Times New Roman" w:hAnsi="Arial" w:cs="Arial"/>
          <w:sz w:val="18"/>
          <w:szCs w:val="18"/>
        </w:rPr>
        <w:t xml:space="preserve"> a sve putem projekata ĆIRO II i Flood &amp; fire.</w:t>
      </w:r>
      <w:r w:rsidR="008E2F1B" w:rsidRPr="003A2F86">
        <w:rPr>
          <w:rFonts w:ascii="Arial" w:eastAsia="Times New Roman" w:hAnsi="Arial" w:cs="Arial"/>
          <w:sz w:val="18"/>
          <w:szCs w:val="18"/>
        </w:rPr>
        <w:t xml:space="preserve"> </w:t>
      </w:r>
    </w:p>
    <w:p w14:paraId="7245ED47" w14:textId="5091E937" w:rsidR="000C5DE6" w:rsidRPr="003A2F86" w:rsidRDefault="00F55B17" w:rsidP="00C175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Pr>
          <w:rFonts w:ascii="Arial" w:eastAsia="Times New Roman" w:hAnsi="Arial" w:cs="Arial"/>
          <w:sz w:val="18"/>
          <w:szCs w:val="18"/>
        </w:rPr>
        <w:t xml:space="preserve">U 2023. godini nije bilo rashoda za prijevozna sredstva, dok su u </w:t>
      </w:r>
      <w:r w:rsidRPr="00C50A9B">
        <w:rPr>
          <w:rFonts w:ascii="Arial" w:eastAsia="Times New Roman" w:hAnsi="Arial" w:cs="Arial"/>
          <w:b/>
          <w:bCs/>
          <w:sz w:val="18"/>
          <w:szCs w:val="18"/>
        </w:rPr>
        <w:t>2024</w:t>
      </w:r>
      <w:r>
        <w:rPr>
          <w:rFonts w:ascii="Arial" w:eastAsia="Times New Roman" w:hAnsi="Arial" w:cs="Arial"/>
          <w:sz w:val="18"/>
          <w:szCs w:val="18"/>
        </w:rPr>
        <w:t xml:space="preserve">. godini </w:t>
      </w:r>
      <w:r w:rsidR="00C50A9B">
        <w:rPr>
          <w:rFonts w:ascii="Arial" w:eastAsia="Times New Roman" w:hAnsi="Arial" w:cs="Arial"/>
          <w:sz w:val="18"/>
          <w:szCs w:val="18"/>
        </w:rPr>
        <w:t xml:space="preserve">su </w:t>
      </w:r>
      <w:r w:rsidRPr="00F55B17">
        <w:rPr>
          <w:rFonts w:ascii="Arial" w:eastAsia="Times New Roman" w:hAnsi="Arial" w:cs="Arial"/>
          <w:sz w:val="18"/>
          <w:szCs w:val="18"/>
        </w:rPr>
        <w:t>izvršeni u iznosu 229.125 €</w:t>
      </w:r>
      <w:r w:rsidR="00C50A9B">
        <w:rPr>
          <w:rFonts w:ascii="Arial" w:eastAsia="Times New Roman" w:hAnsi="Arial" w:cs="Arial"/>
          <w:sz w:val="18"/>
          <w:szCs w:val="18"/>
        </w:rPr>
        <w:t xml:space="preserve"> (O</w:t>
      </w:r>
      <w:r w:rsidRPr="00F55B17">
        <w:rPr>
          <w:rFonts w:ascii="Arial" w:eastAsia="Times New Roman" w:hAnsi="Arial" w:cs="Arial"/>
          <w:sz w:val="18"/>
          <w:szCs w:val="18"/>
        </w:rPr>
        <w:t>pćin</w:t>
      </w:r>
      <w:r w:rsidR="00C50A9B">
        <w:rPr>
          <w:rFonts w:ascii="Arial" w:eastAsia="Times New Roman" w:hAnsi="Arial" w:cs="Arial"/>
          <w:sz w:val="18"/>
          <w:szCs w:val="18"/>
        </w:rPr>
        <w:t>a</w:t>
      </w:r>
      <w:r w:rsidRPr="00F55B17">
        <w:rPr>
          <w:rFonts w:ascii="Arial" w:eastAsia="Times New Roman" w:hAnsi="Arial" w:cs="Arial"/>
          <w:sz w:val="18"/>
          <w:szCs w:val="18"/>
        </w:rPr>
        <w:t xml:space="preserve"> 204.625 € i dječji vrtić 24.500 €</w:t>
      </w:r>
      <w:r w:rsidR="00C50A9B">
        <w:rPr>
          <w:rFonts w:ascii="Arial" w:eastAsia="Times New Roman" w:hAnsi="Arial" w:cs="Arial"/>
          <w:sz w:val="18"/>
          <w:szCs w:val="18"/>
        </w:rPr>
        <w:t>)</w:t>
      </w:r>
      <w:r w:rsidRPr="00F55B17">
        <w:rPr>
          <w:rFonts w:ascii="Arial" w:eastAsia="Times New Roman" w:hAnsi="Arial" w:cs="Arial"/>
          <w:sz w:val="18"/>
          <w:szCs w:val="18"/>
        </w:rPr>
        <w:t>. Općina je nabavila rabljeno vozilo 11.500 € i vatrogasne auto ljestv</w:t>
      </w:r>
      <w:r w:rsidR="00C50A9B">
        <w:rPr>
          <w:rFonts w:ascii="Arial" w:eastAsia="Times New Roman" w:hAnsi="Arial" w:cs="Arial"/>
          <w:sz w:val="18"/>
          <w:szCs w:val="18"/>
        </w:rPr>
        <w:t>e</w:t>
      </w:r>
      <w:r w:rsidRPr="00F55B17">
        <w:rPr>
          <w:rFonts w:ascii="Arial" w:eastAsia="Times New Roman" w:hAnsi="Arial" w:cs="Arial"/>
          <w:sz w:val="18"/>
          <w:szCs w:val="18"/>
        </w:rPr>
        <w:t xml:space="preserve"> 193.125 € koje je prenijela bez naknade proračunskom korisniku Javnoj vatrogasnoj postrojbi.</w:t>
      </w:r>
    </w:p>
    <w:p w14:paraId="7FACAC48" w14:textId="77777777" w:rsidR="000C5DE6" w:rsidRPr="000E4677" w:rsidRDefault="000C5DE6" w:rsidP="000C5D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bookmarkEnd w:id="226"/>
    <w:p w14:paraId="76F8E0F7" w14:textId="16974127" w:rsidR="00B56ED2" w:rsidRPr="00B56ED2" w:rsidRDefault="00B56ED2" w:rsidP="00B56E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B56ED2">
        <w:rPr>
          <w:rFonts w:ascii="Arial" w:eastAsia="Times New Roman" w:hAnsi="Arial" w:cs="Arial"/>
          <w:b/>
        </w:rPr>
        <w:lastRenderedPageBreak/>
        <w:t>Rashodi za nabavu knjiga, umjetničkih dijela i ostalih izložbenih vrijednosti (</w:t>
      </w:r>
      <w:r w:rsidRPr="00B56ED2">
        <w:rPr>
          <w:rFonts w:ascii="Arial" w:eastAsia="Times New Roman" w:hAnsi="Arial" w:cs="Arial"/>
        </w:rPr>
        <w:t xml:space="preserve">424) su izvršeni u iznosu </w:t>
      </w:r>
      <w:r w:rsidR="00C50A9B">
        <w:rPr>
          <w:rFonts w:ascii="Arial" w:eastAsia="Times New Roman" w:hAnsi="Arial" w:cs="Arial"/>
        </w:rPr>
        <w:t>20.180</w:t>
      </w:r>
      <w:r w:rsidRPr="00B56ED2">
        <w:rPr>
          <w:rFonts w:ascii="Arial" w:eastAsia="Times New Roman" w:hAnsi="Arial" w:cs="Arial"/>
        </w:rPr>
        <w:t xml:space="preserve"> € što je za </w:t>
      </w:r>
      <w:r w:rsidR="00C50A9B">
        <w:rPr>
          <w:rFonts w:ascii="Arial" w:eastAsia="Times New Roman" w:hAnsi="Arial" w:cs="Arial"/>
        </w:rPr>
        <w:t>18.100</w:t>
      </w:r>
      <w:r w:rsidRPr="00B56ED2">
        <w:rPr>
          <w:rFonts w:ascii="Arial" w:eastAsia="Times New Roman" w:hAnsi="Arial" w:cs="Arial"/>
        </w:rPr>
        <w:t xml:space="preserve"> € </w:t>
      </w:r>
      <w:r w:rsidR="00C50A9B">
        <w:rPr>
          <w:rFonts w:ascii="Arial" w:eastAsia="Times New Roman" w:hAnsi="Arial" w:cs="Arial"/>
        </w:rPr>
        <w:t>više</w:t>
      </w:r>
      <w:r w:rsidRPr="00B56ED2">
        <w:rPr>
          <w:rFonts w:ascii="Arial" w:eastAsia="Times New Roman" w:hAnsi="Arial" w:cs="Arial"/>
        </w:rPr>
        <w:t xml:space="preserve"> nego prethodne godine. Ovi rashodi se u cijelosti odnose na proračunskog korisnika (ustanova u kulturi, otkup izložbenih predmeta</w:t>
      </w:r>
      <w:r w:rsidR="008C1A65">
        <w:rPr>
          <w:rFonts w:ascii="Arial" w:eastAsia="Times New Roman" w:hAnsi="Arial" w:cs="Arial"/>
        </w:rPr>
        <w:t xml:space="preserve"> 1.880 € i otkup slike Vlaha Bukova 18.300 €</w:t>
      </w:r>
      <w:r w:rsidRPr="00B56ED2">
        <w:rPr>
          <w:rFonts w:ascii="Arial" w:eastAsia="Times New Roman" w:hAnsi="Arial" w:cs="Arial"/>
        </w:rPr>
        <w:t xml:space="preserve">). </w:t>
      </w:r>
      <w:r w:rsidR="008C1A65">
        <w:rPr>
          <w:rFonts w:ascii="Arial" w:eastAsia="Times New Roman" w:hAnsi="Arial" w:cs="Arial"/>
        </w:rPr>
        <w:t>U izvještajnom razdoblju p</w:t>
      </w:r>
      <w:r w:rsidRPr="00B56ED2">
        <w:rPr>
          <w:rFonts w:ascii="Arial" w:eastAsia="Times New Roman" w:hAnsi="Arial" w:cs="Arial"/>
        </w:rPr>
        <w:t xml:space="preserve">rethodne godine ovi rashodi su iznosili </w:t>
      </w:r>
      <w:r w:rsidR="008C1A65">
        <w:rPr>
          <w:rFonts w:ascii="Arial" w:eastAsia="Times New Roman" w:hAnsi="Arial" w:cs="Arial"/>
        </w:rPr>
        <w:t>2.080</w:t>
      </w:r>
      <w:r w:rsidRPr="00B56ED2">
        <w:rPr>
          <w:rFonts w:ascii="Arial" w:eastAsia="Times New Roman" w:hAnsi="Arial" w:cs="Arial"/>
        </w:rPr>
        <w:t xml:space="preserve"> € (također ustanova u kulturi). </w:t>
      </w:r>
    </w:p>
    <w:p w14:paraId="5C2AF4A9" w14:textId="77777777" w:rsidR="00B56ED2" w:rsidRDefault="00B56ED2" w:rsidP="000C5D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b/>
        </w:rPr>
      </w:pPr>
    </w:p>
    <w:p w14:paraId="6F5E45D3" w14:textId="578743D7" w:rsidR="00B56ED2" w:rsidRPr="00B56ED2" w:rsidRDefault="00B56ED2" w:rsidP="00B56E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B56ED2">
        <w:rPr>
          <w:rFonts w:ascii="Arial" w:eastAsia="Times New Roman" w:hAnsi="Arial" w:cs="Arial"/>
          <w:b/>
          <w:bCs/>
        </w:rPr>
        <w:t>Rashodi za nematerijalnu proizvedenu imovinu</w:t>
      </w:r>
      <w:r w:rsidRPr="00B56ED2">
        <w:rPr>
          <w:rFonts w:ascii="Arial" w:eastAsia="Times New Roman" w:hAnsi="Arial" w:cs="Arial"/>
        </w:rPr>
        <w:t xml:space="preserve"> (426) su </w:t>
      </w:r>
      <w:r w:rsidR="008C1A65">
        <w:rPr>
          <w:rFonts w:ascii="Arial" w:eastAsia="Times New Roman" w:hAnsi="Arial" w:cs="Arial"/>
        </w:rPr>
        <w:t xml:space="preserve">u 2025. </w:t>
      </w:r>
      <w:r w:rsidRPr="00B56ED2">
        <w:rPr>
          <w:rFonts w:ascii="Arial" w:eastAsia="Times New Roman" w:hAnsi="Arial" w:cs="Arial"/>
        </w:rPr>
        <w:t xml:space="preserve">izvršeni u iznosu </w:t>
      </w:r>
      <w:bookmarkStart w:id="227" w:name="_Hlk200542306"/>
      <w:r w:rsidR="008C1A65">
        <w:rPr>
          <w:rFonts w:ascii="Arial" w:eastAsia="Times New Roman" w:hAnsi="Arial" w:cs="Arial"/>
        </w:rPr>
        <w:t>88.981,94</w:t>
      </w:r>
      <w:r w:rsidRPr="00B56ED2">
        <w:rPr>
          <w:rFonts w:ascii="Arial" w:eastAsia="Times New Roman" w:hAnsi="Arial" w:cs="Arial"/>
        </w:rPr>
        <w:t xml:space="preserve"> </w:t>
      </w:r>
      <w:bookmarkEnd w:id="227"/>
      <w:r w:rsidRPr="00B56ED2">
        <w:rPr>
          <w:rFonts w:ascii="Arial" w:eastAsia="Times New Roman" w:hAnsi="Arial" w:cs="Arial"/>
        </w:rPr>
        <w:t xml:space="preserve">€ što je za </w:t>
      </w:r>
      <w:bookmarkStart w:id="228" w:name="_Hlk200542325"/>
      <w:r w:rsidR="008C1A65">
        <w:rPr>
          <w:rFonts w:ascii="Arial" w:eastAsia="Times New Roman" w:hAnsi="Arial" w:cs="Arial"/>
        </w:rPr>
        <w:t>24.280,54</w:t>
      </w:r>
      <w:r w:rsidRPr="00B56ED2">
        <w:rPr>
          <w:rFonts w:ascii="Arial" w:eastAsia="Times New Roman" w:hAnsi="Arial" w:cs="Arial"/>
        </w:rPr>
        <w:t xml:space="preserve"> € ili </w:t>
      </w:r>
      <w:r w:rsidR="008C1A65">
        <w:rPr>
          <w:rFonts w:ascii="Arial" w:eastAsia="Times New Roman" w:hAnsi="Arial" w:cs="Arial"/>
        </w:rPr>
        <w:t>37,5</w:t>
      </w:r>
      <w:r w:rsidRPr="00B56ED2">
        <w:rPr>
          <w:rFonts w:ascii="Arial" w:eastAsia="Times New Roman" w:hAnsi="Arial" w:cs="Arial"/>
        </w:rPr>
        <w:t xml:space="preserve">% </w:t>
      </w:r>
      <w:r w:rsidR="008C1A65">
        <w:rPr>
          <w:rFonts w:ascii="Arial" w:eastAsia="Times New Roman" w:hAnsi="Arial" w:cs="Arial"/>
        </w:rPr>
        <w:t>više</w:t>
      </w:r>
      <w:r w:rsidRPr="00B56ED2">
        <w:rPr>
          <w:rFonts w:ascii="Arial" w:eastAsia="Times New Roman" w:hAnsi="Arial" w:cs="Arial"/>
        </w:rPr>
        <w:t xml:space="preserve"> u odnosu na izvještajno razdoblje prethodne godine kada su ovi rashodi iznosili </w:t>
      </w:r>
      <w:r w:rsidR="008C1A65">
        <w:rPr>
          <w:rFonts w:ascii="Arial" w:eastAsia="Times New Roman" w:hAnsi="Arial" w:cs="Arial"/>
        </w:rPr>
        <w:t>64.701,40</w:t>
      </w:r>
      <w:r w:rsidRPr="00B56ED2">
        <w:rPr>
          <w:rFonts w:ascii="Arial" w:eastAsia="Times New Roman" w:hAnsi="Arial" w:cs="Arial"/>
        </w:rPr>
        <w:t xml:space="preserve"> €. </w:t>
      </w:r>
      <w:bookmarkEnd w:id="228"/>
      <w:r w:rsidRPr="00B56ED2">
        <w:rPr>
          <w:rFonts w:ascii="Arial" w:eastAsia="Times New Roman" w:hAnsi="Arial" w:cs="Arial"/>
        </w:rPr>
        <w:t>Ovi rashodi se u cijelosti odnose na Općinu, a odnose se na izradu projektne dokumentacije (4263) i to:</w:t>
      </w:r>
    </w:p>
    <w:p w14:paraId="0EA9B27B" w14:textId="4A068CCA" w:rsidR="00B56ED2" w:rsidRPr="008C1A65" w:rsidRDefault="00B56ED2" w:rsidP="00B56E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bookmarkStart w:id="229" w:name="_Hlk200542364"/>
      <w:bookmarkStart w:id="230" w:name="_Hlk207636492"/>
      <w:r w:rsidRPr="008C1A65">
        <w:rPr>
          <w:rFonts w:ascii="Arial" w:eastAsia="Times New Roman" w:hAnsi="Arial" w:cs="Arial"/>
        </w:rPr>
        <w:t>-</w:t>
      </w:r>
      <w:r w:rsidRPr="008C1A65">
        <w:rPr>
          <w:rFonts w:ascii="Arial" w:eastAsia="Times New Roman" w:hAnsi="Arial" w:cs="Arial"/>
        </w:rPr>
        <w:tab/>
        <w:t xml:space="preserve">izrada izmjena i dopuna prostornog plana Općine, te izmjena i dopuna urbanističkog plana u iznosu </w:t>
      </w:r>
      <w:r w:rsidR="008C1A65" w:rsidRPr="008C1A65">
        <w:rPr>
          <w:rFonts w:ascii="Arial" w:eastAsia="Times New Roman" w:hAnsi="Arial" w:cs="Arial"/>
        </w:rPr>
        <w:t>4.356,94</w:t>
      </w:r>
      <w:r w:rsidRPr="008C1A65">
        <w:rPr>
          <w:rFonts w:ascii="Arial" w:eastAsia="Times New Roman" w:hAnsi="Arial" w:cs="Arial"/>
        </w:rPr>
        <w:t xml:space="preserve"> €, </w:t>
      </w:r>
    </w:p>
    <w:p w14:paraId="1AE4F754" w14:textId="60239E9F" w:rsidR="008C1A65" w:rsidRDefault="00B56ED2" w:rsidP="00B56E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B56ED2">
        <w:rPr>
          <w:rFonts w:ascii="Arial" w:eastAsia="Times New Roman" w:hAnsi="Arial" w:cs="Arial"/>
        </w:rPr>
        <w:t>-</w:t>
      </w:r>
      <w:r w:rsidRPr="00B56ED2">
        <w:rPr>
          <w:rFonts w:ascii="Arial" w:eastAsia="Times New Roman" w:hAnsi="Arial" w:cs="Arial"/>
        </w:rPr>
        <w:tab/>
        <w:t xml:space="preserve">za uređenja prilaza nogostupa uz županijsku cestu u Čilipima </w:t>
      </w:r>
      <w:r w:rsidR="008C1A65">
        <w:rPr>
          <w:rFonts w:ascii="Arial" w:eastAsia="Times New Roman" w:hAnsi="Arial" w:cs="Arial"/>
        </w:rPr>
        <w:t>8.725</w:t>
      </w:r>
      <w:r w:rsidRPr="00B56ED2">
        <w:rPr>
          <w:rFonts w:ascii="Arial" w:eastAsia="Times New Roman" w:hAnsi="Arial" w:cs="Arial"/>
        </w:rPr>
        <w:t xml:space="preserve"> €</w:t>
      </w:r>
      <w:r w:rsidR="008C1A65">
        <w:rPr>
          <w:rFonts w:ascii="Arial" w:eastAsia="Times New Roman" w:hAnsi="Arial" w:cs="Arial"/>
        </w:rPr>
        <w:t xml:space="preserve"> na lokaciji Prahivac 12.875 €,</w:t>
      </w:r>
    </w:p>
    <w:p w14:paraId="4AB56F2A" w14:textId="77777777" w:rsidR="008C1A65" w:rsidRDefault="008C1A65" w:rsidP="00B56E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 xml:space="preserve">- </w:t>
      </w:r>
      <w:r>
        <w:rPr>
          <w:rFonts w:ascii="Arial" w:eastAsia="Times New Roman" w:hAnsi="Arial" w:cs="Arial"/>
        </w:rPr>
        <w:tab/>
        <w:t>izrada glavnog projekta za zahvat rekonstrukcije raskrižja na državnoj cesti D8</w:t>
      </w:r>
      <w:r w:rsidRPr="008C1A65">
        <w:t xml:space="preserve"> </w:t>
      </w:r>
      <w:r w:rsidRPr="008C1A65">
        <w:rPr>
          <w:rFonts w:ascii="Arial" w:eastAsia="Times New Roman" w:hAnsi="Arial" w:cs="Arial"/>
        </w:rPr>
        <w:t>na lokaciji Prahivac 12.875 €,</w:t>
      </w:r>
    </w:p>
    <w:p w14:paraId="1C7FA7EC" w14:textId="77777777" w:rsidR="008C1A65" w:rsidRDefault="008C1A65" w:rsidP="00B56E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 xml:space="preserve">- </w:t>
      </w:r>
      <w:r>
        <w:rPr>
          <w:rFonts w:ascii="Arial" w:eastAsia="Times New Roman" w:hAnsi="Arial" w:cs="Arial"/>
        </w:rPr>
        <w:tab/>
        <w:t xml:space="preserve">izrada projektne dokumentacije – pretovarna zona Cavtat 10.000 €, </w:t>
      </w:r>
    </w:p>
    <w:p w14:paraId="0ADAF1CA" w14:textId="77777777" w:rsidR="008C1A65" w:rsidRDefault="008C1A65" w:rsidP="00B56E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w:t>
      </w:r>
      <w:r>
        <w:rPr>
          <w:rFonts w:ascii="Arial" w:eastAsia="Times New Roman" w:hAnsi="Arial" w:cs="Arial"/>
        </w:rPr>
        <w:tab/>
        <w:t>projekt za plato na predjelu Ravnice, Cavtat 4.100 €,</w:t>
      </w:r>
    </w:p>
    <w:p w14:paraId="06596305" w14:textId="77777777" w:rsidR="008C1A65" w:rsidRDefault="008C1A65" w:rsidP="00B56E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w:t>
      </w:r>
      <w:r>
        <w:rPr>
          <w:rFonts w:ascii="Arial" w:eastAsia="Times New Roman" w:hAnsi="Arial" w:cs="Arial"/>
        </w:rPr>
        <w:tab/>
        <w:t xml:space="preserve">projekt nogostupa Čilipi 15.175 €, </w:t>
      </w:r>
    </w:p>
    <w:p w14:paraId="1F30D1DB" w14:textId="28F04B72" w:rsidR="00B56ED2" w:rsidRPr="00111106" w:rsidRDefault="008C1A65" w:rsidP="00B56E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 xml:space="preserve">- </w:t>
      </w:r>
      <w:r>
        <w:rPr>
          <w:rFonts w:ascii="Arial" w:eastAsia="Times New Roman" w:hAnsi="Arial" w:cs="Arial"/>
        </w:rPr>
        <w:tab/>
        <w:t xml:space="preserve">projekt zelene tržnice na Grudi 22.250 €, </w:t>
      </w:r>
    </w:p>
    <w:p w14:paraId="3E140FD0" w14:textId="24E92B2E" w:rsidR="00B56ED2" w:rsidRPr="008C1A65" w:rsidRDefault="00B56ED2" w:rsidP="00B56ED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r w:rsidRPr="008C1A65">
        <w:rPr>
          <w:rFonts w:ascii="Arial" w:eastAsia="Times New Roman" w:hAnsi="Arial" w:cs="Arial"/>
        </w:rPr>
        <w:t>-</w:t>
      </w:r>
      <w:r w:rsidRPr="008C1A65">
        <w:rPr>
          <w:rFonts w:ascii="Arial" w:eastAsia="Times New Roman" w:hAnsi="Arial" w:cs="Arial"/>
        </w:rPr>
        <w:tab/>
        <w:t xml:space="preserve">za prometnicu i oborinsku odvodnju u Cavtatu (Trumbićeva ulica i ulica dr.A.Starčevića) </w:t>
      </w:r>
      <w:r w:rsidR="008C1A65" w:rsidRPr="008C1A65">
        <w:rPr>
          <w:rFonts w:ascii="Arial" w:eastAsia="Times New Roman" w:hAnsi="Arial" w:cs="Arial"/>
        </w:rPr>
        <w:t>11.500</w:t>
      </w:r>
      <w:r w:rsidRPr="008C1A65">
        <w:rPr>
          <w:rFonts w:ascii="Arial" w:eastAsia="Times New Roman" w:hAnsi="Arial" w:cs="Arial"/>
        </w:rPr>
        <w:t>,00 €</w:t>
      </w:r>
      <w:r w:rsidR="008C1A65">
        <w:rPr>
          <w:rFonts w:ascii="Arial" w:eastAsia="Times New Roman" w:hAnsi="Arial" w:cs="Arial"/>
        </w:rPr>
        <w:t>.</w:t>
      </w:r>
    </w:p>
    <w:bookmarkEnd w:id="229"/>
    <w:p w14:paraId="341A488E" w14:textId="77777777" w:rsidR="00B56ED2" w:rsidRPr="000E4677" w:rsidRDefault="00B56ED2" w:rsidP="00C120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bCs/>
          <w:sz w:val="18"/>
          <w:szCs w:val="18"/>
        </w:rPr>
      </w:pPr>
    </w:p>
    <w:p w14:paraId="4F4373EE" w14:textId="0F830B24" w:rsidR="00B56ED2" w:rsidRPr="00B56ED2" w:rsidRDefault="00B56ED2" w:rsidP="003C2E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bookmarkStart w:id="231" w:name="_Hlk101790992"/>
      <w:bookmarkEnd w:id="230"/>
      <w:r w:rsidRPr="00B56ED2">
        <w:rPr>
          <w:rFonts w:ascii="Arial" w:eastAsia="Times New Roman" w:hAnsi="Arial" w:cs="Arial"/>
          <w:bCs/>
          <w:sz w:val="18"/>
          <w:szCs w:val="18"/>
        </w:rPr>
        <w:t xml:space="preserve">Sveukupno u </w:t>
      </w:r>
      <w:r w:rsidRPr="00DD6C03">
        <w:rPr>
          <w:rFonts w:ascii="Arial" w:eastAsia="Times New Roman" w:hAnsi="Arial" w:cs="Arial"/>
          <w:b/>
          <w:sz w:val="18"/>
          <w:szCs w:val="18"/>
          <w:u w:val="single"/>
        </w:rPr>
        <w:t>2022</w:t>
      </w:r>
      <w:r w:rsidRPr="00B56ED2">
        <w:rPr>
          <w:rFonts w:ascii="Arial" w:eastAsia="Times New Roman" w:hAnsi="Arial" w:cs="Arial"/>
          <w:bCs/>
          <w:sz w:val="18"/>
          <w:szCs w:val="18"/>
        </w:rPr>
        <w:t>. bili su izvršeni rashodi za nematerijalnu proizvedenu imovinu (426)</w:t>
      </w:r>
      <w:r w:rsidRPr="00B56ED2">
        <w:rPr>
          <w:rFonts w:ascii="Arial" w:eastAsia="Times New Roman" w:hAnsi="Arial" w:cs="Arial"/>
          <w:sz w:val="18"/>
          <w:szCs w:val="18"/>
        </w:rPr>
        <w:t xml:space="preserve"> u iznosu 140.294,76 € od čega su rashodi Općine iznosili 137.640,30 €, a </w:t>
      </w:r>
      <w:r w:rsidR="003C2EE6">
        <w:rPr>
          <w:rFonts w:ascii="Arial" w:eastAsia="Times New Roman" w:hAnsi="Arial" w:cs="Arial"/>
          <w:sz w:val="18"/>
          <w:szCs w:val="18"/>
        </w:rPr>
        <w:t xml:space="preserve">rashodi proračunskih korisnika </w:t>
      </w:r>
      <w:r w:rsidRPr="00B56ED2">
        <w:rPr>
          <w:rFonts w:ascii="Arial" w:eastAsia="Times New Roman" w:hAnsi="Arial" w:cs="Arial"/>
          <w:sz w:val="18"/>
          <w:szCs w:val="18"/>
        </w:rPr>
        <w:t>2.654,46 € (ustanova u kulturi). Rashodi Općine (426) u 2022. godini su se odnosili na ulaganja u računalne programe (program pisarnica, program transparentnost i kolanje računa unutar organizacije) u iznosu 8.679,08 €, te na izradu projektne dokumentacije (4263) i to: izradu izmjena i dopuna urbanističkog plana uređenja UPU Zračna luka, Čilipi 1 u iznosu 15.097,22 €, izradu izmjena i dopuna prostornog plana Općine u iznosu 10.269,43 €, te izradu projektne dokumentacije za osnovnu školu 88.663,26 €.</w:t>
      </w:r>
    </w:p>
    <w:p w14:paraId="36347948" w14:textId="77777777" w:rsidR="00B56ED2" w:rsidRDefault="00B56ED2" w:rsidP="003C2E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p>
    <w:p w14:paraId="7DF3E1EE" w14:textId="314F1D54" w:rsidR="00C1201F" w:rsidRPr="00B56ED2" w:rsidRDefault="00B56ED2" w:rsidP="003C2E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hAnsi="Arial" w:cs="Arial"/>
          <w:sz w:val="18"/>
          <w:szCs w:val="18"/>
        </w:rPr>
      </w:pPr>
      <w:r w:rsidRPr="00B56ED2">
        <w:rPr>
          <w:rFonts w:ascii="Arial" w:eastAsia="Times New Roman" w:hAnsi="Arial" w:cs="Arial"/>
          <w:sz w:val="18"/>
          <w:szCs w:val="18"/>
        </w:rPr>
        <w:t xml:space="preserve">Sveukupno u </w:t>
      </w:r>
      <w:r w:rsidRPr="00DD6C03">
        <w:rPr>
          <w:rFonts w:ascii="Arial" w:eastAsia="Times New Roman" w:hAnsi="Arial" w:cs="Arial"/>
          <w:b/>
          <w:bCs/>
          <w:sz w:val="18"/>
          <w:szCs w:val="18"/>
          <w:u w:val="single"/>
        </w:rPr>
        <w:t>2023</w:t>
      </w:r>
      <w:r w:rsidRPr="00B56ED2">
        <w:rPr>
          <w:rFonts w:ascii="Arial" w:eastAsia="Times New Roman" w:hAnsi="Arial" w:cs="Arial"/>
          <w:sz w:val="18"/>
          <w:szCs w:val="18"/>
        </w:rPr>
        <w:t xml:space="preserve">. bili su izvršeni rashodi za nematerijalnu proizvedenu imovinu (426) u iznosu </w:t>
      </w:r>
      <w:bookmarkStart w:id="232" w:name="_Hlk176442376"/>
      <w:r w:rsidR="00624EA5" w:rsidRPr="00B56ED2">
        <w:rPr>
          <w:rFonts w:ascii="Arial" w:hAnsi="Arial" w:cs="Arial"/>
          <w:sz w:val="18"/>
          <w:szCs w:val="18"/>
        </w:rPr>
        <w:t>64.701,40</w:t>
      </w:r>
      <w:r w:rsidR="00C1201F" w:rsidRPr="00B56ED2">
        <w:rPr>
          <w:rFonts w:ascii="Arial" w:hAnsi="Arial" w:cs="Arial"/>
          <w:sz w:val="18"/>
          <w:szCs w:val="18"/>
        </w:rPr>
        <w:t xml:space="preserve"> €</w:t>
      </w:r>
      <w:r w:rsidRPr="00B56ED2">
        <w:rPr>
          <w:rFonts w:ascii="Arial" w:hAnsi="Arial" w:cs="Arial"/>
          <w:sz w:val="18"/>
          <w:szCs w:val="18"/>
        </w:rPr>
        <w:t xml:space="preserve">, a odnosili su se na </w:t>
      </w:r>
      <w:bookmarkStart w:id="233" w:name="_Hlk176442402"/>
      <w:bookmarkEnd w:id="232"/>
      <w:r w:rsidR="00C1201F" w:rsidRPr="00B56ED2">
        <w:rPr>
          <w:rFonts w:ascii="Arial" w:hAnsi="Arial" w:cs="Arial"/>
          <w:sz w:val="18"/>
          <w:szCs w:val="18"/>
        </w:rPr>
        <w:t>izradu projektne dokumentacije (4263) i to: izrada izmjena i dopuna urbanističkog plana uređenja UPU Zračna luka, Čilipi 1</w:t>
      </w:r>
      <w:r w:rsidR="00624EA5" w:rsidRPr="00B56ED2">
        <w:rPr>
          <w:rFonts w:ascii="Arial" w:hAnsi="Arial" w:cs="Arial"/>
          <w:sz w:val="18"/>
          <w:szCs w:val="18"/>
        </w:rPr>
        <w:t xml:space="preserve">, izmjena prostornog i urbanističkog plana povezane uz zonu turističko ugostiteljske namjene Prahivac, te </w:t>
      </w:r>
      <w:r w:rsidR="00C1201F" w:rsidRPr="00B56ED2">
        <w:rPr>
          <w:rFonts w:ascii="Arial" w:hAnsi="Arial" w:cs="Arial"/>
          <w:sz w:val="18"/>
          <w:szCs w:val="18"/>
        </w:rPr>
        <w:t xml:space="preserve">izrada izmjena i dopuna prostornog plana Općine te izmjena i dopuna urbanističkog plana u </w:t>
      </w:r>
      <w:r w:rsidR="00624EA5" w:rsidRPr="00B56ED2">
        <w:rPr>
          <w:rFonts w:ascii="Arial" w:hAnsi="Arial" w:cs="Arial"/>
          <w:sz w:val="18"/>
          <w:szCs w:val="18"/>
        </w:rPr>
        <w:t xml:space="preserve">sveukupnom </w:t>
      </w:r>
      <w:r w:rsidR="00C1201F" w:rsidRPr="00B56ED2">
        <w:rPr>
          <w:rFonts w:ascii="Arial" w:hAnsi="Arial" w:cs="Arial"/>
          <w:sz w:val="18"/>
          <w:szCs w:val="18"/>
        </w:rPr>
        <w:t xml:space="preserve">iznosu </w:t>
      </w:r>
      <w:r w:rsidR="00624EA5" w:rsidRPr="00B56ED2">
        <w:rPr>
          <w:rFonts w:ascii="Arial" w:hAnsi="Arial" w:cs="Arial"/>
          <w:sz w:val="18"/>
          <w:szCs w:val="18"/>
        </w:rPr>
        <w:t>16.749,82</w:t>
      </w:r>
      <w:r w:rsidR="00C1201F" w:rsidRPr="00B56ED2">
        <w:rPr>
          <w:rFonts w:ascii="Arial" w:hAnsi="Arial" w:cs="Arial"/>
          <w:sz w:val="18"/>
          <w:szCs w:val="18"/>
        </w:rPr>
        <w:t xml:space="preserve"> €, dokumentacija za preuređenje prometnice i odvodnju u dijelu Trumbićeve ulice i ulici dr. Ante Starčevića u Cavtatu </w:t>
      </w:r>
      <w:r w:rsidR="00624EA5" w:rsidRPr="00B56ED2">
        <w:rPr>
          <w:rFonts w:ascii="Arial" w:hAnsi="Arial" w:cs="Arial"/>
          <w:sz w:val="18"/>
          <w:szCs w:val="18"/>
        </w:rPr>
        <w:t>14.125</w:t>
      </w:r>
      <w:r w:rsidR="00C1201F" w:rsidRPr="00B56ED2">
        <w:rPr>
          <w:rFonts w:ascii="Arial" w:hAnsi="Arial" w:cs="Arial"/>
          <w:sz w:val="18"/>
          <w:szCs w:val="18"/>
        </w:rPr>
        <w:t xml:space="preserve"> €, izradu projektne dokumentacije za osnovnu školu </w:t>
      </w:r>
      <w:r w:rsidR="00624EA5" w:rsidRPr="00B56ED2">
        <w:rPr>
          <w:rFonts w:ascii="Arial" w:hAnsi="Arial" w:cs="Arial"/>
          <w:sz w:val="18"/>
          <w:szCs w:val="18"/>
        </w:rPr>
        <w:t>11.354,08 €</w:t>
      </w:r>
      <w:r w:rsidR="00C1201F" w:rsidRPr="00B56ED2">
        <w:rPr>
          <w:rFonts w:ascii="Arial" w:hAnsi="Arial" w:cs="Arial"/>
          <w:sz w:val="18"/>
          <w:szCs w:val="18"/>
        </w:rPr>
        <w:t xml:space="preserve"> (RH </w:t>
      </w:r>
      <w:r w:rsidR="00624EA5" w:rsidRPr="00B56ED2">
        <w:rPr>
          <w:rFonts w:ascii="Arial" w:hAnsi="Arial" w:cs="Arial"/>
          <w:sz w:val="18"/>
          <w:szCs w:val="18"/>
        </w:rPr>
        <w:t xml:space="preserve">je ranijih godina </w:t>
      </w:r>
      <w:r w:rsidR="00C1201F" w:rsidRPr="00B56ED2">
        <w:rPr>
          <w:rFonts w:ascii="Arial" w:hAnsi="Arial" w:cs="Arial"/>
          <w:sz w:val="18"/>
          <w:szCs w:val="18"/>
        </w:rPr>
        <w:t>donirala zemljište za izgradnju škole)</w:t>
      </w:r>
      <w:r w:rsidR="00624EA5" w:rsidRPr="00B56ED2">
        <w:rPr>
          <w:rFonts w:ascii="Arial" w:hAnsi="Arial" w:cs="Arial"/>
          <w:sz w:val="18"/>
          <w:szCs w:val="18"/>
        </w:rPr>
        <w:t>, izrada projektne dokumentacije za uređenje i sanaciju Ulice kneza Domagoja i Konavosku ulicu 12.910 €, projektna dokumentacija za nogostup uz županijsku cestu D8 do ulice Masješi u iznosu 6.625 €, te izradu projektne dokumentacije za nogostup Obod do raskrižja Zvekovica 2.937,50 €.</w:t>
      </w:r>
    </w:p>
    <w:bookmarkEnd w:id="231"/>
    <w:bookmarkEnd w:id="233"/>
    <w:p w14:paraId="51D4F582" w14:textId="77777777" w:rsidR="00535642" w:rsidRPr="00DD6C03" w:rsidRDefault="00535642" w:rsidP="008C1A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rPr>
      </w:pPr>
    </w:p>
    <w:p w14:paraId="42641761" w14:textId="6EE436A3" w:rsidR="008C1A65" w:rsidRPr="00DD6C03" w:rsidRDefault="00111106" w:rsidP="008C1A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ind w:left="567"/>
        <w:jc w:val="both"/>
        <w:rPr>
          <w:rFonts w:ascii="Arial" w:eastAsia="Times New Roman" w:hAnsi="Arial" w:cs="Arial"/>
          <w:sz w:val="18"/>
          <w:szCs w:val="18"/>
        </w:rPr>
      </w:pPr>
      <w:r>
        <w:rPr>
          <w:rFonts w:ascii="Arial" w:eastAsia="Times New Roman" w:hAnsi="Arial" w:cs="Arial"/>
          <w:b/>
          <w:bCs/>
          <w:sz w:val="18"/>
          <w:szCs w:val="18"/>
        </w:rPr>
        <w:t>Sveukupno</w:t>
      </w:r>
      <w:r w:rsidR="008C1A65" w:rsidRPr="00DD6C03">
        <w:rPr>
          <w:rFonts w:ascii="Arial" w:eastAsia="Times New Roman" w:hAnsi="Arial" w:cs="Arial"/>
          <w:sz w:val="18"/>
          <w:szCs w:val="18"/>
        </w:rPr>
        <w:t xml:space="preserve"> </w:t>
      </w:r>
      <w:r w:rsidRPr="00DD6C03">
        <w:rPr>
          <w:rFonts w:ascii="Arial" w:eastAsia="Times New Roman" w:hAnsi="Arial" w:cs="Arial"/>
          <w:sz w:val="18"/>
          <w:szCs w:val="18"/>
        </w:rPr>
        <w:t xml:space="preserve">u </w:t>
      </w:r>
      <w:r w:rsidRPr="00DD6C03">
        <w:rPr>
          <w:rFonts w:ascii="Arial" w:eastAsia="Times New Roman" w:hAnsi="Arial" w:cs="Arial"/>
          <w:b/>
          <w:bCs/>
          <w:sz w:val="18"/>
          <w:szCs w:val="18"/>
          <w:u w:val="single"/>
        </w:rPr>
        <w:t>2024</w:t>
      </w:r>
      <w:r w:rsidRPr="00DD6C03">
        <w:rPr>
          <w:rFonts w:ascii="Arial" w:eastAsia="Times New Roman" w:hAnsi="Arial" w:cs="Arial"/>
          <w:sz w:val="18"/>
          <w:szCs w:val="18"/>
        </w:rPr>
        <w:t xml:space="preserve">. </w:t>
      </w:r>
      <w:r w:rsidRPr="00B56ED2">
        <w:rPr>
          <w:rFonts w:ascii="Arial" w:eastAsia="Times New Roman" w:hAnsi="Arial" w:cs="Arial"/>
          <w:sz w:val="18"/>
          <w:szCs w:val="18"/>
        </w:rPr>
        <w:t xml:space="preserve">rashodi za nematerijalnu proizvedenu imovinu (426) </w:t>
      </w:r>
      <w:r w:rsidR="008C1A65" w:rsidRPr="00DD6C03">
        <w:rPr>
          <w:rFonts w:ascii="Arial" w:eastAsia="Times New Roman" w:hAnsi="Arial" w:cs="Arial"/>
          <w:sz w:val="18"/>
          <w:szCs w:val="18"/>
        </w:rPr>
        <w:t>su iznosili 194.249,44 € (u cijelosti Općina). Odnosili su se na izradu projektne dokumentacije (4263) i to:</w:t>
      </w:r>
      <w:r w:rsidR="00DD6C03" w:rsidRPr="00DD6C03">
        <w:rPr>
          <w:rFonts w:ascii="Arial" w:eastAsia="Times New Roman" w:hAnsi="Arial" w:cs="Arial"/>
          <w:sz w:val="18"/>
          <w:szCs w:val="18"/>
        </w:rPr>
        <w:t xml:space="preserve"> </w:t>
      </w:r>
      <w:r w:rsidR="008C1A65" w:rsidRPr="00DD6C03">
        <w:rPr>
          <w:rFonts w:ascii="Arial" w:eastAsia="Times New Roman" w:hAnsi="Arial" w:cs="Arial"/>
          <w:sz w:val="18"/>
          <w:szCs w:val="18"/>
        </w:rPr>
        <w:t xml:space="preserve">izrada izmjena i dopuna prostornog plana Općine, te izmjena i dopuna urbanističkog plana 20.895,51 €, </w:t>
      </w:r>
      <w:r w:rsidR="00DD6C03" w:rsidRPr="00DD6C03">
        <w:rPr>
          <w:rFonts w:ascii="Arial" w:eastAsia="Times New Roman" w:hAnsi="Arial" w:cs="Arial"/>
          <w:sz w:val="18"/>
          <w:szCs w:val="18"/>
        </w:rPr>
        <w:t xml:space="preserve">projekt </w:t>
      </w:r>
      <w:r w:rsidR="008C1A65" w:rsidRPr="00DD6C03">
        <w:rPr>
          <w:rFonts w:ascii="Arial" w:eastAsia="Times New Roman" w:hAnsi="Arial" w:cs="Arial"/>
          <w:sz w:val="18"/>
          <w:szCs w:val="18"/>
        </w:rPr>
        <w:t xml:space="preserve">uređenja prilaza nogostupa uz županijsku cestu u Čilipima 33.125 €, </w:t>
      </w:r>
      <w:r w:rsidR="00DD6C03" w:rsidRPr="00DD6C03">
        <w:rPr>
          <w:rFonts w:ascii="Arial" w:eastAsia="Times New Roman" w:hAnsi="Arial" w:cs="Arial"/>
          <w:sz w:val="18"/>
          <w:szCs w:val="18"/>
        </w:rPr>
        <w:t xml:space="preserve">projekt </w:t>
      </w:r>
      <w:r w:rsidR="008C1A65" w:rsidRPr="00DD6C03">
        <w:rPr>
          <w:rFonts w:ascii="Arial" w:eastAsia="Times New Roman" w:hAnsi="Arial" w:cs="Arial"/>
          <w:sz w:val="18"/>
          <w:szCs w:val="18"/>
        </w:rPr>
        <w:t>nogostupa od Čilipa prema Zvekovici 6.600 €,</w:t>
      </w:r>
      <w:r w:rsidR="00DD6C03" w:rsidRPr="00DD6C03">
        <w:rPr>
          <w:rFonts w:ascii="Arial" w:eastAsia="Times New Roman" w:hAnsi="Arial" w:cs="Arial"/>
          <w:sz w:val="18"/>
          <w:szCs w:val="18"/>
        </w:rPr>
        <w:t xml:space="preserve"> projekt</w:t>
      </w:r>
      <w:r w:rsidR="008C1A65" w:rsidRPr="00DD6C03">
        <w:rPr>
          <w:rFonts w:ascii="Arial" w:eastAsia="Times New Roman" w:hAnsi="Arial" w:cs="Arial"/>
          <w:sz w:val="18"/>
          <w:szCs w:val="18"/>
        </w:rPr>
        <w:t xml:space="preserve"> uređenj</w:t>
      </w:r>
      <w:r w:rsidR="00DD6C03" w:rsidRPr="00DD6C03">
        <w:rPr>
          <w:rFonts w:ascii="Arial" w:eastAsia="Times New Roman" w:hAnsi="Arial" w:cs="Arial"/>
          <w:sz w:val="18"/>
          <w:szCs w:val="18"/>
        </w:rPr>
        <w:t>a</w:t>
      </w:r>
      <w:r w:rsidR="008C1A65" w:rsidRPr="00DD6C03">
        <w:rPr>
          <w:rFonts w:ascii="Arial" w:eastAsia="Times New Roman" w:hAnsi="Arial" w:cs="Arial"/>
          <w:sz w:val="18"/>
          <w:szCs w:val="18"/>
        </w:rPr>
        <w:t xml:space="preserve"> i sanacij</w:t>
      </w:r>
      <w:r w:rsidR="00DD6C03" w:rsidRPr="00DD6C03">
        <w:rPr>
          <w:rFonts w:ascii="Arial" w:eastAsia="Times New Roman" w:hAnsi="Arial" w:cs="Arial"/>
          <w:sz w:val="18"/>
          <w:szCs w:val="18"/>
        </w:rPr>
        <w:t>e</w:t>
      </w:r>
      <w:r w:rsidR="008C1A65" w:rsidRPr="00DD6C03">
        <w:rPr>
          <w:rFonts w:ascii="Arial" w:eastAsia="Times New Roman" w:hAnsi="Arial" w:cs="Arial"/>
          <w:sz w:val="18"/>
          <w:szCs w:val="18"/>
        </w:rPr>
        <w:t xml:space="preserve"> ulice kneza Domagoja i Konavosku ulicu 32.275,00 €, </w:t>
      </w:r>
      <w:r w:rsidR="00DD6C03" w:rsidRPr="00DD6C03">
        <w:rPr>
          <w:rFonts w:ascii="Arial" w:eastAsia="Times New Roman" w:hAnsi="Arial" w:cs="Arial"/>
          <w:sz w:val="18"/>
          <w:szCs w:val="18"/>
        </w:rPr>
        <w:t>projektna dokumentacija z</w:t>
      </w:r>
      <w:r w:rsidR="008C1A65" w:rsidRPr="00DD6C03">
        <w:rPr>
          <w:rFonts w:ascii="Arial" w:eastAsia="Times New Roman" w:hAnsi="Arial" w:cs="Arial"/>
          <w:sz w:val="18"/>
          <w:szCs w:val="18"/>
        </w:rPr>
        <w:t xml:space="preserve">a ishođenje građevinske dozvole za rekonstrukcije kuće ex. Skvičalo u Pridvorju (kuća lijerice) u iznosu 24.375,00 €, </w:t>
      </w:r>
      <w:r w:rsidR="00DD6C03" w:rsidRPr="00DD6C03">
        <w:rPr>
          <w:rFonts w:ascii="Arial" w:eastAsia="Times New Roman" w:hAnsi="Arial" w:cs="Arial"/>
          <w:sz w:val="18"/>
          <w:szCs w:val="18"/>
        </w:rPr>
        <w:t xml:space="preserve">dokumentacija za </w:t>
      </w:r>
      <w:r w:rsidR="008C1A65" w:rsidRPr="00DD6C03">
        <w:rPr>
          <w:rFonts w:ascii="Arial" w:eastAsia="Times New Roman" w:hAnsi="Arial" w:cs="Arial"/>
          <w:sz w:val="18"/>
          <w:szCs w:val="18"/>
        </w:rPr>
        <w:t>prometnicu i oborinsku odvodnju u Cavtatu (Trumbićeva ulica i ulica dr.A.Starčevića) 14.125,00 €,</w:t>
      </w:r>
      <w:r w:rsidR="00DD6C03" w:rsidRPr="00DD6C03">
        <w:rPr>
          <w:rFonts w:ascii="Arial" w:eastAsia="Times New Roman" w:hAnsi="Arial" w:cs="Arial"/>
          <w:sz w:val="18"/>
          <w:szCs w:val="18"/>
        </w:rPr>
        <w:t xml:space="preserve"> te projektna dokumentacija </w:t>
      </w:r>
      <w:r w:rsidR="008C1A65" w:rsidRPr="00DD6C03">
        <w:rPr>
          <w:rFonts w:ascii="Arial" w:eastAsia="Times New Roman" w:hAnsi="Arial" w:cs="Arial"/>
          <w:sz w:val="18"/>
          <w:szCs w:val="18"/>
        </w:rPr>
        <w:t>za buduću osnovnu školu u Cavtatu 62.853,93 €.</w:t>
      </w:r>
    </w:p>
    <w:p w14:paraId="299B2D6D" w14:textId="77777777" w:rsidR="0093429E" w:rsidRPr="00DD6C03" w:rsidRDefault="0093429E"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sz w:val="18"/>
          <w:szCs w:val="18"/>
        </w:rPr>
      </w:pPr>
    </w:p>
    <w:p w14:paraId="788FF798" w14:textId="6A3BD830" w:rsidR="00891119" w:rsidRPr="003A2F86" w:rsidRDefault="00B5484A" w:rsidP="00B5484A">
      <w:pPr>
        <w:pStyle w:val="Naslov4"/>
        <w:rPr>
          <w:rFonts w:ascii="Arial" w:hAnsi="Arial" w:cs="Arial"/>
          <w:lang w:val="hr-HR"/>
        </w:rPr>
      </w:pPr>
      <w:bookmarkStart w:id="234" w:name="_Toc207707440"/>
      <w:r w:rsidRPr="003A2F86">
        <w:rPr>
          <w:rFonts w:ascii="Arial" w:hAnsi="Arial" w:cs="Arial"/>
          <w:lang w:val="hr-HR"/>
        </w:rPr>
        <w:t>2.4.4</w:t>
      </w:r>
      <w:r w:rsidR="00891119" w:rsidRPr="003A2F86">
        <w:rPr>
          <w:rFonts w:ascii="Arial" w:hAnsi="Arial" w:cs="Arial"/>
          <w:lang w:val="hr-HR"/>
        </w:rPr>
        <w:t xml:space="preserve">.3. </w:t>
      </w:r>
      <w:r w:rsidR="00891119" w:rsidRPr="003A2F86">
        <w:rPr>
          <w:rFonts w:ascii="Arial" w:hAnsi="Arial" w:cs="Arial"/>
          <w:lang w:val="hr-HR"/>
        </w:rPr>
        <w:tab/>
        <w:t>Rashodi za nabavu plemenitih metala i ostalih pohranjenih vrijednosti</w:t>
      </w:r>
      <w:r w:rsidRPr="003A2F86">
        <w:rPr>
          <w:rFonts w:ascii="Arial" w:hAnsi="Arial" w:cs="Arial"/>
          <w:lang w:val="hr-HR"/>
        </w:rPr>
        <w:t xml:space="preserve"> (43)</w:t>
      </w:r>
      <w:bookmarkEnd w:id="234"/>
    </w:p>
    <w:p w14:paraId="461A69C5"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5988428" w14:textId="4D841453" w:rsidR="0093429E" w:rsidRPr="003A2F86" w:rsidRDefault="0093429E" w:rsidP="0093429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3A2F86">
        <w:rPr>
          <w:rFonts w:ascii="Arial" w:eastAsia="Times New Roman" w:hAnsi="Arial" w:cs="Arial"/>
          <w:b/>
        </w:rPr>
        <w:t>Rashodi za nabavu plemenitih metala i ostalih pohranjenih vrijednosti</w:t>
      </w:r>
      <w:r w:rsidRPr="003A2F86">
        <w:rPr>
          <w:rFonts w:ascii="Arial" w:eastAsia="Times New Roman" w:hAnsi="Arial" w:cs="Arial"/>
        </w:rPr>
        <w:t xml:space="preserve"> (</w:t>
      </w:r>
      <w:r w:rsidRPr="003A2F86">
        <w:rPr>
          <w:rFonts w:ascii="Arial" w:eastAsia="Times New Roman" w:hAnsi="Arial" w:cs="Arial"/>
          <w:b/>
        </w:rPr>
        <w:t>43</w:t>
      </w:r>
      <w:r w:rsidRPr="003A2F86">
        <w:rPr>
          <w:rFonts w:ascii="Arial" w:eastAsia="Times New Roman" w:hAnsi="Arial" w:cs="Arial"/>
        </w:rPr>
        <w:t>) nisu izvršeni</w:t>
      </w:r>
      <w:r w:rsidR="00610703" w:rsidRPr="003A2F86">
        <w:rPr>
          <w:rFonts w:ascii="Arial" w:eastAsia="Times New Roman" w:hAnsi="Arial" w:cs="Arial"/>
        </w:rPr>
        <w:t>.</w:t>
      </w:r>
    </w:p>
    <w:p w14:paraId="250A5963"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1913E8EF"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2BDBD49E" w14:textId="4099735F" w:rsidR="00891119" w:rsidRPr="003A2F86" w:rsidRDefault="00B5484A" w:rsidP="00B5484A">
      <w:pPr>
        <w:pStyle w:val="Naslov4"/>
        <w:rPr>
          <w:rFonts w:ascii="Arial" w:hAnsi="Arial" w:cs="Arial"/>
          <w:lang w:val="hr-HR"/>
        </w:rPr>
      </w:pPr>
      <w:bookmarkStart w:id="235" w:name="_Toc207707441"/>
      <w:r w:rsidRPr="003A2F86">
        <w:rPr>
          <w:rFonts w:ascii="Arial" w:hAnsi="Arial" w:cs="Arial"/>
          <w:lang w:val="hr-HR"/>
        </w:rPr>
        <w:lastRenderedPageBreak/>
        <w:t>2.4.4</w:t>
      </w:r>
      <w:r w:rsidR="00891119" w:rsidRPr="003A2F86">
        <w:rPr>
          <w:rFonts w:ascii="Arial" w:hAnsi="Arial" w:cs="Arial"/>
          <w:lang w:val="hr-HR"/>
        </w:rPr>
        <w:t xml:space="preserve">.4. </w:t>
      </w:r>
      <w:r w:rsidR="00891119" w:rsidRPr="003A2F86">
        <w:rPr>
          <w:rFonts w:ascii="Arial" w:hAnsi="Arial" w:cs="Arial"/>
          <w:lang w:val="hr-HR"/>
        </w:rPr>
        <w:tab/>
        <w:t>Rashodi za dodatna ulaganja na nefinancijskoj imovini</w:t>
      </w:r>
      <w:r w:rsidRPr="003A2F86">
        <w:rPr>
          <w:rFonts w:ascii="Arial" w:hAnsi="Arial" w:cs="Arial"/>
          <w:lang w:val="hr-HR"/>
        </w:rPr>
        <w:t xml:space="preserve"> (45)</w:t>
      </w:r>
      <w:bookmarkEnd w:id="235"/>
    </w:p>
    <w:p w14:paraId="2B78894A"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rPr>
      </w:pPr>
    </w:p>
    <w:p w14:paraId="4A37B832" w14:textId="77777777" w:rsidR="00891119" w:rsidRPr="003A2F86" w:rsidRDefault="00891119" w:rsidP="008911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Times New Roman" w:hAnsi="Arial" w:cs="Arial"/>
          <w:iCs/>
        </w:rPr>
      </w:pPr>
      <w:r w:rsidRPr="003A2F86">
        <w:rPr>
          <w:rFonts w:ascii="Arial" w:eastAsia="Times New Roman" w:hAnsi="Arial" w:cs="Arial"/>
          <w:b/>
          <w:iCs/>
        </w:rPr>
        <w:t>Rashodi za dodatna ulaganja na nefinancijskoj imovini</w:t>
      </w:r>
      <w:r w:rsidRPr="003A2F86">
        <w:rPr>
          <w:rFonts w:ascii="Arial" w:eastAsia="Times New Roman" w:hAnsi="Arial" w:cs="Arial"/>
          <w:iCs/>
        </w:rPr>
        <w:t xml:space="preserve"> (</w:t>
      </w:r>
      <w:r w:rsidRPr="003A2F86">
        <w:rPr>
          <w:rFonts w:ascii="Arial" w:eastAsia="Times New Roman" w:hAnsi="Arial" w:cs="Arial"/>
          <w:b/>
          <w:iCs/>
        </w:rPr>
        <w:t>45</w:t>
      </w:r>
      <w:r w:rsidRPr="003A2F86">
        <w:rPr>
          <w:rFonts w:ascii="Arial" w:eastAsia="Times New Roman" w:hAnsi="Arial" w:cs="Arial"/>
          <w:iCs/>
        </w:rPr>
        <w:t xml:space="preserve">) nisu planirani niti izvršeni. </w:t>
      </w:r>
    </w:p>
    <w:p w14:paraId="25D67686" w14:textId="77777777" w:rsidR="009C53D1" w:rsidRPr="003A2F86" w:rsidRDefault="009C53D1">
      <w:pPr>
        <w:rPr>
          <w:rFonts w:ascii="Arial" w:eastAsia="Times New Roman" w:hAnsi="Arial" w:cs="Arial"/>
          <w:lang w:eastAsia="en-US"/>
        </w:rPr>
      </w:pPr>
      <w:r w:rsidRPr="003A2F86">
        <w:rPr>
          <w:rFonts w:ascii="Arial" w:eastAsia="Times New Roman" w:hAnsi="Arial" w:cs="Arial"/>
          <w:lang w:eastAsia="en-US"/>
        </w:rPr>
        <w:br w:type="page"/>
      </w:r>
    </w:p>
    <w:p w14:paraId="7996A75C" w14:textId="3235B64A" w:rsidR="004113C9" w:rsidRPr="003A2F86" w:rsidRDefault="002E304B" w:rsidP="002E304B">
      <w:pPr>
        <w:pStyle w:val="Naslov2"/>
        <w:jc w:val="center"/>
        <w:rPr>
          <w:rFonts w:ascii="Arial" w:eastAsia="Calibri" w:hAnsi="Arial" w:cs="Arial"/>
          <w:sz w:val="22"/>
          <w:szCs w:val="22"/>
          <w:lang w:val="hr-HR"/>
        </w:rPr>
      </w:pPr>
      <w:bookmarkStart w:id="236" w:name="_Toc207707442"/>
      <w:r w:rsidRPr="003A2F86">
        <w:rPr>
          <w:rFonts w:ascii="Arial" w:eastAsia="Calibri" w:hAnsi="Arial" w:cs="Arial"/>
          <w:sz w:val="22"/>
          <w:szCs w:val="22"/>
          <w:lang w:val="hr-HR"/>
        </w:rPr>
        <w:lastRenderedPageBreak/>
        <w:t xml:space="preserve">2.5. </w:t>
      </w:r>
      <w:r w:rsidR="008E02D0" w:rsidRPr="003A2F86">
        <w:rPr>
          <w:rFonts w:ascii="Arial" w:eastAsia="Calibri" w:hAnsi="Arial" w:cs="Arial"/>
          <w:sz w:val="22"/>
          <w:szCs w:val="22"/>
          <w:lang w:val="hr-HR"/>
        </w:rPr>
        <w:tab/>
      </w:r>
      <w:r w:rsidRPr="003A2F86">
        <w:rPr>
          <w:rFonts w:ascii="Arial" w:eastAsia="Calibri" w:hAnsi="Arial" w:cs="Arial"/>
          <w:sz w:val="22"/>
          <w:szCs w:val="22"/>
          <w:lang w:val="hr-HR"/>
        </w:rPr>
        <w:t>RAČUN FINANCIRANJA</w:t>
      </w:r>
      <w:bookmarkStart w:id="237" w:name="Račun_financiranja"/>
      <w:bookmarkEnd w:id="236"/>
      <w:bookmarkEnd w:id="237"/>
    </w:p>
    <w:p w14:paraId="709FA231" w14:textId="77777777" w:rsidR="002E304B" w:rsidRPr="003A2F86" w:rsidRDefault="002E304B" w:rsidP="004113C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lang w:eastAsia="en-US"/>
        </w:rPr>
      </w:pPr>
    </w:p>
    <w:p w14:paraId="239F70E1" w14:textId="51EB4BAF" w:rsidR="004113C9" w:rsidRPr="003A2F86" w:rsidRDefault="004113C9" w:rsidP="00A840CD">
      <w:pPr>
        <w:pStyle w:val="Naslov3"/>
        <w:jc w:val="center"/>
        <w:rPr>
          <w:rFonts w:ascii="Arial" w:hAnsi="Arial" w:cs="Arial"/>
          <w:sz w:val="22"/>
          <w:szCs w:val="22"/>
          <w:lang w:val="hr-HR"/>
        </w:rPr>
      </w:pPr>
      <w:bookmarkStart w:id="238" w:name="_Toc207707443"/>
      <w:r w:rsidRPr="003A2F86">
        <w:rPr>
          <w:rFonts w:ascii="Arial" w:hAnsi="Arial" w:cs="Arial"/>
          <w:sz w:val="22"/>
          <w:szCs w:val="22"/>
          <w:lang w:val="hr-HR"/>
        </w:rPr>
        <w:t>2</w:t>
      </w:r>
      <w:r w:rsidR="002E304B" w:rsidRPr="003A2F86">
        <w:rPr>
          <w:rFonts w:ascii="Arial" w:hAnsi="Arial" w:cs="Arial"/>
          <w:sz w:val="22"/>
          <w:szCs w:val="22"/>
          <w:lang w:val="hr-HR"/>
        </w:rPr>
        <w:t>.5.</w:t>
      </w:r>
      <w:r w:rsidRPr="003A2F86">
        <w:rPr>
          <w:rFonts w:ascii="Arial" w:hAnsi="Arial" w:cs="Arial"/>
          <w:sz w:val="22"/>
          <w:szCs w:val="22"/>
          <w:lang w:val="hr-HR"/>
        </w:rPr>
        <w:t>1.</w:t>
      </w:r>
      <w:r w:rsidRPr="003A2F86">
        <w:rPr>
          <w:rFonts w:ascii="Arial" w:hAnsi="Arial" w:cs="Arial"/>
          <w:sz w:val="22"/>
          <w:szCs w:val="22"/>
          <w:lang w:val="hr-HR"/>
        </w:rPr>
        <w:tab/>
      </w:r>
      <w:r w:rsidRPr="003A2F86">
        <w:rPr>
          <w:rFonts w:ascii="Arial" w:hAnsi="Arial" w:cs="Arial"/>
          <w:sz w:val="22"/>
          <w:szCs w:val="22"/>
          <w:lang w:val="hr-HR"/>
        </w:rPr>
        <w:tab/>
      </w:r>
      <w:r w:rsidR="00E97058" w:rsidRPr="003A2F86">
        <w:rPr>
          <w:rFonts w:ascii="Arial" w:hAnsi="Arial" w:cs="Arial"/>
          <w:sz w:val="22"/>
          <w:szCs w:val="22"/>
          <w:lang w:val="hr-HR"/>
        </w:rPr>
        <w:t>PRIMICI OD FINANCIJSKE IMOVINE I ZADUŽIVANJA</w:t>
      </w:r>
      <w:r w:rsidR="00B5484A" w:rsidRPr="003A2F86">
        <w:rPr>
          <w:rFonts w:ascii="Arial" w:hAnsi="Arial" w:cs="Arial"/>
          <w:sz w:val="22"/>
          <w:szCs w:val="22"/>
          <w:lang w:val="hr-HR"/>
        </w:rPr>
        <w:t xml:space="preserve"> (8)</w:t>
      </w:r>
      <w:bookmarkEnd w:id="238"/>
    </w:p>
    <w:p w14:paraId="36BA3657" w14:textId="77777777" w:rsidR="004113C9" w:rsidRPr="003A2F86" w:rsidRDefault="004113C9" w:rsidP="004113C9">
      <w:pPr>
        <w:spacing w:after="0" w:line="240" w:lineRule="auto"/>
        <w:rPr>
          <w:rFonts w:ascii="Arial" w:eastAsia="Times New Roman" w:hAnsi="Arial" w:cs="Arial"/>
          <w:iCs/>
          <w:lang w:eastAsia="en-US"/>
        </w:rPr>
      </w:pPr>
    </w:p>
    <w:p w14:paraId="290F7C26" w14:textId="6EA06206" w:rsidR="00B82D68" w:rsidRPr="003A2F86" w:rsidRDefault="004113C9" w:rsidP="004113C9">
      <w:pPr>
        <w:pStyle w:val="Tijeloteksta2"/>
        <w:rPr>
          <w:rFonts w:ascii="Arial" w:hAnsi="Arial" w:cs="Arial"/>
          <w:iCs/>
          <w:sz w:val="22"/>
          <w:szCs w:val="22"/>
          <w:lang w:val="hr-HR"/>
        </w:rPr>
      </w:pPr>
      <w:bookmarkStart w:id="239" w:name="_Hlk65501122"/>
      <w:r w:rsidRPr="003A2F86">
        <w:rPr>
          <w:rFonts w:ascii="Arial" w:hAnsi="Arial" w:cs="Arial"/>
          <w:b/>
          <w:bCs/>
          <w:iCs/>
          <w:sz w:val="22"/>
          <w:szCs w:val="22"/>
          <w:lang w:val="hr-HR"/>
        </w:rPr>
        <w:t>Primici od financijske imovine i zaduživanja</w:t>
      </w:r>
      <w:r w:rsidRPr="003A2F86">
        <w:rPr>
          <w:rFonts w:ascii="Arial" w:hAnsi="Arial" w:cs="Arial"/>
          <w:iCs/>
          <w:sz w:val="22"/>
          <w:szCs w:val="22"/>
          <w:lang w:val="hr-HR"/>
        </w:rPr>
        <w:t xml:space="preserve"> (8) su planirani u iznosu </w:t>
      </w:r>
      <w:r w:rsidR="00E8319F">
        <w:rPr>
          <w:rFonts w:ascii="Arial" w:hAnsi="Arial" w:cs="Arial"/>
          <w:iCs/>
          <w:sz w:val="22"/>
          <w:szCs w:val="22"/>
          <w:lang w:val="hr-HR"/>
        </w:rPr>
        <w:t>8</w:t>
      </w:r>
      <w:r w:rsidR="00CD080C" w:rsidRPr="003A2F86">
        <w:rPr>
          <w:rFonts w:ascii="Arial" w:hAnsi="Arial" w:cs="Arial"/>
          <w:iCs/>
          <w:sz w:val="22"/>
          <w:szCs w:val="22"/>
          <w:lang w:val="hr-HR"/>
        </w:rPr>
        <w:t>.500.000</w:t>
      </w:r>
      <w:r w:rsidRPr="003A2F86">
        <w:rPr>
          <w:rFonts w:ascii="Arial" w:hAnsi="Arial" w:cs="Arial"/>
          <w:iCs/>
          <w:sz w:val="22"/>
          <w:szCs w:val="22"/>
          <w:lang w:val="hr-HR"/>
        </w:rPr>
        <w:t xml:space="preserve"> €, a </w:t>
      </w:r>
      <w:r w:rsidR="00CD080C" w:rsidRPr="003A2F86">
        <w:rPr>
          <w:rFonts w:ascii="Arial" w:hAnsi="Arial" w:cs="Arial"/>
          <w:iCs/>
          <w:sz w:val="22"/>
          <w:szCs w:val="22"/>
          <w:lang w:val="hr-HR"/>
        </w:rPr>
        <w:t>nisu ostvareni</w:t>
      </w:r>
      <w:r w:rsidRPr="003A2F86">
        <w:rPr>
          <w:rFonts w:ascii="Arial" w:hAnsi="Arial" w:cs="Arial"/>
          <w:iCs/>
          <w:sz w:val="22"/>
          <w:szCs w:val="22"/>
          <w:lang w:val="hr-HR"/>
        </w:rPr>
        <w:t xml:space="preserve">. </w:t>
      </w:r>
    </w:p>
    <w:p w14:paraId="092A3C26" w14:textId="77777777" w:rsidR="00CD080C" w:rsidRPr="003C2EE6" w:rsidRDefault="00CD080C" w:rsidP="00B82D68">
      <w:pPr>
        <w:pStyle w:val="Tijeloteksta2"/>
        <w:rPr>
          <w:rFonts w:ascii="Arial" w:hAnsi="Arial" w:cs="Arial"/>
          <w:iCs/>
          <w:sz w:val="18"/>
          <w:szCs w:val="18"/>
          <w:lang w:val="hr-HR"/>
        </w:rPr>
      </w:pPr>
    </w:p>
    <w:p w14:paraId="39578440" w14:textId="61584494" w:rsidR="004113C9" w:rsidRDefault="003C2EE6" w:rsidP="003C2EE6">
      <w:pPr>
        <w:pStyle w:val="Tijeloteksta2"/>
        <w:ind w:left="567"/>
        <w:rPr>
          <w:rFonts w:ascii="Arial" w:hAnsi="Arial" w:cs="Arial"/>
          <w:iCs/>
          <w:sz w:val="18"/>
          <w:szCs w:val="18"/>
          <w:lang w:val="hr-HR"/>
        </w:rPr>
      </w:pPr>
      <w:r>
        <w:rPr>
          <w:rFonts w:ascii="Arial" w:hAnsi="Arial" w:cs="Arial"/>
          <w:iCs/>
          <w:sz w:val="18"/>
          <w:szCs w:val="18"/>
          <w:lang w:val="hr-HR"/>
        </w:rPr>
        <w:t>U</w:t>
      </w:r>
      <w:r w:rsidR="004113C9" w:rsidRPr="003A2F86">
        <w:rPr>
          <w:rFonts w:ascii="Arial" w:hAnsi="Arial" w:cs="Arial"/>
          <w:iCs/>
          <w:sz w:val="18"/>
          <w:szCs w:val="18"/>
          <w:lang w:val="hr-HR"/>
        </w:rPr>
        <w:t xml:space="preserve"> </w:t>
      </w:r>
      <w:r w:rsidR="004113C9" w:rsidRPr="003C2EE6">
        <w:rPr>
          <w:rFonts w:ascii="Arial" w:hAnsi="Arial" w:cs="Arial"/>
          <w:b/>
          <w:bCs/>
          <w:iCs/>
          <w:sz w:val="18"/>
          <w:szCs w:val="18"/>
          <w:lang w:val="hr-HR"/>
        </w:rPr>
        <w:t>2020</w:t>
      </w:r>
      <w:r w:rsidR="004113C9" w:rsidRPr="003A2F86">
        <w:rPr>
          <w:rFonts w:ascii="Arial" w:hAnsi="Arial" w:cs="Arial"/>
          <w:iCs/>
          <w:sz w:val="18"/>
          <w:szCs w:val="18"/>
          <w:lang w:val="hr-HR"/>
        </w:rPr>
        <w:t xml:space="preserve">. godini ostvareni primici 907.884,63 € (6.840.456,71 kn) u cijelosti su se odnosili na primitke na temelju beskamatnih zajmova iz državnog proračuna koji su doznačeni na temelju pada prihoda uvjetovanih pandemijom bolesti COVID-19. Naime, Općina je u 2020. ostvarila primitke iz državnog proračuna, na ime povrata godišnjeg poreza na dohodak za 2019.g. i odgođenog plaćanja poreza na dohodak u iznosu u iznosu 456.627,08 € (3.440.456,71 kn) (sredstva u obliku kratkoročnog kredita doznačavana od svibnja do konca 2020.), te na temelju pada prihoda u iznosu 451.257,55 € (3.400.000 kn, sredstva doznačena koncem prosinca 2020. i propisani rok povrata je tri godine). </w:t>
      </w:r>
    </w:p>
    <w:p w14:paraId="68E8BB68" w14:textId="77777777" w:rsidR="003C2EE6" w:rsidRPr="003A2F86" w:rsidRDefault="003C2EE6" w:rsidP="003C2EE6">
      <w:pPr>
        <w:pStyle w:val="Tijeloteksta2"/>
        <w:ind w:left="567"/>
        <w:rPr>
          <w:rFonts w:ascii="Arial" w:hAnsi="Arial" w:cs="Arial"/>
          <w:iCs/>
          <w:sz w:val="18"/>
          <w:szCs w:val="18"/>
          <w:lang w:val="hr-HR"/>
        </w:rPr>
      </w:pPr>
    </w:p>
    <w:bookmarkEnd w:id="239"/>
    <w:p w14:paraId="79A2C5A4" w14:textId="124BC247" w:rsidR="003C2EE6" w:rsidRPr="003A2F86" w:rsidRDefault="003C2EE6" w:rsidP="003C2EE6">
      <w:pPr>
        <w:pStyle w:val="Tijeloteksta2"/>
        <w:ind w:left="567"/>
        <w:rPr>
          <w:rFonts w:ascii="Arial" w:hAnsi="Arial" w:cs="Arial"/>
          <w:iCs/>
          <w:sz w:val="18"/>
          <w:szCs w:val="18"/>
          <w:lang w:val="hr-HR"/>
        </w:rPr>
      </w:pPr>
      <w:r w:rsidRPr="003A2F86">
        <w:rPr>
          <w:rFonts w:ascii="Arial" w:hAnsi="Arial" w:cs="Arial"/>
          <w:iCs/>
          <w:sz w:val="18"/>
          <w:szCs w:val="18"/>
          <w:lang w:val="hr-HR"/>
        </w:rPr>
        <w:t xml:space="preserve">Ukupno u </w:t>
      </w:r>
      <w:r w:rsidRPr="003C2EE6">
        <w:rPr>
          <w:rFonts w:ascii="Arial" w:hAnsi="Arial" w:cs="Arial"/>
          <w:b/>
          <w:bCs/>
          <w:iCs/>
          <w:sz w:val="18"/>
          <w:szCs w:val="18"/>
          <w:lang w:val="hr-HR"/>
        </w:rPr>
        <w:t>2021</w:t>
      </w:r>
      <w:r w:rsidRPr="003A2F86">
        <w:rPr>
          <w:rFonts w:ascii="Arial" w:hAnsi="Arial" w:cs="Arial"/>
          <w:iCs/>
          <w:sz w:val="18"/>
          <w:szCs w:val="18"/>
          <w:lang w:val="hr-HR"/>
        </w:rPr>
        <w:t>. ostvareni primici 862.164,83 € (6.495.980,92 kn) su se odnosili na beskamatne zajmove iz državnog proračuna i to:</w:t>
      </w:r>
    </w:p>
    <w:p w14:paraId="74852142" w14:textId="77777777" w:rsidR="003C2EE6" w:rsidRPr="003A2F86" w:rsidRDefault="003C2EE6" w:rsidP="003C2EE6">
      <w:pPr>
        <w:pStyle w:val="Tijeloteksta2"/>
        <w:numPr>
          <w:ilvl w:val="0"/>
          <w:numId w:val="15"/>
        </w:numPr>
        <w:ind w:left="567"/>
        <w:rPr>
          <w:rFonts w:ascii="Arial" w:hAnsi="Arial" w:cs="Arial"/>
          <w:iCs/>
          <w:sz w:val="18"/>
          <w:szCs w:val="18"/>
          <w:lang w:val="hr-HR"/>
        </w:rPr>
      </w:pPr>
      <w:r w:rsidRPr="003A2F86">
        <w:rPr>
          <w:rFonts w:ascii="Arial" w:hAnsi="Arial" w:cs="Arial"/>
          <w:iCs/>
          <w:sz w:val="18"/>
          <w:szCs w:val="18"/>
          <w:lang w:val="hr-HR"/>
        </w:rPr>
        <w:t>na ime pada prihoda u iznosu 783.064,57 € (5.900.000 kn) (sredstva doznačena 16.12.21. i propisani rok povrata je tri godine), te</w:t>
      </w:r>
    </w:p>
    <w:p w14:paraId="3259D2CB" w14:textId="77777777" w:rsidR="003C2EE6" w:rsidRPr="003A2F86" w:rsidRDefault="003C2EE6" w:rsidP="003C2EE6">
      <w:pPr>
        <w:pStyle w:val="Tijeloteksta2"/>
        <w:numPr>
          <w:ilvl w:val="0"/>
          <w:numId w:val="15"/>
        </w:numPr>
        <w:ind w:left="567"/>
        <w:rPr>
          <w:rFonts w:ascii="Arial" w:hAnsi="Arial" w:cs="Arial"/>
          <w:iCs/>
          <w:sz w:val="18"/>
          <w:szCs w:val="18"/>
          <w:lang w:val="hr-HR"/>
        </w:rPr>
      </w:pPr>
      <w:r w:rsidRPr="003A2F86">
        <w:rPr>
          <w:rFonts w:ascii="Arial" w:hAnsi="Arial" w:cs="Arial"/>
          <w:iCs/>
          <w:sz w:val="18"/>
          <w:szCs w:val="18"/>
          <w:lang w:val="hr-HR"/>
        </w:rPr>
        <w:t xml:space="preserve">na ime povrata godišnjeg poreza na dohodak za 2020.g. u iznosu 79.100,26 € (595.980,92 kn) (povrat u četiri obroka u razdoblju siječanj – travanj 2022.). </w:t>
      </w:r>
    </w:p>
    <w:p w14:paraId="4B381400" w14:textId="77777777" w:rsidR="003C2EE6" w:rsidRDefault="003C2EE6" w:rsidP="003C2EE6">
      <w:pPr>
        <w:pStyle w:val="Tijeloteksta2"/>
        <w:ind w:left="567"/>
        <w:rPr>
          <w:rFonts w:ascii="Arial" w:hAnsi="Arial" w:cs="Arial"/>
          <w:iCs/>
          <w:sz w:val="18"/>
          <w:szCs w:val="18"/>
          <w:lang w:val="hr-HR"/>
        </w:rPr>
      </w:pPr>
    </w:p>
    <w:p w14:paraId="7BA86A1F" w14:textId="6A0FC1CD" w:rsidR="003C2EE6" w:rsidRPr="003A2F86" w:rsidRDefault="003C2EE6" w:rsidP="003C2EE6">
      <w:pPr>
        <w:pStyle w:val="Tijeloteksta2"/>
        <w:ind w:left="567"/>
        <w:rPr>
          <w:rFonts w:ascii="Arial" w:hAnsi="Arial" w:cs="Arial"/>
          <w:iCs/>
          <w:sz w:val="14"/>
          <w:szCs w:val="14"/>
          <w:lang w:val="hr-HR"/>
        </w:rPr>
      </w:pPr>
      <w:r w:rsidRPr="003A2F86">
        <w:rPr>
          <w:rFonts w:ascii="Arial" w:hAnsi="Arial" w:cs="Arial"/>
          <w:iCs/>
          <w:sz w:val="18"/>
          <w:szCs w:val="18"/>
          <w:lang w:val="hr-HR"/>
        </w:rPr>
        <w:t xml:space="preserve">Ukupno tijekom 2022. godine ostvareni su primici 1.114.871,59 € (8.400.000 kn) </w:t>
      </w:r>
      <w:r>
        <w:rPr>
          <w:rFonts w:ascii="Arial" w:hAnsi="Arial" w:cs="Arial"/>
          <w:iCs/>
          <w:sz w:val="18"/>
          <w:szCs w:val="18"/>
          <w:lang w:val="hr-HR"/>
        </w:rPr>
        <w:t>za potrebe</w:t>
      </w:r>
      <w:r w:rsidRPr="003A2F86">
        <w:rPr>
          <w:rFonts w:ascii="Arial" w:hAnsi="Arial" w:cs="Arial"/>
          <w:iCs/>
          <w:sz w:val="18"/>
          <w:szCs w:val="18"/>
          <w:lang w:val="hr-HR"/>
        </w:rPr>
        <w:t xml:space="preserve"> provedb</w:t>
      </w:r>
      <w:r>
        <w:rPr>
          <w:rFonts w:ascii="Arial" w:hAnsi="Arial" w:cs="Arial"/>
          <w:iCs/>
          <w:sz w:val="18"/>
          <w:szCs w:val="18"/>
          <w:lang w:val="hr-HR"/>
        </w:rPr>
        <w:t>e</w:t>
      </w:r>
      <w:r w:rsidRPr="003A2F86">
        <w:rPr>
          <w:rFonts w:ascii="Arial" w:hAnsi="Arial" w:cs="Arial"/>
          <w:iCs/>
          <w:sz w:val="18"/>
          <w:szCs w:val="18"/>
          <w:lang w:val="hr-HR"/>
        </w:rPr>
        <w:t xml:space="preserve"> projekta izgradnje vatrogasnog doma i nabavu vatrogasnog vozila i opreme</w:t>
      </w:r>
      <w:r w:rsidRPr="003A2F86">
        <w:rPr>
          <w:rFonts w:ascii="Arial" w:hAnsi="Arial" w:cs="Arial"/>
          <w:iCs/>
          <w:sz w:val="22"/>
          <w:szCs w:val="22"/>
          <w:lang w:val="hr-HR"/>
        </w:rPr>
        <w:t xml:space="preserve"> </w:t>
      </w:r>
      <w:r w:rsidRPr="003A2F86">
        <w:rPr>
          <w:rFonts w:ascii="Arial" w:hAnsi="Arial" w:cs="Arial"/>
          <w:iCs/>
          <w:sz w:val="18"/>
          <w:szCs w:val="18"/>
          <w:lang w:val="hr-HR"/>
        </w:rPr>
        <w:t>(predfinanciranje projekata EU).</w:t>
      </w:r>
    </w:p>
    <w:p w14:paraId="5965D6DF" w14:textId="77777777" w:rsidR="003C2EE6" w:rsidRDefault="003C2EE6" w:rsidP="003C2EE6">
      <w:pPr>
        <w:pStyle w:val="Tijeloteksta2"/>
        <w:ind w:left="567"/>
        <w:rPr>
          <w:rFonts w:ascii="Arial" w:hAnsi="Arial" w:cs="Arial"/>
          <w:iCs/>
          <w:sz w:val="18"/>
          <w:szCs w:val="18"/>
          <w:lang w:val="hr-HR"/>
        </w:rPr>
      </w:pPr>
    </w:p>
    <w:p w14:paraId="0AC3D2E2" w14:textId="19DD6D5A" w:rsidR="003C2EE6" w:rsidRDefault="003C2EE6" w:rsidP="003C2EE6">
      <w:pPr>
        <w:pStyle w:val="Tijeloteksta2"/>
        <w:ind w:left="567"/>
        <w:rPr>
          <w:rFonts w:ascii="Arial" w:hAnsi="Arial" w:cs="Arial"/>
          <w:iCs/>
          <w:sz w:val="18"/>
          <w:szCs w:val="18"/>
          <w:lang w:val="hr-HR"/>
        </w:rPr>
      </w:pPr>
      <w:r w:rsidRPr="003C2EE6">
        <w:rPr>
          <w:rFonts w:ascii="Arial" w:hAnsi="Arial" w:cs="Arial"/>
          <w:iCs/>
          <w:sz w:val="18"/>
          <w:szCs w:val="18"/>
          <w:lang w:val="hr-HR"/>
        </w:rPr>
        <w:t>Sveukupno u 2023. ostvareni primici su iznosili 850.000 € i odnosili su se na zaduživanje za provedbu projekta rekonstrukcije javne rasvjete (povećanje energetske učinkovitosti, isplaćen predujam za financiranje) na temelju ugovora o kreditu iz prosinca 2022., te dva dodatka ugovoru iz 2023. godine.</w:t>
      </w:r>
    </w:p>
    <w:p w14:paraId="75CA8375" w14:textId="77777777" w:rsidR="00E8319F" w:rsidRDefault="00E8319F" w:rsidP="003C2EE6">
      <w:pPr>
        <w:pStyle w:val="Tijeloteksta2"/>
        <w:ind w:left="567"/>
        <w:rPr>
          <w:rFonts w:ascii="Arial" w:hAnsi="Arial" w:cs="Arial"/>
          <w:iCs/>
          <w:sz w:val="18"/>
          <w:szCs w:val="18"/>
          <w:lang w:val="hr-HR"/>
        </w:rPr>
      </w:pPr>
    </w:p>
    <w:p w14:paraId="39C82D42" w14:textId="6D224CDD" w:rsidR="00E8319F" w:rsidRPr="003C2EE6" w:rsidRDefault="00E8319F" w:rsidP="003C2EE6">
      <w:pPr>
        <w:pStyle w:val="Tijeloteksta2"/>
        <w:ind w:left="567"/>
        <w:rPr>
          <w:rFonts w:ascii="Arial" w:hAnsi="Arial" w:cs="Arial"/>
          <w:iCs/>
          <w:sz w:val="18"/>
          <w:szCs w:val="18"/>
          <w:lang w:val="hr-HR"/>
        </w:rPr>
      </w:pPr>
      <w:r>
        <w:rPr>
          <w:rFonts w:ascii="Arial" w:hAnsi="Arial" w:cs="Arial"/>
          <w:iCs/>
          <w:sz w:val="18"/>
          <w:szCs w:val="18"/>
          <w:lang w:val="hr-HR"/>
        </w:rPr>
        <w:t xml:space="preserve">U 2024. nije bilo primitaka. </w:t>
      </w:r>
    </w:p>
    <w:p w14:paraId="6D796FF4" w14:textId="77777777" w:rsidR="004113C9" w:rsidRPr="003A2F86" w:rsidRDefault="004113C9" w:rsidP="004113C9">
      <w:pPr>
        <w:spacing w:after="0" w:line="240" w:lineRule="auto"/>
        <w:jc w:val="both"/>
        <w:rPr>
          <w:rFonts w:ascii="Arial" w:eastAsia="Times New Roman" w:hAnsi="Arial" w:cs="Arial"/>
          <w:iCs/>
          <w:sz w:val="18"/>
          <w:szCs w:val="18"/>
          <w:lang w:eastAsia="en-US"/>
        </w:rPr>
      </w:pPr>
    </w:p>
    <w:p w14:paraId="66C8C246" w14:textId="251095E4" w:rsidR="004113C9" w:rsidRPr="003A2F86" w:rsidRDefault="004113C9" w:rsidP="004113C9">
      <w:pPr>
        <w:spacing w:after="0" w:line="240" w:lineRule="auto"/>
        <w:jc w:val="both"/>
        <w:rPr>
          <w:rFonts w:ascii="Arial" w:eastAsia="Calibri" w:hAnsi="Arial" w:cs="Arial"/>
          <w:lang w:eastAsia="en-US"/>
        </w:rPr>
      </w:pPr>
      <w:r w:rsidRPr="003A2F86">
        <w:rPr>
          <w:rFonts w:ascii="Arial" w:eastAsia="Times New Roman" w:hAnsi="Arial" w:cs="Arial"/>
          <w:iCs/>
          <w:lang w:eastAsia="en-US"/>
        </w:rPr>
        <w:t xml:space="preserve">Detaljnije o primicima od zaduživanja u točki </w:t>
      </w:r>
      <w:hyperlink w:anchor="_4.2._IZVJEŠTAJ_O" w:history="1">
        <w:r w:rsidR="005E0C76" w:rsidRPr="00B356F8">
          <w:rPr>
            <w:rStyle w:val="Hiperveza"/>
            <w:rFonts w:ascii="Arial" w:eastAsia="Times New Roman" w:hAnsi="Arial" w:cs="Arial"/>
            <w:b/>
            <w:i/>
            <w:iCs/>
            <w:lang w:eastAsia="en-US"/>
          </w:rPr>
          <w:t>4</w:t>
        </w:r>
        <w:r w:rsidR="008B5541" w:rsidRPr="00B356F8">
          <w:rPr>
            <w:rStyle w:val="Hiperveza"/>
            <w:rFonts w:ascii="Arial" w:eastAsia="Times New Roman" w:hAnsi="Arial" w:cs="Arial"/>
            <w:i/>
            <w:lang w:eastAsia="en-US"/>
          </w:rPr>
          <w:t>.</w:t>
        </w:r>
        <w:r w:rsidR="008B5541" w:rsidRPr="00B356F8">
          <w:rPr>
            <w:rStyle w:val="Hiperveza"/>
            <w:rFonts w:ascii="Arial" w:eastAsia="Times New Roman" w:hAnsi="Arial" w:cs="Arial"/>
            <w:b/>
            <w:bCs/>
            <w:i/>
            <w:lang w:eastAsia="en-US"/>
          </w:rPr>
          <w:t>2.</w:t>
        </w:r>
        <w:r w:rsidRPr="00B356F8">
          <w:rPr>
            <w:rStyle w:val="Hiperveza"/>
            <w:rFonts w:ascii="Arial" w:eastAsia="Times New Roman" w:hAnsi="Arial" w:cs="Arial"/>
            <w:iCs/>
            <w:lang w:eastAsia="en-US"/>
          </w:rPr>
          <w:t xml:space="preserve"> </w:t>
        </w:r>
        <w:r w:rsidRPr="00B356F8">
          <w:rPr>
            <w:rStyle w:val="Hiperveza"/>
            <w:rFonts w:ascii="Arial" w:eastAsia="Times New Roman" w:hAnsi="Arial" w:cs="Arial"/>
            <w:b/>
            <w:i/>
            <w:iCs/>
            <w:lang w:eastAsia="en-US"/>
          </w:rPr>
          <w:t>Izvještaj o zaduživanju na domaćem i stranom tržištu novca i kapitala</w:t>
        </w:r>
      </w:hyperlink>
      <w:r w:rsidRPr="003A2F86">
        <w:rPr>
          <w:rFonts w:ascii="Arial" w:eastAsia="Times New Roman" w:hAnsi="Arial" w:cs="Arial"/>
          <w:iCs/>
          <w:lang w:eastAsia="en-US"/>
        </w:rPr>
        <w:t>.</w:t>
      </w:r>
      <w:r w:rsidRPr="003A2F86">
        <w:rPr>
          <w:rFonts w:ascii="Arial" w:eastAsia="Calibri" w:hAnsi="Arial" w:cs="Arial"/>
          <w:lang w:eastAsia="en-US"/>
        </w:rPr>
        <w:br w:type="page"/>
      </w:r>
    </w:p>
    <w:p w14:paraId="1AB01F5B" w14:textId="7E2E0717" w:rsidR="002E304B" w:rsidRPr="003A2F86" w:rsidRDefault="002E304B" w:rsidP="002E304B">
      <w:pPr>
        <w:pStyle w:val="Naslov3"/>
        <w:jc w:val="center"/>
        <w:rPr>
          <w:rFonts w:ascii="Arial" w:hAnsi="Arial" w:cs="Arial"/>
          <w:sz w:val="22"/>
          <w:szCs w:val="22"/>
          <w:lang w:val="hr-HR"/>
        </w:rPr>
      </w:pPr>
      <w:bookmarkStart w:id="240" w:name="_Toc207707444"/>
      <w:r w:rsidRPr="003A2F86">
        <w:rPr>
          <w:rFonts w:ascii="Arial" w:hAnsi="Arial" w:cs="Arial"/>
          <w:sz w:val="22"/>
          <w:szCs w:val="22"/>
          <w:lang w:val="hr-HR"/>
        </w:rPr>
        <w:lastRenderedPageBreak/>
        <w:t>2.5.2.</w:t>
      </w:r>
      <w:r w:rsidRPr="003A2F86">
        <w:rPr>
          <w:rFonts w:ascii="Arial" w:hAnsi="Arial" w:cs="Arial"/>
          <w:sz w:val="22"/>
          <w:szCs w:val="22"/>
          <w:lang w:val="hr-HR"/>
        </w:rPr>
        <w:tab/>
      </w:r>
      <w:r w:rsidR="00E97058" w:rsidRPr="003A2F86">
        <w:rPr>
          <w:rFonts w:ascii="Arial" w:hAnsi="Arial" w:cs="Arial"/>
          <w:sz w:val="22"/>
          <w:szCs w:val="22"/>
          <w:lang w:val="hr-HR"/>
        </w:rPr>
        <w:t>IZDACI ZA FINANCIJSKU IMOVINU I OTPLATE ZAJMOVA</w:t>
      </w:r>
      <w:r w:rsidR="00984893" w:rsidRPr="003A2F86">
        <w:rPr>
          <w:rFonts w:ascii="Arial" w:hAnsi="Arial" w:cs="Arial"/>
          <w:sz w:val="22"/>
          <w:szCs w:val="22"/>
          <w:lang w:val="hr-HR"/>
        </w:rPr>
        <w:t xml:space="preserve"> (5)</w:t>
      </w:r>
      <w:bookmarkEnd w:id="240"/>
    </w:p>
    <w:p w14:paraId="71AF96E9" w14:textId="77777777" w:rsidR="002E304B" w:rsidRPr="003A2F86" w:rsidRDefault="002E304B" w:rsidP="002E304B">
      <w:pPr>
        <w:spacing w:after="0" w:line="240" w:lineRule="auto"/>
        <w:jc w:val="both"/>
        <w:rPr>
          <w:rFonts w:ascii="Arial" w:eastAsia="Times New Roman" w:hAnsi="Arial" w:cs="Arial"/>
          <w:b/>
        </w:rPr>
      </w:pPr>
      <w:bookmarkStart w:id="241" w:name="_Hlk65522349"/>
      <w:bookmarkStart w:id="242" w:name="_Hlk115783989"/>
    </w:p>
    <w:p w14:paraId="44241B6C" w14:textId="0A3D14C8" w:rsidR="00F23256" w:rsidRDefault="00EA57C6" w:rsidP="00FB4803">
      <w:pPr>
        <w:spacing w:after="0" w:line="240" w:lineRule="auto"/>
        <w:jc w:val="both"/>
        <w:rPr>
          <w:rFonts w:ascii="Arial" w:hAnsi="Arial" w:cs="Arial"/>
        </w:rPr>
      </w:pPr>
      <w:r w:rsidRPr="003A2F86">
        <w:rPr>
          <w:rFonts w:ascii="Arial" w:hAnsi="Arial" w:cs="Arial"/>
          <w:b/>
        </w:rPr>
        <w:t>Izdaci za financijsku imovinu i otplate zajmova</w:t>
      </w:r>
      <w:r w:rsidRPr="003A2F86">
        <w:rPr>
          <w:rFonts w:ascii="Arial" w:hAnsi="Arial" w:cs="Arial"/>
        </w:rPr>
        <w:t xml:space="preserve"> </w:t>
      </w:r>
      <w:r w:rsidRPr="003A2F86">
        <w:rPr>
          <w:rFonts w:ascii="Arial" w:hAnsi="Arial" w:cs="Arial"/>
          <w:b/>
        </w:rPr>
        <w:t>(5)</w:t>
      </w:r>
      <w:r w:rsidRPr="003A2F86">
        <w:rPr>
          <w:rFonts w:ascii="Arial" w:hAnsi="Arial" w:cs="Arial"/>
        </w:rPr>
        <w:t xml:space="preserve"> su izvršeni u iznosu </w:t>
      </w:r>
      <w:r w:rsidR="00FB4803" w:rsidRPr="00FB4803">
        <w:rPr>
          <w:rFonts w:ascii="Arial" w:hAnsi="Arial" w:cs="Arial"/>
        </w:rPr>
        <w:t xml:space="preserve">544.206,34 € što je za 2.248.178,78 € ili 80,5% manje u odnosu na </w:t>
      </w:r>
      <w:r w:rsidR="00FB4803" w:rsidRPr="00FB4803">
        <w:rPr>
          <w:rFonts w:ascii="Arial" w:hAnsi="Arial" w:cs="Arial"/>
          <w:iCs/>
        </w:rPr>
        <w:t>izvještajno razdoblje prethodne godine.</w:t>
      </w:r>
      <w:r w:rsidR="00FB4803" w:rsidRPr="00FB4803">
        <w:rPr>
          <w:rFonts w:ascii="Arial" w:hAnsi="Arial" w:cs="Arial"/>
        </w:rPr>
        <w:t xml:space="preserve"> Izdaci u 2024. godini se odnose u cijelosti na izdatke za otplatu glavnice primljenih kredita. </w:t>
      </w:r>
    </w:p>
    <w:p w14:paraId="1198FE4F" w14:textId="77777777" w:rsidR="00F23256" w:rsidRDefault="00F23256" w:rsidP="00FB4803">
      <w:pPr>
        <w:spacing w:after="0" w:line="240" w:lineRule="auto"/>
        <w:jc w:val="both"/>
        <w:rPr>
          <w:rFonts w:ascii="Arial" w:hAnsi="Arial" w:cs="Arial"/>
        </w:rPr>
      </w:pPr>
    </w:p>
    <w:p w14:paraId="73FA3612" w14:textId="2F39106E" w:rsidR="00FB4803" w:rsidRPr="00F23256" w:rsidRDefault="00F23256" w:rsidP="00F23256">
      <w:pPr>
        <w:spacing w:after="0" w:line="240" w:lineRule="auto"/>
        <w:ind w:left="567"/>
        <w:jc w:val="both"/>
        <w:rPr>
          <w:rFonts w:ascii="Arial" w:hAnsi="Arial" w:cs="Arial"/>
          <w:sz w:val="18"/>
          <w:szCs w:val="18"/>
        </w:rPr>
      </w:pPr>
      <w:r w:rsidRPr="00F23256">
        <w:rPr>
          <w:rFonts w:ascii="Arial" w:hAnsi="Arial" w:cs="Arial"/>
          <w:sz w:val="18"/>
          <w:szCs w:val="18"/>
        </w:rPr>
        <w:t>U 2023.</w:t>
      </w:r>
      <w:r w:rsidR="00FB4803" w:rsidRPr="00F23256">
        <w:rPr>
          <w:rFonts w:ascii="Arial" w:hAnsi="Arial" w:cs="Arial"/>
          <w:sz w:val="18"/>
          <w:szCs w:val="18"/>
        </w:rPr>
        <w:t xml:space="preserve"> su bili izvršeni izdaci za depozite u iznosu 2.500.000 € (oročenje sredstava od prodaje nefinancijske imovine – prodanog zemljišta u budućoj poduzetničkoj zoni).</w:t>
      </w:r>
    </w:p>
    <w:p w14:paraId="052A3D92" w14:textId="31225C0F" w:rsidR="00E8319F" w:rsidRPr="00F23256" w:rsidRDefault="00E8319F" w:rsidP="00E8319F">
      <w:pPr>
        <w:spacing w:after="0" w:line="240" w:lineRule="auto"/>
        <w:ind w:left="567"/>
        <w:jc w:val="both"/>
        <w:rPr>
          <w:rFonts w:ascii="Arial" w:hAnsi="Arial" w:cs="Arial"/>
          <w:sz w:val="18"/>
          <w:szCs w:val="18"/>
        </w:rPr>
      </w:pPr>
      <w:r w:rsidRPr="00F23256">
        <w:rPr>
          <w:rFonts w:ascii="Arial" w:hAnsi="Arial" w:cs="Arial"/>
          <w:sz w:val="18"/>
          <w:szCs w:val="18"/>
        </w:rPr>
        <w:t>U 202</w:t>
      </w:r>
      <w:r>
        <w:rPr>
          <w:rFonts w:ascii="Arial" w:hAnsi="Arial" w:cs="Arial"/>
          <w:sz w:val="18"/>
          <w:szCs w:val="18"/>
        </w:rPr>
        <w:t>4</w:t>
      </w:r>
      <w:r w:rsidRPr="00F23256">
        <w:rPr>
          <w:rFonts w:ascii="Arial" w:hAnsi="Arial" w:cs="Arial"/>
          <w:sz w:val="18"/>
          <w:szCs w:val="18"/>
        </w:rPr>
        <w:t xml:space="preserve">. su bili izvršeni izdaci za </w:t>
      </w:r>
      <w:r>
        <w:rPr>
          <w:rFonts w:ascii="Arial" w:hAnsi="Arial" w:cs="Arial"/>
          <w:sz w:val="18"/>
          <w:szCs w:val="18"/>
        </w:rPr>
        <w:t>otplate zajmova 544.206,34 €.</w:t>
      </w:r>
    </w:p>
    <w:p w14:paraId="29D4D64A" w14:textId="60F9590F" w:rsidR="00FB4803" w:rsidRDefault="00FB4803" w:rsidP="00EA57C6">
      <w:pPr>
        <w:spacing w:after="0" w:line="240" w:lineRule="auto"/>
        <w:jc w:val="both"/>
        <w:rPr>
          <w:rFonts w:ascii="Arial" w:hAnsi="Arial" w:cs="Arial"/>
        </w:rPr>
      </w:pPr>
    </w:p>
    <w:p w14:paraId="197E212B" w14:textId="2EF0C5C9" w:rsidR="00845F5F" w:rsidRPr="003A2F86" w:rsidRDefault="00845F5F" w:rsidP="00845F5F">
      <w:pPr>
        <w:pStyle w:val="Opisslike"/>
        <w:rPr>
          <w:rFonts w:ascii="Arial" w:hAnsi="Arial" w:cs="Arial"/>
        </w:rPr>
      </w:pPr>
      <w:bookmarkStart w:id="243" w:name="_Toc207707022"/>
      <w:r w:rsidRPr="003A2F86">
        <w:rPr>
          <w:color w:val="FF0000"/>
        </w:rPr>
        <w:t xml:space="preserve">Graf </w:t>
      </w:r>
      <w:r w:rsidRPr="003A2F86">
        <w:rPr>
          <w:color w:val="FF0000"/>
        </w:rPr>
        <w:fldChar w:fldCharType="begin"/>
      </w:r>
      <w:r w:rsidRPr="003A2F86">
        <w:rPr>
          <w:color w:val="FF0000"/>
        </w:rPr>
        <w:instrText xml:space="preserve"> SEQ Graf \* ARABIC </w:instrText>
      </w:r>
      <w:r w:rsidRPr="003A2F86">
        <w:rPr>
          <w:color w:val="FF0000"/>
        </w:rPr>
        <w:fldChar w:fldCharType="separate"/>
      </w:r>
      <w:r w:rsidR="00910987">
        <w:rPr>
          <w:noProof/>
          <w:color w:val="FF0000"/>
        </w:rPr>
        <w:t>17</w:t>
      </w:r>
      <w:r w:rsidRPr="003A2F86">
        <w:rPr>
          <w:color w:val="FF0000"/>
        </w:rPr>
        <w:fldChar w:fldCharType="end"/>
      </w:r>
      <w:r w:rsidRPr="003A2F86">
        <w:rPr>
          <w:color w:val="FF0000"/>
        </w:rPr>
        <w:t xml:space="preserve">.: </w:t>
      </w:r>
      <w:r w:rsidRPr="003A2F86">
        <w:rPr>
          <w:rFonts w:ascii="Arial" w:hAnsi="Arial" w:cs="Arial"/>
        </w:rPr>
        <w:t xml:space="preserve">Struktura izvršenih </w:t>
      </w:r>
      <w:r w:rsidRPr="003A2F86">
        <w:rPr>
          <w:rFonts w:ascii="Arial" w:hAnsi="Arial" w:cs="Arial"/>
          <w:u w:val="single"/>
        </w:rPr>
        <w:t>izdataka (5)</w:t>
      </w:r>
      <w:r w:rsidRPr="003A2F86">
        <w:rPr>
          <w:rFonts w:ascii="Arial" w:hAnsi="Arial" w:cs="Arial"/>
        </w:rPr>
        <w:t xml:space="preserve"> u razdoblju 2015.-2024</w:t>
      </w:r>
      <w:r w:rsidR="00E8319F">
        <w:rPr>
          <w:rFonts w:ascii="Arial" w:hAnsi="Arial" w:cs="Arial"/>
        </w:rPr>
        <w:t>. i 1-6/2025.</w:t>
      </w:r>
      <w:r w:rsidRPr="003A2F86">
        <w:rPr>
          <w:rFonts w:ascii="Arial" w:hAnsi="Arial" w:cs="Arial"/>
        </w:rPr>
        <w:t xml:space="preserve"> (€): Općina</w:t>
      </w:r>
      <w:bookmarkEnd w:id="243"/>
    </w:p>
    <w:p w14:paraId="18DCD31D" w14:textId="6BB9213A" w:rsidR="00E73FEA" w:rsidRPr="003A2F86" w:rsidRDefault="002E2E2B" w:rsidP="00EA57C6">
      <w:pPr>
        <w:spacing w:after="0" w:line="240" w:lineRule="auto"/>
        <w:jc w:val="both"/>
        <w:rPr>
          <w:rFonts w:ascii="Arial" w:hAnsi="Arial" w:cs="Arial"/>
        </w:rPr>
      </w:pPr>
      <w:r w:rsidRPr="003A2F86">
        <w:rPr>
          <w:noProof/>
        </w:rPr>
        <w:drawing>
          <wp:anchor distT="0" distB="0" distL="114300" distR="114300" simplePos="0" relativeHeight="251747328" behindDoc="0" locked="0" layoutInCell="1" allowOverlap="1" wp14:anchorId="0AE4DF60" wp14:editId="0268DA9A">
            <wp:simplePos x="0" y="0"/>
            <wp:positionH relativeFrom="column">
              <wp:posOffset>86995</wp:posOffset>
            </wp:positionH>
            <wp:positionV relativeFrom="paragraph">
              <wp:posOffset>277495</wp:posOffset>
            </wp:positionV>
            <wp:extent cx="9286240" cy="3378200"/>
            <wp:effectExtent l="0" t="0" r="0" b="0"/>
            <wp:wrapTopAndBottom/>
            <wp:docPr id="744" name="Chart 7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p>
    <w:p w14:paraId="6C597B60" w14:textId="77777777" w:rsidR="002E2E2B" w:rsidRPr="003A2F86" w:rsidRDefault="002E2E2B" w:rsidP="002E2E2B">
      <w:pPr>
        <w:spacing w:after="0" w:line="240" w:lineRule="auto"/>
      </w:pPr>
    </w:p>
    <w:p w14:paraId="1602060B" w14:textId="202952C8" w:rsidR="00845F5F" w:rsidRPr="003A2F86" w:rsidRDefault="00845F5F" w:rsidP="00845F5F">
      <w:pPr>
        <w:pStyle w:val="Naslov4"/>
        <w:rPr>
          <w:rFonts w:ascii="Arial" w:hAnsi="Arial" w:cs="Arial"/>
          <w:lang w:val="hr-HR"/>
        </w:rPr>
      </w:pPr>
      <w:bookmarkStart w:id="244" w:name="_Toc207707445"/>
      <w:r w:rsidRPr="003A2F86">
        <w:rPr>
          <w:rFonts w:ascii="Arial" w:hAnsi="Arial" w:cs="Arial"/>
          <w:lang w:val="hr-HR"/>
        </w:rPr>
        <w:t xml:space="preserve">2.5.2.1. </w:t>
      </w:r>
      <w:r w:rsidRPr="003A2F86">
        <w:rPr>
          <w:rFonts w:ascii="Arial" w:hAnsi="Arial" w:cs="Arial"/>
          <w:lang w:val="hr-HR"/>
        </w:rPr>
        <w:tab/>
        <w:t>Izdaci za dane zajmove i depozite (51)</w:t>
      </w:r>
      <w:bookmarkEnd w:id="244"/>
    </w:p>
    <w:p w14:paraId="713AF6C0" w14:textId="77777777" w:rsidR="00E73FEA" w:rsidRPr="003A2F86" w:rsidRDefault="00E73FEA" w:rsidP="00EA57C6">
      <w:pPr>
        <w:spacing w:after="0" w:line="240" w:lineRule="auto"/>
        <w:jc w:val="both"/>
        <w:rPr>
          <w:rFonts w:ascii="Arial" w:hAnsi="Arial" w:cs="Arial"/>
        </w:rPr>
      </w:pPr>
    </w:p>
    <w:p w14:paraId="5F894DCB" w14:textId="675CE65E" w:rsidR="00845F5F" w:rsidRPr="003A2F86" w:rsidRDefault="00845F5F" w:rsidP="00EA57C6">
      <w:pPr>
        <w:spacing w:after="0" w:line="240" w:lineRule="auto"/>
        <w:jc w:val="both"/>
        <w:rPr>
          <w:rFonts w:ascii="Arial" w:hAnsi="Arial" w:cs="Arial"/>
        </w:rPr>
      </w:pPr>
      <w:r w:rsidRPr="003A2F86">
        <w:rPr>
          <w:rFonts w:ascii="Arial" w:hAnsi="Arial" w:cs="Arial"/>
        </w:rPr>
        <w:t>Izdaci za dane zajmove i depozite (51) nisu izvršeni u izvještajnom razdoblju tekuće godine.</w:t>
      </w:r>
    </w:p>
    <w:p w14:paraId="5DFB2CB4" w14:textId="77777777" w:rsidR="00F23256" w:rsidRDefault="00F23256" w:rsidP="00EA57C6">
      <w:pPr>
        <w:spacing w:after="0" w:line="240" w:lineRule="auto"/>
        <w:jc w:val="both"/>
        <w:rPr>
          <w:rFonts w:ascii="Arial" w:hAnsi="Arial" w:cs="Arial"/>
          <w:sz w:val="18"/>
          <w:szCs w:val="18"/>
        </w:rPr>
      </w:pPr>
    </w:p>
    <w:p w14:paraId="01719F43" w14:textId="7A4DB222" w:rsidR="00EA57C6" w:rsidRPr="00F23256" w:rsidRDefault="00BC75DC" w:rsidP="00E75472">
      <w:pPr>
        <w:spacing w:after="0" w:line="240" w:lineRule="auto"/>
        <w:ind w:left="567"/>
        <w:jc w:val="both"/>
        <w:rPr>
          <w:rFonts w:ascii="Arial" w:hAnsi="Arial" w:cs="Arial"/>
          <w:sz w:val="18"/>
          <w:szCs w:val="18"/>
        </w:rPr>
      </w:pPr>
      <w:r>
        <w:rPr>
          <w:rFonts w:ascii="Arial" w:hAnsi="Arial" w:cs="Arial"/>
          <w:sz w:val="18"/>
          <w:szCs w:val="18"/>
        </w:rPr>
        <w:lastRenderedPageBreak/>
        <w:t>U</w:t>
      </w:r>
      <w:r w:rsidR="00D266DB" w:rsidRPr="00F23256">
        <w:rPr>
          <w:rFonts w:ascii="Arial" w:hAnsi="Arial" w:cs="Arial"/>
          <w:sz w:val="18"/>
          <w:szCs w:val="18"/>
        </w:rPr>
        <w:t xml:space="preserve"> 2023. bili su izvršeni izdaci</w:t>
      </w:r>
      <w:r w:rsidR="00EA57C6" w:rsidRPr="00F23256">
        <w:rPr>
          <w:rFonts w:ascii="Arial" w:hAnsi="Arial" w:cs="Arial"/>
          <w:sz w:val="18"/>
          <w:szCs w:val="18"/>
        </w:rPr>
        <w:t xml:space="preserve"> za kratkoročne depozite</w:t>
      </w:r>
      <w:r w:rsidR="00845F5F" w:rsidRPr="00F23256">
        <w:rPr>
          <w:rFonts w:ascii="Arial" w:hAnsi="Arial" w:cs="Arial"/>
          <w:sz w:val="18"/>
          <w:szCs w:val="18"/>
        </w:rPr>
        <w:t xml:space="preserve"> (51)</w:t>
      </w:r>
      <w:r w:rsidR="00EA57C6" w:rsidRPr="00F23256">
        <w:rPr>
          <w:rFonts w:ascii="Arial" w:hAnsi="Arial" w:cs="Arial"/>
          <w:sz w:val="18"/>
          <w:szCs w:val="18"/>
        </w:rPr>
        <w:t xml:space="preserve"> u iznosu 2.500.000 € (oročenje sredstava od prodaje nefinancijske imovine – prodanog zemljišta u budućoj poduzetničkoj zoni)</w:t>
      </w:r>
      <w:r w:rsidR="00D266DB" w:rsidRPr="00F23256">
        <w:rPr>
          <w:rFonts w:ascii="Arial" w:hAnsi="Arial" w:cs="Arial"/>
          <w:sz w:val="18"/>
          <w:szCs w:val="18"/>
        </w:rPr>
        <w:t>.</w:t>
      </w:r>
    </w:p>
    <w:p w14:paraId="63A4C457" w14:textId="77777777" w:rsidR="002E304B" w:rsidRPr="003A2F86" w:rsidRDefault="002E304B" w:rsidP="002E304B">
      <w:pPr>
        <w:spacing w:after="0" w:line="240" w:lineRule="auto"/>
        <w:jc w:val="both"/>
        <w:rPr>
          <w:rFonts w:ascii="Arial" w:eastAsia="Times New Roman" w:hAnsi="Arial" w:cs="Arial"/>
        </w:rPr>
      </w:pPr>
    </w:p>
    <w:bookmarkEnd w:id="241"/>
    <w:p w14:paraId="3C77D19F" w14:textId="77777777" w:rsidR="003F6170" w:rsidRPr="003A2F86" w:rsidRDefault="003F6170" w:rsidP="002E304B">
      <w:pPr>
        <w:spacing w:after="0" w:line="240" w:lineRule="auto"/>
        <w:jc w:val="both"/>
        <w:rPr>
          <w:rFonts w:ascii="Arial" w:eastAsia="Times New Roman" w:hAnsi="Arial" w:cs="Arial"/>
          <w:bCs/>
          <w:lang w:eastAsia="en-US"/>
        </w:rPr>
      </w:pPr>
    </w:p>
    <w:p w14:paraId="6BB4ED9C" w14:textId="0BC838CB" w:rsidR="002E304B" w:rsidRPr="003A2F86" w:rsidRDefault="00984893" w:rsidP="00984893">
      <w:pPr>
        <w:pStyle w:val="Naslov4"/>
        <w:rPr>
          <w:rFonts w:ascii="Arial" w:hAnsi="Arial" w:cs="Arial"/>
          <w:lang w:val="hr-HR"/>
        </w:rPr>
      </w:pPr>
      <w:bookmarkStart w:id="245" w:name="_Toc207707446"/>
      <w:bookmarkEnd w:id="242"/>
      <w:r w:rsidRPr="003A2F86">
        <w:rPr>
          <w:rFonts w:ascii="Arial" w:hAnsi="Arial" w:cs="Arial"/>
          <w:lang w:val="hr-HR"/>
        </w:rPr>
        <w:t>2.5.2</w:t>
      </w:r>
      <w:r w:rsidR="002E304B" w:rsidRPr="003A2F86">
        <w:rPr>
          <w:rFonts w:ascii="Arial" w:hAnsi="Arial" w:cs="Arial"/>
          <w:lang w:val="hr-HR"/>
        </w:rPr>
        <w:t>.</w:t>
      </w:r>
      <w:r w:rsidR="00845F5F" w:rsidRPr="003A2F86">
        <w:rPr>
          <w:rFonts w:ascii="Arial" w:hAnsi="Arial" w:cs="Arial"/>
          <w:lang w:val="hr-HR"/>
        </w:rPr>
        <w:t>2</w:t>
      </w:r>
      <w:r w:rsidR="002E304B" w:rsidRPr="003A2F86">
        <w:rPr>
          <w:rFonts w:ascii="Arial" w:hAnsi="Arial" w:cs="Arial"/>
          <w:lang w:val="hr-HR"/>
        </w:rPr>
        <w:t xml:space="preserve">. </w:t>
      </w:r>
      <w:r w:rsidR="002E304B" w:rsidRPr="003A2F86">
        <w:rPr>
          <w:rFonts w:ascii="Arial" w:hAnsi="Arial" w:cs="Arial"/>
          <w:lang w:val="hr-HR"/>
        </w:rPr>
        <w:tab/>
        <w:t>Izdaci za dionice i udjele u glavnici (53)</w:t>
      </w:r>
      <w:bookmarkEnd w:id="245"/>
    </w:p>
    <w:p w14:paraId="170C6D37" w14:textId="77777777" w:rsidR="002E304B" w:rsidRPr="003A2F86" w:rsidRDefault="002E304B" w:rsidP="002E304B">
      <w:pPr>
        <w:spacing w:after="0" w:line="240" w:lineRule="auto"/>
        <w:jc w:val="both"/>
        <w:rPr>
          <w:rFonts w:ascii="Arial" w:eastAsia="Calibri" w:hAnsi="Arial" w:cs="Arial"/>
          <w:lang w:eastAsia="en-US"/>
        </w:rPr>
      </w:pPr>
    </w:p>
    <w:p w14:paraId="52C68E0D" w14:textId="4ED85420" w:rsidR="002E304B" w:rsidRPr="003A2F86" w:rsidRDefault="002E304B" w:rsidP="00E75472">
      <w:pPr>
        <w:spacing w:after="0" w:line="240" w:lineRule="auto"/>
        <w:jc w:val="both"/>
        <w:rPr>
          <w:rFonts w:ascii="Arial" w:eastAsia="Times New Roman" w:hAnsi="Arial" w:cs="Arial"/>
          <w:iCs/>
          <w:lang w:eastAsia="en-US"/>
        </w:rPr>
      </w:pPr>
      <w:r w:rsidRPr="003A2F86">
        <w:rPr>
          <w:rFonts w:ascii="Arial" w:eastAsia="Calibri" w:hAnsi="Arial" w:cs="Arial"/>
          <w:lang w:eastAsia="en-US"/>
        </w:rPr>
        <w:t xml:space="preserve">Izdaci za dionice i udjele u glavnici </w:t>
      </w:r>
      <w:r w:rsidRPr="003A2F86">
        <w:rPr>
          <w:rFonts w:ascii="Arial" w:eastAsia="Times New Roman" w:hAnsi="Arial" w:cs="Arial"/>
          <w:iCs/>
          <w:lang w:eastAsia="en-US"/>
        </w:rPr>
        <w:t>(532) u izvještajnom razdoblju 202</w:t>
      </w:r>
      <w:r w:rsidR="00BC75DC">
        <w:rPr>
          <w:rFonts w:ascii="Arial" w:eastAsia="Times New Roman" w:hAnsi="Arial" w:cs="Arial"/>
          <w:iCs/>
          <w:lang w:eastAsia="en-US"/>
        </w:rPr>
        <w:t>5</w:t>
      </w:r>
      <w:r w:rsidRPr="003A2F86">
        <w:rPr>
          <w:rFonts w:ascii="Arial" w:eastAsia="Times New Roman" w:hAnsi="Arial" w:cs="Arial"/>
          <w:iCs/>
          <w:lang w:eastAsia="en-US"/>
        </w:rPr>
        <w:t xml:space="preserve">. nisu izvršeni, </w:t>
      </w:r>
      <w:r w:rsidR="00D266DB" w:rsidRPr="003A2F86">
        <w:rPr>
          <w:rFonts w:ascii="Arial" w:eastAsia="Times New Roman" w:hAnsi="Arial" w:cs="Arial"/>
          <w:iCs/>
          <w:lang w:eastAsia="en-US"/>
        </w:rPr>
        <w:t xml:space="preserve">kao niti u izvještajnom razdoblju </w:t>
      </w:r>
      <w:r w:rsidRPr="003A2F86">
        <w:rPr>
          <w:rFonts w:ascii="Arial" w:eastAsia="Times New Roman" w:hAnsi="Arial" w:cs="Arial"/>
          <w:iCs/>
          <w:lang w:eastAsia="en-US"/>
        </w:rPr>
        <w:t xml:space="preserve">prethodne godine. </w:t>
      </w:r>
    </w:p>
    <w:p w14:paraId="6F20C126" w14:textId="77777777" w:rsidR="00F23256" w:rsidRDefault="00F23256" w:rsidP="00E75472">
      <w:pPr>
        <w:spacing w:after="0" w:line="240" w:lineRule="auto"/>
        <w:jc w:val="both"/>
        <w:rPr>
          <w:rFonts w:ascii="Arial" w:hAnsi="Arial" w:cs="Arial"/>
          <w:sz w:val="18"/>
          <w:szCs w:val="18"/>
        </w:rPr>
      </w:pPr>
    </w:p>
    <w:p w14:paraId="2B6E7E7E" w14:textId="07EECC50" w:rsidR="002E304B" w:rsidRPr="003A2F86" w:rsidRDefault="002E304B" w:rsidP="00F23256">
      <w:pPr>
        <w:spacing w:after="0" w:line="240" w:lineRule="auto"/>
        <w:ind w:left="567"/>
        <w:jc w:val="both"/>
        <w:rPr>
          <w:rFonts w:ascii="Arial" w:eastAsia="Calibri" w:hAnsi="Arial" w:cs="Arial"/>
          <w:sz w:val="18"/>
          <w:szCs w:val="18"/>
          <w:lang w:eastAsia="en-US"/>
        </w:rPr>
      </w:pPr>
      <w:r w:rsidRPr="003A2F86">
        <w:rPr>
          <w:rFonts w:ascii="Arial" w:hAnsi="Arial" w:cs="Arial"/>
          <w:sz w:val="18"/>
          <w:szCs w:val="18"/>
        </w:rPr>
        <w:t>Ranijih godina u okviru izdataka za dionice i udjele u glavnici (532) su bili iskazivani izdaci (dokapitalizacija) društvima u vlasništvu Općine - Konavosko komunalno društvo(otplata kamata zajma za vodoopskrbni sustav Đurinići – jamstvo, druga ulaganja u kanalizaciju i vodovod), kao i društvo Čistoća i zelenilo Konavle (nabava imovine).</w:t>
      </w:r>
    </w:p>
    <w:p w14:paraId="7C94F562" w14:textId="77777777" w:rsidR="004113C9" w:rsidRPr="003A2F86" w:rsidRDefault="004113C9" w:rsidP="00891119">
      <w:pPr>
        <w:spacing w:after="0" w:line="240" w:lineRule="auto"/>
        <w:jc w:val="both"/>
        <w:rPr>
          <w:rFonts w:ascii="Arial" w:eastAsia="Calibri" w:hAnsi="Arial" w:cs="Arial"/>
          <w:lang w:eastAsia="en-US"/>
        </w:rPr>
      </w:pPr>
    </w:p>
    <w:p w14:paraId="5F5D757C" w14:textId="39C5F8CD" w:rsidR="00891119" w:rsidRPr="003A2F86" w:rsidRDefault="00984893" w:rsidP="00984893">
      <w:pPr>
        <w:pStyle w:val="Naslov4"/>
        <w:rPr>
          <w:rFonts w:ascii="Arial" w:hAnsi="Arial" w:cs="Arial"/>
          <w:lang w:val="hr-HR"/>
        </w:rPr>
      </w:pPr>
      <w:bookmarkStart w:id="246" w:name="_Toc207707447"/>
      <w:r w:rsidRPr="003A2F86">
        <w:rPr>
          <w:rFonts w:ascii="Arial" w:hAnsi="Arial" w:cs="Arial"/>
          <w:lang w:val="hr-HR"/>
        </w:rPr>
        <w:t>2.5.2</w:t>
      </w:r>
      <w:r w:rsidR="00891119" w:rsidRPr="003A2F86">
        <w:rPr>
          <w:rFonts w:ascii="Arial" w:hAnsi="Arial" w:cs="Arial"/>
          <w:lang w:val="hr-HR"/>
        </w:rPr>
        <w:t>.</w:t>
      </w:r>
      <w:r w:rsidR="00845F5F" w:rsidRPr="003A2F86">
        <w:rPr>
          <w:rFonts w:ascii="Arial" w:hAnsi="Arial" w:cs="Arial"/>
          <w:lang w:val="hr-HR"/>
        </w:rPr>
        <w:t>3</w:t>
      </w:r>
      <w:r w:rsidR="00891119" w:rsidRPr="003A2F86">
        <w:rPr>
          <w:rFonts w:ascii="Arial" w:hAnsi="Arial" w:cs="Arial"/>
          <w:lang w:val="hr-HR"/>
        </w:rPr>
        <w:t xml:space="preserve">. </w:t>
      </w:r>
      <w:r w:rsidR="00891119" w:rsidRPr="003A2F86">
        <w:rPr>
          <w:rFonts w:ascii="Arial" w:hAnsi="Arial" w:cs="Arial"/>
          <w:lang w:val="hr-HR"/>
        </w:rPr>
        <w:tab/>
        <w:t>Izdaci za otplatu glavnice primljenih kredita i zajmova (54)</w:t>
      </w:r>
      <w:bookmarkEnd w:id="246"/>
    </w:p>
    <w:p w14:paraId="57800219" w14:textId="77777777" w:rsidR="003D4AF3" w:rsidRPr="003A2F86" w:rsidRDefault="003D4AF3" w:rsidP="002B5604">
      <w:pPr>
        <w:autoSpaceDE w:val="0"/>
        <w:autoSpaceDN w:val="0"/>
        <w:adjustRightInd w:val="0"/>
        <w:spacing w:after="0" w:line="240" w:lineRule="auto"/>
        <w:jc w:val="both"/>
        <w:rPr>
          <w:rFonts w:ascii="Arial" w:eastAsia="Times New Roman" w:hAnsi="Arial" w:cs="Arial"/>
        </w:rPr>
      </w:pPr>
    </w:p>
    <w:p w14:paraId="793129DD" w14:textId="1FE5D9B4" w:rsidR="000D170E" w:rsidRPr="003A2F86" w:rsidRDefault="003D4AF3" w:rsidP="003D4AF3">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Izvršeni izdaci za otplatu glavnice kredita </w:t>
      </w:r>
      <w:r w:rsidR="00BD7097" w:rsidRPr="003A2F86">
        <w:rPr>
          <w:rFonts w:ascii="Arial" w:eastAsia="Times New Roman" w:hAnsi="Arial" w:cs="Arial"/>
          <w:iCs/>
          <w:lang w:eastAsia="en-US"/>
        </w:rPr>
        <w:t xml:space="preserve">(54) </w:t>
      </w:r>
      <w:r w:rsidRPr="003A2F86">
        <w:rPr>
          <w:rFonts w:ascii="Arial" w:eastAsia="Times New Roman" w:hAnsi="Arial" w:cs="Arial"/>
          <w:iCs/>
          <w:lang w:eastAsia="en-US"/>
        </w:rPr>
        <w:t>u 202</w:t>
      </w:r>
      <w:r w:rsidR="00BC75DC">
        <w:rPr>
          <w:rFonts w:ascii="Arial" w:eastAsia="Times New Roman" w:hAnsi="Arial" w:cs="Arial"/>
          <w:iCs/>
          <w:lang w:eastAsia="en-US"/>
        </w:rPr>
        <w:t>5</w:t>
      </w:r>
      <w:r w:rsidRPr="003A2F86">
        <w:rPr>
          <w:rFonts w:ascii="Arial" w:eastAsia="Times New Roman" w:hAnsi="Arial" w:cs="Arial"/>
          <w:iCs/>
          <w:lang w:eastAsia="en-US"/>
        </w:rPr>
        <w:t xml:space="preserve">. iznose </w:t>
      </w:r>
      <w:r w:rsidR="00BC75DC">
        <w:rPr>
          <w:rFonts w:ascii="Arial" w:eastAsia="Times New Roman" w:hAnsi="Arial" w:cs="Arial"/>
          <w:iCs/>
          <w:lang w:eastAsia="en-US"/>
        </w:rPr>
        <w:t>380.556,00</w:t>
      </w:r>
      <w:r w:rsidR="00B56C07" w:rsidRPr="003A2F86">
        <w:rPr>
          <w:rFonts w:ascii="Arial" w:eastAsia="Times New Roman" w:hAnsi="Arial" w:cs="Arial"/>
          <w:iCs/>
          <w:lang w:eastAsia="en-US"/>
        </w:rPr>
        <w:t xml:space="preserve"> €</w:t>
      </w:r>
      <w:r w:rsidR="000D170E" w:rsidRPr="003A2F86">
        <w:rPr>
          <w:rFonts w:ascii="Arial" w:eastAsia="Times New Roman" w:hAnsi="Arial" w:cs="Arial"/>
          <w:iCs/>
          <w:lang w:eastAsia="en-US"/>
        </w:rPr>
        <w:t xml:space="preserve">. </w:t>
      </w:r>
    </w:p>
    <w:p w14:paraId="204561EA" w14:textId="77777777" w:rsidR="00B56C07" w:rsidRPr="00E75472" w:rsidRDefault="00B56C07" w:rsidP="003D4AF3">
      <w:pPr>
        <w:spacing w:after="0" w:line="240" w:lineRule="auto"/>
        <w:jc w:val="both"/>
        <w:rPr>
          <w:rFonts w:ascii="Arial" w:eastAsia="Times New Roman" w:hAnsi="Arial" w:cs="Arial"/>
          <w:iCs/>
          <w:sz w:val="18"/>
          <w:szCs w:val="18"/>
          <w:lang w:eastAsia="en-US"/>
        </w:rPr>
      </w:pPr>
    </w:p>
    <w:p w14:paraId="62BB76AA" w14:textId="5DE906D9" w:rsidR="000D170E" w:rsidRDefault="000D170E" w:rsidP="00F23256">
      <w:pPr>
        <w:spacing w:after="0" w:line="240" w:lineRule="auto"/>
        <w:ind w:left="567"/>
        <w:jc w:val="both"/>
        <w:rPr>
          <w:rFonts w:ascii="Arial" w:eastAsia="Times New Roman" w:hAnsi="Arial" w:cs="Arial"/>
          <w:iCs/>
          <w:sz w:val="18"/>
          <w:szCs w:val="18"/>
          <w:lang w:eastAsia="en-US"/>
        </w:rPr>
      </w:pPr>
      <w:bookmarkStart w:id="247" w:name="_Hlk166651570"/>
      <w:bookmarkStart w:id="248" w:name="_Hlk145942817"/>
      <w:r w:rsidRPr="00F23256">
        <w:rPr>
          <w:rFonts w:ascii="Arial" w:eastAsia="Times New Roman" w:hAnsi="Arial" w:cs="Arial"/>
          <w:iCs/>
          <w:sz w:val="18"/>
          <w:szCs w:val="18"/>
          <w:lang w:eastAsia="en-US"/>
        </w:rPr>
        <w:t>U 202</w:t>
      </w:r>
      <w:r w:rsidR="00D266DB" w:rsidRPr="00F23256">
        <w:rPr>
          <w:rFonts w:ascii="Arial" w:eastAsia="Times New Roman" w:hAnsi="Arial" w:cs="Arial"/>
          <w:iCs/>
          <w:sz w:val="18"/>
          <w:szCs w:val="18"/>
          <w:lang w:eastAsia="en-US"/>
        </w:rPr>
        <w:t>3</w:t>
      </w:r>
      <w:r w:rsidRPr="00F23256">
        <w:rPr>
          <w:rFonts w:ascii="Arial" w:eastAsia="Times New Roman" w:hAnsi="Arial" w:cs="Arial"/>
          <w:iCs/>
          <w:sz w:val="18"/>
          <w:szCs w:val="18"/>
          <w:lang w:eastAsia="en-US"/>
        </w:rPr>
        <w:t xml:space="preserve">. su izvršeni izdaci za otplatu kredita u iznosu </w:t>
      </w:r>
      <w:r w:rsidR="004B498C" w:rsidRPr="00F23256">
        <w:rPr>
          <w:rFonts w:ascii="Arial" w:eastAsia="Times New Roman" w:hAnsi="Arial" w:cs="Arial"/>
          <w:iCs/>
          <w:sz w:val="18"/>
          <w:szCs w:val="18"/>
          <w:lang w:eastAsia="en-US"/>
        </w:rPr>
        <w:t>292.385,12</w:t>
      </w:r>
      <w:r w:rsidRPr="00F23256">
        <w:rPr>
          <w:rFonts w:ascii="Arial" w:eastAsia="Times New Roman" w:hAnsi="Arial" w:cs="Arial"/>
          <w:iCs/>
          <w:sz w:val="18"/>
          <w:szCs w:val="18"/>
          <w:lang w:eastAsia="en-US"/>
        </w:rPr>
        <w:t xml:space="preserve"> €, a odnosili su se na otplatu kredita (OTP banka d.d.) za izgradnju doma za starije i nemoćne osobe</w:t>
      </w:r>
      <w:r w:rsidR="004B498C" w:rsidRPr="00F23256">
        <w:rPr>
          <w:rFonts w:ascii="Arial" w:eastAsia="Times New Roman" w:hAnsi="Arial" w:cs="Arial"/>
          <w:iCs/>
          <w:sz w:val="18"/>
          <w:szCs w:val="18"/>
          <w:lang w:eastAsia="en-US"/>
        </w:rPr>
        <w:t xml:space="preserve">. </w:t>
      </w:r>
    </w:p>
    <w:p w14:paraId="767245B9" w14:textId="3189CD88" w:rsidR="00BC75DC" w:rsidRPr="00BC75DC" w:rsidRDefault="00BC75DC" w:rsidP="00F23256">
      <w:pPr>
        <w:spacing w:after="0" w:line="240" w:lineRule="auto"/>
        <w:ind w:left="567"/>
        <w:jc w:val="both"/>
        <w:rPr>
          <w:rFonts w:ascii="Arial" w:eastAsia="Times New Roman" w:hAnsi="Arial" w:cs="Arial"/>
          <w:iCs/>
          <w:sz w:val="18"/>
          <w:szCs w:val="18"/>
          <w:lang w:eastAsia="en-US"/>
        </w:rPr>
      </w:pPr>
      <w:r w:rsidRPr="00BC75DC">
        <w:rPr>
          <w:rFonts w:ascii="Arial" w:eastAsia="Times New Roman" w:hAnsi="Arial" w:cs="Arial"/>
          <w:iCs/>
          <w:sz w:val="18"/>
          <w:szCs w:val="18"/>
          <w:lang w:eastAsia="en-US"/>
        </w:rPr>
        <w:t>U 2024. izdaci za otplatu kredita su iznosili 544.206,34 € (otplata kredita za izgradnju doma za stare 292.305,66 €, kredita za rekonstrukciju javne rasvjete 251.900,68 €</w:t>
      </w:r>
      <w:r>
        <w:rPr>
          <w:rFonts w:ascii="Arial" w:eastAsia="Times New Roman" w:hAnsi="Arial" w:cs="Arial"/>
          <w:iCs/>
          <w:sz w:val="18"/>
          <w:szCs w:val="18"/>
          <w:lang w:eastAsia="en-US"/>
        </w:rPr>
        <w:t>).</w:t>
      </w:r>
    </w:p>
    <w:bookmarkEnd w:id="247"/>
    <w:p w14:paraId="67B8C81F" w14:textId="77777777" w:rsidR="00B56C07" w:rsidRPr="00E75472" w:rsidRDefault="00B56C07" w:rsidP="003D4AF3">
      <w:pPr>
        <w:spacing w:after="0" w:line="240" w:lineRule="auto"/>
        <w:jc w:val="both"/>
        <w:rPr>
          <w:rFonts w:ascii="Arial" w:eastAsia="Times New Roman" w:hAnsi="Arial" w:cs="Arial"/>
          <w:iCs/>
          <w:sz w:val="18"/>
          <w:szCs w:val="18"/>
          <w:lang w:eastAsia="en-US"/>
        </w:rPr>
      </w:pPr>
    </w:p>
    <w:bookmarkEnd w:id="248"/>
    <w:p w14:paraId="5754BF8B" w14:textId="3222E6BA" w:rsidR="00E75472" w:rsidRPr="004B498C" w:rsidRDefault="004B498C" w:rsidP="00E75472">
      <w:pPr>
        <w:spacing w:after="0" w:line="240" w:lineRule="auto"/>
        <w:jc w:val="both"/>
        <w:rPr>
          <w:rFonts w:ascii="Arial" w:eastAsia="Times New Roman" w:hAnsi="Arial" w:cs="Arial"/>
          <w:iCs/>
          <w:lang w:eastAsia="en-US"/>
        </w:rPr>
      </w:pPr>
      <w:r w:rsidRPr="004B498C">
        <w:rPr>
          <w:rFonts w:ascii="Arial" w:eastAsia="Times New Roman" w:hAnsi="Arial" w:cs="Arial"/>
          <w:iCs/>
          <w:lang w:eastAsia="en-US"/>
        </w:rPr>
        <w:t>Općina je u 202</w:t>
      </w:r>
      <w:r w:rsidR="00BC75DC">
        <w:rPr>
          <w:rFonts w:ascii="Arial" w:eastAsia="Times New Roman" w:hAnsi="Arial" w:cs="Arial"/>
          <w:iCs/>
          <w:lang w:eastAsia="en-US"/>
        </w:rPr>
        <w:t>5</w:t>
      </w:r>
      <w:r w:rsidRPr="004B498C">
        <w:rPr>
          <w:rFonts w:ascii="Arial" w:eastAsia="Times New Roman" w:hAnsi="Arial" w:cs="Arial"/>
          <w:iCs/>
          <w:lang w:eastAsia="en-US"/>
        </w:rPr>
        <w:t xml:space="preserve">. </w:t>
      </w:r>
      <w:r w:rsidR="00BC75DC">
        <w:rPr>
          <w:rFonts w:ascii="Arial" w:eastAsia="Times New Roman" w:hAnsi="Arial" w:cs="Arial"/>
          <w:iCs/>
          <w:lang w:eastAsia="en-US"/>
        </w:rPr>
        <w:t xml:space="preserve">u cijelosti </w:t>
      </w:r>
      <w:r w:rsidR="00BC75DC" w:rsidRPr="00BC75DC">
        <w:rPr>
          <w:rFonts w:ascii="Arial" w:eastAsia="Times New Roman" w:hAnsi="Arial" w:cs="Arial"/>
          <w:i/>
          <w:lang w:eastAsia="en-US"/>
        </w:rPr>
        <w:t>k</w:t>
      </w:r>
      <w:r w:rsidRPr="00E75472">
        <w:rPr>
          <w:rFonts w:ascii="Arial" w:eastAsia="Times New Roman" w:hAnsi="Arial" w:cs="Arial"/>
          <w:i/>
          <w:lang w:eastAsia="en-US"/>
        </w:rPr>
        <w:t>redit za izgradnju doma za starije i nemoćne osobe</w:t>
      </w:r>
      <w:r w:rsidR="00E75472">
        <w:rPr>
          <w:rFonts w:ascii="Arial" w:eastAsia="Times New Roman" w:hAnsi="Arial" w:cs="Arial"/>
          <w:iCs/>
          <w:lang w:eastAsia="en-US"/>
        </w:rPr>
        <w:t xml:space="preserve"> (</w:t>
      </w:r>
      <w:r w:rsidR="00E75472" w:rsidRPr="004B498C">
        <w:rPr>
          <w:rFonts w:ascii="Arial" w:eastAsia="Times New Roman" w:hAnsi="Arial" w:cs="Arial"/>
          <w:iCs/>
          <w:lang w:eastAsia="en-US"/>
        </w:rPr>
        <w:t xml:space="preserve">glavnica </w:t>
      </w:r>
      <w:r w:rsidR="00BC75DC">
        <w:rPr>
          <w:rFonts w:ascii="Arial" w:eastAsia="Times New Roman" w:hAnsi="Arial" w:cs="Arial"/>
          <w:iCs/>
          <w:lang w:eastAsia="en-US"/>
        </w:rPr>
        <w:t>219.227,24</w:t>
      </w:r>
      <w:r w:rsidR="00E75472" w:rsidRPr="004B498C">
        <w:rPr>
          <w:rFonts w:ascii="Arial" w:eastAsia="Times New Roman" w:hAnsi="Arial" w:cs="Arial"/>
          <w:iCs/>
          <w:lang w:eastAsia="en-US"/>
        </w:rPr>
        <w:t xml:space="preserve"> €</w:t>
      </w:r>
      <w:r w:rsidR="00E75472">
        <w:rPr>
          <w:rFonts w:ascii="Arial" w:eastAsia="Times New Roman" w:hAnsi="Arial" w:cs="Arial"/>
          <w:iCs/>
          <w:lang w:eastAsia="en-US"/>
        </w:rPr>
        <w:t xml:space="preserve">, a </w:t>
      </w:r>
      <w:r w:rsidR="00E75472" w:rsidRPr="004B498C">
        <w:rPr>
          <w:rFonts w:ascii="Arial" w:eastAsia="Times New Roman" w:hAnsi="Arial" w:cs="Arial"/>
          <w:iCs/>
          <w:lang w:eastAsia="en-US"/>
        </w:rPr>
        <w:t xml:space="preserve">kamate </w:t>
      </w:r>
      <w:r w:rsidR="00BC75DC">
        <w:rPr>
          <w:rFonts w:ascii="Arial" w:eastAsia="Times New Roman" w:hAnsi="Arial" w:cs="Arial"/>
          <w:iCs/>
          <w:lang w:eastAsia="en-US"/>
        </w:rPr>
        <w:t>2.498,06</w:t>
      </w:r>
      <w:r w:rsidR="00E75472" w:rsidRPr="004B498C">
        <w:rPr>
          <w:rFonts w:ascii="Arial" w:eastAsia="Times New Roman" w:hAnsi="Arial" w:cs="Arial"/>
          <w:iCs/>
          <w:lang w:eastAsia="en-US"/>
        </w:rPr>
        <w:t xml:space="preserve"> €</w:t>
      </w:r>
      <w:r w:rsidR="00BC75DC">
        <w:rPr>
          <w:rFonts w:ascii="Arial" w:eastAsia="Times New Roman" w:hAnsi="Arial" w:cs="Arial"/>
          <w:iCs/>
          <w:lang w:eastAsia="en-US"/>
        </w:rPr>
        <w:t xml:space="preserve"> i naknada za prijevremenu otplatu kredita 1.463,53 €</w:t>
      </w:r>
      <w:r w:rsidR="00E75472" w:rsidRPr="004B498C">
        <w:rPr>
          <w:rFonts w:ascii="Arial" w:eastAsia="Times New Roman" w:hAnsi="Arial" w:cs="Arial"/>
          <w:iCs/>
          <w:lang w:eastAsia="en-US"/>
        </w:rPr>
        <w:t>).</w:t>
      </w:r>
      <w:r w:rsidR="00E75472">
        <w:rPr>
          <w:rFonts w:ascii="Arial" w:eastAsia="Times New Roman" w:hAnsi="Arial" w:cs="Arial"/>
          <w:iCs/>
          <w:lang w:eastAsia="en-US"/>
        </w:rPr>
        <w:t xml:space="preserve"> </w:t>
      </w:r>
    </w:p>
    <w:p w14:paraId="1BE55964" w14:textId="77777777" w:rsidR="00E75472" w:rsidRPr="00E75472" w:rsidRDefault="00E75472" w:rsidP="004B498C">
      <w:pPr>
        <w:spacing w:after="0" w:line="240" w:lineRule="auto"/>
        <w:jc w:val="both"/>
        <w:rPr>
          <w:rFonts w:ascii="Arial" w:eastAsia="Times New Roman" w:hAnsi="Arial" w:cs="Arial"/>
          <w:iCs/>
          <w:sz w:val="18"/>
          <w:szCs w:val="18"/>
          <w:lang w:eastAsia="en-US"/>
        </w:rPr>
      </w:pPr>
    </w:p>
    <w:p w14:paraId="34D61826" w14:textId="03028BB8" w:rsidR="00E75472" w:rsidRPr="00E75472" w:rsidRDefault="004B498C" w:rsidP="00E75472">
      <w:pPr>
        <w:spacing w:after="0" w:line="240" w:lineRule="auto"/>
        <w:ind w:left="567"/>
        <w:jc w:val="both"/>
        <w:rPr>
          <w:rFonts w:ascii="Arial" w:eastAsia="Times New Roman" w:hAnsi="Arial" w:cs="Arial"/>
          <w:iCs/>
          <w:sz w:val="18"/>
          <w:szCs w:val="18"/>
          <w:lang w:eastAsia="en-US"/>
        </w:rPr>
      </w:pPr>
      <w:r w:rsidRPr="00E75472">
        <w:rPr>
          <w:rFonts w:ascii="Arial" w:eastAsia="Times New Roman" w:hAnsi="Arial" w:cs="Arial"/>
          <w:iCs/>
          <w:sz w:val="18"/>
          <w:szCs w:val="18"/>
          <w:lang w:eastAsia="en-US"/>
        </w:rPr>
        <w:t>Općina se u kolovozu 2013. zaduži</w:t>
      </w:r>
      <w:r w:rsidR="00111106">
        <w:rPr>
          <w:rFonts w:ascii="Arial" w:eastAsia="Times New Roman" w:hAnsi="Arial" w:cs="Arial"/>
          <w:iCs/>
          <w:sz w:val="18"/>
          <w:szCs w:val="18"/>
          <w:lang w:eastAsia="en-US"/>
        </w:rPr>
        <w:t>l</w:t>
      </w:r>
      <w:r w:rsidRPr="00E75472">
        <w:rPr>
          <w:rFonts w:ascii="Arial" w:eastAsia="Times New Roman" w:hAnsi="Arial" w:cs="Arial"/>
          <w:iCs/>
          <w:sz w:val="18"/>
          <w:szCs w:val="18"/>
          <w:lang w:eastAsia="en-US"/>
        </w:rPr>
        <w:t xml:space="preserve">a (OTP banka d.d.) za izgradnju Doma u iznosu 20.000.000 kn (2.630.750,95 EUR srednji tečaj HNB za 1 EUR na dan 26.4.2013.). Kredit je tijekom 2013. i 2014. iskorišten u iznosu 20.047.974,40 kn (2.660.823,47 €). Prvi obrok je dospio 31.12.2015., a posljednji 30.09.2024. Tromjesečni obrok za glavnicu kredita iznosi 73.076,42 EUR, te ukupni godišnji iznos za glavnicu kredita (četiri tromjesečna obroka) iznosi 292.305,68 EUR. Zbog nedostatka proračunskih sredstava uvjetovanih pandemijom bolesti COVID-19, Općina je s poslovnom bankom dana 19. lipnja 2020. zaključila dodatak ugovoru kojim je utvrđena odgoda plaćanja rata glavnice kredita do 31.12.2020. te se obračun kamata i prvi obrok plaća 31.03.2021. i otplata posljednjeg obroka </w:t>
      </w:r>
      <w:r w:rsidR="00E75472">
        <w:rPr>
          <w:rFonts w:ascii="Arial" w:eastAsia="Times New Roman" w:hAnsi="Arial" w:cs="Arial"/>
          <w:iCs/>
          <w:sz w:val="18"/>
          <w:szCs w:val="18"/>
          <w:lang w:eastAsia="en-US"/>
        </w:rPr>
        <w:t xml:space="preserve">se produžila </w:t>
      </w:r>
      <w:r w:rsidRPr="00E75472">
        <w:rPr>
          <w:rFonts w:ascii="Arial" w:eastAsia="Times New Roman" w:hAnsi="Arial" w:cs="Arial"/>
          <w:iCs/>
          <w:sz w:val="18"/>
          <w:szCs w:val="18"/>
          <w:lang w:eastAsia="en-US"/>
        </w:rPr>
        <w:t xml:space="preserve">30.9.2025. Kamatna stopa u razdoblju odgode plaćanja utvrđena je u visini redovne kamatne stope, ali naplata kamate je izvršena u 2021. na dan utvrđene ponovne otplate glavnice kredita. </w:t>
      </w:r>
      <w:r w:rsidR="00BC75DC">
        <w:rPr>
          <w:rFonts w:ascii="Arial" w:eastAsia="Times New Roman" w:hAnsi="Arial" w:cs="Arial"/>
          <w:iCs/>
          <w:sz w:val="18"/>
          <w:szCs w:val="18"/>
          <w:lang w:eastAsia="en-US"/>
        </w:rPr>
        <w:t>Kredit je u cijelosti otplaćen u travnju 2025. godine, a plaćena naknada za prijevremenu otplatu kredita je bila manja od ukupnih kamata koje je trebalo platiti do konca rujna 2025.</w:t>
      </w:r>
    </w:p>
    <w:p w14:paraId="70205413" w14:textId="77777777" w:rsidR="002E2E2B" w:rsidRDefault="002E2E2B" w:rsidP="00EA57C6">
      <w:pPr>
        <w:spacing w:after="0" w:line="240" w:lineRule="auto"/>
        <w:jc w:val="both"/>
        <w:rPr>
          <w:rFonts w:ascii="Arial" w:eastAsia="Times New Roman" w:hAnsi="Arial" w:cs="Arial"/>
          <w:iCs/>
          <w:sz w:val="18"/>
          <w:szCs w:val="18"/>
          <w:lang w:eastAsia="en-US"/>
        </w:rPr>
      </w:pPr>
    </w:p>
    <w:p w14:paraId="1853DADE" w14:textId="1D2754B7" w:rsidR="00BC75DC" w:rsidRDefault="00BC75DC" w:rsidP="004B498C">
      <w:pPr>
        <w:spacing w:after="0" w:line="240" w:lineRule="auto"/>
        <w:jc w:val="both"/>
        <w:rPr>
          <w:rFonts w:ascii="Arial" w:eastAsia="Times New Roman" w:hAnsi="Arial" w:cs="Arial"/>
          <w:iCs/>
          <w:lang w:eastAsia="en-US"/>
        </w:rPr>
      </w:pPr>
      <w:r>
        <w:rPr>
          <w:rFonts w:ascii="Arial" w:eastAsia="Times New Roman" w:hAnsi="Arial" w:cs="Arial"/>
          <w:iCs/>
          <w:lang w:eastAsia="en-US"/>
        </w:rPr>
        <w:t>U 2025. godini plaćen</w:t>
      </w:r>
      <w:r w:rsidR="00A42579">
        <w:rPr>
          <w:rFonts w:ascii="Arial" w:eastAsia="Times New Roman" w:hAnsi="Arial" w:cs="Arial"/>
          <w:iCs/>
          <w:lang w:eastAsia="en-US"/>
        </w:rPr>
        <w:t>a</w:t>
      </w:r>
      <w:r>
        <w:rPr>
          <w:rFonts w:ascii="Arial" w:eastAsia="Times New Roman" w:hAnsi="Arial" w:cs="Arial"/>
          <w:iCs/>
          <w:lang w:eastAsia="en-US"/>
        </w:rPr>
        <w:t xml:space="preserve"> je glavnica kredita za energetsku učinkovitost javne rasvjete u iznosu </w:t>
      </w:r>
      <w:r w:rsidR="00F27127">
        <w:rPr>
          <w:rFonts w:ascii="Arial" w:eastAsia="Times New Roman" w:hAnsi="Arial" w:cs="Arial"/>
          <w:iCs/>
          <w:lang w:eastAsia="en-US"/>
        </w:rPr>
        <w:t>49.841,60 € uz kamate 1.451,89 €.</w:t>
      </w:r>
    </w:p>
    <w:p w14:paraId="75B31B6A" w14:textId="77777777" w:rsidR="00BC75DC" w:rsidRDefault="00BC75DC" w:rsidP="004B498C">
      <w:pPr>
        <w:spacing w:after="0" w:line="240" w:lineRule="auto"/>
        <w:jc w:val="both"/>
        <w:rPr>
          <w:rFonts w:ascii="Arial" w:eastAsia="Times New Roman" w:hAnsi="Arial" w:cs="Arial"/>
          <w:iCs/>
          <w:lang w:eastAsia="en-US"/>
        </w:rPr>
      </w:pPr>
    </w:p>
    <w:p w14:paraId="561F8720" w14:textId="7EBDE495" w:rsidR="004B498C" w:rsidRPr="00F27127" w:rsidRDefault="004B498C" w:rsidP="00F27127">
      <w:pPr>
        <w:spacing w:after="0" w:line="240" w:lineRule="auto"/>
        <w:ind w:left="709"/>
        <w:jc w:val="both"/>
        <w:rPr>
          <w:rFonts w:ascii="Arial" w:eastAsia="Times New Roman" w:hAnsi="Arial" w:cs="Arial"/>
          <w:iCs/>
          <w:sz w:val="18"/>
          <w:szCs w:val="18"/>
          <w:lang w:eastAsia="en-US"/>
        </w:rPr>
      </w:pPr>
      <w:r w:rsidRPr="00F27127">
        <w:rPr>
          <w:rFonts w:ascii="Arial" w:eastAsia="Times New Roman" w:hAnsi="Arial" w:cs="Arial"/>
          <w:iCs/>
          <w:sz w:val="18"/>
          <w:szCs w:val="18"/>
          <w:lang w:eastAsia="en-US"/>
        </w:rPr>
        <w:t xml:space="preserve">U 2024. godini je započela otplata </w:t>
      </w:r>
      <w:r w:rsidRPr="00F27127">
        <w:rPr>
          <w:rFonts w:ascii="Arial" w:eastAsia="Times New Roman" w:hAnsi="Arial" w:cs="Arial"/>
          <w:i/>
          <w:sz w:val="18"/>
          <w:szCs w:val="18"/>
          <w:lang w:eastAsia="en-US"/>
        </w:rPr>
        <w:t>kredita za rekonstrukciju javne rasvjete</w:t>
      </w:r>
      <w:r w:rsidRPr="00F27127">
        <w:rPr>
          <w:rFonts w:ascii="Arial" w:eastAsia="Times New Roman" w:hAnsi="Arial" w:cs="Arial"/>
          <w:iCs/>
          <w:sz w:val="18"/>
          <w:szCs w:val="18"/>
          <w:lang w:eastAsia="en-US"/>
        </w:rPr>
        <w:t xml:space="preserve"> (energetska učinkovitost). Ovaj kredit je zaključen </w:t>
      </w:r>
      <w:r w:rsidR="00880700" w:rsidRPr="00F27127">
        <w:rPr>
          <w:rFonts w:ascii="Arial" w:eastAsia="Times New Roman" w:hAnsi="Arial" w:cs="Arial"/>
          <w:iCs/>
          <w:sz w:val="18"/>
          <w:szCs w:val="18"/>
          <w:lang w:eastAsia="en-US"/>
        </w:rPr>
        <w:t xml:space="preserve">u iznosu 850.000 € dana </w:t>
      </w:r>
      <w:r w:rsidRPr="00F27127">
        <w:rPr>
          <w:rFonts w:ascii="Arial" w:eastAsia="Times New Roman" w:hAnsi="Arial" w:cs="Arial"/>
          <w:iCs/>
          <w:sz w:val="18"/>
          <w:szCs w:val="18"/>
          <w:lang w:eastAsia="en-US"/>
        </w:rPr>
        <w:t>19.12.2022. s bankom (HBOR) i iskorišten je u iznosu 647.940,92 €. U 2024. godini vraćen dio neiskorištenog kredita u iznosu 202.059,08 € i otplaćena glavnica u iznosu 49.841,60 € (sveukupno 251.900,68 €). U 2024. godine su plaćene redovne kamate u iznosu 3.777,01 €.</w:t>
      </w:r>
      <w:r w:rsidR="00F27127">
        <w:rPr>
          <w:rFonts w:ascii="Arial" w:eastAsia="Times New Roman" w:hAnsi="Arial" w:cs="Arial"/>
          <w:iCs/>
          <w:sz w:val="18"/>
          <w:szCs w:val="18"/>
          <w:lang w:eastAsia="en-US"/>
        </w:rPr>
        <w:t xml:space="preserve"> Nakon plaćanja glavnice kredita u 2025. godini, obveze koncem lipnja 2025. godine iznose 548.257,72 €.</w:t>
      </w:r>
    </w:p>
    <w:p w14:paraId="714C63C3" w14:textId="77777777" w:rsidR="00A42579" w:rsidRDefault="00A42579" w:rsidP="00A42579">
      <w:pPr>
        <w:spacing w:after="0" w:line="240" w:lineRule="auto"/>
        <w:jc w:val="both"/>
        <w:rPr>
          <w:rFonts w:ascii="Arial" w:eastAsia="Times New Roman" w:hAnsi="Arial" w:cs="Arial"/>
          <w:iCs/>
          <w:sz w:val="18"/>
          <w:szCs w:val="18"/>
          <w:lang w:eastAsia="en-US"/>
        </w:rPr>
      </w:pPr>
    </w:p>
    <w:p w14:paraId="1A9C1406" w14:textId="779134EC" w:rsidR="00A42579" w:rsidRDefault="00A42579" w:rsidP="00A42579">
      <w:pPr>
        <w:spacing w:after="0" w:line="240" w:lineRule="auto"/>
        <w:jc w:val="both"/>
        <w:rPr>
          <w:rFonts w:ascii="Arial" w:eastAsia="Times New Roman" w:hAnsi="Arial" w:cs="Arial"/>
          <w:iCs/>
          <w:lang w:eastAsia="en-US"/>
        </w:rPr>
      </w:pPr>
      <w:r>
        <w:rPr>
          <w:rFonts w:ascii="Arial" w:eastAsia="Times New Roman" w:hAnsi="Arial" w:cs="Arial"/>
          <w:iCs/>
          <w:lang w:eastAsia="en-US"/>
        </w:rPr>
        <w:t>U 2025. godini plaćena je glavnica kredita za izgradnju vatrogasnog doma i nabavu vatrogasnog vozila i opreme u iznosu 111.487,16 € uz kamate 6.467,48 €.</w:t>
      </w:r>
    </w:p>
    <w:p w14:paraId="70B8D81C" w14:textId="77777777" w:rsidR="00A42579" w:rsidRDefault="00A42579" w:rsidP="00A42579">
      <w:pPr>
        <w:spacing w:after="0" w:line="240" w:lineRule="auto"/>
        <w:jc w:val="both"/>
        <w:rPr>
          <w:rFonts w:ascii="Arial" w:eastAsia="Times New Roman" w:hAnsi="Arial" w:cs="Arial"/>
          <w:iCs/>
          <w:lang w:eastAsia="en-US"/>
        </w:rPr>
      </w:pPr>
    </w:p>
    <w:p w14:paraId="7E479145" w14:textId="7432C96C" w:rsidR="00A42579" w:rsidRPr="00F27127" w:rsidRDefault="00A42579" w:rsidP="00A42579">
      <w:pPr>
        <w:spacing w:after="0" w:line="240" w:lineRule="auto"/>
        <w:ind w:left="709"/>
        <w:jc w:val="both"/>
        <w:rPr>
          <w:rFonts w:ascii="Arial" w:eastAsia="Times New Roman" w:hAnsi="Arial" w:cs="Arial"/>
          <w:iCs/>
          <w:sz w:val="18"/>
          <w:szCs w:val="18"/>
          <w:lang w:eastAsia="en-US"/>
        </w:rPr>
      </w:pPr>
      <w:r w:rsidRPr="00F27127">
        <w:rPr>
          <w:rFonts w:ascii="Arial" w:eastAsia="Times New Roman" w:hAnsi="Arial" w:cs="Arial"/>
          <w:iCs/>
          <w:sz w:val="18"/>
          <w:szCs w:val="18"/>
          <w:lang w:eastAsia="en-US"/>
        </w:rPr>
        <w:t>U 202</w:t>
      </w:r>
      <w:r>
        <w:rPr>
          <w:rFonts w:ascii="Arial" w:eastAsia="Times New Roman" w:hAnsi="Arial" w:cs="Arial"/>
          <w:iCs/>
          <w:sz w:val="18"/>
          <w:szCs w:val="18"/>
          <w:lang w:eastAsia="en-US"/>
        </w:rPr>
        <w:t>5</w:t>
      </w:r>
      <w:r w:rsidRPr="00F27127">
        <w:rPr>
          <w:rFonts w:ascii="Arial" w:eastAsia="Times New Roman" w:hAnsi="Arial" w:cs="Arial"/>
          <w:iCs/>
          <w:sz w:val="18"/>
          <w:szCs w:val="18"/>
          <w:lang w:eastAsia="en-US"/>
        </w:rPr>
        <w:t xml:space="preserve">. godini je započela otplata </w:t>
      </w:r>
      <w:r w:rsidRPr="00F27127">
        <w:rPr>
          <w:rFonts w:ascii="Arial" w:eastAsia="Times New Roman" w:hAnsi="Arial" w:cs="Arial"/>
          <w:i/>
          <w:sz w:val="18"/>
          <w:szCs w:val="18"/>
          <w:lang w:eastAsia="en-US"/>
        </w:rPr>
        <w:t xml:space="preserve">kredita za </w:t>
      </w:r>
      <w:r>
        <w:rPr>
          <w:rFonts w:ascii="Arial" w:eastAsia="Times New Roman" w:hAnsi="Arial" w:cs="Arial"/>
          <w:i/>
          <w:sz w:val="18"/>
          <w:szCs w:val="18"/>
          <w:lang w:eastAsia="en-US"/>
        </w:rPr>
        <w:t>izgradnju vatrogasnog doma</w:t>
      </w:r>
      <w:r w:rsidRPr="00F27127">
        <w:rPr>
          <w:rFonts w:ascii="Arial" w:eastAsia="Times New Roman" w:hAnsi="Arial" w:cs="Arial"/>
          <w:iCs/>
          <w:sz w:val="18"/>
          <w:szCs w:val="18"/>
          <w:lang w:eastAsia="en-US"/>
        </w:rPr>
        <w:t xml:space="preserve">. Ovaj kredit je zaključen u iznosu </w:t>
      </w:r>
      <w:r>
        <w:rPr>
          <w:rFonts w:ascii="Arial" w:eastAsia="Times New Roman" w:hAnsi="Arial" w:cs="Arial"/>
          <w:iCs/>
          <w:sz w:val="18"/>
          <w:szCs w:val="18"/>
          <w:lang w:eastAsia="en-US"/>
        </w:rPr>
        <w:t>1.114.871,59</w:t>
      </w:r>
      <w:r w:rsidRPr="00F27127">
        <w:rPr>
          <w:rFonts w:ascii="Arial" w:eastAsia="Times New Roman" w:hAnsi="Arial" w:cs="Arial"/>
          <w:iCs/>
          <w:sz w:val="18"/>
          <w:szCs w:val="18"/>
          <w:lang w:eastAsia="en-US"/>
        </w:rPr>
        <w:t xml:space="preserve"> € dana </w:t>
      </w:r>
      <w:r>
        <w:rPr>
          <w:rFonts w:ascii="Arial" w:eastAsia="Times New Roman" w:hAnsi="Arial" w:cs="Arial"/>
          <w:iCs/>
          <w:sz w:val="18"/>
          <w:szCs w:val="18"/>
          <w:lang w:eastAsia="en-US"/>
        </w:rPr>
        <w:t>1.3.2022.</w:t>
      </w:r>
      <w:r w:rsidRPr="00F27127">
        <w:rPr>
          <w:rFonts w:ascii="Arial" w:eastAsia="Times New Roman" w:hAnsi="Arial" w:cs="Arial"/>
          <w:iCs/>
          <w:sz w:val="18"/>
          <w:szCs w:val="18"/>
          <w:lang w:eastAsia="en-US"/>
        </w:rPr>
        <w:t xml:space="preserve"> s bankom (HBOR</w:t>
      </w:r>
      <w:r>
        <w:rPr>
          <w:rFonts w:ascii="Arial" w:eastAsia="Times New Roman" w:hAnsi="Arial" w:cs="Arial"/>
          <w:iCs/>
          <w:sz w:val="18"/>
          <w:szCs w:val="18"/>
          <w:lang w:eastAsia="en-US"/>
        </w:rPr>
        <w:t>). Nakon plaćanja glavnice kredita u 2025. godini, obveze koncem lipnja 2025. godine iznose 1.003.384,43 €.</w:t>
      </w:r>
    </w:p>
    <w:p w14:paraId="6B994080" w14:textId="77777777" w:rsidR="00A42579" w:rsidRDefault="00A42579" w:rsidP="004B498C">
      <w:pPr>
        <w:spacing w:after="0" w:line="240" w:lineRule="auto"/>
        <w:jc w:val="both"/>
        <w:rPr>
          <w:rFonts w:ascii="Arial" w:eastAsia="Times New Roman" w:hAnsi="Arial" w:cs="Arial"/>
          <w:iCs/>
          <w:lang w:eastAsia="en-US"/>
        </w:rPr>
      </w:pPr>
    </w:p>
    <w:p w14:paraId="7781470A" w14:textId="0F593029" w:rsidR="004B498C" w:rsidRPr="004B498C" w:rsidRDefault="004B498C" w:rsidP="004B498C">
      <w:pPr>
        <w:spacing w:after="0" w:line="240" w:lineRule="auto"/>
        <w:jc w:val="both"/>
        <w:rPr>
          <w:rFonts w:ascii="Arial" w:eastAsia="Times New Roman" w:hAnsi="Arial" w:cs="Arial"/>
          <w:iCs/>
          <w:lang w:eastAsia="en-US"/>
        </w:rPr>
      </w:pPr>
      <w:r w:rsidRPr="004B498C">
        <w:rPr>
          <w:rFonts w:ascii="Arial" w:eastAsia="Times New Roman" w:hAnsi="Arial" w:cs="Arial"/>
          <w:iCs/>
          <w:lang w:eastAsia="en-US"/>
        </w:rPr>
        <w:lastRenderedPageBreak/>
        <w:t>U 202</w:t>
      </w:r>
      <w:r w:rsidR="00F27127">
        <w:rPr>
          <w:rFonts w:ascii="Arial" w:eastAsia="Times New Roman" w:hAnsi="Arial" w:cs="Arial"/>
          <w:iCs/>
          <w:lang w:eastAsia="en-US"/>
        </w:rPr>
        <w:t>5</w:t>
      </w:r>
      <w:r w:rsidRPr="004B498C">
        <w:rPr>
          <w:rFonts w:ascii="Arial" w:eastAsia="Times New Roman" w:hAnsi="Arial" w:cs="Arial"/>
          <w:iCs/>
          <w:lang w:eastAsia="en-US"/>
        </w:rPr>
        <w:t xml:space="preserve">. godini nije bilo otplate </w:t>
      </w:r>
      <w:r w:rsidRPr="00E75472">
        <w:rPr>
          <w:rFonts w:ascii="Arial" w:eastAsia="Times New Roman" w:hAnsi="Arial" w:cs="Arial"/>
          <w:i/>
          <w:lang w:eastAsia="en-US"/>
        </w:rPr>
        <w:t>beskamatnih zajmova</w:t>
      </w:r>
      <w:r w:rsidRPr="004B498C">
        <w:rPr>
          <w:rFonts w:ascii="Arial" w:eastAsia="Times New Roman" w:hAnsi="Arial" w:cs="Arial"/>
          <w:iCs/>
          <w:lang w:eastAsia="en-US"/>
        </w:rPr>
        <w:t>. Povrat beskamatnih kredita iz Državnog proračuna radi pada prihoda iz 2020. i 2021. je odobren do konca 2027. godine.</w:t>
      </w:r>
    </w:p>
    <w:p w14:paraId="3F854A54" w14:textId="77777777" w:rsidR="004B498C" w:rsidRPr="003A2F86" w:rsidRDefault="004B498C" w:rsidP="00F23256">
      <w:pPr>
        <w:spacing w:after="0" w:line="240" w:lineRule="auto"/>
        <w:ind w:left="567"/>
        <w:jc w:val="both"/>
        <w:rPr>
          <w:rFonts w:ascii="Arial" w:eastAsia="Times New Roman" w:hAnsi="Arial" w:cs="Arial"/>
          <w:iCs/>
          <w:sz w:val="18"/>
          <w:szCs w:val="18"/>
          <w:lang w:eastAsia="en-US"/>
        </w:rPr>
      </w:pPr>
    </w:p>
    <w:p w14:paraId="3711B71F" w14:textId="2892F7B3" w:rsidR="002E2E2B" w:rsidRPr="003A2F86" w:rsidRDefault="00F27127" w:rsidP="00F23256">
      <w:pPr>
        <w:spacing w:after="0" w:line="240" w:lineRule="auto"/>
        <w:ind w:left="567"/>
        <w:jc w:val="both"/>
        <w:rPr>
          <w:rFonts w:ascii="Arial" w:eastAsia="Times New Roman" w:hAnsi="Arial" w:cs="Arial"/>
          <w:iCs/>
          <w:sz w:val="18"/>
          <w:szCs w:val="18"/>
          <w:lang w:eastAsia="en-US"/>
        </w:rPr>
      </w:pPr>
      <w:r>
        <w:rPr>
          <w:rFonts w:ascii="Arial" w:eastAsia="Times New Roman" w:hAnsi="Arial" w:cs="Arial"/>
          <w:iCs/>
          <w:sz w:val="18"/>
          <w:szCs w:val="18"/>
          <w:lang w:eastAsia="en-US"/>
        </w:rPr>
        <w:t>U</w:t>
      </w:r>
      <w:r w:rsidR="00D266DB" w:rsidRPr="003A2F86">
        <w:rPr>
          <w:rFonts w:ascii="Arial" w:eastAsia="Times New Roman" w:hAnsi="Arial" w:cs="Arial"/>
          <w:iCs/>
          <w:sz w:val="18"/>
          <w:szCs w:val="18"/>
          <w:lang w:eastAsia="en-US"/>
        </w:rPr>
        <w:t xml:space="preserve"> </w:t>
      </w:r>
      <w:r w:rsidR="002E2E2B" w:rsidRPr="003A2F86">
        <w:rPr>
          <w:rFonts w:ascii="Arial" w:eastAsia="Times New Roman" w:hAnsi="Arial" w:cs="Arial"/>
          <w:iCs/>
          <w:sz w:val="18"/>
          <w:szCs w:val="18"/>
          <w:lang w:eastAsia="en-US"/>
        </w:rPr>
        <w:t>202</w:t>
      </w:r>
      <w:r>
        <w:rPr>
          <w:rFonts w:ascii="Arial" w:eastAsia="Times New Roman" w:hAnsi="Arial" w:cs="Arial"/>
          <w:iCs/>
          <w:sz w:val="18"/>
          <w:szCs w:val="18"/>
          <w:lang w:eastAsia="en-US"/>
        </w:rPr>
        <w:t>4</w:t>
      </w:r>
      <w:r w:rsidR="002E2E2B" w:rsidRPr="003A2F86">
        <w:rPr>
          <w:rFonts w:ascii="Arial" w:eastAsia="Times New Roman" w:hAnsi="Arial" w:cs="Arial"/>
          <w:iCs/>
          <w:sz w:val="18"/>
          <w:szCs w:val="18"/>
          <w:lang w:eastAsia="en-US"/>
        </w:rPr>
        <w:t xml:space="preserve">. </w:t>
      </w:r>
      <w:r w:rsidR="00D266DB" w:rsidRPr="003A2F86">
        <w:rPr>
          <w:rFonts w:ascii="Arial" w:eastAsia="Times New Roman" w:hAnsi="Arial" w:cs="Arial"/>
          <w:iCs/>
          <w:sz w:val="18"/>
          <w:szCs w:val="18"/>
          <w:lang w:eastAsia="en-US"/>
        </w:rPr>
        <w:t xml:space="preserve">godine je bila evidentirana otplata </w:t>
      </w:r>
      <w:r w:rsidR="004B498C">
        <w:rPr>
          <w:rFonts w:ascii="Arial" w:eastAsia="Times New Roman" w:hAnsi="Arial" w:cs="Arial"/>
          <w:iCs/>
          <w:sz w:val="18"/>
          <w:szCs w:val="18"/>
          <w:lang w:eastAsia="en-US"/>
        </w:rPr>
        <w:t>79,46</w:t>
      </w:r>
      <w:r w:rsidR="00D266DB" w:rsidRPr="003A2F86">
        <w:rPr>
          <w:rFonts w:ascii="Arial" w:eastAsia="Times New Roman" w:hAnsi="Arial" w:cs="Arial"/>
          <w:iCs/>
          <w:sz w:val="18"/>
          <w:szCs w:val="18"/>
          <w:lang w:eastAsia="en-US"/>
        </w:rPr>
        <w:t xml:space="preserve"> € </w:t>
      </w:r>
      <w:r w:rsidR="003D4AF3" w:rsidRPr="003A2F86">
        <w:rPr>
          <w:rFonts w:ascii="Arial" w:eastAsia="Times New Roman" w:hAnsi="Arial" w:cs="Arial"/>
          <w:iCs/>
          <w:sz w:val="18"/>
          <w:szCs w:val="18"/>
          <w:lang w:eastAsia="en-US"/>
        </w:rPr>
        <w:t xml:space="preserve">beskamatnog zajma za iznos povrata </w:t>
      </w:r>
      <w:r w:rsidR="003D4AF3" w:rsidRPr="003A2F86">
        <w:rPr>
          <w:rFonts w:ascii="Arial" w:eastAsia="Times New Roman" w:hAnsi="Arial" w:cs="Arial"/>
          <w:bCs/>
          <w:iCs/>
          <w:sz w:val="18"/>
          <w:szCs w:val="18"/>
          <w:lang w:eastAsia="en-US"/>
        </w:rPr>
        <w:t>odgođenog plaćanja poreza i prireza na dohodak</w:t>
      </w:r>
      <w:r w:rsidR="003D4AF3" w:rsidRPr="003A2F86">
        <w:rPr>
          <w:rFonts w:ascii="Arial" w:eastAsia="Times New Roman" w:hAnsi="Arial" w:cs="Arial"/>
          <w:iCs/>
          <w:sz w:val="18"/>
          <w:szCs w:val="18"/>
          <w:lang w:eastAsia="en-US"/>
        </w:rPr>
        <w:t xml:space="preserve"> iz 2020. godine (općini odobren zajam u visini u kojoj je Porezna uprava odobrila poduzetnicima odgodu plaćanja poreza i prireza na dohodak). FINA </w:t>
      </w:r>
      <w:r w:rsidR="00EA57C6" w:rsidRPr="003A2F86">
        <w:rPr>
          <w:rFonts w:ascii="Arial" w:eastAsia="Times New Roman" w:hAnsi="Arial" w:cs="Arial"/>
          <w:iCs/>
          <w:sz w:val="18"/>
          <w:szCs w:val="18"/>
          <w:lang w:eastAsia="en-US"/>
        </w:rPr>
        <w:t xml:space="preserve">je </w:t>
      </w:r>
      <w:r w:rsidR="003D4AF3" w:rsidRPr="003A2F86">
        <w:rPr>
          <w:rFonts w:ascii="Arial" w:eastAsia="Times New Roman" w:hAnsi="Arial" w:cs="Arial"/>
          <w:iCs/>
          <w:sz w:val="18"/>
          <w:szCs w:val="18"/>
          <w:lang w:eastAsia="en-US"/>
        </w:rPr>
        <w:t>mjesečno dostavlja</w:t>
      </w:r>
      <w:r w:rsidR="00EA57C6" w:rsidRPr="003A2F86">
        <w:rPr>
          <w:rFonts w:ascii="Arial" w:eastAsia="Times New Roman" w:hAnsi="Arial" w:cs="Arial"/>
          <w:iCs/>
          <w:sz w:val="18"/>
          <w:szCs w:val="18"/>
          <w:lang w:eastAsia="en-US"/>
        </w:rPr>
        <w:t>la</w:t>
      </w:r>
      <w:r w:rsidR="003D4AF3" w:rsidRPr="003A2F86">
        <w:rPr>
          <w:rFonts w:ascii="Arial" w:eastAsia="Times New Roman" w:hAnsi="Arial" w:cs="Arial"/>
          <w:iCs/>
          <w:sz w:val="18"/>
          <w:szCs w:val="18"/>
          <w:lang w:eastAsia="en-US"/>
        </w:rPr>
        <w:t xml:space="preserve"> izvještaje o otplati dugovanja, te </w:t>
      </w:r>
      <w:r w:rsidR="00EA57C6" w:rsidRPr="003A2F86">
        <w:rPr>
          <w:rFonts w:ascii="Arial" w:eastAsia="Times New Roman" w:hAnsi="Arial" w:cs="Arial"/>
          <w:iCs/>
          <w:sz w:val="18"/>
          <w:szCs w:val="18"/>
          <w:lang w:eastAsia="en-US"/>
        </w:rPr>
        <w:t xml:space="preserve">su </w:t>
      </w:r>
      <w:r w:rsidR="003D4AF3" w:rsidRPr="003A2F86">
        <w:rPr>
          <w:rFonts w:ascii="Arial" w:eastAsia="Times New Roman" w:hAnsi="Arial" w:cs="Arial"/>
          <w:iCs/>
          <w:sz w:val="18"/>
          <w:szCs w:val="18"/>
          <w:lang w:eastAsia="en-US"/>
        </w:rPr>
        <w:t>se u navedenoj visini iskaz</w:t>
      </w:r>
      <w:r w:rsidR="00EA57C6" w:rsidRPr="003A2F86">
        <w:rPr>
          <w:rFonts w:ascii="Arial" w:eastAsia="Times New Roman" w:hAnsi="Arial" w:cs="Arial"/>
          <w:iCs/>
          <w:sz w:val="18"/>
          <w:szCs w:val="18"/>
          <w:lang w:eastAsia="en-US"/>
        </w:rPr>
        <w:t>ivale</w:t>
      </w:r>
      <w:r w:rsidR="003D4AF3" w:rsidRPr="003A2F86">
        <w:rPr>
          <w:rFonts w:ascii="Arial" w:eastAsia="Times New Roman" w:hAnsi="Arial" w:cs="Arial"/>
          <w:iCs/>
          <w:sz w:val="18"/>
          <w:szCs w:val="18"/>
          <w:lang w:eastAsia="en-US"/>
        </w:rPr>
        <w:t xml:space="preserve"> i otplate u poslovnim knjigama Općine.</w:t>
      </w:r>
      <w:r w:rsidR="00EA57C6" w:rsidRPr="003A2F86">
        <w:rPr>
          <w:rFonts w:ascii="Arial" w:eastAsia="Times New Roman" w:hAnsi="Arial" w:cs="Arial"/>
          <w:iCs/>
          <w:sz w:val="18"/>
          <w:szCs w:val="18"/>
          <w:lang w:eastAsia="en-US"/>
        </w:rPr>
        <w:t xml:space="preserve"> </w:t>
      </w:r>
    </w:p>
    <w:p w14:paraId="28F6BF2E" w14:textId="77777777" w:rsidR="004B498C" w:rsidRDefault="004B498C" w:rsidP="00EA57C6">
      <w:pPr>
        <w:spacing w:after="0" w:line="240" w:lineRule="auto"/>
        <w:jc w:val="both"/>
        <w:rPr>
          <w:rFonts w:ascii="Arial" w:eastAsia="Times New Roman" w:hAnsi="Arial" w:cs="Arial"/>
          <w:iCs/>
          <w:sz w:val="18"/>
          <w:szCs w:val="18"/>
          <w:lang w:eastAsia="en-US"/>
        </w:rPr>
      </w:pPr>
    </w:p>
    <w:p w14:paraId="1DD8583A" w14:textId="4E4A77DD" w:rsidR="003D4AF3" w:rsidRPr="00F27127" w:rsidRDefault="002E2E2B" w:rsidP="00F27127">
      <w:pPr>
        <w:spacing w:after="0" w:line="240" w:lineRule="auto"/>
        <w:ind w:left="567"/>
        <w:jc w:val="both"/>
        <w:rPr>
          <w:rFonts w:ascii="Arial" w:eastAsia="Times New Roman" w:hAnsi="Arial" w:cs="Arial"/>
          <w:iCs/>
          <w:sz w:val="18"/>
          <w:szCs w:val="18"/>
          <w:lang w:eastAsia="en-US"/>
        </w:rPr>
      </w:pPr>
      <w:r w:rsidRPr="00F27127">
        <w:rPr>
          <w:rFonts w:ascii="Arial" w:eastAsia="Times New Roman" w:hAnsi="Arial" w:cs="Arial"/>
          <w:iCs/>
          <w:sz w:val="18"/>
          <w:szCs w:val="18"/>
          <w:lang w:eastAsia="en-US"/>
        </w:rPr>
        <w:t>P</w:t>
      </w:r>
      <w:r w:rsidR="00EA57C6" w:rsidRPr="00F27127">
        <w:rPr>
          <w:rFonts w:ascii="Arial" w:eastAsia="Times New Roman" w:hAnsi="Arial" w:cs="Arial"/>
          <w:iCs/>
          <w:sz w:val="18"/>
          <w:szCs w:val="18"/>
          <w:lang w:eastAsia="en-US"/>
        </w:rPr>
        <w:t>rema obavijesti Ministarstva financija iz travnja 2024. godine, a prema podacima Porezne uprave više nema aktivnih mjera obročne otplate poreza na dohodak i prireza porezu na dohodak iz 2020. godine te se naplata dijela zajma isplaćenog u skladu s Naputkom o načinu isplate beskamatnog zajma jedinicama lokalne i područne (regionalne) samouprave, Hrvatskom zavodu za mirovinsko osiguranje i Hrvatskom zavodu za zdravstveno osiguranje (Narodne novine 46/20, 5/21 i 73/21) više ne provodi sukcesivno od poreznih obveznika u visini naplate odgođenog i/ili obročnom otplatom danog poreza na dohodak. Preostali iznos duga po osnovi odgode/obročne otplate poreza na dohodak te oslobođenja od plaćanja poreza na dohodak i prireza porezu na dohodak jedinice lokalne i područne (regionalne) samouprave vraćaju samostalno na jedinstveni račun državnog proračuna prema dinamici koju same odrede, a najkasnije do kraja 2027. godine. Obveze po ovom zajmu iznose 97.757,4</w:t>
      </w:r>
      <w:r w:rsidR="004B498C" w:rsidRPr="00F27127">
        <w:rPr>
          <w:rFonts w:ascii="Arial" w:eastAsia="Times New Roman" w:hAnsi="Arial" w:cs="Arial"/>
          <w:iCs/>
          <w:sz w:val="18"/>
          <w:szCs w:val="18"/>
          <w:lang w:eastAsia="en-US"/>
        </w:rPr>
        <w:t>1</w:t>
      </w:r>
      <w:r w:rsidR="00EA57C6" w:rsidRPr="00F27127">
        <w:rPr>
          <w:rFonts w:ascii="Arial" w:eastAsia="Times New Roman" w:hAnsi="Arial" w:cs="Arial"/>
          <w:iCs/>
          <w:sz w:val="18"/>
          <w:szCs w:val="18"/>
          <w:lang w:eastAsia="en-US"/>
        </w:rPr>
        <w:t xml:space="preserve"> €. Preostali iznos duga po ovoj osnovi ulazi u ukupnu godišnju obvezu jedinice lokalne i područne (regionalne) samouprave iz članka 121. Zakona o proračunu (Narodne novine 144/21) u visini prosječnog godišnjeg anuiteta beskamatnog zajma.</w:t>
      </w:r>
    </w:p>
    <w:p w14:paraId="41CB48A4" w14:textId="77777777" w:rsidR="008335F3" w:rsidRPr="003A2F86" w:rsidRDefault="008335F3" w:rsidP="00EA57C6">
      <w:pPr>
        <w:spacing w:after="0" w:line="240" w:lineRule="auto"/>
        <w:jc w:val="both"/>
        <w:rPr>
          <w:rFonts w:ascii="Arial" w:eastAsia="Times New Roman" w:hAnsi="Arial" w:cs="Arial"/>
          <w:iCs/>
          <w:lang w:eastAsia="en-US"/>
        </w:rPr>
      </w:pPr>
    </w:p>
    <w:p w14:paraId="23B5D02E" w14:textId="6A28E65A" w:rsidR="002C54DC" w:rsidRPr="003A2F86" w:rsidRDefault="002C54DC" w:rsidP="002C54DC">
      <w:pPr>
        <w:spacing w:after="0" w:line="240" w:lineRule="auto"/>
        <w:ind w:firstLine="708"/>
        <w:jc w:val="both"/>
        <w:rPr>
          <w:rFonts w:ascii="Arial" w:eastAsia="Calibri" w:hAnsi="Arial" w:cs="Arial"/>
          <w:b/>
          <w:lang w:eastAsia="en-US"/>
        </w:rPr>
      </w:pPr>
      <w:r w:rsidRPr="003A2F86">
        <w:rPr>
          <w:rFonts w:ascii="Arial" w:eastAsia="Calibri" w:hAnsi="Arial" w:cs="Arial"/>
          <w:lang w:eastAsia="en-US"/>
        </w:rPr>
        <w:t xml:space="preserve">* </w:t>
      </w:r>
      <w:r w:rsidRPr="003A2F86">
        <w:rPr>
          <w:rFonts w:ascii="Arial" w:eastAsia="Calibri" w:hAnsi="Arial" w:cs="Arial"/>
          <w:i/>
          <w:lang w:eastAsia="en-US"/>
        </w:rPr>
        <w:t>Kreditno zaduženje</w:t>
      </w:r>
      <w:r w:rsidRPr="003A2F86">
        <w:rPr>
          <w:rFonts w:ascii="Arial" w:eastAsia="Calibri" w:hAnsi="Arial" w:cs="Arial"/>
          <w:lang w:eastAsia="en-US"/>
        </w:rPr>
        <w:t xml:space="preserve"> (vid</w:t>
      </w:r>
      <w:r w:rsidR="00123810" w:rsidRPr="003A2F86">
        <w:rPr>
          <w:rFonts w:ascii="Arial" w:eastAsia="Calibri" w:hAnsi="Arial" w:cs="Arial"/>
          <w:lang w:eastAsia="en-US"/>
        </w:rPr>
        <w:t>jeti</w:t>
      </w:r>
      <w:r w:rsidRPr="003A2F86">
        <w:rPr>
          <w:rFonts w:ascii="Arial" w:eastAsia="Calibri" w:hAnsi="Arial" w:cs="Arial"/>
          <w:lang w:eastAsia="en-US"/>
        </w:rPr>
        <w:t xml:space="preserve"> detaljnije </w:t>
      </w:r>
      <w:hyperlink w:anchor="_4.2._IZVJEŠTAJ_O" w:history="1">
        <w:r w:rsidRPr="00B356F8">
          <w:rPr>
            <w:rStyle w:val="Hiperveza"/>
            <w:rFonts w:ascii="Arial" w:eastAsia="Calibri" w:hAnsi="Arial" w:cs="Arial"/>
            <w:lang w:eastAsia="en-US"/>
          </w:rPr>
          <w:t xml:space="preserve">točka </w:t>
        </w:r>
        <w:r w:rsidR="005E0C76" w:rsidRPr="00B356F8">
          <w:rPr>
            <w:rStyle w:val="Hiperveza"/>
            <w:rFonts w:ascii="Arial" w:eastAsia="Calibri" w:hAnsi="Arial" w:cs="Arial"/>
            <w:b/>
            <w:bCs/>
            <w:lang w:eastAsia="en-US"/>
          </w:rPr>
          <w:t>4</w:t>
        </w:r>
        <w:r w:rsidR="0011159B" w:rsidRPr="00B356F8">
          <w:rPr>
            <w:rStyle w:val="Hiperveza"/>
            <w:rFonts w:ascii="Arial" w:eastAsia="Calibri" w:hAnsi="Arial" w:cs="Arial"/>
            <w:b/>
            <w:bCs/>
            <w:lang w:eastAsia="en-US"/>
          </w:rPr>
          <w:t>.2</w:t>
        </w:r>
        <w:r w:rsidRPr="00B356F8">
          <w:rPr>
            <w:rStyle w:val="Hiperveza"/>
            <w:rFonts w:ascii="Arial" w:eastAsia="Calibri" w:hAnsi="Arial" w:cs="Arial"/>
            <w:b/>
            <w:bCs/>
            <w:lang w:eastAsia="en-US"/>
          </w:rPr>
          <w:t>. I</w:t>
        </w:r>
        <w:r w:rsidRPr="00B356F8">
          <w:rPr>
            <w:rStyle w:val="Hiperveza"/>
            <w:rFonts w:ascii="Arial" w:eastAsia="Calibri" w:hAnsi="Arial" w:cs="Arial"/>
            <w:b/>
            <w:lang w:eastAsia="en-US"/>
          </w:rPr>
          <w:t>zvještaj o zaduživanju na domaćem i stranom tržištu novca i kapitala</w:t>
        </w:r>
      </w:hyperlink>
      <w:r w:rsidRPr="00B356F8">
        <w:rPr>
          <w:rFonts w:ascii="Arial" w:eastAsia="Calibri" w:hAnsi="Arial" w:cs="Arial"/>
          <w:b/>
          <w:lang w:eastAsia="en-US"/>
        </w:rPr>
        <w:t>)</w:t>
      </w:r>
    </w:p>
    <w:p w14:paraId="78711BB2" w14:textId="77777777" w:rsidR="008E02D0" w:rsidRDefault="008E02D0" w:rsidP="00891119">
      <w:pPr>
        <w:autoSpaceDE w:val="0"/>
        <w:autoSpaceDN w:val="0"/>
        <w:adjustRightInd w:val="0"/>
        <w:spacing w:after="0" w:line="240" w:lineRule="auto"/>
        <w:jc w:val="both"/>
        <w:rPr>
          <w:rFonts w:ascii="Arial" w:eastAsia="Times New Roman" w:hAnsi="Arial" w:cs="Arial"/>
        </w:rPr>
      </w:pPr>
    </w:p>
    <w:p w14:paraId="6155192F" w14:textId="77777777" w:rsidR="004B498C" w:rsidRPr="003A2F86" w:rsidRDefault="004B498C" w:rsidP="00891119">
      <w:pPr>
        <w:autoSpaceDE w:val="0"/>
        <w:autoSpaceDN w:val="0"/>
        <w:adjustRightInd w:val="0"/>
        <w:spacing w:after="0" w:line="240" w:lineRule="auto"/>
        <w:jc w:val="both"/>
        <w:rPr>
          <w:rFonts w:ascii="Arial" w:eastAsia="Times New Roman" w:hAnsi="Arial" w:cs="Arial"/>
        </w:rPr>
      </w:pPr>
    </w:p>
    <w:p w14:paraId="10CBDCD3" w14:textId="4C75B334" w:rsidR="008E02D0" w:rsidRPr="003A2F86" w:rsidRDefault="008E02D0" w:rsidP="008E02D0">
      <w:pPr>
        <w:pStyle w:val="Naslov3"/>
        <w:jc w:val="center"/>
        <w:rPr>
          <w:rFonts w:ascii="Arial" w:hAnsi="Arial" w:cs="Arial"/>
          <w:sz w:val="22"/>
          <w:lang w:val="hr-HR"/>
        </w:rPr>
      </w:pPr>
      <w:bookmarkStart w:id="249" w:name="_Toc207707448"/>
      <w:r w:rsidRPr="003A2F86">
        <w:rPr>
          <w:rFonts w:ascii="Arial" w:hAnsi="Arial" w:cs="Arial"/>
          <w:sz w:val="22"/>
          <w:lang w:val="hr-HR"/>
        </w:rPr>
        <w:t>2.5.3.</w:t>
      </w:r>
      <w:r w:rsidRPr="003A2F86">
        <w:rPr>
          <w:rFonts w:ascii="Arial" w:hAnsi="Arial" w:cs="Arial"/>
          <w:sz w:val="22"/>
          <w:lang w:val="hr-HR"/>
        </w:rPr>
        <w:tab/>
        <w:t>ANALITIČKI PRIKAZ RAČUNA FINANCIRANJA</w:t>
      </w:r>
      <w:bookmarkEnd w:id="249"/>
    </w:p>
    <w:p w14:paraId="77E35521" w14:textId="77777777" w:rsidR="008E02D0" w:rsidRPr="003A2F86" w:rsidRDefault="008E02D0" w:rsidP="008E02D0">
      <w:pPr>
        <w:autoSpaceDE w:val="0"/>
        <w:autoSpaceDN w:val="0"/>
        <w:adjustRightInd w:val="0"/>
        <w:spacing w:after="0" w:line="240" w:lineRule="auto"/>
        <w:jc w:val="both"/>
        <w:rPr>
          <w:rFonts w:ascii="Arial" w:eastAsia="Times New Roman" w:hAnsi="Arial" w:cs="Arial"/>
          <w:sz w:val="12"/>
        </w:rPr>
      </w:pPr>
    </w:p>
    <w:p w14:paraId="6745C1F4" w14:textId="77777777" w:rsidR="008E02D0" w:rsidRPr="003A2F86" w:rsidRDefault="008E02D0" w:rsidP="008E02D0">
      <w:pPr>
        <w:autoSpaceDE w:val="0"/>
        <w:autoSpaceDN w:val="0"/>
        <w:adjustRightInd w:val="0"/>
        <w:spacing w:after="0" w:line="240" w:lineRule="auto"/>
        <w:jc w:val="both"/>
        <w:rPr>
          <w:rFonts w:ascii="Arial" w:eastAsia="Times New Roman" w:hAnsi="Arial" w:cs="Arial"/>
          <w:lang w:eastAsia="en-US"/>
        </w:rPr>
      </w:pPr>
      <w:r w:rsidRPr="003A2F86">
        <w:rPr>
          <w:rFonts w:ascii="Arial" w:eastAsia="Times New Roman" w:hAnsi="Arial" w:cs="Arial"/>
        </w:rPr>
        <w:t xml:space="preserve">Prethodnih godina, uz </w:t>
      </w:r>
      <w:r w:rsidRPr="003A2F86">
        <w:rPr>
          <w:rFonts w:ascii="Arial" w:eastAsia="Times New Roman" w:hAnsi="Arial" w:cs="Arial"/>
          <w:b/>
        </w:rPr>
        <w:t>tablicu B. Račun financiranja</w:t>
      </w:r>
      <w:r w:rsidRPr="003A2F86">
        <w:rPr>
          <w:rFonts w:ascii="Arial" w:eastAsia="Times New Roman" w:hAnsi="Arial" w:cs="Arial"/>
        </w:rPr>
        <w:t xml:space="preserve"> davao se analitički prikaz R</w:t>
      </w:r>
      <w:r w:rsidRPr="003A2F86">
        <w:rPr>
          <w:rFonts w:ascii="Arial" w:eastAsia="Times New Roman" w:hAnsi="Arial" w:cs="Arial"/>
          <w:lang w:eastAsia="en-US"/>
        </w:rPr>
        <w:t>ačuna financiranja kao pregled ostvarenih primitaka i izvršenih izdataka po svakom pojedinačnom zajmu, kreditu sukladno odredbama Pravilnika o polugodišnjem i godišnjem izvještaju o izvršenju proračuna (NN 24/13, 102/17, 1/20, 147/20) koji je bio na snazi do 25.7.2023. Odredbama novog Pravilnika o polugodišnjem i godišnjem izvještaju o izvršenju proračuna i financijskog plana (NN 85/23) objava ovog izvještaja više nije obveza.</w:t>
      </w:r>
    </w:p>
    <w:p w14:paraId="70F3A781" w14:textId="77777777" w:rsidR="00845F5F" w:rsidRPr="003A2F86" w:rsidRDefault="00845F5F" w:rsidP="008E02D0">
      <w:pPr>
        <w:autoSpaceDE w:val="0"/>
        <w:autoSpaceDN w:val="0"/>
        <w:adjustRightInd w:val="0"/>
        <w:spacing w:after="0" w:line="240" w:lineRule="auto"/>
        <w:jc w:val="both"/>
        <w:rPr>
          <w:rFonts w:ascii="Arial" w:eastAsia="Times New Roman" w:hAnsi="Arial" w:cs="Arial"/>
          <w:lang w:eastAsia="en-US"/>
        </w:rPr>
      </w:pPr>
    </w:p>
    <w:p w14:paraId="2DB9421D" w14:textId="15573D13" w:rsidR="008E02D0" w:rsidRPr="003A2F86" w:rsidRDefault="008E02D0" w:rsidP="008E02D0">
      <w:pPr>
        <w:pStyle w:val="Opisslike"/>
        <w:keepNext/>
        <w:jc w:val="both"/>
        <w:rPr>
          <w:rFonts w:ascii="Arial" w:hAnsi="Arial" w:cs="Arial"/>
        </w:rPr>
      </w:pPr>
      <w:bookmarkStart w:id="250" w:name="_Toc207706984"/>
      <w:bookmarkStart w:id="251" w:name="_Hlk17962410"/>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20</w:t>
      </w:r>
      <w:r w:rsidRPr="003A2F86">
        <w:rPr>
          <w:color w:val="FF0000"/>
        </w:rPr>
        <w:fldChar w:fldCharType="end"/>
      </w:r>
      <w:r w:rsidRPr="003A2F86">
        <w:rPr>
          <w:color w:val="FF0000"/>
        </w:rPr>
        <w:t xml:space="preserve">.: </w:t>
      </w:r>
      <w:r w:rsidRPr="003A2F86">
        <w:rPr>
          <w:rFonts w:ascii="Arial" w:hAnsi="Arial" w:cs="Arial"/>
        </w:rPr>
        <w:t xml:space="preserve">Analitički prikaz računa financiranja za </w:t>
      </w:r>
      <w:r w:rsidR="00F27127">
        <w:rPr>
          <w:rFonts w:ascii="Arial" w:hAnsi="Arial" w:cs="Arial"/>
        </w:rPr>
        <w:t>1-6/2025.</w:t>
      </w:r>
      <w:bookmarkEnd w:id="250"/>
      <w:r w:rsidRPr="003A2F86">
        <w:rPr>
          <w:rFonts w:ascii="Arial" w:hAnsi="Arial" w:cs="Arial"/>
          <w:b w:val="0"/>
          <w:bCs w:val="0"/>
        </w:rPr>
        <w:t xml:space="preserve"> </w:t>
      </w:r>
    </w:p>
    <w:bookmarkEnd w:id="251"/>
    <w:p w14:paraId="63B9814D" w14:textId="1C1D4932" w:rsidR="008E02D0" w:rsidRPr="003A2F86" w:rsidRDefault="00F27127" w:rsidP="008E02D0">
      <w:pPr>
        <w:jc w:val="center"/>
        <w:rPr>
          <w:rFonts w:ascii="Arial" w:eastAsia="Times New Roman" w:hAnsi="Arial" w:cs="Arial"/>
        </w:rPr>
      </w:pPr>
      <w:r w:rsidRPr="00F27127">
        <w:rPr>
          <w:noProof/>
        </w:rPr>
        <w:drawing>
          <wp:inline distT="0" distB="0" distL="0" distR="0" wp14:anchorId="7BFBE378" wp14:editId="05A0444C">
            <wp:extent cx="8523226" cy="5023262"/>
            <wp:effectExtent l="0" t="0" r="0" b="6350"/>
            <wp:docPr id="142402660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30974" cy="5027828"/>
                    </a:xfrm>
                    <a:prstGeom prst="rect">
                      <a:avLst/>
                    </a:prstGeom>
                    <a:noFill/>
                    <a:ln>
                      <a:noFill/>
                    </a:ln>
                  </pic:spPr>
                </pic:pic>
              </a:graphicData>
            </a:graphic>
          </wp:inline>
        </w:drawing>
      </w:r>
      <w:r w:rsidR="008E02D0" w:rsidRPr="003A2F86">
        <w:rPr>
          <w:rFonts w:ascii="Arial" w:eastAsia="Times New Roman" w:hAnsi="Arial" w:cs="Arial"/>
        </w:rPr>
        <w:br w:type="page"/>
      </w:r>
    </w:p>
    <w:p w14:paraId="241461C0" w14:textId="0DFF270B" w:rsidR="00891119" w:rsidRPr="003A2F86" w:rsidRDefault="00891119" w:rsidP="005436D3">
      <w:pPr>
        <w:pStyle w:val="Naslov2"/>
        <w:jc w:val="center"/>
        <w:rPr>
          <w:rFonts w:ascii="Arial" w:hAnsi="Arial" w:cs="Arial"/>
          <w:sz w:val="22"/>
          <w:szCs w:val="22"/>
          <w:lang w:val="hr-HR"/>
        </w:rPr>
      </w:pPr>
      <w:bookmarkStart w:id="252" w:name="_2.6._PRIKAZ_OSTVARENOG"/>
      <w:bookmarkStart w:id="253" w:name="_Toc207707449"/>
      <w:bookmarkEnd w:id="252"/>
      <w:r w:rsidRPr="003A2F86">
        <w:rPr>
          <w:rFonts w:ascii="Arial" w:hAnsi="Arial" w:cs="Arial"/>
          <w:sz w:val="22"/>
          <w:szCs w:val="22"/>
          <w:lang w:val="hr-HR"/>
        </w:rPr>
        <w:lastRenderedPageBreak/>
        <w:t>2.</w:t>
      </w:r>
      <w:r w:rsidR="005436D3" w:rsidRPr="003A2F86">
        <w:rPr>
          <w:rFonts w:ascii="Arial" w:hAnsi="Arial" w:cs="Arial"/>
          <w:sz w:val="22"/>
          <w:szCs w:val="22"/>
          <w:lang w:val="hr-HR"/>
        </w:rPr>
        <w:t>6</w:t>
      </w:r>
      <w:r w:rsidRPr="003A2F86">
        <w:rPr>
          <w:rFonts w:ascii="Arial" w:hAnsi="Arial" w:cs="Arial"/>
          <w:sz w:val="22"/>
          <w:szCs w:val="22"/>
          <w:lang w:val="hr-HR"/>
        </w:rPr>
        <w:t>.</w:t>
      </w:r>
      <w:r w:rsidRPr="003A2F86">
        <w:rPr>
          <w:rFonts w:ascii="Arial" w:hAnsi="Arial" w:cs="Arial"/>
          <w:sz w:val="22"/>
          <w:szCs w:val="22"/>
          <w:lang w:val="hr-HR"/>
        </w:rPr>
        <w:tab/>
      </w:r>
      <w:r w:rsidR="002E304B" w:rsidRPr="003A2F86">
        <w:rPr>
          <w:rFonts w:ascii="Arial" w:hAnsi="Arial" w:cs="Arial"/>
          <w:sz w:val="22"/>
          <w:szCs w:val="22"/>
          <w:lang w:val="hr-HR"/>
        </w:rPr>
        <w:t xml:space="preserve">PRIKAZ </w:t>
      </w:r>
      <w:r w:rsidR="005436D3" w:rsidRPr="003A2F86">
        <w:rPr>
          <w:rFonts w:ascii="Arial" w:hAnsi="Arial" w:cs="Arial"/>
          <w:sz w:val="22"/>
          <w:szCs w:val="22"/>
          <w:lang w:val="hr-HR"/>
        </w:rPr>
        <w:t xml:space="preserve">OSTVARENOG </w:t>
      </w:r>
      <w:r w:rsidR="002E304B" w:rsidRPr="003A2F86">
        <w:rPr>
          <w:rFonts w:ascii="Arial" w:hAnsi="Arial" w:cs="Arial"/>
          <w:sz w:val="22"/>
          <w:szCs w:val="22"/>
          <w:lang w:val="hr-HR"/>
        </w:rPr>
        <w:t>MANJKA ODNOSNO VIŠKA PRORAČUNA</w:t>
      </w:r>
      <w:r w:rsidR="00845F5F" w:rsidRPr="003A2F86">
        <w:rPr>
          <w:rFonts w:ascii="Arial" w:hAnsi="Arial" w:cs="Arial"/>
          <w:sz w:val="22"/>
          <w:szCs w:val="22"/>
          <w:lang w:val="hr-HR"/>
        </w:rPr>
        <w:t>, TE PRENESENOG VIŠKA ILI MANJKA PRIHODA NAD RASHODIMA</w:t>
      </w:r>
      <w:r w:rsidRPr="003A2F86">
        <w:rPr>
          <w:rFonts w:ascii="Arial" w:hAnsi="Arial" w:cs="Arial"/>
          <w:sz w:val="22"/>
          <w:szCs w:val="22"/>
          <w:lang w:val="hr-HR"/>
        </w:rPr>
        <w:t>– sveukupno Općina s proračunskim korisnicima</w:t>
      </w:r>
      <w:bookmarkStart w:id="254" w:name="Prikaz_ostvarenog_viška_manjka"/>
      <w:bookmarkEnd w:id="253"/>
      <w:bookmarkEnd w:id="254"/>
    </w:p>
    <w:p w14:paraId="3CF6BC85" w14:textId="77777777" w:rsidR="00891119" w:rsidRPr="003A2F86" w:rsidRDefault="00891119" w:rsidP="00891119">
      <w:pPr>
        <w:autoSpaceDE w:val="0"/>
        <w:autoSpaceDN w:val="0"/>
        <w:adjustRightInd w:val="0"/>
        <w:spacing w:after="0" w:line="240" w:lineRule="auto"/>
        <w:jc w:val="both"/>
        <w:rPr>
          <w:rFonts w:ascii="Arial" w:eastAsia="Times New Roman" w:hAnsi="Arial" w:cs="Arial"/>
        </w:rPr>
      </w:pPr>
    </w:p>
    <w:p w14:paraId="5CE01137" w14:textId="4EC85523" w:rsidR="00CC1381" w:rsidRPr="00CC1381" w:rsidRDefault="0042505B" w:rsidP="00CC1381">
      <w:pPr>
        <w:spacing w:after="0" w:line="240" w:lineRule="auto"/>
        <w:jc w:val="both"/>
        <w:rPr>
          <w:rFonts w:ascii="Arial" w:eastAsia="Times New Roman" w:hAnsi="Arial" w:cs="Arial"/>
          <w:iCs/>
          <w:lang w:eastAsia="en-US"/>
        </w:rPr>
      </w:pPr>
      <w:bookmarkStart w:id="255" w:name="_Hlk144120897"/>
      <w:bookmarkStart w:id="256" w:name="_Hlk102024501"/>
      <w:r w:rsidRPr="003A2F86">
        <w:rPr>
          <w:rFonts w:ascii="Arial" w:eastAsia="Times New Roman" w:hAnsi="Arial" w:cs="Arial"/>
          <w:iCs/>
          <w:lang w:eastAsia="en-US"/>
        </w:rPr>
        <w:t xml:space="preserve">Ukupni prihodi i primici </w:t>
      </w:r>
      <w:bookmarkStart w:id="257" w:name="_Hlk145943058"/>
      <w:r w:rsidRPr="003A2F86">
        <w:rPr>
          <w:rFonts w:ascii="Arial" w:eastAsia="Times New Roman" w:hAnsi="Arial" w:cs="Arial"/>
          <w:iCs/>
          <w:lang w:eastAsia="en-US"/>
        </w:rPr>
        <w:t>za razdoblje siječanj –</w:t>
      </w:r>
      <w:r w:rsidR="00CF5C91" w:rsidRPr="003A2F86">
        <w:rPr>
          <w:rFonts w:ascii="Arial" w:eastAsia="Times New Roman" w:hAnsi="Arial" w:cs="Arial"/>
          <w:iCs/>
          <w:lang w:eastAsia="en-US"/>
        </w:rPr>
        <w:t xml:space="preserve"> </w:t>
      </w:r>
      <w:bookmarkEnd w:id="257"/>
      <w:r w:rsidR="00A340CB">
        <w:rPr>
          <w:rFonts w:ascii="Arial" w:eastAsia="Times New Roman" w:hAnsi="Arial" w:cs="Arial"/>
          <w:iCs/>
          <w:lang w:eastAsia="en-US"/>
        </w:rPr>
        <w:t>lipanj</w:t>
      </w:r>
      <w:r w:rsidR="00CC1381" w:rsidRPr="00CC1381">
        <w:rPr>
          <w:rFonts w:ascii="Arial" w:eastAsia="Times New Roman" w:hAnsi="Arial" w:cs="Arial"/>
          <w:iCs/>
          <w:lang w:eastAsia="en-US"/>
        </w:rPr>
        <w:t xml:space="preserve"> 202</w:t>
      </w:r>
      <w:r w:rsidR="00A340CB">
        <w:rPr>
          <w:rFonts w:ascii="Arial" w:eastAsia="Times New Roman" w:hAnsi="Arial" w:cs="Arial"/>
          <w:iCs/>
          <w:lang w:eastAsia="en-US"/>
        </w:rPr>
        <w:t>5</w:t>
      </w:r>
      <w:r w:rsidR="00CC1381" w:rsidRPr="00CC1381">
        <w:rPr>
          <w:rFonts w:ascii="Arial" w:eastAsia="Times New Roman" w:hAnsi="Arial" w:cs="Arial"/>
          <w:iCs/>
          <w:lang w:eastAsia="en-US"/>
        </w:rPr>
        <w:t xml:space="preserve">. ostvareni su u iznosu </w:t>
      </w:r>
      <w:r w:rsidR="00A340CB">
        <w:rPr>
          <w:rFonts w:ascii="Arial" w:eastAsia="Times New Roman" w:hAnsi="Arial" w:cs="Arial"/>
          <w:iCs/>
          <w:lang w:eastAsia="en-US"/>
        </w:rPr>
        <w:t>8.250.742,06</w:t>
      </w:r>
      <w:r w:rsidR="00CC1381" w:rsidRPr="00CC1381">
        <w:rPr>
          <w:rFonts w:ascii="Arial" w:eastAsia="Times New Roman" w:hAnsi="Arial" w:cs="Arial"/>
          <w:iCs/>
          <w:lang w:eastAsia="en-US"/>
        </w:rPr>
        <w:t xml:space="preserve"> € što je za </w:t>
      </w:r>
      <w:r w:rsidR="00A340CB">
        <w:rPr>
          <w:rFonts w:ascii="Arial" w:eastAsia="Times New Roman" w:hAnsi="Arial" w:cs="Arial"/>
          <w:iCs/>
          <w:lang w:eastAsia="en-US"/>
        </w:rPr>
        <w:t>2.955.938,16</w:t>
      </w:r>
      <w:r w:rsidR="00CC1381" w:rsidRPr="00CC1381">
        <w:rPr>
          <w:rFonts w:ascii="Arial" w:eastAsia="Times New Roman" w:hAnsi="Arial" w:cs="Arial"/>
          <w:iCs/>
          <w:lang w:eastAsia="en-US"/>
        </w:rPr>
        <w:t xml:space="preserve"> € ili </w:t>
      </w:r>
      <w:r w:rsidR="00A340CB">
        <w:rPr>
          <w:rFonts w:ascii="Arial" w:eastAsia="Times New Roman" w:hAnsi="Arial" w:cs="Arial"/>
          <w:iCs/>
          <w:lang w:eastAsia="en-US"/>
        </w:rPr>
        <w:t>55,8</w:t>
      </w:r>
      <w:r w:rsidR="00CC1381" w:rsidRPr="00CC1381">
        <w:rPr>
          <w:rFonts w:ascii="Arial" w:eastAsia="Times New Roman" w:hAnsi="Arial" w:cs="Arial"/>
          <w:iCs/>
          <w:lang w:eastAsia="en-US"/>
        </w:rPr>
        <w:t xml:space="preserve">% </w:t>
      </w:r>
      <w:r w:rsidR="00A340CB">
        <w:rPr>
          <w:rFonts w:ascii="Arial" w:eastAsia="Times New Roman" w:hAnsi="Arial" w:cs="Arial"/>
          <w:iCs/>
          <w:lang w:eastAsia="en-US"/>
        </w:rPr>
        <w:t>više</w:t>
      </w:r>
      <w:r w:rsidR="00CC1381" w:rsidRPr="00CC1381">
        <w:rPr>
          <w:rFonts w:ascii="Arial" w:eastAsia="Times New Roman" w:hAnsi="Arial" w:cs="Arial"/>
          <w:iCs/>
          <w:lang w:eastAsia="en-US"/>
        </w:rPr>
        <w:t xml:space="preserve"> u odnosu na izvještajno razdoblje prethodne godine. Primici od zaduživanja u 2023. su iznosili 850.000 € (kredit za financiranje rekonstrukcije javne rasvjete – energetska učinkovitost), dok ih u 2024. </w:t>
      </w:r>
      <w:r w:rsidR="00A340CB">
        <w:rPr>
          <w:rFonts w:ascii="Arial" w:eastAsia="Times New Roman" w:hAnsi="Arial" w:cs="Arial"/>
          <w:iCs/>
          <w:lang w:eastAsia="en-US"/>
        </w:rPr>
        <w:t xml:space="preserve">i 2025. </w:t>
      </w:r>
      <w:r w:rsidR="00CC1381" w:rsidRPr="00CC1381">
        <w:rPr>
          <w:rFonts w:ascii="Arial" w:eastAsia="Times New Roman" w:hAnsi="Arial" w:cs="Arial"/>
          <w:iCs/>
          <w:lang w:eastAsia="en-US"/>
        </w:rPr>
        <w:t>godini nema.</w:t>
      </w:r>
    </w:p>
    <w:p w14:paraId="0D0ACE71" w14:textId="1B015AE3" w:rsidR="0042505B" w:rsidRPr="003A2F86" w:rsidRDefault="0042505B" w:rsidP="0042505B">
      <w:pPr>
        <w:spacing w:after="0" w:line="240" w:lineRule="auto"/>
        <w:jc w:val="both"/>
        <w:rPr>
          <w:rFonts w:ascii="Arial" w:eastAsia="Times New Roman" w:hAnsi="Arial" w:cs="Arial"/>
          <w:iCs/>
          <w:lang w:eastAsia="en-US"/>
        </w:rPr>
      </w:pPr>
    </w:p>
    <w:p w14:paraId="1B8FE54C" w14:textId="4A2FD437" w:rsidR="00061358" w:rsidRPr="003A2F86" w:rsidRDefault="00061358" w:rsidP="00061358">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Planirani prihodi i primici zajedno s prihodima proračunskih korisnika iznose </w:t>
      </w:r>
      <w:r w:rsidR="00A340CB">
        <w:rPr>
          <w:rFonts w:ascii="Arial" w:eastAsia="Times New Roman" w:hAnsi="Arial" w:cs="Arial"/>
          <w:iCs/>
          <w:lang w:eastAsia="en-US"/>
        </w:rPr>
        <w:t>35.638.660</w:t>
      </w:r>
      <w:r w:rsidR="00552D50"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što s planiranim prenesenim viškom prihoda </w:t>
      </w:r>
      <w:r w:rsidR="00A340CB">
        <w:rPr>
          <w:rFonts w:ascii="Arial" w:eastAsia="Times New Roman" w:hAnsi="Arial" w:cs="Arial"/>
          <w:iCs/>
          <w:lang w:eastAsia="en-US"/>
        </w:rPr>
        <w:t>4.341.340</w:t>
      </w:r>
      <w:r w:rsidR="00552D50"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(višak Općine iz ranijih godina </w:t>
      </w:r>
      <w:r w:rsidR="00712772">
        <w:rPr>
          <w:rFonts w:ascii="Arial" w:eastAsia="Times New Roman" w:hAnsi="Arial" w:cs="Arial"/>
          <w:iCs/>
          <w:lang w:eastAsia="en-US"/>
        </w:rPr>
        <w:t>4.464.340</w:t>
      </w:r>
      <w:r w:rsidR="005A454F"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i viškovima/ manjkovima proračunskih korisnika u iznosu -</w:t>
      </w:r>
      <w:r w:rsidR="00712772">
        <w:rPr>
          <w:rFonts w:ascii="Arial" w:eastAsia="Times New Roman" w:hAnsi="Arial" w:cs="Arial"/>
          <w:iCs/>
          <w:lang w:eastAsia="en-US"/>
        </w:rPr>
        <w:t>123.000</w:t>
      </w:r>
      <w:r w:rsidR="005A454F"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iznosi </w:t>
      </w:r>
      <w:r w:rsidR="00A340CB">
        <w:rPr>
          <w:rFonts w:ascii="Arial" w:eastAsia="Times New Roman" w:hAnsi="Arial" w:cs="Arial"/>
          <w:iCs/>
          <w:lang w:eastAsia="en-US"/>
        </w:rPr>
        <w:t>39.980</w:t>
      </w:r>
      <w:r w:rsidR="00627F84" w:rsidRPr="003A2F86">
        <w:rPr>
          <w:rFonts w:ascii="Arial" w:eastAsia="Times New Roman" w:hAnsi="Arial" w:cs="Arial"/>
          <w:iCs/>
          <w:lang w:eastAsia="en-US"/>
        </w:rPr>
        <w:t>.000</w:t>
      </w:r>
      <w:r w:rsidR="005A454F"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w:t>
      </w:r>
    </w:p>
    <w:p w14:paraId="729E7141" w14:textId="77777777" w:rsidR="0042505B" w:rsidRPr="003A2F86" w:rsidRDefault="0042505B" w:rsidP="0042505B">
      <w:pPr>
        <w:spacing w:after="0" w:line="240" w:lineRule="auto"/>
        <w:jc w:val="both"/>
        <w:rPr>
          <w:rFonts w:ascii="Arial" w:eastAsia="Times New Roman" w:hAnsi="Arial" w:cs="Arial"/>
          <w:iCs/>
          <w:lang w:eastAsia="en-US"/>
        </w:rPr>
      </w:pPr>
    </w:p>
    <w:p w14:paraId="6770AAFC" w14:textId="0E3C55C5" w:rsidR="00CC1381" w:rsidRPr="002122DE" w:rsidRDefault="0042505B" w:rsidP="00CC1381">
      <w:pPr>
        <w:spacing w:after="0" w:line="240" w:lineRule="auto"/>
        <w:jc w:val="both"/>
        <w:rPr>
          <w:rFonts w:ascii="Arial" w:hAnsi="Arial" w:cs="Arial"/>
          <w:iCs/>
        </w:rPr>
      </w:pPr>
      <w:r w:rsidRPr="003A2F86">
        <w:rPr>
          <w:rFonts w:ascii="Arial" w:eastAsia="Times New Roman" w:hAnsi="Arial" w:cs="Arial"/>
          <w:iCs/>
          <w:lang w:eastAsia="en-US"/>
        </w:rPr>
        <w:t xml:space="preserve">Ukupni rashodi i izdaci </w:t>
      </w:r>
      <w:bookmarkStart w:id="258" w:name="_Hlk145943072"/>
      <w:r w:rsidRPr="003A2F86">
        <w:rPr>
          <w:rFonts w:ascii="Arial" w:eastAsia="Times New Roman" w:hAnsi="Arial" w:cs="Arial"/>
          <w:iCs/>
          <w:lang w:eastAsia="en-US"/>
        </w:rPr>
        <w:t>za razdoblje siječanj –</w:t>
      </w:r>
      <w:r w:rsidR="00C37FE0" w:rsidRPr="003A2F86">
        <w:rPr>
          <w:rFonts w:ascii="Arial" w:eastAsia="Times New Roman" w:hAnsi="Arial" w:cs="Arial"/>
          <w:iCs/>
          <w:lang w:eastAsia="en-US"/>
        </w:rPr>
        <w:t xml:space="preserve"> </w:t>
      </w:r>
      <w:r w:rsidR="00712772">
        <w:rPr>
          <w:rFonts w:ascii="Arial" w:eastAsia="Times New Roman" w:hAnsi="Arial" w:cs="Arial"/>
          <w:iCs/>
          <w:lang w:eastAsia="en-US"/>
        </w:rPr>
        <w:t>lipanj</w:t>
      </w:r>
      <w:r w:rsidRPr="003A2F86">
        <w:rPr>
          <w:rFonts w:ascii="Arial" w:eastAsia="Times New Roman" w:hAnsi="Arial" w:cs="Arial"/>
          <w:iCs/>
          <w:lang w:eastAsia="en-US"/>
        </w:rPr>
        <w:t xml:space="preserve"> 202</w:t>
      </w:r>
      <w:r w:rsidR="00712772">
        <w:rPr>
          <w:rFonts w:ascii="Arial" w:eastAsia="Times New Roman" w:hAnsi="Arial" w:cs="Arial"/>
          <w:iCs/>
          <w:lang w:eastAsia="en-US"/>
        </w:rPr>
        <w:t>5</w:t>
      </w:r>
      <w:r w:rsidRPr="003A2F86">
        <w:rPr>
          <w:rFonts w:ascii="Arial" w:eastAsia="Times New Roman" w:hAnsi="Arial" w:cs="Arial"/>
          <w:iCs/>
          <w:lang w:eastAsia="en-US"/>
        </w:rPr>
        <w:t>. izvršeni</w:t>
      </w:r>
      <w:bookmarkStart w:id="259" w:name="_Hlk166656670"/>
      <w:bookmarkEnd w:id="258"/>
      <w:r w:rsidR="00CC1381" w:rsidRPr="002122DE">
        <w:rPr>
          <w:rFonts w:ascii="Arial" w:hAnsi="Arial" w:cs="Arial"/>
          <w:iCs/>
        </w:rPr>
        <w:t xml:space="preserve"> su u iznosu </w:t>
      </w:r>
      <w:r w:rsidR="00712772">
        <w:rPr>
          <w:rFonts w:ascii="Arial" w:hAnsi="Arial" w:cs="Arial"/>
          <w:iCs/>
        </w:rPr>
        <w:t>10.341.887,93</w:t>
      </w:r>
      <w:r w:rsidR="00CC1381" w:rsidRPr="002122DE">
        <w:rPr>
          <w:rFonts w:ascii="Arial" w:hAnsi="Arial" w:cs="Arial"/>
          <w:iCs/>
        </w:rPr>
        <w:t xml:space="preserve"> € što je za </w:t>
      </w:r>
      <w:r w:rsidR="00712772">
        <w:rPr>
          <w:rFonts w:ascii="Arial" w:hAnsi="Arial" w:cs="Arial"/>
          <w:iCs/>
        </w:rPr>
        <w:t>3.608.930,58</w:t>
      </w:r>
      <w:r w:rsidR="00CC1381" w:rsidRPr="002122DE">
        <w:rPr>
          <w:rFonts w:ascii="Arial" w:hAnsi="Arial" w:cs="Arial"/>
          <w:iCs/>
        </w:rPr>
        <w:t xml:space="preserve"> € ili </w:t>
      </w:r>
      <w:r w:rsidR="00712772">
        <w:rPr>
          <w:rFonts w:ascii="Arial" w:hAnsi="Arial" w:cs="Arial"/>
          <w:iCs/>
        </w:rPr>
        <w:t>53,6</w:t>
      </w:r>
      <w:r w:rsidR="00CC1381" w:rsidRPr="002122DE">
        <w:rPr>
          <w:rFonts w:ascii="Arial" w:hAnsi="Arial" w:cs="Arial"/>
          <w:iCs/>
        </w:rPr>
        <w:t xml:space="preserve">% više u odnosu na izvještajno razdoblje prethodne godine. </w:t>
      </w:r>
    </w:p>
    <w:p w14:paraId="436BD142" w14:textId="685C7DA8" w:rsidR="0042505B" w:rsidRPr="003A2F86" w:rsidRDefault="0042505B" w:rsidP="0042505B">
      <w:pPr>
        <w:spacing w:after="0" w:line="240" w:lineRule="auto"/>
        <w:jc w:val="both"/>
        <w:rPr>
          <w:rFonts w:ascii="Arial" w:eastAsia="Times New Roman" w:hAnsi="Arial" w:cs="Arial"/>
          <w:iCs/>
          <w:lang w:eastAsia="en-US"/>
        </w:rPr>
      </w:pPr>
    </w:p>
    <w:bookmarkEnd w:id="259"/>
    <w:p w14:paraId="5964F302" w14:textId="38534CE5" w:rsidR="00061358" w:rsidRPr="003A2F86" w:rsidRDefault="00061358" w:rsidP="00061358">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Planirani rashodi zajedno s rashodima proračunskih korisnika iznose </w:t>
      </w:r>
      <w:r w:rsidR="00712772">
        <w:rPr>
          <w:rFonts w:ascii="Arial" w:eastAsia="Times New Roman" w:hAnsi="Arial" w:cs="Arial"/>
          <w:iCs/>
          <w:lang w:eastAsia="en-US"/>
        </w:rPr>
        <w:t>38.616.558</w:t>
      </w:r>
      <w:r w:rsidR="005A454F"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a izdaci u iznosu </w:t>
      </w:r>
      <w:r w:rsidR="00CC1381">
        <w:rPr>
          <w:rFonts w:ascii="Arial" w:eastAsia="Times New Roman" w:hAnsi="Arial" w:cs="Arial"/>
          <w:iCs/>
          <w:lang w:eastAsia="en-US"/>
        </w:rPr>
        <w:t>1.</w:t>
      </w:r>
      <w:r w:rsidR="00712772">
        <w:rPr>
          <w:rFonts w:ascii="Arial" w:eastAsia="Times New Roman" w:hAnsi="Arial" w:cs="Arial"/>
          <w:iCs/>
          <w:lang w:eastAsia="en-US"/>
        </w:rPr>
        <w:t>363.442</w:t>
      </w:r>
      <w:r w:rsidR="005A454F"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sveukupno </w:t>
      </w:r>
      <w:r w:rsidR="00712772">
        <w:rPr>
          <w:rFonts w:ascii="Arial" w:eastAsia="Times New Roman" w:hAnsi="Arial" w:cs="Arial"/>
          <w:iCs/>
          <w:lang w:eastAsia="en-US"/>
        </w:rPr>
        <w:t>39.980</w:t>
      </w:r>
      <w:r w:rsidR="00627F84" w:rsidRPr="003A2F86">
        <w:rPr>
          <w:rFonts w:ascii="Arial" w:eastAsia="Times New Roman" w:hAnsi="Arial" w:cs="Arial"/>
          <w:iCs/>
          <w:lang w:eastAsia="en-US"/>
        </w:rPr>
        <w:t>.000</w:t>
      </w:r>
      <w:r w:rsidR="005A454F"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w:t>
      </w:r>
    </w:p>
    <w:p w14:paraId="7616E980" w14:textId="77777777" w:rsidR="00B63ADD" w:rsidRDefault="00B63ADD" w:rsidP="0042505B">
      <w:pPr>
        <w:spacing w:after="0" w:line="240" w:lineRule="auto"/>
        <w:jc w:val="both"/>
        <w:rPr>
          <w:rFonts w:ascii="Arial" w:eastAsia="Times New Roman" w:hAnsi="Arial" w:cs="Arial"/>
          <w:iCs/>
          <w:lang w:eastAsia="en-US"/>
        </w:rPr>
      </w:pPr>
      <w:bookmarkStart w:id="260" w:name="_Hlk145943094"/>
    </w:p>
    <w:p w14:paraId="004CE434" w14:textId="13A37793" w:rsidR="00CC1381" w:rsidRPr="00CC1381" w:rsidRDefault="00CC1381" w:rsidP="00CC1381">
      <w:pPr>
        <w:spacing w:after="0" w:line="240" w:lineRule="auto"/>
        <w:jc w:val="both"/>
        <w:rPr>
          <w:rFonts w:ascii="Arial" w:eastAsia="Times New Roman" w:hAnsi="Arial" w:cs="Arial"/>
          <w:iCs/>
          <w:lang w:eastAsia="en-US"/>
        </w:rPr>
      </w:pPr>
      <w:r w:rsidRPr="00CC1381">
        <w:rPr>
          <w:rFonts w:ascii="Arial" w:eastAsia="Times New Roman" w:hAnsi="Arial" w:cs="Arial"/>
          <w:b/>
          <w:bCs/>
          <w:iCs/>
          <w:lang w:eastAsia="en-US"/>
        </w:rPr>
        <w:t>Manjak</w:t>
      </w:r>
      <w:r w:rsidRPr="00CC1381">
        <w:rPr>
          <w:rFonts w:ascii="Arial" w:eastAsia="Times New Roman" w:hAnsi="Arial" w:cs="Arial"/>
          <w:iCs/>
          <w:lang w:eastAsia="en-US"/>
        </w:rPr>
        <w:t xml:space="preserve"> prihoda i primitaka nad rashodima i izdacima </w:t>
      </w:r>
      <w:r w:rsidRPr="00CC1381">
        <w:rPr>
          <w:rFonts w:ascii="Arial" w:eastAsia="Times New Roman" w:hAnsi="Arial" w:cs="Arial"/>
          <w:b/>
          <w:bCs/>
          <w:iCs/>
          <w:lang w:eastAsia="en-US"/>
        </w:rPr>
        <w:t>tekuće godine</w:t>
      </w:r>
      <w:r w:rsidRPr="00CC1381">
        <w:rPr>
          <w:rFonts w:ascii="Arial" w:eastAsia="Times New Roman" w:hAnsi="Arial" w:cs="Arial"/>
          <w:iCs/>
          <w:lang w:eastAsia="en-US"/>
        </w:rPr>
        <w:t xml:space="preserve">, odnosno za razdoblje siječanj – </w:t>
      </w:r>
      <w:r w:rsidR="00712772">
        <w:rPr>
          <w:rFonts w:ascii="Arial" w:eastAsia="Times New Roman" w:hAnsi="Arial" w:cs="Arial"/>
          <w:iCs/>
          <w:lang w:eastAsia="en-US"/>
        </w:rPr>
        <w:t>lipanj</w:t>
      </w:r>
      <w:r w:rsidRPr="00CC1381">
        <w:rPr>
          <w:rFonts w:ascii="Arial" w:eastAsia="Times New Roman" w:hAnsi="Arial" w:cs="Arial"/>
          <w:iCs/>
          <w:lang w:eastAsia="en-US"/>
        </w:rPr>
        <w:t xml:space="preserve"> 202</w:t>
      </w:r>
      <w:r w:rsidR="00712772">
        <w:rPr>
          <w:rFonts w:ascii="Arial" w:eastAsia="Times New Roman" w:hAnsi="Arial" w:cs="Arial"/>
          <w:iCs/>
          <w:lang w:eastAsia="en-US"/>
        </w:rPr>
        <w:t>5</w:t>
      </w:r>
      <w:r w:rsidRPr="00CC1381">
        <w:rPr>
          <w:rFonts w:ascii="Arial" w:eastAsia="Times New Roman" w:hAnsi="Arial" w:cs="Arial"/>
          <w:iCs/>
          <w:lang w:eastAsia="en-US"/>
        </w:rPr>
        <w:t xml:space="preserve">. iznosi </w:t>
      </w:r>
      <w:r w:rsidR="00712772">
        <w:rPr>
          <w:rFonts w:ascii="Arial" w:eastAsia="Times New Roman" w:hAnsi="Arial" w:cs="Arial"/>
          <w:iCs/>
          <w:lang w:eastAsia="en-US"/>
        </w:rPr>
        <w:t>-2.091.145,87</w:t>
      </w:r>
      <w:r w:rsidRPr="00CC1381">
        <w:rPr>
          <w:rFonts w:ascii="Arial" w:eastAsia="Times New Roman" w:hAnsi="Arial" w:cs="Arial"/>
          <w:iCs/>
          <w:lang w:eastAsia="en-US"/>
        </w:rPr>
        <w:t xml:space="preserve"> € (manjak Općine </w:t>
      </w:r>
      <w:r w:rsidR="00712772">
        <w:rPr>
          <w:rFonts w:ascii="Arial" w:eastAsia="Times New Roman" w:hAnsi="Arial" w:cs="Arial"/>
          <w:iCs/>
          <w:lang w:eastAsia="en-US"/>
        </w:rPr>
        <w:t>2.200.003,17</w:t>
      </w:r>
      <w:r w:rsidRPr="00CC1381">
        <w:rPr>
          <w:rFonts w:ascii="Arial" w:eastAsia="Times New Roman" w:hAnsi="Arial" w:cs="Arial"/>
          <w:iCs/>
          <w:lang w:eastAsia="en-US"/>
        </w:rPr>
        <w:t xml:space="preserve"> €, zbrojni </w:t>
      </w:r>
      <w:r w:rsidR="00712772">
        <w:rPr>
          <w:rFonts w:ascii="Arial" w:eastAsia="Times New Roman" w:hAnsi="Arial" w:cs="Arial"/>
          <w:iCs/>
          <w:lang w:eastAsia="en-US"/>
        </w:rPr>
        <w:t>višak</w:t>
      </w:r>
      <w:r w:rsidRPr="00CC1381">
        <w:rPr>
          <w:rFonts w:ascii="Arial" w:eastAsia="Times New Roman" w:hAnsi="Arial" w:cs="Arial"/>
          <w:iCs/>
          <w:lang w:eastAsia="en-US"/>
        </w:rPr>
        <w:t xml:space="preserve"> proračunskih korisnika </w:t>
      </w:r>
      <w:r w:rsidR="00712772">
        <w:rPr>
          <w:rFonts w:ascii="Arial" w:eastAsia="Times New Roman" w:hAnsi="Arial" w:cs="Arial"/>
          <w:iCs/>
          <w:lang w:eastAsia="en-US"/>
        </w:rPr>
        <w:t>108.857,30</w:t>
      </w:r>
      <w:r w:rsidRPr="00CC1381">
        <w:rPr>
          <w:rFonts w:ascii="Arial" w:eastAsia="Times New Roman" w:hAnsi="Arial" w:cs="Arial"/>
          <w:iCs/>
          <w:lang w:eastAsia="en-US"/>
        </w:rPr>
        <w:t xml:space="preserve"> €).</w:t>
      </w:r>
    </w:p>
    <w:p w14:paraId="20DB603B" w14:textId="77777777" w:rsidR="00CC1381" w:rsidRPr="00CC1381" w:rsidRDefault="00CC1381" w:rsidP="00CC1381">
      <w:pPr>
        <w:spacing w:after="0" w:line="240" w:lineRule="auto"/>
        <w:jc w:val="both"/>
        <w:rPr>
          <w:rFonts w:ascii="Arial" w:eastAsia="Times New Roman" w:hAnsi="Arial" w:cs="Arial"/>
          <w:iCs/>
          <w:lang w:eastAsia="en-US"/>
        </w:rPr>
      </w:pPr>
    </w:p>
    <w:p w14:paraId="1B0779E6" w14:textId="6F6B7529" w:rsidR="00CC1381" w:rsidRPr="00CC1381" w:rsidRDefault="00CC1381" w:rsidP="00CC1381">
      <w:pPr>
        <w:spacing w:after="0" w:line="240" w:lineRule="auto"/>
        <w:jc w:val="both"/>
        <w:rPr>
          <w:rFonts w:ascii="Arial" w:eastAsia="Times New Roman" w:hAnsi="Arial" w:cs="Arial"/>
          <w:iCs/>
          <w:lang w:eastAsia="en-US"/>
        </w:rPr>
      </w:pPr>
      <w:r w:rsidRPr="00CC1381">
        <w:rPr>
          <w:rFonts w:ascii="Arial" w:eastAsia="Times New Roman" w:hAnsi="Arial" w:cs="Arial"/>
          <w:iCs/>
          <w:lang w:eastAsia="en-US"/>
        </w:rPr>
        <w:t>Osnovni razlog za visinu ostvarenog viška prihoda i primitaka prethodne 202</w:t>
      </w:r>
      <w:r w:rsidR="00712772">
        <w:rPr>
          <w:rFonts w:ascii="Arial" w:eastAsia="Times New Roman" w:hAnsi="Arial" w:cs="Arial"/>
          <w:iCs/>
          <w:lang w:eastAsia="en-US"/>
        </w:rPr>
        <w:t>4</w:t>
      </w:r>
      <w:r w:rsidRPr="00CC1381">
        <w:rPr>
          <w:rFonts w:ascii="Arial" w:eastAsia="Times New Roman" w:hAnsi="Arial" w:cs="Arial"/>
          <w:iCs/>
          <w:lang w:eastAsia="en-US"/>
        </w:rPr>
        <w:t xml:space="preserve">. godine su ostvarena sredstva za sufinanciranje projekata, te ostvarena i neraspoređena sredstva od prodaje zemljišta u budućoj poduzetničkoj zoni. </w:t>
      </w:r>
    </w:p>
    <w:p w14:paraId="0297241F" w14:textId="79CAF651" w:rsidR="00CC1381" w:rsidRPr="00CC1381" w:rsidRDefault="00CC1381" w:rsidP="00CC1381">
      <w:pPr>
        <w:spacing w:after="0" w:line="240" w:lineRule="auto"/>
        <w:jc w:val="both"/>
        <w:rPr>
          <w:rFonts w:ascii="Arial" w:eastAsia="Times New Roman" w:hAnsi="Arial" w:cs="Arial"/>
          <w:iCs/>
          <w:lang w:eastAsia="en-US"/>
        </w:rPr>
      </w:pPr>
      <w:r w:rsidRPr="00CC1381">
        <w:rPr>
          <w:rFonts w:ascii="Arial" w:eastAsia="Times New Roman" w:hAnsi="Arial" w:cs="Arial"/>
          <w:b/>
          <w:bCs/>
          <w:iCs/>
          <w:lang w:eastAsia="en-US"/>
        </w:rPr>
        <w:t>Višak</w:t>
      </w:r>
      <w:r w:rsidRPr="00CC1381">
        <w:rPr>
          <w:rFonts w:ascii="Arial" w:eastAsia="Times New Roman" w:hAnsi="Arial" w:cs="Arial"/>
          <w:iCs/>
          <w:lang w:eastAsia="en-US"/>
        </w:rPr>
        <w:t xml:space="preserve"> </w:t>
      </w:r>
      <w:r w:rsidRPr="00CC1381">
        <w:rPr>
          <w:rFonts w:ascii="Arial" w:eastAsia="Times New Roman" w:hAnsi="Arial" w:cs="Arial"/>
          <w:b/>
          <w:bCs/>
          <w:iCs/>
          <w:lang w:eastAsia="en-US"/>
        </w:rPr>
        <w:t>prihoda i primitaka iz prethodnih godina</w:t>
      </w:r>
      <w:r w:rsidRPr="00CC1381">
        <w:rPr>
          <w:rFonts w:ascii="Arial" w:eastAsia="Times New Roman" w:hAnsi="Arial" w:cs="Arial"/>
          <w:iCs/>
          <w:lang w:eastAsia="en-US"/>
        </w:rPr>
        <w:t xml:space="preserve"> iznosi </w:t>
      </w:r>
      <w:r w:rsidR="00712772">
        <w:rPr>
          <w:rFonts w:ascii="Arial" w:eastAsia="Times New Roman" w:hAnsi="Arial" w:cs="Arial"/>
          <w:iCs/>
          <w:lang w:eastAsia="en-US"/>
        </w:rPr>
        <w:t>2.314.003,03</w:t>
      </w:r>
      <w:r w:rsidRPr="00CC1381">
        <w:rPr>
          <w:rFonts w:ascii="Arial" w:eastAsia="Times New Roman" w:hAnsi="Arial" w:cs="Arial"/>
          <w:iCs/>
          <w:lang w:eastAsia="en-US"/>
        </w:rPr>
        <w:t xml:space="preserve"> € (višak Općine </w:t>
      </w:r>
      <w:r w:rsidR="00712772">
        <w:rPr>
          <w:rFonts w:ascii="Arial" w:eastAsia="Times New Roman" w:hAnsi="Arial" w:cs="Arial"/>
          <w:iCs/>
          <w:lang w:eastAsia="en-US"/>
        </w:rPr>
        <w:t>2.314.003,03</w:t>
      </w:r>
      <w:r w:rsidRPr="00CC1381">
        <w:rPr>
          <w:rFonts w:ascii="Arial" w:eastAsia="Times New Roman" w:hAnsi="Arial" w:cs="Arial"/>
          <w:iCs/>
          <w:lang w:eastAsia="en-US"/>
        </w:rPr>
        <w:t xml:space="preserve"> € i zbirni manjak proračunskih korisnika </w:t>
      </w:r>
      <w:r w:rsidR="00714313">
        <w:rPr>
          <w:rFonts w:ascii="Arial" w:eastAsia="Times New Roman" w:hAnsi="Arial" w:cs="Arial"/>
          <w:iCs/>
          <w:lang w:eastAsia="en-US"/>
        </w:rPr>
        <w:t xml:space="preserve">245.843,31 </w:t>
      </w:r>
      <w:r w:rsidRPr="00CC1381">
        <w:rPr>
          <w:rFonts w:ascii="Arial" w:eastAsia="Times New Roman" w:hAnsi="Arial" w:cs="Arial"/>
          <w:iCs/>
          <w:lang w:eastAsia="en-US"/>
        </w:rPr>
        <w:t>€). U tekućoj godini obavljen je ispravak vrijednosti rezultata iz prethodnog razdoblja</w:t>
      </w:r>
      <w:r w:rsidR="00714313">
        <w:rPr>
          <w:rFonts w:ascii="Arial" w:eastAsia="Times New Roman" w:hAnsi="Arial" w:cs="Arial"/>
          <w:iCs/>
          <w:lang w:eastAsia="en-US"/>
        </w:rPr>
        <w:t xml:space="preserve">. Ispravak u iznosu 2.499.900,02 € se odnosi na Općinu (evidentiranje povrata depozita u iznosu 2.500.000 € koji je ranijih godina evidentiran kao izdatak sukladno važećim propisima, te ispravak rezultata za 99.98 €. Ispravak rezultata kod dječjeg vrtića izvršen je u iznosu 2.125,96 €. Sveukupan ispravak rezultata iz ranijeg razdoblja iznosi 2.502.025,98 €. Konačan </w:t>
      </w:r>
      <w:r w:rsidRPr="00CC1381">
        <w:rPr>
          <w:rFonts w:ascii="Arial" w:eastAsia="Times New Roman" w:hAnsi="Arial" w:cs="Arial"/>
          <w:iCs/>
          <w:lang w:eastAsia="en-US"/>
        </w:rPr>
        <w:t>višak prihoda i primitaka iz prethodnog razdoblja (</w:t>
      </w:r>
      <w:r w:rsidRPr="00CC1381">
        <w:rPr>
          <w:rFonts w:ascii="Arial" w:eastAsia="Times New Roman" w:hAnsi="Arial" w:cs="Arial"/>
          <w:b/>
          <w:iCs/>
          <w:lang w:eastAsia="en-US"/>
        </w:rPr>
        <w:t>9221-9222</w:t>
      </w:r>
      <w:r w:rsidRPr="00CC1381">
        <w:rPr>
          <w:rFonts w:ascii="Arial" w:eastAsia="Times New Roman" w:hAnsi="Arial" w:cs="Arial"/>
          <w:iCs/>
          <w:lang w:eastAsia="en-US"/>
        </w:rPr>
        <w:t xml:space="preserve">) iznosi </w:t>
      </w:r>
      <w:r w:rsidR="00714313">
        <w:rPr>
          <w:rFonts w:ascii="Arial" w:eastAsia="Times New Roman" w:hAnsi="Arial" w:cs="Arial"/>
          <w:iCs/>
          <w:lang w:eastAsia="en-US"/>
        </w:rPr>
        <w:t>4.570.185,70</w:t>
      </w:r>
      <w:r w:rsidRPr="00CC1381">
        <w:rPr>
          <w:rFonts w:ascii="Arial" w:eastAsia="Times New Roman" w:hAnsi="Arial" w:cs="Arial"/>
          <w:iCs/>
          <w:lang w:eastAsia="en-US"/>
        </w:rPr>
        <w:t xml:space="preserve"> € (višak Općine </w:t>
      </w:r>
      <w:r w:rsidR="00714313">
        <w:rPr>
          <w:rFonts w:ascii="Arial" w:eastAsia="Times New Roman" w:hAnsi="Arial" w:cs="Arial"/>
          <w:iCs/>
          <w:lang w:eastAsia="en-US"/>
        </w:rPr>
        <w:t>4.813.903,05</w:t>
      </w:r>
      <w:r w:rsidRPr="00CC1381">
        <w:rPr>
          <w:rFonts w:ascii="Arial" w:eastAsia="Times New Roman" w:hAnsi="Arial" w:cs="Arial"/>
          <w:iCs/>
          <w:lang w:eastAsia="en-US"/>
        </w:rPr>
        <w:t xml:space="preserve"> € i zbirni manjak proračunskih korisnika </w:t>
      </w:r>
      <w:r w:rsidR="00714313">
        <w:rPr>
          <w:rFonts w:ascii="Arial" w:eastAsia="Times New Roman" w:hAnsi="Arial" w:cs="Arial"/>
          <w:iCs/>
          <w:lang w:eastAsia="en-US"/>
        </w:rPr>
        <w:t>-243.717,35</w:t>
      </w:r>
      <w:r w:rsidRPr="00CC1381">
        <w:rPr>
          <w:rFonts w:ascii="Arial" w:eastAsia="Times New Roman" w:hAnsi="Arial" w:cs="Arial"/>
          <w:iCs/>
          <w:lang w:eastAsia="en-US"/>
        </w:rPr>
        <w:t xml:space="preserve"> €).</w:t>
      </w:r>
    </w:p>
    <w:p w14:paraId="7B516DB5" w14:textId="77777777" w:rsidR="00CC1381" w:rsidRPr="00CC1381" w:rsidRDefault="00CC1381" w:rsidP="00CC1381">
      <w:pPr>
        <w:spacing w:after="0" w:line="240" w:lineRule="auto"/>
        <w:jc w:val="both"/>
        <w:rPr>
          <w:rFonts w:ascii="Arial" w:eastAsia="Times New Roman" w:hAnsi="Arial" w:cs="Arial"/>
          <w:iCs/>
          <w:lang w:eastAsia="en-US"/>
        </w:rPr>
      </w:pPr>
    </w:p>
    <w:p w14:paraId="7DEABEA6" w14:textId="33D9A53B" w:rsidR="00CC1381" w:rsidRPr="00CC1381" w:rsidRDefault="00CC1381" w:rsidP="00CC1381">
      <w:pPr>
        <w:spacing w:after="0" w:line="240" w:lineRule="auto"/>
        <w:jc w:val="both"/>
        <w:rPr>
          <w:rFonts w:ascii="Arial" w:eastAsia="Times New Roman" w:hAnsi="Arial" w:cs="Arial"/>
          <w:iCs/>
          <w:lang w:eastAsia="en-US"/>
        </w:rPr>
      </w:pPr>
      <w:r w:rsidRPr="00CC1381">
        <w:rPr>
          <w:rFonts w:ascii="Arial" w:eastAsia="Times New Roman" w:hAnsi="Arial" w:cs="Arial"/>
          <w:b/>
          <w:bCs/>
          <w:iCs/>
          <w:lang w:eastAsia="en-US"/>
        </w:rPr>
        <w:t>Višak prihoda i primitaka raspoloživ u slijedećem razdoblju</w:t>
      </w:r>
      <w:r w:rsidRPr="00CC1381">
        <w:rPr>
          <w:rFonts w:ascii="Arial" w:eastAsia="Times New Roman" w:hAnsi="Arial" w:cs="Arial"/>
          <w:iCs/>
          <w:lang w:eastAsia="en-US"/>
        </w:rPr>
        <w:t xml:space="preserve"> iznosi </w:t>
      </w:r>
      <w:r w:rsidR="00714313">
        <w:rPr>
          <w:rFonts w:ascii="Arial" w:eastAsia="Times New Roman" w:hAnsi="Arial" w:cs="Arial"/>
          <w:iCs/>
          <w:lang w:eastAsia="en-US"/>
        </w:rPr>
        <w:t>2.479.039,83</w:t>
      </w:r>
      <w:r w:rsidRPr="00CC1381">
        <w:rPr>
          <w:rFonts w:ascii="Arial" w:eastAsia="Times New Roman" w:hAnsi="Arial" w:cs="Arial"/>
          <w:iCs/>
          <w:lang w:eastAsia="en-US"/>
        </w:rPr>
        <w:t xml:space="preserve"> €, od čega se na višak Općine odnosi </w:t>
      </w:r>
      <w:r w:rsidR="00714313">
        <w:rPr>
          <w:rFonts w:ascii="Arial" w:eastAsia="Times New Roman" w:hAnsi="Arial" w:cs="Arial"/>
          <w:iCs/>
          <w:lang w:eastAsia="en-US"/>
        </w:rPr>
        <w:t>2.613.899,88</w:t>
      </w:r>
      <w:r w:rsidRPr="00CC1381">
        <w:rPr>
          <w:rFonts w:ascii="Arial" w:eastAsia="Times New Roman" w:hAnsi="Arial" w:cs="Arial"/>
          <w:iCs/>
          <w:lang w:eastAsia="en-US"/>
        </w:rPr>
        <w:t xml:space="preserve"> €, a na zbirne manjkove proračunskih korisnika </w:t>
      </w:r>
      <w:r w:rsidR="00714313">
        <w:rPr>
          <w:rFonts w:ascii="Arial" w:eastAsia="Times New Roman" w:hAnsi="Arial" w:cs="Arial"/>
          <w:iCs/>
          <w:lang w:eastAsia="en-US"/>
        </w:rPr>
        <w:t>-134.860,05</w:t>
      </w:r>
      <w:r w:rsidRPr="00CC1381">
        <w:rPr>
          <w:rFonts w:ascii="Arial" w:eastAsia="Times New Roman" w:hAnsi="Arial" w:cs="Arial"/>
          <w:iCs/>
          <w:lang w:eastAsia="en-US"/>
        </w:rPr>
        <w:t xml:space="preserve"> €.</w:t>
      </w:r>
    </w:p>
    <w:p w14:paraId="31A0EDDA" w14:textId="77777777" w:rsidR="00CC1381" w:rsidRPr="00CC1381" w:rsidRDefault="00CC1381" w:rsidP="00CC1381">
      <w:pPr>
        <w:spacing w:after="0" w:line="240" w:lineRule="auto"/>
        <w:jc w:val="both"/>
        <w:rPr>
          <w:rFonts w:ascii="Arial" w:eastAsia="Times New Roman" w:hAnsi="Arial" w:cs="Arial"/>
          <w:iCs/>
          <w:lang w:eastAsia="en-US"/>
        </w:rPr>
      </w:pPr>
    </w:p>
    <w:p w14:paraId="05D18E4E" w14:textId="75BBB838" w:rsidR="00CC1381" w:rsidRPr="00CC1381" w:rsidRDefault="00CC1381" w:rsidP="00CC1381">
      <w:pPr>
        <w:spacing w:after="0" w:line="240" w:lineRule="auto"/>
        <w:jc w:val="both"/>
        <w:rPr>
          <w:rFonts w:ascii="Arial" w:eastAsia="Times New Roman" w:hAnsi="Arial" w:cs="Arial"/>
          <w:iCs/>
          <w:lang w:eastAsia="en-US"/>
        </w:rPr>
      </w:pPr>
      <w:r w:rsidRPr="00CC1381">
        <w:rPr>
          <w:rFonts w:ascii="Arial" w:eastAsia="Times New Roman" w:hAnsi="Arial" w:cs="Arial"/>
          <w:iCs/>
          <w:lang w:eastAsia="en-US"/>
        </w:rPr>
        <w:t xml:space="preserve">Ukupan </w:t>
      </w:r>
      <w:r w:rsidRPr="00CC1381">
        <w:rPr>
          <w:rFonts w:ascii="Arial" w:eastAsia="Times New Roman" w:hAnsi="Arial" w:cs="Arial"/>
          <w:b/>
          <w:bCs/>
          <w:iCs/>
          <w:lang w:eastAsia="en-US"/>
        </w:rPr>
        <w:t>manjak prihoda proračunskih korisnika</w:t>
      </w:r>
      <w:r w:rsidRPr="00CC1381">
        <w:rPr>
          <w:rFonts w:ascii="Arial" w:eastAsia="Times New Roman" w:hAnsi="Arial" w:cs="Arial"/>
          <w:iCs/>
          <w:lang w:eastAsia="en-US"/>
        </w:rPr>
        <w:t xml:space="preserve"> u iznosu </w:t>
      </w:r>
      <w:r w:rsidR="00714313">
        <w:rPr>
          <w:rFonts w:ascii="Arial" w:eastAsia="Times New Roman" w:hAnsi="Arial" w:cs="Arial"/>
          <w:iCs/>
          <w:lang w:eastAsia="en-US"/>
        </w:rPr>
        <w:t>-134.860,05</w:t>
      </w:r>
      <w:r w:rsidRPr="00CC1381">
        <w:rPr>
          <w:rFonts w:ascii="Arial" w:eastAsia="Times New Roman" w:hAnsi="Arial" w:cs="Arial"/>
          <w:iCs/>
          <w:lang w:eastAsia="en-US"/>
        </w:rPr>
        <w:t xml:space="preserve"> € se dijeli na slijedeći način:</w:t>
      </w:r>
    </w:p>
    <w:p w14:paraId="534CEC19" w14:textId="3450F2A6" w:rsidR="00CC1381" w:rsidRPr="00CC1381" w:rsidRDefault="00CC1381" w:rsidP="00CC1381">
      <w:pPr>
        <w:spacing w:after="0" w:line="240" w:lineRule="auto"/>
        <w:jc w:val="both"/>
        <w:rPr>
          <w:rFonts w:ascii="Arial" w:eastAsia="Times New Roman" w:hAnsi="Arial" w:cs="Arial"/>
          <w:iCs/>
          <w:lang w:eastAsia="en-US"/>
        </w:rPr>
      </w:pPr>
      <w:r w:rsidRPr="00CC1381">
        <w:rPr>
          <w:rFonts w:ascii="Arial" w:eastAsia="Times New Roman" w:hAnsi="Arial" w:cs="Arial"/>
          <w:iCs/>
          <w:lang w:eastAsia="en-US"/>
        </w:rPr>
        <w:t>- Dječji vrtić Konavle</w:t>
      </w:r>
      <w:r w:rsidRPr="00CC1381">
        <w:rPr>
          <w:rFonts w:ascii="Arial" w:eastAsia="Times New Roman" w:hAnsi="Arial" w:cs="Arial"/>
          <w:iCs/>
          <w:lang w:eastAsia="en-US"/>
        </w:rPr>
        <w:tab/>
      </w:r>
      <w:r w:rsidRPr="00CC1381">
        <w:rPr>
          <w:rFonts w:ascii="Arial" w:eastAsia="Times New Roman" w:hAnsi="Arial" w:cs="Arial"/>
          <w:iCs/>
          <w:lang w:eastAsia="en-US"/>
        </w:rPr>
        <w:tab/>
      </w:r>
      <w:r w:rsidRPr="00CC1381">
        <w:rPr>
          <w:rFonts w:ascii="Arial" w:eastAsia="Times New Roman" w:hAnsi="Arial" w:cs="Arial"/>
          <w:iCs/>
          <w:lang w:eastAsia="en-US"/>
        </w:rPr>
        <w:tab/>
      </w:r>
      <w:r w:rsidRPr="00CC1381">
        <w:rPr>
          <w:rFonts w:ascii="Arial" w:eastAsia="Times New Roman" w:hAnsi="Arial" w:cs="Arial"/>
          <w:iCs/>
          <w:lang w:eastAsia="en-US"/>
        </w:rPr>
        <w:tab/>
        <w:t>-</w:t>
      </w:r>
      <w:r w:rsidRPr="00CC1381">
        <w:rPr>
          <w:rFonts w:ascii="Arial" w:eastAsia="Times New Roman" w:hAnsi="Arial" w:cs="Arial"/>
          <w:iCs/>
          <w:lang w:eastAsia="en-US"/>
        </w:rPr>
        <w:tab/>
        <w:t xml:space="preserve">manjak </w:t>
      </w:r>
      <w:r w:rsidR="008A7F38">
        <w:rPr>
          <w:rFonts w:ascii="Arial" w:eastAsia="Times New Roman" w:hAnsi="Arial" w:cs="Arial"/>
          <w:iCs/>
          <w:lang w:eastAsia="en-US"/>
        </w:rPr>
        <w:tab/>
      </w:r>
      <w:r w:rsidRPr="00CC1381">
        <w:rPr>
          <w:rFonts w:ascii="Arial" w:eastAsia="Times New Roman" w:hAnsi="Arial" w:cs="Arial"/>
          <w:iCs/>
          <w:lang w:eastAsia="en-US"/>
        </w:rPr>
        <w:tab/>
        <w:t xml:space="preserve">-  </w:t>
      </w:r>
      <w:r w:rsidR="00714313">
        <w:rPr>
          <w:rFonts w:ascii="Arial" w:eastAsia="Times New Roman" w:hAnsi="Arial" w:cs="Arial"/>
          <w:iCs/>
          <w:lang w:eastAsia="en-US"/>
        </w:rPr>
        <w:t>164.287,48</w:t>
      </w:r>
      <w:r w:rsidRPr="00CC1381">
        <w:rPr>
          <w:rFonts w:ascii="Arial" w:eastAsia="Times New Roman" w:hAnsi="Arial" w:cs="Arial"/>
          <w:iCs/>
          <w:lang w:eastAsia="en-US"/>
        </w:rPr>
        <w:t xml:space="preserve"> €</w:t>
      </w:r>
    </w:p>
    <w:p w14:paraId="490A69E7" w14:textId="6FB82CBB" w:rsidR="00CC1381" w:rsidRPr="00CC1381" w:rsidRDefault="00CC1381" w:rsidP="00CC1381">
      <w:pPr>
        <w:spacing w:after="0" w:line="240" w:lineRule="auto"/>
        <w:jc w:val="both"/>
        <w:rPr>
          <w:rFonts w:ascii="Arial" w:eastAsia="Times New Roman" w:hAnsi="Arial" w:cs="Arial"/>
          <w:iCs/>
          <w:lang w:eastAsia="en-US"/>
        </w:rPr>
      </w:pPr>
      <w:r w:rsidRPr="00CC1381">
        <w:rPr>
          <w:rFonts w:ascii="Arial" w:eastAsia="Times New Roman" w:hAnsi="Arial" w:cs="Arial"/>
          <w:iCs/>
          <w:lang w:eastAsia="en-US"/>
        </w:rPr>
        <w:t>- Muzeji i galerije Konavala</w:t>
      </w:r>
      <w:r w:rsidRPr="00CC1381">
        <w:rPr>
          <w:rFonts w:ascii="Arial" w:eastAsia="Times New Roman" w:hAnsi="Arial" w:cs="Arial"/>
          <w:iCs/>
          <w:lang w:eastAsia="en-US"/>
        </w:rPr>
        <w:tab/>
      </w:r>
      <w:r w:rsidRPr="00CC1381">
        <w:rPr>
          <w:rFonts w:ascii="Arial" w:eastAsia="Times New Roman" w:hAnsi="Arial" w:cs="Arial"/>
          <w:iCs/>
          <w:lang w:eastAsia="en-US"/>
        </w:rPr>
        <w:tab/>
      </w:r>
      <w:r w:rsidRPr="00CC1381">
        <w:rPr>
          <w:rFonts w:ascii="Arial" w:eastAsia="Times New Roman" w:hAnsi="Arial" w:cs="Arial"/>
          <w:iCs/>
          <w:lang w:eastAsia="en-US"/>
        </w:rPr>
        <w:tab/>
        <w:t>-</w:t>
      </w:r>
      <w:r w:rsidRPr="00CC1381">
        <w:rPr>
          <w:rFonts w:ascii="Arial" w:eastAsia="Times New Roman" w:hAnsi="Arial" w:cs="Arial"/>
          <w:iCs/>
          <w:lang w:eastAsia="en-US"/>
        </w:rPr>
        <w:tab/>
        <w:t>višak</w:t>
      </w:r>
      <w:r w:rsidRPr="00CC1381">
        <w:rPr>
          <w:rFonts w:ascii="Arial" w:eastAsia="Times New Roman" w:hAnsi="Arial" w:cs="Arial"/>
          <w:iCs/>
          <w:lang w:eastAsia="en-US"/>
        </w:rPr>
        <w:tab/>
      </w:r>
      <w:r w:rsidR="008A7F38">
        <w:rPr>
          <w:rFonts w:ascii="Arial" w:eastAsia="Times New Roman" w:hAnsi="Arial" w:cs="Arial"/>
          <w:iCs/>
          <w:lang w:eastAsia="en-US"/>
        </w:rPr>
        <w:tab/>
      </w:r>
      <w:r w:rsidRPr="00CC1381">
        <w:rPr>
          <w:rFonts w:ascii="Arial" w:eastAsia="Times New Roman" w:hAnsi="Arial" w:cs="Arial"/>
          <w:iCs/>
          <w:lang w:eastAsia="en-US"/>
        </w:rPr>
        <w:tab/>
        <w:t xml:space="preserve">+   </w:t>
      </w:r>
      <w:r w:rsidR="00714313">
        <w:rPr>
          <w:rFonts w:ascii="Arial" w:eastAsia="Times New Roman" w:hAnsi="Arial" w:cs="Arial"/>
          <w:iCs/>
          <w:lang w:eastAsia="en-US"/>
        </w:rPr>
        <w:t>62.528,31</w:t>
      </w:r>
      <w:r w:rsidRPr="00CC1381">
        <w:rPr>
          <w:rFonts w:ascii="Arial" w:eastAsia="Times New Roman" w:hAnsi="Arial" w:cs="Arial"/>
          <w:iCs/>
          <w:lang w:eastAsia="en-US"/>
        </w:rPr>
        <w:t xml:space="preserve"> €</w:t>
      </w:r>
    </w:p>
    <w:p w14:paraId="2F8D8F32" w14:textId="585A1813" w:rsidR="00CC1381" w:rsidRPr="00CC1381" w:rsidRDefault="00CC1381" w:rsidP="00CC1381">
      <w:pPr>
        <w:spacing w:after="0" w:line="240" w:lineRule="auto"/>
        <w:jc w:val="both"/>
        <w:rPr>
          <w:rFonts w:ascii="Arial" w:eastAsia="Times New Roman" w:hAnsi="Arial" w:cs="Arial"/>
          <w:iCs/>
          <w:lang w:eastAsia="en-US"/>
        </w:rPr>
      </w:pPr>
      <w:r w:rsidRPr="00CC1381">
        <w:rPr>
          <w:rFonts w:ascii="Arial" w:eastAsia="Times New Roman" w:hAnsi="Arial" w:cs="Arial"/>
          <w:iCs/>
          <w:lang w:eastAsia="en-US"/>
        </w:rPr>
        <w:t>- Javna vatrogasna postrojba Konavle</w:t>
      </w:r>
      <w:r w:rsidRPr="00CC1381">
        <w:rPr>
          <w:rFonts w:ascii="Arial" w:eastAsia="Times New Roman" w:hAnsi="Arial" w:cs="Arial"/>
          <w:iCs/>
          <w:lang w:eastAsia="en-US"/>
        </w:rPr>
        <w:tab/>
        <w:t>-</w:t>
      </w:r>
      <w:r w:rsidRPr="00CC1381">
        <w:rPr>
          <w:rFonts w:ascii="Arial" w:eastAsia="Times New Roman" w:hAnsi="Arial" w:cs="Arial"/>
          <w:iCs/>
          <w:lang w:eastAsia="en-US"/>
        </w:rPr>
        <w:tab/>
        <w:t>manjak</w:t>
      </w:r>
      <w:r w:rsidRPr="00CC1381">
        <w:rPr>
          <w:rFonts w:ascii="Arial" w:eastAsia="Times New Roman" w:hAnsi="Arial" w:cs="Arial"/>
          <w:iCs/>
          <w:lang w:eastAsia="en-US"/>
        </w:rPr>
        <w:tab/>
      </w:r>
      <w:r w:rsidRPr="00CC1381">
        <w:rPr>
          <w:rFonts w:ascii="Arial" w:eastAsia="Times New Roman" w:hAnsi="Arial" w:cs="Arial"/>
          <w:iCs/>
          <w:lang w:eastAsia="en-US"/>
        </w:rPr>
        <w:tab/>
        <w:t xml:space="preserve">-    </w:t>
      </w:r>
      <w:r w:rsidR="00714313">
        <w:rPr>
          <w:rFonts w:ascii="Arial" w:eastAsia="Times New Roman" w:hAnsi="Arial" w:cs="Arial"/>
          <w:iCs/>
          <w:lang w:eastAsia="en-US"/>
        </w:rPr>
        <w:t>61.380,38</w:t>
      </w:r>
      <w:r w:rsidRPr="00CC1381">
        <w:rPr>
          <w:rFonts w:ascii="Arial" w:eastAsia="Times New Roman" w:hAnsi="Arial" w:cs="Arial"/>
          <w:iCs/>
          <w:lang w:eastAsia="en-US"/>
        </w:rPr>
        <w:t xml:space="preserve"> €</w:t>
      </w:r>
    </w:p>
    <w:p w14:paraId="64BB478E" w14:textId="7CBD9B45" w:rsidR="00CC1381" w:rsidRPr="00CC1381" w:rsidRDefault="00CC1381" w:rsidP="00CC1381">
      <w:pPr>
        <w:spacing w:after="0" w:line="240" w:lineRule="auto"/>
        <w:jc w:val="both"/>
        <w:rPr>
          <w:rFonts w:ascii="Arial" w:eastAsia="Times New Roman" w:hAnsi="Arial" w:cs="Arial"/>
          <w:iCs/>
          <w:lang w:eastAsia="en-US"/>
        </w:rPr>
      </w:pPr>
      <w:r w:rsidRPr="00CC1381">
        <w:rPr>
          <w:rFonts w:ascii="Arial" w:eastAsia="Times New Roman" w:hAnsi="Arial" w:cs="Arial"/>
          <w:iCs/>
          <w:lang w:eastAsia="en-US"/>
        </w:rPr>
        <w:t xml:space="preserve">- Dom za starije i nemoćne osobe Konavle </w:t>
      </w:r>
      <w:r w:rsidRPr="00CC1381">
        <w:rPr>
          <w:rFonts w:ascii="Arial" w:eastAsia="Times New Roman" w:hAnsi="Arial" w:cs="Arial"/>
          <w:iCs/>
          <w:lang w:eastAsia="en-US"/>
        </w:rPr>
        <w:tab/>
        <w:t xml:space="preserve">- </w:t>
      </w:r>
      <w:r w:rsidRPr="00CC1381">
        <w:rPr>
          <w:rFonts w:ascii="Arial" w:eastAsia="Times New Roman" w:hAnsi="Arial" w:cs="Arial"/>
          <w:iCs/>
          <w:lang w:eastAsia="en-US"/>
        </w:rPr>
        <w:tab/>
      </w:r>
      <w:r w:rsidR="00714313">
        <w:rPr>
          <w:rFonts w:ascii="Arial" w:eastAsia="Times New Roman" w:hAnsi="Arial" w:cs="Arial"/>
          <w:iCs/>
          <w:lang w:eastAsia="en-US"/>
        </w:rPr>
        <w:t>višak</w:t>
      </w:r>
      <w:r w:rsidRPr="00CC1381">
        <w:rPr>
          <w:rFonts w:ascii="Arial" w:eastAsia="Times New Roman" w:hAnsi="Arial" w:cs="Arial"/>
          <w:iCs/>
          <w:lang w:eastAsia="en-US"/>
        </w:rPr>
        <w:tab/>
      </w:r>
      <w:r w:rsidR="00714313">
        <w:rPr>
          <w:rFonts w:ascii="Arial" w:eastAsia="Times New Roman" w:hAnsi="Arial" w:cs="Arial"/>
          <w:iCs/>
          <w:lang w:eastAsia="en-US"/>
        </w:rPr>
        <w:tab/>
      </w:r>
      <w:r w:rsidRPr="00CC1381">
        <w:rPr>
          <w:rFonts w:ascii="Arial" w:eastAsia="Times New Roman" w:hAnsi="Arial" w:cs="Arial"/>
          <w:iCs/>
          <w:lang w:eastAsia="en-US"/>
        </w:rPr>
        <w:tab/>
      </w:r>
      <w:r w:rsidR="00714313">
        <w:rPr>
          <w:rFonts w:ascii="Arial" w:eastAsia="Times New Roman" w:hAnsi="Arial" w:cs="Arial"/>
          <w:iCs/>
          <w:lang w:eastAsia="en-US"/>
        </w:rPr>
        <w:t>+</w:t>
      </w:r>
      <w:r w:rsidRPr="00CC1381">
        <w:rPr>
          <w:rFonts w:ascii="Arial" w:eastAsia="Times New Roman" w:hAnsi="Arial" w:cs="Arial"/>
          <w:iCs/>
          <w:lang w:eastAsia="en-US"/>
        </w:rPr>
        <w:t xml:space="preserve">   </w:t>
      </w:r>
      <w:r w:rsidR="00714313">
        <w:rPr>
          <w:rFonts w:ascii="Arial" w:eastAsia="Times New Roman" w:hAnsi="Arial" w:cs="Arial"/>
          <w:iCs/>
          <w:lang w:eastAsia="en-US"/>
        </w:rPr>
        <w:t>28.279,50</w:t>
      </w:r>
      <w:r w:rsidRPr="00CC1381">
        <w:rPr>
          <w:rFonts w:ascii="Arial" w:eastAsia="Times New Roman" w:hAnsi="Arial" w:cs="Arial"/>
          <w:iCs/>
          <w:lang w:eastAsia="en-US"/>
        </w:rPr>
        <w:t xml:space="preserve"> €.</w:t>
      </w:r>
    </w:p>
    <w:p w14:paraId="7FB4FCFB" w14:textId="77777777" w:rsidR="00CC1381" w:rsidRPr="00CC1381" w:rsidRDefault="00CC1381" w:rsidP="00CC1381">
      <w:pPr>
        <w:spacing w:after="0" w:line="240" w:lineRule="auto"/>
        <w:jc w:val="both"/>
        <w:rPr>
          <w:rFonts w:ascii="Arial" w:eastAsia="Times New Roman" w:hAnsi="Arial" w:cs="Arial"/>
          <w:iCs/>
          <w:lang w:eastAsia="en-US"/>
        </w:rPr>
      </w:pPr>
    </w:p>
    <w:p w14:paraId="6EB2C543" w14:textId="13B6D68E" w:rsidR="003B31DE" w:rsidRDefault="00CC1381" w:rsidP="003B31DE">
      <w:pPr>
        <w:spacing w:after="0" w:line="240" w:lineRule="auto"/>
        <w:jc w:val="both"/>
        <w:rPr>
          <w:rFonts w:ascii="Arial" w:eastAsia="Times New Roman" w:hAnsi="Arial" w:cs="Arial"/>
          <w:iCs/>
          <w:lang w:eastAsia="en-US"/>
        </w:rPr>
      </w:pPr>
      <w:r w:rsidRPr="00CC1381">
        <w:rPr>
          <w:rFonts w:ascii="Arial" w:eastAsia="Times New Roman" w:hAnsi="Arial" w:cs="Arial"/>
          <w:iCs/>
          <w:lang w:eastAsia="en-US"/>
        </w:rPr>
        <w:lastRenderedPageBreak/>
        <w:t xml:space="preserve">Manjkovi proračunskih korisnika se najvećim dijelom odnose na izvršene rashode za plaće za mjesec </w:t>
      </w:r>
      <w:r w:rsidR="00563D90">
        <w:rPr>
          <w:rFonts w:ascii="Arial" w:eastAsia="Times New Roman" w:hAnsi="Arial" w:cs="Arial"/>
          <w:iCs/>
          <w:lang w:eastAsia="en-US"/>
        </w:rPr>
        <w:t>lipanj</w:t>
      </w:r>
      <w:r w:rsidRPr="00CC1381">
        <w:rPr>
          <w:rFonts w:ascii="Arial" w:eastAsia="Times New Roman" w:hAnsi="Arial" w:cs="Arial"/>
          <w:iCs/>
          <w:lang w:eastAsia="en-US"/>
        </w:rPr>
        <w:t xml:space="preserve"> 202</w:t>
      </w:r>
      <w:r w:rsidR="00563D90">
        <w:rPr>
          <w:rFonts w:ascii="Arial" w:eastAsia="Times New Roman" w:hAnsi="Arial" w:cs="Arial"/>
          <w:iCs/>
          <w:lang w:eastAsia="en-US"/>
        </w:rPr>
        <w:t>5</w:t>
      </w:r>
      <w:r w:rsidRPr="00CC1381">
        <w:rPr>
          <w:rFonts w:ascii="Arial" w:eastAsia="Times New Roman" w:hAnsi="Arial" w:cs="Arial"/>
          <w:iCs/>
          <w:lang w:eastAsia="en-US"/>
        </w:rPr>
        <w:t xml:space="preserve">. godine za koje Općina doznačuje sredstva proračunskim korisnicima u </w:t>
      </w:r>
      <w:r w:rsidR="009221B5">
        <w:rPr>
          <w:rFonts w:ascii="Arial" w:eastAsia="Times New Roman" w:hAnsi="Arial" w:cs="Arial"/>
          <w:iCs/>
          <w:lang w:eastAsia="en-US"/>
        </w:rPr>
        <w:t>srpnju</w:t>
      </w:r>
      <w:r w:rsidRPr="00CC1381">
        <w:rPr>
          <w:rFonts w:ascii="Arial" w:eastAsia="Times New Roman" w:hAnsi="Arial" w:cs="Arial"/>
          <w:iCs/>
          <w:lang w:eastAsia="en-US"/>
        </w:rPr>
        <w:t xml:space="preserve"> 2025. godine.</w:t>
      </w:r>
      <w:bookmarkEnd w:id="255"/>
      <w:bookmarkEnd w:id="260"/>
      <w:r w:rsidR="003B31DE" w:rsidRPr="003A2F86">
        <w:rPr>
          <w:rFonts w:ascii="Arial" w:eastAsia="Times New Roman" w:hAnsi="Arial" w:cs="Arial"/>
          <w:iCs/>
          <w:lang w:eastAsia="en-US"/>
        </w:rPr>
        <w:t xml:space="preserve"> </w:t>
      </w:r>
    </w:p>
    <w:p w14:paraId="25743E1D" w14:textId="77777777" w:rsidR="00111106" w:rsidRPr="003A2F86" w:rsidRDefault="00111106" w:rsidP="003B31DE">
      <w:pPr>
        <w:spacing w:after="0" w:line="240" w:lineRule="auto"/>
        <w:jc w:val="both"/>
        <w:rPr>
          <w:rFonts w:ascii="Arial" w:eastAsia="Times New Roman" w:hAnsi="Arial" w:cs="Arial"/>
          <w:iCs/>
          <w:lang w:eastAsia="en-US"/>
        </w:rPr>
      </w:pPr>
    </w:p>
    <w:p w14:paraId="0D8410AA" w14:textId="04F3EBEC" w:rsidR="00891119" w:rsidRPr="003A2F86" w:rsidRDefault="00892B2C" w:rsidP="00892B2C">
      <w:pPr>
        <w:pStyle w:val="Opisslike"/>
        <w:keepNext/>
        <w:jc w:val="both"/>
        <w:rPr>
          <w:rFonts w:ascii="Arial" w:eastAsia="Calibri" w:hAnsi="Arial" w:cs="Arial"/>
        </w:rPr>
      </w:pPr>
      <w:bookmarkStart w:id="261" w:name="_Toc207706985"/>
      <w:bookmarkEnd w:id="256"/>
      <w:r w:rsidRPr="003A2F86">
        <w:rPr>
          <w:color w:val="FF0000"/>
        </w:rPr>
        <w:t xml:space="preserve">Tablica </w:t>
      </w:r>
      <w:r w:rsidR="002A3DE2" w:rsidRPr="003A2F86">
        <w:rPr>
          <w:color w:val="FF0000"/>
        </w:rPr>
        <w:fldChar w:fldCharType="begin"/>
      </w:r>
      <w:r w:rsidR="002A3DE2" w:rsidRPr="003A2F86">
        <w:rPr>
          <w:color w:val="FF0000"/>
        </w:rPr>
        <w:instrText xml:space="preserve"> SEQ Tablica \* ARABIC </w:instrText>
      </w:r>
      <w:r w:rsidR="002A3DE2" w:rsidRPr="003A2F86">
        <w:rPr>
          <w:color w:val="FF0000"/>
        </w:rPr>
        <w:fldChar w:fldCharType="separate"/>
      </w:r>
      <w:r w:rsidR="00910987">
        <w:rPr>
          <w:noProof/>
          <w:color w:val="FF0000"/>
        </w:rPr>
        <w:t>21</w:t>
      </w:r>
      <w:r w:rsidR="002A3DE2" w:rsidRPr="003A2F86">
        <w:rPr>
          <w:color w:val="FF0000"/>
        </w:rPr>
        <w:fldChar w:fldCharType="end"/>
      </w:r>
      <w:r w:rsidRPr="003A2F86">
        <w:rPr>
          <w:color w:val="FF0000"/>
        </w:rPr>
        <w:t xml:space="preserve">.: </w:t>
      </w:r>
      <w:r w:rsidR="00891119" w:rsidRPr="003A2F86">
        <w:rPr>
          <w:rFonts w:ascii="Arial" w:eastAsia="Calibri" w:hAnsi="Arial" w:cs="Arial"/>
        </w:rPr>
        <w:t xml:space="preserve">Pregled </w:t>
      </w:r>
      <w:r w:rsidR="00EA4469" w:rsidRPr="003A2F86">
        <w:rPr>
          <w:rFonts w:ascii="Arial" w:eastAsia="Calibri" w:hAnsi="Arial" w:cs="Arial"/>
        </w:rPr>
        <w:t xml:space="preserve">ostvarenih </w:t>
      </w:r>
      <w:r w:rsidR="00891119" w:rsidRPr="003A2F86">
        <w:rPr>
          <w:rFonts w:ascii="Arial" w:eastAsia="Calibri" w:hAnsi="Arial" w:cs="Arial"/>
        </w:rPr>
        <w:t>viškova i manjkova Općine i proračunskih korisnika</w:t>
      </w:r>
      <w:r w:rsidR="00EA4469" w:rsidRPr="003A2F86">
        <w:rPr>
          <w:rFonts w:ascii="Arial" w:eastAsia="Calibri" w:hAnsi="Arial" w:cs="Arial"/>
        </w:rPr>
        <w:t xml:space="preserve"> u</w:t>
      </w:r>
      <w:r w:rsidR="004F3EA4" w:rsidRPr="003A2F86">
        <w:rPr>
          <w:rFonts w:ascii="Arial" w:eastAsia="Calibri" w:hAnsi="Arial" w:cs="Arial"/>
        </w:rPr>
        <w:t xml:space="preserve"> </w:t>
      </w:r>
      <w:r w:rsidR="009221B5">
        <w:rPr>
          <w:rFonts w:ascii="Arial" w:eastAsia="Calibri" w:hAnsi="Arial" w:cs="Arial"/>
        </w:rPr>
        <w:t>1-6/</w:t>
      </w:r>
      <w:r w:rsidR="00EA4469" w:rsidRPr="003A2F86">
        <w:rPr>
          <w:rFonts w:ascii="Arial" w:eastAsia="Calibri" w:hAnsi="Arial" w:cs="Arial"/>
        </w:rPr>
        <w:t>20</w:t>
      </w:r>
      <w:r w:rsidR="006B2BC6" w:rsidRPr="003A2F86">
        <w:rPr>
          <w:rFonts w:ascii="Arial" w:eastAsia="Calibri" w:hAnsi="Arial" w:cs="Arial"/>
        </w:rPr>
        <w:t>2</w:t>
      </w:r>
      <w:r w:rsidR="009221B5">
        <w:rPr>
          <w:rFonts w:ascii="Arial" w:eastAsia="Calibri" w:hAnsi="Arial" w:cs="Arial"/>
        </w:rPr>
        <w:t>5</w:t>
      </w:r>
      <w:r w:rsidR="00EA4469" w:rsidRPr="003A2F86">
        <w:rPr>
          <w:rFonts w:ascii="Arial" w:eastAsia="Calibri" w:hAnsi="Arial" w:cs="Arial"/>
        </w:rPr>
        <w:t>.</w:t>
      </w:r>
      <w:bookmarkEnd w:id="261"/>
    </w:p>
    <w:p w14:paraId="4B627A2B" w14:textId="40F87D52" w:rsidR="004F3EA4" w:rsidRPr="003A2F86" w:rsidRDefault="009221B5" w:rsidP="0068639C">
      <w:pPr>
        <w:jc w:val="center"/>
        <w:rPr>
          <w:lang w:eastAsia="en-US"/>
        </w:rPr>
      </w:pPr>
      <w:r w:rsidRPr="009221B5">
        <w:rPr>
          <w:noProof/>
        </w:rPr>
        <w:drawing>
          <wp:inline distT="0" distB="0" distL="0" distR="0" wp14:anchorId="481D48EA" wp14:editId="16385772">
            <wp:extent cx="5962650" cy="2361670"/>
            <wp:effectExtent l="0" t="0" r="0" b="635"/>
            <wp:docPr id="23667836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67043" cy="2363410"/>
                    </a:xfrm>
                    <a:prstGeom prst="rect">
                      <a:avLst/>
                    </a:prstGeom>
                    <a:noFill/>
                    <a:ln>
                      <a:noFill/>
                    </a:ln>
                  </pic:spPr>
                </pic:pic>
              </a:graphicData>
            </a:graphic>
          </wp:inline>
        </w:drawing>
      </w:r>
    </w:p>
    <w:p w14:paraId="5889ABC3" w14:textId="471CFB05" w:rsidR="00C24AE8" w:rsidRPr="003A2F86" w:rsidRDefault="009221B5" w:rsidP="00D9426C">
      <w:pPr>
        <w:jc w:val="center"/>
        <w:rPr>
          <w:rFonts w:ascii="Arial" w:eastAsia="Calibri" w:hAnsi="Arial" w:cs="Arial"/>
        </w:rPr>
      </w:pPr>
      <w:r w:rsidRPr="009221B5">
        <w:rPr>
          <w:noProof/>
        </w:rPr>
        <w:drawing>
          <wp:inline distT="0" distB="0" distL="0" distR="0" wp14:anchorId="3355FC12" wp14:editId="36B77127">
            <wp:extent cx="7486650" cy="2803914"/>
            <wp:effectExtent l="0" t="0" r="0" b="0"/>
            <wp:docPr id="24567678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09472" cy="2812461"/>
                    </a:xfrm>
                    <a:prstGeom prst="rect">
                      <a:avLst/>
                    </a:prstGeom>
                    <a:noFill/>
                    <a:ln>
                      <a:noFill/>
                    </a:ln>
                  </pic:spPr>
                </pic:pic>
              </a:graphicData>
            </a:graphic>
          </wp:inline>
        </w:drawing>
      </w:r>
      <w:r w:rsidR="00306778" w:rsidRPr="003A2F86">
        <w:t xml:space="preserve"> </w:t>
      </w:r>
      <w:r w:rsidR="00C24AE8" w:rsidRPr="003A2F86">
        <w:rPr>
          <w:rFonts w:ascii="Arial" w:eastAsia="Calibri" w:hAnsi="Arial" w:cs="Arial"/>
        </w:rPr>
        <w:br w:type="page"/>
      </w:r>
    </w:p>
    <w:p w14:paraId="3CB36D14" w14:textId="632FFD68" w:rsidR="001C1BB7" w:rsidRPr="003A2F86" w:rsidRDefault="001C1BB7" w:rsidP="00A840CD">
      <w:pPr>
        <w:pStyle w:val="Naslov2"/>
        <w:jc w:val="center"/>
        <w:rPr>
          <w:rFonts w:ascii="Arial" w:eastAsia="Calibri" w:hAnsi="Arial" w:cs="Arial"/>
          <w:sz w:val="22"/>
          <w:szCs w:val="22"/>
          <w:lang w:val="hr-HR"/>
        </w:rPr>
      </w:pPr>
      <w:bookmarkStart w:id="262" w:name="_Toc121678579"/>
      <w:bookmarkStart w:id="263" w:name="_Toc207707450"/>
      <w:r w:rsidRPr="003A2F86">
        <w:rPr>
          <w:rFonts w:ascii="Arial" w:eastAsia="Calibri" w:hAnsi="Arial" w:cs="Arial"/>
          <w:sz w:val="22"/>
          <w:szCs w:val="22"/>
          <w:lang w:val="hr-HR"/>
        </w:rPr>
        <w:lastRenderedPageBreak/>
        <w:t>2.</w:t>
      </w:r>
      <w:r w:rsidR="002D3049" w:rsidRPr="003A2F86">
        <w:rPr>
          <w:rFonts w:ascii="Arial" w:eastAsia="Calibri" w:hAnsi="Arial" w:cs="Arial"/>
          <w:sz w:val="22"/>
          <w:szCs w:val="22"/>
          <w:lang w:val="hr-HR"/>
        </w:rPr>
        <w:t>7</w:t>
      </w:r>
      <w:r w:rsidRPr="003A2F86">
        <w:rPr>
          <w:rFonts w:ascii="Arial" w:eastAsia="Calibri" w:hAnsi="Arial" w:cs="Arial"/>
          <w:sz w:val="22"/>
          <w:szCs w:val="22"/>
          <w:lang w:val="hr-HR"/>
        </w:rPr>
        <w:t>.</w:t>
      </w:r>
      <w:r w:rsidRPr="003A2F86">
        <w:rPr>
          <w:rFonts w:ascii="Arial" w:eastAsia="Calibri" w:hAnsi="Arial" w:cs="Arial"/>
          <w:sz w:val="22"/>
          <w:szCs w:val="22"/>
          <w:lang w:val="hr-HR"/>
        </w:rPr>
        <w:tab/>
      </w:r>
      <w:r w:rsidRPr="003A2F86">
        <w:rPr>
          <w:rFonts w:ascii="Arial" w:eastAsia="Calibri" w:hAnsi="Arial" w:cs="Arial"/>
          <w:sz w:val="22"/>
          <w:szCs w:val="22"/>
          <w:lang w:val="hr-HR"/>
        </w:rPr>
        <w:tab/>
        <w:t>EKONOMSKA KLASIFIKACIJA</w:t>
      </w:r>
      <w:bookmarkStart w:id="264" w:name="Ekonomska_klasifikacija"/>
      <w:bookmarkEnd w:id="262"/>
      <w:bookmarkEnd w:id="263"/>
      <w:bookmarkEnd w:id="264"/>
    </w:p>
    <w:p w14:paraId="4A6C62E5" w14:textId="77777777" w:rsidR="001C1BB7" w:rsidRPr="003A2F86" w:rsidRDefault="001C1BB7" w:rsidP="001C1BB7">
      <w:pPr>
        <w:spacing w:after="0" w:line="240" w:lineRule="auto"/>
        <w:jc w:val="both"/>
        <w:rPr>
          <w:rFonts w:ascii="Arial" w:eastAsia="Calibri" w:hAnsi="Arial" w:cs="Arial"/>
        </w:rPr>
      </w:pPr>
    </w:p>
    <w:p w14:paraId="63D73E22" w14:textId="1649DC60" w:rsidR="009C5DA3" w:rsidRPr="003A2F86" w:rsidRDefault="00C02AD0" w:rsidP="001C1BB7">
      <w:pPr>
        <w:spacing w:after="0" w:line="240" w:lineRule="auto"/>
        <w:jc w:val="both"/>
        <w:rPr>
          <w:rFonts w:ascii="Arial" w:eastAsia="Calibri" w:hAnsi="Arial" w:cs="Arial"/>
          <w:b/>
          <w:bCs/>
          <w:i/>
          <w:iCs/>
        </w:rPr>
      </w:pPr>
      <w:r w:rsidRPr="003A2F86">
        <w:rPr>
          <w:rFonts w:ascii="Arial" w:eastAsia="Calibri" w:hAnsi="Arial" w:cs="Arial"/>
        </w:rPr>
        <w:t xml:space="preserve">Struktura ostvarenih prihoda i primitaka za razdoblje siječanj – </w:t>
      </w:r>
      <w:r w:rsidR="009221B5">
        <w:rPr>
          <w:rFonts w:ascii="Arial" w:eastAsia="Calibri" w:hAnsi="Arial" w:cs="Arial"/>
        </w:rPr>
        <w:t>lipanj</w:t>
      </w:r>
      <w:r w:rsidRPr="003A2F86">
        <w:rPr>
          <w:rFonts w:ascii="Arial" w:eastAsia="Calibri" w:hAnsi="Arial" w:cs="Arial"/>
        </w:rPr>
        <w:t xml:space="preserve"> 202</w:t>
      </w:r>
      <w:r w:rsidR="009221B5">
        <w:rPr>
          <w:rFonts w:ascii="Arial" w:eastAsia="Calibri" w:hAnsi="Arial" w:cs="Arial"/>
        </w:rPr>
        <w:t>5</w:t>
      </w:r>
      <w:r w:rsidRPr="003A2F86">
        <w:rPr>
          <w:rFonts w:ascii="Arial" w:eastAsia="Calibri" w:hAnsi="Arial" w:cs="Arial"/>
        </w:rPr>
        <w:t xml:space="preserve">. godine u iznosu </w:t>
      </w:r>
      <w:r w:rsidR="009221B5">
        <w:rPr>
          <w:rFonts w:ascii="Arial" w:eastAsia="Calibri" w:hAnsi="Arial" w:cs="Arial"/>
          <w:b/>
          <w:bCs/>
        </w:rPr>
        <w:t>8.250.742,06</w:t>
      </w:r>
      <w:r w:rsidRPr="003A2F86">
        <w:rPr>
          <w:rFonts w:ascii="Arial" w:eastAsia="Calibri" w:hAnsi="Arial" w:cs="Arial"/>
          <w:b/>
          <w:bCs/>
        </w:rPr>
        <w:t xml:space="preserve"> €</w:t>
      </w:r>
      <w:r w:rsidRPr="003A2F86">
        <w:rPr>
          <w:rFonts w:ascii="Arial" w:eastAsia="Calibri" w:hAnsi="Arial" w:cs="Arial"/>
        </w:rPr>
        <w:t xml:space="preserve"> prikazana je u</w:t>
      </w:r>
      <w:r w:rsidR="009C5DA3" w:rsidRPr="003A2F86">
        <w:rPr>
          <w:rFonts w:ascii="Arial" w:eastAsia="Calibri" w:hAnsi="Arial" w:cs="Arial"/>
        </w:rPr>
        <w:t xml:space="preserve"> okviru točke </w:t>
      </w:r>
      <w:hyperlink w:anchor="_2.3.1.__PRIHODI" w:history="1">
        <w:r w:rsidR="009C5DA3" w:rsidRPr="00B356F8">
          <w:rPr>
            <w:rStyle w:val="Hiperveza"/>
            <w:rFonts w:ascii="Arial" w:eastAsia="Calibri" w:hAnsi="Arial" w:cs="Arial"/>
            <w:b/>
            <w:bCs/>
            <w:i/>
            <w:iCs/>
          </w:rPr>
          <w:t xml:space="preserve">2.3. SAŽETAK – IZVRŠENJE PRORAČUNA SIJEČANJ – </w:t>
        </w:r>
        <w:r w:rsidR="009221B5">
          <w:rPr>
            <w:rStyle w:val="Hiperveza"/>
            <w:rFonts w:ascii="Arial" w:eastAsia="Calibri" w:hAnsi="Arial" w:cs="Arial"/>
            <w:b/>
            <w:bCs/>
            <w:i/>
            <w:iCs/>
          </w:rPr>
          <w:t>LIPANJ</w:t>
        </w:r>
        <w:r w:rsidR="009C5DA3" w:rsidRPr="00B356F8">
          <w:rPr>
            <w:rStyle w:val="Hiperveza"/>
            <w:rFonts w:ascii="Arial" w:eastAsia="Calibri" w:hAnsi="Arial" w:cs="Arial"/>
            <w:b/>
            <w:bCs/>
            <w:i/>
            <w:iCs/>
          </w:rPr>
          <w:t xml:space="preserve"> 202</w:t>
        </w:r>
        <w:r w:rsidR="009221B5">
          <w:rPr>
            <w:rStyle w:val="Hiperveza"/>
            <w:rFonts w:ascii="Arial" w:eastAsia="Calibri" w:hAnsi="Arial" w:cs="Arial"/>
            <w:b/>
            <w:bCs/>
            <w:i/>
            <w:iCs/>
          </w:rPr>
          <w:t>5</w:t>
        </w:r>
        <w:r w:rsidR="009C5DA3" w:rsidRPr="00B356F8">
          <w:rPr>
            <w:rStyle w:val="Hiperveza"/>
            <w:rFonts w:ascii="Arial" w:eastAsia="Calibri" w:hAnsi="Arial" w:cs="Arial"/>
            <w:b/>
            <w:bCs/>
            <w:i/>
            <w:iCs/>
          </w:rPr>
          <w:t>., 2.3.1. PRIHODI I PRIMICI</w:t>
        </w:r>
      </w:hyperlink>
      <w:r w:rsidR="009C5DA3" w:rsidRPr="00B356F8">
        <w:rPr>
          <w:rFonts w:ascii="Arial" w:eastAsia="Calibri" w:hAnsi="Arial" w:cs="Arial"/>
          <w:b/>
          <w:bCs/>
          <w:i/>
          <w:iCs/>
        </w:rPr>
        <w:t>,</w:t>
      </w:r>
      <w:r w:rsidR="009C5DA3" w:rsidRPr="00B356F8">
        <w:rPr>
          <w:rFonts w:ascii="Arial" w:eastAsia="Calibri" w:hAnsi="Arial" w:cs="Arial"/>
        </w:rPr>
        <w:t xml:space="preserve"> </w:t>
      </w:r>
      <w:r w:rsidR="00736F0C" w:rsidRPr="003A2F86">
        <w:rPr>
          <w:rFonts w:ascii="Arial" w:eastAsia="Calibri" w:hAnsi="Arial" w:cs="Arial"/>
        </w:rPr>
        <w:t>putem</w:t>
      </w:r>
      <w:r w:rsidRPr="003A2F86">
        <w:rPr>
          <w:rFonts w:ascii="Arial" w:eastAsia="Calibri" w:hAnsi="Arial" w:cs="Arial"/>
        </w:rPr>
        <w:t xml:space="preserve"> </w:t>
      </w:r>
      <w:r w:rsidR="009C5DA3" w:rsidRPr="003A2F86">
        <w:rPr>
          <w:rFonts w:ascii="Arial" w:eastAsia="Calibri" w:hAnsi="Arial" w:cs="Arial"/>
          <w:b/>
          <w:bCs/>
          <w:color w:val="FF0000"/>
        </w:rPr>
        <w:t>Graf</w:t>
      </w:r>
      <w:r w:rsidR="00736F0C" w:rsidRPr="003A2F86">
        <w:rPr>
          <w:rFonts w:ascii="Arial" w:eastAsia="Calibri" w:hAnsi="Arial" w:cs="Arial"/>
          <w:b/>
          <w:bCs/>
          <w:color w:val="FF0000"/>
        </w:rPr>
        <w:t>a</w:t>
      </w:r>
      <w:r w:rsidR="009C5DA3" w:rsidRPr="003A2F86">
        <w:rPr>
          <w:rFonts w:ascii="Arial" w:eastAsia="Calibri" w:hAnsi="Arial" w:cs="Arial"/>
          <w:b/>
          <w:bCs/>
          <w:color w:val="FF0000"/>
        </w:rPr>
        <w:t xml:space="preserve"> 6</w:t>
      </w:r>
      <w:r w:rsidR="009C5DA3" w:rsidRPr="003A2F86">
        <w:rPr>
          <w:rFonts w:ascii="Arial" w:eastAsia="Calibri" w:hAnsi="Arial" w:cs="Arial"/>
          <w:color w:val="FF0000"/>
        </w:rPr>
        <w:t>.</w:t>
      </w:r>
      <w:r w:rsidR="00951B98" w:rsidRPr="00B356F8">
        <w:rPr>
          <w:rFonts w:ascii="Arial" w:eastAsia="Calibri" w:hAnsi="Arial" w:cs="Arial"/>
        </w:rPr>
        <w:t>:</w:t>
      </w:r>
      <w:r w:rsidR="009C5DA3" w:rsidRPr="003A2F86">
        <w:rPr>
          <w:rFonts w:ascii="Arial" w:eastAsia="Calibri" w:hAnsi="Arial" w:cs="Arial"/>
        </w:rPr>
        <w:t xml:space="preserve"> </w:t>
      </w:r>
      <w:r w:rsidR="009C5DA3" w:rsidRPr="003A2F86">
        <w:rPr>
          <w:rFonts w:ascii="Arial" w:eastAsia="Calibri" w:hAnsi="Arial" w:cs="Arial"/>
          <w:b/>
          <w:bCs/>
          <w:i/>
          <w:iCs/>
        </w:rPr>
        <w:t>Struktura ostvarenih prihoda i primitaka u 202</w:t>
      </w:r>
      <w:r w:rsidR="000D4AAF">
        <w:rPr>
          <w:rFonts w:ascii="Arial" w:eastAsia="Calibri" w:hAnsi="Arial" w:cs="Arial"/>
          <w:b/>
          <w:bCs/>
          <w:i/>
          <w:iCs/>
        </w:rPr>
        <w:t>5</w:t>
      </w:r>
      <w:r w:rsidR="009C5DA3" w:rsidRPr="003A2F86">
        <w:rPr>
          <w:rFonts w:ascii="Arial" w:eastAsia="Calibri" w:hAnsi="Arial" w:cs="Arial"/>
          <w:b/>
          <w:bCs/>
          <w:i/>
          <w:iCs/>
        </w:rPr>
        <w:t>. po ekonomskoj klasifikaciji</w:t>
      </w:r>
      <w:r w:rsidR="007A5571" w:rsidRPr="003A2F86">
        <w:rPr>
          <w:rFonts w:ascii="Arial" w:eastAsia="Calibri" w:hAnsi="Arial" w:cs="Arial"/>
          <w:b/>
          <w:bCs/>
          <w:i/>
          <w:iCs/>
        </w:rPr>
        <w:t xml:space="preserve"> (€)</w:t>
      </w:r>
      <w:r w:rsidR="009C5DA3" w:rsidRPr="003A2F86">
        <w:rPr>
          <w:rFonts w:ascii="Arial" w:eastAsia="Calibri" w:hAnsi="Arial" w:cs="Arial"/>
          <w:b/>
          <w:bCs/>
          <w:i/>
          <w:iCs/>
        </w:rPr>
        <w:t xml:space="preserve">: </w:t>
      </w:r>
      <w:r w:rsidR="007A5571" w:rsidRPr="003A2F86">
        <w:rPr>
          <w:rFonts w:ascii="Arial" w:eastAsia="Calibri" w:hAnsi="Arial" w:cs="Arial"/>
          <w:b/>
          <w:bCs/>
          <w:i/>
          <w:iCs/>
        </w:rPr>
        <w:t xml:space="preserve">sveukupno </w:t>
      </w:r>
      <w:r w:rsidR="009C5DA3" w:rsidRPr="003A2F86">
        <w:rPr>
          <w:rFonts w:ascii="Arial" w:eastAsia="Calibri" w:hAnsi="Arial" w:cs="Arial"/>
          <w:b/>
          <w:bCs/>
          <w:i/>
          <w:iCs/>
        </w:rPr>
        <w:t>Općina i proračunski korisnici.</w:t>
      </w:r>
    </w:p>
    <w:p w14:paraId="67DD67EE" w14:textId="77777777" w:rsidR="009C5DA3" w:rsidRPr="003A2F86" w:rsidRDefault="009C5DA3" w:rsidP="001C1BB7">
      <w:pPr>
        <w:spacing w:after="0" w:line="240" w:lineRule="auto"/>
        <w:jc w:val="both"/>
        <w:rPr>
          <w:rFonts w:ascii="Arial" w:eastAsia="Calibri" w:hAnsi="Arial" w:cs="Arial"/>
        </w:rPr>
      </w:pPr>
    </w:p>
    <w:p w14:paraId="13E4572B" w14:textId="23A213C0" w:rsidR="009C5DA3" w:rsidRPr="003A2F86" w:rsidRDefault="00736F0C" w:rsidP="009C5DA3">
      <w:pPr>
        <w:spacing w:after="0" w:line="240" w:lineRule="auto"/>
        <w:jc w:val="both"/>
        <w:rPr>
          <w:rFonts w:ascii="Arial" w:eastAsia="Calibri" w:hAnsi="Arial" w:cs="Arial"/>
          <w:b/>
          <w:bCs/>
          <w:i/>
          <w:iCs/>
        </w:rPr>
      </w:pPr>
      <w:r w:rsidRPr="003A2F86">
        <w:rPr>
          <w:rFonts w:ascii="Arial" w:eastAsia="Calibri" w:hAnsi="Arial" w:cs="Arial"/>
        </w:rPr>
        <w:t xml:space="preserve">Struktura izvršenih rashoda i izdataka za razdoblje siječanj – </w:t>
      </w:r>
      <w:r w:rsidR="009221B5">
        <w:rPr>
          <w:rFonts w:ascii="Arial" w:eastAsia="Calibri" w:hAnsi="Arial" w:cs="Arial"/>
        </w:rPr>
        <w:t>lipanj</w:t>
      </w:r>
      <w:r w:rsidRPr="003A2F86">
        <w:rPr>
          <w:rFonts w:ascii="Arial" w:eastAsia="Calibri" w:hAnsi="Arial" w:cs="Arial"/>
        </w:rPr>
        <w:t xml:space="preserve"> 202</w:t>
      </w:r>
      <w:r w:rsidR="009221B5">
        <w:rPr>
          <w:rFonts w:ascii="Arial" w:eastAsia="Calibri" w:hAnsi="Arial" w:cs="Arial"/>
        </w:rPr>
        <w:t>5</w:t>
      </w:r>
      <w:r w:rsidRPr="003A2F86">
        <w:rPr>
          <w:rFonts w:ascii="Arial" w:eastAsia="Calibri" w:hAnsi="Arial" w:cs="Arial"/>
        </w:rPr>
        <w:t xml:space="preserve">. godine u iznosu </w:t>
      </w:r>
      <w:r w:rsidR="009221B5">
        <w:rPr>
          <w:rFonts w:ascii="Arial" w:eastAsia="Calibri" w:hAnsi="Arial" w:cs="Arial"/>
          <w:b/>
          <w:bCs/>
        </w:rPr>
        <w:t>10.341.887,93</w:t>
      </w:r>
      <w:r w:rsidRPr="003A2F86">
        <w:rPr>
          <w:rFonts w:ascii="Arial" w:eastAsia="Calibri" w:hAnsi="Arial" w:cs="Arial"/>
          <w:b/>
          <w:bCs/>
        </w:rPr>
        <w:t xml:space="preserve"> €</w:t>
      </w:r>
      <w:r w:rsidRPr="003A2F86">
        <w:rPr>
          <w:rFonts w:ascii="Arial" w:eastAsia="Calibri" w:hAnsi="Arial" w:cs="Arial"/>
        </w:rPr>
        <w:t xml:space="preserve"> prikazana je u </w:t>
      </w:r>
      <w:r w:rsidR="009C5DA3" w:rsidRPr="003A2F86">
        <w:rPr>
          <w:rFonts w:ascii="Arial" w:eastAsia="Calibri" w:hAnsi="Arial" w:cs="Arial"/>
        </w:rPr>
        <w:t xml:space="preserve">okviru točke </w:t>
      </w:r>
      <w:hyperlink w:anchor="_2.3.2.__RASHODI" w:history="1">
        <w:r w:rsidR="009C5DA3" w:rsidRPr="00B356F8">
          <w:rPr>
            <w:rStyle w:val="Hiperveza"/>
            <w:rFonts w:ascii="Arial" w:eastAsia="Calibri" w:hAnsi="Arial" w:cs="Arial"/>
            <w:b/>
            <w:bCs/>
            <w:i/>
            <w:iCs/>
          </w:rPr>
          <w:t xml:space="preserve">2.3. SAŽETAK – IZVRŠENJE PRORAČUNA SIJEČANJ – </w:t>
        </w:r>
        <w:r w:rsidR="009221B5">
          <w:rPr>
            <w:rStyle w:val="Hiperveza"/>
            <w:rFonts w:ascii="Arial" w:eastAsia="Calibri" w:hAnsi="Arial" w:cs="Arial"/>
            <w:b/>
            <w:bCs/>
            <w:i/>
            <w:iCs/>
          </w:rPr>
          <w:t>LIPANJ</w:t>
        </w:r>
        <w:r w:rsidR="009C5DA3" w:rsidRPr="00B356F8">
          <w:rPr>
            <w:rStyle w:val="Hiperveza"/>
            <w:rFonts w:ascii="Arial" w:eastAsia="Calibri" w:hAnsi="Arial" w:cs="Arial"/>
            <w:b/>
            <w:bCs/>
            <w:i/>
            <w:iCs/>
          </w:rPr>
          <w:t xml:space="preserve"> 202</w:t>
        </w:r>
        <w:r w:rsidR="009221B5">
          <w:rPr>
            <w:rStyle w:val="Hiperveza"/>
            <w:rFonts w:ascii="Arial" w:eastAsia="Calibri" w:hAnsi="Arial" w:cs="Arial"/>
            <w:b/>
            <w:bCs/>
            <w:i/>
            <w:iCs/>
          </w:rPr>
          <w:t>5</w:t>
        </w:r>
        <w:r w:rsidR="009C5DA3" w:rsidRPr="00B356F8">
          <w:rPr>
            <w:rStyle w:val="Hiperveza"/>
            <w:rFonts w:ascii="Arial" w:eastAsia="Calibri" w:hAnsi="Arial" w:cs="Arial"/>
            <w:b/>
            <w:bCs/>
            <w:i/>
            <w:iCs/>
          </w:rPr>
          <w:t>., 2.3.2. RASHODI I IZDACI</w:t>
        </w:r>
      </w:hyperlink>
      <w:r w:rsidR="009C5DA3" w:rsidRPr="00B356F8">
        <w:rPr>
          <w:rFonts w:ascii="Arial" w:eastAsia="Calibri" w:hAnsi="Arial" w:cs="Arial"/>
          <w:b/>
          <w:bCs/>
          <w:i/>
          <w:iCs/>
        </w:rPr>
        <w:t>,</w:t>
      </w:r>
      <w:r w:rsidR="009C5DA3" w:rsidRPr="003A2F86">
        <w:rPr>
          <w:rFonts w:ascii="Arial" w:eastAsia="Calibri" w:hAnsi="Arial" w:cs="Arial"/>
          <w:color w:val="FF0000"/>
        </w:rPr>
        <w:t xml:space="preserve"> </w:t>
      </w:r>
      <w:r w:rsidRPr="003A2F86">
        <w:rPr>
          <w:rFonts w:ascii="Arial" w:eastAsia="Calibri" w:hAnsi="Arial" w:cs="Arial"/>
        </w:rPr>
        <w:t>putem</w:t>
      </w:r>
      <w:r w:rsidR="009C5DA3" w:rsidRPr="003A2F86">
        <w:rPr>
          <w:rFonts w:ascii="Arial" w:eastAsia="Calibri" w:hAnsi="Arial" w:cs="Arial"/>
        </w:rPr>
        <w:t xml:space="preserve"> </w:t>
      </w:r>
      <w:r w:rsidR="009C5DA3" w:rsidRPr="003A2F86">
        <w:rPr>
          <w:rFonts w:ascii="Arial" w:eastAsia="Calibri" w:hAnsi="Arial" w:cs="Arial"/>
          <w:b/>
          <w:bCs/>
          <w:color w:val="FF0000"/>
        </w:rPr>
        <w:t>Graf</w:t>
      </w:r>
      <w:r w:rsidRPr="003A2F86">
        <w:rPr>
          <w:rFonts w:ascii="Arial" w:eastAsia="Calibri" w:hAnsi="Arial" w:cs="Arial"/>
          <w:b/>
          <w:bCs/>
          <w:color w:val="FF0000"/>
        </w:rPr>
        <w:t>a</w:t>
      </w:r>
      <w:r w:rsidR="009C5DA3" w:rsidRPr="003A2F86">
        <w:rPr>
          <w:rFonts w:ascii="Arial" w:eastAsia="Calibri" w:hAnsi="Arial" w:cs="Arial"/>
          <w:b/>
          <w:bCs/>
          <w:color w:val="FF0000"/>
        </w:rPr>
        <w:t xml:space="preserve"> 10.</w:t>
      </w:r>
      <w:r w:rsidR="00951B98" w:rsidRPr="00B356F8">
        <w:rPr>
          <w:rFonts w:ascii="Arial" w:eastAsia="Calibri" w:hAnsi="Arial" w:cs="Arial"/>
          <w:b/>
          <w:bCs/>
          <w:i/>
          <w:iCs/>
        </w:rPr>
        <w:t>:</w:t>
      </w:r>
      <w:r w:rsidR="009C5DA3" w:rsidRPr="003A2F86">
        <w:rPr>
          <w:rFonts w:ascii="Arial" w:eastAsia="Calibri" w:hAnsi="Arial" w:cs="Arial"/>
          <w:b/>
          <w:bCs/>
          <w:i/>
          <w:iCs/>
        </w:rPr>
        <w:t xml:space="preserve"> Struktura izvršenih rashoda i izdataka u 202</w:t>
      </w:r>
      <w:r w:rsidR="000D4AAF">
        <w:rPr>
          <w:rFonts w:ascii="Arial" w:eastAsia="Calibri" w:hAnsi="Arial" w:cs="Arial"/>
          <w:b/>
          <w:bCs/>
          <w:i/>
          <w:iCs/>
        </w:rPr>
        <w:t>5</w:t>
      </w:r>
      <w:r w:rsidR="009C5DA3" w:rsidRPr="003A2F86">
        <w:rPr>
          <w:rFonts w:ascii="Arial" w:eastAsia="Calibri" w:hAnsi="Arial" w:cs="Arial"/>
          <w:b/>
          <w:bCs/>
          <w:i/>
          <w:iCs/>
        </w:rPr>
        <w:t>. po ekonomskoj klasifikaciji</w:t>
      </w:r>
      <w:r w:rsidR="007A5571" w:rsidRPr="003A2F86">
        <w:rPr>
          <w:rFonts w:ascii="Arial" w:eastAsia="Calibri" w:hAnsi="Arial" w:cs="Arial"/>
          <w:b/>
          <w:bCs/>
          <w:i/>
          <w:iCs/>
        </w:rPr>
        <w:t xml:space="preserve"> (€)</w:t>
      </w:r>
      <w:r w:rsidR="009C5DA3" w:rsidRPr="003A2F86">
        <w:rPr>
          <w:rFonts w:ascii="Arial" w:eastAsia="Calibri" w:hAnsi="Arial" w:cs="Arial"/>
          <w:b/>
          <w:bCs/>
          <w:i/>
          <w:iCs/>
        </w:rPr>
        <w:t xml:space="preserve">: </w:t>
      </w:r>
      <w:r w:rsidR="007A5571" w:rsidRPr="003A2F86">
        <w:rPr>
          <w:rFonts w:ascii="Arial" w:eastAsia="Calibri" w:hAnsi="Arial" w:cs="Arial"/>
          <w:b/>
          <w:bCs/>
          <w:i/>
          <w:iCs/>
        </w:rPr>
        <w:t xml:space="preserve">sveukupno </w:t>
      </w:r>
      <w:r w:rsidR="009C5DA3" w:rsidRPr="003A2F86">
        <w:rPr>
          <w:rFonts w:ascii="Arial" w:eastAsia="Calibri" w:hAnsi="Arial" w:cs="Arial"/>
          <w:b/>
          <w:bCs/>
          <w:i/>
          <w:iCs/>
        </w:rPr>
        <w:t>Općina i proračunski korisnici.</w:t>
      </w:r>
    </w:p>
    <w:p w14:paraId="0E27E0FF" w14:textId="77777777" w:rsidR="009C5DA3" w:rsidRPr="003A2F86" w:rsidRDefault="009C5DA3" w:rsidP="001C1BB7">
      <w:pPr>
        <w:spacing w:after="0" w:line="240" w:lineRule="auto"/>
        <w:jc w:val="both"/>
        <w:rPr>
          <w:rFonts w:ascii="Arial" w:eastAsia="Calibri" w:hAnsi="Arial" w:cs="Arial"/>
        </w:rPr>
      </w:pPr>
    </w:p>
    <w:p w14:paraId="0C871B46" w14:textId="67FA9DC4" w:rsidR="001C1BB7" w:rsidRPr="003A2F86" w:rsidRDefault="00951B98" w:rsidP="001C1BB7">
      <w:pPr>
        <w:spacing w:after="0" w:line="240" w:lineRule="auto"/>
        <w:jc w:val="both"/>
        <w:rPr>
          <w:rFonts w:ascii="Arial" w:eastAsia="Calibri" w:hAnsi="Arial" w:cs="Arial"/>
          <w:iCs/>
        </w:rPr>
      </w:pPr>
      <w:r w:rsidRPr="003A2F86">
        <w:rPr>
          <w:rFonts w:ascii="Arial" w:eastAsia="Calibri" w:hAnsi="Arial" w:cs="Arial"/>
          <w:iCs/>
        </w:rPr>
        <w:t xml:space="preserve">Rashodi za </w:t>
      </w:r>
      <w:r w:rsidR="001C1BB7" w:rsidRPr="003A2F86">
        <w:rPr>
          <w:rFonts w:ascii="Arial" w:eastAsia="Calibri" w:hAnsi="Arial" w:cs="Arial"/>
          <w:iCs/>
        </w:rPr>
        <w:t>202</w:t>
      </w:r>
      <w:r w:rsidR="009221B5">
        <w:rPr>
          <w:rFonts w:ascii="Arial" w:eastAsia="Calibri" w:hAnsi="Arial" w:cs="Arial"/>
          <w:iCs/>
        </w:rPr>
        <w:t>5</w:t>
      </w:r>
      <w:r w:rsidR="001C1BB7" w:rsidRPr="003A2F86">
        <w:rPr>
          <w:rFonts w:ascii="Arial" w:eastAsia="Calibri" w:hAnsi="Arial" w:cs="Arial"/>
          <w:iCs/>
        </w:rPr>
        <w:t xml:space="preserve">. u okviru </w:t>
      </w:r>
      <w:r w:rsidR="001C1BB7" w:rsidRPr="003A2F86">
        <w:rPr>
          <w:rFonts w:ascii="Arial" w:eastAsia="Calibri" w:hAnsi="Arial" w:cs="Arial"/>
          <w:b/>
          <w:iCs/>
        </w:rPr>
        <w:t xml:space="preserve">razdjela 010 (Općinsko vijeće i načelnik) </w:t>
      </w:r>
      <w:r w:rsidRPr="003A2F86">
        <w:rPr>
          <w:rFonts w:ascii="Arial" w:eastAsia="Calibri" w:hAnsi="Arial" w:cs="Arial"/>
          <w:bCs/>
          <w:iCs/>
        </w:rPr>
        <w:t xml:space="preserve">izvršavaju se </w:t>
      </w:r>
      <w:r w:rsidR="001C1BB7" w:rsidRPr="003A2F86">
        <w:rPr>
          <w:rFonts w:ascii="Arial" w:eastAsia="Calibri" w:hAnsi="Arial" w:cs="Arial"/>
          <w:iCs/>
        </w:rPr>
        <w:t>putem dvije</w:t>
      </w:r>
      <w:r w:rsidR="001C1BB7" w:rsidRPr="003A2F86">
        <w:rPr>
          <w:rFonts w:ascii="Arial" w:eastAsia="Calibri" w:hAnsi="Arial" w:cs="Arial"/>
          <w:b/>
          <w:iCs/>
        </w:rPr>
        <w:t xml:space="preserve"> </w:t>
      </w:r>
      <w:r w:rsidR="001C1BB7" w:rsidRPr="003A2F86">
        <w:rPr>
          <w:rFonts w:ascii="Arial" w:eastAsia="Calibri" w:hAnsi="Arial" w:cs="Arial"/>
          <w:iCs/>
        </w:rPr>
        <w:t xml:space="preserve">glave, planirani su u iznosu </w:t>
      </w:r>
      <w:r w:rsidR="009221B5">
        <w:rPr>
          <w:rFonts w:ascii="Arial" w:eastAsia="Calibri" w:hAnsi="Arial" w:cs="Arial"/>
          <w:iCs/>
        </w:rPr>
        <w:t>314.200</w:t>
      </w:r>
      <w:r w:rsidR="001C1BB7" w:rsidRPr="003A2F86">
        <w:rPr>
          <w:rFonts w:ascii="Arial" w:eastAsia="Calibri" w:hAnsi="Arial" w:cs="Arial"/>
          <w:iCs/>
        </w:rPr>
        <w:t xml:space="preserve"> </w:t>
      </w:r>
      <w:r w:rsidR="00A8066C" w:rsidRPr="003A2F86">
        <w:rPr>
          <w:rFonts w:ascii="Arial" w:eastAsia="Calibri" w:hAnsi="Arial" w:cs="Arial"/>
          <w:iCs/>
        </w:rPr>
        <w:t>€</w:t>
      </w:r>
      <w:r w:rsidR="001C1BB7" w:rsidRPr="003A2F86">
        <w:rPr>
          <w:rFonts w:ascii="Arial" w:eastAsia="Calibri" w:hAnsi="Arial" w:cs="Arial"/>
          <w:iCs/>
        </w:rPr>
        <w:t xml:space="preserve">, </w:t>
      </w:r>
      <w:r w:rsidRPr="003A2F86">
        <w:rPr>
          <w:rFonts w:ascii="Arial" w:eastAsia="Calibri" w:hAnsi="Arial" w:cs="Arial"/>
          <w:iCs/>
        </w:rPr>
        <w:t xml:space="preserve">a </w:t>
      </w:r>
      <w:r w:rsidR="00A8066C" w:rsidRPr="003A2F86">
        <w:rPr>
          <w:rFonts w:ascii="Arial" w:eastAsia="Calibri" w:hAnsi="Arial" w:cs="Arial"/>
          <w:iCs/>
        </w:rPr>
        <w:t xml:space="preserve">izvršeni su u iznosu </w:t>
      </w:r>
      <w:r w:rsidR="009221B5">
        <w:rPr>
          <w:rFonts w:ascii="Arial" w:eastAsia="Calibri" w:hAnsi="Arial" w:cs="Arial"/>
          <w:iCs/>
        </w:rPr>
        <w:t>100.341,83</w:t>
      </w:r>
      <w:r w:rsidR="00A8066C" w:rsidRPr="003A2F86">
        <w:rPr>
          <w:rFonts w:ascii="Arial" w:eastAsia="Calibri" w:hAnsi="Arial" w:cs="Arial"/>
          <w:iCs/>
        </w:rPr>
        <w:t xml:space="preserve"> € ili </w:t>
      </w:r>
      <w:r w:rsidR="009221B5">
        <w:rPr>
          <w:rFonts w:ascii="Arial" w:eastAsia="Calibri" w:hAnsi="Arial" w:cs="Arial"/>
          <w:iCs/>
        </w:rPr>
        <w:t>31,9</w:t>
      </w:r>
      <w:r w:rsidR="00A8066C" w:rsidRPr="003A2F86">
        <w:rPr>
          <w:rFonts w:ascii="Arial" w:eastAsia="Calibri" w:hAnsi="Arial" w:cs="Arial"/>
          <w:iCs/>
        </w:rPr>
        <w:t xml:space="preserve"> %</w:t>
      </w:r>
      <w:r w:rsidR="001C1BB7" w:rsidRPr="003A2F86">
        <w:rPr>
          <w:rFonts w:ascii="Arial" w:eastAsia="Calibri" w:hAnsi="Arial" w:cs="Arial"/>
          <w:iCs/>
        </w:rPr>
        <w:t>. Vrijednosno najznačajniji rashodi odnose se na rashode za plaće načelnika (31)</w:t>
      </w:r>
      <w:r w:rsidR="009221B5">
        <w:rPr>
          <w:rFonts w:ascii="Arial" w:eastAsia="Calibri" w:hAnsi="Arial" w:cs="Arial"/>
          <w:iCs/>
        </w:rPr>
        <w:t xml:space="preserve">, te naknade </w:t>
      </w:r>
      <w:r w:rsidR="0028678E">
        <w:rPr>
          <w:rFonts w:ascii="Arial" w:eastAsia="Calibri" w:hAnsi="Arial" w:cs="Arial"/>
          <w:iCs/>
        </w:rPr>
        <w:t>za provedbu lokalnih izbora (32)</w:t>
      </w:r>
      <w:r w:rsidR="001C1BB7" w:rsidRPr="003A2F86">
        <w:rPr>
          <w:rFonts w:ascii="Arial" w:eastAsia="Calibri" w:hAnsi="Arial" w:cs="Arial"/>
          <w:iCs/>
        </w:rPr>
        <w:t>.</w:t>
      </w:r>
    </w:p>
    <w:p w14:paraId="362DF4F8" w14:textId="77777777" w:rsidR="001C1BB7" w:rsidRPr="003A2F86" w:rsidRDefault="001C1BB7" w:rsidP="001C1BB7">
      <w:pPr>
        <w:spacing w:after="0" w:line="240" w:lineRule="auto"/>
        <w:jc w:val="both"/>
        <w:rPr>
          <w:rFonts w:ascii="Arial" w:eastAsia="Calibri" w:hAnsi="Arial" w:cs="Arial"/>
          <w:iCs/>
        </w:rPr>
      </w:pPr>
    </w:p>
    <w:p w14:paraId="78F16358" w14:textId="5587789A" w:rsidR="00984893" w:rsidRPr="003A2F86" w:rsidRDefault="00951B98" w:rsidP="001C1BB7">
      <w:pPr>
        <w:spacing w:after="0" w:line="240" w:lineRule="auto"/>
        <w:jc w:val="both"/>
        <w:rPr>
          <w:rFonts w:ascii="Arial" w:eastAsia="Calibri" w:hAnsi="Arial" w:cs="Arial"/>
          <w:iCs/>
        </w:rPr>
      </w:pPr>
      <w:r w:rsidRPr="003A2F86">
        <w:rPr>
          <w:rFonts w:ascii="Arial" w:eastAsia="Calibri" w:hAnsi="Arial" w:cs="Arial"/>
          <w:iCs/>
        </w:rPr>
        <w:t>Rashodi z</w:t>
      </w:r>
      <w:r w:rsidR="001C1BB7" w:rsidRPr="003A2F86">
        <w:rPr>
          <w:rFonts w:ascii="Arial" w:eastAsia="Calibri" w:hAnsi="Arial" w:cs="Arial"/>
          <w:iCs/>
        </w:rPr>
        <w:t>a 20</w:t>
      </w:r>
      <w:r w:rsidR="0028678E">
        <w:rPr>
          <w:rFonts w:ascii="Arial" w:eastAsia="Calibri" w:hAnsi="Arial" w:cs="Arial"/>
          <w:iCs/>
        </w:rPr>
        <w:t>25</w:t>
      </w:r>
      <w:r w:rsidR="001C1BB7" w:rsidRPr="003A2F86">
        <w:rPr>
          <w:rFonts w:ascii="Arial" w:eastAsia="Calibri" w:hAnsi="Arial" w:cs="Arial"/>
          <w:iCs/>
        </w:rPr>
        <w:t xml:space="preserve">. u okviru </w:t>
      </w:r>
      <w:r w:rsidR="001C1BB7" w:rsidRPr="003A2F86">
        <w:rPr>
          <w:rFonts w:ascii="Arial" w:eastAsia="Calibri" w:hAnsi="Arial" w:cs="Arial"/>
          <w:b/>
          <w:iCs/>
        </w:rPr>
        <w:t>razdjela 020 (Upravni odjel za opće poslove, mjesnu samoupravu i društvene djelatnosti)</w:t>
      </w:r>
      <w:r w:rsidR="001C1BB7" w:rsidRPr="003A2F86">
        <w:rPr>
          <w:rFonts w:ascii="Arial" w:eastAsia="Calibri" w:hAnsi="Arial" w:cs="Arial"/>
          <w:iCs/>
        </w:rPr>
        <w:t xml:space="preserve"> </w:t>
      </w:r>
      <w:r w:rsidRPr="003A2F86">
        <w:rPr>
          <w:rFonts w:ascii="Arial" w:eastAsia="Calibri" w:hAnsi="Arial" w:cs="Arial"/>
          <w:iCs/>
        </w:rPr>
        <w:t xml:space="preserve">izvršavaju se </w:t>
      </w:r>
      <w:r w:rsidR="001C1BB7" w:rsidRPr="003A2F86">
        <w:rPr>
          <w:rFonts w:ascii="Arial" w:eastAsia="Calibri" w:hAnsi="Arial" w:cs="Arial"/>
          <w:iCs/>
        </w:rPr>
        <w:t xml:space="preserve">putem četiri glave, planirani </w:t>
      </w:r>
      <w:r w:rsidRPr="003A2F86">
        <w:rPr>
          <w:rFonts w:ascii="Arial" w:eastAsia="Calibri" w:hAnsi="Arial" w:cs="Arial"/>
          <w:iCs/>
        </w:rPr>
        <w:t xml:space="preserve">su </w:t>
      </w:r>
      <w:r w:rsidR="001C1BB7" w:rsidRPr="003A2F86">
        <w:rPr>
          <w:rFonts w:ascii="Arial" w:eastAsia="Calibri" w:hAnsi="Arial" w:cs="Arial"/>
          <w:iCs/>
        </w:rPr>
        <w:t xml:space="preserve">u iznosu </w:t>
      </w:r>
      <w:r w:rsidR="0028678E">
        <w:rPr>
          <w:rFonts w:ascii="Arial" w:eastAsia="Calibri" w:hAnsi="Arial" w:cs="Arial"/>
          <w:iCs/>
        </w:rPr>
        <w:t>9.437.266</w:t>
      </w:r>
      <w:r w:rsidR="00A8066C" w:rsidRPr="003A2F86">
        <w:rPr>
          <w:rFonts w:ascii="Arial" w:eastAsia="Calibri" w:hAnsi="Arial" w:cs="Arial"/>
          <w:iCs/>
        </w:rPr>
        <w:t xml:space="preserve"> €</w:t>
      </w:r>
      <w:r w:rsidR="001C1BB7" w:rsidRPr="003A2F86">
        <w:rPr>
          <w:rFonts w:ascii="Arial" w:eastAsia="Calibri" w:hAnsi="Arial" w:cs="Arial"/>
          <w:iCs/>
        </w:rPr>
        <w:t xml:space="preserve">, </w:t>
      </w:r>
      <w:r w:rsidR="00A8066C" w:rsidRPr="003A2F86">
        <w:rPr>
          <w:rFonts w:ascii="Arial" w:eastAsia="Calibri" w:hAnsi="Arial" w:cs="Arial"/>
          <w:iCs/>
        </w:rPr>
        <w:t xml:space="preserve">a izvršeni su u iznosu </w:t>
      </w:r>
      <w:r w:rsidR="0028678E">
        <w:rPr>
          <w:rFonts w:ascii="Arial" w:eastAsia="Calibri" w:hAnsi="Arial" w:cs="Arial"/>
          <w:iCs/>
        </w:rPr>
        <w:t>4.024.141,13</w:t>
      </w:r>
      <w:r w:rsidR="00A8066C" w:rsidRPr="003A2F86">
        <w:rPr>
          <w:rFonts w:ascii="Arial" w:eastAsia="Calibri" w:hAnsi="Arial" w:cs="Arial"/>
          <w:iCs/>
        </w:rPr>
        <w:t xml:space="preserve"> €</w:t>
      </w:r>
      <w:r w:rsidR="001C1BB7" w:rsidRPr="003A2F86">
        <w:rPr>
          <w:rFonts w:ascii="Arial" w:eastAsia="Calibri" w:hAnsi="Arial" w:cs="Arial"/>
          <w:iCs/>
        </w:rPr>
        <w:t>.</w:t>
      </w:r>
      <w:r w:rsidR="00984893" w:rsidRPr="003A2F86">
        <w:rPr>
          <w:rFonts w:ascii="Arial" w:eastAsia="Calibri" w:hAnsi="Arial" w:cs="Arial"/>
          <w:iCs/>
        </w:rPr>
        <w:t xml:space="preserve"> </w:t>
      </w:r>
    </w:p>
    <w:p w14:paraId="67D05DFE" w14:textId="5F7D15C9" w:rsidR="001C1BB7" w:rsidRPr="003A2F86" w:rsidRDefault="001C1BB7" w:rsidP="001C1BB7">
      <w:pPr>
        <w:spacing w:after="0" w:line="240" w:lineRule="auto"/>
        <w:jc w:val="both"/>
        <w:rPr>
          <w:rFonts w:ascii="Arial" w:eastAsia="Calibri" w:hAnsi="Arial" w:cs="Arial"/>
          <w:iCs/>
        </w:rPr>
      </w:pPr>
      <w:r w:rsidRPr="003A2F86">
        <w:rPr>
          <w:rFonts w:ascii="Arial" w:eastAsia="Calibri" w:hAnsi="Arial" w:cs="Arial"/>
          <w:iCs/>
        </w:rPr>
        <w:t>Vrijednosno najznačajniji rashodi i izdaci glave 02002 (UO za opće poslove, mjesnu samoupravu i društvene djelatnosti) se odnose na rashode za bruto plaće (31) zaposlenika općinske uprave, rashode za usluge (323), naknade građanima i kućanstvima iz proračuna (372) i donacije (381).</w:t>
      </w:r>
    </w:p>
    <w:p w14:paraId="3FB2BD87" w14:textId="77777777" w:rsidR="001C1BB7" w:rsidRPr="003A2F86" w:rsidRDefault="001C1BB7" w:rsidP="001C1BB7">
      <w:pPr>
        <w:spacing w:after="0" w:line="240" w:lineRule="auto"/>
        <w:jc w:val="both"/>
        <w:rPr>
          <w:rFonts w:ascii="Arial" w:eastAsia="Calibri" w:hAnsi="Arial" w:cs="Arial"/>
          <w:iCs/>
        </w:rPr>
      </w:pPr>
      <w:r w:rsidRPr="003A2F86">
        <w:rPr>
          <w:rFonts w:ascii="Arial" w:eastAsia="Calibri" w:hAnsi="Arial" w:cs="Arial"/>
          <w:iCs/>
        </w:rPr>
        <w:t>Vrijednosno najznačajniji rashodi i izdaci u okviru glave 02003 (Ustanova u kulturi) se odnose na rashode za materijalne rashode (32) putem raznih projekata, te na rashode za zaposlene / plaće javne ustanove u kulturi (31).</w:t>
      </w:r>
    </w:p>
    <w:p w14:paraId="471DBF3B" w14:textId="77777777" w:rsidR="001C1BB7" w:rsidRPr="003A2F86" w:rsidRDefault="001C1BB7" w:rsidP="001C1BB7">
      <w:pPr>
        <w:spacing w:after="0" w:line="240" w:lineRule="auto"/>
        <w:jc w:val="both"/>
        <w:rPr>
          <w:rFonts w:ascii="Arial" w:eastAsia="Calibri" w:hAnsi="Arial" w:cs="Arial"/>
          <w:iCs/>
        </w:rPr>
      </w:pPr>
      <w:r w:rsidRPr="003A2F86">
        <w:rPr>
          <w:rFonts w:ascii="Arial" w:eastAsia="Calibri" w:hAnsi="Arial" w:cs="Arial"/>
          <w:iCs/>
        </w:rPr>
        <w:t>Vrijednosno najznačajniji rashodi i izdaci u okviru glave 02004 (Ustanova predškolskog odgoja) se odnose na plaće dječjeg vrtića (31), te materijalne rashode (32).</w:t>
      </w:r>
    </w:p>
    <w:p w14:paraId="5B3E1672" w14:textId="77777777" w:rsidR="001C1BB7" w:rsidRPr="003A2F86" w:rsidRDefault="001C1BB7" w:rsidP="001C1BB7">
      <w:pPr>
        <w:spacing w:after="0" w:line="240" w:lineRule="auto"/>
        <w:jc w:val="both"/>
        <w:rPr>
          <w:rFonts w:ascii="Arial" w:eastAsia="Calibri" w:hAnsi="Arial" w:cs="Arial"/>
          <w:iCs/>
        </w:rPr>
      </w:pPr>
      <w:r w:rsidRPr="003A2F86">
        <w:rPr>
          <w:rFonts w:ascii="Arial" w:eastAsia="Calibri" w:hAnsi="Arial" w:cs="Arial"/>
          <w:iCs/>
        </w:rPr>
        <w:t xml:space="preserve">Vrijednosno najznačajniji rashodi i izdaci u okviru glave 02005 (Ustanova socijalne skrbi) se odnose na plaće ustanove (31). </w:t>
      </w:r>
    </w:p>
    <w:p w14:paraId="77EFEF59" w14:textId="77777777" w:rsidR="001C1BB7" w:rsidRPr="003A2F86" w:rsidRDefault="001C1BB7" w:rsidP="001C1BB7">
      <w:pPr>
        <w:spacing w:after="0" w:line="240" w:lineRule="auto"/>
        <w:jc w:val="both"/>
        <w:rPr>
          <w:rFonts w:ascii="Arial" w:eastAsia="Calibri" w:hAnsi="Arial" w:cs="Arial"/>
          <w:iCs/>
        </w:rPr>
      </w:pPr>
    </w:p>
    <w:p w14:paraId="4ABE24AA" w14:textId="55F69921" w:rsidR="001C1BB7" w:rsidRPr="003A2F86" w:rsidRDefault="00951B98" w:rsidP="001C1BB7">
      <w:pPr>
        <w:spacing w:after="0" w:line="240" w:lineRule="auto"/>
        <w:jc w:val="both"/>
        <w:rPr>
          <w:rFonts w:ascii="Arial" w:eastAsia="Calibri" w:hAnsi="Arial" w:cs="Arial"/>
          <w:iCs/>
        </w:rPr>
      </w:pPr>
      <w:r w:rsidRPr="003A2F86">
        <w:rPr>
          <w:rFonts w:ascii="Arial" w:eastAsia="Calibri" w:hAnsi="Arial" w:cs="Arial"/>
          <w:iCs/>
        </w:rPr>
        <w:t>Rashodi za 2</w:t>
      </w:r>
      <w:r w:rsidR="001C1BB7" w:rsidRPr="003A2F86">
        <w:rPr>
          <w:rFonts w:ascii="Arial" w:eastAsia="Calibri" w:hAnsi="Arial" w:cs="Arial"/>
          <w:iCs/>
        </w:rPr>
        <w:t>02</w:t>
      </w:r>
      <w:r w:rsidR="0028678E">
        <w:rPr>
          <w:rFonts w:ascii="Arial" w:eastAsia="Calibri" w:hAnsi="Arial" w:cs="Arial"/>
          <w:iCs/>
        </w:rPr>
        <w:t>5</w:t>
      </w:r>
      <w:r w:rsidR="001C1BB7" w:rsidRPr="003A2F86">
        <w:rPr>
          <w:rFonts w:ascii="Arial" w:eastAsia="Calibri" w:hAnsi="Arial" w:cs="Arial"/>
          <w:iCs/>
        </w:rPr>
        <w:t xml:space="preserve">. u okviru </w:t>
      </w:r>
      <w:r w:rsidR="001C1BB7" w:rsidRPr="003A2F86">
        <w:rPr>
          <w:rFonts w:ascii="Arial" w:eastAsia="Calibri" w:hAnsi="Arial" w:cs="Arial"/>
          <w:b/>
          <w:iCs/>
        </w:rPr>
        <w:t xml:space="preserve">razdjela 030 (Upravni odjel za </w:t>
      </w:r>
      <w:r w:rsidR="0061197D" w:rsidRPr="003A2F86">
        <w:rPr>
          <w:rFonts w:ascii="Arial" w:eastAsia="Calibri" w:hAnsi="Arial" w:cs="Arial"/>
          <w:b/>
          <w:iCs/>
        </w:rPr>
        <w:t xml:space="preserve">prostorno uređenje, zaštitu okoliša, </w:t>
      </w:r>
      <w:r w:rsidR="001C1BB7" w:rsidRPr="003A2F86">
        <w:rPr>
          <w:rFonts w:ascii="Arial" w:eastAsia="Calibri" w:hAnsi="Arial" w:cs="Arial"/>
          <w:b/>
          <w:iCs/>
        </w:rPr>
        <w:t>komunalni sustav i gospodarenje nekretninama)</w:t>
      </w:r>
      <w:r w:rsidR="001C1BB7" w:rsidRPr="003A2F86">
        <w:rPr>
          <w:rFonts w:ascii="Arial" w:eastAsia="Calibri" w:hAnsi="Arial" w:cs="Arial"/>
          <w:iCs/>
        </w:rPr>
        <w:t xml:space="preserve"> </w:t>
      </w:r>
      <w:r w:rsidRPr="003A2F86">
        <w:rPr>
          <w:rFonts w:ascii="Arial" w:eastAsia="Calibri" w:hAnsi="Arial" w:cs="Arial"/>
          <w:iCs/>
        </w:rPr>
        <w:t xml:space="preserve">izvršavaju se </w:t>
      </w:r>
      <w:r w:rsidR="001C1BB7" w:rsidRPr="003A2F86">
        <w:rPr>
          <w:rFonts w:ascii="Arial" w:eastAsia="Calibri" w:hAnsi="Arial" w:cs="Arial"/>
          <w:iCs/>
        </w:rPr>
        <w:t xml:space="preserve">putem dvije glave, planirani </w:t>
      </w:r>
      <w:r w:rsidRPr="003A2F86">
        <w:rPr>
          <w:rFonts w:ascii="Arial" w:eastAsia="Calibri" w:hAnsi="Arial" w:cs="Arial"/>
          <w:iCs/>
        </w:rPr>
        <w:t xml:space="preserve">su </w:t>
      </w:r>
      <w:r w:rsidR="001C1BB7" w:rsidRPr="003A2F86">
        <w:rPr>
          <w:rFonts w:ascii="Arial" w:eastAsia="Calibri" w:hAnsi="Arial" w:cs="Arial"/>
          <w:iCs/>
        </w:rPr>
        <w:t xml:space="preserve">u iznosu </w:t>
      </w:r>
      <w:r w:rsidR="0028678E">
        <w:rPr>
          <w:rFonts w:ascii="Arial" w:eastAsia="Calibri" w:hAnsi="Arial" w:cs="Arial"/>
          <w:iCs/>
        </w:rPr>
        <w:t>28.182.234</w:t>
      </w:r>
      <w:r w:rsidR="00A8066C" w:rsidRPr="003A2F86">
        <w:rPr>
          <w:rFonts w:ascii="Arial" w:eastAsia="Calibri" w:hAnsi="Arial" w:cs="Arial"/>
          <w:iCs/>
        </w:rPr>
        <w:t xml:space="preserve"> €</w:t>
      </w:r>
      <w:r w:rsidR="001C1BB7" w:rsidRPr="003A2F86">
        <w:rPr>
          <w:rFonts w:ascii="Arial" w:eastAsia="Calibri" w:hAnsi="Arial" w:cs="Arial"/>
          <w:iCs/>
        </w:rPr>
        <w:t xml:space="preserve">, </w:t>
      </w:r>
      <w:r w:rsidR="00A8066C" w:rsidRPr="003A2F86">
        <w:rPr>
          <w:rFonts w:ascii="Arial" w:eastAsia="Calibri" w:hAnsi="Arial" w:cs="Arial"/>
          <w:iCs/>
        </w:rPr>
        <w:t xml:space="preserve">a izvršeni su u iznosu </w:t>
      </w:r>
      <w:r w:rsidR="0028678E">
        <w:rPr>
          <w:rFonts w:ascii="Arial" w:eastAsia="Calibri" w:hAnsi="Arial" w:cs="Arial"/>
          <w:iCs/>
        </w:rPr>
        <w:t>5.584.135,14</w:t>
      </w:r>
      <w:r w:rsidR="00A8066C" w:rsidRPr="003A2F86">
        <w:rPr>
          <w:rFonts w:ascii="Arial" w:eastAsia="Calibri" w:hAnsi="Arial" w:cs="Arial"/>
          <w:iCs/>
        </w:rPr>
        <w:t xml:space="preserve"> €</w:t>
      </w:r>
      <w:r w:rsidR="001C1BB7" w:rsidRPr="003A2F86">
        <w:rPr>
          <w:rFonts w:ascii="Arial" w:eastAsia="Calibri" w:hAnsi="Arial" w:cs="Arial"/>
          <w:iCs/>
        </w:rPr>
        <w:t xml:space="preserve">. </w:t>
      </w:r>
    </w:p>
    <w:p w14:paraId="7B9166FE" w14:textId="1E1E6BDE" w:rsidR="001C1BB7" w:rsidRPr="003A2F86" w:rsidRDefault="001C1BB7" w:rsidP="001C1BB7">
      <w:pPr>
        <w:spacing w:after="0" w:line="240" w:lineRule="auto"/>
        <w:jc w:val="both"/>
        <w:rPr>
          <w:rFonts w:ascii="Arial" w:eastAsia="Calibri" w:hAnsi="Arial" w:cs="Arial"/>
          <w:iCs/>
        </w:rPr>
      </w:pPr>
      <w:r w:rsidRPr="003A2F86">
        <w:rPr>
          <w:rFonts w:ascii="Arial" w:eastAsia="Calibri" w:hAnsi="Arial" w:cs="Arial"/>
          <w:iCs/>
        </w:rPr>
        <w:t xml:space="preserve">Vrijednosno najznačajniji </w:t>
      </w:r>
      <w:r w:rsidR="008B1962" w:rsidRPr="003A2F86">
        <w:rPr>
          <w:rFonts w:ascii="Arial" w:eastAsia="Calibri" w:hAnsi="Arial" w:cs="Arial"/>
          <w:iCs/>
        </w:rPr>
        <w:t xml:space="preserve">izvršeni </w:t>
      </w:r>
      <w:r w:rsidRPr="003A2F86">
        <w:rPr>
          <w:rFonts w:ascii="Arial" w:eastAsia="Calibri" w:hAnsi="Arial" w:cs="Arial"/>
          <w:iCs/>
        </w:rPr>
        <w:t>rashodi i izdaci u okviru glave 03001 (</w:t>
      </w:r>
      <w:r w:rsidRPr="003A2F86">
        <w:rPr>
          <w:rFonts w:ascii="Arial" w:eastAsia="Calibri" w:hAnsi="Arial" w:cs="Arial"/>
          <w:b/>
          <w:iCs/>
        </w:rPr>
        <w:t xml:space="preserve">UO za </w:t>
      </w:r>
      <w:r w:rsidR="0061197D" w:rsidRPr="003A2F86">
        <w:rPr>
          <w:rFonts w:ascii="Arial" w:eastAsia="Calibri" w:hAnsi="Arial" w:cs="Arial"/>
          <w:b/>
          <w:iCs/>
        </w:rPr>
        <w:t xml:space="preserve">prostorno uređenje, zaštitu okoliša, </w:t>
      </w:r>
      <w:r w:rsidRPr="003A2F86">
        <w:rPr>
          <w:rFonts w:ascii="Arial" w:eastAsia="Calibri" w:hAnsi="Arial" w:cs="Arial"/>
          <w:b/>
          <w:iCs/>
        </w:rPr>
        <w:t>komunalni sustav i gospodarenje nekretninama</w:t>
      </w:r>
      <w:r w:rsidRPr="003A2F86">
        <w:rPr>
          <w:rFonts w:ascii="Arial" w:eastAsia="Calibri" w:hAnsi="Arial" w:cs="Arial"/>
          <w:iCs/>
        </w:rPr>
        <w:t xml:space="preserve">) se odnose na </w:t>
      </w:r>
      <w:r w:rsidR="0028678E">
        <w:rPr>
          <w:rFonts w:ascii="Arial" w:eastAsia="Calibri" w:hAnsi="Arial" w:cs="Arial"/>
          <w:iCs/>
        </w:rPr>
        <w:t xml:space="preserve">rashode za nabavu proizvedene dugotrajne imovine (42) – i to u okviru izgradnje nove osnovne škole, te </w:t>
      </w:r>
      <w:r w:rsidRPr="003A2F86">
        <w:rPr>
          <w:rFonts w:ascii="Arial" w:eastAsia="Calibri" w:hAnsi="Arial" w:cs="Arial"/>
          <w:iCs/>
        </w:rPr>
        <w:t xml:space="preserve">rashode za usluge (323) unutar materijalnih rashoda. Također, u okviru ovog razdjela se </w:t>
      </w:r>
      <w:r w:rsidR="00D16A4D" w:rsidRPr="003A2F86">
        <w:rPr>
          <w:rFonts w:ascii="Arial" w:eastAsia="Calibri" w:hAnsi="Arial" w:cs="Arial"/>
          <w:iCs/>
        </w:rPr>
        <w:t xml:space="preserve">izvršavaju se izdaci </w:t>
      </w:r>
      <w:r w:rsidRPr="003A2F86">
        <w:rPr>
          <w:rFonts w:ascii="Arial" w:eastAsia="Calibri" w:hAnsi="Arial" w:cs="Arial"/>
          <w:iCs/>
        </w:rPr>
        <w:t>za otplatu kredita (54) jer je u okviru ovog razdjela i upravljanje nekretninama.</w:t>
      </w:r>
      <w:r w:rsidR="00C81EA3">
        <w:rPr>
          <w:rFonts w:ascii="Arial" w:eastAsia="Calibri" w:hAnsi="Arial" w:cs="Arial"/>
          <w:iCs/>
        </w:rPr>
        <w:t xml:space="preserve"> </w:t>
      </w:r>
    </w:p>
    <w:p w14:paraId="14292B4B" w14:textId="71C7AC3F" w:rsidR="001C1BB7" w:rsidRPr="003A2F86" w:rsidRDefault="001C1BB7" w:rsidP="001C1BB7">
      <w:pPr>
        <w:spacing w:after="0" w:line="240" w:lineRule="auto"/>
        <w:jc w:val="both"/>
        <w:rPr>
          <w:rFonts w:ascii="Arial" w:eastAsia="Calibri" w:hAnsi="Arial" w:cs="Arial"/>
          <w:iCs/>
        </w:rPr>
      </w:pPr>
      <w:r w:rsidRPr="003A2F86">
        <w:rPr>
          <w:rFonts w:ascii="Arial" w:eastAsia="Calibri" w:hAnsi="Arial" w:cs="Arial"/>
          <w:iCs/>
        </w:rPr>
        <w:t>Vrijednosno najznačajniji rashodi i izdaci glave 03002 (Ustanova za vatrogasnu djelatnost) se odnose na plaće javne vatrogasne postrojbe (31).</w:t>
      </w:r>
    </w:p>
    <w:p w14:paraId="0A6E8A08" w14:textId="77777777" w:rsidR="001C1BB7" w:rsidRPr="003A2F86" w:rsidRDefault="001C1BB7" w:rsidP="001C1BB7">
      <w:pPr>
        <w:spacing w:after="0" w:line="240" w:lineRule="auto"/>
        <w:jc w:val="both"/>
        <w:rPr>
          <w:rFonts w:ascii="Arial" w:eastAsia="Calibri" w:hAnsi="Arial" w:cs="Arial"/>
          <w:iCs/>
        </w:rPr>
      </w:pPr>
    </w:p>
    <w:p w14:paraId="41DE8A70" w14:textId="253A2766" w:rsidR="001C1BB7" w:rsidRPr="003A2F86" w:rsidRDefault="00951B98" w:rsidP="001C1BB7">
      <w:pPr>
        <w:spacing w:after="0" w:line="240" w:lineRule="auto"/>
        <w:jc w:val="both"/>
        <w:rPr>
          <w:rFonts w:ascii="Arial" w:eastAsia="Calibri" w:hAnsi="Arial" w:cs="Arial"/>
          <w:iCs/>
        </w:rPr>
      </w:pPr>
      <w:r w:rsidRPr="003A2F86">
        <w:rPr>
          <w:rFonts w:ascii="Arial" w:eastAsia="Calibri" w:hAnsi="Arial" w:cs="Arial"/>
          <w:iCs/>
        </w:rPr>
        <w:t>Rashodi z</w:t>
      </w:r>
      <w:r w:rsidR="001C1BB7" w:rsidRPr="003A2F86">
        <w:rPr>
          <w:rFonts w:ascii="Arial" w:eastAsia="Calibri" w:hAnsi="Arial" w:cs="Arial"/>
          <w:iCs/>
        </w:rPr>
        <w:t>a 202</w:t>
      </w:r>
      <w:r w:rsidR="0028678E">
        <w:rPr>
          <w:rFonts w:ascii="Arial" w:eastAsia="Calibri" w:hAnsi="Arial" w:cs="Arial"/>
          <w:iCs/>
        </w:rPr>
        <w:t>5</w:t>
      </w:r>
      <w:r w:rsidR="001C1BB7" w:rsidRPr="003A2F86">
        <w:rPr>
          <w:rFonts w:ascii="Arial" w:eastAsia="Calibri" w:hAnsi="Arial" w:cs="Arial"/>
          <w:iCs/>
        </w:rPr>
        <w:t xml:space="preserve">. u okviru </w:t>
      </w:r>
      <w:r w:rsidR="001C1BB7" w:rsidRPr="003A2F86">
        <w:rPr>
          <w:rFonts w:ascii="Arial" w:eastAsia="Calibri" w:hAnsi="Arial" w:cs="Arial"/>
          <w:b/>
          <w:iCs/>
        </w:rPr>
        <w:t>razdjela 040 (Upravni odjel za ruralni razvoj, gospodarstvo i EU fondove)</w:t>
      </w:r>
      <w:r w:rsidR="001C1BB7" w:rsidRPr="003A2F86">
        <w:rPr>
          <w:rFonts w:ascii="Arial" w:eastAsia="Calibri" w:hAnsi="Arial" w:cs="Arial"/>
          <w:iCs/>
        </w:rPr>
        <w:t xml:space="preserve">, </w:t>
      </w:r>
      <w:r w:rsidRPr="003A2F86">
        <w:rPr>
          <w:rFonts w:ascii="Arial" w:eastAsia="Calibri" w:hAnsi="Arial" w:cs="Arial"/>
          <w:iCs/>
        </w:rPr>
        <w:t xml:space="preserve">izvršavaju se </w:t>
      </w:r>
      <w:r w:rsidR="001C1BB7" w:rsidRPr="003A2F86">
        <w:rPr>
          <w:rFonts w:ascii="Arial" w:eastAsia="Calibri" w:hAnsi="Arial" w:cs="Arial"/>
          <w:iCs/>
        </w:rPr>
        <w:t xml:space="preserve">putem jedne glave, planirani </w:t>
      </w:r>
      <w:r w:rsidRPr="003A2F86">
        <w:rPr>
          <w:rFonts w:ascii="Arial" w:eastAsia="Calibri" w:hAnsi="Arial" w:cs="Arial"/>
          <w:iCs/>
        </w:rPr>
        <w:t xml:space="preserve">su </w:t>
      </w:r>
      <w:r w:rsidR="001C1BB7" w:rsidRPr="003A2F86">
        <w:rPr>
          <w:rFonts w:ascii="Arial" w:eastAsia="Calibri" w:hAnsi="Arial" w:cs="Arial"/>
          <w:iCs/>
        </w:rPr>
        <w:t xml:space="preserve">u iznosu </w:t>
      </w:r>
      <w:r w:rsidR="0028678E">
        <w:rPr>
          <w:rFonts w:ascii="Arial" w:eastAsia="Calibri" w:hAnsi="Arial" w:cs="Arial"/>
          <w:iCs/>
        </w:rPr>
        <w:t>2.046.3</w:t>
      </w:r>
      <w:r w:rsidR="0061197D" w:rsidRPr="003A2F86">
        <w:rPr>
          <w:rFonts w:ascii="Arial" w:eastAsia="Calibri" w:hAnsi="Arial" w:cs="Arial"/>
          <w:iCs/>
        </w:rPr>
        <w:t>00</w:t>
      </w:r>
      <w:r w:rsidR="00A8066C" w:rsidRPr="003A2F86">
        <w:rPr>
          <w:rFonts w:ascii="Arial" w:eastAsia="Calibri" w:hAnsi="Arial" w:cs="Arial"/>
          <w:iCs/>
        </w:rPr>
        <w:t xml:space="preserve"> €, a izvršeni su u iznosu </w:t>
      </w:r>
      <w:r w:rsidR="0028678E">
        <w:rPr>
          <w:rFonts w:ascii="Arial" w:eastAsia="Calibri" w:hAnsi="Arial" w:cs="Arial"/>
          <w:iCs/>
        </w:rPr>
        <w:t>633.269,83</w:t>
      </w:r>
      <w:r w:rsidR="00A8066C" w:rsidRPr="003A2F86">
        <w:rPr>
          <w:rFonts w:ascii="Arial" w:eastAsia="Calibri" w:hAnsi="Arial" w:cs="Arial"/>
          <w:iCs/>
        </w:rPr>
        <w:t xml:space="preserve"> €</w:t>
      </w:r>
      <w:r w:rsidR="001C1BB7" w:rsidRPr="003A2F86">
        <w:rPr>
          <w:rFonts w:ascii="Arial" w:eastAsia="Calibri" w:hAnsi="Arial" w:cs="Arial"/>
          <w:iCs/>
        </w:rPr>
        <w:t>. Ovaj razdjel je formiran u srpnju 2017. godine. Za 202</w:t>
      </w:r>
      <w:r w:rsidR="0028678E">
        <w:rPr>
          <w:rFonts w:ascii="Arial" w:eastAsia="Calibri" w:hAnsi="Arial" w:cs="Arial"/>
          <w:iCs/>
        </w:rPr>
        <w:t>5</w:t>
      </w:r>
      <w:r w:rsidR="001C1BB7" w:rsidRPr="003A2F86">
        <w:rPr>
          <w:rFonts w:ascii="Arial" w:eastAsia="Calibri" w:hAnsi="Arial" w:cs="Arial"/>
          <w:iCs/>
        </w:rPr>
        <w:t xml:space="preserve">. su unutar ovog razdjela rashodi / troškovi provedbe i upravljanja projektima koji su u tijeku. </w:t>
      </w:r>
    </w:p>
    <w:p w14:paraId="7463A1B4" w14:textId="71AD3DE2" w:rsidR="008C2699" w:rsidRPr="003A2F86" w:rsidRDefault="008C2699" w:rsidP="0076012E">
      <w:pPr>
        <w:spacing w:after="0" w:line="240" w:lineRule="auto"/>
        <w:jc w:val="both"/>
        <w:rPr>
          <w:rFonts w:ascii="Arial" w:eastAsia="Calibri" w:hAnsi="Arial" w:cs="Arial"/>
          <w:iCs/>
        </w:rPr>
      </w:pPr>
      <w:r w:rsidRPr="003A2F86">
        <w:rPr>
          <w:rFonts w:ascii="Arial" w:eastAsia="Calibri" w:hAnsi="Arial" w:cs="Arial"/>
          <w:iCs/>
        </w:rPr>
        <w:br w:type="page"/>
      </w:r>
    </w:p>
    <w:p w14:paraId="348F3D25" w14:textId="40B57490" w:rsidR="00891119" w:rsidRPr="003A2F86" w:rsidRDefault="00891119" w:rsidP="00C7073C">
      <w:pPr>
        <w:pStyle w:val="Naslov2"/>
        <w:jc w:val="center"/>
        <w:rPr>
          <w:rFonts w:ascii="Arial" w:hAnsi="Arial" w:cs="Arial"/>
          <w:sz w:val="22"/>
          <w:szCs w:val="22"/>
          <w:lang w:val="hr-HR"/>
        </w:rPr>
      </w:pPr>
      <w:bookmarkStart w:id="265" w:name="_Toc207707451"/>
      <w:r w:rsidRPr="003A2F86">
        <w:rPr>
          <w:rFonts w:ascii="Arial" w:hAnsi="Arial" w:cs="Arial"/>
          <w:sz w:val="22"/>
          <w:szCs w:val="22"/>
          <w:lang w:val="hr-HR"/>
        </w:rPr>
        <w:lastRenderedPageBreak/>
        <w:t>2.</w:t>
      </w:r>
      <w:r w:rsidR="002D3049" w:rsidRPr="003A2F86">
        <w:rPr>
          <w:rFonts w:ascii="Arial" w:hAnsi="Arial" w:cs="Arial"/>
          <w:sz w:val="22"/>
          <w:szCs w:val="22"/>
          <w:lang w:val="hr-HR"/>
        </w:rPr>
        <w:t>8</w:t>
      </w:r>
      <w:r w:rsidRPr="003A2F86">
        <w:rPr>
          <w:rFonts w:ascii="Arial" w:hAnsi="Arial" w:cs="Arial"/>
          <w:sz w:val="22"/>
          <w:szCs w:val="22"/>
          <w:lang w:val="hr-HR"/>
        </w:rPr>
        <w:t>.</w:t>
      </w:r>
      <w:r w:rsidRPr="003A2F86">
        <w:rPr>
          <w:rFonts w:ascii="Arial" w:hAnsi="Arial" w:cs="Arial"/>
          <w:sz w:val="22"/>
          <w:szCs w:val="22"/>
          <w:lang w:val="hr-HR"/>
        </w:rPr>
        <w:tab/>
        <w:t>PRIHODI I PRIMICI, RASHODI I IZDACI PREMA IZVORIMA FINANCIRANJA</w:t>
      </w:r>
      <w:bookmarkStart w:id="266" w:name="Izvori_financiranja"/>
      <w:bookmarkEnd w:id="265"/>
      <w:bookmarkEnd w:id="266"/>
    </w:p>
    <w:p w14:paraId="76297E18" w14:textId="77777777" w:rsidR="00891119" w:rsidRPr="003A2F86" w:rsidRDefault="00891119" w:rsidP="00891119">
      <w:pPr>
        <w:spacing w:after="0" w:line="240" w:lineRule="auto"/>
        <w:jc w:val="center"/>
        <w:rPr>
          <w:rFonts w:ascii="Arial" w:eastAsia="Calibri" w:hAnsi="Arial" w:cs="Arial"/>
        </w:rPr>
      </w:pPr>
    </w:p>
    <w:p w14:paraId="30D74DC4" w14:textId="539D1391" w:rsidR="00891119" w:rsidRPr="003A2F86" w:rsidRDefault="00891119" w:rsidP="00891119">
      <w:pPr>
        <w:autoSpaceDE w:val="0"/>
        <w:autoSpaceDN w:val="0"/>
        <w:adjustRightInd w:val="0"/>
        <w:spacing w:after="0" w:line="240" w:lineRule="auto"/>
        <w:jc w:val="both"/>
        <w:rPr>
          <w:rFonts w:ascii="Arial" w:eastAsia="Calibri" w:hAnsi="Arial" w:cs="Arial"/>
        </w:rPr>
      </w:pPr>
      <w:bookmarkStart w:id="267" w:name="_Hlk146002113"/>
      <w:r w:rsidRPr="003A2F86">
        <w:rPr>
          <w:rFonts w:ascii="Arial" w:eastAsia="Calibri" w:hAnsi="Arial" w:cs="Arial"/>
        </w:rPr>
        <w:t>U Posebnom dijelu proračuna, rashodi i izdaci raspoređuju se po programima odnosno njihovim sastavnim dijelovima (aktivnostima, tekućim i kapitalnim projektima), kojih su nositelji upravni odjeli općinske uprave i proračunski korisnici. U okviru programa, projekata i aktivnosti, rashodi i izdaci se iskazuju prema ekonomskoj i funkcijskoj klasifikaciji i izvorima financiranja sukladno Pravilniku o proračunskim klasifikacijama (NN 26/10</w:t>
      </w:r>
      <w:r w:rsidR="009E3100" w:rsidRPr="003A2F86">
        <w:rPr>
          <w:rFonts w:ascii="Arial" w:eastAsia="Calibri" w:hAnsi="Arial" w:cs="Arial"/>
        </w:rPr>
        <w:t>,</w:t>
      </w:r>
      <w:r w:rsidRPr="003A2F86">
        <w:rPr>
          <w:rFonts w:ascii="Arial" w:eastAsia="Calibri" w:hAnsi="Arial" w:cs="Arial"/>
        </w:rPr>
        <w:t xml:space="preserve"> 120/13</w:t>
      </w:r>
      <w:r w:rsidR="009E3100" w:rsidRPr="003A2F86">
        <w:rPr>
          <w:rFonts w:ascii="Arial" w:eastAsia="Calibri" w:hAnsi="Arial" w:cs="Arial"/>
        </w:rPr>
        <w:t>, 1/20</w:t>
      </w:r>
      <w:r w:rsidRPr="003A2F86">
        <w:rPr>
          <w:rFonts w:ascii="Arial" w:eastAsia="Calibri" w:hAnsi="Arial" w:cs="Arial"/>
        </w:rPr>
        <w:t>).</w:t>
      </w:r>
      <w:r w:rsidR="0061197D" w:rsidRPr="003A2F86">
        <w:rPr>
          <w:rFonts w:ascii="Arial" w:eastAsia="Calibri" w:hAnsi="Arial" w:cs="Arial"/>
        </w:rPr>
        <w:t xml:space="preserve"> Donesen je </w:t>
      </w:r>
      <w:r w:rsidR="0061197D" w:rsidRPr="003A2F86">
        <w:rPr>
          <w:rFonts w:ascii="Arial" w:eastAsia="Calibri" w:hAnsi="Arial" w:cs="Arial"/>
          <w:b/>
          <w:bCs/>
        </w:rPr>
        <w:t>novi Pravilnik</w:t>
      </w:r>
      <w:r w:rsidR="0061197D" w:rsidRPr="003A2F86">
        <w:rPr>
          <w:rFonts w:ascii="Arial" w:eastAsia="Calibri" w:hAnsi="Arial" w:cs="Arial"/>
        </w:rPr>
        <w:t xml:space="preserve"> o proračunskim klasifikacijama (NN 4/2024) čije odredbe se primjenjuju u knjigovodstvenim evidencijama </w:t>
      </w:r>
      <w:r w:rsidR="0061197D" w:rsidRPr="003A2F86">
        <w:rPr>
          <w:rFonts w:ascii="Arial" w:eastAsia="Calibri" w:hAnsi="Arial" w:cs="Arial"/>
          <w:b/>
          <w:bCs/>
        </w:rPr>
        <w:t>od 1.1.2025</w:t>
      </w:r>
      <w:r w:rsidR="0061197D" w:rsidRPr="003A2F86">
        <w:rPr>
          <w:rFonts w:ascii="Arial" w:eastAsia="Calibri" w:hAnsi="Arial" w:cs="Arial"/>
        </w:rPr>
        <w:t>.</w:t>
      </w:r>
    </w:p>
    <w:p w14:paraId="4ECF132C" w14:textId="77777777" w:rsidR="00891119" w:rsidRPr="003A2F86" w:rsidRDefault="00891119" w:rsidP="00891119">
      <w:pPr>
        <w:autoSpaceDE w:val="0"/>
        <w:autoSpaceDN w:val="0"/>
        <w:adjustRightInd w:val="0"/>
        <w:spacing w:after="0" w:line="240" w:lineRule="auto"/>
        <w:jc w:val="both"/>
        <w:rPr>
          <w:rFonts w:ascii="Arial" w:eastAsia="Calibri" w:hAnsi="Arial" w:cs="Arial"/>
          <w:lang w:eastAsia="en-US"/>
        </w:rPr>
      </w:pPr>
    </w:p>
    <w:p w14:paraId="791F56F2" w14:textId="336B9373" w:rsidR="00891119" w:rsidRPr="003A2F86" w:rsidRDefault="00891119" w:rsidP="00891119">
      <w:pPr>
        <w:tabs>
          <w:tab w:val="left" w:pos="567"/>
        </w:tabs>
        <w:spacing w:after="0" w:line="240" w:lineRule="auto"/>
        <w:jc w:val="both"/>
        <w:rPr>
          <w:rFonts w:ascii="Arial" w:eastAsia="Times New Roman" w:hAnsi="Arial" w:cs="Arial"/>
          <w:lang w:eastAsia="en-US"/>
        </w:rPr>
      </w:pPr>
      <w:r w:rsidRPr="003A2F86">
        <w:rPr>
          <w:rFonts w:ascii="Arial" w:eastAsia="Times New Roman" w:hAnsi="Arial" w:cs="Arial"/>
          <w:b/>
          <w:bCs/>
          <w:lang w:eastAsia="en-US"/>
        </w:rPr>
        <w:t>Izvori financiranja</w:t>
      </w:r>
      <w:r w:rsidRPr="003A2F86">
        <w:rPr>
          <w:rFonts w:ascii="Arial" w:eastAsia="Times New Roman" w:hAnsi="Arial" w:cs="Arial"/>
          <w:bCs/>
          <w:lang w:eastAsia="en-US"/>
        </w:rPr>
        <w:t xml:space="preserve"> predstavljaju skupine prihoda i primitaka iz kojih se podmiruju rashodi i izdaci određene vrste i utvrđene namjene. </w:t>
      </w:r>
      <w:r w:rsidRPr="003A2F86">
        <w:rPr>
          <w:rFonts w:ascii="Arial" w:eastAsia="Times New Roman" w:hAnsi="Arial" w:cs="Arial"/>
          <w:lang w:eastAsia="en-US"/>
        </w:rPr>
        <w:t xml:space="preserve">Osnovni izvori financiranja su: 1. opći prihodi i primici; </w:t>
      </w:r>
      <w:r w:rsidR="00CA0D20">
        <w:rPr>
          <w:rFonts w:ascii="Arial" w:eastAsia="Times New Roman" w:hAnsi="Arial" w:cs="Arial"/>
          <w:lang w:eastAsia="en-US"/>
        </w:rPr>
        <w:t>3</w:t>
      </w:r>
      <w:r w:rsidRPr="003A2F86">
        <w:rPr>
          <w:rFonts w:ascii="Arial" w:eastAsia="Times New Roman" w:hAnsi="Arial" w:cs="Arial"/>
          <w:lang w:eastAsia="en-US"/>
        </w:rPr>
        <w:t xml:space="preserve">. vlastiti prihodi; </w:t>
      </w:r>
      <w:r w:rsidR="00CA0D20">
        <w:rPr>
          <w:rFonts w:ascii="Arial" w:eastAsia="Times New Roman" w:hAnsi="Arial" w:cs="Arial"/>
          <w:lang w:eastAsia="en-US"/>
        </w:rPr>
        <w:t>4</w:t>
      </w:r>
      <w:r w:rsidRPr="003A2F86">
        <w:rPr>
          <w:rFonts w:ascii="Arial" w:eastAsia="Times New Roman" w:hAnsi="Arial" w:cs="Arial"/>
          <w:lang w:eastAsia="en-US"/>
        </w:rPr>
        <w:t xml:space="preserve">. prihodi za posebne namjene; </w:t>
      </w:r>
      <w:r w:rsidR="00CA0D20">
        <w:rPr>
          <w:rFonts w:ascii="Arial" w:eastAsia="Times New Roman" w:hAnsi="Arial" w:cs="Arial"/>
          <w:lang w:eastAsia="en-US"/>
        </w:rPr>
        <w:t>5</w:t>
      </w:r>
      <w:r w:rsidRPr="003A2F86">
        <w:rPr>
          <w:rFonts w:ascii="Arial" w:eastAsia="Times New Roman" w:hAnsi="Arial" w:cs="Arial"/>
          <w:lang w:eastAsia="en-US"/>
        </w:rPr>
        <w:t xml:space="preserve">. pomoći; </w:t>
      </w:r>
      <w:r w:rsidR="00CA0D20">
        <w:rPr>
          <w:rFonts w:ascii="Arial" w:eastAsia="Times New Roman" w:hAnsi="Arial" w:cs="Arial"/>
          <w:lang w:eastAsia="en-US"/>
        </w:rPr>
        <w:t>6</w:t>
      </w:r>
      <w:r w:rsidRPr="003A2F86">
        <w:rPr>
          <w:rFonts w:ascii="Arial" w:eastAsia="Times New Roman" w:hAnsi="Arial" w:cs="Arial"/>
          <w:lang w:eastAsia="en-US"/>
        </w:rPr>
        <w:t xml:space="preserve">. donacije; </w:t>
      </w:r>
      <w:r w:rsidR="00CA0D20">
        <w:rPr>
          <w:rFonts w:ascii="Arial" w:eastAsia="Times New Roman" w:hAnsi="Arial" w:cs="Arial"/>
          <w:lang w:eastAsia="en-US"/>
        </w:rPr>
        <w:t>7</w:t>
      </w:r>
      <w:r w:rsidRPr="003A2F86">
        <w:rPr>
          <w:rFonts w:ascii="Arial" w:eastAsia="Times New Roman" w:hAnsi="Arial" w:cs="Arial"/>
          <w:lang w:eastAsia="en-US"/>
        </w:rPr>
        <w:t>. prihodi od prodaje ili zamjene nefinancijske imovine i na</w:t>
      </w:r>
      <w:r w:rsidR="00A8623C" w:rsidRPr="003A2F86">
        <w:rPr>
          <w:rFonts w:ascii="Arial" w:eastAsia="Times New Roman" w:hAnsi="Arial" w:cs="Arial"/>
          <w:lang w:eastAsia="en-US"/>
        </w:rPr>
        <w:t>kn</w:t>
      </w:r>
      <w:r w:rsidRPr="003A2F86">
        <w:rPr>
          <w:rFonts w:ascii="Arial" w:eastAsia="Times New Roman" w:hAnsi="Arial" w:cs="Arial"/>
          <w:lang w:eastAsia="en-US"/>
        </w:rPr>
        <w:t xml:space="preserve">ade šteta s osnova osiguranja i </w:t>
      </w:r>
      <w:r w:rsidR="00CA0D20">
        <w:rPr>
          <w:rFonts w:ascii="Arial" w:eastAsia="Times New Roman" w:hAnsi="Arial" w:cs="Arial"/>
          <w:lang w:eastAsia="en-US"/>
        </w:rPr>
        <w:t>8</w:t>
      </w:r>
      <w:r w:rsidRPr="003A2F86">
        <w:rPr>
          <w:rFonts w:ascii="Arial" w:eastAsia="Times New Roman" w:hAnsi="Arial" w:cs="Arial"/>
          <w:lang w:eastAsia="en-US"/>
        </w:rPr>
        <w:t>. namjenski primici.</w:t>
      </w:r>
    </w:p>
    <w:p w14:paraId="42578B8F" w14:textId="77777777" w:rsidR="00891119" w:rsidRPr="003A2F86" w:rsidRDefault="00891119" w:rsidP="00891119">
      <w:pPr>
        <w:tabs>
          <w:tab w:val="left" w:pos="567"/>
        </w:tabs>
        <w:spacing w:after="0" w:line="240" w:lineRule="auto"/>
        <w:jc w:val="both"/>
        <w:rPr>
          <w:rFonts w:ascii="Arial" w:eastAsia="Times New Roman" w:hAnsi="Arial" w:cs="Arial"/>
          <w:lang w:eastAsia="en-US"/>
        </w:rPr>
      </w:pPr>
    </w:p>
    <w:p w14:paraId="3391BA5A" w14:textId="7FA22B54" w:rsidR="00891119" w:rsidRPr="003A2F86" w:rsidRDefault="00892B2C" w:rsidP="00892B2C">
      <w:pPr>
        <w:pStyle w:val="Opisslike"/>
        <w:keepNext/>
        <w:jc w:val="both"/>
      </w:pPr>
      <w:bookmarkStart w:id="268" w:name="_Toc207706986"/>
      <w:bookmarkStart w:id="269" w:name="_Hlk17962310"/>
      <w:r w:rsidRPr="003A2F86">
        <w:rPr>
          <w:color w:val="FF0000"/>
        </w:rPr>
        <w:t xml:space="preserve">Tablica </w:t>
      </w:r>
      <w:r w:rsidR="002A3DE2" w:rsidRPr="003A2F86">
        <w:rPr>
          <w:color w:val="FF0000"/>
        </w:rPr>
        <w:fldChar w:fldCharType="begin"/>
      </w:r>
      <w:r w:rsidR="002A3DE2" w:rsidRPr="003A2F86">
        <w:rPr>
          <w:color w:val="FF0000"/>
        </w:rPr>
        <w:instrText xml:space="preserve"> SEQ Tablica \* ARABIC </w:instrText>
      </w:r>
      <w:r w:rsidR="002A3DE2" w:rsidRPr="003A2F86">
        <w:rPr>
          <w:color w:val="FF0000"/>
        </w:rPr>
        <w:fldChar w:fldCharType="separate"/>
      </w:r>
      <w:r w:rsidR="00910987">
        <w:rPr>
          <w:noProof/>
          <w:color w:val="FF0000"/>
        </w:rPr>
        <w:t>22</w:t>
      </w:r>
      <w:r w:rsidR="002A3DE2" w:rsidRPr="003A2F86">
        <w:rPr>
          <w:color w:val="FF0000"/>
        </w:rPr>
        <w:fldChar w:fldCharType="end"/>
      </w:r>
      <w:r w:rsidRPr="003A2F86">
        <w:rPr>
          <w:color w:val="FF0000"/>
        </w:rPr>
        <w:t xml:space="preserve">.: </w:t>
      </w:r>
      <w:r w:rsidR="00891119" w:rsidRPr="003A2F86">
        <w:rPr>
          <w:rFonts w:ascii="Arial" w:hAnsi="Arial" w:cs="Arial"/>
        </w:rPr>
        <w:t xml:space="preserve">Proračun za razdoblje siječanj – </w:t>
      </w:r>
      <w:r w:rsidR="00CC42DA">
        <w:rPr>
          <w:rFonts w:ascii="Arial" w:hAnsi="Arial" w:cs="Arial"/>
        </w:rPr>
        <w:t>lipanj</w:t>
      </w:r>
      <w:r w:rsidR="00891119" w:rsidRPr="003A2F86">
        <w:rPr>
          <w:rFonts w:ascii="Arial" w:hAnsi="Arial" w:cs="Arial"/>
        </w:rPr>
        <w:t xml:space="preserve"> 20</w:t>
      </w:r>
      <w:r w:rsidR="00F32DF6" w:rsidRPr="003A2F86">
        <w:rPr>
          <w:rFonts w:ascii="Arial" w:hAnsi="Arial" w:cs="Arial"/>
        </w:rPr>
        <w:t>2</w:t>
      </w:r>
      <w:r w:rsidR="00CC42DA">
        <w:rPr>
          <w:rFonts w:ascii="Arial" w:hAnsi="Arial" w:cs="Arial"/>
        </w:rPr>
        <w:t>5</w:t>
      </w:r>
      <w:r w:rsidR="00891119" w:rsidRPr="003A2F86">
        <w:rPr>
          <w:rFonts w:ascii="Arial" w:hAnsi="Arial" w:cs="Arial"/>
        </w:rPr>
        <w:t>. po izvorima financiranja</w:t>
      </w:r>
      <w:bookmarkEnd w:id="268"/>
    </w:p>
    <w:bookmarkEnd w:id="267"/>
    <w:bookmarkEnd w:id="269"/>
    <w:p w14:paraId="0F9BF6FC" w14:textId="77777777" w:rsidR="00871D15" w:rsidRPr="003A2F86" w:rsidRDefault="00871D15" w:rsidP="00891119">
      <w:pPr>
        <w:spacing w:after="0" w:line="240" w:lineRule="auto"/>
        <w:jc w:val="center"/>
        <w:rPr>
          <w:rFonts w:ascii="Arial" w:eastAsia="Calibri" w:hAnsi="Arial" w:cs="Arial"/>
        </w:rPr>
      </w:pPr>
    </w:p>
    <w:p w14:paraId="176ECD6B" w14:textId="0460D519" w:rsidR="009B1959" w:rsidRPr="003A2F86" w:rsidRDefault="005B5629" w:rsidP="00891119">
      <w:pPr>
        <w:spacing w:after="0" w:line="240" w:lineRule="auto"/>
        <w:jc w:val="center"/>
        <w:rPr>
          <w:rFonts w:ascii="Arial" w:eastAsia="Calibri" w:hAnsi="Arial" w:cs="Arial"/>
        </w:rPr>
      </w:pPr>
      <w:r w:rsidRPr="005B5629">
        <w:rPr>
          <w:noProof/>
        </w:rPr>
        <w:drawing>
          <wp:inline distT="0" distB="0" distL="0" distR="0" wp14:anchorId="4D065E4C" wp14:editId="3CB845F6">
            <wp:extent cx="6175375" cy="1971040"/>
            <wp:effectExtent l="0" t="0" r="0" b="0"/>
            <wp:docPr id="114152016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75375" cy="1971040"/>
                    </a:xfrm>
                    <a:prstGeom prst="rect">
                      <a:avLst/>
                    </a:prstGeom>
                    <a:noFill/>
                    <a:ln>
                      <a:noFill/>
                    </a:ln>
                  </pic:spPr>
                </pic:pic>
              </a:graphicData>
            </a:graphic>
          </wp:inline>
        </w:drawing>
      </w:r>
    </w:p>
    <w:p w14:paraId="72749E42" w14:textId="77777777" w:rsidR="0061197D" w:rsidRPr="003A2F86" w:rsidRDefault="0061197D" w:rsidP="00891119">
      <w:pPr>
        <w:spacing w:after="0" w:line="240" w:lineRule="auto"/>
        <w:jc w:val="center"/>
        <w:rPr>
          <w:rFonts w:ascii="Arial" w:eastAsia="Calibri" w:hAnsi="Arial" w:cs="Arial"/>
        </w:rPr>
      </w:pPr>
    </w:p>
    <w:p w14:paraId="0C905D70" w14:textId="0D3299D0" w:rsidR="00891119" w:rsidRPr="003A2F86" w:rsidRDefault="00891119" w:rsidP="00C7073C">
      <w:pPr>
        <w:pStyle w:val="Naslov2"/>
        <w:jc w:val="center"/>
        <w:rPr>
          <w:rFonts w:ascii="Arial" w:hAnsi="Arial" w:cs="Arial"/>
          <w:sz w:val="22"/>
          <w:szCs w:val="22"/>
          <w:lang w:val="hr-HR"/>
        </w:rPr>
      </w:pPr>
      <w:bookmarkStart w:id="270" w:name="_Toc207707452"/>
      <w:r w:rsidRPr="003A2F86">
        <w:rPr>
          <w:rFonts w:ascii="Arial" w:hAnsi="Arial" w:cs="Arial"/>
          <w:sz w:val="22"/>
          <w:szCs w:val="22"/>
          <w:lang w:val="hr-HR"/>
        </w:rPr>
        <w:t>2.</w:t>
      </w:r>
      <w:r w:rsidR="002D3049" w:rsidRPr="003A2F86">
        <w:rPr>
          <w:rFonts w:ascii="Arial" w:hAnsi="Arial" w:cs="Arial"/>
          <w:sz w:val="22"/>
          <w:szCs w:val="22"/>
          <w:lang w:val="hr-HR"/>
        </w:rPr>
        <w:t>9</w:t>
      </w:r>
      <w:r w:rsidRPr="003A2F86">
        <w:rPr>
          <w:rFonts w:ascii="Arial" w:hAnsi="Arial" w:cs="Arial"/>
          <w:sz w:val="22"/>
          <w:szCs w:val="22"/>
          <w:lang w:val="hr-HR"/>
        </w:rPr>
        <w:t>.</w:t>
      </w:r>
      <w:r w:rsidRPr="003A2F86">
        <w:rPr>
          <w:rFonts w:ascii="Arial" w:hAnsi="Arial" w:cs="Arial"/>
          <w:sz w:val="22"/>
          <w:szCs w:val="22"/>
          <w:lang w:val="hr-HR"/>
        </w:rPr>
        <w:tab/>
        <w:t>RASHODI PREMA FUNKCIJSKOJ KLASIFIKACIJI</w:t>
      </w:r>
      <w:bookmarkStart w:id="271" w:name="Funkcijska_klasifikacija"/>
      <w:bookmarkEnd w:id="270"/>
      <w:bookmarkEnd w:id="271"/>
    </w:p>
    <w:p w14:paraId="195D488A" w14:textId="77777777" w:rsidR="00891119" w:rsidRPr="003A2F86" w:rsidRDefault="00891119" w:rsidP="00891119">
      <w:pPr>
        <w:spacing w:after="0" w:line="240" w:lineRule="auto"/>
        <w:jc w:val="both"/>
        <w:rPr>
          <w:rFonts w:ascii="Arial" w:eastAsia="Calibri" w:hAnsi="Arial" w:cs="Arial"/>
        </w:rPr>
      </w:pPr>
      <w:bookmarkStart w:id="272" w:name="_Hlk146002204"/>
    </w:p>
    <w:p w14:paraId="2AB4881D" w14:textId="77777777" w:rsidR="00891119" w:rsidRPr="003A2F86" w:rsidRDefault="00891119" w:rsidP="00891119">
      <w:pPr>
        <w:autoSpaceDE w:val="0"/>
        <w:autoSpaceDN w:val="0"/>
        <w:adjustRightInd w:val="0"/>
        <w:spacing w:after="0" w:line="240" w:lineRule="auto"/>
        <w:jc w:val="both"/>
        <w:rPr>
          <w:rFonts w:ascii="Arial" w:eastAsia="Calibri" w:hAnsi="Arial" w:cs="Arial"/>
          <w:lang w:eastAsia="en-US"/>
        </w:rPr>
      </w:pPr>
      <w:r w:rsidRPr="003A2F86">
        <w:rPr>
          <w:rFonts w:ascii="Arial" w:eastAsia="Calibri" w:hAnsi="Arial" w:cs="Arial"/>
          <w:lang w:eastAsia="en-US"/>
        </w:rPr>
        <w:t xml:space="preserve">Sukladno </w:t>
      </w:r>
      <w:r w:rsidRPr="003A2F86">
        <w:rPr>
          <w:rFonts w:ascii="Arial" w:eastAsia="Calibri" w:hAnsi="Arial" w:cs="Arial"/>
        </w:rPr>
        <w:t>Pravilniku o proračunskim klasifikacijama (NN 26/10</w:t>
      </w:r>
      <w:r w:rsidR="009E3100" w:rsidRPr="003A2F86">
        <w:rPr>
          <w:rFonts w:ascii="Arial" w:eastAsia="Calibri" w:hAnsi="Arial" w:cs="Arial"/>
        </w:rPr>
        <w:t>,</w:t>
      </w:r>
      <w:r w:rsidRPr="003A2F86">
        <w:rPr>
          <w:rFonts w:ascii="Arial" w:eastAsia="Calibri" w:hAnsi="Arial" w:cs="Arial"/>
        </w:rPr>
        <w:t xml:space="preserve"> 120/13</w:t>
      </w:r>
      <w:r w:rsidR="009E3100" w:rsidRPr="003A2F86">
        <w:rPr>
          <w:rFonts w:ascii="Arial" w:eastAsia="Calibri" w:hAnsi="Arial" w:cs="Arial"/>
        </w:rPr>
        <w:t>, 1/20</w:t>
      </w:r>
      <w:r w:rsidRPr="003A2F86">
        <w:rPr>
          <w:rFonts w:ascii="Arial" w:eastAsia="Calibri" w:hAnsi="Arial" w:cs="Arial"/>
        </w:rPr>
        <w:t>)</w:t>
      </w:r>
      <w:r w:rsidRPr="003A2F86">
        <w:rPr>
          <w:rFonts w:ascii="Arial" w:eastAsia="Calibri" w:hAnsi="Arial" w:cs="Arial"/>
          <w:lang w:eastAsia="en-US"/>
        </w:rPr>
        <w:t xml:space="preserve">, </w:t>
      </w:r>
      <w:r w:rsidRPr="003A2F86">
        <w:rPr>
          <w:rFonts w:ascii="Arial" w:eastAsia="Calibri" w:hAnsi="Arial" w:cs="Arial"/>
          <w:b/>
          <w:lang w:eastAsia="en-US"/>
        </w:rPr>
        <w:t>funkcijska klasifikacija</w:t>
      </w:r>
      <w:r w:rsidRPr="003A2F86">
        <w:rPr>
          <w:rFonts w:ascii="Arial" w:eastAsia="Calibri" w:hAnsi="Arial" w:cs="Arial"/>
          <w:lang w:eastAsia="en-US"/>
        </w:rPr>
        <w:t xml:space="preserve"> sadrži rashode razvrstane prema njihovoj namjeni, dakle rashode poslovanja (3) i rashode za nabavu nefinancijske imovine (4). Izdaci za financijsku imovinu i otplate zajmova (5) se ne iskazuju kroz funkcijsku klasifikaciju. </w:t>
      </w:r>
    </w:p>
    <w:p w14:paraId="6AD679EE" w14:textId="77777777" w:rsidR="00891119" w:rsidRPr="003A2F86" w:rsidRDefault="00891119" w:rsidP="00891119">
      <w:pPr>
        <w:autoSpaceDE w:val="0"/>
        <w:autoSpaceDN w:val="0"/>
        <w:adjustRightInd w:val="0"/>
        <w:spacing w:after="0" w:line="240" w:lineRule="auto"/>
        <w:jc w:val="both"/>
        <w:rPr>
          <w:rFonts w:ascii="Arial" w:eastAsia="Times New Roman" w:hAnsi="Arial" w:cs="Arial"/>
        </w:rPr>
      </w:pPr>
    </w:p>
    <w:p w14:paraId="41107E8C" w14:textId="373882D9" w:rsidR="00891119" w:rsidRPr="003A2F86" w:rsidRDefault="00891119" w:rsidP="00891119">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U okviru rashoda prema funkcijskoj klasifikaciji na proračunske korisnike odnosi se </w:t>
      </w:r>
      <w:r w:rsidR="005B5629">
        <w:rPr>
          <w:rFonts w:ascii="Arial" w:eastAsia="Times New Roman" w:hAnsi="Arial" w:cs="Arial"/>
          <w:iCs/>
          <w:lang w:eastAsia="en-US"/>
        </w:rPr>
        <w:t>2.287.641,15</w:t>
      </w:r>
      <w:r w:rsidR="00AA39B5"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ili </w:t>
      </w:r>
      <w:r w:rsidR="005B5629">
        <w:rPr>
          <w:rFonts w:ascii="Arial" w:eastAsia="Times New Roman" w:hAnsi="Arial" w:cs="Arial"/>
          <w:iCs/>
          <w:lang w:eastAsia="en-US"/>
        </w:rPr>
        <w:t>23</w:t>
      </w:r>
      <w:r w:rsidRPr="003A2F86">
        <w:rPr>
          <w:rFonts w:ascii="Arial" w:eastAsia="Times New Roman" w:hAnsi="Arial" w:cs="Arial"/>
          <w:iCs/>
          <w:lang w:eastAsia="en-US"/>
        </w:rPr>
        <w:t xml:space="preserve">% rashoda, a na Općinu se odnosi </w:t>
      </w:r>
      <w:r w:rsidR="005B5629">
        <w:rPr>
          <w:rFonts w:ascii="Arial" w:eastAsia="Times New Roman" w:hAnsi="Arial" w:cs="Arial"/>
          <w:iCs/>
          <w:lang w:eastAsia="en-US"/>
        </w:rPr>
        <w:t>7.673.690,78</w:t>
      </w:r>
      <w:r w:rsidR="00AA39B5"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ili </w:t>
      </w:r>
      <w:r w:rsidR="005B5629">
        <w:rPr>
          <w:rFonts w:ascii="Arial" w:eastAsia="Times New Roman" w:hAnsi="Arial" w:cs="Arial"/>
          <w:iCs/>
          <w:lang w:eastAsia="en-US"/>
        </w:rPr>
        <w:t>78</w:t>
      </w:r>
      <w:r w:rsidRPr="003A2F86">
        <w:rPr>
          <w:rFonts w:ascii="Arial" w:eastAsia="Times New Roman" w:hAnsi="Arial" w:cs="Arial"/>
          <w:iCs/>
          <w:lang w:eastAsia="en-US"/>
        </w:rPr>
        <w:t xml:space="preserve">% rashoda koji ulaze u Izvještaj prema funkcijskoj klasifikaciji. Sveukupno izvršeni rashodi prema funkcijskoj klasifikaciji iznose </w:t>
      </w:r>
      <w:r w:rsidR="005B5629">
        <w:rPr>
          <w:rFonts w:ascii="Arial" w:eastAsia="Times New Roman" w:hAnsi="Arial" w:cs="Arial"/>
          <w:b/>
          <w:iCs/>
          <w:lang w:eastAsia="en-US"/>
        </w:rPr>
        <w:t>9.961.331,93</w:t>
      </w:r>
      <w:r w:rsidR="00AA39B5" w:rsidRPr="003A2F86">
        <w:rPr>
          <w:rFonts w:ascii="Arial" w:eastAsia="Times New Roman" w:hAnsi="Arial" w:cs="Arial"/>
          <w:b/>
          <w:iCs/>
          <w:lang w:eastAsia="en-US"/>
        </w:rPr>
        <w:t xml:space="preserve"> €</w:t>
      </w:r>
      <w:r w:rsidRPr="003A2F86">
        <w:rPr>
          <w:rFonts w:ascii="Arial" w:eastAsia="Times New Roman" w:hAnsi="Arial" w:cs="Arial"/>
          <w:iCs/>
          <w:lang w:eastAsia="en-US"/>
        </w:rPr>
        <w:t>.</w:t>
      </w:r>
    </w:p>
    <w:p w14:paraId="30D387AB" w14:textId="2DFCC403" w:rsidR="00026A58" w:rsidRPr="003A2F86" w:rsidRDefault="00026A58" w:rsidP="00891119">
      <w:pPr>
        <w:spacing w:after="0" w:line="240" w:lineRule="auto"/>
        <w:jc w:val="both"/>
        <w:rPr>
          <w:rFonts w:ascii="Arial" w:eastAsia="Times New Roman" w:hAnsi="Arial" w:cs="Arial"/>
          <w:iCs/>
          <w:lang w:eastAsia="en-US"/>
        </w:rPr>
      </w:pPr>
    </w:p>
    <w:p w14:paraId="3E08778C" w14:textId="51C7320B" w:rsidR="00891119" w:rsidRPr="003A2F86" w:rsidRDefault="00892B2C" w:rsidP="00892B2C">
      <w:pPr>
        <w:pStyle w:val="Opisslike"/>
        <w:keepNext/>
        <w:jc w:val="both"/>
        <w:rPr>
          <w:rFonts w:ascii="Arial" w:hAnsi="Arial" w:cs="Arial"/>
        </w:rPr>
      </w:pPr>
      <w:bookmarkStart w:id="273" w:name="_Toc207706987"/>
      <w:bookmarkStart w:id="274" w:name="_Hlk17962329"/>
      <w:r w:rsidRPr="003A2F86">
        <w:rPr>
          <w:color w:val="FF0000"/>
        </w:rPr>
        <w:lastRenderedPageBreak/>
        <w:t xml:space="preserve">Tablica </w:t>
      </w:r>
      <w:r w:rsidR="002A3DE2" w:rsidRPr="003A2F86">
        <w:rPr>
          <w:color w:val="FF0000"/>
        </w:rPr>
        <w:fldChar w:fldCharType="begin"/>
      </w:r>
      <w:r w:rsidR="002A3DE2" w:rsidRPr="003A2F86">
        <w:rPr>
          <w:color w:val="FF0000"/>
        </w:rPr>
        <w:instrText xml:space="preserve"> SEQ Tablica \* ARABIC </w:instrText>
      </w:r>
      <w:r w:rsidR="002A3DE2" w:rsidRPr="003A2F86">
        <w:rPr>
          <w:color w:val="FF0000"/>
        </w:rPr>
        <w:fldChar w:fldCharType="separate"/>
      </w:r>
      <w:r w:rsidR="00910987">
        <w:rPr>
          <w:noProof/>
          <w:color w:val="FF0000"/>
        </w:rPr>
        <w:t>23</w:t>
      </w:r>
      <w:r w:rsidR="002A3DE2" w:rsidRPr="003A2F86">
        <w:rPr>
          <w:color w:val="FF0000"/>
        </w:rPr>
        <w:fldChar w:fldCharType="end"/>
      </w:r>
      <w:r w:rsidRPr="003A2F86">
        <w:rPr>
          <w:color w:val="FF0000"/>
        </w:rPr>
        <w:t xml:space="preserve">.: </w:t>
      </w:r>
      <w:r w:rsidR="00891119" w:rsidRPr="003A2F86">
        <w:rPr>
          <w:rFonts w:ascii="Arial" w:hAnsi="Arial" w:cs="Arial"/>
        </w:rPr>
        <w:t xml:space="preserve">Izvršenje proračuna za razdoblje siječanj – </w:t>
      </w:r>
      <w:r w:rsidR="005B5629">
        <w:rPr>
          <w:rFonts w:ascii="Arial" w:hAnsi="Arial" w:cs="Arial"/>
        </w:rPr>
        <w:t>lipanj</w:t>
      </w:r>
      <w:r w:rsidR="00891119" w:rsidRPr="003A2F86">
        <w:rPr>
          <w:rFonts w:ascii="Arial" w:hAnsi="Arial" w:cs="Arial"/>
        </w:rPr>
        <w:t xml:space="preserve"> 20</w:t>
      </w:r>
      <w:r w:rsidR="00026A58" w:rsidRPr="003A2F86">
        <w:rPr>
          <w:rFonts w:ascii="Arial" w:hAnsi="Arial" w:cs="Arial"/>
        </w:rPr>
        <w:t>2</w:t>
      </w:r>
      <w:r w:rsidR="005B5629">
        <w:rPr>
          <w:rFonts w:ascii="Arial" w:hAnsi="Arial" w:cs="Arial"/>
        </w:rPr>
        <w:t>5</w:t>
      </w:r>
      <w:r w:rsidR="00891119" w:rsidRPr="003A2F86">
        <w:rPr>
          <w:rFonts w:ascii="Arial" w:hAnsi="Arial" w:cs="Arial"/>
        </w:rPr>
        <w:t>. po funkcijskoj klasifikaciji</w:t>
      </w:r>
      <w:bookmarkEnd w:id="273"/>
    </w:p>
    <w:p w14:paraId="4A06780C" w14:textId="0605F22C" w:rsidR="00B435BD" w:rsidRPr="003A2F86" w:rsidRDefault="005B5629" w:rsidP="00B435BD">
      <w:pPr>
        <w:jc w:val="center"/>
        <w:rPr>
          <w:lang w:eastAsia="en-US"/>
        </w:rPr>
      </w:pPr>
      <w:r w:rsidRPr="005B5629">
        <w:rPr>
          <w:noProof/>
        </w:rPr>
        <w:drawing>
          <wp:inline distT="0" distB="0" distL="0" distR="0" wp14:anchorId="6FDA17B8" wp14:editId="544D40D6">
            <wp:extent cx="6200775" cy="5780990"/>
            <wp:effectExtent l="0" t="0" r="0" b="0"/>
            <wp:docPr id="29087727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04517" cy="5784478"/>
                    </a:xfrm>
                    <a:prstGeom prst="rect">
                      <a:avLst/>
                    </a:prstGeom>
                    <a:noFill/>
                    <a:ln>
                      <a:noFill/>
                    </a:ln>
                  </pic:spPr>
                </pic:pic>
              </a:graphicData>
            </a:graphic>
          </wp:inline>
        </w:drawing>
      </w:r>
    </w:p>
    <w:p w14:paraId="5125121C" w14:textId="0F01F9E2" w:rsidR="005B5629" w:rsidRPr="005B5629" w:rsidRDefault="005B5629" w:rsidP="005B5629">
      <w:pPr>
        <w:jc w:val="center"/>
        <w:rPr>
          <w:lang w:eastAsia="en-US"/>
        </w:rPr>
      </w:pPr>
      <w:r w:rsidRPr="005B5629">
        <w:rPr>
          <w:noProof/>
        </w:rPr>
        <w:lastRenderedPageBreak/>
        <w:drawing>
          <wp:inline distT="0" distB="0" distL="0" distR="0" wp14:anchorId="315F395E" wp14:editId="132F0C92">
            <wp:extent cx="7778115" cy="1947545"/>
            <wp:effectExtent l="0" t="0" r="0" b="0"/>
            <wp:docPr id="75301804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778115" cy="1947545"/>
                    </a:xfrm>
                    <a:prstGeom prst="rect">
                      <a:avLst/>
                    </a:prstGeom>
                    <a:noFill/>
                    <a:ln>
                      <a:noFill/>
                    </a:ln>
                  </pic:spPr>
                </pic:pic>
              </a:graphicData>
            </a:graphic>
          </wp:inline>
        </w:drawing>
      </w:r>
    </w:p>
    <w:p w14:paraId="45AC6233" w14:textId="349922F0" w:rsidR="00B05CD2" w:rsidRPr="003A2F86" w:rsidRDefault="00B05CD2" w:rsidP="00B05CD2">
      <w:pPr>
        <w:pStyle w:val="Opisslike"/>
      </w:pPr>
      <w:bookmarkStart w:id="275" w:name="_Toc207707023"/>
      <w:r w:rsidRPr="003A2F86">
        <w:rPr>
          <w:color w:val="FF0000"/>
        </w:rPr>
        <w:t xml:space="preserve">Graf </w:t>
      </w:r>
      <w:r w:rsidRPr="003A2F86">
        <w:rPr>
          <w:color w:val="FF0000"/>
        </w:rPr>
        <w:fldChar w:fldCharType="begin"/>
      </w:r>
      <w:r w:rsidRPr="003A2F86">
        <w:rPr>
          <w:color w:val="FF0000"/>
        </w:rPr>
        <w:instrText xml:space="preserve"> SEQ Graf \* ARABIC </w:instrText>
      </w:r>
      <w:r w:rsidRPr="003A2F86">
        <w:rPr>
          <w:color w:val="FF0000"/>
        </w:rPr>
        <w:fldChar w:fldCharType="separate"/>
      </w:r>
      <w:r w:rsidR="00910987">
        <w:rPr>
          <w:noProof/>
          <w:color w:val="FF0000"/>
        </w:rPr>
        <w:t>18</w:t>
      </w:r>
      <w:r w:rsidRPr="003A2F86">
        <w:rPr>
          <w:color w:val="FF0000"/>
        </w:rPr>
        <w:fldChar w:fldCharType="end"/>
      </w:r>
      <w:r w:rsidRPr="003A2F86">
        <w:t xml:space="preserve">.: </w:t>
      </w:r>
      <w:r w:rsidRPr="003A2F86">
        <w:rPr>
          <w:rFonts w:ascii="Arial" w:hAnsi="Arial" w:cs="Arial"/>
          <w:sz w:val="22"/>
          <w:szCs w:val="22"/>
        </w:rPr>
        <w:t>Struktura izvršenih rashoda Proračuna u 202</w:t>
      </w:r>
      <w:r w:rsidR="005B5629">
        <w:rPr>
          <w:rFonts w:ascii="Arial" w:hAnsi="Arial" w:cs="Arial"/>
          <w:sz w:val="22"/>
          <w:szCs w:val="22"/>
        </w:rPr>
        <w:t>5</w:t>
      </w:r>
      <w:r w:rsidRPr="003A2F86">
        <w:rPr>
          <w:rFonts w:ascii="Arial" w:hAnsi="Arial" w:cs="Arial"/>
          <w:sz w:val="22"/>
          <w:szCs w:val="22"/>
        </w:rPr>
        <w:t xml:space="preserve">. </w:t>
      </w:r>
      <w:r w:rsidR="00EC0112" w:rsidRPr="003A2F86">
        <w:rPr>
          <w:rFonts w:ascii="Arial" w:hAnsi="Arial" w:cs="Arial"/>
          <w:sz w:val="22"/>
          <w:szCs w:val="22"/>
        </w:rPr>
        <w:t>po</w:t>
      </w:r>
      <w:r w:rsidRPr="003A2F86">
        <w:rPr>
          <w:rFonts w:ascii="Arial" w:hAnsi="Arial" w:cs="Arial"/>
          <w:sz w:val="22"/>
          <w:szCs w:val="22"/>
        </w:rPr>
        <w:t xml:space="preserve"> funkcijsk</w:t>
      </w:r>
      <w:r w:rsidR="00EC0112" w:rsidRPr="003A2F86">
        <w:rPr>
          <w:rFonts w:ascii="Arial" w:hAnsi="Arial" w:cs="Arial"/>
          <w:sz w:val="22"/>
          <w:szCs w:val="22"/>
        </w:rPr>
        <w:t>oj</w:t>
      </w:r>
      <w:r w:rsidRPr="003A2F86">
        <w:rPr>
          <w:rFonts w:ascii="Arial" w:hAnsi="Arial" w:cs="Arial"/>
          <w:sz w:val="22"/>
          <w:szCs w:val="22"/>
        </w:rPr>
        <w:t xml:space="preserve"> klasifikacij</w:t>
      </w:r>
      <w:r w:rsidR="00EC0112" w:rsidRPr="003A2F86">
        <w:rPr>
          <w:rFonts w:ascii="Arial" w:hAnsi="Arial" w:cs="Arial"/>
          <w:sz w:val="22"/>
          <w:szCs w:val="22"/>
        </w:rPr>
        <w:t>i (€):</w:t>
      </w:r>
      <w:r w:rsidRPr="003A2F86">
        <w:rPr>
          <w:rFonts w:ascii="Arial" w:hAnsi="Arial" w:cs="Arial"/>
          <w:sz w:val="22"/>
          <w:szCs w:val="22"/>
        </w:rPr>
        <w:t xml:space="preserve"> sveukupno </w:t>
      </w:r>
      <w:r w:rsidRPr="00154FCA">
        <w:rPr>
          <w:rFonts w:ascii="Arial" w:hAnsi="Arial" w:cs="Arial"/>
          <w:color w:val="1F497D" w:themeColor="text2"/>
          <w:sz w:val="22"/>
          <w:szCs w:val="22"/>
        </w:rPr>
        <w:t xml:space="preserve">Općina </w:t>
      </w:r>
      <w:r w:rsidRPr="003A2F86">
        <w:rPr>
          <w:rFonts w:ascii="Arial" w:hAnsi="Arial" w:cs="Arial"/>
          <w:sz w:val="22"/>
          <w:szCs w:val="22"/>
        </w:rPr>
        <w:t xml:space="preserve">i </w:t>
      </w:r>
      <w:r w:rsidRPr="00154FCA">
        <w:rPr>
          <w:rFonts w:ascii="Arial" w:hAnsi="Arial" w:cs="Arial"/>
          <w:color w:val="943634" w:themeColor="accent2" w:themeShade="BF"/>
          <w:sz w:val="22"/>
          <w:szCs w:val="22"/>
        </w:rPr>
        <w:t>proračunski korisnici</w:t>
      </w:r>
      <w:bookmarkEnd w:id="275"/>
      <w:r w:rsidRPr="00154FCA">
        <w:rPr>
          <w:rFonts w:ascii="Arial" w:hAnsi="Arial" w:cs="Arial"/>
          <w:color w:val="943634" w:themeColor="accent2" w:themeShade="BF"/>
          <w:sz w:val="22"/>
          <w:szCs w:val="22"/>
        </w:rPr>
        <w:t xml:space="preserve"> </w:t>
      </w:r>
    </w:p>
    <w:p w14:paraId="13D3D5BC" w14:textId="77777777" w:rsidR="00B05CD2" w:rsidRPr="003A2F86" w:rsidRDefault="00B05CD2" w:rsidP="00B05CD2">
      <w:pPr>
        <w:spacing w:after="0" w:line="240" w:lineRule="auto"/>
        <w:jc w:val="center"/>
        <w:rPr>
          <w:rFonts w:ascii="Arial" w:eastAsia="Times New Roman" w:hAnsi="Arial" w:cs="Arial"/>
          <w:lang w:eastAsia="en-US"/>
        </w:rPr>
      </w:pPr>
      <w:r w:rsidRPr="003A2F86">
        <w:rPr>
          <w:rFonts w:ascii="Arial" w:eastAsia="Times New Roman" w:hAnsi="Arial" w:cs="Arial"/>
          <w:noProof/>
          <w:color w:val="FF0000"/>
        </w:rPr>
        <w:drawing>
          <wp:inline distT="0" distB="0" distL="0" distR="0" wp14:anchorId="33DAFD03" wp14:editId="53BACAA9">
            <wp:extent cx="7009765" cy="3452495"/>
            <wp:effectExtent l="0" t="0" r="635" b="14605"/>
            <wp:docPr id="781" name="Grafikon 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E31A0C0" w14:textId="77777777" w:rsidR="00B05CD2" w:rsidRPr="00154FCA" w:rsidRDefault="00B05CD2" w:rsidP="00B05CD2">
      <w:pPr>
        <w:spacing w:after="0" w:line="240" w:lineRule="auto"/>
        <w:jc w:val="both"/>
        <w:rPr>
          <w:rFonts w:ascii="Arial" w:eastAsia="Times New Roman" w:hAnsi="Arial" w:cs="Arial"/>
          <w:i/>
          <w:sz w:val="18"/>
          <w:szCs w:val="18"/>
          <w:lang w:eastAsia="en-US"/>
        </w:rPr>
      </w:pPr>
      <w:bookmarkStart w:id="276" w:name="_Hlk145935017"/>
      <w:r w:rsidRPr="00154FCA">
        <w:rPr>
          <w:rFonts w:ascii="Arial" w:eastAsia="Times New Roman" w:hAnsi="Arial" w:cs="Arial"/>
          <w:b/>
          <w:i/>
          <w:sz w:val="18"/>
          <w:szCs w:val="18"/>
          <w:lang w:eastAsia="en-US"/>
        </w:rPr>
        <w:t>* Napomena:</w:t>
      </w:r>
      <w:r w:rsidRPr="00154FCA">
        <w:rPr>
          <w:rFonts w:ascii="Arial" w:eastAsia="Times New Roman" w:hAnsi="Arial" w:cs="Arial"/>
          <w:i/>
          <w:sz w:val="18"/>
          <w:szCs w:val="18"/>
          <w:lang w:eastAsia="en-US"/>
        </w:rPr>
        <w:t xml:space="preserve"> Sukladno zakonskim odredbama </w:t>
      </w:r>
      <w:r w:rsidRPr="00154FCA">
        <w:rPr>
          <w:rFonts w:ascii="Arial" w:eastAsia="Times New Roman" w:hAnsi="Arial" w:cs="Arial"/>
          <w:b/>
          <w:i/>
          <w:sz w:val="18"/>
          <w:szCs w:val="18"/>
          <w:lang w:eastAsia="en-US"/>
        </w:rPr>
        <w:t>izdaci za financijsku imovinu i otplate zajmova</w:t>
      </w:r>
      <w:r w:rsidRPr="00154FCA">
        <w:rPr>
          <w:rFonts w:ascii="Arial" w:eastAsia="Times New Roman" w:hAnsi="Arial" w:cs="Arial"/>
          <w:i/>
          <w:sz w:val="18"/>
          <w:szCs w:val="18"/>
          <w:lang w:eastAsia="en-US"/>
        </w:rPr>
        <w:t xml:space="preserve"> se ne uključuju u funkcijsku klasifikaciju. </w:t>
      </w:r>
    </w:p>
    <w:p w14:paraId="69EE873A" w14:textId="37728EB7" w:rsidR="00667DB2" w:rsidRPr="00154FCA" w:rsidRDefault="00B05CD2" w:rsidP="00077745">
      <w:pPr>
        <w:spacing w:after="0" w:line="240" w:lineRule="auto"/>
        <w:jc w:val="both"/>
        <w:rPr>
          <w:noProof/>
          <w:sz w:val="20"/>
          <w:szCs w:val="20"/>
        </w:rPr>
      </w:pPr>
      <w:r w:rsidRPr="00154FCA">
        <w:rPr>
          <w:rFonts w:ascii="Arial" w:eastAsia="Times New Roman" w:hAnsi="Arial" w:cs="Arial"/>
          <w:i/>
          <w:sz w:val="18"/>
          <w:szCs w:val="18"/>
          <w:lang w:eastAsia="en-US"/>
        </w:rPr>
        <w:t xml:space="preserve">                       Izdaci su u 202</w:t>
      </w:r>
      <w:r w:rsidR="005B5629">
        <w:rPr>
          <w:rFonts w:ascii="Arial" w:eastAsia="Times New Roman" w:hAnsi="Arial" w:cs="Arial"/>
          <w:i/>
          <w:sz w:val="18"/>
          <w:szCs w:val="18"/>
          <w:lang w:eastAsia="en-US"/>
        </w:rPr>
        <w:t>5</w:t>
      </w:r>
      <w:r w:rsidRPr="00154FCA">
        <w:rPr>
          <w:rFonts w:ascii="Arial" w:eastAsia="Times New Roman" w:hAnsi="Arial" w:cs="Arial"/>
          <w:i/>
          <w:sz w:val="18"/>
          <w:szCs w:val="18"/>
          <w:lang w:eastAsia="en-US"/>
        </w:rPr>
        <w:t xml:space="preserve">. izvršeni u iznosu </w:t>
      </w:r>
      <w:r w:rsidR="005B5629">
        <w:rPr>
          <w:rFonts w:ascii="Arial" w:eastAsia="Times New Roman" w:hAnsi="Arial" w:cs="Arial"/>
          <w:i/>
          <w:sz w:val="18"/>
          <w:szCs w:val="18"/>
          <w:lang w:eastAsia="en-US"/>
        </w:rPr>
        <w:t>380.556</w:t>
      </w:r>
      <w:r w:rsidRPr="00154FCA">
        <w:rPr>
          <w:rFonts w:ascii="Arial" w:eastAsia="Times New Roman" w:hAnsi="Arial" w:cs="Arial"/>
          <w:i/>
          <w:sz w:val="18"/>
          <w:szCs w:val="18"/>
          <w:lang w:eastAsia="en-US"/>
        </w:rPr>
        <w:t xml:space="preserve"> €.</w:t>
      </w:r>
      <w:bookmarkEnd w:id="276"/>
      <w:r w:rsidR="00667DB2" w:rsidRPr="00154FCA">
        <w:rPr>
          <w:noProof/>
          <w:sz w:val="20"/>
          <w:szCs w:val="20"/>
        </w:rPr>
        <w:br w:type="page"/>
      </w:r>
    </w:p>
    <w:p w14:paraId="7230DB05" w14:textId="2705846F" w:rsidR="00793F4F" w:rsidRPr="003A2F86" w:rsidRDefault="00793F4F" w:rsidP="00793F4F">
      <w:pPr>
        <w:pStyle w:val="Naslov2"/>
        <w:jc w:val="center"/>
        <w:rPr>
          <w:rFonts w:ascii="Arial" w:hAnsi="Arial" w:cs="Arial"/>
          <w:sz w:val="22"/>
          <w:szCs w:val="22"/>
          <w:lang w:val="hr-HR"/>
        </w:rPr>
      </w:pPr>
      <w:bookmarkStart w:id="277" w:name="_2.10._STANJE_NOVČANIH"/>
      <w:bookmarkStart w:id="278" w:name="_Toc207707453"/>
      <w:bookmarkEnd w:id="277"/>
      <w:r w:rsidRPr="003A2F86">
        <w:rPr>
          <w:rFonts w:ascii="Arial" w:hAnsi="Arial" w:cs="Arial"/>
          <w:sz w:val="22"/>
          <w:szCs w:val="22"/>
          <w:lang w:val="hr-HR"/>
        </w:rPr>
        <w:lastRenderedPageBreak/>
        <w:t>2.10.</w:t>
      </w:r>
      <w:r w:rsidRPr="003A2F86">
        <w:rPr>
          <w:rFonts w:ascii="Arial" w:hAnsi="Arial" w:cs="Arial"/>
          <w:sz w:val="22"/>
          <w:szCs w:val="22"/>
          <w:lang w:val="hr-HR"/>
        </w:rPr>
        <w:tab/>
        <w:t>STANJE NOVČANIH SREDSTAVA</w:t>
      </w:r>
      <w:bookmarkEnd w:id="278"/>
    </w:p>
    <w:p w14:paraId="574F4B6C" w14:textId="77777777" w:rsidR="00793F4F" w:rsidRPr="003A2F86" w:rsidRDefault="00793F4F" w:rsidP="00793F4F">
      <w:pPr>
        <w:spacing w:after="0" w:line="240" w:lineRule="auto"/>
        <w:jc w:val="both"/>
        <w:rPr>
          <w:rFonts w:ascii="Arial" w:eastAsia="Calibri" w:hAnsi="Arial" w:cs="Arial"/>
        </w:rPr>
      </w:pPr>
    </w:p>
    <w:p w14:paraId="180D4AC6" w14:textId="77777777" w:rsidR="00793F4F" w:rsidRPr="003A2F86" w:rsidRDefault="00793F4F" w:rsidP="00793F4F">
      <w:pPr>
        <w:autoSpaceDE w:val="0"/>
        <w:autoSpaceDN w:val="0"/>
        <w:adjustRightInd w:val="0"/>
        <w:spacing w:after="0" w:line="240" w:lineRule="auto"/>
        <w:jc w:val="both"/>
        <w:rPr>
          <w:rFonts w:ascii="Arial" w:eastAsia="Calibri" w:hAnsi="Arial" w:cs="Arial"/>
        </w:rPr>
      </w:pPr>
      <w:r w:rsidRPr="003A2F86">
        <w:rPr>
          <w:rFonts w:ascii="Arial" w:eastAsia="Times New Roman" w:hAnsi="Arial" w:cs="Arial"/>
        </w:rPr>
        <w:t xml:space="preserve">Općinsko vijeće Općine Konavle je u rujnu 2014. donijelo </w:t>
      </w:r>
      <w:r w:rsidRPr="003A2F86">
        <w:rPr>
          <w:rFonts w:ascii="Arial" w:eastAsia="Times New Roman" w:hAnsi="Arial" w:cs="Arial"/>
          <w:b/>
        </w:rPr>
        <w:t>Odluku o sustavu glavne knjige riznice Općine Konavle i načinu vođenja jedinstvenog računa riznice</w:t>
      </w:r>
      <w:r w:rsidRPr="003A2F86">
        <w:rPr>
          <w:rFonts w:ascii="Arial" w:eastAsia="Times New Roman" w:hAnsi="Arial" w:cs="Arial"/>
        </w:rPr>
        <w:t xml:space="preserve"> (Službeni glasnik Općine Konavle broj 7/2014), a odluka se primjenjuje od 1.1.2015.</w:t>
      </w:r>
      <w:r w:rsidRPr="003A2F86">
        <w:rPr>
          <w:rFonts w:ascii="Arial" w:eastAsia="Calibri" w:hAnsi="Arial" w:cs="Arial"/>
        </w:rPr>
        <w:t xml:space="preserve"> </w:t>
      </w:r>
    </w:p>
    <w:p w14:paraId="50FA4DEB" w14:textId="77777777" w:rsidR="00793F4F" w:rsidRPr="003A2F86" w:rsidRDefault="00793F4F" w:rsidP="00793F4F">
      <w:pPr>
        <w:autoSpaceDE w:val="0"/>
        <w:autoSpaceDN w:val="0"/>
        <w:adjustRightInd w:val="0"/>
        <w:spacing w:after="0" w:line="240" w:lineRule="auto"/>
        <w:jc w:val="both"/>
        <w:rPr>
          <w:rFonts w:ascii="Arial" w:eastAsia="Times New Roman" w:hAnsi="Arial" w:cs="Arial"/>
        </w:rPr>
      </w:pPr>
    </w:p>
    <w:p w14:paraId="2D8C0EDB" w14:textId="5D6FC8AE" w:rsidR="00793F4F" w:rsidRPr="003A2F86" w:rsidRDefault="00793F4F" w:rsidP="00793F4F">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U sljedećoj tablici daje se prikaz sveukupnog stanja novčanih sredstava, te podjela na sredstva Općine Konavle i sredstva proračunskih korisnika koja su iskazana unutar jedinstvenog žiro računa općinske riznice. Proračunski korisnici su u sustavu općinske riznice i nemaju svoje žiro račune, ali se u tablici koja slijedi odvojeno prikazuje iznos novčanih sredstava koja Općina Konavle u poslovnim knjigama iskazuje na </w:t>
      </w:r>
      <w:r w:rsidRPr="00513728">
        <w:rPr>
          <w:rFonts w:ascii="Arial" w:eastAsia="Times New Roman" w:hAnsi="Arial" w:cs="Arial"/>
          <w:b/>
          <w:bCs/>
        </w:rPr>
        <w:t>računu računskog plana</w:t>
      </w:r>
      <w:r w:rsidR="00FF3335">
        <w:rPr>
          <w:rFonts w:ascii="Arial" w:eastAsia="Times New Roman" w:hAnsi="Arial" w:cs="Arial"/>
          <w:b/>
          <w:bCs/>
        </w:rPr>
        <w:t xml:space="preserve"> 27411</w:t>
      </w:r>
      <w:r w:rsidRPr="00513728">
        <w:rPr>
          <w:rFonts w:ascii="Arial" w:eastAsia="Times New Roman" w:hAnsi="Arial" w:cs="Arial"/>
          <w:b/>
          <w:bCs/>
        </w:rPr>
        <w:t xml:space="preserve"> </w:t>
      </w:r>
      <w:r w:rsidRPr="003A2F86">
        <w:rPr>
          <w:rFonts w:ascii="Arial" w:eastAsia="Times New Roman" w:hAnsi="Arial" w:cs="Arial"/>
        </w:rPr>
        <w:t>Obveze proračuna za naplaćene prihode proračunskih korisnika</w:t>
      </w:r>
      <w:r w:rsidR="00513728">
        <w:rPr>
          <w:rFonts w:ascii="Arial" w:eastAsia="Times New Roman" w:hAnsi="Arial" w:cs="Arial"/>
        </w:rPr>
        <w:t xml:space="preserve"> </w:t>
      </w:r>
      <w:r w:rsidR="00513728" w:rsidRPr="00513728">
        <w:rPr>
          <w:rFonts w:ascii="Arial" w:eastAsia="Times New Roman" w:hAnsi="Arial" w:cs="Arial"/>
          <w:b/>
          <w:bCs/>
        </w:rPr>
        <w:t xml:space="preserve">(odnosno račun </w:t>
      </w:r>
      <w:r w:rsidR="00FF3335">
        <w:rPr>
          <w:rFonts w:ascii="Arial" w:eastAsia="Times New Roman" w:hAnsi="Arial" w:cs="Arial"/>
          <w:b/>
          <w:bCs/>
        </w:rPr>
        <w:t>23956</w:t>
      </w:r>
      <w:r w:rsidR="00513728" w:rsidRPr="00513728">
        <w:rPr>
          <w:rFonts w:ascii="Arial" w:eastAsia="Times New Roman" w:hAnsi="Arial" w:cs="Arial"/>
          <w:b/>
          <w:bCs/>
        </w:rPr>
        <w:t xml:space="preserve"> </w:t>
      </w:r>
      <w:r w:rsidR="00FF3335">
        <w:rPr>
          <w:rFonts w:ascii="Arial" w:eastAsia="Times New Roman" w:hAnsi="Arial" w:cs="Arial"/>
          <w:b/>
          <w:bCs/>
        </w:rPr>
        <w:t>do</w:t>
      </w:r>
      <w:r w:rsidR="00513728" w:rsidRPr="00513728">
        <w:rPr>
          <w:rFonts w:ascii="Arial" w:eastAsia="Times New Roman" w:hAnsi="Arial" w:cs="Arial"/>
          <w:b/>
          <w:bCs/>
        </w:rPr>
        <w:t xml:space="preserve"> </w:t>
      </w:r>
      <w:r w:rsidR="00FF3335">
        <w:rPr>
          <w:rFonts w:ascii="Arial" w:eastAsia="Times New Roman" w:hAnsi="Arial" w:cs="Arial"/>
          <w:b/>
          <w:bCs/>
        </w:rPr>
        <w:t>31.12.2024.</w:t>
      </w:r>
      <w:r w:rsidR="00513728" w:rsidRPr="00513728">
        <w:rPr>
          <w:rFonts w:ascii="Arial" w:eastAsia="Times New Roman" w:hAnsi="Arial" w:cs="Arial"/>
          <w:b/>
          <w:bCs/>
        </w:rPr>
        <w:t xml:space="preserve"> godine)</w:t>
      </w:r>
      <w:r w:rsidRPr="003A2F86">
        <w:rPr>
          <w:rFonts w:ascii="Arial" w:eastAsia="Times New Roman" w:hAnsi="Arial" w:cs="Arial"/>
        </w:rPr>
        <w:t>, a proračunski korisnici u svojim poslovnim knjigama na računu računskog plana 16721 Potraživanja proračunskih korisnika za sredstva uplaćena u nadležni proračun.</w:t>
      </w:r>
    </w:p>
    <w:p w14:paraId="7122C345" w14:textId="77777777" w:rsidR="00793F4F" w:rsidRPr="003A2F86" w:rsidRDefault="00793F4F" w:rsidP="00793F4F">
      <w:pPr>
        <w:spacing w:after="0" w:line="240" w:lineRule="auto"/>
        <w:jc w:val="both"/>
        <w:rPr>
          <w:rFonts w:ascii="Arial" w:eastAsia="Calibri" w:hAnsi="Arial" w:cs="Arial"/>
        </w:rPr>
      </w:pPr>
    </w:p>
    <w:p w14:paraId="5DAA147E" w14:textId="1239DD6F" w:rsidR="00793F4F" w:rsidRPr="003A2F86" w:rsidRDefault="00793F4F" w:rsidP="00793F4F">
      <w:pPr>
        <w:pStyle w:val="Opisslike"/>
        <w:keepNext/>
        <w:jc w:val="both"/>
      </w:pPr>
      <w:bookmarkStart w:id="279" w:name="_Toc207706988"/>
      <w:r w:rsidRPr="003A2F86">
        <w:rPr>
          <w:color w:val="FF0000"/>
        </w:rPr>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24</w:t>
      </w:r>
      <w:r w:rsidRPr="003A2F86">
        <w:rPr>
          <w:color w:val="FF0000"/>
        </w:rPr>
        <w:fldChar w:fldCharType="end"/>
      </w:r>
      <w:r w:rsidRPr="003A2F86">
        <w:rPr>
          <w:color w:val="FF0000"/>
        </w:rPr>
        <w:t xml:space="preserve">.: </w:t>
      </w:r>
      <w:r w:rsidRPr="003A2F86">
        <w:rPr>
          <w:rFonts w:ascii="Arial" w:hAnsi="Arial" w:cs="Arial"/>
        </w:rPr>
        <w:t>Stanje novčanih sredstava</w:t>
      </w:r>
      <w:r w:rsidR="00EC0112" w:rsidRPr="003A2F86">
        <w:rPr>
          <w:rFonts w:ascii="Arial" w:hAnsi="Arial" w:cs="Arial"/>
        </w:rPr>
        <w:t xml:space="preserve"> na dan </w:t>
      </w:r>
      <w:r w:rsidR="00FF3335">
        <w:rPr>
          <w:rFonts w:ascii="Arial" w:hAnsi="Arial" w:cs="Arial"/>
        </w:rPr>
        <w:t>30.06.2025</w:t>
      </w:r>
      <w:r w:rsidR="00EC0112" w:rsidRPr="003A2F86">
        <w:rPr>
          <w:rFonts w:ascii="Arial" w:hAnsi="Arial" w:cs="Arial"/>
        </w:rPr>
        <w:t>.</w:t>
      </w:r>
      <w:bookmarkEnd w:id="279"/>
    </w:p>
    <w:p w14:paraId="60E10B4D" w14:textId="77777777" w:rsidR="00793F4F" w:rsidRPr="003A2F86" w:rsidRDefault="00793F4F" w:rsidP="00793F4F">
      <w:pPr>
        <w:spacing w:after="0" w:line="240" w:lineRule="auto"/>
        <w:jc w:val="both"/>
        <w:rPr>
          <w:rFonts w:ascii="Arial" w:eastAsia="Calibri" w:hAnsi="Arial" w:cs="Arial"/>
        </w:rPr>
      </w:pPr>
    </w:p>
    <w:tbl>
      <w:tblPr>
        <w:tblW w:w="9920" w:type="dxa"/>
        <w:jc w:val="center"/>
        <w:tblLook w:val="04A0" w:firstRow="1" w:lastRow="0" w:firstColumn="1" w:lastColumn="0" w:noHBand="0" w:noVBand="1"/>
      </w:tblPr>
      <w:tblGrid>
        <w:gridCol w:w="1360"/>
        <w:gridCol w:w="4360"/>
        <w:gridCol w:w="2100"/>
        <w:gridCol w:w="2100"/>
      </w:tblGrid>
      <w:tr w:rsidR="00FF3335" w:rsidRPr="003A2F86" w14:paraId="0166AAC3" w14:textId="77777777" w:rsidTr="00FF3335">
        <w:trPr>
          <w:trHeight w:val="300"/>
          <w:jc w:val="center"/>
        </w:trPr>
        <w:tc>
          <w:tcPr>
            <w:tcW w:w="1360" w:type="dxa"/>
            <w:tcBorders>
              <w:top w:val="single" w:sz="8" w:space="0" w:color="auto"/>
              <w:left w:val="single" w:sz="8" w:space="0" w:color="auto"/>
              <w:bottom w:val="single" w:sz="4" w:space="0" w:color="auto"/>
              <w:right w:val="single" w:sz="4" w:space="0" w:color="auto"/>
            </w:tcBorders>
            <w:vAlign w:val="center"/>
            <w:hideMark/>
          </w:tcPr>
          <w:p w14:paraId="347B6788" w14:textId="77777777" w:rsidR="00FF3335" w:rsidRPr="003A2F86" w:rsidRDefault="00FF3335" w:rsidP="00FF3335">
            <w:pPr>
              <w:spacing w:after="0" w:line="240" w:lineRule="auto"/>
              <w:jc w:val="center"/>
              <w:rPr>
                <w:rFonts w:ascii="Arial" w:eastAsia="Times New Roman" w:hAnsi="Arial" w:cs="Arial"/>
                <w:b/>
                <w:bCs/>
                <w:color w:val="000000"/>
                <w:sz w:val="20"/>
                <w:szCs w:val="20"/>
              </w:rPr>
            </w:pPr>
            <w:r w:rsidRPr="003A2F86">
              <w:rPr>
                <w:rFonts w:ascii="Arial" w:eastAsia="Times New Roman" w:hAnsi="Arial" w:cs="Arial"/>
                <w:b/>
                <w:bCs/>
                <w:color w:val="000000"/>
                <w:sz w:val="20"/>
                <w:szCs w:val="20"/>
              </w:rPr>
              <w:t>R. br.</w:t>
            </w:r>
          </w:p>
        </w:tc>
        <w:tc>
          <w:tcPr>
            <w:tcW w:w="4360" w:type="dxa"/>
            <w:tcBorders>
              <w:top w:val="single" w:sz="8" w:space="0" w:color="auto"/>
              <w:left w:val="nil"/>
              <w:bottom w:val="single" w:sz="4" w:space="0" w:color="auto"/>
              <w:right w:val="single" w:sz="4" w:space="0" w:color="auto"/>
            </w:tcBorders>
            <w:vAlign w:val="center"/>
            <w:hideMark/>
          </w:tcPr>
          <w:p w14:paraId="7D3FAF15" w14:textId="77777777" w:rsidR="00FF3335" w:rsidRPr="003A2F86" w:rsidRDefault="00FF3335" w:rsidP="00FF3335">
            <w:pPr>
              <w:spacing w:after="0" w:line="240" w:lineRule="auto"/>
              <w:jc w:val="center"/>
              <w:rPr>
                <w:rFonts w:ascii="Arial" w:eastAsia="Times New Roman" w:hAnsi="Arial" w:cs="Arial"/>
                <w:b/>
                <w:bCs/>
                <w:color w:val="000000"/>
                <w:sz w:val="20"/>
                <w:szCs w:val="20"/>
              </w:rPr>
            </w:pPr>
            <w:r w:rsidRPr="003A2F86">
              <w:rPr>
                <w:rFonts w:ascii="Arial" w:eastAsia="Times New Roman" w:hAnsi="Arial" w:cs="Arial"/>
                <w:b/>
                <w:bCs/>
                <w:color w:val="000000"/>
                <w:sz w:val="20"/>
                <w:szCs w:val="20"/>
              </w:rPr>
              <w:t>Naziv korisnika</w:t>
            </w:r>
          </w:p>
        </w:tc>
        <w:tc>
          <w:tcPr>
            <w:tcW w:w="2100" w:type="dxa"/>
            <w:tcBorders>
              <w:top w:val="single" w:sz="8" w:space="0" w:color="auto"/>
              <w:left w:val="nil"/>
              <w:bottom w:val="single" w:sz="4" w:space="0" w:color="auto"/>
              <w:right w:val="single" w:sz="4" w:space="0" w:color="auto"/>
            </w:tcBorders>
            <w:vAlign w:val="center"/>
          </w:tcPr>
          <w:p w14:paraId="31271A40" w14:textId="3B60F825" w:rsidR="00FF3335" w:rsidRPr="003A2F86" w:rsidRDefault="00FF3335" w:rsidP="00FF3335">
            <w:pPr>
              <w:spacing w:after="0" w:line="240" w:lineRule="auto"/>
              <w:jc w:val="center"/>
              <w:rPr>
                <w:rFonts w:ascii="Arial" w:eastAsia="Times New Roman" w:hAnsi="Arial" w:cs="Arial"/>
                <w:b/>
                <w:bCs/>
                <w:color w:val="000000"/>
                <w:sz w:val="20"/>
                <w:szCs w:val="20"/>
              </w:rPr>
            </w:pPr>
            <w:r w:rsidRPr="003A2F86">
              <w:rPr>
                <w:rFonts w:ascii="Arial" w:eastAsia="Times New Roman" w:hAnsi="Arial" w:cs="Arial"/>
                <w:b/>
                <w:bCs/>
                <w:color w:val="000000"/>
                <w:sz w:val="20"/>
                <w:szCs w:val="20"/>
              </w:rPr>
              <w:t xml:space="preserve">Stanje </w:t>
            </w:r>
            <w:r>
              <w:rPr>
                <w:rFonts w:ascii="Arial" w:eastAsia="Times New Roman" w:hAnsi="Arial" w:cs="Arial"/>
                <w:b/>
                <w:bCs/>
                <w:color w:val="000000"/>
                <w:sz w:val="20"/>
                <w:szCs w:val="20"/>
              </w:rPr>
              <w:t>31.12</w:t>
            </w:r>
            <w:r w:rsidRPr="003A2F86">
              <w:rPr>
                <w:rFonts w:ascii="Arial" w:eastAsia="Times New Roman" w:hAnsi="Arial" w:cs="Arial"/>
                <w:b/>
                <w:bCs/>
                <w:color w:val="000000"/>
                <w:sz w:val="20"/>
                <w:szCs w:val="20"/>
              </w:rPr>
              <w:t>.2024. (€)</w:t>
            </w:r>
          </w:p>
        </w:tc>
        <w:tc>
          <w:tcPr>
            <w:tcW w:w="2100" w:type="dxa"/>
            <w:tcBorders>
              <w:top w:val="single" w:sz="8" w:space="0" w:color="auto"/>
              <w:left w:val="single" w:sz="4" w:space="0" w:color="auto"/>
              <w:bottom w:val="single" w:sz="4" w:space="0" w:color="auto"/>
              <w:right w:val="single" w:sz="4" w:space="0" w:color="auto"/>
            </w:tcBorders>
            <w:vAlign w:val="center"/>
            <w:hideMark/>
          </w:tcPr>
          <w:p w14:paraId="0F2CC14D" w14:textId="14AD9257" w:rsidR="00FF3335" w:rsidRPr="003A2F86" w:rsidRDefault="00FF3335" w:rsidP="00FF3335">
            <w:pPr>
              <w:spacing w:after="0" w:line="240" w:lineRule="auto"/>
              <w:jc w:val="center"/>
              <w:rPr>
                <w:rFonts w:ascii="Arial" w:eastAsia="Times New Roman" w:hAnsi="Arial" w:cs="Arial"/>
                <w:b/>
                <w:bCs/>
                <w:color w:val="000000"/>
                <w:sz w:val="20"/>
                <w:szCs w:val="20"/>
              </w:rPr>
            </w:pPr>
            <w:r w:rsidRPr="003A2F86">
              <w:rPr>
                <w:rFonts w:ascii="Arial" w:eastAsia="Times New Roman" w:hAnsi="Arial" w:cs="Arial"/>
                <w:b/>
                <w:bCs/>
                <w:color w:val="000000"/>
                <w:sz w:val="20"/>
                <w:szCs w:val="20"/>
              </w:rPr>
              <w:t xml:space="preserve">Stanje </w:t>
            </w:r>
            <w:r>
              <w:rPr>
                <w:rFonts w:ascii="Arial" w:eastAsia="Times New Roman" w:hAnsi="Arial" w:cs="Arial"/>
                <w:b/>
                <w:bCs/>
                <w:color w:val="000000"/>
                <w:sz w:val="20"/>
                <w:szCs w:val="20"/>
              </w:rPr>
              <w:t>30.06.2025</w:t>
            </w:r>
            <w:r w:rsidRPr="003A2F86">
              <w:rPr>
                <w:rFonts w:ascii="Arial" w:eastAsia="Times New Roman" w:hAnsi="Arial" w:cs="Arial"/>
                <w:b/>
                <w:bCs/>
                <w:color w:val="000000"/>
                <w:sz w:val="20"/>
                <w:szCs w:val="20"/>
              </w:rPr>
              <w:t>. (€)</w:t>
            </w:r>
          </w:p>
        </w:tc>
      </w:tr>
      <w:tr w:rsidR="00FF3335" w:rsidRPr="003A2F86" w14:paraId="7725AF88" w14:textId="77777777" w:rsidTr="00FF3335">
        <w:trPr>
          <w:trHeight w:val="165"/>
          <w:jc w:val="center"/>
        </w:trPr>
        <w:tc>
          <w:tcPr>
            <w:tcW w:w="1360" w:type="dxa"/>
            <w:tcBorders>
              <w:top w:val="nil"/>
              <w:left w:val="single" w:sz="8" w:space="0" w:color="auto"/>
              <w:bottom w:val="single" w:sz="8" w:space="0" w:color="auto"/>
              <w:right w:val="single" w:sz="4" w:space="0" w:color="auto"/>
            </w:tcBorders>
            <w:vAlign w:val="center"/>
            <w:hideMark/>
          </w:tcPr>
          <w:p w14:paraId="5AB1A6AC" w14:textId="77777777" w:rsidR="00FF3335" w:rsidRPr="003A2F86" w:rsidRDefault="00FF3335" w:rsidP="00FF3335">
            <w:pPr>
              <w:spacing w:after="0" w:line="240" w:lineRule="auto"/>
              <w:jc w:val="center"/>
              <w:rPr>
                <w:rFonts w:ascii="Arial" w:eastAsia="Times New Roman" w:hAnsi="Arial" w:cs="Arial"/>
                <w:color w:val="000000"/>
                <w:sz w:val="14"/>
                <w:szCs w:val="14"/>
              </w:rPr>
            </w:pPr>
            <w:r w:rsidRPr="003A2F86">
              <w:rPr>
                <w:rFonts w:ascii="Arial" w:eastAsia="Times New Roman" w:hAnsi="Arial" w:cs="Arial"/>
                <w:color w:val="000000"/>
                <w:sz w:val="14"/>
                <w:szCs w:val="14"/>
              </w:rPr>
              <w:t>1</w:t>
            </w:r>
          </w:p>
        </w:tc>
        <w:tc>
          <w:tcPr>
            <w:tcW w:w="4360" w:type="dxa"/>
            <w:tcBorders>
              <w:top w:val="nil"/>
              <w:left w:val="nil"/>
              <w:bottom w:val="single" w:sz="8" w:space="0" w:color="auto"/>
              <w:right w:val="single" w:sz="4" w:space="0" w:color="auto"/>
            </w:tcBorders>
            <w:vAlign w:val="center"/>
            <w:hideMark/>
          </w:tcPr>
          <w:p w14:paraId="6C53F84A" w14:textId="77777777" w:rsidR="00FF3335" w:rsidRPr="003A2F86" w:rsidRDefault="00FF3335" w:rsidP="00FF3335">
            <w:pPr>
              <w:spacing w:after="0" w:line="240" w:lineRule="auto"/>
              <w:jc w:val="center"/>
              <w:rPr>
                <w:rFonts w:ascii="Arial" w:eastAsia="Times New Roman" w:hAnsi="Arial" w:cs="Arial"/>
                <w:color w:val="000000"/>
                <w:sz w:val="14"/>
                <w:szCs w:val="14"/>
              </w:rPr>
            </w:pPr>
            <w:r w:rsidRPr="003A2F86">
              <w:rPr>
                <w:rFonts w:ascii="Arial" w:eastAsia="Times New Roman" w:hAnsi="Arial" w:cs="Arial"/>
                <w:color w:val="000000"/>
                <w:sz w:val="14"/>
                <w:szCs w:val="14"/>
              </w:rPr>
              <w:t>2</w:t>
            </w:r>
          </w:p>
        </w:tc>
        <w:tc>
          <w:tcPr>
            <w:tcW w:w="2100" w:type="dxa"/>
            <w:tcBorders>
              <w:top w:val="nil"/>
              <w:left w:val="nil"/>
              <w:bottom w:val="single" w:sz="8" w:space="0" w:color="auto"/>
              <w:right w:val="single" w:sz="4" w:space="0" w:color="auto"/>
            </w:tcBorders>
            <w:vAlign w:val="center"/>
          </w:tcPr>
          <w:p w14:paraId="1F95A10D" w14:textId="121C84C7" w:rsidR="00FF3335" w:rsidRPr="003A2F86" w:rsidRDefault="00FF3335" w:rsidP="00FF3335">
            <w:pPr>
              <w:spacing w:after="0" w:line="240" w:lineRule="auto"/>
              <w:jc w:val="center"/>
              <w:rPr>
                <w:rFonts w:ascii="Arial" w:eastAsia="Times New Roman" w:hAnsi="Arial" w:cs="Arial"/>
                <w:color w:val="000000"/>
                <w:sz w:val="14"/>
                <w:szCs w:val="14"/>
              </w:rPr>
            </w:pPr>
            <w:r w:rsidRPr="003A2F86">
              <w:rPr>
                <w:rFonts w:ascii="Arial" w:eastAsia="Times New Roman" w:hAnsi="Arial" w:cs="Arial"/>
                <w:color w:val="000000"/>
                <w:sz w:val="14"/>
                <w:szCs w:val="14"/>
              </w:rPr>
              <w:t>4</w:t>
            </w:r>
          </w:p>
        </w:tc>
        <w:tc>
          <w:tcPr>
            <w:tcW w:w="2100" w:type="dxa"/>
            <w:tcBorders>
              <w:top w:val="nil"/>
              <w:left w:val="single" w:sz="4" w:space="0" w:color="auto"/>
              <w:bottom w:val="single" w:sz="8" w:space="0" w:color="auto"/>
              <w:right w:val="single" w:sz="4" w:space="0" w:color="auto"/>
            </w:tcBorders>
            <w:vAlign w:val="center"/>
            <w:hideMark/>
          </w:tcPr>
          <w:p w14:paraId="6C691216" w14:textId="4426CD0F" w:rsidR="00FF3335" w:rsidRPr="003A2F86" w:rsidRDefault="00FF3335" w:rsidP="00FF3335">
            <w:pPr>
              <w:spacing w:after="0" w:line="240" w:lineRule="auto"/>
              <w:jc w:val="center"/>
              <w:rPr>
                <w:rFonts w:ascii="Arial" w:eastAsia="Times New Roman" w:hAnsi="Arial" w:cs="Arial"/>
                <w:color w:val="000000"/>
                <w:sz w:val="14"/>
                <w:szCs w:val="14"/>
              </w:rPr>
            </w:pPr>
            <w:r w:rsidRPr="003A2F86">
              <w:rPr>
                <w:rFonts w:ascii="Arial" w:eastAsia="Times New Roman" w:hAnsi="Arial" w:cs="Arial"/>
                <w:color w:val="000000"/>
                <w:sz w:val="14"/>
                <w:szCs w:val="14"/>
              </w:rPr>
              <w:t>3</w:t>
            </w:r>
          </w:p>
        </w:tc>
      </w:tr>
      <w:tr w:rsidR="00FF3335" w:rsidRPr="003A2F86" w14:paraId="09ABB82D" w14:textId="77777777" w:rsidTr="00FF3335">
        <w:trPr>
          <w:trHeight w:val="300"/>
          <w:jc w:val="center"/>
        </w:trPr>
        <w:tc>
          <w:tcPr>
            <w:tcW w:w="1360" w:type="dxa"/>
            <w:tcBorders>
              <w:top w:val="nil"/>
              <w:left w:val="single" w:sz="4" w:space="0" w:color="auto"/>
              <w:bottom w:val="single" w:sz="4" w:space="0" w:color="auto"/>
              <w:right w:val="single" w:sz="4" w:space="0" w:color="auto"/>
            </w:tcBorders>
            <w:vAlign w:val="center"/>
            <w:hideMark/>
          </w:tcPr>
          <w:p w14:paraId="7BCBF86D" w14:textId="77777777" w:rsidR="00FF3335" w:rsidRPr="003A2F86" w:rsidRDefault="00FF3335" w:rsidP="00FF3335">
            <w:pPr>
              <w:spacing w:after="0" w:line="240" w:lineRule="auto"/>
              <w:jc w:val="center"/>
              <w:rPr>
                <w:rFonts w:ascii="Calibri" w:eastAsia="Times New Roman" w:hAnsi="Calibri" w:cs="Calibri"/>
                <w:b/>
                <w:bCs/>
                <w:color w:val="000000"/>
                <w:sz w:val="18"/>
                <w:szCs w:val="18"/>
              </w:rPr>
            </w:pPr>
            <w:r w:rsidRPr="003A2F86">
              <w:rPr>
                <w:rFonts w:ascii="Calibri" w:eastAsia="Times New Roman" w:hAnsi="Calibri" w:cs="Calibri"/>
                <w:b/>
                <w:bCs/>
                <w:color w:val="000000"/>
                <w:sz w:val="18"/>
                <w:szCs w:val="18"/>
              </w:rPr>
              <w:t xml:space="preserve">1 (1.a. +1.b. ) </w:t>
            </w:r>
          </w:p>
        </w:tc>
        <w:tc>
          <w:tcPr>
            <w:tcW w:w="4360" w:type="dxa"/>
            <w:tcBorders>
              <w:top w:val="nil"/>
              <w:left w:val="nil"/>
              <w:bottom w:val="single" w:sz="4" w:space="0" w:color="auto"/>
              <w:right w:val="single" w:sz="4" w:space="0" w:color="auto"/>
            </w:tcBorders>
            <w:vAlign w:val="center"/>
            <w:hideMark/>
          </w:tcPr>
          <w:p w14:paraId="5B066FE6" w14:textId="77777777" w:rsidR="00FF3335" w:rsidRPr="003A2F86" w:rsidRDefault="00FF3335" w:rsidP="00FF3335">
            <w:pPr>
              <w:spacing w:after="0" w:line="240" w:lineRule="auto"/>
              <w:jc w:val="center"/>
              <w:rPr>
                <w:rFonts w:ascii="Calibri" w:eastAsia="Times New Roman" w:hAnsi="Calibri" w:cs="Calibri"/>
                <w:b/>
                <w:bCs/>
                <w:i/>
                <w:iCs/>
                <w:color w:val="E36C0A"/>
              </w:rPr>
            </w:pPr>
            <w:r w:rsidRPr="003A2F86">
              <w:rPr>
                <w:rFonts w:ascii="Calibri" w:eastAsia="Times New Roman" w:hAnsi="Calibri" w:cs="Calibri"/>
                <w:b/>
                <w:bCs/>
                <w:i/>
                <w:iCs/>
                <w:color w:val="E36C0A"/>
              </w:rPr>
              <w:t>Novčana sredstva u banci</w:t>
            </w:r>
          </w:p>
        </w:tc>
        <w:tc>
          <w:tcPr>
            <w:tcW w:w="2100" w:type="dxa"/>
            <w:tcBorders>
              <w:top w:val="nil"/>
              <w:left w:val="nil"/>
              <w:bottom w:val="single" w:sz="4" w:space="0" w:color="auto"/>
              <w:right w:val="single" w:sz="4" w:space="0" w:color="auto"/>
            </w:tcBorders>
            <w:vAlign w:val="center"/>
          </w:tcPr>
          <w:p w14:paraId="02AA8771" w14:textId="6B1E77E5" w:rsidR="00FF3335" w:rsidRPr="003A2F86" w:rsidRDefault="00FF3335" w:rsidP="00FF3335">
            <w:pPr>
              <w:spacing w:after="0" w:line="240" w:lineRule="auto"/>
              <w:jc w:val="right"/>
              <w:rPr>
                <w:rFonts w:ascii="Calibri" w:eastAsia="Times New Roman" w:hAnsi="Calibri" w:cs="Calibri"/>
                <w:b/>
                <w:bCs/>
                <w:color w:val="C65911"/>
              </w:rPr>
            </w:pPr>
            <w:r>
              <w:rPr>
                <w:rFonts w:ascii="Calibri" w:hAnsi="Calibri" w:cs="Calibri"/>
                <w:b/>
                <w:bCs/>
                <w:color w:val="C65911"/>
              </w:rPr>
              <w:t>3.498.738,06</w:t>
            </w:r>
          </w:p>
        </w:tc>
        <w:tc>
          <w:tcPr>
            <w:tcW w:w="2100" w:type="dxa"/>
            <w:tcBorders>
              <w:top w:val="nil"/>
              <w:left w:val="single" w:sz="4" w:space="0" w:color="auto"/>
              <w:bottom w:val="single" w:sz="4" w:space="0" w:color="auto"/>
              <w:right w:val="single" w:sz="4" w:space="0" w:color="auto"/>
            </w:tcBorders>
            <w:noWrap/>
            <w:vAlign w:val="center"/>
            <w:hideMark/>
          </w:tcPr>
          <w:p w14:paraId="20FF9F9A" w14:textId="4A503914" w:rsidR="00FF3335" w:rsidRPr="003A2F86" w:rsidRDefault="00FF3335" w:rsidP="00FF3335">
            <w:pPr>
              <w:spacing w:after="0" w:line="240" w:lineRule="auto"/>
              <w:jc w:val="right"/>
              <w:rPr>
                <w:rFonts w:ascii="Calibri" w:eastAsia="Times New Roman" w:hAnsi="Calibri" w:cs="Calibri"/>
                <w:b/>
                <w:bCs/>
                <w:color w:val="C65911"/>
              </w:rPr>
            </w:pPr>
            <w:r w:rsidRPr="003A2F86">
              <w:rPr>
                <w:rFonts w:ascii="Calibri" w:eastAsia="Times New Roman" w:hAnsi="Calibri" w:cs="Calibri"/>
                <w:b/>
                <w:bCs/>
                <w:color w:val="C65911"/>
              </w:rPr>
              <w:t>4.352.923,50</w:t>
            </w:r>
          </w:p>
        </w:tc>
      </w:tr>
      <w:tr w:rsidR="00FF3335" w:rsidRPr="003A2F86" w14:paraId="0E3E596F" w14:textId="77777777" w:rsidTr="00FF3335">
        <w:trPr>
          <w:trHeight w:val="300"/>
          <w:jc w:val="center"/>
        </w:trPr>
        <w:tc>
          <w:tcPr>
            <w:tcW w:w="1360" w:type="dxa"/>
            <w:tcBorders>
              <w:top w:val="nil"/>
              <w:left w:val="single" w:sz="4" w:space="0" w:color="auto"/>
              <w:bottom w:val="single" w:sz="4" w:space="0" w:color="auto"/>
              <w:right w:val="single" w:sz="4" w:space="0" w:color="auto"/>
            </w:tcBorders>
            <w:vAlign w:val="center"/>
            <w:hideMark/>
          </w:tcPr>
          <w:p w14:paraId="1BC54C99" w14:textId="77777777" w:rsidR="00FF3335" w:rsidRPr="003A2F86" w:rsidRDefault="00FF3335" w:rsidP="00FF3335">
            <w:pPr>
              <w:spacing w:after="0" w:line="240" w:lineRule="auto"/>
              <w:jc w:val="center"/>
              <w:rPr>
                <w:rFonts w:ascii="Calibri" w:eastAsia="Times New Roman" w:hAnsi="Calibri" w:cs="Calibri"/>
                <w:b/>
                <w:bCs/>
                <w:color w:val="000000"/>
              </w:rPr>
            </w:pPr>
            <w:r w:rsidRPr="003A2F86">
              <w:rPr>
                <w:rFonts w:ascii="Calibri" w:eastAsia="Times New Roman" w:hAnsi="Calibri" w:cs="Calibri"/>
                <w:b/>
                <w:bCs/>
                <w:color w:val="000000"/>
              </w:rPr>
              <w:t>1.a.</w:t>
            </w:r>
          </w:p>
        </w:tc>
        <w:tc>
          <w:tcPr>
            <w:tcW w:w="4360" w:type="dxa"/>
            <w:tcBorders>
              <w:top w:val="nil"/>
              <w:left w:val="nil"/>
              <w:bottom w:val="single" w:sz="4" w:space="0" w:color="auto"/>
              <w:right w:val="single" w:sz="4" w:space="0" w:color="auto"/>
            </w:tcBorders>
            <w:vAlign w:val="center"/>
            <w:hideMark/>
          </w:tcPr>
          <w:p w14:paraId="7B185089" w14:textId="77777777" w:rsidR="00FF3335" w:rsidRPr="003A2F86" w:rsidRDefault="00FF3335" w:rsidP="00FF3335">
            <w:pPr>
              <w:spacing w:after="0" w:line="240" w:lineRule="auto"/>
              <w:rPr>
                <w:rFonts w:ascii="Calibri" w:eastAsia="Times New Roman" w:hAnsi="Calibri" w:cs="Calibri"/>
                <w:i/>
                <w:iCs/>
                <w:color w:val="000000"/>
              </w:rPr>
            </w:pPr>
            <w:r w:rsidRPr="003A2F86">
              <w:rPr>
                <w:rFonts w:ascii="Calibri" w:eastAsia="Times New Roman" w:hAnsi="Calibri" w:cs="Calibri"/>
                <w:i/>
                <w:iCs/>
                <w:color w:val="000000"/>
              </w:rPr>
              <w:t>Općina Konavle</w:t>
            </w:r>
          </w:p>
        </w:tc>
        <w:tc>
          <w:tcPr>
            <w:tcW w:w="2100" w:type="dxa"/>
            <w:tcBorders>
              <w:top w:val="nil"/>
              <w:left w:val="nil"/>
              <w:bottom w:val="single" w:sz="4" w:space="0" w:color="auto"/>
              <w:right w:val="single" w:sz="4" w:space="0" w:color="auto"/>
            </w:tcBorders>
            <w:vAlign w:val="center"/>
          </w:tcPr>
          <w:p w14:paraId="0F523ECF" w14:textId="0AEA6F7A" w:rsidR="00FF3335" w:rsidRPr="003A2F86" w:rsidRDefault="00FF3335" w:rsidP="00FF3335">
            <w:pPr>
              <w:spacing w:after="0" w:line="240" w:lineRule="auto"/>
              <w:jc w:val="right"/>
              <w:rPr>
                <w:rFonts w:ascii="Calibri" w:eastAsia="Times New Roman" w:hAnsi="Calibri" w:cs="Calibri"/>
                <w:i/>
                <w:iCs/>
                <w:color w:val="000000"/>
              </w:rPr>
            </w:pPr>
            <w:r>
              <w:rPr>
                <w:rFonts w:ascii="Calibri" w:hAnsi="Calibri" w:cs="Calibri"/>
                <w:i/>
                <w:iCs/>
                <w:color w:val="000000"/>
              </w:rPr>
              <w:t>3.312.081,26</w:t>
            </w:r>
          </w:p>
        </w:tc>
        <w:tc>
          <w:tcPr>
            <w:tcW w:w="2100" w:type="dxa"/>
            <w:tcBorders>
              <w:top w:val="nil"/>
              <w:left w:val="single" w:sz="4" w:space="0" w:color="auto"/>
              <w:bottom w:val="single" w:sz="4" w:space="0" w:color="auto"/>
              <w:right w:val="single" w:sz="4" w:space="0" w:color="auto"/>
            </w:tcBorders>
            <w:noWrap/>
            <w:vAlign w:val="center"/>
            <w:hideMark/>
          </w:tcPr>
          <w:p w14:paraId="6ED6987E" w14:textId="631A9EFD" w:rsidR="00FF3335" w:rsidRPr="003A2F86" w:rsidRDefault="00FF3335" w:rsidP="00FF3335">
            <w:pPr>
              <w:spacing w:after="0" w:line="240" w:lineRule="auto"/>
              <w:jc w:val="right"/>
              <w:rPr>
                <w:rFonts w:ascii="Calibri" w:eastAsia="Times New Roman" w:hAnsi="Calibri" w:cs="Calibri"/>
                <w:i/>
                <w:iCs/>
                <w:color w:val="000000"/>
              </w:rPr>
            </w:pPr>
            <w:r w:rsidRPr="003A2F86">
              <w:rPr>
                <w:rFonts w:ascii="Calibri" w:eastAsia="Times New Roman" w:hAnsi="Calibri" w:cs="Calibri"/>
                <w:i/>
                <w:iCs/>
                <w:color w:val="000000"/>
              </w:rPr>
              <w:t>4.167.690,02</w:t>
            </w:r>
          </w:p>
        </w:tc>
      </w:tr>
      <w:tr w:rsidR="00FF3335" w:rsidRPr="003A2F86" w14:paraId="53EDF982" w14:textId="77777777" w:rsidTr="00FF3335">
        <w:trPr>
          <w:trHeight w:val="300"/>
          <w:jc w:val="center"/>
        </w:trPr>
        <w:tc>
          <w:tcPr>
            <w:tcW w:w="1360" w:type="dxa"/>
            <w:tcBorders>
              <w:top w:val="nil"/>
              <w:left w:val="single" w:sz="4" w:space="0" w:color="auto"/>
              <w:bottom w:val="single" w:sz="4" w:space="0" w:color="auto"/>
              <w:right w:val="single" w:sz="4" w:space="0" w:color="auto"/>
            </w:tcBorders>
            <w:vAlign w:val="center"/>
            <w:hideMark/>
          </w:tcPr>
          <w:p w14:paraId="08F9A08A" w14:textId="77777777" w:rsidR="00FF3335" w:rsidRPr="003A2F86" w:rsidRDefault="00FF3335" w:rsidP="00FF3335">
            <w:pPr>
              <w:spacing w:after="0" w:line="240" w:lineRule="auto"/>
              <w:jc w:val="center"/>
              <w:rPr>
                <w:rFonts w:ascii="Calibri" w:eastAsia="Times New Roman" w:hAnsi="Calibri" w:cs="Calibri"/>
                <w:b/>
                <w:bCs/>
                <w:color w:val="1F497D"/>
              </w:rPr>
            </w:pPr>
            <w:r w:rsidRPr="003A2F86">
              <w:rPr>
                <w:rFonts w:ascii="Calibri" w:eastAsia="Times New Roman" w:hAnsi="Calibri" w:cs="Calibri"/>
                <w:b/>
                <w:bCs/>
                <w:color w:val="1F497D"/>
              </w:rPr>
              <w:t>1.b.</w:t>
            </w:r>
          </w:p>
        </w:tc>
        <w:tc>
          <w:tcPr>
            <w:tcW w:w="4360" w:type="dxa"/>
            <w:tcBorders>
              <w:top w:val="nil"/>
              <w:left w:val="nil"/>
              <w:bottom w:val="single" w:sz="4" w:space="0" w:color="auto"/>
              <w:right w:val="single" w:sz="4" w:space="0" w:color="auto"/>
            </w:tcBorders>
            <w:vAlign w:val="center"/>
            <w:hideMark/>
          </w:tcPr>
          <w:p w14:paraId="6B907DDC" w14:textId="77777777" w:rsidR="00FF3335" w:rsidRPr="003A2F86" w:rsidRDefault="00FF3335" w:rsidP="00FF3335">
            <w:pPr>
              <w:spacing w:after="0" w:line="240" w:lineRule="auto"/>
              <w:rPr>
                <w:rFonts w:ascii="Calibri" w:eastAsia="Times New Roman" w:hAnsi="Calibri" w:cs="Calibri"/>
                <w:i/>
                <w:iCs/>
                <w:color w:val="1F497D"/>
              </w:rPr>
            </w:pPr>
            <w:r w:rsidRPr="003A2F86">
              <w:rPr>
                <w:rFonts w:ascii="Calibri" w:eastAsia="Times New Roman" w:hAnsi="Calibri" w:cs="Calibri"/>
                <w:i/>
                <w:iCs/>
                <w:color w:val="1F497D"/>
              </w:rPr>
              <w:t>PRORAČUNSKI KORISNICI *</w:t>
            </w:r>
          </w:p>
        </w:tc>
        <w:tc>
          <w:tcPr>
            <w:tcW w:w="2100" w:type="dxa"/>
            <w:tcBorders>
              <w:top w:val="nil"/>
              <w:left w:val="nil"/>
              <w:bottom w:val="single" w:sz="4" w:space="0" w:color="auto"/>
              <w:right w:val="single" w:sz="4" w:space="0" w:color="auto"/>
            </w:tcBorders>
            <w:vAlign w:val="center"/>
          </w:tcPr>
          <w:p w14:paraId="7B26C832" w14:textId="5EC3425B" w:rsidR="00FF3335" w:rsidRPr="003A2F86" w:rsidRDefault="00FF3335" w:rsidP="00FF3335">
            <w:pPr>
              <w:spacing w:after="0" w:line="240" w:lineRule="auto"/>
              <w:jc w:val="right"/>
              <w:rPr>
                <w:rFonts w:ascii="Calibri" w:eastAsia="Times New Roman" w:hAnsi="Calibri" w:cs="Calibri"/>
                <w:i/>
                <w:iCs/>
                <w:color w:val="1F497D"/>
              </w:rPr>
            </w:pPr>
            <w:r>
              <w:rPr>
                <w:rFonts w:ascii="Calibri" w:hAnsi="Calibri" w:cs="Calibri"/>
                <w:i/>
                <w:iCs/>
                <w:color w:val="1F497D"/>
              </w:rPr>
              <w:t>186.656,80</w:t>
            </w:r>
          </w:p>
        </w:tc>
        <w:tc>
          <w:tcPr>
            <w:tcW w:w="2100" w:type="dxa"/>
            <w:tcBorders>
              <w:top w:val="nil"/>
              <w:left w:val="single" w:sz="4" w:space="0" w:color="auto"/>
              <w:bottom w:val="single" w:sz="4" w:space="0" w:color="auto"/>
              <w:right w:val="single" w:sz="4" w:space="0" w:color="auto"/>
            </w:tcBorders>
            <w:noWrap/>
            <w:vAlign w:val="center"/>
            <w:hideMark/>
          </w:tcPr>
          <w:p w14:paraId="213955D0" w14:textId="61404F15" w:rsidR="00FF3335" w:rsidRPr="003A2F86" w:rsidRDefault="00FF3335" w:rsidP="00FF3335">
            <w:pPr>
              <w:spacing w:after="0" w:line="240" w:lineRule="auto"/>
              <w:jc w:val="right"/>
              <w:rPr>
                <w:rFonts w:ascii="Calibri" w:eastAsia="Times New Roman" w:hAnsi="Calibri" w:cs="Calibri"/>
                <w:i/>
                <w:iCs/>
                <w:color w:val="1F497D"/>
              </w:rPr>
            </w:pPr>
            <w:r w:rsidRPr="003A2F86">
              <w:rPr>
                <w:rFonts w:ascii="Calibri" w:eastAsia="Times New Roman" w:hAnsi="Calibri" w:cs="Calibri"/>
                <w:i/>
                <w:iCs/>
                <w:color w:val="1F497D"/>
              </w:rPr>
              <w:t>185.233,48</w:t>
            </w:r>
          </w:p>
        </w:tc>
      </w:tr>
      <w:tr w:rsidR="00FF3335" w:rsidRPr="003A2F86" w14:paraId="325F05A5" w14:textId="77777777" w:rsidTr="00FF3335">
        <w:trPr>
          <w:trHeight w:val="300"/>
          <w:jc w:val="center"/>
        </w:trPr>
        <w:tc>
          <w:tcPr>
            <w:tcW w:w="1360" w:type="dxa"/>
            <w:tcBorders>
              <w:top w:val="nil"/>
              <w:left w:val="single" w:sz="4" w:space="0" w:color="auto"/>
              <w:bottom w:val="single" w:sz="4" w:space="0" w:color="auto"/>
              <w:right w:val="single" w:sz="4" w:space="0" w:color="auto"/>
            </w:tcBorders>
            <w:vAlign w:val="center"/>
            <w:hideMark/>
          </w:tcPr>
          <w:p w14:paraId="6B89D29B" w14:textId="77777777" w:rsidR="00FF3335" w:rsidRPr="003A2F86" w:rsidRDefault="00FF3335" w:rsidP="00FF3335">
            <w:pPr>
              <w:spacing w:after="0" w:line="240" w:lineRule="auto"/>
              <w:jc w:val="center"/>
              <w:rPr>
                <w:rFonts w:ascii="Calibri" w:eastAsia="Times New Roman" w:hAnsi="Calibri" w:cs="Calibri"/>
                <w:color w:val="000000"/>
              </w:rPr>
            </w:pPr>
            <w:r w:rsidRPr="003A2F86">
              <w:rPr>
                <w:rFonts w:ascii="Calibri" w:eastAsia="Times New Roman" w:hAnsi="Calibri" w:cs="Calibri"/>
                <w:color w:val="000000"/>
              </w:rPr>
              <w:t>1.b.1.</w:t>
            </w:r>
          </w:p>
        </w:tc>
        <w:tc>
          <w:tcPr>
            <w:tcW w:w="4360" w:type="dxa"/>
            <w:tcBorders>
              <w:top w:val="nil"/>
              <w:left w:val="nil"/>
              <w:bottom w:val="single" w:sz="4" w:space="0" w:color="auto"/>
              <w:right w:val="single" w:sz="4" w:space="0" w:color="auto"/>
            </w:tcBorders>
            <w:vAlign w:val="center"/>
            <w:hideMark/>
          </w:tcPr>
          <w:p w14:paraId="2161711B" w14:textId="77777777" w:rsidR="00FF3335" w:rsidRPr="003A2F86" w:rsidRDefault="00FF3335" w:rsidP="00FF3335">
            <w:pPr>
              <w:spacing w:after="0" w:line="240" w:lineRule="auto"/>
              <w:rPr>
                <w:rFonts w:ascii="Calibri" w:eastAsia="Times New Roman" w:hAnsi="Calibri" w:cs="Calibri"/>
                <w:color w:val="000000"/>
              </w:rPr>
            </w:pPr>
            <w:r w:rsidRPr="003A2F86">
              <w:rPr>
                <w:rFonts w:ascii="Calibri" w:eastAsia="Times New Roman" w:hAnsi="Calibri" w:cs="Calibri"/>
                <w:color w:val="000000"/>
              </w:rPr>
              <w:t>Dječji vrtić Konavle</w:t>
            </w:r>
          </w:p>
        </w:tc>
        <w:tc>
          <w:tcPr>
            <w:tcW w:w="2100" w:type="dxa"/>
            <w:tcBorders>
              <w:top w:val="nil"/>
              <w:left w:val="nil"/>
              <w:bottom w:val="single" w:sz="4" w:space="0" w:color="auto"/>
              <w:right w:val="single" w:sz="4" w:space="0" w:color="auto"/>
            </w:tcBorders>
            <w:vAlign w:val="center"/>
          </w:tcPr>
          <w:p w14:paraId="04453964" w14:textId="03D58F41" w:rsidR="00FF3335" w:rsidRPr="003A2F86" w:rsidRDefault="00FF3335" w:rsidP="00FF3335">
            <w:pPr>
              <w:spacing w:after="0" w:line="240" w:lineRule="auto"/>
              <w:jc w:val="right"/>
              <w:rPr>
                <w:rFonts w:ascii="Calibri" w:eastAsia="Times New Roman" w:hAnsi="Calibri" w:cs="Calibri"/>
                <w:color w:val="000000"/>
              </w:rPr>
            </w:pPr>
            <w:r>
              <w:rPr>
                <w:rFonts w:ascii="Calibri" w:hAnsi="Calibri" w:cs="Calibri"/>
                <w:color w:val="000000"/>
              </w:rPr>
              <w:t>46.978,10</w:t>
            </w:r>
          </w:p>
        </w:tc>
        <w:tc>
          <w:tcPr>
            <w:tcW w:w="2100" w:type="dxa"/>
            <w:tcBorders>
              <w:top w:val="nil"/>
              <w:left w:val="single" w:sz="4" w:space="0" w:color="auto"/>
              <w:bottom w:val="single" w:sz="4" w:space="0" w:color="auto"/>
              <w:right w:val="single" w:sz="4" w:space="0" w:color="auto"/>
            </w:tcBorders>
            <w:noWrap/>
            <w:vAlign w:val="center"/>
            <w:hideMark/>
          </w:tcPr>
          <w:p w14:paraId="323CE8C2" w14:textId="19DB11C4" w:rsidR="00FF3335" w:rsidRPr="003A2F86" w:rsidRDefault="00FF3335" w:rsidP="00FF3335">
            <w:pPr>
              <w:spacing w:after="0" w:line="240" w:lineRule="auto"/>
              <w:jc w:val="right"/>
              <w:rPr>
                <w:rFonts w:ascii="Calibri" w:eastAsia="Times New Roman" w:hAnsi="Calibri" w:cs="Calibri"/>
                <w:color w:val="000000"/>
              </w:rPr>
            </w:pPr>
            <w:r w:rsidRPr="003A2F86">
              <w:rPr>
                <w:rFonts w:ascii="Calibri" w:eastAsia="Times New Roman" w:hAnsi="Calibri" w:cs="Calibri"/>
                <w:color w:val="000000"/>
              </w:rPr>
              <w:t>21.099,41</w:t>
            </w:r>
          </w:p>
        </w:tc>
      </w:tr>
      <w:tr w:rsidR="00FF3335" w:rsidRPr="003A2F86" w14:paraId="00317D58" w14:textId="77777777" w:rsidTr="00FF3335">
        <w:trPr>
          <w:trHeight w:val="300"/>
          <w:jc w:val="center"/>
        </w:trPr>
        <w:tc>
          <w:tcPr>
            <w:tcW w:w="1360" w:type="dxa"/>
            <w:tcBorders>
              <w:top w:val="nil"/>
              <w:left w:val="single" w:sz="4" w:space="0" w:color="auto"/>
              <w:bottom w:val="single" w:sz="4" w:space="0" w:color="auto"/>
              <w:right w:val="single" w:sz="4" w:space="0" w:color="auto"/>
            </w:tcBorders>
            <w:vAlign w:val="center"/>
            <w:hideMark/>
          </w:tcPr>
          <w:p w14:paraId="02684E15" w14:textId="77777777" w:rsidR="00FF3335" w:rsidRPr="003A2F86" w:rsidRDefault="00FF3335" w:rsidP="00FF3335">
            <w:pPr>
              <w:spacing w:after="0" w:line="240" w:lineRule="auto"/>
              <w:jc w:val="center"/>
              <w:rPr>
                <w:rFonts w:ascii="Calibri" w:eastAsia="Times New Roman" w:hAnsi="Calibri" w:cs="Calibri"/>
                <w:color w:val="000000"/>
              </w:rPr>
            </w:pPr>
            <w:r w:rsidRPr="003A2F86">
              <w:rPr>
                <w:rFonts w:ascii="Calibri" w:eastAsia="Times New Roman" w:hAnsi="Calibri" w:cs="Calibri"/>
                <w:color w:val="000000"/>
              </w:rPr>
              <w:t>1.b.2.</w:t>
            </w:r>
          </w:p>
        </w:tc>
        <w:tc>
          <w:tcPr>
            <w:tcW w:w="4360" w:type="dxa"/>
            <w:tcBorders>
              <w:top w:val="nil"/>
              <w:left w:val="nil"/>
              <w:bottom w:val="single" w:sz="4" w:space="0" w:color="auto"/>
              <w:right w:val="single" w:sz="4" w:space="0" w:color="auto"/>
            </w:tcBorders>
            <w:vAlign w:val="center"/>
            <w:hideMark/>
          </w:tcPr>
          <w:p w14:paraId="76882583" w14:textId="77777777" w:rsidR="00FF3335" w:rsidRPr="003A2F86" w:rsidRDefault="00FF3335" w:rsidP="00FF3335">
            <w:pPr>
              <w:spacing w:after="0" w:line="240" w:lineRule="auto"/>
              <w:rPr>
                <w:rFonts w:ascii="Calibri" w:eastAsia="Times New Roman" w:hAnsi="Calibri" w:cs="Calibri"/>
                <w:color w:val="000000"/>
              </w:rPr>
            </w:pPr>
            <w:r w:rsidRPr="003A2F86">
              <w:rPr>
                <w:rFonts w:ascii="Calibri" w:eastAsia="Times New Roman" w:hAnsi="Calibri" w:cs="Calibri"/>
                <w:color w:val="000000"/>
              </w:rPr>
              <w:t>Muzeji i galerije Konavala</w:t>
            </w:r>
          </w:p>
        </w:tc>
        <w:tc>
          <w:tcPr>
            <w:tcW w:w="2100" w:type="dxa"/>
            <w:tcBorders>
              <w:top w:val="nil"/>
              <w:left w:val="nil"/>
              <w:bottom w:val="single" w:sz="4" w:space="0" w:color="auto"/>
              <w:right w:val="single" w:sz="4" w:space="0" w:color="auto"/>
            </w:tcBorders>
            <w:vAlign w:val="center"/>
          </w:tcPr>
          <w:p w14:paraId="09EE43AE" w14:textId="32E55D32" w:rsidR="00FF3335" w:rsidRPr="003A2F86" w:rsidRDefault="00FF3335" w:rsidP="00FF3335">
            <w:pPr>
              <w:spacing w:after="0" w:line="240" w:lineRule="auto"/>
              <w:jc w:val="right"/>
              <w:rPr>
                <w:rFonts w:ascii="Calibri" w:eastAsia="Times New Roman" w:hAnsi="Calibri" w:cs="Calibri"/>
                <w:color w:val="000000"/>
              </w:rPr>
            </w:pPr>
            <w:r>
              <w:rPr>
                <w:rFonts w:ascii="Calibri" w:hAnsi="Calibri" w:cs="Calibri"/>
                <w:color w:val="000000"/>
              </w:rPr>
              <w:t>54.778,87</w:t>
            </w:r>
          </w:p>
        </w:tc>
        <w:tc>
          <w:tcPr>
            <w:tcW w:w="2100" w:type="dxa"/>
            <w:tcBorders>
              <w:top w:val="nil"/>
              <w:left w:val="single" w:sz="4" w:space="0" w:color="auto"/>
              <w:bottom w:val="single" w:sz="4" w:space="0" w:color="auto"/>
              <w:right w:val="single" w:sz="4" w:space="0" w:color="auto"/>
            </w:tcBorders>
            <w:noWrap/>
            <w:vAlign w:val="center"/>
            <w:hideMark/>
          </w:tcPr>
          <w:p w14:paraId="60140109" w14:textId="6EB752BE" w:rsidR="00FF3335" w:rsidRPr="003A2F86" w:rsidRDefault="00FF3335" w:rsidP="00FF3335">
            <w:pPr>
              <w:spacing w:after="0" w:line="240" w:lineRule="auto"/>
              <w:jc w:val="right"/>
              <w:rPr>
                <w:rFonts w:ascii="Calibri" w:eastAsia="Times New Roman" w:hAnsi="Calibri" w:cs="Calibri"/>
                <w:color w:val="000000"/>
              </w:rPr>
            </w:pPr>
            <w:r w:rsidRPr="003A2F86">
              <w:rPr>
                <w:rFonts w:ascii="Calibri" w:eastAsia="Times New Roman" w:hAnsi="Calibri" w:cs="Calibri"/>
                <w:color w:val="000000"/>
              </w:rPr>
              <w:t>31.463,33</w:t>
            </w:r>
          </w:p>
        </w:tc>
      </w:tr>
      <w:tr w:rsidR="00FF3335" w:rsidRPr="003A2F86" w14:paraId="0D79EEF5" w14:textId="77777777" w:rsidTr="00FF3335">
        <w:trPr>
          <w:trHeight w:val="300"/>
          <w:jc w:val="center"/>
        </w:trPr>
        <w:tc>
          <w:tcPr>
            <w:tcW w:w="1360" w:type="dxa"/>
            <w:tcBorders>
              <w:top w:val="nil"/>
              <w:left w:val="single" w:sz="4" w:space="0" w:color="auto"/>
              <w:bottom w:val="single" w:sz="4" w:space="0" w:color="auto"/>
              <w:right w:val="single" w:sz="4" w:space="0" w:color="auto"/>
            </w:tcBorders>
            <w:vAlign w:val="center"/>
            <w:hideMark/>
          </w:tcPr>
          <w:p w14:paraId="05A257D6" w14:textId="77777777" w:rsidR="00FF3335" w:rsidRPr="003A2F86" w:rsidRDefault="00FF3335" w:rsidP="00FF3335">
            <w:pPr>
              <w:spacing w:after="0" w:line="240" w:lineRule="auto"/>
              <w:jc w:val="center"/>
              <w:rPr>
                <w:rFonts w:ascii="Calibri" w:eastAsia="Times New Roman" w:hAnsi="Calibri" w:cs="Calibri"/>
                <w:color w:val="000000"/>
              </w:rPr>
            </w:pPr>
            <w:r w:rsidRPr="003A2F86">
              <w:rPr>
                <w:rFonts w:ascii="Calibri" w:eastAsia="Times New Roman" w:hAnsi="Calibri" w:cs="Calibri"/>
                <w:color w:val="000000"/>
              </w:rPr>
              <w:t>1.b.3.</w:t>
            </w:r>
          </w:p>
        </w:tc>
        <w:tc>
          <w:tcPr>
            <w:tcW w:w="4360" w:type="dxa"/>
            <w:tcBorders>
              <w:top w:val="nil"/>
              <w:left w:val="nil"/>
              <w:bottom w:val="single" w:sz="4" w:space="0" w:color="auto"/>
              <w:right w:val="single" w:sz="4" w:space="0" w:color="auto"/>
            </w:tcBorders>
            <w:vAlign w:val="center"/>
            <w:hideMark/>
          </w:tcPr>
          <w:p w14:paraId="40106F6E" w14:textId="77777777" w:rsidR="00FF3335" w:rsidRPr="003A2F86" w:rsidRDefault="00FF3335" w:rsidP="00FF3335">
            <w:pPr>
              <w:spacing w:after="0" w:line="240" w:lineRule="auto"/>
              <w:rPr>
                <w:rFonts w:ascii="Calibri" w:eastAsia="Times New Roman" w:hAnsi="Calibri" w:cs="Calibri"/>
                <w:color w:val="000000"/>
              </w:rPr>
            </w:pPr>
            <w:r w:rsidRPr="003A2F86">
              <w:rPr>
                <w:rFonts w:ascii="Calibri" w:eastAsia="Times New Roman" w:hAnsi="Calibri" w:cs="Calibri"/>
                <w:color w:val="000000"/>
              </w:rPr>
              <w:t>Javna vatrogasna postrojba Konavle</w:t>
            </w:r>
          </w:p>
        </w:tc>
        <w:tc>
          <w:tcPr>
            <w:tcW w:w="2100" w:type="dxa"/>
            <w:tcBorders>
              <w:top w:val="nil"/>
              <w:left w:val="nil"/>
              <w:bottom w:val="single" w:sz="4" w:space="0" w:color="auto"/>
              <w:right w:val="single" w:sz="4" w:space="0" w:color="auto"/>
            </w:tcBorders>
            <w:vAlign w:val="center"/>
          </w:tcPr>
          <w:p w14:paraId="697882A0" w14:textId="243523ED" w:rsidR="00FF3335" w:rsidRPr="003A2F86" w:rsidRDefault="00FF3335" w:rsidP="00FF3335">
            <w:pPr>
              <w:spacing w:after="0" w:line="240" w:lineRule="auto"/>
              <w:jc w:val="right"/>
              <w:rPr>
                <w:rFonts w:ascii="Calibri" w:eastAsia="Times New Roman" w:hAnsi="Calibri" w:cs="Calibri"/>
                <w:color w:val="000000"/>
              </w:rPr>
            </w:pPr>
            <w:r>
              <w:rPr>
                <w:rFonts w:ascii="Calibri" w:hAnsi="Calibri" w:cs="Calibri"/>
                <w:color w:val="000000"/>
              </w:rPr>
              <w:t>0</w:t>
            </w:r>
          </w:p>
        </w:tc>
        <w:tc>
          <w:tcPr>
            <w:tcW w:w="2100" w:type="dxa"/>
            <w:tcBorders>
              <w:top w:val="nil"/>
              <w:left w:val="single" w:sz="4" w:space="0" w:color="auto"/>
              <w:bottom w:val="single" w:sz="4" w:space="0" w:color="auto"/>
              <w:right w:val="single" w:sz="4" w:space="0" w:color="auto"/>
            </w:tcBorders>
            <w:noWrap/>
            <w:vAlign w:val="center"/>
            <w:hideMark/>
          </w:tcPr>
          <w:p w14:paraId="518FAA22" w14:textId="14A7190B" w:rsidR="00FF3335" w:rsidRPr="003A2F86" w:rsidRDefault="00FF3335" w:rsidP="00FF3335">
            <w:pPr>
              <w:spacing w:after="0" w:line="240" w:lineRule="auto"/>
              <w:jc w:val="right"/>
              <w:rPr>
                <w:rFonts w:ascii="Calibri" w:eastAsia="Times New Roman" w:hAnsi="Calibri" w:cs="Calibri"/>
                <w:color w:val="000000"/>
              </w:rPr>
            </w:pPr>
            <w:r w:rsidRPr="003A2F86">
              <w:rPr>
                <w:rFonts w:ascii="Calibri" w:eastAsia="Times New Roman" w:hAnsi="Calibri" w:cs="Calibri"/>
                <w:color w:val="000000"/>
              </w:rPr>
              <w:t>0</w:t>
            </w:r>
          </w:p>
        </w:tc>
      </w:tr>
      <w:tr w:rsidR="00FF3335" w:rsidRPr="003A2F86" w14:paraId="4233755A" w14:textId="77777777" w:rsidTr="00FF3335">
        <w:trPr>
          <w:trHeight w:val="300"/>
          <w:jc w:val="center"/>
        </w:trPr>
        <w:tc>
          <w:tcPr>
            <w:tcW w:w="1360" w:type="dxa"/>
            <w:tcBorders>
              <w:top w:val="nil"/>
              <w:left w:val="single" w:sz="4" w:space="0" w:color="auto"/>
              <w:bottom w:val="nil"/>
              <w:right w:val="single" w:sz="4" w:space="0" w:color="auto"/>
            </w:tcBorders>
            <w:vAlign w:val="center"/>
            <w:hideMark/>
          </w:tcPr>
          <w:p w14:paraId="19D0D28C" w14:textId="77777777" w:rsidR="00FF3335" w:rsidRPr="003A2F86" w:rsidRDefault="00FF3335" w:rsidP="00FF3335">
            <w:pPr>
              <w:spacing w:after="0" w:line="240" w:lineRule="auto"/>
              <w:jc w:val="center"/>
              <w:rPr>
                <w:rFonts w:ascii="Calibri" w:eastAsia="Times New Roman" w:hAnsi="Calibri" w:cs="Calibri"/>
                <w:color w:val="000000"/>
              </w:rPr>
            </w:pPr>
            <w:r w:rsidRPr="003A2F86">
              <w:rPr>
                <w:rFonts w:ascii="Calibri" w:eastAsia="Times New Roman" w:hAnsi="Calibri" w:cs="Calibri"/>
                <w:color w:val="000000"/>
              </w:rPr>
              <w:t>1.b.4.</w:t>
            </w:r>
          </w:p>
        </w:tc>
        <w:tc>
          <w:tcPr>
            <w:tcW w:w="4360" w:type="dxa"/>
            <w:tcBorders>
              <w:top w:val="nil"/>
              <w:left w:val="nil"/>
              <w:bottom w:val="nil"/>
              <w:right w:val="single" w:sz="4" w:space="0" w:color="auto"/>
            </w:tcBorders>
            <w:vAlign w:val="center"/>
            <w:hideMark/>
          </w:tcPr>
          <w:p w14:paraId="7B29F868" w14:textId="77777777" w:rsidR="00FF3335" w:rsidRPr="003A2F86" w:rsidRDefault="00FF3335" w:rsidP="00FF3335">
            <w:pPr>
              <w:spacing w:after="0" w:line="240" w:lineRule="auto"/>
              <w:rPr>
                <w:rFonts w:ascii="Calibri" w:eastAsia="Times New Roman" w:hAnsi="Calibri" w:cs="Calibri"/>
                <w:color w:val="000000"/>
              </w:rPr>
            </w:pPr>
            <w:r w:rsidRPr="003A2F86">
              <w:rPr>
                <w:rFonts w:ascii="Calibri" w:eastAsia="Times New Roman" w:hAnsi="Calibri" w:cs="Calibri"/>
                <w:color w:val="000000"/>
              </w:rPr>
              <w:t>Dom za starije i nemoćne osobe Konavle</w:t>
            </w:r>
          </w:p>
        </w:tc>
        <w:tc>
          <w:tcPr>
            <w:tcW w:w="2100" w:type="dxa"/>
            <w:tcBorders>
              <w:top w:val="nil"/>
              <w:left w:val="nil"/>
              <w:bottom w:val="nil"/>
              <w:right w:val="single" w:sz="4" w:space="0" w:color="auto"/>
            </w:tcBorders>
            <w:vAlign w:val="center"/>
          </w:tcPr>
          <w:p w14:paraId="3836E378" w14:textId="25B00FFE" w:rsidR="00FF3335" w:rsidRPr="003A2F86" w:rsidRDefault="00FF3335" w:rsidP="00FF3335">
            <w:pPr>
              <w:spacing w:after="0" w:line="240" w:lineRule="auto"/>
              <w:jc w:val="right"/>
              <w:rPr>
                <w:rFonts w:ascii="Calibri" w:eastAsia="Times New Roman" w:hAnsi="Calibri" w:cs="Calibri"/>
                <w:color w:val="000000"/>
              </w:rPr>
            </w:pPr>
            <w:r>
              <w:rPr>
                <w:rFonts w:ascii="Calibri" w:hAnsi="Calibri" w:cs="Calibri"/>
                <w:color w:val="000000"/>
              </w:rPr>
              <w:t>84.899,83</w:t>
            </w:r>
          </w:p>
        </w:tc>
        <w:tc>
          <w:tcPr>
            <w:tcW w:w="2100" w:type="dxa"/>
            <w:tcBorders>
              <w:top w:val="nil"/>
              <w:left w:val="single" w:sz="4" w:space="0" w:color="auto"/>
              <w:bottom w:val="nil"/>
              <w:right w:val="single" w:sz="4" w:space="0" w:color="auto"/>
            </w:tcBorders>
            <w:noWrap/>
            <w:vAlign w:val="center"/>
            <w:hideMark/>
          </w:tcPr>
          <w:p w14:paraId="142BACCA" w14:textId="4F3826D7" w:rsidR="00FF3335" w:rsidRPr="003A2F86" w:rsidRDefault="00FF3335" w:rsidP="00FF3335">
            <w:pPr>
              <w:spacing w:after="0" w:line="240" w:lineRule="auto"/>
              <w:jc w:val="right"/>
              <w:rPr>
                <w:rFonts w:ascii="Calibri" w:eastAsia="Times New Roman" w:hAnsi="Calibri" w:cs="Calibri"/>
                <w:color w:val="000000"/>
              </w:rPr>
            </w:pPr>
            <w:r w:rsidRPr="003A2F86">
              <w:rPr>
                <w:rFonts w:ascii="Calibri" w:eastAsia="Times New Roman" w:hAnsi="Calibri" w:cs="Calibri"/>
                <w:color w:val="000000"/>
              </w:rPr>
              <w:t>132.670,74</w:t>
            </w:r>
          </w:p>
        </w:tc>
      </w:tr>
      <w:tr w:rsidR="00FF3335" w:rsidRPr="003A2F86" w14:paraId="20502877" w14:textId="77777777" w:rsidTr="00FF3335">
        <w:trPr>
          <w:trHeight w:val="315"/>
          <w:jc w:val="center"/>
        </w:trPr>
        <w:tc>
          <w:tcPr>
            <w:tcW w:w="1360" w:type="dxa"/>
            <w:tcBorders>
              <w:top w:val="single" w:sz="4" w:space="0" w:color="auto"/>
              <w:left w:val="single" w:sz="4" w:space="0" w:color="auto"/>
              <w:bottom w:val="nil"/>
              <w:right w:val="single" w:sz="4" w:space="0" w:color="auto"/>
            </w:tcBorders>
            <w:vAlign w:val="center"/>
            <w:hideMark/>
          </w:tcPr>
          <w:p w14:paraId="4B29E82B" w14:textId="77777777" w:rsidR="00FF3335" w:rsidRPr="003A2F86" w:rsidRDefault="00FF3335" w:rsidP="00FF3335">
            <w:pPr>
              <w:spacing w:after="0" w:line="240" w:lineRule="auto"/>
              <w:jc w:val="center"/>
              <w:rPr>
                <w:rFonts w:ascii="Calibri" w:eastAsia="Times New Roman" w:hAnsi="Calibri" w:cs="Calibri"/>
                <w:b/>
                <w:bCs/>
                <w:color w:val="000000"/>
                <w:sz w:val="18"/>
                <w:szCs w:val="18"/>
              </w:rPr>
            </w:pPr>
            <w:r w:rsidRPr="003A2F86">
              <w:rPr>
                <w:rFonts w:ascii="Calibri" w:eastAsia="Times New Roman" w:hAnsi="Calibri" w:cs="Calibri"/>
                <w:b/>
                <w:bCs/>
                <w:color w:val="000000"/>
                <w:sz w:val="18"/>
                <w:szCs w:val="18"/>
              </w:rPr>
              <w:t>2</w:t>
            </w:r>
          </w:p>
        </w:tc>
        <w:tc>
          <w:tcPr>
            <w:tcW w:w="4360" w:type="dxa"/>
            <w:tcBorders>
              <w:top w:val="single" w:sz="4" w:space="0" w:color="auto"/>
              <w:left w:val="nil"/>
              <w:bottom w:val="nil"/>
              <w:right w:val="single" w:sz="4" w:space="0" w:color="auto"/>
            </w:tcBorders>
            <w:vAlign w:val="center"/>
            <w:hideMark/>
          </w:tcPr>
          <w:p w14:paraId="21BC97BC" w14:textId="77777777" w:rsidR="00FF3335" w:rsidRPr="003A2F86" w:rsidRDefault="00FF3335" w:rsidP="00FF3335">
            <w:pPr>
              <w:spacing w:after="0" w:line="240" w:lineRule="auto"/>
              <w:jc w:val="center"/>
              <w:rPr>
                <w:rFonts w:ascii="Calibri" w:eastAsia="Times New Roman" w:hAnsi="Calibri" w:cs="Calibri"/>
                <w:b/>
                <w:bCs/>
                <w:i/>
                <w:iCs/>
                <w:color w:val="E36C0A"/>
              </w:rPr>
            </w:pPr>
            <w:r w:rsidRPr="003A2F86">
              <w:rPr>
                <w:rFonts w:ascii="Calibri" w:eastAsia="Times New Roman" w:hAnsi="Calibri" w:cs="Calibri"/>
                <w:b/>
                <w:bCs/>
                <w:i/>
                <w:iCs/>
                <w:color w:val="E36C0A"/>
              </w:rPr>
              <w:t>Novčana sredstva u blagajni</w:t>
            </w:r>
          </w:p>
        </w:tc>
        <w:tc>
          <w:tcPr>
            <w:tcW w:w="2100" w:type="dxa"/>
            <w:tcBorders>
              <w:top w:val="single" w:sz="4" w:space="0" w:color="auto"/>
              <w:left w:val="nil"/>
              <w:bottom w:val="nil"/>
              <w:right w:val="single" w:sz="4" w:space="0" w:color="auto"/>
            </w:tcBorders>
            <w:vAlign w:val="center"/>
          </w:tcPr>
          <w:p w14:paraId="0ABB7CBF" w14:textId="6E625564" w:rsidR="00FF3335" w:rsidRPr="003A2F86" w:rsidRDefault="00FF3335" w:rsidP="00FF3335">
            <w:pPr>
              <w:spacing w:after="0" w:line="240" w:lineRule="auto"/>
              <w:jc w:val="right"/>
              <w:rPr>
                <w:rFonts w:ascii="Calibri" w:eastAsia="Times New Roman" w:hAnsi="Calibri" w:cs="Calibri"/>
                <w:b/>
                <w:bCs/>
                <w:color w:val="C65911"/>
              </w:rPr>
            </w:pPr>
            <w:r>
              <w:rPr>
                <w:rFonts w:ascii="Calibri" w:hAnsi="Calibri" w:cs="Calibri"/>
                <w:b/>
                <w:bCs/>
                <w:color w:val="C65911"/>
              </w:rPr>
              <w:t>429,01</w:t>
            </w:r>
          </w:p>
        </w:tc>
        <w:tc>
          <w:tcPr>
            <w:tcW w:w="2100" w:type="dxa"/>
            <w:tcBorders>
              <w:top w:val="single" w:sz="4" w:space="0" w:color="auto"/>
              <w:left w:val="single" w:sz="4" w:space="0" w:color="auto"/>
              <w:bottom w:val="nil"/>
              <w:right w:val="single" w:sz="4" w:space="0" w:color="auto"/>
            </w:tcBorders>
            <w:noWrap/>
            <w:vAlign w:val="center"/>
            <w:hideMark/>
          </w:tcPr>
          <w:p w14:paraId="5B15C02B" w14:textId="2CC13282" w:rsidR="00FF3335" w:rsidRPr="003A2F86" w:rsidRDefault="00FF3335" w:rsidP="00FF3335">
            <w:pPr>
              <w:spacing w:after="0" w:line="240" w:lineRule="auto"/>
              <w:jc w:val="right"/>
              <w:rPr>
                <w:rFonts w:ascii="Calibri" w:eastAsia="Times New Roman" w:hAnsi="Calibri" w:cs="Calibri"/>
                <w:b/>
                <w:bCs/>
                <w:color w:val="C65911"/>
              </w:rPr>
            </w:pPr>
            <w:r w:rsidRPr="003A2F86">
              <w:rPr>
                <w:rFonts w:ascii="Calibri" w:eastAsia="Times New Roman" w:hAnsi="Calibri" w:cs="Calibri"/>
                <w:b/>
                <w:bCs/>
                <w:color w:val="C65911"/>
              </w:rPr>
              <w:t>756,57</w:t>
            </w:r>
          </w:p>
        </w:tc>
      </w:tr>
      <w:tr w:rsidR="00FF3335" w:rsidRPr="003A2F86" w14:paraId="5D6C8623" w14:textId="77777777" w:rsidTr="00FF3335">
        <w:trPr>
          <w:trHeight w:val="315"/>
          <w:jc w:val="center"/>
        </w:trPr>
        <w:tc>
          <w:tcPr>
            <w:tcW w:w="1360" w:type="dxa"/>
            <w:tcBorders>
              <w:top w:val="single" w:sz="8" w:space="0" w:color="auto"/>
              <w:left w:val="single" w:sz="8" w:space="0" w:color="auto"/>
              <w:bottom w:val="single" w:sz="8" w:space="0" w:color="auto"/>
              <w:right w:val="single" w:sz="8" w:space="0" w:color="auto"/>
            </w:tcBorders>
            <w:vAlign w:val="center"/>
          </w:tcPr>
          <w:p w14:paraId="101A3238" w14:textId="549716AD" w:rsidR="00FF3335" w:rsidRPr="003A2F86" w:rsidRDefault="00FF3335" w:rsidP="00FF3335">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3</w:t>
            </w:r>
          </w:p>
        </w:tc>
        <w:tc>
          <w:tcPr>
            <w:tcW w:w="4360" w:type="dxa"/>
            <w:tcBorders>
              <w:top w:val="single" w:sz="8" w:space="0" w:color="auto"/>
              <w:left w:val="nil"/>
              <w:bottom w:val="single" w:sz="8" w:space="0" w:color="auto"/>
              <w:right w:val="single" w:sz="8" w:space="0" w:color="auto"/>
            </w:tcBorders>
            <w:vAlign w:val="center"/>
          </w:tcPr>
          <w:p w14:paraId="58054843" w14:textId="3556F445" w:rsidR="00FF3335" w:rsidRPr="003A2F86" w:rsidRDefault="00FF3335" w:rsidP="00FF3335">
            <w:pPr>
              <w:spacing w:after="0" w:line="240" w:lineRule="auto"/>
              <w:jc w:val="center"/>
              <w:rPr>
                <w:rFonts w:ascii="Calibri" w:eastAsia="Times New Roman" w:hAnsi="Calibri" w:cs="Calibri"/>
                <w:b/>
                <w:bCs/>
                <w:i/>
                <w:iCs/>
                <w:color w:val="E36C0A"/>
              </w:rPr>
            </w:pPr>
            <w:r>
              <w:rPr>
                <w:rFonts w:ascii="Calibri" w:eastAsia="Times New Roman" w:hAnsi="Calibri" w:cs="Calibri"/>
                <w:b/>
                <w:bCs/>
                <w:i/>
                <w:iCs/>
                <w:color w:val="E36C0A"/>
              </w:rPr>
              <w:t>Izdvojena (novčana) sredstva</w:t>
            </w:r>
          </w:p>
        </w:tc>
        <w:tc>
          <w:tcPr>
            <w:tcW w:w="2100" w:type="dxa"/>
            <w:tcBorders>
              <w:top w:val="single" w:sz="8" w:space="0" w:color="auto"/>
              <w:left w:val="nil"/>
              <w:bottom w:val="single" w:sz="8" w:space="0" w:color="auto"/>
              <w:right w:val="single" w:sz="4" w:space="0" w:color="auto"/>
            </w:tcBorders>
            <w:vAlign w:val="center"/>
          </w:tcPr>
          <w:p w14:paraId="5DB21BD6" w14:textId="63E5D85A" w:rsidR="00FF3335" w:rsidRPr="003A2F86" w:rsidRDefault="00FF3335" w:rsidP="00FF3335">
            <w:pPr>
              <w:spacing w:after="0" w:line="240" w:lineRule="auto"/>
              <w:jc w:val="right"/>
              <w:rPr>
                <w:rFonts w:ascii="Calibri" w:eastAsia="Times New Roman" w:hAnsi="Calibri" w:cs="Calibri"/>
                <w:b/>
                <w:bCs/>
                <w:color w:val="C65911"/>
              </w:rPr>
            </w:pPr>
            <w:r>
              <w:rPr>
                <w:rFonts w:ascii="Calibri" w:eastAsia="Times New Roman" w:hAnsi="Calibri" w:cs="Calibri"/>
                <w:b/>
                <w:bCs/>
                <w:color w:val="C65911"/>
              </w:rPr>
              <w:t>0</w:t>
            </w:r>
          </w:p>
        </w:tc>
        <w:tc>
          <w:tcPr>
            <w:tcW w:w="2100" w:type="dxa"/>
            <w:tcBorders>
              <w:top w:val="single" w:sz="8" w:space="0" w:color="auto"/>
              <w:left w:val="single" w:sz="4" w:space="0" w:color="auto"/>
              <w:bottom w:val="single" w:sz="8" w:space="0" w:color="auto"/>
              <w:right w:val="single" w:sz="8" w:space="0" w:color="auto"/>
            </w:tcBorders>
            <w:noWrap/>
            <w:vAlign w:val="center"/>
          </w:tcPr>
          <w:p w14:paraId="14E2D75B" w14:textId="5937C7D3" w:rsidR="00FF3335" w:rsidRPr="003A2F86" w:rsidRDefault="00FF3335" w:rsidP="00FF3335">
            <w:pPr>
              <w:spacing w:after="0" w:line="240" w:lineRule="auto"/>
              <w:jc w:val="right"/>
              <w:rPr>
                <w:rFonts w:ascii="Calibri" w:eastAsia="Times New Roman" w:hAnsi="Calibri" w:cs="Calibri"/>
                <w:b/>
                <w:bCs/>
                <w:color w:val="C65911"/>
              </w:rPr>
            </w:pPr>
            <w:r>
              <w:rPr>
                <w:rFonts w:ascii="Calibri" w:eastAsia="Times New Roman" w:hAnsi="Calibri" w:cs="Calibri"/>
                <w:b/>
                <w:bCs/>
                <w:color w:val="C65911"/>
              </w:rPr>
              <w:t>2.500.000</w:t>
            </w:r>
          </w:p>
        </w:tc>
      </w:tr>
      <w:tr w:rsidR="00FF3335" w:rsidRPr="003A2F86" w14:paraId="4365137B" w14:textId="77777777" w:rsidTr="00FF3335">
        <w:trPr>
          <w:trHeight w:val="315"/>
          <w:jc w:val="center"/>
        </w:trPr>
        <w:tc>
          <w:tcPr>
            <w:tcW w:w="136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E2D2024" w14:textId="77777777" w:rsidR="00FF3335" w:rsidRPr="003A2F86" w:rsidRDefault="00FF3335" w:rsidP="00FF3335">
            <w:pPr>
              <w:spacing w:after="0" w:line="240" w:lineRule="auto"/>
              <w:jc w:val="center"/>
              <w:rPr>
                <w:rFonts w:ascii="Calibri" w:eastAsia="Times New Roman" w:hAnsi="Calibri" w:cs="Calibri"/>
                <w:b/>
                <w:bCs/>
                <w:color w:val="000000"/>
                <w:sz w:val="18"/>
                <w:szCs w:val="18"/>
              </w:rPr>
            </w:pPr>
            <w:r w:rsidRPr="003A2F86">
              <w:rPr>
                <w:rFonts w:ascii="Calibri" w:eastAsia="Times New Roman" w:hAnsi="Calibri" w:cs="Calibri"/>
                <w:b/>
                <w:bCs/>
                <w:color w:val="000000"/>
                <w:sz w:val="18"/>
                <w:szCs w:val="18"/>
              </w:rPr>
              <w:t xml:space="preserve">3 (1 +2 ) </w:t>
            </w:r>
          </w:p>
        </w:tc>
        <w:tc>
          <w:tcPr>
            <w:tcW w:w="4360" w:type="dxa"/>
            <w:tcBorders>
              <w:top w:val="single" w:sz="8" w:space="0" w:color="auto"/>
              <w:left w:val="nil"/>
              <w:bottom w:val="single" w:sz="8" w:space="0" w:color="auto"/>
              <w:right w:val="single" w:sz="8" w:space="0" w:color="auto"/>
            </w:tcBorders>
            <w:shd w:val="clear" w:color="000000" w:fill="D9D9D9"/>
            <w:vAlign w:val="center"/>
            <w:hideMark/>
          </w:tcPr>
          <w:p w14:paraId="6436E6C8" w14:textId="77777777" w:rsidR="00FF3335" w:rsidRPr="003A2F86" w:rsidRDefault="00FF3335" w:rsidP="00FF3335">
            <w:pPr>
              <w:spacing w:after="0" w:line="240" w:lineRule="auto"/>
              <w:jc w:val="center"/>
              <w:rPr>
                <w:rFonts w:ascii="Calibri" w:eastAsia="Times New Roman" w:hAnsi="Calibri" w:cs="Calibri"/>
                <w:b/>
                <w:bCs/>
                <w:i/>
                <w:iCs/>
                <w:color w:val="E36C0A"/>
              </w:rPr>
            </w:pPr>
            <w:r w:rsidRPr="003A2F86">
              <w:rPr>
                <w:rFonts w:ascii="Calibri" w:eastAsia="Times New Roman" w:hAnsi="Calibri" w:cs="Calibri"/>
                <w:b/>
                <w:bCs/>
                <w:i/>
                <w:iCs/>
                <w:color w:val="E36C0A"/>
              </w:rPr>
              <w:t xml:space="preserve">Sveukupno novčana sredstva </w:t>
            </w:r>
          </w:p>
        </w:tc>
        <w:tc>
          <w:tcPr>
            <w:tcW w:w="2100" w:type="dxa"/>
            <w:tcBorders>
              <w:top w:val="single" w:sz="8" w:space="0" w:color="auto"/>
              <w:left w:val="nil"/>
              <w:bottom w:val="single" w:sz="8" w:space="0" w:color="auto"/>
              <w:right w:val="single" w:sz="4" w:space="0" w:color="auto"/>
            </w:tcBorders>
            <w:shd w:val="clear" w:color="000000" w:fill="D9D9D9"/>
            <w:vAlign w:val="center"/>
          </w:tcPr>
          <w:p w14:paraId="78030B9C" w14:textId="5C263B71" w:rsidR="00FF3335" w:rsidRPr="003A2F86" w:rsidRDefault="00FF3335" w:rsidP="00FF3335">
            <w:pPr>
              <w:spacing w:after="0" w:line="240" w:lineRule="auto"/>
              <w:jc w:val="right"/>
              <w:rPr>
                <w:rFonts w:ascii="Calibri" w:eastAsia="Times New Roman" w:hAnsi="Calibri" w:cs="Calibri"/>
                <w:b/>
                <w:bCs/>
                <w:color w:val="C65911"/>
              </w:rPr>
            </w:pPr>
            <w:r>
              <w:rPr>
                <w:rFonts w:ascii="Calibri" w:eastAsia="Times New Roman" w:hAnsi="Calibri" w:cs="Calibri"/>
                <w:b/>
                <w:bCs/>
                <w:color w:val="C65911"/>
              </w:rPr>
              <w:t>3.499.167,07</w:t>
            </w:r>
          </w:p>
        </w:tc>
        <w:tc>
          <w:tcPr>
            <w:tcW w:w="2100"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29408177" w14:textId="32A5AB97" w:rsidR="00FF3335" w:rsidRPr="003A2F86" w:rsidRDefault="00FF3335" w:rsidP="00FF3335">
            <w:pPr>
              <w:spacing w:after="0" w:line="240" w:lineRule="auto"/>
              <w:jc w:val="right"/>
              <w:rPr>
                <w:rFonts w:ascii="Calibri" w:eastAsia="Times New Roman" w:hAnsi="Calibri" w:cs="Calibri"/>
                <w:b/>
                <w:bCs/>
                <w:color w:val="C65911"/>
              </w:rPr>
            </w:pPr>
            <w:r>
              <w:rPr>
                <w:rFonts w:ascii="Calibri" w:eastAsia="Times New Roman" w:hAnsi="Calibri" w:cs="Calibri"/>
                <w:b/>
                <w:bCs/>
                <w:color w:val="C65911"/>
              </w:rPr>
              <w:t>4.757.571,99</w:t>
            </w:r>
          </w:p>
        </w:tc>
      </w:tr>
    </w:tbl>
    <w:p w14:paraId="17A92F4D" w14:textId="3ECFF2AE" w:rsidR="00793F4F" w:rsidRPr="00A542A2" w:rsidRDefault="00793F4F" w:rsidP="00793F4F">
      <w:pPr>
        <w:spacing w:after="0" w:line="240" w:lineRule="auto"/>
        <w:jc w:val="both"/>
        <w:rPr>
          <w:rFonts w:ascii="Arial" w:eastAsia="Calibri" w:hAnsi="Arial" w:cs="Arial"/>
          <w:i/>
          <w:iCs/>
          <w:color w:val="1F497D" w:themeColor="text2"/>
          <w:sz w:val="16"/>
          <w:szCs w:val="16"/>
        </w:rPr>
      </w:pPr>
      <w:r w:rsidRPr="00A542A2">
        <w:rPr>
          <w:rFonts w:ascii="Arial" w:eastAsia="Calibri" w:hAnsi="Arial" w:cs="Arial"/>
          <w:i/>
          <w:iCs/>
          <w:color w:val="1F497D" w:themeColor="text2"/>
          <w:sz w:val="16"/>
          <w:szCs w:val="16"/>
        </w:rPr>
        <w:t xml:space="preserve">*iskazani iznosi novčanih sredstava proračunskih korisnika </w:t>
      </w:r>
      <w:r w:rsidR="00A542A2" w:rsidRPr="00A542A2">
        <w:rPr>
          <w:rFonts w:ascii="Arial" w:eastAsia="Calibri" w:hAnsi="Arial" w:cs="Arial"/>
          <w:i/>
          <w:iCs/>
          <w:color w:val="1F497D" w:themeColor="text2"/>
          <w:sz w:val="16"/>
          <w:szCs w:val="16"/>
        </w:rPr>
        <w:t xml:space="preserve">(točka 1.b.) </w:t>
      </w:r>
      <w:r w:rsidRPr="00A542A2">
        <w:rPr>
          <w:rFonts w:ascii="Arial" w:eastAsia="Calibri" w:hAnsi="Arial" w:cs="Arial"/>
          <w:i/>
          <w:iCs/>
          <w:color w:val="1F497D" w:themeColor="text2"/>
          <w:sz w:val="16"/>
          <w:szCs w:val="16"/>
        </w:rPr>
        <w:t>odnose se na potraživanja proračunskih korisnika za naplaćene prihode putem općinske riznice (podskupina 167).</w:t>
      </w:r>
    </w:p>
    <w:p w14:paraId="508859BD" w14:textId="77777777" w:rsidR="00793F4F" w:rsidRPr="003A2F86" w:rsidRDefault="00793F4F" w:rsidP="00793F4F">
      <w:pPr>
        <w:spacing w:after="0" w:line="240" w:lineRule="auto"/>
        <w:jc w:val="both"/>
        <w:rPr>
          <w:rFonts w:ascii="Arial" w:eastAsia="Calibri" w:hAnsi="Arial" w:cs="Arial"/>
        </w:rPr>
      </w:pPr>
    </w:p>
    <w:p w14:paraId="19E78D6A" w14:textId="3DC6F432" w:rsidR="00C16B09" w:rsidRDefault="00793F4F" w:rsidP="00793F4F">
      <w:pPr>
        <w:spacing w:after="0" w:line="240" w:lineRule="auto"/>
        <w:jc w:val="both"/>
        <w:rPr>
          <w:rFonts w:ascii="Arial" w:eastAsia="Calibri" w:hAnsi="Arial" w:cs="Arial"/>
        </w:rPr>
      </w:pPr>
      <w:r w:rsidRPr="003A2F86">
        <w:rPr>
          <w:rFonts w:ascii="Arial" w:eastAsia="Calibri" w:hAnsi="Arial" w:cs="Arial"/>
        </w:rPr>
        <w:t>Najznačajnije stanje novčanih sredstava se odnosi na neutrošena sredstva za sufinanciranje</w:t>
      </w:r>
      <w:r w:rsidR="004B3E52">
        <w:rPr>
          <w:rFonts w:ascii="Arial" w:eastAsia="Calibri" w:hAnsi="Arial" w:cs="Arial"/>
        </w:rPr>
        <w:t xml:space="preserve">, </w:t>
      </w:r>
      <w:r w:rsidRPr="003A2F86">
        <w:rPr>
          <w:rFonts w:ascii="Arial" w:eastAsia="Calibri" w:hAnsi="Arial" w:cs="Arial"/>
        </w:rPr>
        <w:t>te ostvarena i neraspoređena sredstva od prodaje zemljišta u budućoj poduzetničkoj zoni.</w:t>
      </w:r>
    </w:p>
    <w:p w14:paraId="1492F50A" w14:textId="77777777" w:rsidR="00C16B09" w:rsidRDefault="00C16B09">
      <w:pPr>
        <w:rPr>
          <w:rFonts w:ascii="Arial" w:eastAsia="Calibri" w:hAnsi="Arial" w:cs="Arial"/>
        </w:rPr>
      </w:pPr>
      <w:r>
        <w:rPr>
          <w:rFonts w:ascii="Arial" w:eastAsia="Calibri" w:hAnsi="Arial" w:cs="Arial"/>
        </w:rPr>
        <w:br w:type="page"/>
      </w:r>
    </w:p>
    <w:p w14:paraId="33707EFE" w14:textId="77777777" w:rsidR="00793F4F" w:rsidRPr="003A2F86" w:rsidRDefault="00793F4F" w:rsidP="00793F4F">
      <w:pPr>
        <w:spacing w:after="0" w:line="240" w:lineRule="auto"/>
        <w:jc w:val="both"/>
        <w:rPr>
          <w:rFonts w:ascii="Arial" w:eastAsia="Calibri" w:hAnsi="Arial" w:cs="Arial"/>
        </w:rPr>
      </w:pPr>
    </w:p>
    <w:p w14:paraId="7DC49356" w14:textId="01C9C8AF" w:rsidR="00793F4F" w:rsidRPr="003A2F86" w:rsidRDefault="00793F4F" w:rsidP="00793F4F">
      <w:pPr>
        <w:pStyle w:val="Naslov2"/>
        <w:jc w:val="center"/>
        <w:rPr>
          <w:rFonts w:ascii="Arial" w:hAnsi="Arial" w:cs="Arial"/>
          <w:sz w:val="22"/>
          <w:szCs w:val="22"/>
          <w:lang w:val="hr-HR"/>
        </w:rPr>
      </w:pPr>
      <w:bookmarkStart w:id="280" w:name="_2.11._PRIHODI_I"/>
      <w:bookmarkStart w:id="281" w:name="_Toc207707454"/>
      <w:bookmarkEnd w:id="280"/>
      <w:r w:rsidRPr="003A2F86">
        <w:rPr>
          <w:rFonts w:ascii="Arial" w:hAnsi="Arial" w:cs="Arial"/>
          <w:sz w:val="22"/>
          <w:szCs w:val="22"/>
          <w:lang w:val="hr-HR"/>
        </w:rPr>
        <w:t>2.11.</w:t>
      </w:r>
      <w:r w:rsidRPr="003A2F86">
        <w:rPr>
          <w:rFonts w:ascii="Arial" w:hAnsi="Arial" w:cs="Arial"/>
          <w:sz w:val="22"/>
          <w:szCs w:val="22"/>
          <w:lang w:val="hr-HR"/>
        </w:rPr>
        <w:tab/>
        <w:t>PRIHODI I PRIMICI, RASHODI I IZDACI OSTVARENI PREUZIMANJEM NEFINANCIJSKE I FINANCIJSKE IMOVINE U NAPLATI POTRAŽIVANJA JAVNIH DAVANJA</w:t>
      </w:r>
      <w:bookmarkEnd w:id="281"/>
    </w:p>
    <w:p w14:paraId="79554BDD" w14:textId="77777777" w:rsidR="00793F4F" w:rsidRPr="003A2F86" w:rsidRDefault="00793F4F" w:rsidP="00793F4F">
      <w:pPr>
        <w:spacing w:after="0" w:line="240" w:lineRule="auto"/>
        <w:jc w:val="center"/>
        <w:rPr>
          <w:rFonts w:ascii="Arial" w:eastAsia="Calibri" w:hAnsi="Arial" w:cs="Arial"/>
        </w:rPr>
      </w:pPr>
    </w:p>
    <w:p w14:paraId="584C66C7" w14:textId="3B53B522" w:rsidR="00793F4F" w:rsidRPr="003A2F86" w:rsidRDefault="00793F4F" w:rsidP="00793F4F">
      <w:pPr>
        <w:spacing w:after="0" w:line="240" w:lineRule="auto"/>
        <w:jc w:val="both"/>
        <w:rPr>
          <w:rFonts w:ascii="Arial" w:eastAsia="Calibri" w:hAnsi="Arial" w:cs="Arial"/>
        </w:rPr>
      </w:pPr>
      <w:r w:rsidRPr="003A2F86">
        <w:rPr>
          <w:rFonts w:ascii="Arial" w:eastAsia="Calibri" w:hAnsi="Arial" w:cs="Arial"/>
        </w:rPr>
        <w:t xml:space="preserve">Općina Konavle, niti proračunski korisnici nisu u proračunskom razdoblju siječanj – </w:t>
      </w:r>
      <w:r w:rsidR="008A47C4">
        <w:rPr>
          <w:rFonts w:ascii="Arial" w:eastAsia="Calibri" w:hAnsi="Arial" w:cs="Arial"/>
        </w:rPr>
        <w:t>lipanj</w:t>
      </w:r>
      <w:r w:rsidRPr="003A2F86">
        <w:rPr>
          <w:rFonts w:ascii="Arial" w:eastAsia="Calibri" w:hAnsi="Arial" w:cs="Arial"/>
        </w:rPr>
        <w:t xml:space="preserve"> 202</w:t>
      </w:r>
      <w:r w:rsidR="008A47C4">
        <w:rPr>
          <w:rFonts w:ascii="Arial" w:eastAsia="Calibri" w:hAnsi="Arial" w:cs="Arial"/>
        </w:rPr>
        <w:t>5</w:t>
      </w:r>
      <w:r w:rsidRPr="003A2F86">
        <w:rPr>
          <w:rFonts w:ascii="Arial" w:eastAsia="Calibri" w:hAnsi="Arial" w:cs="Arial"/>
        </w:rPr>
        <w:t>. godine imali prihoda i primitaka niti rashoda i izdataka ostvarenih preuzimanjem nefinancijske i financijske imovine u naplati potraživanja javnih davanja.</w:t>
      </w:r>
    </w:p>
    <w:p w14:paraId="0FDB0075" w14:textId="77777777" w:rsidR="00793F4F" w:rsidRPr="003A2F86" w:rsidRDefault="00793F4F" w:rsidP="00077745">
      <w:pPr>
        <w:spacing w:after="0" w:line="240" w:lineRule="auto"/>
        <w:jc w:val="both"/>
        <w:rPr>
          <w:noProof/>
        </w:rPr>
      </w:pPr>
    </w:p>
    <w:p w14:paraId="4F44BC1E" w14:textId="55437EBE" w:rsidR="006C6F8B" w:rsidRPr="003A2F86" w:rsidRDefault="00DB0163" w:rsidP="008E02D0">
      <w:pPr>
        <w:pStyle w:val="Naslov2"/>
        <w:jc w:val="center"/>
        <w:rPr>
          <w:rFonts w:ascii="Arial" w:hAnsi="Arial" w:cs="Arial"/>
          <w:sz w:val="22"/>
          <w:szCs w:val="22"/>
          <w:lang w:val="hr-HR"/>
        </w:rPr>
      </w:pPr>
      <w:bookmarkStart w:id="282" w:name="_Toc207707455"/>
      <w:bookmarkEnd w:id="272"/>
      <w:bookmarkEnd w:id="274"/>
      <w:r w:rsidRPr="003A2F86">
        <w:rPr>
          <w:rFonts w:ascii="Arial" w:hAnsi="Arial" w:cs="Arial"/>
          <w:sz w:val="22"/>
          <w:szCs w:val="22"/>
          <w:lang w:val="hr-HR"/>
        </w:rPr>
        <w:t>2.1</w:t>
      </w:r>
      <w:r w:rsidR="00793F4F" w:rsidRPr="003A2F86">
        <w:rPr>
          <w:rFonts w:ascii="Arial" w:hAnsi="Arial" w:cs="Arial"/>
          <w:sz w:val="22"/>
          <w:szCs w:val="22"/>
          <w:lang w:val="hr-HR"/>
        </w:rPr>
        <w:t>2</w:t>
      </w:r>
      <w:r w:rsidRPr="003A2F86">
        <w:rPr>
          <w:rFonts w:ascii="Arial" w:hAnsi="Arial" w:cs="Arial"/>
          <w:sz w:val="22"/>
          <w:szCs w:val="22"/>
          <w:lang w:val="hr-HR"/>
        </w:rPr>
        <w:t>.</w:t>
      </w:r>
      <w:r w:rsidRPr="003A2F86">
        <w:rPr>
          <w:rFonts w:ascii="Arial" w:hAnsi="Arial" w:cs="Arial"/>
          <w:sz w:val="22"/>
          <w:szCs w:val="22"/>
          <w:lang w:val="hr-HR"/>
        </w:rPr>
        <w:tab/>
      </w:r>
      <w:r w:rsidR="006C6F8B" w:rsidRPr="003A2F86">
        <w:rPr>
          <w:rFonts w:ascii="Arial" w:hAnsi="Arial" w:cs="Arial"/>
          <w:sz w:val="22"/>
          <w:szCs w:val="22"/>
          <w:lang w:val="hr-HR"/>
        </w:rPr>
        <w:t>PRILOG UZ OBRAZLOŽENJE OPĆEG DIJELA PRORAČUNA</w:t>
      </w:r>
      <w:bookmarkEnd w:id="282"/>
    </w:p>
    <w:p w14:paraId="7DF1DE94" w14:textId="77777777" w:rsidR="006C6F8B" w:rsidRPr="003A2F86" w:rsidRDefault="006C6F8B" w:rsidP="006C6F8B">
      <w:pPr>
        <w:rPr>
          <w:lang w:eastAsia="en-US"/>
        </w:rPr>
      </w:pPr>
    </w:p>
    <w:p w14:paraId="5A0BA363" w14:textId="08633F04" w:rsidR="00DB0163" w:rsidRPr="003A2F86" w:rsidRDefault="006C6F8B" w:rsidP="006C6F8B">
      <w:pPr>
        <w:pStyle w:val="Naslov3"/>
        <w:jc w:val="center"/>
        <w:rPr>
          <w:rFonts w:ascii="Arial" w:hAnsi="Arial" w:cs="Arial"/>
          <w:sz w:val="22"/>
          <w:szCs w:val="22"/>
          <w:lang w:val="hr-HR"/>
        </w:rPr>
      </w:pPr>
      <w:bookmarkStart w:id="283" w:name="_Toc207707456"/>
      <w:r w:rsidRPr="003A2F86">
        <w:rPr>
          <w:rFonts w:ascii="Arial" w:hAnsi="Arial" w:cs="Arial"/>
          <w:sz w:val="22"/>
          <w:szCs w:val="22"/>
          <w:lang w:val="hr-HR"/>
        </w:rPr>
        <w:t>2.1</w:t>
      </w:r>
      <w:r w:rsidR="00793F4F" w:rsidRPr="003A2F86">
        <w:rPr>
          <w:rFonts w:ascii="Arial" w:hAnsi="Arial" w:cs="Arial"/>
          <w:sz w:val="22"/>
          <w:szCs w:val="22"/>
          <w:lang w:val="hr-HR"/>
        </w:rPr>
        <w:t>2</w:t>
      </w:r>
      <w:r w:rsidRPr="003A2F86">
        <w:rPr>
          <w:rFonts w:ascii="Arial" w:hAnsi="Arial" w:cs="Arial"/>
          <w:sz w:val="22"/>
          <w:szCs w:val="22"/>
          <w:lang w:val="hr-HR"/>
        </w:rPr>
        <w:t>.1.</w:t>
      </w:r>
      <w:r w:rsidRPr="003A2F86">
        <w:rPr>
          <w:rFonts w:ascii="Arial" w:hAnsi="Arial" w:cs="Arial"/>
          <w:sz w:val="22"/>
          <w:szCs w:val="22"/>
          <w:lang w:val="hr-HR"/>
        </w:rPr>
        <w:tab/>
      </w:r>
      <w:r w:rsidRPr="003A2F86">
        <w:rPr>
          <w:rFonts w:ascii="Arial" w:hAnsi="Arial" w:cs="Arial"/>
          <w:sz w:val="22"/>
          <w:szCs w:val="22"/>
          <w:lang w:val="hr-HR"/>
        </w:rPr>
        <w:tab/>
      </w:r>
      <w:r w:rsidR="00DB0163" w:rsidRPr="003A2F86">
        <w:rPr>
          <w:rFonts w:ascii="Arial" w:hAnsi="Arial" w:cs="Arial"/>
          <w:sz w:val="22"/>
          <w:szCs w:val="22"/>
          <w:lang w:val="hr-HR"/>
        </w:rPr>
        <w:t>IZVJEŠĆE O UTROŠKU SREDSTAVA KOMUNALNE NAKNADE I KOMUNALNOG DOPRINOSA U 202</w:t>
      </w:r>
      <w:r w:rsidR="008A47C4">
        <w:rPr>
          <w:rFonts w:ascii="Arial" w:hAnsi="Arial" w:cs="Arial"/>
          <w:sz w:val="22"/>
          <w:szCs w:val="22"/>
          <w:lang w:val="hr-HR"/>
        </w:rPr>
        <w:t>5</w:t>
      </w:r>
      <w:r w:rsidR="00DB0163" w:rsidRPr="003A2F86">
        <w:rPr>
          <w:rFonts w:ascii="Arial" w:hAnsi="Arial" w:cs="Arial"/>
          <w:sz w:val="22"/>
          <w:szCs w:val="22"/>
          <w:lang w:val="hr-HR"/>
        </w:rPr>
        <w:t>.</w:t>
      </w:r>
      <w:bookmarkEnd w:id="283"/>
    </w:p>
    <w:p w14:paraId="7AFE385A" w14:textId="73BAB6F6" w:rsidR="00DB0163" w:rsidRPr="003A2F86" w:rsidRDefault="00DB0163" w:rsidP="00DB0163">
      <w:pPr>
        <w:spacing w:after="0" w:line="240" w:lineRule="auto"/>
        <w:rPr>
          <w:rFonts w:ascii="Arial" w:eastAsia="Times New Roman" w:hAnsi="Arial" w:cs="Arial"/>
        </w:rPr>
      </w:pPr>
    </w:p>
    <w:p w14:paraId="5D09DE62" w14:textId="36DE1E43" w:rsidR="000A124E" w:rsidRPr="003A2F86" w:rsidRDefault="000A124E" w:rsidP="000A124E">
      <w:pPr>
        <w:spacing w:after="0" w:line="240" w:lineRule="auto"/>
        <w:jc w:val="both"/>
        <w:rPr>
          <w:rFonts w:ascii="Arial" w:eastAsia="Times New Roman" w:hAnsi="Arial" w:cs="Arial"/>
        </w:rPr>
      </w:pPr>
      <w:r w:rsidRPr="003A2F86">
        <w:rPr>
          <w:rFonts w:ascii="Arial" w:eastAsia="Times New Roman" w:hAnsi="Arial" w:cs="Arial"/>
        </w:rPr>
        <w:t xml:space="preserve">Prema odredbama Zakona o komunalnom gospodarstvu, sredstva </w:t>
      </w:r>
      <w:r w:rsidRPr="003A2F86">
        <w:rPr>
          <w:rFonts w:ascii="Arial" w:eastAsia="Times New Roman" w:hAnsi="Arial" w:cs="Arial"/>
          <w:b/>
          <w:bCs/>
        </w:rPr>
        <w:t>komunalne naknade</w:t>
      </w:r>
      <w:r w:rsidRPr="003A2F86">
        <w:rPr>
          <w:rFonts w:ascii="Arial" w:eastAsia="Times New Roman" w:hAnsi="Arial" w:cs="Arial"/>
        </w:rPr>
        <w:t xml:space="preserve"> mogu se koristiti za:</w:t>
      </w:r>
    </w:p>
    <w:p w14:paraId="69ABF1B4" w14:textId="79948A08" w:rsidR="000A124E" w:rsidRPr="003A2F86" w:rsidRDefault="000A124E" w:rsidP="000A124E">
      <w:pPr>
        <w:spacing w:after="0" w:line="240" w:lineRule="auto"/>
        <w:ind w:firstLine="708"/>
        <w:jc w:val="both"/>
        <w:rPr>
          <w:rFonts w:ascii="Arial" w:eastAsia="Calibri" w:hAnsi="Arial" w:cs="Arial"/>
        </w:rPr>
      </w:pPr>
      <w:r w:rsidRPr="003A2F86">
        <w:rPr>
          <w:rFonts w:ascii="Arial" w:eastAsia="Times New Roman" w:hAnsi="Arial" w:cs="Arial"/>
        </w:rPr>
        <w:t>- održavanje komunalne infrastrukture (</w:t>
      </w:r>
      <w:r w:rsidRPr="003A2F86">
        <w:rPr>
          <w:rFonts w:ascii="Arial" w:eastAsia="Calibri" w:hAnsi="Arial" w:cs="Arial"/>
        </w:rPr>
        <w:t>održavanja nerazvrstanih cesta; održavanja javnih površina na kojima nije dopušten promet motornih vozila; održavanje građevina javne odvodnje oborinskih voda; održavanja javnih zelenih površina; održavanje građevina, uređaja i predmeta javne namjene; održavanja groblja i krematorija unutar groblja; održavanja čistoće javnih površina; održavanje javne rasvjete),</w:t>
      </w:r>
      <w:r w:rsidR="001A08A8" w:rsidRPr="003A2F86">
        <w:rPr>
          <w:rFonts w:ascii="Arial" w:eastAsia="Calibri" w:hAnsi="Arial" w:cs="Arial"/>
        </w:rPr>
        <w:t xml:space="preserve"> te</w:t>
      </w:r>
    </w:p>
    <w:p w14:paraId="17AD4546" w14:textId="6D40B4A0" w:rsidR="000A124E" w:rsidRPr="003A2F86" w:rsidRDefault="000A124E" w:rsidP="000A124E">
      <w:pPr>
        <w:spacing w:after="0" w:line="240" w:lineRule="auto"/>
        <w:ind w:firstLine="708"/>
        <w:jc w:val="both"/>
        <w:rPr>
          <w:rFonts w:ascii="Arial" w:eastAsia="Times New Roman" w:hAnsi="Arial" w:cs="Arial"/>
        </w:rPr>
      </w:pPr>
      <w:r w:rsidRPr="003A2F86">
        <w:rPr>
          <w:rFonts w:ascii="Arial" w:eastAsia="Calibri" w:hAnsi="Arial" w:cs="Arial"/>
        </w:rPr>
        <w:t xml:space="preserve">- </w:t>
      </w:r>
      <w:r w:rsidRPr="003A2F86">
        <w:rPr>
          <w:rFonts w:ascii="Arial" w:eastAsia="Times New Roman" w:hAnsi="Arial" w:cs="Arial"/>
        </w:rPr>
        <w:t>za financiranje građenja i održavanja objekata predškolskog, školskog, zdravstvenog i socijalnog sadržaja, javnih građevina sportske i kulturne namjene te poboljšanja energetske učinkovitosti zgrada u vlasništvu Općine, ako se time ne dovodi u pitanje mogućnost održavanja i građenja komunalne infrastrukture, a sve pod uvjetom da je isto uređeno odlukom predstavničkog tijela.</w:t>
      </w:r>
    </w:p>
    <w:p w14:paraId="6D475EC0" w14:textId="77777777" w:rsidR="000A124E" w:rsidRPr="003A2F86" w:rsidRDefault="000A124E" w:rsidP="000A124E">
      <w:pPr>
        <w:spacing w:after="0" w:line="240" w:lineRule="auto"/>
        <w:rPr>
          <w:rFonts w:ascii="Arial" w:eastAsia="Times New Roman" w:hAnsi="Arial" w:cs="Arial"/>
        </w:rPr>
      </w:pPr>
    </w:p>
    <w:p w14:paraId="56DD3533" w14:textId="7B89925D" w:rsidR="000A124E" w:rsidRPr="003A2F86" w:rsidRDefault="000A124E" w:rsidP="0079548E">
      <w:pPr>
        <w:spacing w:after="0" w:line="240" w:lineRule="auto"/>
        <w:jc w:val="both"/>
        <w:rPr>
          <w:rFonts w:ascii="Arial" w:eastAsia="Times New Roman" w:hAnsi="Arial" w:cs="Arial"/>
        </w:rPr>
      </w:pPr>
      <w:r w:rsidRPr="003A2F86">
        <w:rPr>
          <w:rFonts w:ascii="Arial" w:eastAsia="Times New Roman" w:hAnsi="Arial" w:cs="Arial"/>
        </w:rPr>
        <w:t xml:space="preserve">Prema odredbama Zakona o komunalnom gospodarstvu, sredstva </w:t>
      </w:r>
      <w:r w:rsidRPr="003A2F86">
        <w:rPr>
          <w:rFonts w:ascii="Arial" w:eastAsia="Times New Roman" w:hAnsi="Arial" w:cs="Arial"/>
          <w:b/>
          <w:bCs/>
        </w:rPr>
        <w:t>komunalnog doprinosa</w:t>
      </w:r>
      <w:r w:rsidRPr="003A2F86">
        <w:rPr>
          <w:rFonts w:ascii="Arial" w:eastAsia="Times New Roman" w:hAnsi="Arial" w:cs="Arial"/>
        </w:rPr>
        <w:t xml:space="preserve"> mogu se koristiti samo za financiranje građenja i održavanja komunalne infrastrukture.</w:t>
      </w:r>
    </w:p>
    <w:p w14:paraId="0ACB4DED" w14:textId="34794674" w:rsidR="000A124E" w:rsidRDefault="000A124E" w:rsidP="00DB0163">
      <w:pPr>
        <w:spacing w:after="0" w:line="240" w:lineRule="auto"/>
        <w:rPr>
          <w:rFonts w:ascii="Arial" w:eastAsia="Times New Roman" w:hAnsi="Arial" w:cs="Arial"/>
        </w:rPr>
      </w:pPr>
    </w:p>
    <w:p w14:paraId="12E01116" w14:textId="77777777" w:rsidR="00CA69D2" w:rsidRDefault="00CA69D2" w:rsidP="00DB0163">
      <w:pPr>
        <w:spacing w:after="0" w:line="240" w:lineRule="auto"/>
        <w:rPr>
          <w:rFonts w:ascii="Arial" w:eastAsia="Times New Roman" w:hAnsi="Arial" w:cs="Arial"/>
        </w:rPr>
      </w:pPr>
    </w:p>
    <w:p w14:paraId="3CD86E0D" w14:textId="77777777" w:rsidR="00CA69D2" w:rsidRDefault="00CA69D2" w:rsidP="00DB0163">
      <w:pPr>
        <w:spacing w:after="0" w:line="240" w:lineRule="auto"/>
        <w:rPr>
          <w:rFonts w:ascii="Arial" w:eastAsia="Times New Roman" w:hAnsi="Arial" w:cs="Arial"/>
        </w:rPr>
      </w:pPr>
    </w:p>
    <w:p w14:paraId="10ED1A41" w14:textId="77777777" w:rsidR="00CA69D2" w:rsidRDefault="00CA69D2" w:rsidP="00DB0163">
      <w:pPr>
        <w:spacing w:after="0" w:line="240" w:lineRule="auto"/>
        <w:rPr>
          <w:rFonts w:ascii="Arial" w:eastAsia="Times New Roman" w:hAnsi="Arial" w:cs="Arial"/>
        </w:rPr>
      </w:pPr>
    </w:p>
    <w:p w14:paraId="5C6992BB" w14:textId="77777777" w:rsidR="00CA69D2" w:rsidRDefault="00CA69D2" w:rsidP="00DB0163">
      <w:pPr>
        <w:spacing w:after="0" w:line="240" w:lineRule="auto"/>
        <w:rPr>
          <w:rFonts w:ascii="Arial" w:eastAsia="Times New Roman" w:hAnsi="Arial" w:cs="Arial"/>
        </w:rPr>
      </w:pPr>
    </w:p>
    <w:p w14:paraId="22999954" w14:textId="77777777" w:rsidR="00CA69D2" w:rsidRDefault="00CA69D2" w:rsidP="00DB0163">
      <w:pPr>
        <w:spacing w:after="0" w:line="240" w:lineRule="auto"/>
        <w:rPr>
          <w:rFonts w:ascii="Arial" w:eastAsia="Times New Roman" w:hAnsi="Arial" w:cs="Arial"/>
        </w:rPr>
      </w:pPr>
    </w:p>
    <w:p w14:paraId="3C3DEBD1" w14:textId="77777777" w:rsidR="00CA69D2" w:rsidRDefault="00CA69D2" w:rsidP="00DB0163">
      <w:pPr>
        <w:spacing w:after="0" w:line="240" w:lineRule="auto"/>
        <w:rPr>
          <w:rFonts w:ascii="Arial" w:eastAsia="Times New Roman" w:hAnsi="Arial" w:cs="Arial"/>
        </w:rPr>
      </w:pPr>
    </w:p>
    <w:p w14:paraId="633C3465" w14:textId="77777777" w:rsidR="00CA69D2" w:rsidRDefault="00CA69D2" w:rsidP="00DB0163">
      <w:pPr>
        <w:spacing w:after="0" w:line="240" w:lineRule="auto"/>
        <w:rPr>
          <w:rFonts w:ascii="Arial" w:eastAsia="Times New Roman" w:hAnsi="Arial" w:cs="Arial"/>
        </w:rPr>
      </w:pPr>
    </w:p>
    <w:p w14:paraId="7762A300" w14:textId="77777777" w:rsidR="00CA69D2" w:rsidRDefault="00CA69D2" w:rsidP="00DB0163">
      <w:pPr>
        <w:spacing w:after="0" w:line="240" w:lineRule="auto"/>
        <w:rPr>
          <w:rFonts w:ascii="Arial" w:eastAsia="Times New Roman" w:hAnsi="Arial" w:cs="Arial"/>
        </w:rPr>
      </w:pPr>
    </w:p>
    <w:p w14:paraId="699AE69B" w14:textId="77777777" w:rsidR="00CA69D2" w:rsidRDefault="00CA69D2" w:rsidP="00DB0163">
      <w:pPr>
        <w:spacing w:after="0" w:line="240" w:lineRule="auto"/>
        <w:rPr>
          <w:rFonts w:ascii="Arial" w:eastAsia="Times New Roman" w:hAnsi="Arial" w:cs="Arial"/>
        </w:rPr>
      </w:pPr>
    </w:p>
    <w:p w14:paraId="2E0628B8" w14:textId="77777777" w:rsidR="00CA69D2" w:rsidRDefault="00CA69D2" w:rsidP="00DB0163">
      <w:pPr>
        <w:spacing w:after="0" w:line="240" w:lineRule="auto"/>
        <w:rPr>
          <w:rFonts w:ascii="Arial" w:eastAsia="Times New Roman" w:hAnsi="Arial" w:cs="Arial"/>
        </w:rPr>
      </w:pPr>
    </w:p>
    <w:p w14:paraId="4836C769" w14:textId="77777777" w:rsidR="00CA69D2" w:rsidRDefault="00CA69D2" w:rsidP="00DB0163">
      <w:pPr>
        <w:spacing w:after="0" w:line="240" w:lineRule="auto"/>
        <w:rPr>
          <w:rFonts w:ascii="Arial" w:eastAsia="Times New Roman" w:hAnsi="Arial" w:cs="Arial"/>
        </w:rPr>
      </w:pPr>
    </w:p>
    <w:p w14:paraId="5265F9FE" w14:textId="77777777" w:rsidR="00CA69D2" w:rsidRDefault="00CA69D2" w:rsidP="00DB0163">
      <w:pPr>
        <w:spacing w:after="0" w:line="240" w:lineRule="auto"/>
        <w:rPr>
          <w:rFonts w:ascii="Arial" w:eastAsia="Times New Roman" w:hAnsi="Arial" w:cs="Arial"/>
        </w:rPr>
      </w:pPr>
    </w:p>
    <w:p w14:paraId="2B25B016" w14:textId="77777777" w:rsidR="00CA69D2" w:rsidRDefault="00CA69D2" w:rsidP="00DB0163">
      <w:pPr>
        <w:spacing w:after="0" w:line="240" w:lineRule="auto"/>
        <w:rPr>
          <w:rFonts w:ascii="Arial" w:eastAsia="Times New Roman" w:hAnsi="Arial" w:cs="Arial"/>
        </w:rPr>
      </w:pPr>
    </w:p>
    <w:p w14:paraId="41D0F7C1" w14:textId="77777777" w:rsidR="00CA69D2" w:rsidRDefault="00CA69D2" w:rsidP="00DB0163">
      <w:pPr>
        <w:spacing w:after="0" w:line="240" w:lineRule="auto"/>
        <w:rPr>
          <w:rFonts w:ascii="Arial" w:eastAsia="Times New Roman" w:hAnsi="Arial" w:cs="Arial"/>
        </w:rPr>
      </w:pPr>
    </w:p>
    <w:p w14:paraId="73CBEA87" w14:textId="77777777" w:rsidR="00CA69D2" w:rsidRPr="003A2F86" w:rsidRDefault="00CA69D2" w:rsidP="00DB0163">
      <w:pPr>
        <w:spacing w:after="0" w:line="240" w:lineRule="auto"/>
        <w:rPr>
          <w:rFonts w:ascii="Arial" w:eastAsia="Times New Roman" w:hAnsi="Arial" w:cs="Arial"/>
        </w:rPr>
      </w:pPr>
    </w:p>
    <w:p w14:paraId="5CB7FF75" w14:textId="2156EA92" w:rsidR="004B6CE0" w:rsidRPr="003A2F86" w:rsidRDefault="004B6CE0" w:rsidP="004B6CE0">
      <w:pPr>
        <w:pStyle w:val="Opisslike"/>
        <w:rPr>
          <w:rFonts w:ascii="Arial" w:hAnsi="Arial" w:cs="Arial"/>
        </w:rPr>
      </w:pPr>
      <w:bookmarkStart w:id="284" w:name="_Toc207706989"/>
      <w:r w:rsidRPr="003A2F86">
        <w:rPr>
          <w:color w:val="FF0000"/>
        </w:rPr>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25</w:t>
      </w:r>
      <w:r w:rsidRPr="003A2F86">
        <w:rPr>
          <w:color w:val="FF0000"/>
        </w:rPr>
        <w:fldChar w:fldCharType="end"/>
      </w:r>
      <w:r w:rsidRPr="003A2F86">
        <w:rPr>
          <w:color w:val="FF0000"/>
        </w:rPr>
        <w:t xml:space="preserve">.: </w:t>
      </w:r>
      <w:r w:rsidRPr="003A2F86">
        <w:rPr>
          <w:rFonts w:ascii="Arial" w:hAnsi="Arial" w:cs="Arial"/>
        </w:rPr>
        <w:t xml:space="preserve">Prikaz utroška sredstava komunalne naknade i komunalnog doprinosa u </w:t>
      </w:r>
      <w:r w:rsidR="008A47C4">
        <w:rPr>
          <w:rFonts w:ascii="Arial" w:hAnsi="Arial" w:cs="Arial"/>
        </w:rPr>
        <w:t>1-6/2025</w:t>
      </w:r>
      <w:r w:rsidRPr="003A2F86">
        <w:rPr>
          <w:rFonts w:ascii="Arial" w:hAnsi="Arial" w:cs="Arial"/>
        </w:rPr>
        <w:t>.</w:t>
      </w:r>
      <w:bookmarkEnd w:id="284"/>
    </w:p>
    <w:p w14:paraId="10785BFE" w14:textId="77777777" w:rsidR="00CA69D2" w:rsidRDefault="00CA69D2" w:rsidP="008170E6">
      <w:pPr>
        <w:spacing w:after="0" w:line="240" w:lineRule="auto"/>
        <w:rPr>
          <w:lang w:eastAsia="en-US"/>
        </w:rPr>
      </w:pPr>
    </w:p>
    <w:tbl>
      <w:tblPr>
        <w:tblW w:w="12920" w:type="dxa"/>
        <w:jc w:val="center"/>
        <w:tblLook w:val="04A0" w:firstRow="1" w:lastRow="0" w:firstColumn="1" w:lastColumn="0" w:noHBand="0" w:noVBand="1"/>
      </w:tblPr>
      <w:tblGrid>
        <w:gridCol w:w="862"/>
        <w:gridCol w:w="707"/>
        <w:gridCol w:w="948"/>
        <w:gridCol w:w="857"/>
        <w:gridCol w:w="3726"/>
        <w:gridCol w:w="1180"/>
        <w:gridCol w:w="1760"/>
        <w:gridCol w:w="1440"/>
        <w:gridCol w:w="1440"/>
      </w:tblGrid>
      <w:tr w:rsidR="008A47C4" w:rsidRPr="00CA69D2" w14:paraId="13EEDDA0" w14:textId="77777777" w:rsidTr="008A47C4">
        <w:trPr>
          <w:trHeight w:val="1170"/>
          <w:jc w:val="center"/>
        </w:trPr>
        <w:tc>
          <w:tcPr>
            <w:tcW w:w="862"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8DB2077" w14:textId="2D6D18BF"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b/>
                <w:bCs/>
                <w:i/>
                <w:iCs/>
                <w:sz w:val="14"/>
                <w:szCs w:val="14"/>
              </w:rPr>
              <w:t>RAZDJEL</w:t>
            </w:r>
          </w:p>
        </w:tc>
        <w:tc>
          <w:tcPr>
            <w:tcW w:w="707" w:type="dxa"/>
            <w:tcBorders>
              <w:top w:val="single" w:sz="8" w:space="0" w:color="auto"/>
              <w:left w:val="nil"/>
              <w:bottom w:val="single" w:sz="8" w:space="0" w:color="auto"/>
              <w:right w:val="single" w:sz="8" w:space="0" w:color="auto"/>
            </w:tcBorders>
            <w:shd w:val="clear" w:color="000000" w:fill="D9D9D9"/>
            <w:vAlign w:val="center"/>
            <w:hideMark/>
          </w:tcPr>
          <w:p w14:paraId="29792303" w14:textId="398E6884" w:rsidR="008A47C4" w:rsidRPr="00CA69D2" w:rsidRDefault="008A47C4" w:rsidP="008A47C4">
            <w:pPr>
              <w:spacing w:after="0" w:line="240" w:lineRule="auto"/>
              <w:rPr>
                <w:rFonts w:ascii="Arial" w:eastAsia="Times New Roman" w:hAnsi="Arial" w:cs="Arial"/>
                <w:b/>
                <w:bCs/>
                <w:sz w:val="14"/>
                <w:szCs w:val="14"/>
              </w:rPr>
            </w:pPr>
            <w:r>
              <w:rPr>
                <w:rFonts w:ascii="Arial" w:hAnsi="Arial" w:cs="Arial"/>
                <w:b/>
                <w:bCs/>
                <w:sz w:val="14"/>
                <w:szCs w:val="14"/>
              </w:rPr>
              <w:t>Razdjel / GLAVA</w:t>
            </w:r>
          </w:p>
        </w:tc>
        <w:tc>
          <w:tcPr>
            <w:tcW w:w="948" w:type="dxa"/>
            <w:tcBorders>
              <w:top w:val="single" w:sz="8" w:space="0" w:color="auto"/>
              <w:left w:val="nil"/>
              <w:bottom w:val="single" w:sz="8" w:space="0" w:color="auto"/>
              <w:right w:val="single" w:sz="8" w:space="0" w:color="auto"/>
            </w:tcBorders>
            <w:shd w:val="clear" w:color="000000" w:fill="D9D9D9"/>
            <w:vAlign w:val="center"/>
            <w:hideMark/>
          </w:tcPr>
          <w:p w14:paraId="27410342" w14:textId="3A5AF8B8" w:rsidR="008A47C4" w:rsidRPr="00CA69D2" w:rsidRDefault="008A47C4" w:rsidP="008A47C4">
            <w:pPr>
              <w:spacing w:after="0" w:line="240" w:lineRule="auto"/>
              <w:rPr>
                <w:rFonts w:ascii="Arial" w:eastAsia="Times New Roman" w:hAnsi="Arial" w:cs="Arial"/>
                <w:b/>
                <w:bCs/>
                <w:sz w:val="14"/>
                <w:szCs w:val="14"/>
              </w:rPr>
            </w:pPr>
            <w:r>
              <w:rPr>
                <w:rFonts w:ascii="Arial" w:hAnsi="Arial" w:cs="Arial"/>
                <w:b/>
                <w:bCs/>
                <w:sz w:val="14"/>
                <w:szCs w:val="14"/>
              </w:rPr>
              <w:t>PROGRAM</w:t>
            </w:r>
          </w:p>
        </w:tc>
        <w:tc>
          <w:tcPr>
            <w:tcW w:w="857" w:type="dxa"/>
            <w:tcBorders>
              <w:top w:val="single" w:sz="8" w:space="0" w:color="auto"/>
              <w:left w:val="nil"/>
              <w:bottom w:val="single" w:sz="8" w:space="0" w:color="auto"/>
              <w:right w:val="single" w:sz="8" w:space="0" w:color="auto"/>
            </w:tcBorders>
            <w:shd w:val="clear" w:color="000000" w:fill="D9D9D9"/>
            <w:vAlign w:val="center"/>
            <w:hideMark/>
          </w:tcPr>
          <w:p w14:paraId="0426B44D" w14:textId="7AFE63C5" w:rsidR="008A47C4" w:rsidRPr="00CA69D2" w:rsidRDefault="008A47C4" w:rsidP="008A47C4">
            <w:pPr>
              <w:spacing w:after="0" w:line="240" w:lineRule="auto"/>
              <w:rPr>
                <w:rFonts w:ascii="Arial" w:eastAsia="Times New Roman" w:hAnsi="Arial" w:cs="Arial"/>
                <w:b/>
                <w:bCs/>
                <w:sz w:val="14"/>
                <w:szCs w:val="14"/>
              </w:rPr>
            </w:pPr>
            <w:r>
              <w:rPr>
                <w:rFonts w:ascii="Arial" w:hAnsi="Arial" w:cs="Arial"/>
                <w:b/>
                <w:bCs/>
                <w:sz w:val="14"/>
                <w:szCs w:val="14"/>
              </w:rPr>
              <w:t>Aktivnost / projekt</w:t>
            </w:r>
          </w:p>
        </w:tc>
        <w:tc>
          <w:tcPr>
            <w:tcW w:w="3726" w:type="dxa"/>
            <w:tcBorders>
              <w:top w:val="single" w:sz="8" w:space="0" w:color="auto"/>
              <w:left w:val="nil"/>
              <w:bottom w:val="single" w:sz="8" w:space="0" w:color="auto"/>
              <w:right w:val="single" w:sz="8" w:space="0" w:color="auto"/>
            </w:tcBorders>
            <w:vAlign w:val="center"/>
            <w:hideMark/>
          </w:tcPr>
          <w:p w14:paraId="5BDF9FB9" w14:textId="05BA9413" w:rsidR="008A47C4" w:rsidRPr="00CA69D2" w:rsidRDefault="008A47C4" w:rsidP="008A47C4">
            <w:pPr>
              <w:spacing w:after="0" w:line="240" w:lineRule="auto"/>
              <w:rPr>
                <w:rFonts w:ascii="Arial" w:eastAsia="Times New Roman" w:hAnsi="Arial" w:cs="Arial"/>
                <w:b/>
                <w:bCs/>
                <w:sz w:val="18"/>
                <w:szCs w:val="18"/>
              </w:rPr>
            </w:pPr>
            <w:r>
              <w:rPr>
                <w:rFonts w:ascii="Arial" w:hAnsi="Arial" w:cs="Arial"/>
                <w:b/>
                <w:bCs/>
                <w:sz w:val="18"/>
                <w:szCs w:val="18"/>
              </w:rPr>
              <w:t>UO ZA KOMUNALNI SUSTAV I GOSPODARENJE NEKRETNINAMA</w:t>
            </w:r>
          </w:p>
        </w:tc>
        <w:tc>
          <w:tcPr>
            <w:tcW w:w="1180" w:type="dxa"/>
            <w:tcBorders>
              <w:top w:val="single" w:sz="8" w:space="0" w:color="auto"/>
              <w:left w:val="nil"/>
              <w:bottom w:val="nil"/>
              <w:right w:val="single" w:sz="8" w:space="0" w:color="000000"/>
            </w:tcBorders>
            <w:vAlign w:val="center"/>
            <w:hideMark/>
          </w:tcPr>
          <w:p w14:paraId="2CFF6D6D" w14:textId="6A7EFD12" w:rsidR="008A47C4" w:rsidRPr="00CA69D2" w:rsidRDefault="008A47C4" w:rsidP="008A47C4">
            <w:pPr>
              <w:spacing w:after="0" w:line="240" w:lineRule="auto"/>
              <w:jc w:val="center"/>
              <w:rPr>
                <w:rFonts w:ascii="Arial" w:eastAsia="Times New Roman" w:hAnsi="Arial" w:cs="Arial"/>
                <w:b/>
                <w:bCs/>
                <w:sz w:val="16"/>
                <w:szCs w:val="16"/>
              </w:rPr>
            </w:pPr>
            <w:r>
              <w:rPr>
                <w:rFonts w:ascii="Arial" w:hAnsi="Arial" w:cs="Arial"/>
                <w:b/>
                <w:bCs/>
                <w:sz w:val="16"/>
                <w:szCs w:val="16"/>
              </w:rPr>
              <w:t>Izvršenje aktivnosti / projekta u 2025. (€)</w:t>
            </w:r>
          </w:p>
        </w:tc>
        <w:tc>
          <w:tcPr>
            <w:tcW w:w="1760" w:type="dxa"/>
            <w:tcBorders>
              <w:top w:val="single" w:sz="8" w:space="0" w:color="auto"/>
              <w:left w:val="nil"/>
              <w:bottom w:val="single" w:sz="8" w:space="0" w:color="auto"/>
              <w:right w:val="single" w:sz="8" w:space="0" w:color="auto"/>
            </w:tcBorders>
            <w:vAlign w:val="center"/>
            <w:hideMark/>
          </w:tcPr>
          <w:p w14:paraId="5E15B3AE" w14:textId="62DE1B30" w:rsidR="008A47C4" w:rsidRPr="00CA69D2" w:rsidRDefault="008A47C4" w:rsidP="008A47C4">
            <w:pPr>
              <w:spacing w:after="0" w:line="240" w:lineRule="auto"/>
              <w:jc w:val="center"/>
              <w:rPr>
                <w:rFonts w:ascii="Calibri" w:eastAsia="Times New Roman" w:hAnsi="Calibri" w:cs="Calibri"/>
                <w:b/>
                <w:bCs/>
                <w:sz w:val="16"/>
                <w:szCs w:val="16"/>
              </w:rPr>
            </w:pPr>
            <w:r>
              <w:rPr>
                <w:rFonts w:ascii="Calibri" w:hAnsi="Calibri" w:cs="Calibri"/>
                <w:b/>
                <w:bCs/>
                <w:sz w:val="16"/>
                <w:szCs w:val="16"/>
              </w:rPr>
              <w:t>dio podmirenih rashoda iz izvora komunalni doprinos i komunalna naknada (iznos - €)</w:t>
            </w:r>
          </w:p>
        </w:tc>
        <w:tc>
          <w:tcPr>
            <w:tcW w:w="1440" w:type="dxa"/>
            <w:tcBorders>
              <w:top w:val="single" w:sz="8" w:space="0" w:color="auto"/>
              <w:left w:val="nil"/>
              <w:bottom w:val="single" w:sz="8" w:space="0" w:color="auto"/>
              <w:right w:val="single" w:sz="8" w:space="0" w:color="auto"/>
            </w:tcBorders>
            <w:vAlign w:val="center"/>
            <w:hideMark/>
          </w:tcPr>
          <w:p w14:paraId="019B0630" w14:textId="2EFC91CC" w:rsidR="008A47C4" w:rsidRPr="00CA69D2" w:rsidRDefault="008A47C4" w:rsidP="008A47C4">
            <w:pPr>
              <w:spacing w:after="0" w:line="240" w:lineRule="auto"/>
              <w:jc w:val="center"/>
              <w:rPr>
                <w:rFonts w:ascii="Calibri" w:eastAsia="Times New Roman" w:hAnsi="Calibri" w:cs="Calibri"/>
                <w:b/>
                <w:bCs/>
                <w:sz w:val="16"/>
                <w:szCs w:val="16"/>
              </w:rPr>
            </w:pPr>
            <w:r>
              <w:rPr>
                <w:rFonts w:ascii="Calibri" w:hAnsi="Calibri" w:cs="Calibri"/>
                <w:b/>
                <w:bCs/>
                <w:sz w:val="16"/>
                <w:szCs w:val="16"/>
              </w:rPr>
              <w:t>izvor podmirenja rashoda: komunalni doprinos (iznos - €)</w:t>
            </w:r>
          </w:p>
        </w:tc>
        <w:tc>
          <w:tcPr>
            <w:tcW w:w="1440" w:type="dxa"/>
            <w:tcBorders>
              <w:top w:val="single" w:sz="8" w:space="0" w:color="auto"/>
              <w:left w:val="nil"/>
              <w:bottom w:val="single" w:sz="8" w:space="0" w:color="auto"/>
              <w:right w:val="single" w:sz="8" w:space="0" w:color="auto"/>
            </w:tcBorders>
            <w:vAlign w:val="center"/>
            <w:hideMark/>
          </w:tcPr>
          <w:p w14:paraId="33490919" w14:textId="72CFDB01" w:rsidR="008A47C4" w:rsidRPr="00CA69D2" w:rsidRDefault="008A47C4" w:rsidP="008A47C4">
            <w:pPr>
              <w:spacing w:after="0" w:line="240" w:lineRule="auto"/>
              <w:jc w:val="center"/>
              <w:rPr>
                <w:rFonts w:ascii="Calibri" w:eastAsia="Times New Roman" w:hAnsi="Calibri" w:cs="Calibri"/>
                <w:b/>
                <w:bCs/>
                <w:sz w:val="16"/>
                <w:szCs w:val="16"/>
              </w:rPr>
            </w:pPr>
            <w:r>
              <w:rPr>
                <w:rFonts w:ascii="Calibri" w:hAnsi="Calibri" w:cs="Calibri"/>
                <w:b/>
                <w:bCs/>
                <w:sz w:val="16"/>
                <w:szCs w:val="16"/>
              </w:rPr>
              <w:t>izvor podmirenja rashoda: komunalna naknada  (iznos - €)</w:t>
            </w:r>
          </w:p>
        </w:tc>
      </w:tr>
      <w:tr w:rsidR="008A47C4" w:rsidRPr="00CA69D2" w14:paraId="4768E20C" w14:textId="77777777" w:rsidTr="008A47C4">
        <w:trPr>
          <w:trHeight w:val="203"/>
          <w:jc w:val="center"/>
        </w:trPr>
        <w:tc>
          <w:tcPr>
            <w:tcW w:w="862" w:type="dxa"/>
            <w:tcBorders>
              <w:top w:val="nil"/>
              <w:left w:val="single" w:sz="8" w:space="0" w:color="auto"/>
              <w:bottom w:val="single" w:sz="8" w:space="0" w:color="auto"/>
              <w:right w:val="nil"/>
            </w:tcBorders>
            <w:vAlign w:val="center"/>
            <w:hideMark/>
          </w:tcPr>
          <w:p w14:paraId="4DB9046D" w14:textId="5E27F32F" w:rsidR="008A47C4" w:rsidRPr="00CA69D2" w:rsidRDefault="008A47C4" w:rsidP="008A47C4">
            <w:pPr>
              <w:spacing w:after="0" w:line="240" w:lineRule="auto"/>
              <w:jc w:val="center"/>
              <w:rPr>
                <w:rFonts w:ascii="Arial" w:eastAsia="Times New Roman" w:hAnsi="Arial" w:cs="Arial"/>
                <w:sz w:val="14"/>
                <w:szCs w:val="14"/>
              </w:rPr>
            </w:pPr>
            <w:r>
              <w:rPr>
                <w:rFonts w:ascii="Arial" w:hAnsi="Arial" w:cs="Arial"/>
                <w:sz w:val="14"/>
                <w:szCs w:val="14"/>
              </w:rPr>
              <w:t>1</w:t>
            </w:r>
          </w:p>
        </w:tc>
        <w:tc>
          <w:tcPr>
            <w:tcW w:w="707" w:type="dxa"/>
            <w:tcBorders>
              <w:top w:val="nil"/>
              <w:left w:val="single" w:sz="8" w:space="0" w:color="auto"/>
              <w:bottom w:val="single" w:sz="8" w:space="0" w:color="auto"/>
              <w:right w:val="nil"/>
            </w:tcBorders>
            <w:vAlign w:val="center"/>
            <w:hideMark/>
          </w:tcPr>
          <w:p w14:paraId="4DEB9BC2" w14:textId="211CFE1E" w:rsidR="008A47C4" w:rsidRPr="00CA69D2" w:rsidRDefault="008A47C4" w:rsidP="008A47C4">
            <w:pPr>
              <w:spacing w:after="0" w:line="240" w:lineRule="auto"/>
              <w:jc w:val="center"/>
              <w:rPr>
                <w:rFonts w:ascii="Arial" w:eastAsia="Times New Roman" w:hAnsi="Arial" w:cs="Arial"/>
                <w:sz w:val="14"/>
                <w:szCs w:val="14"/>
              </w:rPr>
            </w:pPr>
            <w:r>
              <w:rPr>
                <w:rFonts w:ascii="Arial" w:hAnsi="Arial" w:cs="Arial"/>
                <w:sz w:val="14"/>
                <w:szCs w:val="14"/>
              </w:rPr>
              <w:t>2</w:t>
            </w:r>
          </w:p>
        </w:tc>
        <w:tc>
          <w:tcPr>
            <w:tcW w:w="948" w:type="dxa"/>
            <w:tcBorders>
              <w:top w:val="nil"/>
              <w:left w:val="single" w:sz="8" w:space="0" w:color="auto"/>
              <w:bottom w:val="single" w:sz="8" w:space="0" w:color="auto"/>
              <w:right w:val="single" w:sz="8" w:space="0" w:color="auto"/>
            </w:tcBorders>
            <w:vAlign w:val="center"/>
            <w:hideMark/>
          </w:tcPr>
          <w:p w14:paraId="62C32EA7" w14:textId="69A20EEE" w:rsidR="008A47C4" w:rsidRPr="00CA69D2" w:rsidRDefault="008A47C4" w:rsidP="008A47C4">
            <w:pPr>
              <w:spacing w:after="0" w:line="240" w:lineRule="auto"/>
              <w:jc w:val="center"/>
              <w:rPr>
                <w:rFonts w:ascii="Arial" w:eastAsia="Times New Roman" w:hAnsi="Arial" w:cs="Arial"/>
                <w:sz w:val="14"/>
                <w:szCs w:val="14"/>
              </w:rPr>
            </w:pPr>
            <w:r>
              <w:rPr>
                <w:rFonts w:ascii="Arial" w:hAnsi="Arial" w:cs="Arial"/>
                <w:sz w:val="14"/>
                <w:szCs w:val="14"/>
              </w:rPr>
              <w:t>3</w:t>
            </w:r>
          </w:p>
        </w:tc>
        <w:tc>
          <w:tcPr>
            <w:tcW w:w="857" w:type="dxa"/>
            <w:tcBorders>
              <w:top w:val="nil"/>
              <w:left w:val="nil"/>
              <w:bottom w:val="single" w:sz="8" w:space="0" w:color="auto"/>
              <w:right w:val="single" w:sz="8" w:space="0" w:color="auto"/>
            </w:tcBorders>
            <w:vAlign w:val="center"/>
            <w:hideMark/>
          </w:tcPr>
          <w:p w14:paraId="74E199F3" w14:textId="382233C8" w:rsidR="008A47C4" w:rsidRPr="00CA69D2" w:rsidRDefault="008A47C4" w:rsidP="008A47C4">
            <w:pPr>
              <w:spacing w:after="0" w:line="240" w:lineRule="auto"/>
              <w:jc w:val="center"/>
              <w:rPr>
                <w:rFonts w:ascii="Arial" w:eastAsia="Times New Roman" w:hAnsi="Arial" w:cs="Arial"/>
                <w:sz w:val="14"/>
                <w:szCs w:val="14"/>
              </w:rPr>
            </w:pPr>
            <w:r>
              <w:rPr>
                <w:rFonts w:ascii="Arial" w:hAnsi="Arial" w:cs="Arial"/>
                <w:sz w:val="14"/>
                <w:szCs w:val="14"/>
              </w:rPr>
              <w:t> </w:t>
            </w:r>
          </w:p>
        </w:tc>
        <w:tc>
          <w:tcPr>
            <w:tcW w:w="3726" w:type="dxa"/>
            <w:tcBorders>
              <w:top w:val="nil"/>
              <w:left w:val="nil"/>
              <w:bottom w:val="single" w:sz="8" w:space="0" w:color="auto"/>
              <w:right w:val="single" w:sz="8" w:space="0" w:color="auto"/>
            </w:tcBorders>
            <w:vAlign w:val="center"/>
            <w:hideMark/>
          </w:tcPr>
          <w:p w14:paraId="0DDC04F4" w14:textId="31810FA9" w:rsidR="008A47C4" w:rsidRPr="00CA69D2" w:rsidRDefault="008A47C4" w:rsidP="008A47C4">
            <w:pPr>
              <w:spacing w:after="0" w:line="240" w:lineRule="auto"/>
              <w:jc w:val="center"/>
              <w:rPr>
                <w:rFonts w:ascii="Arial" w:eastAsia="Times New Roman" w:hAnsi="Arial" w:cs="Arial"/>
                <w:sz w:val="14"/>
                <w:szCs w:val="14"/>
              </w:rPr>
            </w:pPr>
            <w:r>
              <w:rPr>
                <w:rFonts w:ascii="Arial" w:hAnsi="Arial" w:cs="Arial"/>
                <w:sz w:val="14"/>
                <w:szCs w:val="14"/>
              </w:rPr>
              <w:t>4</w:t>
            </w:r>
          </w:p>
        </w:tc>
        <w:tc>
          <w:tcPr>
            <w:tcW w:w="1180" w:type="dxa"/>
            <w:tcBorders>
              <w:top w:val="single" w:sz="8" w:space="0" w:color="auto"/>
              <w:left w:val="nil"/>
              <w:bottom w:val="nil"/>
              <w:right w:val="nil"/>
            </w:tcBorders>
            <w:vAlign w:val="center"/>
            <w:hideMark/>
          </w:tcPr>
          <w:p w14:paraId="4CB6B9EA" w14:textId="75DC9F93" w:rsidR="008A47C4" w:rsidRPr="00CA69D2" w:rsidRDefault="008A47C4" w:rsidP="008A47C4">
            <w:pPr>
              <w:spacing w:after="0" w:line="240" w:lineRule="auto"/>
              <w:jc w:val="center"/>
              <w:rPr>
                <w:rFonts w:ascii="Arial" w:eastAsia="Times New Roman" w:hAnsi="Arial" w:cs="Arial"/>
                <w:sz w:val="14"/>
                <w:szCs w:val="14"/>
              </w:rPr>
            </w:pPr>
            <w:r>
              <w:rPr>
                <w:rFonts w:ascii="Arial" w:hAnsi="Arial" w:cs="Arial"/>
                <w:sz w:val="14"/>
                <w:szCs w:val="14"/>
              </w:rPr>
              <w:t>5</w:t>
            </w:r>
          </w:p>
        </w:tc>
        <w:tc>
          <w:tcPr>
            <w:tcW w:w="1760" w:type="dxa"/>
            <w:tcBorders>
              <w:top w:val="nil"/>
              <w:left w:val="single" w:sz="8" w:space="0" w:color="auto"/>
              <w:bottom w:val="single" w:sz="8" w:space="0" w:color="auto"/>
              <w:right w:val="single" w:sz="8" w:space="0" w:color="auto"/>
            </w:tcBorders>
            <w:vAlign w:val="center"/>
            <w:hideMark/>
          </w:tcPr>
          <w:p w14:paraId="19072578" w14:textId="3638B16B" w:rsidR="008A47C4" w:rsidRPr="00CA69D2" w:rsidRDefault="008A47C4" w:rsidP="008A47C4">
            <w:pPr>
              <w:spacing w:after="0" w:line="240" w:lineRule="auto"/>
              <w:jc w:val="center"/>
              <w:rPr>
                <w:rFonts w:ascii="Calibri" w:eastAsia="Times New Roman" w:hAnsi="Calibri" w:cs="Calibri"/>
                <w:sz w:val="14"/>
                <w:szCs w:val="14"/>
              </w:rPr>
            </w:pPr>
            <w:r>
              <w:rPr>
                <w:rFonts w:ascii="Calibri" w:hAnsi="Calibri" w:cs="Calibri"/>
                <w:sz w:val="14"/>
                <w:szCs w:val="14"/>
              </w:rPr>
              <w:t>6 (7+8)</w:t>
            </w:r>
          </w:p>
        </w:tc>
        <w:tc>
          <w:tcPr>
            <w:tcW w:w="1440" w:type="dxa"/>
            <w:tcBorders>
              <w:top w:val="nil"/>
              <w:left w:val="nil"/>
              <w:bottom w:val="single" w:sz="8" w:space="0" w:color="auto"/>
              <w:right w:val="single" w:sz="8" w:space="0" w:color="auto"/>
            </w:tcBorders>
            <w:vAlign w:val="center"/>
            <w:hideMark/>
          </w:tcPr>
          <w:p w14:paraId="42352FCE" w14:textId="3A2B8D3F" w:rsidR="008A47C4" w:rsidRPr="00CA69D2" w:rsidRDefault="008A47C4" w:rsidP="008A47C4">
            <w:pPr>
              <w:spacing w:after="0" w:line="240" w:lineRule="auto"/>
              <w:jc w:val="center"/>
              <w:rPr>
                <w:rFonts w:ascii="Calibri" w:eastAsia="Times New Roman" w:hAnsi="Calibri" w:cs="Calibri"/>
                <w:sz w:val="14"/>
                <w:szCs w:val="14"/>
              </w:rPr>
            </w:pPr>
            <w:r>
              <w:rPr>
                <w:rFonts w:ascii="Calibri" w:hAnsi="Calibri" w:cs="Calibri"/>
                <w:sz w:val="14"/>
                <w:szCs w:val="14"/>
              </w:rPr>
              <w:t>7</w:t>
            </w:r>
          </w:p>
        </w:tc>
        <w:tc>
          <w:tcPr>
            <w:tcW w:w="1440" w:type="dxa"/>
            <w:tcBorders>
              <w:top w:val="nil"/>
              <w:left w:val="nil"/>
              <w:bottom w:val="single" w:sz="8" w:space="0" w:color="auto"/>
              <w:right w:val="single" w:sz="8" w:space="0" w:color="auto"/>
            </w:tcBorders>
            <w:vAlign w:val="center"/>
            <w:hideMark/>
          </w:tcPr>
          <w:p w14:paraId="0D77C90E" w14:textId="47B3664D" w:rsidR="008A47C4" w:rsidRPr="00CA69D2" w:rsidRDefault="008A47C4" w:rsidP="008A47C4">
            <w:pPr>
              <w:spacing w:after="0" w:line="240" w:lineRule="auto"/>
              <w:jc w:val="center"/>
              <w:rPr>
                <w:rFonts w:ascii="Calibri" w:eastAsia="Times New Roman" w:hAnsi="Calibri" w:cs="Calibri"/>
                <w:sz w:val="14"/>
                <w:szCs w:val="14"/>
              </w:rPr>
            </w:pPr>
            <w:r>
              <w:rPr>
                <w:rFonts w:ascii="Calibri" w:hAnsi="Calibri" w:cs="Calibri"/>
                <w:sz w:val="14"/>
                <w:szCs w:val="14"/>
              </w:rPr>
              <w:t>8</w:t>
            </w:r>
          </w:p>
        </w:tc>
      </w:tr>
      <w:tr w:rsidR="008A47C4" w:rsidRPr="00CA69D2" w14:paraId="7B93AF27" w14:textId="77777777" w:rsidTr="008A47C4">
        <w:trPr>
          <w:trHeight w:val="315"/>
          <w:jc w:val="center"/>
        </w:trPr>
        <w:tc>
          <w:tcPr>
            <w:tcW w:w="862" w:type="dxa"/>
            <w:tcBorders>
              <w:top w:val="nil"/>
              <w:left w:val="single" w:sz="8" w:space="0" w:color="auto"/>
              <w:bottom w:val="single" w:sz="8" w:space="0" w:color="auto"/>
              <w:right w:val="nil"/>
            </w:tcBorders>
            <w:shd w:val="clear" w:color="000000" w:fill="F2F2F2"/>
            <w:vAlign w:val="center"/>
            <w:hideMark/>
          </w:tcPr>
          <w:p w14:paraId="1DB4B689" w14:textId="6C0DD146"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b/>
                <w:bCs/>
                <w:i/>
                <w:iCs/>
                <w:sz w:val="14"/>
                <w:szCs w:val="14"/>
              </w:rPr>
              <w:t> </w:t>
            </w:r>
          </w:p>
        </w:tc>
        <w:tc>
          <w:tcPr>
            <w:tcW w:w="707" w:type="dxa"/>
            <w:tcBorders>
              <w:top w:val="nil"/>
              <w:left w:val="single" w:sz="8" w:space="0" w:color="auto"/>
              <w:bottom w:val="single" w:sz="8" w:space="0" w:color="auto"/>
              <w:right w:val="nil"/>
            </w:tcBorders>
            <w:shd w:val="clear" w:color="000000" w:fill="F2F2F2"/>
            <w:vAlign w:val="center"/>
            <w:hideMark/>
          </w:tcPr>
          <w:p w14:paraId="38CB66E2" w14:textId="641A6BF2" w:rsidR="008A47C4" w:rsidRPr="00CA69D2" w:rsidRDefault="008A47C4" w:rsidP="008A47C4">
            <w:pPr>
              <w:spacing w:after="0" w:line="240" w:lineRule="auto"/>
              <w:rPr>
                <w:rFonts w:ascii="Arial" w:eastAsia="Times New Roman" w:hAnsi="Arial" w:cs="Arial"/>
                <w:b/>
                <w:bCs/>
                <w:sz w:val="14"/>
                <w:szCs w:val="14"/>
              </w:rPr>
            </w:pPr>
            <w:r>
              <w:rPr>
                <w:rFonts w:ascii="Arial" w:hAnsi="Arial" w:cs="Arial"/>
                <w:b/>
                <w:bCs/>
                <w:sz w:val="14"/>
                <w:szCs w:val="14"/>
              </w:rPr>
              <w:t> </w:t>
            </w:r>
          </w:p>
        </w:tc>
        <w:tc>
          <w:tcPr>
            <w:tcW w:w="948" w:type="dxa"/>
            <w:tcBorders>
              <w:top w:val="nil"/>
              <w:left w:val="nil"/>
              <w:bottom w:val="single" w:sz="8" w:space="0" w:color="auto"/>
              <w:right w:val="nil"/>
            </w:tcBorders>
            <w:shd w:val="clear" w:color="000000" w:fill="F2F2F2"/>
            <w:vAlign w:val="center"/>
            <w:hideMark/>
          </w:tcPr>
          <w:p w14:paraId="6E36C005" w14:textId="36A7574B" w:rsidR="008A47C4" w:rsidRPr="00CA69D2" w:rsidRDefault="008A47C4" w:rsidP="008A47C4">
            <w:pPr>
              <w:spacing w:after="0" w:line="240" w:lineRule="auto"/>
              <w:rPr>
                <w:rFonts w:ascii="Arial" w:eastAsia="Times New Roman" w:hAnsi="Arial" w:cs="Arial"/>
                <w:b/>
                <w:bCs/>
                <w:sz w:val="14"/>
                <w:szCs w:val="14"/>
              </w:rPr>
            </w:pPr>
            <w:r>
              <w:rPr>
                <w:rFonts w:ascii="Arial" w:hAnsi="Arial" w:cs="Arial"/>
                <w:b/>
                <w:bCs/>
                <w:sz w:val="14"/>
                <w:szCs w:val="14"/>
              </w:rPr>
              <w:t> </w:t>
            </w:r>
          </w:p>
        </w:tc>
        <w:tc>
          <w:tcPr>
            <w:tcW w:w="857" w:type="dxa"/>
            <w:tcBorders>
              <w:top w:val="nil"/>
              <w:left w:val="nil"/>
              <w:bottom w:val="single" w:sz="8" w:space="0" w:color="auto"/>
              <w:right w:val="nil"/>
            </w:tcBorders>
            <w:shd w:val="clear" w:color="000000" w:fill="F2F2F2"/>
            <w:vAlign w:val="center"/>
            <w:hideMark/>
          </w:tcPr>
          <w:p w14:paraId="45716A70" w14:textId="61B3C05D" w:rsidR="008A47C4" w:rsidRPr="00CA69D2" w:rsidRDefault="008A47C4" w:rsidP="008A47C4">
            <w:pPr>
              <w:spacing w:after="0" w:line="240" w:lineRule="auto"/>
              <w:rPr>
                <w:rFonts w:ascii="Arial" w:eastAsia="Times New Roman" w:hAnsi="Arial" w:cs="Arial"/>
                <w:b/>
                <w:bCs/>
                <w:sz w:val="14"/>
                <w:szCs w:val="14"/>
              </w:rPr>
            </w:pPr>
            <w:r>
              <w:rPr>
                <w:rFonts w:ascii="Arial" w:hAnsi="Arial" w:cs="Arial"/>
                <w:b/>
                <w:bCs/>
                <w:sz w:val="14"/>
                <w:szCs w:val="14"/>
              </w:rPr>
              <w:t> </w:t>
            </w:r>
          </w:p>
        </w:tc>
        <w:tc>
          <w:tcPr>
            <w:tcW w:w="3726" w:type="dxa"/>
            <w:tcBorders>
              <w:top w:val="nil"/>
              <w:left w:val="nil"/>
              <w:bottom w:val="single" w:sz="8" w:space="0" w:color="auto"/>
              <w:right w:val="single" w:sz="8" w:space="0" w:color="auto"/>
            </w:tcBorders>
            <w:shd w:val="clear" w:color="000000" w:fill="F2F2F2"/>
            <w:vAlign w:val="center"/>
            <w:hideMark/>
          </w:tcPr>
          <w:p w14:paraId="2B0D36D0" w14:textId="1B800F4E" w:rsidR="008A47C4" w:rsidRPr="00CA69D2" w:rsidRDefault="008A47C4" w:rsidP="008A47C4">
            <w:pPr>
              <w:spacing w:after="0" w:line="240" w:lineRule="auto"/>
              <w:jc w:val="right"/>
              <w:rPr>
                <w:rFonts w:ascii="Arial" w:eastAsia="Times New Roman" w:hAnsi="Arial" w:cs="Arial"/>
                <w:b/>
                <w:bCs/>
                <w:sz w:val="16"/>
                <w:szCs w:val="16"/>
              </w:rPr>
            </w:pPr>
            <w:r>
              <w:rPr>
                <w:rFonts w:ascii="Arial" w:hAnsi="Arial" w:cs="Arial"/>
                <w:b/>
                <w:bCs/>
                <w:sz w:val="16"/>
                <w:szCs w:val="16"/>
              </w:rPr>
              <w:t>UKUPNO rashodi RAZDJEL 030</w:t>
            </w:r>
          </w:p>
        </w:tc>
        <w:tc>
          <w:tcPr>
            <w:tcW w:w="1180" w:type="dxa"/>
            <w:tcBorders>
              <w:top w:val="single" w:sz="8" w:space="0" w:color="auto"/>
              <w:left w:val="nil"/>
              <w:bottom w:val="single" w:sz="8" w:space="0" w:color="auto"/>
              <w:right w:val="single" w:sz="8" w:space="0" w:color="auto"/>
            </w:tcBorders>
            <w:shd w:val="clear" w:color="000000" w:fill="F2F2F2"/>
            <w:vAlign w:val="center"/>
            <w:hideMark/>
          </w:tcPr>
          <w:p w14:paraId="34FC8129" w14:textId="664D103D" w:rsidR="008A47C4" w:rsidRPr="00CA69D2" w:rsidRDefault="008A47C4" w:rsidP="008A47C4">
            <w:pPr>
              <w:spacing w:after="0" w:line="240" w:lineRule="auto"/>
              <w:jc w:val="right"/>
              <w:rPr>
                <w:rFonts w:ascii="Arial" w:eastAsia="Times New Roman" w:hAnsi="Arial" w:cs="Arial"/>
                <w:b/>
                <w:bCs/>
                <w:sz w:val="16"/>
                <w:szCs w:val="16"/>
              </w:rPr>
            </w:pPr>
            <w:r>
              <w:rPr>
                <w:rFonts w:ascii="Arial" w:hAnsi="Arial" w:cs="Arial"/>
                <w:b/>
                <w:bCs/>
                <w:sz w:val="16"/>
                <w:szCs w:val="16"/>
              </w:rPr>
              <w:t> </w:t>
            </w:r>
          </w:p>
        </w:tc>
        <w:tc>
          <w:tcPr>
            <w:tcW w:w="1760" w:type="dxa"/>
            <w:tcBorders>
              <w:top w:val="nil"/>
              <w:left w:val="nil"/>
              <w:bottom w:val="single" w:sz="8" w:space="0" w:color="auto"/>
              <w:right w:val="single" w:sz="8" w:space="0" w:color="auto"/>
            </w:tcBorders>
            <w:shd w:val="clear" w:color="000000" w:fill="F2F2F2"/>
            <w:vAlign w:val="center"/>
            <w:hideMark/>
          </w:tcPr>
          <w:p w14:paraId="55F3D331" w14:textId="61FD8EE5" w:rsidR="008A47C4" w:rsidRPr="00CA69D2" w:rsidRDefault="008A47C4" w:rsidP="008A47C4">
            <w:pPr>
              <w:spacing w:after="0" w:line="240" w:lineRule="auto"/>
              <w:jc w:val="right"/>
              <w:rPr>
                <w:rFonts w:ascii="Arial" w:eastAsia="Times New Roman" w:hAnsi="Arial" w:cs="Arial"/>
                <w:b/>
                <w:bCs/>
                <w:sz w:val="16"/>
                <w:szCs w:val="16"/>
              </w:rPr>
            </w:pPr>
            <w:r>
              <w:rPr>
                <w:rFonts w:ascii="Arial" w:hAnsi="Arial" w:cs="Arial"/>
                <w:b/>
                <w:bCs/>
                <w:sz w:val="16"/>
                <w:szCs w:val="16"/>
              </w:rPr>
              <w:t>687.602,25</w:t>
            </w:r>
          </w:p>
        </w:tc>
        <w:tc>
          <w:tcPr>
            <w:tcW w:w="1440" w:type="dxa"/>
            <w:tcBorders>
              <w:top w:val="nil"/>
              <w:left w:val="nil"/>
              <w:bottom w:val="single" w:sz="8" w:space="0" w:color="auto"/>
              <w:right w:val="single" w:sz="8" w:space="0" w:color="auto"/>
            </w:tcBorders>
            <w:shd w:val="clear" w:color="000000" w:fill="F2F2F2"/>
            <w:vAlign w:val="center"/>
            <w:hideMark/>
          </w:tcPr>
          <w:p w14:paraId="05F9DBB7" w14:textId="1442CA9E" w:rsidR="008A47C4" w:rsidRPr="00CA69D2" w:rsidRDefault="008A47C4" w:rsidP="008A47C4">
            <w:pPr>
              <w:spacing w:after="0" w:line="240" w:lineRule="auto"/>
              <w:jc w:val="right"/>
              <w:rPr>
                <w:rFonts w:ascii="Arial" w:eastAsia="Times New Roman" w:hAnsi="Arial" w:cs="Arial"/>
                <w:b/>
                <w:bCs/>
                <w:sz w:val="16"/>
                <w:szCs w:val="16"/>
              </w:rPr>
            </w:pPr>
            <w:r>
              <w:rPr>
                <w:rFonts w:ascii="Arial" w:hAnsi="Arial" w:cs="Arial"/>
                <w:b/>
                <w:bCs/>
                <w:sz w:val="16"/>
                <w:szCs w:val="16"/>
              </w:rPr>
              <w:t>161.927,80</w:t>
            </w:r>
          </w:p>
        </w:tc>
        <w:tc>
          <w:tcPr>
            <w:tcW w:w="1440" w:type="dxa"/>
            <w:tcBorders>
              <w:top w:val="nil"/>
              <w:left w:val="nil"/>
              <w:bottom w:val="single" w:sz="8" w:space="0" w:color="auto"/>
              <w:right w:val="single" w:sz="8" w:space="0" w:color="auto"/>
            </w:tcBorders>
            <w:shd w:val="clear" w:color="000000" w:fill="F2F2F2"/>
            <w:vAlign w:val="center"/>
            <w:hideMark/>
          </w:tcPr>
          <w:p w14:paraId="5D6EB7F2" w14:textId="4D2366EE" w:rsidR="008A47C4" w:rsidRPr="00CA69D2" w:rsidRDefault="008A47C4" w:rsidP="008A47C4">
            <w:pPr>
              <w:spacing w:after="0" w:line="240" w:lineRule="auto"/>
              <w:jc w:val="right"/>
              <w:rPr>
                <w:rFonts w:ascii="Arial" w:eastAsia="Times New Roman" w:hAnsi="Arial" w:cs="Arial"/>
                <w:b/>
                <w:bCs/>
                <w:sz w:val="16"/>
                <w:szCs w:val="16"/>
              </w:rPr>
            </w:pPr>
            <w:r>
              <w:rPr>
                <w:rFonts w:ascii="Arial" w:hAnsi="Arial" w:cs="Arial"/>
                <w:b/>
                <w:bCs/>
                <w:sz w:val="16"/>
                <w:szCs w:val="16"/>
              </w:rPr>
              <w:t>525.674,45</w:t>
            </w:r>
          </w:p>
        </w:tc>
      </w:tr>
      <w:tr w:rsidR="008A47C4" w:rsidRPr="00CA69D2" w14:paraId="02C24CF7" w14:textId="77777777" w:rsidTr="008A47C4">
        <w:trPr>
          <w:trHeight w:val="465"/>
          <w:jc w:val="center"/>
        </w:trPr>
        <w:tc>
          <w:tcPr>
            <w:tcW w:w="862" w:type="dxa"/>
            <w:tcBorders>
              <w:top w:val="nil"/>
              <w:left w:val="single" w:sz="8" w:space="0" w:color="auto"/>
              <w:bottom w:val="single" w:sz="8" w:space="0" w:color="auto"/>
              <w:right w:val="single" w:sz="8" w:space="0" w:color="auto"/>
            </w:tcBorders>
            <w:vAlign w:val="center"/>
            <w:hideMark/>
          </w:tcPr>
          <w:p w14:paraId="6BB36F1D" w14:textId="7FF89CA5"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b/>
                <w:bCs/>
                <w:i/>
                <w:iCs/>
                <w:sz w:val="14"/>
                <w:szCs w:val="14"/>
              </w:rPr>
              <w:t>030</w:t>
            </w:r>
          </w:p>
        </w:tc>
        <w:tc>
          <w:tcPr>
            <w:tcW w:w="707" w:type="dxa"/>
            <w:tcBorders>
              <w:top w:val="nil"/>
              <w:left w:val="nil"/>
              <w:bottom w:val="single" w:sz="8" w:space="0" w:color="auto"/>
              <w:right w:val="single" w:sz="8" w:space="0" w:color="auto"/>
            </w:tcBorders>
            <w:vAlign w:val="center"/>
            <w:hideMark/>
          </w:tcPr>
          <w:p w14:paraId="5DBAA6CA" w14:textId="7A628F87"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030 01</w:t>
            </w:r>
          </w:p>
        </w:tc>
        <w:tc>
          <w:tcPr>
            <w:tcW w:w="948" w:type="dxa"/>
            <w:tcBorders>
              <w:top w:val="nil"/>
              <w:left w:val="nil"/>
              <w:bottom w:val="single" w:sz="8" w:space="0" w:color="auto"/>
              <w:right w:val="single" w:sz="8" w:space="0" w:color="auto"/>
            </w:tcBorders>
            <w:vAlign w:val="center"/>
            <w:hideMark/>
          </w:tcPr>
          <w:p w14:paraId="5C9D8BF1" w14:textId="704A7F5B"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857" w:type="dxa"/>
            <w:tcBorders>
              <w:top w:val="nil"/>
              <w:left w:val="nil"/>
              <w:bottom w:val="single" w:sz="8" w:space="0" w:color="auto"/>
              <w:right w:val="single" w:sz="8" w:space="0" w:color="auto"/>
            </w:tcBorders>
            <w:vAlign w:val="center"/>
            <w:hideMark/>
          </w:tcPr>
          <w:p w14:paraId="230E805B" w14:textId="51CF7A54"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3726" w:type="dxa"/>
            <w:tcBorders>
              <w:top w:val="nil"/>
              <w:left w:val="nil"/>
              <w:bottom w:val="single" w:sz="8" w:space="0" w:color="auto"/>
              <w:right w:val="single" w:sz="8" w:space="0" w:color="auto"/>
            </w:tcBorders>
            <w:vAlign w:val="center"/>
            <w:hideMark/>
          </w:tcPr>
          <w:p w14:paraId="7E5EFACC" w14:textId="27AEFD37"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UO ZA KOMUNALNI SUSTAV I GOSPODARENJE NEKRETNINAMA</w:t>
            </w:r>
          </w:p>
        </w:tc>
        <w:tc>
          <w:tcPr>
            <w:tcW w:w="1180" w:type="dxa"/>
            <w:tcBorders>
              <w:top w:val="nil"/>
              <w:left w:val="nil"/>
              <w:bottom w:val="single" w:sz="8" w:space="0" w:color="auto"/>
              <w:right w:val="single" w:sz="8" w:space="0" w:color="auto"/>
            </w:tcBorders>
            <w:noWrap/>
            <w:vAlign w:val="center"/>
            <w:hideMark/>
          </w:tcPr>
          <w:p w14:paraId="1CC858DA" w14:textId="2F8A08AB" w:rsidR="008A47C4" w:rsidRPr="00CA69D2" w:rsidRDefault="008A47C4" w:rsidP="008A47C4">
            <w:pPr>
              <w:spacing w:after="0" w:line="240" w:lineRule="auto"/>
              <w:rPr>
                <w:rFonts w:ascii="Calibri" w:eastAsia="Times New Roman" w:hAnsi="Calibri" w:cs="Calibri"/>
                <w:b/>
                <w:bCs/>
                <w:sz w:val="18"/>
                <w:szCs w:val="18"/>
              </w:rPr>
            </w:pPr>
            <w:r>
              <w:rPr>
                <w:rFonts w:ascii="Calibri" w:hAnsi="Calibri" w:cs="Calibri"/>
                <w:b/>
                <w:bCs/>
                <w:sz w:val="18"/>
                <w:szCs w:val="18"/>
              </w:rPr>
              <w:t> </w:t>
            </w:r>
          </w:p>
        </w:tc>
        <w:tc>
          <w:tcPr>
            <w:tcW w:w="1760" w:type="dxa"/>
            <w:tcBorders>
              <w:top w:val="nil"/>
              <w:left w:val="nil"/>
              <w:bottom w:val="single" w:sz="8" w:space="0" w:color="auto"/>
              <w:right w:val="single" w:sz="8" w:space="0" w:color="auto"/>
            </w:tcBorders>
            <w:noWrap/>
            <w:vAlign w:val="center"/>
            <w:hideMark/>
          </w:tcPr>
          <w:p w14:paraId="4D0556AC" w14:textId="60EB71BA"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b/>
                <w:bCs/>
                <w:sz w:val="18"/>
                <w:szCs w:val="18"/>
              </w:rPr>
              <w:t>687.602,25</w:t>
            </w:r>
          </w:p>
        </w:tc>
        <w:tc>
          <w:tcPr>
            <w:tcW w:w="1440" w:type="dxa"/>
            <w:tcBorders>
              <w:top w:val="nil"/>
              <w:left w:val="nil"/>
              <w:bottom w:val="single" w:sz="8" w:space="0" w:color="auto"/>
              <w:right w:val="single" w:sz="8" w:space="0" w:color="auto"/>
            </w:tcBorders>
            <w:noWrap/>
            <w:vAlign w:val="center"/>
            <w:hideMark/>
          </w:tcPr>
          <w:p w14:paraId="60DAD628" w14:textId="42C28C7C"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b/>
                <w:bCs/>
                <w:sz w:val="18"/>
                <w:szCs w:val="18"/>
              </w:rPr>
              <w:t>161.927,80</w:t>
            </w:r>
          </w:p>
        </w:tc>
        <w:tc>
          <w:tcPr>
            <w:tcW w:w="1440" w:type="dxa"/>
            <w:tcBorders>
              <w:top w:val="nil"/>
              <w:left w:val="nil"/>
              <w:bottom w:val="single" w:sz="8" w:space="0" w:color="auto"/>
              <w:right w:val="single" w:sz="8" w:space="0" w:color="auto"/>
            </w:tcBorders>
            <w:noWrap/>
            <w:vAlign w:val="center"/>
            <w:hideMark/>
          </w:tcPr>
          <w:p w14:paraId="465695EC" w14:textId="1E26CDDE"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b/>
                <w:bCs/>
                <w:sz w:val="18"/>
                <w:szCs w:val="18"/>
              </w:rPr>
              <w:t>525.674,45</w:t>
            </w:r>
          </w:p>
        </w:tc>
      </w:tr>
      <w:tr w:rsidR="008A47C4" w:rsidRPr="00CA69D2" w14:paraId="75EB4CED" w14:textId="77777777" w:rsidTr="008A47C4">
        <w:trPr>
          <w:trHeight w:val="465"/>
          <w:jc w:val="center"/>
        </w:trPr>
        <w:tc>
          <w:tcPr>
            <w:tcW w:w="862" w:type="dxa"/>
            <w:tcBorders>
              <w:top w:val="nil"/>
              <w:left w:val="single" w:sz="8" w:space="0" w:color="auto"/>
              <w:bottom w:val="nil"/>
              <w:right w:val="single" w:sz="8" w:space="0" w:color="auto"/>
            </w:tcBorders>
            <w:vAlign w:val="center"/>
            <w:hideMark/>
          </w:tcPr>
          <w:p w14:paraId="730F451E" w14:textId="129867F9"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2BDB823E" w14:textId="5FD214E0"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single" w:sz="8" w:space="0" w:color="auto"/>
            </w:tcBorders>
            <w:vAlign w:val="center"/>
            <w:hideMark/>
          </w:tcPr>
          <w:p w14:paraId="1F20561F" w14:textId="1F72A3B0" w:rsidR="008A47C4" w:rsidRPr="00CA69D2" w:rsidRDefault="008A47C4" w:rsidP="008A47C4">
            <w:pPr>
              <w:spacing w:after="0" w:line="240" w:lineRule="auto"/>
              <w:rPr>
                <w:rFonts w:ascii="Arial" w:eastAsia="Times New Roman" w:hAnsi="Arial" w:cs="Arial"/>
                <w:b/>
                <w:bCs/>
                <w:sz w:val="14"/>
                <w:szCs w:val="14"/>
              </w:rPr>
            </w:pPr>
            <w:r>
              <w:rPr>
                <w:rFonts w:ascii="Arial" w:hAnsi="Arial" w:cs="Arial"/>
                <w:b/>
                <w:bCs/>
                <w:sz w:val="14"/>
                <w:szCs w:val="14"/>
              </w:rPr>
              <w:t>2091</w:t>
            </w:r>
          </w:p>
        </w:tc>
        <w:tc>
          <w:tcPr>
            <w:tcW w:w="857" w:type="dxa"/>
            <w:tcBorders>
              <w:top w:val="nil"/>
              <w:left w:val="nil"/>
              <w:bottom w:val="single" w:sz="8" w:space="0" w:color="auto"/>
              <w:right w:val="single" w:sz="8" w:space="0" w:color="auto"/>
            </w:tcBorders>
            <w:vAlign w:val="center"/>
            <w:hideMark/>
          </w:tcPr>
          <w:p w14:paraId="3694B5AF" w14:textId="3A591E0E" w:rsidR="008A47C4" w:rsidRPr="00CA69D2" w:rsidRDefault="008A47C4" w:rsidP="008A47C4">
            <w:pPr>
              <w:spacing w:after="0" w:line="240" w:lineRule="auto"/>
              <w:rPr>
                <w:rFonts w:ascii="Arial" w:eastAsia="Times New Roman" w:hAnsi="Arial" w:cs="Arial"/>
                <w:b/>
                <w:bCs/>
                <w:sz w:val="14"/>
                <w:szCs w:val="14"/>
              </w:rPr>
            </w:pPr>
            <w:r>
              <w:rPr>
                <w:rFonts w:ascii="Arial" w:hAnsi="Arial" w:cs="Arial"/>
                <w:b/>
                <w:bCs/>
                <w:sz w:val="14"/>
                <w:szCs w:val="14"/>
              </w:rPr>
              <w:t> </w:t>
            </w:r>
          </w:p>
        </w:tc>
        <w:tc>
          <w:tcPr>
            <w:tcW w:w="3726" w:type="dxa"/>
            <w:tcBorders>
              <w:top w:val="nil"/>
              <w:left w:val="nil"/>
              <w:bottom w:val="single" w:sz="8" w:space="0" w:color="auto"/>
              <w:right w:val="single" w:sz="8" w:space="0" w:color="auto"/>
            </w:tcBorders>
            <w:vAlign w:val="center"/>
            <w:hideMark/>
          </w:tcPr>
          <w:p w14:paraId="020ACCED" w14:textId="210577AC" w:rsidR="008A47C4" w:rsidRPr="00CA69D2" w:rsidRDefault="008A47C4" w:rsidP="008A47C4">
            <w:pPr>
              <w:spacing w:after="0" w:line="240" w:lineRule="auto"/>
              <w:rPr>
                <w:rFonts w:ascii="Arial" w:eastAsia="Times New Roman" w:hAnsi="Arial" w:cs="Arial"/>
                <w:b/>
                <w:bCs/>
                <w:sz w:val="16"/>
                <w:szCs w:val="16"/>
              </w:rPr>
            </w:pPr>
            <w:r>
              <w:rPr>
                <w:rFonts w:ascii="Arial" w:hAnsi="Arial" w:cs="Arial"/>
                <w:b/>
                <w:bCs/>
                <w:sz w:val="16"/>
                <w:szCs w:val="16"/>
              </w:rPr>
              <w:t>Program održavanja komunalne infrastrukture</w:t>
            </w:r>
          </w:p>
        </w:tc>
        <w:tc>
          <w:tcPr>
            <w:tcW w:w="1180" w:type="dxa"/>
            <w:tcBorders>
              <w:top w:val="nil"/>
              <w:left w:val="nil"/>
              <w:bottom w:val="single" w:sz="8" w:space="0" w:color="auto"/>
              <w:right w:val="single" w:sz="8" w:space="0" w:color="auto"/>
            </w:tcBorders>
            <w:noWrap/>
            <w:vAlign w:val="center"/>
            <w:hideMark/>
          </w:tcPr>
          <w:p w14:paraId="7364451C" w14:textId="71D61E88"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b/>
                <w:bCs/>
                <w:sz w:val="18"/>
                <w:szCs w:val="18"/>
              </w:rPr>
              <w:t>657.853,06</w:t>
            </w:r>
          </w:p>
        </w:tc>
        <w:tc>
          <w:tcPr>
            <w:tcW w:w="1760" w:type="dxa"/>
            <w:tcBorders>
              <w:top w:val="nil"/>
              <w:left w:val="nil"/>
              <w:bottom w:val="single" w:sz="8" w:space="0" w:color="auto"/>
              <w:right w:val="single" w:sz="8" w:space="0" w:color="auto"/>
            </w:tcBorders>
            <w:noWrap/>
            <w:vAlign w:val="center"/>
            <w:hideMark/>
          </w:tcPr>
          <w:p w14:paraId="68BC3909" w14:textId="3E5626CE"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b/>
                <w:bCs/>
                <w:sz w:val="18"/>
                <w:szCs w:val="18"/>
              </w:rPr>
              <w:t>417.292,55</w:t>
            </w:r>
          </w:p>
        </w:tc>
        <w:tc>
          <w:tcPr>
            <w:tcW w:w="1440" w:type="dxa"/>
            <w:tcBorders>
              <w:top w:val="nil"/>
              <w:left w:val="nil"/>
              <w:bottom w:val="single" w:sz="8" w:space="0" w:color="auto"/>
              <w:right w:val="single" w:sz="8" w:space="0" w:color="auto"/>
            </w:tcBorders>
            <w:noWrap/>
            <w:vAlign w:val="center"/>
            <w:hideMark/>
          </w:tcPr>
          <w:p w14:paraId="17E4F466" w14:textId="5A6CAAA7"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b/>
                <w:bCs/>
                <w:sz w:val="18"/>
                <w:szCs w:val="18"/>
              </w:rPr>
              <w:t>107.721,41</w:t>
            </w:r>
          </w:p>
        </w:tc>
        <w:tc>
          <w:tcPr>
            <w:tcW w:w="1440" w:type="dxa"/>
            <w:tcBorders>
              <w:top w:val="nil"/>
              <w:left w:val="nil"/>
              <w:bottom w:val="single" w:sz="8" w:space="0" w:color="auto"/>
              <w:right w:val="single" w:sz="8" w:space="0" w:color="auto"/>
            </w:tcBorders>
            <w:noWrap/>
            <w:vAlign w:val="center"/>
            <w:hideMark/>
          </w:tcPr>
          <w:p w14:paraId="4580B6A2" w14:textId="261005BD"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b/>
                <w:bCs/>
                <w:sz w:val="18"/>
                <w:szCs w:val="18"/>
              </w:rPr>
              <w:t>309.571,14</w:t>
            </w:r>
          </w:p>
        </w:tc>
      </w:tr>
      <w:tr w:rsidR="008A47C4" w:rsidRPr="00CA69D2" w14:paraId="5ED61399" w14:textId="77777777" w:rsidTr="008A47C4">
        <w:trPr>
          <w:trHeight w:val="450"/>
          <w:jc w:val="center"/>
        </w:trPr>
        <w:tc>
          <w:tcPr>
            <w:tcW w:w="862" w:type="dxa"/>
            <w:tcBorders>
              <w:top w:val="single" w:sz="8" w:space="0" w:color="auto"/>
              <w:left w:val="single" w:sz="8" w:space="0" w:color="auto"/>
              <w:bottom w:val="nil"/>
              <w:right w:val="single" w:sz="8" w:space="0" w:color="auto"/>
            </w:tcBorders>
            <w:vAlign w:val="center"/>
            <w:hideMark/>
          </w:tcPr>
          <w:p w14:paraId="5EF30566" w14:textId="0141C9F8"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707" w:type="dxa"/>
            <w:tcBorders>
              <w:top w:val="single" w:sz="8" w:space="0" w:color="auto"/>
              <w:left w:val="nil"/>
              <w:bottom w:val="nil"/>
              <w:right w:val="single" w:sz="8" w:space="0" w:color="auto"/>
            </w:tcBorders>
            <w:vAlign w:val="center"/>
            <w:hideMark/>
          </w:tcPr>
          <w:p w14:paraId="2C230A13" w14:textId="66FD3983"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single" w:sz="8" w:space="0" w:color="auto"/>
              <w:left w:val="nil"/>
              <w:bottom w:val="nil"/>
              <w:right w:val="nil"/>
            </w:tcBorders>
            <w:vAlign w:val="center"/>
            <w:hideMark/>
          </w:tcPr>
          <w:p w14:paraId="57464395" w14:textId="245F8098" w:rsidR="008A47C4" w:rsidRPr="00CA69D2" w:rsidRDefault="008A47C4" w:rsidP="008A47C4">
            <w:pPr>
              <w:spacing w:after="0" w:line="240" w:lineRule="auto"/>
              <w:rPr>
                <w:rFonts w:ascii="Arial" w:eastAsia="Times New Roman" w:hAnsi="Arial" w:cs="Arial"/>
                <w:b/>
                <w:bCs/>
                <w:sz w:val="14"/>
                <w:szCs w:val="14"/>
              </w:rPr>
            </w:pPr>
            <w:r>
              <w:rPr>
                <w:rFonts w:ascii="Arial" w:hAnsi="Arial" w:cs="Arial"/>
                <w:b/>
                <w:bCs/>
                <w:sz w:val="14"/>
                <w:szCs w:val="14"/>
              </w:rPr>
              <w:t> </w:t>
            </w: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3D9B8C50" w14:textId="4D45FD74"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A209101</w:t>
            </w:r>
          </w:p>
        </w:tc>
        <w:tc>
          <w:tcPr>
            <w:tcW w:w="3726" w:type="dxa"/>
            <w:tcBorders>
              <w:top w:val="nil"/>
              <w:left w:val="nil"/>
              <w:bottom w:val="single" w:sz="4" w:space="0" w:color="auto"/>
              <w:right w:val="single" w:sz="4" w:space="0" w:color="auto"/>
            </w:tcBorders>
            <w:shd w:val="clear" w:color="000000" w:fill="FFFFFF"/>
            <w:vAlign w:val="center"/>
            <w:hideMark/>
          </w:tcPr>
          <w:p w14:paraId="1362A318" w14:textId="0E6CEEAF"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Održavanje čistoće javnih površina 7, godišnji ugovor</w:t>
            </w:r>
          </w:p>
        </w:tc>
        <w:tc>
          <w:tcPr>
            <w:tcW w:w="1180" w:type="dxa"/>
            <w:tcBorders>
              <w:top w:val="nil"/>
              <w:left w:val="nil"/>
              <w:bottom w:val="single" w:sz="4" w:space="0" w:color="auto"/>
              <w:right w:val="single" w:sz="4" w:space="0" w:color="auto"/>
            </w:tcBorders>
            <w:vAlign w:val="center"/>
            <w:hideMark/>
          </w:tcPr>
          <w:p w14:paraId="4A1794E1" w14:textId="11F0EC23"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157.573,94</w:t>
            </w:r>
          </w:p>
        </w:tc>
        <w:tc>
          <w:tcPr>
            <w:tcW w:w="1760" w:type="dxa"/>
            <w:tcBorders>
              <w:top w:val="nil"/>
              <w:left w:val="nil"/>
              <w:bottom w:val="single" w:sz="4" w:space="0" w:color="auto"/>
              <w:right w:val="single" w:sz="4" w:space="0" w:color="auto"/>
            </w:tcBorders>
            <w:vAlign w:val="center"/>
            <w:hideMark/>
          </w:tcPr>
          <w:p w14:paraId="05B74852" w14:textId="24B64AC8"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53.514,27</w:t>
            </w:r>
          </w:p>
        </w:tc>
        <w:tc>
          <w:tcPr>
            <w:tcW w:w="1440" w:type="dxa"/>
            <w:tcBorders>
              <w:top w:val="nil"/>
              <w:left w:val="nil"/>
              <w:bottom w:val="single" w:sz="4" w:space="0" w:color="auto"/>
              <w:right w:val="single" w:sz="4" w:space="0" w:color="auto"/>
            </w:tcBorders>
            <w:vAlign w:val="center"/>
            <w:hideMark/>
          </w:tcPr>
          <w:p w14:paraId="635E1754" w14:textId="71770AFF" w:rsidR="008A47C4" w:rsidRPr="00CA69D2" w:rsidRDefault="008A47C4" w:rsidP="008A47C4">
            <w:pPr>
              <w:spacing w:after="0" w:line="240" w:lineRule="auto"/>
              <w:rPr>
                <w:rFonts w:ascii="Calibri" w:eastAsia="Times New Roman" w:hAnsi="Calibri" w:cs="Calibri"/>
                <w:sz w:val="16"/>
                <w:szCs w:val="16"/>
              </w:rPr>
            </w:pPr>
            <w:r>
              <w:rPr>
                <w:rFonts w:ascii="Calibri" w:hAnsi="Calibri" w:cs="Calibri"/>
                <w:sz w:val="16"/>
                <w:szCs w:val="16"/>
              </w:rPr>
              <w:t>4.541,70</w:t>
            </w:r>
          </w:p>
        </w:tc>
        <w:tc>
          <w:tcPr>
            <w:tcW w:w="1440" w:type="dxa"/>
            <w:tcBorders>
              <w:top w:val="nil"/>
              <w:left w:val="nil"/>
              <w:bottom w:val="single" w:sz="4" w:space="0" w:color="auto"/>
              <w:right w:val="single" w:sz="4" w:space="0" w:color="auto"/>
            </w:tcBorders>
            <w:vAlign w:val="center"/>
            <w:hideMark/>
          </w:tcPr>
          <w:p w14:paraId="2BB1CB6E" w14:textId="055413DD" w:rsidR="008A47C4" w:rsidRPr="00CA69D2" w:rsidRDefault="008A47C4" w:rsidP="008A47C4">
            <w:pPr>
              <w:spacing w:after="0" w:line="240" w:lineRule="auto"/>
              <w:rPr>
                <w:rFonts w:ascii="Calibri" w:eastAsia="Times New Roman" w:hAnsi="Calibri" w:cs="Calibri"/>
                <w:sz w:val="16"/>
                <w:szCs w:val="16"/>
              </w:rPr>
            </w:pPr>
            <w:r>
              <w:rPr>
                <w:rFonts w:ascii="Calibri" w:hAnsi="Calibri" w:cs="Calibri"/>
                <w:sz w:val="16"/>
                <w:szCs w:val="16"/>
              </w:rPr>
              <w:t>48.972,57</w:t>
            </w:r>
          </w:p>
        </w:tc>
      </w:tr>
      <w:tr w:rsidR="008A47C4" w:rsidRPr="00CA69D2" w14:paraId="38B9F419" w14:textId="77777777" w:rsidTr="008A47C4">
        <w:trPr>
          <w:trHeight w:val="450"/>
          <w:jc w:val="center"/>
        </w:trPr>
        <w:tc>
          <w:tcPr>
            <w:tcW w:w="862" w:type="dxa"/>
            <w:tcBorders>
              <w:top w:val="nil"/>
              <w:left w:val="single" w:sz="8" w:space="0" w:color="auto"/>
              <w:bottom w:val="nil"/>
              <w:right w:val="single" w:sz="8" w:space="0" w:color="auto"/>
            </w:tcBorders>
            <w:vAlign w:val="center"/>
            <w:hideMark/>
          </w:tcPr>
          <w:p w14:paraId="55BAD036" w14:textId="362F5EE4"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7AD29C94" w14:textId="1B4CF517"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7CCDC85B"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7D8C4F27" w14:textId="613186E9"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A209102</w:t>
            </w:r>
          </w:p>
        </w:tc>
        <w:tc>
          <w:tcPr>
            <w:tcW w:w="3726" w:type="dxa"/>
            <w:tcBorders>
              <w:top w:val="nil"/>
              <w:left w:val="nil"/>
              <w:bottom w:val="single" w:sz="4" w:space="0" w:color="auto"/>
              <w:right w:val="single" w:sz="4" w:space="0" w:color="auto"/>
            </w:tcBorders>
            <w:shd w:val="clear" w:color="000000" w:fill="FFFFFF"/>
            <w:vAlign w:val="center"/>
            <w:hideMark/>
          </w:tcPr>
          <w:p w14:paraId="0AC5945E" w14:textId="6F922BFD"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Održavanje javnih zelenih površina 4, godišnji ugovor</w:t>
            </w:r>
          </w:p>
        </w:tc>
        <w:tc>
          <w:tcPr>
            <w:tcW w:w="1180" w:type="dxa"/>
            <w:tcBorders>
              <w:top w:val="nil"/>
              <w:left w:val="nil"/>
              <w:bottom w:val="single" w:sz="4" w:space="0" w:color="auto"/>
              <w:right w:val="single" w:sz="4" w:space="0" w:color="auto"/>
            </w:tcBorders>
            <w:vAlign w:val="center"/>
            <w:hideMark/>
          </w:tcPr>
          <w:p w14:paraId="58D97DBD" w14:textId="20D251AF"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47.862,45</w:t>
            </w:r>
          </w:p>
        </w:tc>
        <w:tc>
          <w:tcPr>
            <w:tcW w:w="1760" w:type="dxa"/>
            <w:tcBorders>
              <w:top w:val="nil"/>
              <w:left w:val="nil"/>
              <w:bottom w:val="single" w:sz="4" w:space="0" w:color="auto"/>
              <w:right w:val="single" w:sz="4" w:space="0" w:color="auto"/>
            </w:tcBorders>
            <w:vAlign w:val="center"/>
            <w:hideMark/>
          </w:tcPr>
          <w:p w14:paraId="2AB9A037" w14:textId="3D96A51F"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47.862,45</w:t>
            </w:r>
          </w:p>
        </w:tc>
        <w:tc>
          <w:tcPr>
            <w:tcW w:w="1440" w:type="dxa"/>
            <w:tcBorders>
              <w:top w:val="nil"/>
              <w:left w:val="nil"/>
              <w:bottom w:val="single" w:sz="4" w:space="0" w:color="auto"/>
              <w:right w:val="single" w:sz="4" w:space="0" w:color="auto"/>
            </w:tcBorders>
            <w:vAlign w:val="center"/>
            <w:hideMark/>
          </w:tcPr>
          <w:p w14:paraId="2E442EAE" w14:textId="37B7831C" w:rsidR="008A47C4" w:rsidRPr="00CA69D2" w:rsidRDefault="008A47C4" w:rsidP="008A47C4">
            <w:pPr>
              <w:spacing w:after="0" w:line="240" w:lineRule="auto"/>
              <w:rPr>
                <w:rFonts w:ascii="Calibri" w:eastAsia="Times New Roman" w:hAnsi="Calibri" w:cs="Calibri"/>
                <w:sz w:val="16"/>
                <w:szCs w:val="16"/>
              </w:rPr>
            </w:pPr>
            <w:r>
              <w:rPr>
                <w:rFonts w:ascii="Calibri" w:hAnsi="Calibri" w:cs="Calibri"/>
                <w:sz w:val="16"/>
                <w:szCs w:val="16"/>
              </w:rPr>
              <w:t>18.206,88</w:t>
            </w:r>
          </w:p>
        </w:tc>
        <w:tc>
          <w:tcPr>
            <w:tcW w:w="1440" w:type="dxa"/>
            <w:tcBorders>
              <w:top w:val="nil"/>
              <w:left w:val="nil"/>
              <w:bottom w:val="single" w:sz="4" w:space="0" w:color="auto"/>
              <w:right w:val="single" w:sz="4" w:space="0" w:color="auto"/>
            </w:tcBorders>
            <w:vAlign w:val="center"/>
            <w:hideMark/>
          </w:tcPr>
          <w:p w14:paraId="08BF94BE" w14:textId="6DDC7264"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29.655,57</w:t>
            </w:r>
          </w:p>
        </w:tc>
      </w:tr>
      <w:tr w:rsidR="008A47C4" w:rsidRPr="00CA69D2" w14:paraId="491D6FD5" w14:textId="77777777" w:rsidTr="008A47C4">
        <w:trPr>
          <w:trHeight w:val="510"/>
          <w:jc w:val="center"/>
        </w:trPr>
        <w:tc>
          <w:tcPr>
            <w:tcW w:w="862" w:type="dxa"/>
            <w:tcBorders>
              <w:top w:val="nil"/>
              <w:left w:val="single" w:sz="8" w:space="0" w:color="auto"/>
              <w:bottom w:val="nil"/>
              <w:right w:val="single" w:sz="8" w:space="0" w:color="auto"/>
            </w:tcBorders>
            <w:vAlign w:val="center"/>
            <w:hideMark/>
          </w:tcPr>
          <w:p w14:paraId="50D629F7" w14:textId="2AB9EF53"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4314BC20" w14:textId="570129EF"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0D81F7D6"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4E0D88E9" w14:textId="7B06F2D8"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A209103</w:t>
            </w:r>
          </w:p>
        </w:tc>
        <w:tc>
          <w:tcPr>
            <w:tcW w:w="3726" w:type="dxa"/>
            <w:tcBorders>
              <w:top w:val="nil"/>
              <w:left w:val="nil"/>
              <w:bottom w:val="single" w:sz="4" w:space="0" w:color="auto"/>
              <w:right w:val="single" w:sz="4" w:space="0" w:color="auto"/>
            </w:tcBorders>
            <w:shd w:val="clear" w:color="000000" w:fill="FFFFFF"/>
            <w:vAlign w:val="center"/>
            <w:hideMark/>
          </w:tcPr>
          <w:p w14:paraId="784A2703" w14:textId="7C7A6E66"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Održavanje javnih zelenih povr.4, odluke (novo hortikulturno uređenje, oštećenja, vrem.nepog. i sl.)</w:t>
            </w:r>
          </w:p>
        </w:tc>
        <w:tc>
          <w:tcPr>
            <w:tcW w:w="1180" w:type="dxa"/>
            <w:tcBorders>
              <w:top w:val="nil"/>
              <w:left w:val="nil"/>
              <w:bottom w:val="single" w:sz="4" w:space="0" w:color="auto"/>
              <w:right w:val="single" w:sz="4" w:space="0" w:color="auto"/>
            </w:tcBorders>
            <w:vAlign w:val="center"/>
            <w:hideMark/>
          </w:tcPr>
          <w:p w14:paraId="4FC78C29" w14:textId="58E2B4CA"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85.735,35</w:t>
            </w:r>
          </w:p>
        </w:tc>
        <w:tc>
          <w:tcPr>
            <w:tcW w:w="1760" w:type="dxa"/>
            <w:tcBorders>
              <w:top w:val="nil"/>
              <w:left w:val="nil"/>
              <w:bottom w:val="single" w:sz="4" w:space="0" w:color="auto"/>
              <w:right w:val="single" w:sz="4" w:space="0" w:color="auto"/>
            </w:tcBorders>
            <w:vAlign w:val="center"/>
            <w:hideMark/>
          </w:tcPr>
          <w:p w14:paraId="3558D44A" w14:textId="555F71D3"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84.635,35</w:t>
            </w:r>
          </w:p>
        </w:tc>
        <w:tc>
          <w:tcPr>
            <w:tcW w:w="1440" w:type="dxa"/>
            <w:tcBorders>
              <w:top w:val="nil"/>
              <w:left w:val="nil"/>
              <w:bottom w:val="single" w:sz="4" w:space="0" w:color="auto"/>
              <w:right w:val="single" w:sz="4" w:space="0" w:color="auto"/>
            </w:tcBorders>
            <w:vAlign w:val="center"/>
            <w:hideMark/>
          </w:tcPr>
          <w:p w14:paraId="2BD4FB18" w14:textId="65791625" w:rsidR="008A47C4" w:rsidRPr="00CA69D2" w:rsidRDefault="008A47C4" w:rsidP="008A47C4">
            <w:pPr>
              <w:spacing w:after="0" w:line="240" w:lineRule="auto"/>
              <w:rPr>
                <w:rFonts w:ascii="Calibri" w:eastAsia="Times New Roman" w:hAnsi="Calibri" w:cs="Calibri"/>
                <w:sz w:val="16"/>
                <w:szCs w:val="16"/>
              </w:rPr>
            </w:pPr>
            <w:r>
              <w:rPr>
                <w:rFonts w:ascii="Calibri" w:hAnsi="Calibri" w:cs="Calibri"/>
                <w:sz w:val="16"/>
                <w:szCs w:val="16"/>
              </w:rPr>
              <w:t>10.102,50</w:t>
            </w:r>
          </w:p>
        </w:tc>
        <w:tc>
          <w:tcPr>
            <w:tcW w:w="1440" w:type="dxa"/>
            <w:tcBorders>
              <w:top w:val="nil"/>
              <w:left w:val="nil"/>
              <w:bottom w:val="single" w:sz="4" w:space="0" w:color="auto"/>
              <w:right w:val="single" w:sz="4" w:space="0" w:color="auto"/>
            </w:tcBorders>
            <w:vAlign w:val="center"/>
            <w:hideMark/>
          </w:tcPr>
          <w:p w14:paraId="24B183E3" w14:textId="2A226FA7"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74.532,85</w:t>
            </w:r>
          </w:p>
        </w:tc>
      </w:tr>
      <w:tr w:rsidR="008A47C4" w:rsidRPr="00CA69D2" w14:paraId="0ABD1062" w14:textId="77777777" w:rsidTr="008A47C4">
        <w:trPr>
          <w:trHeight w:val="345"/>
          <w:jc w:val="center"/>
        </w:trPr>
        <w:tc>
          <w:tcPr>
            <w:tcW w:w="862" w:type="dxa"/>
            <w:tcBorders>
              <w:top w:val="nil"/>
              <w:left w:val="single" w:sz="8" w:space="0" w:color="auto"/>
              <w:bottom w:val="nil"/>
              <w:right w:val="single" w:sz="8" w:space="0" w:color="auto"/>
            </w:tcBorders>
            <w:vAlign w:val="center"/>
            <w:hideMark/>
          </w:tcPr>
          <w:p w14:paraId="09582C74" w14:textId="67D162E6"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16AE0B1A" w14:textId="3AA7759E"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2DEC9753"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68760B70" w14:textId="5EDECB35"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A209108</w:t>
            </w:r>
          </w:p>
        </w:tc>
        <w:tc>
          <w:tcPr>
            <w:tcW w:w="3726" w:type="dxa"/>
            <w:tcBorders>
              <w:top w:val="nil"/>
              <w:left w:val="nil"/>
              <w:bottom w:val="single" w:sz="4" w:space="0" w:color="auto"/>
              <w:right w:val="single" w:sz="4" w:space="0" w:color="auto"/>
            </w:tcBorders>
            <w:shd w:val="clear" w:color="000000" w:fill="FFFFFF"/>
            <w:vAlign w:val="center"/>
            <w:hideMark/>
          </w:tcPr>
          <w:p w14:paraId="13A1C20C" w14:textId="788929FD"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Održ. cesta 1, organizacija prometa u mirovanju</w:t>
            </w:r>
          </w:p>
        </w:tc>
        <w:tc>
          <w:tcPr>
            <w:tcW w:w="1180" w:type="dxa"/>
            <w:tcBorders>
              <w:top w:val="nil"/>
              <w:left w:val="nil"/>
              <w:bottom w:val="single" w:sz="4" w:space="0" w:color="auto"/>
              <w:right w:val="single" w:sz="4" w:space="0" w:color="auto"/>
            </w:tcBorders>
            <w:vAlign w:val="center"/>
            <w:hideMark/>
          </w:tcPr>
          <w:p w14:paraId="3F9E1196" w14:textId="05E40415"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11.273,82</w:t>
            </w:r>
          </w:p>
        </w:tc>
        <w:tc>
          <w:tcPr>
            <w:tcW w:w="1760" w:type="dxa"/>
            <w:tcBorders>
              <w:top w:val="nil"/>
              <w:left w:val="nil"/>
              <w:bottom w:val="single" w:sz="4" w:space="0" w:color="auto"/>
              <w:right w:val="single" w:sz="4" w:space="0" w:color="auto"/>
            </w:tcBorders>
            <w:vAlign w:val="center"/>
            <w:hideMark/>
          </w:tcPr>
          <w:p w14:paraId="2E158F6B" w14:textId="3F4B5C3A"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11.273,82</w:t>
            </w:r>
          </w:p>
        </w:tc>
        <w:tc>
          <w:tcPr>
            <w:tcW w:w="1440" w:type="dxa"/>
            <w:tcBorders>
              <w:top w:val="nil"/>
              <w:left w:val="nil"/>
              <w:bottom w:val="single" w:sz="4" w:space="0" w:color="auto"/>
              <w:right w:val="single" w:sz="4" w:space="0" w:color="auto"/>
            </w:tcBorders>
            <w:vAlign w:val="center"/>
            <w:hideMark/>
          </w:tcPr>
          <w:p w14:paraId="0C2BD33E" w14:textId="1EA16E4B" w:rsidR="008A47C4" w:rsidRPr="00CA69D2" w:rsidRDefault="008A47C4" w:rsidP="008A47C4">
            <w:pPr>
              <w:spacing w:after="0" w:line="240" w:lineRule="auto"/>
              <w:rPr>
                <w:rFonts w:ascii="Calibri" w:eastAsia="Times New Roman" w:hAnsi="Calibri" w:cs="Calibri"/>
                <w:sz w:val="16"/>
                <w:szCs w:val="16"/>
              </w:rPr>
            </w:pPr>
            <w:r>
              <w:rPr>
                <w:rFonts w:ascii="Calibri" w:hAnsi="Calibri" w:cs="Calibri"/>
                <w:sz w:val="16"/>
                <w:szCs w:val="16"/>
              </w:rPr>
              <w:t> </w:t>
            </w:r>
          </w:p>
        </w:tc>
        <w:tc>
          <w:tcPr>
            <w:tcW w:w="1440" w:type="dxa"/>
            <w:tcBorders>
              <w:top w:val="nil"/>
              <w:left w:val="nil"/>
              <w:bottom w:val="single" w:sz="4" w:space="0" w:color="auto"/>
              <w:right w:val="single" w:sz="4" w:space="0" w:color="auto"/>
            </w:tcBorders>
            <w:vAlign w:val="center"/>
            <w:hideMark/>
          </w:tcPr>
          <w:p w14:paraId="08539D0F" w14:textId="4D6D3902"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11.273,82</w:t>
            </w:r>
          </w:p>
        </w:tc>
      </w:tr>
      <w:tr w:rsidR="008A47C4" w:rsidRPr="00CA69D2" w14:paraId="38434399" w14:textId="77777777" w:rsidTr="008A47C4">
        <w:trPr>
          <w:trHeight w:val="315"/>
          <w:jc w:val="center"/>
        </w:trPr>
        <w:tc>
          <w:tcPr>
            <w:tcW w:w="862" w:type="dxa"/>
            <w:tcBorders>
              <w:top w:val="nil"/>
              <w:left w:val="single" w:sz="8" w:space="0" w:color="auto"/>
              <w:bottom w:val="nil"/>
              <w:right w:val="single" w:sz="8" w:space="0" w:color="auto"/>
            </w:tcBorders>
            <w:vAlign w:val="center"/>
            <w:hideMark/>
          </w:tcPr>
          <w:p w14:paraId="122A4177" w14:textId="57F0F502"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7A1E3F1B" w14:textId="22CC073E"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7567D695"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2BA00200" w14:textId="6242D4DC"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A209109</w:t>
            </w:r>
          </w:p>
        </w:tc>
        <w:tc>
          <w:tcPr>
            <w:tcW w:w="3726" w:type="dxa"/>
            <w:tcBorders>
              <w:top w:val="nil"/>
              <w:left w:val="nil"/>
              <w:bottom w:val="single" w:sz="4" w:space="0" w:color="auto"/>
              <w:right w:val="single" w:sz="4" w:space="0" w:color="auto"/>
            </w:tcBorders>
            <w:shd w:val="clear" w:color="000000" w:fill="FFFFFF"/>
            <w:vAlign w:val="center"/>
            <w:hideMark/>
          </w:tcPr>
          <w:p w14:paraId="347974D2" w14:textId="739A4B70"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Održavanje i čišćenje cesta 1 - zimska služba</w:t>
            </w:r>
          </w:p>
        </w:tc>
        <w:tc>
          <w:tcPr>
            <w:tcW w:w="1180" w:type="dxa"/>
            <w:tcBorders>
              <w:top w:val="nil"/>
              <w:left w:val="nil"/>
              <w:bottom w:val="single" w:sz="4" w:space="0" w:color="auto"/>
              <w:right w:val="single" w:sz="4" w:space="0" w:color="auto"/>
            </w:tcBorders>
            <w:vAlign w:val="center"/>
            <w:hideMark/>
          </w:tcPr>
          <w:p w14:paraId="32836652" w14:textId="7F7472C4"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600,00</w:t>
            </w:r>
          </w:p>
        </w:tc>
        <w:tc>
          <w:tcPr>
            <w:tcW w:w="1760" w:type="dxa"/>
            <w:tcBorders>
              <w:top w:val="nil"/>
              <w:left w:val="nil"/>
              <w:bottom w:val="single" w:sz="4" w:space="0" w:color="auto"/>
              <w:right w:val="single" w:sz="4" w:space="0" w:color="auto"/>
            </w:tcBorders>
            <w:vAlign w:val="center"/>
            <w:hideMark/>
          </w:tcPr>
          <w:p w14:paraId="75F91CF2" w14:textId="5C7A54C2"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600,00</w:t>
            </w:r>
          </w:p>
        </w:tc>
        <w:tc>
          <w:tcPr>
            <w:tcW w:w="1440" w:type="dxa"/>
            <w:tcBorders>
              <w:top w:val="nil"/>
              <w:left w:val="nil"/>
              <w:bottom w:val="single" w:sz="4" w:space="0" w:color="auto"/>
              <w:right w:val="single" w:sz="4" w:space="0" w:color="auto"/>
            </w:tcBorders>
            <w:vAlign w:val="center"/>
            <w:hideMark/>
          </w:tcPr>
          <w:p w14:paraId="70D862DA" w14:textId="4C00F2DD" w:rsidR="008A47C4" w:rsidRPr="00CA69D2" w:rsidRDefault="008A47C4" w:rsidP="008A47C4">
            <w:pPr>
              <w:spacing w:after="0" w:line="240" w:lineRule="auto"/>
              <w:rPr>
                <w:rFonts w:ascii="Calibri" w:eastAsia="Times New Roman" w:hAnsi="Calibri" w:cs="Calibri"/>
                <w:sz w:val="16"/>
                <w:szCs w:val="16"/>
              </w:rPr>
            </w:pPr>
            <w:r>
              <w:rPr>
                <w:rFonts w:ascii="Calibri" w:hAnsi="Calibri" w:cs="Calibri"/>
                <w:sz w:val="16"/>
                <w:szCs w:val="16"/>
              </w:rPr>
              <w:t> </w:t>
            </w:r>
          </w:p>
        </w:tc>
        <w:tc>
          <w:tcPr>
            <w:tcW w:w="1440" w:type="dxa"/>
            <w:tcBorders>
              <w:top w:val="nil"/>
              <w:left w:val="nil"/>
              <w:bottom w:val="single" w:sz="4" w:space="0" w:color="auto"/>
              <w:right w:val="single" w:sz="4" w:space="0" w:color="auto"/>
            </w:tcBorders>
            <w:vAlign w:val="center"/>
            <w:hideMark/>
          </w:tcPr>
          <w:p w14:paraId="3855379D" w14:textId="3A13E1C6"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600,00</w:t>
            </w:r>
          </w:p>
        </w:tc>
      </w:tr>
      <w:tr w:rsidR="008A47C4" w:rsidRPr="00CA69D2" w14:paraId="707CF3B8" w14:textId="77777777" w:rsidTr="008A47C4">
        <w:trPr>
          <w:trHeight w:val="300"/>
          <w:jc w:val="center"/>
        </w:trPr>
        <w:tc>
          <w:tcPr>
            <w:tcW w:w="862" w:type="dxa"/>
            <w:tcBorders>
              <w:top w:val="nil"/>
              <w:left w:val="single" w:sz="8" w:space="0" w:color="auto"/>
              <w:bottom w:val="nil"/>
              <w:right w:val="single" w:sz="8" w:space="0" w:color="auto"/>
            </w:tcBorders>
            <w:vAlign w:val="center"/>
            <w:hideMark/>
          </w:tcPr>
          <w:p w14:paraId="07851BF4" w14:textId="6D4A45CC"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188E0B2D" w14:textId="113EA15C"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1C4F8548"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31B8DD05" w14:textId="4BA6B70A"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A209111</w:t>
            </w:r>
          </w:p>
        </w:tc>
        <w:tc>
          <w:tcPr>
            <w:tcW w:w="3726" w:type="dxa"/>
            <w:tcBorders>
              <w:top w:val="nil"/>
              <w:left w:val="nil"/>
              <w:bottom w:val="single" w:sz="4" w:space="0" w:color="auto"/>
              <w:right w:val="single" w:sz="4" w:space="0" w:color="auto"/>
            </w:tcBorders>
            <w:shd w:val="clear" w:color="000000" w:fill="FFFFFF"/>
            <w:vAlign w:val="center"/>
            <w:hideMark/>
          </w:tcPr>
          <w:p w14:paraId="1C03D5B2" w14:textId="1712BA89"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Održavanje javne rasvjete 8</w:t>
            </w:r>
          </w:p>
        </w:tc>
        <w:tc>
          <w:tcPr>
            <w:tcW w:w="1180" w:type="dxa"/>
            <w:tcBorders>
              <w:top w:val="nil"/>
              <w:left w:val="nil"/>
              <w:bottom w:val="single" w:sz="4" w:space="0" w:color="auto"/>
              <w:right w:val="single" w:sz="4" w:space="0" w:color="auto"/>
            </w:tcBorders>
            <w:vAlign w:val="center"/>
            <w:hideMark/>
          </w:tcPr>
          <w:p w14:paraId="5A29CF13" w14:textId="1AE56797"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72.118,92</w:t>
            </w:r>
          </w:p>
        </w:tc>
        <w:tc>
          <w:tcPr>
            <w:tcW w:w="1760" w:type="dxa"/>
            <w:tcBorders>
              <w:top w:val="nil"/>
              <w:left w:val="nil"/>
              <w:bottom w:val="single" w:sz="4" w:space="0" w:color="auto"/>
              <w:right w:val="single" w:sz="4" w:space="0" w:color="auto"/>
            </w:tcBorders>
            <w:vAlign w:val="center"/>
            <w:hideMark/>
          </w:tcPr>
          <w:p w14:paraId="10F9FBB3" w14:textId="097052FA"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72.118,92</w:t>
            </w:r>
          </w:p>
        </w:tc>
        <w:tc>
          <w:tcPr>
            <w:tcW w:w="1440" w:type="dxa"/>
            <w:tcBorders>
              <w:top w:val="nil"/>
              <w:left w:val="nil"/>
              <w:bottom w:val="single" w:sz="4" w:space="0" w:color="auto"/>
              <w:right w:val="single" w:sz="4" w:space="0" w:color="auto"/>
            </w:tcBorders>
            <w:vAlign w:val="center"/>
            <w:hideMark/>
          </w:tcPr>
          <w:p w14:paraId="6139B5CD" w14:textId="7344CDE6" w:rsidR="008A47C4" w:rsidRPr="00CA69D2" w:rsidRDefault="008A47C4" w:rsidP="008A47C4">
            <w:pPr>
              <w:spacing w:after="0" w:line="240" w:lineRule="auto"/>
              <w:rPr>
                <w:rFonts w:ascii="Calibri" w:eastAsia="Times New Roman" w:hAnsi="Calibri" w:cs="Calibri"/>
                <w:sz w:val="16"/>
                <w:szCs w:val="16"/>
              </w:rPr>
            </w:pPr>
            <w:r>
              <w:rPr>
                <w:rFonts w:ascii="Calibri" w:hAnsi="Calibri" w:cs="Calibri"/>
                <w:sz w:val="16"/>
                <w:szCs w:val="16"/>
              </w:rPr>
              <w:t>34.640,07</w:t>
            </w:r>
          </w:p>
        </w:tc>
        <w:tc>
          <w:tcPr>
            <w:tcW w:w="1440" w:type="dxa"/>
            <w:tcBorders>
              <w:top w:val="nil"/>
              <w:left w:val="nil"/>
              <w:bottom w:val="single" w:sz="4" w:space="0" w:color="auto"/>
              <w:right w:val="single" w:sz="4" w:space="0" w:color="auto"/>
            </w:tcBorders>
            <w:vAlign w:val="center"/>
            <w:hideMark/>
          </w:tcPr>
          <w:p w14:paraId="7E006704" w14:textId="43C3F301"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37.478,85</w:t>
            </w:r>
          </w:p>
        </w:tc>
      </w:tr>
      <w:tr w:rsidR="008A47C4" w:rsidRPr="00CA69D2" w14:paraId="70600D88" w14:textId="77777777" w:rsidTr="008A47C4">
        <w:trPr>
          <w:trHeight w:val="300"/>
          <w:jc w:val="center"/>
        </w:trPr>
        <w:tc>
          <w:tcPr>
            <w:tcW w:w="862" w:type="dxa"/>
            <w:tcBorders>
              <w:top w:val="nil"/>
              <w:left w:val="single" w:sz="8" w:space="0" w:color="auto"/>
              <w:bottom w:val="nil"/>
              <w:right w:val="single" w:sz="8" w:space="0" w:color="auto"/>
            </w:tcBorders>
            <w:vAlign w:val="center"/>
            <w:hideMark/>
          </w:tcPr>
          <w:p w14:paraId="049ED002" w14:textId="078A5906"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5B9EA16F" w14:textId="6CF2F43D"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6FA40ED1"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03D94C8F" w14:textId="3088C7C7"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A209115</w:t>
            </w:r>
          </w:p>
        </w:tc>
        <w:tc>
          <w:tcPr>
            <w:tcW w:w="3726" w:type="dxa"/>
            <w:tcBorders>
              <w:top w:val="nil"/>
              <w:left w:val="nil"/>
              <w:bottom w:val="single" w:sz="4" w:space="0" w:color="auto"/>
              <w:right w:val="single" w:sz="4" w:space="0" w:color="auto"/>
            </w:tcBorders>
            <w:shd w:val="clear" w:color="000000" w:fill="FFFFFF"/>
            <w:vAlign w:val="center"/>
            <w:hideMark/>
          </w:tcPr>
          <w:p w14:paraId="425ABB54" w14:textId="5C10E00D"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Izvanredno održavanje cesta i potpornih zidova radi održavanja sigurnosti prometa 1</w:t>
            </w:r>
          </w:p>
        </w:tc>
        <w:tc>
          <w:tcPr>
            <w:tcW w:w="1180" w:type="dxa"/>
            <w:tcBorders>
              <w:top w:val="nil"/>
              <w:left w:val="nil"/>
              <w:bottom w:val="single" w:sz="4" w:space="0" w:color="auto"/>
              <w:right w:val="single" w:sz="4" w:space="0" w:color="auto"/>
            </w:tcBorders>
            <w:vAlign w:val="center"/>
            <w:hideMark/>
          </w:tcPr>
          <w:p w14:paraId="2DD153E4" w14:textId="02F124E4"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78.250,10</w:t>
            </w:r>
          </w:p>
        </w:tc>
        <w:tc>
          <w:tcPr>
            <w:tcW w:w="1760" w:type="dxa"/>
            <w:tcBorders>
              <w:top w:val="nil"/>
              <w:left w:val="nil"/>
              <w:bottom w:val="single" w:sz="4" w:space="0" w:color="auto"/>
              <w:right w:val="single" w:sz="4" w:space="0" w:color="auto"/>
            </w:tcBorders>
            <w:vAlign w:val="center"/>
            <w:hideMark/>
          </w:tcPr>
          <w:p w14:paraId="528C2B84" w14:textId="21F1180A"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78.224,02</w:t>
            </w:r>
          </w:p>
        </w:tc>
        <w:tc>
          <w:tcPr>
            <w:tcW w:w="1440" w:type="dxa"/>
            <w:tcBorders>
              <w:top w:val="nil"/>
              <w:left w:val="nil"/>
              <w:bottom w:val="single" w:sz="4" w:space="0" w:color="auto"/>
              <w:right w:val="single" w:sz="4" w:space="0" w:color="auto"/>
            </w:tcBorders>
            <w:vAlign w:val="center"/>
            <w:hideMark/>
          </w:tcPr>
          <w:p w14:paraId="666E510D" w14:textId="1B223C91"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24.779,20</w:t>
            </w:r>
          </w:p>
        </w:tc>
        <w:tc>
          <w:tcPr>
            <w:tcW w:w="1440" w:type="dxa"/>
            <w:tcBorders>
              <w:top w:val="nil"/>
              <w:left w:val="nil"/>
              <w:bottom w:val="single" w:sz="4" w:space="0" w:color="auto"/>
              <w:right w:val="single" w:sz="4" w:space="0" w:color="auto"/>
            </w:tcBorders>
            <w:vAlign w:val="center"/>
            <w:hideMark/>
          </w:tcPr>
          <w:p w14:paraId="3128415B" w14:textId="6C2F6F2A"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53.444,82</w:t>
            </w:r>
          </w:p>
        </w:tc>
      </w:tr>
      <w:tr w:rsidR="008A47C4" w:rsidRPr="00CA69D2" w14:paraId="58B972B2" w14:textId="77777777" w:rsidTr="008A47C4">
        <w:trPr>
          <w:trHeight w:val="450"/>
          <w:jc w:val="center"/>
        </w:trPr>
        <w:tc>
          <w:tcPr>
            <w:tcW w:w="862" w:type="dxa"/>
            <w:tcBorders>
              <w:top w:val="nil"/>
              <w:left w:val="single" w:sz="8" w:space="0" w:color="auto"/>
              <w:bottom w:val="nil"/>
              <w:right w:val="single" w:sz="8" w:space="0" w:color="auto"/>
            </w:tcBorders>
            <w:vAlign w:val="center"/>
            <w:hideMark/>
          </w:tcPr>
          <w:p w14:paraId="2FF41391" w14:textId="125A8A50"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419F7093" w14:textId="532955B4"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1CAE9B82"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7190977A" w14:textId="1B5655A5"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A209116</w:t>
            </w:r>
          </w:p>
        </w:tc>
        <w:tc>
          <w:tcPr>
            <w:tcW w:w="3726" w:type="dxa"/>
            <w:tcBorders>
              <w:top w:val="nil"/>
              <w:left w:val="nil"/>
              <w:bottom w:val="single" w:sz="4" w:space="0" w:color="auto"/>
              <w:right w:val="single" w:sz="4" w:space="0" w:color="auto"/>
            </w:tcBorders>
            <w:shd w:val="clear" w:color="000000" w:fill="FFFFFF"/>
            <w:vAlign w:val="center"/>
            <w:hideMark/>
          </w:tcPr>
          <w:p w14:paraId="53100793" w14:textId="24E02B5F"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Sufinanciranje izvanrednog održavanja dijela lokalnih, županijskih i drž. cesta 1 (ŽUC/HC)</w:t>
            </w:r>
          </w:p>
        </w:tc>
        <w:tc>
          <w:tcPr>
            <w:tcW w:w="1180" w:type="dxa"/>
            <w:tcBorders>
              <w:top w:val="nil"/>
              <w:left w:val="nil"/>
              <w:bottom w:val="single" w:sz="4" w:space="0" w:color="auto"/>
              <w:right w:val="single" w:sz="4" w:space="0" w:color="auto"/>
            </w:tcBorders>
            <w:vAlign w:val="center"/>
            <w:hideMark/>
          </w:tcPr>
          <w:p w14:paraId="28FF6DBE" w14:textId="002FE3CE"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4.375,00</w:t>
            </w:r>
          </w:p>
        </w:tc>
        <w:tc>
          <w:tcPr>
            <w:tcW w:w="1760" w:type="dxa"/>
            <w:tcBorders>
              <w:top w:val="nil"/>
              <w:left w:val="nil"/>
              <w:bottom w:val="single" w:sz="4" w:space="0" w:color="auto"/>
              <w:right w:val="single" w:sz="4" w:space="0" w:color="auto"/>
            </w:tcBorders>
            <w:vAlign w:val="center"/>
            <w:hideMark/>
          </w:tcPr>
          <w:p w14:paraId="6A21D59B" w14:textId="4E8F9652"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4.375,00</w:t>
            </w:r>
          </w:p>
        </w:tc>
        <w:tc>
          <w:tcPr>
            <w:tcW w:w="1440" w:type="dxa"/>
            <w:tcBorders>
              <w:top w:val="nil"/>
              <w:left w:val="nil"/>
              <w:bottom w:val="single" w:sz="4" w:space="0" w:color="auto"/>
              <w:right w:val="single" w:sz="4" w:space="0" w:color="auto"/>
            </w:tcBorders>
            <w:vAlign w:val="center"/>
            <w:hideMark/>
          </w:tcPr>
          <w:p w14:paraId="2F0C955E" w14:textId="4BE48D47"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 </w:t>
            </w:r>
          </w:p>
        </w:tc>
        <w:tc>
          <w:tcPr>
            <w:tcW w:w="1440" w:type="dxa"/>
            <w:tcBorders>
              <w:top w:val="nil"/>
              <w:left w:val="nil"/>
              <w:bottom w:val="single" w:sz="4" w:space="0" w:color="auto"/>
              <w:right w:val="single" w:sz="4" w:space="0" w:color="auto"/>
            </w:tcBorders>
            <w:vAlign w:val="center"/>
            <w:hideMark/>
          </w:tcPr>
          <w:p w14:paraId="10CB0CDF" w14:textId="73E140DE"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4.375,00</w:t>
            </w:r>
          </w:p>
        </w:tc>
      </w:tr>
      <w:tr w:rsidR="008A47C4" w:rsidRPr="00CA69D2" w14:paraId="40BD4960" w14:textId="77777777" w:rsidTr="008A47C4">
        <w:trPr>
          <w:trHeight w:val="450"/>
          <w:jc w:val="center"/>
        </w:trPr>
        <w:tc>
          <w:tcPr>
            <w:tcW w:w="862" w:type="dxa"/>
            <w:tcBorders>
              <w:top w:val="nil"/>
              <w:left w:val="single" w:sz="8" w:space="0" w:color="auto"/>
              <w:bottom w:val="nil"/>
              <w:right w:val="single" w:sz="8" w:space="0" w:color="auto"/>
            </w:tcBorders>
            <w:vAlign w:val="center"/>
            <w:hideMark/>
          </w:tcPr>
          <w:p w14:paraId="5D71EC88" w14:textId="5EC84C9E"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768BFD63" w14:textId="63AD825B"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7384B2F3"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44D21B60" w14:textId="3E11F437"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A209117</w:t>
            </w:r>
          </w:p>
        </w:tc>
        <w:tc>
          <w:tcPr>
            <w:tcW w:w="3726" w:type="dxa"/>
            <w:tcBorders>
              <w:top w:val="nil"/>
              <w:left w:val="nil"/>
              <w:bottom w:val="single" w:sz="4" w:space="0" w:color="auto"/>
              <w:right w:val="single" w:sz="4" w:space="0" w:color="auto"/>
            </w:tcBorders>
            <w:shd w:val="clear" w:color="000000" w:fill="FFFFFF"/>
            <w:vAlign w:val="center"/>
            <w:hideMark/>
          </w:tcPr>
          <w:p w14:paraId="4B70F888" w14:textId="1D9E8BE7"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Održavanje sustava odvodnje oborinskih voda</w:t>
            </w:r>
          </w:p>
        </w:tc>
        <w:tc>
          <w:tcPr>
            <w:tcW w:w="1180" w:type="dxa"/>
            <w:tcBorders>
              <w:top w:val="nil"/>
              <w:left w:val="nil"/>
              <w:bottom w:val="single" w:sz="4" w:space="0" w:color="auto"/>
              <w:right w:val="single" w:sz="4" w:space="0" w:color="auto"/>
            </w:tcBorders>
            <w:vAlign w:val="center"/>
            <w:hideMark/>
          </w:tcPr>
          <w:p w14:paraId="47FB5E42" w14:textId="05389B2F"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11.243,03</w:t>
            </w:r>
          </w:p>
        </w:tc>
        <w:tc>
          <w:tcPr>
            <w:tcW w:w="1760" w:type="dxa"/>
            <w:tcBorders>
              <w:top w:val="nil"/>
              <w:left w:val="nil"/>
              <w:bottom w:val="single" w:sz="4" w:space="0" w:color="auto"/>
              <w:right w:val="single" w:sz="4" w:space="0" w:color="auto"/>
            </w:tcBorders>
            <w:vAlign w:val="center"/>
            <w:hideMark/>
          </w:tcPr>
          <w:p w14:paraId="115BF68D" w14:textId="6A7673F8"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11.044,34</w:t>
            </w:r>
          </w:p>
        </w:tc>
        <w:tc>
          <w:tcPr>
            <w:tcW w:w="1440" w:type="dxa"/>
            <w:tcBorders>
              <w:top w:val="nil"/>
              <w:left w:val="nil"/>
              <w:bottom w:val="single" w:sz="4" w:space="0" w:color="auto"/>
              <w:right w:val="single" w:sz="4" w:space="0" w:color="auto"/>
            </w:tcBorders>
            <w:vAlign w:val="center"/>
            <w:hideMark/>
          </w:tcPr>
          <w:p w14:paraId="100E3A45" w14:textId="405E9CDE" w:rsidR="008A47C4" w:rsidRPr="00CA69D2" w:rsidRDefault="008A47C4" w:rsidP="008A47C4">
            <w:pPr>
              <w:spacing w:after="0" w:line="240" w:lineRule="auto"/>
              <w:rPr>
                <w:rFonts w:ascii="Calibri" w:eastAsia="Times New Roman" w:hAnsi="Calibri" w:cs="Calibri"/>
                <w:sz w:val="16"/>
                <w:szCs w:val="16"/>
              </w:rPr>
            </w:pPr>
            <w:r>
              <w:rPr>
                <w:rFonts w:ascii="Calibri" w:hAnsi="Calibri" w:cs="Calibri"/>
                <w:sz w:val="16"/>
                <w:szCs w:val="16"/>
              </w:rPr>
              <w:t> </w:t>
            </w:r>
          </w:p>
        </w:tc>
        <w:tc>
          <w:tcPr>
            <w:tcW w:w="1440" w:type="dxa"/>
            <w:tcBorders>
              <w:top w:val="nil"/>
              <w:left w:val="nil"/>
              <w:bottom w:val="single" w:sz="4" w:space="0" w:color="auto"/>
              <w:right w:val="single" w:sz="4" w:space="0" w:color="auto"/>
            </w:tcBorders>
            <w:vAlign w:val="center"/>
            <w:hideMark/>
          </w:tcPr>
          <w:p w14:paraId="0CDE21A4" w14:textId="18C6663C"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11.044,34</w:t>
            </w:r>
          </w:p>
        </w:tc>
      </w:tr>
      <w:tr w:rsidR="008A47C4" w:rsidRPr="00CA69D2" w14:paraId="49B1980E" w14:textId="77777777" w:rsidTr="008A47C4">
        <w:trPr>
          <w:trHeight w:val="300"/>
          <w:jc w:val="center"/>
        </w:trPr>
        <w:tc>
          <w:tcPr>
            <w:tcW w:w="862" w:type="dxa"/>
            <w:tcBorders>
              <w:top w:val="nil"/>
              <w:left w:val="single" w:sz="8" w:space="0" w:color="auto"/>
              <w:bottom w:val="nil"/>
              <w:right w:val="single" w:sz="8" w:space="0" w:color="auto"/>
            </w:tcBorders>
            <w:vAlign w:val="center"/>
            <w:hideMark/>
          </w:tcPr>
          <w:p w14:paraId="38B4B594" w14:textId="3291C3BF"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07A6B01B" w14:textId="6FE46E79"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20BEBE46"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50963B53" w14:textId="22CB7394"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A209121</w:t>
            </w:r>
          </w:p>
        </w:tc>
        <w:tc>
          <w:tcPr>
            <w:tcW w:w="3726" w:type="dxa"/>
            <w:tcBorders>
              <w:top w:val="nil"/>
              <w:left w:val="nil"/>
              <w:bottom w:val="single" w:sz="4" w:space="0" w:color="auto"/>
              <w:right w:val="single" w:sz="4" w:space="0" w:color="auto"/>
            </w:tcBorders>
            <w:shd w:val="clear" w:color="000000" w:fill="FFFFFF"/>
            <w:vAlign w:val="center"/>
            <w:hideMark/>
          </w:tcPr>
          <w:p w14:paraId="2E6ECC53" w14:textId="769B4664"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Održavanje groblja 6</w:t>
            </w:r>
          </w:p>
        </w:tc>
        <w:tc>
          <w:tcPr>
            <w:tcW w:w="1180" w:type="dxa"/>
            <w:tcBorders>
              <w:top w:val="nil"/>
              <w:left w:val="nil"/>
              <w:bottom w:val="single" w:sz="4" w:space="0" w:color="auto"/>
              <w:right w:val="single" w:sz="4" w:space="0" w:color="auto"/>
            </w:tcBorders>
            <w:vAlign w:val="center"/>
            <w:hideMark/>
          </w:tcPr>
          <w:p w14:paraId="6BA15894" w14:textId="173D8150"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7.500,00</w:t>
            </w:r>
          </w:p>
        </w:tc>
        <w:tc>
          <w:tcPr>
            <w:tcW w:w="1760" w:type="dxa"/>
            <w:tcBorders>
              <w:top w:val="nil"/>
              <w:left w:val="nil"/>
              <w:bottom w:val="single" w:sz="4" w:space="0" w:color="auto"/>
              <w:right w:val="single" w:sz="4" w:space="0" w:color="auto"/>
            </w:tcBorders>
            <w:vAlign w:val="center"/>
            <w:hideMark/>
          </w:tcPr>
          <w:p w14:paraId="27D00A19" w14:textId="054A8717"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7.500,00</w:t>
            </w:r>
          </w:p>
        </w:tc>
        <w:tc>
          <w:tcPr>
            <w:tcW w:w="1440" w:type="dxa"/>
            <w:tcBorders>
              <w:top w:val="nil"/>
              <w:left w:val="nil"/>
              <w:bottom w:val="single" w:sz="4" w:space="0" w:color="auto"/>
              <w:right w:val="single" w:sz="4" w:space="0" w:color="auto"/>
            </w:tcBorders>
            <w:vAlign w:val="center"/>
            <w:hideMark/>
          </w:tcPr>
          <w:p w14:paraId="73201CF2" w14:textId="3D46BB13"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 </w:t>
            </w:r>
          </w:p>
        </w:tc>
        <w:tc>
          <w:tcPr>
            <w:tcW w:w="1440" w:type="dxa"/>
            <w:tcBorders>
              <w:top w:val="nil"/>
              <w:left w:val="nil"/>
              <w:bottom w:val="single" w:sz="4" w:space="0" w:color="auto"/>
              <w:right w:val="single" w:sz="4" w:space="0" w:color="auto"/>
            </w:tcBorders>
            <w:vAlign w:val="center"/>
            <w:hideMark/>
          </w:tcPr>
          <w:p w14:paraId="32037523" w14:textId="1E3423F2"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7.500,00</w:t>
            </w:r>
          </w:p>
        </w:tc>
      </w:tr>
      <w:tr w:rsidR="008A47C4" w:rsidRPr="00CA69D2" w14:paraId="06748D1E" w14:textId="77777777" w:rsidTr="008A47C4">
        <w:trPr>
          <w:trHeight w:val="300"/>
          <w:jc w:val="center"/>
        </w:trPr>
        <w:tc>
          <w:tcPr>
            <w:tcW w:w="862" w:type="dxa"/>
            <w:tcBorders>
              <w:top w:val="nil"/>
              <w:left w:val="single" w:sz="8" w:space="0" w:color="auto"/>
              <w:bottom w:val="nil"/>
              <w:right w:val="single" w:sz="8" w:space="0" w:color="auto"/>
            </w:tcBorders>
            <w:vAlign w:val="center"/>
            <w:hideMark/>
          </w:tcPr>
          <w:p w14:paraId="3D2330D8" w14:textId="175AEA32"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0A15AD8E" w14:textId="7BB9CE30"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7CAFE751"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0349FA40" w14:textId="726CAAE9"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A209123</w:t>
            </w:r>
          </w:p>
        </w:tc>
        <w:tc>
          <w:tcPr>
            <w:tcW w:w="3726" w:type="dxa"/>
            <w:tcBorders>
              <w:top w:val="nil"/>
              <w:left w:val="nil"/>
              <w:bottom w:val="single" w:sz="4" w:space="0" w:color="auto"/>
              <w:right w:val="single" w:sz="4" w:space="0" w:color="auto"/>
            </w:tcBorders>
            <w:shd w:val="clear" w:color="000000" w:fill="FFFFFF"/>
            <w:vAlign w:val="center"/>
            <w:hideMark/>
          </w:tcPr>
          <w:p w14:paraId="48122B69" w14:textId="7B8A1C2A"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Održ. građevina, uređaja i predmeta javne namjene, 5</w:t>
            </w:r>
          </w:p>
        </w:tc>
        <w:tc>
          <w:tcPr>
            <w:tcW w:w="1180" w:type="dxa"/>
            <w:tcBorders>
              <w:top w:val="nil"/>
              <w:left w:val="nil"/>
              <w:bottom w:val="single" w:sz="4" w:space="0" w:color="auto"/>
              <w:right w:val="single" w:sz="4" w:space="0" w:color="auto"/>
            </w:tcBorders>
            <w:vAlign w:val="center"/>
            <w:hideMark/>
          </w:tcPr>
          <w:p w14:paraId="7C1843E5" w14:textId="276A66AF"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24.106,69</w:t>
            </w:r>
          </w:p>
        </w:tc>
        <w:tc>
          <w:tcPr>
            <w:tcW w:w="1760" w:type="dxa"/>
            <w:tcBorders>
              <w:top w:val="nil"/>
              <w:left w:val="nil"/>
              <w:bottom w:val="single" w:sz="4" w:space="0" w:color="auto"/>
              <w:right w:val="single" w:sz="4" w:space="0" w:color="auto"/>
            </w:tcBorders>
            <w:vAlign w:val="center"/>
            <w:hideMark/>
          </w:tcPr>
          <w:p w14:paraId="49F1967C" w14:textId="5C01D352"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17.988,49</w:t>
            </w:r>
          </w:p>
        </w:tc>
        <w:tc>
          <w:tcPr>
            <w:tcW w:w="1440" w:type="dxa"/>
            <w:tcBorders>
              <w:top w:val="nil"/>
              <w:left w:val="nil"/>
              <w:bottom w:val="single" w:sz="4" w:space="0" w:color="auto"/>
              <w:right w:val="single" w:sz="4" w:space="0" w:color="auto"/>
            </w:tcBorders>
            <w:vAlign w:val="center"/>
            <w:hideMark/>
          </w:tcPr>
          <w:p w14:paraId="5426FB45" w14:textId="33ADFD24" w:rsidR="008A47C4" w:rsidRPr="00CA69D2" w:rsidRDefault="008A47C4" w:rsidP="008A47C4">
            <w:pPr>
              <w:spacing w:after="0" w:line="240" w:lineRule="auto"/>
              <w:rPr>
                <w:rFonts w:ascii="Calibri" w:eastAsia="Times New Roman" w:hAnsi="Calibri" w:cs="Calibri"/>
                <w:sz w:val="16"/>
                <w:szCs w:val="16"/>
              </w:rPr>
            </w:pPr>
            <w:r>
              <w:rPr>
                <w:rFonts w:ascii="Calibri" w:hAnsi="Calibri" w:cs="Calibri"/>
                <w:sz w:val="16"/>
                <w:szCs w:val="16"/>
              </w:rPr>
              <w:t>2.633,21</w:t>
            </w:r>
          </w:p>
        </w:tc>
        <w:tc>
          <w:tcPr>
            <w:tcW w:w="1440" w:type="dxa"/>
            <w:tcBorders>
              <w:top w:val="nil"/>
              <w:left w:val="nil"/>
              <w:bottom w:val="single" w:sz="4" w:space="0" w:color="auto"/>
              <w:right w:val="single" w:sz="4" w:space="0" w:color="auto"/>
            </w:tcBorders>
            <w:vAlign w:val="center"/>
            <w:hideMark/>
          </w:tcPr>
          <w:p w14:paraId="7682794E" w14:textId="6FA5BCD6"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15.355,28</w:t>
            </w:r>
          </w:p>
        </w:tc>
      </w:tr>
      <w:tr w:rsidR="008A47C4" w:rsidRPr="00CA69D2" w14:paraId="6405A2FC" w14:textId="77777777" w:rsidTr="008A47C4">
        <w:trPr>
          <w:trHeight w:val="450"/>
          <w:jc w:val="center"/>
        </w:trPr>
        <w:tc>
          <w:tcPr>
            <w:tcW w:w="862" w:type="dxa"/>
            <w:tcBorders>
              <w:top w:val="nil"/>
              <w:left w:val="single" w:sz="8" w:space="0" w:color="auto"/>
              <w:bottom w:val="nil"/>
              <w:right w:val="single" w:sz="8" w:space="0" w:color="auto"/>
            </w:tcBorders>
            <w:vAlign w:val="center"/>
            <w:hideMark/>
          </w:tcPr>
          <w:p w14:paraId="40565B0A" w14:textId="6FF24D79"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4BEF6FBD" w14:textId="4FD921D1"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3B9E8F16"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4CE40846" w14:textId="25B4E148"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A209124</w:t>
            </w:r>
          </w:p>
        </w:tc>
        <w:tc>
          <w:tcPr>
            <w:tcW w:w="3726" w:type="dxa"/>
            <w:tcBorders>
              <w:top w:val="nil"/>
              <w:left w:val="nil"/>
              <w:bottom w:val="single" w:sz="4" w:space="0" w:color="auto"/>
              <w:right w:val="single" w:sz="4" w:space="0" w:color="auto"/>
            </w:tcBorders>
            <w:shd w:val="clear" w:color="000000" w:fill="FFFFFF"/>
            <w:vAlign w:val="center"/>
            <w:hideMark/>
          </w:tcPr>
          <w:p w14:paraId="631E31A1" w14:textId="78F1CA3F"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Održ. jav.površina na kojima nije dopušten promet motornim vozilima 2</w:t>
            </w:r>
          </w:p>
        </w:tc>
        <w:tc>
          <w:tcPr>
            <w:tcW w:w="1180" w:type="dxa"/>
            <w:tcBorders>
              <w:top w:val="nil"/>
              <w:left w:val="nil"/>
              <w:bottom w:val="single" w:sz="4" w:space="0" w:color="auto"/>
              <w:right w:val="single" w:sz="4" w:space="0" w:color="auto"/>
            </w:tcBorders>
            <w:vAlign w:val="center"/>
            <w:hideMark/>
          </w:tcPr>
          <w:p w14:paraId="1862E347" w14:textId="72A9A5B0"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157.213,76</w:t>
            </w:r>
          </w:p>
        </w:tc>
        <w:tc>
          <w:tcPr>
            <w:tcW w:w="1760" w:type="dxa"/>
            <w:tcBorders>
              <w:top w:val="nil"/>
              <w:left w:val="nil"/>
              <w:bottom w:val="single" w:sz="4" w:space="0" w:color="auto"/>
              <w:right w:val="single" w:sz="4" w:space="0" w:color="auto"/>
            </w:tcBorders>
            <w:vAlign w:val="center"/>
            <w:hideMark/>
          </w:tcPr>
          <w:p w14:paraId="24B5E2F3" w14:textId="2E0BCD36"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28.155,89</w:t>
            </w:r>
          </w:p>
        </w:tc>
        <w:tc>
          <w:tcPr>
            <w:tcW w:w="1440" w:type="dxa"/>
            <w:tcBorders>
              <w:top w:val="nil"/>
              <w:left w:val="nil"/>
              <w:bottom w:val="single" w:sz="4" w:space="0" w:color="auto"/>
              <w:right w:val="single" w:sz="4" w:space="0" w:color="auto"/>
            </w:tcBorders>
            <w:vAlign w:val="center"/>
            <w:hideMark/>
          </w:tcPr>
          <w:p w14:paraId="70D05B0B" w14:textId="5B81FA2E" w:rsidR="008A47C4" w:rsidRPr="00CA69D2" w:rsidRDefault="008A47C4" w:rsidP="008A47C4">
            <w:pPr>
              <w:spacing w:after="0" w:line="240" w:lineRule="auto"/>
              <w:rPr>
                <w:rFonts w:ascii="Calibri" w:eastAsia="Times New Roman" w:hAnsi="Calibri" w:cs="Calibri"/>
                <w:sz w:val="16"/>
                <w:szCs w:val="16"/>
              </w:rPr>
            </w:pPr>
            <w:r>
              <w:rPr>
                <w:rFonts w:ascii="Calibri" w:hAnsi="Calibri" w:cs="Calibri"/>
                <w:sz w:val="16"/>
                <w:szCs w:val="16"/>
              </w:rPr>
              <w:t>12.817,85</w:t>
            </w:r>
          </w:p>
        </w:tc>
        <w:tc>
          <w:tcPr>
            <w:tcW w:w="1440" w:type="dxa"/>
            <w:tcBorders>
              <w:top w:val="nil"/>
              <w:left w:val="nil"/>
              <w:bottom w:val="single" w:sz="4" w:space="0" w:color="auto"/>
              <w:right w:val="single" w:sz="4" w:space="0" w:color="auto"/>
            </w:tcBorders>
            <w:vAlign w:val="center"/>
            <w:hideMark/>
          </w:tcPr>
          <w:p w14:paraId="04419BE0" w14:textId="339D08D8" w:rsidR="008A47C4" w:rsidRPr="00CA69D2" w:rsidRDefault="008A47C4" w:rsidP="008A47C4">
            <w:pPr>
              <w:spacing w:after="0" w:line="240" w:lineRule="auto"/>
              <w:jc w:val="right"/>
              <w:rPr>
                <w:rFonts w:ascii="Calibri" w:eastAsia="Times New Roman" w:hAnsi="Calibri" w:cs="Calibri"/>
                <w:sz w:val="16"/>
                <w:szCs w:val="16"/>
              </w:rPr>
            </w:pPr>
            <w:r>
              <w:rPr>
                <w:rFonts w:ascii="Calibri" w:hAnsi="Calibri" w:cs="Calibri"/>
                <w:sz w:val="16"/>
                <w:szCs w:val="16"/>
              </w:rPr>
              <w:t>15.338,04</w:t>
            </w:r>
          </w:p>
        </w:tc>
      </w:tr>
    </w:tbl>
    <w:p w14:paraId="5A6CF94E" w14:textId="77777777" w:rsidR="00CA69D2" w:rsidRDefault="00CA69D2" w:rsidP="008170E6">
      <w:pPr>
        <w:spacing w:after="0" w:line="240" w:lineRule="auto"/>
        <w:rPr>
          <w:lang w:eastAsia="en-US"/>
        </w:rPr>
      </w:pPr>
    </w:p>
    <w:p w14:paraId="2202DA1A" w14:textId="77777777" w:rsidR="00CA69D2" w:rsidRDefault="00CA69D2" w:rsidP="008170E6">
      <w:pPr>
        <w:spacing w:after="0" w:line="240" w:lineRule="auto"/>
        <w:rPr>
          <w:lang w:eastAsia="en-US"/>
        </w:rPr>
      </w:pPr>
    </w:p>
    <w:p w14:paraId="5F2F8C4A" w14:textId="77777777" w:rsidR="00CA69D2" w:rsidRDefault="00CA69D2" w:rsidP="008170E6">
      <w:pPr>
        <w:spacing w:after="0" w:line="240" w:lineRule="auto"/>
        <w:rPr>
          <w:lang w:eastAsia="en-US"/>
        </w:rPr>
      </w:pPr>
    </w:p>
    <w:p w14:paraId="4C147C67" w14:textId="77777777" w:rsidR="00CA69D2" w:rsidRDefault="00CA69D2" w:rsidP="008170E6">
      <w:pPr>
        <w:spacing w:after="0" w:line="240" w:lineRule="auto"/>
        <w:rPr>
          <w:lang w:eastAsia="en-US"/>
        </w:rPr>
      </w:pPr>
    </w:p>
    <w:tbl>
      <w:tblPr>
        <w:tblW w:w="12920" w:type="dxa"/>
        <w:jc w:val="center"/>
        <w:tblLook w:val="04A0" w:firstRow="1" w:lastRow="0" w:firstColumn="1" w:lastColumn="0" w:noHBand="0" w:noVBand="1"/>
      </w:tblPr>
      <w:tblGrid>
        <w:gridCol w:w="861"/>
        <w:gridCol w:w="707"/>
        <w:gridCol w:w="948"/>
        <w:gridCol w:w="857"/>
        <w:gridCol w:w="3727"/>
        <w:gridCol w:w="1180"/>
        <w:gridCol w:w="1760"/>
        <w:gridCol w:w="1440"/>
        <w:gridCol w:w="1440"/>
      </w:tblGrid>
      <w:tr w:rsidR="008A47C4" w:rsidRPr="00CA69D2" w14:paraId="7A816109" w14:textId="77777777" w:rsidTr="008A47C4">
        <w:trPr>
          <w:trHeight w:val="675"/>
          <w:jc w:val="center"/>
        </w:trPr>
        <w:tc>
          <w:tcPr>
            <w:tcW w:w="861" w:type="dxa"/>
            <w:tcBorders>
              <w:top w:val="single" w:sz="8" w:space="0" w:color="auto"/>
              <w:left w:val="single" w:sz="8" w:space="0" w:color="auto"/>
              <w:bottom w:val="single" w:sz="8" w:space="0" w:color="auto"/>
              <w:right w:val="single" w:sz="8" w:space="0" w:color="auto"/>
            </w:tcBorders>
            <w:vAlign w:val="center"/>
            <w:hideMark/>
          </w:tcPr>
          <w:p w14:paraId="0DCF87CF" w14:textId="76F23C2B"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sz w:val="14"/>
                <w:szCs w:val="14"/>
              </w:rPr>
              <w:lastRenderedPageBreak/>
              <w:t> </w:t>
            </w:r>
          </w:p>
        </w:tc>
        <w:tc>
          <w:tcPr>
            <w:tcW w:w="707" w:type="dxa"/>
            <w:tcBorders>
              <w:top w:val="single" w:sz="8" w:space="0" w:color="auto"/>
              <w:left w:val="nil"/>
              <w:bottom w:val="single" w:sz="8" w:space="0" w:color="auto"/>
              <w:right w:val="single" w:sz="8" w:space="0" w:color="auto"/>
            </w:tcBorders>
            <w:vAlign w:val="center"/>
            <w:hideMark/>
          </w:tcPr>
          <w:p w14:paraId="6D99CDDD" w14:textId="52EFB46E" w:rsidR="008A47C4" w:rsidRPr="00CA69D2" w:rsidRDefault="008A47C4" w:rsidP="008A47C4">
            <w:pPr>
              <w:spacing w:after="0" w:line="240" w:lineRule="auto"/>
              <w:rPr>
                <w:rFonts w:ascii="Arial" w:eastAsia="Times New Roman" w:hAnsi="Arial" w:cs="Arial"/>
                <w:b/>
                <w:bCs/>
                <w:sz w:val="14"/>
                <w:szCs w:val="14"/>
              </w:rPr>
            </w:pPr>
            <w:r>
              <w:rPr>
                <w:rFonts w:ascii="Arial" w:hAnsi="Arial" w:cs="Arial"/>
                <w:sz w:val="14"/>
                <w:szCs w:val="14"/>
              </w:rPr>
              <w:t> </w:t>
            </w:r>
          </w:p>
        </w:tc>
        <w:tc>
          <w:tcPr>
            <w:tcW w:w="948" w:type="dxa"/>
            <w:tcBorders>
              <w:top w:val="single" w:sz="8" w:space="0" w:color="auto"/>
              <w:left w:val="nil"/>
              <w:bottom w:val="single" w:sz="8" w:space="0" w:color="auto"/>
              <w:right w:val="single" w:sz="8" w:space="0" w:color="auto"/>
            </w:tcBorders>
            <w:vAlign w:val="center"/>
            <w:hideMark/>
          </w:tcPr>
          <w:p w14:paraId="407B83EE" w14:textId="32785469" w:rsidR="008A47C4" w:rsidRPr="00CA69D2" w:rsidRDefault="008A47C4" w:rsidP="008A47C4">
            <w:pPr>
              <w:spacing w:after="0" w:line="240" w:lineRule="auto"/>
              <w:rPr>
                <w:rFonts w:ascii="Arial" w:eastAsia="Times New Roman" w:hAnsi="Arial" w:cs="Arial"/>
                <w:b/>
                <w:bCs/>
                <w:sz w:val="14"/>
                <w:szCs w:val="14"/>
              </w:rPr>
            </w:pPr>
            <w:r>
              <w:rPr>
                <w:rFonts w:ascii="Arial" w:hAnsi="Arial" w:cs="Arial"/>
                <w:b/>
                <w:bCs/>
                <w:sz w:val="14"/>
                <w:szCs w:val="14"/>
              </w:rPr>
              <w:t>2092</w:t>
            </w:r>
          </w:p>
        </w:tc>
        <w:tc>
          <w:tcPr>
            <w:tcW w:w="857" w:type="dxa"/>
            <w:tcBorders>
              <w:top w:val="single" w:sz="8" w:space="0" w:color="auto"/>
              <w:left w:val="nil"/>
              <w:bottom w:val="single" w:sz="8" w:space="0" w:color="auto"/>
              <w:right w:val="single" w:sz="8" w:space="0" w:color="auto"/>
            </w:tcBorders>
            <w:vAlign w:val="center"/>
            <w:hideMark/>
          </w:tcPr>
          <w:p w14:paraId="5D8129FC" w14:textId="559B056F" w:rsidR="008A47C4" w:rsidRPr="00CA69D2" w:rsidRDefault="008A47C4" w:rsidP="008A47C4">
            <w:pPr>
              <w:spacing w:after="0" w:line="240" w:lineRule="auto"/>
              <w:rPr>
                <w:rFonts w:ascii="Arial" w:eastAsia="Times New Roman" w:hAnsi="Arial" w:cs="Arial"/>
                <w:b/>
                <w:bCs/>
                <w:sz w:val="14"/>
                <w:szCs w:val="14"/>
              </w:rPr>
            </w:pPr>
            <w:r>
              <w:rPr>
                <w:rFonts w:ascii="Arial" w:hAnsi="Arial" w:cs="Arial"/>
                <w:b/>
                <w:bCs/>
                <w:sz w:val="14"/>
                <w:szCs w:val="14"/>
              </w:rPr>
              <w:t> </w:t>
            </w:r>
          </w:p>
        </w:tc>
        <w:tc>
          <w:tcPr>
            <w:tcW w:w="3727" w:type="dxa"/>
            <w:tcBorders>
              <w:top w:val="single" w:sz="8" w:space="0" w:color="auto"/>
              <w:left w:val="nil"/>
              <w:bottom w:val="single" w:sz="8" w:space="0" w:color="auto"/>
              <w:right w:val="single" w:sz="8" w:space="0" w:color="auto"/>
            </w:tcBorders>
            <w:vAlign w:val="center"/>
            <w:hideMark/>
          </w:tcPr>
          <w:p w14:paraId="3F34914C" w14:textId="39AD3506" w:rsidR="008A47C4" w:rsidRPr="00CA69D2" w:rsidRDefault="008A47C4" w:rsidP="008A47C4">
            <w:pPr>
              <w:spacing w:after="0" w:line="240" w:lineRule="auto"/>
              <w:rPr>
                <w:rFonts w:ascii="Arial" w:eastAsia="Times New Roman" w:hAnsi="Arial" w:cs="Arial"/>
                <w:b/>
                <w:bCs/>
                <w:sz w:val="18"/>
                <w:szCs w:val="18"/>
              </w:rPr>
            </w:pPr>
            <w:r>
              <w:rPr>
                <w:rFonts w:ascii="Arial" w:hAnsi="Arial" w:cs="Arial"/>
                <w:b/>
                <w:bCs/>
                <w:sz w:val="16"/>
                <w:szCs w:val="16"/>
              </w:rPr>
              <w:t>Program građenja komunalne infrastrukture</w:t>
            </w:r>
          </w:p>
        </w:tc>
        <w:tc>
          <w:tcPr>
            <w:tcW w:w="1180" w:type="dxa"/>
            <w:tcBorders>
              <w:top w:val="single" w:sz="8" w:space="0" w:color="auto"/>
              <w:left w:val="nil"/>
              <w:bottom w:val="single" w:sz="8" w:space="0" w:color="auto"/>
              <w:right w:val="single" w:sz="8" w:space="0" w:color="auto"/>
            </w:tcBorders>
            <w:vAlign w:val="center"/>
            <w:hideMark/>
          </w:tcPr>
          <w:p w14:paraId="5EB6E7E6" w14:textId="2F07BED7" w:rsidR="008A47C4" w:rsidRPr="00CA69D2" w:rsidRDefault="008A47C4" w:rsidP="008A47C4">
            <w:pPr>
              <w:spacing w:after="0" w:line="240" w:lineRule="auto"/>
              <w:jc w:val="right"/>
              <w:rPr>
                <w:rFonts w:ascii="Arial" w:eastAsia="Times New Roman" w:hAnsi="Arial" w:cs="Arial"/>
                <w:b/>
                <w:bCs/>
                <w:sz w:val="16"/>
                <w:szCs w:val="16"/>
              </w:rPr>
            </w:pPr>
            <w:r>
              <w:rPr>
                <w:rFonts w:ascii="Calibri" w:hAnsi="Calibri" w:cs="Calibri"/>
                <w:b/>
                <w:bCs/>
                <w:sz w:val="18"/>
                <w:szCs w:val="18"/>
              </w:rPr>
              <w:t>583.198,51</w:t>
            </w:r>
          </w:p>
        </w:tc>
        <w:tc>
          <w:tcPr>
            <w:tcW w:w="1760" w:type="dxa"/>
            <w:tcBorders>
              <w:top w:val="single" w:sz="8" w:space="0" w:color="auto"/>
              <w:left w:val="nil"/>
              <w:bottom w:val="single" w:sz="8" w:space="0" w:color="auto"/>
              <w:right w:val="single" w:sz="8" w:space="0" w:color="auto"/>
            </w:tcBorders>
            <w:vAlign w:val="center"/>
            <w:hideMark/>
          </w:tcPr>
          <w:p w14:paraId="29EB53D9" w14:textId="1162113C" w:rsidR="008A47C4" w:rsidRPr="00CA69D2" w:rsidRDefault="008A47C4" w:rsidP="008A47C4">
            <w:pPr>
              <w:spacing w:after="0" w:line="240" w:lineRule="auto"/>
              <w:jc w:val="right"/>
              <w:rPr>
                <w:rFonts w:ascii="Calibri" w:eastAsia="Times New Roman" w:hAnsi="Calibri" w:cs="Calibri"/>
                <w:b/>
                <w:bCs/>
                <w:sz w:val="16"/>
                <w:szCs w:val="16"/>
              </w:rPr>
            </w:pPr>
            <w:r>
              <w:rPr>
                <w:rFonts w:ascii="Calibri" w:hAnsi="Calibri" w:cs="Calibri"/>
                <w:b/>
                <w:bCs/>
                <w:sz w:val="18"/>
                <w:szCs w:val="18"/>
              </w:rPr>
              <w:t>270.309,70</w:t>
            </w:r>
          </w:p>
        </w:tc>
        <w:tc>
          <w:tcPr>
            <w:tcW w:w="1440" w:type="dxa"/>
            <w:tcBorders>
              <w:top w:val="single" w:sz="8" w:space="0" w:color="auto"/>
              <w:left w:val="nil"/>
              <w:bottom w:val="single" w:sz="8" w:space="0" w:color="auto"/>
              <w:right w:val="single" w:sz="8" w:space="0" w:color="auto"/>
            </w:tcBorders>
            <w:vAlign w:val="center"/>
            <w:hideMark/>
          </w:tcPr>
          <w:p w14:paraId="43FC77E2" w14:textId="68D03250" w:rsidR="008A47C4" w:rsidRPr="00CA69D2" w:rsidRDefault="008A47C4" w:rsidP="008A47C4">
            <w:pPr>
              <w:spacing w:after="0" w:line="240" w:lineRule="auto"/>
              <w:jc w:val="right"/>
              <w:rPr>
                <w:rFonts w:ascii="Calibri" w:eastAsia="Times New Roman" w:hAnsi="Calibri" w:cs="Calibri"/>
                <w:b/>
                <w:bCs/>
                <w:sz w:val="16"/>
                <w:szCs w:val="16"/>
              </w:rPr>
            </w:pPr>
            <w:r>
              <w:rPr>
                <w:rFonts w:ascii="Calibri" w:hAnsi="Calibri" w:cs="Calibri"/>
                <w:b/>
                <w:bCs/>
                <w:sz w:val="18"/>
                <w:szCs w:val="18"/>
              </w:rPr>
              <w:t>54.206,39</w:t>
            </w:r>
          </w:p>
        </w:tc>
        <w:tc>
          <w:tcPr>
            <w:tcW w:w="1440" w:type="dxa"/>
            <w:tcBorders>
              <w:top w:val="single" w:sz="8" w:space="0" w:color="auto"/>
              <w:left w:val="nil"/>
              <w:bottom w:val="single" w:sz="8" w:space="0" w:color="auto"/>
              <w:right w:val="single" w:sz="8" w:space="0" w:color="auto"/>
            </w:tcBorders>
            <w:vAlign w:val="center"/>
            <w:hideMark/>
          </w:tcPr>
          <w:p w14:paraId="479000F4" w14:textId="71E46961" w:rsidR="008A47C4" w:rsidRPr="00CA69D2" w:rsidRDefault="008A47C4" w:rsidP="008A47C4">
            <w:pPr>
              <w:spacing w:after="0" w:line="240" w:lineRule="auto"/>
              <w:jc w:val="right"/>
              <w:rPr>
                <w:rFonts w:ascii="Calibri" w:eastAsia="Times New Roman" w:hAnsi="Calibri" w:cs="Calibri"/>
                <w:b/>
                <w:bCs/>
                <w:sz w:val="16"/>
                <w:szCs w:val="16"/>
              </w:rPr>
            </w:pPr>
            <w:r>
              <w:rPr>
                <w:rFonts w:ascii="Calibri" w:hAnsi="Calibri" w:cs="Calibri"/>
                <w:b/>
                <w:bCs/>
                <w:sz w:val="18"/>
                <w:szCs w:val="18"/>
              </w:rPr>
              <w:t>216.103,31</w:t>
            </w:r>
          </w:p>
        </w:tc>
      </w:tr>
      <w:tr w:rsidR="008A47C4" w:rsidRPr="00CA69D2" w14:paraId="4E8CE983" w14:textId="77777777" w:rsidTr="008A47C4">
        <w:trPr>
          <w:trHeight w:val="203"/>
          <w:jc w:val="center"/>
        </w:trPr>
        <w:tc>
          <w:tcPr>
            <w:tcW w:w="861" w:type="dxa"/>
            <w:tcBorders>
              <w:top w:val="nil"/>
              <w:left w:val="single" w:sz="8" w:space="0" w:color="auto"/>
              <w:bottom w:val="nil"/>
              <w:right w:val="single" w:sz="8" w:space="0" w:color="auto"/>
            </w:tcBorders>
            <w:vAlign w:val="center"/>
            <w:hideMark/>
          </w:tcPr>
          <w:p w14:paraId="507492A6" w14:textId="6E58C1EB" w:rsidR="008A47C4" w:rsidRPr="00CA69D2" w:rsidRDefault="008A47C4" w:rsidP="008A47C4">
            <w:pPr>
              <w:spacing w:after="0" w:line="240" w:lineRule="auto"/>
              <w:jc w:val="center"/>
              <w:rPr>
                <w:rFonts w:ascii="Arial" w:eastAsia="Times New Roman" w:hAnsi="Arial" w:cs="Arial"/>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232AD83A" w14:textId="49966442" w:rsidR="008A47C4" w:rsidRPr="00CA69D2" w:rsidRDefault="008A47C4" w:rsidP="008A47C4">
            <w:pPr>
              <w:spacing w:after="0" w:line="240" w:lineRule="auto"/>
              <w:jc w:val="center"/>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3DB5EE74" w14:textId="61635CDA" w:rsidR="008A47C4" w:rsidRPr="00CA69D2" w:rsidRDefault="008A47C4" w:rsidP="008A47C4">
            <w:pPr>
              <w:spacing w:after="0" w:line="240" w:lineRule="auto"/>
              <w:jc w:val="center"/>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0789B9A0" w14:textId="407BCD09" w:rsidR="008A47C4" w:rsidRPr="00CA69D2" w:rsidRDefault="008A47C4" w:rsidP="008A47C4">
            <w:pPr>
              <w:spacing w:after="0" w:line="240" w:lineRule="auto"/>
              <w:jc w:val="center"/>
              <w:rPr>
                <w:rFonts w:ascii="Arial" w:eastAsia="Times New Roman" w:hAnsi="Arial" w:cs="Arial"/>
                <w:sz w:val="14"/>
                <w:szCs w:val="14"/>
              </w:rPr>
            </w:pPr>
            <w:r>
              <w:rPr>
                <w:rFonts w:ascii="Arial" w:hAnsi="Arial" w:cs="Arial"/>
                <w:sz w:val="16"/>
                <w:szCs w:val="16"/>
              </w:rPr>
              <w:t>K209201</w:t>
            </w:r>
          </w:p>
        </w:tc>
        <w:tc>
          <w:tcPr>
            <w:tcW w:w="3727" w:type="dxa"/>
            <w:tcBorders>
              <w:top w:val="nil"/>
              <w:left w:val="nil"/>
              <w:bottom w:val="single" w:sz="4" w:space="0" w:color="auto"/>
              <w:right w:val="single" w:sz="4" w:space="0" w:color="auto"/>
            </w:tcBorders>
            <w:shd w:val="clear" w:color="000000" w:fill="FFFFFF"/>
            <w:vAlign w:val="center"/>
            <w:hideMark/>
          </w:tcPr>
          <w:p w14:paraId="49A2EEAA" w14:textId="022B0472" w:rsidR="008A47C4" w:rsidRPr="00CA69D2" w:rsidRDefault="008A47C4" w:rsidP="008A47C4">
            <w:pPr>
              <w:spacing w:after="0" w:line="240" w:lineRule="auto"/>
              <w:rPr>
                <w:rFonts w:ascii="Arial" w:eastAsia="Times New Roman" w:hAnsi="Arial" w:cs="Arial"/>
                <w:sz w:val="14"/>
                <w:szCs w:val="14"/>
              </w:rPr>
            </w:pPr>
            <w:r>
              <w:rPr>
                <w:rFonts w:ascii="Arial" w:hAnsi="Arial" w:cs="Arial"/>
                <w:sz w:val="16"/>
                <w:szCs w:val="16"/>
              </w:rPr>
              <w:t>Javne prometne površine na kojima nije dopušten promet motor.vozilom 2;trg,šetnica,plaža i sl.</w:t>
            </w:r>
          </w:p>
        </w:tc>
        <w:tc>
          <w:tcPr>
            <w:tcW w:w="1180" w:type="dxa"/>
            <w:tcBorders>
              <w:top w:val="nil"/>
              <w:left w:val="single" w:sz="4" w:space="0" w:color="auto"/>
              <w:bottom w:val="single" w:sz="4" w:space="0" w:color="auto"/>
              <w:right w:val="single" w:sz="4" w:space="0" w:color="auto"/>
            </w:tcBorders>
            <w:vAlign w:val="center"/>
            <w:hideMark/>
          </w:tcPr>
          <w:p w14:paraId="0AAACACD" w14:textId="54A6CEC4" w:rsidR="008A47C4" w:rsidRPr="00CA69D2" w:rsidRDefault="008A47C4" w:rsidP="008A47C4">
            <w:pPr>
              <w:spacing w:after="0" w:line="240" w:lineRule="auto"/>
              <w:jc w:val="right"/>
              <w:rPr>
                <w:rFonts w:ascii="Arial" w:eastAsia="Times New Roman" w:hAnsi="Arial" w:cs="Arial"/>
                <w:sz w:val="14"/>
                <w:szCs w:val="14"/>
              </w:rPr>
            </w:pPr>
            <w:r>
              <w:rPr>
                <w:rFonts w:ascii="Calibri" w:hAnsi="Calibri" w:cs="Calibri"/>
                <w:sz w:val="18"/>
                <w:szCs w:val="18"/>
              </w:rPr>
              <w:t>17.412,50</w:t>
            </w:r>
          </w:p>
        </w:tc>
        <w:tc>
          <w:tcPr>
            <w:tcW w:w="1760" w:type="dxa"/>
            <w:tcBorders>
              <w:top w:val="nil"/>
              <w:left w:val="nil"/>
              <w:bottom w:val="single" w:sz="4" w:space="0" w:color="auto"/>
              <w:right w:val="single" w:sz="8" w:space="0" w:color="auto"/>
            </w:tcBorders>
            <w:vAlign w:val="center"/>
            <w:hideMark/>
          </w:tcPr>
          <w:p w14:paraId="5532C22F" w14:textId="0E1F5CB4" w:rsidR="008A47C4" w:rsidRPr="00CA69D2" w:rsidRDefault="008A47C4" w:rsidP="008A47C4">
            <w:pPr>
              <w:spacing w:after="0" w:line="240" w:lineRule="auto"/>
              <w:jc w:val="right"/>
              <w:rPr>
                <w:rFonts w:ascii="Calibri" w:eastAsia="Times New Roman" w:hAnsi="Calibri" w:cs="Calibri"/>
                <w:sz w:val="14"/>
                <w:szCs w:val="14"/>
              </w:rPr>
            </w:pPr>
            <w:r>
              <w:rPr>
                <w:rFonts w:ascii="Calibri" w:hAnsi="Calibri" w:cs="Calibri"/>
                <w:sz w:val="18"/>
                <w:szCs w:val="18"/>
              </w:rPr>
              <w:t>3.312,50</w:t>
            </w:r>
          </w:p>
        </w:tc>
        <w:tc>
          <w:tcPr>
            <w:tcW w:w="1440" w:type="dxa"/>
            <w:tcBorders>
              <w:top w:val="nil"/>
              <w:left w:val="single" w:sz="4" w:space="0" w:color="auto"/>
              <w:bottom w:val="single" w:sz="4" w:space="0" w:color="auto"/>
              <w:right w:val="single" w:sz="8" w:space="0" w:color="auto"/>
            </w:tcBorders>
            <w:vAlign w:val="center"/>
            <w:hideMark/>
          </w:tcPr>
          <w:p w14:paraId="17506942" w14:textId="3FE3F4B7" w:rsidR="008A47C4" w:rsidRPr="00CA69D2" w:rsidRDefault="008A47C4" w:rsidP="008A47C4">
            <w:pPr>
              <w:spacing w:after="0" w:line="240" w:lineRule="auto"/>
              <w:jc w:val="right"/>
              <w:rPr>
                <w:rFonts w:ascii="Calibri" w:eastAsia="Times New Roman" w:hAnsi="Calibri" w:cs="Calibri"/>
                <w:sz w:val="14"/>
                <w:szCs w:val="14"/>
              </w:rPr>
            </w:pPr>
            <w:r>
              <w:rPr>
                <w:rFonts w:ascii="Calibri" w:hAnsi="Calibri" w:cs="Calibri"/>
                <w:sz w:val="18"/>
                <w:szCs w:val="18"/>
              </w:rPr>
              <w:t>2.250,00</w:t>
            </w:r>
          </w:p>
        </w:tc>
        <w:tc>
          <w:tcPr>
            <w:tcW w:w="1440" w:type="dxa"/>
            <w:tcBorders>
              <w:top w:val="nil"/>
              <w:left w:val="single" w:sz="4" w:space="0" w:color="auto"/>
              <w:bottom w:val="single" w:sz="4" w:space="0" w:color="auto"/>
              <w:right w:val="single" w:sz="8" w:space="0" w:color="auto"/>
            </w:tcBorders>
            <w:vAlign w:val="center"/>
            <w:hideMark/>
          </w:tcPr>
          <w:p w14:paraId="02E2B6D6" w14:textId="729F3015" w:rsidR="008A47C4" w:rsidRPr="00CA69D2" w:rsidRDefault="008A47C4" w:rsidP="008A47C4">
            <w:pPr>
              <w:spacing w:after="0" w:line="240" w:lineRule="auto"/>
              <w:jc w:val="right"/>
              <w:rPr>
                <w:rFonts w:ascii="Calibri" w:eastAsia="Times New Roman" w:hAnsi="Calibri" w:cs="Calibri"/>
                <w:sz w:val="14"/>
                <w:szCs w:val="14"/>
              </w:rPr>
            </w:pPr>
            <w:r>
              <w:rPr>
                <w:rFonts w:ascii="Calibri" w:hAnsi="Calibri" w:cs="Calibri"/>
                <w:sz w:val="18"/>
                <w:szCs w:val="18"/>
              </w:rPr>
              <w:t>1.062,50</w:t>
            </w:r>
          </w:p>
        </w:tc>
      </w:tr>
      <w:tr w:rsidR="008A47C4" w:rsidRPr="00CA69D2" w14:paraId="6D009378" w14:textId="77777777" w:rsidTr="008A47C4">
        <w:trPr>
          <w:trHeight w:val="315"/>
          <w:jc w:val="center"/>
        </w:trPr>
        <w:tc>
          <w:tcPr>
            <w:tcW w:w="861" w:type="dxa"/>
            <w:tcBorders>
              <w:top w:val="nil"/>
              <w:left w:val="single" w:sz="8" w:space="0" w:color="auto"/>
              <w:bottom w:val="nil"/>
              <w:right w:val="single" w:sz="8" w:space="0" w:color="auto"/>
            </w:tcBorders>
            <w:vAlign w:val="center"/>
            <w:hideMark/>
          </w:tcPr>
          <w:p w14:paraId="0EE72228" w14:textId="27D5C214"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541621A9" w14:textId="1F48E249" w:rsidR="008A47C4" w:rsidRPr="00CA69D2" w:rsidRDefault="008A47C4" w:rsidP="008A47C4">
            <w:pPr>
              <w:spacing w:after="0" w:line="240" w:lineRule="auto"/>
              <w:rPr>
                <w:rFonts w:ascii="Arial" w:eastAsia="Times New Roman" w:hAnsi="Arial" w:cs="Arial"/>
                <w:b/>
                <w:bCs/>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70163505" w14:textId="54938DE0" w:rsidR="008A47C4" w:rsidRPr="00CA69D2" w:rsidRDefault="008A47C4" w:rsidP="008A47C4">
            <w:pPr>
              <w:spacing w:after="0" w:line="240" w:lineRule="auto"/>
              <w:rPr>
                <w:rFonts w:ascii="Arial" w:eastAsia="Times New Roman" w:hAnsi="Arial" w:cs="Arial"/>
                <w:b/>
                <w:bCs/>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1EFCFED9" w14:textId="72FD4692" w:rsidR="008A47C4" w:rsidRPr="00CA69D2" w:rsidRDefault="008A47C4" w:rsidP="008A47C4">
            <w:pPr>
              <w:spacing w:after="0" w:line="240" w:lineRule="auto"/>
              <w:rPr>
                <w:rFonts w:ascii="Arial" w:eastAsia="Times New Roman" w:hAnsi="Arial" w:cs="Arial"/>
                <w:b/>
                <w:bCs/>
                <w:sz w:val="14"/>
                <w:szCs w:val="14"/>
              </w:rPr>
            </w:pPr>
            <w:r>
              <w:rPr>
                <w:rFonts w:ascii="Arial" w:hAnsi="Arial" w:cs="Arial"/>
                <w:sz w:val="16"/>
                <w:szCs w:val="16"/>
              </w:rPr>
              <w:t>K209202</w:t>
            </w:r>
          </w:p>
        </w:tc>
        <w:tc>
          <w:tcPr>
            <w:tcW w:w="3727" w:type="dxa"/>
            <w:tcBorders>
              <w:top w:val="nil"/>
              <w:left w:val="nil"/>
              <w:bottom w:val="single" w:sz="4" w:space="0" w:color="auto"/>
              <w:right w:val="single" w:sz="4" w:space="0" w:color="auto"/>
            </w:tcBorders>
            <w:shd w:val="clear" w:color="000000" w:fill="FFFFFF"/>
            <w:vAlign w:val="center"/>
            <w:hideMark/>
          </w:tcPr>
          <w:p w14:paraId="6AC99263" w14:textId="241C2A6A" w:rsidR="008A47C4" w:rsidRPr="00CA69D2" w:rsidRDefault="008A47C4" w:rsidP="008A47C4">
            <w:pPr>
              <w:spacing w:after="0" w:line="240" w:lineRule="auto"/>
              <w:rPr>
                <w:rFonts w:ascii="Arial" w:eastAsia="Times New Roman" w:hAnsi="Arial" w:cs="Arial"/>
                <w:b/>
                <w:bCs/>
                <w:sz w:val="16"/>
                <w:szCs w:val="16"/>
              </w:rPr>
            </w:pPr>
            <w:r>
              <w:rPr>
                <w:rFonts w:ascii="Arial" w:hAnsi="Arial" w:cs="Arial"/>
                <w:sz w:val="16"/>
                <w:szCs w:val="16"/>
              </w:rPr>
              <w:t>Projektiranje, rekonstrukcija i izgradnja nerazvrstanih cesta, putova</w:t>
            </w:r>
          </w:p>
        </w:tc>
        <w:tc>
          <w:tcPr>
            <w:tcW w:w="1180" w:type="dxa"/>
            <w:tcBorders>
              <w:top w:val="nil"/>
              <w:left w:val="single" w:sz="4" w:space="0" w:color="auto"/>
              <w:bottom w:val="single" w:sz="4" w:space="0" w:color="auto"/>
              <w:right w:val="single" w:sz="4" w:space="0" w:color="auto"/>
            </w:tcBorders>
            <w:vAlign w:val="center"/>
            <w:hideMark/>
          </w:tcPr>
          <w:p w14:paraId="5201CBB6" w14:textId="2DE8AF2F" w:rsidR="008A47C4" w:rsidRPr="00CA69D2" w:rsidRDefault="008A47C4" w:rsidP="008A47C4">
            <w:pPr>
              <w:spacing w:after="0" w:line="240" w:lineRule="auto"/>
              <w:jc w:val="right"/>
              <w:rPr>
                <w:rFonts w:ascii="Arial" w:eastAsia="Times New Roman" w:hAnsi="Arial" w:cs="Arial"/>
                <w:b/>
                <w:bCs/>
                <w:sz w:val="16"/>
                <w:szCs w:val="16"/>
              </w:rPr>
            </w:pPr>
            <w:r>
              <w:rPr>
                <w:rFonts w:ascii="Calibri" w:hAnsi="Calibri" w:cs="Calibri"/>
                <w:sz w:val="18"/>
                <w:szCs w:val="18"/>
              </w:rPr>
              <w:t>17.375,00</w:t>
            </w:r>
          </w:p>
        </w:tc>
        <w:tc>
          <w:tcPr>
            <w:tcW w:w="1760" w:type="dxa"/>
            <w:tcBorders>
              <w:top w:val="nil"/>
              <w:left w:val="nil"/>
              <w:bottom w:val="single" w:sz="4" w:space="0" w:color="auto"/>
              <w:right w:val="single" w:sz="8" w:space="0" w:color="auto"/>
            </w:tcBorders>
            <w:vAlign w:val="center"/>
            <w:hideMark/>
          </w:tcPr>
          <w:p w14:paraId="29F0E6C0" w14:textId="4BE3D525" w:rsidR="008A47C4" w:rsidRPr="00CA69D2" w:rsidRDefault="008A47C4" w:rsidP="008A47C4">
            <w:pPr>
              <w:spacing w:after="0" w:line="240" w:lineRule="auto"/>
              <w:jc w:val="right"/>
              <w:rPr>
                <w:rFonts w:ascii="Arial" w:eastAsia="Times New Roman" w:hAnsi="Arial" w:cs="Arial"/>
                <w:b/>
                <w:bCs/>
                <w:sz w:val="16"/>
                <w:szCs w:val="16"/>
              </w:rPr>
            </w:pPr>
            <w:r>
              <w:rPr>
                <w:rFonts w:ascii="Calibri" w:hAnsi="Calibri" w:cs="Calibri"/>
                <w:sz w:val="18"/>
                <w:szCs w:val="18"/>
              </w:rPr>
              <w:t>17.375,00</w:t>
            </w:r>
          </w:p>
        </w:tc>
        <w:tc>
          <w:tcPr>
            <w:tcW w:w="1440" w:type="dxa"/>
            <w:tcBorders>
              <w:top w:val="nil"/>
              <w:left w:val="single" w:sz="4" w:space="0" w:color="auto"/>
              <w:bottom w:val="single" w:sz="4" w:space="0" w:color="auto"/>
              <w:right w:val="single" w:sz="8" w:space="0" w:color="auto"/>
            </w:tcBorders>
            <w:vAlign w:val="center"/>
            <w:hideMark/>
          </w:tcPr>
          <w:p w14:paraId="19D1213A" w14:textId="6052108D" w:rsidR="008A47C4" w:rsidRPr="00CA69D2" w:rsidRDefault="008A47C4" w:rsidP="008A47C4">
            <w:pPr>
              <w:spacing w:after="0" w:line="240" w:lineRule="auto"/>
              <w:jc w:val="right"/>
              <w:rPr>
                <w:rFonts w:ascii="Arial" w:eastAsia="Times New Roman" w:hAnsi="Arial" w:cs="Arial"/>
                <w:b/>
                <w:bCs/>
                <w:sz w:val="16"/>
                <w:szCs w:val="16"/>
              </w:rPr>
            </w:pPr>
            <w:r>
              <w:rPr>
                <w:rFonts w:ascii="Calibri" w:hAnsi="Calibri" w:cs="Calibri"/>
                <w:sz w:val="18"/>
                <w:szCs w:val="18"/>
              </w:rPr>
              <w:t> </w:t>
            </w:r>
          </w:p>
        </w:tc>
        <w:tc>
          <w:tcPr>
            <w:tcW w:w="1440" w:type="dxa"/>
            <w:tcBorders>
              <w:top w:val="nil"/>
              <w:left w:val="single" w:sz="4" w:space="0" w:color="auto"/>
              <w:bottom w:val="single" w:sz="4" w:space="0" w:color="auto"/>
              <w:right w:val="single" w:sz="8" w:space="0" w:color="auto"/>
            </w:tcBorders>
            <w:vAlign w:val="center"/>
            <w:hideMark/>
          </w:tcPr>
          <w:p w14:paraId="06F480DF" w14:textId="2B3AD035" w:rsidR="008A47C4" w:rsidRPr="00CA69D2" w:rsidRDefault="008A47C4" w:rsidP="008A47C4">
            <w:pPr>
              <w:spacing w:after="0" w:line="240" w:lineRule="auto"/>
              <w:jc w:val="right"/>
              <w:rPr>
                <w:rFonts w:ascii="Arial" w:eastAsia="Times New Roman" w:hAnsi="Arial" w:cs="Arial"/>
                <w:b/>
                <w:bCs/>
                <w:sz w:val="16"/>
                <w:szCs w:val="16"/>
              </w:rPr>
            </w:pPr>
            <w:r>
              <w:rPr>
                <w:rFonts w:ascii="Calibri" w:hAnsi="Calibri" w:cs="Calibri"/>
                <w:sz w:val="18"/>
                <w:szCs w:val="18"/>
              </w:rPr>
              <w:t>17.375,00</w:t>
            </w:r>
          </w:p>
        </w:tc>
      </w:tr>
      <w:tr w:rsidR="008A47C4" w:rsidRPr="00CA69D2" w14:paraId="33709CDF" w14:textId="77777777" w:rsidTr="008A47C4">
        <w:trPr>
          <w:trHeight w:val="465"/>
          <w:jc w:val="center"/>
        </w:trPr>
        <w:tc>
          <w:tcPr>
            <w:tcW w:w="861" w:type="dxa"/>
            <w:tcBorders>
              <w:top w:val="nil"/>
              <w:left w:val="single" w:sz="8" w:space="0" w:color="auto"/>
              <w:bottom w:val="nil"/>
              <w:right w:val="single" w:sz="8" w:space="0" w:color="auto"/>
            </w:tcBorders>
            <w:vAlign w:val="center"/>
            <w:hideMark/>
          </w:tcPr>
          <w:p w14:paraId="4A266618" w14:textId="0FD76EEF"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3E27782B" w14:textId="40520F20"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0B39CE1C" w14:textId="0BEE9C2D"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43A4BC66" w14:textId="536FB6F5" w:rsidR="008A47C4" w:rsidRPr="00CA69D2" w:rsidRDefault="008A47C4" w:rsidP="008A47C4">
            <w:pPr>
              <w:spacing w:after="0" w:line="240" w:lineRule="auto"/>
              <w:rPr>
                <w:rFonts w:ascii="Arial" w:eastAsia="Times New Roman" w:hAnsi="Arial" w:cs="Arial"/>
                <w:sz w:val="14"/>
                <w:szCs w:val="14"/>
              </w:rPr>
            </w:pPr>
            <w:r>
              <w:rPr>
                <w:rFonts w:ascii="Arial" w:hAnsi="Arial" w:cs="Arial"/>
                <w:sz w:val="16"/>
                <w:szCs w:val="16"/>
              </w:rPr>
              <w:t>K209203</w:t>
            </w:r>
          </w:p>
        </w:tc>
        <w:tc>
          <w:tcPr>
            <w:tcW w:w="3727" w:type="dxa"/>
            <w:tcBorders>
              <w:top w:val="nil"/>
              <w:left w:val="nil"/>
              <w:bottom w:val="single" w:sz="4" w:space="0" w:color="auto"/>
              <w:right w:val="single" w:sz="4" w:space="0" w:color="auto"/>
            </w:tcBorders>
            <w:shd w:val="clear" w:color="000000" w:fill="FFFFFF"/>
            <w:vAlign w:val="center"/>
            <w:hideMark/>
          </w:tcPr>
          <w:p w14:paraId="21DC5FAF" w14:textId="1D746836"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Rekonstrukcija i izgradnja javne rasvjete 7</w:t>
            </w:r>
          </w:p>
        </w:tc>
        <w:tc>
          <w:tcPr>
            <w:tcW w:w="1180" w:type="dxa"/>
            <w:tcBorders>
              <w:top w:val="nil"/>
              <w:left w:val="single" w:sz="4" w:space="0" w:color="auto"/>
              <w:bottom w:val="single" w:sz="4" w:space="0" w:color="auto"/>
              <w:right w:val="single" w:sz="4" w:space="0" w:color="auto"/>
            </w:tcBorders>
            <w:noWrap/>
            <w:vAlign w:val="center"/>
            <w:hideMark/>
          </w:tcPr>
          <w:p w14:paraId="1E4F931E" w14:textId="35042251"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sz w:val="18"/>
                <w:szCs w:val="18"/>
              </w:rPr>
              <w:t>90.069,04</w:t>
            </w:r>
          </w:p>
        </w:tc>
        <w:tc>
          <w:tcPr>
            <w:tcW w:w="1760" w:type="dxa"/>
            <w:tcBorders>
              <w:top w:val="nil"/>
              <w:left w:val="nil"/>
              <w:bottom w:val="single" w:sz="4" w:space="0" w:color="auto"/>
              <w:right w:val="single" w:sz="8" w:space="0" w:color="auto"/>
            </w:tcBorders>
            <w:noWrap/>
            <w:vAlign w:val="center"/>
            <w:hideMark/>
          </w:tcPr>
          <w:p w14:paraId="6DCBB7DE" w14:textId="336AE4E1"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sz w:val="18"/>
                <w:szCs w:val="18"/>
              </w:rPr>
              <w:t>90.069,04</w:t>
            </w:r>
          </w:p>
        </w:tc>
        <w:tc>
          <w:tcPr>
            <w:tcW w:w="1440" w:type="dxa"/>
            <w:tcBorders>
              <w:top w:val="nil"/>
              <w:left w:val="single" w:sz="4" w:space="0" w:color="auto"/>
              <w:bottom w:val="single" w:sz="4" w:space="0" w:color="auto"/>
              <w:right w:val="single" w:sz="8" w:space="0" w:color="auto"/>
            </w:tcBorders>
            <w:noWrap/>
            <w:vAlign w:val="center"/>
            <w:hideMark/>
          </w:tcPr>
          <w:p w14:paraId="3B59B4E9" w14:textId="4556E42B"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sz w:val="18"/>
                <w:szCs w:val="18"/>
              </w:rPr>
              <w:t>21.375,91</w:t>
            </w:r>
          </w:p>
        </w:tc>
        <w:tc>
          <w:tcPr>
            <w:tcW w:w="1440" w:type="dxa"/>
            <w:tcBorders>
              <w:top w:val="nil"/>
              <w:left w:val="single" w:sz="4" w:space="0" w:color="auto"/>
              <w:bottom w:val="single" w:sz="4" w:space="0" w:color="auto"/>
              <w:right w:val="single" w:sz="8" w:space="0" w:color="auto"/>
            </w:tcBorders>
            <w:noWrap/>
            <w:vAlign w:val="center"/>
            <w:hideMark/>
          </w:tcPr>
          <w:p w14:paraId="7B7E32D2" w14:textId="01908663"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sz w:val="18"/>
                <w:szCs w:val="18"/>
              </w:rPr>
              <w:t>68.693,13</w:t>
            </w:r>
          </w:p>
        </w:tc>
      </w:tr>
      <w:tr w:rsidR="008A47C4" w:rsidRPr="00CA69D2" w14:paraId="11D4E2FC" w14:textId="77777777" w:rsidTr="008A47C4">
        <w:trPr>
          <w:trHeight w:val="75"/>
          <w:jc w:val="center"/>
        </w:trPr>
        <w:tc>
          <w:tcPr>
            <w:tcW w:w="861" w:type="dxa"/>
            <w:tcBorders>
              <w:top w:val="nil"/>
              <w:left w:val="single" w:sz="8" w:space="0" w:color="auto"/>
              <w:bottom w:val="nil"/>
              <w:right w:val="single" w:sz="8" w:space="0" w:color="auto"/>
            </w:tcBorders>
            <w:vAlign w:val="center"/>
            <w:hideMark/>
          </w:tcPr>
          <w:p w14:paraId="07939DBD" w14:textId="73E12471"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45170A31" w14:textId="75833990"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1FEECBED" w14:textId="3F879ED9"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2711F993" w14:textId="442705BD" w:rsidR="008A47C4" w:rsidRPr="00CA69D2" w:rsidRDefault="008A47C4" w:rsidP="008A47C4">
            <w:pPr>
              <w:spacing w:after="0" w:line="240" w:lineRule="auto"/>
              <w:rPr>
                <w:rFonts w:ascii="Arial" w:eastAsia="Times New Roman" w:hAnsi="Arial" w:cs="Arial"/>
                <w:sz w:val="14"/>
                <w:szCs w:val="14"/>
              </w:rPr>
            </w:pPr>
            <w:r>
              <w:rPr>
                <w:rFonts w:ascii="Arial" w:hAnsi="Arial" w:cs="Arial"/>
                <w:sz w:val="16"/>
                <w:szCs w:val="16"/>
              </w:rPr>
              <w:t>K209204</w:t>
            </w:r>
          </w:p>
        </w:tc>
        <w:tc>
          <w:tcPr>
            <w:tcW w:w="3727" w:type="dxa"/>
            <w:tcBorders>
              <w:top w:val="nil"/>
              <w:left w:val="nil"/>
              <w:bottom w:val="single" w:sz="4" w:space="0" w:color="auto"/>
              <w:right w:val="single" w:sz="4" w:space="0" w:color="auto"/>
            </w:tcBorders>
            <w:shd w:val="clear" w:color="000000" w:fill="FFFFFF"/>
            <w:vAlign w:val="center"/>
            <w:hideMark/>
          </w:tcPr>
          <w:p w14:paraId="77A031E6" w14:textId="21589007"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Rekonstrukcija javne rasvjete - Povećanje učinkovitosti sustava javne rasvjete</w:t>
            </w:r>
          </w:p>
        </w:tc>
        <w:tc>
          <w:tcPr>
            <w:tcW w:w="1180" w:type="dxa"/>
            <w:tcBorders>
              <w:top w:val="nil"/>
              <w:left w:val="single" w:sz="4" w:space="0" w:color="auto"/>
              <w:bottom w:val="single" w:sz="4" w:space="0" w:color="auto"/>
              <w:right w:val="single" w:sz="4" w:space="0" w:color="auto"/>
            </w:tcBorders>
            <w:noWrap/>
            <w:vAlign w:val="center"/>
            <w:hideMark/>
          </w:tcPr>
          <w:p w14:paraId="57A738EB" w14:textId="7E50945A"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sz w:val="18"/>
                <w:szCs w:val="18"/>
              </w:rPr>
              <w:t>673,50</w:t>
            </w:r>
          </w:p>
        </w:tc>
        <w:tc>
          <w:tcPr>
            <w:tcW w:w="1760" w:type="dxa"/>
            <w:tcBorders>
              <w:top w:val="nil"/>
              <w:left w:val="nil"/>
              <w:bottom w:val="single" w:sz="4" w:space="0" w:color="auto"/>
              <w:right w:val="single" w:sz="8" w:space="0" w:color="auto"/>
            </w:tcBorders>
            <w:noWrap/>
            <w:vAlign w:val="center"/>
            <w:hideMark/>
          </w:tcPr>
          <w:p w14:paraId="453F6CA8" w14:textId="75DBCA9C"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sz w:val="18"/>
                <w:szCs w:val="18"/>
              </w:rPr>
              <w:t>673,50</w:t>
            </w:r>
          </w:p>
        </w:tc>
        <w:tc>
          <w:tcPr>
            <w:tcW w:w="1440" w:type="dxa"/>
            <w:tcBorders>
              <w:top w:val="nil"/>
              <w:left w:val="single" w:sz="4" w:space="0" w:color="auto"/>
              <w:bottom w:val="single" w:sz="4" w:space="0" w:color="auto"/>
              <w:right w:val="single" w:sz="8" w:space="0" w:color="auto"/>
            </w:tcBorders>
            <w:noWrap/>
            <w:vAlign w:val="center"/>
            <w:hideMark/>
          </w:tcPr>
          <w:p w14:paraId="2D384857" w14:textId="611F5FB5"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sz w:val="18"/>
                <w:szCs w:val="18"/>
              </w:rPr>
              <w:t>673,50</w:t>
            </w:r>
          </w:p>
        </w:tc>
        <w:tc>
          <w:tcPr>
            <w:tcW w:w="1440" w:type="dxa"/>
            <w:tcBorders>
              <w:top w:val="nil"/>
              <w:left w:val="single" w:sz="4" w:space="0" w:color="auto"/>
              <w:bottom w:val="single" w:sz="4" w:space="0" w:color="auto"/>
              <w:right w:val="single" w:sz="8" w:space="0" w:color="auto"/>
            </w:tcBorders>
            <w:noWrap/>
            <w:vAlign w:val="center"/>
            <w:hideMark/>
          </w:tcPr>
          <w:p w14:paraId="633C0D3E" w14:textId="35382FD0" w:rsidR="008A47C4" w:rsidRPr="00CA69D2" w:rsidRDefault="008A47C4" w:rsidP="008A47C4">
            <w:pPr>
              <w:spacing w:after="0" w:line="240" w:lineRule="auto"/>
              <w:jc w:val="right"/>
              <w:rPr>
                <w:rFonts w:ascii="Calibri" w:eastAsia="Times New Roman" w:hAnsi="Calibri" w:cs="Calibri"/>
                <w:b/>
                <w:bCs/>
                <w:sz w:val="18"/>
                <w:szCs w:val="18"/>
              </w:rPr>
            </w:pPr>
            <w:r>
              <w:rPr>
                <w:rFonts w:ascii="Calibri" w:hAnsi="Calibri" w:cs="Calibri"/>
                <w:sz w:val="18"/>
                <w:szCs w:val="18"/>
              </w:rPr>
              <w:t> </w:t>
            </w:r>
          </w:p>
        </w:tc>
      </w:tr>
      <w:tr w:rsidR="008A47C4" w:rsidRPr="00CA69D2" w14:paraId="21547072" w14:textId="77777777" w:rsidTr="008A47C4">
        <w:trPr>
          <w:trHeight w:val="465"/>
          <w:jc w:val="center"/>
        </w:trPr>
        <w:tc>
          <w:tcPr>
            <w:tcW w:w="861" w:type="dxa"/>
            <w:tcBorders>
              <w:top w:val="nil"/>
              <w:left w:val="single" w:sz="8" w:space="0" w:color="auto"/>
              <w:bottom w:val="nil"/>
              <w:right w:val="single" w:sz="8" w:space="0" w:color="auto"/>
            </w:tcBorders>
            <w:vAlign w:val="center"/>
            <w:hideMark/>
          </w:tcPr>
          <w:p w14:paraId="2F14A0C2" w14:textId="54A87B9E"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456809B1" w14:textId="0756877A"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4348B5A0"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576C8B4C" w14:textId="6D1B6857" w:rsidR="008A47C4" w:rsidRPr="00CA69D2" w:rsidRDefault="008A47C4" w:rsidP="008A47C4">
            <w:pPr>
              <w:spacing w:after="0" w:line="240" w:lineRule="auto"/>
              <w:rPr>
                <w:rFonts w:ascii="Arial" w:eastAsia="Times New Roman" w:hAnsi="Arial" w:cs="Arial"/>
                <w:sz w:val="14"/>
                <w:szCs w:val="14"/>
              </w:rPr>
            </w:pPr>
            <w:r>
              <w:rPr>
                <w:rFonts w:ascii="Arial" w:hAnsi="Arial" w:cs="Arial"/>
                <w:sz w:val="16"/>
                <w:szCs w:val="16"/>
              </w:rPr>
              <w:t>T209209</w:t>
            </w:r>
          </w:p>
        </w:tc>
        <w:tc>
          <w:tcPr>
            <w:tcW w:w="3727" w:type="dxa"/>
            <w:tcBorders>
              <w:top w:val="nil"/>
              <w:left w:val="nil"/>
              <w:bottom w:val="single" w:sz="4" w:space="0" w:color="auto"/>
              <w:right w:val="single" w:sz="4" w:space="0" w:color="auto"/>
            </w:tcBorders>
            <w:shd w:val="clear" w:color="000000" w:fill="FFFFFF"/>
            <w:vAlign w:val="center"/>
            <w:hideMark/>
          </w:tcPr>
          <w:p w14:paraId="7A28CA15" w14:textId="4A5B9C89"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Izgradnja, uređenje, opremanje parkinga 3</w:t>
            </w:r>
          </w:p>
        </w:tc>
        <w:tc>
          <w:tcPr>
            <w:tcW w:w="1180" w:type="dxa"/>
            <w:tcBorders>
              <w:top w:val="nil"/>
              <w:left w:val="single" w:sz="4" w:space="0" w:color="auto"/>
              <w:bottom w:val="single" w:sz="4" w:space="0" w:color="auto"/>
              <w:right w:val="single" w:sz="4" w:space="0" w:color="auto"/>
            </w:tcBorders>
            <w:noWrap/>
            <w:vAlign w:val="center"/>
            <w:hideMark/>
          </w:tcPr>
          <w:p w14:paraId="09DD81EA" w14:textId="5475F7D1"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163.893,30</w:t>
            </w:r>
          </w:p>
        </w:tc>
        <w:tc>
          <w:tcPr>
            <w:tcW w:w="1760" w:type="dxa"/>
            <w:tcBorders>
              <w:top w:val="nil"/>
              <w:left w:val="nil"/>
              <w:bottom w:val="single" w:sz="4" w:space="0" w:color="auto"/>
              <w:right w:val="single" w:sz="8" w:space="0" w:color="auto"/>
            </w:tcBorders>
            <w:noWrap/>
            <w:vAlign w:val="center"/>
            <w:hideMark/>
          </w:tcPr>
          <w:p w14:paraId="11CDB245" w14:textId="383BAE44"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52.834,24</w:t>
            </w:r>
          </w:p>
        </w:tc>
        <w:tc>
          <w:tcPr>
            <w:tcW w:w="1440" w:type="dxa"/>
            <w:tcBorders>
              <w:top w:val="nil"/>
              <w:left w:val="single" w:sz="4" w:space="0" w:color="auto"/>
              <w:bottom w:val="single" w:sz="4" w:space="0" w:color="auto"/>
              <w:right w:val="single" w:sz="8" w:space="0" w:color="auto"/>
            </w:tcBorders>
            <w:noWrap/>
            <w:vAlign w:val="center"/>
            <w:hideMark/>
          </w:tcPr>
          <w:p w14:paraId="1B3CC6C1" w14:textId="64FD954C"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10.120,00</w:t>
            </w:r>
          </w:p>
        </w:tc>
        <w:tc>
          <w:tcPr>
            <w:tcW w:w="1440" w:type="dxa"/>
            <w:tcBorders>
              <w:top w:val="nil"/>
              <w:left w:val="single" w:sz="4" w:space="0" w:color="auto"/>
              <w:bottom w:val="single" w:sz="4" w:space="0" w:color="auto"/>
              <w:right w:val="single" w:sz="8" w:space="0" w:color="auto"/>
            </w:tcBorders>
            <w:noWrap/>
            <w:vAlign w:val="center"/>
            <w:hideMark/>
          </w:tcPr>
          <w:p w14:paraId="05A18ABF" w14:textId="3C486E98"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42.714,24</w:t>
            </w:r>
          </w:p>
        </w:tc>
      </w:tr>
      <w:tr w:rsidR="008A47C4" w:rsidRPr="00CA69D2" w14:paraId="60391134" w14:textId="77777777" w:rsidTr="008A47C4">
        <w:trPr>
          <w:trHeight w:val="465"/>
          <w:jc w:val="center"/>
        </w:trPr>
        <w:tc>
          <w:tcPr>
            <w:tcW w:w="861" w:type="dxa"/>
            <w:tcBorders>
              <w:top w:val="nil"/>
              <w:left w:val="single" w:sz="8" w:space="0" w:color="auto"/>
              <w:bottom w:val="nil"/>
              <w:right w:val="single" w:sz="8" w:space="0" w:color="auto"/>
            </w:tcBorders>
            <w:vAlign w:val="center"/>
            <w:hideMark/>
          </w:tcPr>
          <w:p w14:paraId="3F6A7B96" w14:textId="1D631582"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73140FD7" w14:textId="230FA603"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63B0AFF4"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0C5AFF6E" w14:textId="51702FD4" w:rsidR="008A47C4" w:rsidRPr="00CA69D2" w:rsidRDefault="008A47C4" w:rsidP="008A47C4">
            <w:pPr>
              <w:spacing w:after="0" w:line="240" w:lineRule="auto"/>
              <w:rPr>
                <w:rFonts w:ascii="Arial" w:eastAsia="Times New Roman" w:hAnsi="Arial" w:cs="Arial"/>
                <w:sz w:val="14"/>
                <w:szCs w:val="14"/>
              </w:rPr>
            </w:pPr>
            <w:r>
              <w:rPr>
                <w:rFonts w:ascii="Arial" w:hAnsi="Arial" w:cs="Arial"/>
                <w:sz w:val="16"/>
                <w:szCs w:val="16"/>
              </w:rPr>
              <w:t>K209216</w:t>
            </w:r>
          </w:p>
        </w:tc>
        <w:tc>
          <w:tcPr>
            <w:tcW w:w="3727" w:type="dxa"/>
            <w:tcBorders>
              <w:top w:val="nil"/>
              <w:left w:val="nil"/>
              <w:bottom w:val="single" w:sz="4" w:space="0" w:color="auto"/>
              <w:right w:val="single" w:sz="4" w:space="0" w:color="auto"/>
            </w:tcBorders>
            <w:shd w:val="clear" w:color="000000" w:fill="FFFFFF"/>
            <w:vAlign w:val="center"/>
            <w:hideMark/>
          </w:tcPr>
          <w:p w14:paraId="1A05E5FF" w14:textId="71D50B3E"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Nogostup naselje Čilipi, 1</w:t>
            </w:r>
          </w:p>
        </w:tc>
        <w:tc>
          <w:tcPr>
            <w:tcW w:w="1180" w:type="dxa"/>
            <w:tcBorders>
              <w:top w:val="nil"/>
              <w:left w:val="single" w:sz="4" w:space="0" w:color="auto"/>
              <w:bottom w:val="single" w:sz="4" w:space="0" w:color="auto"/>
              <w:right w:val="single" w:sz="4" w:space="0" w:color="auto"/>
            </w:tcBorders>
            <w:noWrap/>
            <w:vAlign w:val="center"/>
            <w:hideMark/>
          </w:tcPr>
          <w:p w14:paraId="6F55229A" w14:textId="1B6966F2"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171.242,19</w:t>
            </w:r>
          </w:p>
        </w:tc>
        <w:tc>
          <w:tcPr>
            <w:tcW w:w="1760" w:type="dxa"/>
            <w:tcBorders>
              <w:top w:val="nil"/>
              <w:left w:val="nil"/>
              <w:bottom w:val="single" w:sz="4" w:space="0" w:color="auto"/>
              <w:right w:val="single" w:sz="8" w:space="0" w:color="auto"/>
            </w:tcBorders>
            <w:noWrap/>
            <w:vAlign w:val="center"/>
            <w:hideMark/>
          </w:tcPr>
          <w:p w14:paraId="301D6C47" w14:textId="33D799E2"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74.882,92</w:t>
            </w:r>
          </w:p>
        </w:tc>
        <w:tc>
          <w:tcPr>
            <w:tcW w:w="1440" w:type="dxa"/>
            <w:tcBorders>
              <w:top w:val="nil"/>
              <w:left w:val="single" w:sz="4" w:space="0" w:color="auto"/>
              <w:bottom w:val="single" w:sz="4" w:space="0" w:color="auto"/>
              <w:right w:val="single" w:sz="8" w:space="0" w:color="auto"/>
            </w:tcBorders>
            <w:noWrap/>
            <w:vAlign w:val="center"/>
            <w:hideMark/>
          </w:tcPr>
          <w:p w14:paraId="73CF9CDB" w14:textId="727860BF"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3.686,98</w:t>
            </w:r>
          </w:p>
        </w:tc>
        <w:tc>
          <w:tcPr>
            <w:tcW w:w="1440" w:type="dxa"/>
            <w:tcBorders>
              <w:top w:val="nil"/>
              <w:left w:val="single" w:sz="4" w:space="0" w:color="auto"/>
              <w:bottom w:val="single" w:sz="4" w:space="0" w:color="auto"/>
              <w:right w:val="single" w:sz="8" w:space="0" w:color="auto"/>
            </w:tcBorders>
            <w:noWrap/>
            <w:vAlign w:val="center"/>
            <w:hideMark/>
          </w:tcPr>
          <w:p w14:paraId="7EC17F2E" w14:textId="022944AE"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71.195,94</w:t>
            </w:r>
          </w:p>
        </w:tc>
      </w:tr>
      <w:tr w:rsidR="008A47C4" w:rsidRPr="00CA69D2" w14:paraId="1035910E" w14:textId="77777777" w:rsidTr="008A47C4">
        <w:trPr>
          <w:trHeight w:val="271"/>
          <w:jc w:val="center"/>
        </w:trPr>
        <w:tc>
          <w:tcPr>
            <w:tcW w:w="861" w:type="dxa"/>
            <w:tcBorders>
              <w:top w:val="nil"/>
              <w:left w:val="single" w:sz="8" w:space="0" w:color="auto"/>
              <w:bottom w:val="nil"/>
              <w:right w:val="single" w:sz="8" w:space="0" w:color="auto"/>
            </w:tcBorders>
            <w:vAlign w:val="center"/>
            <w:hideMark/>
          </w:tcPr>
          <w:p w14:paraId="0855DDB9" w14:textId="20CB11A3"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6127AFE9" w14:textId="5826C98B"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4A947634"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3C878CB2" w14:textId="487C8F5C" w:rsidR="008A47C4" w:rsidRPr="00CA69D2" w:rsidRDefault="008A47C4" w:rsidP="008A47C4">
            <w:pPr>
              <w:spacing w:after="0" w:line="240" w:lineRule="auto"/>
              <w:rPr>
                <w:rFonts w:ascii="Arial" w:eastAsia="Times New Roman" w:hAnsi="Arial" w:cs="Arial"/>
                <w:sz w:val="14"/>
                <w:szCs w:val="14"/>
              </w:rPr>
            </w:pPr>
            <w:r>
              <w:rPr>
                <w:rFonts w:ascii="Arial" w:hAnsi="Arial" w:cs="Arial"/>
                <w:sz w:val="16"/>
                <w:szCs w:val="16"/>
              </w:rPr>
              <w:t>T209222</w:t>
            </w:r>
          </w:p>
        </w:tc>
        <w:tc>
          <w:tcPr>
            <w:tcW w:w="3727" w:type="dxa"/>
            <w:tcBorders>
              <w:top w:val="nil"/>
              <w:left w:val="nil"/>
              <w:bottom w:val="single" w:sz="4" w:space="0" w:color="auto"/>
              <w:right w:val="single" w:sz="4" w:space="0" w:color="auto"/>
            </w:tcBorders>
            <w:shd w:val="clear" w:color="000000" w:fill="FFFFFF"/>
            <w:vAlign w:val="center"/>
            <w:hideMark/>
          </w:tcPr>
          <w:p w14:paraId="372D6068" w14:textId="798BCC0B"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Uređenje šetnice i parka okoliša Mauzoleja Račić s grobljem i pratećim objektom, 8</w:t>
            </w:r>
          </w:p>
        </w:tc>
        <w:tc>
          <w:tcPr>
            <w:tcW w:w="1180" w:type="dxa"/>
            <w:tcBorders>
              <w:top w:val="nil"/>
              <w:left w:val="single" w:sz="4" w:space="0" w:color="auto"/>
              <w:bottom w:val="single" w:sz="4" w:space="0" w:color="auto"/>
              <w:right w:val="single" w:sz="4" w:space="0" w:color="auto"/>
            </w:tcBorders>
            <w:noWrap/>
            <w:vAlign w:val="center"/>
            <w:hideMark/>
          </w:tcPr>
          <w:p w14:paraId="62D84428" w14:textId="70E9189F"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4.600,00</w:t>
            </w:r>
          </w:p>
        </w:tc>
        <w:tc>
          <w:tcPr>
            <w:tcW w:w="1760" w:type="dxa"/>
            <w:tcBorders>
              <w:top w:val="nil"/>
              <w:left w:val="nil"/>
              <w:bottom w:val="single" w:sz="4" w:space="0" w:color="auto"/>
              <w:right w:val="single" w:sz="8" w:space="0" w:color="auto"/>
            </w:tcBorders>
            <w:noWrap/>
            <w:vAlign w:val="center"/>
            <w:hideMark/>
          </w:tcPr>
          <w:p w14:paraId="1DBB8C39" w14:textId="12D1A04E"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4.600,00</w:t>
            </w:r>
          </w:p>
        </w:tc>
        <w:tc>
          <w:tcPr>
            <w:tcW w:w="1440" w:type="dxa"/>
            <w:tcBorders>
              <w:top w:val="nil"/>
              <w:left w:val="single" w:sz="4" w:space="0" w:color="auto"/>
              <w:bottom w:val="single" w:sz="4" w:space="0" w:color="auto"/>
              <w:right w:val="single" w:sz="8" w:space="0" w:color="auto"/>
            </w:tcBorders>
            <w:noWrap/>
            <w:vAlign w:val="center"/>
            <w:hideMark/>
          </w:tcPr>
          <w:p w14:paraId="3EFF2A71" w14:textId="7CC0E51A"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4.600,00</w:t>
            </w:r>
          </w:p>
        </w:tc>
        <w:tc>
          <w:tcPr>
            <w:tcW w:w="1440" w:type="dxa"/>
            <w:tcBorders>
              <w:top w:val="nil"/>
              <w:left w:val="single" w:sz="4" w:space="0" w:color="auto"/>
              <w:bottom w:val="single" w:sz="4" w:space="0" w:color="auto"/>
              <w:right w:val="single" w:sz="8" w:space="0" w:color="auto"/>
            </w:tcBorders>
            <w:noWrap/>
            <w:vAlign w:val="center"/>
            <w:hideMark/>
          </w:tcPr>
          <w:p w14:paraId="5E0C12AE" w14:textId="2675F68A"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 </w:t>
            </w:r>
          </w:p>
        </w:tc>
      </w:tr>
      <w:tr w:rsidR="008A47C4" w:rsidRPr="00CA69D2" w14:paraId="69D142DF" w14:textId="77777777" w:rsidTr="008A47C4">
        <w:trPr>
          <w:trHeight w:val="465"/>
          <w:jc w:val="center"/>
        </w:trPr>
        <w:tc>
          <w:tcPr>
            <w:tcW w:w="861" w:type="dxa"/>
            <w:tcBorders>
              <w:top w:val="nil"/>
              <w:left w:val="single" w:sz="8" w:space="0" w:color="auto"/>
              <w:bottom w:val="nil"/>
              <w:right w:val="single" w:sz="8" w:space="0" w:color="auto"/>
            </w:tcBorders>
            <w:vAlign w:val="center"/>
            <w:hideMark/>
          </w:tcPr>
          <w:p w14:paraId="720A7284" w14:textId="3F5F2467"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15D82725" w14:textId="01FEE437"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20626D37"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7B04A859" w14:textId="66B3252C" w:rsidR="008A47C4" w:rsidRPr="00CA69D2" w:rsidRDefault="008A47C4" w:rsidP="008A47C4">
            <w:pPr>
              <w:spacing w:after="0" w:line="240" w:lineRule="auto"/>
              <w:rPr>
                <w:rFonts w:ascii="Arial" w:eastAsia="Times New Roman" w:hAnsi="Arial" w:cs="Arial"/>
                <w:sz w:val="14"/>
                <w:szCs w:val="14"/>
              </w:rPr>
            </w:pPr>
            <w:r>
              <w:rPr>
                <w:rFonts w:ascii="Arial" w:hAnsi="Arial" w:cs="Arial"/>
                <w:sz w:val="16"/>
                <w:szCs w:val="16"/>
              </w:rPr>
              <w:t>K209223</w:t>
            </w:r>
          </w:p>
        </w:tc>
        <w:tc>
          <w:tcPr>
            <w:tcW w:w="3727" w:type="dxa"/>
            <w:tcBorders>
              <w:top w:val="nil"/>
              <w:left w:val="nil"/>
              <w:bottom w:val="single" w:sz="4" w:space="0" w:color="auto"/>
              <w:right w:val="single" w:sz="4" w:space="0" w:color="auto"/>
            </w:tcBorders>
            <w:shd w:val="clear" w:color="000000" w:fill="FFFFFF"/>
            <w:vAlign w:val="center"/>
            <w:hideMark/>
          </w:tcPr>
          <w:p w14:paraId="7CBB6892" w14:textId="5503FE6D"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Cesta Prahivac - Epidaurus</w:t>
            </w:r>
          </w:p>
        </w:tc>
        <w:tc>
          <w:tcPr>
            <w:tcW w:w="1180" w:type="dxa"/>
            <w:tcBorders>
              <w:top w:val="nil"/>
              <w:left w:val="single" w:sz="4" w:space="0" w:color="auto"/>
              <w:bottom w:val="single" w:sz="4" w:space="0" w:color="auto"/>
              <w:right w:val="single" w:sz="4" w:space="0" w:color="auto"/>
            </w:tcBorders>
            <w:noWrap/>
            <w:vAlign w:val="center"/>
            <w:hideMark/>
          </w:tcPr>
          <w:p w14:paraId="3CA7AE30" w14:textId="7EF55FD6"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12.875,00</w:t>
            </w:r>
          </w:p>
        </w:tc>
        <w:tc>
          <w:tcPr>
            <w:tcW w:w="1760" w:type="dxa"/>
            <w:tcBorders>
              <w:top w:val="nil"/>
              <w:left w:val="nil"/>
              <w:bottom w:val="single" w:sz="4" w:space="0" w:color="auto"/>
              <w:right w:val="single" w:sz="8" w:space="0" w:color="auto"/>
            </w:tcBorders>
            <w:noWrap/>
            <w:vAlign w:val="center"/>
            <w:hideMark/>
          </w:tcPr>
          <w:p w14:paraId="07D238BD" w14:textId="61C13B02"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0,00</w:t>
            </w:r>
          </w:p>
        </w:tc>
        <w:tc>
          <w:tcPr>
            <w:tcW w:w="1440" w:type="dxa"/>
            <w:tcBorders>
              <w:top w:val="nil"/>
              <w:left w:val="single" w:sz="4" w:space="0" w:color="auto"/>
              <w:bottom w:val="single" w:sz="4" w:space="0" w:color="auto"/>
              <w:right w:val="single" w:sz="8" w:space="0" w:color="auto"/>
            </w:tcBorders>
            <w:noWrap/>
            <w:vAlign w:val="center"/>
            <w:hideMark/>
          </w:tcPr>
          <w:p w14:paraId="26D76136" w14:textId="51CDC218"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 </w:t>
            </w:r>
          </w:p>
        </w:tc>
        <w:tc>
          <w:tcPr>
            <w:tcW w:w="1440" w:type="dxa"/>
            <w:tcBorders>
              <w:top w:val="nil"/>
              <w:left w:val="single" w:sz="4" w:space="0" w:color="auto"/>
              <w:bottom w:val="single" w:sz="4" w:space="0" w:color="auto"/>
              <w:right w:val="single" w:sz="8" w:space="0" w:color="auto"/>
            </w:tcBorders>
            <w:noWrap/>
            <w:vAlign w:val="center"/>
            <w:hideMark/>
          </w:tcPr>
          <w:p w14:paraId="2FB91116" w14:textId="4580B113"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 </w:t>
            </w:r>
          </w:p>
        </w:tc>
      </w:tr>
      <w:tr w:rsidR="008A47C4" w:rsidRPr="00CA69D2" w14:paraId="3CD795DB" w14:textId="77777777" w:rsidTr="008A47C4">
        <w:trPr>
          <w:trHeight w:val="75"/>
          <w:jc w:val="center"/>
        </w:trPr>
        <w:tc>
          <w:tcPr>
            <w:tcW w:w="861" w:type="dxa"/>
            <w:tcBorders>
              <w:top w:val="nil"/>
              <w:left w:val="single" w:sz="8" w:space="0" w:color="auto"/>
              <w:bottom w:val="nil"/>
              <w:right w:val="single" w:sz="8" w:space="0" w:color="auto"/>
            </w:tcBorders>
            <w:vAlign w:val="center"/>
            <w:hideMark/>
          </w:tcPr>
          <w:p w14:paraId="1BFF429A" w14:textId="65F8A51A"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2AAABC67" w14:textId="2C0FD57C"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730A8691"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75D96FFE" w14:textId="4EAC420A" w:rsidR="008A47C4" w:rsidRPr="00CA69D2" w:rsidRDefault="008A47C4" w:rsidP="008A47C4">
            <w:pPr>
              <w:spacing w:after="0" w:line="240" w:lineRule="auto"/>
              <w:rPr>
                <w:rFonts w:ascii="Arial" w:eastAsia="Times New Roman" w:hAnsi="Arial" w:cs="Arial"/>
                <w:sz w:val="14"/>
                <w:szCs w:val="14"/>
              </w:rPr>
            </w:pPr>
            <w:r>
              <w:rPr>
                <w:rFonts w:ascii="Arial" w:hAnsi="Arial" w:cs="Arial"/>
                <w:sz w:val="16"/>
                <w:szCs w:val="16"/>
              </w:rPr>
              <w:t>A209226</w:t>
            </w:r>
          </w:p>
        </w:tc>
        <w:tc>
          <w:tcPr>
            <w:tcW w:w="3727" w:type="dxa"/>
            <w:tcBorders>
              <w:top w:val="nil"/>
              <w:left w:val="nil"/>
              <w:bottom w:val="single" w:sz="4" w:space="0" w:color="auto"/>
              <w:right w:val="single" w:sz="4" w:space="0" w:color="auto"/>
            </w:tcBorders>
            <w:shd w:val="clear" w:color="000000" w:fill="FFFFFF"/>
            <w:vAlign w:val="center"/>
            <w:hideMark/>
          </w:tcPr>
          <w:p w14:paraId="31AA6546" w14:textId="4200898F"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Javne zelene površine: Uređenje igr. za djecu s primjenom sigurnosnih standarda, 5</w:t>
            </w:r>
          </w:p>
        </w:tc>
        <w:tc>
          <w:tcPr>
            <w:tcW w:w="1180" w:type="dxa"/>
            <w:tcBorders>
              <w:top w:val="nil"/>
              <w:left w:val="single" w:sz="4" w:space="0" w:color="auto"/>
              <w:bottom w:val="single" w:sz="4" w:space="0" w:color="auto"/>
              <w:right w:val="single" w:sz="4" w:space="0" w:color="auto"/>
            </w:tcBorders>
            <w:noWrap/>
            <w:vAlign w:val="center"/>
            <w:hideMark/>
          </w:tcPr>
          <w:p w14:paraId="70FC0DF6" w14:textId="7A9FBFBA"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78.802,98</w:t>
            </w:r>
          </w:p>
        </w:tc>
        <w:tc>
          <w:tcPr>
            <w:tcW w:w="1760" w:type="dxa"/>
            <w:tcBorders>
              <w:top w:val="nil"/>
              <w:left w:val="nil"/>
              <w:bottom w:val="single" w:sz="4" w:space="0" w:color="auto"/>
              <w:right w:val="single" w:sz="8" w:space="0" w:color="auto"/>
            </w:tcBorders>
            <w:noWrap/>
            <w:vAlign w:val="center"/>
            <w:hideMark/>
          </w:tcPr>
          <w:p w14:paraId="10B086EA" w14:textId="3FC497C0"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13.407,50</w:t>
            </w:r>
          </w:p>
        </w:tc>
        <w:tc>
          <w:tcPr>
            <w:tcW w:w="1440" w:type="dxa"/>
            <w:tcBorders>
              <w:top w:val="nil"/>
              <w:left w:val="single" w:sz="4" w:space="0" w:color="auto"/>
              <w:bottom w:val="single" w:sz="4" w:space="0" w:color="auto"/>
              <w:right w:val="single" w:sz="8" w:space="0" w:color="auto"/>
            </w:tcBorders>
            <w:noWrap/>
            <w:vAlign w:val="center"/>
            <w:hideMark/>
          </w:tcPr>
          <w:p w14:paraId="5F346BE3" w14:textId="039AF113"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 </w:t>
            </w:r>
          </w:p>
        </w:tc>
        <w:tc>
          <w:tcPr>
            <w:tcW w:w="1440" w:type="dxa"/>
            <w:tcBorders>
              <w:top w:val="nil"/>
              <w:left w:val="single" w:sz="4" w:space="0" w:color="auto"/>
              <w:bottom w:val="single" w:sz="4" w:space="0" w:color="auto"/>
              <w:right w:val="single" w:sz="8" w:space="0" w:color="auto"/>
            </w:tcBorders>
            <w:noWrap/>
            <w:vAlign w:val="center"/>
            <w:hideMark/>
          </w:tcPr>
          <w:p w14:paraId="791BDC19" w14:textId="487914C0"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13.407,50</w:t>
            </w:r>
          </w:p>
        </w:tc>
      </w:tr>
      <w:tr w:rsidR="008A47C4" w:rsidRPr="00CA69D2" w14:paraId="4385337F" w14:textId="77777777" w:rsidTr="008A47C4">
        <w:trPr>
          <w:trHeight w:val="465"/>
          <w:jc w:val="center"/>
        </w:trPr>
        <w:tc>
          <w:tcPr>
            <w:tcW w:w="861" w:type="dxa"/>
            <w:tcBorders>
              <w:top w:val="nil"/>
              <w:left w:val="single" w:sz="8" w:space="0" w:color="auto"/>
              <w:bottom w:val="nil"/>
              <w:right w:val="single" w:sz="8" w:space="0" w:color="auto"/>
            </w:tcBorders>
            <w:vAlign w:val="center"/>
            <w:hideMark/>
          </w:tcPr>
          <w:p w14:paraId="359CC641" w14:textId="60294D13"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5A6E8154" w14:textId="379A9229"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5C646BED"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138D38F8" w14:textId="73AE0B36" w:rsidR="008A47C4" w:rsidRPr="00CA69D2" w:rsidRDefault="008A47C4" w:rsidP="008A47C4">
            <w:pPr>
              <w:spacing w:after="0" w:line="240" w:lineRule="auto"/>
              <w:rPr>
                <w:rFonts w:ascii="Arial" w:eastAsia="Times New Roman" w:hAnsi="Arial" w:cs="Arial"/>
                <w:sz w:val="14"/>
                <w:szCs w:val="14"/>
              </w:rPr>
            </w:pPr>
            <w:r>
              <w:rPr>
                <w:rFonts w:ascii="Arial" w:hAnsi="Arial" w:cs="Arial"/>
                <w:sz w:val="16"/>
                <w:szCs w:val="16"/>
              </w:rPr>
              <w:t>A209227</w:t>
            </w:r>
          </w:p>
        </w:tc>
        <w:tc>
          <w:tcPr>
            <w:tcW w:w="3727" w:type="dxa"/>
            <w:tcBorders>
              <w:top w:val="nil"/>
              <w:left w:val="nil"/>
              <w:bottom w:val="single" w:sz="4" w:space="0" w:color="auto"/>
              <w:right w:val="single" w:sz="4" w:space="0" w:color="auto"/>
            </w:tcBorders>
            <w:shd w:val="clear" w:color="000000" w:fill="FFFFFF"/>
            <w:vAlign w:val="center"/>
            <w:hideMark/>
          </w:tcPr>
          <w:p w14:paraId="2BCF3BB7" w14:textId="19980CF4"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Aktivnosti u svezi evidentiranja i upisa nerazvrstanih cesta u zemljišne knjige, 1</w:t>
            </w:r>
          </w:p>
        </w:tc>
        <w:tc>
          <w:tcPr>
            <w:tcW w:w="1180" w:type="dxa"/>
            <w:tcBorders>
              <w:top w:val="nil"/>
              <w:left w:val="single" w:sz="4" w:space="0" w:color="auto"/>
              <w:bottom w:val="single" w:sz="4" w:space="0" w:color="auto"/>
              <w:right w:val="single" w:sz="4" w:space="0" w:color="auto"/>
            </w:tcBorders>
            <w:noWrap/>
            <w:vAlign w:val="center"/>
            <w:hideMark/>
          </w:tcPr>
          <w:p w14:paraId="4832A91B" w14:textId="1AC21FC3"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1.655,00</w:t>
            </w:r>
          </w:p>
        </w:tc>
        <w:tc>
          <w:tcPr>
            <w:tcW w:w="1760" w:type="dxa"/>
            <w:tcBorders>
              <w:top w:val="nil"/>
              <w:left w:val="nil"/>
              <w:bottom w:val="single" w:sz="4" w:space="0" w:color="auto"/>
              <w:right w:val="single" w:sz="8" w:space="0" w:color="auto"/>
            </w:tcBorders>
            <w:noWrap/>
            <w:vAlign w:val="center"/>
            <w:hideMark/>
          </w:tcPr>
          <w:p w14:paraId="5A8E518A" w14:textId="26CB868C"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1.655,00</w:t>
            </w:r>
          </w:p>
        </w:tc>
        <w:tc>
          <w:tcPr>
            <w:tcW w:w="1440" w:type="dxa"/>
            <w:tcBorders>
              <w:top w:val="nil"/>
              <w:left w:val="single" w:sz="4" w:space="0" w:color="auto"/>
              <w:bottom w:val="single" w:sz="4" w:space="0" w:color="auto"/>
              <w:right w:val="single" w:sz="8" w:space="0" w:color="auto"/>
            </w:tcBorders>
            <w:noWrap/>
            <w:vAlign w:val="center"/>
            <w:hideMark/>
          </w:tcPr>
          <w:p w14:paraId="20DB0815" w14:textId="2BE9329E"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 </w:t>
            </w:r>
          </w:p>
        </w:tc>
        <w:tc>
          <w:tcPr>
            <w:tcW w:w="1440" w:type="dxa"/>
            <w:tcBorders>
              <w:top w:val="nil"/>
              <w:left w:val="single" w:sz="4" w:space="0" w:color="auto"/>
              <w:bottom w:val="single" w:sz="4" w:space="0" w:color="auto"/>
              <w:right w:val="single" w:sz="8" w:space="0" w:color="auto"/>
            </w:tcBorders>
            <w:noWrap/>
            <w:vAlign w:val="center"/>
            <w:hideMark/>
          </w:tcPr>
          <w:p w14:paraId="0DD1C527" w14:textId="52B561DF"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1.655,00</w:t>
            </w:r>
          </w:p>
        </w:tc>
      </w:tr>
      <w:tr w:rsidR="008A47C4" w:rsidRPr="00CA69D2" w14:paraId="7FD81E46" w14:textId="77777777" w:rsidTr="008A47C4">
        <w:trPr>
          <w:trHeight w:val="192"/>
          <w:jc w:val="center"/>
        </w:trPr>
        <w:tc>
          <w:tcPr>
            <w:tcW w:w="861" w:type="dxa"/>
            <w:tcBorders>
              <w:top w:val="nil"/>
              <w:left w:val="single" w:sz="8" w:space="0" w:color="auto"/>
              <w:bottom w:val="nil"/>
              <w:right w:val="single" w:sz="8" w:space="0" w:color="auto"/>
            </w:tcBorders>
            <w:vAlign w:val="center"/>
            <w:hideMark/>
          </w:tcPr>
          <w:p w14:paraId="6815702B" w14:textId="0FC72922"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sz w:val="14"/>
                <w:szCs w:val="14"/>
              </w:rPr>
              <w:t> </w:t>
            </w:r>
          </w:p>
        </w:tc>
        <w:tc>
          <w:tcPr>
            <w:tcW w:w="707" w:type="dxa"/>
            <w:tcBorders>
              <w:top w:val="nil"/>
              <w:left w:val="nil"/>
              <w:bottom w:val="nil"/>
              <w:right w:val="single" w:sz="8" w:space="0" w:color="auto"/>
            </w:tcBorders>
            <w:vAlign w:val="center"/>
            <w:hideMark/>
          </w:tcPr>
          <w:p w14:paraId="197D0414" w14:textId="167B1CEF"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nil"/>
              <w:right w:val="nil"/>
            </w:tcBorders>
            <w:vAlign w:val="center"/>
            <w:hideMark/>
          </w:tcPr>
          <w:p w14:paraId="6C1240AA" w14:textId="77777777" w:rsidR="008A47C4" w:rsidRPr="00CA69D2" w:rsidRDefault="008A47C4" w:rsidP="008A47C4">
            <w:pPr>
              <w:spacing w:after="0" w:line="240" w:lineRule="auto"/>
              <w:rPr>
                <w:rFonts w:ascii="Arial" w:eastAsia="Times New Roman" w:hAnsi="Arial" w:cs="Arial"/>
                <w:sz w:val="14"/>
                <w:szCs w:val="14"/>
              </w:rPr>
            </w:pP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1347ABF4" w14:textId="20516CDE" w:rsidR="008A47C4" w:rsidRPr="00CA69D2" w:rsidRDefault="008A47C4" w:rsidP="008A47C4">
            <w:pPr>
              <w:spacing w:after="0" w:line="240" w:lineRule="auto"/>
              <w:rPr>
                <w:rFonts w:ascii="Arial" w:eastAsia="Times New Roman" w:hAnsi="Arial" w:cs="Arial"/>
                <w:sz w:val="14"/>
                <w:szCs w:val="14"/>
              </w:rPr>
            </w:pPr>
            <w:r>
              <w:rPr>
                <w:rFonts w:ascii="Arial" w:hAnsi="Arial" w:cs="Arial"/>
                <w:sz w:val="16"/>
                <w:szCs w:val="16"/>
              </w:rPr>
              <w:t>K209231</w:t>
            </w:r>
          </w:p>
        </w:tc>
        <w:tc>
          <w:tcPr>
            <w:tcW w:w="3727" w:type="dxa"/>
            <w:tcBorders>
              <w:top w:val="nil"/>
              <w:left w:val="nil"/>
              <w:bottom w:val="single" w:sz="4" w:space="0" w:color="auto"/>
              <w:right w:val="single" w:sz="4" w:space="0" w:color="auto"/>
            </w:tcBorders>
            <w:shd w:val="clear" w:color="000000" w:fill="FFFFFF"/>
            <w:vAlign w:val="center"/>
            <w:hideMark/>
          </w:tcPr>
          <w:p w14:paraId="3F9C5C39" w14:textId="60AB655C"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Čilipi, dva ulaza, buduća poduzetnička zona</w:t>
            </w:r>
          </w:p>
        </w:tc>
        <w:tc>
          <w:tcPr>
            <w:tcW w:w="1180" w:type="dxa"/>
            <w:tcBorders>
              <w:top w:val="nil"/>
              <w:left w:val="single" w:sz="4" w:space="0" w:color="auto"/>
              <w:bottom w:val="single" w:sz="4" w:space="0" w:color="auto"/>
              <w:right w:val="single" w:sz="4" w:space="0" w:color="auto"/>
            </w:tcBorders>
            <w:noWrap/>
            <w:vAlign w:val="center"/>
            <w:hideMark/>
          </w:tcPr>
          <w:p w14:paraId="6C8AD377" w14:textId="37A2ABC4"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13.100,00</w:t>
            </w:r>
          </w:p>
        </w:tc>
        <w:tc>
          <w:tcPr>
            <w:tcW w:w="1760" w:type="dxa"/>
            <w:tcBorders>
              <w:top w:val="nil"/>
              <w:left w:val="nil"/>
              <w:bottom w:val="single" w:sz="4" w:space="0" w:color="auto"/>
              <w:right w:val="single" w:sz="8" w:space="0" w:color="auto"/>
            </w:tcBorders>
            <w:noWrap/>
            <w:vAlign w:val="center"/>
            <w:hideMark/>
          </w:tcPr>
          <w:p w14:paraId="24DF777D" w14:textId="1776CAD4"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0,00</w:t>
            </w:r>
          </w:p>
        </w:tc>
        <w:tc>
          <w:tcPr>
            <w:tcW w:w="1440" w:type="dxa"/>
            <w:tcBorders>
              <w:top w:val="nil"/>
              <w:left w:val="single" w:sz="4" w:space="0" w:color="auto"/>
              <w:bottom w:val="single" w:sz="4" w:space="0" w:color="auto"/>
              <w:right w:val="single" w:sz="8" w:space="0" w:color="auto"/>
            </w:tcBorders>
            <w:noWrap/>
            <w:vAlign w:val="center"/>
            <w:hideMark/>
          </w:tcPr>
          <w:p w14:paraId="2BF7C89C" w14:textId="6CA2C13B"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 </w:t>
            </w:r>
          </w:p>
        </w:tc>
        <w:tc>
          <w:tcPr>
            <w:tcW w:w="1440" w:type="dxa"/>
            <w:tcBorders>
              <w:top w:val="nil"/>
              <w:left w:val="single" w:sz="4" w:space="0" w:color="auto"/>
              <w:bottom w:val="single" w:sz="4" w:space="0" w:color="auto"/>
              <w:right w:val="single" w:sz="8" w:space="0" w:color="auto"/>
            </w:tcBorders>
            <w:noWrap/>
            <w:vAlign w:val="center"/>
            <w:hideMark/>
          </w:tcPr>
          <w:p w14:paraId="5BD7C61D" w14:textId="22C0A8EA"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 </w:t>
            </w:r>
          </w:p>
        </w:tc>
      </w:tr>
      <w:tr w:rsidR="008A47C4" w:rsidRPr="00CA69D2" w14:paraId="294638D6" w14:textId="77777777" w:rsidTr="008A47C4">
        <w:trPr>
          <w:trHeight w:val="225"/>
          <w:jc w:val="center"/>
        </w:trPr>
        <w:tc>
          <w:tcPr>
            <w:tcW w:w="861" w:type="dxa"/>
            <w:tcBorders>
              <w:top w:val="nil"/>
              <w:left w:val="single" w:sz="8" w:space="0" w:color="auto"/>
              <w:bottom w:val="single" w:sz="4" w:space="0" w:color="auto"/>
              <w:right w:val="single" w:sz="8" w:space="0" w:color="auto"/>
            </w:tcBorders>
            <w:vAlign w:val="center"/>
            <w:hideMark/>
          </w:tcPr>
          <w:p w14:paraId="210E582C" w14:textId="70815B58" w:rsidR="008A47C4" w:rsidRPr="00CA69D2" w:rsidRDefault="008A47C4" w:rsidP="008A47C4">
            <w:pPr>
              <w:spacing w:after="0" w:line="240" w:lineRule="auto"/>
              <w:jc w:val="both"/>
              <w:rPr>
                <w:rFonts w:ascii="Arial" w:eastAsia="Times New Roman" w:hAnsi="Arial" w:cs="Arial"/>
                <w:b/>
                <w:bCs/>
                <w:i/>
                <w:iCs/>
                <w:sz w:val="14"/>
                <w:szCs w:val="14"/>
              </w:rPr>
            </w:pPr>
            <w:r>
              <w:rPr>
                <w:rFonts w:ascii="Arial" w:hAnsi="Arial" w:cs="Arial"/>
                <w:sz w:val="14"/>
                <w:szCs w:val="14"/>
              </w:rPr>
              <w:t> </w:t>
            </w:r>
          </w:p>
        </w:tc>
        <w:tc>
          <w:tcPr>
            <w:tcW w:w="707" w:type="dxa"/>
            <w:tcBorders>
              <w:top w:val="nil"/>
              <w:left w:val="nil"/>
              <w:bottom w:val="single" w:sz="4" w:space="0" w:color="auto"/>
              <w:right w:val="single" w:sz="8" w:space="0" w:color="auto"/>
            </w:tcBorders>
            <w:vAlign w:val="center"/>
            <w:hideMark/>
          </w:tcPr>
          <w:p w14:paraId="3E594376" w14:textId="10AFF5BC" w:rsidR="008A47C4" w:rsidRPr="00CA69D2" w:rsidRDefault="008A47C4" w:rsidP="008A47C4">
            <w:pPr>
              <w:spacing w:after="0" w:line="240" w:lineRule="auto"/>
              <w:rPr>
                <w:rFonts w:ascii="Arial" w:eastAsia="Times New Roman" w:hAnsi="Arial" w:cs="Arial"/>
                <w:sz w:val="14"/>
                <w:szCs w:val="14"/>
              </w:rPr>
            </w:pPr>
            <w:r>
              <w:rPr>
                <w:rFonts w:ascii="Arial" w:hAnsi="Arial" w:cs="Arial"/>
                <w:sz w:val="14"/>
                <w:szCs w:val="14"/>
              </w:rPr>
              <w:t> </w:t>
            </w:r>
          </w:p>
        </w:tc>
        <w:tc>
          <w:tcPr>
            <w:tcW w:w="948" w:type="dxa"/>
            <w:tcBorders>
              <w:top w:val="nil"/>
              <w:left w:val="nil"/>
              <w:bottom w:val="single" w:sz="4" w:space="0" w:color="auto"/>
              <w:right w:val="nil"/>
            </w:tcBorders>
            <w:vAlign w:val="center"/>
            <w:hideMark/>
          </w:tcPr>
          <w:p w14:paraId="017DD78B" w14:textId="55CA0D40" w:rsidR="008A47C4" w:rsidRPr="00CA69D2" w:rsidRDefault="008A47C4" w:rsidP="008A47C4">
            <w:pPr>
              <w:spacing w:after="0" w:line="240" w:lineRule="auto"/>
              <w:rPr>
                <w:rFonts w:ascii="Arial" w:eastAsia="Times New Roman" w:hAnsi="Arial" w:cs="Arial"/>
                <w:sz w:val="14"/>
                <w:szCs w:val="14"/>
              </w:rPr>
            </w:pPr>
            <w:r>
              <w:rPr>
                <w:rFonts w:ascii="Arial" w:hAnsi="Arial" w:cs="Arial"/>
                <w:b/>
                <w:bCs/>
                <w:sz w:val="14"/>
                <w:szCs w:val="14"/>
              </w:rPr>
              <w:t> </w:t>
            </w:r>
          </w:p>
        </w:tc>
        <w:tc>
          <w:tcPr>
            <w:tcW w:w="857" w:type="dxa"/>
            <w:tcBorders>
              <w:top w:val="nil"/>
              <w:left w:val="single" w:sz="4" w:space="0" w:color="auto"/>
              <w:bottom w:val="single" w:sz="4" w:space="0" w:color="auto"/>
              <w:right w:val="single" w:sz="4" w:space="0" w:color="auto"/>
            </w:tcBorders>
            <w:shd w:val="clear" w:color="000000" w:fill="FFFFFF"/>
            <w:vAlign w:val="center"/>
            <w:hideMark/>
          </w:tcPr>
          <w:p w14:paraId="53C2A285" w14:textId="012666F0" w:rsidR="008A47C4" w:rsidRPr="00CA69D2" w:rsidRDefault="008A47C4" w:rsidP="008A47C4">
            <w:pPr>
              <w:spacing w:after="0" w:line="240" w:lineRule="auto"/>
              <w:rPr>
                <w:rFonts w:ascii="Arial" w:eastAsia="Times New Roman" w:hAnsi="Arial" w:cs="Arial"/>
                <w:sz w:val="14"/>
                <w:szCs w:val="14"/>
              </w:rPr>
            </w:pPr>
            <w:r>
              <w:rPr>
                <w:rFonts w:ascii="Arial" w:hAnsi="Arial" w:cs="Arial"/>
                <w:sz w:val="16"/>
                <w:szCs w:val="16"/>
              </w:rPr>
              <w:t>K209235</w:t>
            </w:r>
          </w:p>
        </w:tc>
        <w:tc>
          <w:tcPr>
            <w:tcW w:w="3727" w:type="dxa"/>
            <w:tcBorders>
              <w:top w:val="nil"/>
              <w:left w:val="nil"/>
              <w:bottom w:val="single" w:sz="4" w:space="0" w:color="auto"/>
              <w:right w:val="single" w:sz="4" w:space="0" w:color="auto"/>
            </w:tcBorders>
            <w:shd w:val="clear" w:color="000000" w:fill="FFFFFF"/>
            <w:vAlign w:val="center"/>
            <w:hideMark/>
          </w:tcPr>
          <w:p w14:paraId="6CE1BCE7" w14:textId="0E05D4A2" w:rsidR="008A47C4" w:rsidRPr="00CA69D2" w:rsidRDefault="008A47C4" w:rsidP="008A47C4">
            <w:pPr>
              <w:spacing w:after="0" w:line="240" w:lineRule="auto"/>
              <w:rPr>
                <w:rFonts w:ascii="Arial" w:eastAsia="Times New Roman" w:hAnsi="Arial" w:cs="Arial"/>
                <w:sz w:val="16"/>
                <w:szCs w:val="16"/>
              </w:rPr>
            </w:pPr>
            <w:r>
              <w:rPr>
                <w:rFonts w:ascii="Arial" w:hAnsi="Arial" w:cs="Arial"/>
                <w:sz w:val="16"/>
                <w:szCs w:val="16"/>
              </w:rPr>
              <w:t>Cavtat, Put dr. Ante Starčevića s oborinskom odvodnjom</w:t>
            </w:r>
          </w:p>
        </w:tc>
        <w:tc>
          <w:tcPr>
            <w:tcW w:w="1180" w:type="dxa"/>
            <w:tcBorders>
              <w:top w:val="nil"/>
              <w:left w:val="single" w:sz="4" w:space="0" w:color="auto"/>
              <w:bottom w:val="single" w:sz="4" w:space="0" w:color="auto"/>
              <w:right w:val="single" w:sz="4" w:space="0" w:color="auto"/>
            </w:tcBorders>
            <w:noWrap/>
            <w:vAlign w:val="center"/>
            <w:hideMark/>
          </w:tcPr>
          <w:p w14:paraId="2B18E780" w14:textId="7408C82A"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11.500,00</w:t>
            </w:r>
          </w:p>
        </w:tc>
        <w:tc>
          <w:tcPr>
            <w:tcW w:w="1760" w:type="dxa"/>
            <w:tcBorders>
              <w:top w:val="nil"/>
              <w:left w:val="nil"/>
              <w:bottom w:val="single" w:sz="4" w:space="0" w:color="auto"/>
              <w:right w:val="single" w:sz="8" w:space="0" w:color="auto"/>
            </w:tcBorders>
            <w:noWrap/>
            <w:vAlign w:val="center"/>
            <w:hideMark/>
          </w:tcPr>
          <w:p w14:paraId="7575DD75" w14:textId="1965EEEF"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11.500,00</w:t>
            </w:r>
          </w:p>
        </w:tc>
        <w:tc>
          <w:tcPr>
            <w:tcW w:w="1440" w:type="dxa"/>
            <w:tcBorders>
              <w:top w:val="nil"/>
              <w:left w:val="single" w:sz="4" w:space="0" w:color="auto"/>
              <w:bottom w:val="single" w:sz="4" w:space="0" w:color="auto"/>
              <w:right w:val="single" w:sz="8" w:space="0" w:color="auto"/>
            </w:tcBorders>
            <w:noWrap/>
            <w:vAlign w:val="center"/>
            <w:hideMark/>
          </w:tcPr>
          <w:p w14:paraId="45BDC80A" w14:textId="720E5927"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11.500,00</w:t>
            </w:r>
          </w:p>
        </w:tc>
        <w:tc>
          <w:tcPr>
            <w:tcW w:w="1440" w:type="dxa"/>
            <w:tcBorders>
              <w:top w:val="nil"/>
              <w:left w:val="single" w:sz="4" w:space="0" w:color="auto"/>
              <w:bottom w:val="single" w:sz="4" w:space="0" w:color="auto"/>
              <w:right w:val="single" w:sz="8" w:space="0" w:color="auto"/>
            </w:tcBorders>
            <w:noWrap/>
            <w:vAlign w:val="center"/>
            <w:hideMark/>
          </w:tcPr>
          <w:p w14:paraId="1CB00F43" w14:textId="46674501" w:rsidR="008A47C4" w:rsidRPr="00CA69D2" w:rsidRDefault="008A47C4" w:rsidP="008A47C4">
            <w:pPr>
              <w:spacing w:after="0" w:line="240" w:lineRule="auto"/>
              <w:jc w:val="right"/>
              <w:rPr>
                <w:rFonts w:ascii="Calibri" w:eastAsia="Times New Roman" w:hAnsi="Calibri" w:cs="Calibri"/>
                <w:sz w:val="18"/>
                <w:szCs w:val="18"/>
              </w:rPr>
            </w:pPr>
            <w:r>
              <w:rPr>
                <w:rFonts w:ascii="Calibri" w:hAnsi="Calibri" w:cs="Calibri"/>
                <w:sz w:val="18"/>
                <w:szCs w:val="18"/>
              </w:rPr>
              <w:t> </w:t>
            </w:r>
          </w:p>
        </w:tc>
      </w:tr>
    </w:tbl>
    <w:p w14:paraId="087B23A4" w14:textId="77777777" w:rsidR="00CA69D2" w:rsidRDefault="00CA69D2" w:rsidP="008170E6">
      <w:pPr>
        <w:spacing w:after="0" w:line="240" w:lineRule="auto"/>
        <w:rPr>
          <w:lang w:eastAsia="en-US"/>
        </w:rPr>
      </w:pPr>
    </w:p>
    <w:p w14:paraId="12878854" w14:textId="18FBF76F" w:rsidR="002D3049" w:rsidRPr="003A2F86" w:rsidRDefault="00AF78C0" w:rsidP="00191D4E">
      <w:pPr>
        <w:spacing w:after="0" w:line="240" w:lineRule="auto"/>
        <w:jc w:val="both"/>
        <w:rPr>
          <w:rFonts w:ascii="Arial" w:eastAsia="Times New Roman" w:hAnsi="Arial" w:cs="Arial"/>
          <w:sz w:val="24"/>
          <w:szCs w:val="24"/>
        </w:rPr>
      </w:pPr>
      <w:r w:rsidRPr="003A2F86">
        <w:rPr>
          <w:rFonts w:ascii="Arial" w:eastAsia="Times New Roman" w:hAnsi="Arial" w:cs="Arial"/>
        </w:rPr>
        <w:t>P</w:t>
      </w:r>
      <w:r w:rsidR="00046A91" w:rsidRPr="003A2F86">
        <w:rPr>
          <w:rFonts w:ascii="Arial" w:eastAsia="Times New Roman" w:hAnsi="Arial" w:cs="Arial"/>
        </w:rPr>
        <w:t>rihodi od komunalno</w:t>
      </w:r>
      <w:r w:rsidR="009D134C" w:rsidRPr="003A2F86">
        <w:rPr>
          <w:rFonts w:ascii="Arial" w:eastAsia="Times New Roman" w:hAnsi="Arial" w:cs="Arial"/>
        </w:rPr>
        <w:t>g</w:t>
      </w:r>
      <w:r w:rsidR="00046A91" w:rsidRPr="003A2F86">
        <w:rPr>
          <w:rFonts w:ascii="Arial" w:eastAsia="Times New Roman" w:hAnsi="Arial" w:cs="Arial"/>
        </w:rPr>
        <w:t xml:space="preserve"> doprinosa i komunalne naknade u 202</w:t>
      </w:r>
      <w:r w:rsidR="008A47C4">
        <w:rPr>
          <w:rFonts w:ascii="Arial" w:eastAsia="Times New Roman" w:hAnsi="Arial" w:cs="Arial"/>
        </w:rPr>
        <w:t>5</w:t>
      </w:r>
      <w:r w:rsidR="00046A91" w:rsidRPr="003A2F86">
        <w:rPr>
          <w:rFonts w:ascii="Arial" w:eastAsia="Times New Roman" w:hAnsi="Arial" w:cs="Arial"/>
        </w:rPr>
        <w:t xml:space="preserve">. </w:t>
      </w:r>
      <w:r w:rsidRPr="003A2F86">
        <w:rPr>
          <w:rFonts w:ascii="Arial" w:eastAsia="Times New Roman" w:hAnsi="Arial" w:cs="Arial"/>
        </w:rPr>
        <w:t xml:space="preserve">ukupno su ostvareni u iznosu </w:t>
      </w:r>
      <w:r w:rsidR="008A47C4">
        <w:rPr>
          <w:rFonts w:ascii="Arial" w:eastAsia="Times New Roman" w:hAnsi="Arial" w:cs="Arial"/>
        </w:rPr>
        <w:t>687.602,25</w:t>
      </w:r>
      <w:r w:rsidR="00752138" w:rsidRPr="003A2F86">
        <w:rPr>
          <w:rFonts w:ascii="Arial" w:eastAsia="Times New Roman" w:hAnsi="Arial" w:cs="Arial"/>
        </w:rPr>
        <w:t xml:space="preserve"> €, a utrošeni su u </w:t>
      </w:r>
      <w:r w:rsidR="00867243" w:rsidRPr="003A2F86">
        <w:rPr>
          <w:rFonts w:ascii="Arial" w:eastAsia="Times New Roman" w:hAnsi="Arial" w:cs="Arial"/>
        </w:rPr>
        <w:t xml:space="preserve">istom </w:t>
      </w:r>
      <w:r w:rsidR="00752138" w:rsidRPr="003A2F86">
        <w:rPr>
          <w:rFonts w:ascii="Arial" w:eastAsia="Times New Roman" w:hAnsi="Arial" w:cs="Arial"/>
        </w:rPr>
        <w:t>iznosu</w:t>
      </w:r>
      <w:r w:rsidRPr="003A2F86">
        <w:rPr>
          <w:rFonts w:ascii="Arial" w:eastAsia="Times New Roman" w:hAnsi="Arial" w:cs="Arial"/>
        </w:rPr>
        <w:t xml:space="preserve">. Unutar </w:t>
      </w:r>
      <w:r w:rsidR="00790259" w:rsidRPr="003A2F86">
        <w:rPr>
          <w:rFonts w:ascii="Arial" w:eastAsia="Times New Roman" w:hAnsi="Arial" w:cs="Arial"/>
        </w:rPr>
        <w:t xml:space="preserve">programa Održavanja komunalne </w:t>
      </w:r>
      <w:r w:rsidR="005F37C0" w:rsidRPr="003A2F86">
        <w:rPr>
          <w:rFonts w:ascii="Arial" w:eastAsia="Times New Roman" w:hAnsi="Arial" w:cs="Arial"/>
        </w:rPr>
        <w:t xml:space="preserve">infrastrukture </w:t>
      </w:r>
      <w:r w:rsidRPr="003A2F86">
        <w:rPr>
          <w:rFonts w:ascii="Arial" w:eastAsia="Times New Roman" w:hAnsi="Arial" w:cs="Arial"/>
        </w:rPr>
        <w:t xml:space="preserve">(2091) </w:t>
      </w:r>
      <w:r w:rsidR="005F37C0" w:rsidRPr="003A2F86">
        <w:rPr>
          <w:rFonts w:ascii="Arial" w:eastAsia="Times New Roman" w:hAnsi="Arial" w:cs="Arial"/>
        </w:rPr>
        <w:t>i Programa građenja komunalne infrastrukture</w:t>
      </w:r>
      <w:r w:rsidRPr="003A2F86">
        <w:rPr>
          <w:rFonts w:ascii="Arial" w:eastAsia="Times New Roman" w:hAnsi="Arial" w:cs="Arial"/>
        </w:rPr>
        <w:t xml:space="preserve"> (2092)</w:t>
      </w:r>
      <w:r w:rsidR="00867243" w:rsidRPr="003A2F86">
        <w:rPr>
          <w:rFonts w:ascii="Arial" w:eastAsia="Times New Roman" w:hAnsi="Arial" w:cs="Arial"/>
        </w:rPr>
        <w:t>. Komunalna n</w:t>
      </w:r>
      <w:r w:rsidRPr="003A2F86">
        <w:rPr>
          <w:rFonts w:ascii="Arial" w:eastAsia="Times New Roman" w:hAnsi="Arial" w:cs="Arial"/>
        </w:rPr>
        <w:t xml:space="preserve">aknada </w:t>
      </w:r>
      <w:r w:rsidR="00867243" w:rsidRPr="003A2F86">
        <w:rPr>
          <w:rFonts w:ascii="Arial" w:eastAsia="Times New Roman" w:hAnsi="Arial" w:cs="Arial"/>
        </w:rPr>
        <w:t>može biti</w:t>
      </w:r>
      <w:r w:rsidR="007061DC" w:rsidRPr="003A2F86">
        <w:rPr>
          <w:rFonts w:ascii="Arial" w:eastAsia="Times New Roman" w:hAnsi="Arial" w:cs="Arial"/>
        </w:rPr>
        <w:t xml:space="preserve"> </w:t>
      </w:r>
      <w:r w:rsidRPr="003A2F86">
        <w:rPr>
          <w:rFonts w:ascii="Arial" w:eastAsia="Times New Roman" w:hAnsi="Arial" w:cs="Arial"/>
        </w:rPr>
        <w:t xml:space="preserve">utrošena za financiranje građenja i održavanja objekata predškolskog, školskog, zdravstvenog i socijalnog sadržaja, javnih građevina sportske i kulturne namjene (sukladno Zakonu o komunalnom gospodarstvu). Za druge namjene koje nisu propisane Zakonom o komunalnom gospodarstvu </w:t>
      </w:r>
      <w:r w:rsidR="00752138" w:rsidRPr="003A2F86">
        <w:rPr>
          <w:rFonts w:ascii="Arial" w:eastAsia="Times New Roman" w:hAnsi="Arial" w:cs="Arial"/>
        </w:rPr>
        <w:t>nije bilo utroška.</w:t>
      </w:r>
      <w:r w:rsidR="00191D4E" w:rsidRPr="003A2F86">
        <w:rPr>
          <w:rFonts w:ascii="Arial" w:eastAsia="Times New Roman" w:hAnsi="Arial" w:cs="Arial"/>
        </w:rPr>
        <w:t xml:space="preserve"> </w:t>
      </w:r>
      <w:r w:rsidR="00DB0163" w:rsidRPr="003A2F86">
        <w:rPr>
          <w:rFonts w:ascii="Arial" w:eastAsia="Times New Roman" w:hAnsi="Arial" w:cs="Arial"/>
          <w:sz w:val="24"/>
          <w:szCs w:val="24"/>
        </w:rPr>
        <w:br w:type="page"/>
      </w:r>
    </w:p>
    <w:p w14:paraId="5E123A45" w14:textId="157E9D19" w:rsidR="00891119" w:rsidRPr="003A2F86" w:rsidRDefault="006C6F8B" w:rsidP="006C6F8B">
      <w:pPr>
        <w:pStyle w:val="Naslov1"/>
        <w:rPr>
          <w:rFonts w:ascii="Arial" w:hAnsi="Arial" w:cs="Arial"/>
          <w:sz w:val="22"/>
          <w:szCs w:val="22"/>
          <w:lang w:val="hr-HR"/>
        </w:rPr>
      </w:pPr>
      <w:bookmarkStart w:id="285" w:name="_3.__OBRAZLOŽENJE"/>
      <w:bookmarkStart w:id="286" w:name="_Toc207707457"/>
      <w:bookmarkEnd w:id="285"/>
      <w:r w:rsidRPr="003A2F86">
        <w:rPr>
          <w:rFonts w:ascii="Arial" w:hAnsi="Arial" w:cs="Arial"/>
          <w:sz w:val="22"/>
          <w:szCs w:val="22"/>
          <w:lang w:val="hr-HR"/>
        </w:rPr>
        <w:lastRenderedPageBreak/>
        <w:t>3</w:t>
      </w:r>
      <w:r w:rsidR="00891119" w:rsidRPr="003A2F86">
        <w:rPr>
          <w:rFonts w:ascii="Arial" w:hAnsi="Arial" w:cs="Arial"/>
          <w:sz w:val="22"/>
          <w:szCs w:val="22"/>
          <w:lang w:val="hr-HR"/>
        </w:rPr>
        <w:t xml:space="preserve">. </w:t>
      </w:r>
      <w:r w:rsidR="00891119" w:rsidRPr="003A2F86">
        <w:rPr>
          <w:rFonts w:ascii="Arial" w:hAnsi="Arial" w:cs="Arial"/>
          <w:sz w:val="22"/>
          <w:szCs w:val="22"/>
          <w:lang w:val="hr-HR"/>
        </w:rPr>
        <w:tab/>
      </w:r>
      <w:r w:rsidRPr="003A2F86">
        <w:rPr>
          <w:rFonts w:ascii="Arial" w:hAnsi="Arial" w:cs="Arial"/>
          <w:sz w:val="22"/>
          <w:szCs w:val="22"/>
          <w:lang w:val="hr-HR"/>
        </w:rPr>
        <w:t>OBRAZLOŽENJE POSEBNOG DIJELA IZVJEŠTAJA O IZVRŠENJU PRORAČUNA</w:t>
      </w:r>
      <w:bookmarkEnd w:id="286"/>
      <w:r w:rsidRPr="003A2F86">
        <w:rPr>
          <w:rFonts w:ascii="Arial" w:hAnsi="Arial" w:cs="Arial"/>
          <w:sz w:val="22"/>
          <w:szCs w:val="22"/>
          <w:lang w:val="hr-HR"/>
        </w:rPr>
        <w:t xml:space="preserve"> </w:t>
      </w:r>
      <w:bookmarkStart w:id="287" w:name="Obrazloženje_posebnog_dijela_izvještaja"/>
      <w:bookmarkEnd w:id="287"/>
    </w:p>
    <w:p w14:paraId="7C524440" w14:textId="77777777" w:rsidR="00891119" w:rsidRPr="003A2F86" w:rsidRDefault="00891119" w:rsidP="00891119">
      <w:pPr>
        <w:autoSpaceDE w:val="0"/>
        <w:autoSpaceDN w:val="0"/>
        <w:adjustRightInd w:val="0"/>
        <w:spacing w:after="0" w:line="240" w:lineRule="auto"/>
        <w:jc w:val="both"/>
        <w:rPr>
          <w:rFonts w:ascii="Arial" w:eastAsia="Times New Roman" w:hAnsi="Arial" w:cs="Arial"/>
          <w:i/>
        </w:rPr>
      </w:pPr>
    </w:p>
    <w:p w14:paraId="7B114D9F" w14:textId="3CAC1BAC" w:rsidR="00891119" w:rsidRPr="003A2F86" w:rsidRDefault="00891119" w:rsidP="00891119">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Posebni dio prora</w:t>
      </w:r>
      <w:r w:rsidRPr="003A2F86">
        <w:rPr>
          <w:rFonts w:ascii="Arial" w:eastAsia="TimesNewRoman" w:hAnsi="Arial" w:cs="Arial"/>
        </w:rPr>
        <w:t>č</w:t>
      </w:r>
      <w:r w:rsidRPr="003A2F86">
        <w:rPr>
          <w:rFonts w:ascii="Arial" w:eastAsia="Times New Roman" w:hAnsi="Arial" w:cs="Arial"/>
        </w:rPr>
        <w:t>una iskazuje se po organizacijsko</w:t>
      </w:r>
      <w:r w:rsidR="006C6F8B" w:rsidRPr="003A2F86">
        <w:rPr>
          <w:rFonts w:ascii="Arial" w:eastAsia="Times New Roman" w:hAnsi="Arial" w:cs="Arial"/>
        </w:rPr>
        <w:t>j</w:t>
      </w:r>
      <w:r w:rsidRPr="003A2F86">
        <w:rPr>
          <w:rFonts w:ascii="Arial" w:eastAsia="Times New Roman" w:hAnsi="Arial" w:cs="Arial"/>
        </w:rPr>
        <w:t xml:space="preserve"> i programskoj klasifikaciji na razini podskupine i odjeljka, dakle kroz dvije tablice (izvještaj u privitku, </w:t>
      </w:r>
      <w:hyperlink w:anchor="_11._PRIVITAK:_OPĆI" w:history="1">
        <w:r w:rsidRPr="00B356F8">
          <w:rPr>
            <w:rStyle w:val="Hiperveza"/>
            <w:rFonts w:ascii="Arial" w:eastAsia="Times New Roman" w:hAnsi="Arial" w:cs="Arial"/>
          </w:rPr>
          <w:t xml:space="preserve">članak 3. </w:t>
        </w:r>
        <w:r w:rsidR="00F1405A" w:rsidRPr="00B356F8">
          <w:rPr>
            <w:rStyle w:val="Hiperveza"/>
            <w:rFonts w:ascii="Arial" w:eastAsia="Times New Roman" w:hAnsi="Arial" w:cs="Arial"/>
          </w:rPr>
          <w:t>I</w:t>
        </w:r>
        <w:r w:rsidRPr="00B356F8">
          <w:rPr>
            <w:rStyle w:val="Hiperveza"/>
            <w:rFonts w:ascii="Arial" w:eastAsia="Times New Roman" w:hAnsi="Arial" w:cs="Arial"/>
          </w:rPr>
          <w:t>zvještaja o izvršenju Proračuna Općine Konavle</w:t>
        </w:r>
      </w:hyperlink>
      <w:r w:rsidR="00784938" w:rsidRPr="003A2F86">
        <w:rPr>
          <w:rFonts w:ascii="Arial" w:eastAsia="Times New Roman" w:hAnsi="Arial" w:cs="Arial"/>
          <w:color w:val="FF0000"/>
        </w:rPr>
        <w:t xml:space="preserve"> </w:t>
      </w:r>
      <w:r w:rsidR="00784938" w:rsidRPr="003A2F86">
        <w:rPr>
          <w:rFonts w:ascii="Arial" w:eastAsia="Times New Roman" w:hAnsi="Arial" w:cs="Arial"/>
        </w:rPr>
        <w:t>– financijski dio izvještaja</w:t>
      </w:r>
      <w:r w:rsidRPr="003A2F86">
        <w:rPr>
          <w:rFonts w:ascii="Arial" w:eastAsia="Times New Roman" w:hAnsi="Arial" w:cs="Arial"/>
        </w:rPr>
        <w:t>).</w:t>
      </w:r>
    </w:p>
    <w:p w14:paraId="61DBCF0F" w14:textId="77777777" w:rsidR="00891119" w:rsidRPr="003A2F86" w:rsidRDefault="00891119" w:rsidP="00891119">
      <w:pPr>
        <w:spacing w:after="0" w:line="240" w:lineRule="auto"/>
        <w:jc w:val="both"/>
        <w:rPr>
          <w:rFonts w:ascii="Arial" w:eastAsia="Calibri" w:hAnsi="Arial" w:cs="Arial"/>
          <w:lang w:eastAsia="en-US"/>
        </w:rPr>
      </w:pPr>
      <w:bookmarkStart w:id="288" w:name="_Hlk146002294"/>
    </w:p>
    <w:p w14:paraId="48A36DDB" w14:textId="4B955DAD" w:rsidR="00891119" w:rsidRPr="003A2F86" w:rsidRDefault="00891119" w:rsidP="00891119">
      <w:pPr>
        <w:spacing w:after="0" w:line="240" w:lineRule="auto"/>
        <w:jc w:val="both"/>
        <w:rPr>
          <w:rFonts w:ascii="Arial" w:eastAsia="Times New Roman" w:hAnsi="Arial" w:cs="Arial"/>
          <w:b/>
          <w:bCs/>
          <w:iCs/>
          <w:lang w:eastAsia="en-US"/>
        </w:rPr>
      </w:pPr>
      <w:bookmarkStart w:id="289" w:name="_Hlk207637694"/>
      <w:r w:rsidRPr="003A2F86">
        <w:rPr>
          <w:rFonts w:ascii="Arial" w:eastAsia="Times New Roman" w:hAnsi="Arial" w:cs="Arial"/>
          <w:b/>
          <w:bCs/>
          <w:iCs/>
          <w:color w:val="0070C0"/>
          <w:lang w:eastAsia="en-US"/>
        </w:rPr>
        <w:t xml:space="preserve">Ukupni rashodi i izdaci </w:t>
      </w:r>
      <w:r w:rsidRPr="003A2F86">
        <w:rPr>
          <w:rFonts w:ascii="Arial" w:eastAsia="Times New Roman" w:hAnsi="Arial" w:cs="Arial"/>
          <w:b/>
          <w:bCs/>
          <w:iCs/>
          <w:lang w:eastAsia="en-US"/>
        </w:rPr>
        <w:t xml:space="preserve">Proračuna za razdoblje siječanj – </w:t>
      </w:r>
      <w:r w:rsidR="008A47C4">
        <w:rPr>
          <w:rFonts w:ascii="Arial" w:eastAsia="Times New Roman" w:hAnsi="Arial" w:cs="Arial"/>
          <w:b/>
          <w:bCs/>
          <w:iCs/>
          <w:lang w:eastAsia="en-US"/>
        </w:rPr>
        <w:t>lipanj</w:t>
      </w:r>
      <w:r w:rsidRPr="003A2F86">
        <w:rPr>
          <w:rFonts w:ascii="Arial" w:eastAsia="Times New Roman" w:hAnsi="Arial" w:cs="Arial"/>
          <w:b/>
          <w:bCs/>
          <w:iCs/>
          <w:lang w:eastAsia="en-US"/>
        </w:rPr>
        <w:t xml:space="preserve"> 20</w:t>
      </w:r>
      <w:r w:rsidR="00114EBC" w:rsidRPr="003A2F86">
        <w:rPr>
          <w:rFonts w:ascii="Arial" w:eastAsia="Times New Roman" w:hAnsi="Arial" w:cs="Arial"/>
          <w:b/>
          <w:bCs/>
          <w:iCs/>
          <w:lang w:eastAsia="en-US"/>
        </w:rPr>
        <w:t>2</w:t>
      </w:r>
      <w:r w:rsidR="008A47C4">
        <w:rPr>
          <w:rFonts w:ascii="Arial" w:eastAsia="Times New Roman" w:hAnsi="Arial" w:cs="Arial"/>
          <w:b/>
          <w:bCs/>
          <w:iCs/>
          <w:lang w:eastAsia="en-US"/>
        </w:rPr>
        <w:t>5</w:t>
      </w:r>
      <w:r w:rsidRPr="003A2F86">
        <w:rPr>
          <w:rFonts w:ascii="Arial" w:eastAsia="Times New Roman" w:hAnsi="Arial" w:cs="Arial"/>
          <w:b/>
          <w:bCs/>
          <w:iCs/>
          <w:lang w:eastAsia="en-US"/>
        </w:rPr>
        <w:t xml:space="preserve">. </w:t>
      </w:r>
      <w:r w:rsidR="002951D4" w:rsidRPr="003A2F86">
        <w:rPr>
          <w:rFonts w:ascii="Arial" w:eastAsia="Times New Roman" w:hAnsi="Arial" w:cs="Arial"/>
          <w:b/>
          <w:bCs/>
          <w:iCs/>
          <w:lang w:eastAsia="en-US"/>
        </w:rPr>
        <w:t>izvršeni</w:t>
      </w:r>
      <w:r w:rsidRPr="003A2F86">
        <w:rPr>
          <w:rFonts w:ascii="Arial" w:eastAsia="Times New Roman" w:hAnsi="Arial" w:cs="Arial"/>
          <w:b/>
          <w:bCs/>
          <w:iCs/>
          <w:lang w:eastAsia="en-US"/>
        </w:rPr>
        <w:t xml:space="preserve"> su u iznosu </w:t>
      </w:r>
      <w:r w:rsidR="008A47C4">
        <w:rPr>
          <w:rFonts w:ascii="Arial" w:eastAsia="Times New Roman" w:hAnsi="Arial" w:cs="Arial"/>
          <w:b/>
          <w:bCs/>
          <w:iCs/>
          <w:color w:val="0070C0"/>
          <w:lang w:eastAsia="en-US"/>
        </w:rPr>
        <w:t>10.341.887,93</w:t>
      </w:r>
      <w:r w:rsidR="002951D4" w:rsidRPr="003A2F86">
        <w:rPr>
          <w:rFonts w:ascii="Arial" w:eastAsia="Times New Roman" w:hAnsi="Arial" w:cs="Arial"/>
          <w:b/>
          <w:bCs/>
          <w:iCs/>
          <w:color w:val="0070C0"/>
          <w:lang w:eastAsia="en-US"/>
        </w:rPr>
        <w:t xml:space="preserve"> €</w:t>
      </w:r>
      <w:r w:rsidRPr="003A2F86">
        <w:rPr>
          <w:rFonts w:ascii="Arial" w:eastAsia="Times New Roman" w:hAnsi="Arial" w:cs="Arial"/>
          <w:b/>
          <w:bCs/>
          <w:iCs/>
          <w:color w:val="0070C0"/>
          <w:lang w:eastAsia="en-US"/>
        </w:rPr>
        <w:t>.</w:t>
      </w:r>
    </w:p>
    <w:bookmarkEnd w:id="289"/>
    <w:p w14:paraId="5C2D00F2" w14:textId="77777777" w:rsidR="006C6F8B" w:rsidRPr="003A2F86" w:rsidRDefault="006C6F8B" w:rsidP="00891119">
      <w:pPr>
        <w:spacing w:after="0" w:line="240" w:lineRule="auto"/>
        <w:jc w:val="both"/>
        <w:rPr>
          <w:rFonts w:ascii="Arial" w:eastAsia="Times New Roman" w:hAnsi="Arial" w:cs="Arial"/>
          <w:iCs/>
          <w:lang w:eastAsia="en-US"/>
        </w:rPr>
      </w:pPr>
    </w:p>
    <w:p w14:paraId="40BA4A9E" w14:textId="0DC1BAEE" w:rsidR="00891119" w:rsidRPr="003A2F86" w:rsidRDefault="00891119" w:rsidP="00891119">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Posebni dio proračuna sadrži:</w:t>
      </w:r>
    </w:p>
    <w:p w14:paraId="45CD63FE" w14:textId="77777777" w:rsidR="00891119" w:rsidRPr="003A2F86" w:rsidRDefault="00891119" w:rsidP="00596424">
      <w:pPr>
        <w:spacing w:after="0" w:line="240" w:lineRule="auto"/>
        <w:ind w:left="567"/>
        <w:jc w:val="both"/>
        <w:rPr>
          <w:rFonts w:ascii="Arial" w:eastAsia="Times New Roman" w:hAnsi="Arial" w:cs="Arial"/>
          <w:iCs/>
          <w:lang w:eastAsia="en-US"/>
        </w:rPr>
      </w:pPr>
      <w:r w:rsidRPr="003A2F86">
        <w:rPr>
          <w:rFonts w:ascii="Arial" w:eastAsia="Times New Roman" w:hAnsi="Arial" w:cs="Arial"/>
          <w:iCs/>
          <w:lang w:eastAsia="en-US"/>
        </w:rPr>
        <w:t>- izvršenje po organizacijskoj klasifikaciji (izvršenje po razdjelima i glavi),</w:t>
      </w:r>
    </w:p>
    <w:p w14:paraId="7381E3E2" w14:textId="77777777" w:rsidR="00891119" w:rsidRPr="003A2F86" w:rsidRDefault="00891119" w:rsidP="00596424">
      <w:pPr>
        <w:spacing w:after="0" w:line="240" w:lineRule="auto"/>
        <w:ind w:left="567"/>
        <w:jc w:val="both"/>
        <w:rPr>
          <w:rFonts w:ascii="Arial" w:eastAsia="Times New Roman" w:hAnsi="Arial" w:cs="Arial"/>
          <w:iCs/>
          <w:lang w:eastAsia="en-US"/>
        </w:rPr>
      </w:pPr>
      <w:r w:rsidRPr="003A2F86">
        <w:rPr>
          <w:rFonts w:ascii="Arial" w:eastAsia="Times New Roman" w:hAnsi="Arial" w:cs="Arial"/>
          <w:iCs/>
          <w:lang w:eastAsia="en-US"/>
        </w:rPr>
        <w:t>- izvršenje po programskoj klasifikaciji (izvršenje po razdjelima i glavi, programu, aktivnosti i projektu, te računima ekonomske klasifikacije na razini podskupine i odjeljka, kao i izvorima financiranja</w:t>
      </w:r>
      <w:r w:rsidR="00AB02E3" w:rsidRPr="003A2F86">
        <w:rPr>
          <w:rFonts w:ascii="Arial" w:eastAsia="Times New Roman" w:hAnsi="Arial" w:cs="Arial"/>
          <w:iCs/>
          <w:lang w:eastAsia="en-US"/>
        </w:rPr>
        <w:t xml:space="preserve"> u okviru svakog programa i projekta zbrojno</w:t>
      </w:r>
      <w:r w:rsidRPr="003A2F86">
        <w:rPr>
          <w:rFonts w:ascii="Arial" w:eastAsia="Times New Roman" w:hAnsi="Arial" w:cs="Arial"/>
          <w:iCs/>
          <w:lang w:eastAsia="en-US"/>
        </w:rPr>
        <w:t xml:space="preserve"> na razini glave organizacijske klasifikacije).</w:t>
      </w:r>
    </w:p>
    <w:p w14:paraId="5910426C" w14:textId="77777777" w:rsidR="00891119" w:rsidRPr="003A2F86" w:rsidRDefault="00891119" w:rsidP="00891119">
      <w:pPr>
        <w:spacing w:after="0" w:line="240" w:lineRule="auto"/>
        <w:rPr>
          <w:rFonts w:ascii="Arial" w:eastAsia="Times New Roman" w:hAnsi="Arial" w:cs="Arial"/>
          <w:iCs/>
          <w:lang w:eastAsia="en-US"/>
        </w:rPr>
      </w:pPr>
    </w:p>
    <w:p w14:paraId="5EC1057E" w14:textId="77777777" w:rsidR="006C6F8B" w:rsidRPr="003A2F86" w:rsidRDefault="006C6F8B" w:rsidP="00891119">
      <w:pPr>
        <w:spacing w:after="0" w:line="240" w:lineRule="auto"/>
        <w:rPr>
          <w:rFonts w:ascii="Arial" w:eastAsia="Times New Roman" w:hAnsi="Arial" w:cs="Arial"/>
          <w:iCs/>
          <w:lang w:eastAsia="en-US"/>
        </w:rPr>
      </w:pPr>
    </w:p>
    <w:p w14:paraId="5FD103AC" w14:textId="07D57C04" w:rsidR="00891119" w:rsidRPr="003A2F86" w:rsidRDefault="006C6F8B" w:rsidP="006C6F8B">
      <w:pPr>
        <w:pStyle w:val="Naslov2"/>
        <w:jc w:val="center"/>
        <w:rPr>
          <w:rFonts w:ascii="Arial" w:hAnsi="Arial" w:cs="Arial"/>
          <w:sz w:val="22"/>
          <w:szCs w:val="22"/>
          <w:lang w:val="hr-HR"/>
        </w:rPr>
      </w:pPr>
      <w:bookmarkStart w:id="290" w:name="_Toc207707458"/>
      <w:r w:rsidRPr="003A2F86">
        <w:rPr>
          <w:rFonts w:ascii="Arial" w:hAnsi="Arial" w:cs="Arial"/>
          <w:sz w:val="22"/>
          <w:szCs w:val="22"/>
          <w:lang w:val="hr-HR"/>
        </w:rPr>
        <w:t>3.1</w:t>
      </w:r>
      <w:r w:rsidR="00891119" w:rsidRPr="003A2F86">
        <w:rPr>
          <w:rFonts w:ascii="Arial" w:hAnsi="Arial" w:cs="Arial"/>
          <w:sz w:val="22"/>
          <w:szCs w:val="22"/>
          <w:lang w:val="hr-HR"/>
        </w:rPr>
        <w:t>.</w:t>
      </w:r>
      <w:r w:rsidR="00891119" w:rsidRPr="003A2F86">
        <w:rPr>
          <w:rFonts w:ascii="Arial" w:hAnsi="Arial" w:cs="Arial"/>
          <w:sz w:val="22"/>
          <w:szCs w:val="22"/>
          <w:lang w:val="hr-HR"/>
        </w:rPr>
        <w:tab/>
        <w:t>ORGANIZACIJSKA KLASIFIKACIJA</w:t>
      </w:r>
      <w:r w:rsidR="00A90B2E" w:rsidRPr="003A2F86">
        <w:rPr>
          <w:rFonts w:ascii="Arial" w:hAnsi="Arial" w:cs="Arial"/>
          <w:sz w:val="22"/>
          <w:szCs w:val="22"/>
          <w:lang w:val="hr-HR"/>
        </w:rPr>
        <w:t xml:space="preserve"> </w:t>
      </w:r>
      <w:r w:rsidR="0030073B" w:rsidRPr="003A2F86">
        <w:rPr>
          <w:rFonts w:ascii="Arial" w:hAnsi="Arial" w:cs="Arial"/>
          <w:sz w:val="22"/>
          <w:szCs w:val="22"/>
          <w:lang w:val="hr-HR"/>
        </w:rPr>
        <w:t xml:space="preserve">- </w:t>
      </w:r>
      <w:r w:rsidR="00A90B2E" w:rsidRPr="003A2F86">
        <w:rPr>
          <w:rFonts w:ascii="Arial" w:hAnsi="Arial" w:cs="Arial"/>
          <w:sz w:val="22"/>
          <w:szCs w:val="22"/>
          <w:lang w:val="hr-HR"/>
        </w:rPr>
        <w:t>s usporednim pregledom izvršenja u izvještajnim razdobljima 2019.</w:t>
      </w:r>
      <w:r w:rsidR="002951D4" w:rsidRPr="003A2F86">
        <w:rPr>
          <w:rFonts w:ascii="Arial" w:hAnsi="Arial" w:cs="Arial"/>
          <w:sz w:val="22"/>
          <w:szCs w:val="22"/>
          <w:lang w:val="hr-HR"/>
        </w:rPr>
        <w:t>-</w:t>
      </w:r>
      <w:r w:rsidR="0004295E" w:rsidRPr="003A2F86">
        <w:rPr>
          <w:rFonts w:ascii="Arial" w:hAnsi="Arial" w:cs="Arial"/>
          <w:sz w:val="22"/>
          <w:szCs w:val="22"/>
          <w:lang w:val="hr-HR"/>
        </w:rPr>
        <w:t>202</w:t>
      </w:r>
      <w:r w:rsidR="00B223BA" w:rsidRPr="003A2F86">
        <w:rPr>
          <w:rFonts w:ascii="Arial" w:hAnsi="Arial" w:cs="Arial"/>
          <w:sz w:val="22"/>
          <w:szCs w:val="22"/>
          <w:lang w:val="hr-HR"/>
        </w:rPr>
        <w:t>4.</w:t>
      </w:r>
      <w:r w:rsidR="008A47C4">
        <w:rPr>
          <w:rFonts w:ascii="Arial" w:hAnsi="Arial" w:cs="Arial"/>
          <w:sz w:val="22"/>
          <w:szCs w:val="22"/>
          <w:lang w:val="hr-HR"/>
        </w:rPr>
        <w:t xml:space="preserve"> i 1-6/2025.</w:t>
      </w:r>
      <w:bookmarkEnd w:id="290"/>
    </w:p>
    <w:p w14:paraId="7086C089" w14:textId="77777777" w:rsidR="00891119" w:rsidRPr="003A2F86" w:rsidRDefault="00891119" w:rsidP="00891119">
      <w:pPr>
        <w:spacing w:after="0" w:line="240" w:lineRule="auto"/>
        <w:rPr>
          <w:rFonts w:ascii="Arial" w:eastAsia="Times New Roman" w:hAnsi="Arial" w:cs="Arial"/>
          <w:iCs/>
          <w:lang w:eastAsia="en-US"/>
        </w:rPr>
      </w:pPr>
    </w:p>
    <w:p w14:paraId="7C954CEA" w14:textId="3BE841A8" w:rsidR="00AB02E3" w:rsidRPr="003A2F86" w:rsidRDefault="00AB02E3" w:rsidP="00AB02E3">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Rashodi i izdaci Proračuna za razdoblje siječanj – </w:t>
      </w:r>
      <w:r w:rsidR="008A47C4">
        <w:rPr>
          <w:rFonts w:ascii="Arial" w:eastAsia="Times New Roman" w:hAnsi="Arial" w:cs="Arial"/>
          <w:iCs/>
          <w:lang w:eastAsia="en-US"/>
        </w:rPr>
        <w:t>lipanj</w:t>
      </w:r>
      <w:r w:rsidRPr="003A2F86">
        <w:rPr>
          <w:rFonts w:ascii="Arial" w:eastAsia="Times New Roman" w:hAnsi="Arial" w:cs="Arial"/>
          <w:iCs/>
          <w:lang w:eastAsia="en-US"/>
        </w:rPr>
        <w:t xml:space="preserve"> 20</w:t>
      </w:r>
      <w:r w:rsidR="00114EBC" w:rsidRPr="003A2F86">
        <w:rPr>
          <w:rFonts w:ascii="Arial" w:eastAsia="Times New Roman" w:hAnsi="Arial" w:cs="Arial"/>
          <w:iCs/>
          <w:lang w:eastAsia="en-US"/>
        </w:rPr>
        <w:t>2</w:t>
      </w:r>
      <w:r w:rsidR="008A47C4">
        <w:rPr>
          <w:rFonts w:ascii="Arial" w:eastAsia="Times New Roman" w:hAnsi="Arial" w:cs="Arial"/>
          <w:iCs/>
          <w:lang w:eastAsia="en-US"/>
        </w:rPr>
        <w:t>5</w:t>
      </w:r>
      <w:r w:rsidRPr="003A2F86">
        <w:rPr>
          <w:rFonts w:ascii="Arial" w:eastAsia="Times New Roman" w:hAnsi="Arial" w:cs="Arial"/>
          <w:iCs/>
          <w:lang w:eastAsia="en-US"/>
        </w:rPr>
        <w:t>. odnose se na rashode:</w:t>
      </w:r>
    </w:p>
    <w:p w14:paraId="06B4A4AC" w14:textId="77777777" w:rsidR="00AB02E3" w:rsidRPr="003A2F86" w:rsidRDefault="00AB02E3" w:rsidP="00AB02E3">
      <w:pPr>
        <w:spacing w:after="0" w:line="240" w:lineRule="auto"/>
        <w:jc w:val="both"/>
        <w:rPr>
          <w:rFonts w:ascii="Arial" w:eastAsia="Times New Roman" w:hAnsi="Arial" w:cs="Arial"/>
          <w:iCs/>
          <w:lang w:eastAsia="en-US"/>
        </w:rPr>
      </w:pPr>
    </w:p>
    <w:p w14:paraId="5B1E111B" w14:textId="1616BF43" w:rsidR="00AB02E3" w:rsidRPr="003A2F86" w:rsidRDefault="00AB02E3">
      <w:pPr>
        <w:numPr>
          <w:ilvl w:val="0"/>
          <w:numId w:val="11"/>
        </w:num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razdjela 010 (Općinsko vijeće i načelnik) u iznosu </w:t>
      </w:r>
      <w:r w:rsidR="008A47C4">
        <w:rPr>
          <w:rFonts w:ascii="Arial" w:eastAsia="Times New Roman" w:hAnsi="Arial" w:cs="Arial"/>
          <w:iCs/>
          <w:lang w:eastAsia="en-US"/>
        </w:rPr>
        <w:t>100.341,83</w:t>
      </w:r>
      <w:r w:rsidR="002951D4" w:rsidRPr="003A2F86">
        <w:rPr>
          <w:rFonts w:ascii="Arial" w:eastAsia="Times New Roman" w:hAnsi="Arial" w:cs="Arial"/>
          <w:iCs/>
          <w:lang w:eastAsia="en-US"/>
        </w:rPr>
        <w:t xml:space="preserve"> €</w:t>
      </w:r>
      <w:r w:rsidRPr="003A2F86">
        <w:rPr>
          <w:rFonts w:ascii="Arial" w:eastAsia="Times New Roman" w:hAnsi="Arial" w:cs="Arial"/>
          <w:iCs/>
          <w:lang w:eastAsia="en-US"/>
        </w:rPr>
        <w:t>,</w:t>
      </w:r>
    </w:p>
    <w:p w14:paraId="2B83229C" w14:textId="2B01A441" w:rsidR="00AB02E3" w:rsidRPr="003A2F86" w:rsidRDefault="00AB02E3">
      <w:pPr>
        <w:numPr>
          <w:ilvl w:val="0"/>
          <w:numId w:val="11"/>
        </w:num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razdjela 020 (Upravni odjel za opće poslove, mjesnu samoupravu i društvene djelatnosti) u iznosu </w:t>
      </w:r>
      <w:r w:rsidR="008A47C4">
        <w:rPr>
          <w:rFonts w:ascii="Arial" w:eastAsia="Times New Roman" w:hAnsi="Arial" w:cs="Arial"/>
          <w:iCs/>
          <w:lang w:eastAsia="en-US"/>
        </w:rPr>
        <w:t>4.024.141,13</w:t>
      </w:r>
      <w:r w:rsidR="002951D4" w:rsidRPr="003A2F86">
        <w:rPr>
          <w:rFonts w:ascii="Arial" w:eastAsia="Times New Roman" w:hAnsi="Arial" w:cs="Arial"/>
          <w:iCs/>
          <w:lang w:eastAsia="en-US"/>
        </w:rPr>
        <w:t xml:space="preserve"> €</w:t>
      </w:r>
      <w:r w:rsidRPr="003A2F86">
        <w:rPr>
          <w:rFonts w:ascii="Arial" w:eastAsia="Times New Roman" w:hAnsi="Arial" w:cs="Arial"/>
          <w:iCs/>
          <w:lang w:eastAsia="en-US"/>
        </w:rPr>
        <w:t>,</w:t>
      </w:r>
    </w:p>
    <w:p w14:paraId="60D3806E" w14:textId="4ECD88F0" w:rsidR="00AB02E3" w:rsidRPr="003A2F86" w:rsidRDefault="00AB02E3">
      <w:pPr>
        <w:numPr>
          <w:ilvl w:val="0"/>
          <w:numId w:val="11"/>
        </w:num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razdjela 030 (Upravni odjel za </w:t>
      </w:r>
      <w:r w:rsidR="00B223BA" w:rsidRPr="003A2F86">
        <w:rPr>
          <w:rFonts w:ascii="Arial" w:eastAsia="Times New Roman" w:hAnsi="Arial" w:cs="Arial"/>
          <w:iCs/>
          <w:lang w:eastAsia="en-US"/>
        </w:rPr>
        <w:t xml:space="preserve">prostorno uređenje, zaštitu okoliša, </w:t>
      </w:r>
      <w:r w:rsidRPr="003A2F86">
        <w:rPr>
          <w:rFonts w:ascii="Arial" w:eastAsia="Times New Roman" w:hAnsi="Arial" w:cs="Arial"/>
          <w:iCs/>
          <w:lang w:eastAsia="en-US"/>
        </w:rPr>
        <w:t xml:space="preserve">komunalni sustav i gospodarenje nekretninama) u iznosu </w:t>
      </w:r>
      <w:r w:rsidR="008A47C4">
        <w:rPr>
          <w:rFonts w:ascii="Arial" w:eastAsia="Times New Roman" w:hAnsi="Arial" w:cs="Arial"/>
          <w:iCs/>
          <w:lang w:eastAsia="en-US"/>
        </w:rPr>
        <w:t>5.584.135,14</w:t>
      </w:r>
      <w:r w:rsidR="002951D4" w:rsidRPr="003A2F86">
        <w:rPr>
          <w:rFonts w:ascii="Arial" w:eastAsia="Times New Roman" w:hAnsi="Arial" w:cs="Arial"/>
          <w:iCs/>
          <w:lang w:eastAsia="en-US"/>
        </w:rPr>
        <w:t xml:space="preserve"> €</w:t>
      </w:r>
      <w:r w:rsidRPr="003A2F86">
        <w:rPr>
          <w:rFonts w:ascii="Arial" w:eastAsia="Times New Roman" w:hAnsi="Arial" w:cs="Arial"/>
          <w:iCs/>
          <w:lang w:eastAsia="en-US"/>
        </w:rPr>
        <w:t>,</w:t>
      </w:r>
    </w:p>
    <w:p w14:paraId="49542E0F" w14:textId="0C4E1276" w:rsidR="00B3557A" w:rsidRPr="003A2F86" w:rsidRDefault="00AB02E3" w:rsidP="0030073B">
      <w:pPr>
        <w:numPr>
          <w:ilvl w:val="0"/>
          <w:numId w:val="11"/>
        </w:num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razdjela 040 (Upravni odjel za ruralni razvoj, gospodarstvo i EU fondove) u iznosu </w:t>
      </w:r>
      <w:r w:rsidR="008A47C4">
        <w:rPr>
          <w:rFonts w:ascii="Arial" w:eastAsia="Times New Roman" w:hAnsi="Arial" w:cs="Arial"/>
          <w:iCs/>
          <w:lang w:eastAsia="en-US"/>
        </w:rPr>
        <w:t>633.269,83</w:t>
      </w:r>
      <w:r w:rsidR="002951D4" w:rsidRPr="003A2F86">
        <w:rPr>
          <w:rFonts w:ascii="Arial" w:eastAsia="Times New Roman" w:hAnsi="Arial" w:cs="Arial"/>
          <w:iCs/>
          <w:lang w:eastAsia="en-US"/>
        </w:rPr>
        <w:t xml:space="preserve"> €</w:t>
      </w:r>
      <w:r w:rsidR="00B3557A" w:rsidRPr="003A2F86">
        <w:rPr>
          <w:rFonts w:ascii="Arial" w:eastAsia="Times New Roman" w:hAnsi="Arial" w:cs="Arial"/>
          <w:iCs/>
          <w:lang w:eastAsia="en-US"/>
        </w:rPr>
        <w:t>.</w:t>
      </w:r>
    </w:p>
    <w:p w14:paraId="4B99F892" w14:textId="77777777" w:rsidR="006B2323" w:rsidRPr="003A2F86" w:rsidRDefault="006B2323" w:rsidP="006B2323">
      <w:pPr>
        <w:spacing w:after="0" w:line="240" w:lineRule="auto"/>
        <w:jc w:val="both"/>
        <w:rPr>
          <w:rFonts w:ascii="Arial" w:eastAsia="Times New Roman" w:hAnsi="Arial" w:cs="Arial"/>
          <w:iCs/>
          <w:lang w:eastAsia="en-US"/>
        </w:rPr>
      </w:pPr>
    </w:p>
    <w:p w14:paraId="7B9F0407" w14:textId="68101246" w:rsidR="00AB02E3" w:rsidRPr="003A2F86" w:rsidRDefault="006B2323" w:rsidP="006B2323">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R</w:t>
      </w:r>
      <w:r w:rsidR="00AB02E3" w:rsidRPr="003A2F86">
        <w:rPr>
          <w:rFonts w:ascii="Arial" w:eastAsia="Times New Roman" w:hAnsi="Arial" w:cs="Arial"/>
          <w:iCs/>
          <w:lang w:eastAsia="en-US"/>
        </w:rPr>
        <w:t>azdjel</w:t>
      </w:r>
      <w:r w:rsidR="00B3557A" w:rsidRPr="003A2F86">
        <w:rPr>
          <w:rFonts w:ascii="Arial" w:eastAsia="Times New Roman" w:hAnsi="Arial" w:cs="Arial"/>
          <w:iCs/>
          <w:lang w:eastAsia="en-US"/>
        </w:rPr>
        <w:t xml:space="preserve"> </w:t>
      </w:r>
      <w:r w:rsidR="00AB02E3" w:rsidRPr="003A2F86">
        <w:rPr>
          <w:rFonts w:ascii="Arial" w:eastAsia="Times New Roman" w:hAnsi="Arial" w:cs="Arial"/>
          <w:iCs/>
          <w:lang w:eastAsia="en-US"/>
        </w:rPr>
        <w:t xml:space="preserve">050 (Upravni odjel za prostorno uređenje i zaštitu okoliša) </w:t>
      </w:r>
      <w:r w:rsidR="00B3557A" w:rsidRPr="003A2F86">
        <w:rPr>
          <w:rFonts w:ascii="Arial" w:eastAsia="Times New Roman" w:hAnsi="Arial" w:cs="Arial"/>
          <w:iCs/>
          <w:lang w:eastAsia="en-US"/>
        </w:rPr>
        <w:t>je početkom 2024. godine spojen s razdjelom 0</w:t>
      </w:r>
      <w:r w:rsidR="0030073B" w:rsidRPr="003A2F86">
        <w:rPr>
          <w:rFonts w:ascii="Arial" w:eastAsia="Times New Roman" w:hAnsi="Arial" w:cs="Arial"/>
          <w:iCs/>
          <w:lang w:eastAsia="en-US"/>
        </w:rPr>
        <w:t>3</w:t>
      </w:r>
      <w:r w:rsidR="00B3557A" w:rsidRPr="003A2F86">
        <w:rPr>
          <w:rFonts w:ascii="Arial" w:eastAsia="Times New Roman" w:hAnsi="Arial" w:cs="Arial"/>
          <w:iCs/>
          <w:lang w:eastAsia="en-US"/>
        </w:rPr>
        <w:t>0.</w:t>
      </w:r>
    </w:p>
    <w:p w14:paraId="7E7D99B9" w14:textId="77777777" w:rsidR="006B5F44" w:rsidRPr="003A2F86" w:rsidRDefault="006B5F44" w:rsidP="00162169">
      <w:pPr>
        <w:spacing w:after="0" w:line="240" w:lineRule="auto"/>
        <w:jc w:val="both"/>
        <w:rPr>
          <w:rFonts w:ascii="Arial" w:eastAsia="Times New Roman" w:hAnsi="Arial" w:cs="Arial"/>
          <w:iCs/>
          <w:sz w:val="16"/>
          <w:lang w:eastAsia="en-US"/>
        </w:rPr>
      </w:pPr>
    </w:p>
    <w:p w14:paraId="27B65C0D" w14:textId="7850B6F9" w:rsidR="008A1FDD" w:rsidRPr="003A2F86" w:rsidRDefault="008A1FDD" w:rsidP="00162169">
      <w:pPr>
        <w:spacing w:after="0" w:line="240" w:lineRule="auto"/>
        <w:jc w:val="both"/>
        <w:rPr>
          <w:rFonts w:ascii="Arial" w:eastAsia="Times New Roman" w:hAnsi="Arial" w:cs="Arial"/>
          <w:iCs/>
          <w:szCs w:val="32"/>
          <w:lang w:eastAsia="en-US"/>
        </w:rPr>
      </w:pPr>
      <w:bookmarkStart w:id="291" w:name="_Hlk80799543"/>
      <w:r w:rsidRPr="003A2F86">
        <w:rPr>
          <w:rFonts w:ascii="Arial" w:eastAsia="Times New Roman" w:hAnsi="Arial" w:cs="Arial"/>
          <w:b/>
          <w:bCs/>
          <w:iCs/>
          <w:szCs w:val="32"/>
          <w:lang w:eastAsia="en-US"/>
        </w:rPr>
        <w:t xml:space="preserve">Rashodi svakog razdjela su u nastavku prikazani kroz </w:t>
      </w:r>
      <w:r w:rsidR="008B51C5" w:rsidRPr="003A2F86">
        <w:rPr>
          <w:rFonts w:ascii="Arial" w:eastAsia="Times New Roman" w:hAnsi="Arial" w:cs="Arial"/>
          <w:b/>
          <w:bCs/>
          <w:iCs/>
          <w:szCs w:val="32"/>
          <w:lang w:eastAsia="en-US"/>
        </w:rPr>
        <w:t xml:space="preserve">tablicu u kojoj </w:t>
      </w:r>
      <w:r w:rsidR="00D7728A" w:rsidRPr="003A2F86">
        <w:rPr>
          <w:rFonts w:ascii="Arial" w:eastAsia="Times New Roman" w:hAnsi="Arial" w:cs="Arial"/>
          <w:b/>
          <w:bCs/>
          <w:iCs/>
          <w:szCs w:val="32"/>
          <w:lang w:eastAsia="en-US"/>
        </w:rPr>
        <w:t xml:space="preserve">se daje usporedba iznosa izvršenih rashoda u tekućoj i </w:t>
      </w:r>
      <w:r w:rsidR="00B42227">
        <w:rPr>
          <w:rFonts w:ascii="Arial" w:eastAsia="Times New Roman" w:hAnsi="Arial" w:cs="Arial"/>
          <w:b/>
          <w:bCs/>
          <w:iCs/>
          <w:szCs w:val="32"/>
          <w:lang w:eastAsia="en-US"/>
        </w:rPr>
        <w:t>pet</w:t>
      </w:r>
      <w:r w:rsidR="00D7728A" w:rsidRPr="003A2F86">
        <w:rPr>
          <w:rFonts w:ascii="Arial" w:eastAsia="Times New Roman" w:hAnsi="Arial" w:cs="Arial"/>
          <w:b/>
          <w:bCs/>
          <w:iCs/>
          <w:szCs w:val="32"/>
          <w:lang w:eastAsia="en-US"/>
        </w:rPr>
        <w:t xml:space="preserve"> prethodn</w:t>
      </w:r>
      <w:r w:rsidR="00B42227">
        <w:rPr>
          <w:rFonts w:ascii="Arial" w:eastAsia="Times New Roman" w:hAnsi="Arial" w:cs="Arial"/>
          <w:b/>
          <w:bCs/>
          <w:iCs/>
          <w:szCs w:val="32"/>
          <w:lang w:eastAsia="en-US"/>
        </w:rPr>
        <w:t>ih</w:t>
      </w:r>
      <w:r w:rsidR="00D7728A" w:rsidRPr="003A2F86">
        <w:rPr>
          <w:rFonts w:ascii="Arial" w:eastAsia="Times New Roman" w:hAnsi="Arial" w:cs="Arial"/>
          <w:b/>
          <w:bCs/>
          <w:iCs/>
          <w:szCs w:val="32"/>
          <w:lang w:eastAsia="en-US"/>
        </w:rPr>
        <w:t xml:space="preserve"> proračunsk</w:t>
      </w:r>
      <w:r w:rsidR="00B42227">
        <w:rPr>
          <w:rFonts w:ascii="Arial" w:eastAsia="Times New Roman" w:hAnsi="Arial" w:cs="Arial"/>
          <w:b/>
          <w:bCs/>
          <w:iCs/>
          <w:szCs w:val="32"/>
          <w:lang w:eastAsia="en-US"/>
        </w:rPr>
        <w:t>ih</w:t>
      </w:r>
      <w:r w:rsidR="00D7728A" w:rsidRPr="003A2F86">
        <w:rPr>
          <w:rFonts w:ascii="Arial" w:eastAsia="Times New Roman" w:hAnsi="Arial" w:cs="Arial"/>
          <w:b/>
          <w:bCs/>
          <w:iCs/>
          <w:szCs w:val="32"/>
          <w:lang w:eastAsia="en-US"/>
        </w:rPr>
        <w:t xml:space="preserve"> godin</w:t>
      </w:r>
      <w:r w:rsidR="00B42227">
        <w:rPr>
          <w:rFonts w:ascii="Arial" w:eastAsia="Times New Roman" w:hAnsi="Arial" w:cs="Arial"/>
          <w:b/>
          <w:bCs/>
          <w:iCs/>
          <w:szCs w:val="32"/>
          <w:lang w:eastAsia="en-US"/>
        </w:rPr>
        <w:t>a</w:t>
      </w:r>
      <w:r w:rsidR="00D7728A" w:rsidRPr="003A2F86">
        <w:rPr>
          <w:rFonts w:ascii="Arial" w:eastAsia="Times New Roman" w:hAnsi="Arial" w:cs="Arial"/>
          <w:iCs/>
          <w:szCs w:val="32"/>
          <w:lang w:eastAsia="en-US"/>
        </w:rPr>
        <w:t xml:space="preserve">, s obzirom da </w:t>
      </w:r>
      <w:r w:rsidR="006B5F44" w:rsidRPr="003A2F86">
        <w:rPr>
          <w:rFonts w:ascii="Arial" w:eastAsia="Times New Roman" w:hAnsi="Arial" w:cs="Arial"/>
          <w:iCs/>
          <w:szCs w:val="32"/>
          <w:lang w:eastAsia="en-US"/>
        </w:rPr>
        <w:t>je izvršenje rashoda u 2020. i 2021. uvjetovano smanjenim proračunski</w:t>
      </w:r>
      <w:r w:rsidR="00501627" w:rsidRPr="003A2F86">
        <w:rPr>
          <w:rFonts w:ascii="Arial" w:eastAsia="Times New Roman" w:hAnsi="Arial" w:cs="Arial"/>
          <w:iCs/>
          <w:szCs w:val="32"/>
          <w:lang w:eastAsia="en-US"/>
        </w:rPr>
        <w:t>m</w:t>
      </w:r>
      <w:r w:rsidR="006B5F44" w:rsidRPr="003A2F86">
        <w:rPr>
          <w:rFonts w:ascii="Arial" w:eastAsia="Times New Roman" w:hAnsi="Arial" w:cs="Arial"/>
          <w:iCs/>
          <w:szCs w:val="32"/>
          <w:lang w:eastAsia="en-US"/>
        </w:rPr>
        <w:t xml:space="preserve"> prihodima.</w:t>
      </w:r>
    </w:p>
    <w:bookmarkEnd w:id="288"/>
    <w:bookmarkEnd w:id="291"/>
    <w:p w14:paraId="0F308580" w14:textId="68ECA11A" w:rsidR="006B5F44" w:rsidRPr="003A2F86" w:rsidRDefault="006B5F44" w:rsidP="00162169">
      <w:pPr>
        <w:spacing w:after="0" w:line="240" w:lineRule="auto"/>
        <w:jc w:val="both"/>
      </w:pPr>
    </w:p>
    <w:p w14:paraId="695A52F7" w14:textId="77777777" w:rsidR="004D13DB" w:rsidRPr="003A2F86" w:rsidRDefault="004D13DB" w:rsidP="00162169">
      <w:pPr>
        <w:spacing w:after="0" w:line="240" w:lineRule="auto"/>
        <w:jc w:val="both"/>
      </w:pPr>
    </w:p>
    <w:p w14:paraId="2FFC010C" w14:textId="77777777" w:rsidR="006B2323" w:rsidRPr="003A2F86" w:rsidRDefault="006B2323" w:rsidP="00162169">
      <w:pPr>
        <w:spacing w:after="0" w:line="240" w:lineRule="auto"/>
        <w:jc w:val="both"/>
      </w:pPr>
    </w:p>
    <w:p w14:paraId="796DE798" w14:textId="77777777" w:rsidR="004D13DB" w:rsidRPr="003A2F86" w:rsidRDefault="004D13DB" w:rsidP="00162169">
      <w:pPr>
        <w:spacing w:after="0" w:line="240" w:lineRule="auto"/>
        <w:jc w:val="both"/>
      </w:pPr>
    </w:p>
    <w:p w14:paraId="184B2421" w14:textId="77777777" w:rsidR="004D13DB" w:rsidRPr="003A2F86" w:rsidRDefault="004D13DB" w:rsidP="00162169">
      <w:pPr>
        <w:spacing w:after="0" w:line="240" w:lineRule="auto"/>
        <w:jc w:val="both"/>
      </w:pPr>
    </w:p>
    <w:p w14:paraId="773A002B" w14:textId="77777777" w:rsidR="004D13DB" w:rsidRPr="003A2F86" w:rsidRDefault="004D13DB" w:rsidP="00162169">
      <w:pPr>
        <w:spacing w:after="0" w:line="240" w:lineRule="auto"/>
        <w:jc w:val="both"/>
      </w:pPr>
    </w:p>
    <w:p w14:paraId="3FDD7C3C" w14:textId="77777777" w:rsidR="004D13DB" w:rsidRPr="003A2F86" w:rsidRDefault="004D13DB" w:rsidP="00162169">
      <w:pPr>
        <w:spacing w:after="0" w:line="240" w:lineRule="auto"/>
        <w:jc w:val="both"/>
      </w:pPr>
    </w:p>
    <w:p w14:paraId="5B7F6C42" w14:textId="77777777" w:rsidR="004D13DB" w:rsidRPr="003A2F86" w:rsidRDefault="004D13DB" w:rsidP="00162169">
      <w:pPr>
        <w:spacing w:after="0" w:line="240" w:lineRule="auto"/>
        <w:jc w:val="both"/>
      </w:pPr>
    </w:p>
    <w:p w14:paraId="538ED2B4" w14:textId="77777777" w:rsidR="004D13DB" w:rsidRPr="003A2F86" w:rsidRDefault="004D13DB" w:rsidP="00162169">
      <w:pPr>
        <w:spacing w:after="0" w:line="240" w:lineRule="auto"/>
        <w:jc w:val="both"/>
      </w:pPr>
    </w:p>
    <w:p w14:paraId="1F003018" w14:textId="77777777" w:rsidR="004D13DB" w:rsidRPr="003A2F86" w:rsidRDefault="004D13DB" w:rsidP="00162169">
      <w:pPr>
        <w:spacing w:after="0" w:line="240" w:lineRule="auto"/>
        <w:jc w:val="both"/>
        <w:rPr>
          <w:rFonts w:ascii="Arial" w:eastAsia="Times New Roman" w:hAnsi="Arial" w:cs="Arial"/>
          <w:iCs/>
          <w:sz w:val="16"/>
          <w:lang w:eastAsia="en-US"/>
        </w:rPr>
      </w:pPr>
    </w:p>
    <w:p w14:paraId="2D0320A6" w14:textId="3C6759D0" w:rsidR="006B5F44" w:rsidRPr="003A2F86" w:rsidRDefault="006B5F44" w:rsidP="00162169">
      <w:pPr>
        <w:spacing w:after="0" w:line="240" w:lineRule="auto"/>
        <w:jc w:val="both"/>
        <w:rPr>
          <w:rFonts w:ascii="Arial" w:eastAsia="Times New Roman" w:hAnsi="Arial" w:cs="Arial"/>
          <w:iCs/>
          <w:sz w:val="16"/>
          <w:lang w:eastAsia="en-US"/>
        </w:rPr>
      </w:pPr>
    </w:p>
    <w:p w14:paraId="494701F3" w14:textId="77777777" w:rsidR="006B5F44" w:rsidRPr="003A2F86" w:rsidRDefault="006B5F44" w:rsidP="00162169">
      <w:pPr>
        <w:spacing w:after="0" w:line="240" w:lineRule="auto"/>
        <w:jc w:val="both"/>
        <w:rPr>
          <w:rFonts w:ascii="Arial" w:eastAsia="Times New Roman" w:hAnsi="Arial" w:cs="Arial"/>
          <w:iCs/>
          <w:sz w:val="16"/>
          <w:lang w:eastAsia="en-US"/>
        </w:rPr>
      </w:pPr>
    </w:p>
    <w:tbl>
      <w:tblPr>
        <w:tblW w:w="11341" w:type="dxa"/>
        <w:jc w:val="center"/>
        <w:tblLook w:val="04A0" w:firstRow="1" w:lastRow="0" w:firstColumn="1" w:lastColumn="0" w:noHBand="0" w:noVBand="1"/>
      </w:tblPr>
      <w:tblGrid>
        <w:gridCol w:w="1245"/>
        <w:gridCol w:w="973"/>
        <w:gridCol w:w="9123"/>
      </w:tblGrid>
      <w:tr w:rsidR="0083010D" w:rsidRPr="003A2F86" w14:paraId="3E3C8181" w14:textId="77777777" w:rsidTr="0006533E">
        <w:trPr>
          <w:trHeight w:val="212"/>
          <w:jc w:val="center"/>
        </w:trPr>
        <w:tc>
          <w:tcPr>
            <w:tcW w:w="1245" w:type="dxa"/>
            <w:tcBorders>
              <w:top w:val="nil"/>
              <w:left w:val="nil"/>
              <w:bottom w:val="nil"/>
              <w:right w:val="nil"/>
            </w:tcBorders>
            <w:shd w:val="clear" w:color="000000" w:fill="A5A5A5"/>
            <w:noWrap/>
            <w:vAlign w:val="center"/>
            <w:hideMark/>
          </w:tcPr>
          <w:p w14:paraId="774FCBC1" w14:textId="77777777" w:rsidR="00162169" w:rsidRPr="003A2F86" w:rsidRDefault="00162169" w:rsidP="00BD2DA1">
            <w:pPr>
              <w:spacing w:after="0" w:line="240" w:lineRule="auto"/>
              <w:jc w:val="center"/>
              <w:rPr>
                <w:rFonts w:ascii="Arial" w:eastAsia="Times New Roman" w:hAnsi="Arial" w:cs="Arial"/>
                <w:b/>
                <w:bCs/>
                <w:sz w:val="18"/>
                <w:szCs w:val="18"/>
              </w:rPr>
            </w:pPr>
            <w:bookmarkStart w:id="292" w:name="_Hlk114757569"/>
            <w:r w:rsidRPr="003A2F86">
              <w:rPr>
                <w:rFonts w:ascii="Arial" w:eastAsia="Times New Roman" w:hAnsi="Arial" w:cs="Arial"/>
                <w:b/>
                <w:bCs/>
                <w:sz w:val="18"/>
                <w:szCs w:val="18"/>
              </w:rPr>
              <w:lastRenderedPageBreak/>
              <w:t>RAZDJEL:</w:t>
            </w:r>
          </w:p>
        </w:tc>
        <w:tc>
          <w:tcPr>
            <w:tcW w:w="973" w:type="dxa"/>
            <w:tcBorders>
              <w:top w:val="nil"/>
              <w:left w:val="nil"/>
              <w:bottom w:val="nil"/>
              <w:right w:val="nil"/>
            </w:tcBorders>
            <w:shd w:val="clear" w:color="000000" w:fill="A5A5A5"/>
            <w:noWrap/>
            <w:vAlign w:val="center"/>
            <w:hideMark/>
          </w:tcPr>
          <w:p w14:paraId="4B489B5B" w14:textId="77777777" w:rsidR="00162169" w:rsidRPr="003A2F86" w:rsidRDefault="00162169" w:rsidP="00162169">
            <w:pPr>
              <w:spacing w:after="0" w:line="240" w:lineRule="auto"/>
              <w:jc w:val="center"/>
              <w:rPr>
                <w:rFonts w:ascii="Arial" w:eastAsia="Times New Roman" w:hAnsi="Arial" w:cs="Arial"/>
                <w:b/>
                <w:bCs/>
                <w:sz w:val="18"/>
                <w:szCs w:val="18"/>
              </w:rPr>
            </w:pPr>
            <w:r w:rsidRPr="003A2F86">
              <w:rPr>
                <w:rFonts w:ascii="Arial" w:eastAsia="Times New Roman" w:hAnsi="Arial" w:cs="Arial"/>
                <w:b/>
                <w:bCs/>
                <w:sz w:val="18"/>
                <w:szCs w:val="18"/>
              </w:rPr>
              <w:t>010</w:t>
            </w:r>
          </w:p>
        </w:tc>
        <w:tc>
          <w:tcPr>
            <w:tcW w:w="9123" w:type="dxa"/>
            <w:tcBorders>
              <w:top w:val="nil"/>
              <w:left w:val="nil"/>
              <w:bottom w:val="nil"/>
              <w:right w:val="nil"/>
            </w:tcBorders>
            <w:shd w:val="clear" w:color="000000" w:fill="A5A5A5"/>
            <w:noWrap/>
            <w:vAlign w:val="center"/>
            <w:hideMark/>
          </w:tcPr>
          <w:p w14:paraId="3B7CCFCB" w14:textId="77777777" w:rsidR="00162169" w:rsidRPr="003A2F86" w:rsidRDefault="00162169" w:rsidP="00BD2DA1">
            <w:pPr>
              <w:spacing w:after="0" w:line="240" w:lineRule="auto"/>
              <w:jc w:val="center"/>
              <w:rPr>
                <w:rFonts w:ascii="Arial" w:eastAsia="Times New Roman" w:hAnsi="Arial" w:cs="Arial"/>
                <w:b/>
                <w:bCs/>
              </w:rPr>
            </w:pPr>
            <w:r w:rsidRPr="003A2F86">
              <w:rPr>
                <w:rFonts w:ascii="Arial" w:eastAsia="Times New Roman" w:hAnsi="Arial" w:cs="Arial"/>
                <w:b/>
                <w:bCs/>
              </w:rPr>
              <w:t>OPĆINSKO VIJEĆE I NAČELNIK</w:t>
            </w:r>
          </w:p>
        </w:tc>
      </w:tr>
    </w:tbl>
    <w:p w14:paraId="3240F4C7" w14:textId="77777777" w:rsidR="0006533E" w:rsidRPr="003A2F86" w:rsidRDefault="0006533E" w:rsidP="00891119">
      <w:pPr>
        <w:spacing w:after="0" w:line="240" w:lineRule="auto"/>
        <w:jc w:val="both"/>
        <w:rPr>
          <w:rFonts w:ascii="Arial" w:eastAsia="Times New Roman" w:hAnsi="Arial" w:cs="Arial"/>
          <w:iCs/>
          <w:sz w:val="16"/>
          <w:lang w:eastAsia="en-US"/>
        </w:rPr>
      </w:pPr>
    </w:p>
    <w:p w14:paraId="00FB31A4" w14:textId="2D9FE5B3" w:rsidR="00891119" w:rsidRPr="003A2F86" w:rsidRDefault="00891119" w:rsidP="00891119">
      <w:pPr>
        <w:spacing w:after="0" w:line="240" w:lineRule="auto"/>
        <w:jc w:val="both"/>
        <w:rPr>
          <w:rFonts w:ascii="Arial" w:eastAsia="Times New Roman" w:hAnsi="Arial" w:cs="Arial"/>
          <w:iCs/>
          <w:lang w:eastAsia="en-US"/>
        </w:rPr>
      </w:pPr>
      <w:bookmarkStart w:id="293" w:name="_Hlk146003591"/>
      <w:r w:rsidRPr="003A2F86">
        <w:rPr>
          <w:rFonts w:ascii="Arial" w:eastAsia="Times New Roman" w:hAnsi="Arial" w:cs="Arial"/>
          <w:iCs/>
          <w:lang w:eastAsia="en-US"/>
        </w:rPr>
        <w:t xml:space="preserve">Rashodi i izdaci razdjela 010 (Općinsko vijeće i načelnik) u iznosu </w:t>
      </w:r>
      <w:r w:rsidR="00931E82">
        <w:rPr>
          <w:rFonts w:ascii="Arial" w:eastAsia="Times New Roman" w:hAnsi="Arial" w:cs="Arial"/>
          <w:iCs/>
          <w:lang w:eastAsia="en-US"/>
        </w:rPr>
        <w:t>100.341,83</w:t>
      </w:r>
      <w:r w:rsidR="002951D4"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odnose se na rashode podijeljene u dvije glave:</w:t>
      </w:r>
    </w:p>
    <w:p w14:paraId="3CA9DC49" w14:textId="77777777" w:rsidR="009B2D4E" w:rsidRPr="003A2F86" w:rsidRDefault="009B2D4E" w:rsidP="00891119">
      <w:pPr>
        <w:spacing w:after="0" w:line="240" w:lineRule="auto"/>
        <w:jc w:val="both"/>
        <w:rPr>
          <w:rFonts w:ascii="Arial" w:eastAsia="Times New Roman" w:hAnsi="Arial" w:cs="Arial"/>
          <w:iCs/>
          <w:lang w:eastAsia="en-US"/>
        </w:rPr>
      </w:pPr>
    </w:p>
    <w:p w14:paraId="385CBEDC" w14:textId="4E700E33" w:rsidR="00931E82" w:rsidRPr="003A2F86" w:rsidRDefault="00931E82" w:rsidP="00891119">
      <w:pPr>
        <w:spacing w:after="0" w:line="240" w:lineRule="auto"/>
        <w:jc w:val="both"/>
        <w:rPr>
          <w:rFonts w:ascii="Arial" w:eastAsia="Times New Roman" w:hAnsi="Arial" w:cs="Arial"/>
          <w:iCs/>
          <w:lang w:eastAsia="en-US"/>
        </w:rPr>
      </w:pPr>
      <w:bookmarkStart w:id="294" w:name="_Hlk166657482"/>
      <w:r w:rsidRPr="00931E82">
        <w:rPr>
          <w:noProof/>
        </w:rPr>
        <w:drawing>
          <wp:inline distT="0" distB="0" distL="0" distR="0" wp14:anchorId="5C783D04" wp14:editId="7DFE273A">
            <wp:extent cx="9251950" cy="2281555"/>
            <wp:effectExtent l="0" t="0" r="6350" b="4445"/>
            <wp:docPr id="160727725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51950" cy="2281555"/>
                    </a:xfrm>
                    <a:prstGeom prst="rect">
                      <a:avLst/>
                    </a:prstGeom>
                    <a:noFill/>
                    <a:ln>
                      <a:noFill/>
                    </a:ln>
                  </pic:spPr>
                </pic:pic>
              </a:graphicData>
            </a:graphic>
          </wp:inline>
        </w:drawing>
      </w:r>
    </w:p>
    <w:p w14:paraId="52513E48" w14:textId="77777777" w:rsidR="0015480C" w:rsidRDefault="0015480C" w:rsidP="00891119">
      <w:pPr>
        <w:spacing w:after="0" w:line="240" w:lineRule="auto"/>
        <w:jc w:val="both"/>
        <w:rPr>
          <w:rFonts w:ascii="Arial" w:eastAsia="Times New Roman" w:hAnsi="Arial" w:cs="Arial"/>
          <w:iCs/>
          <w:lang w:eastAsia="en-US"/>
        </w:rPr>
      </w:pPr>
    </w:p>
    <w:p w14:paraId="32DEBD0B" w14:textId="1A33DA7A" w:rsidR="00891119" w:rsidRPr="003A2F86" w:rsidRDefault="00BD2DA1" w:rsidP="00891119">
      <w:pPr>
        <w:spacing w:after="0" w:line="240" w:lineRule="auto"/>
        <w:jc w:val="both"/>
        <w:rPr>
          <w:rFonts w:ascii="Arial" w:eastAsia="Times New Roman" w:hAnsi="Arial" w:cs="Arial"/>
          <w:iCs/>
          <w:lang w:eastAsia="en-US"/>
        </w:rPr>
      </w:pPr>
      <w:bookmarkStart w:id="295" w:name="_Hlk207638188"/>
      <w:r w:rsidRPr="003A2F86">
        <w:rPr>
          <w:rFonts w:ascii="Arial" w:eastAsia="Times New Roman" w:hAnsi="Arial" w:cs="Arial"/>
          <w:iCs/>
          <w:lang w:eastAsia="en-US"/>
        </w:rPr>
        <w:t>Vrijednosno značajniji r</w:t>
      </w:r>
      <w:r w:rsidR="00891119" w:rsidRPr="003A2F86">
        <w:rPr>
          <w:rFonts w:ascii="Arial" w:eastAsia="Times New Roman" w:hAnsi="Arial" w:cs="Arial"/>
          <w:iCs/>
          <w:lang w:eastAsia="en-US"/>
        </w:rPr>
        <w:t xml:space="preserve">ashodi Općinskog vijeća – predstavničko tijelo (glava 01001) se odnose na </w:t>
      </w:r>
      <w:r w:rsidR="00931E82">
        <w:rPr>
          <w:rFonts w:ascii="Arial" w:eastAsia="Times New Roman" w:hAnsi="Arial" w:cs="Arial"/>
          <w:iCs/>
          <w:lang w:eastAsia="en-US"/>
        </w:rPr>
        <w:t xml:space="preserve">naknade za rad biračkih odbora i izbornog povjerenstva kod provedbe lokalnih izbora 53.509,12 €, te </w:t>
      </w:r>
      <w:r w:rsidR="002951D4" w:rsidRPr="003A2F86">
        <w:rPr>
          <w:rFonts w:ascii="Arial" w:eastAsia="Times New Roman" w:hAnsi="Arial" w:cs="Arial"/>
          <w:iCs/>
          <w:lang w:eastAsia="en-US"/>
        </w:rPr>
        <w:t xml:space="preserve">naknade za redovan rad općinskog vijeća </w:t>
      </w:r>
      <w:r w:rsidR="00931E82">
        <w:rPr>
          <w:rFonts w:ascii="Arial" w:eastAsia="Times New Roman" w:hAnsi="Arial" w:cs="Arial"/>
          <w:iCs/>
          <w:lang w:eastAsia="en-US"/>
        </w:rPr>
        <w:t>3.205,03</w:t>
      </w:r>
      <w:r w:rsidR="002951D4" w:rsidRPr="003A2F86">
        <w:rPr>
          <w:rFonts w:ascii="Arial" w:eastAsia="Times New Roman" w:hAnsi="Arial" w:cs="Arial"/>
          <w:iCs/>
          <w:lang w:eastAsia="en-US"/>
        </w:rPr>
        <w:t xml:space="preserve"> € i </w:t>
      </w:r>
      <w:r w:rsidR="00891119" w:rsidRPr="003A2F86">
        <w:rPr>
          <w:rFonts w:ascii="Arial" w:eastAsia="Times New Roman" w:hAnsi="Arial" w:cs="Arial"/>
          <w:iCs/>
          <w:lang w:eastAsia="en-US"/>
        </w:rPr>
        <w:t xml:space="preserve">rashode </w:t>
      </w:r>
      <w:r w:rsidR="00A33921" w:rsidRPr="003A2F86">
        <w:rPr>
          <w:rFonts w:ascii="Arial" w:eastAsia="Times New Roman" w:hAnsi="Arial" w:cs="Arial"/>
          <w:iCs/>
          <w:lang w:eastAsia="en-US"/>
        </w:rPr>
        <w:t xml:space="preserve">za </w:t>
      </w:r>
      <w:r w:rsidR="00891119" w:rsidRPr="003A2F86">
        <w:rPr>
          <w:rFonts w:ascii="Arial" w:eastAsia="Times New Roman" w:hAnsi="Arial" w:cs="Arial"/>
          <w:iCs/>
          <w:lang w:eastAsia="en-US"/>
        </w:rPr>
        <w:t xml:space="preserve">financiranje rada političkih stranaka i nezavisnih vijećnika </w:t>
      </w:r>
      <w:r w:rsidR="00DF117E" w:rsidRPr="003A2F86">
        <w:rPr>
          <w:rFonts w:ascii="Arial" w:eastAsia="Times New Roman" w:hAnsi="Arial" w:cs="Arial"/>
          <w:iCs/>
          <w:lang w:eastAsia="en-US"/>
        </w:rPr>
        <w:t xml:space="preserve">koji </w:t>
      </w:r>
      <w:r w:rsidR="00A33921" w:rsidRPr="003A2F86">
        <w:rPr>
          <w:rFonts w:ascii="Arial" w:eastAsia="Times New Roman" w:hAnsi="Arial" w:cs="Arial"/>
          <w:iCs/>
          <w:lang w:eastAsia="en-US"/>
        </w:rPr>
        <w:t xml:space="preserve">su </w:t>
      </w:r>
      <w:r w:rsidR="005B6C32" w:rsidRPr="003A2F86">
        <w:rPr>
          <w:rFonts w:ascii="Arial" w:eastAsia="Times New Roman" w:hAnsi="Arial" w:cs="Arial"/>
          <w:iCs/>
          <w:lang w:eastAsia="en-US"/>
        </w:rPr>
        <w:t>izvršeni u</w:t>
      </w:r>
      <w:r w:rsidR="00A33921" w:rsidRPr="003A2F86">
        <w:rPr>
          <w:rFonts w:ascii="Arial" w:eastAsia="Times New Roman" w:hAnsi="Arial" w:cs="Arial"/>
          <w:iCs/>
          <w:lang w:eastAsia="en-US"/>
        </w:rPr>
        <w:t xml:space="preserve"> </w:t>
      </w:r>
      <w:r w:rsidR="0033780F" w:rsidRPr="003A2F86">
        <w:rPr>
          <w:rFonts w:ascii="Arial" w:eastAsia="Times New Roman" w:hAnsi="Arial" w:cs="Arial"/>
          <w:iCs/>
          <w:lang w:eastAsia="en-US"/>
        </w:rPr>
        <w:t xml:space="preserve">iznosu </w:t>
      </w:r>
      <w:r w:rsidR="00931E82">
        <w:rPr>
          <w:rFonts w:ascii="Arial" w:eastAsia="Times New Roman" w:hAnsi="Arial" w:cs="Arial"/>
          <w:iCs/>
          <w:lang w:eastAsia="en-US"/>
        </w:rPr>
        <w:t>1.169,99</w:t>
      </w:r>
      <w:r w:rsidR="002951D4" w:rsidRPr="003A2F86">
        <w:rPr>
          <w:rFonts w:ascii="Arial" w:eastAsia="Times New Roman" w:hAnsi="Arial" w:cs="Arial"/>
          <w:iCs/>
          <w:lang w:eastAsia="en-US"/>
        </w:rPr>
        <w:t xml:space="preserve"> €</w:t>
      </w:r>
      <w:r w:rsidR="0033780F" w:rsidRPr="003A2F86">
        <w:rPr>
          <w:rFonts w:ascii="Arial" w:eastAsia="Times New Roman" w:hAnsi="Arial" w:cs="Arial"/>
          <w:iCs/>
          <w:lang w:eastAsia="en-US"/>
        </w:rPr>
        <w:t>.</w:t>
      </w:r>
    </w:p>
    <w:p w14:paraId="478018A8" w14:textId="77777777" w:rsidR="00DC2020" w:rsidRPr="003A2F86" w:rsidRDefault="00DC2020" w:rsidP="00891119">
      <w:pPr>
        <w:spacing w:after="0" w:line="240" w:lineRule="auto"/>
        <w:jc w:val="both"/>
        <w:rPr>
          <w:rFonts w:ascii="Arial" w:eastAsia="Times New Roman" w:hAnsi="Arial" w:cs="Arial"/>
          <w:iCs/>
          <w:lang w:eastAsia="en-US"/>
        </w:rPr>
      </w:pPr>
    </w:p>
    <w:p w14:paraId="26070BC4" w14:textId="0CC0CE85" w:rsidR="00891119" w:rsidRPr="003A2F86" w:rsidRDefault="00891119" w:rsidP="00891119">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Rashodi Načelnika– nositelj izvršnih ovlasti (glava 01002) u iznosu </w:t>
      </w:r>
      <w:r w:rsidR="00931E82">
        <w:rPr>
          <w:rFonts w:ascii="Arial" w:eastAsia="Times New Roman" w:hAnsi="Arial" w:cs="Arial"/>
          <w:iCs/>
          <w:lang w:eastAsia="en-US"/>
        </w:rPr>
        <w:t>38.772,23</w:t>
      </w:r>
      <w:r w:rsidR="002951D4"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odnose se na troškove plaće, doprinosa i na</w:t>
      </w:r>
      <w:r w:rsidR="00A8623C" w:rsidRPr="003A2F86">
        <w:rPr>
          <w:rFonts w:ascii="Arial" w:eastAsia="Times New Roman" w:hAnsi="Arial" w:cs="Arial"/>
          <w:iCs/>
          <w:lang w:eastAsia="en-US"/>
        </w:rPr>
        <w:t>kn</w:t>
      </w:r>
      <w:r w:rsidRPr="003A2F86">
        <w:rPr>
          <w:rFonts w:ascii="Arial" w:eastAsia="Times New Roman" w:hAnsi="Arial" w:cs="Arial"/>
          <w:iCs/>
          <w:lang w:eastAsia="en-US"/>
        </w:rPr>
        <w:t>ade troškova za službena putovanja načelnika.</w:t>
      </w:r>
    </w:p>
    <w:p w14:paraId="775B1D97" w14:textId="77777777" w:rsidR="00891119" w:rsidRPr="003A2F86" w:rsidRDefault="00891119" w:rsidP="00891119">
      <w:pPr>
        <w:spacing w:after="0" w:line="240" w:lineRule="auto"/>
        <w:jc w:val="both"/>
        <w:rPr>
          <w:rFonts w:ascii="Arial" w:eastAsia="Times New Roman" w:hAnsi="Arial" w:cs="Arial"/>
          <w:iCs/>
          <w:lang w:eastAsia="en-US"/>
        </w:rPr>
      </w:pPr>
    </w:p>
    <w:p w14:paraId="7D8B1D51" w14:textId="48F101DB" w:rsidR="00891119" w:rsidRPr="003A2F86" w:rsidRDefault="00891119" w:rsidP="00891119">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Proračunska zaliha je planirana u iznosu </w:t>
      </w:r>
      <w:r w:rsidR="002951D4" w:rsidRPr="003A2F86">
        <w:rPr>
          <w:rFonts w:ascii="Arial" w:eastAsia="Times New Roman" w:hAnsi="Arial" w:cs="Arial"/>
          <w:iCs/>
          <w:lang w:eastAsia="en-US"/>
        </w:rPr>
        <w:t>30.000 €</w:t>
      </w:r>
      <w:r w:rsidRPr="003A2F86">
        <w:rPr>
          <w:rFonts w:ascii="Arial" w:eastAsia="Times New Roman" w:hAnsi="Arial" w:cs="Arial"/>
          <w:iCs/>
          <w:lang w:eastAsia="en-US"/>
        </w:rPr>
        <w:t>, a nije korištena.</w:t>
      </w:r>
    </w:p>
    <w:bookmarkEnd w:id="295"/>
    <w:p w14:paraId="5CF0A92E" w14:textId="69E99B48" w:rsidR="00891119" w:rsidRPr="003A2F86" w:rsidRDefault="00891119" w:rsidP="00891119">
      <w:pPr>
        <w:spacing w:after="0" w:line="240" w:lineRule="auto"/>
        <w:jc w:val="both"/>
        <w:rPr>
          <w:rFonts w:ascii="Arial" w:eastAsia="Times New Roman" w:hAnsi="Arial" w:cs="Arial"/>
          <w:iCs/>
          <w:lang w:eastAsia="en-US"/>
        </w:rPr>
      </w:pPr>
    </w:p>
    <w:bookmarkEnd w:id="293"/>
    <w:bookmarkEnd w:id="294"/>
    <w:p w14:paraId="41F70CD9" w14:textId="3DB4A5B1" w:rsidR="00685399" w:rsidRPr="003A2F86" w:rsidRDefault="00685399" w:rsidP="00891119">
      <w:pPr>
        <w:spacing w:after="0" w:line="240" w:lineRule="auto"/>
        <w:jc w:val="both"/>
        <w:rPr>
          <w:rFonts w:ascii="Arial" w:eastAsia="Times New Roman" w:hAnsi="Arial" w:cs="Arial"/>
          <w:iCs/>
          <w:lang w:eastAsia="en-US"/>
        </w:rPr>
      </w:pPr>
    </w:p>
    <w:bookmarkEnd w:id="292"/>
    <w:p w14:paraId="56454E5E" w14:textId="3BDC4889" w:rsidR="00685399" w:rsidRPr="003A2F86" w:rsidRDefault="00685399" w:rsidP="00891119">
      <w:pPr>
        <w:spacing w:after="0" w:line="240" w:lineRule="auto"/>
        <w:jc w:val="both"/>
        <w:rPr>
          <w:rFonts w:ascii="Arial" w:eastAsia="Times New Roman" w:hAnsi="Arial" w:cs="Arial"/>
          <w:iCs/>
          <w:lang w:eastAsia="en-US"/>
        </w:rPr>
      </w:pPr>
    </w:p>
    <w:p w14:paraId="0CD78830" w14:textId="439059CD" w:rsidR="00685399" w:rsidRPr="003A2F86" w:rsidRDefault="00685399" w:rsidP="00891119">
      <w:pPr>
        <w:spacing w:after="0" w:line="240" w:lineRule="auto"/>
        <w:jc w:val="both"/>
        <w:rPr>
          <w:rFonts w:ascii="Arial" w:eastAsia="Times New Roman" w:hAnsi="Arial" w:cs="Arial"/>
          <w:iCs/>
          <w:lang w:eastAsia="en-US"/>
        </w:rPr>
      </w:pPr>
    </w:p>
    <w:p w14:paraId="382FF59F" w14:textId="22EEA589" w:rsidR="00685399" w:rsidRPr="003A2F86" w:rsidRDefault="00685399" w:rsidP="00891119">
      <w:pPr>
        <w:spacing w:after="0" w:line="240" w:lineRule="auto"/>
        <w:jc w:val="both"/>
        <w:rPr>
          <w:rFonts w:ascii="Arial" w:eastAsia="Times New Roman" w:hAnsi="Arial" w:cs="Arial"/>
          <w:iCs/>
          <w:lang w:eastAsia="en-US"/>
        </w:rPr>
      </w:pPr>
    </w:p>
    <w:p w14:paraId="38514B44" w14:textId="21C14905" w:rsidR="00685399" w:rsidRPr="003A2F86" w:rsidRDefault="00685399" w:rsidP="00891119">
      <w:pPr>
        <w:spacing w:after="0" w:line="240" w:lineRule="auto"/>
        <w:jc w:val="both"/>
        <w:rPr>
          <w:rFonts w:ascii="Arial" w:eastAsia="Times New Roman" w:hAnsi="Arial" w:cs="Arial"/>
          <w:iCs/>
          <w:lang w:eastAsia="en-US"/>
        </w:rPr>
      </w:pPr>
    </w:p>
    <w:p w14:paraId="0F1B0C14" w14:textId="1BAB04C7" w:rsidR="00685399" w:rsidRPr="003A2F86" w:rsidRDefault="00685399" w:rsidP="00891119">
      <w:pPr>
        <w:spacing w:after="0" w:line="240" w:lineRule="auto"/>
        <w:jc w:val="both"/>
        <w:rPr>
          <w:rFonts w:ascii="Arial" w:eastAsia="Times New Roman" w:hAnsi="Arial" w:cs="Arial"/>
          <w:iCs/>
          <w:lang w:eastAsia="en-US"/>
        </w:rPr>
      </w:pPr>
    </w:p>
    <w:p w14:paraId="4719EF70" w14:textId="77777777" w:rsidR="00DE4809" w:rsidRPr="003A2F86" w:rsidRDefault="00DE4809" w:rsidP="00891119">
      <w:pPr>
        <w:spacing w:after="0" w:line="240" w:lineRule="auto"/>
        <w:jc w:val="both"/>
        <w:rPr>
          <w:rFonts w:ascii="Arial" w:eastAsia="Times New Roman" w:hAnsi="Arial" w:cs="Arial"/>
          <w:iCs/>
          <w:lang w:eastAsia="en-US"/>
        </w:rPr>
      </w:pPr>
    </w:p>
    <w:p w14:paraId="0AE311E6" w14:textId="44326298" w:rsidR="00685399" w:rsidRPr="003A2F86" w:rsidRDefault="00685399" w:rsidP="00891119">
      <w:pPr>
        <w:spacing w:after="0" w:line="240" w:lineRule="auto"/>
        <w:jc w:val="both"/>
        <w:rPr>
          <w:rFonts w:ascii="Arial" w:eastAsia="Times New Roman" w:hAnsi="Arial" w:cs="Arial"/>
          <w:iCs/>
          <w:lang w:eastAsia="en-US"/>
        </w:rPr>
      </w:pPr>
    </w:p>
    <w:p w14:paraId="24CC38EA" w14:textId="77777777" w:rsidR="00D03A4A" w:rsidRPr="003A2F86" w:rsidRDefault="00D03A4A" w:rsidP="00891119">
      <w:pPr>
        <w:spacing w:after="0" w:line="240" w:lineRule="auto"/>
        <w:jc w:val="both"/>
        <w:rPr>
          <w:rFonts w:ascii="Arial" w:eastAsia="Times New Roman" w:hAnsi="Arial" w:cs="Arial"/>
          <w:iCs/>
          <w:lang w:eastAsia="en-US"/>
        </w:rPr>
      </w:pPr>
    </w:p>
    <w:tbl>
      <w:tblPr>
        <w:tblW w:w="12474" w:type="dxa"/>
        <w:jc w:val="center"/>
        <w:tblLook w:val="04A0" w:firstRow="1" w:lastRow="0" w:firstColumn="1" w:lastColumn="0" w:noHBand="0" w:noVBand="1"/>
      </w:tblPr>
      <w:tblGrid>
        <w:gridCol w:w="1245"/>
        <w:gridCol w:w="973"/>
        <w:gridCol w:w="10256"/>
      </w:tblGrid>
      <w:tr w:rsidR="0033780F" w:rsidRPr="003A2F86" w14:paraId="254BA25F" w14:textId="77777777" w:rsidTr="006F457B">
        <w:trPr>
          <w:trHeight w:val="382"/>
          <w:jc w:val="center"/>
        </w:trPr>
        <w:tc>
          <w:tcPr>
            <w:tcW w:w="1245" w:type="dxa"/>
            <w:tcBorders>
              <w:top w:val="nil"/>
              <w:left w:val="nil"/>
              <w:bottom w:val="nil"/>
              <w:right w:val="nil"/>
            </w:tcBorders>
            <w:shd w:val="clear" w:color="000000" w:fill="A5A5A5"/>
            <w:noWrap/>
            <w:vAlign w:val="center"/>
            <w:hideMark/>
          </w:tcPr>
          <w:p w14:paraId="17973430" w14:textId="77777777" w:rsidR="00891119" w:rsidRPr="003A2F86" w:rsidRDefault="00891119" w:rsidP="00162169">
            <w:pPr>
              <w:spacing w:after="0" w:line="240" w:lineRule="auto"/>
              <w:jc w:val="center"/>
              <w:rPr>
                <w:rFonts w:ascii="Arial" w:eastAsia="Times New Roman" w:hAnsi="Arial" w:cs="Arial"/>
                <w:b/>
                <w:bCs/>
                <w:sz w:val="18"/>
                <w:szCs w:val="18"/>
              </w:rPr>
            </w:pPr>
            <w:r w:rsidRPr="003A2F86">
              <w:rPr>
                <w:rFonts w:ascii="Arial" w:eastAsia="Times New Roman" w:hAnsi="Arial" w:cs="Arial"/>
                <w:b/>
                <w:bCs/>
                <w:sz w:val="18"/>
                <w:szCs w:val="18"/>
              </w:rPr>
              <w:lastRenderedPageBreak/>
              <w:t>RAZDJEL:</w:t>
            </w:r>
          </w:p>
        </w:tc>
        <w:tc>
          <w:tcPr>
            <w:tcW w:w="973" w:type="dxa"/>
            <w:tcBorders>
              <w:top w:val="nil"/>
              <w:left w:val="nil"/>
              <w:bottom w:val="nil"/>
              <w:right w:val="nil"/>
            </w:tcBorders>
            <w:shd w:val="clear" w:color="000000" w:fill="A5A5A5"/>
            <w:noWrap/>
            <w:vAlign w:val="center"/>
            <w:hideMark/>
          </w:tcPr>
          <w:p w14:paraId="1EB9CD30" w14:textId="77777777" w:rsidR="00891119" w:rsidRPr="003A2F86" w:rsidRDefault="00891119" w:rsidP="00162169">
            <w:pPr>
              <w:spacing w:after="0" w:line="240" w:lineRule="auto"/>
              <w:jc w:val="center"/>
              <w:rPr>
                <w:rFonts w:ascii="Arial" w:eastAsia="Times New Roman" w:hAnsi="Arial" w:cs="Arial"/>
                <w:b/>
                <w:bCs/>
                <w:sz w:val="18"/>
                <w:szCs w:val="18"/>
              </w:rPr>
            </w:pPr>
            <w:r w:rsidRPr="003A2F86">
              <w:rPr>
                <w:rFonts w:ascii="Arial" w:eastAsia="Times New Roman" w:hAnsi="Arial" w:cs="Arial"/>
                <w:b/>
                <w:bCs/>
                <w:sz w:val="18"/>
                <w:szCs w:val="18"/>
              </w:rPr>
              <w:t>020</w:t>
            </w:r>
          </w:p>
        </w:tc>
        <w:tc>
          <w:tcPr>
            <w:tcW w:w="10256" w:type="dxa"/>
            <w:tcBorders>
              <w:top w:val="nil"/>
              <w:left w:val="nil"/>
              <w:bottom w:val="nil"/>
              <w:right w:val="nil"/>
            </w:tcBorders>
            <w:shd w:val="clear" w:color="000000" w:fill="A5A5A5"/>
            <w:noWrap/>
            <w:vAlign w:val="center"/>
            <w:hideMark/>
          </w:tcPr>
          <w:p w14:paraId="5901634F" w14:textId="77777777" w:rsidR="00891119" w:rsidRPr="003A2F86" w:rsidRDefault="00891119" w:rsidP="006F457B">
            <w:pPr>
              <w:spacing w:after="0" w:line="240" w:lineRule="auto"/>
              <w:jc w:val="center"/>
              <w:rPr>
                <w:rFonts w:ascii="Arial" w:eastAsia="Times New Roman" w:hAnsi="Arial" w:cs="Arial"/>
                <w:b/>
                <w:bCs/>
              </w:rPr>
            </w:pPr>
            <w:r w:rsidRPr="003A2F86">
              <w:rPr>
                <w:rFonts w:ascii="Arial" w:eastAsia="Times New Roman" w:hAnsi="Arial" w:cs="Arial"/>
                <w:b/>
                <w:bCs/>
              </w:rPr>
              <w:t xml:space="preserve">UPRAVNI ODJEL ZA OPĆE POSLOVE, MJESNU SAMOUPRAVU I DRUŠTVENE DJELATNOSTI </w:t>
            </w:r>
          </w:p>
        </w:tc>
      </w:tr>
    </w:tbl>
    <w:p w14:paraId="61A0D3BA" w14:textId="77777777" w:rsidR="00891119" w:rsidRPr="003A2F86" w:rsidRDefault="00891119" w:rsidP="00891119">
      <w:pPr>
        <w:spacing w:after="0" w:line="240" w:lineRule="auto"/>
        <w:rPr>
          <w:rFonts w:ascii="Arial" w:eastAsia="Times New Roman" w:hAnsi="Arial" w:cs="Arial"/>
          <w:iCs/>
          <w:sz w:val="12"/>
          <w:szCs w:val="12"/>
          <w:lang w:eastAsia="en-US"/>
        </w:rPr>
      </w:pPr>
      <w:bookmarkStart w:id="296" w:name="_Hlk146003788"/>
    </w:p>
    <w:p w14:paraId="71E76FC4" w14:textId="14CF66B0" w:rsidR="00891119" w:rsidRPr="003A2F86" w:rsidRDefault="00891119" w:rsidP="00891119">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Rashodi i izdaci razdjela 020 (Upravni odjel za opće poslove, mjesnu samoupravu i društvene djelatnosti) u iznosu </w:t>
      </w:r>
      <w:r w:rsidR="00FD069C">
        <w:rPr>
          <w:rFonts w:ascii="Arial" w:eastAsia="Times New Roman" w:hAnsi="Arial" w:cs="Arial"/>
          <w:iCs/>
          <w:lang w:eastAsia="en-US"/>
        </w:rPr>
        <w:t>4.024.141,13</w:t>
      </w:r>
      <w:r w:rsidR="009B2D4E"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odnose se na rashode podijeljene u </w:t>
      </w:r>
      <w:r w:rsidR="006F457B" w:rsidRPr="003A2F86">
        <w:rPr>
          <w:rFonts w:ascii="Arial" w:eastAsia="Times New Roman" w:hAnsi="Arial" w:cs="Arial"/>
          <w:iCs/>
          <w:lang w:eastAsia="en-US"/>
        </w:rPr>
        <w:t>četiri glave</w:t>
      </w:r>
      <w:r w:rsidRPr="003A2F86">
        <w:rPr>
          <w:rFonts w:ascii="Arial" w:eastAsia="Times New Roman" w:hAnsi="Arial" w:cs="Arial"/>
          <w:iCs/>
          <w:lang w:eastAsia="en-US"/>
        </w:rPr>
        <w:t>:</w:t>
      </w:r>
    </w:p>
    <w:p w14:paraId="7B58EC08" w14:textId="77777777" w:rsidR="002851D7" w:rsidRDefault="002851D7" w:rsidP="00891119">
      <w:pPr>
        <w:spacing w:after="0" w:line="240" w:lineRule="auto"/>
        <w:jc w:val="both"/>
        <w:rPr>
          <w:rFonts w:ascii="Arial" w:eastAsia="Times New Roman" w:hAnsi="Arial" w:cs="Arial"/>
          <w:iCs/>
          <w:lang w:eastAsia="en-US"/>
        </w:rPr>
      </w:pPr>
    </w:p>
    <w:p w14:paraId="7A3DFCAE" w14:textId="75247C82" w:rsidR="00B42227" w:rsidRPr="003A2F86" w:rsidRDefault="00FD069C" w:rsidP="00B42227">
      <w:pPr>
        <w:spacing w:after="0" w:line="240" w:lineRule="auto"/>
        <w:jc w:val="center"/>
        <w:rPr>
          <w:rFonts w:ascii="Arial" w:eastAsia="Times New Roman" w:hAnsi="Arial" w:cs="Arial"/>
          <w:iCs/>
          <w:lang w:eastAsia="en-US"/>
        </w:rPr>
      </w:pPr>
      <w:r w:rsidRPr="00FD069C">
        <w:rPr>
          <w:noProof/>
        </w:rPr>
        <w:drawing>
          <wp:inline distT="0" distB="0" distL="0" distR="0" wp14:anchorId="5BCE5293" wp14:editId="109A13E7">
            <wp:extent cx="9251950" cy="2543810"/>
            <wp:effectExtent l="0" t="0" r="6350" b="8890"/>
            <wp:docPr id="173361430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251950" cy="2543810"/>
                    </a:xfrm>
                    <a:prstGeom prst="rect">
                      <a:avLst/>
                    </a:prstGeom>
                    <a:noFill/>
                    <a:ln>
                      <a:noFill/>
                    </a:ln>
                  </pic:spPr>
                </pic:pic>
              </a:graphicData>
            </a:graphic>
          </wp:inline>
        </w:drawing>
      </w:r>
    </w:p>
    <w:p w14:paraId="6C85633C" w14:textId="77777777" w:rsidR="00D03A4A" w:rsidRDefault="00D03A4A" w:rsidP="00891119">
      <w:pPr>
        <w:spacing w:after="0" w:line="240" w:lineRule="auto"/>
        <w:jc w:val="both"/>
        <w:rPr>
          <w:rFonts w:ascii="Arial" w:eastAsia="Times New Roman" w:hAnsi="Arial" w:cs="Arial"/>
          <w:iCs/>
          <w:lang w:eastAsia="en-US"/>
        </w:rPr>
      </w:pPr>
    </w:p>
    <w:p w14:paraId="0943451B" w14:textId="6B43AA22" w:rsidR="00B42227" w:rsidRDefault="00891119" w:rsidP="00891119">
      <w:pPr>
        <w:spacing w:after="0" w:line="240" w:lineRule="auto"/>
        <w:jc w:val="both"/>
        <w:rPr>
          <w:rFonts w:ascii="Arial" w:eastAsia="Times New Roman" w:hAnsi="Arial" w:cs="Arial"/>
          <w:iCs/>
          <w:lang w:eastAsia="en-US"/>
        </w:rPr>
      </w:pPr>
      <w:bookmarkStart w:id="297" w:name="_Hlk166657627"/>
      <w:r w:rsidRPr="003A2F86">
        <w:rPr>
          <w:rFonts w:ascii="Arial" w:eastAsia="Times New Roman" w:hAnsi="Arial" w:cs="Arial"/>
          <w:iCs/>
          <w:lang w:eastAsia="en-US"/>
        </w:rPr>
        <w:t>Vrijednosno najznačajniji rashodi u okviru ovog razdjela se odnose na rashode izvršene u okviru glave</w:t>
      </w:r>
      <w:r w:rsidR="00B42227">
        <w:rPr>
          <w:rFonts w:ascii="Arial" w:eastAsia="Times New Roman" w:hAnsi="Arial" w:cs="Arial"/>
          <w:iCs/>
          <w:lang w:eastAsia="en-US"/>
        </w:rPr>
        <w:t xml:space="preserve"> 02005 – Ustanova predškolskog odgoja u iznosu </w:t>
      </w:r>
      <w:r w:rsidR="00FD069C">
        <w:rPr>
          <w:rFonts w:ascii="Arial" w:eastAsia="Times New Roman" w:hAnsi="Arial" w:cs="Arial"/>
          <w:iCs/>
          <w:lang w:eastAsia="en-US"/>
        </w:rPr>
        <w:t>1.613.636,14</w:t>
      </w:r>
      <w:r w:rsidR="00B42227">
        <w:rPr>
          <w:rFonts w:ascii="Arial" w:eastAsia="Times New Roman" w:hAnsi="Arial" w:cs="Arial"/>
          <w:iCs/>
          <w:lang w:eastAsia="en-US"/>
        </w:rPr>
        <w:t xml:space="preserve"> €</w:t>
      </w:r>
      <w:r w:rsidR="00D20330">
        <w:rPr>
          <w:rFonts w:ascii="Arial" w:eastAsia="Times New Roman" w:hAnsi="Arial" w:cs="Arial"/>
          <w:iCs/>
          <w:lang w:eastAsia="en-US"/>
        </w:rPr>
        <w:t xml:space="preserve"> što čini </w:t>
      </w:r>
      <w:r w:rsidR="00FD069C">
        <w:rPr>
          <w:rFonts w:ascii="Arial" w:eastAsia="Times New Roman" w:hAnsi="Arial" w:cs="Arial"/>
          <w:iCs/>
          <w:lang w:eastAsia="en-US"/>
        </w:rPr>
        <w:t>40,1</w:t>
      </w:r>
      <w:r w:rsidR="00D20330">
        <w:rPr>
          <w:rFonts w:ascii="Arial" w:eastAsia="Times New Roman" w:hAnsi="Arial" w:cs="Arial"/>
          <w:iCs/>
          <w:lang w:eastAsia="en-US"/>
        </w:rPr>
        <w:t xml:space="preserve">% ukupnih rashoda i izdataka ovog razdjela, odnosno </w:t>
      </w:r>
      <w:r w:rsidR="00FD069C">
        <w:rPr>
          <w:rFonts w:ascii="Arial" w:eastAsia="Times New Roman" w:hAnsi="Arial" w:cs="Arial"/>
          <w:iCs/>
          <w:lang w:eastAsia="en-US"/>
        </w:rPr>
        <w:t>15,6</w:t>
      </w:r>
      <w:r w:rsidR="00D20330">
        <w:rPr>
          <w:rFonts w:ascii="Arial" w:eastAsia="Times New Roman" w:hAnsi="Arial" w:cs="Arial"/>
          <w:iCs/>
          <w:lang w:eastAsia="en-US"/>
        </w:rPr>
        <w:t>% ukupnih rashoda i izdataka proračuna.</w:t>
      </w:r>
    </w:p>
    <w:p w14:paraId="583227B7" w14:textId="2906544B" w:rsidR="00B42227" w:rsidRDefault="00D20330" w:rsidP="00891119">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U okviru ove glave vrijednosno najznačajniji su rashodi za bruto plaće s doprinosima</w:t>
      </w:r>
      <w:r>
        <w:rPr>
          <w:rFonts w:ascii="Arial" w:eastAsia="Times New Roman" w:hAnsi="Arial" w:cs="Arial"/>
          <w:iCs/>
          <w:lang w:eastAsia="en-US"/>
        </w:rPr>
        <w:t xml:space="preserve"> (311 i 313)</w:t>
      </w:r>
      <w:r w:rsidRPr="003A2F86">
        <w:rPr>
          <w:rFonts w:ascii="Arial" w:eastAsia="Times New Roman" w:hAnsi="Arial" w:cs="Arial"/>
          <w:iCs/>
          <w:lang w:eastAsia="en-US"/>
        </w:rPr>
        <w:t xml:space="preserve">, rashodi za zaposlene </w:t>
      </w:r>
      <w:r>
        <w:rPr>
          <w:rFonts w:ascii="Arial" w:eastAsia="Times New Roman" w:hAnsi="Arial" w:cs="Arial"/>
          <w:iCs/>
          <w:lang w:eastAsia="en-US"/>
        </w:rPr>
        <w:t xml:space="preserve">(312) </w:t>
      </w:r>
      <w:r w:rsidRPr="003A2F86">
        <w:rPr>
          <w:rFonts w:ascii="Arial" w:eastAsia="Times New Roman" w:hAnsi="Arial" w:cs="Arial"/>
          <w:iCs/>
          <w:lang w:eastAsia="en-US"/>
        </w:rPr>
        <w:t xml:space="preserve">i naknade troškova zaposlenima </w:t>
      </w:r>
      <w:r>
        <w:rPr>
          <w:rFonts w:ascii="Arial" w:eastAsia="Times New Roman" w:hAnsi="Arial" w:cs="Arial"/>
          <w:iCs/>
          <w:lang w:eastAsia="en-US"/>
        </w:rPr>
        <w:t xml:space="preserve">(321) </w:t>
      </w:r>
      <w:r w:rsidRPr="003A2F86">
        <w:rPr>
          <w:rFonts w:ascii="Arial" w:eastAsia="Times New Roman" w:hAnsi="Arial" w:cs="Arial"/>
          <w:iCs/>
          <w:lang w:eastAsia="en-US"/>
        </w:rPr>
        <w:t>u ukupnom iz</w:t>
      </w:r>
      <w:r>
        <w:rPr>
          <w:rFonts w:ascii="Arial" w:eastAsia="Times New Roman" w:hAnsi="Arial" w:cs="Arial"/>
          <w:iCs/>
          <w:lang w:eastAsia="en-US"/>
        </w:rPr>
        <w:t>n</w:t>
      </w:r>
      <w:r w:rsidRPr="003A2F86">
        <w:rPr>
          <w:rFonts w:ascii="Arial" w:eastAsia="Times New Roman" w:hAnsi="Arial" w:cs="Arial"/>
          <w:iCs/>
          <w:lang w:eastAsia="en-US"/>
        </w:rPr>
        <w:t xml:space="preserve">osu </w:t>
      </w:r>
      <w:r w:rsidR="00FD069C">
        <w:rPr>
          <w:rFonts w:ascii="Arial" w:eastAsia="Times New Roman" w:hAnsi="Arial" w:cs="Arial"/>
          <w:iCs/>
          <w:lang w:eastAsia="en-US"/>
        </w:rPr>
        <w:t>1.357.304,45</w:t>
      </w:r>
      <w:r w:rsidRPr="003A2F86">
        <w:rPr>
          <w:rFonts w:ascii="Arial" w:eastAsia="Times New Roman" w:hAnsi="Arial" w:cs="Arial"/>
          <w:iCs/>
          <w:lang w:eastAsia="en-US"/>
        </w:rPr>
        <w:t xml:space="preserve"> € (što čini </w:t>
      </w:r>
      <w:r w:rsidR="00FD069C">
        <w:rPr>
          <w:rFonts w:ascii="Arial" w:eastAsia="Times New Roman" w:hAnsi="Arial" w:cs="Arial"/>
          <w:iCs/>
          <w:lang w:eastAsia="en-US"/>
        </w:rPr>
        <w:t>33,7</w:t>
      </w:r>
      <w:r w:rsidRPr="003A2F86">
        <w:rPr>
          <w:rFonts w:ascii="Arial" w:eastAsia="Times New Roman" w:hAnsi="Arial" w:cs="Arial"/>
          <w:iCs/>
          <w:lang w:eastAsia="en-US"/>
        </w:rPr>
        <w:t xml:space="preserve">% ukupnih rashoda razdjela 020 odnosno </w:t>
      </w:r>
      <w:r w:rsidR="00FD069C">
        <w:rPr>
          <w:rFonts w:ascii="Arial" w:eastAsia="Times New Roman" w:hAnsi="Arial" w:cs="Arial"/>
          <w:iCs/>
          <w:lang w:eastAsia="en-US"/>
        </w:rPr>
        <w:t>13,1</w:t>
      </w:r>
      <w:r w:rsidRPr="003A2F86">
        <w:rPr>
          <w:rFonts w:ascii="Arial" w:eastAsia="Times New Roman" w:hAnsi="Arial" w:cs="Arial"/>
          <w:iCs/>
          <w:lang w:eastAsia="en-US"/>
        </w:rPr>
        <w:t>% sveukupno izvršenih rashodi i izdataka proračuna)</w:t>
      </w:r>
      <w:r>
        <w:rPr>
          <w:rFonts w:ascii="Arial" w:eastAsia="Times New Roman" w:hAnsi="Arial" w:cs="Arial"/>
          <w:iCs/>
          <w:lang w:eastAsia="en-US"/>
        </w:rPr>
        <w:t xml:space="preserve">, odnosno </w:t>
      </w:r>
      <w:r w:rsidR="00FD069C">
        <w:rPr>
          <w:rFonts w:ascii="Arial" w:eastAsia="Times New Roman" w:hAnsi="Arial" w:cs="Arial"/>
          <w:iCs/>
          <w:lang w:eastAsia="en-US"/>
        </w:rPr>
        <w:t>84</w:t>
      </w:r>
      <w:r w:rsidR="00B83D3F">
        <w:rPr>
          <w:rFonts w:ascii="Arial" w:eastAsia="Times New Roman" w:hAnsi="Arial" w:cs="Arial"/>
          <w:iCs/>
          <w:lang w:eastAsia="en-US"/>
        </w:rPr>
        <w:t>% ukupno izvršenih rashoda ovog proračunskog korisnika (vrtić).</w:t>
      </w:r>
    </w:p>
    <w:p w14:paraId="7179B1B9" w14:textId="77777777" w:rsidR="00D20330" w:rsidRDefault="00D20330" w:rsidP="00891119">
      <w:pPr>
        <w:spacing w:after="0" w:line="240" w:lineRule="auto"/>
        <w:jc w:val="both"/>
        <w:rPr>
          <w:rFonts w:ascii="Arial" w:eastAsia="Times New Roman" w:hAnsi="Arial" w:cs="Arial"/>
          <w:iCs/>
          <w:lang w:eastAsia="en-US"/>
        </w:rPr>
      </w:pPr>
    </w:p>
    <w:p w14:paraId="20797964" w14:textId="70B66A87" w:rsidR="0030073B" w:rsidRPr="003A2F86" w:rsidRDefault="00B83D3F" w:rsidP="00891119">
      <w:pPr>
        <w:spacing w:after="0" w:line="240" w:lineRule="auto"/>
        <w:jc w:val="both"/>
        <w:rPr>
          <w:rFonts w:ascii="Arial" w:eastAsia="Times New Roman" w:hAnsi="Arial" w:cs="Arial"/>
          <w:iCs/>
          <w:lang w:eastAsia="en-US"/>
        </w:rPr>
      </w:pPr>
      <w:r>
        <w:rPr>
          <w:rFonts w:ascii="Arial" w:eastAsia="Times New Roman" w:hAnsi="Arial" w:cs="Arial"/>
          <w:iCs/>
          <w:lang w:eastAsia="en-US"/>
        </w:rPr>
        <w:t xml:space="preserve">Potom slijede rashodi izvršeni u okviru glave </w:t>
      </w:r>
      <w:r w:rsidR="006F457B" w:rsidRPr="003A2F86">
        <w:rPr>
          <w:rFonts w:ascii="Arial" w:eastAsia="Times New Roman" w:hAnsi="Arial" w:cs="Arial"/>
          <w:iCs/>
          <w:lang w:eastAsia="en-US"/>
        </w:rPr>
        <w:t>02002 UO</w:t>
      </w:r>
      <w:r w:rsidR="00521CE4" w:rsidRPr="003A2F86">
        <w:rPr>
          <w:rFonts w:ascii="Arial" w:eastAsia="Times New Roman" w:hAnsi="Arial" w:cs="Arial"/>
          <w:iCs/>
          <w:lang w:eastAsia="en-US"/>
        </w:rPr>
        <w:t xml:space="preserve"> </w:t>
      </w:r>
      <w:r w:rsidR="006F457B" w:rsidRPr="003A2F86">
        <w:rPr>
          <w:rFonts w:ascii="Arial" w:eastAsia="Times New Roman" w:hAnsi="Arial" w:cs="Arial"/>
          <w:iCs/>
          <w:lang w:eastAsia="en-US"/>
        </w:rPr>
        <w:t xml:space="preserve">za opće poslove, mjesnu samoupravu </w:t>
      </w:r>
      <w:bookmarkStart w:id="298" w:name="_Hlk166657611"/>
      <w:r w:rsidR="006F457B" w:rsidRPr="003A2F86">
        <w:rPr>
          <w:rFonts w:ascii="Arial" w:eastAsia="Times New Roman" w:hAnsi="Arial" w:cs="Arial"/>
          <w:iCs/>
          <w:lang w:eastAsia="en-US"/>
        </w:rPr>
        <w:t xml:space="preserve">i društvene djelatnosti u iznosu </w:t>
      </w:r>
      <w:r w:rsidR="00CB1B81">
        <w:rPr>
          <w:rFonts w:ascii="Arial" w:eastAsia="Times New Roman" w:hAnsi="Arial" w:cs="Arial"/>
          <w:iCs/>
          <w:lang w:eastAsia="en-US"/>
        </w:rPr>
        <w:t>1.407.091,57</w:t>
      </w:r>
      <w:r w:rsidR="009B2D4E" w:rsidRPr="003A2F86">
        <w:rPr>
          <w:rFonts w:ascii="Arial" w:eastAsia="Times New Roman" w:hAnsi="Arial" w:cs="Arial"/>
          <w:iCs/>
          <w:lang w:eastAsia="en-US"/>
        </w:rPr>
        <w:t xml:space="preserve"> €</w:t>
      </w:r>
      <w:r w:rsidR="006F457B" w:rsidRPr="003A2F86">
        <w:rPr>
          <w:rFonts w:ascii="Arial" w:eastAsia="Times New Roman" w:hAnsi="Arial" w:cs="Arial"/>
          <w:iCs/>
          <w:lang w:eastAsia="en-US"/>
        </w:rPr>
        <w:t xml:space="preserve">. </w:t>
      </w:r>
      <w:r>
        <w:rPr>
          <w:rFonts w:ascii="Arial" w:eastAsia="Times New Roman" w:hAnsi="Arial" w:cs="Arial"/>
          <w:iCs/>
          <w:lang w:eastAsia="en-US"/>
        </w:rPr>
        <w:t xml:space="preserve">U </w:t>
      </w:r>
      <w:r w:rsidR="006F457B" w:rsidRPr="003A2F86">
        <w:rPr>
          <w:rFonts w:ascii="Arial" w:eastAsia="Times New Roman" w:hAnsi="Arial" w:cs="Arial"/>
          <w:iCs/>
          <w:lang w:eastAsia="en-US"/>
        </w:rPr>
        <w:t xml:space="preserve">okviru ove glave izvršene su plaće i drugi zajednički troškovi upravnih tijela (električna energija, voda, telefon, uredski i ostali materijal, tekuće održavanje objekata i opreme, računalne usluge, intelektualne usluge, bankarske usluge i sl.) u iznosu </w:t>
      </w:r>
      <w:r w:rsidR="00CB1B81">
        <w:rPr>
          <w:rFonts w:ascii="Arial" w:eastAsia="Times New Roman" w:hAnsi="Arial" w:cs="Arial"/>
          <w:iCs/>
          <w:lang w:eastAsia="en-US"/>
        </w:rPr>
        <w:t>588.417,65</w:t>
      </w:r>
      <w:r w:rsidR="009B2D4E" w:rsidRPr="003A2F86">
        <w:rPr>
          <w:rFonts w:ascii="Arial" w:eastAsia="Times New Roman" w:hAnsi="Arial" w:cs="Arial"/>
          <w:iCs/>
          <w:lang w:eastAsia="en-US"/>
        </w:rPr>
        <w:t xml:space="preserve"> €</w:t>
      </w:r>
      <w:r w:rsidR="006F457B" w:rsidRPr="003A2F86">
        <w:rPr>
          <w:rFonts w:ascii="Arial" w:eastAsia="Times New Roman" w:hAnsi="Arial" w:cs="Arial"/>
          <w:iCs/>
          <w:lang w:eastAsia="en-US"/>
        </w:rPr>
        <w:t xml:space="preserve"> koji čine </w:t>
      </w:r>
      <w:r w:rsidR="00CB1B81">
        <w:rPr>
          <w:rFonts w:ascii="Arial" w:eastAsia="Times New Roman" w:hAnsi="Arial" w:cs="Arial"/>
          <w:iCs/>
          <w:lang w:eastAsia="en-US"/>
        </w:rPr>
        <w:t>14</w:t>
      </w:r>
      <w:r>
        <w:rPr>
          <w:rFonts w:ascii="Arial" w:eastAsia="Times New Roman" w:hAnsi="Arial" w:cs="Arial"/>
          <w:iCs/>
          <w:lang w:eastAsia="en-US"/>
        </w:rPr>
        <w:t>,6</w:t>
      </w:r>
      <w:r w:rsidR="006F457B" w:rsidRPr="003A2F86">
        <w:rPr>
          <w:rFonts w:ascii="Arial" w:eastAsia="Times New Roman" w:hAnsi="Arial" w:cs="Arial"/>
          <w:iCs/>
          <w:lang w:eastAsia="en-US"/>
        </w:rPr>
        <w:t xml:space="preserve">% ukupnih rashoda i izdataka ovog razdjela, odnosno </w:t>
      </w:r>
      <w:r w:rsidR="00CB1B81">
        <w:rPr>
          <w:rFonts w:ascii="Arial" w:eastAsia="Times New Roman" w:hAnsi="Arial" w:cs="Arial"/>
          <w:iCs/>
          <w:lang w:eastAsia="en-US"/>
        </w:rPr>
        <w:t>5</w:t>
      </w:r>
      <w:r>
        <w:rPr>
          <w:rFonts w:ascii="Arial" w:eastAsia="Times New Roman" w:hAnsi="Arial" w:cs="Arial"/>
          <w:iCs/>
          <w:lang w:eastAsia="en-US"/>
        </w:rPr>
        <w:t>,7</w:t>
      </w:r>
      <w:r w:rsidR="006F457B" w:rsidRPr="003A2F86">
        <w:rPr>
          <w:rFonts w:ascii="Arial" w:eastAsia="Times New Roman" w:hAnsi="Arial" w:cs="Arial"/>
          <w:iCs/>
          <w:lang w:eastAsia="en-US"/>
        </w:rPr>
        <w:t>% ukupnih rashoda i izdataka proračuna.</w:t>
      </w:r>
      <w:r w:rsidR="00351167" w:rsidRPr="003A2F86">
        <w:rPr>
          <w:rFonts w:ascii="Arial" w:eastAsia="Times New Roman" w:hAnsi="Arial" w:cs="Arial"/>
          <w:iCs/>
          <w:lang w:eastAsia="en-US"/>
        </w:rPr>
        <w:t xml:space="preserve"> </w:t>
      </w:r>
    </w:p>
    <w:p w14:paraId="06BAEF90" w14:textId="77777777" w:rsidR="0030073B" w:rsidRPr="003A2F86" w:rsidRDefault="0030073B" w:rsidP="00891119">
      <w:pPr>
        <w:spacing w:after="0" w:line="240" w:lineRule="auto"/>
        <w:jc w:val="both"/>
        <w:rPr>
          <w:rFonts w:ascii="Arial" w:eastAsia="Times New Roman" w:hAnsi="Arial" w:cs="Arial"/>
          <w:iCs/>
          <w:lang w:eastAsia="en-US"/>
        </w:rPr>
      </w:pPr>
    </w:p>
    <w:p w14:paraId="52870E0E" w14:textId="27140BA5" w:rsidR="0017178A" w:rsidRPr="003A2F86" w:rsidRDefault="00351167" w:rsidP="0017178A">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U okviru ovog razdjela</w:t>
      </w:r>
      <w:r w:rsidR="009B2D4E" w:rsidRPr="003A2F86">
        <w:rPr>
          <w:rFonts w:ascii="Arial" w:eastAsia="Times New Roman" w:hAnsi="Arial" w:cs="Arial"/>
          <w:iCs/>
          <w:lang w:eastAsia="en-US"/>
        </w:rPr>
        <w:t xml:space="preserve"> </w:t>
      </w:r>
      <w:r w:rsidR="00DE413D">
        <w:rPr>
          <w:rFonts w:ascii="Arial" w:eastAsia="Times New Roman" w:hAnsi="Arial" w:cs="Arial"/>
          <w:iCs/>
          <w:lang w:eastAsia="en-US"/>
        </w:rPr>
        <w:t>planiraju se</w:t>
      </w:r>
      <w:r w:rsidR="00DE4809" w:rsidRPr="003A2F86">
        <w:rPr>
          <w:rFonts w:ascii="Arial" w:eastAsia="Times New Roman" w:hAnsi="Arial" w:cs="Arial"/>
          <w:iCs/>
          <w:lang w:eastAsia="en-US"/>
        </w:rPr>
        <w:t xml:space="preserve"> povrati beskamatnih zajmova. </w:t>
      </w:r>
      <w:r w:rsidR="001144FE" w:rsidRPr="003A2F86">
        <w:rPr>
          <w:rFonts w:ascii="Arial" w:eastAsia="Times New Roman" w:hAnsi="Arial" w:cs="Arial"/>
          <w:iCs/>
          <w:lang w:eastAsia="en-US"/>
        </w:rPr>
        <w:t>U tekućoj godini Općina nije vraćala beskamatne</w:t>
      </w:r>
      <w:r w:rsidR="00DE413D">
        <w:rPr>
          <w:rFonts w:ascii="Arial" w:eastAsia="Times New Roman" w:hAnsi="Arial" w:cs="Arial"/>
          <w:iCs/>
          <w:lang w:eastAsia="en-US"/>
        </w:rPr>
        <w:t xml:space="preserve"> zajmove</w:t>
      </w:r>
      <w:r w:rsidR="00B81F0D" w:rsidRPr="003A2F86">
        <w:rPr>
          <w:rFonts w:ascii="Arial" w:eastAsia="Times New Roman" w:hAnsi="Arial" w:cs="Arial"/>
          <w:iCs/>
          <w:lang w:eastAsia="en-US"/>
        </w:rPr>
        <w:t>.</w:t>
      </w:r>
      <w:r w:rsidR="0017178A" w:rsidRPr="003A2F86">
        <w:rPr>
          <w:rFonts w:ascii="Arial" w:eastAsia="Times New Roman" w:hAnsi="Arial" w:cs="Arial"/>
          <w:iCs/>
          <w:lang w:eastAsia="en-US"/>
        </w:rPr>
        <w:t xml:space="preserve"> Naputkom o izmjeni naputka o isplate sredstava beskamatnog zajma jedinicama lokalne i područne (regionalne) samouprave uslijed pada prihoda (NN 130/20, 134/23) je produžen rok za otplatu zajma isplaćenog jedinicama u 2020. godini do 31.12.2027. Također, produžen je i rok za otplatu beskamatnog zajma uslijed pada prihoda iz 2021. godine (prijedlog Zakona o izvršavanju državnog proračuna RH za 2024. godinu).</w:t>
      </w:r>
    </w:p>
    <w:bookmarkEnd w:id="297"/>
    <w:bookmarkEnd w:id="298"/>
    <w:p w14:paraId="162E774E" w14:textId="77777777" w:rsidR="002B18EF" w:rsidRPr="003A2F86" w:rsidRDefault="002B18EF" w:rsidP="00891119">
      <w:pPr>
        <w:spacing w:after="0" w:line="240" w:lineRule="auto"/>
        <w:rPr>
          <w:rFonts w:ascii="Arial" w:eastAsia="Times New Roman" w:hAnsi="Arial" w:cs="Arial"/>
          <w:iCs/>
          <w:lang w:eastAsia="en-US"/>
        </w:rPr>
      </w:pPr>
    </w:p>
    <w:tbl>
      <w:tblPr>
        <w:tblW w:w="11908" w:type="dxa"/>
        <w:jc w:val="center"/>
        <w:tblLook w:val="04A0" w:firstRow="1" w:lastRow="0" w:firstColumn="1" w:lastColumn="0" w:noHBand="0" w:noVBand="1"/>
      </w:tblPr>
      <w:tblGrid>
        <w:gridCol w:w="1245"/>
        <w:gridCol w:w="973"/>
        <w:gridCol w:w="9690"/>
      </w:tblGrid>
      <w:tr w:rsidR="00501627" w:rsidRPr="003A2F86" w14:paraId="7B10E56C" w14:textId="77777777" w:rsidTr="00931206">
        <w:trPr>
          <w:trHeight w:val="382"/>
          <w:jc w:val="center"/>
        </w:trPr>
        <w:tc>
          <w:tcPr>
            <w:tcW w:w="1245" w:type="dxa"/>
            <w:tcBorders>
              <w:top w:val="nil"/>
              <w:left w:val="nil"/>
              <w:bottom w:val="nil"/>
              <w:right w:val="nil"/>
            </w:tcBorders>
            <w:shd w:val="clear" w:color="000000" w:fill="A5A5A5"/>
            <w:noWrap/>
            <w:vAlign w:val="center"/>
            <w:hideMark/>
          </w:tcPr>
          <w:bookmarkEnd w:id="296"/>
          <w:p w14:paraId="4997654A" w14:textId="77777777" w:rsidR="00891119" w:rsidRPr="003A2F86" w:rsidRDefault="00891119" w:rsidP="00162169">
            <w:pPr>
              <w:spacing w:after="0" w:line="240" w:lineRule="auto"/>
              <w:jc w:val="center"/>
              <w:rPr>
                <w:rFonts w:ascii="Arial" w:eastAsia="Times New Roman" w:hAnsi="Arial" w:cs="Arial"/>
                <w:b/>
                <w:bCs/>
                <w:sz w:val="18"/>
                <w:szCs w:val="18"/>
              </w:rPr>
            </w:pPr>
            <w:r w:rsidRPr="003A2F86">
              <w:rPr>
                <w:rFonts w:ascii="Arial" w:eastAsia="Times New Roman" w:hAnsi="Arial" w:cs="Arial"/>
                <w:b/>
                <w:bCs/>
                <w:sz w:val="18"/>
                <w:szCs w:val="18"/>
              </w:rPr>
              <w:t>RAZDJEL:</w:t>
            </w:r>
          </w:p>
        </w:tc>
        <w:tc>
          <w:tcPr>
            <w:tcW w:w="973" w:type="dxa"/>
            <w:tcBorders>
              <w:top w:val="nil"/>
              <w:left w:val="nil"/>
              <w:bottom w:val="nil"/>
              <w:right w:val="nil"/>
            </w:tcBorders>
            <w:shd w:val="clear" w:color="000000" w:fill="A5A5A5"/>
            <w:noWrap/>
            <w:vAlign w:val="center"/>
            <w:hideMark/>
          </w:tcPr>
          <w:p w14:paraId="5015A4F1" w14:textId="77777777" w:rsidR="00891119" w:rsidRPr="003A2F86" w:rsidRDefault="00891119" w:rsidP="00162169">
            <w:pPr>
              <w:spacing w:after="0" w:line="240" w:lineRule="auto"/>
              <w:jc w:val="center"/>
              <w:rPr>
                <w:rFonts w:ascii="Arial" w:eastAsia="Times New Roman" w:hAnsi="Arial" w:cs="Arial"/>
                <w:b/>
                <w:bCs/>
                <w:sz w:val="18"/>
                <w:szCs w:val="18"/>
              </w:rPr>
            </w:pPr>
            <w:r w:rsidRPr="003A2F86">
              <w:rPr>
                <w:rFonts w:ascii="Arial" w:eastAsia="Times New Roman" w:hAnsi="Arial" w:cs="Arial"/>
                <w:b/>
                <w:bCs/>
                <w:sz w:val="18"/>
                <w:szCs w:val="18"/>
              </w:rPr>
              <w:t>030</w:t>
            </w:r>
          </w:p>
        </w:tc>
        <w:tc>
          <w:tcPr>
            <w:tcW w:w="9690" w:type="dxa"/>
            <w:tcBorders>
              <w:top w:val="nil"/>
              <w:left w:val="nil"/>
              <w:bottom w:val="nil"/>
              <w:right w:val="nil"/>
            </w:tcBorders>
            <w:shd w:val="clear" w:color="000000" w:fill="A5A5A5"/>
            <w:noWrap/>
            <w:vAlign w:val="center"/>
            <w:hideMark/>
          </w:tcPr>
          <w:p w14:paraId="6965A251" w14:textId="7DF914B4" w:rsidR="00891119" w:rsidRPr="003A2F86" w:rsidRDefault="00891119" w:rsidP="00162169">
            <w:pPr>
              <w:spacing w:after="0" w:line="240" w:lineRule="auto"/>
              <w:jc w:val="center"/>
              <w:rPr>
                <w:rFonts w:ascii="Arial" w:eastAsia="Times New Roman" w:hAnsi="Arial" w:cs="Arial"/>
                <w:b/>
                <w:bCs/>
              </w:rPr>
            </w:pPr>
            <w:r w:rsidRPr="003A2F86">
              <w:rPr>
                <w:rFonts w:ascii="Arial" w:eastAsia="Times New Roman" w:hAnsi="Arial" w:cs="Arial"/>
                <w:b/>
                <w:bCs/>
              </w:rPr>
              <w:t xml:space="preserve">UPRAVNI ODJEL ZA </w:t>
            </w:r>
            <w:r w:rsidR="002B18EF" w:rsidRPr="003A2F86">
              <w:rPr>
                <w:rFonts w:ascii="Arial" w:eastAsia="Times New Roman" w:hAnsi="Arial" w:cs="Arial"/>
                <w:b/>
                <w:bCs/>
              </w:rPr>
              <w:t xml:space="preserve">PROSTORNO UREĐENJE, ZAŠTITU OKOLIŠA, </w:t>
            </w:r>
            <w:r w:rsidRPr="003A2F86">
              <w:rPr>
                <w:rFonts w:ascii="Arial" w:eastAsia="Times New Roman" w:hAnsi="Arial" w:cs="Arial"/>
                <w:b/>
                <w:bCs/>
              </w:rPr>
              <w:t>KOMUNALNI SUSTAV I GOSPODARENJE NEKRETNINAMA</w:t>
            </w:r>
          </w:p>
        </w:tc>
      </w:tr>
    </w:tbl>
    <w:p w14:paraId="523E64EE" w14:textId="77777777" w:rsidR="00891119" w:rsidRPr="003A2F86" w:rsidRDefault="00891119" w:rsidP="00891119">
      <w:pPr>
        <w:spacing w:after="0" w:line="240" w:lineRule="auto"/>
        <w:rPr>
          <w:rFonts w:ascii="Arial" w:eastAsia="Times New Roman" w:hAnsi="Arial" w:cs="Arial"/>
          <w:iCs/>
          <w:sz w:val="18"/>
          <w:lang w:eastAsia="en-US"/>
        </w:rPr>
      </w:pPr>
    </w:p>
    <w:p w14:paraId="7A495086" w14:textId="5C463B2F" w:rsidR="005C6076" w:rsidRDefault="00891119" w:rsidP="00DF6AC9">
      <w:pPr>
        <w:spacing w:after="0" w:line="240" w:lineRule="auto"/>
        <w:jc w:val="both"/>
        <w:rPr>
          <w:rFonts w:ascii="Arial" w:eastAsia="Times New Roman" w:hAnsi="Arial" w:cs="Arial"/>
          <w:iCs/>
          <w:lang w:eastAsia="en-US"/>
        </w:rPr>
      </w:pPr>
      <w:bookmarkStart w:id="299" w:name="_Hlk146003850"/>
      <w:r w:rsidRPr="003A2F86">
        <w:rPr>
          <w:rFonts w:ascii="Arial" w:eastAsia="Times New Roman" w:hAnsi="Arial" w:cs="Arial"/>
          <w:iCs/>
          <w:lang w:eastAsia="en-US"/>
        </w:rPr>
        <w:t xml:space="preserve">Rashodi i izdaci razdjela 030 (Upravni odjel za </w:t>
      </w:r>
      <w:r w:rsidR="002B18EF" w:rsidRPr="003A2F86">
        <w:rPr>
          <w:rFonts w:ascii="Arial" w:eastAsia="Times New Roman" w:hAnsi="Arial" w:cs="Arial"/>
          <w:iCs/>
          <w:lang w:eastAsia="en-US"/>
        </w:rPr>
        <w:t xml:space="preserve">prostorno uređenje, zaštitu okoliša, </w:t>
      </w:r>
      <w:r w:rsidRPr="003A2F86">
        <w:rPr>
          <w:rFonts w:ascii="Arial" w:eastAsia="Times New Roman" w:hAnsi="Arial" w:cs="Arial"/>
          <w:iCs/>
          <w:lang w:eastAsia="en-US"/>
        </w:rPr>
        <w:t xml:space="preserve">komunalni sustav i gospodarenje nekretninama) u iznosu </w:t>
      </w:r>
      <w:r w:rsidR="00964A6A">
        <w:rPr>
          <w:rFonts w:ascii="Arial" w:eastAsia="Times New Roman" w:hAnsi="Arial" w:cs="Arial"/>
          <w:iCs/>
          <w:lang w:eastAsia="en-US"/>
        </w:rPr>
        <w:t>5.584.135,14</w:t>
      </w:r>
      <w:r w:rsidR="001144FE"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odnose se na rashode podijeljene u dvije glave:</w:t>
      </w:r>
    </w:p>
    <w:p w14:paraId="1A26F2D1" w14:textId="77777777" w:rsidR="00DE413D" w:rsidRPr="003A2F86" w:rsidRDefault="00DE413D" w:rsidP="00DF6AC9">
      <w:pPr>
        <w:spacing w:after="0" w:line="240" w:lineRule="auto"/>
        <w:jc w:val="both"/>
        <w:rPr>
          <w:rFonts w:ascii="Arial" w:eastAsia="Times New Roman" w:hAnsi="Arial" w:cs="Arial"/>
          <w:iCs/>
          <w:lang w:eastAsia="en-US"/>
        </w:rPr>
      </w:pPr>
    </w:p>
    <w:p w14:paraId="6FC46289" w14:textId="3BC8E0FE" w:rsidR="00501627" w:rsidRPr="003A2F86" w:rsidRDefault="00964A6A" w:rsidP="00DE413D">
      <w:pPr>
        <w:spacing w:after="0" w:line="240" w:lineRule="auto"/>
        <w:jc w:val="center"/>
        <w:rPr>
          <w:rFonts w:ascii="Arial" w:eastAsia="Times New Roman" w:hAnsi="Arial" w:cs="Arial"/>
          <w:iCs/>
          <w:lang w:eastAsia="en-US"/>
        </w:rPr>
      </w:pPr>
      <w:r w:rsidRPr="00964A6A">
        <w:rPr>
          <w:noProof/>
        </w:rPr>
        <w:drawing>
          <wp:inline distT="0" distB="0" distL="0" distR="0" wp14:anchorId="2F93126E" wp14:editId="156C3DE0">
            <wp:extent cx="9251950" cy="2361565"/>
            <wp:effectExtent l="0" t="0" r="6350" b="635"/>
            <wp:docPr id="180522065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51950" cy="2361565"/>
                    </a:xfrm>
                    <a:prstGeom prst="rect">
                      <a:avLst/>
                    </a:prstGeom>
                    <a:noFill/>
                    <a:ln>
                      <a:noFill/>
                    </a:ln>
                  </pic:spPr>
                </pic:pic>
              </a:graphicData>
            </a:graphic>
          </wp:inline>
        </w:drawing>
      </w:r>
    </w:p>
    <w:p w14:paraId="22D9E249" w14:textId="470F861E" w:rsidR="0018134F" w:rsidRPr="003A2F86" w:rsidRDefault="0018134F" w:rsidP="00891119">
      <w:pPr>
        <w:spacing w:after="0" w:line="240" w:lineRule="auto"/>
        <w:jc w:val="both"/>
        <w:rPr>
          <w:rFonts w:ascii="Arial" w:eastAsia="Times New Roman" w:hAnsi="Arial" w:cs="Arial"/>
          <w:iCs/>
          <w:lang w:eastAsia="en-US"/>
        </w:rPr>
      </w:pPr>
      <w:bookmarkStart w:id="300" w:name="_Hlk146003882"/>
      <w:bookmarkStart w:id="301" w:name="_Hlk166657718"/>
      <w:bookmarkEnd w:id="299"/>
    </w:p>
    <w:p w14:paraId="6FDAAF4E" w14:textId="79DA73D7" w:rsidR="00891119" w:rsidRPr="003A2F86" w:rsidRDefault="00891119" w:rsidP="00891119">
      <w:pPr>
        <w:spacing w:after="0" w:line="240" w:lineRule="auto"/>
        <w:jc w:val="both"/>
        <w:rPr>
          <w:rFonts w:ascii="Arial" w:eastAsia="Times New Roman" w:hAnsi="Arial" w:cs="Arial"/>
          <w:iCs/>
          <w:lang w:eastAsia="en-US"/>
        </w:rPr>
      </w:pPr>
      <w:bookmarkStart w:id="302" w:name="_Hlk207638356"/>
      <w:r w:rsidRPr="003A2F86">
        <w:rPr>
          <w:rFonts w:ascii="Arial" w:eastAsia="Times New Roman" w:hAnsi="Arial" w:cs="Arial"/>
          <w:iCs/>
          <w:lang w:eastAsia="en-US"/>
        </w:rPr>
        <w:t xml:space="preserve">Vrijednosno najznačajniji rashodi u okviru ovog razdjela se odnose na rashode izvršene u okviru glave 03001 –Upravni odjel za </w:t>
      </w:r>
      <w:r w:rsidR="002B18EF" w:rsidRPr="003A2F86">
        <w:rPr>
          <w:rFonts w:ascii="Arial" w:eastAsia="Times New Roman" w:hAnsi="Arial" w:cs="Arial"/>
          <w:iCs/>
          <w:lang w:eastAsia="en-US"/>
        </w:rPr>
        <w:t xml:space="preserve">prostorno uređenje, zaštitu okoliša, </w:t>
      </w:r>
      <w:r w:rsidRPr="003A2F86">
        <w:rPr>
          <w:rFonts w:ascii="Arial" w:eastAsia="Times New Roman" w:hAnsi="Arial" w:cs="Arial"/>
          <w:iCs/>
          <w:lang w:eastAsia="en-US"/>
        </w:rPr>
        <w:t xml:space="preserve">komunalni sustav i gospodarenje nekretninama u iznosu </w:t>
      </w:r>
      <w:r w:rsidR="00964A6A">
        <w:rPr>
          <w:rFonts w:ascii="Arial" w:eastAsia="Times New Roman" w:hAnsi="Arial" w:cs="Arial"/>
          <w:iCs/>
          <w:lang w:eastAsia="en-US"/>
        </w:rPr>
        <w:t>5.217.314,58</w:t>
      </w:r>
      <w:r w:rsidR="009673E5"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koji čine </w:t>
      </w:r>
      <w:r w:rsidR="00DE413D">
        <w:rPr>
          <w:rFonts w:ascii="Arial" w:eastAsia="Times New Roman" w:hAnsi="Arial" w:cs="Arial"/>
          <w:iCs/>
          <w:lang w:eastAsia="en-US"/>
        </w:rPr>
        <w:t>9</w:t>
      </w:r>
      <w:r w:rsidR="00964A6A">
        <w:rPr>
          <w:rFonts w:ascii="Arial" w:eastAsia="Times New Roman" w:hAnsi="Arial" w:cs="Arial"/>
          <w:iCs/>
          <w:lang w:eastAsia="en-US"/>
        </w:rPr>
        <w:t>3,4</w:t>
      </w:r>
      <w:r w:rsidR="00DE413D">
        <w:rPr>
          <w:rFonts w:ascii="Arial" w:eastAsia="Times New Roman" w:hAnsi="Arial" w:cs="Arial"/>
          <w:iCs/>
          <w:lang w:eastAsia="en-US"/>
        </w:rPr>
        <w:t>%</w:t>
      </w:r>
      <w:r w:rsidRPr="003A2F86">
        <w:rPr>
          <w:rFonts w:ascii="Arial" w:eastAsia="Times New Roman" w:hAnsi="Arial" w:cs="Arial"/>
          <w:iCs/>
          <w:lang w:eastAsia="en-US"/>
        </w:rPr>
        <w:t xml:space="preserve"> ukupnih rashoda i izdataka ovog razdjela, odnosno </w:t>
      </w:r>
      <w:r w:rsidR="00964A6A">
        <w:rPr>
          <w:rFonts w:ascii="Arial" w:eastAsia="Times New Roman" w:hAnsi="Arial" w:cs="Arial"/>
          <w:iCs/>
          <w:lang w:eastAsia="en-US"/>
        </w:rPr>
        <w:t>50,4</w:t>
      </w:r>
      <w:r w:rsidRPr="003A2F86">
        <w:rPr>
          <w:rFonts w:ascii="Arial" w:eastAsia="Times New Roman" w:hAnsi="Arial" w:cs="Arial"/>
          <w:iCs/>
          <w:lang w:eastAsia="en-US"/>
        </w:rPr>
        <w:t xml:space="preserve">% ukupno izvršenih rashoda i izdataka. </w:t>
      </w:r>
    </w:p>
    <w:bookmarkEnd w:id="300"/>
    <w:bookmarkEnd w:id="301"/>
    <w:p w14:paraId="36E596D8" w14:textId="4BE62C9B" w:rsidR="00501627" w:rsidRPr="003A2F86" w:rsidRDefault="00501627" w:rsidP="00891119">
      <w:pPr>
        <w:spacing w:after="0" w:line="240" w:lineRule="auto"/>
        <w:jc w:val="both"/>
        <w:rPr>
          <w:rFonts w:ascii="Arial" w:eastAsia="Times New Roman" w:hAnsi="Arial" w:cs="Arial"/>
          <w:iCs/>
          <w:lang w:eastAsia="en-US"/>
        </w:rPr>
      </w:pPr>
    </w:p>
    <w:p w14:paraId="1E15F4A8" w14:textId="77777777" w:rsidR="001D5E19" w:rsidRPr="003A2F86" w:rsidRDefault="001D5E19" w:rsidP="001D5E19">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U okviru ovog razdjela se izvršavaju izdaci za otplate kredita korištenih za provedbu investicija, Program održavanja komunalne infrastrukture, Program građenja komunalne infrastrukture, Program gospodarenja otpadom, Program sanitarno veterinarskih aktivnosti i zaštite životinja, Programi izgradnje i uređenja objekata javne namjene (predškolski odgoj i školstvo, sport, socijalna zaštita i zdravstvo, kultura, pomorsko dobro, poduzetnička zona, razvoj i sigurnost prometa i drugo).</w:t>
      </w:r>
    </w:p>
    <w:p w14:paraId="4B57A254" w14:textId="77777777" w:rsidR="001D5E19" w:rsidRPr="003A2F86" w:rsidRDefault="001D5E19" w:rsidP="001D5E19">
      <w:pPr>
        <w:spacing w:after="0" w:line="240" w:lineRule="auto"/>
        <w:jc w:val="both"/>
        <w:rPr>
          <w:rFonts w:ascii="Arial" w:eastAsia="Times New Roman" w:hAnsi="Arial" w:cs="Arial"/>
          <w:iCs/>
          <w:lang w:eastAsia="en-US"/>
        </w:rPr>
      </w:pPr>
    </w:p>
    <w:p w14:paraId="6376DD3F" w14:textId="20A41161" w:rsidR="0021031F" w:rsidRPr="003A2F86" w:rsidRDefault="0021031F" w:rsidP="0021031F">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Rashodi za</w:t>
      </w:r>
      <w:r w:rsidR="00964A6A">
        <w:rPr>
          <w:rFonts w:ascii="Arial" w:eastAsia="Times New Roman" w:hAnsi="Arial" w:cs="Arial"/>
          <w:iCs/>
          <w:lang w:eastAsia="en-US"/>
        </w:rPr>
        <w:t xml:space="preserve"> Javnu vatrogasnu postrojbu su izvršeni u iznosu 366.820,56 €, a s</w:t>
      </w:r>
      <w:r w:rsidRPr="003A2F86">
        <w:rPr>
          <w:rFonts w:ascii="Arial" w:eastAsia="Times New Roman" w:hAnsi="Arial" w:cs="Arial"/>
          <w:iCs/>
          <w:lang w:eastAsia="en-US"/>
        </w:rPr>
        <w:t xml:space="preserve">ufinancirali </w:t>
      </w:r>
      <w:r w:rsidR="00964A6A">
        <w:rPr>
          <w:rFonts w:ascii="Arial" w:eastAsia="Times New Roman" w:hAnsi="Arial" w:cs="Arial"/>
          <w:iCs/>
          <w:lang w:eastAsia="en-US"/>
        </w:rPr>
        <w:t xml:space="preserve">su se </w:t>
      </w:r>
      <w:r w:rsidRPr="003A2F86">
        <w:rPr>
          <w:rFonts w:ascii="Arial" w:eastAsia="Times New Roman" w:hAnsi="Arial" w:cs="Arial"/>
          <w:iCs/>
          <w:lang w:eastAsia="en-US"/>
        </w:rPr>
        <w:t xml:space="preserve">sredstvima minimalnih financijskih standarda iz državnog proračuna u iznosu </w:t>
      </w:r>
      <w:r w:rsidR="00964A6A">
        <w:rPr>
          <w:rFonts w:ascii="Arial" w:eastAsia="Times New Roman" w:hAnsi="Arial" w:cs="Arial"/>
          <w:iCs/>
          <w:lang w:eastAsia="en-US"/>
        </w:rPr>
        <w:t>155.492,14</w:t>
      </w:r>
      <w:r w:rsidRPr="003A2F86">
        <w:rPr>
          <w:rFonts w:ascii="Arial" w:eastAsia="Times New Roman" w:hAnsi="Arial" w:cs="Arial"/>
          <w:iCs/>
          <w:lang w:eastAsia="en-US"/>
        </w:rPr>
        <w:t xml:space="preserve"> € čime je osigurano financiranje 4</w:t>
      </w:r>
      <w:r w:rsidR="00964A6A">
        <w:rPr>
          <w:rFonts w:ascii="Arial" w:eastAsia="Times New Roman" w:hAnsi="Arial" w:cs="Arial"/>
          <w:iCs/>
          <w:lang w:eastAsia="en-US"/>
        </w:rPr>
        <w:t>2,4</w:t>
      </w:r>
      <w:r w:rsidRPr="003A2F86">
        <w:rPr>
          <w:rFonts w:ascii="Arial" w:eastAsia="Times New Roman" w:hAnsi="Arial" w:cs="Arial"/>
          <w:iCs/>
          <w:lang w:eastAsia="en-US"/>
        </w:rPr>
        <w:t>% sveukupnih troškova javne vatrogasne postrojbe</w:t>
      </w:r>
      <w:r w:rsidR="00DE413D">
        <w:rPr>
          <w:rFonts w:ascii="Arial" w:eastAsia="Times New Roman" w:hAnsi="Arial" w:cs="Arial"/>
          <w:iCs/>
          <w:lang w:eastAsia="en-US"/>
        </w:rPr>
        <w:t xml:space="preserve"> (glava 03002 – Ustanova za vatrogasnu djelatnost).</w:t>
      </w:r>
    </w:p>
    <w:bookmarkEnd w:id="302"/>
    <w:p w14:paraId="27D461CC" w14:textId="77777777" w:rsidR="009673E5" w:rsidRPr="003A2F86" w:rsidRDefault="009673E5" w:rsidP="00891119">
      <w:pPr>
        <w:spacing w:after="0" w:line="240" w:lineRule="auto"/>
        <w:jc w:val="both"/>
        <w:rPr>
          <w:rFonts w:ascii="Arial" w:eastAsia="Times New Roman" w:hAnsi="Arial" w:cs="Arial"/>
          <w:iCs/>
          <w:lang w:eastAsia="en-US"/>
        </w:rPr>
      </w:pPr>
    </w:p>
    <w:p w14:paraId="138F15CE" w14:textId="77777777" w:rsidR="009673E5" w:rsidRPr="003A2F86" w:rsidRDefault="009673E5" w:rsidP="00891119">
      <w:pPr>
        <w:spacing w:after="0" w:line="240" w:lineRule="auto"/>
        <w:jc w:val="both"/>
        <w:rPr>
          <w:rFonts w:ascii="Arial" w:eastAsia="Times New Roman" w:hAnsi="Arial" w:cs="Arial"/>
          <w:iCs/>
          <w:lang w:eastAsia="en-US"/>
        </w:rPr>
      </w:pPr>
    </w:p>
    <w:p w14:paraId="1CC73AD6" w14:textId="77777777" w:rsidR="009673E5" w:rsidRPr="003A2F86" w:rsidRDefault="009673E5" w:rsidP="00891119">
      <w:pPr>
        <w:spacing w:after="0" w:line="240" w:lineRule="auto"/>
        <w:jc w:val="both"/>
        <w:rPr>
          <w:rFonts w:ascii="Arial" w:eastAsia="Times New Roman" w:hAnsi="Arial" w:cs="Arial"/>
          <w:iCs/>
          <w:lang w:eastAsia="en-US"/>
        </w:rPr>
      </w:pPr>
    </w:p>
    <w:p w14:paraId="2D1EF169" w14:textId="17201221" w:rsidR="00501627" w:rsidRPr="003A2F86" w:rsidRDefault="00501627" w:rsidP="00891119">
      <w:pPr>
        <w:spacing w:after="0" w:line="240" w:lineRule="auto"/>
        <w:jc w:val="both"/>
        <w:rPr>
          <w:rFonts w:ascii="Arial" w:eastAsia="Times New Roman" w:hAnsi="Arial" w:cs="Arial"/>
          <w:iCs/>
          <w:lang w:eastAsia="en-US"/>
        </w:rPr>
      </w:pPr>
    </w:p>
    <w:tbl>
      <w:tblPr>
        <w:tblW w:w="11908" w:type="dxa"/>
        <w:jc w:val="center"/>
        <w:tblLook w:val="04A0" w:firstRow="1" w:lastRow="0" w:firstColumn="1" w:lastColumn="0" w:noHBand="0" w:noVBand="1"/>
      </w:tblPr>
      <w:tblGrid>
        <w:gridCol w:w="1245"/>
        <w:gridCol w:w="973"/>
        <w:gridCol w:w="9690"/>
      </w:tblGrid>
      <w:tr w:rsidR="00501627" w:rsidRPr="003A2F86" w14:paraId="77E1C588" w14:textId="77777777" w:rsidTr="00BA0C91">
        <w:trPr>
          <w:trHeight w:val="326"/>
          <w:jc w:val="center"/>
        </w:trPr>
        <w:tc>
          <w:tcPr>
            <w:tcW w:w="1245" w:type="dxa"/>
            <w:tcBorders>
              <w:top w:val="nil"/>
              <w:left w:val="nil"/>
              <w:bottom w:val="nil"/>
              <w:right w:val="nil"/>
            </w:tcBorders>
            <w:shd w:val="clear" w:color="000000" w:fill="A5A5A5"/>
            <w:noWrap/>
            <w:vAlign w:val="center"/>
            <w:hideMark/>
          </w:tcPr>
          <w:p w14:paraId="710C3A50" w14:textId="77777777" w:rsidR="00162169" w:rsidRPr="003A2F86" w:rsidRDefault="00162169" w:rsidP="00931206">
            <w:pPr>
              <w:spacing w:after="0" w:line="240" w:lineRule="auto"/>
              <w:jc w:val="center"/>
              <w:rPr>
                <w:rFonts w:ascii="Arial" w:eastAsia="Times New Roman" w:hAnsi="Arial" w:cs="Arial"/>
                <w:b/>
                <w:bCs/>
                <w:sz w:val="18"/>
                <w:szCs w:val="18"/>
              </w:rPr>
            </w:pPr>
            <w:r w:rsidRPr="003A2F86">
              <w:rPr>
                <w:rFonts w:ascii="Arial" w:eastAsia="Times New Roman" w:hAnsi="Arial" w:cs="Arial"/>
                <w:b/>
                <w:bCs/>
                <w:sz w:val="18"/>
                <w:szCs w:val="18"/>
              </w:rPr>
              <w:t>RAZDJEL:</w:t>
            </w:r>
          </w:p>
        </w:tc>
        <w:tc>
          <w:tcPr>
            <w:tcW w:w="973" w:type="dxa"/>
            <w:tcBorders>
              <w:top w:val="nil"/>
              <w:left w:val="nil"/>
              <w:bottom w:val="nil"/>
              <w:right w:val="nil"/>
            </w:tcBorders>
            <w:shd w:val="clear" w:color="000000" w:fill="A5A5A5"/>
            <w:noWrap/>
            <w:vAlign w:val="center"/>
            <w:hideMark/>
          </w:tcPr>
          <w:p w14:paraId="7D26000D" w14:textId="77777777" w:rsidR="00162169" w:rsidRPr="003A2F86" w:rsidRDefault="00162169" w:rsidP="00931206">
            <w:pPr>
              <w:spacing w:after="0" w:line="240" w:lineRule="auto"/>
              <w:jc w:val="center"/>
              <w:rPr>
                <w:rFonts w:ascii="Arial" w:eastAsia="Times New Roman" w:hAnsi="Arial" w:cs="Arial"/>
                <w:b/>
                <w:bCs/>
                <w:sz w:val="18"/>
                <w:szCs w:val="18"/>
              </w:rPr>
            </w:pPr>
            <w:r w:rsidRPr="003A2F86">
              <w:rPr>
                <w:rFonts w:ascii="Arial" w:eastAsia="Times New Roman" w:hAnsi="Arial" w:cs="Arial"/>
                <w:b/>
                <w:bCs/>
                <w:sz w:val="18"/>
                <w:szCs w:val="18"/>
              </w:rPr>
              <w:t>0</w:t>
            </w:r>
            <w:r w:rsidR="00BD2DA1" w:rsidRPr="003A2F86">
              <w:rPr>
                <w:rFonts w:ascii="Arial" w:eastAsia="Times New Roman" w:hAnsi="Arial" w:cs="Arial"/>
                <w:b/>
                <w:bCs/>
                <w:sz w:val="18"/>
                <w:szCs w:val="18"/>
              </w:rPr>
              <w:t>4</w:t>
            </w:r>
            <w:r w:rsidRPr="003A2F86">
              <w:rPr>
                <w:rFonts w:ascii="Arial" w:eastAsia="Times New Roman" w:hAnsi="Arial" w:cs="Arial"/>
                <w:b/>
                <w:bCs/>
                <w:sz w:val="18"/>
                <w:szCs w:val="18"/>
              </w:rPr>
              <w:t>0</w:t>
            </w:r>
          </w:p>
        </w:tc>
        <w:tc>
          <w:tcPr>
            <w:tcW w:w="9690" w:type="dxa"/>
            <w:tcBorders>
              <w:top w:val="nil"/>
              <w:left w:val="nil"/>
              <w:bottom w:val="nil"/>
              <w:right w:val="nil"/>
            </w:tcBorders>
            <w:shd w:val="clear" w:color="000000" w:fill="A5A5A5"/>
            <w:noWrap/>
            <w:vAlign w:val="center"/>
            <w:hideMark/>
          </w:tcPr>
          <w:p w14:paraId="35DCEFA1" w14:textId="77777777" w:rsidR="00162169" w:rsidRPr="003A2F86" w:rsidRDefault="00162169" w:rsidP="00931206">
            <w:pPr>
              <w:spacing w:after="0" w:line="240" w:lineRule="auto"/>
              <w:jc w:val="center"/>
              <w:rPr>
                <w:rFonts w:ascii="Arial" w:eastAsia="Times New Roman" w:hAnsi="Arial" w:cs="Arial"/>
                <w:b/>
                <w:bCs/>
              </w:rPr>
            </w:pPr>
            <w:r w:rsidRPr="003A2F86">
              <w:rPr>
                <w:rFonts w:ascii="Arial" w:eastAsia="Times New Roman" w:hAnsi="Arial" w:cs="Arial"/>
                <w:b/>
                <w:bCs/>
              </w:rPr>
              <w:t xml:space="preserve">UPRAVNI ODJEL ZA </w:t>
            </w:r>
            <w:r w:rsidR="00BD2DA1" w:rsidRPr="003A2F86">
              <w:rPr>
                <w:rFonts w:ascii="Arial" w:eastAsia="Times New Roman" w:hAnsi="Arial" w:cs="Arial"/>
                <w:b/>
                <w:bCs/>
              </w:rPr>
              <w:t>RURALNI RAZVOJ, GOSPODARSTVO I EU FONDOVE</w:t>
            </w:r>
          </w:p>
        </w:tc>
      </w:tr>
    </w:tbl>
    <w:p w14:paraId="2B63EEA4" w14:textId="77777777" w:rsidR="00162169" w:rsidRPr="003A2F86" w:rsidRDefault="00162169" w:rsidP="00162169">
      <w:pPr>
        <w:spacing w:after="0" w:line="240" w:lineRule="auto"/>
        <w:rPr>
          <w:rFonts w:ascii="Arial" w:eastAsia="Times New Roman" w:hAnsi="Arial" w:cs="Arial"/>
          <w:iCs/>
          <w:sz w:val="10"/>
          <w:lang w:eastAsia="en-US"/>
        </w:rPr>
      </w:pPr>
    </w:p>
    <w:p w14:paraId="33C6C359" w14:textId="6B5C9378" w:rsidR="00953FBC" w:rsidRDefault="00953FBC" w:rsidP="00953FBC">
      <w:pPr>
        <w:spacing w:after="0" w:line="240" w:lineRule="auto"/>
        <w:jc w:val="both"/>
        <w:rPr>
          <w:rFonts w:ascii="Arial" w:eastAsia="Times New Roman" w:hAnsi="Arial" w:cs="Arial"/>
          <w:iCs/>
          <w:lang w:eastAsia="en-US"/>
        </w:rPr>
      </w:pPr>
      <w:bookmarkStart w:id="303" w:name="_Hlk146004009"/>
      <w:r w:rsidRPr="003A2F86">
        <w:rPr>
          <w:rFonts w:ascii="Arial" w:eastAsia="Times New Roman" w:hAnsi="Arial" w:cs="Arial"/>
          <w:iCs/>
          <w:lang w:eastAsia="en-US"/>
        </w:rPr>
        <w:t>Rashodi i izdaci razdjela 0</w:t>
      </w:r>
      <w:r w:rsidR="00BD2DA1" w:rsidRPr="003A2F86">
        <w:rPr>
          <w:rFonts w:ascii="Arial" w:eastAsia="Times New Roman" w:hAnsi="Arial" w:cs="Arial"/>
          <w:iCs/>
          <w:lang w:eastAsia="en-US"/>
        </w:rPr>
        <w:t>4</w:t>
      </w:r>
      <w:r w:rsidRPr="003A2F86">
        <w:rPr>
          <w:rFonts w:ascii="Arial" w:eastAsia="Times New Roman" w:hAnsi="Arial" w:cs="Arial"/>
          <w:iCs/>
          <w:lang w:eastAsia="en-US"/>
        </w:rPr>
        <w:t xml:space="preserve">0 (Upravni odjel za </w:t>
      </w:r>
      <w:r w:rsidR="00BD2DA1" w:rsidRPr="003A2F86">
        <w:rPr>
          <w:rFonts w:ascii="Arial" w:eastAsia="Times New Roman" w:hAnsi="Arial" w:cs="Arial"/>
          <w:iCs/>
          <w:lang w:eastAsia="en-US"/>
        </w:rPr>
        <w:t>ruralni razvoj, gospodarstvo i EU fondove</w:t>
      </w:r>
      <w:r w:rsidRPr="003A2F86">
        <w:rPr>
          <w:rFonts w:ascii="Arial" w:eastAsia="Times New Roman" w:hAnsi="Arial" w:cs="Arial"/>
          <w:iCs/>
          <w:lang w:eastAsia="en-US"/>
        </w:rPr>
        <w:t xml:space="preserve">) u iznosu </w:t>
      </w:r>
      <w:r w:rsidR="00964A6A">
        <w:rPr>
          <w:rFonts w:ascii="Arial" w:eastAsia="Times New Roman" w:hAnsi="Arial" w:cs="Arial"/>
          <w:iCs/>
          <w:lang w:eastAsia="en-US"/>
        </w:rPr>
        <w:t>633.269,83</w:t>
      </w:r>
      <w:r w:rsidR="009673E5" w:rsidRPr="003A2F86">
        <w:rPr>
          <w:rFonts w:ascii="Arial" w:eastAsia="Times New Roman" w:hAnsi="Arial" w:cs="Arial"/>
          <w:iCs/>
          <w:lang w:eastAsia="en-US"/>
        </w:rPr>
        <w:t xml:space="preserve"> €</w:t>
      </w:r>
      <w:r w:rsidRPr="003A2F86">
        <w:rPr>
          <w:rFonts w:ascii="Arial" w:eastAsia="Times New Roman" w:hAnsi="Arial" w:cs="Arial"/>
          <w:iCs/>
          <w:lang w:eastAsia="en-US"/>
        </w:rPr>
        <w:t xml:space="preserve"> odnose se na rashode </w:t>
      </w:r>
      <w:r w:rsidR="00BD2DA1" w:rsidRPr="003A2F86">
        <w:rPr>
          <w:rFonts w:ascii="Arial" w:eastAsia="Times New Roman" w:hAnsi="Arial" w:cs="Arial"/>
          <w:iCs/>
          <w:lang w:eastAsia="en-US"/>
        </w:rPr>
        <w:t>jedne glave</w:t>
      </w:r>
      <w:r w:rsidR="00931206" w:rsidRPr="003A2F86">
        <w:rPr>
          <w:rFonts w:ascii="Arial" w:eastAsia="Times New Roman" w:hAnsi="Arial" w:cs="Arial"/>
          <w:iCs/>
          <w:lang w:eastAsia="en-US"/>
        </w:rPr>
        <w:t>.</w:t>
      </w:r>
    </w:p>
    <w:p w14:paraId="731DE4DA" w14:textId="77777777" w:rsidR="00DE413D" w:rsidRDefault="00DE413D" w:rsidP="00953FBC">
      <w:pPr>
        <w:spacing w:after="0" w:line="240" w:lineRule="auto"/>
        <w:jc w:val="both"/>
        <w:rPr>
          <w:rFonts w:ascii="Arial" w:eastAsia="Times New Roman" w:hAnsi="Arial" w:cs="Arial"/>
          <w:iCs/>
          <w:lang w:eastAsia="en-US"/>
        </w:rPr>
      </w:pPr>
    </w:p>
    <w:p w14:paraId="0C53FBFD" w14:textId="55B3A9FD" w:rsidR="00DE413D" w:rsidRPr="003A2F86" w:rsidRDefault="00964A6A" w:rsidP="00DE413D">
      <w:pPr>
        <w:spacing w:after="0" w:line="240" w:lineRule="auto"/>
        <w:jc w:val="center"/>
        <w:rPr>
          <w:rFonts w:ascii="Arial" w:eastAsia="Times New Roman" w:hAnsi="Arial" w:cs="Arial"/>
          <w:iCs/>
          <w:lang w:eastAsia="en-US"/>
        </w:rPr>
      </w:pPr>
      <w:r w:rsidRPr="00964A6A">
        <w:rPr>
          <w:noProof/>
        </w:rPr>
        <w:drawing>
          <wp:inline distT="0" distB="0" distL="0" distR="0" wp14:anchorId="06A5A5F5" wp14:editId="3D245FA1">
            <wp:extent cx="9251950" cy="2065020"/>
            <wp:effectExtent l="0" t="0" r="6350" b="0"/>
            <wp:docPr id="107467558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51950" cy="2065020"/>
                    </a:xfrm>
                    <a:prstGeom prst="rect">
                      <a:avLst/>
                    </a:prstGeom>
                    <a:noFill/>
                    <a:ln>
                      <a:noFill/>
                    </a:ln>
                  </pic:spPr>
                </pic:pic>
              </a:graphicData>
            </a:graphic>
          </wp:inline>
        </w:drawing>
      </w:r>
    </w:p>
    <w:bookmarkEnd w:id="303"/>
    <w:p w14:paraId="7504F719" w14:textId="6949B286" w:rsidR="00D03A4A" w:rsidRPr="003A2F86" w:rsidRDefault="00D03A4A" w:rsidP="00953FBC">
      <w:pPr>
        <w:spacing w:after="0" w:line="240" w:lineRule="auto"/>
        <w:jc w:val="both"/>
        <w:rPr>
          <w:rFonts w:ascii="Arial" w:eastAsia="Times New Roman" w:hAnsi="Arial" w:cs="Arial"/>
          <w:iCs/>
          <w:sz w:val="16"/>
          <w:szCs w:val="16"/>
          <w:lang w:eastAsia="en-US"/>
        </w:rPr>
      </w:pPr>
    </w:p>
    <w:p w14:paraId="3F04C8A5" w14:textId="77777777" w:rsidR="00D03A4A" w:rsidRPr="003A2F86" w:rsidRDefault="00D03A4A" w:rsidP="00953FBC">
      <w:pPr>
        <w:spacing w:after="0" w:line="240" w:lineRule="auto"/>
        <w:jc w:val="both"/>
        <w:rPr>
          <w:rFonts w:ascii="Arial" w:eastAsia="Times New Roman" w:hAnsi="Arial" w:cs="Arial"/>
          <w:iCs/>
          <w:sz w:val="16"/>
          <w:szCs w:val="16"/>
          <w:lang w:eastAsia="en-US"/>
        </w:rPr>
      </w:pPr>
    </w:p>
    <w:tbl>
      <w:tblPr>
        <w:tblW w:w="11908" w:type="dxa"/>
        <w:jc w:val="center"/>
        <w:tblLook w:val="04A0" w:firstRow="1" w:lastRow="0" w:firstColumn="1" w:lastColumn="0" w:noHBand="0" w:noVBand="1"/>
      </w:tblPr>
      <w:tblGrid>
        <w:gridCol w:w="1245"/>
        <w:gridCol w:w="973"/>
        <w:gridCol w:w="9690"/>
      </w:tblGrid>
      <w:tr w:rsidR="00501627" w:rsidRPr="003A2F86" w14:paraId="6081D0A3" w14:textId="77777777" w:rsidTr="00BA0C91">
        <w:trPr>
          <w:trHeight w:val="284"/>
          <w:jc w:val="center"/>
        </w:trPr>
        <w:tc>
          <w:tcPr>
            <w:tcW w:w="1245" w:type="dxa"/>
            <w:tcBorders>
              <w:top w:val="nil"/>
              <w:left w:val="nil"/>
              <w:bottom w:val="nil"/>
              <w:right w:val="nil"/>
            </w:tcBorders>
            <w:shd w:val="clear" w:color="000000" w:fill="A5A5A5"/>
            <w:noWrap/>
            <w:vAlign w:val="center"/>
            <w:hideMark/>
          </w:tcPr>
          <w:p w14:paraId="41356622" w14:textId="77777777" w:rsidR="00953FBC" w:rsidRPr="003A2F86" w:rsidRDefault="00953FBC" w:rsidP="00931206">
            <w:pPr>
              <w:spacing w:after="0" w:line="240" w:lineRule="auto"/>
              <w:jc w:val="center"/>
              <w:rPr>
                <w:rFonts w:ascii="Arial" w:eastAsia="Times New Roman" w:hAnsi="Arial" w:cs="Arial"/>
                <w:b/>
                <w:bCs/>
                <w:sz w:val="18"/>
                <w:szCs w:val="18"/>
              </w:rPr>
            </w:pPr>
            <w:r w:rsidRPr="003A2F86">
              <w:rPr>
                <w:rFonts w:ascii="Arial" w:eastAsia="Times New Roman" w:hAnsi="Arial" w:cs="Arial"/>
                <w:b/>
                <w:bCs/>
                <w:sz w:val="18"/>
                <w:szCs w:val="18"/>
              </w:rPr>
              <w:t>RAZDJEL:</w:t>
            </w:r>
          </w:p>
        </w:tc>
        <w:tc>
          <w:tcPr>
            <w:tcW w:w="973" w:type="dxa"/>
            <w:tcBorders>
              <w:top w:val="nil"/>
              <w:left w:val="nil"/>
              <w:bottom w:val="nil"/>
              <w:right w:val="nil"/>
            </w:tcBorders>
            <w:shd w:val="clear" w:color="000000" w:fill="A5A5A5"/>
            <w:noWrap/>
            <w:vAlign w:val="center"/>
            <w:hideMark/>
          </w:tcPr>
          <w:p w14:paraId="389BFEC5" w14:textId="77777777" w:rsidR="00953FBC" w:rsidRPr="003A2F86" w:rsidRDefault="00953FBC" w:rsidP="00931206">
            <w:pPr>
              <w:spacing w:after="0" w:line="240" w:lineRule="auto"/>
              <w:jc w:val="center"/>
              <w:rPr>
                <w:rFonts w:ascii="Arial" w:eastAsia="Times New Roman" w:hAnsi="Arial" w:cs="Arial"/>
                <w:b/>
                <w:bCs/>
                <w:sz w:val="18"/>
                <w:szCs w:val="18"/>
              </w:rPr>
            </w:pPr>
            <w:r w:rsidRPr="003A2F86">
              <w:rPr>
                <w:rFonts w:ascii="Arial" w:eastAsia="Times New Roman" w:hAnsi="Arial" w:cs="Arial"/>
                <w:b/>
                <w:bCs/>
                <w:sz w:val="18"/>
                <w:szCs w:val="18"/>
              </w:rPr>
              <w:t>0</w:t>
            </w:r>
            <w:r w:rsidR="00931206" w:rsidRPr="003A2F86">
              <w:rPr>
                <w:rFonts w:ascii="Arial" w:eastAsia="Times New Roman" w:hAnsi="Arial" w:cs="Arial"/>
                <w:b/>
                <w:bCs/>
                <w:sz w:val="18"/>
                <w:szCs w:val="18"/>
              </w:rPr>
              <w:t>5</w:t>
            </w:r>
            <w:r w:rsidRPr="003A2F86">
              <w:rPr>
                <w:rFonts w:ascii="Arial" w:eastAsia="Times New Roman" w:hAnsi="Arial" w:cs="Arial"/>
                <w:b/>
                <w:bCs/>
                <w:sz w:val="18"/>
                <w:szCs w:val="18"/>
              </w:rPr>
              <w:t>0</w:t>
            </w:r>
          </w:p>
        </w:tc>
        <w:tc>
          <w:tcPr>
            <w:tcW w:w="9690" w:type="dxa"/>
            <w:tcBorders>
              <w:top w:val="nil"/>
              <w:left w:val="nil"/>
              <w:bottom w:val="nil"/>
              <w:right w:val="nil"/>
            </w:tcBorders>
            <w:shd w:val="clear" w:color="000000" w:fill="A5A5A5"/>
            <w:noWrap/>
            <w:vAlign w:val="center"/>
            <w:hideMark/>
          </w:tcPr>
          <w:p w14:paraId="53899765" w14:textId="77777777" w:rsidR="00953FBC" w:rsidRPr="003A2F86" w:rsidRDefault="00953FBC" w:rsidP="00931206">
            <w:pPr>
              <w:spacing w:after="0" w:line="240" w:lineRule="auto"/>
              <w:jc w:val="center"/>
              <w:rPr>
                <w:rFonts w:ascii="Arial" w:eastAsia="Times New Roman" w:hAnsi="Arial" w:cs="Arial"/>
                <w:b/>
                <w:bCs/>
              </w:rPr>
            </w:pPr>
            <w:r w:rsidRPr="003A2F86">
              <w:rPr>
                <w:rFonts w:ascii="Arial" w:eastAsia="Times New Roman" w:hAnsi="Arial" w:cs="Arial"/>
                <w:b/>
                <w:bCs/>
              </w:rPr>
              <w:t>UPRAVNI ODJEL ZA PROSTORNO UREĐENJE I ZAŠTITU OKOLIŠA</w:t>
            </w:r>
          </w:p>
        </w:tc>
      </w:tr>
    </w:tbl>
    <w:p w14:paraId="6F2DD9F9" w14:textId="77777777" w:rsidR="00953FBC" w:rsidRPr="003A2F86" w:rsidRDefault="00953FBC" w:rsidP="00953FBC">
      <w:pPr>
        <w:spacing w:after="0" w:line="240" w:lineRule="auto"/>
        <w:rPr>
          <w:rFonts w:ascii="Arial" w:eastAsia="Times New Roman" w:hAnsi="Arial" w:cs="Arial"/>
          <w:iCs/>
          <w:sz w:val="14"/>
          <w:lang w:eastAsia="en-US"/>
        </w:rPr>
      </w:pPr>
    </w:p>
    <w:p w14:paraId="4D1020B7" w14:textId="3B52CFF5" w:rsidR="00162169" w:rsidRPr="003A2F86" w:rsidRDefault="0030073B" w:rsidP="00891119">
      <w:pPr>
        <w:spacing w:after="0" w:line="240" w:lineRule="auto"/>
        <w:jc w:val="both"/>
        <w:rPr>
          <w:rFonts w:ascii="Arial" w:eastAsia="Times New Roman" w:hAnsi="Arial" w:cs="Arial"/>
          <w:iCs/>
          <w:lang w:eastAsia="en-US"/>
        </w:rPr>
      </w:pPr>
      <w:bookmarkStart w:id="304" w:name="_Hlk146004056"/>
      <w:r w:rsidRPr="003A2F86">
        <w:rPr>
          <w:rFonts w:ascii="Arial" w:eastAsia="Times New Roman" w:hAnsi="Arial" w:cs="Arial"/>
          <w:iCs/>
          <w:lang w:eastAsia="en-US"/>
        </w:rPr>
        <w:t xml:space="preserve">Početkom 2024. godine ukinut je razdjel </w:t>
      </w:r>
      <w:r w:rsidR="00953FBC" w:rsidRPr="003A2F86">
        <w:rPr>
          <w:rFonts w:ascii="Arial" w:eastAsia="Times New Roman" w:hAnsi="Arial" w:cs="Arial"/>
          <w:iCs/>
          <w:lang w:eastAsia="en-US"/>
        </w:rPr>
        <w:t>0</w:t>
      </w:r>
      <w:r w:rsidR="00931206" w:rsidRPr="003A2F86">
        <w:rPr>
          <w:rFonts w:ascii="Arial" w:eastAsia="Times New Roman" w:hAnsi="Arial" w:cs="Arial"/>
          <w:iCs/>
          <w:lang w:eastAsia="en-US"/>
        </w:rPr>
        <w:t>5</w:t>
      </w:r>
      <w:r w:rsidR="00953FBC" w:rsidRPr="003A2F86">
        <w:rPr>
          <w:rFonts w:ascii="Arial" w:eastAsia="Times New Roman" w:hAnsi="Arial" w:cs="Arial"/>
          <w:iCs/>
          <w:lang w:eastAsia="en-US"/>
        </w:rPr>
        <w:t>0 (Upravni odjel za prostorno uređenje i zaštitu okoliša)</w:t>
      </w:r>
      <w:r w:rsidRPr="003A2F86">
        <w:rPr>
          <w:rFonts w:ascii="Arial" w:eastAsia="Times New Roman" w:hAnsi="Arial" w:cs="Arial"/>
          <w:iCs/>
          <w:lang w:eastAsia="en-US"/>
        </w:rPr>
        <w:t xml:space="preserve"> i spojen je s razdjelom 030.</w:t>
      </w:r>
      <w:r w:rsidR="00953FBC" w:rsidRPr="003A2F86">
        <w:rPr>
          <w:rFonts w:ascii="Arial" w:eastAsia="Times New Roman" w:hAnsi="Arial" w:cs="Arial"/>
          <w:iCs/>
          <w:lang w:eastAsia="en-US"/>
        </w:rPr>
        <w:t xml:space="preserve"> </w:t>
      </w:r>
    </w:p>
    <w:bookmarkEnd w:id="304"/>
    <w:p w14:paraId="0A47E9CA" w14:textId="77777777" w:rsidR="003642AE" w:rsidRPr="003A2F86" w:rsidRDefault="003642AE" w:rsidP="003642AE">
      <w:pPr>
        <w:spacing w:after="0" w:line="240" w:lineRule="auto"/>
        <w:jc w:val="center"/>
        <w:rPr>
          <w:sz w:val="12"/>
          <w:szCs w:val="12"/>
        </w:rPr>
      </w:pPr>
    </w:p>
    <w:p w14:paraId="2230B457" w14:textId="7235CA47" w:rsidR="0030073B" w:rsidRPr="003A2F86" w:rsidRDefault="00964A6A" w:rsidP="003642AE">
      <w:pPr>
        <w:spacing w:after="0" w:line="240" w:lineRule="auto"/>
        <w:jc w:val="center"/>
        <w:rPr>
          <w:noProof/>
        </w:rPr>
      </w:pPr>
      <w:r w:rsidRPr="00964A6A">
        <w:rPr>
          <w:noProof/>
        </w:rPr>
        <w:drawing>
          <wp:inline distT="0" distB="0" distL="0" distR="0" wp14:anchorId="5881F830" wp14:editId="57EA87F5">
            <wp:extent cx="9251950" cy="2053590"/>
            <wp:effectExtent l="0" t="0" r="6350" b="3810"/>
            <wp:docPr id="12660596"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251950" cy="2053590"/>
                    </a:xfrm>
                    <a:prstGeom prst="rect">
                      <a:avLst/>
                    </a:prstGeom>
                    <a:noFill/>
                    <a:ln>
                      <a:noFill/>
                    </a:ln>
                  </pic:spPr>
                </pic:pic>
              </a:graphicData>
            </a:graphic>
          </wp:inline>
        </w:drawing>
      </w:r>
    </w:p>
    <w:p w14:paraId="69F9ADCF" w14:textId="68C68031" w:rsidR="00891119" w:rsidRPr="003A2F86" w:rsidRDefault="00891119" w:rsidP="003642AE">
      <w:pPr>
        <w:spacing w:after="0" w:line="240" w:lineRule="auto"/>
        <w:jc w:val="center"/>
        <w:rPr>
          <w:rFonts w:ascii="Arial" w:eastAsia="Times New Roman" w:hAnsi="Arial" w:cs="Arial"/>
          <w:iCs/>
          <w:lang w:eastAsia="en-US"/>
        </w:rPr>
      </w:pPr>
      <w:r w:rsidRPr="003A2F86">
        <w:rPr>
          <w:rFonts w:ascii="Arial" w:eastAsia="Times New Roman" w:hAnsi="Arial" w:cs="Arial"/>
          <w:iCs/>
          <w:lang w:eastAsia="en-US"/>
        </w:rPr>
        <w:br w:type="page"/>
      </w:r>
    </w:p>
    <w:p w14:paraId="2A8DBFE8" w14:textId="2DF47022" w:rsidR="00891119" w:rsidRPr="003A2F86" w:rsidRDefault="006C6F8B" w:rsidP="006C6F8B">
      <w:pPr>
        <w:pStyle w:val="Naslov2"/>
        <w:jc w:val="center"/>
        <w:rPr>
          <w:rFonts w:ascii="Arial" w:hAnsi="Arial" w:cs="Arial"/>
          <w:sz w:val="22"/>
          <w:szCs w:val="22"/>
          <w:lang w:val="hr-HR"/>
        </w:rPr>
      </w:pPr>
      <w:bookmarkStart w:id="305" w:name="_Toc207707459"/>
      <w:r w:rsidRPr="003A2F86">
        <w:rPr>
          <w:rFonts w:ascii="Arial" w:hAnsi="Arial" w:cs="Arial"/>
          <w:sz w:val="22"/>
          <w:szCs w:val="22"/>
          <w:lang w:val="hr-HR"/>
        </w:rPr>
        <w:lastRenderedPageBreak/>
        <w:t>3.</w:t>
      </w:r>
      <w:r w:rsidR="00891119" w:rsidRPr="003A2F86">
        <w:rPr>
          <w:rFonts w:ascii="Arial" w:hAnsi="Arial" w:cs="Arial"/>
          <w:sz w:val="22"/>
          <w:szCs w:val="22"/>
          <w:lang w:val="hr-HR"/>
        </w:rPr>
        <w:t>2.</w:t>
      </w:r>
      <w:r w:rsidR="00891119" w:rsidRPr="003A2F86">
        <w:rPr>
          <w:rFonts w:ascii="Arial" w:hAnsi="Arial" w:cs="Arial"/>
          <w:sz w:val="22"/>
          <w:szCs w:val="22"/>
          <w:lang w:val="hr-HR"/>
        </w:rPr>
        <w:tab/>
        <w:t>PROGRAMSKA KLASIFIKACIJA –</w:t>
      </w:r>
      <w:r w:rsidR="00CB1FC0" w:rsidRPr="003A2F86">
        <w:rPr>
          <w:rFonts w:ascii="Arial" w:hAnsi="Arial" w:cs="Arial"/>
          <w:sz w:val="22"/>
          <w:szCs w:val="22"/>
          <w:lang w:val="hr-HR"/>
        </w:rPr>
        <w:t>rashod</w:t>
      </w:r>
      <w:r w:rsidR="00FD704A" w:rsidRPr="003A2F86">
        <w:rPr>
          <w:rFonts w:ascii="Arial" w:hAnsi="Arial" w:cs="Arial"/>
          <w:sz w:val="22"/>
          <w:szCs w:val="22"/>
          <w:lang w:val="hr-HR"/>
        </w:rPr>
        <w:t>i</w:t>
      </w:r>
      <w:r w:rsidR="00891119" w:rsidRPr="003A2F86">
        <w:rPr>
          <w:rFonts w:ascii="Arial" w:hAnsi="Arial" w:cs="Arial"/>
          <w:sz w:val="22"/>
          <w:szCs w:val="22"/>
          <w:lang w:val="hr-HR"/>
        </w:rPr>
        <w:t xml:space="preserve"> po razdjelima 010 / 020 / 030 / 040</w:t>
      </w:r>
      <w:r w:rsidR="00CB1FC0" w:rsidRPr="003A2F86">
        <w:rPr>
          <w:rFonts w:ascii="Arial" w:hAnsi="Arial" w:cs="Arial"/>
          <w:sz w:val="22"/>
          <w:szCs w:val="22"/>
          <w:lang w:val="hr-HR"/>
        </w:rPr>
        <w:t>, glavama i programima</w:t>
      </w:r>
      <w:bookmarkStart w:id="306" w:name="Programska_klasifikacija_tablice"/>
      <w:bookmarkEnd w:id="305"/>
      <w:bookmarkEnd w:id="306"/>
    </w:p>
    <w:p w14:paraId="1B07FBBA" w14:textId="77777777" w:rsidR="00891119" w:rsidRPr="003A2F86" w:rsidRDefault="00891119" w:rsidP="00891119">
      <w:pPr>
        <w:spacing w:after="0" w:line="240" w:lineRule="auto"/>
        <w:rPr>
          <w:rFonts w:ascii="Times New Roman" w:eastAsia="Times New Roman" w:hAnsi="Times New Roman" w:cs="Times New Roman"/>
          <w:sz w:val="20"/>
          <w:szCs w:val="20"/>
          <w:lang w:eastAsia="en-US"/>
        </w:rPr>
      </w:pPr>
    </w:p>
    <w:p w14:paraId="16678BD3" w14:textId="6DBD714A" w:rsidR="006C6F8B" w:rsidRPr="003A2F86" w:rsidRDefault="006C6F8B" w:rsidP="00D6545B">
      <w:pPr>
        <w:pStyle w:val="Naslov3"/>
        <w:jc w:val="center"/>
        <w:rPr>
          <w:rFonts w:ascii="Arial" w:hAnsi="Arial" w:cs="Arial"/>
          <w:sz w:val="22"/>
          <w:szCs w:val="22"/>
          <w:lang w:val="hr-HR"/>
        </w:rPr>
      </w:pPr>
      <w:bookmarkStart w:id="307" w:name="_Toc207707460"/>
      <w:r w:rsidRPr="003A2F86">
        <w:rPr>
          <w:rFonts w:ascii="Arial" w:hAnsi="Arial" w:cs="Arial"/>
          <w:sz w:val="22"/>
          <w:szCs w:val="22"/>
          <w:lang w:val="hr-HR"/>
        </w:rPr>
        <w:t>3.2.1.</w:t>
      </w:r>
      <w:r w:rsidRPr="003A2F86">
        <w:rPr>
          <w:rFonts w:ascii="Arial" w:hAnsi="Arial" w:cs="Arial"/>
          <w:sz w:val="22"/>
          <w:szCs w:val="22"/>
          <w:lang w:val="hr-HR"/>
        </w:rPr>
        <w:tab/>
      </w:r>
      <w:r w:rsidRPr="003A2F86">
        <w:rPr>
          <w:rFonts w:ascii="Arial" w:hAnsi="Arial" w:cs="Arial"/>
          <w:sz w:val="22"/>
          <w:szCs w:val="22"/>
          <w:lang w:val="hr-HR"/>
        </w:rPr>
        <w:tab/>
      </w:r>
      <w:r w:rsidR="00307E1E" w:rsidRPr="003A2F86">
        <w:rPr>
          <w:rFonts w:ascii="Arial" w:hAnsi="Arial" w:cs="Arial"/>
          <w:sz w:val="22"/>
          <w:szCs w:val="22"/>
          <w:lang w:val="hr-HR"/>
        </w:rPr>
        <w:t>PREGLED RASHODA PO RAZDJELIMA, GLAVAMA I PROGRAMIMA</w:t>
      </w:r>
      <w:bookmarkEnd w:id="307"/>
    </w:p>
    <w:p w14:paraId="4C81EDD1" w14:textId="77777777" w:rsidR="006C6F8B" w:rsidRPr="003A2F86" w:rsidRDefault="006C6F8B" w:rsidP="00891119">
      <w:pPr>
        <w:spacing w:after="0" w:line="240" w:lineRule="auto"/>
        <w:rPr>
          <w:rFonts w:ascii="Times New Roman" w:eastAsia="Times New Roman" w:hAnsi="Times New Roman" w:cs="Times New Roman"/>
          <w:sz w:val="20"/>
          <w:szCs w:val="20"/>
          <w:lang w:eastAsia="en-US"/>
        </w:rPr>
      </w:pPr>
    </w:p>
    <w:p w14:paraId="1C50DD3F" w14:textId="48031D93" w:rsidR="00891119" w:rsidRPr="003A2F86" w:rsidRDefault="00931206" w:rsidP="00891119">
      <w:pPr>
        <w:autoSpaceDE w:val="0"/>
        <w:autoSpaceDN w:val="0"/>
        <w:adjustRightInd w:val="0"/>
        <w:spacing w:after="0" w:line="240" w:lineRule="auto"/>
        <w:jc w:val="both"/>
        <w:rPr>
          <w:rFonts w:ascii="Arial" w:eastAsia="Calibri" w:hAnsi="Arial" w:cs="Arial"/>
        </w:rPr>
      </w:pPr>
      <w:r w:rsidRPr="003A2F86">
        <w:rPr>
          <w:rFonts w:ascii="Arial" w:eastAsia="Calibri" w:hAnsi="Arial" w:cs="Arial"/>
        </w:rPr>
        <w:t>U posebnom dijelu proračuna, o</w:t>
      </w:r>
      <w:r w:rsidR="00891119" w:rsidRPr="003A2F86">
        <w:rPr>
          <w:rFonts w:ascii="Arial" w:eastAsia="Calibri" w:hAnsi="Arial" w:cs="Arial"/>
        </w:rPr>
        <w:t>sim po organizacijskoj klasifikaciji, planirani rashodi i izdaci raspoređuju se po programima odnosno njihovim sastavnim dijelovima (aktivnostima, tekućim i kapitalnim projektima), kojih su nositelji upravni odjeli općinske uprave i proračunski korisnici. U okviru programa, projekata i aktivnosti, rashodi i izdaci se iskazuju prema ekonomskoj i izvorima financiranja sukladno Pravilniku o proračunskim klasifikacijama (NN 26/10</w:t>
      </w:r>
      <w:r w:rsidR="00290822" w:rsidRPr="003A2F86">
        <w:rPr>
          <w:rFonts w:ascii="Arial" w:eastAsia="Calibri" w:hAnsi="Arial" w:cs="Arial"/>
        </w:rPr>
        <w:t>,</w:t>
      </w:r>
      <w:r w:rsidR="00891119" w:rsidRPr="003A2F86">
        <w:rPr>
          <w:rFonts w:ascii="Arial" w:eastAsia="Calibri" w:hAnsi="Arial" w:cs="Arial"/>
        </w:rPr>
        <w:t xml:space="preserve"> 120/13</w:t>
      </w:r>
      <w:r w:rsidR="00290822" w:rsidRPr="003A2F86">
        <w:rPr>
          <w:rFonts w:ascii="Arial" w:eastAsia="Calibri" w:hAnsi="Arial" w:cs="Arial"/>
        </w:rPr>
        <w:t>, 1/20</w:t>
      </w:r>
      <w:r w:rsidR="00891119" w:rsidRPr="003A2F86">
        <w:rPr>
          <w:rFonts w:ascii="Arial" w:eastAsia="Calibri" w:hAnsi="Arial" w:cs="Arial"/>
        </w:rPr>
        <w:t>).</w:t>
      </w:r>
      <w:r w:rsidR="0030073B" w:rsidRPr="003A2F86">
        <w:rPr>
          <w:rFonts w:ascii="Arial" w:eastAsia="Calibri" w:hAnsi="Arial" w:cs="Arial"/>
        </w:rPr>
        <w:t xml:space="preserve"> Novi Pravilnik o proračunskim klasifikacijama (NN 4/2024) će se primjenjivati u knjigovodstvenim evidencijama od 1.1.2025.</w:t>
      </w:r>
    </w:p>
    <w:p w14:paraId="114BEA9C" w14:textId="70122F83" w:rsidR="00891119" w:rsidRDefault="00891119" w:rsidP="00891119">
      <w:pPr>
        <w:spacing w:after="0" w:line="240" w:lineRule="auto"/>
        <w:jc w:val="both"/>
        <w:rPr>
          <w:rFonts w:ascii="Arial" w:eastAsia="Times New Roman" w:hAnsi="Arial" w:cs="Arial"/>
          <w:b/>
          <w:bCs/>
          <w:lang w:eastAsia="en-US"/>
        </w:rPr>
      </w:pPr>
      <w:r w:rsidRPr="003A2F86">
        <w:rPr>
          <w:rFonts w:ascii="Arial" w:eastAsia="Times New Roman" w:hAnsi="Arial" w:cs="Arial"/>
          <w:lang w:eastAsia="en-US"/>
        </w:rPr>
        <w:t xml:space="preserve">U nastavku se daje </w:t>
      </w:r>
      <w:r w:rsidRPr="003A2F86">
        <w:rPr>
          <w:rFonts w:ascii="Arial" w:eastAsia="Times New Roman" w:hAnsi="Arial" w:cs="Arial"/>
          <w:b/>
          <w:u w:val="single"/>
          <w:lang w:eastAsia="en-US"/>
        </w:rPr>
        <w:t>pregled izvršenja Programa</w:t>
      </w:r>
      <w:r w:rsidRPr="003A2F86">
        <w:rPr>
          <w:rFonts w:ascii="Arial" w:eastAsia="Times New Roman" w:hAnsi="Arial" w:cs="Arial"/>
          <w:lang w:eastAsia="en-US"/>
        </w:rPr>
        <w:t xml:space="preserve"> prema djelokrugu rada općinskog vijeća i načelnika, te upravnih tijela Općine Konavle</w:t>
      </w:r>
      <w:r w:rsidR="00CB1FC0" w:rsidRPr="003A2F86">
        <w:rPr>
          <w:rFonts w:ascii="Arial" w:eastAsia="Times New Roman" w:hAnsi="Arial" w:cs="Arial"/>
          <w:lang w:eastAsia="en-US"/>
        </w:rPr>
        <w:t xml:space="preserve"> kao i proračunskih korisnika</w:t>
      </w:r>
      <w:r w:rsidRPr="003A2F86">
        <w:rPr>
          <w:rFonts w:ascii="Arial" w:eastAsia="Times New Roman" w:hAnsi="Arial" w:cs="Arial"/>
          <w:lang w:eastAsia="en-US"/>
        </w:rPr>
        <w:t xml:space="preserve">. </w:t>
      </w:r>
      <w:r w:rsidR="008B51C5" w:rsidRPr="003A2F86">
        <w:rPr>
          <w:rFonts w:ascii="Arial" w:eastAsia="Times New Roman" w:hAnsi="Arial" w:cs="Arial"/>
          <w:lang w:eastAsia="en-US"/>
        </w:rPr>
        <w:t xml:space="preserve">Rashodi svakog programa su u nastavku prikazani kroz tablicu u kojoj se daje </w:t>
      </w:r>
      <w:r w:rsidR="008B51C5" w:rsidRPr="003A2F86">
        <w:rPr>
          <w:rFonts w:ascii="Arial" w:eastAsia="Times New Roman" w:hAnsi="Arial" w:cs="Arial"/>
          <w:b/>
          <w:bCs/>
          <w:lang w:eastAsia="en-US"/>
        </w:rPr>
        <w:t xml:space="preserve">usporedba iznosa izvršenih rashoda u tekućoj i </w:t>
      </w:r>
      <w:r w:rsidR="0030073B" w:rsidRPr="003A2F86">
        <w:rPr>
          <w:rFonts w:ascii="Arial" w:eastAsia="Times New Roman" w:hAnsi="Arial" w:cs="Arial"/>
          <w:b/>
          <w:bCs/>
          <w:lang w:eastAsia="en-US"/>
        </w:rPr>
        <w:t>pet</w:t>
      </w:r>
      <w:r w:rsidR="008B51C5" w:rsidRPr="003A2F86">
        <w:rPr>
          <w:rFonts w:ascii="Arial" w:eastAsia="Times New Roman" w:hAnsi="Arial" w:cs="Arial"/>
          <w:b/>
          <w:bCs/>
          <w:lang w:eastAsia="en-US"/>
        </w:rPr>
        <w:t xml:space="preserve"> prethodn</w:t>
      </w:r>
      <w:r w:rsidR="0030073B" w:rsidRPr="003A2F86">
        <w:rPr>
          <w:rFonts w:ascii="Arial" w:eastAsia="Times New Roman" w:hAnsi="Arial" w:cs="Arial"/>
          <w:b/>
          <w:bCs/>
          <w:lang w:eastAsia="en-US"/>
        </w:rPr>
        <w:t>ih</w:t>
      </w:r>
      <w:r w:rsidR="008B51C5" w:rsidRPr="003A2F86">
        <w:rPr>
          <w:rFonts w:ascii="Arial" w:eastAsia="Times New Roman" w:hAnsi="Arial" w:cs="Arial"/>
          <w:b/>
          <w:bCs/>
          <w:lang w:eastAsia="en-US"/>
        </w:rPr>
        <w:t xml:space="preserve"> proračunsk</w:t>
      </w:r>
      <w:r w:rsidR="0030073B" w:rsidRPr="003A2F86">
        <w:rPr>
          <w:rFonts w:ascii="Arial" w:eastAsia="Times New Roman" w:hAnsi="Arial" w:cs="Arial"/>
          <w:b/>
          <w:bCs/>
          <w:lang w:eastAsia="en-US"/>
        </w:rPr>
        <w:t>ih</w:t>
      </w:r>
      <w:r w:rsidR="008B51C5" w:rsidRPr="003A2F86">
        <w:rPr>
          <w:rFonts w:ascii="Arial" w:eastAsia="Times New Roman" w:hAnsi="Arial" w:cs="Arial"/>
          <w:b/>
          <w:bCs/>
          <w:lang w:eastAsia="en-US"/>
        </w:rPr>
        <w:t xml:space="preserve"> godin</w:t>
      </w:r>
      <w:r w:rsidR="0030073B" w:rsidRPr="003A2F86">
        <w:rPr>
          <w:rFonts w:ascii="Arial" w:eastAsia="Times New Roman" w:hAnsi="Arial" w:cs="Arial"/>
          <w:b/>
          <w:bCs/>
          <w:lang w:eastAsia="en-US"/>
        </w:rPr>
        <w:t>a</w:t>
      </w:r>
      <w:r w:rsidR="008B51C5" w:rsidRPr="003A2F86">
        <w:rPr>
          <w:rFonts w:ascii="Arial" w:eastAsia="Times New Roman" w:hAnsi="Arial" w:cs="Arial"/>
          <w:b/>
          <w:bCs/>
          <w:lang w:eastAsia="en-US"/>
        </w:rPr>
        <w:t>.</w:t>
      </w:r>
    </w:p>
    <w:p w14:paraId="3F1E20AC" w14:textId="45ECEB57" w:rsidR="00FE0895" w:rsidRPr="003A2F86" w:rsidRDefault="00FE0895" w:rsidP="00891119">
      <w:pPr>
        <w:spacing w:after="0" w:line="240" w:lineRule="auto"/>
        <w:jc w:val="both"/>
        <w:rPr>
          <w:rFonts w:ascii="Arial" w:eastAsia="Times New Roman" w:hAnsi="Arial" w:cs="Arial"/>
          <w:b/>
          <w:bCs/>
          <w:lang w:eastAsia="en-US"/>
        </w:rPr>
      </w:pPr>
      <w:r w:rsidRPr="00FE0895">
        <w:rPr>
          <w:noProof/>
        </w:rPr>
        <w:drawing>
          <wp:inline distT="0" distB="0" distL="0" distR="0" wp14:anchorId="6F6CFE2C" wp14:editId="6734B29C">
            <wp:extent cx="9251950" cy="1889125"/>
            <wp:effectExtent l="0" t="0" r="6350" b="0"/>
            <wp:docPr id="562058948"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251950" cy="1889125"/>
                    </a:xfrm>
                    <a:prstGeom prst="rect">
                      <a:avLst/>
                    </a:prstGeom>
                    <a:noFill/>
                    <a:ln>
                      <a:noFill/>
                    </a:ln>
                  </pic:spPr>
                </pic:pic>
              </a:graphicData>
            </a:graphic>
          </wp:inline>
        </w:drawing>
      </w:r>
    </w:p>
    <w:p w14:paraId="7C151504" w14:textId="64533D71" w:rsidR="004D13DB" w:rsidRPr="001808CC" w:rsidRDefault="004D13DB" w:rsidP="00891119">
      <w:pPr>
        <w:spacing w:after="0" w:line="240" w:lineRule="auto"/>
        <w:jc w:val="both"/>
        <w:rPr>
          <w:rFonts w:ascii="Arial" w:eastAsia="Times New Roman" w:hAnsi="Arial" w:cs="Arial"/>
          <w:b/>
          <w:bCs/>
          <w:sz w:val="12"/>
          <w:szCs w:val="12"/>
          <w:lang w:eastAsia="en-US"/>
        </w:rPr>
      </w:pPr>
    </w:p>
    <w:p w14:paraId="04AD7440" w14:textId="3C964923" w:rsidR="00A15AA9" w:rsidRDefault="007C176C" w:rsidP="003642AE">
      <w:pPr>
        <w:spacing w:after="0" w:line="240" w:lineRule="auto"/>
        <w:jc w:val="center"/>
        <w:rPr>
          <w:rFonts w:ascii="Arial" w:eastAsia="Times New Roman" w:hAnsi="Arial" w:cs="Arial"/>
          <w:b/>
          <w:bCs/>
          <w:lang w:eastAsia="en-US"/>
        </w:rPr>
      </w:pPr>
      <w:r w:rsidRPr="007C176C">
        <w:rPr>
          <w:noProof/>
        </w:rPr>
        <w:drawing>
          <wp:inline distT="0" distB="0" distL="0" distR="0" wp14:anchorId="05E94DB6" wp14:editId="726B56A2">
            <wp:extent cx="9251950" cy="1899285"/>
            <wp:effectExtent l="0" t="0" r="6350" b="5715"/>
            <wp:docPr id="41232465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251950" cy="1899285"/>
                    </a:xfrm>
                    <a:prstGeom prst="rect">
                      <a:avLst/>
                    </a:prstGeom>
                    <a:noFill/>
                    <a:ln>
                      <a:noFill/>
                    </a:ln>
                  </pic:spPr>
                </pic:pic>
              </a:graphicData>
            </a:graphic>
          </wp:inline>
        </w:drawing>
      </w:r>
    </w:p>
    <w:p w14:paraId="5DE9C9A9" w14:textId="77777777" w:rsidR="001808CC" w:rsidRPr="001808CC" w:rsidRDefault="001808CC" w:rsidP="003642AE">
      <w:pPr>
        <w:spacing w:after="0" w:line="240" w:lineRule="auto"/>
        <w:jc w:val="center"/>
        <w:rPr>
          <w:rFonts w:ascii="Arial" w:eastAsia="Times New Roman" w:hAnsi="Arial" w:cs="Arial"/>
          <w:b/>
          <w:bCs/>
          <w:sz w:val="6"/>
          <w:szCs w:val="6"/>
          <w:lang w:eastAsia="en-US"/>
        </w:rPr>
      </w:pPr>
    </w:p>
    <w:p w14:paraId="0909BEAE" w14:textId="6694A512" w:rsidR="009D6D75" w:rsidRPr="003A2F86" w:rsidRDefault="007C176C" w:rsidP="00F93E31">
      <w:pPr>
        <w:spacing w:after="0" w:line="240" w:lineRule="auto"/>
        <w:jc w:val="center"/>
        <w:rPr>
          <w:noProof/>
        </w:rPr>
      </w:pPr>
      <w:r w:rsidRPr="007C176C">
        <w:rPr>
          <w:noProof/>
        </w:rPr>
        <w:lastRenderedPageBreak/>
        <w:drawing>
          <wp:inline distT="0" distB="0" distL="0" distR="0" wp14:anchorId="10D21443" wp14:editId="4119F241">
            <wp:extent cx="9251950" cy="4611370"/>
            <wp:effectExtent l="0" t="0" r="6350" b="0"/>
            <wp:docPr id="104745977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51950" cy="4611370"/>
                    </a:xfrm>
                    <a:prstGeom prst="rect">
                      <a:avLst/>
                    </a:prstGeom>
                    <a:noFill/>
                    <a:ln>
                      <a:noFill/>
                    </a:ln>
                  </pic:spPr>
                </pic:pic>
              </a:graphicData>
            </a:graphic>
          </wp:inline>
        </w:drawing>
      </w:r>
    </w:p>
    <w:p w14:paraId="4C072209" w14:textId="1B6F8AE5" w:rsidR="009D6D75" w:rsidRPr="003A2F86" w:rsidRDefault="009D6D75" w:rsidP="00F93E31">
      <w:pPr>
        <w:spacing w:after="0" w:line="240" w:lineRule="auto"/>
        <w:jc w:val="center"/>
        <w:rPr>
          <w:noProof/>
        </w:rPr>
      </w:pPr>
    </w:p>
    <w:p w14:paraId="5A78C8AB" w14:textId="77777777" w:rsidR="00026C1C" w:rsidRPr="003A2F86" w:rsidRDefault="00026C1C" w:rsidP="00F93E31">
      <w:pPr>
        <w:spacing w:after="0" w:line="240" w:lineRule="auto"/>
        <w:jc w:val="center"/>
        <w:rPr>
          <w:noProof/>
        </w:rPr>
      </w:pPr>
    </w:p>
    <w:p w14:paraId="1DD7A6ED" w14:textId="77777777" w:rsidR="00026C1C" w:rsidRPr="003A2F86" w:rsidRDefault="00026C1C" w:rsidP="00F93E31">
      <w:pPr>
        <w:spacing w:after="0" w:line="240" w:lineRule="auto"/>
        <w:jc w:val="center"/>
        <w:rPr>
          <w:noProof/>
        </w:rPr>
      </w:pPr>
    </w:p>
    <w:p w14:paraId="2298FF9A" w14:textId="77777777" w:rsidR="00026C1C" w:rsidRPr="003A2F86" w:rsidRDefault="00026C1C" w:rsidP="00F93E31">
      <w:pPr>
        <w:spacing w:after="0" w:line="240" w:lineRule="auto"/>
        <w:jc w:val="center"/>
        <w:rPr>
          <w:noProof/>
        </w:rPr>
      </w:pPr>
    </w:p>
    <w:p w14:paraId="21368317" w14:textId="21304085" w:rsidR="00A542A2" w:rsidRDefault="00A542A2" w:rsidP="00F93E31">
      <w:pPr>
        <w:spacing w:after="0" w:line="240" w:lineRule="auto"/>
        <w:jc w:val="center"/>
        <w:rPr>
          <w:noProof/>
        </w:rPr>
      </w:pPr>
    </w:p>
    <w:p w14:paraId="3EA8DC6A" w14:textId="77777777" w:rsidR="007C176C" w:rsidRDefault="007C176C" w:rsidP="00F93E31">
      <w:pPr>
        <w:spacing w:after="0" w:line="240" w:lineRule="auto"/>
        <w:jc w:val="center"/>
        <w:rPr>
          <w:noProof/>
        </w:rPr>
      </w:pPr>
    </w:p>
    <w:p w14:paraId="69980E37" w14:textId="77777777" w:rsidR="007C176C" w:rsidRDefault="007C176C" w:rsidP="00F93E31">
      <w:pPr>
        <w:spacing w:after="0" w:line="240" w:lineRule="auto"/>
        <w:jc w:val="center"/>
        <w:rPr>
          <w:noProof/>
        </w:rPr>
      </w:pPr>
    </w:p>
    <w:p w14:paraId="34D26B18" w14:textId="77777777" w:rsidR="007C176C" w:rsidRDefault="007C176C" w:rsidP="00F93E31">
      <w:pPr>
        <w:spacing w:after="0" w:line="240" w:lineRule="auto"/>
        <w:jc w:val="center"/>
        <w:rPr>
          <w:noProof/>
        </w:rPr>
      </w:pPr>
    </w:p>
    <w:p w14:paraId="05D5884D" w14:textId="14AC491D" w:rsidR="007C176C" w:rsidRDefault="007C176C" w:rsidP="00F93E31">
      <w:pPr>
        <w:spacing w:after="0" w:line="240" w:lineRule="auto"/>
        <w:jc w:val="center"/>
        <w:rPr>
          <w:noProof/>
        </w:rPr>
      </w:pPr>
      <w:r w:rsidRPr="007C176C">
        <w:rPr>
          <w:noProof/>
        </w:rPr>
        <w:lastRenderedPageBreak/>
        <w:drawing>
          <wp:inline distT="0" distB="0" distL="0" distR="0" wp14:anchorId="743254EE" wp14:editId="0983C0F0">
            <wp:extent cx="9251950" cy="5878195"/>
            <wp:effectExtent l="0" t="0" r="6350" b="8255"/>
            <wp:docPr id="182032671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51950" cy="5878195"/>
                    </a:xfrm>
                    <a:prstGeom prst="rect">
                      <a:avLst/>
                    </a:prstGeom>
                    <a:noFill/>
                    <a:ln>
                      <a:noFill/>
                    </a:ln>
                  </pic:spPr>
                </pic:pic>
              </a:graphicData>
            </a:graphic>
          </wp:inline>
        </w:drawing>
      </w:r>
    </w:p>
    <w:p w14:paraId="3DE78000" w14:textId="77777777" w:rsidR="007C176C" w:rsidRDefault="007C176C" w:rsidP="00F93E31">
      <w:pPr>
        <w:spacing w:after="0" w:line="240" w:lineRule="auto"/>
        <w:jc w:val="center"/>
        <w:rPr>
          <w:noProof/>
        </w:rPr>
      </w:pPr>
    </w:p>
    <w:p w14:paraId="5CEF4C27" w14:textId="77777777" w:rsidR="007C176C" w:rsidRDefault="007C176C" w:rsidP="00F93E31">
      <w:pPr>
        <w:spacing w:after="0" w:line="240" w:lineRule="auto"/>
        <w:jc w:val="center"/>
        <w:rPr>
          <w:noProof/>
        </w:rPr>
      </w:pPr>
    </w:p>
    <w:p w14:paraId="1144D1BE" w14:textId="7EF8E2AC" w:rsidR="007C176C" w:rsidRDefault="007C176C" w:rsidP="00F93E31">
      <w:pPr>
        <w:spacing w:after="0" w:line="240" w:lineRule="auto"/>
        <w:jc w:val="center"/>
        <w:rPr>
          <w:noProof/>
        </w:rPr>
      </w:pPr>
      <w:r w:rsidRPr="007C176C">
        <w:rPr>
          <w:noProof/>
        </w:rPr>
        <w:drawing>
          <wp:inline distT="0" distB="0" distL="0" distR="0" wp14:anchorId="6AB5B320" wp14:editId="4B558FAF">
            <wp:extent cx="9251950" cy="2428875"/>
            <wp:effectExtent l="0" t="0" r="6350" b="9525"/>
            <wp:docPr id="1879213773"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251950" cy="2428875"/>
                    </a:xfrm>
                    <a:prstGeom prst="rect">
                      <a:avLst/>
                    </a:prstGeom>
                    <a:noFill/>
                    <a:ln>
                      <a:noFill/>
                    </a:ln>
                  </pic:spPr>
                </pic:pic>
              </a:graphicData>
            </a:graphic>
          </wp:inline>
        </w:drawing>
      </w:r>
    </w:p>
    <w:p w14:paraId="631747FB" w14:textId="77777777" w:rsidR="007C176C" w:rsidRDefault="007C176C" w:rsidP="00F93E31">
      <w:pPr>
        <w:spacing w:after="0" w:line="240" w:lineRule="auto"/>
        <w:jc w:val="center"/>
        <w:rPr>
          <w:noProof/>
        </w:rPr>
      </w:pPr>
    </w:p>
    <w:p w14:paraId="6FECAFC8" w14:textId="77777777" w:rsidR="007C176C" w:rsidRDefault="007C176C" w:rsidP="00F93E31">
      <w:pPr>
        <w:spacing w:after="0" w:line="240" w:lineRule="auto"/>
        <w:jc w:val="center"/>
        <w:rPr>
          <w:noProof/>
        </w:rPr>
      </w:pPr>
    </w:p>
    <w:p w14:paraId="056F390A" w14:textId="04280870" w:rsidR="007C176C" w:rsidRDefault="007C176C" w:rsidP="00F93E31">
      <w:pPr>
        <w:spacing w:after="0" w:line="240" w:lineRule="auto"/>
        <w:jc w:val="center"/>
        <w:rPr>
          <w:noProof/>
        </w:rPr>
      </w:pPr>
      <w:r w:rsidRPr="007C176C">
        <w:rPr>
          <w:noProof/>
        </w:rPr>
        <w:drawing>
          <wp:inline distT="0" distB="0" distL="0" distR="0" wp14:anchorId="1E8E2BE7" wp14:editId="2E0D281C">
            <wp:extent cx="9251950" cy="1852295"/>
            <wp:effectExtent l="0" t="0" r="6350" b="0"/>
            <wp:docPr id="1223462285"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251950" cy="1852295"/>
                    </a:xfrm>
                    <a:prstGeom prst="rect">
                      <a:avLst/>
                    </a:prstGeom>
                    <a:noFill/>
                    <a:ln>
                      <a:noFill/>
                    </a:ln>
                  </pic:spPr>
                </pic:pic>
              </a:graphicData>
            </a:graphic>
          </wp:inline>
        </w:drawing>
      </w:r>
    </w:p>
    <w:p w14:paraId="753114F3" w14:textId="77777777" w:rsidR="007C176C" w:rsidRDefault="007C176C" w:rsidP="00F93E31">
      <w:pPr>
        <w:spacing w:after="0" w:line="240" w:lineRule="auto"/>
        <w:jc w:val="center"/>
        <w:rPr>
          <w:noProof/>
        </w:rPr>
      </w:pPr>
    </w:p>
    <w:p w14:paraId="7A08C6FE" w14:textId="77777777" w:rsidR="00AC36B6" w:rsidRPr="003A2F86" w:rsidRDefault="00AC36B6" w:rsidP="00891119">
      <w:pPr>
        <w:spacing w:after="0" w:line="240" w:lineRule="auto"/>
        <w:jc w:val="both"/>
        <w:rPr>
          <w:rFonts w:ascii="Arial" w:eastAsia="Times New Roman" w:hAnsi="Arial" w:cs="Arial"/>
          <w:sz w:val="10"/>
          <w:szCs w:val="20"/>
          <w:lang w:eastAsia="en-US"/>
        </w:rPr>
      </w:pPr>
    </w:p>
    <w:p w14:paraId="3C1C0563" w14:textId="5E072C83" w:rsidR="00E649E6" w:rsidRPr="003A2F86" w:rsidRDefault="00E649E6" w:rsidP="00857DD6">
      <w:pPr>
        <w:spacing w:after="0" w:line="240" w:lineRule="auto"/>
        <w:jc w:val="both"/>
        <w:rPr>
          <w:rFonts w:ascii="Times New Roman" w:eastAsia="Times New Roman" w:hAnsi="Times New Roman" w:cs="Times New Roman"/>
          <w:sz w:val="20"/>
          <w:szCs w:val="20"/>
          <w:lang w:eastAsia="en-US"/>
        </w:rPr>
      </w:pPr>
      <w:r w:rsidRPr="003A2F86">
        <w:rPr>
          <w:rFonts w:ascii="Times New Roman" w:eastAsia="Times New Roman" w:hAnsi="Times New Roman" w:cs="Times New Roman"/>
          <w:sz w:val="20"/>
          <w:szCs w:val="20"/>
          <w:lang w:eastAsia="en-US"/>
        </w:rPr>
        <w:br w:type="page"/>
      </w:r>
    </w:p>
    <w:p w14:paraId="069C2A3C" w14:textId="45D5D99D" w:rsidR="00E5151C" w:rsidRPr="003A2F86" w:rsidRDefault="00E5151C" w:rsidP="00375FAF">
      <w:pPr>
        <w:pStyle w:val="Naslov2"/>
        <w:rPr>
          <w:lang w:val="hr-HR"/>
        </w:rPr>
      </w:pPr>
      <w:bookmarkStart w:id="308" w:name="_Toc207707461"/>
      <w:r w:rsidRPr="003A2F86">
        <w:rPr>
          <w:lang w:val="hr-HR"/>
        </w:rPr>
        <w:lastRenderedPageBreak/>
        <w:t>3.</w:t>
      </w:r>
      <w:r w:rsidR="00375FAF" w:rsidRPr="003A2F86">
        <w:rPr>
          <w:lang w:val="hr-HR"/>
        </w:rPr>
        <w:t>3</w:t>
      </w:r>
      <w:r w:rsidRPr="003A2F86">
        <w:rPr>
          <w:lang w:val="hr-HR"/>
        </w:rPr>
        <w:t>.</w:t>
      </w:r>
      <w:r w:rsidRPr="003A2F86">
        <w:rPr>
          <w:lang w:val="hr-HR"/>
        </w:rPr>
        <w:tab/>
      </w:r>
      <w:r w:rsidRPr="003A2F86">
        <w:rPr>
          <w:lang w:val="hr-HR"/>
        </w:rPr>
        <w:tab/>
      </w:r>
      <w:r w:rsidR="00E91B60" w:rsidRPr="003A2F86">
        <w:rPr>
          <w:lang w:val="hr-HR"/>
        </w:rPr>
        <w:t xml:space="preserve">OBRAZLOŽENJE </w:t>
      </w:r>
      <w:r w:rsidR="00A33CE5" w:rsidRPr="003A2F86">
        <w:rPr>
          <w:lang w:val="hr-HR"/>
        </w:rPr>
        <w:t xml:space="preserve">IZVRŠENJA </w:t>
      </w:r>
      <w:r w:rsidR="00785D05">
        <w:rPr>
          <w:lang w:val="hr-HR"/>
        </w:rPr>
        <w:t xml:space="preserve">POSEBNOG DIJELA </w:t>
      </w:r>
      <w:r w:rsidR="00E91B60" w:rsidRPr="003A2F86">
        <w:rPr>
          <w:lang w:val="hr-HR"/>
        </w:rPr>
        <w:t>PRORAČUNA</w:t>
      </w:r>
      <w:bookmarkEnd w:id="308"/>
      <w:r w:rsidR="00E91B60" w:rsidRPr="003A2F86">
        <w:rPr>
          <w:lang w:val="hr-HR"/>
        </w:rPr>
        <w:t xml:space="preserve"> </w:t>
      </w:r>
    </w:p>
    <w:p w14:paraId="1A078D18" w14:textId="77777777" w:rsidR="00891119" w:rsidRPr="003A2F86" w:rsidRDefault="00891119" w:rsidP="00891119">
      <w:pPr>
        <w:spacing w:after="0" w:line="240" w:lineRule="auto"/>
        <w:rPr>
          <w:rFonts w:ascii="Times New Roman" w:eastAsia="Times New Roman" w:hAnsi="Times New Roman" w:cs="Times New Roman"/>
          <w:sz w:val="20"/>
          <w:szCs w:val="20"/>
          <w:lang w:eastAsia="en-US"/>
        </w:rPr>
      </w:pPr>
    </w:p>
    <w:p w14:paraId="2EBC9B4D" w14:textId="47E75F79" w:rsidR="00891119" w:rsidRPr="003A2F86" w:rsidRDefault="00E91B60" w:rsidP="00375FAF">
      <w:pPr>
        <w:pStyle w:val="Naslov3"/>
        <w:rPr>
          <w:lang w:val="hr-HR"/>
        </w:rPr>
      </w:pPr>
      <w:bookmarkStart w:id="309" w:name="_Toc403676997"/>
      <w:bookmarkStart w:id="310" w:name="_Toc435014649"/>
      <w:bookmarkStart w:id="311" w:name="_Toc207707462"/>
      <w:r w:rsidRPr="003A2F86">
        <w:rPr>
          <w:rFonts w:eastAsia="Calibri"/>
          <w:lang w:val="hr-HR"/>
        </w:rPr>
        <w:t>3.</w:t>
      </w:r>
      <w:r w:rsidR="00375FAF" w:rsidRPr="003A2F86">
        <w:rPr>
          <w:rFonts w:eastAsia="Calibri"/>
          <w:lang w:val="hr-HR"/>
        </w:rPr>
        <w:t>3</w:t>
      </w:r>
      <w:r w:rsidRPr="003A2F86">
        <w:rPr>
          <w:rFonts w:eastAsia="Calibri"/>
          <w:lang w:val="hr-HR"/>
        </w:rPr>
        <w:t>.1</w:t>
      </w:r>
      <w:r w:rsidR="00891119" w:rsidRPr="003A2F86">
        <w:rPr>
          <w:rFonts w:eastAsia="Calibri"/>
          <w:lang w:val="hr-HR"/>
        </w:rPr>
        <w:t>.</w:t>
      </w:r>
      <w:r w:rsidR="00891119" w:rsidRPr="003A2F86">
        <w:rPr>
          <w:rFonts w:eastAsia="Calibri"/>
          <w:lang w:val="hr-HR"/>
        </w:rPr>
        <w:tab/>
        <w:t>RAZDJEL: (010) OPĆINSKO VIJEĆE I NAČELNIK</w:t>
      </w:r>
      <w:bookmarkEnd w:id="309"/>
      <w:bookmarkEnd w:id="310"/>
      <w:bookmarkEnd w:id="311"/>
      <w:r w:rsidR="00891119" w:rsidRPr="003A2F86">
        <w:rPr>
          <w:rFonts w:eastAsia="Calibri"/>
          <w:lang w:val="hr-HR"/>
        </w:rPr>
        <w:t xml:space="preserve"> </w:t>
      </w:r>
    </w:p>
    <w:p w14:paraId="149E9AB0" w14:textId="77777777" w:rsidR="00891119" w:rsidRPr="003A2F86" w:rsidRDefault="00891119" w:rsidP="00891119">
      <w:pPr>
        <w:spacing w:after="0" w:line="240" w:lineRule="auto"/>
        <w:rPr>
          <w:rFonts w:ascii="Arial" w:eastAsia="Times New Roman" w:hAnsi="Arial" w:cs="Arial"/>
          <w:iCs/>
          <w:sz w:val="20"/>
          <w:szCs w:val="20"/>
          <w:lang w:eastAsia="en-US"/>
        </w:rPr>
      </w:pPr>
    </w:p>
    <w:p w14:paraId="23A110E1" w14:textId="61355AB8" w:rsidR="00DC1256" w:rsidRPr="003A2F86" w:rsidRDefault="00DC1256" w:rsidP="00DC1256">
      <w:pPr>
        <w:spacing w:after="0" w:line="240" w:lineRule="auto"/>
        <w:jc w:val="both"/>
        <w:rPr>
          <w:rFonts w:ascii="Arial" w:eastAsia="Times New Roman" w:hAnsi="Arial" w:cs="Arial"/>
          <w:iCs/>
          <w:sz w:val="20"/>
          <w:szCs w:val="20"/>
          <w:lang w:eastAsia="en-US"/>
        </w:rPr>
      </w:pPr>
      <w:r w:rsidRPr="003A2F86">
        <w:rPr>
          <w:rFonts w:ascii="Arial" w:eastAsia="Times New Roman" w:hAnsi="Arial" w:cs="Arial"/>
          <w:iCs/>
          <w:sz w:val="20"/>
          <w:szCs w:val="20"/>
          <w:lang w:eastAsia="en-US"/>
        </w:rPr>
        <w:t xml:space="preserve">Rashodi i izdaci razdjela 010 (Općinsko vijeće i načelnik) u iznosu </w:t>
      </w:r>
      <w:r w:rsidR="00D33C1A">
        <w:rPr>
          <w:rFonts w:ascii="Arial" w:eastAsia="Times New Roman" w:hAnsi="Arial" w:cs="Arial"/>
          <w:iCs/>
          <w:sz w:val="20"/>
          <w:szCs w:val="20"/>
          <w:lang w:eastAsia="en-US"/>
        </w:rPr>
        <w:t>100.341,83</w:t>
      </w:r>
      <w:r w:rsidR="001C314D" w:rsidRPr="003A2F86">
        <w:rPr>
          <w:rFonts w:ascii="Arial" w:eastAsia="Times New Roman" w:hAnsi="Arial" w:cs="Arial"/>
          <w:iCs/>
          <w:sz w:val="20"/>
          <w:szCs w:val="20"/>
          <w:lang w:eastAsia="en-US"/>
        </w:rPr>
        <w:t xml:space="preserve"> €</w:t>
      </w:r>
      <w:r w:rsidRPr="003A2F86">
        <w:rPr>
          <w:rFonts w:ascii="Arial" w:eastAsia="Times New Roman" w:hAnsi="Arial" w:cs="Arial"/>
          <w:iCs/>
          <w:sz w:val="20"/>
          <w:szCs w:val="20"/>
          <w:lang w:eastAsia="en-US"/>
        </w:rPr>
        <w:t xml:space="preserve"> odnose se na rashode podijeljene u dvije glave (01001 – Općinsko vijeće – predstavničko tijelo, te 01002 – Načelnik i zamjenik načelnika), a svaka glava se sastoji od programa podijeljenih u aktivnosti i projekte.</w:t>
      </w:r>
    </w:p>
    <w:p w14:paraId="3B95F06E" w14:textId="77777777" w:rsidR="00AC36B6" w:rsidRDefault="00AC36B6" w:rsidP="00891119">
      <w:pPr>
        <w:spacing w:after="0" w:line="240" w:lineRule="auto"/>
        <w:jc w:val="both"/>
        <w:rPr>
          <w:rFonts w:ascii="Arial" w:eastAsia="Times New Roman" w:hAnsi="Arial" w:cs="Arial"/>
          <w:iCs/>
          <w:sz w:val="20"/>
          <w:szCs w:val="20"/>
          <w:lang w:eastAsia="en-US"/>
        </w:rPr>
      </w:pPr>
    </w:p>
    <w:p w14:paraId="5A39C9A7" w14:textId="6E3B5E08" w:rsidR="003A30DC" w:rsidRDefault="003A30DC" w:rsidP="00891119">
      <w:pPr>
        <w:spacing w:after="0" w:line="240" w:lineRule="auto"/>
        <w:jc w:val="both"/>
        <w:rPr>
          <w:rFonts w:ascii="Arial" w:eastAsia="Times New Roman" w:hAnsi="Arial" w:cs="Arial"/>
          <w:iCs/>
          <w:sz w:val="20"/>
          <w:szCs w:val="20"/>
          <w:lang w:eastAsia="en-US"/>
        </w:rPr>
      </w:pPr>
      <w:r w:rsidRPr="003A30DC">
        <w:rPr>
          <w:noProof/>
        </w:rPr>
        <w:drawing>
          <wp:inline distT="0" distB="0" distL="0" distR="0" wp14:anchorId="62C8C24C" wp14:editId="6059ADEC">
            <wp:extent cx="9251950" cy="2277110"/>
            <wp:effectExtent l="0" t="0" r="6350" b="8890"/>
            <wp:docPr id="85274802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251950" cy="2277110"/>
                    </a:xfrm>
                    <a:prstGeom prst="rect">
                      <a:avLst/>
                    </a:prstGeom>
                    <a:noFill/>
                    <a:ln>
                      <a:noFill/>
                    </a:ln>
                  </pic:spPr>
                </pic:pic>
              </a:graphicData>
            </a:graphic>
          </wp:inline>
        </w:drawing>
      </w:r>
    </w:p>
    <w:p w14:paraId="130B2E2E" w14:textId="77777777" w:rsidR="003A30DC" w:rsidRPr="003A2F86" w:rsidRDefault="003A30DC" w:rsidP="00891119">
      <w:pPr>
        <w:spacing w:after="0" w:line="240" w:lineRule="auto"/>
        <w:jc w:val="both"/>
        <w:rPr>
          <w:rFonts w:ascii="Arial" w:eastAsia="Times New Roman" w:hAnsi="Arial" w:cs="Arial"/>
          <w:iCs/>
          <w:sz w:val="20"/>
          <w:szCs w:val="20"/>
          <w:lang w:eastAsia="en-US"/>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29"/>
        <w:gridCol w:w="13123"/>
      </w:tblGrid>
      <w:tr w:rsidR="007B75F4" w:rsidRPr="003A2F86" w14:paraId="29FDB133" w14:textId="77777777" w:rsidTr="00BE67BB">
        <w:tc>
          <w:tcPr>
            <w:tcW w:w="1329" w:type="dxa"/>
            <w:vAlign w:val="center"/>
          </w:tcPr>
          <w:p w14:paraId="5B289635" w14:textId="77777777" w:rsidR="007B75F4" w:rsidRPr="003A2F86" w:rsidRDefault="007B75F4" w:rsidP="007B75F4">
            <w:pPr>
              <w:spacing w:after="0" w:line="240" w:lineRule="auto"/>
              <w:rPr>
                <w:rFonts w:ascii="Arial" w:eastAsia="Calibri" w:hAnsi="Arial" w:cs="Arial"/>
                <w:b/>
                <w:bCs/>
              </w:rPr>
            </w:pPr>
            <w:r w:rsidRPr="003A2F86">
              <w:rPr>
                <w:rFonts w:ascii="Arial" w:eastAsia="Calibri" w:hAnsi="Arial" w:cs="Arial"/>
                <w:b/>
                <w:bCs/>
              </w:rPr>
              <w:t xml:space="preserve">Sažetak djelokruga rada </w:t>
            </w:r>
          </w:p>
        </w:tc>
        <w:tc>
          <w:tcPr>
            <w:tcW w:w="13123" w:type="dxa"/>
            <w:vAlign w:val="bottom"/>
          </w:tcPr>
          <w:p w14:paraId="3F175203" w14:textId="77777777" w:rsidR="007B75F4" w:rsidRPr="003A2F86" w:rsidRDefault="007B75F4" w:rsidP="007B75F4">
            <w:pPr>
              <w:spacing w:after="0" w:line="240" w:lineRule="auto"/>
              <w:rPr>
                <w:rFonts w:ascii="Arial" w:eastAsia="Calibri" w:hAnsi="Arial" w:cs="Arial"/>
              </w:rPr>
            </w:pPr>
            <w:r w:rsidRPr="003A2F86">
              <w:rPr>
                <w:rFonts w:ascii="Arial" w:eastAsia="Calibri" w:hAnsi="Arial" w:cs="Arial"/>
                <w:b/>
                <w:bCs/>
              </w:rPr>
              <w:t>Općinsko vijeće</w:t>
            </w:r>
            <w:r w:rsidRPr="003A2F86">
              <w:rPr>
                <w:rFonts w:ascii="Arial" w:eastAsia="Calibri" w:hAnsi="Arial" w:cs="Arial"/>
              </w:rPr>
              <w:t xml:space="preserve"> kao predstavničko tijelo je tijelo građana i tijelo lokalne samouprave, koje donosi odluke i akte u okviru prava i dužnosti Općine, te obavlja i druge poslove u skladu sa Ustavom, zakonom i Statutom.</w:t>
            </w:r>
          </w:p>
          <w:p w14:paraId="53B6E1B5" w14:textId="77777777" w:rsidR="007B75F4" w:rsidRPr="003A2F86" w:rsidRDefault="007B75F4" w:rsidP="007B75F4">
            <w:pPr>
              <w:spacing w:after="0" w:line="240" w:lineRule="auto"/>
              <w:rPr>
                <w:rFonts w:ascii="Arial" w:eastAsia="Calibri" w:hAnsi="Arial" w:cs="Arial"/>
              </w:rPr>
            </w:pPr>
            <w:r w:rsidRPr="003A2F86">
              <w:rPr>
                <w:rFonts w:ascii="Arial" w:eastAsia="Calibri" w:hAnsi="Arial" w:cs="Arial"/>
                <w:b/>
                <w:bCs/>
              </w:rPr>
              <w:t>Općinski načelnik</w:t>
            </w:r>
            <w:r w:rsidRPr="003A2F86">
              <w:rPr>
                <w:rFonts w:ascii="Arial" w:eastAsia="Calibri" w:hAnsi="Arial" w:cs="Arial"/>
              </w:rPr>
              <w:t xml:space="preserve"> je izvršno tijelo jedinice lokalne samouprave</w:t>
            </w:r>
          </w:p>
        </w:tc>
      </w:tr>
    </w:tbl>
    <w:p w14:paraId="0483C035" w14:textId="77777777" w:rsidR="007B75F4" w:rsidRPr="003A2F86" w:rsidRDefault="007B75F4" w:rsidP="00A83BD4">
      <w:pPr>
        <w:spacing w:after="0" w:line="240" w:lineRule="auto"/>
        <w:rPr>
          <w:rFonts w:ascii="Arial" w:eastAsia="Calibri" w:hAnsi="Arial" w:cs="Arial"/>
        </w:rPr>
      </w:pPr>
    </w:p>
    <w:p w14:paraId="4D715A17" w14:textId="77777777" w:rsidR="007B75F4" w:rsidRPr="003A2F86" w:rsidRDefault="007B75F4" w:rsidP="00A83BD4">
      <w:pPr>
        <w:spacing w:after="0" w:line="240" w:lineRule="auto"/>
        <w:rPr>
          <w:rFonts w:ascii="Arial" w:eastAsia="Calibri" w:hAnsi="Arial" w:cs="Arial"/>
        </w:rPr>
      </w:pPr>
    </w:p>
    <w:p w14:paraId="1099FDF9" w14:textId="77777777" w:rsidR="007B75F4" w:rsidRPr="003A2F86" w:rsidRDefault="007B75F4" w:rsidP="00A83BD4">
      <w:pPr>
        <w:spacing w:after="0" w:line="240" w:lineRule="auto"/>
        <w:rPr>
          <w:rFonts w:ascii="Arial" w:eastAsia="Calibri" w:hAnsi="Arial" w:cs="Arial"/>
        </w:rPr>
      </w:pPr>
    </w:p>
    <w:p w14:paraId="4FB512C2" w14:textId="77777777" w:rsidR="007B75F4" w:rsidRPr="003A2F86" w:rsidRDefault="007B75F4" w:rsidP="00A83BD4">
      <w:pPr>
        <w:spacing w:after="0" w:line="240" w:lineRule="auto"/>
        <w:rPr>
          <w:rFonts w:ascii="Arial" w:eastAsia="Calibri" w:hAnsi="Arial" w:cs="Arial"/>
        </w:rPr>
      </w:pPr>
    </w:p>
    <w:p w14:paraId="6238A576" w14:textId="77777777" w:rsidR="007B75F4" w:rsidRDefault="007B75F4" w:rsidP="00A83BD4">
      <w:pPr>
        <w:spacing w:after="0" w:line="240" w:lineRule="auto"/>
        <w:rPr>
          <w:rFonts w:ascii="Arial" w:eastAsia="Calibri" w:hAnsi="Arial" w:cs="Arial"/>
        </w:rPr>
      </w:pPr>
    </w:p>
    <w:p w14:paraId="250EDD14" w14:textId="77777777" w:rsidR="003A30DC" w:rsidRPr="003A2F86" w:rsidRDefault="003A30DC" w:rsidP="00A83BD4">
      <w:pPr>
        <w:spacing w:after="0" w:line="240" w:lineRule="auto"/>
        <w:rPr>
          <w:rFonts w:ascii="Arial" w:eastAsia="Calibri" w:hAnsi="Arial" w:cs="Arial"/>
        </w:rPr>
      </w:pPr>
    </w:p>
    <w:p w14:paraId="0A1E5665" w14:textId="77777777" w:rsidR="007B75F4" w:rsidRPr="003A2F86" w:rsidRDefault="007B75F4" w:rsidP="00A83BD4">
      <w:pPr>
        <w:spacing w:after="0" w:line="240" w:lineRule="auto"/>
        <w:rPr>
          <w:rFonts w:ascii="Arial" w:eastAsia="Calibri" w:hAnsi="Arial" w:cs="Arial"/>
        </w:rPr>
      </w:pPr>
    </w:p>
    <w:p w14:paraId="6F6914F5" w14:textId="77777777" w:rsidR="00A83BD4" w:rsidRPr="003A2F86" w:rsidRDefault="00A83BD4" w:rsidP="00A83BD4">
      <w:pPr>
        <w:spacing w:after="0" w:line="240" w:lineRule="auto"/>
        <w:rPr>
          <w:rFonts w:ascii="Arial" w:eastAsia="Calibri" w:hAnsi="Arial" w:cs="Arial"/>
        </w:rPr>
      </w:pPr>
    </w:p>
    <w:p w14:paraId="69550E13" w14:textId="77777777" w:rsidR="004C723A" w:rsidRPr="003A2F86" w:rsidRDefault="004C723A" w:rsidP="00A83BD4">
      <w:pPr>
        <w:spacing w:after="0" w:line="240" w:lineRule="auto"/>
        <w:rPr>
          <w:rFonts w:ascii="Arial" w:eastAsia="Calibri" w:hAnsi="Arial" w:cs="Arial"/>
        </w:rPr>
      </w:pPr>
    </w:p>
    <w:p w14:paraId="53E6D0C8" w14:textId="77777777" w:rsidR="00A83BD4" w:rsidRPr="003A2F86" w:rsidRDefault="00A83BD4" w:rsidP="00A83BD4">
      <w:pPr>
        <w:spacing w:after="0" w:line="240" w:lineRule="auto"/>
        <w:rPr>
          <w:rFonts w:ascii="Arial" w:eastAsia="Calibri" w:hAnsi="Arial" w:cs="Arial"/>
        </w:rPr>
      </w:pPr>
    </w:p>
    <w:p w14:paraId="4B1F6544" w14:textId="77777777" w:rsidR="00A83BD4" w:rsidRPr="003A2F86" w:rsidRDefault="00A83BD4" w:rsidP="00A83BD4">
      <w:pPr>
        <w:spacing w:after="0" w:line="240" w:lineRule="auto"/>
        <w:rPr>
          <w:rFonts w:ascii="Arial" w:eastAsia="Calibri" w:hAnsi="Arial" w:cs="Arial"/>
        </w:rPr>
      </w:pPr>
    </w:p>
    <w:p w14:paraId="650514B5" w14:textId="77777777" w:rsidR="00A83BD4" w:rsidRPr="003A2F86" w:rsidRDefault="00A83BD4" w:rsidP="00A83BD4">
      <w:pPr>
        <w:spacing w:after="0" w:line="240" w:lineRule="auto"/>
        <w:rPr>
          <w:rFonts w:ascii="Arial" w:eastAsia="Calibri" w:hAnsi="Arial" w:cs="Arial"/>
        </w:rPr>
      </w:pPr>
    </w:p>
    <w:p w14:paraId="155ADD48" w14:textId="77777777" w:rsidR="007B75F4" w:rsidRPr="003A2F86" w:rsidRDefault="007B75F4" w:rsidP="00A83BD4">
      <w:pPr>
        <w:spacing w:after="0" w:line="240" w:lineRule="auto"/>
        <w:rPr>
          <w:rFonts w:ascii="Arial" w:eastAsia="Calibri" w:hAnsi="Arial" w:cs="Arial"/>
        </w:rPr>
      </w:pPr>
    </w:p>
    <w:p w14:paraId="5E6AE6AB" w14:textId="77777777" w:rsidR="007B75F4" w:rsidRPr="003A2F86" w:rsidRDefault="007B75F4">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3A2F86">
        <w:rPr>
          <w:rFonts w:ascii="Arial" w:eastAsia="Calibri" w:hAnsi="Arial" w:cs="Arial"/>
          <w:b/>
        </w:rPr>
        <w:t>OBRAZLOŽENJE OPĆEG DIJELA FINANCIJSKOG PLANA</w:t>
      </w:r>
    </w:p>
    <w:p w14:paraId="20321238" w14:textId="49B97DAB" w:rsidR="00D63A51" w:rsidRPr="003A2F86" w:rsidRDefault="00D63A51" w:rsidP="00A83BD4">
      <w:pPr>
        <w:spacing w:after="0" w:line="240" w:lineRule="auto"/>
        <w:jc w:val="center"/>
        <w:rPr>
          <w:rFonts w:ascii="Arial" w:eastAsia="Calibri" w:hAnsi="Arial" w:cs="Arial"/>
        </w:rPr>
      </w:pPr>
    </w:p>
    <w:p w14:paraId="20374984" w14:textId="3BB6FEBD" w:rsidR="000F3D70" w:rsidRPr="003A2F86" w:rsidRDefault="00E95253" w:rsidP="00A83BD4">
      <w:pPr>
        <w:jc w:val="center"/>
        <w:rPr>
          <w:rFonts w:ascii="Arial" w:eastAsia="Calibri" w:hAnsi="Arial" w:cs="Arial"/>
        </w:rPr>
      </w:pPr>
      <w:r w:rsidRPr="00E95253">
        <w:rPr>
          <w:noProof/>
        </w:rPr>
        <w:drawing>
          <wp:inline distT="0" distB="0" distL="0" distR="0" wp14:anchorId="3E447068" wp14:editId="672621CE">
            <wp:extent cx="6688835" cy="4601779"/>
            <wp:effectExtent l="0" t="0" r="0" b="8890"/>
            <wp:docPr id="10653751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98028" cy="4608104"/>
                    </a:xfrm>
                    <a:prstGeom prst="rect">
                      <a:avLst/>
                    </a:prstGeom>
                    <a:noFill/>
                    <a:ln>
                      <a:noFill/>
                    </a:ln>
                  </pic:spPr>
                </pic:pic>
              </a:graphicData>
            </a:graphic>
          </wp:inline>
        </w:drawing>
      </w:r>
    </w:p>
    <w:p w14:paraId="6A2BCB01" w14:textId="77777777" w:rsidR="00AA433D" w:rsidRDefault="00AA433D" w:rsidP="007B75F4">
      <w:pPr>
        <w:spacing w:after="0" w:line="240" w:lineRule="auto"/>
        <w:ind w:firstLine="708"/>
        <w:jc w:val="both"/>
        <w:rPr>
          <w:rFonts w:ascii="Arial" w:eastAsia="Calibri" w:hAnsi="Arial" w:cs="Arial"/>
          <w:sz w:val="20"/>
          <w:szCs w:val="20"/>
          <w:u w:val="single"/>
          <w:lang w:eastAsia="en-US"/>
        </w:rPr>
      </w:pPr>
    </w:p>
    <w:p w14:paraId="6235C154" w14:textId="3BB667B9" w:rsidR="007B75F4" w:rsidRPr="003A2F86" w:rsidRDefault="00396029" w:rsidP="007B75F4">
      <w:pPr>
        <w:spacing w:after="0" w:line="240" w:lineRule="auto"/>
        <w:ind w:firstLine="708"/>
        <w:jc w:val="both"/>
        <w:rPr>
          <w:rFonts w:ascii="Arial" w:eastAsia="Calibri" w:hAnsi="Arial" w:cs="Arial"/>
          <w:sz w:val="20"/>
          <w:szCs w:val="20"/>
          <w:lang w:eastAsia="en-US"/>
        </w:rPr>
      </w:pPr>
      <w:r w:rsidRPr="003A2F86">
        <w:rPr>
          <w:rFonts w:ascii="Arial" w:eastAsia="Calibri" w:hAnsi="Arial" w:cs="Arial"/>
          <w:sz w:val="20"/>
          <w:szCs w:val="20"/>
          <w:u w:val="single"/>
          <w:lang w:eastAsia="en-US"/>
        </w:rPr>
        <w:t>Ostvareni</w:t>
      </w:r>
      <w:r w:rsidR="007B75F4" w:rsidRPr="003A2F86">
        <w:rPr>
          <w:rFonts w:ascii="Arial" w:eastAsia="Calibri" w:hAnsi="Arial" w:cs="Arial"/>
          <w:sz w:val="20"/>
          <w:szCs w:val="20"/>
          <w:u w:val="single"/>
          <w:lang w:eastAsia="en-US"/>
        </w:rPr>
        <w:t xml:space="preserve"> prihodi poslovanja</w:t>
      </w:r>
      <w:r w:rsidR="007B75F4" w:rsidRPr="003A2F86">
        <w:rPr>
          <w:rFonts w:ascii="Arial" w:eastAsia="Calibri" w:hAnsi="Arial" w:cs="Arial"/>
          <w:sz w:val="20"/>
          <w:szCs w:val="20"/>
          <w:lang w:eastAsia="en-US"/>
        </w:rPr>
        <w:t xml:space="preserve"> za 202</w:t>
      </w:r>
      <w:r w:rsidR="00E95253">
        <w:rPr>
          <w:rFonts w:ascii="Arial" w:eastAsia="Calibri" w:hAnsi="Arial" w:cs="Arial"/>
          <w:sz w:val="20"/>
          <w:szCs w:val="20"/>
          <w:lang w:eastAsia="en-US"/>
        </w:rPr>
        <w:t>5</w:t>
      </w:r>
      <w:r w:rsidRPr="003A2F86">
        <w:rPr>
          <w:rFonts w:ascii="Arial" w:eastAsia="Calibri" w:hAnsi="Arial" w:cs="Arial"/>
          <w:sz w:val="20"/>
          <w:szCs w:val="20"/>
          <w:lang w:eastAsia="en-US"/>
        </w:rPr>
        <w:t>.</w:t>
      </w:r>
      <w:r w:rsidR="007B75F4" w:rsidRPr="003A2F86">
        <w:rPr>
          <w:rFonts w:ascii="Arial" w:eastAsia="Calibri" w:hAnsi="Arial" w:cs="Arial"/>
          <w:sz w:val="20"/>
          <w:szCs w:val="20"/>
          <w:lang w:eastAsia="en-US"/>
        </w:rPr>
        <w:t>:</w:t>
      </w:r>
    </w:p>
    <w:p w14:paraId="4346A87B" w14:textId="14A20F15" w:rsidR="007B75F4" w:rsidRPr="003A2F86" w:rsidRDefault="007B75F4">
      <w:pPr>
        <w:numPr>
          <w:ilvl w:val="0"/>
          <w:numId w:val="9"/>
        </w:numPr>
        <w:spacing w:after="0" w:line="240" w:lineRule="auto"/>
        <w:jc w:val="both"/>
        <w:rPr>
          <w:rFonts w:ascii="Arial" w:eastAsia="Calibri" w:hAnsi="Arial" w:cs="Arial"/>
          <w:sz w:val="20"/>
          <w:szCs w:val="20"/>
          <w:lang w:eastAsia="en-US"/>
        </w:rPr>
      </w:pPr>
      <w:r w:rsidRPr="003A2F86">
        <w:rPr>
          <w:rFonts w:ascii="Arial" w:eastAsia="Calibri" w:hAnsi="Arial" w:cs="Arial"/>
          <w:sz w:val="20"/>
          <w:szCs w:val="20"/>
          <w:lang w:eastAsia="en-US"/>
        </w:rPr>
        <w:t xml:space="preserve">Razdjel ne ostvaruje vlastite prihode, osim </w:t>
      </w:r>
      <w:r w:rsidR="00396029" w:rsidRPr="003A2F86">
        <w:rPr>
          <w:rFonts w:ascii="Arial" w:eastAsia="Calibri" w:hAnsi="Arial" w:cs="Arial"/>
          <w:sz w:val="20"/>
          <w:szCs w:val="20"/>
          <w:lang w:eastAsia="en-US"/>
        </w:rPr>
        <w:t xml:space="preserve">u slučaju primanja pomoći </w:t>
      </w:r>
      <w:r w:rsidRPr="003A2F86">
        <w:rPr>
          <w:rFonts w:ascii="Arial" w:eastAsia="Calibri" w:hAnsi="Arial" w:cs="Arial"/>
          <w:sz w:val="20"/>
          <w:szCs w:val="20"/>
          <w:lang w:eastAsia="en-US"/>
        </w:rPr>
        <w:t>za sufinanciranje provedbe dijela lokalnih izbora (za izbor župana i članova županijske skupštine)</w:t>
      </w:r>
      <w:r w:rsidR="00396029" w:rsidRPr="003A2F86">
        <w:rPr>
          <w:rFonts w:ascii="Arial" w:eastAsia="Calibri" w:hAnsi="Arial" w:cs="Arial"/>
          <w:sz w:val="20"/>
          <w:szCs w:val="20"/>
          <w:lang w:eastAsia="en-US"/>
        </w:rPr>
        <w:t>. U 202</w:t>
      </w:r>
      <w:r w:rsidR="00E95253">
        <w:rPr>
          <w:rFonts w:ascii="Arial" w:eastAsia="Calibri" w:hAnsi="Arial" w:cs="Arial"/>
          <w:sz w:val="20"/>
          <w:szCs w:val="20"/>
          <w:lang w:eastAsia="en-US"/>
        </w:rPr>
        <w:t>5</w:t>
      </w:r>
      <w:r w:rsidR="00396029" w:rsidRPr="003A2F86">
        <w:rPr>
          <w:rFonts w:ascii="Arial" w:eastAsia="Calibri" w:hAnsi="Arial" w:cs="Arial"/>
          <w:sz w:val="20"/>
          <w:szCs w:val="20"/>
          <w:lang w:eastAsia="en-US"/>
        </w:rPr>
        <w:t xml:space="preserve">. </w:t>
      </w:r>
      <w:r w:rsidR="00E95253">
        <w:rPr>
          <w:rFonts w:ascii="Arial" w:eastAsia="Calibri" w:hAnsi="Arial" w:cs="Arial"/>
          <w:sz w:val="20"/>
          <w:szCs w:val="20"/>
          <w:lang w:eastAsia="en-US"/>
        </w:rPr>
        <w:t>ovi prihodi su ostvareni u iznosu 40.360,31 €</w:t>
      </w:r>
      <w:r w:rsidR="008E133B" w:rsidRPr="003A2F86">
        <w:rPr>
          <w:rFonts w:ascii="Arial" w:eastAsia="Calibri" w:hAnsi="Arial" w:cs="Arial"/>
          <w:sz w:val="20"/>
          <w:szCs w:val="20"/>
          <w:lang w:eastAsia="en-US"/>
        </w:rPr>
        <w:t>.</w:t>
      </w:r>
    </w:p>
    <w:p w14:paraId="45DCD465" w14:textId="2ADE249C" w:rsidR="000F3D70" w:rsidRPr="003A2F86" w:rsidRDefault="00E95253">
      <w:pPr>
        <w:numPr>
          <w:ilvl w:val="0"/>
          <w:numId w:val="9"/>
        </w:numPr>
        <w:spacing w:after="0" w:line="240" w:lineRule="auto"/>
        <w:jc w:val="both"/>
        <w:rPr>
          <w:rFonts w:ascii="Arial" w:eastAsia="Calibri" w:hAnsi="Arial" w:cs="Arial"/>
          <w:sz w:val="20"/>
          <w:szCs w:val="20"/>
          <w:lang w:eastAsia="en-US"/>
        </w:rPr>
      </w:pPr>
      <w:r>
        <w:rPr>
          <w:rFonts w:ascii="Arial" w:eastAsia="Calibri" w:hAnsi="Arial" w:cs="Arial"/>
          <w:sz w:val="20"/>
          <w:szCs w:val="20"/>
          <w:lang w:eastAsia="en-US"/>
        </w:rPr>
        <w:t xml:space="preserve">Ostali </w:t>
      </w:r>
      <w:r w:rsidR="007B75F4" w:rsidRPr="003A2F86">
        <w:rPr>
          <w:rFonts w:ascii="Arial" w:eastAsia="Calibri" w:hAnsi="Arial" w:cs="Arial"/>
          <w:sz w:val="20"/>
          <w:szCs w:val="20"/>
          <w:lang w:eastAsia="en-US"/>
        </w:rPr>
        <w:t>prihodi za 20</w:t>
      </w:r>
      <w:r>
        <w:rPr>
          <w:rFonts w:ascii="Arial" w:eastAsia="Calibri" w:hAnsi="Arial" w:cs="Arial"/>
          <w:sz w:val="20"/>
          <w:szCs w:val="20"/>
          <w:lang w:eastAsia="en-US"/>
        </w:rPr>
        <w:t>25</w:t>
      </w:r>
      <w:r w:rsidR="007B75F4" w:rsidRPr="003A2F86">
        <w:rPr>
          <w:rFonts w:ascii="Arial" w:eastAsia="Calibri" w:hAnsi="Arial" w:cs="Arial"/>
          <w:sz w:val="20"/>
          <w:szCs w:val="20"/>
          <w:lang w:eastAsia="en-US"/>
        </w:rPr>
        <w:t>. (</w:t>
      </w:r>
      <w:r>
        <w:rPr>
          <w:rFonts w:ascii="Arial" w:eastAsia="Calibri" w:hAnsi="Arial" w:cs="Arial"/>
          <w:sz w:val="20"/>
          <w:szCs w:val="20"/>
          <w:lang w:eastAsia="en-US"/>
        </w:rPr>
        <w:t>59.981,52</w:t>
      </w:r>
      <w:r w:rsidR="007B75F4" w:rsidRPr="003A2F86">
        <w:rPr>
          <w:rFonts w:ascii="Arial" w:eastAsia="Calibri" w:hAnsi="Arial" w:cs="Arial"/>
          <w:sz w:val="20"/>
          <w:szCs w:val="20"/>
          <w:lang w:eastAsia="en-US"/>
        </w:rPr>
        <w:t xml:space="preserve"> </w:t>
      </w:r>
      <w:r w:rsidR="004B1380" w:rsidRPr="003A2F86">
        <w:rPr>
          <w:rFonts w:ascii="Arial" w:eastAsia="Calibri" w:hAnsi="Arial" w:cs="Arial"/>
          <w:sz w:val="20"/>
          <w:szCs w:val="20"/>
          <w:lang w:eastAsia="en-US"/>
        </w:rPr>
        <w:t>€</w:t>
      </w:r>
      <w:r w:rsidR="007B75F4" w:rsidRPr="003A2F86">
        <w:rPr>
          <w:rFonts w:ascii="Arial" w:eastAsia="Calibri" w:hAnsi="Arial" w:cs="Arial"/>
          <w:sz w:val="20"/>
          <w:szCs w:val="20"/>
          <w:lang w:eastAsia="en-US"/>
        </w:rPr>
        <w:t>) se odnose na prihode koji se u financijskom planu razdjela iskazuje na 671</w:t>
      </w:r>
      <w:r w:rsidR="00396029" w:rsidRPr="003A2F86">
        <w:rPr>
          <w:rFonts w:ascii="Arial" w:eastAsia="Calibri" w:hAnsi="Arial" w:cs="Arial"/>
          <w:sz w:val="20"/>
          <w:szCs w:val="20"/>
          <w:lang w:eastAsia="en-US"/>
        </w:rPr>
        <w:t xml:space="preserve">. </w:t>
      </w:r>
    </w:p>
    <w:p w14:paraId="6C0C74BE" w14:textId="77777777" w:rsidR="007B75F4" w:rsidRPr="003A2F86" w:rsidRDefault="007B75F4" w:rsidP="007B75F4">
      <w:pPr>
        <w:spacing w:after="0" w:line="240" w:lineRule="auto"/>
        <w:jc w:val="both"/>
        <w:rPr>
          <w:rFonts w:ascii="Arial" w:eastAsia="Calibri" w:hAnsi="Arial" w:cs="Arial"/>
          <w:sz w:val="20"/>
          <w:szCs w:val="20"/>
          <w:lang w:eastAsia="en-US"/>
        </w:rPr>
      </w:pPr>
    </w:p>
    <w:p w14:paraId="34E77FC8" w14:textId="4E33B0CE" w:rsidR="007B75F4" w:rsidRPr="003A2F86" w:rsidRDefault="00396029" w:rsidP="007B75F4">
      <w:pPr>
        <w:spacing w:after="0" w:line="240" w:lineRule="auto"/>
        <w:ind w:firstLine="708"/>
        <w:jc w:val="both"/>
        <w:rPr>
          <w:rFonts w:ascii="Arial" w:eastAsia="Calibri" w:hAnsi="Arial" w:cs="Arial"/>
          <w:sz w:val="20"/>
          <w:szCs w:val="20"/>
          <w:lang w:eastAsia="en-US"/>
        </w:rPr>
      </w:pPr>
      <w:r w:rsidRPr="003A2F86">
        <w:rPr>
          <w:rFonts w:ascii="Arial" w:eastAsia="Calibri" w:hAnsi="Arial" w:cs="Arial"/>
          <w:sz w:val="20"/>
          <w:szCs w:val="20"/>
          <w:u w:val="single"/>
          <w:lang w:eastAsia="en-US"/>
        </w:rPr>
        <w:t>Izvršeni</w:t>
      </w:r>
      <w:r w:rsidR="007B75F4" w:rsidRPr="003A2F86">
        <w:rPr>
          <w:rFonts w:ascii="Arial" w:eastAsia="Calibri" w:hAnsi="Arial" w:cs="Arial"/>
          <w:sz w:val="20"/>
          <w:szCs w:val="20"/>
          <w:u w:val="single"/>
          <w:lang w:eastAsia="en-US"/>
        </w:rPr>
        <w:t xml:space="preserve"> rashodi poslovanja</w:t>
      </w:r>
      <w:r w:rsidR="007B75F4" w:rsidRPr="003A2F86">
        <w:rPr>
          <w:rFonts w:ascii="Arial" w:eastAsia="Calibri" w:hAnsi="Arial" w:cs="Arial"/>
          <w:sz w:val="20"/>
          <w:szCs w:val="20"/>
          <w:lang w:eastAsia="en-US"/>
        </w:rPr>
        <w:t xml:space="preserve"> sastoje se od:</w:t>
      </w:r>
    </w:p>
    <w:p w14:paraId="6CBC51D3" w14:textId="6AE3E8B6" w:rsidR="007B75F4" w:rsidRPr="003A2F86" w:rsidRDefault="007B75F4">
      <w:pPr>
        <w:numPr>
          <w:ilvl w:val="0"/>
          <w:numId w:val="31"/>
        </w:numPr>
        <w:spacing w:after="0" w:line="240" w:lineRule="auto"/>
        <w:contextualSpacing/>
        <w:jc w:val="both"/>
        <w:rPr>
          <w:rFonts w:ascii="Arial" w:eastAsia="Calibri" w:hAnsi="Arial" w:cs="Arial"/>
          <w:sz w:val="20"/>
          <w:szCs w:val="20"/>
          <w:lang w:eastAsia="en-US"/>
        </w:rPr>
      </w:pPr>
      <w:r w:rsidRPr="003A2F86">
        <w:rPr>
          <w:rFonts w:ascii="Arial" w:eastAsia="Calibri" w:hAnsi="Arial" w:cs="Arial"/>
          <w:sz w:val="20"/>
          <w:szCs w:val="20"/>
          <w:lang w:eastAsia="en-US"/>
        </w:rPr>
        <w:t xml:space="preserve">rashoda za </w:t>
      </w:r>
      <w:r w:rsidR="00396029" w:rsidRPr="003A2F86">
        <w:rPr>
          <w:rFonts w:ascii="Arial" w:eastAsia="Calibri" w:hAnsi="Arial" w:cs="Arial"/>
          <w:sz w:val="20"/>
          <w:szCs w:val="20"/>
          <w:lang w:eastAsia="en-US"/>
        </w:rPr>
        <w:t xml:space="preserve">osnovne aktivnosti načelnika u iznosu </w:t>
      </w:r>
      <w:r w:rsidR="00E95253">
        <w:rPr>
          <w:rFonts w:ascii="Arial" w:eastAsia="Calibri" w:hAnsi="Arial" w:cs="Arial"/>
          <w:sz w:val="20"/>
          <w:szCs w:val="20"/>
          <w:lang w:eastAsia="en-US"/>
        </w:rPr>
        <w:t>38.772,23</w:t>
      </w:r>
      <w:r w:rsidR="00396029" w:rsidRPr="003A2F86">
        <w:rPr>
          <w:rFonts w:ascii="Arial" w:eastAsia="Calibri" w:hAnsi="Arial" w:cs="Arial"/>
          <w:sz w:val="20"/>
          <w:szCs w:val="20"/>
          <w:lang w:eastAsia="en-US"/>
        </w:rPr>
        <w:t xml:space="preserve"> € od čega plaća </w:t>
      </w:r>
      <w:r w:rsidRPr="003A2F86">
        <w:rPr>
          <w:rFonts w:ascii="Arial" w:eastAsia="Calibri" w:hAnsi="Arial" w:cs="Arial"/>
          <w:sz w:val="20"/>
          <w:szCs w:val="20"/>
          <w:lang w:eastAsia="en-US"/>
        </w:rPr>
        <w:t>načelnika</w:t>
      </w:r>
      <w:r w:rsidR="00396029" w:rsidRPr="003A2F86">
        <w:rPr>
          <w:rFonts w:ascii="Arial" w:eastAsia="Calibri" w:hAnsi="Arial" w:cs="Arial"/>
          <w:sz w:val="20"/>
          <w:szCs w:val="20"/>
          <w:lang w:eastAsia="en-US"/>
        </w:rPr>
        <w:t xml:space="preserve"> (31)</w:t>
      </w:r>
      <w:r w:rsidRPr="003A2F86">
        <w:rPr>
          <w:rFonts w:ascii="Arial" w:eastAsia="Calibri" w:hAnsi="Arial" w:cs="Arial"/>
          <w:sz w:val="20"/>
          <w:szCs w:val="20"/>
          <w:lang w:eastAsia="en-US"/>
        </w:rPr>
        <w:t xml:space="preserve"> u iznosu </w:t>
      </w:r>
      <w:r w:rsidR="00E95253">
        <w:rPr>
          <w:rFonts w:ascii="Arial" w:eastAsia="Calibri" w:hAnsi="Arial" w:cs="Arial"/>
          <w:sz w:val="20"/>
          <w:szCs w:val="20"/>
          <w:lang w:eastAsia="en-US"/>
        </w:rPr>
        <w:t>36.749,46</w:t>
      </w:r>
      <w:r w:rsidR="00396029" w:rsidRPr="003A2F86">
        <w:rPr>
          <w:rFonts w:ascii="Arial" w:eastAsia="Calibri" w:hAnsi="Arial" w:cs="Arial"/>
          <w:sz w:val="20"/>
          <w:szCs w:val="20"/>
          <w:lang w:eastAsia="en-US"/>
        </w:rPr>
        <w:t xml:space="preserve"> €</w:t>
      </w:r>
      <w:r w:rsidRPr="003A2F86">
        <w:rPr>
          <w:rFonts w:ascii="Arial" w:eastAsia="Calibri" w:hAnsi="Arial" w:cs="Arial"/>
          <w:sz w:val="20"/>
          <w:szCs w:val="20"/>
          <w:lang w:eastAsia="en-US"/>
        </w:rPr>
        <w:t xml:space="preserve"> (odnose se na rashode za bruto plaću, doprinose na plaću), </w:t>
      </w:r>
      <w:r w:rsidR="00396029" w:rsidRPr="003A2F86">
        <w:rPr>
          <w:rFonts w:ascii="Arial" w:eastAsia="Calibri" w:hAnsi="Arial" w:cs="Arial"/>
          <w:sz w:val="20"/>
          <w:szCs w:val="20"/>
          <w:lang w:eastAsia="en-US"/>
        </w:rPr>
        <w:t>te naknade troškova (32)</w:t>
      </w:r>
      <w:r w:rsidRPr="003A2F86">
        <w:rPr>
          <w:rFonts w:ascii="Arial" w:eastAsia="Calibri" w:hAnsi="Arial" w:cs="Arial"/>
          <w:sz w:val="20"/>
          <w:szCs w:val="20"/>
          <w:lang w:eastAsia="en-US"/>
        </w:rPr>
        <w:t xml:space="preserve"> </w:t>
      </w:r>
      <w:r w:rsidR="00396029" w:rsidRPr="003A2F86">
        <w:rPr>
          <w:rFonts w:ascii="Arial" w:eastAsia="Calibri" w:hAnsi="Arial" w:cs="Arial"/>
          <w:sz w:val="20"/>
          <w:szCs w:val="20"/>
          <w:lang w:eastAsia="en-US"/>
        </w:rPr>
        <w:t xml:space="preserve">u iznosu </w:t>
      </w:r>
      <w:r w:rsidR="00E95253">
        <w:rPr>
          <w:rFonts w:ascii="Arial" w:eastAsia="Calibri" w:hAnsi="Arial" w:cs="Arial"/>
          <w:sz w:val="20"/>
          <w:szCs w:val="20"/>
          <w:lang w:eastAsia="en-US"/>
        </w:rPr>
        <w:t>2.022,77</w:t>
      </w:r>
      <w:r w:rsidR="00396029" w:rsidRPr="003A2F86">
        <w:rPr>
          <w:rFonts w:ascii="Arial" w:eastAsia="Calibri" w:hAnsi="Arial" w:cs="Arial"/>
          <w:sz w:val="20"/>
          <w:szCs w:val="20"/>
          <w:lang w:eastAsia="en-US"/>
        </w:rPr>
        <w:t xml:space="preserve"> € (službena putovanja</w:t>
      </w:r>
      <w:r w:rsidRPr="003A2F86">
        <w:rPr>
          <w:rFonts w:ascii="Arial" w:eastAsia="Calibri" w:hAnsi="Arial" w:cs="Arial"/>
          <w:sz w:val="20"/>
          <w:szCs w:val="20"/>
          <w:lang w:eastAsia="en-US"/>
        </w:rPr>
        <w:t>),</w:t>
      </w:r>
    </w:p>
    <w:p w14:paraId="6EF01434" w14:textId="23BBA908" w:rsidR="007B75F4" w:rsidRPr="003A2F86" w:rsidRDefault="00396029">
      <w:pPr>
        <w:numPr>
          <w:ilvl w:val="0"/>
          <w:numId w:val="31"/>
        </w:numPr>
        <w:spacing w:after="0" w:line="240" w:lineRule="auto"/>
        <w:contextualSpacing/>
        <w:jc w:val="both"/>
        <w:rPr>
          <w:rFonts w:ascii="Arial" w:eastAsia="Calibri" w:hAnsi="Arial" w:cs="Arial"/>
          <w:sz w:val="20"/>
          <w:szCs w:val="20"/>
          <w:u w:val="single"/>
          <w:lang w:eastAsia="en-US"/>
        </w:rPr>
      </w:pPr>
      <w:r w:rsidRPr="003A2F86">
        <w:rPr>
          <w:rFonts w:ascii="Arial" w:eastAsia="Calibri" w:hAnsi="Arial" w:cs="Arial"/>
          <w:sz w:val="20"/>
          <w:szCs w:val="20"/>
          <w:lang w:eastAsia="en-US"/>
        </w:rPr>
        <w:t xml:space="preserve">osnovne aktivnosti općinskog vijeća u iznosu </w:t>
      </w:r>
      <w:r w:rsidR="00E95253">
        <w:rPr>
          <w:rFonts w:ascii="Arial" w:eastAsia="Calibri" w:hAnsi="Arial" w:cs="Arial"/>
          <w:sz w:val="20"/>
          <w:szCs w:val="20"/>
          <w:lang w:eastAsia="en-US"/>
        </w:rPr>
        <w:t>61.569</w:t>
      </w:r>
      <w:r w:rsidRPr="003A2F86">
        <w:rPr>
          <w:rFonts w:ascii="Arial" w:eastAsia="Calibri" w:hAnsi="Arial" w:cs="Arial"/>
          <w:sz w:val="20"/>
          <w:szCs w:val="20"/>
          <w:lang w:eastAsia="en-US"/>
        </w:rPr>
        <w:t xml:space="preserve"> € (naknade za rad predstavničkog tijela </w:t>
      </w:r>
      <w:r w:rsidR="00E95253">
        <w:rPr>
          <w:rFonts w:ascii="Arial" w:eastAsia="Calibri" w:hAnsi="Arial" w:cs="Arial"/>
          <w:sz w:val="20"/>
          <w:szCs w:val="20"/>
          <w:lang w:eastAsia="en-US"/>
        </w:rPr>
        <w:t>3.205,03</w:t>
      </w:r>
      <w:r w:rsidRPr="003A2F86">
        <w:rPr>
          <w:rFonts w:ascii="Arial" w:eastAsia="Calibri" w:hAnsi="Arial" w:cs="Arial"/>
          <w:sz w:val="20"/>
          <w:szCs w:val="20"/>
          <w:lang w:eastAsia="en-US"/>
        </w:rPr>
        <w:t xml:space="preserve"> €, redovno financiranje političkih stranaka </w:t>
      </w:r>
      <w:r w:rsidR="00E95253">
        <w:rPr>
          <w:rFonts w:ascii="Arial" w:eastAsia="Calibri" w:hAnsi="Arial" w:cs="Arial"/>
          <w:sz w:val="20"/>
          <w:szCs w:val="20"/>
          <w:lang w:eastAsia="en-US"/>
        </w:rPr>
        <w:t>1.169,99</w:t>
      </w:r>
      <w:r w:rsidRPr="003A2F86">
        <w:rPr>
          <w:rFonts w:ascii="Arial" w:eastAsia="Calibri" w:hAnsi="Arial" w:cs="Arial"/>
          <w:sz w:val="20"/>
          <w:szCs w:val="20"/>
          <w:lang w:eastAsia="en-US"/>
        </w:rPr>
        <w:t xml:space="preserve"> € i priprema materijala za sjednice Općinskog vijeća</w:t>
      </w:r>
      <w:r w:rsidR="00D63A51" w:rsidRPr="003A2F86">
        <w:rPr>
          <w:rFonts w:ascii="Arial" w:eastAsia="Calibri" w:hAnsi="Arial" w:cs="Arial"/>
          <w:sz w:val="20"/>
          <w:szCs w:val="20"/>
          <w:lang w:eastAsia="en-US"/>
        </w:rPr>
        <w:t>,</w:t>
      </w:r>
      <w:r w:rsidRPr="003A2F86">
        <w:rPr>
          <w:rFonts w:ascii="Arial" w:eastAsia="Calibri" w:hAnsi="Arial" w:cs="Arial"/>
          <w:sz w:val="20"/>
          <w:szCs w:val="20"/>
          <w:lang w:eastAsia="en-US"/>
        </w:rPr>
        <w:t xml:space="preserve"> objavu službenog glasnika </w:t>
      </w:r>
      <w:r w:rsidR="00E95253">
        <w:rPr>
          <w:rFonts w:ascii="Arial" w:eastAsia="Calibri" w:hAnsi="Arial" w:cs="Arial"/>
          <w:sz w:val="20"/>
          <w:szCs w:val="20"/>
          <w:lang w:eastAsia="en-US"/>
        </w:rPr>
        <w:t>1.076,68</w:t>
      </w:r>
      <w:r w:rsidRPr="003A2F86">
        <w:rPr>
          <w:rFonts w:ascii="Arial" w:eastAsia="Calibri" w:hAnsi="Arial" w:cs="Arial"/>
          <w:sz w:val="20"/>
          <w:szCs w:val="20"/>
          <w:lang w:eastAsia="en-US"/>
        </w:rPr>
        <w:t xml:space="preserve"> €</w:t>
      </w:r>
      <w:r w:rsidR="00D63A51" w:rsidRPr="003A2F86">
        <w:rPr>
          <w:rFonts w:ascii="Arial" w:eastAsia="Calibri" w:hAnsi="Arial" w:cs="Arial"/>
          <w:sz w:val="20"/>
          <w:szCs w:val="20"/>
          <w:lang w:eastAsia="en-US"/>
        </w:rPr>
        <w:t xml:space="preserve">, nagrade za Dan Općine </w:t>
      </w:r>
      <w:r w:rsidR="00E95253">
        <w:rPr>
          <w:rFonts w:ascii="Arial" w:eastAsia="Calibri" w:hAnsi="Arial" w:cs="Arial"/>
          <w:sz w:val="20"/>
          <w:szCs w:val="20"/>
          <w:lang w:eastAsia="en-US"/>
        </w:rPr>
        <w:t>0</w:t>
      </w:r>
      <w:r w:rsidR="00D63A51" w:rsidRPr="003A2F86">
        <w:rPr>
          <w:rFonts w:ascii="Arial" w:eastAsia="Calibri" w:hAnsi="Arial" w:cs="Arial"/>
          <w:sz w:val="20"/>
          <w:szCs w:val="20"/>
          <w:lang w:eastAsia="en-US"/>
        </w:rPr>
        <w:t xml:space="preserve"> €</w:t>
      </w:r>
      <w:r w:rsidR="00E95253">
        <w:rPr>
          <w:rFonts w:ascii="Arial" w:eastAsia="Calibri" w:hAnsi="Arial" w:cs="Arial"/>
          <w:sz w:val="20"/>
          <w:szCs w:val="20"/>
          <w:lang w:eastAsia="en-US"/>
        </w:rPr>
        <w:t>, te troškovi provedbe lokalnih izbora 56.117,90 €</w:t>
      </w:r>
      <w:r w:rsidR="00D63A51" w:rsidRPr="003A2F86">
        <w:rPr>
          <w:rFonts w:ascii="Arial" w:eastAsia="Calibri" w:hAnsi="Arial" w:cs="Arial"/>
          <w:sz w:val="20"/>
          <w:szCs w:val="20"/>
          <w:lang w:eastAsia="en-US"/>
        </w:rPr>
        <w:t>)</w:t>
      </w:r>
      <w:r w:rsidRPr="003A2F86">
        <w:rPr>
          <w:rFonts w:ascii="Arial" w:eastAsia="Calibri" w:hAnsi="Arial" w:cs="Arial"/>
          <w:sz w:val="20"/>
          <w:szCs w:val="20"/>
          <w:lang w:eastAsia="en-US"/>
        </w:rPr>
        <w:t xml:space="preserve">. Redovno financiranje rada političkih stranaka se iskazuje putem računa tekućih donacija. </w:t>
      </w:r>
    </w:p>
    <w:p w14:paraId="2EB9F5C7" w14:textId="77777777" w:rsidR="00396029" w:rsidRPr="003A2F86" w:rsidRDefault="00396029" w:rsidP="00396029">
      <w:pPr>
        <w:spacing w:after="0" w:line="240" w:lineRule="auto"/>
        <w:ind w:left="1068"/>
        <w:contextualSpacing/>
        <w:jc w:val="both"/>
        <w:rPr>
          <w:rFonts w:ascii="Arial" w:eastAsia="Calibri" w:hAnsi="Arial" w:cs="Arial"/>
          <w:sz w:val="20"/>
          <w:szCs w:val="20"/>
          <w:u w:val="single"/>
          <w:lang w:eastAsia="en-US"/>
        </w:rPr>
      </w:pPr>
    </w:p>
    <w:p w14:paraId="0B440C06" w14:textId="77777777" w:rsidR="007B75F4" w:rsidRPr="003A2F86" w:rsidRDefault="007B75F4" w:rsidP="007B75F4">
      <w:pPr>
        <w:spacing w:after="0" w:line="240" w:lineRule="auto"/>
        <w:ind w:left="1068"/>
        <w:contextualSpacing/>
        <w:jc w:val="both"/>
        <w:rPr>
          <w:rFonts w:ascii="Arial" w:eastAsia="Calibri" w:hAnsi="Arial" w:cs="Arial"/>
          <w:sz w:val="20"/>
          <w:szCs w:val="20"/>
          <w:u w:val="single"/>
          <w:lang w:eastAsia="en-US"/>
        </w:rPr>
      </w:pPr>
      <w:r w:rsidRPr="003A2F86">
        <w:rPr>
          <w:rFonts w:ascii="Arial" w:eastAsia="Calibri" w:hAnsi="Arial" w:cs="Arial"/>
          <w:sz w:val="20"/>
          <w:szCs w:val="20"/>
          <w:u w:val="single"/>
          <w:lang w:eastAsia="en-US"/>
        </w:rPr>
        <w:t>Manjak prihoda:</w:t>
      </w:r>
    </w:p>
    <w:p w14:paraId="4C8E02D8" w14:textId="46E15342" w:rsidR="007B75F4" w:rsidRPr="003A2F86" w:rsidRDefault="007B75F4">
      <w:pPr>
        <w:numPr>
          <w:ilvl w:val="0"/>
          <w:numId w:val="9"/>
        </w:numPr>
        <w:spacing w:after="0" w:line="240" w:lineRule="auto"/>
        <w:contextualSpacing/>
        <w:jc w:val="both"/>
        <w:rPr>
          <w:rFonts w:ascii="Arial" w:eastAsia="Calibri" w:hAnsi="Arial" w:cs="Arial"/>
          <w:sz w:val="20"/>
          <w:szCs w:val="20"/>
          <w:lang w:eastAsia="en-US"/>
        </w:rPr>
      </w:pPr>
      <w:r w:rsidRPr="003A2F86">
        <w:rPr>
          <w:rFonts w:ascii="Arial" w:eastAsia="Calibri" w:hAnsi="Arial" w:cs="Arial"/>
          <w:sz w:val="20"/>
          <w:szCs w:val="20"/>
          <w:lang w:eastAsia="en-US"/>
        </w:rPr>
        <w:t xml:space="preserve">u financijskom planu ovog razdjela manjak prihoda </w:t>
      </w:r>
      <w:r w:rsidR="004B1380" w:rsidRPr="003A2F86">
        <w:rPr>
          <w:rFonts w:ascii="Arial" w:eastAsia="Calibri" w:hAnsi="Arial" w:cs="Arial"/>
          <w:sz w:val="20"/>
          <w:szCs w:val="20"/>
          <w:lang w:eastAsia="en-US"/>
        </w:rPr>
        <w:t>se</w:t>
      </w:r>
      <w:r w:rsidRPr="003A2F86">
        <w:rPr>
          <w:rFonts w:ascii="Arial" w:eastAsia="Calibri" w:hAnsi="Arial" w:cs="Arial"/>
          <w:sz w:val="20"/>
          <w:szCs w:val="20"/>
          <w:lang w:eastAsia="en-US"/>
        </w:rPr>
        <w:t xml:space="preserve"> podmiruje iz izvora opći prihodi i primici </w:t>
      </w:r>
      <w:r w:rsidR="004B1380" w:rsidRPr="003A2F86">
        <w:rPr>
          <w:rFonts w:ascii="Arial" w:eastAsia="Calibri" w:hAnsi="Arial" w:cs="Arial"/>
          <w:sz w:val="20"/>
          <w:szCs w:val="20"/>
          <w:lang w:eastAsia="en-US"/>
        </w:rPr>
        <w:t>i</w:t>
      </w:r>
      <w:r w:rsidRPr="003A2F86">
        <w:rPr>
          <w:rFonts w:ascii="Arial" w:eastAsia="Calibri" w:hAnsi="Arial" w:cs="Arial"/>
          <w:sz w:val="20"/>
          <w:szCs w:val="20"/>
          <w:lang w:eastAsia="en-US"/>
        </w:rPr>
        <w:t xml:space="preserve"> u financijskom planu razdjela iskazuje kao prihod na 671 čime dolazi do uravnoteženosti financijskog plana.</w:t>
      </w:r>
    </w:p>
    <w:p w14:paraId="7F0FE8F0" w14:textId="77777777" w:rsidR="007B75F4" w:rsidRPr="003A2F86" w:rsidRDefault="007B75F4" w:rsidP="007B75F4">
      <w:pPr>
        <w:spacing w:after="0" w:line="240" w:lineRule="auto"/>
        <w:jc w:val="both"/>
        <w:rPr>
          <w:rFonts w:ascii="Times New Roman" w:eastAsia="Times New Roman" w:hAnsi="Times New Roman" w:cs="Times New Roman"/>
          <w:sz w:val="20"/>
          <w:szCs w:val="20"/>
        </w:rPr>
      </w:pPr>
    </w:p>
    <w:p w14:paraId="3466EB3A" w14:textId="77777777" w:rsidR="007B75F4" w:rsidRDefault="007B75F4" w:rsidP="007B75F4">
      <w:pPr>
        <w:rPr>
          <w:rFonts w:ascii="Arial" w:eastAsia="Calibri" w:hAnsi="Arial" w:cs="Arial"/>
        </w:rPr>
      </w:pPr>
    </w:p>
    <w:p w14:paraId="78A8C509" w14:textId="77777777" w:rsidR="00C53F82" w:rsidRDefault="00C53F82" w:rsidP="007B75F4">
      <w:pPr>
        <w:rPr>
          <w:rFonts w:ascii="Arial" w:eastAsia="Calibri" w:hAnsi="Arial" w:cs="Arial"/>
        </w:rPr>
      </w:pPr>
    </w:p>
    <w:p w14:paraId="5F514ECB" w14:textId="77777777" w:rsidR="00C53F82" w:rsidRDefault="00C53F82" w:rsidP="007B75F4">
      <w:pPr>
        <w:rPr>
          <w:rFonts w:ascii="Arial" w:eastAsia="Calibri" w:hAnsi="Arial" w:cs="Arial"/>
        </w:rPr>
      </w:pPr>
    </w:p>
    <w:p w14:paraId="7596DA63" w14:textId="77777777" w:rsidR="00C53F82" w:rsidRPr="003A2F86" w:rsidRDefault="00C53F82" w:rsidP="007B75F4">
      <w:pPr>
        <w:rPr>
          <w:rFonts w:ascii="Arial" w:eastAsia="Calibri" w:hAnsi="Arial" w:cs="Arial"/>
        </w:rPr>
      </w:pPr>
    </w:p>
    <w:p w14:paraId="15B61065" w14:textId="77777777" w:rsidR="007B75F4" w:rsidRPr="003A2F86" w:rsidRDefault="007B75F4" w:rsidP="007B75F4">
      <w:pPr>
        <w:rPr>
          <w:rFonts w:ascii="Arial" w:eastAsia="Calibri" w:hAnsi="Arial" w:cs="Arial"/>
        </w:rPr>
      </w:pPr>
    </w:p>
    <w:p w14:paraId="7C408B15" w14:textId="77777777" w:rsidR="007B75F4" w:rsidRDefault="007B75F4" w:rsidP="007B75F4">
      <w:pPr>
        <w:rPr>
          <w:rFonts w:ascii="Arial" w:eastAsia="Calibri" w:hAnsi="Arial" w:cs="Arial"/>
        </w:rPr>
      </w:pPr>
    </w:p>
    <w:p w14:paraId="17AEF03C" w14:textId="77777777" w:rsidR="00AF1828" w:rsidRPr="003A2F86" w:rsidRDefault="00AF1828" w:rsidP="007B75F4">
      <w:pPr>
        <w:rPr>
          <w:rFonts w:ascii="Arial" w:eastAsia="Calibri" w:hAnsi="Arial" w:cs="Arial"/>
        </w:rPr>
      </w:pPr>
    </w:p>
    <w:p w14:paraId="3EDD1C40" w14:textId="77777777" w:rsidR="007B75F4" w:rsidRDefault="007B75F4" w:rsidP="007B75F4">
      <w:pPr>
        <w:rPr>
          <w:rFonts w:ascii="Arial" w:eastAsia="Calibri" w:hAnsi="Arial" w:cs="Arial"/>
        </w:rPr>
      </w:pPr>
    </w:p>
    <w:p w14:paraId="32DB6415" w14:textId="77777777" w:rsidR="00E95253" w:rsidRDefault="00E95253" w:rsidP="007B75F4">
      <w:pPr>
        <w:rPr>
          <w:rFonts w:ascii="Arial" w:eastAsia="Calibri" w:hAnsi="Arial" w:cs="Arial"/>
        </w:rPr>
      </w:pPr>
    </w:p>
    <w:p w14:paraId="506590B7" w14:textId="77777777" w:rsidR="00E95253" w:rsidRPr="003A2F86" w:rsidRDefault="00E95253" w:rsidP="007B75F4">
      <w:pPr>
        <w:rPr>
          <w:rFonts w:ascii="Arial" w:eastAsia="Calibri" w:hAnsi="Arial" w:cs="Arial"/>
        </w:rPr>
      </w:pPr>
    </w:p>
    <w:p w14:paraId="40DD5437" w14:textId="77777777" w:rsidR="007B75F4" w:rsidRPr="003A2F86" w:rsidRDefault="007B75F4" w:rsidP="007B75F4">
      <w:pPr>
        <w:rPr>
          <w:rFonts w:ascii="Arial" w:eastAsia="Calibri" w:hAnsi="Arial" w:cs="Arial"/>
        </w:rPr>
      </w:pPr>
    </w:p>
    <w:p w14:paraId="1161579D" w14:textId="77777777" w:rsidR="007B75F4" w:rsidRPr="003A2F86" w:rsidRDefault="007B75F4" w:rsidP="007B75F4">
      <w:pPr>
        <w:rPr>
          <w:rFonts w:ascii="Arial" w:eastAsia="Calibri" w:hAnsi="Arial" w:cs="Arial"/>
        </w:rPr>
      </w:pPr>
    </w:p>
    <w:p w14:paraId="7EB0F638" w14:textId="77777777" w:rsidR="007B75F4" w:rsidRPr="003A2F86" w:rsidRDefault="007B75F4" w:rsidP="007B75F4">
      <w:pPr>
        <w:rPr>
          <w:rFonts w:ascii="Arial" w:eastAsia="Calibri" w:hAnsi="Arial" w:cs="Arial"/>
        </w:rPr>
      </w:pPr>
    </w:p>
    <w:p w14:paraId="0B7A70E4" w14:textId="3B0B475B" w:rsidR="00891119" w:rsidRPr="003A2F86" w:rsidRDefault="00345277" w:rsidP="00375FAF">
      <w:pPr>
        <w:pStyle w:val="Naslov3"/>
        <w:rPr>
          <w:rFonts w:ascii="Arial" w:eastAsia="Calibri" w:hAnsi="Arial" w:cs="Arial"/>
          <w:sz w:val="22"/>
          <w:szCs w:val="22"/>
          <w:lang w:val="hr-HR"/>
        </w:rPr>
      </w:pPr>
      <w:bookmarkStart w:id="312" w:name="_Toc435014654"/>
      <w:bookmarkStart w:id="313" w:name="_Toc207707463"/>
      <w:r w:rsidRPr="003A2F86">
        <w:rPr>
          <w:rFonts w:ascii="Arial" w:eastAsia="Calibri" w:hAnsi="Arial" w:cs="Arial"/>
          <w:sz w:val="22"/>
          <w:szCs w:val="22"/>
          <w:lang w:val="hr-HR"/>
        </w:rPr>
        <w:lastRenderedPageBreak/>
        <w:t>3.</w:t>
      </w:r>
      <w:r w:rsidR="00375FAF" w:rsidRPr="003A2F86">
        <w:rPr>
          <w:rFonts w:ascii="Arial" w:eastAsia="Calibri" w:hAnsi="Arial" w:cs="Arial"/>
          <w:sz w:val="22"/>
          <w:szCs w:val="22"/>
          <w:lang w:val="hr-HR"/>
        </w:rPr>
        <w:t>3</w:t>
      </w:r>
      <w:r w:rsidRPr="003A2F86">
        <w:rPr>
          <w:rFonts w:ascii="Arial" w:eastAsia="Calibri" w:hAnsi="Arial" w:cs="Arial"/>
          <w:sz w:val="22"/>
          <w:szCs w:val="22"/>
          <w:lang w:val="hr-HR"/>
        </w:rPr>
        <w:t>.2</w:t>
      </w:r>
      <w:r w:rsidR="00891119" w:rsidRPr="003A2F86">
        <w:rPr>
          <w:rFonts w:ascii="Arial" w:eastAsia="Calibri" w:hAnsi="Arial" w:cs="Arial"/>
          <w:sz w:val="22"/>
          <w:szCs w:val="22"/>
          <w:lang w:val="hr-HR"/>
        </w:rPr>
        <w:t>.</w:t>
      </w:r>
      <w:r w:rsidR="00891119" w:rsidRPr="003A2F86">
        <w:rPr>
          <w:rFonts w:ascii="Arial" w:eastAsia="Calibri" w:hAnsi="Arial" w:cs="Arial"/>
          <w:sz w:val="22"/>
          <w:szCs w:val="22"/>
          <w:lang w:val="hr-HR"/>
        </w:rPr>
        <w:tab/>
        <w:t xml:space="preserve">RAZDJEL: (020) UPRAVNI ODJEL ZA OPĆE POSLOVE, MJESNU SAMOUPRAVU I DRUŠTVENE </w:t>
      </w:r>
      <w:bookmarkEnd w:id="312"/>
      <w:r w:rsidR="00646600" w:rsidRPr="003A2F86">
        <w:rPr>
          <w:rFonts w:ascii="Arial" w:eastAsia="Calibri" w:hAnsi="Arial" w:cs="Arial"/>
          <w:sz w:val="22"/>
          <w:szCs w:val="22"/>
          <w:lang w:val="hr-HR"/>
        </w:rPr>
        <w:t>DJELATNOSTI</w:t>
      </w:r>
      <w:bookmarkEnd w:id="313"/>
    </w:p>
    <w:p w14:paraId="7349A262" w14:textId="77777777" w:rsidR="00891119" w:rsidRPr="003A2F86" w:rsidRDefault="00891119" w:rsidP="00891119">
      <w:pPr>
        <w:spacing w:after="0" w:line="240" w:lineRule="auto"/>
        <w:rPr>
          <w:rFonts w:ascii="Times New Roman" w:eastAsia="Calibri" w:hAnsi="Times New Roman" w:cs="Arial"/>
          <w:sz w:val="20"/>
          <w:szCs w:val="20"/>
          <w:lang w:eastAsia="en-US"/>
        </w:rPr>
      </w:pPr>
    </w:p>
    <w:p w14:paraId="6AE77559" w14:textId="238628BC" w:rsidR="00891119" w:rsidRPr="003A2F86" w:rsidRDefault="00891119" w:rsidP="00891119">
      <w:pPr>
        <w:spacing w:after="0" w:line="240" w:lineRule="auto"/>
        <w:jc w:val="both"/>
        <w:rPr>
          <w:rFonts w:ascii="Arial" w:eastAsia="Times New Roman" w:hAnsi="Arial" w:cs="Arial"/>
          <w:iCs/>
          <w:sz w:val="20"/>
          <w:szCs w:val="20"/>
          <w:lang w:eastAsia="en-US"/>
        </w:rPr>
      </w:pPr>
      <w:r w:rsidRPr="003A2F86">
        <w:rPr>
          <w:rFonts w:ascii="Arial" w:eastAsia="Times New Roman" w:hAnsi="Arial" w:cs="Arial"/>
          <w:iCs/>
          <w:sz w:val="20"/>
          <w:szCs w:val="20"/>
          <w:lang w:eastAsia="en-US"/>
        </w:rPr>
        <w:t xml:space="preserve">Rashodi i izdaci razdjela 020 (Upravni odjel za opće poslove, mjesnu samoupravu i društvene djelatnosti) odnose se na rashode podijeljene u </w:t>
      </w:r>
      <w:r w:rsidR="00F07891" w:rsidRPr="003A2F86">
        <w:rPr>
          <w:rFonts w:ascii="Arial" w:eastAsia="Times New Roman" w:hAnsi="Arial" w:cs="Arial"/>
          <w:iCs/>
          <w:sz w:val="20"/>
          <w:szCs w:val="20"/>
          <w:lang w:eastAsia="en-US"/>
        </w:rPr>
        <w:t>četiri</w:t>
      </w:r>
      <w:r w:rsidRPr="003A2F86">
        <w:rPr>
          <w:rFonts w:ascii="Arial" w:eastAsia="Times New Roman" w:hAnsi="Arial" w:cs="Arial"/>
          <w:iCs/>
          <w:sz w:val="20"/>
          <w:szCs w:val="20"/>
          <w:lang w:eastAsia="en-US"/>
        </w:rPr>
        <w:t xml:space="preserve"> glav</w:t>
      </w:r>
      <w:r w:rsidR="00F07891" w:rsidRPr="003A2F86">
        <w:rPr>
          <w:rFonts w:ascii="Arial" w:eastAsia="Times New Roman" w:hAnsi="Arial" w:cs="Arial"/>
          <w:iCs/>
          <w:sz w:val="20"/>
          <w:szCs w:val="20"/>
          <w:lang w:eastAsia="en-US"/>
        </w:rPr>
        <w:t>e</w:t>
      </w:r>
      <w:r w:rsidRPr="003A2F86">
        <w:rPr>
          <w:rFonts w:ascii="Arial" w:eastAsia="Times New Roman" w:hAnsi="Arial" w:cs="Arial"/>
          <w:iCs/>
          <w:sz w:val="20"/>
          <w:szCs w:val="20"/>
          <w:lang w:eastAsia="en-US"/>
        </w:rPr>
        <w:t>, a svaka glava se sastoji od programa podijeljenih u aktivnosti i projekte</w:t>
      </w:r>
      <w:r w:rsidR="00D46C70" w:rsidRPr="003A2F86">
        <w:rPr>
          <w:rFonts w:ascii="Arial" w:eastAsia="Times New Roman" w:hAnsi="Arial" w:cs="Arial"/>
          <w:iCs/>
          <w:sz w:val="20"/>
          <w:szCs w:val="20"/>
          <w:lang w:eastAsia="en-US"/>
        </w:rPr>
        <w:t>.</w:t>
      </w:r>
    </w:p>
    <w:p w14:paraId="6CD5697E" w14:textId="77777777" w:rsidR="00055611" w:rsidRPr="003A2F86" w:rsidRDefault="00055611" w:rsidP="00891119">
      <w:pPr>
        <w:spacing w:after="0" w:line="240" w:lineRule="auto"/>
        <w:jc w:val="both"/>
        <w:rPr>
          <w:rFonts w:ascii="Arial" w:eastAsia="Times New Roman" w:hAnsi="Arial" w:cs="Arial"/>
          <w:iCs/>
          <w:sz w:val="20"/>
          <w:szCs w:val="20"/>
          <w:lang w:eastAsia="en-US"/>
        </w:rPr>
      </w:pPr>
    </w:p>
    <w:p w14:paraId="043F73AB" w14:textId="30FD690E" w:rsidR="00A93FB9" w:rsidRDefault="00055CA1" w:rsidP="006160AA">
      <w:pPr>
        <w:spacing w:after="0" w:line="240" w:lineRule="auto"/>
        <w:jc w:val="center"/>
        <w:rPr>
          <w:lang w:eastAsia="en-US"/>
        </w:rPr>
      </w:pPr>
      <w:bookmarkStart w:id="314" w:name="_Toc435014655"/>
      <w:r w:rsidRPr="00055CA1">
        <w:rPr>
          <w:noProof/>
        </w:rPr>
        <w:drawing>
          <wp:inline distT="0" distB="0" distL="0" distR="0" wp14:anchorId="49B8B67E" wp14:editId="192C8620">
            <wp:extent cx="9251950" cy="2818130"/>
            <wp:effectExtent l="0" t="0" r="6350" b="1270"/>
            <wp:docPr id="37770918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251950" cy="2818130"/>
                    </a:xfrm>
                    <a:prstGeom prst="rect">
                      <a:avLst/>
                    </a:prstGeom>
                    <a:noFill/>
                    <a:ln>
                      <a:noFill/>
                    </a:ln>
                  </pic:spPr>
                </pic:pic>
              </a:graphicData>
            </a:graphic>
          </wp:inline>
        </w:drawing>
      </w:r>
    </w:p>
    <w:p w14:paraId="28A4538A" w14:textId="77777777" w:rsidR="00055CA1" w:rsidRPr="003A2F86" w:rsidRDefault="00055CA1" w:rsidP="006160AA">
      <w:pPr>
        <w:spacing w:after="0" w:line="240" w:lineRule="auto"/>
        <w:jc w:val="center"/>
        <w:rPr>
          <w:lang w:eastAsia="en-US"/>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29"/>
        <w:gridCol w:w="13123"/>
      </w:tblGrid>
      <w:tr w:rsidR="006160AA" w:rsidRPr="00F43E37" w14:paraId="07C9E27E" w14:textId="77777777" w:rsidTr="00E14E80">
        <w:tc>
          <w:tcPr>
            <w:tcW w:w="1329" w:type="dxa"/>
            <w:vAlign w:val="center"/>
          </w:tcPr>
          <w:p w14:paraId="3C0A9B59" w14:textId="77777777" w:rsidR="00E14E80" w:rsidRPr="00F43E37" w:rsidRDefault="00E14E80" w:rsidP="00055CA1">
            <w:pPr>
              <w:spacing w:after="0" w:line="240" w:lineRule="auto"/>
              <w:jc w:val="both"/>
              <w:rPr>
                <w:rFonts w:ascii="Arial" w:eastAsia="Calibri" w:hAnsi="Arial" w:cs="Arial"/>
                <w:b/>
                <w:bCs/>
                <w:sz w:val="20"/>
                <w:szCs w:val="20"/>
              </w:rPr>
            </w:pPr>
            <w:r w:rsidRPr="00F43E37">
              <w:rPr>
                <w:rFonts w:ascii="Arial" w:eastAsia="Calibri" w:hAnsi="Arial" w:cs="Arial"/>
                <w:b/>
                <w:bCs/>
                <w:sz w:val="20"/>
                <w:szCs w:val="20"/>
              </w:rPr>
              <w:t>Sažetak djelokruga rada:</w:t>
            </w:r>
          </w:p>
        </w:tc>
        <w:tc>
          <w:tcPr>
            <w:tcW w:w="13130" w:type="dxa"/>
            <w:vAlign w:val="bottom"/>
          </w:tcPr>
          <w:p w14:paraId="7DF6708E" w14:textId="77777777" w:rsidR="00E14E80" w:rsidRPr="00F43E37" w:rsidRDefault="00E14E80" w:rsidP="00055CA1">
            <w:pPr>
              <w:spacing w:after="0" w:line="240" w:lineRule="auto"/>
              <w:jc w:val="both"/>
              <w:rPr>
                <w:rFonts w:ascii="Arial" w:eastAsia="Calibri" w:hAnsi="Arial" w:cs="Arial"/>
                <w:sz w:val="20"/>
                <w:szCs w:val="20"/>
              </w:rPr>
            </w:pPr>
            <w:r w:rsidRPr="00F43E37">
              <w:rPr>
                <w:rFonts w:ascii="Arial" w:eastAsia="Calibri" w:hAnsi="Arial" w:cs="Arial"/>
                <w:sz w:val="20"/>
                <w:szCs w:val="20"/>
              </w:rPr>
              <w:t>Upravni odjel za opće poslove, mjesnu samoupravu i društvene djelatnosti upravlja i predstavlja Odjel, organizira, usmjerava i usklađuje rad Odjela, brine o zakonitosti rada i osigurava uredno i pravovremeno izvršavanje poslova i zadaća Odjela, redovito prati propise, stanje, probleme i pitanja iz svoga djelokruga, te Načelniku, Općinskom vijeću i drugim nadležnim tijelima predlaže mjere, pravna sredstva i postupke za poboljšanje stanja u svom djelokrugu, koordinira suradnju s ostalim odjelima, obavlja poslove upravljanja ljudskim potencijalom, priprema i organizira rad Općinskog vijeća i njegovih radnih tijela, te u tom smislu koordinira rad službi drugih upravnih tijela, obavlja stručne, upravne i tehničke poslove u pripremi sjednica Općinskog vijeća, u dogovoru s predsjednikom Općinskog vijeća organizira sjednice, sudjeluje u izradbi nacrta prijedloga općih i pojedinačnih akata koje donosi Općinsko vijeće i njegova radna tijela, organizira davanje odgovora na vijećnička pitanja, uredno i pregledno sređuje i čuva te dostavlja nadležnim tijelima sve akte koji su doneseni na sjednicama Općinskog vijeća. Nadalje, brine o unapređenju rada i o standardu u djelatnostima predškolskog odgoja, socijalne skrbi, kulture, tehničke kulture, sporta i rekreacije, te o pružanju pomoći socijalno ugroženim osobama i obiteljima, kao i o poslovima odnosa s javnošću.</w:t>
            </w:r>
          </w:p>
          <w:p w14:paraId="724905DF" w14:textId="77777777" w:rsidR="00E14E80" w:rsidRPr="00F43E37" w:rsidRDefault="00E14E80" w:rsidP="00055CA1">
            <w:pPr>
              <w:spacing w:after="0" w:line="240" w:lineRule="auto"/>
              <w:jc w:val="both"/>
              <w:rPr>
                <w:rFonts w:ascii="Arial" w:eastAsia="Calibri" w:hAnsi="Arial" w:cs="Arial"/>
                <w:sz w:val="20"/>
                <w:szCs w:val="20"/>
              </w:rPr>
            </w:pPr>
            <w:r w:rsidRPr="00F43E37">
              <w:rPr>
                <w:rFonts w:ascii="Arial" w:eastAsia="Calibri" w:hAnsi="Arial" w:cs="Arial"/>
                <w:sz w:val="20"/>
                <w:szCs w:val="20"/>
              </w:rPr>
              <w:t xml:space="preserve">Vodi brigu o radu i poslovanju sportskih, kulturnih, socijalno zdravstvenih i drugih udruga (udruge hrvatskih branitelja iz Domovinskog rada, udruge za rad s mladima i sve druge udruge građana u vezi javnih potreba od interesa za Općinu) u dijelu koji se financira iz proračuna, koordinira obavljanje poslova koji obuhvaćaju brigu o djeci, predškolski odgoj i obrazovanje, kulturu, sport, tehničku kulturu, zdravstvo, zdravstvenu zaštitu, socijalnu skrb i brigu o starima i nemoćnima, analizira i sudjeluje u davanju prijedloga za odabir programa javnih potreba prema područjima javnih potreba, obavlja poslove vezane uz stipendiranje učenika i studenata, priprema socijalne programe i programe javnih potreba i izvješća o ostvarenju navedenih </w:t>
            </w:r>
            <w:r w:rsidRPr="00F43E37">
              <w:rPr>
                <w:rFonts w:ascii="Arial" w:eastAsia="Calibri" w:hAnsi="Arial" w:cs="Arial"/>
                <w:sz w:val="20"/>
                <w:szCs w:val="20"/>
              </w:rPr>
              <w:lastRenderedPageBreak/>
              <w:t>programa, predlaže mjere za zaštitu i unapređenje socijalne skrbi na razini Općine, predlaže i provodi različite oblike pomoći socijalno ugroženim osobama. Također, prikuplja financijske planove i izmjene planova proračunskih korisnika u svojoj nadležnosti (Dječji vrtić Konavle, Muzeji i galerije Konavala, te Dom za starije i nemoćne osobe), usklađuje prijedloge financijskih planova s Upravnim odjelom za proračun i financije i raspoloživim sredstvima u proračunu Općine, te odobrava izvršenje rashoda i kontrolira izvršenje financijskih planova, kao i druge poslove sukladno važećim zakonskim propisima.</w:t>
            </w:r>
          </w:p>
          <w:p w14:paraId="767339D0" w14:textId="77777777" w:rsidR="00E14E80" w:rsidRPr="00F43E37" w:rsidRDefault="00E14E80" w:rsidP="00055CA1">
            <w:pPr>
              <w:spacing w:after="0" w:line="240" w:lineRule="auto"/>
              <w:jc w:val="both"/>
              <w:rPr>
                <w:rFonts w:ascii="Arial" w:eastAsia="Calibri" w:hAnsi="Arial" w:cs="Arial"/>
                <w:sz w:val="20"/>
                <w:szCs w:val="20"/>
              </w:rPr>
            </w:pPr>
          </w:p>
          <w:p w14:paraId="3D7DDFDE" w14:textId="582E3072" w:rsidR="00E14E80" w:rsidRPr="00F43E37" w:rsidRDefault="00E14E80" w:rsidP="00055CA1">
            <w:pPr>
              <w:spacing w:after="0" w:line="240" w:lineRule="auto"/>
              <w:jc w:val="both"/>
              <w:rPr>
                <w:rFonts w:ascii="Arial" w:eastAsia="Calibri" w:hAnsi="Arial" w:cs="Arial"/>
                <w:sz w:val="20"/>
                <w:szCs w:val="20"/>
              </w:rPr>
            </w:pPr>
            <w:r w:rsidRPr="00F43E37">
              <w:rPr>
                <w:rFonts w:ascii="Arial" w:eastAsia="Calibri" w:hAnsi="Arial" w:cs="Arial"/>
                <w:sz w:val="20"/>
                <w:szCs w:val="20"/>
              </w:rPr>
              <w:t xml:space="preserve">Odlukom o ustrojstvu i djelokrugu upravnih tijela Općine Konavle (Službeni glasnik Općine Konavle </w:t>
            </w:r>
            <w:r w:rsidR="003B542A" w:rsidRPr="00F43E37">
              <w:rPr>
                <w:rFonts w:ascii="Arial" w:eastAsia="Calibri" w:hAnsi="Arial" w:cs="Arial"/>
                <w:sz w:val="20"/>
                <w:szCs w:val="20"/>
              </w:rPr>
              <w:t>6/23</w:t>
            </w:r>
            <w:r w:rsidRPr="00F43E37">
              <w:rPr>
                <w:rFonts w:ascii="Arial" w:eastAsia="Calibri" w:hAnsi="Arial" w:cs="Arial"/>
                <w:sz w:val="20"/>
                <w:szCs w:val="20"/>
              </w:rPr>
              <w:t>) i Pravilnikom o unutarnjem redu (Službeni glasnik Općine Konavle 1/</w:t>
            </w:r>
            <w:r w:rsidR="003B542A" w:rsidRPr="00F43E37">
              <w:rPr>
                <w:rFonts w:ascii="Arial" w:eastAsia="Calibri" w:hAnsi="Arial" w:cs="Arial"/>
                <w:sz w:val="20"/>
                <w:szCs w:val="20"/>
              </w:rPr>
              <w:t xml:space="preserve">24, </w:t>
            </w:r>
            <w:r w:rsidR="00C160D8" w:rsidRPr="00F43E37">
              <w:rPr>
                <w:rFonts w:ascii="Arial" w:eastAsia="Calibri" w:hAnsi="Arial" w:cs="Arial"/>
                <w:sz w:val="20"/>
                <w:szCs w:val="20"/>
              </w:rPr>
              <w:t xml:space="preserve">2/24, </w:t>
            </w:r>
            <w:r w:rsidR="003B542A" w:rsidRPr="00F43E37">
              <w:rPr>
                <w:rFonts w:ascii="Arial" w:eastAsia="Calibri" w:hAnsi="Arial" w:cs="Arial"/>
                <w:sz w:val="20"/>
                <w:szCs w:val="20"/>
              </w:rPr>
              <w:t>5/24</w:t>
            </w:r>
            <w:r w:rsidR="00B35917">
              <w:rPr>
                <w:rFonts w:ascii="Arial" w:eastAsia="Calibri" w:hAnsi="Arial" w:cs="Arial"/>
                <w:sz w:val="20"/>
                <w:szCs w:val="20"/>
              </w:rPr>
              <w:t>, 6/25</w:t>
            </w:r>
            <w:r w:rsidRPr="00F43E37">
              <w:rPr>
                <w:rFonts w:ascii="Arial" w:eastAsia="Calibri" w:hAnsi="Arial" w:cs="Arial"/>
                <w:sz w:val="20"/>
                <w:szCs w:val="20"/>
              </w:rPr>
              <w:t xml:space="preserve">) utvrđeno je ustrojstvo i područje rada Odjela. Ustrojstvene jedinice odjela su: Upravni odjel za opće poslove, mjesnu samoupravu i društvene djelatnosti, Upravni odjel za proračun i financije, Upravni odjel za </w:t>
            </w:r>
            <w:r w:rsidR="003B542A" w:rsidRPr="00F43E37">
              <w:rPr>
                <w:rFonts w:ascii="Arial" w:eastAsia="Calibri" w:hAnsi="Arial" w:cs="Arial"/>
                <w:sz w:val="20"/>
                <w:szCs w:val="20"/>
              </w:rPr>
              <w:t xml:space="preserve">prostorno uređenje, zaštitu okoliša, </w:t>
            </w:r>
            <w:r w:rsidRPr="00F43E37">
              <w:rPr>
                <w:rFonts w:ascii="Arial" w:eastAsia="Calibri" w:hAnsi="Arial" w:cs="Arial"/>
                <w:sz w:val="20"/>
                <w:szCs w:val="20"/>
              </w:rPr>
              <w:t xml:space="preserve">komunalni sustav i gospodarenje nekretninama, Upravni odjel za ruralni razvoj, gospodarstvo i EU fondove, Služba proračunskog nadzora i unutarnje kontrole. </w:t>
            </w:r>
          </w:p>
          <w:p w14:paraId="2B4D309F" w14:textId="77777777" w:rsidR="003B542A" w:rsidRPr="00F43E37" w:rsidRDefault="003B542A" w:rsidP="00055CA1">
            <w:pPr>
              <w:spacing w:after="0" w:line="240" w:lineRule="auto"/>
              <w:jc w:val="both"/>
              <w:rPr>
                <w:rFonts w:ascii="Arial" w:eastAsia="Calibri" w:hAnsi="Arial" w:cs="Arial"/>
                <w:sz w:val="20"/>
                <w:szCs w:val="20"/>
              </w:rPr>
            </w:pPr>
          </w:p>
          <w:p w14:paraId="21021281" w14:textId="7B296391" w:rsidR="00E14E80" w:rsidRPr="00F43E37" w:rsidRDefault="00E14E80" w:rsidP="00055CA1">
            <w:pPr>
              <w:spacing w:after="0" w:line="240" w:lineRule="auto"/>
              <w:jc w:val="both"/>
              <w:rPr>
                <w:rFonts w:ascii="Arial" w:eastAsia="Calibri" w:hAnsi="Arial" w:cs="Arial"/>
                <w:sz w:val="20"/>
                <w:szCs w:val="20"/>
              </w:rPr>
            </w:pPr>
            <w:r w:rsidRPr="00F43E37">
              <w:rPr>
                <w:rFonts w:ascii="Arial" w:eastAsia="Calibri" w:hAnsi="Arial" w:cs="Arial"/>
                <w:sz w:val="20"/>
                <w:szCs w:val="20"/>
              </w:rPr>
              <w:t xml:space="preserve">U okviru </w:t>
            </w:r>
            <w:r w:rsidR="003B542A" w:rsidRPr="00F43E37">
              <w:rPr>
                <w:rFonts w:ascii="Arial" w:eastAsia="Calibri" w:hAnsi="Arial" w:cs="Arial"/>
                <w:sz w:val="20"/>
                <w:szCs w:val="20"/>
              </w:rPr>
              <w:t>U</w:t>
            </w:r>
            <w:r w:rsidRPr="00F43E37">
              <w:rPr>
                <w:rFonts w:ascii="Arial" w:eastAsia="Calibri" w:hAnsi="Arial" w:cs="Arial"/>
                <w:sz w:val="20"/>
                <w:szCs w:val="20"/>
              </w:rPr>
              <w:t>pravnog odjela</w:t>
            </w:r>
            <w:r w:rsidR="003B542A" w:rsidRPr="00F43E37">
              <w:rPr>
                <w:rFonts w:ascii="Arial" w:eastAsia="Calibri" w:hAnsi="Arial" w:cs="Arial"/>
                <w:sz w:val="20"/>
                <w:szCs w:val="20"/>
              </w:rPr>
              <w:t xml:space="preserve"> za opće poslove, mjesnu samoupravu i društvene djelatnosti</w:t>
            </w:r>
            <w:r w:rsidRPr="00F43E37">
              <w:rPr>
                <w:rFonts w:ascii="Arial" w:eastAsia="Calibri" w:hAnsi="Arial" w:cs="Arial"/>
                <w:sz w:val="20"/>
                <w:szCs w:val="20"/>
              </w:rPr>
              <w:t xml:space="preserve"> izvršavaju se rashodi koji se odnose na javnu upravu i administraciju, odnosno zajedničke troškove upravnih tijela (plaće i materijalna prava zaposlenika, te opći troškovi vezani uz rad - električna energija, voda, telefon, uredski materijal i sl.) </w:t>
            </w:r>
          </w:p>
          <w:p w14:paraId="678CA3F2" w14:textId="77777777" w:rsidR="00E14E80" w:rsidRPr="00F43E37" w:rsidRDefault="00E14E80" w:rsidP="00055CA1">
            <w:pPr>
              <w:spacing w:after="0" w:line="240" w:lineRule="auto"/>
              <w:jc w:val="both"/>
              <w:rPr>
                <w:rFonts w:ascii="Arial" w:eastAsia="Calibri" w:hAnsi="Arial" w:cs="Arial"/>
                <w:sz w:val="20"/>
                <w:szCs w:val="20"/>
              </w:rPr>
            </w:pPr>
          </w:p>
          <w:p w14:paraId="197A66E3" w14:textId="77777777" w:rsidR="00E14E80" w:rsidRPr="00F43E37" w:rsidRDefault="00E14E80" w:rsidP="00055CA1">
            <w:pPr>
              <w:spacing w:after="0" w:line="240" w:lineRule="auto"/>
              <w:jc w:val="both"/>
              <w:rPr>
                <w:rFonts w:ascii="Arial" w:eastAsia="Calibri" w:hAnsi="Arial" w:cs="Arial"/>
                <w:sz w:val="20"/>
                <w:szCs w:val="20"/>
              </w:rPr>
            </w:pPr>
            <w:r w:rsidRPr="00F43E37">
              <w:rPr>
                <w:rFonts w:ascii="Arial" w:eastAsia="Calibri" w:hAnsi="Arial" w:cs="Arial"/>
                <w:sz w:val="20"/>
                <w:szCs w:val="20"/>
              </w:rPr>
              <w:t>Općinsko vijeće Općine Konavle je na 8. sjednici održanoj 11. rujna 2014. godine donijelo Odluku o sustavu glavne knjige riznice Općine Konavle i načinu vođenja jedinstvenog računa riznice (Službeni glasnik Općine Konavle 7/2014). Naime, u skladu s odredbama Zakona o proračunu o poslovanju putem jedinstvenog računa Općine. Jedinstveni račun riznice je račun preko kojeg se izvršavaju uplate prihoda i primitaka te isplate rashoda i izdataka općinskog proračuna i proračunskih korisnika. Primjena sustava riznice je započela od 01. siječnja 2015. godine.</w:t>
            </w:r>
          </w:p>
        </w:tc>
      </w:tr>
    </w:tbl>
    <w:p w14:paraId="52FA6A20" w14:textId="77777777" w:rsidR="00E14E80" w:rsidRPr="003A2F86" w:rsidRDefault="00E14E80" w:rsidP="00055CA1">
      <w:pPr>
        <w:spacing w:after="0" w:line="240" w:lineRule="auto"/>
        <w:jc w:val="both"/>
        <w:rPr>
          <w:lang w:eastAsia="en-US"/>
        </w:rPr>
      </w:pPr>
    </w:p>
    <w:p w14:paraId="2A3B650B" w14:textId="77777777" w:rsidR="00E14E80" w:rsidRPr="003A2F86" w:rsidRDefault="00E14E80" w:rsidP="002222F0">
      <w:pPr>
        <w:spacing w:after="0" w:line="240" w:lineRule="auto"/>
        <w:rPr>
          <w:lang w:eastAsia="en-US"/>
        </w:rPr>
      </w:pPr>
    </w:p>
    <w:p w14:paraId="72DD5AA7" w14:textId="77777777" w:rsidR="00E14E80" w:rsidRPr="003A2F86" w:rsidRDefault="00E14E80" w:rsidP="002222F0">
      <w:pPr>
        <w:spacing w:after="0" w:line="240" w:lineRule="auto"/>
        <w:rPr>
          <w:lang w:eastAsia="en-US"/>
        </w:rPr>
      </w:pPr>
    </w:p>
    <w:p w14:paraId="5E25D480" w14:textId="77777777" w:rsidR="00E14E80" w:rsidRPr="003A2F86" w:rsidRDefault="00E14E80" w:rsidP="002222F0">
      <w:pPr>
        <w:spacing w:after="0" w:line="240" w:lineRule="auto"/>
        <w:rPr>
          <w:lang w:eastAsia="en-US"/>
        </w:rPr>
      </w:pPr>
    </w:p>
    <w:p w14:paraId="712DCBF9" w14:textId="77777777" w:rsidR="00E14E80" w:rsidRPr="003A2F86" w:rsidRDefault="00E14E80" w:rsidP="002222F0">
      <w:pPr>
        <w:spacing w:after="0" w:line="240" w:lineRule="auto"/>
        <w:rPr>
          <w:lang w:eastAsia="en-US"/>
        </w:rPr>
      </w:pPr>
    </w:p>
    <w:p w14:paraId="146000BC" w14:textId="77777777" w:rsidR="00E14E80" w:rsidRPr="003A2F86" w:rsidRDefault="00E14E80" w:rsidP="002222F0">
      <w:pPr>
        <w:spacing w:after="0" w:line="240" w:lineRule="auto"/>
        <w:rPr>
          <w:lang w:eastAsia="en-US"/>
        </w:rPr>
      </w:pPr>
    </w:p>
    <w:p w14:paraId="6A8E9450" w14:textId="77777777" w:rsidR="00E14E80" w:rsidRPr="003A2F86" w:rsidRDefault="00E14E80" w:rsidP="002222F0">
      <w:pPr>
        <w:spacing w:after="0" w:line="240" w:lineRule="auto"/>
        <w:rPr>
          <w:lang w:eastAsia="en-US"/>
        </w:rPr>
      </w:pPr>
    </w:p>
    <w:p w14:paraId="00B00DBC" w14:textId="77777777" w:rsidR="00E14E80" w:rsidRPr="003A2F86" w:rsidRDefault="00E14E80" w:rsidP="002222F0">
      <w:pPr>
        <w:spacing w:after="0" w:line="240" w:lineRule="auto"/>
        <w:rPr>
          <w:lang w:eastAsia="en-US"/>
        </w:rPr>
      </w:pPr>
    </w:p>
    <w:p w14:paraId="40723B4B" w14:textId="77777777" w:rsidR="00E14E80" w:rsidRDefault="00E14E80" w:rsidP="002222F0">
      <w:pPr>
        <w:spacing w:after="0" w:line="240" w:lineRule="auto"/>
        <w:rPr>
          <w:lang w:eastAsia="en-US"/>
        </w:rPr>
      </w:pPr>
    </w:p>
    <w:p w14:paraId="63E3C6B1" w14:textId="77777777" w:rsidR="00F43E37" w:rsidRDefault="00F43E37" w:rsidP="002222F0">
      <w:pPr>
        <w:spacing w:after="0" w:line="240" w:lineRule="auto"/>
        <w:rPr>
          <w:lang w:eastAsia="en-US"/>
        </w:rPr>
      </w:pPr>
    </w:p>
    <w:p w14:paraId="23A435BB" w14:textId="77777777" w:rsidR="00F43E37" w:rsidRDefault="00F43E37" w:rsidP="002222F0">
      <w:pPr>
        <w:spacing w:after="0" w:line="240" w:lineRule="auto"/>
        <w:rPr>
          <w:lang w:eastAsia="en-US"/>
        </w:rPr>
      </w:pPr>
    </w:p>
    <w:p w14:paraId="4B68A665" w14:textId="77777777" w:rsidR="00F43E37" w:rsidRDefault="00F43E37" w:rsidP="002222F0">
      <w:pPr>
        <w:spacing w:after="0" w:line="240" w:lineRule="auto"/>
        <w:rPr>
          <w:lang w:eastAsia="en-US"/>
        </w:rPr>
      </w:pPr>
    </w:p>
    <w:p w14:paraId="6F21016B" w14:textId="77777777" w:rsidR="00F43E37" w:rsidRDefault="00F43E37" w:rsidP="002222F0">
      <w:pPr>
        <w:spacing w:after="0" w:line="240" w:lineRule="auto"/>
        <w:rPr>
          <w:lang w:eastAsia="en-US"/>
        </w:rPr>
      </w:pPr>
    </w:p>
    <w:p w14:paraId="1FA48F27" w14:textId="77777777" w:rsidR="00F43E37" w:rsidRDefault="00F43E37" w:rsidP="002222F0">
      <w:pPr>
        <w:spacing w:after="0" w:line="240" w:lineRule="auto"/>
        <w:rPr>
          <w:lang w:eastAsia="en-US"/>
        </w:rPr>
      </w:pPr>
    </w:p>
    <w:p w14:paraId="3D3EF895" w14:textId="77777777" w:rsidR="00F43E37" w:rsidRPr="003A2F86" w:rsidRDefault="00F43E37" w:rsidP="002222F0">
      <w:pPr>
        <w:spacing w:after="0" w:line="240" w:lineRule="auto"/>
        <w:rPr>
          <w:lang w:eastAsia="en-US"/>
        </w:rPr>
      </w:pPr>
    </w:p>
    <w:p w14:paraId="7A90CAA0" w14:textId="77777777" w:rsidR="00E14E80" w:rsidRPr="003A2F86" w:rsidRDefault="00E14E80" w:rsidP="002222F0">
      <w:pPr>
        <w:spacing w:after="0" w:line="240" w:lineRule="auto"/>
        <w:rPr>
          <w:lang w:eastAsia="en-US"/>
        </w:rPr>
      </w:pPr>
    </w:p>
    <w:p w14:paraId="42A615E9" w14:textId="3B729C52" w:rsidR="00111701" w:rsidRPr="00C80520" w:rsidRDefault="00B35917" w:rsidP="00BE52B4">
      <w:pPr>
        <w:spacing w:after="0" w:line="240" w:lineRule="auto"/>
        <w:jc w:val="center"/>
        <w:rPr>
          <w:lang w:eastAsia="en-US"/>
        </w:rPr>
      </w:pPr>
      <w:r w:rsidRPr="00B35917">
        <w:rPr>
          <w:noProof/>
        </w:rPr>
        <w:lastRenderedPageBreak/>
        <w:drawing>
          <wp:inline distT="0" distB="0" distL="0" distR="0" wp14:anchorId="66A8CED1" wp14:editId="6C4B88AC">
            <wp:extent cx="7338193" cy="5524014"/>
            <wp:effectExtent l="0" t="0" r="0" b="635"/>
            <wp:docPr id="137223658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39564" cy="5525046"/>
                    </a:xfrm>
                    <a:prstGeom prst="rect">
                      <a:avLst/>
                    </a:prstGeom>
                    <a:noFill/>
                    <a:ln>
                      <a:noFill/>
                    </a:ln>
                  </pic:spPr>
                </pic:pic>
              </a:graphicData>
            </a:graphic>
          </wp:inline>
        </w:drawing>
      </w:r>
    </w:p>
    <w:p w14:paraId="66207562" w14:textId="35A6BAB9" w:rsidR="000B6A06" w:rsidRPr="003A2F86" w:rsidRDefault="000B6A06" w:rsidP="00BE52B4">
      <w:pPr>
        <w:spacing w:after="0" w:line="240" w:lineRule="auto"/>
        <w:jc w:val="center"/>
        <w:rPr>
          <w:lang w:eastAsia="en-US"/>
        </w:rPr>
      </w:pPr>
    </w:p>
    <w:p w14:paraId="6C94FF2B" w14:textId="41424A05" w:rsidR="00BE52B4" w:rsidRPr="003A2F86" w:rsidRDefault="00BE52B4" w:rsidP="00BE52B4">
      <w:pPr>
        <w:spacing w:after="0" w:line="240" w:lineRule="auto"/>
        <w:rPr>
          <w:rFonts w:ascii="Arial" w:eastAsia="Calibri" w:hAnsi="Arial" w:cs="Arial"/>
        </w:rPr>
      </w:pPr>
      <w:r w:rsidRPr="003A2F86">
        <w:rPr>
          <w:rFonts w:ascii="Arial" w:eastAsia="Calibri" w:hAnsi="Arial" w:cs="Arial"/>
          <w:b/>
          <w:bCs/>
          <w:highlight w:val="yellow"/>
          <w:u w:val="single"/>
        </w:rPr>
        <w:t>Ukupno proračunski korisnici u nadležnosti Upravnog odjela</w:t>
      </w:r>
      <w:r w:rsidRPr="003A2F86">
        <w:rPr>
          <w:rFonts w:ascii="Arial" w:eastAsia="Calibri" w:hAnsi="Arial" w:cs="Arial"/>
          <w:highlight w:val="yellow"/>
        </w:rPr>
        <w:t xml:space="preserve"> (Dječji vrtić Konavle, Muzeji i galerije Konavala, Dom za starije i nemoćne osobe Konavle)</w:t>
      </w:r>
    </w:p>
    <w:p w14:paraId="565952A4" w14:textId="1E4D02EB" w:rsidR="00E14E80" w:rsidRPr="003A2F86" w:rsidRDefault="00B35917" w:rsidP="00B35917">
      <w:pPr>
        <w:spacing w:after="0" w:line="240" w:lineRule="auto"/>
        <w:jc w:val="center"/>
        <w:rPr>
          <w:lang w:eastAsia="en-US"/>
        </w:rPr>
      </w:pPr>
      <w:r w:rsidRPr="00B35917">
        <w:rPr>
          <w:noProof/>
        </w:rPr>
        <w:lastRenderedPageBreak/>
        <w:drawing>
          <wp:inline distT="0" distB="0" distL="0" distR="0" wp14:anchorId="3CC3C371" wp14:editId="67601149">
            <wp:extent cx="7192866" cy="5548603"/>
            <wp:effectExtent l="0" t="0" r="8255" b="0"/>
            <wp:docPr id="162750663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197203" cy="5551948"/>
                    </a:xfrm>
                    <a:prstGeom prst="rect">
                      <a:avLst/>
                    </a:prstGeom>
                    <a:noFill/>
                    <a:ln>
                      <a:noFill/>
                    </a:ln>
                  </pic:spPr>
                </pic:pic>
              </a:graphicData>
            </a:graphic>
          </wp:inline>
        </w:drawing>
      </w:r>
    </w:p>
    <w:p w14:paraId="748B9A0E" w14:textId="45F3B9B3" w:rsidR="00906A75" w:rsidRPr="00F43E37" w:rsidRDefault="00906A75" w:rsidP="00906A75">
      <w:pPr>
        <w:spacing w:after="0" w:line="240" w:lineRule="auto"/>
        <w:ind w:firstLine="708"/>
        <w:rPr>
          <w:rFonts w:ascii="Arial" w:eastAsia="Calibri" w:hAnsi="Arial" w:cs="Arial"/>
          <w:sz w:val="20"/>
          <w:szCs w:val="20"/>
        </w:rPr>
      </w:pPr>
      <w:r w:rsidRPr="00F43E37">
        <w:rPr>
          <w:rFonts w:ascii="Arial" w:eastAsia="Calibri" w:hAnsi="Arial" w:cs="Arial"/>
          <w:sz w:val="20"/>
          <w:szCs w:val="20"/>
          <w:u w:val="single"/>
        </w:rPr>
        <w:t>Ostvareni prihodi poslovanja</w:t>
      </w:r>
      <w:r w:rsidRPr="00F43E37">
        <w:rPr>
          <w:rFonts w:ascii="Arial" w:eastAsia="Calibri" w:hAnsi="Arial" w:cs="Arial"/>
          <w:sz w:val="20"/>
          <w:szCs w:val="20"/>
        </w:rPr>
        <w:t xml:space="preserve"> za 202</w:t>
      </w:r>
      <w:r w:rsidR="00B35917">
        <w:rPr>
          <w:rFonts w:ascii="Arial" w:eastAsia="Calibri" w:hAnsi="Arial" w:cs="Arial"/>
          <w:sz w:val="20"/>
          <w:szCs w:val="20"/>
        </w:rPr>
        <w:t>5</w:t>
      </w:r>
      <w:r w:rsidRPr="00F43E37">
        <w:rPr>
          <w:rFonts w:ascii="Arial" w:eastAsia="Calibri" w:hAnsi="Arial" w:cs="Arial"/>
          <w:sz w:val="20"/>
          <w:szCs w:val="20"/>
        </w:rPr>
        <w:t>. sastoje se od:</w:t>
      </w:r>
    </w:p>
    <w:p w14:paraId="2AA20A04" w14:textId="77777777" w:rsidR="00906A75" w:rsidRPr="00F43E37" w:rsidRDefault="00906A75" w:rsidP="00904CBF">
      <w:pPr>
        <w:numPr>
          <w:ilvl w:val="0"/>
          <w:numId w:val="9"/>
        </w:numPr>
        <w:spacing w:after="0" w:line="240" w:lineRule="auto"/>
        <w:ind w:left="0" w:firstLine="0"/>
        <w:jc w:val="both"/>
        <w:rPr>
          <w:rFonts w:ascii="Arial" w:eastAsia="Calibri" w:hAnsi="Arial" w:cs="Arial"/>
          <w:sz w:val="20"/>
          <w:szCs w:val="20"/>
        </w:rPr>
      </w:pPr>
      <w:r w:rsidRPr="00F43E37">
        <w:rPr>
          <w:rFonts w:ascii="Arial" w:eastAsia="Calibri" w:hAnsi="Arial" w:cs="Arial"/>
          <w:sz w:val="20"/>
          <w:szCs w:val="20"/>
        </w:rPr>
        <w:t xml:space="preserve">U okviru upravnog odjela su u nadležnosti tri proračunska korisnika koji ostvaruju prihode od obavljanja djelatnosti i pomoći kako je prikazano u tablici u nastavku. </w:t>
      </w:r>
    </w:p>
    <w:p w14:paraId="7CF3C392" w14:textId="115E93A7" w:rsidR="00906A75" w:rsidRPr="00F43E37" w:rsidRDefault="00906A75" w:rsidP="00906A75">
      <w:pPr>
        <w:spacing w:after="0" w:line="240" w:lineRule="auto"/>
        <w:rPr>
          <w:rFonts w:ascii="Arial" w:eastAsia="Calibri" w:hAnsi="Arial" w:cs="Arial"/>
          <w:sz w:val="20"/>
          <w:szCs w:val="20"/>
        </w:rPr>
      </w:pPr>
    </w:p>
    <w:p w14:paraId="3E0E1EF6" w14:textId="0FA343F6" w:rsidR="00B35917" w:rsidRDefault="00B35917" w:rsidP="00906A75">
      <w:pPr>
        <w:spacing w:after="0" w:line="240" w:lineRule="auto"/>
        <w:rPr>
          <w:rFonts w:ascii="Arial" w:eastAsia="Calibri" w:hAnsi="Arial" w:cs="Arial"/>
          <w:sz w:val="20"/>
          <w:szCs w:val="20"/>
        </w:rPr>
      </w:pPr>
      <w:r w:rsidRPr="00B35917">
        <w:rPr>
          <w:noProof/>
        </w:rPr>
        <w:drawing>
          <wp:inline distT="0" distB="0" distL="0" distR="0" wp14:anchorId="4CD9F116" wp14:editId="316B6E99">
            <wp:extent cx="9251950" cy="1409065"/>
            <wp:effectExtent l="0" t="0" r="6350" b="635"/>
            <wp:docPr id="148349571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251950" cy="1409065"/>
                    </a:xfrm>
                    <a:prstGeom prst="rect">
                      <a:avLst/>
                    </a:prstGeom>
                    <a:noFill/>
                    <a:ln>
                      <a:noFill/>
                    </a:ln>
                  </pic:spPr>
                </pic:pic>
              </a:graphicData>
            </a:graphic>
          </wp:inline>
        </w:drawing>
      </w:r>
    </w:p>
    <w:p w14:paraId="628FE2AF" w14:textId="61DEDF34" w:rsidR="00B35917" w:rsidRDefault="00B35917" w:rsidP="00906A75">
      <w:pPr>
        <w:spacing w:after="0" w:line="240" w:lineRule="auto"/>
        <w:rPr>
          <w:rFonts w:ascii="Arial" w:eastAsia="Calibri" w:hAnsi="Arial" w:cs="Arial"/>
          <w:sz w:val="20"/>
          <w:szCs w:val="20"/>
        </w:rPr>
      </w:pPr>
    </w:p>
    <w:p w14:paraId="0A70DDB7" w14:textId="3EC69005" w:rsidR="00906A75" w:rsidRPr="00F43E37" w:rsidRDefault="00906A75" w:rsidP="00906A75">
      <w:pPr>
        <w:spacing w:after="0" w:line="240" w:lineRule="auto"/>
        <w:rPr>
          <w:rFonts w:ascii="Arial" w:eastAsia="Calibri" w:hAnsi="Arial" w:cs="Arial"/>
          <w:sz w:val="20"/>
          <w:szCs w:val="20"/>
        </w:rPr>
      </w:pPr>
      <w:r w:rsidRPr="00F43E37">
        <w:rPr>
          <w:rFonts w:ascii="Arial" w:eastAsia="Calibri" w:hAnsi="Arial" w:cs="Arial"/>
          <w:sz w:val="20"/>
          <w:szCs w:val="20"/>
        </w:rPr>
        <w:t xml:space="preserve">Osnovni prihodi od obavljanja djelatnosti </w:t>
      </w:r>
      <w:r w:rsidR="0099514B" w:rsidRPr="00F43E37">
        <w:rPr>
          <w:rFonts w:ascii="Arial" w:eastAsia="Calibri" w:hAnsi="Arial" w:cs="Arial"/>
          <w:sz w:val="20"/>
          <w:szCs w:val="20"/>
        </w:rPr>
        <w:t>iskazuju se</w:t>
      </w:r>
      <w:r w:rsidRPr="00F43E37">
        <w:rPr>
          <w:rFonts w:ascii="Arial" w:eastAsia="Calibri" w:hAnsi="Arial" w:cs="Arial"/>
          <w:sz w:val="20"/>
          <w:szCs w:val="20"/>
        </w:rPr>
        <w:t xml:space="preserve"> putem razreda 65 i 663, dok se drugi prihodi odnose na prihode od pružanja usluga, od pomoći i donacija. </w:t>
      </w:r>
    </w:p>
    <w:p w14:paraId="33B45C4F" w14:textId="2CFA816C" w:rsidR="0099514B" w:rsidRPr="00F43E37" w:rsidRDefault="0099514B" w:rsidP="00382C70">
      <w:pPr>
        <w:spacing w:after="0" w:line="240" w:lineRule="auto"/>
        <w:ind w:firstLine="360"/>
        <w:rPr>
          <w:rFonts w:ascii="Arial" w:eastAsia="Calibri" w:hAnsi="Arial" w:cs="Arial"/>
          <w:sz w:val="20"/>
          <w:szCs w:val="20"/>
        </w:rPr>
      </w:pPr>
      <w:r w:rsidRPr="00F43E37">
        <w:rPr>
          <w:rFonts w:ascii="Arial" w:eastAsia="Calibri" w:hAnsi="Arial" w:cs="Arial"/>
          <w:sz w:val="20"/>
          <w:szCs w:val="20"/>
        </w:rPr>
        <w:t xml:space="preserve">- </w:t>
      </w:r>
      <w:r w:rsidR="00382C70" w:rsidRPr="00F43E37">
        <w:rPr>
          <w:rFonts w:ascii="Arial" w:eastAsia="Calibri" w:hAnsi="Arial" w:cs="Arial"/>
          <w:sz w:val="20"/>
          <w:szCs w:val="20"/>
        </w:rPr>
        <w:tab/>
      </w:r>
      <w:r w:rsidRPr="00F43E37">
        <w:rPr>
          <w:rFonts w:ascii="Arial" w:eastAsia="Calibri" w:hAnsi="Arial" w:cs="Arial"/>
          <w:sz w:val="20"/>
          <w:szCs w:val="20"/>
        </w:rPr>
        <w:t>U okviru upravnog odjela iskazuju se prihodi od poreza, te nenamjenski prihodi od pomoći i donacija.</w:t>
      </w:r>
    </w:p>
    <w:p w14:paraId="5722454B" w14:textId="7BE7F8ED" w:rsidR="00906A75" w:rsidRPr="00F43E37" w:rsidRDefault="00906A75" w:rsidP="00382C70">
      <w:pPr>
        <w:numPr>
          <w:ilvl w:val="0"/>
          <w:numId w:val="9"/>
        </w:numPr>
        <w:spacing w:after="0" w:line="240" w:lineRule="auto"/>
        <w:jc w:val="both"/>
        <w:rPr>
          <w:rFonts w:ascii="Arial" w:eastAsia="Calibri" w:hAnsi="Arial" w:cs="Arial"/>
          <w:sz w:val="20"/>
          <w:szCs w:val="20"/>
        </w:rPr>
      </w:pPr>
      <w:r w:rsidRPr="00F43E37">
        <w:rPr>
          <w:rFonts w:ascii="Arial" w:eastAsia="Calibri" w:hAnsi="Arial" w:cs="Arial"/>
          <w:sz w:val="20"/>
          <w:szCs w:val="20"/>
        </w:rPr>
        <w:t>Svi drugi prihodi, osim vlastitih prihoda proračunskih korisnika u nadležnosti</w:t>
      </w:r>
      <w:r w:rsidR="0099514B" w:rsidRPr="00F43E37">
        <w:rPr>
          <w:rFonts w:ascii="Arial" w:eastAsia="Calibri" w:hAnsi="Arial" w:cs="Arial"/>
          <w:sz w:val="20"/>
          <w:szCs w:val="20"/>
        </w:rPr>
        <w:t>, te prihoda od poreza i pomoći</w:t>
      </w:r>
      <w:r w:rsidRPr="00F43E37">
        <w:rPr>
          <w:rFonts w:ascii="Arial" w:eastAsia="Calibri" w:hAnsi="Arial" w:cs="Arial"/>
          <w:sz w:val="20"/>
          <w:szCs w:val="20"/>
        </w:rPr>
        <w:t>, se odnose na prihode koji bi se iskazivali na 671.</w:t>
      </w:r>
    </w:p>
    <w:p w14:paraId="58C93C9D" w14:textId="77777777" w:rsidR="00906A75" w:rsidRPr="00F43E37" w:rsidRDefault="00906A75" w:rsidP="00906A75">
      <w:pPr>
        <w:spacing w:after="0" w:line="240" w:lineRule="auto"/>
        <w:rPr>
          <w:rFonts w:ascii="Arial" w:eastAsia="Calibri" w:hAnsi="Arial" w:cs="Arial"/>
          <w:sz w:val="20"/>
          <w:szCs w:val="20"/>
        </w:rPr>
      </w:pPr>
    </w:p>
    <w:p w14:paraId="3B27423B" w14:textId="6DDFACCC" w:rsidR="00906A75" w:rsidRPr="00F43E37" w:rsidRDefault="00906A75" w:rsidP="00906A75">
      <w:pPr>
        <w:spacing w:after="0" w:line="240" w:lineRule="auto"/>
        <w:ind w:firstLine="708"/>
        <w:rPr>
          <w:rFonts w:ascii="Arial" w:eastAsia="Calibri" w:hAnsi="Arial" w:cs="Arial"/>
          <w:sz w:val="20"/>
          <w:szCs w:val="20"/>
        </w:rPr>
      </w:pPr>
      <w:r w:rsidRPr="00F43E37">
        <w:rPr>
          <w:rFonts w:ascii="Arial" w:eastAsia="Calibri" w:hAnsi="Arial" w:cs="Arial"/>
          <w:sz w:val="20"/>
          <w:szCs w:val="20"/>
          <w:u w:val="single"/>
        </w:rPr>
        <w:t>Izvršeni rashodi poslovanja</w:t>
      </w:r>
      <w:r w:rsidRPr="00F43E37">
        <w:rPr>
          <w:rFonts w:ascii="Arial" w:eastAsia="Calibri" w:hAnsi="Arial" w:cs="Arial"/>
          <w:sz w:val="20"/>
          <w:szCs w:val="20"/>
        </w:rPr>
        <w:t xml:space="preserve"> sastoje se od:</w:t>
      </w:r>
    </w:p>
    <w:p w14:paraId="6C249A30" w14:textId="77777777" w:rsidR="00906A75" w:rsidRPr="00F43E37" w:rsidRDefault="00906A75" w:rsidP="00904CBF">
      <w:pPr>
        <w:numPr>
          <w:ilvl w:val="0"/>
          <w:numId w:val="9"/>
        </w:numPr>
        <w:spacing w:after="0" w:line="240" w:lineRule="auto"/>
        <w:ind w:left="0" w:firstLine="0"/>
        <w:contextualSpacing/>
        <w:jc w:val="both"/>
        <w:rPr>
          <w:rFonts w:ascii="Arial" w:eastAsia="Calibri" w:hAnsi="Arial" w:cs="Arial"/>
          <w:sz w:val="20"/>
          <w:szCs w:val="20"/>
        </w:rPr>
      </w:pPr>
      <w:r w:rsidRPr="00F43E37">
        <w:rPr>
          <w:rFonts w:ascii="Arial" w:eastAsia="Calibri" w:hAnsi="Arial" w:cs="Arial"/>
          <w:sz w:val="20"/>
          <w:szCs w:val="20"/>
        </w:rPr>
        <w:t>rashoda za plaće zaposlenika Općine, te plaće proračunskih korisnika</w:t>
      </w:r>
    </w:p>
    <w:p w14:paraId="533C0B96" w14:textId="77777777" w:rsidR="00906A75" w:rsidRPr="00F43E37" w:rsidRDefault="00906A75" w:rsidP="00904CBF">
      <w:pPr>
        <w:numPr>
          <w:ilvl w:val="0"/>
          <w:numId w:val="9"/>
        </w:numPr>
        <w:spacing w:after="0" w:line="240" w:lineRule="auto"/>
        <w:ind w:left="0" w:firstLine="0"/>
        <w:contextualSpacing/>
        <w:jc w:val="both"/>
        <w:rPr>
          <w:rFonts w:ascii="Arial" w:eastAsia="Calibri" w:hAnsi="Arial" w:cs="Arial"/>
          <w:sz w:val="20"/>
          <w:szCs w:val="20"/>
        </w:rPr>
      </w:pPr>
      <w:r w:rsidRPr="00F43E37">
        <w:rPr>
          <w:rFonts w:ascii="Arial" w:eastAsia="Calibri" w:hAnsi="Arial" w:cs="Arial"/>
          <w:sz w:val="20"/>
          <w:szCs w:val="20"/>
        </w:rPr>
        <w:t xml:space="preserve">materijalnih rashoda za redovno funkcioniranje općinske uprave, </w:t>
      </w:r>
    </w:p>
    <w:p w14:paraId="419565EA" w14:textId="77777777" w:rsidR="00906A75" w:rsidRPr="00F43E37" w:rsidRDefault="00906A75" w:rsidP="00904CBF">
      <w:pPr>
        <w:numPr>
          <w:ilvl w:val="0"/>
          <w:numId w:val="9"/>
        </w:numPr>
        <w:spacing w:after="0" w:line="240" w:lineRule="auto"/>
        <w:ind w:left="0" w:firstLine="0"/>
        <w:contextualSpacing/>
        <w:jc w:val="both"/>
        <w:rPr>
          <w:rFonts w:ascii="Arial" w:eastAsia="Calibri" w:hAnsi="Arial" w:cs="Arial"/>
          <w:sz w:val="20"/>
          <w:szCs w:val="20"/>
        </w:rPr>
      </w:pPr>
      <w:r w:rsidRPr="00F43E37">
        <w:rPr>
          <w:rFonts w:ascii="Arial" w:eastAsia="Calibri" w:hAnsi="Arial" w:cs="Arial"/>
          <w:sz w:val="20"/>
          <w:szCs w:val="20"/>
        </w:rPr>
        <w:t>financijskih rashoda koji se odnose na redovno poslovanje putem jedinstvenog računa riznice</w:t>
      </w:r>
    </w:p>
    <w:p w14:paraId="1B73957B" w14:textId="77777777" w:rsidR="00906A75" w:rsidRPr="00F43E37" w:rsidRDefault="00906A75" w:rsidP="00904CBF">
      <w:pPr>
        <w:numPr>
          <w:ilvl w:val="0"/>
          <w:numId w:val="9"/>
        </w:numPr>
        <w:spacing w:after="0" w:line="240" w:lineRule="auto"/>
        <w:ind w:left="0" w:firstLine="0"/>
        <w:contextualSpacing/>
        <w:jc w:val="both"/>
        <w:rPr>
          <w:rFonts w:ascii="Arial" w:eastAsia="Calibri" w:hAnsi="Arial" w:cs="Arial"/>
          <w:sz w:val="20"/>
          <w:szCs w:val="20"/>
        </w:rPr>
      </w:pPr>
      <w:r w:rsidRPr="00F43E37">
        <w:rPr>
          <w:rFonts w:ascii="Arial" w:eastAsia="Calibri" w:hAnsi="Arial" w:cs="Arial"/>
          <w:sz w:val="20"/>
          <w:szCs w:val="20"/>
        </w:rPr>
        <w:t>pomoći unutar općeg proračuna (koji se odnose na financiranje proračunskih korisnika drugih proračuna kao što su knjižnica, umjetnička škola, osnovne škole, hitna medicina i drugi – a izvršavaju se putem programa javnih potreba)</w:t>
      </w:r>
    </w:p>
    <w:p w14:paraId="3C3A507F" w14:textId="77777777" w:rsidR="00906A75" w:rsidRPr="00F43E37" w:rsidRDefault="00906A75" w:rsidP="00904CBF">
      <w:pPr>
        <w:numPr>
          <w:ilvl w:val="0"/>
          <w:numId w:val="9"/>
        </w:numPr>
        <w:spacing w:after="0" w:line="240" w:lineRule="auto"/>
        <w:ind w:left="0" w:firstLine="0"/>
        <w:contextualSpacing/>
        <w:jc w:val="both"/>
        <w:rPr>
          <w:rFonts w:ascii="Arial" w:eastAsia="Calibri" w:hAnsi="Arial" w:cs="Arial"/>
          <w:sz w:val="20"/>
          <w:szCs w:val="20"/>
        </w:rPr>
      </w:pPr>
      <w:r w:rsidRPr="00F43E37">
        <w:rPr>
          <w:rFonts w:ascii="Arial" w:eastAsia="Calibri" w:hAnsi="Arial" w:cs="Arial"/>
          <w:sz w:val="20"/>
          <w:szCs w:val="20"/>
        </w:rPr>
        <w:t>ostalih rashoda (najvećim dijelom tekuće donacije koje se izvršavaju putem programa javnih potreba u sportu, kulturi, socijali)</w:t>
      </w:r>
    </w:p>
    <w:p w14:paraId="242EF68C" w14:textId="77777777" w:rsidR="00906A75" w:rsidRPr="00F43E37" w:rsidRDefault="00906A75" w:rsidP="00904CBF">
      <w:pPr>
        <w:numPr>
          <w:ilvl w:val="0"/>
          <w:numId w:val="9"/>
        </w:numPr>
        <w:spacing w:after="0" w:line="240" w:lineRule="auto"/>
        <w:ind w:left="0" w:firstLine="0"/>
        <w:contextualSpacing/>
        <w:jc w:val="both"/>
        <w:rPr>
          <w:rFonts w:ascii="Arial" w:eastAsia="Calibri" w:hAnsi="Arial" w:cs="Arial"/>
          <w:sz w:val="20"/>
          <w:szCs w:val="20"/>
        </w:rPr>
      </w:pPr>
      <w:r w:rsidRPr="00F43E37">
        <w:rPr>
          <w:rFonts w:ascii="Arial" w:eastAsia="Calibri" w:hAnsi="Arial" w:cs="Arial"/>
          <w:sz w:val="20"/>
          <w:szCs w:val="20"/>
        </w:rPr>
        <w:t>naknada građanima i kućanstvima (izvršavanje rashoda putem programa socijalnih potreba, demografskih mjera i zdravstvenih potreba),</w:t>
      </w:r>
    </w:p>
    <w:p w14:paraId="38B52D9B" w14:textId="77777777" w:rsidR="00906A75" w:rsidRPr="00F43E37" w:rsidRDefault="00906A75" w:rsidP="00904CBF">
      <w:pPr>
        <w:numPr>
          <w:ilvl w:val="0"/>
          <w:numId w:val="9"/>
        </w:numPr>
        <w:spacing w:after="0" w:line="240" w:lineRule="auto"/>
        <w:ind w:left="0" w:firstLine="0"/>
        <w:contextualSpacing/>
        <w:jc w:val="both"/>
        <w:rPr>
          <w:rFonts w:ascii="Arial" w:eastAsia="Calibri" w:hAnsi="Arial" w:cs="Arial"/>
          <w:sz w:val="20"/>
          <w:szCs w:val="20"/>
        </w:rPr>
      </w:pPr>
      <w:r w:rsidRPr="00F43E37">
        <w:rPr>
          <w:rFonts w:ascii="Arial" w:eastAsia="Calibri" w:hAnsi="Arial" w:cs="Arial"/>
          <w:sz w:val="20"/>
          <w:szCs w:val="20"/>
        </w:rPr>
        <w:t>rashoda za nabavu uredske opreme i namještaja za upravne odjele Općine.</w:t>
      </w:r>
    </w:p>
    <w:p w14:paraId="19A3577F" w14:textId="77777777" w:rsidR="00906A75" w:rsidRPr="00F43E37" w:rsidRDefault="00906A75" w:rsidP="00904CBF">
      <w:pPr>
        <w:spacing w:after="0" w:line="240" w:lineRule="auto"/>
        <w:contextualSpacing/>
        <w:rPr>
          <w:rFonts w:ascii="Arial" w:eastAsia="Calibri" w:hAnsi="Arial" w:cs="Arial"/>
          <w:sz w:val="20"/>
          <w:szCs w:val="20"/>
        </w:rPr>
      </w:pPr>
    </w:p>
    <w:p w14:paraId="2A6061DA" w14:textId="77777777" w:rsidR="00906A75" w:rsidRPr="00F43E37" w:rsidRDefault="00906A75" w:rsidP="00904CBF">
      <w:pPr>
        <w:numPr>
          <w:ilvl w:val="0"/>
          <w:numId w:val="9"/>
        </w:numPr>
        <w:spacing w:after="0" w:line="240" w:lineRule="auto"/>
        <w:ind w:left="0" w:firstLine="0"/>
        <w:jc w:val="both"/>
        <w:rPr>
          <w:rFonts w:ascii="Arial" w:eastAsia="Calibri" w:hAnsi="Arial" w:cs="Arial"/>
          <w:sz w:val="20"/>
          <w:szCs w:val="20"/>
        </w:rPr>
      </w:pPr>
      <w:r w:rsidRPr="00F43E37">
        <w:rPr>
          <w:rFonts w:ascii="Arial" w:eastAsia="Calibri" w:hAnsi="Arial" w:cs="Arial"/>
          <w:sz w:val="20"/>
          <w:szCs w:val="20"/>
        </w:rPr>
        <w:t xml:space="preserve">U okviru upravnog odjela rashodi za tri proračunska korisnika koji su u nadležnosti odjela prikazani su u tablici u nastavku. </w:t>
      </w:r>
    </w:p>
    <w:p w14:paraId="5937D045" w14:textId="77777777" w:rsidR="00042BBE" w:rsidRPr="00F43E37" w:rsidRDefault="00042BBE" w:rsidP="00141305">
      <w:pPr>
        <w:pStyle w:val="Odlomakpopisa"/>
        <w:ind w:left="0"/>
        <w:contextualSpacing/>
        <w:jc w:val="center"/>
        <w:rPr>
          <w:rFonts w:ascii="Arial" w:eastAsia="Calibri" w:hAnsi="Arial" w:cs="Arial"/>
          <w:sz w:val="18"/>
          <w:szCs w:val="18"/>
          <w:u w:val="single"/>
        </w:rPr>
      </w:pPr>
    </w:p>
    <w:p w14:paraId="76890627" w14:textId="14DD8D76" w:rsidR="00B35917" w:rsidRDefault="00B35917" w:rsidP="00141305">
      <w:pPr>
        <w:pStyle w:val="Odlomakpopisa"/>
        <w:ind w:left="0"/>
        <w:contextualSpacing/>
        <w:jc w:val="center"/>
        <w:rPr>
          <w:rFonts w:ascii="Arial" w:eastAsia="Calibri" w:hAnsi="Arial" w:cs="Arial"/>
          <w:u w:val="single"/>
        </w:rPr>
      </w:pPr>
      <w:r w:rsidRPr="00B35917">
        <w:rPr>
          <w:rFonts w:eastAsia="Calibri"/>
          <w:noProof/>
        </w:rPr>
        <w:drawing>
          <wp:inline distT="0" distB="0" distL="0" distR="0" wp14:anchorId="38671193" wp14:editId="66F06992">
            <wp:extent cx="9251950" cy="1568450"/>
            <wp:effectExtent l="0" t="0" r="6350" b="0"/>
            <wp:docPr id="17163172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51950" cy="1568450"/>
                    </a:xfrm>
                    <a:prstGeom prst="rect">
                      <a:avLst/>
                    </a:prstGeom>
                    <a:noFill/>
                    <a:ln>
                      <a:noFill/>
                    </a:ln>
                  </pic:spPr>
                </pic:pic>
              </a:graphicData>
            </a:graphic>
          </wp:inline>
        </w:drawing>
      </w:r>
    </w:p>
    <w:p w14:paraId="1DA468AE" w14:textId="5FBBA2F0" w:rsidR="00906A75" w:rsidRPr="003A2F86" w:rsidRDefault="00906A75" w:rsidP="00906A75">
      <w:pPr>
        <w:pStyle w:val="Odlomakpopisa"/>
        <w:ind w:left="1068"/>
        <w:contextualSpacing/>
        <w:rPr>
          <w:rFonts w:ascii="Arial" w:eastAsia="Calibri" w:hAnsi="Arial" w:cs="Arial"/>
          <w:u w:val="single"/>
        </w:rPr>
      </w:pPr>
      <w:r w:rsidRPr="003A2F86">
        <w:rPr>
          <w:rFonts w:ascii="Arial" w:eastAsia="Calibri" w:hAnsi="Arial" w:cs="Arial"/>
          <w:u w:val="single"/>
        </w:rPr>
        <w:t>Višak prihoda:</w:t>
      </w:r>
    </w:p>
    <w:p w14:paraId="0E1D4518" w14:textId="5E6A3F35" w:rsidR="004A7D1E" w:rsidRPr="007E7FDB" w:rsidRDefault="00906A75" w:rsidP="009A4F28">
      <w:pPr>
        <w:pStyle w:val="Odlomakpopisa"/>
        <w:numPr>
          <w:ilvl w:val="0"/>
          <w:numId w:val="9"/>
        </w:numPr>
        <w:contextualSpacing/>
        <w:rPr>
          <w:rFonts w:ascii="Arial" w:eastAsia="Calibri" w:hAnsi="Arial" w:cs="Arial"/>
        </w:rPr>
      </w:pPr>
      <w:r w:rsidRPr="007E7FDB">
        <w:rPr>
          <w:rFonts w:ascii="Arial" w:eastAsia="Calibri" w:hAnsi="Arial" w:cs="Arial"/>
        </w:rPr>
        <w:t>u financijskom planu ovog razdjela dio proračunskih korisnika ostvaruje manjak prihoda koji se podmiruje iz izvora opći prihodi i primici Upravnog odjela (razdjela). Upravni odjel ostvaruje višak prihoda koji koriste drugi Upravni odjeli</w:t>
      </w:r>
      <w:r w:rsidR="0099514B" w:rsidRPr="007E7FDB">
        <w:rPr>
          <w:rFonts w:ascii="Arial" w:eastAsia="Calibri" w:hAnsi="Arial" w:cs="Arial"/>
        </w:rPr>
        <w:t xml:space="preserve"> (prihodi od por</w:t>
      </w:r>
      <w:r w:rsidR="004443EE" w:rsidRPr="007E7FDB">
        <w:rPr>
          <w:rFonts w:ascii="Arial" w:eastAsia="Calibri" w:hAnsi="Arial" w:cs="Arial"/>
        </w:rPr>
        <w:t>e</w:t>
      </w:r>
      <w:r w:rsidR="0099514B" w:rsidRPr="007E7FDB">
        <w:rPr>
          <w:rFonts w:ascii="Arial" w:eastAsia="Calibri" w:hAnsi="Arial" w:cs="Arial"/>
        </w:rPr>
        <w:t>za).</w:t>
      </w:r>
      <w:r w:rsidR="004A7D1E" w:rsidRPr="007E7FDB">
        <w:rPr>
          <w:rFonts w:ascii="Arial" w:eastAsia="Calibri" w:hAnsi="Arial" w:cs="Arial"/>
        </w:rPr>
        <w:br w:type="page"/>
      </w:r>
    </w:p>
    <w:p w14:paraId="59002FE4" w14:textId="77777777" w:rsidR="00906A75" w:rsidRPr="003A2F86" w:rsidRDefault="00906A75" w:rsidP="004A7D1E">
      <w:pPr>
        <w:pStyle w:val="Odlomakpopisa"/>
        <w:ind w:left="720"/>
        <w:contextualSpacing/>
        <w:rPr>
          <w:rFonts w:ascii="Arial" w:eastAsia="Calibri" w:hAnsi="Arial" w:cs="Arial"/>
        </w:rPr>
      </w:pPr>
    </w:p>
    <w:p w14:paraId="35F84588" w14:textId="3F01F360" w:rsidR="00B902D0" w:rsidRPr="00FA1272" w:rsidRDefault="00795CD9" w:rsidP="00FA1272">
      <w:pPr>
        <w:pStyle w:val="Naslov4"/>
        <w:rPr>
          <w:rFonts w:eastAsia="Calibri"/>
        </w:rPr>
      </w:pPr>
      <w:bookmarkStart w:id="315" w:name="_Toc36842124"/>
      <w:bookmarkStart w:id="316" w:name="_Toc207707464"/>
      <w:bookmarkStart w:id="317" w:name="_Toc435014673"/>
      <w:bookmarkEnd w:id="314"/>
      <w:r w:rsidRPr="00FA1272">
        <w:rPr>
          <w:rFonts w:eastAsia="Calibri"/>
        </w:rPr>
        <w:t>3</w:t>
      </w:r>
      <w:r w:rsidR="00B902D0" w:rsidRPr="00FA1272">
        <w:rPr>
          <w:rFonts w:eastAsia="Calibri"/>
        </w:rPr>
        <w:t>.</w:t>
      </w:r>
      <w:r w:rsidR="00375FAF" w:rsidRPr="00FA1272">
        <w:rPr>
          <w:rFonts w:eastAsia="Calibri"/>
        </w:rPr>
        <w:t>3</w:t>
      </w:r>
      <w:r w:rsidR="00EE5199" w:rsidRPr="00FA1272">
        <w:rPr>
          <w:rFonts w:eastAsia="Calibri"/>
        </w:rPr>
        <w:t>.2.2</w:t>
      </w:r>
      <w:r w:rsidR="00B902D0" w:rsidRPr="00FA1272">
        <w:rPr>
          <w:rFonts w:eastAsia="Calibri"/>
        </w:rPr>
        <w:t>.</w:t>
      </w:r>
      <w:r w:rsidR="00B902D0" w:rsidRPr="00FA1272">
        <w:rPr>
          <w:rFonts w:eastAsia="Calibri"/>
        </w:rPr>
        <w:tab/>
        <w:t>GLAVA: (020 03) USTANOVA U KULTURI</w:t>
      </w:r>
      <w:bookmarkEnd w:id="315"/>
      <w:bookmarkEnd w:id="316"/>
      <w:r w:rsidR="00B902D0" w:rsidRPr="00FA1272">
        <w:rPr>
          <w:rFonts w:eastAsia="Calibri"/>
        </w:rPr>
        <w:t xml:space="preserve"> </w:t>
      </w:r>
    </w:p>
    <w:p w14:paraId="109047C1" w14:textId="77777777" w:rsidR="00B902D0" w:rsidRPr="003A2F86" w:rsidRDefault="00B902D0" w:rsidP="00B902D0">
      <w:pPr>
        <w:autoSpaceDE w:val="0"/>
        <w:autoSpaceDN w:val="0"/>
        <w:adjustRightInd w:val="0"/>
        <w:spacing w:after="0" w:line="240" w:lineRule="auto"/>
        <w:rPr>
          <w:rFonts w:ascii="Arial" w:eastAsia="Calibri" w:hAnsi="Arial" w:cs="Arial"/>
          <w:sz w:val="20"/>
          <w:szCs w:val="20"/>
        </w:rPr>
      </w:pPr>
    </w:p>
    <w:p w14:paraId="0A1D6652" w14:textId="77777777" w:rsidR="00B902D0" w:rsidRPr="003A2F86" w:rsidRDefault="00B902D0" w:rsidP="00B902D0">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U razdjelu 020 UPRAVNI ODJEL ZA OPĆE POSLOVE, MJESNU SAMOUPRAVU I DRUŠTVENE DJELATNOSTI, glava (020 03) Ustanova u kulturi, izvodi se jedan Program. </w:t>
      </w:r>
    </w:p>
    <w:p w14:paraId="24EB1BE7" w14:textId="77777777" w:rsidR="00B902D0" w:rsidRPr="003A2F86" w:rsidRDefault="00B902D0" w:rsidP="00B902D0">
      <w:pPr>
        <w:spacing w:after="0" w:line="240" w:lineRule="auto"/>
        <w:jc w:val="both"/>
        <w:rPr>
          <w:rFonts w:ascii="Arial" w:eastAsia="Times New Roman" w:hAnsi="Arial" w:cs="Arial"/>
          <w:sz w:val="20"/>
          <w:szCs w:val="20"/>
          <w:lang w:eastAsia="en-US"/>
        </w:rPr>
      </w:pPr>
    </w:p>
    <w:p w14:paraId="6A9A24AA" w14:textId="77777777" w:rsidR="00B902D0" w:rsidRPr="00837ECF" w:rsidRDefault="00B902D0" w:rsidP="0012332E">
      <w:pPr>
        <w:pStyle w:val="Naslov3"/>
        <w:rPr>
          <w:rFonts w:eastAsia="Calibri"/>
        </w:rPr>
      </w:pPr>
      <w:bookmarkStart w:id="318" w:name="_Toc36842125"/>
      <w:bookmarkStart w:id="319" w:name="_Toc207707465"/>
      <w:r w:rsidRPr="00837ECF">
        <w:rPr>
          <w:rFonts w:eastAsia="Calibri"/>
        </w:rPr>
        <w:t>Program (2031): Javna ustanova u kulturi</w:t>
      </w:r>
      <w:bookmarkEnd w:id="318"/>
      <w:bookmarkEnd w:id="319"/>
    </w:p>
    <w:p w14:paraId="367D6CFE" w14:textId="77777777" w:rsidR="00B902D0" w:rsidRPr="00250906" w:rsidRDefault="00B902D0" w:rsidP="00B902D0">
      <w:pPr>
        <w:spacing w:after="0" w:line="240" w:lineRule="auto"/>
        <w:rPr>
          <w:rFonts w:ascii="Times New Roman" w:eastAsia="Times New Roman" w:hAnsi="Times New Roman" w:cs="Arial"/>
          <w:sz w:val="20"/>
          <w:szCs w:val="20"/>
          <w:lang w:eastAsia="en-US"/>
        </w:rPr>
      </w:pPr>
    </w:p>
    <w:p w14:paraId="074A0AEB" w14:textId="77777777" w:rsidR="00B902D0" w:rsidRPr="003A2F86" w:rsidRDefault="00B902D0" w:rsidP="00B902D0">
      <w:pPr>
        <w:spacing w:after="0" w:line="240" w:lineRule="auto"/>
        <w:rPr>
          <w:rFonts w:ascii="Times New Roman" w:eastAsia="Times New Roman" w:hAnsi="Times New Roman" w:cs="Arial"/>
          <w:sz w:val="20"/>
          <w:szCs w:val="20"/>
          <w:lang w:eastAsia="en-US"/>
        </w:rPr>
      </w:pPr>
      <w:r w:rsidRPr="003A2F86">
        <w:rPr>
          <w:rFonts w:ascii="Times New Roman" w:eastAsia="Times New Roman" w:hAnsi="Times New Roman" w:cs="Arial"/>
          <w:noProof/>
          <w:sz w:val="20"/>
          <w:szCs w:val="20"/>
        </w:rPr>
        <w:drawing>
          <wp:inline distT="0" distB="0" distL="0" distR="0" wp14:anchorId="4F3BC338" wp14:editId="42BD19E7">
            <wp:extent cx="6381750" cy="161925"/>
            <wp:effectExtent l="0" t="0" r="0" b="9525"/>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381750" cy="161925"/>
                    </a:xfrm>
                    <a:prstGeom prst="rect">
                      <a:avLst/>
                    </a:prstGeom>
                    <a:noFill/>
                    <a:ln>
                      <a:noFill/>
                    </a:ln>
                  </pic:spPr>
                </pic:pic>
              </a:graphicData>
            </a:graphic>
          </wp:inline>
        </w:drawing>
      </w:r>
    </w:p>
    <w:p w14:paraId="3E91814F" w14:textId="77777777" w:rsidR="00B902D0" w:rsidRPr="003A2F86" w:rsidRDefault="00B902D0" w:rsidP="00B902D0">
      <w:pPr>
        <w:spacing w:after="0" w:line="256" w:lineRule="auto"/>
        <w:rPr>
          <w:rFonts w:ascii="Arial" w:eastAsia="Calibri" w:hAnsi="Arial" w:cs="Arial"/>
          <w:sz w:val="20"/>
          <w:szCs w:val="20"/>
          <w:lang w:eastAsia="en-US"/>
        </w:rPr>
      </w:pPr>
    </w:p>
    <w:p w14:paraId="6F1A866B" w14:textId="29DCA6A5" w:rsidR="00B902D0" w:rsidRPr="003A2F86" w:rsidRDefault="00B902D0" w:rsidP="00B902D0">
      <w:pPr>
        <w:spacing w:after="0" w:line="240" w:lineRule="auto"/>
        <w:jc w:val="both"/>
        <w:rPr>
          <w:rFonts w:ascii="Arial" w:eastAsia="Times New Roman" w:hAnsi="Arial" w:cs="Arial"/>
          <w:b/>
          <w:sz w:val="20"/>
          <w:szCs w:val="20"/>
          <w:lang w:eastAsia="en-US"/>
        </w:rPr>
      </w:pPr>
      <w:r w:rsidRPr="003A2F86">
        <w:rPr>
          <w:rFonts w:ascii="Arial" w:eastAsia="Times New Roman" w:hAnsi="Arial" w:cs="Arial"/>
          <w:sz w:val="20"/>
          <w:szCs w:val="20"/>
          <w:lang w:eastAsia="en-US"/>
        </w:rPr>
        <w:t xml:space="preserve">Obrazloženje </w:t>
      </w:r>
      <w:r w:rsidR="00B95A8E" w:rsidRPr="003A2F86">
        <w:rPr>
          <w:rFonts w:ascii="Arial" w:eastAsia="Times New Roman" w:hAnsi="Arial" w:cs="Arial"/>
          <w:sz w:val="20"/>
          <w:szCs w:val="20"/>
          <w:lang w:eastAsia="en-US"/>
        </w:rPr>
        <w:t>i</w:t>
      </w:r>
      <w:r w:rsidR="00465588" w:rsidRPr="003A2F86">
        <w:rPr>
          <w:rFonts w:ascii="Arial" w:eastAsia="Times New Roman" w:hAnsi="Arial" w:cs="Arial"/>
          <w:sz w:val="20"/>
          <w:szCs w:val="20"/>
          <w:lang w:eastAsia="en-US"/>
        </w:rPr>
        <w:t xml:space="preserve">zvršenja </w:t>
      </w:r>
      <w:r w:rsidRPr="003A2F86">
        <w:rPr>
          <w:rFonts w:ascii="Arial" w:eastAsia="Times New Roman" w:hAnsi="Arial" w:cs="Arial"/>
          <w:sz w:val="20"/>
          <w:szCs w:val="20"/>
          <w:lang w:eastAsia="en-US"/>
        </w:rPr>
        <w:t xml:space="preserve">PROGRAMA 2031 Javna ustanova u kulturi, Muzeji i galerije Konavala iskazuje se u </w:t>
      </w:r>
      <w:r w:rsidRPr="003A2F86">
        <w:rPr>
          <w:rFonts w:ascii="Arial" w:eastAsia="Times New Roman" w:hAnsi="Arial" w:cs="Arial"/>
          <w:color w:val="FF0000"/>
          <w:sz w:val="20"/>
          <w:szCs w:val="20"/>
          <w:lang w:eastAsia="en-US"/>
        </w:rPr>
        <w:t xml:space="preserve">točki </w:t>
      </w:r>
      <w:r w:rsidR="00B35AD1" w:rsidRPr="003A2F86">
        <w:rPr>
          <w:rFonts w:ascii="Arial" w:eastAsia="Times New Roman" w:hAnsi="Arial" w:cs="Arial"/>
          <w:b/>
          <w:bCs/>
          <w:color w:val="FF0000"/>
          <w:sz w:val="20"/>
          <w:szCs w:val="20"/>
          <w:lang w:eastAsia="en-US"/>
        </w:rPr>
        <w:t>3</w:t>
      </w:r>
      <w:r w:rsidRPr="003A2F86">
        <w:rPr>
          <w:rFonts w:ascii="Arial" w:eastAsia="Times New Roman" w:hAnsi="Arial" w:cs="Arial"/>
          <w:b/>
          <w:bCs/>
          <w:color w:val="FF0000"/>
          <w:sz w:val="20"/>
          <w:szCs w:val="20"/>
          <w:lang w:eastAsia="en-US"/>
        </w:rPr>
        <w:t>.</w:t>
      </w:r>
      <w:r w:rsidR="00840581" w:rsidRPr="003A2F86">
        <w:rPr>
          <w:rFonts w:ascii="Arial" w:eastAsia="Times New Roman" w:hAnsi="Arial" w:cs="Arial"/>
          <w:b/>
          <w:bCs/>
          <w:color w:val="FF0000"/>
          <w:sz w:val="20"/>
          <w:szCs w:val="20"/>
          <w:lang w:eastAsia="en-US"/>
        </w:rPr>
        <w:t>4</w:t>
      </w:r>
      <w:r w:rsidR="00EE5199" w:rsidRPr="003A2F86">
        <w:rPr>
          <w:rFonts w:ascii="Arial" w:eastAsia="Times New Roman" w:hAnsi="Arial" w:cs="Arial"/>
          <w:b/>
          <w:bCs/>
          <w:color w:val="FF0000"/>
          <w:sz w:val="20"/>
          <w:szCs w:val="20"/>
          <w:lang w:eastAsia="en-US"/>
        </w:rPr>
        <w:t>.</w:t>
      </w:r>
      <w:r w:rsidRPr="003A2F86">
        <w:rPr>
          <w:rFonts w:ascii="Arial" w:eastAsia="Times New Roman" w:hAnsi="Arial" w:cs="Arial"/>
          <w:color w:val="FF0000"/>
          <w:sz w:val="20"/>
          <w:szCs w:val="20"/>
          <w:lang w:eastAsia="en-US"/>
        </w:rPr>
        <w:t xml:space="preserve"> </w:t>
      </w:r>
      <w:r w:rsidRPr="003A2F86">
        <w:rPr>
          <w:rFonts w:ascii="Arial" w:eastAsia="Times New Roman" w:hAnsi="Arial" w:cs="Arial"/>
          <w:b/>
          <w:sz w:val="20"/>
          <w:szCs w:val="20"/>
        </w:rPr>
        <w:t xml:space="preserve">POSEBNI DIO PRORAČUNA </w:t>
      </w:r>
      <w:r w:rsidR="00B95A8E" w:rsidRPr="003A2F86">
        <w:rPr>
          <w:rFonts w:ascii="Arial" w:eastAsia="Times New Roman" w:hAnsi="Arial" w:cs="Arial"/>
          <w:b/>
          <w:sz w:val="20"/>
          <w:szCs w:val="20"/>
        </w:rPr>
        <w:t xml:space="preserve">– IZVRŠENJE FINANCIJSKIH PLANOVA PRORAČUNSKIH KORISNIKA </w:t>
      </w:r>
      <w:r w:rsidR="00B95A8E" w:rsidRPr="003A2F86">
        <w:rPr>
          <w:rFonts w:ascii="Arial" w:eastAsia="Calibri" w:hAnsi="Arial" w:cs="Arial"/>
          <w:b/>
          <w:sz w:val="20"/>
          <w:szCs w:val="20"/>
          <w:lang w:eastAsia="en-US"/>
        </w:rPr>
        <w:t xml:space="preserve">SIJEČANJ – </w:t>
      </w:r>
      <w:r w:rsidR="008460E8">
        <w:rPr>
          <w:rFonts w:ascii="Arial" w:eastAsia="Calibri" w:hAnsi="Arial" w:cs="Arial"/>
          <w:b/>
          <w:sz w:val="20"/>
          <w:szCs w:val="20"/>
          <w:lang w:eastAsia="en-US"/>
        </w:rPr>
        <w:t>LIPANJ</w:t>
      </w:r>
      <w:r w:rsidR="00B95A8E" w:rsidRPr="003A2F86">
        <w:rPr>
          <w:rFonts w:ascii="Arial" w:eastAsia="Calibri" w:hAnsi="Arial" w:cs="Arial"/>
          <w:b/>
          <w:sz w:val="20"/>
          <w:szCs w:val="20"/>
          <w:lang w:eastAsia="en-US"/>
        </w:rPr>
        <w:t xml:space="preserve"> 20</w:t>
      </w:r>
      <w:r w:rsidR="00114EBC" w:rsidRPr="003A2F86">
        <w:rPr>
          <w:rFonts w:ascii="Arial" w:eastAsia="Calibri" w:hAnsi="Arial" w:cs="Arial"/>
          <w:b/>
          <w:sz w:val="20"/>
          <w:szCs w:val="20"/>
          <w:lang w:eastAsia="en-US"/>
        </w:rPr>
        <w:t>2</w:t>
      </w:r>
      <w:r w:rsidR="008460E8">
        <w:rPr>
          <w:rFonts w:ascii="Arial" w:eastAsia="Calibri" w:hAnsi="Arial" w:cs="Arial"/>
          <w:b/>
          <w:sz w:val="20"/>
          <w:szCs w:val="20"/>
          <w:lang w:eastAsia="en-US"/>
        </w:rPr>
        <w:t>5</w:t>
      </w:r>
      <w:r w:rsidR="00B95A8E" w:rsidRPr="003A2F86">
        <w:rPr>
          <w:rFonts w:ascii="Arial" w:eastAsia="Calibri" w:hAnsi="Arial" w:cs="Arial"/>
          <w:b/>
          <w:sz w:val="20"/>
          <w:szCs w:val="20"/>
          <w:lang w:eastAsia="en-US"/>
        </w:rPr>
        <w:t>.</w:t>
      </w:r>
      <w:r w:rsidRPr="003A2F86">
        <w:rPr>
          <w:rFonts w:ascii="Arial" w:eastAsia="Times New Roman" w:hAnsi="Arial" w:cs="Arial"/>
          <w:b/>
          <w:sz w:val="20"/>
          <w:szCs w:val="20"/>
        </w:rPr>
        <w:t xml:space="preserve">, </w:t>
      </w:r>
      <w:hyperlink w:anchor="_3.4.1._GLAVA:_(020" w:history="1">
        <w:r w:rsidR="00795CD9" w:rsidRPr="001417DD">
          <w:rPr>
            <w:rStyle w:val="Hiperveza"/>
            <w:rFonts w:ascii="Arial" w:eastAsia="Times New Roman" w:hAnsi="Arial" w:cs="Arial"/>
            <w:b/>
            <w:sz w:val="20"/>
            <w:szCs w:val="20"/>
          </w:rPr>
          <w:t>3</w:t>
        </w:r>
        <w:r w:rsidRPr="001417DD">
          <w:rPr>
            <w:rStyle w:val="Hiperveza"/>
            <w:rFonts w:ascii="Arial" w:eastAsia="Times New Roman" w:hAnsi="Arial" w:cs="Arial"/>
            <w:b/>
            <w:sz w:val="20"/>
            <w:szCs w:val="20"/>
          </w:rPr>
          <w:t>.</w:t>
        </w:r>
        <w:r w:rsidR="00840581" w:rsidRPr="001417DD">
          <w:rPr>
            <w:rStyle w:val="Hiperveza"/>
            <w:rFonts w:ascii="Arial" w:eastAsia="Times New Roman" w:hAnsi="Arial" w:cs="Arial"/>
            <w:b/>
            <w:sz w:val="20"/>
            <w:szCs w:val="20"/>
          </w:rPr>
          <w:t>4</w:t>
        </w:r>
        <w:r w:rsidR="00EE5199" w:rsidRPr="001417DD">
          <w:rPr>
            <w:rStyle w:val="Hiperveza"/>
            <w:rFonts w:ascii="Arial" w:eastAsia="Times New Roman" w:hAnsi="Arial" w:cs="Arial"/>
            <w:b/>
            <w:sz w:val="20"/>
            <w:szCs w:val="20"/>
          </w:rPr>
          <w:t>.</w:t>
        </w:r>
        <w:r w:rsidRPr="001417DD">
          <w:rPr>
            <w:rStyle w:val="Hiperveza"/>
            <w:rFonts w:ascii="Arial" w:eastAsia="Times New Roman" w:hAnsi="Arial" w:cs="Arial"/>
            <w:b/>
            <w:sz w:val="20"/>
            <w:szCs w:val="20"/>
          </w:rPr>
          <w:t>1. Muzeji i galerije Konavala</w:t>
        </w:r>
      </w:hyperlink>
      <w:r w:rsidRPr="003A2F86">
        <w:rPr>
          <w:rFonts w:ascii="Arial" w:eastAsia="Times New Roman" w:hAnsi="Arial" w:cs="Arial"/>
          <w:b/>
          <w:sz w:val="20"/>
          <w:szCs w:val="20"/>
        </w:rPr>
        <w:t>.</w:t>
      </w:r>
    </w:p>
    <w:p w14:paraId="67A3A517" w14:textId="77777777" w:rsidR="00B902D0" w:rsidRPr="003A2F86" w:rsidRDefault="00B902D0" w:rsidP="00B902D0">
      <w:pPr>
        <w:spacing w:after="0" w:line="240" w:lineRule="auto"/>
        <w:jc w:val="both"/>
        <w:rPr>
          <w:rFonts w:ascii="Arial" w:eastAsia="Calibri" w:hAnsi="Arial" w:cs="Arial"/>
          <w:sz w:val="20"/>
          <w:szCs w:val="20"/>
        </w:rPr>
      </w:pPr>
    </w:p>
    <w:p w14:paraId="0C0144B1" w14:textId="77777777" w:rsidR="00E2724D" w:rsidRPr="003A2F86" w:rsidRDefault="00E2724D" w:rsidP="00B902D0">
      <w:pPr>
        <w:spacing w:after="0" w:line="240" w:lineRule="auto"/>
        <w:jc w:val="both"/>
        <w:rPr>
          <w:rFonts w:ascii="Arial" w:eastAsia="Calibri" w:hAnsi="Arial" w:cs="Arial"/>
          <w:sz w:val="20"/>
          <w:szCs w:val="20"/>
        </w:rPr>
      </w:pPr>
    </w:p>
    <w:p w14:paraId="27B4EBE8" w14:textId="31954A92" w:rsidR="00B902D0" w:rsidRPr="00FA1272" w:rsidRDefault="00EE5199" w:rsidP="00FA1272">
      <w:pPr>
        <w:pStyle w:val="Naslov4"/>
        <w:rPr>
          <w:rFonts w:eastAsia="Calibri"/>
        </w:rPr>
      </w:pPr>
      <w:bookmarkStart w:id="320" w:name="_Toc36842126"/>
      <w:bookmarkStart w:id="321" w:name="_Toc207707466"/>
      <w:r w:rsidRPr="00FA1272">
        <w:rPr>
          <w:rFonts w:eastAsia="Calibri"/>
        </w:rPr>
        <w:t>3.</w:t>
      </w:r>
      <w:r w:rsidR="00375FAF" w:rsidRPr="00FA1272">
        <w:rPr>
          <w:rFonts w:eastAsia="Calibri"/>
        </w:rPr>
        <w:t>3</w:t>
      </w:r>
      <w:r w:rsidRPr="00FA1272">
        <w:rPr>
          <w:rFonts w:eastAsia="Calibri"/>
        </w:rPr>
        <w:t>.2</w:t>
      </w:r>
      <w:r w:rsidR="00B902D0" w:rsidRPr="00FA1272">
        <w:rPr>
          <w:rFonts w:eastAsia="Calibri"/>
        </w:rPr>
        <w:t>.</w:t>
      </w:r>
      <w:r w:rsidR="00732AB9" w:rsidRPr="00FA1272">
        <w:rPr>
          <w:rFonts w:eastAsia="Calibri"/>
        </w:rPr>
        <w:t>3</w:t>
      </w:r>
      <w:r w:rsidR="00B902D0" w:rsidRPr="00FA1272">
        <w:rPr>
          <w:rFonts w:eastAsia="Calibri"/>
        </w:rPr>
        <w:t>.</w:t>
      </w:r>
      <w:r w:rsidR="00B902D0" w:rsidRPr="00FA1272">
        <w:rPr>
          <w:rFonts w:eastAsia="Calibri"/>
        </w:rPr>
        <w:tab/>
        <w:t>GLAVA: (020 04) USTANOVA SOCIJALNE SKRBI</w:t>
      </w:r>
      <w:bookmarkEnd w:id="320"/>
      <w:bookmarkEnd w:id="321"/>
      <w:r w:rsidR="00B902D0" w:rsidRPr="00FA1272">
        <w:rPr>
          <w:rFonts w:eastAsia="Calibri"/>
        </w:rPr>
        <w:t xml:space="preserve"> </w:t>
      </w:r>
    </w:p>
    <w:p w14:paraId="62CAE032" w14:textId="77777777" w:rsidR="00B902D0" w:rsidRPr="003A2F86" w:rsidRDefault="00B902D0" w:rsidP="00B902D0">
      <w:pPr>
        <w:autoSpaceDE w:val="0"/>
        <w:autoSpaceDN w:val="0"/>
        <w:adjustRightInd w:val="0"/>
        <w:spacing w:after="0" w:line="240" w:lineRule="auto"/>
        <w:jc w:val="both"/>
        <w:rPr>
          <w:rFonts w:ascii="Arial" w:eastAsia="Calibri" w:hAnsi="Arial" w:cs="Arial"/>
          <w:sz w:val="20"/>
          <w:szCs w:val="20"/>
        </w:rPr>
      </w:pPr>
    </w:p>
    <w:p w14:paraId="1C07D1DB" w14:textId="77777777" w:rsidR="00B902D0" w:rsidRPr="003A2F86" w:rsidRDefault="00B902D0" w:rsidP="00B902D0">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U razdjelu 020 UPRAVNI ODJEL ZA OPĆE POSLOVE, MJESNU SAMOUPRAVU I DRUŠTVENE DJELATNOSTI, glava (020 04) Ustanova socijalne skrbi, izvodi se slijedeći Program: </w:t>
      </w:r>
    </w:p>
    <w:p w14:paraId="730A836A" w14:textId="77777777" w:rsidR="00B902D0" w:rsidRPr="003A2F86" w:rsidRDefault="00B902D0" w:rsidP="00B902D0">
      <w:pPr>
        <w:spacing w:after="0" w:line="240" w:lineRule="auto"/>
        <w:jc w:val="both"/>
        <w:rPr>
          <w:rFonts w:ascii="Arial" w:eastAsia="Calibri" w:hAnsi="Arial" w:cs="Arial"/>
          <w:sz w:val="20"/>
          <w:szCs w:val="20"/>
        </w:rPr>
      </w:pPr>
    </w:p>
    <w:p w14:paraId="756076EF" w14:textId="77777777" w:rsidR="00B902D0" w:rsidRPr="00837ECF" w:rsidRDefault="00B902D0" w:rsidP="0012332E">
      <w:pPr>
        <w:pStyle w:val="Naslov3"/>
        <w:rPr>
          <w:rFonts w:eastAsia="Calibri"/>
        </w:rPr>
      </w:pPr>
      <w:bookmarkStart w:id="322" w:name="_Toc36842127"/>
      <w:bookmarkStart w:id="323" w:name="_Toc207707467"/>
      <w:r w:rsidRPr="00837ECF">
        <w:rPr>
          <w:rFonts w:eastAsia="Calibri"/>
        </w:rPr>
        <w:t>Program (2044): Socijalna skrb – Dom za starije i nemoćne osobe Konavle</w:t>
      </w:r>
      <w:bookmarkEnd w:id="322"/>
      <w:bookmarkEnd w:id="323"/>
    </w:p>
    <w:p w14:paraId="10BFB1BA" w14:textId="77777777" w:rsidR="00B902D0" w:rsidRPr="003A2F86" w:rsidRDefault="00B902D0" w:rsidP="00B902D0">
      <w:pPr>
        <w:spacing w:after="0" w:line="240" w:lineRule="auto"/>
        <w:jc w:val="both"/>
        <w:rPr>
          <w:rFonts w:ascii="Arial" w:eastAsia="Times New Roman" w:hAnsi="Arial" w:cs="Arial"/>
          <w:sz w:val="20"/>
          <w:szCs w:val="20"/>
          <w:lang w:eastAsia="en-US"/>
        </w:rPr>
      </w:pPr>
    </w:p>
    <w:p w14:paraId="161E627D" w14:textId="77777777" w:rsidR="00B902D0" w:rsidRPr="003A2F86" w:rsidRDefault="00B902D0" w:rsidP="00B902D0">
      <w:pPr>
        <w:spacing w:after="0" w:line="240" w:lineRule="auto"/>
        <w:jc w:val="both"/>
        <w:rPr>
          <w:rFonts w:ascii="Arial" w:eastAsia="Calibri" w:hAnsi="Arial" w:cs="Arial"/>
          <w:sz w:val="20"/>
          <w:szCs w:val="20"/>
        </w:rPr>
      </w:pPr>
      <w:r w:rsidRPr="003A2F86">
        <w:rPr>
          <w:rFonts w:ascii="Times New Roman" w:eastAsia="Calibri" w:hAnsi="Times New Roman" w:cs="Times New Roman"/>
          <w:noProof/>
          <w:sz w:val="20"/>
          <w:szCs w:val="20"/>
        </w:rPr>
        <w:drawing>
          <wp:inline distT="0" distB="0" distL="0" distR="0" wp14:anchorId="6B979599" wp14:editId="3152F0E4">
            <wp:extent cx="7134225" cy="200025"/>
            <wp:effectExtent l="0" t="0" r="9525" b="9525"/>
            <wp:docPr id="704"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134225" cy="200025"/>
                    </a:xfrm>
                    <a:prstGeom prst="rect">
                      <a:avLst/>
                    </a:prstGeom>
                    <a:noFill/>
                    <a:ln>
                      <a:noFill/>
                    </a:ln>
                  </pic:spPr>
                </pic:pic>
              </a:graphicData>
            </a:graphic>
          </wp:inline>
        </w:drawing>
      </w:r>
    </w:p>
    <w:p w14:paraId="26B51866" w14:textId="77777777" w:rsidR="00B902D0" w:rsidRPr="003A2F86" w:rsidRDefault="00B902D0" w:rsidP="00B902D0">
      <w:pPr>
        <w:spacing w:after="0" w:line="240" w:lineRule="auto"/>
        <w:jc w:val="both"/>
        <w:rPr>
          <w:rFonts w:ascii="Arial" w:eastAsia="Times New Roman" w:hAnsi="Arial" w:cs="Arial"/>
          <w:sz w:val="20"/>
          <w:szCs w:val="20"/>
          <w:lang w:eastAsia="en-US"/>
        </w:rPr>
      </w:pPr>
    </w:p>
    <w:p w14:paraId="0C75C35F" w14:textId="17841767" w:rsidR="00B902D0" w:rsidRPr="003A2F86" w:rsidRDefault="00B95A8E" w:rsidP="00B902D0">
      <w:pPr>
        <w:spacing w:after="0" w:line="240" w:lineRule="auto"/>
        <w:jc w:val="both"/>
        <w:rPr>
          <w:rFonts w:ascii="Arial" w:eastAsia="Times New Roman" w:hAnsi="Arial" w:cs="Arial"/>
          <w:b/>
          <w:sz w:val="20"/>
          <w:szCs w:val="20"/>
          <w:lang w:eastAsia="en-US"/>
        </w:rPr>
      </w:pPr>
      <w:r w:rsidRPr="003A2F86">
        <w:rPr>
          <w:rFonts w:ascii="Arial" w:eastAsia="Times New Roman" w:hAnsi="Arial" w:cs="Arial"/>
          <w:sz w:val="20"/>
          <w:szCs w:val="20"/>
          <w:lang w:eastAsia="en-US"/>
        </w:rPr>
        <w:t xml:space="preserve">Obrazloženje izvršenja </w:t>
      </w:r>
      <w:r w:rsidR="00B902D0" w:rsidRPr="003A2F86">
        <w:rPr>
          <w:rFonts w:ascii="Arial" w:eastAsia="Times New Roman" w:hAnsi="Arial" w:cs="Arial"/>
          <w:sz w:val="20"/>
          <w:szCs w:val="20"/>
          <w:lang w:eastAsia="en-US"/>
        </w:rPr>
        <w:t xml:space="preserve">PROGRAMA 2044 Socijalna skrb - Dom za starije i nemoćne osobe Konavle iskazuje se u </w:t>
      </w:r>
      <w:r w:rsidR="00B902D0" w:rsidRPr="003A2F86">
        <w:rPr>
          <w:rFonts w:ascii="Arial" w:eastAsia="Times New Roman" w:hAnsi="Arial" w:cs="Arial"/>
          <w:color w:val="FF0000"/>
          <w:sz w:val="20"/>
          <w:szCs w:val="20"/>
          <w:lang w:eastAsia="en-US"/>
        </w:rPr>
        <w:t xml:space="preserve">točki </w:t>
      </w:r>
      <w:r w:rsidR="00B35AD1" w:rsidRPr="003A2F86">
        <w:rPr>
          <w:rFonts w:ascii="Arial" w:eastAsia="Times New Roman" w:hAnsi="Arial" w:cs="Arial"/>
          <w:b/>
          <w:color w:val="FF0000"/>
          <w:sz w:val="20"/>
          <w:szCs w:val="20"/>
          <w:lang w:eastAsia="en-US"/>
        </w:rPr>
        <w:t>3</w:t>
      </w:r>
      <w:r w:rsidR="00B902D0" w:rsidRPr="003A2F86">
        <w:rPr>
          <w:rFonts w:ascii="Arial" w:eastAsia="Times New Roman" w:hAnsi="Arial" w:cs="Arial"/>
          <w:b/>
          <w:color w:val="FF0000"/>
          <w:sz w:val="20"/>
          <w:szCs w:val="20"/>
          <w:lang w:eastAsia="en-US"/>
        </w:rPr>
        <w:t>.</w:t>
      </w:r>
      <w:r w:rsidR="00840581" w:rsidRPr="003A2F86">
        <w:rPr>
          <w:rFonts w:ascii="Arial" w:eastAsia="Times New Roman" w:hAnsi="Arial" w:cs="Arial"/>
          <w:b/>
          <w:color w:val="FF0000"/>
          <w:sz w:val="20"/>
          <w:szCs w:val="20"/>
          <w:lang w:eastAsia="en-US"/>
        </w:rPr>
        <w:t>4</w:t>
      </w:r>
      <w:r w:rsidR="00B902D0" w:rsidRPr="003A2F86">
        <w:rPr>
          <w:rFonts w:ascii="Arial" w:eastAsia="Times New Roman" w:hAnsi="Arial" w:cs="Arial"/>
          <w:b/>
          <w:color w:val="FF0000"/>
          <w:sz w:val="20"/>
          <w:szCs w:val="20"/>
          <w:lang w:eastAsia="en-US"/>
        </w:rPr>
        <w:t>.</w:t>
      </w:r>
      <w:r w:rsidR="00B902D0" w:rsidRPr="003A2F86">
        <w:rPr>
          <w:rFonts w:ascii="Arial" w:eastAsia="Times New Roman" w:hAnsi="Arial" w:cs="Arial"/>
          <w:color w:val="FF0000"/>
          <w:sz w:val="20"/>
          <w:szCs w:val="20"/>
          <w:lang w:eastAsia="en-US"/>
        </w:rPr>
        <w:t xml:space="preserve"> </w:t>
      </w:r>
      <w:r w:rsidRPr="003A2F86">
        <w:rPr>
          <w:rFonts w:ascii="Arial" w:eastAsia="Times New Roman" w:hAnsi="Arial" w:cs="Arial"/>
          <w:b/>
          <w:sz w:val="20"/>
          <w:szCs w:val="20"/>
        </w:rPr>
        <w:t xml:space="preserve">POSEBNI DIO PRORAČUNA – IZVRŠENJE FINANCIJSKIH PLANOVA PRORAČUNSKIH KORISNIKA SIJEČANJ – </w:t>
      </w:r>
      <w:r w:rsidR="009B3277">
        <w:rPr>
          <w:rFonts w:ascii="Arial" w:eastAsia="Times New Roman" w:hAnsi="Arial" w:cs="Arial"/>
          <w:b/>
          <w:sz w:val="20"/>
          <w:szCs w:val="20"/>
        </w:rPr>
        <w:t>LIPANJ</w:t>
      </w:r>
      <w:r w:rsidRPr="003A2F86">
        <w:rPr>
          <w:rFonts w:ascii="Arial" w:eastAsia="Times New Roman" w:hAnsi="Arial" w:cs="Arial"/>
          <w:b/>
          <w:sz w:val="20"/>
          <w:szCs w:val="20"/>
        </w:rPr>
        <w:t xml:space="preserve"> 20</w:t>
      </w:r>
      <w:r w:rsidR="00114EBC" w:rsidRPr="003A2F86">
        <w:rPr>
          <w:rFonts w:ascii="Arial" w:eastAsia="Times New Roman" w:hAnsi="Arial" w:cs="Arial"/>
          <w:b/>
          <w:sz w:val="20"/>
          <w:szCs w:val="20"/>
        </w:rPr>
        <w:t>2</w:t>
      </w:r>
      <w:r w:rsidR="009B3277">
        <w:rPr>
          <w:rFonts w:ascii="Arial" w:eastAsia="Times New Roman" w:hAnsi="Arial" w:cs="Arial"/>
          <w:b/>
          <w:sz w:val="20"/>
          <w:szCs w:val="20"/>
        </w:rPr>
        <w:t>5</w:t>
      </w:r>
      <w:r w:rsidRPr="003A2F86">
        <w:rPr>
          <w:rFonts w:ascii="Arial" w:eastAsia="Times New Roman" w:hAnsi="Arial" w:cs="Arial"/>
          <w:b/>
          <w:sz w:val="20"/>
          <w:szCs w:val="20"/>
        </w:rPr>
        <w:t>.</w:t>
      </w:r>
      <w:r w:rsidR="00B902D0" w:rsidRPr="003A2F86">
        <w:rPr>
          <w:rFonts w:ascii="Arial" w:eastAsia="Times New Roman" w:hAnsi="Arial" w:cs="Arial"/>
          <w:b/>
          <w:sz w:val="20"/>
          <w:szCs w:val="20"/>
        </w:rPr>
        <w:t xml:space="preserve">, </w:t>
      </w:r>
      <w:hyperlink w:anchor="_3.4.2._GLAVA:_(020" w:history="1">
        <w:r w:rsidR="00B35AD1" w:rsidRPr="001417DD">
          <w:rPr>
            <w:rStyle w:val="Hiperveza"/>
            <w:rFonts w:ascii="Arial" w:eastAsia="Times New Roman" w:hAnsi="Arial" w:cs="Arial"/>
            <w:b/>
            <w:sz w:val="20"/>
            <w:szCs w:val="20"/>
          </w:rPr>
          <w:t>3</w:t>
        </w:r>
        <w:r w:rsidR="00B902D0" w:rsidRPr="001417DD">
          <w:rPr>
            <w:rStyle w:val="Hiperveza"/>
            <w:rFonts w:ascii="Arial" w:eastAsia="Times New Roman" w:hAnsi="Arial" w:cs="Arial"/>
            <w:b/>
            <w:sz w:val="20"/>
            <w:szCs w:val="20"/>
          </w:rPr>
          <w:t>.</w:t>
        </w:r>
        <w:r w:rsidR="00840581" w:rsidRPr="001417DD">
          <w:rPr>
            <w:rStyle w:val="Hiperveza"/>
            <w:rFonts w:ascii="Arial" w:eastAsia="Times New Roman" w:hAnsi="Arial" w:cs="Arial"/>
            <w:b/>
            <w:sz w:val="20"/>
            <w:szCs w:val="20"/>
          </w:rPr>
          <w:t>4</w:t>
        </w:r>
        <w:r w:rsidR="00EE5199" w:rsidRPr="001417DD">
          <w:rPr>
            <w:rStyle w:val="Hiperveza"/>
            <w:rFonts w:ascii="Arial" w:eastAsia="Times New Roman" w:hAnsi="Arial" w:cs="Arial"/>
            <w:b/>
            <w:sz w:val="20"/>
            <w:szCs w:val="20"/>
          </w:rPr>
          <w:t>.</w:t>
        </w:r>
        <w:r w:rsidR="00B902D0" w:rsidRPr="001417DD">
          <w:rPr>
            <w:rStyle w:val="Hiperveza"/>
            <w:rFonts w:ascii="Arial" w:eastAsia="Times New Roman" w:hAnsi="Arial" w:cs="Arial"/>
            <w:b/>
            <w:sz w:val="20"/>
            <w:szCs w:val="20"/>
          </w:rPr>
          <w:t>2. Dom za starije i nemoćne osobe Konavle</w:t>
        </w:r>
      </w:hyperlink>
      <w:r w:rsidR="00B902D0" w:rsidRPr="003A2F86">
        <w:rPr>
          <w:rFonts w:ascii="Arial" w:eastAsia="Times New Roman" w:hAnsi="Arial" w:cs="Arial"/>
          <w:b/>
          <w:sz w:val="20"/>
          <w:szCs w:val="20"/>
        </w:rPr>
        <w:t>.</w:t>
      </w:r>
    </w:p>
    <w:p w14:paraId="1CD4BD79" w14:textId="77777777" w:rsidR="00B902D0" w:rsidRPr="003A2F86" w:rsidRDefault="00B902D0" w:rsidP="00B902D0">
      <w:pPr>
        <w:spacing w:after="0" w:line="240" w:lineRule="auto"/>
        <w:jc w:val="both"/>
        <w:rPr>
          <w:rFonts w:ascii="Arial" w:eastAsia="Calibri" w:hAnsi="Arial" w:cs="Arial"/>
          <w:sz w:val="20"/>
          <w:szCs w:val="20"/>
        </w:rPr>
      </w:pPr>
    </w:p>
    <w:p w14:paraId="28759A02" w14:textId="77777777" w:rsidR="00E2724D" w:rsidRPr="003A2F86" w:rsidRDefault="00E2724D" w:rsidP="00B902D0">
      <w:pPr>
        <w:spacing w:after="0" w:line="240" w:lineRule="auto"/>
        <w:jc w:val="both"/>
        <w:rPr>
          <w:rFonts w:ascii="Arial" w:eastAsia="Calibri" w:hAnsi="Arial" w:cs="Arial"/>
          <w:sz w:val="20"/>
          <w:szCs w:val="20"/>
        </w:rPr>
      </w:pPr>
    </w:p>
    <w:p w14:paraId="42A20A68" w14:textId="4CC213FF" w:rsidR="00B902D0" w:rsidRPr="003A2F86" w:rsidRDefault="00EE5199" w:rsidP="00FA1272">
      <w:pPr>
        <w:pStyle w:val="Naslov4"/>
        <w:rPr>
          <w:rFonts w:eastAsia="Calibri"/>
        </w:rPr>
      </w:pPr>
      <w:bookmarkStart w:id="324" w:name="_Toc36842128"/>
      <w:bookmarkStart w:id="325" w:name="_Toc207707468"/>
      <w:r w:rsidRPr="003A2F86">
        <w:rPr>
          <w:rFonts w:eastAsia="Calibri"/>
        </w:rPr>
        <w:t>3.</w:t>
      </w:r>
      <w:r w:rsidR="00375FAF" w:rsidRPr="003A2F86">
        <w:rPr>
          <w:rFonts w:eastAsia="Calibri"/>
        </w:rPr>
        <w:t>3</w:t>
      </w:r>
      <w:r w:rsidRPr="003A2F86">
        <w:rPr>
          <w:rFonts w:eastAsia="Calibri"/>
        </w:rPr>
        <w:t>.2</w:t>
      </w:r>
      <w:r w:rsidR="00B902D0" w:rsidRPr="003A2F86">
        <w:rPr>
          <w:rFonts w:eastAsia="Calibri"/>
        </w:rPr>
        <w:t>.</w:t>
      </w:r>
      <w:r w:rsidR="00732AB9" w:rsidRPr="003A2F86">
        <w:rPr>
          <w:rFonts w:eastAsia="Calibri"/>
        </w:rPr>
        <w:t>4</w:t>
      </w:r>
      <w:r w:rsidR="00B902D0" w:rsidRPr="003A2F86">
        <w:rPr>
          <w:rFonts w:eastAsia="Calibri"/>
        </w:rPr>
        <w:t>.</w:t>
      </w:r>
      <w:r w:rsidR="00B902D0" w:rsidRPr="003A2F86">
        <w:rPr>
          <w:rFonts w:eastAsia="Calibri"/>
        </w:rPr>
        <w:tab/>
        <w:t>GLAVA: (020 05) USTANOVA PREDŠKOLSKOG ODGOJA</w:t>
      </w:r>
      <w:bookmarkEnd w:id="324"/>
      <w:bookmarkEnd w:id="325"/>
      <w:r w:rsidR="00B902D0" w:rsidRPr="003A2F86">
        <w:rPr>
          <w:rFonts w:eastAsia="Calibri"/>
        </w:rPr>
        <w:t xml:space="preserve"> </w:t>
      </w:r>
    </w:p>
    <w:p w14:paraId="5D75FCCA" w14:textId="77777777" w:rsidR="00B902D0" w:rsidRPr="003A2F86" w:rsidRDefault="00B902D0" w:rsidP="00B902D0">
      <w:pPr>
        <w:autoSpaceDE w:val="0"/>
        <w:autoSpaceDN w:val="0"/>
        <w:adjustRightInd w:val="0"/>
        <w:spacing w:after="0" w:line="240" w:lineRule="auto"/>
        <w:jc w:val="both"/>
        <w:rPr>
          <w:rFonts w:ascii="Arial" w:eastAsia="Calibri" w:hAnsi="Arial" w:cs="Arial"/>
          <w:sz w:val="20"/>
          <w:szCs w:val="20"/>
        </w:rPr>
      </w:pPr>
    </w:p>
    <w:p w14:paraId="126FB664" w14:textId="77777777" w:rsidR="00B902D0" w:rsidRPr="003A2F86" w:rsidRDefault="00B902D0" w:rsidP="00B902D0">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U razdjelu 020 UPRAVNI ODJEL ZA OPĆE POSLOVE, MJESNU SAMOUPRAVU I DRUŠTVENE DJELATNOSTI, glava 020 05 Ustanova predškolskog odgoja, izvodi se jedan program. </w:t>
      </w:r>
    </w:p>
    <w:p w14:paraId="62B4C81C" w14:textId="77777777" w:rsidR="00B902D0" w:rsidRPr="003A2F86" w:rsidRDefault="00B902D0" w:rsidP="00B902D0">
      <w:pPr>
        <w:spacing w:after="0" w:line="240" w:lineRule="auto"/>
        <w:jc w:val="both"/>
        <w:rPr>
          <w:rFonts w:ascii="Arial" w:eastAsia="Times New Roman" w:hAnsi="Arial" w:cs="Arial"/>
          <w:sz w:val="20"/>
          <w:szCs w:val="20"/>
          <w:lang w:eastAsia="en-US"/>
        </w:rPr>
      </w:pPr>
    </w:p>
    <w:p w14:paraId="4C6DB356" w14:textId="77777777" w:rsidR="00B902D0" w:rsidRPr="00837ECF" w:rsidRDefault="00B902D0" w:rsidP="0012332E">
      <w:pPr>
        <w:pStyle w:val="Naslov3"/>
        <w:rPr>
          <w:rFonts w:eastAsia="Calibri"/>
        </w:rPr>
      </w:pPr>
      <w:bookmarkStart w:id="326" w:name="_Toc36842129"/>
      <w:bookmarkStart w:id="327" w:name="_Toc207707469"/>
      <w:r w:rsidRPr="00837ECF">
        <w:rPr>
          <w:rFonts w:eastAsia="Calibri"/>
        </w:rPr>
        <w:t>Program (2051): Odgoj, naobrazba i skrb o predškolskoj djeci</w:t>
      </w:r>
      <w:bookmarkEnd w:id="326"/>
      <w:bookmarkEnd w:id="327"/>
    </w:p>
    <w:p w14:paraId="2785C9ED" w14:textId="77777777" w:rsidR="00B902D0" w:rsidRPr="003A2F86" w:rsidRDefault="00B902D0" w:rsidP="00B902D0">
      <w:pPr>
        <w:spacing w:after="0" w:line="240" w:lineRule="auto"/>
        <w:jc w:val="both"/>
        <w:rPr>
          <w:rFonts w:ascii="Arial" w:eastAsia="Times New Roman" w:hAnsi="Arial" w:cs="Arial"/>
          <w:sz w:val="20"/>
          <w:szCs w:val="20"/>
          <w:lang w:eastAsia="en-US"/>
        </w:rPr>
      </w:pPr>
    </w:p>
    <w:p w14:paraId="5AA60AE3" w14:textId="77777777" w:rsidR="00B902D0" w:rsidRPr="003A2F86" w:rsidRDefault="00B902D0" w:rsidP="00B902D0">
      <w:pPr>
        <w:spacing w:after="0" w:line="240" w:lineRule="auto"/>
        <w:jc w:val="both"/>
        <w:rPr>
          <w:rFonts w:ascii="Arial" w:eastAsia="Calibri" w:hAnsi="Arial" w:cs="Arial"/>
          <w:sz w:val="20"/>
          <w:szCs w:val="20"/>
        </w:rPr>
      </w:pPr>
      <w:r w:rsidRPr="003A2F86">
        <w:rPr>
          <w:rFonts w:ascii="Arial" w:eastAsia="Calibri" w:hAnsi="Arial" w:cs="Arial"/>
          <w:noProof/>
          <w:sz w:val="20"/>
          <w:szCs w:val="20"/>
        </w:rPr>
        <w:drawing>
          <wp:inline distT="0" distB="0" distL="0" distR="0" wp14:anchorId="55F01A4B" wp14:editId="772D8350">
            <wp:extent cx="6115050" cy="190500"/>
            <wp:effectExtent l="0" t="0" r="0" b="0"/>
            <wp:docPr id="705"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5050" cy="190500"/>
                    </a:xfrm>
                    <a:prstGeom prst="rect">
                      <a:avLst/>
                    </a:prstGeom>
                    <a:noFill/>
                    <a:ln>
                      <a:noFill/>
                    </a:ln>
                  </pic:spPr>
                </pic:pic>
              </a:graphicData>
            </a:graphic>
          </wp:inline>
        </w:drawing>
      </w:r>
    </w:p>
    <w:p w14:paraId="2EFC9E20" w14:textId="77777777" w:rsidR="00B902D0" w:rsidRPr="003A2F86" w:rsidRDefault="00B902D0" w:rsidP="00B902D0">
      <w:pPr>
        <w:spacing w:after="0" w:line="240" w:lineRule="auto"/>
        <w:jc w:val="both"/>
        <w:rPr>
          <w:rFonts w:ascii="Arial" w:eastAsia="Calibri" w:hAnsi="Arial" w:cs="Arial"/>
          <w:sz w:val="20"/>
          <w:szCs w:val="20"/>
        </w:rPr>
      </w:pPr>
    </w:p>
    <w:p w14:paraId="2C4B0E8A" w14:textId="7CB083BC" w:rsidR="00B902D0" w:rsidRPr="003A2F86" w:rsidRDefault="00B902D0" w:rsidP="005D36E1">
      <w:pPr>
        <w:spacing w:after="0" w:line="240" w:lineRule="auto"/>
        <w:jc w:val="both"/>
        <w:rPr>
          <w:rFonts w:ascii="Arial" w:eastAsia="Calibri" w:hAnsi="Arial" w:cs="Arial"/>
          <w:sz w:val="20"/>
          <w:szCs w:val="20"/>
        </w:rPr>
      </w:pPr>
      <w:r w:rsidRPr="003A2F86">
        <w:rPr>
          <w:rFonts w:ascii="Arial" w:eastAsia="Times New Roman" w:hAnsi="Arial" w:cs="Arial"/>
          <w:sz w:val="20"/>
          <w:szCs w:val="20"/>
          <w:lang w:eastAsia="en-US"/>
        </w:rPr>
        <w:t xml:space="preserve">Obrazloženje </w:t>
      </w:r>
      <w:r w:rsidR="00B95A8E" w:rsidRPr="003A2F86">
        <w:rPr>
          <w:rFonts w:ascii="Arial" w:eastAsia="Times New Roman" w:hAnsi="Arial" w:cs="Arial"/>
          <w:sz w:val="20"/>
          <w:szCs w:val="20"/>
          <w:lang w:eastAsia="en-US"/>
        </w:rPr>
        <w:t xml:space="preserve">izvršenja </w:t>
      </w:r>
      <w:r w:rsidRPr="003A2F86">
        <w:rPr>
          <w:rFonts w:ascii="Arial" w:eastAsia="Times New Roman" w:hAnsi="Arial" w:cs="Arial"/>
          <w:sz w:val="20"/>
          <w:szCs w:val="20"/>
          <w:lang w:eastAsia="en-US"/>
        </w:rPr>
        <w:t xml:space="preserve">PROGRAMA 2051 Odgoj, naobrazba i skrb o predškolskoj djeci, Dječji vrtić Konavle iskazuje se u </w:t>
      </w:r>
      <w:r w:rsidRPr="003A2F86">
        <w:rPr>
          <w:rFonts w:ascii="Arial" w:eastAsia="Times New Roman" w:hAnsi="Arial" w:cs="Arial"/>
          <w:color w:val="FF0000"/>
          <w:sz w:val="20"/>
          <w:szCs w:val="20"/>
          <w:lang w:eastAsia="en-US"/>
        </w:rPr>
        <w:t xml:space="preserve">točki </w:t>
      </w:r>
      <w:r w:rsidR="00B35AD1" w:rsidRPr="003A2F86">
        <w:rPr>
          <w:rFonts w:ascii="Arial" w:eastAsia="Times New Roman" w:hAnsi="Arial" w:cs="Arial"/>
          <w:b/>
          <w:color w:val="FF0000"/>
          <w:sz w:val="20"/>
          <w:szCs w:val="20"/>
          <w:lang w:eastAsia="en-US"/>
        </w:rPr>
        <w:t>3</w:t>
      </w:r>
      <w:r w:rsidRPr="003A2F86">
        <w:rPr>
          <w:rFonts w:ascii="Arial" w:eastAsia="Times New Roman" w:hAnsi="Arial" w:cs="Arial"/>
          <w:b/>
          <w:color w:val="FF0000"/>
          <w:sz w:val="20"/>
          <w:szCs w:val="20"/>
          <w:lang w:eastAsia="en-US"/>
        </w:rPr>
        <w:t>.</w:t>
      </w:r>
      <w:r w:rsidR="00840581" w:rsidRPr="003A2F86">
        <w:rPr>
          <w:rFonts w:ascii="Arial" w:eastAsia="Times New Roman" w:hAnsi="Arial" w:cs="Arial"/>
          <w:b/>
          <w:color w:val="FF0000"/>
          <w:sz w:val="20"/>
          <w:szCs w:val="20"/>
          <w:lang w:eastAsia="en-US"/>
        </w:rPr>
        <w:t>4</w:t>
      </w:r>
      <w:r w:rsidRPr="003A2F86">
        <w:rPr>
          <w:rFonts w:ascii="Arial" w:eastAsia="Times New Roman" w:hAnsi="Arial" w:cs="Arial"/>
          <w:b/>
          <w:color w:val="FF0000"/>
          <w:sz w:val="20"/>
          <w:szCs w:val="20"/>
          <w:lang w:eastAsia="en-US"/>
        </w:rPr>
        <w:t>.</w:t>
      </w:r>
      <w:r w:rsidRPr="003A2F86">
        <w:rPr>
          <w:rFonts w:ascii="Arial" w:eastAsia="Times New Roman" w:hAnsi="Arial" w:cs="Arial"/>
          <w:color w:val="FF0000"/>
          <w:sz w:val="20"/>
          <w:szCs w:val="20"/>
          <w:lang w:eastAsia="en-US"/>
        </w:rPr>
        <w:t xml:space="preserve"> </w:t>
      </w:r>
      <w:r w:rsidR="00B95A8E" w:rsidRPr="003A2F86">
        <w:rPr>
          <w:rFonts w:ascii="Arial" w:eastAsia="Times New Roman" w:hAnsi="Arial" w:cs="Arial"/>
          <w:b/>
          <w:sz w:val="20"/>
          <w:szCs w:val="20"/>
        </w:rPr>
        <w:t xml:space="preserve">POSEBNI DIO PRORAČUNA – IZVRŠENJE FINANCIJSKIH PLANOVA PRORAČUNSKIH KORISNIKA SIJEČANJ – </w:t>
      </w:r>
      <w:r w:rsidR="009B3277">
        <w:rPr>
          <w:rFonts w:ascii="Arial" w:eastAsia="Times New Roman" w:hAnsi="Arial" w:cs="Arial"/>
          <w:b/>
          <w:sz w:val="20"/>
          <w:szCs w:val="20"/>
        </w:rPr>
        <w:t>LIPANJ</w:t>
      </w:r>
      <w:r w:rsidR="00B95A8E" w:rsidRPr="003A2F86">
        <w:rPr>
          <w:rFonts w:ascii="Arial" w:eastAsia="Times New Roman" w:hAnsi="Arial" w:cs="Arial"/>
          <w:b/>
          <w:sz w:val="20"/>
          <w:szCs w:val="20"/>
        </w:rPr>
        <w:t xml:space="preserve"> 20</w:t>
      </w:r>
      <w:r w:rsidR="00114EBC" w:rsidRPr="003A2F86">
        <w:rPr>
          <w:rFonts w:ascii="Arial" w:eastAsia="Times New Roman" w:hAnsi="Arial" w:cs="Arial"/>
          <w:b/>
          <w:sz w:val="20"/>
          <w:szCs w:val="20"/>
        </w:rPr>
        <w:t>2</w:t>
      </w:r>
      <w:r w:rsidR="00F74B04" w:rsidRPr="003A2F86">
        <w:rPr>
          <w:rFonts w:ascii="Arial" w:eastAsia="Times New Roman" w:hAnsi="Arial" w:cs="Arial"/>
          <w:b/>
          <w:sz w:val="20"/>
          <w:szCs w:val="20"/>
        </w:rPr>
        <w:t>4</w:t>
      </w:r>
      <w:r w:rsidR="00B95A8E" w:rsidRPr="003A2F86">
        <w:rPr>
          <w:rFonts w:ascii="Arial" w:eastAsia="Times New Roman" w:hAnsi="Arial" w:cs="Arial"/>
          <w:b/>
          <w:sz w:val="20"/>
          <w:szCs w:val="20"/>
        </w:rPr>
        <w:t>.</w:t>
      </w:r>
      <w:r w:rsidRPr="003A2F86">
        <w:rPr>
          <w:rFonts w:ascii="Arial" w:eastAsia="Times New Roman" w:hAnsi="Arial" w:cs="Arial"/>
          <w:b/>
          <w:sz w:val="20"/>
          <w:szCs w:val="20"/>
        </w:rPr>
        <w:t xml:space="preserve">, </w:t>
      </w:r>
      <w:hyperlink w:anchor="_3.4.3._GLAVA:_(020" w:history="1">
        <w:r w:rsidR="00B35AD1" w:rsidRPr="001417DD">
          <w:rPr>
            <w:rStyle w:val="Hiperveza"/>
            <w:rFonts w:ascii="Arial" w:eastAsia="Times New Roman" w:hAnsi="Arial" w:cs="Arial"/>
            <w:b/>
            <w:sz w:val="20"/>
            <w:szCs w:val="20"/>
          </w:rPr>
          <w:t>3</w:t>
        </w:r>
        <w:r w:rsidRPr="001417DD">
          <w:rPr>
            <w:rStyle w:val="Hiperveza"/>
            <w:rFonts w:ascii="Arial" w:eastAsia="Times New Roman" w:hAnsi="Arial" w:cs="Arial"/>
            <w:b/>
            <w:sz w:val="20"/>
            <w:szCs w:val="20"/>
          </w:rPr>
          <w:t>.</w:t>
        </w:r>
        <w:r w:rsidR="00840581" w:rsidRPr="001417DD">
          <w:rPr>
            <w:rStyle w:val="Hiperveza"/>
            <w:rFonts w:ascii="Arial" w:eastAsia="Times New Roman" w:hAnsi="Arial" w:cs="Arial"/>
            <w:b/>
            <w:sz w:val="20"/>
            <w:szCs w:val="20"/>
          </w:rPr>
          <w:t>4</w:t>
        </w:r>
        <w:r w:rsidR="00EE5199" w:rsidRPr="001417DD">
          <w:rPr>
            <w:rStyle w:val="Hiperveza"/>
            <w:rFonts w:ascii="Arial" w:eastAsia="Times New Roman" w:hAnsi="Arial" w:cs="Arial"/>
            <w:b/>
            <w:sz w:val="20"/>
            <w:szCs w:val="20"/>
          </w:rPr>
          <w:t>.3</w:t>
        </w:r>
        <w:r w:rsidRPr="001417DD">
          <w:rPr>
            <w:rStyle w:val="Hiperveza"/>
            <w:rFonts w:ascii="Arial" w:eastAsia="Times New Roman" w:hAnsi="Arial" w:cs="Arial"/>
            <w:b/>
            <w:sz w:val="20"/>
            <w:szCs w:val="20"/>
          </w:rPr>
          <w:t>. Dječji vrtić Konavle</w:t>
        </w:r>
      </w:hyperlink>
      <w:r w:rsidRPr="003A2F86">
        <w:rPr>
          <w:rFonts w:ascii="Arial" w:eastAsia="Times New Roman" w:hAnsi="Arial" w:cs="Arial"/>
          <w:b/>
          <w:sz w:val="20"/>
          <w:szCs w:val="20"/>
        </w:rPr>
        <w:t>.</w:t>
      </w:r>
      <w:r w:rsidRPr="003A2F86">
        <w:rPr>
          <w:rFonts w:ascii="Arial" w:eastAsia="Calibri" w:hAnsi="Arial" w:cs="Arial"/>
          <w:sz w:val="20"/>
          <w:szCs w:val="20"/>
        </w:rPr>
        <w:br w:type="page"/>
      </w:r>
    </w:p>
    <w:bookmarkEnd w:id="317"/>
    <w:p w14:paraId="56798099" w14:textId="77777777" w:rsidR="00891119" w:rsidRPr="003A2F86" w:rsidRDefault="00891119" w:rsidP="00891119">
      <w:pPr>
        <w:spacing w:after="0" w:line="240" w:lineRule="auto"/>
        <w:jc w:val="both"/>
        <w:rPr>
          <w:rFonts w:ascii="Arial" w:eastAsia="Calibri" w:hAnsi="Arial" w:cs="Arial"/>
          <w:sz w:val="20"/>
          <w:szCs w:val="20"/>
        </w:rPr>
      </w:pPr>
    </w:p>
    <w:p w14:paraId="0E475DD4" w14:textId="038FDE89" w:rsidR="00891119" w:rsidRPr="003A2F86" w:rsidRDefault="00B62A4A" w:rsidP="00375FAF">
      <w:pPr>
        <w:pStyle w:val="Naslov3"/>
        <w:rPr>
          <w:rFonts w:eastAsia="Calibri"/>
          <w:lang w:val="hr-HR"/>
        </w:rPr>
      </w:pPr>
      <w:bookmarkStart w:id="328" w:name="_Toc435014677"/>
      <w:bookmarkStart w:id="329" w:name="_Toc207707470"/>
      <w:r w:rsidRPr="003A2F86">
        <w:rPr>
          <w:rFonts w:eastAsia="Calibri"/>
          <w:lang w:val="hr-HR"/>
        </w:rPr>
        <w:t>3.</w:t>
      </w:r>
      <w:r w:rsidR="00375FAF" w:rsidRPr="003A2F86">
        <w:rPr>
          <w:rFonts w:eastAsia="Calibri"/>
          <w:lang w:val="hr-HR"/>
        </w:rPr>
        <w:t>3</w:t>
      </w:r>
      <w:r w:rsidRPr="003A2F86">
        <w:rPr>
          <w:rFonts w:eastAsia="Calibri"/>
          <w:lang w:val="hr-HR"/>
        </w:rPr>
        <w:t>.</w:t>
      </w:r>
      <w:r w:rsidR="00891119" w:rsidRPr="003A2F86">
        <w:rPr>
          <w:rFonts w:eastAsia="Calibri"/>
          <w:lang w:val="hr-HR"/>
        </w:rPr>
        <w:t>3.</w:t>
      </w:r>
      <w:r w:rsidR="00891119" w:rsidRPr="003A2F86">
        <w:rPr>
          <w:rFonts w:eastAsia="Calibri"/>
          <w:lang w:val="hr-HR"/>
        </w:rPr>
        <w:tab/>
        <w:t>RAZDJEL: (030) UPRAVNI ODJEL ZA KOMUNALNI SUSTAV I GOSPODARENJE NEKRETNINAMA</w:t>
      </w:r>
      <w:bookmarkEnd w:id="328"/>
      <w:bookmarkEnd w:id="329"/>
    </w:p>
    <w:p w14:paraId="62E7453C" w14:textId="77777777" w:rsidR="00891119" w:rsidRPr="003A2F86" w:rsidRDefault="00891119" w:rsidP="00891119">
      <w:pPr>
        <w:spacing w:after="0" w:line="240" w:lineRule="auto"/>
        <w:rPr>
          <w:rFonts w:ascii="Times New Roman" w:eastAsia="Calibri" w:hAnsi="Times New Roman" w:cs="Arial"/>
          <w:sz w:val="20"/>
          <w:szCs w:val="20"/>
          <w:lang w:eastAsia="en-US"/>
        </w:rPr>
      </w:pPr>
    </w:p>
    <w:p w14:paraId="5D5809FA" w14:textId="0B420556" w:rsidR="00891119" w:rsidRPr="003A2F86" w:rsidRDefault="00891119" w:rsidP="00891119">
      <w:pPr>
        <w:spacing w:after="0" w:line="240" w:lineRule="auto"/>
        <w:jc w:val="both"/>
        <w:rPr>
          <w:rFonts w:ascii="Arial" w:eastAsia="Times New Roman" w:hAnsi="Arial" w:cs="Arial"/>
          <w:iCs/>
          <w:sz w:val="20"/>
          <w:szCs w:val="20"/>
          <w:lang w:eastAsia="en-US"/>
        </w:rPr>
      </w:pPr>
      <w:r w:rsidRPr="003A2F86">
        <w:rPr>
          <w:rFonts w:ascii="Arial" w:eastAsia="Times New Roman" w:hAnsi="Arial" w:cs="Arial"/>
          <w:iCs/>
          <w:sz w:val="20"/>
          <w:szCs w:val="20"/>
          <w:lang w:eastAsia="en-US"/>
        </w:rPr>
        <w:t>Rashodi i izdaci razdjela 030 (Upravni odjel za komunalni sustav i gospodarenje nekretninama) odnose se na rashode podijeljene u dvije glave, a svaka glava se sastoji od programa podijeljenih u aktivnosti i projekte:</w:t>
      </w:r>
    </w:p>
    <w:p w14:paraId="138C4A7B" w14:textId="77777777" w:rsidR="00D72C52" w:rsidRPr="003A2F86" w:rsidRDefault="00D72C52" w:rsidP="00D72C52">
      <w:pPr>
        <w:spacing w:after="0" w:line="240" w:lineRule="auto"/>
        <w:jc w:val="both"/>
        <w:rPr>
          <w:rFonts w:ascii="Arial" w:eastAsia="Calibri" w:hAnsi="Arial" w:cs="Arial"/>
          <w:sz w:val="20"/>
          <w:szCs w:val="20"/>
        </w:rPr>
      </w:pPr>
      <w:bookmarkStart w:id="330" w:name="_Toc435014678"/>
    </w:p>
    <w:p w14:paraId="01C7957D" w14:textId="2A4928DF" w:rsidR="004443EE" w:rsidRPr="003A2F86" w:rsidRDefault="009B3277" w:rsidP="004A781F">
      <w:pPr>
        <w:spacing w:after="0" w:line="240" w:lineRule="auto"/>
        <w:jc w:val="center"/>
        <w:rPr>
          <w:rFonts w:ascii="Arial" w:eastAsia="Calibri" w:hAnsi="Arial" w:cs="Arial"/>
          <w:sz w:val="20"/>
          <w:szCs w:val="20"/>
        </w:rPr>
      </w:pPr>
      <w:r w:rsidRPr="009B3277">
        <w:rPr>
          <w:noProof/>
        </w:rPr>
        <w:drawing>
          <wp:inline distT="0" distB="0" distL="0" distR="0" wp14:anchorId="46C7F2F9" wp14:editId="1D75B78C">
            <wp:extent cx="9251950" cy="2501900"/>
            <wp:effectExtent l="0" t="0" r="6350" b="0"/>
            <wp:docPr id="99906677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251950" cy="2501900"/>
                    </a:xfrm>
                    <a:prstGeom prst="rect">
                      <a:avLst/>
                    </a:prstGeom>
                    <a:noFill/>
                    <a:ln>
                      <a:noFill/>
                    </a:ln>
                  </pic:spPr>
                </pic:pic>
              </a:graphicData>
            </a:graphic>
          </wp:inline>
        </w:drawing>
      </w:r>
    </w:p>
    <w:p w14:paraId="453EBF38" w14:textId="77777777" w:rsidR="004443EE" w:rsidRPr="003A2F86" w:rsidRDefault="004443EE" w:rsidP="00D72C52">
      <w:pPr>
        <w:spacing w:after="0" w:line="240" w:lineRule="auto"/>
        <w:jc w:val="both"/>
        <w:rPr>
          <w:rFonts w:ascii="Arial" w:eastAsia="Calibri" w:hAnsi="Arial" w:cs="Arial"/>
          <w:sz w:val="20"/>
          <w:szCs w:val="20"/>
        </w:rPr>
      </w:pPr>
    </w:p>
    <w:tbl>
      <w:tblPr>
        <w:tblStyle w:val="Reetkatablice"/>
        <w:tblW w:w="0" w:type="auto"/>
        <w:tblLook w:val="04A0" w:firstRow="1" w:lastRow="0" w:firstColumn="1" w:lastColumn="0" w:noHBand="0" w:noVBand="1"/>
      </w:tblPr>
      <w:tblGrid>
        <w:gridCol w:w="1271"/>
        <w:gridCol w:w="13289"/>
      </w:tblGrid>
      <w:tr w:rsidR="005F5E16" w:rsidRPr="003A2F86" w14:paraId="3D14E163" w14:textId="77777777" w:rsidTr="00B223BA">
        <w:tc>
          <w:tcPr>
            <w:tcW w:w="1271" w:type="dxa"/>
          </w:tcPr>
          <w:p w14:paraId="15C788A7" w14:textId="77777777" w:rsidR="00A9552A" w:rsidRPr="003A2F86" w:rsidRDefault="00A9552A" w:rsidP="00B223BA">
            <w:pPr>
              <w:rPr>
                <w:rFonts w:ascii="Arial" w:eastAsia="Calibri" w:hAnsi="Arial" w:cs="Arial"/>
                <w:b/>
                <w:bCs/>
              </w:rPr>
            </w:pPr>
            <w:r w:rsidRPr="003A2F86">
              <w:rPr>
                <w:rFonts w:ascii="Arial" w:eastAsia="Calibri" w:hAnsi="Arial" w:cs="Arial"/>
                <w:b/>
                <w:bCs/>
              </w:rPr>
              <w:t>Sažetak djelokruga rada:</w:t>
            </w:r>
          </w:p>
        </w:tc>
        <w:tc>
          <w:tcPr>
            <w:tcW w:w="13289" w:type="dxa"/>
          </w:tcPr>
          <w:p w14:paraId="22D23DCB" w14:textId="74EAB876" w:rsidR="00A9552A" w:rsidRPr="003A2F86" w:rsidRDefault="00A9552A" w:rsidP="00B223BA">
            <w:pPr>
              <w:rPr>
                <w:rFonts w:ascii="Arial" w:eastAsia="Calibri" w:hAnsi="Arial" w:cs="Arial"/>
              </w:rPr>
            </w:pPr>
            <w:r w:rsidRPr="003A2F86">
              <w:rPr>
                <w:rFonts w:ascii="Arial" w:eastAsia="Calibri" w:hAnsi="Arial" w:cs="Arial"/>
              </w:rPr>
              <w:t xml:space="preserve">Ustrojstvo i djelokrug rada Upravnog odjela za </w:t>
            </w:r>
            <w:r w:rsidR="004443EE" w:rsidRPr="003A2F86">
              <w:rPr>
                <w:rFonts w:ascii="Arial" w:eastAsia="Calibri" w:hAnsi="Arial" w:cs="Arial"/>
              </w:rPr>
              <w:t xml:space="preserve">prostorno uređenje, zaštitu okoliša, </w:t>
            </w:r>
            <w:r w:rsidRPr="003A2F86">
              <w:rPr>
                <w:rFonts w:ascii="Arial" w:eastAsia="Calibri" w:hAnsi="Arial" w:cs="Arial"/>
              </w:rPr>
              <w:t xml:space="preserve">komunalni sustav </w:t>
            </w:r>
            <w:r w:rsidR="004443EE" w:rsidRPr="003A2F86">
              <w:rPr>
                <w:rFonts w:ascii="Arial" w:eastAsia="Calibri" w:hAnsi="Arial" w:cs="Arial"/>
              </w:rPr>
              <w:t xml:space="preserve">i gospodarenje nekretninama </w:t>
            </w:r>
            <w:r w:rsidRPr="003A2F86">
              <w:rPr>
                <w:rFonts w:ascii="Arial" w:eastAsia="Calibri" w:hAnsi="Arial" w:cs="Arial"/>
              </w:rPr>
              <w:t xml:space="preserve">utvrđeni su Odlukom o ustrojstvu i djelokrugu upravnih tijela Općine (Službeni glasnik Općine Konavle </w:t>
            </w:r>
            <w:r w:rsidR="00B93851" w:rsidRPr="003A2F86">
              <w:rPr>
                <w:rFonts w:ascii="Arial" w:eastAsia="Calibri" w:hAnsi="Arial" w:cs="Arial"/>
              </w:rPr>
              <w:t>6/23, 2/24</w:t>
            </w:r>
            <w:r w:rsidRPr="003A2F86">
              <w:rPr>
                <w:rFonts w:ascii="Arial" w:eastAsia="Calibri" w:hAnsi="Arial" w:cs="Arial"/>
              </w:rPr>
              <w:t xml:space="preserve">), te Pravilnikom o unutarnjem redu (Službeni glasnik Općine Konavle </w:t>
            </w:r>
            <w:r w:rsidR="00B93851" w:rsidRPr="003A2F86">
              <w:rPr>
                <w:rFonts w:ascii="Arial" w:eastAsia="Calibri" w:hAnsi="Arial" w:cs="Arial"/>
              </w:rPr>
              <w:t>1/24, 5/24</w:t>
            </w:r>
            <w:r w:rsidR="009B3277">
              <w:rPr>
                <w:rFonts w:ascii="Arial" w:eastAsia="Calibri" w:hAnsi="Arial" w:cs="Arial"/>
              </w:rPr>
              <w:t>, 6/25</w:t>
            </w:r>
            <w:r w:rsidRPr="003A2F86">
              <w:rPr>
                <w:rFonts w:ascii="Arial" w:eastAsia="Calibri" w:hAnsi="Arial" w:cs="Arial"/>
              </w:rPr>
              <w:t>).</w:t>
            </w:r>
          </w:p>
          <w:p w14:paraId="76996764" w14:textId="79567B08" w:rsidR="00A9552A" w:rsidRPr="003A2F86" w:rsidRDefault="00A9552A" w:rsidP="00B223BA">
            <w:pPr>
              <w:rPr>
                <w:rFonts w:ascii="Arial" w:eastAsia="Calibri" w:hAnsi="Arial" w:cs="Arial"/>
              </w:rPr>
            </w:pPr>
            <w:r w:rsidRPr="003A2F86">
              <w:rPr>
                <w:rFonts w:ascii="Arial" w:eastAsia="Calibri" w:hAnsi="Arial" w:cs="Arial"/>
              </w:rPr>
              <w:t>Upravni odjel obavlja upravne i druge stručne poslove iz područja graditeljstva, komunalnih poslova, infrastrukture, izrađuje izvješća, stručne podloge, prijedloge i nacrte akata iz svog djelokruga, a sve u cilju boljeg i ravnomjernijeg graditeljskog, komunalnog i infrastrukturnog razvoja Općine. Ovaj upravni odjel, obavlja poslove i zadaće u vezi s osnivačkim pravima nad trgovačkim društvima u vlasništvu, uključujući i ustanovu iz područja vatrogastva, te predlaže mjere u svrhu dobrog gospodarenja tim trgovačkim društvima i ustanovama.</w:t>
            </w:r>
          </w:p>
          <w:p w14:paraId="76204E94" w14:textId="0BD70EBE" w:rsidR="00A9552A" w:rsidRPr="003A2F86" w:rsidRDefault="00A9552A" w:rsidP="00B223BA">
            <w:pPr>
              <w:rPr>
                <w:rFonts w:ascii="Arial" w:eastAsia="Calibri" w:hAnsi="Arial" w:cs="Arial"/>
              </w:rPr>
            </w:pPr>
            <w:r w:rsidRPr="003A2F86">
              <w:rPr>
                <w:rFonts w:ascii="Arial" w:eastAsia="Calibri" w:hAnsi="Arial" w:cs="Arial"/>
              </w:rPr>
              <w:t xml:space="preserve">Ustrojstvo i djelokrug rada Upravnog odjela utvrđeni su u svrhu provedbe svakodnevnih radnih zadataka i aktivnosti te realizacije Proračuna Općine Konavle, što podrazumijeva obavljanje poslova vezanih za uređenje naselja i kvalitetu stanovanja, </w:t>
            </w:r>
            <w:r w:rsidR="00B93851" w:rsidRPr="003A2F86">
              <w:rPr>
                <w:rFonts w:ascii="Arial" w:eastAsia="Calibri" w:hAnsi="Arial" w:cs="Arial"/>
              </w:rPr>
              <w:t xml:space="preserve">prostorno planiranje i zaštitu okoliša, </w:t>
            </w:r>
            <w:r w:rsidRPr="003A2F86">
              <w:rPr>
                <w:rFonts w:ascii="Arial" w:eastAsia="Calibri" w:hAnsi="Arial" w:cs="Arial"/>
              </w:rPr>
              <w:t>izgradnju objekata i uređaja komunalne infrastrukture i održavanje zelenih površina i opreme na tim površinama, čišćenje javno-prometnih površina, dezinsekciju i deratizaciju, održavanje javnih objekata, komunalne infrastrukture, autobusnih čekaonica, sanaciju neuređenih deponija, prometnica, javnih pješačkih komunikacija, analizu i uređenje prometa, dodjelu koncesija za obavljanje komunalnih djelatnosti, koordinaciju i kontrolu rada i planova komunalnih poduzeća, upravljanje i nadzor nad cestovnim prometom iz nadležnosti prometnog redarstva, održavanje komunalnog reda iz nadležnosti komunalnog redarstva, razrez i naplatu komunalnog doprinosa, komunalne naknade, poslovnih prostora i ostale slične poslove.</w:t>
            </w:r>
          </w:p>
          <w:p w14:paraId="5073694B" w14:textId="05BAE6C2" w:rsidR="00A9552A" w:rsidRPr="003A2F86" w:rsidRDefault="00A9552A" w:rsidP="00B223BA">
            <w:pPr>
              <w:rPr>
                <w:rFonts w:ascii="Arial" w:eastAsia="Calibri" w:hAnsi="Arial" w:cs="Arial"/>
              </w:rPr>
            </w:pPr>
            <w:r w:rsidRPr="003A2F86">
              <w:rPr>
                <w:rFonts w:ascii="Arial" w:eastAsia="Calibri" w:hAnsi="Arial" w:cs="Arial"/>
              </w:rPr>
              <w:t xml:space="preserve">Upravni odjel realizira i prihode i rashode Proračuna Općine Konavle. </w:t>
            </w:r>
          </w:p>
          <w:p w14:paraId="769B40E1" w14:textId="77777777" w:rsidR="00A9552A" w:rsidRPr="003A2F86" w:rsidRDefault="00A9552A" w:rsidP="00B223BA">
            <w:pPr>
              <w:rPr>
                <w:rFonts w:ascii="Arial" w:eastAsia="Calibri" w:hAnsi="Arial" w:cs="Arial"/>
              </w:rPr>
            </w:pPr>
            <w:r w:rsidRPr="003A2F86">
              <w:rPr>
                <w:rFonts w:ascii="Arial" w:eastAsia="Calibri" w:hAnsi="Arial" w:cs="Arial"/>
              </w:rPr>
              <w:t>Najznačajniji prihodi ostvaruju se od komunalnog doprinosa, komunalne naknade te od naknade za korištenje javnih površina, dok se najveći dio sredstava utroši radi realizacije Programa održavanja i Programa gradnje komunalne infrastrukture.</w:t>
            </w:r>
          </w:p>
        </w:tc>
      </w:tr>
    </w:tbl>
    <w:p w14:paraId="1C275ABB" w14:textId="77777777" w:rsidR="00A9552A" w:rsidRPr="003A2F86" w:rsidRDefault="00A9552A" w:rsidP="00A9552A">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998"/>
      </w:tblGrid>
      <w:tr w:rsidR="005F5E16" w:rsidRPr="003A2F86" w14:paraId="23D8D0F4" w14:textId="77777777" w:rsidTr="00B223BA">
        <w:tc>
          <w:tcPr>
            <w:tcW w:w="1439" w:type="dxa"/>
            <w:tcBorders>
              <w:top w:val="dotted" w:sz="4" w:space="0" w:color="auto"/>
              <w:left w:val="dotted" w:sz="4" w:space="0" w:color="auto"/>
              <w:bottom w:val="dotted" w:sz="4" w:space="0" w:color="auto"/>
              <w:right w:val="dotted" w:sz="4" w:space="0" w:color="auto"/>
            </w:tcBorders>
          </w:tcPr>
          <w:p w14:paraId="2CD082DD" w14:textId="77777777" w:rsidR="00A9552A" w:rsidRPr="003A2F86" w:rsidRDefault="00A9552A" w:rsidP="00A9552A">
            <w:pPr>
              <w:spacing w:after="0" w:line="240" w:lineRule="auto"/>
              <w:rPr>
                <w:rFonts w:ascii="Arial" w:eastAsia="Calibri" w:hAnsi="Arial" w:cs="Arial"/>
                <w:sz w:val="20"/>
                <w:szCs w:val="20"/>
              </w:rPr>
            </w:pPr>
            <w:r w:rsidRPr="003A2F86">
              <w:rPr>
                <w:rFonts w:ascii="Arial" w:eastAsia="Calibri" w:hAnsi="Arial" w:cs="Arial"/>
                <w:b/>
                <w:sz w:val="20"/>
                <w:szCs w:val="20"/>
              </w:rPr>
              <w:t>Ciljevi</w:t>
            </w:r>
          </w:p>
        </w:tc>
        <w:tc>
          <w:tcPr>
            <w:tcW w:w="12998" w:type="dxa"/>
            <w:tcBorders>
              <w:top w:val="dotted" w:sz="4" w:space="0" w:color="auto"/>
              <w:left w:val="dotted" w:sz="4" w:space="0" w:color="auto"/>
              <w:bottom w:val="dotted" w:sz="4" w:space="0" w:color="auto"/>
              <w:right w:val="dotted" w:sz="4" w:space="0" w:color="auto"/>
            </w:tcBorders>
          </w:tcPr>
          <w:p w14:paraId="56392456" w14:textId="77777777" w:rsidR="00A9552A" w:rsidRPr="003A2F86" w:rsidRDefault="00A9552A" w:rsidP="00A9552A">
            <w:pPr>
              <w:spacing w:after="0" w:line="240" w:lineRule="auto"/>
              <w:rPr>
                <w:rFonts w:ascii="Arial" w:eastAsia="Calibri" w:hAnsi="Arial" w:cs="Arial"/>
                <w:sz w:val="20"/>
                <w:szCs w:val="20"/>
              </w:rPr>
            </w:pPr>
            <w:r w:rsidRPr="003A2F86">
              <w:rPr>
                <w:rFonts w:ascii="Arial" w:eastAsia="Calibri" w:hAnsi="Arial" w:cs="Arial"/>
                <w:sz w:val="20"/>
                <w:szCs w:val="20"/>
              </w:rPr>
              <w:t>Među važnijim ciljevima Upravnog odjela su:</w:t>
            </w:r>
          </w:p>
          <w:p w14:paraId="6933DF17" w14:textId="77777777" w:rsidR="00A9552A" w:rsidRPr="003A2F86" w:rsidRDefault="00A9552A">
            <w:pPr>
              <w:numPr>
                <w:ilvl w:val="0"/>
                <w:numId w:val="10"/>
              </w:numPr>
              <w:tabs>
                <w:tab w:val="num" w:pos="567"/>
              </w:tabs>
              <w:spacing w:after="0" w:line="240" w:lineRule="auto"/>
              <w:ind w:left="567" w:hanging="567"/>
              <w:rPr>
                <w:rFonts w:ascii="Arial" w:eastAsia="Calibri" w:hAnsi="Arial" w:cs="Arial"/>
                <w:sz w:val="20"/>
                <w:szCs w:val="20"/>
              </w:rPr>
            </w:pPr>
            <w:r w:rsidRPr="003A2F86">
              <w:rPr>
                <w:rFonts w:ascii="Arial" w:eastAsia="Calibri" w:hAnsi="Arial" w:cs="Arial"/>
                <w:sz w:val="20"/>
                <w:szCs w:val="20"/>
              </w:rPr>
              <w:t xml:space="preserve">Optimalno održavanje i izgradnja novih objekata komunalne infrastrukture koji će unaprijediti kvalitetu života u naseljima na području Općine te doprinijeti boljoj turističkoj ponudi. </w:t>
            </w:r>
          </w:p>
          <w:p w14:paraId="06026C1F" w14:textId="77777777" w:rsidR="00A9552A" w:rsidRPr="003A2F86" w:rsidRDefault="00A9552A">
            <w:pPr>
              <w:numPr>
                <w:ilvl w:val="0"/>
                <w:numId w:val="10"/>
              </w:numPr>
              <w:tabs>
                <w:tab w:val="num" w:pos="567"/>
              </w:tabs>
              <w:spacing w:after="0" w:line="240" w:lineRule="auto"/>
              <w:ind w:left="567" w:hanging="567"/>
              <w:rPr>
                <w:rFonts w:ascii="Arial" w:eastAsia="Calibri" w:hAnsi="Arial" w:cs="Arial"/>
                <w:sz w:val="20"/>
                <w:szCs w:val="20"/>
              </w:rPr>
            </w:pPr>
            <w:r w:rsidRPr="003A2F86">
              <w:rPr>
                <w:rFonts w:ascii="Arial" w:eastAsia="Calibri" w:hAnsi="Arial" w:cs="Arial"/>
                <w:sz w:val="20"/>
                <w:szCs w:val="20"/>
              </w:rPr>
              <w:t>Nastaviti će se realizacija ciljeva zacrtanih iz prijašnjih razdoblja: izgradnja nogostupa na cestama najugroženijim za sigurnost građana, uređenja mjesnih groblja, izgradnju cesta, igrališta za djecu i mlade te na racionalno i svrsishodno održavanje postojećih objekata u vlasništvu Općine u mogućnostima koje budu dozvoljavala raspoloživa proračunska sredstva.</w:t>
            </w:r>
          </w:p>
          <w:p w14:paraId="25FA90EB" w14:textId="77777777" w:rsidR="00A9552A" w:rsidRPr="003A2F86" w:rsidRDefault="00A9552A">
            <w:pPr>
              <w:numPr>
                <w:ilvl w:val="0"/>
                <w:numId w:val="10"/>
              </w:numPr>
              <w:tabs>
                <w:tab w:val="num" w:pos="567"/>
              </w:tabs>
              <w:spacing w:after="0" w:line="240" w:lineRule="auto"/>
              <w:ind w:left="567" w:hanging="567"/>
              <w:rPr>
                <w:rFonts w:ascii="Arial" w:eastAsia="Calibri" w:hAnsi="Arial" w:cs="Arial"/>
                <w:sz w:val="20"/>
                <w:szCs w:val="20"/>
              </w:rPr>
            </w:pPr>
            <w:r w:rsidRPr="003A2F86">
              <w:rPr>
                <w:rFonts w:ascii="Arial" w:eastAsia="Calibri" w:hAnsi="Arial" w:cs="Arial"/>
                <w:sz w:val="20"/>
                <w:szCs w:val="20"/>
              </w:rPr>
              <w:t>Izgraditi cjeloviti sustav gospodarenja otpadom uključujući izgradnju potrebne infrastrukture kao jednim od preduvjeta osiguranja kvalitete života građana.</w:t>
            </w:r>
          </w:p>
          <w:p w14:paraId="18964EEE" w14:textId="77777777" w:rsidR="00A9552A" w:rsidRPr="003A2F86" w:rsidRDefault="00A9552A">
            <w:pPr>
              <w:numPr>
                <w:ilvl w:val="0"/>
                <w:numId w:val="10"/>
              </w:numPr>
              <w:tabs>
                <w:tab w:val="num" w:pos="567"/>
              </w:tabs>
              <w:spacing w:after="0" w:line="240" w:lineRule="auto"/>
              <w:ind w:left="567" w:hanging="567"/>
              <w:rPr>
                <w:rFonts w:ascii="Arial" w:eastAsia="Calibri" w:hAnsi="Arial" w:cs="Arial"/>
                <w:sz w:val="20"/>
                <w:szCs w:val="20"/>
              </w:rPr>
            </w:pPr>
            <w:r w:rsidRPr="003A2F86">
              <w:rPr>
                <w:rFonts w:ascii="Arial" w:eastAsia="Calibri" w:hAnsi="Arial" w:cs="Arial"/>
                <w:sz w:val="20"/>
                <w:szCs w:val="20"/>
              </w:rPr>
              <w:t>U skladu s raspoloživim proračunskim mogućnostima ulagati u nastavak izgradnje kanalizacijske mreže s ciljem očuvanja okoliša i osiguranja čistog mora kao preduvjeta turističkog razvoja Općine.</w:t>
            </w:r>
          </w:p>
          <w:p w14:paraId="595EC5D8" w14:textId="77777777" w:rsidR="00A9552A" w:rsidRPr="003A2F86" w:rsidRDefault="00A9552A">
            <w:pPr>
              <w:numPr>
                <w:ilvl w:val="0"/>
                <w:numId w:val="10"/>
              </w:numPr>
              <w:tabs>
                <w:tab w:val="num" w:pos="567"/>
              </w:tabs>
              <w:spacing w:after="0" w:line="240" w:lineRule="auto"/>
              <w:ind w:left="567" w:hanging="567"/>
              <w:rPr>
                <w:rFonts w:ascii="Arial" w:eastAsia="Calibri" w:hAnsi="Arial" w:cs="Arial"/>
                <w:sz w:val="20"/>
                <w:szCs w:val="20"/>
              </w:rPr>
            </w:pPr>
            <w:r w:rsidRPr="003A2F86">
              <w:rPr>
                <w:rFonts w:ascii="Arial" w:eastAsia="Calibri" w:hAnsi="Arial" w:cs="Arial"/>
                <w:sz w:val="20"/>
                <w:szCs w:val="20"/>
              </w:rPr>
              <w:t>U skladu sa zakonskim obvezama proširiti obveznike plaćanja komunalne naknade na određena područja te na taj način osigurati povećanje prihoda za realizaciju programa održavanja komunalne infrastrukture.</w:t>
            </w:r>
          </w:p>
        </w:tc>
      </w:tr>
      <w:tr w:rsidR="005F5E16" w:rsidRPr="003A2F86" w14:paraId="5733D6D3" w14:textId="77777777" w:rsidTr="00B223BA">
        <w:tc>
          <w:tcPr>
            <w:tcW w:w="1439" w:type="dxa"/>
            <w:tcBorders>
              <w:top w:val="dotted" w:sz="4" w:space="0" w:color="auto"/>
              <w:left w:val="dotted" w:sz="4" w:space="0" w:color="auto"/>
              <w:bottom w:val="dotted" w:sz="4" w:space="0" w:color="auto"/>
              <w:right w:val="dotted" w:sz="4" w:space="0" w:color="auto"/>
            </w:tcBorders>
          </w:tcPr>
          <w:p w14:paraId="4FD4E02E" w14:textId="77777777" w:rsidR="00A9552A" w:rsidRPr="003A2F86" w:rsidRDefault="00A9552A" w:rsidP="00A9552A">
            <w:pPr>
              <w:spacing w:after="0" w:line="240" w:lineRule="auto"/>
              <w:rPr>
                <w:rFonts w:ascii="Arial" w:eastAsia="Calibri" w:hAnsi="Arial" w:cs="Arial"/>
                <w:sz w:val="20"/>
                <w:szCs w:val="20"/>
              </w:rPr>
            </w:pPr>
            <w:r w:rsidRPr="003A2F86">
              <w:rPr>
                <w:rFonts w:ascii="Arial" w:eastAsia="Calibri" w:hAnsi="Arial" w:cs="Arial"/>
                <w:sz w:val="20"/>
                <w:szCs w:val="20"/>
              </w:rPr>
              <w:t>ZAKONSKE I DRUGE PRAVNE OSNOVE PROGRAMA:</w:t>
            </w:r>
          </w:p>
        </w:tc>
        <w:tc>
          <w:tcPr>
            <w:tcW w:w="12998" w:type="dxa"/>
            <w:tcBorders>
              <w:top w:val="dotted" w:sz="4" w:space="0" w:color="auto"/>
              <w:left w:val="dotted" w:sz="4" w:space="0" w:color="auto"/>
              <w:bottom w:val="dotted" w:sz="4" w:space="0" w:color="auto"/>
              <w:right w:val="dotted" w:sz="4" w:space="0" w:color="auto"/>
            </w:tcBorders>
          </w:tcPr>
          <w:p w14:paraId="34A91FC0" w14:textId="6BB38AAA" w:rsidR="00A9552A" w:rsidRPr="003A2F86" w:rsidRDefault="00A9552A" w:rsidP="00A9552A">
            <w:pPr>
              <w:autoSpaceDE w:val="0"/>
              <w:autoSpaceDN w:val="0"/>
              <w:adjustRightInd w:val="0"/>
              <w:spacing w:after="0" w:line="240" w:lineRule="auto"/>
              <w:rPr>
                <w:rFonts w:ascii="Arial" w:eastAsia="Calibri" w:hAnsi="Arial" w:cs="Arial"/>
                <w:sz w:val="20"/>
                <w:szCs w:val="20"/>
              </w:rPr>
            </w:pPr>
            <w:r w:rsidRPr="003A2F86">
              <w:rPr>
                <w:rFonts w:ascii="Arial" w:eastAsia="Calibri" w:hAnsi="Arial" w:cs="Arial"/>
                <w:sz w:val="20"/>
                <w:szCs w:val="20"/>
              </w:rPr>
              <w:t>Zakon o lokalnoj i područnoj (regionalnoj) samoupravi (NN 33/01, 60/01,129/05,109/07,125/08, 36/09,150/11,144/12, 19/13, 137/15, 13/17, 98/19, 144/20), Zakon o službenicima i namještenicima u lokalnoj i područnoj (regionalnoj) samoupravi (NN 86/08, 61/11, 4/18, 112/19), Zakon o općem upravnom postupku (NN 47/09,10/21), Zakon o javnoj nabavi (NN 120/16, 114/22), Zakon o pravu na pristup informacijama (NN 25/13, 85/15, 69/22), Zakon o radu (NN 93/14, 127/17, 98/19</w:t>
            </w:r>
            <w:r w:rsidR="00FA19B5" w:rsidRPr="003A2F86">
              <w:rPr>
                <w:rFonts w:ascii="Arial" w:eastAsia="Calibri" w:hAnsi="Arial" w:cs="Arial"/>
                <w:sz w:val="20"/>
                <w:szCs w:val="20"/>
              </w:rPr>
              <w:t>, 151/22, 64/23</w:t>
            </w:r>
            <w:r w:rsidRPr="003A2F86">
              <w:rPr>
                <w:rFonts w:ascii="Arial" w:eastAsia="Calibri" w:hAnsi="Arial" w:cs="Arial"/>
                <w:sz w:val="20"/>
                <w:szCs w:val="20"/>
              </w:rPr>
              <w:t>), Uredba o uredskom poslovanju (NN 75/21), Zakon o komunalnom gospodarstvu, Zakon o cestama, Zakon o sigurnosti prometa na cestama, Zakon o vlasništvu i drugim stvarnim pravima, Zakon o prostornom uređenju, Zakon o gradnji, Zakon o građevinskoj inspekciji, Zakon o zaštiti okoliša, Zakon o zaštiti prirode, Zakon o gospodarenju otpadom, Zakon o grobljima, Zakon o proračunu, Zakon o postupanju s nezakonito izgrađenim zgradama u prostoru, Zakon o obaveznim odnosima, Ovršni zakon, Zakon o vodama, Zakon o financiranju vodnog gospodarstva, Zakon o zaštiti životinja, Zakon o zaštiti od požara, Zakon o državnoj izmjeri i katastru nekretnina, Zakon o elektroničkim komunikacijama, Zakon o koncesijama, te ostali zakoni, uredbe, pravilnici, propisi i normativi vezani za komunalno gospodarstvo i vatrogasnu djelatnost</w:t>
            </w:r>
          </w:p>
        </w:tc>
      </w:tr>
    </w:tbl>
    <w:p w14:paraId="62366E80" w14:textId="77777777" w:rsidR="001C171F" w:rsidRPr="003A2F86" w:rsidRDefault="001C171F" w:rsidP="00D72C52">
      <w:pPr>
        <w:autoSpaceDE w:val="0"/>
        <w:autoSpaceDN w:val="0"/>
        <w:adjustRightInd w:val="0"/>
        <w:spacing w:after="0" w:line="240" w:lineRule="auto"/>
        <w:ind w:firstLine="357"/>
        <w:jc w:val="both"/>
        <w:rPr>
          <w:rFonts w:ascii="Arial" w:eastAsia="Calibri" w:hAnsi="Arial" w:cs="Arial"/>
          <w:sz w:val="20"/>
          <w:szCs w:val="20"/>
        </w:rPr>
      </w:pPr>
    </w:p>
    <w:p w14:paraId="2C311449" w14:textId="77777777" w:rsidR="00A9552A" w:rsidRPr="003A2F86" w:rsidRDefault="00A9552A" w:rsidP="00D72C52">
      <w:pPr>
        <w:autoSpaceDE w:val="0"/>
        <w:autoSpaceDN w:val="0"/>
        <w:adjustRightInd w:val="0"/>
        <w:spacing w:after="0" w:line="240" w:lineRule="auto"/>
        <w:ind w:firstLine="357"/>
        <w:jc w:val="both"/>
        <w:rPr>
          <w:rFonts w:ascii="Arial" w:eastAsia="Calibri" w:hAnsi="Arial" w:cs="Arial"/>
          <w:sz w:val="20"/>
          <w:szCs w:val="20"/>
        </w:rPr>
      </w:pPr>
    </w:p>
    <w:p w14:paraId="2175B9CF" w14:textId="77777777" w:rsidR="001A49A3" w:rsidRPr="003A2F86"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4E649281" w14:textId="77777777" w:rsidR="001A49A3" w:rsidRPr="003A2F86"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7810FBB0" w14:textId="77777777" w:rsidR="001A49A3" w:rsidRPr="003A2F86"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637DE9C0" w14:textId="77777777" w:rsidR="001A49A3" w:rsidRPr="003A2F86"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2DAA37FF" w14:textId="77777777" w:rsidR="00B37E46" w:rsidRPr="003A2F86" w:rsidRDefault="00B37E46" w:rsidP="00D72C52">
      <w:pPr>
        <w:autoSpaceDE w:val="0"/>
        <w:autoSpaceDN w:val="0"/>
        <w:adjustRightInd w:val="0"/>
        <w:spacing w:after="0" w:line="240" w:lineRule="auto"/>
        <w:ind w:firstLine="357"/>
        <w:jc w:val="both"/>
        <w:rPr>
          <w:rFonts w:ascii="Arial" w:eastAsia="Calibri" w:hAnsi="Arial" w:cs="Arial"/>
          <w:sz w:val="20"/>
          <w:szCs w:val="20"/>
        </w:rPr>
      </w:pPr>
    </w:p>
    <w:p w14:paraId="23E95D08" w14:textId="77777777" w:rsidR="00775A9C" w:rsidRPr="003A2F86" w:rsidRDefault="00775A9C" w:rsidP="00D72C52">
      <w:pPr>
        <w:autoSpaceDE w:val="0"/>
        <w:autoSpaceDN w:val="0"/>
        <w:adjustRightInd w:val="0"/>
        <w:spacing w:after="0" w:line="240" w:lineRule="auto"/>
        <w:ind w:firstLine="357"/>
        <w:jc w:val="both"/>
        <w:rPr>
          <w:rFonts w:ascii="Arial" w:eastAsia="Calibri" w:hAnsi="Arial" w:cs="Arial"/>
          <w:sz w:val="20"/>
          <w:szCs w:val="20"/>
        </w:rPr>
      </w:pPr>
    </w:p>
    <w:p w14:paraId="5EC03DBE" w14:textId="77777777" w:rsidR="00775A9C" w:rsidRPr="003A2F86" w:rsidRDefault="00775A9C" w:rsidP="00D72C52">
      <w:pPr>
        <w:autoSpaceDE w:val="0"/>
        <w:autoSpaceDN w:val="0"/>
        <w:adjustRightInd w:val="0"/>
        <w:spacing w:after="0" w:line="240" w:lineRule="auto"/>
        <w:ind w:firstLine="357"/>
        <w:jc w:val="both"/>
        <w:rPr>
          <w:rFonts w:ascii="Arial" w:eastAsia="Calibri" w:hAnsi="Arial" w:cs="Arial"/>
          <w:sz w:val="20"/>
          <w:szCs w:val="20"/>
        </w:rPr>
      </w:pPr>
    </w:p>
    <w:p w14:paraId="70B47AB0" w14:textId="77777777" w:rsidR="00775A9C" w:rsidRPr="003A2F86" w:rsidRDefault="00775A9C" w:rsidP="00D72C52">
      <w:pPr>
        <w:autoSpaceDE w:val="0"/>
        <w:autoSpaceDN w:val="0"/>
        <w:adjustRightInd w:val="0"/>
        <w:spacing w:after="0" w:line="240" w:lineRule="auto"/>
        <w:ind w:firstLine="357"/>
        <w:jc w:val="both"/>
        <w:rPr>
          <w:rFonts w:ascii="Arial" w:eastAsia="Calibri" w:hAnsi="Arial" w:cs="Arial"/>
          <w:sz w:val="20"/>
          <w:szCs w:val="20"/>
        </w:rPr>
      </w:pPr>
    </w:p>
    <w:p w14:paraId="0F32A5C3" w14:textId="77777777" w:rsidR="00775A9C" w:rsidRPr="003A2F86" w:rsidRDefault="00775A9C" w:rsidP="00D72C52">
      <w:pPr>
        <w:autoSpaceDE w:val="0"/>
        <w:autoSpaceDN w:val="0"/>
        <w:adjustRightInd w:val="0"/>
        <w:spacing w:after="0" w:line="240" w:lineRule="auto"/>
        <w:ind w:firstLine="357"/>
        <w:jc w:val="both"/>
        <w:rPr>
          <w:rFonts w:ascii="Arial" w:eastAsia="Calibri" w:hAnsi="Arial" w:cs="Arial"/>
          <w:sz w:val="20"/>
          <w:szCs w:val="20"/>
        </w:rPr>
      </w:pPr>
    </w:p>
    <w:p w14:paraId="12B9EFA4" w14:textId="77777777" w:rsidR="001A49A3" w:rsidRPr="003A2F86"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4A70DE4F" w14:textId="77777777" w:rsidR="001A49A3" w:rsidRPr="003A2F86"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07560272" w14:textId="77777777" w:rsidR="001A49A3" w:rsidRPr="003A2F86"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238F3586" w14:textId="77777777" w:rsidR="001A49A3" w:rsidRPr="003A2F86"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07A9CDC3" w14:textId="77777777" w:rsidR="001A49A3" w:rsidRPr="003A2F86"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0751373B" w14:textId="77777777" w:rsidR="001A49A3" w:rsidRPr="003A2F86" w:rsidRDefault="001A49A3" w:rsidP="00D72C52">
      <w:pPr>
        <w:autoSpaceDE w:val="0"/>
        <w:autoSpaceDN w:val="0"/>
        <w:adjustRightInd w:val="0"/>
        <w:spacing w:after="0" w:line="240" w:lineRule="auto"/>
        <w:ind w:firstLine="357"/>
        <w:jc w:val="both"/>
        <w:rPr>
          <w:rFonts w:ascii="Arial" w:eastAsia="Calibri" w:hAnsi="Arial" w:cs="Arial"/>
          <w:sz w:val="20"/>
          <w:szCs w:val="20"/>
        </w:rPr>
      </w:pPr>
    </w:p>
    <w:p w14:paraId="41FB93B1" w14:textId="77777777" w:rsidR="00A9552A" w:rsidRPr="003A2F86" w:rsidRDefault="00A9552A">
      <w:pPr>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Arial" w:eastAsia="Calibri" w:hAnsi="Arial" w:cs="Arial"/>
          <w:b/>
        </w:rPr>
      </w:pPr>
      <w:r w:rsidRPr="003A2F86">
        <w:rPr>
          <w:rFonts w:ascii="Arial" w:eastAsia="Calibri" w:hAnsi="Arial" w:cs="Arial"/>
          <w:b/>
        </w:rPr>
        <w:t>OBRAZLOŽENJE OPĆEG DIJELA FINANCIJSKOG PLANA</w:t>
      </w:r>
    </w:p>
    <w:p w14:paraId="6B5DCC02" w14:textId="77777777" w:rsidR="00A9552A" w:rsidRPr="003A2F86" w:rsidRDefault="00A9552A" w:rsidP="00840581">
      <w:pPr>
        <w:spacing w:after="0" w:line="240" w:lineRule="auto"/>
        <w:jc w:val="center"/>
        <w:rPr>
          <w:rFonts w:ascii="Arial" w:hAnsi="Arial" w:cs="Arial"/>
          <w:iCs/>
        </w:rPr>
      </w:pPr>
    </w:p>
    <w:p w14:paraId="08685959" w14:textId="1276D64F" w:rsidR="00A9552A" w:rsidRPr="003A2F86" w:rsidRDefault="009B3277" w:rsidP="00A9552A">
      <w:pPr>
        <w:jc w:val="center"/>
        <w:rPr>
          <w:rFonts w:ascii="Arial" w:hAnsi="Arial" w:cs="Arial"/>
          <w:iCs/>
        </w:rPr>
      </w:pPr>
      <w:r w:rsidRPr="009B3277">
        <w:rPr>
          <w:noProof/>
        </w:rPr>
        <w:drawing>
          <wp:inline distT="0" distB="0" distL="0" distR="0" wp14:anchorId="3464FC28" wp14:editId="073E593E">
            <wp:extent cx="8248162" cy="5411972"/>
            <wp:effectExtent l="0" t="0" r="635" b="0"/>
            <wp:docPr id="323466289"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249434" cy="5412806"/>
                    </a:xfrm>
                    <a:prstGeom prst="rect">
                      <a:avLst/>
                    </a:prstGeom>
                    <a:noFill/>
                    <a:ln>
                      <a:noFill/>
                    </a:ln>
                  </pic:spPr>
                </pic:pic>
              </a:graphicData>
            </a:graphic>
          </wp:inline>
        </w:drawing>
      </w:r>
    </w:p>
    <w:p w14:paraId="54ABF591" w14:textId="77777777" w:rsidR="009B3277" w:rsidRPr="007E7FDB" w:rsidRDefault="009B3277" w:rsidP="00F80FFA">
      <w:pPr>
        <w:spacing w:after="0" w:line="240" w:lineRule="auto"/>
        <w:ind w:firstLine="709"/>
        <w:rPr>
          <w:rFonts w:ascii="Arial" w:eastAsia="Calibri" w:hAnsi="Arial" w:cs="Arial"/>
          <w:sz w:val="14"/>
          <w:szCs w:val="14"/>
          <w:u w:val="single"/>
        </w:rPr>
      </w:pPr>
    </w:p>
    <w:p w14:paraId="76A077F6" w14:textId="54EE1F35" w:rsidR="00A9552A" w:rsidRPr="00D66177" w:rsidRDefault="00A9552A" w:rsidP="00F80FFA">
      <w:pPr>
        <w:spacing w:after="0" w:line="240" w:lineRule="auto"/>
        <w:ind w:firstLine="709"/>
        <w:rPr>
          <w:rFonts w:ascii="Arial" w:eastAsia="Calibri" w:hAnsi="Arial" w:cs="Arial"/>
          <w:sz w:val="20"/>
          <w:szCs w:val="20"/>
        </w:rPr>
      </w:pPr>
      <w:r w:rsidRPr="00D66177">
        <w:rPr>
          <w:rFonts w:ascii="Arial" w:eastAsia="Calibri" w:hAnsi="Arial" w:cs="Arial"/>
          <w:sz w:val="20"/>
          <w:szCs w:val="20"/>
          <w:u w:val="single"/>
        </w:rPr>
        <w:t>Ostvareni prihodi poslovanja</w:t>
      </w:r>
      <w:r w:rsidRPr="00D66177">
        <w:rPr>
          <w:rFonts w:ascii="Arial" w:eastAsia="Calibri" w:hAnsi="Arial" w:cs="Arial"/>
          <w:sz w:val="20"/>
          <w:szCs w:val="20"/>
        </w:rPr>
        <w:t xml:space="preserve"> za 202</w:t>
      </w:r>
      <w:r w:rsidR="009B3277" w:rsidRPr="00D66177">
        <w:rPr>
          <w:rFonts w:ascii="Arial" w:eastAsia="Calibri" w:hAnsi="Arial" w:cs="Arial"/>
          <w:sz w:val="20"/>
          <w:szCs w:val="20"/>
        </w:rPr>
        <w:t>5</w:t>
      </w:r>
      <w:r w:rsidRPr="00D66177">
        <w:rPr>
          <w:rFonts w:ascii="Arial" w:eastAsia="Calibri" w:hAnsi="Arial" w:cs="Arial"/>
          <w:sz w:val="20"/>
          <w:szCs w:val="20"/>
        </w:rPr>
        <w:t>. sastoje se od:</w:t>
      </w:r>
    </w:p>
    <w:p w14:paraId="2961FB92" w14:textId="44250B03" w:rsidR="00F80FFA" w:rsidRPr="00D66177" w:rsidRDefault="00F80FFA" w:rsidP="00840581">
      <w:pPr>
        <w:spacing w:after="0" w:line="240" w:lineRule="auto"/>
        <w:ind w:firstLine="709"/>
        <w:jc w:val="both"/>
        <w:rPr>
          <w:rFonts w:ascii="Arial" w:eastAsia="Calibri" w:hAnsi="Arial" w:cs="Arial"/>
          <w:sz w:val="20"/>
          <w:szCs w:val="20"/>
        </w:rPr>
      </w:pPr>
      <w:r w:rsidRPr="00D66177">
        <w:rPr>
          <w:rFonts w:ascii="Arial" w:eastAsia="Calibri" w:hAnsi="Arial" w:cs="Arial"/>
          <w:sz w:val="20"/>
          <w:szCs w:val="20"/>
        </w:rPr>
        <w:t xml:space="preserve">- prihodi upravnog odjela se odnose na prihode od komunalnog doprinosa i komunalne naknade u iznosu </w:t>
      </w:r>
      <w:r w:rsidR="0001700A" w:rsidRPr="00D66177">
        <w:rPr>
          <w:rFonts w:ascii="Arial" w:eastAsia="Calibri" w:hAnsi="Arial" w:cs="Arial"/>
          <w:sz w:val="20"/>
          <w:szCs w:val="20"/>
        </w:rPr>
        <w:t>687.602,25</w:t>
      </w:r>
      <w:r w:rsidRPr="00D66177">
        <w:rPr>
          <w:rFonts w:ascii="Arial" w:eastAsia="Calibri" w:hAnsi="Arial" w:cs="Arial"/>
          <w:sz w:val="20"/>
          <w:szCs w:val="20"/>
        </w:rPr>
        <w:t xml:space="preserve"> </w:t>
      </w:r>
      <w:r w:rsidR="00840581" w:rsidRPr="00D66177">
        <w:rPr>
          <w:rFonts w:ascii="Arial" w:eastAsia="Calibri" w:hAnsi="Arial" w:cs="Arial"/>
          <w:sz w:val="20"/>
          <w:szCs w:val="20"/>
        </w:rPr>
        <w:t>€</w:t>
      </w:r>
      <w:r w:rsidRPr="00D66177">
        <w:rPr>
          <w:rFonts w:ascii="Arial" w:eastAsia="Calibri" w:hAnsi="Arial" w:cs="Arial"/>
          <w:sz w:val="20"/>
          <w:szCs w:val="20"/>
        </w:rPr>
        <w:t xml:space="preserve">, pomoći od izvanproračunskog korisnika (ŽUC) za sufinanciranje održavanja cesta u iznosu </w:t>
      </w:r>
      <w:r w:rsidR="0001700A" w:rsidRPr="00D66177">
        <w:rPr>
          <w:rFonts w:ascii="Arial" w:eastAsia="Calibri" w:hAnsi="Arial" w:cs="Arial"/>
          <w:sz w:val="20"/>
          <w:szCs w:val="20"/>
        </w:rPr>
        <w:t>0</w:t>
      </w:r>
      <w:r w:rsidRPr="00D66177">
        <w:rPr>
          <w:rFonts w:ascii="Arial" w:eastAsia="Calibri" w:hAnsi="Arial" w:cs="Arial"/>
          <w:sz w:val="20"/>
          <w:szCs w:val="20"/>
        </w:rPr>
        <w:t xml:space="preserve"> €, tekuće pomoći izravnanja za financiranje decentralizirane funkcije vatrogastva u iznosu </w:t>
      </w:r>
      <w:r w:rsidR="0001700A" w:rsidRPr="00D66177">
        <w:rPr>
          <w:rFonts w:ascii="Arial" w:eastAsia="Calibri" w:hAnsi="Arial" w:cs="Arial"/>
          <w:sz w:val="20"/>
          <w:szCs w:val="20"/>
        </w:rPr>
        <w:t>113.000</w:t>
      </w:r>
      <w:r w:rsidRPr="00D66177">
        <w:rPr>
          <w:rFonts w:ascii="Arial" w:eastAsia="Calibri" w:hAnsi="Arial" w:cs="Arial"/>
          <w:sz w:val="20"/>
          <w:szCs w:val="20"/>
        </w:rPr>
        <w:t xml:space="preserve"> €, </w:t>
      </w:r>
      <w:r w:rsidR="00AD56EA" w:rsidRPr="00D66177">
        <w:rPr>
          <w:rFonts w:ascii="Arial" w:eastAsia="Calibri" w:hAnsi="Arial" w:cs="Arial"/>
          <w:sz w:val="20"/>
          <w:szCs w:val="20"/>
        </w:rPr>
        <w:t xml:space="preserve">pomoć Fonda za zaštitu okoliša </w:t>
      </w:r>
      <w:r w:rsidR="00786738" w:rsidRPr="00D66177">
        <w:rPr>
          <w:rFonts w:ascii="Arial" w:eastAsia="Calibri" w:hAnsi="Arial" w:cs="Arial"/>
          <w:sz w:val="20"/>
          <w:szCs w:val="20"/>
        </w:rPr>
        <w:t>0</w:t>
      </w:r>
      <w:r w:rsidR="00AD56EA" w:rsidRPr="00D66177">
        <w:rPr>
          <w:rFonts w:ascii="Arial" w:eastAsia="Calibri" w:hAnsi="Arial" w:cs="Arial"/>
          <w:sz w:val="20"/>
          <w:szCs w:val="20"/>
        </w:rPr>
        <w:t xml:space="preserve"> €, </w:t>
      </w:r>
      <w:r w:rsidRPr="00D66177">
        <w:rPr>
          <w:rFonts w:ascii="Arial" w:eastAsia="Calibri" w:hAnsi="Arial" w:cs="Arial"/>
          <w:sz w:val="20"/>
          <w:szCs w:val="20"/>
        </w:rPr>
        <w:t xml:space="preserve">prihodi od nefinancijske imovine (naknade za koncesije </w:t>
      </w:r>
      <w:r w:rsidR="005639DE" w:rsidRPr="00D66177">
        <w:rPr>
          <w:rFonts w:ascii="Arial" w:eastAsia="Calibri" w:hAnsi="Arial" w:cs="Arial"/>
          <w:sz w:val="20"/>
          <w:szCs w:val="20"/>
        </w:rPr>
        <w:t xml:space="preserve">i koncesijska odobrenja </w:t>
      </w:r>
      <w:r w:rsidR="00D66177" w:rsidRPr="00D66177">
        <w:rPr>
          <w:rFonts w:ascii="Arial" w:eastAsia="Calibri" w:hAnsi="Arial" w:cs="Arial"/>
          <w:sz w:val="20"/>
          <w:szCs w:val="20"/>
        </w:rPr>
        <w:t>7.567,64</w:t>
      </w:r>
      <w:r w:rsidRPr="00D66177">
        <w:rPr>
          <w:rFonts w:ascii="Arial" w:eastAsia="Calibri" w:hAnsi="Arial" w:cs="Arial"/>
          <w:sz w:val="20"/>
          <w:szCs w:val="20"/>
        </w:rPr>
        <w:t xml:space="preserve"> €, prihodi od zakupa </w:t>
      </w:r>
      <w:r w:rsidR="00D66177" w:rsidRPr="00D66177">
        <w:rPr>
          <w:rFonts w:ascii="Arial" w:eastAsia="Calibri" w:hAnsi="Arial" w:cs="Arial"/>
          <w:sz w:val="20"/>
          <w:szCs w:val="20"/>
        </w:rPr>
        <w:t>42.916,26</w:t>
      </w:r>
      <w:r w:rsidRPr="00D66177">
        <w:rPr>
          <w:rFonts w:ascii="Arial" w:eastAsia="Calibri" w:hAnsi="Arial" w:cs="Arial"/>
          <w:sz w:val="20"/>
          <w:szCs w:val="20"/>
        </w:rPr>
        <w:t xml:space="preserve"> €, naknade za korištenje nefinancijske imovine </w:t>
      </w:r>
      <w:r w:rsidR="00D66177" w:rsidRPr="00D66177">
        <w:rPr>
          <w:rFonts w:ascii="Arial" w:eastAsia="Calibri" w:hAnsi="Arial" w:cs="Arial"/>
          <w:sz w:val="20"/>
          <w:szCs w:val="20"/>
        </w:rPr>
        <w:t>424.238,09</w:t>
      </w:r>
      <w:r w:rsidRPr="00D66177">
        <w:rPr>
          <w:rFonts w:ascii="Arial" w:eastAsia="Calibri" w:hAnsi="Arial" w:cs="Arial"/>
          <w:sz w:val="20"/>
          <w:szCs w:val="20"/>
        </w:rPr>
        <w:t xml:space="preserve"> € i ostali prihodi od nefinancijske imovine </w:t>
      </w:r>
      <w:r w:rsidR="00D66177" w:rsidRPr="00D66177">
        <w:rPr>
          <w:rFonts w:ascii="Arial" w:eastAsia="Calibri" w:hAnsi="Arial" w:cs="Arial"/>
          <w:sz w:val="20"/>
          <w:szCs w:val="20"/>
        </w:rPr>
        <w:t>2.546,81</w:t>
      </w:r>
      <w:r w:rsidRPr="00D66177">
        <w:rPr>
          <w:rFonts w:ascii="Arial" w:eastAsia="Calibri" w:hAnsi="Arial" w:cs="Arial"/>
          <w:sz w:val="20"/>
          <w:szCs w:val="20"/>
        </w:rPr>
        <w:t xml:space="preserve"> €</w:t>
      </w:r>
      <w:r w:rsidR="00D66177" w:rsidRPr="00D66177">
        <w:rPr>
          <w:rFonts w:ascii="Arial" w:eastAsia="Calibri" w:hAnsi="Arial" w:cs="Arial"/>
          <w:sz w:val="20"/>
          <w:szCs w:val="20"/>
        </w:rPr>
        <w:t>)</w:t>
      </w:r>
      <w:r w:rsidRPr="00D66177">
        <w:rPr>
          <w:rFonts w:ascii="Arial" w:eastAsia="Calibri" w:hAnsi="Arial" w:cs="Arial"/>
          <w:sz w:val="20"/>
          <w:szCs w:val="20"/>
        </w:rPr>
        <w:t xml:space="preserve">, prihodi od upravnih i ostalih pristojbi (dozvola za obavljanje taxi prijevoza </w:t>
      </w:r>
      <w:r w:rsidR="00D66177" w:rsidRPr="00D66177">
        <w:rPr>
          <w:rFonts w:ascii="Arial" w:eastAsia="Calibri" w:hAnsi="Arial" w:cs="Arial"/>
          <w:sz w:val="20"/>
          <w:szCs w:val="20"/>
        </w:rPr>
        <w:t>15.601,21</w:t>
      </w:r>
      <w:r w:rsidRPr="00D66177">
        <w:rPr>
          <w:rFonts w:ascii="Arial" w:eastAsia="Calibri" w:hAnsi="Arial" w:cs="Arial"/>
          <w:sz w:val="20"/>
          <w:szCs w:val="20"/>
        </w:rPr>
        <w:t xml:space="preserve"> €, </w:t>
      </w:r>
      <w:r w:rsidR="00786738" w:rsidRPr="00D66177">
        <w:rPr>
          <w:rFonts w:ascii="Arial" w:eastAsia="Calibri" w:hAnsi="Arial" w:cs="Arial"/>
          <w:sz w:val="20"/>
          <w:szCs w:val="20"/>
        </w:rPr>
        <w:t xml:space="preserve">pristojbe za izdavanje dozvola za taxi prijevoz </w:t>
      </w:r>
      <w:r w:rsidR="00D66177" w:rsidRPr="00D66177">
        <w:rPr>
          <w:rFonts w:ascii="Arial" w:eastAsia="Calibri" w:hAnsi="Arial" w:cs="Arial"/>
          <w:sz w:val="20"/>
          <w:szCs w:val="20"/>
        </w:rPr>
        <w:t>1.877,88</w:t>
      </w:r>
      <w:r w:rsidR="00786738" w:rsidRPr="00D66177">
        <w:rPr>
          <w:rFonts w:ascii="Arial" w:eastAsia="Calibri" w:hAnsi="Arial" w:cs="Arial"/>
          <w:sz w:val="20"/>
          <w:szCs w:val="20"/>
        </w:rPr>
        <w:t xml:space="preserve"> €, dozvola za obavljanje djelatnosti na pomorskom dobru </w:t>
      </w:r>
      <w:r w:rsidR="00D66177" w:rsidRPr="00D66177">
        <w:rPr>
          <w:rFonts w:ascii="Arial" w:eastAsia="Calibri" w:hAnsi="Arial" w:cs="Arial"/>
          <w:sz w:val="20"/>
          <w:szCs w:val="20"/>
        </w:rPr>
        <w:t>79.285,22</w:t>
      </w:r>
      <w:r w:rsidR="00786738" w:rsidRPr="00D66177">
        <w:rPr>
          <w:rFonts w:ascii="Arial" w:eastAsia="Calibri" w:hAnsi="Arial" w:cs="Arial"/>
          <w:sz w:val="20"/>
          <w:szCs w:val="20"/>
        </w:rPr>
        <w:t xml:space="preserve"> € (novi propisi), </w:t>
      </w:r>
      <w:r w:rsidRPr="00D66177">
        <w:rPr>
          <w:rFonts w:ascii="Arial" w:eastAsia="Calibri" w:hAnsi="Arial" w:cs="Arial"/>
          <w:sz w:val="20"/>
          <w:szCs w:val="20"/>
        </w:rPr>
        <w:t xml:space="preserve">prihodi po posebnim propisima </w:t>
      </w:r>
      <w:r w:rsidR="00D66177" w:rsidRPr="00D66177">
        <w:rPr>
          <w:rFonts w:ascii="Arial" w:eastAsia="Calibri" w:hAnsi="Arial" w:cs="Arial"/>
          <w:sz w:val="20"/>
          <w:szCs w:val="20"/>
        </w:rPr>
        <w:t>70.472,02</w:t>
      </w:r>
      <w:r w:rsidRPr="00D66177">
        <w:rPr>
          <w:rFonts w:ascii="Arial" w:eastAsia="Calibri" w:hAnsi="Arial" w:cs="Arial"/>
          <w:sz w:val="20"/>
          <w:szCs w:val="20"/>
        </w:rPr>
        <w:t xml:space="preserve"> €), donacije </w:t>
      </w:r>
      <w:r w:rsidR="00D66177" w:rsidRPr="00D66177">
        <w:rPr>
          <w:rFonts w:ascii="Arial" w:eastAsia="Calibri" w:hAnsi="Arial" w:cs="Arial"/>
          <w:sz w:val="20"/>
          <w:szCs w:val="20"/>
        </w:rPr>
        <w:t>26.454,88</w:t>
      </w:r>
      <w:r w:rsidRPr="00D66177">
        <w:rPr>
          <w:rFonts w:ascii="Arial" w:eastAsia="Calibri" w:hAnsi="Arial" w:cs="Arial"/>
          <w:sz w:val="20"/>
          <w:szCs w:val="20"/>
        </w:rPr>
        <w:t xml:space="preserve"> €, kazne za prometne prekršaje i kazne komunalnog redarstva </w:t>
      </w:r>
      <w:r w:rsidR="00D66177" w:rsidRPr="00D66177">
        <w:rPr>
          <w:rFonts w:ascii="Arial" w:eastAsia="Calibri" w:hAnsi="Arial" w:cs="Arial"/>
          <w:sz w:val="20"/>
          <w:szCs w:val="20"/>
        </w:rPr>
        <w:t>7.153,99</w:t>
      </w:r>
      <w:r w:rsidRPr="00D66177">
        <w:rPr>
          <w:rFonts w:ascii="Arial" w:eastAsia="Calibri" w:hAnsi="Arial" w:cs="Arial"/>
          <w:sz w:val="20"/>
          <w:szCs w:val="20"/>
        </w:rPr>
        <w:t xml:space="preserve"> €, refundacije troškova el</w:t>
      </w:r>
      <w:r w:rsidR="003E611F" w:rsidRPr="00D66177">
        <w:rPr>
          <w:rFonts w:ascii="Arial" w:eastAsia="Calibri" w:hAnsi="Arial" w:cs="Arial"/>
          <w:sz w:val="20"/>
          <w:szCs w:val="20"/>
        </w:rPr>
        <w:t xml:space="preserve">ektrične </w:t>
      </w:r>
      <w:r w:rsidRPr="00D66177">
        <w:rPr>
          <w:rFonts w:ascii="Arial" w:eastAsia="Calibri" w:hAnsi="Arial" w:cs="Arial"/>
          <w:sz w:val="20"/>
          <w:szCs w:val="20"/>
        </w:rPr>
        <w:t xml:space="preserve">energije za prostore u zakupu </w:t>
      </w:r>
      <w:r w:rsidR="00D66177" w:rsidRPr="00D66177">
        <w:rPr>
          <w:rFonts w:ascii="Arial" w:eastAsia="Calibri" w:hAnsi="Arial" w:cs="Arial"/>
          <w:sz w:val="20"/>
          <w:szCs w:val="20"/>
        </w:rPr>
        <w:t>0</w:t>
      </w:r>
      <w:r w:rsidRPr="00D66177">
        <w:rPr>
          <w:rFonts w:ascii="Arial" w:eastAsia="Calibri" w:hAnsi="Arial" w:cs="Arial"/>
          <w:sz w:val="20"/>
          <w:szCs w:val="20"/>
        </w:rPr>
        <w:t xml:space="preserve"> €, </w:t>
      </w:r>
      <w:r w:rsidR="00D66177" w:rsidRPr="00D66177">
        <w:rPr>
          <w:rFonts w:ascii="Arial" w:eastAsia="Calibri" w:hAnsi="Arial" w:cs="Arial"/>
          <w:sz w:val="20"/>
          <w:szCs w:val="20"/>
        </w:rPr>
        <w:t xml:space="preserve">ostali prihodi 1.372,18 €, </w:t>
      </w:r>
      <w:r w:rsidRPr="00D66177">
        <w:rPr>
          <w:rFonts w:ascii="Arial" w:eastAsia="Calibri" w:hAnsi="Arial" w:cs="Arial"/>
          <w:sz w:val="20"/>
          <w:szCs w:val="20"/>
        </w:rPr>
        <w:t xml:space="preserve">prihodi od prodaje stanova sa stanarskim pravom </w:t>
      </w:r>
      <w:r w:rsidR="00D66177" w:rsidRPr="00D66177">
        <w:rPr>
          <w:rFonts w:ascii="Arial" w:eastAsia="Calibri" w:hAnsi="Arial" w:cs="Arial"/>
          <w:sz w:val="20"/>
          <w:szCs w:val="20"/>
        </w:rPr>
        <w:t>706,22</w:t>
      </w:r>
      <w:r w:rsidRPr="00D66177">
        <w:rPr>
          <w:rFonts w:ascii="Arial" w:eastAsia="Calibri" w:hAnsi="Arial" w:cs="Arial"/>
          <w:sz w:val="20"/>
          <w:szCs w:val="20"/>
        </w:rPr>
        <w:t xml:space="preserve"> €</w:t>
      </w:r>
      <w:r w:rsidR="00AD56EA" w:rsidRPr="00D66177">
        <w:rPr>
          <w:rFonts w:ascii="Arial" w:eastAsia="Calibri" w:hAnsi="Arial" w:cs="Arial"/>
          <w:sz w:val="20"/>
          <w:szCs w:val="20"/>
        </w:rPr>
        <w:t xml:space="preserve">, prihodi od prodaje zemljišta </w:t>
      </w:r>
      <w:r w:rsidR="00D66177" w:rsidRPr="00D66177">
        <w:rPr>
          <w:rFonts w:ascii="Arial" w:eastAsia="Calibri" w:hAnsi="Arial" w:cs="Arial"/>
          <w:sz w:val="20"/>
          <w:szCs w:val="20"/>
        </w:rPr>
        <w:t>66.932</w:t>
      </w:r>
      <w:r w:rsidR="00786738" w:rsidRPr="00D66177">
        <w:rPr>
          <w:rFonts w:ascii="Arial" w:eastAsia="Calibri" w:hAnsi="Arial" w:cs="Arial"/>
          <w:sz w:val="20"/>
          <w:szCs w:val="20"/>
        </w:rPr>
        <w:t xml:space="preserve"> €, prihodi od nadoknade troškova na ime stanova na Zvekovici </w:t>
      </w:r>
      <w:r w:rsidR="00D66177" w:rsidRPr="00D66177">
        <w:rPr>
          <w:rFonts w:ascii="Arial" w:eastAsia="Calibri" w:hAnsi="Arial" w:cs="Arial"/>
          <w:sz w:val="20"/>
          <w:szCs w:val="20"/>
        </w:rPr>
        <w:t>0</w:t>
      </w:r>
      <w:r w:rsidR="00786738" w:rsidRPr="00D66177">
        <w:rPr>
          <w:rFonts w:ascii="Arial" w:eastAsia="Calibri" w:hAnsi="Arial" w:cs="Arial"/>
          <w:sz w:val="20"/>
          <w:szCs w:val="20"/>
        </w:rPr>
        <w:t xml:space="preserve"> €</w:t>
      </w:r>
      <w:r w:rsidR="009B46BF" w:rsidRPr="00D66177">
        <w:rPr>
          <w:rFonts w:ascii="Arial" w:eastAsia="Calibri" w:hAnsi="Arial" w:cs="Arial"/>
          <w:sz w:val="20"/>
          <w:szCs w:val="20"/>
        </w:rPr>
        <w:t xml:space="preserve"> i drugo.</w:t>
      </w:r>
    </w:p>
    <w:p w14:paraId="26D16FAC" w14:textId="28DEA8BE" w:rsidR="00AD56EA" w:rsidRPr="00D66177" w:rsidRDefault="00A9552A" w:rsidP="00AD56EA">
      <w:pPr>
        <w:numPr>
          <w:ilvl w:val="0"/>
          <w:numId w:val="9"/>
        </w:numPr>
        <w:spacing w:after="0" w:line="240" w:lineRule="auto"/>
        <w:jc w:val="both"/>
        <w:rPr>
          <w:rFonts w:ascii="Arial" w:eastAsia="Calibri" w:hAnsi="Arial" w:cs="Arial"/>
          <w:sz w:val="20"/>
          <w:szCs w:val="20"/>
        </w:rPr>
      </w:pPr>
      <w:r w:rsidRPr="00D66177">
        <w:rPr>
          <w:rFonts w:ascii="Arial" w:eastAsia="Calibri" w:hAnsi="Arial" w:cs="Arial"/>
          <w:sz w:val="20"/>
          <w:szCs w:val="20"/>
        </w:rPr>
        <w:t>U okviru upravnog odjela u nadležnosti je proračunski korisnik – Javna vatrogasna postrojba koj</w:t>
      </w:r>
      <w:r w:rsidR="00F15103" w:rsidRPr="00D66177">
        <w:rPr>
          <w:rFonts w:ascii="Arial" w:eastAsia="Calibri" w:hAnsi="Arial" w:cs="Arial"/>
          <w:sz w:val="20"/>
          <w:szCs w:val="20"/>
        </w:rPr>
        <w:t>a</w:t>
      </w:r>
      <w:r w:rsidRPr="00D66177">
        <w:rPr>
          <w:rFonts w:ascii="Arial" w:eastAsia="Calibri" w:hAnsi="Arial" w:cs="Arial"/>
          <w:sz w:val="20"/>
          <w:szCs w:val="20"/>
        </w:rPr>
        <w:t xml:space="preserve"> ostvaruje prihode od pomoći i donacija kako je prikazano u tablici u nastavku, odnosno 202</w:t>
      </w:r>
      <w:r w:rsidR="00786738" w:rsidRPr="00D66177">
        <w:rPr>
          <w:rFonts w:ascii="Arial" w:eastAsia="Calibri" w:hAnsi="Arial" w:cs="Arial"/>
          <w:sz w:val="20"/>
          <w:szCs w:val="20"/>
        </w:rPr>
        <w:t>4</w:t>
      </w:r>
      <w:r w:rsidRPr="00D66177">
        <w:rPr>
          <w:rFonts w:ascii="Arial" w:eastAsia="Calibri" w:hAnsi="Arial" w:cs="Arial"/>
          <w:sz w:val="20"/>
          <w:szCs w:val="20"/>
        </w:rPr>
        <w:t xml:space="preserve">. godine </w:t>
      </w:r>
      <w:r w:rsidR="00786738" w:rsidRPr="00D66177">
        <w:rPr>
          <w:rFonts w:ascii="Arial" w:eastAsia="Calibri" w:hAnsi="Arial" w:cs="Arial"/>
          <w:sz w:val="20"/>
          <w:szCs w:val="20"/>
        </w:rPr>
        <w:t>ni</w:t>
      </w:r>
      <w:r w:rsidRPr="00D66177">
        <w:rPr>
          <w:rFonts w:ascii="Arial" w:eastAsia="Calibri" w:hAnsi="Arial" w:cs="Arial"/>
          <w:sz w:val="20"/>
          <w:szCs w:val="20"/>
        </w:rPr>
        <w:t>su ostvareni vlastiti prihodi</w:t>
      </w:r>
      <w:r w:rsidR="00AD56EA" w:rsidRPr="00D66177">
        <w:rPr>
          <w:rFonts w:ascii="Arial" w:eastAsia="Calibri" w:hAnsi="Arial" w:cs="Arial"/>
          <w:sz w:val="20"/>
          <w:szCs w:val="20"/>
        </w:rPr>
        <w:t>.</w:t>
      </w:r>
    </w:p>
    <w:p w14:paraId="3DFD2B45" w14:textId="10713F4C" w:rsidR="00786738" w:rsidRDefault="0001700A" w:rsidP="00F15103">
      <w:pPr>
        <w:spacing w:after="0" w:line="240" w:lineRule="auto"/>
        <w:jc w:val="center"/>
        <w:rPr>
          <w:rFonts w:ascii="Arial" w:eastAsia="Calibri" w:hAnsi="Arial" w:cs="Arial"/>
          <w:sz w:val="20"/>
          <w:szCs w:val="20"/>
          <w:u w:val="single"/>
        </w:rPr>
      </w:pPr>
      <w:r w:rsidRPr="0001700A">
        <w:rPr>
          <w:noProof/>
        </w:rPr>
        <w:drawing>
          <wp:inline distT="0" distB="0" distL="0" distR="0" wp14:anchorId="17513932" wp14:editId="1826C52B">
            <wp:extent cx="9251950" cy="1070610"/>
            <wp:effectExtent l="0" t="0" r="6350" b="0"/>
            <wp:docPr id="1257519755"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251950" cy="1070610"/>
                    </a:xfrm>
                    <a:prstGeom prst="rect">
                      <a:avLst/>
                    </a:prstGeom>
                    <a:noFill/>
                    <a:ln>
                      <a:noFill/>
                    </a:ln>
                  </pic:spPr>
                </pic:pic>
              </a:graphicData>
            </a:graphic>
          </wp:inline>
        </w:drawing>
      </w:r>
    </w:p>
    <w:p w14:paraId="380F6536" w14:textId="73B3DB04" w:rsidR="007A1E17" w:rsidRPr="003A2F86" w:rsidRDefault="007A1E17" w:rsidP="00F15103">
      <w:pPr>
        <w:spacing w:after="0" w:line="240" w:lineRule="auto"/>
        <w:jc w:val="center"/>
        <w:rPr>
          <w:rFonts w:ascii="Arial" w:eastAsia="Calibri" w:hAnsi="Arial" w:cs="Arial"/>
          <w:sz w:val="20"/>
          <w:szCs w:val="20"/>
          <w:u w:val="single"/>
        </w:rPr>
      </w:pPr>
    </w:p>
    <w:p w14:paraId="2483B9A7" w14:textId="38A8C793" w:rsidR="00A9552A" w:rsidRPr="009B46BF" w:rsidRDefault="00A9552A" w:rsidP="009D2341">
      <w:pPr>
        <w:spacing w:after="0" w:line="240" w:lineRule="auto"/>
        <w:ind w:firstLine="709"/>
        <w:rPr>
          <w:rFonts w:ascii="Arial" w:eastAsia="Calibri" w:hAnsi="Arial" w:cs="Arial"/>
          <w:sz w:val="20"/>
          <w:szCs w:val="20"/>
        </w:rPr>
      </w:pPr>
      <w:r w:rsidRPr="009B46BF">
        <w:rPr>
          <w:rFonts w:ascii="Arial" w:eastAsia="Calibri" w:hAnsi="Arial" w:cs="Arial"/>
          <w:sz w:val="20"/>
          <w:szCs w:val="20"/>
          <w:u w:val="single"/>
        </w:rPr>
        <w:t>Izvršeni rashodi poslovanja</w:t>
      </w:r>
      <w:r w:rsidRPr="009B46BF">
        <w:rPr>
          <w:rFonts w:ascii="Arial" w:eastAsia="Calibri" w:hAnsi="Arial" w:cs="Arial"/>
          <w:sz w:val="20"/>
          <w:szCs w:val="20"/>
        </w:rPr>
        <w:t xml:space="preserve"> sastoje se od:</w:t>
      </w:r>
    </w:p>
    <w:p w14:paraId="6C760EE9" w14:textId="0706C4D1" w:rsidR="00A9552A" w:rsidRPr="009B46BF" w:rsidRDefault="00A9552A">
      <w:pPr>
        <w:numPr>
          <w:ilvl w:val="0"/>
          <w:numId w:val="9"/>
        </w:numPr>
        <w:spacing w:after="0" w:line="240" w:lineRule="auto"/>
        <w:contextualSpacing/>
        <w:jc w:val="both"/>
        <w:rPr>
          <w:rFonts w:ascii="Arial" w:eastAsia="Calibri" w:hAnsi="Arial" w:cs="Arial"/>
          <w:sz w:val="20"/>
          <w:szCs w:val="20"/>
        </w:rPr>
      </w:pPr>
      <w:r w:rsidRPr="009B46BF">
        <w:rPr>
          <w:rFonts w:ascii="Arial" w:eastAsia="Calibri" w:hAnsi="Arial" w:cs="Arial"/>
          <w:sz w:val="20"/>
          <w:szCs w:val="20"/>
        </w:rPr>
        <w:t>rashoda za plaće proračunskog korisnika</w:t>
      </w:r>
      <w:r w:rsidR="00F80FFA" w:rsidRPr="009B46BF">
        <w:rPr>
          <w:rFonts w:ascii="Arial" w:eastAsia="Calibri" w:hAnsi="Arial" w:cs="Arial"/>
          <w:sz w:val="20"/>
          <w:szCs w:val="20"/>
        </w:rPr>
        <w:t xml:space="preserve"> (plaće razdjela se iskazuju unutar razdjela 020)</w:t>
      </w:r>
    </w:p>
    <w:p w14:paraId="0826F948" w14:textId="77777777" w:rsidR="00A9552A" w:rsidRPr="009B46BF" w:rsidRDefault="00A9552A">
      <w:pPr>
        <w:numPr>
          <w:ilvl w:val="0"/>
          <w:numId w:val="9"/>
        </w:numPr>
        <w:spacing w:after="0" w:line="240" w:lineRule="auto"/>
        <w:contextualSpacing/>
        <w:jc w:val="both"/>
        <w:rPr>
          <w:rFonts w:ascii="Arial" w:eastAsia="Calibri" w:hAnsi="Arial" w:cs="Arial"/>
          <w:sz w:val="20"/>
          <w:szCs w:val="20"/>
        </w:rPr>
      </w:pPr>
      <w:r w:rsidRPr="009B46BF">
        <w:rPr>
          <w:rFonts w:ascii="Arial" w:eastAsia="Calibri" w:hAnsi="Arial" w:cs="Arial"/>
          <w:sz w:val="20"/>
          <w:szCs w:val="20"/>
        </w:rPr>
        <w:t xml:space="preserve">izdataka za otplate zajmova korištenih za investicije </w:t>
      </w:r>
    </w:p>
    <w:p w14:paraId="5A3603B7" w14:textId="77777777" w:rsidR="00A9552A" w:rsidRPr="009B46BF" w:rsidRDefault="00A9552A">
      <w:pPr>
        <w:numPr>
          <w:ilvl w:val="0"/>
          <w:numId w:val="9"/>
        </w:numPr>
        <w:spacing w:after="0" w:line="240" w:lineRule="auto"/>
        <w:contextualSpacing/>
        <w:jc w:val="both"/>
        <w:rPr>
          <w:rFonts w:ascii="Arial" w:eastAsia="Calibri" w:hAnsi="Arial" w:cs="Arial"/>
          <w:sz w:val="20"/>
          <w:szCs w:val="20"/>
        </w:rPr>
      </w:pPr>
      <w:r w:rsidRPr="009B46BF">
        <w:rPr>
          <w:rFonts w:ascii="Arial" w:eastAsia="Calibri" w:hAnsi="Arial" w:cs="Arial"/>
          <w:sz w:val="20"/>
          <w:szCs w:val="20"/>
        </w:rPr>
        <w:t>programe održavanja komunalne infrastrukture, građenje objekata i uređaja komunalne infrastrukture, te drugih objekata javne namjene iz područja socijale, predškolskog odgoja, školstva i drugo.</w:t>
      </w:r>
    </w:p>
    <w:p w14:paraId="65396509" w14:textId="77777777" w:rsidR="00A9552A" w:rsidRPr="009B46BF" w:rsidRDefault="00A9552A" w:rsidP="00F80FFA">
      <w:pPr>
        <w:spacing w:after="0" w:line="240" w:lineRule="auto"/>
        <w:ind w:left="720"/>
        <w:rPr>
          <w:rFonts w:ascii="Arial" w:eastAsia="Calibri" w:hAnsi="Arial" w:cs="Arial"/>
          <w:sz w:val="20"/>
          <w:szCs w:val="20"/>
        </w:rPr>
      </w:pPr>
    </w:p>
    <w:p w14:paraId="65E5F723" w14:textId="77777777" w:rsidR="00A9552A" w:rsidRPr="009B46BF" w:rsidRDefault="00A9552A">
      <w:pPr>
        <w:numPr>
          <w:ilvl w:val="0"/>
          <w:numId w:val="9"/>
        </w:numPr>
        <w:spacing w:after="0" w:line="240" w:lineRule="auto"/>
        <w:jc w:val="both"/>
        <w:rPr>
          <w:rFonts w:ascii="Arial" w:eastAsia="Calibri" w:hAnsi="Arial" w:cs="Arial"/>
          <w:sz w:val="20"/>
          <w:szCs w:val="20"/>
        </w:rPr>
      </w:pPr>
      <w:r w:rsidRPr="009B46BF">
        <w:rPr>
          <w:rFonts w:ascii="Arial" w:eastAsia="Calibri" w:hAnsi="Arial" w:cs="Arial"/>
          <w:sz w:val="20"/>
          <w:szCs w:val="20"/>
        </w:rPr>
        <w:t xml:space="preserve">U okviru upravnog odjela rashodi za jednog proračunska korisnika u nadležnosti odjela prikazani su u tablici u nastavku. </w:t>
      </w:r>
    </w:p>
    <w:p w14:paraId="377E6316" w14:textId="429F6AFB" w:rsidR="00A9552A" w:rsidRPr="007E7FDB" w:rsidRDefault="00A9552A" w:rsidP="00775A9C">
      <w:pPr>
        <w:pStyle w:val="Odlomakpopisa"/>
        <w:ind w:left="142"/>
        <w:contextualSpacing/>
        <w:rPr>
          <w:rFonts w:ascii="Arial" w:eastAsia="Calibri" w:hAnsi="Arial" w:cs="Arial"/>
          <w:sz w:val="14"/>
          <w:szCs w:val="14"/>
          <w:u w:val="single"/>
        </w:rPr>
      </w:pPr>
    </w:p>
    <w:p w14:paraId="155D5E61" w14:textId="19FBAEC8" w:rsidR="009B3277" w:rsidRDefault="009B3277" w:rsidP="00A9552A">
      <w:pPr>
        <w:pStyle w:val="Odlomakpopisa"/>
        <w:ind w:left="1068"/>
        <w:contextualSpacing/>
        <w:rPr>
          <w:rFonts w:ascii="Arial" w:eastAsia="Calibri" w:hAnsi="Arial" w:cs="Arial"/>
          <w:u w:val="single"/>
        </w:rPr>
      </w:pPr>
      <w:r w:rsidRPr="009B3277">
        <w:rPr>
          <w:rFonts w:eastAsia="Calibri"/>
          <w:noProof/>
        </w:rPr>
        <w:drawing>
          <wp:inline distT="0" distB="0" distL="0" distR="0" wp14:anchorId="4A9D9145" wp14:editId="3279A2D6">
            <wp:extent cx="9251950" cy="1229995"/>
            <wp:effectExtent l="0" t="0" r="6350" b="8255"/>
            <wp:docPr id="2007574092"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251950" cy="1229995"/>
                    </a:xfrm>
                    <a:prstGeom prst="rect">
                      <a:avLst/>
                    </a:prstGeom>
                    <a:noFill/>
                    <a:ln>
                      <a:noFill/>
                    </a:ln>
                  </pic:spPr>
                </pic:pic>
              </a:graphicData>
            </a:graphic>
          </wp:inline>
        </w:drawing>
      </w:r>
    </w:p>
    <w:p w14:paraId="595E6D79" w14:textId="77777777" w:rsidR="009B3277" w:rsidRPr="007E7FDB" w:rsidRDefault="009B3277" w:rsidP="00A9552A">
      <w:pPr>
        <w:pStyle w:val="Odlomakpopisa"/>
        <w:ind w:left="1068"/>
        <w:contextualSpacing/>
        <w:rPr>
          <w:rFonts w:ascii="Arial" w:eastAsia="Calibri" w:hAnsi="Arial" w:cs="Arial"/>
          <w:sz w:val="16"/>
          <w:szCs w:val="16"/>
          <w:u w:val="single"/>
        </w:rPr>
      </w:pPr>
    </w:p>
    <w:p w14:paraId="06AC23A7" w14:textId="0C7D3121" w:rsidR="00A9552A" w:rsidRPr="003A2F86" w:rsidRDefault="00A9552A" w:rsidP="00A9552A">
      <w:pPr>
        <w:pStyle w:val="Odlomakpopisa"/>
        <w:ind w:left="1068"/>
        <w:contextualSpacing/>
        <w:rPr>
          <w:rFonts w:ascii="Arial" w:eastAsia="Calibri" w:hAnsi="Arial" w:cs="Arial"/>
          <w:u w:val="single"/>
        </w:rPr>
      </w:pPr>
      <w:r w:rsidRPr="003A2F86">
        <w:rPr>
          <w:rFonts w:ascii="Arial" w:eastAsia="Calibri" w:hAnsi="Arial" w:cs="Arial"/>
          <w:u w:val="single"/>
        </w:rPr>
        <w:t>Višak / manjak prihoda:</w:t>
      </w:r>
    </w:p>
    <w:p w14:paraId="1F813D5C" w14:textId="1589BEEF" w:rsidR="00FC72A2" w:rsidRPr="007B4373" w:rsidRDefault="00A9552A" w:rsidP="007E1EF8">
      <w:pPr>
        <w:pStyle w:val="Odlomakpopisa"/>
        <w:numPr>
          <w:ilvl w:val="0"/>
          <w:numId w:val="9"/>
        </w:numPr>
        <w:autoSpaceDE w:val="0"/>
        <w:autoSpaceDN w:val="0"/>
        <w:adjustRightInd w:val="0"/>
        <w:contextualSpacing/>
        <w:rPr>
          <w:rFonts w:ascii="Arial" w:eastAsia="Calibri" w:hAnsi="Arial" w:cs="Arial"/>
        </w:rPr>
      </w:pPr>
      <w:r w:rsidRPr="007B4373">
        <w:rPr>
          <w:rFonts w:ascii="Arial" w:eastAsia="Calibri" w:hAnsi="Arial" w:cs="Arial"/>
        </w:rPr>
        <w:t>u financijskom planu ovog razdjela iskazani manjak prihoda podmiruje se iz izvora opći prihodi i primici te se u financijskom planu razdjela iskazuje kao prihod na 671 čime dolazi do uravnoteženosti financijskog plana. U godinama u kojima se ostvaruje višak prihoda isti koriste drugi upravni odjeli.</w:t>
      </w:r>
      <w:bookmarkEnd w:id="330"/>
      <w:r w:rsidR="00FC72A2" w:rsidRPr="007B4373">
        <w:rPr>
          <w:rFonts w:ascii="Arial" w:eastAsia="Calibri" w:hAnsi="Arial" w:cs="Arial"/>
        </w:rPr>
        <w:br w:type="page"/>
      </w:r>
    </w:p>
    <w:p w14:paraId="401BE3B7" w14:textId="77777777" w:rsidR="00B95A8E" w:rsidRPr="003A2F86" w:rsidRDefault="00B95A8E" w:rsidP="00B95A8E">
      <w:pPr>
        <w:spacing w:after="0" w:line="240" w:lineRule="auto"/>
        <w:jc w:val="both"/>
        <w:rPr>
          <w:rFonts w:ascii="Arial" w:eastAsia="Calibri" w:hAnsi="Arial" w:cs="Arial"/>
          <w:sz w:val="20"/>
          <w:szCs w:val="20"/>
        </w:rPr>
      </w:pPr>
    </w:p>
    <w:p w14:paraId="08FBBF6C" w14:textId="45626219" w:rsidR="00B95A8E" w:rsidRPr="003A2F86" w:rsidRDefault="00B95A8E" w:rsidP="00375FAF">
      <w:pPr>
        <w:pStyle w:val="Naslov4"/>
        <w:rPr>
          <w:rFonts w:eastAsia="Calibri"/>
          <w:lang w:val="hr-HR"/>
        </w:rPr>
      </w:pPr>
      <w:bookmarkStart w:id="331" w:name="_Toc207707471"/>
      <w:r w:rsidRPr="003A2F86">
        <w:rPr>
          <w:rFonts w:eastAsia="Calibri"/>
          <w:lang w:val="hr-HR"/>
        </w:rPr>
        <w:t>3.</w:t>
      </w:r>
      <w:r w:rsidR="00375FAF" w:rsidRPr="003A2F86">
        <w:rPr>
          <w:rFonts w:eastAsia="Calibri"/>
          <w:lang w:val="hr-HR"/>
        </w:rPr>
        <w:t>3.</w:t>
      </w:r>
      <w:r w:rsidR="00AE2BD5" w:rsidRPr="003A2F86">
        <w:rPr>
          <w:rFonts w:eastAsia="Calibri"/>
          <w:lang w:val="hr-HR"/>
        </w:rPr>
        <w:t>3.2.</w:t>
      </w:r>
      <w:r w:rsidRPr="003A2F86">
        <w:rPr>
          <w:rFonts w:eastAsia="Calibri"/>
          <w:lang w:val="hr-HR"/>
        </w:rPr>
        <w:tab/>
        <w:t>GLAVA: (030 02) USTANOVA ZA VATROGASNU DJELATNOST</w:t>
      </w:r>
      <w:bookmarkEnd w:id="331"/>
      <w:r w:rsidRPr="003A2F86">
        <w:rPr>
          <w:rFonts w:eastAsia="Calibri"/>
          <w:lang w:val="hr-HR"/>
        </w:rPr>
        <w:t xml:space="preserve"> </w:t>
      </w:r>
    </w:p>
    <w:p w14:paraId="3CEB40D7" w14:textId="77777777" w:rsidR="00B95A8E" w:rsidRPr="003A2F86" w:rsidRDefault="00B95A8E" w:rsidP="00B95A8E">
      <w:pPr>
        <w:autoSpaceDE w:val="0"/>
        <w:autoSpaceDN w:val="0"/>
        <w:adjustRightInd w:val="0"/>
        <w:spacing w:after="0" w:line="240" w:lineRule="auto"/>
        <w:jc w:val="both"/>
        <w:rPr>
          <w:rFonts w:ascii="Arial" w:eastAsia="Calibri" w:hAnsi="Arial" w:cs="Arial"/>
          <w:sz w:val="20"/>
          <w:szCs w:val="20"/>
        </w:rPr>
      </w:pPr>
    </w:p>
    <w:p w14:paraId="28235132" w14:textId="77777777" w:rsidR="00B95A8E" w:rsidRPr="003A2F86" w:rsidRDefault="00B95A8E" w:rsidP="00B95A8E">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U razdjelu 030 UPRAVNI ODJEL ZA KOMUNALNI SUSTAV I GOSPODARENJE NEKRETNINAMA, glava 030 02 Ustanova </w:t>
      </w:r>
      <w:r w:rsidR="0066305F" w:rsidRPr="003A2F86">
        <w:rPr>
          <w:rFonts w:ascii="Arial" w:eastAsia="Calibri" w:hAnsi="Arial" w:cs="Arial"/>
          <w:sz w:val="20"/>
          <w:szCs w:val="20"/>
        </w:rPr>
        <w:t>za vatrogasnu djelatnost</w:t>
      </w:r>
      <w:r w:rsidRPr="003A2F86">
        <w:rPr>
          <w:rFonts w:ascii="Arial" w:eastAsia="Calibri" w:hAnsi="Arial" w:cs="Arial"/>
          <w:sz w:val="20"/>
          <w:szCs w:val="20"/>
        </w:rPr>
        <w:t xml:space="preserve">, izvodi se jedan program. </w:t>
      </w:r>
    </w:p>
    <w:p w14:paraId="6DEEC3E0" w14:textId="77777777" w:rsidR="00B95A8E" w:rsidRPr="003A2F86" w:rsidRDefault="00B95A8E" w:rsidP="00B95A8E">
      <w:pPr>
        <w:spacing w:after="0" w:line="240" w:lineRule="auto"/>
        <w:jc w:val="both"/>
        <w:rPr>
          <w:rFonts w:ascii="Arial" w:eastAsia="Times New Roman" w:hAnsi="Arial" w:cs="Arial"/>
          <w:sz w:val="20"/>
          <w:szCs w:val="20"/>
          <w:lang w:eastAsia="en-US"/>
        </w:rPr>
      </w:pPr>
    </w:p>
    <w:p w14:paraId="785DC35F" w14:textId="77777777" w:rsidR="007320FD" w:rsidRPr="003A2F86" w:rsidRDefault="007320FD" w:rsidP="00F1100F">
      <w:pPr>
        <w:pStyle w:val="Naslov3"/>
        <w:rPr>
          <w:rFonts w:eastAsia="Calibri"/>
          <w:lang w:val="hr-HR"/>
        </w:rPr>
      </w:pPr>
      <w:bookmarkStart w:id="332" w:name="_Toc36842151"/>
      <w:bookmarkStart w:id="333" w:name="_Toc207707472"/>
      <w:r w:rsidRPr="003A2F86">
        <w:rPr>
          <w:rFonts w:eastAsia="Calibri"/>
          <w:lang w:val="hr-HR"/>
        </w:rPr>
        <w:t>Program (2071): Redovna djelatnost javne vatrogasne postrojbe</w:t>
      </w:r>
      <w:bookmarkEnd w:id="332"/>
      <w:bookmarkEnd w:id="333"/>
    </w:p>
    <w:p w14:paraId="401D0986" w14:textId="77777777" w:rsidR="007320FD" w:rsidRPr="003A2F86" w:rsidRDefault="007320FD" w:rsidP="007320FD">
      <w:pPr>
        <w:spacing w:after="0" w:line="240" w:lineRule="auto"/>
        <w:rPr>
          <w:rFonts w:ascii="Times New Roman" w:eastAsia="Calibri" w:hAnsi="Times New Roman" w:cs="Times New Roman"/>
          <w:sz w:val="20"/>
          <w:szCs w:val="20"/>
          <w:lang w:eastAsia="en-US"/>
        </w:rPr>
      </w:pPr>
    </w:p>
    <w:tbl>
      <w:tblPr>
        <w:tblW w:w="13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39"/>
        <w:gridCol w:w="567"/>
        <w:gridCol w:w="8930"/>
      </w:tblGrid>
      <w:tr w:rsidR="00CC60DA" w:rsidRPr="003A2F86" w14:paraId="2339EE1F" w14:textId="77777777" w:rsidTr="00596E8D">
        <w:tc>
          <w:tcPr>
            <w:tcW w:w="4139" w:type="dxa"/>
            <w:tcBorders>
              <w:top w:val="single" w:sz="4" w:space="0" w:color="auto"/>
              <w:left w:val="single" w:sz="4" w:space="0" w:color="auto"/>
              <w:bottom w:val="single" w:sz="4" w:space="0" w:color="auto"/>
              <w:right w:val="single" w:sz="4" w:space="0" w:color="auto"/>
            </w:tcBorders>
            <w:shd w:val="solid" w:color="B4B4B4" w:fill="auto"/>
          </w:tcPr>
          <w:p w14:paraId="350336D1" w14:textId="77777777" w:rsidR="007320FD" w:rsidRPr="003A2F86" w:rsidRDefault="007320FD" w:rsidP="007320FD">
            <w:pPr>
              <w:spacing w:after="0" w:line="240" w:lineRule="auto"/>
              <w:jc w:val="center"/>
              <w:rPr>
                <w:rFonts w:ascii="Arial" w:eastAsia="Times New Roman" w:hAnsi="Arial" w:cs="Arial"/>
                <w:sz w:val="20"/>
                <w:szCs w:val="20"/>
                <w:lang w:eastAsia="en-US"/>
              </w:rPr>
            </w:pPr>
            <w:r w:rsidRPr="003A2F86">
              <w:rPr>
                <w:rFonts w:ascii="Arial" w:eastAsia="Times New Roman" w:hAnsi="Arial" w:cs="Arial"/>
                <w:sz w:val="20"/>
                <w:szCs w:val="20"/>
                <w:lang w:eastAsia="en-US"/>
              </w:rPr>
              <w:t>PROGRAM</w:t>
            </w:r>
          </w:p>
        </w:tc>
        <w:tc>
          <w:tcPr>
            <w:tcW w:w="567" w:type="dxa"/>
            <w:tcBorders>
              <w:top w:val="single" w:sz="4" w:space="0" w:color="auto"/>
              <w:left w:val="single" w:sz="4" w:space="0" w:color="auto"/>
              <w:bottom w:val="single" w:sz="4" w:space="0" w:color="auto"/>
              <w:right w:val="single" w:sz="4" w:space="0" w:color="auto"/>
            </w:tcBorders>
            <w:shd w:val="solid" w:color="B4B4B4" w:fill="auto"/>
          </w:tcPr>
          <w:p w14:paraId="575AC14C" w14:textId="77777777" w:rsidR="007320FD" w:rsidRPr="003A2F86" w:rsidRDefault="007320FD" w:rsidP="007320FD">
            <w:pPr>
              <w:spacing w:after="0" w:line="240" w:lineRule="auto"/>
              <w:rPr>
                <w:rFonts w:ascii="Arial" w:eastAsia="Times New Roman" w:hAnsi="Arial" w:cs="Arial"/>
                <w:b/>
                <w:sz w:val="20"/>
                <w:szCs w:val="20"/>
                <w:lang w:eastAsia="en-US"/>
              </w:rPr>
            </w:pPr>
            <w:r w:rsidRPr="003A2F86">
              <w:rPr>
                <w:rFonts w:ascii="Arial" w:eastAsia="Times New Roman" w:hAnsi="Arial" w:cs="Arial"/>
                <w:b/>
                <w:sz w:val="20"/>
                <w:szCs w:val="20"/>
                <w:lang w:eastAsia="en-US"/>
              </w:rPr>
              <w:t>2071</w:t>
            </w:r>
          </w:p>
        </w:tc>
        <w:tc>
          <w:tcPr>
            <w:tcW w:w="8930" w:type="dxa"/>
            <w:tcBorders>
              <w:top w:val="single" w:sz="4" w:space="0" w:color="auto"/>
              <w:left w:val="single" w:sz="4" w:space="0" w:color="auto"/>
              <w:bottom w:val="single" w:sz="4" w:space="0" w:color="auto"/>
              <w:right w:val="single" w:sz="4" w:space="0" w:color="auto"/>
            </w:tcBorders>
            <w:shd w:val="solid" w:color="B4B4B4" w:fill="auto"/>
          </w:tcPr>
          <w:p w14:paraId="4FB6647D" w14:textId="77777777" w:rsidR="007320FD" w:rsidRPr="003A2F86" w:rsidRDefault="007320FD" w:rsidP="007320FD">
            <w:pPr>
              <w:spacing w:after="0" w:line="240" w:lineRule="auto"/>
              <w:rPr>
                <w:rFonts w:ascii="Arial" w:eastAsia="Times New Roman" w:hAnsi="Arial" w:cs="Arial"/>
                <w:sz w:val="20"/>
                <w:szCs w:val="20"/>
                <w:lang w:eastAsia="en-US"/>
              </w:rPr>
            </w:pPr>
            <w:r w:rsidRPr="003A2F86">
              <w:rPr>
                <w:rFonts w:ascii="Arial" w:eastAsia="Times New Roman" w:hAnsi="Arial" w:cs="Arial"/>
                <w:sz w:val="20"/>
                <w:szCs w:val="20"/>
                <w:lang w:eastAsia="en-US"/>
              </w:rPr>
              <w:t>Redovna djelatnost vatrogasne postrojbe</w:t>
            </w:r>
          </w:p>
        </w:tc>
      </w:tr>
    </w:tbl>
    <w:p w14:paraId="0070E585" w14:textId="77777777" w:rsidR="007320FD" w:rsidRPr="003A2F86" w:rsidRDefault="007320FD" w:rsidP="007320FD">
      <w:pPr>
        <w:spacing w:after="0" w:line="240" w:lineRule="auto"/>
        <w:rPr>
          <w:rFonts w:ascii="Times New Roman" w:eastAsia="Times New Roman" w:hAnsi="Times New Roman" w:cs="Arial"/>
          <w:sz w:val="20"/>
          <w:szCs w:val="20"/>
          <w:lang w:eastAsia="en-US"/>
        </w:rPr>
      </w:pPr>
      <w:r w:rsidRPr="003A2F86">
        <w:rPr>
          <w:rFonts w:ascii="Times New Roman" w:eastAsia="Times New Roman" w:hAnsi="Times New Roman" w:cs="Arial"/>
          <w:noProof/>
          <w:sz w:val="20"/>
          <w:szCs w:val="20"/>
        </w:rPr>
        <w:drawing>
          <wp:inline distT="0" distB="0" distL="0" distR="0" wp14:anchorId="445AD94A" wp14:editId="6C4EB622">
            <wp:extent cx="6383655" cy="163830"/>
            <wp:effectExtent l="19050" t="0" r="0" b="0"/>
            <wp:docPr id="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srcRect/>
                    <a:stretch>
                      <a:fillRect/>
                    </a:stretch>
                  </pic:blipFill>
                  <pic:spPr bwMode="auto">
                    <a:xfrm>
                      <a:off x="0" y="0"/>
                      <a:ext cx="6383655" cy="163830"/>
                    </a:xfrm>
                    <a:prstGeom prst="rect">
                      <a:avLst/>
                    </a:prstGeom>
                    <a:noFill/>
                    <a:ln w="9525">
                      <a:noFill/>
                      <a:miter lim="800000"/>
                      <a:headEnd/>
                      <a:tailEnd/>
                    </a:ln>
                  </pic:spPr>
                </pic:pic>
              </a:graphicData>
            </a:graphic>
          </wp:inline>
        </w:drawing>
      </w:r>
    </w:p>
    <w:p w14:paraId="0621D305" w14:textId="77777777" w:rsidR="007320FD" w:rsidRPr="003A2F86" w:rsidRDefault="007320FD" w:rsidP="007320FD">
      <w:pPr>
        <w:spacing w:after="0" w:line="240" w:lineRule="auto"/>
        <w:jc w:val="both"/>
        <w:rPr>
          <w:rFonts w:ascii="Arial" w:eastAsia="Times New Roman" w:hAnsi="Arial" w:cs="Arial"/>
          <w:sz w:val="20"/>
          <w:szCs w:val="20"/>
          <w:lang w:eastAsia="en-US"/>
        </w:rPr>
      </w:pPr>
    </w:p>
    <w:p w14:paraId="5AA92708" w14:textId="128D7540" w:rsidR="007320FD" w:rsidRPr="003A2F86" w:rsidRDefault="007320FD" w:rsidP="007320FD">
      <w:pPr>
        <w:spacing w:after="0" w:line="240" w:lineRule="auto"/>
        <w:jc w:val="both"/>
        <w:rPr>
          <w:rFonts w:ascii="Arial" w:eastAsia="Times New Roman" w:hAnsi="Arial" w:cs="Arial"/>
          <w:b/>
          <w:sz w:val="20"/>
          <w:szCs w:val="20"/>
          <w:lang w:eastAsia="en-US"/>
        </w:rPr>
      </w:pPr>
      <w:r w:rsidRPr="003A2F86">
        <w:rPr>
          <w:rFonts w:ascii="Arial" w:eastAsia="Times New Roman" w:hAnsi="Arial" w:cs="Arial"/>
          <w:sz w:val="20"/>
          <w:szCs w:val="20"/>
          <w:lang w:eastAsia="en-US"/>
        </w:rPr>
        <w:t xml:space="preserve">Obrazloženje izvršenja PROGRAMA 2071 Redovna djelatnost javne vatrogasne postrojbe, Javna vatrogasna postrojba Konavle iskazuje se u </w:t>
      </w:r>
      <w:r w:rsidRPr="003A2F86">
        <w:rPr>
          <w:rFonts w:ascii="Arial" w:eastAsia="Times New Roman" w:hAnsi="Arial" w:cs="Arial"/>
          <w:color w:val="FF0000"/>
          <w:sz w:val="20"/>
          <w:szCs w:val="20"/>
          <w:lang w:eastAsia="en-US"/>
        </w:rPr>
        <w:t xml:space="preserve">točki </w:t>
      </w:r>
      <w:r w:rsidR="00F1100F" w:rsidRPr="003A2F86">
        <w:rPr>
          <w:rFonts w:ascii="Arial" w:eastAsia="Times New Roman" w:hAnsi="Arial" w:cs="Arial"/>
          <w:b/>
          <w:color w:val="FF0000"/>
          <w:sz w:val="20"/>
          <w:szCs w:val="20"/>
          <w:lang w:eastAsia="en-US"/>
        </w:rPr>
        <w:t>3</w:t>
      </w:r>
      <w:r w:rsidRPr="003A2F86">
        <w:rPr>
          <w:rFonts w:ascii="Arial" w:eastAsia="Times New Roman" w:hAnsi="Arial" w:cs="Arial"/>
          <w:b/>
          <w:color w:val="FF0000"/>
          <w:sz w:val="20"/>
          <w:szCs w:val="20"/>
          <w:lang w:eastAsia="en-US"/>
        </w:rPr>
        <w:t>.</w:t>
      </w:r>
      <w:r w:rsidR="00F1100F" w:rsidRPr="003A2F86">
        <w:rPr>
          <w:rFonts w:ascii="Arial" w:eastAsia="Times New Roman" w:hAnsi="Arial" w:cs="Arial"/>
          <w:b/>
          <w:color w:val="FF0000"/>
          <w:sz w:val="20"/>
          <w:szCs w:val="20"/>
          <w:lang w:eastAsia="en-US"/>
        </w:rPr>
        <w:t>4</w:t>
      </w:r>
      <w:r w:rsidRPr="003A2F86">
        <w:rPr>
          <w:rFonts w:ascii="Arial" w:eastAsia="Times New Roman" w:hAnsi="Arial" w:cs="Arial"/>
          <w:b/>
          <w:color w:val="FF0000"/>
          <w:sz w:val="20"/>
          <w:szCs w:val="20"/>
          <w:lang w:eastAsia="en-US"/>
        </w:rPr>
        <w:t>.</w:t>
      </w:r>
      <w:r w:rsidRPr="003A2F86">
        <w:rPr>
          <w:rFonts w:ascii="Arial" w:eastAsia="Times New Roman" w:hAnsi="Arial" w:cs="Arial"/>
          <w:color w:val="FF0000"/>
          <w:sz w:val="20"/>
          <w:szCs w:val="20"/>
          <w:lang w:eastAsia="en-US"/>
        </w:rPr>
        <w:t xml:space="preserve"> </w:t>
      </w:r>
      <w:r w:rsidRPr="003A2F86">
        <w:rPr>
          <w:rFonts w:ascii="Arial" w:eastAsia="Times New Roman" w:hAnsi="Arial" w:cs="Arial"/>
          <w:b/>
          <w:sz w:val="20"/>
          <w:szCs w:val="20"/>
        </w:rPr>
        <w:t xml:space="preserve">POSEBNI DIO PRORAČUNA – IZVRŠENJE FINANCIJSKIH PLANOVA PRORAČUNSKIH KORISNIKA SIJEČANJ – </w:t>
      </w:r>
      <w:r w:rsidR="00D23FEF">
        <w:rPr>
          <w:rFonts w:ascii="Arial" w:eastAsia="Times New Roman" w:hAnsi="Arial" w:cs="Arial"/>
          <w:b/>
          <w:sz w:val="20"/>
          <w:szCs w:val="20"/>
        </w:rPr>
        <w:t>LIPANJ</w:t>
      </w:r>
      <w:r w:rsidRPr="003A2F86">
        <w:rPr>
          <w:rFonts w:ascii="Arial" w:eastAsia="Times New Roman" w:hAnsi="Arial" w:cs="Arial"/>
          <w:b/>
          <w:sz w:val="20"/>
          <w:szCs w:val="20"/>
        </w:rPr>
        <w:t xml:space="preserve"> 20</w:t>
      </w:r>
      <w:r w:rsidR="00114EBC" w:rsidRPr="003A2F86">
        <w:rPr>
          <w:rFonts w:ascii="Arial" w:eastAsia="Times New Roman" w:hAnsi="Arial" w:cs="Arial"/>
          <w:b/>
          <w:sz w:val="20"/>
          <w:szCs w:val="20"/>
        </w:rPr>
        <w:t>2</w:t>
      </w:r>
      <w:r w:rsidR="00D23FEF">
        <w:rPr>
          <w:rFonts w:ascii="Arial" w:eastAsia="Times New Roman" w:hAnsi="Arial" w:cs="Arial"/>
          <w:b/>
          <w:sz w:val="20"/>
          <w:szCs w:val="20"/>
        </w:rPr>
        <w:t>5</w:t>
      </w:r>
      <w:r w:rsidRPr="003A2F86">
        <w:rPr>
          <w:rFonts w:ascii="Arial" w:eastAsia="Times New Roman" w:hAnsi="Arial" w:cs="Arial"/>
          <w:b/>
          <w:sz w:val="20"/>
          <w:szCs w:val="20"/>
        </w:rPr>
        <w:t xml:space="preserve">., </w:t>
      </w:r>
      <w:hyperlink w:anchor="_3.4.4._GLAVA:_(030" w:history="1">
        <w:r w:rsidR="00F1100F" w:rsidRPr="004C4D68">
          <w:rPr>
            <w:rStyle w:val="Hiperveza"/>
            <w:rFonts w:ascii="Arial" w:eastAsia="Times New Roman" w:hAnsi="Arial" w:cs="Arial"/>
            <w:b/>
            <w:sz w:val="20"/>
            <w:szCs w:val="20"/>
          </w:rPr>
          <w:t>3</w:t>
        </w:r>
        <w:r w:rsidRPr="004C4D68">
          <w:rPr>
            <w:rStyle w:val="Hiperveza"/>
            <w:rFonts w:ascii="Arial" w:eastAsia="Times New Roman" w:hAnsi="Arial" w:cs="Arial"/>
            <w:b/>
            <w:sz w:val="20"/>
            <w:szCs w:val="20"/>
          </w:rPr>
          <w:t>.</w:t>
        </w:r>
        <w:r w:rsidR="00F1100F" w:rsidRPr="004C4D68">
          <w:rPr>
            <w:rStyle w:val="Hiperveza"/>
            <w:rFonts w:ascii="Arial" w:eastAsia="Times New Roman" w:hAnsi="Arial" w:cs="Arial"/>
            <w:b/>
            <w:sz w:val="20"/>
            <w:szCs w:val="20"/>
          </w:rPr>
          <w:t>4</w:t>
        </w:r>
        <w:r w:rsidRPr="004C4D68">
          <w:rPr>
            <w:rStyle w:val="Hiperveza"/>
            <w:rFonts w:ascii="Arial" w:eastAsia="Times New Roman" w:hAnsi="Arial" w:cs="Arial"/>
            <w:b/>
            <w:sz w:val="20"/>
            <w:szCs w:val="20"/>
          </w:rPr>
          <w:t>.4. Javna vatrogasna postrojba Konavle</w:t>
        </w:r>
      </w:hyperlink>
      <w:r w:rsidRPr="003A2F86">
        <w:rPr>
          <w:rFonts w:ascii="Arial" w:eastAsia="Times New Roman" w:hAnsi="Arial" w:cs="Arial"/>
          <w:b/>
          <w:sz w:val="20"/>
          <w:szCs w:val="20"/>
        </w:rPr>
        <w:t>.</w:t>
      </w:r>
    </w:p>
    <w:p w14:paraId="264B366E" w14:textId="77777777" w:rsidR="00B95A8E" w:rsidRPr="003A2F86" w:rsidRDefault="00B95A8E" w:rsidP="00891119">
      <w:pPr>
        <w:spacing w:after="0" w:line="240" w:lineRule="auto"/>
        <w:jc w:val="both"/>
        <w:rPr>
          <w:rFonts w:ascii="Arial" w:eastAsia="Calibri" w:hAnsi="Arial" w:cs="Arial"/>
          <w:sz w:val="20"/>
          <w:szCs w:val="20"/>
        </w:rPr>
      </w:pPr>
    </w:p>
    <w:p w14:paraId="2E73F05B" w14:textId="77777777" w:rsidR="007320FD" w:rsidRPr="003A2F86" w:rsidRDefault="007320FD">
      <w:pPr>
        <w:rPr>
          <w:rFonts w:ascii="Arial" w:eastAsia="Calibri" w:hAnsi="Arial" w:cs="Arial"/>
          <w:sz w:val="20"/>
          <w:szCs w:val="20"/>
        </w:rPr>
      </w:pPr>
      <w:r w:rsidRPr="003A2F86">
        <w:rPr>
          <w:rFonts w:ascii="Arial" w:eastAsia="Calibri" w:hAnsi="Arial" w:cs="Arial"/>
          <w:sz w:val="20"/>
          <w:szCs w:val="20"/>
        </w:rPr>
        <w:br w:type="page"/>
      </w:r>
    </w:p>
    <w:p w14:paraId="30D89718" w14:textId="241E8B84" w:rsidR="00891119" w:rsidRPr="003A2F86" w:rsidRDefault="00AE2BD5" w:rsidP="00375FAF">
      <w:pPr>
        <w:pStyle w:val="Naslov3"/>
        <w:rPr>
          <w:rFonts w:eastAsia="Calibri"/>
          <w:lang w:val="hr-HR"/>
        </w:rPr>
      </w:pPr>
      <w:bookmarkStart w:id="334" w:name="_Toc207707473"/>
      <w:r w:rsidRPr="003A2F86">
        <w:rPr>
          <w:rFonts w:eastAsia="Calibri"/>
          <w:lang w:val="hr-HR"/>
        </w:rPr>
        <w:lastRenderedPageBreak/>
        <w:t>3.</w:t>
      </w:r>
      <w:r w:rsidR="00375FAF" w:rsidRPr="003A2F86">
        <w:rPr>
          <w:rFonts w:eastAsia="Calibri"/>
          <w:lang w:val="hr-HR"/>
        </w:rPr>
        <w:t>3</w:t>
      </w:r>
      <w:r w:rsidRPr="003A2F86">
        <w:rPr>
          <w:rFonts w:eastAsia="Calibri"/>
          <w:lang w:val="hr-HR"/>
        </w:rPr>
        <w:t>.</w:t>
      </w:r>
      <w:r w:rsidR="00891119" w:rsidRPr="003A2F86">
        <w:rPr>
          <w:rFonts w:eastAsia="Calibri"/>
          <w:lang w:val="hr-HR"/>
        </w:rPr>
        <w:t>4.</w:t>
      </w:r>
      <w:r w:rsidR="00891119" w:rsidRPr="003A2F86">
        <w:rPr>
          <w:rFonts w:eastAsia="Calibri"/>
          <w:lang w:val="hr-HR"/>
        </w:rPr>
        <w:tab/>
        <w:t>RAZDJEL: (040) UPRAVNI ODJEL ZA RURALNI RAZVOJ, GOSPODARSTVO I EU FONDOVE</w:t>
      </w:r>
      <w:bookmarkEnd w:id="334"/>
      <w:r w:rsidR="00891119" w:rsidRPr="003A2F86">
        <w:rPr>
          <w:rFonts w:eastAsia="Calibri"/>
          <w:lang w:val="hr-HR"/>
        </w:rPr>
        <w:t xml:space="preserve"> </w:t>
      </w:r>
    </w:p>
    <w:p w14:paraId="00294ADD" w14:textId="77777777" w:rsidR="00891119" w:rsidRPr="003A2F86" w:rsidRDefault="00891119" w:rsidP="00891119">
      <w:pPr>
        <w:spacing w:after="0" w:line="240" w:lineRule="auto"/>
        <w:rPr>
          <w:rFonts w:ascii="Times New Roman" w:eastAsia="Calibri" w:hAnsi="Times New Roman" w:cs="Arial"/>
          <w:sz w:val="20"/>
          <w:szCs w:val="20"/>
          <w:lang w:eastAsia="en-US"/>
        </w:rPr>
      </w:pPr>
    </w:p>
    <w:p w14:paraId="4B29BD47" w14:textId="2D63FB48" w:rsidR="00330748" w:rsidRPr="003A2F86" w:rsidRDefault="00330748" w:rsidP="00330748">
      <w:pPr>
        <w:spacing w:after="0" w:line="240" w:lineRule="auto"/>
        <w:jc w:val="both"/>
        <w:rPr>
          <w:rFonts w:ascii="Arial" w:eastAsia="Times New Roman" w:hAnsi="Arial" w:cs="Arial"/>
          <w:iCs/>
          <w:sz w:val="20"/>
          <w:szCs w:val="20"/>
          <w:lang w:eastAsia="en-US"/>
        </w:rPr>
      </w:pPr>
      <w:r w:rsidRPr="003A2F86">
        <w:rPr>
          <w:rFonts w:ascii="Arial" w:eastAsia="Times New Roman" w:hAnsi="Arial" w:cs="Arial"/>
          <w:iCs/>
          <w:sz w:val="20"/>
          <w:szCs w:val="20"/>
          <w:lang w:eastAsia="en-US"/>
        </w:rPr>
        <w:t>Rashodi i izdaci razdjela 040 (Upravni odjel za ruralni razvoj, gospodarstvo i EU fondove) odnose se na rashode jedne glave koja je sastavljena od šest programa podijeljenih u aktivnosti i projekte.</w:t>
      </w:r>
    </w:p>
    <w:p w14:paraId="19B20327" w14:textId="77777777" w:rsidR="005E5271" w:rsidRPr="003A2F86" w:rsidRDefault="005E5271" w:rsidP="00330748">
      <w:pPr>
        <w:spacing w:after="0" w:line="240" w:lineRule="auto"/>
        <w:jc w:val="both"/>
        <w:rPr>
          <w:rFonts w:ascii="Arial" w:eastAsia="Calibri" w:hAnsi="Arial" w:cs="Arial"/>
          <w:sz w:val="20"/>
          <w:szCs w:val="20"/>
          <w:lang w:eastAsia="en-US"/>
        </w:rPr>
      </w:pPr>
    </w:p>
    <w:p w14:paraId="19C1433E" w14:textId="76547639" w:rsidR="00155C45" w:rsidRPr="003A2F86" w:rsidRDefault="00D23FEF" w:rsidP="004A781F">
      <w:pPr>
        <w:spacing w:after="0" w:line="240" w:lineRule="auto"/>
        <w:jc w:val="center"/>
        <w:rPr>
          <w:rFonts w:ascii="Arial" w:eastAsia="Calibri" w:hAnsi="Arial" w:cs="Arial"/>
          <w:sz w:val="20"/>
          <w:szCs w:val="20"/>
          <w:lang w:eastAsia="en-US"/>
        </w:rPr>
      </w:pPr>
      <w:r w:rsidRPr="00D23FEF">
        <w:rPr>
          <w:noProof/>
        </w:rPr>
        <w:drawing>
          <wp:inline distT="0" distB="0" distL="0" distR="0" wp14:anchorId="77F5275A" wp14:editId="624A62AB">
            <wp:extent cx="9251950" cy="2205990"/>
            <wp:effectExtent l="0" t="0" r="6350" b="3810"/>
            <wp:docPr id="1980019989"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251950" cy="2205990"/>
                    </a:xfrm>
                    <a:prstGeom prst="rect">
                      <a:avLst/>
                    </a:prstGeom>
                    <a:noFill/>
                    <a:ln>
                      <a:noFill/>
                    </a:ln>
                  </pic:spPr>
                </pic:pic>
              </a:graphicData>
            </a:graphic>
          </wp:inline>
        </w:drawing>
      </w:r>
    </w:p>
    <w:p w14:paraId="1B00E685" w14:textId="77777777" w:rsidR="00155C45" w:rsidRPr="003A2F86" w:rsidRDefault="00155C45" w:rsidP="00330748">
      <w:pPr>
        <w:spacing w:after="0" w:line="240" w:lineRule="auto"/>
        <w:jc w:val="both"/>
        <w:rPr>
          <w:rFonts w:ascii="Arial" w:eastAsia="Calibri" w:hAnsi="Arial" w:cs="Arial"/>
          <w:sz w:val="20"/>
          <w:szCs w:val="20"/>
          <w:lang w:eastAsia="en-US"/>
        </w:rPr>
      </w:pPr>
    </w:p>
    <w:tbl>
      <w:tblPr>
        <w:tblW w:w="145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08"/>
        <w:gridCol w:w="12888"/>
      </w:tblGrid>
      <w:tr w:rsidR="00990BB5" w:rsidRPr="003A2F86" w14:paraId="588AE5DA" w14:textId="77777777" w:rsidTr="00BB3216">
        <w:tc>
          <w:tcPr>
            <w:tcW w:w="1708" w:type="dxa"/>
          </w:tcPr>
          <w:p w14:paraId="2689C68C" w14:textId="77777777" w:rsidR="00A23547" w:rsidRPr="003A2F86" w:rsidRDefault="00A23547" w:rsidP="00A23547">
            <w:pPr>
              <w:spacing w:after="0" w:line="240" w:lineRule="auto"/>
              <w:rPr>
                <w:rFonts w:ascii="Arial" w:eastAsia="Calibri" w:hAnsi="Arial" w:cs="Arial"/>
                <w:caps/>
                <w:sz w:val="20"/>
                <w:szCs w:val="20"/>
              </w:rPr>
            </w:pPr>
            <w:r w:rsidRPr="003A2F86">
              <w:rPr>
                <w:rFonts w:ascii="Arial" w:eastAsia="Calibri" w:hAnsi="Arial" w:cs="Arial"/>
                <w:caps/>
                <w:sz w:val="20"/>
                <w:szCs w:val="20"/>
              </w:rPr>
              <w:t>Sažetak djelokruga rada</w:t>
            </w:r>
          </w:p>
        </w:tc>
        <w:tc>
          <w:tcPr>
            <w:tcW w:w="12888" w:type="dxa"/>
            <w:vAlign w:val="bottom"/>
          </w:tcPr>
          <w:p w14:paraId="0E92A0FC" w14:textId="77777777" w:rsidR="00A23547" w:rsidRPr="003A2F86" w:rsidRDefault="00A23547" w:rsidP="00A23547">
            <w:pPr>
              <w:spacing w:after="0" w:line="240" w:lineRule="auto"/>
              <w:rPr>
                <w:rFonts w:ascii="Arial" w:eastAsia="Calibri" w:hAnsi="Arial" w:cs="Arial"/>
                <w:sz w:val="20"/>
                <w:szCs w:val="20"/>
              </w:rPr>
            </w:pPr>
            <w:r w:rsidRPr="003A2F86">
              <w:rPr>
                <w:rFonts w:ascii="Arial" w:eastAsia="Calibri" w:hAnsi="Arial" w:cs="Arial"/>
                <w:sz w:val="20"/>
                <w:szCs w:val="20"/>
              </w:rPr>
              <w:t>Upravni odjel za ruralni razvoj, gospodarstvo i EU fondove je ustrojen Odlukom Općinskog vijeća od 26. srpnja 2017. godine.</w:t>
            </w:r>
          </w:p>
          <w:p w14:paraId="2A3698E6" w14:textId="77777777" w:rsidR="00A23547" w:rsidRPr="003A2F86" w:rsidRDefault="00A23547" w:rsidP="00A23547">
            <w:pPr>
              <w:spacing w:after="0" w:line="240" w:lineRule="auto"/>
              <w:rPr>
                <w:rFonts w:ascii="Arial" w:eastAsia="Calibri" w:hAnsi="Arial" w:cs="Arial"/>
                <w:sz w:val="20"/>
                <w:szCs w:val="20"/>
              </w:rPr>
            </w:pPr>
            <w:r w:rsidRPr="003A2F86">
              <w:rPr>
                <w:rFonts w:ascii="Arial" w:eastAsia="Calibri" w:hAnsi="Arial" w:cs="Arial"/>
                <w:sz w:val="20"/>
                <w:szCs w:val="20"/>
              </w:rPr>
              <w:t>U nadležnosti rada upravnog odjela je izdvojen dio programa koji je do osnivanja odjela bio u nadležnosti razdjela 020, glava 02001 Upravni odjel za proračun, financije i gospodarstvo, a to su: PROGRAMI 2061, 2062, 2063 i 2064. U nastavku obrazloženja navode se spomenuti programi preneseni u nadležnost ovog odjela. Ukoliko je kod pojedinih programa (odnosno aktivnosti unutar programa) postojalo izvršenje ranijih godina isti iznosi će biti iskazani u prikazu plan/izvršenje u okviru ovog razdjela kako bi se lakše pratio kontinuitet podataka.</w:t>
            </w:r>
          </w:p>
          <w:p w14:paraId="0B946F9F" w14:textId="77777777" w:rsidR="00A23547" w:rsidRPr="003A2F86" w:rsidRDefault="00A23547" w:rsidP="00A23547">
            <w:pPr>
              <w:spacing w:after="0" w:line="240" w:lineRule="auto"/>
              <w:rPr>
                <w:rFonts w:ascii="Arial" w:eastAsia="Calibri" w:hAnsi="Arial" w:cs="Arial"/>
                <w:sz w:val="20"/>
                <w:szCs w:val="20"/>
              </w:rPr>
            </w:pPr>
            <w:r w:rsidRPr="003A2F86">
              <w:rPr>
                <w:rFonts w:ascii="Arial" w:eastAsia="Calibri" w:hAnsi="Arial" w:cs="Arial"/>
                <w:sz w:val="20"/>
                <w:szCs w:val="20"/>
              </w:rPr>
              <w:t>Upravni odjel osigurava materijalne i druge uvjete za kandidiranje projekta u suradnji s drugim upravnim tijelima i partnerima za fondove EU i druge fondove i za njihovu realizaciju. Također, upravni odjel obuhvaća aktivnosti poticanja poduzetništva i gospodarstva, te ruralnog razvoja sukladno raspoloživim proračunskim sredstvima.</w:t>
            </w:r>
          </w:p>
        </w:tc>
      </w:tr>
    </w:tbl>
    <w:p w14:paraId="099F8AF9" w14:textId="77777777" w:rsidR="008A6ED3" w:rsidRPr="003A2F86" w:rsidRDefault="008A6ED3" w:rsidP="00891119">
      <w:pPr>
        <w:spacing w:after="0" w:line="240" w:lineRule="auto"/>
        <w:jc w:val="both"/>
        <w:rPr>
          <w:rFonts w:ascii="Arial" w:eastAsia="Calibri" w:hAnsi="Arial" w:cs="Arial"/>
          <w:sz w:val="20"/>
          <w:szCs w:val="20"/>
          <w:lang w:eastAsia="en-US"/>
        </w:rPr>
      </w:pPr>
    </w:p>
    <w:p w14:paraId="48A3396A" w14:textId="77777777" w:rsidR="00845098" w:rsidRPr="003A2F86" w:rsidRDefault="00845098" w:rsidP="00891119">
      <w:pPr>
        <w:spacing w:after="0" w:line="240" w:lineRule="auto"/>
        <w:jc w:val="both"/>
        <w:rPr>
          <w:rFonts w:ascii="Arial" w:eastAsia="Calibri" w:hAnsi="Arial" w:cs="Arial"/>
          <w:sz w:val="20"/>
          <w:szCs w:val="20"/>
          <w:lang w:eastAsia="en-US"/>
        </w:rPr>
      </w:pPr>
    </w:p>
    <w:p w14:paraId="2E5684B2" w14:textId="77777777" w:rsidR="00A23547" w:rsidRPr="003A2F86" w:rsidRDefault="00A23547" w:rsidP="00891119">
      <w:pPr>
        <w:spacing w:after="0" w:line="240" w:lineRule="auto"/>
        <w:jc w:val="both"/>
        <w:rPr>
          <w:rFonts w:ascii="Arial" w:eastAsia="Calibri" w:hAnsi="Arial" w:cs="Arial"/>
          <w:sz w:val="20"/>
          <w:szCs w:val="20"/>
          <w:lang w:eastAsia="en-US"/>
        </w:rPr>
      </w:pPr>
    </w:p>
    <w:p w14:paraId="3F6C3159" w14:textId="77777777" w:rsidR="00BB3216" w:rsidRPr="003A2F86" w:rsidRDefault="00BB3216" w:rsidP="00891119">
      <w:pPr>
        <w:spacing w:after="0" w:line="240" w:lineRule="auto"/>
        <w:jc w:val="both"/>
        <w:rPr>
          <w:rFonts w:ascii="Arial" w:eastAsia="Calibri" w:hAnsi="Arial" w:cs="Arial"/>
          <w:sz w:val="20"/>
          <w:szCs w:val="20"/>
          <w:lang w:eastAsia="en-US"/>
        </w:rPr>
      </w:pPr>
    </w:p>
    <w:p w14:paraId="10F33CE0" w14:textId="77777777" w:rsidR="00BB3216" w:rsidRPr="003A2F86" w:rsidRDefault="00BB3216" w:rsidP="00891119">
      <w:pPr>
        <w:spacing w:after="0" w:line="240" w:lineRule="auto"/>
        <w:jc w:val="both"/>
        <w:rPr>
          <w:rFonts w:ascii="Arial" w:eastAsia="Calibri" w:hAnsi="Arial" w:cs="Arial"/>
          <w:sz w:val="20"/>
          <w:szCs w:val="20"/>
          <w:lang w:eastAsia="en-US"/>
        </w:rPr>
      </w:pPr>
    </w:p>
    <w:p w14:paraId="7A4222C4" w14:textId="77777777" w:rsidR="00A17204" w:rsidRPr="003A2F86" w:rsidRDefault="00A17204" w:rsidP="00891119">
      <w:pPr>
        <w:spacing w:after="0" w:line="240" w:lineRule="auto"/>
        <w:jc w:val="both"/>
        <w:rPr>
          <w:rFonts w:ascii="Arial" w:eastAsia="Calibri" w:hAnsi="Arial" w:cs="Arial"/>
          <w:sz w:val="20"/>
          <w:szCs w:val="20"/>
          <w:lang w:eastAsia="en-US"/>
        </w:rPr>
      </w:pPr>
    </w:p>
    <w:p w14:paraId="71C4468F" w14:textId="77777777" w:rsidR="00A17204" w:rsidRPr="003A2F86" w:rsidRDefault="00A17204" w:rsidP="00891119">
      <w:pPr>
        <w:spacing w:after="0" w:line="240" w:lineRule="auto"/>
        <w:jc w:val="both"/>
        <w:rPr>
          <w:rFonts w:ascii="Arial" w:eastAsia="Calibri" w:hAnsi="Arial" w:cs="Arial"/>
          <w:sz w:val="20"/>
          <w:szCs w:val="20"/>
          <w:lang w:eastAsia="en-US"/>
        </w:rPr>
      </w:pPr>
    </w:p>
    <w:p w14:paraId="107A1E4D" w14:textId="77777777" w:rsidR="00A23547" w:rsidRPr="003A2F86" w:rsidRDefault="00A23547" w:rsidP="00891119">
      <w:pPr>
        <w:spacing w:after="0" w:line="240" w:lineRule="auto"/>
        <w:jc w:val="both"/>
        <w:rPr>
          <w:rFonts w:ascii="Arial" w:eastAsia="Calibri" w:hAnsi="Arial" w:cs="Arial"/>
          <w:sz w:val="20"/>
          <w:szCs w:val="20"/>
          <w:lang w:eastAsia="en-US"/>
        </w:rPr>
      </w:pPr>
    </w:p>
    <w:p w14:paraId="0576C9C1" w14:textId="77777777" w:rsidR="00A23547" w:rsidRPr="003A2F86" w:rsidRDefault="00A23547" w:rsidP="00891119">
      <w:pPr>
        <w:spacing w:after="0" w:line="240" w:lineRule="auto"/>
        <w:jc w:val="both"/>
        <w:rPr>
          <w:rFonts w:ascii="Arial" w:eastAsia="Calibri" w:hAnsi="Arial" w:cs="Arial"/>
          <w:sz w:val="20"/>
          <w:szCs w:val="20"/>
          <w:lang w:eastAsia="en-US"/>
        </w:rPr>
      </w:pPr>
    </w:p>
    <w:p w14:paraId="6A3E233F" w14:textId="77777777" w:rsidR="00A23547" w:rsidRPr="003A2F86" w:rsidRDefault="00A23547" w:rsidP="00891119">
      <w:pPr>
        <w:spacing w:after="0" w:line="240" w:lineRule="auto"/>
        <w:jc w:val="both"/>
        <w:rPr>
          <w:rFonts w:ascii="Arial" w:eastAsia="Calibri" w:hAnsi="Arial" w:cs="Arial"/>
          <w:sz w:val="20"/>
          <w:szCs w:val="20"/>
          <w:lang w:eastAsia="en-US"/>
        </w:rPr>
      </w:pPr>
    </w:p>
    <w:p w14:paraId="6337B54D" w14:textId="77777777" w:rsidR="00A23547" w:rsidRPr="003A2F86" w:rsidRDefault="00A23547" w:rsidP="00891119">
      <w:pPr>
        <w:spacing w:after="0" w:line="240" w:lineRule="auto"/>
        <w:jc w:val="both"/>
        <w:rPr>
          <w:rFonts w:ascii="Arial" w:eastAsia="Calibri" w:hAnsi="Arial" w:cs="Arial"/>
          <w:sz w:val="20"/>
          <w:szCs w:val="20"/>
          <w:lang w:eastAsia="en-US"/>
        </w:rPr>
      </w:pPr>
    </w:p>
    <w:p w14:paraId="52A07891" w14:textId="77777777" w:rsidR="00A23547" w:rsidRPr="003A2F86" w:rsidRDefault="00A23547" w:rsidP="00891119">
      <w:pPr>
        <w:spacing w:after="0" w:line="240" w:lineRule="auto"/>
        <w:jc w:val="both"/>
        <w:rPr>
          <w:rFonts w:ascii="Arial" w:eastAsia="Calibri" w:hAnsi="Arial" w:cs="Arial"/>
          <w:sz w:val="20"/>
          <w:szCs w:val="20"/>
          <w:lang w:eastAsia="en-US"/>
        </w:rPr>
      </w:pPr>
    </w:p>
    <w:p w14:paraId="282B18FE" w14:textId="77777777" w:rsidR="00A23547" w:rsidRPr="003A2F86" w:rsidRDefault="00A23547">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3A2F86">
        <w:rPr>
          <w:rFonts w:ascii="Arial" w:eastAsia="Calibri" w:hAnsi="Arial" w:cs="Arial"/>
          <w:b/>
        </w:rPr>
        <w:lastRenderedPageBreak/>
        <w:t>OBRAZLOŽENJE OPĆEG DIJELA FINANCIJSKOG PLANA</w:t>
      </w:r>
    </w:p>
    <w:p w14:paraId="1F8634D3" w14:textId="57D7C97A" w:rsidR="00A23547" w:rsidRPr="003A2F86" w:rsidRDefault="00A23547" w:rsidP="009E67BB">
      <w:pPr>
        <w:spacing w:after="0" w:line="240" w:lineRule="auto"/>
        <w:jc w:val="center"/>
        <w:rPr>
          <w:rFonts w:ascii="Arial" w:eastAsia="Calibri" w:hAnsi="Arial" w:cs="Arial"/>
          <w:sz w:val="20"/>
          <w:szCs w:val="20"/>
          <w:lang w:eastAsia="en-US"/>
        </w:rPr>
      </w:pPr>
    </w:p>
    <w:p w14:paraId="45E05E73" w14:textId="4FDE3CAE" w:rsidR="00A23547" w:rsidRPr="003A2F86" w:rsidRDefault="00D23FEF" w:rsidP="009E67BB">
      <w:pPr>
        <w:spacing w:after="0" w:line="240" w:lineRule="auto"/>
        <w:jc w:val="center"/>
        <w:rPr>
          <w:rFonts w:ascii="Arial" w:eastAsia="Calibri" w:hAnsi="Arial" w:cs="Arial"/>
          <w:sz w:val="20"/>
          <w:szCs w:val="20"/>
          <w:lang w:eastAsia="en-US"/>
        </w:rPr>
      </w:pPr>
      <w:r w:rsidRPr="00D23FEF">
        <w:rPr>
          <w:noProof/>
        </w:rPr>
        <w:drawing>
          <wp:inline distT="0" distB="0" distL="0" distR="0" wp14:anchorId="2665C468" wp14:editId="4E914E09">
            <wp:extent cx="7102548" cy="5412608"/>
            <wp:effectExtent l="0" t="0" r="3175" b="0"/>
            <wp:docPr id="20356108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103645" cy="5413444"/>
                    </a:xfrm>
                    <a:prstGeom prst="rect">
                      <a:avLst/>
                    </a:prstGeom>
                    <a:noFill/>
                    <a:ln>
                      <a:noFill/>
                    </a:ln>
                  </pic:spPr>
                </pic:pic>
              </a:graphicData>
            </a:graphic>
          </wp:inline>
        </w:drawing>
      </w:r>
    </w:p>
    <w:p w14:paraId="069DC85D" w14:textId="77777777" w:rsidR="00A23547" w:rsidRDefault="00A23547" w:rsidP="00891119">
      <w:pPr>
        <w:spacing w:after="0" w:line="240" w:lineRule="auto"/>
        <w:jc w:val="both"/>
        <w:rPr>
          <w:rFonts w:ascii="Arial" w:eastAsia="Calibri" w:hAnsi="Arial" w:cs="Arial"/>
          <w:sz w:val="20"/>
          <w:szCs w:val="20"/>
          <w:lang w:eastAsia="en-US"/>
        </w:rPr>
      </w:pPr>
    </w:p>
    <w:p w14:paraId="66A58AB6" w14:textId="77777777" w:rsidR="00D23FEF" w:rsidRPr="00A047FE" w:rsidRDefault="00D23FEF" w:rsidP="00891119">
      <w:pPr>
        <w:spacing w:after="0" w:line="240" w:lineRule="auto"/>
        <w:jc w:val="both"/>
        <w:rPr>
          <w:rFonts w:ascii="Arial" w:eastAsia="Calibri" w:hAnsi="Arial" w:cs="Arial"/>
          <w:sz w:val="20"/>
          <w:szCs w:val="20"/>
          <w:lang w:eastAsia="en-US"/>
        </w:rPr>
      </w:pPr>
    </w:p>
    <w:p w14:paraId="269A11E7" w14:textId="370813C5" w:rsidR="009E67BB" w:rsidRPr="00A047FE" w:rsidRDefault="009E67BB" w:rsidP="009E67BB">
      <w:pPr>
        <w:spacing w:after="0" w:line="240" w:lineRule="auto"/>
        <w:ind w:firstLine="708"/>
        <w:rPr>
          <w:rFonts w:ascii="Arial" w:eastAsia="Calibri" w:hAnsi="Arial" w:cs="Arial"/>
          <w:sz w:val="20"/>
          <w:szCs w:val="20"/>
        </w:rPr>
      </w:pPr>
      <w:r w:rsidRPr="00A047FE">
        <w:rPr>
          <w:rFonts w:ascii="Arial" w:eastAsia="Calibri" w:hAnsi="Arial" w:cs="Arial"/>
          <w:sz w:val="20"/>
          <w:szCs w:val="20"/>
          <w:u w:val="single"/>
        </w:rPr>
        <w:lastRenderedPageBreak/>
        <w:t>Ostvareni prihodi poslovanja</w:t>
      </w:r>
      <w:r w:rsidRPr="00A047FE">
        <w:rPr>
          <w:rFonts w:ascii="Arial" w:eastAsia="Calibri" w:hAnsi="Arial" w:cs="Arial"/>
          <w:sz w:val="20"/>
          <w:szCs w:val="20"/>
        </w:rPr>
        <w:t xml:space="preserve"> za 202</w:t>
      </w:r>
      <w:r w:rsidR="00D23FEF">
        <w:rPr>
          <w:rFonts w:ascii="Arial" w:eastAsia="Calibri" w:hAnsi="Arial" w:cs="Arial"/>
          <w:sz w:val="20"/>
          <w:szCs w:val="20"/>
        </w:rPr>
        <w:t>5</w:t>
      </w:r>
      <w:r w:rsidRPr="00A047FE">
        <w:rPr>
          <w:rFonts w:ascii="Arial" w:eastAsia="Calibri" w:hAnsi="Arial" w:cs="Arial"/>
          <w:sz w:val="20"/>
          <w:szCs w:val="20"/>
        </w:rPr>
        <w:t>. sastoje se od:</w:t>
      </w:r>
    </w:p>
    <w:p w14:paraId="7FAD9192" w14:textId="6087CAFD" w:rsidR="009E67BB" w:rsidRPr="00A047FE" w:rsidRDefault="009E67BB">
      <w:pPr>
        <w:pStyle w:val="Odlomakpopisa"/>
        <w:numPr>
          <w:ilvl w:val="0"/>
          <w:numId w:val="9"/>
        </w:numPr>
        <w:rPr>
          <w:rFonts w:ascii="Arial" w:eastAsia="Calibri" w:hAnsi="Arial" w:cs="Arial"/>
        </w:rPr>
      </w:pPr>
      <w:r w:rsidRPr="00A047FE">
        <w:rPr>
          <w:rFonts w:ascii="Arial" w:eastAsia="Calibri" w:hAnsi="Arial" w:cs="Arial"/>
        </w:rPr>
        <w:t>Razdjel ostvaruje vlastite prihode</w:t>
      </w:r>
      <w:r w:rsidR="006041F1" w:rsidRPr="00A047FE">
        <w:rPr>
          <w:rFonts w:ascii="Arial" w:eastAsia="Calibri" w:hAnsi="Arial" w:cs="Arial"/>
        </w:rPr>
        <w:t xml:space="preserve"> i to</w:t>
      </w:r>
      <w:r w:rsidRPr="00A047FE">
        <w:rPr>
          <w:rFonts w:ascii="Arial" w:eastAsia="Calibri" w:hAnsi="Arial" w:cs="Arial"/>
        </w:rPr>
        <w:t xml:space="preserve"> prihod</w:t>
      </w:r>
      <w:r w:rsidR="006041F1" w:rsidRPr="00A047FE">
        <w:rPr>
          <w:rFonts w:ascii="Arial" w:eastAsia="Calibri" w:hAnsi="Arial" w:cs="Arial"/>
        </w:rPr>
        <w:t>e</w:t>
      </w:r>
      <w:r w:rsidRPr="00A047FE">
        <w:rPr>
          <w:rFonts w:ascii="Arial" w:eastAsia="Calibri" w:hAnsi="Arial" w:cs="Arial"/>
        </w:rPr>
        <w:t xml:space="preserve"> od projekata,</w:t>
      </w:r>
      <w:r w:rsidR="00642F73" w:rsidRPr="00A047FE">
        <w:rPr>
          <w:rFonts w:ascii="Arial" w:eastAsia="Calibri" w:hAnsi="Arial" w:cs="Arial"/>
        </w:rPr>
        <w:t xml:space="preserve"> </w:t>
      </w:r>
      <w:r w:rsidR="00155C45" w:rsidRPr="00A047FE">
        <w:rPr>
          <w:rFonts w:ascii="Arial" w:eastAsia="Calibri" w:hAnsi="Arial" w:cs="Arial"/>
        </w:rPr>
        <w:t xml:space="preserve">prihod od prenamjene poljoprivrednog zemljišta </w:t>
      </w:r>
      <w:r w:rsidR="00D23FEF">
        <w:rPr>
          <w:rFonts w:ascii="Arial" w:eastAsia="Calibri" w:hAnsi="Arial" w:cs="Arial"/>
        </w:rPr>
        <w:t>0</w:t>
      </w:r>
      <w:r w:rsidR="00155C45" w:rsidRPr="00A047FE">
        <w:rPr>
          <w:rFonts w:ascii="Arial" w:eastAsia="Calibri" w:hAnsi="Arial" w:cs="Arial"/>
        </w:rPr>
        <w:t xml:space="preserve"> €, </w:t>
      </w:r>
      <w:r w:rsidR="00642F73" w:rsidRPr="00A047FE">
        <w:rPr>
          <w:rFonts w:ascii="Arial" w:eastAsia="Calibri" w:hAnsi="Arial" w:cs="Arial"/>
        </w:rPr>
        <w:t>prihoda od zakupa poljoprivrednog zemljišta u državnom vlasništvu</w:t>
      </w:r>
      <w:r w:rsidR="003075DF" w:rsidRPr="00A047FE">
        <w:rPr>
          <w:rFonts w:ascii="Arial" w:eastAsia="Calibri" w:hAnsi="Arial" w:cs="Arial"/>
        </w:rPr>
        <w:t xml:space="preserve"> </w:t>
      </w:r>
      <w:r w:rsidR="00155C45" w:rsidRPr="00A047FE">
        <w:rPr>
          <w:rFonts w:ascii="Arial" w:eastAsia="Calibri" w:hAnsi="Arial" w:cs="Arial"/>
        </w:rPr>
        <w:t>0</w:t>
      </w:r>
      <w:r w:rsidR="003075DF" w:rsidRPr="00A047FE">
        <w:rPr>
          <w:rFonts w:ascii="Arial" w:eastAsia="Calibri" w:hAnsi="Arial" w:cs="Arial"/>
        </w:rPr>
        <w:t xml:space="preserve"> €, sufinanciranje projekta </w:t>
      </w:r>
      <w:r w:rsidR="000A7090" w:rsidRPr="00A047FE">
        <w:rPr>
          <w:rFonts w:ascii="Arial" w:eastAsia="Calibri" w:hAnsi="Arial" w:cs="Arial"/>
        </w:rPr>
        <w:t xml:space="preserve">u vinogradarstvu </w:t>
      </w:r>
      <w:r w:rsidR="00D23FEF">
        <w:rPr>
          <w:rFonts w:ascii="Arial" w:eastAsia="Calibri" w:hAnsi="Arial" w:cs="Arial"/>
        </w:rPr>
        <w:t>1.747,51</w:t>
      </w:r>
      <w:r w:rsidR="000A7090" w:rsidRPr="00A047FE">
        <w:rPr>
          <w:rFonts w:ascii="Arial" w:eastAsia="Calibri" w:hAnsi="Arial" w:cs="Arial"/>
        </w:rPr>
        <w:t xml:space="preserve"> €, </w:t>
      </w:r>
      <w:r w:rsidR="00510963" w:rsidRPr="00A047FE">
        <w:rPr>
          <w:rFonts w:ascii="Arial" w:eastAsia="Calibri" w:hAnsi="Arial" w:cs="Arial"/>
        </w:rPr>
        <w:t xml:space="preserve">pomoći za </w:t>
      </w:r>
      <w:r w:rsidRPr="00A047FE">
        <w:rPr>
          <w:rFonts w:ascii="Arial" w:eastAsia="Calibri" w:hAnsi="Arial" w:cs="Arial"/>
        </w:rPr>
        <w:t>projekt</w:t>
      </w:r>
      <w:r w:rsidR="00A047FE" w:rsidRPr="00A047FE">
        <w:rPr>
          <w:rFonts w:ascii="Arial" w:eastAsia="Calibri" w:hAnsi="Arial" w:cs="Arial"/>
        </w:rPr>
        <w:t>e Waterlink, Crossmart, To 0 waste</w:t>
      </w:r>
      <w:r w:rsidRPr="00A047FE">
        <w:rPr>
          <w:rFonts w:ascii="Arial" w:eastAsia="Calibri" w:hAnsi="Arial" w:cs="Arial"/>
        </w:rPr>
        <w:t>.</w:t>
      </w:r>
    </w:p>
    <w:p w14:paraId="40B69942" w14:textId="32ED0E12" w:rsidR="009E67BB" w:rsidRPr="00A047FE" w:rsidRDefault="009E67BB">
      <w:pPr>
        <w:pStyle w:val="Odlomakpopisa"/>
        <w:numPr>
          <w:ilvl w:val="0"/>
          <w:numId w:val="9"/>
        </w:numPr>
        <w:rPr>
          <w:rFonts w:ascii="Arial" w:eastAsia="Calibri" w:hAnsi="Arial" w:cs="Arial"/>
        </w:rPr>
      </w:pPr>
      <w:r w:rsidRPr="00A047FE">
        <w:rPr>
          <w:rFonts w:ascii="Arial" w:eastAsia="Calibri" w:hAnsi="Arial" w:cs="Arial"/>
        </w:rPr>
        <w:t>Ostali prihodi se odnose na prihode koji se u financijskom planu razdjela iskazuje na 671</w:t>
      </w:r>
    </w:p>
    <w:p w14:paraId="38223F56" w14:textId="77777777" w:rsidR="009E67BB" w:rsidRPr="00A047FE" w:rsidRDefault="009E67BB" w:rsidP="009E67BB">
      <w:pPr>
        <w:spacing w:after="0" w:line="240" w:lineRule="auto"/>
        <w:rPr>
          <w:rFonts w:ascii="Arial" w:eastAsia="Calibri" w:hAnsi="Arial" w:cs="Arial"/>
          <w:sz w:val="20"/>
          <w:szCs w:val="20"/>
        </w:rPr>
      </w:pPr>
    </w:p>
    <w:p w14:paraId="14E48F3A" w14:textId="32B7FEF2" w:rsidR="009E67BB" w:rsidRPr="003A2F86" w:rsidRDefault="009E67BB" w:rsidP="009E67BB">
      <w:pPr>
        <w:spacing w:after="0" w:line="240" w:lineRule="auto"/>
        <w:ind w:firstLine="708"/>
        <w:rPr>
          <w:rFonts w:ascii="Arial" w:eastAsia="Calibri" w:hAnsi="Arial" w:cs="Arial"/>
          <w:sz w:val="20"/>
          <w:szCs w:val="20"/>
        </w:rPr>
      </w:pPr>
      <w:r w:rsidRPr="003A2F86">
        <w:rPr>
          <w:rFonts w:ascii="Arial" w:eastAsia="Calibri" w:hAnsi="Arial" w:cs="Arial"/>
          <w:sz w:val="20"/>
          <w:szCs w:val="20"/>
          <w:u w:val="single"/>
        </w:rPr>
        <w:t>Izvršeni rashodi poslovanja</w:t>
      </w:r>
      <w:r w:rsidRPr="003A2F86">
        <w:rPr>
          <w:rFonts w:ascii="Arial" w:eastAsia="Calibri" w:hAnsi="Arial" w:cs="Arial"/>
          <w:sz w:val="20"/>
          <w:szCs w:val="20"/>
        </w:rPr>
        <w:t xml:space="preserve"> sastoje se od:</w:t>
      </w:r>
    </w:p>
    <w:p w14:paraId="1F575467" w14:textId="77777777" w:rsidR="009E67BB" w:rsidRPr="003A2F86" w:rsidRDefault="009E67BB" w:rsidP="009E67BB">
      <w:pPr>
        <w:spacing w:after="0" w:line="240" w:lineRule="auto"/>
        <w:ind w:firstLine="708"/>
        <w:rPr>
          <w:rFonts w:ascii="Arial" w:eastAsia="Calibri" w:hAnsi="Arial" w:cs="Arial"/>
          <w:sz w:val="20"/>
          <w:szCs w:val="20"/>
        </w:rPr>
      </w:pPr>
    </w:p>
    <w:p w14:paraId="744DACF6" w14:textId="77777777" w:rsidR="009E67BB" w:rsidRPr="003A2F86" w:rsidRDefault="009E67BB">
      <w:pPr>
        <w:pStyle w:val="Odlomakpopisa"/>
        <w:numPr>
          <w:ilvl w:val="0"/>
          <w:numId w:val="32"/>
        </w:numPr>
        <w:contextualSpacing/>
        <w:rPr>
          <w:rFonts w:ascii="Arial" w:eastAsia="Calibri" w:hAnsi="Arial" w:cs="Arial"/>
        </w:rPr>
      </w:pPr>
      <w:r w:rsidRPr="003A2F86">
        <w:rPr>
          <w:rFonts w:ascii="Arial" w:eastAsia="Calibri" w:hAnsi="Arial" w:cs="Arial"/>
        </w:rPr>
        <w:t>materijalnih rashoda za rad upravnog tijela i provedbu tekućih projekata,</w:t>
      </w:r>
    </w:p>
    <w:p w14:paraId="62F14663" w14:textId="77777777" w:rsidR="009E67BB" w:rsidRPr="003A2F86" w:rsidRDefault="009E67BB">
      <w:pPr>
        <w:pStyle w:val="Odlomakpopisa"/>
        <w:numPr>
          <w:ilvl w:val="0"/>
          <w:numId w:val="32"/>
        </w:numPr>
        <w:contextualSpacing/>
        <w:rPr>
          <w:rFonts w:ascii="Arial" w:eastAsia="Calibri" w:hAnsi="Arial" w:cs="Arial"/>
        </w:rPr>
      </w:pPr>
      <w:r w:rsidRPr="003A2F86">
        <w:rPr>
          <w:rFonts w:ascii="Arial" w:eastAsia="Calibri" w:hAnsi="Arial" w:cs="Arial"/>
        </w:rPr>
        <w:t>ostale rashode (tekuće donacije) koje se odnose na potpore u poljoprivredi i gospodarstvu.</w:t>
      </w:r>
    </w:p>
    <w:p w14:paraId="0C1EA3FF" w14:textId="77777777" w:rsidR="00510963" w:rsidRPr="003A2F86" w:rsidRDefault="00510963" w:rsidP="009E67BB">
      <w:pPr>
        <w:pStyle w:val="Odlomakpopisa"/>
        <w:ind w:left="1068"/>
        <w:contextualSpacing/>
        <w:rPr>
          <w:rFonts w:ascii="Arial" w:eastAsia="Calibri" w:hAnsi="Arial" w:cs="Arial"/>
          <w:u w:val="single"/>
        </w:rPr>
      </w:pPr>
    </w:p>
    <w:p w14:paraId="1BFBA65F" w14:textId="40957E8C" w:rsidR="009E67BB" w:rsidRPr="003A2F86" w:rsidRDefault="009E67BB" w:rsidP="00B8009E">
      <w:pPr>
        <w:pStyle w:val="Odlomakpopisa"/>
        <w:ind w:left="567"/>
        <w:contextualSpacing/>
        <w:rPr>
          <w:rFonts w:ascii="Arial" w:eastAsia="Calibri" w:hAnsi="Arial" w:cs="Arial"/>
          <w:u w:val="single"/>
        </w:rPr>
      </w:pPr>
      <w:r w:rsidRPr="003A2F86">
        <w:rPr>
          <w:rFonts w:ascii="Arial" w:eastAsia="Calibri" w:hAnsi="Arial" w:cs="Arial"/>
          <w:u w:val="single"/>
        </w:rPr>
        <w:t xml:space="preserve">Višak </w:t>
      </w:r>
      <w:r w:rsidR="00510963" w:rsidRPr="003A2F86">
        <w:rPr>
          <w:rFonts w:ascii="Arial" w:eastAsia="Calibri" w:hAnsi="Arial" w:cs="Arial"/>
          <w:u w:val="single"/>
        </w:rPr>
        <w:t xml:space="preserve">/ manjak </w:t>
      </w:r>
      <w:r w:rsidRPr="003A2F86">
        <w:rPr>
          <w:rFonts w:ascii="Arial" w:eastAsia="Calibri" w:hAnsi="Arial" w:cs="Arial"/>
          <w:u w:val="single"/>
        </w:rPr>
        <w:t>prihoda:</w:t>
      </w:r>
    </w:p>
    <w:p w14:paraId="202A4170" w14:textId="7B6D8552" w:rsidR="009E67BB" w:rsidRPr="003A2F86" w:rsidRDefault="009E67BB">
      <w:pPr>
        <w:pStyle w:val="Odlomakpopisa"/>
        <w:numPr>
          <w:ilvl w:val="0"/>
          <w:numId w:val="9"/>
        </w:numPr>
        <w:contextualSpacing/>
        <w:rPr>
          <w:rFonts w:ascii="Arial" w:eastAsia="Calibri" w:hAnsi="Arial" w:cs="Arial"/>
        </w:rPr>
      </w:pPr>
      <w:r w:rsidRPr="003A2F86">
        <w:rPr>
          <w:rFonts w:ascii="Arial" w:eastAsia="Calibri" w:hAnsi="Arial" w:cs="Arial"/>
        </w:rPr>
        <w:t xml:space="preserve">u financijskom planu ovog razdjela </w:t>
      </w:r>
      <w:r w:rsidR="00510963" w:rsidRPr="003A2F86">
        <w:rPr>
          <w:rFonts w:ascii="Arial" w:eastAsia="Calibri" w:hAnsi="Arial" w:cs="Arial"/>
        </w:rPr>
        <w:t>nema viškova / manjkova</w:t>
      </w:r>
      <w:r w:rsidRPr="003A2F86">
        <w:rPr>
          <w:rFonts w:ascii="Arial" w:eastAsia="Calibri" w:hAnsi="Arial" w:cs="Arial"/>
        </w:rPr>
        <w:t>.</w:t>
      </w:r>
    </w:p>
    <w:p w14:paraId="57839981" w14:textId="0F7B430F" w:rsidR="00891119" w:rsidRPr="00DD6E91" w:rsidRDefault="00891119" w:rsidP="006D5160">
      <w:pPr>
        <w:autoSpaceDE w:val="0"/>
        <w:autoSpaceDN w:val="0"/>
        <w:adjustRightInd w:val="0"/>
        <w:spacing w:after="0" w:line="240" w:lineRule="auto"/>
        <w:jc w:val="both"/>
        <w:rPr>
          <w:rFonts w:ascii="Arial" w:eastAsia="Times New Roman" w:hAnsi="Arial" w:cs="Arial"/>
          <w:sz w:val="20"/>
          <w:szCs w:val="20"/>
        </w:rPr>
      </w:pPr>
      <w:r w:rsidRPr="00DD6E91">
        <w:rPr>
          <w:rFonts w:ascii="Arial" w:eastAsia="Times New Roman" w:hAnsi="Arial" w:cs="Arial"/>
          <w:sz w:val="20"/>
          <w:szCs w:val="20"/>
        </w:rPr>
        <w:br w:type="page"/>
      </w:r>
    </w:p>
    <w:p w14:paraId="6EA4DDC6" w14:textId="41FFBAE5" w:rsidR="00BF311E" w:rsidRPr="003A2F86" w:rsidRDefault="00AE2BD5" w:rsidP="00375FAF">
      <w:pPr>
        <w:pStyle w:val="Naslov3"/>
        <w:rPr>
          <w:rFonts w:eastAsia="Calibri"/>
          <w:lang w:val="hr-HR"/>
        </w:rPr>
      </w:pPr>
      <w:bookmarkStart w:id="335" w:name="_Toc532802895"/>
      <w:bookmarkStart w:id="336" w:name="_Toc207707474"/>
      <w:r w:rsidRPr="003A2F86">
        <w:rPr>
          <w:rFonts w:eastAsia="Calibri"/>
          <w:lang w:val="hr-HR"/>
        </w:rPr>
        <w:lastRenderedPageBreak/>
        <w:t>3.</w:t>
      </w:r>
      <w:r w:rsidR="00375FAF" w:rsidRPr="003A2F86">
        <w:rPr>
          <w:rFonts w:eastAsia="Calibri"/>
          <w:lang w:val="hr-HR"/>
        </w:rPr>
        <w:t>3</w:t>
      </w:r>
      <w:r w:rsidRPr="003A2F86">
        <w:rPr>
          <w:rFonts w:eastAsia="Calibri"/>
          <w:lang w:val="hr-HR"/>
        </w:rPr>
        <w:t>.5</w:t>
      </w:r>
      <w:r w:rsidR="00BF311E" w:rsidRPr="003A2F86">
        <w:rPr>
          <w:rFonts w:eastAsia="Calibri"/>
          <w:lang w:val="hr-HR"/>
        </w:rPr>
        <w:t>.</w:t>
      </w:r>
      <w:r w:rsidR="00BF311E" w:rsidRPr="003A2F86">
        <w:rPr>
          <w:rFonts w:eastAsia="Calibri"/>
          <w:lang w:val="hr-HR"/>
        </w:rPr>
        <w:tab/>
        <w:t>RAZDJEL: (050) UPRAVNI ODJEL ZA PROSTORNO UREĐENJE I ZAŠTITU OKOLIŠA</w:t>
      </w:r>
      <w:bookmarkEnd w:id="335"/>
      <w:bookmarkEnd w:id="336"/>
    </w:p>
    <w:p w14:paraId="45DCF50F" w14:textId="77777777" w:rsidR="00F84804" w:rsidRPr="003A2F86" w:rsidRDefault="00F84804" w:rsidP="00BF311E">
      <w:pPr>
        <w:spacing w:after="0" w:line="240" w:lineRule="auto"/>
        <w:jc w:val="both"/>
        <w:rPr>
          <w:rFonts w:ascii="Arial" w:eastAsia="Times New Roman" w:hAnsi="Arial" w:cs="Arial"/>
          <w:iCs/>
          <w:sz w:val="20"/>
          <w:szCs w:val="20"/>
          <w:lang w:eastAsia="en-US"/>
        </w:rPr>
      </w:pPr>
    </w:p>
    <w:p w14:paraId="48B20B4D" w14:textId="07FD9832" w:rsidR="00BF311E" w:rsidRPr="003A2F86" w:rsidRDefault="00510963" w:rsidP="00BF311E">
      <w:pPr>
        <w:spacing w:after="0" w:line="240" w:lineRule="auto"/>
        <w:jc w:val="both"/>
        <w:rPr>
          <w:rFonts w:ascii="Arial" w:eastAsia="Times New Roman" w:hAnsi="Arial" w:cs="Arial"/>
          <w:iCs/>
          <w:sz w:val="20"/>
          <w:szCs w:val="20"/>
          <w:lang w:eastAsia="en-US"/>
        </w:rPr>
      </w:pPr>
      <w:r w:rsidRPr="003A2F86">
        <w:rPr>
          <w:rFonts w:ascii="Arial" w:eastAsia="Times New Roman" w:hAnsi="Arial" w:cs="Arial"/>
          <w:iCs/>
          <w:sz w:val="20"/>
          <w:szCs w:val="20"/>
          <w:lang w:eastAsia="en-US"/>
        </w:rPr>
        <w:t xml:space="preserve">Razdjel </w:t>
      </w:r>
      <w:r w:rsidR="00BF311E" w:rsidRPr="003A2F86">
        <w:rPr>
          <w:rFonts w:ascii="Arial" w:eastAsia="Times New Roman" w:hAnsi="Arial" w:cs="Arial"/>
          <w:iCs/>
          <w:sz w:val="20"/>
          <w:szCs w:val="20"/>
          <w:lang w:eastAsia="en-US"/>
        </w:rPr>
        <w:t xml:space="preserve">050 (Upravni odjel za prostorno uređenje i zaštitu okoliša) </w:t>
      </w:r>
      <w:r w:rsidRPr="003A2F86">
        <w:rPr>
          <w:rFonts w:ascii="Arial" w:eastAsia="Times New Roman" w:hAnsi="Arial" w:cs="Arial"/>
          <w:iCs/>
          <w:sz w:val="20"/>
          <w:szCs w:val="20"/>
          <w:lang w:eastAsia="en-US"/>
        </w:rPr>
        <w:t>je od početka 2024. godine spojen s razdjelom 030.</w:t>
      </w:r>
    </w:p>
    <w:p w14:paraId="6A5EE11D" w14:textId="4DB44A5C" w:rsidR="001566B7" w:rsidRPr="003A2F86" w:rsidRDefault="001566B7" w:rsidP="00FE50B3">
      <w:pPr>
        <w:autoSpaceDE w:val="0"/>
        <w:autoSpaceDN w:val="0"/>
        <w:adjustRightInd w:val="0"/>
        <w:spacing w:after="0" w:line="240" w:lineRule="auto"/>
        <w:jc w:val="center"/>
        <w:rPr>
          <w:rFonts w:ascii="Arial" w:eastAsia="Times New Roman" w:hAnsi="Arial" w:cs="Arial"/>
          <w:sz w:val="20"/>
          <w:szCs w:val="20"/>
        </w:rPr>
      </w:pPr>
    </w:p>
    <w:p w14:paraId="1F7D2B97" w14:textId="02453847" w:rsidR="007A163C" w:rsidRPr="003A2F86" w:rsidRDefault="00D23FEF" w:rsidP="001B399A">
      <w:pPr>
        <w:autoSpaceDE w:val="0"/>
        <w:autoSpaceDN w:val="0"/>
        <w:adjustRightInd w:val="0"/>
        <w:spacing w:after="0" w:line="240" w:lineRule="auto"/>
        <w:jc w:val="center"/>
        <w:rPr>
          <w:noProof/>
        </w:rPr>
      </w:pPr>
      <w:r w:rsidRPr="00D23FEF">
        <w:rPr>
          <w:noProof/>
        </w:rPr>
        <w:drawing>
          <wp:inline distT="0" distB="0" distL="0" distR="0" wp14:anchorId="1A0F39AF" wp14:editId="0A3DF0C8">
            <wp:extent cx="9251950" cy="2185035"/>
            <wp:effectExtent l="0" t="0" r="6350" b="5715"/>
            <wp:docPr id="67299494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251950" cy="2185035"/>
                    </a:xfrm>
                    <a:prstGeom prst="rect">
                      <a:avLst/>
                    </a:prstGeom>
                    <a:noFill/>
                    <a:ln>
                      <a:noFill/>
                    </a:ln>
                  </pic:spPr>
                </pic:pic>
              </a:graphicData>
            </a:graphic>
          </wp:inline>
        </w:drawing>
      </w:r>
    </w:p>
    <w:p w14:paraId="02A387F1" w14:textId="05F98266" w:rsidR="004A781F" w:rsidRPr="003A2F86" w:rsidRDefault="004A781F">
      <w:pPr>
        <w:rPr>
          <w:noProof/>
        </w:rPr>
      </w:pPr>
      <w:r w:rsidRPr="003A2F86">
        <w:rPr>
          <w:noProof/>
        </w:rPr>
        <w:br w:type="page"/>
      </w:r>
    </w:p>
    <w:p w14:paraId="4127A6FC" w14:textId="77777777" w:rsidR="004A781F" w:rsidRPr="003A2F86" w:rsidRDefault="004A781F" w:rsidP="00546245">
      <w:pPr>
        <w:autoSpaceDE w:val="0"/>
        <w:autoSpaceDN w:val="0"/>
        <w:adjustRightInd w:val="0"/>
        <w:spacing w:after="0" w:line="240" w:lineRule="auto"/>
        <w:rPr>
          <w:noProof/>
        </w:rPr>
      </w:pPr>
    </w:p>
    <w:p w14:paraId="584336C3" w14:textId="599A7599" w:rsidR="00B902D0" w:rsidRPr="003A2F86" w:rsidRDefault="00795CD9" w:rsidP="009E1772">
      <w:pPr>
        <w:pStyle w:val="Naslov2"/>
        <w:rPr>
          <w:rFonts w:ascii="Arial" w:eastAsia="Calibri" w:hAnsi="Arial" w:cs="Arial"/>
          <w:sz w:val="22"/>
          <w:lang w:val="hr-HR"/>
        </w:rPr>
      </w:pPr>
      <w:bookmarkStart w:id="337" w:name="_Toc36842166"/>
      <w:bookmarkStart w:id="338" w:name="_Toc207707475"/>
      <w:r w:rsidRPr="003A2F86">
        <w:rPr>
          <w:rFonts w:ascii="Arial" w:eastAsia="Calibri" w:hAnsi="Arial" w:cs="Arial"/>
          <w:sz w:val="22"/>
          <w:lang w:val="hr-HR"/>
        </w:rPr>
        <w:t>3</w:t>
      </w:r>
      <w:r w:rsidR="001049AC" w:rsidRPr="003A2F86">
        <w:rPr>
          <w:rFonts w:ascii="Arial" w:eastAsia="Calibri" w:hAnsi="Arial" w:cs="Arial"/>
          <w:sz w:val="22"/>
          <w:lang w:val="hr-HR"/>
        </w:rPr>
        <w:t>.</w:t>
      </w:r>
      <w:r w:rsidR="00375FAF" w:rsidRPr="003A2F86">
        <w:rPr>
          <w:rFonts w:ascii="Arial" w:eastAsia="Calibri" w:hAnsi="Arial" w:cs="Arial"/>
          <w:sz w:val="22"/>
          <w:lang w:val="hr-HR"/>
        </w:rPr>
        <w:t>4</w:t>
      </w:r>
      <w:r w:rsidR="001049AC" w:rsidRPr="003A2F86">
        <w:rPr>
          <w:rFonts w:ascii="Arial" w:eastAsia="Calibri" w:hAnsi="Arial" w:cs="Arial"/>
          <w:sz w:val="22"/>
          <w:lang w:val="hr-HR"/>
        </w:rPr>
        <w:t xml:space="preserve">. </w:t>
      </w:r>
      <w:r w:rsidR="001049AC" w:rsidRPr="003A2F86">
        <w:rPr>
          <w:rFonts w:ascii="Arial" w:eastAsia="Calibri" w:hAnsi="Arial" w:cs="Arial"/>
          <w:sz w:val="22"/>
          <w:lang w:val="hr-HR"/>
        </w:rPr>
        <w:tab/>
        <w:t>POSEBNI DIO PRORAČUNA</w:t>
      </w:r>
      <w:r w:rsidR="00B902D0" w:rsidRPr="003A2F86">
        <w:rPr>
          <w:rFonts w:ascii="Arial" w:eastAsia="Calibri" w:hAnsi="Arial" w:cs="Arial"/>
          <w:sz w:val="22"/>
          <w:lang w:val="hr-HR"/>
        </w:rPr>
        <w:t>–IZVRŠENJE FINANCIJSKIH PLANOVA PRORAČUNSKIH KORISNIK</w:t>
      </w:r>
      <w:bookmarkEnd w:id="337"/>
      <w:r w:rsidR="00E33686" w:rsidRPr="003A2F86">
        <w:rPr>
          <w:rFonts w:ascii="Arial" w:eastAsia="Calibri" w:hAnsi="Arial" w:cs="Arial"/>
          <w:sz w:val="22"/>
          <w:lang w:val="hr-HR"/>
        </w:rPr>
        <w:t xml:space="preserve">A </w:t>
      </w:r>
      <w:r w:rsidR="008A591F" w:rsidRPr="003A2F86">
        <w:rPr>
          <w:rFonts w:ascii="Arial" w:eastAsia="Calibri" w:hAnsi="Arial" w:cs="Arial"/>
          <w:sz w:val="22"/>
          <w:lang w:val="hr-HR"/>
        </w:rPr>
        <w:t>SIJE</w:t>
      </w:r>
      <w:r w:rsidR="00CE2A5F" w:rsidRPr="003A2F86">
        <w:rPr>
          <w:rFonts w:ascii="Arial" w:eastAsia="Calibri" w:hAnsi="Arial" w:cs="Arial"/>
          <w:sz w:val="22"/>
          <w:lang w:val="hr-HR"/>
        </w:rPr>
        <w:t>Č</w:t>
      </w:r>
      <w:r w:rsidR="008A591F" w:rsidRPr="003A2F86">
        <w:rPr>
          <w:rFonts w:ascii="Arial" w:eastAsia="Calibri" w:hAnsi="Arial" w:cs="Arial"/>
          <w:sz w:val="22"/>
          <w:lang w:val="hr-HR"/>
        </w:rPr>
        <w:t>ANJ –</w:t>
      </w:r>
      <w:r w:rsidR="00C034F2">
        <w:rPr>
          <w:rFonts w:ascii="Arial" w:eastAsia="Calibri" w:hAnsi="Arial" w:cs="Arial"/>
          <w:sz w:val="22"/>
          <w:lang w:val="hr-HR"/>
        </w:rPr>
        <w:t>LIPANJ</w:t>
      </w:r>
      <w:r w:rsidR="007978CC">
        <w:rPr>
          <w:rFonts w:ascii="Arial" w:eastAsia="Calibri" w:hAnsi="Arial" w:cs="Arial"/>
          <w:sz w:val="22"/>
          <w:lang w:val="hr-HR"/>
        </w:rPr>
        <w:t xml:space="preserve"> </w:t>
      </w:r>
      <w:r w:rsidR="008A591F" w:rsidRPr="003A2F86">
        <w:rPr>
          <w:rFonts w:ascii="Arial" w:eastAsia="Calibri" w:hAnsi="Arial" w:cs="Arial"/>
          <w:sz w:val="22"/>
          <w:lang w:val="hr-HR"/>
        </w:rPr>
        <w:t>20</w:t>
      </w:r>
      <w:r w:rsidR="00114EBC" w:rsidRPr="003A2F86">
        <w:rPr>
          <w:rFonts w:ascii="Arial" w:eastAsia="Calibri" w:hAnsi="Arial" w:cs="Arial"/>
          <w:sz w:val="22"/>
          <w:lang w:val="hr-HR"/>
        </w:rPr>
        <w:t>2</w:t>
      </w:r>
      <w:r w:rsidR="00C034F2">
        <w:rPr>
          <w:rFonts w:ascii="Arial" w:eastAsia="Calibri" w:hAnsi="Arial" w:cs="Arial"/>
          <w:sz w:val="22"/>
          <w:lang w:val="hr-HR"/>
        </w:rPr>
        <w:t>5</w:t>
      </w:r>
      <w:r w:rsidR="008A591F" w:rsidRPr="003A2F86">
        <w:rPr>
          <w:rFonts w:ascii="Arial" w:eastAsia="Calibri" w:hAnsi="Arial" w:cs="Arial"/>
          <w:sz w:val="22"/>
          <w:lang w:val="hr-HR"/>
        </w:rPr>
        <w:t>.</w:t>
      </w:r>
      <w:bookmarkEnd w:id="338"/>
    </w:p>
    <w:p w14:paraId="2598BB05" w14:textId="77777777" w:rsidR="00B902D0" w:rsidRPr="003A2F86" w:rsidRDefault="00B902D0" w:rsidP="00B902D0">
      <w:pPr>
        <w:autoSpaceDE w:val="0"/>
        <w:autoSpaceDN w:val="0"/>
        <w:adjustRightInd w:val="0"/>
        <w:spacing w:after="0" w:line="240" w:lineRule="auto"/>
        <w:jc w:val="both"/>
        <w:rPr>
          <w:rFonts w:ascii="Arial" w:eastAsia="Times New Roman" w:hAnsi="Arial" w:cs="Arial"/>
          <w:i/>
        </w:rPr>
      </w:pPr>
    </w:p>
    <w:p w14:paraId="6F4B8309" w14:textId="77777777" w:rsidR="00B902D0" w:rsidRPr="003A2F86" w:rsidRDefault="00B902D0" w:rsidP="00B902D0">
      <w:pPr>
        <w:autoSpaceDE w:val="0"/>
        <w:autoSpaceDN w:val="0"/>
        <w:adjustRightInd w:val="0"/>
        <w:spacing w:after="0" w:line="240" w:lineRule="auto"/>
        <w:jc w:val="both"/>
        <w:rPr>
          <w:rFonts w:ascii="Arial" w:eastAsia="Times New Roman" w:hAnsi="Arial" w:cs="Arial"/>
          <w:sz w:val="20"/>
        </w:rPr>
      </w:pPr>
      <w:r w:rsidRPr="003A2F86">
        <w:rPr>
          <w:rFonts w:ascii="Arial" w:eastAsia="Times New Roman" w:hAnsi="Arial" w:cs="Arial"/>
          <w:sz w:val="20"/>
        </w:rPr>
        <w:t>U posebnom dijelu proračuna iskazan</w:t>
      </w:r>
      <w:r w:rsidR="005C3382" w:rsidRPr="003A2F86">
        <w:rPr>
          <w:rFonts w:ascii="Arial" w:eastAsia="Times New Roman" w:hAnsi="Arial" w:cs="Arial"/>
          <w:sz w:val="20"/>
        </w:rPr>
        <w:t xml:space="preserve">o je obrazloženje izvršenja </w:t>
      </w:r>
      <w:r w:rsidRPr="003A2F86">
        <w:rPr>
          <w:rFonts w:ascii="Arial" w:eastAsia="Times New Roman" w:hAnsi="Arial" w:cs="Arial"/>
          <w:sz w:val="20"/>
        </w:rPr>
        <w:t>financijskih planova četiri proračunska korisnika Općine Konavle (Muzeji i galerije Konavala, Dom za starije i nemoćne osobe Konavle, Dječji vrtić Konavle, Javn</w:t>
      </w:r>
      <w:r w:rsidR="005C3382" w:rsidRPr="003A2F86">
        <w:rPr>
          <w:rFonts w:ascii="Arial" w:eastAsia="Times New Roman" w:hAnsi="Arial" w:cs="Arial"/>
          <w:sz w:val="20"/>
        </w:rPr>
        <w:t>a vatrogasna postrojba Konavle).</w:t>
      </w:r>
    </w:p>
    <w:p w14:paraId="3EEED067" w14:textId="77777777" w:rsidR="005C3382" w:rsidRPr="003A2F86" w:rsidRDefault="005C3382" w:rsidP="005C3382">
      <w:pPr>
        <w:spacing w:after="0" w:line="240" w:lineRule="auto"/>
        <w:jc w:val="both"/>
        <w:rPr>
          <w:rFonts w:ascii="Calibri" w:eastAsia="Times New Roman" w:hAnsi="Calibri" w:cs="Arial"/>
          <w:lang w:eastAsia="en-US"/>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915"/>
        <w:gridCol w:w="1090"/>
        <w:gridCol w:w="404"/>
        <w:gridCol w:w="709"/>
        <w:gridCol w:w="567"/>
        <w:gridCol w:w="9323"/>
      </w:tblGrid>
      <w:tr w:rsidR="00CC60DA" w:rsidRPr="003A2F86" w14:paraId="6E0693F9" w14:textId="77777777" w:rsidTr="00612DE8">
        <w:tc>
          <w:tcPr>
            <w:tcW w:w="1021" w:type="dxa"/>
            <w:tcBorders>
              <w:bottom w:val="single" w:sz="4" w:space="0" w:color="auto"/>
            </w:tcBorders>
            <w:shd w:val="pct25" w:color="auto" w:fill="auto"/>
          </w:tcPr>
          <w:p w14:paraId="6ABDDB0E" w14:textId="77777777" w:rsidR="005C3382" w:rsidRPr="003A2F86" w:rsidRDefault="005C3382" w:rsidP="00612DE8">
            <w:pPr>
              <w:spacing w:after="0" w:line="240" w:lineRule="auto"/>
              <w:jc w:val="both"/>
              <w:rPr>
                <w:rFonts w:ascii="Calibri" w:eastAsia="Times New Roman" w:hAnsi="Calibri" w:cs="Arial"/>
                <w:b/>
                <w:i/>
                <w:lang w:eastAsia="en-US"/>
              </w:rPr>
            </w:pPr>
            <w:r w:rsidRPr="003A2F86">
              <w:rPr>
                <w:rFonts w:ascii="Calibri" w:eastAsia="Times New Roman" w:hAnsi="Calibri" w:cs="Arial"/>
                <w:b/>
                <w:i/>
                <w:lang w:eastAsia="en-US"/>
              </w:rPr>
              <w:t>RAZDJEL</w:t>
            </w:r>
          </w:p>
        </w:tc>
        <w:tc>
          <w:tcPr>
            <w:tcW w:w="915" w:type="dxa"/>
            <w:tcBorders>
              <w:bottom w:val="single" w:sz="4" w:space="0" w:color="auto"/>
            </w:tcBorders>
            <w:shd w:val="pct25" w:color="auto" w:fill="auto"/>
          </w:tcPr>
          <w:p w14:paraId="1089878C" w14:textId="77777777" w:rsidR="005C3382" w:rsidRPr="003A2F86" w:rsidRDefault="005C3382" w:rsidP="00612DE8">
            <w:pPr>
              <w:spacing w:after="0" w:line="240" w:lineRule="auto"/>
              <w:jc w:val="both"/>
              <w:rPr>
                <w:rFonts w:ascii="Calibri" w:eastAsia="Times New Roman" w:hAnsi="Calibri" w:cs="Arial"/>
                <w:b/>
                <w:i/>
                <w:lang w:eastAsia="en-US"/>
              </w:rPr>
            </w:pPr>
          </w:p>
        </w:tc>
        <w:tc>
          <w:tcPr>
            <w:tcW w:w="1090" w:type="dxa"/>
            <w:tcBorders>
              <w:bottom w:val="single" w:sz="4" w:space="0" w:color="auto"/>
            </w:tcBorders>
            <w:shd w:val="pct25" w:color="auto" w:fill="auto"/>
          </w:tcPr>
          <w:p w14:paraId="0721C913" w14:textId="77777777" w:rsidR="005C3382" w:rsidRPr="003A2F86" w:rsidRDefault="005C3382" w:rsidP="00612DE8">
            <w:pPr>
              <w:spacing w:after="0" w:line="240" w:lineRule="auto"/>
              <w:jc w:val="both"/>
              <w:rPr>
                <w:rFonts w:ascii="Calibri" w:eastAsia="Times New Roman" w:hAnsi="Calibri" w:cs="Arial"/>
                <w:b/>
                <w:i/>
                <w:lang w:eastAsia="en-US"/>
              </w:rPr>
            </w:pPr>
          </w:p>
        </w:tc>
        <w:tc>
          <w:tcPr>
            <w:tcW w:w="404" w:type="dxa"/>
            <w:tcBorders>
              <w:bottom w:val="single" w:sz="4" w:space="0" w:color="auto"/>
            </w:tcBorders>
            <w:shd w:val="pct25" w:color="auto" w:fill="auto"/>
          </w:tcPr>
          <w:p w14:paraId="362B8EC2" w14:textId="77777777" w:rsidR="005C3382" w:rsidRPr="003A2F86" w:rsidRDefault="005C3382" w:rsidP="00612DE8">
            <w:pPr>
              <w:spacing w:after="0" w:line="240" w:lineRule="auto"/>
              <w:jc w:val="both"/>
              <w:rPr>
                <w:rFonts w:ascii="Calibri" w:eastAsia="Times New Roman" w:hAnsi="Calibri" w:cs="Arial"/>
                <w:b/>
                <w:i/>
                <w:lang w:eastAsia="en-US"/>
              </w:rPr>
            </w:pPr>
            <w:r w:rsidRPr="003A2F86">
              <w:rPr>
                <w:rFonts w:ascii="Calibri" w:eastAsia="Times New Roman" w:hAnsi="Calibri" w:cs="Arial"/>
                <w:b/>
                <w:i/>
                <w:lang w:eastAsia="en-US"/>
              </w:rPr>
              <w:t>020</w:t>
            </w:r>
          </w:p>
        </w:tc>
        <w:tc>
          <w:tcPr>
            <w:tcW w:w="709" w:type="dxa"/>
            <w:tcBorders>
              <w:bottom w:val="single" w:sz="4" w:space="0" w:color="auto"/>
            </w:tcBorders>
            <w:shd w:val="pct25" w:color="auto" w:fill="auto"/>
          </w:tcPr>
          <w:p w14:paraId="40106C70" w14:textId="77777777" w:rsidR="005C3382" w:rsidRPr="003A2F86" w:rsidRDefault="005C3382" w:rsidP="00612DE8">
            <w:pPr>
              <w:spacing w:after="0" w:line="240" w:lineRule="auto"/>
              <w:jc w:val="both"/>
              <w:rPr>
                <w:rFonts w:ascii="Calibri" w:eastAsia="Times New Roman" w:hAnsi="Calibri" w:cs="Arial"/>
                <w:b/>
                <w:i/>
                <w:lang w:eastAsia="en-US"/>
              </w:rPr>
            </w:pPr>
          </w:p>
        </w:tc>
        <w:tc>
          <w:tcPr>
            <w:tcW w:w="567" w:type="dxa"/>
            <w:tcBorders>
              <w:bottom w:val="single" w:sz="4" w:space="0" w:color="auto"/>
            </w:tcBorders>
            <w:shd w:val="pct25" w:color="auto" w:fill="auto"/>
          </w:tcPr>
          <w:p w14:paraId="511CD4DC" w14:textId="77777777" w:rsidR="005C3382" w:rsidRPr="003A2F86" w:rsidRDefault="005C3382" w:rsidP="00612DE8">
            <w:pPr>
              <w:spacing w:after="0" w:line="240" w:lineRule="auto"/>
              <w:jc w:val="both"/>
              <w:rPr>
                <w:rFonts w:ascii="Calibri" w:eastAsia="Times New Roman" w:hAnsi="Calibri" w:cs="Arial"/>
                <w:b/>
                <w:i/>
                <w:lang w:eastAsia="en-US"/>
              </w:rPr>
            </w:pPr>
          </w:p>
        </w:tc>
        <w:tc>
          <w:tcPr>
            <w:tcW w:w="9323" w:type="dxa"/>
            <w:tcBorders>
              <w:bottom w:val="single" w:sz="4" w:space="0" w:color="auto"/>
            </w:tcBorders>
            <w:shd w:val="pct25" w:color="auto" w:fill="auto"/>
          </w:tcPr>
          <w:p w14:paraId="5A1EE366" w14:textId="77777777" w:rsidR="005C3382" w:rsidRPr="003A2F86" w:rsidRDefault="005C3382" w:rsidP="00612DE8">
            <w:pPr>
              <w:spacing w:after="0" w:line="240" w:lineRule="auto"/>
              <w:jc w:val="both"/>
              <w:rPr>
                <w:rFonts w:ascii="Calibri" w:eastAsia="Times New Roman" w:hAnsi="Calibri" w:cs="Arial"/>
                <w:b/>
                <w:i/>
                <w:lang w:eastAsia="en-US"/>
              </w:rPr>
            </w:pPr>
            <w:r w:rsidRPr="003A2F86">
              <w:rPr>
                <w:rFonts w:ascii="Calibri" w:eastAsia="Calibri" w:hAnsi="Calibri" w:cs="Arial"/>
                <w:b/>
              </w:rPr>
              <w:t xml:space="preserve">UPRAVNI ODJEL ZA OPĆE POSLOVE, MJESNU SAMOUPRAVU I DRUŠTVENE DJELATNOSTI </w:t>
            </w:r>
          </w:p>
        </w:tc>
      </w:tr>
      <w:tr w:rsidR="00CC60DA" w:rsidRPr="003A2F86" w14:paraId="64147B70" w14:textId="77777777" w:rsidTr="00612DE8">
        <w:tc>
          <w:tcPr>
            <w:tcW w:w="1021" w:type="dxa"/>
            <w:tcBorders>
              <w:bottom w:val="single" w:sz="4" w:space="0" w:color="auto"/>
            </w:tcBorders>
            <w:shd w:val="pct15" w:color="auto" w:fill="auto"/>
          </w:tcPr>
          <w:p w14:paraId="0D67A215" w14:textId="77777777" w:rsidR="005C3382" w:rsidRPr="003A2F86" w:rsidRDefault="005C3382" w:rsidP="00612DE8">
            <w:pPr>
              <w:spacing w:after="0" w:line="240" w:lineRule="auto"/>
              <w:jc w:val="both"/>
              <w:rPr>
                <w:rFonts w:ascii="Calibri" w:eastAsia="Times New Roman" w:hAnsi="Calibri" w:cs="Arial"/>
                <w:lang w:eastAsia="en-US"/>
              </w:rPr>
            </w:pPr>
          </w:p>
        </w:tc>
        <w:tc>
          <w:tcPr>
            <w:tcW w:w="915" w:type="dxa"/>
            <w:tcBorders>
              <w:bottom w:val="single" w:sz="4" w:space="0" w:color="auto"/>
            </w:tcBorders>
            <w:shd w:val="pct15" w:color="auto" w:fill="auto"/>
          </w:tcPr>
          <w:p w14:paraId="5BC1C563" w14:textId="77777777" w:rsidR="005C3382" w:rsidRPr="003A2F86" w:rsidRDefault="005C3382" w:rsidP="00612DE8">
            <w:pPr>
              <w:spacing w:after="0" w:line="240" w:lineRule="auto"/>
              <w:jc w:val="both"/>
              <w:rPr>
                <w:rFonts w:ascii="Calibri" w:eastAsia="Times New Roman" w:hAnsi="Calibri" w:cs="Arial"/>
                <w:lang w:eastAsia="en-US"/>
              </w:rPr>
            </w:pPr>
            <w:r w:rsidRPr="003A2F86">
              <w:rPr>
                <w:rFonts w:ascii="Calibri" w:eastAsia="Times New Roman" w:hAnsi="Calibri" w:cs="Arial"/>
                <w:lang w:eastAsia="en-US"/>
              </w:rPr>
              <w:t>Glava</w:t>
            </w:r>
          </w:p>
        </w:tc>
        <w:tc>
          <w:tcPr>
            <w:tcW w:w="1090" w:type="dxa"/>
            <w:tcBorders>
              <w:bottom w:val="single" w:sz="4" w:space="0" w:color="auto"/>
            </w:tcBorders>
            <w:shd w:val="pct15" w:color="auto" w:fill="auto"/>
          </w:tcPr>
          <w:p w14:paraId="33BE44ED" w14:textId="77777777" w:rsidR="005C3382" w:rsidRPr="003A2F86" w:rsidRDefault="005C3382" w:rsidP="00612DE8">
            <w:pPr>
              <w:spacing w:after="0" w:line="240" w:lineRule="auto"/>
              <w:jc w:val="both"/>
              <w:rPr>
                <w:rFonts w:ascii="Calibri" w:eastAsia="Times New Roman" w:hAnsi="Calibri" w:cs="Arial"/>
                <w:lang w:eastAsia="en-US"/>
              </w:rPr>
            </w:pPr>
          </w:p>
        </w:tc>
        <w:tc>
          <w:tcPr>
            <w:tcW w:w="404" w:type="dxa"/>
            <w:tcBorders>
              <w:bottom w:val="single" w:sz="4" w:space="0" w:color="auto"/>
            </w:tcBorders>
            <w:shd w:val="pct15" w:color="auto" w:fill="auto"/>
          </w:tcPr>
          <w:p w14:paraId="25670966" w14:textId="77777777" w:rsidR="005C3382" w:rsidRPr="003A2F86" w:rsidRDefault="005C3382" w:rsidP="00612DE8">
            <w:pPr>
              <w:spacing w:after="0" w:line="240" w:lineRule="auto"/>
              <w:jc w:val="both"/>
              <w:rPr>
                <w:rFonts w:ascii="Calibri" w:eastAsia="Times New Roman" w:hAnsi="Calibri" w:cs="Arial"/>
                <w:lang w:eastAsia="en-US"/>
              </w:rPr>
            </w:pPr>
          </w:p>
        </w:tc>
        <w:tc>
          <w:tcPr>
            <w:tcW w:w="709" w:type="dxa"/>
            <w:tcBorders>
              <w:bottom w:val="single" w:sz="4" w:space="0" w:color="auto"/>
            </w:tcBorders>
            <w:shd w:val="pct15" w:color="auto" w:fill="auto"/>
          </w:tcPr>
          <w:p w14:paraId="7CE04499" w14:textId="77777777" w:rsidR="005C3382" w:rsidRPr="003A2F86" w:rsidRDefault="005C3382" w:rsidP="00612DE8">
            <w:pPr>
              <w:spacing w:after="0" w:line="240" w:lineRule="auto"/>
              <w:jc w:val="both"/>
              <w:rPr>
                <w:rFonts w:ascii="Calibri" w:eastAsia="Times New Roman" w:hAnsi="Calibri" w:cs="Arial"/>
                <w:b/>
                <w:lang w:eastAsia="en-US"/>
              </w:rPr>
            </w:pPr>
            <w:r w:rsidRPr="003A2F86">
              <w:rPr>
                <w:rFonts w:ascii="Calibri" w:eastAsia="Times New Roman" w:hAnsi="Calibri" w:cs="Arial"/>
                <w:b/>
                <w:lang w:eastAsia="en-US"/>
              </w:rPr>
              <w:t>020 03</w:t>
            </w:r>
          </w:p>
        </w:tc>
        <w:tc>
          <w:tcPr>
            <w:tcW w:w="567" w:type="dxa"/>
            <w:tcBorders>
              <w:bottom w:val="single" w:sz="4" w:space="0" w:color="auto"/>
            </w:tcBorders>
            <w:shd w:val="pct15" w:color="auto" w:fill="auto"/>
          </w:tcPr>
          <w:p w14:paraId="42B4AAC7" w14:textId="77777777" w:rsidR="005C3382" w:rsidRPr="003A2F86" w:rsidRDefault="005C3382" w:rsidP="00612DE8">
            <w:pPr>
              <w:spacing w:after="0" w:line="240" w:lineRule="auto"/>
              <w:jc w:val="both"/>
              <w:rPr>
                <w:rFonts w:ascii="Calibri" w:eastAsia="Times New Roman" w:hAnsi="Calibri" w:cs="Arial"/>
                <w:lang w:eastAsia="en-US"/>
              </w:rPr>
            </w:pPr>
          </w:p>
        </w:tc>
        <w:tc>
          <w:tcPr>
            <w:tcW w:w="9323" w:type="dxa"/>
            <w:tcBorders>
              <w:bottom w:val="single" w:sz="4" w:space="0" w:color="auto"/>
            </w:tcBorders>
            <w:shd w:val="pct15" w:color="auto" w:fill="auto"/>
          </w:tcPr>
          <w:p w14:paraId="28085E40" w14:textId="77777777" w:rsidR="005C3382" w:rsidRPr="003A2F86" w:rsidRDefault="005C3382" w:rsidP="00612DE8">
            <w:pPr>
              <w:tabs>
                <w:tab w:val="left" w:pos="567"/>
              </w:tabs>
              <w:spacing w:after="0" w:line="240" w:lineRule="auto"/>
              <w:jc w:val="both"/>
              <w:rPr>
                <w:rFonts w:ascii="Calibri" w:eastAsia="Times New Roman" w:hAnsi="Calibri" w:cs="Arial"/>
                <w:lang w:eastAsia="en-US"/>
              </w:rPr>
            </w:pPr>
            <w:r w:rsidRPr="003A2F86">
              <w:rPr>
                <w:rFonts w:ascii="Calibri" w:eastAsia="Calibri" w:hAnsi="Calibri" w:cs="Arial"/>
                <w:lang w:eastAsia="en-US"/>
              </w:rPr>
              <w:t>USTANOVA U KULTURI</w:t>
            </w:r>
          </w:p>
        </w:tc>
      </w:tr>
      <w:tr w:rsidR="00CC60DA" w:rsidRPr="003A2F86" w14:paraId="66B1ADF2" w14:textId="77777777" w:rsidTr="00612DE8">
        <w:tc>
          <w:tcPr>
            <w:tcW w:w="1021" w:type="dxa"/>
            <w:shd w:val="solid" w:color="B4B4B4" w:fill="auto"/>
          </w:tcPr>
          <w:p w14:paraId="00D06EC1" w14:textId="77777777" w:rsidR="005C3382" w:rsidRPr="003A2F86" w:rsidRDefault="005C3382" w:rsidP="00612DE8">
            <w:pPr>
              <w:spacing w:after="0" w:line="240" w:lineRule="auto"/>
              <w:jc w:val="both"/>
              <w:rPr>
                <w:rFonts w:ascii="Calibri" w:eastAsia="Times New Roman" w:hAnsi="Calibri" w:cs="Arial"/>
                <w:lang w:eastAsia="en-US"/>
              </w:rPr>
            </w:pPr>
          </w:p>
        </w:tc>
        <w:tc>
          <w:tcPr>
            <w:tcW w:w="915" w:type="dxa"/>
            <w:shd w:val="solid" w:color="B4B4B4" w:fill="auto"/>
          </w:tcPr>
          <w:p w14:paraId="57358747" w14:textId="77777777" w:rsidR="005C3382" w:rsidRPr="003A2F86" w:rsidRDefault="005C3382" w:rsidP="00612DE8">
            <w:pPr>
              <w:spacing w:after="0" w:line="240" w:lineRule="auto"/>
              <w:jc w:val="both"/>
              <w:rPr>
                <w:rFonts w:ascii="Calibri" w:eastAsia="Times New Roman" w:hAnsi="Calibri" w:cs="Arial"/>
                <w:lang w:eastAsia="en-US"/>
              </w:rPr>
            </w:pPr>
          </w:p>
        </w:tc>
        <w:tc>
          <w:tcPr>
            <w:tcW w:w="1090" w:type="dxa"/>
            <w:shd w:val="solid" w:color="B4B4B4" w:fill="auto"/>
          </w:tcPr>
          <w:p w14:paraId="3B938C3B" w14:textId="77777777" w:rsidR="005C3382" w:rsidRPr="003A2F86" w:rsidRDefault="005C3382" w:rsidP="00612DE8">
            <w:pPr>
              <w:spacing w:after="0" w:line="240" w:lineRule="auto"/>
              <w:jc w:val="both"/>
              <w:rPr>
                <w:rFonts w:ascii="Calibri" w:eastAsia="Times New Roman" w:hAnsi="Calibri" w:cs="Arial"/>
                <w:lang w:eastAsia="en-US"/>
              </w:rPr>
            </w:pPr>
            <w:r w:rsidRPr="003A2F86">
              <w:rPr>
                <w:rFonts w:ascii="Calibri" w:eastAsia="Times New Roman" w:hAnsi="Calibri" w:cs="Arial"/>
                <w:lang w:eastAsia="en-US"/>
              </w:rPr>
              <w:t>PROGRAM</w:t>
            </w:r>
          </w:p>
        </w:tc>
        <w:tc>
          <w:tcPr>
            <w:tcW w:w="404" w:type="dxa"/>
            <w:shd w:val="solid" w:color="B4B4B4" w:fill="auto"/>
          </w:tcPr>
          <w:p w14:paraId="267785C8" w14:textId="77777777" w:rsidR="005C3382" w:rsidRPr="003A2F86" w:rsidRDefault="005C3382" w:rsidP="00612DE8">
            <w:pPr>
              <w:spacing w:after="0" w:line="240" w:lineRule="auto"/>
              <w:jc w:val="both"/>
              <w:rPr>
                <w:rFonts w:ascii="Calibri" w:eastAsia="Times New Roman" w:hAnsi="Calibri" w:cs="Arial"/>
                <w:lang w:eastAsia="en-US"/>
              </w:rPr>
            </w:pPr>
          </w:p>
        </w:tc>
        <w:tc>
          <w:tcPr>
            <w:tcW w:w="709" w:type="dxa"/>
            <w:shd w:val="solid" w:color="B4B4B4" w:fill="auto"/>
          </w:tcPr>
          <w:p w14:paraId="52541509" w14:textId="77777777" w:rsidR="005C3382" w:rsidRPr="003A2F86" w:rsidRDefault="005C3382" w:rsidP="00612DE8">
            <w:pPr>
              <w:spacing w:after="0" w:line="240" w:lineRule="auto"/>
              <w:jc w:val="both"/>
              <w:rPr>
                <w:rFonts w:ascii="Calibri" w:eastAsia="Times New Roman" w:hAnsi="Calibri" w:cs="Arial"/>
                <w:b/>
                <w:lang w:eastAsia="en-US"/>
              </w:rPr>
            </w:pPr>
          </w:p>
        </w:tc>
        <w:tc>
          <w:tcPr>
            <w:tcW w:w="567" w:type="dxa"/>
            <w:shd w:val="solid" w:color="B4B4B4" w:fill="auto"/>
          </w:tcPr>
          <w:p w14:paraId="7EB7C9C4" w14:textId="77777777" w:rsidR="005C3382" w:rsidRPr="003A2F86" w:rsidRDefault="005C3382" w:rsidP="00612DE8">
            <w:pPr>
              <w:spacing w:after="0" w:line="240" w:lineRule="auto"/>
              <w:jc w:val="both"/>
              <w:rPr>
                <w:rFonts w:ascii="Calibri" w:eastAsia="Times New Roman" w:hAnsi="Calibri" w:cs="Arial"/>
                <w:b/>
                <w:lang w:eastAsia="en-US"/>
              </w:rPr>
            </w:pPr>
            <w:r w:rsidRPr="003A2F86">
              <w:rPr>
                <w:rFonts w:ascii="Calibri" w:eastAsia="Times New Roman" w:hAnsi="Calibri" w:cs="Arial"/>
                <w:b/>
                <w:lang w:eastAsia="en-US"/>
              </w:rPr>
              <w:t>2031</w:t>
            </w:r>
          </w:p>
        </w:tc>
        <w:tc>
          <w:tcPr>
            <w:tcW w:w="9323" w:type="dxa"/>
            <w:shd w:val="solid" w:color="B4B4B4" w:fill="auto"/>
          </w:tcPr>
          <w:p w14:paraId="6BC459B0" w14:textId="77777777" w:rsidR="005C3382" w:rsidRPr="003A2F86" w:rsidRDefault="005C3382" w:rsidP="00612DE8">
            <w:pPr>
              <w:spacing w:after="0" w:line="240" w:lineRule="auto"/>
              <w:rPr>
                <w:rFonts w:ascii="Calibri" w:eastAsia="Times New Roman" w:hAnsi="Calibri" w:cs="Arial"/>
                <w:lang w:eastAsia="en-US"/>
              </w:rPr>
            </w:pPr>
            <w:r w:rsidRPr="003A2F86">
              <w:rPr>
                <w:rFonts w:ascii="Calibri" w:eastAsia="Times New Roman" w:hAnsi="Calibri" w:cs="Arial"/>
                <w:lang w:eastAsia="en-US"/>
              </w:rPr>
              <w:t>Javna ustanova u kulturi</w:t>
            </w:r>
          </w:p>
        </w:tc>
      </w:tr>
      <w:tr w:rsidR="00CC60DA" w:rsidRPr="003A2F86" w14:paraId="72619065" w14:textId="77777777" w:rsidTr="00612DE8">
        <w:tc>
          <w:tcPr>
            <w:tcW w:w="1021" w:type="dxa"/>
            <w:tcBorders>
              <w:bottom w:val="single" w:sz="4" w:space="0" w:color="auto"/>
            </w:tcBorders>
            <w:shd w:val="pct15" w:color="auto" w:fill="auto"/>
          </w:tcPr>
          <w:p w14:paraId="496B043D" w14:textId="77777777" w:rsidR="005C3382" w:rsidRPr="003A2F86" w:rsidRDefault="005C3382" w:rsidP="00612DE8">
            <w:pPr>
              <w:spacing w:after="0" w:line="240" w:lineRule="auto"/>
              <w:jc w:val="both"/>
              <w:rPr>
                <w:rFonts w:ascii="Calibri" w:eastAsia="Times New Roman" w:hAnsi="Calibri" w:cs="Arial"/>
                <w:lang w:eastAsia="en-US"/>
              </w:rPr>
            </w:pPr>
          </w:p>
        </w:tc>
        <w:tc>
          <w:tcPr>
            <w:tcW w:w="915" w:type="dxa"/>
            <w:tcBorders>
              <w:bottom w:val="single" w:sz="4" w:space="0" w:color="auto"/>
            </w:tcBorders>
            <w:shd w:val="pct15" w:color="auto" w:fill="auto"/>
          </w:tcPr>
          <w:p w14:paraId="298E8482" w14:textId="77777777" w:rsidR="005C3382" w:rsidRPr="003A2F86" w:rsidRDefault="005C3382" w:rsidP="00612DE8">
            <w:pPr>
              <w:spacing w:after="0" w:line="240" w:lineRule="auto"/>
              <w:jc w:val="both"/>
              <w:rPr>
                <w:rFonts w:ascii="Calibri" w:eastAsia="Times New Roman" w:hAnsi="Calibri" w:cs="Arial"/>
                <w:lang w:eastAsia="en-US"/>
              </w:rPr>
            </w:pPr>
            <w:r w:rsidRPr="003A2F86">
              <w:rPr>
                <w:rFonts w:ascii="Calibri" w:eastAsia="Times New Roman" w:hAnsi="Calibri" w:cs="Arial"/>
                <w:lang w:eastAsia="en-US"/>
              </w:rPr>
              <w:t>Glava</w:t>
            </w:r>
          </w:p>
        </w:tc>
        <w:tc>
          <w:tcPr>
            <w:tcW w:w="1090" w:type="dxa"/>
            <w:tcBorders>
              <w:bottom w:val="single" w:sz="4" w:space="0" w:color="auto"/>
            </w:tcBorders>
            <w:shd w:val="pct15" w:color="auto" w:fill="auto"/>
          </w:tcPr>
          <w:p w14:paraId="5B7E3BBA" w14:textId="77777777" w:rsidR="005C3382" w:rsidRPr="003A2F86" w:rsidRDefault="005C3382" w:rsidP="00612DE8">
            <w:pPr>
              <w:spacing w:after="0" w:line="240" w:lineRule="auto"/>
              <w:jc w:val="both"/>
              <w:rPr>
                <w:rFonts w:ascii="Calibri" w:eastAsia="Times New Roman" w:hAnsi="Calibri" w:cs="Arial"/>
                <w:lang w:eastAsia="en-US"/>
              </w:rPr>
            </w:pPr>
          </w:p>
        </w:tc>
        <w:tc>
          <w:tcPr>
            <w:tcW w:w="404" w:type="dxa"/>
            <w:tcBorders>
              <w:bottom w:val="single" w:sz="4" w:space="0" w:color="auto"/>
            </w:tcBorders>
            <w:shd w:val="pct15" w:color="auto" w:fill="auto"/>
          </w:tcPr>
          <w:p w14:paraId="14C639DF" w14:textId="77777777" w:rsidR="005C3382" w:rsidRPr="003A2F86" w:rsidRDefault="005C3382" w:rsidP="00612DE8">
            <w:pPr>
              <w:spacing w:after="0" w:line="240" w:lineRule="auto"/>
              <w:jc w:val="both"/>
              <w:rPr>
                <w:rFonts w:ascii="Calibri" w:eastAsia="Times New Roman" w:hAnsi="Calibri" w:cs="Arial"/>
                <w:lang w:eastAsia="en-US"/>
              </w:rPr>
            </w:pPr>
          </w:p>
        </w:tc>
        <w:tc>
          <w:tcPr>
            <w:tcW w:w="709" w:type="dxa"/>
            <w:tcBorders>
              <w:bottom w:val="single" w:sz="4" w:space="0" w:color="auto"/>
            </w:tcBorders>
            <w:shd w:val="pct15" w:color="auto" w:fill="auto"/>
          </w:tcPr>
          <w:p w14:paraId="13A6D7B0" w14:textId="77777777" w:rsidR="005C3382" w:rsidRPr="003A2F86" w:rsidRDefault="005C3382" w:rsidP="00612DE8">
            <w:pPr>
              <w:spacing w:after="0" w:line="240" w:lineRule="auto"/>
              <w:jc w:val="both"/>
              <w:rPr>
                <w:rFonts w:ascii="Calibri" w:eastAsia="Times New Roman" w:hAnsi="Calibri" w:cs="Arial"/>
                <w:b/>
                <w:lang w:eastAsia="en-US"/>
              </w:rPr>
            </w:pPr>
            <w:r w:rsidRPr="003A2F86">
              <w:rPr>
                <w:rFonts w:ascii="Calibri" w:eastAsia="Times New Roman" w:hAnsi="Calibri" w:cs="Arial"/>
                <w:b/>
                <w:lang w:eastAsia="en-US"/>
              </w:rPr>
              <w:t>020 04</w:t>
            </w:r>
          </w:p>
        </w:tc>
        <w:tc>
          <w:tcPr>
            <w:tcW w:w="567" w:type="dxa"/>
            <w:tcBorders>
              <w:bottom w:val="single" w:sz="4" w:space="0" w:color="auto"/>
            </w:tcBorders>
            <w:shd w:val="pct15" w:color="auto" w:fill="auto"/>
          </w:tcPr>
          <w:p w14:paraId="02AD2CD8" w14:textId="77777777" w:rsidR="005C3382" w:rsidRPr="003A2F86" w:rsidRDefault="005C3382" w:rsidP="00612DE8">
            <w:pPr>
              <w:spacing w:after="0" w:line="240" w:lineRule="auto"/>
              <w:jc w:val="both"/>
              <w:rPr>
                <w:rFonts w:ascii="Calibri" w:eastAsia="Times New Roman" w:hAnsi="Calibri" w:cs="Arial"/>
                <w:lang w:eastAsia="en-US"/>
              </w:rPr>
            </w:pPr>
          </w:p>
        </w:tc>
        <w:tc>
          <w:tcPr>
            <w:tcW w:w="9323" w:type="dxa"/>
            <w:tcBorders>
              <w:bottom w:val="single" w:sz="4" w:space="0" w:color="auto"/>
            </w:tcBorders>
            <w:shd w:val="pct15" w:color="auto" w:fill="auto"/>
          </w:tcPr>
          <w:p w14:paraId="489E0CE5" w14:textId="77777777" w:rsidR="005C3382" w:rsidRPr="003A2F86" w:rsidRDefault="005C3382" w:rsidP="00612DE8">
            <w:pPr>
              <w:tabs>
                <w:tab w:val="left" w:pos="567"/>
              </w:tabs>
              <w:spacing w:after="0" w:line="240" w:lineRule="auto"/>
              <w:jc w:val="both"/>
              <w:rPr>
                <w:rFonts w:ascii="Calibri" w:eastAsia="Times New Roman" w:hAnsi="Calibri" w:cs="Arial"/>
                <w:lang w:eastAsia="en-US"/>
              </w:rPr>
            </w:pPr>
            <w:r w:rsidRPr="003A2F86">
              <w:rPr>
                <w:rFonts w:ascii="Calibri" w:eastAsia="Calibri" w:hAnsi="Calibri" w:cs="Arial"/>
                <w:lang w:eastAsia="en-US"/>
              </w:rPr>
              <w:t>USTANOVA SOCIJALNE SKRBI</w:t>
            </w:r>
          </w:p>
        </w:tc>
      </w:tr>
      <w:tr w:rsidR="00CC60DA" w:rsidRPr="003A2F86" w14:paraId="706984E2" w14:textId="77777777" w:rsidTr="00612DE8">
        <w:tc>
          <w:tcPr>
            <w:tcW w:w="1021" w:type="dxa"/>
            <w:shd w:val="solid" w:color="B4B4B4" w:fill="auto"/>
          </w:tcPr>
          <w:p w14:paraId="23ED766B" w14:textId="77777777" w:rsidR="005C3382" w:rsidRPr="003A2F86" w:rsidRDefault="005C3382" w:rsidP="00612DE8">
            <w:pPr>
              <w:spacing w:after="0" w:line="240" w:lineRule="auto"/>
              <w:jc w:val="both"/>
              <w:rPr>
                <w:rFonts w:ascii="Calibri" w:eastAsia="Times New Roman" w:hAnsi="Calibri" w:cs="Arial"/>
                <w:lang w:eastAsia="en-US"/>
              </w:rPr>
            </w:pPr>
          </w:p>
        </w:tc>
        <w:tc>
          <w:tcPr>
            <w:tcW w:w="915" w:type="dxa"/>
            <w:shd w:val="solid" w:color="B4B4B4" w:fill="auto"/>
          </w:tcPr>
          <w:p w14:paraId="67E4A6EF" w14:textId="77777777" w:rsidR="005C3382" w:rsidRPr="003A2F86" w:rsidRDefault="005C3382" w:rsidP="00612DE8">
            <w:pPr>
              <w:spacing w:after="0" w:line="240" w:lineRule="auto"/>
              <w:jc w:val="both"/>
              <w:rPr>
                <w:rFonts w:ascii="Calibri" w:eastAsia="Times New Roman" w:hAnsi="Calibri" w:cs="Arial"/>
                <w:lang w:eastAsia="en-US"/>
              </w:rPr>
            </w:pPr>
          </w:p>
        </w:tc>
        <w:tc>
          <w:tcPr>
            <w:tcW w:w="1090" w:type="dxa"/>
            <w:shd w:val="solid" w:color="B4B4B4" w:fill="auto"/>
          </w:tcPr>
          <w:p w14:paraId="49E50447" w14:textId="77777777" w:rsidR="005C3382" w:rsidRPr="003A2F86" w:rsidRDefault="005C3382" w:rsidP="00612DE8">
            <w:pPr>
              <w:spacing w:after="0" w:line="240" w:lineRule="auto"/>
              <w:jc w:val="both"/>
              <w:rPr>
                <w:rFonts w:ascii="Calibri" w:eastAsia="Times New Roman" w:hAnsi="Calibri" w:cs="Arial"/>
                <w:lang w:eastAsia="en-US"/>
              </w:rPr>
            </w:pPr>
            <w:r w:rsidRPr="003A2F86">
              <w:rPr>
                <w:rFonts w:ascii="Calibri" w:eastAsia="Times New Roman" w:hAnsi="Calibri" w:cs="Arial"/>
                <w:lang w:eastAsia="en-US"/>
              </w:rPr>
              <w:t>PROGRAM</w:t>
            </w:r>
          </w:p>
        </w:tc>
        <w:tc>
          <w:tcPr>
            <w:tcW w:w="404" w:type="dxa"/>
            <w:shd w:val="solid" w:color="B4B4B4" w:fill="auto"/>
          </w:tcPr>
          <w:p w14:paraId="71E1EF62" w14:textId="77777777" w:rsidR="005C3382" w:rsidRPr="003A2F86" w:rsidRDefault="005C3382" w:rsidP="00612DE8">
            <w:pPr>
              <w:spacing w:after="0" w:line="240" w:lineRule="auto"/>
              <w:jc w:val="both"/>
              <w:rPr>
                <w:rFonts w:ascii="Calibri" w:eastAsia="Times New Roman" w:hAnsi="Calibri" w:cs="Arial"/>
                <w:lang w:eastAsia="en-US"/>
              </w:rPr>
            </w:pPr>
          </w:p>
        </w:tc>
        <w:tc>
          <w:tcPr>
            <w:tcW w:w="709" w:type="dxa"/>
            <w:shd w:val="solid" w:color="B4B4B4" w:fill="auto"/>
          </w:tcPr>
          <w:p w14:paraId="03A96968" w14:textId="77777777" w:rsidR="005C3382" w:rsidRPr="003A2F86" w:rsidRDefault="005C3382" w:rsidP="00612DE8">
            <w:pPr>
              <w:spacing w:after="0" w:line="240" w:lineRule="auto"/>
              <w:jc w:val="both"/>
              <w:rPr>
                <w:rFonts w:ascii="Calibri" w:eastAsia="Times New Roman" w:hAnsi="Calibri" w:cs="Arial"/>
                <w:b/>
                <w:lang w:eastAsia="en-US"/>
              </w:rPr>
            </w:pPr>
          </w:p>
        </w:tc>
        <w:tc>
          <w:tcPr>
            <w:tcW w:w="567" w:type="dxa"/>
            <w:shd w:val="solid" w:color="B4B4B4" w:fill="auto"/>
          </w:tcPr>
          <w:p w14:paraId="153D765A" w14:textId="77777777" w:rsidR="005C3382" w:rsidRPr="003A2F86" w:rsidRDefault="005C3382" w:rsidP="00612DE8">
            <w:pPr>
              <w:spacing w:after="0" w:line="240" w:lineRule="auto"/>
              <w:jc w:val="both"/>
              <w:rPr>
                <w:rFonts w:ascii="Calibri" w:eastAsia="Times New Roman" w:hAnsi="Calibri" w:cs="Arial"/>
                <w:b/>
                <w:lang w:eastAsia="en-US"/>
              </w:rPr>
            </w:pPr>
            <w:r w:rsidRPr="003A2F86">
              <w:rPr>
                <w:rFonts w:ascii="Calibri" w:eastAsia="Times New Roman" w:hAnsi="Calibri" w:cs="Arial"/>
                <w:b/>
                <w:lang w:eastAsia="en-US"/>
              </w:rPr>
              <w:t>2044</w:t>
            </w:r>
          </w:p>
        </w:tc>
        <w:tc>
          <w:tcPr>
            <w:tcW w:w="9323" w:type="dxa"/>
            <w:shd w:val="solid" w:color="B4B4B4" w:fill="auto"/>
          </w:tcPr>
          <w:p w14:paraId="71F21DAE" w14:textId="77777777" w:rsidR="005C3382" w:rsidRPr="003A2F86" w:rsidRDefault="005C3382" w:rsidP="00612DE8">
            <w:pPr>
              <w:spacing w:after="0" w:line="240" w:lineRule="auto"/>
              <w:rPr>
                <w:rFonts w:ascii="Calibri" w:eastAsia="Times New Roman" w:hAnsi="Calibri" w:cs="Arial"/>
                <w:lang w:eastAsia="en-US"/>
              </w:rPr>
            </w:pPr>
            <w:r w:rsidRPr="003A2F86">
              <w:rPr>
                <w:rFonts w:ascii="Calibri" w:eastAsia="Times New Roman" w:hAnsi="Calibri" w:cs="Arial"/>
                <w:lang w:eastAsia="en-US"/>
              </w:rPr>
              <w:t>Socijalna skrb – Dom za starije i nemoćne osobe Konavle</w:t>
            </w:r>
          </w:p>
        </w:tc>
      </w:tr>
      <w:tr w:rsidR="00CC60DA" w:rsidRPr="003A2F86" w14:paraId="577F0384" w14:textId="77777777" w:rsidTr="00612DE8">
        <w:tc>
          <w:tcPr>
            <w:tcW w:w="1021" w:type="dxa"/>
            <w:tcBorders>
              <w:bottom w:val="single" w:sz="4" w:space="0" w:color="auto"/>
            </w:tcBorders>
            <w:shd w:val="pct15" w:color="auto" w:fill="auto"/>
          </w:tcPr>
          <w:p w14:paraId="1B1BC8DE" w14:textId="77777777" w:rsidR="005C3382" w:rsidRPr="003A2F86" w:rsidRDefault="005C3382" w:rsidP="00612DE8">
            <w:pPr>
              <w:spacing w:after="0" w:line="240" w:lineRule="auto"/>
              <w:jc w:val="both"/>
              <w:rPr>
                <w:rFonts w:ascii="Calibri" w:eastAsia="Times New Roman" w:hAnsi="Calibri" w:cs="Arial"/>
                <w:lang w:eastAsia="en-US"/>
              </w:rPr>
            </w:pPr>
          </w:p>
        </w:tc>
        <w:tc>
          <w:tcPr>
            <w:tcW w:w="915" w:type="dxa"/>
            <w:tcBorders>
              <w:bottom w:val="single" w:sz="4" w:space="0" w:color="auto"/>
            </w:tcBorders>
            <w:shd w:val="pct15" w:color="auto" w:fill="auto"/>
          </w:tcPr>
          <w:p w14:paraId="13F59C61" w14:textId="77777777" w:rsidR="005C3382" w:rsidRPr="003A2F86" w:rsidRDefault="005C3382" w:rsidP="00612DE8">
            <w:pPr>
              <w:spacing w:after="0" w:line="240" w:lineRule="auto"/>
              <w:jc w:val="both"/>
              <w:rPr>
                <w:rFonts w:ascii="Calibri" w:eastAsia="Times New Roman" w:hAnsi="Calibri" w:cs="Arial"/>
                <w:lang w:eastAsia="en-US"/>
              </w:rPr>
            </w:pPr>
            <w:r w:rsidRPr="003A2F86">
              <w:rPr>
                <w:rFonts w:ascii="Calibri" w:eastAsia="Times New Roman" w:hAnsi="Calibri" w:cs="Arial"/>
                <w:lang w:eastAsia="en-US"/>
              </w:rPr>
              <w:t>Glava</w:t>
            </w:r>
          </w:p>
        </w:tc>
        <w:tc>
          <w:tcPr>
            <w:tcW w:w="1090" w:type="dxa"/>
            <w:tcBorders>
              <w:bottom w:val="single" w:sz="4" w:space="0" w:color="auto"/>
            </w:tcBorders>
            <w:shd w:val="pct15" w:color="auto" w:fill="auto"/>
          </w:tcPr>
          <w:p w14:paraId="507D03C3" w14:textId="77777777" w:rsidR="005C3382" w:rsidRPr="003A2F86" w:rsidRDefault="005C3382" w:rsidP="00612DE8">
            <w:pPr>
              <w:spacing w:after="0" w:line="240" w:lineRule="auto"/>
              <w:jc w:val="both"/>
              <w:rPr>
                <w:rFonts w:ascii="Calibri" w:eastAsia="Times New Roman" w:hAnsi="Calibri" w:cs="Arial"/>
                <w:lang w:eastAsia="en-US"/>
              </w:rPr>
            </w:pPr>
          </w:p>
        </w:tc>
        <w:tc>
          <w:tcPr>
            <w:tcW w:w="404" w:type="dxa"/>
            <w:tcBorders>
              <w:bottom w:val="single" w:sz="4" w:space="0" w:color="auto"/>
            </w:tcBorders>
            <w:shd w:val="pct15" w:color="auto" w:fill="auto"/>
          </w:tcPr>
          <w:p w14:paraId="67063777" w14:textId="77777777" w:rsidR="005C3382" w:rsidRPr="003A2F86" w:rsidRDefault="005C3382" w:rsidP="00612DE8">
            <w:pPr>
              <w:spacing w:after="0" w:line="240" w:lineRule="auto"/>
              <w:jc w:val="both"/>
              <w:rPr>
                <w:rFonts w:ascii="Calibri" w:eastAsia="Times New Roman" w:hAnsi="Calibri" w:cs="Arial"/>
                <w:lang w:eastAsia="en-US"/>
              </w:rPr>
            </w:pPr>
          </w:p>
        </w:tc>
        <w:tc>
          <w:tcPr>
            <w:tcW w:w="709" w:type="dxa"/>
            <w:tcBorders>
              <w:bottom w:val="single" w:sz="4" w:space="0" w:color="auto"/>
            </w:tcBorders>
            <w:shd w:val="pct15" w:color="auto" w:fill="auto"/>
          </w:tcPr>
          <w:p w14:paraId="748AB215" w14:textId="77777777" w:rsidR="005C3382" w:rsidRPr="003A2F86" w:rsidRDefault="005C3382" w:rsidP="005C3382">
            <w:pPr>
              <w:spacing w:after="0" w:line="240" w:lineRule="auto"/>
              <w:jc w:val="both"/>
              <w:rPr>
                <w:rFonts w:ascii="Calibri" w:eastAsia="Times New Roman" w:hAnsi="Calibri" w:cs="Arial"/>
                <w:b/>
                <w:lang w:eastAsia="en-US"/>
              </w:rPr>
            </w:pPr>
            <w:r w:rsidRPr="003A2F86">
              <w:rPr>
                <w:rFonts w:ascii="Calibri" w:eastAsia="Times New Roman" w:hAnsi="Calibri" w:cs="Arial"/>
                <w:b/>
                <w:lang w:eastAsia="en-US"/>
              </w:rPr>
              <w:t>020 05</w:t>
            </w:r>
          </w:p>
        </w:tc>
        <w:tc>
          <w:tcPr>
            <w:tcW w:w="567" w:type="dxa"/>
            <w:tcBorders>
              <w:bottom w:val="single" w:sz="4" w:space="0" w:color="auto"/>
            </w:tcBorders>
            <w:shd w:val="pct15" w:color="auto" w:fill="auto"/>
          </w:tcPr>
          <w:p w14:paraId="07DED860" w14:textId="77777777" w:rsidR="005C3382" w:rsidRPr="003A2F86" w:rsidRDefault="005C3382" w:rsidP="00612DE8">
            <w:pPr>
              <w:spacing w:after="0" w:line="240" w:lineRule="auto"/>
              <w:jc w:val="both"/>
              <w:rPr>
                <w:rFonts w:ascii="Calibri" w:eastAsia="Times New Roman" w:hAnsi="Calibri" w:cs="Arial"/>
                <w:lang w:eastAsia="en-US"/>
              </w:rPr>
            </w:pPr>
          </w:p>
        </w:tc>
        <w:tc>
          <w:tcPr>
            <w:tcW w:w="9323" w:type="dxa"/>
            <w:tcBorders>
              <w:bottom w:val="single" w:sz="4" w:space="0" w:color="auto"/>
            </w:tcBorders>
            <w:shd w:val="pct15" w:color="auto" w:fill="auto"/>
          </w:tcPr>
          <w:p w14:paraId="0B1FA163" w14:textId="77777777" w:rsidR="005C3382" w:rsidRPr="003A2F86" w:rsidRDefault="00F83CE2" w:rsidP="005C3382">
            <w:pPr>
              <w:tabs>
                <w:tab w:val="left" w:pos="567"/>
              </w:tabs>
              <w:spacing w:after="0" w:line="240" w:lineRule="auto"/>
              <w:jc w:val="both"/>
              <w:rPr>
                <w:rFonts w:ascii="Calibri" w:eastAsia="Times New Roman" w:hAnsi="Calibri" w:cs="Arial"/>
                <w:lang w:eastAsia="en-US"/>
              </w:rPr>
            </w:pPr>
            <w:r w:rsidRPr="003A2F86">
              <w:rPr>
                <w:rFonts w:ascii="Calibri" w:eastAsia="Calibri" w:hAnsi="Calibri" w:cs="Arial"/>
                <w:lang w:eastAsia="en-US"/>
              </w:rPr>
              <w:t>USTANOVA PREDŠKOLSKOG ODGOJA</w:t>
            </w:r>
          </w:p>
        </w:tc>
      </w:tr>
      <w:tr w:rsidR="00CC60DA" w:rsidRPr="003A2F86" w14:paraId="587F2760" w14:textId="77777777" w:rsidTr="00612DE8">
        <w:tc>
          <w:tcPr>
            <w:tcW w:w="1021" w:type="dxa"/>
            <w:shd w:val="solid" w:color="B4B4B4" w:fill="auto"/>
          </w:tcPr>
          <w:p w14:paraId="3EB6D3C4" w14:textId="77777777" w:rsidR="005C3382" w:rsidRPr="003A2F86" w:rsidRDefault="005C3382" w:rsidP="005C3382">
            <w:pPr>
              <w:spacing w:after="0" w:line="240" w:lineRule="auto"/>
              <w:jc w:val="both"/>
              <w:rPr>
                <w:rFonts w:ascii="Calibri" w:eastAsia="Times New Roman" w:hAnsi="Calibri" w:cs="Arial"/>
                <w:lang w:eastAsia="en-US"/>
              </w:rPr>
            </w:pPr>
          </w:p>
        </w:tc>
        <w:tc>
          <w:tcPr>
            <w:tcW w:w="915" w:type="dxa"/>
            <w:shd w:val="solid" w:color="B4B4B4" w:fill="auto"/>
          </w:tcPr>
          <w:p w14:paraId="06E6E6DD" w14:textId="77777777" w:rsidR="005C3382" w:rsidRPr="003A2F86" w:rsidRDefault="005C3382" w:rsidP="005C3382">
            <w:pPr>
              <w:spacing w:after="0" w:line="240" w:lineRule="auto"/>
              <w:jc w:val="both"/>
              <w:rPr>
                <w:rFonts w:ascii="Calibri" w:eastAsia="Times New Roman" w:hAnsi="Calibri" w:cs="Arial"/>
                <w:lang w:eastAsia="en-US"/>
              </w:rPr>
            </w:pPr>
          </w:p>
        </w:tc>
        <w:tc>
          <w:tcPr>
            <w:tcW w:w="1090" w:type="dxa"/>
            <w:shd w:val="solid" w:color="B4B4B4" w:fill="auto"/>
          </w:tcPr>
          <w:p w14:paraId="63336BE6" w14:textId="77777777" w:rsidR="005C3382" w:rsidRPr="003A2F86" w:rsidRDefault="005C3382" w:rsidP="005C3382">
            <w:pPr>
              <w:spacing w:after="0" w:line="240" w:lineRule="auto"/>
              <w:jc w:val="both"/>
              <w:rPr>
                <w:rFonts w:ascii="Calibri" w:eastAsia="Times New Roman" w:hAnsi="Calibri" w:cs="Arial"/>
                <w:lang w:eastAsia="en-US"/>
              </w:rPr>
            </w:pPr>
            <w:r w:rsidRPr="003A2F86">
              <w:rPr>
                <w:rFonts w:ascii="Calibri" w:eastAsia="Times New Roman" w:hAnsi="Calibri" w:cs="Arial"/>
                <w:lang w:eastAsia="en-US"/>
              </w:rPr>
              <w:t>PROGRAM</w:t>
            </w:r>
          </w:p>
        </w:tc>
        <w:tc>
          <w:tcPr>
            <w:tcW w:w="404" w:type="dxa"/>
            <w:shd w:val="solid" w:color="B4B4B4" w:fill="auto"/>
          </w:tcPr>
          <w:p w14:paraId="46BF3890" w14:textId="77777777" w:rsidR="005C3382" w:rsidRPr="003A2F86" w:rsidRDefault="005C3382" w:rsidP="005C3382">
            <w:pPr>
              <w:spacing w:after="0" w:line="240" w:lineRule="auto"/>
              <w:jc w:val="both"/>
              <w:rPr>
                <w:rFonts w:ascii="Calibri" w:eastAsia="Times New Roman" w:hAnsi="Calibri" w:cs="Arial"/>
                <w:lang w:eastAsia="en-US"/>
              </w:rPr>
            </w:pPr>
          </w:p>
        </w:tc>
        <w:tc>
          <w:tcPr>
            <w:tcW w:w="709" w:type="dxa"/>
            <w:shd w:val="solid" w:color="B4B4B4" w:fill="auto"/>
          </w:tcPr>
          <w:p w14:paraId="30E9B645" w14:textId="77777777" w:rsidR="005C3382" w:rsidRPr="003A2F86" w:rsidRDefault="005C3382" w:rsidP="005C3382">
            <w:pPr>
              <w:spacing w:after="0" w:line="240" w:lineRule="auto"/>
              <w:jc w:val="both"/>
              <w:rPr>
                <w:rFonts w:ascii="Calibri" w:eastAsia="Times New Roman" w:hAnsi="Calibri" w:cs="Arial"/>
                <w:lang w:eastAsia="en-US"/>
              </w:rPr>
            </w:pPr>
          </w:p>
        </w:tc>
        <w:tc>
          <w:tcPr>
            <w:tcW w:w="567" w:type="dxa"/>
            <w:shd w:val="solid" w:color="B4B4B4" w:fill="auto"/>
          </w:tcPr>
          <w:p w14:paraId="11023343" w14:textId="77777777" w:rsidR="005C3382" w:rsidRPr="003A2F86" w:rsidRDefault="005C3382" w:rsidP="005C3382">
            <w:pPr>
              <w:spacing w:after="0" w:line="240" w:lineRule="auto"/>
              <w:jc w:val="both"/>
              <w:rPr>
                <w:rFonts w:ascii="Calibri" w:eastAsia="Times New Roman" w:hAnsi="Calibri" w:cs="Arial"/>
                <w:b/>
                <w:lang w:eastAsia="en-US"/>
              </w:rPr>
            </w:pPr>
            <w:r w:rsidRPr="003A2F86">
              <w:rPr>
                <w:rFonts w:ascii="Calibri" w:eastAsia="Times New Roman" w:hAnsi="Calibri" w:cs="Arial"/>
                <w:b/>
                <w:lang w:eastAsia="en-US"/>
              </w:rPr>
              <w:t>2051</w:t>
            </w:r>
          </w:p>
        </w:tc>
        <w:tc>
          <w:tcPr>
            <w:tcW w:w="9323" w:type="dxa"/>
            <w:shd w:val="solid" w:color="B4B4B4" w:fill="auto"/>
          </w:tcPr>
          <w:p w14:paraId="1C753BAD" w14:textId="77777777" w:rsidR="005C3382" w:rsidRPr="003A2F86" w:rsidRDefault="005C3382" w:rsidP="005C3382">
            <w:pPr>
              <w:spacing w:after="0" w:line="240" w:lineRule="auto"/>
              <w:rPr>
                <w:rFonts w:ascii="Calibri" w:eastAsia="Times New Roman" w:hAnsi="Calibri" w:cs="Arial"/>
                <w:lang w:eastAsia="en-US"/>
              </w:rPr>
            </w:pPr>
            <w:r w:rsidRPr="003A2F86">
              <w:rPr>
                <w:rFonts w:ascii="Calibri" w:eastAsia="Times New Roman" w:hAnsi="Calibri" w:cs="Arial"/>
                <w:lang w:eastAsia="en-US"/>
              </w:rPr>
              <w:t>Odgoj, naobrazba i skrb o predškolskoj djeci</w:t>
            </w:r>
          </w:p>
        </w:tc>
      </w:tr>
    </w:tbl>
    <w:p w14:paraId="21166B50" w14:textId="77777777" w:rsidR="005C3382" w:rsidRPr="003A2F86" w:rsidRDefault="005C3382" w:rsidP="00B902D0">
      <w:pPr>
        <w:autoSpaceDE w:val="0"/>
        <w:autoSpaceDN w:val="0"/>
        <w:adjustRightInd w:val="0"/>
        <w:spacing w:after="0" w:line="240" w:lineRule="auto"/>
        <w:jc w:val="both"/>
        <w:rPr>
          <w:rFonts w:ascii="Arial" w:eastAsia="Times New Roman" w:hAnsi="Arial" w:cs="Arial"/>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915"/>
        <w:gridCol w:w="1090"/>
        <w:gridCol w:w="404"/>
        <w:gridCol w:w="709"/>
        <w:gridCol w:w="567"/>
        <w:gridCol w:w="9323"/>
      </w:tblGrid>
      <w:tr w:rsidR="00CC60DA" w:rsidRPr="003A2F86" w14:paraId="3CB59716" w14:textId="77777777" w:rsidTr="00612DE8">
        <w:tc>
          <w:tcPr>
            <w:tcW w:w="1021" w:type="dxa"/>
            <w:tcBorders>
              <w:bottom w:val="single" w:sz="4" w:space="0" w:color="auto"/>
            </w:tcBorders>
            <w:shd w:val="pct25" w:color="auto" w:fill="auto"/>
          </w:tcPr>
          <w:p w14:paraId="741FA2F1" w14:textId="77777777" w:rsidR="00D94A3F" w:rsidRPr="003A2F86" w:rsidRDefault="00D94A3F" w:rsidP="00612DE8">
            <w:pPr>
              <w:spacing w:after="0" w:line="240" w:lineRule="auto"/>
              <w:jc w:val="both"/>
              <w:rPr>
                <w:rFonts w:ascii="Calibri" w:eastAsia="Times New Roman" w:hAnsi="Calibri" w:cs="Arial"/>
                <w:b/>
                <w:i/>
                <w:lang w:eastAsia="en-US"/>
              </w:rPr>
            </w:pPr>
            <w:r w:rsidRPr="003A2F86">
              <w:rPr>
                <w:rFonts w:ascii="Calibri" w:eastAsia="Times New Roman" w:hAnsi="Calibri" w:cs="Arial"/>
                <w:b/>
                <w:i/>
                <w:lang w:eastAsia="en-US"/>
              </w:rPr>
              <w:t>RAZDJEL</w:t>
            </w:r>
          </w:p>
        </w:tc>
        <w:tc>
          <w:tcPr>
            <w:tcW w:w="915" w:type="dxa"/>
            <w:tcBorders>
              <w:bottom w:val="single" w:sz="4" w:space="0" w:color="auto"/>
            </w:tcBorders>
            <w:shd w:val="pct25" w:color="auto" w:fill="auto"/>
          </w:tcPr>
          <w:p w14:paraId="7CBAF14E" w14:textId="77777777" w:rsidR="00D94A3F" w:rsidRPr="003A2F86" w:rsidRDefault="00D94A3F" w:rsidP="00612DE8">
            <w:pPr>
              <w:spacing w:after="0" w:line="240" w:lineRule="auto"/>
              <w:jc w:val="both"/>
              <w:rPr>
                <w:rFonts w:ascii="Calibri" w:eastAsia="Times New Roman" w:hAnsi="Calibri" w:cs="Arial"/>
                <w:b/>
                <w:i/>
                <w:lang w:eastAsia="en-US"/>
              </w:rPr>
            </w:pPr>
          </w:p>
        </w:tc>
        <w:tc>
          <w:tcPr>
            <w:tcW w:w="1090" w:type="dxa"/>
            <w:tcBorders>
              <w:bottom w:val="single" w:sz="4" w:space="0" w:color="auto"/>
            </w:tcBorders>
            <w:shd w:val="pct25" w:color="auto" w:fill="auto"/>
          </w:tcPr>
          <w:p w14:paraId="2AC843FC" w14:textId="77777777" w:rsidR="00D94A3F" w:rsidRPr="003A2F86" w:rsidRDefault="00D94A3F" w:rsidP="00612DE8">
            <w:pPr>
              <w:spacing w:after="0" w:line="240" w:lineRule="auto"/>
              <w:jc w:val="both"/>
              <w:rPr>
                <w:rFonts w:ascii="Calibri" w:eastAsia="Times New Roman" w:hAnsi="Calibri" w:cs="Arial"/>
                <w:b/>
                <w:i/>
                <w:lang w:eastAsia="en-US"/>
              </w:rPr>
            </w:pPr>
          </w:p>
        </w:tc>
        <w:tc>
          <w:tcPr>
            <w:tcW w:w="404" w:type="dxa"/>
            <w:tcBorders>
              <w:bottom w:val="single" w:sz="4" w:space="0" w:color="auto"/>
            </w:tcBorders>
            <w:shd w:val="pct25" w:color="auto" w:fill="auto"/>
          </w:tcPr>
          <w:p w14:paraId="5FE4DDC2" w14:textId="77777777" w:rsidR="00D94A3F" w:rsidRPr="003A2F86" w:rsidRDefault="00D94A3F" w:rsidP="00612DE8">
            <w:pPr>
              <w:spacing w:after="0" w:line="240" w:lineRule="auto"/>
              <w:jc w:val="both"/>
              <w:rPr>
                <w:rFonts w:ascii="Calibri" w:eastAsia="Times New Roman" w:hAnsi="Calibri" w:cs="Arial"/>
                <w:b/>
                <w:i/>
                <w:lang w:eastAsia="en-US"/>
              </w:rPr>
            </w:pPr>
            <w:r w:rsidRPr="003A2F86">
              <w:rPr>
                <w:rFonts w:ascii="Calibri" w:eastAsia="Times New Roman" w:hAnsi="Calibri" w:cs="Arial"/>
                <w:b/>
                <w:i/>
                <w:lang w:eastAsia="en-US"/>
              </w:rPr>
              <w:t>030</w:t>
            </w:r>
          </w:p>
        </w:tc>
        <w:tc>
          <w:tcPr>
            <w:tcW w:w="709" w:type="dxa"/>
            <w:tcBorders>
              <w:bottom w:val="single" w:sz="4" w:space="0" w:color="auto"/>
            </w:tcBorders>
            <w:shd w:val="pct25" w:color="auto" w:fill="auto"/>
          </w:tcPr>
          <w:p w14:paraId="6A1C32B1" w14:textId="77777777" w:rsidR="00D94A3F" w:rsidRPr="003A2F86" w:rsidRDefault="00D94A3F" w:rsidP="00612DE8">
            <w:pPr>
              <w:spacing w:after="0" w:line="240" w:lineRule="auto"/>
              <w:jc w:val="both"/>
              <w:rPr>
                <w:rFonts w:ascii="Calibri" w:eastAsia="Times New Roman" w:hAnsi="Calibri" w:cs="Arial"/>
                <w:b/>
                <w:i/>
                <w:lang w:eastAsia="en-US"/>
              </w:rPr>
            </w:pPr>
          </w:p>
        </w:tc>
        <w:tc>
          <w:tcPr>
            <w:tcW w:w="567" w:type="dxa"/>
            <w:tcBorders>
              <w:bottom w:val="single" w:sz="4" w:space="0" w:color="auto"/>
            </w:tcBorders>
            <w:shd w:val="pct25" w:color="auto" w:fill="auto"/>
          </w:tcPr>
          <w:p w14:paraId="56D19A9F" w14:textId="77777777" w:rsidR="00D94A3F" w:rsidRPr="003A2F86" w:rsidRDefault="00D94A3F" w:rsidP="00612DE8">
            <w:pPr>
              <w:spacing w:after="0" w:line="240" w:lineRule="auto"/>
              <w:jc w:val="both"/>
              <w:rPr>
                <w:rFonts w:ascii="Calibri" w:eastAsia="Times New Roman" w:hAnsi="Calibri" w:cs="Arial"/>
                <w:b/>
                <w:i/>
                <w:lang w:eastAsia="en-US"/>
              </w:rPr>
            </w:pPr>
          </w:p>
        </w:tc>
        <w:tc>
          <w:tcPr>
            <w:tcW w:w="9323" w:type="dxa"/>
            <w:tcBorders>
              <w:bottom w:val="single" w:sz="4" w:space="0" w:color="auto"/>
            </w:tcBorders>
            <w:shd w:val="pct25" w:color="auto" w:fill="auto"/>
          </w:tcPr>
          <w:p w14:paraId="4225BC4C" w14:textId="77777777" w:rsidR="00D94A3F" w:rsidRPr="003A2F86" w:rsidRDefault="00D94A3F" w:rsidP="00D94A3F">
            <w:pPr>
              <w:spacing w:after="0" w:line="240" w:lineRule="auto"/>
              <w:jc w:val="both"/>
              <w:rPr>
                <w:rFonts w:ascii="Calibri" w:eastAsia="Times New Roman" w:hAnsi="Calibri" w:cs="Arial"/>
                <w:b/>
                <w:i/>
                <w:lang w:eastAsia="en-US"/>
              </w:rPr>
            </w:pPr>
            <w:r w:rsidRPr="003A2F86">
              <w:rPr>
                <w:rFonts w:ascii="Calibri" w:eastAsia="Calibri" w:hAnsi="Calibri" w:cs="Arial"/>
                <w:b/>
              </w:rPr>
              <w:t xml:space="preserve">UPRAVNI ODJEL ZA KOMUNALNI SUSTAV I GOSPODARENJE NEKRETNINAMA </w:t>
            </w:r>
          </w:p>
        </w:tc>
      </w:tr>
      <w:tr w:rsidR="00CC60DA" w:rsidRPr="003A2F86" w14:paraId="50387CD3" w14:textId="77777777" w:rsidTr="00612DE8">
        <w:tc>
          <w:tcPr>
            <w:tcW w:w="1021" w:type="dxa"/>
            <w:tcBorders>
              <w:bottom w:val="single" w:sz="4" w:space="0" w:color="auto"/>
            </w:tcBorders>
            <w:shd w:val="pct15" w:color="auto" w:fill="auto"/>
          </w:tcPr>
          <w:p w14:paraId="1D71FAEA" w14:textId="77777777" w:rsidR="00D94A3F" w:rsidRPr="003A2F86" w:rsidRDefault="00D94A3F" w:rsidP="00612DE8">
            <w:pPr>
              <w:spacing w:after="0" w:line="240" w:lineRule="auto"/>
              <w:jc w:val="both"/>
              <w:rPr>
                <w:rFonts w:ascii="Calibri" w:eastAsia="Times New Roman" w:hAnsi="Calibri" w:cs="Arial"/>
                <w:lang w:eastAsia="en-US"/>
              </w:rPr>
            </w:pPr>
          </w:p>
        </w:tc>
        <w:tc>
          <w:tcPr>
            <w:tcW w:w="915" w:type="dxa"/>
            <w:tcBorders>
              <w:bottom w:val="single" w:sz="4" w:space="0" w:color="auto"/>
            </w:tcBorders>
            <w:shd w:val="pct15" w:color="auto" w:fill="auto"/>
          </w:tcPr>
          <w:p w14:paraId="38B3A745" w14:textId="77777777" w:rsidR="00D94A3F" w:rsidRPr="003A2F86" w:rsidRDefault="00D94A3F" w:rsidP="00612DE8">
            <w:pPr>
              <w:spacing w:after="0" w:line="240" w:lineRule="auto"/>
              <w:jc w:val="both"/>
              <w:rPr>
                <w:rFonts w:ascii="Calibri" w:eastAsia="Times New Roman" w:hAnsi="Calibri" w:cs="Arial"/>
                <w:lang w:eastAsia="en-US"/>
              </w:rPr>
            </w:pPr>
            <w:r w:rsidRPr="003A2F86">
              <w:rPr>
                <w:rFonts w:ascii="Calibri" w:eastAsia="Times New Roman" w:hAnsi="Calibri" w:cs="Arial"/>
                <w:lang w:eastAsia="en-US"/>
              </w:rPr>
              <w:t>Glava</w:t>
            </w:r>
          </w:p>
        </w:tc>
        <w:tc>
          <w:tcPr>
            <w:tcW w:w="1090" w:type="dxa"/>
            <w:tcBorders>
              <w:bottom w:val="single" w:sz="4" w:space="0" w:color="auto"/>
            </w:tcBorders>
            <w:shd w:val="pct15" w:color="auto" w:fill="auto"/>
          </w:tcPr>
          <w:p w14:paraId="5F24C7C0" w14:textId="77777777" w:rsidR="00D94A3F" w:rsidRPr="003A2F86" w:rsidRDefault="00D94A3F" w:rsidP="00612DE8">
            <w:pPr>
              <w:spacing w:after="0" w:line="240" w:lineRule="auto"/>
              <w:jc w:val="both"/>
              <w:rPr>
                <w:rFonts w:ascii="Calibri" w:eastAsia="Times New Roman" w:hAnsi="Calibri" w:cs="Arial"/>
                <w:lang w:eastAsia="en-US"/>
              </w:rPr>
            </w:pPr>
          </w:p>
        </w:tc>
        <w:tc>
          <w:tcPr>
            <w:tcW w:w="404" w:type="dxa"/>
            <w:tcBorders>
              <w:bottom w:val="single" w:sz="4" w:space="0" w:color="auto"/>
            </w:tcBorders>
            <w:shd w:val="pct15" w:color="auto" w:fill="auto"/>
          </w:tcPr>
          <w:p w14:paraId="210FE7BE" w14:textId="77777777" w:rsidR="00D94A3F" w:rsidRPr="003A2F86" w:rsidRDefault="00D94A3F" w:rsidP="00612DE8">
            <w:pPr>
              <w:spacing w:after="0" w:line="240" w:lineRule="auto"/>
              <w:jc w:val="both"/>
              <w:rPr>
                <w:rFonts w:ascii="Calibri" w:eastAsia="Times New Roman" w:hAnsi="Calibri" w:cs="Arial"/>
                <w:lang w:eastAsia="en-US"/>
              </w:rPr>
            </w:pPr>
          </w:p>
        </w:tc>
        <w:tc>
          <w:tcPr>
            <w:tcW w:w="709" w:type="dxa"/>
            <w:tcBorders>
              <w:bottom w:val="single" w:sz="4" w:space="0" w:color="auto"/>
            </w:tcBorders>
            <w:shd w:val="pct15" w:color="auto" w:fill="auto"/>
          </w:tcPr>
          <w:p w14:paraId="7A3A3970" w14:textId="77777777" w:rsidR="00D94A3F" w:rsidRPr="003A2F86" w:rsidRDefault="00D94A3F" w:rsidP="00D94A3F">
            <w:pPr>
              <w:spacing w:after="0" w:line="240" w:lineRule="auto"/>
              <w:jc w:val="both"/>
              <w:rPr>
                <w:rFonts w:ascii="Calibri" w:eastAsia="Times New Roman" w:hAnsi="Calibri" w:cs="Arial"/>
                <w:b/>
                <w:lang w:eastAsia="en-US"/>
              </w:rPr>
            </w:pPr>
            <w:r w:rsidRPr="003A2F86">
              <w:rPr>
                <w:rFonts w:ascii="Calibri" w:eastAsia="Times New Roman" w:hAnsi="Calibri" w:cs="Arial"/>
                <w:b/>
                <w:lang w:eastAsia="en-US"/>
              </w:rPr>
              <w:t>030 02</w:t>
            </w:r>
          </w:p>
        </w:tc>
        <w:tc>
          <w:tcPr>
            <w:tcW w:w="567" w:type="dxa"/>
            <w:tcBorders>
              <w:bottom w:val="single" w:sz="4" w:space="0" w:color="auto"/>
            </w:tcBorders>
            <w:shd w:val="pct15" w:color="auto" w:fill="auto"/>
          </w:tcPr>
          <w:p w14:paraId="26BA8097" w14:textId="77777777" w:rsidR="00D94A3F" w:rsidRPr="003A2F86" w:rsidRDefault="00D94A3F" w:rsidP="00612DE8">
            <w:pPr>
              <w:spacing w:after="0" w:line="240" w:lineRule="auto"/>
              <w:jc w:val="both"/>
              <w:rPr>
                <w:rFonts w:ascii="Calibri" w:eastAsia="Times New Roman" w:hAnsi="Calibri" w:cs="Arial"/>
                <w:lang w:eastAsia="en-US"/>
              </w:rPr>
            </w:pPr>
          </w:p>
        </w:tc>
        <w:tc>
          <w:tcPr>
            <w:tcW w:w="9323" w:type="dxa"/>
            <w:tcBorders>
              <w:bottom w:val="single" w:sz="4" w:space="0" w:color="auto"/>
            </w:tcBorders>
            <w:shd w:val="pct15" w:color="auto" w:fill="auto"/>
          </w:tcPr>
          <w:p w14:paraId="5BE3E0EB" w14:textId="77777777" w:rsidR="00D94A3F" w:rsidRPr="003A2F86" w:rsidRDefault="00D94A3F" w:rsidP="00D94A3F">
            <w:pPr>
              <w:tabs>
                <w:tab w:val="left" w:pos="567"/>
              </w:tabs>
              <w:spacing w:after="0" w:line="240" w:lineRule="auto"/>
              <w:jc w:val="both"/>
              <w:rPr>
                <w:rFonts w:ascii="Calibri" w:eastAsia="Times New Roman" w:hAnsi="Calibri" w:cs="Arial"/>
                <w:lang w:eastAsia="en-US"/>
              </w:rPr>
            </w:pPr>
            <w:r w:rsidRPr="003A2F86">
              <w:rPr>
                <w:rFonts w:ascii="Calibri" w:eastAsia="Calibri" w:hAnsi="Calibri" w:cs="Arial"/>
                <w:lang w:eastAsia="en-US"/>
              </w:rPr>
              <w:t>USTANOVA ZA VATROGASNU DJELATNOST</w:t>
            </w:r>
          </w:p>
        </w:tc>
      </w:tr>
      <w:tr w:rsidR="00CC60DA" w:rsidRPr="003A2F86" w14:paraId="2714AA0D" w14:textId="77777777" w:rsidTr="00612DE8">
        <w:tc>
          <w:tcPr>
            <w:tcW w:w="1021" w:type="dxa"/>
            <w:shd w:val="solid" w:color="B4B4B4" w:fill="auto"/>
          </w:tcPr>
          <w:p w14:paraId="2219823F" w14:textId="77777777" w:rsidR="00D94A3F" w:rsidRPr="003A2F86" w:rsidRDefault="00D94A3F" w:rsidP="00612DE8">
            <w:pPr>
              <w:spacing w:after="0" w:line="240" w:lineRule="auto"/>
              <w:jc w:val="both"/>
              <w:rPr>
                <w:rFonts w:ascii="Calibri" w:eastAsia="Times New Roman" w:hAnsi="Calibri" w:cs="Arial"/>
                <w:lang w:eastAsia="en-US"/>
              </w:rPr>
            </w:pPr>
          </w:p>
        </w:tc>
        <w:tc>
          <w:tcPr>
            <w:tcW w:w="915" w:type="dxa"/>
            <w:shd w:val="solid" w:color="B4B4B4" w:fill="auto"/>
          </w:tcPr>
          <w:p w14:paraId="47A66B53" w14:textId="77777777" w:rsidR="00D94A3F" w:rsidRPr="003A2F86" w:rsidRDefault="00D94A3F" w:rsidP="00612DE8">
            <w:pPr>
              <w:spacing w:after="0" w:line="240" w:lineRule="auto"/>
              <w:jc w:val="both"/>
              <w:rPr>
                <w:rFonts w:ascii="Calibri" w:eastAsia="Times New Roman" w:hAnsi="Calibri" w:cs="Arial"/>
                <w:lang w:eastAsia="en-US"/>
              </w:rPr>
            </w:pPr>
          </w:p>
        </w:tc>
        <w:tc>
          <w:tcPr>
            <w:tcW w:w="1090" w:type="dxa"/>
            <w:shd w:val="solid" w:color="B4B4B4" w:fill="auto"/>
          </w:tcPr>
          <w:p w14:paraId="56703115" w14:textId="77777777" w:rsidR="00D94A3F" w:rsidRPr="003A2F86" w:rsidRDefault="00D94A3F" w:rsidP="00612DE8">
            <w:pPr>
              <w:spacing w:after="0" w:line="240" w:lineRule="auto"/>
              <w:jc w:val="both"/>
              <w:rPr>
                <w:rFonts w:ascii="Calibri" w:eastAsia="Times New Roman" w:hAnsi="Calibri" w:cs="Arial"/>
                <w:lang w:eastAsia="en-US"/>
              </w:rPr>
            </w:pPr>
            <w:r w:rsidRPr="003A2F86">
              <w:rPr>
                <w:rFonts w:ascii="Calibri" w:eastAsia="Times New Roman" w:hAnsi="Calibri" w:cs="Arial"/>
                <w:lang w:eastAsia="en-US"/>
              </w:rPr>
              <w:t>PROGRAM</w:t>
            </w:r>
          </w:p>
        </w:tc>
        <w:tc>
          <w:tcPr>
            <w:tcW w:w="404" w:type="dxa"/>
            <w:shd w:val="solid" w:color="B4B4B4" w:fill="auto"/>
          </w:tcPr>
          <w:p w14:paraId="2917DBFB" w14:textId="77777777" w:rsidR="00D94A3F" w:rsidRPr="003A2F86" w:rsidRDefault="00D94A3F" w:rsidP="00612DE8">
            <w:pPr>
              <w:spacing w:after="0" w:line="240" w:lineRule="auto"/>
              <w:jc w:val="both"/>
              <w:rPr>
                <w:rFonts w:ascii="Calibri" w:eastAsia="Times New Roman" w:hAnsi="Calibri" w:cs="Arial"/>
                <w:lang w:eastAsia="en-US"/>
              </w:rPr>
            </w:pPr>
          </w:p>
        </w:tc>
        <w:tc>
          <w:tcPr>
            <w:tcW w:w="709" w:type="dxa"/>
            <w:shd w:val="solid" w:color="B4B4B4" w:fill="auto"/>
          </w:tcPr>
          <w:p w14:paraId="135EEE80" w14:textId="77777777" w:rsidR="00D94A3F" w:rsidRPr="003A2F86" w:rsidRDefault="00D94A3F" w:rsidP="00612DE8">
            <w:pPr>
              <w:spacing w:after="0" w:line="240" w:lineRule="auto"/>
              <w:jc w:val="both"/>
              <w:rPr>
                <w:rFonts w:ascii="Calibri" w:eastAsia="Times New Roman" w:hAnsi="Calibri" w:cs="Arial"/>
                <w:b/>
                <w:lang w:eastAsia="en-US"/>
              </w:rPr>
            </w:pPr>
          </w:p>
        </w:tc>
        <w:tc>
          <w:tcPr>
            <w:tcW w:w="567" w:type="dxa"/>
            <w:shd w:val="solid" w:color="B4B4B4" w:fill="auto"/>
          </w:tcPr>
          <w:p w14:paraId="3BF04E76" w14:textId="77777777" w:rsidR="00D94A3F" w:rsidRPr="003A2F86" w:rsidRDefault="00D94A3F" w:rsidP="00D94A3F">
            <w:pPr>
              <w:spacing w:after="0" w:line="240" w:lineRule="auto"/>
              <w:jc w:val="both"/>
              <w:rPr>
                <w:rFonts w:ascii="Calibri" w:eastAsia="Times New Roman" w:hAnsi="Calibri" w:cs="Arial"/>
                <w:b/>
                <w:lang w:eastAsia="en-US"/>
              </w:rPr>
            </w:pPr>
            <w:r w:rsidRPr="003A2F86">
              <w:rPr>
                <w:rFonts w:ascii="Calibri" w:eastAsia="Times New Roman" w:hAnsi="Calibri" w:cs="Arial"/>
                <w:b/>
                <w:lang w:eastAsia="en-US"/>
              </w:rPr>
              <w:t>2071</w:t>
            </w:r>
          </w:p>
        </w:tc>
        <w:tc>
          <w:tcPr>
            <w:tcW w:w="9323" w:type="dxa"/>
            <w:shd w:val="solid" w:color="B4B4B4" w:fill="auto"/>
          </w:tcPr>
          <w:p w14:paraId="0CFED3EC" w14:textId="77777777" w:rsidR="00D94A3F" w:rsidRPr="003A2F86" w:rsidRDefault="00D94A3F" w:rsidP="00612DE8">
            <w:pPr>
              <w:spacing w:after="0" w:line="240" w:lineRule="auto"/>
              <w:rPr>
                <w:rFonts w:ascii="Calibri" w:eastAsia="Times New Roman" w:hAnsi="Calibri" w:cs="Arial"/>
                <w:lang w:eastAsia="en-US"/>
              </w:rPr>
            </w:pPr>
            <w:r w:rsidRPr="003A2F86">
              <w:rPr>
                <w:rFonts w:ascii="Calibri" w:eastAsia="Times New Roman" w:hAnsi="Calibri" w:cs="Arial"/>
                <w:lang w:eastAsia="en-US"/>
              </w:rPr>
              <w:t>Redovna djelatnost javne vatrogasne postrojbe</w:t>
            </w:r>
          </w:p>
        </w:tc>
      </w:tr>
    </w:tbl>
    <w:p w14:paraId="5ECC79BB" w14:textId="77777777" w:rsidR="005C3382" w:rsidRPr="003A2F86" w:rsidRDefault="005C3382" w:rsidP="00B902D0">
      <w:pPr>
        <w:autoSpaceDE w:val="0"/>
        <w:autoSpaceDN w:val="0"/>
        <w:adjustRightInd w:val="0"/>
        <w:spacing w:after="0" w:line="240" w:lineRule="auto"/>
        <w:jc w:val="both"/>
        <w:rPr>
          <w:rFonts w:ascii="Arial" w:eastAsia="Times New Roman" w:hAnsi="Arial" w:cs="Arial"/>
        </w:rPr>
      </w:pPr>
    </w:p>
    <w:p w14:paraId="6566DFEF" w14:textId="77777777" w:rsidR="00D94A3F" w:rsidRPr="003A2F86" w:rsidRDefault="00D94A3F" w:rsidP="00B902D0">
      <w:pPr>
        <w:autoSpaceDE w:val="0"/>
        <w:autoSpaceDN w:val="0"/>
        <w:adjustRightInd w:val="0"/>
        <w:spacing w:after="0" w:line="240" w:lineRule="auto"/>
        <w:jc w:val="both"/>
        <w:rPr>
          <w:rFonts w:ascii="Arial" w:eastAsia="Times New Roman" w:hAnsi="Arial" w:cs="Arial"/>
        </w:rPr>
      </w:pPr>
    </w:p>
    <w:p w14:paraId="36A9CE55" w14:textId="68B5E0C2" w:rsidR="00B902D0" w:rsidRPr="003A2F86" w:rsidRDefault="00795CD9" w:rsidP="00792D46">
      <w:pPr>
        <w:pStyle w:val="Naslov3"/>
        <w:jc w:val="center"/>
        <w:rPr>
          <w:rFonts w:ascii="Arial" w:eastAsia="Calibri" w:hAnsi="Arial" w:cs="Arial"/>
          <w:sz w:val="22"/>
          <w:lang w:val="hr-HR"/>
        </w:rPr>
      </w:pPr>
      <w:bookmarkStart w:id="339" w:name="_3.4.1._GLAVA:_(020"/>
      <w:bookmarkStart w:id="340" w:name="_Toc36842167"/>
      <w:bookmarkStart w:id="341" w:name="_Toc207707476"/>
      <w:bookmarkEnd w:id="339"/>
      <w:r w:rsidRPr="003A2F86">
        <w:rPr>
          <w:rFonts w:ascii="Arial" w:eastAsia="Calibri" w:hAnsi="Arial" w:cs="Arial"/>
          <w:sz w:val="22"/>
          <w:lang w:val="hr-HR"/>
        </w:rPr>
        <w:t>3</w:t>
      </w:r>
      <w:r w:rsidR="004147A4" w:rsidRPr="003A2F86">
        <w:rPr>
          <w:rFonts w:ascii="Arial" w:eastAsia="Calibri" w:hAnsi="Arial" w:cs="Arial"/>
          <w:sz w:val="22"/>
          <w:lang w:val="hr-HR"/>
        </w:rPr>
        <w:t>.</w:t>
      </w:r>
      <w:r w:rsidR="00375FAF" w:rsidRPr="003A2F86">
        <w:rPr>
          <w:rFonts w:ascii="Arial" w:eastAsia="Calibri" w:hAnsi="Arial" w:cs="Arial"/>
          <w:sz w:val="22"/>
          <w:lang w:val="hr-HR"/>
        </w:rPr>
        <w:t>4</w:t>
      </w:r>
      <w:r w:rsidR="004147A4" w:rsidRPr="003A2F86">
        <w:rPr>
          <w:rFonts w:ascii="Arial" w:eastAsia="Calibri" w:hAnsi="Arial" w:cs="Arial"/>
          <w:sz w:val="22"/>
          <w:lang w:val="hr-HR"/>
        </w:rPr>
        <w:t>.</w:t>
      </w:r>
      <w:r w:rsidR="002B6F08" w:rsidRPr="003A2F86">
        <w:rPr>
          <w:rFonts w:ascii="Arial" w:eastAsia="Calibri" w:hAnsi="Arial" w:cs="Arial"/>
          <w:sz w:val="22"/>
          <w:lang w:val="hr-HR"/>
        </w:rPr>
        <w:t>1.</w:t>
      </w:r>
      <w:r w:rsidR="004147A4" w:rsidRPr="003A2F86">
        <w:rPr>
          <w:rFonts w:ascii="Arial" w:eastAsia="Calibri" w:hAnsi="Arial" w:cs="Arial"/>
          <w:sz w:val="22"/>
          <w:lang w:val="hr-HR"/>
        </w:rPr>
        <w:tab/>
      </w:r>
      <w:r w:rsidR="00942057" w:rsidRPr="003A2F86">
        <w:rPr>
          <w:rFonts w:ascii="Arial" w:eastAsia="Calibri" w:hAnsi="Arial" w:cs="Arial"/>
          <w:sz w:val="22"/>
          <w:lang w:val="hr-HR"/>
        </w:rPr>
        <w:t xml:space="preserve">GLAVA: (020 03) USTANOVA U KULTURI - </w:t>
      </w:r>
      <w:r w:rsidR="0004293C" w:rsidRPr="003A2F86">
        <w:rPr>
          <w:rFonts w:ascii="Arial" w:eastAsia="Calibri" w:hAnsi="Arial" w:cs="Arial"/>
          <w:sz w:val="22"/>
          <w:lang w:val="hr-HR"/>
        </w:rPr>
        <w:t xml:space="preserve">MUZEJI </w:t>
      </w:r>
      <w:r w:rsidR="00626F9C" w:rsidRPr="003A2F86">
        <w:rPr>
          <w:rFonts w:ascii="Arial" w:eastAsia="Calibri" w:hAnsi="Arial" w:cs="Arial"/>
          <w:sz w:val="22"/>
          <w:lang w:val="hr-HR"/>
        </w:rPr>
        <w:t>I</w:t>
      </w:r>
      <w:r w:rsidR="0004293C" w:rsidRPr="003A2F86">
        <w:rPr>
          <w:rFonts w:ascii="Arial" w:eastAsia="Calibri" w:hAnsi="Arial" w:cs="Arial"/>
          <w:sz w:val="22"/>
          <w:lang w:val="hr-HR"/>
        </w:rPr>
        <w:t xml:space="preserve"> GALERIJE KONAVALA</w:t>
      </w:r>
      <w:bookmarkEnd w:id="340"/>
      <w:bookmarkEnd w:id="341"/>
    </w:p>
    <w:p w14:paraId="2B5D6C0C" w14:textId="77777777" w:rsidR="00B902D0" w:rsidRPr="003A2F86" w:rsidRDefault="00B902D0" w:rsidP="00B902D0">
      <w:pPr>
        <w:autoSpaceDE w:val="0"/>
        <w:autoSpaceDN w:val="0"/>
        <w:adjustRightInd w:val="0"/>
        <w:spacing w:after="0" w:line="240" w:lineRule="auto"/>
        <w:rPr>
          <w:rFonts w:ascii="Arial" w:eastAsia="Calibri" w:hAnsi="Arial" w:cs="Arial"/>
          <w:sz w:val="20"/>
          <w:szCs w:val="20"/>
        </w:rPr>
      </w:pPr>
    </w:p>
    <w:p w14:paraId="3A06C1AE" w14:textId="77777777" w:rsidR="00B902D0" w:rsidRPr="003A2F86" w:rsidRDefault="00B902D0" w:rsidP="00B902D0">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U razdjelu 020 UPRAVNI ODJEL ZA OPĆE POSLOVE, MJESNU SAMOUPRAVU I DRUŠTVENE DJELATNOSTI, glava (020 03) Ustanova u kulturi, izvodi se jedan Program. </w:t>
      </w:r>
    </w:p>
    <w:p w14:paraId="30410854" w14:textId="77777777" w:rsidR="00B902D0" w:rsidRPr="003A2F86" w:rsidRDefault="00B902D0" w:rsidP="00B902D0">
      <w:pPr>
        <w:spacing w:after="0" w:line="240" w:lineRule="auto"/>
        <w:jc w:val="both"/>
        <w:rPr>
          <w:rFonts w:ascii="Arial" w:eastAsia="Times New Roman" w:hAnsi="Arial" w:cs="Arial"/>
          <w:sz w:val="20"/>
          <w:szCs w:val="20"/>
          <w:lang w:eastAsia="en-US"/>
        </w:rPr>
      </w:pPr>
    </w:p>
    <w:p w14:paraId="49E9495E" w14:textId="77777777" w:rsidR="00B902D0" w:rsidRPr="003A2F86" w:rsidRDefault="00B902D0" w:rsidP="00C720E8">
      <w:pPr>
        <w:pStyle w:val="Naslov3"/>
        <w:rPr>
          <w:rFonts w:eastAsia="Calibri"/>
          <w:lang w:val="hr-HR"/>
        </w:rPr>
      </w:pPr>
      <w:bookmarkStart w:id="342" w:name="_Toc36842168"/>
      <w:bookmarkStart w:id="343" w:name="_Toc207707477"/>
      <w:r w:rsidRPr="003A2F86">
        <w:rPr>
          <w:rFonts w:eastAsia="Calibri"/>
          <w:lang w:val="hr-HR"/>
        </w:rPr>
        <w:t>Program (2031): Javna ustanova u kulturi</w:t>
      </w:r>
      <w:bookmarkEnd w:id="342"/>
      <w:bookmarkEnd w:id="343"/>
    </w:p>
    <w:p w14:paraId="3E777A64" w14:textId="77777777" w:rsidR="00B902D0" w:rsidRPr="003A2F86" w:rsidRDefault="00B902D0" w:rsidP="00B902D0">
      <w:pPr>
        <w:spacing w:after="0" w:line="240" w:lineRule="auto"/>
        <w:rPr>
          <w:rFonts w:ascii="Times New Roman" w:eastAsia="Times New Roman" w:hAnsi="Times New Roman" w:cs="Arial"/>
          <w:sz w:val="20"/>
          <w:szCs w:val="20"/>
          <w:lang w:eastAsia="en-US"/>
        </w:rPr>
      </w:pPr>
      <w:r w:rsidRPr="003A2F86">
        <w:rPr>
          <w:rFonts w:ascii="Times New Roman" w:eastAsia="Times New Roman" w:hAnsi="Times New Roman" w:cs="Arial"/>
          <w:noProof/>
          <w:sz w:val="20"/>
          <w:szCs w:val="20"/>
        </w:rPr>
        <w:drawing>
          <wp:inline distT="0" distB="0" distL="0" distR="0" wp14:anchorId="0B40EC49" wp14:editId="54B55069">
            <wp:extent cx="6381750" cy="161925"/>
            <wp:effectExtent l="0" t="0" r="0" b="9525"/>
            <wp:docPr id="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381750" cy="161925"/>
                    </a:xfrm>
                    <a:prstGeom prst="rect">
                      <a:avLst/>
                    </a:prstGeom>
                    <a:noFill/>
                    <a:ln>
                      <a:noFill/>
                    </a:ln>
                  </pic:spPr>
                </pic:pic>
              </a:graphicData>
            </a:graphic>
          </wp:inline>
        </w:drawing>
      </w:r>
    </w:p>
    <w:p w14:paraId="039520F6" w14:textId="77777777" w:rsidR="00142BE7" w:rsidRPr="003A2F86" w:rsidRDefault="00142BE7" w:rsidP="00C720E8">
      <w:pPr>
        <w:spacing w:after="0" w:line="240" w:lineRule="auto"/>
        <w:rPr>
          <w:rFonts w:ascii="Arial" w:eastAsia="Calibri" w:hAnsi="Arial" w:cs="Arial"/>
        </w:rPr>
      </w:pPr>
    </w:p>
    <w:tbl>
      <w:tblPr>
        <w:tblW w:w="143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500"/>
      </w:tblGrid>
      <w:tr w:rsidR="00BC217C" w:rsidRPr="003A2F86" w14:paraId="68472FBE" w14:textId="77777777" w:rsidTr="00BC217C">
        <w:tc>
          <w:tcPr>
            <w:tcW w:w="1843" w:type="dxa"/>
            <w:tcBorders>
              <w:top w:val="dotted" w:sz="4" w:space="0" w:color="auto"/>
              <w:left w:val="dotted" w:sz="4" w:space="0" w:color="auto"/>
              <w:bottom w:val="dotted" w:sz="4" w:space="0" w:color="auto"/>
              <w:right w:val="dotted" w:sz="4" w:space="0" w:color="auto"/>
            </w:tcBorders>
          </w:tcPr>
          <w:p w14:paraId="0B1E3FAF" w14:textId="77777777" w:rsidR="00BC217C" w:rsidRPr="003A2F86" w:rsidRDefault="00BC217C" w:rsidP="00142BE7">
            <w:pPr>
              <w:spacing w:after="0" w:line="240" w:lineRule="auto"/>
              <w:rPr>
                <w:rFonts w:ascii="Arial" w:eastAsia="Calibri" w:hAnsi="Arial" w:cs="Arial"/>
                <w:sz w:val="20"/>
                <w:szCs w:val="20"/>
              </w:rPr>
            </w:pPr>
            <w:r w:rsidRPr="003A2F86">
              <w:rPr>
                <w:rFonts w:ascii="Arial" w:eastAsia="Calibri" w:hAnsi="Arial" w:cs="Arial"/>
                <w:sz w:val="20"/>
                <w:szCs w:val="20"/>
              </w:rPr>
              <w:t>DJELOKRUG RADA:</w:t>
            </w:r>
          </w:p>
        </w:tc>
        <w:tc>
          <w:tcPr>
            <w:tcW w:w="12500" w:type="dxa"/>
          </w:tcPr>
          <w:p w14:paraId="313BF502" w14:textId="50CEB6A4" w:rsidR="00DA693C" w:rsidRPr="00DA693C" w:rsidRDefault="00DA693C" w:rsidP="00DA693C">
            <w:pPr>
              <w:spacing w:after="0" w:line="240" w:lineRule="auto"/>
              <w:jc w:val="both"/>
              <w:rPr>
                <w:rFonts w:ascii="Arial" w:eastAsia="Times New Roman" w:hAnsi="Arial" w:cs="Arial"/>
                <w:sz w:val="20"/>
                <w:szCs w:val="20"/>
                <w:lang w:eastAsia="en-US"/>
              </w:rPr>
            </w:pPr>
            <w:r>
              <w:rPr>
                <w:rFonts w:ascii="Arial" w:eastAsia="Times New Roman" w:hAnsi="Arial" w:cs="Arial"/>
                <w:sz w:val="20"/>
                <w:szCs w:val="20"/>
                <w:lang w:eastAsia="en-US"/>
              </w:rPr>
              <w:t>J</w:t>
            </w:r>
            <w:r w:rsidRPr="00DA693C">
              <w:rPr>
                <w:rFonts w:ascii="Arial" w:eastAsia="Times New Roman" w:hAnsi="Arial" w:cs="Arial"/>
                <w:sz w:val="20"/>
                <w:szCs w:val="20"/>
                <w:lang w:eastAsia="en-US"/>
              </w:rPr>
              <w:t>avna ustanova Muzeji i galerije Konavala osnovana je 2. travnja 1997.g. na temelju Odluke Općinskog vijeća Općine Konavle o osnivanju javne ustanove Muzeji i galerije Konavala (Klasa:011-01/97-01/01,Ur.broj: 2117/02-OV-97-1 od 2.travnja 1997.g.) i suglasnosti Ministarstva kulture (klasa:612-05/96-01-191, urbroj:532-03-3/4-97-01). Javna ustanova Muzeji i galerije Konavala obavlja svoju djelatnost, posluje i sudjeluje u pravnom prometu pod nazivom: Muzeji i galerije Konavala. Ustanova je osnovana sredstvima Zavičajne kuće Čilipi te rodne kuće i ateljea Vlaha Bukovca u kojoj je djelovala Galerija Bukovac te zbirkom rukotvorstva Vezilačke udruge Cavtat. Nakon Domovinskog rata Kuća Bukovac je obnovljena i otvorena za javnost 2004. godine, a Zavičajni muzej Konavala 2007. godine. Statut Muzeja donesen je 2016. godine na temelju Odluke o izmjenama i dopunama Odluke o osnivanju javne ustanove u kulturi Muzeji i galerije Konavala (klasa:021-05/02-16-154, urbroj:2117/02-01-16-1, od 31. ožujka 2016. godine) temeljem kojeg se Muzej organizira kroz ustrojbene jedinice, a sjedište muzeja je Gruda, Gruda 152. Ustrojbene jedinice su:</w:t>
            </w:r>
          </w:p>
          <w:p w14:paraId="643314FB" w14:textId="77777777" w:rsidR="00DA693C" w:rsidRPr="00DA693C" w:rsidRDefault="00DA693C" w:rsidP="00DA693C">
            <w:pPr>
              <w:numPr>
                <w:ilvl w:val="0"/>
                <w:numId w:val="40"/>
              </w:numPr>
              <w:spacing w:after="0" w:line="240" w:lineRule="auto"/>
              <w:contextualSpacing/>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xml:space="preserve">Zavičajni muzej Konavala, Beroje 49, Čilipi </w:t>
            </w:r>
          </w:p>
          <w:p w14:paraId="16B8D76C" w14:textId="77777777" w:rsidR="00DA693C" w:rsidRPr="00DA693C" w:rsidRDefault="00DA693C" w:rsidP="00DA693C">
            <w:pPr>
              <w:numPr>
                <w:ilvl w:val="0"/>
                <w:numId w:val="40"/>
              </w:numPr>
              <w:spacing w:after="0" w:line="240" w:lineRule="auto"/>
              <w:contextualSpacing/>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lastRenderedPageBreak/>
              <w:t>Kuća Bukovac, Bukovčeva 5, Cavtat</w:t>
            </w:r>
          </w:p>
          <w:p w14:paraId="4C2D15D6" w14:textId="77777777" w:rsidR="00DA693C" w:rsidRPr="00DA693C" w:rsidRDefault="00DA693C" w:rsidP="00DA693C">
            <w:pPr>
              <w:numPr>
                <w:ilvl w:val="0"/>
                <w:numId w:val="40"/>
              </w:numPr>
              <w:spacing w:after="0" w:line="240" w:lineRule="auto"/>
              <w:contextualSpacing/>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Odjel za arheologiju i spomeničku baštinu, Podvor 16, Pridvorje</w:t>
            </w:r>
          </w:p>
          <w:p w14:paraId="78AB9725" w14:textId="77777777" w:rsidR="00DA693C" w:rsidRPr="00DA693C" w:rsidRDefault="00DA693C" w:rsidP="00DA693C">
            <w:pPr>
              <w:numPr>
                <w:ilvl w:val="0"/>
                <w:numId w:val="40"/>
              </w:numPr>
              <w:spacing w:after="0" w:line="240" w:lineRule="auto"/>
              <w:contextualSpacing/>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Služba stručnih poslova, Gruda</w:t>
            </w:r>
          </w:p>
          <w:p w14:paraId="69D24F90" w14:textId="77777777" w:rsidR="00DA693C" w:rsidRPr="00DA693C" w:rsidRDefault="00DA693C" w:rsidP="00DA693C">
            <w:pPr>
              <w:numPr>
                <w:ilvl w:val="0"/>
                <w:numId w:val="40"/>
              </w:numPr>
              <w:spacing w:after="0" w:line="240" w:lineRule="auto"/>
              <w:contextualSpacing/>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Služba općih poslova, Gruda</w:t>
            </w:r>
          </w:p>
          <w:p w14:paraId="44434185" w14:textId="77777777" w:rsidR="00DA693C" w:rsidRPr="00DA693C" w:rsidRDefault="00DA693C" w:rsidP="00DA693C">
            <w:pPr>
              <w:spacing w:after="0" w:line="240" w:lineRule="auto"/>
              <w:jc w:val="both"/>
              <w:rPr>
                <w:rFonts w:ascii="Arial" w:hAnsi="Arial" w:cs="Arial"/>
                <w:sz w:val="20"/>
                <w:szCs w:val="20"/>
                <w:lang w:eastAsia="en-US"/>
              </w:rPr>
            </w:pPr>
            <w:r w:rsidRPr="00DA693C">
              <w:rPr>
                <w:rFonts w:ascii="Arial" w:eastAsia="Times New Roman" w:hAnsi="Arial" w:cs="Arial"/>
                <w:sz w:val="20"/>
                <w:szCs w:val="20"/>
                <w:lang w:eastAsia="en-US"/>
              </w:rPr>
              <w:t>Prema članku 17. st.1 i članku 31. Zakona o muzejima (NN 61/2018 i 98/2019) s</w:t>
            </w:r>
            <w:r w:rsidRPr="00DA693C">
              <w:rPr>
                <w:rFonts w:ascii="Arial" w:hAnsi="Arial" w:cs="Arial"/>
                <w:color w:val="231F20"/>
                <w:sz w:val="20"/>
                <w:szCs w:val="20"/>
                <w:lang w:eastAsia="en-US"/>
              </w:rPr>
              <w:t xml:space="preserve">redstva za rad muzeja osigurava </w:t>
            </w:r>
            <w:r w:rsidRPr="00DA693C">
              <w:rPr>
                <w:rFonts w:ascii="Arial" w:hAnsi="Arial" w:cs="Arial"/>
                <w:sz w:val="20"/>
                <w:szCs w:val="20"/>
                <w:lang w:eastAsia="en-US"/>
              </w:rPr>
              <w:t xml:space="preserve">osnivač, a sredstva za rad muzeja uključuju sredstva za plaće, sredstva za program, materijalne izdatke, kao i sredstva za investicije i investicijsko održavanje te otkup muzejske građe. </w:t>
            </w:r>
          </w:p>
          <w:p w14:paraId="63356EF8" w14:textId="77777777" w:rsidR="00DA693C" w:rsidRPr="00DA693C" w:rsidRDefault="00DA693C" w:rsidP="00DA693C">
            <w:pPr>
              <w:spacing w:after="0" w:line="240" w:lineRule="auto"/>
              <w:jc w:val="both"/>
              <w:rPr>
                <w:rFonts w:ascii="Arial" w:hAnsi="Arial" w:cs="Arial"/>
                <w:sz w:val="20"/>
                <w:szCs w:val="20"/>
                <w:lang w:eastAsia="en-US"/>
              </w:rPr>
            </w:pPr>
            <w:r w:rsidRPr="00DA693C">
              <w:rPr>
                <w:rFonts w:ascii="Arial" w:hAnsi="Arial" w:cs="Arial"/>
                <w:sz w:val="20"/>
                <w:szCs w:val="20"/>
                <w:lang w:eastAsia="en-US"/>
              </w:rPr>
              <w:t>Sredstva za posebne programe osigurava osnivač, a ovisno o svome interesu i tijela državne uprave u čijem je djelokrugu program koji se ostvaruje, kao i jedinice lokalne i područne (regionalne) samouprave na području kojih se program ostvaruje te druge pravne i fizičke osobe.</w:t>
            </w:r>
          </w:p>
          <w:p w14:paraId="13EF1044" w14:textId="77777777" w:rsidR="00DA693C" w:rsidRPr="00DA693C" w:rsidRDefault="00DA693C" w:rsidP="00DA693C">
            <w:pPr>
              <w:shd w:val="clear" w:color="auto" w:fill="FFFFFF"/>
              <w:spacing w:after="48" w:line="240" w:lineRule="auto"/>
              <w:jc w:val="both"/>
              <w:textAlignment w:val="baseline"/>
              <w:rPr>
                <w:rFonts w:ascii="Arial" w:eastAsia="Times New Roman" w:hAnsi="Arial" w:cs="Arial"/>
                <w:sz w:val="20"/>
                <w:szCs w:val="20"/>
              </w:rPr>
            </w:pPr>
            <w:r w:rsidRPr="00DA693C">
              <w:rPr>
                <w:rFonts w:ascii="Arial" w:eastAsia="Times New Roman" w:hAnsi="Arial" w:cs="Arial"/>
                <w:sz w:val="20"/>
                <w:szCs w:val="20"/>
              </w:rPr>
              <w:t>Ministarstvo nadležno za poslove kulture može sudjelovati u osiguranju sredstava za rad muzeja iz stavka 1. ovoga članka, za redovito očuvanje i održavanje muzejskoga prostora, predmeta ili muzejske zbirke koji su u državnome vlasništvu, a nalaze se u muzeju kojemu je osnivač jedinica lokalne i područne (regionalne) samouprave, o čemu se sklapa ugovor. Sredstva za rad muzeja osiguravaju se i iz vlastitih prihoda, sponzorstvima, darovanjima i na drugi način u skladu sa zakonom.</w:t>
            </w:r>
          </w:p>
          <w:p w14:paraId="554FB0F5"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Muzeji i galerije Konavala obavljaju muzejsku djelatnost, stručnu i tehničku zaštitu kulturne baštine na području Konavala prema Zakonu o muzejima te Zakonu o zaštiti kulturne baštine.</w:t>
            </w:r>
          </w:p>
          <w:p w14:paraId="6D447FF1" w14:textId="77777777" w:rsidR="00DA693C" w:rsidRPr="00DA693C" w:rsidRDefault="00DA693C" w:rsidP="00DA693C">
            <w:pPr>
              <w:spacing w:after="0" w:line="240" w:lineRule="auto"/>
              <w:jc w:val="both"/>
              <w:rPr>
                <w:rFonts w:ascii="Arial" w:eastAsia="Times New Roman" w:hAnsi="Arial" w:cs="Arial"/>
                <w:sz w:val="20"/>
                <w:szCs w:val="20"/>
                <w:lang w:eastAsia="en-US"/>
              </w:rPr>
            </w:pPr>
          </w:p>
          <w:p w14:paraId="77ED31B0"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Djelatnost Muzeja obuhvaća:</w:t>
            </w:r>
          </w:p>
          <w:p w14:paraId="619837EE"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sustavno prikupljanje, čuvanje i istraživanje civilizacijskih, kulturnih i prirodnih dobara od prapovijesnih vremena  do</w:t>
            </w:r>
          </w:p>
          <w:p w14:paraId="27A67D34"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xml:space="preserve">  najnovijeg doba, njihovu stručnu i znanstvenu obradu te sistematizaciju u zbirke, trajnu zaštitu muzejske građe,</w:t>
            </w:r>
          </w:p>
          <w:p w14:paraId="391E0244"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xml:space="preserve">  muzejske dokumentacije, muzejskih lokaliteta i nalazišta, njihovo neposredno i posredno predočavanje javnosti   </w:t>
            </w:r>
          </w:p>
          <w:p w14:paraId="4F49C464"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xml:space="preserve">  putem stalnih i povremenih izložbi te objavljivanje spoznaja o muzejskoj građi putem stručnih, znanstvenih i drugih</w:t>
            </w:r>
          </w:p>
          <w:p w14:paraId="5C001A6D"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xml:space="preserve">  sredstava informiranja</w:t>
            </w:r>
          </w:p>
          <w:p w14:paraId="0B02A93C"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istraživanje i prezentiranje graditeljskog nasljeđa Konavala</w:t>
            </w:r>
          </w:p>
          <w:p w14:paraId="002309EA"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xml:space="preserve">- organiziranje predavanja, tečajeva, seminara i drugih oblika edukativnog rada </w:t>
            </w:r>
          </w:p>
          <w:p w14:paraId="5B400270"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pripremanje i izdavanje kataloga i drugih stručnih i znanstvenih publikacija,</w:t>
            </w:r>
          </w:p>
          <w:p w14:paraId="41AA77E1"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održavanje nematerijalne baštine Konavala</w:t>
            </w:r>
          </w:p>
          <w:p w14:paraId="43C5B7E6"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pripremanje i izdavanje promidžbenih materijala za upoznavanje i promidžbu muzejske djelatnosti i muzejske građe,</w:t>
            </w:r>
          </w:p>
          <w:p w14:paraId="132CBF22"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xml:space="preserve">- stručnu i tehničku zaštitu pokretne i nepokretne kulturne baštine na području Konavala  u suradnji sa Ministarstvom  </w:t>
            </w:r>
          </w:p>
          <w:p w14:paraId="36AD4741"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xml:space="preserve">  kulture Konzervatorskim odjelom u Dubrovniku,</w:t>
            </w:r>
          </w:p>
          <w:p w14:paraId="30936287"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organiziranje kulturnih manifestacija na području Konavala.</w:t>
            </w:r>
          </w:p>
          <w:p w14:paraId="2137ADAF" w14:textId="77777777" w:rsidR="00DA693C" w:rsidRPr="00DA693C" w:rsidRDefault="00DA693C" w:rsidP="00DA693C">
            <w:pPr>
              <w:spacing w:after="0" w:line="240" w:lineRule="auto"/>
              <w:jc w:val="both"/>
              <w:rPr>
                <w:rFonts w:ascii="Arial" w:eastAsia="Times New Roman" w:hAnsi="Arial" w:cs="Arial"/>
                <w:sz w:val="20"/>
                <w:szCs w:val="20"/>
                <w:lang w:eastAsia="en-US"/>
              </w:rPr>
            </w:pPr>
          </w:p>
          <w:p w14:paraId="700EE7D7" w14:textId="77777777" w:rsidR="00DA693C" w:rsidRPr="00DA693C" w:rsidRDefault="00DA693C" w:rsidP="00DA693C">
            <w:pPr>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xml:space="preserve">Muzej obavlja svoju djelatnost u Kući Bukovac u Cavtatu, rodnoj kući i muzeju slikara Vlaha Bukovca u Cavtatu, Zavičajnom muzeju Konavala u Čilipima, Mauzoleju obitelji Račić u Cavtatu, prizemlju Franjevačkog samostana u Pridvorju gdje je smješten Odjel za arheologiju i spomeničku baštinu, prizemlju zgrade Doma u Pločicama gdje je smještena čuvaonica muzejske građe te u zgradi Matice Hrvatske na Grudi, Gruda 87 u kojoj je smješten Odjel općih i stručnih poslova. Također Muzej uz sve navedene muzejske lokacije skrbi i o arheološkim lokalitetima Jagnjilo i sv. Barbara te povremeno i o ostalim zaštićenim lokalitetima na području Konavala. </w:t>
            </w:r>
          </w:p>
          <w:p w14:paraId="06E11813" w14:textId="77777777" w:rsidR="00DA693C" w:rsidRPr="00DA693C" w:rsidRDefault="00DA693C" w:rsidP="00DA693C">
            <w:pPr>
              <w:spacing w:after="0" w:line="240" w:lineRule="auto"/>
              <w:jc w:val="both"/>
              <w:rPr>
                <w:rFonts w:ascii="Arial" w:eastAsia="Times New Roman" w:hAnsi="Arial" w:cs="Arial"/>
                <w:sz w:val="20"/>
                <w:szCs w:val="20"/>
                <w:lang w:eastAsia="en-US"/>
              </w:rPr>
            </w:pPr>
          </w:p>
          <w:p w14:paraId="046532D9" w14:textId="77777777" w:rsidR="00DA693C" w:rsidRPr="00DA693C" w:rsidRDefault="00DA693C" w:rsidP="00DA693C">
            <w:pPr>
              <w:spacing w:after="0" w:line="240" w:lineRule="auto"/>
              <w:jc w:val="both"/>
              <w:rPr>
                <w:rFonts w:ascii="Arial" w:eastAsia="Times New Roman" w:hAnsi="Arial" w:cs="Arial"/>
                <w:iCs/>
                <w:sz w:val="20"/>
                <w:szCs w:val="20"/>
                <w:u w:val="single"/>
                <w:lang w:eastAsia="en-US"/>
              </w:rPr>
            </w:pPr>
            <w:r w:rsidRPr="00DA693C">
              <w:rPr>
                <w:rFonts w:ascii="Arial" w:eastAsia="Times New Roman" w:hAnsi="Arial" w:cs="Arial"/>
                <w:b/>
                <w:iCs/>
                <w:sz w:val="20"/>
                <w:szCs w:val="20"/>
                <w:u w:val="single"/>
                <w:lang w:eastAsia="en-US"/>
              </w:rPr>
              <w:t xml:space="preserve">Zavičajni muzej Konavala, </w:t>
            </w:r>
            <w:r w:rsidRPr="00DA693C">
              <w:rPr>
                <w:rFonts w:ascii="Arial" w:eastAsia="Times New Roman" w:hAnsi="Arial" w:cs="Arial"/>
                <w:iCs/>
                <w:sz w:val="20"/>
                <w:szCs w:val="20"/>
                <w:u w:val="single"/>
                <w:lang w:eastAsia="en-US"/>
              </w:rPr>
              <w:t xml:space="preserve"> Beroje 49, Čilipi</w:t>
            </w:r>
          </w:p>
          <w:p w14:paraId="395C6D2C" w14:textId="77777777" w:rsidR="00DA693C" w:rsidRPr="00DA693C" w:rsidRDefault="00DA693C" w:rsidP="00DA693C">
            <w:pPr>
              <w:spacing w:after="0" w:line="240" w:lineRule="auto"/>
              <w:jc w:val="both"/>
              <w:rPr>
                <w:rFonts w:ascii="Arial" w:eastAsia="Times New Roman" w:hAnsi="Arial" w:cs="Arial"/>
                <w:iCs/>
                <w:sz w:val="20"/>
                <w:szCs w:val="20"/>
                <w:u w:val="single"/>
                <w:lang w:eastAsia="en-US"/>
              </w:rPr>
            </w:pPr>
            <w:r w:rsidRPr="00DA693C">
              <w:rPr>
                <w:rFonts w:ascii="Arial" w:eastAsia="Times New Roman" w:hAnsi="Arial" w:cs="Arial"/>
                <w:iCs/>
                <w:sz w:val="20"/>
                <w:szCs w:val="20"/>
                <w:lang w:eastAsia="en-US"/>
              </w:rPr>
              <w:t>Zavičajni muzej Konaval je etnografski muzej u kojem se sakuplja, čuva, izlaže, proučava, objavljuje i popularizira etnografska građa, tj. predmeti koji svjedoče o načinu života i kulturi stanovništva s područja Konavala.</w:t>
            </w:r>
          </w:p>
          <w:p w14:paraId="29D50F9F" w14:textId="77777777" w:rsidR="00DA693C" w:rsidRPr="00DA693C" w:rsidRDefault="00DA693C" w:rsidP="00DA693C">
            <w:pPr>
              <w:spacing w:after="0" w:line="240" w:lineRule="auto"/>
              <w:jc w:val="both"/>
              <w:rPr>
                <w:rFonts w:ascii="Arial" w:eastAsia="Times New Roman" w:hAnsi="Arial" w:cs="Arial"/>
                <w:iCs/>
                <w:sz w:val="20"/>
                <w:szCs w:val="20"/>
                <w:lang w:eastAsia="en-US"/>
              </w:rPr>
            </w:pPr>
            <w:r w:rsidRPr="00DA693C">
              <w:rPr>
                <w:rFonts w:ascii="Arial" w:eastAsia="Times New Roman" w:hAnsi="Arial" w:cs="Arial"/>
                <w:iCs/>
                <w:sz w:val="20"/>
                <w:szCs w:val="20"/>
                <w:lang w:eastAsia="en-US"/>
              </w:rPr>
              <w:lastRenderedPageBreak/>
              <w:t>Prema sadržaju zbirki Zavičajni muzej pretežito čuva tekstilnu građu u obliku tradicijskog odijevanja, rukotvorstva te lokalne proizvodnje tekstilnih vlakana uopće. Uključivanjem lokalnog stanovništva kroz programe nastoji se poticati zajednicu na zajedničko održanje nematerijalne baštine Konavala. Muzejski postav je organiziran kroz stalni postav (na katu) i povremene izložbe u prizemlju zgrade. Stalni postav predstavlja oblik i razvoj tradicijskog odijevanja u Konavlima uz dodatak prezentacijskog dijela Vezilačke udruge Cavtat. Kroz povremene izložbe obrađuje se građa iz vlastitih ili tuđih izvora koja je dio tradicijskog života u Konavlima. Muzejska građa je raspoređena u sljedeće zbirke:</w:t>
            </w:r>
          </w:p>
          <w:p w14:paraId="6DC50A0B" w14:textId="77777777" w:rsidR="00DA693C" w:rsidRPr="00DA693C" w:rsidRDefault="00DA693C" w:rsidP="00DA693C">
            <w:pPr>
              <w:numPr>
                <w:ilvl w:val="0"/>
                <w:numId w:val="40"/>
              </w:numPr>
              <w:spacing w:after="0" w:line="240" w:lineRule="auto"/>
              <w:contextualSpacing/>
              <w:jc w:val="both"/>
              <w:rPr>
                <w:rFonts w:ascii="Arial" w:eastAsia="Times New Roman" w:hAnsi="Arial" w:cs="Arial"/>
                <w:iCs/>
                <w:sz w:val="20"/>
                <w:szCs w:val="20"/>
                <w:lang w:eastAsia="en-US"/>
              </w:rPr>
            </w:pPr>
            <w:r w:rsidRPr="00DA693C">
              <w:rPr>
                <w:rFonts w:ascii="Arial" w:eastAsia="Times New Roman" w:hAnsi="Arial" w:cs="Arial"/>
                <w:iCs/>
                <w:sz w:val="20"/>
                <w:szCs w:val="20"/>
                <w:lang w:eastAsia="en-US"/>
              </w:rPr>
              <w:t>Etnografska zbirka</w:t>
            </w:r>
          </w:p>
          <w:p w14:paraId="3B1F4C8B" w14:textId="77777777" w:rsidR="00DA693C" w:rsidRPr="00DA693C" w:rsidRDefault="00DA693C" w:rsidP="00DA693C">
            <w:pPr>
              <w:numPr>
                <w:ilvl w:val="0"/>
                <w:numId w:val="40"/>
              </w:numPr>
              <w:spacing w:after="0" w:line="240" w:lineRule="auto"/>
              <w:contextualSpacing/>
              <w:jc w:val="both"/>
              <w:rPr>
                <w:rFonts w:ascii="Arial" w:eastAsia="Times New Roman" w:hAnsi="Arial" w:cs="Arial"/>
                <w:iCs/>
                <w:sz w:val="20"/>
                <w:szCs w:val="20"/>
                <w:lang w:eastAsia="en-US"/>
              </w:rPr>
            </w:pPr>
            <w:r w:rsidRPr="00DA693C">
              <w:rPr>
                <w:rFonts w:ascii="Arial" w:eastAsia="Times New Roman" w:hAnsi="Arial" w:cs="Arial"/>
                <w:iCs/>
                <w:sz w:val="20"/>
                <w:szCs w:val="20"/>
                <w:lang w:eastAsia="en-US"/>
              </w:rPr>
              <w:t>Zbirka Vezilačke udruge Cavtat</w:t>
            </w:r>
          </w:p>
          <w:p w14:paraId="3AC856C6" w14:textId="77777777" w:rsidR="00DA693C" w:rsidRPr="00DA693C" w:rsidRDefault="00DA693C" w:rsidP="00DA693C">
            <w:pPr>
              <w:numPr>
                <w:ilvl w:val="0"/>
                <w:numId w:val="40"/>
              </w:numPr>
              <w:spacing w:after="0" w:line="240" w:lineRule="auto"/>
              <w:contextualSpacing/>
              <w:jc w:val="both"/>
              <w:rPr>
                <w:rFonts w:ascii="Arial" w:eastAsia="Times New Roman" w:hAnsi="Arial" w:cs="Arial"/>
                <w:iCs/>
                <w:sz w:val="20"/>
                <w:szCs w:val="20"/>
                <w:lang w:eastAsia="en-US"/>
              </w:rPr>
            </w:pPr>
            <w:r w:rsidRPr="00DA693C">
              <w:rPr>
                <w:rFonts w:ascii="Arial" w:eastAsia="Times New Roman" w:hAnsi="Arial" w:cs="Arial"/>
                <w:iCs/>
                <w:sz w:val="20"/>
                <w:szCs w:val="20"/>
                <w:lang w:eastAsia="en-US"/>
              </w:rPr>
              <w:t>Istraživačko – dokumentacijska zbirka</w:t>
            </w:r>
          </w:p>
          <w:p w14:paraId="32B5C172" w14:textId="77777777" w:rsidR="00DA693C" w:rsidRPr="00DA693C" w:rsidRDefault="00DA693C" w:rsidP="00DA693C">
            <w:pPr>
              <w:tabs>
                <w:tab w:val="left" w:pos="-1440"/>
              </w:tabs>
              <w:spacing w:after="0" w:line="240" w:lineRule="auto"/>
              <w:jc w:val="both"/>
              <w:rPr>
                <w:rFonts w:ascii="Arial" w:eastAsia="Times New Roman" w:hAnsi="Arial" w:cs="Arial"/>
                <w:iCs/>
                <w:sz w:val="20"/>
                <w:szCs w:val="20"/>
                <w:lang w:eastAsia="en-US"/>
              </w:rPr>
            </w:pPr>
            <w:r w:rsidRPr="00DA693C">
              <w:rPr>
                <w:rFonts w:ascii="Arial" w:eastAsia="Times New Roman" w:hAnsi="Arial" w:cs="Arial"/>
                <w:iCs/>
                <w:sz w:val="20"/>
                <w:szCs w:val="20"/>
                <w:lang w:eastAsia="en-US"/>
              </w:rPr>
              <w:t>U sklopu muzeja nalazi se muzejska prodavaonica.</w:t>
            </w:r>
          </w:p>
          <w:p w14:paraId="01CB1240" w14:textId="77777777" w:rsidR="00DA693C" w:rsidRPr="00DA693C" w:rsidRDefault="00DA693C" w:rsidP="00DA693C">
            <w:pPr>
              <w:tabs>
                <w:tab w:val="left" w:pos="-1440"/>
              </w:tabs>
              <w:spacing w:after="0" w:line="240" w:lineRule="auto"/>
              <w:jc w:val="both"/>
              <w:rPr>
                <w:rFonts w:ascii="Arial" w:eastAsia="Times New Roman" w:hAnsi="Arial" w:cs="Arial"/>
                <w:strike/>
                <w:sz w:val="20"/>
                <w:szCs w:val="20"/>
                <w:lang w:eastAsia="en-US"/>
              </w:rPr>
            </w:pPr>
          </w:p>
          <w:p w14:paraId="6687E0F0" w14:textId="77777777" w:rsidR="00DA693C" w:rsidRPr="00DA693C" w:rsidRDefault="00DA693C" w:rsidP="00DA693C">
            <w:pPr>
              <w:spacing w:after="0" w:line="240" w:lineRule="auto"/>
              <w:jc w:val="both"/>
              <w:rPr>
                <w:rFonts w:ascii="Arial" w:eastAsia="Times New Roman" w:hAnsi="Arial" w:cs="Arial"/>
                <w:b/>
                <w:bCs/>
                <w:iCs/>
                <w:sz w:val="20"/>
                <w:szCs w:val="20"/>
                <w:lang w:eastAsia="en-US"/>
              </w:rPr>
            </w:pPr>
            <w:r w:rsidRPr="00DA693C">
              <w:rPr>
                <w:rFonts w:ascii="Arial" w:eastAsia="Times New Roman" w:hAnsi="Arial" w:cs="Arial"/>
                <w:b/>
                <w:bCs/>
                <w:iCs/>
                <w:sz w:val="20"/>
                <w:szCs w:val="20"/>
                <w:u w:val="single"/>
                <w:lang w:eastAsia="en-US"/>
              </w:rPr>
              <w:t xml:space="preserve">Kuća Bukovac, </w:t>
            </w:r>
            <w:r w:rsidRPr="00DA693C">
              <w:rPr>
                <w:rFonts w:ascii="Arial" w:eastAsia="Times New Roman" w:hAnsi="Arial" w:cs="Arial"/>
                <w:iCs/>
                <w:sz w:val="20"/>
                <w:szCs w:val="20"/>
                <w:u w:val="single"/>
                <w:lang w:eastAsia="en-US"/>
              </w:rPr>
              <w:t>Bukovčeva 5, Cavtat</w:t>
            </w:r>
          </w:p>
          <w:p w14:paraId="05CD402B" w14:textId="77777777" w:rsidR="00DA693C" w:rsidRPr="00DA693C" w:rsidRDefault="00DA693C" w:rsidP="00DA693C">
            <w:pPr>
              <w:spacing w:after="0" w:line="240" w:lineRule="auto"/>
              <w:jc w:val="both"/>
              <w:rPr>
                <w:rFonts w:ascii="Arial" w:hAnsi="Arial" w:cs="Arial"/>
                <w:sz w:val="20"/>
                <w:szCs w:val="20"/>
                <w:lang w:eastAsia="en-US"/>
              </w:rPr>
            </w:pPr>
            <w:r w:rsidRPr="00DA693C">
              <w:rPr>
                <w:rFonts w:ascii="Arial" w:hAnsi="Arial" w:cs="Arial"/>
                <w:sz w:val="20"/>
                <w:szCs w:val="20"/>
                <w:shd w:val="clear" w:color="auto" w:fill="FFFFFF"/>
                <w:lang w:eastAsia="en-US"/>
              </w:rPr>
              <w:t xml:space="preserve">Kuća Bukovac je rodna kuća i muzej Vlaha Bukovca (Cavtat, 1855. – Prag, 1922.), jednog od najznačajnijih hrvatskih slikara i začetnika hrvatskog modernog slikarstva. </w:t>
            </w:r>
            <w:r w:rsidRPr="00DA693C">
              <w:rPr>
                <w:rFonts w:ascii="Arial" w:hAnsi="Arial" w:cs="Arial"/>
                <w:sz w:val="20"/>
                <w:szCs w:val="20"/>
                <w:lang w:eastAsia="en-US"/>
              </w:rPr>
              <w:t xml:space="preserve">Stalni postav muzeja čini ostavština slikara: Bukovčeva djela koja prezentiraju sve faze slikarevog opusa, zbirka namještaja i osobnih predmeta, velika arhivska zbirka te zidni oslici. Arhivska zbirka  je nezaobilazno mjesto svim znanstvenicima koji se bave životom i djelom  Vlaha Bukovca budući da se u njoj čuva sveukupna dokumentacija, rukopisi, koorespodencija i ostali predmeti važni za život i rad Vlaha Bukovca i njegove obitelji. U Kući Bukovac se čuvaju i umjetnička djela Bukovčevih kćeri, Ivanke i Jelice koje su također bile akademske slikarice. </w:t>
            </w:r>
            <w:r w:rsidRPr="00DA693C">
              <w:rPr>
                <w:rFonts w:ascii="Arial" w:eastAsia="Times New Roman" w:hAnsi="Arial" w:cs="Arial"/>
                <w:iCs/>
                <w:sz w:val="20"/>
                <w:szCs w:val="20"/>
                <w:lang w:eastAsia="en-US"/>
              </w:rPr>
              <w:t>Muzejska građa je raspoređena u sljedeće zbirke:</w:t>
            </w:r>
          </w:p>
          <w:p w14:paraId="2E236818" w14:textId="77777777" w:rsidR="00DA693C" w:rsidRPr="00DA693C" w:rsidRDefault="00DA693C" w:rsidP="00DA693C">
            <w:pPr>
              <w:tabs>
                <w:tab w:val="left" w:pos="-1440"/>
              </w:tabs>
              <w:spacing w:after="0" w:line="240" w:lineRule="auto"/>
              <w:ind w:left="283"/>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zbirka slika,</w:t>
            </w:r>
          </w:p>
          <w:p w14:paraId="1F5D3C95" w14:textId="77777777" w:rsidR="00DA693C" w:rsidRPr="00DA693C" w:rsidRDefault="00DA693C" w:rsidP="00DA693C">
            <w:pPr>
              <w:tabs>
                <w:tab w:val="left" w:pos="-1440"/>
              </w:tabs>
              <w:spacing w:after="0" w:line="240" w:lineRule="auto"/>
              <w:ind w:left="283"/>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zbirka crteža i akvarela,</w:t>
            </w:r>
          </w:p>
          <w:p w14:paraId="56E9EE21" w14:textId="77777777" w:rsidR="00DA693C" w:rsidRPr="00DA693C" w:rsidRDefault="00DA693C" w:rsidP="00DA693C">
            <w:pPr>
              <w:tabs>
                <w:tab w:val="left" w:pos="-1440"/>
              </w:tabs>
              <w:spacing w:after="0" w:line="240" w:lineRule="auto"/>
              <w:ind w:firstLine="283"/>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zbirka fotografija,</w:t>
            </w:r>
          </w:p>
          <w:p w14:paraId="67614532" w14:textId="77777777" w:rsidR="00DA693C" w:rsidRPr="00DA693C" w:rsidRDefault="00DA693C" w:rsidP="00DA693C">
            <w:pPr>
              <w:tabs>
                <w:tab w:val="left" w:pos="-1440"/>
              </w:tabs>
              <w:spacing w:after="0" w:line="240" w:lineRule="auto"/>
              <w:ind w:firstLine="283"/>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zbirka namještaja i uporabnih predmeta,</w:t>
            </w:r>
          </w:p>
          <w:p w14:paraId="19A88DDF" w14:textId="77777777" w:rsidR="00DA693C" w:rsidRPr="00DA693C" w:rsidRDefault="00DA693C" w:rsidP="00DA693C">
            <w:pPr>
              <w:tabs>
                <w:tab w:val="left" w:pos="-1440"/>
              </w:tabs>
              <w:spacing w:after="0" w:line="240" w:lineRule="auto"/>
              <w:ind w:firstLine="283"/>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arhivska zbirka.</w:t>
            </w:r>
          </w:p>
          <w:p w14:paraId="72575D67" w14:textId="77777777" w:rsidR="00DA693C" w:rsidRPr="00DA693C" w:rsidRDefault="00DA693C" w:rsidP="00DA693C">
            <w:pPr>
              <w:tabs>
                <w:tab w:val="left" w:pos="-1440"/>
              </w:tabs>
              <w:spacing w:after="0" w:line="240" w:lineRule="auto"/>
              <w:jc w:val="both"/>
              <w:rPr>
                <w:rFonts w:ascii="Arial" w:eastAsia="Times New Roman" w:hAnsi="Arial" w:cs="Arial"/>
                <w:iCs/>
                <w:sz w:val="20"/>
                <w:szCs w:val="20"/>
                <w:lang w:eastAsia="en-US"/>
              </w:rPr>
            </w:pPr>
            <w:r w:rsidRPr="00DA693C">
              <w:rPr>
                <w:rFonts w:ascii="Arial" w:eastAsia="Times New Roman" w:hAnsi="Arial" w:cs="Arial"/>
                <w:iCs/>
                <w:sz w:val="20"/>
                <w:szCs w:val="20"/>
                <w:lang w:eastAsia="en-US"/>
              </w:rPr>
              <w:t>Muzejski postav je organiziran kroz stalni postav i povremene izložbe u prizemlju zgrade u prostoru galerije. U stalnom postavu osim djela Vlaha Bukovca i njegovih kćeri, prezentira se kultura stanovanja s kraja 19. stoljeća, prvi profesionalni slikarski atelje na ovome području, kao i reprezentativna jedinica urbane matrice Cavtata koja sa zgradom uključuje i dva vrta.</w:t>
            </w:r>
          </w:p>
          <w:p w14:paraId="1CA73DDE" w14:textId="77777777" w:rsidR="00DA693C" w:rsidRPr="00DA693C" w:rsidRDefault="00DA693C" w:rsidP="00DA693C">
            <w:pPr>
              <w:tabs>
                <w:tab w:val="left" w:pos="-1440"/>
              </w:tabs>
              <w:spacing w:after="0" w:line="240" w:lineRule="auto"/>
              <w:jc w:val="both"/>
              <w:rPr>
                <w:rFonts w:ascii="Arial" w:eastAsia="Times New Roman" w:hAnsi="Arial" w:cs="Arial"/>
                <w:iCs/>
                <w:sz w:val="20"/>
                <w:szCs w:val="20"/>
                <w:lang w:eastAsia="en-US"/>
              </w:rPr>
            </w:pPr>
            <w:r w:rsidRPr="00DA693C">
              <w:rPr>
                <w:rFonts w:ascii="Arial" w:eastAsia="Times New Roman" w:hAnsi="Arial" w:cs="Arial"/>
                <w:iCs/>
                <w:sz w:val="20"/>
                <w:szCs w:val="20"/>
                <w:lang w:eastAsia="en-US"/>
              </w:rPr>
              <w:t>U sklopu muzeja nalazi se muzejska prodavaonica.</w:t>
            </w:r>
          </w:p>
          <w:p w14:paraId="56FD3474" w14:textId="77777777" w:rsidR="00DA693C" w:rsidRPr="00DA693C" w:rsidRDefault="00DA693C" w:rsidP="00DA693C">
            <w:pPr>
              <w:tabs>
                <w:tab w:val="left" w:pos="-1440"/>
              </w:tabs>
              <w:spacing w:after="0" w:line="240" w:lineRule="auto"/>
              <w:jc w:val="both"/>
              <w:rPr>
                <w:rFonts w:ascii="Arial" w:eastAsia="Times New Roman" w:hAnsi="Arial" w:cs="Arial"/>
                <w:b/>
                <w:iCs/>
                <w:sz w:val="20"/>
                <w:szCs w:val="20"/>
                <w:lang w:eastAsia="en-US"/>
              </w:rPr>
            </w:pPr>
          </w:p>
          <w:p w14:paraId="4AD238EE" w14:textId="77777777" w:rsidR="00DA693C" w:rsidRPr="00DA693C" w:rsidRDefault="00DA693C" w:rsidP="00DA693C">
            <w:pPr>
              <w:tabs>
                <w:tab w:val="left" w:pos="-1440"/>
              </w:tabs>
              <w:spacing w:after="0" w:line="240" w:lineRule="auto"/>
              <w:jc w:val="both"/>
              <w:rPr>
                <w:rFonts w:ascii="Arial" w:eastAsia="Times New Roman" w:hAnsi="Arial" w:cs="Arial"/>
                <w:b/>
                <w:iCs/>
                <w:sz w:val="20"/>
                <w:szCs w:val="20"/>
                <w:u w:val="single"/>
                <w:lang w:eastAsia="en-US"/>
              </w:rPr>
            </w:pPr>
            <w:r w:rsidRPr="00DA693C">
              <w:rPr>
                <w:rFonts w:ascii="Arial" w:eastAsia="Times New Roman" w:hAnsi="Arial" w:cs="Arial"/>
                <w:b/>
                <w:iCs/>
                <w:sz w:val="20"/>
                <w:szCs w:val="20"/>
                <w:u w:val="single"/>
                <w:lang w:eastAsia="en-US"/>
              </w:rPr>
              <w:t xml:space="preserve">Odjel za arheologiju i spomeničku baštinu, </w:t>
            </w:r>
            <w:r w:rsidRPr="00DA693C">
              <w:rPr>
                <w:rFonts w:ascii="Arial" w:eastAsia="Times New Roman" w:hAnsi="Arial" w:cs="Arial"/>
                <w:bCs/>
                <w:iCs/>
                <w:sz w:val="20"/>
                <w:szCs w:val="20"/>
                <w:u w:val="single"/>
                <w:lang w:eastAsia="en-US"/>
              </w:rPr>
              <w:t>Franjevački samostan Sv. Vlaho</w:t>
            </w:r>
            <w:r w:rsidRPr="00DA693C">
              <w:rPr>
                <w:rFonts w:ascii="Arial" w:eastAsia="Times New Roman" w:hAnsi="Arial" w:cs="Arial"/>
                <w:iCs/>
                <w:sz w:val="20"/>
                <w:szCs w:val="20"/>
                <w:u w:val="single"/>
                <w:lang w:eastAsia="en-US"/>
              </w:rPr>
              <w:t>, Pod Dvorom 16, Pridvorje</w:t>
            </w:r>
          </w:p>
          <w:p w14:paraId="7DDEE6C9" w14:textId="77777777" w:rsidR="00DA693C" w:rsidRPr="00DA693C" w:rsidRDefault="00DA693C" w:rsidP="00DA693C">
            <w:pPr>
              <w:tabs>
                <w:tab w:val="left" w:pos="-1440"/>
              </w:tabs>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xml:space="preserve">Odjel je smješten u prizemlju Franjevačkog samostana u Pridvorju kojim ustanova upravlja od 2017. godine. Unutar odjela nalazi se čuvaonica za arheološku građu koja zadovoljava standarde za čuvanje muzejske građe, prostor stalnog postava i prostor za rad stručnih djelatnika. U Odjel za arheologiju se zaprimaju svi nalazi koji se pronađu tijekom arheoloških istraživanja na području Konavala uz prateće dozvole Ministarstva kulture za trajnim pohranama nalaza.  </w:t>
            </w:r>
          </w:p>
          <w:p w14:paraId="6B48B589" w14:textId="77777777" w:rsidR="00DA693C" w:rsidRPr="00DA693C" w:rsidRDefault="00DA693C" w:rsidP="00DA693C">
            <w:pPr>
              <w:tabs>
                <w:tab w:val="left" w:pos="-1440"/>
              </w:tabs>
              <w:spacing w:after="0" w:line="240" w:lineRule="auto"/>
              <w:jc w:val="both"/>
              <w:rPr>
                <w:rFonts w:ascii="Arial" w:eastAsia="Times New Roman" w:hAnsi="Arial" w:cs="Arial"/>
                <w:iCs/>
                <w:sz w:val="20"/>
                <w:szCs w:val="20"/>
                <w:lang w:eastAsia="en-US"/>
              </w:rPr>
            </w:pPr>
            <w:r w:rsidRPr="00DA693C">
              <w:rPr>
                <w:rFonts w:ascii="Arial" w:eastAsia="Times New Roman" w:hAnsi="Arial" w:cs="Arial"/>
                <w:iCs/>
                <w:sz w:val="20"/>
                <w:szCs w:val="20"/>
                <w:lang w:eastAsia="en-US"/>
              </w:rPr>
              <w:t>Muzejska građa je raspoređena u sljedeće zbirke:</w:t>
            </w:r>
          </w:p>
          <w:p w14:paraId="5F69472C" w14:textId="77777777" w:rsidR="00DA693C" w:rsidRPr="00DA693C" w:rsidRDefault="00DA693C" w:rsidP="00DA693C">
            <w:pPr>
              <w:tabs>
                <w:tab w:val="left" w:pos="-1440"/>
              </w:tabs>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arheološka zbirka</w:t>
            </w:r>
          </w:p>
          <w:p w14:paraId="64DC4D4E" w14:textId="77777777" w:rsidR="00DA693C" w:rsidRPr="00DA693C" w:rsidRDefault="00DA693C" w:rsidP="00DA693C">
            <w:pPr>
              <w:tabs>
                <w:tab w:val="left" w:pos="-1440"/>
              </w:tabs>
              <w:spacing w:after="0" w:line="240" w:lineRule="auto"/>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 numizmatička zbirka</w:t>
            </w:r>
          </w:p>
          <w:p w14:paraId="728E9FDF" w14:textId="77777777" w:rsidR="00DA693C" w:rsidRPr="00DA693C" w:rsidRDefault="00DA693C" w:rsidP="00DA693C">
            <w:pPr>
              <w:tabs>
                <w:tab w:val="left" w:pos="-1440"/>
              </w:tabs>
              <w:spacing w:after="0" w:line="240" w:lineRule="auto"/>
              <w:jc w:val="both"/>
              <w:rPr>
                <w:rFonts w:ascii="Arial" w:eastAsia="Times New Roman" w:hAnsi="Arial" w:cs="Arial"/>
                <w:iCs/>
                <w:sz w:val="20"/>
                <w:szCs w:val="20"/>
                <w:lang w:eastAsia="en-US"/>
              </w:rPr>
            </w:pPr>
            <w:r w:rsidRPr="00DA693C">
              <w:rPr>
                <w:rFonts w:ascii="Arial" w:eastAsia="Times New Roman" w:hAnsi="Arial" w:cs="Arial"/>
                <w:iCs/>
                <w:sz w:val="20"/>
                <w:szCs w:val="20"/>
                <w:lang w:eastAsia="en-US"/>
              </w:rPr>
              <w:t>U sklopu muzeja nalazi se muzejska prodavaonica.</w:t>
            </w:r>
          </w:p>
          <w:p w14:paraId="6498157C" w14:textId="77777777" w:rsidR="00DA693C" w:rsidRPr="00DA693C" w:rsidRDefault="00DA693C" w:rsidP="00DA693C">
            <w:pPr>
              <w:spacing w:after="0" w:line="240" w:lineRule="auto"/>
              <w:jc w:val="both"/>
              <w:rPr>
                <w:rFonts w:ascii="Arial" w:eastAsia="Times New Roman" w:hAnsi="Arial" w:cs="Arial"/>
                <w:iCs/>
                <w:sz w:val="20"/>
                <w:szCs w:val="20"/>
                <w:u w:val="single"/>
                <w:lang w:eastAsia="en-US"/>
              </w:rPr>
            </w:pPr>
            <w:r w:rsidRPr="00DA693C">
              <w:rPr>
                <w:rFonts w:ascii="Arial" w:eastAsia="Times New Roman" w:hAnsi="Arial" w:cs="Arial"/>
                <w:b/>
                <w:iCs/>
                <w:sz w:val="20"/>
                <w:szCs w:val="20"/>
                <w:u w:val="single"/>
                <w:lang w:eastAsia="en-US"/>
              </w:rPr>
              <w:t xml:space="preserve">Služba općih poslova, </w:t>
            </w:r>
            <w:r w:rsidRPr="00DA693C">
              <w:rPr>
                <w:rFonts w:ascii="Arial" w:eastAsia="Times New Roman" w:hAnsi="Arial" w:cs="Arial"/>
                <w:iCs/>
                <w:sz w:val="20"/>
                <w:szCs w:val="20"/>
                <w:u w:val="single"/>
                <w:lang w:eastAsia="en-US"/>
              </w:rPr>
              <w:t>Gruda 87 i Gruda 152, Gruda</w:t>
            </w:r>
          </w:p>
          <w:p w14:paraId="397D3068" w14:textId="77777777" w:rsidR="00DA693C" w:rsidRPr="00DA693C" w:rsidRDefault="00DA693C" w:rsidP="00DA693C">
            <w:pPr>
              <w:spacing w:after="0" w:line="240" w:lineRule="auto"/>
              <w:jc w:val="both"/>
              <w:rPr>
                <w:rFonts w:ascii="Arial" w:eastAsia="Times New Roman" w:hAnsi="Arial" w:cs="Arial"/>
                <w:iCs/>
                <w:sz w:val="20"/>
                <w:szCs w:val="20"/>
                <w:lang w:eastAsia="en-US"/>
              </w:rPr>
            </w:pPr>
            <w:r w:rsidRPr="00DA693C">
              <w:rPr>
                <w:rFonts w:ascii="Arial" w:eastAsia="Times New Roman" w:hAnsi="Arial" w:cs="Arial"/>
                <w:iCs/>
                <w:sz w:val="20"/>
                <w:szCs w:val="20"/>
                <w:lang w:eastAsia="en-US"/>
              </w:rPr>
              <w:t>Ova služba osigurava uvjete za poslovanje muzeja kroz obavljanje računovodstveno-financijskih poslova, poslova planiranja i praćenja izvršenja proračuna, poslova nabave, kadrovske poslove i ostale poslove administrativne podrške. Također, službenici obavljaju poslove promidžbe i sklapanja poslova, obrade zahtjeva za uvid u muzejsku građu i za pristup informacijama, te ostalu poslovnu komunikaciju.</w:t>
            </w:r>
          </w:p>
          <w:p w14:paraId="12B6D103" w14:textId="77777777" w:rsidR="00DA693C" w:rsidRPr="00DA693C" w:rsidRDefault="00DA693C" w:rsidP="00DA693C">
            <w:pPr>
              <w:spacing w:after="0" w:line="240" w:lineRule="auto"/>
              <w:jc w:val="both"/>
              <w:rPr>
                <w:rFonts w:ascii="Arial" w:eastAsia="Times New Roman" w:hAnsi="Arial" w:cs="Arial"/>
                <w:b/>
                <w:iCs/>
                <w:sz w:val="20"/>
                <w:szCs w:val="20"/>
                <w:lang w:eastAsia="en-US"/>
              </w:rPr>
            </w:pPr>
          </w:p>
          <w:p w14:paraId="0A7D21A8" w14:textId="77777777" w:rsidR="00DA693C" w:rsidRPr="00DA693C" w:rsidRDefault="00DA693C" w:rsidP="00DA693C">
            <w:pPr>
              <w:spacing w:after="0" w:line="240" w:lineRule="auto"/>
              <w:jc w:val="both"/>
              <w:rPr>
                <w:rFonts w:ascii="Arial" w:eastAsia="Times New Roman" w:hAnsi="Arial" w:cs="Arial"/>
                <w:iCs/>
                <w:sz w:val="20"/>
                <w:szCs w:val="20"/>
                <w:lang w:eastAsia="en-US"/>
              </w:rPr>
            </w:pPr>
            <w:r w:rsidRPr="00DA693C">
              <w:rPr>
                <w:rFonts w:ascii="Arial" w:eastAsia="Times New Roman" w:hAnsi="Arial" w:cs="Arial"/>
                <w:b/>
                <w:iCs/>
                <w:sz w:val="20"/>
                <w:szCs w:val="20"/>
                <w:u w:val="single"/>
                <w:lang w:eastAsia="en-US"/>
              </w:rPr>
              <w:t>Služba stručnih poslova</w:t>
            </w:r>
            <w:r w:rsidRPr="00DA693C">
              <w:rPr>
                <w:rFonts w:ascii="Arial" w:eastAsia="Times New Roman" w:hAnsi="Arial" w:cs="Arial"/>
                <w:b/>
                <w:iCs/>
                <w:sz w:val="20"/>
                <w:szCs w:val="20"/>
                <w:lang w:eastAsia="en-US"/>
              </w:rPr>
              <w:t xml:space="preserve"> </w:t>
            </w:r>
            <w:r w:rsidRPr="00DA693C">
              <w:rPr>
                <w:rFonts w:ascii="Arial" w:eastAsia="Times New Roman" w:hAnsi="Arial" w:cs="Arial"/>
                <w:bCs/>
                <w:iCs/>
                <w:sz w:val="20"/>
                <w:szCs w:val="20"/>
                <w:lang w:eastAsia="en-US"/>
              </w:rPr>
              <w:t>organizirana je kroz rad u muzejskim jedinicama</w:t>
            </w:r>
            <w:r w:rsidRPr="00DA693C">
              <w:rPr>
                <w:rFonts w:ascii="Arial" w:eastAsia="Times New Roman" w:hAnsi="Arial" w:cs="Arial"/>
                <w:b/>
                <w:iCs/>
                <w:sz w:val="20"/>
                <w:szCs w:val="20"/>
                <w:lang w:eastAsia="en-US"/>
              </w:rPr>
              <w:t xml:space="preserve"> </w:t>
            </w:r>
            <w:r w:rsidRPr="00DA693C">
              <w:rPr>
                <w:rFonts w:ascii="Arial" w:eastAsia="Times New Roman" w:hAnsi="Arial" w:cs="Arial"/>
                <w:bCs/>
                <w:iCs/>
                <w:sz w:val="20"/>
                <w:szCs w:val="20"/>
                <w:lang w:eastAsia="en-US"/>
              </w:rPr>
              <w:t>te na lokaciji Gruda</w:t>
            </w:r>
            <w:r w:rsidRPr="00DA693C">
              <w:rPr>
                <w:rFonts w:ascii="Arial" w:eastAsia="Times New Roman" w:hAnsi="Arial" w:cs="Arial"/>
                <w:iCs/>
                <w:sz w:val="20"/>
                <w:szCs w:val="20"/>
                <w:lang w:eastAsia="en-US"/>
              </w:rPr>
              <w:t xml:space="preserve"> 87 i Gruda 152, i u</w:t>
            </w:r>
            <w:r w:rsidRPr="00DA693C">
              <w:rPr>
                <w:rFonts w:ascii="Arial" w:eastAsia="Times New Roman" w:hAnsi="Arial" w:cs="Arial"/>
                <w:iCs/>
                <w:sz w:val="20"/>
                <w:szCs w:val="20"/>
                <w:bdr w:val="single" w:sz="4" w:space="0" w:color="auto"/>
                <w:lang w:eastAsia="en-US"/>
              </w:rPr>
              <w:t xml:space="preserve"> </w:t>
            </w:r>
            <w:r w:rsidRPr="00DA693C">
              <w:rPr>
                <w:rFonts w:ascii="Arial" w:eastAsia="Times New Roman" w:hAnsi="Arial" w:cs="Arial"/>
                <w:iCs/>
                <w:sz w:val="20"/>
                <w:szCs w:val="20"/>
                <w:lang w:eastAsia="en-US"/>
              </w:rPr>
              <w:t>čuvaonici Pločice.</w:t>
            </w:r>
          </w:p>
          <w:p w14:paraId="6DBB7E41" w14:textId="32FD194F" w:rsidR="00BC217C" w:rsidRPr="003A2F86" w:rsidRDefault="00DA693C" w:rsidP="00EF272E">
            <w:pPr>
              <w:spacing w:after="0" w:line="240" w:lineRule="auto"/>
              <w:jc w:val="both"/>
              <w:rPr>
                <w:rFonts w:ascii="Arial" w:eastAsia="Calibri" w:hAnsi="Arial" w:cs="Arial"/>
                <w:sz w:val="20"/>
                <w:szCs w:val="20"/>
              </w:rPr>
            </w:pPr>
            <w:r w:rsidRPr="00DA693C">
              <w:rPr>
                <w:rFonts w:ascii="Arial" w:eastAsia="Times New Roman" w:hAnsi="Arial" w:cs="Arial"/>
                <w:iCs/>
                <w:sz w:val="20"/>
                <w:szCs w:val="20"/>
                <w:lang w:eastAsia="en-US"/>
              </w:rPr>
              <w:t xml:space="preserve">Unutar Službe stručnih poslova raspoređuju se svi stručni djelatnici za poslove istraživanja, vođenja zbirki i dokumentacije, pedagoške poslove, poslove konzervacije i restauracije, fotografiranja, te rada knjižnice i zbirke stručnog gradiva koja je smještena na Grudi, Gruda 87. Čuvaonica u Pločicama je </w:t>
            </w:r>
            <w:r w:rsidRPr="00DA693C">
              <w:rPr>
                <w:rFonts w:ascii="Arial" w:eastAsia="Times New Roman" w:hAnsi="Arial" w:cs="Arial"/>
                <w:sz w:val="20"/>
                <w:szCs w:val="20"/>
                <w:lang w:eastAsia="en-US"/>
              </w:rPr>
              <w:t>prostor osposobljen za funkciju muzejske čuvaonice /</w:t>
            </w:r>
            <w:r w:rsidRPr="00DA693C">
              <w:rPr>
                <w:rFonts w:ascii="Arial" w:eastAsia="Times New Roman" w:hAnsi="Arial" w:cs="Arial"/>
                <w:color w:val="FF0000"/>
                <w:sz w:val="20"/>
                <w:szCs w:val="20"/>
                <w:lang w:eastAsia="en-US"/>
              </w:rPr>
              <w:t xml:space="preserve"> </w:t>
            </w:r>
            <w:r w:rsidRPr="00DA693C">
              <w:rPr>
                <w:rFonts w:ascii="Arial" w:eastAsia="Times New Roman" w:hAnsi="Arial" w:cs="Arial"/>
                <w:sz w:val="20"/>
                <w:szCs w:val="20"/>
                <w:lang w:eastAsia="en-US"/>
              </w:rPr>
              <w:t xml:space="preserve">karantene prvenstveno za potrebe pohrane namještaja iz Kuće Bukovac gdje se uz </w:t>
            </w:r>
            <w:r w:rsidRPr="00DA693C">
              <w:rPr>
                <w:rFonts w:ascii="Arial" w:eastAsia="Times New Roman" w:hAnsi="Arial" w:cs="Arial"/>
                <w:iCs/>
                <w:sz w:val="20"/>
                <w:szCs w:val="20"/>
                <w:lang w:eastAsia="en-US"/>
              </w:rPr>
              <w:t>čuvanje građe obavljaju i poslovi preventivne zaštite.</w:t>
            </w:r>
          </w:p>
        </w:tc>
      </w:tr>
    </w:tbl>
    <w:p w14:paraId="1BCDEB9F" w14:textId="77777777" w:rsidR="00142BE7" w:rsidRDefault="00142BE7" w:rsidP="00142BE7">
      <w:pPr>
        <w:spacing w:after="0" w:line="240" w:lineRule="auto"/>
        <w:rPr>
          <w:rFonts w:ascii="Arial" w:eastAsia="Calibri" w:hAnsi="Arial" w:cs="Arial"/>
        </w:rPr>
      </w:pPr>
    </w:p>
    <w:p w14:paraId="5AAEF3A0" w14:textId="77777777" w:rsidR="007B4373" w:rsidRDefault="007B4373" w:rsidP="00142BE7">
      <w:pPr>
        <w:spacing w:after="0" w:line="240" w:lineRule="auto"/>
        <w:rPr>
          <w:rFonts w:ascii="Arial" w:eastAsia="Calibri" w:hAnsi="Arial" w:cs="Arial"/>
        </w:rPr>
      </w:pPr>
    </w:p>
    <w:p w14:paraId="5D935A99" w14:textId="77777777" w:rsidR="007B4373" w:rsidRDefault="007B4373" w:rsidP="00142BE7">
      <w:pPr>
        <w:spacing w:after="0" w:line="240" w:lineRule="auto"/>
        <w:rPr>
          <w:rFonts w:ascii="Arial" w:eastAsia="Calibri" w:hAnsi="Arial" w:cs="Arial"/>
        </w:rPr>
      </w:pPr>
    </w:p>
    <w:p w14:paraId="3056A40F" w14:textId="77777777" w:rsidR="007B4373" w:rsidRDefault="007B4373" w:rsidP="00142BE7">
      <w:pPr>
        <w:spacing w:after="0" w:line="240" w:lineRule="auto"/>
        <w:rPr>
          <w:rFonts w:ascii="Arial" w:eastAsia="Calibri" w:hAnsi="Arial" w:cs="Arial"/>
        </w:rPr>
      </w:pPr>
    </w:p>
    <w:p w14:paraId="755636B0" w14:textId="77777777" w:rsidR="007B4373" w:rsidRDefault="007B4373" w:rsidP="00142BE7">
      <w:pPr>
        <w:spacing w:after="0" w:line="240" w:lineRule="auto"/>
        <w:rPr>
          <w:rFonts w:ascii="Arial" w:eastAsia="Calibri" w:hAnsi="Arial" w:cs="Arial"/>
        </w:rPr>
      </w:pPr>
    </w:p>
    <w:p w14:paraId="60FABF27" w14:textId="77777777" w:rsidR="007B4373" w:rsidRDefault="007B4373" w:rsidP="00142BE7">
      <w:pPr>
        <w:spacing w:after="0" w:line="240" w:lineRule="auto"/>
        <w:rPr>
          <w:rFonts w:ascii="Arial" w:eastAsia="Calibri" w:hAnsi="Arial" w:cs="Arial"/>
        </w:rPr>
      </w:pPr>
    </w:p>
    <w:p w14:paraId="7CBF188A" w14:textId="77777777" w:rsidR="007B4373" w:rsidRDefault="007B4373" w:rsidP="00142BE7">
      <w:pPr>
        <w:spacing w:after="0" w:line="240" w:lineRule="auto"/>
        <w:rPr>
          <w:rFonts w:ascii="Arial" w:eastAsia="Calibri" w:hAnsi="Arial" w:cs="Arial"/>
        </w:rPr>
      </w:pPr>
    </w:p>
    <w:p w14:paraId="669DCF89" w14:textId="77777777" w:rsidR="007B4373" w:rsidRDefault="007B4373" w:rsidP="00142BE7">
      <w:pPr>
        <w:spacing w:after="0" w:line="240" w:lineRule="auto"/>
        <w:rPr>
          <w:rFonts w:ascii="Arial" w:eastAsia="Calibri" w:hAnsi="Arial" w:cs="Arial"/>
        </w:rPr>
      </w:pPr>
    </w:p>
    <w:p w14:paraId="70258DAD" w14:textId="77777777" w:rsidR="007B4373" w:rsidRDefault="007B4373" w:rsidP="00142BE7">
      <w:pPr>
        <w:spacing w:after="0" w:line="240" w:lineRule="auto"/>
        <w:rPr>
          <w:rFonts w:ascii="Arial" w:eastAsia="Calibri" w:hAnsi="Arial" w:cs="Arial"/>
        </w:rPr>
      </w:pPr>
    </w:p>
    <w:p w14:paraId="37C2003C" w14:textId="77777777" w:rsidR="007B4373" w:rsidRDefault="007B4373" w:rsidP="00142BE7">
      <w:pPr>
        <w:spacing w:after="0" w:line="240" w:lineRule="auto"/>
        <w:rPr>
          <w:rFonts w:ascii="Arial" w:eastAsia="Calibri" w:hAnsi="Arial" w:cs="Arial"/>
        </w:rPr>
      </w:pPr>
    </w:p>
    <w:p w14:paraId="2E597C08" w14:textId="77777777" w:rsidR="007B4373" w:rsidRDefault="007B4373" w:rsidP="00142BE7">
      <w:pPr>
        <w:spacing w:after="0" w:line="240" w:lineRule="auto"/>
        <w:rPr>
          <w:rFonts w:ascii="Arial" w:eastAsia="Calibri" w:hAnsi="Arial" w:cs="Arial"/>
        </w:rPr>
      </w:pPr>
    </w:p>
    <w:p w14:paraId="7A1A1440" w14:textId="77777777" w:rsidR="007B4373" w:rsidRDefault="007B4373" w:rsidP="00142BE7">
      <w:pPr>
        <w:spacing w:after="0" w:line="240" w:lineRule="auto"/>
        <w:rPr>
          <w:rFonts w:ascii="Arial" w:eastAsia="Calibri" w:hAnsi="Arial" w:cs="Arial"/>
        </w:rPr>
      </w:pPr>
    </w:p>
    <w:p w14:paraId="57374BAE" w14:textId="77777777" w:rsidR="007B4373" w:rsidRDefault="007B4373" w:rsidP="00142BE7">
      <w:pPr>
        <w:spacing w:after="0" w:line="240" w:lineRule="auto"/>
        <w:rPr>
          <w:rFonts w:ascii="Arial" w:eastAsia="Calibri" w:hAnsi="Arial" w:cs="Arial"/>
        </w:rPr>
      </w:pPr>
    </w:p>
    <w:p w14:paraId="03E440F9" w14:textId="77777777" w:rsidR="007B4373" w:rsidRDefault="007B4373" w:rsidP="00142BE7">
      <w:pPr>
        <w:spacing w:after="0" w:line="240" w:lineRule="auto"/>
        <w:rPr>
          <w:rFonts w:ascii="Arial" w:eastAsia="Calibri" w:hAnsi="Arial" w:cs="Arial"/>
        </w:rPr>
      </w:pPr>
    </w:p>
    <w:p w14:paraId="399D40FF" w14:textId="77777777" w:rsidR="007B4373" w:rsidRDefault="007B4373" w:rsidP="00142BE7">
      <w:pPr>
        <w:spacing w:after="0" w:line="240" w:lineRule="auto"/>
        <w:rPr>
          <w:rFonts w:ascii="Arial" w:eastAsia="Calibri" w:hAnsi="Arial" w:cs="Arial"/>
        </w:rPr>
      </w:pPr>
    </w:p>
    <w:p w14:paraId="27051B82" w14:textId="77777777" w:rsidR="007B4373" w:rsidRDefault="007B4373" w:rsidP="00142BE7">
      <w:pPr>
        <w:spacing w:after="0" w:line="240" w:lineRule="auto"/>
        <w:rPr>
          <w:rFonts w:ascii="Arial" w:eastAsia="Calibri" w:hAnsi="Arial" w:cs="Arial"/>
        </w:rPr>
      </w:pPr>
    </w:p>
    <w:p w14:paraId="4F1E34B1" w14:textId="77777777" w:rsidR="007B4373" w:rsidRDefault="007B4373" w:rsidP="00142BE7">
      <w:pPr>
        <w:spacing w:after="0" w:line="240" w:lineRule="auto"/>
        <w:rPr>
          <w:rFonts w:ascii="Arial" w:eastAsia="Calibri" w:hAnsi="Arial" w:cs="Arial"/>
        </w:rPr>
      </w:pPr>
    </w:p>
    <w:p w14:paraId="09C0537A" w14:textId="77777777" w:rsidR="007B4373" w:rsidRDefault="007B4373" w:rsidP="00142BE7">
      <w:pPr>
        <w:spacing w:after="0" w:line="240" w:lineRule="auto"/>
        <w:rPr>
          <w:rFonts w:ascii="Arial" w:eastAsia="Calibri" w:hAnsi="Arial" w:cs="Arial"/>
        </w:rPr>
      </w:pPr>
    </w:p>
    <w:p w14:paraId="1EF714CE" w14:textId="77777777" w:rsidR="007B4373" w:rsidRDefault="007B4373" w:rsidP="00142BE7">
      <w:pPr>
        <w:spacing w:after="0" w:line="240" w:lineRule="auto"/>
        <w:rPr>
          <w:rFonts w:ascii="Arial" w:eastAsia="Calibri" w:hAnsi="Arial" w:cs="Arial"/>
        </w:rPr>
      </w:pPr>
    </w:p>
    <w:p w14:paraId="17FC857F" w14:textId="77777777" w:rsidR="007B4373" w:rsidRDefault="007B4373" w:rsidP="00142BE7">
      <w:pPr>
        <w:spacing w:after="0" w:line="240" w:lineRule="auto"/>
        <w:rPr>
          <w:rFonts w:ascii="Arial" w:eastAsia="Calibri" w:hAnsi="Arial" w:cs="Arial"/>
        </w:rPr>
      </w:pPr>
    </w:p>
    <w:p w14:paraId="29BA7685" w14:textId="77777777" w:rsidR="007B4373" w:rsidRDefault="007B4373" w:rsidP="00142BE7">
      <w:pPr>
        <w:spacing w:after="0" w:line="240" w:lineRule="auto"/>
        <w:rPr>
          <w:rFonts w:ascii="Arial" w:eastAsia="Calibri" w:hAnsi="Arial" w:cs="Arial"/>
        </w:rPr>
      </w:pPr>
    </w:p>
    <w:p w14:paraId="4744BFD4" w14:textId="77777777" w:rsidR="007B4373" w:rsidRDefault="007B4373" w:rsidP="00142BE7">
      <w:pPr>
        <w:spacing w:after="0" w:line="240" w:lineRule="auto"/>
        <w:rPr>
          <w:rFonts w:ascii="Arial" w:eastAsia="Calibri" w:hAnsi="Arial" w:cs="Arial"/>
        </w:rPr>
      </w:pPr>
    </w:p>
    <w:p w14:paraId="50610567" w14:textId="77777777" w:rsidR="007B4373" w:rsidRDefault="007B4373" w:rsidP="00142BE7">
      <w:pPr>
        <w:spacing w:after="0" w:line="240" w:lineRule="auto"/>
        <w:rPr>
          <w:rFonts w:ascii="Arial" w:eastAsia="Calibri" w:hAnsi="Arial" w:cs="Arial"/>
        </w:rPr>
      </w:pPr>
    </w:p>
    <w:p w14:paraId="20B4D4C5" w14:textId="77777777" w:rsidR="007B4373" w:rsidRDefault="007B4373" w:rsidP="00142BE7">
      <w:pPr>
        <w:spacing w:after="0" w:line="240" w:lineRule="auto"/>
        <w:rPr>
          <w:rFonts w:ascii="Arial" w:eastAsia="Calibri" w:hAnsi="Arial" w:cs="Arial"/>
        </w:rPr>
      </w:pPr>
    </w:p>
    <w:p w14:paraId="1A1A0C7F" w14:textId="77777777" w:rsidR="007B4373" w:rsidRDefault="007B4373" w:rsidP="00142BE7">
      <w:pPr>
        <w:spacing w:after="0" w:line="240" w:lineRule="auto"/>
        <w:rPr>
          <w:rFonts w:ascii="Arial" w:eastAsia="Calibri" w:hAnsi="Arial" w:cs="Arial"/>
        </w:rPr>
      </w:pPr>
    </w:p>
    <w:p w14:paraId="5A0FE472" w14:textId="77777777" w:rsidR="007B4373" w:rsidRDefault="007B4373" w:rsidP="00142BE7">
      <w:pPr>
        <w:spacing w:after="0" w:line="240" w:lineRule="auto"/>
        <w:rPr>
          <w:rFonts w:ascii="Arial" w:eastAsia="Calibri" w:hAnsi="Arial" w:cs="Arial"/>
        </w:rPr>
      </w:pPr>
    </w:p>
    <w:p w14:paraId="760A5197" w14:textId="77777777" w:rsidR="007B4373" w:rsidRDefault="007B4373" w:rsidP="00142BE7">
      <w:pPr>
        <w:spacing w:after="0" w:line="240" w:lineRule="auto"/>
        <w:rPr>
          <w:rFonts w:ascii="Arial" w:eastAsia="Calibri" w:hAnsi="Arial" w:cs="Arial"/>
        </w:rPr>
      </w:pPr>
    </w:p>
    <w:p w14:paraId="7AA7F462" w14:textId="77777777" w:rsidR="007B4373" w:rsidRDefault="007B4373" w:rsidP="00142BE7">
      <w:pPr>
        <w:spacing w:after="0" w:line="240" w:lineRule="auto"/>
        <w:rPr>
          <w:rFonts w:ascii="Arial" w:eastAsia="Calibri" w:hAnsi="Arial" w:cs="Arial"/>
        </w:rPr>
      </w:pPr>
    </w:p>
    <w:p w14:paraId="69F1AF19" w14:textId="77777777" w:rsidR="007B4373" w:rsidRDefault="007B4373" w:rsidP="00142BE7">
      <w:pPr>
        <w:spacing w:after="0" w:line="240" w:lineRule="auto"/>
        <w:rPr>
          <w:rFonts w:ascii="Arial" w:eastAsia="Calibri" w:hAnsi="Arial" w:cs="Arial"/>
        </w:rPr>
      </w:pPr>
    </w:p>
    <w:p w14:paraId="2DBDAF82" w14:textId="77777777" w:rsidR="007B4373" w:rsidRDefault="007B4373" w:rsidP="00142BE7">
      <w:pPr>
        <w:spacing w:after="0" w:line="240" w:lineRule="auto"/>
        <w:rPr>
          <w:rFonts w:ascii="Arial" w:eastAsia="Calibri" w:hAnsi="Arial" w:cs="Arial"/>
        </w:rPr>
      </w:pPr>
    </w:p>
    <w:p w14:paraId="433DEE83" w14:textId="77777777" w:rsidR="007B4373" w:rsidRDefault="007B4373" w:rsidP="00142BE7">
      <w:pPr>
        <w:spacing w:after="0" w:line="240" w:lineRule="auto"/>
        <w:rPr>
          <w:rFonts w:ascii="Arial" w:eastAsia="Calibri" w:hAnsi="Arial" w:cs="Arial"/>
        </w:rPr>
      </w:pPr>
    </w:p>
    <w:p w14:paraId="5E84BA80" w14:textId="77777777" w:rsidR="007B4373" w:rsidRPr="003A2F86" w:rsidRDefault="007B4373" w:rsidP="00142BE7">
      <w:pPr>
        <w:spacing w:after="0" w:line="240" w:lineRule="auto"/>
        <w:rPr>
          <w:rFonts w:ascii="Arial" w:eastAsia="Calibri" w:hAnsi="Arial" w:cs="Arial"/>
        </w:rPr>
      </w:pPr>
    </w:p>
    <w:p w14:paraId="70F172E1" w14:textId="77777777" w:rsidR="00142BE7" w:rsidRPr="003A2F86" w:rsidRDefault="00142BE7">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3A2F86">
        <w:rPr>
          <w:rFonts w:ascii="Arial" w:eastAsia="Calibri" w:hAnsi="Arial" w:cs="Arial"/>
          <w:b/>
        </w:rPr>
        <w:lastRenderedPageBreak/>
        <w:t>OBRAZLOŽENJE OPĆEG DIJELA FINANCIJSKOG PLANA</w:t>
      </w:r>
    </w:p>
    <w:p w14:paraId="45D4F05A" w14:textId="656FC088" w:rsidR="00142BE7" w:rsidRPr="003A2F86" w:rsidRDefault="00CF50B8" w:rsidP="00CA1DCC">
      <w:pPr>
        <w:spacing w:after="0" w:line="240" w:lineRule="auto"/>
        <w:jc w:val="center"/>
        <w:rPr>
          <w:rFonts w:ascii="Arial" w:eastAsia="Calibri" w:hAnsi="Arial" w:cs="Arial"/>
        </w:rPr>
      </w:pPr>
      <w:r w:rsidRPr="00CF50B8">
        <w:rPr>
          <w:noProof/>
        </w:rPr>
        <w:drawing>
          <wp:inline distT="0" distB="0" distL="0" distR="0" wp14:anchorId="1B974283" wp14:editId="554B068F">
            <wp:extent cx="6400955" cy="4980919"/>
            <wp:effectExtent l="0" t="0" r="0" b="0"/>
            <wp:docPr id="491528464"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4650" cy="4983795"/>
                    </a:xfrm>
                    <a:prstGeom prst="rect">
                      <a:avLst/>
                    </a:prstGeom>
                    <a:noFill/>
                    <a:ln>
                      <a:noFill/>
                    </a:ln>
                  </pic:spPr>
                </pic:pic>
              </a:graphicData>
            </a:graphic>
          </wp:inline>
        </w:drawing>
      </w:r>
    </w:p>
    <w:p w14:paraId="15159260" w14:textId="5CCDA0C7" w:rsidR="00142BE7" w:rsidRPr="003A2F86" w:rsidRDefault="00142BE7" w:rsidP="00A63BE4">
      <w:pPr>
        <w:spacing w:after="0" w:line="240" w:lineRule="auto"/>
        <w:jc w:val="center"/>
        <w:rPr>
          <w:rFonts w:ascii="Arial" w:eastAsia="Calibri" w:hAnsi="Arial" w:cs="Arial"/>
        </w:rPr>
      </w:pPr>
    </w:p>
    <w:p w14:paraId="790D0ED8" w14:textId="77777777" w:rsidR="00DA693C" w:rsidRPr="00EF272E" w:rsidRDefault="00DA693C" w:rsidP="00DA693C">
      <w:pPr>
        <w:spacing w:after="0" w:line="240" w:lineRule="auto"/>
        <w:rPr>
          <w:rFonts w:ascii="Arial" w:hAnsi="Arial" w:cs="Arial"/>
          <w:sz w:val="20"/>
          <w:szCs w:val="20"/>
          <w:lang w:eastAsia="en-US"/>
        </w:rPr>
      </w:pPr>
      <w:r w:rsidRPr="00EF272E">
        <w:rPr>
          <w:rFonts w:ascii="Arial" w:hAnsi="Arial" w:cs="Arial"/>
          <w:sz w:val="20"/>
          <w:szCs w:val="20"/>
          <w:lang w:eastAsia="en-US"/>
        </w:rPr>
        <w:t>Opći dio financijskog plana sastoji se od sažetaka računa prihoda i rashoda, prihodi i rashodi su iskazani prema ekonomskoj klasifikaciji i pripadajućim izvorima, a rashodi su iskazani i prema funkcijskoj klasifikaciji.</w:t>
      </w:r>
    </w:p>
    <w:p w14:paraId="04FF5F52" w14:textId="77777777" w:rsidR="00DA693C" w:rsidRDefault="00DA693C" w:rsidP="00DA693C">
      <w:pPr>
        <w:spacing w:after="0" w:line="240" w:lineRule="auto"/>
        <w:rPr>
          <w:rFonts w:ascii="Arial" w:hAnsi="Arial" w:cs="Arial"/>
          <w:sz w:val="20"/>
          <w:szCs w:val="20"/>
          <w:lang w:eastAsia="en-US"/>
        </w:rPr>
      </w:pPr>
    </w:p>
    <w:p w14:paraId="358532F4" w14:textId="77777777" w:rsidR="007B4373" w:rsidRDefault="007B4373" w:rsidP="00DA693C">
      <w:pPr>
        <w:spacing w:after="0" w:line="240" w:lineRule="auto"/>
        <w:rPr>
          <w:rFonts w:ascii="Arial" w:hAnsi="Arial" w:cs="Arial"/>
          <w:sz w:val="20"/>
          <w:szCs w:val="20"/>
          <w:lang w:eastAsia="en-US"/>
        </w:rPr>
      </w:pPr>
    </w:p>
    <w:p w14:paraId="78A982BE" w14:textId="77777777" w:rsidR="007B4373" w:rsidRPr="00EF272E" w:rsidRDefault="007B4373" w:rsidP="00DA693C">
      <w:pPr>
        <w:spacing w:after="0" w:line="240" w:lineRule="auto"/>
        <w:rPr>
          <w:rFonts w:ascii="Arial" w:hAnsi="Arial" w:cs="Arial"/>
          <w:sz w:val="20"/>
          <w:szCs w:val="20"/>
          <w:lang w:eastAsia="en-US"/>
        </w:rPr>
      </w:pPr>
    </w:p>
    <w:p w14:paraId="53F8812A" w14:textId="648F8042" w:rsidR="00DA693C" w:rsidRPr="00EF272E" w:rsidRDefault="00DA693C" w:rsidP="00DA693C">
      <w:pPr>
        <w:spacing w:after="0" w:line="240" w:lineRule="auto"/>
        <w:rPr>
          <w:rFonts w:ascii="Arial" w:hAnsi="Arial" w:cs="Arial"/>
          <w:sz w:val="20"/>
          <w:szCs w:val="20"/>
          <w:lang w:eastAsia="en-US"/>
        </w:rPr>
      </w:pPr>
      <w:r w:rsidRPr="00EF272E">
        <w:rPr>
          <w:rFonts w:ascii="Arial" w:hAnsi="Arial" w:cs="Arial"/>
          <w:b/>
          <w:bCs/>
          <w:sz w:val="20"/>
          <w:szCs w:val="20"/>
          <w:lang w:eastAsia="en-US"/>
        </w:rPr>
        <w:lastRenderedPageBreak/>
        <w:t>Prihodi poslovanja za 202</w:t>
      </w:r>
      <w:r w:rsidR="00CF50B8">
        <w:rPr>
          <w:rFonts w:ascii="Arial" w:hAnsi="Arial" w:cs="Arial"/>
          <w:b/>
          <w:bCs/>
          <w:sz w:val="20"/>
          <w:szCs w:val="20"/>
          <w:lang w:eastAsia="en-US"/>
        </w:rPr>
        <w:t>5</w:t>
      </w:r>
      <w:r w:rsidRPr="00EF272E">
        <w:rPr>
          <w:rFonts w:ascii="Arial" w:hAnsi="Arial" w:cs="Arial"/>
          <w:b/>
          <w:bCs/>
          <w:sz w:val="20"/>
          <w:szCs w:val="20"/>
          <w:lang w:eastAsia="en-US"/>
        </w:rPr>
        <w:t xml:space="preserve">. godinu </w:t>
      </w:r>
    </w:p>
    <w:p w14:paraId="7F8000D2" w14:textId="77777777" w:rsidR="00DA693C" w:rsidRPr="00CF50B8" w:rsidRDefault="00DA693C" w:rsidP="00DA693C">
      <w:pPr>
        <w:spacing w:after="0" w:line="240" w:lineRule="auto"/>
        <w:rPr>
          <w:rFonts w:ascii="Arial" w:hAnsi="Arial" w:cs="Arial"/>
          <w:sz w:val="20"/>
          <w:szCs w:val="20"/>
          <w:lang w:eastAsia="en-US"/>
        </w:rPr>
      </w:pPr>
    </w:p>
    <w:p w14:paraId="6D9ACDEF" w14:textId="3FEB0ADB" w:rsidR="00CF50B8" w:rsidRPr="00CF50B8" w:rsidRDefault="00CF50B8" w:rsidP="00CF50B8">
      <w:pPr>
        <w:numPr>
          <w:ilvl w:val="0"/>
          <w:numId w:val="60"/>
        </w:numPr>
        <w:spacing w:after="160" w:line="259" w:lineRule="auto"/>
        <w:contextualSpacing/>
        <w:jc w:val="both"/>
        <w:rPr>
          <w:rFonts w:ascii="Arial" w:eastAsia="Calibri" w:hAnsi="Arial" w:cs="Arial"/>
          <w:sz w:val="20"/>
          <w:szCs w:val="20"/>
          <w:lang w:eastAsia="en-US"/>
        </w:rPr>
      </w:pPr>
      <w:r w:rsidRPr="00CF50B8">
        <w:rPr>
          <w:rFonts w:ascii="Arial" w:eastAsia="Calibri" w:hAnsi="Arial" w:cs="Arial"/>
          <w:b/>
          <w:bCs/>
          <w:i/>
          <w:iCs/>
          <w:sz w:val="20"/>
          <w:szCs w:val="20"/>
          <w:lang w:eastAsia="en-US"/>
        </w:rPr>
        <w:t>Prihodi  od pomoći iz inozemstva i od subjekata unutar općeg proračuna</w:t>
      </w:r>
      <w:r w:rsidRPr="00CF50B8">
        <w:rPr>
          <w:rFonts w:ascii="Arial" w:eastAsia="Calibri" w:hAnsi="Arial" w:cs="Arial"/>
          <w:sz w:val="20"/>
          <w:szCs w:val="20"/>
          <w:lang w:eastAsia="en-US"/>
        </w:rPr>
        <w:t xml:space="preserve"> na dan 30.6.2025</w:t>
      </w:r>
    </w:p>
    <w:p w14:paraId="66DB406F" w14:textId="461C1281" w:rsidR="00CF50B8" w:rsidRPr="00CF50B8" w:rsidRDefault="00CF50B8" w:rsidP="00CF50B8">
      <w:pPr>
        <w:numPr>
          <w:ilvl w:val="0"/>
          <w:numId w:val="40"/>
        </w:numPr>
        <w:spacing w:after="160" w:line="259" w:lineRule="auto"/>
        <w:contextualSpacing/>
        <w:jc w:val="both"/>
        <w:rPr>
          <w:rFonts w:ascii="Arial" w:eastAsia="Calibri" w:hAnsi="Arial" w:cs="Arial"/>
          <w:sz w:val="20"/>
          <w:szCs w:val="20"/>
          <w:lang w:eastAsia="en-US"/>
        </w:rPr>
      </w:pPr>
      <w:r w:rsidRPr="00CF50B8">
        <w:rPr>
          <w:rFonts w:ascii="Arial" w:eastAsia="Calibri" w:hAnsi="Arial" w:cs="Arial"/>
          <w:sz w:val="20"/>
          <w:szCs w:val="20"/>
          <w:lang w:eastAsia="en-US"/>
        </w:rPr>
        <w:t xml:space="preserve">prihod od projekta ATME, Erasmus+ za isplatu posljednje rate nakon završetka projekta  iznosi 2.409,00 </w:t>
      </w:r>
      <w:r>
        <w:rPr>
          <w:rFonts w:ascii="Arial" w:eastAsia="Calibri" w:hAnsi="Arial" w:cs="Arial"/>
          <w:sz w:val="20"/>
          <w:szCs w:val="20"/>
          <w:lang w:eastAsia="en-US"/>
        </w:rPr>
        <w:t>€</w:t>
      </w:r>
      <w:r w:rsidRPr="00CF50B8">
        <w:rPr>
          <w:rFonts w:ascii="Arial" w:eastAsia="Calibri" w:hAnsi="Arial" w:cs="Arial"/>
          <w:sz w:val="20"/>
          <w:szCs w:val="20"/>
          <w:lang w:eastAsia="en-US"/>
        </w:rPr>
        <w:t>.</w:t>
      </w:r>
    </w:p>
    <w:p w14:paraId="0443D0D9" w14:textId="77777777" w:rsidR="00CF50B8" w:rsidRPr="00CF50B8" w:rsidRDefault="00CF50B8" w:rsidP="00CF50B8">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w:eastAsia="Calibri" w:hAnsi="Arial" w:cs="Arial"/>
          <w:iCs/>
          <w:sz w:val="20"/>
          <w:szCs w:val="20"/>
          <w:lang w:eastAsia="en-US"/>
        </w:rPr>
      </w:pPr>
      <w:r w:rsidRPr="00CF50B8">
        <w:rPr>
          <w:rFonts w:ascii="Arial" w:eastAsia="Calibri" w:hAnsi="Arial" w:cs="Arial"/>
          <w:iCs/>
          <w:sz w:val="20"/>
          <w:szCs w:val="20"/>
          <w:lang w:eastAsia="en-US"/>
        </w:rPr>
        <w:t>prihodi od Ministarstva kulture za odobrene programe za 2025. godinu iznosi 24.000 EURA što čini 45% od ukupne vrijednosti odobrenih programa za 2025. godinu u iznosu od 53.000 EUR  za tekuće programe (izložbe, tiskanje slikovnice) i kapitalne programe (digitalizacija slika i crteža Vlaha Bukovca, restauracija harmonija, konzervatorsko restauratorske radove na Mauzoleju Račić, arheološka istraživanja na lokalitetu Rat, Cavtat). Nakon realizacije navedenih programa Ministarstvo kulture će doznačiti ostatak odobrenih sredstava.</w:t>
      </w:r>
    </w:p>
    <w:p w14:paraId="38AFC53D" w14:textId="77777777" w:rsidR="00CF50B8" w:rsidRPr="00CF50B8" w:rsidRDefault="00CF50B8" w:rsidP="00CF50B8">
      <w:pPr>
        <w:spacing w:after="0"/>
        <w:ind w:left="360"/>
        <w:contextualSpacing/>
        <w:rPr>
          <w:rFonts w:ascii="Arial" w:eastAsia="Calibri" w:hAnsi="Arial" w:cs="Arial"/>
          <w:sz w:val="20"/>
          <w:szCs w:val="20"/>
          <w:lang w:eastAsia="en-US"/>
        </w:rPr>
      </w:pPr>
    </w:p>
    <w:p w14:paraId="4A2E75AC" w14:textId="6FEC83F7" w:rsidR="00CF50B8" w:rsidRPr="00CF50B8" w:rsidRDefault="00CF50B8" w:rsidP="00CF50B8">
      <w:pPr>
        <w:numPr>
          <w:ilvl w:val="0"/>
          <w:numId w:val="41"/>
        </w:numPr>
        <w:spacing w:after="160" w:line="259" w:lineRule="auto"/>
        <w:contextualSpacing/>
        <w:jc w:val="both"/>
        <w:rPr>
          <w:rFonts w:ascii="Arial" w:eastAsia="Calibri" w:hAnsi="Arial" w:cs="Arial"/>
          <w:sz w:val="20"/>
          <w:szCs w:val="20"/>
          <w:lang w:eastAsia="en-US"/>
        </w:rPr>
      </w:pPr>
      <w:r w:rsidRPr="00CF50B8">
        <w:rPr>
          <w:rFonts w:ascii="Arial" w:eastAsia="Calibri" w:hAnsi="Arial" w:cs="Arial"/>
          <w:b/>
          <w:bCs/>
          <w:i/>
          <w:iCs/>
          <w:sz w:val="20"/>
          <w:szCs w:val="20"/>
          <w:lang w:eastAsia="en-US"/>
        </w:rPr>
        <w:t>Prihodi od upravnih i administrativnih pristojbi, pristojbi po posebnim propisima i naknade</w:t>
      </w:r>
      <w:r w:rsidRPr="00CF50B8">
        <w:rPr>
          <w:rFonts w:ascii="Arial" w:eastAsia="Calibri" w:hAnsi="Arial" w:cs="Arial"/>
          <w:sz w:val="20"/>
          <w:szCs w:val="20"/>
          <w:lang w:eastAsia="en-US"/>
        </w:rPr>
        <w:t xml:space="preserve"> na dan 30. 6. 2025. iznose 11.724,31 </w:t>
      </w:r>
      <w:r>
        <w:rPr>
          <w:rFonts w:ascii="Arial" w:eastAsia="Calibri" w:hAnsi="Arial" w:cs="Arial"/>
          <w:sz w:val="20"/>
          <w:szCs w:val="20"/>
          <w:lang w:eastAsia="en-US"/>
        </w:rPr>
        <w:t>€</w:t>
      </w:r>
      <w:r w:rsidRPr="00CF50B8">
        <w:rPr>
          <w:rFonts w:ascii="Arial" w:eastAsia="Calibri" w:hAnsi="Arial" w:cs="Arial"/>
          <w:sz w:val="20"/>
          <w:szCs w:val="20"/>
          <w:lang w:eastAsia="en-US"/>
        </w:rPr>
        <w:t xml:space="preserve"> i odnose se na prihode od prodanih ulaznica u muzejskim jedinicama Zavičajni muzej Konavala, Kuća Bukovac, Mauzolej Račić i Odjel za arheologiju i spomeničku baštinu. Prihodi su  smanjeni za 4,6 % u odnosu na isti period 2024. godine sukladno broju posjetitelja.</w:t>
      </w:r>
    </w:p>
    <w:p w14:paraId="73653062" w14:textId="77777777" w:rsidR="00CF50B8" w:rsidRPr="00CF50B8" w:rsidRDefault="00CF50B8" w:rsidP="00CF50B8">
      <w:pPr>
        <w:ind w:left="720"/>
        <w:contextualSpacing/>
        <w:jc w:val="both"/>
        <w:rPr>
          <w:rFonts w:ascii="Arial" w:eastAsia="Calibri" w:hAnsi="Arial" w:cs="Arial"/>
          <w:sz w:val="20"/>
          <w:szCs w:val="20"/>
          <w:lang w:eastAsia="en-US"/>
        </w:rPr>
      </w:pPr>
    </w:p>
    <w:p w14:paraId="0BFE04D5" w14:textId="21B945D9" w:rsidR="00CF50B8" w:rsidRPr="00CF50B8" w:rsidRDefault="00CF50B8" w:rsidP="00CF50B8">
      <w:pPr>
        <w:numPr>
          <w:ilvl w:val="0"/>
          <w:numId w:val="41"/>
        </w:numPr>
        <w:spacing w:after="0" w:line="259" w:lineRule="auto"/>
        <w:contextualSpacing/>
        <w:jc w:val="both"/>
        <w:rPr>
          <w:rFonts w:ascii="Arial" w:eastAsia="Calibri" w:hAnsi="Arial" w:cs="Arial"/>
          <w:sz w:val="20"/>
          <w:szCs w:val="20"/>
          <w:lang w:eastAsia="en-US"/>
        </w:rPr>
      </w:pPr>
      <w:r w:rsidRPr="00CF50B8">
        <w:rPr>
          <w:rFonts w:ascii="Arial" w:eastAsia="Calibri" w:hAnsi="Arial" w:cs="Arial"/>
          <w:b/>
          <w:bCs/>
          <w:i/>
          <w:iCs/>
          <w:sz w:val="20"/>
          <w:szCs w:val="20"/>
          <w:lang w:eastAsia="en-US"/>
        </w:rPr>
        <w:t>Prihodi od prodaje proizvoda i robe, te pruženih usluga i prihodi od donacija</w:t>
      </w:r>
      <w:r w:rsidRPr="00CF50B8">
        <w:rPr>
          <w:rFonts w:ascii="Arial" w:eastAsia="Calibri" w:hAnsi="Arial" w:cs="Arial"/>
          <w:i/>
          <w:iCs/>
          <w:sz w:val="20"/>
          <w:szCs w:val="20"/>
          <w:lang w:eastAsia="en-US"/>
        </w:rPr>
        <w:t xml:space="preserve">, </w:t>
      </w:r>
      <w:r w:rsidRPr="00CF50B8">
        <w:rPr>
          <w:rFonts w:ascii="Arial" w:eastAsia="Calibri" w:hAnsi="Arial" w:cs="Arial"/>
          <w:sz w:val="20"/>
          <w:szCs w:val="20"/>
          <w:lang w:eastAsia="en-US"/>
        </w:rPr>
        <w:t xml:space="preserve">na dan 30. 6. 2025.  iznose 36.098,74 </w:t>
      </w:r>
      <w:r>
        <w:rPr>
          <w:rFonts w:ascii="Arial" w:eastAsia="Calibri" w:hAnsi="Arial" w:cs="Arial"/>
          <w:sz w:val="20"/>
          <w:szCs w:val="20"/>
          <w:lang w:eastAsia="en-US"/>
        </w:rPr>
        <w:t>€</w:t>
      </w:r>
      <w:r w:rsidRPr="00CF50B8">
        <w:rPr>
          <w:rFonts w:ascii="Arial" w:eastAsia="Calibri" w:hAnsi="Arial" w:cs="Arial"/>
          <w:sz w:val="20"/>
          <w:szCs w:val="20"/>
          <w:lang w:eastAsia="en-US"/>
        </w:rPr>
        <w:t>, odnose se na prihod od prodaje suvenira i izdavaštva u muzejskim prodavaonicama  što je više za 170%  u odnosu na isti period 2024. godine iznimno zbog podaje monografije Vlaho Bukovac koja je izašla iz tiska u travnju 2025. godine. Zbog velikog interesa šire javnosti i javnih/narodnih knjižnica veliki broj primjerak je prodan u vrlo kratkom roku što je utjecalo na značajno povećanje prihoda na ovoj poziciji.</w:t>
      </w:r>
    </w:p>
    <w:p w14:paraId="2B0C2224" w14:textId="77777777" w:rsidR="00CF50B8" w:rsidRPr="00CF50B8" w:rsidRDefault="00CF50B8" w:rsidP="00CF50B8">
      <w:pPr>
        <w:ind w:left="720"/>
        <w:contextualSpacing/>
        <w:rPr>
          <w:rFonts w:ascii="Arial" w:eastAsia="Calibri" w:hAnsi="Arial" w:cs="Arial"/>
          <w:sz w:val="20"/>
          <w:szCs w:val="20"/>
          <w:lang w:eastAsia="en-US"/>
        </w:rPr>
      </w:pPr>
    </w:p>
    <w:p w14:paraId="0B8692DA" w14:textId="3E50B126" w:rsidR="00CF50B8" w:rsidRPr="00CF50B8" w:rsidRDefault="00CF50B8" w:rsidP="00CF50B8">
      <w:pPr>
        <w:numPr>
          <w:ilvl w:val="0"/>
          <w:numId w:val="41"/>
        </w:numPr>
        <w:spacing w:after="0" w:line="259" w:lineRule="auto"/>
        <w:contextualSpacing/>
        <w:jc w:val="both"/>
        <w:rPr>
          <w:rFonts w:ascii="Arial" w:eastAsia="Calibri" w:hAnsi="Arial" w:cs="Arial"/>
          <w:sz w:val="20"/>
          <w:szCs w:val="20"/>
          <w:lang w:eastAsia="en-US"/>
        </w:rPr>
      </w:pPr>
      <w:r w:rsidRPr="00CF50B8">
        <w:rPr>
          <w:rFonts w:ascii="Arial" w:eastAsia="Calibri" w:hAnsi="Arial" w:cs="Arial"/>
          <w:b/>
          <w:bCs/>
          <w:i/>
          <w:iCs/>
          <w:sz w:val="20"/>
          <w:szCs w:val="20"/>
          <w:lang w:eastAsia="en-US"/>
        </w:rPr>
        <w:t>Prihodi iz nadležnog proračuna i HZZO-a temeljem ugovornih obveza</w:t>
      </w:r>
      <w:r w:rsidRPr="00CF50B8">
        <w:rPr>
          <w:rFonts w:ascii="Arial" w:eastAsia="Calibri" w:hAnsi="Arial" w:cs="Arial"/>
          <w:i/>
          <w:iCs/>
          <w:sz w:val="20"/>
          <w:szCs w:val="20"/>
          <w:lang w:eastAsia="en-US"/>
        </w:rPr>
        <w:t xml:space="preserve"> </w:t>
      </w:r>
      <w:r w:rsidRPr="00CF50B8">
        <w:rPr>
          <w:rFonts w:ascii="Arial" w:eastAsia="Calibri" w:hAnsi="Arial" w:cs="Arial"/>
          <w:sz w:val="20"/>
          <w:szCs w:val="20"/>
          <w:lang w:eastAsia="en-US"/>
        </w:rPr>
        <w:t>na dan 30. 6. 2025. iznose  256.154,33</w:t>
      </w:r>
      <w:r w:rsidRPr="00CF50B8">
        <w:rPr>
          <w:rFonts w:ascii="Arial" w:eastAsia="Calibri" w:hAnsi="Arial" w:cs="Arial"/>
          <w:bCs/>
          <w:sz w:val="20"/>
          <w:szCs w:val="20"/>
          <w:lang w:eastAsia="en-US"/>
        </w:rPr>
        <w:t xml:space="preserve"> </w:t>
      </w:r>
      <w:r>
        <w:rPr>
          <w:rFonts w:ascii="Arial" w:eastAsia="Calibri" w:hAnsi="Arial" w:cs="Arial"/>
          <w:bCs/>
          <w:sz w:val="20"/>
          <w:szCs w:val="20"/>
          <w:lang w:eastAsia="en-US"/>
        </w:rPr>
        <w:t>€</w:t>
      </w:r>
      <w:r w:rsidRPr="00CF50B8">
        <w:rPr>
          <w:rFonts w:ascii="Arial" w:eastAsia="Calibri" w:hAnsi="Arial" w:cs="Arial"/>
          <w:bCs/>
          <w:sz w:val="20"/>
          <w:szCs w:val="20"/>
          <w:lang w:eastAsia="en-US"/>
        </w:rPr>
        <w:t xml:space="preserve"> i </w:t>
      </w:r>
      <w:r w:rsidRPr="00CF50B8">
        <w:rPr>
          <w:rFonts w:ascii="Arial" w:eastAsia="Calibri" w:hAnsi="Arial" w:cs="Arial"/>
          <w:sz w:val="20"/>
          <w:szCs w:val="20"/>
          <w:lang w:eastAsia="en-US"/>
        </w:rPr>
        <w:t>odnose se na prihode od osnivača, Općine Konavle, za potrebe realizacije redovne djelatnosti ustanove u kulturi (plaće i naknade zaposlenicima, režijski troškovi, osiguranje imovine, osnovno održavanje i popravci u muzejima, tehnička i integralna zaštita muzejskih prostora, uredski materijal i djelomično financiranje nabave dugotrajne imovine i muzejske građe itd</w:t>
      </w:r>
      <w:r>
        <w:rPr>
          <w:rFonts w:ascii="Arial" w:eastAsia="Calibri" w:hAnsi="Arial" w:cs="Arial"/>
          <w:sz w:val="20"/>
          <w:szCs w:val="20"/>
          <w:lang w:eastAsia="en-US"/>
        </w:rPr>
        <w:t>.</w:t>
      </w:r>
      <w:r w:rsidRPr="00CF50B8">
        <w:rPr>
          <w:rFonts w:ascii="Arial" w:eastAsia="Calibri" w:hAnsi="Arial" w:cs="Arial"/>
          <w:sz w:val="20"/>
          <w:szCs w:val="20"/>
          <w:lang w:eastAsia="en-US"/>
        </w:rPr>
        <w:t>) u prvom polugodištu 2025. godine su povećani prvenstveno zbog povećanja plaća koje je nastupilo krajem 2024. godine i zbog povećanja rashoda za usluge (grupa 323) zbog troškova tiskanja Monografije Vlaho Bukovac, autora Igora Zidića.</w:t>
      </w:r>
    </w:p>
    <w:p w14:paraId="14F1825D" w14:textId="77777777" w:rsidR="00DA693C" w:rsidRPr="00EF272E" w:rsidRDefault="00DA693C" w:rsidP="00DA693C">
      <w:pPr>
        <w:spacing w:after="0" w:line="240" w:lineRule="auto"/>
        <w:rPr>
          <w:rFonts w:ascii="Arial" w:hAnsi="Arial" w:cs="Arial"/>
          <w:sz w:val="20"/>
          <w:szCs w:val="20"/>
          <w:lang w:eastAsia="en-US"/>
        </w:rPr>
      </w:pPr>
    </w:p>
    <w:p w14:paraId="1022F82A" w14:textId="77777777" w:rsidR="00DA693C" w:rsidRPr="00EF272E" w:rsidRDefault="00DA693C" w:rsidP="00DA693C">
      <w:pPr>
        <w:spacing w:after="0" w:line="240" w:lineRule="auto"/>
        <w:rPr>
          <w:rFonts w:ascii="Arial" w:hAnsi="Arial" w:cs="Arial"/>
          <w:sz w:val="20"/>
          <w:szCs w:val="20"/>
          <w:lang w:eastAsia="en-US"/>
        </w:rPr>
      </w:pPr>
      <w:r w:rsidRPr="00EF272E">
        <w:rPr>
          <w:rFonts w:ascii="Arial" w:hAnsi="Arial" w:cs="Arial"/>
          <w:sz w:val="20"/>
          <w:szCs w:val="20"/>
          <w:lang w:eastAsia="en-US"/>
        </w:rPr>
        <w:t>Opći dio financijskog plana sastoji se od sažetaka računa prihoda i rashoda, prihodi i rashodi su iskazani prema ekonomskoj klasifikaciji i pripadajućim izvorima, a rashodi su iskazani i prema funkcijskoj klasifikaciji.</w:t>
      </w:r>
    </w:p>
    <w:p w14:paraId="474A3C3A" w14:textId="77777777" w:rsidR="00DA693C" w:rsidRPr="00EF272E" w:rsidRDefault="00DA693C" w:rsidP="00DA693C">
      <w:pPr>
        <w:spacing w:after="0" w:line="240" w:lineRule="auto"/>
        <w:rPr>
          <w:rFonts w:ascii="Arial" w:hAnsi="Arial" w:cs="Arial"/>
          <w:sz w:val="20"/>
          <w:szCs w:val="20"/>
          <w:lang w:eastAsia="en-US"/>
        </w:rPr>
      </w:pPr>
      <w:bookmarkStart w:id="344" w:name="_Hlk193267936"/>
    </w:p>
    <w:bookmarkEnd w:id="344"/>
    <w:p w14:paraId="05F55EB5" w14:textId="77777777" w:rsidR="00DA693C" w:rsidRPr="00EF272E" w:rsidRDefault="00DA693C" w:rsidP="00DA693C">
      <w:pPr>
        <w:spacing w:after="0" w:line="240" w:lineRule="auto"/>
        <w:rPr>
          <w:rFonts w:ascii="Arial" w:hAnsi="Arial" w:cs="Arial"/>
          <w:b/>
          <w:bCs/>
          <w:sz w:val="20"/>
          <w:szCs w:val="20"/>
          <w:lang w:eastAsia="en-US"/>
        </w:rPr>
      </w:pPr>
      <w:r w:rsidRPr="00EF272E">
        <w:rPr>
          <w:rFonts w:ascii="Arial" w:hAnsi="Arial" w:cs="Arial"/>
          <w:b/>
          <w:bCs/>
          <w:sz w:val="20"/>
          <w:szCs w:val="20"/>
          <w:lang w:eastAsia="en-US"/>
        </w:rPr>
        <w:t>Rashodi poslovanja za 2024. godinu</w:t>
      </w:r>
    </w:p>
    <w:p w14:paraId="69D358F3" w14:textId="28E70482" w:rsidR="00CF50B8" w:rsidRPr="00CF50B8" w:rsidRDefault="00CF50B8" w:rsidP="00CF50B8">
      <w:pPr>
        <w:numPr>
          <w:ilvl w:val="0"/>
          <w:numId w:val="41"/>
        </w:numPr>
        <w:spacing w:after="0"/>
        <w:contextualSpacing/>
        <w:jc w:val="both"/>
        <w:rPr>
          <w:rFonts w:ascii="Arial" w:eastAsia="Calibri" w:hAnsi="Arial" w:cs="Arial"/>
          <w:sz w:val="20"/>
          <w:szCs w:val="20"/>
        </w:rPr>
      </w:pPr>
      <w:r w:rsidRPr="00CF50B8">
        <w:rPr>
          <w:rFonts w:ascii="Arial" w:eastAsia="Calibri" w:hAnsi="Arial" w:cs="Arial"/>
          <w:b/>
          <w:bCs/>
          <w:i/>
          <w:iCs/>
          <w:sz w:val="20"/>
          <w:szCs w:val="20"/>
        </w:rPr>
        <w:t>Rashodi za zaposlenike</w:t>
      </w:r>
      <w:r w:rsidRPr="00CF50B8">
        <w:rPr>
          <w:rFonts w:ascii="Arial" w:eastAsia="Calibri" w:hAnsi="Arial" w:cs="Arial"/>
          <w:sz w:val="20"/>
          <w:szCs w:val="20"/>
        </w:rPr>
        <w:t xml:space="preserve">, na dan 30.6.2025. iznose 204.732,78 </w:t>
      </w:r>
      <w:r>
        <w:rPr>
          <w:rFonts w:ascii="Arial" w:eastAsia="Calibri" w:hAnsi="Arial" w:cs="Arial"/>
          <w:sz w:val="20"/>
          <w:szCs w:val="20"/>
        </w:rPr>
        <w:t>€</w:t>
      </w:r>
      <w:r w:rsidRPr="00CF50B8">
        <w:rPr>
          <w:rFonts w:ascii="Arial" w:eastAsia="Calibri" w:hAnsi="Arial" w:cs="Arial"/>
          <w:sz w:val="20"/>
          <w:szCs w:val="20"/>
        </w:rPr>
        <w:t>, što čini povećanje od 54,79% zbog povećanja plaća zaposlenika koje je nastupilo krajem 2024. godine kao i zbog većeg broja zaposlenika tijekom sezone. Ustanova na kraju prvog polugodišta 2025. godine broji 15 zaposlenika na temelju ostvarenih sati rada dok je u usporednom razdoblju 2024. godine bilo 13 zaposlenika.</w:t>
      </w:r>
    </w:p>
    <w:p w14:paraId="6C084B06" w14:textId="77777777" w:rsidR="00CF50B8" w:rsidRPr="00CF50B8" w:rsidRDefault="00CF50B8" w:rsidP="00CF50B8">
      <w:pPr>
        <w:spacing w:after="0"/>
        <w:ind w:left="720"/>
        <w:contextualSpacing/>
        <w:jc w:val="both"/>
        <w:rPr>
          <w:rFonts w:ascii="Arial" w:eastAsia="Calibri" w:hAnsi="Arial" w:cs="Arial"/>
          <w:sz w:val="20"/>
          <w:szCs w:val="20"/>
        </w:rPr>
      </w:pPr>
    </w:p>
    <w:p w14:paraId="153322D6" w14:textId="5041EB27" w:rsidR="00CF50B8" w:rsidRPr="00CF50B8" w:rsidRDefault="00CF50B8" w:rsidP="00CF50B8">
      <w:pPr>
        <w:numPr>
          <w:ilvl w:val="0"/>
          <w:numId w:val="41"/>
        </w:numPr>
        <w:spacing w:after="0"/>
        <w:contextualSpacing/>
        <w:jc w:val="both"/>
        <w:rPr>
          <w:rFonts w:ascii="Arial" w:eastAsia="Calibri" w:hAnsi="Arial" w:cs="Arial"/>
          <w:sz w:val="20"/>
          <w:szCs w:val="20"/>
        </w:rPr>
      </w:pPr>
      <w:r w:rsidRPr="00CF50B8">
        <w:rPr>
          <w:rFonts w:ascii="Arial" w:eastAsia="Calibri" w:hAnsi="Arial" w:cs="Arial"/>
          <w:b/>
          <w:bCs/>
          <w:i/>
          <w:iCs/>
          <w:sz w:val="20"/>
          <w:szCs w:val="20"/>
        </w:rPr>
        <w:t>Materijalni rashodi</w:t>
      </w:r>
      <w:r w:rsidRPr="00CF50B8">
        <w:rPr>
          <w:rFonts w:ascii="Arial" w:eastAsia="Calibri" w:hAnsi="Arial" w:cs="Arial"/>
          <w:sz w:val="20"/>
          <w:szCs w:val="20"/>
        </w:rPr>
        <w:t>, na dan 30.6.</w:t>
      </w:r>
      <w:r>
        <w:rPr>
          <w:rFonts w:ascii="Arial" w:eastAsia="Calibri" w:hAnsi="Arial" w:cs="Arial"/>
          <w:sz w:val="20"/>
          <w:szCs w:val="20"/>
        </w:rPr>
        <w:t>2</w:t>
      </w:r>
      <w:r w:rsidRPr="00CF50B8">
        <w:rPr>
          <w:rFonts w:ascii="Arial" w:eastAsia="Calibri" w:hAnsi="Arial" w:cs="Arial"/>
          <w:sz w:val="20"/>
          <w:szCs w:val="20"/>
        </w:rPr>
        <w:t xml:space="preserve">025. ostvareni su rashodi od 72.552,35 </w:t>
      </w:r>
      <w:r>
        <w:rPr>
          <w:rFonts w:ascii="Arial" w:eastAsia="Calibri" w:hAnsi="Arial" w:cs="Arial"/>
          <w:sz w:val="20"/>
          <w:szCs w:val="20"/>
        </w:rPr>
        <w:t>€</w:t>
      </w:r>
      <w:r w:rsidRPr="00CF50B8">
        <w:rPr>
          <w:rFonts w:ascii="Arial" w:eastAsia="Calibri" w:hAnsi="Arial" w:cs="Arial"/>
          <w:sz w:val="20"/>
          <w:szCs w:val="20"/>
        </w:rPr>
        <w:t>, povećani su za 30,88</w:t>
      </w:r>
      <w:r>
        <w:rPr>
          <w:rFonts w:ascii="Arial" w:eastAsia="Calibri" w:hAnsi="Arial" w:cs="Arial"/>
          <w:sz w:val="20"/>
          <w:szCs w:val="20"/>
        </w:rPr>
        <w:t>%</w:t>
      </w:r>
      <w:r w:rsidRPr="00CF50B8">
        <w:rPr>
          <w:rFonts w:ascii="Arial" w:eastAsia="Calibri" w:hAnsi="Arial" w:cs="Arial"/>
          <w:sz w:val="20"/>
          <w:szCs w:val="20"/>
        </w:rPr>
        <w:t xml:space="preserve"> u odnosu na isti period 2024. godine, te se odnose na rashode s osnove naknada za zaposlenike (prijevoz zaposlenika na rad i s rada); na rashode za materijal i energiju koji se odnose na troškove nabave el. energije, uredskog i ostalog materijala za potrebe poslovanja, nabavu suvenirskog programa, sitnog inventara; usluge telefona i interneta, poštarine; komunalne usluge, usluge promidžbe i informiranja, intelektualne i osobne usluge (autorski honorari), usluge studentskog servisa, usluge zakupa i održavanje računalnih sustava,  grafičke i tiskarske usluge kod izdavanja raznih publikacija, usluge integralne i tehničke zaštite muzejskih objekata i sl</w:t>
      </w:r>
      <w:r>
        <w:rPr>
          <w:rFonts w:ascii="Arial" w:eastAsia="Calibri" w:hAnsi="Arial" w:cs="Arial"/>
          <w:sz w:val="20"/>
          <w:szCs w:val="20"/>
        </w:rPr>
        <w:t>.</w:t>
      </w:r>
    </w:p>
    <w:p w14:paraId="65CC36BE" w14:textId="77777777" w:rsidR="00CF50B8" w:rsidRPr="00CF50B8" w:rsidRDefault="00CF50B8" w:rsidP="00CF50B8">
      <w:pPr>
        <w:spacing w:after="0"/>
        <w:ind w:left="720"/>
        <w:contextualSpacing/>
        <w:jc w:val="both"/>
        <w:rPr>
          <w:rFonts w:ascii="Arial" w:eastAsia="Calibri" w:hAnsi="Arial" w:cs="Arial"/>
          <w:sz w:val="20"/>
          <w:szCs w:val="20"/>
        </w:rPr>
      </w:pPr>
      <w:r w:rsidRPr="00CF50B8">
        <w:rPr>
          <w:rFonts w:ascii="Arial" w:eastAsia="Calibri" w:hAnsi="Arial" w:cs="Arial"/>
          <w:sz w:val="20"/>
          <w:szCs w:val="20"/>
        </w:rPr>
        <w:lastRenderedPageBreak/>
        <w:t>Na povećanje rashod od 30% u odnosu na isti period 2024. godine najviše su utjecali troškovi tiskanja kapitalnog djela povijesti umjetnosti, monografije Vlaho Bukovac (1855-1922) autora Igor Zidića.</w:t>
      </w:r>
    </w:p>
    <w:p w14:paraId="665D1068" w14:textId="77777777" w:rsidR="00CF50B8" w:rsidRPr="00CF50B8" w:rsidRDefault="00CF50B8" w:rsidP="00CF50B8">
      <w:pPr>
        <w:spacing w:after="0"/>
        <w:ind w:left="720"/>
        <w:contextualSpacing/>
        <w:jc w:val="both"/>
        <w:rPr>
          <w:rFonts w:ascii="Arial" w:eastAsia="Calibri" w:hAnsi="Arial" w:cs="Arial"/>
          <w:sz w:val="20"/>
          <w:szCs w:val="20"/>
        </w:rPr>
      </w:pPr>
    </w:p>
    <w:p w14:paraId="1B4B4983" w14:textId="11648ECD" w:rsidR="00CF50B8" w:rsidRPr="00CF50B8" w:rsidRDefault="00CF50B8" w:rsidP="00CF50B8">
      <w:pPr>
        <w:numPr>
          <w:ilvl w:val="0"/>
          <w:numId w:val="41"/>
        </w:numPr>
        <w:spacing w:after="0"/>
        <w:contextualSpacing/>
        <w:jc w:val="both"/>
        <w:rPr>
          <w:rFonts w:ascii="Arial" w:eastAsia="Calibri" w:hAnsi="Arial" w:cs="Arial"/>
          <w:sz w:val="20"/>
          <w:szCs w:val="20"/>
        </w:rPr>
      </w:pPr>
      <w:r w:rsidRPr="00CF50B8">
        <w:rPr>
          <w:rFonts w:ascii="Arial" w:eastAsia="Calibri" w:hAnsi="Arial" w:cs="Arial"/>
          <w:b/>
          <w:bCs/>
          <w:i/>
          <w:iCs/>
          <w:sz w:val="20"/>
          <w:szCs w:val="20"/>
        </w:rPr>
        <w:t xml:space="preserve">Financijski rashodi,  </w:t>
      </w:r>
      <w:r w:rsidRPr="00CF50B8">
        <w:rPr>
          <w:rFonts w:ascii="Arial" w:eastAsia="Calibri" w:hAnsi="Arial" w:cs="Arial"/>
          <w:sz w:val="20"/>
          <w:szCs w:val="20"/>
        </w:rPr>
        <w:t xml:space="preserve">na dan 30.6.2025. ostvareni su rashodi u iznosu od 204,83 </w:t>
      </w:r>
      <w:r>
        <w:rPr>
          <w:rFonts w:ascii="Arial" w:eastAsia="Calibri" w:hAnsi="Arial" w:cs="Arial"/>
          <w:sz w:val="20"/>
          <w:szCs w:val="20"/>
        </w:rPr>
        <w:t>€</w:t>
      </w:r>
      <w:r w:rsidRPr="00CF50B8">
        <w:rPr>
          <w:rFonts w:ascii="Arial" w:eastAsia="Calibri" w:hAnsi="Arial" w:cs="Arial"/>
          <w:sz w:val="20"/>
          <w:szCs w:val="20"/>
        </w:rPr>
        <w:t>, odnose se na bankovne i naknade platnog prometa iz redovnog poslovanja.</w:t>
      </w:r>
    </w:p>
    <w:p w14:paraId="324FF75D" w14:textId="77777777" w:rsidR="00CF50B8" w:rsidRPr="00CF50B8" w:rsidRDefault="00CF50B8" w:rsidP="00CF50B8">
      <w:pPr>
        <w:spacing w:after="0"/>
        <w:ind w:left="720"/>
        <w:contextualSpacing/>
        <w:jc w:val="both"/>
        <w:rPr>
          <w:rFonts w:ascii="Arial" w:eastAsia="Calibri" w:hAnsi="Arial" w:cs="Arial"/>
          <w:sz w:val="20"/>
          <w:szCs w:val="20"/>
        </w:rPr>
      </w:pPr>
      <w:r w:rsidRPr="00CF50B8">
        <w:rPr>
          <w:rFonts w:ascii="Arial" w:eastAsia="Calibri" w:hAnsi="Arial" w:cs="Arial"/>
          <w:sz w:val="20"/>
          <w:szCs w:val="20"/>
        </w:rPr>
        <w:t xml:space="preserve"> </w:t>
      </w:r>
    </w:p>
    <w:p w14:paraId="40D17D48" w14:textId="191159F8" w:rsidR="00CF50B8" w:rsidRPr="00CF50B8" w:rsidRDefault="00CF50B8" w:rsidP="00CF50B8">
      <w:pPr>
        <w:numPr>
          <w:ilvl w:val="0"/>
          <w:numId w:val="41"/>
        </w:numPr>
        <w:spacing w:after="0"/>
        <w:contextualSpacing/>
        <w:jc w:val="both"/>
        <w:rPr>
          <w:rFonts w:ascii="Arial" w:eastAsia="Calibri" w:hAnsi="Arial" w:cs="Arial"/>
          <w:sz w:val="20"/>
          <w:szCs w:val="20"/>
        </w:rPr>
      </w:pPr>
      <w:r w:rsidRPr="00CF50B8">
        <w:rPr>
          <w:rFonts w:ascii="Arial" w:eastAsia="Calibri" w:hAnsi="Arial" w:cs="Arial"/>
          <w:b/>
          <w:bCs/>
          <w:i/>
          <w:iCs/>
          <w:sz w:val="20"/>
          <w:szCs w:val="20"/>
        </w:rPr>
        <w:t xml:space="preserve">Rashodi za nabavu nefinancijske imovine, </w:t>
      </w:r>
      <w:r w:rsidRPr="00CF50B8">
        <w:rPr>
          <w:rFonts w:ascii="Arial" w:eastAsia="Calibri" w:hAnsi="Arial" w:cs="Arial"/>
          <w:sz w:val="20"/>
          <w:szCs w:val="20"/>
        </w:rPr>
        <w:t xml:space="preserve">na dan 30.6.2025. ostvareni su rashodi u iznosu od 20.300,00 </w:t>
      </w:r>
      <w:r>
        <w:rPr>
          <w:rFonts w:ascii="Arial" w:eastAsia="Calibri" w:hAnsi="Arial" w:cs="Arial"/>
          <w:sz w:val="20"/>
          <w:szCs w:val="20"/>
        </w:rPr>
        <w:t>€</w:t>
      </w:r>
      <w:r w:rsidRPr="00CF50B8">
        <w:rPr>
          <w:rFonts w:ascii="Arial" w:eastAsia="Calibri" w:hAnsi="Arial" w:cs="Arial"/>
          <w:sz w:val="20"/>
          <w:szCs w:val="20"/>
        </w:rPr>
        <w:t xml:space="preserve">, a odnose se na nabavu proizvedene dugotrajne imovine / računalne opreme u iznosu od 120,00 </w:t>
      </w:r>
      <w:r>
        <w:rPr>
          <w:rFonts w:ascii="Arial" w:eastAsia="Calibri" w:hAnsi="Arial" w:cs="Arial"/>
          <w:sz w:val="20"/>
          <w:szCs w:val="20"/>
        </w:rPr>
        <w:t>€</w:t>
      </w:r>
      <w:r w:rsidRPr="00CF50B8">
        <w:rPr>
          <w:rFonts w:ascii="Arial" w:eastAsia="Calibri" w:hAnsi="Arial" w:cs="Arial"/>
          <w:sz w:val="20"/>
          <w:szCs w:val="20"/>
        </w:rPr>
        <w:t xml:space="preserve">; na </w:t>
      </w:r>
      <w:r w:rsidRPr="00CF50B8">
        <w:rPr>
          <w:rFonts w:ascii="Arial" w:eastAsia="Calibri" w:hAnsi="Arial" w:cs="Arial"/>
          <w:bCs/>
          <w:sz w:val="20"/>
          <w:szCs w:val="20"/>
        </w:rPr>
        <w:t xml:space="preserve">otkup muzejske građe/arhivske dokumentacije u iznosu od 1.880,00 </w:t>
      </w:r>
      <w:r>
        <w:rPr>
          <w:rFonts w:ascii="Arial" w:eastAsia="Calibri" w:hAnsi="Arial" w:cs="Arial"/>
          <w:bCs/>
          <w:sz w:val="20"/>
          <w:szCs w:val="20"/>
        </w:rPr>
        <w:t>€</w:t>
      </w:r>
      <w:r w:rsidRPr="00CF50B8">
        <w:rPr>
          <w:rFonts w:ascii="Arial" w:eastAsia="Calibri" w:hAnsi="Arial" w:cs="Arial"/>
          <w:bCs/>
          <w:sz w:val="20"/>
          <w:szCs w:val="20"/>
        </w:rPr>
        <w:t xml:space="preserve"> vezana za život Vlaha Bukovca; te na otkup umjetničke slike Vlaha Bukovac </w:t>
      </w:r>
      <w:r w:rsidRPr="00CF50B8">
        <w:rPr>
          <w:rFonts w:ascii="Arial" w:eastAsia="Calibri" w:hAnsi="Arial" w:cs="Arial"/>
          <w:bCs/>
          <w:i/>
          <w:iCs/>
          <w:sz w:val="20"/>
          <w:szCs w:val="20"/>
        </w:rPr>
        <w:t>Studija figure slikara Alegorija umjetnosti II</w:t>
      </w:r>
      <w:r w:rsidRPr="00CF50B8">
        <w:rPr>
          <w:rFonts w:ascii="Arial" w:eastAsia="Calibri" w:hAnsi="Arial" w:cs="Arial"/>
          <w:bCs/>
          <w:sz w:val="20"/>
          <w:szCs w:val="20"/>
        </w:rPr>
        <w:t xml:space="preserve"> u iznosu od 18.300 </w:t>
      </w:r>
      <w:r>
        <w:rPr>
          <w:rFonts w:ascii="Arial" w:eastAsia="Calibri" w:hAnsi="Arial" w:cs="Arial"/>
          <w:bCs/>
          <w:sz w:val="20"/>
          <w:szCs w:val="20"/>
        </w:rPr>
        <w:t>€</w:t>
      </w:r>
      <w:r w:rsidRPr="00CF50B8">
        <w:rPr>
          <w:rFonts w:ascii="Arial" w:eastAsia="Calibri" w:hAnsi="Arial" w:cs="Arial"/>
          <w:bCs/>
          <w:sz w:val="20"/>
          <w:szCs w:val="20"/>
        </w:rPr>
        <w:t>.</w:t>
      </w:r>
    </w:p>
    <w:p w14:paraId="3FC00C79" w14:textId="77777777" w:rsidR="00CF50B8" w:rsidRPr="00CF50B8" w:rsidRDefault="00CF50B8" w:rsidP="00CF50B8">
      <w:pPr>
        <w:spacing w:after="0"/>
        <w:ind w:left="720"/>
        <w:contextualSpacing/>
        <w:jc w:val="both"/>
        <w:rPr>
          <w:rFonts w:ascii="Arial" w:eastAsia="Calibri" w:hAnsi="Arial" w:cs="Arial"/>
          <w:sz w:val="20"/>
          <w:szCs w:val="20"/>
        </w:rPr>
      </w:pPr>
    </w:p>
    <w:p w14:paraId="4B21F184" w14:textId="0246BCFF" w:rsidR="00CF50B8" w:rsidRPr="00CF50B8" w:rsidRDefault="00CF50B8" w:rsidP="00CF50B8">
      <w:pPr>
        <w:spacing w:after="0"/>
        <w:jc w:val="both"/>
        <w:rPr>
          <w:rFonts w:ascii="Arial" w:eastAsia="Calibri" w:hAnsi="Arial" w:cs="Arial"/>
          <w:sz w:val="20"/>
          <w:szCs w:val="20"/>
        </w:rPr>
      </w:pPr>
      <w:r w:rsidRPr="00CF50B8">
        <w:rPr>
          <w:rFonts w:ascii="Arial" w:eastAsia="Calibri" w:hAnsi="Arial" w:cs="Arial"/>
          <w:sz w:val="20"/>
          <w:szCs w:val="20"/>
        </w:rPr>
        <w:t xml:space="preserve">Višak  prihoda ostvaren u razdoblju 1-6/2025. godine u iznosu od 62.528,31 </w:t>
      </w:r>
      <w:r>
        <w:rPr>
          <w:rFonts w:ascii="Arial" w:eastAsia="Calibri" w:hAnsi="Arial" w:cs="Arial"/>
          <w:sz w:val="20"/>
          <w:szCs w:val="20"/>
        </w:rPr>
        <w:t>€</w:t>
      </w:r>
      <w:r w:rsidRPr="00CF50B8">
        <w:rPr>
          <w:rFonts w:ascii="Arial" w:eastAsia="Calibri" w:hAnsi="Arial" w:cs="Arial"/>
          <w:sz w:val="20"/>
          <w:szCs w:val="20"/>
        </w:rPr>
        <w:t xml:space="preserve"> planira se djelomično utrošiti do kraja tekuće godine. </w:t>
      </w:r>
    </w:p>
    <w:p w14:paraId="1DCDE079" w14:textId="77777777" w:rsidR="00142BE7" w:rsidRPr="00EF272E" w:rsidRDefault="00142BE7" w:rsidP="00A63BE4">
      <w:pPr>
        <w:spacing w:after="0" w:line="240" w:lineRule="auto"/>
        <w:jc w:val="both"/>
        <w:rPr>
          <w:rFonts w:ascii="Arial" w:eastAsia="Calibri" w:hAnsi="Arial" w:cs="Arial"/>
          <w:sz w:val="20"/>
          <w:szCs w:val="20"/>
        </w:rPr>
      </w:pPr>
    </w:p>
    <w:p w14:paraId="5352E8B0" w14:textId="77777777" w:rsidR="009837C0" w:rsidRPr="003A2F86" w:rsidRDefault="009837C0">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3A2F86">
        <w:rPr>
          <w:rFonts w:ascii="Arial" w:eastAsia="Calibri" w:hAnsi="Arial" w:cs="Arial"/>
          <w:b/>
        </w:rPr>
        <w:t>OBRAZLOŽENJE POSEBNOG DIJELA FINANCIJSKOG PLANA</w:t>
      </w:r>
    </w:p>
    <w:p w14:paraId="2EB58680" w14:textId="77777777" w:rsidR="009837C0" w:rsidRPr="003A2F86" w:rsidRDefault="009837C0" w:rsidP="00A63BE4">
      <w:pPr>
        <w:spacing w:after="0" w:line="240" w:lineRule="auto"/>
        <w:rPr>
          <w:rFonts w:ascii="Arial" w:eastAsia="Calibri" w:hAnsi="Arial" w:cs="Arial"/>
          <w:b/>
        </w:rPr>
      </w:pPr>
    </w:p>
    <w:p w14:paraId="04F598D2" w14:textId="77777777" w:rsidR="009837C0" w:rsidRPr="003A2F86" w:rsidRDefault="009837C0" w:rsidP="00A63BE4">
      <w:pPr>
        <w:pStyle w:val="Tijeloteksta"/>
        <w:ind w:left="212" w:right="543"/>
        <w:rPr>
          <w:rFonts w:ascii="Arial" w:eastAsia="Calibri" w:hAnsi="Arial" w:cs="Arial"/>
          <w:sz w:val="20"/>
          <w:lang w:val="hr-HR"/>
        </w:rPr>
      </w:pPr>
      <w:r w:rsidRPr="003A2F86">
        <w:rPr>
          <w:rFonts w:ascii="Arial" w:eastAsia="Calibri" w:hAnsi="Arial" w:cs="Arial"/>
          <w:sz w:val="20"/>
          <w:lang w:val="hr-HR"/>
        </w:rPr>
        <w:t>Posebni dio financijskog plana iskazuje rashode i izdatke po organizacijskoj klasifikaciji, po ekonomskoj i programskoj klasifikaciji, te izvorima financiranja.</w:t>
      </w:r>
    </w:p>
    <w:p w14:paraId="5CF46C3B" w14:textId="77777777" w:rsidR="009837C0" w:rsidRPr="003A2F86" w:rsidRDefault="009837C0" w:rsidP="00A63BE4">
      <w:pPr>
        <w:spacing w:after="0" w:line="240" w:lineRule="auto"/>
        <w:rPr>
          <w:rFonts w:ascii="Arial" w:eastAsia="Calibri" w:hAnsi="Arial" w:cs="Arial"/>
        </w:rPr>
      </w:pPr>
    </w:p>
    <w:tbl>
      <w:tblPr>
        <w:tblW w:w="11081" w:type="dxa"/>
        <w:jc w:val="center"/>
        <w:tblLook w:val="04A0" w:firstRow="1" w:lastRow="0" w:firstColumn="1" w:lastColumn="0" w:noHBand="0" w:noVBand="1"/>
      </w:tblPr>
      <w:tblGrid>
        <w:gridCol w:w="2263"/>
        <w:gridCol w:w="1560"/>
        <w:gridCol w:w="1559"/>
        <w:gridCol w:w="1409"/>
        <w:gridCol w:w="1217"/>
        <w:gridCol w:w="1623"/>
        <w:gridCol w:w="1450"/>
      </w:tblGrid>
      <w:tr w:rsidR="00CF50B8" w:rsidRPr="00FA7932" w14:paraId="32599B9B" w14:textId="414FF5DF" w:rsidTr="00CF50B8">
        <w:trPr>
          <w:trHeight w:val="1073"/>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14:paraId="27E8F943" w14:textId="77777777" w:rsidR="00CF50B8" w:rsidRPr="00FA7932" w:rsidRDefault="00CF50B8" w:rsidP="00CF50B8">
            <w:pPr>
              <w:spacing w:after="0" w:line="240" w:lineRule="auto"/>
              <w:jc w:val="center"/>
              <w:rPr>
                <w:rFonts w:ascii="Arial" w:hAnsi="Arial" w:cs="Arial"/>
                <w:b/>
                <w:sz w:val="20"/>
                <w:szCs w:val="20"/>
              </w:rPr>
            </w:pPr>
            <w:r w:rsidRPr="00FA7932">
              <w:rPr>
                <w:rFonts w:ascii="Arial" w:hAnsi="Arial" w:cs="Arial"/>
                <w:b/>
                <w:sz w:val="20"/>
                <w:szCs w:val="20"/>
              </w:rPr>
              <w:t>Naziv programa iz Proračuna</w:t>
            </w:r>
          </w:p>
        </w:tc>
        <w:tc>
          <w:tcPr>
            <w:tcW w:w="1560" w:type="dxa"/>
            <w:tcBorders>
              <w:top w:val="single" w:sz="4" w:space="0" w:color="auto"/>
              <w:left w:val="nil"/>
              <w:bottom w:val="single" w:sz="4" w:space="0" w:color="auto"/>
              <w:right w:val="single" w:sz="4" w:space="0" w:color="auto"/>
            </w:tcBorders>
            <w:noWrap/>
            <w:vAlign w:val="center"/>
          </w:tcPr>
          <w:p w14:paraId="741FB557" w14:textId="4BED69EA" w:rsidR="00CF50B8" w:rsidRPr="00CF50B8" w:rsidRDefault="00CF50B8" w:rsidP="00CF50B8">
            <w:pPr>
              <w:spacing w:after="0" w:line="240" w:lineRule="auto"/>
              <w:jc w:val="center"/>
              <w:rPr>
                <w:rFonts w:ascii="Arial" w:hAnsi="Arial" w:cs="Arial"/>
                <w:b/>
                <w:sz w:val="20"/>
                <w:szCs w:val="20"/>
              </w:rPr>
            </w:pPr>
            <w:r w:rsidRPr="00CF50B8">
              <w:rPr>
                <w:rFonts w:ascii="Arial" w:hAnsi="Arial" w:cs="Arial"/>
                <w:sz w:val="20"/>
                <w:szCs w:val="20"/>
              </w:rPr>
              <w:t>Izvršenje proračuna za                         1-6/2024.</w:t>
            </w:r>
          </w:p>
        </w:tc>
        <w:tc>
          <w:tcPr>
            <w:tcW w:w="1559" w:type="dxa"/>
            <w:tcBorders>
              <w:top w:val="single" w:sz="4" w:space="0" w:color="auto"/>
              <w:left w:val="single" w:sz="4" w:space="0" w:color="auto"/>
              <w:bottom w:val="single" w:sz="4" w:space="0" w:color="auto"/>
              <w:right w:val="single" w:sz="4" w:space="0" w:color="auto"/>
            </w:tcBorders>
            <w:vAlign w:val="center"/>
          </w:tcPr>
          <w:p w14:paraId="29BCD7EB" w14:textId="546FEBB1" w:rsidR="00CF50B8" w:rsidRPr="00CF50B8" w:rsidRDefault="00CF50B8" w:rsidP="00CF50B8">
            <w:pPr>
              <w:spacing w:after="0" w:line="240" w:lineRule="auto"/>
              <w:jc w:val="center"/>
              <w:rPr>
                <w:rFonts w:ascii="Arial" w:hAnsi="Arial" w:cs="Arial"/>
                <w:bCs/>
                <w:sz w:val="20"/>
                <w:szCs w:val="20"/>
              </w:rPr>
            </w:pPr>
            <w:r w:rsidRPr="00CF50B8">
              <w:rPr>
                <w:rFonts w:ascii="Arial" w:hAnsi="Arial" w:cs="Arial"/>
                <w:sz w:val="20"/>
                <w:szCs w:val="20"/>
              </w:rPr>
              <w:t>Izvorni plan za 2025. godinu</w:t>
            </w:r>
          </w:p>
        </w:tc>
        <w:tc>
          <w:tcPr>
            <w:tcW w:w="1410" w:type="dxa"/>
            <w:tcBorders>
              <w:top w:val="single" w:sz="4" w:space="0" w:color="auto"/>
              <w:left w:val="nil"/>
              <w:bottom w:val="single" w:sz="4" w:space="0" w:color="auto"/>
              <w:right w:val="single" w:sz="4" w:space="0" w:color="auto"/>
            </w:tcBorders>
            <w:vAlign w:val="center"/>
          </w:tcPr>
          <w:p w14:paraId="65E993AB" w14:textId="31720597" w:rsidR="00CF50B8" w:rsidRPr="00CF50B8" w:rsidRDefault="00CF50B8" w:rsidP="00CF50B8">
            <w:pPr>
              <w:spacing w:after="0" w:line="240" w:lineRule="auto"/>
              <w:jc w:val="center"/>
              <w:rPr>
                <w:rFonts w:ascii="Arial" w:hAnsi="Arial" w:cs="Arial"/>
                <w:b/>
                <w:sz w:val="20"/>
                <w:szCs w:val="20"/>
              </w:rPr>
            </w:pPr>
            <w:r w:rsidRPr="00CF50B8">
              <w:rPr>
                <w:rFonts w:ascii="Arial" w:hAnsi="Arial" w:cs="Arial"/>
                <w:sz w:val="20"/>
                <w:szCs w:val="20"/>
              </w:rPr>
              <w:t>Tekući plan za</w:t>
            </w:r>
            <w:r>
              <w:rPr>
                <w:rFonts w:ascii="Arial" w:hAnsi="Arial" w:cs="Arial"/>
                <w:sz w:val="20"/>
                <w:szCs w:val="20"/>
              </w:rPr>
              <w:t xml:space="preserve"> 2</w:t>
            </w:r>
            <w:r w:rsidRPr="00CF50B8">
              <w:rPr>
                <w:rFonts w:ascii="Arial" w:hAnsi="Arial" w:cs="Arial"/>
                <w:sz w:val="20"/>
                <w:szCs w:val="20"/>
              </w:rPr>
              <w:t>025. godinu</w:t>
            </w:r>
          </w:p>
        </w:tc>
        <w:tc>
          <w:tcPr>
            <w:tcW w:w="1217" w:type="dxa"/>
            <w:tcBorders>
              <w:top w:val="single" w:sz="4" w:space="0" w:color="auto"/>
              <w:left w:val="nil"/>
              <w:bottom w:val="single" w:sz="4" w:space="0" w:color="auto"/>
              <w:right w:val="single" w:sz="4" w:space="0" w:color="auto"/>
            </w:tcBorders>
            <w:vAlign w:val="center"/>
          </w:tcPr>
          <w:p w14:paraId="1C085511" w14:textId="71E890AD" w:rsidR="00CF50B8" w:rsidRPr="00CF50B8" w:rsidRDefault="00CF50B8" w:rsidP="00CF50B8">
            <w:pPr>
              <w:spacing w:after="0" w:line="240" w:lineRule="auto"/>
              <w:jc w:val="center"/>
              <w:rPr>
                <w:rFonts w:ascii="Arial" w:hAnsi="Arial" w:cs="Arial"/>
                <w:sz w:val="20"/>
                <w:szCs w:val="20"/>
              </w:rPr>
            </w:pPr>
            <w:r w:rsidRPr="00CF50B8">
              <w:rPr>
                <w:rFonts w:ascii="Arial" w:hAnsi="Arial" w:cs="Arial"/>
                <w:sz w:val="20"/>
                <w:szCs w:val="20"/>
              </w:rPr>
              <w:t>Izvršenje proračuna za</w:t>
            </w:r>
            <w:r>
              <w:rPr>
                <w:rFonts w:ascii="Arial" w:hAnsi="Arial" w:cs="Arial"/>
                <w:sz w:val="20"/>
                <w:szCs w:val="20"/>
              </w:rPr>
              <w:t xml:space="preserve"> </w:t>
            </w:r>
            <w:r w:rsidRPr="00CF50B8">
              <w:rPr>
                <w:rFonts w:ascii="Arial" w:hAnsi="Arial" w:cs="Arial"/>
                <w:sz w:val="20"/>
                <w:szCs w:val="20"/>
              </w:rPr>
              <w:t>1-6/2025</w:t>
            </w:r>
          </w:p>
        </w:tc>
        <w:tc>
          <w:tcPr>
            <w:tcW w:w="1625" w:type="dxa"/>
            <w:tcBorders>
              <w:top w:val="single" w:sz="4" w:space="0" w:color="auto"/>
              <w:left w:val="nil"/>
              <w:bottom w:val="single" w:sz="4" w:space="0" w:color="auto"/>
              <w:right w:val="single" w:sz="4" w:space="0" w:color="auto"/>
            </w:tcBorders>
            <w:vAlign w:val="center"/>
          </w:tcPr>
          <w:p w14:paraId="6B060753" w14:textId="02032F1E" w:rsidR="00CF50B8" w:rsidRPr="00CF50B8" w:rsidRDefault="00CF50B8" w:rsidP="00CF50B8">
            <w:pPr>
              <w:spacing w:after="0" w:line="240" w:lineRule="auto"/>
              <w:jc w:val="center"/>
              <w:rPr>
                <w:rFonts w:ascii="Arial" w:hAnsi="Arial" w:cs="Arial"/>
                <w:sz w:val="20"/>
                <w:szCs w:val="20"/>
              </w:rPr>
            </w:pPr>
            <w:r w:rsidRPr="00CF50B8">
              <w:rPr>
                <w:rFonts w:ascii="Arial" w:hAnsi="Arial" w:cs="Arial"/>
                <w:sz w:val="20"/>
                <w:szCs w:val="20"/>
              </w:rPr>
              <w:t>Indeks</w:t>
            </w:r>
            <w:r>
              <w:rPr>
                <w:rFonts w:ascii="Arial" w:hAnsi="Arial" w:cs="Arial"/>
                <w:sz w:val="20"/>
                <w:szCs w:val="20"/>
              </w:rPr>
              <w:t xml:space="preserve"> </w:t>
            </w:r>
          </w:p>
          <w:p w14:paraId="5E6EB93D" w14:textId="77777777" w:rsidR="00CF50B8" w:rsidRDefault="00CF50B8" w:rsidP="00CF50B8">
            <w:pPr>
              <w:spacing w:after="0" w:line="240" w:lineRule="auto"/>
              <w:jc w:val="center"/>
              <w:rPr>
                <w:rFonts w:ascii="Arial" w:hAnsi="Arial" w:cs="Arial"/>
                <w:sz w:val="20"/>
                <w:szCs w:val="20"/>
              </w:rPr>
            </w:pPr>
            <w:r w:rsidRPr="00CF50B8">
              <w:rPr>
                <w:rFonts w:ascii="Arial" w:hAnsi="Arial" w:cs="Arial"/>
                <w:sz w:val="20"/>
                <w:szCs w:val="20"/>
              </w:rPr>
              <w:t xml:space="preserve">Plan </w:t>
            </w:r>
          </w:p>
          <w:p w14:paraId="288BAF54" w14:textId="5B22BB0D" w:rsidR="00CF50B8" w:rsidRDefault="00CF50B8" w:rsidP="00CF50B8">
            <w:pPr>
              <w:spacing w:after="0" w:line="240" w:lineRule="auto"/>
              <w:jc w:val="center"/>
              <w:rPr>
                <w:rFonts w:ascii="Arial" w:hAnsi="Arial" w:cs="Arial"/>
                <w:sz w:val="20"/>
                <w:szCs w:val="20"/>
              </w:rPr>
            </w:pPr>
            <w:r w:rsidRPr="00CF50B8">
              <w:rPr>
                <w:rFonts w:ascii="Arial" w:hAnsi="Arial" w:cs="Arial"/>
                <w:sz w:val="20"/>
                <w:szCs w:val="20"/>
              </w:rPr>
              <w:t>2025/2024</w:t>
            </w:r>
            <w:r>
              <w:rPr>
                <w:rFonts w:ascii="Arial" w:hAnsi="Arial" w:cs="Arial"/>
                <w:sz w:val="20"/>
                <w:szCs w:val="20"/>
              </w:rPr>
              <w:t xml:space="preserve"> </w:t>
            </w:r>
          </w:p>
          <w:p w14:paraId="7DF31BB0" w14:textId="3FE336B9" w:rsidR="00CF50B8" w:rsidRPr="00CF50B8" w:rsidRDefault="00CF50B8" w:rsidP="00CF50B8">
            <w:pPr>
              <w:spacing w:after="0" w:line="240" w:lineRule="auto"/>
              <w:jc w:val="center"/>
              <w:rPr>
                <w:rFonts w:ascii="Arial" w:hAnsi="Arial" w:cs="Arial"/>
                <w:sz w:val="20"/>
                <w:szCs w:val="20"/>
              </w:rPr>
            </w:pPr>
            <w:r>
              <w:rPr>
                <w:rFonts w:ascii="Arial" w:hAnsi="Arial" w:cs="Arial"/>
                <w:sz w:val="20"/>
                <w:szCs w:val="20"/>
              </w:rPr>
              <w:t>(</w:t>
            </w:r>
            <w:r w:rsidRPr="00CF50B8">
              <w:rPr>
                <w:rFonts w:ascii="Arial" w:hAnsi="Arial" w:cs="Arial"/>
                <w:sz w:val="20"/>
                <w:szCs w:val="20"/>
              </w:rPr>
              <w:t>4/1</w:t>
            </w:r>
            <w:r>
              <w:rPr>
                <w:rFonts w:ascii="Arial" w:hAnsi="Arial" w:cs="Arial"/>
                <w:sz w:val="20"/>
                <w:szCs w:val="20"/>
              </w:rPr>
              <w:t>)</w:t>
            </w:r>
          </w:p>
        </w:tc>
        <w:tc>
          <w:tcPr>
            <w:tcW w:w="1447" w:type="dxa"/>
            <w:tcBorders>
              <w:top w:val="single" w:sz="4" w:space="0" w:color="auto"/>
              <w:left w:val="nil"/>
              <w:bottom w:val="single" w:sz="4" w:space="0" w:color="auto"/>
              <w:right w:val="single" w:sz="4" w:space="0" w:color="auto"/>
            </w:tcBorders>
            <w:vAlign w:val="center"/>
          </w:tcPr>
          <w:p w14:paraId="0394424D" w14:textId="77777777" w:rsidR="00CF50B8" w:rsidRPr="00CF50B8" w:rsidRDefault="00CF50B8" w:rsidP="00CF50B8">
            <w:pPr>
              <w:spacing w:after="0" w:line="240" w:lineRule="auto"/>
              <w:jc w:val="center"/>
              <w:rPr>
                <w:rFonts w:ascii="Arial" w:hAnsi="Arial" w:cs="Arial"/>
                <w:sz w:val="20"/>
                <w:szCs w:val="20"/>
              </w:rPr>
            </w:pPr>
            <w:r w:rsidRPr="00CF50B8">
              <w:rPr>
                <w:rFonts w:ascii="Arial" w:hAnsi="Arial" w:cs="Arial"/>
                <w:sz w:val="20"/>
                <w:szCs w:val="20"/>
              </w:rPr>
              <w:t>Indeks</w:t>
            </w:r>
          </w:p>
          <w:p w14:paraId="69C034C0" w14:textId="77777777" w:rsidR="00CF50B8" w:rsidRPr="00CF50B8" w:rsidRDefault="00CF50B8" w:rsidP="00CF50B8">
            <w:pPr>
              <w:spacing w:after="0" w:line="240" w:lineRule="auto"/>
              <w:jc w:val="center"/>
              <w:rPr>
                <w:rFonts w:ascii="Arial" w:hAnsi="Arial" w:cs="Arial"/>
                <w:sz w:val="20"/>
                <w:szCs w:val="20"/>
              </w:rPr>
            </w:pPr>
            <w:r w:rsidRPr="00CF50B8">
              <w:rPr>
                <w:rFonts w:ascii="Arial" w:hAnsi="Arial" w:cs="Arial"/>
                <w:sz w:val="20"/>
                <w:szCs w:val="20"/>
              </w:rPr>
              <w:t xml:space="preserve">Izvršenje/plan </w:t>
            </w:r>
          </w:p>
          <w:p w14:paraId="0DB48D1C" w14:textId="77777777" w:rsidR="00CF50B8" w:rsidRPr="00CF50B8" w:rsidRDefault="00CF50B8" w:rsidP="00CF50B8">
            <w:pPr>
              <w:spacing w:after="0" w:line="240" w:lineRule="auto"/>
              <w:jc w:val="center"/>
              <w:rPr>
                <w:rFonts w:ascii="Arial" w:hAnsi="Arial" w:cs="Arial"/>
                <w:sz w:val="20"/>
                <w:szCs w:val="20"/>
              </w:rPr>
            </w:pPr>
            <w:r w:rsidRPr="00CF50B8">
              <w:rPr>
                <w:rFonts w:ascii="Arial" w:hAnsi="Arial" w:cs="Arial"/>
                <w:sz w:val="20"/>
                <w:szCs w:val="20"/>
              </w:rPr>
              <w:t>2025</w:t>
            </w:r>
          </w:p>
          <w:p w14:paraId="3398524A" w14:textId="6296191A" w:rsidR="00CF50B8" w:rsidRPr="00CF50B8" w:rsidRDefault="00CF50B8" w:rsidP="00CF50B8">
            <w:pPr>
              <w:spacing w:after="0" w:line="240" w:lineRule="auto"/>
              <w:jc w:val="center"/>
              <w:rPr>
                <w:rFonts w:ascii="Arial" w:hAnsi="Arial" w:cs="Arial"/>
                <w:sz w:val="20"/>
                <w:szCs w:val="20"/>
              </w:rPr>
            </w:pPr>
            <w:r w:rsidRPr="00CF50B8">
              <w:rPr>
                <w:rFonts w:ascii="Arial" w:hAnsi="Arial" w:cs="Arial"/>
                <w:sz w:val="20"/>
                <w:szCs w:val="20"/>
              </w:rPr>
              <w:t>4/3</w:t>
            </w:r>
          </w:p>
        </w:tc>
      </w:tr>
      <w:tr w:rsidR="00CF50B8" w:rsidRPr="00CF50B8" w14:paraId="50CDA354" w14:textId="7599B865" w:rsidTr="00CF50B8">
        <w:trPr>
          <w:trHeight w:val="209"/>
          <w:jc w:val="center"/>
        </w:trPr>
        <w:tc>
          <w:tcPr>
            <w:tcW w:w="2263" w:type="dxa"/>
            <w:tcBorders>
              <w:top w:val="single" w:sz="4" w:space="0" w:color="auto"/>
              <w:left w:val="single" w:sz="4" w:space="0" w:color="auto"/>
              <w:bottom w:val="single" w:sz="4" w:space="0" w:color="auto"/>
              <w:right w:val="single" w:sz="4" w:space="0" w:color="auto"/>
            </w:tcBorders>
            <w:vAlign w:val="center"/>
          </w:tcPr>
          <w:p w14:paraId="56E46756" w14:textId="77777777" w:rsidR="00CF50B8" w:rsidRPr="00CF50B8" w:rsidRDefault="00CF50B8" w:rsidP="00CF50B8">
            <w:pPr>
              <w:spacing w:after="0" w:line="240" w:lineRule="auto"/>
              <w:jc w:val="center"/>
              <w:rPr>
                <w:rFonts w:ascii="Arial" w:hAnsi="Arial" w:cs="Arial"/>
                <w:sz w:val="14"/>
                <w:szCs w:val="14"/>
              </w:rPr>
            </w:pPr>
          </w:p>
        </w:tc>
        <w:tc>
          <w:tcPr>
            <w:tcW w:w="1560" w:type="dxa"/>
            <w:tcBorders>
              <w:top w:val="single" w:sz="4" w:space="0" w:color="auto"/>
              <w:bottom w:val="single" w:sz="4" w:space="0" w:color="auto"/>
              <w:right w:val="single" w:sz="4" w:space="0" w:color="auto"/>
            </w:tcBorders>
            <w:noWrap/>
            <w:vAlign w:val="center"/>
          </w:tcPr>
          <w:p w14:paraId="135D272F" w14:textId="0AB7359F" w:rsidR="00CF50B8" w:rsidRPr="00CF50B8" w:rsidRDefault="00CF50B8" w:rsidP="00CF50B8">
            <w:pPr>
              <w:spacing w:after="101"/>
              <w:jc w:val="center"/>
              <w:rPr>
                <w:rFonts w:ascii="Arial" w:eastAsia="Arial" w:hAnsi="Arial" w:cs="Arial"/>
                <w:bCs/>
                <w:sz w:val="14"/>
                <w:szCs w:val="14"/>
              </w:rPr>
            </w:pPr>
            <w:r w:rsidRPr="00CF50B8">
              <w:rPr>
                <w:rFonts w:ascii="Arial" w:eastAsia="Arial" w:hAnsi="Arial" w:cs="Arial"/>
                <w:bCs/>
                <w:sz w:val="14"/>
                <w:szCs w:val="14"/>
              </w:rPr>
              <w:t>1</w:t>
            </w:r>
          </w:p>
        </w:tc>
        <w:tc>
          <w:tcPr>
            <w:tcW w:w="1559" w:type="dxa"/>
            <w:tcBorders>
              <w:top w:val="single" w:sz="4" w:space="0" w:color="auto"/>
              <w:left w:val="single" w:sz="4" w:space="0" w:color="auto"/>
              <w:bottom w:val="single" w:sz="4" w:space="0" w:color="auto"/>
              <w:right w:val="single" w:sz="4" w:space="0" w:color="auto"/>
            </w:tcBorders>
            <w:noWrap/>
            <w:vAlign w:val="center"/>
          </w:tcPr>
          <w:p w14:paraId="77B500D9" w14:textId="3190C325" w:rsidR="00CF50B8" w:rsidRPr="00CF50B8" w:rsidRDefault="00CF50B8" w:rsidP="00CF50B8">
            <w:pPr>
              <w:spacing w:after="0" w:line="240" w:lineRule="auto"/>
              <w:jc w:val="center"/>
              <w:rPr>
                <w:rFonts w:ascii="Arial" w:hAnsi="Arial" w:cs="Arial"/>
                <w:sz w:val="14"/>
                <w:szCs w:val="14"/>
              </w:rPr>
            </w:pPr>
            <w:r w:rsidRPr="00CF50B8">
              <w:rPr>
                <w:rFonts w:ascii="Arial" w:hAnsi="Arial" w:cs="Arial"/>
                <w:sz w:val="14"/>
                <w:szCs w:val="14"/>
              </w:rPr>
              <w:t>2</w:t>
            </w:r>
          </w:p>
        </w:tc>
        <w:tc>
          <w:tcPr>
            <w:tcW w:w="1410" w:type="dxa"/>
            <w:tcBorders>
              <w:top w:val="single" w:sz="4" w:space="0" w:color="auto"/>
              <w:left w:val="single" w:sz="4" w:space="0" w:color="auto"/>
              <w:bottom w:val="single" w:sz="4" w:space="0" w:color="auto"/>
              <w:right w:val="single" w:sz="4" w:space="0" w:color="auto"/>
            </w:tcBorders>
            <w:vAlign w:val="center"/>
          </w:tcPr>
          <w:p w14:paraId="75EE8FAC" w14:textId="199B26A1" w:rsidR="00CF50B8" w:rsidRPr="00CF50B8" w:rsidRDefault="00CF50B8" w:rsidP="00CF50B8">
            <w:pPr>
              <w:spacing w:after="101"/>
              <w:jc w:val="center"/>
              <w:rPr>
                <w:rFonts w:ascii="Arial" w:eastAsia="Arial" w:hAnsi="Arial" w:cs="Arial"/>
                <w:bCs/>
                <w:sz w:val="14"/>
                <w:szCs w:val="14"/>
              </w:rPr>
            </w:pPr>
            <w:r w:rsidRPr="00CF50B8">
              <w:rPr>
                <w:rFonts w:ascii="Arial" w:eastAsia="Arial" w:hAnsi="Arial" w:cs="Arial"/>
                <w:bCs/>
                <w:sz w:val="14"/>
                <w:szCs w:val="14"/>
              </w:rPr>
              <w:t>3</w:t>
            </w:r>
          </w:p>
        </w:tc>
        <w:tc>
          <w:tcPr>
            <w:tcW w:w="1217" w:type="dxa"/>
            <w:tcBorders>
              <w:top w:val="single" w:sz="4" w:space="0" w:color="auto"/>
              <w:left w:val="single" w:sz="4" w:space="0" w:color="auto"/>
              <w:bottom w:val="single" w:sz="4" w:space="0" w:color="auto"/>
              <w:right w:val="single" w:sz="4" w:space="0" w:color="auto"/>
            </w:tcBorders>
            <w:vAlign w:val="center"/>
          </w:tcPr>
          <w:p w14:paraId="5C0AA9A7" w14:textId="7025AD33" w:rsidR="00CF50B8" w:rsidRPr="00CF50B8" w:rsidRDefault="00CF50B8" w:rsidP="00CF50B8">
            <w:pPr>
              <w:spacing w:after="101"/>
              <w:jc w:val="center"/>
              <w:rPr>
                <w:rFonts w:ascii="Arial" w:eastAsia="Arial" w:hAnsi="Arial" w:cs="Arial"/>
                <w:bCs/>
                <w:sz w:val="14"/>
                <w:szCs w:val="14"/>
              </w:rPr>
            </w:pPr>
            <w:r w:rsidRPr="00CF50B8">
              <w:rPr>
                <w:rFonts w:ascii="Arial" w:eastAsia="Arial" w:hAnsi="Arial" w:cs="Arial"/>
                <w:bCs/>
                <w:sz w:val="14"/>
                <w:szCs w:val="14"/>
              </w:rPr>
              <w:t>4</w:t>
            </w:r>
          </w:p>
        </w:tc>
        <w:tc>
          <w:tcPr>
            <w:tcW w:w="1625" w:type="dxa"/>
            <w:tcBorders>
              <w:top w:val="single" w:sz="4" w:space="0" w:color="auto"/>
              <w:left w:val="single" w:sz="4" w:space="0" w:color="auto"/>
              <w:bottom w:val="single" w:sz="4" w:space="0" w:color="auto"/>
              <w:right w:val="single" w:sz="4" w:space="0" w:color="auto"/>
            </w:tcBorders>
            <w:vAlign w:val="center"/>
          </w:tcPr>
          <w:p w14:paraId="201B425D" w14:textId="70727F00" w:rsidR="00CF50B8" w:rsidRPr="00CF50B8" w:rsidRDefault="00CF50B8" w:rsidP="00CF50B8">
            <w:pPr>
              <w:spacing w:after="101"/>
              <w:jc w:val="center"/>
              <w:rPr>
                <w:rFonts w:ascii="Arial" w:eastAsia="Arial" w:hAnsi="Arial" w:cs="Arial"/>
                <w:bCs/>
                <w:sz w:val="14"/>
                <w:szCs w:val="14"/>
              </w:rPr>
            </w:pPr>
            <w:r w:rsidRPr="00CF50B8">
              <w:rPr>
                <w:rFonts w:ascii="Arial" w:eastAsia="Arial" w:hAnsi="Arial" w:cs="Arial"/>
                <w:bCs/>
                <w:sz w:val="14"/>
                <w:szCs w:val="14"/>
              </w:rPr>
              <w:t>5</w:t>
            </w:r>
          </w:p>
        </w:tc>
        <w:tc>
          <w:tcPr>
            <w:tcW w:w="1447" w:type="dxa"/>
            <w:tcBorders>
              <w:top w:val="single" w:sz="4" w:space="0" w:color="auto"/>
              <w:left w:val="single" w:sz="4" w:space="0" w:color="auto"/>
              <w:bottom w:val="single" w:sz="4" w:space="0" w:color="auto"/>
              <w:right w:val="single" w:sz="4" w:space="0" w:color="auto"/>
            </w:tcBorders>
            <w:vAlign w:val="center"/>
          </w:tcPr>
          <w:p w14:paraId="254400E4" w14:textId="737F1E67" w:rsidR="00CF50B8" w:rsidRPr="00CF50B8" w:rsidRDefault="00CF50B8" w:rsidP="00CF50B8">
            <w:pPr>
              <w:spacing w:after="101"/>
              <w:jc w:val="center"/>
              <w:rPr>
                <w:rFonts w:ascii="Arial" w:eastAsia="Arial" w:hAnsi="Arial" w:cs="Arial"/>
                <w:bCs/>
                <w:sz w:val="14"/>
                <w:szCs w:val="14"/>
              </w:rPr>
            </w:pPr>
            <w:r w:rsidRPr="00CF50B8">
              <w:rPr>
                <w:rFonts w:ascii="Arial" w:eastAsia="Arial" w:hAnsi="Arial" w:cs="Arial"/>
                <w:bCs/>
                <w:sz w:val="14"/>
                <w:szCs w:val="14"/>
              </w:rPr>
              <w:t>6</w:t>
            </w:r>
          </w:p>
        </w:tc>
      </w:tr>
      <w:tr w:rsidR="00CF50B8" w:rsidRPr="00FA7932" w14:paraId="59A4C422" w14:textId="3CE2EA98" w:rsidTr="00CF50B8">
        <w:trPr>
          <w:trHeight w:val="288"/>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32B36732" w14:textId="77777777" w:rsidR="00CF50B8" w:rsidRPr="00FA7932" w:rsidRDefault="00CF50B8" w:rsidP="00CF50B8">
            <w:pPr>
              <w:spacing w:after="0" w:line="240" w:lineRule="auto"/>
              <w:rPr>
                <w:rFonts w:ascii="Arial" w:hAnsi="Arial" w:cs="Arial"/>
                <w:sz w:val="20"/>
                <w:szCs w:val="20"/>
              </w:rPr>
            </w:pPr>
            <w:r w:rsidRPr="00FA7932">
              <w:rPr>
                <w:rFonts w:ascii="Arial" w:hAnsi="Arial" w:cs="Arial"/>
                <w:sz w:val="20"/>
                <w:szCs w:val="20"/>
              </w:rPr>
              <w:t>Javna ustanova u kulturi</w:t>
            </w:r>
          </w:p>
        </w:tc>
        <w:tc>
          <w:tcPr>
            <w:tcW w:w="1560" w:type="dxa"/>
            <w:tcBorders>
              <w:top w:val="single" w:sz="4" w:space="0" w:color="auto"/>
              <w:bottom w:val="single" w:sz="4" w:space="0" w:color="auto"/>
              <w:right w:val="single" w:sz="4" w:space="0" w:color="auto"/>
            </w:tcBorders>
            <w:noWrap/>
            <w:vAlign w:val="center"/>
          </w:tcPr>
          <w:p w14:paraId="278AB37F" w14:textId="3DF72023" w:rsidR="00CF50B8" w:rsidRPr="00CF50B8" w:rsidRDefault="00CF50B8" w:rsidP="00CF50B8">
            <w:pPr>
              <w:spacing w:after="101"/>
              <w:jc w:val="right"/>
              <w:rPr>
                <w:rFonts w:ascii="Arial" w:hAnsi="Arial" w:cs="Arial"/>
                <w:sz w:val="20"/>
                <w:szCs w:val="20"/>
              </w:rPr>
            </w:pPr>
            <w:r w:rsidRPr="00CF50B8">
              <w:rPr>
                <w:rFonts w:ascii="Arial" w:hAnsi="Arial" w:cs="Arial"/>
                <w:sz w:val="20"/>
                <w:szCs w:val="20"/>
              </w:rPr>
              <w:t>198.634,02</w:t>
            </w:r>
          </w:p>
        </w:tc>
        <w:tc>
          <w:tcPr>
            <w:tcW w:w="1559" w:type="dxa"/>
            <w:tcBorders>
              <w:top w:val="single" w:sz="4" w:space="0" w:color="auto"/>
              <w:left w:val="single" w:sz="4" w:space="0" w:color="auto"/>
              <w:bottom w:val="single" w:sz="4" w:space="0" w:color="auto"/>
              <w:right w:val="single" w:sz="4" w:space="0" w:color="auto"/>
            </w:tcBorders>
            <w:noWrap/>
            <w:vAlign w:val="center"/>
          </w:tcPr>
          <w:p w14:paraId="2B8EC64B" w14:textId="0350A7A0" w:rsidR="00CF50B8" w:rsidRPr="00CF50B8" w:rsidRDefault="00CF50B8" w:rsidP="00CF50B8">
            <w:pPr>
              <w:spacing w:after="101"/>
              <w:jc w:val="right"/>
              <w:rPr>
                <w:rFonts w:ascii="Arial" w:hAnsi="Arial" w:cs="Arial"/>
                <w:sz w:val="20"/>
                <w:szCs w:val="20"/>
              </w:rPr>
            </w:pPr>
            <w:r w:rsidRPr="00CF50B8">
              <w:rPr>
                <w:rFonts w:ascii="Arial" w:eastAsia="Arial" w:hAnsi="Arial" w:cs="Arial"/>
                <w:sz w:val="20"/>
                <w:szCs w:val="20"/>
              </w:rPr>
              <w:t>838.497,00</w:t>
            </w:r>
          </w:p>
        </w:tc>
        <w:tc>
          <w:tcPr>
            <w:tcW w:w="1410" w:type="dxa"/>
            <w:tcBorders>
              <w:top w:val="single" w:sz="4" w:space="0" w:color="auto"/>
              <w:left w:val="single" w:sz="4" w:space="0" w:color="auto"/>
              <w:bottom w:val="single" w:sz="4" w:space="0" w:color="auto"/>
              <w:right w:val="single" w:sz="4" w:space="0" w:color="auto"/>
            </w:tcBorders>
            <w:vAlign w:val="center"/>
          </w:tcPr>
          <w:p w14:paraId="539F516C" w14:textId="58788CE1" w:rsidR="00CF50B8" w:rsidRPr="00CF50B8" w:rsidRDefault="00CF50B8" w:rsidP="00CF50B8">
            <w:pPr>
              <w:spacing w:after="101"/>
              <w:jc w:val="right"/>
              <w:rPr>
                <w:rFonts w:ascii="Arial" w:hAnsi="Arial" w:cs="Arial"/>
                <w:sz w:val="20"/>
                <w:szCs w:val="20"/>
              </w:rPr>
            </w:pPr>
            <w:r w:rsidRPr="00CF50B8">
              <w:rPr>
                <w:rFonts w:ascii="Arial" w:hAnsi="Arial" w:cs="Arial"/>
                <w:sz w:val="20"/>
                <w:szCs w:val="20"/>
              </w:rPr>
              <w:t>838.497,00</w:t>
            </w:r>
          </w:p>
        </w:tc>
        <w:tc>
          <w:tcPr>
            <w:tcW w:w="1217" w:type="dxa"/>
            <w:tcBorders>
              <w:top w:val="single" w:sz="4" w:space="0" w:color="auto"/>
              <w:left w:val="single" w:sz="4" w:space="0" w:color="auto"/>
              <w:bottom w:val="single" w:sz="4" w:space="0" w:color="auto"/>
              <w:right w:val="single" w:sz="4" w:space="0" w:color="auto"/>
            </w:tcBorders>
            <w:vAlign w:val="center"/>
          </w:tcPr>
          <w:p w14:paraId="468F2143" w14:textId="23C17E97" w:rsidR="00CF50B8" w:rsidRPr="00CF50B8" w:rsidRDefault="00CF50B8" w:rsidP="00CF50B8">
            <w:pPr>
              <w:spacing w:after="101"/>
              <w:jc w:val="right"/>
              <w:rPr>
                <w:rFonts w:ascii="Arial" w:eastAsia="Arial" w:hAnsi="Arial" w:cs="Arial"/>
                <w:bCs/>
                <w:sz w:val="20"/>
                <w:szCs w:val="20"/>
              </w:rPr>
            </w:pPr>
            <w:r w:rsidRPr="00CF50B8">
              <w:rPr>
                <w:rFonts w:ascii="Arial" w:hAnsi="Arial" w:cs="Arial"/>
                <w:sz w:val="20"/>
                <w:szCs w:val="20"/>
              </w:rPr>
              <w:t>307.184,45</w:t>
            </w:r>
          </w:p>
        </w:tc>
        <w:tc>
          <w:tcPr>
            <w:tcW w:w="1625" w:type="dxa"/>
            <w:tcBorders>
              <w:top w:val="single" w:sz="4" w:space="0" w:color="auto"/>
              <w:left w:val="single" w:sz="4" w:space="0" w:color="auto"/>
              <w:bottom w:val="single" w:sz="4" w:space="0" w:color="auto"/>
              <w:right w:val="single" w:sz="4" w:space="0" w:color="auto"/>
            </w:tcBorders>
            <w:vAlign w:val="center"/>
          </w:tcPr>
          <w:p w14:paraId="54DF64DB" w14:textId="51223215" w:rsidR="00CF50B8" w:rsidRPr="00CF50B8" w:rsidRDefault="00CF50B8" w:rsidP="00CF50B8">
            <w:pPr>
              <w:spacing w:after="101"/>
              <w:jc w:val="right"/>
              <w:rPr>
                <w:rFonts w:ascii="Arial" w:eastAsia="Arial" w:hAnsi="Arial" w:cs="Arial"/>
                <w:bCs/>
                <w:sz w:val="20"/>
                <w:szCs w:val="20"/>
              </w:rPr>
            </w:pPr>
            <w:r w:rsidRPr="00CF50B8">
              <w:rPr>
                <w:rFonts w:ascii="Arial" w:hAnsi="Arial" w:cs="Arial"/>
                <w:sz w:val="20"/>
                <w:szCs w:val="20"/>
              </w:rPr>
              <w:t>155</w:t>
            </w:r>
          </w:p>
        </w:tc>
        <w:tc>
          <w:tcPr>
            <w:tcW w:w="1447" w:type="dxa"/>
            <w:tcBorders>
              <w:top w:val="single" w:sz="4" w:space="0" w:color="auto"/>
              <w:left w:val="single" w:sz="4" w:space="0" w:color="auto"/>
              <w:bottom w:val="single" w:sz="4" w:space="0" w:color="auto"/>
              <w:right w:val="single" w:sz="4" w:space="0" w:color="auto"/>
            </w:tcBorders>
            <w:vAlign w:val="center"/>
          </w:tcPr>
          <w:p w14:paraId="684E92CC" w14:textId="27E8378E" w:rsidR="00CF50B8" w:rsidRPr="00CF50B8" w:rsidRDefault="00CF50B8" w:rsidP="00CF50B8">
            <w:pPr>
              <w:spacing w:after="101"/>
              <w:jc w:val="right"/>
              <w:rPr>
                <w:rFonts w:ascii="Arial" w:eastAsia="Arial" w:hAnsi="Arial" w:cs="Arial"/>
                <w:bCs/>
                <w:sz w:val="20"/>
                <w:szCs w:val="20"/>
              </w:rPr>
            </w:pPr>
            <w:r w:rsidRPr="00CF50B8">
              <w:rPr>
                <w:rFonts w:ascii="Arial" w:hAnsi="Arial" w:cs="Arial"/>
                <w:sz w:val="20"/>
                <w:szCs w:val="20"/>
              </w:rPr>
              <w:t>37</w:t>
            </w:r>
          </w:p>
        </w:tc>
      </w:tr>
    </w:tbl>
    <w:p w14:paraId="5C7AB22A" w14:textId="77777777" w:rsidR="00142BE7" w:rsidRDefault="00142BE7" w:rsidP="00A63BE4">
      <w:pPr>
        <w:spacing w:after="0" w:line="240" w:lineRule="auto"/>
        <w:jc w:val="both"/>
        <w:rPr>
          <w:rFonts w:ascii="Arial" w:eastAsia="Calibri" w:hAnsi="Arial" w:cs="Arial"/>
          <w:sz w:val="20"/>
          <w:szCs w:val="20"/>
        </w:rPr>
      </w:pPr>
    </w:p>
    <w:p w14:paraId="7A645D32" w14:textId="77777777" w:rsidR="009837C0" w:rsidRPr="003A2F86" w:rsidRDefault="009837C0">
      <w:pPr>
        <w:pStyle w:val="Odlomakpopisa"/>
        <w:numPr>
          <w:ilvl w:val="0"/>
          <w:numId w:val="37"/>
        </w:numPr>
        <w:pBdr>
          <w:top w:val="single" w:sz="4" w:space="1" w:color="auto"/>
          <w:left w:val="single" w:sz="4" w:space="0" w:color="auto"/>
          <w:bottom w:val="single" w:sz="4" w:space="1" w:color="auto"/>
          <w:right w:val="single" w:sz="4" w:space="4" w:color="auto"/>
        </w:pBdr>
        <w:ind w:right="4783"/>
        <w:rPr>
          <w:rFonts w:ascii="Arial" w:eastAsia="Calibri" w:hAnsi="Arial" w:cs="Arial"/>
          <w:b/>
        </w:rPr>
      </w:pPr>
      <w:r w:rsidRPr="003A2F86">
        <w:rPr>
          <w:rFonts w:ascii="Arial" w:eastAsia="Calibri" w:hAnsi="Arial" w:cs="Arial"/>
          <w:b/>
        </w:rPr>
        <w:t>OBRAZLOŽENJE PROGRAMA</w:t>
      </w:r>
    </w:p>
    <w:p w14:paraId="3B06CA5B" w14:textId="77777777" w:rsidR="00142BE7" w:rsidRPr="003A2F86" w:rsidRDefault="00142BE7" w:rsidP="00A63BE4">
      <w:pPr>
        <w:spacing w:after="0" w:line="240" w:lineRule="auto"/>
        <w:jc w:val="both"/>
        <w:rPr>
          <w:rFonts w:ascii="Arial" w:eastAsia="Calibri"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500"/>
      </w:tblGrid>
      <w:tr w:rsidR="00FA7932" w:rsidRPr="003A2F86" w14:paraId="03DAF981" w14:textId="77777777" w:rsidTr="00B223BA">
        <w:tc>
          <w:tcPr>
            <w:tcW w:w="1843" w:type="dxa"/>
            <w:tcBorders>
              <w:top w:val="dotted" w:sz="4" w:space="0" w:color="auto"/>
              <w:left w:val="dotted" w:sz="4" w:space="0" w:color="auto"/>
              <w:bottom w:val="dotted" w:sz="4" w:space="0" w:color="auto"/>
              <w:right w:val="dotted" w:sz="4" w:space="0" w:color="auto"/>
            </w:tcBorders>
          </w:tcPr>
          <w:p w14:paraId="2B3BE046" w14:textId="77777777" w:rsidR="00FA7932" w:rsidRPr="003A2F86" w:rsidRDefault="00FA7932" w:rsidP="00FA7932">
            <w:pPr>
              <w:spacing w:after="0" w:line="240" w:lineRule="auto"/>
              <w:rPr>
                <w:rFonts w:ascii="Arial" w:eastAsia="Calibri" w:hAnsi="Arial" w:cs="Arial"/>
                <w:sz w:val="20"/>
                <w:szCs w:val="20"/>
              </w:rPr>
            </w:pPr>
            <w:bookmarkStart w:id="345" w:name="_Hlk5709061"/>
            <w:r w:rsidRPr="003A2F86">
              <w:rPr>
                <w:rFonts w:ascii="Arial" w:eastAsia="Calibri" w:hAnsi="Arial" w:cs="Arial"/>
                <w:sz w:val="20"/>
                <w:szCs w:val="20"/>
              </w:rPr>
              <w:t>OPIS PROGRAMA:</w:t>
            </w:r>
          </w:p>
        </w:tc>
        <w:tc>
          <w:tcPr>
            <w:tcW w:w="12500" w:type="dxa"/>
            <w:tcBorders>
              <w:top w:val="single" w:sz="4" w:space="0" w:color="auto"/>
              <w:left w:val="single" w:sz="4" w:space="0" w:color="auto"/>
              <w:bottom w:val="single" w:sz="4" w:space="0" w:color="auto"/>
              <w:right w:val="single" w:sz="4" w:space="0" w:color="auto"/>
            </w:tcBorders>
          </w:tcPr>
          <w:p w14:paraId="1F14D0CB" w14:textId="77777777" w:rsidR="00FA7932" w:rsidRPr="009503A7" w:rsidRDefault="00FA7932" w:rsidP="00FA7932">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Realizacijom ovog programa se o</w:t>
            </w:r>
            <w:r w:rsidRPr="009503A7">
              <w:rPr>
                <w:rFonts w:ascii="Arial" w:eastAsia="Times New Roman" w:hAnsi="Arial" w:cs="Arial"/>
                <w:color w:val="000000"/>
                <w:sz w:val="20"/>
                <w:szCs w:val="20"/>
              </w:rPr>
              <w:t>sigura</w:t>
            </w:r>
            <w:r>
              <w:rPr>
                <w:rFonts w:ascii="Arial" w:eastAsia="Times New Roman" w:hAnsi="Arial" w:cs="Arial"/>
                <w:color w:val="000000"/>
                <w:sz w:val="20"/>
                <w:szCs w:val="20"/>
              </w:rPr>
              <w:t>vaju</w:t>
            </w:r>
            <w:r w:rsidRPr="009503A7">
              <w:rPr>
                <w:rFonts w:ascii="Arial" w:eastAsia="Times New Roman" w:hAnsi="Arial" w:cs="Arial"/>
                <w:color w:val="000000"/>
                <w:sz w:val="20"/>
                <w:szCs w:val="20"/>
              </w:rPr>
              <w:t xml:space="preserve"> uvjet</w:t>
            </w:r>
            <w:r>
              <w:rPr>
                <w:rFonts w:ascii="Arial" w:eastAsia="Times New Roman" w:hAnsi="Arial" w:cs="Arial"/>
                <w:color w:val="000000"/>
                <w:sz w:val="20"/>
                <w:szCs w:val="20"/>
              </w:rPr>
              <w:t>i</w:t>
            </w:r>
            <w:r w:rsidRPr="009503A7">
              <w:rPr>
                <w:rFonts w:ascii="Arial" w:eastAsia="Times New Roman" w:hAnsi="Arial" w:cs="Arial"/>
                <w:color w:val="000000"/>
                <w:sz w:val="20"/>
                <w:szCs w:val="20"/>
              </w:rPr>
              <w:t xml:space="preserve"> za redovnu i programsku djelatnost sukladno obvezama Općine, kao osnivača i vlasnik</w:t>
            </w:r>
            <w:r>
              <w:rPr>
                <w:rFonts w:ascii="Arial" w:eastAsia="Times New Roman" w:hAnsi="Arial" w:cs="Arial"/>
                <w:color w:val="000000"/>
                <w:sz w:val="20"/>
                <w:szCs w:val="20"/>
              </w:rPr>
              <w:t xml:space="preserve">a, </w:t>
            </w:r>
            <w:r w:rsidRPr="009503A7">
              <w:rPr>
                <w:rFonts w:ascii="Arial" w:eastAsia="Times New Roman" w:hAnsi="Arial" w:cs="Arial"/>
                <w:color w:val="000000"/>
                <w:sz w:val="20"/>
                <w:szCs w:val="20"/>
              </w:rPr>
              <w:t>poveća</w:t>
            </w:r>
            <w:r>
              <w:rPr>
                <w:rFonts w:ascii="Arial" w:eastAsia="Times New Roman" w:hAnsi="Arial" w:cs="Arial"/>
                <w:color w:val="000000"/>
                <w:sz w:val="20"/>
                <w:szCs w:val="20"/>
              </w:rPr>
              <w:t>va</w:t>
            </w:r>
            <w:r w:rsidRPr="009503A7">
              <w:rPr>
                <w:rFonts w:ascii="Arial" w:eastAsia="Times New Roman" w:hAnsi="Arial" w:cs="Arial"/>
                <w:color w:val="000000"/>
                <w:sz w:val="20"/>
                <w:szCs w:val="20"/>
              </w:rPr>
              <w:t xml:space="preserve"> standar</w:t>
            </w:r>
            <w:r>
              <w:rPr>
                <w:rFonts w:ascii="Arial" w:eastAsia="Times New Roman" w:hAnsi="Arial" w:cs="Arial"/>
                <w:color w:val="000000"/>
                <w:sz w:val="20"/>
                <w:szCs w:val="20"/>
              </w:rPr>
              <w:t>d</w:t>
            </w:r>
            <w:r w:rsidRPr="009503A7">
              <w:rPr>
                <w:rFonts w:ascii="Arial" w:eastAsia="Times New Roman" w:hAnsi="Arial" w:cs="Arial"/>
                <w:color w:val="000000"/>
                <w:sz w:val="20"/>
                <w:szCs w:val="20"/>
              </w:rPr>
              <w:t xml:space="preserve"> usluge u muzejskoj djelatnosti,</w:t>
            </w:r>
            <w:r>
              <w:rPr>
                <w:rFonts w:ascii="Arial" w:eastAsia="Times New Roman" w:hAnsi="Arial" w:cs="Arial"/>
                <w:color w:val="000000"/>
                <w:sz w:val="20"/>
                <w:szCs w:val="20"/>
              </w:rPr>
              <w:t xml:space="preserve"> radi na </w:t>
            </w:r>
            <w:r w:rsidRPr="009503A7">
              <w:rPr>
                <w:rFonts w:ascii="Arial" w:eastAsia="Times New Roman" w:hAnsi="Arial" w:cs="Arial"/>
                <w:color w:val="000000"/>
                <w:sz w:val="20"/>
                <w:szCs w:val="20"/>
              </w:rPr>
              <w:t>očuvanj</w:t>
            </w:r>
            <w:r>
              <w:rPr>
                <w:rFonts w:ascii="Arial" w:eastAsia="Times New Roman" w:hAnsi="Arial" w:cs="Arial"/>
                <w:color w:val="000000"/>
                <w:sz w:val="20"/>
                <w:szCs w:val="20"/>
              </w:rPr>
              <w:t>u</w:t>
            </w:r>
            <w:r w:rsidRPr="009503A7">
              <w:rPr>
                <w:rFonts w:ascii="Arial" w:eastAsia="Times New Roman" w:hAnsi="Arial" w:cs="Arial"/>
                <w:color w:val="000000"/>
                <w:sz w:val="20"/>
                <w:szCs w:val="20"/>
              </w:rPr>
              <w:t xml:space="preserve"> kulturnih dobara i </w:t>
            </w:r>
            <w:r>
              <w:rPr>
                <w:rFonts w:ascii="Arial" w:eastAsia="Times New Roman" w:hAnsi="Arial" w:cs="Arial"/>
                <w:color w:val="000000"/>
                <w:sz w:val="20"/>
                <w:szCs w:val="20"/>
              </w:rPr>
              <w:t xml:space="preserve">nastavlja njegova </w:t>
            </w:r>
            <w:r w:rsidRPr="009503A7">
              <w:rPr>
                <w:rFonts w:ascii="Arial" w:eastAsia="Times New Roman" w:hAnsi="Arial" w:cs="Arial"/>
                <w:color w:val="000000"/>
                <w:sz w:val="20"/>
                <w:szCs w:val="20"/>
              </w:rPr>
              <w:t>sustavna obrada</w:t>
            </w:r>
            <w:r>
              <w:rPr>
                <w:rFonts w:ascii="Arial" w:eastAsia="Times New Roman" w:hAnsi="Arial" w:cs="Arial"/>
                <w:color w:val="000000"/>
                <w:sz w:val="20"/>
                <w:szCs w:val="20"/>
              </w:rPr>
              <w:t xml:space="preserve">, ostvaruje se </w:t>
            </w:r>
            <w:r w:rsidRPr="009503A7">
              <w:rPr>
                <w:rFonts w:ascii="Arial" w:eastAsia="Times New Roman" w:hAnsi="Arial" w:cs="Arial"/>
                <w:color w:val="000000"/>
                <w:sz w:val="20"/>
                <w:szCs w:val="20"/>
              </w:rPr>
              <w:t xml:space="preserve">programa zaštite kulturne baštine, njena prezentacija </w:t>
            </w:r>
            <w:r>
              <w:rPr>
                <w:rFonts w:ascii="Arial" w:eastAsia="Times New Roman" w:hAnsi="Arial" w:cs="Arial"/>
                <w:color w:val="000000"/>
                <w:sz w:val="20"/>
                <w:szCs w:val="20"/>
              </w:rPr>
              <w:t>i</w:t>
            </w:r>
            <w:r w:rsidRPr="009503A7">
              <w:rPr>
                <w:rFonts w:ascii="Arial" w:eastAsia="Times New Roman" w:hAnsi="Arial" w:cs="Arial"/>
                <w:color w:val="000000"/>
                <w:sz w:val="20"/>
                <w:szCs w:val="20"/>
              </w:rPr>
              <w:t xml:space="preserve"> prenošenje spoznaj</w:t>
            </w:r>
            <w:r>
              <w:rPr>
                <w:rFonts w:ascii="Arial" w:eastAsia="Times New Roman" w:hAnsi="Arial" w:cs="Arial"/>
                <w:color w:val="000000"/>
                <w:sz w:val="20"/>
                <w:szCs w:val="20"/>
              </w:rPr>
              <w:t>e</w:t>
            </w:r>
            <w:r w:rsidRPr="009503A7">
              <w:rPr>
                <w:rFonts w:ascii="Arial" w:eastAsia="Times New Roman" w:hAnsi="Arial" w:cs="Arial"/>
                <w:color w:val="000000"/>
                <w:sz w:val="20"/>
                <w:szCs w:val="20"/>
              </w:rPr>
              <w:t xml:space="preserve"> o bogatoj prošlosti Konavala</w:t>
            </w:r>
            <w:r>
              <w:rPr>
                <w:rFonts w:ascii="Arial" w:eastAsia="Times New Roman" w:hAnsi="Arial" w:cs="Arial"/>
                <w:color w:val="000000"/>
                <w:sz w:val="20"/>
                <w:szCs w:val="20"/>
              </w:rPr>
              <w:t>, zadovoljava potrebe za kulturnim sadržajima u Konavlima</w:t>
            </w:r>
            <w:r w:rsidRPr="009503A7">
              <w:rPr>
                <w:rFonts w:ascii="Arial" w:eastAsia="Times New Roman" w:hAnsi="Arial" w:cs="Arial"/>
                <w:color w:val="000000"/>
                <w:sz w:val="20"/>
                <w:szCs w:val="20"/>
              </w:rPr>
              <w:t>.</w:t>
            </w:r>
          </w:p>
          <w:p w14:paraId="7C9ABF7A" w14:textId="77777777" w:rsidR="00FA7932" w:rsidRPr="009503A7" w:rsidRDefault="00FA7932" w:rsidP="00FA7932">
            <w:pPr>
              <w:spacing w:after="0" w:line="240" w:lineRule="auto"/>
              <w:jc w:val="both"/>
              <w:rPr>
                <w:rFonts w:ascii="Arial" w:eastAsia="Times New Roman" w:hAnsi="Arial" w:cs="Arial"/>
                <w:color w:val="000000"/>
                <w:sz w:val="20"/>
                <w:szCs w:val="20"/>
              </w:rPr>
            </w:pPr>
          </w:p>
          <w:p w14:paraId="57B0B350" w14:textId="77777777" w:rsidR="00FA7932" w:rsidRPr="009503A7" w:rsidRDefault="00FA7932" w:rsidP="00FA7932">
            <w:pPr>
              <w:spacing w:after="0" w:line="240" w:lineRule="auto"/>
              <w:jc w:val="both"/>
              <w:rPr>
                <w:rFonts w:ascii="Arial" w:eastAsia="Times New Roman" w:hAnsi="Arial" w:cs="Arial"/>
                <w:color w:val="000000"/>
                <w:sz w:val="20"/>
                <w:szCs w:val="20"/>
              </w:rPr>
            </w:pPr>
            <w:r w:rsidRPr="009503A7">
              <w:rPr>
                <w:rFonts w:ascii="Arial" w:eastAsia="Times New Roman" w:hAnsi="Arial" w:cs="Arial"/>
                <w:color w:val="000000"/>
                <w:sz w:val="20"/>
                <w:szCs w:val="20"/>
              </w:rPr>
              <w:t>Opći cilj Muzeja i galerija Konavala je uspostaviti muzejske jedinice koje će na suvremen i kvalitetan način prezentirati i obrađivati građu i lokalitete na korist struke i šire lokalne zajednice.</w:t>
            </w:r>
          </w:p>
          <w:p w14:paraId="30DBF7FA" w14:textId="77777777" w:rsidR="00FA7932" w:rsidRPr="009503A7" w:rsidRDefault="00FA7932" w:rsidP="00FA7932">
            <w:pPr>
              <w:spacing w:after="0" w:line="240" w:lineRule="auto"/>
              <w:jc w:val="both"/>
              <w:rPr>
                <w:rFonts w:ascii="Arial" w:eastAsia="Times New Roman" w:hAnsi="Arial" w:cs="Arial"/>
                <w:color w:val="000000"/>
                <w:sz w:val="20"/>
                <w:szCs w:val="20"/>
              </w:rPr>
            </w:pPr>
          </w:p>
          <w:p w14:paraId="01C50B97" w14:textId="77777777" w:rsidR="00FA7932" w:rsidRPr="009503A7"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Sustavan razvoj ustanove Muzeja i galerija Konavala temelji se na smjernicama:</w:t>
            </w:r>
          </w:p>
          <w:p w14:paraId="7F5A4431" w14:textId="77777777" w:rsidR="00FA7932" w:rsidRPr="009503A7"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1. Poboljšanj</w:t>
            </w:r>
            <w:r>
              <w:rPr>
                <w:rFonts w:ascii="Arial" w:eastAsia="Times New Roman" w:hAnsi="Arial" w:cs="Arial"/>
                <w:color w:val="000000"/>
                <w:sz w:val="20"/>
                <w:szCs w:val="20"/>
              </w:rPr>
              <w:t>e</w:t>
            </w:r>
            <w:r w:rsidRPr="009503A7">
              <w:rPr>
                <w:rFonts w:ascii="Arial" w:eastAsia="Times New Roman" w:hAnsi="Arial" w:cs="Arial"/>
                <w:color w:val="000000"/>
                <w:sz w:val="20"/>
                <w:szCs w:val="20"/>
              </w:rPr>
              <w:t xml:space="preserve"> financiranja rada ustanove povećanjem vlastitih prihoda:</w:t>
            </w:r>
          </w:p>
          <w:p w14:paraId="44F70FAD" w14:textId="77777777" w:rsidR="00FA7932" w:rsidRDefault="00FA7932" w:rsidP="00FA793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503A7">
              <w:rPr>
                <w:rFonts w:ascii="Arial" w:eastAsia="Times New Roman" w:hAnsi="Arial" w:cs="Arial"/>
                <w:color w:val="000000"/>
                <w:sz w:val="20"/>
                <w:szCs w:val="20"/>
              </w:rPr>
              <w:tab/>
            </w:r>
            <w:r>
              <w:rPr>
                <w:rFonts w:ascii="Arial" w:eastAsia="Times New Roman" w:hAnsi="Arial" w:cs="Arial"/>
                <w:color w:val="000000"/>
                <w:sz w:val="20"/>
                <w:szCs w:val="20"/>
              </w:rPr>
              <w:t>o</w:t>
            </w:r>
            <w:r w:rsidRPr="009503A7">
              <w:rPr>
                <w:rFonts w:ascii="Arial" w:eastAsia="Times New Roman" w:hAnsi="Arial" w:cs="Arial"/>
                <w:color w:val="000000"/>
                <w:sz w:val="20"/>
                <w:szCs w:val="20"/>
              </w:rPr>
              <w:t>stvar</w:t>
            </w:r>
            <w:r>
              <w:rPr>
                <w:rFonts w:ascii="Arial" w:eastAsia="Times New Roman" w:hAnsi="Arial" w:cs="Arial"/>
                <w:color w:val="000000"/>
                <w:sz w:val="20"/>
                <w:szCs w:val="20"/>
              </w:rPr>
              <w:t xml:space="preserve">ivati veće </w:t>
            </w:r>
            <w:r w:rsidRPr="009503A7">
              <w:rPr>
                <w:rFonts w:ascii="Arial" w:eastAsia="Times New Roman" w:hAnsi="Arial" w:cs="Arial"/>
                <w:color w:val="000000"/>
                <w:sz w:val="20"/>
                <w:szCs w:val="20"/>
              </w:rPr>
              <w:t>vlastit</w:t>
            </w:r>
            <w:r>
              <w:rPr>
                <w:rFonts w:ascii="Arial" w:eastAsia="Times New Roman" w:hAnsi="Arial" w:cs="Arial"/>
                <w:color w:val="000000"/>
                <w:sz w:val="20"/>
                <w:szCs w:val="20"/>
              </w:rPr>
              <w:t>e</w:t>
            </w:r>
            <w:r w:rsidRPr="009503A7">
              <w:rPr>
                <w:rFonts w:ascii="Arial" w:eastAsia="Times New Roman" w:hAnsi="Arial" w:cs="Arial"/>
                <w:color w:val="000000"/>
                <w:sz w:val="20"/>
                <w:szCs w:val="20"/>
              </w:rPr>
              <w:t xml:space="preserve"> prihod</w:t>
            </w:r>
            <w:r>
              <w:rPr>
                <w:rFonts w:ascii="Arial" w:eastAsia="Times New Roman" w:hAnsi="Arial" w:cs="Arial"/>
                <w:color w:val="000000"/>
                <w:sz w:val="20"/>
                <w:szCs w:val="20"/>
              </w:rPr>
              <w:t>e</w:t>
            </w:r>
            <w:r w:rsidRPr="009503A7">
              <w:rPr>
                <w:rFonts w:ascii="Arial" w:eastAsia="Times New Roman" w:hAnsi="Arial" w:cs="Arial"/>
                <w:color w:val="000000"/>
                <w:sz w:val="20"/>
                <w:szCs w:val="20"/>
              </w:rPr>
              <w:t xml:space="preserve"> formiranjem proizvoda i usluga u muzejskim jedinicama koje za vrijeme </w:t>
            </w:r>
          </w:p>
          <w:p w14:paraId="552144C6" w14:textId="77777777" w:rsidR="00FA7932" w:rsidRDefault="00FA7932" w:rsidP="00FA793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503A7">
              <w:rPr>
                <w:rFonts w:ascii="Arial" w:eastAsia="Times New Roman" w:hAnsi="Arial" w:cs="Arial"/>
                <w:color w:val="000000"/>
                <w:sz w:val="20"/>
                <w:szCs w:val="20"/>
              </w:rPr>
              <w:t xml:space="preserve">turističke sezone mogu znatno popraviti financijsko stanje ustanove (katalozi na stranim jezicima, </w:t>
            </w:r>
          </w:p>
          <w:p w14:paraId="78585377" w14:textId="77777777" w:rsidR="00FA7932" w:rsidRDefault="00FA7932" w:rsidP="00FA793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             </w:t>
            </w:r>
            <w:r w:rsidRPr="009503A7">
              <w:rPr>
                <w:rFonts w:ascii="Arial" w:eastAsia="Times New Roman" w:hAnsi="Arial" w:cs="Arial"/>
                <w:color w:val="000000"/>
                <w:sz w:val="20"/>
                <w:szCs w:val="20"/>
              </w:rPr>
              <w:t xml:space="preserve">muzejske </w:t>
            </w:r>
            <w:r>
              <w:rPr>
                <w:rFonts w:ascii="Arial" w:eastAsia="Times New Roman" w:hAnsi="Arial" w:cs="Arial"/>
                <w:color w:val="000000"/>
                <w:sz w:val="20"/>
                <w:szCs w:val="20"/>
              </w:rPr>
              <w:t>prodavaonice</w:t>
            </w:r>
            <w:r w:rsidRPr="009503A7">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stručna </w:t>
            </w:r>
            <w:r w:rsidRPr="009503A7">
              <w:rPr>
                <w:rFonts w:ascii="Arial" w:eastAsia="Times New Roman" w:hAnsi="Arial" w:cs="Arial"/>
                <w:color w:val="000000"/>
                <w:sz w:val="20"/>
                <w:szCs w:val="20"/>
              </w:rPr>
              <w:t>vodstva</w:t>
            </w:r>
            <w:r>
              <w:rPr>
                <w:rFonts w:ascii="Arial" w:eastAsia="Times New Roman" w:hAnsi="Arial" w:cs="Arial"/>
                <w:color w:val="000000"/>
                <w:sz w:val="20"/>
                <w:szCs w:val="20"/>
              </w:rPr>
              <w:t xml:space="preserve">, </w:t>
            </w:r>
            <w:r w:rsidRPr="009503A7">
              <w:rPr>
                <w:rFonts w:ascii="Arial" w:eastAsia="Times New Roman" w:hAnsi="Arial" w:cs="Arial"/>
                <w:color w:val="000000"/>
                <w:sz w:val="20"/>
                <w:szCs w:val="20"/>
              </w:rPr>
              <w:t xml:space="preserve">radionice za turiste, prezentacije proizvodnje svile za </w:t>
            </w:r>
            <w:r>
              <w:rPr>
                <w:rFonts w:ascii="Arial" w:eastAsia="Times New Roman" w:hAnsi="Arial" w:cs="Arial"/>
                <w:color w:val="000000"/>
                <w:sz w:val="20"/>
                <w:szCs w:val="20"/>
              </w:rPr>
              <w:t xml:space="preserve"> </w:t>
            </w:r>
            <w:r w:rsidRPr="009503A7">
              <w:rPr>
                <w:rFonts w:ascii="Arial" w:eastAsia="Times New Roman" w:hAnsi="Arial" w:cs="Arial"/>
                <w:color w:val="000000"/>
                <w:sz w:val="20"/>
                <w:szCs w:val="20"/>
              </w:rPr>
              <w:t>turiste</w:t>
            </w:r>
            <w:r>
              <w:rPr>
                <w:rFonts w:ascii="Arial" w:eastAsia="Times New Roman" w:hAnsi="Arial" w:cs="Arial"/>
                <w:color w:val="000000"/>
                <w:sz w:val="20"/>
                <w:szCs w:val="20"/>
              </w:rPr>
              <w:t xml:space="preserve">) i </w:t>
            </w:r>
          </w:p>
          <w:p w14:paraId="6F86FFE0" w14:textId="77777777" w:rsidR="00FA7932" w:rsidRPr="009503A7" w:rsidRDefault="00FA7932" w:rsidP="00FA793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kroz povezivanje </w:t>
            </w:r>
            <w:r w:rsidRPr="009503A7">
              <w:rPr>
                <w:rFonts w:ascii="Arial" w:eastAsia="Times New Roman" w:hAnsi="Arial" w:cs="Arial"/>
                <w:color w:val="000000"/>
                <w:sz w:val="20"/>
                <w:szCs w:val="20"/>
              </w:rPr>
              <w:t>sa turističkim agencijama</w:t>
            </w:r>
            <w:r>
              <w:rPr>
                <w:rFonts w:ascii="Arial" w:eastAsia="Times New Roman" w:hAnsi="Arial" w:cs="Arial"/>
                <w:color w:val="000000"/>
                <w:sz w:val="20"/>
                <w:szCs w:val="20"/>
              </w:rPr>
              <w:t>.</w:t>
            </w:r>
          </w:p>
          <w:p w14:paraId="29133A20" w14:textId="77777777" w:rsidR="00FA7932"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w:t>
            </w:r>
            <w:r w:rsidRPr="009503A7">
              <w:rPr>
                <w:rFonts w:ascii="Arial" w:eastAsia="Times New Roman" w:hAnsi="Arial" w:cs="Arial"/>
                <w:color w:val="000000"/>
                <w:sz w:val="20"/>
                <w:szCs w:val="20"/>
              </w:rPr>
              <w:tab/>
            </w:r>
            <w:r>
              <w:rPr>
                <w:rFonts w:ascii="Arial" w:eastAsia="Times New Roman" w:hAnsi="Arial" w:cs="Arial"/>
                <w:color w:val="000000"/>
                <w:sz w:val="20"/>
                <w:szCs w:val="20"/>
              </w:rPr>
              <w:t>aktivno j</w:t>
            </w:r>
            <w:r w:rsidRPr="009503A7">
              <w:rPr>
                <w:rFonts w:ascii="Arial" w:eastAsia="Times New Roman" w:hAnsi="Arial" w:cs="Arial"/>
                <w:color w:val="000000"/>
                <w:sz w:val="20"/>
                <w:szCs w:val="20"/>
              </w:rPr>
              <w:t>avljanje na natječaje europskih fondova</w:t>
            </w:r>
            <w:r>
              <w:rPr>
                <w:rFonts w:ascii="Arial" w:eastAsia="Times New Roman" w:hAnsi="Arial" w:cs="Arial"/>
                <w:color w:val="000000"/>
                <w:sz w:val="20"/>
                <w:szCs w:val="20"/>
              </w:rPr>
              <w:t xml:space="preserve"> kako bi se </w:t>
            </w:r>
            <w:r w:rsidRPr="009503A7">
              <w:rPr>
                <w:rFonts w:ascii="Arial" w:eastAsia="Times New Roman" w:hAnsi="Arial" w:cs="Arial"/>
                <w:color w:val="000000"/>
                <w:sz w:val="20"/>
                <w:szCs w:val="20"/>
              </w:rPr>
              <w:t>kvalitetnim projektima</w:t>
            </w:r>
            <w:r>
              <w:rPr>
                <w:rFonts w:ascii="Arial" w:eastAsia="Times New Roman" w:hAnsi="Arial" w:cs="Arial"/>
                <w:color w:val="000000"/>
                <w:sz w:val="20"/>
                <w:szCs w:val="20"/>
              </w:rPr>
              <w:t xml:space="preserve"> uz ostvarenje benefita </w:t>
            </w:r>
          </w:p>
          <w:p w14:paraId="61A999F1" w14:textId="77777777" w:rsidR="00FA7932" w:rsidRPr="009503A7" w:rsidRDefault="00FA7932" w:rsidP="00FA793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za ustanovu na više razina osigurali i dodatni izvori financiranja             </w:t>
            </w:r>
          </w:p>
          <w:p w14:paraId="428394DB" w14:textId="77777777" w:rsidR="00FA7932"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w:t>
            </w:r>
            <w:r w:rsidRPr="009503A7">
              <w:rPr>
                <w:rFonts w:ascii="Arial" w:eastAsia="Times New Roman" w:hAnsi="Arial" w:cs="Arial"/>
                <w:color w:val="000000"/>
                <w:sz w:val="20"/>
                <w:szCs w:val="20"/>
              </w:rPr>
              <w:tab/>
            </w:r>
            <w:r>
              <w:rPr>
                <w:rFonts w:ascii="Arial" w:eastAsia="Times New Roman" w:hAnsi="Arial" w:cs="Arial"/>
                <w:color w:val="000000"/>
                <w:sz w:val="20"/>
                <w:szCs w:val="20"/>
              </w:rPr>
              <w:t>uk</w:t>
            </w:r>
            <w:r w:rsidRPr="009503A7">
              <w:rPr>
                <w:rFonts w:ascii="Arial" w:eastAsia="Times New Roman" w:hAnsi="Arial" w:cs="Arial"/>
                <w:color w:val="000000"/>
                <w:sz w:val="20"/>
                <w:szCs w:val="20"/>
              </w:rPr>
              <w:t>ljučiva</w:t>
            </w:r>
            <w:r>
              <w:rPr>
                <w:rFonts w:ascii="Arial" w:eastAsia="Times New Roman" w:hAnsi="Arial" w:cs="Arial"/>
                <w:color w:val="000000"/>
                <w:sz w:val="20"/>
                <w:szCs w:val="20"/>
              </w:rPr>
              <w:t xml:space="preserve">ti i </w:t>
            </w:r>
            <w:r w:rsidRPr="009503A7">
              <w:rPr>
                <w:rFonts w:ascii="Arial" w:eastAsia="Times New Roman" w:hAnsi="Arial" w:cs="Arial"/>
                <w:color w:val="000000"/>
                <w:sz w:val="20"/>
                <w:szCs w:val="20"/>
              </w:rPr>
              <w:t>informira</w:t>
            </w:r>
            <w:r>
              <w:rPr>
                <w:rFonts w:ascii="Arial" w:eastAsia="Times New Roman" w:hAnsi="Arial" w:cs="Arial"/>
                <w:color w:val="000000"/>
                <w:sz w:val="20"/>
                <w:szCs w:val="20"/>
              </w:rPr>
              <w:t xml:space="preserve">ti </w:t>
            </w:r>
            <w:r w:rsidRPr="009503A7">
              <w:rPr>
                <w:rFonts w:ascii="Arial" w:eastAsia="Times New Roman" w:hAnsi="Arial" w:cs="Arial"/>
                <w:color w:val="000000"/>
                <w:sz w:val="20"/>
                <w:szCs w:val="20"/>
              </w:rPr>
              <w:t>lokaln</w:t>
            </w:r>
            <w:r>
              <w:rPr>
                <w:rFonts w:ascii="Arial" w:eastAsia="Times New Roman" w:hAnsi="Arial" w:cs="Arial"/>
                <w:color w:val="000000"/>
                <w:sz w:val="20"/>
                <w:szCs w:val="20"/>
              </w:rPr>
              <w:t>u</w:t>
            </w:r>
            <w:r w:rsidRPr="009503A7">
              <w:rPr>
                <w:rFonts w:ascii="Arial" w:eastAsia="Times New Roman" w:hAnsi="Arial" w:cs="Arial"/>
                <w:color w:val="000000"/>
                <w:sz w:val="20"/>
                <w:szCs w:val="20"/>
              </w:rPr>
              <w:t xml:space="preserve"> zajednic</w:t>
            </w:r>
            <w:r>
              <w:rPr>
                <w:rFonts w:ascii="Arial" w:eastAsia="Times New Roman" w:hAnsi="Arial" w:cs="Arial"/>
                <w:color w:val="000000"/>
                <w:sz w:val="20"/>
                <w:szCs w:val="20"/>
              </w:rPr>
              <w:t>e</w:t>
            </w:r>
            <w:r w:rsidRPr="009503A7">
              <w:rPr>
                <w:rFonts w:ascii="Arial" w:eastAsia="Times New Roman" w:hAnsi="Arial" w:cs="Arial"/>
                <w:color w:val="000000"/>
                <w:sz w:val="20"/>
                <w:szCs w:val="20"/>
              </w:rPr>
              <w:t xml:space="preserve"> </w:t>
            </w:r>
            <w:r>
              <w:rPr>
                <w:rFonts w:ascii="Arial" w:eastAsia="Times New Roman" w:hAnsi="Arial" w:cs="Arial"/>
                <w:color w:val="000000"/>
                <w:sz w:val="20"/>
                <w:szCs w:val="20"/>
              </w:rPr>
              <w:t>o mogućnostima d</w:t>
            </w:r>
            <w:r w:rsidRPr="009503A7">
              <w:rPr>
                <w:rFonts w:ascii="Arial" w:eastAsia="Times New Roman" w:hAnsi="Arial" w:cs="Arial"/>
                <w:color w:val="000000"/>
                <w:sz w:val="20"/>
                <w:szCs w:val="20"/>
              </w:rPr>
              <w:t xml:space="preserve">onacija </w:t>
            </w:r>
          </w:p>
          <w:p w14:paraId="4CF27B63" w14:textId="77777777" w:rsidR="00FA7932" w:rsidRDefault="00FA7932" w:rsidP="00FA793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503A7">
              <w:rPr>
                <w:rFonts w:ascii="Arial" w:eastAsia="Times New Roman" w:hAnsi="Arial" w:cs="Arial"/>
                <w:color w:val="000000"/>
                <w:sz w:val="20"/>
                <w:szCs w:val="20"/>
              </w:rPr>
              <w:t>poveća</w:t>
            </w:r>
            <w:r>
              <w:rPr>
                <w:rFonts w:ascii="Arial" w:eastAsia="Times New Roman" w:hAnsi="Arial" w:cs="Arial"/>
                <w:color w:val="000000"/>
                <w:sz w:val="20"/>
                <w:szCs w:val="20"/>
              </w:rPr>
              <w:t xml:space="preserve">vati prihode od </w:t>
            </w:r>
            <w:r w:rsidRPr="009503A7">
              <w:rPr>
                <w:rFonts w:ascii="Arial" w:eastAsia="Times New Roman" w:hAnsi="Arial" w:cs="Arial"/>
                <w:color w:val="000000"/>
                <w:sz w:val="20"/>
                <w:szCs w:val="20"/>
              </w:rPr>
              <w:t>prodaj</w:t>
            </w:r>
            <w:r>
              <w:rPr>
                <w:rFonts w:ascii="Arial" w:eastAsia="Times New Roman" w:hAnsi="Arial" w:cs="Arial"/>
                <w:color w:val="000000"/>
                <w:sz w:val="20"/>
                <w:szCs w:val="20"/>
              </w:rPr>
              <w:t>e</w:t>
            </w:r>
            <w:r w:rsidRPr="009503A7">
              <w:rPr>
                <w:rFonts w:ascii="Arial" w:eastAsia="Times New Roman" w:hAnsi="Arial" w:cs="Arial"/>
                <w:color w:val="000000"/>
                <w:sz w:val="20"/>
                <w:szCs w:val="20"/>
              </w:rPr>
              <w:t xml:space="preserve"> ulaznica u muzej</w:t>
            </w:r>
            <w:r>
              <w:rPr>
                <w:rFonts w:ascii="Arial" w:eastAsia="Times New Roman" w:hAnsi="Arial" w:cs="Arial"/>
                <w:color w:val="000000"/>
                <w:sz w:val="20"/>
                <w:szCs w:val="20"/>
              </w:rPr>
              <w:t>ima</w:t>
            </w:r>
          </w:p>
          <w:p w14:paraId="0D74590A" w14:textId="77777777" w:rsidR="00FA7932" w:rsidRPr="009503A7"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2. Povećanje prinosa u muzejskoj djelatnosti</w:t>
            </w:r>
          </w:p>
          <w:p w14:paraId="43888077" w14:textId="77777777" w:rsidR="00FA7932"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w:t>
            </w:r>
            <w:r w:rsidRPr="009503A7">
              <w:rPr>
                <w:rFonts w:ascii="Arial" w:eastAsia="Times New Roman" w:hAnsi="Arial" w:cs="Arial"/>
                <w:color w:val="000000"/>
                <w:sz w:val="20"/>
                <w:szCs w:val="20"/>
              </w:rPr>
              <w:tab/>
            </w:r>
            <w:r>
              <w:rPr>
                <w:rFonts w:ascii="Arial" w:eastAsia="Times New Roman" w:hAnsi="Arial" w:cs="Arial"/>
                <w:color w:val="000000"/>
                <w:sz w:val="20"/>
                <w:szCs w:val="20"/>
              </w:rPr>
              <w:t>p</w:t>
            </w:r>
            <w:r w:rsidRPr="009503A7">
              <w:rPr>
                <w:rFonts w:ascii="Arial" w:eastAsia="Times New Roman" w:hAnsi="Arial" w:cs="Arial"/>
                <w:color w:val="000000"/>
                <w:sz w:val="20"/>
                <w:szCs w:val="20"/>
              </w:rPr>
              <w:t>oticati stručne djelatnike ustanove na projekte od većeg značaja u skladu sa odlukom o osnivanju i</w:t>
            </w:r>
          </w:p>
          <w:p w14:paraId="66B53908" w14:textId="77777777" w:rsidR="00FA7932" w:rsidRPr="009503A7" w:rsidRDefault="00FA7932" w:rsidP="00FA793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503A7">
              <w:rPr>
                <w:rFonts w:ascii="Arial" w:eastAsia="Times New Roman" w:hAnsi="Arial" w:cs="Arial"/>
                <w:color w:val="000000"/>
                <w:sz w:val="20"/>
                <w:szCs w:val="20"/>
              </w:rPr>
              <w:t>statutom</w:t>
            </w:r>
          </w:p>
          <w:p w14:paraId="5159E603" w14:textId="77777777" w:rsidR="00FA7932" w:rsidRPr="009503A7"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w:t>
            </w:r>
            <w:r w:rsidRPr="009503A7">
              <w:rPr>
                <w:rFonts w:ascii="Arial" w:eastAsia="Times New Roman" w:hAnsi="Arial" w:cs="Arial"/>
                <w:color w:val="000000"/>
                <w:sz w:val="20"/>
                <w:szCs w:val="20"/>
              </w:rPr>
              <w:tab/>
            </w:r>
            <w:r>
              <w:rPr>
                <w:rFonts w:ascii="Arial" w:eastAsia="Times New Roman" w:hAnsi="Arial" w:cs="Arial"/>
                <w:color w:val="000000"/>
                <w:sz w:val="20"/>
                <w:szCs w:val="20"/>
              </w:rPr>
              <w:t>r</w:t>
            </w:r>
            <w:r w:rsidRPr="009503A7">
              <w:rPr>
                <w:rFonts w:ascii="Arial" w:eastAsia="Times New Roman" w:hAnsi="Arial" w:cs="Arial"/>
                <w:color w:val="000000"/>
                <w:sz w:val="20"/>
                <w:szCs w:val="20"/>
              </w:rPr>
              <w:t xml:space="preserve">aditi na evidentiranju dosad neobrađene građe i lokaliteta, poticati lokalnu zajednicu na suradnju. </w:t>
            </w:r>
          </w:p>
          <w:p w14:paraId="00D9CF78" w14:textId="77777777" w:rsidR="00FA7932" w:rsidRPr="009503A7"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w:t>
            </w:r>
            <w:r w:rsidRPr="009503A7">
              <w:rPr>
                <w:rFonts w:ascii="Arial" w:eastAsia="Times New Roman" w:hAnsi="Arial" w:cs="Arial"/>
                <w:color w:val="000000"/>
                <w:sz w:val="20"/>
                <w:szCs w:val="20"/>
              </w:rPr>
              <w:tab/>
            </w:r>
            <w:r>
              <w:rPr>
                <w:rFonts w:ascii="Arial" w:eastAsia="Times New Roman" w:hAnsi="Arial" w:cs="Arial"/>
                <w:color w:val="000000"/>
                <w:sz w:val="20"/>
                <w:szCs w:val="20"/>
              </w:rPr>
              <w:t>n</w:t>
            </w:r>
            <w:r w:rsidRPr="009503A7">
              <w:rPr>
                <w:rFonts w:ascii="Arial" w:eastAsia="Times New Roman" w:hAnsi="Arial" w:cs="Arial"/>
                <w:color w:val="000000"/>
                <w:sz w:val="20"/>
                <w:szCs w:val="20"/>
              </w:rPr>
              <w:t>apraviti digitalnu javnu platformu spomeničke baštine u Konavlima</w:t>
            </w:r>
          </w:p>
          <w:p w14:paraId="3EF8E1EC" w14:textId="77777777" w:rsidR="00FA7932"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w:t>
            </w:r>
            <w:r w:rsidRPr="009503A7">
              <w:rPr>
                <w:rFonts w:ascii="Arial" w:eastAsia="Times New Roman" w:hAnsi="Arial" w:cs="Arial"/>
                <w:color w:val="000000"/>
                <w:sz w:val="20"/>
                <w:szCs w:val="20"/>
              </w:rPr>
              <w:tab/>
            </w:r>
            <w:r>
              <w:rPr>
                <w:rFonts w:ascii="Arial" w:eastAsia="Times New Roman" w:hAnsi="Arial" w:cs="Arial"/>
                <w:color w:val="000000"/>
                <w:sz w:val="20"/>
                <w:szCs w:val="20"/>
              </w:rPr>
              <w:t>p</w:t>
            </w:r>
            <w:r w:rsidRPr="009503A7">
              <w:rPr>
                <w:rFonts w:ascii="Arial" w:eastAsia="Times New Roman" w:hAnsi="Arial" w:cs="Arial"/>
                <w:color w:val="000000"/>
                <w:sz w:val="20"/>
                <w:szCs w:val="20"/>
              </w:rPr>
              <w:t xml:space="preserve">oticati dizajnere na izradu visoko kvalitetnih predmeta inspiriranih građom zbog popularizacije iste i </w:t>
            </w:r>
          </w:p>
          <w:p w14:paraId="6CFFDE78" w14:textId="77777777" w:rsidR="00FA7932" w:rsidRPr="009503A7" w:rsidRDefault="00FA7932" w:rsidP="00FA793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503A7">
              <w:rPr>
                <w:rFonts w:ascii="Arial" w:eastAsia="Times New Roman" w:hAnsi="Arial" w:cs="Arial"/>
                <w:color w:val="000000"/>
                <w:sz w:val="20"/>
                <w:szCs w:val="20"/>
              </w:rPr>
              <w:t>povećanja vlastitih prihoda</w:t>
            </w:r>
          </w:p>
          <w:p w14:paraId="2F068EB1" w14:textId="77777777" w:rsidR="00FA7932" w:rsidRPr="009503A7"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w:t>
            </w:r>
            <w:r w:rsidRPr="009503A7">
              <w:rPr>
                <w:rFonts w:ascii="Arial" w:eastAsia="Times New Roman" w:hAnsi="Arial" w:cs="Arial"/>
                <w:color w:val="000000"/>
                <w:sz w:val="20"/>
                <w:szCs w:val="20"/>
              </w:rPr>
              <w:tab/>
            </w:r>
            <w:r>
              <w:rPr>
                <w:rFonts w:ascii="Arial" w:eastAsia="Times New Roman" w:hAnsi="Arial" w:cs="Arial"/>
                <w:color w:val="000000"/>
                <w:sz w:val="20"/>
                <w:szCs w:val="20"/>
              </w:rPr>
              <w:t>o</w:t>
            </w:r>
            <w:r w:rsidRPr="009503A7">
              <w:rPr>
                <w:rFonts w:ascii="Arial" w:eastAsia="Times New Roman" w:hAnsi="Arial" w:cs="Arial"/>
                <w:color w:val="000000"/>
                <w:sz w:val="20"/>
                <w:szCs w:val="20"/>
              </w:rPr>
              <w:t>sigurati uvjete za kvalitetne prinose</w:t>
            </w:r>
          </w:p>
          <w:p w14:paraId="299CE1C3" w14:textId="77777777" w:rsidR="00FA7932" w:rsidRPr="009503A7"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3. Ubrzanje rasta i razvoja</w:t>
            </w:r>
          </w:p>
          <w:p w14:paraId="028DB7EE" w14:textId="77777777" w:rsidR="00FA7932" w:rsidRPr="009503A7"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w:t>
            </w:r>
            <w:r w:rsidRPr="009503A7">
              <w:rPr>
                <w:rFonts w:ascii="Arial" w:eastAsia="Times New Roman" w:hAnsi="Arial" w:cs="Arial"/>
                <w:color w:val="000000"/>
                <w:sz w:val="20"/>
                <w:szCs w:val="20"/>
              </w:rPr>
              <w:tab/>
            </w:r>
            <w:r>
              <w:rPr>
                <w:rFonts w:ascii="Arial" w:eastAsia="Times New Roman" w:hAnsi="Arial" w:cs="Arial"/>
                <w:color w:val="000000"/>
                <w:sz w:val="20"/>
                <w:szCs w:val="20"/>
              </w:rPr>
              <w:t>p</w:t>
            </w:r>
            <w:r w:rsidRPr="009503A7">
              <w:rPr>
                <w:rFonts w:ascii="Arial" w:eastAsia="Times New Roman" w:hAnsi="Arial" w:cs="Arial"/>
                <w:color w:val="000000"/>
                <w:sz w:val="20"/>
                <w:szCs w:val="20"/>
              </w:rPr>
              <w:t>oticanje razvojnih projekata koji omogućavaju zapošljavanje</w:t>
            </w:r>
          </w:p>
          <w:p w14:paraId="11D5E0E2" w14:textId="77777777" w:rsidR="00FA7932" w:rsidRPr="009503A7"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w:t>
            </w:r>
            <w:r w:rsidRPr="009503A7">
              <w:rPr>
                <w:rFonts w:ascii="Arial" w:eastAsia="Times New Roman" w:hAnsi="Arial" w:cs="Arial"/>
                <w:color w:val="000000"/>
                <w:sz w:val="20"/>
                <w:szCs w:val="20"/>
              </w:rPr>
              <w:tab/>
            </w:r>
            <w:r>
              <w:rPr>
                <w:rFonts w:ascii="Arial" w:eastAsia="Times New Roman" w:hAnsi="Arial" w:cs="Arial"/>
                <w:color w:val="000000"/>
                <w:sz w:val="20"/>
                <w:szCs w:val="20"/>
              </w:rPr>
              <w:t>p</w:t>
            </w:r>
            <w:r w:rsidRPr="009503A7">
              <w:rPr>
                <w:rFonts w:ascii="Arial" w:eastAsia="Times New Roman" w:hAnsi="Arial" w:cs="Arial"/>
                <w:color w:val="000000"/>
                <w:sz w:val="20"/>
                <w:szCs w:val="20"/>
              </w:rPr>
              <w:t>rimjena novih tehnologija u cilju produktivnosti</w:t>
            </w:r>
          </w:p>
          <w:p w14:paraId="5520F327" w14:textId="77777777" w:rsidR="00FA7932" w:rsidRPr="009503A7"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w:t>
            </w:r>
            <w:r w:rsidRPr="009503A7">
              <w:rPr>
                <w:rFonts w:ascii="Arial" w:eastAsia="Times New Roman" w:hAnsi="Arial" w:cs="Arial"/>
                <w:color w:val="000000"/>
                <w:sz w:val="20"/>
                <w:szCs w:val="20"/>
              </w:rPr>
              <w:tab/>
            </w:r>
            <w:r>
              <w:rPr>
                <w:rFonts w:ascii="Arial" w:eastAsia="Times New Roman" w:hAnsi="Arial" w:cs="Arial"/>
                <w:color w:val="000000"/>
                <w:sz w:val="20"/>
                <w:szCs w:val="20"/>
              </w:rPr>
              <w:t>m</w:t>
            </w:r>
            <w:r w:rsidRPr="009503A7">
              <w:rPr>
                <w:rFonts w:ascii="Arial" w:eastAsia="Times New Roman" w:hAnsi="Arial" w:cs="Arial"/>
                <w:color w:val="000000"/>
                <w:sz w:val="20"/>
                <w:szCs w:val="20"/>
              </w:rPr>
              <w:t>uzejske jedinice kao generatori edukacije sa vrlo aktivnim programima za posjetitelje</w:t>
            </w:r>
          </w:p>
          <w:p w14:paraId="6C1D00B9" w14:textId="77777777" w:rsidR="00FA7932" w:rsidRPr="009503A7"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w:t>
            </w:r>
            <w:r w:rsidRPr="009503A7">
              <w:rPr>
                <w:rFonts w:ascii="Arial" w:eastAsia="Times New Roman" w:hAnsi="Arial" w:cs="Arial"/>
                <w:color w:val="000000"/>
                <w:sz w:val="20"/>
                <w:szCs w:val="20"/>
              </w:rPr>
              <w:tab/>
            </w:r>
            <w:r>
              <w:rPr>
                <w:rFonts w:ascii="Arial" w:eastAsia="Times New Roman" w:hAnsi="Arial" w:cs="Arial"/>
                <w:color w:val="000000"/>
                <w:sz w:val="20"/>
                <w:szCs w:val="20"/>
              </w:rPr>
              <w:t>p</w:t>
            </w:r>
            <w:r w:rsidRPr="009503A7">
              <w:rPr>
                <w:rFonts w:ascii="Arial" w:eastAsia="Times New Roman" w:hAnsi="Arial" w:cs="Arial"/>
                <w:color w:val="000000"/>
                <w:sz w:val="20"/>
                <w:szCs w:val="20"/>
              </w:rPr>
              <w:t>ovećanje vlastitih prihoda</w:t>
            </w:r>
          </w:p>
          <w:p w14:paraId="2FB1A614" w14:textId="77777777" w:rsidR="00FA7932" w:rsidRPr="009503A7"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4. Obrazovanje i zapošljavanje</w:t>
            </w:r>
          </w:p>
          <w:p w14:paraId="4D3D2442" w14:textId="77777777" w:rsidR="00FA7932" w:rsidRPr="009503A7"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w:t>
            </w:r>
            <w:r w:rsidRPr="009503A7">
              <w:rPr>
                <w:rFonts w:ascii="Arial" w:eastAsia="Times New Roman" w:hAnsi="Arial" w:cs="Arial"/>
                <w:color w:val="000000"/>
                <w:sz w:val="20"/>
                <w:szCs w:val="20"/>
              </w:rPr>
              <w:tab/>
            </w:r>
            <w:r>
              <w:rPr>
                <w:rFonts w:ascii="Arial" w:eastAsia="Times New Roman" w:hAnsi="Arial" w:cs="Arial"/>
                <w:color w:val="000000"/>
                <w:sz w:val="20"/>
                <w:szCs w:val="20"/>
              </w:rPr>
              <w:t>u</w:t>
            </w:r>
            <w:r w:rsidRPr="009503A7">
              <w:rPr>
                <w:rFonts w:ascii="Arial" w:eastAsia="Times New Roman" w:hAnsi="Arial" w:cs="Arial"/>
                <w:color w:val="000000"/>
                <w:sz w:val="20"/>
                <w:szCs w:val="20"/>
              </w:rPr>
              <w:t>laga</w:t>
            </w:r>
            <w:r>
              <w:rPr>
                <w:rFonts w:ascii="Arial" w:eastAsia="Times New Roman" w:hAnsi="Arial" w:cs="Arial"/>
                <w:color w:val="000000"/>
                <w:sz w:val="20"/>
                <w:szCs w:val="20"/>
              </w:rPr>
              <w:t xml:space="preserve">nje </w:t>
            </w:r>
            <w:r w:rsidRPr="009503A7">
              <w:rPr>
                <w:rFonts w:ascii="Arial" w:eastAsia="Times New Roman" w:hAnsi="Arial" w:cs="Arial"/>
                <w:color w:val="000000"/>
                <w:sz w:val="20"/>
                <w:szCs w:val="20"/>
              </w:rPr>
              <w:t>u stručno usavršavanje djelatnika</w:t>
            </w:r>
          </w:p>
          <w:p w14:paraId="3DA4CD65" w14:textId="77777777" w:rsidR="00FA7932" w:rsidRDefault="00FA7932" w:rsidP="00FA7932">
            <w:pPr>
              <w:spacing w:after="0" w:line="240" w:lineRule="auto"/>
              <w:rPr>
                <w:rFonts w:ascii="Arial" w:eastAsia="Times New Roman" w:hAnsi="Arial" w:cs="Arial"/>
                <w:color w:val="000000"/>
                <w:sz w:val="20"/>
                <w:szCs w:val="20"/>
              </w:rPr>
            </w:pPr>
            <w:r w:rsidRPr="009503A7">
              <w:rPr>
                <w:rFonts w:ascii="Arial" w:eastAsia="Times New Roman" w:hAnsi="Arial" w:cs="Arial"/>
                <w:color w:val="000000"/>
                <w:sz w:val="20"/>
                <w:szCs w:val="20"/>
              </w:rPr>
              <w:t>-</w:t>
            </w:r>
            <w:r w:rsidRPr="009503A7">
              <w:rPr>
                <w:rFonts w:ascii="Arial" w:eastAsia="Times New Roman" w:hAnsi="Arial" w:cs="Arial"/>
                <w:color w:val="000000"/>
                <w:sz w:val="20"/>
                <w:szCs w:val="20"/>
              </w:rPr>
              <w:tab/>
            </w:r>
            <w:r>
              <w:rPr>
                <w:rFonts w:ascii="Arial" w:eastAsia="Times New Roman" w:hAnsi="Arial" w:cs="Arial"/>
                <w:color w:val="000000"/>
                <w:sz w:val="20"/>
                <w:szCs w:val="20"/>
              </w:rPr>
              <w:t>p</w:t>
            </w:r>
            <w:r w:rsidRPr="009503A7">
              <w:rPr>
                <w:rFonts w:ascii="Arial" w:eastAsia="Times New Roman" w:hAnsi="Arial" w:cs="Arial"/>
                <w:color w:val="000000"/>
                <w:sz w:val="20"/>
                <w:szCs w:val="20"/>
              </w:rPr>
              <w:t>otica</w:t>
            </w:r>
            <w:r>
              <w:rPr>
                <w:rFonts w:ascii="Arial" w:eastAsia="Times New Roman" w:hAnsi="Arial" w:cs="Arial"/>
                <w:color w:val="000000"/>
                <w:sz w:val="20"/>
                <w:szCs w:val="20"/>
              </w:rPr>
              <w:t>nje</w:t>
            </w:r>
            <w:r w:rsidRPr="009503A7">
              <w:rPr>
                <w:rFonts w:ascii="Arial" w:eastAsia="Times New Roman" w:hAnsi="Arial" w:cs="Arial"/>
                <w:color w:val="000000"/>
                <w:sz w:val="20"/>
                <w:szCs w:val="20"/>
              </w:rPr>
              <w:t xml:space="preserve"> zapošljavanj</w:t>
            </w:r>
            <w:r>
              <w:rPr>
                <w:rFonts w:ascii="Arial" w:eastAsia="Times New Roman" w:hAnsi="Arial" w:cs="Arial"/>
                <w:color w:val="000000"/>
                <w:sz w:val="20"/>
                <w:szCs w:val="20"/>
              </w:rPr>
              <w:t>a</w:t>
            </w:r>
            <w:r w:rsidRPr="009503A7">
              <w:rPr>
                <w:rFonts w:ascii="Arial" w:eastAsia="Times New Roman" w:hAnsi="Arial" w:cs="Arial"/>
                <w:color w:val="000000"/>
                <w:sz w:val="20"/>
                <w:szCs w:val="20"/>
              </w:rPr>
              <w:t xml:space="preserve"> mladih stručnjaka te razvija</w:t>
            </w:r>
            <w:r>
              <w:rPr>
                <w:rFonts w:ascii="Arial" w:eastAsia="Times New Roman" w:hAnsi="Arial" w:cs="Arial"/>
                <w:color w:val="000000"/>
                <w:sz w:val="20"/>
                <w:szCs w:val="20"/>
              </w:rPr>
              <w:t>nje</w:t>
            </w:r>
            <w:r w:rsidRPr="009503A7">
              <w:rPr>
                <w:rFonts w:ascii="Arial" w:eastAsia="Times New Roman" w:hAnsi="Arial" w:cs="Arial"/>
                <w:color w:val="000000"/>
                <w:sz w:val="20"/>
                <w:szCs w:val="20"/>
              </w:rPr>
              <w:t xml:space="preserve"> program</w:t>
            </w:r>
            <w:r>
              <w:rPr>
                <w:rFonts w:ascii="Arial" w:eastAsia="Times New Roman" w:hAnsi="Arial" w:cs="Arial"/>
                <w:color w:val="000000"/>
                <w:sz w:val="20"/>
                <w:szCs w:val="20"/>
              </w:rPr>
              <w:t>a</w:t>
            </w:r>
            <w:r w:rsidRPr="009503A7">
              <w:rPr>
                <w:rFonts w:ascii="Arial" w:eastAsia="Times New Roman" w:hAnsi="Arial" w:cs="Arial"/>
                <w:color w:val="000000"/>
                <w:sz w:val="20"/>
                <w:szCs w:val="20"/>
              </w:rPr>
              <w:t xml:space="preserve"> u kojima su nositelji vizije programa </w:t>
            </w:r>
          </w:p>
          <w:p w14:paraId="7668783A" w14:textId="77777777" w:rsidR="00FA7932" w:rsidRDefault="00FA7932" w:rsidP="00FA793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503A7">
              <w:rPr>
                <w:rFonts w:ascii="Arial" w:eastAsia="Times New Roman" w:hAnsi="Arial" w:cs="Arial"/>
                <w:color w:val="000000"/>
                <w:sz w:val="20"/>
                <w:szCs w:val="20"/>
              </w:rPr>
              <w:t>sukladno užem interesu.</w:t>
            </w:r>
            <w:r>
              <w:rPr>
                <w:rFonts w:ascii="Arial" w:eastAsia="Times New Roman" w:hAnsi="Arial" w:cs="Arial"/>
                <w:color w:val="000000"/>
                <w:sz w:val="20"/>
                <w:szCs w:val="20"/>
              </w:rPr>
              <w:t xml:space="preserve"> </w:t>
            </w:r>
            <w:r w:rsidRPr="009503A7">
              <w:rPr>
                <w:rFonts w:ascii="Arial" w:eastAsia="Times New Roman" w:hAnsi="Arial" w:cs="Arial"/>
                <w:color w:val="000000"/>
                <w:sz w:val="20"/>
                <w:szCs w:val="20"/>
              </w:rPr>
              <w:t>Omogućiti im napredovanje u struci i prezentaciju njihova rada.</w:t>
            </w:r>
          </w:p>
          <w:p w14:paraId="20D92F6D" w14:textId="77777777" w:rsidR="00FA7932" w:rsidRDefault="00FA7932" w:rsidP="00FA793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Posebni ciljevi:</w:t>
            </w:r>
          </w:p>
          <w:p w14:paraId="46FD20DE" w14:textId="77777777" w:rsidR="00FA7932" w:rsidRDefault="00FA7932" w:rsidP="00FA7932">
            <w:pPr>
              <w:spacing w:after="0" w:line="240" w:lineRule="auto"/>
              <w:jc w:val="both"/>
              <w:rPr>
                <w:rFonts w:ascii="Arial" w:eastAsia="Calibri" w:hAnsi="Arial" w:cs="Arial"/>
                <w:sz w:val="20"/>
                <w:szCs w:val="20"/>
              </w:rPr>
            </w:pPr>
            <w:r w:rsidRPr="00A1400C">
              <w:rPr>
                <w:rFonts w:ascii="Arial" w:eastAsia="Calibri" w:hAnsi="Arial" w:cs="Arial"/>
                <w:sz w:val="20"/>
                <w:szCs w:val="20"/>
              </w:rPr>
              <w:t>-</w:t>
            </w:r>
            <w:r w:rsidRPr="00A1400C">
              <w:rPr>
                <w:rFonts w:ascii="Arial" w:eastAsia="Calibri" w:hAnsi="Arial" w:cs="Arial"/>
                <w:sz w:val="20"/>
                <w:szCs w:val="20"/>
              </w:rPr>
              <w:tab/>
            </w:r>
            <w:r>
              <w:rPr>
                <w:rFonts w:ascii="Arial" w:eastAsia="Calibri" w:hAnsi="Arial" w:cs="Arial"/>
                <w:sz w:val="20"/>
                <w:szCs w:val="20"/>
              </w:rPr>
              <w:t>g</w:t>
            </w:r>
            <w:r w:rsidRPr="00A1400C">
              <w:rPr>
                <w:rFonts w:ascii="Arial" w:eastAsia="Calibri" w:hAnsi="Arial" w:cs="Arial"/>
                <w:sz w:val="20"/>
                <w:szCs w:val="20"/>
              </w:rPr>
              <w:t xml:space="preserve">rađevinski sanirati Zavičajni muzej Konavala, omogućiti siguran smještaj i prezentaciju građe te stvoriti </w:t>
            </w:r>
          </w:p>
          <w:p w14:paraId="77E2CE4B" w14:textId="77777777" w:rsidR="00FA7932" w:rsidRDefault="00FA7932" w:rsidP="00FA7932">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Pr="00A1400C">
              <w:rPr>
                <w:rFonts w:ascii="Arial" w:eastAsia="Calibri" w:hAnsi="Arial" w:cs="Arial"/>
                <w:sz w:val="20"/>
                <w:szCs w:val="20"/>
              </w:rPr>
              <w:t>kvalitetne uvjete za</w:t>
            </w:r>
            <w:r>
              <w:rPr>
                <w:rFonts w:ascii="Arial" w:eastAsia="Calibri" w:hAnsi="Arial" w:cs="Arial"/>
                <w:sz w:val="20"/>
                <w:szCs w:val="20"/>
              </w:rPr>
              <w:t xml:space="preserve"> </w:t>
            </w:r>
            <w:r w:rsidRPr="00A1400C">
              <w:rPr>
                <w:rFonts w:ascii="Arial" w:eastAsia="Calibri" w:hAnsi="Arial" w:cs="Arial"/>
                <w:sz w:val="20"/>
                <w:szCs w:val="20"/>
              </w:rPr>
              <w:t>rad kustosa</w:t>
            </w:r>
            <w:r>
              <w:rPr>
                <w:rFonts w:ascii="Arial" w:eastAsia="Calibri" w:hAnsi="Arial" w:cs="Arial"/>
                <w:sz w:val="20"/>
                <w:szCs w:val="20"/>
              </w:rPr>
              <w:t xml:space="preserve">; riješiti pitanje </w:t>
            </w:r>
            <w:r w:rsidRPr="00A1400C">
              <w:rPr>
                <w:rFonts w:ascii="Arial" w:eastAsia="Calibri" w:hAnsi="Arial" w:cs="Arial"/>
                <w:sz w:val="20"/>
                <w:szCs w:val="20"/>
              </w:rPr>
              <w:t xml:space="preserve">vlage u Kući Bukovac </w:t>
            </w:r>
            <w:r>
              <w:rPr>
                <w:rFonts w:ascii="Arial" w:eastAsia="Calibri" w:hAnsi="Arial" w:cs="Arial"/>
                <w:sz w:val="20"/>
                <w:szCs w:val="20"/>
              </w:rPr>
              <w:t>u uv</w:t>
            </w:r>
            <w:r w:rsidRPr="00A1400C">
              <w:rPr>
                <w:rFonts w:ascii="Arial" w:eastAsia="Calibri" w:hAnsi="Arial" w:cs="Arial"/>
                <w:sz w:val="20"/>
                <w:szCs w:val="20"/>
              </w:rPr>
              <w:t>esti sustava regulacije vlage</w:t>
            </w:r>
            <w:r>
              <w:rPr>
                <w:rFonts w:ascii="Arial" w:eastAsia="Calibri" w:hAnsi="Arial" w:cs="Arial"/>
                <w:sz w:val="20"/>
                <w:szCs w:val="20"/>
              </w:rPr>
              <w:t xml:space="preserve"> i </w:t>
            </w:r>
          </w:p>
          <w:p w14:paraId="531117CB" w14:textId="77777777" w:rsidR="00FA7932" w:rsidRPr="00A1400C" w:rsidRDefault="00FA7932" w:rsidP="00FA7932">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Pr="00A1400C">
              <w:rPr>
                <w:rFonts w:ascii="Arial" w:eastAsia="Calibri" w:hAnsi="Arial" w:cs="Arial"/>
                <w:sz w:val="20"/>
                <w:szCs w:val="20"/>
              </w:rPr>
              <w:t>temperature u Kuću Bukovac.</w:t>
            </w:r>
          </w:p>
          <w:p w14:paraId="51CAAD06" w14:textId="77777777" w:rsidR="00FA7932" w:rsidRPr="00A1400C" w:rsidRDefault="00FA7932" w:rsidP="00FA7932">
            <w:pPr>
              <w:spacing w:after="0" w:line="240" w:lineRule="auto"/>
              <w:jc w:val="both"/>
              <w:rPr>
                <w:rFonts w:ascii="Arial" w:eastAsia="Calibri" w:hAnsi="Arial" w:cs="Arial"/>
                <w:sz w:val="20"/>
                <w:szCs w:val="20"/>
              </w:rPr>
            </w:pPr>
            <w:r w:rsidRPr="00A1400C">
              <w:rPr>
                <w:rFonts w:ascii="Arial" w:eastAsia="Calibri" w:hAnsi="Arial" w:cs="Arial"/>
                <w:sz w:val="20"/>
                <w:szCs w:val="20"/>
              </w:rPr>
              <w:t>-</w:t>
            </w:r>
            <w:r w:rsidRPr="00A1400C">
              <w:rPr>
                <w:rFonts w:ascii="Arial" w:eastAsia="Calibri" w:hAnsi="Arial" w:cs="Arial"/>
                <w:sz w:val="20"/>
                <w:szCs w:val="20"/>
              </w:rPr>
              <w:tab/>
            </w:r>
            <w:r>
              <w:rPr>
                <w:rFonts w:ascii="Arial" w:eastAsia="Calibri" w:hAnsi="Arial" w:cs="Arial"/>
                <w:sz w:val="20"/>
                <w:szCs w:val="20"/>
              </w:rPr>
              <w:t xml:space="preserve">realizirati </w:t>
            </w:r>
            <w:r w:rsidRPr="000254AF">
              <w:rPr>
                <w:rFonts w:ascii="Arial" w:eastAsia="Calibri" w:hAnsi="Arial" w:cs="Arial"/>
                <w:sz w:val="20"/>
                <w:szCs w:val="20"/>
              </w:rPr>
              <w:t>šest izložbi godišnje od kojih bi četiri trebale biti</w:t>
            </w:r>
            <w:r w:rsidRPr="00A1400C">
              <w:rPr>
                <w:rFonts w:ascii="Arial" w:eastAsia="Calibri" w:hAnsi="Arial" w:cs="Arial"/>
                <w:sz w:val="20"/>
                <w:szCs w:val="20"/>
              </w:rPr>
              <w:t xml:space="preserve"> iz obrade muzejskog fundusa</w:t>
            </w:r>
          </w:p>
          <w:p w14:paraId="675C96B2" w14:textId="77777777" w:rsidR="00FA7932" w:rsidRPr="00A1400C" w:rsidRDefault="00FA7932" w:rsidP="00FA7932">
            <w:pPr>
              <w:spacing w:after="0" w:line="240" w:lineRule="auto"/>
              <w:jc w:val="both"/>
              <w:rPr>
                <w:rFonts w:ascii="Arial" w:eastAsia="Calibri" w:hAnsi="Arial" w:cs="Arial"/>
                <w:sz w:val="20"/>
                <w:szCs w:val="20"/>
              </w:rPr>
            </w:pPr>
            <w:r w:rsidRPr="00A1400C">
              <w:rPr>
                <w:rFonts w:ascii="Arial" w:eastAsia="Calibri" w:hAnsi="Arial" w:cs="Arial"/>
                <w:sz w:val="20"/>
                <w:szCs w:val="20"/>
              </w:rPr>
              <w:t>-</w:t>
            </w:r>
            <w:r w:rsidRPr="00A1400C">
              <w:rPr>
                <w:rFonts w:ascii="Arial" w:eastAsia="Calibri" w:hAnsi="Arial" w:cs="Arial"/>
                <w:sz w:val="20"/>
                <w:szCs w:val="20"/>
              </w:rPr>
              <w:tab/>
            </w:r>
            <w:r>
              <w:rPr>
                <w:rFonts w:ascii="Arial" w:eastAsia="Calibri" w:hAnsi="Arial" w:cs="Arial"/>
                <w:sz w:val="20"/>
                <w:szCs w:val="20"/>
              </w:rPr>
              <w:t>informati</w:t>
            </w:r>
            <w:r w:rsidRPr="00A1400C">
              <w:rPr>
                <w:rFonts w:ascii="Arial" w:eastAsia="Calibri" w:hAnsi="Arial" w:cs="Arial"/>
                <w:sz w:val="20"/>
                <w:szCs w:val="20"/>
              </w:rPr>
              <w:t xml:space="preserve">zirati muzejske jedinice </w:t>
            </w:r>
          </w:p>
          <w:p w14:paraId="660E0A7F" w14:textId="77777777" w:rsidR="00FA7932" w:rsidRPr="00A1400C" w:rsidRDefault="00FA7932" w:rsidP="00FA7932">
            <w:pPr>
              <w:spacing w:after="0" w:line="240" w:lineRule="auto"/>
              <w:jc w:val="both"/>
              <w:rPr>
                <w:rFonts w:ascii="Arial" w:eastAsia="Calibri" w:hAnsi="Arial" w:cs="Arial"/>
                <w:sz w:val="20"/>
                <w:szCs w:val="20"/>
              </w:rPr>
            </w:pPr>
            <w:r w:rsidRPr="00A1400C">
              <w:rPr>
                <w:rFonts w:ascii="Arial" w:eastAsia="Calibri" w:hAnsi="Arial" w:cs="Arial"/>
                <w:sz w:val="20"/>
                <w:szCs w:val="20"/>
              </w:rPr>
              <w:t>-</w:t>
            </w:r>
            <w:r w:rsidRPr="00A1400C">
              <w:rPr>
                <w:rFonts w:ascii="Arial" w:eastAsia="Calibri" w:hAnsi="Arial" w:cs="Arial"/>
                <w:sz w:val="20"/>
                <w:szCs w:val="20"/>
              </w:rPr>
              <w:tab/>
            </w:r>
            <w:r>
              <w:rPr>
                <w:rFonts w:ascii="Arial" w:eastAsia="Calibri" w:hAnsi="Arial" w:cs="Arial"/>
                <w:sz w:val="20"/>
                <w:szCs w:val="20"/>
              </w:rPr>
              <w:t>f</w:t>
            </w:r>
            <w:r w:rsidRPr="00A1400C">
              <w:rPr>
                <w:rFonts w:ascii="Arial" w:eastAsia="Calibri" w:hAnsi="Arial" w:cs="Arial"/>
                <w:sz w:val="20"/>
                <w:szCs w:val="20"/>
              </w:rPr>
              <w:t>ormirati muzejske prodavaonice sa kvalitetnim dizajnerskim proizvodima</w:t>
            </w:r>
          </w:p>
          <w:p w14:paraId="43B59030" w14:textId="77777777" w:rsidR="00FA7932" w:rsidRPr="00A1400C" w:rsidRDefault="00FA7932" w:rsidP="00FA7932">
            <w:pPr>
              <w:spacing w:after="0" w:line="240" w:lineRule="auto"/>
              <w:jc w:val="both"/>
              <w:rPr>
                <w:rFonts w:ascii="Arial" w:eastAsia="Calibri" w:hAnsi="Arial" w:cs="Arial"/>
                <w:sz w:val="20"/>
                <w:szCs w:val="20"/>
              </w:rPr>
            </w:pPr>
            <w:r w:rsidRPr="00A1400C">
              <w:rPr>
                <w:rFonts w:ascii="Arial" w:eastAsia="Calibri" w:hAnsi="Arial" w:cs="Arial"/>
                <w:sz w:val="20"/>
                <w:szCs w:val="20"/>
              </w:rPr>
              <w:t>-</w:t>
            </w:r>
            <w:r w:rsidRPr="00A1400C">
              <w:rPr>
                <w:rFonts w:ascii="Arial" w:eastAsia="Calibri" w:hAnsi="Arial" w:cs="Arial"/>
                <w:sz w:val="20"/>
                <w:szCs w:val="20"/>
              </w:rPr>
              <w:tab/>
            </w:r>
            <w:r>
              <w:rPr>
                <w:rFonts w:ascii="Arial" w:eastAsia="Calibri" w:hAnsi="Arial" w:cs="Arial"/>
                <w:sz w:val="20"/>
                <w:szCs w:val="20"/>
              </w:rPr>
              <w:t>r</w:t>
            </w:r>
            <w:r w:rsidRPr="00A1400C">
              <w:rPr>
                <w:rFonts w:ascii="Arial" w:eastAsia="Calibri" w:hAnsi="Arial" w:cs="Arial"/>
                <w:sz w:val="20"/>
                <w:szCs w:val="20"/>
              </w:rPr>
              <w:t>azvijati odjel za arheologiju kao centar za povijesna i arheološka istraživanja Konavala</w:t>
            </w:r>
          </w:p>
          <w:p w14:paraId="27696A6A" w14:textId="77777777" w:rsidR="00FA7932" w:rsidRDefault="00FA7932" w:rsidP="00FA7932">
            <w:pPr>
              <w:spacing w:after="0" w:line="240" w:lineRule="auto"/>
              <w:jc w:val="both"/>
              <w:rPr>
                <w:rFonts w:ascii="Arial" w:eastAsia="Calibri" w:hAnsi="Arial" w:cs="Arial"/>
                <w:sz w:val="20"/>
                <w:szCs w:val="20"/>
              </w:rPr>
            </w:pPr>
            <w:r w:rsidRPr="00A1400C">
              <w:rPr>
                <w:rFonts w:ascii="Arial" w:eastAsia="Calibri" w:hAnsi="Arial" w:cs="Arial"/>
                <w:sz w:val="20"/>
                <w:szCs w:val="20"/>
              </w:rPr>
              <w:t>-</w:t>
            </w:r>
            <w:r w:rsidRPr="00A1400C">
              <w:rPr>
                <w:rFonts w:ascii="Arial" w:eastAsia="Calibri" w:hAnsi="Arial" w:cs="Arial"/>
                <w:sz w:val="20"/>
                <w:szCs w:val="20"/>
              </w:rPr>
              <w:tab/>
            </w:r>
            <w:r>
              <w:rPr>
                <w:rFonts w:ascii="Arial" w:eastAsia="Calibri" w:hAnsi="Arial" w:cs="Arial"/>
                <w:sz w:val="20"/>
                <w:szCs w:val="20"/>
              </w:rPr>
              <w:t>i</w:t>
            </w:r>
            <w:r w:rsidRPr="00A1400C">
              <w:rPr>
                <w:rFonts w:ascii="Arial" w:eastAsia="Calibri" w:hAnsi="Arial" w:cs="Arial"/>
                <w:sz w:val="20"/>
                <w:szCs w:val="20"/>
              </w:rPr>
              <w:t xml:space="preserve">zraditi projektnu dokumentaciju za prezentaciju i istraživačke radove na lokalitetu </w:t>
            </w:r>
            <w:r>
              <w:rPr>
                <w:rFonts w:ascii="Arial" w:eastAsia="Calibri" w:hAnsi="Arial" w:cs="Arial"/>
                <w:sz w:val="20"/>
                <w:szCs w:val="20"/>
              </w:rPr>
              <w:t>Sv.</w:t>
            </w:r>
            <w:r w:rsidRPr="00A1400C">
              <w:rPr>
                <w:rFonts w:ascii="Arial" w:eastAsia="Calibri" w:hAnsi="Arial" w:cs="Arial"/>
                <w:sz w:val="20"/>
                <w:szCs w:val="20"/>
              </w:rPr>
              <w:t xml:space="preserve">Barbara koja je od </w:t>
            </w:r>
          </w:p>
          <w:p w14:paraId="12242A58" w14:textId="77777777" w:rsidR="00FA7932" w:rsidRPr="00A1400C" w:rsidRDefault="00FA7932" w:rsidP="00FA7932">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Pr="00A1400C">
              <w:rPr>
                <w:rFonts w:ascii="Arial" w:eastAsia="Calibri" w:hAnsi="Arial" w:cs="Arial"/>
                <w:sz w:val="20"/>
                <w:szCs w:val="20"/>
              </w:rPr>
              <w:t>2016. pod zaštitom UNESCO-a</w:t>
            </w:r>
          </w:p>
          <w:p w14:paraId="10793089" w14:textId="77777777" w:rsidR="00FA7932" w:rsidRDefault="00FA7932" w:rsidP="00FA7932">
            <w:pPr>
              <w:spacing w:after="0" w:line="240" w:lineRule="auto"/>
              <w:jc w:val="both"/>
              <w:rPr>
                <w:rFonts w:ascii="Arial" w:eastAsia="Calibri" w:hAnsi="Arial" w:cs="Arial"/>
                <w:sz w:val="20"/>
                <w:szCs w:val="20"/>
              </w:rPr>
            </w:pPr>
            <w:r w:rsidRPr="00A1400C">
              <w:rPr>
                <w:rFonts w:ascii="Arial" w:eastAsia="Calibri" w:hAnsi="Arial" w:cs="Arial"/>
                <w:sz w:val="20"/>
                <w:szCs w:val="20"/>
              </w:rPr>
              <w:t>-</w:t>
            </w:r>
            <w:r w:rsidRPr="00A1400C">
              <w:rPr>
                <w:rFonts w:ascii="Arial" w:eastAsia="Calibri" w:hAnsi="Arial" w:cs="Arial"/>
                <w:sz w:val="20"/>
                <w:szCs w:val="20"/>
              </w:rPr>
              <w:tab/>
            </w:r>
            <w:r>
              <w:rPr>
                <w:rFonts w:ascii="Arial" w:eastAsia="Calibri" w:hAnsi="Arial" w:cs="Arial"/>
                <w:sz w:val="20"/>
                <w:szCs w:val="20"/>
              </w:rPr>
              <w:t>p</w:t>
            </w:r>
            <w:r w:rsidRPr="00A1400C">
              <w:rPr>
                <w:rFonts w:ascii="Arial" w:eastAsia="Calibri" w:hAnsi="Arial" w:cs="Arial"/>
                <w:sz w:val="20"/>
                <w:szCs w:val="20"/>
              </w:rPr>
              <w:t xml:space="preserve">rezentirati srednjovjekovno groblje i naseobinski lokalitet na Jagnjilu, Stravča (11. – 15.st) sa jedinom </w:t>
            </w:r>
          </w:p>
          <w:p w14:paraId="1447C4F3" w14:textId="77777777" w:rsidR="00FA7932" w:rsidRPr="00A1400C" w:rsidRDefault="00FA7932" w:rsidP="00FA7932">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Pr="00A1400C">
              <w:rPr>
                <w:rFonts w:ascii="Arial" w:eastAsia="Calibri" w:hAnsi="Arial" w:cs="Arial"/>
                <w:sz w:val="20"/>
                <w:szCs w:val="20"/>
              </w:rPr>
              <w:t>suhozidnom crkvom u</w:t>
            </w:r>
            <w:r>
              <w:rPr>
                <w:rFonts w:ascii="Arial" w:eastAsia="Calibri" w:hAnsi="Arial" w:cs="Arial"/>
                <w:sz w:val="20"/>
                <w:szCs w:val="20"/>
              </w:rPr>
              <w:t xml:space="preserve"> </w:t>
            </w:r>
            <w:r w:rsidRPr="00A1400C">
              <w:rPr>
                <w:rFonts w:ascii="Arial" w:eastAsia="Calibri" w:hAnsi="Arial" w:cs="Arial"/>
                <w:sz w:val="20"/>
                <w:szCs w:val="20"/>
              </w:rPr>
              <w:t>Konavlima</w:t>
            </w:r>
          </w:p>
          <w:p w14:paraId="205B5534" w14:textId="77777777" w:rsidR="00FA7932" w:rsidRPr="00A1400C" w:rsidRDefault="00FA7932" w:rsidP="00FA7932">
            <w:pPr>
              <w:spacing w:after="0" w:line="240" w:lineRule="auto"/>
              <w:jc w:val="both"/>
              <w:rPr>
                <w:rFonts w:ascii="Arial" w:eastAsia="Calibri" w:hAnsi="Arial" w:cs="Arial"/>
                <w:sz w:val="20"/>
                <w:szCs w:val="20"/>
              </w:rPr>
            </w:pPr>
            <w:r w:rsidRPr="00A1400C">
              <w:rPr>
                <w:rFonts w:ascii="Arial" w:eastAsia="Calibri" w:hAnsi="Arial" w:cs="Arial"/>
                <w:sz w:val="20"/>
                <w:szCs w:val="20"/>
              </w:rPr>
              <w:t>-</w:t>
            </w:r>
            <w:r w:rsidRPr="00A1400C">
              <w:rPr>
                <w:rFonts w:ascii="Arial" w:eastAsia="Calibri" w:hAnsi="Arial" w:cs="Arial"/>
                <w:sz w:val="20"/>
                <w:szCs w:val="20"/>
              </w:rPr>
              <w:tab/>
            </w:r>
            <w:r>
              <w:rPr>
                <w:rFonts w:ascii="Arial" w:eastAsia="Calibri" w:hAnsi="Arial" w:cs="Arial"/>
                <w:sz w:val="20"/>
                <w:szCs w:val="20"/>
              </w:rPr>
              <w:t>i</w:t>
            </w:r>
            <w:r w:rsidRPr="00A1400C">
              <w:rPr>
                <w:rFonts w:ascii="Arial" w:eastAsia="Calibri" w:hAnsi="Arial" w:cs="Arial"/>
                <w:sz w:val="20"/>
                <w:szCs w:val="20"/>
              </w:rPr>
              <w:t>stražiti i prezentirati kamenolom stećaka Voznik na Brotnicama</w:t>
            </w:r>
          </w:p>
          <w:p w14:paraId="6AE064D5" w14:textId="77777777" w:rsidR="00FA7932" w:rsidRPr="00A1400C" w:rsidRDefault="00FA7932" w:rsidP="00FA7932">
            <w:pPr>
              <w:spacing w:after="0" w:line="240" w:lineRule="auto"/>
              <w:jc w:val="both"/>
              <w:rPr>
                <w:rFonts w:ascii="Arial" w:eastAsia="Calibri" w:hAnsi="Arial" w:cs="Arial"/>
                <w:sz w:val="20"/>
                <w:szCs w:val="20"/>
              </w:rPr>
            </w:pPr>
            <w:r w:rsidRPr="00A1400C">
              <w:rPr>
                <w:rFonts w:ascii="Arial" w:eastAsia="Calibri" w:hAnsi="Arial" w:cs="Arial"/>
                <w:sz w:val="20"/>
                <w:szCs w:val="20"/>
              </w:rPr>
              <w:t>-</w:t>
            </w:r>
            <w:r w:rsidRPr="00A1400C">
              <w:rPr>
                <w:rFonts w:ascii="Arial" w:eastAsia="Calibri" w:hAnsi="Arial" w:cs="Arial"/>
                <w:sz w:val="20"/>
                <w:szCs w:val="20"/>
              </w:rPr>
              <w:tab/>
            </w:r>
            <w:r>
              <w:rPr>
                <w:rFonts w:ascii="Arial" w:eastAsia="Calibri" w:hAnsi="Arial" w:cs="Arial"/>
                <w:sz w:val="20"/>
                <w:szCs w:val="20"/>
              </w:rPr>
              <w:t>p</w:t>
            </w:r>
            <w:r w:rsidRPr="00A1400C">
              <w:rPr>
                <w:rFonts w:ascii="Arial" w:eastAsia="Calibri" w:hAnsi="Arial" w:cs="Arial"/>
                <w:sz w:val="20"/>
                <w:szCs w:val="20"/>
              </w:rPr>
              <w:t>ojačati izdavačku djelatnost</w:t>
            </w:r>
          </w:p>
          <w:p w14:paraId="3D894161" w14:textId="77777777" w:rsidR="00FA7932" w:rsidRPr="00A1400C" w:rsidRDefault="00FA7932" w:rsidP="00FA7932">
            <w:pPr>
              <w:spacing w:after="0" w:line="240" w:lineRule="auto"/>
              <w:jc w:val="both"/>
              <w:rPr>
                <w:rFonts w:ascii="Arial" w:eastAsia="Calibri" w:hAnsi="Arial" w:cs="Arial"/>
                <w:sz w:val="20"/>
                <w:szCs w:val="20"/>
              </w:rPr>
            </w:pPr>
            <w:r w:rsidRPr="00A1400C">
              <w:rPr>
                <w:rFonts w:ascii="Arial" w:eastAsia="Calibri" w:hAnsi="Arial" w:cs="Arial"/>
                <w:sz w:val="20"/>
                <w:szCs w:val="20"/>
              </w:rPr>
              <w:t>-</w:t>
            </w:r>
            <w:r w:rsidRPr="00A1400C">
              <w:rPr>
                <w:rFonts w:ascii="Arial" w:eastAsia="Calibri" w:hAnsi="Arial" w:cs="Arial"/>
                <w:sz w:val="20"/>
                <w:szCs w:val="20"/>
              </w:rPr>
              <w:tab/>
            </w:r>
            <w:r>
              <w:rPr>
                <w:rFonts w:ascii="Arial" w:eastAsia="Calibri" w:hAnsi="Arial" w:cs="Arial"/>
                <w:sz w:val="20"/>
                <w:szCs w:val="20"/>
              </w:rPr>
              <w:t>f</w:t>
            </w:r>
            <w:r w:rsidRPr="00A1400C">
              <w:rPr>
                <w:rFonts w:ascii="Arial" w:eastAsia="Calibri" w:hAnsi="Arial" w:cs="Arial"/>
                <w:sz w:val="20"/>
                <w:szCs w:val="20"/>
              </w:rPr>
              <w:t>ormirati godišnjak Muzeja i galerija Konavala gdje bi se objavljivali tekstovi novih prinosa obrade građe</w:t>
            </w:r>
          </w:p>
          <w:p w14:paraId="559E05C5" w14:textId="77777777" w:rsidR="00FA7932" w:rsidRDefault="00FA7932" w:rsidP="00FA7932">
            <w:pPr>
              <w:spacing w:after="0" w:line="240" w:lineRule="auto"/>
              <w:jc w:val="both"/>
              <w:rPr>
                <w:rFonts w:ascii="Arial" w:eastAsia="Calibri" w:hAnsi="Arial" w:cs="Arial"/>
                <w:sz w:val="20"/>
                <w:szCs w:val="20"/>
              </w:rPr>
            </w:pPr>
            <w:r w:rsidRPr="00A1400C">
              <w:rPr>
                <w:rFonts w:ascii="Arial" w:eastAsia="Calibri" w:hAnsi="Arial" w:cs="Arial"/>
                <w:sz w:val="20"/>
                <w:szCs w:val="20"/>
              </w:rPr>
              <w:t>-</w:t>
            </w:r>
            <w:r w:rsidRPr="00A1400C">
              <w:rPr>
                <w:rFonts w:ascii="Arial" w:eastAsia="Calibri" w:hAnsi="Arial" w:cs="Arial"/>
                <w:sz w:val="20"/>
                <w:szCs w:val="20"/>
              </w:rPr>
              <w:tab/>
            </w:r>
            <w:r>
              <w:rPr>
                <w:rFonts w:ascii="Arial" w:eastAsia="Calibri" w:hAnsi="Arial" w:cs="Arial"/>
                <w:sz w:val="20"/>
                <w:szCs w:val="20"/>
              </w:rPr>
              <w:t>r</w:t>
            </w:r>
            <w:r w:rsidRPr="00A1400C">
              <w:rPr>
                <w:rFonts w:ascii="Arial" w:eastAsia="Calibri" w:hAnsi="Arial" w:cs="Arial"/>
                <w:sz w:val="20"/>
                <w:szCs w:val="20"/>
              </w:rPr>
              <w:t xml:space="preserve">azviti bogatu ponudu radionica za najmlađe (arheološke, likovne, pričanje priča...) kako bi se stvorili </w:t>
            </w:r>
          </w:p>
          <w:p w14:paraId="4F1F6E65" w14:textId="2A50471C" w:rsidR="00FA7932" w:rsidRPr="003A2F86" w:rsidRDefault="00FA7932" w:rsidP="00FA7932">
            <w:pPr>
              <w:tabs>
                <w:tab w:val="left" w:pos="-1440"/>
              </w:tabs>
              <w:spacing w:after="0" w:line="240" w:lineRule="auto"/>
              <w:jc w:val="both"/>
              <w:rPr>
                <w:rFonts w:ascii="Arial" w:eastAsia="Calibri" w:hAnsi="Arial" w:cs="Arial"/>
                <w:color w:val="C00000"/>
                <w:sz w:val="20"/>
                <w:szCs w:val="20"/>
                <w:lang w:eastAsia="en-US"/>
              </w:rPr>
            </w:pPr>
            <w:r>
              <w:rPr>
                <w:rFonts w:ascii="Arial" w:eastAsia="Calibri" w:hAnsi="Arial" w:cs="Arial"/>
                <w:sz w:val="20"/>
                <w:szCs w:val="20"/>
              </w:rPr>
              <w:t xml:space="preserve">             </w:t>
            </w:r>
            <w:r w:rsidRPr="00A1400C">
              <w:rPr>
                <w:rFonts w:ascii="Arial" w:eastAsia="Calibri" w:hAnsi="Arial" w:cs="Arial"/>
                <w:sz w:val="20"/>
                <w:szCs w:val="20"/>
              </w:rPr>
              <w:t>budući aktivni posjetitelji</w:t>
            </w:r>
            <w:r>
              <w:rPr>
                <w:rFonts w:ascii="Arial" w:eastAsia="Calibri" w:hAnsi="Arial" w:cs="Arial"/>
                <w:sz w:val="20"/>
                <w:szCs w:val="20"/>
              </w:rPr>
              <w:t xml:space="preserve"> </w:t>
            </w:r>
            <w:r w:rsidRPr="00A1400C">
              <w:rPr>
                <w:rFonts w:ascii="Arial" w:eastAsia="Calibri" w:hAnsi="Arial" w:cs="Arial"/>
                <w:sz w:val="20"/>
                <w:szCs w:val="20"/>
              </w:rPr>
              <w:t>muzeja i educirala zajednica u cijelosti</w:t>
            </w:r>
            <w:r>
              <w:rPr>
                <w:rFonts w:ascii="Arial" w:eastAsia="Calibri" w:hAnsi="Arial" w:cs="Arial"/>
                <w:sz w:val="20"/>
                <w:szCs w:val="20"/>
              </w:rPr>
              <w:t>.</w:t>
            </w:r>
          </w:p>
        </w:tc>
      </w:tr>
      <w:bookmarkEnd w:id="345"/>
      <w:tr w:rsidR="00736B9D" w:rsidRPr="003A2F86" w14:paraId="46E8E232" w14:textId="77777777" w:rsidTr="00087ADF">
        <w:tc>
          <w:tcPr>
            <w:tcW w:w="1843" w:type="dxa"/>
            <w:tcBorders>
              <w:top w:val="dotted" w:sz="4" w:space="0" w:color="auto"/>
              <w:left w:val="dotted" w:sz="4" w:space="0" w:color="auto"/>
              <w:bottom w:val="dotted" w:sz="4" w:space="0" w:color="auto"/>
              <w:right w:val="dotted" w:sz="4" w:space="0" w:color="auto"/>
            </w:tcBorders>
          </w:tcPr>
          <w:p w14:paraId="1B175C0D" w14:textId="77777777" w:rsidR="00087ADF" w:rsidRPr="003A2F86" w:rsidRDefault="00087ADF" w:rsidP="00087ADF">
            <w:pPr>
              <w:spacing w:after="0" w:line="240" w:lineRule="auto"/>
              <w:jc w:val="both"/>
              <w:rPr>
                <w:rFonts w:ascii="Arial" w:eastAsia="Calibri" w:hAnsi="Arial" w:cs="Arial"/>
                <w:sz w:val="20"/>
                <w:szCs w:val="20"/>
                <w:lang w:eastAsia="en-US"/>
              </w:rPr>
            </w:pPr>
            <w:r w:rsidRPr="003A2F86">
              <w:rPr>
                <w:rFonts w:ascii="Arial" w:eastAsia="Calibri" w:hAnsi="Arial" w:cs="Arial"/>
                <w:sz w:val="20"/>
                <w:szCs w:val="20"/>
                <w:lang w:eastAsia="en-US"/>
              </w:rPr>
              <w:lastRenderedPageBreak/>
              <w:t>ZAKONSKA OSNOVA:</w:t>
            </w:r>
          </w:p>
        </w:tc>
        <w:tc>
          <w:tcPr>
            <w:tcW w:w="12500" w:type="dxa"/>
            <w:tcBorders>
              <w:top w:val="dotted" w:sz="4" w:space="0" w:color="auto"/>
              <w:left w:val="dotted" w:sz="4" w:space="0" w:color="auto"/>
              <w:bottom w:val="dotted" w:sz="4" w:space="0" w:color="auto"/>
              <w:right w:val="dotted" w:sz="4" w:space="0" w:color="auto"/>
            </w:tcBorders>
          </w:tcPr>
          <w:p w14:paraId="6A332394" w14:textId="7F5FD9E2" w:rsidR="00087ADF" w:rsidRPr="003A2F86" w:rsidRDefault="00087ADF" w:rsidP="00087ADF">
            <w:pPr>
              <w:spacing w:after="0" w:line="240" w:lineRule="auto"/>
              <w:rPr>
                <w:rFonts w:ascii="Arial" w:eastAsia="Times New Roman" w:hAnsi="Arial" w:cs="Arial"/>
                <w:sz w:val="20"/>
                <w:szCs w:val="20"/>
                <w:lang w:eastAsia="en-US"/>
              </w:rPr>
            </w:pPr>
            <w:r w:rsidRPr="003A2F86">
              <w:rPr>
                <w:rFonts w:ascii="Arial" w:eastAsia="Times New Roman" w:hAnsi="Arial" w:cs="Arial"/>
                <w:sz w:val="20"/>
                <w:szCs w:val="20"/>
                <w:lang w:eastAsia="en-US"/>
              </w:rPr>
              <w:t>Zakon o muzejima (NN 61/18, 98/19</w:t>
            </w:r>
            <w:r w:rsidR="009837C0" w:rsidRPr="003A2F86">
              <w:rPr>
                <w:rFonts w:ascii="Arial" w:eastAsia="Times New Roman" w:hAnsi="Arial" w:cs="Arial"/>
                <w:sz w:val="20"/>
                <w:szCs w:val="20"/>
                <w:lang w:eastAsia="en-US"/>
              </w:rPr>
              <w:t>, 114/22</w:t>
            </w:r>
            <w:r w:rsidR="00CA1DCC" w:rsidRPr="003A2F86">
              <w:rPr>
                <w:rFonts w:ascii="Arial" w:eastAsia="Times New Roman" w:hAnsi="Arial" w:cs="Arial"/>
                <w:sz w:val="20"/>
                <w:szCs w:val="20"/>
                <w:lang w:eastAsia="en-US"/>
              </w:rPr>
              <w:t>, 36/24</w:t>
            </w:r>
            <w:r w:rsidRPr="003A2F86">
              <w:rPr>
                <w:rFonts w:ascii="Arial" w:eastAsia="Times New Roman" w:hAnsi="Arial" w:cs="Arial"/>
                <w:sz w:val="20"/>
                <w:szCs w:val="20"/>
                <w:lang w:eastAsia="en-US"/>
              </w:rPr>
              <w:t xml:space="preserve">), </w:t>
            </w:r>
            <w:r w:rsidR="004E1951" w:rsidRPr="003A2F86">
              <w:rPr>
                <w:rFonts w:ascii="Arial" w:eastAsia="Times New Roman" w:hAnsi="Arial" w:cs="Arial"/>
                <w:sz w:val="20"/>
                <w:szCs w:val="20"/>
                <w:lang w:eastAsia="en-US"/>
              </w:rPr>
              <w:t xml:space="preserve">Zakon o kulturnim vijećima i financiranju javnih potreba u kulturi (NN 83/22 – na snazi od 26. srpnja 2022.), </w:t>
            </w:r>
            <w:r w:rsidRPr="003A2F86">
              <w:rPr>
                <w:rFonts w:ascii="Arial" w:eastAsia="Times New Roman" w:hAnsi="Arial" w:cs="Arial"/>
                <w:sz w:val="20"/>
                <w:szCs w:val="20"/>
                <w:lang w:eastAsia="en-US"/>
              </w:rPr>
              <w:t>Zakon o ustanovama (NN 76/93, 29/97, 47/99 – ispravak, 35/08, 127/19</w:t>
            </w:r>
            <w:r w:rsidR="009837C0" w:rsidRPr="003A2F86">
              <w:rPr>
                <w:rFonts w:ascii="Arial" w:eastAsia="Times New Roman" w:hAnsi="Arial" w:cs="Arial"/>
                <w:sz w:val="20"/>
                <w:szCs w:val="20"/>
                <w:lang w:eastAsia="en-US"/>
              </w:rPr>
              <w:t>, 151/22</w:t>
            </w:r>
            <w:r w:rsidRPr="003A2F86">
              <w:rPr>
                <w:rFonts w:ascii="Arial" w:eastAsia="Times New Roman" w:hAnsi="Arial" w:cs="Arial"/>
                <w:sz w:val="20"/>
                <w:szCs w:val="20"/>
                <w:lang w:eastAsia="en-US"/>
              </w:rPr>
              <w:t>), Zakon o zaštiti i očuvanju kulturnih dobara (NN 66/99, 151/03, 157/03, 100/04, 87/09, 88/10, 61/11, 25/12, 136/12, 157/13, 152/14, 98/15, 44/17, 90/18, 32/20, 62/20</w:t>
            </w:r>
            <w:r w:rsidR="00CD1D4E" w:rsidRPr="003A2F86">
              <w:rPr>
                <w:rFonts w:ascii="Arial" w:eastAsia="Times New Roman" w:hAnsi="Arial" w:cs="Arial"/>
                <w:sz w:val="20"/>
                <w:szCs w:val="20"/>
                <w:lang w:eastAsia="en-US"/>
              </w:rPr>
              <w:t>, 117/21</w:t>
            </w:r>
            <w:r w:rsidR="00B7665C" w:rsidRPr="003A2F86">
              <w:rPr>
                <w:rFonts w:ascii="Arial" w:eastAsia="Times New Roman" w:hAnsi="Arial" w:cs="Arial"/>
                <w:sz w:val="20"/>
                <w:szCs w:val="20"/>
                <w:lang w:eastAsia="en-US"/>
              </w:rPr>
              <w:t>, 114/22</w:t>
            </w:r>
            <w:r w:rsidRPr="003A2F86">
              <w:rPr>
                <w:rFonts w:ascii="Arial" w:eastAsia="Times New Roman" w:hAnsi="Arial" w:cs="Arial"/>
                <w:sz w:val="20"/>
                <w:szCs w:val="20"/>
                <w:lang w:eastAsia="en-US"/>
              </w:rPr>
              <w:t>), Zakon o javnoj nabavi (Narodne novine broj 120/16</w:t>
            </w:r>
            <w:r w:rsidR="00B7665C" w:rsidRPr="003A2F86">
              <w:rPr>
                <w:rFonts w:ascii="Arial" w:eastAsia="Times New Roman" w:hAnsi="Arial" w:cs="Arial"/>
                <w:sz w:val="20"/>
                <w:szCs w:val="20"/>
                <w:lang w:eastAsia="en-US"/>
              </w:rPr>
              <w:t>, 114/22</w:t>
            </w:r>
            <w:r w:rsidRPr="003A2F86">
              <w:rPr>
                <w:rFonts w:ascii="Arial" w:eastAsia="Times New Roman" w:hAnsi="Arial" w:cs="Arial"/>
                <w:sz w:val="20"/>
                <w:szCs w:val="20"/>
                <w:lang w:eastAsia="en-US"/>
              </w:rPr>
              <w:t xml:space="preserve">), Zakonu o audiovizualnim djelatnostima (Narodne novine broj 61/18), Pravilnik o načinu i mjerilima za povezivanje u sustav muzeja Republike Hrvatske (Narodne novine 20/02, 82/06), Pravilnik o uvjetima i načinu stjecanja stručnih zvanja u muzejskoj struci (Narodne novine 97/10), Pravilnik o očevidniku muzeja, te muzeja, galerija i zbirki unutar ustanova i drugih pravnih osoba (Narodne novine 96/99), Pravilnik o uvjetima i načinu ostvarivanja uvida u muzejsku građu i muzejsku dokumentaciju (Narodne novine 115/01), Pravilnik o sadržaju i načinu vođenja muzejske dokumentacije o muzejskoj građi (Narodne novine 108/02), Pravilnik o stručnim i tehničkim standardima za određivanje vrste muzeja, za njihov rad, te za smještaj muzejske građe i muzejske dokumentacije (Narodne novine 30/06), Konvencija o međunarodnim izložbama (Narodne novine 15/01 i 10/03), Zakon o proračunu (Narodne novine broj </w:t>
            </w:r>
            <w:r w:rsidR="00046F5C" w:rsidRPr="003A2F86">
              <w:rPr>
                <w:rFonts w:ascii="Arial" w:eastAsia="Times New Roman" w:hAnsi="Arial" w:cs="Arial"/>
                <w:sz w:val="20"/>
                <w:szCs w:val="20"/>
                <w:lang w:eastAsia="en-US"/>
              </w:rPr>
              <w:t>144/22</w:t>
            </w:r>
            <w:r w:rsidRPr="003A2F86">
              <w:rPr>
                <w:rFonts w:ascii="Arial" w:eastAsia="Times New Roman" w:hAnsi="Arial" w:cs="Arial"/>
                <w:sz w:val="20"/>
                <w:szCs w:val="20"/>
                <w:lang w:eastAsia="en-US"/>
              </w:rPr>
              <w:t>), Pravilnik o proračunskim klasifikacijama (Narodne novine broj 26/10, 120/13, 1/20), Pravilnik o proračunskom računovodstvu i računskom planu (Narodne novine broj 124/14, 115/15, 87/16, 3/18, 112/18, 126/19, 108/20</w:t>
            </w:r>
            <w:r w:rsidR="00FA7932">
              <w:rPr>
                <w:rFonts w:ascii="Arial" w:eastAsia="Times New Roman" w:hAnsi="Arial" w:cs="Arial"/>
                <w:sz w:val="20"/>
                <w:szCs w:val="20"/>
                <w:lang w:eastAsia="en-US"/>
              </w:rPr>
              <w:t>, 158/23</w:t>
            </w:r>
            <w:r w:rsidRPr="003A2F86">
              <w:rPr>
                <w:rFonts w:ascii="Arial" w:eastAsia="Times New Roman" w:hAnsi="Arial" w:cs="Arial"/>
                <w:sz w:val="20"/>
                <w:szCs w:val="20"/>
                <w:lang w:eastAsia="en-US"/>
              </w:rPr>
              <w:t>), Statut ustanove</w:t>
            </w:r>
          </w:p>
        </w:tc>
      </w:tr>
      <w:tr w:rsidR="00CF50B8" w:rsidRPr="00500D60" w14:paraId="00D1AABA" w14:textId="77777777" w:rsidTr="00F275EC">
        <w:tc>
          <w:tcPr>
            <w:tcW w:w="1843" w:type="dxa"/>
          </w:tcPr>
          <w:p w14:paraId="38C4ADD6" w14:textId="77777777" w:rsidR="00CF50B8" w:rsidRPr="00BA4868" w:rsidRDefault="00CF50B8" w:rsidP="00CF50B8">
            <w:pPr>
              <w:spacing w:after="0" w:line="240" w:lineRule="auto"/>
              <w:rPr>
                <w:rFonts w:ascii="Arial" w:eastAsia="Calibri" w:hAnsi="Arial" w:cs="Arial"/>
              </w:rPr>
            </w:pPr>
            <w:r w:rsidRPr="00BA4868">
              <w:rPr>
                <w:rFonts w:ascii="Arial" w:eastAsia="Calibri" w:hAnsi="Arial" w:cs="Arial"/>
              </w:rPr>
              <w:t>CILJEVI PROVEDBE PROGRAMA</w:t>
            </w:r>
          </w:p>
          <w:p w14:paraId="23782DF6" w14:textId="58CD054A" w:rsidR="00CF50B8" w:rsidRPr="00BA4868" w:rsidRDefault="00CF50B8" w:rsidP="00CF50B8">
            <w:pPr>
              <w:spacing w:after="0" w:line="240" w:lineRule="auto"/>
              <w:jc w:val="both"/>
              <w:rPr>
                <w:rFonts w:ascii="Arial" w:eastAsia="Calibri" w:hAnsi="Arial" w:cs="Arial"/>
                <w:sz w:val="20"/>
                <w:szCs w:val="20"/>
                <w:lang w:eastAsia="en-US"/>
              </w:rPr>
            </w:pPr>
          </w:p>
        </w:tc>
        <w:tc>
          <w:tcPr>
            <w:tcW w:w="12500" w:type="dxa"/>
            <w:tcBorders>
              <w:top w:val="single" w:sz="4" w:space="0" w:color="auto"/>
              <w:left w:val="single" w:sz="4" w:space="0" w:color="auto"/>
              <w:bottom w:val="single" w:sz="4" w:space="0" w:color="auto"/>
              <w:right w:val="single" w:sz="4" w:space="0" w:color="000000"/>
            </w:tcBorders>
          </w:tcPr>
          <w:p w14:paraId="6CA583DD" w14:textId="77777777" w:rsidR="00CF50B8" w:rsidRPr="00CF50B8" w:rsidRDefault="00CF50B8" w:rsidP="00CF50B8">
            <w:pPr>
              <w:spacing w:after="0" w:line="240" w:lineRule="auto"/>
              <w:rPr>
                <w:rFonts w:ascii="Arial" w:eastAsia="Times New Roman" w:hAnsi="Arial" w:cs="Arial"/>
                <w:b/>
                <w:sz w:val="20"/>
                <w:szCs w:val="20"/>
              </w:rPr>
            </w:pPr>
          </w:p>
          <w:p w14:paraId="24C0B99C" w14:textId="77777777" w:rsidR="00CF50B8" w:rsidRPr="00CF50B8" w:rsidRDefault="00CF50B8" w:rsidP="00CF50B8">
            <w:pPr>
              <w:spacing w:after="0" w:line="240" w:lineRule="auto"/>
              <w:rPr>
                <w:rFonts w:ascii="Arial" w:eastAsia="Times New Roman" w:hAnsi="Arial" w:cs="Arial"/>
                <w:b/>
                <w:sz w:val="20"/>
                <w:szCs w:val="20"/>
              </w:rPr>
            </w:pPr>
            <w:r w:rsidRPr="00CF50B8">
              <w:rPr>
                <w:rFonts w:ascii="Arial" w:eastAsia="Times New Roman" w:hAnsi="Arial" w:cs="Arial"/>
                <w:b/>
                <w:sz w:val="20"/>
                <w:szCs w:val="20"/>
              </w:rPr>
              <w:t>Provedba programa u razdoblju 1-6/2025.</w:t>
            </w:r>
          </w:p>
          <w:p w14:paraId="109D671F" w14:textId="77777777" w:rsidR="00CF50B8" w:rsidRPr="00CF50B8" w:rsidRDefault="00CF50B8" w:rsidP="00CF50B8">
            <w:pPr>
              <w:spacing w:after="0" w:line="240" w:lineRule="auto"/>
              <w:rPr>
                <w:rFonts w:ascii="Arial" w:eastAsia="Times New Roman" w:hAnsi="Arial" w:cs="Arial"/>
                <w:b/>
                <w:sz w:val="20"/>
                <w:szCs w:val="20"/>
              </w:rPr>
            </w:pPr>
          </w:p>
          <w:p w14:paraId="0189D4C0" w14:textId="77777777" w:rsidR="00CF50B8" w:rsidRPr="00CF50B8" w:rsidRDefault="00CF50B8" w:rsidP="00CF50B8">
            <w:pPr>
              <w:numPr>
                <w:ilvl w:val="0"/>
                <w:numId w:val="42"/>
              </w:numPr>
              <w:spacing w:after="0" w:line="240" w:lineRule="auto"/>
              <w:ind w:left="501"/>
              <w:contextualSpacing/>
              <w:jc w:val="both"/>
              <w:rPr>
                <w:rFonts w:ascii="Arial" w:eastAsia="Calibri" w:hAnsi="Arial" w:cs="Arial"/>
                <w:b/>
                <w:bCs/>
                <w:sz w:val="20"/>
                <w:szCs w:val="20"/>
              </w:rPr>
            </w:pPr>
            <w:r w:rsidRPr="00CF50B8">
              <w:rPr>
                <w:rFonts w:ascii="Arial" w:eastAsia="Calibri" w:hAnsi="Arial" w:cs="Arial"/>
                <w:b/>
                <w:bCs/>
                <w:sz w:val="20"/>
                <w:szCs w:val="20"/>
              </w:rPr>
              <w:t>POVEĆANJE POSJEĆENOSTI MUZEJA U SASTAVU MUZEJA I GALERIJA KONAVALA</w:t>
            </w:r>
          </w:p>
          <w:p w14:paraId="1FB37DFA" w14:textId="77777777" w:rsidR="00CF50B8" w:rsidRPr="00CF50B8" w:rsidRDefault="00CF50B8" w:rsidP="00CF50B8">
            <w:pPr>
              <w:spacing w:after="0" w:line="240" w:lineRule="auto"/>
              <w:jc w:val="both"/>
              <w:rPr>
                <w:rFonts w:ascii="Arial" w:eastAsia="Calibri" w:hAnsi="Arial" w:cs="Arial"/>
                <w:sz w:val="20"/>
                <w:szCs w:val="20"/>
              </w:rPr>
            </w:pPr>
            <w:r w:rsidRPr="00CF50B8">
              <w:rPr>
                <w:rFonts w:ascii="Arial" w:eastAsia="Calibri" w:hAnsi="Arial" w:cs="Arial"/>
                <w:sz w:val="20"/>
                <w:szCs w:val="20"/>
              </w:rPr>
              <w:t xml:space="preserve">Provodi se aktivna marketinška politika prema subjektima u turizmu, organiziraju se aktivnosti u muzejima u cilju promocije i prezentacije programa muzeja kako bi se povećao broj prodanih ulaznica. </w:t>
            </w:r>
          </w:p>
          <w:p w14:paraId="43F4AA73" w14:textId="77777777" w:rsidR="00CF50B8" w:rsidRPr="00CF50B8" w:rsidRDefault="00CF50B8" w:rsidP="00CF50B8">
            <w:pPr>
              <w:spacing w:after="0" w:line="240" w:lineRule="auto"/>
              <w:jc w:val="both"/>
              <w:rPr>
                <w:rFonts w:ascii="Arial" w:eastAsia="Calibri" w:hAnsi="Arial" w:cs="Arial"/>
                <w:b/>
                <w:bCs/>
                <w:sz w:val="20"/>
                <w:szCs w:val="20"/>
              </w:rPr>
            </w:pPr>
          </w:p>
          <w:p w14:paraId="1C3BDFD3" w14:textId="77777777" w:rsidR="00CF50B8" w:rsidRPr="00CF50B8" w:rsidRDefault="00CF50B8" w:rsidP="00CF50B8">
            <w:pPr>
              <w:numPr>
                <w:ilvl w:val="0"/>
                <w:numId w:val="42"/>
              </w:numPr>
              <w:spacing w:after="0" w:line="240" w:lineRule="auto"/>
              <w:ind w:left="501"/>
              <w:contextualSpacing/>
              <w:jc w:val="both"/>
              <w:rPr>
                <w:rFonts w:ascii="Arial" w:eastAsia="Calibri" w:hAnsi="Arial" w:cs="Arial"/>
                <w:b/>
                <w:bCs/>
                <w:sz w:val="20"/>
                <w:szCs w:val="20"/>
              </w:rPr>
            </w:pPr>
            <w:r w:rsidRPr="00CF50B8">
              <w:rPr>
                <w:rFonts w:ascii="Arial" w:eastAsia="Calibri" w:hAnsi="Arial" w:cs="Arial"/>
                <w:b/>
                <w:bCs/>
                <w:sz w:val="20"/>
                <w:szCs w:val="20"/>
              </w:rPr>
              <w:t>POVEĆANJE PRIHODA IZ VLASTITE DJELATNOSTI</w:t>
            </w:r>
          </w:p>
          <w:p w14:paraId="40065BF2" w14:textId="77777777" w:rsidR="00CF50B8" w:rsidRPr="00CF50B8" w:rsidRDefault="00CF50B8" w:rsidP="00CF50B8">
            <w:pPr>
              <w:spacing w:after="0" w:line="240" w:lineRule="auto"/>
              <w:jc w:val="both"/>
              <w:rPr>
                <w:rFonts w:ascii="Arial" w:eastAsia="Calibri" w:hAnsi="Arial" w:cs="Arial"/>
                <w:sz w:val="20"/>
                <w:szCs w:val="20"/>
              </w:rPr>
            </w:pPr>
            <w:r w:rsidRPr="00CF50B8">
              <w:rPr>
                <w:rFonts w:ascii="Arial" w:eastAsia="Calibri" w:hAnsi="Arial" w:cs="Arial"/>
                <w:sz w:val="20"/>
                <w:szCs w:val="20"/>
              </w:rPr>
              <w:t xml:space="preserve">Ustanova razvija bogatu ponudu suvenira i vrijednih predmeta čime stvara vrijedne memorabilije u cilju održanja baštinskih vrijednosti. Cilj je povećanje vlastitih sredstava plasiranjem vlastitog suvenirskog programa u muzejskim prodavaonicama. </w:t>
            </w:r>
          </w:p>
          <w:p w14:paraId="4F0238E4" w14:textId="77777777" w:rsidR="00CF50B8" w:rsidRPr="00CF50B8" w:rsidRDefault="00CF50B8" w:rsidP="00CF50B8">
            <w:pPr>
              <w:spacing w:after="0" w:line="240" w:lineRule="auto"/>
              <w:jc w:val="both"/>
              <w:rPr>
                <w:rFonts w:ascii="Arial" w:eastAsia="Calibri" w:hAnsi="Arial" w:cs="Arial"/>
                <w:sz w:val="20"/>
                <w:szCs w:val="20"/>
              </w:rPr>
            </w:pPr>
          </w:p>
          <w:p w14:paraId="234D64D6" w14:textId="77777777" w:rsidR="00CF50B8" w:rsidRPr="00CF50B8" w:rsidRDefault="00CF50B8" w:rsidP="00CF50B8">
            <w:pPr>
              <w:numPr>
                <w:ilvl w:val="0"/>
                <w:numId w:val="42"/>
              </w:numPr>
              <w:spacing w:after="0" w:line="240" w:lineRule="auto"/>
              <w:ind w:left="501"/>
              <w:jc w:val="both"/>
              <w:rPr>
                <w:rFonts w:ascii="Arial" w:eastAsia="Calibri" w:hAnsi="Arial" w:cs="Arial"/>
                <w:b/>
                <w:bCs/>
                <w:sz w:val="20"/>
                <w:szCs w:val="20"/>
              </w:rPr>
            </w:pPr>
            <w:r w:rsidRPr="00CF50B8">
              <w:rPr>
                <w:rFonts w:ascii="Arial" w:eastAsia="Calibri" w:hAnsi="Arial" w:cs="Arial"/>
                <w:b/>
                <w:bCs/>
                <w:sz w:val="20"/>
                <w:szCs w:val="20"/>
              </w:rPr>
              <w:t>POVEĆANJE PROGRAMA ZA DJECU</w:t>
            </w:r>
          </w:p>
          <w:p w14:paraId="6B222FB2" w14:textId="77777777" w:rsidR="00CF50B8" w:rsidRPr="00CF50B8" w:rsidRDefault="00CF50B8" w:rsidP="00CF50B8">
            <w:pPr>
              <w:spacing w:after="0" w:line="240" w:lineRule="auto"/>
              <w:jc w:val="both"/>
              <w:rPr>
                <w:rFonts w:ascii="Arial" w:eastAsia="Calibri" w:hAnsi="Arial" w:cs="Arial"/>
                <w:sz w:val="20"/>
                <w:szCs w:val="20"/>
              </w:rPr>
            </w:pPr>
            <w:r w:rsidRPr="00CF50B8">
              <w:rPr>
                <w:rFonts w:ascii="Arial" w:eastAsia="Calibri" w:hAnsi="Arial" w:cs="Arial"/>
                <w:sz w:val="20"/>
                <w:szCs w:val="20"/>
              </w:rPr>
              <w:t>Programi za djecu osmišljavaju se kao redovni i povremeni programi te je broj djece koji sudjeluje u radionicama u stalnom porastu. Cilj programa je održanje nematerijalne kulturne baštine Konavala, senzibiliziranje najmlađih na kulturne teme te nadopuna školskog kurikuluma.</w:t>
            </w:r>
          </w:p>
          <w:p w14:paraId="198CA438" w14:textId="77777777" w:rsidR="00CF50B8" w:rsidRPr="00CF50B8" w:rsidRDefault="00CF50B8" w:rsidP="00CF50B8">
            <w:pPr>
              <w:spacing w:after="0" w:line="240" w:lineRule="auto"/>
              <w:ind w:left="720"/>
              <w:contextualSpacing/>
              <w:jc w:val="both"/>
              <w:rPr>
                <w:rFonts w:ascii="Arial" w:eastAsia="Calibri" w:hAnsi="Arial" w:cs="Arial"/>
                <w:sz w:val="20"/>
                <w:szCs w:val="20"/>
              </w:rPr>
            </w:pPr>
          </w:p>
          <w:p w14:paraId="4384C931" w14:textId="77777777" w:rsidR="00CF50B8" w:rsidRPr="00CF50B8" w:rsidRDefault="00CF50B8" w:rsidP="00CF50B8">
            <w:pPr>
              <w:numPr>
                <w:ilvl w:val="0"/>
                <w:numId w:val="42"/>
              </w:numPr>
              <w:spacing w:after="0" w:line="240" w:lineRule="auto"/>
              <w:ind w:left="501"/>
              <w:contextualSpacing/>
              <w:jc w:val="both"/>
              <w:rPr>
                <w:rFonts w:ascii="Arial" w:eastAsia="Calibri" w:hAnsi="Arial" w:cs="Arial"/>
                <w:b/>
                <w:bCs/>
                <w:sz w:val="20"/>
                <w:szCs w:val="20"/>
              </w:rPr>
            </w:pPr>
            <w:r w:rsidRPr="00CF50B8">
              <w:rPr>
                <w:rFonts w:ascii="Arial" w:eastAsia="Calibri" w:hAnsi="Arial" w:cs="Arial"/>
                <w:b/>
                <w:bCs/>
                <w:sz w:val="20"/>
                <w:szCs w:val="20"/>
              </w:rPr>
              <w:t>RADIONICE ZA ODRASLE</w:t>
            </w:r>
          </w:p>
          <w:p w14:paraId="58273644" w14:textId="77777777" w:rsidR="00CF50B8" w:rsidRPr="00CF50B8" w:rsidRDefault="00CF50B8" w:rsidP="00CF50B8">
            <w:pPr>
              <w:spacing w:after="0" w:line="240" w:lineRule="auto"/>
              <w:contextualSpacing/>
              <w:jc w:val="both"/>
              <w:rPr>
                <w:rFonts w:ascii="Arial" w:eastAsia="Calibri" w:hAnsi="Arial" w:cs="Arial"/>
                <w:sz w:val="20"/>
                <w:szCs w:val="20"/>
              </w:rPr>
            </w:pPr>
            <w:r w:rsidRPr="00CF50B8">
              <w:rPr>
                <w:rFonts w:ascii="Arial" w:eastAsia="Calibri" w:hAnsi="Arial" w:cs="Arial"/>
                <w:sz w:val="20"/>
                <w:szCs w:val="20"/>
              </w:rPr>
              <w:t>Ustanova redovito organizira radionica za odrasle u svim muzejskim jedinicama kako bi se baštinske vrijednosti približile i njegovale i tim dobnim skupinama.</w:t>
            </w:r>
          </w:p>
          <w:p w14:paraId="7359A3E5" w14:textId="77777777" w:rsidR="00CF50B8" w:rsidRPr="00CF50B8" w:rsidRDefault="00CF50B8" w:rsidP="00CF50B8">
            <w:pPr>
              <w:spacing w:after="0" w:line="240" w:lineRule="auto"/>
              <w:ind w:left="1080"/>
              <w:contextualSpacing/>
              <w:jc w:val="both"/>
              <w:rPr>
                <w:rFonts w:ascii="Arial" w:eastAsia="Calibri" w:hAnsi="Arial" w:cs="Arial"/>
                <w:sz w:val="20"/>
                <w:szCs w:val="20"/>
              </w:rPr>
            </w:pPr>
          </w:p>
          <w:p w14:paraId="50F1762F" w14:textId="2BC9BB63" w:rsidR="00CF50B8" w:rsidRPr="00CF50B8" w:rsidRDefault="00CF50B8" w:rsidP="00CF50B8">
            <w:pPr>
              <w:numPr>
                <w:ilvl w:val="0"/>
                <w:numId w:val="42"/>
              </w:numPr>
              <w:spacing w:after="0" w:line="240" w:lineRule="auto"/>
              <w:ind w:left="501"/>
              <w:jc w:val="both"/>
              <w:rPr>
                <w:rFonts w:ascii="Arial" w:eastAsia="Calibri" w:hAnsi="Arial" w:cs="Arial"/>
                <w:b/>
                <w:bCs/>
                <w:sz w:val="20"/>
                <w:szCs w:val="20"/>
              </w:rPr>
            </w:pPr>
            <w:r w:rsidRPr="00CF50B8">
              <w:rPr>
                <w:rFonts w:ascii="Arial" w:eastAsia="Calibri" w:hAnsi="Arial" w:cs="Arial"/>
                <w:b/>
                <w:bCs/>
                <w:sz w:val="20"/>
                <w:szCs w:val="20"/>
              </w:rPr>
              <w:t>POVEĆANJE PROGRAMA ZA LJUDE STARIJE DOBI</w:t>
            </w:r>
            <w:r w:rsidR="00C43EF1">
              <w:rPr>
                <w:rFonts w:ascii="Arial" w:eastAsia="Calibri" w:hAnsi="Arial" w:cs="Arial"/>
                <w:b/>
                <w:bCs/>
                <w:sz w:val="20"/>
                <w:szCs w:val="20"/>
              </w:rPr>
              <w:t>75</w:t>
            </w:r>
          </w:p>
          <w:p w14:paraId="5A4FDBCA" w14:textId="77777777" w:rsidR="00CF50B8" w:rsidRPr="00CF50B8" w:rsidRDefault="00CF50B8" w:rsidP="00CF50B8">
            <w:pPr>
              <w:spacing w:after="0" w:line="240" w:lineRule="auto"/>
              <w:jc w:val="both"/>
              <w:rPr>
                <w:rFonts w:ascii="Arial" w:eastAsia="Calibri" w:hAnsi="Arial" w:cs="Arial"/>
                <w:sz w:val="20"/>
                <w:szCs w:val="20"/>
              </w:rPr>
            </w:pPr>
            <w:r w:rsidRPr="00CF50B8">
              <w:rPr>
                <w:rFonts w:ascii="Arial" w:eastAsia="Calibri" w:hAnsi="Arial" w:cs="Arial"/>
                <w:sz w:val="20"/>
                <w:szCs w:val="20"/>
              </w:rPr>
              <w:t>U suradnji sa Domom za starije i nemoćne osobe organiziraju se posjeti muzejskih pedagoginja, kustosa ostalih stručnih djelatnika. Cilj je kontinuirano održavati programe kroz predavanja ili radionice tijekom cijele godine.</w:t>
            </w:r>
          </w:p>
          <w:p w14:paraId="44AFB1BE" w14:textId="77777777" w:rsidR="00CF50B8" w:rsidRPr="00CF50B8" w:rsidRDefault="00CF50B8" w:rsidP="00CF50B8">
            <w:pPr>
              <w:spacing w:after="0" w:line="240" w:lineRule="auto"/>
              <w:jc w:val="both"/>
              <w:rPr>
                <w:rFonts w:ascii="Arial" w:eastAsia="Calibri" w:hAnsi="Arial" w:cs="Arial"/>
                <w:sz w:val="20"/>
                <w:szCs w:val="20"/>
              </w:rPr>
            </w:pPr>
          </w:p>
          <w:p w14:paraId="2342AC4D" w14:textId="77777777" w:rsidR="00CF50B8" w:rsidRPr="00CF50B8" w:rsidRDefault="00CF50B8" w:rsidP="00CF50B8">
            <w:pPr>
              <w:numPr>
                <w:ilvl w:val="0"/>
                <w:numId w:val="42"/>
              </w:numPr>
              <w:spacing w:after="0" w:line="240" w:lineRule="auto"/>
              <w:ind w:left="501"/>
              <w:contextualSpacing/>
              <w:jc w:val="both"/>
              <w:rPr>
                <w:rFonts w:ascii="Arial" w:eastAsia="Calibri" w:hAnsi="Arial" w:cs="Arial"/>
                <w:b/>
                <w:bCs/>
                <w:sz w:val="20"/>
                <w:szCs w:val="20"/>
              </w:rPr>
            </w:pPr>
            <w:r w:rsidRPr="00CF50B8">
              <w:rPr>
                <w:rFonts w:ascii="Arial" w:eastAsia="Calibri" w:hAnsi="Arial" w:cs="Arial"/>
                <w:b/>
                <w:bCs/>
                <w:sz w:val="20"/>
                <w:szCs w:val="20"/>
              </w:rPr>
              <w:t>PROGRAM IZDAVAŠTVA</w:t>
            </w:r>
          </w:p>
          <w:p w14:paraId="4FD8DD7D" w14:textId="77777777" w:rsidR="00CF50B8" w:rsidRPr="00CF50B8" w:rsidRDefault="00CF50B8" w:rsidP="00CF50B8">
            <w:pPr>
              <w:spacing w:after="0" w:line="240" w:lineRule="auto"/>
              <w:jc w:val="both"/>
              <w:rPr>
                <w:rFonts w:ascii="Arial" w:eastAsia="Calibri" w:hAnsi="Arial" w:cs="Arial"/>
                <w:sz w:val="20"/>
                <w:szCs w:val="20"/>
              </w:rPr>
            </w:pPr>
            <w:r w:rsidRPr="00CF50B8">
              <w:rPr>
                <w:rFonts w:ascii="Arial" w:eastAsia="Calibri" w:hAnsi="Arial" w:cs="Arial"/>
                <w:sz w:val="20"/>
                <w:szCs w:val="20"/>
              </w:rPr>
              <w:t xml:space="preserve">Ustanova nastavlja sa uobičajenom dinamikom izdavanjem kataloga izložbi i ostalih publikacija, te radom na Blogu  </w:t>
            </w:r>
            <w:r w:rsidRPr="00CF50B8">
              <w:rPr>
                <w:rFonts w:ascii="Arial" w:eastAsia="Calibri" w:hAnsi="Arial" w:cs="Arial"/>
                <w:i/>
                <w:iCs/>
                <w:color w:val="000000"/>
                <w:sz w:val="20"/>
                <w:szCs w:val="20"/>
              </w:rPr>
              <w:t>Samonikle priče Konavala</w:t>
            </w:r>
            <w:r w:rsidRPr="00CF50B8">
              <w:rPr>
                <w:rFonts w:ascii="Arial" w:eastAsia="Calibri" w:hAnsi="Arial" w:cs="Arial"/>
                <w:color w:val="000000"/>
                <w:sz w:val="20"/>
                <w:szCs w:val="20"/>
              </w:rPr>
              <w:t xml:space="preserve">  </w:t>
            </w:r>
            <w:r w:rsidRPr="00CF50B8">
              <w:rPr>
                <w:rFonts w:ascii="Arial" w:eastAsia="Calibri" w:hAnsi="Arial" w:cs="Arial"/>
                <w:sz w:val="20"/>
                <w:szCs w:val="20"/>
              </w:rPr>
              <w:t>gdje se izdaju tekstovi u kratkim formama prilagođeni dnevnom čitanju.</w:t>
            </w:r>
          </w:p>
          <w:p w14:paraId="4DB5E43E" w14:textId="77777777" w:rsidR="00CF50B8" w:rsidRPr="00CF50B8" w:rsidRDefault="00CF50B8" w:rsidP="00CF50B8">
            <w:pPr>
              <w:spacing w:after="0" w:line="240" w:lineRule="auto"/>
              <w:jc w:val="both"/>
              <w:rPr>
                <w:rFonts w:ascii="Arial" w:eastAsia="Calibri" w:hAnsi="Arial" w:cs="Arial"/>
                <w:sz w:val="20"/>
                <w:szCs w:val="20"/>
              </w:rPr>
            </w:pPr>
          </w:p>
          <w:p w14:paraId="56020493" w14:textId="77777777" w:rsidR="00CF50B8" w:rsidRPr="00CF50B8" w:rsidRDefault="00CF50B8" w:rsidP="00CF50B8">
            <w:pPr>
              <w:numPr>
                <w:ilvl w:val="0"/>
                <w:numId w:val="42"/>
              </w:numPr>
              <w:spacing w:after="0" w:line="240" w:lineRule="auto"/>
              <w:ind w:left="501"/>
              <w:jc w:val="both"/>
              <w:rPr>
                <w:rFonts w:ascii="Arial" w:eastAsia="Calibri" w:hAnsi="Arial" w:cs="Arial"/>
                <w:b/>
                <w:bCs/>
                <w:sz w:val="20"/>
                <w:szCs w:val="20"/>
              </w:rPr>
            </w:pPr>
            <w:r w:rsidRPr="00CF50B8">
              <w:rPr>
                <w:rFonts w:ascii="Arial" w:eastAsia="Calibri" w:hAnsi="Arial" w:cs="Arial"/>
                <w:b/>
                <w:bCs/>
                <w:sz w:val="20"/>
                <w:szCs w:val="20"/>
              </w:rPr>
              <w:t>PROGRAMI U KOJIMA UKLJUČUJEMO VOLONTERE</w:t>
            </w:r>
          </w:p>
          <w:p w14:paraId="26766461" w14:textId="77777777" w:rsidR="00CF50B8" w:rsidRPr="00CF50B8" w:rsidRDefault="00CF50B8" w:rsidP="00CF50B8">
            <w:pPr>
              <w:spacing w:after="0" w:line="240" w:lineRule="auto"/>
              <w:jc w:val="both"/>
              <w:rPr>
                <w:rFonts w:ascii="Arial" w:eastAsia="Calibri" w:hAnsi="Arial" w:cs="Arial"/>
                <w:sz w:val="20"/>
                <w:szCs w:val="20"/>
              </w:rPr>
            </w:pPr>
            <w:r w:rsidRPr="00CF50B8">
              <w:rPr>
                <w:rFonts w:ascii="Arial" w:eastAsia="Calibri" w:hAnsi="Arial" w:cs="Arial"/>
                <w:sz w:val="20"/>
                <w:szCs w:val="20"/>
              </w:rPr>
              <w:lastRenderedPageBreak/>
              <w:t xml:space="preserve">Ustanova razvija sustav u kojemu su volonteri poželjni. </w:t>
            </w:r>
          </w:p>
          <w:p w14:paraId="26F5A313" w14:textId="77777777" w:rsidR="00CF50B8" w:rsidRPr="00CF50B8" w:rsidRDefault="00CF50B8" w:rsidP="00CF50B8">
            <w:pPr>
              <w:spacing w:after="0" w:line="240" w:lineRule="auto"/>
              <w:jc w:val="both"/>
              <w:rPr>
                <w:rFonts w:ascii="Arial" w:eastAsia="Calibri" w:hAnsi="Arial" w:cs="Arial"/>
                <w:sz w:val="20"/>
                <w:szCs w:val="20"/>
              </w:rPr>
            </w:pPr>
          </w:p>
          <w:p w14:paraId="387DCE78" w14:textId="77777777" w:rsidR="00CF50B8" w:rsidRPr="00CF50B8" w:rsidRDefault="00CF50B8" w:rsidP="00CF50B8">
            <w:pPr>
              <w:numPr>
                <w:ilvl w:val="0"/>
                <w:numId w:val="42"/>
              </w:numPr>
              <w:spacing w:after="0" w:line="240" w:lineRule="auto"/>
              <w:ind w:left="501"/>
              <w:contextualSpacing/>
              <w:jc w:val="both"/>
              <w:rPr>
                <w:rFonts w:ascii="Arial" w:eastAsia="Calibri" w:hAnsi="Arial" w:cs="Arial"/>
                <w:b/>
                <w:bCs/>
                <w:sz w:val="20"/>
                <w:szCs w:val="20"/>
              </w:rPr>
            </w:pPr>
            <w:r w:rsidRPr="00CF50B8">
              <w:rPr>
                <w:rFonts w:ascii="Arial" w:eastAsia="Calibri" w:hAnsi="Arial" w:cs="Arial"/>
                <w:b/>
                <w:bCs/>
                <w:sz w:val="20"/>
                <w:szCs w:val="20"/>
              </w:rPr>
              <w:t>IZLOŽBENA DJELATNOST</w:t>
            </w:r>
          </w:p>
          <w:p w14:paraId="4D669EC5" w14:textId="77777777" w:rsidR="00CF50B8" w:rsidRPr="00CF50B8" w:rsidRDefault="00CF50B8" w:rsidP="00CF50B8">
            <w:pPr>
              <w:spacing w:after="0" w:line="240" w:lineRule="auto"/>
              <w:jc w:val="both"/>
              <w:rPr>
                <w:rFonts w:ascii="Arial" w:eastAsia="Calibri" w:hAnsi="Arial" w:cs="Arial"/>
                <w:sz w:val="20"/>
                <w:szCs w:val="20"/>
              </w:rPr>
            </w:pPr>
            <w:r w:rsidRPr="00CF50B8">
              <w:rPr>
                <w:rFonts w:ascii="Arial" w:eastAsia="Calibri" w:hAnsi="Arial" w:cs="Arial"/>
                <w:sz w:val="20"/>
                <w:szCs w:val="20"/>
              </w:rPr>
              <w:t>Izložbe se realiziraju sukladno planu i financijskim mogućnostima koje velikim dijelom ovise o dodijeljenim sredstvima Ministarstva kulture za odabrane program, a prema podnesenim prijavnicama.</w:t>
            </w:r>
          </w:p>
          <w:p w14:paraId="74E5C8D9" w14:textId="77777777" w:rsidR="00CF50B8" w:rsidRPr="00CF50B8" w:rsidRDefault="00CF50B8" w:rsidP="00CF50B8">
            <w:pPr>
              <w:spacing w:after="0" w:line="240" w:lineRule="auto"/>
              <w:jc w:val="both"/>
              <w:rPr>
                <w:rFonts w:ascii="Arial" w:eastAsia="Calibri" w:hAnsi="Arial" w:cs="Arial"/>
                <w:sz w:val="20"/>
                <w:szCs w:val="20"/>
              </w:rPr>
            </w:pPr>
          </w:p>
          <w:p w14:paraId="2E573281" w14:textId="77777777" w:rsidR="00CF50B8" w:rsidRPr="00CF50B8" w:rsidRDefault="00CF50B8" w:rsidP="00CF50B8">
            <w:pPr>
              <w:numPr>
                <w:ilvl w:val="0"/>
                <w:numId w:val="42"/>
              </w:numPr>
              <w:spacing w:after="0" w:line="240" w:lineRule="auto"/>
              <w:ind w:left="501"/>
              <w:jc w:val="both"/>
              <w:rPr>
                <w:rFonts w:ascii="Arial" w:eastAsia="Calibri" w:hAnsi="Arial" w:cs="Arial"/>
                <w:b/>
                <w:bCs/>
                <w:sz w:val="20"/>
                <w:szCs w:val="20"/>
              </w:rPr>
            </w:pPr>
            <w:r w:rsidRPr="00CF50B8">
              <w:rPr>
                <w:rFonts w:ascii="Arial" w:eastAsia="Calibri" w:hAnsi="Arial" w:cs="Arial"/>
                <w:b/>
                <w:bCs/>
                <w:sz w:val="20"/>
                <w:szCs w:val="20"/>
              </w:rPr>
              <w:t>POVEĆANJE PROGRAMA FINANCIRANIH OD STRANE MINSTARSTVA KULTURE I PRIHODA OD SPONZORA I DONATORA</w:t>
            </w:r>
          </w:p>
          <w:p w14:paraId="62395A80" w14:textId="77777777" w:rsidR="00CF50B8" w:rsidRPr="00CF50B8" w:rsidRDefault="00CF50B8" w:rsidP="00CF50B8">
            <w:pPr>
              <w:spacing w:after="0" w:line="240" w:lineRule="auto"/>
              <w:contextualSpacing/>
              <w:jc w:val="both"/>
              <w:rPr>
                <w:rFonts w:ascii="Arial" w:eastAsia="Calibri" w:hAnsi="Arial" w:cs="Arial"/>
                <w:sz w:val="20"/>
                <w:szCs w:val="20"/>
              </w:rPr>
            </w:pPr>
            <w:r w:rsidRPr="00CF50B8">
              <w:rPr>
                <w:rFonts w:ascii="Arial" w:eastAsia="Calibri" w:hAnsi="Arial" w:cs="Arial"/>
                <w:sz w:val="20"/>
                <w:szCs w:val="20"/>
              </w:rPr>
              <w:t>Ustanova redovno prijavljuje svoje projekte Ministarstvu kulture i ostalim institucijama koje objavljuju javne natječaje za potrebe u kulturi, koji se odnose na kulturno-povijesne lokalitete Konavala koji trebaju istraživanje, prezentaciju i održavanje, zatim izložbene programe, digitalizaciju, projekte ulaganja u infrastrukturu muzeja (Kuća Bukovac), nakladništvo i sl.</w:t>
            </w:r>
            <w:bookmarkStart w:id="346" w:name="_Hlk54938311"/>
            <w:r w:rsidRPr="00CF50B8">
              <w:rPr>
                <w:rFonts w:ascii="Arial" w:eastAsia="Calibri" w:hAnsi="Arial" w:cs="Arial"/>
                <w:sz w:val="20"/>
                <w:szCs w:val="20"/>
              </w:rPr>
              <w:t xml:space="preserve"> </w:t>
            </w:r>
            <w:bookmarkStart w:id="347" w:name="_Hlk35597722"/>
          </w:p>
          <w:bookmarkEnd w:id="346"/>
          <w:bookmarkEnd w:id="347"/>
          <w:p w14:paraId="4D51BFF5" w14:textId="77777777" w:rsidR="00CF50B8" w:rsidRPr="00CF50B8" w:rsidRDefault="00CF50B8" w:rsidP="00CF50B8">
            <w:pPr>
              <w:spacing w:after="0" w:line="240" w:lineRule="auto"/>
              <w:ind w:left="360"/>
              <w:jc w:val="both"/>
              <w:rPr>
                <w:rFonts w:ascii="Arial" w:eastAsia="Calibri" w:hAnsi="Arial" w:cs="Arial"/>
                <w:b/>
                <w:bCs/>
                <w:sz w:val="20"/>
                <w:szCs w:val="20"/>
              </w:rPr>
            </w:pPr>
          </w:p>
          <w:p w14:paraId="543E0394" w14:textId="77777777" w:rsidR="00CF50B8" w:rsidRPr="00CF50B8" w:rsidRDefault="00CF50B8" w:rsidP="00CF50B8">
            <w:pPr>
              <w:numPr>
                <w:ilvl w:val="0"/>
                <w:numId w:val="42"/>
              </w:numPr>
              <w:spacing w:after="0" w:line="240" w:lineRule="auto"/>
              <w:ind w:left="501"/>
              <w:contextualSpacing/>
              <w:jc w:val="both"/>
              <w:rPr>
                <w:rFonts w:ascii="Arial" w:eastAsia="Calibri" w:hAnsi="Arial" w:cs="Arial"/>
                <w:b/>
                <w:bCs/>
                <w:sz w:val="20"/>
                <w:szCs w:val="20"/>
              </w:rPr>
            </w:pPr>
            <w:r w:rsidRPr="00CF50B8">
              <w:rPr>
                <w:rFonts w:ascii="Arial" w:eastAsia="Calibri" w:hAnsi="Arial" w:cs="Arial"/>
                <w:b/>
                <w:bCs/>
                <w:sz w:val="20"/>
                <w:szCs w:val="20"/>
              </w:rPr>
              <w:t>POVEĆANJE SUDJELOVANJA U EU PROJEKTIMA</w:t>
            </w:r>
          </w:p>
          <w:p w14:paraId="6A1C1BFB" w14:textId="77777777" w:rsidR="00CF50B8" w:rsidRPr="00CF50B8" w:rsidRDefault="00CF50B8" w:rsidP="00CF50B8">
            <w:pPr>
              <w:spacing w:after="0" w:line="240" w:lineRule="auto"/>
              <w:jc w:val="both"/>
              <w:rPr>
                <w:rFonts w:ascii="Arial" w:eastAsia="Calibri" w:hAnsi="Arial" w:cs="Arial"/>
                <w:i/>
                <w:sz w:val="20"/>
                <w:szCs w:val="20"/>
              </w:rPr>
            </w:pPr>
            <w:r w:rsidRPr="00CF50B8">
              <w:rPr>
                <w:rFonts w:ascii="Arial" w:eastAsia="Calibri" w:hAnsi="Arial" w:cs="Arial"/>
                <w:sz w:val="20"/>
                <w:szCs w:val="20"/>
              </w:rPr>
              <w:t xml:space="preserve">Ustanova aktivno sudjeluje na natječajima za EU projekte, od 2020. godine do danas su uspješno okončana 4  EU projekta </w:t>
            </w:r>
            <w:r w:rsidRPr="00CF50B8">
              <w:rPr>
                <w:rFonts w:ascii="Arial" w:eastAsia="Calibri" w:hAnsi="Arial" w:cs="Arial"/>
                <w:i/>
                <w:iCs/>
                <w:sz w:val="20"/>
                <w:szCs w:val="20"/>
              </w:rPr>
              <w:t xml:space="preserve">Erasmus+:  ProEUverb </w:t>
            </w:r>
            <w:r w:rsidRPr="00CF50B8">
              <w:rPr>
                <w:rFonts w:ascii="Arial" w:eastAsia="Calibri" w:hAnsi="Arial" w:cs="Arial"/>
                <w:sz w:val="20"/>
                <w:szCs w:val="20"/>
              </w:rPr>
              <w:t>u kojemu je ustanova bila koordinator</w:t>
            </w:r>
            <w:r w:rsidRPr="00CF50B8">
              <w:rPr>
                <w:rFonts w:ascii="Arial" w:eastAsia="Calibri" w:hAnsi="Arial" w:cs="Arial"/>
                <w:i/>
                <w:iCs/>
                <w:sz w:val="20"/>
                <w:szCs w:val="20"/>
              </w:rPr>
              <w:t xml:space="preserve">, </w:t>
            </w:r>
            <w:r w:rsidRPr="00CF50B8">
              <w:rPr>
                <w:rFonts w:ascii="Arial" w:eastAsia="Times New Roman" w:hAnsi="Arial" w:cs="Arial"/>
                <w:color w:val="000000"/>
                <w:sz w:val="20"/>
                <w:szCs w:val="20"/>
              </w:rPr>
              <w:t xml:space="preserve">Kreativni pristup recikliranju </w:t>
            </w:r>
            <w:r w:rsidRPr="00CF50B8">
              <w:rPr>
                <w:rFonts w:ascii="Arial" w:eastAsia="Calibri" w:hAnsi="Arial" w:cs="Arial"/>
                <w:i/>
                <w:sz w:val="20"/>
                <w:szCs w:val="20"/>
              </w:rPr>
              <w:t xml:space="preserve">Unnecessary - useful and aesthetic creative approach to recycling, </w:t>
            </w:r>
            <w:r w:rsidRPr="00CF50B8">
              <w:rPr>
                <w:rFonts w:ascii="Arial" w:eastAsia="Calibri" w:hAnsi="Arial" w:cs="Arial"/>
                <w:iCs/>
                <w:sz w:val="20"/>
                <w:szCs w:val="20"/>
              </w:rPr>
              <w:t xml:space="preserve">History, </w:t>
            </w:r>
            <w:r w:rsidRPr="00CF50B8">
              <w:rPr>
                <w:rFonts w:ascii="Arial" w:eastAsia="Calibri" w:hAnsi="Arial" w:cs="Arial"/>
                <w:i/>
                <w:sz w:val="20"/>
                <w:szCs w:val="20"/>
              </w:rPr>
              <w:t xml:space="preserve">KA2,Transnational approaches and multi-perspective methods in history teaching </w:t>
            </w:r>
            <w:r w:rsidRPr="00CF50B8">
              <w:rPr>
                <w:rFonts w:ascii="Arial" w:eastAsia="Calibri" w:hAnsi="Arial" w:cs="Arial"/>
                <w:iCs/>
                <w:sz w:val="20"/>
                <w:szCs w:val="20"/>
              </w:rPr>
              <w:t>i</w:t>
            </w:r>
            <w:r w:rsidRPr="00CF50B8">
              <w:rPr>
                <w:rFonts w:ascii="Arial" w:eastAsia="Calibri" w:hAnsi="Arial" w:cs="Arial"/>
                <w:i/>
                <w:sz w:val="20"/>
                <w:szCs w:val="20"/>
              </w:rPr>
              <w:t xml:space="preserve"> </w:t>
            </w:r>
            <w:r w:rsidRPr="00CF50B8">
              <w:rPr>
                <w:rFonts w:ascii="Arial" w:eastAsia="Calibri" w:hAnsi="Arial" w:cs="Arial"/>
                <w:iCs/>
                <w:sz w:val="20"/>
                <w:szCs w:val="20"/>
              </w:rPr>
              <w:t xml:space="preserve"> </w:t>
            </w:r>
            <w:r w:rsidRPr="00CF50B8">
              <w:rPr>
                <w:rFonts w:ascii="Arial" w:eastAsia="Calibri" w:hAnsi="Arial" w:cs="Arial"/>
                <w:i/>
                <w:sz w:val="20"/>
                <w:szCs w:val="20"/>
              </w:rPr>
              <w:t>A theatrical museum experience</w:t>
            </w:r>
            <w:r w:rsidRPr="00CF50B8">
              <w:rPr>
                <w:rFonts w:ascii="Arial" w:eastAsia="Calibri" w:hAnsi="Arial" w:cs="Arial"/>
                <w:iCs/>
                <w:sz w:val="20"/>
                <w:szCs w:val="20"/>
              </w:rPr>
              <w:t>.</w:t>
            </w:r>
            <w:r w:rsidRPr="00CF50B8">
              <w:rPr>
                <w:rFonts w:ascii="Arial" w:eastAsia="Calibri" w:hAnsi="Arial" w:cs="Arial"/>
                <w:i/>
                <w:sz w:val="20"/>
                <w:szCs w:val="20"/>
              </w:rPr>
              <w:t xml:space="preserve"> </w:t>
            </w:r>
          </w:p>
          <w:p w14:paraId="536A5682" w14:textId="77777777" w:rsidR="00CF50B8" w:rsidRPr="00CF50B8" w:rsidRDefault="00CF50B8" w:rsidP="00CF50B8">
            <w:pPr>
              <w:spacing w:after="0" w:line="240" w:lineRule="auto"/>
              <w:jc w:val="both"/>
              <w:rPr>
                <w:rFonts w:ascii="Arial" w:eastAsia="Calibri" w:hAnsi="Arial" w:cs="Arial"/>
                <w:sz w:val="20"/>
                <w:szCs w:val="20"/>
              </w:rPr>
            </w:pPr>
            <w:r w:rsidRPr="00CF50B8">
              <w:rPr>
                <w:rFonts w:ascii="Arial" w:eastAsia="Calibri" w:hAnsi="Arial" w:cs="Arial"/>
                <w:i/>
                <w:sz w:val="20"/>
                <w:szCs w:val="20"/>
              </w:rPr>
              <w:t>trical museum experience</w:t>
            </w:r>
            <w:r w:rsidRPr="00CF50B8">
              <w:rPr>
                <w:rFonts w:ascii="Arial" w:eastAsia="Calibri" w:hAnsi="Arial" w:cs="Arial"/>
                <w:iCs/>
                <w:sz w:val="20"/>
                <w:szCs w:val="20"/>
              </w:rPr>
              <w:t>.</w:t>
            </w:r>
          </w:p>
          <w:p w14:paraId="31858967" w14:textId="77777777" w:rsidR="00CF50B8" w:rsidRPr="00CF50B8" w:rsidRDefault="00CF50B8" w:rsidP="00CF50B8">
            <w:pPr>
              <w:spacing w:after="0" w:line="240" w:lineRule="auto"/>
              <w:jc w:val="both"/>
              <w:rPr>
                <w:rFonts w:ascii="Arial" w:eastAsia="Calibri" w:hAnsi="Arial" w:cs="Arial"/>
                <w:sz w:val="20"/>
                <w:szCs w:val="20"/>
              </w:rPr>
            </w:pPr>
          </w:p>
          <w:p w14:paraId="6AF4F587" w14:textId="77777777" w:rsidR="00CF50B8" w:rsidRPr="00CF50B8" w:rsidRDefault="00CF50B8" w:rsidP="00CF50B8">
            <w:pPr>
              <w:numPr>
                <w:ilvl w:val="0"/>
                <w:numId w:val="42"/>
              </w:numPr>
              <w:spacing w:after="0" w:line="240" w:lineRule="auto"/>
              <w:ind w:left="501"/>
              <w:jc w:val="both"/>
              <w:rPr>
                <w:rFonts w:ascii="Arial" w:eastAsia="Calibri" w:hAnsi="Arial" w:cs="Arial"/>
                <w:b/>
                <w:bCs/>
                <w:sz w:val="20"/>
                <w:szCs w:val="20"/>
              </w:rPr>
            </w:pPr>
            <w:r w:rsidRPr="00CF50B8">
              <w:rPr>
                <w:rFonts w:ascii="Arial" w:eastAsia="Calibri" w:hAnsi="Arial" w:cs="Arial"/>
                <w:b/>
                <w:bCs/>
                <w:sz w:val="20"/>
                <w:szCs w:val="20"/>
              </w:rPr>
              <w:t xml:space="preserve">INTENZIVNA SURADNJA SA ŠKOLAMA I VRTIĆIMA </w:t>
            </w:r>
          </w:p>
          <w:p w14:paraId="5488026B" w14:textId="527C3653" w:rsidR="00CF50B8" w:rsidRPr="00CF50B8" w:rsidRDefault="00CF50B8" w:rsidP="00CF50B8">
            <w:pPr>
              <w:spacing w:after="0" w:line="240" w:lineRule="auto"/>
              <w:rPr>
                <w:rFonts w:ascii="Arial" w:eastAsia="Times New Roman" w:hAnsi="Arial" w:cs="Arial"/>
                <w:color w:val="FF0000"/>
                <w:sz w:val="20"/>
                <w:szCs w:val="20"/>
                <w:lang w:eastAsia="en-US"/>
              </w:rPr>
            </w:pPr>
            <w:r w:rsidRPr="00CF50B8">
              <w:rPr>
                <w:rFonts w:ascii="Arial" w:eastAsia="Calibri" w:hAnsi="Arial" w:cs="Arial"/>
                <w:sz w:val="20"/>
                <w:szCs w:val="20"/>
              </w:rPr>
              <w:t>Ustanova kontinuirano surađuje sa školama i vrtićima Konavala kroz razne suradnje, organizirane posjete, radionice, predavanja.</w:t>
            </w:r>
          </w:p>
        </w:tc>
      </w:tr>
    </w:tbl>
    <w:p w14:paraId="0EA3568C" w14:textId="675476E8" w:rsidR="00087ADF" w:rsidRPr="00BA4868" w:rsidRDefault="00087ADF" w:rsidP="003752B9">
      <w:pPr>
        <w:spacing w:after="0" w:line="240" w:lineRule="auto"/>
        <w:jc w:val="both"/>
        <w:rPr>
          <w:rFonts w:ascii="Arial" w:eastAsia="Calibri" w:hAnsi="Arial" w:cs="Arial"/>
          <w:sz w:val="20"/>
          <w:szCs w:val="20"/>
        </w:rPr>
      </w:pPr>
    </w:p>
    <w:p w14:paraId="2B622CA9" w14:textId="77777777" w:rsidR="00B7665C" w:rsidRPr="00BA4868" w:rsidRDefault="00B7665C">
      <w:pPr>
        <w:pStyle w:val="Odlomakpopisa"/>
        <w:numPr>
          <w:ilvl w:val="0"/>
          <w:numId w:val="3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BA4868">
        <w:rPr>
          <w:rFonts w:ascii="Arial" w:eastAsia="Calibri" w:hAnsi="Arial" w:cs="Arial"/>
          <w:b/>
        </w:rPr>
        <w:t>Procjena i ishodište potrebnih sredstava za aktivnosti unutar programa</w:t>
      </w:r>
    </w:p>
    <w:p w14:paraId="70581AD8" w14:textId="77777777" w:rsidR="00B7665C" w:rsidRPr="00EF272E" w:rsidRDefault="00B7665C" w:rsidP="00B7665C">
      <w:pPr>
        <w:spacing w:after="0" w:line="240" w:lineRule="auto"/>
        <w:rPr>
          <w:rFonts w:ascii="Arial" w:eastAsia="Calibri" w:hAnsi="Arial" w:cs="Arial"/>
          <w:sz w:val="20"/>
          <w:szCs w:val="20"/>
        </w:rPr>
      </w:pPr>
    </w:p>
    <w:p w14:paraId="7F0ACD4C" w14:textId="25405241" w:rsidR="00B7665C" w:rsidRPr="00EF272E" w:rsidRDefault="00B7665C" w:rsidP="00B7665C">
      <w:pPr>
        <w:spacing w:after="0" w:line="240" w:lineRule="auto"/>
        <w:rPr>
          <w:rFonts w:ascii="Arial" w:eastAsia="Calibri" w:hAnsi="Arial" w:cs="Arial"/>
          <w:sz w:val="20"/>
          <w:szCs w:val="20"/>
        </w:rPr>
      </w:pPr>
      <w:r w:rsidRPr="00EF272E">
        <w:rPr>
          <w:rFonts w:ascii="Arial" w:eastAsia="Calibri" w:hAnsi="Arial" w:cs="Arial"/>
          <w:sz w:val="20"/>
          <w:szCs w:val="20"/>
        </w:rPr>
        <w:t>Izvršenje aktivnosti sadržanih u ovom programu za 2013.-202</w:t>
      </w:r>
      <w:r w:rsidR="00BD08C9">
        <w:rPr>
          <w:rFonts w:ascii="Arial" w:eastAsia="Calibri" w:hAnsi="Arial" w:cs="Arial"/>
          <w:sz w:val="20"/>
          <w:szCs w:val="20"/>
        </w:rPr>
        <w:t>4</w:t>
      </w:r>
      <w:r w:rsidRPr="00EF272E">
        <w:rPr>
          <w:rFonts w:ascii="Arial" w:eastAsia="Calibri" w:hAnsi="Arial" w:cs="Arial"/>
          <w:sz w:val="20"/>
          <w:szCs w:val="20"/>
        </w:rPr>
        <w:t>., plan za 202</w:t>
      </w:r>
      <w:r w:rsidR="00BD08C9">
        <w:rPr>
          <w:rFonts w:ascii="Arial" w:eastAsia="Calibri" w:hAnsi="Arial" w:cs="Arial"/>
          <w:sz w:val="20"/>
          <w:szCs w:val="20"/>
        </w:rPr>
        <w:t>5</w:t>
      </w:r>
      <w:r w:rsidRPr="00EF272E">
        <w:rPr>
          <w:rFonts w:ascii="Arial" w:eastAsia="Calibri" w:hAnsi="Arial" w:cs="Arial"/>
          <w:sz w:val="20"/>
          <w:szCs w:val="20"/>
        </w:rPr>
        <w:t xml:space="preserve">., izvršenje za </w:t>
      </w:r>
      <w:r w:rsidR="00BD08C9">
        <w:rPr>
          <w:rFonts w:ascii="Arial" w:eastAsia="Calibri" w:hAnsi="Arial" w:cs="Arial"/>
          <w:sz w:val="20"/>
          <w:szCs w:val="20"/>
        </w:rPr>
        <w:t>1-6/</w:t>
      </w:r>
      <w:r w:rsidR="00CA1DCC" w:rsidRPr="00EF272E">
        <w:rPr>
          <w:rFonts w:ascii="Arial" w:eastAsia="Calibri" w:hAnsi="Arial" w:cs="Arial"/>
          <w:sz w:val="20"/>
          <w:szCs w:val="20"/>
        </w:rPr>
        <w:t>202</w:t>
      </w:r>
      <w:r w:rsidR="00BD08C9">
        <w:rPr>
          <w:rFonts w:ascii="Arial" w:eastAsia="Calibri" w:hAnsi="Arial" w:cs="Arial"/>
          <w:sz w:val="20"/>
          <w:szCs w:val="20"/>
        </w:rPr>
        <w:t>5</w:t>
      </w:r>
      <w:r w:rsidRPr="00EF272E">
        <w:rPr>
          <w:rFonts w:ascii="Arial" w:eastAsia="Calibri" w:hAnsi="Arial" w:cs="Arial"/>
          <w:sz w:val="20"/>
          <w:szCs w:val="20"/>
        </w:rPr>
        <w:t>. i projekcije za 202</w:t>
      </w:r>
      <w:r w:rsidR="00BD08C9">
        <w:rPr>
          <w:rFonts w:ascii="Arial" w:eastAsia="Calibri" w:hAnsi="Arial" w:cs="Arial"/>
          <w:sz w:val="20"/>
          <w:szCs w:val="20"/>
        </w:rPr>
        <w:t>6</w:t>
      </w:r>
      <w:r w:rsidRPr="00EF272E">
        <w:rPr>
          <w:rFonts w:ascii="Arial" w:eastAsia="Calibri" w:hAnsi="Arial" w:cs="Arial"/>
          <w:sz w:val="20"/>
          <w:szCs w:val="20"/>
        </w:rPr>
        <w:t>.-202</w:t>
      </w:r>
      <w:r w:rsidR="00BD08C9">
        <w:rPr>
          <w:rFonts w:ascii="Arial" w:eastAsia="Calibri" w:hAnsi="Arial" w:cs="Arial"/>
          <w:sz w:val="20"/>
          <w:szCs w:val="20"/>
        </w:rPr>
        <w:t>7</w:t>
      </w:r>
      <w:r w:rsidRPr="00EF272E">
        <w:rPr>
          <w:rFonts w:ascii="Arial" w:eastAsia="Calibri" w:hAnsi="Arial" w:cs="Arial"/>
          <w:sz w:val="20"/>
          <w:szCs w:val="20"/>
        </w:rPr>
        <w:t>. iskazuju se u valuti EURO kako slijedi:</w:t>
      </w:r>
    </w:p>
    <w:p w14:paraId="347B7B81" w14:textId="77777777" w:rsidR="00B7665C" w:rsidRPr="00EF272E" w:rsidRDefault="00B7665C" w:rsidP="00B7665C">
      <w:pPr>
        <w:spacing w:after="0" w:line="240" w:lineRule="auto"/>
        <w:jc w:val="both"/>
        <w:rPr>
          <w:rFonts w:ascii="Arial" w:eastAsia="Calibri" w:hAnsi="Arial" w:cs="Arial"/>
          <w:sz w:val="18"/>
          <w:szCs w:val="18"/>
        </w:rPr>
      </w:pPr>
    </w:p>
    <w:p w14:paraId="016C2CA0" w14:textId="77777777" w:rsidR="00C27C82" w:rsidRPr="003A2F86" w:rsidRDefault="00C27C82" w:rsidP="003752B9">
      <w:pPr>
        <w:spacing w:after="0" w:line="240" w:lineRule="auto"/>
        <w:jc w:val="both"/>
        <w:rPr>
          <w:rFonts w:ascii="Arial" w:eastAsia="Calibri" w:hAnsi="Arial" w:cs="Arial"/>
          <w:sz w:val="20"/>
          <w:szCs w:val="20"/>
        </w:rPr>
      </w:pPr>
    </w:p>
    <w:p w14:paraId="0A054FD9" w14:textId="77777777" w:rsidR="00C27C82" w:rsidRPr="003A2F86" w:rsidRDefault="00C27C82" w:rsidP="003752B9">
      <w:pPr>
        <w:spacing w:after="0" w:line="240" w:lineRule="auto"/>
        <w:jc w:val="both"/>
        <w:rPr>
          <w:rFonts w:ascii="Arial" w:eastAsia="Calibri" w:hAnsi="Arial" w:cs="Arial"/>
          <w:sz w:val="20"/>
          <w:szCs w:val="20"/>
        </w:rPr>
      </w:pPr>
    </w:p>
    <w:p w14:paraId="036359F1" w14:textId="5946C188" w:rsidR="00B7665C" w:rsidRDefault="00B7665C" w:rsidP="003752B9">
      <w:pPr>
        <w:spacing w:after="0" w:line="240" w:lineRule="auto"/>
        <w:jc w:val="both"/>
        <w:rPr>
          <w:noProof/>
        </w:rPr>
      </w:pPr>
    </w:p>
    <w:p w14:paraId="3B901C8E" w14:textId="5C682E2E" w:rsidR="00BA4868" w:rsidRDefault="00BA4868" w:rsidP="003752B9">
      <w:pPr>
        <w:spacing w:after="0" w:line="240" w:lineRule="auto"/>
        <w:jc w:val="both"/>
        <w:rPr>
          <w:noProof/>
        </w:rPr>
      </w:pPr>
    </w:p>
    <w:p w14:paraId="011AFA3C" w14:textId="6F191B12" w:rsidR="00BA4868" w:rsidRPr="003A2F86" w:rsidRDefault="00BD08C9" w:rsidP="003752B9">
      <w:pPr>
        <w:spacing w:after="0" w:line="240" w:lineRule="auto"/>
        <w:jc w:val="both"/>
        <w:rPr>
          <w:rFonts w:ascii="Arial" w:eastAsia="Calibri" w:hAnsi="Arial" w:cs="Arial"/>
          <w:sz w:val="20"/>
          <w:szCs w:val="20"/>
        </w:rPr>
      </w:pPr>
      <w:r w:rsidRPr="00BD08C9">
        <w:rPr>
          <w:noProof/>
        </w:rPr>
        <w:lastRenderedPageBreak/>
        <w:drawing>
          <wp:inline distT="0" distB="0" distL="0" distR="0" wp14:anchorId="63ADC69E" wp14:editId="7DF53E9B">
            <wp:extent cx="9251950" cy="4625975"/>
            <wp:effectExtent l="0" t="0" r="6350" b="3175"/>
            <wp:docPr id="927016154"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251950" cy="4625975"/>
                    </a:xfrm>
                    <a:prstGeom prst="rect">
                      <a:avLst/>
                    </a:prstGeom>
                    <a:noFill/>
                    <a:ln>
                      <a:noFill/>
                    </a:ln>
                  </pic:spPr>
                </pic:pic>
              </a:graphicData>
            </a:graphic>
          </wp:inline>
        </w:drawing>
      </w:r>
    </w:p>
    <w:p w14:paraId="21272781" w14:textId="2729B626" w:rsidR="00B7665C" w:rsidRPr="003A2F86" w:rsidRDefault="00B7665C" w:rsidP="003752B9">
      <w:pPr>
        <w:spacing w:after="0" w:line="240" w:lineRule="auto"/>
        <w:jc w:val="both"/>
        <w:rPr>
          <w:rFonts w:ascii="Arial" w:eastAsia="Calibri" w:hAnsi="Arial" w:cs="Arial"/>
          <w:sz w:val="20"/>
          <w:szCs w:val="20"/>
        </w:rPr>
      </w:pPr>
    </w:p>
    <w:p w14:paraId="42474E29" w14:textId="1045CE85" w:rsidR="00B7665C" w:rsidRDefault="00BD08C9" w:rsidP="00EE7F82">
      <w:pPr>
        <w:spacing w:after="0" w:line="240" w:lineRule="auto"/>
        <w:jc w:val="both"/>
        <w:rPr>
          <w:rFonts w:ascii="Arial" w:eastAsia="Calibri" w:hAnsi="Arial" w:cs="Arial"/>
          <w:sz w:val="18"/>
          <w:szCs w:val="18"/>
        </w:rPr>
      </w:pPr>
      <w:r w:rsidRPr="00BD08C9">
        <w:rPr>
          <w:noProof/>
        </w:rPr>
        <w:lastRenderedPageBreak/>
        <w:drawing>
          <wp:inline distT="0" distB="0" distL="0" distR="0" wp14:anchorId="630EC02C" wp14:editId="7E4ED4B3">
            <wp:extent cx="9251950" cy="3502025"/>
            <wp:effectExtent l="0" t="0" r="6350" b="3175"/>
            <wp:docPr id="1726595597"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251950" cy="3502025"/>
                    </a:xfrm>
                    <a:prstGeom prst="rect">
                      <a:avLst/>
                    </a:prstGeom>
                    <a:noFill/>
                    <a:ln>
                      <a:noFill/>
                    </a:ln>
                  </pic:spPr>
                </pic:pic>
              </a:graphicData>
            </a:graphic>
          </wp:inline>
        </w:drawing>
      </w:r>
    </w:p>
    <w:p w14:paraId="23C195A8" w14:textId="13DAFE6A" w:rsidR="00EE7F82" w:rsidRPr="00BA4868" w:rsidRDefault="00EE7F82" w:rsidP="00EE7F82">
      <w:pPr>
        <w:shd w:val="clear" w:color="auto" w:fill="FFFFFF"/>
        <w:spacing w:after="0" w:line="240" w:lineRule="auto"/>
        <w:jc w:val="right"/>
        <w:rPr>
          <w:rFonts w:ascii="Arial" w:hAnsi="Arial" w:cs="Arial"/>
          <w:sz w:val="20"/>
          <w:szCs w:val="20"/>
        </w:rPr>
      </w:pPr>
      <w:r w:rsidRPr="00BA4868">
        <w:rPr>
          <w:rFonts w:ascii="Arial" w:hAnsi="Arial" w:cs="Arial"/>
          <w:b/>
          <w:sz w:val="20"/>
          <w:szCs w:val="20"/>
        </w:rPr>
        <w:t>RAZLOG ODSTUPANJA OD PROŠLOGODIŠNJIH PROJEKCIJA</w:t>
      </w:r>
      <w:r w:rsidRPr="00BA4868">
        <w:rPr>
          <w:rFonts w:ascii="Arial" w:hAnsi="Arial" w:cs="Arial"/>
          <w:sz w:val="20"/>
          <w:szCs w:val="20"/>
        </w:rPr>
        <w:t xml:space="preserve">: </w:t>
      </w:r>
    </w:p>
    <w:p w14:paraId="54970960" w14:textId="77777777" w:rsidR="00EE7F82" w:rsidRPr="00BA4868" w:rsidRDefault="00EE7F82" w:rsidP="00EE7F82">
      <w:pPr>
        <w:shd w:val="clear" w:color="auto" w:fill="FFFFFF"/>
        <w:spacing w:after="0" w:line="240" w:lineRule="auto"/>
        <w:jc w:val="right"/>
        <w:rPr>
          <w:rFonts w:ascii="Arial" w:hAnsi="Arial" w:cs="Arial"/>
          <w:sz w:val="20"/>
          <w:szCs w:val="20"/>
        </w:rPr>
      </w:pPr>
      <w:r w:rsidRPr="00BA4868">
        <w:rPr>
          <w:rFonts w:ascii="Arial" w:hAnsi="Arial" w:cs="Arial"/>
          <w:sz w:val="20"/>
          <w:szCs w:val="20"/>
        </w:rPr>
        <w:t>Po navedenom programu nije bilo značajnih odstupanja.</w:t>
      </w:r>
    </w:p>
    <w:p w14:paraId="414F7C52" w14:textId="2ED999E1" w:rsidR="00EE7F82" w:rsidRPr="00BA4868" w:rsidRDefault="00EE7F82" w:rsidP="00EE7F82">
      <w:pPr>
        <w:spacing w:after="0" w:line="240" w:lineRule="auto"/>
        <w:rPr>
          <w:rFonts w:ascii="Arial" w:eastAsia="Calibri" w:hAnsi="Arial" w:cs="Arial"/>
          <w:b/>
          <w:sz w:val="20"/>
          <w:szCs w:val="20"/>
        </w:rPr>
      </w:pPr>
    </w:p>
    <w:p w14:paraId="21612477" w14:textId="77777777" w:rsidR="00EE7F82" w:rsidRPr="00BA4868" w:rsidRDefault="00EE7F82" w:rsidP="00EE7F82">
      <w:pPr>
        <w:spacing w:after="0" w:line="240" w:lineRule="auto"/>
        <w:rPr>
          <w:rFonts w:ascii="Arial" w:eastAsia="Calibri" w:hAnsi="Arial" w:cs="Arial"/>
          <w:i/>
          <w:sz w:val="20"/>
          <w:szCs w:val="20"/>
        </w:rPr>
      </w:pPr>
      <w:r w:rsidRPr="00BA4868">
        <w:rPr>
          <w:rFonts w:ascii="Arial" w:eastAsia="Calibri" w:hAnsi="Arial" w:cs="Arial"/>
          <w:b/>
          <w:sz w:val="20"/>
          <w:szCs w:val="20"/>
        </w:rPr>
        <w:t>Ishodište i pokazatelji na kojima se zasnivaju izračuni i ocjene potrebnih sredstava za provođenje programa: Planske veličine</w:t>
      </w:r>
      <w:r w:rsidRPr="00BA4868">
        <w:rPr>
          <w:rFonts w:ascii="Arial" w:eastAsia="Calibri" w:hAnsi="Arial" w:cs="Arial"/>
          <w:sz w:val="20"/>
          <w:szCs w:val="20"/>
        </w:rPr>
        <w:t xml:space="preserve"> su određene u predloženim iznosima temeljem ostvarenih ciljeva i postignutih rezultata iz prethodnih godina, te predviđanja promjena u izvršenju ciljeva u narednom razdoblju.</w:t>
      </w:r>
    </w:p>
    <w:p w14:paraId="26C0B86E" w14:textId="3896F002" w:rsidR="00EE7F82" w:rsidRPr="00BA4868" w:rsidRDefault="00EE7F82" w:rsidP="000D7B95">
      <w:pPr>
        <w:spacing w:after="0" w:line="240" w:lineRule="auto"/>
        <w:jc w:val="right"/>
        <w:rPr>
          <w:rFonts w:ascii="Arial" w:eastAsia="Calibri" w:hAnsi="Arial" w:cs="Arial"/>
          <w:sz w:val="20"/>
          <w:szCs w:val="20"/>
        </w:rPr>
      </w:pPr>
      <w:r w:rsidRPr="00BA4868">
        <w:rPr>
          <w:rFonts w:ascii="Arial" w:eastAsia="Calibri" w:hAnsi="Arial" w:cs="Arial"/>
          <w:b/>
          <w:sz w:val="20"/>
          <w:szCs w:val="20"/>
        </w:rPr>
        <w:t>Izvještaj o postignutim ciljevima i rezultatima programa temeljenim na pokazateljima uspješnosti u prethodnoj godini</w:t>
      </w:r>
      <w:r w:rsidRPr="00BA4868">
        <w:rPr>
          <w:rFonts w:ascii="Arial" w:eastAsia="Calibri" w:hAnsi="Arial" w:cs="Arial"/>
          <w:sz w:val="20"/>
          <w:szCs w:val="20"/>
        </w:rPr>
        <w:t>: Izvršenje je najvećim dijelom u skladu s očekivanim.</w:t>
      </w:r>
    </w:p>
    <w:p w14:paraId="4E13BAA8" w14:textId="77777777" w:rsidR="00B7665C" w:rsidRPr="00BA4868" w:rsidRDefault="00B7665C" w:rsidP="003752B9">
      <w:pPr>
        <w:spacing w:after="0" w:line="240" w:lineRule="auto"/>
        <w:jc w:val="both"/>
        <w:rPr>
          <w:rFonts w:ascii="Arial" w:eastAsia="Calibri" w:hAnsi="Arial" w:cs="Arial"/>
          <w:sz w:val="20"/>
          <w:szCs w:val="20"/>
        </w:rPr>
      </w:pPr>
    </w:p>
    <w:p w14:paraId="304320E6" w14:textId="2DB134B5" w:rsidR="00EE7F82" w:rsidRPr="00BA4868" w:rsidRDefault="00EE7F82" w:rsidP="00EE7F82">
      <w:pPr>
        <w:autoSpaceDE w:val="0"/>
        <w:autoSpaceDN w:val="0"/>
        <w:adjustRightInd w:val="0"/>
        <w:spacing w:after="0" w:line="240" w:lineRule="auto"/>
        <w:jc w:val="both"/>
        <w:rPr>
          <w:rFonts w:ascii="Arial" w:eastAsia="Calibri" w:hAnsi="Arial" w:cs="Arial"/>
          <w:sz w:val="20"/>
          <w:szCs w:val="20"/>
        </w:rPr>
      </w:pPr>
      <w:r w:rsidRPr="00BA4868">
        <w:rPr>
          <w:rFonts w:ascii="Arial" w:eastAsia="Calibri" w:hAnsi="Arial" w:cs="Arial"/>
          <w:sz w:val="20"/>
          <w:szCs w:val="20"/>
        </w:rPr>
        <w:t>Ukupno planirana sredstva na razini programa za 202</w:t>
      </w:r>
      <w:r w:rsidR="00BD08C9">
        <w:rPr>
          <w:rFonts w:ascii="Arial" w:eastAsia="Calibri" w:hAnsi="Arial" w:cs="Arial"/>
          <w:sz w:val="20"/>
          <w:szCs w:val="20"/>
        </w:rPr>
        <w:t>5</w:t>
      </w:r>
      <w:r w:rsidRPr="00BA4868">
        <w:rPr>
          <w:rFonts w:ascii="Arial" w:eastAsia="Calibri" w:hAnsi="Arial" w:cs="Arial"/>
          <w:sz w:val="20"/>
          <w:szCs w:val="20"/>
        </w:rPr>
        <w:t xml:space="preserve">. godinu iznose </w:t>
      </w:r>
      <w:r w:rsidR="00BD08C9">
        <w:rPr>
          <w:rFonts w:ascii="Arial" w:eastAsia="Calibri" w:hAnsi="Arial" w:cs="Arial"/>
          <w:sz w:val="20"/>
          <w:szCs w:val="20"/>
        </w:rPr>
        <w:t>854.547</w:t>
      </w:r>
      <w:r w:rsidRPr="00BA4868">
        <w:rPr>
          <w:rFonts w:ascii="Arial" w:eastAsia="Calibri" w:hAnsi="Arial" w:cs="Arial"/>
          <w:sz w:val="20"/>
          <w:szCs w:val="20"/>
        </w:rPr>
        <w:t xml:space="preserve"> €, dok su rashodi izvršeni u iznosu </w:t>
      </w:r>
      <w:r w:rsidR="00BD08C9">
        <w:rPr>
          <w:rFonts w:ascii="Arial" w:eastAsia="Calibri" w:hAnsi="Arial" w:cs="Arial"/>
          <w:sz w:val="20"/>
          <w:szCs w:val="20"/>
        </w:rPr>
        <w:t>307.184,45</w:t>
      </w:r>
      <w:r w:rsidRPr="00BA4868">
        <w:rPr>
          <w:rFonts w:ascii="Arial" w:eastAsia="Calibri" w:hAnsi="Arial" w:cs="Arial"/>
          <w:sz w:val="20"/>
          <w:szCs w:val="20"/>
        </w:rPr>
        <w:t xml:space="preserve"> € što je </w:t>
      </w:r>
      <w:r w:rsidR="00BD08C9">
        <w:rPr>
          <w:rFonts w:ascii="Arial" w:eastAsia="Calibri" w:hAnsi="Arial" w:cs="Arial"/>
          <w:sz w:val="20"/>
          <w:szCs w:val="20"/>
        </w:rPr>
        <w:t>35,9</w:t>
      </w:r>
      <w:r w:rsidRPr="00BA4868">
        <w:rPr>
          <w:rFonts w:ascii="Arial" w:eastAsia="Calibri" w:hAnsi="Arial" w:cs="Arial"/>
          <w:sz w:val="20"/>
          <w:szCs w:val="20"/>
        </w:rPr>
        <w:t>% od plana.</w:t>
      </w:r>
    </w:p>
    <w:p w14:paraId="1A51E482" w14:textId="77777777" w:rsidR="00EE7F82" w:rsidRPr="00BA4868" w:rsidRDefault="00EE7F82" w:rsidP="00EE7F82">
      <w:pPr>
        <w:autoSpaceDE w:val="0"/>
        <w:autoSpaceDN w:val="0"/>
        <w:adjustRightInd w:val="0"/>
        <w:spacing w:after="0" w:line="240" w:lineRule="auto"/>
        <w:jc w:val="both"/>
        <w:rPr>
          <w:rFonts w:ascii="Arial" w:eastAsia="Calibri" w:hAnsi="Arial" w:cs="Arial"/>
          <w:sz w:val="20"/>
          <w:szCs w:val="20"/>
        </w:rPr>
      </w:pPr>
    </w:p>
    <w:p w14:paraId="786951AF" w14:textId="77777777" w:rsidR="00EE7F82" w:rsidRPr="00BA4868" w:rsidRDefault="00EE7F82" w:rsidP="00EE7F82">
      <w:pPr>
        <w:autoSpaceDE w:val="0"/>
        <w:autoSpaceDN w:val="0"/>
        <w:adjustRightInd w:val="0"/>
        <w:spacing w:after="0" w:line="240" w:lineRule="auto"/>
        <w:jc w:val="both"/>
        <w:rPr>
          <w:rFonts w:ascii="Arial" w:eastAsia="Calibri" w:hAnsi="Arial" w:cs="Arial"/>
          <w:sz w:val="20"/>
          <w:szCs w:val="20"/>
        </w:rPr>
      </w:pPr>
    </w:p>
    <w:p w14:paraId="7B6FA799" w14:textId="02EBAA79" w:rsidR="00EE7F82" w:rsidRPr="00FC753C" w:rsidRDefault="00EE7F82" w:rsidP="00EE7F82">
      <w:pPr>
        <w:autoSpaceDE w:val="0"/>
        <w:autoSpaceDN w:val="0"/>
        <w:adjustRightInd w:val="0"/>
        <w:spacing w:after="0" w:line="240" w:lineRule="auto"/>
        <w:jc w:val="both"/>
        <w:rPr>
          <w:rFonts w:ascii="Arial" w:eastAsia="Calibri" w:hAnsi="Arial" w:cs="Arial"/>
          <w:sz w:val="20"/>
          <w:szCs w:val="20"/>
        </w:rPr>
      </w:pPr>
      <w:r w:rsidRPr="00FC753C">
        <w:rPr>
          <w:rFonts w:ascii="Arial" w:eastAsia="Calibri" w:hAnsi="Arial" w:cs="Arial"/>
          <w:sz w:val="20"/>
          <w:szCs w:val="20"/>
        </w:rPr>
        <w:t xml:space="preserve">Ustanova Muzeji i galerije Konavala, kao proračunski korisnik Općine, prema predanim financijskom izvještajima za siječanj – </w:t>
      </w:r>
      <w:r w:rsidR="00BD08C9">
        <w:rPr>
          <w:rFonts w:ascii="Arial" w:eastAsia="Calibri" w:hAnsi="Arial" w:cs="Arial"/>
          <w:sz w:val="20"/>
          <w:szCs w:val="20"/>
        </w:rPr>
        <w:t>lipanj</w:t>
      </w:r>
      <w:r w:rsidRPr="00FC753C">
        <w:rPr>
          <w:rFonts w:ascii="Arial" w:eastAsia="Calibri" w:hAnsi="Arial" w:cs="Arial"/>
          <w:sz w:val="20"/>
          <w:szCs w:val="20"/>
        </w:rPr>
        <w:t xml:space="preserve"> 202</w:t>
      </w:r>
      <w:r w:rsidR="00BD08C9">
        <w:rPr>
          <w:rFonts w:ascii="Arial" w:eastAsia="Calibri" w:hAnsi="Arial" w:cs="Arial"/>
          <w:sz w:val="20"/>
          <w:szCs w:val="20"/>
        </w:rPr>
        <w:t>5</w:t>
      </w:r>
      <w:r w:rsidRPr="00FC753C">
        <w:rPr>
          <w:rFonts w:ascii="Arial" w:eastAsia="Calibri" w:hAnsi="Arial" w:cs="Arial"/>
          <w:sz w:val="20"/>
          <w:szCs w:val="20"/>
        </w:rPr>
        <w:t xml:space="preserve">. godine ostvarila je rashode u iznosu </w:t>
      </w:r>
      <w:r w:rsidR="00BD08C9">
        <w:rPr>
          <w:rFonts w:ascii="Arial" w:eastAsia="Calibri" w:hAnsi="Arial" w:cs="Arial"/>
          <w:sz w:val="20"/>
          <w:szCs w:val="20"/>
        </w:rPr>
        <w:t>307.184,45</w:t>
      </w:r>
      <w:r w:rsidR="000D7B95" w:rsidRPr="00FC753C">
        <w:rPr>
          <w:rFonts w:ascii="Arial" w:eastAsia="Calibri" w:hAnsi="Arial" w:cs="Arial"/>
          <w:sz w:val="20"/>
          <w:szCs w:val="20"/>
        </w:rPr>
        <w:t xml:space="preserve"> </w:t>
      </w:r>
      <w:r w:rsidRPr="00FC753C">
        <w:rPr>
          <w:rFonts w:ascii="Arial" w:eastAsia="Calibri" w:hAnsi="Arial" w:cs="Arial"/>
          <w:sz w:val="20"/>
          <w:szCs w:val="20"/>
        </w:rPr>
        <w:t xml:space="preserve">€ i prihode </w:t>
      </w:r>
      <w:r w:rsidR="00BD08C9">
        <w:rPr>
          <w:rFonts w:ascii="Arial" w:eastAsia="Calibri" w:hAnsi="Arial" w:cs="Arial"/>
          <w:sz w:val="20"/>
          <w:szCs w:val="20"/>
        </w:rPr>
        <w:t>352.504,48</w:t>
      </w:r>
      <w:r w:rsidRPr="00FC753C">
        <w:rPr>
          <w:rFonts w:ascii="Arial" w:eastAsia="Calibri" w:hAnsi="Arial" w:cs="Arial"/>
          <w:sz w:val="20"/>
          <w:szCs w:val="20"/>
        </w:rPr>
        <w:t xml:space="preserve"> €, te je ostvarila tekući </w:t>
      </w:r>
      <w:r w:rsidR="000D7B95" w:rsidRPr="00FC753C">
        <w:rPr>
          <w:rFonts w:ascii="Arial" w:eastAsia="Calibri" w:hAnsi="Arial" w:cs="Arial"/>
          <w:sz w:val="20"/>
          <w:szCs w:val="20"/>
        </w:rPr>
        <w:t xml:space="preserve">višak </w:t>
      </w:r>
      <w:r w:rsidR="00BD08C9">
        <w:rPr>
          <w:rFonts w:ascii="Arial" w:eastAsia="Calibri" w:hAnsi="Arial" w:cs="Arial"/>
          <w:sz w:val="20"/>
          <w:szCs w:val="20"/>
        </w:rPr>
        <w:t>45.320,03</w:t>
      </w:r>
      <w:r w:rsidRPr="00FC753C">
        <w:rPr>
          <w:rFonts w:ascii="Arial" w:eastAsia="Calibri" w:hAnsi="Arial" w:cs="Arial"/>
          <w:sz w:val="20"/>
          <w:szCs w:val="20"/>
        </w:rPr>
        <w:t xml:space="preserve"> € koji nakon prenesenog viška iz prethodnog razdoblja </w:t>
      </w:r>
      <w:r w:rsidR="00BD08C9">
        <w:rPr>
          <w:rFonts w:ascii="Arial" w:eastAsia="Calibri" w:hAnsi="Arial" w:cs="Arial"/>
          <w:sz w:val="20"/>
          <w:szCs w:val="20"/>
        </w:rPr>
        <w:t>17.208,28</w:t>
      </w:r>
      <w:r w:rsidRPr="00FC753C">
        <w:rPr>
          <w:rFonts w:ascii="Arial" w:eastAsia="Calibri" w:hAnsi="Arial" w:cs="Arial"/>
          <w:sz w:val="20"/>
          <w:szCs w:val="20"/>
        </w:rPr>
        <w:t xml:space="preserve"> € čini </w:t>
      </w:r>
      <w:r w:rsidR="000D7B95" w:rsidRPr="00FC753C">
        <w:rPr>
          <w:rFonts w:ascii="Arial" w:eastAsia="Calibri" w:hAnsi="Arial" w:cs="Arial"/>
          <w:sz w:val="20"/>
          <w:szCs w:val="20"/>
        </w:rPr>
        <w:t>višak</w:t>
      </w:r>
      <w:r w:rsidRPr="00FC753C">
        <w:rPr>
          <w:rFonts w:ascii="Arial" w:eastAsia="Calibri" w:hAnsi="Arial" w:cs="Arial"/>
          <w:sz w:val="20"/>
          <w:szCs w:val="20"/>
        </w:rPr>
        <w:t xml:space="preserve"> prihoda </w:t>
      </w:r>
      <w:r w:rsidR="000D7B95" w:rsidRPr="00FC753C">
        <w:rPr>
          <w:rFonts w:ascii="Arial" w:eastAsia="Calibri" w:hAnsi="Arial" w:cs="Arial"/>
          <w:sz w:val="20"/>
          <w:szCs w:val="20"/>
        </w:rPr>
        <w:t>za korištenje</w:t>
      </w:r>
      <w:r w:rsidRPr="00FC753C">
        <w:rPr>
          <w:rFonts w:ascii="Arial" w:eastAsia="Calibri" w:hAnsi="Arial" w:cs="Arial"/>
          <w:sz w:val="20"/>
          <w:szCs w:val="20"/>
        </w:rPr>
        <w:t xml:space="preserve"> u sljedećem razdoblju </w:t>
      </w:r>
      <w:r w:rsidR="00BD08C9">
        <w:rPr>
          <w:rFonts w:ascii="Arial" w:eastAsia="Calibri" w:hAnsi="Arial" w:cs="Arial"/>
          <w:sz w:val="20"/>
          <w:szCs w:val="20"/>
        </w:rPr>
        <w:t>62.528,31</w:t>
      </w:r>
      <w:r w:rsidRPr="00FC753C">
        <w:rPr>
          <w:rFonts w:ascii="Arial" w:eastAsia="Calibri" w:hAnsi="Arial" w:cs="Arial"/>
          <w:sz w:val="20"/>
          <w:szCs w:val="20"/>
        </w:rPr>
        <w:t xml:space="preserve"> €. </w:t>
      </w:r>
    </w:p>
    <w:p w14:paraId="057D90B2" w14:textId="77777777" w:rsidR="00EE7F82" w:rsidRPr="00FC753C" w:rsidRDefault="00EE7F82" w:rsidP="00EE7F82">
      <w:pPr>
        <w:autoSpaceDE w:val="0"/>
        <w:autoSpaceDN w:val="0"/>
        <w:adjustRightInd w:val="0"/>
        <w:spacing w:after="0" w:line="240" w:lineRule="auto"/>
        <w:jc w:val="both"/>
        <w:rPr>
          <w:rFonts w:ascii="Arial" w:eastAsia="Calibri" w:hAnsi="Arial" w:cs="Arial"/>
          <w:sz w:val="20"/>
          <w:szCs w:val="20"/>
        </w:rPr>
      </w:pPr>
    </w:p>
    <w:p w14:paraId="3D24B6BC" w14:textId="1C9F99CE" w:rsidR="00EE7F82" w:rsidRPr="00FC753C" w:rsidRDefault="00EE7F82" w:rsidP="00EE7F82">
      <w:pPr>
        <w:autoSpaceDE w:val="0"/>
        <w:autoSpaceDN w:val="0"/>
        <w:adjustRightInd w:val="0"/>
        <w:spacing w:after="0" w:line="240" w:lineRule="auto"/>
        <w:jc w:val="both"/>
        <w:rPr>
          <w:rFonts w:ascii="Arial" w:eastAsia="Calibri" w:hAnsi="Arial" w:cs="Arial"/>
          <w:sz w:val="20"/>
          <w:szCs w:val="20"/>
        </w:rPr>
      </w:pPr>
      <w:r w:rsidRPr="00FC753C">
        <w:rPr>
          <w:rFonts w:ascii="Arial" w:eastAsia="Calibri" w:hAnsi="Arial" w:cs="Arial"/>
          <w:sz w:val="20"/>
          <w:szCs w:val="20"/>
        </w:rPr>
        <w:t>Prosječan broj zaposlenih na osnovi stanja na početku</w:t>
      </w:r>
      <w:r w:rsidR="000D7B95" w:rsidRPr="00FC753C">
        <w:rPr>
          <w:rFonts w:ascii="Arial" w:eastAsia="Calibri" w:hAnsi="Arial" w:cs="Arial"/>
          <w:sz w:val="20"/>
          <w:szCs w:val="20"/>
        </w:rPr>
        <w:t xml:space="preserve"> je 14, a na koncu 1</w:t>
      </w:r>
      <w:r w:rsidR="00BD08C9">
        <w:rPr>
          <w:rFonts w:ascii="Arial" w:eastAsia="Calibri" w:hAnsi="Arial" w:cs="Arial"/>
          <w:sz w:val="20"/>
          <w:szCs w:val="20"/>
        </w:rPr>
        <w:t>4</w:t>
      </w:r>
      <w:r w:rsidR="000D7B95" w:rsidRPr="00FC753C">
        <w:rPr>
          <w:rFonts w:ascii="Arial" w:eastAsia="Calibri" w:hAnsi="Arial" w:cs="Arial"/>
          <w:sz w:val="20"/>
          <w:szCs w:val="20"/>
        </w:rPr>
        <w:t xml:space="preserve"> zaposlenih</w:t>
      </w:r>
      <w:r w:rsidRPr="00FC753C">
        <w:rPr>
          <w:rFonts w:ascii="Arial" w:eastAsia="Calibri" w:hAnsi="Arial" w:cs="Arial"/>
          <w:sz w:val="20"/>
          <w:szCs w:val="20"/>
        </w:rPr>
        <w:t>. Prosječan broj zaposlenih na osnovi sati rada iznosi 1</w:t>
      </w:r>
      <w:r w:rsidR="00BD08C9">
        <w:rPr>
          <w:rFonts w:ascii="Arial" w:eastAsia="Calibri" w:hAnsi="Arial" w:cs="Arial"/>
          <w:sz w:val="20"/>
          <w:szCs w:val="20"/>
        </w:rPr>
        <w:t>4</w:t>
      </w:r>
      <w:r w:rsidRPr="00FC753C">
        <w:rPr>
          <w:rFonts w:ascii="Arial" w:eastAsia="Calibri" w:hAnsi="Arial" w:cs="Arial"/>
          <w:sz w:val="20"/>
          <w:szCs w:val="20"/>
        </w:rPr>
        <w:t>.</w:t>
      </w:r>
    </w:p>
    <w:p w14:paraId="44831B5F" w14:textId="77777777" w:rsidR="00EE7F82" w:rsidRPr="00FC753C" w:rsidRDefault="00EE7F82" w:rsidP="00EE7F82">
      <w:pPr>
        <w:autoSpaceDE w:val="0"/>
        <w:autoSpaceDN w:val="0"/>
        <w:adjustRightInd w:val="0"/>
        <w:spacing w:after="0" w:line="240" w:lineRule="auto"/>
        <w:jc w:val="both"/>
        <w:rPr>
          <w:rFonts w:ascii="Arial" w:eastAsia="Calibri" w:hAnsi="Arial" w:cs="Arial"/>
          <w:sz w:val="20"/>
          <w:szCs w:val="20"/>
        </w:rPr>
      </w:pPr>
    </w:p>
    <w:p w14:paraId="74BDD384" w14:textId="107FBCD8" w:rsidR="00EE7F82" w:rsidRPr="00FC753C" w:rsidRDefault="00EE7F82" w:rsidP="00EE7F82">
      <w:pPr>
        <w:autoSpaceDE w:val="0"/>
        <w:autoSpaceDN w:val="0"/>
        <w:adjustRightInd w:val="0"/>
        <w:spacing w:after="0" w:line="240" w:lineRule="auto"/>
        <w:jc w:val="both"/>
        <w:rPr>
          <w:rFonts w:ascii="Arial" w:eastAsia="Calibri" w:hAnsi="Arial" w:cs="Arial"/>
          <w:sz w:val="20"/>
          <w:szCs w:val="20"/>
        </w:rPr>
      </w:pPr>
      <w:r w:rsidRPr="00FC753C">
        <w:rPr>
          <w:rFonts w:ascii="Arial" w:eastAsia="Calibri" w:hAnsi="Arial" w:cs="Arial"/>
          <w:sz w:val="20"/>
          <w:szCs w:val="20"/>
        </w:rPr>
        <w:lastRenderedPageBreak/>
        <w:t>Prihodi ustanove u 202</w:t>
      </w:r>
      <w:r w:rsidR="00BD08C9">
        <w:rPr>
          <w:rFonts w:ascii="Arial" w:eastAsia="Calibri" w:hAnsi="Arial" w:cs="Arial"/>
          <w:sz w:val="20"/>
          <w:szCs w:val="20"/>
        </w:rPr>
        <w:t>5</w:t>
      </w:r>
      <w:r w:rsidRPr="00FC753C">
        <w:rPr>
          <w:rFonts w:ascii="Arial" w:eastAsia="Calibri" w:hAnsi="Arial" w:cs="Arial"/>
          <w:sz w:val="20"/>
          <w:szCs w:val="20"/>
        </w:rPr>
        <w:t xml:space="preserve">. godini u iznosu </w:t>
      </w:r>
      <w:r w:rsidR="00457C2A">
        <w:rPr>
          <w:rFonts w:ascii="Arial" w:eastAsia="Calibri" w:hAnsi="Arial" w:cs="Arial"/>
          <w:sz w:val="20"/>
          <w:szCs w:val="20"/>
        </w:rPr>
        <w:t>352.504,48</w:t>
      </w:r>
      <w:r w:rsidR="00996D16" w:rsidRPr="00FC753C">
        <w:rPr>
          <w:rFonts w:ascii="Arial" w:eastAsia="Calibri" w:hAnsi="Arial" w:cs="Arial"/>
          <w:sz w:val="20"/>
          <w:szCs w:val="20"/>
        </w:rPr>
        <w:t xml:space="preserve"> </w:t>
      </w:r>
      <w:r w:rsidRPr="00FC753C">
        <w:rPr>
          <w:rFonts w:ascii="Arial" w:eastAsia="Calibri" w:hAnsi="Arial" w:cs="Arial"/>
          <w:sz w:val="20"/>
          <w:szCs w:val="20"/>
        </w:rPr>
        <w:t xml:space="preserve">€ se sastoje od prihoda od vlastitih sredstava, pomoći i prihoda po posebnim propisima u iznosu </w:t>
      </w:r>
      <w:r w:rsidR="00457C2A">
        <w:rPr>
          <w:rFonts w:ascii="Arial" w:eastAsia="Calibri" w:hAnsi="Arial" w:cs="Arial"/>
          <w:sz w:val="20"/>
          <w:szCs w:val="20"/>
        </w:rPr>
        <w:t>78.050,15</w:t>
      </w:r>
      <w:r w:rsidR="000D7B95" w:rsidRPr="00FC753C">
        <w:rPr>
          <w:rFonts w:ascii="Arial" w:eastAsia="Calibri" w:hAnsi="Arial" w:cs="Arial"/>
          <w:sz w:val="20"/>
          <w:szCs w:val="20"/>
        </w:rPr>
        <w:t xml:space="preserve"> </w:t>
      </w:r>
      <w:r w:rsidRPr="00FC753C">
        <w:rPr>
          <w:rFonts w:ascii="Arial" w:eastAsia="Calibri" w:hAnsi="Arial" w:cs="Arial"/>
          <w:sz w:val="20"/>
          <w:szCs w:val="20"/>
        </w:rPr>
        <w:t xml:space="preserve">€ i sredstava općinskog proračuna u iznosu </w:t>
      </w:r>
      <w:r w:rsidR="00457C2A">
        <w:rPr>
          <w:rFonts w:ascii="Arial" w:eastAsia="Calibri" w:hAnsi="Arial" w:cs="Arial"/>
          <w:sz w:val="20"/>
          <w:szCs w:val="20"/>
        </w:rPr>
        <w:t>274.454,33</w:t>
      </w:r>
      <w:r w:rsidRPr="00FC753C">
        <w:rPr>
          <w:rFonts w:ascii="Arial" w:eastAsia="Calibri" w:hAnsi="Arial" w:cs="Arial"/>
          <w:sz w:val="20"/>
          <w:szCs w:val="20"/>
        </w:rPr>
        <w:t xml:space="preserve"> €.</w:t>
      </w:r>
    </w:p>
    <w:p w14:paraId="31685E26" w14:textId="77777777" w:rsidR="00EE7F82" w:rsidRPr="00FC753C" w:rsidRDefault="00EE7F82" w:rsidP="00EE7F82">
      <w:pPr>
        <w:autoSpaceDE w:val="0"/>
        <w:autoSpaceDN w:val="0"/>
        <w:adjustRightInd w:val="0"/>
        <w:spacing w:after="0" w:line="240" w:lineRule="auto"/>
        <w:jc w:val="both"/>
        <w:rPr>
          <w:rFonts w:ascii="Arial" w:eastAsia="Calibri" w:hAnsi="Arial" w:cs="Arial"/>
          <w:sz w:val="20"/>
          <w:szCs w:val="20"/>
        </w:rPr>
      </w:pPr>
    </w:p>
    <w:p w14:paraId="375A12B3" w14:textId="65BBA54B" w:rsidR="00EE7F82" w:rsidRDefault="00EE7F82" w:rsidP="00EE7F82">
      <w:pPr>
        <w:autoSpaceDE w:val="0"/>
        <w:autoSpaceDN w:val="0"/>
        <w:adjustRightInd w:val="0"/>
        <w:spacing w:after="0" w:line="240" w:lineRule="auto"/>
        <w:jc w:val="both"/>
        <w:rPr>
          <w:rFonts w:ascii="Arial" w:eastAsia="Calibri" w:hAnsi="Arial" w:cs="Arial"/>
          <w:sz w:val="20"/>
          <w:szCs w:val="20"/>
        </w:rPr>
      </w:pPr>
      <w:r w:rsidRPr="00FC753C">
        <w:rPr>
          <w:rFonts w:ascii="Arial" w:eastAsia="Calibri" w:hAnsi="Arial" w:cs="Arial"/>
          <w:sz w:val="20"/>
          <w:szCs w:val="20"/>
        </w:rPr>
        <w:t xml:space="preserve">Na računu 16721- potraživanje za prihode proračunskih korisnika na dan </w:t>
      </w:r>
      <w:r w:rsidR="00021BE7">
        <w:rPr>
          <w:rFonts w:ascii="Arial" w:eastAsia="Calibri" w:hAnsi="Arial" w:cs="Arial"/>
          <w:sz w:val="20"/>
          <w:szCs w:val="20"/>
        </w:rPr>
        <w:t>1.1.</w:t>
      </w:r>
      <w:r w:rsidR="004020E1" w:rsidRPr="00FC753C">
        <w:rPr>
          <w:rFonts w:ascii="Arial" w:eastAsia="Calibri" w:hAnsi="Arial" w:cs="Arial"/>
          <w:sz w:val="20"/>
          <w:szCs w:val="20"/>
        </w:rPr>
        <w:t>202</w:t>
      </w:r>
      <w:r w:rsidR="00021BE7">
        <w:rPr>
          <w:rFonts w:ascii="Arial" w:eastAsia="Calibri" w:hAnsi="Arial" w:cs="Arial"/>
          <w:sz w:val="20"/>
          <w:szCs w:val="20"/>
        </w:rPr>
        <w:t>5</w:t>
      </w:r>
      <w:r w:rsidR="004020E1" w:rsidRPr="00FC753C">
        <w:rPr>
          <w:rFonts w:ascii="Arial" w:eastAsia="Calibri" w:hAnsi="Arial" w:cs="Arial"/>
          <w:sz w:val="20"/>
          <w:szCs w:val="20"/>
        </w:rPr>
        <w:t xml:space="preserve">. je bilo iskazano </w:t>
      </w:r>
      <w:r w:rsidRPr="00FC753C">
        <w:rPr>
          <w:rFonts w:ascii="Arial" w:eastAsia="Calibri" w:hAnsi="Arial" w:cs="Arial"/>
          <w:sz w:val="20"/>
          <w:szCs w:val="20"/>
        </w:rPr>
        <w:t xml:space="preserve">stanje </w:t>
      </w:r>
      <w:r w:rsidR="00021BE7" w:rsidRPr="00FC753C">
        <w:rPr>
          <w:rFonts w:ascii="Arial" w:eastAsia="Calibri" w:hAnsi="Arial" w:cs="Arial"/>
          <w:sz w:val="20"/>
          <w:szCs w:val="20"/>
        </w:rPr>
        <w:t xml:space="preserve">54.778,87 </w:t>
      </w:r>
      <w:r w:rsidR="00A264FB" w:rsidRPr="00FC753C">
        <w:rPr>
          <w:rFonts w:ascii="Arial" w:eastAsia="Calibri" w:hAnsi="Arial" w:cs="Arial"/>
          <w:sz w:val="20"/>
          <w:szCs w:val="20"/>
        </w:rPr>
        <w:t>€</w:t>
      </w:r>
      <w:r w:rsidR="004020E1" w:rsidRPr="00FC753C">
        <w:rPr>
          <w:rFonts w:ascii="Arial" w:eastAsia="Calibri" w:hAnsi="Arial" w:cs="Arial"/>
          <w:sz w:val="20"/>
          <w:szCs w:val="20"/>
        </w:rPr>
        <w:t xml:space="preserve">, dok je na dan </w:t>
      </w:r>
      <w:r w:rsidR="00021BE7">
        <w:rPr>
          <w:rFonts w:ascii="Arial" w:eastAsia="Calibri" w:hAnsi="Arial" w:cs="Arial"/>
          <w:sz w:val="20"/>
          <w:szCs w:val="20"/>
        </w:rPr>
        <w:t>30.06.2025.</w:t>
      </w:r>
      <w:r w:rsidR="004020E1" w:rsidRPr="00FC753C">
        <w:rPr>
          <w:rFonts w:ascii="Arial" w:eastAsia="Calibri" w:hAnsi="Arial" w:cs="Arial"/>
          <w:sz w:val="20"/>
          <w:szCs w:val="20"/>
        </w:rPr>
        <w:t xml:space="preserve"> godine iskazano </w:t>
      </w:r>
      <w:r w:rsidR="009A6D56" w:rsidRPr="009A6D56">
        <w:rPr>
          <w:rFonts w:ascii="Arial" w:eastAsia="Calibri" w:hAnsi="Arial" w:cs="Arial"/>
          <w:sz w:val="20"/>
          <w:szCs w:val="20"/>
        </w:rPr>
        <w:t>95.922,81</w:t>
      </w:r>
      <w:r w:rsidR="009A6D56">
        <w:rPr>
          <w:rFonts w:ascii="Arial" w:eastAsia="Calibri" w:hAnsi="Arial" w:cs="Arial"/>
          <w:sz w:val="20"/>
          <w:szCs w:val="20"/>
        </w:rPr>
        <w:t xml:space="preserve"> </w:t>
      </w:r>
      <w:r w:rsidR="004020E1" w:rsidRPr="00FC753C">
        <w:rPr>
          <w:rFonts w:ascii="Arial" w:eastAsia="Calibri" w:hAnsi="Arial" w:cs="Arial"/>
          <w:sz w:val="20"/>
          <w:szCs w:val="20"/>
        </w:rPr>
        <w:t>€.</w:t>
      </w:r>
      <w:r w:rsidRPr="00FC753C">
        <w:rPr>
          <w:rFonts w:ascii="Arial" w:eastAsia="Calibri" w:hAnsi="Arial" w:cs="Arial"/>
          <w:sz w:val="20"/>
          <w:szCs w:val="20"/>
        </w:rPr>
        <w:t xml:space="preserve"> Vlastitim sredstvima na žiro računu Općine proračunski korisnik raspolaže prema vlastitom financijskom planu uz potrebu najave Upravnom odjelu za proračun i financije, te otvaranje potrebnih aktivnosti i pozicija u proračunu. </w:t>
      </w:r>
    </w:p>
    <w:p w14:paraId="101FC374" w14:textId="77777777" w:rsidR="009A6D56" w:rsidRPr="00FC753C" w:rsidRDefault="009A6D56" w:rsidP="00EE7F82">
      <w:pPr>
        <w:autoSpaceDE w:val="0"/>
        <w:autoSpaceDN w:val="0"/>
        <w:adjustRightInd w:val="0"/>
        <w:spacing w:after="0" w:line="240" w:lineRule="auto"/>
        <w:jc w:val="both"/>
        <w:rPr>
          <w:rFonts w:ascii="Arial" w:eastAsia="Calibri" w:hAnsi="Arial" w:cs="Arial"/>
          <w:sz w:val="20"/>
          <w:szCs w:val="20"/>
        </w:rPr>
      </w:pPr>
    </w:p>
    <w:p w14:paraId="3C6FD35C" w14:textId="654C867C" w:rsidR="00EE7F82" w:rsidRPr="00FC753C" w:rsidRDefault="00EE7F82" w:rsidP="00EE7F82">
      <w:pPr>
        <w:autoSpaceDE w:val="0"/>
        <w:autoSpaceDN w:val="0"/>
        <w:adjustRightInd w:val="0"/>
        <w:spacing w:after="0" w:line="240" w:lineRule="auto"/>
        <w:jc w:val="both"/>
        <w:rPr>
          <w:rFonts w:ascii="Arial" w:eastAsia="Calibri" w:hAnsi="Arial" w:cs="Arial"/>
          <w:sz w:val="20"/>
          <w:szCs w:val="20"/>
        </w:rPr>
      </w:pPr>
      <w:r w:rsidRPr="00FC753C">
        <w:rPr>
          <w:rFonts w:ascii="Arial" w:eastAsia="Calibri" w:hAnsi="Arial" w:cs="Arial"/>
          <w:sz w:val="20"/>
          <w:szCs w:val="20"/>
        </w:rPr>
        <w:t xml:space="preserve">Stanje nenaplaćenih potraživanja na dan </w:t>
      </w:r>
      <w:r w:rsidR="009A6D56">
        <w:rPr>
          <w:rFonts w:ascii="Arial" w:eastAsia="Calibri" w:hAnsi="Arial" w:cs="Arial"/>
          <w:sz w:val="20"/>
          <w:szCs w:val="20"/>
        </w:rPr>
        <w:t>30.06.2025</w:t>
      </w:r>
      <w:r w:rsidRPr="00FC753C">
        <w:rPr>
          <w:rFonts w:ascii="Arial" w:eastAsia="Calibri" w:hAnsi="Arial" w:cs="Arial"/>
          <w:sz w:val="20"/>
          <w:szCs w:val="20"/>
        </w:rPr>
        <w:t xml:space="preserve">. godine iznosi </w:t>
      </w:r>
      <w:r w:rsidR="009A6D56">
        <w:rPr>
          <w:rFonts w:ascii="Arial" w:eastAsia="Calibri" w:hAnsi="Arial" w:cs="Arial"/>
          <w:sz w:val="20"/>
          <w:szCs w:val="20"/>
        </w:rPr>
        <w:t>134.655,44</w:t>
      </w:r>
      <w:r w:rsidR="00A264FB" w:rsidRPr="00FC753C">
        <w:rPr>
          <w:rFonts w:ascii="Arial" w:eastAsia="Calibri" w:hAnsi="Arial" w:cs="Arial"/>
          <w:sz w:val="20"/>
          <w:szCs w:val="20"/>
        </w:rPr>
        <w:t xml:space="preserve"> €</w:t>
      </w:r>
      <w:r w:rsidRPr="00FC753C">
        <w:rPr>
          <w:rFonts w:ascii="Arial" w:eastAsia="Calibri" w:hAnsi="Arial" w:cs="Arial"/>
          <w:sz w:val="20"/>
          <w:szCs w:val="20"/>
        </w:rPr>
        <w:t>, a odnosi se na potraživanja za upravne i administrativne pristojbe, pristojbe po posebnim propisima i naknade</w:t>
      </w:r>
      <w:r w:rsidR="00996D16" w:rsidRPr="00FC753C">
        <w:rPr>
          <w:rFonts w:ascii="Arial" w:eastAsia="Calibri" w:hAnsi="Arial" w:cs="Arial"/>
          <w:sz w:val="20"/>
          <w:szCs w:val="20"/>
        </w:rPr>
        <w:t>,</w:t>
      </w:r>
      <w:r w:rsidR="004020E1" w:rsidRPr="00FC753C">
        <w:rPr>
          <w:rFonts w:ascii="Arial" w:eastAsia="Calibri" w:hAnsi="Arial" w:cs="Arial"/>
          <w:sz w:val="20"/>
          <w:szCs w:val="20"/>
        </w:rPr>
        <w:t xml:space="preserve"> </w:t>
      </w:r>
      <w:r w:rsidR="00996D16" w:rsidRPr="00FC753C">
        <w:rPr>
          <w:rFonts w:ascii="Arial" w:eastAsia="Calibri" w:hAnsi="Arial" w:cs="Arial"/>
          <w:sz w:val="20"/>
          <w:szCs w:val="20"/>
        </w:rPr>
        <w:t>te potraživanja za prihode od prodaje</w:t>
      </w:r>
      <w:r w:rsidRPr="00FC753C">
        <w:rPr>
          <w:rFonts w:ascii="Arial" w:eastAsia="Calibri" w:hAnsi="Arial" w:cs="Arial"/>
          <w:sz w:val="20"/>
          <w:szCs w:val="20"/>
        </w:rPr>
        <w:t xml:space="preserve"> (nenaplaćena potraživanja za ulaznice i usluge, te prodane suvenire) u iznosu </w:t>
      </w:r>
      <w:r w:rsidR="009A6D56">
        <w:rPr>
          <w:rFonts w:ascii="Arial" w:eastAsia="Calibri" w:hAnsi="Arial" w:cs="Arial"/>
          <w:sz w:val="20"/>
          <w:szCs w:val="20"/>
        </w:rPr>
        <w:t xml:space="preserve">9.732,63 </w:t>
      </w:r>
      <w:r w:rsidR="00A264FB" w:rsidRPr="00FC753C">
        <w:rPr>
          <w:rFonts w:ascii="Arial" w:eastAsia="Calibri" w:hAnsi="Arial" w:cs="Arial"/>
          <w:sz w:val="20"/>
          <w:szCs w:val="20"/>
        </w:rPr>
        <w:t>€</w:t>
      </w:r>
      <w:r w:rsidRPr="00FC753C">
        <w:rPr>
          <w:rFonts w:ascii="Arial" w:eastAsia="Calibri" w:hAnsi="Arial" w:cs="Arial"/>
          <w:sz w:val="20"/>
          <w:szCs w:val="20"/>
        </w:rPr>
        <w:t>,</w:t>
      </w:r>
      <w:r w:rsidR="009A6D56">
        <w:rPr>
          <w:rFonts w:ascii="Arial" w:eastAsia="Calibri" w:hAnsi="Arial" w:cs="Arial"/>
          <w:sz w:val="20"/>
          <w:szCs w:val="20"/>
        </w:rPr>
        <w:t xml:space="preserve"> potraživanja za pomoći iz državnog proračuna 29.000,00 €,</w:t>
      </w:r>
      <w:r w:rsidRPr="00FC753C">
        <w:rPr>
          <w:rFonts w:ascii="Arial" w:eastAsia="Calibri" w:hAnsi="Arial" w:cs="Arial"/>
          <w:sz w:val="20"/>
          <w:szCs w:val="20"/>
        </w:rPr>
        <w:t xml:space="preserve"> ostala potraživanja (potraživanja prema Hrvatskom zavodu za zdravstveno osiguranje na ime isplaćenih naknada plaća djelatnicima za vrijeme bolovanja</w:t>
      </w:r>
      <w:r w:rsidR="00FC753C" w:rsidRPr="00FC753C">
        <w:rPr>
          <w:rFonts w:ascii="Arial" w:eastAsia="Calibri" w:hAnsi="Arial" w:cs="Arial"/>
          <w:sz w:val="20"/>
          <w:szCs w:val="20"/>
        </w:rPr>
        <w:t>, potraživanja za više plaćene doprinose i poreze</w:t>
      </w:r>
      <w:r w:rsidRPr="00FC753C">
        <w:rPr>
          <w:rFonts w:ascii="Arial" w:eastAsia="Calibri" w:hAnsi="Arial" w:cs="Arial"/>
          <w:sz w:val="20"/>
          <w:szCs w:val="20"/>
        </w:rPr>
        <w:t xml:space="preserve">) u iznosu </w:t>
      </w:r>
      <w:r w:rsidR="009A6D56">
        <w:rPr>
          <w:rFonts w:ascii="Arial" w:eastAsia="Calibri" w:hAnsi="Arial" w:cs="Arial"/>
          <w:sz w:val="20"/>
          <w:szCs w:val="20"/>
        </w:rPr>
        <w:t>0</w:t>
      </w:r>
      <w:r w:rsidR="00A264FB" w:rsidRPr="00FC753C">
        <w:rPr>
          <w:rFonts w:ascii="Arial" w:eastAsia="Calibri" w:hAnsi="Arial" w:cs="Arial"/>
          <w:sz w:val="20"/>
          <w:szCs w:val="20"/>
        </w:rPr>
        <w:t xml:space="preserve"> €</w:t>
      </w:r>
      <w:r w:rsidRPr="00FC753C">
        <w:rPr>
          <w:rFonts w:ascii="Arial" w:eastAsia="Calibri" w:hAnsi="Arial" w:cs="Arial"/>
          <w:sz w:val="20"/>
          <w:szCs w:val="20"/>
        </w:rPr>
        <w:t xml:space="preserve">, te potraživanja za prihode iz proračuna (potraživanja iz proračuna Općine Konavle za uplaćene, a neutrošene vlastite prihode ustanove) u iznosu </w:t>
      </w:r>
      <w:r w:rsidR="009A6D56" w:rsidRPr="009A6D56">
        <w:rPr>
          <w:rFonts w:ascii="Arial" w:eastAsia="Calibri" w:hAnsi="Arial" w:cs="Arial"/>
          <w:sz w:val="20"/>
          <w:szCs w:val="20"/>
        </w:rPr>
        <w:t>95.922,81</w:t>
      </w:r>
      <w:r w:rsidR="009A6D56">
        <w:rPr>
          <w:rFonts w:ascii="Arial" w:eastAsia="Calibri" w:hAnsi="Arial" w:cs="Arial"/>
          <w:sz w:val="20"/>
          <w:szCs w:val="20"/>
        </w:rPr>
        <w:t xml:space="preserve"> </w:t>
      </w:r>
      <w:r w:rsidR="00FC753C" w:rsidRPr="00FC753C">
        <w:rPr>
          <w:rFonts w:ascii="Arial" w:eastAsia="Calibri" w:hAnsi="Arial" w:cs="Arial"/>
          <w:sz w:val="20"/>
          <w:szCs w:val="20"/>
        </w:rPr>
        <w:t>€.</w:t>
      </w:r>
    </w:p>
    <w:p w14:paraId="290C416C" w14:textId="77777777" w:rsidR="00EE7F82" w:rsidRPr="00FC753C" w:rsidRDefault="00EE7F82" w:rsidP="00EE7F82">
      <w:pPr>
        <w:autoSpaceDE w:val="0"/>
        <w:autoSpaceDN w:val="0"/>
        <w:adjustRightInd w:val="0"/>
        <w:spacing w:after="0" w:line="240" w:lineRule="auto"/>
        <w:jc w:val="both"/>
        <w:rPr>
          <w:rFonts w:ascii="Arial" w:eastAsia="Calibri" w:hAnsi="Arial" w:cs="Arial"/>
          <w:sz w:val="20"/>
          <w:szCs w:val="20"/>
        </w:rPr>
      </w:pPr>
    </w:p>
    <w:p w14:paraId="56368D45" w14:textId="2CA7C73F" w:rsidR="00EE7F82" w:rsidRPr="00FC753C" w:rsidRDefault="00EE7F82" w:rsidP="00EE7F82">
      <w:pPr>
        <w:spacing w:after="0" w:line="240" w:lineRule="auto"/>
        <w:rPr>
          <w:rFonts w:ascii="Arial" w:eastAsia="Calibri" w:hAnsi="Arial" w:cs="Arial"/>
          <w:sz w:val="20"/>
          <w:szCs w:val="20"/>
        </w:rPr>
      </w:pPr>
      <w:r w:rsidRPr="00FC753C">
        <w:rPr>
          <w:rFonts w:ascii="Arial" w:eastAsia="Calibri" w:hAnsi="Arial" w:cs="Arial"/>
          <w:sz w:val="20"/>
          <w:szCs w:val="20"/>
        </w:rPr>
        <w:t xml:space="preserve">Stanje nepodmirenih obveza na dan </w:t>
      </w:r>
      <w:r w:rsidR="009A6D56">
        <w:rPr>
          <w:rFonts w:ascii="Arial" w:eastAsia="Calibri" w:hAnsi="Arial" w:cs="Arial"/>
          <w:sz w:val="20"/>
          <w:szCs w:val="20"/>
        </w:rPr>
        <w:t>30.06.2025</w:t>
      </w:r>
      <w:r w:rsidRPr="00FC753C">
        <w:rPr>
          <w:rFonts w:ascii="Arial" w:eastAsia="Calibri" w:hAnsi="Arial" w:cs="Arial"/>
          <w:sz w:val="20"/>
          <w:szCs w:val="20"/>
        </w:rPr>
        <w:t xml:space="preserve">. godine iznosi </w:t>
      </w:r>
      <w:r w:rsidR="009A6D56">
        <w:rPr>
          <w:rFonts w:ascii="Arial" w:eastAsia="Calibri" w:hAnsi="Arial" w:cs="Arial"/>
          <w:sz w:val="20"/>
          <w:szCs w:val="20"/>
        </w:rPr>
        <w:t>42.558,50</w:t>
      </w:r>
      <w:r w:rsidR="00A264FB" w:rsidRPr="00FC753C">
        <w:rPr>
          <w:rFonts w:ascii="Arial" w:eastAsia="Calibri" w:hAnsi="Arial" w:cs="Arial"/>
          <w:sz w:val="20"/>
          <w:szCs w:val="20"/>
        </w:rPr>
        <w:t xml:space="preserve"> €</w:t>
      </w:r>
      <w:r w:rsidR="004020E1" w:rsidRPr="00FC753C">
        <w:rPr>
          <w:rFonts w:ascii="Arial" w:eastAsia="Calibri" w:hAnsi="Arial" w:cs="Arial"/>
          <w:sz w:val="20"/>
          <w:szCs w:val="20"/>
        </w:rPr>
        <w:t xml:space="preserve">, od čega je dospjelo </w:t>
      </w:r>
      <w:r w:rsidR="009A6D56">
        <w:rPr>
          <w:rFonts w:ascii="Arial" w:eastAsia="Calibri" w:hAnsi="Arial" w:cs="Arial"/>
          <w:sz w:val="20"/>
          <w:szCs w:val="20"/>
        </w:rPr>
        <w:t>2.167,84</w:t>
      </w:r>
      <w:r w:rsidR="004020E1" w:rsidRPr="00FC753C">
        <w:rPr>
          <w:rFonts w:ascii="Arial" w:eastAsia="Calibri" w:hAnsi="Arial" w:cs="Arial"/>
          <w:sz w:val="20"/>
          <w:szCs w:val="20"/>
        </w:rPr>
        <w:t xml:space="preserve"> €</w:t>
      </w:r>
      <w:r w:rsidR="00996D16" w:rsidRPr="00FC753C">
        <w:rPr>
          <w:rFonts w:ascii="Arial" w:eastAsia="Calibri" w:hAnsi="Arial" w:cs="Arial"/>
          <w:sz w:val="20"/>
          <w:szCs w:val="20"/>
        </w:rPr>
        <w:t>.</w:t>
      </w:r>
    </w:p>
    <w:p w14:paraId="05D68363" w14:textId="77777777" w:rsidR="00EE7F82" w:rsidRPr="00FC753C" w:rsidRDefault="00EE7F82" w:rsidP="00EE7F82">
      <w:pPr>
        <w:spacing w:after="0" w:line="240" w:lineRule="auto"/>
        <w:rPr>
          <w:rFonts w:ascii="Arial" w:eastAsia="Calibri" w:hAnsi="Arial" w:cs="Arial"/>
          <w:sz w:val="20"/>
          <w:szCs w:val="20"/>
        </w:rPr>
      </w:pPr>
      <w:r w:rsidRPr="00FC753C">
        <w:rPr>
          <w:rFonts w:ascii="Arial" w:eastAsia="Calibri" w:hAnsi="Arial" w:cs="Arial"/>
          <w:sz w:val="20"/>
          <w:szCs w:val="20"/>
        </w:rPr>
        <w:t>Potencijalnih obveza nema.</w:t>
      </w:r>
    </w:p>
    <w:p w14:paraId="5380F8D0" w14:textId="77777777" w:rsidR="00EE7F82" w:rsidRPr="00FC753C" w:rsidRDefault="00EE7F82" w:rsidP="00C720E8">
      <w:pPr>
        <w:autoSpaceDE w:val="0"/>
        <w:autoSpaceDN w:val="0"/>
        <w:adjustRightInd w:val="0"/>
        <w:spacing w:after="0" w:line="240" w:lineRule="auto"/>
        <w:rPr>
          <w:rFonts w:ascii="Arial" w:eastAsia="Calibri" w:hAnsi="Arial" w:cs="Arial"/>
        </w:rPr>
      </w:pPr>
    </w:p>
    <w:p w14:paraId="15D62FFD" w14:textId="77777777" w:rsidR="00EE7F82" w:rsidRPr="00FC753C" w:rsidRDefault="00EE7F82">
      <w:pPr>
        <w:pStyle w:val="Odlomakpopisa"/>
        <w:numPr>
          <w:ilvl w:val="0"/>
          <w:numId w:val="3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C753C">
        <w:rPr>
          <w:rFonts w:ascii="Arial" w:eastAsia="Calibri" w:hAnsi="Arial" w:cs="Arial"/>
          <w:b/>
        </w:rPr>
        <w:t>Obrazloženje aktivnosti / projekata i pokazatelji uspješnosti</w:t>
      </w:r>
    </w:p>
    <w:p w14:paraId="54FBAA04" w14:textId="77777777" w:rsidR="00EE7F82" w:rsidRPr="00FC753C" w:rsidRDefault="00EE7F82" w:rsidP="00A264FB">
      <w:pPr>
        <w:spacing w:after="0" w:line="240" w:lineRule="auto"/>
        <w:rPr>
          <w:rFonts w:ascii="Arial" w:eastAsia="Calibri" w:hAnsi="Arial" w:cs="Arial"/>
          <w:bCs/>
          <w:sz w:val="20"/>
          <w:szCs w:val="20"/>
        </w:rPr>
      </w:pPr>
    </w:p>
    <w:p w14:paraId="55B642A1" w14:textId="77777777" w:rsidR="00EE7F82" w:rsidRPr="00FC753C" w:rsidRDefault="00EE7F82" w:rsidP="00A264FB">
      <w:pPr>
        <w:spacing w:after="0" w:line="240" w:lineRule="auto"/>
        <w:rPr>
          <w:rFonts w:ascii="Arial" w:eastAsia="Calibri" w:hAnsi="Arial" w:cs="Arial"/>
          <w:sz w:val="20"/>
          <w:szCs w:val="20"/>
        </w:rPr>
      </w:pPr>
      <w:r w:rsidRPr="00FC753C">
        <w:rPr>
          <w:rFonts w:ascii="Arial" w:eastAsia="Calibri" w:hAnsi="Arial" w:cs="Arial"/>
          <w:sz w:val="20"/>
          <w:szCs w:val="20"/>
        </w:rPr>
        <w:t>Unutar programa izvode se slijedeće aktivnosti i projekti:</w:t>
      </w:r>
    </w:p>
    <w:p w14:paraId="6FD6B50E" w14:textId="1AECDE90" w:rsidR="00AE0E1F" w:rsidRPr="00C15731" w:rsidRDefault="00AE0E1F" w:rsidP="00902C5D">
      <w:pPr>
        <w:spacing w:after="0" w:line="240" w:lineRule="auto"/>
        <w:jc w:val="both"/>
        <w:rPr>
          <w:rFonts w:ascii="Arial" w:eastAsia="Calibri" w:hAnsi="Arial" w:cs="Arial"/>
          <w:bCs/>
          <w:sz w:val="20"/>
          <w:szCs w:val="20"/>
        </w:rPr>
      </w:pPr>
    </w:p>
    <w:p w14:paraId="6E6D8FE7" w14:textId="079D62FA" w:rsidR="00D964AC" w:rsidRPr="00C15731" w:rsidRDefault="00B03010" w:rsidP="00D964AC">
      <w:pPr>
        <w:spacing w:after="0" w:line="240" w:lineRule="auto"/>
        <w:jc w:val="both"/>
        <w:rPr>
          <w:rFonts w:ascii="Arial" w:eastAsia="Calibri" w:hAnsi="Arial" w:cs="Arial"/>
          <w:sz w:val="20"/>
          <w:szCs w:val="20"/>
        </w:rPr>
      </w:pPr>
      <w:r w:rsidRPr="00C15731">
        <w:rPr>
          <w:rFonts w:ascii="Arial" w:eastAsia="Calibri" w:hAnsi="Arial" w:cs="Arial"/>
          <w:b/>
          <w:sz w:val="20"/>
          <w:szCs w:val="20"/>
        </w:rPr>
        <w:t>1</w:t>
      </w:r>
      <w:r w:rsidR="00F05A52" w:rsidRPr="00C15731">
        <w:rPr>
          <w:rFonts w:ascii="Arial" w:eastAsia="Calibri" w:hAnsi="Arial" w:cs="Arial"/>
          <w:b/>
          <w:sz w:val="20"/>
          <w:szCs w:val="20"/>
        </w:rPr>
        <w:t>.</w:t>
      </w:r>
      <w:r w:rsidRPr="00C15731">
        <w:rPr>
          <w:rFonts w:ascii="Arial" w:eastAsia="Calibri" w:hAnsi="Arial" w:cs="Arial"/>
          <w:b/>
          <w:sz w:val="20"/>
          <w:szCs w:val="20"/>
        </w:rPr>
        <w:t xml:space="preserve"> </w:t>
      </w:r>
      <w:r w:rsidR="00F05A52" w:rsidRPr="00C15731">
        <w:rPr>
          <w:rFonts w:ascii="Arial" w:eastAsia="Calibri" w:hAnsi="Arial" w:cs="Arial"/>
          <w:b/>
          <w:sz w:val="20"/>
          <w:szCs w:val="20"/>
        </w:rPr>
        <w:t xml:space="preserve">A203101: Redovna djelatnost ustanove u kulturi </w:t>
      </w:r>
      <w:r w:rsidR="00D964AC" w:rsidRPr="00C15731">
        <w:rPr>
          <w:rFonts w:ascii="Arial" w:eastAsia="Calibri" w:hAnsi="Arial" w:cs="Arial"/>
          <w:sz w:val="20"/>
          <w:szCs w:val="20"/>
        </w:rPr>
        <w:t xml:space="preserve">- U sklopu navedene aktivnosti evidentiraju se rashodi za plaće proračunskog korisnika Muzeji i galerije Konavala, s pripadajućim porezima i doprinosima, naknade za prijevoz na posao i s posla u visini mjesečne pokazne karte, uredski i drugi materijal, energija, telefon, intelektualne usluge, usluge tekućeg održavanja objekata i opreme, usluge promidžbe i informiranja, premije osiguranja, bankarske usluge. Planirana sredstva za navedenu aktivnost iznose </w:t>
      </w:r>
      <w:r w:rsidR="001E2D9C">
        <w:rPr>
          <w:rFonts w:ascii="Arial" w:eastAsia="Calibri" w:hAnsi="Arial" w:cs="Arial"/>
          <w:sz w:val="20"/>
          <w:szCs w:val="20"/>
        </w:rPr>
        <w:t>444.600</w:t>
      </w:r>
      <w:r w:rsidR="00D964AC" w:rsidRPr="00C15731">
        <w:rPr>
          <w:rFonts w:ascii="Arial" w:eastAsia="Calibri" w:hAnsi="Arial" w:cs="Arial"/>
          <w:sz w:val="20"/>
          <w:szCs w:val="20"/>
        </w:rPr>
        <w:t xml:space="preserve"> €, a ostvareno je </w:t>
      </w:r>
      <w:r w:rsidR="001E2D9C">
        <w:rPr>
          <w:rFonts w:ascii="Arial" w:eastAsia="Calibri" w:hAnsi="Arial" w:cs="Arial"/>
          <w:sz w:val="20"/>
          <w:szCs w:val="20"/>
        </w:rPr>
        <w:t>233.173,54</w:t>
      </w:r>
      <w:r w:rsidR="00D964AC" w:rsidRPr="00C15731">
        <w:rPr>
          <w:rFonts w:ascii="Arial" w:eastAsia="Calibri" w:hAnsi="Arial" w:cs="Arial"/>
          <w:sz w:val="20"/>
          <w:szCs w:val="20"/>
        </w:rPr>
        <w:t xml:space="preserve"> € odnosno </w:t>
      </w:r>
      <w:r w:rsidR="001E2D9C">
        <w:rPr>
          <w:rFonts w:ascii="Arial" w:eastAsia="Calibri" w:hAnsi="Arial" w:cs="Arial"/>
          <w:sz w:val="20"/>
          <w:szCs w:val="20"/>
        </w:rPr>
        <w:t>52,4</w:t>
      </w:r>
      <w:r w:rsidR="00D964AC" w:rsidRPr="00C15731">
        <w:rPr>
          <w:rFonts w:ascii="Arial" w:eastAsia="Calibri" w:hAnsi="Arial" w:cs="Arial"/>
          <w:sz w:val="20"/>
          <w:szCs w:val="20"/>
        </w:rPr>
        <w:t>% planiranog.</w:t>
      </w:r>
    </w:p>
    <w:p w14:paraId="07110867" w14:textId="77777777" w:rsidR="00D964AC" w:rsidRPr="00C15731" w:rsidRDefault="00D964AC" w:rsidP="00D964AC">
      <w:pPr>
        <w:spacing w:after="0" w:line="240" w:lineRule="auto"/>
        <w:jc w:val="both"/>
        <w:rPr>
          <w:rFonts w:ascii="Arial" w:eastAsia="Calibri" w:hAnsi="Arial" w:cs="Arial"/>
          <w:sz w:val="20"/>
          <w:szCs w:val="20"/>
        </w:rPr>
      </w:pPr>
    </w:p>
    <w:p w14:paraId="7C368A4C" w14:textId="2F8B1E2A" w:rsidR="00D964AC" w:rsidRPr="00C15731" w:rsidRDefault="00D964AC" w:rsidP="00D964AC">
      <w:pPr>
        <w:spacing w:after="0" w:line="240" w:lineRule="auto"/>
        <w:jc w:val="both"/>
        <w:rPr>
          <w:rFonts w:ascii="Arial" w:eastAsia="Calibri" w:hAnsi="Arial" w:cs="Arial"/>
          <w:sz w:val="20"/>
          <w:szCs w:val="20"/>
        </w:rPr>
      </w:pPr>
      <w:r w:rsidRPr="00C15731">
        <w:rPr>
          <w:rFonts w:ascii="Arial" w:eastAsia="Calibri" w:hAnsi="Arial" w:cs="Arial"/>
          <w:sz w:val="20"/>
          <w:szCs w:val="20"/>
        </w:rPr>
        <w:t>Izvori sredstava za ove rashode (A203101) su prihodi iz Općinskog proračuna.</w:t>
      </w:r>
    </w:p>
    <w:p w14:paraId="3A27D471" w14:textId="77777777" w:rsidR="00D964AC" w:rsidRPr="00C15731" w:rsidRDefault="00D964AC" w:rsidP="00D964AC">
      <w:pPr>
        <w:spacing w:after="0" w:line="240" w:lineRule="auto"/>
        <w:jc w:val="both"/>
        <w:rPr>
          <w:rFonts w:ascii="Arial" w:eastAsia="Calibri" w:hAnsi="Arial" w:cs="Arial"/>
          <w:sz w:val="20"/>
          <w:szCs w:val="20"/>
        </w:rPr>
      </w:pPr>
    </w:p>
    <w:p w14:paraId="53648FB4" w14:textId="3EBC4ED2" w:rsidR="00D964AC" w:rsidRPr="00C15731" w:rsidRDefault="00D964AC" w:rsidP="00D964AC">
      <w:pPr>
        <w:spacing w:after="0" w:line="240" w:lineRule="auto"/>
        <w:jc w:val="both"/>
        <w:rPr>
          <w:rFonts w:ascii="Arial" w:eastAsia="Calibri" w:hAnsi="Arial" w:cs="Arial"/>
          <w:sz w:val="20"/>
          <w:szCs w:val="20"/>
        </w:rPr>
      </w:pPr>
      <w:r w:rsidRPr="00C15731">
        <w:rPr>
          <w:rFonts w:ascii="Arial" w:eastAsia="Calibri" w:hAnsi="Arial" w:cs="Arial"/>
          <w:sz w:val="20"/>
          <w:szCs w:val="20"/>
        </w:rPr>
        <w:t xml:space="preserve">Na dan </w:t>
      </w:r>
      <w:r w:rsidR="001E2D9C">
        <w:rPr>
          <w:rFonts w:ascii="Arial" w:eastAsia="Calibri" w:hAnsi="Arial" w:cs="Arial"/>
          <w:sz w:val="20"/>
          <w:szCs w:val="20"/>
        </w:rPr>
        <w:t>30.06.2025</w:t>
      </w:r>
      <w:r w:rsidRPr="00C15731">
        <w:rPr>
          <w:rFonts w:ascii="Arial" w:eastAsia="Calibri" w:hAnsi="Arial" w:cs="Arial"/>
          <w:sz w:val="20"/>
          <w:szCs w:val="20"/>
        </w:rPr>
        <w:t>. ustanov</w:t>
      </w:r>
      <w:r w:rsidR="000E44C6" w:rsidRPr="00C15731">
        <w:rPr>
          <w:rFonts w:ascii="Arial" w:eastAsia="Calibri" w:hAnsi="Arial" w:cs="Arial"/>
          <w:sz w:val="20"/>
          <w:szCs w:val="20"/>
        </w:rPr>
        <w:t>a</w:t>
      </w:r>
      <w:r w:rsidRPr="00C15731">
        <w:rPr>
          <w:rFonts w:ascii="Arial" w:eastAsia="Calibri" w:hAnsi="Arial" w:cs="Arial"/>
          <w:sz w:val="20"/>
          <w:szCs w:val="20"/>
        </w:rPr>
        <w:t xml:space="preserve"> ima 1</w:t>
      </w:r>
      <w:r w:rsidR="001E2D9C">
        <w:rPr>
          <w:rFonts w:ascii="Arial" w:eastAsia="Calibri" w:hAnsi="Arial" w:cs="Arial"/>
          <w:sz w:val="20"/>
          <w:szCs w:val="20"/>
        </w:rPr>
        <w:t>5</w:t>
      </w:r>
      <w:r w:rsidRPr="00C15731">
        <w:rPr>
          <w:rFonts w:ascii="Arial" w:eastAsia="Calibri" w:hAnsi="Arial" w:cs="Arial"/>
          <w:sz w:val="20"/>
          <w:szCs w:val="20"/>
        </w:rPr>
        <w:t xml:space="preserve"> zaposlenih.</w:t>
      </w:r>
    </w:p>
    <w:p w14:paraId="19B723D4" w14:textId="77777777" w:rsidR="00D964AC" w:rsidRPr="00C15731" w:rsidRDefault="00D964AC" w:rsidP="00D964AC">
      <w:pPr>
        <w:spacing w:after="0" w:line="240" w:lineRule="auto"/>
        <w:jc w:val="both"/>
        <w:rPr>
          <w:rFonts w:ascii="Arial" w:eastAsia="Calibri" w:hAnsi="Arial" w:cs="Arial"/>
          <w:sz w:val="20"/>
          <w:szCs w:val="20"/>
        </w:rPr>
      </w:pPr>
    </w:p>
    <w:p w14:paraId="53E9BD3D" w14:textId="07951CD7" w:rsidR="00D964AC" w:rsidRPr="00C15731" w:rsidRDefault="00D964AC" w:rsidP="00D964AC">
      <w:pPr>
        <w:spacing w:after="0" w:line="240" w:lineRule="auto"/>
        <w:jc w:val="both"/>
        <w:rPr>
          <w:rFonts w:ascii="Arial" w:eastAsia="Calibri" w:hAnsi="Arial" w:cs="Arial"/>
          <w:sz w:val="20"/>
          <w:szCs w:val="20"/>
        </w:rPr>
      </w:pPr>
      <w:r w:rsidRPr="00C15731">
        <w:rPr>
          <w:rFonts w:ascii="Arial" w:eastAsia="Calibri" w:hAnsi="Arial" w:cs="Arial"/>
          <w:sz w:val="20"/>
          <w:szCs w:val="20"/>
        </w:rPr>
        <w:t xml:space="preserve">Ukupni rashodi za zaposlene (31) ustanove Muzeji i galerije Konavala na svim aktivnostima (A203101 redovna djelatnost i </w:t>
      </w:r>
      <w:r w:rsidR="00BC7294" w:rsidRPr="00C15731">
        <w:rPr>
          <w:rFonts w:ascii="Arial" w:eastAsia="Calibri" w:hAnsi="Arial" w:cs="Arial"/>
          <w:sz w:val="20"/>
          <w:szCs w:val="20"/>
        </w:rPr>
        <w:t>a</w:t>
      </w:r>
      <w:r w:rsidRPr="00C15731">
        <w:rPr>
          <w:rFonts w:ascii="Arial" w:eastAsia="Calibri" w:hAnsi="Arial" w:cs="Arial"/>
          <w:sz w:val="20"/>
          <w:szCs w:val="20"/>
        </w:rPr>
        <w:t xml:space="preserve">ktivnosti financiranoj vlastitim sredstvima A203111) iznose </w:t>
      </w:r>
      <w:r w:rsidR="00823002">
        <w:rPr>
          <w:rFonts w:ascii="Arial" w:eastAsia="Calibri" w:hAnsi="Arial" w:cs="Arial"/>
          <w:sz w:val="20"/>
          <w:szCs w:val="20"/>
        </w:rPr>
        <w:t>204.732,78</w:t>
      </w:r>
      <w:r w:rsidRPr="00C15731">
        <w:rPr>
          <w:rFonts w:ascii="Arial" w:eastAsia="Calibri" w:hAnsi="Arial" w:cs="Arial"/>
          <w:sz w:val="20"/>
          <w:szCs w:val="20"/>
        </w:rPr>
        <w:t xml:space="preserve"> € ili </w:t>
      </w:r>
      <w:r w:rsidR="009D074C">
        <w:rPr>
          <w:rFonts w:ascii="Arial" w:eastAsia="Calibri" w:hAnsi="Arial" w:cs="Arial"/>
          <w:sz w:val="20"/>
          <w:szCs w:val="20"/>
        </w:rPr>
        <w:t>2</w:t>
      </w:r>
      <w:r w:rsidR="00651D6F">
        <w:rPr>
          <w:rFonts w:ascii="Arial" w:eastAsia="Calibri" w:hAnsi="Arial" w:cs="Arial"/>
          <w:sz w:val="20"/>
          <w:szCs w:val="20"/>
        </w:rPr>
        <w:t>,05</w:t>
      </w:r>
      <w:r w:rsidRPr="00C15731">
        <w:rPr>
          <w:rFonts w:ascii="Arial" w:eastAsia="Calibri" w:hAnsi="Arial" w:cs="Arial"/>
          <w:sz w:val="20"/>
          <w:szCs w:val="20"/>
        </w:rPr>
        <w:t xml:space="preserve">% ukupnih rashoda Proračuna (rashodi poslovanja „3“ i rashodi za nabavu nefinancijske imovine „4“) odnosno </w:t>
      </w:r>
      <w:r w:rsidR="00651D6F">
        <w:rPr>
          <w:rFonts w:ascii="Arial" w:eastAsia="Calibri" w:hAnsi="Arial" w:cs="Arial"/>
          <w:sz w:val="20"/>
          <w:szCs w:val="20"/>
        </w:rPr>
        <w:t>2,07</w:t>
      </w:r>
      <w:r w:rsidRPr="00C15731">
        <w:rPr>
          <w:rFonts w:ascii="Arial" w:eastAsia="Calibri" w:hAnsi="Arial" w:cs="Arial"/>
          <w:sz w:val="20"/>
          <w:szCs w:val="20"/>
        </w:rPr>
        <w:t>% ukupnih rashod</w:t>
      </w:r>
      <w:r w:rsidR="000E44C6" w:rsidRPr="00C15731">
        <w:rPr>
          <w:rFonts w:ascii="Arial" w:eastAsia="Calibri" w:hAnsi="Arial" w:cs="Arial"/>
          <w:sz w:val="20"/>
          <w:szCs w:val="20"/>
        </w:rPr>
        <w:t>a</w:t>
      </w:r>
      <w:r w:rsidRPr="00C15731">
        <w:rPr>
          <w:rFonts w:ascii="Arial" w:eastAsia="Calibri" w:hAnsi="Arial" w:cs="Arial"/>
          <w:sz w:val="20"/>
          <w:szCs w:val="20"/>
        </w:rPr>
        <w:t xml:space="preserve"> i izdataka Proračuna (rashodi poslovanja „3“ i rashodi za nabavu nefinancijske imovine „4“ uvećani za izdatke za financijsku imovinu i otplate zajmova“5“).</w:t>
      </w:r>
      <w:r w:rsidR="000E44C6" w:rsidRPr="00C15731">
        <w:rPr>
          <w:rFonts w:ascii="Arial" w:eastAsia="Calibri" w:hAnsi="Arial" w:cs="Arial"/>
          <w:sz w:val="20"/>
          <w:szCs w:val="20"/>
        </w:rPr>
        <w:t xml:space="preserve"> </w:t>
      </w:r>
    </w:p>
    <w:p w14:paraId="70DF2A17" w14:textId="77777777" w:rsidR="00B03010" w:rsidRPr="00C15731" w:rsidRDefault="00B03010" w:rsidP="00B03010">
      <w:pPr>
        <w:spacing w:after="0" w:line="240" w:lineRule="auto"/>
        <w:jc w:val="both"/>
        <w:rPr>
          <w:rFonts w:ascii="Arial" w:eastAsia="Calibri" w:hAnsi="Arial" w:cs="Arial"/>
          <w:sz w:val="20"/>
          <w:szCs w:val="20"/>
        </w:rPr>
      </w:pPr>
    </w:p>
    <w:p w14:paraId="4E2984E4" w14:textId="7D8F2F5F" w:rsidR="00B03010" w:rsidRPr="0078123D" w:rsidRDefault="00B03010" w:rsidP="00B03010">
      <w:pPr>
        <w:spacing w:after="0" w:line="240" w:lineRule="auto"/>
        <w:jc w:val="both"/>
        <w:rPr>
          <w:rFonts w:ascii="Arial" w:eastAsia="Calibri" w:hAnsi="Arial" w:cs="Arial"/>
          <w:sz w:val="20"/>
          <w:szCs w:val="20"/>
        </w:rPr>
      </w:pPr>
      <w:r w:rsidRPr="00C15731">
        <w:rPr>
          <w:rFonts w:ascii="Arial" w:eastAsia="Calibri" w:hAnsi="Arial" w:cs="Arial"/>
          <w:sz w:val="20"/>
          <w:szCs w:val="20"/>
        </w:rPr>
        <w:t xml:space="preserve">Ukupni rashodi za zaposlene (31) ustanove Muzeji i galerije Konavala na svim aktivnostima (A203101 redovna djelatnost i aktivnosti financiranoj vlastitim sredstvima </w:t>
      </w:r>
      <w:r w:rsidRPr="0078123D">
        <w:rPr>
          <w:rFonts w:ascii="Arial" w:eastAsia="Calibri" w:hAnsi="Arial" w:cs="Arial"/>
          <w:sz w:val="20"/>
          <w:szCs w:val="20"/>
        </w:rPr>
        <w:t xml:space="preserve">A203111) </w:t>
      </w:r>
      <w:r w:rsidR="000E44C6" w:rsidRPr="0078123D">
        <w:rPr>
          <w:rFonts w:ascii="Arial" w:eastAsia="Calibri" w:hAnsi="Arial" w:cs="Arial"/>
          <w:sz w:val="20"/>
          <w:szCs w:val="20"/>
        </w:rPr>
        <w:t xml:space="preserve">u iznosu </w:t>
      </w:r>
      <w:r w:rsidR="0020163C">
        <w:rPr>
          <w:rFonts w:ascii="Arial" w:eastAsia="Calibri" w:hAnsi="Arial" w:cs="Arial"/>
          <w:sz w:val="20"/>
          <w:szCs w:val="20"/>
        </w:rPr>
        <w:t xml:space="preserve">204.732,78 </w:t>
      </w:r>
      <w:r w:rsidR="000E44C6" w:rsidRPr="0078123D">
        <w:rPr>
          <w:rFonts w:ascii="Arial" w:eastAsia="Calibri" w:hAnsi="Arial" w:cs="Arial"/>
          <w:sz w:val="20"/>
          <w:szCs w:val="20"/>
        </w:rPr>
        <w:t>€ čine</w:t>
      </w:r>
      <w:r w:rsidRPr="0078123D">
        <w:rPr>
          <w:rFonts w:ascii="Arial" w:eastAsia="Calibri" w:hAnsi="Arial" w:cs="Arial"/>
          <w:sz w:val="20"/>
          <w:szCs w:val="20"/>
        </w:rPr>
        <w:t xml:space="preserve"> </w:t>
      </w:r>
      <w:r w:rsidR="0020163C">
        <w:rPr>
          <w:rFonts w:ascii="Arial" w:eastAsia="Calibri" w:hAnsi="Arial" w:cs="Arial"/>
          <w:sz w:val="20"/>
          <w:szCs w:val="20"/>
        </w:rPr>
        <w:t>66,6</w:t>
      </w:r>
      <w:r w:rsidRPr="0078123D">
        <w:rPr>
          <w:rFonts w:ascii="Arial" w:eastAsia="Calibri" w:hAnsi="Arial" w:cs="Arial"/>
          <w:sz w:val="20"/>
          <w:szCs w:val="20"/>
        </w:rPr>
        <w:t xml:space="preserve">% ukupnih rashoda proračunskog korisnika, </w:t>
      </w:r>
      <w:r w:rsidR="00D964AC" w:rsidRPr="0078123D">
        <w:rPr>
          <w:rFonts w:ascii="Arial" w:eastAsia="Calibri" w:hAnsi="Arial" w:cs="Arial"/>
          <w:sz w:val="20"/>
          <w:szCs w:val="20"/>
        </w:rPr>
        <w:t xml:space="preserve">odnosno uvećano za rashode za prijevoz na posao i s posla čini </w:t>
      </w:r>
      <w:r w:rsidR="00941355">
        <w:rPr>
          <w:rFonts w:ascii="Arial" w:eastAsia="Calibri" w:hAnsi="Arial" w:cs="Arial"/>
          <w:sz w:val="20"/>
          <w:szCs w:val="20"/>
        </w:rPr>
        <w:t>69,7</w:t>
      </w:r>
      <w:r w:rsidR="002345D8" w:rsidRPr="0078123D">
        <w:rPr>
          <w:rFonts w:ascii="Arial" w:eastAsia="Calibri" w:hAnsi="Arial" w:cs="Arial"/>
          <w:sz w:val="20"/>
          <w:szCs w:val="20"/>
        </w:rPr>
        <w:t>% ukupnih rashoda ustanove.</w:t>
      </w:r>
    </w:p>
    <w:p w14:paraId="37D15586" w14:textId="77777777" w:rsidR="00B03010" w:rsidRPr="0078123D" w:rsidRDefault="00B03010" w:rsidP="00B03010">
      <w:pPr>
        <w:spacing w:after="0" w:line="240" w:lineRule="auto"/>
        <w:jc w:val="both"/>
        <w:rPr>
          <w:rFonts w:ascii="Arial" w:eastAsia="Calibri" w:hAnsi="Arial" w:cs="Arial"/>
          <w:sz w:val="20"/>
          <w:szCs w:val="20"/>
        </w:rPr>
      </w:pPr>
    </w:p>
    <w:p w14:paraId="08F7A394" w14:textId="12B5BC0C" w:rsidR="00F05A52" w:rsidRPr="0078123D" w:rsidRDefault="00941355" w:rsidP="00F05A52">
      <w:pPr>
        <w:autoSpaceDE w:val="0"/>
        <w:autoSpaceDN w:val="0"/>
        <w:adjustRightInd w:val="0"/>
        <w:spacing w:after="0" w:line="240" w:lineRule="auto"/>
        <w:jc w:val="both"/>
        <w:rPr>
          <w:rFonts w:ascii="Arial" w:eastAsia="Calibri" w:hAnsi="Arial" w:cs="Arial"/>
          <w:sz w:val="20"/>
          <w:szCs w:val="20"/>
        </w:rPr>
      </w:pPr>
      <w:r w:rsidRPr="00941355">
        <w:rPr>
          <w:rFonts w:ascii="Arial" w:eastAsia="Calibri" w:hAnsi="Arial" w:cs="Arial"/>
          <w:sz w:val="20"/>
          <w:szCs w:val="20"/>
        </w:rPr>
        <w:t>Zaposlenicima se obračunava i isplaćuje plaća prema koeficijentima Muzeja i galerija Konavala za pripadajuća radna mjesta, a prema važećem Pravilniku o unutarnjem ustroju i načinu rada Muzeja i galerija Konavala. Uz plaću i pripadajuće doprinose isplaćuje se naknada za prijevoz u visini cijene pokazne karte prema pravilniku Muzeja i galerija Konavala.</w:t>
      </w:r>
    </w:p>
    <w:p w14:paraId="4335D8F1" w14:textId="49DB33CD" w:rsidR="0024743F" w:rsidRPr="0024743F" w:rsidRDefault="0024743F" w:rsidP="0024743F">
      <w:pPr>
        <w:autoSpaceDE w:val="0"/>
        <w:autoSpaceDN w:val="0"/>
        <w:adjustRightInd w:val="0"/>
        <w:spacing w:after="0" w:line="240" w:lineRule="auto"/>
        <w:jc w:val="both"/>
        <w:rPr>
          <w:rFonts w:ascii="Arial" w:eastAsia="Calibri" w:hAnsi="Arial" w:cs="Arial"/>
          <w:sz w:val="20"/>
          <w:szCs w:val="20"/>
        </w:rPr>
      </w:pPr>
      <w:bookmarkStart w:id="348" w:name="_Hlk64547285"/>
      <w:r w:rsidRPr="0024743F">
        <w:rPr>
          <w:rFonts w:ascii="Arial" w:eastAsia="Calibri" w:hAnsi="Arial" w:cs="Arial"/>
          <w:sz w:val="20"/>
          <w:szCs w:val="20"/>
        </w:rPr>
        <w:lastRenderedPageBreak/>
        <w:t xml:space="preserve">U okviru aktivnosti A203101 izvršeni su rashodi za plaće (31) u iznosu od 192.722,87 </w:t>
      </w:r>
      <w:r>
        <w:rPr>
          <w:rFonts w:ascii="Arial" w:eastAsia="Calibri" w:hAnsi="Arial" w:cs="Arial"/>
          <w:sz w:val="20"/>
          <w:szCs w:val="20"/>
        </w:rPr>
        <w:t>€</w:t>
      </w:r>
      <w:r w:rsidRPr="0024743F">
        <w:rPr>
          <w:rFonts w:ascii="Arial" w:eastAsia="Calibri" w:hAnsi="Arial" w:cs="Arial"/>
          <w:sz w:val="20"/>
          <w:szCs w:val="20"/>
        </w:rPr>
        <w:t xml:space="preserve"> (bruto plaće 158.404,86 </w:t>
      </w:r>
      <w:r>
        <w:rPr>
          <w:rFonts w:ascii="Arial" w:eastAsia="Calibri" w:hAnsi="Arial" w:cs="Arial"/>
          <w:sz w:val="20"/>
          <w:szCs w:val="20"/>
        </w:rPr>
        <w:t>€</w:t>
      </w:r>
      <w:r w:rsidRPr="0024743F">
        <w:rPr>
          <w:rFonts w:ascii="Arial" w:eastAsia="Calibri" w:hAnsi="Arial" w:cs="Arial"/>
          <w:sz w:val="20"/>
          <w:szCs w:val="20"/>
        </w:rPr>
        <w:t xml:space="preserve">, doprinosi na plaće 26.018,01 </w:t>
      </w:r>
      <w:r>
        <w:rPr>
          <w:rFonts w:ascii="Arial" w:eastAsia="Calibri" w:hAnsi="Arial" w:cs="Arial"/>
          <w:sz w:val="20"/>
          <w:szCs w:val="20"/>
        </w:rPr>
        <w:t>€</w:t>
      </w:r>
      <w:r w:rsidRPr="0024743F">
        <w:rPr>
          <w:rFonts w:ascii="Arial" w:eastAsia="Calibri" w:hAnsi="Arial" w:cs="Arial"/>
          <w:sz w:val="20"/>
          <w:szCs w:val="20"/>
        </w:rPr>
        <w:t xml:space="preserve">), ostali rashodi za zaposlene 8.300,00 </w:t>
      </w:r>
      <w:r>
        <w:rPr>
          <w:rFonts w:ascii="Arial" w:eastAsia="Calibri" w:hAnsi="Arial" w:cs="Arial"/>
          <w:sz w:val="20"/>
          <w:szCs w:val="20"/>
        </w:rPr>
        <w:t>€</w:t>
      </w:r>
      <w:r w:rsidRPr="0024743F">
        <w:rPr>
          <w:rFonts w:ascii="Arial" w:eastAsia="Calibri" w:hAnsi="Arial" w:cs="Arial"/>
          <w:sz w:val="20"/>
          <w:szCs w:val="20"/>
        </w:rPr>
        <w:t xml:space="preserve"> za isplatu toplog obroka i uskrsnice, zatim (321) naknade troškova zaposlenima za troškove prijevoza na posao, edukacije i troškova službenih putovanja iznose 7.921,73  </w:t>
      </w:r>
      <w:r>
        <w:rPr>
          <w:rFonts w:ascii="Arial" w:eastAsia="Calibri" w:hAnsi="Arial" w:cs="Arial"/>
          <w:sz w:val="20"/>
          <w:szCs w:val="20"/>
        </w:rPr>
        <w:t>€</w:t>
      </w:r>
      <w:r w:rsidRPr="0024743F">
        <w:rPr>
          <w:rFonts w:ascii="Arial" w:eastAsia="Calibri" w:hAnsi="Arial" w:cs="Arial"/>
          <w:sz w:val="20"/>
          <w:szCs w:val="20"/>
        </w:rPr>
        <w:t xml:space="preserve">, rashodi za materijal i energiju (322) u iznosu 7.530,87 </w:t>
      </w:r>
      <w:r>
        <w:rPr>
          <w:rFonts w:ascii="Arial" w:eastAsia="Calibri" w:hAnsi="Arial" w:cs="Arial"/>
          <w:sz w:val="20"/>
          <w:szCs w:val="20"/>
        </w:rPr>
        <w:t>€</w:t>
      </w:r>
      <w:r w:rsidRPr="0024743F">
        <w:rPr>
          <w:rFonts w:ascii="Arial" w:eastAsia="Calibri" w:hAnsi="Arial" w:cs="Arial"/>
          <w:sz w:val="20"/>
          <w:szCs w:val="20"/>
        </w:rPr>
        <w:t xml:space="preserve"> (troškovi električne energije u Kući Bukovac, Zavičajnom muzeju Konavala i Odjelu arheologije u Pridvorju iznose 5.085,65 </w:t>
      </w:r>
      <w:r>
        <w:rPr>
          <w:rFonts w:ascii="Arial" w:eastAsia="Calibri" w:hAnsi="Arial" w:cs="Arial"/>
          <w:sz w:val="20"/>
          <w:szCs w:val="20"/>
        </w:rPr>
        <w:t>€</w:t>
      </w:r>
      <w:r w:rsidRPr="0024743F">
        <w:rPr>
          <w:rFonts w:ascii="Arial" w:eastAsia="Calibri" w:hAnsi="Arial" w:cs="Arial"/>
          <w:sz w:val="20"/>
          <w:szCs w:val="20"/>
        </w:rPr>
        <w:t xml:space="preserve">, te uredski materijal i drugi materijalni rashodi iznose 2.445,22 </w:t>
      </w:r>
      <w:r>
        <w:rPr>
          <w:rFonts w:ascii="Arial" w:eastAsia="Calibri" w:hAnsi="Arial" w:cs="Arial"/>
          <w:sz w:val="20"/>
          <w:szCs w:val="20"/>
        </w:rPr>
        <w:t>€</w:t>
      </w:r>
      <w:r w:rsidRPr="0024743F">
        <w:rPr>
          <w:rFonts w:ascii="Arial" w:eastAsia="Calibri" w:hAnsi="Arial" w:cs="Arial"/>
          <w:sz w:val="20"/>
          <w:szCs w:val="20"/>
        </w:rPr>
        <w:t xml:space="preserve">, sitni inventar 0 </w:t>
      </w:r>
      <w:r>
        <w:rPr>
          <w:rFonts w:ascii="Arial" w:eastAsia="Calibri" w:hAnsi="Arial" w:cs="Arial"/>
          <w:sz w:val="20"/>
          <w:szCs w:val="20"/>
        </w:rPr>
        <w:t>€</w:t>
      </w:r>
      <w:r w:rsidRPr="0024743F">
        <w:rPr>
          <w:rFonts w:ascii="Arial" w:eastAsia="Calibri" w:hAnsi="Arial" w:cs="Arial"/>
          <w:sz w:val="20"/>
          <w:szCs w:val="20"/>
        </w:rPr>
        <w:t xml:space="preserve">), rashodi za usluge (323) u iznosu 22.840,19 </w:t>
      </w:r>
      <w:r w:rsidR="00BE3C30">
        <w:rPr>
          <w:rFonts w:ascii="Arial" w:eastAsia="Calibri" w:hAnsi="Arial" w:cs="Arial"/>
          <w:sz w:val="20"/>
          <w:szCs w:val="20"/>
        </w:rPr>
        <w:t>€</w:t>
      </w:r>
      <w:r w:rsidRPr="0024743F">
        <w:rPr>
          <w:rFonts w:ascii="Arial" w:eastAsia="Calibri" w:hAnsi="Arial" w:cs="Arial"/>
          <w:sz w:val="20"/>
          <w:szCs w:val="20"/>
        </w:rPr>
        <w:t xml:space="preserve">, (zaštitarske usluge 9.549,03 </w:t>
      </w:r>
      <w:r w:rsidR="00BE3C30">
        <w:rPr>
          <w:rFonts w:ascii="Arial" w:eastAsia="Calibri" w:hAnsi="Arial" w:cs="Arial"/>
          <w:sz w:val="20"/>
          <w:szCs w:val="20"/>
        </w:rPr>
        <w:t>€</w:t>
      </w:r>
      <w:r w:rsidRPr="0024743F">
        <w:rPr>
          <w:rFonts w:ascii="Arial" w:eastAsia="Calibri" w:hAnsi="Arial" w:cs="Arial"/>
          <w:sz w:val="20"/>
          <w:szCs w:val="20"/>
        </w:rPr>
        <w:t xml:space="preserve">, usluge pošte, telefona 4.243,08 </w:t>
      </w:r>
      <w:r w:rsidR="00BE3C30">
        <w:rPr>
          <w:rFonts w:ascii="Arial" w:eastAsia="Calibri" w:hAnsi="Arial" w:cs="Arial"/>
          <w:sz w:val="20"/>
          <w:szCs w:val="20"/>
        </w:rPr>
        <w:t>€</w:t>
      </w:r>
      <w:r w:rsidRPr="0024743F">
        <w:rPr>
          <w:rFonts w:ascii="Arial" w:eastAsia="Calibri" w:hAnsi="Arial" w:cs="Arial"/>
          <w:sz w:val="20"/>
          <w:szCs w:val="20"/>
        </w:rPr>
        <w:t xml:space="preserve">, usluge tekućeg i investicijskog održavanja objekata i računalne opreme i programskih rješenja 6.241,49 </w:t>
      </w:r>
      <w:r>
        <w:rPr>
          <w:rFonts w:ascii="Arial" w:eastAsia="Calibri" w:hAnsi="Arial" w:cs="Arial"/>
          <w:sz w:val="20"/>
          <w:szCs w:val="20"/>
        </w:rPr>
        <w:t>€</w:t>
      </w:r>
      <w:r w:rsidRPr="0024743F">
        <w:rPr>
          <w:rFonts w:ascii="Arial" w:eastAsia="Calibri" w:hAnsi="Arial" w:cs="Arial"/>
          <w:sz w:val="20"/>
          <w:szCs w:val="20"/>
        </w:rPr>
        <w:t xml:space="preserve">, usluge promidžbe i informiranja 1.731,65 </w:t>
      </w:r>
      <w:r>
        <w:rPr>
          <w:rFonts w:ascii="Arial" w:eastAsia="Calibri" w:hAnsi="Arial" w:cs="Arial"/>
          <w:sz w:val="20"/>
          <w:szCs w:val="20"/>
        </w:rPr>
        <w:t>€</w:t>
      </w:r>
      <w:r w:rsidRPr="0024743F">
        <w:rPr>
          <w:rFonts w:ascii="Arial" w:eastAsia="Calibri" w:hAnsi="Arial" w:cs="Arial"/>
          <w:sz w:val="20"/>
          <w:szCs w:val="20"/>
        </w:rPr>
        <w:t xml:space="preserve">, zdravstvene usluge 0, komunalne usluge 607,44 </w:t>
      </w:r>
      <w:r>
        <w:rPr>
          <w:rFonts w:ascii="Arial" w:eastAsia="Calibri" w:hAnsi="Arial" w:cs="Arial"/>
          <w:sz w:val="20"/>
          <w:szCs w:val="20"/>
        </w:rPr>
        <w:t>€</w:t>
      </w:r>
      <w:r w:rsidRPr="0024743F">
        <w:rPr>
          <w:rFonts w:ascii="Arial" w:eastAsia="Calibri" w:hAnsi="Arial" w:cs="Arial"/>
          <w:sz w:val="20"/>
          <w:szCs w:val="20"/>
        </w:rPr>
        <w:t xml:space="preserve">, te druge usluge 470,50 </w:t>
      </w:r>
      <w:r>
        <w:rPr>
          <w:rFonts w:ascii="Arial" w:eastAsia="Calibri" w:hAnsi="Arial" w:cs="Arial"/>
          <w:sz w:val="20"/>
          <w:szCs w:val="20"/>
        </w:rPr>
        <w:t>€</w:t>
      </w:r>
      <w:r w:rsidRPr="0024743F">
        <w:rPr>
          <w:rFonts w:ascii="Arial" w:eastAsia="Calibri" w:hAnsi="Arial" w:cs="Arial"/>
          <w:sz w:val="20"/>
          <w:szCs w:val="20"/>
        </w:rPr>
        <w:t xml:space="preserve">), ostali nespomenuti rashodi poslovanja (329) u iznosu 2.050,87 </w:t>
      </w:r>
      <w:r>
        <w:rPr>
          <w:rFonts w:ascii="Arial" w:eastAsia="Calibri" w:hAnsi="Arial" w:cs="Arial"/>
          <w:sz w:val="20"/>
          <w:szCs w:val="20"/>
        </w:rPr>
        <w:t>€</w:t>
      </w:r>
      <w:r w:rsidRPr="0024743F">
        <w:rPr>
          <w:rFonts w:ascii="Arial" w:eastAsia="Calibri" w:hAnsi="Arial" w:cs="Arial"/>
          <w:sz w:val="20"/>
          <w:szCs w:val="20"/>
        </w:rPr>
        <w:t xml:space="preserve"> što se odnosi na premije osiguranja i reprezentaciju te financijske rashode (343) u iznosu 55,55 </w:t>
      </w:r>
      <w:r>
        <w:rPr>
          <w:rFonts w:ascii="Arial" w:eastAsia="Calibri" w:hAnsi="Arial" w:cs="Arial"/>
          <w:sz w:val="20"/>
          <w:szCs w:val="20"/>
        </w:rPr>
        <w:t>€</w:t>
      </w:r>
      <w:r w:rsidRPr="0024743F">
        <w:rPr>
          <w:rFonts w:ascii="Arial" w:eastAsia="Calibri" w:hAnsi="Arial" w:cs="Arial"/>
          <w:sz w:val="20"/>
          <w:szCs w:val="20"/>
        </w:rPr>
        <w:t xml:space="preserve"> što se odnosi na bankovne naknade te rashode za nabavu opreme (422) u iznosu od 120,00 </w:t>
      </w:r>
      <w:r>
        <w:rPr>
          <w:rFonts w:ascii="Arial" w:eastAsia="Calibri" w:hAnsi="Arial" w:cs="Arial"/>
          <w:sz w:val="20"/>
          <w:szCs w:val="20"/>
        </w:rPr>
        <w:t>€.</w:t>
      </w:r>
      <w:r w:rsidRPr="0024743F">
        <w:rPr>
          <w:rFonts w:ascii="Arial" w:eastAsia="Calibri" w:hAnsi="Arial" w:cs="Arial"/>
          <w:sz w:val="20"/>
          <w:szCs w:val="20"/>
        </w:rPr>
        <w:t xml:space="preserve"> </w:t>
      </w:r>
    </w:p>
    <w:p w14:paraId="3204567B" w14:textId="77777777" w:rsidR="0024743F" w:rsidRDefault="0024743F" w:rsidP="0024743F">
      <w:pPr>
        <w:autoSpaceDE w:val="0"/>
        <w:autoSpaceDN w:val="0"/>
        <w:adjustRightInd w:val="0"/>
        <w:spacing w:after="0" w:line="240" w:lineRule="auto"/>
        <w:jc w:val="both"/>
        <w:rPr>
          <w:rFonts w:ascii="Arial" w:eastAsia="Calibri" w:hAnsi="Arial" w:cs="Arial"/>
          <w:sz w:val="20"/>
          <w:szCs w:val="20"/>
        </w:rPr>
      </w:pPr>
    </w:p>
    <w:p w14:paraId="6BD6A0A5" w14:textId="0F044629" w:rsidR="0078123D" w:rsidRDefault="0024743F" w:rsidP="0024743F">
      <w:pPr>
        <w:autoSpaceDE w:val="0"/>
        <w:autoSpaceDN w:val="0"/>
        <w:adjustRightInd w:val="0"/>
        <w:spacing w:after="0" w:line="240" w:lineRule="auto"/>
        <w:jc w:val="both"/>
        <w:rPr>
          <w:rFonts w:ascii="Arial" w:eastAsia="Calibri" w:hAnsi="Arial" w:cs="Arial"/>
          <w:sz w:val="20"/>
          <w:szCs w:val="20"/>
        </w:rPr>
      </w:pPr>
      <w:r w:rsidRPr="0024743F">
        <w:rPr>
          <w:rFonts w:ascii="Arial" w:eastAsia="Calibri" w:hAnsi="Arial" w:cs="Arial"/>
          <w:sz w:val="20"/>
          <w:szCs w:val="20"/>
        </w:rPr>
        <w:t>Muzeji i galerije Konavala posluju u svoje četiri jedinice: Zavičajni muzej Konavala, Čilipi; Kuća Bukovac, Cavtat; Odjel za arheologiju i spomeničku baštinu, Pridvorje, Odjel općih poslova, Gruda za koje se iskazuju rashodi za troškove električne energije, tekuće održavanje, komunalne naknade, premije osiguranja, troškovi održavanja sustava video nadzora i vatrodojave, troškove tehničke i integralne zaštite objekata.</w:t>
      </w:r>
    </w:p>
    <w:p w14:paraId="0B9284FB" w14:textId="77777777" w:rsidR="0024743F" w:rsidRPr="00F43FC2" w:rsidRDefault="0024743F" w:rsidP="0024743F">
      <w:pPr>
        <w:autoSpaceDE w:val="0"/>
        <w:autoSpaceDN w:val="0"/>
        <w:adjustRightInd w:val="0"/>
        <w:spacing w:after="0" w:line="240" w:lineRule="auto"/>
        <w:jc w:val="both"/>
        <w:rPr>
          <w:rFonts w:ascii="Arial" w:eastAsia="Calibri" w:hAnsi="Arial" w:cs="Arial"/>
          <w:sz w:val="20"/>
          <w:szCs w:val="20"/>
        </w:rPr>
      </w:pPr>
    </w:p>
    <w:tbl>
      <w:tblPr>
        <w:tblStyle w:val="Reetkatablice536"/>
        <w:tblW w:w="13067" w:type="dxa"/>
        <w:jc w:val="center"/>
        <w:tblLayout w:type="fixed"/>
        <w:tblLook w:val="04A0" w:firstRow="1" w:lastRow="0" w:firstColumn="1" w:lastColumn="0" w:noHBand="0" w:noVBand="1"/>
      </w:tblPr>
      <w:tblGrid>
        <w:gridCol w:w="3403"/>
        <w:gridCol w:w="2727"/>
        <w:gridCol w:w="983"/>
        <w:gridCol w:w="993"/>
        <w:gridCol w:w="992"/>
        <w:gridCol w:w="992"/>
        <w:gridCol w:w="992"/>
        <w:gridCol w:w="992"/>
        <w:gridCol w:w="993"/>
      </w:tblGrid>
      <w:tr w:rsidR="0078123D" w:rsidRPr="0088195A" w14:paraId="6EDD2EC8" w14:textId="77777777" w:rsidTr="00EA587B">
        <w:trPr>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DDD38D" w14:textId="77777777" w:rsidR="0078123D" w:rsidRPr="0088195A" w:rsidRDefault="0078123D" w:rsidP="00C83EE8">
            <w:pPr>
              <w:rPr>
                <w:rFonts w:ascii="Arial" w:eastAsia="Calibri" w:hAnsi="Arial" w:cs="Arial"/>
                <w:sz w:val="18"/>
                <w:szCs w:val="18"/>
              </w:rPr>
            </w:pPr>
            <w:r w:rsidRPr="0088195A">
              <w:rPr>
                <w:rFonts w:ascii="Arial" w:eastAsia="Calibri" w:hAnsi="Arial" w:cs="Arial"/>
                <w:sz w:val="18"/>
                <w:szCs w:val="18"/>
              </w:rPr>
              <w:t>Pokazatelj uspješnosti</w:t>
            </w:r>
          </w:p>
        </w:tc>
        <w:tc>
          <w:tcPr>
            <w:tcW w:w="27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099A92" w14:textId="77777777" w:rsidR="0078123D" w:rsidRPr="0088195A" w:rsidRDefault="0078123D" w:rsidP="00C83EE8">
            <w:pPr>
              <w:rPr>
                <w:rFonts w:ascii="Arial" w:eastAsia="Calibri" w:hAnsi="Arial" w:cs="Arial"/>
                <w:sz w:val="18"/>
                <w:szCs w:val="18"/>
              </w:rPr>
            </w:pPr>
            <w:r w:rsidRPr="0088195A">
              <w:rPr>
                <w:rFonts w:ascii="Arial" w:eastAsia="Calibri" w:hAnsi="Arial" w:cs="Arial"/>
                <w:sz w:val="18"/>
                <w:szCs w:val="18"/>
              </w:rPr>
              <w:t>Definicija</w:t>
            </w:r>
          </w:p>
        </w:tc>
        <w:tc>
          <w:tcPr>
            <w:tcW w:w="98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7B9E6A" w14:textId="77777777" w:rsidR="0078123D" w:rsidRPr="0088195A" w:rsidRDefault="0078123D" w:rsidP="00C83EE8">
            <w:pPr>
              <w:rPr>
                <w:rFonts w:ascii="Arial" w:eastAsia="Calibri" w:hAnsi="Arial" w:cs="Arial"/>
                <w:sz w:val="18"/>
                <w:szCs w:val="18"/>
              </w:rPr>
            </w:pPr>
            <w:r w:rsidRPr="0088195A">
              <w:rPr>
                <w:rFonts w:ascii="Arial" w:eastAsia="Calibri" w:hAnsi="Arial" w:cs="Arial"/>
                <w:sz w:val="18"/>
                <w:szCs w:val="18"/>
              </w:rPr>
              <w:t>Jedinica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793E5F" w14:textId="38D404D6" w:rsidR="0078123D" w:rsidRPr="0088195A" w:rsidRDefault="0078123D" w:rsidP="00C83EE8">
            <w:pPr>
              <w:rPr>
                <w:rFonts w:ascii="Arial" w:eastAsia="Calibri" w:hAnsi="Arial" w:cs="Arial"/>
                <w:sz w:val="18"/>
                <w:szCs w:val="18"/>
              </w:rPr>
            </w:pPr>
            <w:r w:rsidRPr="0088195A">
              <w:rPr>
                <w:rFonts w:ascii="Arial" w:eastAsia="Calibri" w:hAnsi="Arial" w:cs="Arial"/>
                <w:sz w:val="18"/>
                <w:szCs w:val="18"/>
              </w:rPr>
              <w:t>Polazna vrijednost 202</w:t>
            </w:r>
            <w:r w:rsidR="00971028">
              <w:rPr>
                <w:rFonts w:ascii="Arial" w:eastAsia="Calibri" w:hAnsi="Arial" w:cs="Arial"/>
                <w:sz w:val="18"/>
                <w:szCs w:val="18"/>
              </w:rPr>
              <w:t>4</w:t>
            </w:r>
            <w:r w:rsidRPr="0088195A">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14:paraId="365A91A3" w14:textId="77777777" w:rsidR="0078123D" w:rsidRPr="00613003" w:rsidRDefault="0078123D" w:rsidP="00C83EE8">
            <w:pPr>
              <w:rPr>
                <w:rFonts w:ascii="Arial" w:eastAsia="Calibri" w:hAnsi="Arial" w:cs="Arial"/>
                <w:sz w:val="18"/>
                <w:szCs w:val="18"/>
              </w:rPr>
            </w:pPr>
            <w:r w:rsidRPr="00613003">
              <w:rPr>
                <w:rFonts w:ascii="Arial" w:hAnsi="Arial" w:cs="Arial"/>
                <w:sz w:val="18"/>
                <w:szCs w:val="18"/>
              </w:rPr>
              <w:t>Izvor podataka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91ECDC" w14:textId="77777777" w:rsidR="0078123D" w:rsidRPr="0088195A" w:rsidRDefault="0078123D" w:rsidP="00C83EE8">
            <w:pPr>
              <w:rPr>
                <w:rFonts w:ascii="Arial" w:eastAsia="Calibri" w:hAnsi="Arial" w:cs="Arial"/>
                <w:sz w:val="18"/>
                <w:szCs w:val="18"/>
              </w:rPr>
            </w:pPr>
            <w:r w:rsidRPr="0088195A">
              <w:rPr>
                <w:rFonts w:ascii="Arial" w:eastAsia="Calibri" w:hAnsi="Arial" w:cs="Arial"/>
                <w:sz w:val="18"/>
                <w:szCs w:val="18"/>
              </w:rPr>
              <w:t>Ciljana vrijednost 202</w:t>
            </w:r>
            <w:r>
              <w:rPr>
                <w:rFonts w:ascii="Arial" w:eastAsia="Calibri" w:hAnsi="Arial" w:cs="Arial"/>
                <w:sz w:val="18"/>
                <w:szCs w:val="18"/>
              </w:rPr>
              <w:t>4</w:t>
            </w:r>
            <w:r w:rsidRPr="0088195A">
              <w:rPr>
                <w:rFonts w:ascii="Arial" w:eastAsia="Calibri" w:hAnsi="Arial" w:cs="Arial"/>
                <w:sz w:val="18"/>
                <w:szCs w:val="18"/>
              </w:rPr>
              <w:t>.</w:t>
            </w:r>
            <w:r>
              <w:rPr>
                <w:rFonts w:ascii="Arial" w:eastAsia="Calibri" w:hAnsi="Arial" w:cs="Arial"/>
                <w:sz w:val="18"/>
                <w:szCs w:val="18"/>
              </w:rPr>
              <w:t xml:space="preserve"> </w:t>
            </w:r>
            <w:r w:rsidRPr="0031229D">
              <w:rPr>
                <w:rFonts w:ascii="Arial" w:eastAsia="Calibri" w:hAnsi="Arial" w:cs="Arial"/>
                <w:b/>
                <w:bCs/>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389B2D" w14:textId="77777777" w:rsidR="0078123D" w:rsidRDefault="0078123D" w:rsidP="00C83EE8">
            <w:pPr>
              <w:rPr>
                <w:rFonts w:ascii="Arial" w:eastAsia="Calibri" w:hAnsi="Arial" w:cs="Arial"/>
                <w:sz w:val="18"/>
                <w:szCs w:val="18"/>
              </w:rPr>
            </w:pPr>
            <w:r>
              <w:rPr>
                <w:rFonts w:ascii="Arial" w:eastAsia="Calibri" w:hAnsi="Arial" w:cs="Arial"/>
                <w:sz w:val="18"/>
                <w:szCs w:val="18"/>
              </w:rPr>
              <w:t xml:space="preserve">Izvršeno </w:t>
            </w:r>
            <w:r w:rsidRPr="0088195A">
              <w:rPr>
                <w:rFonts w:ascii="Arial" w:eastAsia="Calibri" w:hAnsi="Arial" w:cs="Arial"/>
                <w:sz w:val="18"/>
                <w:szCs w:val="18"/>
              </w:rPr>
              <w:t xml:space="preserve"> </w:t>
            </w:r>
            <w:r>
              <w:rPr>
                <w:rFonts w:ascii="Arial" w:eastAsia="Calibri" w:hAnsi="Arial" w:cs="Arial"/>
                <w:sz w:val="18"/>
                <w:szCs w:val="18"/>
              </w:rPr>
              <w:t xml:space="preserve">     </w:t>
            </w:r>
          </w:p>
          <w:p w14:paraId="6EA5CC5C" w14:textId="60CD36CF" w:rsidR="0078123D" w:rsidRDefault="0078123D" w:rsidP="00C83EE8">
            <w:pPr>
              <w:rPr>
                <w:rFonts w:ascii="Arial" w:eastAsia="Calibri" w:hAnsi="Arial" w:cs="Arial"/>
                <w:sz w:val="18"/>
                <w:szCs w:val="18"/>
              </w:rPr>
            </w:pPr>
            <w:r w:rsidRPr="0088195A">
              <w:rPr>
                <w:rFonts w:ascii="Arial" w:eastAsia="Calibri" w:hAnsi="Arial" w:cs="Arial"/>
                <w:sz w:val="18"/>
                <w:szCs w:val="18"/>
              </w:rPr>
              <w:t>202</w:t>
            </w:r>
            <w:r w:rsidR="00971028">
              <w:rPr>
                <w:rFonts w:ascii="Arial" w:eastAsia="Calibri" w:hAnsi="Arial" w:cs="Arial"/>
                <w:sz w:val="18"/>
                <w:szCs w:val="18"/>
              </w:rPr>
              <w:t>5</w:t>
            </w:r>
            <w:r>
              <w:rPr>
                <w:rFonts w:ascii="Arial" w:eastAsia="Calibri" w:hAnsi="Arial" w:cs="Arial"/>
                <w:sz w:val="18"/>
                <w:szCs w:val="18"/>
              </w:rPr>
              <w:t xml:space="preserve">. </w:t>
            </w:r>
          </w:p>
          <w:p w14:paraId="699DDC68" w14:textId="77777777" w:rsidR="0078123D" w:rsidRPr="0088195A" w:rsidRDefault="0078123D" w:rsidP="00C83EE8">
            <w:pPr>
              <w:rPr>
                <w:rFonts w:ascii="Arial" w:eastAsia="Calibri"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1D6CB4" w14:textId="4A94091B" w:rsidR="0078123D" w:rsidRPr="0088195A" w:rsidRDefault="0078123D" w:rsidP="00C83EE8">
            <w:pPr>
              <w:rPr>
                <w:rFonts w:ascii="Arial" w:eastAsia="Calibri" w:hAnsi="Arial" w:cs="Arial"/>
                <w:sz w:val="18"/>
                <w:szCs w:val="18"/>
              </w:rPr>
            </w:pPr>
            <w:r w:rsidRPr="0088195A">
              <w:rPr>
                <w:rFonts w:ascii="Arial" w:eastAsia="Calibri" w:hAnsi="Arial" w:cs="Arial"/>
                <w:sz w:val="18"/>
                <w:szCs w:val="18"/>
              </w:rPr>
              <w:t>Ciljana vrijednost 202</w:t>
            </w:r>
            <w:r w:rsidR="00971028">
              <w:rPr>
                <w:rFonts w:ascii="Arial" w:eastAsia="Calibri" w:hAnsi="Arial" w:cs="Arial"/>
                <w:sz w:val="18"/>
                <w:szCs w:val="18"/>
              </w:rPr>
              <w:t>6</w:t>
            </w:r>
            <w:r w:rsidRPr="0088195A">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E016F2" w14:textId="006F27C5" w:rsidR="0078123D" w:rsidRPr="0088195A" w:rsidRDefault="0078123D" w:rsidP="00C83EE8">
            <w:pPr>
              <w:rPr>
                <w:rFonts w:ascii="Arial" w:eastAsia="Calibri" w:hAnsi="Arial" w:cs="Arial"/>
                <w:sz w:val="18"/>
                <w:szCs w:val="18"/>
              </w:rPr>
            </w:pPr>
            <w:r w:rsidRPr="0088195A">
              <w:rPr>
                <w:rFonts w:ascii="Arial" w:eastAsia="Calibri" w:hAnsi="Arial" w:cs="Arial"/>
                <w:sz w:val="18"/>
                <w:szCs w:val="18"/>
              </w:rPr>
              <w:t>Ciljana vrijednost 202</w:t>
            </w:r>
            <w:r w:rsidR="00971028">
              <w:rPr>
                <w:rFonts w:ascii="Arial" w:eastAsia="Calibri" w:hAnsi="Arial" w:cs="Arial"/>
                <w:sz w:val="18"/>
                <w:szCs w:val="18"/>
              </w:rPr>
              <w:t>7</w:t>
            </w:r>
            <w:r w:rsidRPr="0088195A">
              <w:rPr>
                <w:rFonts w:ascii="Arial" w:eastAsia="Calibri" w:hAnsi="Arial" w:cs="Arial"/>
                <w:sz w:val="18"/>
                <w:szCs w:val="18"/>
              </w:rPr>
              <w:t>.</w:t>
            </w:r>
          </w:p>
        </w:tc>
      </w:tr>
      <w:tr w:rsidR="0078123D" w:rsidRPr="0088195A" w14:paraId="4C7327FA" w14:textId="77777777" w:rsidTr="00EA587B">
        <w:trPr>
          <w:trHeight w:val="274"/>
          <w:jc w:val="center"/>
        </w:trPr>
        <w:tc>
          <w:tcPr>
            <w:tcW w:w="3403" w:type="dxa"/>
            <w:tcBorders>
              <w:top w:val="single" w:sz="4" w:space="0" w:color="auto"/>
              <w:left w:val="single" w:sz="4" w:space="0" w:color="auto"/>
              <w:bottom w:val="single" w:sz="4" w:space="0" w:color="auto"/>
              <w:right w:val="single" w:sz="4" w:space="0" w:color="auto"/>
            </w:tcBorders>
            <w:hideMark/>
          </w:tcPr>
          <w:p w14:paraId="3658ABF0" w14:textId="77777777" w:rsidR="0078123D" w:rsidRPr="0088195A" w:rsidRDefault="0078123D" w:rsidP="00C83EE8">
            <w:pPr>
              <w:rPr>
                <w:rFonts w:ascii="Arial" w:eastAsia="Calibri" w:hAnsi="Arial" w:cs="Arial"/>
                <w:sz w:val="18"/>
                <w:szCs w:val="18"/>
              </w:rPr>
            </w:pPr>
            <w:r w:rsidRPr="0088195A">
              <w:rPr>
                <w:rFonts w:ascii="Arial" w:eastAsia="Calibri" w:hAnsi="Arial" w:cs="Arial"/>
                <w:sz w:val="18"/>
                <w:szCs w:val="18"/>
              </w:rPr>
              <w:t>Izvršavanje poslova iz djelokruga rada, redovito podmirivanje obveza prema dobavljačima i zaposlenicima iz sredstava osnivača</w:t>
            </w:r>
          </w:p>
        </w:tc>
        <w:tc>
          <w:tcPr>
            <w:tcW w:w="2727" w:type="dxa"/>
            <w:tcBorders>
              <w:top w:val="single" w:sz="4" w:space="0" w:color="auto"/>
              <w:left w:val="single" w:sz="4" w:space="0" w:color="auto"/>
              <w:bottom w:val="single" w:sz="4" w:space="0" w:color="auto"/>
              <w:right w:val="single" w:sz="4" w:space="0" w:color="auto"/>
            </w:tcBorders>
            <w:hideMark/>
          </w:tcPr>
          <w:p w14:paraId="02C8E4A4" w14:textId="77777777" w:rsidR="0078123D" w:rsidRPr="0088195A" w:rsidRDefault="0078123D" w:rsidP="00C83EE8">
            <w:pPr>
              <w:autoSpaceDE w:val="0"/>
              <w:autoSpaceDN w:val="0"/>
              <w:adjustRightInd w:val="0"/>
              <w:rPr>
                <w:rFonts w:ascii="Arial" w:eastAsia="Calibri" w:hAnsi="Arial" w:cs="Arial"/>
                <w:sz w:val="18"/>
                <w:szCs w:val="18"/>
              </w:rPr>
            </w:pPr>
            <w:r w:rsidRPr="0088195A">
              <w:rPr>
                <w:rFonts w:ascii="Arial" w:eastAsia="Calibri" w:hAnsi="Arial" w:cs="Arial"/>
                <w:sz w:val="18"/>
                <w:szCs w:val="18"/>
              </w:rPr>
              <w:t>Pravovremeno podmirivanje tekućih troškova poslovanja;</w:t>
            </w:r>
          </w:p>
          <w:p w14:paraId="6FF821DF" w14:textId="77777777" w:rsidR="0078123D" w:rsidRPr="0088195A" w:rsidRDefault="0078123D" w:rsidP="00C83EE8">
            <w:pPr>
              <w:rPr>
                <w:rFonts w:ascii="Arial" w:eastAsia="Calibri" w:hAnsi="Arial" w:cs="Arial"/>
                <w:sz w:val="18"/>
                <w:szCs w:val="18"/>
              </w:rPr>
            </w:pPr>
            <w:r w:rsidRPr="0088195A">
              <w:rPr>
                <w:rFonts w:ascii="Arial" w:eastAsia="Calibri" w:hAnsi="Arial" w:cs="Arial"/>
                <w:sz w:val="18"/>
                <w:szCs w:val="18"/>
              </w:rPr>
              <w:t>redovita isplata plaća i drugih naknada</w:t>
            </w:r>
          </w:p>
        </w:tc>
        <w:tc>
          <w:tcPr>
            <w:tcW w:w="983" w:type="dxa"/>
            <w:tcBorders>
              <w:top w:val="single" w:sz="4" w:space="0" w:color="auto"/>
              <w:left w:val="single" w:sz="4" w:space="0" w:color="auto"/>
              <w:bottom w:val="single" w:sz="4" w:space="0" w:color="auto"/>
              <w:right w:val="single" w:sz="4" w:space="0" w:color="auto"/>
            </w:tcBorders>
            <w:vAlign w:val="center"/>
            <w:hideMark/>
          </w:tcPr>
          <w:p w14:paraId="1D384DFE" w14:textId="77777777" w:rsidR="0078123D" w:rsidRPr="0088195A" w:rsidRDefault="0078123D" w:rsidP="00C83EE8">
            <w:pPr>
              <w:jc w:val="center"/>
              <w:rPr>
                <w:rFonts w:ascii="Arial" w:eastAsia="Calibri" w:hAnsi="Arial" w:cs="Arial"/>
                <w:sz w:val="18"/>
                <w:szCs w:val="18"/>
              </w:rPr>
            </w:pPr>
            <w:r w:rsidRPr="0088195A">
              <w:rPr>
                <w:rFonts w:ascii="Arial" w:eastAsia="Calibri"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14DBEC" w14:textId="6775CAFA" w:rsidR="0078123D" w:rsidRPr="0088195A" w:rsidRDefault="00971028" w:rsidP="00C83EE8">
            <w:pPr>
              <w:jc w:val="center"/>
              <w:rPr>
                <w:rFonts w:ascii="Arial" w:eastAsia="Calibri" w:hAnsi="Arial" w:cs="Arial"/>
                <w:sz w:val="18"/>
                <w:szCs w:val="18"/>
              </w:rPr>
            </w:pPr>
            <w:r>
              <w:rPr>
                <w:rFonts w:ascii="Arial" w:eastAsia="Calibri" w:hAnsi="Arial" w:cs="Arial"/>
                <w:sz w:val="18"/>
                <w:szCs w:val="18"/>
              </w:rPr>
              <w:t>91,6</w:t>
            </w:r>
            <w:r w:rsidR="0078123D">
              <w:rPr>
                <w:rFonts w:ascii="Arial" w:eastAsia="Calibri" w:hAnsi="Arial" w:cs="Arial"/>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C4D3FC6" w14:textId="77777777" w:rsidR="0078123D" w:rsidRPr="00613003" w:rsidRDefault="0078123D" w:rsidP="00C83EE8">
            <w:pPr>
              <w:jc w:val="center"/>
              <w:rPr>
                <w:rFonts w:ascii="Arial" w:eastAsia="Calibri" w:hAnsi="Arial" w:cs="Arial"/>
                <w:sz w:val="18"/>
                <w:szCs w:val="18"/>
              </w:rPr>
            </w:pPr>
            <w:r w:rsidRPr="00613003">
              <w:rPr>
                <w:rFonts w:ascii="Arial" w:hAnsi="Arial" w:cs="Arial"/>
                <w:sz w:val="18"/>
                <w:szCs w:val="18"/>
              </w:rPr>
              <w:t>Muzeji i galerije Konavala</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A9480D3" w14:textId="77777777" w:rsidR="0078123D" w:rsidRPr="0088195A" w:rsidRDefault="0078123D" w:rsidP="00C83EE8">
            <w:pPr>
              <w:jc w:val="center"/>
              <w:rPr>
                <w:rFonts w:ascii="Arial" w:eastAsia="Calibri" w:hAnsi="Arial" w:cs="Arial"/>
                <w:sz w:val="18"/>
                <w:szCs w:val="18"/>
              </w:rPr>
            </w:pPr>
            <w:r>
              <w:rPr>
                <w:rFonts w:ascii="Arial" w:eastAsia="Calibri" w:hAnsi="Arial" w:cs="Arial"/>
                <w:sz w:val="18"/>
                <w:szCs w:val="18"/>
              </w:rPr>
              <w:t>93%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E1ED5B9" w14:textId="6EF72FF1" w:rsidR="0078123D" w:rsidRPr="0088195A" w:rsidRDefault="00BC3775" w:rsidP="00C83EE8">
            <w:pPr>
              <w:jc w:val="center"/>
              <w:rPr>
                <w:rFonts w:ascii="Arial" w:eastAsia="Calibri" w:hAnsi="Arial" w:cs="Arial"/>
                <w:sz w:val="18"/>
                <w:szCs w:val="18"/>
              </w:rPr>
            </w:pPr>
            <w:r>
              <w:rPr>
                <w:rFonts w:ascii="Arial" w:eastAsia="Calibri" w:hAnsi="Arial" w:cs="Arial"/>
                <w:sz w:val="18"/>
                <w:szCs w:val="18"/>
              </w:rPr>
              <w:t>86,15</w:t>
            </w:r>
            <w:r w:rsidR="0078123D">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FFA0775" w14:textId="77777777" w:rsidR="0078123D" w:rsidRPr="0088195A" w:rsidRDefault="0078123D" w:rsidP="00C83EE8">
            <w:pPr>
              <w:jc w:val="center"/>
              <w:rPr>
                <w:rFonts w:ascii="Arial" w:eastAsia="Calibri" w:hAnsi="Arial" w:cs="Arial"/>
                <w:sz w:val="18"/>
                <w:szCs w:val="18"/>
              </w:rPr>
            </w:pPr>
            <w:r>
              <w:rPr>
                <w:rFonts w:ascii="Arial" w:eastAsia="Calibri" w:hAnsi="Arial" w:cs="Arial"/>
                <w:sz w:val="18"/>
                <w:szCs w:val="18"/>
              </w:rPr>
              <w:t>93%</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5FCC08A" w14:textId="77777777" w:rsidR="0078123D" w:rsidRPr="0088195A" w:rsidRDefault="0078123D" w:rsidP="00C83EE8">
            <w:pPr>
              <w:jc w:val="center"/>
              <w:rPr>
                <w:rFonts w:ascii="Arial" w:eastAsia="Calibri" w:hAnsi="Arial" w:cs="Arial"/>
                <w:sz w:val="18"/>
                <w:szCs w:val="18"/>
              </w:rPr>
            </w:pPr>
            <w:r>
              <w:rPr>
                <w:rFonts w:ascii="Arial" w:eastAsia="Calibri" w:hAnsi="Arial" w:cs="Arial"/>
                <w:sz w:val="18"/>
                <w:szCs w:val="18"/>
              </w:rPr>
              <w:t>93%</w:t>
            </w:r>
          </w:p>
        </w:tc>
      </w:tr>
    </w:tbl>
    <w:p w14:paraId="6BB34C09" w14:textId="07F825BA" w:rsidR="0078123D" w:rsidRPr="0078123D" w:rsidRDefault="00BC3775" w:rsidP="00D964AC">
      <w:pPr>
        <w:spacing w:after="0" w:line="240" w:lineRule="auto"/>
        <w:jc w:val="both"/>
        <w:rPr>
          <w:rFonts w:ascii="Arial" w:eastAsia="Calibri" w:hAnsi="Arial" w:cs="Arial"/>
          <w:sz w:val="20"/>
          <w:szCs w:val="20"/>
        </w:rPr>
      </w:pPr>
      <w:r w:rsidRPr="00BC3775">
        <w:rPr>
          <w:rFonts w:ascii="Arial" w:eastAsia="Calibri" w:hAnsi="Arial" w:cs="Arial"/>
          <w:bCs/>
          <w:sz w:val="18"/>
          <w:szCs w:val="18"/>
        </w:rPr>
        <w:t>OPIS: Nepodmirene obveze na dan 30. 06. 2025. godine se odnose na troškovi plaće i režijske troškove za  lipanj 2025. godine  koji su podmireni u srpnju 2025. godine.</w:t>
      </w:r>
    </w:p>
    <w:bookmarkEnd w:id="348"/>
    <w:p w14:paraId="11AF7069" w14:textId="77777777" w:rsidR="00BC3775" w:rsidRDefault="00BC3775" w:rsidP="002345D8">
      <w:pPr>
        <w:spacing w:after="0" w:line="240" w:lineRule="auto"/>
        <w:jc w:val="both"/>
        <w:rPr>
          <w:rFonts w:ascii="Arial" w:eastAsia="Calibri" w:hAnsi="Arial" w:cs="Arial"/>
          <w:b/>
          <w:sz w:val="20"/>
          <w:szCs w:val="20"/>
        </w:rPr>
      </w:pPr>
    </w:p>
    <w:p w14:paraId="111C722E" w14:textId="55CC1787" w:rsidR="003D7373" w:rsidRPr="0078123D" w:rsidRDefault="003D7373" w:rsidP="002345D8">
      <w:pPr>
        <w:spacing w:after="0" w:line="240" w:lineRule="auto"/>
        <w:jc w:val="both"/>
        <w:rPr>
          <w:rFonts w:ascii="Arial" w:eastAsia="Times New Roman" w:hAnsi="Arial" w:cs="Arial"/>
          <w:bCs/>
          <w:sz w:val="20"/>
          <w:szCs w:val="20"/>
        </w:rPr>
      </w:pPr>
      <w:r w:rsidRPr="0078123D">
        <w:rPr>
          <w:rFonts w:ascii="Arial" w:eastAsia="Calibri" w:hAnsi="Arial" w:cs="Arial"/>
          <w:b/>
          <w:sz w:val="20"/>
          <w:szCs w:val="20"/>
        </w:rPr>
        <w:t xml:space="preserve">2. K203102: Nabava umjetničkih vrijednosti </w:t>
      </w:r>
      <w:r w:rsidR="002345D8" w:rsidRPr="0078123D">
        <w:rPr>
          <w:rFonts w:ascii="Arial" w:eastAsia="Calibri" w:hAnsi="Arial" w:cs="Arial"/>
          <w:b/>
          <w:sz w:val="20"/>
          <w:szCs w:val="20"/>
        </w:rPr>
        <w:t xml:space="preserve">- </w:t>
      </w:r>
    </w:p>
    <w:p w14:paraId="3BEEA559" w14:textId="77777777" w:rsidR="003D7373" w:rsidRPr="0078123D" w:rsidRDefault="003D7373" w:rsidP="00A90FC1">
      <w:pPr>
        <w:spacing w:after="0" w:line="240" w:lineRule="auto"/>
        <w:jc w:val="both"/>
        <w:rPr>
          <w:rFonts w:ascii="Arial" w:eastAsia="Calibri" w:hAnsi="Arial" w:cs="Arial"/>
          <w:sz w:val="20"/>
          <w:szCs w:val="20"/>
        </w:rPr>
      </w:pPr>
    </w:p>
    <w:p w14:paraId="5D31D56D" w14:textId="10252259" w:rsidR="009F2127" w:rsidRDefault="00E63468" w:rsidP="009F2127">
      <w:pPr>
        <w:spacing w:after="0" w:line="240" w:lineRule="auto"/>
        <w:jc w:val="both"/>
        <w:rPr>
          <w:rFonts w:ascii="Arial" w:eastAsia="Calibri" w:hAnsi="Arial" w:cs="Arial"/>
          <w:sz w:val="20"/>
          <w:szCs w:val="20"/>
        </w:rPr>
      </w:pPr>
      <w:r w:rsidRPr="0078123D">
        <w:rPr>
          <w:rFonts w:ascii="Arial" w:eastAsia="Calibri" w:hAnsi="Arial" w:cs="Arial"/>
          <w:sz w:val="20"/>
          <w:szCs w:val="20"/>
        </w:rPr>
        <w:t xml:space="preserve">Prema Zakonu o muzejima u osnovnoj djelatnosti muzeja je prikupljanje, obrada i prezentacija građe koju muzej može stjecati otkupom, darovima ili istraživanjima na terenu. U sklopu navedene aktivnosti su planirani rashodi za otkup muzejskih predmeta u iznosu </w:t>
      </w:r>
      <w:r w:rsidR="00BC3775">
        <w:rPr>
          <w:rFonts w:ascii="Arial" w:eastAsia="Calibri" w:hAnsi="Arial" w:cs="Arial"/>
          <w:sz w:val="20"/>
          <w:szCs w:val="20"/>
        </w:rPr>
        <w:t>27.547</w:t>
      </w:r>
      <w:r w:rsidRPr="0078123D">
        <w:rPr>
          <w:rFonts w:ascii="Arial" w:eastAsia="Calibri" w:hAnsi="Arial" w:cs="Arial"/>
          <w:sz w:val="20"/>
          <w:szCs w:val="20"/>
        </w:rPr>
        <w:t xml:space="preserve"> €, a utrošeno </w:t>
      </w:r>
      <w:r w:rsidR="009F2127" w:rsidRPr="0078123D">
        <w:rPr>
          <w:rFonts w:ascii="Arial" w:eastAsia="Calibri" w:hAnsi="Arial" w:cs="Arial"/>
          <w:sz w:val="20"/>
          <w:szCs w:val="20"/>
        </w:rPr>
        <w:t xml:space="preserve">je </w:t>
      </w:r>
      <w:r w:rsidR="00BC3775">
        <w:rPr>
          <w:rFonts w:ascii="Arial" w:eastAsia="Calibri" w:hAnsi="Arial" w:cs="Arial"/>
          <w:sz w:val="20"/>
          <w:szCs w:val="20"/>
        </w:rPr>
        <w:t>20.180</w:t>
      </w:r>
      <w:r w:rsidRPr="0078123D">
        <w:rPr>
          <w:rFonts w:ascii="Arial" w:eastAsia="Calibri" w:hAnsi="Arial" w:cs="Arial"/>
          <w:sz w:val="20"/>
          <w:szCs w:val="20"/>
        </w:rPr>
        <w:t xml:space="preserve"> € </w:t>
      </w:r>
      <w:r w:rsidR="00EF6CFC">
        <w:rPr>
          <w:rFonts w:ascii="Arial" w:eastAsia="Calibri" w:hAnsi="Arial" w:cs="Arial"/>
          <w:sz w:val="20"/>
          <w:szCs w:val="20"/>
        </w:rPr>
        <w:t xml:space="preserve">i </w:t>
      </w:r>
      <w:r w:rsidR="00BC3775" w:rsidRPr="00BC3775">
        <w:rPr>
          <w:rFonts w:ascii="Arial" w:eastAsia="Calibri" w:hAnsi="Arial" w:cs="Arial"/>
          <w:sz w:val="20"/>
          <w:szCs w:val="20"/>
        </w:rPr>
        <w:t xml:space="preserve">to na otkup muzejske građe/arhivske dokumentacije vezane za život Vlaha Bukovca u iznosu od 1.880,00 </w:t>
      </w:r>
      <w:r w:rsidR="00EF6CFC">
        <w:rPr>
          <w:rFonts w:ascii="Arial" w:eastAsia="Calibri" w:hAnsi="Arial" w:cs="Arial"/>
          <w:sz w:val="20"/>
          <w:szCs w:val="20"/>
        </w:rPr>
        <w:t>€</w:t>
      </w:r>
      <w:r w:rsidR="00BC3775" w:rsidRPr="00BC3775">
        <w:rPr>
          <w:rFonts w:ascii="Arial" w:eastAsia="Calibri" w:hAnsi="Arial" w:cs="Arial"/>
          <w:sz w:val="20"/>
          <w:szCs w:val="20"/>
        </w:rPr>
        <w:t xml:space="preserve"> i na otkup umjetničke slike Vlaha Bukovac Studija figure slikara Alegorija umjetnosti II u iznosu od 18.300</w:t>
      </w:r>
      <w:r w:rsidR="00EF6CFC">
        <w:rPr>
          <w:rFonts w:ascii="Arial" w:eastAsia="Calibri" w:hAnsi="Arial" w:cs="Arial"/>
          <w:sz w:val="20"/>
          <w:szCs w:val="20"/>
        </w:rPr>
        <w:t xml:space="preserve"> €.</w:t>
      </w:r>
    </w:p>
    <w:p w14:paraId="04571153" w14:textId="77777777" w:rsidR="00EF6CFC" w:rsidRPr="0078123D" w:rsidRDefault="00EF6CFC" w:rsidP="009F2127">
      <w:pPr>
        <w:spacing w:after="0" w:line="240" w:lineRule="auto"/>
        <w:jc w:val="both"/>
        <w:rPr>
          <w:rFonts w:ascii="Arial" w:eastAsia="Calibri" w:hAnsi="Arial" w:cs="Arial"/>
          <w:sz w:val="20"/>
          <w:szCs w:val="20"/>
        </w:rPr>
      </w:pPr>
    </w:p>
    <w:p w14:paraId="152C741A" w14:textId="40AAD9BF" w:rsidR="0078123D" w:rsidRPr="0078123D" w:rsidRDefault="0078123D" w:rsidP="0078123D">
      <w:pPr>
        <w:spacing w:after="0" w:line="240" w:lineRule="auto"/>
        <w:jc w:val="both"/>
        <w:rPr>
          <w:rFonts w:ascii="Arial" w:eastAsia="Calibri" w:hAnsi="Arial" w:cs="Arial"/>
          <w:sz w:val="20"/>
          <w:szCs w:val="20"/>
        </w:rPr>
      </w:pPr>
      <w:r w:rsidRPr="0078123D">
        <w:rPr>
          <w:rFonts w:ascii="Arial" w:eastAsia="Calibri" w:hAnsi="Arial" w:cs="Arial"/>
          <w:sz w:val="20"/>
          <w:szCs w:val="20"/>
        </w:rPr>
        <w:t xml:space="preserve">Tijekom 2023 je zaprimljeno 91, a u 2024. </w:t>
      </w:r>
      <w:r w:rsidR="00EA587B">
        <w:rPr>
          <w:rFonts w:ascii="Arial" w:eastAsia="Calibri" w:hAnsi="Arial" w:cs="Arial"/>
          <w:sz w:val="20"/>
          <w:szCs w:val="20"/>
        </w:rPr>
        <w:t xml:space="preserve">godini </w:t>
      </w:r>
      <w:r w:rsidRPr="0078123D">
        <w:rPr>
          <w:rFonts w:ascii="Arial" w:eastAsia="Calibri" w:hAnsi="Arial" w:cs="Arial"/>
          <w:sz w:val="20"/>
          <w:szCs w:val="20"/>
        </w:rPr>
        <w:t>20 novih muzejski predmeta što iznosi 0,3% ukupnog fonda muzejskih predmeta.</w:t>
      </w:r>
    </w:p>
    <w:p w14:paraId="17E6C605" w14:textId="77777777" w:rsidR="0078123D" w:rsidRPr="0078123D" w:rsidRDefault="0078123D" w:rsidP="00E63468">
      <w:pPr>
        <w:spacing w:after="0" w:line="240" w:lineRule="auto"/>
        <w:jc w:val="both"/>
        <w:rPr>
          <w:rFonts w:ascii="Arial" w:eastAsia="Calibri" w:hAnsi="Arial" w:cs="Arial"/>
          <w:sz w:val="20"/>
          <w:szCs w:val="20"/>
        </w:rPr>
      </w:pPr>
    </w:p>
    <w:p w14:paraId="08B36E3C" w14:textId="7BE1B6F9" w:rsidR="002345D8" w:rsidRPr="0078123D" w:rsidRDefault="00A90FC1" w:rsidP="0086266A">
      <w:pPr>
        <w:spacing w:after="0" w:line="240" w:lineRule="auto"/>
        <w:jc w:val="both"/>
        <w:rPr>
          <w:rFonts w:ascii="Arial" w:eastAsia="Calibri" w:hAnsi="Arial" w:cs="Arial"/>
          <w:sz w:val="20"/>
          <w:szCs w:val="20"/>
        </w:rPr>
      </w:pPr>
      <w:r w:rsidRPr="0078123D">
        <w:rPr>
          <w:rFonts w:ascii="Arial" w:eastAsia="Calibri" w:hAnsi="Arial" w:cs="Arial"/>
          <w:b/>
          <w:sz w:val="20"/>
          <w:szCs w:val="20"/>
        </w:rPr>
        <w:t>3. T203103: Sanacija, obnova i uređenje Kuće Bukovac</w:t>
      </w:r>
      <w:r w:rsidRPr="0078123D">
        <w:rPr>
          <w:rFonts w:ascii="Arial" w:eastAsia="Calibri" w:hAnsi="Arial" w:cs="Arial"/>
          <w:sz w:val="20"/>
          <w:szCs w:val="20"/>
        </w:rPr>
        <w:t xml:space="preserve">– u sklopu navedene aktivnosti planirano je </w:t>
      </w:r>
      <w:r w:rsidR="006A2DBA">
        <w:rPr>
          <w:rFonts w:ascii="Arial" w:eastAsia="Calibri" w:hAnsi="Arial" w:cs="Arial"/>
          <w:sz w:val="20"/>
          <w:szCs w:val="20"/>
        </w:rPr>
        <w:t>3.000</w:t>
      </w:r>
      <w:r w:rsidR="002345D8" w:rsidRPr="0078123D">
        <w:rPr>
          <w:rFonts w:ascii="Arial" w:eastAsia="Calibri" w:hAnsi="Arial" w:cs="Arial"/>
          <w:sz w:val="20"/>
          <w:szCs w:val="20"/>
        </w:rPr>
        <w:t xml:space="preserve"> €</w:t>
      </w:r>
      <w:r w:rsidRPr="0078123D">
        <w:rPr>
          <w:rFonts w:ascii="Arial" w:eastAsia="Calibri" w:hAnsi="Arial" w:cs="Arial"/>
          <w:sz w:val="20"/>
          <w:szCs w:val="20"/>
        </w:rPr>
        <w:t xml:space="preserve">, </w:t>
      </w:r>
      <w:r w:rsidR="003D7373" w:rsidRPr="0078123D">
        <w:rPr>
          <w:rFonts w:ascii="Arial" w:eastAsia="Calibri" w:hAnsi="Arial" w:cs="Arial"/>
          <w:sz w:val="20"/>
          <w:szCs w:val="20"/>
        </w:rPr>
        <w:t>a</w:t>
      </w:r>
      <w:r w:rsidRPr="0078123D">
        <w:rPr>
          <w:rFonts w:ascii="Arial" w:eastAsia="Calibri" w:hAnsi="Arial" w:cs="Arial"/>
          <w:sz w:val="20"/>
          <w:szCs w:val="20"/>
        </w:rPr>
        <w:t xml:space="preserve"> </w:t>
      </w:r>
      <w:r w:rsidR="006A2DBA">
        <w:rPr>
          <w:rFonts w:ascii="Arial" w:eastAsia="Calibri" w:hAnsi="Arial" w:cs="Arial"/>
          <w:sz w:val="20"/>
          <w:szCs w:val="20"/>
        </w:rPr>
        <w:t>nije bilo utroška sredstava</w:t>
      </w:r>
      <w:r w:rsidR="002345D8" w:rsidRPr="0078123D">
        <w:rPr>
          <w:rFonts w:ascii="Arial" w:eastAsia="Calibri" w:hAnsi="Arial" w:cs="Arial"/>
          <w:sz w:val="20"/>
          <w:szCs w:val="20"/>
        </w:rPr>
        <w:t>.</w:t>
      </w:r>
    </w:p>
    <w:p w14:paraId="073C724A" w14:textId="77777777" w:rsidR="002345D8" w:rsidRPr="0078123D" w:rsidRDefault="002345D8" w:rsidP="0086266A">
      <w:pPr>
        <w:spacing w:after="0" w:line="240" w:lineRule="auto"/>
        <w:jc w:val="both"/>
        <w:rPr>
          <w:rFonts w:ascii="Arial" w:eastAsia="Calibri" w:hAnsi="Arial" w:cs="Arial"/>
          <w:sz w:val="20"/>
          <w:szCs w:val="20"/>
        </w:rPr>
      </w:pPr>
    </w:p>
    <w:p w14:paraId="07E6BCAF" w14:textId="25142474" w:rsidR="0086266A" w:rsidRPr="0078123D" w:rsidRDefault="00815DAD" w:rsidP="0086266A">
      <w:pPr>
        <w:spacing w:after="0" w:line="240" w:lineRule="auto"/>
        <w:jc w:val="both"/>
        <w:rPr>
          <w:rFonts w:ascii="Arial" w:eastAsia="Calibri" w:hAnsi="Arial" w:cs="Arial"/>
          <w:sz w:val="20"/>
          <w:szCs w:val="20"/>
        </w:rPr>
      </w:pPr>
      <w:r w:rsidRPr="0078123D">
        <w:rPr>
          <w:rFonts w:ascii="Arial" w:eastAsia="Calibri" w:hAnsi="Arial" w:cs="Arial"/>
          <w:b/>
          <w:bCs/>
          <w:sz w:val="20"/>
          <w:szCs w:val="20"/>
        </w:rPr>
        <w:t>4.T203104: Zaštita spomenika kulture</w:t>
      </w:r>
      <w:r w:rsidRPr="0078123D">
        <w:rPr>
          <w:rFonts w:ascii="Arial" w:eastAsia="Calibri" w:hAnsi="Arial" w:cs="Arial"/>
          <w:sz w:val="20"/>
          <w:szCs w:val="20"/>
        </w:rPr>
        <w:t xml:space="preserve"> - </w:t>
      </w:r>
      <w:r w:rsidR="0086266A" w:rsidRPr="0078123D">
        <w:rPr>
          <w:rFonts w:ascii="Arial" w:eastAsia="Calibri" w:hAnsi="Arial" w:cs="Arial"/>
          <w:sz w:val="20"/>
          <w:szCs w:val="20"/>
        </w:rPr>
        <w:t>u sklopu navedene aktivnosti nisu planirana sredstava u 202</w:t>
      </w:r>
      <w:r w:rsidR="006A2DBA">
        <w:rPr>
          <w:rFonts w:ascii="Arial" w:eastAsia="Calibri" w:hAnsi="Arial" w:cs="Arial"/>
          <w:sz w:val="20"/>
          <w:szCs w:val="20"/>
        </w:rPr>
        <w:t>5</w:t>
      </w:r>
      <w:r w:rsidR="0086266A" w:rsidRPr="0078123D">
        <w:rPr>
          <w:rFonts w:ascii="Arial" w:eastAsia="Calibri" w:hAnsi="Arial" w:cs="Arial"/>
          <w:sz w:val="20"/>
          <w:szCs w:val="20"/>
        </w:rPr>
        <w:t xml:space="preserve">. godini. </w:t>
      </w:r>
    </w:p>
    <w:p w14:paraId="1068880F" w14:textId="77777777" w:rsidR="00815DAD" w:rsidRPr="0078123D" w:rsidRDefault="00815DAD" w:rsidP="00815DAD">
      <w:pPr>
        <w:spacing w:after="0" w:line="240" w:lineRule="auto"/>
        <w:jc w:val="both"/>
        <w:rPr>
          <w:rFonts w:ascii="Arial" w:eastAsia="Calibri" w:hAnsi="Arial" w:cs="Arial"/>
          <w:sz w:val="20"/>
          <w:szCs w:val="20"/>
        </w:rPr>
      </w:pPr>
    </w:p>
    <w:p w14:paraId="16717121" w14:textId="43FFB25E" w:rsidR="009F2127" w:rsidRPr="0078123D" w:rsidRDefault="00815DAD" w:rsidP="009F2127">
      <w:pPr>
        <w:spacing w:after="0" w:line="240" w:lineRule="auto"/>
        <w:jc w:val="both"/>
        <w:rPr>
          <w:rFonts w:ascii="Arial" w:eastAsia="Calibri" w:hAnsi="Arial" w:cs="Arial"/>
          <w:sz w:val="20"/>
          <w:szCs w:val="20"/>
        </w:rPr>
      </w:pPr>
      <w:r w:rsidRPr="0078123D">
        <w:rPr>
          <w:rFonts w:ascii="Arial" w:eastAsia="Calibri" w:hAnsi="Arial" w:cs="Arial"/>
          <w:b/>
          <w:sz w:val="20"/>
          <w:szCs w:val="20"/>
        </w:rPr>
        <w:t xml:space="preserve">5. T203106: Arheološka istraživanja – </w:t>
      </w:r>
      <w:r w:rsidR="0086266A" w:rsidRPr="0078123D">
        <w:rPr>
          <w:rFonts w:ascii="Arial" w:eastAsia="Calibri" w:hAnsi="Arial" w:cs="Arial"/>
          <w:sz w:val="20"/>
          <w:szCs w:val="20"/>
        </w:rPr>
        <w:t xml:space="preserve">u sklopu navedene aktivnosti </w:t>
      </w:r>
      <w:r w:rsidR="0078123D" w:rsidRPr="0078123D">
        <w:rPr>
          <w:rFonts w:ascii="Arial" w:eastAsia="Calibri" w:hAnsi="Arial" w:cs="Arial"/>
          <w:sz w:val="20"/>
          <w:szCs w:val="20"/>
        </w:rPr>
        <w:t>prvotno su bila</w:t>
      </w:r>
      <w:r w:rsidR="0086266A" w:rsidRPr="0078123D">
        <w:rPr>
          <w:rFonts w:ascii="Arial" w:eastAsia="Calibri" w:hAnsi="Arial" w:cs="Arial"/>
          <w:sz w:val="20"/>
          <w:szCs w:val="20"/>
        </w:rPr>
        <w:t xml:space="preserve"> planirana sredstava </w:t>
      </w:r>
      <w:r w:rsidR="009F2127" w:rsidRPr="0078123D">
        <w:rPr>
          <w:rFonts w:ascii="Arial" w:eastAsia="Calibri" w:hAnsi="Arial" w:cs="Arial"/>
          <w:sz w:val="20"/>
          <w:szCs w:val="20"/>
        </w:rPr>
        <w:t xml:space="preserve">u iznosu </w:t>
      </w:r>
      <w:r w:rsidR="006A2DBA">
        <w:rPr>
          <w:rFonts w:ascii="Arial" w:eastAsia="Calibri" w:hAnsi="Arial" w:cs="Arial"/>
          <w:sz w:val="20"/>
          <w:szCs w:val="20"/>
        </w:rPr>
        <w:t>25.500</w:t>
      </w:r>
      <w:r w:rsidR="009F2127" w:rsidRPr="0078123D">
        <w:rPr>
          <w:rFonts w:ascii="Arial" w:eastAsia="Calibri" w:hAnsi="Arial" w:cs="Arial"/>
          <w:sz w:val="20"/>
          <w:szCs w:val="20"/>
        </w:rPr>
        <w:t xml:space="preserve"> €</w:t>
      </w:r>
      <w:r w:rsidR="0086266A" w:rsidRPr="0078123D">
        <w:rPr>
          <w:rFonts w:ascii="Arial" w:eastAsia="Calibri" w:hAnsi="Arial" w:cs="Arial"/>
          <w:sz w:val="20"/>
          <w:szCs w:val="20"/>
        </w:rPr>
        <w:t xml:space="preserve"> </w:t>
      </w:r>
      <w:r w:rsidR="009F2127" w:rsidRPr="0078123D">
        <w:rPr>
          <w:rFonts w:ascii="Arial" w:eastAsia="Calibri" w:hAnsi="Arial" w:cs="Arial"/>
          <w:sz w:val="20"/>
          <w:szCs w:val="20"/>
        </w:rPr>
        <w:t>za potrebe arheoloških istraživanja</w:t>
      </w:r>
      <w:r w:rsidR="0078123D" w:rsidRPr="0078123D">
        <w:rPr>
          <w:rFonts w:ascii="Arial" w:eastAsia="Calibri" w:hAnsi="Arial" w:cs="Arial"/>
          <w:sz w:val="20"/>
          <w:szCs w:val="20"/>
        </w:rPr>
        <w:t xml:space="preserve">. </w:t>
      </w:r>
      <w:r w:rsidR="001E73FF">
        <w:rPr>
          <w:rFonts w:ascii="Arial" w:eastAsia="Calibri" w:hAnsi="Arial" w:cs="Arial"/>
          <w:sz w:val="20"/>
          <w:szCs w:val="20"/>
        </w:rPr>
        <w:t>Utro</w:t>
      </w:r>
      <w:r w:rsidR="00957008">
        <w:rPr>
          <w:rFonts w:ascii="Arial" w:eastAsia="Calibri" w:hAnsi="Arial" w:cs="Arial"/>
          <w:sz w:val="20"/>
          <w:szCs w:val="20"/>
        </w:rPr>
        <w:t>š</w:t>
      </w:r>
      <w:r w:rsidR="001E73FF">
        <w:rPr>
          <w:rFonts w:ascii="Arial" w:eastAsia="Calibri" w:hAnsi="Arial" w:cs="Arial"/>
          <w:sz w:val="20"/>
          <w:szCs w:val="20"/>
        </w:rPr>
        <w:t xml:space="preserve">eno je 33,25 €. </w:t>
      </w:r>
    </w:p>
    <w:p w14:paraId="69532F26" w14:textId="1AAD2320" w:rsidR="00283FFF" w:rsidRPr="0078123D" w:rsidRDefault="00283FFF" w:rsidP="00A90FC1">
      <w:pPr>
        <w:spacing w:after="0" w:line="240" w:lineRule="auto"/>
        <w:contextualSpacing/>
        <w:jc w:val="both"/>
        <w:rPr>
          <w:rFonts w:ascii="Arial" w:eastAsia="Calibri" w:hAnsi="Arial" w:cs="Arial"/>
          <w:bCs/>
          <w:sz w:val="20"/>
          <w:szCs w:val="20"/>
        </w:rPr>
      </w:pPr>
    </w:p>
    <w:p w14:paraId="00833ADD" w14:textId="30108A0B" w:rsidR="002345D8" w:rsidRPr="0078123D" w:rsidRDefault="002345D8" w:rsidP="00A90FC1">
      <w:pPr>
        <w:spacing w:after="0" w:line="240" w:lineRule="auto"/>
        <w:contextualSpacing/>
        <w:jc w:val="both"/>
        <w:rPr>
          <w:rFonts w:ascii="Arial" w:eastAsia="Calibri" w:hAnsi="Arial" w:cs="Arial"/>
          <w:bCs/>
          <w:sz w:val="20"/>
          <w:szCs w:val="20"/>
        </w:rPr>
      </w:pPr>
      <w:r w:rsidRPr="0078123D">
        <w:rPr>
          <w:rFonts w:ascii="Arial" w:eastAsia="Calibri" w:hAnsi="Arial" w:cs="Arial"/>
          <w:bCs/>
          <w:sz w:val="20"/>
          <w:szCs w:val="20"/>
        </w:rPr>
        <w:t>Ustanova u okviru svoje djelatnosti može obavljati i arheološka istraživanja, a u većini slučajeva arheološki nalazi koji se obrađuju u ustanovi se zaprimaju od drugih pravnih osoba registriranih za provođenje istraživanja.</w:t>
      </w:r>
    </w:p>
    <w:p w14:paraId="57DD53EF" w14:textId="77777777" w:rsidR="002345D8" w:rsidRPr="0078123D" w:rsidRDefault="002345D8" w:rsidP="00A90FC1">
      <w:pPr>
        <w:spacing w:after="0" w:line="240" w:lineRule="auto"/>
        <w:contextualSpacing/>
        <w:jc w:val="both"/>
        <w:rPr>
          <w:rFonts w:ascii="Arial" w:eastAsia="Calibri" w:hAnsi="Arial" w:cs="Arial"/>
          <w:b/>
          <w:sz w:val="20"/>
          <w:szCs w:val="20"/>
        </w:rPr>
      </w:pPr>
    </w:p>
    <w:p w14:paraId="493C14CF" w14:textId="45FAB4E9" w:rsidR="00B3065A" w:rsidRPr="00B3065A" w:rsidRDefault="003D7373" w:rsidP="00B3065A">
      <w:pPr>
        <w:autoSpaceDE w:val="0"/>
        <w:autoSpaceDN w:val="0"/>
        <w:adjustRightInd w:val="0"/>
        <w:spacing w:after="0" w:line="240" w:lineRule="auto"/>
        <w:jc w:val="both"/>
        <w:rPr>
          <w:rFonts w:ascii="Arial" w:eastAsia="Calibri" w:hAnsi="Arial" w:cs="Arial"/>
          <w:sz w:val="20"/>
          <w:szCs w:val="20"/>
        </w:rPr>
      </w:pPr>
      <w:r w:rsidRPr="0078123D">
        <w:rPr>
          <w:rFonts w:ascii="Arial" w:eastAsia="Calibri" w:hAnsi="Arial" w:cs="Arial"/>
          <w:b/>
          <w:sz w:val="20"/>
          <w:szCs w:val="20"/>
        </w:rPr>
        <w:lastRenderedPageBreak/>
        <w:t xml:space="preserve">6. A203107: Izložbeni program </w:t>
      </w:r>
      <w:r w:rsidRPr="0078123D">
        <w:rPr>
          <w:rFonts w:ascii="Arial" w:eastAsia="Calibri" w:hAnsi="Arial" w:cs="Arial"/>
          <w:sz w:val="20"/>
          <w:szCs w:val="20"/>
        </w:rPr>
        <w:t xml:space="preserve">- u sklopu navedene aktivnosti planirana su proračunska sredstva u iznosu </w:t>
      </w:r>
      <w:r w:rsidR="00B3065A">
        <w:rPr>
          <w:rFonts w:ascii="Arial" w:eastAsia="Calibri" w:hAnsi="Arial" w:cs="Arial"/>
          <w:sz w:val="20"/>
          <w:szCs w:val="20"/>
        </w:rPr>
        <w:t>39.600</w:t>
      </w:r>
      <w:r w:rsidR="002345D8" w:rsidRPr="0078123D">
        <w:rPr>
          <w:rFonts w:ascii="Arial" w:eastAsia="Calibri" w:hAnsi="Arial" w:cs="Arial"/>
          <w:sz w:val="20"/>
          <w:szCs w:val="20"/>
        </w:rPr>
        <w:t xml:space="preserve"> €</w:t>
      </w:r>
      <w:r w:rsidRPr="0078123D">
        <w:rPr>
          <w:rFonts w:ascii="Arial" w:eastAsia="Calibri" w:hAnsi="Arial" w:cs="Arial"/>
          <w:sz w:val="20"/>
          <w:szCs w:val="20"/>
        </w:rPr>
        <w:t xml:space="preserve">, a izvršeno je </w:t>
      </w:r>
      <w:r w:rsidR="00B3065A">
        <w:rPr>
          <w:rFonts w:ascii="Arial" w:eastAsia="Calibri" w:hAnsi="Arial" w:cs="Arial"/>
          <w:sz w:val="20"/>
          <w:szCs w:val="20"/>
        </w:rPr>
        <w:t>5.902,53</w:t>
      </w:r>
      <w:r w:rsidR="002345D8" w:rsidRPr="0078123D">
        <w:rPr>
          <w:rFonts w:ascii="Arial" w:eastAsia="Calibri" w:hAnsi="Arial" w:cs="Arial"/>
          <w:sz w:val="20"/>
          <w:szCs w:val="20"/>
        </w:rPr>
        <w:t xml:space="preserve"> € </w:t>
      </w:r>
      <w:r w:rsidRPr="0078123D">
        <w:rPr>
          <w:rFonts w:ascii="Arial" w:eastAsia="Calibri" w:hAnsi="Arial" w:cs="Arial"/>
          <w:sz w:val="20"/>
          <w:szCs w:val="20"/>
        </w:rPr>
        <w:t xml:space="preserve">odnosno </w:t>
      </w:r>
      <w:r w:rsidR="00B3065A">
        <w:rPr>
          <w:rFonts w:ascii="Arial" w:eastAsia="Calibri" w:hAnsi="Arial" w:cs="Arial"/>
          <w:sz w:val="20"/>
          <w:szCs w:val="20"/>
        </w:rPr>
        <w:t>149</w:t>
      </w:r>
      <w:r w:rsidRPr="0078123D">
        <w:rPr>
          <w:rFonts w:ascii="Arial" w:eastAsia="Calibri" w:hAnsi="Arial" w:cs="Arial"/>
          <w:sz w:val="20"/>
          <w:szCs w:val="20"/>
        </w:rPr>
        <w:t>% planiranog</w:t>
      </w:r>
      <w:r w:rsidR="0078123D" w:rsidRPr="0078123D">
        <w:rPr>
          <w:rFonts w:ascii="Arial" w:eastAsia="Calibri" w:hAnsi="Arial" w:cs="Arial"/>
          <w:sz w:val="20"/>
          <w:szCs w:val="20"/>
        </w:rPr>
        <w:t xml:space="preserve"> </w:t>
      </w:r>
      <w:r w:rsidR="00B3065A" w:rsidRPr="00B3065A">
        <w:rPr>
          <w:rFonts w:ascii="Arial" w:eastAsia="Calibri" w:hAnsi="Arial" w:cs="Arial"/>
          <w:sz w:val="20"/>
          <w:szCs w:val="20"/>
        </w:rPr>
        <w:t xml:space="preserve">što se odnosi na troškove postavljanja izložbe Cavtaćanin Niko Miljan – praški učenik Vlaha Bukovca, izložbe Vezilačka udruga Cavtat, obilježavanje obljetnice rođenja Vlaha Bukovca i troškove korištenja video gradiva HRT-a za snimanje dokumentarnog filma o 50 godina Zavičajnog muzeja Konavala. </w:t>
      </w:r>
    </w:p>
    <w:p w14:paraId="4E8AFC15" w14:textId="3DFB3B37" w:rsidR="00E63468" w:rsidRDefault="00B3065A" w:rsidP="00B3065A">
      <w:pPr>
        <w:autoSpaceDE w:val="0"/>
        <w:autoSpaceDN w:val="0"/>
        <w:adjustRightInd w:val="0"/>
        <w:spacing w:after="0" w:line="240" w:lineRule="auto"/>
        <w:jc w:val="both"/>
        <w:rPr>
          <w:rFonts w:ascii="Arial" w:eastAsia="Calibri" w:hAnsi="Arial" w:cs="Arial"/>
          <w:sz w:val="20"/>
          <w:szCs w:val="20"/>
        </w:rPr>
      </w:pPr>
      <w:r w:rsidRPr="00B3065A">
        <w:rPr>
          <w:rFonts w:ascii="Arial" w:eastAsia="Calibri" w:hAnsi="Arial" w:cs="Arial"/>
          <w:sz w:val="20"/>
          <w:szCs w:val="20"/>
        </w:rPr>
        <w:t>Ostale planirane izložbe za 2025. godinu će biti realizirane u drugoj polovici godine</w:t>
      </w:r>
      <w:r w:rsidR="00591C63">
        <w:rPr>
          <w:rFonts w:ascii="Arial" w:eastAsia="Calibri" w:hAnsi="Arial" w:cs="Arial"/>
          <w:sz w:val="20"/>
          <w:szCs w:val="20"/>
        </w:rPr>
        <w:t>.</w:t>
      </w:r>
    </w:p>
    <w:p w14:paraId="3E324AE6" w14:textId="77777777" w:rsidR="00591C63" w:rsidRPr="0078123D" w:rsidRDefault="00591C63" w:rsidP="00B3065A">
      <w:pPr>
        <w:autoSpaceDE w:val="0"/>
        <w:autoSpaceDN w:val="0"/>
        <w:adjustRightInd w:val="0"/>
        <w:spacing w:after="0" w:line="240" w:lineRule="auto"/>
        <w:jc w:val="both"/>
        <w:rPr>
          <w:rFonts w:ascii="Arial" w:eastAsia="Calibri" w:hAnsi="Arial" w:cs="Arial"/>
          <w:sz w:val="20"/>
          <w:szCs w:val="20"/>
        </w:rPr>
      </w:pPr>
    </w:p>
    <w:p w14:paraId="66FABF1E" w14:textId="7540897E" w:rsidR="009F2127" w:rsidRDefault="00591C63" w:rsidP="00E63468">
      <w:pPr>
        <w:autoSpaceDE w:val="0"/>
        <w:autoSpaceDN w:val="0"/>
        <w:adjustRightInd w:val="0"/>
        <w:spacing w:after="0" w:line="240" w:lineRule="auto"/>
        <w:jc w:val="both"/>
        <w:rPr>
          <w:rFonts w:ascii="Arial" w:eastAsia="Calibri" w:hAnsi="Arial" w:cs="Arial"/>
          <w:sz w:val="20"/>
          <w:szCs w:val="20"/>
        </w:rPr>
      </w:pPr>
      <w:r w:rsidRPr="00591C63">
        <w:rPr>
          <w:rFonts w:ascii="Arial" w:eastAsia="Calibri" w:hAnsi="Arial" w:cs="Arial"/>
          <w:sz w:val="20"/>
          <w:szCs w:val="20"/>
        </w:rPr>
        <w:t>Izložbeni program Muzeja i galerija Konavala obuhvaća programe prezentacije građe i lokaliteta u svim muzejskim jedinicama (Odjel arheologije i spomeničke baštine, Kuća Bukovac, Zavičajni muzej Konavala). Izdaci za realizaciju  izložbi se odnose na opremanje izložbu kroz izradu prezentacijskih panoa (foreksi, folije i sl) plakata, pozivnica, usluge dizajna izložbi, izradu ili prenamjenu vitrina ili izlagačkih postamenata, izradu kataloga (tisak, prijevodi, lekture, grafička priprema i dizajn) police osiguranja za muzejsku građu koja je na posudbi u ustanovi i sl.</w:t>
      </w:r>
    </w:p>
    <w:p w14:paraId="1DE94BF7" w14:textId="77777777" w:rsidR="00591C63" w:rsidRPr="0078123D" w:rsidRDefault="00591C63" w:rsidP="00E63468">
      <w:pPr>
        <w:autoSpaceDE w:val="0"/>
        <w:autoSpaceDN w:val="0"/>
        <w:adjustRightInd w:val="0"/>
        <w:spacing w:after="0" w:line="240" w:lineRule="auto"/>
        <w:jc w:val="both"/>
        <w:rPr>
          <w:rFonts w:ascii="Arial" w:eastAsia="Calibri" w:hAnsi="Arial" w:cs="Arial"/>
          <w:sz w:val="20"/>
          <w:szCs w:val="20"/>
        </w:rPr>
      </w:pPr>
    </w:p>
    <w:tbl>
      <w:tblPr>
        <w:tblStyle w:val="Reetkatablice5"/>
        <w:tblW w:w="10490" w:type="dxa"/>
        <w:jc w:val="center"/>
        <w:tblLayout w:type="fixed"/>
        <w:tblLook w:val="04A0" w:firstRow="1" w:lastRow="0" w:firstColumn="1" w:lastColumn="0" w:noHBand="0" w:noVBand="1"/>
      </w:tblPr>
      <w:tblGrid>
        <w:gridCol w:w="1848"/>
        <w:gridCol w:w="1134"/>
        <w:gridCol w:w="992"/>
        <w:gridCol w:w="1109"/>
        <w:gridCol w:w="1134"/>
        <w:gridCol w:w="1012"/>
        <w:gridCol w:w="993"/>
        <w:gridCol w:w="1134"/>
        <w:gridCol w:w="1134"/>
      </w:tblGrid>
      <w:tr w:rsidR="0078123D" w:rsidRPr="0078123D" w14:paraId="1694ACCF" w14:textId="77777777" w:rsidTr="00B223BA">
        <w:trPr>
          <w:jc w:val="center"/>
        </w:trPr>
        <w:tc>
          <w:tcPr>
            <w:tcW w:w="1848" w:type="dxa"/>
            <w:shd w:val="clear" w:color="auto" w:fill="BFBFBF" w:themeFill="background1" w:themeFillShade="BF"/>
            <w:vAlign w:val="center"/>
          </w:tcPr>
          <w:p w14:paraId="2EB3EA38" w14:textId="77777777" w:rsidR="002345D8" w:rsidRPr="0078123D" w:rsidRDefault="002345D8" w:rsidP="002345D8">
            <w:pPr>
              <w:jc w:val="center"/>
              <w:rPr>
                <w:rFonts w:ascii="Arial" w:eastAsia="Calibri" w:hAnsi="Arial" w:cs="Arial"/>
                <w:sz w:val="16"/>
                <w:szCs w:val="16"/>
              </w:rPr>
            </w:pPr>
            <w:r w:rsidRPr="0078123D">
              <w:rPr>
                <w:rFonts w:ascii="Arial" w:eastAsia="Calibri" w:hAnsi="Arial" w:cs="Arial"/>
                <w:sz w:val="16"/>
                <w:szCs w:val="16"/>
              </w:rPr>
              <w:t>Pokazatelj uspješnosti</w:t>
            </w:r>
          </w:p>
        </w:tc>
        <w:tc>
          <w:tcPr>
            <w:tcW w:w="1134" w:type="dxa"/>
            <w:shd w:val="clear" w:color="auto" w:fill="BFBFBF" w:themeFill="background1" w:themeFillShade="BF"/>
            <w:vAlign w:val="center"/>
          </w:tcPr>
          <w:p w14:paraId="472D3BFD" w14:textId="77777777" w:rsidR="002345D8" w:rsidRPr="0078123D" w:rsidRDefault="002345D8" w:rsidP="002345D8">
            <w:pPr>
              <w:jc w:val="center"/>
              <w:rPr>
                <w:rFonts w:ascii="Arial" w:eastAsia="Calibri" w:hAnsi="Arial" w:cs="Arial"/>
                <w:sz w:val="16"/>
                <w:szCs w:val="16"/>
              </w:rPr>
            </w:pPr>
            <w:r w:rsidRPr="0078123D">
              <w:rPr>
                <w:rFonts w:ascii="Arial" w:eastAsia="Calibri" w:hAnsi="Arial" w:cs="Arial"/>
                <w:sz w:val="16"/>
                <w:szCs w:val="16"/>
              </w:rPr>
              <w:t>Definicija</w:t>
            </w:r>
          </w:p>
        </w:tc>
        <w:tc>
          <w:tcPr>
            <w:tcW w:w="992" w:type="dxa"/>
            <w:shd w:val="clear" w:color="auto" w:fill="BFBFBF" w:themeFill="background1" w:themeFillShade="BF"/>
            <w:vAlign w:val="center"/>
          </w:tcPr>
          <w:p w14:paraId="2D6323FD" w14:textId="77777777" w:rsidR="002345D8" w:rsidRPr="0078123D" w:rsidRDefault="002345D8" w:rsidP="002345D8">
            <w:pPr>
              <w:jc w:val="center"/>
              <w:rPr>
                <w:rFonts w:ascii="Arial" w:eastAsia="Calibri" w:hAnsi="Arial" w:cs="Arial"/>
                <w:sz w:val="16"/>
                <w:szCs w:val="16"/>
              </w:rPr>
            </w:pPr>
            <w:r w:rsidRPr="0078123D">
              <w:rPr>
                <w:rFonts w:ascii="Arial" w:eastAsia="Calibri" w:hAnsi="Arial" w:cs="Arial"/>
                <w:sz w:val="16"/>
                <w:szCs w:val="16"/>
              </w:rPr>
              <w:t>Jedinica</w:t>
            </w:r>
          </w:p>
        </w:tc>
        <w:tc>
          <w:tcPr>
            <w:tcW w:w="1109" w:type="dxa"/>
            <w:shd w:val="clear" w:color="auto" w:fill="BFBFBF" w:themeFill="background1" w:themeFillShade="BF"/>
            <w:vAlign w:val="center"/>
          </w:tcPr>
          <w:p w14:paraId="4F687AE6" w14:textId="77777777" w:rsidR="002345D8" w:rsidRPr="0078123D" w:rsidRDefault="002345D8" w:rsidP="002345D8">
            <w:pPr>
              <w:jc w:val="center"/>
              <w:rPr>
                <w:rFonts w:ascii="Arial" w:eastAsia="Calibri" w:hAnsi="Arial" w:cs="Arial"/>
                <w:sz w:val="16"/>
                <w:szCs w:val="16"/>
              </w:rPr>
            </w:pPr>
            <w:r w:rsidRPr="0078123D">
              <w:rPr>
                <w:rFonts w:ascii="Arial" w:eastAsia="Calibri" w:hAnsi="Arial" w:cs="Arial"/>
                <w:sz w:val="16"/>
                <w:szCs w:val="16"/>
              </w:rPr>
              <w:t>Polazna vrijednost</w:t>
            </w:r>
          </w:p>
          <w:p w14:paraId="763FA929" w14:textId="0CECE901" w:rsidR="002345D8" w:rsidRPr="0078123D" w:rsidRDefault="002345D8" w:rsidP="002345D8">
            <w:pPr>
              <w:jc w:val="center"/>
              <w:rPr>
                <w:rFonts w:ascii="Arial" w:eastAsia="Calibri" w:hAnsi="Arial" w:cs="Arial"/>
                <w:sz w:val="16"/>
                <w:szCs w:val="16"/>
              </w:rPr>
            </w:pPr>
            <w:r w:rsidRPr="0078123D">
              <w:rPr>
                <w:rFonts w:ascii="Arial" w:eastAsia="Calibri" w:hAnsi="Arial" w:cs="Arial"/>
                <w:sz w:val="16"/>
                <w:szCs w:val="16"/>
              </w:rPr>
              <w:t>202</w:t>
            </w:r>
            <w:r w:rsidR="00591C63">
              <w:rPr>
                <w:rFonts w:ascii="Arial" w:eastAsia="Calibri" w:hAnsi="Arial" w:cs="Arial"/>
                <w:sz w:val="16"/>
                <w:szCs w:val="16"/>
              </w:rPr>
              <w:t>4</w:t>
            </w:r>
            <w:r w:rsidRPr="0078123D">
              <w:rPr>
                <w:rFonts w:ascii="Arial" w:eastAsia="Calibri" w:hAnsi="Arial" w:cs="Arial"/>
                <w:sz w:val="16"/>
                <w:szCs w:val="16"/>
              </w:rPr>
              <w:t>.</w:t>
            </w:r>
          </w:p>
        </w:tc>
        <w:tc>
          <w:tcPr>
            <w:tcW w:w="1134" w:type="dxa"/>
            <w:shd w:val="clear" w:color="auto" w:fill="BFBFBF" w:themeFill="background1" w:themeFillShade="BF"/>
            <w:vAlign w:val="center"/>
          </w:tcPr>
          <w:p w14:paraId="03498169" w14:textId="77777777" w:rsidR="002345D8" w:rsidRPr="0078123D" w:rsidRDefault="002345D8" w:rsidP="002345D8">
            <w:pPr>
              <w:jc w:val="center"/>
              <w:rPr>
                <w:rFonts w:ascii="Arial" w:eastAsia="Calibri" w:hAnsi="Arial" w:cs="Arial"/>
                <w:sz w:val="16"/>
                <w:szCs w:val="16"/>
              </w:rPr>
            </w:pPr>
            <w:r w:rsidRPr="0078123D">
              <w:rPr>
                <w:rFonts w:ascii="Arial" w:eastAsia="Calibri" w:hAnsi="Arial" w:cs="Arial"/>
                <w:sz w:val="16"/>
                <w:szCs w:val="16"/>
              </w:rPr>
              <w:t>Izvor podataka</w:t>
            </w:r>
          </w:p>
        </w:tc>
        <w:tc>
          <w:tcPr>
            <w:tcW w:w="1012" w:type="dxa"/>
            <w:shd w:val="clear" w:color="auto" w:fill="BFBFBF" w:themeFill="background1" w:themeFillShade="BF"/>
            <w:vAlign w:val="center"/>
          </w:tcPr>
          <w:p w14:paraId="35F641D5" w14:textId="759F69E2" w:rsidR="002345D8" w:rsidRPr="0078123D" w:rsidRDefault="002345D8" w:rsidP="002345D8">
            <w:pPr>
              <w:jc w:val="center"/>
              <w:rPr>
                <w:rFonts w:ascii="Arial" w:eastAsia="Calibri" w:hAnsi="Arial" w:cs="Arial"/>
                <w:sz w:val="16"/>
                <w:szCs w:val="16"/>
              </w:rPr>
            </w:pPr>
            <w:r w:rsidRPr="0078123D">
              <w:rPr>
                <w:rFonts w:ascii="Arial" w:eastAsia="Calibri" w:hAnsi="Arial" w:cs="Arial"/>
                <w:sz w:val="16"/>
                <w:szCs w:val="16"/>
              </w:rPr>
              <w:t>Ciljana vrijednost 202</w:t>
            </w:r>
            <w:r w:rsidR="00591C63">
              <w:rPr>
                <w:rFonts w:ascii="Arial" w:eastAsia="Calibri" w:hAnsi="Arial" w:cs="Arial"/>
                <w:sz w:val="16"/>
                <w:szCs w:val="16"/>
              </w:rPr>
              <w:t>5</w:t>
            </w:r>
            <w:r w:rsidRPr="0078123D">
              <w:rPr>
                <w:rFonts w:ascii="Arial" w:eastAsia="Calibri" w:hAnsi="Arial" w:cs="Arial"/>
                <w:sz w:val="16"/>
                <w:szCs w:val="16"/>
              </w:rPr>
              <w:t>.</w:t>
            </w:r>
          </w:p>
        </w:tc>
        <w:tc>
          <w:tcPr>
            <w:tcW w:w="993" w:type="dxa"/>
            <w:shd w:val="clear" w:color="auto" w:fill="BFBFBF" w:themeFill="background1" w:themeFillShade="BF"/>
            <w:vAlign w:val="center"/>
          </w:tcPr>
          <w:p w14:paraId="4348540F" w14:textId="51853BDF" w:rsidR="002345D8" w:rsidRPr="0078123D" w:rsidRDefault="002345D8" w:rsidP="002345D8">
            <w:pPr>
              <w:jc w:val="center"/>
              <w:rPr>
                <w:rFonts w:ascii="Arial" w:eastAsia="Calibri" w:hAnsi="Arial" w:cs="Arial"/>
                <w:sz w:val="16"/>
                <w:szCs w:val="16"/>
              </w:rPr>
            </w:pPr>
            <w:r w:rsidRPr="0078123D">
              <w:rPr>
                <w:rFonts w:ascii="Arial" w:eastAsia="Calibri" w:hAnsi="Arial" w:cs="Arial"/>
                <w:sz w:val="16"/>
                <w:szCs w:val="16"/>
              </w:rPr>
              <w:t>Izvršeno 202</w:t>
            </w:r>
            <w:r w:rsidR="00591C63">
              <w:rPr>
                <w:rFonts w:ascii="Arial" w:eastAsia="Calibri" w:hAnsi="Arial" w:cs="Arial"/>
                <w:sz w:val="16"/>
                <w:szCs w:val="16"/>
              </w:rPr>
              <w:t>5</w:t>
            </w:r>
            <w:r w:rsidRPr="0078123D">
              <w:rPr>
                <w:rFonts w:ascii="Arial" w:eastAsia="Calibri" w:hAnsi="Arial" w:cs="Arial"/>
                <w:sz w:val="16"/>
                <w:szCs w:val="16"/>
              </w:rPr>
              <w:t>.</w:t>
            </w:r>
          </w:p>
        </w:tc>
        <w:tc>
          <w:tcPr>
            <w:tcW w:w="1134" w:type="dxa"/>
            <w:shd w:val="clear" w:color="auto" w:fill="BFBFBF" w:themeFill="background1" w:themeFillShade="BF"/>
            <w:vAlign w:val="center"/>
          </w:tcPr>
          <w:p w14:paraId="48CD9F76" w14:textId="3FBF5B85" w:rsidR="002345D8" w:rsidRPr="0078123D" w:rsidRDefault="002345D8" w:rsidP="002345D8">
            <w:pPr>
              <w:jc w:val="center"/>
              <w:rPr>
                <w:rFonts w:ascii="Arial" w:eastAsia="Calibri" w:hAnsi="Arial" w:cs="Arial"/>
                <w:sz w:val="16"/>
                <w:szCs w:val="16"/>
              </w:rPr>
            </w:pPr>
            <w:r w:rsidRPr="0078123D">
              <w:rPr>
                <w:rFonts w:ascii="Arial" w:eastAsia="Calibri" w:hAnsi="Arial" w:cs="Arial"/>
                <w:sz w:val="16"/>
                <w:szCs w:val="16"/>
              </w:rPr>
              <w:t>Ciljana vrijednost 202</w:t>
            </w:r>
            <w:r w:rsidR="00591C63">
              <w:rPr>
                <w:rFonts w:ascii="Arial" w:eastAsia="Calibri" w:hAnsi="Arial" w:cs="Arial"/>
                <w:sz w:val="16"/>
                <w:szCs w:val="16"/>
              </w:rPr>
              <w:t>6</w:t>
            </w:r>
            <w:r w:rsidRPr="0078123D">
              <w:rPr>
                <w:rFonts w:ascii="Arial" w:eastAsia="Calibri" w:hAnsi="Arial" w:cs="Arial"/>
                <w:sz w:val="16"/>
                <w:szCs w:val="16"/>
              </w:rPr>
              <w:t>.</w:t>
            </w:r>
          </w:p>
        </w:tc>
        <w:tc>
          <w:tcPr>
            <w:tcW w:w="1134" w:type="dxa"/>
            <w:shd w:val="clear" w:color="auto" w:fill="BFBFBF" w:themeFill="background1" w:themeFillShade="BF"/>
            <w:vAlign w:val="center"/>
          </w:tcPr>
          <w:p w14:paraId="136B4DCF" w14:textId="09168DDE" w:rsidR="002345D8" w:rsidRPr="0078123D" w:rsidRDefault="002345D8" w:rsidP="002345D8">
            <w:pPr>
              <w:jc w:val="center"/>
              <w:rPr>
                <w:rFonts w:ascii="Arial" w:eastAsia="Calibri" w:hAnsi="Arial" w:cs="Arial"/>
                <w:sz w:val="16"/>
                <w:szCs w:val="16"/>
              </w:rPr>
            </w:pPr>
            <w:r w:rsidRPr="0078123D">
              <w:rPr>
                <w:rFonts w:ascii="Arial" w:eastAsia="Calibri" w:hAnsi="Arial" w:cs="Arial"/>
                <w:sz w:val="16"/>
                <w:szCs w:val="16"/>
              </w:rPr>
              <w:t>Ciljana vrijednost 202</w:t>
            </w:r>
            <w:r w:rsidR="00591C63">
              <w:rPr>
                <w:rFonts w:ascii="Arial" w:eastAsia="Calibri" w:hAnsi="Arial" w:cs="Arial"/>
                <w:sz w:val="16"/>
                <w:szCs w:val="16"/>
              </w:rPr>
              <w:t>7</w:t>
            </w:r>
            <w:r w:rsidRPr="0078123D">
              <w:rPr>
                <w:rFonts w:ascii="Arial" w:eastAsia="Calibri" w:hAnsi="Arial" w:cs="Arial"/>
                <w:sz w:val="16"/>
                <w:szCs w:val="16"/>
              </w:rPr>
              <w:t>.</w:t>
            </w:r>
          </w:p>
        </w:tc>
      </w:tr>
      <w:tr w:rsidR="0078123D" w:rsidRPr="0078123D" w14:paraId="00969FC4" w14:textId="77777777" w:rsidTr="00B223BA">
        <w:trPr>
          <w:trHeight w:val="530"/>
          <w:jc w:val="center"/>
        </w:trPr>
        <w:tc>
          <w:tcPr>
            <w:tcW w:w="1848" w:type="dxa"/>
            <w:vAlign w:val="center"/>
          </w:tcPr>
          <w:p w14:paraId="60B633ED" w14:textId="77777777" w:rsidR="002345D8" w:rsidRPr="0078123D" w:rsidRDefault="002345D8" w:rsidP="002345D8">
            <w:pPr>
              <w:rPr>
                <w:rFonts w:ascii="Arial" w:hAnsi="Arial" w:cs="Arial"/>
                <w:sz w:val="16"/>
                <w:szCs w:val="16"/>
                <w:lang w:eastAsia="en-US"/>
              </w:rPr>
            </w:pPr>
            <w:r w:rsidRPr="0078123D">
              <w:rPr>
                <w:rFonts w:ascii="Arial" w:hAnsi="Arial" w:cs="Arial"/>
                <w:sz w:val="16"/>
                <w:szCs w:val="16"/>
                <w:lang w:eastAsia="en-US"/>
              </w:rPr>
              <w:t>Broj izložbi</w:t>
            </w:r>
          </w:p>
        </w:tc>
        <w:tc>
          <w:tcPr>
            <w:tcW w:w="1134" w:type="dxa"/>
            <w:vAlign w:val="center"/>
          </w:tcPr>
          <w:p w14:paraId="48F2E3D0" w14:textId="77777777" w:rsidR="002345D8" w:rsidRPr="0078123D" w:rsidRDefault="002345D8" w:rsidP="002345D8">
            <w:pPr>
              <w:rPr>
                <w:rFonts w:ascii="Arial" w:hAnsi="Arial" w:cs="Arial"/>
                <w:sz w:val="16"/>
                <w:szCs w:val="16"/>
                <w:lang w:eastAsia="en-US"/>
              </w:rPr>
            </w:pPr>
            <w:r w:rsidRPr="0078123D">
              <w:rPr>
                <w:rFonts w:ascii="Arial" w:hAnsi="Arial" w:cs="Arial"/>
                <w:sz w:val="16"/>
                <w:szCs w:val="16"/>
                <w:lang w:eastAsia="en-US"/>
              </w:rPr>
              <w:t>Prezentacija građe</w:t>
            </w:r>
          </w:p>
        </w:tc>
        <w:tc>
          <w:tcPr>
            <w:tcW w:w="992" w:type="dxa"/>
            <w:vAlign w:val="center"/>
          </w:tcPr>
          <w:p w14:paraId="291A7ECD" w14:textId="77777777" w:rsidR="002345D8" w:rsidRPr="0078123D" w:rsidRDefault="002345D8" w:rsidP="002345D8">
            <w:pPr>
              <w:jc w:val="center"/>
              <w:rPr>
                <w:rFonts w:ascii="Arial" w:hAnsi="Arial" w:cs="Arial"/>
                <w:sz w:val="16"/>
                <w:szCs w:val="16"/>
                <w:lang w:eastAsia="en-US"/>
              </w:rPr>
            </w:pPr>
            <w:r w:rsidRPr="0078123D">
              <w:rPr>
                <w:rFonts w:ascii="Arial" w:hAnsi="Arial" w:cs="Arial"/>
                <w:sz w:val="16"/>
                <w:szCs w:val="16"/>
                <w:lang w:eastAsia="en-US"/>
              </w:rPr>
              <w:t>izložba</w:t>
            </w:r>
          </w:p>
        </w:tc>
        <w:tc>
          <w:tcPr>
            <w:tcW w:w="1109" w:type="dxa"/>
            <w:vAlign w:val="center"/>
          </w:tcPr>
          <w:p w14:paraId="787F48F3" w14:textId="160B464F" w:rsidR="002345D8" w:rsidRPr="0078123D" w:rsidRDefault="00591C63" w:rsidP="002345D8">
            <w:pPr>
              <w:jc w:val="center"/>
              <w:rPr>
                <w:rFonts w:ascii="Arial" w:hAnsi="Arial" w:cs="Arial"/>
                <w:sz w:val="16"/>
                <w:szCs w:val="16"/>
                <w:lang w:eastAsia="en-US"/>
              </w:rPr>
            </w:pPr>
            <w:r>
              <w:rPr>
                <w:rFonts w:ascii="Arial" w:hAnsi="Arial" w:cs="Arial"/>
                <w:sz w:val="16"/>
                <w:szCs w:val="16"/>
                <w:lang w:eastAsia="en-US"/>
              </w:rPr>
              <w:t>12</w:t>
            </w:r>
          </w:p>
        </w:tc>
        <w:tc>
          <w:tcPr>
            <w:tcW w:w="1134" w:type="dxa"/>
            <w:vAlign w:val="center"/>
          </w:tcPr>
          <w:p w14:paraId="461E813F" w14:textId="77777777" w:rsidR="002345D8" w:rsidRPr="0078123D" w:rsidRDefault="002345D8" w:rsidP="002345D8">
            <w:pPr>
              <w:jc w:val="center"/>
              <w:rPr>
                <w:rFonts w:ascii="Arial" w:hAnsi="Arial" w:cs="Arial"/>
                <w:sz w:val="16"/>
                <w:szCs w:val="16"/>
                <w:lang w:eastAsia="en-US"/>
              </w:rPr>
            </w:pPr>
            <w:r w:rsidRPr="0078123D">
              <w:rPr>
                <w:rFonts w:ascii="Arial" w:hAnsi="Arial" w:cs="Arial"/>
                <w:sz w:val="16"/>
                <w:szCs w:val="16"/>
                <w:lang w:eastAsia="en-US"/>
              </w:rPr>
              <w:t>muzeji</w:t>
            </w:r>
          </w:p>
        </w:tc>
        <w:tc>
          <w:tcPr>
            <w:tcW w:w="1012" w:type="dxa"/>
            <w:vAlign w:val="center"/>
          </w:tcPr>
          <w:p w14:paraId="1B51282E" w14:textId="481AB90A" w:rsidR="002345D8" w:rsidRPr="0078123D" w:rsidRDefault="00591C63" w:rsidP="002345D8">
            <w:pPr>
              <w:jc w:val="center"/>
              <w:rPr>
                <w:rFonts w:ascii="Arial" w:hAnsi="Arial" w:cs="Arial"/>
                <w:sz w:val="16"/>
                <w:szCs w:val="16"/>
                <w:lang w:eastAsia="en-US"/>
              </w:rPr>
            </w:pPr>
            <w:r>
              <w:rPr>
                <w:rFonts w:ascii="Arial" w:hAnsi="Arial" w:cs="Arial"/>
                <w:sz w:val="16"/>
                <w:szCs w:val="16"/>
                <w:lang w:eastAsia="en-US"/>
              </w:rPr>
              <w:t>8</w:t>
            </w:r>
          </w:p>
        </w:tc>
        <w:tc>
          <w:tcPr>
            <w:tcW w:w="993" w:type="dxa"/>
            <w:vAlign w:val="center"/>
          </w:tcPr>
          <w:p w14:paraId="137F1B78" w14:textId="70747A1B" w:rsidR="002345D8" w:rsidRPr="0078123D" w:rsidRDefault="00591C63" w:rsidP="002345D8">
            <w:pPr>
              <w:jc w:val="center"/>
              <w:rPr>
                <w:rFonts w:ascii="Arial" w:hAnsi="Arial" w:cs="Arial"/>
                <w:sz w:val="16"/>
                <w:szCs w:val="16"/>
                <w:lang w:eastAsia="en-US"/>
              </w:rPr>
            </w:pPr>
            <w:r>
              <w:rPr>
                <w:rFonts w:ascii="Arial" w:hAnsi="Arial" w:cs="Arial"/>
                <w:sz w:val="16"/>
                <w:szCs w:val="16"/>
                <w:lang w:eastAsia="en-US"/>
              </w:rPr>
              <w:t>7</w:t>
            </w:r>
          </w:p>
        </w:tc>
        <w:tc>
          <w:tcPr>
            <w:tcW w:w="1134" w:type="dxa"/>
            <w:vAlign w:val="center"/>
          </w:tcPr>
          <w:p w14:paraId="0E4D8B43" w14:textId="57030349" w:rsidR="002345D8" w:rsidRPr="0078123D" w:rsidRDefault="009F2127" w:rsidP="002345D8">
            <w:pPr>
              <w:jc w:val="center"/>
              <w:rPr>
                <w:rFonts w:ascii="Arial" w:hAnsi="Arial" w:cs="Arial"/>
                <w:sz w:val="16"/>
                <w:szCs w:val="16"/>
                <w:lang w:eastAsia="en-US"/>
              </w:rPr>
            </w:pPr>
            <w:r w:rsidRPr="0078123D">
              <w:rPr>
                <w:rFonts w:ascii="Arial" w:hAnsi="Arial" w:cs="Arial"/>
                <w:sz w:val="16"/>
                <w:szCs w:val="16"/>
                <w:lang w:eastAsia="en-US"/>
              </w:rPr>
              <w:t>8</w:t>
            </w:r>
          </w:p>
        </w:tc>
        <w:tc>
          <w:tcPr>
            <w:tcW w:w="1134" w:type="dxa"/>
            <w:vAlign w:val="center"/>
          </w:tcPr>
          <w:p w14:paraId="4FE43373" w14:textId="77777777" w:rsidR="002345D8" w:rsidRPr="0078123D" w:rsidRDefault="002345D8" w:rsidP="002345D8">
            <w:pPr>
              <w:jc w:val="center"/>
              <w:rPr>
                <w:rFonts w:ascii="Arial" w:hAnsi="Arial" w:cs="Arial"/>
                <w:sz w:val="16"/>
                <w:szCs w:val="16"/>
                <w:lang w:eastAsia="en-US"/>
              </w:rPr>
            </w:pPr>
            <w:r w:rsidRPr="0078123D">
              <w:rPr>
                <w:rFonts w:ascii="Arial" w:hAnsi="Arial" w:cs="Arial"/>
                <w:sz w:val="16"/>
                <w:szCs w:val="16"/>
                <w:lang w:eastAsia="en-US"/>
              </w:rPr>
              <w:t>8</w:t>
            </w:r>
          </w:p>
        </w:tc>
      </w:tr>
    </w:tbl>
    <w:p w14:paraId="5FDF777F" w14:textId="77777777" w:rsidR="00A90FC1" w:rsidRPr="0078123D" w:rsidRDefault="00A90FC1" w:rsidP="00A90FC1">
      <w:pPr>
        <w:spacing w:after="0" w:line="240" w:lineRule="auto"/>
        <w:contextualSpacing/>
        <w:jc w:val="both"/>
        <w:rPr>
          <w:rFonts w:ascii="Arial" w:eastAsia="Calibri" w:hAnsi="Arial" w:cs="Arial"/>
          <w:b/>
          <w:sz w:val="20"/>
          <w:szCs w:val="20"/>
        </w:rPr>
      </w:pPr>
    </w:p>
    <w:p w14:paraId="70D5C441" w14:textId="77777777" w:rsidR="00923EDE" w:rsidRPr="00923EDE" w:rsidRDefault="00923EDE" w:rsidP="00923EDE">
      <w:pPr>
        <w:spacing w:after="0"/>
        <w:rPr>
          <w:rFonts w:ascii="Arial" w:eastAsia="Calibri" w:hAnsi="Arial" w:cs="Arial"/>
          <w:sz w:val="20"/>
          <w:szCs w:val="20"/>
        </w:rPr>
      </w:pPr>
      <w:r w:rsidRPr="00923EDE">
        <w:rPr>
          <w:rFonts w:ascii="Arial" w:eastAsia="Calibri" w:hAnsi="Arial" w:cs="Arial"/>
          <w:sz w:val="20"/>
          <w:szCs w:val="20"/>
        </w:rPr>
        <w:t>OPIS: Održane su izložbe iz fundusa muzeja u muzejskim jedinicama, kojima je cilj prezentirati građu na edukativan način i ostaviti bibliografsku jedinicu kao nadopunu u znanstvene svrhe istraživanja građe.</w:t>
      </w:r>
    </w:p>
    <w:p w14:paraId="53D6F6C3" w14:textId="77777777" w:rsidR="00923EDE" w:rsidRPr="00923EDE" w:rsidRDefault="00923EDE" w:rsidP="00923EDE">
      <w:pPr>
        <w:spacing w:after="0"/>
        <w:rPr>
          <w:rFonts w:ascii="Arial" w:eastAsia="Calibri" w:hAnsi="Arial" w:cs="Arial"/>
          <w:sz w:val="20"/>
          <w:szCs w:val="20"/>
        </w:rPr>
      </w:pPr>
    </w:p>
    <w:p w14:paraId="78C56822" w14:textId="77777777" w:rsidR="00923EDE" w:rsidRPr="00923EDE" w:rsidRDefault="00923EDE" w:rsidP="00923EDE">
      <w:pPr>
        <w:spacing w:after="0"/>
        <w:rPr>
          <w:rFonts w:ascii="Arial" w:eastAsia="Calibri" w:hAnsi="Arial" w:cs="Arial"/>
          <w:sz w:val="20"/>
          <w:szCs w:val="20"/>
        </w:rPr>
      </w:pPr>
      <w:r w:rsidRPr="00923EDE">
        <w:rPr>
          <w:rFonts w:ascii="Arial" w:eastAsia="Calibri" w:hAnsi="Arial" w:cs="Arial"/>
          <w:sz w:val="20"/>
          <w:szCs w:val="20"/>
        </w:rPr>
        <w:t>U okviru ove aktivnosti do 30.6.2025. godine održane su sljedeće izložbe:</w:t>
      </w:r>
    </w:p>
    <w:p w14:paraId="4838E3A0" w14:textId="77777777" w:rsidR="00923EDE" w:rsidRPr="00923EDE" w:rsidRDefault="00923EDE" w:rsidP="00923EDE">
      <w:pPr>
        <w:pStyle w:val="Odlomakpopisa"/>
        <w:numPr>
          <w:ilvl w:val="0"/>
          <w:numId w:val="41"/>
        </w:numPr>
        <w:spacing w:line="276" w:lineRule="auto"/>
        <w:contextualSpacing/>
        <w:jc w:val="left"/>
        <w:rPr>
          <w:rFonts w:ascii="Arial" w:eastAsia="Calibri" w:hAnsi="Arial" w:cs="Arial"/>
        </w:rPr>
      </w:pPr>
      <w:r w:rsidRPr="00923EDE">
        <w:rPr>
          <w:rFonts w:ascii="Arial" w:eastAsia="Calibri" w:hAnsi="Arial" w:cs="Arial"/>
          <w:i/>
          <w:iCs/>
        </w:rPr>
        <w:t xml:space="preserve">Glazba Kuće Bukovac (15.12.2024. – 31.03.2025.), </w:t>
      </w:r>
      <w:r w:rsidRPr="00923EDE">
        <w:rPr>
          <w:rFonts w:ascii="Arial" w:eastAsia="Calibri" w:hAnsi="Arial" w:cs="Arial"/>
        </w:rPr>
        <w:t>Kuća Bukovac</w:t>
      </w:r>
    </w:p>
    <w:p w14:paraId="498153F5" w14:textId="77777777" w:rsidR="00923EDE" w:rsidRPr="00923EDE" w:rsidRDefault="00923EDE" w:rsidP="00923EDE">
      <w:pPr>
        <w:pStyle w:val="Odlomakpopisa"/>
        <w:numPr>
          <w:ilvl w:val="0"/>
          <w:numId w:val="41"/>
        </w:numPr>
        <w:spacing w:line="276" w:lineRule="auto"/>
        <w:contextualSpacing/>
        <w:jc w:val="left"/>
        <w:rPr>
          <w:rFonts w:ascii="Arial" w:eastAsia="Calibri" w:hAnsi="Arial" w:cs="Arial"/>
        </w:rPr>
      </w:pPr>
      <w:r w:rsidRPr="00923EDE">
        <w:rPr>
          <w:rFonts w:ascii="Arial" w:eastAsia="Calibri" w:hAnsi="Arial" w:cs="Arial"/>
          <w:i/>
          <w:iCs/>
        </w:rPr>
        <w:t>Cavtaćanin Niko Miljan – praški učenik Vlaha Bukovca (29. 5. 2025. -10.2025.)</w:t>
      </w:r>
    </w:p>
    <w:p w14:paraId="017EA7E3" w14:textId="77777777" w:rsidR="00923EDE" w:rsidRPr="00923EDE" w:rsidRDefault="00923EDE" w:rsidP="00923EDE">
      <w:pPr>
        <w:pStyle w:val="Textbody"/>
        <w:widowControl/>
        <w:numPr>
          <w:ilvl w:val="0"/>
          <w:numId w:val="41"/>
        </w:numPr>
        <w:spacing w:after="0" w:line="240" w:lineRule="atLeast"/>
        <w:textAlignment w:val="baseline"/>
        <w:rPr>
          <w:rFonts w:ascii="Arial" w:hAnsi="Arial"/>
          <w:color w:val="000000"/>
          <w:sz w:val="20"/>
          <w:szCs w:val="20"/>
        </w:rPr>
      </w:pPr>
      <w:r w:rsidRPr="00923EDE">
        <w:rPr>
          <w:rFonts w:ascii="Arial" w:hAnsi="Arial"/>
          <w:i/>
          <w:color w:val="000000"/>
          <w:sz w:val="20"/>
          <w:szCs w:val="20"/>
        </w:rPr>
        <w:t>Djeca oko nas, to je naše na to smo ponosni – djeca i tradicijska kultura,</w:t>
      </w:r>
      <w:r w:rsidRPr="00923EDE">
        <w:rPr>
          <w:rFonts w:ascii="Arial" w:hAnsi="Arial"/>
          <w:color w:val="000000"/>
          <w:sz w:val="20"/>
          <w:szCs w:val="20"/>
        </w:rPr>
        <w:t xml:space="preserve"> izložba fotografija Saše Pjanića (1. 12. 2024. -  1. 3. 2025.), Zavičajni muzej Konavala</w:t>
      </w:r>
    </w:p>
    <w:p w14:paraId="72FB66AF" w14:textId="77777777" w:rsidR="00923EDE" w:rsidRPr="00923EDE" w:rsidRDefault="00923EDE" w:rsidP="00923EDE">
      <w:pPr>
        <w:pStyle w:val="Textbody"/>
        <w:widowControl/>
        <w:numPr>
          <w:ilvl w:val="0"/>
          <w:numId w:val="53"/>
        </w:numPr>
        <w:spacing w:after="0" w:line="240" w:lineRule="atLeast"/>
        <w:textAlignment w:val="baseline"/>
        <w:rPr>
          <w:rFonts w:ascii="Arial" w:hAnsi="Arial"/>
          <w:color w:val="000000"/>
          <w:sz w:val="20"/>
          <w:szCs w:val="20"/>
        </w:rPr>
      </w:pPr>
      <w:r w:rsidRPr="00923EDE">
        <w:rPr>
          <w:rFonts w:ascii="Arial" w:hAnsi="Arial"/>
          <w:i/>
          <w:iCs/>
          <w:color w:val="000000"/>
          <w:sz w:val="20"/>
          <w:szCs w:val="20"/>
        </w:rPr>
        <w:t>Od početka vez</w:t>
      </w:r>
      <w:r w:rsidRPr="00923EDE">
        <w:rPr>
          <w:rFonts w:ascii="Arial" w:hAnsi="Arial"/>
          <w:color w:val="000000"/>
          <w:sz w:val="20"/>
          <w:szCs w:val="20"/>
        </w:rPr>
        <w:t>, završna izložba polaznica radionice vezenja (18. 10. 2024. - 1. 4. 2025.), Zavičajni muzej Konavala</w:t>
      </w:r>
    </w:p>
    <w:p w14:paraId="319F42C2" w14:textId="77777777" w:rsidR="00923EDE" w:rsidRPr="00923EDE" w:rsidRDefault="00923EDE" w:rsidP="00923EDE">
      <w:pPr>
        <w:pStyle w:val="Textbody"/>
        <w:widowControl/>
        <w:numPr>
          <w:ilvl w:val="0"/>
          <w:numId w:val="53"/>
        </w:numPr>
        <w:spacing w:after="0" w:line="240" w:lineRule="atLeast"/>
        <w:textAlignment w:val="baseline"/>
        <w:rPr>
          <w:rFonts w:ascii="Arial" w:hAnsi="Arial"/>
          <w:color w:val="000000"/>
          <w:sz w:val="20"/>
          <w:szCs w:val="20"/>
        </w:rPr>
      </w:pPr>
      <w:r w:rsidRPr="00923EDE">
        <w:rPr>
          <w:rFonts w:ascii="Arial" w:hAnsi="Arial"/>
          <w:i/>
          <w:iCs/>
          <w:color w:val="000000"/>
          <w:sz w:val="20"/>
          <w:szCs w:val="20"/>
        </w:rPr>
        <w:t>Dudov svilac u Konavlima</w:t>
      </w:r>
      <w:r w:rsidRPr="00923EDE">
        <w:rPr>
          <w:rFonts w:ascii="Arial" w:hAnsi="Arial"/>
          <w:color w:val="000000"/>
          <w:sz w:val="20"/>
          <w:szCs w:val="20"/>
        </w:rPr>
        <w:t xml:space="preserve"> (21. 10. 2024. - 15 07. 2025.), Prirodoslovni muzej Dubrovnik</w:t>
      </w:r>
    </w:p>
    <w:p w14:paraId="45D0E32B" w14:textId="77777777" w:rsidR="00923EDE" w:rsidRPr="00923EDE" w:rsidRDefault="00923EDE" w:rsidP="00923EDE">
      <w:pPr>
        <w:pStyle w:val="Obinitekst"/>
        <w:numPr>
          <w:ilvl w:val="0"/>
          <w:numId w:val="53"/>
        </w:numPr>
        <w:rPr>
          <w:rFonts w:ascii="Arial" w:hAnsi="Arial" w:cs="Arial"/>
          <w:sz w:val="20"/>
          <w:szCs w:val="20"/>
        </w:rPr>
      </w:pPr>
      <w:r w:rsidRPr="00923EDE">
        <w:rPr>
          <w:rFonts w:ascii="Arial" w:hAnsi="Arial" w:cs="Arial"/>
          <w:i/>
          <w:iCs/>
          <w:sz w:val="20"/>
          <w:szCs w:val="20"/>
        </w:rPr>
        <w:t>Novootkriveni Epidaur: Amfore sa cavtatskih lokaliteta</w:t>
      </w:r>
      <w:r w:rsidRPr="00923EDE">
        <w:rPr>
          <w:rFonts w:ascii="Arial" w:hAnsi="Arial" w:cs="Arial"/>
          <w:sz w:val="20"/>
          <w:szCs w:val="20"/>
        </w:rPr>
        <w:t xml:space="preserve"> ( 27.12.2024. - 31. 12. 2025.)  Odjel za arheologiju i spomeničku baštinu</w:t>
      </w:r>
    </w:p>
    <w:p w14:paraId="79A7C887" w14:textId="77777777" w:rsidR="00923EDE" w:rsidRPr="00923EDE" w:rsidRDefault="00923EDE" w:rsidP="00923EDE">
      <w:pPr>
        <w:pStyle w:val="Obinitekst"/>
        <w:numPr>
          <w:ilvl w:val="0"/>
          <w:numId w:val="53"/>
        </w:numPr>
        <w:rPr>
          <w:rFonts w:ascii="Arial" w:hAnsi="Arial" w:cs="Arial"/>
          <w:sz w:val="20"/>
          <w:szCs w:val="20"/>
        </w:rPr>
      </w:pPr>
      <w:r w:rsidRPr="00923EDE">
        <w:rPr>
          <w:rFonts w:ascii="Arial" w:hAnsi="Arial" w:cs="Arial"/>
          <w:i/>
          <w:iCs/>
          <w:sz w:val="20"/>
          <w:szCs w:val="20"/>
        </w:rPr>
        <w:t>Moje Konavle – stare fotografije iz privatnih zbirki / Prikupila Katica Radić (10. 6. -30. 9. 2025.)</w:t>
      </w:r>
    </w:p>
    <w:p w14:paraId="7A2724CD" w14:textId="77777777" w:rsidR="0078123D" w:rsidRPr="006E4FC7" w:rsidRDefault="0078123D" w:rsidP="00EA587B">
      <w:pPr>
        <w:spacing w:after="0" w:line="240" w:lineRule="auto"/>
        <w:contextualSpacing/>
        <w:jc w:val="both"/>
        <w:rPr>
          <w:rFonts w:ascii="Arial" w:eastAsia="Calibri" w:hAnsi="Arial" w:cs="Arial"/>
          <w:b/>
          <w:sz w:val="20"/>
          <w:szCs w:val="20"/>
        </w:rPr>
      </w:pPr>
    </w:p>
    <w:p w14:paraId="7B5D5364" w14:textId="41630BB3" w:rsidR="00F74589" w:rsidRDefault="00A90FC1" w:rsidP="00F74589">
      <w:pPr>
        <w:spacing w:after="0" w:line="240" w:lineRule="auto"/>
        <w:jc w:val="both"/>
        <w:rPr>
          <w:rFonts w:ascii="Arial" w:eastAsia="Calibri" w:hAnsi="Arial" w:cs="Arial"/>
          <w:sz w:val="20"/>
          <w:szCs w:val="20"/>
        </w:rPr>
      </w:pPr>
      <w:r w:rsidRPr="006E4FC7">
        <w:rPr>
          <w:rFonts w:ascii="Arial" w:eastAsia="Calibri" w:hAnsi="Arial" w:cs="Arial"/>
          <w:b/>
          <w:sz w:val="20"/>
          <w:szCs w:val="20"/>
        </w:rPr>
        <w:t xml:space="preserve">7.T203108: Konzervatorsko restauratorski radovi </w:t>
      </w:r>
      <w:r w:rsidRPr="006E4FC7">
        <w:rPr>
          <w:rFonts w:ascii="Arial" w:eastAsia="Calibri" w:hAnsi="Arial" w:cs="Arial"/>
          <w:sz w:val="20"/>
          <w:szCs w:val="20"/>
        </w:rPr>
        <w:t xml:space="preserve">- u sklopu navedene aktivnosti planirano je </w:t>
      </w:r>
      <w:r w:rsidR="00923EDE">
        <w:rPr>
          <w:rFonts w:ascii="Arial" w:eastAsia="Calibri" w:hAnsi="Arial" w:cs="Arial"/>
          <w:sz w:val="20"/>
          <w:szCs w:val="20"/>
        </w:rPr>
        <w:t>25.000</w:t>
      </w:r>
      <w:r w:rsidR="00FD724F" w:rsidRPr="006E4FC7">
        <w:rPr>
          <w:rFonts w:ascii="Arial" w:eastAsia="Calibri" w:hAnsi="Arial" w:cs="Arial"/>
          <w:sz w:val="20"/>
          <w:szCs w:val="20"/>
        </w:rPr>
        <w:t xml:space="preserve"> €</w:t>
      </w:r>
      <w:r w:rsidRPr="006E4FC7">
        <w:rPr>
          <w:rFonts w:ascii="Arial" w:eastAsia="Calibri" w:hAnsi="Arial" w:cs="Arial"/>
          <w:sz w:val="20"/>
          <w:szCs w:val="20"/>
        </w:rPr>
        <w:t xml:space="preserve">, </w:t>
      </w:r>
      <w:r w:rsidR="003D7373" w:rsidRPr="006E4FC7">
        <w:rPr>
          <w:rFonts w:ascii="Arial" w:eastAsia="Calibri" w:hAnsi="Arial" w:cs="Arial"/>
          <w:sz w:val="20"/>
          <w:szCs w:val="20"/>
        </w:rPr>
        <w:t>a</w:t>
      </w:r>
      <w:r w:rsidR="00FD724F" w:rsidRPr="006E4FC7">
        <w:rPr>
          <w:rFonts w:ascii="Arial" w:eastAsia="Calibri" w:hAnsi="Arial" w:cs="Arial"/>
          <w:sz w:val="20"/>
          <w:szCs w:val="20"/>
        </w:rPr>
        <w:t xml:space="preserve"> </w:t>
      </w:r>
      <w:r w:rsidR="002345D8" w:rsidRPr="006E4FC7">
        <w:rPr>
          <w:rFonts w:ascii="Arial" w:eastAsia="Calibri" w:hAnsi="Arial" w:cs="Arial"/>
          <w:sz w:val="20"/>
          <w:szCs w:val="20"/>
        </w:rPr>
        <w:t xml:space="preserve">utrošeno </w:t>
      </w:r>
      <w:r w:rsidR="00FD724F" w:rsidRPr="006E4FC7">
        <w:rPr>
          <w:rFonts w:ascii="Arial" w:eastAsia="Calibri" w:hAnsi="Arial" w:cs="Arial"/>
          <w:sz w:val="20"/>
          <w:szCs w:val="20"/>
        </w:rPr>
        <w:t xml:space="preserve">je </w:t>
      </w:r>
      <w:r w:rsidR="00923EDE">
        <w:rPr>
          <w:rFonts w:ascii="Arial" w:eastAsia="Calibri" w:hAnsi="Arial" w:cs="Arial"/>
          <w:sz w:val="20"/>
          <w:szCs w:val="20"/>
        </w:rPr>
        <w:t>512,01</w:t>
      </w:r>
      <w:r w:rsidR="00FD724F" w:rsidRPr="006E4FC7">
        <w:rPr>
          <w:rFonts w:ascii="Arial" w:eastAsia="Calibri" w:hAnsi="Arial" w:cs="Arial"/>
          <w:sz w:val="20"/>
          <w:szCs w:val="20"/>
        </w:rPr>
        <w:t xml:space="preserve"> € ili </w:t>
      </w:r>
      <w:r w:rsidR="00923EDE">
        <w:rPr>
          <w:rFonts w:ascii="Arial" w:eastAsia="Calibri" w:hAnsi="Arial" w:cs="Arial"/>
          <w:sz w:val="20"/>
          <w:szCs w:val="20"/>
        </w:rPr>
        <w:t>2</w:t>
      </w:r>
      <w:r w:rsidR="002345D8" w:rsidRPr="006E4FC7">
        <w:rPr>
          <w:rFonts w:ascii="Arial" w:eastAsia="Calibri" w:hAnsi="Arial" w:cs="Arial"/>
          <w:sz w:val="20"/>
          <w:szCs w:val="20"/>
        </w:rPr>
        <w:t xml:space="preserve">% </w:t>
      </w:r>
      <w:r w:rsidR="00F74589" w:rsidRPr="00F74589">
        <w:rPr>
          <w:rFonts w:ascii="Arial" w:eastAsia="Calibri" w:hAnsi="Arial" w:cs="Arial"/>
          <w:sz w:val="20"/>
          <w:szCs w:val="20"/>
        </w:rPr>
        <w:t>što se odnosi na troškove konzervatorsko-restauratorskih zahvata u Kući Bukovac. Najveći dio planiranih sredstva na ovoj aktivnosti se odnosi na restauraciju harmonija KB-708 iz Kuće Bukovac koja će se završiti krajem 2025. godine.</w:t>
      </w:r>
    </w:p>
    <w:p w14:paraId="0877E483" w14:textId="77777777" w:rsidR="00F74589" w:rsidRPr="00F74589" w:rsidRDefault="00F74589" w:rsidP="00F74589">
      <w:pPr>
        <w:spacing w:after="0" w:line="240" w:lineRule="auto"/>
        <w:jc w:val="both"/>
        <w:rPr>
          <w:rFonts w:ascii="Arial" w:eastAsia="Calibri" w:hAnsi="Arial" w:cs="Arial"/>
          <w:sz w:val="20"/>
          <w:szCs w:val="20"/>
        </w:rPr>
      </w:pPr>
    </w:p>
    <w:p w14:paraId="36F36C46" w14:textId="46551CC9" w:rsidR="0078123D" w:rsidRDefault="00F74589" w:rsidP="00F74589">
      <w:pPr>
        <w:spacing w:after="0" w:line="240" w:lineRule="auto"/>
        <w:jc w:val="both"/>
        <w:rPr>
          <w:rFonts w:ascii="Arial" w:eastAsia="Calibri" w:hAnsi="Arial" w:cs="Arial"/>
          <w:sz w:val="20"/>
          <w:szCs w:val="20"/>
        </w:rPr>
      </w:pPr>
      <w:r w:rsidRPr="00F74589">
        <w:rPr>
          <w:rFonts w:ascii="Arial" w:eastAsia="Calibri" w:hAnsi="Arial" w:cs="Arial"/>
          <w:sz w:val="20"/>
          <w:szCs w:val="20"/>
        </w:rPr>
        <w:t>Konzervatorsko restauratorski radovi iz ove aktivnosti odnose se na usluge i nabavku materijala za  konzervatorsko restauratorske radove na muzejskim predmetima.</w:t>
      </w:r>
    </w:p>
    <w:p w14:paraId="41343561" w14:textId="77777777" w:rsidR="00652843" w:rsidRDefault="00652843" w:rsidP="00283FFF">
      <w:pPr>
        <w:spacing w:after="0" w:line="240" w:lineRule="auto"/>
        <w:jc w:val="both"/>
        <w:rPr>
          <w:rFonts w:ascii="Arial" w:eastAsia="Calibri" w:hAnsi="Arial" w:cs="Arial"/>
          <w:b/>
          <w:sz w:val="20"/>
          <w:szCs w:val="20"/>
        </w:rPr>
      </w:pPr>
    </w:p>
    <w:p w14:paraId="7ABF6CFC" w14:textId="4A1044C0" w:rsidR="00283FFF" w:rsidRPr="006E4FC7" w:rsidRDefault="00A90FC1" w:rsidP="00283FFF">
      <w:pPr>
        <w:spacing w:after="0" w:line="240" w:lineRule="auto"/>
        <w:jc w:val="both"/>
        <w:rPr>
          <w:rFonts w:ascii="Arial" w:eastAsia="Calibri" w:hAnsi="Arial" w:cs="Arial"/>
          <w:sz w:val="20"/>
          <w:szCs w:val="20"/>
        </w:rPr>
      </w:pPr>
      <w:r w:rsidRPr="006E4FC7">
        <w:rPr>
          <w:rFonts w:ascii="Arial" w:eastAsia="Calibri" w:hAnsi="Arial" w:cs="Arial"/>
          <w:b/>
          <w:sz w:val="20"/>
          <w:szCs w:val="20"/>
        </w:rPr>
        <w:t>8</w:t>
      </w:r>
      <w:r w:rsidR="00283FFF" w:rsidRPr="006E4FC7">
        <w:rPr>
          <w:rFonts w:ascii="Arial" w:eastAsia="Calibri" w:hAnsi="Arial" w:cs="Arial"/>
          <w:b/>
          <w:sz w:val="20"/>
          <w:szCs w:val="20"/>
        </w:rPr>
        <w:t xml:space="preserve">. T203109: Redefiniranje uloge muzeja u turističkoj ponudi </w:t>
      </w:r>
      <w:r w:rsidR="00283FFF" w:rsidRPr="006E4FC7">
        <w:rPr>
          <w:rFonts w:ascii="Arial" w:eastAsia="Calibri" w:hAnsi="Arial" w:cs="Arial"/>
          <w:sz w:val="20"/>
          <w:szCs w:val="20"/>
        </w:rPr>
        <w:t>– U 202</w:t>
      </w:r>
      <w:r w:rsidR="00652843">
        <w:rPr>
          <w:rFonts w:ascii="Arial" w:eastAsia="Calibri" w:hAnsi="Arial" w:cs="Arial"/>
          <w:sz w:val="20"/>
          <w:szCs w:val="20"/>
        </w:rPr>
        <w:t>5</w:t>
      </w:r>
      <w:r w:rsidR="00283FFF" w:rsidRPr="006E4FC7">
        <w:rPr>
          <w:rFonts w:ascii="Arial" w:eastAsia="Calibri" w:hAnsi="Arial" w:cs="Arial"/>
          <w:sz w:val="20"/>
          <w:szCs w:val="20"/>
        </w:rPr>
        <w:t xml:space="preserve">. godini </w:t>
      </w:r>
      <w:r w:rsidR="00ED5AE5" w:rsidRPr="006E4FC7">
        <w:rPr>
          <w:rFonts w:ascii="Arial" w:eastAsia="Calibri" w:hAnsi="Arial" w:cs="Arial"/>
          <w:sz w:val="20"/>
          <w:szCs w:val="20"/>
        </w:rPr>
        <w:t>ni</w:t>
      </w:r>
      <w:r w:rsidR="00FD724F" w:rsidRPr="006E4FC7">
        <w:rPr>
          <w:rFonts w:ascii="Arial" w:eastAsia="Calibri" w:hAnsi="Arial" w:cs="Arial"/>
          <w:sz w:val="20"/>
          <w:szCs w:val="20"/>
        </w:rPr>
        <w:t>su</w:t>
      </w:r>
      <w:r w:rsidR="00283FFF" w:rsidRPr="006E4FC7">
        <w:rPr>
          <w:rFonts w:ascii="Arial" w:eastAsia="Calibri" w:hAnsi="Arial" w:cs="Arial"/>
          <w:sz w:val="20"/>
          <w:szCs w:val="20"/>
        </w:rPr>
        <w:t xml:space="preserve"> planirana proračunska sredstva</w:t>
      </w:r>
      <w:r w:rsidR="00ED5AE5" w:rsidRPr="006E4FC7">
        <w:rPr>
          <w:rFonts w:ascii="Arial" w:eastAsia="Calibri" w:hAnsi="Arial" w:cs="Arial"/>
          <w:sz w:val="20"/>
          <w:szCs w:val="20"/>
        </w:rPr>
        <w:t>.</w:t>
      </w:r>
    </w:p>
    <w:p w14:paraId="17409936" w14:textId="77777777" w:rsidR="003D7373" w:rsidRPr="006E4FC7" w:rsidRDefault="003D7373" w:rsidP="003D7373">
      <w:pPr>
        <w:spacing w:after="0" w:line="240" w:lineRule="auto"/>
        <w:jc w:val="both"/>
        <w:rPr>
          <w:rFonts w:ascii="Arial" w:eastAsia="Calibri" w:hAnsi="Arial" w:cs="Arial"/>
          <w:sz w:val="20"/>
          <w:szCs w:val="20"/>
        </w:rPr>
      </w:pPr>
    </w:p>
    <w:p w14:paraId="66826617" w14:textId="1E1FEB33" w:rsidR="00FD724F" w:rsidRPr="006E4FC7" w:rsidRDefault="003D7373" w:rsidP="00FD724F">
      <w:pPr>
        <w:autoSpaceDE w:val="0"/>
        <w:autoSpaceDN w:val="0"/>
        <w:adjustRightInd w:val="0"/>
        <w:spacing w:after="0" w:line="240" w:lineRule="auto"/>
        <w:jc w:val="both"/>
        <w:rPr>
          <w:rFonts w:ascii="Arial" w:eastAsia="Calibri" w:hAnsi="Arial" w:cs="Arial"/>
          <w:sz w:val="20"/>
          <w:szCs w:val="20"/>
        </w:rPr>
      </w:pPr>
      <w:r w:rsidRPr="006E4FC7">
        <w:rPr>
          <w:rFonts w:ascii="Arial" w:eastAsia="Calibri" w:hAnsi="Arial" w:cs="Arial"/>
          <w:b/>
          <w:sz w:val="20"/>
          <w:szCs w:val="20"/>
        </w:rPr>
        <w:t>9. A203110: Kulturne aktivnosti u muzejsko galerijskoj djelatnosti i suvenirski program</w:t>
      </w:r>
      <w:r w:rsidRPr="006E4FC7">
        <w:rPr>
          <w:rFonts w:ascii="Arial" w:eastAsia="Calibri" w:hAnsi="Arial" w:cs="Arial"/>
          <w:sz w:val="20"/>
          <w:szCs w:val="20"/>
        </w:rPr>
        <w:t xml:space="preserve">- u sklopu navedene aktivnosti su planirana proračunska sredstva u iznosu </w:t>
      </w:r>
      <w:r w:rsidR="00652843">
        <w:rPr>
          <w:rFonts w:ascii="Arial" w:eastAsia="Calibri" w:hAnsi="Arial" w:cs="Arial"/>
          <w:sz w:val="20"/>
          <w:szCs w:val="20"/>
        </w:rPr>
        <w:t>13.800</w:t>
      </w:r>
      <w:r w:rsidR="00FD724F" w:rsidRPr="006E4FC7">
        <w:rPr>
          <w:rFonts w:ascii="Arial" w:eastAsia="Calibri" w:hAnsi="Arial" w:cs="Arial"/>
          <w:sz w:val="20"/>
          <w:szCs w:val="20"/>
        </w:rPr>
        <w:t xml:space="preserve"> €</w:t>
      </w:r>
      <w:r w:rsidRPr="006E4FC7">
        <w:rPr>
          <w:rFonts w:ascii="Arial" w:eastAsia="Calibri" w:hAnsi="Arial" w:cs="Arial"/>
          <w:sz w:val="20"/>
          <w:szCs w:val="20"/>
        </w:rPr>
        <w:t xml:space="preserve">, a izvršenje iznosi </w:t>
      </w:r>
      <w:r w:rsidR="00652843">
        <w:rPr>
          <w:rFonts w:ascii="Arial" w:eastAsia="Calibri" w:hAnsi="Arial" w:cs="Arial"/>
          <w:sz w:val="20"/>
          <w:szCs w:val="20"/>
        </w:rPr>
        <w:t>3.034,79</w:t>
      </w:r>
      <w:r w:rsidR="00FD724F" w:rsidRPr="006E4FC7">
        <w:rPr>
          <w:rFonts w:ascii="Arial" w:eastAsia="Calibri" w:hAnsi="Arial" w:cs="Arial"/>
          <w:sz w:val="20"/>
          <w:szCs w:val="20"/>
        </w:rPr>
        <w:t xml:space="preserve"> €</w:t>
      </w:r>
      <w:r w:rsidRPr="006E4FC7">
        <w:rPr>
          <w:rFonts w:ascii="Arial" w:eastAsia="Calibri" w:hAnsi="Arial" w:cs="Arial"/>
          <w:sz w:val="20"/>
          <w:szCs w:val="20"/>
        </w:rPr>
        <w:t xml:space="preserve"> odnosno </w:t>
      </w:r>
      <w:r w:rsidR="00652843">
        <w:rPr>
          <w:rFonts w:ascii="Arial" w:eastAsia="Calibri" w:hAnsi="Arial" w:cs="Arial"/>
          <w:sz w:val="20"/>
          <w:szCs w:val="20"/>
        </w:rPr>
        <w:t>22</w:t>
      </w:r>
      <w:r w:rsidRPr="006E4FC7">
        <w:rPr>
          <w:rFonts w:ascii="Arial" w:eastAsia="Calibri" w:hAnsi="Arial" w:cs="Arial"/>
          <w:sz w:val="20"/>
          <w:szCs w:val="20"/>
        </w:rPr>
        <w:t>% planiranog</w:t>
      </w:r>
      <w:r w:rsidR="00FD724F" w:rsidRPr="006E4FC7">
        <w:rPr>
          <w:rFonts w:ascii="Arial" w:eastAsia="Calibri" w:hAnsi="Arial" w:cs="Arial"/>
          <w:sz w:val="20"/>
          <w:szCs w:val="20"/>
        </w:rPr>
        <w:t xml:space="preserve"> što se najvećim dijelom odnosi na troškove nabave suvenira za muzejske prodavaonice.</w:t>
      </w:r>
    </w:p>
    <w:p w14:paraId="33936EBA" w14:textId="77777777" w:rsidR="00FD724F" w:rsidRPr="006E4FC7" w:rsidRDefault="00FD724F" w:rsidP="00FD724F">
      <w:pPr>
        <w:autoSpaceDE w:val="0"/>
        <w:autoSpaceDN w:val="0"/>
        <w:adjustRightInd w:val="0"/>
        <w:spacing w:after="0" w:line="240" w:lineRule="auto"/>
        <w:jc w:val="both"/>
        <w:rPr>
          <w:rFonts w:ascii="Arial" w:eastAsia="Calibri" w:hAnsi="Arial" w:cs="Arial"/>
          <w:sz w:val="20"/>
          <w:szCs w:val="20"/>
        </w:rPr>
      </w:pPr>
    </w:p>
    <w:p w14:paraId="6F61F4E0" w14:textId="4317DF87" w:rsidR="00EA587B" w:rsidRDefault="00CB613A" w:rsidP="003D7373">
      <w:pPr>
        <w:autoSpaceDE w:val="0"/>
        <w:autoSpaceDN w:val="0"/>
        <w:adjustRightInd w:val="0"/>
        <w:spacing w:after="0" w:line="240" w:lineRule="auto"/>
        <w:jc w:val="both"/>
        <w:rPr>
          <w:rFonts w:ascii="Arial" w:eastAsia="Calibri" w:hAnsi="Arial" w:cs="Arial"/>
          <w:sz w:val="20"/>
          <w:szCs w:val="20"/>
        </w:rPr>
      </w:pPr>
      <w:r w:rsidRPr="00CB613A">
        <w:rPr>
          <w:rFonts w:ascii="Arial" w:eastAsia="Calibri" w:hAnsi="Arial" w:cs="Arial"/>
          <w:sz w:val="20"/>
          <w:szCs w:val="20"/>
        </w:rPr>
        <w:lastRenderedPageBreak/>
        <w:t>Kulturne aktivnosti Muzeja i galerija Konavala obuhvaćaju sva organizirana javna okupljanja vezana za prezentaciju, obradu ili istraživanje građe koja u svojem konceptu imaju i zabavni element kojim se privlači nove muzejske publike, riječ je o prigodnim koncertima, predstavama, predavanjima i gostovanjima koja populariziraju dolaske u muzeje. Veliki udio ove aktivnosti se odnosi na suvenirski program kojim se kroz bogatu ponudu replika, memorabilija i izdavaštva ostvaruje značajan prihod ustanove.</w:t>
      </w:r>
    </w:p>
    <w:p w14:paraId="0E388304" w14:textId="77777777" w:rsidR="00CB613A" w:rsidRPr="006E4FC7" w:rsidRDefault="00CB613A" w:rsidP="003D7373">
      <w:pPr>
        <w:autoSpaceDE w:val="0"/>
        <w:autoSpaceDN w:val="0"/>
        <w:adjustRightInd w:val="0"/>
        <w:spacing w:after="0" w:line="240" w:lineRule="auto"/>
        <w:jc w:val="both"/>
        <w:rPr>
          <w:rFonts w:ascii="Arial" w:eastAsia="Calibri" w:hAnsi="Arial" w:cs="Arial"/>
          <w:sz w:val="20"/>
          <w:szCs w:val="20"/>
        </w:rPr>
      </w:pPr>
    </w:p>
    <w:tbl>
      <w:tblPr>
        <w:tblStyle w:val="Reetkatablice5"/>
        <w:tblW w:w="13478" w:type="dxa"/>
        <w:jc w:val="center"/>
        <w:tblLayout w:type="fixed"/>
        <w:tblLook w:val="04A0" w:firstRow="1" w:lastRow="0" w:firstColumn="1" w:lastColumn="0" w:noHBand="0" w:noVBand="1"/>
      </w:tblPr>
      <w:tblGrid>
        <w:gridCol w:w="2689"/>
        <w:gridCol w:w="3134"/>
        <w:gridCol w:w="992"/>
        <w:gridCol w:w="1134"/>
        <w:gridCol w:w="993"/>
        <w:gridCol w:w="1134"/>
        <w:gridCol w:w="1134"/>
        <w:gridCol w:w="1134"/>
        <w:gridCol w:w="1134"/>
      </w:tblGrid>
      <w:tr w:rsidR="006E4FC7" w:rsidRPr="001A53BF" w14:paraId="022F9899" w14:textId="77777777" w:rsidTr="00EA587B">
        <w:trPr>
          <w:jc w:val="center"/>
        </w:trPr>
        <w:tc>
          <w:tcPr>
            <w:tcW w:w="2689" w:type="dxa"/>
            <w:tcBorders>
              <w:bottom w:val="single" w:sz="4" w:space="0" w:color="auto"/>
            </w:tcBorders>
            <w:shd w:val="clear" w:color="auto" w:fill="BFBFBF" w:themeFill="background1" w:themeFillShade="BF"/>
            <w:vAlign w:val="center"/>
          </w:tcPr>
          <w:p w14:paraId="376D6FAC" w14:textId="77777777" w:rsidR="006E4FC7" w:rsidRPr="001A53BF" w:rsidRDefault="006E4FC7" w:rsidP="00C83EE8">
            <w:pPr>
              <w:jc w:val="center"/>
              <w:rPr>
                <w:rFonts w:ascii="Arial" w:eastAsia="Calibri" w:hAnsi="Arial" w:cs="Arial"/>
                <w:sz w:val="18"/>
                <w:szCs w:val="18"/>
              </w:rPr>
            </w:pPr>
            <w:r w:rsidRPr="001A53BF">
              <w:rPr>
                <w:rFonts w:ascii="Arial" w:eastAsia="Calibri" w:hAnsi="Arial" w:cs="Arial"/>
                <w:sz w:val="18"/>
                <w:szCs w:val="18"/>
              </w:rPr>
              <w:t>Pokazatelj uspješnosti</w:t>
            </w:r>
          </w:p>
        </w:tc>
        <w:tc>
          <w:tcPr>
            <w:tcW w:w="3134" w:type="dxa"/>
            <w:shd w:val="clear" w:color="auto" w:fill="BFBFBF" w:themeFill="background1" w:themeFillShade="BF"/>
            <w:vAlign w:val="center"/>
          </w:tcPr>
          <w:p w14:paraId="7C61ED8D" w14:textId="77777777" w:rsidR="006E4FC7" w:rsidRPr="001A53BF" w:rsidRDefault="006E4FC7" w:rsidP="00C83EE8">
            <w:pPr>
              <w:jc w:val="center"/>
              <w:rPr>
                <w:rFonts w:ascii="Arial" w:eastAsia="Calibri" w:hAnsi="Arial" w:cs="Arial"/>
                <w:sz w:val="18"/>
                <w:szCs w:val="18"/>
              </w:rPr>
            </w:pPr>
            <w:r w:rsidRPr="001A53BF">
              <w:rPr>
                <w:rFonts w:ascii="Arial" w:eastAsia="Calibri" w:hAnsi="Arial" w:cs="Arial"/>
                <w:sz w:val="18"/>
                <w:szCs w:val="18"/>
              </w:rPr>
              <w:t>Definicija</w:t>
            </w:r>
          </w:p>
        </w:tc>
        <w:tc>
          <w:tcPr>
            <w:tcW w:w="992" w:type="dxa"/>
            <w:shd w:val="clear" w:color="auto" w:fill="BFBFBF" w:themeFill="background1" w:themeFillShade="BF"/>
            <w:vAlign w:val="center"/>
          </w:tcPr>
          <w:p w14:paraId="53E332C8" w14:textId="77777777" w:rsidR="006E4FC7" w:rsidRPr="001A53BF" w:rsidRDefault="006E4FC7" w:rsidP="00C83EE8">
            <w:pPr>
              <w:jc w:val="center"/>
              <w:rPr>
                <w:rFonts w:ascii="Arial" w:eastAsia="Calibri" w:hAnsi="Arial" w:cs="Arial"/>
                <w:sz w:val="18"/>
                <w:szCs w:val="18"/>
              </w:rPr>
            </w:pPr>
            <w:r w:rsidRPr="001A53BF">
              <w:rPr>
                <w:rFonts w:ascii="Arial" w:eastAsia="Calibri" w:hAnsi="Arial" w:cs="Arial"/>
                <w:sz w:val="18"/>
                <w:szCs w:val="18"/>
              </w:rPr>
              <w:t>Jedinica</w:t>
            </w:r>
          </w:p>
        </w:tc>
        <w:tc>
          <w:tcPr>
            <w:tcW w:w="1134" w:type="dxa"/>
            <w:shd w:val="clear" w:color="auto" w:fill="BFBFBF" w:themeFill="background1" w:themeFillShade="BF"/>
            <w:vAlign w:val="center"/>
          </w:tcPr>
          <w:p w14:paraId="4E200689" w14:textId="77777777" w:rsidR="006E4FC7" w:rsidRPr="001A53BF" w:rsidRDefault="006E4FC7" w:rsidP="00C83EE8">
            <w:pPr>
              <w:jc w:val="center"/>
              <w:rPr>
                <w:rFonts w:ascii="Arial" w:eastAsia="Calibri" w:hAnsi="Arial" w:cs="Arial"/>
                <w:sz w:val="18"/>
                <w:szCs w:val="18"/>
              </w:rPr>
            </w:pPr>
            <w:r w:rsidRPr="001A53BF">
              <w:rPr>
                <w:rFonts w:ascii="Arial" w:eastAsia="Calibri" w:hAnsi="Arial" w:cs="Arial"/>
                <w:sz w:val="18"/>
                <w:szCs w:val="18"/>
              </w:rPr>
              <w:t>Polazna vrijednost</w:t>
            </w:r>
          </w:p>
          <w:p w14:paraId="3DA7947B" w14:textId="0B820F2F" w:rsidR="006E4FC7" w:rsidRPr="001A53BF" w:rsidRDefault="006E4FC7" w:rsidP="00C83EE8">
            <w:pPr>
              <w:jc w:val="center"/>
              <w:rPr>
                <w:rFonts w:ascii="Arial" w:eastAsia="Calibri" w:hAnsi="Arial" w:cs="Arial"/>
                <w:sz w:val="18"/>
                <w:szCs w:val="18"/>
              </w:rPr>
            </w:pPr>
            <w:r w:rsidRPr="001A53BF">
              <w:rPr>
                <w:rFonts w:ascii="Arial" w:eastAsia="Calibri" w:hAnsi="Arial" w:cs="Arial"/>
                <w:sz w:val="18"/>
                <w:szCs w:val="18"/>
              </w:rPr>
              <w:t>202</w:t>
            </w:r>
            <w:r w:rsidR="00CB613A">
              <w:rPr>
                <w:rFonts w:ascii="Arial" w:eastAsia="Calibri" w:hAnsi="Arial" w:cs="Arial"/>
                <w:sz w:val="18"/>
                <w:szCs w:val="18"/>
              </w:rPr>
              <w:t>5</w:t>
            </w:r>
            <w:r w:rsidRPr="001A53BF">
              <w:rPr>
                <w:rFonts w:ascii="Arial" w:eastAsia="Calibri" w:hAnsi="Arial" w:cs="Arial"/>
                <w:sz w:val="18"/>
                <w:szCs w:val="18"/>
              </w:rPr>
              <w:t>.</w:t>
            </w:r>
          </w:p>
        </w:tc>
        <w:tc>
          <w:tcPr>
            <w:tcW w:w="993" w:type="dxa"/>
            <w:shd w:val="clear" w:color="auto" w:fill="BFBFBF" w:themeFill="background1" w:themeFillShade="BF"/>
            <w:vAlign w:val="center"/>
          </w:tcPr>
          <w:p w14:paraId="60F7FCF0" w14:textId="77777777" w:rsidR="006E4FC7" w:rsidRPr="001A53BF" w:rsidRDefault="006E4FC7" w:rsidP="00C83EE8">
            <w:pPr>
              <w:jc w:val="center"/>
              <w:rPr>
                <w:rFonts w:ascii="Arial" w:eastAsia="Calibri" w:hAnsi="Arial" w:cs="Arial"/>
                <w:sz w:val="18"/>
                <w:szCs w:val="18"/>
              </w:rPr>
            </w:pPr>
            <w:r w:rsidRPr="001A53BF">
              <w:rPr>
                <w:rFonts w:ascii="Arial" w:eastAsia="Calibri" w:hAnsi="Arial" w:cs="Arial"/>
                <w:sz w:val="18"/>
                <w:szCs w:val="18"/>
              </w:rPr>
              <w:t>Izvor podataka</w:t>
            </w:r>
          </w:p>
        </w:tc>
        <w:tc>
          <w:tcPr>
            <w:tcW w:w="1134" w:type="dxa"/>
            <w:shd w:val="clear" w:color="auto" w:fill="BFBFBF" w:themeFill="background1" w:themeFillShade="BF"/>
            <w:vAlign w:val="center"/>
          </w:tcPr>
          <w:p w14:paraId="24AF5D41" w14:textId="3C7F8638" w:rsidR="006E4FC7" w:rsidRPr="001A53BF" w:rsidRDefault="006E4FC7" w:rsidP="00C83EE8">
            <w:pPr>
              <w:jc w:val="center"/>
              <w:rPr>
                <w:rFonts w:ascii="Arial" w:eastAsia="Calibri" w:hAnsi="Arial" w:cs="Arial"/>
                <w:sz w:val="18"/>
                <w:szCs w:val="18"/>
              </w:rPr>
            </w:pPr>
            <w:r w:rsidRPr="001A53BF">
              <w:rPr>
                <w:rFonts w:ascii="Arial" w:eastAsia="Calibri" w:hAnsi="Arial" w:cs="Arial"/>
                <w:sz w:val="18"/>
                <w:szCs w:val="18"/>
              </w:rPr>
              <w:t>Ciljana vrijednost 202</w:t>
            </w:r>
            <w:r w:rsidR="00CB613A">
              <w:rPr>
                <w:rFonts w:ascii="Arial" w:eastAsia="Calibri" w:hAnsi="Arial" w:cs="Arial"/>
                <w:sz w:val="18"/>
                <w:szCs w:val="18"/>
              </w:rPr>
              <w:t>5</w:t>
            </w:r>
            <w:r w:rsidRPr="001A53BF">
              <w:rPr>
                <w:rFonts w:ascii="Arial" w:eastAsia="Calibri" w:hAnsi="Arial" w:cs="Arial"/>
                <w:sz w:val="18"/>
                <w:szCs w:val="18"/>
              </w:rPr>
              <w:t>.</w:t>
            </w:r>
          </w:p>
        </w:tc>
        <w:tc>
          <w:tcPr>
            <w:tcW w:w="1134" w:type="dxa"/>
            <w:shd w:val="clear" w:color="auto" w:fill="BFBFBF" w:themeFill="background1" w:themeFillShade="BF"/>
            <w:vAlign w:val="center"/>
          </w:tcPr>
          <w:p w14:paraId="769946D3" w14:textId="37D726B7" w:rsidR="006E4FC7" w:rsidRPr="001A53BF" w:rsidRDefault="006E4FC7" w:rsidP="00C83EE8">
            <w:pPr>
              <w:jc w:val="center"/>
              <w:rPr>
                <w:rFonts w:ascii="Arial" w:eastAsia="Calibri" w:hAnsi="Arial" w:cs="Arial"/>
                <w:sz w:val="18"/>
                <w:szCs w:val="18"/>
              </w:rPr>
            </w:pPr>
            <w:r w:rsidRPr="001A53BF">
              <w:rPr>
                <w:rFonts w:ascii="Arial" w:eastAsia="Calibri" w:hAnsi="Arial" w:cs="Arial"/>
                <w:sz w:val="18"/>
                <w:szCs w:val="18"/>
              </w:rPr>
              <w:t>Izvršeno  202</w:t>
            </w:r>
            <w:r w:rsidR="00CB613A">
              <w:rPr>
                <w:rFonts w:ascii="Arial" w:eastAsia="Calibri" w:hAnsi="Arial" w:cs="Arial"/>
                <w:sz w:val="18"/>
                <w:szCs w:val="18"/>
              </w:rPr>
              <w:t>5</w:t>
            </w:r>
            <w:r w:rsidRPr="001A53BF">
              <w:rPr>
                <w:rFonts w:ascii="Arial" w:eastAsia="Calibri" w:hAnsi="Arial" w:cs="Arial"/>
                <w:sz w:val="18"/>
                <w:szCs w:val="18"/>
              </w:rPr>
              <w:t>.</w:t>
            </w:r>
          </w:p>
        </w:tc>
        <w:tc>
          <w:tcPr>
            <w:tcW w:w="1134" w:type="dxa"/>
            <w:shd w:val="clear" w:color="auto" w:fill="BFBFBF" w:themeFill="background1" w:themeFillShade="BF"/>
            <w:vAlign w:val="center"/>
          </w:tcPr>
          <w:p w14:paraId="713F000A" w14:textId="79BDD19E" w:rsidR="006E4FC7" w:rsidRPr="001A53BF" w:rsidRDefault="006E4FC7" w:rsidP="00C83EE8">
            <w:pPr>
              <w:jc w:val="center"/>
              <w:rPr>
                <w:rFonts w:ascii="Arial" w:eastAsia="Calibri" w:hAnsi="Arial" w:cs="Arial"/>
                <w:sz w:val="18"/>
                <w:szCs w:val="18"/>
              </w:rPr>
            </w:pPr>
            <w:r w:rsidRPr="001A53BF">
              <w:rPr>
                <w:rFonts w:ascii="Arial" w:eastAsia="Calibri" w:hAnsi="Arial" w:cs="Arial"/>
                <w:sz w:val="18"/>
                <w:szCs w:val="18"/>
              </w:rPr>
              <w:t>Ciljana vrijednost 202</w:t>
            </w:r>
            <w:r w:rsidR="00CB613A">
              <w:rPr>
                <w:rFonts w:ascii="Arial" w:eastAsia="Calibri" w:hAnsi="Arial" w:cs="Arial"/>
                <w:sz w:val="18"/>
                <w:szCs w:val="18"/>
              </w:rPr>
              <w:t>6</w:t>
            </w:r>
            <w:r w:rsidRPr="001A53BF">
              <w:rPr>
                <w:rFonts w:ascii="Arial" w:eastAsia="Calibri" w:hAnsi="Arial" w:cs="Arial"/>
                <w:sz w:val="18"/>
                <w:szCs w:val="18"/>
              </w:rPr>
              <w:t>.</w:t>
            </w:r>
          </w:p>
        </w:tc>
        <w:tc>
          <w:tcPr>
            <w:tcW w:w="1134" w:type="dxa"/>
            <w:shd w:val="clear" w:color="auto" w:fill="BFBFBF" w:themeFill="background1" w:themeFillShade="BF"/>
            <w:vAlign w:val="center"/>
          </w:tcPr>
          <w:p w14:paraId="18F17559" w14:textId="1343E335" w:rsidR="006E4FC7" w:rsidRPr="001A53BF" w:rsidRDefault="006E4FC7" w:rsidP="00C83EE8">
            <w:pPr>
              <w:jc w:val="center"/>
              <w:rPr>
                <w:rFonts w:ascii="Arial" w:eastAsia="Calibri" w:hAnsi="Arial" w:cs="Arial"/>
                <w:sz w:val="18"/>
                <w:szCs w:val="18"/>
              </w:rPr>
            </w:pPr>
            <w:r w:rsidRPr="001A53BF">
              <w:rPr>
                <w:rFonts w:ascii="Arial" w:eastAsia="Calibri" w:hAnsi="Arial" w:cs="Arial"/>
                <w:sz w:val="18"/>
                <w:szCs w:val="18"/>
              </w:rPr>
              <w:t>Ciljana vrijednost 202</w:t>
            </w:r>
            <w:r w:rsidR="00CB613A">
              <w:rPr>
                <w:rFonts w:ascii="Arial" w:eastAsia="Calibri" w:hAnsi="Arial" w:cs="Arial"/>
                <w:sz w:val="18"/>
                <w:szCs w:val="18"/>
              </w:rPr>
              <w:t>7</w:t>
            </w:r>
            <w:r w:rsidRPr="001A53BF">
              <w:rPr>
                <w:rFonts w:ascii="Arial" w:eastAsia="Calibri" w:hAnsi="Arial" w:cs="Arial"/>
                <w:sz w:val="18"/>
                <w:szCs w:val="18"/>
              </w:rPr>
              <w:t>.</w:t>
            </w:r>
          </w:p>
        </w:tc>
      </w:tr>
      <w:tr w:rsidR="00CB613A" w:rsidRPr="001A53BF" w14:paraId="56C97E73" w14:textId="77777777" w:rsidTr="00EA587B">
        <w:trPr>
          <w:trHeight w:val="806"/>
          <w:jc w:val="center"/>
        </w:trPr>
        <w:tc>
          <w:tcPr>
            <w:tcW w:w="2689" w:type="dxa"/>
            <w:tcBorders>
              <w:top w:val="single" w:sz="4" w:space="0" w:color="auto"/>
              <w:left w:val="single" w:sz="4" w:space="0" w:color="auto"/>
              <w:bottom w:val="nil"/>
              <w:right w:val="single" w:sz="4" w:space="0" w:color="auto"/>
            </w:tcBorders>
            <w:vAlign w:val="center"/>
          </w:tcPr>
          <w:p w14:paraId="7A6B2EE2" w14:textId="77777777" w:rsidR="00CB613A" w:rsidRPr="001A53BF" w:rsidRDefault="00CB613A" w:rsidP="00CB613A">
            <w:pPr>
              <w:rPr>
                <w:rFonts w:ascii="Arial" w:hAnsi="Arial" w:cs="Arial"/>
                <w:sz w:val="18"/>
                <w:szCs w:val="18"/>
                <w:lang w:eastAsia="en-US"/>
              </w:rPr>
            </w:pPr>
            <w:r w:rsidRPr="001A53BF">
              <w:rPr>
                <w:rFonts w:ascii="Arial" w:hAnsi="Arial" w:cs="Arial"/>
                <w:sz w:val="18"/>
                <w:szCs w:val="18"/>
                <w:lang w:eastAsia="en-US"/>
              </w:rPr>
              <w:t xml:space="preserve">Povećanje prihoda od vlastite djelatnosti </w:t>
            </w:r>
          </w:p>
        </w:tc>
        <w:tc>
          <w:tcPr>
            <w:tcW w:w="3134" w:type="dxa"/>
            <w:tcBorders>
              <w:left w:val="single" w:sz="4" w:space="0" w:color="auto"/>
            </w:tcBorders>
            <w:vAlign w:val="center"/>
          </w:tcPr>
          <w:p w14:paraId="7CF28DDC" w14:textId="3C55FDC9" w:rsidR="00CB613A" w:rsidRPr="001A53BF" w:rsidRDefault="00CB613A" w:rsidP="00CB613A">
            <w:pPr>
              <w:rPr>
                <w:rFonts w:ascii="Arial" w:hAnsi="Arial" w:cs="Arial"/>
                <w:sz w:val="18"/>
                <w:szCs w:val="18"/>
                <w:lang w:eastAsia="en-US"/>
              </w:rPr>
            </w:pPr>
            <w:r w:rsidRPr="001A53BF">
              <w:rPr>
                <w:rFonts w:ascii="Arial" w:hAnsi="Arial" w:cs="Arial"/>
                <w:sz w:val="18"/>
                <w:szCs w:val="18"/>
                <w:lang w:eastAsia="en-US"/>
              </w:rPr>
              <w:t xml:space="preserve">Proizvodnja i osmišljavanje suvenira i predmeta za prodaju u muzejskim prodavaonicama </w:t>
            </w:r>
          </w:p>
        </w:tc>
        <w:tc>
          <w:tcPr>
            <w:tcW w:w="992" w:type="dxa"/>
            <w:vAlign w:val="center"/>
          </w:tcPr>
          <w:p w14:paraId="00391CBF" w14:textId="77777777" w:rsidR="00CB613A" w:rsidRPr="001A53BF" w:rsidRDefault="00CB613A" w:rsidP="00CB613A">
            <w:pPr>
              <w:jc w:val="center"/>
              <w:rPr>
                <w:rFonts w:ascii="Arial" w:eastAsia="Calibri" w:hAnsi="Arial" w:cs="Arial"/>
                <w:sz w:val="18"/>
                <w:szCs w:val="18"/>
              </w:rPr>
            </w:pPr>
            <w:r w:rsidRPr="001A53BF">
              <w:rPr>
                <w:rFonts w:ascii="Arial" w:eastAsia="Calibri" w:hAnsi="Arial" w:cs="Arial"/>
                <w:sz w:val="18"/>
                <w:szCs w:val="18"/>
              </w:rPr>
              <w:t>EUR</w:t>
            </w:r>
          </w:p>
        </w:tc>
        <w:tc>
          <w:tcPr>
            <w:tcW w:w="1134" w:type="dxa"/>
            <w:vAlign w:val="center"/>
          </w:tcPr>
          <w:p w14:paraId="2A108D8D" w14:textId="5F0CB52A" w:rsidR="00CB613A" w:rsidRPr="001A53BF" w:rsidRDefault="00CB613A" w:rsidP="00CB613A">
            <w:pPr>
              <w:rPr>
                <w:rFonts w:ascii="Arial" w:hAnsi="Arial" w:cs="Arial"/>
                <w:sz w:val="18"/>
                <w:szCs w:val="18"/>
                <w:lang w:eastAsia="en-US"/>
              </w:rPr>
            </w:pPr>
            <w:r w:rsidRPr="00B93E18">
              <w:rPr>
                <w:rFonts w:asciiTheme="minorHAnsi" w:hAnsiTheme="minorHAnsi" w:cstheme="minorHAnsi"/>
                <w:sz w:val="18"/>
                <w:szCs w:val="18"/>
                <w:lang w:eastAsia="en-US"/>
              </w:rPr>
              <w:t>25.179,97</w:t>
            </w:r>
          </w:p>
        </w:tc>
        <w:tc>
          <w:tcPr>
            <w:tcW w:w="993" w:type="dxa"/>
            <w:vAlign w:val="center"/>
          </w:tcPr>
          <w:p w14:paraId="58131C9C" w14:textId="77777777" w:rsidR="00CB613A" w:rsidRPr="00EA587B" w:rsidRDefault="00CB613A" w:rsidP="00CB613A">
            <w:pPr>
              <w:rPr>
                <w:rFonts w:ascii="Arial" w:hAnsi="Arial" w:cs="Arial"/>
                <w:sz w:val="14"/>
                <w:szCs w:val="14"/>
                <w:lang w:eastAsia="en-US"/>
              </w:rPr>
            </w:pPr>
            <w:r w:rsidRPr="00EA587B">
              <w:rPr>
                <w:rFonts w:ascii="Arial" w:hAnsi="Arial" w:cs="Arial"/>
                <w:sz w:val="14"/>
                <w:szCs w:val="14"/>
                <w:lang w:eastAsia="en-US"/>
              </w:rPr>
              <w:t>Muzeji, Odjel općih poslova</w:t>
            </w:r>
          </w:p>
        </w:tc>
        <w:tc>
          <w:tcPr>
            <w:tcW w:w="1134" w:type="dxa"/>
            <w:vAlign w:val="center"/>
          </w:tcPr>
          <w:p w14:paraId="64EB1B74" w14:textId="1F744BA2" w:rsidR="00CB613A" w:rsidRPr="001A53BF" w:rsidRDefault="00CB613A" w:rsidP="00CB613A">
            <w:pPr>
              <w:rPr>
                <w:rFonts w:ascii="Arial" w:hAnsi="Arial" w:cs="Arial"/>
                <w:sz w:val="18"/>
                <w:szCs w:val="18"/>
                <w:lang w:eastAsia="en-US"/>
              </w:rPr>
            </w:pPr>
            <w:r>
              <w:rPr>
                <w:rFonts w:ascii="Arial" w:hAnsi="Arial" w:cs="Arial"/>
                <w:sz w:val="18"/>
                <w:szCs w:val="18"/>
                <w:lang w:eastAsia="en-US"/>
              </w:rPr>
              <w:t>25.000,00</w:t>
            </w:r>
          </w:p>
        </w:tc>
        <w:tc>
          <w:tcPr>
            <w:tcW w:w="1134" w:type="dxa"/>
            <w:vAlign w:val="center"/>
          </w:tcPr>
          <w:p w14:paraId="2A891433" w14:textId="624E452B" w:rsidR="00CB613A" w:rsidRPr="001A53BF" w:rsidRDefault="00CB613A" w:rsidP="00CB613A">
            <w:pPr>
              <w:jc w:val="center"/>
              <w:rPr>
                <w:rFonts w:ascii="Arial" w:hAnsi="Arial" w:cs="Arial"/>
                <w:sz w:val="18"/>
                <w:szCs w:val="18"/>
                <w:lang w:eastAsia="en-US"/>
              </w:rPr>
            </w:pPr>
            <w:r>
              <w:rPr>
                <w:rFonts w:asciiTheme="minorHAnsi" w:hAnsiTheme="minorHAnsi" w:cstheme="minorHAnsi"/>
                <w:sz w:val="18"/>
                <w:szCs w:val="18"/>
                <w:lang w:eastAsia="en-US"/>
              </w:rPr>
              <w:t>36.098,74</w:t>
            </w:r>
          </w:p>
        </w:tc>
        <w:tc>
          <w:tcPr>
            <w:tcW w:w="1134" w:type="dxa"/>
            <w:vAlign w:val="center"/>
          </w:tcPr>
          <w:p w14:paraId="67D8AF55" w14:textId="45A73E80" w:rsidR="00CB613A" w:rsidRPr="001A53BF" w:rsidRDefault="00CB613A" w:rsidP="00CB613A">
            <w:pPr>
              <w:rPr>
                <w:rFonts w:ascii="Arial" w:hAnsi="Arial" w:cs="Arial"/>
                <w:sz w:val="18"/>
                <w:szCs w:val="18"/>
                <w:lang w:eastAsia="en-US"/>
              </w:rPr>
            </w:pPr>
            <w:r w:rsidRPr="00B93E18">
              <w:rPr>
                <w:rFonts w:asciiTheme="minorHAnsi" w:hAnsiTheme="minorHAnsi" w:cstheme="minorHAnsi"/>
                <w:sz w:val="18"/>
                <w:szCs w:val="18"/>
                <w:lang w:eastAsia="en-US"/>
              </w:rPr>
              <w:t xml:space="preserve"> </w:t>
            </w:r>
            <w:r>
              <w:rPr>
                <w:rFonts w:asciiTheme="minorHAnsi" w:hAnsiTheme="minorHAnsi" w:cstheme="minorHAnsi"/>
                <w:sz w:val="18"/>
                <w:szCs w:val="18"/>
                <w:lang w:eastAsia="en-US"/>
              </w:rPr>
              <w:t>30</w:t>
            </w:r>
            <w:r w:rsidRPr="00B93E18">
              <w:rPr>
                <w:rFonts w:asciiTheme="minorHAnsi" w:hAnsiTheme="minorHAnsi" w:cstheme="minorHAnsi"/>
                <w:sz w:val="18"/>
                <w:szCs w:val="18"/>
                <w:lang w:eastAsia="en-US"/>
              </w:rPr>
              <w:t>.000,00</w:t>
            </w:r>
          </w:p>
        </w:tc>
        <w:tc>
          <w:tcPr>
            <w:tcW w:w="1134" w:type="dxa"/>
            <w:vAlign w:val="center"/>
          </w:tcPr>
          <w:p w14:paraId="7ECB42AA" w14:textId="209281D5" w:rsidR="00CB613A" w:rsidRPr="001A53BF" w:rsidRDefault="00CB613A" w:rsidP="00CB613A">
            <w:pPr>
              <w:rPr>
                <w:rFonts w:ascii="Arial" w:hAnsi="Arial" w:cs="Arial"/>
                <w:sz w:val="18"/>
                <w:szCs w:val="18"/>
                <w:lang w:eastAsia="en-US"/>
              </w:rPr>
            </w:pPr>
            <w:r w:rsidRPr="00B93E18">
              <w:rPr>
                <w:rFonts w:asciiTheme="minorHAnsi" w:hAnsiTheme="minorHAnsi" w:cstheme="minorHAnsi"/>
                <w:sz w:val="18"/>
                <w:szCs w:val="18"/>
                <w:lang w:eastAsia="en-US"/>
              </w:rPr>
              <w:t>30.000,00</w:t>
            </w:r>
          </w:p>
        </w:tc>
      </w:tr>
      <w:tr w:rsidR="00CB613A" w:rsidRPr="006E4FC7" w14:paraId="7656D611" w14:textId="77777777" w:rsidTr="00EA587B">
        <w:trPr>
          <w:trHeight w:val="831"/>
          <w:jc w:val="center"/>
        </w:trPr>
        <w:tc>
          <w:tcPr>
            <w:tcW w:w="2689" w:type="dxa"/>
            <w:tcBorders>
              <w:top w:val="nil"/>
              <w:left w:val="single" w:sz="4" w:space="0" w:color="auto"/>
              <w:bottom w:val="single" w:sz="4" w:space="0" w:color="auto"/>
              <w:right w:val="single" w:sz="4" w:space="0" w:color="auto"/>
            </w:tcBorders>
            <w:vAlign w:val="center"/>
          </w:tcPr>
          <w:p w14:paraId="0B04E403" w14:textId="77777777" w:rsidR="00CB613A" w:rsidRPr="006E4FC7" w:rsidRDefault="00CB613A" w:rsidP="00CB613A">
            <w:pPr>
              <w:rPr>
                <w:rFonts w:ascii="Arial" w:hAnsi="Arial" w:cs="Arial"/>
                <w:sz w:val="18"/>
                <w:szCs w:val="18"/>
              </w:rPr>
            </w:pPr>
          </w:p>
        </w:tc>
        <w:tc>
          <w:tcPr>
            <w:tcW w:w="3134" w:type="dxa"/>
            <w:tcBorders>
              <w:left w:val="single" w:sz="4" w:space="0" w:color="auto"/>
            </w:tcBorders>
            <w:vAlign w:val="center"/>
          </w:tcPr>
          <w:p w14:paraId="55ABFF96" w14:textId="77777777" w:rsidR="00CB613A" w:rsidRPr="006E4FC7" w:rsidRDefault="00CB613A" w:rsidP="00CB613A">
            <w:pPr>
              <w:rPr>
                <w:rFonts w:ascii="Arial" w:hAnsi="Arial" w:cs="Arial"/>
                <w:sz w:val="18"/>
                <w:szCs w:val="18"/>
              </w:rPr>
            </w:pPr>
            <w:r w:rsidRPr="006E4FC7">
              <w:rPr>
                <w:rFonts w:ascii="Arial" w:hAnsi="Arial" w:cs="Arial"/>
                <w:sz w:val="18"/>
                <w:szCs w:val="18"/>
              </w:rPr>
              <w:t>Pružanje usluga</w:t>
            </w:r>
          </w:p>
        </w:tc>
        <w:tc>
          <w:tcPr>
            <w:tcW w:w="992" w:type="dxa"/>
            <w:vAlign w:val="center"/>
          </w:tcPr>
          <w:p w14:paraId="4278F5AF" w14:textId="77777777" w:rsidR="00CB613A" w:rsidRPr="006E4FC7" w:rsidRDefault="00CB613A" w:rsidP="00CB613A">
            <w:pPr>
              <w:jc w:val="center"/>
              <w:rPr>
                <w:rFonts w:ascii="Arial" w:eastAsia="Calibri" w:hAnsi="Arial" w:cs="Arial"/>
                <w:sz w:val="18"/>
                <w:szCs w:val="18"/>
              </w:rPr>
            </w:pPr>
            <w:r w:rsidRPr="006E4FC7">
              <w:rPr>
                <w:rFonts w:ascii="Arial" w:eastAsia="Calibri" w:hAnsi="Arial" w:cs="Arial"/>
                <w:sz w:val="18"/>
                <w:szCs w:val="18"/>
              </w:rPr>
              <w:t>EUR</w:t>
            </w:r>
          </w:p>
        </w:tc>
        <w:tc>
          <w:tcPr>
            <w:tcW w:w="1134" w:type="dxa"/>
            <w:vAlign w:val="center"/>
          </w:tcPr>
          <w:p w14:paraId="35760C66" w14:textId="59E3F34D" w:rsidR="00CB613A" w:rsidRPr="006E4FC7" w:rsidRDefault="00CB613A" w:rsidP="00CB613A">
            <w:pPr>
              <w:rPr>
                <w:rFonts w:ascii="Arial" w:hAnsi="Arial" w:cs="Arial"/>
                <w:sz w:val="18"/>
                <w:szCs w:val="18"/>
              </w:rPr>
            </w:pPr>
            <w:r w:rsidRPr="00B93E18">
              <w:rPr>
                <w:rFonts w:asciiTheme="minorHAnsi" w:hAnsiTheme="minorHAnsi" w:cstheme="minorHAnsi"/>
                <w:sz w:val="18"/>
                <w:szCs w:val="18"/>
              </w:rPr>
              <w:t>7.652,82</w:t>
            </w:r>
          </w:p>
        </w:tc>
        <w:tc>
          <w:tcPr>
            <w:tcW w:w="993" w:type="dxa"/>
            <w:vAlign w:val="center"/>
          </w:tcPr>
          <w:p w14:paraId="0CC66605" w14:textId="77777777" w:rsidR="00CB613A" w:rsidRPr="00EA587B" w:rsidRDefault="00CB613A" w:rsidP="00CB613A">
            <w:pPr>
              <w:rPr>
                <w:rFonts w:ascii="Arial" w:hAnsi="Arial" w:cs="Arial"/>
                <w:sz w:val="14"/>
                <w:szCs w:val="14"/>
              </w:rPr>
            </w:pPr>
            <w:r w:rsidRPr="00EA587B">
              <w:rPr>
                <w:rFonts w:ascii="Arial" w:hAnsi="Arial" w:cs="Arial"/>
                <w:sz w:val="14"/>
                <w:szCs w:val="14"/>
                <w:lang w:eastAsia="en-US"/>
              </w:rPr>
              <w:t>Muzeji, Odjel općih poslova</w:t>
            </w:r>
          </w:p>
        </w:tc>
        <w:tc>
          <w:tcPr>
            <w:tcW w:w="1134" w:type="dxa"/>
            <w:vAlign w:val="center"/>
          </w:tcPr>
          <w:p w14:paraId="324493CD" w14:textId="5BDCE65D" w:rsidR="00CB613A" w:rsidRPr="006E4FC7" w:rsidRDefault="00CB613A" w:rsidP="00CB613A">
            <w:pPr>
              <w:rPr>
                <w:rFonts w:ascii="Arial" w:hAnsi="Arial" w:cs="Arial"/>
                <w:sz w:val="18"/>
                <w:szCs w:val="18"/>
              </w:rPr>
            </w:pPr>
            <w:r>
              <w:rPr>
                <w:rFonts w:ascii="Arial" w:hAnsi="Arial" w:cs="Arial"/>
                <w:sz w:val="18"/>
                <w:szCs w:val="18"/>
              </w:rPr>
              <w:t>9.000</w:t>
            </w:r>
            <w:r w:rsidRPr="006E4FC7">
              <w:rPr>
                <w:rFonts w:ascii="Arial" w:hAnsi="Arial" w:cs="Arial"/>
                <w:sz w:val="18"/>
                <w:szCs w:val="18"/>
              </w:rPr>
              <w:t>,00</w:t>
            </w:r>
          </w:p>
        </w:tc>
        <w:tc>
          <w:tcPr>
            <w:tcW w:w="1134" w:type="dxa"/>
            <w:vAlign w:val="center"/>
          </w:tcPr>
          <w:p w14:paraId="0BE6EBFA" w14:textId="1959E159" w:rsidR="00CB613A" w:rsidRPr="006E4FC7" w:rsidRDefault="00CB613A" w:rsidP="00CB613A">
            <w:pPr>
              <w:jc w:val="center"/>
              <w:rPr>
                <w:rFonts w:ascii="Arial" w:hAnsi="Arial" w:cs="Arial"/>
                <w:sz w:val="18"/>
                <w:szCs w:val="18"/>
              </w:rPr>
            </w:pPr>
            <w:r>
              <w:rPr>
                <w:rFonts w:asciiTheme="minorHAnsi" w:hAnsiTheme="minorHAnsi" w:cstheme="minorHAnsi"/>
                <w:sz w:val="18"/>
                <w:szCs w:val="18"/>
              </w:rPr>
              <w:t>3.768,10</w:t>
            </w:r>
          </w:p>
        </w:tc>
        <w:tc>
          <w:tcPr>
            <w:tcW w:w="1134" w:type="dxa"/>
            <w:vAlign w:val="center"/>
          </w:tcPr>
          <w:p w14:paraId="34F79AC1" w14:textId="74D92B85" w:rsidR="00CB613A" w:rsidRPr="006E4FC7" w:rsidRDefault="00CB613A" w:rsidP="00CB613A">
            <w:pPr>
              <w:rPr>
                <w:rFonts w:ascii="Arial" w:hAnsi="Arial" w:cs="Arial"/>
                <w:sz w:val="18"/>
                <w:szCs w:val="18"/>
              </w:rPr>
            </w:pPr>
            <w:r w:rsidRPr="00B93E18">
              <w:rPr>
                <w:rFonts w:asciiTheme="minorHAnsi" w:hAnsiTheme="minorHAnsi" w:cstheme="minorHAnsi"/>
                <w:sz w:val="18"/>
                <w:szCs w:val="18"/>
              </w:rPr>
              <w:t xml:space="preserve"> </w:t>
            </w:r>
            <w:r>
              <w:rPr>
                <w:rFonts w:asciiTheme="minorHAnsi" w:hAnsiTheme="minorHAnsi" w:cstheme="minorHAnsi"/>
                <w:sz w:val="18"/>
                <w:szCs w:val="18"/>
              </w:rPr>
              <w:t>10</w:t>
            </w:r>
            <w:r w:rsidRPr="00B93E18">
              <w:rPr>
                <w:rFonts w:asciiTheme="minorHAnsi" w:hAnsiTheme="minorHAnsi" w:cstheme="minorHAnsi"/>
                <w:sz w:val="18"/>
                <w:szCs w:val="18"/>
              </w:rPr>
              <w:t>.000,00</w:t>
            </w:r>
          </w:p>
        </w:tc>
        <w:tc>
          <w:tcPr>
            <w:tcW w:w="1134" w:type="dxa"/>
            <w:vAlign w:val="center"/>
          </w:tcPr>
          <w:p w14:paraId="19F8BC27" w14:textId="014B3D77" w:rsidR="00CB613A" w:rsidRPr="006E4FC7" w:rsidRDefault="00CB613A" w:rsidP="00CB613A">
            <w:pPr>
              <w:rPr>
                <w:rFonts w:ascii="Arial" w:hAnsi="Arial" w:cs="Arial"/>
                <w:sz w:val="18"/>
                <w:szCs w:val="18"/>
              </w:rPr>
            </w:pPr>
            <w:r w:rsidRPr="00B93E18">
              <w:rPr>
                <w:rFonts w:asciiTheme="minorHAnsi" w:hAnsiTheme="minorHAnsi" w:cstheme="minorHAnsi"/>
                <w:sz w:val="18"/>
                <w:szCs w:val="18"/>
              </w:rPr>
              <w:t>10.000,00</w:t>
            </w:r>
          </w:p>
        </w:tc>
      </w:tr>
    </w:tbl>
    <w:p w14:paraId="0F85AA33" w14:textId="77777777" w:rsidR="00CB613A" w:rsidRPr="00CB613A" w:rsidRDefault="00CB613A" w:rsidP="00CB613A">
      <w:pPr>
        <w:autoSpaceDE w:val="0"/>
        <w:autoSpaceDN w:val="0"/>
        <w:adjustRightInd w:val="0"/>
        <w:spacing w:after="0" w:line="240" w:lineRule="auto"/>
        <w:jc w:val="both"/>
        <w:rPr>
          <w:rFonts w:ascii="Arial" w:eastAsia="Calibri" w:hAnsi="Arial" w:cs="Arial"/>
          <w:sz w:val="20"/>
          <w:szCs w:val="20"/>
        </w:rPr>
      </w:pPr>
      <w:r w:rsidRPr="00CB613A">
        <w:rPr>
          <w:rFonts w:ascii="Arial" w:eastAsia="Calibri" w:hAnsi="Arial" w:cs="Arial"/>
          <w:sz w:val="20"/>
          <w:szCs w:val="20"/>
        </w:rPr>
        <w:t xml:space="preserve">OPIS: prihod od suvenira se u 2025. temelji se na prodaji suvenirskog programa i monografije Vlaho Bukovac u muzejskim prodavaonicama i direktnom prodajom narodnim/ javnim knjižnicama  zbog čega je prihod povećan za 170% u odnosu na isto razdoblje 2024 godine, te stručnim uslugama u vidu održavanja prezentacija, predavanja i obrade građe izvan ustanove.  </w:t>
      </w:r>
    </w:p>
    <w:p w14:paraId="12BA0B0C" w14:textId="77777777" w:rsidR="00FD724F" w:rsidRPr="006E4FC7" w:rsidRDefault="00FD724F" w:rsidP="00FD724F">
      <w:pPr>
        <w:autoSpaceDE w:val="0"/>
        <w:autoSpaceDN w:val="0"/>
        <w:adjustRightInd w:val="0"/>
        <w:spacing w:after="0" w:line="240" w:lineRule="auto"/>
        <w:jc w:val="both"/>
        <w:rPr>
          <w:rFonts w:ascii="Arial" w:eastAsia="Calibri" w:hAnsi="Arial" w:cs="Arial"/>
          <w:b/>
          <w:sz w:val="20"/>
          <w:szCs w:val="20"/>
          <w:highlight w:val="yellow"/>
        </w:rPr>
      </w:pPr>
    </w:p>
    <w:p w14:paraId="54B7E25F" w14:textId="5453B011" w:rsidR="00ED5AE5" w:rsidRPr="006E4FC7" w:rsidRDefault="00A90FC1" w:rsidP="00ED5AE5">
      <w:pPr>
        <w:autoSpaceDE w:val="0"/>
        <w:autoSpaceDN w:val="0"/>
        <w:adjustRightInd w:val="0"/>
        <w:spacing w:after="0" w:line="240" w:lineRule="auto"/>
        <w:jc w:val="both"/>
        <w:rPr>
          <w:rFonts w:ascii="Arial" w:eastAsia="Calibri" w:hAnsi="Arial" w:cs="Arial"/>
          <w:sz w:val="20"/>
          <w:szCs w:val="20"/>
        </w:rPr>
      </w:pPr>
      <w:r w:rsidRPr="006E4FC7">
        <w:rPr>
          <w:rFonts w:ascii="Arial" w:eastAsia="Calibri" w:hAnsi="Arial" w:cs="Arial"/>
          <w:b/>
          <w:sz w:val="20"/>
          <w:szCs w:val="20"/>
        </w:rPr>
        <w:t xml:space="preserve">10. </w:t>
      </w:r>
      <w:r w:rsidR="003D7373" w:rsidRPr="006E4FC7">
        <w:rPr>
          <w:rFonts w:ascii="Arial" w:eastAsia="Calibri" w:hAnsi="Arial" w:cs="Arial"/>
          <w:b/>
          <w:sz w:val="20"/>
          <w:szCs w:val="20"/>
        </w:rPr>
        <w:t xml:space="preserve">A203111: Redovna djelatnost ustanove u kulturi – vlastita djelatnost </w:t>
      </w:r>
      <w:r w:rsidR="00B445DF" w:rsidRPr="006E4FC7">
        <w:rPr>
          <w:rFonts w:ascii="Arial" w:eastAsia="Calibri" w:hAnsi="Arial" w:cs="Arial"/>
          <w:sz w:val="20"/>
          <w:szCs w:val="20"/>
        </w:rPr>
        <w:t>–</w:t>
      </w:r>
      <w:r w:rsidR="003D7373" w:rsidRPr="006E4FC7">
        <w:rPr>
          <w:rFonts w:ascii="Arial" w:eastAsia="Calibri" w:hAnsi="Arial" w:cs="Arial"/>
          <w:sz w:val="20"/>
          <w:szCs w:val="20"/>
        </w:rPr>
        <w:t xml:space="preserve"> </w:t>
      </w:r>
      <w:r w:rsidR="00B445DF" w:rsidRPr="006E4FC7">
        <w:rPr>
          <w:rFonts w:ascii="Arial" w:eastAsia="Calibri" w:hAnsi="Arial" w:cs="Arial"/>
          <w:sz w:val="20"/>
          <w:szCs w:val="20"/>
        </w:rPr>
        <w:t xml:space="preserve">u okviru ove aktivnosti planirano je </w:t>
      </w:r>
      <w:r w:rsidR="006A2061">
        <w:rPr>
          <w:rFonts w:ascii="Arial" w:eastAsia="Calibri" w:hAnsi="Arial" w:cs="Arial"/>
          <w:sz w:val="20"/>
          <w:szCs w:val="20"/>
        </w:rPr>
        <w:t>36.200</w:t>
      </w:r>
      <w:r w:rsidR="00FD724F" w:rsidRPr="006E4FC7">
        <w:rPr>
          <w:rFonts w:ascii="Arial" w:eastAsia="Calibri" w:hAnsi="Arial" w:cs="Arial"/>
          <w:sz w:val="20"/>
          <w:szCs w:val="20"/>
          <w:lang w:eastAsia="en-US"/>
        </w:rPr>
        <w:t xml:space="preserve"> €, a utrošeno je </w:t>
      </w:r>
      <w:r w:rsidR="006A2061">
        <w:rPr>
          <w:rFonts w:ascii="Arial" w:eastAsia="Calibri" w:hAnsi="Arial" w:cs="Arial"/>
          <w:sz w:val="20"/>
          <w:szCs w:val="20"/>
          <w:lang w:eastAsia="en-US"/>
        </w:rPr>
        <w:t>16.643,55</w:t>
      </w:r>
      <w:r w:rsidR="00FD724F" w:rsidRPr="006E4FC7">
        <w:rPr>
          <w:rFonts w:ascii="Arial" w:eastAsia="Calibri" w:hAnsi="Arial" w:cs="Arial"/>
          <w:sz w:val="20"/>
          <w:szCs w:val="20"/>
          <w:lang w:eastAsia="en-US"/>
        </w:rPr>
        <w:t xml:space="preserve"> € odnosno </w:t>
      </w:r>
      <w:r w:rsidR="006A2061">
        <w:rPr>
          <w:rFonts w:ascii="Arial" w:eastAsia="Calibri" w:hAnsi="Arial" w:cs="Arial"/>
          <w:sz w:val="20"/>
          <w:szCs w:val="20"/>
          <w:lang w:eastAsia="en-US"/>
        </w:rPr>
        <w:t>46</w:t>
      </w:r>
      <w:r w:rsidR="00FD724F" w:rsidRPr="006E4FC7">
        <w:rPr>
          <w:rFonts w:ascii="Arial" w:eastAsia="Calibri" w:hAnsi="Arial" w:cs="Arial"/>
          <w:sz w:val="20"/>
          <w:szCs w:val="20"/>
          <w:lang w:eastAsia="en-US"/>
        </w:rPr>
        <w:t>% što se odnosi na troškove plaće i studentskog servisa</w:t>
      </w:r>
      <w:r w:rsidR="00ED5AE5" w:rsidRPr="006E4FC7">
        <w:rPr>
          <w:rFonts w:ascii="Arial" w:eastAsia="Calibri" w:hAnsi="Arial" w:cs="Arial"/>
          <w:sz w:val="20"/>
          <w:szCs w:val="20"/>
          <w:lang w:eastAsia="en-US"/>
        </w:rPr>
        <w:t xml:space="preserve"> </w:t>
      </w:r>
      <w:r w:rsidR="00ED5AE5" w:rsidRPr="006E4FC7">
        <w:rPr>
          <w:rFonts w:ascii="Arial" w:eastAsia="Calibri" w:hAnsi="Arial" w:cs="Arial"/>
          <w:sz w:val="20"/>
          <w:szCs w:val="20"/>
        </w:rPr>
        <w:t>vezanog za povećane potrebe za radnom snagom tijekom sezone.</w:t>
      </w:r>
    </w:p>
    <w:p w14:paraId="6598564A" w14:textId="2D7443D5" w:rsidR="00FD724F" w:rsidRPr="006E4FC7" w:rsidRDefault="00FD724F" w:rsidP="00FD724F">
      <w:pPr>
        <w:autoSpaceDE w:val="0"/>
        <w:autoSpaceDN w:val="0"/>
        <w:adjustRightInd w:val="0"/>
        <w:spacing w:after="0" w:line="240" w:lineRule="auto"/>
        <w:jc w:val="both"/>
        <w:rPr>
          <w:rFonts w:ascii="Arial" w:eastAsia="Calibri" w:hAnsi="Arial" w:cs="Arial"/>
          <w:sz w:val="20"/>
          <w:szCs w:val="20"/>
          <w:lang w:eastAsia="en-US"/>
        </w:rPr>
      </w:pPr>
    </w:p>
    <w:p w14:paraId="0A45E869" w14:textId="77777777" w:rsidR="006A2061" w:rsidRPr="006A2061" w:rsidRDefault="006A2061" w:rsidP="006A2061">
      <w:pPr>
        <w:autoSpaceDE w:val="0"/>
        <w:autoSpaceDN w:val="0"/>
        <w:adjustRightInd w:val="0"/>
        <w:spacing w:after="0" w:line="240" w:lineRule="auto"/>
        <w:jc w:val="both"/>
        <w:rPr>
          <w:rFonts w:ascii="Arial" w:eastAsia="Calibri" w:hAnsi="Arial" w:cs="Arial"/>
          <w:sz w:val="20"/>
          <w:szCs w:val="20"/>
          <w:lang w:eastAsia="en-US"/>
        </w:rPr>
      </w:pPr>
      <w:r w:rsidRPr="006A2061">
        <w:rPr>
          <w:rFonts w:ascii="Arial" w:eastAsia="Calibri" w:hAnsi="Arial" w:cs="Arial"/>
          <w:sz w:val="20"/>
          <w:szCs w:val="20"/>
          <w:lang w:eastAsia="en-US"/>
        </w:rPr>
        <w:t xml:space="preserve">Ustanova upravlja muzejskim jedinicama u svom sastavu: Kuća Bukovac, Zavičajni muzej Konavala i Odjel za arheologiju i spomeničku baštinu u Pridvorju, kao i sa Mauzolejom Račić. Radi stvaranja uvjeta sigurnosti i stabilnosti rada ustanove koja najbolje posluje u predsezoni i posezoni zapošljavaju se radnici na određeno radno vrijeme, studenti i učenici putem studentskih i učeničkih servisa, na poslovima prodaje karata, čuvanje stalnih postava, vodstva kroz muzeje i sl. Unutar ove aktivnosti također se evidentiraju troškovi zaposlenja osoba na stručnom usavršavanju bez zasnivanja radnog odnosa. </w:t>
      </w:r>
    </w:p>
    <w:p w14:paraId="5EB8138F" w14:textId="77777777" w:rsidR="006E4FC7" w:rsidRPr="006E4FC7" w:rsidRDefault="006E4FC7" w:rsidP="00FD724F">
      <w:pPr>
        <w:autoSpaceDE w:val="0"/>
        <w:autoSpaceDN w:val="0"/>
        <w:adjustRightInd w:val="0"/>
        <w:spacing w:after="0" w:line="240" w:lineRule="auto"/>
        <w:jc w:val="both"/>
        <w:rPr>
          <w:rFonts w:ascii="Arial" w:eastAsia="Calibri" w:hAnsi="Arial" w:cs="Arial"/>
          <w:sz w:val="20"/>
          <w:szCs w:val="20"/>
          <w:lang w:eastAsia="en-US"/>
        </w:rPr>
      </w:pPr>
    </w:p>
    <w:tbl>
      <w:tblPr>
        <w:tblStyle w:val="Reetkatablice5"/>
        <w:tblW w:w="13756" w:type="dxa"/>
        <w:jc w:val="center"/>
        <w:tblLayout w:type="fixed"/>
        <w:tblLook w:val="04A0" w:firstRow="1" w:lastRow="0" w:firstColumn="1" w:lastColumn="0" w:noHBand="0" w:noVBand="1"/>
      </w:tblPr>
      <w:tblGrid>
        <w:gridCol w:w="2830"/>
        <w:gridCol w:w="3271"/>
        <w:gridCol w:w="1124"/>
        <w:gridCol w:w="1144"/>
        <w:gridCol w:w="1277"/>
        <w:gridCol w:w="992"/>
        <w:gridCol w:w="1134"/>
        <w:gridCol w:w="992"/>
        <w:gridCol w:w="992"/>
      </w:tblGrid>
      <w:tr w:rsidR="006E4FC7" w:rsidRPr="006E4FC7" w14:paraId="783056CE" w14:textId="77777777" w:rsidTr="00EA587B">
        <w:trPr>
          <w:jc w:val="center"/>
        </w:trPr>
        <w:tc>
          <w:tcPr>
            <w:tcW w:w="2830" w:type="dxa"/>
            <w:shd w:val="clear" w:color="auto" w:fill="BFBFBF" w:themeFill="background1" w:themeFillShade="BF"/>
            <w:vAlign w:val="center"/>
          </w:tcPr>
          <w:p w14:paraId="2712D23F" w14:textId="77777777" w:rsidR="00FD724F" w:rsidRPr="006E4FC7" w:rsidRDefault="00FD724F" w:rsidP="00FD724F">
            <w:pPr>
              <w:jc w:val="center"/>
              <w:rPr>
                <w:rFonts w:ascii="Arial" w:eastAsia="Calibri" w:hAnsi="Arial" w:cs="Arial"/>
                <w:sz w:val="16"/>
                <w:szCs w:val="16"/>
              </w:rPr>
            </w:pPr>
            <w:r w:rsidRPr="006E4FC7">
              <w:rPr>
                <w:rFonts w:ascii="Arial" w:eastAsia="Calibri" w:hAnsi="Arial" w:cs="Arial"/>
                <w:sz w:val="16"/>
                <w:szCs w:val="16"/>
              </w:rPr>
              <w:t>Pokazatelj uspješnosti</w:t>
            </w:r>
          </w:p>
        </w:tc>
        <w:tc>
          <w:tcPr>
            <w:tcW w:w="3271" w:type="dxa"/>
            <w:shd w:val="clear" w:color="auto" w:fill="BFBFBF" w:themeFill="background1" w:themeFillShade="BF"/>
            <w:vAlign w:val="center"/>
          </w:tcPr>
          <w:p w14:paraId="181883F2" w14:textId="77777777" w:rsidR="00FD724F" w:rsidRPr="006E4FC7" w:rsidRDefault="00FD724F" w:rsidP="00FD724F">
            <w:pPr>
              <w:jc w:val="center"/>
              <w:rPr>
                <w:rFonts w:ascii="Arial" w:eastAsia="Calibri" w:hAnsi="Arial" w:cs="Arial"/>
                <w:sz w:val="16"/>
                <w:szCs w:val="16"/>
              </w:rPr>
            </w:pPr>
            <w:r w:rsidRPr="006E4FC7">
              <w:rPr>
                <w:rFonts w:ascii="Arial" w:eastAsia="Calibri" w:hAnsi="Arial" w:cs="Arial"/>
                <w:sz w:val="16"/>
                <w:szCs w:val="16"/>
              </w:rPr>
              <w:t>Definicija</w:t>
            </w:r>
          </w:p>
        </w:tc>
        <w:tc>
          <w:tcPr>
            <w:tcW w:w="1124" w:type="dxa"/>
            <w:shd w:val="clear" w:color="auto" w:fill="BFBFBF" w:themeFill="background1" w:themeFillShade="BF"/>
            <w:vAlign w:val="center"/>
          </w:tcPr>
          <w:p w14:paraId="7F8A9235" w14:textId="77777777" w:rsidR="00FD724F" w:rsidRPr="006E4FC7" w:rsidRDefault="00FD724F" w:rsidP="00FD724F">
            <w:pPr>
              <w:jc w:val="center"/>
              <w:rPr>
                <w:rFonts w:ascii="Arial" w:eastAsia="Calibri" w:hAnsi="Arial" w:cs="Arial"/>
                <w:sz w:val="16"/>
                <w:szCs w:val="16"/>
              </w:rPr>
            </w:pPr>
            <w:r w:rsidRPr="006E4FC7">
              <w:rPr>
                <w:rFonts w:ascii="Arial" w:eastAsia="Calibri" w:hAnsi="Arial" w:cs="Arial"/>
                <w:sz w:val="16"/>
                <w:szCs w:val="16"/>
              </w:rPr>
              <w:t>Jedinica</w:t>
            </w:r>
          </w:p>
        </w:tc>
        <w:tc>
          <w:tcPr>
            <w:tcW w:w="1144" w:type="dxa"/>
            <w:shd w:val="clear" w:color="auto" w:fill="BFBFBF" w:themeFill="background1" w:themeFillShade="BF"/>
            <w:vAlign w:val="center"/>
          </w:tcPr>
          <w:p w14:paraId="0217FD69" w14:textId="77777777" w:rsidR="00FD724F" w:rsidRPr="006E4FC7" w:rsidRDefault="00FD724F" w:rsidP="00FD724F">
            <w:pPr>
              <w:jc w:val="center"/>
              <w:rPr>
                <w:rFonts w:ascii="Arial" w:eastAsia="Calibri" w:hAnsi="Arial" w:cs="Arial"/>
                <w:sz w:val="16"/>
                <w:szCs w:val="16"/>
              </w:rPr>
            </w:pPr>
            <w:r w:rsidRPr="006E4FC7">
              <w:rPr>
                <w:rFonts w:ascii="Arial" w:eastAsia="Calibri" w:hAnsi="Arial" w:cs="Arial"/>
                <w:sz w:val="16"/>
                <w:szCs w:val="16"/>
              </w:rPr>
              <w:t>Polazna vrijednost</w:t>
            </w:r>
          </w:p>
          <w:p w14:paraId="6D6145E3" w14:textId="42BCEC51" w:rsidR="00FD724F" w:rsidRPr="006E4FC7" w:rsidRDefault="00FD724F" w:rsidP="00FD724F">
            <w:pPr>
              <w:jc w:val="center"/>
              <w:rPr>
                <w:rFonts w:ascii="Arial" w:eastAsia="Calibri" w:hAnsi="Arial" w:cs="Arial"/>
                <w:sz w:val="16"/>
                <w:szCs w:val="16"/>
              </w:rPr>
            </w:pPr>
            <w:r w:rsidRPr="006E4FC7">
              <w:rPr>
                <w:rFonts w:ascii="Arial" w:eastAsia="Calibri" w:hAnsi="Arial" w:cs="Arial"/>
                <w:sz w:val="16"/>
                <w:szCs w:val="16"/>
              </w:rPr>
              <w:t>202</w:t>
            </w:r>
            <w:r w:rsidR="006A2061">
              <w:rPr>
                <w:rFonts w:ascii="Arial" w:eastAsia="Calibri" w:hAnsi="Arial" w:cs="Arial"/>
                <w:sz w:val="16"/>
                <w:szCs w:val="16"/>
              </w:rPr>
              <w:t>4</w:t>
            </w:r>
          </w:p>
        </w:tc>
        <w:tc>
          <w:tcPr>
            <w:tcW w:w="1277" w:type="dxa"/>
            <w:shd w:val="clear" w:color="auto" w:fill="BFBFBF" w:themeFill="background1" w:themeFillShade="BF"/>
            <w:vAlign w:val="center"/>
          </w:tcPr>
          <w:p w14:paraId="47C2FDC4" w14:textId="77777777" w:rsidR="00FD724F" w:rsidRPr="006E4FC7" w:rsidRDefault="00FD724F" w:rsidP="00FD724F">
            <w:pPr>
              <w:jc w:val="center"/>
              <w:rPr>
                <w:rFonts w:ascii="Arial" w:eastAsia="Calibri" w:hAnsi="Arial" w:cs="Arial"/>
                <w:sz w:val="16"/>
                <w:szCs w:val="16"/>
              </w:rPr>
            </w:pPr>
            <w:r w:rsidRPr="006E4FC7">
              <w:rPr>
                <w:rFonts w:ascii="Arial" w:eastAsia="Calibri" w:hAnsi="Arial" w:cs="Arial"/>
                <w:sz w:val="16"/>
                <w:szCs w:val="16"/>
              </w:rPr>
              <w:t>Izvor podataka</w:t>
            </w:r>
          </w:p>
        </w:tc>
        <w:tc>
          <w:tcPr>
            <w:tcW w:w="992" w:type="dxa"/>
            <w:shd w:val="clear" w:color="auto" w:fill="BFBFBF" w:themeFill="background1" w:themeFillShade="BF"/>
            <w:vAlign w:val="center"/>
          </w:tcPr>
          <w:p w14:paraId="1E8E3321" w14:textId="1D7DF50D" w:rsidR="00FD724F" w:rsidRPr="006E4FC7" w:rsidRDefault="00FD724F" w:rsidP="00FD724F">
            <w:pPr>
              <w:jc w:val="center"/>
              <w:rPr>
                <w:rFonts w:ascii="Arial" w:eastAsia="Calibri" w:hAnsi="Arial" w:cs="Arial"/>
                <w:sz w:val="16"/>
                <w:szCs w:val="16"/>
              </w:rPr>
            </w:pPr>
            <w:r w:rsidRPr="006E4FC7">
              <w:rPr>
                <w:rFonts w:ascii="Arial" w:eastAsia="Calibri" w:hAnsi="Arial" w:cs="Arial"/>
                <w:sz w:val="16"/>
                <w:szCs w:val="16"/>
              </w:rPr>
              <w:t>Ciljana vrijednost 202</w:t>
            </w:r>
            <w:r w:rsidR="006A2061">
              <w:rPr>
                <w:rFonts w:ascii="Arial" w:eastAsia="Calibri" w:hAnsi="Arial" w:cs="Arial"/>
                <w:sz w:val="16"/>
                <w:szCs w:val="16"/>
              </w:rPr>
              <w:t>5</w:t>
            </w:r>
            <w:r w:rsidRPr="006E4FC7">
              <w:rPr>
                <w:rFonts w:ascii="Arial" w:eastAsia="Calibri" w:hAnsi="Arial" w:cs="Arial"/>
                <w:sz w:val="16"/>
                <w:szCs w:val="16"/>
              </w:rPr>
              <w:t>.</w:t>
            </w:r>
          </w:p>
        </w:tc>
        <w:tc>
          <w:tcPr>
            <w:tcW w:w="1134" w:type="dxa"/>
            <w:shd w:val="clear" w:color="auto" w:fill="BFBFBF" w:themeFill="background1" w:themeFillShade="BF"/>
            <w:vAlign w:val="center"/>
          </w:tcPr>
          <w:p w14:paraId="504C342E" w14:textId="0D219D95" w:rsidR="00FD724F" w:rsidRPr="006E4FC7" w:rsidRDefault="00FD724F" w:rsidP="00FD724F">
            <w:pPr>
              <w:jc w:val="center"/>
              <w:rPr>
                <w:rFonts w:ascii="Arial" w:eastAsia="Calibri" w:hAnsi="Arial" w:cs="Arial"/>
                <w:sz w:val="16"/>
                <w:szCs w:val="16"/>
              </w:rPr>
            </w:pPr>
            <w:r w:rsidRPr="006E4FC7">
              <w:rPr>
                <w:rFonts w:ascii="Arial" w:eastAsia="Calibri" w:hAnsi="Arial" w:cs="Arial"/>
                <w:sz w:val="16"/>
                <w:szCs w:val="16"/>
              </w:rPr>
              <w:t>Izvršeno 202</w:t>
            </w:r>
            <w:r w:rsidR="006A2061">
              <w:rPr>
                <w:rFonts w:ascii="Arial" w:eastAsia="Calibri" w:hAnsi="Arial" w:cs="Arial"/>
                <w:sz w:val="16"/>
                <w:szCs w:val="16"/>
              </w:rPr>
              <w:t>5</w:t>
            </w:r>
            <w:r w:rsidRPr="006E4FC7">
              <w:rPr>
                <w:rFonts w:ascii="Arial" w:eastAsia="Calibri" w:hAnsi="Arial" w:cs="Arial"/>
                <w:sz w:val="16"/>
                <w:szCs w:val="16"/>
              </w:rPr>
              <w:t>.</w:t>
            </w:r>
          </w:p>
        </w:tc>
        <w:tc>
          <w:tcPr>
            <w:tcW w:w="992" w:type="dxa"/>
            <w:shd w:val="clear" w:color="auto" w:fill="BFBFBF" w:themeFill="background1" w:themeFillShade="BF"/>
            <w:vAlign w:val="center"/>
          </w:tcPr>
          <w:p w14:paraId="167AB596" w14:textId="6D181D45" w:rsidR="00FD724F" w:rsidRPr="006E4FC7" w:rsidRDefault="00FD724F" w:rsidP="00FD724F">
            <w:pPr>
              <w:jc w:val="center"/>
              <w:rPr>
                <w:rFonts w:ascii="Arial" w:eastAsia="Calibri" w:hAnsi="Arial" w:cs="Arial"/>
                <w:sz w:val="16"/>
                <w:szCs w:val="16"/>
              </w:rPr>
            </w:pPr>
            <w:r w:rsidRPr="006E4FC7">
              <w:rPr>
                <w:rFonts w:ascii="Arial" w:eastAsia="Calibri" w:hAnsi="Arial" w:cs="Arial"/>
                <w:sz w:val="16"/>
                <w:szCs w:val="16"/>
              </w:rPr>
              <w:t>Ciljana vrijednost 202</w:t>
            </w:r>
            <w:r w:rsidR="006A2061">
              <w:rPr>
                <w:rFonts w:ascii="Arial" w:eastAsia="Calibri" w:hAnsi="Arial" w:cs="Arial"/>
                <w:sz w:val="16"/>
                <w:szCs w:val="16"/>
              </w:rPr>
              <w:t>6</w:t>
            </w:r>
            <w:r w:rsidRPr="006E4FC7">
              <w:rPr>
                <w:rFonts w:ascii="Arial" w:eastAsia="Calibri" w:hAnsi="Arial" w:cs="Arial"/>
                <w:sz w:val="16"/>
                <w:szCs w:val="16"/>
              </w:rPr>
              <w:t>.</w:t>
            </w:r>
          </w:p>
        </w:tc>
        <w:tc>
          <w:tcPr>
            <w:tcW w:w="992" w:type="dxa"/>
            <w:shd w:val="clear" w:color="auto" w:fill="BFBFBF" w:themeFill="background1" w:themeFillShade="BF"/>
            <w:vAlign w:val="center"/>
          </w:tcPr>
          <w:p w14:paraId="7C94EC0B" w14:textId="022F84AE" w:rsidR="00FD724F" w:rsidRPr="006E4FC7" w:rsidRDefault="00FD724F" w:rsidP="00FD724F">
            <w:pPr>
              <w:jc w:val="center"/>
              <w:rPr>
                <w:rFonts w:ascii="Arial" w:eastAsia="Calibri" w:hAnsi="Arial" w:cs="Arial"/>
                <w:sz w:val="16"/>
                <w:szCs w:val="16"/>
              </w:rPr>
            </w:pPr>
            <w:r w:rsidRPr="006E4FC7">
              <w:rPr>
                <w:rFonts w:ascii="Arial" w:eastAsia="Calibri" w:hAnsi="Arial" w:cs="Arial"/>
                <w:sz w:val="16"/>
                <w:szCs w:val="16"/>
              </w:rPr>
              <w:t>Ciljana vrijednost 202</w:t>
            </w:r>
            <w:r w:rsidR="006A2061">
              <w:rPr>
                <w:rFonts w:ascii="Arial" w:eastAsia="Calibri" w:hAnsi="Arial" w:cs="Arial"/>
                <w:sz w:val="16"/>
                <w:szCs w:val="16"/>
              </w:rPr>
              <w:t>7</w:t>
            </w:r>
            <w:r w:rsidRPr="006E4FC7">
              <w:rPr>
                <w:rFonts w:ascii="Arial" w:eastAsia="Calibri" w:hAnsi="Arial" w:cs="Arial"/>
                <w:sz w:val="16"/>
                <w:szCs w:val="16"/>
              </w:rPr>
              <w:t>.</w:t>
            </w:r>
          </w:p>
        </w:tc>
      </w:tr>
      <w:tr w:rsidR="006A2061" w:rsidRPr="00500D60" w14:paraId="48F360C7" w14:textId="77777777" w:rsidTr="00EA587B">
        <w:trPr>
          <w:trHeight w:val="707"/>
          <w:jc w:val="center"/>
        </w:trPr>
        <w:tc>
          <w:tcPr>
            <w:tcW w:w="2830" w:type="dxa"/>
            <w:vAlign w:val="center"/>
          </w:tcPr>
          <w:p w14:paraId="717F23EE" w14:textId="6BEC460B" w:rsidR="006A2061" w:rsidRPr="00500D60" w:rsidRDefault="006A2061" w:rsidP="006A2061">
            <w:pPr>
              <w:rPr>
                <w:rFonts w:ascii="Arial" w:hAnsi="Arial" w:cs="Arial"/>
                <w:color w:val="FF0000"/>
                <w:sz w:val="16"/>
                <w:szCs w:val="16"/>
                <w:lang w:eastAsia="en-US"/>
              </w:rPr>
            </w:pPr>
            <w:r w:rsidRPr="00E63810">
              <w:rPr>
                <w:rFonts w:ascii="Arial" w:hAnsi="Arial" w:cs="Arial"/>
                <w:sz w:val="18"/>
                <w:szCs w:val="18"/>
                <w:lang w:eastAsia="en-US"/>
              </w:rPr>
              <w:t>Broj svih posjetitelja u muzejskim jedinicama prema broju prodanih karata (bez stanovnika Općine Konavle)</w:t>
            </w:r>
          </w:p>
        </w:tc>
        <w:tc>
          <w:tcPr>
            <w:tcW w:w="3271" w:type="dxa"/>
            <w:vAlign w:val="center"/>
          </w:tcPr>
          <w:p w14:paraId="35924E7C" w14:textId="0161441B" w:rsidR="006A2061" w:rsidRPr="00500D60" w:rsidRDefault="006A2061" w:rsidP="006A2061">
            <w:pPr>
              <w:rPr>
                <w:rFonts w:ascii="Arial" w:hAnsi="Arial" w:cs="Arial"/>
                <w:color w:val="FF0000"/>
                <w:sz w:val="16"/>
                <w:szCs w:val="16"/>
                <w:lang w:eastAsia="en-US"/>
              </w:rPr>
            </w:pPr>
            <w:r w:rsidRPr="00E63810">
              <w:rPr>
                <w:rFonts w:ascii="Arial" w:hAnsi="Arial" w:cs="Arial"/>
                <w:sz w:val="18"/>
                <w:szCs w:val="18"/>
                <w:lang w:eastAsia="en-US"/>
              </w:rPr>
              <w:t>Aktivna marketinška politika prema subjektima u turizmu</w:t>
            </w:r>
          </w:p>
        </w:tc>
        <w:tc>
          <w:tcPr>
            <w:tcW w:w="1124" w:type="dxa"/>
            <w:vAlign w:val="center"/>
          </w:tcPr>
          <w:p w14:paraId="0F051315" w14:textId="77777777" w:rsidR="006A2061" w:rsidRPr="00E63810" w:rsidRDefault="006A2061" w:rsidP="006A2061">
            <w:pPr>
              <w:jc w:val="center"/>
              <w:rPr>
                <w:rFonts w:ascii="Arial" w:eastAsia="Calibri" w:hAnsi="Arial" w:cs="Arial"/>
                <w:sz w:val="18"/>
                <w:szCs w:val="18"/>
              </w:rPr>
            </w:pPr>
            <w:r w:rsidRPr="00E63810">
              <w:rPr>
                <w:rFonts w:ascii="Arial" w:eastAsia="Calibri" w:hAnsi="Arial" w:cs="Arial"/>
                <w:sz w:val="18"/>
                <w:szCs w:val="18"/>
              </w:rPr>
              <w:t>Posjetitelji</w:t>
            </w:r>
          </w:p>
          <w:p w14:paraId="614CB936" w14:textId="0B7E801A" w:rsidR="006A2061" w:rsidRPr="00500D60" w:rsidRDefault="006A2061" w:rsidP="006A2061">
            <w:pPr>
              <w:jc w:val="center"/>
              <w:rPr>
                <w:rFonts w:ascii="Arial" w:eastAsia="Calibri" w:hAnsi="Arial" w:cs="Arial"/>
                <w:color w:val="FF0000"/>
                <w:sz w:val="16"/>
                <w:szCs w:val="16"/>
              </w:rPr>
            </w:pPr>
          </w:p>
        </w:tc>
        <w:tc>
          <w:tcPr>
            <w:tcW w:w="1144" w:type="dxa"/>
            <w:vAlign w:val="center"/>
          </w:tcPr>
          <w:p w14:paraId="576A29E7" w14:textId="0410DC85" w:rsidR="006A2061" w:rsidRPr="00500D60" w:rsidRDefault="006A2061" w:rsidP="006A2061">
            <w:pPr>
              <w:jc w:val="center"/>
              <w:rPr>
                <w:rFonts w:ascii="Arial" w:eastAsia="Calibri" w:hAnsi="Arial" w:cs="Arial"/>
                <w:color w:val="FF0000"/>
                <w:sz w:val="16"/>
                <w:szCs w:val="16"/>
              </w:rPr>
            </w:pPr>
            <w:r w:rsidRPr="0092756E">
              <w:rPr>
                <w:rFonts w:asciiTheme="minorHAnsi" w:eastAsia="Calibri" w:hAnsiTheme="minorHAnsi" w:cstheme="minorHAnsi"/>
                <w:sz w:val="18"/>
                <w:szCs w:val="18"/>
              </w:rPr>
              <w:t>14.</w:t>
            </w:r>
            <w:r>
              <w:rPr>
                <w:rFonts w:asciiTheme="minorHAnsi" w:eastAsia="Calibri" w:hAnsiTheme="minorHAnsi" w:cstheme="minorHAnsi"/>
                <w:sz w:val="18"/>
                <w:szCs w:val="18"/>
              </w:rPr>
              <w:t>744</w:t>
            </w:r>
          </w:p>
        </w:tc>
        <w:tc>
          <w:tcPr>
            <w:tcW w:w="1277" w:type="dxa"/>
            <w:vAlign w:val="center"/>
          </w:tcPr>
          <w:p w14:paraId="1ED6623B" w14:textId="594683A6" w:rsidR="006A2061" w:rsidRPr="00500D60" w:rsidRDefault="006A2061" w:rsidP="006A2061">
            <w:pPr>
              <w:jc w:val="center"/>
              <w:rPr>
                <w:rFonts w:ascii="Arial" w:hAnsi="Arial" w:cs="Arial"/>
                <w:color w:val="FF0000"/>
                <w:sz w:val="16"/>
                <w:szCs w:val="16"/>
                <w:lang w:eastAsia="en-US"/>
              </w:rPr>
            </w:pPr>
            <w:r w:rsidRPr="00E63810">
              <w:rPr>
                <w:rFonts w:ascii="Arial" w:hAnsi="Arial" w:cs="Arial"/>
                <w:sz w:val="18"/>
                <w:szCs w:val="18"/>
                <w:lang w:eastAsia="en-US"/>
              </w:rPr>
              <w:t>Muzeji, Odjel općih poslova MGK</w:t>
            </w:r>
          </w:p>
        </w:tc>
        <w:tc>
          <w:tcPr>
            <w:tcW w:w="992" w:type="dxa"/>
            <w:vAlign w:val="center"/>
          </w:tcPr>
          <w:p w14:paraId="218326B6" w14:textId="778E6E21" w:rsidR="006A2061" w:rsidRPr="00500D60" w:rsidRDefault="006A2061" w:rsidP="006A2061">
            <w:pPr>
              <w:jc w:val="center"/>
              <w:rPr>
                <w:rFonts w:ascii="Arial" w:eastAsia="Calibri" w:hAnsi="Arial" w:cs="Arial"/>
                <w:color w:val="FF0000"/>
                <w:sz w:val="16"/>
                <w:szCs w:val="16"/>
              </w:rPr>
            </w:pPr>
            <w:r w:rsidRPr="0092756E">
              <w:rPr>
                <w:rFonts w:asciiTheme="minorHAnsi" w:hAnsiTheme="minorHAnsi" w:cstheme="minorHAnsi"/>
                <w:sz w:val="18"/>
                <w:szCs w:val="18"/>
              </w:rPr>
              <w:t>1</w:t>
            </w:r>
            <w:r>
              <w:rPr>
                <w:rFonts w:asciiTheme="minorHAnsi" w:hAnsiTheme="minorHAnsi" w:cstheme="minorHAnsi"/>
                <w:sz w:val="18"/>
                <w:szCs w:val="18"/>
              </w:rPr>
              <w:t>6</w:t>
            </w:r>
            <w:r w:rsidRPr="0092756E">
              <w:rPr>
                <w:rFonts w:asciiTheme="minorHAnsi" w:hAnsiTheme="minorHAnsi" w:cstheme="minorHAnsi"/>
                <w:sz w:val="18"/>
                <w:szCs w:val="18"/>
              </w:rPr>
              <w:t>.000</w:t>
            </w:r>
          </w:p>
        </w:tc>
        <w:tc>
          <w:tcPr>
            <w:tcW w:w="1134" w:type="dxa"/>
            <w:vAlign w:val="center"/>
          </w:tcPr>
          <w:p w14:paraId="3F70CD37" w14:textId="336CC784" w:rsidR="006A2061" w:rsidRPr="00500D60" w:rsidRDefault="006A2061" w:rsidP="006A2061">
            <w:pPr>
              <w:jc w:val="center"/>
              <w:rPr>
                <w:rFonts w:ascii="Arial" w:hAnsi="Arial" w:cs="Arial"/>
                <w:color w:val="FF0000"/>
                <w:sz w:val="16"/>
                <w:szCs w:val="16"/>
                <w:lang w:eastAsia="en-US"/>
              </w:rPr>
            </w:pPr>
            <w:r>
              <w:rPr>
                <w:rFonts w:asciiTheme="minorHAnsi" w:hAnsiTheme="minorHAnsi" w:cstheme="minorHAnsi"/>
                <w:sz w:val="18"/>
                <w:szCs w:val="18"/>
              </w:rPr>
              <w:t>5.615</w:t>
            </w:r>
          </w:p>
        </w:tc>
        <w:tc>
          <w:tcPr>
            <w:tcW w:w="992" w:type="dxa"/>
            <w:vAlign w:val="center"/>
          </w:tcPr>
          <w:p w14:paraId="657D7A30" w14:textId="749E2C2B" w:rsidR="006A2061" w:rsidRPr="00500D60" w:rsidRDefault="006A2061" w:rsidP="006A2061">
            <w:pPr>
              <w:jc w:val="center"/>
              <w:rPr>
                <w:rFonts w:ascii="Arial" w:hAnsi="Arial" w:cs="Arial"/>
                <w:color w:val="FF0000"/>
                <w:sz w:val="16"/>
                <w:szCs w:val="16"/>
                <w:lang w:eastAsia="en-US"/>
              </w:rPr>
            </w:pPr>
            <w:r w:rsidRPr="0092756E">
              <w:rPr>
                <w:rFonts w:asciiTheme="minorHAnsi" w:hAnsiTheme="minorHAnsi" w:cstheme="minorHAnsi"/>
                <w:sz w:val="18"/>
                <w:szCs w:val="18"/>
              </w:rPr>
              <w:t xml:space="preserve">    1</w:t>
            </w:r>
            <w:r>
              <w:rPr>
                <w:rFonts w:asciiTheme="minorHAnsi" w:hAnsiTheme="minorHAnsi" w:cstheme="minorHAnsi"/>
                <w:sz w:val="18"/>
                <w:szCs w:val="18"/>
              </w:rPr>
              <w:t>7</w:t>
            </w:r>
            <w:r w:rsidRPr="0092756E">
              <w:rPr>
                <w:rFonts w:asciiTheme="minorHAnsi" w:hAnsiTheme="minorHAnsi" w:cstheme="minorHAnsi"/>
                <w:sz w:val="18"/>
                <w:szCs w:val="18"/>
              </w:rPr>
              <w:t>.000</w:t>
            </w:r>
          </w:p>
        </w:tc>
        <w:tc>
          <w:tcPr>
            <w:tcW w:w="992" w:type="dxa"/>
            <w:vAlign w:val="center"/>
          </w:tcPr>
          <w:p w14:paraId="19C58105" w14:textId="7C30E61B" w:rsidR="006A2061" w:rsidRPr="00500D60" w:rsidRDefault="006A2061" w:rsidP="006A2061">
            <w:pPr>
              <w:jc w:val="center"/>
              <w:rPr>
                <w:rFonts w:ascii="Arial" w:hAnsi="Arial" w:cs="Arial"/>
                <w:color w:val="FF0000"/>
                <w:sz w:val="16"/>
                <w:szCs w:val="16"/>
                <w:lang w:eastAsia="en-US"/>
              </w:rPr>
            </w:pPr>
            <w:r w:rsidRPr="0092756E">
              <w:rPr>
                <w:rFonts w:asciiTheme="minorHAnsi" w:hAnsiTheme="minorHAnsi" w:cstheme="minorHAnsi"/>
                <w:sz w:val="18"/>
                <w:szCs w:val="18"/>
              </w:rPr>
              <w:t xml:space="preserve">   17.000</w:t>
            </w:r>
          </w:p>
        </w:tc>
      </w:tr>
      <w:tr w:rsidR="006A2061" w:rsidRPr="00500D60" w14:paraId="47DCE6E4" w14:textId="77777777" w:rsidTr="00EA587B">
        <w:trPr>
          <w:trHeight w:val="702"/>
          <w:jc w:val="center"/>
        </w:trPr>
        <w:tc>
          <w:tcPr>
            <w:tcW w:w="2830" w:type="dxa"/>
            <w:vAlign w:val="center"/>
          </w:tcPr>
          <w:p w14:paraId="3BD48278" w14:textId="7AA8F152" w:rsidR="006A2061" w:rsidRPr="00500D60" w:rsidRDefault="006A2061" w:rsidP="006A2061">
            <w:pPr>
              <w:rPr>
                <w:rFonts w:ascii="Arial" w:hAnsi="Arial" w:cs="Arial"/>
                <w:color w:val="FF0000"/>
                <w:sz w:val="16"/>
                <w:szCs w:val="16"/>
                <w:lang w:eastAsia="en-US"/>
              </w:rPr>
            </w:pPr>
            <w:r w:rsidRPr="00E63810">
              <w:rPr>
                <w:rFonts w:ascii="Arial" w:hAnsi="Arial" w:cs="Arial"/>
                <w:sz w:val="18"/>
                <w:szCs w:val="18"/>
                <w:lang w:eastAsia="en-US"/>
              </w:rPr>
              <w:t>Broj posjetitelja muzejskim jedinicama prema broju prodanih karata preko DU CARD</w:t>
            </w:r>
          </w:p>
        </w:tc>
        <w:tc>
          <w:tcPr>
            <w:tcW w:w="3271" w:type="dxa"/>
            <w:vAlign w:val="center"/>
          </w:tcPr>
          <w:p w14:paraId="629DF6B4" w14:textId="09329DD3" w:rsidR="006A2061" w:rsidRPr="00500D60" w:rsidRDefault="006A2061" w:rsidP="006A2061">
            <w:pPr>
              <w:rPr>
                <w:rFonts w:ascii="Arial" w:hAnsi="Arial" w:cs="Arial"/>
                <w:color w:val="FF0000"/>
                <w:sz w:val="16"/>
                <w:szCs w:val="16"/>
                <w:lang w:eastAsia="en-US"/>
              </w:rPr>
            </w:pPr>
            <w:r w:rsidRPr="00E63810">
              <w:rPr>
                <w:rFonts w:ascii="Arial" w:hAnsi="Arial" w:cs="Arial"/>
                <w:sz w:val="18"/>
                <w:szCs w:val="18"/>
                <w:lang w:eastAsia="en-US"/>
              </w:rPr>
              <w:t>Aktivna marketinška politika prema subjektima u turizmu</w:t>
            </w:r>
          </w:p>
        </w:tc>
        <w:tc>
          <w:tcPr>
            <w:tcW w:w="1124" w:type="dxa"/>
            <w:vAlign w:val="center"/>
          </w:tcPr>
          <w:p w14:paraId="46DB7FB9" w14:textId="77777777" w:rsidR="006A2061" w:rsidRPr="00E63810" w:rsidRDefault="006A2061" w:rsidP="006A2061">
            <w:pPr>
              <w:jc w:val="center"/>
              <w:rPr>
                <w:rFonts w:ascii="Arial" w:eastAsia="Calibri" w:hAnsi="Arial" w:cs="Arial"/>
                <w:sz w:val="18"/>
                <w:szCs w:val="18"/>
              </w:rPr>
            </w:pPr>
            <w:r w:rsidRPr="00E63810">
              <w:rPr>
                <w:rFonts w:ascii="Arial" w:eastAsia="Calibri" w:hAnsi="Arial" w:cs="Arial"/>
                <w:sz w:val="18"/>
                <w:szCs w:val="18"/>
              </w:rPr>
              <w:t>Posjetitelji preko</w:t>
            </w:r>
          </w:p>
          <w:p w14:paraId="6DBFAFE6" w14:textId="77777777" w:rsidR="006A2061" w:rsidRPr="00E63810" w:rsidRDefault="006A2061" w:rsidP="006A2061">
            <w:pPr>
              <w:jc w:val="center"/>
              <w:rPr>
                <w:rFonts w:ascii="Arial" w:eastAsia="Calibri" w:hAnsi="Arial" w:cs="Arial"/>
                <w:sz w:val="18"/>
                <w:szCs w:val="18"/>
              </w:rPr>
            </w:pPr>
            <w:r w:rsidRPr="00E63810">
              <w:rPr>
                <w:rFonts w:ascii="Arial" w:eastAsia="Calibri" w:hAnsi="Arial" w:cs="Arial"/>
                <w:sz w:val="18"/>
                <w:szCs w:val="18"/>
              </w:rPr>
              <w:t xml:space="preserve"> DU PASS</w:t>
            </w:r>
          </w:p>
          <w:p w14:paraId="610E51AC" w14:textId="6DCC06A2" w:rsidR="006A2061" w:rsidRPr="00500D60" w:rsidRDefault="006A2061" w:rsidP="006A2061">
            <w:pPr>
              <w:jc w:val="center"/>
              <w:rPr>
                <w:rFonts w:ascii="Arial" w:eastAsia="Calibri" w:hAnsi="Arial" w:cs="Arial"/>
                <w:color w:val="FF0000"/>
                <w:sz w:val="16"/>
                <w:szCs w:val="16"/>
              </w:rPr>
            </w:pPr>
            <w:r w:rsidRPr="00E63810">
              <w:rPr>
                <w:rFonts w:ascii="Arial" w:eastAsia="Calibri" w:hAnsi="Arial" w:cs="Arial"/>
                <w:sz w:val="18"/>
                <w:szCs w:val="18"/>
              </w:rPr>
              <w:t>kartica</w:t>
            </w:r>
          </w:p>
        </w:tc>
        <w:tc>
          <w:tcPr>
            <w:tcW w:w="1144" w:type="dxa"/>
            <w:vAlign w:val="center"/>
          </w:tcPr>
          <w:p w14:paraId="7D601E1B" w14:textId="1404E866" w:rsidR="006A2061" w:rsidRPr="00500D60" w:rsidRDefault="006A2061" w:rsidP="006A2061">
            <w:pPr>
              <w:jc w:val="center"/>
              <w:rPr>
                <w:rFonts w:ascii="Arial" w:eastAsia="Calibri" w:hAnsi="Arial" w:cs="Arial"/>
                <w:color w:val="FF0000"/>
                <w:sz w:val="16"/>
                <w:szCs w:val="16"/>
              </w:rPr>
            </w:pPr>
            <w:r w:rsidRPr="0092756E">
              <w:rPr>
                <w:rFonts w:asciiTheme="minorHAnsi" w:eastAsia="Calibri" w:hAnsiTheme="minorHAnsi" w:cstheme="minorHAnsi"/>
                <w:sz w:val="18"/>
                <w:szCs w:val="18"/>
              </w:rPr>
              <w:t>1.2</w:t>
            </w:r>
            <w:r>
              <w:rPr>
                <w:rFonts w:asciiTheme="minorHAnsi" w:eastAsia="Calibri" w:hAnsiTheme="minorHAnsi" w:cstheme="minorHAnsi"/>
                <w:sz w:val="18"/>
                <w:szCs w:val="18"/>
              </w:rPr>
              <w:t>14</w:t>
            </w:r>
          </w:p>
        </w:tc>
        <w:tc>
          <w:tcPr>
            <w:tcW w:w="1277" w:type="dxa"/>
            <w:vAlign w:val="center"/>
          </w:tcPr>
          <w:p w14:paraId="6B6FDDDA" w14:textId="473549AD" w:rsidR="006A2061" w:rsidRPr="00500D60" w:rsidRDefault="006A2061" w:rsidP="006A2061">
            <w:pPr>
              <w:jc w:val="center"/>
              <w:rPr>
                <w:rFonts w:ascii="Arial" w:hAnsi="Arial" w:cs="Arial"/>
                <w:color w:val="FF0000"/>
                <w:sz w:val="16"/>
                <w:szCs w:val="16"/>
                <w:lang w:eastAsia="en-US"/>
              </w:rPr>
            </w:pPr>
            <w:r w:rsidRPr="00E63810">
              <w:rPr>
                <w:rFonts w:ascii="Arial" w:hAnsi="Arial" w:cs="Arial"/>
                <w:sz w:val="18"/>
                <w:szCs w:val="18"/>
                <w:lang w:eastAsia="en-US"/>
              </w:rPr>
              <w:t>Odjel općih poslova</w:t>
            </w:r>
          </w:p>
        </w:tc>
        <w:tc>
          <w:tcPr>
            <w:tcW w:w="992" w:type="dxa"/>
            <w:vAlign w:val="center"/>
          </w:tcPr>
          <w:p w14:paraId="3D9EF1B3" w14:textId="2E55F58B" w:rsidR="006A2061" w:rsidRPr="00500D60" w:rsidRDefault="006A2061" w:rsidP="006A2061">
            <w:pPr>
              <w:jc w:val="center"/>
              <w:rPr>
                <w:rFonts w:ascii="Arial" w:hAnsi="Arial" w:cs="Arial"/>
                <w:color w:val="FF0000"/>
                <w:sz w:val="16"/>
                <w:szCs w:val="16"/>
                <w:lang w:eastAsia="en-US"/>
              </w:rPr>
            </w:pPr>
            <w:r w:rsidRPr="0092756E">
              <w:rPr>
                <w:rFonts w:asciiTheme="minorHAnsi" w:hAnsiTheme="minorHAnsi" w:cstheme="minorHAnsi"/>
                <w:sz w:val="18"/>
                <w:szCs w:val="18"/>
              </w:rPr>
              <w:t>3</w:t>
            </w:r>
            <w:r>
              <w:rPr>
                <w:rFonts w:asciiTheme="minorHAnsi" w:hAnsiTheme="minorHAnsi" w:cstheme="minorHAnsi"/>
                <w:sz w:val="18"/>
                <w:szCs w:val="18"/>
              </w:rPr>
              <w:t>.5</w:t>
            </w:r>
            <w:r w:rsidRPr="0092756E">
              <w:rPr>
                <w:rFonts w:asciiTheme="minorHAnsi" w:hAnsiTheme="minorHAnsi" w:cstheme="minorHAnsi"/>
                <w:sz w:val="18"/>
                <w:szCs w:val="18"/>
              </w:rPr>
              <w:t>00</w:t>
            </w:r>
          </w:p>
        </w:tc>
        <w:tc>
          <w:tcPr>
            <w:tcW w:w="1134" w:type="dxa"/>
            <w:vAlign w:val="center"/>
          </w:tcPr>
          <w:p w14:paraId="15AB4376" w14:textId="19180173" w:rsidR="006A2061" w:rsidRPr="00500D60" w:rsidRDefault="006A2061" w:rsidP="006A2061">
            <w:pPr>
              <w:jc w:val="center"/>
              <w:rPr>
                <w:rFonts w:ascii="Arial" w:hAnsi="Arial" w:cs="Arial"/>
                <w:color w:val="FF0000"/>
                <w:sz w:val="16"/>
                <w:szCs w:val="16"/>
                <w:lang w:eastAsia="en-US"/>
              </w:rPr>
            </w:pPr>
            <w:r>
              <w:rPr>
                <w:rFonts w:asciiTheme="minorHAnsi" w:hAnsiTheme="minorHAnsi" w:cstheme="minorHAnsi"/>
                <w:sz w:val="18"/>
                <w:szCs w:val="18"/>
              </w:rPr>
              <w:t>649</w:t>
            </w:r>
          </w:p>
        </w:tc>
        <w:tc>
          <w:tcPr>
            <w:tcW w:w="992" w:type="dxa"/>
            <w:vAlign w:val="center"/>
          </w:tcPr>
          <w:p w14:paraId="6647BAC4" w14:textId="1592826C" w:rsidR="006A2061" w:rsidRPr="00500D60" w:rsidRDefault="006A2061" w:rsidP="006A2061">
            <w:pPr>
              <w:jc w:val="center"/>
              <w:rPr>
                <w:rFonts w:ascii="Arial" w:hAnsi="Arial" w:cs="Arial"/>
                <w:color w:val="FF0000"/>
                <w:sz w:val="16"/>
                <w:szCs w:val="16"/>
                <w:lang w:eastAsia="en-US"/>
              </w:rPr>
            </w:pPr>
            <w:r w:rsidRPr="0092756E">
              <w:rPr>
                <w:rFonts w:asciiTheme="minorHAnsi" w:hAnsiTheme="minorHAnsi" w:cstheme="minorHAnsi"/>
                <w:sz w:val="18"/>
                <w:szCs w:val="18"/>
              </w:rPr>
              <w:t xml:space="preserve">      3.500</w:t>
            </w:r>
          </w:p>
        </w:tc>
        <w:tc>
          <w:tcPr>
            <w:tcW w:w="992" w:type="dxa"/>
            <w:vAlign w:val="center"/>
          </w:tcPr>
          <w:p w14:paraId="68D4D42E" w14:textId="567380F1" w:rsidR="006A2061" w:rsidRPr="00500D60" w:rsidRDefault="006A2061" w:rsidP="006A2061">
            <w:pPr>
              <w:jc w:val="center"/>
              <w:rPr>
                <w:rFonts w:ascii="Arial" w:hAnsi="Arial" w:cs="Arial"/>
                <w:color w:val="FF0000"/>
                <w:sz w:val="16"/>
                <w:szCs w:val="16"/>
                <w:lang w:eastAsia="en-US"/>
              </w:rPr>
            </w:pPr>
            <w:r w:rsidRPr="0092756E">
              <w:rPr>
                <w:rFonts w:asciiTheme="minorHAnsi" w:hAnsiTheme="minorHAnsi" w:cstheme="minorHAnsi"/>
                <w:sz w:val="18"/>
                <w:szCs w:val="18"/>
              </w:rPr>
              <w:t xml:space="preserve">     3.500</w:t>
            </w:r>
          </w:p>
        </w:tc>
      </w:tr>
      <w:tr w:rsidR="006A2061" w:rsidRPr="00500D60" w14:paraId="6D9FBE2D" w14:textId="77777777" w:rsidTr="00EA587B">
        <w:trPr>
          <w:trHeight w:val="684"/>
          <w:jc w:val="center"/>
        </w:trPr>
        <w:tc>
          <w:tcPr>
            <w:tcW w:w="2830" w:type="dxa"/>
            <w:vAlign w:val="center"/>
          </w:tcPr>
          <w:p w14:paraId="00928E2D" w14:textId="299406F2" w:rsidR="006A2061" w:rsidRPr="00500D60" w:rsidRDefault="006A2061" w:rsidP="006A2061">
            <w:pPr>
              <w:rPr>
                <w:rFonts w:ascii="Arial" w:hAnsi="Arial" w:cs="Arial"/>
                <w:color w:val="FF0000"/>
                <w:sz w:val="16"/>
                <w:szCs w:val="16"/>
                <w:lang w:eastAsia="en-US"/>
              </w:rPr>
            </w:pPr>
            <w:r w:rsidRPr="00E63810">
              <w:rPr>
                <w:rFonts w:ascii="Arial" w:hAnsi="Arial" w:cs="Arial"/>
                <w:sz w:val="18"/>
                <w:szCs w:val="18"/>
                <w:lang w:eastAsia="en-US"/>
              </w:rPr>
              <w:t>Broj prijavljenih projekata</w:t>
            </w:r>
          </w:p>
        </w:tc>
        <w:tc>
          <w:tcPr>
            <w:tcW w:w="3271" w:type="dxa"/>
            <w:vAlign w:val="center"/>
          </w:tcPr>
          <w:p w14:paraId="1165038E" w14:textId="2B3E5C15" w:rsidR="006A2061" w:rsidRPr="00500D60" w:rsidRDefault="006A2061" w:rsidP="006A2061">
            <w:pPr>
              <w:rPr>
                <w:rFonts w:ascii="Arial" w:hAnsi="Arial" w:cs="Arial"/>
                <w:color w:val="FF0000"/>
                <w:sz w:val="16"/>
                <w:szCs w:val="16"/>
                <w:lang w:eastAsia="en-US"/>
              </w:rPr>
            </w:pPr>
            <w:r w:rsidRPr="00E63810">
              <w:rPr>
                <w:rFonts w:ascii="Arial" w:hAnsi="Arial" w:cs="Arial"/>
                <w:sz w:val="18"/>
                <w:szCs w:val="18"/>
                <w:lang w:eastAsia="en-US"/>
              </w:rPr>
              <w:t>Traženje izvora financiranja i podrške u projektima zaštite i održanja kulturne baštine i prezentacije</w:t>
            </w:r>
          </w:p>
        </w:tc>
        <w:tc>
          <w:tcPr>
            <w:tcW w:w="1124" w:type="dxa"/>
            <w:vAlign w:val="center"/>
          </w:tcPr>
          <w:p w14:paraId="6B4622B2" w14:textId="7193AD4C" w:rsidR="006A2061" w:rsidRPr="00500D60" w:rsidRDefault="006A2061" w:rsidP="006A2061">
            <w:pPr>
              <w:jc w:val="center"/>
              <w:rPr>
                <w:rFonts w:ascii="Arial" w:hAnsi="Arial" w:cs="Arial"/>
                <w:color w:val="FF0000"/>
                <w:sz w:val="16"/>
                <w:szCs w:val="16"/>
                <w:lang w:eastAsia="en-US"/>
              </w:rPr>
            </w:pPr>
            <w:r w:rsidRPr="00E63810">
              <w:rPr>
                <w:rFonts w:ascii="Arial" w:hAnsi="Arial" w:cs="Arial"/>
                <w:sz w:val="18"/>
                <w:szCs w:val="18"/>
                <w:lang w:eastAsia="en-US"/>
              </w:rPr>
              <w:t>Projekt</w:t>
            </w:r>
          </w:p>
        </w:tc>
        <w:tc>
          <w:tcPr>
            <w:tcW w:w="1144" w:type="dxa"/>
            <w:vAlign w:val="center"/>
          </w:tcPr>
          <w:p w14:paraId="7CADF046" w14:textId="0A600C62" w:rsidR="006A2061" w:rsidRPr="00500D60" w:rsidRDefault="006A2061" w:rsidP="006A2061">
            <w:pPr>
              <w:jc w:val="center"/>
              <w:rPr>
                <w:rFonts w:ascii="Arial" w:hAnsi="Arial" w:cs="Arial"/>
                <w:color w:val="FF0000"/>
                <w:sz w:val="16"/>
                <w:szCs w:val="16"/>
                <w:lang w:eastAsia="en-US"/>
              </w:rPr>
            </w:pPr>
            <w:r w:rsidRPr="0092756E">
              <w:rPr>
                <w:rFonts w:asciiTheme="minorHAnsi" w:hAnsiTheme="minorHAnsi" w:cstheme="minorHAnsi"/>
                <w:sz w:val="18"/>
                <w:szCs w:val="18"/>
              </w:rPr>
              <w:t>1</w:t>
            </w:r>
            <w:r>
              <w:rPr>
                <w:rFonts w:asciiTheme="minorHAnsi" w:hAnsiTheme="minorHAnsi" w:cstheme="minorHAnsi"/>
                <w:sz w:val="18"/>
                <w:szCs w:val="18"/>
              </w:rPr>
              <w:t>1</w:t>
            </w:r>
          </w:p>
        </w:tc>
        <w:tc>
          <w:tcPr>
            <w:tcW w:w="1277" w:type="dxa"/>
            <w:vAlign w:val="center"/>
          </w:tcPr>
          <w:p w14:paraId="37E79B5A" w14:textId="2142E5BD" w:rsidR="006A2061" w:rsidRPr="00500D60" w:rsidRDefault="006A2061" w:rsidP="006A2061">
            <w:pPr>
              <w:jc w:val="center"/>
              <w:rPr>
                <w:rFonts w:ascii="Arial" w:hAnsi="Arial" w:cs="Arial"/>
                <w:color w:val="FF0000"/>
                <w:sz w:val="16"/>
                <w:szCs w:val="16"/>
                <w:lang w:eastAsia="en-US"/>
              </w:rPr>
            </w:pPr>
            <w:r w:rsidRPr="00E63810">
              <w:rPr>
                <w:rFonts w:ascii="Arial" w:hAnsi="Arial" w:cs="Arial"/>
                <w:sz w:val="18"/>
                <w:szCs w:val="18"/>
                <w:lang w:eastAsia="en-US"/>
              </w:rPr>
              <w:t>Odjel općih poslova</w:t>
            </w:r>
          </w:p>
        </w:tc>
        <w:tc>
          <w:tcPr>
            <w:tcW w:w="992" w:type="dxa"/>
            <w:vAlign w:val="center"/>
          </w:tcPr>
          <w:p w14:paraId="4B3F9127" w14:textId="6A56DF9D" w:rsidR="006A2061" w:rsidRPr="00500D60" w:rsidRDefault="006A2061" w:rsidP="006A2061">
            <w:pPr>
              <w:jc w:val="center"/>
              <w:rPr>
                <w:rFonts w:ascii="Arial" w:hAnsi="Arial" w:cs="Arial"/>
                <w:color w:val="FF0000"/>
                <w:sz w:val="16"/>
                <w:szCs w:val="16"/>
                <w:lang w:eastAsia="en-US"/>
              </w:rPr>
            </w:pPr>
            <w:r>
              <w:rPr>
                <w:rFonts w:asciiTheme="minorHAnsi" w:hAnsiTheme="minorHAnsi" w:cstheme="minorHAnsi"/>
                <w:sz w:val="18"/>
                <w:szCs w:val="18"/>
              </w:rPr>
              <w:t>12</w:t>
            </w:r>
          </w:p>
        </w:tc>
        <w:tc>
          <w:tcPr>
            <w:tcW w:w="1134" w:type="dxa"/>
            <w:vAlign w:val="center"/>
          </w:tcPr>
          <w:p w14:paraId="60B06D9E" w14:textId="6303F170" w:rsidR="006A2061" w:rsidRPr="00500D60" w:rsidRDefault="006A2061" w:rsidP="006A2061">
            <w:pPr>
              <w:jc w:val="center"/>
              <w:rPr>
                <w:rFonts w:ascii="Arial" w:hAnsi="Arial" w:cs="Arial"/>
                <w:color w:val="FF0000"/>
                <w:sz w:val="16"/>
                <w:szCs w:val="16"/>
                <w:lang w:eastAsia="en-US"/>
              </w:rPr>
            </w:pPr>
            <w:r w:rsidRPr="0092756E">
              <w:rPr>
                <w:rFonts w:asciiTheme="minorHAnsi" w:hAnsiTheme="minorHAnsi" w:cstheme="minorHAnsi"/>
                <w:sz w:val="18"/>
                <w:szCs w:val="18"/>
              </w:rPr>
              <w:t>1</w:t>
            </w:r>
            <w:r>
              <w:rPr>
                <w:rFonts w:asciiTheme="minorHAnsi" w:hAnsiTheme="minorHAnsi" w:cstheme="minorHAnsi"/>
                <w:sz w:val="18"/>
                <w:szCs w:val="18"/>
              </w:rPr>
              <w:t>1</w:t>
            </w:r>
          </w:p>
        </w:tc>
        <w:tc>
          <w:tcPr>
            <w:tcW w:w="992" w:type="dxa"/>
            <w:vAlign w:val="center"/>
          </w:tcPr>
          <w:p w14:paraId="6B6A282D" w14:textId="52718EA5" w:rsidR="006A2061" w:rsidRPr="00500D60" w:rsidRDefault="006A2061" w:rsidP="006A2061">
            <w:pPr>
              <w:jc w:val="center"/>
              <w:rPr>
                <w:rFonts w:ascii="Arial" w:hAnsi="Arial" w:cs="Arial"/>
                <w:color w:val="FF0000"/>
                <w:sz w:val="16"/>
                <w:szCs w:val="16"/>
                <w:lang w:eastAsia="en-US"/>
              </w:rPr>
            </w:pPr>
            <w:r w:rsidRPr="0092756E">
              <w:rPr>
                <w:rFonts w:asciiTheme="minorHAnsi" w:hAnsiTheme="minorHAnsi" w:cstheme="minorHAnsi"/>
                <w:sz w:val="18"/>
                <w:szCs w:val="18"/>
              </w:rPr>
              <w:t>12</w:t>
            </w:r>
          </w:p>
        </w:tc>
        <w:tc>
          <w:tcPr>
            <w:tcW w:w="992" w:type="dxa"/>
            <w:vAlign w:val="center"/>
          </w:tcPr>
          <w:p w14:paraId="6294481F" w14:textId="0D87FC01" w:rsidR="006A2061" w:rsidRPr="00500D60" w:rsidRDefault="006A2061" w:rsidP="006A2061">
            <w:pPr>
              <w:jc w:val="center"/>
              <w:rPr>
                <w:rFonts w:ascii="Arial" w:hAnsi="Arial" w:cs="Arial"/>
                <w:color w:val="FF0000"/>
                <w:sz w:val="16"/>
                <w:szCs w:val="16"/>
                <w:lang w:eastAsia="en-US"/>
              </w:rPr>
            </w:pPr>
            <w:r w:rsidRPr="0092756E">
              <w:rPr>
                <w:rFonts w:asciiTheme="minorHAnsi" w:hAnsiTheme="minorHAnsi" w:cstheme="minorHAnsi"/>
                <w:sz w:val="18"/>
                <w:szCs w:val="18"/>
              </w:rPr>
              <w:t>12</w:t>
            </w:r>
          </w:p>
        </w:tc>
      </w:tr>
      <w:tr w:rsidR="006A2061" w:rsidRPr="00500D60" w14:paraId="06AD63FE" w14:textId="77777777" w:rsidTr="00EA587B">
        <w:trPr>
          <w:trHeight w:val="566"/>
          <w:jc w:val="center"/>
        </w:trPr>
        <w:tc>
          <w:tcPr>
            <w:tcW w:w="2830" w:type="dxa"/>
            <w:vAlign w:val="center"/>
          </w:tcPr>
          <w:p w14:paraId="244FBA49" w14:textId="25643755" w:rsidR="006A2061" w:rsidRPr="00500D60" w:rsidRDefault="006A2061" w:rsidP="006A2061">
            <w:pPr>
              <w:rPr>
                <w:rFonts w:ascii="Arial" w:hAnsi="Arial" w:cs="Arial"/>
                <w:color w:val="FF0000"/>
                <w:sz w:val="16"/>
                <w:szCs w:val="16"/>
              </w:rPr>
            </w:pPr>
            <w:r w:rsidRPr="00E63810">
              <w:rPr>
                <w:rFonts w:ascii="Arial" w:hAnsi="Arial" w:cs="Arial"/>
                <w:sz w:val="18"/>
                <w:szCs w:val="18"/>
                <w:lang w:eastAsia="en-US"/>
              </w:rPr>
              <w:lastRenderedPageBreak/>
              <w:t>Broj zahtjeva prema sponzorima</w:t>
            </w:r>
          </w:p>
        </w:tc>
        <w:tc>
          <w:tcPr>
            <w:tcW w:w="3271" w:type="dxa"/>
            <w:vAlign w:val="center"/>
          </w:tcPr>
          <w:p w14:paraId="21AA58C4" w14:textId="1C36A8BE" w:rsidR="006A2061" w:rsidRPr="00500D60" w:rsidRDefault="006A2061" w:rsidP="006A2061">
            <w:pPr>
              <w:rPr>
                <w:rFonts w:ascii="Arial" w:hAnsi="Arial" w:cs="Arial"/>
                <w:color w:val="FF0000"/>
                <w:sz w:val="16"/>
                <w:szCs w:val="16"/>
              </w:rPr>
            </w:pPr>
            <w:r w:rsidRPr="00E63810">
              <w:rPr>
                <w:rFonts w:ascii="Arial" w:hAnsi="Arial" w:cs="Arial"/>
                <w:sz w:val="18"/>
                <w:szCs w:val="18"/>
                <w:lang w:eastAsia="en-US"/>
              </w:rPr>
              <w:t>Pomoć pri realizaciji projekata od velike važnosti za lokalnu zajednicu</w:t>
            </w:r>
          </w:p>
        </w:tc>
        <w:tc>
          <w:tcPr>
            <w:tcW w:w="1124" w:type="dxa"/>
            <w:vAlign w:val="center"/>
          </w:tcPr>
          <w:p w14:paraId="1F1C0D4E" w14:textId="6DBD0D9C" w:rsidR="006A2061" w:rsidRPr="00500D60" w:rsidRDefault="006A2061" w:rsidP="006A2061">
            <w:pPr>
              <w:jc w:val="center"/>
              <w:rPr>
                <w:rFonts w:ascii="Arial" w:hAnsi="Arial" w:cs="Arial"/>
                <w:color w:val="FF0000"/>
                <w:sz w:val="16"/>
                <w:szCs w:val="16"/>
              </w:rPr>
            </w:pPr>
            <w:r w:rsidRPr="00E63810">
              <w:rPr>
                <w:rFonts w:ascii="Arial" w:hAnsi="Arial" w:cs="Arial"/>
                <w:sz w:val="18"/>
                <w:szCs w:val="18"/>
                <w:lang w:eastAsia="en-US"/>
              </w:rPr>
              <w:t>Zahtjev</w:t>
            </w:r>
          </w:p>
        </w:tc>
        <w:tc>
          <w:tcPr>
            <w:tcW w:w="1144" w:type="dxa"/>
            <w:vAlign w:val="center"/>
          </w:tcPr>
          <w:p w14:paraId="1237225C" w14:textId="093BF9F2" w:rsidR="006A2061" w:rsidRPr="00500D60" w:rsidRDefault="006A2061" w:rsidP="006A2061">
            <w:pPr>
              <w:jc w:val="center"/>
              <w:rPr>
                <w:rFonts w:ascii="Arial" w:hAnsi="Arial" w:cs="Arial"/>
                <w:color w:val="FF0000"/>
                <w:sz w:val="16"/>
                <w:szCs w:val="16"/>
              </w:rPr>
            </w:pPr>
            <w:r w:rsidRPr="0092756E">
              <w:rPr>
                <w:rFonts w:asciiTheme="minorHAnsi" w:hAnsiTheme="minorHAnsi" w:cstheme="minorHAnsi"/>
                <w:sz w:val="18"/>
                <w:szCs w:val="18"/>
              </w:rPr>
              <w:t>0</w:t>
            </w:r>
          </w:p>
        </w:tc>
        <w:tc>
          <w:tcPr>
            <w:tcW w:w="1277" w:type="dxa"/>
            <w:vAlign w:val="center"/>
          </w:tcPr>
          <w:p w14:paraId="682DDFA9" w14:textId="3C68356E" w:rsidR="006A2061" w:rsidRPr="00500D60" w:rsidRDefault="006A2061" w:rsidP="006A2061">
            <w:pPr>
              <w:jc w:val="center"/>
              <w:rPr>
                <w:rFonts w:ascii="Arial" w:hAnsi="Arial" w:cs="Arial"/>
                <w:color w:val="FF0000"/>
                <w:sz w:val="16"/>
                <w:szCs w:val="16"/>
              </w:rPr>
            </w:pPr>
            <w:r w:rsidRPr="00E63810">
              <w:rPr>
                <w:rFonts w:ascii="Arial" w:hAnsi="Arial" w:cs="Arial"/>
                <w:sz w:val="18"/>
                <w:szCs w:val="18"/>
                <w:lang w:eastAsia="en-US"/>
              </w:rPr>
              <w:t>Odjel općih poslova</w:t>
            </w:r>
          </w:p>
        </w:tc>
        <w:tc>
          <w:tcPr>
            <w:tcW w:w="992" w:type="dxa"/>
            <w:vAlign w:val="center"/>
          </w:tcPr>
          <w:p w14:paraId="42EA5818" w14:textId="62D598A2" w:rsidR="006A2061" w:rsidRPr="00500D60" w:rsidRDefault="006A2061" w:rsidP="006A2061">
            <w:pPr>
              <w:jc w:val="center"/>
              <w:rPr>
                <w:rFonts w:ascii="Arial" w:hAnsi="Arial" w:cs="Arial"/>
                <w:color w:val="FF0000"/>
                <w:sz w:val="16"/>
                <w:szCs w:val="16"/>
              </w:rPr>
            </w:pPr>
            <w:r w:rsidRPr="0092756E">
              <w:rPr>
                <w:rFonts w:asciiTheme="minorHAnsi" w:hAnsiTheme="minorHAnsi" w:cstheme="minorHAnsi"/>
                <w:sz w:val="18"/>
                <w:szCs w:val="18"/>
              </w:rPr>
              <w:t>10</w:t>
            </w:r>
          </w:p>
        </w:tc>
        <w:tc>
          <w:tcPr>
            <w:tcW w:w="1134" w:type="dxa"/>
            <w:vAlign w:val="center"/>
          </w:tcPr>
          <w:p w14:paraId="33427AAB" w14:textId="30EDE655" w:rsidR="006A2061" w:rsidRPr="00500D60" w:rsidRDefault="006A2061" w:rsidP="006A2061">
            <w:pPr>
              <w:jc w:val="center"/>
              <w:rPr>
                <w:rFonts w:ascii="Arial" w:hAnsi="Arial" w:cs="Arial"/>
                <w:color w:val="FF0000"/>
                <w:sz w:val="16"/>
                <w:szCs w:val="16"/>
              </w:rPr>
            </w:pPr>
            <w:r w:rsidRPr="0092756E">
              <w:rPr>
                <w:rFonts w:asciiTheme="minorHAnsi" w:hAnsiTheme="minorHAnsi" w:cstheme="minorHAnsi"/>
                <w:sz w:val="18"/>
                <w:szCs w:val="18"/>
              </w:rPr>
              <w:t>0</w:t>
            </w:r>
          </w:p>
        </w:tc>
        <w:tc>
          <w:tcPr>
            <w:tcW w:w="992" w:type="dxa"/>
            <w:vAlign w:val="center"/>
          </w:tcPr>
          <w:p w14:paraId="1868C5D2" w14:textId="63DA2059" w:rsidR="006A2061" w:rsidRPr="00500D60" w:rsidRDefault="006A2061" w:rsidP="006A2061">
            <w:pPr>
              <w:jc w:val="center"/>
              <w:rPr>
                <w:rFonts w:ascii="Arial" w:hAnsi="Arial" w:cs="Arial"/>
                <w:color w:val="FF0000"/>
                <w:sz w:val="16"/>
                <w:szCs w:val="16"/>
              </w:rPr>
            </w:pPr>
            <w:r w:rsidRPr="0092756E">
              <w:rPr>
                <w:rFonts w:asciiTheme="minorHAnsi" w:hAnsiTheme="minorHAnsi" w:cstheme="minorHAnsi"/>
                <w:sz w:val="18"/>
                <w:szCs w:val="18"/>
              </w:rPr>
              <w:t>10</w:t>
            </w:r>
          </w:p>
        </w:tc>
        <w:tc>
          <w:tcPr>
            <w:tcW w:w="992" w:type="dxa"/>
            <w:vAlign w:val="center"/>
          </w:tcPr>
          <w:p w14:paraId="0679B8A6" w14:textId="270734BE" w:rsidR="006A2061" w:rsidRPr="00500D60" w:rsidRDefault="006A2061" w:rsidP="006A2061">
            <w:pPr>
              <w:jc w:val="center"/>
              <w:rPr>
                <w:rFonts w:ascii="Arial" w:hAnsi="Arial" w:cs="Arial"/>
                <w:color w:val="FF0000"/>
                <w:sz w:val="16"/>
                <w:szCs w:val="16"/>
              </w:rPr>
            </w:pPr>
            <w:r w:rsidRPr="0092756E">
              <w:rPr>
                <w:rFonts w:asciiTheme="minorHAnsi" w:hAnsiTheme="minorHAnsi" w:cstheme="minorHAnsi"/>
                <w:sz w:val="18"/>
                <w:szCs w:val="18"/>
              </w:rPr>
              <w:t>1</w:t>
            </w:r>
            <w:r>
              <w:rPr>
                <w:rFonts w:asciiTheme="minorHAnsi" w:hAnsiTheme="minorHAnsi" w:cstheme="minorHAnsi"/>
                <w:sz w:val="18"/>
                <w:szCs w:val="18"/>
              </w:rPr>
              <w:t>0</w:t>
            </w:r>
          </w:p>
        </w:tc>
      </w:tr>
    </w:tbl>
    <w:p w14:paraId="7FB50485" w14:textId="77777777" w:rsidR="00ED5AE5" w:rsidRPr="00EA587B" w:rsidRDefault="00ED5AE5" w:rsidP="006E4FC7">
      <w:pPr>
        <w:spacing w:after="0" w:line="240" w:lineRule="auto"/>
        <w:jc w:val="both"/>
        <w:rPr>
          <w:rFonts w:ascii="Arial" w:eastAsia="Times New Roman" w:hAnsi="Arial" w:cs="Arial"/>
          <w:sz w:val="18"/>
          <w:szCs w:val="18"/>
          <w:lang w:eastAsia="en-US"/>
        </w:rPr>
      </w:pPr>
    </w:p>
    <w:p w14:paraId="379766D7" w14:textId="77777777" w:rsidR="00871887" w:rsidRPr="00871887" w:rsidRDefault="00871887" w:rsidP="00871887">
      <w:pPr>
        <w:autoSpaceDE w:val="0"/>
        <w:autoSpaceDN w:val="0"/>
        <w:adjustRightInd w:val="0"/>
        <w:spacing w:after="0" w:line="240" w:lineRule="auto"/>
        <w:jc w:val="both"/>
        <w:rPr>
          <w:rFonts w:ascii="Arial" w:eastAsia="Times New Roman" w:hAnsi="Arial" w:cs="Arial"/>
          <w:sz w:val="20"/>
          <w:szCs w:val="20"/>
        </w:rPr>
      </w:pPr>
      <w:r w:rsidRPr="00871887">
        <w:rPr>
          <w:rFonts w:ascii="Arial" w:eastAsia="Times New Roman" w:hAnsi="Arial" w:cs="Arial"/>
          <w:sz w:val="20"/>
          <w:szCs w:val="20"/>
        </w:rPr>
        <w:t xml:space="preserve">Projekti prijavljeni na natječaj u Ministarstvu kulture i medija  za realizaciju u 2025. godini su: </w:t>
      </w:r>
    </w:p>
    <w:p w14:paraId="46511F92" w14:textId="77777777" w:rsidR="00871887" w:rsidRPr="00871887" w:rsidRDefault="00871887" w:rsidP="00871887">
      <w:pPr>
        <w:autoSpaceDE w:val="0"/>
        <w:autoSpaceDN w:val="0"/>
        <w:adjustRightInd w:val="0"/>
        <w:spacing w:after="0" w:line="240" w:lineRule="auto"/>
        <w:jc w:val="both"/>
        <w:rPr>
          <w:rFonts w:ascii="Arial" w:eastAsia="Times New Roman" w:hAnsi="Arial" w:cs="Arial"/>
          <w:sz w:val="20"/>
          <w:szCs w:val="20"/>
        </w:rPr>
      </w:pPr>
      <w:r w:rsidRPr="00871887">
        <w:rPr>
          <w:rFonts w:ascii="Arial" w:eastAsia="Times New Roman" w:hAnsi="Arial" w:cs="Arial"/>
          <w:sz w:val="20"/>
          <w:szCs w:val="20"/>
        </w:rPr>
        <w:t>Odobreni projekti:</w:t>
      </w:r>
    </w:p>
    <w:p w14:paraId="3134F93C" w14:textId="77777777" w:rsidR="00871887" w:rsidRPr="00871887" w:rsidRDefault="00871887" w:rsidP="00871887">
      <w:pPr>
        <w:numPr>
          <w:ilvl w:val="0"/>
          <w:numId w:val="43"/>
        </w:numPr>
        <w:autoSpaceDE w:val="0"/>
        <w:autoSpaceDN w:val="0"/>
        <w:adjustRightInd w:val="0"/>
        <w:spacing w:after="0" w:line="240" w:lineRule="auto"/>
        <w:jc w:val="both"/>
        <w:rPr>
          <w:rFonts w:ascii="Arial" w:eastAsia="Times New Roman" w:hAnsi="Arial" w:cs="Arial"/>
          <w:sz w:val="20"/>
          <w:szCs w:val="20"/>
        </w:rPr>
      </w:pPr>
      <w:r w:rsidRPr="00871887">
        <w:rPr>
          <w:rFonts w:ascii="Arial" w:eastAsia="Times New Roman" w:hAnsi="Arial" w:cs="Arial"/>
          <w:sz w:val="20"/>
          <w:szCs w:val="20"/>
        </w:rPr>
        <w:t>arheološka istraživanje Rat Cavtat, jugoistočni dio kompleksa</w:t>
      </w:r>
    </w:p>
    <w:p w14:paraId="584A3A6D" w14:textId="77777777" w:rsidR="00871887" w:rsidRPr="00871887" w:rsidRDefault="00871887" w:rsidP="00871887">
      <w:pPr>
        <w:numPr>
          <w:ilvl w:val="0"/>
          <w:numId w:val="43"/>
        </w:numPr>
        <w:autoSpaceDE w:val="0"/>
        <w:autoSpaceDN w:val="0"/>
        <w:adjustRightInd w:val="0"/>
        <w:spacing w:after="0" w:line="240" w:lineRule="auto"/>
        <w:jc w:val="both"/>
        <w:rPr>
          <w:rFonts w:ascii="Arial" w:eastAsia="Times New Roman" w:hAnsi="Arial" w:cs="Arial"/>
          <w:sz w:val="20"/>
          <w:szCs w:val="20"/>
        </w:rPr>
      </w:pPr>
      <w:r w:rsidRPr="00871887">
        <w:rPr>
          <w:rFonts w:ascii="Arial" w:eastAsia="Times New Roman" w:hAnsi="Arial" w:cs="Arial"/>
          <w:sz w:val="20"/>
          <w:szCs w:val="20"/>
        </w:rPr>
        <w:t>izložbene aktivnosti Muzeja i galerija Konavala za 2025. godinu</w:t>
      </w:r>
    </w:p>
    <w:p w14:paraId="32B05A50" w14:textId="77777777" w:rsidR="00871887" w:rsidRPr="00871887" w:rsidRDefault="00871887" w:rsidP="00871887">
      <w:pPr>
        <w:numPr>
          <w:ilvl w:val="0"/>
          <w:numId w:val="43"/>
        </w:numPr>
        <w:autoSpaceDE w:val="0"/>
        <w:autoSpaceDN w:val="0"/>
        <w:adjustRightInd w:val="0"/>
        <w:spacing w:after="0" w:line="240" w:lineRule="auto"/>
        <w:jc w:val="both"/>
        <w:rPr>
          <w:rFonts w:ascii="Arial" w:eastAsia="Times New Roman" w:hAnsi="Arial" w:cs="Arial"/>
          <w:sz w:val="20"/>
          <w:szCs w:val="20"/>
        </w:rPr>
      </w:pPr>
      <w:r w:rsidRPr="00871887">
        <w:rPr>
          <w:rFonts w:ascii="Arial" w:eastAsia="Times New Roman" w:hAnsi="Arial" w:cs="Arial"/>
          <w:sz w:val="20"/>
          <w:szCs w:val="20"/>
        </w:rPr>
        <w:t>restauracija harmonija iz Kuće Bukovac, KB-708</w:t>
      </w:r>
    </w:p>
    <w:p w14:paraId="32858C6D" w14:textId="77777777" w:rsidR="00871887" w:rsidRPr="00871887" w:rsidRDefault="00871887" w:rsidP="00871887">
      <w:pPr>
        <w:numPr>
          <w:ilvl w:val="0"/>
          <w:numId w:val="43"/>
        </w:numPr>
        <w:autoSpaceDE w:val="0"/>
        <w:autoSpaceDN w:val="0"/>
        <w:adjustRightInd w:val="0"/>
        <w:spacing w:after="0" w:line="240" w:lineRule="auto"/>
        <w:jc w:val="both"/>
        <w:rPr>
          <w:rFonts w:ascii="Arial" w:eastAsia="Times New Roman" w:hAnsi="Arial" w:cs="Arial"/>
          <w:sz w:val="20"/>
          <w:szCs w:val="20"/>
        </w:rPr>
      </w:pPr>
      <w:r w:rsidRPr="00871887">
        <w:rPr>
          <w:rFonts w:ascii="Arial" w:eastAsia="Times New Roman" w:hAnsi="Arial" w:cs="Arial"/>
          <w:sz w:val="20"/>
          <w:szCs w:val="20"/>
        </w:rPr>
        <w:t>digitalizacija slika i crteža Vlaha Bukovca</w:t>
      </w:r>
    </w:p>
    <w:p w14:paraId="4868F183" w14:textId="77777777" w:rsidR="00871887" w:rsidRPr="00871887" w:rsidRDefault="00871887" w:rsidP="00871887">
      <w:pPr>
        <w:numPr>
          <w:ilvl w:val="0"/>
          <w:numId w:val="43"/>
        </w:numPr>
        <w:autoSpaceDE w:val="0"/>
        <w:autoSpaceDN w:val="0"/>
        <w:adjustRightInd w:val="0"/>
        <w:spacing w:after="0" w:line="240" w:lineRule="auto"/>
        <w:jc w:val="both"/>
        <w:rPr>
          <w:rFonts w:ascii="Arial" w:eastAsia="Times New Roman" w:hAnsi="Arial" w:cs="Arial"/>
          <w:sz w:val="20"/>
          <w:szCs w:val="20"/>
        </w:rPr>
      </w:pPr>
      <w:r w:rsidRPr="00871887">
        <w:rPr>
          <w:rFonts w:ascii="Arial" w:eastAsia="Times New Roman" w:hAnsi="Arial" w:cs="Arial"/>
          <w:sz w:val="20"/>
          <w:szCs w:val="20"/>
        </w:rPr>
        <w:t>izdavaštvo 2025 Muzeja i galerija Konavala_ tiskanje 4. slikovnice o Vlahu Bukovcu</w:t>
      </w:r>
    </w:p>
    <w:p w14:paraId="7D06061A" w14:textId="77777777" w:rsidR="00871887" w:rsidRPr="00871887" w:rsidRDefault="00871887" w:rsidP="00871887">
      <w:pPr>
        <w:numPr>
          <w:ilvl w:val="0"/>
          <w:numId w:val="43"/>
        </w:numPr>
        <w:autoSpaceDE w:val="0"/>
        <w:autoSpaceDN w:val="0"/>
        <w:adjustRightInd w:val="0"/>
        <w:spacing w:after="0" w:line="240" w:lineRule="auto"/>
        <w:jc w:val="both"/>
        <w:rPr>
          <w:rFonts w:ascii="Arial" w:eastAsia="Times New Roman" w:hAnsi="Arial" w:cs="Arial"/>
          <w:sz w:val="20"/>
          <w:szCs w:val="20"/>
        </w:rPr>
      </w:pPr>
      <w:r w:rsidRPr="00871887">
        <w:rPr>
          <w:rFonts w:ascii="Arial" w:eastAsia="Times New Roman" w:hAnsi="Arial" w:cs="Arial"/>
          <w:sz w:val="20"/>
          <w:szCs w:val="20"/>
        </w:rPr>
        <w:t>konzervatorsko-restauratorski radovi na Mauzoleju Račić</w:t>
      </w:r>
    </w:p>
    <w:p w14:paraId="6B2519A4" w14:textId="77777777" w:rsidR="00871887" w:rsidRPr="00871887" w:rsidRDefault="00871887" w:rsidP="00871887">
      <w:pPr>
        <w:numPr>
          <w:ilvl w:val="0"/>
          <w:numId w:val="43"/>
        </w:numPr>
        <w:autoSpaceDE w:val="0"/>
        <w:autoSpaceDN w:val="0"/>
        <w:adjustRightInd w:val="0"/>
        <w:spacing w:after="0" w:line="240" w:lineRule="auto"/>
        <w:jc w:val="both"/>
        <w:rPr>
          <w:rFonts w:ascii="Arial" w:eastAsia="Times New Roman" w:hAnsi="Arial" w:cs="Arial"/>
          <w:sz w:val="20"/>
          <w:szCs w:val="20"/>
        </w:rPr>
      </w:pPr>
      <w:r w:rsidRPr="00871887">
        <w:rPr>
          <w:rFonts w:ascii="Arial" w:eastAsia="Times New Roman" w:hAnsi="Arial" w:cs="Arial"/>
          <w:sz w:val="20"/>
          <w:szCs w:val="20"/>
        </w:rPr>
        <w:t>otkup narodnim knjižnicama: monografija Vlaho Bukovac</w:t>
      </w:r>
    </w:p>
    <w:p w14:paraId="09558EB6" w14:textId="77777777" w:rsidR="00871887" w:rsidRPr="00871887" w:rsidRDefault="00871887" w:rsidP="00871887">
      <w:pPr>
        <w:autoSpaceDE w:val="0"/>
        <w:autoSpaceDN w:val="0"/>
        <w:adjustRightInd w:val="0"/>
        <w:spacing w:after="0" w:line="240" w:lineRule="auto"/>
        <w:jc w:val="both"/>
        <w:rPr>
          <w:rFonts w:ascii="Arial" w:eastAsia="Times New Roman" w:hAnsi="Arial" w:cs="Arial"/>
          <w:sz w:val="20"/>
          <w:szCs w:val="20"/>
        </w:rPr>
      </w:pPr>
    </w:p>
    <w:p w14:paraId="32507F69" w14:textId="77777777" w:rsidR="00871887" w:rsidRPr="00871887" w:rsidRDefault="00871887" w:rsidP="00871887">
      <w:pPr>
        <w:autoSpaceDE w:val="0"/>
        <w:autoSpaceDN w:val="0"/>
        <w:adjustRightInd w:val="0"/>
        <w:spacing w:after="0" w:line="240" w:lineRule="auto"/>
        <w:jc w:val="both"/>
        <w:rPr>
          <w:rFonts w:ascii="Arial" w:eastAsia="Times New Roman" w:hAnsi="Arial" w:cs="Arial"/>
          <w:sz w:val="20"/>
          <w:szCs w:val="20"/>
        </w:rPr>
      </w:pPr>
      <w:r w:rsidRPr="00871887">
        <w:rPr>
          <w:rFonts w:ascii="Arial" w:eastAsia="Times New Roman" w:hAnsi="Arial" w:cs="Arial"/>
          <w:sz w:val="20"/>
          <w:szCs w:val="20"/>
        </w:rPr>
        <w:t>Odbijeni projekt: Nabava profesionalnih lutaka za Zavičajni muzej Konavala</w:t>
      </w:r>
    </w:p>
    <w:p w14:paraId="5534A7D3" w14:textId="77777777" w:rsidR="00871887" w:rsidRPr="00871887" w:rsidRDefault="00871887" w:rsidP="00871887">
      <w:pPr>
        <w:autoSpaceDE w:val="0"/>
        <w:autoSpaceDN w:val="0"/>
        <w:adjustRightInd w:val="0"/>
        <w:spacing w:after="0" w:line="240" w:lineRule="auto"/>
        <w:jc w:val="both"/>
        <w:rPr>
          <w:rFonts w:ascii="Arial" w:eastAsia="Times New Roman" w:hAnsi="Arial" w:cs="Arial"/>
          <w:sz w:val="20"/>
          <w:szCs w:val="20"/>
        </w:rPr>
      </w:pPr>
    </w:p>
    <w:p w14:paraId="60172AD5" w14:textId="77777777" w:rsidR="00871887" w:rsidRPr="00871887" w:rsidRDefault="00871887" w:rsidP="00871887">
      <w:pPr>
        <w:autoSpaceDE w:val="0"/>
        <w:autoSpaceDN w:val="0"/>
        <w:adjustRightInd w:val="0"/>
        <w:spacing w:after="0" w:line="240" w:lineRule="auto"/>
        <w:jc w:val="both"/>
        <w:rPr>
          <w:rFonts w:ascii="Arial" w:eastAsia="Times New Roman" w:hAnsi="Arial" w:cs="Arial"/>
          <w:sz w:val="20"/>
          <w:szCs w:val="20"/>
        </w:rPr>
      </w:pPr>
      <w:r w:rsidRPr="00871887">
        <w:rPr>
          <w:rFonts w:ascii="Arial" w:eastAsia="Times New Roman" w:hAnsi="Arial" w:cs="Arial"/>
          <w:sz w:val="20"/>
          <w:szCs w:val="20"/>
        </w:rPr>
        <w:t>Projekti prijavljeni kod Turističke zajednice i Dubrovačko neretvanske županije: Arheološki pop-up muzej, Izložba Olga Solovjeva, Igra Cavtatska avantura, bojanka.</w:t>
      </w:r>
    </w:p>
    <w:p w14:paraId="54F77D98" w14:textId="5013FC48" w:rsidR="00A90FC1" w:rsidRPr="006E4FC7" w:rsidRDefault="00A90FC1" w:rsidP="00B445DF">
      <w:pPr>
        <w:autoSpaceDE w:val="0"/>
        <w:autoSpaceDN w:val="0"/>
        <w:adjustRightInd w:val="0"/>
        <w:spacing w:after="0" w:line="240" w:lineRule="auto"/>
        <w:jc w:val="both"/>
        <w:rPr>
          <w:rFonts w:ascii="Arial" w:eastAsia="Calibri" w:hAnsi="Arial" w:cs="Arial"/>
          <w:b/>
          <w:sz w:val="20"/>
          <w:szCs w:val="20"/>
        </w:rPr>
      </w:pPr>
    </w:p>
    <w:p w14:paraId="375FC0D0" w14:textId="6F74B6F0" w:rsidR="00871887" w:rsidRPr="00871887" w:rsidRDefault="003D7373" w:rsidP="00871887">
      <w:pPr>
        <w:pStyle w:val="Odlomakpopisa"/>
        <w:numPr>
          <w:ilvl w:val="0"/>
          <w:numId w:val="42"/>
        </w:numPr>
        <w:rPr>
          <w:rFonts w:ascii="Arial" w:eastAsia="Calibri" w:hAnsi="Arial" w:cs="Arial"/>
        </w:rPr>
      </w:pPr>
      <w:r w:rsidRPr="00871887">
        <w:rPr>
          <w:rFonts w:ascii="Arial" w:eastAsia="Calibri" w:hAnsi="Arial" w:cs="Arial"/>
          <w:b/>
        </w:rPr>
        <w:t>A203112: Istraživanje, zaštita i čuvanje kulturne baštine</w:t>
      </w:r>
      <w:r w:rsidRPr="00871887">
        <w:rPr>
          <w:rFonts w:ascii="Arial" w:eastAsia="Calibri" w:hAnsi="Arial" w:cs="Arial"/>
        </w:rPr>
        <w:t xml:space="preserve"> – u okviru ove aktivnosti </w:t>
      </w:r>
      <w:r w:rsidR="00871887" w:rsidRPr="00871887">
        <w:rPr>
          <w:rFonts w:ascii="Arial" w:eastAsia="Calibri" w:hAnsi="Arial" w:cs="Arial"/>
        </w:rPr>
        <w:t xml:space="preserve">nisu </w:t>
      </w:r>
      <w:r w:rsidRPr="00871887">
        <w:rPr>
          <w:rFonts w:ascii="Arial" w:eastAsia="Calibri" w:hAnsi="Arial" w:cs="Arial"/>
        </w:rPr>
        <w:t>planirana proračunska sredstva</w:t>
      </w:r>
      <w:r w:rsidR="00871887" w:rsidRPr="00871887">
        <w:rPr>
          <w:rFonts w:ascii="Arial" w:eastAsia="Calibri" w:hAnsi="Arial" w:cs="Arial"/>
        </w:rPr>
        <w:t>.</w:t>
      </w:r>
    </w:p>
    <w:p w14:paraId="7945438C" w14:textId="77777777" w:rsidR="006E4FC7" w:rsidRPr="006E4FC7" w:rsidRDefault="006E4FC7" w:rsidP="006E4FC7">
      <w:pPr>
        <w:spacing w:after="0" w:line="240" w:lineRule="auto"/>
        <w:jc w:val="both"/>
        <w:rPr>
          <w:rFonts w:ascii="Arial" w:eastAsia="Calibri" w:hAnsi="Arial" w:cs="Arial"/>
          <w:b/>
          <w:sz w:val="20"/>
          <w:szCs w:val="20"/>
          <w:highlight w:val="yellow"/>
        </w:rPr>
      </w:pPr>
    </w:p>
    <w:p w14:paraId="4262FFFB" w14:textId="77777777" w:rsidR="00EA587B" w:rsidRPr="006E4FC7" w:rsidRDefault="00EA587B" w:rsidP="00EA587B">
      <w:pPr>
        <w:spacing w:after="0" w:line="240" w:lineRule="auto"/>
        <w:ind w:left="567"/>
        <w:jc w:val="both"/>
        <w:rPr>
          <w:rFonts w:ascii="Arial" w:eastAsia="Calibri" w:hAnsi="Arial" w:cs="Arial"/>
          <w:sz w:val="18"/>
          <w:szCs w:val="18"/>
        </w:rPr>
      </w:pPr>
      <w:r w:rsidRPr="006E4FC7">
        <w:rPr>
          <w:rFonts w:ascii="Arial" w:eastAsia="Calibri" w:hAnsi="Arial" w:cs="Arial"/>
          <w:bCs/>
          <w:sz w:val="18"/>
          <w:szCs w:val="18"/>
        </w:rPr>
        <w:t>U 2022. godini godine bilo je utrošeno</w:t>
      </w:r>
      <w:r w:rsidRPr="006E4FC7">
        <w:rPr>
          <w:rFonts w:ascii="Arial" w:eastAsia="Calibri" w:hAnsi="Arial" w:cs="Arial"/>
          <w:b/>
          <w:sz w:val="18"/>
          <w:szCs w:val="18"/>
        </w:rPr>
        <w:t xml:space="preserve"> </w:t>
      </w:r>
      <w:r w:rsidRPr="006E4FC7">
        <w:rPr>
          <w:rFonts w:ascii="Arial" w:eastAsia="Calibri" w:hAnsi="Arial" w:cs="Arial"/>
          <w:sz w:val="18"/>
          <w:szCs w:val="18"/>
        </w:rPr>
        <w:t>je 2.654,46 € za nabavu virtualne platforma Konavoski govori kojega je financiralo Ministarstvo kulture prema apliciranoj prijavnici u okviru programa digitalizacije u arhivskoj, knjižničnoj i muzejskoj djelatnosti za 2022. godinu.</w:t>
      </w:r>
    </w:p>
    <w:p w14:paraId="51E3EBC8" w14:textId="370CE47A" w:rsidR="00B445DF" w:rsidRDefault="00EA587B" w:rsidP="00EA587B">
      <w:pPr>
        <w:spacing w:after="0" w:line="240" w:lineRule="auto"/>
        <w:ind w:left="567"/>
        <w:jc w:val="both"/>
        <w:rPr>
          <w:sz w:val="20"/>
          <w:szCs w:val="20"/>
        </w:rPr>
      </w:pPr>
      <w:r>
        <w:rPr>
          <w:rFonts w:ascii="Arial" w:eastAsia="Calibri" w:hAnsi="Arial" w:cs="Arial"/>
          <w:sz w:val="18"/>
          <w:szCs w:val="18"/>
        </w:rPr>
        <w:t>U</w:t>
      </w:r>
      <w:r w:rsidR="00ED5AE5" w:rsidRPr="006E4FC7">
        <w:rPr>
          <w:rFonts w:ascii="Arial" w:eastAsia="Calibri" w:hAnsi="Arial" w:cs="Arial"/>
          <w:sz w:val="18"/>
          <w:szCs w:val="18"/>
        </w:rPr>
        <w:t xml:space="preserve"> </w:t>
      </w:r>
      <w:r w:rsidR="00E61250" w:rsidRPr="006E4FC7">
        <w:rPr>
          <w:rFonts w:ascii="Arial" w:eastAsia="Calibri" w:hAnsi="Arial" w:cs="Arial"/>
          <w:sz w:val="18"/>
          <w:szCs w:val="18"/>
        </w:rPr>
        <w:t xml:space="preserve">2023. </w:t>
      </w:r>
      <w:r w:rsidR="00ED5AE5" w:rsidRPr="006E4FC7">
        <w:rPr>
          <w:rFonts w:ascii="Arial" w:eastAsia="Calibri" w:hAnsi="Arial" w:cs="Arial"/>
          <w:sz w:val="18"/>
          <w:szCs w:val="18"/>
        </w:rPr>
        <w:t>godin</w:t>
      </w:r>
      <w:r>
        <w:rPr>
          <w:rFonts w:ascii="Arial" w:eastAsia="Calibri" w:hAnsi="Arial" w:cs="Arial"/>
          <w:sz w:val="18"/>
          <w:szCs w:val="18"/>
        </w:rPr>
        <w:t>i</w:t>
      </w:r>
      <w:r w:rsidR="00ED5AE5" w:rsidRPr="006E4FC7">
        <w:rPr>
          <w:rFonts w:ascii="Arial" w:eastAsia="Calibri" w:hAnsi="Arial" w:cs="Arial"/>
          <w:sz w:val="18"/>
          <w:szCs w:val="18"/>
        </w:rPr>
        <w:t xml:space="preserve"> su</w:t>
      </w:r>
      <w:r>
        <w:rPr>
          <w:rFonts w:ascii="Arial" w:eastAsia="Calibri" w:hAnsi="Arial" w:cs="Arial"/>
          <w:sz w:val="18"/>
          <w:szCs w:val="18"/>
        </w:rPr>
        <w:t xml:space="preserve"> bili</w:t>
      </w:r>
      <w:r w:rsidR="00ED5AE5" w:rsidRPr="006E4FC7">
        <w:rPr>
          <w:rFonts w:ascii="Arial" w:eastAsia="Calibri" w:hAnsi="Arial" w:cs="Arial"/>
          <w:sz w:val="18"/>
          <w:szCs w:val="18"/>
        </w:rPr>
        <w:t xml:space="preserve"> izvršeni r</w:t>
      </w:r>
      <w:r w:rsidR="00B445DF" w:rsidRPr="006E4FC7">
        <w:rPr>
          <w:rFonts w:ascii="Arial" w:eastAsia="Calibri" w:hAnsi="Arial" w:cs="Arial"/>
          <w:sz w:val="18"/>
          <w:szCs w:val="18"/>
        </w:rPr>
        <w:t xml:space="preserve">ashodi </w:t>
      </w:r>
      <w:r w:rsidR="00E61250" w:rsidRPr="006E4FC7">
        <w:rPr>
          <w:rFonts w:ascii="Arial" w:eastAsia="Calibri" w:hAnsi="Arial" w:cs="Arial"/>
          <w:sz w:val="18"/>
          <w:szCs w:val="18"/>
        </w:rPr>
        <w:t xml:space="preserve">u iznosu 2.649,81 € </w:t>
      </w:r>
      <w:r w:rsidR="00B445DF" w:rsidRPr="006E4FC7">
        <w:rPr>
          <w:rFonts w:ascii="Arial" w:eastAsia="Calibri" w:hAnsi="Arial" w:cs="Arial"/>
          <w:sz w:val="18"/>
          <w:szCs w:val="18"/>
        </w:rPr>
        <w:t xml:space="preserve">za snimanje dokumentarnog filma o proizvodnji svile i dudovu svilcu </w:t>
      </w:r>
      <w:r w:rsidR="00B445DF" w:rsidRPr="006E4FC7">
        <w:rPr>
          <w:rFonts w:ascii="Arial" w:eastAsia="Calibri" w:hAnsi="Arial" w:cs="Arial"/>
          <w:i/>
          <w:iCs/>
          <w:sz w:val="18"/>
          <w:szCs w:val="18"/>
        </w:rPr>
        <w:t>Konavoska bubica</w:t>
      </w:r>
      <w:r w:rsidR="00B445DF" w:rsidRPr="006E4FC7">
        <w:rPr>
          <w:rFonts w:ascii="Arial" w:eastAsia="Calibri" w:hAnsi="Arial" w:cs="Arial"/>
          <w:sz w:val="18"/>
          <w:szCs w:val="18"/>
        </w:rPr>
        <w:t>, koje je financiralo Ministarstvo kulture prema prijavljenom programu ustanove.</w:t>
      </w:r>
      <w:r w:rsidR="00ED5AE5" w:rsidRPr="006E4FC7">
        <w:rPr>
          <w:sz w:val="20"/>
          <w:szCs w:val="20"/>
        </w:rPr>
        <w:t xml:space="preserve"> </w:t>
      </w:r>
    </w:p>
    <w:p w14:paraId="149B8EBD" w14:textId="5C0D7373" w:rsidR="00871887" w:rsidRPr="006B62F7" w:rsidRDefault="00871887" w:rsidP="00EA587B">
      <w:pPr>
        <w:spacing w:after="0" w:line="240" w:lineRule="auto"/>
        <w:ind w:left="567"/>
        <w:jc w:val="both"/>
        <w:rPr>
          <w:rFonts w:ascii="Arial" w:eastAsia="Calibri" w:hAnsi="Arial" w:cs="Arial"/>
          <w:b/>
          <w:sz w:val="18"/>
          <w:szCs w:val="18"/>
          <w:highlight w:val="yellow"/>
        </w:rPr>
      </w:pPr>
      <w:r w:rsidRPr="00871887">
        <w:rPr>
          <w:rFonts w:ascii="Arial" w:hAnsi="Arial" w:cs="Arial"/>
          <w:sz w:val="18"/>
          <w:szCs w:val="18"/>
        </w:rPr>
        <w:t>U 2024. godini b</w:t>
      </w:r>
      <w:r w:rsidR="006B62F7">
        <w:rPr>
          <w:rFonts w:ascii="Arial" w:hAnsi="Arial" w:cs="Arial"/>
          <w:sz w:val="18"/>
          <w:szCs w:val="18"/>
        </w:rPr>
        <w:t xml:space="preserve">ili su izvršeni rashodi u iznosu 4.000 € </w:t>
      </w:r>
      <w:r w:rsidR="006B62F7" w:rsidRPr="006B62F7">
        <w:rPr>
          <w:rFonts w:ascii="Arial" w:eastAsia="Calibri" w:hAnsi="Arial" w:cs="Arial"/>
          <w:sz w:val="18"/>
          <w:szCs w:val="18"/>
        </w:rPr>
        <w:t xml:space="preserve">za snimanje dugog dijela dokumentarnog filma o proizvodnji svile i dudovu svilcu </w:t>
      </w:r>
      <w:r w:rsidR="006B62F7" w:rsidRPr="006B62F7">
        <w:rPr>
          <w:rFonts w:ascii="Arial" w:eastAsia="Calibri" w:hAnsi="Arial" w:cs="Arial"/>
          <w:i/>
          <w:iCs/>
          <w:sz w:val="18"/>
          <w:szCs w:val="18"/>
        </w:rPr>
        <w:t>Konavoska bubica</w:t>
      </w:r>
      <w:r w:rsidR="006B62F7" w:rsidRPr="006B62F7">
        <w:rPr>
          <w:rFonts w:ascii="Arial" w:eastAsia="Calibri" w:hAnsi="Arial" w:cs="Arial"/>
          <w:sz w:val="18"/>
          <w:szCs w:val="18"/>
        </w:rPr>
        <w:t>, koje je financiralo Ministarstvo kulture prema prijavljenom programu ustanove za 2024. godinu.</w:t>
      </w:r>
    </w:p>
    <w:p w14:paraId="69CD4737" w14:textId="77777777" w:rsidR="003D7373" w:rsidRPr="006B62F7" w:rsidRDefault="003D7373" w:rsidP="003D7373">
      <w:pPr>
        <w:spacing w:after="0" w:line="240" w:lineRule="auto"/>
        <w:jc w:val="both"/>
        <w:rPr>
          <w:rFonts w:ascii="Arial" w:eastAsia="Calibri" w:hAnsi="Arial" w:cs="Arial"/>
          <w:b/>
          <w:sz w:val="18"/>
          <w:szCs w:val="18"/>
        </w:rPr>
      </w:pPr>
    </w:p>
    <w:p w14:paraId="0A33F631" w14:textId="216BE566" w:rsidR="00705BF9" w:rsidRPr="00705BF9" w:rsidRDefault="00A90FC1" w:rsidP="00705BF9">
      <w:pPr>
        <w:spacing w:after="0" w:line="240" w:lineRule="auto"/>
        <w:jc w:val="both"/>
        <w:rPr>
          <w:rFonts w:ascii="Arial" w:eastAsia="Calibri" w:hAnsi="Arial" w:cs="Arial"/>
          <w:sz w:val="20"/>
          <w:szCs w:val="20"/>
        </w:rPr>
      </w:pPr>
      <w:r w:rsidRPr="006E4FC7">
        <w:rPr>
          <w:rFonts w:ascii="Arial" w:eastAsia="Calibri" w:hAnsi="Arial" w:cs="Arial"/>
          <w:b/>
          <w:sz w:val="20"/>
          <w:szCs w:val="20"/>
        </w:rPr>
        <w:t>12. A203113</w:t>
      </w:r>
      <w:r w:rsidR="00E61250" w:rsidRPr="006E4FC7">
        <w:rPr>
          <w:rFonts w:ascii="Arial" w:eastAsia="Calibri" w:hAnsi="Arial" w:cs="Arial"/>
          <w:b/>
          <w:sz w:val="20"/>
          <w:szCs w:val="20"/>
        </w:rPr>
        <w:t>:</w:t>
      </w:r>
      <w:r w:rsidR="003D7373" w:rsidRPr="006E4FC7">
        <w:rPr>
          <w:rFonts w:ascii="Arial" w:eastAsia="Calibri" w:hAnsi="Arial" w:cs="Arial"/>
          <w:b/>
          <w:sz w:val="20"/>
          <w:szCs w:val="20"/>
        </w:rPr>
        <w:t xml:space="preserve"> Ulaganja u vlastite proizvode - Izdavaštvo </w:t>
      </w:r>
      <w:r w:rsidR="003D7373" w:rsidRPr="006E4FC7">
        <w:rPr>
          <w:rFonts w:ascii="Arial" w:eastAsia="Calibri" w:hAnsi="Arial" w:cs="Arial"/>
          <w:sz w:val="20"/>
          <w:szCs w:val="20"/>
        </w:rPr>
        <w:t xml:space="preserve">- u sklopu navedene aktivnosti planirana su proračunska sredstva u iznosu </w:t>
      </w:r>
      <w:r w:rsidR="006B62F7">
        <w:rPr>
          <w:rFonts w:ascii="Arial" w:eastAsia="Calibri" w:hAnsi="Arial" w:cs="Arial"/>
          <w:sz w:val="20"/>
          <w:szCs w:val="20"/>
        </w:rPr>
        <w:t>5</w:t>
      </w:r>
      <w:r w:rsidR="006E4FC7" w:rsidRPr="006E4FC7">
        <w:rPr>
          <w:rFonts w:ascii="Arial" w:eastAsia="Calibri" w:hAnsi="Arial" w:cs="Arial"/>
          <w:sz w:val="20"/>
          <w:szCs w:val="20"/>
        </w:rPr>
        <w:t>3.800</w:t>
      </w:r>
      <w:r w:rsidR="00FD724F" w:rsidRPr="006E4FC7">
        <w:rPr>
          <w:rFonts w:ascii="Arial" w:eastAsia="Calibri" w:hAnsi="Arial" w:cs="Arial"/>
          <w:sz w:val="20"/>
          <w:szCs w:val="20"/>
        </w:rPr>
        <w:t xml:space="preserve"> €</w:t>
      </w:r>
      <w:r w:rsidR="003D7373" w:rsidRPr="006E4FC7">
        <w:rPr>
          <w:rFonts w:ascii="Arial" w:eastAsia="Calibri" w:hAnsi="Arial" w:cs="Arial"/>
          <w:sz w:val="20"/>
          <w:szCs w:val="20"/>
        </w:rPr>
        <w:t xml:space="preserve">, a ostvareni rashodi su </w:t>
      </w:r>
      <w:r w:rsidR="006B62F7">
        <w:rPr>
          <w:rFonts w:ascii="Arial" w:eastAsia="Calibri" w:hAnsi="Arial" w:cs="Arial"/>
          <w:sz w:val="20"/>
          <w:szCs w:val="20"/>
        </w:rPr>
        <w:t>26.733,23</w:t>
      </w:r>
      <w:r w:rsidR="00FD724F" w:rsidRPr="006E4FC7">
        <w:rPr>
          <w:rFonts w:ascii="Arial" w:eastAsia="Calibri" w:hAnsi="Arial" w:cs="Arial"/>
          <w:sz w:val="20"/>
          <w:szCs w:val="20"/>
        </w:rPr>
        <w:t xml:space="preserve"> €</w:t>
      </w:r>
      <w:r w:rsidR="003D7373" w:rsidRPr="006E4FC7">
        <w:rPr>
          <w:rFonts w:ascii="Arial" w:eastAsia="Calibri" w:hAnsi="Arial" w:cs="Arial"/>
          <w:sz w:val="20"/>
          <w:szCs w:val="20"/>
        </w:rPr>
        <w:t>, odnosno</w:t>
      </w:r>
      <w:r w:rsidR="00E61250" w:rsidRPr="006E4FC7">
        <w:rPr>
          <w:rFonts w:ascii="Arial" w:eastAsia="Calibri" w:hAnsi="Arial" w:cs="Arial"/>
          <w:sz w:val="20"/>
          <w:szCs w:val="20"/>
        </w:rPr>
        <w:t xml:space="preserve"> </w:t>
      </w:r>
      <w:r w:rsidR="006E4FC7" w:rsidRPr="006E4FC7">
        <w:rPr>
          <w:rFonts w:ascii="Arial" w:eastAsia="Calibri" w:hAnsi="Arial" w:cs="Arial"/>
          <w:sz w:val="20"/>
          <w:szCs w:val="20"/>
        </w:rPr>
        <w:t>49,</w:t>
      </w:r>
      <w:r w:rsidR="006B62F7">
        <w:rPr>
          <w:rFonts w:ascii="Arial" w:eastAsia="Calibri" w:hAnsi="Arial" w:cs="Arial"/>
          <w:sz w:val="20"/>
          <w:szCs w:val="20"/>
        </w:rPr>
        <w:t>7</w:t>
      </w:r>
      <w:r w:rsidR="003D7373" w:rsidRPr="006E4FC7">
        <w:rPr>
          <w:rFonts w:ascii="Arial" w:eastAsia="Calibri" w:hAnsi="Arial" w:cs="Arial"/>
          <w:sz w:val="20"/>
          <w:szCs w:val="20"/>
        </w:rPr>
        <w:t xml:space="preserve">% </w:t>
      </w:r>
      <w:r w:rsidR="006E4FC7" w:rsidRPr="006E4FC7">
        <w:rPr>
          <w:rFonts w:ascii="Arial" w:eastAsia="Calibri" w:hAnsi="Arial" w:cs="Arial"/>
          <w:sz w:val="20"/>
          <w:szCs w:val="20"/>
        </w:rPr>
        <w:t>planiranog što se odnosi na</w:t>
      </w:r>
      <w:r w:rsidR="00705BF9" w:rsidRPr="00705BF9">
        <w:rPr>
          <w:rFonts w:ascii="Arial" w:eastAsia="Calibri" w:hAnsi="Arial" w:cs="Arial"/>
          <w:sz w:val="20"/>
          <w:szCs w:val="20"/>
        </w:rPr>
        <w:t xml:space="preserve"> tiskanj</w:t>
      </w:r>
      <w:r w:rsidR="00705BF9">
        <w:rPr>
          <w:rFonts w:ascii="Arial" w:eastAsia="Calibri" w:hAnsi="Arial" w:cs="Arial"/>
          <w:sz w:val="20"/>
          <w:szCs w:val="20"/>
        </w:rPr>
        <w:t>e</w:t>
      </w:r>
      <w:r w:rsidR="00705BF9" w:rsidRPr="00705BF9">
        <w:rPr>
          <w:rFonts w:ascii="Arial" w:eastAsia="Calibri" w:hAnsi="Arial" w:cs="Arial"/>
          <w:sz w:val="20"/>
          <w:szCs w:val="20"/>
        </w:rPr>
        <w:t xml:space="preserve"> kapitalnog djela iz područja povijesti umjetnosti, monografije Vlaho Bukovac (1855-1922) autora Igora Zidića.</w:t>
      </w:r>
    </w:p>
    <w:p w14:paraId="5D7B6091" w14:textId="77777777" w:rsidR="00705BF9" w:rsidRPr="00705BF9" w:rsidRDefault="00705BF9" w:rsidP="00705BF9">
      <w:pPr>
        <w:spacing w:after="0" w:line="240" w:lineRule="auto"/>
        <w:jc w:val="both"/>
        <w:rPr>
          <w:rFonts w:ascii="Arial" w:eastAsia="Calibri" w:hAnsi="Arial" w:cs="Arial"/>
          <w:sz w:val="20"/>
          <w:szCs w:val="20"/>
        </w:rPr>
      </w:pPr>
      <w:r w:rsidRPr="00705BF9">
        <w:rPr>
          <w:rFonts w:ascii="Arial" w:eastAsia="Calibri" w:hAnsi="Arial" w:cs="Arial"/>
          <w:sz w:val="20"/>
          <w:szCs w:val="20"/>
        </w:rPr>
        <w:t>Izdavačka djelatnost se odnosi na oblikovanje i tiskanje kataloga izložbi, vodiča po stalnom postavu, slikovnica, publikacija u kojima se obrađuje problematika muzejske građe smještene u muzejskim jedinicama. Knjige smještene u knjižnici ustanove za sada posuđuju najčešće djelatnici ustanove u sklopu svojeg stručnog rada, knjižnica broji 3.017 knjiga.</w:t>
      </w:r>
    </w:p>
    <w:p w14:paraId="0AE528A4" w14:textId="77777777" w:rsidR="00B445DF" w:rsidRPr="006E4FC7" w:rsidRDefault="00B445DF" w:rsidP="00FD724F">
      <w:pPr>
        <w:spacing w:after="0" w:line="240" w:lineRule="auto"/>
        <w:jc w:val="both"/>
        <w:rPr>
          <w:rFonts w:ascii="Arial" w:eastAsia="Calibri" w:hAnsi="Arial" w:cs="Arial"/>
          <w:sz w:val="20"/>
          <w:szCs w:val="20"/>
        </w:rPr>
      </w:pPr>
    </w:p>
    <w:tbl>
      <w:tblPr>
        <w:tblStyle w:val="Reetkatablice5"/>
        <w:tblW w:w="13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266"/>
        <w:gridCol w:w="850"/>
        <w:gridCol w:w="992"/>
        <w:gridCol w:w="1291"/>
        <w:gridCol w:w="1134"/>
        <w:gridCol w:w="992"/>
        <w:gridCol w:w="993"/>
        <w:gridCol w:w="992"/>
      </w:tblGrid>
      <w:tr w:rsidR="006E4FC7" w:rsidRPr="006E4FC7" w14:paraId="3EE8F0B0" w14:textId="77777777" w:rsidTr="00EA587B">
        <w:trPr>
          <w:jc w:val="center"/>
        </w:trPr>
        <w:tc>
          <w:tcPr>
            <w:tcW w:w="2689" w:type="dxa"/>
            <w:shd w:val="clear" w:color="auto" w:fill="BFBFBF" w:themeFill="background1" w:themeFillShade="BF"/>
            <w:vAlign w:val="center"/>
          </w:tcPr>
          <w:p w14:paraId="7B1CAF0F" w14:textId="77777777" w:rsidR="00FD724F" w:rsidRPr="006E4FC7" w:rsidRDefault="00FD724F" w:rsidP="00B223BA">
            <w:pPr>
              <w:jc w:val="center"/>
              <w:rPr>
                <w:rFonts w:ascii="Arial" w:eastAsia="Calibri" w:hAnsi="Arial" w:cs="Arial"/>
                <w:sz w:val="16"/>
                <w:szCs w:val="16"/>
              </w:rPr>
            </w:pPr>
            <w:r w:rsidRPr="006E4FC7">
              <w:rPr>
                <w:rFonts w:ascii="Arial" w:eastAsia="Calibri" w:hAnsi="Arial" w:cs="Arial"/>
                <w:sz w:val="16"/>
                <w:szCs w:val="16"/>
              </w:rPr>
              <w:t>Pokazatelj uspješnosti</w:t>
            </w:r>
          </w:p>
        </w:tc>
        <w:tc>
          <w:tcPr>
            <w:tcW w:w="3266" w:type="dxa"/>
            <w:shd w:val="clear" w:color="auto" w:fill="BFBFBF" w:themeFill="background1" w:themeFillShade="BF"/>
            <w:vAlign w:val="center"/>
          </w:tcPr>
          <w:p w14:paraId="1674CC10" w14:textId="77777777" w:rsidR="00FD724F" w:rsidRPr="006E4FC7" w:rsidRDefault="00FD724F" w:rsidP="00B223BA">
            <w:pPr>
              <w:jc w:val="center"/>
              <w:rPr>
                <w:rFonts w:ascii="Arial" w:eastAsia="Calibri" w:hAnsi="Arial" w:cs="Arial"/>
                <w:sz w:val="16"/>
                <w:szCs w:val="16"/>
              </w:rPr>
            </w:pPr>
            <w:r w:rsidRPr="006E4FC7">
              <w:rPr>
                <w:rFonts w:ascii="Arial" w:eastAsia="Calibri" w:hAnsi="Arial" w:cs="Arial"/>
                <w:sz w:val="16"/>
                <w:szCs w:val="16"/>
              </w:rPr>
              <w:t>Definicija</w:t>
            </w:r>
          </w:p>
        </w:tc>
        <w:tc>
          <w:tcPr>
            <w:tcW w:w="850" w:type="dxa"/>
            <w:shd w:val="clear" w:color="auto" w:fill="BFBFBF" w:themeFill="background1" w:themeFillShade="BF"/>
            <w:vAlign w:val="center"/>
          </w:tcPr>
          <w:p w14:paraId="19C52DCC" w14:textId="77777777" w:rsidR="00FD724F" w:rsidRPr="006E4FC7" w:rsidRDefault="00FD724F" w:rsidP="00B223BA">
            <w:pPr>
              <w:jc w:val="center"/>
              <w:rPr>
                <w:rFonts w:ascii="Arial" w:eastAsia="Calibri" w:hAnsi="Arial" w:cs="Arial"/>
                <w:sz w:val="16"/>
                <w:szCs w:val="16"/>
              </w:rPr>
            </w:pPr>
            <w:r w:rsidRPr="006E4FC7">
              <w:rPr>
                <w:rFonts w:ascii="Arial" w:eastAsia="Calibri" w:hAnsi="Arial" w:cs="Arial"/>
                <w:sz w:val="16"/>
                <w:szCs w:val="16"/>
              </w:rPr>
              <w:t>Jedinica</w:t>
            </w:r>
          </w:p>
        </w:tc>
        <w:tc>
          <w:tcPr>
            <w:tcW w:w="992" w:type="dxa"/>
            <w:shd w:val="clear" w:color="auto" w:fill="BFBFBF" w:themeFill="background1" w:themeFillShade="BF"/>
            <w:vAlign w:val="center"/>
          </w:tcPr>
          <w:p w14:paraId="3C7AB67D" w14:textId="77777777" w:rsidR="00FD724F" w:rsidRPr="006E4FC7" w:rsidRDefault="00FD724F" w:rsidP="00B223BA">
            <w:pPr>
              <w:jc w:val="center"/>
              <w:rPr>
                <w:rFonts w:ascii="Arial" w:eastAsia="Calibri" w:hAnsi="Arial" w:cs="Arial"/>
                <w:sz w:val="16"/>
                <w:szCs w:val="16"/>
              </w:rPr>
            </w:pPr>
            <w:r w:rsidRPr="006E4FC7">
              <w:rPr>
                <w:rFonts w:ascii="Arial" w:eastAsia="Calibri" w:hAnsi="Arial" w:cs="Arial"/>
                <w:sz w:val="16"/>
                <w:szCs w:val="16"/>
              </w:rPr>
              <w:t>Polazna vrijednost</w:t>
            </w:r>
          </w:p>
          <w:p w14:paraId="4AB7A8E9" w14:textId="2CEB2FE4" w:rsidR="00FD724F" w:rsidRPr="006E4FC7" w:rsidRDefault="00FD724F" w:rsidP="00B223BA">
            <w:pPr>
              <w:jc w:val="center"/>
              <w:rPr>
                <w:rFonts w:ascii="Arial" w:eastAsia="Calibri" w:hAnsi="Arial" w:cs="Arial"/>
                <w:sz w:val="16"/>
                <w:szCs w:val="16"/>
              </w:rPr>
            </w:pPr>
            <w:r w:rsidRPr="006E4FC7">
              <w:rPr>
                <w:rFonts w:ascii="Arial" w:eastAsia="Calibri" w:hAnsi="Arial" w:cs="Arial"/>
                <w:sz w:val="16"/>
                <w:szCs w:val="16"/>
              </w:rPr>
              <w:t>202</w:t>
            </w:r>
            <w:r w:rsidR="0024762B">
              <w:rPr>
                <w:rFonts w:ascii="Arial" w:eastAsia="Calibri" w:hAnsi="Arial" w:cs="Arial"/>
                <w:sz w:val="16"/>
                <w:szCs w:val="16"/>
              </w:rPr>
              <w:t>4</w:t>
            </w:r>
            <w:r w:rsidRPr="006E4FC7">
              <w:rPr>
                <w:rFonts w:ascii="Arial" w:eastAsia="Calibri" w:hAnsi="Arial" w:cs="Arial"/>
                <w:sz w:val="16"/>
                <w:szCs w:val="16"/>
              </w:rPr>
              <w:t>.</w:t>
            </w:r>
          </w:p>
        </w:tc>
        <w:tc>
          <w:tcPr>
            <w:tcW w:w="1291" w:type="dxa"/>
            <w:shd w:val="clear" w:color="auto" w:fill="BFBFBF" w:themeFill="background1" w:themeFillShade="BF"/>
            <w:vAlign w:val="center"/>
          </w:tcPr>
          <w:p w14:paraId="02D7C1C6" w14:textId="77777777" w:rsidR="00FD724F" w:rsidRPr="006E4FC7" w:rsidRDefault="00FD724F" w:rsidP="00B223BA">
            <w:pPr>
              <w:jc w:val="center"/>
              <w:rPr>
                <w:rFonts w:ascii="Arial" w:eastAsia="Calibri" w:hAnsi="Arial" w:cs="Arial"/>
                <w:sz w:val="16"/>
                <w:szCs w:val="16"/>
              </w:rPr>
            </w:pPr>
            <w:r w:rsidRPr="006E4FC7">
              <w:rPr>
                <w:rFonts w:ascii="Arial" w:eastAsia="Calibri" w:hAnsi="Arial" w:cs="Arial"/>
                <w:sz w:val="16"/>
                <w:szCs w:val="16"/>
              </w:rPr>
              <w:t>Izvor podataka</w:t>
            </w:r>
          </w:p>
        </w:tc>
        <w:tc>
          <w:tcPr>
            <w:tcW w:w="1134" w:type="dxa"/>
            <w:shd w:val="clear" w:color="auto" w:fill="BFBFBF" w:themeFill="background1" w:themeFillShade="BF"/>
            <w:vAlign w:val="center"/>
          </w:tcPr>
          <w:p w14:paraId="2A317537" w14:textId="687F22B8" w:rsidR="00FD724F" w:rsidRPr="006E4FC7" w:rsidRDefault="00FD724F" w:rsidP="00B223BA">
            <w:pPr>
              <w:jc w:val="center"/>
              <w:rPr>
                <w:rFonts w:ascii="Arial" w:eastAsia="Calibri" w:hAnsi="Arial" w:cs="Arial"/>
                <w:sz w:val="16"/>
                <w:szCs w:val="16"/>
              </w:rPr>
            </w:pPr>
            <w:r w:rsidRPr="006E4FC7">
              <w:rPr>
                <w:rFonts w:ascii="Arial" w:eastAsia="Calibri" w:hAnsi="Arial" w:cs="Arial"/>
                <w:sz w:val="16"/>
                <w:szCs w:val="16"/>
              </w:rPr>
              <w:t>Ciljana vrijednost 202</w:t>
            </w:r>
            <w:r w:rsidR="0024762B">
              <w:rPr>
                <w:rFonts w:ascii="Arial" w:eastAsia="Calibri" w:hAnsi="Arial" w:cs="Arial"/>
                <w:sz w:val="16"/>
                <w:szCs w:val="16"/>
              </w:rPr>
              <w:t>5</w:t>
            </w:r>
            <w:r w:rsidRPr="006E4FC7">
              <w:rPr>
                <w:rFonts w:ascii="Arial" w:eastAsia="Calibri" w:hAnsi="Arial" w:cs="Arial"/>
                <w:sz w:val="16"/>
                <w:szCs w:val="16"/>
              </w:rPr>
              <w:t>.</w:t>
            </w:r>
          </w:p>
        </w:tc>
        <w:tc>
          <w:tcPr>
            <w:tcW w:w="992" w:type="dxa"/>
            <w:shd w:val="clear" w:color="auto" w:fill="BFBFBF" w:themeFill="background1" w:themeFillShade="BF"/>
            <w:vAlign w:val="center"/>
          </w:tcPr>
          <w:p w14:paraId="466A7FDF" w14:textId="434AA563" w:rsidR="00FD724F" w:rsidRPr="006E4FC7" w:rsidRDefault="00FD724F" w:rsidP="00B223BA">
            <w:pPr>
              <w:jc w:val="center"/>
              <w:rPr>
                <w:rFonts w:ascii="Arial" w:eastAsia="Calibri" w:hAnsi="Arial" w:cs="Arial"/>
                <w:sz w:val="16"/>
                <w:szCs w:val="16"/>
              </w:rPr>
            </w:pPr>
            <w:r w:rsidRPr="006E4FC7">
              <w:rPr>
                <w:rFonts w:ascii="Arial" w:eastAsia="Calibri" w:hAnsi="Arial" w:cs="Arial"/>
                <w:sz w:val="16"/>
                <w:szCs w:val="16"/>
              </w:rPr>
              <w:t>Izvršeno 202</w:t>
            </w:r>
            <w:r w:rsidR="0024762B">
              <w:rPr>
                <w:rFonts w:ascii="Arial" w:eastAsia="Calibri" w:hAnsi="Arial" w:cs="Arial"/>
                <w:sz w:val="16"/>
                <w:szCs w:val="16"/>
              </w:rPr>
              <w:t>5</w:t>
            </w:r>
            <w:r w:rsidRPr="006E4FC7">
              <w:rPr>
                <w:rFonts w:ascii="Arial" w:eastAsia="Calibri" w:hAnsi="Arial" w:cs="Arial"/>
                <w:sz w:val="16"/>
                <w:szCs w:val="16"/>
              </w:rPr>
              <w:t>.</w:t>
            </w:r>
          </w:p>
        </w:tc>
        <w:tc>
          <w:tcPr>
            <w:tcW w:w="993" w:type="dxa"/>
            <w:shd w:val="clear" w:color="auto" w:fill="BFBFBF" w:themeFill="background1" w:themeFillShade="BF"/>
            <w:vAlign w:val="center"/>
          </w:tcPr>
          <w:p w14:paraId="7EB86407" w14:textId="1C225633" w:rsidR="00FD724F" w:rsidRPr="006E4FC7" w:rsidRDefault="00FD724F" w:rsidP="00B223BA">
            <w:pPr>
              <w:jc w:val="center"/>
              <w:rPr>
                <w:rFonts w:ascii="Arial" w:eastAsia="Calibri" w:hAnsi="Arial" w:cs="Arial"/>
                <w:sz w:val="16"/>
                <w:szCs w:val="16"/>
              </w:rPr>
            </w:pPr>
            <w:r w:rsidRPr="006E4FC7">
              <w:rPr>
                <w:rFonts w:ascii="Arial" w:eastAsia="Calibri" w:hAnsi="Arial" w:cs="Arial"/>
                <w:sz w:val="16"/>
                <w:szCs w:val="16"/>
              </w:rPr>
              <w:t>Ciljana vrijednost 202</w:t>
            </w:r>
            <w:r w:rsidR="0024762B">
              <w:rPr>
                <w:rFonts w:ascii="Arial" w:eastAsia="Calibri" w:hAnsi="Arial" w:cs="Arial"/>
                <w:sz w:val="16"/>
                <w:szCs w:val="16"/>
              </w:rPr>
              <w:t>6</w:t>
            </w:r>
            <w:r w:rsidRPr="006E4FC7">
              <w:rPr>
                <w:rFonts w:ascii="Arial" w:eastAsia="Calibri" w:hAnsi="Arial" w:cs="Arial"/>
                <w:sz w:val="16"/>
                <w:szCs w:val="16"/>
              </w:rPr>
              <w:t>.</w:t>
            </w:r>
          </w:p>
        </w:tc>
        <w:tc>
          <w:tcPr>
            <w:tcW w:w="992" w:type="dxa"/>
            <w:shd w:val="clear" w:color="auto" w:fill="BFBFBF" w:themeFill="background1" w:themeFillShade="BF"/>
            <w:vAlign w:val="center"/>
          </w:tcPr>
          <w:p w14:paraId="02E24E78" w14:textId="151086B4" w:rsidR="00FD724F" w:rsidRPr="006E4FC7" w:rsidRDefault="00FD724F" w:rsidP="00B223BA">
            <w:pPr>
              <w:jc w:val="center"/>
              <w:rPr>
                <w:rFonts w:ascii="Arial" w:eastAsia="Calibri" w:hAnsi="Arial" w:cs="Arial"/>
                <w:sz w:val="16"/>
                <w:szCs w:val="16"/>
              </w:rPr>
            </w:pPr>
            <w:r w:rsidRPr="006E4FC7">
              <w:rPr>
                <w:rFonts w:ascii="Arial" w:eastAsia="Calibri" w:hAnsi="Arial" w:cs="Arial"/>
                <w:sz w:val="16"/>
                <w:szCs w:val="16"/>
              </w:rPr>
              <w:t>Ciljana vrijednost 202</w:t>
            </w:r>
            <w:r w:rsidR="0024762B">
              <w:rPr>
                <w:rFonts w:ascii="Arial" w:eastAsia="Calibri" w:hAnsi="Arial" w:cs="Arial"/>
                <w:sz w:val="16"/>
                <w:szCs w:val="16"/>
              </w:rPr>
              <w:t>7</w:t>
            </w:r>
            <w:r w:rsidRPr="006E4FC7">
              <w:rPr>
                <w:rFonts w:ascii="Arial" w:eastAsia="Calibri" w:hAnsi="Arial" w:cs="Arial"/>
                <w:sz w:val="16"/>
                <w:szCs w:val="16"/>
              </w:rPr>
              <w:t>.</w:t>
            </w:r>
          </w:p>
        </w:tc>
      </w:tr>
      <w:tr w:rsidR="0024762B" w:rsidRPr="006E4FC7" w14:paraId="4B8F777B" w14:textId="77777777" w:rsidTr="00EA587B">
        <w:trPr>
          <w:trHeight w:val="552"/>
          <w:jc w:val="center"/>
        </w:trPr>
        <w:tc>
          <w:tcPr>
            <w:tcW w:w="2689" w:type="dxa"/>
            <w:vAlign w:val="center"/>
          </w:tcPr>
          <w:p w14:paraId="09667865" w14:textId="5A1068B4" w:rsidR="0024762B" w:rsidRPr="006E4FC7" w:rsidRDefault="0024762B" w:rsidP="0024762B">
            <w:pPr>
              <w:rPr>
                <w:rFonts w:ascii="Arial" w:hAnsi="Arial" w:cs="Arial"/>
                <w:sz w:val="16"/>
                <w:szCs w:val="16"/>
                <w:lang w:eastAsia="en-US"/>
              </w:rPr>
            </w:pPr>
            <w:r w:rsidRPr="006E4FC7">
              <w:rPr>
                <w:rFonts w:ascii="Arial" w:hAnsi="Arial" w:cs="Arial"/>
                <w:sz w:val="18"/>
                <w:szCs w:val="18"/>
                <w:lang w:eastAsia="en-US"/>
              </w:rPr>
              <w:t>Broj izdanih publikacija MIGK</w:t>
            </w:r>
          </w:p>
        </w:tc>
        <w:tc>
          <w:tcPr>
            <w:tcW w:w="3266" w:type="dxa"/>
            <w:vAlign w:val="center"/>
          </w:tcPr>
          <w:p w14:paraId="3B2566C0" w14:textId="51BEE79C" w:rsidR="0024762B" w:rsidRPr="006E4FC7" w:rsidRDefault="0024762B" w:rsidP="0024762B">
            <w:pPr>
              <w:rPr>
                <w:rFonts w:ascii="Arial" w:hAnsi="Arial" w:cs="Arial"/>
                <w:sz w:val="16"/>
                <w:szCs w:val="16"/>
                <w:lang w:eastAsia="en-US"/>
              </w:rPr>
            </w:pPr>
            <w:r w:rsidRPr="006E4FC7">
              <w:rPr>
                <w:rFonts w:ascii="Arial" w:hAnsi="Arial" w:cs="Arial"/>
                <w:sz w:val="18"/>
                <w:szCs w:val="18"/>
                <w:lang w:eastAsia="en-US"/>
              </w:rPr>
              <w:t>Izdavanje slikovnica, edukativnog materijala, knjiga, kataloga</w:t>
            </w:r>
          </w:p>
        </w:tc>
        <w:tc>
          <w:tcPr>
            <w:tcW w:w="850" w:type="dxa"/>
            <w:vAlign w:val="center"/>
          </w:tcPr>
          <w:p w14:paraId="24E3A619" w14:textId="4EA1D7CA" w:rsidR="0024762B" w:rsidRPr="006E4FC7" w:rsidRDefault="0024762B" w:rsidP="0024762B">
            <w:pPr>
              <w:jc w:val="center"/>
              <w:rPr>
                <w:rFonts w:ascii="Arial" w:hAnsi="Arial" w:cs="Arial"/>
                <w:sz w:val="16"/>
                <w:szCs w:val="16"/>
                <w:lang w:eastAsia="en-US"/>
              </w:rPr>
            </w:pPr>
            <w:r w:rsidRPr="006E4FC7">
              <w:rPr>
                <w:rFonts w:ascii="Arial" w:hAnsi="Arial" w:cs="Arial"/>
                <w:sz w:val="18"/>
                <w:szCs w:val="18"/>
                <w:lang w:eastAsia="en-US"/>
              </w:rPr>
              <w:t>izdanja</w:t>
            </w:r>
          </w:p>
        </w:tc>
        <w:tc>
          <w:tcPr>
            <w:tcW w:w="992" w:type="dxa"/>
            <w:vAlign w:val="center"/>
          </w:tcPr>
          <w:p w14:paraId="4C67D876" w14:textId="5D8CAF73" w:rsidR="0024762B" w:rsidRPr="006E4FC7" w:rsidRDefault="0024762B" w:rsidP="0024762B">
            <w:pPr>
              <w:jc w:val="center"/>
              <w:rPr>
                <w:rFonts w:ascii="Arial" w:hAnsi="Arial" w:cs="Arial"/>
                <w:sz w:val="16"/>
                <w:szCs w:val="16"/>
                <w:lang w:eastAsia="en-US"/>
              </w:rPr>
            </w:pPr>
            <w:r w:rsidRPr="006E4FC7">
              <w:rPr>
                <w:rFonts w:ascii="Arial" w:hAnsi="Arial" w:cs="Arial"/>
                <w:sz w:val="18"/>
                <w:szCs w:val="18"/>
                <w:lang w:eastAsia="en-US"/>
              </w:rPr>
              <w:t>2</w:t>
            </w:r>
          </w:p>
        </w:tc>
        <w:tc>
          <w:tcPr>
            <w:tcW w:w="1291" w:type="dxa"/>
            <w:vAlign w:val="center"/>
          </w:tcPr>
          <w:p w14:paraId="46E7F65E" w14:textId="06EB6C6A" w:rsidR="0024762B" w:rsidRPr="006E4FC7" w:rsidRDefault="0024762B" w:rsidP="0024762B">
            <w:pPr>
              <w:jc w:val="center"/>
              <w:rPr>
                <w:rFonts w:ascii="Arial" w:hAnsi="Arial" w:cs="Arial"/>
                <w:sz w:val="16"/>
                <w:szCs w:val="16"/>
                <w:lang w:eastAsia="en-US"/>
              </w:rPr>
            </w:pPr>
            <w:r w:rsidRPr="006E4FC7">
              <w:rPr>
                <w:rFonts w:ascii="Arial" w:hAnsi="Arial" w:cs="Arial"/>
                <w:sz w:val="18"/>
                <w:szCs w:val="18"/>
                <w:lang w:eastAsia="en-US"/>
              </w:rPr>
              <w:t>Odjel općih poslova</w:t>
            </w:r>
          </w:p>
        </w:tc>
        <w:tc>
          <w:tcPr>
            <w:tcW w:w="1134" w:type="dxa"/>
            <w:vAlign w:val="center"/>
          </w:tcPr>
          <w:p w14:paraId="4BE34346" w14:textId="21D21C9E" w:rsidR="0024762B" w:rsidRPr="006E4FC7" w:rsidRDefault="0024762B" w:rsidP="0024762B">
            <w:pPr>
              <w:jc w:val="center"/>
              <w:rPr>
                <w:rFonts w:ascii="Arial" w:hAnsi="Arial" w:cs="Arial"/>
                <w:sz w:val="16"/>
                <w:szCs w:val="16"/>
                <w:lang w:eastAsia="en-US"/>
              </w:rPr>
            </w:pPr>
            <w:r>
              <w:rPr>
                <w:rFonts w:asciiTheme="minorHAnsi" w:hAnsiTheme="minorHAnsi" w:cstheme="minorHAnsi"/>
                <w:sz w:val="18"/>
                <w:szCs w:val="18"/>
              </w:rPr>
              <w:t>2</w:t>
            </w:r>
          </w:p>
        </w:tc>
        <w:tc>
          <w:tcPr>
            <w:tcW w:w="992" w:type="dxa"/>
            <w:vAlign w:val="center"/>
          </w:tcPr>
          <w:p w14:paraId="6898A713" w14:textId="14A0AFCB" w:rsidR="0024762B" w:rsidRPr="006E4FC7" w:rsidRDefault="0024762B" w:rsidP="0024762B">
            <w:pPr>
              <w:jc w:val="center"/>
              <w:rPr>
                <w:rFonts w:ascii="Arial" w:hAnsi="Arial" w:cs="Arial"/>
                <w:sz w:val="16"/>
                <w:szCs w:val="16"/>
                <w:lang w:eastAsia="en-US"/>
              </w:rPr>
            </w:pPr>
            <w:r>
              <w:rPr>
                <w:rFonts w:asciiTheme="minorHAnsi" w:hAnsiTheme="minorHAnsi" w:cstheme="minorHAnsi"/>
                <w:sz w:val="18"/>
                <w:szCs w:val="18"/>
              </w:rPr>
              <w:t>1</w:t>
            </w:r>
          </w:p>
        </w:tc>
        <w:tc>
          <w:tcPr>
            <w:tcW w:w="993" w:type="dxa"/>
            <w:vAlign w:val="center"/>
          </w:tcPr>
          <w:p w14:paraId="434E6B27" w14:textId="473149CC" w:rsidR="0024762B" w:rsidRPr="006E4FC7" w:rsidRDefault="0024762B" w:rsidP="0024762B">
            <w:pPr>
              <w:jc w:val="center"/>
              <w:rPr>
                <w:rFonts w:ascii="Arial" w:hAnsi="Arial" w:cs="Arial"/>
                <w:sz w:val="16"/>
                <w:szCs w:val="16"/>
                <w:lang w:eastAsia="en-US"/>
              </w:rPr>
            </w:pPr>
            <w:r>
              <w:rPr>
                <w:rFonts w:asciiTheme="minorHAnsi" w:hAnsiTheme="minorHAnsi" w:cstheme="minorHAnsi"/>
                <w:sz w:val="18"/>
                <w:szCs w:val="18"/>
              </w:rPr>
              <w:t>2</w:t>
            </w:r>
          </w:p>
        </w:tc>
        <w:tc>
          <w:tcPr>
            <w:tcW w:w="992" w:type="dxa"/>
            <w:vAlign w:val="center"/>
          </w:tcPr>
          <w:p w14:paraId="32719C8C" w14:textId="2CE05B66" w:rsidR="0024762B" w:rsidRPr="006E4FC7" w:rsidRDefault="0024762B" w:rsidP="0024762B">
            <w:pPr>
              <w:jc w:val="center"/>
              <w:rPr>
                <w:rFonts w:ascii="Arial" w:hAnsi="Arial" w:cs="Arial"/>
                <w:sz w:val="16"/>
                <w:szCs w:val="16"/>
                <w:lang w:eastAsia="en-US"/>
              </w:rPr>
            </w:pPr>
            <w:r>
              <w:rPr>
                <w:rFonts w:asciiTheme="minorHAnsi" w:hAnsiTheme="minorHAnsi" w:cstheme="minorHAnsi"/>
                <w:sz w:val="18"/>
                <w:szCs w:val="18"/>
              </w:rPr>
              <w:t>2</w:t>
            </w:r>
          </w:p>
        </w:tc>
      </w:tr>
      <w:tr w:rsidR="0024762B" w:rsidRPr="00500D60" w14:paraId="1B453980" w14:textId="77777777" w:rsidTr="00EA58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4"/>
          <w:jc w:val="center"/>
        </w:trPr>
        <w:tc>
          <w:tcPr>
            <w:tcW w:w="2689" w:type="dxa"/>
            <w:vAlign w:val="center"/>
          </w:tcPr>
          <w:p w14:paraId="59E7949B" w14:textId="19623EE3" w:rsidR="0024762B" w:rsidRPr="00500D60" w:rsidRDefault="0024762B" w:rsidP="0024762B">
            <w:pPr>
              <w:rPr>
                <w:rFonts w:ascii="Arial" w:hAnsi="Arial" w:cs="Arial"/>
                <w:color w:val="FF0000"/>
                <w:sz w:val="16"/>
                <w:szCs w:val="16"/>
                <w:lang w:eastAsia="en-US"/>
              </w:rPr>
            </w:pPr>
            <w:bookmarkStart w:id="349" w:name="_Hlk193465607"/>
            <w:r w:rsidRPr="00663CC2">
              <w:rPr>
                <w:rFonts w:ascii="Arial" w:hAnsi="Arial" w:cs="Arial"/>
                <w:sz w:val="18"/>
                <w:szCs w:val="18"/>
                <w:lang w:eastAsia="en-US"/>
              </w:rPr>
              <w:t>Broj posuđenih knjiga u knjižnici</w:t>
            </w:r>
            <w:bookmarkEnd w:id="349"/>
          </w:p>
        </w:tc>
        <w:tc>
          <w:tcPr>
            <w:tcW w:w="3266" w:type="dxa"/>
            <w:vAlign w:val="center"/>
          </w:tcPr>
          <w:p w14:paraId="243CDFDE" w14:textId="25B17064" w:rsidR="0024762B" w:rsidRPr="00500D60" w:rsidRDefault="0024762B" w:rsidP="0024762B">
            <w:pPr>
              <w:rPr>
                <w:rFonts w:ascii="Arial" w:hAnsi="Arial" w:cs="Arial"/>
                <w:color w:val="FF0000"/>
                <w:sz w:val="16"/>
                <w:szCs w:val="16"/>
                <w:lang w:eastAsia="en-US"/>
              </w:rPr>
            </w:pPr>
            <w:r w:rsidRPr="00663CC2">
              <w:rPr>
                <w:rFonts w:ascii="Arial" w:hAnsi="Arial" w:cs="Arial"/>
                <w:sz w:val="18"/>
                <w:szCs w:val="18"/>
                <w:lang w:eastAsia="en-US"/>
              </w:rPr>
              <w:t xml:space="preserve">Formiranje stručne knjižnice </w:t>
            </w:r>
          </w:p>
        </w:tc>
        <w:tc>
          <w:tcPr>
            <w:tcW w:w="850" w:type="dxa"/>
            <w:vAlign w:val="center"/>
          </w:tcPr>
          <w:p w14:paraId="4E650E28" w14:textId="3D6537C2" w:rsidR="0024762B" w:rsidRPr="00500D60" w:rsidRDefault="0024762B" w:rsidP="0024762B">
            <w:pPr>
              <w:jc w:val="center"/>
              <w:rPr>
                <w:rFonts w:ascii="Arial" w:hAnsi="Arial" w:cs="Arial"/>
                <w:color w:val="FF0000"/>
                <w:sz w:val="16"/>
                <w:szCs w:val="16"/>
                <w:lang w:eastAsia="en-US"/>
              </w:rPr>
            </w:pPr>
            <w:r w:rsidRPr="00663CC2">
              <w:rPr>
                <w:rFonts w:ascii="Arial" w:hAnsi="Arial" w:cs="Arial"/>
                <w:sz w:val="18"/>
                <w:szCs w:val="18"/>
                <w:lang w:eastAsia="en-US"/>
              </w:rPr>
              <w:t>knjiga</w:t>
            </w:r>
          </w:p>
        </w:tc>
        <w:tc>
          <w:tcPr>
            <w:tcW w:w="992" w:type="dxa"/>
            <w:vAlign w:val="center"/>
          </w:tcPr>
          <w:p w14:paraId="15DCEB73" w14:textId="52285569" w:rsidR="0024762B" w:rsidRPr="00500D60" w:rsidRDefault="0024762B" w:rsidP="0024762B">
            <w:pPr>
              <w:jc w:val="center"/>
              <w:rPr>
                <w:rFonts w:ascii="Arial" w:hAnsi="Arial" w:cs="Arial"/>
                <w:color w:val="FF0000"/>
                <w:sz w:val="16"/>
                <w:szCs w:val="16"/>
                <w:lang w:eastAsia="en-US"/>
              </w:rPr>
            </w:pPr>
            <w:r w:rsidRPr="00663CC2">
              <w:rPr>
                <w:rFonts w:ascii="Arial" w:hAnsi="Arial" w:cs="Arial"/>
                <w:sz w:val="18"/>
                <w:szCs w:val="18"/>
                <w:lang w:eastAsia="en-US"/>
              </w:rPr>
              <w:t>20</w:t>
            </w:r>
          </w:p>
        </w:tc>
        <w:tc>
          <w:tcPr>
            <w:tcW w:w="1291" w:type="dxa"/>
            <w:vAlign w:val="center"/>
          </w:tcPr>
          <w:p w14:paraId="5741693A" w14:textId="49036D3B" w:rsidR="0024762B" w:rsidRPr="00500D60" w:rsidRDefault="0024762B" w:rsidP="0024762B">
            <w:pPr>
              <w:jc w:val="center"/>
              <w:rPr>
                <w:rFonts w:ascii="Arial" w:hAnsi="Arial" w:cs="Arial"/>
                <w:color w:val="FF0000"/>
                <w:sz w:val="16"/>
                <w:szCs w:val="16"/>
                <w:lang w:eastAsia="en-US"/>
              </w:rPr>
            </w:pPr>
            <w:r w:rsidRPr="00663CC2">
              <w:rPr>
                <w:rFonts w:ascii="Arial" w:hAnsi="Arial" w:cs="Arial"/>
                <w:sz w:val="18"/>
                <w:szCs w:val="18"/>
                <w:lang w:eastAsia="en-US"/>
              </w:rPr>
              <w:t>Odjel općih poslova</w:t>
            </w:r>
          </w:p>
        </w:tc>
        <w:tc>
          <w:tcPr>
            <w:tcW w:w="1134" w:type="dxa"/>
            <w:vAlign w:val="center"/>
          </w:tcPr>
          <w:p w14:paraId="036EB6BB" w14:textId="6168E24C" w:rsidR="0024762B" w:rsidRPr="00500D60" w:rsidRDefault="0024762B" w:rsidP="0024762B">
            <w:pPr>
              <w:jc w:val="center"/>
              <w:rPr>
                <w:rFonts w:ascii="Arial" w:hAnsi="Arial" w:cs="Arial"/>
                <w:color w:val="FF0000"/>
                <w:sz w:val="16"/>
                <w:szCs w:val="16"/>
                <w:lang w:eastAsia="en-US"/>
              </w:rPr>
            </w:pPr>
            <w:r w:rsidRPr="00E552F9">
              <w:rPr>
                <w:rFonts w:asciiTheme="minorHAnsi" w:hAnsiTheme="minorHAnsi" w:cstheme="minorHAnsi"/>
                <w:sz w:val="18"/>
                <w:szCs w:val="18"/>
              </w:rPr>
              <w:t>150</w:t>
            </w:r>
          </w:p>
        </w:tc>
        <w:tc>
          <w:tcPr>
            <w:tcW w:w="992" w:type="dxa"/>
            <w:vAlign w:val="center"/>
          </w:tcPr>
          <w:p w14:paraId="4964E38C" w14:textId="1A85A1FA" w:rsidR="0024762B" w:rsidRPr="00500D60" w:rsidRDefault="0024762B" w:rsidP="0024762B">
            <w:pPr>
              <w:jc w:val="center"/>
              <w:rPr>
                <w:rFonts w:ascii="Arial" w:hAnsi="Arial" w:cs="Arial"/>
                <w:color w:val="FF0000"/>
                <w:sz w:val="16"/>
                <w:szCs w:val="16"/>
                <w:lang w:eastAsia="en-US"/>
              </w:rPr>
            </w:pPr>
            <w:r w:rsidRPr="00E552F9">
              <w:rPr>
                <w:rFonts w:asciiTheme="minorHAnsi" w:hAnsiTheme="minorHAnsi" w:cstheme="minorHAnsi"/>
                <w:sz w:val="18"/>
                <w:szCs w:val="18"/>
              </w:rPr>
              <w:t>9</w:t>
            </w:r>
          </w:p>
        </w:tc>
        <w:tc>
          <w:tcPr>
            <w:tcW w:w="993" w:type="dxa"/>
            <w:vAlign w:val="center"/>
          </w:tcPr>
          <w:p w14:paraId="3E7A53DE" w14:textId="6AF713BF" w:rsidR="0024762B" w:rsidRPr="00500D60" w:rsidRDefault="0024762B" w:rsidP="0024762B">
            <w:pPr>
              <w:jc w:val="center"/>
              <w:rPr>
                <w:rFonts w:ascii="Arial" w:hAnsi="Arial" w:cs="Arial"/>
                <w:color w:val="FF0000"/>
                <w:sz w:val="16"/>
                <w:szCs w:val="16"/>
                <w:lang w:eastAsia="en-US"/>
              </w:rPr>
            </w:pPr>
            <w:r w:rsidRPr="00E552F9">
              <w:rPr>
                <w:rFonts w:asciiTheme="minorHAnsi" w:hAnsiTheme="minorHAnsi" w:cstheme="minorHAnsi"/>
                <w:sz w:val="18"/>
                <w:szCs w:val="18"/>
              </w:rPr>
              <w:t>200</w:t>
            </w:r>
          </w:p>
        </w:tc>
        <w:tc>
          <w:tcPr>
            <w:tcW w:w="992" w:type="dxa"/>
            <w:vAlign w:val="center"/>
          </w:tcPr>
          <w:p w14:paraId="75F0359A" w14:textId="33C53B5F" w:rsidR="0024762B" w:rsidRPr="00500D60" w:rsidRDefault="0024762B" w:rsidP="0024762B">
            <w:pPr>
              <w:jc w:val="center"/>
              <w:rPr>
                <w:rFonts w:ascii="Arial" w:hAnsi="Arial" w:cs="Arial"/>
                <w:color w:val="FF0000"/>
                <w:sz w:val="16"/>
                <w:szCs w:val="16"/>
                <w:lang w:eastAsia="en-US"/>
              </w:rPr>
            </w:pPr>
            <w:r w:rsidRPr="00E552F9">
              <w:rPr>
                <w:rFonts w:asciiTheme="minorHAnsi" w:hAnsiTheme="minorHAnsi" w:cstheme="minorHAnsi"/>
                <w:sz w:val="18"/>
                <w:szCs w:val="18"/>
              </w:rPr>
              <w:t>200</w:t>
            </w:r>
          </w:p>
        </w:tc>
      </w:tr>
    </w:tbl>
    <w:p w14:paraId="49BBB459" w14:textId="77777777" w:rsidR="00FD724F" w:rsidRPr="006E4FC7" w:rsidRDefault="00FD724F" w:rsidP="00FD724F">
      <w:pPr>
        <w:spacing w:after="0" w:line="259" w:lineRule="auto"/>
        <w:rPr>
          <w:rFonts w:ascii="Arial" w:eastAsia="Calibri" w:hAnsi="Arial" w:cs="Arial"/>
          <w:sz w:val="16"/>
          <w:szCs w:val="16"/>
        </w:rPr>
      </w:pPr>
    </w:p>
    <w:p w14:paraId="36F224AA" w14:textId="55BF9A85" w:rsidR="00FD724F" w:rsidRPr="006E4FC7" w:rsidRDefault="00FD724F" w:rsidP="00FD724F">
      <w:pPr>
        <w:spacing w:after="0" w:line="240" w:lineRule="auto"/>
        <w:jc w:val="both"/>
        <w:rPr>
          <w:rFonts w:ascii="Arial" w:eastAsia="Calibri" w:hAnsi="Arial" w:cs="Arial"/>
          <w:sz w:val="20"/>
          <w:szCs w:val="20"/>
        </w:rPr>
      </w:pPr>
      <w:r w:rsidRPr="006E4FC7">
        <w:rPr>
          <w:rFonts w:ascii="Arial" w:eastAsia="Calibri" w:hAnsi="Arial" w:cs="Arial"/>
          <w:b/>
          <w:sz w:val="20"/>
          <w:szCs w:val="20"/>
        </w:rPr>
        <w:lastRenderedPageBreak/>
        <w:t>13. A203114: Izrada web stranice.</w:t>
      </w:r>
      <w:r w:rsidRPr="006E4FC7">
        <w:rPr>
          <w:rFonts w:ascii="Arial" w:eastAsia="Calibri" w:hAnsi="Arial" w:cs="Arial"/>
          <w:sz w:val="20"/>
          <w:szCs w:val="20"/>
        </w:rPr>
        <w:t xml:space="preserve"> </w:t>
      </w:r>
    </w:p>
    <w:p w14:paraId="0275594A" w14:textId="77777777" w:rsidR="00FD724F" w:rsidRPr="006E4FC7" w:rsidRDefault="00FD724F" w:rsidP="00FD724F">
      <w:pPr>
        <w:spacing w:after="0" w:line="240" w:lineRule="auto"/>
        <w:jc w:val="both"/>
        <w:rPr>
          <w:rFonts w:ascii="Arial" w:eastAsia="Calibri" w:hAnsi="Arial" w:cs="Arial"/>
          <w:sz w:val="20"/>
          <w:szCs w:val="20"/>
        </w:rPr>
      </w:pPr>
    </w:p>
    <w:p w14:paraId="0028144F" w14:textId="187C21B6" w:rsidR="00A90FC1" w:rsidRPr="006E4FC7" w:rsidRDefault="00FD724F" w:rsidP="00FD724F">
      <w:pPr>
        <w:spacing w:after="0" w:line="240" w:lineRule="auto"/>
        <w:jc w:val="both"/>
        <w:rPr>
          <w:rFonts w:ascii="Arial" w:eastAsia="Calibri" w:hAnsi="Arial" w:cs="Arial"/>
          <w:sz w:val="20"/>
          <w:szCs w:val="20"/>
        </w:rPr>
      </w:pPr>
      <w:r w:rsidRPr="006E4FC7">
        <w:rPr>
          <w:rFonts w:ascii="Arial" w:eastAsia="Calibri" w:hAnsi="Arial" w:cs="Arial"/>
          <w:bCs/>
          <w:sz w:val="20"/>
          <w:szCs w:val="20"/>
        </w:rPr>
        <w:t xml:space="preserve">U okviru </w:t>
      </w:r>
      <w:r w:rsidRPr="006E4FC7">
        <w:rPr>
          <w:rFonts w:ascii="Arial" w:eastAsia="Calibri" w:hAnsi="Arial" w:cs="Arial"/>
          <w:sz w:val="20"/>
          <w:szCs w:val="20"/>
        </w:rPr>
        <w:t>navedene aktivnosti</w:t>
      </w:r>
      <w:r w:rsidR="00E61250" w:rsidRPr="006E4FC7">
        <w:rPr>
          <w:rFonts w:ascii="Arial" w:eastAsia="Calibri" w:hAnsi="Arial" w:cs="Arial"/>
          <w:sz w:val="20"/>
          <w:szCs w:val="20"/>
        </w:rPr>
        <w:t xml:space="preserve"> </w:t>
      </w:r>
      <w:r w:rsidRPr="006E4FC7">
        <w:rPr>
          <w:rFonts w:ascii="Arial" w:eastAsia="Calibri" w:hAnsi="Arial" w:cs="Arial"/>
          <w:sz w:val="20"/>
          <w:szCs w:val="20"/>
        </w:rPr>
        <w:t>nisu planirana proračunska sredstva</w:t>
      </w:r>
    </w:p>
    <w:p w14:paraId="0276FA94" w14:textId="77777777" w:rsidR="00FD724F" w:rsidRPr="006E4FC7" w:rsidRDefault="00FD724F" w:rsidP="006E6E51">
      <w:pPr>
        <w:autoSpaceDE w:val="0"/>
        <w:autoSpaceDN w:val="0"/>
        <w:adjustRightInd w:val="0"/>
        <w:spacing w:after="0" w:line="240" w:lineRule="auto"/>
        <w:jc w:val="both"/>
        <w:rPr>
          <w:rFonts w:ascii="Arial" w:eastAsia="Calibri" w:hAnsi="Arial" w:cs="Arial"/>
          <w:b/>
          <w:sz w:val="20"/>
          <w:szCs w:val="20"/>
        </w:rPr>
      </w:pPr>
    </w:p>
    <w:p w14:paraId="53AA0D3A" w14:textId="6D2609C6" w:rsidR="006E6E51" w:rsidRPr="006E4FC7" w:rsidRDefault="006E6E51" w:rsidP="006E6E51">
      <w:pPr>
        <w:autoSpaceDE w:val="0"/>
        <w:autoSpaceDN w:val="0"/>
        <w:adjustRightInd w:val="0"/>
        <w:spacing w:after="0" w:line="240" w:lineRule="auto"/>
        <w:jc w:val="both"/>
        <w:rPr>
          <w:rFonts w:ascii="Arial" w:eastAsia="Calibri" w:hAnsi="Arial" w:cs="Arial"/>
          <w:sz w:val="20"/>
          <w:szCs w:val="20"/>
        </w:rPr>
      </w:pPr>
      <w:r w:rsidRPr="006E4FC7">
        <w:rPr>
          <w:rFonts w:ascii="Arial" w:eastAsia="Calibri" w:hAnsi="Arial" w:cs="Arial"/>
          <w:b/>
          <w:sz w:val="20"/>
          <w:szCs w:val="20"/>
        </w:rPr>
        <w:t>1</w:t>
      </w:r>
      <w:r w:rsidR="00FD724F" w:rsidRPr="006E4FC7">
        <w:rPr>
          <w:rFonts w:ascii="Arial" w:eastAsia="Calibri" w:hAnsi="Arial" w:cs="Arial"/>
          <w:b/>
          <w:sz w:val="20"/>
          <w:szCs w:val="20"/>
        </w:rPr>
        <w:t>5</w:t>
      </w:r>
      <w:r w:rsidRPr="006E4FC7">
        <w:rPr>
          <w:rFonts w:ascii="Arial" w:eastAsia="Calibri" w:hAnsi="Arial" w:cs="Arial"/>
          <w:b/>
          <w:sz w:val="20"/>
          <w:szCs w:val="20"/>
        </w:rPr>
        <w:t xml:space="preserve">. K203115: Informatizacija ustanove u kulturi </w:t>
      </w:r>
      <w:r w:rsidRPr="006E4FC7">
        <w:rPr>
          <w:rFonts w:ascii="Arial" w:eastAsia="Calibri" w:hAnsi="Arial" w:cs="Arial"/>
          <w:sz w:val="20"/>
          <w:szCs w:val="20"/>
        </w:rPr>
        <w:t>- u sklopu navedene aktivnosti nisu planirana sredstva.</w:t>
      </w:r>
    </w:p>
    <w:p w14:paraId="73E3D4EB" w14:textId="77777777" w:rsidR="00A90FC1" w:rsidRPr="00C92189" w:rsidRDefault="00A90FC1" w:rsidP="00D97ADE">
      <w:pPr>
        <w:spacing w:after="0" w:line="240" w:lineRule="auto"/>
        <w:jc w:val="both"/>
        <w:rPr>
          <w:rFonts w:ascii="Arial" w:eastAsia="Calibri" w:hAnsi="Arial" w:cs="Arial"/>
          <w:b/>
          <w:sz w:val="20"/>
          <w:szCs w:val="20"/>
        </w:rPr>
      </w:pPr>
    </w:p>
    <w:p w14:paraId="582ED257" w14:textId="0B32C8F9" w:rsidR="00FD724F" w:rsidRPr="00C92189" w:rsidRDefault="006E6E51" w:rsidP="003D7373">
      <w:pPr>
        <w:autoSpaceDE w:val="0"/>
        <w:autoSpaceDN w:val="0"/>
        <w:adjustRightInd w:val="0"/>
        <w:spacing w:after="0" w:line="240" w:lineRule="auto"/>
        <w:jc w:val="both"/>
        <w:rPr>
          <w:rFonts w:ascii="Arial" w:eastAsia="Calibri" w:hAnsi="Arial" w:cs="Arial"/>
          <w:sz w:val="20"/>
          <w:szCs w:val="20"/>
        </w:rPr>
      </w:pPr>
      <w:r w:rsidRPr="00C92189">
        <w:rPr>
          <w:rFonts w:ascii="Arial" w:eastAsia="Calibri" w:hAnsi="Arial" w:cs="Arial"/>
          <w:b/>
          <w:sz w:val="20"/>
          <w:szCs w:val="20"/>
        </w:rPr>
        <w:t>1</w:t>
      </w:r>
      <w:r w:rsidR="00FD724F" w:rsidRPr="00C92189">
        <w:rPr>
          <w:rFonts w:ascii="Arial" w:eastAsia="Calibri" w:hAnsi="Arial" w:cs="Arial"/>
          <w:b/>
          <w:sz w:val="20"/>
          <w:szCs w:val="20"/>
        </w:rPr>
        <w:t>5</w:t>
      </w:r>
      <w:r w:rsidRPr="00C92189">
        <w:rPr>
          <w:rFonts w:ascii="Arial" w:eastAsia="Calibri" w:hAnsi="Arial" w:cs="Arial"/>
          <w:b/>
          <w:sz w:val="20"/>
          <w:szCs w:val="20"/>
        </w:rPr>
        <w:t xml:space="preserve">. T203116: </w:t>
      </w:r>
      <w:r w:rsidR="003D7373" w:rsidRPr="00C92189">
        <w:rPr>
          <w:rFonts w:ascii="Arial" w:eastAsia="Calibri" w:hAnsi="Arial" w:cs="Arial"/>
          <w:b/>
          <w:sz w:val="20"/>
          <w:szCs w:val="20"/>
        </w:rPr>
        <w:t xml:space="preserve">Zaštita i očuvanje arheološke baštine, Jagnjilo </w:t>
      </w:r>
      <w:r w:rsidR="003D7373" w:rsidRPr="00C92189">
        <w:rPr>
          <w:rFonts w:ascii="Arial" w:eastAsia="Calibri" w:hAnsi="Arial" w:cs="Arial"/>
          <w:sz w:val="20"/>
          <w:szCs w:val="20"/>
        </w:rPr>
        <w:t xml:space="preserve">– u sklopu navedene aktivnosti </w:t>
      </w:r>
      <w:r w:rsidR="008A06D6">
        <w:rPr>
          <w:rFonts w:ascii="Arial" w:eastAsia="Calibri" w:hAnsi="Arial" w:cs="Arial"/>
          <w:sz w:val="20"/>
          <w:szCs w:val="20"/>
        </w:rPr>
        <w:t xml:space="preserve">nisu </w:t>
      </w:r>
      <w:r w:rsidR="003D7373" w:rsidRPr="00C92189">
        <w:rPr>
          <w:rFonts w:ascii="Arial" w:eastAsia="Calibri" w:hAnsi="Arial" w:cs="Arial"/>
          <w:sz w:val="20"/>
          <w:szCs w:val="20"/>
        </w:rPr>
        <w:t>planirana proračunska sredstva</w:t>
      </w:r>
      <w:r w:rsidR="00B445DF" w:rsidRPr="00C92189">
        <w:rPr>
          <w:rFonts w:ascii="Arial" w:eastAsia="Calibri" w:hAnsi="Arial" w:cs="Arial"/>
          <w:sz w:val="20"/>
          <w:szCs w:val="20"/>
        </w:rPr>
        <w:t>.</w:t>
      </w:r>
    </w:p>
    <w:p w14:paraId="226286F2" w14:textId="77777777" w:rsidR="00B445DF" w:rsidRPr="00C92189" w:rsidRDefault="00B445DF" w:rsidP="003D7373">
      <w:pPr>
        <w:autoSpaceDE w:val="0"/>
        <w:autoSpaceDN w:val="0"/>
        <w:adjustRightInd w:val="0"/>
        <w:spacing w:after="0" w:line="240" w:lineRule="auto"/>
        <w:jc w:val="both"/>
        <w:rPr>
          <w:rFonts w:ascii="Arial" w:eastAsia="Calibri" w:hAnsi="Arial" w:cs="Arial"/>
          <w:sz w:val="20"/>
          <w:szCs w:val="20"/>
        </w:rPr>
      </w:pPr>
    </w:p>
    <w:p w14:paraId="4C7D3FE1" w14:textId="77777777" w:rsidR="003D7373" w:rsidRPr="00C92189" w:rsidRDefault="003D7373" w:rsidP="003D7373">
      <w:pPr>
        <w:autoSpaceDE w:val="0"/>
        <w:autoSpaceDN w:val="0"/>
        <w:adjustRightInd w:val="0"/>
        <w:spacing w:after="0" w:line="240" w:lineRule="auto"/>
        <w:jc w:val="both"/>
        <w:rPr>
          <w:rFonts w:ascii="Arial" w:eastAsia="Calibri" w:hAnsi="Arial" w:cs="Arial"/>
          <w:sz w:val="20"/>
          <w:szCs w:val="20"/>
        </w:rPr>
      </w:pPr>
      <w:r w:rsidRPr="00C92189">
        <w:rPr>
          <w:rFonts w:ascii="Arial" w:eastAsia="Calibri" w:hAnsi="Arial" w:cs="Arial"/>
          <w:sz w:val="20"/>
          <w:szCs w:val="20"/>
        </w:rPr>
        <w:t xml:space="preserve">Arheološki lokalitet Jagnjilo, dosad nepoznati lokalitet na području Stravče, nalazi se na prostoru od 16 000 kvadratnih metara u zaseoku Kolići. Radi se o lokalitetu koji uz prapovijesne gomile posjeduje nekropolu od 10. – 15. stoljeća te jedinu konavosku crkvu (ostatke) u suhozidu. Arheološki lokalitet se planira prezentirati u cijelosti kao izletište uz popratne sadržaje koje će odrediti urbanistička projektna dokumentacija. Ministarstvo je podržalo nastojanja ustanove i partnera u kulturnoj revitalizaciji ovog dijela Konavala uz spajanje sa Kamenolom stećaka i crkvom sv. Luke u Brotnicama. Na ovaj način konavoska brda bi dobila iznimnu kulturnu ponudu što bi uvelike omogućilo razvoj turističke ponude ovog dijela Konavala. Do sada ostvareni troškovi na ovaj aktivnosti odnose se na troškove aerofotogrametrijsko snimanja i održavanja lokaliteta. </w:t>
      </w:r>
    </w:p>
    <w:p w14:paraId="00557E10" w14:textId="77777777" w:rsidR="0077277F" w:rsidRPr="006E4FC7" w:rsidRDefault="0077277F" w:rsidP="0077277F">
      <w:pPr>
        <w:spacing w:after="0" w:line="240" w:lineRule="auto"/>
        <w:jc w:val="both"/>
        <w:rPr>
          <w:rFonts w:ascii="Arial" w:eastAsia="Calibri" w:hAnsi="Arial" w:cs="Arial"/>
          <w:sz w:val="20"/>
          <w:szCs w:val="20"/>
        </w:rPr>
      </w:pPr>
    </w:p>
    <w:tbl>
      <w:tblPr>
        <w:tblStyle w:val="Reetkatablice5"/>
        <w:tblW w:w="13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266"/>
        <w:gridCol w:w="850"/>
        <w:gridCol w:w="992"/>
        <w:gridCol w:w="1291"/>
        <w:gridCol w:w="1134"/>
        <w:gridCol w:w="992"/>
        <w:gridCol w:w="993"/>
        <w:gridCol w:w="992"/>
      </w:tblGrid>
      <w:tr w:rsidR="0077277F" w:rsidRPr="006E4FC7" w14:paraId="1F7BC07B" w14:textId="77777777" w:rsidTr="00185B21">
        <w:trPr>
          <w:jc w:val="center"/>
        </w:trPr>
        <w:tc>
          <w:tcPr>
            <w:tcW w:w="2689" w:type="dxa"/>
            <w:shd w:val="clear" w:color="auto" w:fill="BFBFBF" w:themeFill="background1" w:themeFillShade="BF"/>
            <w:vAlign w:val="center"/>
          </w:tcPr>
          <w:p w14:paraId="6AD1CAAE" w14:textId="77777777" w:rsidR="0077277F" w:rsidRPr="006E4FC7" w:rsidRDefault="0077277F" w:rsidP="00185B21">
            <w:pPr>
              <w:jc w:val="center"/>
              <w:rPr>
                <w:rFonts w:ascii="Arial" w:eastAsia="Calibri" w:hAnsi="Arial" w:cs="Arial"/>
                <w:sz w:val="16"/>
                <w:szCs w:val="16"/>
              </w:rPr>
            </w:pPr>
            <w:r w:rsidRPr="006E4FC7">
              <w:rPr>
                <w:rFonts w:ascii="Arial" w:eastAsia="Calibri" w:hAnsi="Arial" w:cs="Arial"/>
                <w:sz w:val="16"/>
                <w:szCs w:val="16"/>
              </w:rPr>
              <w:t>Pokazatelj uspješnosti</w:t>
            </w:r>
          </w:p>
        </w:tc>
        <w:tc>
          <w:tcPr>
            <w:tcW w:w="3266" w:type="dxa"/>
            <w:shd w:val="clear" w:color="auto" w:fill="BFBFBF" w:themeFill="background1" w:themeFillShade="BF"/>
            <w:vAlign w:val="center"/>
          </w:tcPr>
          <w:p w14:paraId="0D596F20" w14:textId="77777777" w:rsidR="0077277F" w:rsidRPr="006E4FC7" w:rsidRDefault="0077277F" w:rsidP="00185B21">
            <w:pPr>
              <w:jc w:val="center"/>
              <w:rPr>
                <w:rFonts w:ascii="Arial" w:eastAsia="Calibri" w:hAnsi="Arial" w:cs="Arial"/>
                <w:sz w:val="16"/>
                <w:szCs w:val="16"/>
              </w:rPr>
            </w:pPr>
            <w:r w:rsidRPr="006E4FC7">
              <w:rPr>
                <w:rFonts w:ascii="Arial" w:eastAsia="Calibri" w:hAnsi="Arial" w:cs="Arial"/>
                <w:sz w:val="16"/>
                <w:szCs w:val="16"/>
              </w:rPr>
              <w:t>Definicija</w:t>
            </w:r>
          </w:p>
        </w:tc>
        <w:tc>
          <w:tcPr>
            <w:tcW w:w="850" w:type="dxa"/>
            <w:shd w:val="clear" w:color="auto" w:fill="BFBFBF" w:themeFill="background1" w:themeFillShade="BF"/>
            <w:vAlign w:val="center"/>
          </w:tcPr>
          <w:p w14:paraId="3B08CE81" w14:textId="77777777" w:rsidR="0077277F" w:rsidRPr="006E4FC7" w:rsidRDefault="0077277F" w:rsidP="00185B21">
            <w:pPr>
              <w:jc w:val="center"/>
              <w:rPr>
                <w:rFonts w:ascii="Arial" w:eastAsia="Calibri" w:hAnsi="Arial" w:cs="Arial"/>
                <w:sz w:val="16"/>
                <w:szCs w:val="16"/>
              </w:rPr>
            </w:pPr>
            <w:r w:rsidRPr="006E4FC7">
              <w:rPr>
                <w:rFonts w:ascii="Arial" w:eastAsia="Calibri" w:hAnsi="Arial" w:cs="Arial"/>
                <w:sz w:val="16"/>
                <w:szCs w:val="16"/>
              </w:rPr>
              <w:t>Jedinica</w:t>
            </w:r>
          </w:p>
        </w:tc>
        <w:tc>
          <w:tcPr>
            <w:tcW w:w="992" w:type="dxa"/>
            <w:shd w:val="clear" w:color="auto" w:fill="BFBFBF" w:themeFill="background1" w:themeFillShade="BF"/>
            <w:vAlign w:val="center"/>
          </w:tcPr>
          <w:p w14:paraId="5BE70753" w14:textId="77777777" w:rsidR="0077277F" w:rsidRPr="006E4FC7" w:rsidRDefault="0077277F" w:rsidP="00185B21">
            <w:pPr>
              <w:jc w:val="center"/>
              <w:rPr>
                <w:rFonts w:ascii="Arial" w:eastAsia="Calibri" w:hAnsi="Arial" w:cs="Arial"/>
                <w:sz w:val="16"/>
                <w:szCs w:val="16"/>
              </w:rPr>
            </w:pPr>
            <w:r w:rsidRPr="006E4FC7">
              <w:rPr>
                <w:rFonts w:ascii="Arial" w:eastAsia="Calibri" w:hAnsi="Arial" w:cs="Arial"/>
                <w:sz w:val="16"/>
                <w:szCs w:val="16"/>
              </w:rPr>
              <w:t>Polazna vrijednost</w:t>
            </w:r>
          </w:p>
          <w:p w14:paraId="4910DA89" w14:textId="77777777" w:rsidR="0077277F" w:rsidRPr="006E4FC7" w:rsidRDefault="0077277F" w:rsidP="00185B21">
            <w:pPr>
              <w:jc w:val="center"/>
              <w:rPr>
                <w:rFonts w:ascii="Arial" w:eastAsia="Calibri" w:hAnsi="Arial" w:cs="Arial"/>
                <w:sz w:val="16"/>
                <w:szCs w:val="16"/>
              </w:rPr>
            </w:pPr>
            <w:r w:rsidRPr="006E4FC7">
              <w:rPr>
                <w:rFonts w:ascii="Arial" w:eastAsia="Calibri" w:hAnsi="Arial" w:cs="Arial"/>
                <w:sz w:val="16"/>
                <w:szCs w:val="16"/>
              </w:rPr>
              <w:t>202</w:t>
            </w:r>
            <w:r>
              <w:rPr>
                <w:rFonts w:ascii="Arial" w:eastAsia="Calibri" w:hAnsi="Arial" w:cs="Arial"/>
                <w:sz w:val="16"/>
                <w:szCs w:val="16"/>
              </w:rPr>
              <w:t>4</w:t>
            </w:r>
            <w:r w:rsidRPr="006E4FC7">
              <w:rPr>
                <w:rFonts w:ascii="Arial" w:eastAsia="Calibri" w:hAnsi="Arial" w:cs="Arial"/>
                <w:sz w:val="16"/>
                <w:szCs w:val="16"/>
              </w:rPr>
              <w:t>.</w:t>
            </w:r>
          </w:p>
        </w:tc>
        <w:tc>
          <w:tcPr>
            <w:tcW w:w="1291" w:type="dxa"/>
            <w:shd w:val="clear" w:color="auto" w:fill="BFBFBF" w:themeFill="background1" w:themeFillShade="BF"/>
            <w:vAlign w:val="center"/>
          </w:tcPr>
          <w:p w14:paraId="269C9C61" w14:textId="77777777" w:rsidR="0077277F" w:rsidRPr="006E4FC7" w:rsidRDefault="0077277F" w:rsidP="00185B21">
            <w:pPr>
              <w:jc w:val="center"/>
              <w:rPr>
                <w:rFonts w:ascii="Arial" w:eastAsia="Calibri" w:hAnsi="Arial" w:cs="Arial"/>
                <w:sz w:val="16"/>
                <w:szCs w:val="16"/>
              </w:rPr>
            </w:pPr>
            <w:r w:rsidRPr="006E4FC7">
              <w:rPr>
                <w:rFonts w:ascii="Arial" w:eastAsia="Calibri" w:hAnsi="Arial" w:cs="Arial"/>
                <w:sz w:val="16"/>
                <w:szCs w:val="16"/>
              </w:rPr>
              <w:t>Izvor podataka</w:t>
            </w:r>
          </w:p>
        </w:tc>
        <w:tc>
          <w:tcPr>
            <w:tcW w:w="1134" w:type="dxa"/>
            <w:shd w:val="clear" w:color="auto" w:fill="BFBFBF" w:themeFill="background1" w:themeFillShade="BF"/>
            <w:vAlign w:val="center"/>
          </w:tcPr>
          <w:p w14:paraId="6127EA36" w14:textId="77777777" w:rsidR="0077277F" w:rsidRPr="006E4FC7" w:rsidRDefault="0077277F" w:rsidP="00185B21">
            <w:pPr>
              <w:jc w:val="center"/>
              <w:rPr>
                <w:rFonts w:ascii="Arial" w:eastAsia="Calibri" w:hAnsi="Arial" w:cs="Arial"/>
                <w:sz w:val="16"/>
                <w:szCs w:val="16"/>
              </w:rPr>
            </w:pPr>
            <w:r w:rsidRPr="006E4FC7">
              <w:rPr>
                <w:rFonts w:ascii="Arial" w:eastAsia="Calibri" w:hAnsi="Arial" w:cs="Arial"/>
                <w:sz w:val="16"/>
                <w:szCs w:val="16"/>
              </w:rPr>
              <w:t>Ciljana vrijednost 202</w:t>
            </w:r>
            <w:r>
              <w:rPr>
                <w:rFonts w:ascii="Arial" w:eastAsia="Calibri" w:hAnsi="Arial" w:cs="Arial"/>
                <w:sz w:val="16"/>
                <w:szCs w:val="16"/>
              </w:rPr>
              <w:t>5</w:t>
            </w:r>
            <w:r w:rsidRPr="006E4FC7">
              <w:rPr>
                <w:rFonts w:ascii="Arial" w:eastAsia="Calibri" w:hAnsi="Arial" w:cs="Arial"/>
                <w:sz w:val="16"/>
                <w:szCs w:val="16"/>
              </w:rPr>
              <w:t>.</w:t>
            </w:r>
          </w:p>
        </w:tc>
        <w:tc>
          <w:tcPr>
            <w:tcW w:w="992" w:type="dxa"/>
            <w:shd w:val="clear" w:color="auto" w:fill="BFBFBF" w:themeFill="background1" w:themeFillShade="BF"/>
            <w:vAlign w:val="center"/>
          </w:tcPr>
          <w:p w14:paraId="53510391" w14:textId="77777777" w:rsidR="0077277F" w:rsidRPr="006E4FC7" w:rsidRDefault="0077277F" w:rsidP="00185B21">
            <w:pPr>
              <w:jc w:val="center"/>
              <w:rPr>
                <w:rFonts w:ascii="Arial" w:eastAsia="Calibri" w:hAnsi="Arial" w:cs="Arial"/>
                <w:sz w:val="16"/>
                <w:szCs w:val="16"/>
              </w:rPr>
            </w:pPr>
            <w:r w:rsidRPr="006E4FC7">
              <w:rPr>
                <w:rFonts w:ascii="Arial" w:eastAsia="Calibri" w:hAnsi="Arial" w:cs="Arial"/>
                <w:sz w:val="16"/>
                <w:szCs w:val="16"/>
              </w:rPr>
              <w:t>Izvršeno 202</w:t>
            </w:r>
            <w:r>
              <w:rPr>
                <w:rFonts w:ascii="Arial" w:eastAsia="Calibri" w:hAnsi="Arial" w:cs="Arial"/>
                <w:sz w:val="16"/>
                <w:szCs w:val="16"/>
              </w:rPr>
              <w:t>5</w:t>
            </w:r>
            <w:r w:rsidRPr="006E4FC7">
              <w:rPr>
                <w:rFonts w:ascii="Arial" w:eastAsia="Calibri" w:hAnsi="Arial" w:cs="Arial"/>
                <w:sz w:val="16"/>
                <w:szCs w:val="16"/>
              </w:rPr>
              <w:t>.</w:t>
            </w:r>
          </w:p>
        </w:tc>
        <w:tc>
          <w:tcPr>
            <w:tcW w:w="993" w:type="dxa"/>
            <w:shd w:val="clear" w:color="auto" w:fill="BFBFBF" w:themeFill="background1" w:themeFillShade="BF"/>
            <w:vAlign w:val="center"/>
          </w:tcPr>
          <w:p w14:paraId="6602A55E" w14:textId="77777777" w:rsidR="0077277F" w:rsidRPr="006E4FC7" w:rsidRDefault="0077277F" w:rsidP="00185B21">
            <w:pPr>
              <w:jc w:val="center"/>
              <w:rPr>
                <w:rFonts w:ascii="Arial" w:eastAsia="Calibri" w:hAnsi="Arial" w:cs="Arial"/>
                <w:sz w:val="16"/>
                <w:szCs w:val="16"/>
              </w:rPr>
            </w:pPr>
            <w:r w:rsidRPr="006E4FC7">
              <w:rPr>
                <w:rFonts w:ascii="Arial" w:eastAsia="Calibri" w:hAnsi="Arial" w:cs="Arial"/>
                <w:sz w:val="16"/>
                <w:szCs w:val="16"/>
              </w:rPr>
              <w:t>Ciljana vrijednost 202</w:t>
            </w:r>
            <w:r>
              <w:rPr>
                <w:rFonts w:ascii="Arial" w:eastAsia="Calibri" w:hAnsi="Arial" w:cs="Arial"/>
                <w:sz w:val="16"/>
                <w:szCs w:val="16"/>
              </w:rPr>
              <w:t>6</w:t>
            </w:r>
            <w:r w:rsidRPr="006E4FC7">
              <w:rPr>
                <w:rFonts w:ascii="Arial" w:eastAsia="Calibri" w:hAnsi="Arial" w:cs="Arial"/>
                <w:sz w:val="16"/>
                <w:szCs w:val="16"/>
              </w:rPr>
              <w:t>.</w:t>
            </w:r>
          </w:p>
        </w:tc>
        <w:tc>
          <w:tcPr>
            <w:tcW w:w="992" w:type="dxa"/>
            <w:shd w:val="clear" w:color="auto" w:fill="BFBFBF" w:themeFill="background1" w:themeFillShade="BF"/>
            <w:vAlign w:val="center"/>
          </w:tcPr>
          <w:p w14:paraId="0E8F033C" w14:textId="77777777" w:rsidR="0077277F" w:rsidRPr="006E4FC7" w:rsidRDefault="0077277F" w:rsidP="00185B21">
            <w:pPr>
              <w:jc w:val="center"/>
              <w:rPr>
                <w:rFonts w:ascii="Arial" w:eastAsia="Calibri" w:hAnsi="Arial" w:cs="Arial"/>
                <w:sz w:val="16"/>
                <w:szCs w:val="16"/>
              </w:rPr>
            </w:pPr>
            <w:r w:rsidRPr="006E4FC7">
              <w:rPr>
                <w:rFonts w:ascii="Arial" w:eastAsia="Calibri" w:hAnsi="Arial" w:cs="Arial"/>
                <w:sz w:val="16"/>
                <w:szCs w:val="16"/>
              </w:rPr>
              <w:t>Ciljana vrijednost 202</w:t>
            </w:r>
            <w:r>
              <w:rPr>
                <w:rFonts w:ascii="Arial" w:eastAsia="Calibri" w:hAnsi="Arial" w:cs="Arial"/>
                <w:sz w:val="16"/>
                <w:szCs w:val="16"/>
              </w:rPr>
              <w:t>7</w:t>
            </w:r>
            <w:r w:rsidRPr="006E4FC7">
              <w:rPr>
                <w:rFonts w:ascii="Arial" w:eastAsia="Calibri" w:hAnsi="Arial" w:cs="Arial"/>
                <w:sz w:val="16"/>
                <w:szCs w:val="16"/>
              </w:rPr>
              <w:t>.</w:t>
            </w:r>
          </w:p>
        </w:tc>
      </w:tr>
      <w:tr w:rsidR="0077277F" w:rsidRPr="006E4FC7" w14:paraId="4C3998C7" w14:textId="77777777" w:rsidTr="00C47437">
        <w:trPr>
          <w:trHeight w:val="552"/>
          <w:jc w:val="center"/>
        </w:trPr>
        <w:tc>
          <w:tcPr>
            <w:tcW w:w="2689" w:type="dxa"/>
            <w:vAlign w:val="center"/>
          </w:tcPr>
          <w:p w14:paraId="6994048D" w14:textId="7CA73A93" w:rsidR="0077277F" w:rsidRPr="006E4FC7" w:rsidRDefault="0077277F" w:rsidP="0077277F">
            <w:pPr>
              <w:rPr>
                <w:rFonts w:ascii="Arial" w:hAnsi="Arial" w:cs="Arial"/>
                <w:sz w:val="16"/>
                <w:szCs w:val="16"/>
                <w:lang w:eastAsia="en-US"/>
              </w:rPr>
            </w:pPr>
            <w:r w:rsidRPr="001D59A2">
              <w:rPr>
                <w:rFonts w:asciiTheme="minorHAnsi" w:hAnsiTheme="minorHAnsi" w:cstheme="minorHAnsi"/>
                <w:sz w:val="18"/>
                <w:szCs w:val="18"/>
                <w:lang w:eastAsia="en-US"/>
              </w:rPr>
              <w:t>Održavanje arheološkog lokaliteta Jagnjilo</w:t>
            </w:r>
          </w:p>
        </w:tc>
        <w:tc>
          <w:tcPr>
            <w:tcW w:w="3266" w:type="dxa"/>
            <w:tcBorders>
              <w:top w:val="single" w:sz="4" w:space="0" w:color="auto"/>
              <w:left w:val="single" w:sz="4" w:space="0" w:color="auto"/>
              <w:bottom w:val="single" w:sz="4" w:space="0" w:color="auto"/>
              <w:right w:val="single" w:sz="4" w:space="0" w:color="auto"/>
            </w:tcBorders>
            <w:vAlign w:val="center"/>
          </w:tcPr>
          <w:p w14:paraId="6E7F7534" w14:textId="4387D255" w:rsidR="0077277F" w:rsidRPr="006E4FC7" w:rsidRDefault="0077277F" w:rsidP="0077277F">
            <w:pPr>
              <w:rPr>
                <w:rFonts w:ascii="Arial" w:hAnsi="Arial" w:cs="Arial"/>
                <w:sz w:val="16"/>
                <w:szCs w:val="16"/>
                <w:lang w:eastAsia="en-US"/>
              </w:rPr>
            </w:pPr>
            <w:r w:rsidRPr="001D59A2">
              <w:rPr>
                <w:rFonts w:asciiTheme="minorHAnsi" w:hAnsiTheme="minorHAnsi" w:cstheme="minorHAnsi"/>
                <w:sz w:val="18"/>
                <w:szCs w:val="18"/>
              </w:rPr>
              <w:t>Postotak izvršenih rashoda od planiranih za održavanje lokaliteta</w:t>
            </w:r>
          </w:p>
        </w:tc>
        <w:tc>
          <w:tcPr>
            <w:tcW w:w="850" w:type="dxa"/>
            <w:vAlign w:val="center"/>
          </w:tcPr>
          <w:p w14:paraId="2AC03FE2" w14:textId="3751FC71" w:rsidR="0077277F" w:rsidRPr="006E4FC7" w:rsidRDefault="0077277F" w:rsidP="0077277F">
            <w:pPr>
              <w:jc w:val="center"/>
              <w:rPr>
                <w:rFonts w:ascii="Arial" w:hAnsi="Arial" w:cs="Arial"/>
                <w:sz w:val="16"/>
                <w:szCs w:val="16"/>
                <w:lang w:eastAsia="en-US"/>
              </w:rPr>
            </w:pPr>
            <w:r w:rsidRPr="001D59A2">
              <w:rPr>
                <w:rFonts w:asciiTheme="minorHAnsi" w:hAnsiTheme="minorHAnsi" w:cstheme="minorHAnsi"/>
                <w:sz w:val="18"/>
                <w:szCs w:val="18"/>
                <w:lang w:eastAsia="en-US"/>
              </w:rPr>
              <w:t>%</w:t>
            </w:r>
          </w:p>
        </w:tc>
        <w:tc>
          <w:tcPr>
            <w:tcW w:w="992" w:type="dxa"/>
            <w:vAlign w:val="center"/>
          </w:tcPr>
          <w:p w14:paraId="2C5F7B79" w14:textId="5A4F69AE" w:rsidR="0077277F" w:rsidRPr="006E4FC7" w:rsidRDefault="0077277F" w:rsidP="0077277F">
            <w:pPr>
              <w:jc w:val="center"/>
              <w:rPr>
                <w:rFonts w:ascii="Arial" w:hAnsi="Arial" w:cs="Arial"/>
                <w:sz w:val="16"/>
                <w:szCs w:val="16"/>
                <w:lang w:eastAsia="en-US"/>
              </w:rPr>
            </w:pPr>
            <w:r w:rsidRPr="001D59A2">
              <w:rPr>
                <w:rFonts w:asciiTheme="minorHAnsi" w:hAnsiTheme="minorHAnsi" w:cstheme="minorHAnsi"/>
                <w:sz w:val="18"/>
                <w:szCs w:val="18"/>
                <w:lang w:eastAsia="en-US"/>
              </w:rPr>
              <w:t xml:space="preserve"> 0</w:t>
            </w:r>
          </w:p>
        </w:tc>
        <w:tc>
          <w:tcPr>
            <w:tcW w:w="1291" w:type="dxa"/>
            <w:vAlign w:val="center"/>
          </w:tcPr>
          <w:p w14:paraId="6610978A" w14:textId="22C8C5A9" w:rsidR="0077277F" w:rsidRPr="006E4FC7" w:rsidRDefault="0077277F" w:rsidP="0077277F">
            <w:pPr>
              <w:jc w:val="center"/>
              <w:rPr>
                <w:rFonts w:ascii="Arial" w:hAnsi="Arial" w:cs="Arial"/>
                <w:sz w:val="16"/>
                <w:szCs w:val="16"/>
                <w:lang w:eastAsia="en-US"/>
              </w:rPr>
            </w:pPr>
            <w:r w:rsidRPr="001D59A2">
              <w:rPr>
                <w:rFonts w:asciiTheme="minorHAnsi" w:hAnsiTheme="minorHAnsi" w:cstheme="minorHAnsi"/>
                <w:sz w:val="18"/>
                <w:szCs w:val="18"/>
                <w:lang w:eastAsia="en-US"/>
              </w:rPr>
              <w:t>Muzeji</w:t>
            </w:r>
          </w:p>
        </w:tc>
        <w:tc>
          <w:tcPr>
            <w:tcW w:w="1134" w:type="dxa"/>
            <w:vAlign w:val="center"/>
          </w:tcPr>
          <w:p w14:paraId="25926705" w14:textId="21D36DBA" w:rsidR="0077277F" w:rsidRPr="006E4FC7" w:rsidRDefault="0077277F" w:rsidP="0077277F">
            <w:pPr>
              <w:jc w:val="center"/>
              <w:rPr>
                <w:rFonts w:ascii="Arial" w:hAnsi="Arial" w:cs="Arial"/>
                <w:sz w:val="16"/>
                <w:szCs w:val="16"/>
                <w:lang w:eastAsia="en-US"/>
              </w:rPr>
            </w:pPr>
            <w:r w:rsidRPr="001D59A2">
              <w:rPr>
                <w:rFonts w:asciiTheme="minorHAnsi" w:hAnsiTheme="minorHAnsi" w:cstheme="minorHAnsi"/>
                <w:sz w:val="18"/>
                <w:szCs w:val="18"/>
                <w:lang w:eastAsia="en-US"/>
              </w:rPr>
              <w:t>-</w:t>
            </w:r>
          </w:p>
        </w:tc>
        <w:tc>
          <w:tcPr>
            <w:tcW w:w="992" w:type="dxa"/>
            <w:vAlign w:val="center"/>
          </w:tcPr>
          <w:p w14:paraId="7C86F524" w14:textId="7C368A91" w:rsidR="0077277F" w:rsidRPr="006E4FC7" w:rsidRDefault="0077277F" w:rsidP="0077277F">
            <w:pPr>
              <w:jc w:val="center"/>
              <w:rPr>
                <w:rFonts w:ascii="Arial" w:hAnsi="Arial" w:cs="Arial"/>
                <w:sz w:val="16"/>
                <w:szCs w:val="16"/>
                <w:lang w:eastAsia="en-US"/>
              </w:rPr>
            </w:pPr>
            <w:r w:rsidRPr="001D59A2">
              <w:rPr>
                <w:rFonts w:asciiTheme="minorHAnsi" w:hAnsiTheme="minorHAnsi" w:cstheme="minorHAnsi"/>
                <w:sz w:val="18"/>
                <w:szCs w:val="18"/>
                <w:lang w:eastAsia="en-US"/>
              </w:rPr>
              <w:t>-</w:t>
            </w:r>
          </w:p>
        </w:tc>
        <w:tc>
          <w:tcPr>
            <w:tcW w:w="993" w:type="dxa"/>
            <w:vAlign w:val="center"/>
          </w:tcPr>
          <w:p w14:paraId="60776D79" w14:textId="5C9B7240" w:rsidR="0077277F" w:rsidRPr="006E4FC7" w:rsidRDefault="0077277F" w:rsidP="0077277F">
            <w:pPr>
              <w:jc w:val="center"/>
              <w:rPr>
                <w:rFonts w:ascii="Arial" w:hAnsi="Arial" w:cs="Arial"/>
                <w:sz w:val="16"/>
                <w:szCs w:val="16"/>
                <w:lang w:eastAsia="en-US"/>
              </w:rPr>
            </w:pPr>
            <w:r w:rsidRPr="001D59A2">
              <w:rPr>
                <w:rFonts w:asciiTheme="minorHAnsi" w:hAnsiTheme="minorHAnsi" w:cstheme="minorHAnsi"/>
                <w:sz w:val="18"/>
                <w:szCs w:val="18"/>
                <w:lang w:eastAsia="en-US"/>
              </w:rPr>
              <w:t xml:space="preserve">     100%</w:t>
            </w:r>
          </w:p>
        </w:tc>
        <w:tc>
          <w:tcPr>
            <w:tcW w:w="992" w:type="dxa"/>
            <w:vAlign w:val="center"/>
          </w:tcPr>
          <w:p w14:paraId="60AF9D7C" w14:textId="4DE076C7" w:rsidR="0077277F" w:rsidRPr="006E4FC7" w:rsidRDefault="0077277F" w:rsidP="0077277F">
            <w:pPr>
              <w:jc w:val="center"/>
              <w:rPr>
                <w:rFonts w:ascii="Arial" w:hAnsi="Arial" w:cs="Arial"/>
                <w:sz w:val="16"/>
                <w:szCs w:val="16"/>
                <w:lang w:eastAsia="en-US"/>
              </w:rPr>
            </w:pPr>
            <w:r w:rsidRPr="001D59A2">
              <w:rPr>
                <w:rFonts w:asciiTheme="minorHAnsi" w:hAnsiTheme="minorHAnsi" w:cstheme="minorHAnsi"/>
                <w:sz w:val="18"/>
                <w:szCs w:val="18"/>
                <w:lang w:eastAsia="en-US"/>
              </w:rPr>
              <w:t xml:space="preserve">     100%</w:t>
            </w:r>
          </w:p>
        </w:tc>
      </w:tr>
    </w:tbl>
    <w:p w14:paraId="3DFB0271" w14:textId="77777777" w:rsidR="0077277F" w:rsidRPr="006E4FC7" w:rsidRDefault="0077277F" w:rsidP="0077277F">
      <w:pPr>
        <w:spacing w:after="0" w:line="259" w:lineRule="auto"/>
        <w:rPr>
          <w:rFonts w:ascii="Arial" w:eastAsia="Calibri" w:hAnsi="Arial" w:cs="Arial"/>
          <w:sz w:val="16"/>
          <w:szCs w:val="16"/>
        </w:rPr>
      </w:pPr>
    </w:p>
    <w:p w14:paraId="60DC2E45" w14:textId="453B8CEF" w:rsidR="003D7373" w:rsidRPr="00C92189" w:rsidRDefault="006E6E51" w:rsidP="00C720E8">
      <w:pPr>
        <w:autoSpaceDE w:val="0"/>
        <w:autoSpaceDN w:val="0"/>
        <w:adjustRightInd w:val="0"/>
        <w:spacing w:after="0" w:line="240" w:lineRule="auto"/>
        <w:jc w:val="both"/>
        <w:rPr>
          <w:rFonts w:ascii="Arial" w:eastAsia="Calibri" w:hAnsi="Arial" w:cs="Arial"/>
          <w:sz w:val="20"/>
          <w:szCs w:val="20"/>
        </w:rPr>
      </w:pPr>
      <w:r w:rsidRPr="00C92189">
        <w:rPr>
          <w:rFonts w:ascii="Arial" w:eastAsia="Calibri" w:hAnsi="Arial" w:cs="Arial"/>
          <w:b/>
          <w:sz w:val="20"/>
          <w:szCs w:val="20"/>
        </w:rPr>
        <w:t>1</w:t>
      </w:r>
      <w:r w:rsidR="00FD724F" w:rsidRPr="00C92189">
        <w:rPr>
          <w:rFonts w:ascii="Arial" w:eastAsia="Calibri" w:hAnsi="Arial" w:cs="Arial"/>
          <w:b/>
          <w:sz w:val="20"/>
          <w:szCs w:val="20"/>
        </w:rPr>
        <w:t>6</w:t>
      </w:r>
      <w:r w:rsidRPr="00C92189">
        <w:rPr>
          <w:rFonts w:ascii="Arial" w:eastAsia="Calibri" w:hAnsi="Arial" w:cs="Arial"/>
          <w:b/>
          <w:sz w:val="20"/>
          <w:szCs w:val="20"/>
        </w:rPr>
        <w:t xml:space="preserve">. </w:t>
      </w:r>
      <w:r w:rsidR="003D7373" w:rsidRPr="00C92189">
        <w:rPr>
          <w:rFonts w:ascii="Arial" w:eastAsia="Calibri" w:hAnsi="Arial" w:cs="Arial"/>
          <w:b/>
          <w:bCs/>
          <w:sz w:val="20"/>
          <w:szCs w:val="20"/>
        </w:rPr>
        <w:t>T203117: Zaštita i očuvanje arheološke baštine – Sv. Barbara</w:t>
      </w:r>
      <w:r w:rsidR="003D7373" w:rsidRPr="00C92189">
        <w:rPr>
          <w:rFonts w:ascii="Arial" w:eastAsia="Calibri" w:hAnsi="Arial" w:cs="Arial"/>
          <w:sz w:val="20"/>
          <w:szCs w:val="20"/>
        </w:rPr>
        <w:t xml:space="preserve"> - </w:t>
      </w:r>
      <w:r w:rsidR="006E4FC7" w:rsidRPr="00C92189">
        <w:rPr>
          <w:rFonts w:ascii="Arial" w:eastAsia="Calibri" w:hAnsi="Arial" w:cs="Arial"/>
          <w:sz w:val="20"/>
          <w:szCs w:val="20"/>
        </w:rPr>
        <w:t xml:space="preserve">u sklopu navedene aktivnosti </w:t>
      </w:r>
      <w:r w:rsidR="008A06D6">
        <w:rPr>
          <w:rFonts w:ascii="Arial" w:eastAsia="Calibri" w:hAnsi="Arial" w:cs="Arial"/>
          <w:sz w:val="20"/>
          <w:szCs w:val="20"/>
        </w:rPr>
        <w:t xml:space="preserve">nisu </w:t>
      </w:r>
      <w:r w:rsidR="006E4FC7" w:rsidRPr="00C92189">
        <w:rPr>
          <w:rFonts w:ascii="Arial" w:eastAsia="Calibri" w:hAnsi="Arial" w:cs="Arial"/>
          <w:sz w:val="20"/>
          <w:szCs w:val="20"/>
        </w:rPr>
        <w:t xml:space="preserve">planirana proračunska </w:t>
      </w:r>
      <w:r w:rsidR="003D7373" w:rsidRPr="00C92189">
        <w:rPr>
          <w:rFonts w:ascii="Arial" w:eastAsia="Calibri" w:hAnsi="Arial" w:cs="Arial"/>
          <w:sz w:val="20"/>
          <w:szCs w:val="20"/>
        </w:rPr>
        <w:t>sredstava</w:t>
      </w:r>
      <w:r w:rsidR="00C92189" w:rsidRPr="00C92189">
        <w:rPr>
          <w:rFonts w:ascii="Arial" w:eastAsia="Calibri" w:hAnsi="Arial" w:cs="Arial"/>
          <w:sz w:val="20"/>
          <w:szCs w:val="20"/>
        </w:rPr>
        <w:t>.</w:t>
      </w:r>
    </w:p>
    <w:p w14:paraId="2FBE249D" w14:textId="77777777" w:rsidR="00E61250" w:rsidRPr="00C92189" w:rsidRDefault="00E61250" w:rsidP="00C720E8">
      <w:pPr>
        <w:autoSpaceDE w:val="0"/>
        <w:autoSpaceDN w:val="0"/>
        <w:adjustRightInd w:val="0"/>
        <w:spacing w:after="0" w:line="240" w:lineRule="auto"/>
        <w:jc w:val="both"/>
        <w:rPr>
          <w:rFonts w:ascii="Arial" w:eastAsia="Calibri" w:hAnsi="Arial" w:cs="Arial"/>
          <w:sz w:val="20"/>
          <w:szCs w:val="20"/>
        </w:rPr>
      </w:pPr>
    </w:p>
    <w:p w14:paraId="79E7FFDA" w14:textId="77777777" w:rsidR="003D7373" w:rsidRPr="00C92189" w:rsidRDefault="003D7373" w:rsidP="003D7373">
      <w:pPr>
        <w:autoSpaceDE w:val="0"/>
        <w:autoSpaceDN w:val="0"/>
        <w:adjustRightInd w:val="0"/>
        <w:spacing w:after="0" w:line="240" w:lineRule="auto"/>
        <w:jc w:val="both"/>
        <w:rPr>
          <w:rFonts w:ascii="Arial" w:eastAsia="Calibri" w:hAnsi="Arial" w:cs="Arial"/>
          <w:sz w:val="20"/>
          <w:szCs w:val="20"/>
        </w:rPr>
      </w:pPr>
      <w:r w:rsidRPr="00C92189">
        <w:rPr>
          <w:rFonts w:ascii="Arial" w:eastAsia="Calibri" w:hAnsi="Arial" w:cs="Arial"/>
          <w:sz w:val="20"/>
          <w:szCs w:val="20"/>
        </w:rPr>
        <w:t xml:space="preserve">Nekropola stećaka Sv. Barbare uvrštena je na listu UNESCO-a 2015. godine. Plan upravljanja UNESCO-vog lokaliteta predviđa izradu studije u zonama prezentacije i popratnih sadržaja na lokalitetu i oko njega. Nakon arheoloških radova, sanacije crkve i održanja cijele nekropole, ideja je uključiti lokalno stanovništvo u održanje i iskorištavanje same vrijednosti lokaliteta za razvoj sredine u kojoj se lokalitet nalazi. </w:t>
      </w:r>
    </w:p>
    <w:p w14:paraId="544F58E3" w14:textId="12B90CF9" w:rsidR="003D7373" w:rsidRPr="00C92189" w:rsidRDefault="003D7373" w:rsidP="00EA587B">
      <w:pPr>
        <w:autoSpaceDE w:val="0"/>
        <w:autoSpaceDN w:val="0"/>
        <w:adjustRightInd w:val="0"/>
        <w:spacing w:after="0" w:line="240" w:lineRule="auto"/>
        <w:ind w:left="567"/>
        <w:jc w:val="both"/>
        <w:rPr>
          <w:rFonts w:ascii="Arial" w:eastAsia="Calibri" w:hAnsi="Arial" w:cs="Arial"/>
          <w:sz w:val="20"/>
          <w:szCs w:val="20"/>
        </w:rPr>
      </w:pPr>
      <w:r w:rsidRPr="00C92189">
        <w:rPr>
          <w:rFonts w:ascii="Arial" w:eastAsia="Calibri" w:hAnsi="Arial" w:cs="Arial"/>
          <w:sz w:val="20"/>
          <w:szCs w:val="20"/>
        </w:rPr>
        <w:t>Ministarstvo kulture je za ovu namjenu u 2017. odobrilo 100.000</w:t>
      </w:r>
      <w:r w:rsidR="00B445DF" w:rsidRPr="00C92189">
        <w:rPr>
          <w:rFonts w:ascii="Arial" w:eastAsia="Calibri" w:hAnsi="Arial" w:cs="Arial"/>
          <w:sz w:val="20"/>
          <w:szCs w:val="20"/>
        </w:rPr>
        <w:t xml:space="preserve"> kn (13.272,28 €)</w:t>
      </w:r>
      <w:r w:rsidRPr="00C92189">
        <w:rPr>
          <w:rFonts w:ascii="Arial" w:eastAsia="Calibri" w:hAnsi="Arial" w:cs="Arial"/>
          <w:sz w:val="20"/>
          <w:szCs w:val="20"/>
        </w:rPr>
        <w:t xml:space="preserve"> koja su utrošena za 3D snimanje stećaka i lokaliteta. U nastavku projekta iz 2018., Ministarstvo kulture je odobrilo 80.000 kn </w:t>
      </w:r>
      <w:r w:rsidR="00544FA7" w:rsidRPr="00C92189">
        <w:rPr>
          <w:rFonts w:ascii="Arial" w:eastAsia="Calibri" w:hAnsi="Arial" w:cs="Arial"/>
          <w:sz w:val="20"/>
          <w:szCs w:val="20"/>
        </w:rPr>
        <w:t xml:space="preserve">(10.617,82 €) </w:t>
      </w:r>
      <w:r w:rsidRPr="00C92189">
        <w:rPr>
          <w:rFonts w:ascii="Arial" w:eastAsia="Calibri" w:hAnsi="Arial" w:cs="Arial"/>
          <w:sz w:val="20"/>
          <w:szCs w:val="20"/>
        </w:rPr>
        <w:t>za nastavak snimanja (lokalitet  Barbara SD) sukladno zahtjevima konzervatora za izradu 3D fotogrametrije crkvice.</w:t>
      </w:r>
    </w:p>
    <w:p w14:paraId="0311DEB3" w14:textId="16890D8D" w:rsidR="003D7373" w:rsidRPr="00C92189" w:rsidRDefault="003D7373" w:rsidP="003D7373">
      <w:pPr>
        <w:autoSpaceDE w:val="0"/>
        <w:autoSpaceDN w:val="0"/>
        <w:adjustRightInd w:val="0"/>
        <w:spacing w:after="0" w:line="240" w:lineRule="auto"/>
        <w:jc w:val="both"/>
        <w:rPr>
          <w:rFonts w:ascii="Arial" w:eastAsia="Calibri" w:hAnsi="Arial" w:cs="Arial"/>
          <w:sz w:val="20"/>
          <w:szCs w:val="20"/>
        </w:rPr>
      </w:pPr>
      <w:r w:rsidRPr="00C92189">
        <w:rPr>
          <w:rFonts w:ascii="Arial" w:eastAsia="Calibri" w:hAnsi="Arial" w:cs="Arial"/>
          <w:sz w:val="20"/>
          <w:szCs w:val="20"/>
        </w:rPr>
        <w:t xml:space="preserve">Pored navedenog, u okviru (Buffer zona Barbara), </w:t>
      </w:r>
      <w:r w:rsidR="00C22587">
        <w:rPr>
          <w:rFonts w:ascii="Arial" w:eastAsia="Calibri" w:hAnsi="Arial" w:cs="Arial"/>
          <w:sz w:val="20"/>
          <w:szCs w:val="20"/>
        </w:rPr>
        <w:t xml:space="preserve">u budućnosti bi trebalo </w:t>
      </w:r>
      <w:r w:rsidRPr="00C92189">
        <w:rPr>
          <w:rFonts w:ascii="Arial" w:eastAsia="Calibri" w:hAnsi="Arial" w:cs="Arial"/>
          <w:sz w:val="20"/>
          <w:szCs w:val="20"/>
        </w:rPr>
        <w:t>obuhvatiti sve potrebe u okolici lokaliteta za infrastrukturom i stavljanjem moguće zone prihodovanja za lokalno stanovništvo. Nadalje, potrebno je definirati parking, okretište, wc i ostale stvari koje posjetitelji trebaju. Planirano je okupiti zainteresirano stanovništvo za pripremu projektnog zadatka.</w:t>
      </w:r>
    </w:p>
    <w:p w14:paraId="40657E69" w14:textId="77777777" w:rsidR="00E61250" w:rsidRPr="00C92189" w:rsidRDefault="00E61250" w:rsidP="006E6E51">
      <w:pPr>
        <w:autoSpaceDE w:val="0"/>
        <w:autoSpaceDN w:val="0"/>
        <w:adjustRightInd w:val="0"/>
        <w:spacing w:after="0" w:line="240" w:lineRule="auto"/>
        <w:jc w:val="both"/>
        <w:rPr>
          <w:rFonts w:ascii="Arial" w:eastAsia="Calibri" w:hAnsi="Arial" w:cs="Arial"/>
          <w:sz w:val="20"/>
          <w:szCs w:val="20"/>
        </w:rPr>
      </w:pPr>
    </w:p>
    <w:p w14:paraId="6C9E7446" w14:textId="77777777" w:rsidR="00C22587" w:rsidRDefault="006E6E51" w:rsidP="00C92189">
      <w:pPr>
        <w:autoSpaceDE w:val="0"/>
        <w:autoSpaceDN w:val="0"/>
        <w:adjustRightInd w:val="0"/>
        <w:spacing w:after="0" w:line="240" w:lineRule="auto"/>
        <w:jc w:val="both"/>
        <w:rPr>
          <w:rFonts w:ascii="Arial" w:eastAsia="Calibri" w:hAnsi="Arial" w:cs="Arial"/>
          <w:sz w:val="20"/>
          <w:szCs w:val="20"/>
        </w:rPr>
      </w:pPr>
      <w:r w:rsidRPr="00C92189">
        <w:rPr>
          <w:rFonts w:ascii="Arial" w:eastAsia="Calibri" w:hAnsi="Arial" w:cs="Arial"/>
          <w:b/>
          <w:sz w:val="20"/>
          <w:szCs w:val="20"/>
        </w:rPr>
        <w:t>1</w:t>
      </w:r>
      <w:r w:rsidR="00FD724F" w:rsidRPr="00C92189">
        <w:rPr>
          <w:rFonts w:ascii="Arial" w:eastAsia="Calibri" w:hAnsi="Arial" w:cs="Arial"/>
          <w:b/>
          <w:sz w:val="20"/>
          <w:szCs w:val="20"/>
        </w:rPr>
        <w:t>7</w:t>
      </w:r>
      <w:r w:rsidRPr="00C92189">
        <w:rPr>
          <w:rFonts w:ascii="Arial" w:eastAsia="Calibri" w:hAnsi="Arial" w:cs="Arial"/>
          <w:b/>
          <w:sz w:val="20"/>
          <w:szCs w:val="20"/>
        </w:rPr>
        <w:t xml:space="preserve">. T203118: Zaštita i očuvanje arheološke baštine, Rat, Cavtat </w:t>
      </w:r>
      <w:r w:rsidRPr="00C92189">
        <w:rPr>
          <w:rFonts w:ascii="Arial" w:eastAsia="Calibri" w:hAnsi="Arial" w:cs="Arial"/>
          <w:sz w:val="20"/>
          <w:szCs w:val="20"/>
        </w:rPr>
        <w:t xml:space="preserve">- u sklopu navedene aktivnosti </w:t>
      </w:r>
      <w:r w:rsidR="00C22587">
        <w:rPr>
          <w:rFonts w:ascii="Arial" w:eastAsia="Calibri" w:hAnsi="Arial" w:cs="Arial"/>
          <w:sz w:val="20"/>
          <w:szCs w:val="20"/>
        </w:rPr>
        <w:t>ni</w:t>
      </w:r>
      <w:r w:rsidRPr="00C92189">
        <w:rPr>
          <w:rFonts w:ascii="Arial" w:eastAsia="Calibri" w:hAnsi="Arial" w:cs="Arial"/>
          <w:sz w:val="20"/>
          <w:szCs w:val="20"/>
        </w:rPr>
        <w:t>su planirana sredstva</w:t>
      </w:r>
      <w:r w:rsidR="00C22587">
        <w:rPr>
          <w:rFonts w:ascii="Arial" w:eastAsia="Calibri" w:hAnsi="Arial" w:cs="Arial"/>
          <w:sz w:val="20"/>
          <w:szCs w:val="20"/>
        </w:rPr>
        <w:t>.</w:t>
      </w:r>
    </w:p>
    <w:p w14:paraId="166B12CC" w14:textId="77777777" w:rsidR="00FC365E" w:rsidRPr="00FC365E" w:rsidRDefault="00FC365E" w:rsidP="00FC365E">
      <w:pPr>
        <w:autoSpaceDE w:val="0"/>
        <w:autoSpaceDN w:val="0"/>
        <w:adjustRightInd w:val="0"/>
        <w:spacing w:after="0" w:line="240" w:lineRule="auto"/>
        <w:jc w:val="both"/>
        <w:rPr>
          <w:rFonts w:ascii="Arial" w:eastAsia="Calibri" w:hAnsi="Arial" w:cs="Arial"/>
          <w:bCs/>
          <w:sz w:val="20"/>
          <w:szCs w:val="20"/>
          <w:highlight w:val="yellow"/>
        </w:rPr>
      </w:pPr>
      <w:r w:rsidRPr="00FC365E">
        <w:rPr>
          <w:rFonts w:ascii="Arial" w:eastAsia="Calibri" w:hAnsi="Arial" w:cs="Arial"/>
          <w:sz w:val="20"/>
          <w:szCs w:val="20"/>
        </w:rPr>
        <w:t>Ubuduće će se za sva arheološka istraživanja, zaštite i održavanja koristiti aktivnost A203106.</w:t>
      </w:r>
    </w:p>
    <w:p w14:paraId="24BCE996" w14:textId="77777777" w:rsidR="00FC365E" w:rsidRPr="00716E2D" w:rsidRDefault="00FC365E" w:rsidP="00FC365E">
      <w:pPr>
        <w:spacing w:after="0" w:line="240" w:lineRule="auto"/>
        <w:jc w:val="both"/>
        <w:rPr>
          <w:rFonts w:eastAsia="Calibri" w:cstheme="minorHAnsi"/>
          <w:b/>
        </w:rPr>
      </w:pPr>
    </w:p>
    <w:p w14:paraId="5B586B61" w14:textId="740B4297" w:rsidR="00C92189" w:rsidRPr="0077277F" w:rsidRDefault="0077277F" w:rsidP="00C92189">
      <w:pPr>
        <w:autoSpaceDE w:val="0"/>
        <w:autoSpaceDN w:val="0"/>
        <w:adjustRightInd w:val="0"/>
        <w:spacing w:after="0" w:line="240" w:lineRule="auto"/>
        <w:jc w:val="both"/>
        <w:rPr>
          <w:rFonts w:ascii="Arial" w:eastAsia="Calibri" w:hAnsi="Arial" w:cs="Arial"/>
          <w:sz w:val="18"/>
          <w:szCs w:val="18"/>
        </w:rPr>
      </w:pPr>
      <w:r w:rsidRPr="0077277F">
        <w:rPr>
          <w:rFonts w:ascii="Arial" w:eastAsia="Calibri" w:hAnsi="Arial" w:cs="Arial"/>
          <w:sz w:val="18"/>
          <w:szCs w:val="18"/>
        </w:rPr>
        <w:t>U 2024. godini su bili izvršeni rashodi</w:t>
      </w:r>
      <w:r w:rsidR="00C92189" w:rsidRPr="0077277F">
        <w:rPr>
          <w:rFonts w:ascii="Arial" w:eastAsia="Calibri" w:hAnsi="Arial" w:cs="Arial"/>
          <w:sz w:val="18"/>
          <w:szCs w:val="18"/>
        </w:rPr>
        <w:t xml:space="preserve"> u iznosu 6.974,56 € za arheološka istraživanja na lokalitetu Rat, Cavtat, Z-1756 u okviru čega su obavljeni konzervatorsko-restauratorski radovi na arheološkom lokalitetu te izrađena nacrtna dokumentacija i zračne fotografije lokaliteta. Ovo istraživanje je financiralo Ministarstvo kulture i medija u iznosu od 72% od ukupno utrošenog iznosa. </w:t>
      </w:r>
    </w:p>
    <w:p w14:paraId="260EADF5" w14:textId="77777777" w:rsidR="00E61250" w:rsidRPr="00C92189" w:rsidRDefault="00E61250" w:rsidP="00E61250">
      <w:pPr>
        <w:spacing w:after="0" w:line="240" w:lineRule="auto"/>
        <w:jc w:val="both"/>
        <w:rPr>
          <w:rFonts w:ascii="Arial" w:eastAsia="Calibri" w:hAnsi="Arial" w:cs="Arial"/>
          <w:sz w:val="20"/>
          <w:szCs w:val="20"/>
        </w:rPr>
      </w:pPr>
    </w:p>
    <w:p w14:paraId="05E6D3DF" w14:textId="77777777" w:rsidR="00E61250" w:rsidRPr="00C92189" w:rsidRDefault="006E6E51" w:rsidP="00572173">
      <w:pPr>
        <w:spacing w:after="0" w:line="240" w:lineRule="auto"/>
        <w:jc w:val="both"/>
        <w:rPr>
          <w:rFonts w:ascii="Arial" w:eastAsia="Calibri" w:hAnsi="Arial" w:cs="Arial"/>
          <w:sz w:val="20"/>
          <w:szCs w:val="20"/>
        </w:rPr>
      </w:pPr>
      <w:r w:rsidRPr="00C92189">
        <w:rPr>
          <w:rFonts w:ascii="Arial" w:eastAsia="Calibri" w:hAnsi="Arial" w:cs="Arial"/>
          <w:b/>
          <w:sz w:val="20"/>
          <w:szCs w:val="20"/>
        </w:rPr>
        <w:lastRenderedPageBreak/>
        <w:t>1</w:t>
      </w:r>
      <w:r w:rsidR="00FD724F" w:rsidRPr="00C92189">
        <w:rPr>
          <w:rFonts w:ascii="Arial" w:eastAsia="Calibri" w:hAnsi="Arial" w:cs="Arial"/>
          <w:b/>
          <w:sz w:val="20"/>
          <w:szCs w:val="20"/>
        </w:rPr>
        <w:t>8</w:t>
      </w:r>
      <w:r w:rsidRPr="00C92189">
        <w:rPr>
          <w:rFonts w:ascii="Arial" w:eastAsia="Calibri" w:hAnsi="Arial" w:cs="Arial"/>
          <w:b/>
          <w:sz w:val="20"/>
          <w:szCs w:val="20"/>
        </w:rPr>
        <w:t xml:space="preserve">. T203119: </w:t>
      </w:r>
      <w:r w:rsidR="00572173" w:rsidRPr="00C92189">
        <w:rPr>
          <w:rFonts w:ascii="Arial" w:eastAsia="Calibri" w:hAnsi="Arial" w:cs="Arial"/>
          <w:b/>
          <w:sz w:val="20"/>
          <w:szCs w:val="20"/>
        </w:rPr>
        <w:t>Zaštita i očuvanje nepokretnih kulturnih dobara, Pridvorje (arheološka zbirka)</w:t>
      </w:r>
      <w:r w:rsidR="00572173" w:rsidRPr="00C92189">
        <w:rPr>
          <w:rFonts w:ascii="Arial" w:eastAsia="Calibri" w:hAnsi="Arial" w:cs="Arial"/>
          <w:sz w:val="20"/>
          <w:szCs w:val="20"/>
        </w:rPr>
        <w:t xml:space="preserve"> - u sklopu navedene aktivnosti planirana su proračunska sredstva u iznosu </w:t>
      </w:r>
      <w:r w:rsidR="0040020F" w:rsidRPr="00C92189">
        <w:rPr>
          <w:rFonts w:ascii="Arial" w:eastAsia="Calibri" w:hAnsi="Arial" w:cs="Arial"/>
          <w:sz w:val="20"/>
          <w:szCs w:val="20"/>
        </w:rPr>
        <w:t>2.600 €</w:t>
      </w:r>
      <w:r w:rsidR="00572173" w:rsidRPr="00C92189">
        <w:rPr>
          <w:rFonts w:ascii="Arial" w:eastAsia="Calibri" w:hAnsi="Arial" w:cs="Arial"/>
          <w:sz w:val="20"/>
          <w:szCs w:val="20"/>
        </w:rPr>
        <w:t xml:space="preserve">, </w:t>
      </w:r>
      <w:r w:rsidR="0040020F" w:rsidRPr="00C92189">
        <w:rPr>
          <w:rFonts w:ascii="Arial" w:eastAsia="Calibri" w:hAnsi="Arial" w:cs="Arial"/>
          <w:sz w:val="20"/>
          <w:szCs w:val="20"/>
        </w:rPr>
        <w:t xml:space="preserve">a rashodi </w:t>
      </w:r>
      <w:r w:rsidR="00E61250" w:rsidRPr="00C92189">
        <w:rPr>
          <w:rFonts w:ascii="Arial" w:eastAsia="Calibri" w:hAnsi="Arial" w:cs="Arial"/>
          <w:sz w:val="20"/>
          <w:szCs w:val="20"/>
        </w:rPr>
        <w:t>ni</w:t>
      </w:r>
      <w:r w:rsidR="0040020F" w:rsidRPr="00C92189">
        <w:rPr>
          <w:rFonts w:ascii="Arial" w:eastAsia="Calibri" w:hAnsi="Arial" w:cs="Arial"/>
          <w:sz w:val="20"/>
          <w:szCs w:val="20"/>
        </w:rPr>
        <w:t>su izvršeni</w:t>
      </w:r>
      <w:r w:rsidR="00E61250" w:rsidRPr="00C92189">
        <w:rPr>
          <w:rFonts w:ascii="Arial" w:eastAsia="Calibri" w:hAnsi="Arial" w:cs="Arial"/>
          <w:sz w:val="20"/>
          <w:szCs w:val="20"/>
        </w:rPr>
        <w:t>.</w:t>
      </w:r>
    </w:p>
    <w:p w14:paraId="6E1A4AA5" w14:textId="77777777" w:rsidR="00E61250" w:rsidRPr="00C92189" w:rsidRDefault="00E61250" w:rsidP="00572173">
      <w:pPr>
        <w:spacing w:after="0" w:line="240" w:lineRule="auto"/>
        <w:jc w:val="both"/>
        <w:rPr>
          <w:rFonts w:ascii="Arial" w:eastAsia="Calibri" w:hAnsi="Arial" w:cs="Arial"/>
          <w:sz w:val="20"/>
          <w:szCs w:val="20"/>
        </w:rPr>
      </w:pPr>
    </w:p>
    <w:p w14:paraId="2DA686A1" w14:textId="35151EA6" w:rsidR="006E6E51" w:rsidRPr="00C92189" w:rsidRDefault="006E6E51" w:rsidP="006E6E51">
      <w:pPr>
        <w:spacing w:after="0" w:line="240" w:lineRule="auto"/>
        <w:jc w:val="both"/>
        <w:rPr>
          <w:rFonts w:ascii="Arial" w:eastAsia="Calibri" w:hAnsi="Arial" w:cs="Arial"/>
          <w:sz w:val="20"/>
          <w:szCs w:val="20"/>
        </w:rPr>
      </w:pPr>
      <w:r w:rsidRPr="00C92189">
        <w:rPr>
          <w:rFonts w:ascii="Arial" w:eastAsia="Calibri" w:hAnsi="Arial" w:cs="Arial"/>
          <w:sz w:val="20"/>
          <w:szCs w:val="20"/>
          <w:lang w:eastAsia="en-US"/>
        </w:rPr>
        <w:t xml:space="preserve">Zapadni dio klaustra Franjevačkog samostana u Pridvorju je prostor Odjela za arheologiju MGK. U prostoru se formirao arheološki depo, prostor stalnog postava i prostor za povremene izložbe. Muzeji i galerije Konavala su dugi niz godina provodili arheološka istraživanja bez prostora za pohranu nalaza. Nalazi bi po pravilu trebali biti pohranjeni u najbliži arheološki depo (Dubrovnik koji nema dovoljno prostora ni za svoje nalaze). Ministarstvo je podržalo projekt depoa i izložbenog prostora. Svi nalazi nađeni u Konavlima (uključujući Sokol) biti će inventirani i čuvani u Odjelu za arheologiju u Pridvorju. </w:t>
      </w:r>
      <w:r w:rsidRPr="00C92189">
        <w:rPr>
          <w:rFonts w:ascii="Arial" w:eastAsia="Calibri" w:hAnsi="Arial" w:cs="Arial"/>
          <w:sz w:val="20"/>
          <w:szCs w:val="20"/>
        </w:rPr>
        <w:t xml:space="preserve">U samostanu u Pridvorju u 2017. godini intenzivno je krenulo osposobljavanje nove muzejske jedinice kao i stjecanje uvjeta za istu. Prema pravilnicima Ministarstva kulture potrebno je zadovoljiti uvjete koji zahtijevaju ulaganje određenih sredstava. </w:t>
      </w:r>
    </w:p>
    <w:p w14:paraId="08A0E229" w14:textId="77777777" w:rsidR="00EA587B" w:rsidRDefault="00EA587B" w:rsidP="006E6E51">
      <w:pPr>
        <w:spacing w:after="0" w:line="240" w:lineRule="auto"/>
        <w:jc w:val="both"/>
        <w:rPr>
          <w:rFonts w:ascii="Arial" w:eastAsia="Calibri" w:hAnsi="Arial" w:cs="Arial"/>
          <w:sz w:val="20"/>
          <w:szCs w:val="20"/>
        </w:rPr>
      </w:pPr>
    </w:p>
    <w:p w14:paraId="6887A328" w14:textId="4CC3A515" w:rsidR="006E6E51" w:rsidRPr="00EA587B" w:rsidRDefault="006E6E51" w:rsidP="00EA587B">
      <w:pPr>
        <w:spacing w:after="0" w:line="240" w:lineRule="auto"/>
        <w:ind w:left="567"/>
        <w:jc w:val="both"/>
        <w:rPr>
          <w:rFonts w:ascii="Arial" w:eastAsia="Calibri" w:hAnsi="Arial" w:cs="Arial"/>
          <w:sz w:val="18"/>
          <w:szCs w:val="18"/>
        </w:rPr>
      </w:pPr>
      <w:r w:rsidRPr="00EA587B">
        <w:rPr>
          <w:rFonts w:ascii="Arial" w:eastAsia="Calibri" w:hAnsi="Arial" w:cs="Arial"/>
          <w:sz w:val="18"/>
          <w:szCs w:val="18"/>
        </w:rPr>
        <w:t xml:space="preserve">U 2017. Ministarstvo kulture je odobrilo 300.000 </w:t>
      </w:r>
      <w:r w:rsidR="00971239" w:rsidRPr="00EA587B">
        <w:rPr>
          <w:rFonts w:ascii="Arial" w:eastAsia="Calibri" w:hAnsi="Arial" w:cs="Arial"/>
          <w:sz w:val="18"/>
          <w:szCs w:val="18"/>
        </w:rPr>
        <w:t>k</w:t>
      </w:r>
      <w:r w:rsidRPr="00EA587B">
        <w:rPr>
          <w:rFonts w:ascii="Arial" w:eastAsia="Calibri" w:hAnsi="Arial" w:cs="Arial"/>
          <w:sz w:val="18"/>
          <w:szCs w:val="18"/>
        </w:rPr>
        <w:t xml:space="preserve">n </w:t>
      </w:r>
      <w:r w:rsidR="0040020F" w:rsidRPr="00EA587B">
        <w:rPr>
          <w:rFonts w:ascii="Arial" w:eastAsia="Calibri" w:hAnsi="Arial" w:cs="Arial"/>
          <w:sz w:val="18"/>
          <w:szCs w:val="18"/>
        </w:rPr>
        <w:t xml:space="preserve">(39.816,84 €) </w:t>
      </w:r>
      <w:r w:rsidRPr="00EA587B">
        <w:rPr>
          <w:rFonts w:ascii="Arial" w:eastAsia="Calibri" w:hAnsi="Arial" w:cs="Arial"/>
          <w:sz w:val="18"/>
          <w:szCs w:val="18"/>
        </w:rPr>
        <w:t>i ova sredstva su utrošena na građevinske radove i opremanje muzeja koji je otvoren 22.10.2017.</w:t>
      </w:r>
    </w:p>
    <w:p w14:paraId="368B191D" w14:textId="0404C868" w:rsidR="006E6E51" w:rsidRPr="00EA587B" w:rsidRDefault="006E6E51" w:rsidP="00EA587B">
      <w:pPr>
        <w:autoSpaceDE w:val="0"/>
        <w:autoSpaceDN w:val="0"/>
        <w:adjustRightInd w:val="0"/>
        <w:spacing w:after="0" w:line="240" w:lineRule="auto"/>
        <w:ind w:left="567"/>
        <w:jc w:val="both"/>
        <w:rPr>
          <w:rFonts w:ascii="Arial" w:eastAsia="Calibri" w:hAnsi="Arial" w:cs="Arial"/>
          <w:sz w:val="18"/>
          <w:szCs w:val="18"/>
        </w:rPr>
      </w:pPr>
      <w:r w:rsidRPr="00EA587B">
        <w:rPr>
          <w:rFonts w:ascii="Arial" w:eastAsia="Calibri" w:hAnsi="Arial" w:cs="Arial"/>
          <w:sz w:val="18"/>
          <w:szCs w:val="18"/>
        </w:rPr>
        <w:t xml:space="preserve">U 2018. je nastavljeno sa opremanjem muzejskog prostora te su izrađene studije uređenja klaustra i postavljanja epigrafskih ploča, sredstva Ministarstva kulture u iznosu 112.338 </w:t>
      </w:r>
      <w:r w:rsidR="00971239" w:rsidRPr="00EA587B">
        <w:rPr>
          <w:rFonts w:ascii="Arial" w:eastAsia="Calibri" w:hAnsi="Arial" w:cs="Arial"/>
          <w:sz w:val="18"/>
          <w:szCs w:val="18"/>
        </w:rPr>
        <w:t>k</w:t>
      </w:r>
      <w:r w:rsidRPr="00EA587B">
        <w:rPr>
          <w:rFonts w:ascii="Arial" w:eastAsia="Calibri" w:hAnsi="Arial" w:cs="Arial"/>
          <w:sz w:val="18"/>
          <w:szCs w:val="18"/>
        </w:rPr>
        <w:t>n</w:t>
      </w:r>
      <w:r w:rsidR="0040020F" w:rsidRPr="00EA587B">
        <w:rPr>
          <w:rFonts w:ascii="Arial" w:eastAsia="Calibri" w:hAnsi="Arial" w:cs="Arial"/>
          <w:sz w:val="18"/>
          <w:szCs w:val="18"/>
        </w:rPr>
        <w:t xml:space="preserve"> (14.909,81 €)</w:t>
      </w:r>
      <w:r w:rsidRPr="00EA587B">
        <w:rPr>
          <w:rFonts w:ascii="Arial" w:eastAsia="Calibri" w:hAnsi="Arial" w:cs="Arial"/>
          <w:sz w:val="18"/>
          <w:szCs w:val="18"/>
        </w:rPr>
        <w:t>.</w:t>
      </w:r>
    </w:p>
    <w:p w14:paraId="114F3060" w14:textId="1EFFF35A" w:rsidR="006E6E51" w:rsidRPr="00EA587B" w:rsidRDefault="006E6E51" w:rsidP="00EA587B">
      <w:pPr>
        <w:autoSpaceDE w:val="0"/>
        <w:autoSpaceDN w:val="0"/>
        <w:adjustRightInd w:val="0"/>
        <w:spacing w:after="0" w:line="240" w:lineRule="auto"/>
        <w:ind w:left="567"/>
        <w:jc w:val="both"/>
        <w:rPr>
          <w:rFonts w:ascii="Arial" w:eastAsia="Calibri" w:hAnsi="Arial" w:cs="Arial"/>
          <w:sz w:val="18"/>
          <w:szCs w:val="18"/>
        </w:rPr>
      </w:pPr>
      <w:r w:rsidRPr="00EA587B">
        <w:rPr>
          <w:rFonts w:ascii="Arial" w:eastAsia="Calibri" w:hAnsi="Arial" w:cs="Arial"/>
          <w:sz w:val="18"/>
          <w:szCs w:val="18"/>
        </w:rPr>
        <w:t xml:space="preserve">U 2019. godini nastavlja se sa provođenjem idejnog projekta uređenja klaustra i postavljanja epigrafskih ploča kao i radovima saniranja vlage i daljnjeg uređenja muzejskog prostora, Ministarstvo kulture je odobrilo 200.000 </w:t>
      </w:r>
      <w:r w:rsidR="00971239" w:rsidRPr="00EA587B">
        <w:rPr>
          <w:rFonts w:ascii="Arial" w:eastAsia="Calibri" w:hAnsi="Arial" w:cs="Arial"/>
          <w:sz w:val="18"/>
          <w:szCs w:val="18"/>
        </w:rPr>
        <w:t>k</w:t>
      </w:r>
      <w:r w:rsidR="0040020F" w:rsidRPr="00EA587B">
        <w:rPr>
          <w:rFonts w:ascii="Arial" w:eastAsia="Calibri" w:hAnsi="Arial" w:cs="Arial"/>
          <w:sz w:val="18"/>
          <w:szCs w:val="18"/>
        </w:rPr>
        <w:t>n (26.544,56 €)</w:t>
      </w:r>
      <w:r w:rsidRPr="00EA587B">
        <w:rPr>
          <w:rFonts w:ascii="Arial" w:eastAsia="Calibri" w:hAnsi="Arial" w:cs="Arial"/>
          <w:sz w:val="18"/>
          <w:szCs w:val="18"/>
        </w:rPr>
        <w:t>.</w:t>
      </w:r>
    </w:p>
    <w:p w14:paraId="5973DBC9" w14:textId="69A0EAF3" w:rsidR="00EA587B" w:rsidRPr="00EA587B" w:rsidRDefault="00EA587B" w:rsidP="00EA587B">
      <w:pPr>
        <w:spacing w:after="0" w:line="240" w:lineRule="auto"/>
        <w:ind w:left="567"/>
        <w:jc w:val="both"/>
        <w:rPr>
          <w:rFonts w:ascii="Arial" w:eastAsia="Calibri" w:hAnsi="Arial" w:cs="Arial"/>
          <w:sz w:val="18"/>
          <w:szCs w:val="18"/>
        </w:rPr>
      </w:pPr>
      <w:r w:rsidRPr="00EA587B">
        <w:rPr>
          <w:rFonts w:ascii="Arial" w:eastAsia="Calibri" w:hAnsi="Arial" w:cs="Arial"/>
          <w:sz w:val="18"/>
          <w:szCs w:val="18"/>
        </w:rPr>
        <w:t>U 2023. godini bili su izvršeni rashodi u iznosu 1.512,50 €</w:t>
      </w:r>
      <w:r>
        <w:rPr>
          <w:rFonts w:ascii="Arial" w:eastAsia="Calibri" w:hAnsi="Arial" w:cs="Arial"/>
          <w:sz w:val="18"/>
          <w:szCs w:val="18"/>
        </w:rPr>
        <w:t>,</w:t>
      </w:r>
      <w:r w:rsidRPr="00EA587B">
        <w:rPr>
          <w:rFonts w:ascii="Arial" w:eastAsia="Calibri" w:hAnsi="Arial" w:cs="Arial"/>
          <w:sz w:val="18"/>
          <w:szCs w:val="18"/>
        </w:rPr>
        <w:t xml:space="preserve"> a za izradu audio vodiča za Odjel za arheologiju i spomeničku baštinu te zamjenu rasvjetnih reflektora u izložbenom prostoru. </w:t>
      </w:r>
    </w:p>
    <w:p w14:paraId="47D2CC45" w14:textId="37C22FDA" w:rsidR="00D97ADE" w:rsidRPr="00C92189" w:rsidRDefault="00D97ADE" w:rsidP="00D97ADE">
      <w:pPr>
        <w:autoSpaceDE w:val="0"/>
        <w:autoSpaceDN w:val="0"/>
        <w:adjustRightInd w:val="0"/>
        <w:spacing w:after="0" w:line="240" w:lineRule="auto"/>
        <w:jc w:val="both"/>
        <w:rPr>
          <w:rFonts w:ascii="Arial" w:eastAsia="Calibri" w:hAnsi="Arial" w:cs="Arial"/>
          <w:sz w:val="20"/>
          <w:szCs w:val="20"/>
          <w:highlight w:val="yellow"/>
        </w:rPr>
      </w:pPr>
    </w:p>
    <w:tbl>
      <w:tblPr>
        <w:tblStyle w:val="Reetkatablice5"/>
        <w:tblW w:w="13365" w:type="dxa"/>
        <w:jc w:val="center"/>
        <w:tblLayout w:type="fixed"/>
        <w:tblLook w:val="04A0" w:firstRow="1" w:lastRow="0" w:firstColumn="1" w:lastColumn="0" w:noHBand="0" w:noVBand="1"/>
      </w:tblPr>
      <w:tblGrid>
        <w:gridCol w:w="2972"/>
        <w:gridCol w:w="2997"/>
        <w:gridCol w:w="992"/>
        <w:gridCol w:w="993"/>
        <w:gridCol w:w="993"/>
        <w:gridCol w:w="1016"/>
        <w:gridCol w:w="1134"/>
        <w:gridCol w:w="1134"/>
        <w:gridCol w:w="1134"/>
      </w:tblGrid>
      <w:tr w:rsidR="00C92189" w:rsidRPr="00C92189" w14:paraId="78A221B4" w14:textId="77777777" w:rsidTr="00EA587B">
        <w:trPr>
          <w:jc w:val="center"/>
        </w:trPr>
        <w:tc>
          <w:tcPr>
            <w:tcW w:w="2972" w:type="dxa"/>
            <w:shd w:val="clear" w:color="auto" w:fill="BFBFBF" w:themeFill="background1" w:themeFillShade="BF"/>
            <w:vAlign w:val="center"/>
          </w:tcPr>
          <w:p w14:paraId="321B1431" w14:textId="77777777" w:rsidR="00C92189" w:rsidRPr="00C92189" w:rsidRDefault="00C92189" w:rsidP="00C83EE8">
            <w:pPr>
              <w:jc w:val="center"/>
              <w:rPr>
                <w:rFonts w:ascii="Arial" w:eastAsia="Calibri" w:hAnsi="Arial" w:cs="Arial"/>
                <w:sz w:val="18"/>
                <w:szCs w:val="18"/>
              </w:rPr>
            </w:pPr>
            <w:r w:rsidRPr="00C92189">
              <w:rPr>
                <w:rFonts w:ascii="Arial" w:eastAsia="Calibri" w:hAnsi="Arial" w:cs="Arial"/>
                <w:sz w:val="18"/>
                <w:szCs w:val="18"/>
              </w:rPr>
              <w:t>Pokazatelj uspješnosti</w:t>
            </w:r>
          </w:p>
        </w:tc>
        <w:tc>
          <w:tcPr>
            <w:tcW w:w="2997" w:type="dxa"/>
            <w:shd w:val="clear" w:color="auto" w:fill="BFBFBF" w:themeFill="background1" w:themeFillShade="BF"/>
            <w:vAlign w:val="center"/>
          </w:tcPr>
          <w:p w14:paraId="53E25C03" w14:textId="77777777" w:rsidR="00C92189" w:rsidRPr="00C92189" w:rsidRDefault="00C92189" w:rsidP="00C83EE8">
            <w:pPr>
              <w:jc w:val="center"/>
              <w:rPr>
                <w:rFonts w:ascii="Arial" w:eastAsia="Calibri" w:hAnsi="Arial" w:cs="Arial"/>
                <w:sz w:val="18"/>
                <w:szCs w:val="18"/>
              </w:rPr>
            </w:pPr>
            <w:r w:rsidRPr="00C92189">
              <w:rPr>
                <w:rFonts w:ascii="Arial" w:eastAsia="Calibri" w:hAnsi="Arial" w:cs="Arial"/>
                <w:sz w:val="18"/>
                <w:szCs w:val="18"/>
              </w:rPr>
              <w:t>Definicija</w:t>
            </w:r>
          </w:p>
        </w:tc>
        <w:tc>
          <w:tcPr>
            <w:tcW w:w="992" w:type="dxa"/>
            <w:shd w:val="clear" w:color="auto" w:fill="BFBFBF" w:themeFill="background1" w:themeFillShade="BF"/>
            <w:vAlign w:val="center"/>
          </w:tcPr>
          <w:p w14:paraId="2DF0D27B" w14:textId="77777777" w:rsidR="00C92189" w:rsidRPr="00C92189" w:rsidRDefault="00C92189" w:rsidP="00C83EE8">
            <w:pPr>
              <w:jc w:val="center"/>
              <w:rPr>
                <w:rFonts w:ascii="Arial" w:eastAsia="Calibri" w:hAnsi="Arial" w:cs="Arial"/>
                <w:sz w:val="18"/>
                <w:szCs w:val="18"/>
              </w:rPr>
            </w:pPr>
            <w:r w:rsidRPr="00C92189">
              <w:rPr>
                <w:rFonts w:ascii="Arial" w:eastAsia="Calibri" w:hAnsi="Arial" w:cs="Arial"/>
                <w:sz w:val="18"/>
                <w:szCs w:val="18"/>
              </w:rPr>
              <w:t>Jedinica</w:t>
            </w:r>
          </w:p>
        </w:tc>
        <w:tc>
          <w:tcPr>
            <w:tcW w:w="993" w:type="dxa"/>
            <w:shd w:val="clear" w:color="auto" w:fill="BFBFBF" w:themeFill="background1" w:themeFillShade="BF"/>
          </w:tcPr>
          <w:p w14:paraId="0AC78809" w14:textId="4D1BA74B" w:rsidR="00C92189" w:rsidRPr="00C92189" w:rsidRDefault="00C92189" w:rsidP="00C83EE8">
            <w:pPr>
              <w:jc w:val="center"/>
              <w:rPr>
                <w:rFonts w:ascii="Arial" w:eastAsia="Calibri" w:hAnsi="Arial" w:cs="Arial"/>
                <w:sz w:val="18"/>
                <w:szCs w:val="18"/>
              </w:rPr>
            </w:pPr>
            <w:r w:rsidRPr="00C92189">
              <w:rPr>
                <w:rFonts w:ascii="Arial" w:eastAsia="Calibri" w:hAnsi="Arial" w:cs="Arial"/>
                <w:sz w:val="18"/>
                <w:szCs w:val="18"/>
              </w:rPr>
              <w:t>Polazna vrijednost 202</w:t>
            </w:r>
            <w:r w:rsidR="00462D0B">
              <w:rPr>
                <w:rFonts w:ascii="Arial" w:eastAsia="Calibri" w:hAnsi="Arial" w:cs="Arial"/>
                <w:sz w:val="18"/>
                <w:szCs w:val="18"/>
              </w:rPr>
              <w:t>4</w:t>
            </w:r>
            <w:r w:rsidRPr="00C92189">
              <w:rPr>
                <w:rFonts w:ascii="Arial" w:eastAsia="Calibri" w:hAnsi="Arial" w:cs="Arial"/>
                <w:sz w:val="18"/>
                <w:szCs w:val="18"/>
              </w:rPr>
              <w:t>.</w:t>
            </w:r>
          </w:p>
        </w:tc>
        <w:tc>
          <w:tcPr>
            <w:tcW w:w="993" w:type="dxa"/>
            <w:shd w:val="clear" w:color="auto" w:fill="BFBFBF" w:themeFill="background1" w:themeFillShade="BF"/>
            <w:vAlign w:val="center"/>
          </w:tcPr>
          <w:p w14:paraId="23BA8276" w14:textId="77777777" w:rsidR="00C92189" w:rsidRPr="00C92189" w:rsidRDefault="00C92189" w:rsidP="00C83EE8">
            <w:pPr>
              <w:jc w:val="center"/>
              <w:rPr>
                <w:rFonts w:ascii="Arial" w:eastAsia="Calibri" w:hAnsi="Arial" w:cs="Arial"/>
                <w:sz w:val="18"/>
                <w:szCs w:val="18"/>
              </w:rPr>
            </w:pPr>
            <w:r w:rsidRPr="00C92189">
              <w:rPr>
                <w:rFonts w:ascii="Arial" w:eastAsia="Calibri" w:hAnsi="Arial" w:cs="Arial"/>
                <w:sz w:val="18"/>
                <w:szCs w:val="18"/>
              </w:rPr>
              <w:t>Izvor podataka</w:t>
            </w:r>
          </w:p>
        </w:tc>
        <w:tc>
          <w:tcPr>
            <w:tcW w:w="1016" w:type="dxa"/>
            <w:shd w:val="clear" w:color="auto" w:fill="BFBFBF" w:themeFill="background1" w:themeFillShade="BF"/>
            <w:vAlign w:val="center"/>
          </w:tcPr>
          <w:p w14:paraId="452B9D64" w14:textId="164F5FBE" w:rsidR="00C92189" w:rsidRPr="00C92189" w:rsidRDefault="00C92189" w:rsidP="00C83EE8">
            <w:pPr>
              <w:jc w:val="center"/>
              <w:rPr>
                <w:rFonts w:ascii="Arial" w:eastAsia="Calibri" w:hAnsi="Arial" w:cs="Arial"/>
                <w:sz w:val="18"/>
                <w:szCs w:val="18"/>
              </w:rPr>
            </w:pPr>
            <w:r w:rsidRPr="00C92189">
              <w:rPr>
                <w:rFonts w:ascii="Arial" w:eastAsia="Calibri" w:hAnsi="Arial" w:cs="Arial"/>
                <w:sz w:val="18"/>
                <w:szCs w:val="18"/>
              </w:rPr>
              <w:t>Ciljana vrijednost 202</w:t>
            </w:r>
            <w:r w:rsidR="00462D0B">
              <w:rPr>
                <w:rFonts w:ascii="Arial" w:eastAsia="Calibri" w:hAnsi="Arial" w:cs="Arial"/>
                <w:sz w:val="18"/>
                <w:szCs w:val="18"/>
              </w:rPr>
              <w:t>5</w:t>
            </w:r>
            <w:r w:rsidRPr="00C92189">
              <w:rPr>
                <w:rFonts w:ascii="Arial" w:eastAsia="Calibri" w:hAnsi="Arial" w:cs="Arial"/>
                <w:sz w:val="18"/>
                <w:szCs w:val="18"/>
              </w:rPr>
              <w:t>.</w:t>
            </w:r>
          </w:p>
        </w:tc>
        <w:tc>
          <w:tcPr>
            <w:tcW w:w="1134" w:type="dxa"/>
            <w:shd w:val="clear" w:color="auto" w:fill="BFBFBF" w:themeFill="background1" w:themeFillShade="BF"/>
            <w:vAlign w:val="center"/>
          </w:tcPr>
          <w:p w14:paraId="3541EBD5" w14:textId="14BB2B8B" w:rsidR="00C92189" w:rsidRPr="00C92189" w:rsidRDefault="00C92189" w:rsidP="00C83EE8">
            <w:pPr>
              <w:jc w:val="center"/>
              <w:rPr>
                <w:rFonts w:ascii="Arial" w:eastAsia="Calibri" w:hAnsi="Arial" w:cs="Arial"/>
                <w:sz w:val="18"/>
                <w:szCs w:val="18"/>
              </w:rPr>
            </w:pPr>
            <w:r w:rsidRPr="00C92189">
              <w:rPr>
                <w:rFonts w:ascii="Arial" w:eastAsia="Calibri" w:hAnsi="Arial" w:cs="Arial"/>
                <w:sz w:val="18"/>
                <w:szCs w:val="18"/>
              </w:rPr>
              <w:t>Izvršeno 202</w:t>
            </w:r>
            <w:r w:rsidR="00462D0B">
              <w:rPr>
                <w:rFonts w:ascii="Arial" w:eastAsia="Calibri" w:hAnsi="Arial" w:cs="Arial"/>
                <w:sz w:val="18"/>
                <w:szCs w:val="18"/>
              </w:rPr>
              <w:t>5</w:t>
            </w:r>
            <w:r w:rsidRPr="00C92189">
              <w:rPr>
                <w:rFonts w:ascii="Arial" w:eastAsia="Calibri" w:hAnsi="Arial" w:cs="Arial"/>
                <w:sz w:val="18"/>
                <w:szCs w:val="18"/>
              </w:rPr>
              <w:t>.</w:t>
            </w:r>
          </w:p>
        </w:tc>
        <w:tc>
          <w:tcPr>
            <w:tcW w:w="1134" w:type="dxa"/>
            <w:shd w:val="clear" w:color="auto" w:fill="BFBFBF" w:themeFill="background1" w:themeFillShade="BF"/>
            <w:vAlign w:val="center"/>
          </w:tcPr>
          <w:p w14:paraId="3D011070" w14:textId="7EDE04EE" w:rsidR="00C92189" w:rsidRPr="00C92189" w:rsidRDefault="00C92189" w:rsidP="00C83EE8">
            <w:pPr>
              <w:jc w:val="center"/>
              <w:rPr>
                <w:rFonts w:ascii="Arial" w:eastAsia="Calibri" w:hAnsi="Arial" w:cs="Arial"/>
                <w:sz w:val="18"/>
                <w:szCs w:val="18"/>
              </w:rPr>
            </w:pPr>
            <w:r w:rsidRPr="00C92189">
              <w:rPr>
                <w:rFonts w:ascii="Arial" w:eastAsia="Calibri" w:hAnsi="Arial" w:cs="Arial"/>
                <w:sz w:val="18"/>
                <w:szCs w:val="18"/>
              </w:rPr>
              <w:t>Ciljana vrijednost 202</w:t>
            </w:r>
            <w:r w:rsidR="00462D0B">
              <w:rPr>
                <w:rFonts w:ascii="Arial" w:eastAsia="Calibri" w:hAnsi="Arial" w:cs="Arial"/>
                <w:sz w:val="18"/>
                <w:szCs w:val="18"/>
              </w:rPr>
              <w:t>6</w:t>
            </w:r>
            <w:r w:rsidRPr="00C92189">
              <w:rPr>
                <w:rFonts w:ascii="Arial" w:eastAsia="Calibri" w:hAnsi="Arial" w:cs="Arial"/>
                <w:sz w:val="18"/>
                <w:szCs w:val="18"/>
              </w:rPr>
              <w:t>.</w:t>
            </w:r>
          </w:p>
        </w:tc>
        <w:tc>
          <w:tcPr>
            <w:tcW w:w="1134" w:type="dxa"/>
            <w:shd w:val="clear" w:color="auto" w:fill="BFBFBF" w:themeFill="background1" w:themeFillShade="BF"/>
          </w:tcPr>
          <w:p w14:paraId="6CE06C28" w14:textId="36F62A43" w:rsidR="00C92189" w:rsidRPr="00C92189" w:rsidRDefault="00C92189" w:rsidP="00C83EE8">
            <w:pPr>
              <w:jc w:val="center"/>
              <w:rPr>
                <w:rFonts w:ascii="Arial" w:eastAsia="Calibri" w:hAnsi="Arial" w:cs="Arial"/>
                <w:sz w:val="18"/>
                <w:szCs w:val="18"/>
              </w:rPr>
            </w:pPr>
            <w:r w:rsidRPr="00C92189">
              <w:rPr>
                <w:rFonts w:ascii="Arial" w:eastAsia="Calibri" w:hAnsi="Arial" w:cs="Arial"/>
                <w:sz w:val="18"/>
                <w:szCs w:val="18"/>
              </w:rPr>
              <w:t>Ciljana vrijednost 202</w:t>
            </w:r>
            <w:r w:rsidR="00462D0B">
              <w:rPr>
                <w:rFonts w:ascii="Arial" w:eastAsia="Calibri" w:hAnsi="Arial" w:cs="Arial"/>
                <w:sz w:val="18"/>
                <w:szCs w:val="18"/>
              </w:rPr>
              <w:t>7</w:t>
            </w:r>
            <w:r w:rsidRPr="00C92189">
              <w:rPr>
                <w:rFonts w:ascii="Arial" w:eastAsia="Calibri" w:hAnsi="Arial" w:cs="Arial"/>
                <w:sz w:val="18"/>
                <w:szCs w:val="18"/>
              </w:rPr>
              <w:t>.</w:t>
            </w:r>
          </w:p>
        </w:tc>
      </w:tr>
      <w:tr w:rsidR="00C92189" w:rsidRPr="00C92189" w14:paraId="1B667C6C" w14:textId="77777777" w:rsidTr="00EA587B">
        <w:trPr>
          <w:trHeight w:val="509"/>
          <w:jc w:val="center"/>
        </w:trPr>
        <w:tc>
          <w:tcPr>
            <w:tcW w:w="2972" w:type="dxa"/>
            <w:vAlign w:val="center"/>
          </w:tcPr>
          <w:p w14:paraId="7EF3FB3C" w14:textId="77777777" w:rsidR="00C92189" w:rsidRPr="00C92189" w:rsidRDefault="00C92189" w:rsidP="00C83EE8">
            <w:pPr>
              <w:rPr>
                <w:rFonts w:ascii="Arial" w:hAnsi="Arial" w:cs="Arial"/>
                <w:sz w:val="18"/>
                <w:szCs w:val="18"/>
                <w:lang w:eastAsia="en-US"/>
              </w:rPr>
            </w:pPr>
            <w:r w:rsidRPr="00C92189">
              <w:rPr>
                <w:rFonts w:ascii="Arial" w:hAnsi="Arial" w:cs="Arial"/>
                <w:sz w:val="18"/>
                <w:szCs w:val="18"/>
                <w:lang w:eastAsia="en-US"/>
              </w:rPr>
              <w:t>Održavanje arheološke zbirke u Pridvorju</w:t>
            </w:r>
          </w:p>
        </w:tc>
        <w:tc>
          <w:tcPr>
            <w:tcW w:w="2997" w:type="dxa"/>
            <w:tcBorders>
              <w:top w:val="single" w:sz="4" w:space="0" w:color="auto"/>
              <w:left w:val="single" w:sz="4" w:space="0" w:color="auto"/>
              <w:bottom w:val="single" w:sz="4" w:space="0" w:color="auto"/>
              <w:right w:val="single" w:sz="4" w:space="0" w:color="auto"/>
            </w:tcBorders>
            <w:vAlign w:val="center"/>
          </w:tcPr>
          <w:p w14:paraId="70FA2EF2" w14:textId="77777777" w:rsidR="00C92189" w:rsidRPr="00C92189" w:rsidRDefault="00C92189" w:rsidP="00C83EE8">
            <w:pPr>
              <w:rPr>
                <w:rFonts w:ascii="Arial" w:hAnsi="Arial" w:cs="Arial"/>
                <w:sz w:val="18"/>
                <w:szCs w:val="18"/>
                <w:lang w:eastAsia="en-US"/>
              </w:rPr>
            </w:pPr>
            <w:r w:rsidRPr="00C92189">
              <w:rPr>
                <w:rFonts w:ascii="Arial" w:hAnsi="Arial" w:cs="Arial"/>
                <w:sz w:val="18"/>
                <w:szCs w:val="18"/>
              </w:rPr>
              <w:t>Postotak izvršenih rashoda planiranih za održavanje prostora</w:t>
            </w:r>
          </w:p>
        </w:tc>
        <w:tc>
          <w:tcPr>
            <w:tcW w:w="992" w:type="dxa"/>
            <w:vAlign w:val="center"/>
          </w:tcPr>
          <w:p w14:paraId="48E7E762" w14:textId="77777777" w:rsidR="00C92189" w:rsidRPr="00C92189" w:rsidRDefault="00C92189" w:rsidP="00C83EE8">
            <w:pPr>
              <w:jc w:val="center"/>
              <w:rPr>
                <w:rFonts w:ascii="Arial" w:hAnsi="Arial" w:cs="Arial"/>
                <w:sz w:val="18"/>
                <w:szCs w:val="18"/>
                <w:lang w:eastAsia="en-US"/>
              </w:rPr>
            </w:pPr>
            <w:r w:rsidRPr="00C92189">
              <w:rPr>
                <w:rFonts w:ascii="Arial" w:hAnsi="Arial" w:cs="Arial"/>
                <w:sz w:val="18"/>
                <w:szCs w:val="18"/>
                <w:lang w:eastAsia="en-US"/>
              </w:rPr>
              <w:t>%</w:t>
            </w:r>
          </w:p>
        </w:tc>
        <w:tc>
          <w:tcPr>
            <w:tcW w:w="993" w:type="dxa"/>
            <w:vAlign w:val="center"/>
          </w:tcPr>
          <w:p w14:paraId="03A482FB" w14:textId="77777777" w:rsidR="00C92189" w:rsidRPr="00C92189" w:rsidRDefault="00C92189" w:rsidP="00C83EE8">
            <w:pPr>
              <w:jc w:val="center"/>
              <w:rPr>
                <w:rFonts w:ascii="Arial" w:hAnsi="Arial" w:cs="Arial"/>
                <w:sz w:val="18"/>
                <w:szCs w:val="18"/>
              </w:rPr>
            </w:pPr>
            <w:r w:rsidRPr="00C92189">
              <w:rPr>
                <w:rFonts w:ascii="Arial" w:hAnsi="Arial" w:cs="Arial"/>
                <w:sz w:val="18"/>
                <w:szCs w:val="18"/>
                <w:lang w:eastAsia="en-US"/>
              </w:rPr>
              <w:t>58,2%</w:t>
            </w:r>
          </w:p>
        </w:tc>
        <w:tc>
          <w:tcPr>
            <w:tcW w:w="993" w:type="dxa"/>
            <w:vAlign w:val="center"/>
          </w:tcPr>
          <w:p w14:paraId="59418BA2" w14:textId="77777777" w:rsidR="00C92189" w:rsidRPr="00C92189" w:rsidRDefault="00C92189" w:rsidP="00C83EE8">
            <w:pPr>
              <w:jc w:val="center"/>
              <w:rPr>
                <w:rFonts w:ascii="Arial" w:hAnsi="Arial" w:cs="Arial"/>
                <w:sz w:val="18"/>
                <w:szCs w:val="18"/>
                <w:lang w:eastAsia="en-US"/>
              </w:rPr>
            </w:pPr>
            <w:r w:rsidRPr="00C92189">
              <w:rPr>
                <w:rFonts w:ascii="Arial" w:hAnsi="Arial" w:cs="Arial"/>
                <w:sz w:val="18"/>
                <w:szCs w:val="18"/>
                <w:lang w:eastAsia="en-US"/>
              </w:rPr>
              <w:t>Muzeji</w:t>
            </w:r>
          </w:p>
        </w:tc>
        <w:tc>
          <w:tcPr>
            <w:tcW w:w="1016" w:type="dxa"/>
            <w:vAlign w:val="center"/>
          </w:tcPr>
          <w:p w14:paraId="4296A563" w14:textId="77777777" w:rsidR="00C92189" w:rsidRPr="00C92189" w:rsidRDefault="00C92189" w:rsidP="00C83EE8">
            <w:pPr>
              <w:jc w:val="center"/>
              <w:rPr>
                <w:rFonts w:ascii="Arial" w:hAnsi="Arial" w:cs="Arial"/>
                <w:sz w:val="18"/>
                <w:szCs w:val="18"/>
                <w:lang w:eastAsia="en-US"/>
              </w:rPr>
            </w:pPr>
            <w:r w:rsidRPr="00C92189">
              <w:rPr>
                <w:rFonts w:ascii="Arial" w:hAnsi="Arial" w:cs="Arial"/>
                <w:sz w:val="18"/>
                <w:szCs w:val="18"/>
                <w:lang w:eastAsia="en-US"/>
              </w:rPr>
              <w:t>100%</w:t>
            </w:r>
          </w:p>
        </w:tc>
        <w:tc>
          <w:tcPr>
            <w:tcW w:w="1134" w:type="dxa"/>
            <w:vAlign w:val="center"/>
          </w:tcPr>
          <w:p w14:paraId="28539125" w14:textId="77777777" w:rsidR="00C92189" w:rsidRPr="00C92189" w:rsidRDefault="00C92189" w:rsidP="00C83EE8">
            <w:pPr>
              <w:jc w:val="center"/>
              <w:rPr>
                <w:rFonts w:ascii="Arial" w:hAnsi="Arial" w:cs="Arial"/>
                <w:sz w:val="18"/>
                <w:szCs w:val="18"/>
                <w:lang w:eastAsia="en-US"/>
              </w:rPr>
            </w:pPr>
            <w:r w:rsidRPr="00C92189">
              <w:rPr>
                <w:rFonts w:ascii="Arial" w:hAnsi="Arial" w:cs="Arial"/>
                <w:sz w:val="18"/>
                <w:szCs w:val="18"/>
                <w:lang w:eastAsia="en-US"/>
              </w:rPr>
              <w:t>0%</w:t>
            </w:r>
          </w:p>
        </w:tc>
        <w:tc>
          <w:tcPr>
            <w:tcW w:w="1134" w:type="dxa"/>
            <w:vAlign w:val="center"/>
          </w:tcPr>
          <w:p w14:paraId="28F40B8A" w14:textId="77777777" w:rsidR="00C92189" w:rsidRPr="00C92189" w:rsidRDefault="00C92189" w:rsidP="00C83EE8">
            <w:pPr>
              <w:rPr>
                <w:rFonts w:ascii="Arial" w:hAnsi="Arial" w:cs="Arial"/>
                <w:sz w:val="18"/>
                <w:szCs w:val="18"/>
                <w:lang w:eastAsia="en-US"/>
              </w:rPr>
            </w:pPr>
            <w:r w:rsidRPr="00C92189">
              <w:rPr>
                <w:rFonts w:ascii="Arial" w:hAnsi="Arial" w:cs="Arial"/>
                <w:sz w:val="18"/>
                <w:szCs w:val="18"/>
                <w:lang w:eastAsia="en-US"/>
              </w:rPr>
              <w:t xml:space="preserve">    100%</w:t>
            </w:r>
          </w:p>
        </w:tc>
        <w:tc>
          <w:tcPr>
            <w:tcW w:w="1134" w:type="dxa"/>
          </w:tcPr>
          <w:p w14:paraId="356B7178" w14:textId="77777777" w:rsidR="00C92189" w:rsidRPr="00C92189" w:rsidRDefault="00C92189" w:rsidP="00C83EE8">
            <w:pPr>
              <w:rPr>
                <w:rFonts w:ascii="Arial" w:hAnsi="Arial" w:cs="Arial"/>
                <w:sz w:val="18"/>
                <w:szCs w:val="18"/>
              </w:rPr>
            </w:pPr>
          </w:p>
          <w:p w14:paraId="19BDA4C3" w14:textId="77777777" w:rsidR="00C92189" w:rsidRPr="00C92189" w:rsidRDefault="00C92189" w:rsidP="00C83EE8">
            <w:pPr>
              <w:rPr>
                <w:rFonts w:ascii="Arial" w:hAnsi="Arial" w:cs="Arial"/>
                <w:sz w:val="18"/>
                <w:szCs w:val="18"/>
              </w:rPr>
            </w:pPr>
            <w:r w:rsidRPr="00C92189">
              <w:rPr>
                <w:rFonts w:ascii="Arial" w:hAnsi="Arial" w:cs="Arial"/>
                <w:sz w:val="18"/>
                <w:szCs w:val="18"/>
              </w:rPr>
              <w:t xml:space="preserve">      100%</w:t>
            </w:r>
          </w:p>
        </w:tc>
      </w:tr>
    </w:tbl>
    <w:p w14:paraId="4935A0C4" w14:textId="77777777" w:rsidR="00C92189" w:rsidRPr="00C92189" w:rsidRDefault="00C92189" w:rsidP="00001DF5">
      <w:pPr>
        <w:autoSpaceDE w:val="0"/>
        <w:autoSpaceDN w:val="0"/>
        <w:adjustRightInd w:val="0"/>
        <w:spacing w:after="0" w:line="240" w:lineRule="auto"/>
        <w:jc w:val="both"/>
        <w:rPr>
          <w:rFonts w:ascii="Arial" w:eastAsia="Calibri" w:hAnsi="Arial" w:cs="Arial"/>
          <w:b/>
          <w:sz w:val="20"/>
          <w:szCs w:val="20"/>
        </w:rPr>
      </w:pPr>
    </w:p>
    <w:p w14:paraId="3ABDBB3A" w14:textId="055FD9DD" w:rsidR="00001DF5" w:rsidRPr="00C92189" w:rsidRDefault="00001DF5" w:rsidP="00001DF5">
      <w:pPr>
        <w:autoSpaceDE w:val="0"/>
        <w:autoSpaceDN w:val="0"/>
        <w:adjustRightInd w:val="0"/>
        <w:spacing w:after="0" w:line="240" w:lineRule="auto"/>
        <w:jc w:val="both"/>
        <w:rPr>
          <w:rFonts w:ascii="Arial" w:eastAsia="Calibri" w:hAnsi="Arial" w:cs="Arial"/>
          <w:sz w:val="20"/>
          <w:szCs w:val="20"/>
        </w:rPr>
      </w:pPr>
      <w:r w:rsidRPr="00C92189">
        <w:rPr>
          <w:rFonts w:ascii="Arial" w:eastAsia="Calibri" w:hAnsi="Arial" w:cs="Arial"/>
          <w:b/>
          <w:sz w:val="20"/>
          <w:szCs w:val="20"/>
        </w:rPr>
        <w:t>1</w:t>
      </w:r>
      <w:r w:rsidR="0040020F" w:rsidRPr="00C92189">
        <w:rPr>
          <w:rFonts w:ascii="Arial" w:eastAsia="Calibri" w:hAnsi="Arial" w:cs="Arial"/>
          <w:b/>
          <w:sz w:val="20"/>
          <w:szCs w:val="20"/>
        </w:rPr>
        <w:t>9</w:t>
      </w:r>
      <w:r w:rsidRPr="00C92189">
        <w:rPr>
          <w:rFonts w:ascii="Arial" w:eastAsia="Calibri" w:hAnsi="Arial" w:cs="Arial"/>
          <w:b/>
          <w:sz w:val="20"/>
          <w:szCs w:val="20"/>
        </w:rPr>
        <w:t>. T203120: Zaštita i očuvanje nepokretnih kulturnih dobara, zidni oslici Kuća Bukovac</w:t>
      </w:r>
      <w:r w:rsidRPr="00C92189">
        <w:rPr>
          <w:rFonts w:ascii="Arial" w:eastAsia="Calibri" w:hAnsi="Arial" w:cs="Arial"/>
          <w:sz w:val="20"/>
          <w:szCs w:val="20"/>
        </w:rPr>
        <w:t xml:space="preserve"> - u sklopu navedene aktivnosti nisu planirana sredstava. </w:t>
      </w:r>
    </w:p>
    <w:p w14:paraId="1BC48154" w14:textId="77777777" w:rsidR="00001DF5" w:rsidRPr="00C92189" w:rsidRDefault="00001DF5" w:rsidP="00001DF5">
      <w:pPr>
        <w:autoSpaceDE w:val="0"/>
        <w:autoSpaceDN w:val="0"/>
        <w:adjustRightInd w:val="0"/>
        <w:spacing w:after="0" w:line="240" w:lineRule="auto"/>
        <w:jc w:val="both"/>
        <w:rPr>
          <w:rFonts w:ascii="Arial" w:eastAsia="Calibri" w:hAnsi="Arial" w:cs="Arial"/>
          <w:sz w:val="20"/>
          <w:szCs w:val="20"/>
        </w:rPr>
      </w:pPr>
    </w:p>
    <w:p w14:paraId="5CA24483" w14:textId="722A8F1D" w:rsidR="00001DF5" w:rsidRPr="00C92189" w:rsidRDefault="0040020F" w:rsidP="00001DF5">
      <w:pPr>
        <w:autoSpaceDE w:val="0"/>
        <w:autoSpaceDN w:val="0"/>
        <w:adjustRightInd w:val="0"/>
        <w:spacing w:after="0" w:line="240" w:lineRule="auto"/>
        <w:jc w:val="both"/>
        <w:rPr>
          <w:rFonts w:ascii="Arial" w:eastAsia="Calibri" w:hAnsi="Arial" w:cs="Arial"/>
          <w:sz w:val="20"/>
          <w:szCs w:val="20"/>
        </w:rPr>
      </w:pPr>
      <w:r w:rsidRPr="00C92189">
        <w:rPr>
          <w:rFonts w:ascii="Arial" w:eastAsia="Calibri" w:hAnsi="Arial" w:cs="Arial"/>
          <w:b/>
          <w:bCs/>
          <w:sz w:val="20"/>
          <w:szCs w:val="20"/>
        </w:rPr>
        <w:t>20</w:t>
      </w:r>
      <w:r w:rsidR="00001DF5" w:rsidRPr="00C92189">
        <w:rPr>
          <w:rFonts w:ascii="Arial" w:eastAsia="Calibri" w:hAnsi="Arial" w:cs="Arial"/>
          <w:b/>
          <w:bCs/>
          <w:sz w:val="20"/>
          <w:szCs w:val="20"/>
        </w:rPr>
        <w:t>.</w:t>
      </w:r>
      <w:r w:rsidR="00001DF5" w:rsidRPr="00C92189">
        <w:rPr>
          <w:rFonts w:ascii="Arial" w:eastAsia="Calibri" w:hAnsi="Arial" w:cs="Arial"/>
          <w:sz w:val="20"/>
          <w:szCs w:val="20"/>
        </w:rPr>
        <w:t xml:space="preserve"> </w:t>
      </w:r>
      <w:r w:rsidR="00001DF5" w:rsidRPr="00C92189">
        <w:rPr>
          <w:rFonts w:ascii="Arial" w:eastAsia="Calibri" w:hAnsi="Arial" w:cs="Arial"/>
          <w:b/>
          <w:bCs/>
          <w:sz w:val="20"/>
          <w:szCs w:val="20"/>
        </w:rPr>
        <w:t>T203121: Zaštita i očuvanje arheološke baštine – sv.Petar, Karasovići</w:t>
      </w:r>
      <w:r w:rsidR="00001DF5" w:rsidRPr="00C92189">
        <w:rPr>
          <w:rFonts w:ascii="Arial" w:eastAsia="Calibri" w:hAnsi="Arial" w:cs="Arial"/>
          <w:sz w:val="20"/>
          <w:szCs w:val="20"/>
        </w:rPr>
        <w:t xml:space="preserve"> – u sklopu navedene aktivnosti nisu planirana sredstva.</w:t>
      </w:r>
    </w:p>
    <w:p w14:paraId="582B3CFD" w14:textId="77777777" w:rsidR="00001DF5" w:rsidRPr="00C92189" w:rsidRDefault="00001DF5" w:rsidP="00001DF5">
      <w:pPr>
        <w:spacing w:after="0" w:line="240" w:lineRule="auto"/>
        <w:jc w:val="both"/>
        <w:rPr>
          <w:rFonts w:ascii="Arial" w:eastAsia="Calibri" w:hAnsi="Arial" w:cs="Arial"/>
          <w:b/>
          <w:sz w:val="20"/>
          <w:szCs w:val="20"/>
        </w:rPr>
      </w:pPr>
    </w:p>
    <w:p w14:paraId="5077F688" w14:textId="77777777" w:rsidR="00E61250" w:rsidRPr="00C92189" w:rsidRDefault="00001DF5" w:rsidP="00001DF5">
      <w:pPr>
        <w:spacing w:after="0" w:line="240" w:lineRule="auto"/>
        <w:jc w:val="both"/>
        <w:rPr>
          <w:rFonts w:ascii="Arial" w:eastAsia="Calibri" w:hAnsi="Arial" w:cs="Arial"/>
          <w:bCs/>
          <w:sz w:val="20"/>
          <w:szCs w:val="20"/>
        </w:rPr>
      </w:pPr>
      <w:r w:rsidRPr="00C92189">
        <w:rPr>
          <w:rFonts w:ascii="Arial" w:eastAsia="Calibri" w:hAnsi="Arial" w:cs="Arial"/>
          <w:b/>
          <w:sz w:val="20"/>
          <w:szCs w:val="20"/>
        </w:rPr>
        <w:t>2</w:t>
      </w:r>
      <w:r w:rsidR="0040020F" w:rsidRPr="00C92189">
        <w:rPr>
          <w:rFonts w:ascii="Arial" w:eastAsia="Calibri" w:hAnsi="Arial" w:cs="Arial"/>
          <w:b/>
          <w:sz w:val="20"/>
          <w:szCs w:val="20"/>
        </w:rPr>
        <w:t>1</w:t>
      </w:r>
      <w:r w:rsidRPr="00C92189">
        <w:rPr>
          <w:rFonts w:ascii="Arial" w:eastAsia="Calibri" w:hAnsi="Arial" w:cs="Arial"/>
          <w:b/>
          <w:sz w:val="20"/>
          <w:szCs w:val="20"/>
        </w:rPr>
        <w:t xml:space="preserve">. A203122 – Izložbeni program i programi očuvanja baštine Zavičajni muzej Konavala - </w:t>
      </w:r>
      <w:r w:rsidRPr="00C92189">
        <w:rPr>
          <w:rFonts w:ascii="Arial" w:eastAsia="Calibri" w:hAnsi="Arial" w:cs="Arial"/>
          <w:sz w:val="20"/>
          <w:szCs w:val="20"/>
        </w:rPr>
        <w:t>u sklopu navedene aktivnosti nisu planirana sredstva</w:t>
      </w:r>
      <w:r w:rsidRPr="00C92189">
        <w:rPr>
          <w:rFonts w:ascii="Arial" w:eastAsia="Calibri" w:hAnsi="Arial" w:cs="Arial"/>
          <w:bCs/>
          <w:sz w:val="20"/>
          <w:szCs w:val="20"/>
        </w:rPr>
        <w:t xml:space="preserve">. </w:t>
      </w:r>
    </w:p>
    <w:p w14:paraId="63B4AFF9" w14:textId="77777777" w:rsidR="00EA587B" w:rsidRDefault="00EA587B" w:rsidP="00001DF5">
      <w:pPr>
        <w:spacing w:after="0" w:line="240" w:lineRule="auto"/>
        <w:jc w:val="both"/>
        <w:rPr>
          <w:rFonts w:ascii="Arial" w:eastAsia="Calibri" w:hAnsi="Arial" w:cs="Arial"/>
          <w:bCs/>
          <w:sz w:val="20"/>
          <w:szCs w:val="20"/>
        </w:rPr>
      </w:pPr>
    </w:p>
    <w:p w14:paraId="0DCFA93A" w14:textId="0887FAFF" w:rsidR="00001DF5" w:rsidRPr="00EA587B" w:rsidRDefault="00001DF5" w:rsidP="00EA587B">
      <w:pPr>
        <w:spacing w:after="0" w:line="240" w:lineRule="auto"/>
        <w:ind w:left="567"/>
        <w:jc w:val="both"/>
        <w:rPr>
          <w:rFonts w:ascii="Arial" w:eastAsia="Calibri" w:hAnsi="Arial" w:cs="Arial"/>
          <w:bCs/>
          <w:sz w:val="18"/>
          <w:szCs w:val="18"/>
        </w:rPr>
      </w:pPr>
      <w:r w:rsidRPr="00EA587B">
        <w:rPr>
          <w:rFonts w:ascii="Arial" w:eastAsia="Calibri" w:hAnsi="Arial" w:cs="Arial"/>
          <w:bCs/>
          <w:sz w:val="18"/>
          <w:szCs w:val="18"/>
        </w:rPr>
        <w:t xml:space="preserve">U 2021. godini je </w:t>
      </w:r>
      <w:r w:rsidR="00E61250" w:rsidRPr="00EA587B">
        <w:rPr>
          <w:rFonts w:ascii="Arial" w:eastAsia="Calibri" w:hAnsi="Arial" w:cs="Arial"/>
          <w:bCs/>
          <w:sz w:val="18"/>
          <w:szCs w:val="18"/>
        </w:rPr>
        <w:t xml:space="preserve">bila </w:t>
      </w:r>
      <w:r w:rsidRPr="00EA587B">
        <w:rPr>
          <w:rFonts w:ascii="Arial" w:eastAsia="Calibri" w:hAnsi="Arial" w:cs="Arial"/>
          <w:bCs/>
          <w:sz w:val="18"/>
          <w:szCs w:val="18"/>
        </w:rPr>
        <w:t xml:space="preserve">izrađena </w:t>
      </w:r>
      <w:r w:rsidRPr="00EA587B">
        <w:rPr>
          <w:rFonts w:ascii="Arial" w:eastAsia="Calibri" w:hAnsi="Arial" w:cs="Arial"/>
          <w:sz w:val="18"/>
          <w:szCs w:val="18"/>
        </w:rPr>
        <w:t xml:space="preserve">animacija za program </w:t>
      </w:r>
      <w:r w:rsidRPr="00EA587B">
        <w:rPr>
          <w:rFonts w:ascii="Arial" w:eastAsia="Calibri" w:hAnsi="Arial" w:cs="Arial"/>
          <w:i/>
          <w:iCs/>
          <w:sz w:val="18"/>
          <w:szCs w:val="18"/>
        </w:rPr>
        <w:t>Konavoski vez-on line.</w:t>
      </w:r>
    </w:p>
    <w:p w14:paraId="725B3127" w14:textId="77777777" w:rsidR="00572173" w:rsidRPr="00C92189" w:rsidRDefault="00572173" w:rsidP="00572173">
      <w:pPr>
        <w:spacing w:after="0" w:line="240" w:lineRule="auto"/>
        <w:jc w:val="both"/>
        <w:rPr>
          <w:rFonts w:ascii="Arial" w:eastAsia="Calibri" w:hAnsi="Arial" w:cs="Arial"/>
          <w:b/>
          <w:bCs/>
          <w:sz w:val="20"/>
          <w:szCs w:val="20"/>
        </w:rPr>
      </w:pPr>
    </w:p>
    <w:p w14:paraId="2E01C1F2" w14:textId="7B2C8C6D" w:rsidR="00572173" w:rsidRPr="00C92189" w:rsidRDefault="00572173" w:rsidP="00572173">
      <w:pPr>
        <w:spacing w:after="0" w:line="240" w:lineRule="auto"/>
        <w:jc w:val="both"/>
        <w:rPr>
          <w:rFonts w:ascii="Arial" w:eastAsia="Calibri" w:hAnsi="Arial" w:cs="Arial"/>
          <w:sz w:val="20"/>
          <w:szCs w:val="20"/>
        </w:rPr>
      </w:pPr>
      <w:r w:rsidRPr="00C92189">
        <w:rPr>
          <w:rFonts w:ascii="Arial" w:eastAsia="Calibri" w:hAnsi="Arial" w:cs="Arial"/>
          <w:b/>
          <w:bCs/>
          <w:sz w:val="20"/>
          <w:szCs w:val="20"/>
        </w:rPr>
        <w:t>2</w:t>
      </w:r>
      <w:r w:rsidR="0040020F" w:rsidRPr="00C92189">
        <w:rPr>
          <w:rFonts w:ascii="Arial" w:eastAsia="Calibri" w:hAnsi="Arial" w:cs="Arial"/>
          <w:b/>
          <w:bCs/>
          <w:sz w:val="20"/>
          <w:szCs w:val="20"/>
        </w:rPr>
        <w:t>2</w:t>
      </w:r>
      <w:r w:rsidRPr="00C92189">
        <w:rPr>
          <w:rFonts w:ascii="Arial" w:eastAsia="Calibri" w:hAnsi="Arial" w:cs="Arial"/>
          <w:b/>
          <w:bCs/>
          <w:sz w:val="20"/>
          <w:szCs w:val="20"/>
        </w:rPr>
        <w:t>. A203123: Izložbeni program i programi očuvanja baštine Kuća Bukovac</w:t>
      </w:r>
      <w:r w:rsidRPr="00C92189">
        <w:rPr>
          <w:rFonts w:ascii="Arial" w:eastAsia="Calibri" w:hAnsi="Arial" w:cs="Arial"/>
          <w:sz w:val="20"/>
          <w:szCs w:val="20"/>
        </w:rPr>
        <w:t xml:space="preserve"> - U sklopu navedene aktivnosti nisu planirana proračunska sredstva.</w:t>
      </w:r>
    </w:p>
    <w:p w14:paraId="729BDE73" w14:textId="3D692403" w:rsidR="00001DF5" w:rsidRPr="00C92189" w:rsidRDefault="00001DF5" w:rsidP="00572173">
      <w:pPr>
        <w:spacing w:after="0" w:line="240" w:lineRule="auto"/>
        <w:jc w:val="both"/>
        <w:rPr>
          <w:rFonts w:ascii="Arial" w:eastAsia="Calibri" w:hAnsi="Arial" w:cs="Arial"/>
          <w:b/>
          <w:sz w:val="20"/>
          <w:szCs w:val="20"/>
        </w:rPr>
      </w:pPr>
    </w:p>
    <w:p w14:paraId="388F35DE" w14:textId="77777777" w:rsidR="00DE6A04" w:rsidRPr="00DE6A04" w:rsidRDefault="00001DF5" w:rsidP="00DE6A04">
      <w:pPr>
        <w:spacing w:after="0" w:line="240" w:lineRule="auto"/>
        <w:jc w:val="both"/>
        <w:rPr>
          <w:rFonts w:ascii="Arial" w:eastAsia="Calibri" w:hAnsi="Arial" w:cs="Arial"/>
          <w:sz w:val="20"/>
          <w:szCs w:val="20"/>
        </w:rPr>
      </w:pPr>
      <w:r w:rsidRPr="00C92189">
        <w:rPr>
          <w:rFonts w:ascii="Arial" w:eastAsia="Calibri" w:hAnsi="Arial" w:cs="Arial"/>
          <w:b/>
          <w:sz w:val="20"/>
          <w:szCs w:val="20"/>
        </w:rPr>
        <w:t>2</w:t>
      </w:r>
      <w:r w:rsidR="0040020F" w:rsidRPr="00C92189">
        <w:rPr>
          <w:rFonts w:ascii="Arial" w:eastAsia="Calibri" w:hAnsi="Arial" w:cs="Arial"/>
          <w:b/>
          <w:sz w:val="20"/>
          <w:szCs w:val="20"/>
        </w:rPr>
        <w:t>3</w:t>
      </w:r>
      <w:r w:rsidRPr="00C92189">
        <w:rPr>
          <w:rFonts w:ascii="Arial" w:eastAsia="Calibri" w:hAnsi="Arial" w:cs="Arial"/>
          <w:b/>
          <w:sz w:val="20"/>
          <w:szCs w:val="20"/>
        </w:rPr>
        <w:t xml:space="preserve">. T203124: </w:t>
      </w:r>
      <w:r w:rsidR="00572173" w:rsidRPr="00C92189">
        <w:rPr>
          <w:rFonts w:ascii="Arial" w:eastAsia="Calibri" w:hAnsi="Arial" w:cs="Arial"/>
          <w:b/>
          <w:sz w:val="20"/>
          <w:szCs w:val="20"/>
        </w:rPr>
        <w:t>Adaptacija Zavičajnog muzeja Konavala</w:t>
      </w:r>
      <w:r w:rsidR="00572173" w:rsidRPr="00C92189">
        <w:rPr>
          <w:rFonts w:ascii="Arial" w:eastAsia="Calibri" w:hAnsi="Arial" w:cs="Arial"/>
          <w:sz w:val="20"/>
          <w:szCs w:val="20"/>
        </w:rPr>
        <w:t xml:space="preserve"> – U sklopu navedene aktivnosti planirana su proračunska sredstva u iznosu </w:t>
      </w:r>
      <w:r w:rsidR="00E61250" w:rsidRPr="00C92189">
        <w:rPr>
          <w:rFonts w:ascii="Arial" w:eastAsia="Calibri" w:hAnsi="Arial" w:cs="Arial"/>
          <w:sz w:val="20"/>
          <w:szCs w:val="20"/>
        </w:rPr>
        <w:t>8.300, a rashodi nisu izvršeni</w:t>
      </w:r>
      <w:r w:rsidR="00DE6A04">
        <w:rPr>
          <w:rFonts w:ascii="Arial" w:eastAsia="Calibri" w:hAnsi="Arial" w:cs="Arial"/>
          <w:sz w:val="20"/>
          <w:szCs w:val="20"/>
        </w:rPr>
        <w:t xml:space="preserve"> </w:t>
      </w:r>
      <w:r w:rsidR="00DE6A04" w:rsidRPr="00DE6A04">
        <w:rPr>
          <w:rFonts w:ascii="Arial" w:eastAsia="Calibri" w:hAnsi="Arial" w:cs="Arial"/>
          <w:sz w:val="20"/>
          <w:szCs w:val="20"/>
        </w:rPr>
        <w:t>budući se radovi na saniranju vlage i popravcima stolarije planiraju izvesti u drugom polugodištu 2025. godine.</w:t>
      </w:r>
    </w:p>
    <w:p w14:paraId="7715EA07" w14:textId="77777777" w:rsidR="00EA587B" w:rsidRDefault="00EA587B" w:rsidP="00A44AEB">
      <w:pPr>
        <w:spacing w:after="0" w:line="240" w:lineRule="auto"/>
        <w:jc w:val="both"/>
        <w:rPr>
          <w:rFonts w:ascii="Arial" w:eastAsia="Calibri" w:hAnsi="Arial" w:cs="Arial"/>
          <w:sz w:val="18"/>
          <w:szCs w:val="18"/>
        </w:rPr>
      </w:pPr>
    </w:p>
    <w:p w14:paraId="4A78ABCB" w14:textId="77777777" w:rsidR="00EA587B" w:rsidRPr="00EA587B" w:rsidRDefault="00EA587B" w:rsidP="00EA587B">
      <w:pPr>
        <w:spacing w:after="0" w:line="240" w:lineRule="auto"/>
        <w:ind w:left="567"/>
        <w:jc w:val="both"/>
        <w:rPr>
          <w:rFonts w:ascii="Arial" w:eastAsia="Calibri" w:hAnsi="Arial" w:cs="Arial"/>
          <w:sz w:val="18"/>
          <w:szCs w:val="18"/>
        </w:rPr>
      </w:pPr>
      <w:r w:rsidRPr="00EA587B">
        <w:rPr>
          <w:rFonts w:ascii="Arial" w:eastAsia="Calibri" w:hAnsi="Arial" w:cs="Arial"/>
          <w:sz w:val="18"/>
          <w:szCs w:val="18"/>
        </w:rPr>
        <w:t>Zavičajni muzej Konavala u Čilipima se u 2017. godini maksimalno uskladio sa zahtjevima struke koliko je to bilo u skladu s mogućnostima. U 2019. godini su izrađeni idejni projekti za rekonstrukciju dijela prostora u Zavičajnom muzeju Konavala.</w:t>
      </w:r>
    </w:p>
    <w:p w14:paraId="09C623CA" w14:textId="77777777" w:rsidR="00EA587B" w:rsidRDefault="00EA587B" w:rsidP="00EA587B">
      <w:pPr>
        <w:spacing w:after="0" w:line="240" w:lineRule="auto"/>
        <w:ind w:left="567"/>
        <w:jc w:val="both"/>
        <w:rPr>
          <w:rFonts w:ascii="Arial" w:eastAsia="Calibri" w:hAnsi="Arial" w:cs="Arial"/>
          <w:sz w:val="18"/>
          <w:szCs w:val="18"/>
        </w:rPr>
      </w:pPr>
    </w:p>
    <w:p w14:paraId="040AF55C" w14:textId="1263627D" w:rsidR="00A44AEB" w:rsidRPr="00A44AEB" w:rsidRDefault="00EA587B" w:rsidP="00EA587B">
      <w:pPr>
        <w:spacing w:after="0" w:line="240" w:lineRule="auto"/>
        <w:ind w:left="567"/>
        <w:jc w:val="both"/>
        <w:rPr>
          <w:rFonts w:ascii="Arial" w:eastAsia="Calibri" w:hAnsi="Arial" w:cs="Arial"/>
          <w:sz w:val="18"/>
          <w:szCs w:val="18"/>
        </w:rPr>
      </w:pPr>
      <w:r>
        <w:rPr>
          <w:rFonts w:ascii="Arial" w:eastAsia="Calibri" w:hAnsi="Arial" w:cs="Arial"/>
          <w:sz w:val="18"/>
          <w:szCs w:val="18"/>
        </w:rPr>
        <w:t>U</w:t>
      </w:r>
      <w:r w:rsidR="00E61250" w:rsidRPr="00731E7F">
        <w:rPr>
          <w:rFonts w:ascii="Arial" w:eastAsia="Calibri" w:hAnsi="Arial" w:cs="Arial"/>
          <w:sz w:val="18"/>
          <w:szCs w:val="18"/>
        </w:rPr>
        <w:t xml:space="preserve"> 2023. godi</w:t>
      </w:r>
      <w:r w:rsidR="00A44AEB" w:rsidRPr="00731E7F">
        <w:rPr>
          <w:rFonts w:ascii="Arial" w:eastAsia="Calibri" w:hAnsi="Arial" w:cs="Arial"/>
          <w:sz w:val="18"/>
          <w:szCs w:val="18"/>
        </w:rPr>
        <w:t>n</w:t>
      </w:r>
      <w:r>
        <w:rPr>
          <w:rFonts w:ascii="Arial" w:eastAsia="Calibri" w:hAnsi="Arial" w:cs="Arial"/>
          <w:sz w:val="18"/>
          <w:szCs w:val="18"/>
        </w:rPr>
        <w:t>i</w:t>
      </w:r>
      <w:r w:rsidR="00A44AEB" w:rsidRPr="00731E7F">
        <w:rPr>
          <w:rFonts w:ascii="Arial" w:eastAsia="Calibri" w:hAnsi="Arial" w:cs="Arial"/>
          <w:sz w:val="18"/>
          <w:szCs w:val="18"/>
        </w:rPr>
        <w:t xml:space="preserve"> bili su izvršeni rashodi 11.232,50 € koji su se odnosili na izradu audio vodiča za Zavičajni muzej Konavala u iznose 1.793,75 € i nabavu protuprovalno-vatrodojavnog sustava za </w:t>
      </w:r>
      <w:r w:rsidR="00A44AEB" w:rsidRPr="00A44AEB">
        <w:rPr>
          <w:rFonts w:ascii="Arial" w:eastAsia="Calibri" w:hAnsi="Arial" w:cs="Arial"/>
          <w:sz w:val="18"/>
          <w:szCs w:val="18"/>
        </w:rPr>
        <w:t>Zavičajni muzej Konavala u iznosu 9.438,75 €.</w:t>
      </w:r>
    </w:p>
    <w:p w14:paraId="2E6077E0" w14:textId="77777777" w:rsidR="003D0155" w:rsidRDefault="003D0155" w:rsidP="00A44AEB">
      <w:pPr>
        <w:spacing w:after="0" w:line="240" w:lineRule="auto"/>
        <w:jc w:val="both"/>
        <w:rPr>
          <w:rFonts w:ascii="Arial" w:eastAsia="Calibri" w:hAnsi="Arial" w:cs="Arial"/>
          <w:b/>
          <w:sz w:val="20"/>
          <w:szCs w:val="20"/>
        </w:rPr>
      </w:pPr>
    </w:p>
    <w:p w14:paraId="67DC52C1" w14:textId="40739D25" w:rsidR="00A44AEB" w:rsidRPr="00A44AEB" w:rsidRDefault="00A44AEB" w:rsidP="00A44AEB">
      <w:pPr>
        <w:spacing w:after="0" w:line="240" w:lineRule="auto"/>
        <w:jc w:val="both"/>
        <w:rPr>
          <w:rFonts w:ascii="Arial" w:eastAsia="Calibri" w:hAnsi="Arial" w:cs="Arial"/>
          <w:sz w:val="20"/>
          <w:szCs w:val="20"/>
        </w:rPr>
      </w:pPr>
      <w:r w:rsidRPr="00A44AEB">
        <w:rPr>
          <w:rFonts w:ascii="Arial" w:eastAsia="Calibri" w:hAnsi="Arial" w:cs="Arial"/>
          <w:b/>
          <w:sz w:val="20"/>
          <w:szCs w:val="20"/>
        </w:rPr>
        <w:t>24. T203125 Digitalna platforma sustava rijeke Ljuta</w:t>
      </w:r>
      <w:r w:rsidRPr="00A44AEB">
        <w:rPr>
          <w:rFonts w:ascii="Arial" w:eastAsia="Calibri" w:hAnsi="Arial" w:cs="Arial"/>
          <w:sz w:val="20"/>
          <w:szCs w:val="20"/>
        </w:rPr>
        <w:t xml:space="preserve"> –  </w:t>
      </w:r>
      <w:bookmarkStart w:id="350" w:name="_Hlk64624163"/>
      <w:r w:rsidRPr="00A44AEB">
        <w:rPr>
          <w:rFonts w:ascii="Arial" w:eastAsia="Calibri" w:hAnsi="Arial" w:cs="Arial"/>
          <w:sz w:val="20"/>
          <w:szCs w:val="20"/>
        </w:rPr>
        <w:t xml:space="preserve">U sklopu navedene aktivnosti nisu planirana proračunska sredstva. </w:t>
      </w:r>
    </w:p>
    <w:p w14:paraId="0A5FA7B5" w14:textId="77777777" w:rsidR="00A44AEB" w:rsidRPr="00A44AEB" w:rsidRDefault="00A44AEB" w:rsidP="00A44AEB">
      <w:pPr>
        <w:spacing w:after="0" w:line="240" w:lineRule="auto"/>
        <w:jc w:val="both"/>
        <w:rPr>
          <w:rFonts w:ascii="Arial" w:eastAsia="Calibri" w:hAnsi="Arial" w:cs="Arial"/>
          <w:sz w:val="20"/>
          <w:szCs w:val="20"/>
        </w:rPr>
      </w:pPr>
    </w:p>
    <w:bookmarkEnd w:id="350"/>
    <w:p w14:paraId="12B18C52" w14:textId="77777777" w:rsidR="00A44AEB" w:rsidRPr="00EA587B" w:rsidRDefault="00A44AEB" w:rsidP="00EA587B">
      <w:pPr>
        <w:autoSpaceDE w:val="0"/>
        <w:autoSpaceDN w:val="0"/>
        <w:adjustRightInd w:val="0"/>
        <w:spacing w:after="0" w:line="240" w:lineRule="auto"/>
        <w:ind w:left="567"/>
        <w:jc w:val="both"/>
        <w:rPr>
          <w:rFonts w:ascii="Arial" w:eastAsia="Calibri" w:hAnsi="Arial" w:cs="Arial"/>
          <w:sz w:val="18"/>
          <w:szCs w:val="18"/>
          <w:lang w:eastAsia="en-US"/>
        </w:rPr>
      </w:pPr>
      <w:r w:rsidRPr="00EA587B">
        <w:rPr>
          <w:rFonts w:ascii="Arial" w:eastAsia="Calibri" w:hAnsi="Arial" w:cs="Arial"/>
          <w:sz w:val="18"/>
          <w:szCs w:val="18"/>
          <w:lang w:eastAsia="en-US"/>
        </w:rPr>
        <w:t xml:space="preserve">Ministarstvo kulture je za ovu namjenu u 2017. odobrilo 160.000 kn (21.235,65 €) a dobivena sredstva su utrošena za radove košnje i održavanja kompleksa, a paralelno s tim realizirao se i digitalni vodič kroz prostor mlinica i stupa koji je besplatan posjetiteljima rijeke. </w:t>
      </w:r>
    </w:p>
    <w:p w14:paraId="4060D6CB" w14:textId="77777777" w:rsidR="00A44AEB" w:rsidRPr="00EA587B" w:rsidRDefault="00A44AEB" w:rsidP="00EA587B">
      <w:pPr>
        <w:spacing w:after="0" w:line="240" w:lineRule="auto"/>
        <w:ind w:left="567"/>
        <w:jc w:val="both"/>
        <w:rPr>
          <w:rFonts w:ascii="Arial" w:eastAsia="Calibri" w:hAnsi="Arial" w:cs="Arial"/>
          <w:sz w:val="18"/>
          <w:szCs w:val="18"/>
        </w:rPr>
      </w:pPr>
      <w:r w:rsidRPr="00EA587B">
        <w:rPr>
          <w:rFonts w:ascii="Arial" w:eastAsia="Calibri" w:hAnsi="Arial" w:cs="Arial"/>
          <w:sz w:val="18"/>
          <w:szCs w:val="18"/>
        </w:rPr>
        <w:t>Nakon radova održavanja Rijeke Ljute u 2018. godini zatražena su sredstva za saniranje kanala i jaži u donjem dijelu rijeke kako se ne bi razvijala bujna vegetacija koja poništava gospodarski kompleks donjeg dijela rijeke. Ministarstvo je odobrilo sredstva ali ih nikad nije ugovorno dostavilo zbog nedostatka vlasničke dokumentacije na lokalitetu. Kako nisu riješena vlasnička pitanja nije bilo moguće prenijeti sredstva, utoliko je dogovoreno da će Općina Konavle i Ministarstvo kulture imenovati skrbnika Muzeje i galerije Konavala koji će ubuduće skrbiti za lokalitet.</w:t>
      </w:r>
    </w:p>
    <w:p w14:paraId="5E1CFBA4" w14:textId="77777777" w:rsidR="00A44AEB" w:rsidRPr="00A44AEB" w:rsidRDefault="00A44AEB" w:rsidP="00A44AEB">
      <w:pPr>
        <w:spacing w:after="0" w:line="240" w:lineRule="auto"/>
        <w:jc w:val="both"/>
        <w:rPr>
          <w:rFonts w:ascii="Arial" w:eastAsia="Calibri" w:hAnsi="Arial" w:cs="Arial"/>
          <w:b/>
          <w:sz w:val="20"/>
          <w:szCs w:val="20"/>
        </w:rPr>
      </w:pPr>
    </w:p>
    <w:p w14:paraId="18EEB0E0" w14:textId="77777777" w:rsidR="00A44AEB" w:rsidRPr="00A44AEB" w:rsidRDefault="00A44AEB" w:rsidP="00A44AEB">
      <w:pPr>
        <w:autoSpaceDE w:val="0"/>
        <w:autoSpaceDN w:val="0"/>
        <w:adjustRightInd w:val="0"/>
        <w:spacing w:after="0" w:line="240" w:lineRule="auto"/>
        <w:jc w:val="both"/>
        <w:rPr>
          <w:rFonts w:ascii="Arial" w:eastAsia="Calibri" w:hAnsi="Arial" w:cs="Arial"/>
          <w:sz w:val="20"/>
          <w:szCs w:val="20"/>
        </w:rPr>
      </w:pPr>
      <w:r w:rsidRPr="00A44AEB">
        <w:rPr>
          <w:rFonts w:ascii="Arial" w:eastAsia="Calibri" w:hAnsi="Arial" w:cs="Arial"/>
          <w:b/>
          <w:sz w:val="20"/>
          <w:szCs w:val="20"/>
        </w:rPr>
        <w:t xml:space="preserve">25. A203126: Međunarodna suradnja </w:t>
      </w:r>
      <w:r w:rsidRPr="00A44AEB">
        <w:rPr>
          <w:rFonts w:ascii="Arial" w:eastAsia="Calibri" w:hAnsi="Arial" w:cs="Arial"/>
          <w:sz w:val="20"/>
          <w:szCs w:val="20"/>
        </w:rPr>
        <w:t xml:space="preserve">- </w:t>
      </w:r>
      <w:bookmarkStart w:id="351" w:name="_Hlk76711484"/>
      <w:r w:rsidRPr="00A44AEB">
        <w:rPr>
          <w:rFonts w:ascii="Arial" w:eastAsia="Calibri" w:hAnsi="Arial" w:cs="Arial"/>
          <w:sz w:val="20"/>
          <w:szCs w:val="20"/>
        </w:rPr>
        <w:t>u sklopu navedene aktivnosti nisu planirana sredstava</w:t>
      </w:r>
      <w:bookmarkEnd w:id="351"/>
      <w:r w:rsidRPr="00A44AEB">
        <w:rPr>
          <w:rFonts w:ascii="Arial" w:eastAsia="Calibri" w:hAnsi="Arial" w:cs="Arial"/>
          <w:sz w:val="20"/>
          <w:szCs w:val="20"/>
        </w:rPr>
        <w:t xml:space="preserve">. </w:t>
      </w:r>
    </w:p>
    <w:p w14:paraId="1804433D" w14:textId="77777777" w:rsidR="00A44AEB" w:rsidRPr="00A44AEB" w:rsidRDefault="00A44AEB" w:rsidP="00A44AEB">
      <w:pPr>
        <w:spacing w:after="0" w:line="240" w:lineRule="auto"/>
        <w:jc w:val="both"/>
        <w:rPr>
          <w:rFonts w:ascii="Arial" w:eastAsia="Calibri" w:hAnsi="Arial" w:cs="Arial"/>
          <w:sz w:val="20"/>
          <w:szCs w:val="20"/>
        </w:rPr>
      </w:pPr>
      <w:r w:rsidRPr="00A44AEB">
        <w:rPr>
          <w:rFonts w:ascii="Arial" w:eastAsia="Calibri" w:hAnsi="Arial" w:cs="Arial"/>
          <w:sz w:val="20"/>
          <w:szCs w:val="20"/>
        </w:rPr>
        <w:t xml:space="preserve">Radi se o programu Kuće Bukovac gdje se kroz međunarodnu suradnju s britanskim ustanovama omogućuje organiziranje rezidencije britanskih umjetnika u Kući Bukovac čime se otvaraju daljnje mogućnosti suradnje i istraživanja Bukovčeva rada u Engleskoj. </w:t>
      </w:r>
    </w:p>
    <w:p w14:paraId="76944809" w14:textId="77777777" w:rsidR="00A44AEB" w:rsidRPr="00A44AEB" w:rsidRDefault="00A44AEB" w:rsidP="00A44AEB">
      <w:pPr>
        <w:autoSpaceDE w:val="0"/>
        <w:autoSpaceDN w:val="0"/>
        <w:adjustRightInd w:val="0"/>
        <w:spacing w:after="0" w:line="240" w:lineRule="auto"/>
        <w:jc w:val="both"/>
        <w:rPr>
          <w:rFonts w:ascii="Arial" w:eastAsia="Calibri" w:hAnsi="Arial" w:cs="Arial"/>
          <w:sz w:val="20"/>
          <w:szCs w:val="20"/>
          <w:highlight w:val="yellow"/>
        </w:rPr>
      </w:pPr>
    </w:p>
    <w:p w14:paraId="319C690C" w14:textId="77777777" w:rsidR="00A44AEB" w:rsidRPr="00A44AEB" w:rsidRDefault="00A44AEB" w:rsidP="00A44AEB">
      <w:pPr>
        <w:spacing w:after="0" w:line="240" w:lineRule="auto"/>
        <w:jc w:val="both"/>
        <w:rPr>
          <w:rFonts w:ascii="Arial" w:eastAsia="Calibri" w:hAnsi="Arial" w:cs="Arial"/>
          <w:sz w:val="20"/>
          <w:szCs w:val="20"/>
        </w:rPr>
      </w:pPr>
      <w:r w:rsidRPr="00A44AEB">
        <w:rPr>
          <w:rFonts w:ascii="Arial" w:eastAsia="Calibri" w:hAnsi="Arial" w:cs="Arial"/>
          <w:b/>
          <w:sz w:val="20"/>
          <w:szCs w:val="20"/>
        </w:rPr>
        <w:t>26. T203130: ERASMUS+, ProEUverb -</w:t>
      </w:r>
      <w:r w:rsidRPr="00A44AEB">
        <w:rPr>
          <w:rFonts w:ascii="Arial" w:eastAsia="Calibri" w:hAnsi="Arial" w:cs="Arial"/>
          <w:sz w:val="20"/>
          <w:szCs w:val="20"/>
        </w:rPr>
        <w:t xml:space="preserve"> U sklopu navedene aktivnosti nisu planirana proračunska sredstva.</w:t>
      </w:r>
    </w:p>
    <w:p w14:paraId="76678EA0" w14:textId="77777777" w:rsidR="00EA587B" w:rsidRDefault="00EA587B" w:rsidP="00A44AEB">
      <w:pPr>
        <w:spacing w:after="0" w:line="240" w:lineRule="auto"/>
        <w:jc w:val="both"/>
        <w:rPr>
          <w:rFonts w:ascii="Arial" w:eastAsia="Calibri" w:hAnsi="Arial" w:cs="Arial"/>
          <w:sz w:val="20"/>
          <w:szCs w:val="20"/>
        </w:rPr>
      </w:pPr>
    </w:p>
    <w:p w14:paraId="5876BADD" w14:textId="3CCBED9E" w:rsidR="00A44AEB" w:rsidRPr="00EA587B" w:rsidRDefault="00A44AEB" w:rsidP="00EA587B">
      <w:pPr>
        <w:spacing w:after="0" w:line="240" w:lineRule="auto"/>
        <w:ind w:left="567"/>
        <w:jc w:val="both"/>
        <w:rPr>
          <w:rFonts w:ascii="Arial" w:hAnsi="Arial" w:cs="Arial"/>
          <w:sz w:val="18"/>
          <w:szCs w:val="18"/>
        </w:rPr>
      </w:pPr>
      <w:r w:rsidRPr="00EA587B">
        <w:rPr>
          <w:rFonts w:ascii="Arial" w:eastAsia="Calibri" w:hAnsi="Arial" w:cs="Arial"/>
          <w:sz w:val="18"/>
          <w:szCs w:val="18"/>
        </w:rPr>
        <w:t xml:space="preserve">Projekt </w:t>
      </w:r>
      <w:r w:rsidRPr="00EA587B">
        <w:rPr>
          <w:rFonts w:ascii="Arial" w:eastAsia="Calibri" w:hAnsi="Arial" w:cs="Arial"/>
          <w:i/>
          <w:sz w:val="18"/>
          <w:szCs w:val="18"/>
        </w:rPr>
        <w:t>Proverb presentations and reflections similarities and differences accrosa EU countries</w:t>
      </w:r>
      <w:r w:rsidRPr="00EA587B">
        <w:rPr>
          <w:rFonts w:ascii="Arial" w:eastAsia="Calibri" w:hAnsi="Arial" w:cs="Arial"/>
          <w:sz w:val="18"/>
          <w:szCs w:val="18"/>
        </w:rPr>
        <w:t xml:space="preserve"> je projekt financirana sredstvima EU, gdje su Muzeji i galerije Konavala bili koordinator projekta u periodu od 01.09.2018. do 29.02.2020. u suradnji sa partnerima iz Finske </w:t>
      </w:r>
      <w:r w:rsidRPr="00EA587B">
        <w:rPr>
          <w:rFonts w:ascii="Arial" w:eastAsia="Times New Roman" w:hAnsi="Arial" w:cs="Arial"/>
          <w:sz w:val="18"/>
          <w:szCs w:val="18"/>
        </w:rPr>
        <w:t xml:space="preserve">Javilakeuden kansalaisopiston kannatusyhdistys ry, Portugala </w:t>
      </w:r>
      <w:r w:rsidRPr="00EA587B">
        <w:rPr>
          <w:rFonts w:ascii="Arial" w:eastAsia="Calibri" w:hAnsi="Arial" w:cs="Arial"/>
          <w:iCs/>
          <w:sz w:val="18"/>
          <w:szCs w:val="18"/>
        </w:rPr>
        <w:t>:</w:t>
      </w:r>
      <w:r w:rsidRPr="00EA587B">
        <w:rPr>
          <w:rFonts w:ascii="Arial" w:eastAsia="Times New Roman" w:hAnsi="Arial" w:cs="Arial"/>
          <w:sz w:val="18"/>
          <w:szCs w:val="18"/>
        </w:rPr>
        <w:t xml:space="preserve"> Epralima Escola profissional do Alto Lima C.I.P.R.L. Partneri su </w:t>
      </w:r>
      <w:r w:rsidRPr="00EA587B">
        <w:rPr>
          <w:rFonts w:ascii="Arial" w:eastAsia="Calibri" w:hAnsi="Arial" w:cs="Arial"/>
          <w:sz w:val="18"/>
          <w:szCs w:val="18"/>
        </w:rPr>
        <w:t xml:space="preserve">svatko sa svojim specifičnim doprinosom participirali u prikupljanju i obradi poslovica na dogovorene teme s ciljem propitivanja sličnosti i različitosti te prezentiranje istih kroz zajedničku prezentacijsku platformu izradu filmova, izložbe i slične aktivnosti. Projekt je uspješno završen u 2020. godini, te postoji mogućnost nastavka projekta. </w:t>
      </w:r>
      <w:r w:rsidRPr="00EA587B">
        <w:rPr>
          <w:rFonts w:ascii="Arial" w:eastAsia="Calibri" w:hAnsi="Arial" w:cs="Arial"/>
          <w:iCs/>
          <w:sz w:val="18"/>
          <w:szCs w:val="18"/>
        </w:rPr>
        <w:t>Ukupna vrijednost projekta je bila 43.075 €, u kojemu se na ustanovu odnosi 18.445 €.</w:t>
      </w:r>
    </w:p>
    <w:p w14:paraId="5DEB9164" w14:textId="77777777" w:rsidR="00A44AEB" w:rsidRPr="00A44AEB" w:rsidRDefault="00A44AEB" w:rsidP="00A44AEB">
      <w:pPr>
        <w:spacing w:after="0" w:line="240" w:lineRule="auto"/>
        <w:jc w:val="both"/>
        <w:rPr>
          <w:rFonts w:ascii="Arial" w:eastAsia="Calibri" w:hAnsi="Arial" w:cs="Arial"/>
          <w:sz w:val="20"/>
          <w:szCs w:val="20"/>
        </w:rPr>
      </w:pPr>
    </w:p>
    <w:p w14:paraId="15D6EB56" w14:textId="79D71154" w:rsidR="00142AAC" w:rsidRDefault="00A44AEB" w:rsidP="00142AAC">
      <w:pPr>
        <w:spacing w:after="0" w:line="240" w:lineRule="auto"/>
        <w:jc w:val="both"/>
        <w:rPr>
          <w:rFonts w:ascii="Arial" w:eastAsia="Calibri" w:hAnsi="Arial" w:cs="Arial"/>
          <w:sz w:val="20"/>
          <w:szCs w:val="20"/>
        </w:rPr>
      </w:pPr>
      <w:r w:rsidRPr="00A44AEB">
        <w:rPr>
          <w:rFonts w:ascii="Arial" w:eastAsia="Calibri" w:hAnsi="Arial" w:cs="Arial"/>
          <w:b/>
          <w:bCs/>
          <w:sz w:val="20"/>
          <w:szCs w:val="20"/>
        </w:rPr>
        <w:t xml:space="preserve">27. A203131: </w:t>
      </w:r>
      <w:bookmarkStart w:id="352" w:name="_Hlk76711655"/>
      <w:r w:rsidRPr="00A44AEB">
        <w:rPr>
          <w:rFonts w:ascii="Arial" w:eastAsia="Calibri" w:hAnsi="Arial" w:cs="Arial"/>
          <w:b/>
          <w:bCs/>
          <w:sz w:val="20"/>
          <w:szCs w:val="20"/>
        </w:rPr>
        <w:t>Razvijanje edukativnih programa</w:t>
      </w:r>
      <w:r w:rsidRPr="00A44AEB">
        <w:rPr>
          <w:rFonts w:ascii="Arial" w:eastAsia="Calibri" w:hAnsi="Arial" w:cs="Arial"/>
          <w:sz w:val="20"/>
          <w:szCs w:val="20"/>
        </w:rPr>
        <w:t xml:space="preserve"> </w:t>
      </w:r>
      <w:r w:rsidRPr="00A44AEB">
        <w:rPr>
          <w:rFonts w:ascii="Arial" w:eastAsia="Calibri" w:hAnsi="Arial" w:cs="Arial"/>
          <w:b/>
          <w:sz w:val="20"/>
          <w:szCs w:val="20"/>
        </w:rPr>
        <w:t xml:space="preserve">- </w:t>
      </w:r>
      <w:r w:rsidRPr="00A44AEB">
        <w:rPr>
          <w:rFonts w:ascii="Arial" w:eastAsia="Times New Roman" w:hAnsi="Arial" w:cs="Arial"/>
          <w:sz w:val="20"/>
          <w:szCs w:val="20"/>
        </w:rPr>
        <w:t xml:space="preserve"> U sklopu navedene aktivnosti </w:t>
      </w:r>
      <w:r w:rsidRPr="00A44AEB">
        <w:rPr>
          <w:rFonts w:ascii="Arial" w:eastAsia="Calibri" w:hAnsi="Arial" w:cs="Arial"/>
          <w:sz w:val="20"/>
          <w:szCs w:val="20"/>
        </w:rPr>
        <w:t>su planirana proračunska sredstva u iznosu 2.</w:t>
      </w:r>
      <w:r w:rsidR="003D0155">
        <w:rPr>
          <w:rFonts w:ascii="Arial" w:eastAsia="Calibri" w:hAnsi="Arial" w:cs="Arial"/>
          <w:sz w:val="20"/>
          <w:szCs w:val="20"/>
        </w:rPr>
        <w:t>4</w:t>
      </w:r>
      <w:r w:rsidRPr="00A44AEB">
        <w:rPr>
          <w:rFonts w:ascii="Arial" w:eastAsia="Calibri" w:hAnsi="Arial" w:cs="Arial"/>
          <w:sz w:val="20"/>
          <w:szCs w:val="20"/>
        </w:rPr>
        <w:t xml:space="preserve">00 €, a izvršeni su rashodi u iznosu </w:t>
      </w:r>
      <w:r w:rsidR="003D0155">
        <w:rPr>
          <w:rFonts w:ascii="Arial" w:eastAsia="Calibri" w:hAnsi="Arial" w:cs="Arial"/>
          <w:sz w:val="20"/>
          <w:szCs w:val="20"/>
        </w:rPr>
        <w:t>961,75</w:t>
      </w:r>
      <w:r w:rsidRPr="00A44AEB">
        <w:rPr>
          <w:rFonts w:ascii="Arial" w:eastAsia="Calibri" w:hAnsi="Arial" w:cs="Arial"/>
          <w:sz w:val="20"/>
          <w:szCs w:val="20"/>
        </w:rPr>
        <w:t xml:space="preserve"> € odnosno </w:t>
      </w:r>
      <w:r w:rsidR="003D0155">
        <w:rPr>
          <w:rFonts w:ascii="Arial" w:eastAsia="Calibri" w:hAnsi="Arial" w:cs="Arial"/>
          <w:sz w:val="20"/>
          <w:szCs w:val="20"/>
        </w:rPr>
        <w:t>40</w:t>
      </w:r>
      <w:r w:rsidRPr="00A44AEB">
        <w:rPr>
          <w:rFonts w:ascii="Arial" w:eastAsia="Calibri" w:hAnsi="Arial" w:cs="Arial"/>
          <w:sz w:val="20"/>
          <w:szCs w:val="20"/>
        </w:rPr>
        <w:t xml:space="preserve">% planiranog za </w:t>
      </w:r>
      <w:r w:rsidR="00142AAC" w:rsidRPr="00142AAC">
        <w:rPr>
          <w:rFonts w:ascii="Arial" w:eastAsia="Calibri" w:hAnsi="Arial" w:cs="Arial"/>
          <w:sz w:val="20"/>
          <w:szCs w:val="20"/>
        </w:rPr>
        <w:t>autorske honorare voditeljica stalnih radionica veza u Zavičajnom muzeju Konavala i kupnju materijala za održavanje radionica za djecu u svim jedinicama.</w:t>
      </w:r>
    </w:p>
    <w:p w14:paraId="5EA8AC75" w14:textId="77777777" w:rsidR="00142AAC" w:rsidRPr="00142AAC" w:rsidRDefault="00142AAC" w:rsidP="00142AAC">
      <w:pPr>
        <w:spacing w:after="0" w:line="240" w:lineRule="auto"/>
        <w:jc w:val="both"/>
        <w:rPr>
          <w:rFonts w:ascii="Arial" w:eastAsia="Calibri" w:hAnsi="Arial" w:cs="Arial"/>
          <w:sz w:val="20"/>
          <w:szCs w:val="20"/>
        </w:rPr>
      </w:pPr>
    </w:p>
    <w:p w14:paraId="710EF3C4" w14:textId="77777777" w:rsidR="00142AAC" w:rsidRPr="00142AAC" w:rsidRDefault="00142AAC" w:rsidP="00142AAC">
      <w:pPr>
        <w:spacing w:after="0" w:line="240" w:lineRule="auto"/>
        <w:jc w:val="both"/>
        <w:rPr>
          <w:rFonts w:ascii="Arial" w:eastAsia="Calibri" w:hAnsi="Arial" w:cs="Arial"/>
          <w:sz w:val="20"/>
          <w:szCs w:val="20"/>
        </w:rPr>
      </w:pPr>
      <w:r w:rsidRPr="00142AAC">
        <w:rPr>
          <w:rFonts w:ascii="Arial" w:eastAsia="Calibri" w:hAnsi="Arial" w:cs="Arial"/>
          <w:sz w:val="20"/>
          <w:szCs w:val="20"/>
        </w:rPr>
        <w:t xml:space="preserve">Edukativni programi su jedna od važnih djelatnosti ustanove te se kontinuirano radi na novim programima za sve životne dobi. Najviše programa se realizira za uzraste školske i predškolske dobi,  te za osobe starije dobi u suradnji sa Domom za starije i nemoćne osobe Konavle na Grudi kroz organizaciju predavanja, likovnih radionica i sl. Rashodi se odnose na nabavu materijala, alata i ostalih pomagala za organizaciju radionica te autorske honorare voditelja radionica i sl. </w:t>
      </w:r>
    </w:p>
    <w:p w14:paraId="6F4BBF64" w14:textId="65AAA8E0" w:rsidR="00A44AEB" w:rsidRPr="00A44AEB" w:rsidRDefault="00A44AEB" w:rsidP="00A44AEB">
      <w:pPr>
        <w:spacing w:after="0" w:line="240" w:lineRule="auto"/>
        <w:jc w:val="both"/>
        <w:rPr>
          <w:rFonts w:ascii="Arial" w:eastAsia="Calibri" w:hAnsi="Arial" w:cs="Arial"/>
          <w:sz w:val="20"/>
          <w:szCs w:val="20"/>
        </w:rPr>
      </w:pPr>
    </w:p>
    <w:tbl>
      <w:tblPr>
        <w:tblStyle w:val="Reetkatablice5"/>
        <w:tblW w:w="12024" w:type="dxa"/>
        <w:jc w:val="center"/>
        <w:tblLayout w:type="fixed"/>
        <w:tblLook w:val="04A0" w:firstRow="1" w:lastRow="0" w:firstColumn="1" w:lastColumn="0" w:noHBand="0" w:noVBand="1"/>
      </w:tblPr>
      <w:tblGrid>
        <w:gridCol w:w="2122"/>
        <w:gridCol w:w="2541"/>
        <w:gridCol w:w="992"/>
        <w:gridCol w:w="1266"/>
        <w:gridCol w:w="992"/>
        <w:gridCol w:w="992"/>
        <w:gridCol w:w="1155"/>
        <w:gridCol w:w="992"/>
        <w:gridCol w:w="972"/>
      </w:tblGrid>
      <w:tr w:rsidR="00A44AEB" w:rsidRPr="00A44AEB" w14:paraId="77EC352E" w14:textId="77777777" w:rsidTr="00142AAC">
        <w:trPr>
          <w:jc w:val="center"/>
        </w:trPr>
        <w:tc>
          <w:tcPr>
            <w:tcW w:w="2122" w:type="dxa"/>
            <w:shd w:val="clear" w:color="auto" w:fill="BFBFBF" w:themeFill="background1" w:themeFillShade="BF"/>
            <w:vAlign w:val="center"/>
          </w:tcPr>
          <w:p w14:paraId="0BD0BE3F" w14:textId="77777777"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Pokazatelj uspješnosti</w:t>
            </w:r>
          </w:p>
        </w:tc>
        <w:tc>
          <w:tcPr>
            <w:tcW w:w="2541" w:type="dxa"/>
            <w:shd w:val="clear" w:color="auto" w:fill="BFBFBF" w:themeFill="background1" w:themeFillShade="BF"/>
            <w:vAlign w:val="center"/>
          </w:tcPr>
          <w:p w14:paraId="621F37C6" w14:textId="77777777"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Definicija</w:t>
            </w:r>
          </w:p>
        </w:tc>
        <w:tc>
          <w:tcPr>
            <w:tcW w:w="992" w:type="dxa"/>
            <w:shd w:val="clear" w:color="auto" w:fill="BFBFBF" w:themeFill="background1" w:themeFillShade="BF"/>
            <w:vAlign w:val="center"/>
          </w:tcPr>
          <w:p w14:paraId="62AB8C4E" w14:textId="77777777"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Jedinica</w:t>
            </w:r>
          </w:p>
        </w:tc>
        <w:tc>
          <w:tcPr>
            <w:tcW w:w="1266" w:type="dxa"/>
            <w:shd w:val="clear" w:color="auto" w:fill="BFBFBF" w:themeFill="background1" w:themeFillShade="BF"/>
            <w:vAlign w:val="center"/>
          </w:tcPr>
          <w:p w14:paraId="6A328352" w14:textId="77777777"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Polazna vrijednost</w:t>
            </w:r>
          </w:p>
          <w:p w14:paraId="2EE4CBB7" w14:textId="2573C3A2"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202</w:t>
            </w:r>
            <w:r w:rsidR="00142AAC">
              <w:rPr>
                <w:rFonts w:ascii="Arial" w:eastAsia="Calibri" w:hAnsi="Arial" w:cs="Arial"/>
                <w:sz w:val="16"/>
                <w:szCs w:val="16"/>
              </w:rPr>
              <w:t>4</w:t>
            </w:r>
            <w:r w:rsidRPr="00A44AEB">
              <w:rPr>
                <w:rFonts w:ascii="Arial" w:eastAsia="Calibri" w:hAnsi="Arial" w:cs="Arial"/>
                <w:sz w:val="16"/>
                <w:szCs w:val="16"/>
              </w:rPr>
              <w:t>.</w:t>
            </w:r>
          </w:p>
        </w:tc>
        <w:tc>
          <w:tcPr>
            <w:tcW w:w="992" w:type="dxa"/>
            <w:shd w:val="clear" w:color="auto" w:fill="BFBFBF" w:themeFill="background1" w:themeFillShade="BF"/>
            <w:vAlign w:val="center"/>
          </w:tcPr>
          <w:p w14:paraId="1A67E6AD" w14:textId="77777777"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Izvor podataka</w:t>
            </w:r>
          </w:p>
        </w:tc>
        <w:tc>
          <w:tcPr>
            <w:tcW w:w="992" w:type="dxa"/>
            <w:shd w:val="clear" w:color="auto" w:fill="BFBFBF" w:themeFill="background1" w:themeFillShade="BF"/>
            <w:vAlign w:val="center"/>
          </w:tcPr>
          <w:p w14:paraId="1F09415C" w14:textId="5448099B"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Ciljana vrijednost 202</w:t>
            </w:r>
            <w:r w:rsidR="00142AAC">
              <w:rPr>
                <w:rFonts w:ascii="Arial" w:eastAsia="Calibri" w:hAnsi="Arial" w:cs="Arial"/>
                <w:sz w:val="16"/>
                <w:szCs w:val="16"/>
              </w:rPr>
              <w:t>5</w:t>
            </w:r>
            <w:r w:rsidRPr="00A44AEB">
              <w:rPr>
                <w:rFonts w:ascii="Arial" w:eastAsia="Calibri" w:hAnsi="Arial" w:cs="Arial"/>
                <w:sz w:val="16"/>
                <w:szCs w:val="16"/>
              </w:rPr>
              <w:t>.</w:t>
            </w:r>
          </w:p>
        </w:tc>
        <w:tc>
          <w:tcPr>
            <w:tcW w:w="1155" w:type="dxa"/>
            <w:shd w:val="clear" w:color="auto" w:fill="BFBFBF" w:themeFill="background1" w:themeFillShade="BF"/>
            <w:vAlign w:val="center"/>
          </w:tcPr>
          <w:p w14:paraId="411D16FA" w14:textId="63208692"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Izvršeno 202</w:t>
            </w:r>
            <w:r w:rsidR="00142AAC">
              <w:rPr>
                <w:rFonts w:ascii="Arial" w:eastAsia="Calibri" w:hAnsi="Arial" w:cs="Arial"/>
                <w:sz w:val="16"/>
                <w:szCs w:val="16"/>
              </w:rPr>
              <w:t>5</w:t>
            </w:r>
            <w:r w:rsidRPr="00A44AEB">
              <w:rPr>
                <w:rFonts w:ascii="Arial" w:eastAsia="Calibri" w:hAnsi="Arial" w:cs="Arial"/>
                <w:sz w:val="16"/>
                <w:szCs w:val="16"/>
              </w:rPr>
              <w:t>.</w:t>
            </w:r>
          </w:p>
        </w:tc>
        <w:tc>
          <w:tcPr>
            <w:tcW w:w="992" w:type="dxa"/>
            <w:shd w:val="clear" w:color="auto" w:fill="BFBFBF" w:themeFill="background1" w:themeFillShade="BF"/>
            <w:vAlign w:val="center"/>
          </w:tcPr>
          <w:p w14:paraId="14074346" w14:textId="73E1833D"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Ciljana vrijednost 202</w:t>
            </w:r>
            <w:r w:rsidR="00142AAC">
              <w:rPr>
                <w:rFonts w:ascii="Arial" w:eastAsia="Calibri" w:hAnsi="Arial" w:cs="Arial"/>
                <w:sz w:val="16"/>
                <w:szCs w:val="16"/>
              </w:rPr>
              <w:t>6</w:t>
            </w:r>
            <w:r w:rsidRPr="00A44AEB">
              <w:rPr>
                <w:rFonts w:ascii="Arial" w:eastAsia="Calibri" w:hAnsi="Arial" w:cs="Arial"/>
                <w:sz w:val="16"/>
                <w:szCs w:val="16"/>
              </w:rPr>
              <w:t>.</w:t>
            </w:r>
          </w:p>
        </w:tc>
        <w:tc>
          <w:tcPr>
            <w:tcW w:w="972" w:type="dxa"/>
            <w:shd w:val="clear" w:color="auto" w:fill="BFBFBF" w:themeFill="background1" w:themeFillShade="BF"/>
            <w:vAlign w:val="center"/>
          </w:tcPr>
          <w:p w14:paraId="75AC8EB9" w14:textId="7033C853"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Ciljana vrijednost 202</w:t>
            </w:r>
            <w:r w:rsidR="00142AAC">
              <w:rPr>
                <w:rFonts w:ascii="Arial" w:eastAsia="Calibri" w:hAnsi="Arial" w:cs="Arial"/>
                <w:sz w:val="16"/>
                <w:szCs w:val="16"/>
              </w:rPr>
              <w:t>7</w:t>
            </w:r>
            <w:r w:rsidRPr="00A44AEB">
              <w:rPr>
                <w:rFonts w:ascii="Arial" w:eastAsia="Calibri" w:hAnsi="Arial" w:cs="Arial"/>
                <w:sz w:val="16"/>
                <w:szCs w:val="16"/>
              </w:rPr>
              <w:t>.</w:t>
            </w:r>
          </w:p>
        </w:tc>
      </w:tr>
      <w:tr w:rsidR="00142AAC" w:rsidRPr="00A44AEB" w14:paraId="428F38C4" w14:textId="77777777" w:rsidTr="00142AAC">
        <w:trPr>
          <w:trHeight w:val="557"/>
          <w:jc w:val="center"/>
        </w:trPr>
        <w:tc>
          <w:tcPr>
            <w:tcW w:w="2122" w:type="dxa"/>
            <w:vAlign w:val="center"/>
          </w:tcPr>
          <w:p w14:paraId="3BC12E28" w14:textId="77777777" w:rsidR="00142AAC" w:rsidRPr="00A44AEB" w:rsidRDefault="00142AAC" w:rsidP="00142AAC">
            <w:pPr>
              <w:rPr>
                <w:rFonts w:ascii="Arial" w:hAnsi="Arial" w:cs="Arial"/>
                <w:sz w:val="16"/>
                <w:szCs w:val="16"/>
                <w:lang w:eastAsia="en-US"/>
              </w:rPr>
            </w:pPr>
            <w:r w:rsidRPr="00A44AEB">
              <w:rPr>
                <w:rFonts w:ascii="Arial" w:hAnsi="Arial" w:cs="Arial"/>
                <w:sz w:val="18"/>
                <w:szCs w:val="18"/>
                <w:lang w:eastAsia="en-US"/>
              </w:rPr>
              <w:t>Broj djece na radionicama</w:t>
            </w:r>
          </w:p>
        </w:tc>
        <w:tc>
          <w:tcPr>
            <w:tcW w:w="2541" w:type="dxa"/>
            <w:vAlign w:val="center"/>
          </w:tcPr>
          <w:p w14:paraId="7D148586" w14:textId="77777777" w:rsidR="00142AAC" w:rsidRPr="00A44AEB" w:rsidRDefault="00142AAC" w:rsidP="00142AAC">
            <w:pPr>
              <w:rPr>
                <w:rFonts w:ascii="Arial" w:hAnsi="Arial" w:cs="Arial"/>
                <w:sz w:val="16"/>
                <w:szCs w:val="16"/>
                <w:lang w:eastAsia="en-US"/>
              </w:rPr>
            </w:pPr>
            <w:r w:rsidRPr="00A44AEB">
              <w:rPr>
                <w:rFonts w:ascii="Arial" w:hAnsi="Arial" w:cs="Arial"/>
                <w:sz w:val="18"/>
                <w:szCs w:val="18"/>
                <w:lang w:eastAsia="en-US"/>
              </w:rPr>
              <w:t>Formiranje radionica i edukativnih programa</w:t>
            </w:r>
          </w:p>
        </w:tc>
        <w:tc>
          <w:tcPr>
            <w:tcW w:w="992" w:type="dxa"/>
            <w:vAlign w:val="center"/>
          </w:tcPr>
          <w:p w14:paraId="17537372" w14:textId="77777777" w:rsidR="00142AAC" w:rsidRPr="00A44AEB" w:rsidRDefault="00142AAC" w:rsidP="00142AAC">
            <w:pPr>
              <w:jc w:val="center"/>
              <w:rPr>
                <w:rFonts w:ascii="Arial" w:hAnsi="Arial" w:cs="Arial"/>
                <w:sz w:val="16"/>
                <w:szCs w:val="16"/>
                <w:lang w:eastAsia="en-US"/>
              </w:rPr>
            </w:pPr>
            <w:r w:rsidRPr="00A44AEB">
              <w:rPr>
                <w:rFonts w:ascii="Arial" w:hAnsi="Arial" w:cs="Arial"/>
                <w:sz w:val="18"/>
                <w:szCs w:val="18"/>
                <w:lang w:eastAsia="en-US"/>
              </w:rPr>
              <w:t>pax</w:t>
            </w:r>
          </w:p>
        </w:tc>
        <w:tc>
          <w:tcPr>
            <w:tcW w:w="1266" w:type="dxa"/>
            <w:vAlign w:val="center"/>
          </w:tcPr>
          <w:p w14:paraId="7780A95D" w14:textId="3075D65E" w:rsidR="00142AAC" w:rsidRPr="00A44AEB" w:rsidRDefault="00142AAC" w:rsidP="00142AAC">
            <w:pPr>
              <w:jc w:val="center"/>
              <w:rPr>
                <w:rFonts w:ascii="Arial" w:hAnsi="Arial" w:cs="Arial"/>
                <w:sz w:val="16"/>
                <w:szCs w:val="16"/>
                <w:lang w:eastAsia="en-US"/>
              </w:rPr>
            </w:pPr>
            <w:r w:rsidRPr="00A44AEB">
              <w:rPr>
                <w:rFonts w:ascii="Arial" w:hAnsi="Arial" w:cs="Arial"/>
                <w:sz w:val="18"/>
                <w:szCs w:val="18"/>
                <w:lang w:eastAsia="en-US"/>
              </w:rPr>
              <w:t>1.465</w:t>
            </w:r>
          </w:p>
        </w:tc>
        <w:tc>
          <w:tcPr>
            <w:tcW w:w="992" w:type="dxa"/>
            <w:vAlign w:val="center"/>
          </w:tcPr>
          <w:p w14:paraId="1DEE4388" w14:textId="77777777" w:rsidR="00142AAC" w:rsidRPr="00A44AEB" w:rsidRDefault="00142AAC" w:rsidP="00142AAC">
            <w:pPr>
              <w:jc w:val="center"/>
              <w:rPr>
                <w:rFonts w:ascii="Arial" w:hAnsi="Arial" w:cs="Arial"/>
                <w:sz w:val="16"/>
                <w:szCs w:val="16"/>
                <w:lang w:eastAsia="en-US"/>
              </w:rPr>
            </w:pPr>
            <w:r w:rsidRPr="00A44AEB">
              <w:rPr>
                <w:rFonts w:ascii="Arial" w:hAnsi="Arial" w:cs="Arial"/>
                <w:sz w:val="18"/>
                <w:szCs w:val="18"/>
                <w:lang w:eastAsia="en-US"/>
              </w:rPr>
              <w:t>Muzeji</w:t>
            </w:r>
          </w:p>
        </w:tc>
        <w:tc>
          <w:tcPr>
            <w:tcW w:w="992" w:type="dxa"/>
            <w:vAlign w:val="center"/>
          </w:tcPr>
          <w:p w14:paraId="58A17DDD" w14:textId="77777777" w:rsidR="00142AAC" w:rsidRPr="00A44AEB" w:rsidRDefault="00142AAC" w:rsidP="00142AAC">
            <w:pPr>
              <w:jc w:val="center"/>
              <w:rPr>
                <w:rFonts w:ascii="Arial" w:hAnsi="Arial" w:cs="Arial"/>
                <w:sz w:val="16"/>
                <w:szCs w:val="16"/>
                <w:lang w:eastAsia="en-US"/>
              </w:rPr>
            </w:pPr>
            <w:r w:rsidRPr="00A44AEB">
              <w:rPr>
                <w:rFonts w:ascii="Arial" w:hAnsi="Arial" w:cs="Arial"/>
                <w:sz w:val="18"/>
                <w:szCs w:val="18"/>
                <w:lang w:eastAsia="en-US"/>
              </w:rPr>
              <w:t>800</w:t>
            </w:r>
          </w:p>
        </w:tc>
        <w:tc>
          <w:tcPr>
            <w:tcW w:w="1155" w:type="dxa"/>
            <w:vAlign w:val="center"/>
          </w:tcPr>
          <w:p w14:paraId="46666FBC" w14:textId="1F1A5685" w:rsidR="00142AAC" w:rsidRPr="00A44AEB" w:rsidRDefault="00142AAC" w:rsidP="00142AAC">
            <w:pPr>
              <w:ind w:left="360"/>
              <w:contextualSpacing/>
              <w:rPr>
                <w:rFonts w:ascii="Arial" w:hAnsi="Arial" w:cs="Arial"/>
                <w:sz w:val="16"/>
                <w:szCs w:val="16"/>
                <w:lang w:eastAsia="en-US"/>
              </w:rPr>
            </w:pPr>
            <w:r>
              <w:rPr>
                <w:rFonts w:ascii="Arial" w:hAnsi="Arial" w:cs="Arial"/>
                <w:sz w:val="18"/>
                <w:szCs w:val="18"/>
                <w:lang w:eastAsia="en-US"/>
              </w:rPr>
              <w:t>789</w:t>
            </w:r>
          </w:p>
        </w:tc>
        <w:tc>
          <w:tcPr>
            <w:tcW w:w="992" w:type="dxa"/>
            <w:vAlign w:val="center"/>
          </w:tcPr>
          <w:p w14:paraId="62D96114" w14:textId="4CCC9FB6" w:rsidR="00142AAC" w:rsidRPr="00A44AEB" w:rsidRDefault="00142AAC" w:rsidP="00142AAC">
            <w:pPr>
              <w:jc w:val="center"/>
              <w:rPr>
                <w:rFonts w:ascii="Arial" w:hAnsi="Arial" w:cs="Arial"/>
                <w:sz w:val="16"/>
                <w:szCs w:val="16"/>
                <w:lang w:eastAsia="en-US"/>
              </w:rPr>
            </w:pPr>
            <w:r w:rsidRPr="00A44AEB">
              <w:rPr>
                <w:rFonts w:ascii="Arial" w:hAnsi="Arial" w:cs="Arial"/>
                <w:sz w:val="18"/>
                <w:szCs w:val="18"/>
                <w:lang w:eastAsia="en-US"/>
              </w:rPr>
              <w:t>800</w:t>
            </w:r>
          </w:p>
        </w:tc>
        <w:tc>
          <w:tcPr>
            <w:tcW w:w="972" w:type="dxa"/>
            <w:vAlign w:val="center"/>
          </w:tcPr>
          <w:p w14:paraId="486E17AE" w14:textId="77777777" w:rsidR="00142AAC" w:rsidRPr="00A44AEB" w:rsidRDefault="00142AAC" w:rsidP="00142AAC">
            <w:pPr>
              <w:ind w:left="360"/>
              <w:rPr>
                <w:rFonts w:ascii="Arial" w:hAnsi="Arial" w:cs="Arial"/>
                <w:sz w:val="16"/>
                <w:szCs w:val="16"/>
                <w:lang w:eastAsia="en-US"/>
              </w:rPr>
            </w:pPr>
            <w:r w:rsidRPr="00A44AEB">
              <w:rPr>
                <w:rFonts w:ascii="Arial" w:hAnsi="Arial" w:cs="Arial"/>
                <w:sz w:val="18"/>
                <w:szCs w:val="18"/>
                <w:lang w:eastAsia="en-US"/>
              </w:rPr>
              <w:t>800</w:t>
            </w:r>
          </w:p>
        </w:tc>
      </w:tr>
    </w:tbl>
    <w:p w14:paraId="3101D793" w14:textId="77777777" w:rsidR="007B4373" w:rsidRDefault="007B4373" w:rsidP="007D013F">
      <w:pPr>
        <w:spacing w:after="0" w:line="240" w:lineRule="auto"/>
        <w:jc w:val="both"/>
        <w:rPr>
          <w:rFonts w:ascii="Arial" w:eastAsia="Calibri" w:hAnsi="Arial" w:cs="Arial"/>
          <w:sz w:val="20"/>
          <w:szCs w:val="20"/>
        </w:rPr>
      </w:pPr>
    </w:p>
    <w:p w14:paraId="5456DD02" w14:textId="73697D89" w:rsidR="007D013F" w:rsidRPr="007D013F" w:rsidRDefault="00A44AEB" w:rsidP="007D013F">
      <w:pPr>
        <w:spacing w:after="0" w:line="240" w:lineRule="auto"/>
        <w:jc w:val="both"/>
        <w:rPr>
          <w:rFonts w:ascii="Arial" w:eastAsia="Calibri" w:hAnsi="Arial" w:cs="Arial"/>
          <w:sz w:val="20"/>
          <w:szCs w:val="20"/>
        </w:rPr>
      </w:pPr>
      <w:r w:rsidRPr="00A44AEB">
        <w:rPr>
          <w:rFonts w:ascii="Arial" w:eastAsia="Calibri" w:hAnsi="Arial" w:cs="Arial"/>
          <w:sz w:val="20"/>
          <w:szCs w:val="20"/>
        </w:rPr>
        <w:t>OPIS: Pokazatelj obuhvaća stalne i povremene radionice za djecu koje se održavaju u muzejskim jedinicama</w:t>
      </w:r>
      <w:r w:rsidR="007D013F">
        <w:rPr>
          <w:rFonts w:ascii="Arial" w:eastAsia="Calibri" w:hAnsi="Arial" w:cs="Arial"/>
          <w:sz w:val="20"/>
          <w:szCs w:val="20"/>
        </w:rPr>
        <w:t>,</w:t>
      </w:r>
      <w:r w:rsidRPr="00A44AEB">
        <w:rPr>
          <w:rFonts w:ascii="Arial" w:eastAsia="Calibri" w:hAnsi="Arial" w:cs="Arial"/>
          <w:sz w:val="20"/>
          <w:szCs w:val="20"/>
        </w:rPr>
        <w:t xml:space="preserve"> </w:t>
      </w:r>
      <w:r w:rsidR="007D013F" w:rsidRPr="007D013F">
        <w:rPr>
          <w:rFonts w:ascii="Arial" w:eastAsia="Calibri" w:hAnsi="Arial" w:cs="Arial"/>
          <w:sz w:val="20"/>
          <w:szCs w:val="20"/>
        </w:rPr>
        <w:t xml:space="preserve">Šarenu školicu u Kući Bukovac i radionicu veza za djecu u Zavičajnom muzeju Konavala, te povremene radionice. </w:t>
      </w:r>
    </w:p>
    <w:p w14:paraId="031C5664" w14:textId="2369857B" w:rsidR="00A44AEB" w:rsidRDefault="00A44AEB" w:rsidP="00A44AEB">
      <w:pPr>
        <w:spacing w:after="0" w:line="240" w:lineRule="auto"/>
        <w:jc w:val="both"/>
        <w:rPr>
          <w:rFonts w:ascii="Arial" w:eastAsia="Calibri" w:hAnsi="Arial" w:cs="Arial"/>
          <w:sz w:val="20"/>
          <w:szCs w:val="20"/>
        </w:rPr>
      </w:pPr>
    </w:p>
    <w:p w14:paraId="02839A82" w14:textId="77777777" w:rsidR="007B4373" w:rsidRDefault="007B4373" w:rsidP="00A44AEB">
      <w:pPr>
        <w:spacing w:after="0" w:line="240" w:lineRule="auto"/>
        <w:jc w:val="both"/>
        <w:rPr>
          <w:rFonts w:ascii="Arial" w:eastAsia="Calibri" w:hAnsi="Arial" w:cs="Arial"/>
          <w:sz w:val="20"/>
          <w:szCs w:val="20"/>
        </w:rPr>
      </w:pPr>
    </w:p>
    <w:p w14:paraId="423727A5" w14:textId="77777777" w:rsidR="007B4373" w:rsidRDefault="007B4373" w:rsidP="00A44AEB">
      <w:pPr>
        <w:spacing w:after="0" w:line="240" w:lineRule="auto"/>
        <w:jc w:val="both"/>
        <w:rPr>
          <w:rFonts w:ascii="Arial" w:eastAsia="Calibri" w:hAnsi="Arial" w:cs="Arial"/>
          <w:sz w:val="20"/>
          <w:szCs w:val="20"/>
        </w:rPr>
      </w:pPr>
    </w:p>
    <w:p w14:paraId="5B9EBA9A" w14:textId="77777777" w:rsidR="007B4373" w:rsidRPr="00A44AEB" w:rsidRDefault="007B4373" w:rsidP="00A44AEB">
      <w:pPr>
        <w:spacing w:after="0" w:line="240" w:lineRule="auto"/>
        <w:jc w:val="both"/>
        <w:rPr>
          <w:rFonts w:ascii="Arial" w:eastAsia="Calibri" w:hAnsi="Arial" w:cs="Arial"/>
          <w:sz w:val="20"/>
          <w:szCs w:val="20"/>
        </w:rPr>
      </w:pPr>
    </w:p>
    <w:tbl>
      <w:tblPr>
        <w:tblStyle w:val="Reetkatablice5"/>
        <w:tblW w:w="13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274"/>
        <w:gridCol w:w="1274"/>
        <w:gridCol w:w="1134"/>
        <w:gridCol w:w="988"/>
        <w:gridCol w:w="997"/>
        <w:gridCol w:w="992"/>
        <w:gridCol w:w="992"/>
        <w:gridCol w:w="1134"/>
      </w:tblGrid>
      <w:tr w:rsidR="00A44AEB" w:rsidRPr="00A44AEB" w14:paraId="3C99D5F6" w14:textId="77777777" w:rsidTr="00EA587B">
        <w:trPr>
          <w:jc w:val="center"/>
        </w:trPr>
        <w:tc>
          <w:tcPr>
            <w:tcW w:w="2263" w:type="dxa"/>
            <w:shd w:val="clear" w:color="auto" w:fill="BFBFBF" w:themeFill="background1" w:themeFillShade="BF"/>
            <w:vAlign w:val="center"/>
          </w:tcPr>
          <w:p w14:paraId="3AC785DE" w14:textId="77777777"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lastRenderedPageBreak/>
              <w:t>Pokazatelj uspješnosti</w:t>
            </w:r>
          </w:p>
        </w:tc>
        <w:tc>
          <w:tcPr>
            <w:tcW w:w="3274" w:type="dxa"/>
            <w:shd w:val="clear" w:color="auto" w:fill="BFBFBF" w:themeFill="background1" w:themeFillShade="BF"/>
            <w:vAlign w:val="center"/>
          </w:tcPr>
          <w:p w14:paraId="13677256" w14:textId="77777777"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Definicija</w:t>
            </w:r>
          </w:p>
        </w:tc>
        <w:tc>
          <w:tcPr>
            <w:tcW w:w="1274" w:type="dxa"/>
            <w:shd w:val="clear" w:color="auto" w:fill="BFBFBF" w:themeFill="background1" w:themeFillShade="BF"/>
            <w:vAlign w:val="center"/>
          </w:tcPr>
          <w:p w14:paraId="029A1B2C" w14:textId="77777777"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Jedinica</w:t>
            </w:r>
          </w:p>
        </w:tc>
        <w:tc>
          <w:tcPr>
            <w:tcW w:w="1134" w:type="dxa"/>
            <w:shd w:val="clear" w:color="auto" w:fill="BFBFBF" w:themeFill="background1" w:themeFillShade="BF"/>
            <w:vAlign w:val="center"/>
          </w:tcPr>
          <w:p w14:paraId="6D1116DC" w14:textId="77777777"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Polazna vrijednost</w:t>
            </w:r>
          </w:p>
          <w:p w14:paraId="43A6F8C0" w14:textId="5B5CDB35"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202</w:t>
            </w:r>
            <w:r w:rsidR="007D013F">
              <w:rPr>
                <w:rFonts w:ascii="Arial" w:eastAsia="Calibri" w:hAnsi="Arial" w:cs="Arial"/>
                <w:sz w:val="16"/>
                <w:szCs w:val="16"/>
              </w:rPr>
              <w:t>4</w:t>
            </w:r>
            <w:r w:rsidRPr="00A44AEB">
              <w:rPr>
                <w:rFonts w:ascii="Arial" w:eastAsia="Calibri" w:hAnsi="Arial" w:cs="Arial"/>
                <w:sz w:val="16"/>
                <w:szCs w:val="16"/>
              </w:rPr>
              <w:t>.</w:t>
            </w:r>
          </w:p>
        </w:tc>
        <w:tc>
          <w:tcPr>
            <w:tcW w:w="988" w:type="dxa"/>
            <w:shd w:val="clear" w:color="auto" w:fill="BFBFBF" w:themeFill="background1" w:themeFillShade="BF"/>
            <w:vAlign w:val="center"/>
          </w:tcPr>
          <w:p w14:paraId="77A1ADD8" w14:textId="77777777"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Izvor podataka</w:t>
            </w:r>
          </w:p>
        </w:tc>
        <w:tc>
          <w:tcPr>
            <w:tcW w:w="997" w:type="dxa"/>
            <w:shd w:val="clear" w:color="auto" w:fill="BFBFBF" w:themeFill="background1" w:themeFillShade="BF"/>
            <w:vAlign w:val="center"/>
          </w:tcPr>
          <w:p w14:paraId="10973E58" w14:textId="76113307"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Ciljana vrijednost 202</w:t>
            </w:r>
            <w:r w:rsidR="007D013F">
              <w:rPr>
                <w:rFonts w:ascii="Arial" w:eastAsia="Calibri" w:hAnsi="Arial" w:cs="Arial"/>
                <w:sz w:val="16"/>
                <w:szCs w:val="16"/>
              </w:rPr>
              <w:t>5</w:t>
            </w:r>
            <w:r w:rsidRPr="00A44AEB">
              <w:rPr>
                <w:rFonts w:ascii="Arial" w:eastAsia="Calibri" w:hAnsi="Arial" w:cs="Arial"/>
                <w:sz w:val="16"/>
                <w:szCs w:val="16"/>
              </w:rPr>
              <w:t>.</w:t>
            </w:r>
          </w:p>
        </w:tc>
        <w:tc>
          <w:tcPr>
            <w:tcW w:w="992" w:type="dxa"/>
            <w:shd w:val="clear" w:color="auto" w:fill="BFBFBF" w:themeFill="background1" w:themeFillShade="BF"/>
            <w:vAlign w:val="center"/>
          </w:tcPr>
          <w:p w14:paraId="153F67A6" w14:textId="75B5B4D7"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Izvršeno 202</w:t>
            </w:r>
            <w:r w:rsidR="007D013F">
              <w:rPr>
                <w:rFonts w:ascii="Arial" w:eastAsia="Calibri" w:hAnsi="Arial" w:cs="Arial"/>
                <w:sz w:val="16"/>
                <w:szCs w:val="16"/>
              </w:rPr>
              <w:t>5</w:t>
            </w:r>
            <w:r w:rsidRPr="00A44AEB">
              <w:rPr>
                <w:rFonts w:ascii="Arial" w:eastAsia="Calibri" w:hAnsi="Arial" w:cs="Arial"/>
                <w:sz w:val="16"/>
                <w:szCs w:val="16"/>
              </w:rPr>
              <w:t>.</w:t>
            </w:r>
          </w:p>
        </w:tc>
        <w:tc>
          <w:tcPr>
            <w:tcW w:w="992" w:type="dxa"/>
            <w:shd w:val="clear" w:color="auto" w:fill="BFBFBF" w:themeFill="background1" w:themeFillShade="BF"/>
            <w:vAlign w:val="center"/>
          </w:tcPr>
          <w:p w14:paraId="3C780F31" w14:textId="0E7E3336"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Ciljana vrijednost 202</w:t>
            </w:r>
            <w:r w:rsidR="007D013F">
              <w:rPr>
                <w:rFonts w:ascii="Arial" w:eastAsia="Calibri" w:hAnsi="Arial" w:cs="Arial"/>
                <w:sz w:val="16"/>
                <w:szCs w:val="16"/>
              </w:rPr>
              <w:t>6</w:t>
            </w:r>
            <w:r w:rsidRPr="00A44AEB">
              <w:rPr>
                <w:rFonts w:ascii="Arial" w:eastAsia="Calibri" w:hAnsi="Arial" w:cs="Arial"/>
                <w:sz w:val="16"/>
                <w:szCs w:val="16"/>
              </w:rPr>
              <w:t>.</w:t>
            </w:r>
          </w:p>
        </w:tc>
        <w:tc>
          <w:tcPr>
            <w:tcW w:w="1134" w:type="dxa"/>
            <w:shd w:val="clear" w:color="auto" w:fill="BFBFBF" w:themeFill="background1" w:themeFillShade="BF"/>
            <w:vAlign w:val="center"/>
          </w:tcPr>
          <w:p w14:paraId="64EB9401" w14:textId="219CD2F8" w:rsidR="00A44AEB" w:rsidRPr="00A44AEB" w:rsidRDefault="00A44AEB" w:rsidP="00B06B88">
            <w:pPr>
              <w:jc w:val="center"/>
              <w:rPr>
                <w:rFonts w:ascii="Arial" w:eastAsia="Calibri" w:hAnsi="Arial" w:cs="Arial"/>
                <w:sz w:val="16"/>
                <w:szCs w:val="16"/>
              </w:rPr>
            </w:pPr>
            <w:r w:rsidRPr="00A44AEB">
              <w:rPr>
                <w:rFonts w:ascii="Arial" w:eastAsia="Calibri" w:hAnsi="Arial" w:cs="Arial"/>
                <w:sz w:val="16"/>
                <w:szCs w:val="16"/>
              </w:rPr>
              <w:t>Ciljana vrijednost 202</w:t>
            </w:r>
            <w:r w:rsidR="007D013F">
              <w:rPr>
                <w:rFonts w:ascii="Arial" w:eastAsia="Calibri" w:hAnsi="Arial" w:cs="Arial"/>
                <w:sz w:val="16"/>
                <w:szCs w:val="16"/>
              </w:rPr>
              <w:t>7</w:t>
            </w:r>
            <w:r w:rsidRPr="00A44AEB">
              <w:rPr>
                <w:rFonts w:ascii="Arial" w:eastAsia="Calibri" w:hAnsi="Arial" w:cs="Arial"/>
                <w:sz w:val="16"/>
                <w:szCs w:val="16"/>
              </w:rPr>
              <w:t>.</w:t>
            </w:r>
          </w:p>
        </w:tc>
      </w:tr>
      <w:tr w:rsidR="00A44AEB" w:rsidRPr="00A44AEB" w14:paraId="338FA0C6" w14:textId="77777777" w:rsidTr="00EA587B">
        <w:trPr>
          <w:trHeight w:val="621"/>
          <w:jc w:val="center"/>
        </w:trPr>
        <w:tc>
          <w:tcPr>
            <w:tcW w:w="2263" w:type="dxa"/>
            <w:vAlign w:val="center"/>
          </w:tcPr>
          <w:p w14:paraId="74B211E9" w14:textId="77777777" w:rsidR="00A44AEB" w:rsidRPr="00A44AEB" w:rsidRDefault="00A44AEB" w:rsidP="00B06B88">
            <w:pPr>
              <w:rPr>
                <w:rFonts w:ascii="Arial" w:hAnsi="Arial" w:cs="Arial"/>
                <w:sz w:val="16"/>
                <w:szCs w:val="16"/>
                <w:lang w:eastAsia="en-US"/>
              </w:rPr>
            </w:pPr>
            <w:r w:rsidRPr="00A53DCF">
              <w:rPr>
                <w:rFonts w:ascii="Arial" w:hAnsi="Arial" w:cs="Arial"/>
                <w:sz w:val="18"/>
                <w:szCs w:val="18"/>
                <w:lang w:eastAsia="en-US"/>
              </w:rPr>
              <w:t xml:space="preserve">Broj radionica za odrasle </w:t>
            </w:r>
          </w:p>
        </w:tc>
        <w:tc>
          <w:tcPr>
            <w:tcW w:w="3274" w:type="dxa"/>
            <w:vAlign w:val="center"/>
          </w:tcPr>
          <w:p w14:paraId="6E6605C9" w14:textId="77777777" w:rsidR="00A44AEB" w:rsidRPr="00A44AEB" w:rsidRDefault="00A44AEB" w:rsidP="00B06B88">
            <w:pPr>
              <w:rPr>
                <w:rFonts w:ascii="Arial" w:hAnsi="Arial" w:cs="Arial"/>
                <w:sz w:val="16"/>
                <w:szCs w:val="16"/>
                <w:lang w:eastAsia="en-US"/>
              </w:rPr>
            </w:pPr>
            <w:r w:rsidRPr="00A53DCF">
              <w:rPr>
                <w:rFonts w:ascii="Arial" w:hAnsi="Arial" w:cs="Arial"/>
                <w:sz w:val="18"/>
                <w:szCs w:val="18"/>
                <w:lang w:eastAsia="en-US"/>
              </w:rPr>
              <w:t>Organiziranje radionica za odrasle</w:t>
            </w:r>
          </w:p>
        </w:tc>
        <w:tc>
          <w:tcPr>
            <w:tcW w:w="1274" w:type="dxa"/>
            <w:vAlign w:val="center"/>
          </w:tcPr>
          <w:p w14:paraId="5AF8F0D2" w14:textId="77777777" w:rsidR="00A44AEB" w:rsidRPr="00A44AEB" w:rsidRDefault="00A44AEB" w:rsidP="00B06B88">
            <w:pPr>
              <w:jc w:val="center"/>
              <w:rPr>
                <w:rFonts w:ascii="Arial" w:hAnsi="Arial" w:cs="Arial"/>
                <w:sz w:val="16"/>
                <w:szCs w:val="16"/>
                <w:lang w:eastAsia="en-US"/>
              </w:rPr>
            </w:pPr>
            <w:r w:rsidRPr="00A53DCF">
              <w:rPr>
                <w:rFonts w:ascii="Arial" w:hAnsi="Arial" w:cs="Arial"/>
                <w:sz w:val="18"/>
                <w:szCs w:val="18"/>
                <w:lang w:eastAsia="en-US"/>
              </w:rPr>
              <w:t>program</w:t>
            </w:r>
          </w:p>
        </w:tc>
        <w:tc>
          <w:tcPr>
            <w:tcW w:w="1134" w:type="dxa"/>
            <w:vAlign w:val="center"/>
          </w:tcPr>
          <w:p w14:paraId="1B3B8B6C" w14:textId="2375D580" w:rsidR="00A44AEB" w:rsidRPr="00A44AEB" w:rsidRDefault="007D013F" w:rsidP="00B06B88">
            <w:pPr>
              <w:jc w:val="center"/>
              <w:rPr>
                <w:rFonts w:ascii="Arial" w:hAnsi="Arial" w:cs="Arial"/>
                <w:sz w:val="16"/>
                <w:szCs w:val="16"/>
                <w:lang w:eastAsia="en-US"/>
              </w:rPr>
            </w:pPr>
            <w:r>
              <w:rPr>
                <w:rFonts w:ascii="Arial" w:hAnsi="Arial" w:cs="Arial"/>
                <w:sz w:val="18"/>
                <w:szCs w:val="18"/>
                <w:lang w:eastAsia="en-US"/>
              </w:rPr>
              <w:t>11</w:t>
            </w:r>
          </w:p>
        </w:tc>
        <w:tc>
          <w:tcPr>
            <w:tcW w:w="988" w:type="dxa"/>
            <w:vAlign w:val="center"/>
          </w:tcPr>
          <w:p w14:paraId="56606D9F" w14:textId="77777777" w:rsidR="00A44AEB" w:rsidRPr="00EA587B" w:rsidRDefault="00A44AEB" w:rsidP="00B06B88">
            <w:pPr>
              <w:jc w:val="center"/>
              <w:rPr>
                <w:rFonts w:ascii="Arial" w:hAnsi="Arial" w:cs="Arial"/>
                <w:sz w:val="16"/>
                <w:szCs w:val="16"/>
                <w:lang w:eastAsia="en-US"/>
              </w:rPr>
            </w:pPr>
            <w:r w:rsidRPr="00EA587B">
              <w:rPr>
                <w:rFonts w:ascii="Arial" w:hAnsi="Arial" w:cs="Arial"/>
                <w:sz w:val="16"/>
                <w:szCs w:val="16"/>
                <w:lang w:eastAsia="en-US"/>
              </w:rPr>
              <w:t>Muzejski pedagog</w:t>
            </w:r>
          </w:p>
        </w:tc>
        <w:tc>
          <w:tcPr>
            <w:tcW w:w="997" w:type="dxa"/>
            <w:vAlign w:val="center"/>
          </w:tcPr>
          <w:p w14:paraId="4C5A603A" w14:textId="77777777" w:rsidR="00A44AEB" w:rsidRPr="00A44AEB" w:rsidRDefault="00A44AEB" w:rsidP="00B06B88">
            <w:pPr>
              <w:jc w:val="center"/>
              <w:rPr>
                <w:rFonts w:ascii="Arial" w:hAnsi="Arial" w:cs="Arial"/>
                <w:sz w:val="16"/>
                <w:szCs w:val="16"/>
                <w:lang w:eastAsia="en-US"/>
              </w:rPr>
            </w:pPr>
            <w:r w:rsidRPr="00A53DCF">
              <w:rPr>
                <w:rFonts w:ascii="Arial" w:hAnsi="Arial" w:cs="Arial"/>
                <w:sz w:val="18"/>
                <w:szCs w:val="18"/>
                <w:lang w:eastAsia="en-US"/>
              </w:rPr>
              <w:t>3</w:t>
            </w:r>
          </w:p>
        </w:tc>
        <w:tc>
          <w:tcPr>
            <w:tcW w:w="992" w:type="dxa"/>
            <w:vAlign w:val="center"/>
          </w:tcPr>
          <w:p w14:paraId="422A6763" w14:textId="439EDDAF" w:rsidR="00A44AEB" w:rsidRPr="00A44AEB" w:rsidRDefault="007C53DD" w:rsidP="00B06B88">
            <w:pPr>
              <w:jc w:val="center"/>
              <w:rPr>
                <w:rFonts w:ascii="Arial" w:hAnsi="Arial" w:cs="Arial"/>
                <w:sz w:val="16"/>
                <w:szCs w:val="16"/>
                <w:lang w:eastAsia="en-US"/>
              </w:rPr>
            </w:pPr>
            <w:r>
              <w:rPr>
                <w:rFonts w:ascii="Arial" w:hAnsi="Arial" w:cs="Arial"/>
                <w:sz w:val="18"/>
                <w:szCs w:val="18"/>
                <w:lang w:eastAsia="en-US"/>
              </w:rPr>
              <w:t>4</w:t>
            </w:r>
          </w:p>
        </w:tc>
        <w:tc>
          <w:tcPr>
            <w:tcW w:w="992" w:type="dxa"/>
            <w:vAlign w:val="center"/>
          </w:tcPr>
          <w:p w14:paraId="6FCD2464" w14:textId="77777777" w:rsidR="00A44AEB" w:rsidRPr="00A44AEB" w:rsidRDefault="00A44AEB" w:rsidP="00B06B88">
            <w:pPr>
              <w:jc w:val="center"/>
              <w:rPr>
                <w:rFonts w:ascii="Arial" w:hAnsi="Arial" w:cs="Arial"/>
                <w:sz w:val="16"/>
                <w:szCs w:val="16"/>
                <w:lang w:eastAsia="en-US"/>
              </w:rPr>
            </w:pPr>
            <w:r w:rsidRPr="00A53DCF">
              <w:rPr>
                <w:rFonts w:ascii="Arial" w:hAnsi="Arial" w:cs="Arial"/>
                <w:sz w:val="18"/>
                <w:szCs w:val="18"/>
                <w:lang w:eastAsia="en-US"/>
              </w:rPr>
              <w:t>3</w:t>
            </w:r>
          </w:p>
        </w:tc>
        <w:tc>
          <w:tcPr>
            <w:tcW w:w="1134" w:type="dxa"/>
            <w:vAlign w:val="center"/>
          </w:tcPr>
          <w:p w14:paraId="2BFA11F5" w14:textId="77777777" w:rsidR="00A44AEB" w:rsidRPr="00A44AEB" w:rsidRDefault="00A44AEB" w:rsidP="00B06B88">
            <w:pPr>
              <w:jc w:val="center"/>
              <w:rPr>
                <w:rFonts w:ascii="Arial" w:hAnsi="Arial" w:cs="Arial"/>
                <w:sz w:val="16"/>
                <w:szCs w:val="16"/>
                <w:lang w:eastAsia="en-US"/>
              </w:rPr>
            </w:pPr>
            <w:r w:rsidRPr="00A53DCF">
              <w:rPr>
                <w:rFonts w:ascii="Arial" w:hAnsi="Arial" w:cs="Arial"/>
                <w:sz w:val="18"/>
                <w:szCs w:val="18"/>
                <w:lang w:eastAsia="en-US"/>
              </w:rPr>
              <w:t>3</w:t>
            </w:r>
          </w:p>
        </w:tc>
      </w:tr>
    </w:tbl>
    <w:p w14:paraId="068CBCA3" w14:textId="77777777" w:rsidR="007C53DD" w:rsidRPr="007C53DD" w:rsidRDefault="007C53DD" w:rsidP="007C53DD">
      <w:pPr>
        <w:spacing w:after="0" w:line="259" w:lineRule="auto"/>
        <w:rPr>
          <w:rFonts w:ascii="Arial" w:eastAsia="Calibri" w:hAnsi="Arial" w:cs="Arial"/>
          <w:sz w:val="20"/>
          <w:szCs w:val="20"/>
          <w:lang w:eastAsia="en-US"/>
        </w:rPr>
      </w:pPr>
      <w:r w:rsidRPr="007C53DD">
        <w:rPr>
          <w:rFonts w:ascii="Arial" w:eastAsia="Calibri" w:hAnsi="Arial" w:cs="Arial"/>
          <w:sz w:val="20"/>
          <w:szCs w:val="20"/>
          <w:lang w:eastAsia="en-US"/>
        </w:rPr>
        <w:t>OPIS: Ustanova redovito organizira i radionica za odrasle u svim muzejskim jedinicama kako bi se baštinske vrijednosti približile i njegovale i tim dobnim skupinama. Do 30. 6. 2025. u ustanovi je održano 4 radionice za odraslu publiku, od toga tri u Kući Bukovac i jedna u organizaciju Zavičajnog muzeja Konavala.</w:t>
      </w:r>
    </w:p>
    <w:p w14:paraId="7D2C5EAF" w14:textId="77777777" w:rsidR="00A44AEB" w:rsidRPr="00A53DCF" w:rsidRDefault="00A44AEB" w:rsidP="00A44AEB">
      <w:pPr>
        <w:spacing w:after="0" w:line="240" w:lineRule="auto"/>
        <w:rPr>
          <w:rFonts w:ascii="Arial" w:eastAsia="Times New Roman" w:hAnsi="Arial" w:cs="Arial"/>
          <w:kern w:val="2"/>
          <w:sz w:val="20"/>
          <w:szCs w:val="20"/>
          <w:lang w:eastAsia="en-US"/>
          <w14:ligatures w14:val="standardContextual"/>
        </w:rPr>
      </w:pPr>
      <w:bookmarkStart w:id="353" w:name="_Hlk193468808"/>
    </w:p>
    <w:tbl>
      <w:tblPr>
        <w:tblStyle w:val="Reetkatablice5"/>
        <w:tblW w:w="12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701"/>
        <w:gridCol w:w="1274"/>
        <w:gridCol w:w="1134"/>
        <w:gridCol w:w="988"/>
        <w:gridCol w:w="997"/>
        <w:gridCol w:w="992"/>
        <w:gridCol w:w="992"/>
        <w:gridCol w:w="1134"/>
      </w:tblGrid>
      <w:tr w:rsidR="007C53DD" w:rsidRPr="00A44AEB" w14:paraId="0FBAF6F8" w14:textId="77777777" w:rsidTr="00731E7F">
        <w:trPr>
          <w:jc w:val="center"/>
        </w:trPr>
        <w:tc>
          <w:tcPr>
            <w:tcW w:w="2263" w:type="dxa"/>
            <w:shd w:val="clear" w:color="auto" w:fill="BFBFBF" w:themeFill="background1" w:themeFillShade="BF"/>
            <w:vAlign w:val="center"/>
          </w:tcPr>
          <w:bookmarkEnd w:id="353"/>
          <w:p w14:paraId="2A394A0D" w14:textId="77777777"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Pokazatelj uspješnosti</w:t>
            </w:r>
          </w:p>
        </w:tc>
        <w:tc>
          <w:tcPr>
            <w:tcW w:w="2701" w:type="dxa"/>
            <w:shd w:val="clear" w:color="auto" w:fill="BFBFBF" w:themeFill="background1" w:themeFillShade="BF"/>
            <w:vAlign w:val="center"/>
          </w:tcPr>
          <w:p w14:paraId="72DA8C8B" w14:textId="77777777"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Definicija</w:t>
            </w:r>
          </w:p>
        </w:tc>
        <w:tc>
          <w:tcPr>
            <w:tcW w:w="1274" w:type="dxa"/>
            <w:shd w:val="clear" w:color="auto" w:fill="BFBFBF" w:themeFill="background1" w:themeFillShade="BF"/>
            <w:vAlign w:val="center"/>
          </w:tcPr>
          <w:p w14:paraId="454E96B3" w14:textId="77777777"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Jedinica</w:t>
            </w:r>
          </w:p>
        </w:tc>
        <w:tc>
          <w:tcPr>
            <w:tcW w:w="1134" w:type="dxa"/>
            <w:shd w:val="clear" w:color="auto" w:fill="BFBFBF" w:themeFill="background1" w:themeFillShade="BF"/>
            <w:vAlign w:val="center"/>
          </w:tcPr>
          <w:p w14:paraId="45E38983" w14:textId="77777777"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Polazna vrijednost</w:t>
            </w:r>
          </w:p>
          <w:p w14:paraId="342CE85C" w14:textId="451F2F92"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202</w:t>
            </w:r>
            <w:r>
              <w:rPr>
                <w:rFonts w:ascii="Arial" w:eastAsia="Calibri" w:hAnsi="Arial" w:cs="Arial"/>
                <w:sz w:val="16"/>
                <w:szCs w:val="16"/>
              </w:rPr>
              <w:t>4</w:t>
            </w:r>
            <w:r w:rsidRPr="00A44AEB">
              <w:rPr>
                <w:rFonts w:ascii="Arial" w:eastAsia="Calibri" w:hAnsi="Arial" w:cs="Arial"/>
                <w:sz w:val="16"/>
                <w:szCs w:val="16"/>
              </w:rPr>
              <w:t>.</w:t>
            </w:r>
          </w:p>
        </w:tc>
        <w:tc>
          <w:tcPr>
            <w:tcW w:w="988" w:type="dxa"/>
            <w:shd w:val="clear" w:color="auto" w:fill="BFBFBF" w:themeFill="background1" w:themeFillShade="BF"/>
            <w:vAlign w:val="center"/>
          </w:tcPr>
          <w:p w14:paraId="39DAD0E3" w14:textId="7A1E47D7"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Izvor podataka</w:t>
            </w:r>
          </w:p>
        </w:tc>
        <w:tc>
          <w:tcPr>
            <w:tcW w:w="997" w:type="dxa"/>
            <w:shd w:val="clear" w:color="auto" w:fill="BFBFBF" w:themeFill="background1" w:themeFillShade="BF"/>
            <w:vAlign w:val="center"/>
          </w:tcPr>
          <w:p w14:paraId="1A8C6889" w14:textId="6326E08D"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Ciljana vrijednost 202</w:t>
            </w:r>
            <w:r>
              <w:rPr>
                <w:rFonts w:ascii="Arial" w:eastAsia="Calibri" w:hAnsi="Arial" w:cs="Arial"/>
                <w:sz w:val="16"/>
                <w:szCs w:val="16"/>
              </w:rPr>
              <w:t>5</w:t>
            </w:r>
            <w:r w:rsidRPr="00A44AEB">
              <w:rPr>
                <w:rFonts w:ascii="Arial" w:eastAsia="Calibri" w:hAnsi="Arial" w:cs="Arial"/>
                <w:sz w:val="16"/>
                <w:szCs w:val="16"/>
              </w:rPr>
              <w:t>.</w:t>
            </w:r>
          </w:p>
        </w:tc>
        <w:tc>
          <w:tcPr>
            <w:tcW w:w="992" w:type="dxa"/>
            <w:shd w:val="clear" w:color="auto" w:fill="BFBFBF" w:themeFill="background1" w:themeFillShade="BF"/>
            <w:vAlign w:val="center"/>
          </w:tcPr>
          <w:p w14:paraId="179321F8" w14:textId="326C19FF"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Izvršeno 202</w:t>
            </w:r>
            <w:r>
              <w:rPr>
                <w:rFonts w:ascii="Arial" w:eastAsia="Calibri" w:hAnsi="Arial" w:cs="Arial"/>
                <w:sz w:val="16"/>
                <w:szCs w:val="16"/>
              </w:rPr>
              <w:t>5</w:t>
            </w:r>
            <w:r w:rsidRPr="00A44AEB">
              <w:rPr>
                <w:rFonts w:ascii="Arial" w:eastAsia="Calibri" w:hAnsi="Arial" w:cs="Arial"/>
                <w:sz w:val="16"/>
                <w:szCs w:val="16"/>
              </w:rPr>
              <w:t>.</w:t>
            </w:r>
          </w:p>
        </w:tc>
        <w:tc>
          <w:tcPr>
            <w:tcW w:w="992" w:type="dxa"/>
            <w:shd w:val="clear" w:color="auto" w:fill="BFBFBF" w:themeFill="background1" w:themeFillShade="BF"/>
            <w:vAlign w:val="center"/>
          </w:tcPr>
          <w:p w14:paraId="028AE48A" w14:textId="1D9448AB"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Ciljana vrijednost 202</w:t>
            </w:r>
            <w:r>
              <w:rPr>
                <w:rFonts w:ascii="Arial" w:eastAsia="Calibri" w:hAnsi="Arial" w:cs="Arial"/>
                <w:sz w:val="16"/>
                <w:szCs w:val="16"/>
              </w:rPr>
              <w:t>6</w:t>
            </w:r>
            <w:r w:rsidRPr="00A44AEB">
              <w:rPr>
                <w:rFonts w:ascii="Arial" w:eastAsia="Calibri" w:hAnsi="Arial" w:cs="Arial"/>
                <w:sz w:val="16"/>
                <w:szCs w:val="16"/>
              </w:rPr>
              <w:t>.</w:t>
            </w:r>
          </w:p>
        </w:tc>
        <w:tc>
          <w:tcPr>
            <w:tcW w:w="1134" w:type="dxa"/>
            <w:shd w:val="clear" w:color="auto" w:fill="BFBFBF" w:themeFill="background1" w:themeFillShade="BF"/>
            <w:vAlign w:val="center"/>
          </w:tcPr>
          <w:p w14:paraId="256E3383" w14:textId="1346EAA3"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Ciljana vrijednost 202</w:t>
            </w:r>
            <w:r>
              <w:rPr>
                <w:rFonts w:ascii="Arial" w:eastAsia="Calibri" w:hAnsi="Arial" w:cs="Arial"/>
                <w:sz w:val="16"/>
                <w:szCs w:val="16"/>
              </w:rPr>
              <w:t>7</w:t>
            </w:r>
            <w:r w:rsidRPr="00A44AEB">
              <w:rPr>
                <w:rFonts w:ascii="Arial" w:eastAsia="Calibri" w:hAnsi="Arial" w:cs="Arial"/>
                <w:sz w:val="16"/>
                <w:szCs w:val="16"/>
              </w:rPr>
              <w:t>.</w:t>
            </w:r>
          </w:p>
        </w:tc>
      </w:tr>
      <w:tr w:rsidR="00A44AEB" w:rsidRPr="00A44AEB" w14:paraId="79DE97D5" w14:textId="77777777" w:rsidTr="00731E7F">
        <w:trPr>
          <w:trHeight w:val="621"/>
          <w:jc w:val="center"/>
        </w:trPr>
        <w:tc>
          <w:tcPr>
            <w:tcW w:w="2263" w:type="dxa"/>
            <w:vAlign w:val="center"/>
          </w:tcPr>
          <w:p w14:paraId="12A1526D" w14:textId="77777777" w:rsidR="00A44AEB" w:rsidRPr="00A44AEB" w:rsidRDefault="00A44AEB" w:rsidP="00B06B88">
            <w:pPr>
              <w:rPr>
                <w:rFonts w:ascii="Arial" w:hAnsi="Arial" w:cs="Arial"/>
                <w:sz w:val="16"/>
                <w:szCs w:val="16"/>
                <w:lang w:eastAsia="en-US"/>
              </w:rPr>
            </w:pPr>
            <w:r w:rsidRPr="00A53DCF">
              <w:rPr>
                <w:rFonts w:ascii="Arial" w:hAnsi="Arial" w:cs="Arial"/>
                <w:sz w:val="18"/>
                <w:szCs w:val="18"/>
                <w:lang w:eastAsia="en-US"/>
              </w:rPr>
              <w:t>Broj programa za osobe starije dobi</w:t>
            </w:r>
          </w:p>
        </w:tc>
        <w:tc>
          <w:tcPr>
            <w:tcW w:w="2701" w:type="dxa"/>
            <w:vAlign w:val="center"/>
          </w:tcPr>
          <w:p w14:paraId="51E3DA44" w14:textId="77777777" w:rsidR="00A44AEB" w:rsidRPr="00A44AEB" w:rsidRDefault="00A44AEB" w:rsidP="00B06B88">
            <w:pPr>
              <w:rPr>
                <w:rFonts w:ascii="Arial" w:hAnsi="Arial" w:cs="Arial"/>
                <w:sz w:val="16"/>
                <w:szCs w:val="16"/>
                <w:lang w:eastAsia="en-US"/>
              </w:rPr>
            </w:pPr>
            <w:r w:rsidRPr="00A53DCF">
              <w:rPr>
                <w:rFonts w:ascii="Arial" w:hAnsi="Arial" w:cs="Arial"/>
                <w:sz w:val="18"/>
                <w:szCs w:val="18"/>
                <w:lang w:eastAsia="en-US"/>
              </w:rPr>
              <w:t>Organiziranje susreta i posjeta Domu za umirovljenike</w:t>
            </w:r>
          </w:p>
        </w:tc>
        <w:tc>
          <w:tcPr>
            <w:tcW w:w="1274" w:type="dxa"/>
            <w:vAlign w:val="center"/>
          </w:tcPr>
          <w:p w14:paraId="2D394529" w14:textId="77777777" w:rsidR="00A44AEB" w:rsidRPr="00A44AEB" w:rsidRDefault="00A44AEB" w:rsidP="00B06B88">
            <w:pPr>
              <w:jc w:val="center"/>
              <w:rPr>
                <w:rFonts w:ascii="Arial" w:hAnsi="Arial" w:cs="Arial"/>
                <w:sz w:val="16"/>
                <w:szCs w:val="16"/>
                <w:lang w:eastAsia="en-US"/>
              </w:rPr>
            </w:pPr>
            <w:r w:rsidRPr="00A53DCF">
              <w:rPr>
                <w:rFonts w:ascii="Arial" w:hAnsi="Arial" w:cs="Arial"/>
                <w:sz w:val="18"/>
                <w:szCs w:val="18"/>
                <w:lang w:eastAsia="en-US"/>
              </w:rPr>
              <w:t>program</w:t>
            </w:r>
          </w:p>
        </w:tc>
        <w:tc>
          <w:tcPr>
            <w:tcW w:w="1134" w:type="dxa"/>
            <w:vAlign w:val="center"/>
          </w:tcPr>
          <w:p w14:paraId="091F034D" w14:textId="40FFC3E5" w:rsidR="00A44AEB" w:rsidRPr="00A44AEB" w:rsidRDefault="007C53DD" w:rsidP="00B06B88">
            <w:pPr>
              <w:jc w:val="center"/>
              <w:rPr>
                <w:rFonts w:ascii="Arial" w:hAnsi="Arial" w:cs="Arial"/>
                <w:sz w:val="16"/>
                <w:szCs w:val="16"/>
                <w:lang w:eastAsia="en-US"/>
              </w:rPr>
            </w:pPr>
            <w:r>
              <w:rPr>
                <w:rFonts w:ascii="Arial" w:hAnsi="Arial" w:cs="Arial"/>
                <w:sz w:val="18"/>
                <w:szCs w:val="18"/>
                <w:lang w:eastAsia="en-US"/>
              </w:rPr>
              <w:t>0</w:t>
            </w:r>
          </w:p>
        </w:tc>
        <w:tc>
          <w:tcPr>
            <w:tcW w:w="988" w:type="dxa"/>
            <w:vAlign w:val="center"/>
          </w:tcPr>
          <w:p w14:paraId="05CE4671" w14:textId="77777777" w:rsidR="00A44AEB" w:rsidRPr="00A44AEB" w:rsidRDefault="00A44AEB" w:rsidP="00B06B88">
            <w:pPr>
              <w:jc w:val="center"/>
              <w:rPr>
                <w:rFonts w:ascii="Arial" w:hAnsi="Arial" w:cs="Arial"/>
                <w:sz w:val="16"/>
                <w:szCs w:val="16"/>
                <w:lang w:eastAsia="en-US"/>
              </w:rPr>
            </w:pPr>
            <w:r w:rsidRPr="00A53DCF">
              <w:rPr>
                <w:rFonts w:ascii="Arial" w:hAnsi="Arial" w:cs="Arial"/>
                <w:sz w:val="18"/>
                <w:szCs w:val="18"/>
                <w:lang w:eastAsia="en-US"/>
              </w:rPr>
              <w:t>Muzejski pedagog</w:t>
            </w:r>
          </w:p>
        </w:tc>
        <w:tc>
          <w:tcPr>
            <w:tcW w:w="997" w:type="dxa"/>
            <w:vAlign w:val="center"/>
          </w:tcPr>
          <w:p w14:paraId="557109A2" w14:textId="77777777" w:rsidR="00A44AEB" w:rsidRPr="00A44AEB" w:rsidRDefault="00A44AEB" w:rsidP="00B06B88">
            <w:pPr>
              <w:jc w:val="center"/>
              <w:rPr>
                <w:rFonts w:ascii="Arial" w:hAnsi="Arial" w:cs="Arial"/>
                <w:sz w:val="16"/>
                <w:szCs w:val="16"/>
                <w:lang w:eastAsia="en-US"/>
              </w:rPr>
            </w:pPr>
            <w:r w:rsidRPr="00A53DCF">
              <w:rPr>
                <w:rFonts w:ascii="Arial" w:hAnsi="Arial" w:cs="Arial"/>
                <w:sz w:val="18"/>
                <w:szCs w:val="18"/>
                <w:lang w:eastAsia="en-US"/>
              </w:rPr>
              <w:t>12</w:t>
            </w:r>
          </w:p>
        </w:tc>
        <w:tc>
          <w:tcPr>
            <w:tcW w:w="992" w:type="dxa"/>
            <w:vAlign w:val="center"/>
          </w:tcPr>
          <w:p w14:paraId="6C8B689C" w14:textId="77777777" w:rsidR="00A44AEB" w:rsidRPr="00A44AEB" w:rsidRDefault="00A44AEB" w:rsidP="00B06B88">
            <w:pPr>
              <w:jc w:val="center"/>
              <w:rPr>
                <w:rFonts w:ascii="Arial" w:hAnsi="Arial" w:cs="Arial"/>
                <w:sz w:val="16"/>
                <w:szCs w:val="16"/>
                <w:lang w:eastAsia="en-US"/>
              </w:rPr>
            </w:pPr>
            <w:r w:rsidRPr="00A53DCF">
              <w:rPr>
                <w:rFonts w:ascii="Arial" w:hAnsi="Arial" w:cs="Arial"/>
                <w:sz w:val="18"/>
                <w:szCs w:val="18"/>
                <w:lang w:eastAsia="en-US"/>
              </w:rPr>
              <w:t>0</w:t>
            </w:r>
          </w:p>
        </w:tc>
        <w:tc>
          <w:tcPr>
            <w:tcW w:w="992" w:type="dxa"/>
            <w:vAlign w:val="center"/>
          </w:tcPr>
          <w:p w14:paraId="3B3923EE" w14:textId="77777777" w:rsidR="00A44AEB" w:rsidRPr="00A44AEB" w:rsidRDefault="00A44AEB" w:rsidP="00B06B88">
            <w:pPr>
              <w:jc w:val="center"/>
              <w:rPr>
                <w:rFonts w:ascii="Arial" w:hAnsi="Arial" w:cs="Arial"/>
                <w:sz w:val="16"/>
                <w:szCs w:val="16"/>
                <w:lang w:eastAsia="en-US"/>
              </w:rPr>
            </w:pPr>
            <w:r w:rsidRPr="00A53DCF">
              <w:rPr>
                <w:rFonts w:ascii="Arial" w:hAnsi="Arial" w:cs="Arial"/>
                <w:sz w:val="18"/>
                <w:szCs w:val="18"/>
                <w:lang w:eastAsia="en-US"/>
              </w:rPr>
              <w:t>12</w:t>
            </w:r>
          </w:p>
        </w:tc>
        <w:tc>
          <w:tcPr>
            <w:tcW w:w="1134" w:type="dxa"/>
            <w:vAlign w:val="center"/>
          </w:tcPr>
          <w:p w14:paraId="1A2433A9" w14:textId="77777777" w:rsidR="00A44AEB" w:rsidRPr="00A44AEB" w:rsidRDefault="00A44AEB" w:rsidP="00B06B88">
            <w:pPr>
              <w:jc w:val="center"/>
              <w:rPr>
                <w:rFonts w:ascii="Arial" w:hAnsi="Arial" w:cs="Arial"/>
                <w:sz w:val="16"/>
                <w:szCs w:val="16"/>
                <w:lang w:eastAsia="en-US"/>
              </w:rPr>
            </w:pPr>
            <w:r w:rsidRPr="00A53DCF">
              <w:rPr>
                <w:rFonts w:ascii="Arial" w:hAnsi="Arial" w:cs="Arial"/>
                <w:sz w:val="18"/>
                <w:szCs w:val="18"/>
                <w:lang w:eastAsia="en-US"/>
              </w:rPr>
              <w:t>12</w:t>
            </w:r>
          </w:p>
        </w:tc>
      </w:tr>
    </w:tbl>
    <w:p w14:paraId="56A9E3F0" w14:textId="77777777" w:rsidR="007C53DD" w:rsidRPr="007C53DD" w:rsidRDefault="007C53DD" w:rsidP="007C53DD">
      <w:pPr>
        <w:spacing w:after="0" w:line="259" w:lineRule="auto"/>
        <w:rPr>
          <w:rFonts w:ascii="Arial" w:eastAsia="Calibri" w:hAnsi="Arial" w:cs="Arial"/>
          <w:sz w:val="20"/>
          <w:szCs w:val="20"/>
          <w:lang w:eastAsia="en-US"/>
        </w:rPr>
      </w:pPr>
      <w:r w:rsidRPr="007C53DD">
        <w:rPr>
          <w:rFonts w:ascii="Arial" w:eastAsia="Calibri" w:hAnsi="Arial" w:cs="Arial"/>
          <w:sz w:val="20"/>
          <w:szCs w:val="20"/>
          <w:lang w:eastAsia="en-US"/>
        </w:rPr>
        <w:t>OPIS: Muzejski pedagozi i kustosi pripremaju programe prilagođene osobama starije dobi u formi predavanja, likovnih i drugih kreativnih radionica, također takve programe organiziraju u suradnji sa Domom za starije i nemoćne osobe Gruda. U prvom polugodištu 2025. godine nije bilo realizacije navedenih programa.</w:t>
      </w:r>
    </w:p>
    <w:p w14:paraId="1D540899" w14:textId="77777777" w:rsidR="00A44AEB" w:rsidRPr="00A44AEB" w:rsidRDefault="00A44AEB" w:rsidP="00A44AEB">
      <w:pPr>
        <w:spacing w:after="0" w:line="259" w:lineRule="auto"/>
        <w:rPr>
          <w:rFonts w:ascii="Arial" w:eastAsia="Calibri" w:hAnsi="Arial" w:cs="Arial"/>
          <w:sz w:val="20"/>
          <w:szCs w:val="20"/>
          <w:highlight w:val="yellow"/>
          <w:lang w:eastAsia="en-US"/>
        </w:rPr>
      </w:pPr>
    </w:p>
    <w:tbl>
      <w:tblPr>
        <w:tblStyle w:val="Reetkatablice5"/>
        <w:tblW w:w="11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2246"/>
        <w:gridCol w:w="1274"/>
        <w:gridCol w:w="1134"/>
        <w:gridCol w:w="988"/>
        <w:gridCol w:w="997"/>
        <w:gridCol w:w="992"/>
        <w:gridCol w:w="992"/>
        <w:gridCol w:w="1134"/>
      </w:tblGrid>
      <w:tr w:rsidR="007C53DD" w:rsidRPr="00A44AEB" w14:paraId="47838E22" w14:textId="77777777" w:rsidTr="00B06B88">
        <w:trPr>
          <w:jc w:val="center"/>
        </w:trPr>
        <w:tc>
          <w:tcPr>
            <w:tcW w:w="2146" w:type="dxa"/>
            <w:shd w:val="clear" w:color="auto" w:fill="BFBFBF" w:themeFill="background1" w:themeFillShade="BF"/>
            <w:vAlign w:val="center"/>
          </w:tcPr>
          <w:p w14:paraId="3BDA8D1B" w14:textId="77777777"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Pokazatelj uspješnosti</w:t>
            </w:r>
          </w:p>
        </w:tc>
        <w:tc>
          <w:tcPr>
            <w:tcW w:w="2246" w:type="dxa"/>
            <w:shd w:val="clear" w:color="auto" w:fill="BFBFBF" w:themeFill="background1" w:themeFillShade="BF"/>
            <w:vAlign w:val="center"/>
          </w:tcPr>
          <w:p w14:paraId="4A640F23" w14:textId="77777777"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Definicija</w:t>
            </w:r>
          </w:p>
        </w:tc>
        <w:tc>
          <w:tcPr>
            <w:tcW w:w="1274" w:type="dxa"/>
            <w:shd w:val="clear" w:color="auto" w:fill="BFBFBF" w:themeFill="background1" w:themeFillShade="BF"/>
            <w:vAlign w:val="center"/>
          </w:tcPr>
          <w:p w14:paraId="7BA592BE" w14:textId="77777777"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Jedinica</w:t>
            </w:r>
          </w:p>
        </w:tc>
        <w:tc>
          <w:tcPr>
            <w:tcW w:w="1134" w:type="dxa"/>
            <w:shd w:val="clear" w:color="auto" w:fill="BFBFBF" w:themeFill="background1" w:themeFillShade="BF"/>
            <w:vAlign w:val="center"/>
          </w:tcPr>
          <w:p w14:paraId="20873FB3" w14:textId="77777777"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Polazna vrijednost</w:t>
            </w:r>
          </w:p>
          <w:p w14:paraId="6230AB05" w14:textId="7FA36B86"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202</w:t>
            </w:r>
            <w:r>
              <w:rPr>
                <w:rFonts w:ascii="Arial" w:eastAsia="Calibri" w:hAnsi="Arial" w:cs="Arial"/>
                <w:sz w:val="16"/>
                <w:szCs w:val="16"/>
              </w:rPr>
              <w:t>4</w:t>
            </w:r>
            <w:r w:rsidRPr="00A44AEB">
              <w:rPr>
                <w:rFonts w:ascii="Arial" w:eastAsia="Calibri" w:hAnsi="Arial" w:cs="Arial"/>
                <w:sz w:val="16"/>
                <w:szCs w:val="16"/>
              </w:rPr>
              <w:t>.</w:t>
            </w:r>
          </w:p>
        </w:tc>
        <w:tc>
          <w:tcPr>
            <w:tcW w:w="988" w:type="dxa"/>
            <w:shd w:val="clear" w:color="auto" w:fill="BFBFBF" w:themeFill="background1" w:themeFillShade="BF"/>
            <w:vAlign w:val="center"/>
          </w:tcPr>
          <w:p w14:paraId="001DB896" w14:textId="0FB2CB49"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Izvor podataka</w:t>
            </w:r>
          </w:p>
        </w:tc>
        <w:tc>
          <w:tcPr>
            <w:tcW w:w="997" w:type="dxa"/>
            <w:shd w:val="clear" w:color="auto" w:fill="BFBFBF" w:themeFill="background1" w:themeFillShade="BF"/>
            <w:vAlign w:val="center"/>
          </w:tcPr>
          <w:p w14:paraId="0F3EF6D6" w14:textId="3E0D78DE"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Ciljana vrijednost 202</w:t>
            </w:r>
            <w:r>
              <w:rPr>
                <w:rFonts w:ascii="Arial" w:eastAsia="Calibri" w:hAnsi="Arial" w:cs="Arial"/>
                <w:sz w:val="16"/>
                <w:szCs w:val="16"/>
              </w:rPr>
              <w:t>5</w:t>
            </w:r>
            <w:r w:rsidRPr="00A44AEB">
              <w:rPr>
                <w:rFonts w:ascii="Arial" w:eastAsia="Calibri" w:hAnsi="Arial" w:cs="Arial"/>
                <w:sz w:val="16"/>
                <w:szCs w:val="16"/>
              </w:rPr>
              <w:t>.</w:t>
            </w:r>
          </w:p>
        </w:tc>
        <w:tc>
          <w:tcPr>
            <w:tcW w:w="992" w:type="dxa"/>
            <w:shd w:val="clear" w:color="auto" w:fill="BFBFBF" w:themeFill="background1" w:themeFillShade="BF"/>
            <w:vAlign w:val="center"/>
          </w:tcPr>
          <w:p w14:paraId="7D9026E3" w14:textId="06574163"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Izvršeno 202</w:t>
            </w:r>
            <w:r>
              <w:rPr>
                <w:rFonts w:ascii="Arial" w:eastAsia="Calibri" w:hAnsi="Arial" w:cs="Arial"/>
                <w:sz w:val="16"/>
                <w:szCs w:val="16"/>
              </w:rPr>
              <w:t>5</w:t>
            </w:r>
            <w:r w:rsidRPr="00A44AEB">
              <w:rPr>
                <w:rFonts w:ascii="Arial" w:eastAsia="Calibri" w:hAnsi="Arial" w:cs="Arial"/>
                <w:sz w:val="16"/>
                <w:szCs w:val="16"/>
              </w:rPr>
              <w:t>.</w:t>
            </w:r>
          </w:p>
        </w:tc>
        <w:tc>
          <w:tcPr>
            <w:tcW w:w="992" w:type="dxa"/>
            <w:shd w:val="clear" w:color="auto" w:fill="BFBFBF" w:themeFill="background1" w:themeFillShade="BF"/>
            <w:vAlign w:val="center"/>
          </w:tcPr>
          <w:p w14:paraId="1E30D50C" w14:textId="6E8EF33F"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Ciljana vrijednost 202</w:t>
            </w:r>
            <w:r>
              <w:rPr>
                <w:rFonts w:ascii="Arial" w:eastAsia="Calibri" w:hAnsi="Arial" w:cs="Arial"/>
                <w:sz w:val="16"/>
                <w:szCs w:val="16"/>
              </w:rPr>
              <w:t>6</w:t>
            </w:r>
            <w:r w:rsidRPr="00A44AEB">
              <w:rPr>
                <w:rFonts w:ascii="Arial" w:eastAsia="Calibri" w:hAnsi="Arial" w:cs="Arial"/>
                <w:sz w:val="16"/>
                <w:szCs w:val="16"/>
              </w:rPr>
              <w:t>.</w:t>
            </w:r>
          </w:p>
        </w:tc>
        <w:tc>
          <w:tcPr>
            <w:tcW w:w="1134" w:type="dxa"/>
            <w:shd w:val="clear" w:color="auto" w:fill="BFBFBF" w:themeFill="background1" w:themeFillShade="BF"/>
            <w:vAlign w:val="center"/>
          </w:tcPr>
          <w:p w14:paraId="5269FFB4" w14:textId="6A2E4CDC"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Ciljana vrijednost 202</w:t>
            </w:r>
            <w:r>
              <w:rPr>
                <w:rFonts w:ascii="Arial" w:eastAsia="Calibri" w:hAnsi="Arial" w:cs="Arial"/>
                <w:sz w:val="16"/>
                <w:szCs w:val="16"/>
              </w:rPr>
              <w:t>7</w:t>
            </w:r>
            <w:r w:rsidRPr="00A44AEB">
              <w:rPr>
                <w:rFonts w:ascii="Arial" w:eastAsia="Calibri" w:hAnsi="Arial" w:cs="Arial"/>
                <w:sz w:val="16"/>
                <w:szCs w:val="16"/>
              </w:rPr>
              <w:t>.</w:t>
            </w:r>
          </w:p>
        </w:tc>
      </w:tr>
      <w:tr w:rsidR="00CA3590" w:rsidRPr="00A44AEB" w14:paraId="33CCB312" w14:textId="77777777" w:rsidTr="00B06B88">
        <w:trPr>
          <w:trHeight w:val="621"/>
          <w:jc w:val="center"/>
        </w:trPr>
        <w:tc>
          <w:tcPr>
            <w:tcW w:w="2146" w:type="dxa"/>
            <w:vAlign w:val="center"/>
          </w:tcPr>
          <w:p w14:paraId="1CF07DDA" w14:textId="77777777" w:rsidR="00CA3590" w:rsidRPr="00A44AEB" w:rsidRDefault="00CA3590" w:rsidP="00CA3590">
            <w:pPr>
              <w:rPr>
                <w:rFonts w:ascii="Arial" w:hAnsi="Arial" w:cs="Arial"/>
                <w:sz w:val="16"/>
                <w:szCs w:val="16"/>
                <w:lang w:eastAsia="en-US"/>
              </w:rPr>
            </w:pPr>
            <w:r w:rsidRPr="00A53DCF">
              <w:rPr>
                <w:rFonts w:ascii="Arial" w:hAnsi="Arial" w:cs="Arial"/>
                <w:sz w:val="18"/>
                <w:szCs w:val="18"/>
                <w:lang w:eastAsia="en-US"/>
              </w:rPr>
              <w:t>Broj posjeta školske  djece</w:t>
            </w:r>
          </w:p>
        </w:tc>
        <w:tc>
          <w:tcPr>
            <w:tcW w:w="2246" w:type="dxa"/>
            <w:vAlign w:val="center"/>
          </w:tcPr>
          <w:p w14:paraId="5118E352" w14:textId="77777777" w:rsidR="00CA3590" w:rsidRPr="00A44AEB" w:rsidRDefault="00CA3590" w:rsidP="00CA3590">
            <w:pPr>
              <w:rPr>
                <w:rFonts w:ascii="Arial" w:hAnsi="Arial" w:cs="Arial"/>
                <w:sz w:val="16"/>
                <w:szCs w:val="16"/>
                <w:lang w:eastAsia="en-US"/>
              </w:rPr>
            </w:pPr>
            <w:r w:rsidRPr="00A53DCF">
              <w:rPr>
                <w:rFonts w:ascii="Arial" w:hAnsi="Arial" w:cs="Arial"/>
                <w:sz w:val="18"/>
                <w:szCs w:val="18"/>
                <w:lang w:eastAsia="en-US"/>
              </w:rPr>
              <w:t>Intenzivna suradnja sa školama</w:t>
            </w:r>
          </w:p>
        </w:tc>
        <w:tc>
          <w:tcPr>
            <w:tcW w:w="1274" w:type="dxa"/>
            <w:vAlign w:val="center"/>
          </w:tcPr>
          <w:p w14:paraId="42D5936F" w14:textId="77777777" w:rsidR="00CA3590" w:rsidRPr="00A44AEB" w:rsidRDefault="00CA3590" w:rsidP="00CA3590">
            <w:pPr>
              <w:jc w:val="center"/>
              <w:rPr>
                <w:rFonts w:ascii="Arial" w:hAnsi="Arial" w:cs="Arial"/>
                <w:sz w:val="16"/>
                <w:szCs w:val="16"/>
                <w:lang w:eastAsia="en-US"/>
              </w:rPr>
            </w:pPr>
            <w:r w:rsidRPr="00A53DCF">
              <w:rPr>
                <w:rFonts w:ascii="Arial" w:hAnsi="Arial" w:cs="Arial"/>
                <w:sz w:val="18"/>
                <w:szCs w:val="18"/>
                <w:lang w:eastAsia="en-US"/>
              </w:rPr>
              <w:t>dijete</w:t>
            </w:r>
          </w:p>
        </w:tc>
        <w:tc>
          <w:tcPr>
            <w:tcW w:w="1134" w:type="dxa"/>
            <w:vAlign w:val="center"/>
          </w:tcPr>
          <w:p w14:paraId="1685F094" w14:textId="4B45B085" w:rsidR="00CA3590" w:rsidRPr="00A44AEB" w:rsidRDefault="00CA3590" w:rsidP="00CA3590">
            <w:pPr>
              <w:jc w:val="center"/>
              <w:rPr>
                <w:rFonts w:ascii="Arial" w:hAnsi="Arial" w:cs="Arial"/>
                <w:sz w:val="16"/>
                <w:szCs w:val="16"/>
                <w:lang w:eastAsia="en-US"/>
              </w:rPr>
            </w:pPr>
            <w:r w:rsidRPr="00A53DCF">
              <w:rPr>
                <w:rFonts w:ascii="Arial" w:hAnsi="Arial" w:cs="Arial"/>
                <w:sz w:val="18"/>
                <w:szCs w:val="18"/>
                <w:lang w:eastAsia="en-US"/>
              </w:rPr>
              <w:t>1942</w:t>
            </w:r>
          </w:p>
        </w:tc>
        <w:tc>
          <w:tcPr>
            <w:tcW w:w="988" w:type="dxa"/>
            <w:vAlign w:val="center"/>
          </w:tcPr>
          <w:p w14:paraId="2B6B1CC8" w14:textId="77777777" w:rsidR="00CA3590" w:rsidRPr="00A44AEB" w:rsidRDefault="00CA3590" w:rsidP="00CA3590">
            <w:pPr>
              <w:jc w:val="center"/>
              <w:rPr>
                <w:rFonts w:ascii="Arial" w:hAnsi="Arial" w:cs="Arial"/>
                <w:sz w:val="16"/>
                <w:szCs w:val="16"/>
                <w:lang w:eastAsia="en-US"/>
              </w:rPr>
            </w:pPr>
            <w:r w:rsidRPr="00A53DCF">
              <w:rPr>
                <w:rFonts w:ascii="Arial" w:hAnsi="Arial" w:cs="Arial"/>
                <w:sz w:val="18"/>
                <w:szCs w:val="18"/>
                <w:lang w:eastAsia="en-US"/>
              </w:rPr>
              <w:t>Odjel općih poslova</w:t>
            </w:r>
          </w:p>
        </w:tc>
        <w:tc>
          <w:tcPr>
            <w:tcW w:w="997" w:type="dxa"/>
            <w:vAlign w:val="center"/>
          </w:tcPr>
          <w:p w14:paraId="473BF547" w14:textId="77777777" w:rsidR="00CA3590" w:rsidRPr="00A44AEB" w:rsidRDefault="00CA3590" w:rsidP="00CA3590">
            <w:pPr>
              <w:jc w:val="center"/>
              <w:rPr>
                <w:rFonts w:ascii="Arial" w:hAnsi="Arial" w:cs="Arial"/>
                <w:sz w:val="16"/>
                <w:szCs w:val="16"/>
                <w:lang w:eastAsia="en-US"/>
              </w:rPr>
            </w:pPr>
            <w:r w:rsidRPr="00A53DCF">
              <w:rPr>
                <w:rFonts w:ascii="Arial" w:hAnsi="Arial" w:cs="Arial"/>
                <w:sz w:val="18"/>
                <w:szCs w:val="18"/>
                <w:lang w:eastAsia="en-US"/>
              </w:rPr>
              <w:t>1.500</w:t>
            </w:r>
          </w:p>
        </w:tc>
        <w:tc>
          <w:tcPr>
            <w:tcW w:w="992" w:type="dxa"/>
            <w:vAlign w:val="center"/>
          </w:tcPr>
          <w:p w14:paraId="623D8FB7" w14:textId="0EC3B73D" w:rsidR="00CA3590" w:rsidRPr="00A44AEB" w:rsidRDefault="00CA3590" w:rsidP="00CA3590">
            <w:pPr>
              <w:jc w:val="center"/>
              <w:rPr>
                <w:rFonts w:ascii="Arial" w:hAnsi="Arial" w:cs="Arial"/>
                <w:sz w:val="16"/>
                <w:szCs w:val="16"/>
                <w:lang w:eastAsia="en-US"/>
              </w:rPr>
            </w:pPr>
            <w:r>
              <w:rPr>
                <w:rFonts w:ascii="Arial" w:hAnsi="Arial" w:cs="Arial"/>
                <w:sz w:val="18"/>
                <w:szCs w:val="18"/>
                <w:lang w:eastAsia="en-US"/>
              </w:rPr>
              <w:t>1.135</w:t>
            </w:r>
          </w:p>
        </w:tc>
        <w:tc>
          <w:tcPr>
            <w:tcW w:w="992" w:type="dxa"/>
            <w:vAlign w:val="center"/>
          </w:tcPr>
          <w:p w14:paraId="6EBF4109" w14:textId="77777777" w:rsidR="00CA3590" w:rsidRPr="00A44AEB" w:rsidRDefault="00CA3590" w:rsidP="00CA3590">
            <w:pPr>
              <w:jc w:val="center"/>
              <w:rPr>
                <w:rFonts w:ascii="Arial" w:hAnsi="Arial" w:cs="Arial"/>
                <w:sz w:val="16"/>
                <w:szCs w:val="16"/>
                <w:lang w:eastAsia="en-US"/>
              </w:rPr>
            </w:pPr>
            <w:r w:rsidRPr="00A53DCF">
              <w:rPr>
                <w:rFonts w:ascii="Arial" w:hAnsi="Arial" w:cs="Arial"/>
                <w:sz w:val="18"/>
                <w:szCs w:val="18"/>
                <w:lang w:eastAsia="en-US"/>
              </w:rPr>
              <w:t>1.500</w:t>
            </w:r>
          </w:p>
        </w:tc>
        <w:tc>
          <w:tcPr>
            <w:tcW w:w="1134" w:type="dxa"/>
            <w:vAlign w:val="center"/>
          </w:tcPr>
          <w:p w14:paraId="3A2EE324" w14:textId="77777777" w:rsidR="00CA3590" w:rsidRPr="00A44AEB" w:rsidRDefault="00CA3590" w:rsidP="00CA3590">
            <w:pPr>
              <w:jc w:val="center"/>
              <w:rPr>
                <w:rFonts w:ascii="Arial" w:hAnsi="Arial" w:cs="Arial"/>
                <w:sz w:val="16"/>
                <w:szCs w:val="16"/>
                <w:lang w:eastAsia="en-US"/>
              </w:rPr>
            </w:pPr>
            <w:r w:rsidRPr="00A53DCF">
              <w:rPr>
                <w:rFonts w:ascii="Arial" w:hAnsi="Arial" w:cs="Arial"/>
                <w:sz w:val="18"/>
                <w:szCs w:val="18"/>
                <w:lang w:eastAsia="en-US"/>
              </w:rPr>
              <w:t>1.500</w:t>
            </w:r>
          </w:p>
        </w:tc>
      </w:tr>
    </w:tbl>
    <w:p w14:paraId="51FD03C5" w14:textId="77777777" w:rsidR="00CA3590" w:rsidRPr="00CA3590" w:rsidRDefault="00CA3590" w:rsidP="00CA3590">
      <w:pPr>
        <w:spacing w:after="0" w:line="259" w:lineRule="auto"/>
        <w:rPr>
          <w:rFonts w:ascii="Arial" w:eastAsia="Calibri" w:hAnsi="Arial" w:cs="Arial"/>
          <w:sz w:val="20"/>
          <w:szCs w:val="20"/>
          <w:lang w:eastAsia="en-US"/>
        </w:rPr>
      </w:pPr>
      <w:r w:rsidRPr="00CA3590">
        <w:rPr>
          <w:rFonts w:ascii="Arial" w:eastAsia="Calibri" w:hAnsi="Arial" w:cs="Arial"/>
          <w:sz w:val="20"/>
          <w:szCs w:val="20"/>
          <w:lang w:eastAsia="en-US"/>
        </w:rPr>
        <w:t>OPIS: Ustanova intenzivno surađuje sa obrazovnim ustanovama, najčešće sa osnovnim školama koje svoje posjete organiziraju uglavnom u kasno proljeće.</w:t>
      </w:r>
    </w:p>
    <w:p w14:paraId="06A66889" w14:textId="77777777" w:rsidR="00A44AEB" w:rsidRPr="00A44AEB" w:rsidRDefault="00A44AEB" w:rsidP="00A44AEB">
      <w:pPr>
        <w:spacing w:after="0" w:line="259" w:lineRule="auto"/>
        <w:rPr>
          <w:rFonts w:ascii="Arial" w:eastAsia="Calibri" w:hAnsi="Arial" w:cs="Arial"/>
          <w:sz w:val="20"/>
          <w:szCs w:val="20"/>
          <w:highlight w:val="yellow"/>
          <w:lang w:eastAsia="en-US"/>
        </w:rPr>
      </w:pPr>
    </w:p>
    <w:tbl>
      <w:tblPr>
        <w:tblStyle w:val="Reetkatablice5"/>
        <w:tblW w:w="12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0"/>
        <w:gridCol w:w="2246"/>
        <w:gridCol w:w="1274"/>
        <w:gridCol w:w="1134"/>
        <w:gridCol w:w="988"/>
        <w:gridCol w:w="997"/>
        <w:gridCol w:w="992"/>
        <w:gridCol w:w="992"/>
        <w:gridCol w:w="1134"/>
      </w:tblGrid>
      <w:tr w:rsidR="007C53DD" w:rsidRPr="00A44AEB" w14:paraId="4C321DD4" w14:textId="77777777" w:rsidTr="00731E7F">
        <w:trPr>
          <w:jc w:val="center"/>
        </w:trPr>
        <w:tc>
          <w:tcPr>
            <w:tcW w:w="2860" w:type="dxa"/>
            <w:shd w:val="clear" w:color="auto" w:fill="BFBFBF" w:themeFill="background1" w:themeFillShade="BF"/>
            <w:vAlign w:val="center"/>
          </w:tcPr>
          <w:p w14:paraId="3905051F" w14:textId="77777777"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Pokazatelj uspješnosti</w:t>
            </w:r>
          </w:p>
        </w:tc>
        <w:tc>
          <w:tcPr>
            <w:tcW w:w="2246" w:type="dxa"/>
            <w:shd w:val="clear" w:color="auto" w:fill="BFBFBF" w:themeFill="background1" w:themeFillShade="BF"/>
            <w:vAlign w:val="center"/>
          </w:tcPr>
          <w:p w14:paraId="10A23654" w14:textId="77777777"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Definicija</w:t>
            </w:r>
          </w:p>
        </w:tc>
        <w:tc>
          <w:tcPr>
            <w:tcW w:w="1274" w:type="dxa"/>
            <w:shd w:val="clear" w:color="auto" w:fill="BFBFBF" w:themeFill="background1" w:themeFillShade="BF"/>
            <w:vAlign w:val="center"/>
          </w:tcPr>
          <w:p w14:paraId="3A0AF39B" w14:textId="77777777"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Jedinica</w:t>
            </w:r>
          </w:p>
        </w:tc>
        <w:tc>
          <w:tcPr>
            <w:tcW w:w="1134" w:type="dxa"/>
            <w:shd w:val="clear" w:color="auto" w:fill="BFBFBF" w:themeFill="background1" w:themeFillShade="BF"/>
            <w:vAlign w:val="center"/>
          </w:tcPr>
          <w:p w14:paraId="2885F83D" w14:textId="77777777"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Polazna vrijednost</w:t>
            </w:r>
          </w:p>
          <w:p w14:paraId="46CF565B" w14:textId="3690F57B"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202</w:t>
            </w:r>
            <w:r>
              <w:rPr>
                <w:rFonts w:ascii="Arial" w:eastAsia="Calibri" w:hAnsi="Arial" w:cs="Arial"/>
                <w:sz w:val="16"/>
                <w:szCs w:val="16"/>
              </w:rPr>
              <w:t>4</w:t>
            </w:r>
            <w:r w:rsidRPr="00A44AEB">
              <w:rPr>
                <w:rFonts w:ascii="Arial" w:eastAsia="Calibri" w:hAnsi="Arial" w:cs="Arial"/>
                <w:sz w:val="16"/>
                <w:szCs w:val="16"/>
              </w:rPr>
              <w:t>.</w:t>
            </w:r>
          </w:p>
        </w:tc>
        <w:tc>
          <w:tcPr>
            <w:tcW w:w="988" w:type="dxa"/>
            <w:shd w:val="clear" w:color="auto" w:fill="BFBFBF" w:themeFill="background1" w:themeFillShade="BF"/>
            <w:vAlign w:val="center"/>
          </w:tcPr>
          <w:p w14:paraId="1B30C2FE" w14:textId="419D4E54"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Izvor podataka</w:t>
            </w:r>
          </w:p>
        </w:tc>
        <w:tc>
          <w:tcPr>
            <w:tcW w:w="997" w:type="dxa"/>
            <w:shd w:val="clear" w:color="auto" w:fill="BFBFBF" w:themeFill="background1" w:themeFillShade="BF"/>
            <w:vAlign w:val="center"/>
          </w:tcPr>
          <w:p w14:paraId="38B54D43" w14:textId="0FF7066D"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Ciljana vrijednost 202</w:t>
            </w:r>
            <w:r>
              <w:rPr>
                <w:rFonts w:ascii="Arial" w:eastAsia="Calibri" w:hAnsi="Arial" w:cs="Arial"/>
                <w:sz w:val="16"/>
                <w:szCs w:val="16"/>
              </w:rPr>
              <w:t>5</w:t>
            </w:r>
            <w:r w:rsidRPr="00A44AEB">
              <w:rPr>
                <w:rFonts w:ascii="Arial" w:eastAsia="Calibri" w:hAnsi="Arial" w:cs="Arial"/>
                <w:sz w:val="16"/>
                <w:szCs w:val="16"/>
              </w:rPr>
              <w:t>.</w:t>
            </w:r>
          </w:p>
        </w:tc>
        <w:tc>
          <w:tcPr>
            <w:tcW w:w="992" w:type="dxa"/>
            <w:shd w:val="clear" w:color="auto" w:fill="BFBFBF" w:themeFill="background1" w:themeFillShade="BF"/>
            <w:vAlign w:val="center"/>
          </w:tcPr>
          <w:p w14:paraId="1E61C5A7" w14:textId="29FCBB6A"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Izvršeno 202</w:t>
            </w:r>
            <w:r>
              <w:rPr>
                <w:rFonts w:ascii="Arial" w:eastAsia="Calibri" w:hAnsi="Arial" w:cs="Arial"/>
                <w:sz w:val="16"/>
                <w:szCs w:val="16"/>
              </w:rPr>
              <w:t>5</w:t>
            </w:r>
            <w:r w:rsidRPr="00A44AEB">
              <w:rPr>
                <w:rFonts w:ascii="Arial" w:eastAsia="Calibri" w:hAnsi="Arial" w:cs="Arial"/>
                <w:sz w:val="16"/>
                <w:szCs w:val="16"/>
              </w:rPr>
              <w:t>.</w:t>
            </w:r>
          </w:p>
        </w:tc>
        <w:tc>
          <w:tcPr>
            <w:tcW w:w="992" w:type="dxa"/>
            <w:shd w:val="clear" w:color="auto" w:fill="BFBFBF" w:themeFill="background1" w:themeFillShade="BF"/>
            <w:vAlign w:val="center"/>
          </w:tcPr>
          <w:p w14:paraId="27E867FE" w14:textId="4AC24913"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Ciljana vrijednost 202</w:t>
            </w:r>
            <w:r>
              <w:rPr>
                <w:rFonts w:ascii="Arial" w:eastAsia="Calibri" w:hAnsi="Arial" w:cs="Arial"/>
                <w:sz w:val="16"/>
                <w:szCs w:val="16"/>
              </w:rPr>
              <w:t>6</w:t>
            </w:r>
            <w:r w:rsidRPr="00A44AEB">
              <w:rPr>
                <w:rFonts w:ascii="Arial" w:eastAsia="Calibri" w:hAnsi="Arial" w:cs="Arial"/>
                <w:sz w:val="16"/>
                <w:szCs w:val="16"/>
              </w:rPr>
              <w:t>.</w:t>
            </w:r>
          </w:p>
        </w:tc>
        <w:tc>
          <w:tcPr>
            <w:tcW w:w="1134" w:type="dxa"/>
            <w:shd w:val="clear" w:color="auto" w:fill="BFBFBF" w:themeFill="background1" w:themeFillShade="BF"/>
            <w:vAlign w:val="center"/>
          </w:tcPr>
          <w:p w14:paraId="19EA4A53" w14:textId="5C0A1918" w:rsidR="007C53DD" w:rsidRPr="00A44AEB" w:rsidRDefault="007C53DD" w:rsidP="007C53DD">
            <w:pPr>
              <w:jc w:val="center"/>
              <w:rPr>
                <w:rFonts w:ascii="Arial" w:eastAsia="Calibri" w:hAnsi="Arial" w:cs="Arial"/>
                <w:sz w:val="16"/>
                <w:szCs w:val="16"/>
              </w:rPr>
            </w:pPr>
            <w:r w:rsidRPr="00A44AEB">
              <w:rPr>
                <w:rFonts w:ascii="Arial" w:eastAsia="Calibri" w:hAnsi="Arial" w:cs="Arial"/>
                <w:sz w:val="16"/>
                <w:szCs w:val="16"/>
              </w:rPr>
              <w:t>Ciljana vrijednost 202</w:t>
            </w:r>
            <w:r>
              <w:rPr>
                <w:rFonts w:ascii="Arial" w:eastAsia="Calibri" w:hAnsi="Arial" w:cs="Arial"/>
                <w:sz w:val="16"/>
                <w:szCs w:val="16"/>
              </w:rPr>
              <w:t>7</w:t>
            </w:r>
            <w:r w:rsidRPr="00A44AEB">
              <w:rPr>
                <w:rFonts w:ascii="Arial" w:eastAsia="Calibri" w:hAnsi="Arial" w:cs="Arial"/>
                <w:sz w:val="16"/>
                <w:szCs w:val="16"/>
              </w:rPr>
              <w:t>.</w:t>
            </w:r>
          </w:p>
        </w:tc>
      </w:tr>
      <w:tr w:rsidR="00CA3590" w:rsidRPr="00A44AEB" w14:paraId="0381913A" w14:textId="77777777" w:rsidTr="00731E7F">
        <w:trPr>
          <w:trHeight w:val="621"/>
          <w:jc w:val="center"/>
        </w:trPr>
        <w:tc>
          <w:tcPr>
            <w:tcW w:w="2860" w:type="dxa"/>
            <w:vAlign w:val="center"/>
          </w:tcPr>
          <w:p w14:paraId="39AF3963" w14:textId="77777777" w:rsidR="00CA3590" w:rsidRPr="00A44AEB" w:rsidRDefault="00CA3590" w:rsidP="00CA3590">
            <w:pPr>
              <w:rPr>
                <w:rFonts w:ascii="Arial" w:hAnsi="Arial" w:cs="Arial"/>
                <w:sz w:val="16"/>
                <w:szCs w:val="16"/>
                <w:lang w:eastAsia="en-US"/>
              </w:rPr>
            </w:pPr>
            <w:r w:rsidRPr="00A44AEB">
              <w:rPr>
                <w:rFonts w:ascii="Arial" w:hAnsi="Arial" w:cs="Arial"/>
                <w:sz w:val="18"/>
                <w:szCs w:val="18"/>
                <w:lang w:eastAsia="en-US"/>
              </w:rPr>
              <w:t>Broj volontera u knjižnici</w:t>
            </w:r>
          </w:p>
        </w:tc>
        <w:tc>
          <w:tcPr>
            <w:tcW w:w="2246" w:type="dxa"/>
            <w:vAlign w:val="center"/>
          </w:tcPr>
          <w:p w14:paraId="12396FF9" w14:textId="77777777" w:rsidR="00CA3590" w:rsidRPr="00A44AEB" w:rsidRDefault="00CA3590" w:rsidP="00CA3590">
            <w:pPr>
              <w:rPr>
                <w:rFonts w:ascii="Arial" w:hAnsi="Arial" w:cs="Arial"/>
                <w:sz w:val="16"/>
                <w:szCs w:val="16"/>
                <w:lang w:eastAsia="en-US"/>
              </w:rPr>
            </w:pPr>
            <w:r w:rsidRPr="00A44AEB">
              <w:rPr>
                <w:rFonts w:ascii="Arial" w:hAnsi="Arial" w:cs="Arial"/>
                <w:sz w:val="18"/>
                <w:szCs w:val="18"/>
                <w:lang w:eastAsia="en-US"/>
              </w:rPr>
              <w:t>Edukacija i koristan rad volontera</w:t>
            </w:r>
          </w:p>
        </w:tc>
        <w:tc>
          <w:tcPr>
            <w:tcW w:w="1274" w:type="dxa"/>
            <w:vAlign w:val="center"/>
          </w:tcPr>
          <w:p w14:paraId="4089513D" w14:textId="77777777" w:rsidR="00CA3590" w:rsidRPr="00A44AEB" w:rsidRDefault="00CA3590" w:rsidP="00CA3590">
            <w:pPr>
              <w:jc w:val="center"/>
              <w:rPr>
                <w:rFonts w:ascii="Arial" w:hAnsi="Arial" w:cs="Arial"/>
                <w:sz w:val="16"/>
                <w:szCs w:val="16"/>
                <w:lang w:eastAsia="en-US"/>
              </w:rPr>
            </w:pPr>
            <w:r w:rsidRPr="00A44AEB">
              <w:rPr>
                <w:rFonts w:ascii="Arial" w:hAnsi="Arial" w:cs="Arial"/>
                <w:sz w:val="18"/>
                <w:szCs w:val="18"/>
                <w:lang w:eastAsia="en-US"/>
              </w:rPr>
              <w:t>volonter</w:t>
            </w:r>
          </w:p>
        </w:tc>
        <w:tc>
          <w:tcPr>
            <w:tcW w:w="1134" w:type="dxa"/>
            <w:vAlign w:val="center"/>
          </w:tcPr>
          <w:p w14:paraId="6EFE6A53" w14:textId="74357556" w:rsidR="00CA3590" w:rsidRPr="00A44AEB" w:rsidRDefault="00CA3590" w:rsidP="00CA3590">
            <w:pPr>
              <w:jc w:val="center"/>
              <w:rPr>
                <w:rFonts w:ascii="Arial" w:hAnsi="Arial" w:cs="Arial"/>
                <w:sz w:val="16"/>
                <w:szCs w:val="16"/>
                <w:lang w:eastAsia="en-US"/>
              </w:rPr>
            </w:pPr>
            <w:r w:rsidRPr="00A44AEB">
              <w:rPr>
                <w:rFonts w:ascii="Arial" w:hAnsi="Arial" w:cs="Arial"/>
                <w:sz w:val="18"/>
                <w:szCs w:val="18"/>
                <w:lang w:eastAsia="en-US"/>
              </w:rPr>
              <w:t>3</w:t>
            </w:r>
          </w:p>
        </w:tc>
        <w:tc>
          <w:tcPr>
            <w:tcW w:w="988" w:type="dxa"/>
            <w:vAlign w:val="center"/>
          </w:tcPr>
          <w:p w14:paraId="3141D1D6" w14:textId="77777777" w:rsidR="00CA3590" w:rsidRPr="00A44AEB" w:rsidRDefault="00CA3590" w:rsidP="00CA3590">
            <w:pPr>
              <w:jc w:val="center"/>
              <w:rPr>
                <w:rFonts w:ascii="Arial" w:hAnsi="Arial" w:cs="Arial"/>
                <w:sz w:val="16"/>
                <w:szCs w:val="16"/>
                <w:lang w:eastAsia="en-US"/>
              </w:rPr>
            </w:pPr>
            <w:r w:rsidRPr="00A44AEB">
              <w:rPr>
                <w:rFonts w:ascii="Arial" w:hAnsi="Arial" w:cs="Arial"/>
                <w:sz w:val="18"/>
                <w:szCs w:val="18"/>
                <w:lang w:eastAsia="en-US"/>
              </w:rPr>
              <w:t>Odjel općih poslova</w:t>
            </w:r>
          </w:p>
        </w:tc>
        <w:tc>
          <w:tcPr>
            <w:tcW w:w="997" w:type="dxa"/>
            <w:vAlign w:val="center"/>
          </w:tcPr>
          <w:p w14:paraId="451BD6EF" w14:textId="05E1BAF6" w:rsidR="00CA3590" w:rsidRPr="00A44AEB" w:rsidRDefault="00CA3590" w:rsidP="00CA3590">
            <w:pPr>
              <w:jc w:val="center"/>
              <w:rPr>
                <w:rFonts w:ascii="Arial" w:hAnsi="Arial" w:cs="Arial"/>
                <w:sz w:val="16"/>
                <w:szCs w:val="16"/>
                <w:lang w:eastAsia="en-US"/>
              </w:rPr>
            </w:pPr>
            <w:r>
              <w:rPr>
                <w:rFonts w:asciiTheme="minorHAnsi" w:hAnsiTheme="minorHAnsi" w:cstheme="minorHAnsi"/>
                <w:sz w:val="18"/>
                <w:szCs w:val="18"/>
              </w:rPr>
              <w:t>2</w:t>
            </w:r>
          </w:p>
        </w:tc>
        <w:tc>
          <w:tcPr>
            <w:tcW w:w="992" w:type="dxa"/>
            <w:vAlign w:val="center"/>
          </w:tcPr>
          <w:p w14:paraId="581160A5" w14:textId="601EC108" w:rsidR="00CA3590" w:rsidRPr="00A44AEB" w:rsidRDefault="00CA3590" w:rsidP="00CA3590">
            <w:pPr>
              <w:jc w:val="center"/>
              <w:rPr>
                <w:rFonts w:ascii="Arial" w:hAnsi="Arial" w:cs="Arial"/>
                <w:sz w:val="16"/>
                <w:szCs w:val="16"/>
                <w:lang w:eastAsia="en-US"/>
              </w:rPr>
            </w:pPr>
            <w:r w:rsidRPr="0092756E">
              <w:rPr>
                <w:rFonts w:asciiTheme="minorHAnsi" w:hAnsiTheme="minorHAnsi" w:cstheme="minorHAnsi"/>
                <w:sz w:val="18"/>
                <w:szCs w:val="18"/>
              </w:rPr>
              <w:t>0</w:t>
            </w:r>
          </w:p>
        </w:tc>
        <w:tc>
          <w:tcPr>
            <w:tcW w:w="992" w:type="dxa"/>
            <w:vAlign w:val="center"/>
          </w:tcPr>
          <w:p w14:paraId="2DB58145" w14:textId="30B135EE" w:rsidR="00CA3590" w:rsidRPr="00A44AEB" w:rsidRDefault="00CA3590" w:rsidP="00CA3590">
            <w:pPr>
              <w:jc w:val="center"/>
              <w:rPr>
                <w:rFonts w:ascii="Arial" w:hAnsi="Arial" w:cs="Arial"/>
                <w:sz w:val="16"/>
                <w:szCs w:val="16"/>
                <w:lang w:eastAsia="en-US"/>
              </w:rPr>
            </w:pPr>
            <w:r w:rsidRPr="0092756E">
              <w:rPr>
                <w:rFonts w:asciiTheme="minorHAnsi" w:hAnsiTheme="minorHAnsi" w:cstheme="minorHAnsi"/>
                <w:sz w:val="18"/>
                <w:szCs w:val="18"/>
              </w:rPr>
              <w:t>2</w:t>
            </w:r>
          </w:p>
        </w:tc>
        <w:tc>
          <w:tcPr>
            <w:tcW w:w="1134" w:type="dxa"/>
            <w:vAlign w:val="center"/>
          </w:tcPr>
          <w:p w14:paraId="272CFA0D" w14:textId="48E49488" w:rsidR="00CA3590" w:rsidRPr="00A44AEB" w:rsidRDefault="00CA3590" w:rsidP="00CA3590">
            <w:pPr>
              <w:jc w:val="center"/>
              <w:rPr>
                <w:rFonts w:ascii="Arial" w:hAnsi="Arial" w:cs="Arial"/>
                <w:sz w:val="16"/>
                <w:szCs w:val="16"/>
                <w:lang w:eastAsia="en-US"/>
              </w:rPr>
            </w:pPr>
            <w:r w:rsidRPr="0092756E">
              <w:rPr>
                <w:rFonts w:asciiTheme="minorHAnsi" w:hAnsiTheme="minorHAnsi" w:cstheme="minorHAnsi"/>
                <w:sz w:val="18"/>
                <w:szCs w:val="18"/>
              </w:rPr>
              <w:t>2</w:t>
            </w:r>
          </w:p>
        </w:tc>
      </w:tr>
      <w:tr w:rsidR="00CA3590" w:rsidRPr="00A44AEB" w14:paraId="2A1C20CF" w14:textId="77777777" w:rsidTr="00731E7F">
        <w:trPr>
          <w:trHeight w:val="621"/>
          <w:jc w:val="center"/>
        </w:trPr>
        <w:tc>
          <w:tcPr>
            <w:tcW w:w="2860" w:type="dxa"/>
            <w:vAlign w:val="center"/>
          </w:tcPr>
          <w:p w14:paraId="1CAD2302" w14:textId="77777777" w:rsidR="00CA3590" w:rsidRPr="00A44AEB" w:rsidRDefault="00CA3590" w:rsidP="00CA3590">
            <w:pPr>
              <w:rPr>
                <w:rFonts w:ascii="Arial" w:hAnsi="Arial" w:cs="Arial"/>
                <w:sz w:val="18"/>
                <w:szCs w:val="18"/>
                <w:lang w:eastAsia="en-US"/>
              </w:rPr>
            </w:pPr>
            <w:r w:rsidRPr="00A44AEB">
              <w:rPr>
                <w:rFonts w:ascii="Arial" w:hAnsi="Arial" w:cs="Arial"/>
                <w:sz w:val="18"/>
                <w:szCs w:val="18"/>
                <w:lang w:eastAsia="en-US"/>
              </w:rPr>
              <w:t>Broj volontera na lokalitetima</w:t>
            </w:r>
          </w:p>
        </w:tc>
        <w:tc>
          <w:tcPr>
            <w:tcW w:w="2246" w:type="dxa"/>
            <w:vAlign w:val="center"/>
          </w:tcPr>
          <w:p w14:paraId="3924BB66" w14:textId="77777777" w:rsidR="00CA3590" w:rsidRPr="00A44AEB" w:rsidRDefault="00CA3590" w:rsidP="00CA3590">
            <w:pPr>
              <w:rPr>
                <w:rFonts w:ascii="Arial" w:hAnsi="Arial" w:cs="Arial"/>
                <w:sz w:val="18"/>
                <w:szCs w:val="18"/>
                <w:lang w:eastAsia="en-US"/>
              </w:rPr>
            </w:pPr>
            <w:r w:rsidRPr="00A44AEB">
              <w:rPr>
                <w:rFonts w:ascii="Arial" w:hAnsi="Arial" w:cs="Arial"/>
                <w:sz w:val="18"/>
                <w:szCs w:val="18"/>
                <w:lang w:eastAsia="en-US"/>
              </w:rPr>
              <w:t>Edukacija i koristan rad volontera</w:t>
            </w:r>
          </w:p>
        </w:tc>
        <w:tc>
          <w:tcPr>
            <w:tcW w:w="1274" w:type="dxa"/>
            <w:vAlign w:val="center"/>
          </w:tcPr>
          <w:p w14:paraId="51361052" w14:textId="77777777" w:rsidR="00CA3590" w:rsidRPr="00A44AEB" w:rsidRDefault="00CA3590" w:rsidP="00CA3590">
            <w:pPr>
              <w:jc w:val="center"/>
              <w:rPr>
                <w:rFonts w:ascii="Arial" w:hAnsi="Arial" w:cs="Arial"/>
                <w:sz w:val="18"/>
                <w:szCs w:val="18"/>
                <w:lang w:eastAsia="en-US"/>
              </w:rPr>
            </w:pPr>
            <w:r w:rsidRPr="00A44AEB">
              <w:rPr>
                <w:rFonts w:ascii="Arial" w:hAnsi="Arial" w:cs="Arial"/>
                <w:sz w:val="18"/>
                <w:szCs w:val="18"/>
                <w:lang w:eastAsia="en-US"/>
              </w:rPr>
              <w:t>volonter</w:t>
            </w:r>
          </w:p>
        </w:tc>
        <w:tc>
          <w:tcPr>
            <w:tcW w:w="1134" w:type="dxa"/>
            <w:vAlign w:val="center"/>
          </w:tcPr>
          <w:p w14:paraId="221CF295" w14:textId="486C5F5F" w:rsidR="00CA3590" w:rsidRPr="00A44AEB" w:rsidRDefault="00CA3590" w:rsidP="00CA3590">
            <w:pPr>
              <w:jc w:val="center"/>
              <w:rPr>
                <w:rFonts w:ascii="Arial" w:hAnsi="Arial" w:cs="Arial"/>
                <w:sz w:val="18"/>
                <w:szCs w:val="18"/>
                <w:lang w:eastAsia="en-US"/>
              </w:rPr>
            </w:pPr>
            <w:r w:rsidRPr="00A44AEB">
              <w:rPr>
                <w:rFonts w:ascii="Arial" w:hAnsi="Arial" w:cs="Arial"/>
                <w:sz w:val="18"/>
                <w:szCs w:val="18"/>
                <w:lang w:eastAsia="en-US"/>
              </w:rPr>
              <w:t>1</w:t>
            </w:r>
          </w:p>
        </w:tc>
        <w:tc>
          <w:tcPr>
            <w:tcW w:w="988" w:type="dxa"/>
            <w:vAlign w:val="center"/>
          </w:tcPr>
          <w:p w14:paraId="4B92FAF8" w14:textId="77777777" w:rsidR="00CA3590" w:rsidRPr="00A44AEB" w:rsidRDefault="00CA3590" w:rsidP="00CA3590">
            <w:pPr>
              <w:jc w:val="center"/>
              <w:rPr>
                <w:rFonts w:ascii="Arial" w:hAnsi="Arial" w:cs="Arial"/>
                <w:sz w:val="18"/>
                <w:szCs w:val="18"/>
                <w:lang w:eastAsia="en-US"/>
              </w:rPr>
            </w:pPr>
            <w:r w:rsidRPr="00A44AEB">
              <w:rPr>
                <w:rFonts w:ascii="Arial" w:hAnsi="Arial" w:cs="Arial"/>
                <w:sz w:val="18"/>
                <w:szCs w:val="18"/>
                <w:lang w:eastAsia="en-US"/>
              </w:rPr>
              <w:t>Odjel općih poslova</w:t>
            </w:r>
          </w:p>
        </w:tc>
        <w:tc>
          <w:tcPr>
            <w:tcW w:w="997" w:type="dxa"/>
            <w:vAlign w:val="center"/>
          </w:tcPr>
          <w:p w14:paraId="60B2E8D0" w14:textId="50C321BC" w:rsidR="00CA3590" w:rsidRPr="00A44AEB" w:rsidRDefault="00CA3590" w:rsidP="00CA3590">
            <w:pPr>
              <w:jc w:val="center"/>
              <w:rPr>
                <w:rFonts w:ascii="Arial" w:hAnsi="Arial" w:cs="Arial"/>
                <w:sz w:val="18"/>
                <w:szCs w:val="18"/>
                <w:lang w:eastAsia="en-US"/>
              </w:rPr>
            </w:pPr>
            <w:r>
              <w:rPr>
                <w:rFonts w:asciiTheme="minorHAnsi" w:hAnsiTheme="minorHAnsi" w:cstheme="minorHAnsi"/>
                <w:sz w:val="18"/>
                <w:szCs w:val="18"/>
              </w:rPr>
              <w:t>4</w:t>
            </w:r>
          </w:p>
        </w:tc>
        <w:tc>
          <w:tcPr>
            <w:tcW w:w="992" w:type="dxa"/>
            <w:vAlign w:val="center"/>
          </w:tcPr>
          <w:p w14:paraId="4A9A62E8" w14:textId="28C53800" w:rsidR="00CA3590" w:rsidRPr="00A44AEB" w:rsidRDefault="00CA3590" w:rsidP="00CA3590">
            <w:pPr>
              <w:jc w:val="center"/>
              <w:rPr>
                <w:rFonts w:ascii="Arial" w:hAnsi="Arial" w:cs="Arial"/>
                <w:sz w:val="18"/>
                <w:szCs w:val="18"/>
                <w:lang w:eastAsia="en-US"/>
              </w:rPr>
            </w:pPr>
            <w:r w:rsidRPr="0092756E">
              <w:rPr>
                <w:rFonts w:asciiTheme="minorHAnsi" w:hAnsiTheme="minorHAnsi" w:cstheme="minorHAnsi"/>
                <w:sz w:val="18"/>
                <w:szCs w:val="18"/>
              </w:rPr>
              <w:t>0</w:t>
            </w:r>
          </w:p>
        </w:tc>
        <w:tc>
          <w:tcPr>
            <w:tcW w:w="992" w:type="dxa"/>
            <w:vAlign w:val="center"/>
          </w:tcPr>
          <w:p w14:paraId="1FD134FA" w14:textId="37ACEB6A" w:rsidR="00CA3590" w:rsidRPr="00A44AEB" w:rsidRDefault="00CA3590" w:rsidP="00CA3590">
            <w:pPr>
              <w:jc w:val="center"/>
              <w:rPr>
                <w:rFonts w:ascii="Arial" w:hAnsi="Arial" w:cs="Arial"/>
                <w:sz w:val="18"/>
                <w:szCs w:val="18"/>
                <w:lang w:eastAsia="en-US"/>
              </w:rPr>
            </w:pPr>
            <w:r w:rsidRPr="0092756E">
              <w:rPr>
                <w:rFonts w:asciiTheme="minorHAnsi" w:hAnsiTheme="minorHAnsi" w:cstheme="minorHAnsi"/>
                <w:sz w:val="18"/>
                <w:szCs w:val="18"/>
              </w:rPr>
              <w:t>4</w:t>
            </w:r>
          </w:p>
        </w:tc>
        <w:tc>
          <w:tcPr>
            <w:tcW w:w="1134" w:type="dxa"/>
            <w:vAlign w:val="center"/>
          </w:tcPr>
          <w:p w14:paraId="37EA145E" w14:textId="6C09AA45" w:rsidR="00CA3590" w:rsidRPr="00A44AEB" w:rsidRDefault="00CA3590" w:rsidP="00CA3590">
            <w:pPr>
              <w:jc w:val="center"/>
              <w:rPr>
                <w:rFonts w:ascii="Arial" w:hAnsi="Arial" w:cs="Arial"/>
                <w:sz w:val="18"/>
                <w:szCs w:val="18"/>
                <w:lang w:eastAsia="en-US"/>
              </w:rPr>
            </w:pPr>
            <w:r w:rsidRPr="0092756E">
              <w:rPr>
                <w:rFonts w:asciiTheme="minorHAnsi" w:hAnsiTheme="minorHAnsi" w:cstheme="minorHAnsi"/>
                <w:sz w:val="18"/>
                <w:szCs w:val="18"/>
              </w:rPr>
              <w:t>4</w:t>
            </w:r>
          </w:p>
        </w:tc>
      </w:tr>
      <w:bookmarkEnd w:id="352"/>
    </w:tbl>
    <w:p w14:paraId="54A3A56A" w14:textId="77777777" w:rsidR="00A44AEB" w:rsidRPr="00A44AEB" w:rsidRDefault="00A44AEB" w:rsidP="00C873D7">
      <w:pPr>
        <w:spacing w:after="0" w:line="240" w:lineRule="auto"/>
        <w:jc w:val="both"/>
        <w:rPr>
          <w:rFonts w:ascii="Arial" w:eastAsia="Calibri" w:hAnsi="Arial" w:cs="Arial"/>
          <w:b/>
          <w:bCs/>
          <w:sz w:val="20"/>
          <w:szCs w:val="20"/>
        </w:rPr>
      </w:pPr>
    </w:p>
    <w:p w14:paraId="1F5F7CAF" w14:textId="3765BA2A" w:rsidR="00C873D7" w:rsidRPr="00A44AEB" w:rsidRDefault="00C873D7" w:rsidP="00C873D7">
      <w:pPr>
        <w:spacing w:after="0" w:line="240" w:lineRule="auto"/>
        <w:jc w:val="both"/>
        <w:rPr>
          <w:rFonts w:ascii="Arial" w:eastAsia="Calibri" w:hAnsi="Arial" w:cs="Arial"/>
          <w:b/>
          <w:bCs/>
          <w:sz w:val="20"/>
          <w:szCs w:val="20"/>
        </w:rPr>
      </w:pPr>
      <w:r w:rsidRPr="00A44AEB">
        <w:rPr>
          <w:rFonts w:ascii="Arial" w:eastAsia="Calibri" w:hAnsi="Arial" w:cs="Arial"/>
          <w:b/>
          <w:bCs/>
          <w:sz w:val="20"/>
          <w:szCs w:val="20"/>
        </w:rPr>
        <w:t>2</w:t>
      </w:r>
      <w:r w:rsidR="0040020F" w:rsidRPr="00A44AEB">
        <w:rPr>
          <w:rFonts w:ascii="Arial" w:eastAsia="Calibri" w:hAnsi="Arial" w:cs="Arial"/>
          <w:b/>
          <w:bCs/>
          <w:sz w:val="20"/>
          <w:szCs w:val="20"/>
        </w:rPr>
        <w:t>8</w:t>
      </w:r>
      <w:r w:rsidRPr="00A44AEB">
        <w:rPr>
          <w:rFonts w:ascii="Arial" w:eastAsia="Calibri" w:hAnsi="Arial" w:cs="Arial"/>
          <w:b/>
          <w:bCs/>
          <w:sz w:val="20"/>
          <w:szCs w:val="20"/>
        </w:rPr>
        <w:t>. T203132: Program „Oduševiti Barbaru“</w:t>
      </w:r>
      <w:r w:rsidRPr="00A44AEB">
        <w:rPr>
          <w:rFonts w:ascii="Arial" w:eastAsia="Calibri" w:hAnsi="Arial" w:cs="Arial"/>
          <w:sz w:val="20"/>
          <w:szCs w:val="20"/>
        </w:rPr>
        <w:t xml:space="preserve"> – u sklopu navedene aktivnosti nisu planirana sredstava.</w:t>
      </w:r>
    </w:p>
    <w:p w14:paraId="2D3F1107" w14:textId="77777777" w:rsidR="00C873D7" w:rsidRPr="00A44AEB" w:rsidRDefault="00C873D7" w:rsidP="00C873D7">
      <w:pPr>
        <w:spacing w:after="0" w:line="240" w:lineRule="auto"/>
        <w:jc w:val="both"/>
        <w:rPr>
          <w:rFonts w:ascii="Arial" w:eastAsia="Times New Roman" w:hAnsi="Arial" w:cs="Arial"/>
          <w:sz w:val="20"/>
          <w:szCs w:val="20"/>
        </w:rPr>
      </w:pPr>
      <w:r w:rsidRPr="00A44AEB">
        <w:rPr>
          <w:rFonts w:ascii="Arial" w:eastAsia="Times New Roman" w:hAnsi="Arial" w:cs="Arial"/>
          <w:sz w:val="20"/>
          <w:szCs w:val="20"/>
        </w:rPr>
        <w:t xml:space="preserve">Oduševiti Barbaru je program kojim se planira kroz izradu animiranih filmova prilagođenih dječjem uzrastu prezentirati i popularizirati UNESCO-ov lokaliteta Sv. Barbara. </w:t>
      </w:r>
    </w:p>
    <w:p w14:paraId="677D1002" w14:textId="77777777" w:rsidR="00C873D7" w:rsidRPr="00A44AEB" w:rsidRDefault="00C873D7" w:rsidP="00C873D7">
      <w:pPr>
        <w:spacing w:after="0" w:line="240" w:lineRule="auto"/>
        <w:jc w:val="both"/>
        <w:rPr>
          <w:rFonts w:ascii="Arial" w:eastAsia="Calibri" w:hAnsi="Arial" w:cs="Arial"/>
          <w:sz w:val="20"/>
          <w:szCs w:val="20"/>
        </w:rPr>
      </w:pPr>
    </w:p>
    <w:p w14:paraId="358E7E13" w14:textId="35402A43" w:rsidR="00CA3590" w:rsidRPr="00CA3590" w:rsidRDefault="00C873D7" w:rsidP="00CA3590">
      <w:pPr>
        <w:spacing w:after="0" w:line="240" w:lineRule="auto"/>
        <w:jc w:val="both"/>
        <w:rPr>
          <w:rFonts w:ascii="Arial" w:eastAsia="Calibri" w:hAnsi="Arial" w:cs="Arial"/>
          <w:bCs/>
          <w:sz w:val="20"/>
          <w:szCs w:val="20"/>
          <w:highlight w:val="yellow"/>
          <w:lang w:eastAsia="en-US"/>
        </w:rPr>
      </w:pPr>
      <w:r w:rsidRPr="00A44AEB">
        <w:rPr>
          <w:rFonts w:ascii="Arial" w:eastAsia="Calibri" w:hAnsi="Arial" w:cs="Arial"/>
          <w:b/>
          <w:bCs/>
          <w:sz w:val="20"/>
          <w:szCs w:val="20"/>
        </w:rPr>
        <w:t>2</w:t>
      </w:r>
      <w:r w:rsidR="0040020F" w:rsidRPr="00A44AEB">
        <w:rPr>
          <w:rFonts w:ascii="Arial" w:eastAsia="Calibri" w:hAnsi="Arial" w:cs="Arial"/>
          <w:b/>
          <w:bCs/>
          <w:sz w:val="20"/>
          <w:szCs w:val="20"/>
        </w:rPr>
        <w:t>9</w:t>
      </w:r>
      <w:r w:rsidRPr="00A44AEB">
        <w:rPr>
          <w:rFonts w:ascii="Arial" w:eastAsia="Calibri" w:hAnsi="Arial" w:cs="Arial"/>
          <w:b/>
          <w:bCs/>
          <w:sz w:val="20"/>
          <w:szCs w:val="20"/>
        </w:rPr>
        <w:t>. A203133: Digitalizacija Kuće Bukovac</w:t>
      </w:r>
      <w:r w:rsidRPr="00A44AEB">
        <w:rPr>
          <w:rFonts w:ascii="Arial" w:eastAsia="Calibri" w:hAnsi="Arial" w:cs="Arial"/>
          <w:sz w:val="20"/>
          <w:szCs w:val="20"/>
        </w:rPr>
        <w:t xml:space="preserve"> u sklopu navedene aktivnosti su planirana sredstava</w:t>
      </w:r>
      <w:r w:rsidR="00CA3590">
        <w:rPr>
          <w:rFonts w:ascii="Arial" w:eastAsia="Calibri" w:hAnsi="Arial" w:cs="Arial"/>
          <w:sz w:val="20"/>
          <w:szCs w:val="20"/>
        </w:rPr>
        <w:t xml:space="preserve"> </w:t>
      </w:r>
      <w:r w:rsidR="00CA3590" w:rsidRPr="00CA3590">
        <w:rPr>
          <w:rFonts w:ascii="Arial" w:eastAsia="Calibri" w:hAnsi="Arial" w:cs="Arial"/>
          <w:sz w:val="20"/>
          <w:szCs w:val="20"/>
          <w:lang w:eastAsia="en-US"/>
        </w:rPr>
        <w:t>u iznosu od 10.000 EUR za potrebe digitalizacije slika i crteža Vlaha Bukovca izloženih u stalnom postavu ili depou  Kuće Bukovac. Program digitalizacije je potpomognut sredstvima Ministarstva kulture i realizirati će se tijekom 2025. godine.</w:t>
      </w:r>
    </w:p>
    <w:p w14:paraId="7EE97B59" w14:textId="77777777" w:rsidR="00C873D7" w:rsidRPr="00617FCF" w:rsidRDefault="00C873D7" w:rsidP="00C873D7">
      <w:pPr>
        <w:spacing w:after="0" w:line="240" w:lineRule="auto"/>
        <w:jc w:val="both"/>
        <w:rPr>
          <w:rFonts w:ascii="Arial" w:eastAsia="Calibri" w:hAnsi="Arial" w:cs="Arial"/>
          <w:sz w:val="20"/>
          <w:szCs w:val="20"/>
        </w:rPr>
      </w:pPr>
    </w:p>
    <w:p w14:paraId="225CA303" w14:textId="77777777" w:rsidR="006F0AE0" w:rsidRDefault="0040020F" w:rsidP="00617FCF">
      <w:pPr>
        <w:spacing w:after="0" w:line="240" w:lineRule="auto"/>
        <w:jc w:val="both"/>
        <w:rPr>
          <w:rFonts w:ascii="Arial" w:eastAsia="Calibri" w:hAnsi="Arial" w:cs="Arial"/>
          <w:sz w:val="20"/>
          <w:szCs w:val="20"/>
        </w:rPr>
      </w:pPr>
      <w:r w:rsidRPr="00617FCF">
        <w:rPr>
          <w:rFonts w:ascii="Arial" w:eastAsia="Calibri" w:hAnsi="Arial" w:cs="Arial"/>
          <w:b/>
          <w:bCs/>
          <w:sz w:val="20"/>
          <w:szCs w:val="20"/>
        </w:rPr>
        <w:lastRenderedPageBreak/>
        <w:t>30</w:t>
      </w:r>
      <w:r w:rsidR="00C873D7" w:rsidRPr="00617FCF">
        <w:rPr>
          <w:rFonts w:ascii="Arial" w:eastAsia="Calibri" w:hAnsi="Arial" w:cs="Arial"/>
          <w:b/>
          <w:bCs/>
          <w:sz w:val="20"/>
          <w:szCs w:val="20"/>
        </w:rPr>
        <w:t xml:space="preserve">. T203134: Zeleni projekt Kuća Bukovac </w:t>
      </w:r>
      <w:r w:rsidR="00572173" w:rsidRPr="00617FCF">
        <w:rPr>
          <w:rFonts w:ascii="Arial" w:eastAsia="Calibri" w:hAnsi="Arial" w:cs="Arial"/>
          <w:b/>
          <w:bCs/>
          <w:sz w:val="20"/>
          <w:szCs w:val="20"/>
        </w:rPr>
        <w:t>–</w:t>
      </w:r>
      <w:r w:rsidR="00617FCF" w:rsidRPr="00617FCF">
        <w:rPr>
          <w:rFonts w:ascii="Arial" w:eastAsia="Calibri" w:hAnsi="Arial" w:cs="Arial"/>
          <w:sz w:val="20"/>
          <w:szCs w:val="20"/>
        </w:rPr>
        <w:t xml:space="preserve"> U sklopu navedene aktivnosti rebalansom su planirana proračunska sredstva u iznosu </w:t>
      </w:r>
      <w:r w:rsidR="006F0AE0">
        <w:rPr>
          <w:rFonts w:ascii="Arial" w:eastAsia="Calibri" w:hAnsi="Arial" w:cs="Arial"/>
          <w:sz w:val="20"/>
          <w:szCs w:val="20"/>
        </w:rPr>
        <w:t>10</w:t>
      </w:r>
      <w:r w:rsidR="00617FCF" w:rsidRPr="00617FCF">
        <w:rPr>
          <w:rFonts w:ascii="Arial" w:eastAsia="Calibri" w:hAnsi="Arial" w:cs="Arial"/>
          <w:sz w:val="20"/>
          <w:szCs w:val="20"/>
        </w:rPr>
        <w:t xml:space="preserve">.000,00 </w:t>
      </w:r>
      <w:r w:rsidR="006F0AE0">
        <w:rPr>
          <w:rFonts w:ascii="Arial" w:eastAsia="Calibri" w:hAnsi="Arial" w:cs="Arial"/>
          <w:sz w:val="20"/>
          <w:szCs w:val="20"/>
        </w:rPr>
        <w:t>€</w:t>
      </w:r>
      <w:r w:rsidR="00617FCF" w:rsidRPr="00617FCF">
        <w:rPr>
          <w:rFonts w:ascii="Arial" w:eastAsia="Calibri" w:hAnsi="Arial" w:cs="Arial"/>
          <w:sz w:val="20"/>
          <w:szCs w:val="20"/>
        </w:rPr>
        <w:t xml:space="preserve">, </w:t>
      </w:r>
      <w:r w:rsidR="006F0AE0">
        <w:rPr>
          <w:rFonts w:ascii="Arial" w:eastAsia="Calibri" w:hAnsi="Arial" w:cs="Arial"/>
          <w:sz w:val="20"/>
          <w:szCs w:val="20"/>
        </w:rPr>
        <w:t>nisu utrošena sredstva.</w:t>
      </w:r>
    </w:p>
    <w:p w14:paraId="0671F187" w14:textId="3BF8F26D" w:rsidR="0009256C" w:rsidRPr="00617FCF" w:rsidRDefault="0009256C" w:rsidP="00572173">
      <w:pPr>
        <w:spacing w:after="0" w:line="240" w:lineRule="auto"/>
        <w:jc w:val="both"/>
        <w:rPr>
          <w:rFonts w:ascii="Arial" w:eastAsia="Calibri" w:hAnsi="Arial" w:cs="Arial"/>
          <w:bCs/>
          <w:sz w:val="20"/>
          <w:szCs w:val="20"/>
        </w:rPr>
      </w:pPr>
    </w:p>
    <w:p w14:paraId="2FF603F4" w14:textId="3B7E5737" w:rsidR="008A6CEA" w:rsidRPr="00617FCF" w:rsidRDefault="00034D08" w:rsidP="00EA587B">
      <w:pPr>
        <w:spacing w:after="0" w:line="240" w:lineRule="auto"/>
        <w:ind w:left="567"/>
        <w:jc w:val="both"/>
        <w:rPr>
          <w:rFonts w:ascii="Arial" w:eastAsia="Calibri" w:hAnsi="Arial" w:cs="Arial"/>
          <w:bCs/>
          <w:sz w:val="18"/>
          <w:szCs w:val="18"/>
        </w:rPr>
      </w:pPr>
      <w:r w:rsidRPr="00617FCF">
        <w:rPr>
          <w:rFonts w:ascii="Arial" w:eastAsia="Calibri" w:hAnsi="Arial" w:cs="Arial"/>
          <w:bCs/>
          <w:sz w:val="18"/>
          <w:szCs w:val="18"/>
        </w:rPr>
        <w:t>Od Ministarstva kulture je u 2019</w:t>
      </w:r>
      <w:r w:rsidR="00A61350" w:rsidRPr="00617FCF">
        <w:rPr>
          <w:rFonts w:ascii="Arial" w:eastAsia="Calibri" w:hAnsi="Arial" w:cs="Arial"/>
          <w:bCs/>
          <w:sz w:val="18"/>
          <w:szCs w:val="18"/>
        </w:rPr>
        <w:t>.</w:t>
      </w:r>
      <w:r w:rsidRPr="00617FCF">
        <w:rPr>
          <w:rFonts w:ascii="Arial" w:eastAsia="Calibri" w:hAnsi="Arial" w:cs="Arial"/>
          <w:bCs/>
          <w:sz w:val="18"/>
          <w:szCs w:val="18"/>
        </w:rPr>
        <w:t xml:space="preserve"> odobren iznos 100.000 kn </w:t>
      </w:r>
      <w:r w:rsidR="00A61350" w:rsidRPr="00617FCF">
        <w:rPr>
          <w:rFonts w:ascii="Arial" w:eastAsia="Calibri" w:hAnsi="Arial" w:cs="Arial"/>
          <w:bCs/>
          <w:sz w:val="18"/>
          <w:szCs w:val="18"/>
        </w:rPr>
        <w:t xml:space="preserve">(13.272,28 €) </w:t>
      </w:r>
      <w:r w:rsidRPr="00617FCF">
        <w:rPr>
          <w:rFonts w:ascii="Arial" w:eastAsia="Calibri" w:hAnsi="Arial" w:cs="Arial"/>
          <w:bCs/>
          <w:sz w:val="18"/>
          <w:szCs w:val="18"/>
        </w:rPr>
        <w:t>za izradu projektne dokumentacije. U 2019. rashodi za ovaj projekt su izvršeni u iznosu 115.250 kn</w:t>
      </w:r>
      <w:r w:rsidR="00A61350" w:rsidRPr="00617FCF">
        <w:rPr>
          <w:rFonts w:ascii="Arial" w:eastAsia="Calibri" w:hAnsi="Arial" w:cs="Arial"/>
          <w:bCs/>
          <w:sz w:val="18"/>
          <w:szCs w:val="18"/>
        </w:rPr>
        <w:t xml:space="preserve"> (15.296,30 €)</w:t>
      </w:r>
      <w:r w:rsidRPr="00617FCF">
        <w:rPr>
          <w:rFonts w:ascii="Arial" w:eastAsia="Calibri" w:hAnsi="Arial" w:cs="Arial"/>
          <w:bCs/>
          <w:sz w:val="18"/>
          <w:szCs w:val="18"/>
        </w:rPr>
        <w:t xml:space="preserve">. </w:t>
      </w:r>
      <w:r w:rsidR="00D97ADE" w:rsidRPr="00617FCF">
        <w:rPr>
          <w:rFonts w:ascii="Arial" w:eastAsia="Calibri" w:hAnsi="Arial" w:cs="Arial"/>
          <w:bCs/>
          <w:sz w:val="18"/>
          <w:szCs w:val="18"/>
        </w:rPr>
        <w:t>Kuća Bukovac nema sustav klimatizacije što je gorući problem jer se radi o muzejskom prostoru koji bi trebao imati idealne uvjete, dakle primjeren sustav regulacije temperature i vlage za kvalitetno očuvanje inače osjetljive građe. U 2019. godini izrađena je projektna dokumentacija za klimatizaciju na način da su napravljene snimke postojećeg stanja, geodetska situacija, sam projekt izrade klimatizacije te njegove prilagodbe prema uputama nadležnog Konzervatorskog odjela. Također je izrađena i projektna dokumentacije rasvjete te glavni arhitektonski projekt. Nastavak radova na klimatizaciji objekta planiran je u narednim periodima ovisno o financijskim mogućnostima.</w:t>
      </w:r>
      <w:r w:rsidRPr="00617FCF">
        <w:rPr>
          <w:rFonts w:ascii="Arial" w:hAnsi="Arial" w:cs="Arial"/>
          <w:sz w:val="18"/>
          <w:szCs w:val="18"/>
        </w:rPr>
        <w:t xml:space="preserve"> U 2020. je </w:t>
      </w:r>
      <w:r w:rsidRPr="00617FCF">
        <w:rPr>
          <w:rFonts w:ascii="Arial" w:eastAsia="Calibri" w:hAnsi="Arial" w:cs="Arial"/>
          <w:bCs/>
          <w:sz w:val="18"/>
          <w:szCs w:val="18"/>
        </w:rPr>
        <w:t>46.550 kn</w:t>
      </w:r>
      <w:r w:rsidR="00A61350" w:rsidRPr="00617FCF">
        <w:rPr>
          <w:rFonts w:ascii="Arial" w:eastAsia="Calibri" w:hAnsi="Arial" w:cs="Arial"/>
          <w:bCs/>
          <w:sz w:val="18"/>
          <w:szCs w:val="18"/>
        </w:rPr>
        <w:t xml:space="preserve"> (6.178,25 €)</w:t>
      </w:r>
      <w:r w:rsidRPr="00617FCF">
        <w:rPr>
          <w:rFonts w:ascii="Arial" w:eastAsia="Calibri" w:hAnsi="Arial" w:cs="Arial"/>
          <w:bCs/>
          <w:sz w:val="18"/>
          <w:szCs w:val="18"/>
        </w:rPr>
        <w:t xml:space="preserve"> sredstava Ministarstva kulture za radove termičke izolacije krovišta i popravka gazišta unutarnjeg drvenog stepeništa.</w:t>
      </w:r>
    </w:p>
    <w:p w14:paraId="2099E540" w14:textId="6F390964" w:rsidR="00D97ADE" w:rsidRDefault="00ED657E" w:rsidP="00EA587B">
      <w:pPr>
        <w:spacing w:after="0" w:line="240" w:lineRule="auto"/>
        <w:ind w:left="567"/>
        <w:jc w:val="both"/>
        <w:rPr>
          <w:rFonts w:ascii="Arial" w:eastAsia="Calibri" w:hAnsi="Arial" w:cs="Arial"/>
          <w:bCs/>
          <w:sz w:val="18"/>
          <w:szCs w:val="18"/>
        </w:rPr>
      </w:pPr>
      <w:r w:rsidRPr="00617FCF">
        <w:rPr>
          <w:rFonts w:ascii="Arial" w:eastAsia="Calibri" w:hAnsi="Arial" w:cs="Arial"/>
          <w:bCs/>
          <w:sz w:val="18"/>
          <w:szCs w:val="18"/>
        </w:rPr>
        <w:t xml:space="preserve">Ministarstvo kulture je radove sanacije Kuće Bukovac kao preduvjeta za realizaciju projekta klimatizacije odobrilo 100.000 kn </w:t>
      </w:r>
      <w:r w:rsidR="00A61350" w:rsidRPr="00617FCF">
        <w:rPr>
          <w:rFonts w:ascii="Arial" w:eastAsia="Calibri" w:hAnsi="Arial" w:cs="Arial"/>
          <w:bCs/>
          <w:sz w:val="18"/>
          <w:szCs w:val="18"/>
        </w:rPr>
        <w:t xml:space="preserve">(13.272,28 €) </w:t>
      </w:r>
      <w:r w:rsidRPr="00617FCF">
        <w:rPr>
          <w:rFonts w:ascii="Arial" w:eastAsia="Calibri" w:hAnsi="Arial" w:cs="Arial"/>
          <w:bCs/>
          <w:sz w:val="18"/>
          <w:szCs w:val="18"/>
        </w:rPr>
        <w:t xml:space="preserve">koja su utrošena u siječnju i veljači 2022. godine, budući je rok za realizaciju projekta prolongiran na 15.02.2022. godine. Iznos 9.750 kn </w:t>
      </w:r>
      <w:r w:rsidR="00A61350" w:rsidRPr="00617FCF">
        <w:rPr>
          <w:rFonts w:ascii="Arial" w:eastAsia="Calibri" w:hAnsi="Arial" w:cs="Arial"/>
          <w:bCs/>
          <w:sz w:val="18"/>
          <w:szCs w:val="18"/>
        </w:rPr>
        <w:t xml:space="preserve">(1.294,05 €) </w:t>
      </w:r>
      <w:r w:rsidRPr="00617FCF">
        <w:rPr>
          <w:rFonts w:ascii="Arial" w:eastAsia="Calibri" w:hAnsi="Arial" w:cs="Arial"/>
          <w:bCs/>
          <w:sz w:val="18"/>
          <w:szCs w:val="18"/>
        </w:rPr>
        <w:t>u 2021. godini se odnosi na sanaciju vlage na zidovima u galerijskom prostoru Kuće Bukovac.</w:t>
      </w:r>
      <w:r w:rsidR="00A61350" w:rsidRPr="00617FCF">
        <w:rPr>
          <w:rFonts w:ascii="Arial" w:eastAsia="Calibri" w:hAnsi="Arial" w:cs="Arial"/>
          <w:bCs/>
          <w:sz w:val="18"/>
          <w:szCs w:val="18"/>
        </w:rPr>
        <w:t xml:space="preserve"> </w:t>
      </w:r>
      <w:r w:rsidR="0040020F" w:rsidRPr="00617FCF">
        <w:rPr>
          <w:rFonts w:ascii="Arial" w:eastAsia="Calibri" w:hAnsi="Arial" w:cs="Arial"/>
          <w:bCs/>
          <w:sz w:val="18"/>
          <w:szCs w:val="18"/>
        </w:rPr>
        <w:t xml:space="preserve">U 2022. su izvršeni rashodi u iznosu 114.250 kn </w:t>
      </w:r>
      <w:r w:rsidR="00A61350" w:rsidRPr="00617FCF">
        <w:rPr>
          <w:rFonts w:ascii="Arial" w:eastAsia="Calibri" w:hAnsi="Arial" w:cs="Arial"/>
          <w:bCs/>
          <w:sz w:val="18"/>
          <w:szCs w:val="18"/>
        </w:rPr>
        <w:t xml:space="preserve">(15.163,58 €) </w:t>
      </w:r>
      <w:r w:rsidR="0040020F" w:rsidRPr="00617FCF">
        <w:rPr>
          <w:rFonts w:ascii="Arial" w:eastAsia="Calibri" w:hAnsi="Arial" w:cs="Arial"/>
          <w:bCs/>
          <w:sz w:val="18"/>
          <w:szCs w:val="18"/>
        </w:rPr>
        <w:t xml:space="preserve">za usluge radova u prostorima prizemlja, tinela i ateljea – popravak i ličenje drvenih prozora, persijana, vrata, drvenog mosta, rukohvata. </w:t>
      </w:r>
    </w:p>
    <w:p w14:paraId="626629E4" w14:textId="49DDEB54" w:rsidR="006F0AE0" w:rsidRPr="00617FCF" w:rsidRDefault="006F0AE0" w:rsidP="00EA587B">
      <w:pPr>
        <w:spacing w:after="0" w:line="240" w:lineRule="auto"/>
        <w:ind w:left="567"/>
        <w:jc w:val="both"/>
        <w:rPr>
          <w:rFonts w:ascii="Arial" w:eastAsia="Calibri" w:hAnsi="Arial" w:cs="Arial"/>
          <w:sz w:val="18"/>
          <w:szCs w:val="18"/>
        </w:rPr>
      </w:pPr>
      <w:r>
        <w:rPr>
          <w:rFonts w:ascii="Arial" w:eastAsia="Calibri" w:hAnsi="Arial" w:cs="Arial"/>
          <w:bCs/>
          <w:sz w:val="18"/>
          <w:szCs w:val="18"/>
        </w:rPr>
        <w:t xml:space="preserve">U 2024. godini utrošeno je </w:t>
      </w:r>
      <w:r w:rsidRPr="006F0AE0">
        <w:rPr>
          <w:rFonts w:ascii="Arial" w:eastAsia="Calibri" w:hAnsi="Arial" w:cs="Arial"/>
          <w:bCs/>
          <w:sz w:val="18"/>
          <w:szCs w:val="18"/>
        </w:rPr>
        <w:t>2.125,00 EUR za potrebe pribavljanja Projekta za racionalnu upotrebu energije u Kući Bukovac u svrhu dopune natječajne dokumentacije za prijavu na natječaj EU fonda za potrebe energetske obnove zgrade sa statusom kulturnog dobra čime bi se trajno riješilo pitanje klimatizacije Kuće Bukovac</w:t>
      </w:r>
      <w:r w:rsidR="00551A9E">
        <w:rPr>
          <w:rFonts w:ascii="Arial" w:eastAsia="Calibri" w:hAnsi="Arial" w:cs="Arial"/>
          <w:bCs/>
          <w:sz w:val="18"/>
          <w:szCs w:val="18"/>
        </w:rPr>
        <w:t>.</w:t>
      </w:r>
    </w:p>
    <w:p w14:paraId="18791DFF" w14:textId="2840078C" w:rsidR="00815DAD" w:rsidRPr="00617FCF" w:rsidRDefault="00815DAD" w:rsidP="00572173">
      <w:pPr>
        <w:spacing w:after="0" w:line="240" w:lineRule="auto"/>
        <w:jc w:val="both"/>
        <w:rPr>
          <w:rFonts w:ascii="Arial" w:eastAsia="Times New Roman" w:hAnsi="Arial" w:cs="Arial"/>
          <w:sz w:val="20"/>
          <w:szCs w:val="20"/>
        </w:rPr>
      </w:pPr>
    </w:p>
    <w:p w14:paraId="4030045D" w14:textId="11E320C0" w:rsidR="00617FCF" w:rsidRPr="00617FCF" w:rsidRDefault="0040020F" w:rsidP="00617FCF">
      <w:pPr>
        <w:spacing w:after="0" w:line="240" w:lineRule="auto"/>
        <w:jc w:val="both"/>
        <w:rPr>
          <w:rFonts w:ascii="Arial" w:eastAsia="Times New Roman" w:hAnsi="Arial" w:cs="Arial"/>
          <w:sz w:val="20"/>
          <w:szCs w:val="20"/>
        </w:rPr>
      </w:pPr>
      <w:r w:rsidRPr="00617FCF">
        <w:rPr>
          <w:rFonts w:ascii="Arial" w:eastAsia="Times New Roman" w:hAnsi="Arial" w:cs="Arial"/>
          <w:b/>
          <w:bCs/>
          <w:sz w:val="20"/>
          <w:szCs w:val="20"/>
        </w:rPr>
        <w:t>31</w:t>
      </w:r>
      <w:r w:rsidR="00C873D7" w:rsidRPr="00617FCF">
        <w:rPr>
          <w:rFonts w:ascii="Arial" w:eastAsia="Times New Roman" w:hAnsi="Arial" w:cs="Arial"/>
          <w:b/>
          <w:bCs/>
          <w:sz w:val="20"/>
          <w:szCs w:val="20"/>
        </w:rPr>
        <w:t xml:space="preserve">. A203135: </w:t>
      </w:r>
      <w:r w:rsidR="00572173" w:rsidRPr="00617FCF">
        <w:rPr>
          <w:rFonts w:ascii="Arial" w:eastAsia="Calibri" w:hAnsi="Arial" w:cs="Arial"/>
          <w:b/>
          <w:sz w:val="20"/>
          <w:szCs w:val="20"/>
        </w:rPr>
        <w:t>Sanacija i održavanje čuvaonice muzejske građe Pločice</w:t>
      </w:r>
      <w:r w:rsidR="00572173" w:rsidRPr="00617FCF">
        <w:rPr>
          <w:rFonts w:ascii="Arial" w:eastAsia="Times New Roman" w:hAnsi="Arial" w:cs="Arial"/>
          <w:sz w:val="20"/>
          <w:szCs w:val="20"/>
        </w:rPr>
        <w:t xml:space="preserve"> – U sklopu navedene aktivnosti planirana su proračunska sredstva u iznosu </w:t>
      </w:r>
      <w:r w:rsidR="003A54B4" w:rsidRPr="00617FCF">
        <w:rPr>
          <w:rFonts w:ascii="Arial" w:eastAsia="Times New Roman" w:hAnsi="Arial" w:cs="Arial"/>
          <w:sz w:val="20"/>
          <w:szCs w:val="20"/>
        </w:rPr>
        <w:t>1.100 €</w:t>
      </w:r>
      <w:r w:rsidR="00572173" w:rsidRPr="00617FCF">
        <w:rPr>
          <w:rFonts w:ascii="Arial" w:eastAsia="Times New Roman" w:hAnsi="Arial" w:cs="Arial"/>
          <w:sz w:val="20"/>
          <w:szCs w:val="20"/>
        </w:rPr>
        <w:t xml:space="preserve">, a </w:t>
      </w:r>
      <w:r w:rsidR="003A54B4" w:rsidRPr="00617FCF">
        <w:rPr>
          <w:rFonts w:ascii="Arial" w:eastAsia="Times New Roman" w:hAnsi="Arial" w:cs="Arial"/>
          <w:sz w:val="20"/>
          <w:szCs w:val="20"/>
        </w:rPr>
        <w:t xml:space="preserve">rashodi </w:t>
      </w:r>
      <w:r w:rsidR="00551A9E">
        <w:rPr>
          <w:rFonts w:ascii="Arial" w:eastAsia="Times New Roman" w:hAnsi="Arial" w:cs="Arial"/>
          <w:sz w:val="20"/>
          <w:szCs w:val="20"/>
        </w:rPr>
        <w:t>ni</w:t>
      </w:r>
      <w:r w:rsidR="003A54B4" w:rsidRPr="00617FCF">
        <w:rPr>
          <w:rFonts w:ascii="Arial" w:eastAsia="Times New Roman" w:hAnsi="Arial" w:cs="Arial"/>
          <w:sz w:val="20"/>
          <w:szCs w:val="20"/>
        </w:rPr>
        <w:t>su izvršeni</w:t>
      </w:r>
      <w:r w:rsidR="00551A9E">
        <w:rPr>
          <w:rFonts w:ascii="Arial" w:eastAsia="Times New Roman" w:hAnsi="Arial" w:cs="Arial"/>
          <w:sz w:val="20"/>
          <w:szCs w:val="20"/>
        </w:rPr>
        <w:t>.</w:t>
      </w:r>
    </w:p>
    <w:p w14:paraId="4BE8415C" w14:textId="0D24335D" w:rsidR="003A54B4" w:rsidRPr="00617FCF" w:rsidRDefault="003A54B4" w:rsidP="00572173">
      <w:pPr>
        <w:spacing w:after="0" w:line="240" w:lineRule="auto"/>
        <w:jc w:val="both"/>
        <w:rPr>
          <w:rFonts w:ascii="Arial" w:eastAsia="Times New Roman" w:hAnsi="Arial" w:cs="Arial"/>
          <w:sz w:val="20"/>
          <w:szCs w:val="20"/>
        </w:rPr>
      </w:pPr>
    </w:p>
    <w:p w14:paraId="682A72C2" w14:textId="017B6B05" w:rsidR="00572173" w:rsidRPr="00EA587B" w:rsidRDefault="00572173" w:rsidP="00EA587B">
      <w:pPr>
        <w:spacing w:after="0" w:line="240" w:lineRule="auto"/>
        <w:ind w:left="567"/>
        <w:jc w:val="both"/>
        <w:rPr>
          <w:rFonts w:ascii="Arial" w:eastAsia="Times New Roman" w:hAnsi="Arial" w:cs="Arial"/>
          <w:sz w:val="18"/>
          <w:szCs w:val="18"/>
        </w:rPr>
      </w:pPr>
      <w:r w:rsidRPr="00EA587B">
        <w:rPr>
          <w:rFonts w:ascii="Arial" w:eastAsia="Times New Roman" w:hAnsi="Arial" w:cs="Arial"/>
          <w:sz w:val="18"/>
          <w:szCs w:val="18"/>
        </w:rPr>
        <w:t>Čuvaonica muzejske građe u Pločicama smještena je u prizemlju zgrade Doma u Pločicama</w:t>
      </w:r>
      <w:r w:rsidR="0009256C" w:rsidRPr="00EA587B">
        <w:rPr>
          <w:sz w:val="20"/>
          <w:szCs w:val="20"/>
        </w:rPr>
        <w:t xml:space="preserve"> </w:t>
      </w:r>
      <w:r w:rsidR="0009256C" w:rsidRPr="00EA587B">
        <w:rPr>
          <w:rFonts w:ascii="Arial" w:eastAsia="Times New Roman" w:hAnsi="Arial" w:cs="Arial"/>
          <w:sz w:val="18"/>
          <w:szCs w:val="18"/>
        </w:rPr>
        <w:t>koji nije kontinuirano održavan stoga prostor zahtjeva česte intervencije i održavanje (</w:t>
      </w:r>
      <w:r w:rsidRPr="00EA587B">
        <w:rPr>
          <w:rFonts w:ascii="Arial" w:eastAsia="Times New Roman" w:hAnsi="Arial" w:cs="Arial"/>
          <w:sz w:val="18"/>
          <w:szCs w:val="18"/>
        </w:rPr>
        <w:t>prostor se koristi od 2018. godine</w:t>
      </w:r>
      <w:r w:rsidR="0009256C" w:rsidRPr="00EA587B">
        <w:rPr>
          <w:rFonts w:ascii="Arial" w:eastAsia="Times New Roman" w:hAnsi="Arial" w:cs="Arial"/>
          <w:sz w:val="18"/>
          <w:szCs w:val="18"/>
        </w:rPr>
        <w:t>)</w:t>
      </w:r>
      <w:r w:rsidRPr="00EA587B">
        <w:rPr>
          <w:rFonts w:ascii="Arial" w:eastAsia="Times New Roman" w:hAnsi="Arial" w:cs="Arial"/>
          <w:sz w:val="18"/>
          <w:szCs w:val="18"/>
        </w:rPr>
        <w:t xml:space="preserve">. </w:t>
      </w:r>
    </w:p>
    <w:p w14:paraId="37A243D5" w14:textId="3F816CCB" w:rsidR="00C873D7" w:rsidRPr="00EA587B" w:rsidRDefault="00C873D7" w:rsidP="00EA587B">
      <w:pPr>
        <w:spacing w:after="0" w:line="240" w:lineRule="auto"/>
        <w:ind w:left="567"/>
        <w:jc w:val="both"/>
        <w:rPr>
          <w:rFonts w:ascii="Arial" w:eastAsia="Times New Roman" w:hAnsi="Arial" w:cs="Arial"/>
          <w:sz w:val="18"/>
          <w:szCs w:val="18"/>
        </w:rPr>
      </w:pPr>
    </w:p>
    <w:p w14:paraId="6F010C2D" w14:textId="6AAFB099" w:rsidR="00551A9E" w:rsidRPr="00551A9E" w:rsidRDefault="00C873D7" w:rsidP="00551A9E">
      <w:pPr>
        <w:spacing w:after="0" w:line="240" w:lineRule="auto"/>
        <w:ind w:left="567"/>
        <w:jc w:val="both"/>
        <w:rPr>
          <w:rFonts w:ascii="Arial" w:eastAsia="Times New Roman" w:hAnsi="Arial" w:cs="Arial"/>
          <w:sz w:val="18"/>
          <w:szCs w:val="18"/>
        </w:rPr>
      </w:pPr>
      <w:r w:rsidRPr="00EA587B">
        <w:rPr>
          <w:rFonts w:ascii="Arial" w:eastAsia="Times New Roman" w:hAnsi="Arial" w:cs="Arial"/>
          <w:sz w:val="18"/>
          <w:szCs w:val="18"/>
        </w:rPr>
        <w:t xml:space="preserve">Tijekom 2019. utrošeno je </w:t>
      </w:r>
      <w:r w:rsidR="003A54B4" w:rsidRPr="00EA587B">
        <w:rPr>
          <w:rFonts w:ascii="Arial" w:eastAsia="Times New Roman" w:hAnsi="Arial" w:cs="Arial"/>
          <w:sz w:val="18"/>
          <w:szCs w:val="18"/>
        </w:rPr>
        <w:t>3.154,66 €</w:t>
      </w:r>
      <w:r w:rsidRPr="00EA587B">
        <w:rPr>
          <w:rFonts w:ascii="Arial" w:eastAsia="Times New Roman" w:hAnsi="Arial" w:cs="Arial"/>
          <w:sz w:val="18"/>
          <w:szCs w:val="18"/>
        </w:rPr>
        <w:t xml:space="preserve"> za nabavu odvlaživača, za radove saniranja vlage i za radove elektrotehničke radove. U 2021. je utrošeno </w:t>
      </w:r>
      <w:r w:rsidR="003A54B4" w:rsidRPr="00EA587B">
        <w:rPr>
          <w:rFonts w:ascii="Arial" w:eastAsia="Times New Roman" w:hAnsi="Arial" w:cs="Arial"/>
          <w:sz w:val="18"/>
          <w:szCs w:val="18"/>
        </w:rPr>
        <w:t>180,83 €</w:t>
      </w:r>
      <w:r w:rsidRPr="00EA587B">
        <w:rPr>
          <w:rFonts w:ascii="Arial" w:eastAsia="Times New Roman" w:hAnsi="Arial" w:cs="Arial"/>
          <w:sz w:val="18"/>
          <w:szCs w:val="18"/>
        </w:rPr>
        <w:t xml:space="preserve"> za usluge redovnog održavanje video nadzora</w:t>
      </w:r>
      <w:r w:rsidR="003A54B4" w:rsidRPr="00EA587B">
        <w:rPr>
          <w:rFonts w:ascii="Arial" w:eastAsia="Times New Roman" w:hAnsi="Arial" w:cs="Arial"/>
          <w:sz w:val="18"/>
          <w:szCs w:val="18"/>
        </w:rPr>
        <w:t>, dok je u 2022. bilo utrošeno 247,20 € za potrebe usluga redovnog održavanje sustava video nadzora.</w:t>
      </w:r>
      <w:r w:rsidR="00551A9E">
        <w:rPr>
          <w:rFonts w:ascii="Arial" w:eastAsia="Times New Roman" w:hAnsi="Arial" w:cs="Arial"/>
          <w:sz w:val="18"/>
          <w:szCs w:val="18"/>
        </w:rPr>
        <w:t xml:space="preserve"> U 2024. godini je utrošeno </w:t>
      </w:r>
      <w:r w:rsidR="00551A9E" w:rsidRPr="00551A9E">
        <w:rPr>
          <w:rFonts w:ascii="Arial" w:eastAsia="Times New Roman" w:hAnsi="Arial" w:cs="Arial"/>
          <w:sz w:val="18"/>
          <w:szCs w:val="18"/>
        </w:rPr>
        <w:t xml:space="preserve">325 € sredstava za održavanje sustava video nadzora depoa. </w:t>
      </w:r>
    </w:p>
    <w:p w14:paraId="6C670DA5" w14:textId="163D2006" w:rsidR="003A54B4" w:rsidRPr="00EA587B" w:rsidRDefault="003A54B4" w:rsidP="00EA587B">
      <w:pPr>
        <w:spacing w:after="0" w:line="240" w:lineRule="auto"/>
        <w:ind w:left="567"/>
        <w:jc w:val="both"/>
        <w:rPr>
          <w:rFonts w:ascii="Arial" w:eastAsia="Times New Roman" w:hAnsi="Arial" w:cs="Arial"/>
          <w:sz w:val="18"/>
          <w:szCs w:val="18"/>
        </w:rPr>
      </w:pPr>
    </w:p>
    <w:p w14:paraId="013261BE" w14:textId="4E7BD139" w:rsidR="00C13DF1" w:rsidRPr="00617FCF" w:rsidRDefault="00572173" w:rsidP="00C13DF1">
      <w:pPr>
        <w:spacing w:after="0" w:line="240" w:lineRule="auto"/>
        <w:jc w:val="both"/>
        <w:rPr>
          <w:rFonts w:ascii="Arial" w:eastAsia="Calibri" w:hAnsi="Arial" w:cs="Arial"/>
          <w:sz w:val="20"/>
          <w:szCs w:val="20"/>
        </w:rPr>
      </w:pPr>
      <w:r w:rsidRPr="00617FCF">
        <w:rPr>
          <w:rFonts w:ascii="Arial" w:eastAsia="Times New Roman" w:hAnsi="Arial" w:cs="Arial"/>
          <w:b/>
          <w:bCs/>
          <w:sz w:val="20"/>
          <w:szCs w:val="20"/>
        </w:rPr>
        <w:t>3</w:t>
      </w:r>
      <w:r w:rsidR="0040020F" w:rsidRPr="00617FCF">
        <w:rPr>
          <w:rFonts w:ascii="Arial" w:eastAsia="Times New Roman" w:hAnsi="Arial" w:cs="Arial"/>
          <w:b/>
          <w:bCs/>
          <w:sz w:val="20"/>
          <w:szCs w:val="20"/>
        </w:rPr>
        <w:t>2</w:t>
      </w:r>
      <w:r w:rsidR="0069389B" w:rsidRPr="00617FCF">
        <w:rPr>
          <w:rFonts w:ascii="Arial" w:eastAsia="Times New Roman" w:hAnsi="Arial" w:cs="Arial"/>
          <w:b/>
          <w:bCs/>
          <w:sz w:val="20"/>
          <w:szCs w:val="20"/>
        </w:rPr>
        <w:t>. A203136: Mauzolej Račić, restauratorski radovi</w:t>
      </w:r>
      <w:r w:rsidR="00C13DF1" w:rsidRPr="00617FCF">
        <w:rPr>
          <w:rFonts w:ascii="Arial" w:eastAsia="Times New Roman" w:hAnsi="Arial" w:cs="Arial"/>
          <w:b/>
          <w:bCs/>
          <w:sz w:val="20"/>
          <w:szCs w:val="20"/>
        </w:rPr>
        <w:t xml:space="preserve"> - </w:t>
      </w:r>
      <w:r w:rsidR="00C13DF1" w:rsidRPr="00617FCF">
        <w:rPr>
          <w:rFonts w:ascii="Arial" w:eastAsia="Calibri" w:hAnsi="Arial" w:cs="Arial"/>
          <w:sz w:val="20"/>
          <w:szCs w:val="20"/>
        </w:rPr>
        <w:t xml:space="preserve">U sklopu navedene aktivnosti </w:t>
      </w:r>
      <w:r w:rsidR="00617FCF" w:rsidRPr="00617FCF">
        <w:rPr>
          <w:rFonts w:ascii="Arial" w:eastAsia="Calibri" w:hAnsi="Arial" w:cs="Arial"/>
          <w:sz w:val="20"/>
          <w:szCs w:val="20"/>
        </w:rPr>
        <w:t xml:space="preserve">su </w:t>
      </w:r>
      <w:r w:rsidR="00C13DF1" w:rsidRPr="00617FCF">
        <w:rPr>
          <w:rFonts w:ascii="Arial" w:eastAsia="Calibri" w:hAnsi="Arial" w:cs="Arial"/>
          <w:sz w:val="20"/>
          <w:szCs w:val="20"/>
        </w:rPr>
        <w:t>planirana proračunska sredstva</w:t>
      </w:r>
      <w:r w:rsidR="0009256C" w:rsidRPr="00617FCF">
        <w:rPr>
          <w:rFonts w:ascii="Arial" w:eastAsia="Calibri" w:hAnsi="Arial" w:cs="Arial"/>
          <w:sz w:val="20"/>
          <w:szCs w:val="20"/>
        </w:rPr>
        <w:t xml:space="preserve"> u iznosu </w:t>
      </w:r>
      <w:r w:rsidR="00ED3A36">
        <w:rPr>
          <w:rFonts w:ascii="Arial" w:eastAsia="Calibri" w:hAnsi="Arial" w:cs="Arial"/>
          <w:sz w:val="20"/>
          <w:szCs w:val="20"/>
        </w:rPr>
        <w:t>138,100</w:t>
      </w:r>
      <w:r w:rsidR="0009256C" w:rsidRPr="00617FCF">
        <w:rPr>
          <w:rFonts w:ascii="Arial" w:eastAsia="Calibri" w:hAnsi="Arial" w:cs="Arial"/>
          <w:sz w:val="20"/>
          <w:szCs w:val="20"/>
        </w:rPr>
        <w:t xml:space="preserve"> </w:t>
      </w:r>
      <w:r w:rsidR="00ED3A36">
        <w:rPr>
          <w:rFonts w:ascii="Arial" w:eastAsia="Calibri" w:hAnsi="Arial" w:cs="Arial"/>
          <w:sz w:val="20"/>
          <w:szCs w:val="20"/>
        </w:rPr>
        <w:t>€.</w:t>
      </w:r>
      <w:r w:rsidR="00ED3A36" w:rsidRPr="00ED3A36">
        <w:t xml:space="preserve"> </w:t>
      </w:r>
      <w:r w:rsidR="00681971">
        <w:t>R</w:t>
      </w:r>
      <w:r w:rsidR="00ED3A36" w:rsidRPr="00ED3A36">
        <w:rPr>
          <w:rFonts w:ascii="Arial" w:eastAsia="Calibri" w:hAnsi="Arial" w:cs="Arial"/>
          <w:sz w:val="20"/>
          <w:szCs w:val="20"/>
        </w:rPr>
        <w:t xml:space="preserve">estauratorski radovi na Mauzoleju Račić planiraju </w:t>
      </w:r>
      <w:r w:rsidR="00681971">
        <w:rPr>
          <w:rFonts w:ascii="Arial" w:eastAsia="Calibri" w:hAnsi="Arial" w:cs="Arial"/>
          <w:sz w:val="20"/>
          <w:szCs w:val="20"/>
        </w:rPr>
        <w:t xml:space="preserve">se </w:t>
      </w:r>
      <w:r w:rsidR="00ED3A36" w:rsidRPr="00ED3A36">
        <w:rPr>
          <w:rFonts w:ascii="Arial" w:eastAsia="Calibri" w:hAnsi="Arial" w:cs="Arial"/>
          <w:sz w:val="20"/>
          <w:szCs w:val="20"/>
        </w:rPr>
        <w:t>na jesen 2025. godine.</w:t>
      </w:r>
    </w:p>
    <w:p w14:paraId="3AE242B6" w14:textId="77777777" w:rsidR="003A7FEB" w:rsidRPr="00617FCF" w:rsidRDefault="003A7FEB" w:rsidP="00815DAD">
      <w:pPr>
        <w:spacing w:after="0" w:line="240" w:lineRule="auto"/>
        <w:jc w:val="both"/>
        <w:rPr>
          <w:rFonts w:ascii="Arial" w:eastAsia="Times New Roman" w:hAnsi="Arial" w:cs="Arial"/>
          <w:sz w:val="20"/>
          <w:szCs w:val="20"/>
        </w:rPr>
      </w:pPr>
    </w:p>
    <w:p w14:paraId="79F181BC" w14:textId="77777777" w:rsidR="00DF4DF8" w:rsidRPr="00EA587B" w:rsidRDefault="003A7FEB" w:rsidP="00EA587B">
      <w:pPr>
        <w:spacing w:after="0" w:line="240" w:lineRule="auto"/>
        <w:ind w:left="567"/>
        <w:jc w:val="both"/>
        <w:rPr>
          <w:rFonts w:ascii="Arial" w:eastAsia="Times New Roman" w:hAnsi="Arial" w:cs="Arial"/>
          <w:sz w:val="18"/>
          <w:szCs w:val="18"/>
        </w:rPr>
      </w:pPr>
      <w:r w:rsidRPr="00EA587B">
        <w:rPr>
          <w:rFonts w:ascii="Arial" w:eastAsia="Times New Roman" w:hAnsi="Arial" w:cs="Arial"/>
          <w:sz w:val="18"/>
          <w:szCs w:val="18"/>
        </w:rPr>
        <w:t>U 2020. godini izvršeni su radovi redovnog održavanja Mauzoleja Račić u iznosu 52.500 kn temeljem dodijeljene pomoći od Ministarstva kulture (50.000 kn)</w:t>
      </w:r>
      <w:r w:rsidR="00DF4DF8" w:rsidRPr="00EA587B">
        <w:rPr>
          <w:rFonts w:ascii="Arial" w:eastAsia="Times New Roman" w:hAnsi="Arial" w:cs="Arial"/>
          <w:sz w:val="18"/>
          <w:szCs w:val="18"/>
        </w:rPr>
        <w:t xml:space="preserve"> što je obuhvatilo dio potrebnih konzervatorsko restauratorskih zahvata te poslove čišćenja.</w:t>
      </w:r>
    </w:p>
    <w:p w14:paraId="4E5DEA93" w14:textId="77777777" w:rsidR="00ED657E" w:rsidRPr="00617FCF" w:rsidRDefault="00ED657E" w:rsidP="00C13DF1">
      <w:pPr>
        <w:spacing w:after="0" w:line="240" w:lineRule="auto"/>
        <w:jc w:val="both"/>
        <w:rPr>
          <w:rFonts w:ascii="Arial" w:eastAsia="Times New Roman" w:hAnsi="Arial" w:cs="Arial"/>
          <w:sz w:val="20"/>
          <w:szCs w:val="20"/>
        </w:rPr>
      </w:pPr>
    </w:p>
    <w:p w14:paraId="1D9E72DD" w14:textId="77777777" w:rsidR="00681971" w:rsidRDefault="00572173" w:rsidP="00DF4DF8">
      <w:pPr>
        <w:spacing w:after="0" w:line="240" w:lineRule="auto"/>
        <w:jc w:val="both"/>
        <w:rPr>
          <w:rFonts w:ascii="Arial" w:eastAsia="Times New Roman" w:hAnsi="Arial" w:cs="Arial"/>
          <w:sz w:val="20"/>
          <w:szCs w:val="20"/>
        </w:rPr>
      </w:pPr>
      <w:r w:rsidRPr="00617FCF">
        <w:rPr>
          <w:rFonts w:ascii="Arial" w:eastAsia="Times New Roman" w:hAnsi="Arial" w:cs="Arial"/>
          <w:b/>
          <w:bCs/>
          <w:sz w:val="20"/>
          <w:szCs w:val="20"/>
        </w:rPr>
        <w:t>3</w:t>
      </w:r>
      <w:r w:rsidR="0040020F" w:rsidRPr="00617FCF">
        <w:rPr>
          <w:rFonts w:ascii="Arial" w:eastAsia="Times New Roman" w:hAnsi="Arial" w:cs="Arial"/>
          <w:b/>
          <w:bCs/>
          <w:sz w:val="20"/>
          <w:szCs w:val="20"/>
        </w:rPr>
        <w:t>3</w:t>
      </w:r>
      <w:r w:rsidR="00ED657E" w:rsidRPr="00617FCF">
        <w:rPr>
          <w:rFonts w:ascii="Arial" w:eastAsia="Times New Roman" w:hAnsi="Arial" w:cs="Arial"/>
          <w:b/>
          <w:bCs/>
          <w:sz w:val="20"/>
          <w:szCs w:val="20"/>
        </w:rPr>
        <w:t xml:space="preserve">. T203137 ERASMUS+, </w:t>
      </w:r>
      <w:r w:rsidR="00ED657E" w:rsidRPr="00617FCF">
        <w:rPr>
          <w:rFonts w:ascii="Arial" w:eastAsia="Calibri" w:hAnsi="Arial" w:cs="Arial"/>
          <w:b/>
          <w:bCs/>
          <w:i/>
          <w:sz w:val="20"/>
          <w:szCs w:val="20"/>
        </w:rPr>
        <w:t>Unnecessary - useful and aesthetic creative approach to recycling</w:t>
      </w:r>
      <w:r w:rsidR="00ED657E" w:rsidRPr="00617FCF">
        <w:rPr>
          <w:rFonts w:ascii="Arial" w:eastAsia="Calibri" w:hAnsi="Arial" w:cs="Arial"/>
          <w:iCs/>
          <w:sz w:val="20"/>
          <w:szCs w:val="20"/>
        </w:rPr>
        <w:t xml:space="preserve"> - </w:t>
      </w:r>
      <w:r w:rsidR="00ED657E" w:rsidRPr="00617FCF">
        <w:rPr>
          <w:rFonts w:ascii="Arial" w:eastAsia="Times New Roman" w:hAnsi="Arial" w:cs="Arial"/>
          <w:b/>
          <w:bCs/>
          <w:sz w:val="20"/>
          <w:szCs w:val="20"/>
        </w:rPr>
        <w:t>Kreativni pristup recikliranju (koordinator Poljska, umjetnički centar) –</w:t>
      </w:r>
      <w:r w:rsidR="00C13DF1" w:rsidRPr="00617FCF">
        <w:rPr>
          <w:rFonts w:ascii="Arial" w:eastAsia="Times New Roman" w:hAnsi="Arial" w:cs="Arial"/>
          <w:sz w:val="20"/>
          <w:szCs w:val="20"/>
        </w:rPr>
        <w:t xml:space="preserve"> U okviru navedene aktivnosti </w:t>
      </w:r>
      <w:r w:rsidR="00681971">
        <w:rPr>
          <w:rFonts w:ascii="Arial" w:eastAsia="Times New Roman" w:hAnsi="Arial" w:cs="Arial"/>
          <w:sz w:val="20"/>
          <w:szCs w:val="20"/>
        </w:rPr>
        <w:t>nis</w:t>
      </w:r>
      <w:r w:rsidR="00C13DF1" w:rsidRPr="00617FCF">
        <w:rPr>
          <w:rFonts w:ascii="Arial" w:eastAsia="Times New Roman" w:hAnsi="Arial" w:cs="Arial"/>
          <w:sz w:val="20"/>
          <w:szCs w:val="20"/>
        </w:rPr>
        <w:t>u planirana proračunska sredstva</w:t>
      </w:r>
      <w:r w:rsidR="00681971">
        <w:rPr>
          <w:rFonts w:ascii="Arial" w:eastAsia="Times New Roman" w:hAnsi="Arial" w:cs="Arial"/>
          <w:sz w:val="20"/>
          <w:szCs w:val="20"/>
        </w:rPr>
        <w:t>.</w:t>
      </w:r>
    </w:p>
    <w:p w14:paraId="61C4748A" w14:textId="77777777" w:rsidR="00C67068" w:rsidRDefault="00C67068" w:rsidP="00C67068">
      <w:pPr>
        <w:spacing w:after="0" w:line="240" w:lineRule="auto"/>
        <w:jc w:val="both"/>
        <w:rPr>
          <w:rFonts w:ascii="Arial" w:eastAsia="Times New Roman" w:hAnsi="Arial" w:cs="Arial"/>
          <w:sz w:val="20"/>
          <w:szCs w:val="20"/>
        </w:rPr>
      </w:pPr>
    </w:p>
    <w:p w14:paraId="68A085B0" w14:textId="7888F12F" w:rsidR="00C67068" w:rsidRPr="00C67068" w:rsidRDefault="00C67068" w:rsidP="00C67068">
      <w:pPr>
        <w:spacing w:after="0" w:line="240" w:lineRule="auto"/>
        <w:jc w:val="both"/>
        <w:rPr>
          <w:rFonts w:ascii="Arial" w:eastAsia="Times New Roman" w:hAnsi="Arial" w:cs="Arial"/>
          <w:sz w:val="20"/>
          <w:szCs w:val="20"/>
        </w:rPr>
      </w:pPr>
      <w:r w:rsidRPr="00C67068">
        <w:rPr>
          <w:rFonts w:ascii="Arial" w:eastAsia="Times New Roman" w:hAnsi="Arial" w:cs="Arial"/>
          <w:sz w:val="20"/>
          <w:szCs w:val="20"/>
        </w:rPr>
        <w:t>T</w:t>
      </w:r>
      <w:r w:rsidRPr="00C67068">
        <w:rPr>
          <w:rFonts w:ascii="Arial" w:eastAsia="Times New Roman" w:hAnsi="Arial" w:cs="Arial"/>
          <w:iCs/>
          <w:sz w:val="20"/>
          <w:szCs w:val="20"/>
        </w:rPr>
        <w:t xml:space="preserve">ema ovog projekta je bila pronalaženje oblika kreativne upotrebe otpada u umjetnosti s terapeutskim efektima kao doprinos konceptu održivog razvoja i cjeloživotnog učenja s ciljem uključivanja u programe ranjivih skupina. Ukupna vrijednost projekta je iznosila 156.245,00 </w:t>
      </w:r>
      <w:r>
        <w:rPr>
          <w:rFonts w:ascii="Arial" w:eastAsia="Times New Roman" w:hAnsi="Arial" w:cs="Arial"/>
          <w:iCs/>
          <w:sz w:val="20"/>
          <w:szCs w:val="20"/>
        </w:rPr>
        <w:t>€</w:t>
      </w:r>
      <w:r w:rsidRPr="00C67068">
        <w:rPr>
          <w:rFonts w:ascii="Arial" w:eastAsia="Times New Roman" w:hAnsi="Arial" w:cs="Arial"/>
          <w:iCs/>
          <w:sz w:val="20"/>
          <w:szCs w:val="20"/>
        </w:rPr>
        <w:t xml:space="preserve">-a, Muzejima i galerijama Konavala dodijeljen je iznos od 16.844,00 </w:t>
      </w:r>
      <w:r>
        <w:rPr>
          <w:rFonts w:ascii="Arial" w:eastAsia="Times New Roman" w:hAnsi="Arial" w:cs="Arial"/>
          <w:iCs/>
          <w:sz w:val="20"/>
          <w:szCs w:val="20"/>
        </w:rPr>
        <w:t>€</w:t>
      </w:r>
      <w:r w:rsidRPr="00C67068">
        <w:rPr>
          <w:rFonts w:ascii="Arial" w:eastAsia="Times New Roman" w:hAnsi="Arial" w:cs="Arial"/>
          <w:iCs/>
          <w:sz w:val="20"/>
          <w:szCs w:val="20"/>
        </w:rPr>
        <w:t xml:space="preserve">, projekt je imao 7 sudionika, koordinator je </w:t>
      </w:r>
      <w:r w:rsidRPr="00C67068">
        <w:rPr>
          <w:rFonts w:ascii="Arial" w:eastAsia="Times New Roman" w:hAnsi="Arial" w:cs="Arial"/>
          <w:sz w:val="20"/>
          <w:szCs w:val="20"/>
        </w:rPr>
        <w:t>Poleski Ośrodek Sztuki iz Poljske, a partneri su iz Švedske, Italije, Portugala te 2 iz Austrije.</w:t>
      </w:r>
    </w:p>
    <w:p w14:paraId="13C4FE3A" w14:textId="77777777" w:rsidR="00681971" w:rsidRDefault="00681971" w:rsidP="00DF4DF8">
      <w:pPr>
        <w:spacing w:after="0" w:line="240" w:lineRule="auto"/>
        <w:jc w:val="both"/>
        <w:rPr>
          <w:rFonts w:ascii="Arial" w:eastAsia="Times New Roman" w:hAnsi="Arial" w:cs="Arial"/>
          <w:sz w:val="20"/>
          <w:szCs w:val="20"/>
        </w:rPr>
      </w:pPr>
    </w:p>
    <w:p w14:paraId="27A2D510" w14:textId="55FA3FC8" w:rsidR="00EC60BC" w:rsidRPr="00617FCF" w:rsidRDefault="00EC60BC" w:rsidP="00DF4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iCs/>
          <w:sz w:val="20"/>
          <w:szCs w:val="20"/>
        </w:rPr>
      </w:pPr>
      <w:r w:rsidRPr="00617FCF">
        <w:rPr>
          <w:rFonts w:ascii="Arial" w:eastAsia="Calibri" w:hAnsi="Arial" w:cs="Arial"/>
          <w:b/>
          <w:bCs/>
          <w:iCs/>
          <w:sz w:val="20"/>
          <w:szCs w:val="20"/>
        </w:rPr>
        <w:t>3</w:t>
      </w:r>
      <w:r w:rsidR="0040020F" w:rsidRPr="00617FCF">
        <w:rPr>
          <w:rFonts w:ascii="Arial" w:eastAsia="Calibri" w:hAnsi="Arial" w:cs="Arial"/>
          <w:b/>
          <w:bCs/>
          <w:iCs/>
          <w:sz w:val="20"/>
          <w:szCs w:val="20"/>
        </w:rPr>
        <w:t>4</w:t>
      </w:r>
      <w:r w:rsidRPr="00617FCF">
        <w:rPr>
          <w:rFonts w:ascii="Arial" w:eastAsia="Calibri" w:hAnsi="Arial" w:cs="Arial"/>
          <w:b/>
          <w:bCs/>
          <w:iCs/>
          <w:sz w:val="20"/>
          <w:szCs w:val="20"/>
        </w:rPr>
        <w:t xml:space="preserve">. T203138: ERASMUS+ History, </w:t>
      </w:r>
      <w:r w:rsidRPr="00617FCF">
        <w:rPr>
          <w:rFonts w:ascii="Arial" w:eastAsia="Calibri" w:hAnsi="Arial" w:cs="Arial"/>
          <w:i/>
          <w:sz w:val="20"/>
          <w:szCs w:val="20"/>
        </w:rPr>
        <w:t xml:space="preserve">KA2,Transnational approaches and multi-perspective methods in history teaching </w:t>
      </w:r>
    </w:p>
    <w:p w14:paraId="24BACC5D" w14:textId="77777777" w:rsidR="00EA587B" w:rsidRDefault="00EA587B" w:rsidP="00DF4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iCs/>
          <w:sz w:val="20"/>
          <w:szCs w:val="20"/>
        </w:rPr>
      </w:pPr>
    </w:p>
    <w:p w14:paraId="0A7553BC" w14:textId="1012AB0E" w:rsidR="00253E71" w:rsidRPr="00253E71" w:rsidRDefault="00253E71" w:rsidP="00253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iCs/>
          <w:sz w:val="20"/>
          <w:szCs w:val="20"/>
        </w:rPr>
      </w:pPr>
      <w:r w:rsidRPr="00253E71">
        <w:rPr>
          <w:rFonts w:ascii="Arial" w:eastAsia="Calibri" w:hAnsi="Arial" w:cs="Arial"/>
          <w:iCs/>
          <w:sz w:val="20"/>
          <w:szCs w:val="20"/>
        </w:rPr>
        <w:t xml:space="preserve">Planirana sredstva za 2025. godinu iznose 8.500,00 </w:t>
      </w:r>
      <w:r>
        <w:rPr>
          <w:rFonts w:ascii="Arial" w:eastAsia="Calibri" w:hAnsi="Arial" w:cs="Arial"/>
          <w:iCs/>
          <w:sz w:val="20"/>
          <w:szCs w:val="20"/>
        </w:rPr>
        <w:t>€ š</w:t>
      </w:r>
      <w:r w:rsidRPr="00253E71">
        <w:rPr>
          <w:rFonts w:ascii="Arial" w:eastAsia="Calibri" w:hAnsi="Arial" w:cs="Arial"/>
          <w:iCs/>
          <w:sz w:val="20"/>
          <w:szCs w:val="20"/>
        </w:rPr>
        <w:t xml:space="preserve">to čine preostala sredstva nakon završetka projekta. U ovom projektu je ustanova surađivala sa još 7 sudionika, koordinator je bio Universitate Klagenfurt iz Austrije, ostali partneri su bili iz Belgije, Njemačke, Poljske, Austrije, Rumunjske i Švedske. Ukupna vrijednost projekta je </w:t>
      </w:r>
      <w:r w:rsidRPr="00253E71">
        <w:rPr>
          <w:rFonts w:ascii="Arial" w:eastAsia="Calibri" w:hAnsi="Arial" w:cs="Arial"/>
          <w:iCs/>
          <w:sz w:val="20"/>
          <w:szCs w:val="20"/>
        </w:rPr>
        <w:lastRenderedPageBreak/>
        <w:t xml:space="preserve">iznosila 257.159,00 </w:t>
      </w:r>
      <w:r w:rsidR="005C49F9">
        <w:rPr>
          <w:rFonts w:ascii="Arial" w:eastAsia="Calibri" w:hAnsi="Arial" w:cs="Arial"/>
          <w:iCs/>
          <w:sz w:val="20"/>
          <w:szCs w:val="20"/>
        </w:rPr>
        <w:t>€</w:t>
      </w:r>
      <w:r w:rsidRPr="00253E71">
        <w:rPr>
          <w:rFonts w:ascii="Arial" w:eastAsia="Calibri" w:hAnsi="Arial" w:cs="Arial"/>
          <w:iCs/>
          <w:sz w:val="20"/>
          <w:szCs w:val="20"/>
        </w:rPr>
        <w:t xml:space="preserve">, Muzejima i galerijama Konavala dodijeljen je iznos od 33.315,00 </w:t>
      </w:r>
      <w:r w:rsidR="005C49F9">
        <w:rPr>
          <w:rFonts w:ascii="Arial" w:eastAsia="Calibri" w:hAnsi="Arial" w:cs="Arial"/>
          <w:iCs/>
          <w:sz w:val="20"/>
          <w:szCs w:val="20"/>
        </w:rPr>
        <w:t>€</w:t>
      </w:r>
      <w:r w:rsidRPr="00253E71">
        <w:rPr>
          <w:rFonts w:ascii="Arial" w:eastAsia="Calibri" w:hAnsi="Arial" w:cs="Arial"/>
          <w:iCs/>
          <w:sz w:val="20"/>
          <w:szCs w:val="20"/>
        </w:rPr>
        <w:t>. Projektom se kroz proučavanje društveno-političkih događaje iz europske prošlosti ispitivalo kako su potekle različite nacionalne perspektive s ciljem razvoja modela najbolje prakse za podučavanje povijesti u školi i izvan nje.</w:t>
      </w:r>
    </w:p>
    <w:p w14:paraId="4706043D" w14:textId="77777777" w:rsidR="003A54B4" w:rsidRPr="00617FCF" w:rsidRDefault="003A54B4" w:rsidP="00DF4DF8">
      <w:pPr>
        <w:spacing w:after="0" w:line="240" w:lineRule="auto"/>
        <w:rPr>
          <w:rFonts w:ascii="Arial" w:eastAsia="Calibri" w:hAnsi="Arial" w:cs="Arial"/>
          <w:iCs/>
          <w:sz w:val="20"/>
          <w:szCs w:val="20"/>
        </w:rPr>
      </w:pPr>
    </w:p>
    <w:p w14:paraId="23CDB647" w14:textId="77777777" w:rsidR="000D56FC" w:rsidRPr="00617FCF" w:rsidRDefault="000D56FC" w:rsidP="00DF4DF8">
      <w:pPr>
        <w:spacing w:after="0" w:line="240" w:lineRule="auto"/>
        <w:rPr>
          <w:rFonts w:ascii="Arial" w:eastAsia="Calibri" w:hAnsi="Arial" w:cs="Arial"/>
          <w:b/>
          <w:sz w:val="20"/>
          <w:szCs w:val="20"/>
        </w:rPr>
      </w:pPr>
      <w:r w:rsidRPr="00617FCF">
        <w:rPr>
          <w:rFonts w:ascii="Arial" w:eastAsia="Calibri" w:hAnsi="Arial" w:cs="Arial"/>
          <w:b/>
          <w:sz w:val="20"/>
          <w:szCs w:val="20"/>
        </w:rPr>
        <w:t>35. T203139: ERASMUS+ ATME, A theatrical museum experience</w:t>
      </w:r>
    </w:p>
    <w:p w14:paraId="2CDF4F36" w14:textId="77777777" w:rsidR="00DF4DF8" w:rsidRPr="00617FCF" w:rsidRDefault="00DF4DF8" w:rsidP="00DF4DF8">
      <w:pPr>
        <w:spacing w:after="0" w:line="240" w:lineRule="auto"/>
        <w:jc w:val="both"/>
        <w:rPr>
          <w:rFonts w:ascii="Arial" w:eastAsia="Calibri" w:hAnsi="Arial" w:cs="Arial"/>
          <w:bCs/>
          <w:sz w:val="20"/>
          <w:szCs w:val="20"/>
        </w:rPr>
      </w:pPr>
    </w:p>
    <w:p w14:paraId="15D1DD92" w14:textId="30E464D4" w:rsidR="00DF4DF8" w:rsidRPr="00617FCF" w:rsidRDefault="000D56FC" w:rsidP="00DF4DF8">
      <w:pPr>
        <w:spacing w:after="0" w:line="240" w:lineRule="auto"/>
        <w:jc w:val="both"/>
        <w:rPr>
          <w:rFonts w:ascii="Arial" w:eastAsia="Calibri" w:hAnsi="Arial" w:cs="Arial"/>
          <w:bCs/>
          <w:sz w:val="20"/>
          <w:szCs w:val="20"/>
        </w:rPr>
      </w:pPr>
      <w:r w:rsidRPr="00617FCF">
        <w:rPr>
          <w:rFonts w:ascii="Arial" w:eastAsia="Calibri" w:hAnsi="Arial" w:cs="Arial"/>
          <w:bCs/>
          <w:sz w:val="20"/>
          <w:szCs w:val="20"/>
        </w:rPr>
        <w:t xml:space="preserve">Planirani sredstva iznose </w:t>
      </w:r>
      <w:r w:rsidR="00695D08">
        <w:rPr>
          <w:rFonts w:ascii="Arial" w:eastAsia="Calibri" w:hAnsi="Arial" w:cs="Arial"/>
          <w:bCs/>
          <w:sz w:val="20"/>
          <w:szCs w:val="20"/>
        </w:rPr>
        <w:t>4.500</w:t>
      </w:r>
      <w:r w:rsidRPr="00617FCF">
        <w:rPr>
          <w:rFonts w:ascii="Arial" w:eastAsia="Calibri" w:hAnsi="Arial" w:cs="Arial"/>
          <w:bCs/>
          <w:sz w:val="20"/>
          <w:szCs w:val="20"/>
        </w:rPr>
        <w:t xml:space="preserve"> €, </w:t>
      </w:r>
      <w:r w:rsidR="00DF4DF8" w:rsidRPr="00617FCF">
        <w:rPr>
          <w:rFonts w:ascii="Arial" w:eastAsia="Calibri" w:hAnsi="Arial" w:cs="Arial"/>
          <w:bCs/>
          <w:sz w:val="20"/>
          <w:szCs w:val="20"/>
        </w:rPr>
        <w:t xml:space="preserve">a </w:t>
      </w:r>
      <w:r w:rsidR="00695D08">
        <w:rPr>
          <w:rFonts w:ascii="Arial" w:eastAsia="Calibri" w:hAnsi="Arial" w:cs="Arial"/>
          <w:bCs/>
          <w:sz w:val="20"/>
          <w:szCs w:val="20"/>
        </w:rPr>
        <w:t>rashodi nisu izvršeni.</w:t>
      </w:r>
    </w:p>
    <w:p w14:paraId="68FD07A7" w14:textId="77777777" w:rsidR="00DF4DF8" w:rsidRPr="00617FCF" w:rsidRDefault="00DF4DF8" w:rsidP="00DF4DF8">
      <w:pPr>
        <w:spacing w:after="0" w:line="240" w:lineRule="auto"/>
        <w:jc w:val="both"/>
        <w:rPr>
          <w:rFonts w:ascii="Arial" w:eastAsia="Calibri" w:hAnsi="Arial" w:cs="Arial"/>
          <w:bCs/>
          <w:sz w:val="20"/>
          <w:szCs w:val="20"/>
        </w:rPr>
      </w:pPr>
    </w:p>
    <w:p w14:paraId="34402CC9" w14:textId="77777777" w:rsidR="00695D08" w:rsidRPr="00695D08" w:rsidRDefault="00695D08" w:rsidP="00695D08">
      <w:pPr>
        <w:spacing w:after="0" w:line="240" w:lineRule="auto"/>
        <w:jc w:val="both"/>
        <w:rPr>
          <w:rFonts w:ascii="Arial" w:eastAsia="Calibri" w:hAnsi="Arial" w:cs="Arial"/>
          <w:iCs/>
          <w:sz w:val="20"/>
          <w:szCs w:val="20"/>
          <w:lang w:eastAsia="en-US"/>
        </w:rPr>
      </w:pPr>
      <w:r w:rsidRPr="00695D08">
        <w:rPr>
          <w:rFonts w:ascii="Arial" w:eastAsia="Calibri" w:hAnsi="Arial" w:cs="Arial"/>
          <w:iCs/>
          <w:sz w:val="20"/>
          <w:szCs w:val="20"/>
          <w:lang w:eastAsia="en-US"/>
        </w:rPr>
        <w:t xml:space="preserve">Tema projekta je poučavanje ciljanih skupina kako na originalan način prezentirati sadržaj muzeja, povijesti umjetnosti i sl. čime muzejski prostori postaju novi edukativni i poticajni prostori otvoreni širim publikama, gdje se učenjem kroz iskustvo postiže individualni rast i razvoj kroz nove načine razmišljanja i razvoja uključivog društva. Projekt je trajao od 01.04.2023. do 30.09.2024. godine, a odobreni budget Muzeja i galerija Konavala je iznosi 16.650 EUR-a. U projektu su također sudjelovali  muzej iz Švedske i dramska skupina iz Belgije, koja je bila koordinator projekta.  </w:t>
      </w:r>
    </w:p>
    <w:p w14:paraId="48CE0DB1" w14:textId="77777777" w:rsidR="00DF4DF8" w:rsidRPr="00617FCF" w:rsidRDefault="00DF4DF8" w:rsidP="00DF4DF8">
      <w:pPr>
        <w:spacing w:after="0" w:line="240" w:lineRule="auto"/>
        <w:jc w:val="both"/>
        <w:rPr>
          <w:rFonts w:ascii="Arial" w:eastAsia="Calibri" w:hAnsi="Arial" w:cs="Arial"/>
          <w:iCs/>
          <w:sz w:val="20"/>
          <w:szCs w:val="20"/>
        </w:rPr>
      </w:pPr>
    </w:p>
    <w:tbl>
      <w:tblPr>
        <w:tblStyle w:val="Reetkatablice5"/>
        <w:tblW w:w="12826" w:type="dxa"/>
        <w:jc w:val="center"/>
        <w:tblLayout w:type="fixed"/>
        <w:tblLook w:val="04A0" w:firstRow="1" w:lastRow="0" w:firstColumn="1" w:lastColumn="0" w:noHBand="0" w:noVBand="1"/>
      </w:tblPr>
      <w:tblGrid>
        <w:gridCol w:w="2122"/>
        <w:gridCol w:w="2912"/>
        <w:gridCol w:w="1099"/>
        <w:gridCol w:w="1134"/>
        <w:gridCol w:w="1134"/>
        <w:gridCol w:w="1023"/>
        <w:gridCol w:w="992"/>
        <w:gridCol w:w="1134"/>
        <w:gridCol w:w="1276"/>
      </w:tblGrid>
      <w:tr w:rsidR="00617FCF" w:rsidRPr="00617FCF" w14:paraId="3B59E782" w14:textId="77777777" w:rsidTr="00344DB6">
        <w:trPr>
          <w:jc w:val="center"/>
        </w:trPr>
        <w:tc>
          <w:tcPr>
            <w:tcW w:w="2122" w:type="dxa"/>
            <w:shd w:val="clear" w:color="auto" w:fill="BFBFBF" w:themeFill="background1" w:themeFillShade="BF"/>
            <w:vAlign w:val="center"/>
          </w:tcPr>
          <w:p w14:paraId="4CDD73F2" w14:textId="04C5FB91" w:rsidR="00617FCF" w:rsidRPr="00617FCF" w:rsidRDefault="00617FCF" w:rsidP="00617FCF">
            <w:pPr>
              <w:jc w:val="center"/>
              <w:rPr>
                <w:rFonts w:ascii="Arial" w:eastAsia="Calibri" w:hAnsi="Arial" w:cs="Arial"/>
                <w:sz w:val="16"/>
                <w:szCs w:val="16"/>
              </w:rPr>
            </w:pPr>
            <w:r w:rsidRPr="00617FCF">
              <w:rPr>
                <w:rFonts w:ascii="Arial" w:eastAsia="Calibri" w:hAnsi="Arial" w:cs="Arial"/>
                <w:sz w:val="18"/>
                <w:szCs w:val="18"/>
              </w:rPr>
              <w:t>Pokazatelj uspješnosti</w:t>
            </w:r>
          </w:p>
        </w:tc>
        <w:tc>
          <w:tcPr>
            <w:tcW w:w="2912" w:type="dxa"/>
            <w:shd w:val="clear" w:color="auto" w:fill="BFBFBF" w:themeFill="background1" w:themeFillShade="BF"/>
            <w:vAlign w:val="center"/>
          </w:tcPr>
          <w:p w14:paraId="66B5F84F" w14:textId="3F7EEBCD" w:rsidR="00617FCF" w:rsidRPr="00617FCF" w:rsidRDefault="00617FCF" w:rsidP="00617FCF">
            <w:pPr>
              <w:jc w:val="center"/>
              <w:rPr>
                <w:rFonts w:ascii="Arial" w:eastAsia="Calibri" w:hAnsi="Arial" w:cs="Arial"/>
                <w:sz w:val="16"/>
                <w:szCs w:val="16"/>
              </w:rPr>
            </w:pPr>
            <w:r w:rsidRPr="00617FCF">
              <w:rPr>
                <w:rFonts w:ascii="Arial" w:eastAsia="Calibri" w:hAnsi="Arial" w:cs="Arial"/>
                <w:sz w:val="18"/>
                <w:szCs w:val="18"/>
              </w:rPr>
              <w:t>Definicija</w:t>
            </w:r>
          </w:p>
        </w:tc>
        <w:tc>
          <w:tcPr>
            <w:tcW w:w="1099" w:type="dxa"/>
            <w:shd w:val="clear" w:color="auto" w:fill="BFBFBF" w:themeFill="background1" w:themeFillShade="BF"/>
            <w:vAlign w:val="center"/>
          </w:tcPr>
          <w:p w14:paraId="6E03D007" w14:textId="53234E3A" w:rsidR="00617FCF" w:rsidRPr="00617FCF" w:rsidRDefault="00617FCF" w:rsidP="00617FCF">
            <w:pPr>
              <w:jc w:val="center"/>
              <w:rPr>
                <w:rFonts w:ascii="Arial" w:eastAsia="Calibri" w:hAnsi="Arial" w:cs="Arial"/>
                <w:sz w:val="16"/>
                <w:szCs w:val="16"/>
              </w:rPr>
            </w:pPr>
            <w:r w:rsidRPr="00617FCF">
              <w:rPr>
                <w:rFonts w:ascii="Arial" w:eastAsia="Calibri" w:hAnsi="Arial" w:cs="Arial"/>
                <w:sz w:val="18"/>
                <w:szCs w:val="18"/>
              </w:rPr>
              <w:t>Jedinica</w:t>
            </w:r>
          </w:p>
        </w:tc>
        <w:tc>
          <w:tcPr>
            <w:tcW w:w="1134" w:type="dxa"/>
            <w:shd w:val="clear" w:color="auto" w:fill="BFBFBF" w:themeFill="background1" w:themeFillShade="BF"/>
            <w:vAlign w:val="center"/>
          </w:tcPr>
          <w:p w14:paraId="2FCFBC2C" w14:textId="77777777" w:rsidR="00617FCF" w:rsidRPr="00617FCF" w:rsidRDefault="00617FCF" w:rsidP="00617FCF">
            <w:pPr>
              <w:jc w:val="center"/>
              <w:rPr>
                <w:rFonts w:ascii="Arial" w:eastAsia="Calibri" w:hAnsi="Arial" w:cs="Arial"/>
                <w:sz w:val="18"/>
                <w:szCs w:val="18"/>
              </w:rPr>
            </w:pPr>
            <w:r w:rsidRPr="00617FCF">
              <w:rPr>
                <w:rFonts w:ascii="Arial" w:eastAsia="Calibri" w:hAnsi="Arial" w:cs="Arial"/>
                <w:sz w:val="18"/>
                <w:szCs w:val="18"/>
              </w:rPr>
              <w:t>Polazna vrijednost</w:t>
            </w:r>
          </w:p>
          <w:p w14:paraId="66524071" w14:textId="60F076A9" w:rsidR="00617FCF" w:rsidRPr="00617FCF" w:rsidRDefault="00617FCF" w:rsidP="00617FCF">
            <w:pPr>
              <w:jc w:val="center"/>
              <w:rPr>
                <w:rFonts w:ascii="Arial" w:eastAsia="Calibri" w:hAnsi="Arial" w:cs="Arial"/>
                <w:sz w:val="16"/>
                <w:szCs w:val="16"/>
              </w:rPr>
            </w:pPr>
            <w:r w:rsidRPr="00617FCF">
              <w:rPr>
                <w:rFonts w:ascii="Arial" w:eastAsia="Calibri" w:hAnsi="Arial" w:cs="Arial"/>
                <w:sz w:val="18"/>
                <w:szCs w:val="18"/>
              </w:rPr>
              <w:t>202</w:t>
            </w:r>
            <w:r w:rsidR="00695D08">
              <w:rPr>
                <w:rFonts w:ascii="Arial" w:eastAsia="Calibri" w:hAnsi="Arial" w:cs="Arial"/>
                <w:sz w:val="18"/>
                <w:szCs w:val="18"/>
              </w:rPr>
              <w:t>4</w:t>
            </w:r>
            <w:r w:rsidRPr="00617FCF">
              <w:rPr>
                <w:rFonts w:ascii="Arial" w:eastAsia="Calibri" w:hAnsi="Arial" w:cs="Arial"/>
                <w:sz w:val="18"/>
                <w:szCs w:val="18"/>
              </w:rPr>
              <w:t>.</w:t>
            </w:r>
          </w:p>
        </w:tc>
        <w:tc>
          <w:tcPr>
            <w:tcW w:w="1134" w:type="dxa"/>
            <w:shd w:val="clear" w:color="auto" w:fill="BFBFBF" w:themeFill="background1" w:themeFillShade="BF"/>
            <w:vAlign w:val="center"/>
          </w:tcPr>
          <w:p w14:paraId="7C7F0A4F" w14:textId="11607139" w:rsidR="00617FCF" w:rsidRPr="00617FCF" w:rsidRDefault="00617FCF" w:rsidP="00617FCF">
            <w:pPr>
              <w:jc w:val="center"/>
              <w:rPr>
                <w:rFonts w:ascii="Arial" w:eastAsia="Calibri" w:hAnsi="Arial" w:cs="Arial"/>
                <w:sz w:val="16"/>
                <w:szCs w:val="16"/>
              </w:rPr>
            </w:pPr>
            <w:r w:rsidRPr="00617FCF">
              <w:rPr>
                <w:rFonts w:ascii="Arial" w:eastAsia="Calibri" w:hAnsi="Arial" w:cs="Arial"/>
                <w:sz w:val="18"/>
                <w:szCs w:val="18"/>
              </w:rPr>
              <w:t>Izvor podataka</w:t>
            </w:r>
          </w:p>
        </w:tc>
        <w:tc>
          <w:tcPr>
            <w:tcW w:w="1023" w:type="dxa"/>
            <w:shd w:val="clear" w:color="auto" w:fill="BFBFBF" w:themeFill="background1" w:themeFillShade="BF"/>
            <w:vAlign w:val="center"/>
          </w:tcPr>
          <w:p w14:paraId="30BB820B" w14:textId="54302491" w:rsidR="00617FCF" w:rsidRPr="00617FCF" w:rsidRDefault="00617FCF" w:rsidP="00617FCF">
            <w:pPr>
              <w:jc w:val="center"/>
              <w:rPr>
                <w:rFonts w:ascii="Arial" w:eastAsia="Calibri" w:hAnsi="Arial" w:cs="Arial"/>
                <w:sz w:val="16"/>
                <w:szCs w:val="16"/>
              </w:rPr>
            </w:pPr>
            <w:r w:rsidRPr="00617FCF">
              <w:rPr>
                <w:rFonts w:ascii="Arial" w:eastAsia="Calibri" w:hAnsi="Arial" w:cs="Arial"/>
                <w:sz w:val="18"/>
                <w:szCs w:val="18"/>
              </w:rPr>
              <w:t>Ciljana vrijednost 202</w:t>
            </w:r>
            <w:r w:rsidR="00695D08">
              <w:rPr>
                <w:rFonts w:ascii="Arial" w:eastAsia="Calibri" w:hAnsi="Arial" w:cs="Arial"/>
                <w:sz w:val="18"/>
                <w:szCs w:val="18"/>
              </w:rPr>
              <w:t>5</w:t>
            </w:r>
            <w:r w:rsidRPr="00617FCF">
              <w:rPr>
                <w:rFonts w:ascii="Arial" w:eastAsia="Calibri" w:hAnsi="Arial" w:cs="Arial"/>
                <w:sz w:val="18"/>
                <w:szCs w:val="18"/>
              </w:rPr>
              <w:t>.</w:t>
            </w:r>
          </w:p>
        </w:tc>
        <w:tc>
          <w:tcPr>
            <w:tcW w:w="992" w:type="dxa"/>
            <w:shd w:val="clear" w:color="auto" w:fill="BFBFBF" w:themeFill="background1" w:themeFillShade="BF"/>
            <w:vAlign w:val="center"/>
          </w:tcPr>
          <w:p w14:paraId="2478B7E4" w14:textId="1A16D579" w:rsidR="00617FCF" w:rsidRPr="00617FCF" w:rsidRDefault="00617FCF" w:rsidP="00617FCF">
            <w:pPr>
              <w:jc w:val="center"/>
              <w:rPr>
                <w:rFonts w:ascii="Arial" w:eastAsia="Calibri" w:hAnsi="Arial" w:cs="Arial"/>
                <w:sz w:val="16"/>
                <w:szCs w:val="16"/>
              </w:rPr>
            </w:pPr>
            <w:r w:rsidRPr="00617FCF">
              <w:rPr>
                <w:rFonts w:ascii="Arial" w:eastAsia="Calibri" w:hAnsi="Arial" w:cs="Arial"/>
                <w:sz w:val="18"/>
                <w:szCs w:val="18"/>
              </w:rPr>
              <w:t>Izvršeno 202</w:t>
            </w:r>
            <w:r w:rsidR="00695D08">
              <w:rPr>
                <w:rFonts w:ascii="Arial" w:eastAsia="Calibri" w:hAnsi="Arial" w:cs="Arial"/>
                <w:sz w:val="18"/>
                <w:szCs w:val="18"/>
              </w:rPr>
              <w:t>5</w:t>
            </w:r>
            <w:r w:rsidRPr="00617FCF">
              <w:rPr>
                <w:rFonts w:ascii="Arial" w:eastAsia="Calibri" w:hAnsi="Arial" w:cs="Arial"/>
                <w:sz w:val="18"/>
                <w:szCs w:val="18"/>
              </w:rPr>
              <w:t>.</w:t>
            </w:r>
          </w:p>
        </w:tc>
        <w:tc>
          <w:tcPr>
            <w:tcW w:w="1134" w:type="dxa"/>
            <w:shd w:val="clear" w:color="auto" w:fill="BFBFBF" w:themeFill="background1" w:themeFillShade="BF"/>
            <w:vAlign w:val="center"/>
          </w:tcPr>
          <w:p w14:paraId="46335BC7" w14:textId="4A7C193D" w:rsidR="00617FCF" w:rsidRPr="00617FCF" w:rsidRDefault="00617FCF" w:rsidP="00617FCF">
            <w:pPr>
              <w:jc w:val="center"/>
              <w:rPr>
                <w:rFonts w:ascii="Arial" w:eastAsia="Calibri" w:hAnsi="Arial" w:cs="Arial"/>
                <w:sz w:val="16"/>
                <w:szCs w:val="16"/>
              </w:rPr>
            </w:pPr>
            <w:r w:rsidRPr="00617FCF">
              <w:rPr>
                <w:rFonts w:ascii="Arial" w:eastAsia="Calibri" w:hAnsi="Arial" w:cs="Arial"/>
                <w:sz w:val="18"/>
                <w:szCs w:val="18"/>
              </w:rPr>
              <w:t>Ciljana vrijednost 202</w:t>
            </w:r>
            <w:r w:rsidR="00695D08">
              <w:rPr>
                <w:rFonts w:ascii="Arial" w:eastAsia="Calibri" w:hAnsi="Arial" w:cs="Arial"/>
                <w:sz w:val="18"/>
                <w:szCs w:val="18"/>
              </w:rPr>
              <w:t>6</w:t>
            </w:r>
            <w:r w:rsidRPr="00617FCF">
              <w:rPr>
                <w:rFonts w:ascii="Arial" w:eastAsia="Calibri" w:hAnsi="Arial" w:cs="Arial"/>
                <w:sz w:val="18"/>
                <w:szCs w:val="18"/>
              </w:rPr>
              <w:t>.</w:t>
            </w:r>
          </w:p>
        </w:tc>
        <w:tc>
          <w:tcPr>
            <w:tcW w:w="1276" w:type="dxa"/>
            <w:shd w:val="clear" w:color="auto" w:fill="BFBFBF" w:themeFill="background1" w:themeFillShade="BF"/>
            <w:vAlign w:val="center"/>
          </w:tcPr>
          <w:p w14:paraId="3B54B2BE" w14:textId="76AE3827" w:rsidR="00617FCF" w:rsidRPr="00617FCF" w:rsidRDefault="00617FCF" w:rsidP="00617FCF">
            <w:pPr>
              <w:jc w:val="center"/>
              <w:rPr>
                <w:rFonts w:ascii="Arial" w:eastAsia="Calibri" w:hAnsi="Arial" w:cs="Arial"/>
                <w:sz w:val="16"/>
                <w:szCs w:val="16"/>
              </w:rPr>
            </w:pPr>
            <w:r w:rsidRPr="00617FCF">
              <w:rPr>
                <w:rFonts w:ascii="Arial" w:eastAsia="Calibri" w:hAnsi="Arial" w:cs="Arial"/>
                <w:sz w:val="18"/>
                <w:szCs w:val="18"/>
              </w:rPr>
              <w:t>Ciljana vrijednost 202</w:t>
            </w:r>
            <w:r w:rsidR="00695D08">
              <w:rPr>
                <w:rFonts w:ascii="Arial" w:eastAsia="Calibri" w:hAnsi="Arial" w:cs="Arial"/>
                <w:sz w:val="18"/>
                <w:szCs w:val="18"/>
              </w:rPr>
              <w:t>7</w:t>
            </w:r>
            <w:r w:rsidRPr="00617FCF">
              <w:rPr>
                <w:rFonts w:ascii="Arial" w:eastAsia="Calibri" w:hAnsi="Arial" w:cs="Arial"/>
                <w:sz w:val="18"/>
                <w:szCs w:val="18"/>
              </w:rPr>
              <w:t>.</w:t>
            </w:r>
          </w:p>
        </w:tc>
      </w:tr>
      <w:tr w:rsidR="00617FCF" w:rsidRPr="00617FCF" w14:paraId="223E8E44" w14:textId="77777777" w:rsidTr="00344DB6">
        <w:trPr>
          <w:trHeight w:val="602"/>
          <w:jc w:val="center"/>
        </w:trPr>
        <w:tc>
          <w:tcPr>
            <w:tcW w:w="2122" w:type="dxa"/>
            <w:vAlign w:val="center"/>
          </w:tcPr>
          <w:p w14:paraId="031340D2" w14:textId="3F9757A4" w:rsidR="00617FCF" w:rsidRPr="00617FCF" w:rsidRDefault="00617FCF" w:rsidP="00617FCF">
            <w:pPr>
              <w:rPr>
                <w:rFonts w:ascii="Arial" w:hAnsi="Arial" w:cs="Arial"/>
                <w:sz w:val="16"/>
                <w:szCs w:val="16"/>
                <w:lang w:eastAsia="en-US"/>
              </w:rPr>
            </w:pPr>
            <w:r w:rsidRPr="00617FCF">
              <w:rPr>
                <w:rFonts w:ascii="Arial" w:hAnsi="Arial" w:cs="Arial"/>
                <w:sz w:val="18"/>
                <w:szCs w:val="18"/>
                <w:lang w:eastAsia="en-US"/>
              </w:rPr>
              <w:t>Broj EU projekata</w:t>
            </w:r>
          </w:p>
        </w:tc>
        <w:tc>
          <w:tcPr>
            <w:tcW w:w="2912" w:type="dxa"/>
            <w:vAlign w:val="center"/>
          </w:tcPr>
          <w:p w14:paraId="14AA5C8F" w14:textId="193F338B" w:rsidR="00617FCF" w:rsidRPr="00617FCF" w:rsidRDefault="00617FCF" w:rsidP="00617FCF">
            <w:pPr>
              <w:rPr>
                <w:rFonts w:ascii="Arial" w:hAnsi="Arial" w:cs="Arial"/>
                <w:sz w:val="16"/>
                <w:szCs w:val="16"/>
                <w:lang w:eastAsia="en-US"/>
              </w:rPr>
            </w:pPr>
            <w:r w:rsidRPr="00617FCF">
              <w:rPr>
                <w:rFonts w:ascii="Arial" w:hAnsi="Arial" w:cs="Arial"/>
                <w:sz w:val="18"/>
                <w:szCs w:val="18"/>
                <w:lang w:eastAsia="en-US"/>
              </w:rPr>
              <w:t>Sudjelovanje u EU projektima kao partner ili koordinator</w:t>
            </w:r>
          </w:p>
        </w:tc>
        <w:tc>
          <w:tcPr>
            <w:tcW w:w="1099" w:type="dxa"/>
            <w:vAlign w:val="center"/>
          </w:tcPr>
          <w:p w14:paraId="66AD8A21" w14:textId="7BB85535" w:rsidR="00617FCF" w:rsidRPr="00617FCF" w:rsidRDefault="00617FCF" w:rsidP="00617FCF">
            <w:pPr>
              <w:jc w:val="center"/>
              <w:rPr>
                <w:rFonts w:ascii="Arial" w:hAnsi="Arial" w:cs="Arial"/>
                <w:sz w:val="16"/>
                <w:szCs w:val="16"/>
                <w:lang w:eastAsia="en-US"/>
              </w:rPr>
            </w:pPr>
            <w:r w:rsidRPr="00617FCF">
              <w:rPr>
                <w:rFonts w:ascii="Arial" w:hAnsi="Arial" w:cs="Arial"/>
                <w:sz w:val="18"/>
                <w:szCs w:val="18"/>
                <w:lang w:eastAsia="en-US"/>
              </w:rPr>
              <w:t>projekt</w:t>
            </w:r>
          </w:p>
        </w:tc>
        <w:tc>
          <w:tcPr>
            <w:tcW w:w="1134" w:type="dxa"/>
            <w:vAlign w:val="center"/>
          </w:tcPr>
          <w:p w14:paraId="2A98FCF7" w14:textId="3B1CE60B" w:rsidR="00617FCF" w:rsidRPr="00617FCF" w:rsidRDefault="005145ED" w:rsidP="00617FCF">
            <w:pPr>
              <w:jc w:val="center"/>
              <w:rPr>
                <w:rFonts w:ascii="Arial" w:hAnsi="Arial" w:cs="Arial"/>
                <w:sz w:val="16"/>
                <w:szCs w:val="16"/>
                <w:lang w:eastAsia="en-US"/>
              </w:rPr>
            </w:pPr>
            <w:r>
              <w:rPr>
                <w:rFonts w:ascii="Arial" w:hAnsi="Arial" w:cs="Arial"/>
                <w:sz w:val="18"/>
                <w:szCs w:val="18"/>
                <w:lang w:eastAsia="en-US"/>
              </w:rPr>
              <w:t>2</w:t>
            </w:r>
          </w:p>
        </w:tc>
        <w:tc>
          <w:tcPr>
            <w:tcW w:w="1134" w:type="dxa"/>
            <w:vAlign w:val="center"/>
          </w:tcPr>
          <w:p w14:paraId="48385A3E" w14:textId="4498D40D" w:rsidR="00617FCF" w:rsidRPr="00617FCF" w:rsidRDefault="00617FCF" w:rsidP="00344DB6">
            <w:pPr>
              <w:jc w:val="center"/>
              <w:rPr>
                <w:rFonts w:ascii="Arial" w:hAnsi="Arial" w:cs="Arial"/>
                <w:sz w:val="16"/>
                <w:szCs w:val="16"/>
                <w:lang w:eastAsia="en-US"/>
              </w:rPr>
            </w:pPr>
            <w:r w:rsidRPr="00617FCF">
              <w:rPr>
                <w:rFonts w:ascii="Arial" w:hAnsi="Arial" w:cs="Arial"/>
                <w:sz w:val="18"/>
                <w:szCs w:val="18"/>
                <w:lang w:eastAsia="en-US"/>
              </w:rPr>
              <w:t>Odjel općih</w:t>
            </w:r>
            <w:r w:rsidR="00344DB6">
              <w:rPr>
                <w:rFonts w:ascii="Arial" w:hAnsi="Arial" w:cs="Arial"/>
                <w:sz w:val="18"/>
                <w:szCs w:val="18"/>
                <w:lang w:eastAsia="en-US"/>
              </w:rPr>
              <w:t xml:space="preserve"> </w:t>
            </w:r>
            <w:r w:rsidRPr="00617FCF">
              <w:rPr>
                <w:rFonts w:ascii="Arial" w:hAnsi="Arial" w:cs="Arial"/>
                <w:sz w:val="18"/>
                <w:szCs w:val="18"/>
                <w:lang w:eastAsia="en-US"/>
              </w:rPr>
              <w:t>poslova</w:t>
            </w:r>
          </w:p>
        </w:tc>
        <w:tc>
          <w:tcPr>
            <w:tcW w:w="1023" w:type="dxa"/>
            <w:vAlign w:val="center"/>
          </w:tcPr>
          <w:p w14:paraId="34EAC9B3" w14:textId="7AF0E757" w:rsidR="00617FCF" w:rsidRPr="00617FCF" w:rsidRDefault="00617FCF" w:rsidP="00617FCF">
            <w:pPr>
              <w:jc w:val="center"/>
              <w:rPr>
                <w:rFonts w:ascii="Arial" w:hAnsi="Arial" w:cs="Arial"/>
                <w:sz w:val="16"/>
                <w:szCs w:val="16"/>
                <w:lang w:eastAsia="en-US"/>
              </w:rPr>
            </w:pPr>
            <w:r w:rsidRPr="00617FCF">
              <w:rPr>
                <w:rFonts w:ascii="Arial" w:hAnsi="Arial" w:cs="Arial"/>
                <w:sz w:val="18"/>
                <w:szCs w:val="18"/>
                <w:lang w:eastAsia="en-US"/>
              </w:rPr>
              <w:t>3</w:t>
            </w:r>
          </w:p>
        </w:tc>
        <w:tc>
          <w:tcPr>
            <w:tcW w:w="992" w:type="dxa"/>
            <w:vAlign w:val="center"/>
          </w:tcPr>
          <w:p w14:paraId="2E48B551" w14:textId="71508AD3" w:rsidR="00617FCF" w:rsidRPr="00617FCF" w:rsidRDefault="005145ED" w:rsidP="00617FCF">
            <w:pPr>
              <w:jc w:val="center"/>
              <w:rPr>
                <w:rFonts w:ascii="Arial" w:hAnsi="Arial" w:cs="Arial"/>
                <w:sz w:val="16"/>
                <w:szCs w:val="16"/>
                <w:lang w:eastAsia="en-US"/>
              </w:rPr>
            </w:pPr>
            <w:r>
              <w:rPr>
                <w:rFonts w:ascii="Arial" w:hAnsi="Arial" w:cs="Arial"/>
                <w:sz w:val="18"/>
                <w:szCs w:val="18"/>
                <w:lang w:eastAsia="en-US"/>
              </w:rPr>
              <w:t>0</w:t>
            </w:r>
          </w:p>
        </w:tc>
        <w:tc>
          <w:tcPr>
            <w:tcW w:w="1134" w:type="dxa"/>
            <w:vAlign w:val="center"/>
          </w:tcPr>
          <w:p w14:paraId="36609D5F" w14:textId="570F1A24" w:rsidR="00617FCF" w:rsidRPr="00617FCF" w:rsidRDefault="00617FCF" w:rsidP="00617FCF">
            <w:pPr>
              <w:jc w:val="center"/>
              <w:rPr>
                <w:rFonts w:ascii="Arial" w:hAnsi="Arial" w:cs="Arial"/>
                <w:sz w:val="16"/>
                <w:szCs w:val="16"/>
                <w:lang w:eastAsia="en-US"/>
              </w:rPr>
            </w:pPr>
            <w:r w:rsidRPr="00617FCF">
              <w:rPr>
                <w:rFonts w:ascii="Arial" w:hAnsi="Arial" w:cs="Arial"/>
                <w:sz w:val="18"/>
                <w:szCs w:val="18"/>
                <w:lang w:eastAsia="en-US"/>
              </w:rPr>
              <w:t>3</w:t>
            </w:r>
          </w:p>
        </w:tc>
        <w:tc>
          <w:tcPr>
            <w:tcW w:w="1276" w:type="dxa"/>
            <w:vAlign w:val="center"/>
          </w:tcPr>
          <w:p w14:paraId="33822126" w14:textId="0EB88609" w:rsidR="00617FCF" w:rsidRPr="00617FCF" w:rsidRDefault="00617FCF" w:rsidP="00617FCF">
            <w:pPr>
              <w:jc w:val="center"/>
              <w:rPr>
                <w:rFonts w:ascii="Arial" w:hAnsi="Arial" w:cs="Arial"/>
                <w:sz w:val="16"/>
                <w:szCs w:val="16"/>
                <w:lang w:eastAsia="en-US"/>
              </w:rPr>
            </w:pPr>
            <w:r w:rsidRPr="00617FCF">
              <w:rPr>
                <w:rFonts w:ascii="Arial" w:hAnsi="Arial" w:cs="Arial"/>
                <w:sz w:val="18"/>
                <w:szCs w:val="18"/>
                <w:lang w:eastAsia="en-US"/>
              </w:rPr>
              <w:t>3</w:t>
            </w:r>
          </w:p>
        </w:tc>
      </w:tr>
    </w:tbl>
    <w:p w14:paraId="54E489EA" w14:textId="77777777" w:rsidR="003A54B4" w:rsidRPr="00617FCF" w:rsidRDefault="003A54B4" w:rsidP="003A54B4">
      <w:pPr>
        <w:spacing w:after="0" w:line="240" w:lineRule="auto"/>
        <w:contextualSpacing/>
        <w:jc w:val="both"/>
        <w:rPr>
          <w:rFonts w:ascii="Arial" w:eastAsia="Calibri" w:hAnsi="Arial" w:cs="Arial"/>
          <w:sz w:val="20"/>
          <w:szCs w:val="20"/>
        </w:rPr>
      </w:pPr>
    </w:p>
    <w:p w14:paraId="7FE30C77" w14:textId="77777777" w:rsidR="004A648A" w:rsidRPr="00617FCF" w:rsidRDefault="004A648A" w:rsidP="00A11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iCs/>
          <w:sz w:val="20"/>
          <w:szCs w:val="20"/>
        </w:rPr>
      </w:pPr>
    </w:p>
    <w:p w14:paraId="3C8B9184" w14:textId="77777777" w:rsidR="00F51D7C" w:rsidRPr="00617FCF" w:rsidRDefault="003752B9" w:rsidP="003752B9">
      <w:pPr>
        <w:autoSpaceDE w:val="0"/>
        <w:autoSpaceDN w:val="0"/>
        <w:adjustRightInd w:val="0"/>
        <w:spacing w:after="0" w:line="240" w:lineRule="auto"/>
        <w:jc w:val="both"/>
        <w:rPr>
          <w:rFonts w:ascii="Arial" w:eastAsia="Calibri" w:hAnsi="Arial" w:cs="Arial"/>
          <w:sz w:val="20"/>
          <w:szCs w:val="20"/>
        </w:rPr>
      </w:pPr>
      <w:r w:rsidRPr="00617FCF">
        <w:rPr>
          <w:rFonts w:ascii="Arial" w:eastAsia="Calibri" w:hAnsi="Arial" w:cs="Arial"/>
          <w:sz w:val="20"/>
          <w:szCs w:val="20"/>
        </w:rPr>
        <w:t xml:space="preserve">Aktivnosti vezane uz opće ciljeve postignute su sukladno postocima izvršenja i u skladu s očekivanom dinamikom izvršenja rashoda. </w:t>
      </w:r>
    </w:p>
    <w:p w14:paraId="2CE716BC" w14:textId="7D22D67E" w:rsidR="003752B9" w:rsidRPr="00344DB6" w:rsidRDefault="003752B9" w:rsidP="003752B9">
      <w:pPr>
        <w:autoSpaceDE w:val="0"/>
        <w:autoSpaceDN w:val="0"/>
        <w:adjustRightInd w:val="0"/>
        <w:spacing w:after="0" w:line="240" w:lineRule="auto"/>
        <w:jc w:val="both"/>
        <w:rPr>
          <w:rFonts w:ascii="Arial" w:eastAsia="Calibri" w:hAnsi="Arial" w:cs="Arial"/>
          <w:sz w:val="20"/>
          <w:szCs w:val="20"/>
        </w:rPr>
      </w:pPr>
      <w:r w:rsidRPr="00500D60">
        <w:rPr>
          <w:rFonts w:ascii="Arial" w:eastAsia="Calibri" w:hAnsi="Arial" w:cs="Arial"/>
          <w:color w:val="FF0000"/>
          <w:sz w:val="20"/>
          <w:szCs w:val="20"/>
        </w:rPr>
        <w:br w:type="page"/>
      </w:r>
    </w:p>
    <w:p w14:paraId="7EA44BED" w14:textId="77777777" w:rsidR="003752B9" w:rsidRPr="003A2F86" w:rsidRDefault="003752B9" w:rsidP="003752B9">
      <w:pPr>
        <w:spacing w:after="0" w:line="240" w:lineRule="auto"/>
        <w:jc w:val="both"/>
        <w:rPr>
          <w:rFonts w:ascii="Arial" w:eastAsia="Calibri" w:hAnsi="Arial" w:cs="Arial"/>
          <w:sz w:val="20"/>
          <w:szCs w:val="20"/>
        </w:rPr>
      </w:pPr>
    </w:p>
    <w:p w14:paraId="0001CA59" w14:textId="5CDDA8E8" w:rsidR="003752B9" w:rsidRPr="003A2F86" w:rsidRDefault="00795CD9" w:rsidP="0004293C">
      <w:pPr>
        <w:pStyle w:val="Naslov3"/>
        <w:jc w:val="center"/>
        <w:rPr>
          <w:rFonts w:ascii="Arial" w:eastAsia="Calibri" w:hAnsi="Arial" w:cs="Arial"/>
          <w:sz w:val="22"/>
          <w:lang w:val="hr-HR"/>
        </w:rPr>
      </w:pPr>
      <w:bookmarkStart w:id="354" w:name="_3.4.2._GLAVA:_(020"/>
      <w:bookmarkStart w:id="355" w:name="_Toc207707478"/>
      <w:bookmarkEnd w:id="354"/>
      <w:r w:rsidRPr="003A2F86">
        <w:rPr>
          <w:rFonts w:ascii="Arial" w:eastAsia="Calibri" w:hAnsi="Arial" w:cs="Arial"/>
          <w:sz w:val="22"/>
          <w:lang w:val="hr-HR"/>
        </w:rPr>
        <w:t>3</w:t>
      </w:r>
      <w:r w:rsidR="0004293C" w:rsidRPr="003A2F86">
        <w:rPr>
          <w:rFonts w:ascii="Arial" w:eastAsia="Calibri" w:hAnsi="Arial" w:cs="Arial"/>
          <w:sz w:val="22"/>
          <w:lang w:val="hr-HR"/>
        </w:rPr>
        <w:t>.</w:t>
      </w:r>
      <w:r w:rsidR="00375FAF" w:rsidRPr="003A2F86">
        <w:rPr>
          <w:rFonts w:ascii="Arial" w:eastAsia="Calibri" w:hAnsi="Arial" w:cs="Arial"/>
          <w:sz w:val="22"/>
          <w:lang w:val="hr-HR"/>
        </w:rPr>
        <w:t>4</w:t>
      </w:r>
      <w:r w:rsidR="0004293C" w:rsidRPr="003A2F86">
        <w:rPr>
          <w:rFonts w:ascii="Arial" w:eastAsia="Calibri" w:hAnsi="Arial" w:cs="Arial"/>
          <w:sz w:val="22"/>
          <w:lang w:val="hr-HR"/>
        </w:rPr>
        <w:t>.2</w:t>
      </w:r>
      <w:r w:rsidR="003752B9" w:rsidRPr="003A2F86">
        <w:rPr>
          <w:rFonts w:ascii="Arial" w:eastAsia="Calibri" w:hAnsi="Arial" w:cs="Arial"/>
          <w:sz w:val="22"/>
          <w:lang w:val="hr-HR"/>
        </w:rPr>
        <w:t>.</w:t>
      </w:r>
      <w:r w:rsidR="003752B9" w:rsidRPr="003A2F86">
        <w:rPr>
          <w:rFonts w:ascii="Arial" w:eastAsia="Calibri" w:hAnsi="Arial" w:cs="Arial"/>
          <w:sz w:val="22"/>
          <w:lang w:val="hr-HR"/>
        </w:rPr>
        <w:tab/>
        <w:t xml:space="preserve">GLAVA: (020 04) USTANOVA SOCIJALNE SKRBI </w:t>
      </w:r>
      <w:r w:rsidR="00367B37" w:rsidRPr="003A2F86">
        <w:rPr>
          <w:rFonts w:ascii="Arial" w:eastAsia="Calibri" w:hAnsi="Arial" w:cs="Arial"/>
          <w:sz w:val="22"/>
          <w:lang w:val="hr-HR"/>
        </w:rPr>
        <w:t>– DOM ZA STARIJE I NEMOĆNE OSOBE KONAVLE</w:t>
      </w:r>
      <w:bookmarkEnd w:id="355"/>
    </w:p>
    <w:p w14:paraId="5FBC6690" w14:textId="77777777" w:rsidR="003752B9" w:rsidRPr="003A2F86" w:rsidRDefault="003752B9" w:rsidP="00F65E36">
      <w:pPr>
        <w:autoSpaceDE w:val="0"/>
        <w:autoSpaceDN w:val="0"/>
        <w:adjustRightInd w:val="0"/>
        <w:spacing w:after="0" w:line="240" w:lineRule="auto"/>
        <w:jc w:val="both"/>
        <w:rPr>
          <w:rFonts w:ascii="Arial" w:eastAsia="Calibri" w:hAnsi="Arial" w:cs="Arial"/>
          <w:sz w:val="20"/>
          <w:szCs w:val="20"/>
        </w:rPr>
      </w:pPr>
    </w:p>
    <w:p w14:paraId="6F8D1EEA" w14:textId="77777777" w:rsidR="00C16B30" w:rsidRPr="003A2F86" w:rsidRDefault="00C16B30" w:rsidP="00F65E36">
      <w:pPr>
        <w:spacing w:after="0" w:line="240" w:lineRule="auto"/>
        <w:jc w:val="both"/>
        <w:rPr>
          <w:rFonts w:ascii="Arial" w:eastAsia="Calibri" w:hAnsi="Arial" w:cs="Arial"/>
          <w:sz w:val="20"/>
          <w:szCs w:val="20"/>
        </w:rPr>
      </w:pPr>
    </w:p>
    <w:p w14:paraId="6AA53ECC" w14:textId="77777777" w:rsidR="00F65E36" w:rsidRPr="003A2F86" w:rsidRDefault="00F65E36" w:rsidP="00F65E36">
      <w:pPr>
        <w:spacing w:after="0" w:line="240" w:lineRule="auto"/>
        <w:rPr>
          <w:rFonts w:ascii="Arial" w:eastAsia="Calibri" w:hAnsi="Arial" w:cs="Arial"/>
          <w:sz w:val="20"/>
          <w:szCs w:val="20"/>
        </w:rPr>
      </w:pPr>
      <w:r w:rsidRPr="003A2F86">
        <w:rPr>
          <w:rFonts w:ascii="Arial" w:eastAsia="Calibri" w:hAnsi="Arial" w:cs="Arial"/>
          <w:sz w:val="20"/>
          <w:szCs w:val="20"/>
        </w:rPr>
        <w:t xml:space="preserve">U razdjelu 020 UPRAVNI ODJEL ZA OPĆE POSLOVE, MJESNU SAMOUPRAVU I DRUŠTVENE DJELATNOSTI, glava (020 04) Ustanova socijalne skrbi, izvodi se slijedeći Program: </w:t>
      </w:r>
    </w:p>
    <w:p w14:paraId="25029C99" w14:textId="77777777" w:rsidR="00F65E36" w:rsidRPr="003A2F86" w:rsidRDefault="00F65E36" w:rsidP="00F65E36">
      <w:pPr>
        <w:spacing w:after="0" w:line="240" w:lineRule="auto"/>
        <w:rPr>
          <w:rFonts w:ascii="Arial" w:eastAsia="Calibri" w:hAnsi="Arial" w:cs="Arial"/>
          <w:sz w:val="20"/>
          <w:szCs w:val="20"/>
        </w:rPr>
      </w:pPr>
    </w:p>
    <w:p w14:paraId="60670D4C" w14:textId="77777777" w:rsidR="00F65E36" w:rsidRPr="003A2F86" w:rsidRDefault="00F65E36" w:rsidP="00F65E36">
      <w:pPr>
        <w:pStyle w:val="Naslov3"/>
        <w:shd w:val="clear" w:color="auto" w:fill="D9D9D9" w:themeFill="background1" w:themeFillShade="D9"/>
        <w:rPr>
          <w:rFonts w:eastAsia="Calibri"/>
          <w:sz w:val="20"/>
          <w:lang w:val="hr-HR"/>
        </w:rPr>
      </w:pPr>
      <w:bookmarkStart w:id="356" w:name="_Toc121678647"/>
      <w:bookmarkStart w:id="357" w:name="_Toc207707479"/>
      <w:r w:rsidRPr="003A2F86">
        <w:rPr>
          <w:rFonts w:eastAsia="Calibri"/>
          <w:sz w:val="20"/>
          <w:lang w:val="hr-HR"/>
        </w:rPr>
        <w:t>Program (2044): Socijalna skrb – Dom za starije i nemoćne osobe Konavle</w:t>
      </w:r>
      <w:bookmarkEnd w:id="356"/>
      <w:bookmarkEnd w:id="357"/>
    </w:p>
    <w:p w14:paraId="6C75F9BE" w14:textId="77777777" w:rsidR="00F65E36" w:rsidRPr="003A2F86" w:rsidRDefault="00F65E36" w:rsidP="00F65E36">
      <w:pPr>
        <w:spacing w:after="0" w:line="240" w:lineRule="auto"/>
        <w:rPr>
          <w:rFonts w:ascii="Arial" w:eastAsia="Calibri" w:hAnsi="Arial" w:cs="Arial"/>
          <w:sz w:val="20"/>
          <w:szCs w:val="20"/>
        </w:rPr>
      </w:pPr>
    </w:p>
    <w:p w14:paraId="04FAE5C3" w14:textId="77777777" w:rsidR="00F65E36" w:rsidRPr="003A2F86" w:rsidRDefault="00F65E36" w:rsidP="00F65E36">
      <w:pPr>
        <w:spacing w:after="0" w:line="240" w:lineRule="auto"/>
        <w:rPr>
          <w:rFonts w:eastAsia="Calibri" w:cs="Arial"/>
          <w:sz w:val="20"/>
          <w:szCs w:val="20"/>
        </w:rPr>
      </w:pPr>
      <w:r w:rsidRPr="003A2F86">
        <w:rPr>
          <w:rFonts w:eastAsia="Calibri"/>
          <w:noProof/>
          <w:sz w:val="20"/>
          <w:szCs w:val="20"/>
        </w:rPr>
        <w:drawing>
          <wp:inline distT="0" distB="0" distL="0" distR="0" wp14:anchorId="1E5B6E69" wp14:editId="34A77236">
            <wp:extent cx="7134225" cy="200025"/>
            <wp:effectExtent l="0" t="0" r="9525"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134225" cy="200025"/>
                    </a:xfrm>
                    <a:prstGeom prst="rect">
                      <a:avLst/>
                    </a:prstGeom>
                    <a:noFill/>
                    <a:ln>
                      <a:noFill/>
                    </a:ln>
                  </pic:spPr>
                </pic:pic>
              </a:graphicData>
            </a:graphic>
          </wp:inline>
        </w:drawing>
      </w:r>
    </w:p>
    <w:p w14:paraId="284D2782" w14:textId="77777777" w:rsidR="00F65E36" w:rsidRPr="003A2F86" w:rsidRDefault="00F65E36" w:rsidP="00F65E36">
      <w:pPr>
        <w:spacing w:after="0" w:line="240" w:lineRule="auto"/>
        <w:rPr>
          <w:rFonts w:eastAsia="Calibri" w:cs="Arial"/>
          <w:sz w:val="20"/>
          <w:szCs w:val="20"/>
        </w:rPr>
      </w:pPr>
    </w:p>
    <w:tbl>
      <w:tblPr>
        <w:tblW w:w="14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1"/>
        <w:gridCol w:w="12761"/>
      </w:tblGrid>
      <w:tr w:rsidR="00990BB5" w:rsidRPr="003A2F86" w14:paraId="0320F3D1" w14:textId="77777777" w:rsidTr="00B223BA">
        <w:trPr>
          <w:trHeight w:val="711"/>
        </w:trPr>
        <w:tc>
          <w:tcPr>
            <w:tcW w:w="1551" w:type="dxa"/>
          </w:tcPr>
          <w:p w14:paraId="32F16C83" w14:textId="77777777" w:rsidR="00F65E36" w:rsidRPr="003A2F86" w:rsidRDefault="00F65E36" w:rsidP="00F65E36">
            <w:pPr>
              <w:spacing w:after="0" w:line="240" w:lineRule="auto"/>
              <w:rPr>
                <w:rFonts w:ascii="Arial" w:eastAsia="Calibri" w:hAnsi="Arial" w:cs="Arial"/>
                <w:sz w:val="20"/>
                <w:szCs w:val="20"/>
              </w:rPr>
            </w:pPr>
            <w:r w:rsidRPr="003A2F86">
              <w:rPr>
                <w:rFonts w:ascii="Arial" w:eastAsia="Calibri" w:hAnsi="Arial" w:cs="Arial"/>
                <w:sz w:val="20"/>
                <w:szCs w:val="20"/>
              </w:rPr>
              <w:t>DJELOKRUG</w:t>
            </w:r>
          </w:p>
          <w:p w14:paraId="72DC9F99" w14:textId="77777777" w:rsidR="00F65E36" w:rsidRPr="003A2F86" w:rsidRDefault="00F65E36" w:rsidP="00F65E36">
            <w:pPr>
              <w:spacing w:after="0" w:line="240" w:lineRule="auto"/>
              <w:rPr>
                <w:rFonts w:ascii="Arial" w:eastAsia="Calibri" w:hAnsi="Arial" w:cs="Arial"/>
                <w:sz w:val="20"/>
                <w:szCs w:val="20"/>
              </w:rPr>
            </w:pPr>
            <w:r w:rsidRPr="003A2F86">
              <w:rPr>
                <w:rFonts w:ascii="Arial" w:eastAsia="Calibri" w:hAnsi="Arial" w:cs="Arial"/>
                <w:sz w:val="20"/>
                <w:szCs w:val="20"/>
              </w:rPr>
              <w:t>RADA:</w:t>
            </w:r>
          </w:p>
        </w:tc>
        <w:tc>
          <w:tcPr>
            <w:tcW w:w="12761" w:type="dxa"/>
          </w:tcPr>
          <w:p w14:paraId="47682E73" w14:textId="77777777" w:rsidR="00FE41A8" w:rsidRPr="003A2F86" w:rsidRDefault="00FE41A8" w:rsidP="00AD5D4E">
            <w:pPr>
              <w:spacing w:after="0" w:line="240" w:lineRule="auto"/>
              <w:jc w:val="both"/>
              <w:rPr>
                <w:rFonts w:ascii="Arial" w:eastAsia="Calibri" w:hAnsi="Arial" w:cs="Arial"/>
                <w:sz w:val="20"/>
                <w:szCs w:val="20"/>
              </w:rPr>
            </w:pPr>
            <w:r w:rsidRPr="003A2F86">
              <w:rPr>
                <w:rFonts w:ascii="Arial" w:eastAsia="Calibri" w:hAnsi="Arial" w:cs="Arial"/>
                <w:sz w:val="20"/>
                <w:szCs w:val="20"/>
              </w:rPr>
              <w:t>U kolovozu 2013. Općinsko vijeće Općine Konavle donijelo je Odluku o osnivanju Doma Za starije i nemoćne osobe Konavle, na koju je Ministarstvo socijalne politike i mladih izdalo Rješenje o usklađenosti iste sa Zakonom o ustanovama i Zakonom o socijalnoj skrbi u rujnu 2013. (Službeni glasnik Općine Konavle 4/14 i 5/14). Ministarstvo financija dodijelilo je osobni identifikacijski broj poslovnog subjekta (OIB: 95859693632). Rješenjem Trgovačkog suda u Splitu, Stalna služba u Dubrovniku od 1. srpnja 2014., u sudski registar upisano je osnivanje ustanove pod nazivom Dom za starije i nemoćne osobe Konavle.</w:t>
            </w:r>
          </w:p>
          <w:p w14:paraId="02CACF5E" w14:textId="77777777" w:rsidR="00FE41A8" w:rsidRPr="003A2F86" w:rsidRDefault="00FE41A8" w:rsidP="00AD5D4E">
            <w:pPr>
              <w:spacing w:after="0" w:line="240" w:lineRule="auto"/>
              <w:jc w:val="both"/>
              <w:rPr>
                <w:rFonts w:ascii="Arial" w:eastAsia="Calibri" w:hAnsi="Arial" w:cs="Arial"/>
                <w:sz w:val="20"/>
                <w:szCs w:val="20"/>
              </w:rPr>
            </w:pPr>
          </w:p>
          <w:p w14:paraId="3981F79B" w14:textId="77777777" w:rsidR="00FE41A8" w:rsidRPr="003A2F86" w:rsidRDefault="00FE41A8" w:rsidP="00AD5D4E">
            <w:pPr>
              <w:spacing w:after="0" w:line="240" w:lineRule="auto"/>
              <w:jc w:val="both"/>
              <w:rPr>
                <w:rFonts w:ascii="Arial" w:eastAsia="Calibri" w:hAnsi="Arial" w:cs="Arial"/>
                <w:sz w:val="20"/>
                <w:szCs w:val="20"/>
              </w:rPr>
            </w:pPr>
            <w:r w:rsidRPr="003A2F86">
              <w:rPr>
                <w:rFonts w:ascii="Arial" w:eastAsia="Calibri" w:hAnsi="Arial" w:cs="Arial"/>
                <w:sz w:val="20"/>
                <w:szCs w:val="20"/>
              </w:rPr>
              <w:t>Dom za starije i nemoćne osobe Konavle upisan je u registar poslovnih subjekata kod Državnog zavoda za statistiku u srpnju 2014., te je dobilo Obavijest o razvrstavanju poslovnog subjekta prema NKD-u 2007. (pravni oblik: ustanova, Djelatnost: djelatnost socijalne skrbi sa smještajem za starije osobe i osobe s invaliditetom, brojčana oznaka razreda 8730, sa dodijeljenim matičnim brojem 4249020).</w:t>
            </w:r>
          </w:p>
          <w:p w14:paraId="4A04C077" w14:textId="77777777" w:rsidR="00FE41A8" w:rsidRPr="003A2F86" w:rsidRDefault="00FE41A8" w:rsidP="00AD5D4E">
            <w:pPr>
              <w:spacing w:after="0" w:line="240" w:lineRule="auto"/>
              <w:jc w:val="both"/>
              <w:rPr>
                <w:rFonts w:ascii="Arial" w:eastAsia="Calibri" w:hAnsi="Arial" w:cs="Arial"/>
                <w:sz w:val="20"/>
                <w:szCs w:val="20"/>
              </w:rPr>
            </w:pPr>
          </w:p>
          <w:p w14:paraId="335866D4" w14:textId="77777777" w:rsidR="00FE41A8" w:rsidRPr="003A2F86" w:rsidRDefault="00FE41A8" w:rsidP="00AD5D4E">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Dom za starije i nemoćne osobe Konavle je ustanova čiji je osnivač Općina Konavle. Prostori doma izgrađeni su i opremljeni prema visokim standardima, podijeljeni su po vrstama i procesima rada i organizirani su u suterenu, prizemlju, I. katu, II. katu i potkrovlju. U samoj zgradi Doma smješten je restoran s kuhinjom i caffe bar. Dom pruža se privremeni i stalni smještaj, te stacionarni smještaj za osobe s potrebom za povećanom medicinskom skrbi visoke kakvoće za 80-tak korisnika u 51 smještajnih jedinica: od toga 19 jednokrevetnih i 32 dvokrevetne sobe. Zgrada se nalazi u izgrađenom dijelu naselja neposredno uz zdravstvenu ambulantu. </w:t>
            </w:r>
          </w:p>
          <w:p w14:paraId="616DA56F" w14:textId="77777777" w:rsidR="00FE41A8" w:rsidRPr="003A2F86" w:rsidRDefault="00FE41A8" w:rsidP="00AD5D4E">
            <w:pPr>
              <w:spacing w:after="0" w:line="240" w:lineRule="auto"/>
              <w:jc w:val="both"/>
              <w:rPr>
                <w:rFonts w:ascii="Arial" w:eastAsia="Calibri" w:hAnsi="Arial" w:cs="Arial"/>
                <w:sz w:val="20"/>
                <w:szCs w:val="20"/>
              </w:rPr>
            </w:pPr>
          </w:p>
          <w:p w14:paraId="46708C09" w14:textId="77777777" w:rsidR="00FE41A8" w:rsidRPr="003A2F86" w:rsidRDefault="00FE41A8" w:rsidP="00AD5D4E">
            <w:pPr>
              <w:spacing w:after="0" w:line="240" w:lineRule="auto"/>
              <w:jc w:val="both"/>
              <w:rPr>
                <w:rFonts w:ascii="Arial" w:eastAsia="Calibri" w:hAnsi="Arial" w:cs="Arial"/>
                <w:sz w:val="20"/>
                <w:szCs w:val="20"/>
              </w:rPr>
            </w:pPr>
            <w:r w:rsidRPr="003A2F86">
              <w:rPr>
                <w:rFonts w:ascii="Arial" w:eastAsia="Calibri" w:hAnsi="Arial" w:cs="Arial"/>
                <w:sz w:val="20"/>
                <w:szCs w:val="20"/>
              </w:rPr>
              <w:t>Dom je smješten na Grudi, Gruda 152. Skraćeni naziv Doma je: Dom Konavle.</w:t>
            </w:r>
          </w:p>
          <w:p w14:paraId="66B900A5" w14:textId="77777777" w:rsidR="00FE41A8" w:rsidRPr="003A2F86" w:rsidRDefault="00FE41A8" w:rsidP="00AD5D4E">
            <w:pPr>
              <w:spacing w:after="0" w:line="240" w:lineRule="auto"/>
              <w:jc w:val="both"/>
              <w:rPr>
                <w:rFonts w:ascii="Arial" w:eastAsia="Calibri" w:hAnsi="Arial" w:cs="Arial"/>
                <w:sz w:val="20"/>
                <w:szCs w:val="20"/>
              </w:rPr>
            </w:pPr>
            <w:r w:rsidRPr="003A2F86">
              <w:rPr>
                <w:rFonts w:ascii="Arial" w:eastAsia="Calibri" w:hAnsi="Arial" w:cs="Arial"/>
                <w:sz w:val="20"/>
                <w:szCs w:val="20"/>
              </w:rPr>
              <w:t>Zgrada Doma za starije i nemoćne osobe je dobila uporabnu dozvolu 21.1.2016. godine (rješenje Dubrovačko-neretvanske županije, Upravni odjel za prostorno uređenje i gradnju.)</w:t>
            </w:r>
          </w:p>
          <w:p w14:paraId="2348DF49" w14:textId="77777777" w:rsidR="00F65E36" w:rsidRPr="003A2F86" w:rsidRDefault="00F65E36" w:rsidP="00AD5D4E">
            <w:pPr>
              <w:shd w:val="clear" w:color="auto" w:fill="FFFFFF"/>
              <w:spacing w:after="0" w:line="240" w:lineRule="auto"/>
              <w:jc w:val="both"/>
              <w:rPr>
                <w:rFonts w:ascii="Arial" w:hAnsi="Arial" w:cs="Arial"/>
                <w:sz w:val="20"/>
                <w:szCs w:val="20"/>
              </w:rPr>
            </w:pPr>
          </w:p>
          <w:p w14:paraId="3DAAC651" w14:textId="77777777" w:rsidR="00F65E36" w:rsidRPr="003A2F86" w:rsidRDefault="00F65E36" w:rsidP="00AD5D4E">
            <w:pPr>
              <w:shd w:val="clear" w:color="auto" w:fill="FFFFFF"/>
              <w:spacing w:after="0" w:line="240" w:lineRule="auto"/>
              <w:jc w:val="both"/>
              <w:rPr>
                <w:rFonts w:ascii="Arial" w:hAnsi="Arial" w:cs="Arial"/>
                <w:sz w:val="20"/>
                <w:szCs w:val="20"/>
              </w:rPr>
            </w:pPr>
            <w:r w:rsidRPr="003A2F86">
              <w:rPr>
                <w:rFonts w:ascii="Arial" w:hAnsi="Arial" w:cs="Arial"/>
                <w:sz w:val="20"/>
                <w:szCs w:val="20"/>
              </w:rPr>
              <w:t>Dubrovačko-neretvanske županija, Upravni odjel za zdravstvo i socijalnu skrb je obavilo utvrđivanje ispunjavanja minimalnih uvjeta za pružanje socijalne usluge starijim i teško bolesnim osobama, te je dana 12.veljače 2016. izdalo rješenje (</w:t>
            </w:r>
            <w:r w:rsidRPr="003A2F86">
              <w:rPr>
                <w:rFonts w:ascii="Arial" w:hAnsi="Arial" w:cs="Arial"/>
                <w:b/>
                <w:sz w:val="20"/>
                <w:szCs w:val="20"/>
              </w:rPr>
              <w:t>licencija</w:t>
            </w:r>
            <w:r w:rsidRPr="003A2F86">
              <w:rPr>
                <w:rFonts w:ascii="Arial" w:hAnsi="Arial" w:cs="Arial"/>
                <w:sz w:val="20"/>
                <w:szCs w:val="20"/>
              </w:rPr>
              <w:t>). Navedenim rješenjem je utvrđeno da Dom za starije i nemoćne osobe Konavle ispunjava minimalne uvjete za pružanje socijalnih usluga – usluga smještaja za 82 korisnika (starije i nemoćne osobe). Prema rješenju usluga smještaja obuhvaća: - brigu o zdravlju, njegu, fizikalnu terapiju, socijalni rad, aktivno provođenje vremena i radne aktivnosti.</w:t>
            </w:r>
          </w:p>
          <w:p w14:paraId="5B86EBC0" w14:textId="77777777" w:rsidR="00F65E36" w:rsidRPr="003A2F86" w:rsidRDefault="00F65E36" w:rsidP="00AD5D4E">
            <w:pPr>
              <w:shd w:val="clear" w:color="auto" w:fill="FFFFFF"/>
              <w:spacing w:after="0" w:line="240" w:lineRule="auto"/>
              <w:jc w:val="both"/>
              <w:rPr>
                <w:rFonts w:ascii="Arial" w:hAnsi="Arial" w:cs="Arial"/>
                <w:sz w:val="20"/>
                <w:szCs w:val="20"/>
              </w:rPr>
            </w:pPr>
          </w:p>
          <w:p w14:paraId="620F107F" w14:textId="77777777" w:rsidR="00F65E36" w:rsidRPr="003A2F86" w:rsidRDefault="00F65E36" w:rsidP="00AD5D4E">
            <w:pPr>
              <w:shd w:val="clear" w:color="auto" w:fill="FFFFFF"/>
              <w:spacing w:after="0" w:line="240" w:lineRule="auto"/>
              <w:jc w:val="both"/>
              <w:rPr>
                <w:rFonts w:ascii="Arial" w:hAnsi="Arial" w:cs="Arial"/>
                <w:sz w:val="20"/>
                <w:szCs w:val="20"/>
              </w:rPr>
            </w:pPr>
            <w:r w:rsidRPr="003A2F86">
              <w:rPr>
                <w:rFonts w:ascii="Arial" w:hAnsi="Arial" w:cs="Arial"/>
                <w:sz w:val="20"/>
                <w:szCs w:val="20"/>
              </w:rPr>
              <w:t xml:space="preserve">Republika Hrvatska, Ministarstvo socijalne politike i mladih, Samostalni sektor za pravne poslove je dana 23. veljače 2016. izdalo UVJERENJE o upisu u Upisnik ustanova socijalne skrbi pod matičnim brojem: </w:t>
            </w:r>
            <w:r w:rsidRPr="003A2F86">
              <w:rPr>
                <w:rFonts w:ascii="Arial" w:hAnsi="Arial" w:cs="Arial"/>
                <w:b/>
                <w:sz w:val="20"/>
                <w:szCs w:val="20"/>
              </w:rPr>
              <w:t>MBU: 0221-0184</w:t>
            </w:r>
            <w:r w:rsidRPr="003A2F86">
              <w:rPr>
                <w:rFonts w:ascii="Arial" w:hAnsi="Arial" w:cs="Arial"/>
                <w:sz w:val="20"/>
                <w:szCs w:val="20"/>
              </w:rPr>
              <w:t>.</w:t>
            </w:r>
          </w:p>
          <w:p w14:paraId="76F8B99E" w14:textId="77777777" w:rsidR="00F65E36" w:rsidRPr="003A2F86" w:rsidRDefault="00F65E36" w:rsidP="00AD5D4E">
            <w:pPr>
              <w:spacing w:after="0" w:line="240" w:lineRule="auto"/>
              <w:jc w:val="both"/>
              <w:rPr>
                <w:rFonts w:ascii="Arial" w:hAnsi="Arial" w:cs="Arial"/>
                <w:sz w:val="20"/>
                <w:szCs w:val="20"/>
              </w:rPr>
            </w:pPr>
            <w:r w:rsidRPr="003A2F86">
              <w:rPr>
                <w:rFonts w:ascii="Arial" w:hAnsi="Arial" w:cs="Arial"/>
                <w:sz w:val="20"/>
                <w:szCs w:val="20"/>
              </w:rPr>
              <w:t xml:space="preserve">Dom je dana 13.07.2016. godine započeo sa radom i primio svoje prve korisnike. </w:t>
            </w:r>
          </w:p>
          <w:p w14:paraId="3EF5C84D" w14:textId="77777777" w:rsidR="00F65E36" w:rsidRPr="003A2F86" w:rsidRDefault="00F65E36" w:rsidP="00AD5D4E">
            <w:pPr>
              <w:spacing w:after="0" w:line="240" w:lineRule="auto"/>
              <w:jc w:val="both"/>
              <w:rPr>
                <w:rFonts w:ascii="Arial" w:hAnsi="Arial" w:cs="Arial"/>
                <w:sz w:val="20"/>
                <w:szCs w:val="20"/>
              </w:rPr>
            </w:pPr>
          </w:p>
          <w:p w14:paraId="76120D02" w14:textId="77777777" w:rsidR="00F65E36" w:rsidRPr="003A2F86" w:rsidRDefault="00F65E36" w:rsidP="00AD5D4E">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Dom za starije i nemoćne osobe Konavle je ustanova socijalne skrbi, namijenjena starijim i nemoćnim osobama koje zbog starosti ili bolesti ne mogu živjeti same. </w:t>
            </w:r>
          </w:p>
          <w:p w14:paraId="2D89FA2B" w14:textId="77777777" w:rsidR="00F65E36" w:rsidRPr="003A2F86" w:rsidRDefault="00F65E36" w:rsidP="00AD5D4E">
            <w:pPr>
              <w:spacing w:after="0" w:line="240" w:lineRule="auto"/>
              <w:jc w:val="both"/>
              <w:rPr>
                <w:rFonts w:ascii="Arial" w:eastAsia="Calibri" w:hAnsi="Arial" w:cs="Arial"/>
                <w:sz w:val="20"/>
                <w:szCs w:val="20"/>
              </w:rPr>
            </w:pPr>
          </w:p>
          <w:p w14:paraId="214F0197" w14:textId="77777777" w:rsidR="00F65E36" w:rsidRPr="003A2F86" w:rsidRDefault="00F65E36" w:rsidP="00AD5D4E">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Djelatnost Doma je pružanje usluge skrbi starijim i nemoćnim osobama izvan vlastite obitelji kojima je zbog trajnih promjena u zdravstvenom stanju i nemoći prijeko potrebna stalna pomoć i njega druge osobe. U okviru smještaja pružaju se usluge stanovanja, prehrane, brige o zdravlju, njege, održavanja osobne higijene, fizikalne terapije, usluge socijalnog rada, radnih aktivnosti i organiziranja slobodnog vremena. </w:t>
            </w:r>
          </w:p>
          <w:p w14:paraId="6EFCB9A5" w14:textId="77777777" w:rsidR="00F65E36" w:rsidRPr="003A2F86" w:rsidRDefault="00F65E36" w:rsidP="00AD5D4E">
            <w:pPr>
              <w:spacing w:after="0" w:line="240" w:lineRule="auto"/>
              <w:jc w:val="both"/>
              <w:rPr>
                <w:rFonts w:ascii="Arial" w:eastAsia="Calibri" w:hAnsi="Arial" w:cs="Arial"/>
                <w:sz w:val="20"/>
                <w:szCs w:val="20"/>
              </w:rPr>
            </w:pPr>
          </w:p>
          <w:p w14:paraId="706AED31" w14:textId="77777777" w:rsidR="00F65E36" w:rsidRPr="003A2F86" w:rsidRDefault="00F65E36" w:rsidP="00AD5D4E">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Isto tako Dom pruža uslugu dnevnog i poludnevnog boravka korisnika kao oblik skrbi izvan vlastite obitelji, a koji je namijenjen starijim osobama koje u Domu borave privremeno, u periodu dok su njihove obitelji na poslu ili imaju druge obveze. </w:t>
            </w:r>
          </w:p>
          <w:p w14:paraId="511A738D" w14:textId="77777777" w:rsidR="00F65E36" w:rsidRPr="003A2F86" w:rsidRDefault="00F65E36" w:rsidP="00AD5D4E">
            <w:pPr>
              <w:spacing w:after="0" w:line="240" w:lineRule="auto"/>
              <w:jc w:val="both"/>
              <w:rPr>
                <w:rFonts w:ascii="Arial" w:eastAsia="Calibri" w:hAnsi="Arial" w:cs="Arial"/>
                <w:sz w:val="20"/>
                <w:szCs w:val="20"/>
              </w:rPr>
            </w:pPr>
          </w:p>
          <w:p w14:paraId="7ECFC0B6" w14:textId="77777777" w:rsidR="00F65E36" w:rsidRPr="003A2F86" w:rsidRDefault="00F65E36" w:rsidP="00AD5D4E">
            <w:pPr>
              <w:spacing w:after="0" w:line="240" w:lineRule="auto"/>
              <w:jc w:val="both"/>
              <w:rPr>
                <w:rFonts w:ascii="Arial" w:eastAsia="Calibri" w:hAnsi="Arial" w:cs="Arial"/>
                <w:sz w:val="20"/>
                <w:szCs w:val="20"/>
              </w:rPr>
            </w:pPr>
            <w:r w:rsidRPr="003A2F86">
              <w:rPr>
                <w:rFonts w:ascii="Arial" w:eastAsia="Calibri" w:hAnsi="Arial" w:cs="Arial"/>
                <w:sz w:val="20"/>
                <w:szCs w:val="20"/>
              </w:rPr>
              <w:t>U okviru tog programa pružaju se usluge stanovanja, prehrane, brige o zdravlju, njege, održavanja osobne higijene, fizikalne terapije, usluge socijalnog rada, radnih aktivnosti i organiziranja slobodnog vremena.</w:t>
            </w:r>
          </w:p>
        </w:tc>
      </w:tr>
    </w:tbl>
    <w:p w14:paraId="22364968" w14:textId="77777777" w:rsidR="00F65E36" w:rsidRPr="003A2F86" w:rsidRDefault="00F65E36" w:rsidP="00F65E36">
      <w:pPr>
        <w:spacing w:after="0" w:line="240" w:lineRule="auto"/>
        <w:rPr>
          <w:rFonts w:ascii="Arial" w:eastAsia="Calibri" w:hAnsi="Arial" w:cs="Arial"/>
        </w:rPr>
      </w:pPr>
    </w:p>
    <w:p w14:paraId="6DB46A57" w14:textId="77777777" w:rsidR="008079A8" w:rsidRPr="003A2F86" w:rsidRDefault="008079A8" w:rsidP="003752B9">
      <w:pPr>
        <w:spacing w:after="0" w:line="240" w:lineRule="auto"/>
        <w:rPr>
          <w:rFonts w:ascii="Arial" w:eastAsia="Calibri" w:hAnsi="Arial" w:cs="Arial"/>
          <w:sz w:val="20"/>
          <w:szCs w:val="20"/>
        </w:rPr>
      </w:pPr>
    </w:p>
    <w:p w14:paraId="21640705" w14:textId="77777777" w:rsidR="00F65E36" w:rsidRPr="003A2F86" w:rsidRDefault="00F65E36" w:rsidP="003752B9">
      <w:pPr>
        <w:spacing w:after="0" w:line="240" w:lineRule="auto"/>
        <w:rPr>
          <w:rFonts w:ascii="Arial" w:eastAsia="Calibri" w:hAnsi="Arial" w:cs="Arial"/>
          <w:sz w:val="20"/>
          <w:szCs w:val="20"/>
        </w:rPr>
      </w:pPr>
    </w:p>
    <w:p w14:paraId="3A22B980" w14:textId="77777777" w:rsidR="00F65E36" w:rsidRPr="003A2F86" w:rsidRDefault="00F65E36" w:rsidP="003752B9">
      <w:pPr>
        <w:spacing w:after="0" w:line="240" w:lineRule="auto"/>
        <w:rPr>
          <w:rFonts w:ascii="Arial" w:eastAsia="Calibri" w:hAnsi="Arial" w:cs="Arial"/>
          <w:sz w:val="20"/>
          <w:szCs w:val="20"/>
        </w:rPr>
      </w:pPr>
    </w:p>
    <w:p w14:paraId="0701360E" w14:textId="77777777" w:rsidR="00F65E36" w:rsidRPr="003A2F86" w:rsidRDefault="00F65E36" w:rsidP="003752B9">
      <w:pPr>
        <w:spacing w:after="0" w:line="240" w:lineRule="auto"/>
        <w:rPr>
          <w:rFonts w:ascii="Arial" w:eastAsia="Calibri" w:hAnsi="Arial" w:cs="Arial"/>
          <w:sz w:val="20"/>
          <w:szCs w:val="20"/>
        </w:rPr>
      </w:pPr>
    </w:p>
    <w:p w14:paraId="63EE1FF4" w14:textId="77777777" w:rsidR="00AD5D4E" w:rsidRPr="003A2F86" w:rsidRDefault="00AD5D4E" w:rsidP="003752B9">
      <w:pPr>
        <w:spacing w:after="0" w:line="240" w:lineRule="auto"/>
        <w:rPr>
          <w:rFonts w:ascii="Arial" w:eastAsia="Calibri" w:hAnsi="Arial" w:cs="Arial"/>
          <w:sz w:val="20"/>
          <w:szCs w:val="20"/>
        </w:rPr>
      </w:pPr>
    </w:p>
    <w:p w14:paraId="3B2E59BA" w14:textId="77777777" w:rsidR="00AD5D4E" w:rsidRPr="003A2F86" w:rsidRDefault="00AD5D4E" w:rsidP="003752B9">
      <w:pPr>
        <w:spacing w:after="0" w:line="240" w:lineRule="auto"/>
        <w:rPr>
          <w:rFonts w:ascii="Arial" w:eastAsia="Calibri" w:hAnsi="Arial" w:cs="Arial"/>
          <w:sz w:val="20"/>
          <w:szCs w:val="20"/>
        </w:rPr>
      </w:pPr>
    </w:p>
    <w:p w14:paraId="1B3FDAC4" w14:textId="77777777" w:rsidR="00AD5D4E" w:rsidRPr="003A2F86" w:rsidRDefault="00AD5D4E" w:rsidP="003752B9">
      <w:pPr>
        <w:spacing w:after="0" w:line="240" w:lineRule="auto"/>
        <w:rPr>
          <w:rFonts w:ascii="Arial" w:eastAsia="Calibri" w:hAnsi="Arial" w:cs="Arial"/>
          <w:sz w:val="20"/>
          <w:szCs w:val="20"/>
        </w:rPr>
      </w:pPr>
    </w:p>
    <w:p w14:paraId="69E179D8" w14:textId="77777777" w:rsidR="00AD5D4E" w:rsidRPr="003A2F86" w:rsidRDefault="00AD5D4E" w:rsidP="003752B9">
      <w:pPr>
        <w:spacing w:after="0" w:line="240" w:lineRule="auto"/>
        <w:rPr>
          <w:rFonts w:ascii="Arial" w:eastAsia="Calibri" w:hAnsi="Arial" w:cs="Arial"/>
          <w:sz w:val="20"/>
          <w:szCs w:val="20"/>
        </w:rPr>
      </w:pPr>
    </w:p>
    <w:p w14:paraId="6FEAE677" w14:textId="77777777" w:rsidR="00870FCA" w:rsidRPr="003A2F86" w:rsidRDefault="00870FCA" w:rsidP="003752B9">
      <w:pPr>
        <w:spacing w:after="0" w:line="240" w:lineRule="auto"/>
        <w:rPr>
          <w:rFonts w:ascii="Arial" w:eastAsia="Calibri" w:hAnsi="Arial" w:cs="Arial"/>
          <w:sz w:val="20"/>
          <w:szCs w:val="20"/>
        </w:rPr>
      </w:pPr>
    </w:p>
    <w:p w14:paraId="6A403847" w14:textId="77777777" w:rsidR="00870FCA" w:rsidRPr="003A2F86" w:rsidRDefault="00870FCA" w:rsidP="003752B9">
      <w:pPr>
        <w:spacing w:after="0" w:line="240" w:lineRule="auto"/>
        <w:rPr>
          <w:rFonts w:ascii="Arial" w:eastAsia="Calibri" w:hAnsi="Arial" w:cs="Arial"/>
          <w:sz w:val="20"/>
          <w:szCs w:val="20"/>
        </w:rPr>
      </w:pPr>
    </w:p>
    <w:p w14:paraId="11D661C9" w14:textId="77777777" w:rsidR="00870FCA" w:rsidRPr="003A2F86" w:rsidRDefault="00870FCA" w:rsidP="003752B9">
      <w:pPr>
        <w:spacing w:after="0" w:line="240" w:lineRule="auto"/>
        <w:rPr>
          <w:rFonts w:ascii="Arial" w:eastAsia="Calibri" w:hAnsi="Arial" w:cs="Arial"/>
          <w:sz w:val="20"/>
          <w:szCs w:val="20"/>
        </w:rPr>
      </w:pPr>
    </w:p>
    <w:p w14:paraId="7EBFFF27" w14:textId="77777777" w:rsidR="00870FCA" w:rsidRPr="003A2F86" w:rsidRDefault="00870FCA" w:rsidP="003752B9">
      <w:pPr>
        <w:spacing w:after="0" w:line="240" w:lineRule="auto"/>
        <w:rPr>
          <w:rFonts w:ascii="Arial" w:eastAsia="Calibri" w:hAnsi="Arial" w:cs="Arial"/>
          <w:sz w:val="20"/>
          <w:szCs w:val="20"/>
        </w:rPr>
      </w:pPr>
    </w:p>
    <w:p w14:paraId="426A58CF" w14:textId="77777777" w:rsidR="00870FCA" w:rsidRPr="003A2F86" w:rsidRDefault="00870FCA" w:rsidP="003752B9">
      <w:pPr>
        <w:spacing w:after="0" w:line="240" w:lineRule="auto"/>
        <w:rPr>
          <w:rFonts w:ascii="Arial" w:eastAsia="Calibri" w:hAnsi="Arial" w:cs="Arial"/>
          <w:sz w:val="20"/>
          <w:szCs w:val="20"/>
        </w:rPr>
      </w:pPr>
    </w:p>
    <w:p w14:paraId="4B36A755" w14:textId="77777777" w:rsidR="00870FCA" w:rsidRPr="003A2F86" w:rsidRDefault="00870FCA" w:rsidP="003752B9">
      <w:pPr>
        <w:spacing w:after="0" w:line="240" w:lineRule="auto"/>
        <w:rPr>
          <w:rFonts w:ascii="Arial" w:eastAsia="Calibri" w:hAnsi="Arial" w:cs="Arial"/>
          <w:sz w:val="20"/>
          <w:szCs w:val="20"/>
        </w:rPr>
      </w:pPr>
    </w:p>
    <w:p w14:paraId="4272C46B" w14:textId="77777777" w:rsidR="00870FCA" w:rsidRPr="003A2F86" w:rsidRDefault="00870FCA" w:rsidP="003752B9">
      <w:pPr>
        <w:spacing w:after="0" w:line="240" w:lineRule="auto"/>
        <w:rPr>
          <w:rFonts w:ascii="Arial" w:eastAsia="Calibri" w:hAnsi="Arial" w:cs="Arial"/>
          <w:sz w:val="20"/>
          <w:szCs w:val="20"/>
        </w:rPr>
      </w:pPr>
    </w:p>
    <w:p w14:paraId="5FF6C1D1" w14:textId="77777777" w:rsidR="00870FCA" w:rsidRPr="003A2F86" w:rsidRDefault="00870FCA" w:rsidP="003752B9">
      <w:pPr>
        <w:spacing w:after="0" w:line="240" w:lineRule="auto"/>
        <w:rPr>
          <w:rFonts w:ascii="Arial" w:eastAsia="Calibri" w:hAnsi="Arial" w:cs="Arial"/>
          <w:sz w:val="20"/>
          <w:szCs w:val="20"/>
        </w:rPr>
      </w:pPr>
    </w:p>
    <w:p w14:paraId="11697368" w14:textId="77777777" w:rsidR="00AD5D4E" w:rsidRPr="003A2F86" w:rsidRDefault="00AD5D4E" w:rsidP="003752B9">
      <w:pPr>
        <w:spacing w:after="0" w:line="240" w:lineRule="auto"/>
        <w:rPr>
          <w:rFonts w:ascii="Arial" w:eastAsia="Calibri" w:hAnsi="Arial" w:cs="Arial"/>
          <w:sz w:val="20"/>
          <w:szCs w:val="20"/>
        </w:rPr>
      </w:pPr>
    </w:p>
    <w:p w14:paraId="5198DC9A" w14:textId="77777777" w:rsidR="00F65E36" w:rsidRPr="003A2F86" w:rsidRDefault="00F65E36" w:rsidP="003752B9">
      <w:pPr>
        <w:spacing w:after="0" w:line="240" w:lineRule="auto"/>
        <w:rPr>
          <w:rFonts w:ascii="Arial" w:eastAsia="Calibri" w:hAnsi="Arial" w:cs="Arial"/>
          <w:sz w:val="20"/>
          <w:szCs w:val="20"/>
        </w:rPr>
      </w:pPr>
    </w:p>
    <w:p w14:paraId="5EEA6241" w14:textId="77777777" w:rsidR="00F65E36" w:rsidRPr="003A2F86" w:rsidRDefault="00F65E36" w:rsidP="003752B9">
      <w:pPr>
        <w:spacing w:after="0" w:line="240" w:lineRule="auto"/>
        <w:rPr>
          <w:rFonts w:ascii="Arial" w:eastAsia="Calibri" w:hAnsi="Arial" w:cs="Arial"/>
          <w:sz w:val="20"/>
          <w:szCs w:val="20"/>
        </w:rPr>
      </w:pPr>
    </w:p>
    <w:p w14:paraId="7E4E5C15" w14:textId="77777777" w:rsidR="00F65E36" w:rsidRPr="003A2F86" w:rsidRDefault="00F65E36" w:rsidP="003752B9">
      <w:pPr>
        <w:spacing w:after="0" w:line="240" w:lineRule="auto"/>
        <w:rPr>
          <w:rFonts w:ascii="Arial" w:eastAsia="Calibri" w:hAnsi="Arial" w:cs="Arial"/>
          <w:sz w:val="20"/>
          <w:szCs w:val="20"/>
        </w:rPr>
      </w:pPr>
    </w:p>
    <w:p w14:paraId="7BFDCC86" w14:textId="77777777" w:rsidR="00F65E36" w:rsidRPr="003A2F86" w:rsidRDefault="00F65E36" w:rsidP="003752B9">
      <w:pPr>
        <w:spacing w:after="0" w:line="240" w:lineRule="auto"/>
        <w:rPr>
          <w:rFonts w:ascii="Arial" w:eastAsia="Calibri" w:hAnsi="Arial" w:cs="Arial"/>
          <w:sz w:val="20"/>
          <w:szCs w:val="20"/>
        </w:rPr>
      </w:pPr>
    </w:p>
    <w:p w14:paraId="4B9390B7" w14:textId="77777777" w:rsidR="00F65E36" w:rsidRPr="003A2F86" w:rsidRDefault="00F65E36" w:rsidP="003752B9">
      <w:pPr>
        <w:spacing w:after="0" w:line="240" w:lineRule="auto"/>
        <w:rPr>
          <w:rFonts w:ascii="Arial" w:eastAsia="Calibri" w:hAnsi="Arial" w:cs="Arial"/>
          <w:sz w:val="20"/>
          <w:szCs w:val="20"/>
        </w:rPr>
      </w:pPr>
    </w:p>
    <w:p w14:paraId="2BA3B574" w14:textId="77777777" w:rsidR="00F65E36" w:rsidRPr="003A2F86" w:rsidRDefault="00F65E36" w:rsidP="003752B9">
      <w:pPr>
        <w:spacing w:after="0" w:line="240" w:lineRule="auto"/>
        <w:rPr>
          <w:rFonts w:ascii="Arial" w:eastAsia="Calibri" w:hAnsi="Arial" w:cs="Arial"/>
          <w:sz w:val="20"/>
          <w:szCs w:val="20"/>
        </w:rPr>
      </w:pPr>
    </w:p>
    <w:p w14:paraId="1B25D15C" w14:textId="77777777" w:rsidR="00F65E36" w:rsidRPr="003A2F86" w:rsidRDefault="00F65E36" w:rsidP="003752B9">
      <w:pPr>
        <w:spacing w:after="0" w:line="240" w:lineRule="auto"/>
        <w:rPr>
          <w:rFonts w:ascii="Arial" w:eastAsia="Calibri" w:hAnsi="Arial" w:cs="Arial"/>
          <w:sz w:val="20"/>
          <w:szCs w:val="20"/>
        </w:rPr>
      </w:pPr>
    </w:p>
    <w:p w14:paraId="111CC139" w14:textId="77777777" w:rsidR="00F65E36" w:rsidRPr="003A2F86" w:rsidRDefault="00F65E36" w:rsidP="003752B9">
      <w:pPr>
        <w:spacing w:after="0" w:line="240" w:lineRule="auto"/>
        <w:rPr>
          <w:rFonts w:ascii="Arial" w:eastAsia="Calibri" w:hAnsi="Arial" w:cs="Arial"/>
          <w:sz w:val="20"/>
          <w:szCs w:val="20"/>
        </w:rPr>
      </w:pPr>
    </w:p>
    <w:p w14:paraId="1372DA61" w14:textId="77777777" w:rsidR="00F65E36" w:rsidRPr="003A2F86" w:rsidRDefault="00F65E36" w:rsidP="003752B9">
      <w:pPr>
        <w:spacing w:after="0" w:line="240" w:lineRule="auto"/>
        <w:rPr>
          <w:rFonts w:ascii="Arial" w:eastAsia="Calibri" w:hAnsi="Arial" w:cs="Arial"/>
          <w:sz w:val="20"/>
          <w:szCs w:val="20"/>
        </w:rPr>
      </w:pPr>
    </w:p>
    <w:p w14:paraId="3616F404" w14:textId="77777777" w:rsidR="00F65E36" w:rsidRPr="003A2F86" w:rsidRDefault="00F65E36" w:rsidP="003752B9">
      <w:pPr>
        <w:spacing w:after="0" w:line="240" w:lineRule="auto"/>
        <w:rPr>
          <w:rFonts w:ascii="Arial" w:eastAsia="Calibri" w:hAnsi="Arial" w:cs="Arial"/>
          <w:sz w:val="20"/>
          <w:szCs w:val="20"/>
        </w:rPr>
      </w:pPr>
    </w:p>
    <w:p w14:paraId="39BB200B" w14:textId="77777777" w:rsidR="00B656D0" w:rsidRPr="003A2F86" w:rsidRDefault="00B656D0">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3A2F86">
        <w:rPr>
          <w:rFonts w:ascii="Arial" w:eastAsia="Calibri" w:hAnsi="Arial" w:cs="Arial"/>
          <w:b/>
        </w:rPr>
        <w:lastRenderedPageBreak/>
        <w:t>OBRAZLOŽENJE OPĆEG DIJELA FINANCIJSKOG PLANA</w:t>
      </w:r>
    </w:p>
    <w:p w14:paraId="5AC92B00" w14:textId="77777777" w:rsidR="00B656D0" w:rsidRPr="003A2F86" w:rsidRDefault="00B656D0" w:rsidP="007517F5">
      <w:pPr>
        <w:spacing w:after="0" w:line="240" w:lineRule="auto"/>
        <w:rPr>
          <w:rFonts w:ascii="Arial" w:eastAsia="Calibri" w:hAnsi="Arial" w:cs="Arial"/>
          <w:b/>
        </w:rPr>
      </w:pPr>
    </w:p>
    <w:p w14:paraId="53B07C80" w14:textId="7A49AA52" w:rsidR="00F65E36" w:rsidRPr="003A2F86" w:rsidRDefault="00E84F4B" w:rsidP="00F65E36">
      <w:pPr>
        <w:spacing w:after="0" w:line="240" w:lineRule="auto"/>
        <w:jc w:val="center"/>
        <w:rPr>
          <w:rFonts w:ascii="Arial" w:eastAsia="Calibri" w:hAnsi="Arial" w:cs="Arial"/>
          <w:b/>
        </w:rPr>
      </w:pPr>
      <w:r w:rsidRPr="00E84F4B">
        <w:rPr>
          <w:noProof/>
        </w:rPr>
        <w:drawing>
          <wp:inline distT="0" distB="0" distL="0" distR="0" wp14:anchorId="779A23AE" wp14:editId="1F912F4E">
            <wp:extent cx="7715250" cy="5403016"/>
            <wp:effectExtent l="0" t="0" r="0" b="7620"/>
            <wp:docPr id="1798344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717374" cy="5404503"/>
                    </a:xfrm>
                    <a:prstGeom prst="rect">
                      <a:avLst/>
                    </a:prstGeom>
                    <a:noFill/>
                    <a:ln>
                      <a:noFill/>
                    </a:ln>
                  </pic:spPr>
                </pic:pic>
              </a:graphicData>
            </a:graphic>
          </wp:inline>
        </w:drawing>
      </w:r>
    </w:p>
    <w:p w14:paraId="5E94FFC3" w14:textId="77777777" w:rsidR="008079A8" w:rsidRPr="003A2F86" w:rsidRDefault="008079A8" w:rsidP="00F65E36">
      <w:pPr>
        <w:spacing w:after="0" w:line="240" w:lineRule="auto"/>
        <w:ind w:firstLine="708"/>
        <w:jc w:val="both"/>
        <w:rPr>
          <w:rFonts w:ascii="Arial" w:eastAsia="Calibri" w:hAnsi="Arial" w:cs="Arial"/>
          <w:sz w:val="20"/>
          <w:szCs w:val="20"/>
          <w:lang w:eastAsia="en-US"/>
        </w:rPr>
      </w:pPr>
      <w:r w:rsidRPr="003A2F86">
        <w:rPr>
          <w:rFonts w:ascii="Arial" w:eastAsia="Calibri" w:hAnsi="Arial" w:cs="Arial"/>
          <w:sz w:val="20"/>
          <w:szCs w:val="20"/>
          <w:lang w:eastAsia="en-US"/>
        </w:rPr>
        <w:t>Opći dio financijskog plana sastoji se od sažetka računa prihoda i rashoda. Prihodi i rashodi su  iskazanih prema izvorima financiranja i ekonomskoj klasifikaciji, a rashodi su iskazani i prema funkcijskoj klasifikaciji.</w:t>
      </w:r>
    </w:p>
    <w:p w14:paraId="1524B203" w14:textId="77777777" w:rsidR="008079A8" w:rsidRPr="003A2F86" w:rsidRDefault="008079A8" w:rsidP="00F65E36">
      <w:pPr>
        <w:spacing w:after="0" w:line="240" w:lineRule="auto"/>
        <w:ind w:firstLine="708"/>
        <w:jc w:val="both"/>
        <w:rPr>
          <w:rFonts w:ascii="Times New Roman" w:eastAsia="Times New Roman" w:hAnsi="Times New Roman" w:cs="Times New Roman"/>
          <w:sz w:val="20"/>
          <w:szCs w:val="20"/>
        </w:rPr>
      </w:pPr>
    </w:p>
    <w:p w14:paraId="62E9F049" w14:textId="77777777" w:rsidR="00AD5D4E" w:rsidRPr="003A2F86" w:rsidRDefault="00AD5D4E" w:rsidP="00AD5D4E">
      <w:pPr>
        <w:spacing w:after="0" w:line="240" w:lineRule="auto"/>
        <w:ind w:firstLine="708"/>
        <w:jc w:val="both"/>
        <w:rPr>
          <w:rFonts w:ascii="Arial" w:eastAsia="Calibri" w:hAnsi="Arial" w:cs="Arial"/>
          <w:sz w:val="20"/>
          <w:szCs w:val="20"/>
          <w:lang w:eastAsia="en-US"/>
        </w:rPr>
      </w:pPr>
      <w:r w:rsidRPr="003A2F86">
        <w:rPr>
          <w:rFonts w:ascii="Arial" w:eastAsia="Calibri" w:hAnsi="Arial" w:cs="Arial"/>
          <w:sz w:val="20"/>
          <w:szCs w:val="20"/>
          <w:u w:val="single"/>
          <w:lang w:eastAsia="en-US"/>
        </w:rPr>
        <w:t>Ostvareni prihodi poslovanja</w:t>
      </w:r>
      <w:r w:rsidRPr="003A2F86">
        <w:rPr>
          <w:rFonts w:ascii="Arial" w:eastAsia="Calibri" w:hAnsi="Arial" w:cs="Arial"/>
          <w:sz w:val="20"/>
          <w:szCs w:val="20"/>
          <w:lang w:eastAsia="en-US"/>
        </w:rPr>
        <w:t xml:space="preserve"> sastoje se od:</w:t>
      </w:r>
    </w:p>
    <w:p w14:paraId="43B41B8D" w14:textId="77777777" w:rsidR="00AD5D4E" w:rsidRPr="003A2F86" w:rsidRDefault="00AD5D4E" w:rsidP="00AD5D4E">
      <w:pPr>
        <w:spacing w:after="0" w:line="240" w:lineRule="auto"/>
        <w:ind w:firstLine="708"/>
        <w:jc w:val="both"/>
        <w:rPr>
          <w:rFonts w:ascii="Arial" w:eastAsia="Calibri" w:hAnsi="Arial" w:cs="Arial"/>
          <w:sz w:val="20"/>
          <w:szCs w:val="20"/>
          <w:lang w:eastAsia="en-US"/>
        </w:rPr>
      </w:pPr>
    </w:p>
    <w:p w14:paraId="32D66BC0" w14:textId="076B9F53" w:rsidR="00E84F4B" w:rsidRPr="00E84F4B" w:rsidRDefault="00E84F4B" w:rsidP="00E84F4B">
      <w:pPr>
        <w:numPr>
          <w:ilvl w:val="0"/>
          <w:numId w:val="33"/>
        </w:numPr>
        <w:spacing w:after="0" w:line="240" w:lineRule="auto"/>
        <w:contextualSpacing/>
        <w:jc w:val="both"/>
        <w:rPr>
          <w:rFonts w:ascii="Arial" w:eastAsia="Calibri" w:hAnsi="Arial" w:cs="Arial"/>
          <w:sz w:val="20"/>
          <w:szCs w:val="20"/>
          <w:lang w:eastAsia="en-US"/>
        </w:rPr>
      </w:pPr>
      <w:r w:rsidRPr="00E84F4B">
        <w:rPr>
          <w:rFonts w:ascii="Arial" w:eastAsia="Calibri" w:hAnsi="Arial" w:cs="Arial"/>
          <w:sz w:val="20"/>
          <w:szCs w:val="20"/>
          <w:lang w:eastAsia="en-US"/>
        </w:rPr>
        <w:t xml:space="preserve">pomoći proračunskim korisnicima iz proračuna koji im nije nadležan -  </w:t>
      </w:r>
      <w:r w:rsidRPr="00E84F4B">
        <w:rPr>
          <w:rFonts w:ascii="Arial" w:eastAsia="Calibri" w:hAnsi="Arial" w:cs="Arial"/>
          <w:i/>
          <w:sz w:val="20"/>
          <w:szCs w:val="20"/>
          <w:lang w:eastAsia="en-US"/>
        </w:rPr>
        <w:t>Pomoći</w:t>
      </w:r>
      <w:r w:rsidRPr="00E84F4B">
        <w:rPr>
          <w:rFonts w:ascii="Arial" w:eastAsia="Calibri" w:hAnsi="Arial" w:cs="Arial"/>
          <w:sz w:val="20"/>
          <w:szCs w:val="20"/>
          <w:lang w:eastAsia="en-US"/>
        </w:rPr>
        <w:t xml:space="preserve"> ostvareni su u iznosu 3.240,00</w:t>
      </w:r>
      <w:r>
        <w:rPr>
          <w:rFonts w:ascii="Arial" w:eastAsia="Calibri" w:hAnsi="Arial" w:cs="Arial"/>
          <w:sz w:val="20"/>
          <w:szCs w:val="20"/>
          <w:lang w:eastAsia="en-US"/>
        </w:rPr>
        <w:t xml:space="preserve"> </w:t>
      </w:r>
      <w:r w:rsidRPr="00E84F4B">
        <w:rPr>
          <w:rFonts w:ascii="Arial" w:eastAsia="Calibri" w:hAnsi="Arial" w:cs="Arial"/>
          <w:sz w:val="20"/>
          <w:szCs w:val="20"/>
          <w:lang w:eastAsia="en-US"/>
        </w:rPr>
        <w:t xml:space="preserve">€ i odnose se na prihode ostvarene kroz financijsku podršku za smanjenje utjecaja porasta cijena energenata za pružatelje socijalnih usluga u Republici Hrvatskoj dobivenu od strane Ministarstva rada, mirovinskog sustava, obitelji i socijalne politike </w:t>
      </w:r>
    </w:p>
    <w:p w14:paraId="66F081BC" w14:textId="77777777" w:rsidR="00E84F4B" w:rsidRPr="00E84F4B" w:rsidRDefault="00E84F4B" w:rsidP="00E84F4B">
      <w:pPr>
        <w:spacing w:after="0" w:line="240" w:lineRule="auto"/>
        <w:ind w:left="1068"/>
        <w:contextualSpacing/>
        <w:jc w:val="both"/>
        <w:rPr>
          <w:rFonts w:ascii="Arial" w:eastAsia="Calibri" w:hAnsi="Arial" w:cs="Arial"/>
          <w:sz w:val="20"/>
          <w:szCs w:val="20"/>
          <w:lang w:eastAsia="en-US"/>
        </w:rPr>
      </w:pPr>
      <w:r w:rsidRPr="00E84F4B">
        <w:rPr>
          <w:rFonts w:ascii="Arial" w:eastAsia="Calibri" w:hAnsi="Arial" w:cs="Arial"/>
          <w:sz w:val="20"/>
          <w:szCs w:val="20"/>
          <w:lang w:eastAsia="en-US"/>
        </w:rPr>
        <w:t>Ostvarenim pomoćima proračunskim korisnicima iz proračuna koji im nije nadležan financirani su rashodi za energiju.</w:t>
      </w:r>
    </w:p>
    <w:p w14:paraId="33ADF319" w14:textId="46CBE9B3" w:rsidR="00E84F4B" w:rsidRPr="00E84F4B" w:rsidRDefault="00E84F4B" w:rsidP="00E84F4B">
      <w:pPr>
        <w:numPr>
          <w:ilvl w:val="0"/>
          <w:numId w:val="33"/>
        </w:numPr>
        <w:spacing w:after="0" w:line="240" w:lineRule="auto"/>
        <w:contextualSpacing/>
        <w:jc w:val="both"/>
        <w:rPr>
          <w:rFonts w:ascii="Arial" w:eastAsia="Calibri" w:hAnsi="Arial" w:cs="Arial"/>
          <w:sz w:val="20"/>
          <w:szCs w:val="20"/>
          <w:lang w:eastAsia="en-US"/>
        </w:rPr>
      </w:pPr>
      <w:r w:rsidRPr="00E84F4B">
        <w:rPr>
          <w:rFonts w:ascii="Arial" w:eastAsia="Calibri" w:hAnsi="Arial" w:cs="Arial"/>
          <w:sz w:val="20"/>
          <w:szCs w:val="20"/>
          <w:lang w:eastAsia="en-US"/>
        </w:rPr>
        <w:t xml:space="preserve">prihodi od upravnih i administrativnih pristojbi, pristojbi po posebnim propisima i naknada - </w:t>
      </w:r>
      <w:r w:rsidRPr="00E84F4B">
        <w:rPr>
          <w:rFonts w:ascii="Arial" w:eastAsia="Calibri" w:hAnsi="Arial" w:cs="Arial"/>
          <w:i/>
          <w:sz w:val="20"/>
          <w:szCs w:val="20"/>
          <w:lang w:eastAsia="en-US"/>
        </w:rPr>
        <w:t>Prihodi za posebne namjene</w:t>
      </w:r>
      <w:r w:rsidRPr="00E84F4B">
        <w:rPr>
          <w:rFonts w:ascii="Arial" w:eastAsia="Calibri" w:hAnsi="Arial" w:cs="Arial"/>
          <w:sz w:val="20"/>
          <w:szCs w:val="20"/>
          <w:lang w:eastAsia="en-US"/>
        </w:rPr>
        <w:t xml:space="preserve"> ostvareni su u iznosu od 465.371,39</w:t>
      </w:r>
      <w:r>
        <w:rPr>
          <w:rFonts w:ascii="Arial" w:eastAsia="Calibri" w:hAnsi="Arial" w:cs="Arial"/>
          <w:sz w:val="20"/>
          <w:szCs w:val="20"/>
          <w:lang w:eastAsia="en-US"/>
        </w:rPr>
        <w:t xml:space="preserve"> </w:t>
      </w:r>
      <w:r w:rsidRPr="00E84F4B">
        <w:rPr>
          <w:rFonts w:ascii="Arial" w:eastAsia="Calibri" w:hAnsi="Arial" w:cs="Arial"/>
          <w:sz w:val="20"/>
          <w:szCs w:val="20"/>
          <w:lang w:eastAsia="en-US"/>
        </w:rPr>
        <w:t>€ (odnose se na prihode koji su ostvareni od naplate cijene usluga smještaja korisnika kao, prihoda od naplata naknada šteta od strane osiguravajućeg društva i ostalih prihoda).</w:t>
      </w:r>
    </w:p>
    <w:p w14:paraId="3353CBD7" w14:textId="77777777" w:rsidR="00E84F4B" w:rsidRPr="00E84F4B" w:rsidRDefault="00E84F4B" w:rsidP="00E84F4B">
      <w:pPr>
        <w:spacing w:after="0" w:line="240" w:lineRule="auto"/>
        <w:ind w:left="1068"/>
        <w:contextualSpacing/>
        <w:jc w:val="both"/>
        <w:rPr>
          <w:rFonts w:ascii="Arial" w:eastAsia="Calibri" w:hAnsi="Arial" w:cs="Arial"/>
          <w:sz w:val="20"/>
          <w:szCs w:val="20"/>
          <w:lang w:eastAsia="en-US"/>
        </w:rPr>
      </w:pPr>
      <w:r w:rsidRPr="00E84F4B">
        <w:rPr>
          <w:rFonts w:ascii="Arial" w:eastAsia="Calibri" w:hAnsi="Arial" w:cs="Arial"/>
          <w:sz w:val="20"/>
          <w:szCs w:val="20"/>
          <w:lang w:eastAsia="en-US"/>
        </w:rPr>
        <w:t>Ostvarenim prihodima za posebne namjene financirani su rashodi poslovanja koji obuhvaćaju: rashode za zaposlene, rashode za materijal i energiju, rashode za usluge, ostale rashode poslovanja te rashode za nabavu dugotrajne imovine</w:t>
      </w:r>
    </w:p>
    <w:p w14:paraId="30BFD511" w14:textId="1819AC45" w:rsidR="00E84F4B" w:rsidRPr="00E84F4B" w:rsidRDefault="00E84F4B" w:rsidP="00E84F4B">
      <w:pPr>
        <w:numPr>
          <w:ilvl w:val="0"/>
          <w:numId w:val="33"/>
        </w:numPr>
        <w:spacing w:after="0" w:line="240" w:lineRule="auto"/>
        <w:contextualSpacing/>
        <w:jc w:val="both"/>
        <w:rPr>
          <w:rFonts w:ascii="Arial" w:eastAsia="Calibri" w:hAnsi="Arial" w:cs="Arial"/>
          <w:sz w:val="20"/>
          <w:szCs w:val="20"/>
          <w:lang w:eastAsia="en-US"/>
        </w:rPr>
      </w:pPr>
      <w:r w:rsidRPr="00E84F4B">
        <w:rPr>
          <w:rFonts w:ascii="Arial" w:eastAsia="Calibri" w:hAnsi="Arial" w:cs="Arial"/>
          <w:sz w:val="20"/>
          <w:szCs w:val="20"/>
          <w:lang w:eastAsia="en-US"/>
        </w:rPr>
        <w:t xml:space="preserve">prihodi od prodaje proizvoda i robe te pruženih usluga – </w:t>
      </w:r>
      <w:r w:rsidRPr="00E84F4B">
        <w:rPr>
          <w:rFonts w:ascii="Arial" w:eastAsia="Calibri" w:hAnsi="Arial" w:cs="Arial"/>
          <w:i/>
          <w:sz w:val="20"/>
          <w:szCs w:val="20"/>
          <w:lang w:eastAsia="en-US"/>
        </w:rPr>
        <w:t>Vlastiti prihodi</w:t>
      </w:r>
      <w:r w:rsidRPr="00E84F4B">
        <w:rPr>
          <w:rFonts w:ascii="Arial" w:eastAsia="Calibri" w:hAnsi="Arial" w:cs="Arial"/>
          <w:sz w:val="20"/>
          <w:szCs w:val="20"/>
          <w:lang w:eastAsia="en-US"/>
        </w:rPr>
        <w:t xml:space="preserve"> ostvareni su u iznosu 2.790,00</w:t>
      </w:r>
      <w:r w:rsidR="0051672E">
        <w:rPr>
          <w:rFonts w:ascii="Arial" w:eastAsia="Calibri" w:hAnsi="Arial" w:cs="Arial"/>
          <w:sz w:val="20"/>
          <w:szCs w:val="20"/>
          <w:lang w:eastAsia="en-US"/>
        </w:rPr>
        <w:t xml:space="preserve"> </w:t>
      </w:r>
      <w:r w:rsidRPr="00E84F4B">
        <w:rPr>
          <w:rFonts w:ascii="Arial" w:eastAsia="Calibri" w:hAnsi="Arial" w:cs="Arial"/>
          <w:sz w:val="20"/>
          <w:szCs w:val="20"/>
          <w:lang w:eastAsia="en-US"/>
        </w:rPr>
        <w:t>€ (odnose se na prihode koji su ostvareni od naplate cijene usluga dnevnog i poludnevnog boravka korisnika).</w:t>
      </w:r>
    </w:p>
    <w:p w14:paraId="4A5DBE79" w14:textId="77777777" w:rsidR="00E84F4B" w:rsidRPr="00E84F4B" w:rsidRDefault="00E84F4B" w:rsidP="00E84F4B">
      <w:pPr>
        <w:spacing w:after="0" w:line="240" w:lineRule="auto"/>
        <w:ind w:left="1068"/>
        <w:contextualSpacing/>
        <w:jc w:val="both"/>
        <w:rPr>
          <w:rFonts w:ascii="Arial" w:eastAsia="Calibri" w:hAnsi="Arial" w:cs="Arial"/>
          <w:sz w:val="20"/>
          <w:szCs w:val="20"/>
          <w:lang w:eastAsia="en-US"/>
        </w:rPr>
      </w:pPr>
      <w:r w:rsidRPr="00E84F4B">
        <w:rPr>
          <w:rFonts w:ascii="Arial" w:eastAsia="Calibri" w:hAnsi="Arial" w:cs="Arial"/>
          <w:sz w:val="20"/>
          <w:szCs w:val="20"/>
          <w:lang w:eastAsia="en-US"/>
        </w:rPr>
        <w:t>Ostvarenim vlastitim prihodima financirani su materijalni rashodi.</w:t>
      </w:r>
    </w:p>
    <w:p w14:paraId="096104DF" w14:textId="77777777" w:rsidR="00E84F4B" w:rsidRPr="00E84F4B" w:rsidRDefault="00E84F4B" w:rsidP="00E84F4B">
      <w:pPr>
        <w:numPr>
          <w:ilvl w:val="0"/>
          <w:numId w:val="33"/>
        </w:numPr>
        <w:spacing w:after="0" w:line="240" w:lineRule="auto"/>
        <w:contextualSpacing/>
        <w:jc w:val="both"/>
        <w:rPr>
          <w:rFonts w:ascii="Arial" w:eastAsia="Calibri" w:hAnsi="Arial" w:cs="Arial"/>
          <w:sz w:val="20"/>
          <w:szCs w:val="20"/>
          <w:lang w:eastAsia="en-US"/>
        </w:rPr>
      </w:pPr>
      <w:r w:rsidRPr="00E84F4B">
        <w:rPr>
          <w:rFonts w:ascii="Arial" w:eastAsia="Calibri" w:hAnsi="Arial" w:cs="Arial"/>
          <w:sz w:val="20"/>
          <w:szCs w:val="20"/>
          <w:lang w:eastAsia="en-US"/>
        </w:rPr>
        <w:t xml:space="preserve">prihodi iz nadležnog proračuna za financiranje redovne djelatnosti proračunskog korisnika – </w:t>
      </w:r>
      <w:r w:rsidRPr="00E84F4B">
        <w:rPr>
          <w:rFonts w:ascii="Arial" w:eastAsia="Calibri" w:hAnsi="Arial" w:cs="Arial"/>
          <w:i/>
          <w:sz w:val="20"/>
          <w:szCs w:val="20"/>
          <w:lang w:eastAsia="en-US"/>
        </w:rPr>
        <w:t>Opći prihodi i primici</w:t>
      </w:r>
      <w:r w:rsidRPr="00E84F4B">
        <w:rPr>
          <w:rFonts w:ascii="Arial" w:eastAsia="Calibri" w:hAnsi="Arial" w:cs="Arial"/>
          <w:sz w:val="20"/>
          <w:szCs w:val="20"/>
          <w:lang w:eastAsia="en-US"/>
        </w:rPr>
        <w:t xml:space="preserve">  ostvareni su u iznosu od </w:t>
      </w:r>
      <w:r w:rsidRPr="00E84F4B">
        <w:rPr>
          <w:rFonts w:ascii="Arial" w:eastAsia="Times New Roman" w:hAnsi="Arial" w:cs="Arial"/>
          <w:sz w:val="20"/>
          <w:szCs w:val="20"/>
        </w:rPr>
        <w:t>268.097,43€</w:t>
      </w:r>
      <w:r w:rsidRPr="00E84F4B">
        <w:rPr>
          <w:rFonts w:ascii="Arial" w:eastAsia="Calibri" w:hAnsi="Arial" w:cs="Arial"/>
          <w:sz w:val="20"/>
          <w:szCs w:val="20"/>
          <w:lang w:eastAsia="en-US"/>
        </w:rPr>
        <w:t xml:space="preserve"> (odnose se na prihode koji su ostvareni iz nadležnog proračuna Općine Konavle).</w:t>
      </w:r>
    </w:p>
    <w:p w14:paraId="6A049B7A" w14:textId="77777777" w:rsidR="00E84F4B" w:rsidRPr="00E84F4B" w:rsidRDefault="00E84F4B" w:rsidP="00E84F4B">
      <w:pPr>
        <w:spacing w:after="0" w:line="240" w:lineRule="auto"/>
        <w:ind w:left="1068"/>
        <w:contextualSpacing/>
        <w:jc w:val="both"/>
        <w:rPr>
          <w:rFonts w:ascii="Arial" w:eastAsia="Calibri" w:hAnsi="Arial" w:cs="Arial"/>
          <w:sz w:val="20"/>
          <w:szCs w:val="20"/>
          <w:lang w:eastAsia="en-US"/>
        </w:rPr>
      </w:pPr>
      <w:r w:rsidRPr="00E84F4B">
        <w:rPr>
          <w:rFonts w:ascii="Arial" w:eastAsia="Calibri" w:hAnsi="Arial" w:cs="Arial"/>
          <w:sz w:val="20"/>
          <w:szCs w:val="20"/>
          <w:lang w:eastAsia="en-US"/>
        </w:rPr>
        <w:t>Ostvarenim vlastitim prihodima financirani su rashodi za zaposlene.</w:t>
      </w:r>
    </w:p>
    <w:p w14:paraId="4DCD8790" w14:textId="13DC59BF" w:rsidR="00E84F4B" w:rsidRPr="00E84F4B" w:rsidRDefault="00E84F4B" w:rsidP="00E84F4B">
      <w:pPr>
        <w:numPr>
          <w:ilvl w:val="0"/>
          <w:numId w:val="33"/>
        </w:numPr>
        <w:spacing w:after="0" w:line="240" w:lineRule="auto"/>
        <w:contextualSpacing/>
        <w:jc w:val="both"/>
        <w:rPr>
          <w:rFonts w:ascii="Arial" w:eastAsia="Calibri" w:hAnsi="Arial" w:cs="Arial"/>
          <w:sz w:val="20"/>
          <w:szCs w:val="20"/>
          <w:lang w:eastAsia="en-US"/>
        </w:rPr>
      </w:pPr>
      <w:r w:rsidRPr="00E84F4B">
        <w:rPr>
          <w:rFonts w:ascii="Arial" w:eastAsia="Calibri" w:hAnsi="Arial" w:cs="Arial"/>
          <w:sz w:val="20"/>
          <w:szCs w:val="20"/>
          <w:lang w:eastAsia="en-US"/>
        </w:rPr>
        <w:t>ostali prihodi – ostvareni su u iznosu 402,99</w:t>
      </w:r>
      <w:r>
        <w:rPr>
          <w:rFonts w:ascii="Arial" w:eastAsia="Calibri" w:hAnsi="Arial" w:cs="Arial"/>
          <w:sz w:val="20"/>
          <w:szCs w:val="20"/>
          <w:lang w:eastAsia="en-US"/>
        </w:rPr>
        <w:t xml:space="preserve"> </w:t>
      </w:r>
      <w:r w:rsidRPr="00E84F4B">
        <w:rPr>
          <w:rFonts w:ascii="Arial" w:eastAsia="Calibri" w:hAnsi="Arial" w:cs="Arial"/>
          <w:sz w:val="20"/>
          <w:szCs w:val="20"/>
          <w:lang w:eastAsia="en-US"/>
        </w:rPr>
        <w:t>€</w:t>
      </w:r>
    </w:p>
    <w:p w14:paraId="21F3152C" w14:textId="77777777" w:rsidR="007517F5" w:rsidRPr="007517F5" w:rsidRDefault="007517F5" w:rsidP="007517F5">
      <w:pPr>
        <w:spacing w:after="0" w:line="240" w:lineRule="auto"/>
        <w:jc w:val="both"/>
        <w:rPr>
          <w:rFonts w:ascii="Arial" w:eastAsia="Calibri" w:hAnsi="Arial" w:cs="Arial"/>
          <w:sz w:val="20"/>
          <w:szCs w:val="20"/>
          <w:lang w:eastAsia="en-US"/>
        </w:rPr>
      </w:pPr>
    </w:p>
    <w:p w14:paraId="4E409027" w14:textId="77777777" w:rsidR="00AD5D4E" w:rsidRPr="003A2F86" w:rsidRDefault="00AD5D4E" w:rsidP="00AD5D4E">
      <w:pPr>
        <w:spacing w:after="0" w:line="240" w:lineRule="auto"/>
        <w:ind w:firstLine="708"/>
        <w:jc w:val="both"/>
        <w:rPr>
          <w:rFonts w:ascii="Arial" w:eastAsia="Calibri" w:hAnsi="Arial" w:cs="Arial"/>
          <w:sz w:val="20"/>
          <w:szCs w:val="20"/>
          <w:lang w:eastAsia="en-US"/>
        </w:rPr>
      </w:pPr>
      <w:r w:rsidRPr="003A2F86">
        <w:rPr>
          <w:rFonts w:ascii="Arial" w:eastAsia="Calibri" w:hAnsi="Arial" w:cs="Arial"/>
          <w:sz w:val="20"/>
          <w:szCs w:val="20"/>
          <w:u w:val="single"/>
          <w:lang w:eastAsia="en-US"/>
        </w:rPr>
        <w:t>Ostvareni rashodi poslovanja</w:t>
      </w:r>
      <w:r w:rsidRPr="003A2F86">
        <w:rPr>
          <w:rFonts w:ascii="Arial" w:eastAsia="Calibri" w:hAnsi="Arial" w:cs="Arial"/>
          <w:sz w:val="20"/>
          <w:szCs w:val="20"/>
          <w:lang w:eastAsia="en-US"/>
        </w:rPr>
        <w:t xml:space="preserve"> sastoje se od:</w:t>
      </w:r>
    </w:p>
    <w:p w14:paraId="2C5A6F75" w14:textId="05D795A6" w:rsidR="0051672E" w:rsidRPr="0051672E" w:rsidRDefault="0051672E" w:rsidP="0051672E">
      <w:pPr>
        <w:numPr>
          <w:ilvl w:val="0"/>
          <w:numId w:val="61"/>
        </w:numPr>
        <w:spacing w:after="0" w:line="240" w:lineRule="auto"/>
        <w:jc w:val="both"/>
        <w:rPr>
          <w:rFonts w:ascii="Arial" w:eastAsia="Calibri" w:hAnsi="Arial" w:cs="Arial"/>
          <w:sz w:val="20"/>
          <w:szCs w:val="20"/>
          <w:lang w:eastAsia="en-US"/>
        </w:rPr>
      </w:pPr>
      <w:r w:rsidRPr="0051672E">
        <w:rPr>
          <w:rFonts w:ascii="Arial" w:eastAsia="Calibri" w:hAnsi="Arial" w:cs="Arial"/>
          <w:sz w:val="20"/>
          <w:szCs w:val="20"/>
          <w:lang w:eastAsia="en-US"/>
        </w:rPr>
        <w:t>rashoda za zaposlene koji su ostvareni u iznosu 524.759,47</w:t>
      </w:r>
      <w:r>
        <w:rPr>
          <w:rFonts w:ascii="Arial" w:eastAsia="Calibri" w:hAnsi="Arial" w:cs="Arial"/>
          <w:sz w:val="20"/>
          <w:szCs w:val="20"/>
          <w:lang w:eastAsia="en-US"/>
        </w:rPr>
        <w:t xml:space="preserve"> </w:t>
      </w:r>
      <w:r w:rsidRPr="0051672E">
        <w:rPr>
          <w:rFonts w:ascii="Arial" w:eastAsia="Calibri" w:hAnsi="Arial" w:cs="Arial"/>
          <w:sz w:val="20"/>
          <w:szCs w:val="20"/>
          <w:lang w:eastAsia="en-US"/>
        </w:rPr>
        <w:t>€ (odnose se na rashode za bruto plaće, doprinose na plaću i ostale rashode za zaposlene)</w:t>
      </w:r>
    </w:p>
    <w:p w14:paraId="24729400" w14:textId="3A94B049" w:rsidR="0051672E" w:rsidRPr="0051672E" w:rsidRDefault="0051672E" w:rsidP="0051672E">
      <w:pPr>
        <w:numPr>
          <w:ilvl w:val="0"/>
          <w:numId w:val="61"/>
        </w:numPr>
        <w:spacing w:after="0" w:line="240" w:lineRule="auto"/>
        <w:jc w:val="both"/>
        <w:rPr>
          <w:rFonts w:ascii="Arial" w:eastAsia="Calibri" w:hAnsi="Arial" w:cs="Arial"/>
          <w:sz w:val="20"/>
          <w:szCs w:val="20"/>
          <w:lang w:eastAsia="en-US"/>
        </w:rPr>
      </w:pPr>
      <w:r w:rsidRPr="0051672E">
        <w:rPr>
          <w:rFonts w:ascii="Arial" w:eastAsia="Calibri" w:hAnsi="Arial" w:cs="Arial"/>
          <w:sz w:val="20"/>
          <w:szCs w:val="20"/>
          <w:lang w:eastAsia="en-US"/>
        </w:rPr>
        <w:t>materijalnih rashoda koji su ostvareni u iznosu 169.166,60</w:t>
      </w:r>
      <w:r>
        <w:rPr>
          <w:rFonts w:ascii="Arial" w:eastAsia="Calibri" w:hAnsi="Arial" w:cs="Arial"/>
          <w:sz w:val="20"/>
          <w:szCs w:val="20"/>
          <w:lang w:eastAsia="en-US"/>
        </w:rPr>
        <w:t xml:space="preserve"> </w:t>
      </w:r>
      <w:r w:rsidRPr="0051672E">
        <w:rPr>
          <w:rFonts w:ascii="Arial" w:eastAsia="Calibri" w:hAnsi="Arial" w:cs="Arial"/>
          <w:sz w:val="20"/>
          <w:szCs w:val="20"/>
          <w:lang w:eastAsia="en-US"/>
        </w:rPr>
        <w:t>€ (odnose se na naknade troškova zaposlenima, rashode za materijal i energiju, rashode za usluge i ostale nespomenute rashode poslovanja)</w:t>
      </w:r>
    </w:p>
    <w:p w14:paraId="5D160959" w14:textId="77777777" w:rsidR="0051672E" w:rsidRDefault="0051672E" w:rsidP="00BE41A8">
      <w:pPr>
        <w:spacing w:after="0" w:line="240" w:lineRule="auto"/>
        <w:rPr>
          <w:rFonts w:ascii="Arial" w:eastAsia="Calibri" w:hAnsi="Arial" w:cs="Arial"/>
          <w:sz w:val="20"/>
          <w:szCs w:val="20"/>
          <w:lang w:eastAsia="en-US"/>
        </w:rPr>
      </w:pPr>
    </w:p>
    <w:p w14:paraId="78E1896A" w14:textId="7F619174" w:rsidR="0051672E" w:rsidRPr="0051672E" w:rsidRDefault="0051672E" w:rsidP="0051672E">
      <w:pPr>
        <w:spacing w:after="0" w:line="240" w:lineRule="auto"/>
        <w:ind w:firstLine="709"/>
        <w:rPr>
          <w:rFonts w:ascii="Arial" w:eastAsia="Calibri" w:hAnsi="Arial" w:cs="Arial"/>
          <w:sz w:val="20"/>
          <w:szCs w:val="20"/>
          <w:lang w:eastAsia="en-US"/>
        </w:rPr>
      </w:pPr>
      <w:r w:rsidRPr="0051672E">
        <w:rPr>
          <w:rFonts w:ascii="Arial" w:eastAsia="Calibri" w:hAnsi="Arial" w:cs="Arial"/>
          <w:sz w:val="20"/>
          <w:szCs w:val="20"/>
          <w:u w:val="single"/>
          <w:lang w:eastAsia="en-US"/>
        </w:rPr>
        <w:t>Ostvareni rashodi za nabavu dugotrajne imovine</w:t>
      </w:r>
      <w:r w:rsidRPr="0051672E">
        <w:rPr>
          <w:rFonts w:ascii="Arial" w:eastAsia="Calibri" w:hAnsi="Arial" w:cs="Arial"/>
          <w:sz w:val="20"/>
          <w:szCs w:val="20"/>
          <w:lang w:eastAsia="en-US"/>
        </w:rPr>
        <w:t xml:space="preserve"> odnose se na rashode nastale za nabavu opreme u iznosu 2.302,90€</w:t>
      </w:r>
    </w:p>
    <w:p w14:paraId="17525E43" w14:textId="77777777" w:rsidR="007517F5" w:rsidRPr="003A2F86" w:rsidRDefault="007517F5" w:rsidP="00AD5D4E">
      <w:pPr>
        <w:spacing w:after="0" w:line="240" w:lineRule="auto"/>
        <w:ind w:firstLine="708"/>
        <w:jc w:val="both"/>
        <w:rPr>
          <w:rFonts w:ascii="Arial" w:eastAsia="Calibri" w:hAnsi="Arial" w:cs="Arial"/>
          <w:sz w:val="20"/>
          <w:szCs w:val="20"/>
          <w:lang w:eastAsia="en-US"/>
        </w:rPr>
      </w:pPr>
    </w:p>
    <w:p w14:paraId="546FABE2" w14:textId="7C867EFC" w:rsidR="00AD5D4E" w:rsidRPr="003A2F86" w:rsidRDefault="00AD5D4E" w:rsidP="00AD5D4E">
      <w:pPr>
        <w:spacing w:after="0" w:line="240" w:lineRule="auto"/>
        <w:ind w:firstLine="709"/>
        <w:jc w:val="both"/>
        <w:rPr>
          <w:rFonts w:ascii="Arial" w:eastAsia="Calibri" w:hAnsi="Arial" w:cs="Arial"/>
          <w:sz w:val="20"/>
          <w:szCs w:val="20"/>
        </w:rPr>
      </w:pPr>
      <w:r w:rsidRPr="003A2F86">
        <w:rPr>
          <w:rFonts w:ascii="Arial" w:eastAsia="Calibri" w:hAnsi="Arial" w:cs="Arial"/>
          <w:sz w:val="20"/>
          <w:szCs w:val="20"/>
        </w:rPr>
        <w:t xml:space="preserve">Ustanova Dom za starije i nemoćne osobe Konavle, kao proračunski korisnik Općine, prema predanim financijskim izvještajima za siječanj – </w:t>
      </w:r>
      <w:r w:rsidR="00E95106">
        <w:rPr>
          <w:rFonts w:ascii="Arial" w:eastAsia="Calibri" w:hAnsi="Arial" w:cs="Arial"/>
          <w:sz w:val="20"/>
          <w:szCs w:val="20"/>
        </w:rPr>
        <w:t>lipanj</w:t>
      </w:r>
      <w:r w:rsidRPr="003A2F86">
        <w:rPr>
          <w:rFonts w:ascii="Arial" w:eastAsia="Calibri" w:hAnsi="Arial" w:cs="Arial"/>
          <w:sz w:val="20"/>
          <w:szCs w:val="20"/>
        </w:rPr>
        <w:t xml:space="preserve"> 202</w:t>
      </w:r>
      <w:r w:rsidR="00E95106">
        <w:rPr>
          <w:rFonts w:ascii="Arial" w:eastAsia="Calibri" w:hAnsi="Arial" w:cs="Arial"/>
          <w:sz w:val="20"/>
          <w:szCs w:val="20"/>
        </w:rPr>
        <w:t>5</w:t>
      </w:r>
      <w:r w:rsidRPr="003A2F86">
        <w:rPr>
          <w:rFonts w:ascii="Arial" w:eastAsia="Calibri" w:hAnsi="Arial" w:cs="Arial"/>
          <w:sz w:val="20"/>
          <w:szCs w:val="20"/>
        </w:rPr>
        <w:t xml:space="preserve">. izvršila je rashode u ukupnom iznosu </w:t>
      </w:r>
      <w:r w:rsidR="00DD32A5">
        <w:rPr>
          <w:rFonts w:ascii="Arial" w:eastAsia="Calibri" w:hAnsi="Arial" w:cs="Arial"/>
          <w:sz w:val="20"/>
          <w:szCs w:val="20"/>
        </w:rPr>
        <w:t>696.228,97</w:t>
      </w:r>
      <w:r w:rsidRPr="003A2F86">
        <w:rPr>
          <w:rFonts w:ascii="Arial" w:eastAsia="Calibri" w:hAnsi="Arial" w:cs="Arial"/>
          <w:sz w:val="20"/>
          <w:szCs w:val="20"/>
        </w:rPr>
        <w:t xml:space="preserve"> €, a prihode u iznosu </w:t>
      </w:r>
      <w:r w:rsidR="00DD32A5">
        <w:rPr>
          <w:rFonts w:ascii="Arial" w:eastAsia="Calibri" w:hAnsi="Arial" w:cs="Arial"/>
          <w:sz w:val="20"/>
          <w:szCs w:val="20"/>
        </w:rPr>
        <w:t xml:space="preserve">739.901,81 </w:t>
      </w:r>
      <w:r w:rsidRPr="003A2F86">
        <w:rPr>
          <w:rFonts w:ascii="Arial" w:eastAsia="Calibri" w:hAnsi="Arial" w:cs="Arial"/>
          <w:sz w:val="20"/>
          <w:szCs w:val="20"/>
        </w:rPr>
        <w:t xml:space="preserve">€. Tekući </w:t>
      </w:r>
      <w:r w:rsidR="00DD32A5">
        <w:rPr>
          <w:rFonts w:ascii="Arial" w:eastAsia="Calibri" w:hAnsi="Arial" w:cs="Arial"/>
          <w:sz w:val="20"/>
          <w:szCs w:val="20"/>
        </w:rPr>
        <w:t>višak</w:t>
      </w:r>
      <w:r w:rsidRPr="003A2F86">
        <w:rPr>
          <w:rFonts w:ascii="Arial" w:eastAsia="Calibri" w:hAnsi="Arial" w:cs="Arial"/>
          <w:sz w:val="20"/>
          <w:szCs w:val="20"/>
        </w:rPr>
        <w:t xml:space="preserve"> prihoda iznosi </w:t>
      </w:r>
      <w:r w:rsidR="00DD32A5">
        <w:rPr>
          <w:rFonts w:ascii="Arial" w:eastAsia="Calibri" w:hAnsi="Arial" w:cs="Arial"/>
          <w:sz w:val="20"/>
          <w:szCs w:val="20"/>
        </w:rPr>
        <w:t>43.672,84</w:t>
      </w:r>
      <w:r w:rsidRPr="003A2F86">
        <w:rPr>
          <w:rFonts w:ascii="Arial" w:eastAsia="Calibri" w:hAnsi="Arial" w:cs="Arial"/>
          <w:sz w:val="20"/>
          <w:szCs w:val="20"/>
        </w:rPr>
        <w:t xml:space="preserve"> €, preneseni </w:t>
      </w:r>
      <w:r w:rsidR="00A621C7">
        <w:rPr>
          <w:rFonts w:ascii="Arial" w:eastAsia="Calibri" w:hAnsi="Arial" w:cs="Arial"/>
          <w:sz w:val="20"/>
          <w:szCs w:val="20"/>
        </w:rPr>
        <w:t>manjak</w:t>
      </w:r>
      <w:r w:rsidRPr="003A2F86">
        <w:rPr>
          <w:rFonts w:ascii="Arial" w:eastAsia="Calibri" w:hAnsi="Arial" w:cs="Arial"/>
          <w:sz w:val="20"/>
          <w:szCs w:val="20"/>
        </w:rPr>
        <w:t xml:space="preserve"> prihoda iznosi </w:t>
      </w:r>
      <w:r w:rsidR="00A621C7">
        <w:rPr>
          <w:rFonts w:ascii="Arial" w:eastAsia="Calibri" w:hAnsi="Arial" w:cs="Arial"/>
          <w:sz w:val="20"/>
          <w:szCs w:val="20"/>
        </w:rPr>
        <w:t>-15.393,34</w:t>
      </w:r>
      <w:r w:rsidR="00A25A59" w:rsidRPr="003A2F86">
        <w:rPr>
          <w:rFonts w:ascii="Arial" w:eastAsia="Calibri" w:hAnsi="Arial" w:cs="Arial"/>
          <w:sz w:val="20"/>
          <w:szCs w:val="20"/>
        </w:rPr>
        <w:t xml:space="preserve"> </w:t>
      </w:r>
      <w:r w:rsidRPr="003A2F86">
        <w:rPr>
          <w:rFonts w:ascii="Arial" w:eastAsia="Calibri" w:hAnsi="Arial" w:cs="Arial"/>
          <w:sz w:val="20"/>
          <w:szCs w:val="20"/>
        </w:rPr>
        <w:t xml:space="preserve">€, te </w:t>
      </w:r>
      <w:r w:rsidR="00A621C7">
        <w:rPr>
          <w:rFonts w:ascii="Arial" w:eastAsia="Calibri" w:hAnsi="Arial" w:cs="Arial"/>
          <w:sz w:val="20"/>
          <w:szCs w:val="20"/>
        </w:rPr>
        <w:t>višak</w:t>
      </w:r>
      <w:r w:rsidRPr="003A2F86">
        <w:rPr>
          <w:rFonts w:ascii="Arial" w:eastAsia="Calibri" w:hAnsi="Arial" w:cs="Arial"/>
          <w:sz w:val="20"/>
          <w:szCs w:val="20"/>
        </w:rPr>
        <w:t xml:space="preserve"> prihoda za korištenje u slijedećem razdoblju iznosi </w:t>
      </w:r>
      <w:r w:rsidR="00A621C7">
        <w:rPr>
          <w:rFonts w:ascii="Arial" w:eastAsia="Calibri" w:hAnsi="Arial" w:cs="Arial"/>
          <w:sz w:val="20"/>
          <w:szCs w:val="20"/>
        </w:rPr>
        <w:t>28.279,50</w:t>
      </w:r>
      <w:r w:rsidRPr="003A2F86">
        <w:rPr>
          <w:rFonts w:ascii="Arial" w:eastAsia="Calibri" w:hAnsi="Arial" w:cs="Arial"/>
          <w:sz w:val="20"/>
          <w:szCs w:val="20"/>
        </w:rPr>
        <w:t xml:space="preserve"> €. </w:t>
      </w:r>
    </w:p>
    <w:p w14:paraId="4E12A401" w14:textId="77777777" w:rsidR="00F65E36" w:rsidRPr="003A2F86" w:rsidRDefault="00F65E36" w:rsidP="00AD5D4E">
      <w:pPr>
        <w:spacing w:after="0" w:line="240" w:lineRule="auto"/>
        <w:rPr>
          <w:rFonts w:ascii="Arial" w:eastAsia="Calibri" w:hAnsi="Arial" w:cs="Arial"/>
          <w:sz w:val="20"/>
          <w:szCs w:val="20"/>
          <w:lang w:eastAsia="en-US"/>
        </w:rPr>
      </w:pPr>
    </w:p>
    <w:p w14:paraId="143A9766" w14:textId="383F53D5" w:rsidR="008079A8" w:rsidRPr="003A2F86" w:rsidRDefault="008079A8" w:rsidP="00AD5D4E">
      <w:pPr>
        <w:spacing w:after="0" w:line="240" w:lineRule="auto"/>
        <w:rPr>
          <w:rFonts w:ascii="Arial" w:eastAsia="Calibri" w:hAnsi="Arial" w:cs="Arial"/>
          <w:sz w:val="20"/>
          <w:szCs w:val="20"/>
          <w:lang w:eastAsia="en-US"/>
        </w:rPr>
      </w:pPr>
      <w:r w:rsidRPr="003A2F86">
        <w:rPr>
          <w:rFonts w:ascii="Arial" w:eastAsia="Calibri" w:hAnsi="Arial" w:cs="Arial"/>
          <w:sz w:val="20"/>
          <w:szCs w:val="20"/>
          <w:lang w:eastAsia="en-US"/>
        </w:rPr>
        <w:t xml:space="preserve">Dom se nalazi u riznici Općine Konavle i nema vlastiti </w:t>
      </w:r>
      <w:r w:rsidR="00AD5D4E" w:rsidRPr="003A2F86">
        <w:rPr>
          <w:rFonts w:ascii="Arial" w:eastAsia="Calibri" w:hAnsi="Arial" w:cs="Arial"/>
          <w:sz w:val="20"/>
          <w:szCs w:val="20"/>
          <w:lang w:eastAsia="en-US"/>
        </w:rPr>
        <w:t>žiro</w:t>
      </w:r>
      <w:r w:rsidRPr="003A2F86">
        <w:rPr>
          <w:rFonts w:ascii="Arial" w:eastAsia="Calibri" w:hAnsi="Arial" w:cs="Arial"/>
          <w:sz w:val="20"/>
          <w:szCs w:val="20"/>
          <w:lang w:eastAsia="en-US"/>
        </w:rPr>
        <w:t xml:space="preserve"> račun</w:t>
      </w:r>
      <w:r w:rsidR="00AD5D4E" w:rsidRPr="003A2F86">
        <w:rPr>
          <w:rFonts w:ascii="Arial" w:eastAsia="Calibri" w:hAnsi="Arial" w:cs="Arial"/>
          <w:sz w:val="20"/>
          <w:szCs w:val="20"/>
          <w:lang w:eastAsia="en-US"/>
        </w:rPr>
        <w:t>.</w:t>
      </w:r>
    </w:p>
    <w:p w14:paraId="49E6D2E9" w14:textId="77777777" w:rsidR="008079A8" w:rsidRPr="003A2F86" w:rsidRDefault="008079A8" w:rsidP="00AD5D4E">
      <w:pPr>
        <w:spacing w:after="0" w:line="240" w:lineRule="auto"/>
        <w:jc w:val="both"/>
        <w:rPr>
          <w:rFonts w:ascii="Arial" w:eastAsia="Calibri" w:hAnsi="Arial" w:cs="Arial"/>
          <w:b/>
          <w:sz w:val="20"/>
          <w:szCs w:val="20"/>
          <w:lang w:eastAsia="en-US"/>
        </w:rPr>
      </w:pPr>
    </w:p>
    <w:p w14:paraId="7EB997A9" w14:textId="1781C40E" w:rsidR="00E86585" w:rsidRPr="003A2F86" w:rsidRDefault="00E86585" w:rsidP="00E86585">
      <w:pPr>
        <w:spacing w:after="0" w:line="240" w:lineRule="auto"/>
        <w:ind w:firstLine="709"/>
        <w:rPr>
          <w:rFonts w:ascii="Arial" w:eastAsia="Calibri" w:hAnsi="Arial" w:cs="Arial"/>
          <w:sz w:val="20"/>
          <w:szCs w:val="20"/>
        </w:rPr>
      </w:pPr>
      <w:bookmarkStart w:id="358" w:name="_Hlk144390738"/>
      <w:r w:rsidRPr="003A2F86">
        <w:rPr>
          <w:rFonts w:ascii="Arial" w:eastAsia="Calibri" w:hAnsi="Arial" w:cs="Arial"/>
          <w:sz w:val="20"/>
          <w:szCs w:val="20"/>
        </w:rPr>
        <w:t>Prosječan broj zaposlenih kod korisnika na osnovi stanja na početku razdoblja je iznosio 42, a koncem razdoblja iznosi 4</w:t>
      </w:r>
      <w:r w:rsidR="00A621C7">
        <w:rPr>
          <w:rFonts w:ascii="Arial" w:eastAsia="Calibri" w:hAnsi="Arial" w:cs="Arial"/>
          <w:sz w:val="20"/>
          <w:szCs w:val="20"/>
        </w:rPr>
        <w:t>1</w:t>
      </w:r>
      <w:r w:rsidRPr="003A2F86">
        <w:rPr>
          <w:rFonts w:ascii="Arial" w:eastAsia="Calibri" w:hAnsi="Arial" w:cs="Arial"/>
          <w:sz w:val="20"/>
          <w:szCs w:val="20"/>
        </w:rPr>
        <w:t>.</w:t>
      </w:r>
    </w:p>
    <w:p w14:paraId="30FC1DE4" w14:textId="49E4EE14" w:rsidR="00E86585" w:rsidRPr="003A2F86" w:rsidRDefault="00E86585" w:rsidP="00E86585">
      <w:pPr>
        <w:spacing w:after="0" w:line="240" w:lineRule="auto"/>
        <w:ind w:firstLine="709"/>
        <w:rPr>
          <w:rFonts w:ascii="Arial" w:eastAsia="Calibri" w:hAnsi="Arial" w:cs="Arial"/>
          <w:sz w:val="20"/>
          <w:szCs w:val="20"/>
        </w:rPr>
      </w:pPr>
      <w:r w:rsidRPr="003A2F86">
        <w:rPr>
          <w:rFonts w:ascii="Arial" w:eastAsia="Calibri" w:hAnsi="Arial" w:cs="Arial"/>
          <w:sz w:val="20"/>
          <w:szCs w:val="20"/>
        </w:rPr>
        <w:t xml:space="preserve">Prosječan broj zaposlenih na osnovi sati rada u prethodnom razdoblju je iznosio </w:t>
      </w:r>
      <w:r w:rsidR="00A25A59" w:rsidRPr="003A2F86">
        <w:rPr>
          <w:rFonts w:ascii="Arial" w:eastAsia="Calibri" w:hAnsi="Arial" w:cs="Arial"/>
          <w:sz w:val="20"/>
          <w:szCs w:val="20"/>
        </w:rPr>
        <w:t>3</w:t>
      </w:r>
      <w:r w:rsidR="00A621C7">
        <w:rPr>
          <w:rFonts w:ascii="Arial" w:eastAsia="Calibri" w:hAnsi="Arial" w:cs="Arial"/>
          <w:sz w:val="20"/>
          <w:szCs w:val="20"/>
        </w:rPr>
        <w:t>5</w:t>
      </w:r>
      <w:r w:rsidRPr="003A2F86">
        <w:rPr>
          <w:rFonts w:ascii="Arial" w:eastAsia="Calibri" w:hAnsi="Arial" w:cs="Arial"/>
          <w:sz w:val="20"/>
          <w:szCs w:val="20"/>
        </w:rPr>
        <w:t>, a koncem</w:t>
      </w:r>
      <w:r w:rsidR="00A25A59" w:rsidRPr="003A2F86">
        <w:rPr>
          <w:rFonts w:ascii="Arial" w:eastAsia="Calibri" w:hAnsi="Arial" w:cs="Arial"/>
          <w:sz w:val="20"/>
          <w:szCs w:val="20"/>
        </w:rPr>
        <w:t xml:space="preserve"> </w:t>
      </w:r>
      <w:r w:rsidR="00A621C7">
        <w:rPr>
          <w:rFonts w:ascii="Arial" w:eastAsia="Calibri" w:hAnsi="Arial" w:cs="Arial"/>
          <w:sz w:val="20"/>
          <w:szCs w:val="20"/>
        </w:rPr>
        <w:t xml:space="preserve">lipnja </w:t>
      </w:r>
      <w:r w:rsidRPr="003A2F86">
        <w:rPr>
          <w:rFonts w:ascii="Arial" w:eastAsia="Calibri" w:hAnsi="Arial" w:cs="Arial"/>
          <w:sz w:val="20"/>
          <w:szCs w:val="20"/>
        </w:rPr>
        <w:t>202</w:t>
      </w:r>
      <w:r w:rsidR="00A621C7">
        <w:rPr>
          <w:rFonts w:ascii="Arial" w:eastAsia="Calibri" w:hAnsi="Arial" w:cs="Arial"/>
          <w:sz w:val="20"/>
          <w:szCs w:val="20"/>
        </w:rPr>
        <w:t>5</w:t>
      </w:r>
      <w:r w:rsidRPr="003A2F86">
        <w:rPr>
          <w:rFonts w:ascii="Arial" w:eastAsia="Calibri" w:hAnsi="Arial" w:cs="Arial"/>
          <w:sz w:val="20"/>
          <w:szCs w:val="20"/>
        </w:rPr>
        <w:t>. iznosi 3</w:t>
      </w:r>
      <w:r w:rsidR="00DB1C76">
        <w:rPr>
          <w:rFonts w:ascii="Arial" w:eastAsia="Calibri" w:hAnsi="Arial" w:cs="Arial"/>
          <w:sz w:val="20"/>
          <w:szCs w:val="20"/>
        </w:rPr>
        <w:t>2</w:t>
      </w:r>
      <w:r w:rsidRPr="003A2F86">
        <w:rPr>
          <w:rFonts w:ascii="Arial" w:eastAsia="Calibri" w:hAnsi="Arial" w:cs="Arial"/>
          <w:sz w:val="20"/>
          <w:szCs w:val="20"/>
        </w:rPr>
        <w:t>.</w:t>
      </w:r>
    </w:p>
    <w:p w14:paraId="53137218" w14:textId="77777777" w:rsidR="00E86585" w:rsidRPr="003A2F86" w:rsidRDefault="00E86585" w:rsidP="00E86585">
      <w:pPr>
        <w:spacing w:after="0" w:line="240" w:lineRule="auto"/>
        <w:ind w:firstLine="709"/>
        <w:rPr>
          <w:rFonts w:ascii="Arial" w:eastAsia="Calibri" w:hAnsi="Arial" w:cs="Arial"/>
          <w:sz w:val="20"/>
          <w:szCs w:val="20"/>
        </w:rPr>
      </w:pPr>
    </w:p>
    <w:p w14:paraId="2C0CDA63" w14:textId="2A5C5EE5" w:rsidR="00E86585" w:rsidRPr="003A2F86" w:rsidRDefault="00E86585" w:rsidP="00E86585">
      <w:pPr>
        <w:spacing w:after="0" w:line="240" w:lineRule="auto"/>
        <w:ind w:firstLine="709"/>
        <w:rPr>
          <w:rFonts w:ascii="Arial" w:eastAsia="Calibri" w:hAnsi="Arial" w:cs="Arial"/>
          <w:sz w:val="20"/>
          <w:szCs w:val="20"/>
        </w:rPr>
      </w:pPr>
      <w:r w:rsidRPr="003A2F86">
        <w:rPr>
          <w:rFonts w:ascii="Arial" w:eastAsia="Calibri" w:hAnsi="Arial" w:cs="Arial"/>
          <w:sz w:val="20"/>
          <w:szCs w:val="20"/>
        </w:rPr>
        <w:t xml:space="preserve">Vlastita sredstva na dan </w:t>
      </w:r>
      <w:r w:rsidR="00DB1C76">
        <w:rPr>
          <w:rFonts w:ascii="Arial" w:eastAsia="Calibri" w:hAnsi="Arial" w:cs="Arial"/>
          <w:sz w:val="20"/>
          <w:szCs w:val="20"/>
        </w:rPr>
        <w:t>31.12.2024</w:t>
      </w:r>
      <w:r w:rsidRPr="003A2F86">
        <w:rPr>
          <w:rFonts w:ascii="Arial" w:eastAsia="Calibri" w:hAnsi="Arial" w:cs="Arial"/>
          <w:sz w:val="20"/>
          <w:szCs w:val="20"/>
        </w:rPr>
        <w:t>. (iskazano na računu računskog plana 16721 – potraživanja za prihode proračunskih korisnika) na žiro računu Općine iznos</w:t>
      </w:r>
      <w:r w:rsidR="00A25A59" w:rsidRPr="003A2F86">
        <w:rPr>
          <w:rFonts w:ascii="Arial" w:eastAsia="Calibri" w:hAnsi="Arial" w:cs="Arial"/>
          <w:sz w:val="20"/>
          <w:szCs w:val="20"/>
        </w:rPr>
        <w:t>io je</w:t>
      </w:r>
      <w:r w:rsidRPr="003A2F86">
        <w:rPr>
          <w:rFonts w:ascii="Arial" w:eastAsia="Calibri" w:hAnsi="Arial" w:cs="Arial"/>
          <w:sz w:val="20"/>
          <w:szCs w:val="20"/>
        </w:rPr>
        <w:t xml:space="preserve"> </w:t>
      </w:r>
      <w:r w:rsidR="00DB1C76" w:rsidRPr="00DB1C76">
        <w:rPr>
          <w:rFonts w:ascii="Arial" w:eastAsia="Calibri" w:hAnsi="Arial" w:cs="Arial"/>
          <w:sz w:val="20"/>
          <w:szCs w:val="20"/>
        </w:rPr>
        <w:t xml:space="preserve">84.899,83 </w:t>
      </w:r>
      <w:r w:rsidRPr="003A2F86">
        <w:rPr>
          <w:rFonts w:ascii="Arial" w:eastAsia="Calibri" w:hAnsi="Arial" w:cs="Arial"/>
          <w:sz w:val="20"/>
          <w:szCs w:val="20"/>
        </w:rPr>
        <w:t>€</w:t>
      </w:r>
      <w:r w:rsidR="00A25A59" w:rsidRPr="003A2F86">
        <w:rPr>
          <w:rFonts w:ascii="Arial" w:eastAsia="Calibri" w:hAnsi="Arial" w:cs="Arial"/>
          <w:sz w:val="20"/>
          <w:szCs w:val="20"/>
        </w:rPr>
        <w:t xml:space="preserve">, a na dan </w:t>
      </w:r>
      <w:r w:rsidR="00E40C01">
        <w:rPr>
          <w:rFonts w:ascii="Arial" w:eastAsia="Calibri" w:hAnsi="Arial" w:cs="Arial"/>
          <w:sz w:val="20"/>
          <w:szCs w:val="20"/>
        </w:rPr>
        <w:t>30.06.2025</w:t>
      </w:r>
      <w:r w:rsidR="00A25A59" w:rsidRPr="003A2F86">
        <w:rPr>
          <w:rFonts w:ascii="Arial" w:eastAsia="Calibri" w:hAnsi="Arial" w:cs="Arial"/>
          <w:sz w:val="20"/>
          <w:szCs w:val="20"/>
        </w:rPr>
        <w:t xml:space="preserve">. godine iznosi </w:t>
      </w:r>
      <w:r w:rsidR="00E40C01">
        <w:rPr>
          <w:rFonts w:ascii="Arial" w:eastAsia="Calibri" w:hAnsi="Arial" w:cs="Arial"/>
          <w:sz w:val="20"/>
          <w:szCs w:val="20"/>
        </w:rPr>
        <w:t>133.474,76</w:t>
      </w:r>
      <w:r w:rsidR="00DB1C76" w:rsidRPr="003A2F86">
        <w:rPr>
          <w:rFonts w:ascii="Arial" w:eastAsia="Calibri" w:hAnsi="Arial" w:cs="Arial"/>
          <w:sz w:val="20"/>
          <w:szCs w:val="20"/>
        </w:rPr>
        <w:t xml:space="preserve"> </w:t>
      </w:r>
      <w:r w:rsidR="00A25A59" w:rsidRPr="003A2F86">
        <w:rPr>
          <w:rFonts w:ascii="Arial" w:eastAsia="Calibri" w:hAnsi="Arial" w:cs="Arial"/>
          <w:sz w:val="20"/>
          <w:szCs w:val="20"/>
        </w:rPr>
        <w:t>€</w:t>
      </w:r>
      <w:r w:rsidRPr="003A2F86">
        <w:rPr>
          <w:rFonts w:ascii="Arial" w:eastAsia="Calibri" w:hAnsi="Arial" w:cs="Arial"/>
          <w:sz w:val="20"/>
          <w:szCs w:val="20"/>
        </w:rPr>
        <w:t xml:space="preserve">. Sredstvima proračunski korisnik raspolaže prema vlastitom financijskom planu uz potrebu najave Upravnom odjelu za proračun i financije, te otvaranje potrebnih aktivnosti i pozicija u proračunu. </w:t>
      </w:r>
    </w:p>
    <w:p w14:paraId="0422CF60" w14:textId="77777777" w:rsidR="00E86585" w:rsidRPr="003A2F86" w:rsidRDefault="00E86585" w:rsidP="00E86585">
      <w:pPr>
        <w:spacing w:after="0" w:line="240" w:lineRule="auto"/>
        <w:ind w:firstLine="709"/>
        <w:rPr>
          <w:rFonts w:ascii="Arial" w:eastAsia="Calibri" w:hAnsi="Arial" w:cs="Arial"/>
          <w:sz w:val="20"/>
          <w:szCs w:val="20"/>
        </w:rPr>
      </w:pPr>
    </w:p>
    <w:p w14:paraId="467A4D52" w14:textId="6A6DFABE" w:rsidR="00E86585" w:rsidRPr="003A2F86" w:rsidRDefault="00E86585" w:rsidP="00E86585">
      <w:pPr>
        <w:spacing w:after="0" w:line="240" w:lineRule="auto"/>
        <w:ind w:firstLine="709"/>
        <w:jc w:val="both"/>
        <w:rPr>
          <w:rFonts w:ascii="Arial" w:eastAsia="Calibri" w:hAnsi="Arial" w:cs="Arial"/>
          <w:sz w:val="20"/>
          <w:szCs w:val="20"/>
        </w:rPr>
      </w:pPr>
      <w:r w:rsidRPr="003A2F86">
        <w:rPr>
          <w:rFonts w:ascii="Arial" w:eastAsia="Calibri" w:hAnsi="Arial" w:cs="Arial"/>
          <w:sz w:val="20"/>
          <w:szCs w:val="20"/>
        </w:rPr>
        <w:lastRenderedPageBreak/>
        <w:t>Iz proračuna Općine Konavle ostvareni su prihodi od sufinanciranja cijene osnovnih usluga smještaja Domu za starije i nemoćne (aktivnost u proračunu Općine A204125), a sukladno usvojenoj Odluci o cijenama usluga Doma za starije i nemoćne osobe (Službeni glasnik Općine Konavle 3/2015), tj. članak 3. spomenute Odluke. Navedenim člankom se odobrava stanovnicima s područja općine Konavle s prebivalištem u neprekidnom trajanju od najmanje trideset godina prije podnošenja zahtjeva za prijem u Dom da ostvaruju pravo na sufinanciranje cijene osnovnih usluga smještaja iz proračuna Općine Konavle u iznosu od 20% od osnovne cijene iz članka 2. iste odluke. Općinsko vijeće je u veljači 2020. (Službeni glasnik Općine Konavle broj 1/2020) donijelo zaključak o davanju suglasnosti na prijedlog Odluke o cijenama usluga u Domu za starije i nemoćne osobe. Navedenom suglasnosti odobreno je povećanje cijena od 1.5.2020. Međutim, povećanje cijena se nije provodilo tijekom 2020. radi utjecaja pandemije bolesti COVID 19. U Službenom glasniku Općine Konavle broj 11/2020 objavljena je odluka ravnateljice Doma o izmjenama cijena koje se primjenjuju od 1.1.2021.</w:t>
      </w:r>
      <w:r w:rsidR="000E2ACE" w:rsidRPr="003A2F86">
        <w:rPr>
          <w:rFonts w:ascii="Arial" w:eastAsia="Calibri" w:hAnsi="Arial" w:cs="Arial"/>
          <w:sz w:val="20"/>
          <w:szCs w:val="20"/>
        </w:rPr>
        <w:t xml:space="preserve"> U službenom glasniku Općine Konavle broj 4/24 objavljen je novi cjeniku usluga u Domu.</w:t>
      </w:r>
    </w:p>
    <w:p w14:paraId="5CF52C83" w14:textId="77777777" w:rsidR="00E86585" w:rsidRPr="003A2F86" w:rsidRDefault="00E86585" w:rsidP="00E86585">
      <w:pPr>
        <w:spacing w:after="0" w:line="240" w:lineRule="auto"/>
        <w:ind w:firstLine="709"/>
        <w:jc w:val="both"/>
        <w:rPr>
          <w:rFonts w:ascii="Arial" w:eastAsia="Calibri" w:hAnsi="Arial" w:cs="Arial"/>
          <w:sz w:val="20"/>
          <w:szCs w:val="20"/>
        </w:rPr>
      </w:pPr>
    </w:p>
    <w:p w14:paraId="43AC30E2" w14:textId="757FEB84" w:rsidR="00E86585" w:rsidRPr="003A2F86" w:rsidRDefault="00E86585" w:rsidP="00AD5D4E">
      <w:pPr>
        <w:spacing w:after="0" w:line="240" w:lineRule="auto"/>
        <w:ind w:firstLine="709"/>
        <w:jc w:val="both"/>
        <w:rPr>
          <w:rFonts w:ascii="Arial" w:eastAsia="Calibri" w:hAnsi="Arial" w:cs="Arial"/>
          <w:sz w:val="20"/>
          <w:szCs w:val="20"/>
        </w:rPr>
      </w:pPr>
      <w:r w:rsidRPr="003A2F86">
        <w:rPr>
          <w:rFonts w:ascii="Arial" w:eastAsia="Calibri" w:hAnsi="Arial" w:cs="Arial"/>
          <w:sz w:val="20"/>
          <w:szCs w:val="20"/>
        </w:rPr>
        <w:t xml:space="preserve">Stanje nenaplaćenih potraživanja na dan </w:t>
      </w:r>
      <w:r w:rsidR="00AD5D4E" w:rsidRPr="003A2F86">
        <w:rPr>
          <w:rFonts w:ascii="Arial" w:eastAsia="Calibri" w:hAnsi="Arial" w:cs="Arial"/>
          <w:sz w:val="20"/>
          <w:szCs w:val="20"/>
        </w:rPr>
        <w:t>31.12</w:t>
      </w:r>
      <w:r w:rsidRPr="003A2F86">
        <w:rPr>
          <w:rFonts w:ascii="Arial" w:eastAsia="Calibri" w:hAnsi="Arial" w:cs="Arial"/>
          <w:sz w:val="20"/>
          <w:szCs w:val="20"/>
        </w:rPr>
        <w:t>.202</w:t>
      </w:r>
      <w:r w:rsidR="00D91261">
        <w:rPr>
          <w:rFonts w:ascii="Arial" w:eastAsia="Calibri" w:hAnsi="Arial" w:cs="Arial"/>
          <w:sz w:val="20"/>
          <w:szCs w:val="20"/>
        </w:rPr>
        <w:t>4</w:t>
      </w:r>
      <w:r w:rsidR="007517F5">
        <w:rPr>
          <w:rFonts w:ascii="Arial" w:eastAsia="Calibri" w:hAnsi="Arial" w:cs="Arial"/>
          <w:sz w:val="20"/>
          <w:szCs w:val="20"/>
        </w:rPr>
        <w:t xml:space="preserve">. </w:t>
      </w:r>
      <w:r w:rsidRPr="003A2F86">
        <w:rPr>
          <w:rFonts w:ascii="Arial" w:eastAsia="Calibri" w:hAnsi="Arial" w:cs="Arial"/>
          <w:sz w:val="20"/>
          <w:szCs w:val="20"/>
        </w:rPr>
        <w:t>godine iznosi</w:t>
      </w:r>
      <w:r w:rsidR="000E2ACE" w:rsidRPr="003A2F86">
        <w:rPr>
          <w:rFonts w:ascii="Arial" w:eastAsia="Calibri" w:hAnsi="Arial" w:cs="Arial"/>
          <w:sz w:val="20"/>
          <w:szCs w:val="20"/>
        </w:rPr>
        <w:t>lo je</w:t>
      </w:r>
      <w:r w:rsidRPr="003A2F86">
        <w:rPr>
          <w:rFonts w:ascii="Arial" w:eastAsia="Calibri" w:hAnsi="Arial" w:cs="Arial"/>
          <w:sz w:val="20"/>
          <w:szCs w:val="20"/>
        </w:rPr>
        <w:t xml:space="preserve"> </w:t>
      </w:r>
      <w:r w:rsidR="00D91261">
        <w:rPr>
          <w:rFonts w:ascii="Arial" w:eastAsia="Calibri" w:hAnsi="Arial" w:cs="Arial"/>
          <w:sz w:val="20"/>
          <w:szCs w:val="20"/>
        </w:rPr>
        <w:t>100.058,36</w:t>
      </w:r>
      <w:r w:rsidR="00D91261" w:rsidRPr="003A2F86">
        <w:rPr>
          <w:rFonts w:ascii="Arial" w:eastAsia="Calibri" w:hAnsi="Arial" w:cs="Arial"/>
          <w:sz w:val="20"/>
          <w:szCs w:val="20"/>
        </w:rPr>
        <w:t xml:space="preserve"> </w:t>
      </w:r>
      <w:r w:rsidRPr="003A2F86">
        <w:rPr>
          <w:rFonts w:ascii="Arial" w:eastAsia="Calibri" w:hAnsi="Arial" w:cs="Arial"/>
          <w:sz w:val="20"/>
          <w:szCs w:val="20"/>
        </w:rPr>
        <w:t>€</w:t>
      </w:r>
      <w:r w:rsidR="000E2ACE" w:rsidRPr="003A2F86">
        <w:rPr>
          <w:rFonts w:ascii="Arial" w:eastAsia="Calibri" w:hAnsi="Arial" w:cs="Arial"/>
          <w:sz w:val="20"/>
          <w:szCs w:val="20"/>
        </w:rPr>
        <w:t xml:space="preserve">. Koncem </w:t>
      </w:r>
      <w:r w:rsidR="00D91261">
        <w:rPr>
          <w:rFonts w:ascii="Arial" w:eastAsia="Calibri" w:hAnsi="Arial" w:cs="Arial"/>
          <w:sz w:val="20"/>
          <w:szCs w:val="20"/>
        </w:rPr>
        <w:t xml:space="preserve">lipnja </w:t>
      </w:r>
      <w:r w:rsidR="000E2ACE" w:rsidRPr="003A2F86">
        <w:rPr>
          <w:rFonts w:ascii="Arial" w:eastAsia="Calibri" w:hAnsi="Arial" w:cs="Arial"/>
          <w:sz w:val="20"/>
          <w:szCs w:val="20"/>
        </w:rPr>
        <w:t>202</w:t>
      </w:r>
      <w:r w:rsidR="00D91261">
        <w:rPr>
          <w:rFonts w:ascii="Arial" w:eastAsia="Calibri" w:hAnsi="Arial" w:cs="Arial"/>
          <w:sz w:val="20"/>
          <w:szCs w:val="20"/>
        </w:rPr>
        <w:t>5</w:t>
      </w:r>
      <w:r w:rsidR="000E2ACE" w:rsidRPr="003A2F86">
        <w:rPr>
          <w:rFonts w:ascii="Arial" w:eastAsia="Calibri" w:hAnsi="Arial" w:cs="Arial"/>
          <w:sz w:val="20"/>
          <w:szCs w:val="20"/>
        </w:rPr>
        <w:t xml:space="preserve">. godine iznosi </w:t>
      </w:r>
      <w:r w:rsidR="00D91261">
        <w:rPr>
          <w:rFonts w:ascii="Arial" w:eastAsia="Calibri" w:hAnsi="Arial" w:cs="Arial"/>
          <w:sz w:val="20"/>
          <w:szCs w:val="20"/>
        </w:rPr>
        <w:t>140.593,01</w:t>
      </w:r>
      <w:r w:rsidR="000E2ACE" w:rsidRPr="003A2F86">
        <w:rPr>
          <w:rFonts w:ascii="Arial" w:eastAsia="Calibri" w:hAnsi="Arial" w:cs="Arial"/>
          <w:sz w:val="20"/>
          <w:szCs w:val="20"/>
        </w:rPr>
        <w:t xml:space="preserve"> €</w:t>
      </w:r>
      <w:r w:rsidRPr="003A2F86">
        <w:rPr>
          <w:rFonts w:ascii="Arial" w:eastAsia="Calibri" w:hAnsi="Arial" w:cs="Arial"/>
          <w:sz w:val="20"/>
          <w:szCs w:val="20"/>
        </w:rPr>
        <w:t xml:space="preserve">, a odnosi se na potraživanja za upravne i administrativne pristojbe, pristojbe po posebnim propisima i naknade (nenaplaćena potraživanja od naših korisnika ili njihovih obveznika plaćanja za sredstva kojima se sufinancira usluga smještaja u Domu) u iznosu </w:t>
      </w:r>
      <w:r w:rsidR="003E05BD">
        <w:rPr>
          <w:rFonts w:ascii="Arial" w:eastAsia="Calibri" w:hAnsi="Arial" w:cs="Arial"/>
          <w:sz w:val="20"/>
          <w:szCs w:val="20"/>
        </w:rPr>
        <w:t>3.620,74</w:t>
      </w:r>
      <w:r w:rsidRPr="003A2F86">
        <w:rPr>
          <w:rFonts w:ascii="Arial" w:eastAsia="Calibri" w:hAnsi="Arial" w:cs="Arial"/>
          <w:sz w:val="20"/>
          <w:szCs w:val="20"/>
        </w:rPr>
        <w:t xml:space="preserve"> €, potraživanja za usluge poludnevnog boravka 0 €, ostala potraživanja (potraživanja prema Hrvatskom zavodu za zdravstveno osiguranje na ime isplaćenih naknada plaća djelatnicima za vrijeme bolovanja) u iznosu </w:t>
      </w:r>
      <w:r w:rsidR="003E05BD">
        <w:rPr>
          <w:rFonts w:ascii="Arial" w:eastAsia="Calibri" w:hAnsi="Arial" w:cs="Arial"/>
          <w:sz w:val="20"/>
          <w:szCs w:val="20"/>
        </w:rPr>
        <w:t>3.497,51</w:t>
      </w:r>
      <w:r w:rsidRPr="003A2F86">
        <w:rPr>
          <w:rFonts w:ascii="Arial" w:eastAsia="Calibri" w:hAnsi="Arial" w:cs="Arial"/>
          <w:sz w:val="20"/>
          <w:szCs w:val="20"/>
        </w:rPr>
        <w:t xml:space="preserve"> €,</w:t>
      </w:r>
      <w:r w:rsidR="007517F5">
        <w:rPr>
          <w:rFonts w:ascii="Arial" w:eastAsia="Calibri" w:hAnsi="Arial" w:cs="Arial"/>
          <w:sz w:val="20"/>
          <w:szCs w:val="20"/>
        </w:rPr>
        <w:t xml:space="preserve"> ostala potraživanja za više plaćene dobavljače </w:t>
      </w:r>
      <w:r w:rsidR="003E05BD">
        <w:rPr>
          <w:rFonts w:ascii="Arial" w:eastAsia="Calibri" w:hAnsi="Arial" w:cs="Arial"/>
          <w:sz w:val="20"/>
          <w:szCs w:val="20"/>
        </w:rPr>
        <w:t>0</w:t>
      </w:r>
      <w:r w:rsidR="007517F5">
        <w:rPr>
          <w:rFonts w:ascii="Arial" w:eastAsia="Calibri" w:hAnsi="Arial" w:cs="Arial"/>
          <w:sz w:val="20"/>
          <w:szCs w:val="20"/>
        </w:rPr>
        <w:t xml:space="preserve"> €,</w:t>
      </w:r>
      <w:r w:rsidRPr="003A2F86">
        <w:rPr>
          <w:rFonts w:ascii="Arial" w:eastAsia="Calibri" w:hAnsi="Arial" w:cs="Arial"/>
          <w:sz w:val="20"/>
          <w:szCs w:val="20"/>
        </w:rPr>
        <w:t xml:space="preserve"> te potraživanja za prihode iz proračuna (potraživanja iz proračuna Općine Konavle za uplaćene, a neutrošene vlastite prihode Doma) u iznosu </w:t>
      </w:r>
      <w:r w:rsidR="003E05BD">
        <w:rPr>
          <w:rFonts w:ascii="Arial" w:eastAsia="Calibri" w:hAnsi="Arial" w:cs="Arial"/>
          <w:sz w:val="20"/>
          <w:szCs w:val="20"/>
        </w:rPr>
        <w:t>133.474,76</w:t>
      </w:r>
      <w:r w:rsidR="003C2C49" w:rsidRPr="003A2F86">
        <w:rPr>
          <w:rFonts w:ascii="Arial" w:eastAsia="Calibri" w:hAnsi="Arial" w:cs="Arial"/>
          <w:sz w:val="20"/>
          <w:szCs w:val="20"/>
        </w:rPr>
        <w:t xml:space="preserve"> €</w:t>
      </w:r>
      <w:r w:rsidRPr="003A2F86">
        <w:rPr>
          <w:rFonts w:ascii="Arial" w:eastAsia="Calibri" w:hAnsi="Arial" w:cs="Arial"/>
          <w:sz w:val="20"/>
          <w:szCs w:val="20"/>
        </w:rPr>
        <w:t>.</w:t>
      </w:r>
    </w:p>
    <w:p w14:paraId="3FDC1728" w14:textId="77777777" w:rsidR="00E86585" w:rsidRPr="003A2F86" w:rsidRDefault="00E86585" w:rsidP="00E86585">
      <w:pPr>
        <w:spacing w:after="0" w:line="240" w:lineRule="auto"/>
        <w:ind w:firstLine="709"/>
        <w:jc w:val="both"/>
        <w:rPr>
          <w:rFonts w:ascii="Arial" w:eastAsia="Calibri" w:hAnsi="Arial" w:cs="Arial"/>
          <w:sz w:val="20"/>
          <w:szCs w:val="20"/>
        </w:rPr>
      </w:pPr>
    </w:p>
    <w:p w14:paraId="79713730" w14:textId="6DB3F8BC" w:rsidR="00E86585" w:rsidRPr="003A2F86" w:rsidRDefault="00E86585" w:rsidP="00E86585">
      <w:pPr>
        <w:spacing w:after="0" w:line="240" w:lineRule="auto"/>
        <w:ind w:firstLine="709"/>
        <w:jc w:val="both"/>
        <w:rPr>
          <w:rFonts w:ascii="Arial" w:eastAsia="Calibri" w:hAnsi="Arial" w:cs="Arial"/>
          <w:sz w:val="20"/>
          <w:szCs w:val="20"/>
        </w:rPr>
      </w:pPr>
      <w:r w:rsidRPr="003A2F86">
        <w:rPr>
          <w:rFonts w:ascii="Arial" w:eastAsia="Calibri" w:hAnsi="Arial" w:cs="Arial"/>
          <w:sz w:val="20"/>
          <w:szCs w:val="20"/>
        </w:rPr>
        <w:t xml:space="preserve">Stanje nepodmirenih obveza na dan </w:t>
      </w:r>
      <w:r w:rsidR="00AD5D4E" w:rsidRPr="003A2F86">
        <w:rPr>
          <w:rFonts w:ascii="Arial" w:eastAsia="Calibri" w:hAnsi="Arial" w:cs="Arial"/>
          <w:sz w:val="20"/>
          <w:szCs w:val="20"/>
        </w:rPr>
        <w:t>31.12</w:t>
      </w:r>
      <w:r w:rsidR="003C2C49" w:rsidRPr="003A2F86">
        <w:rPr>
          <w:rFonts w:ascii="Arial" w:eastAsia="Calibri" w:hAnsi="Arial" w:cs="Arial"/>
          <w:sz w:val="20"/>
          <w:szCs w:val="20"/>
        </w:rPr>
        <w:t>.202</w:t>
      </w:r>
      <w:r w:rsidR="00E40C01">
        <w:rPr>
          <w:rFonts w:ascii="Arial" w:eastAsia="Calibri" w:hAnsi="Arial" w:cs="Arial"/>
          <w:sz w:val="20"/>
          <w:szCs w:val="20"/>
        </w:rPr>
        <w:t>4</w:t>
      </w:r>
      <w:r w:rsidRPr="003A2F86">
        <w:rPr>
          <w:rFonts w:ascii="Arial" w:eastAsia="Calibri" w:hAnsi="Arial" w:cs="Arial"/>
          <w:sz w:val="20"/>
          <w:szCs w:val="20"/>
        </w:rPr>
        <w:t>. godine iznosi</w:t>
      </w:r>
      <w:r w:rsidR="000E2ACE" w:rsidRPr="003A2F86">
        <w:rPr>
          <w:rFonts w:ascii="Arial" w:eastAsia="Calibri" w:hAnsi="Arial" w:cs="Arial"/>
          <w:sz w:val="20"/>
          <w:szCs w:val="20"/>
        </w:rPr>
        <w:t>lo je</w:t>
      </w:r>
      <w:r w:rsidRPr="003A2F86">
        <w:rPr>
          <w:rFonts w:ascii="Arial" w:eastAsia="Calibri" w:hAnsi="Arial" w:cs="Arial"/>
          <w:sz w:val="20"/>
          <w:szCs w:val="20"/>
        </w:rPr>
        <w:t xml:space="preserve"> </w:t>
      </w:r>
      <w:r w:rsidR="00E40C01">
        <w:rPr>
          <w:rFonts w:ascii="Arial" w:eastAsia="Calibri" w:hAnsi="Arial" w:cs="Arial"/>
          <w:sz w:val="20"/>
          <w:szCs w:val="20"/>
        </w:rPr>
        <w:t>105.825,14</w:t>
      </w:r>
      <w:r w:rsidR="00E40C01" w:rsidRPr="003A2F86">
        <w:rPr>
          <w:rFonts w:ascii="Arial" w:eastAsia="Calibri" w:hAnsi="Arial" w:cs="Arial"/>
          <w:sz w:val="20"/>
          <w:szCs w:val="20"/>
        </w:rPr>
        <w:t xml:space="preserve"> </w:t>
      </w:r>
      <w:r w:rsidR="003C2C49" w:rsidRPr="003A2F86">
        <w:rPr>
          <w:rFonts w:ascii="Arial" w:eastAsia="Calibri" w:hAnsi="Arial" w:cs="Arial"/>
          <w:sz w:val="20"/>
          <w:szCs w:val="20"/>
        </w:rPr>
        <w:t>€</w:t>
      </w:r>
      <w:r w:rsidRPr="003A2F86">
        <w:rPr>
          <w:rFonts w:ascii="Arial" w:eastAsia="Calibri" w:hAnsi="Arial" w:cs="Arial"/>
          <w:sz w:val="20"/>
          <w:szCs w:val="20"/>
        </w:rPr>
        <w:t xml:space="preserve"> (nedospjele obveze)</w:t>
      </w:r>
      <w:r w:rsidR="000E2ACE" w:rsidRPr="003A2F86">
        <w:rPr>
          <w:rFonts w:ascii="Arial" w:eastAsia="Calibri" w:hAnsi="Arial" w:cs="Arial"/>
          <w:sz w:val="20"/>
          <w:szCs w:val="20"/>
        </w:rPr>
        <w:t xml:space="preserve">. Koncem </w:t>
      </w:r>
      <w:r w:rsidR="00E40C01">
        <w:rPr>
          <w:rFonts w:ascii="Arial" w:eastAsia="Calibri" w:hAnsi="Arial" w:cs="Arial"/>
          <w:sz w:val="20"/>
          <w:szCs w:val="20"/>
        </w:rPr>
        <w:t xml:space="preserve">lipnja </w:t>
      </w:r>
      <w:r w:rsidR="000E2ACE" w:rsidRPr="003A2F86">
        <w:rPr>
          <w:rFonts w:ascii="Arial" w:eastAsia="Calibri" w:hAnsi="Arial" w:cs="Arial"/>
          <w:sz w:val="20"/>
          <w:szCs w:val="20"/>
        </w:rPr>
        <w:t>202</w:t>
      </w:r>
      <w:r w:rsidR="00E40C01">
        <w:rPr>
          <w:rFonts w:ascii="Arial" w:eastAsia="Calibri" w:hAnsi="Arial" w:cs="Arial"/>
          <w:sz w:val="20"/>
          <w:szCs w:val="20"/>
        </w:rPr>
        <w:t>5</w:t>
      </w:r>
      <w:r w:rsidR="000E2ACE" w:rsidRPr="003A2F86">
        <w:rPr>
          <w:rFonts w:ascii="Arial" w:eastAsia="Calibri" w:hAnsi="Arial" w:cs="Arial"/>
          <w:sz w:val="20"/>
          <w:szCs w:val="20"/>
        </w:rPr>
        <w:t xml:space="preserve">. godine obveze iznose </w:t>
      </w:r>
      <w:r w:rsidR="00E40C01">
        <w:rPr>
          <w:rFonts w:ascii="Arial" w:eastAsia="Calibri" w:hAnsi="Arial" w:cs="Arial"/>
          <w:sz w:val="20"/>
          <w:szCs w:val="20"/>
        </w:rPr>
        <w:t>108.692,77</w:t>
      </w:r>
      <w:r w:rsidR="000E2ACE" w:rsidRPr="003A2F86">
        <w:rPr>
          <w:rFonts w:ascii="Arial" w:eastAsia="Calibri" w:hAnsi="Arial" w:cs="Arial"/>
          <w:sz w:val="20"/>
          <w:szCs w:val="20"/>
        </w:rPr>
        <w:t xml:space="preserve"> €, a odnose se na </w:t>
      </w:r>
      <w:r w:rsidRPr="003A2F86">
        <w:rPr>
          <w:rFonts w:ascii="Arial" w:eastAsia="Calibri" w:hAnsi="Arial" w:cs="Arial"/>
          <w:sz w:val="20"/>
          <w:szCs w:val="20"/>
        </w:rPr>
        <w:t xml:space="preserve">obveze za zaposlene u iznosu </w:t>
      </w:r>
      <w:r w:rsidR="00E40C01">
        <w:rPr>
          <w:rFonts w:ascii="Arial" w:eastAsia="Calibri" w:hAnsi="Arial" w:cs="Arial"/>
          <w:sz w:val="20"/>
          <w:szCs w:val="20"/>
        </w:rPr>
        <w:t>89.755,77</w:t>
      </w:r>
      <w:r w:rsidR="007517F5">
        <w:rPr>
          <w:rFonts w:ascii="Arial" w:eastAsia="Calibri" w:hAnsi="Arial" w:cs="Arial"/>
          <w:sz w:val="20"/>
          <w:szCs w:val="20"/>
        </w:rPr>
        <w:t xml:space="preserve"> </w:t>
      </w:r>
      <w:r w:rsidR="003C2C49" w:rsidRPr="003A2F86">
        <w:rPr>
          <w:rFonts w:ascii="Arial" w:eastAsia="Calibri" w:hAnsi="Arial" w:cs="Arial"/>
          <w:sz w:val="20"/>
          <w:szCs w:val="20"/>
        </w:rPr>
        <w:t>€</w:t>
      </w:r>
      <w:r w:rsidRPr="003A2F86">
        <w:rPr>
          <w:rFonts w:ascii="Arial" w:eastAsia="Calibri" w:hAnsi="Arial" w:cs="Arial"/>
          <w:sz w:val="20"/>
          <w:szCs w:val="20"/>
        </w:rPr>
        <w:t xml:space="preserve"> (obveze za plaću za mjesec </w:t>
      </w:r>
      <w:r w:rsidR="00E40C01">
        <w:rPr>
          <w:rFonts w:ascii="Arial" w:eastAsia="Calibri" w:hAnsi="Arial" w:cs="Arial"/>
          <w:sz w:val="20"/>
          <w:szCs w:val="20"/>
        </w:rPr>
        <w:t>lipanj</w:t>
      </w:r>
      <w:r w:rsidRPr="003A2F86">
        <w:rPr>
          <w:rFonts w:ascii="Arial" w:eastAsia="Calibri" w:hAnsi="Arial" w:cs="Arial"/>
          <w:sz w:val="20"/>
          <w:szCs w:val="20"/>
        </w:rPr>
        <w:t xml:space="preserve"> 202</w:t>
      </w:r>
      <w:r w:rsidR="00E40C01">
        <w:rPr>
          <w:rFonts w:ascii="Arial" w:eastAsia="Calibri" w:hAnsi="Arial" w:cs="Arial"/>
          <w:sz w:val="20"/>
          <w:szCs w:val="20"/>
        </w:rPr>
        <w:t>5</w:t>
      </w:r>
      <w:r w:rsidRPr="003A2F86">
        <w:rPr>
          <w:rFonts w:ascii="Arial" w:eastAsia="Calibri" w:hAnsi="Arial" w:cs="Arial"/>
          <w:sz w:val="20"/>
          <w:szCs w:val="20"/>
        </w:rPr>
        <w:t>.</w:t>
      </w:r>
      <w:r w:rsidR="00E40C01">
        <w:rPr>
          <w:rFonts w:ascii="Arial" w:eastAsia="Calibri" w:hAnsi="Arial" w:cs="Arial"/>
          <w:sz w:val="20"/>
          <w:szCs w:val="20"/>
        </w:rPr>
        <w:t xml:space="preserve"> </w:t>
      </w:r>
      <w:r w:rsidRPr="003A2F86">
        <w:rPr>
          <w:rFonts w:ascii="Arial" w:eastAsia="Calibri" w:hAnsi="Arial" w:cs="Arial"/>
          <w:sz w:val="20"/>
          <w:szCs w:val="20"/>
        </w:rPr>
        <w:t xml:space="preserve">g. koja je isplaćena u </w:t>
      </w:r>
      <w:r w:rsidR="00E40C01">
        <w:rPr>
          <w:rFonts w:ascii="Arial" w:eastAsia="Calibri" w:hAnsi="Arial" w:cs="Arial"/>
          <w:sz w:val="20"/>
          <w:szCs w:val="20"/>
        </w:rPr>
        <w:t>srpnju</w:t>
      </w:r>
      <w:r w:rsidRPr="003A2F86">
        <w:rPr>
          <w:rFonts w:ascii="Arial" w:eastAsia="Calibri" w:hAnsi="Arial" w:cs="Arial"/>
          <w:sz w:val="20"/>
          <w:szCs w:val="20"/>
        </w:rPr>
        <w:t xml:space="preserve"> 202</w:t>
      </w:r>
      <w:r w:rsidR="007517F5">
        <w:rPr>
          <w:rFonts w:ascii="Arial" w:eastAsia="Calibri" w:hAnsi="Arial" w:cs="Arial"/>
          <w:sz w:val="20"/>
          <w:szCs w:val="20"/>
        </w:rPr>
        <w:t>5</w:t>
      </w:r>
      <w:r w:rsidRPr="003A2F86">
        <w:rPr>
          <w:rFonts w:ascii="Arial" w:eastAsia="Calibri" w:hAnsi="Arial" w:cs="Arial"/>
          <w:sz w:val="20"/>
          <w:szCs w:val="20"/>
        </w:rPr>
        <w:t xml:space="preserve">.g.) te na obveze za materijalne rashode u iznosu </w:t>
      </w:r>
      <w:r w:rsidR="00F236E0">
        <w:rPr>
          <w:rFonts w:ascii="Arial" w:eastAsia="Calibri" w:hAnsi="Arial" w:cs="Arial"/>
          <w:sz w:val="20"/>
          <w:szCs w:val="20"/>
        </w:rPr>
        <w:t>17.337</w:t>
      </w:r>
      <w:r w:rsidR="003C2C49" w:rsidRPr="003A2F86">
        <w:rPr>
          <w:rFonts w:ascii="Arial" w:eastAsia="Calibri" w:hAnsi="Arial" w:cs="Arial"/>
          <w:sz w:val="20"/>
          <w:szCs w:val="20"/>
        </w:rPr>
        <w:t xml:space="preserve"> €</w:t>
      </w:r>
      <w:r w:rsidR="00F236E0">
        <w:rPr>
          <w:rFonts w:ascii="Arial" w:eastAsia="Calibri" w:hAnsi="Arial" w:cs="Arial"/>
          <w:sz w:val="20"/>
          <w:szCs w:val="20"/>
        </w:rPr>
        <w:t xml:space="preserve"> i rashode za nabavu proizvedene dugotrajne imovine u iznosu 1.000 €.</w:t>
      </w:r>
    </w:p>
    <w:p w14:paraId="075F2E97" w14:textId="77777777" w:rsidR="00E86585" w:rsidRPr="003A2F86" w:rsidRDefault="00E86585" w:rsidP="00E86585">
      <w:pPr>
        <w:spacing w:after="0" w:line="240" w:lineRule="auto"/>
        <w:ind w:firstLine="709"/>
        <w:jc w:val="both"/>
        <w:rPr>
          <w:rFonts w:ascii="Arial" w:eastAsia="Calibri" w:hAnsi="Arial" w:cs="Arial"/>
          <w:sz w:val="20"/>
          <w:szCs w:val="20"/>
        </w:rPr>
      </w:pPr>
    </w:p>
    <w:p w14:paraId="36E808E3" w14:textId="563FCA4A" w:rsidR="00F65E36" w:rsidRPr="003A2F86" w:rsidRDefault="00E86585" w:rsidP="00E86585">
      <w:pPr>
        <w:spacing w:after="0" w:line="240" w:lineRule="auto"/>
        <w:ind w:firstLine="709"/>
        <w:jc w:val="both"/>
        <w:rPr>
          <w:rFonts w:ascii="Arial" w:eastAsia="Calibri" w:hAnsi="Arial" w:cs="Arial"/>
          <w:sz w:val="20"/>
          <w:szCs w:val="20"/>
        </w:rPr>
      </w:pPr>
      <w:r w:rsidRPr="003A2F86">
        <w:rPr>
          <w:rFonts w:ascii="Arial" w:eastAsia="Calibri" w:hAnsi="Arial" w:cs="Arial"/>
          <w:sz w:val="20"/>
          <w:szCs w:val="20"/>
        </w:rPr>
        <w:t xml:space="preserve">Potencijalnih obveza na dan </w:t>
      </w:r>
      <w:r w:rsidR="00F236E0">
        <w:rPr>
          <w:rFonts w:ascii="Arial" w:eastAsia="Calibri" w:hAnsi="Arial" w:cs="Arial"/>
          <w:sz w:val="20"/>
          <w:szCs w:val="20"/>
        </w:rPr>
        <w:t>30.06.2025</w:t>
      </w:r>
      <w:r w:rsidRPr="003A2F86">
        <w:rPr>
          <w:rFonts w:ascii="Arial" w:eastAsia="Calibri" w:hAnsi="Arial" w:cs="Arial"/>
          <w:sz w:val="20"/>
          <w:szCs w:val="20"/>
        </w:rPr>
        <w:t>. godine nema.</w:t>
      </w:r>
    </w:p>
    <w:p w14:paraId="6187F229" w14:textId="77777777" w:rsidR="00F65E36" w:rsidRPr="003A2F86" w:rsidRDefault="00F65E36" w:rsidP="00F65E36">
      <w:pPr>
        <w:spacing w:after="0" w:line="240" w:lineRule="auto"/>
        <w:ind w:firstLine="709"/>
        <w:rPr>
          <w:rFonts w:ascii="Arial" w:eastAsia="Calibri" w:hAnsi="Arial" w:cs="Arial"/>
          <w:sz w:val="20"/>
          <w:szCs w:val="20"/>
        </w:rPr>
      </w:pPr>
    </w:p>
    <w:p w14:paraId="4A16CE75" w14:textId="77777777" w:rsidR="00F65E36" w:rsidRPr="003A2F86" w:rsidRDefault="00F65E36">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3A2F86">
        <w:rPr>
          <w:rFonts w:ascii="Arial" w:eastAsia="Calibri" w:hAnsi="Arial" w:cs="Arial"/>
          <w:b/>
        </w:rPr>
        <w:t>OBRAZLOŽENJE POSEBNOG DIJELA FINANCIJSKOG PLANA</w:t>
      </w:r>
    </w:p>
    <w:p w14:paraId="67FB3665" w14:textId="77777777" w:rsidR="00F65E36" w:rsidRPr="003A2F86" w:rsidRDefault="00F65E36" w:rsidP="00F65E36">
      <w:pPr>
        <w:spacing w:after="0" w:line="240" w:lineRule="auto"/>
        <w:rPr>
          <w:rFonts w:ascii="Arial" w:eastAsia="Calibri" w:hAnsi="Arial" w:cs="Arial"/>
          <w:bCs/>
          <w:sz w:val="20"/>
          <w:szCs w:val="20"/>
        </w:rPr>
      </w:pPr>
    </w:p>
    <w:p w14:paraId="2B629D01" w14:textId="77777777" w:rsidR="00F65E36" w:rsidRPr="003A2F86" w:rsidRDefault="00F65E36" w:rsidP="00F65E36">
      <w:pPr>
        <w:pStyle w:val="Tijeloteksta"/>
        <w:ind w:left="212" w:right="543"/>
        <w:rPr>
          <w:rFonts w:ascii="Arial" w:eastAsia="Calibri" w:hAnsi="Arial" w:cs="Arial"/>
          <w:sz w:val="20"/>
          <w:lang w:val="hr-HR"/>
        </w:rPr>
      </w:pPr>
      <w:r w:rsidRPr="003A2F86">
        <w:rPr>
          <w:rFonts w:ascii="Arial" w:eastAsia="Calibri" w:hAnsi="Arial" w:cs="Arial"/>
          <w:sz w:val="20"/>
          <w:lang w:val="hr-HR"/>
        </w:rPr>
        <w:t>Posebni dio financijskog plana iskazuje rashode i izdatke po organizacijskoj klasifikaciji, po ekonomskoj i programskoj klasifikaciji, te izvorima financiranja.</w:t>
      </w:r>
    </w:p>
    <w:p w14:paraId="49EBD758" w14:textId="77777777" w:rsidR="00B50C13" w:rsidRPr="00E0246E" w:rsidRDefault="00B50C13" w:rsidP="00BE41A8">
      <w:pPr>
        <w:spacing w:after="0" w:line="240" w:lineRule="auto"/>
        <w:jc w:val="both"/>
        <w:rPr>
          <w:rFonts w:ascii="Arial" w:eastAsia="Calibri" w:hAnsi="Arial" w:cs="Arial"/>
          <w:sz w:val="20"/>
          <w:szCs w:val="20"/>
        </w:rPr>
      </w:pPr>
    </w:p>
    <w:tbl>
      <w:tblPr>
        <w:tblW w:w="10166" w:type="dxa"/>
        <w:jc w:val="center"/>
        <w:tblLook w:val="04A0" w:firstRow="1" w:lastRow="0" w:firstColumn="1" w:lastColumn="0" w:noHBand="0" w:noVBand="1"/>
      </w:tblPr>
      <w:tblGrid>
        <w:gridCol w:w="4098"/>
        <w:gridCol w:w="1900"/>
        <w:gridCol w:w="1984"/>
        <w:gridCol w:w="2184"/>
      </w:tblGrid>
      <w:tr w:rsidR="00B50C13" w:rsidRPr="00E0246E" w14:paraId="236EA0EF" w14:textId="77777777" w:rsidTr="00B50C13">
        <w:trPr>
          <w:trHeight w:val="577"/>
          <w:jc w:val="center"/>
        </w:trPr>
        <w:tc>
          <w:tcPr>
            <w:tcW w:w="4098" w:type="dxa"/>
            <w:tcBorders>
              <w:top w:val="single" w:sz="4" w:space="0" w:color="auto"/>
              <w:left w:val="single" w:sz="4" w:space="0" w:color="auto"/>
              <w:bottom w:val="single" w:sz="4" w:space="0" w:color="auto"/>
              <w:right w:val="single" w:sz="4" w:space="0" w:color="auto"/>
            </w:tcBorders>
            <w:noWrap/>
            <w:vAlign w:val="center"/>
            <w:hideMark/>
          </w:tcPr>
          <w:p w14:paraId="77B134D7" w14:textId="77777777" w:rsidR="00B50C13" w:rsidRPr="00E0246E" w:rsidRDefault="00B50C13" w:rsidP="00C83EE8">
            <w:pPr>
              <w:spacing w:after="0" w:line="240" w:lineRule="auto"/>
              <w:jc w:val="center"/>
              <w:rPr>
                <w:rFonts w:ascii="Arial" w:eastAsia="Times New Roman" w:hAnsi="Arial" w:cs="Arial"/>
                <w:b/>
                <w:sz w:val="20"/>
                <w:szCs w:val="20"/>
              </w:rPr>
            </w:pPr>
            <w:r w:rsidRPr="00E0246E">
              <w:rPr>
                <w:rFonts w:ascii="Arial" w:eastAsia="Times New Roman" w:hAnsi="Arial" w:cs="Arial"/>
                <w:b/>
                <w:sz w:val="20"/>
                <w:szCs w:val="20"/>
              </w:rPr>
              <w:t>Naziv programa iz Proračuna</w:t>
            </w:r>
          </w:p>
        </w:tc>
        <w:tc>
          <w:tcPr>
            <w:tcW w:w="1900" w:type="dxa"/>
            <w:tcBorders>
              <w:top w:val="single" w:sz="4" w:space="0" w:color="auto"/>
              <w:left w:val="nil"/>
              <w:bottom w:val="single" w:sz="4" w:space="0" w:color="auto"/>
              <w:right w:val="single" w:sz="4" w:space="0" w:color="auto"/>
            </w:tcBorders>
          </w:tcPr>
          <w:p w14:paraId="64450F32" w14:textId="77777777" w:rsidR="00B50C13" w:rsidRPr="00E0246E" w:rsidRDefault="00B50C13" w:rsidP="00C83EE8">
            <w:pPr>
              <w:spacing w:after="0" w:line="240" w:lineRule="auto"/>
              <w:jc w:val="center"/>
              <w:rPr>
                <w:rFonts w:ascii="Arial" w:eastAsia="Times New Roman" w:hAnsi="Arial" w:cs="Arial"/>
                <w:b/>
                <w:sz w:val="20"/>
                <w:szCs w:val="20"/>
              </w:rPr>
            </w:pPr>
            <w:r w:rsidRPr="00E0246E">
              <w:rPr>
                <w:rFonts w:ascii="Arial" w:eastAsia="Times New Roman" w:hAnsi="Arial" w:cs="Arial"/>
                <w:b/>
                <w:sz w:val="20"/>
                <w:szCs w:val="20"/>
              </w:rPr>
              <w:t>Izvorni plan</w:t>
            </w:r>
          </w:p>
          <w:p w14:paraId="4864CB01" w14:textId="0A55AAFB" w:rsidR="00B50C13" w:rsidRPr="00E0246E" w:rsidRDefault="00B50C13" w:rsidP="00C83EE8">
            <w:pPr>
              <w:spacing w:after="0" w:line="240" w:lineRule="auto"/>
              <w:jc w:val="center"/>
              <w:rPr>
                <w:rFonts w:ascii="Arial" w:eastAsia="Times New Roman" w:hAnsi="Arial" w:cs="Arial"/>
                <w:b/>
                <w:sz w:val="20"/>
                <w:szCs w:val="20"/>
              </w:rPr>
            </w:pPr>
            <w:r>
              <w:rPr>
                <w:rFonts w:ascii="Arial" w:eastAsia="Times New Roman" w:hAnsi="Arial" w:cs="Arial"/>
                <w:b/>
                <w:sz w:val="20"/>
                <w:szCs w:val="20"/>
              </w:rPr>
              <w:t>202</w:t>
            </w:r>
            <w:r w:rsidR="00F236E0">
              <w:rPr>
                <w:rFonts w:ascii="Arial" w:eastAsia="Times New Roman" w:hAnsi="Arial" w:cs="Arial"/>
                <w:b/>
                <w:sz w:val="20"/>
                <w:szCs w:val="20"/>
              </w:rPr>
              <w:t>5</w:t>
            </w:r>
            <w:r w:rsidRPr="00E0246E">
              <w:rPr>
                <w:rFonts w:ascii="Arial" w:eastAsia="Times New Roman" w:hAnsi="Arial" w:cs="Arial"/>
                <w:b/>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DCCB709" w14:textId="77777777" w:rsidR="00B50C13" w:rsidRPr="00E0246E" w:rsidRDefault="00B50C13" w:rsidP="00C83EE8">
            <w:pPr>
              <w:spacing w:after="0" w:line="240" w:lineRule="auto"/>
              <w:jc w:val="center"/>
              <w:rPr>
                <w:rFonts w:ascii="Arial" w:eastAsia="Times New Roman" w:hAnsi="Arial" w:cs="Arial"/>
                <w:b/>
                <w:sz w:val="20"/>
                <w:szCs w:val="20"/>
              </w:rPr>
            </w:pPr>
            <w:r w:rsidRPr="00E0246E">
              <w:rPr>
                <w:rFonts w:ascii="Arial" w:eastAsia="Times New Roman" w:hAnsi="Arial" w:cs="Arial"/>
                <w:b/>
                <w:sz w:val="20"/>
                <w:szCs w:val="20"/>
              </w:rPr>
              <w:t>Tekući plan</w:t>
            </w:r>
          </w:p>
          <w:p w14:paraId="1196ADAA" w14:textId="0D50DA4A" w:rsidR="00B50C13" w:rsidRPr="00E0246E" w:rsidRDefault="00B50C13" w:rsidP="00C83EE8">
            <w:pPr>
              <w:spacing w:after="0" w:line="240" w:lineRule="auto"/>
              <w:jc w:val="center"/>
              <w:rPr>
                <w:rFonts w:ascii="Arial" w:eastAsia="Times New Roman" w:hAnsi="Arial" w:cs="Arial"/>
                <w:b/>
                <w:sz w:val="20"/>
                <w:szCs w:val="20"/>
              </w:rPr>
            </w:pPr>
            <w:r>
              <w:rPr>
                <w:rFonts w:ascii="Arial" w:eastAsia="Times New Roman" w:hAnsi="Arial" w:cs="Arial"/>
                <w:b/>
                <w:sz w:val="20"/>
                <w:szCs w:val="20"/>
              </w:rPr>
              <w:t>20</w:t>
            </w:r>
            <w:r w:rsidR="00F236E0">
              <w:rPr>
                <w:rFonts w:ascii="Arial" w:eastAsia="Times New Roman" w:hAnsi="Arial" w:cs="Arial"/>
                <w:b/>
                <w:sz w:val="20"/>
                <w:szCs w:val="20"/>
              </w:rPr>
              <w:t>25</w:t>
            </w:r>
            <w:r w:rsidRPr="00E0246E">
              <w:rPr>
                <w:rFonts w:ascii="Arial" w:eastAsia="Times New Roman" w:hAnsi="Arial" w:cs="Arial"/>
                <w:b/>
                <w:sz w:val="20"/>
                <w:szCs w:val="20"/>
              </w:rPr>
              <w:t>.</w:t>
            </w:r>
          </w:p>
        </w:tc>
        <w:tc>
          <w:tcPr>
            <w:tcW w:w="2184" w:type="dxa"/>
            <w:tcBorders>
              <w:top w:val="single" w:sz="4" w:space="0" w:color="auto"/>
              <w:left w:val="nil"/>
              <w:bottom w:val="single" w:sz="4" w:space="0" w:color="auto"/>
              <w:right w:val="single" w:sz="4" w:space="0" w:color="auto"/>
            </w:tcBorders>
            <w:vAlign w:val="center"/>
            <w:hideMark/>
          </w:tcPr>
          <w:p w14:paraId="5C90FA9E" w14:textId="77777777" w:rsidR="00B50C13" w:rsidRPr="00E0246E" w:rsidRDefault="00B50C13" w:rsidP="00C83EE8">
            <w:pPr>
              <w:spacing w:after="0" w:line="240" w:lineRule="auto"/>
              <w:jc w:val="center"/>
              <w:rPr>
                <w:rFonts w:ascii="Arial" w:eastAsia="Times New Roman" w:hAnsi="Arial" w:cs="Arial"/>
                <w:b/>
                <w:sz w:val="20"/>
                <w:szCs w:val="20"/>
              </w:rPr>
            </w:pPr>
            <w:r w:rsidRPr="00E0246E">
              <w:rPr>
                <w:rFonts w:ascii="Arial" w:eastAsia="Times New Roman" w:hAnsi="Arial" w:cs="Arial"/>
                <w:b/>
                <w:sz w:val="20"/>
                <w:szCs w:val="20"/>
              </w:rPr>
              <w:t>Izvršenje</w:t>
            </w:r>
          </w:p>
          <w:p w14:paraId="40EB7184" w14:textId="0B727447" w:rsidR="00B50C13" w:rsidRPr="00E0246E" w:rsidRDefault="00F236E0" w:rsidP="00C83EE8">
            <w:pPr>
              <w:spacing w:after="0" w:line="240" w:lineRule="auto"/>
              <w:jc w:val="center"/>
              <w:rPr>
                <w:rFonts w:ascii="Arial" w:eastAsia="Times New Roman" w:hAnsi="Arial" w:cs="Arial"/>
                <w:b/>
                <w:sz w:val="20"/>
                <w:szCs w:val="20"/>
              </w:rPr>
            </w:pPr>
            <w:r>
              <w:rPr>
                <w:rFonts w:ascii="Arial" w:eastAsia="Times New Roman" w:hAnsi="Arial" w:cs="Arial"/>
                <w:b/>
                <w:sz w:val="20"/>
                <w:szCs w:val="20"/>
              </w:rPr>
              <w:t>1-6/2025.</w:t>
            </w:r>
            <w:r w:rsidR="00B50C13" w:rsidRPr="00E0246E">
              <w:rPr>
                <w:rFonts w:ascii="Arial" w:eastAsia="Times New Roman" w:hAnsi="Arial" w:cs="Arial"/>
                <w:b/>
                <w:sz w:val="20"/>
                <w:szCs w:val="20"/>
              </w:rPr>
              <w:t>.</w:t>
            </w:r>
          </w:p>
        </w:tc>
      </w:tr>
      <w:tr w:rsidR="00F236E0" w:rsidRPr="00E0246E" w14:paraId="7A44813E" w14:textId="77777777" w:rsidTr="00B50C13">
        <w:trPr>
          <w:trHeight w:val="288"/>
          <w:jc w:val="center"/>
        </w:trPr>
        <w:tc>
          <w:tcPr>
            <w:tcW w:w="4098" w:type="dxa"/>
            <w:tcBorders>
              <w:top w:val="single" w:sz="4" w:space="0" w:color="auto"/>
              <w:left w:val="single" w:sz="4" w:space="0" w:color="auto"/>
              <w:bottom w:val="single" w:sz="4" w:space="0" w:color="auto"/>
              <w:right w:val="single" w:sz="4" w:space="0" w:color="auto"/>
            </w:tcBorders>
            <w:hideMark/>
          </w:tcPr>
          <w:p w14:paraId="6620AB57" w14:textId="77777777" w:rsidR="00F236E0" w:rsidRPr="00E0246E" w:rsidRDefault="00F236E0" w:rsidP="00F236E0">
            <w:pPr>
              <w:spacing w:after="0" w:line="240" w:lineRule="auto"/>
              <w:rPr>
                <w:rFonts w:ascii="Arial" w:eastAsia="Times New Roman" w:hAnsi="Arial" w:cs="Arial"/>
                <w:sz w:val="20"/>
                <w:szCs w:val="20"/>
              </w:rPr>
            </w:pPr>
            <w:r w:rsidRPr="00E0246E">
              <w:rPr>
                <w:rFonts w:ascii="Arial" w:eastAsia="Times New Roman" w:hAnsi="Arial" w:cs="Arial"/>
                <w:sz w:val="20"/>
                <w:szCs w:val="20"/>
              </w:rPr>
              <w:t xml:space="preserve">Socijalna skrb </w:t>
            </w:r>
          </w:p>
        </w:tc>
        <w:tc>
          <w:tcPr>
            <w:tcW w:w="1900" w:type="dxa"/>
            <w:tcBorders>
              <w:top w:val="single" w:sz="4" w:space="0" w:color="auto"/>
              <w:left w:val="nil"/>
              <w:bottom w:val="single" w:sz="4" w:space="0" w:color="auto"/>
              <w:right w:val="single" w:sz="4" w:space="0" w:color="auto"/>
            </w:tcBorders>
          </w:tcPr>
          <w:p w14:paraId="0E5A237E" w14:textId="13A1BAC9" w:rsidR="00F236E0" w:rsidRPr="00745ECF" w:rsidRDefault="00F236E0" w:rsidP="00F236E0">
            <w:pPr>
              <w:spacing w:after="0" w:line="240" w:lineRule="auto"/>
              <w:jc w:val="center"/>
              <w:rPr>
                <w:rFonts w:ascii="Arial" w:eastAsia="Times New Roman" w:hAnsi="Arial" w:cs="Arial"/>
                <w:sz w:val="20"/>
                <w:szCs w:val="20"/>
              </w:rPr>
            </w:pPr>
            <w:r w:rsidRPr="00C06E46">
              <w:rPr>
                <w:rFonts w:ascii="Arial" w:eastAsia="Times New Roman" w:hAnsi="Arial" w:cs="Arial"/>
                <w:sz w:val="20"/>
                <w:szCs w:val="20"/>
              </w:rPr>
              <w:t>1.468.000,00</w:t>
            </w:r>
          </w:p>
        </w:tc>
        <w:tc>
          <w:tcPr>
            <w:tcW w:w="1984" w:type="dxa"/>
            <w:tcBorders>
              <w:top w:val="nil"/>
              <w:left w:val="single" w:sz="4" w:space="0" w:color="auto"/>
              <w:bottom w:val="single" w:sz="4" w:space="0" w:color="auto"/>
              <w:right w:val="single" w:sz="4" w:space="0" w:color="auto"/>
            </w:tcBorders>
            <w:noWrap/>
            <w:vAlign w:val="bottom"/>
            <w:hideMark/>
          </w:tcPr>
          <w:p w14:paraId="3310480E" w14:textId="69EAFC08" w:rsidR="00F236E0" w:rsidRPr="00745ECF" w:rsidRDefault="00F236E0" w:rsidP="00F236E0">
            <w:pPr>
              <w:spacing w:after="0" w:line="240" w:lineRule="auto"/>
              <w:jc w:val="center"/>
              <w:rPr>
                <w:rFonts w:ascii="Arial" w:eastAsia="Times New Roman" w:hAnsi="Arial" w:cs="Arial"/>
                <w:sz w:val="20"/>
                <w:szCs w:val="20"/>
              </w:rPr>
            </w:pPr>
            <w:r w:rsidRPr="002D19CB">
              <w:rPr>
                <w:rFonts w:ascii="Arial" w:eastAsia="Times New Roman" w:hAnsi="Arial" w:cs="Arial"/>
                <w:sz w:val="20"/>
                <w:szCs w:val="20"/>
              </w:rPr>
              <w:t>1.468.00,00</w:t>
            </w:r>
          </w:p>
        </w:tc>
        <w:tc>
          <w:tcPr>
            <w:tcW w:w="2184" w:type="dxa"/>
            <w:tcBorders>
              <w:top w:val="nil"/>
              <w:left w:val="nil"/>
              <w:bottom w:val="single" w:sz="4" w:space="0" w:color="auto"/>
              <w:right w:val="single" w:sz="4" w:space="0" w:color="auto"/>
            </w:tcBorders>
            <w:noWrap/>
            <w:vAlign w:val="bottom"/>
            <w:hideMark/>
          </w:tcPr>
          <w:p w14:paraId="12A90C2B" w14:textId="3337F3C7" w:rsidR="00F236E0" w:rsidRPr="00745ECF" w:rsidRDefault="00F236E0" w:rsidP="00F236E0">
            <w:pPr>
              <w:spacing w:after="0" w:line="240" w:lineRule="auto"/>
              <w:jc w:val="center"/>
              <w:rPr>
                <w:rFonts w:ascii="Arial" w:eastAsia="Times New Roman" w:hAnsi="Arial" w:cs="Arial"/>
                <w:sz w:val="20"/>
                <w:szCs w:val="20"/>
              </w:rPr>
            </w:pPr>
            <w:r w:rsidRPr="002D19CB">
              <w:rPr>
                <w:rFonts w:ascii="Arial" w:eastAsia="Times New Roman" w:hAnsi="Arial" w:cs="Arial"/>
                <w:sz w:val="20"/>
                <w:szCs w:val="20"/>
              </w:rPr>
              <w:t>696.228,97</w:t>
            </w:r>
          </w:p>
        </w:tc>
      </w:tr>
    </w:tbl>
    <w:p w14:paraId="311F2D7F" w14:textId="77777777" w:rsidR="00B50C13" w:rsidRDefault="00B50C13" w:rsidP="00F236E0">
      <w:pPr>
        <w:spacing w:after="0" w:line="240" w:lineRule="auto"/>
        <w:rPr>
          <w:rFonts w:ascii="Arial" w:hAnsi="Arial" w:cs="Arial"/>
        </w:rPr>
      </w:pPr>
    </w:p>
    <w:p w14:paraId="148773BF" w14:textId="77777777" w:rsidR="00F65E36" w:rsidRPr="003A2F86" w:rsidRDefault="00F65E36">
      <w:pPr>
        <w:pStyle w:val="Odlomakpopisa"/>
        <w:numPr>
          <w:ilvl w:val="0"/>
          <w:numId w:val="37"/>
        </w:numPr>
        <w:pBdr>
          <w:top w:val="single" w:sz="4" w:space="1" w:color="auto"/>
          <w:left w:val="single" w:sz="4" w:space="0" w:color="auto"/>
          <w:bottom w:val="single" w:sz="4" w:space="1" w:color="auto"/>
          <w:right w:val="single" w:sz="4" w:space="4" w:color="auto"/>
        </w:pBdr>
        <w:ind w:right="4783"/>
        <w:rPr>
          <w:rFonts w:ascii="Arial" w:eastAsia="Calibri" w:hAnsi="Arial" w:cs="Arial"/>
          <w:b/>
        </w:rPr>
      </w:pPr>
      <w:r w:rsidRPr="003A2F86">
        <w:rPr>
          <w:rFonts w:ascii="Arial" w:eastAsia="Calibri" w:hAnsi="Arial" w:cs="Arial"/>
          <w:b/>
        </w:rPr>
        <w:t>OBRAZLOŽENJE PROGRAMA</w:t>
      </w:r>
    </w:p>
    <w:p w14:paraId="1097A351" w14:textId="77777777" w:rsidR="00F65E36" w:rsidRPr="003A2F86" w:rsidRDefault="00F65E36" w:rsidP="00F65E36">
      <w:pPr>
        <w:spacing w:after="0" w:line="240" w:lineRule="auto"/>
        <w:rPr>
          <w:rFonts w:ascii="Arial" w:eastAsia="Calibri" w:hAnsi="Arial" w:cs="Arial"/>
        </w:rPr>
      </w:pPr>
    </w:p>
    <w:tbl>
      <w:tblPr>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38"/>
        <w:gridCol w:w="12445"/>
      </w:tblGrid>
      <w:tr w:rsidR="005F33F7" w:rsidRPr="003A2F86" w14:paraId="542ABD9A" w14:textId="77777777" w:rsidTr="00F65E36">
        <w:tc>
          <w:tcPr>
            <w:tcW w:w="1838" w:type="dxa"/>
          </w:tcPr>
          <w:p w14:paraId="24610A3B" w14:textId="77777777" w:rsidR="00F65E36" w:rsidRPr="003A2F86" w:rsidRDefault="00F65E36" w:rsidP="00F65E36">
            <w:pPr>
              <w:spacing w:after="0" w:line="240" w:lineRule="auto"/>
              <w:rPr>
                <w:rFonts w:ascii="Arial" w:eastAsia="Calibri" w:hAnsi="Arial" w:cs="Arial"/>
                <w:sz w:val="20"/>
                <w:szCs w:val="20"/>
              </w:rPr>
            </w:pPr>
            <w:r w:rsidRPr="003A2F86">
              <w:rPr>
                <w:rFonts w:ascii="Arial" w:eastAsia="Calibri" w:hAnsi="Arial" w:cs="Arial"/>
                <w:sz w:val="20"/>
                <w:szCs w:val="20"/>
              </w:rPr>
              <w:t>OPIS PROGRAMA:</w:t>
            </w:r>
          </w:p>
        </w:tc>
        <w:tc>
          <w:tcPr>
            <w:tcW w:w="12445" w:type="dxa"/>
          </w:tcPr>
          <w:p w14:paraId="39D24EED" w14:textId="77777777" w:rsidR="00F65E36" w:rsidRPr="003A2F86" w:rsidRDefault="00F65E36" w:rsidP="00F65E36">
            <w:pPr>
              <w:spacing w:after="0" w:line="240" w:lineRule="auto"/>
              <w:rPr>
                <w:rFonts w:ascii="Arial" w:eastAsia="Calibri" w:hAnsi="Arial" w:cs="Arial"/>
                <w:sz w:val="20"/>
                <w:szCs w:val="20"/>
              </w:rPr>
            </w:pPr>
            <w:r w:rsidRPr="003A2F86">
              <w:rPr>
                <w:rFonts w:ascii="Arial" w:eastAsia="Calibri" w:hAnsi="Arial" w:cs="Arial"/>
                <w:sz w:val="20"/>
                <w:szCs w:val="20"/>
              </w:rPr>
              <w:t>Cjelokupna djelatnost Doma temelji se na osnovnom programu socijalna skrb odnosno pružanje socijalnih usluga smještaja starijim i nemoćnim osobama, a to je i jedini program koji ustanova provodi. U okviru tog programa pružaju se usluge stanovanja, prehrane, brige o zdravlju, njege, održavanja osobne higijene, fizikalne terapije, usluge socijalnog rada, radnih aktivnosti i organiziranja slobodnog vremena. Program realiziraju djelatnici ustanove Doma za starije i nemoćne osobe Konavle: ravnateljica, socijalni radnik, voditelj računovodstva, računovodstveni referent, glavna medicinska sestra, medicinske sestre, fizioterapeut, njegovateljice, kućni majstor, kuhari, pomoćni kuhar, servirka, pralje, čistačice u okviru poslova i zadataka radnih mjesta na koje su raspoređeni.</w:t>
            </w:r>
          </w:p>
        </w:tc>
      </w:tr>
      <w:tr w:rsidR="005F33F7" w:rsidRPr="003A2F86" w14:paraId="0FDAA973" w14:textId="77777777" w:rsidTr="00B223BA">
        <w:tc>
          <w:tcPr>
            <w:tcW w:w="1838" w:type="dxa"/>
          </w:tcPr>
          <w:p w14:paraId="06B89F2E" w14:textId="77777777" w:rsidR="00F65E36" w:rsidRPr="003A2F86" w:rsidRDefault="00F65E36" w:rsidP="00F65E36">
            <w:pPr>
              <w:spacing w:after="0" w:line="240" w:lineRule="auto"/>
              <w:rPr>
                <w:rFonts w:ascii="Arial" w:eastAsia="Calibri" w:hAnsi="Arial" w:cs="Arial"/>
                <w:sz w:val="20"/>
                <w:szCs w:val="20"/>
              </w:rPr>
            </w:pPr>
            <w:r w:rsidRPr="003A2F86">
              <w:rPr>
                <w:rFonts w:ascii="Arial" w:eastAsia="Calibri" w:hAnsi="Arial" w:cs="Arial"/>
                <w:sz w:val="20"/>
                <w:szCs w:val="20"/>
              </w:rPr>
              <w:lastRenderedPageBreak/>
              <w:t>ZAKONSKE I DRUGE PRAVNE OSNOVE PROGRAMA:</w:t>
            </w:r>
          </w:p>
        </w:tc>
        <w:tc>
          <w:tcPr>
            <w:tcW w:w="12445" w:type="dxa"/>
            <w:tcBorders>
              <w:top w:val="dotted" w:sz="4" w:space="0" w:color="auto"/>
              <w:left w:val="dotted" w:sz="4" w:space="0" w:color="auto"/>
              <w:bottom w:val="dotted" w:sz="4" w:space="0" w:color="auto"/>
              <w:right w:val="dotted" w:sz="4" w:space="0" w:color="auto"/>
            </w:tcBorders>
          </w:tcPr>
          <w:p w14:paraId="73BF6034" w14:textId="585774B8" w:rsidR="00F65E36" w:rsidRPr="003A2F86" w:rsidRDefault="00F65E36" w:rsidP="00F65E36">
            <w:pPr>
              <w:autoSpaceDE w:val="0"/>
              <w:autoSpaceDN w:val="0"/>
              <w:adjustRightInd w:val="0"/>
              <w:spacing w:after="0" w:line="240" w:lineRule="auto"/>
              <w:rPr>
                <w:rFonts w:ascii="Arial" w:hAnsi="Arial" w:cs="Arial"/>
                <w:sz w:val="20"/>
                <w:szCs w:val="20"/>
              </w:rPr>
            </w:pPr>
            <w:r w:rsidRPr="003A2F86">
              <w:rPr>
                <w:rFonts w:ascii="Arial" w:eastAsia="Times New Roman" w:hAnsi="Arial" w:cs="Arial"/>
                <w:sz w:val="20"/>
                <w:szCs w:val="20"/>
              </w:rPr>
              <w:t>Zakon o lokalnoj i područnoj (regionalnoj) samoupravi (NN 33/01,60/01,129/05, 109/07,125/08, 36/09, 150/11, 144/12, 19/13, 137/15, 123/17, 98/19, 144/20), Zakon o zdravstvenoj zaštiti (NN 100/18, 125/19, 147/20, 119/22, 156/22, 33/23</w:t>
            </w:r>
            <w:r w:rsidR="005F33F7" w:rsidRPr="003A2F86">
              <w:rPr>
                <w:rFonts w:ascii="Arial" w:eastAsia="Times New Roman" w:hAnsi="Arial" w:cs="Arial"/>
                <w:sz w:val="20"/>
                <w:szCs w:val="20"/>
              </w:rPr>
              <w:t>, 36/24</w:t>
            </w:r>
            <w:r w:rsidRPr="003A2F86">
              <w:rPr>
                <w:rFonts w:ascii="Arial" w:eastAsia="Times New Roman" w:hAnsi="Arial" w:cs="Arial"/>
                <w:sz w:val="20"/>
                <w:szCs w:val="20"/>
              </w:rPr>
              <w:t>), Zakon o ustanovama (NN 76/93, 29/97, 47/99, 35/08, 127/19, 151/22), Zakon o socijalnoj skrbi (Narodne novine 18/22, 46/22, 119/22, 71/23</w:t>
            </w:r>
            <w:r w:rsidR="0044099F" w:rsidRPr="003A2F86">
              <w:rPr>
                <w:rFonts w:ascii="Arial" w:eastAsia="Times New Roman" w:hAnsi="Arial" w:cs="Arial"/>
                <w:sz w:val="20"/>
                <w:szCs w:val="20"/>
              </w:rPr>
              <w:t>, 156/23</w:t>
            </w:r>
            <w:r w:rsidR="00B50C13">
              <w:rPr>
                <w:rFonts w:ascii="Arial" w:eastAsia="Times New Roman" w:hAnsi="Arial" w:cs="Arial"/>
                <w:sz w:val="20"/>
                <w:szCs w:val="20"/>
              </w:rPr>
              <w:t>, 61/25</w:t>
            </w:r>
            <w:r w:rsidRPr="003A2F86">
              <w:rPr>
                <w:rFonts w:ascii="Arial" w:eastAsia="Times New Roman" w:hAnsi="Arial" w:cs="Arial"/>
                <w:sz w:val="20"/>
                <w:szCs w:val="20"/>
              </w:rPr>
              <w:t>), Pravilnik o minimalnim uvjetima za pružanje socijalnih usluga, Pravilnik o vođenju evidencije i dokumentacije socijalne skrbi te načinu i rokovima za dostavu izvješća o korisnicima, vrstama usluga i drugim pitanjima, Zakon o kvaliteti zdravstvene zaštite i socijalne skrbi, Statut Ustanove, Statut Općine i drugi akti</w:t>
            </w:r>
          </w:p>
        </w:tc>
      </w:tr>
      <w:tr w:rsidR="0044099F" w:rsidRPr="003A2F86" w14:paraId="4FD0A9A8" w14:textId="77777777" w:rsidTr="00F65E36">
        <w:tc>
          <w:tcPr>
            <w:tcW w:w="1838" w:type="dxa"/>
            <w:vAlign w:val="bottom"/>
          </w:tcPr>
          <w:p w14:paraId="52A34C4F" w14:textId="77777777" w:rsidR="00F65E36" w:rsidRPr="003A2F86" w:rsidRDefault="00F65E36" w:rsidP="00F65E36">
            <w:pPr>
              <w:spacing w:after="0" w:line="240" w:lineRule="auto"/>
              <w:rPr>
                <w:rFonts w:ascii="Arial" w:eastAsia="Calibri" w:hAnsi="Arial" w:cs="Arial"/>
                <w:sz w:val="20"/>
                <w:szCs w:val="20"/>
              </w:rPr>
            </w:pPr>
            <w:r w:rsidRPr="003A2F86">
              <w:rPr>
                <w:rFonts w:ascii="Arial" w:eastAsia="Calibri" w:hAnsi="Arial" w:cs="Arial"/>
                <w:sz w:val="20"/>
                <w:szCs w:val="20"/>
              </w:rPr>
              <w:t>CILJEVI PROVEDBE PROGRAMA:</w:t>
            </w:r>
          </w:p>
        </w:tc>
        <w:tc>
          <w:tcPr>
            <w:tcW w:w="12445" w:type="dxa"/>
            <w:vAlign w:val="bottom"/>
          </w:tcPr>
          <w:p w14:paraId="5DB360FE" w14:textId="77777777" w:rsidR="00F65E36" w:rsidRPr="003A2F86" w:rsidRDefault="00F65E36" w:rsidP="00F65E36">
            <w:pPr>
              <w:spacing w:after="0" w:line="240" w:lineRule="auto"/>
              <w:rPr>
                <w:rFonts w:ascii="Arial" w:eastAsia="Calibri" w:hAnsi="Arial" w:cs="Arial"/>
                <w:sz w:val="20"/>
                <w:szCs w:val="20"/>
              </w:rPr>
            </w:pPr>
            <w:r w:rsidRPr="003A2F86">
              <w:rPr>
                <w:rFonts w:ascii="Arial" w:eastAsia="Calibri" w:hAnsi="Arial" w:cs="Arial"/>
                <w:sz w:val="20"/>
                <w:szCs w:val="20"/>
              </w:rPr>
              <w:t xml:space="preserve">Primarni cilj - 100% popunjenost smještajnog kapaciteta. U ovim trenucima ovaj cilj ostvareni svi smještajni kapaciteti su popunjeni, a cilj je održati tu popunjenost i dalje. </w:t>
            </w:r>
          </w:p>
          <w:p w14:paraId="459CD880" w14:textId="77777777" w:rsidR="00F65E36" w:rsidRPr="003A2F86" w:rsidRDefault="00F65E36" w:rsidP="00F65E36">
            <w:pPr>
              <w:spacing w:after="0" w:line="240" w:lineRule="auto"/>
              <w:rPr>
                <w:rFonts w:ascii="Arial" w:eastAsia="Calibri" w:hAnsi="Arial" w:cs="Arial"/>
                <w:sz w:val="20"/>
                <w:szCs w:val="20"/>
              </w:rPr>
            </w:pPr>
          </w:p>
          <w:p w14:paraId="62D95658" w14:textId="77777777" w:rsidR="003C2C49" w:rsidRPr="003A2F86" w:rsidRDefault="003C2C49" w:rsidP="003C2C49">
            <w:pPr>
              <w:spacing w:after="0" w:line="240" w:lineRule="auto"/>
              <w:rPr>
                <w:rFonts w:ascii="Arial" w:eastAsia="Calibri" w:hAnsi="Arial" w:cs="Arial"/>
                <w:sz w:val="20"/>
                <w:szCs w:val="20"/>
              </w:rPr>
            </w:pPr>
            <w:r w:rsidRPr="003A2F86">
              <w:rPr>
                <w:rFonts w:ascii="Arial" w:eastAsia="Calibri" w:hAnsi="Arial" w:cs="Arial"/>
                <w:sz w:val="20"/>
                <w:szCs w:val="20"/>
              </w:rPr>
              <w:t xml:space="preserve">Cilj je nastaviti na podizanju kvalitete skrbi na višu razinu i to stalnim usavršavanjem osoblja te podizanjem materijalnih i drugih uvjeta prema mogućnostima kako bi stvorili zdravo i ugodno okruženje koje će nuditi vrhunski smještaj, medicinsku njegu i prehranu. </w:t>
            </w:r>
          </w:p>
          <w:p w14:paraId="46D25538" w14:textId="77777777" w:rsidR="003C2C49" w:rsidRPr="003A2F86" w:rsidRDefault="003C2C49" w:rsidP="003C2C49">
            <w:pPr>
              <w:spacing w:after="0" w:line="240" w:lineRule="auto"/>
              <w:rPr>
                <w:rFonts w:ascii="Arial" w:eastAsia="Calibri" w:hAnsi="Arial" w:cs="Arial"/>
                <w:sz w:val="20"/>
                <w:szCs w:val="20"/>
              </w:rPr>
            </w:pPr>
          </w:p>
          <w:p w14:paraId="0E1C2ABA" w14:textId="2BAED074" w:rsidR="003C2C49" w:rsidRPr="003A2F86" w:rsidRDefault="003C2C49" w:rsidP="003C2C49">
            <w:pPr>
              <w:spacing w:after="0" w:line="240" w:lineRule="auto"/>
              <w:rPr>
                <w:rFonts w:ascii="Arial" w:eastAsia="Calibri" w:hAnsi="Arial" w:cs="Arial"/>
                <w:sz w:val="20"/>
                <w:szCs w:val="20"/>
              </w:rPr>
            </w:pPr>
            <w:r w:rsidRPr="003A2F86">
              <w:rPr>
                <w:rFonts w:ascii="Arial" w:eastAsia="Calibri" w:hAnsi="Arial" w:cs="Arial"/>
                <w:sz w:val="20"/>
                <w:szCs w:val="20"/>
              </w:rPr>
              <w:t>Svakodnevnim radi se na poboljšanju kvalitetnog i profesionalnog pružanja socijalnih usluga korisnicima. Aktivnosti kojima će se ovaj cilj ostvariti:</w:t>
            </w:r>
          </w:p>
          <w:p w14:paraId="325B6EF1" w14:textId="77777777" w:rsidR="003C2C49" w:rsidRPr="003A2F86" w:rsidRDefault="003C2C49" w:rsidP="003C2C49">
            <w:pPr>
              <w:spacing w:after="0" w:line="240" w:lineRule="auto"/>
              <w:rPr>
                <w:rFonts w:ascii="Arial" w:eastAsia="Calibri" w:hAnsi="Arial" w:cs="Arial"/>
                <w:sz w:val="20"/>
                <w:szCs w:val="20"/>
              </w:rPr>
            </w:pPr>
            <w:r w:rsidRPr="003A2F86">
              <w:rPr>
                <w:rFonts w:ascii="Arial" w:eastAsia="Calibri" w:hAnsi="Arial" w:cs="Arial"/>
                <w:sz w:val="20"/>
                <w:szCs w:val="20"/>
              </w:rPr>
              <w:t>-</w:t>
            </w:r>
            <w:r w:rsidRPr="003A2F86">
              <w:rPr>
                <w:rFonts w:ascii="Arial" w:eastAsia="Calibri" w:hAnsi="Arial" w:cs="Arial"/>
                <w:sz w:val="20"/>
                <w:szCs w:val="20"/>
              </w:rPr>
              <w:tab/>
              <w:t>podizanje kvalitete i standarda života korisnika u Domu</w:t>
            </w:r>
          </w:p>
          <w:p w14:paraId="78BBCEBE" w14:textId="77777777" w:rsidR="003C2C49" w:rsidRPr="003A2F86" w:rsidRDefault="003C2C49" w:rsidP="003C2C49">
            <w:pPr>
              <w:spacing w:after="0" w:line="240" w:lineRule="auto"/>
              <w:rPr>
                <w:rFonts w:ascii="Arial" w:eastAsia="Calibri" w:hAnsi="Arial" w:cs="Arial"/>
                <w:sz w:val="20"/>
                <w:szCs w:val="20"/>
              </w:rPr>
            </w:pPr>
            <w:r w:rsidRPr="003A2F86">
              <w:rPr>
                <w:rFonts w:ascii="Arial" w:eastAsia="Calibri" w:hAnsi="Arial" w:cs="Arial"/>
                <w:sz w:val="20"/>
                <w:szCs w:val="20"/>
              </w:rPr>
              <w:t>-</w:t>
            </w:r>
            <w:r w:rsidRPr="003A2F86">
              <w:rPr>
                <w:rFonts w:ascii="Arial" w:eastAsia="Calibri" w:hAnsi="Arial" w:cs="Arial"/>
                <w:sz w:val="20"/>
                <w:szCs w:val="20"/>
              </w:rPr>
              <w:tab/>
              <w:t>podizanje kvalitete i standarda pružene zdravstvene usluge i usluge njege</w:t>
            </w:r>
          </w:p>
          <w:p w14:paraId="57F73BE5" w14:textId="77777777" w:rsidR="003C2C49" w:rsidRPr="003A2F86" w:rsidRDefault="003C2C49" w:rsidP="003C2C49">
            <w:pPr>
              <w:spacing w:after="0" w:line="240" w:lineRule="auto"/>
              <w:rPr>
                <w:rFonts w:ascii="Arial" w:eastAsia="Calibri" w:hAnsi="Arial" w:cs="Arial"/>
                <w:sz w:val="20"/>
                <w:szCs w:val="20"/>
              </w:rPr>
            </w:pPr>
            <w:r w:rsidRPr="003A2F86">
              <w:rPr>
                <w:rFonts w:ascii="Arial" w:eastAsia="Calibri" w:hAnsi="Arial" w:cs="Arial"/>
                <w:sz w:val="20"/>
                <w:szCs w:val="20"/>
              </w:rPr>
              <w:t>-</w:t>
            </w:r>
            <w:r w:rsidRPr="003A2F86">
              <w:rPr>
                <w:rFonts w:ascii="Arial" w:eastAsia="Calibri" w:hAnsi="Arial" w:cs="Arial"/>
                <w:sz w:val="20"/>
                <w:szCs w:val="20"/>
              </w:rPr>
              <w:tab/>
              <w:t>podizanje kvalitete usluge socijalnog rada i radne terapije</w:t>
            </w:r>
          </w:p>
          <w:p w14:paraId="42C1972F" w14:textId="77777777" w:rsidR="003C2C49" w:rsidRPr="003A2F86" w:rsidRDefault="003C2C49" w:rsidP="003C2C49">
            <w:pPr>
              <w:spacing w:after="0" w:line="240" w:lineRule="auto"/>
              <w:rPr>
                <w:rFonts w:ascii="Arial" w:eastAsia="Calibri" w:hAnsi="Arial" w:cs="Arial"/>
                <w:sz w:val="20"/>
                <w:szCs w:val="20"/>
              </w:rPr>
            </w:pPr>
            <w:r w:rsidRPr="003A2F86">
              <w:rPr>
                <w:rFonts w:ascii="Arial" w:eastAsia="Calibri" w:hAnsi="Arial" w:cs="Arial"/>
                <w:sz w:val="20"/>
                <w:szCs w:val="20"/>
              </w:rPr>
              <w:t>-</w:t>
            </w:r>
            <w:r w:rsidRPr="003A2F86">
              <w:rPr>
                <w:rFonts w:ascii="Arial" w:eastAsia="Calibri" w:hAnsi="Arial" w:cs="Arial"/>
                <w:sz w:val="20"/>
                <w:szCs w:val="20"/>
              </w:rPr>
              <w:tab/>
              <w:t>poboljšanje organiziranja odvijanja svih poslovnih funkcija u Domu i kontinuirani nadzor nad kvalitetom rada svakog odjela</w:t>
            </w:r>
          </w:p>
          <w:p w14:paraId="17D1BB7F" w14:textId="77777777" w:rsidR="003C2C49" w:rsidRPr="003A2F86" w:rsidRDefault="003C2C49" w:rsidP="003C2C49">
            <w:pPr>
              <w:spacing w:after="0" w:line="240" w:lineRule="auto"/>
              <w:rPr>
                <w:rFonts w:ascii="Arial" w:eastAsia="Calibri" w:hAnsi="Arial" w:cs="Arial"/>
                <w:sz w:val="20"/>
                <w:szCs w:val="20"/>
              </w:rPr>
            </w:pPr>
            <w:r w:rsidRPr="003A2F86">
              <w:rPr>
                <w:rFonts w:ascii="Arial" w:eastAsia="Calibri" w:hAnsi="Arial" w:cs="Arial"/>
                <w:sz w:val="20"/>
                <w:szCs w:val="20"/>
              </w:rPr>
              <w:t>-</w:t>
            </w:r>
            <w:r w:rsidRPr="003A2F86">
              <w:rPr>
                <w:rFonts w:ascii="Arial" w:eastAsia="Calibri" w:hAnsi="Arial" w:cs="Arial"/>
                <w:sz w:val="20"/>
                <w:szCs w:val="20"/>
              </w:rPr>
              <w:tab/>
              <w:t>povećanje stručnih osposobljavanja zaposlenika, omogućavanje zapošljavanja mladim i obrazovanim osobama iz područja ekonomskih znanosti, zdravstvene skrbi, socijalnog rada radi stjecanja iskustva,</w:t>
            </w:r>
          </w:p>
          <w:p w14:paraId="63F1D6F7" w14:textId="6412AD4F" w:rsidR="00F65E36" w:rsidRPr="003A2F86" w:rsidRDefault="003C2C49" w:rsidP="003C2C49">
            <w:pPr>
              <w:autoSpaceDE w:val="0"/>
              <w:autoSpaceDN w:val="0"/>
              <w:adjustRightInd w:val="0"/>
              <w:spacing w:after="0" w:line="240" w:lineRule="auto"/>
              <w:rPr>
                <w:rFonts w:ascii="Arial" w:eastAsia="Calibri" w:hAnsi="Arial" w:cs="Arial"/>
                <w:sz w:val="20"/>
                <w:szCs w:val="20"/>
              </w:rPr>
            </w:pPr>
            <w:r w:rsidRPr="003A2F86">
              <w:rPr>
                <w:rFonts w:ascii="Arial" w:eastAsia="Calibri" w:hAnsi="Arial" w:cs="Arial"/>
                <w:sz w:val="20"/>
                <w:szCs w:val="20"/>
              </w:rPr>
              <w:t>-</w:t>
            </w:r>
            <w:r w:rsidRPr="003A2F86">
              <w:rPr>
                <w:rFonts w:ascii="Arial" w:eastAsia="Calibri" w:hAnsi="Arial" w:cs="Arial"/>
                <w:sz w:val="20"/>
                <w:szCs w:val="20"/>
              </w:rPr>
              <w:tab/>
              <w:t>povećanje broja suradnji s volonterima, suradnji s dječjim vrtićima i osnovnim školama, ustanovom Muzeji i galerije Konavala, kulturno-umjetničkim društvima (zborovima, folklornim društvima, klapama, dramskim grupama), suradnja s drugim domovima.</w:t>
            </w:r>
          </w:p>
        </w:tc>
      </w:tr>
    </w:tbl>
    <w:p w14:paraId="16A7F216" w14:textId="77777777" w:rsidR="00B6707A" w:rsidRPr="003A2F86" w:rsidRDefault="00B6707A" w:rsidP="00F65E36">
      <w:pPr>
        <w:spacing w:after="0" w:line="240" w:lineRule="auto"/>
        <w:rPr>
          <w:rFonts w:ascii="Arial" w:eastAsia="Calibri" w:hAnsi="Arial" w:cs="Arial"/>
        </w:rPr>
      </w:pPr>
    </w:p>
    <w:p w14:paraId="6B1D3FF3" w14:textId="77777777" w:rsidR="00F65E36" w:rsidRPr="003A2F86" w:rsidRDefault="00F65E36">
      <w:pPr>
        <w:pStyle w:val="Odlomakpopisa"/>
        <w:numPr>
          <w:ilvl w:val="0"/>
          <w:numId w:val="3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3A2F86">
        <w:rPr>
          <w:rFonts w:ascii="Arial" w:eastAsia="Calibri" w:hAnsi="Arial" w:cs="Arial"/>
          <w:b/>
        </w:rPr>
        <w:t>Procjena i ishodište potrebnih sredstava za aktivnosti unutar programa</w:t>
      </w:r>
    </w:p>
    <w:p w14:paraId="5C2B3B92" w14:textId="77777777" w:rsidR="00F65E36" w:rsidRPr="003A2F86" w:rsidRDefault="00F65E36" w:rsidP="00F65E36">
      <w:pPr>
        <w:spacing w:after="0" w:line="240" w:lineRule="auto"/>
        <w:rPr>
          <w:rFonts w:ascii="Arial" w:eastAsia="Calibri" w:hAnsi="Arial" w:cs="Arial"/>
        </w:rPr>
      </w:pPr>
    </w:p>
    <w:bookmarkEnd w:id="358"/>
    <w:p w14:paraId="75DD221D" w14:textId="28D25D96" w:rsidR="00522833" w:rsidRPr="003A2F86" w:rsidRDefault="00EF35EC" w:rsidP="00522833">
      <w:pPr>
        <w:spacing w:after="0" w:line="240" w:lineRule="auto"/>
        <w:jc w:val="both"/>
        <w:rPr>
          <w:rFonts w:ascii="Arial" w:eastAsia="Calibri" w:hAnsi="Arial" w:cs="Arial"/>
          <w:sz w:val="20"/>
          <w:szCs w:val="20"/>
        </w:rPr>
      </w:pPr>
      <w:r w:rsidRPr="003A2F86">
        <w:rPr>
          <w:rFonts w:ascii="Arial" w:eastAsia="Calibri" w:hAnsi="Arial" w:cs="Arial"/>
          <w:sz w:val="20"/>
          <w:szCs w:val="20"/>
        </w:rPr>
        <w:t>Izvršenje aktivnosti sadržanih u ovom programu za 2013.-202</w:t>
      </w:r>
      <w:r w:rsidR="005E3586">
        <w:rPr>
          <w:rFonts w:ascii="Arial" w:eastAsia="Calibri" w:hAnsi="Arial" w:cs="Arial"/>
          <w:sz w:val="20"/>
          <w:szCs w:val="20"/>
        </w:rPr>
        <w:t>4</w:t>
      </w:r>
      <w:r w:rsidRPr="003A2F86">
        <w:rPr>
          <w:rFonts w:ascii="Arial" w:eastAsia="Calibri" w:hAnsi="Arial" w:cs="Arial"/>
          <w:sz w:val="20"/>
          <w:szCs w:val="20"/>
        </w:rPr>
        <w:t>., plan za 202</w:t>
      </w:r>
      <w:r w:rsidR="005E3586">
        <w:rPr>
          <w:rFonts w:ascii="Arial" w:eastAsia="Calibri" w:hAnsi="Arial" w:cs="Arial"/>
          <w:sz w:val="20"/>
          <w:szCs w:val="20"/>
        </w:rPr>
        <w:t>5</w:t>
      </w:r>
      <w:r w:rsidRPr="003A2F86">
        <w:rPr>
          <w:rFonts w:ascii="Arial" w:eastAsia="Calibri" w:hAnsi="Arial" w:cs="Arial"/>
          <w:sz w:val="20"/>
          <w:szCs w:val="20"/>
        </w:rPr>
        <w:t xml:space="preserve">., izvršenje za </w:t>
      </w:r>
      <w:r w:rsidR="00BE41A8">
        <w:rPr>
          <w:rFonts w:ascii="Arial" w:eastAsia="Calibri" w:hAnsi="Arial" w:cs="Arial"/>
          <w:sz w:val="20"/>
          <w:szCs w:val="20"/>
        </w:rPr>
        <w:t>1-6/</w:t>
      </w:r>
      <w:r w:rsidRPr="003A2F86">
        <w:rPr>
          <w:rFonts w:ascii="Arial" w:eastAsia="Calibri" w:hAnsi="Arial" w:cs="Arial"/>
          <w:sz w:val="20"/>
          <w:szCs w:val="20"/>
        </w:rPr>
        <w:t>202</w:t>
      </w:r>
      <w:r w:rsidR="005E3586">
        <w:rPr>
          <w:rFonts w:ascii="Arial" w:eastAsia="Calibri" w:hAnsi="Arial" w:cs="Arial"/>
          <w:sz w:val="20"/>
          <w:szCs w:val="20"/>
        </w:rPr>
        <w:t>5</w:t>
      </w:r>
      <w:r w:rsidRPr="003A2F86">
        <w:rPr>
          <w:rFonts w:ascii="Arial" w:eastAsia="Calibri" w:hAnsi="Arial" w:cs="Arial"/>
          <w:sz w:val="20"/>
          <w:szCs w:val="20"/>
        </w:rPr>
        <w:t>., projekcije za 202</w:t>
      </w:r>
      <w:r w:rsidR="005E3586">
        <w:rPr>
          <w:rFonts w:ascii="Arial" w:eastAsia="Calibri" w:hAnsi="Arial" w:cs="Arial"/>
          <w:sz w:val="20"/>
          <w:szCs w:val="20"/>
        </w:rPr>
        <w:t>6</w:t>
      </w:r>
      <w:r w:rsidRPr="003A2F86">
        <w:rPr>
          <w:rFonts w:ascii="Arial" w:eastAsia="Calibri" w:hAnsi="Arial" w:cs="Arial"/>
          <w:sz w:val="20"/>
          <w:szCs w:val="20"/>
        </w:rPr>
        <w:t>.-202</w:t>
      </w:r>
      <w:r w:rsidR="005E3586">
        <w:rPr>
          <w:rFonts w:ascii="Arial" w:eastAsia="Calibri" w:hAnsi="Arial" w:cs="Arial"/>
          <w:sz w:val="20"/>
          <w:szCs w:val="20"/>
        </w:rPr>
        <w:t>7</w:t>
      </w:r>
      <w:r w:rsidRPr="003A2F86">
        <w:rPr>
          <w:rFonts w:ascii="Arial" w:eastAsia="Calibri" w:hAnsi="Arial" w:cs="Arial"/>
          <w:sz w:val="20"/>
          <w:szCs w:val="20"/>
        </w:rPr>
        <w:t>. iskazuju se u valuti EURO kako slijedi:</w:t>
      </w:r>
    </w:p>
    <w:p w14:paraId="6C6E44CB" w14:textId="77777777" w:rsidR="00B656D0" w:rsidRPr="003A2F86" w:rsidRDefault="00B656D0" w:rsidP="00522833">
      <w:pPr>
        <w:spacing w:after="0" w:line="240" w:lineRule="auto"/>
        <w:jc w:val="both"/>
        <w:rPr>
          <w:rFonts w:ascii="Arial" w:eastAsia="Calibri" w:hAnsi="Arial" w:cs="Arial"/>
          <w:sz w:val="20"/>
          <w:szCs w:val="20"/>
        </w:rPr>
      </w:pPr>
    </w:p>
    <w:p w14:paraId="7C608DFF" w14:textId="75125627" w:rsidR="005F33F7" w:rsidRDefault="005F33F7" w:rsidP="003752B9">
      <w:pPr>
        <w:spacing w:after="0" w:line="240" w:lineRule="auto"/>
        <w:rPr>
          <w:noProof/>
        </w:rPr>
      </w:pPr>
    </w:p>
    <w:p w14:paraId="5AADBA6E" w14:textId="77777777" w:rsidR="008622B4" w:rsidRDefault="008622B4" w:rsidP="003752B9">
      <w:pPr>
        <w:spacing w:after="0" w:line="240" w:lineRule="auto"/>
        <w:rPr>
          <w:noProof/>
        </w:rPr>
      </w:pPr>
    </w:p>
    <w:p w14:paraId="29D41C94" w14:textId="17123ABF" w:rsidR="008622B4" w:rsidRPr="003A2F86" w:rsidRDefault="003D3A7A" w:rsidP="003752B9">
      <w:pPr>
        <w:spacing w:after="0" w:line="240" w:lineRule="auto"/>
        <w:rPr>
          <w:rFonts w:ascii="Arial" w:eastAsia="Calibri" w:hAnsi="Arial" w:cs="Arial"/>
          <w:color w:val="C00000"/>
          <w:sz w:val="20"/>
          <w:szCs w:val="20"/>
        </w:rPr>
      </w:pPr>
      <w:r w:rsidRPr="003D3A7A">
        <w:rPr>
          <w:noProof/>
        </w:rPr>
        <w:lastRenderedPageBreak/>
        <w:drawing>
          <wp:inline distT="0" distB="0" distL="0" distR="0" wp14:anchorId="3E7AE0A9" wp14:editId="6456B6B8">
            <wp:extent cx="9251950" cy="2085340"/>
            <wp:effectExtent l="0" t="0" r="6350" b="0"/>
            <wp:docPr id="1514610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251950" cy="2085340"/>
                    </a:xfrm>
                    <a:prstGeom prst="rect">
                      <a:avLst/>
                    </a:prstGeom>
                    <a:noFill/>
                    <a:ln>
                      <a:noFill/>
                    </a:ln>
                  </pic:spPr>
                </pic:pic>
              </a:graphicData>
            </a:graphic>
          </wp:inline>
        </w:drawing>
      </w:r>
    </w:p>
    <w:p w14:paraId="74DAF25A" w14:textId="77777777" w:rsidR="00E86585" w:rsidRPr="003A2F86" w:rsidRDefault="00E86585" w:rsidP="00E86585">
      <w:pPr>
        <w:shd w:val="clear" w:color="auto" w:fill="FFFFFF"/>
        <w:spacing w:after="0" w:line="240" w:lineRule="auto"/>
        <w:jc w:val="right"/>
        <w:rPr>
          <w:rFonts w:ascii="Arial" w:hAnsi="Arial" w:cs="Arial"/>
          <w:sz w:val="20"/>
          <w:szCs w:val="20"/>
        </w:rPr>
      </w:pPr>
      <w:r w:rsidRPr="003A2F86">
        <w:rPr>
          <w:rFonts w:ascii="Arial" w:hAnsi="Arial" w:cs="Arial"/>
          <w:b/>
          <w:sz w:val="20"/>
          <w:szCs w:val="20"/>
        </w:rPr>
        <w:t>RAZLOG ODSTUPANJA OD PROŠLOGODIŠNJIH PROJEKCIJA</w:t>
      </w:r>
      <w:r w:rsidRPr="003A2F86">
        <w:rPr>
          <w:rFonts w:ascii="Arial" w:hAnsi="Arial" w:cs="Arial"/>
          <w:sz w:val="20"/>
          <w:szCs w:val="20"/>
        </w:rPr>
        <w:t xml:space="preserve">: </w:t>
      </w:r>
    </w:p>
    <w:p w14:paraId="0E9064CE" w14:textId="77777777" w:rsidR="00E86585" w:rsidRPr="003A2F86" w:rsidRDefault="00E86585" w:rsidP="00E86585">
      <w:pPr>
        <w:shd w:val="clear" w:color="auto" w:fill="FFFFFF"/>
        <w:spacing w:after="0" w:line="240" w:lineRule="auto"/>
        <w:jc w:val="right"/>
        <w:rPr>
          <w:rFonts w:ascii="Arial" w:hAnsi="Arial" w:cs="Arial"/>
          <w:sz w:val="20"/>
          <w:szCs w:val="20"/>
        </w:rPr>
      </w:pPr>
      <w:r w:rsidRPr="003A2F86">
        <w:rPr>
          <w:rFonts w:ascii="Arial" w:hAnsi="Arial" w:cs="Arial"/>
          <w:sz w:val="20"/>
          <w:szCs w:val="20"/>
        </w:rPr>
        <w:t>Po navedenom programu nije bilo značajnijih odstupanja.</w:t>
      </w:r>
    </w:p>
    <w:p w14:paraId="5477DAEC" w14:textId="77777777" w:rsidR="00E86585" w:rsidRPr="00B50C13" w:rsidRDefault="00E86585" w:rsidP="00E86585">
      <w:pPr>
        <w:spacing w:after="0" w:line="240" w:lineRule="auto"/>
        <w:rPr>
          <w:rFonts w:ascii="Arial" w:eastAsia="Calibri" w:hAnsi="Arial" w:cs="Arial"/>
          <w:sz w:val="20"/>
          <w:szCs w:val="20"/>
        </w:rPr>
      </w:pPr>
    </w:p>
    <w:p w14:paraId="15167065" w14:textId="77777777" w:rsidR="00E86585" w:rsidRPr="00B50C13" w:rsidRDefault="00E86585" w:rsidP="00E86585">
      <w:pPr>
        <w:spacing w:after="0" w:line="240" w:lineRule="auto"/>
        <w:rPr>
          <w:rFonts w:ascii="Arial" w:eastAsia="Calibri" w:hAnsi="Arial" w:cs="Arial"/>
          <w:i/>
          <w:sz w:val="20"/>
          <w:szCs w:val="20"/>
        </w:rPr>
      </w:pPr>
      <w:r w:rsidRPr="00B50C13">
        <w:rPr>
          <w:rFonts w:ascii="Arial" w:eastAsia="Calibri" w:hAnsi="Arial" w:cs="Arial"/>
          <w:b/>
          <w:sz w:val="20"/>
          <w:szCs w:val="20"/>
        </w:rPr>
        <w:t>Ishodište i pokazatelji na kojima se zasnivaju izračuni i ocjene</w:t>
      </w:r>
      <w:r w:rsidRPr="00B50C13">
        <w:rPr>
          <w:rFonts w:ascii="Arial" w:eastAsia="Calibri" w:hAnsi="Arial" w:cs="Arial"/>
          <w:sz w:val="20"/>
          <w:szCs w:val="20"/>
        </w:rPr>
        <w:t xml:space="preserve"> </w:t>
      </w:r>
      <w:r w:rsidRPr="00B50C13">
        <w:rPr>
          <w:rFonts w:ascii="Arial" w:eastAsia="Calibri" w:hAnsi="Arial" w:cs="Arial"/>
          <w:b/>
          <w:sz w:val="20"/>
          <w:szCs w:val="20"/>
        </w:rPr>
        <w:t>potrebnih sredstava za provođenje programa:</w:t>
      </w:r>
      <w:r w:rsidRPr="00B50C13">
        <w:rPr>
          <w:rFonts w:ascii="Arial" w:eastAsia="Calibri" w:hAnsi="Arial" w:cs="Arial"/>
          <w:sz w:val="20"/>
          <w:szCs w:val="20"/>
        </w:rPr>
        <w:t xml:space="preserve"> Planske veličine su određene u predloženim iznosima temeljem ostvarenih ciljeva i postignutih rezultata iz prethodnih godina, te predviđanja promjena u izvršenju ciljeva u narednom razdoblju.</w:t>
      </w:r>
    </w:p>
    <w:p w14:paraId="18E2924F" w14:textId="3B5959AF" w:rsidR="00E86585" w:rsidRPr="00B50C13" w:rsidRDefault="00E86585" w:rsidP="00E86585">
      <w:pPr>
        <w:spacing w:after="0" w:line="240" w:lineRule="auto"/>
        <w:rPr>
          <w:rFonts w:ascii="Arial" w:eastAsia="Calibri" w:hAnsi="Arial" w:cs="Arial"/>
          <w:sz w:val="20"/>
          <w:szCs w:val="20"/>
        </w:rPr>
      </w:pPr>
      <w:r w:rsidRPr="00B50C13">
        <w:rPr>
          <w:rFonts w:ascii="Arial" w:eastAsia="Calibri" w:hAnsi="Arial" w:cs="Arial"/>
          <w:b/>
          <w:sz w:val="20"/>
          <w:szCs w:val="20"/>
        </w:rPr>
        <w:t>Izvještaj o postignutim ciljevima i rezultatima programa temeljenim na pokazateljima uspješnosti u prethodnoj godini</w:t>
      </w:r>
      <w:r w:rsidRPr="00B50C13">
        <w:rPr>
          <w:rFonts w:ascii="Arial" w:eastAsia="Calibri" w:hAnsi="Arial" w:cs="Arial"/>
          <w:sz w:val="20"/>
          <w:szCs w:val="20"/>
        </w:rPr>
        <w:t xml:space="preserve">: Izvršenje tekućeg </w:t>
      </w:r>
      <w:r w:rsidR="000B7311" w:rsidRPr="00B50C13">
        <w:rPr>
          <w:rFonts w:ascii="Arial" w:eastAsia="Calibri" w:hAnsi="Arial" w:cs="Arial"/>
          <w:sz w:val="20"/>
          <w:szCs w:val="20"/>
        </w:rPr>
        <w:t>razdoblja</w:t>
      </w:r>
      <w:r w:rsidRPr="00B50C13">
        <w:rPr>
          <w:rFonts w:ascii="Arial" w:eastAsia="Calibri" w:hAnsi="Arial" w:cs="Arial"/>
          <w:sz w:val="20"/>
          <w:szCs w:val="20"/>
        </w:rPr>
        <w:t xml:space="preserve"> je u skladu s očekivanim.</w:t>
      </w:r>
    </w:p>
    <w:p w14:paraId="4199F3B2" w14:textId="77777777" w:rsidR="006E0132" w:rsidRPr="00B358E3" w:rsidRDefault="006E0132" w:rsidP="006E0132">
      <w:pPr>
        <w:spacing w:after="0" w:line="240" w:lineRule="auto"/>
        <w:jc w:val="both"/>
        <w:rPr>
          <w:rFonts w:ascii="Arial" w:eastAsia="Calibri" w:hAnsi="Arial" w:cs="Arial"/>
          <w:sz w:val="18"/>
          <w:szCs w:val="18"/>
        </w:rPr>
      </w:pPr>
    </w:p>
    <w:p w14:paraId="2E6A8D05" w14:textId="3AE9B696" w:rsidR="006E0132" w:rsidRPr="00B358E3" w:rsidRDefault="006E0132" w:rsidP="006E0132">
      <w:pPr>
        <w:spacing w:after="0" w:line="240" w:lineRule="auto"/>
        <w:jc w:val="both"/>
        <w:rPr>
          <w:rFonts w:ascii="Arial" w:eastAsia="Calibri" w:hAnsi="Arial" w:cs="Arial"/>
          <w:sz w:val="20"/>
          <w:szCs w:val="20"/>
        </w:rPr>
      </w:pPr>
      <w:r w:rsidRPr="00B358E3">
        <w:rPr>
          <w:rFonts w:ascii="Arial" w:eastAsia="Calibri" w:hAnsi="Arial" w:cs="Arial"/>
          <w:sz w:val="20"/>
          <w:szCs w:val="20"/>
        </w:rPr>
        <w:t xml:space="preserve">Ukupno planirana sredstva na razini programa iznose </w:t>
      </w:r>
      <w:r w:rsidR="00AC4EAF" w:rsidRPr="00B358E3">
        <w:rPr>
          <w:rFonts w:ascii="Arial" w:eastAsia="Calibri" w:hAnsi="Arial" w:cs="Arial"/>
          <w:sz w:val="20"/>
          <w:szCs w:val="20"/>
        </w:rPr>
        <w:t>1</w:t>
      </w:r>
      <w:r w:rsidR="00E1279C">
        <w:rPr>
          <w:rFonts w:ascii="Arial" w:eastAsia="Calibri" w:hAnsi="Arial" w:cs="Arial"/>
          <w:sz w:val="20"/>
          <w:szCs w:val="20"/>
        </w:rPr>
        <w:t>.</w:t>
      </w:r>
      <w:r w:rsidR="00515561">
        <w:rPr>
          <w:rFonts w:ascii="Arial" w:eastAsia="Calibri" w:hAnsi="Arial" w:cs="Arial"/>
          <w:sz w:val="20"/>
          <w:szCs w:val="20"/>
        </w:rPr>
        <w:t>468.000</w:t>
      </w:r>
      <w:r w:rsidR="00B50C13" w:rsidRPr="00B358E3">
        <w:rPr>
          <w:rFonts w:ascii="Arial" w:eastAsia="Calibri" w:hAnsi="Arial" w:cs="Arial"/>
          <w:sz w:val="20"/>
          <w:szCs w:val="20"/>
        </w:rPr>
        <w:t>0</w:t>
      </w:r>
      <w:r w:rsidRPr="00B358E3">
        <w:rPr>
          <w:rFonts w:ascii="Arial" w:eastAsia="Calibri" w:hAnsi="Arial" w:cs="Arial"/>
          <w:sz w:val="20"/>
          <w:szCs w:val="20"/>
        </w:rPr>
        <w:t xml:space="preserve"> €. Rashodi su izvršeni u iznosu </w:t>
      </w:r>
      <w:r w:rsidR="00515561">
        <w:rPr>
          <w:rFonts w:ascii="Arial" w:eastAsia="Calibri" w:hAnsi="Arial" w:cs="Arial"/>
          <w:sz w:val="20"/>
          <w:szCs w:val="20"/>
        </w:rPr>
        <w:t>696.228,97</w:t>
      </w:r>
      <w:r w:rsidR="0044099F" w:rsidRPr="00B358E3">
        <w:rPr>
          <w:rFonts w:ascii="Arial" w:eastAsia="Calibri" w:hAnsi="Arial" w:cs="Arial"/>
          <w:sz w:val="20"/>
          <w:szCs w:val="20"/>
        </w:rPr>
        <w:t xml:space="preserve"> </w:t>
      </w:r>
      <w:r w:rsidRPr="00B358E3">
        <w:rPr>
          <w:rFonts w:ascii="Arial" w:eastAsia="Calibri" w:hAnsi="Arial" w:cs="Arial"/>
          <w:sz w:val="20"/>
          <w:szCs w:val="20"/>
        </w:rPr>
        <w:t xml:space="preserve">€ ili </w:t>
      </w:r>
      <w:r w:rsidR="00515561">
        <w:rPr>
          <w:rFonts w:ascii="Arial" w:eastAsia="Calibri" w:hAnsi="Arial" w:cs="Arial"/>
          <w:sz w:val="20"/>
          <w:szCs w:val="20"/>
        </w:rPr>
        <w:t>47,4</w:t>
      </w:r>
      <w:r w:rsidRPr="00B358E3">
        <w:rPr>
          <w:rFonts w:ascii="Arial" w:eastAsia="Calibri" w:hAnsi="Arial" w:cs="Arial"/>
          <w:sz w:val="20"/>
          <w:szCs w:val="20"/>
        </w:rPr>
        <w:t xml:space="preserve">% plana. </w:t>
      </w:r>
    </w:p>
    <w:p w14:paraId="47139C58" w14:textId="77777777" w:rsidR="00E86585" w:rsidRPr="00B358E3" w:rsidRDefault="00E86585" w:rsidP="00E86585">
      <w:pPr>
        <w:autoSpaceDE w:val="0"/>
        <w:autoSpaceDN w:val="0"/>
        <w:adjustRightInd w:val="0"/>
        <w:spacing w:after="0" w:line="240" w:lineRule="auto"/>
        <w:rPr>
          <w:rFonts w:ascii="Arial" w:eastAsia="Calibri" w:hAnsi="Arial" w:cs="Arial"/>
          <w:sz w:val="20"/>
          <w:szCs w:val="20"/>
        </w:rPr>
      </w:pPr>
    </w:p>
    <w:p w14:paraId="5661A5EC" w14:textId="77777777" w:rsidR="00E86585" w:rsidRPr="00B358E3" w:rsidRDefault="00E86585">
      <w:pPr>
        <w:pStyle w:val="Odlomakpopisa"/>
        <w:numPr>
          <w:ilvl w:val="0"/>
          <w:numId w:val="37"/>
        </w:numPr>
        <w:pBdr>
          <w:top w:val="single" w:sz="4" w:space="1" w:color="auto"/>
          <w:left w:val="single" w:sz="4" w:space="0" w:color="auto"/>
          <w:bottom w:val="single" w:sz="4" w:space="1" w:color="auto"/>
          <w:right w:val="single" w:sz="4" w:space="0" w:color="auto"/>
        </w:pBdr>
        <w:ind w:left="0"/>
        <w:jc w:val="center"/>
        <w:rPr>
          <w:rFonts w:ascii="Arial" w:eastAsia="Calibri" w:hAnsi="Arial" w:cs="Arial"/>
          <w:b/>
        </w:rPr>
      </w:pPr>
      <w:r w:rsidRPr="00B358E3">
        <w:rPr>
          <w:rFonts w:ascii="Arial" w:eastAsia="Calibri" w:hAnsi="Arial" w:cs="Arial"/>
          <w:b/>
        </w:rPr>
        <w:t>Obrazloženje aktivnosti / projekata i pokazatelji uspješnosti</w:t>
      </w:r>
    </w:p>
    <w:p w14:paraId="1475B34C" w14:textId="026C1E64" w:rsidR="00661073" w:rsidRPr="00B358E3" w:rsidRDefault="00661073" w:rsidP="003752B9">
      <w:pPr>
        <w:spacing w:after="0" w:line="240" w:lineRule="auto"/>
        <w:rPr>
          <w:rFonts w:ascii="Arial" w:eastAsia="Calibri" w:hAnsi="Arial" w:cs="Arial"/>
          <w:sz w:val="20"/>
          <w:szCs w:val="20"/>
        </w:rPr>
      </w:pPr>
    </w:p>
    <w:p w14:paraId="54F33CD5" w14:textId="77777777" w:rsidR="003752B9" w:rsidRPr="00B358E3" w:rsidRDefault="003752B9" w:rsidP="003752B9">
      <w:pPr>
        <w:spacing w:after="0" w:line="240" w:lineRule="auto"/>
        <w:jc w:val="both"/>
        <w:rPr>
          <w:rFonts w:ascii="Arial" w:eastAsia="Calibri" w:hAnsi="Arial" w:cs="Arial"/>
          <w:sz w:val="20"/>
          <w:szCs w:val="20"/>
        </w:rPr>
      </w:pPr>
      <w:r w:rsidRPr="00B358E3">
        <w:rPr>
          <w:rFonts w:ascii="Arial" w:eastAsia="Calibri" w:hAnsi="Arial" w:cs="Arial"/>
          <w:sz w:val="20"/>
          <w:szCs w:val="20"/>
        </w:rPr>
        <w:t>Unutar programa izvode se slijedeće aktivnosti i projekti:</w:t>
      </w:r>
    </w:p>
    <w:p w14:paraId="12719B90" w14:textId="77777777" w:rsidR="00530288" w:rsidRPr="00B358E3" w:rsidRDefault="00530288" w:rsidP="00530288">
      <w:pPr>
        <w:autoSpaceDE w:val="0"/>
        <w:autoSpaceDN w:val="0"/>
        <w:adjustRightInd w:val="0"/>
        <w:spacing w:after="0" w:line="240" w:lineRule="auto"/>
        <w:jc w:val="both"/>
        <w:rPr>
          <w:rFonts w:ascii="Arial" w:eastAsia="Calibri" w:hAnsi="Arial" w:cs="Arial"/>
          <w:sz w:val="20"/>
          <w:szCs w:val="20"/>
        </w:rPr>
      </w:pPr>
    </w:p>
    <w:p w14:paraId="4D40E4CB" w14:textId="30A9FCAB" w:rsidR="004628C7" w:rsidRPr="00B358E3" w:rsidRDefault="00D60635" w:rsidP="004628C7">
      <w:pPr>
        <w:autoSpaceDE w:val="0"/>
        <w:autoSpaceDN w:val="0"/>
        <w:adjustRightInd w:val="0"/>
        <w:spacing w:after="0" w:line="240" w:lineRule="auto"/>
        <w:jc w:val="both"/>
        <w:rPr>
          <w:rFonts w:ascii="Arial" w:eastAsia="Calibri" w:hAnsi="Arial" w:cs="Arial"/>
          <w:sz w:val="20"/>
          <w:szCs w:val="20"/>
        </w:rPr>
      </w:pPr>
      <w:r w:rsidRPr="00B358E3">
        <w:rPr>
          <w:rFonts w:ascii="Arial" w:eastAsia="Calibri" w:hAnsi="Arial" w:cs="Arial"/>
          <w:b/>
          <w:sz w:val="20"/>
          <w:szCs w:val="20"/>
        </w:rPr>
        <w:t>1. A204401: Redovna djelatnost – sufinanciranje djelatnosti Doma za starije i nemoćne osobe</w:t>
      </w:r>
      <w:r w:rsidRPr="00B358E3">
        <w:rPr>
          <w:rFonts w:ascii="Arial" w:eastAsia="Calibri" w:hAnsi="Arial" w:cs="Arial"/>
          <w:sz w:val="20"/>
          <w:szCs w:val="20"/>
        </w:rPr>
        <w:t xml:space="preserve"> - Proračunska sredstva su planirana u iznosu </w:t>
      </w:r>
      <w:r w:rsidR="00515561">
        <w:rPr>
          <w:rFonts w:ascii="Arial" w:eastAsia="Calibri" w:hAnsi="Arial" w:cs="Arial"/>
          <w:sz w:val="20"/>
          <w:szCs w:val="20"/>
        </w:rPr>
        <w:t>522</w:t>
      </w:r>
      <w:r w:rsidR="00AC4EAF" w:rsidRPr="00B358E3">
        <w:rPr>
          <w:rFonts w:ascii="Arial" w:eastAsia="Calibri" w:hAnsi="Arial" w:cs="Arial"/>
          <w:sz w:val="20"/>
          <w:szCs w:val="20"/>
        </w:rPr>
        <w:t>.000</w:t>
      </w:r>
      <w:r w:rsidR="00B6707A" w:rsidRPr="00B358E3">
        <w:rPr>
          <w:rFonts w:ascii="Arial" w:eastAsia="Calibri" w:hAnsi="Arial" w:cs="Arial"/>
          <w:sz w:val="20"/>
          <w:szCs w:val="20"/>
        </w:rPr>
        <w:t xml:space="preserve"> €</w:t>
      </w:r>
      <w:r w:rsidR="004628C7" w:rsidRPr="00B358E3">
        <w:rPr>
          <w:rFonts w:ascii="Arial" w:eastAsia="Calibri" w:hAnsi="Arial" w:cs="Arial"/>
          <w:sz w:val="20"/>
          <w:szCs w:val="20"/>
        </w:rPr>
        <w:t xml:space="preserve"> </w:t>
      </w:r>
      <w:r w:rsidRPr="00B358E3">
        <w:rPr>
          <w:rFonts w:ascii="Arial" w:eastAsia="Calibri" w:hAnsi="Arial" w:cs="Arial"/>
          <w:sz w:val="20"/>
          <w:szCs w:val="20"/>
        </w:rPr>
        <w:t xml:space="preserve">i odnose se na rashode koji se podmiruju iz općinskog proračuna. </w:t>
      </w:r>
      <w:r w:rsidR="004628C7" w:rsidRPr="00B358E3">
        <w:rPr>
          <w:rFonts w:ascii="Arial" w:eastAsia="Calibri" w:hAnsi="Arial" w:cs="Arial"/>
          <w:sz w:val="20"/>
          <w:szCs w:val="20"/>
        </w:rPr>
        <w:t>Ovi rashodi su izvršeni</w:t>
      </w:r>
      <w:r w:rsidR="00F11D1C" w:rsidRPr="00B358E3">
        <w:rPr>
          <w:rFonts w:ascii="Arial" w:eastAsia="Calibri" w:hAnsi="Arial" w:cs="Arial"/>
          <w:sz w:val="20"/>
          <w:szCs w:val="20"/>
        </w:rPr>
        <w:t xml:space="preserve"> u iznosu </w:t>
      </w:r>
      <w:r w:rsidR="00515561">
        <w:rPr>
          <w:rFonts w:ascii="Arial" w:eastAsia="Calibri" w:hAnsi="Arial" w:cs="Arial"/>
          <w:sz w:val="20"/>
          <w:szCs w:val="20"/>
        </w:rPr>
        <w:t>179.943,70</w:t>
      </w:r>
      <w:r w:rsidR="00B6707A" w:rsidRPr="00B358E3">
        <w:rPr>
          <w:rFonts w:ascii="Arial" w:eastAsia="Calibri" w:hAnsi="Arial" w:cs="Arial"/>
          <w:sz w:val="20"/>
          <w:szCs w:val="20"/>
        </w:rPr>
        <w:t xml:space="preserve"> €</w:t>
      </w:r>
      <w:r w:rsidR="00F11D1C" w:rsidRPr="00B358E3">
        <w:rPr>
          <w:rFonts w:ascii="Arial" w:eastAsia="Calibri" w:hAnsi="Arial" w:cs="Arial"/>
          <w:sz w:val="20"/>
          <w:szCs w:val="20"/>
        </w:rPr>
        <w:t xml:space="preserve"> ili </w:t>
      </w:r>
      <w:r w:rsidR="00515561">
        <w:rPr>
          <w:rFonts w:ascii="Arial" w:eastAsia="Calibri" w:hAnsi="Arial" w:cs="Arial"/>
          <w:sz w:val="20"/>
          <w:szCs w:val="20"/>
        </w:rPr>
        <w:t>34,5</w:t>
      </w:r>
      <w:r w:rsidR="00F11D1C" w:rsidRPr="00B358E3">
        <w:rPr>
          <w:rFonts w:ascii="Arial" w:eastAsia="Calibri" w:hAnsi="Arial" w:cs="Arial"/>
          <w:sz w:val="20"/>
          <w:szCs w:val="20"/>
        </w:rPr>
        <w:t>%.</w:t>
      </w:r>
    </w:p>
    <w:p w14:paraId="2BA7EDAF" w14:textId="77777777" w:rsidR="004628C7" w:rsidRPr="00B358E3" w:rsidRDefault="004628C7" w:rsidP="003752B9">
      <w:pPr>
        <w:pStyle w:val="Odlomakpopisa"/>
        <w:autoSpaceDE w:val="0"/>
        <w:autoSpaceDN w:val="0"/>
        <w:adjustRightInd w:val="0"/>
        <w:ind w:left="0"/>
        <w:rPr>
          <w:rFonts w:ascii="Arial" w:eastAsia="Calibri" w:hAnsi="Arial" w:cs="Arial"/>
        </w:rPr>
      </w:pPr>
    </w:p>
    <w:p w14:paraId="3C525342" w14:textId="00F1DB46" w:rsidR="00F11D1C" w:rsidRPr="00B358E3" w:rsidRDefault="00F11D1C" w:rsidP="003752B9">
      <w:pPr>
        <w:pStyle w:val="Odlomakpopisa"/>
        <w:autoSpaceDE w:val="0"/>
        <w:autoSpaceDN w:val="0"/>
        <w:adjustRightInd w:val="0"/>
        <w:ind w:left="0"/>
        <w:rPr>
          <w:rFonts w:ascii="Arial" w:eastAsia="Calibri" w:hAnsi="Arial" w:cs="Arial"/>
        </w:rPr>
      </w:pPr>
      <w:r w:rsidRPr="00B358E3">
        <w:rPr>
          <w:rFonts w:ascii="Arial" w:eastAsia="Calibri" w:hAnsi="Arial" w:cs="Arial"/>
        </w:rPr>
        <w:t>Ovi rashodi odnose se na: rashode za bruto plaće (311), ostale rashode za zaposlene (313), doprinose na plaće (313) i naknade troškova zaposlenima (321, prijevoz na posao i s posla).</w:t>
      </w:r>
    </w:p>
    <w:p w14:paraId="15043959" w14:textId="77777777" w:rsidR="00626756" w:rsidRPr="00B358E3" w:rsidRDefault="00626756" w:rsidP="003752B9">
      <w:pPr>
        <w:pStyle w:val="Odlomakpopisa"/>
        <w:autoSpaceDE w:val="0"/>
        <w:autoSpaceDN w:val="0"/>
        <w:adjustRightInd w:val="0"/>
        <w:ind w:left="0"/>
        <w:rPr>
          <w:rFonts w:ascii="Arial" w:eastAsia="Calibri" w:hAnsi="Arial" w:cs="Arial"/>
        </w:rPr>
      </w:pPr>
    </w:p>
    <w:p w14:paraId="355B8ABC" w14:textId="4A462385" w:rsidR="00B6707A" w:rsidRPr="00B358E3" w:rsidRDefault="00174799" w:rsidP="00174799">
      <w:pPr>
        <w:autoSpaceDE w:val="0"/>
        <w:autoSpaceDN w:val="0"/>
        <w:adjustRightInd w:val="0"/>
        <w:spacing w:after="0" w:line="240" w:lineRule="auto"/>
        <w:jc w:val="both"/>
        <w:rPr>
          <w:rFonts w:ascii="Arial" w:eastAsia="Calibri" w:hAnsi="Arial" w:cs="Arial"/>
          <w:sz w:val="20"/>
          <w:szCs w:val="20"/>
        </w:rPr>
      </w:pPr>
      <w:r w:rsidRPr="00B358E3">
        <w:rPr>
          <w:rFonts w:ascii="Arial" w:eastAsia="Calibri" w:hAnsi="Arial" w:cs="Arial"/>
          <w:b/>
          <w:sz w:val="20"/>
          <w:szCs w:val="20"/>
        </w:rPr>
        <w:t>2. A204402: Redovna djelatnost Doma za starije i nemoćne osobe – vlastita djelatnost</w:t>
      </w:r>
      <w:r w:rsidRPr="00B358E3">
        <w:rPr>
          <w:rFonts w:ascii="Arial" w:eastAsia="Calibri" w:hAnsi="Arial" w:cs="Arial"/>
          <w:sz w:val="20"/>
          <w:szCs w:val="20"/>
        </w:rPr>
        <w:t xml:space="preserve"> - Proračunska sredstva su planirana u iznosu </w:t>
      </w:r>
      <w:r w:rsidR="00F5305A">
        <w:rPr>
          <w:rFonts w:ascii="Arial" w:eastAsia="Calibri" w:hAnsi="Arial" w:cs="Arial"/>
          <w:sz w:val="20"/>
          <w:szCs w:val="20"/>
        </w:rPr>
        <w:t>944.850</w:t>
      </w:r>
      <w:r w:rsidR="00B6707A" w:rsidRPr="00B358E3">
        <w:rPr>
          <w:rFonts w:ascii="Arial" w:eastAsia="Calibri" w:hAnsi="Arial" w:cs="Arial"/>
          <w:sz w:val="20"/>
          <w:szCs w:val="20"/>
        </w:rPr>
        <w:t xml:space="preserve"> €</w:t>
      </w:r>
      <w:r w:rsidRPr="00B358E3">
        <w:rPr>
          <w:rFonts w:ascii="Arial" w:eastAsia="Calibri" w:hAnsi="Arial" w:cs="Arial"/>
          <w:sz w:val="20"/>
          <w:szCs w:val="20"/>
        </w:rPr>
        <w:t xml:space="preserve"> i odnose se na rashode koji bi se trebali podmiriti iz ostvarenih sredstava proračunskog korisnika (ostvareni prihodi od smještaja i prehrane korisnika Doma i prihodi od pružanja dodatnih usluga u Domu). </w:t>
      </w:r>
    </w:p>
    <w:p w14:paraId="5C27DD44" w14:textId="6CCE7B76" w:rsidR="00174799" w:rsidRPr="00B358E3" w:rsidRDefault="00174799" w:rsidP="00174799">
      <w:pPr>
        <w:autoSpaceDE w:val="0"/>
        <w:autoSpaceDN w:val="0"/>
        <w:adjustRightInd w:val="0"/>
        <w:spacing w:after="0" w:line="240" w:lineRule="auto"/>
        <w:jc w:val="both"/>
        <w:rPr>
          <w:rFonts w:ascii="Arial" w:eastAsia="Calibri" w:hAnsi="Arial" w:cs="Arial"/>
          <w:sz w:val="20"/>
          <w:szCs w:val="20"/>
        </w:rPr>
      </w:pPr>
      <w:r w:rsidRPr="00B358E3">
        <w:rPr>
          <w:rFonts w:ascii="Arial" w:eastAsia="Calibri" w:hAnsi="Arial" w:cs="Arial"/>
          <w:sz w:val="20"/>
          <w:szCs w:val="20"/>
        </w:rPr>
        <w:t xml:space="preserve">Ovi rashodi su izvršeni u iznosu </w:t>
      </w:r>
      <w:r w:rsidR="00F5305A">
        <w:rPr>
          <w:rFonts w:ascii="Arial" w:eastAsia="Calibri" w:hAnsi="Arial" w:cs="Arial"/>
          <w:sz w:val="20"/>
          <w:szCs w:val="20"/>
        </w:rPr>
        <w:t>516.085,05</w:t>
      </w:r>
      <w:r w:rsidR="00B6707A" w:rsidRPr="00B358E3">
        <w:rPr>
          <w:rFonts w:ascii="Arial" w:eastAsia="Calibri" w:hAnsi="Arial" w:cs="Arial"/>
          <w:sz w:val="20"/>
          <w:szCs w:val="20"/>
        </w:rPr>
        <w:t xml:space="preserve"> €</w:t>
      </w:r>
      <w:r w:rsidRPr="00B358E3">
        <w:rPr>
          <w:rFonts w:ascii="Arial" w:eastAsia="Calibri" w:hAnsi="Arial" w:cs="Arial"/>
          <w:sz w:val="20"/>
          <w:szCs w:val="20"/>
        </w:rPr>
        <w:t xml:space="preserve"> ili </w:t>
      </w:r>
      <w:r w:rsidR="00F5305A">
        <w:rPr>
          <w:rFonts w:ascii="Arial" w:eastAsia="Calibri" w:hAnsi="Arial" w:cs="Arial"/>
          <w:sz w:val="20"/>
          <w:szCs w:val="20"/>
        </w:rPr>
        <w:t>54,6</w:t>
      </w:r>
      <w:r w:rsidRPr="00B358E3">
        <w:rPr>
          <w:rFonts w:ascii="Arial" w:eastAsia="Calibri" w:hAnsi="Arial" w:cs="Arial"/>
          <w:sz w:val="20"/>
          <w:szCs w:val="20"/>
        </w:rPr>
        <w:t>% i odnose se na:</w:t>
      </w:r>
      <w:r w:rsidRPr="00B358E3">
        <w:rPr>
          <w:rFonts w:ascii="Arial" w:eastAsia="Times New Roman" w:hAnsi="Arial" w:cs="Arial"/>
          <w:sz w:val="20"/>
          <w:szCs w:val="20"/>
        </w:rPr>
        <w:t xml:space="preserve"> rashode za </w:t>
      </w:r>
      <w:r w:rsidRPr="00B358E3">
        <w:rPr>
          <w:rFonts w:ascii="Arial" w:eastAsia="Calibri" w:hAnsi="Arial" w:cs="Arial"/>
          <w:sz w:val="20"/>
          <w:szCs w:val="20"/>
        </w:rPr>
        <w:t xml:space="preserve">bruto plaće (311), ostale rashode za zaposlene (312), doprinose na plaće (313) </w:t>
      </w:r>
      <w:r w:rsidR="00AC4EAF" w:rsidRPr="00B358E3">
        <w:rPr>
          <w:rFonts w:ascii="Arial" w:eastAsia="Calibri" w:hAnsi="Arial" w:cs="Arial"/>
          <w:sz w:val="20"/>
          <w:szCs w:val="20"/>
        </w:rPr>
        <w:t xml:space="preserve">u iznosu </w:t>
      </w:r>
      <w:r w:rsidR="00D41989">
        <w:rPr>
          <w:rFonts w:ascii="Arial" w:eastAsia="Calibri" w:hAnsi="Arial" w:cs="Arial"/>
          <w:sz w:val="20"/>
          <w:szCs w:val="20"/>
        </w:rPr>
        <w:t>351.042,37</w:t>
      </w:r>
      <w:r w:rsidR="00AC4EAF" w:rsidRPr="00B358E3">
        <w:rPr>
          <w:rFonts w:ascii="Arial" w:eastAsia="Calibri" w:hAnsi="Arial" w:cs="Arial"/>
          <w:sz w:val="20"/>
          <w:szCs w:val="20"/>
        </w:rPr>
        <w:t xml:space="preserve"> €</w:t>
      </w:r>
      <w:r w:rsidRPr="00B358E3">
        <w:rPr>
          <w:rFonts w:ascii="Arial" w:eastAsia="Calibri" w:hAnsi="Arial" w:cs="Arial"/>
          <w:sz w:val="20"/>
          <w:szCs w:val="20"/>
        </w:rPr>
        <w:t xml:space="preserve">, </w:t>
      </w:r>
      <w:r w:rsidR="00AC4EAF" w:rsidRPr="00B358E3">
        <w:rPr>
          <w:rFonts w:ascii="Arial" w:eastAsia="Calibri" w:hAnsi="Arial" w:cs="Arial"/>
          <w:sz w:val="20"/>
          <w:szCs w:val="20"/>
        </w:rPr>
        <w:t xml:space="preserve">naknade troškova zaposlenima (321, prijevoz na posao i s posla, stručno usavršavanje djelatnika i službena putovanja) u iznosu </w:t>
      </w:r>
      <w:r w:rsidR="001737EC">
        <w:rPr>
          <w:rFonts w:ascii="Arial" w:eastAsia="Calibri" w:hAnsi="Arial" w:cs="Arial"/>
          <w:sz w:val="20"/>
          <w:szCs w:val="20"/>
        </w:rPr>
        <w:t>12.607,90</w:t>
      </w:r>
      <w:r w:rsidR="00AC4EAF" w:rsidRPr="00B358E3">
        <w:rPr>
          <w:rFonts w:ascii="Arial" w:eastAsia="Calibri" w:hAnsi="Arial" w:cs="Arial"/>
          <w:sz w:val="20"/>
          <w:szCs w:val="20"/>
        </w:rPr>
        <w:t xml:space="preserve"> €, </w:t>
      </w:r>
      <w:r w:rsidRPr="00B358E3">
        <w:rPr>
          <w:rFonts w:ascii="Arial" w:eastAsia="Calibri" w:hAnsi="Arial" w:cs="Arial"/>
          <w:sz w:val="20"/>
          <w:szCs w:val="20"/>
        </w:rPr>
        <w:t xml:space="preserve">rashode za materijal i energiju (322) u iznosu </w:t>
      </w:r>
      <w:r w:rsidR="00B45263">
        <w:rPr>
          <w:rFonts w:ascii="Arial" w:eastAsia="Calibri" w:hAnsi="Arial" w:cs="Arial"/>
          <w:sz w:val="20"/>
          <w:szCs w:val="20"/>
        </w:rPr>
        <w:t>100.773,99</w:t>
      </w:r>
      <w:r w:rsidR="00B6707A" w:rsidRPr="00B358E3">
        <w:rPr>
          <w:rFonts w:ascii="Arial" w:eastAsia="Calibri" w:hAnsi="Arial" w:cs="Arial"/>
          <w:sz w:val="20"/>
          <w:szCs w:val="20"/>
        </w:rPr>
        <w:t xml:space="preserve"> €</w:t>
      </w:r>
      <w:r w:rsidRPr="00B358E3">
        <w:rPr>
          <w:rFonts w:ascii="Arial" w:eastAsia="Calibri" w:hAnsi="Arial" w:cs="Arial"/>
          <w:sz w:val="20"/>
          <w:szCs w:val="20"/>
        </w:rPr>
        <w:t xml:space="preserve"> (trošak uredskog materijala i materijala za čišćenje</w:t>
      </w:r>
      <w:r w:rsidR="004C22B6" w:rsidRPr="00B358E3">
        <w:rPr>
          <w:rFonts w:ascii="Arial" w:eastAsia="Calibri" w:hAnsi="Arial" w:cs="Arial"/>
          <w:sz w:val="20"/>
          <w:szCs w:val="20"/>
        </w:rPr>
        <w:t xml:space="preserve">, </w:t>
      </w:r>
      <w:r w:rsidRPr="00B358E3">
        <w:rPr>
          <w:rFonts w:ascii="Arial" w:eastAsia="Calibri" w:hAnsi="Arial" w:cs="Arial"/>
          <w:sz w:val="20"/>
          <w:szCs w:val="20"/>
        </w:rPr>
        <w:t>pranje i održavanje, rashode za materijal-</w:t>
      </w:r>
      <w:r w:rsidR="0046305B" w:rsidRPr="00B358E3">
        <w:rPr>
          <w:rFonts w:ascii="Arial" w:eastAsia="Calibri" w:hAnsi="Arial" w:cs="Arial"/>
          <w:sz w:val="20"/>
          <w:szCs w:val="20"/>
        </w:rPr>
        <w:t>namirnice</w:t>
      </w:r>
      <w:r w:rsidRPr="00B358E3">
        <w:rPr>
          <w:rFonts w:ascii="Arial" w:eastAsia="Calibri" w:hAnsi="Arial" w:cs="Arial"/>
          <w:sz w:val="20"/>
          <w:szCs w:val="20"/>
        </w:rPr>
        <w:t xml:space="preserve"> za prehranu korisnika i materijal za zdravstvenu zaštitu i njegu korisnika, trošak energije (električna energije, plin, motorni benzin i lož ulje), materijal za tekuće i </w:t>
      </w:r>
      <w:r w:rsidRPr="00B358E3">
        <w:rPr>
          <w:rFonts w:ascii="Arial" w:eastAsia="Calibri" w:hAnsi="Arial" w:cs="Arial"/>
          <w:sz w:val="20"/>
          <w:szCs w:val="20"/>
        </w:rPr>
        <w:lastRenderedPageBreak/>
        <w:t xml:space="preserve">investicijsko održavanje, sitni inventar te radna odjeća i obuća zaposlenika), rashode za usluge (323) u iznosu </w:t>
      </w:r>
      <w:r w:rsidR="00B45263">
        <w:rPr>
          <w:rFonts w:ascii="Arial" w:eastAsia="Calibri" w:hAnsi="Arial" w:cs="Arial"/>
          <w:sz w:val="20"/>
          <w:szCs w:val="20"/>
        </w:rPr>
        <w:t>39.838,14</w:t>
      </w:r>
      <w:r w:rsidR="0030256E" w:rsidRPr="00B358E3">
        <w:rPr>
          <w:rFonts w:ascii="Arial" w:eastAsia="Calibri" w:hAnsi="Arial" w:cs="Arial"/>
          <w:sz w:val="20"/>
          <w:szCs w:val="20"/>
        </w:rPr>
        <w:t xml:space="preserve"> €</w:t>
      </w:r>
      <w:r w:rsidRPr="00B358E3">
        <w:rPr>
          <w:rFonts w:ascii="Arial" w:eastAsia="Calibri" w:hAnsi="Arial" w:cs="Arial"/>
          <w:sz w:val="20"/>
          <w:szCs w:val="20"/>
        </w:rPr>
        <w:t xml:space="preserve"> (usluge telefona i poštanske usluge</w:t>
      </w:r>
      <w:r w:rsidR="0030256E" w:rsidRPr="00B358E3">
        <w:rPr>
          <w:rFonts w:ascii="Arial" w:eastAsia="Calibri" w:hAnsi="Arial" w:cs="Arial"/>
          <w:sz w:val="20"/>
          <w:szCs w:val="20"/>
        </w:rPr>
        <w:t xml:space="preserve">, </w:t>
      </w:r>
      <w:r w:rsidRPr="00B358E3">
        <w:rPr>
          <w:rFonts w:ascii="Arial" w:eastAsia="Calibri" w:hAnsi="Arial" w:cs="Arial"/>
          <w:sz w:val="20"/>
          <w:szCs w:val="20"/>
        </w:rPr>
        <w:t>usluge tekućeg i investicijskog održavanj</w:t>
      </w:r>
      <w:r w:rsidR="00AC4EAF" w:rsidRPr="00B358E3">
        <w:rPr>
          <w:rFonts w:ascii="Arial" w:eastAsia="Calibri" w:hAnsi="Arial" w:cs="Arial"/>
          <w:sz w:val="20"/>
          <w:szCs w:val="20"/>
        </w:rPr>
        <w:t>a</w:t>
      </w:r>
      <w:r w:rsidRPr="00B358E3">
        <w:rPr>
          <w:rFonts w:ascii="Arial" w:eastAsia="Calibri" w:hAnsi="Arial" w:cs="Arial"/>
          <w:sz w:val="20"/>
          <w:szCs w:val="20"/>
        </w:rPr>
        <w:t>, usluge promidžbe i informiranja, komunalne usluge (opskrba vodom, odvoz smeća, usluge dimnjačara, deratizacije, dezinsekcije), zdravstvene usluge (usluge sistematskih pregleda radnika i usluge fizioterapeuta</w:t>
      </w:r>
      <w:r w:rsidR="0066762F" w:rsidRPr="00B358E3">
        <w:rPr>
          <w:rFonts w:ascii="Arial" w:eastAsia="Calibri" w:hAnsi="Arial" w:cs="Arial"/>
          <w:sz w:val="20"/>
          <w:szCs w:val="20"/>
        </w:rPr>
        <w:t xml:space="preserve"> za korisnike</w:t>
      </w:r>
      <w:r w:rsidRPr="00B358E3">
        <w:rPr>
          <w:rFonts w:ascii="Arial" w:eastAsia="Calibri" w:hAnsi="Arial" w:cs="Arial"/>
          <w:sz w:val="20"/>
          <w:szCs w:val="20"/>
        </w:rPr>
        <w:t>), intelektualne i osobne usluge te ostale usluge</w:t>
      </w:r>
      <w:r w:rsidR="00252898" w:rsidRPr="00B358E3">
        <w:rPr>
          <w:rFonts w:ascii="Arial" w:eastAsia="Calibri" w:hAnsi="Arial" w:cs="Arial"/>
          <w:sz w:val="20"/>
          <w:szCs w:val="20"/>
        </w:rPr>
        <w:t>)</w:t>
      </w:r>
      <w:r w:rsidRPr="00B358E3">
        <w:rPr>
          <w:rFonts w:ascii="Arial" w:eastAsia="Calibri" w:hAnsi="Arial" w:cs="Arial"/>
          <w:sz w:val="20"/>
          <w:szCs w:val="20"/>
        </w:rPr>
        <w:t xml:space="preserve">, ostale nespomenute rashode poslovanja (329) u iznosu </w:t>
      </w:r>
      <w:r w:rsidR="00B45263">
        <w:rPr>
          <w:rFonts w:ascii="Arial" w:eastAsia="Calibri" w:hAnsi="Arial" w:cs="Arial"/>
          <w:sz w:val="20"/>
          <w:szCs w:val="20"/>
        </w:rPr>
        <w:t>9.519,75</w:t>
      </w:r>
      <w:r w:rsidR="0030256E" w:rsidRPr="00B358E3">
        <w:rPr>
          <w:rFonts w:ascii="Arial" w:eastAsia="Calibri" w:hAnsi="Arial" w:cs="Arial"/>
          <w:sz w:val="20"/>
          <w:szCs w:val="20"/>
        </w:rPr>
        <w:t xml:space="preserve"> €</w:t>
      </w:r>
      <w:r w:rsidRPr="00B358E3">
        <w:rPr>
          <w:rFonts w:ascii="Arial" w:eastAsia="Calibri" w:hAnsi="Arial" w:cs="Arial"/>
          <w:sz w:val="20"/>
          <w:szCs w:val="20"/>
        </w:rPr>
        <w:t xml:space="preserve"> (</w:t>
      </w:r>
      <w:r w:rsidR="0066762F" w:rsidRPr="00B358E3">
        <w:rPr>
          <w:rFonts w:ascii="Arial" w:eastAsia="Calibri" w:hAnsi="Arial" w:cs="Arial"/>
          <w:sz w:val="20"/>
          <w:szCs w:val="20"/>
        </w:rPr>
        <w:t xml:space="preserve">naknade za rad upravnog vijeća </w:t>
      </w:r>
      <w:r w:rsidR="00B45263">
        <w:rPr>
          <w:rFonts w:ascii="Arial" w:eastAsia="Calibri" w:hAnsi="Arial" w:cs="Arial"/>
          <w:sz w:val="20"/>
          <w:szCs w:val="20"/>
        </w:rPr>
        <w:t>4.161,60</w:t>
      </w:r>
      <w:r w:rsidR="0066762F" w:rsidRPr="00B358E3">
        <w:rPr>
          <w:rFonts w:ascii="Arial" w:eastAsia="Calibri" w:hAnsi="Arial" w:cs="Arial"/>
          <w:sz w:val="20"/>
          <w:szCs w:val="20"/>
        </w:rPr>
        <w:t xml:space="preserve"> €, </w:t>
      </w:r>
      <w:r w:rsidRPr="00B358E3">
        <w:rPr>
          <w:rFonts w:ascii="Arial" w:eastAsia="Calibri" w:hAnsi="Arial" w:cs="Arial"/>
          <w:sz w:val="20"/>
          <w:szCs w:val="20"/>
        </w:rPr>
        <w:t xml:space="preserve">premije osiguranja </w:t>
      </w:r>
      <w:r w:rsidR="00F159AB">
        <w:rPr>
          <w:rFonts w:ascii="Arial" w:eastAsia="Calibri" w:hAnsi="Arial" w:cs="Arial"/>
          <w:sz w:val="20"/>
          <w:szCs w:val="20"/>
        </w:rPr>
        <w:t>4.782,23</w:t>
      </w:r>
      <w:r w:rsidR="0030256E" w:rsidRPr="00B358E3">
        <w:rPr>
          <w:rFonts w:ascii="Arial" w:eastAsia="Calibri" w:hAnsi="Arial" w:cs="Arial"/>
          <w:sz w:val="20"/>
          <w:szCs w:val="20"/>
        </w:rPr>
        <w:t xml:space="preserve"> €</w:t>
      </w:r>
      <w:r w:rsidRPr="00B358E3">
        <w:rPr>
          <w:rFonts w:ascii="Arial" w:eastAsia="Calibri" w:hAnsi="Arial" w:cs="Arial"/>
          <w:sz w:val="20"/>
          <w:szCs w:val="20"/>
        </w:rPr>
        <w:t>, pristojbe i naknad</w:t>
      </w:r>
      <w:r w:rsidR="00AC4EAF" w:rsidRPr="00B358E3">
        <w:rPr>
          <w:rFonts w:ascii="Arial" w:eastAsia="Calibri" w:hAnsi="Arial" w:cs="Arial"/>
          <w:sz w:val="20"/>
          <w:szCs w:val="20"/>
        </w:rPr>
        <w:t>e</w:t>
      </w:r>
      <w:r w:rsidR="00B358E3" w:rsidRPr="00B358E3">
        <w:rPr>
          <w:rFonts w:ascii="Arial" w:eastAsia="Calibri" w:hAnsi="Arial" w:cs="Arial"/>
          <w:sz w:val="20"/>
          <w:szCs w:val="20"/>
        </w:rPr>
        <w:t xml:space="preserve"> </w:t>
      </w:r>
      <w:r w:rsidR="00F159AB">
        <w:rPr>
          <w:rFonts w:ascii="Arial" w:eastAsia="Calibri" w:hAnsi="Arial" w:cs="Arial"/>
          <w:sz w:val="20"/>
          <w:szCs w:val="20"/>
        </w:rPr>
        <w:t>367,92</w:t>
      </w:r>
      <w:r w:rsidR="00B358E3" w:rsidRPr="00B358E3">
        <w:rPr>
          <w:rFonts w:ascii="Arial" w:eastAsia="Calibri" w:hAnsi="Arial" w:cs="Arial"/>
          <w:sz w:val="20"/>
          <w:szCs w:val="20"/>
        </w:rPr>
        <w:t xml:space="preserve"> €</w:t>
      </w:r>
      <w:r w:rsidR="00E56A76" w:rsidRPr="00B358E3">
        <w:rPr>
          <w:rFonts w:ascii="Arial" w:eastAsia="Calibri" w:hAnsi="Arial" w:cs="Arial"/>
          <w:sz w:val="20"/>
          <w:szCs w:val="20"/>
        </w:rPr>
        <w:t xml:space="preserve">, drugo </w:t>
      </w:r>
      <w:r w:rsidR="00F159AB">
        <w:rPr>
          <w:rFonts w:ascii="Arial" w:eastAsia="Calibri" w:hAnsi="Arial" w:cs="Arial"/>
          <w:sz w:val="20"/>
          <w:szCs w:val="20"/>
        </w:rPr>
        <w:t>208</w:t>
      </w:r>
      <w:r w:rsidR="0066762F" w:rsidRPr="00B358E3">
        <w:rPr>
          <w:rFonts w:ascii="Arial" w:eastAsia="Calibri" w:hAnsi="Arial" w:cs="Arial"/>
          <w:sz w:val="20"/>
          <w:szCs w:val="20"/>
        </w:rPr>
        <w:t xml:space="preserve"> </w:t>
      </w:r>
      <w:r w:rsidR="0030256E" w:rsidRPr="00B358E3">
        <w:rPr>
          <w:rFonts w:ascii="Arial" w:eastAsia="Calibri" w:hAnsi="Arial" w:cs="Arial"/>
          <w:sz w:val="20"/>
          <w:szCs w:val="20"/>
        </w:rPr>
        <w:t>€</w:t>
      </w:r>
      <w:r w:rsidRPr="00B358E3">
        <w:rPr>
          <w:rFonts w:ascii="Arial" w:eastAsia="Calibri" w:hAnsi="Arial" w:cs="Arial"/>
          <w:sz w:val="20"/>
          <w:szCs w:val="20"/>
        </w:rPr>
        <w:t>),</w:t>
      </w:r>
      <w:r w:rsidR="00AC4EAF" w:rsidRPr="00B358E3">
        <w:rPr>
          <w:rFonts w:ascii="Arial" w:eastAsia="Calibri" w:hAnsi="Arial" w:cs="Arial"/>
          <w:sz w:val="20"/>
          <w:szCs w:val="20"/>
        </w:rPr>
        <w:t>dok nije bilo ostalih</w:t>
      </w:r>
      <w:r w:rsidRPr="00B358E3">
        <w:rPr>
          <w:rFonts w:ascii="Arial" w:eastAsia="Calibri" w:hAnsi="Arial" w:cs="Arial"/>
          <w:sz w:val="20"/>
          <w:szCs w:val="20"/>
        </w:rPr>
        <w:t xml:space="preserve"> financijsk</w:t>
      </w:r>
      <w:r w:rsidR="00AC4EAF" w:rsidRPr="00B358E3">
        <w:rPr>
          <w:rFonts w:ascii="Arial" w:eastAsia="Calibri" w:hAnsi="Arial" w:cs="Arial"/>
          <w:sz w:val="20"/>
          <w:szCs w:val="20"/>
        </w:rPr>
        <w:t>ih</w:t>
      </w:r>
      <w:r w:rsidRPr="00B358E3">
        <w:rPr>
          <w:rFonts w:ascii="Arial" w:eastAsia="Calibri" w:hAnsi="Arial" w:cs="Arial"/>
          <w:sz w:val="20"/>
          <w:szCs w:val="20"/>
        </w:rPr>
        <w:t xml:space="preserve"> rashod</w:t>
      </w:r>
      <w:r w:rsidR="00AC4EAF" w:rsidRPr="00B358E3">
        <w:rPr>
          <w:rFonts w:ascii="Arial" w:eastAsia="Calibri" w:hAnsi="Arial" w:cs="Arial"/>
          <w:sz w:val="20"/>
          <w:szCs w:val="20"/>
        </w:rPr>
        <w:t>a</w:t>
      </w:r>
      <w:r w:rsidRPr="00B358E3">
        <w:rPr>
          <w:rFonts w:ascii="Arial" w:eastAsia="Calibri" w:hAnsi="Arial" w:cs="Arial"/>
          <w:sz w:val="20"/>
          <w:szCs w:val="20"/>
        </w:rPr>
        <w:t xml:space="preserve"> (343) </w:t>
      </w:r>
      <w:r w:rsidR="00AC4EAF" w:rsidRPr="00B358E3">
        <w:rPr>
          <w:rFonts w:ascii="Arial" w:eastAsia="Calibri" w:hAnsi="Arial" w:cs="Arial"/>
          <w:sz w:val="20"/>
          <w:szCs w:val="20"/>
        </w:rPr>
        <w:t>(</w:t>
      </w:r>
      <w:r w:rsidRPr="00B358E3">
        <w:rPr>
          <w:rFonts w:ascii="Arial" w:eastAsia="Calibri" w:hAnsi="Arial" w:cs="Arial"/>
          <w:sz w:val="20"/>
          <w:szCs w:val="20"/>
        </w:rPr>
        <w:t>usluge platnog prometa</w:t>
      </w:r>
      <w:r w:rsidR="00AC4EAF" w:rsidRPr="00B358E3">
        <w:rPr>
          <w:rFonts w:ascii="Arial" w:eastAsia="Calibri" w:hAnsi="Arial" w:cs="Arial"/>
          <w:sz w:val="20"/>
          <w:szCs w:val="20"/>
        </w:rPr>
        <w:t>). Rashodi z</w:t>
      </w:r>
      <w:r w:rsidR="00B358E3" w:rsidRPr="00B358E3">
        <w:rPr>
          <w:rFonts w:ascii="Arial" w:eastAsia="Calibri" w:hAnsi="Arial" w:cs="Arial"/>
          <w:sz w:val="20"/>
          <w:szCs w:val="20"/>
        </w:rPr>
        <w:t>a</w:t>
      </w:r>
      <w:r w:rsidR="00AC4EAF" w:rsidRPr="00B358E3">
        <w:rPr>
          <w:rFonts w:ascii="Arial" w:eastAsia="Calibri" w:hAnsi="Arial" w:cs="Arial"/>
          <w:sz w:val="20"/>
          <w:szCs w:val="20"/>
        </w:rPr>
        <w:t xml:space="preserve"> post</w:t>
      </w:r>
      <w:r w:rsidRPr="00B358E3">
        <w:rPr>
          <w:rFonts w:ascii="Arial" w:eastAsia="Calibri" w:hAnsi="Arial" w:cs="Arial"/>
          <w:sz w:val="20"/>
          <w:szCs w:val="20"/>
        </w:rPr>
        <w:t>rojenja i opremu (422)</w:t>
      </w:r>
      <w:r w:rsidR="00AC4EAF" w:rsidRPr="00B358E3">
        <w:rPr>
          <w:rFonts w:ascii="Arial" w:eastAsia="Calibri" w:hAnsi="Arial" w:cs="Arial"/>
          <w:sz w:val="20"/>
          <w:szCs w:val="20"/>
        </w:rPr>
        <w:t xml:space="preserve"> iznose </w:t>
      </w:r>
      <w:r w:rsidR="00F159AB">
        <w:rPr>
          <w:rFonts w:ascii="Arial" w:eastAsia="Calibri" w:hAnsi="Arial" w:cs="Arial"/>
          <w:sz w:val="20"/>
          <w:szCs w:val="20"/>
        </w:rPr>
        <w:t>2.302,90</w:t>
      </w:r>
      <w:r w:rsidR="00AC4EAF" w:rsidRPr="00B358E3">
        <w:rPr>
          <w:rFonts w:ascii="Arial" w:eastAsia="Calibri" w:hAnsi="Arial" w:cs="Arial"/>
          <w:sz w:val="20"/>
          <w:szCs w:val="20"/>
        </w:rPr>
        <w:t xml:space="preserve"> €.</w:t>
      </w:r>
    </w:p>
    <w:p w14:paraId="0A36F204" w14:textId="77777777" w:rsidR="00174799" w:rsidRPr="003F7930" w:rsidRDefault="00174799" w:rsidP="007B5B0C">
      <w:pPr>
        <w:autoSpaceDE w:val="0"/>
        <w:autoSpaceDN w:val="0"/>
        <w:adjustRightInd w:val="0"/>
        <w:spacing w:after="0" w:line="240" w:lineRule="auto"/>
        <w:jc w:val="both"/>
        <w:rPr>
          <w:rFonts w:ascii="Arial" w:eastAsia="Calibri" w:hAnsi="Arial" w:cs="Arial"/>
          <w:sz w:val="20"/>
          <w:szCs w:val="20"/>
        </w:rPr>
      </w:pPr>
    </w:p>
    <w:p w14:paraId="1E8E024E" w14:textId="4C525361" w:rsidR="00B6707A" w:rsidRPr="003F7930" w:rsidRDefault="00B6707A" w:rsidP="00B6707A">
      <w:pPr>
        <w:autoSpaceDE w:val="0"/>
        <w:autoSpaceDN w:val="0"/>
        <w:adjustRightInd w:val="0"/>
        <w:spacing w:after="0" w:line="240" w:lineRule="auto"/>
        <w:jc w:val="both"/>
        <w:rPr>
          <w:rFonts w:ascii="Arial" w:eastAsia="Calibri" w:hAnsi="Arial" w:cs="Arial"/>
          <w:sz w:val="20"/>
          <w:szCs w:val="20"/>
        </w:rPr>
      </w:pPr>
      <w:r w:rsidRPr="003F7930">
        <w:rPr>
          <w:rFonts w:ascii="Arial" w:eastAsia="Calibri" w:hAnsi="Arial" w:cs="Arial"/>
          <w:sz w:val="20"/>
          <w:szCs w:val="20"/>
        </w:rPr>
        <w:t xml:space="preserve">Iz proračuna Općine Konavle ostvareni su prihodi od sufinanciranja cijene osnovnih usluga smještaja Domu za starije i nemoćne u iznosu </w:t>
      </w:r>
      <w:r w:rsidR="00857BE6">
        <w:rPr>
          <w:rFonts w:ascii="Arial" w:eastAsia="Calibri" w:hAnsi="Arial" w:cs="Arial"/>
          <w:sz w:val="20"/>
          <w:szCs w:val="20"/>
        </w:rPr>
        <w:t>50.585,83</w:t>
      </w:r>
      <w:r w:rsidRPr="003F7930">
        <w:rPr>
          <w:rFonts w:ascii="Arial" w:eastAsia="Calibri" w:hAnsi="Arial" w:cs="Arial"/>
          <w:sz w:val="20"/>
          <w:szCs w:val="20"/>
        </w:rPr>
        <w:t xml:space="preserve"> </w:t>
      </w:r>
      <w:r w:rsidR="00252898" w:rsidRPr="003F7930">
        <w:rPr>
          <w:rFonts w:ascii="Arial" w:eastAsia="Calibri" w:hAnsi="Arial" w:cs="Arial"/>
          <w:sz w:val="20"/>
          <w:szCs w:val="20"/>
        </w:rPr>
        <w:t>€</w:t>
      </w:r>
      <w:r w:rsidRPr="003F7930">
        <w:rPr>
          <w:rFonts w:ascii="Arial" w:eastAsia="Calibri" w:hAnsi="Arial" w:cs="Arial"/>
          <w:sz w:val="20"/>
          <w:szCs w:val="20"/>
        </w:rPr>
        <w:t xml:space="preserve"> (aktivnost u proračunu Općine A204125). Stanovnici Općine Konavle s prebivalištem na području Općine Konavle u neprekidnom trajanju od najmanje trideset ( 30 ) godina prije podnošenja zahtjeva za prijem u Dom ostvaruju pravo na sufinanciranje cijene osnovnih usluga smještaja iz proračuna Općine Konavle u iznosu od 20% od osnovne cijene smještaja.</w:t>
      </w:r>
    </w:p>
    <w:p w14:paraId="5791405F" w14:textId="77777777" w:rsidR="00B6707A" w:rsidRPr="003F7930" w:rsidRDefault="00B6707A" w:rsidP="007B5B0C">
      <w:pPr>
        <w:autoSpaceDE w:val="0"/>
        <w:autoSpaceDN w:val="0"/>
        <w:adjustRightInd w:val="0"/>
        <w:spacing w:after="0" w:line="240" w:lineRule="auto"/>
        <w:jc w:val="both"/>
        <w:rPr>
          <w:rFonts w:ascii="Arial" w:eastAsia="Calibri" w:hAnsi="Arial" w:cs="Arial"/>
          <w:sz w:val="20"/>
          <w:szCs w:val="20"/>
        </w:rPr>
      </w:pPr>
    </w:p>
    <w:p w14:paraId="2558B9F5" w14:textId="737F34A9" w:rsidR="003B5B15" w:rsidRPr="003F7930" w:rsidRDefault="00EA1F52" w:rsidP="007B5B0C">
      <w:pPr>
        <w:autoSpaceDE w:val="0"/>
        <w:autoSpaceDN w:val="0"/>
        <w:adjustRightInd w:val="0"/>
        <w:spacing w:after="0" w:line="240" w:lineRule="auto"/>
        <w:jc w:val="both"/>
        <w:rPr>
          <w:rFonts w:ascii="Arial" w:eastAsia="Calibri" w:hAnsi="Arial" w:cs="Arial"/>
          <w:sz w:val="20"/>
          <w:szCs w:val="20"/>
        </w:rPr>
      </w:pPr>
      <w:r w:rsidRPr="003F7930">
        <w:rPr>
          <w:rFonts w:ascii="Arial" w:eastAsia="Calibri" w:hAnsi="Arial" w:cs="Arial"/>
          <w:sz w:val="20"/>
          <w:szCs w:val="20"/>
        </w:rPr>
        <w:t>Sveukupno izvršeni r</w:t>
      </w:r>
      <w:r w:rsidR="00B91CA1" w:rsidRPr="003F7930">
        <w:rPr>
          <w:rFonts w:ascii="Arial" w:eastAsia="Calibri" w:hAnsi="Arial" w:cs="Arial"/>
          <w:sz w:val="20"/>
          <w:szCs w:val="20"/>
        </w:rPr>
        <w:t xml:space="preserve">ashodi za zaposlene (31) u iznosu </w:t>
      </w:r>
      <w:r w:rsidR="00551327">
        <w:rPr>
          <w:rFonts w:ascii="Arial" w:eastAsia="Calibri" w:hAnsi="Arial" w:cs="Arial"/>
          <w:sz w:val="20"/>
          <w:szCs w:val="20"/>
        </w:rPr>
        <w:t>524.759,47</w:t>
      </w:r>
      <w:r w:rsidR="0030256E" w:rsidRPr="003F7930">
        <w:rPr>
          <w:rFonts w:ascii="Arial" w:eastAsia="Calibri" w:hAnsi="Arial" w:cs="Arial"/>
          <w:sz w:val="20"/>
          <w:szCs w:val="20"/>
        </w:rPr>
        <w:t xml:space="preserve"> €</w:t>
      </w:r>
      <w:r w:rsidR="00B91CA1" w:rsidRPr="003F7930">
        <w:rPr>
          <w:rFonts w:ascii="Arial" w:eastAsia="Calibri" w:hAnsi="Arial" w:cs="Arial"/>
          <w:sz w:val="20"/>
          <w:szCs w:val="20"/>
        </w:rPr>
        <w:t xml:space="preserve"> čine </w:t>
      </w:r>
      <w:r w:rsidR="00551327">
        <w:rPr>
          <w:rFonts w:ascii="Arial" w:eastAsia="Calibri" w:hAnsi="Arial" w:cs="Arial"/>
          <w:sz w:val="20"/>
          <w:szCs w:val="20"/>
        </w:rPr>
        <w:t>75,4</w:t>
      </w:r>
      <w:r w:rsidR="00B91CA1" w:rsidRPr="003F7930">
        <w:rPr>
          <w:rFonts w:ascii="Arial" w:eastAsia="Calibri" w:hAnsi="Arial" w:cs="Arial"/>
          <w:sz w:val="20"/>
          <w:szCs w:val="20"/>
        </w:rPr>
        <w:t>% ukupnih rashoda ovog proračun</w:t>
      </w:r>
      <w:r w:rsidR="00D352C3" w:rsidRPr="003F7930">
        <w:rPr>
          <w:rFonts w:ascii="Arial" w:eastAsia="Calibri" w:hAnsi="Arial" w:cs="Arial"/>
          <w:sz w:val="20"/>
          <w:szCs w:val="20"/>
        </w:rPr>
        <w:t>skog korisnika (program 2044)</w:t>
      </w:r>
      <w:r w:rsidR="0030256E" w:rsidRPr="003F7930">
        <w:rPr>
          <w:rFonts w:ascii="Arial" w:eastAsia="Calibri" w:hAnsi="Arial" w:cs="Arial"/>
          <w:sz w:val="20"/>
          <w:szCs w:val="20"/>
        </w:rPr>
        <w:t xml:space="preserve">, dok zajedno s rashodima za prijevoz na posao i s posla čine </w:t>
      </w:r>
      <w:r w:rsidR="000F2CE5">
        <w:rPr>
          <w:rFonts w:ascii="Arial" w:eastAsia="Calibri" w:hAnsi="Arial" w:cs="Arial"/>
          <w:sz w:val="20"/>
          <w:szCs w:val="20"/>
        </w:rPr>
        <w:t>78,1</w:t>
      </w:r>
      <w:r w:rsidR="004D7B6F" w:rsidRPr="003F7930">
        <w:rPr>
          <w:rFonts w:ascii="Arial" w:eastAsia="Calibri" w:hAnsi="Arial" w:cs="Arial"/>
          <w:sz w:val="20"/>
          <w:szCs w:val="20"/>
        </w:rPr>
        <w:t>% ukupnih rashoda ustanove.</w:t>
      </w:r>
    </w:p>
    <w:p w14:paraId="57E2A46C" w14:textId="3ACAF63C" w:rsidR="00D352C3" w:rsidRPr="003A2F86" w:rsidRDefault="00D352C3" w:rsidP="002031CE">
      <w:pPr>
        <w:autoSpaceDE w:val="0"/>
        <w:autoSpaceDN w:val="0"/>
        <w:adjustRightInd w:val="0"/>
        <w:spacing w:after="0" w:line="240" w:lineRule="auto"/>
        <w:jc w:val="both"/>
        <w:rPr>
          <w:rFonts w:ascii="Arial" w:eastAsia="Calibri" w:hAnsi="Arial" w:cs="Arial"/>
          <w:sz w:val="20"/>
          <w:szCs w:val="20"/>
        </w:rPr>
      </w:pPr>
    </w:p>
    <w:p w14:paraId="2CCABAD2" w14:textId="1EFBA72F" w:rsidR="002031CE" w:rsidRPr="003A2F86" w:rsidRDefault="002031CE" w:rsidP="002031CE">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Rashodi za zaposlene (31) </w:t>
      </w:r>
      <w:r w:rsidRPr="003A2F86">
        <w:rPr>
          <w:rFonts w:ascii="Arial" w:eastAsia="Times New Roman" w:hAnsi="Arial" w:cs="Arial"/>
          <w:iCs/>
          <w:sz w:val="20"/>
          <w:szCs w:val="20"/>
        </w:rPr>
        <w:t xml:space="preserve">ustanove Dom za starije i nemoćne osobe Konavle </w:t>
      </w:r>
      <w:r w:rsidR="007B5B0C" w:rsidRPr="003A2F86">
        <w:rPr>
          <w:rFonts w:ascii="Arial" w:eastAsia="Calibri" w:hAnsi="Arial" w:cs="Arial"/>
          <w:sz w:val="20"/>
          <w:szCs w:val="20"/>
        </w:rPr>
        <w:t>u iznosu</w:t>
      </w:r>
      <w:r w:rsidRPr="003A2F86">
        <w:rPr>
          <w:rFonts w:ascii="Arial" w:eastAsia="Calibri" w:hAnsi="Arial" w:cs="Arial"/>
          <w:sz w:val="20"/>
          <w:szCs w:val="20"/>
        </w:rPr>
        <w:t xml:space="preserve"> </w:t>
      </w:r>
      <w:r w:rsidR="002B7F64">
        <w:rPr>
          <w:rFonts w:ascii="Arial" w:eastAsia="Calibri" w:hAnsi="Arial" w:cs="Arial"/>
          <w:sz w:val="20"/>
          <w:szCs w:val="20"/>
        </w:rPr>
        <w:t>524.759,47</w:t>
      </w:r>
      <w:r w:rsidR="004D7B6F" w:rsidRPr="003A2F86">
        <w:rPr>
          <w:rFonts w:ascii="Arial" w:eastAsia="Calibri" w:hAnsi="Arial" w:cs="Arial"/>
          <w:sz w:val="20"/>
          <w:szCs w:val="20"/>
        </w:rPr>
        <w:t xml:space="preserve"> €</w:t>
      </w:r>
      <w:r w:rsidR="007B5B0C" w:rsidRPr="003A2F86">
        <w:rPr>
          <w:rFonts w:ascii="Arial" w:eastAsia="Calibri" w:hAnsi="Arial" w:cs="Arial"/>
          <w:sz w:val="20"/>
          <w:szCs w:val="20"/>
        </w:rPr>
        <w:t xml:space="preserve"> čine </w:t>
      </w:r>
      <w:r w:rsidR="002B7F64">
        <w:rPr>
          <w:rFonts w:ascii="Arial" w:eastAsia="Calibri" w:hAnsi="Arial" w:cs="Arial"/>
          <w:sz w:val="20"/>
          <w:szCs w:val="20"/>
        </w:rPr>
        <w:t>5,</w:t>
      </w:r>
      <w:r w:rsidR="0062411F">
        <w:rPr>
          <w:rFonts w:ascii="Arial" w:eastAsia="Calibri" w:hAnsi="Arial" w:cs="Arial"/>
          <w:sz w:val="20"/>
          <w:szCs w:val="20"/>
        </w:rPr>
        <w:t>3</w:t>
      </w:r>
      <w:r w:rsidRPr="003A2F86">
        <w:rPr>
          <w:rFonts w:ascii="Arial" w:eastAsia="Calibri" w:hAnsi="Arial" w:cs="Arial"/>
          <w:sz w:val="20"/>
          <w:szCs w:val="20"/>
        </w:rPr>
        <w:t xml:space="preserve">% ukupnih rashoda Proračuna (rashodi poslovanja „3“ i rashodi na nabavu nefinancijske imovine „4“), odnosno </w:t>
      </w:r>
      <w:r w:rsidR="0062411F">
        <w:rPr>
          <w:rFonts w:ascii="Arial" w:eastAsia="Calibri" w:hAnsi="Arial" w:cs="Arial"/>
          <w:sz w:val="20"/>
          <w:szCs w:val="20"/>
        </w:rPr>
        <w:t>5,2</w:t>
      </w:r>
      <w:r w:rsidRPr="003A2F86">
        <w:rPr>
          <w:rFonts w:ascii="Arial" w:eastAsia="Calibri" w:hAnsi="Arial" w:cs="Arial"/>
          <w:sz w:val="20"/>
          <w:szCs w:val="20"/>
        </w:rPr>
        <w:t>% ukupnih rashoda i izdataka Proračuna (rashodi poslovanja „3“ i rashodi na nabavu nefinancijske imovine „4“ uvećani za izdatke za financijsku imovinu i otplate zajmova „5“).</w:t>
      </w:r>
      <w:r w:rsidR="00D7349C" w:rsidRPr="003A2F86">
        <w:rPr>
          <w:rFonts w:ascii="Arial" w:eastAsia="Calibri" w:hAnsi="Arial" w:cs="Arial"/>
          <w:sz w:val="20"/>
          <w:szCs w:val="20"/>
        </w:rPr>
        <w:t xml:space="preserve"> </w:t>
      </w:r>
    </w:p>
    <w:p w14:paraId="786DE03B" w14:textId="329C18F1" w:rsidR="002031CE" w:rsidRPr="003A2F86" w:rsidRDefault="002031CE" w:rsidP="002031CE">
      <w:pPr>
        <w:autoSpaceDE w:val="0"/>
        <w:autoSpaceDN w:val="0"/>
        <w:adjustRightInd w:val="0"/>
        <w:spacing w:after="0" w:line="240" w:lineRule="auto"/>
        <w:jc w:val="both"/>
        <w:rPr>
          <w:rFonts w:ascii="Arial" w:eastAsia="Calibri" w:hAnsi="Arial" w:cs="Arial"/>
          <w:sz w:val="20"/>
          <w:szCs w:val="20"/>
        </w:rPr>
      </w:pPr>
    </w:p>
    <w:p w14:paraId="2CC92A1F" w14:textId="77777777" w:rsidR="00626756" w:rsidRPr="003A2F86" w:rsidRDefault="00626756" w:rsidP="00626756">
      <w:pPr>
        <w:spacing w:after="0" w:line="240" w:lineRule="auto"/>
        <w:jc w:val="both"/>
        <w:rPr>
          <w:rFonts w:ascii="Arial" w:eastAsia="Calibri" w:hAnsi="Arial" w:cs="Arial"/>
          <w:sz w:val="20"/>
          <w:szCs w:val="20"/>
          <w:u w:val="single"/>
        </w:rPr>
      </w:pPr>
      <w:r w:rsidRPr="003A2F86">
        <w:rPr>
          <w:rFonts w:ascii="Arial" w:eastAsia="Calibri" w:hAnsi="Arial" w:cs="Arial"/>
          <w:b/>
          <w:sz w:val="20"/>
          <w:szCs w:val="20"/>
          <w:u w:val="single"/>
        </w:rPr>
        <w:t>Cilj:</w:t>
      </w:r>
      <w:r w:rsidRPr="003A2F86">
        <w:rPr>
          <w:rFonts w:ascii="Arial" w:eastAsia="Calibri" w:hAnsi="Arial" w:cs="Arial"/>
          <w:sz w:val="20"/>
          <w:szCs w:val="20"/>
          <w:u w:val="single"/>
        </w:rPr>
        <w:t xml:space="preserve"> Potpuna popunjenost smještajnih kapaciteta Doma</w:t>
      </w:r>
    </w:p>
    <w:p w14:paraId="3C61A334" w14:textId="77777777" w:rsidR="00626756" w:rsidRPr="003A2F86" w:rsidRDefault="00626756"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1980"/>
        <w:gridCol w:w="3544"/>
        <w:gridCol w:w="1094"/>
        <w:gridCol w:w="1174"/>
        <w:gridCol w:w="1134"/>
        <w:gridCol w:w="1395"/>
        <w:gridCol w:w="1440"/>
        <w:gridCol w:w="1394"/>
        <w:gridCol w:w="1496"/>
      </w:tblGrid>
      <w:tr w:rsidR="0066762F" w:rsidRPr="003A2F86" w14:paraId="419D8C85" w14:textId="77777777" w:rsidTr="00923DED">
        <w:trPr>
          <w:jc w:val="center"/>
        </w:trPr>
        <w:tc>
          <w:tcPr>
            <w:tcW w:w="1980" w:type="dxa"/>
            <w:shd w:val="clear" w:color="auto" w:fill="BFBFBF" w:themeFill="background1" w:themeFillShade="BF"/>
            <w:vAlign w:val="center"/>
          </w:tcPr>
          <w:p w14:paraId="08BEE7B9" w14:textId="77777777" w:rsidR="00626756" w:rsidRPr="003A2F86" w:rsidRDefault="00626756" w:rsidP="00B223BA">
            <w:pPr>
              <w:jc w:val="center"/>
              <w:rPr>
                <w:rFonts w:ascii="Arial" w:eastAsia="Calibri" w:hAnsi="Arial" w:cs="Arial"/>
              </w:rPr>
            </w:pPr>
            <w:r w:rsidRPr="003A2F86">
              <w:rPr>
                <w:rFonts w:ascii="Arial" w:eastAsia="Calibri" w:hAnsi="Arial" w:cs="Arial"/>
              </w:rPr>
              <w:t>Pokazatelj uspješnosti</w:t>
            </w:r>
          </w:p>
        </w:tc>
        <w:tc>
          <w:tcPr>
            <w:tcW w:w="3544" w:type="dxa"/>
            <w:shd w:val="clear" w:color="auto" w:fill="BFBFBF" w:themeFill="background1" w:themeFillShade="BF"/>
            <w:vAlign w:val="center"/>
          </w:tcPr>
          <w:p w14:paraId="1ECC51EA" w14:textId="77777777" w:rsidR="00626756" w:rsidRPr="003A2F86" w:rsidRDefault="00626756" w:rsidP="00B223BA">
            <w:pPr>
              <w:jc w:val="center"/>
              <w:rPr>
                <w:rFonts w:ascii="Arial" w:eastAsia="Calibri" w:hAnsi="Arial" w:cs="Arial"/>
              </w:rPr>
            </w:pPr>
            <w:r w:rsidRPr="003A2F86">
              <w:rPr>
                <w:rFonts w:ascii="Arial" w:eastAsia="Calibri" w:hAnsi="Arial" w:cs="Arial"/>
              </w:rPr>
              <w:t>Definicija</w:t>
            </w:r>
          </w:p>
        </w:tc>
        <w:tc>
          <w:tcPr>
            <w:tcW w:w="1094" w:type="dxa"/>
            <w:shd w:val="clear" w:color="auto" w:fill="BFBFBF" w:themeFill="background1" w:themeFillShade="BF"/>
            <w:vAlign w:val="center"/>
          </w:tcPr>
          <w:p w14:paraId="1F6F5035" w14:textId="77777777" w:rsidR="00626756" w:rsidRPr="003A2F86" w:rsidRDefault="00626756" w:rsidP="00B223BA">
            <w:pPr>
              <w:jc w:val="center"/>
              <w:rPr>
                <w:rFonts w:ascii="Arial" w:eastAsia="Calibri" w:hAnsi="Arial" w:cs="Arial"/>
              </w:rPr>
            </w:pPr>
            <w:r w:rsidRPr="003A2F86">
              <w:rPr>
                <w:rFonts w:ascii="Arial" w:eastAsia="Calibri" w:hAnsi="Arial" w:cs="Arial"/>
              </w:rPr>
              <w:t>Jedinica</w:t>
            </w:r>
          </w:p>
        </w:tc>
        <w:tc>
          <w:tcPr>
            <w:tcW w:w="1174" w:type="dxa"/>
            <w:shd w:val="clear" w:color="auto" w:fill="BFBFBF" w:themeFill="background1" w:themeFillShade="BF"/>
            <w:vAlign w:val="center"/>
          </w:tcPr>
          <w:p w14:paraId="0C64BEB3" w14:textId="77777777" w:rsidR="00626756" w:rsidRPr="003A2F86" w:rsidRDefault="00626756" w:rsidP="00B223BA">
            <w:pPr>
              <w:jc w:val="center"/>
              <w:rPr>
                <w:rFonts w:ascii="Arial" w:eastAsia="Calibri" w:hAnsi="Arial" w:cs="Arial"/>
              </w:rPr>
            </w:pPr>
            <w:r w:rsidRPr="003A2F86">
              <w:rPr>
                <w:rFonts w:ascii="Arial" w:eastAsia="Calibri" w:hAnsi="Arial" w:cs="Arial"/>
              </w:rPr>
              <w:t>Polazna vrijednost</w:t>
            </w:r>
          </w:p>
          <w:p w14:paraId="0FF48A69" w14:textId="15E1BDB8" w:rsidR="00626756" w:rsidRPr="003A2F86" w:rsidRDefault="00626756" w:rsidP="00087502">
            <w:pPr>
              <w:jc w:val="center"/>
              <w:rPr>
                <w:rFonts w:ascii="Arial" w:eastAsia="Calibri" w:hAnsi="Arial" w:cs="Arial"/>
              </w:rPr>
            </w:pPr>
            <w:r w:rsidRPr="003A2F86">
              <w:rPr>
                <w:rFonts w:ascii="Arial" w:eastAsia="Calibri" w:hAnsi="Arial" w:cs="Arial"/>
              </w:rPr>
              <w:t>202</w:t>
            </w:r>
            <w:r w:rsidR="0062411F">
              <w:rPr>
                <w:rFonts w:ascii="Arial" w:eastAsia="Calibri" w:hAnsi="Arial" w:cs="Arial"/>
              </w:rPr>
              <w:t>4</w:t>
            </w:r>
            <w:r w:rsidRPr="003A2F86">
              <w:rPr>
                <w:rFonts w:ascii="Arial" w:eastAsia="Calibri" w:hAnsi="Arial" w:cs="Arial"/>
              </w:rPr>
              <w:t>.</w:t>
            </w:r>
          </w:p>
        </w:tc>
        <w:tc>
          <w:tcPr>
            <w:tcW w:w="1134" w:type="dxa"/>
            <w:shd w:val="clear" w:color="auto" w:fill="BFBFBF" w:themeFill="background1" w:themeFillShade="BF"/>
            <w:vAlign w:val="center"/>
          </w:tcPr>
          <w:p w14:paraId="336E8628" w14:textId="77777777" w:rsidR="00626756" w:rsidRPr="003A2F86" w:rsidRDefault="00626756" w:rsidP="00B223BA">
            <w:pPr>
              <w:jc w:val="center"/>
              <w:rPr>
                <w:rFonts w:ascii="Arial" w:eastAsia="Calibri" w:hAnsi="Arial" w:cs="Arial"/>
              </w:rPr>
            </w:pPr>
            <w:r w:rsidRPr="003A2F86">
              <w:rPr>
                <w:rFonts w:ascii="Arial" w:eastAsia="Calibri" w:hAnsi="Arial" w:cs="Arial"/>
              </w:rPr>
              <w:t>Izvor podataka</w:t>
            </w:r>
          </w:p>
        </w:tc>
        <w:tc>
          <w:tcPr>
            <w:tcW w:w="1395" w:type="dxa"/>
            <w:shd w:val="clear" w:color="auto" w:fill="BFBFBF" w:themeFill="background1" w:themeFillShade="BF"/>
            <w:vAlign w:val="center"/>
          </w:tcPr>
          <w:p w14:paraId="321D8639" w14:textId="4BDF5A3B" w:rsidR="00626756" w:rsidRPr="003A2F86" w:rsidRDefault="00626756" w:rsidP="00B223BA">
            <w:pPr>
              <w:jc w:val="center"/>
              <w:rPr>
                <w:rFonts w:ascii="Arial" w:eastAsia="Calibri" w:hAnsi="Arial" w:cs="Arial"/>
              </w:rPr>
            </w:pPr>
            <w:r w:rsidRPr="003A2F86">
              <w:rPr>
                <w:rFonts w:ascii="Arial" w:eastAsia="Calibri" w:hAnsi="Arial" w:cs="Arial"/>
              </w:rPr>
              <w:t>Ciljana vrijed. 202</w:t>
            </w:r>
            <w:r w:rsidR="0062411F">
              <w:rPr>
                <w:rFonts w:ascii="Arial" w:eastAsia="Calibri" w:hAnsi="Arial" w:cs="Arial"/>
              </w:rPr>
              <w:t>5</w:t>
            </w:r>
            <w:r w:rsidRPr="003A2F86">
              <w:rPr>
                <w:rFonts w:ascii="Arial" w:eastAsia="Calibri" w:hAnsi="Arial" w:cs="Arial"/>
              </w:rPr>
              <w:t>.</w:t>
            </w:r>
          </w:p>
        </w:tc>
        <w:tc>
          <w:tcPr>
            <w:tcW w:w="1440" w:type="dxa"/>
            <w:shd w:val="clear" w:color="auto" w:fill="BFBFBF" w:themeFill="background1" w:themeFillShade="BF"/>
            <w:vAlign w:val="center"/>
          </w:tcPr>
          <w:p w14:paraId="31B2FC72" w14:textId="77777777" w:rsidR="00626756" w:rsidRPr="003A2F86" w:rsidRDefault="00626756" w:rsidP="00B223BA">
            <w:pPr>
              <w:jc w:val="center"/>
              <w:rPr>
                <w:rFonts w:ascii="Arial" w:eastAsia="Calibri" w:hAnsi="Arial" w:cs="Arial"/>
              </w:rPr>
            </w:pPr>
            <w:r w:rsidRPr="003A2F86">
              <w:rPr>
                <w:rFonts w:ascii="Arial" w:eastAsia="Calibri" w:hAnsi="Arial" w:cs="Arial"/>
              </w:rPr>
              <w:t>Ostvareno u izvještajnom razdoblju</w:t>
            </w:r>
          </w:p>
        </w:tc>
        <w:tc>
          <w:tcPr>
            <w:tcW w:w="1394" w:type="dxa"/>
            <w:shd w:val="clear" w:color="auto" w:fill="BFBFBF" w:themeFill="background1" w:themeFillShade="BF"/>
            <w:vAlign w:val="center"/>
          </w:tcPr>
          <w:p w14:paraId="3A8B5CAF" w14:textId="46B275C0" w:rsidR="00626756" w:rsidRPr="003A2F86" w:rsidRDefault="00626756" w:rsidP="00B223BA">
            <w:pPr>
              <w:jc w:val="center"/>
              <w:rPr>
                <w:rFonts w:ascii="Arial" w:eastAsia="Calibri" w:hAnsi="Arial" w:cs="Arial"/>
              </w:rPr>
            </w:pPr>
            <w:r w:rsidRPr="003A2F86">
              <w:rPr>
                <w:rFonts w:ascii="Arial" w:eastAsia="Calibri" w:hAnsi="Arial" w:cs="Arial"/>
              </w:rPr>
              <w:t>Ciljana vrijed. 202</w:t>
            </w:r>
            <w:r w:rsidR="0062411F">
              <w:rPr>
                <w:rFonts w:ascii="Arial" w:eastAsia="Calibri" w:hAnsi="Arial" w:cs="Arial"/>
              </w:rPr>
              <w:t>6</w:t>
            </w:r>
            <w:r w:rsidRPr="003A2F86">
              <w:rPr>
                <w:rFonts w:ascii="Arial" w:eastAsia="Calibri" w:hAnsi="Arial" w:cs="Arial"/>
              </w:rPr>
              <w:t>.</w:t>
            </w:r>
          </w:p>
        </w:tc>
        <w:tc>
          <w:tcPr>
            <w:tcW w:w="1496" w:type="dxa"/>
            <w:shd w:val="clear" w:color="auto" w:fill="BFBFBF" w:themeFill="background1" w:themeFillShade="BF"/>
            <w:vAlign w:val="center"/>
          </w:tcPr>
          <w:p w14:paraId="0F6F730E" w14:textId="3446F36F" w:rsidR="00626756" w:rsidRPr="003A2F86" w:rsidRDefault="00626756" w:rsidP="00B223BA">
            <w:pPr>
              <w:jc w:val="center"/>
              <w:rPr>
                <w:rFonts w:ascii="Arial" w:eastAsia="Calibri" w:hAnsi="Arial" w:cs="Arial"/>
              </w:rPr>
            </w:pPr>
            <w:r w:rsidRPr="003A2F86">
              <w:rPr>
                <w:rFonts w:ascii="Arial" w:eastAsia="Calibri" w:hAnsi="Arial" w:cs="Arial"/>
              </w:rPr>
              <w:t>Ciljana vrijed. 202</w:t>
            </w:r>
            <w:r w:rsidR="0062411F">
              <w:rPr>
                <w:rFonts w:ascii="Arial" w:eastAsia="Calibri" w:hAnsi="Arial" w:cs="Arial"/>
              </w:rPr>
              <w:t>7</w:t>
            </w:r>
            <w:r w:rsidRPr="003A2F86">
              <w:rPr>
                <w:rFonts w:ascii="Arial" w:eastAsia="Calibri" w:hAnsi="Arial" w:cs="Arial"/>
              </w:rPr>
              <w:t>.</w:t>
            </w:r>
          </w:p>
        </w:tc>
      </w:tr>
      <w:tr w:rsidR="00626756" w:rsidRPr="003A2F86" w14:paraId="5748937F" w14:textId="77777777" w:rsidTr="00923DED">
        <w:trPr>
          <w:trHeight w:val="821"/>
          <w:jc w:val="center"/>
        </w:trPr>
        <w:tc>
          <w:tcPr>
            <w:tcW w:w="1980" w:type="dxa"/>
            <w:vAlign w:val="center"/>
          </w:tcPr>
          <w:p w14:paraId="1B13D737" w14:textId="77777777" w:rsidR="00626756" w:rsidRPr="003A2F86" w:rsidRDefault="00626756" w:rsidP="00B223BA">
            <w:pPr>
              <w:rPr>
                <w:rFonts w:ascii="Arial" w:eastAsia="Calibri" w:hAnsi="Arial" w:cs="Arial"/>
              </w:rPr>
            </w:pPr>
            <w:r w:rsidRPr="003A2F86">
              <w:rPr>
                <w:rFonts w:ascii="Arial" w:eastAsia="Calibri" w:hAnsi="Arial" w:cs="Arial"/>
              </w:rPr>
              <w:t>Realizirani zahtjevi za smještaj u Dom</w:t>
            </w:r>
          </w:p>
        </w:tc>
        <w:tc>
          <w:tcPr>
            <w:tcW w:w="3544" w:type="dxa"/>
            <w:vAlign w:val="center"/>
          </w:tcPr>
          <w:p w14:paraId="6349A293" w14:textId="382E2695" w:rsidR="00626756" w:rsidRPr="003A2F86" w:rsidRDefault="00626756" w:rsidP="007A6BE2">
            <w:pPr>
              <w:rPr>
                <w:rFonts w:ascii="Arial" w:eastAsia="Calibri" w:hAnsi="Arial" w:cs="Arial"/>
              </w:rPr>
            </w:pPr>
            <w:r w:rsidRPr="003A2F86">
              <w:rPr>
                <w:rFonts w:ascii="Arial" w:eastAsia="Calibri" w:hAnsi="Arial" w:cs="Arial"/>
                <w:lang w:eastAsia="en-US"/>
              </w:rPr>
              <w:t>Povećanjem broja realiziranih zahtjeva za smještaj ostvarit će se osnovni cilj 100% popunjenosti Doma</w:t>
            </w:r>
          </w:p>
        </w:tc>
        <w:tc>
          <w:tcPr>
            <w:tcW w:w="1094" w:type="dxa"/>
            <w:vAlign w:val="center"/>
          </w:tcPr>
          <w:p w14:paraId="1AEEC01D" w14:textId="77777777" w:rsidR="00626756" w:rsidRPr="003A2F86" w:rsidRDefault="00626756" w:rsidP="00B223BA">
            <w:pPr>
              <w:jc w:val="center"/>
              <w:rPr>
                <w:rFonts w:ascii="Arial" w:eastAsia="Calibri" w:hAnsi="Arial" w:cs="Arial"/>
              </w:rPr>
            </w:pPr>
            <w:r w:rsidRPr="003A2F86">
              <w:rPr>
                <w:rFonts w:ascii="Arial" w:eastAsia="Calibri" w:hAnsi="Arial" w:cs="Arial"/>
              </w:rPr>
              <w:t>Broj korisnika</w:t>
            </w:r>
          </w:p>
        </w:tc>
        <w:tc>
          <w:tcPr>
            <w:tcW w:w="1174" w:type="dxa"/>
            <w:vAlign w:val="center"/>
          </w:tcPr>
          <w:p w14:paraId="544CE2CA" w14:textId="4AFAAC25" w:rsidR="00626756" w:rsidRPr="003A2F86" w:rsidRDefault="0066762F" w:rsidP="00B223BA">
            <w:pPr>
              <w:jc w:val="center"/>
              <w:rPr>
                <w:rFonts w:ascii="Arial" w:eastAsia="Calibri" w:hAnsi="Arial" w:cs="Arial"/>
              </w:rPr>
            </w:pPr>
            <w:r w:rsidRPr="003A2F86">
              <w:rPr>
                <w:rFonts w:ascii="Arial" w:eastAsia="Calibri" w:hAnsi="Arial" w:cs="Arial"/>
              </w:rPr>
              <w:t>8</w:t>
            </w:r>
            <w:r w:rsidR="00087502" w:rsidRPr="003A2F86">
              <w:rPr>
                <w:rFonts w:ascii="Arial" w:eastAsia="Calibri" w:hAnsi="Arial" w:cs="Arial"/>
              </w:rPr>
              <w:t>2</w:t>
            </w:r>
          </w:p>
        </w:tc>
        <w:tc>
          <w:tcPr>
            <w:tcW w:w="1134" w:type="dxa"/>
            <w:vAlign w:val="center"/>
          </w:tcPr>
          <w:p w14:paraId="24A53973" w14:textId="77777777" w:rsidR="00626756" w:rsidRPr="003A2F86" w:rsidRDefault="00626756" w:rsidP="00B223BA">
            <w:pPr>
              <w:jc w:val="center"/>
              <w:rPr>
                <w:rFonts w:ascii="Arial" w:eastAsia="Calibri" w:hAnsi="Arial" w:cs="Arial"/>
              </w:rPr>
            </w:pPr>
            <w:r w:rsidRPr="003A2F86">
              <w:rPr>
                <w:rFonts w:ascii="Arial" w:eastAsia="Calibri" w:hAnsi="Arial" w:cs="Arial"/>
              </w:rPr>
              <w:t>Dom</w:t>
            </w:r>
          </w:p>
        </w:tc>
        <w:tc>
          <w:tcPr>
            <w:tcW w:w="1395" w:type="dxa"/>
            <w:vAlign w:val="center"/>
          </w:tcPr>
          <w:p w14:paraId="7199B0FD" w14:textId="77777777" w:rsidR="00626756" w:rsidRPr="003A2F86" w:rsidRDefault="00626756" w:rsidP="00B223BA">
            <w:pPr>
              <w:jc w:val="center"/>
              <w:rPr>
                <w:rFonts w:ascii="Arial" w:eastAsia="Calibri" w:hAnsi="Arial" w:cs="Arial"/>
              </w:rPr>
            </w:pPr>
            <w:r w:rsidRPr="003A2F86">
              <w:rPr>
                <w:rFonts w:ascii="Arial" w:eastAsia="Calibri" w:hAnsi="Arial" w:cs="Arial"/>
              </w:rPr>
              <w:t>82</w:t>
            </w:r>
          </w:p>
        </w:tc>
        <w:tc>
          <w:tcPr>
            <w:tcW w:w="1440" w:type="dxa"/>
            <w:vAlign w:val="center"/>
          </w:tcPr>
          <w:p w14:paraId="3027CD4D" w14:textId="77777777" w:rsidR="00626756" w:rsidRPr="003A2F86" w:rsidRDefault="00626756" w:rsidP="00B223BA">
            <w:pPr>
              <w:jc w:val="center"/>
              <w:rPr>
                <w:rFonts w:ascii="Arial" w:eastAsia="Calibri" w:hAnsi="Arial" w:cs="Arial"/>
              </w:rPr>
            </w:pPr>
            <w:r w:rsidRPr="003A2F86">
              <w:rPr>
                <w:rFonts w:ascii="Arial" w:eastAsia="Calibri" w:hAnsi="Arial" w:cs="Arial"/>
              </w:rPr>
              <w:t>82</w:t>
            </w:r>
          </w:p>
        </w:tc>
        <w:tc>
          <w:tcPr>
            <w:tcW w:w="1394" w:type="dxa"/>
            <w:vAlign w:val="center"/>
          </w:tcPr>
          <w:p w14:paraId="01FBD253" w14:textId="77777777" w:rsidR="00626756" w:rsidRPr="003A2F86" w:rsidRDefault="00626756" w:rsidP="00B223BA">
            <w:pPr>
              <w:jc w:val="center"/>
              <w:rPr>
                <w:rFonts w:ascii="Arial" w:eastAsia="Calibri" w:hAnsi="Arial" w:cs="Arial"/>
              </w:rPr>
            </w:pPr>
            <w:r w:rsidRPr="003A2F86">
              <w:rPr>
                <w:rFonts w:ascii="Arial" w:eastAsia="Calibri" w:hAnsi="Arial" w:cs="Arial"/>
              </w:rPr>
              <w:t>82</w:t>
            </w:r>
          </w:p>
        </w:tc>
        <w:tc>
          <w:tcPr>
            <w:tcW w:w="1496" w:type="dxa"/>
            <w:vAlign w:val="center"/>
          </w:tcPr>
          <w:p w14:paraId="34C07B57" w14:textId="77777777" w:rsidR="00626756" w:rsidRPr="003A2F86" w:rsidRDefault="00626756" w:rsidP="00B223BA">
            <w:pPr>
              <w:jc w:val="center"/>
              <w:rPr>
                <w:rFonts w:ascii="Arial" w:eastAsia="Calibri" w:hAnsi="Arial" w:cs="Arial"/>
              </w:rPr>
            </w:pPr>
            <w:r w:rsidRPr="003A2F86">
              <w:rPr>
                <w:rFonts w:ascii="Arial" w:eastAsia="Calibri" w:hAnsi="Arial" w:cs="Arial"/>
              </w:rPr>
              <w:t>82</w:t>
            </w:r>
          </w:p>
        </w:tc>
      </w:tr>
    </w:tbl>
    <w:p w14:paraId="164F4648" w14:textId="77777777" w:rsidR="00626756" w:rsidRPr="003A2F86" w:rsidRDefault="00626756" w:rsidP="00626756">
      <w:pPr>
        <w:spacing w:after="0" w:line="240" w:lineRule="auto"/>
        <w:jc w:val="both"/>
        <w:rPr>
          <w:rFonts w:ascii="Arial" w:eastAsia="Calibri" w:hAnsi="Arial" w:cs="Arial"/>
          <w:sz w:val="20"/>
          <w:szCs w:val="20"/>
        </w:rPr>
      </w:pPr>
    </w:p>
    <w:p w14:paraId="7A47F525" w14:textId="6E2A08FE" w:rsidR="00626756" w:rsidRPr="003A2F86" w:rsidRDefault="00626756" w:rsidP="00626756">
      <w:pPr>
        <w:spacing w:after="0" w:line="240" w:lineRule="auto"/>
        <w:jc w:val="both"/>
        <w:rPr>
          <w:rFonts w:ascii="Arial" w:eastAsia="Calibri" w:hAnsi="Arial" w:cs="Arial"/>
          <w:sz w:val="20"/>
          <w:szCs w:val="20"/>
          <w:lang w:eastAsia="en-US"/>
        </w:rPr>
      </w:pPr>
      <w:r w:rsidRPr="003A2F86">
        <w:rPr>
          <w:rFonts w:ascii="Arial" w:eastAsia="Calibri" w:hAnsi="Arial" w:cs="Arial"/>
          <w:sz w:val="20"/>
          <w:szCs w:val="20"/>
        </w:rPr>
        <w:t>Cilj potpune popunjenosti smještajnih kapaciteta je ostvaren. Ukupni smještajni kapacitet Doma je 82 korisnika</w:t>
      </w:r>
      <w:r w:rsidR="00087502" w:rsidRPr="003A2F86">
        <w:rPr>
          <w:rFonts w:ascii="Arial" w:eastAsia="Calibri" w:hAnsi="Arial" w:cs="Arial"/>
          <w:sz w:val="20"/>
          <w:szCs w:val="20"/>
        </w:rPr>
        <w:t>.</w:t>
      </w:r>
      <w:r w:rsidRPr="003A2F86">
        <w:rPr>
          <w:rFonts w:ascii="Arial" w:eastAsia="Calibri" w:hAnsi="Arial" w:cs="Arial"/>
          <w:sz w:val="20"/>
          <w:szCs w:val="20"/>
          <w:lang w:eastAsia="en-US"/>
        </w:rPr>
        <w:t xml:space="preserve"> </w:t>
      </w:r>
    </w:p>
    <w:p w14:paraId="115BE846" w14:textId="77777777" w:rsidR="00923DED" w:rsidRPr="003A2F86" w:rsidRDefault="00923DED" w:rsidP="00626756">
      <w:pPr>
        <w:spacing w:after="0" w:line="240" w:lineRule="auto"/>
        <w:jc w:val="both"/>
        <w:rPr>
          <w:rFonts w:ascii="Arial" w:eastAsia="Calibri" w:hAnsi="Arial" w:cs="Arial"/>
          <w:sz w:val="20"/>
          <w:szCs w:val="20"/>
          <w:lang w:eastAsia="en-US"/>
        </w:rPr>
      </w:pPr>
    </w:p>
    <w:tbl>
      <w:tblPr>
        <w:tblStyle w:val="TableGrid24"/>
        <w:tblW w:w="14651" w:type="dxa"/>
        <w:jc w:val="center"/>
        <w:tblLayout w:type="fixed"/>
        <w:tblLook w:val="04A0" w:firstRow="1" w:lastRow="0" w:firstColumn="1" w:lastColumn="0" w:noHBand="0" w:noVBand="1"/>
      </w:tblPr>
      <w:tblGrid>
        <w:gridCol w:w="3114"/>
        <w:gridCol w:w="2387"/>
        <w:gridCol w:w="1117"/>
        <w:gridCol w:w="1134"/>
        <w:gridCol w:w="1134"/>
        <w:gridCol w:w="1435"/>
        <w:gridCol w:w="1417"/>
        <w:gridCol w:w="1417"/>
        <w:gridCol w:w="1496"/>
      </w:tblGrid>
      <w:tr w:rsidR="0062411F" w:rsidRPr="003A2F86" w14:paraId="2494227F" w14:textId="77777777" w:rsidTr="00923DED">
        <w:trPr>
          <w:jc w:val="center"/>
        </w:trPr>
        <w:tc>
          <w:tcPr>
            <w:tcW w:w="3114" w:type="dxa"/>
            <w:shd w:val="clear" w:color="auto" w:fill="BFBFBF" w:themeFill="background1" w:themeFillShade="BF"/>
            <w:vAlign w:val="center"/>
          </w:tcPr>
          <w:p w14:paraId="233CE915" w14:textId="77777777" w:rsidR="0062411F" w:rsidRPr="003A2F86" w:rsidRDefault="0062411F" w:rsidP="0062411F">
            <w:pPr>
              <w:jc w:val="center"/>
              <w:rPr>
                <w:rFonts w:ascii="Arial" w:eastAsia="Calibri" w:hAnsi="Arial" w:cs="Arial"/>
              </w:rPr>
            </w:pPr>
            <w:r w:rsidRPr="003A2F86">
              <w:rPr>
                <w:rFonts w:ascii="Arial" w:eastAsia="Calibri" w:hAnsi="Arial" w:cs="Arial"/>
              </w:rPr>
              <w:t>Pokazatelj uspješnosti</w:t>
            </w:r>
          </w:p>
        </w:tc>
        <w:tc>
          <w:tcPr>
            <w:tcW w:w="2387" w:type="dxa"/>
            <w:shd w:val="clear" w:color="auto" w:fill="BFBFBF" w:themeFill="background1" w:themeFillShade="BF"/>
            <w:vAlign w:val="center"/>
          </w:tcPr>
          <w:p w14:paraId="72C69D1F" w14:textId="77777777" w:rsidR="0062411F" w:rsidRPr="003A2F86" w:rsidRDefault="0062411F" w:rsidP="0062411F">
            <w:pPr>
              <w:jc w:val="center"/>
              <w:rPr>
                <w:rFonts w:ascii="Arial" w:eastAsia="Calibri" w:hAnsi="Arial" w:cs="Arial"/>
              </w:rPr>
            </w:pPr>
            <w:r w:rsidRPr="003A2F86">
              <w:rPr>
                <w:rFonts w:ascii="Arial" w:eastAsia="Calibri" w:hAnsi="Arial" w:cs="Arial"/>
              </w:rPr>
              <w:t>Definicija</w:t>
            </w:r>
          </w:p>
        </w:tc>
        <w:tc>
          <w:tcPr>
            <w:tcW w:w="1117" w:type="dxa"/>
            <w:shd w:val="clear" w:color="auto" w:fill="BFBFBF" w:themeFill="background1" w:themeFillShade="BF"/>
            <w:vAlign w:val="center"/>
          </w:tcPr>
          <w:p w14:paraId="4886ADF0" w14:textId="77777777" w:rsidR="0062411F" w:rsidRPr="003A2F86" w:rsidRDefault="0062411F" w:rsidP="0062411F">
            <w:pPr>
              <w:jc w:val="center"/>
              <w:rPr>
                <w:rFonts w:ascii="Arial" w:eastAsia="Calibri" w:hAnsi="Arial" w:cs="Arial"/>
              </w:rPr>
            </w:pPr>
            <w:r w:rsidRPr="003A2F86">
              <w:rPr>
                <w:rFonts w:ascii="Arial" w:eastAsia="Calibri" w:hAnsi="Arial" w:cs="Arial"/>
              </w:rPr>
              <w:t>Jedinica</w:t>
            </w:r>
          </w:p>
        </w:tc>
        <w:tc>
          <w:tcPr>
            <w:tcW w:w="1134" w:type="dxa"/>
            <w:shd w:val="clear" w:color="auto" w:fill="BFBFBF" w:themeFill="background1" w:themeFillShade="BF"/>
            <w:vAlign w:val="center"/>
          </w:tcPr>
          <w:p w14:paraId="6216E721" w14:textId="77777777" w:rsidR="0062411F" w:rsidRPr="003A2F86" w:rsidRDefault="0062411F" w:rsidP="0062411F">
            <w:pPr>
              <w:jc w:val="center"/>
              <w:rPr>
                <w:rFonts w:ascii="Arial" w:eastAsia="Calibri" w:hAnsi="Arial" w:cs="Arial"/>
              </w:rPr>
            </w:pPr>
            <w:r w:rsidRPr="003A2F86">
              <w:rPr>
                <w:rFonts w:ascii="Arial" w:eastAsia="Calibri" w:hAnsi="Arial" w:cs="Arial"/>
              </w:rPr>
              <w:t>Polazna vrijednost</w:t>
            </w:r>
          </w:p>
          <w:p w14:paraId="303D7E13" w14:textId="23ADD3AD" w:rsidR="0062411F" w:rsidRPr="003A2F86" w:rsidRDefault="0062411F" w:rsidP="0062411F">
            <w:pPr>
              <w:jc w:val="center"/>
              <w:rPr>
                <w:rFonts w:ascii="Arial" w:eastAsia="Calibri" w:hAnsi="Arial" w:cs="Arial"/>
              </w:rPr>
            </w:pPr>
            <w:r w:rsidRPr="003A2F86">
              <w:rPr>
                <w:rFonts w:ascii="Arial" w:eastAsia="Calibri" w:hAnsi="Arial" w:cs="Arial"/>
              </w:rPr>
              <w:t>202</w:t>
            </w:r>
            <w:r>
              <w:rPr>
                <w:rFonts w:ascii="Arial" w:eastAsia="Calibri" w:hAnsi="Arial" w:cs="Arial"/>
              </w:rPr>
              <w:t>4</w:t>
            </w:r>
            <w:r w:rsidRPr="003A2F86">
              <w:rPr>
                <w:rFonts w:ascii="Arial" w:eastAsia="Calibri" w:hAnsi="Arial" w:cs="Arial"/>
              </w:rPr>
              <w:t>.</w:t>
            </w:r>
          </w:p>
        </w:tc>
        <w:tc>
          <w:tcPr>
            <w:tcW w:w="1134" w:type="dxa"/>
            <w:shd w:val="clear" w:color="auto" w:fill="BFBFBF" w:themeFill="background1" w:themeFillShade="BF"/>
            <w:vAlign w:val="center"/>
          </w:tcPr>
          <w:p w14:paraId="421A6AA8" w14:textId="7D44DD3B" w:rsidR="0062411F" w:rsidRPr="003A2F86" w:rsidRDefault="0062411F" w:rsidP="0062411F">
            <w:pPr>
              <w:jc w:val="center"/>
              <w:rPr>
                <w:rFonts w:ascii="Arial" w:eastAsia="Calibri" w:hAnsi="Arial" w:cs="Arial"/>
              </w:rPr>
            </w:pPr>
            <w:r w:rsidRPr="003A2F86">
              <w:rPr>
                <w:rFonts w:ascii="Arial" w:eastAsia="Calibri" w:hAnsi="Arial" w:cs="Arial"/>
              </w:rPr>
              <w:t>Izvor podataka</w:t>
            </w:r>
          </w:p>
        </w:tc>
        <w:tc>
          <w:tcPr>
            <w:tcW w:w="1435" w:type="dxa"/>
            <w:shd w:val="clear" w:color="auto" w:fill="BFBFBF" w:themeFill="background1" w:themeFillShade="BF"/>
            <w:vAlign w:val="center"/>
          </w:tcPr>
          <w:p w14:paraId="0A7A7B03" w14:textId="4219C2EA" w:rsidR="0062411F" w:rsidRPr="003A2F86" w:rsidRDefault="0062411F" w:rsidP="0062411F">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5</w:t>
            </w:r>
            <w:r w:rsidRPr="003A2F86">
              <w:rPr>
                <w:rFonts w:ascii="Arial" w:eastAsia="Calibri" w:hAnsi="Arial" w:cs="Arial"/>
              </w:rPr>
              <w:t>.</w:t>
            </w:r>
          </w:p>
        </w:tc>
        <w:tc>
          <w:tcPr>
            <w:tcW w:w="1417" w:type="dxa"/>
            <w:shd w:val="clear" w:color="auto" w:fill="BFBFBF" w:themeFill="background1" w:themeFillShade="BF"/>
            <w:vAlign w:val="center"/>
          </w:tcPr>
          <w:p w14:paraId="17CDDC9D" w14:textId="40F5884E" w:rsidR="0062411F" w:rsidRPr="003A2F86" w:rsidRDefault="0062411F" w:rsidP="0062411F">
            <w:pPr>
              <w:jc w:val="center"/>
              <w:rPr>
                <w:rFonts w:ascii="Arial" w:eastAsia="Calibri" w:hAnsi="Arial" w:cs="Arial"/>
              </w:rPr>
            </w:pPr>
            <w:r w:rsidRPr="003A2F86">
              <w:rPr>
                <w:rFonts w:ascii="Arial" w:eastAsia="Calibri" w:hAnsi="Arial" w:cs="Arial"/>
              </w:rPr>
              <w:t>Ostvareno u izvještajnom razdoblju</w:t>
            </w:r>
          </w:p>
        </w:tc>
        <w:tc>
          <w:tcPr>
            <w:tcW w:w="1417" w:type="dxa"/>
            <w:shd w:val="clear" w:color="auto" w:fill="BFBFBF" w:themeFill="background1" w:themeFillShade="BF"/>
            <w:vAlign w:val="center"/>
          </w:tcPr>
          <w:p w14:paraId="4F952131" w14:textId="569AEF28" w:rsidR="0062411F" w:rsidRPr="003A2F86" w:rsidRDefault="0062411F" w:rsidP="0062411F">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6</w:t>
            </w:r>
            <w:r w:rsidRPr="003A2F86">
              <w:rPr>
                <w:rFonts w:ascii="Arial" w:eastAsia="Calibri" w:hAnsi="Arial" w:cs="Arial"/>
              </w:rPr>
              <w:t>.</w:t>
            </w:r>
          </w:p>
        </w:tc>
        <w:tc>
          <w:tcPr>
            <w:tcW w:w="1496" w:type="dxa"/>
            <w:shd w:val="clear" w:color="auto" w:fill="BFBFBF" w:themeFill="background1" w:themeFillShade="BF"/>
            <w:vAlign w:val="center"/>
          </w:tcPr>
          <w:p w14:paraId="27272A72" w14:textId="6FE86F82" w:rsidR="0062411F" w:rsidRPr="003A2F86" w:rsidRDefault="0062411F" w:rsidP="0062411F">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7</w:t>
            </w:r>
            <w:r w:rsidRPr="003A2F86">
              <w:rPr>
                <w:rFonts w:ascii="Arial" w:eastAsia="Calibri" w:hAnsi="Arial" w:cs="Arial"/>
              </w:rPr>
              <w:t>.</w:t>
            </w:r>
          </w:p>
        </w:tc>
      </w:tr>
      <w:tr w:rsidR="00626756" w:rsidRPr="003A2F86" w14:paraId="240D391A" w14:textId="77777777" w:rsidTr="00923DED">
        <w:trPr>
          <w:trHeight w:val="695"/>
          <w:jc w:val="center"/>
        </w:trPr>
        <w:tc>
          <w:tcPr>
            <w:tcW w:w="3114" w:type="dxa"/>
            <w:vAlign w:val="center"/>
          </w:tcPr>
          <w:p w14:paraId="61FC15C3" w14:textId="77777777" w:rsidR="00626756" w:rsidRPr="003A2F86" w:rsidRDefault="00626756" w:rsidP="00B223BA">
            <w:pPr>
              <w:rPr>
                <w:rFonts w:ascii="Arial" w:eastAsia="Calibri" w:hAnsi="Arial" w:cs="Arial"/>
              </w:rPr>
            </w:pPr>
            <w:r w:rsidRPr="003A2F86">
              <w:rPr>
                <w:rFonts w:ascii="Arial" w:eastAsia="Calibri" w:hAnsi="Arial" w:cs="Arial"/>
              </w:rPr>
              <w:t>Povećanje broja korisnika dnevnog/ poludnevnog boravka</w:t>
            </w:r>
          </w:p>
        </w:tc>
        <w:tc>
          <w:tcPr>
            <w:tcW w:w="2387" w:type="dxa"/>
            <w:vAlign w:val="center"/>
          </w:tcPr>
          <w:p w14:paraId="1EDBB973" w14:textId="77777777" w:rsidR="00626756" w:rsidRPr="003A2F86" w:rsidRDefault="00626756" w:rsidP="00B223BA">
            <w:pPr>
              <w:rPr>
                <w:rFonts w:ascii="Arial" w:eastAsia="Calibri" w:hAnsi="Arial" w:cs="Arial"/>
              </w:rPr>
            </w:pPr>
            <w:r w:rsidRPr="003A2F86">
              <w:rPr>
                <w:rFonts w:ascii="Arial" w:eastAsia="Calibri" w:hAnsi="Arial" w:cs="Arial"/>
              </w:rPr>
              <w:t xml:space="preserve">Ostvarenje kapaciteta ustanove </w:t>
            </w:r>
          </w:p>
        </w:tc>
        <w:tc>
          <w:tcPr>
            <w:tcW w:w="1117" w:type="dxa"/>
            <w:vAlign w:val="center"/>
          </w:tcPr>
          <w:p w14:paraId="6E6641EC" w14:textId="77777777" w:rsidR="00626756" w:rsidRPr="003A2F86" w:rsidRDefault="00626756" w:rsidP="00B223BA">
            <w:pPr>
              <w:rPr>
                <w:rFonts w:ascii="Arial" w:eastAsia="Calibri" w:hAnsi="Arial" w:cs="Arial"/>
              </w:rPr>
            </w:pPr>
            <w:r w:rsidRPr="003A2F86">
              <w:rPr>
                <w:rFonts w:ascii="Arial" w:eastAsia="Calibri" w:hAnsi="Arial" w:cs="Arial"/>
              </w:rPr>
              <w:t>Broj korisnika</w:t>
            </w:r>
          </w:p>
        </w:tc>
        <w:tc>
          <w:tcPr>
            <w:tcW w:w="1134" w:type="dxa"/>
            <w:vAlign w:val="center"/>
          </w:tcPr>
          <w:p w14:paraId="63FBF012" w14:textId="430ACB6F" w:rsidR="00626756" w:rsidRPr="003A2F86" w:rsidRDefault="00087502" w:rsidP="00B223BA">
            <w:pPr>
              <w:jc w:val="center"/>
              <w:rPr>
                <w:rFonts w:ascii="Arial" w:eastAsia="Calibri" w:hAnsi="Arial" w:cs="Arial"/>
              </w:rPr>
            </w:pPr>
            <w:r w:rsidRPr="003A2F86">
              <w:rPr>
                <w:rFonts w:ascii="Arial" w:eastAsia="Calibri" w:hAnsi="Arial" w:cs="Arial"/>
              </w:rPr>
              <w:t>3</w:t>
            </w:r>
            <w:r w:rsidR="0062411F">
              <w:rPr>
                <w:rFonts w:ascii="Arial" w:eastAsia="Calibri" w:hAnsi="Arial" w:cs="Arial"/>
              </w:rPr>
              <w:t>2</w:t>
            </w:r>
          </w:p>
        </w:tc>
        <w:tc>
          <w:tcPr>
            <w:tcW w:w="1134" w:type="dxa"/>
            <w:vAlign w:val="center"/>
          </w:tcPr>
          <w:p w14:paraId="5335CDC3" w14:textId="77777777" w:rsidR="00626756" w:rsidRPr="003A2F86" w:rsidRDefault="00626756" w:rsidP="00B223BA">
            <w:pPr>
              <w:jc w:val="center"/>
              <w:rPr>
                <w:rFonts w:ascii="Arial" w:eastAsia="Calibri" w:hAnsi="Arial" w:cs="Arial"/>
              </w:rPr>
            </w:pPr>
            <w:r w:rsidRPr="003A2F86">
              <w:rPr>
                <w:rFonts w:ascii="Arial" w:eastAsia="Calibri" w:hAnsi="Arial" w:cs="Arial"/>
              </w:rPr>
              <w:t>Dom</w:t>
            </w:r>
          </w:p>
        </w:tc>
        <w:tc>
          <w:tcPr>
            <w:tcW w:w="1435" w:type="dxa"/>
            <w:vAlign w:val="center"/>
          </w:tcPr>
          <w:p w14:paraId="522388E8" w14:textId="1445EAE9" w:rsidR="00626756" w:rsidRPr="003A2F86" w:rsidRDefault="00BF7B75" w:rsidP="00B223BA">
            <w:pPr>
              <w:jc w:val="center"/>
              <w:rPr>
                <w:rFonts w:ascii="Arial" w:eastAsia="Calibri" w:hAnsi="Arial" w:cs="Arial"/>
              </w:rPr>
            </w:pPr>
            <w:r>
              <w:rPr>
                <w:rFonts w:ascii="Arial" w:eastAsia="Calibri" w:hAnsi="Arial" w:cs="Arial"/>
              </w:rPr>
              <w:t>3</w:t>
            </w:r>
          </w:p>
        </w:tc>
        <w:tc>
          <w:tcPr>
            <w:tcW w:w="1417" w:type="dxa"/>
            <w:vAlign w:val="center"/>
          </w:tcPr>
          <w:p w14:paraId="384808AB" w14:textId="2A9667D6" w:rsidR="00626756" w:rsidRPr="003A2F86" w:rsidRDefault="0066762F" w:rsidP="00B223BA">
            <w:pPr>
              <w:jc w:val="center"/>
              <w:rPr>
                <w:rFonts w:ascii="Arial" w:eastAsia="Calibri" w:hAnsi="Arial" w:cs="Arial"/>
              </w:rPr>
            </w:pPr>
            <w:r w:rsidRPr="003A2F86">
              <w:rPr>
                <w:rFonts w:ascii="Arial" w:eastAsia="Calibri" w:hAnsi="Arial" w:cs="Arial"/>
              </w:rPr>
              <w:t>2</w:t>
            </w:r>
          </w:p>
        </w:tc>
        <w:tc>
          <w:tcPr>
            <w:tcW w:w="1417" w:type="dxa"/>
            <w:vAlign w:val="center"/>
          </w:tcPr>
          <w:p w14:paraId="3E816089" w14:textId="3D83A8BC" w:rsidR="00626756" w:rsidRPr="003A2F86" w:rsidRDefault="00EB2DCA" w:rsidP="00B223BA">
            <w:pPr>
              <w:jc w:val="center"/>
              <w:rPr>
                <w:rFonts w:ascii="Arial" w:eastAsia="Calibri" w:hAnsi="Arial" w:cs="Arial"/>
              </w:rPr>
            </w:pPr>
            <w:r>
              <w:rPr>
                <w:rFonts w:ascii="Arial" w:eastAsia="Calibri" w:hAnsi="Arial" w:cs="Arial"/>
              </w:rPr>
              <w:t>3</w:t>
            </w:r>
          </w:p>
        </w:tc>
        <w:tc>
          <w:tcPr>
            <w:tcW w:w="1496" w:type="dxa"/>
            <w:vAlign w:val="center"/>
          </w:tcPr>
          <w:p w14:paraId="04614E80" w14:textId="48D61036" w:rsidR="00626756" w:rsidRPr="003A2F86" w:rsidRDefault="00087502" w:rsidP="00B223BA">
            <w:pPr>
              <w:jc w:val="center"/>
              <w:rPr>
                <w:rFonts w:ascii="Arial" w:eastAsia="Calibri" w:hAnsi="Arial" w:cs="Arial"/>
              </w:rPr>
            </w:pPr>
            <w:r w:rsidRPr="003A2F86">
              <w:rPr>
                <w:rFonts w:ascii="Arial" w:eastAsia="Calibri" w:hAnsi="Arial" w:cs="Arial"/>
              </w:rPr>
              <w:t>4</w:t>
            </w:r>
          </w:p>
        </w:tc>
      </w:tr>
    </w:tbl>
    <w:p w14:paraId="2A54618E" w14:textId="77777777" w:rsidR="00626756" w:rsidRPr="003A2F86" w:rsidRDefault="00626756" w:rsidP="00626756">
      <w:pPr>
        <w:spacing w:after="0" w:line="240" w:lineRule="auto"/>
        <w:jc w:val="both"/>
        <w:rPr>
          <w:rFonts w:ascii="Arial" w:eastAsia="Calibri" w:hAnsi="Arial" w:cs="Arial"/>
          <w:b/>
          <w:sz w:val="20"/>
          <w:szCs w:val="20"/>
        </w:rPr>
      </w:pPr>
    </w:p>
    <w:p w14:paraId="022F4687" w14:textId="11029C3B" w:rsidR="00626756" w:rsidRPr="003A2F86" w:rsidRDefault="00626756" w:rsidP="00626756">
      <w:pPr>
        <w:spacing w:after="0" w:line="240" w:lineRule="auto"/>
        <w:jc w:val="both"/>
        <w:rPr>
          <w:rFonts w:ascii="Arial" w:eastAsia="Calibri" w:hAnsi="Arial" w:cs="Arial"/>
          <w:sz w:val="20"/>
          <w:szCs w:val="20"/>
          <w:lang w:eastAsia="en-US"/>
        </w:rPr>
      </w:pPr>
      <w:r w:rsidRPr="003A2F86">
        <w:rPr>
          <w:rFonts w:ascii="Arial" w:eastAsia="Calibri" w:hAnsi="Arial" w:cs="Arial"/>
          <w:sz w:val="20"/>
          <w:szCs w:val="20"/>
          <w:lang w:eastAsia="en-US"/>
        </w:rPr>
        <w:t xml:space="preserve">Na dan pripreme ovog obrazloženja </w:t>
      </w:r>
      <w:r w:rsidR="0066762F" w:rsidRPr="003A2F86">
        <w:rPr>
          <w:rFonts w:ascii="Arial" w:eastAsia="Calibri" w:hAnsi="Arial" w:cs="Arial"/>
          <w:sz w:val="20"/>
          <w:szCs w:val="20"/>
          <w:lang w:eastAsia="en-US"/>
        </w:rPr>
        <w:t>dvoje</w:t>
      </w:r>
      <w:r w:rsidRPr="003A2F86">
        <w:rPr>
          <w:rFonts w:ascii="Arial" w:eastAsia="Calibri" w:hAnsi="Arial" w:cs="Arial"/>
          <w:sz w:val="20"/>
          <w:szCs w:val="20"/>
          <w:lang w:eastAsia="en-US"/>
        </w:rPr>
        <w:t xml:space="preserve"> je korisnika usluge dnevnog/ poludnevnog boravka.</w:t>
      </w:r>
    </w:p>
    <w:p w14:paraId="197E9ECD" w14:textId="77777777" w:rsidR="00626756" w:rsidRPr="003A2F86" w:rsidRDefault="00626756" w:rsidP="00626756">
      <w:pPr>
        <w:spacing w:after="0" w:line="240" w:lineRule="auto"/>
        <w:jc w:val="both"/>
        <w:rPr>
          <w:rFonts w:ascii="Arial" w:eastAsia="Calibri" w:hAnsi="Arial" w:cs="Arial"/>
          <w:b/>
          <w:sz w:val="20"/>
          <w:szCs w:val="20"/>
          <w:u w:val="single"/>
        </w:rPr>
      </w:pPr>
    </w:p>
    <w:p w14:paraId="299ECD74" w14:textId="77777777" w:rsidR="00626756" w:rsidRPr="003A2F86" w:rsidRDefault="00626756" w:rsidP="00626756">
      <w:pPr>
        <w:spacing w:after="0" w:line="240" w:lineRule="auto"/>
        <w:jc w:val="both"/>
        <w:rPr>
          <w:rFonts w:ascii="Arial" w:eastAsia="Calibri" w:hAnsi="Arial" w:cs="Arial"/>
          <w:sz w:val="20"/>
          <w:szCs w:val="20"/>
          <w:u w:val="single"/>
        </w:rPr>
      </w:pPr>
      <w:r w:rsidRPr="003A2F86">
        <w:rPr>
          <w:rFonts w:ascii="Arial" w:eastAsia="Calibri" w:hAnsi="Arial" w:cs="Arial"/>
          <w:b/>
          <w:sz w:val="20"/>
          <w:szCs w:val="20"/>
          <w:u w:val="single"/>
        </w:rPr>
        <w:t>Cilj:</w:t>
      </w:r>
      <w:r w:rsidRPr="003A2F86">
        <w:rPr>
          <w:rFonts w:ascii="Arial" w:eastAsia="Calibri" w:hAnsi="Arial" w:cs="Arial"/>
          <w:sz w:val="20"/>
          <w:szCs w:val="20"/>
          <w:u w:val="single"/>
        </w:rPr>
        <w:t xml:space="preserve"> Poboljšanje kvalitete rada ustanove</w:t>
      </w:r>
    </w:p>
    <w:p w14:paraId="4C3CB0B5" w14:textId="77777777" w:rsidR="00626756" w:rsidRPr="003A2F86" w:rsidRDefault="00626756" w:rsidP="00626756">
      <w:pPr>
        <w:spacing w:after="0" w:line="240" w:lineRule="auto"/>
        <w:jc w:val="both"/>
        <w:rPr>
          <w:rFonts w:ascii="Arial" w:eastAsia="Calibri" w:hAnsi="Arial" w:cs="Arial"/>
          <w:sz w:val="20"/>
          <w:szCs w:val="20"/>
        </w:rPr>
      </w:pPr>
    </w:p>
    <w:p w14:paraId="4F53FA3A" w14:textId="77777777" w:rsidR="00626756" w:rsidRPr="003A2F86" w:rsidRDefault="00626756" w:rsidP="00626756">
      <w:pPr>
        <w:spacing w:after="0" w:line="240" w:lineRule="auto"/>
        <w:jc w:val="both"/>
        <w:rPr>
          <w:rFonts w:ascii="Arial" w:eastAsia="Calibri" w:hAnsi="Arial" w:cs="Arial"/>
          <w:sz w:val="20"/>
          <w:szCs w:val="20"/>
        </w:rPr>
      </w:pPr>
      <w:r w:rsidRPr="003A2F86">
        <w:rPr>
          <w:rFonts w:ascii="Arial" w:eastAsia="Calibri" w:hAnsi="Arial" w:cs="Arial"/>
          <w:sz w:val="20"/>
          <w:szCs w:val="20"/>
        </w:rPr>
        <w:lastRenderedPageBreak/>
        <w:t>Ovaj cilj se nastoji postići kontinuiranim stručnim usavršavanjem djelatnika radi stjecanja i održavanja znanja, vještina i sposobnosti potrebnih u radu</w:t>
      </w:r>
    </w:p>
    <w:p w14:paraId="63B3612E" w14:textId="77777777" w:rsidR="00626756" w:rsidRPr="003A2F86" w:rsidRDefault="00626756"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547"/>
        <w:gridCol w:w="2671"/>
        <w:gridCol w:w="1400"/>
        <w:gridCol w:w="1134"/>
        <w:gridCol w:w="1134"/>
        <w:gridCol w:w="1435"/>
        <w:gridCol w:w="1417"/>
        <w:gridCol w:w="1417"/>
        <w:gridCol w:w="1496"/>
      </w:tblGrid>
      <w:tr w:rsidR="00BF7B75" w:rsidRPr="003A2F86" w14:paraId="09E547E9" w14:textId="77777777" w:rsidTr="00923DED">
        <w:trPr>
          <w:jc w:val="center"/>
        </w:trPr>
        <w:tc>
          <w:tcPr>
            <w:tcW w:w="2547" w:type="dxa"/>
            <w:shd w:val="clear" w:color="auto" w:fill="BFBFBF" w:themeFill="background1" w:themeFillShade="BF"/>
            <w:vAlign w:val="center"/>
          </w:tcPr>
          <w:p w14:paraId="73A400F1" w14:textId="77777777" w:rsidR="00BF7B75" w:rsidRPr="003A2F86" w:rsidRDefault="00BF7B75" w:rsidP="00BF7B75">
            <w:pPr>
              <w:jc w:val="center"/>
              <w:rPr>
                <w:rFonts w:ascii="Arial" w:eastAsia="Calibri" w:hAnsi="Arial" w:cs="Arial"/>
              </w:rPr>
            </w:pPr>
            <w:r w:rsidRPr="003A2F86">
              <w:rPr>
                <w:rFonts w:ascii="Arial" w:eastAsia="Calibri" w:hAnsi="Arial" w:cs="Arial"/>
              </w:rPr>
              <w:t>Pokazatelj uspješnosti</w:t>
            </w:r>
          </w:p>
        </w:tc>
        <w:tc>
          <w:tcPr>
            <w:tcW w:w="2671" w:type="dxa"/>
            <w:shd w:val="clear" w:color="auto" w:fill="BFBFBF" w:themeFill="background1" w:themeFillShade="BF"/>
            <w:vAlign w:val="center"/>
          </w:tcPr>
          <w:p w14:paraId="75C51895" w14:textId="77777777" w:rsidR="00BF7B75" w:rsidRPr="003A2F86" w:rsidRDefault="00BF7B75" w:rsidP="00BF7B75">
            <w:pPr>
              <w:jc w:val="center"/>
              <w:rPr>
                <w:rFonts w:ascii="Arial" w:eastAsia="Calibri" w:hAnsi="Arial" w:cs="Arial"/>
              </w:rPr>
            </w:pPr>
            <w:r w:rsidRPr="003A2F86">
              <w:rPr>
                <w:rFonts w:ascii="Arial" w:eastAsia="Calibri" w:hAnsi="Arial" w:cs="Arial"/>
              </w:rPr>
              <w:t>Definicija</w:t>
            </w:r>
          </w:p>
        </w:tc>
        <w:tc>
          <w:tcPr>
            <w:tcW w:w="1400" w:type="dxa"/>
            <w:shd w:val="clear" w:color="auto" w:fill="BFBFBF" w:themeFill="background1" w:themeFillShade="BF"/>
            <w:vAlign w:val="center"/>
          </w:tcPr>
          <w:p w14:paraId="254CEFDC" w14:textId="77777777" w:rsidR="00BF7B75" w:rsidRPr="003A2F86" w:rsidRDefault="00BF7B75" w:rsidP="00BF7B75">
            <w:pPr>
              <w:jc w:val="center"/>
              <w:rPr>
                <w:rFonts w:ascii="Arial" w:eastAsia="Calibri" w:hAnsi="Arial" w:cs="Arial"/>
              </w:rPr>
            </w:pPr>
            <w:r w:rsidRPr="003A2F86">
              <w:rPr>
                <w:rFonts w:ascii="Arial" w:eastAsia="Calibri" w:hAnsi="Arial" w:cs="Arial"/>
              </w:rPr>
              <w:t>Jedinica</w:t>
            </w:r>
          </w:p>
        </w:tc>
        <w:tc>
          <w:tcPr>
            <w:tcW w:w="1134" w:type="dxa"/>
            <w:shd w:val="clear" w:color="auto" w:fill="BFBFBF" w:themeFill="background1" w:themeFillShade="BF"/>
            <w:vAlign w:val="center"/>
          </w:tcPr>
          <w:p w14:paraId="4A4D3DBC" w14:textId="77777777" w:rsidR="00BF7B75" w:rsidRPr="003A2F86" w:rsidRDefault="00BF7B75" w:rsidP="00BF7B75">
            <w:pPr>
              <w:jc w:val="center"/>
              <w:rPr>
                <w:rFonts w:ascii="Arial" w:eastAsia="Calibri" w:hAnsi="Arial" w:cs="Arial"/>
              </w:rPr>
            </w:pPr>
            <w:r w:rsidRPr="003A2F86">
              <w:rPr>
                <w:rFonts w:ascii="Arial" w:eastAsia="Calibri" w:hAnsi="Arial" w:cs="Arial"/>
              </w:rPr>
              <w:t>Polazna vrijednost</w:t>
            </w:r>
          </w:p>
          <w:p w14:paraId="2D56AE08" w14:textId="10463BF4" w:rsidR="00BF7B75" w:rsidRPr="003A2F86" w:rsidRDefault="00BF7B75" w:rsidP="00BF7B75">
            <w:pPr>
              <w:jc w:val="center"/>
              <w:rPr>
                <w:rFonts w:ascii="Arial" w:eastAsia="Calibri" w:hAnsi="Arial" w:cs="Arial"/>
              </w:rPr>
            </w:pPr>
            <w:r w:rsidRPr="003A2F86">
              <w:rPr>
                <w:rFonts w:ascii="Arial" w:eastAsia="Calibri" w:hAnsi="Arial" w:cs="Arial"/>
              </w:rPr>
              <w:t>202</w:t>
            </w:r>
            <w:r>
              <w:rPr>
                <w:rFonts w:ascii="Arial" w:eastAsia="Calibri" w:hAnsi="Arial" w:cs="Arial"/>
              </w:rPr>
              <w:t>4</w:t>
            </w:r>
            <w:r w:rsidRPr="003A2F86">
              <w:rPr>
                <w:rFonts w:ascii="Arial" w:eastAsia="Calibri" w:hAnsi="Arial" w:cs="Arial"/>
              </w:rPr>
              <w:t>.</w:t>
            </w:r>
          </w:p>
        </w:tc>
        <w:tc>
          <w:tcPr>
            <w:tcW w:w="1134" w:type="dxa"/>
            <w:shd w:val="clear" w:color="auto" w:fill="BFBFBF" w:themeFill="background1" w:themeFillShade="BF"/>
            <w:vAlign w:val="center"/>
          </w:tcPr>
          <w:p w14:paraId="715F3E19" w14:textId="70E221A8" w:rsidR="00BF7B75" w:rsidRPr="003A2F86" w:rsidRDefault="00BF7B75" w:rsidP="00BF7B75">
            <w:pPr>
              <w:jc w:val="center"/>
              <w:rPr>
                <w:rFonts w:ascii="Arial" w:eastAsia="Calibri" w:hAnsi="Arial" w:cs="Arial"/>
              </w:rPr>
            </w:pPr>
            <w:r w:rsidRPr="003A2F86">
              <w:rPr>
                <w:rFonts w:ascii="Arial" w:eastAsia="Calibri" w:hAnsi="Arial" w:cs="Arial"/>
              </w:rPr>
              <w:t>Izvor podataka</w:t>
            </w:r>
          </w:p>
        </w:tc>
        <w:tc>
          <w:tcPr>
            <w:tcW w:w="1435" w:type="dxa"/>
            <w:shd w:val="clear" w:color="auto" w:fill="BFBFBF" w:themeFill="background1" w:themeFillShade="BF"/>
            <w:vAlign w:val="center"/>
          </w:tcPr>
          <w:p w14:paraId="6DDE3313" w14:textId="51E7BB72" w:rsidR="00BF7B75" w:rsidRPr="003A2F86" w:rsidRDefault="00BF7B75" w:rsidP="00BF7B75">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5</w:t>
            </w:r>
            <w:r w:rsidRPr="003A2F86">
              <w:rPr>
                <w:rFonts w:ascii="Arial" w:eastAsia="Calibri" w:hAnsi="Arial" w:cs="Arial"/>
              </w:rPr>
              <w:t>.</w:t>
            </w:r>
          </w:p>
        </w:tc>
        <w:tc>
          <w:tcPr>
            <w:tcW w:w="1417" w:type="dxa"/>
            <w:shd w:val="clear" w:color="auto" w:fill="BFBFBF" w:themeFill="background1" w:themeFillShade="BF"/>
            <w:vAlign w:val="center"/>
          </w:tcPr>
          <w:p w14:paraId="005A529F" w14:textId="4F4BD6F7" w:rsidR="00BF7B75" w:rsidRPr="003A2F86" w:rsidRDefault="00BF7B75" w:rsidP="00BF7B75">
            <w:pPr>
              <w:jc w:val="center"/>
              <w:rPr>
                <w:rFonts w:ascii="Arial" w:eastAsia="Calibri" w:hAnsi="Arial" w:cs="Arial"/>
              </w:rPr>
            </w:pPr>
            <w:r w:rsidRPr="003A2F86">
              <w:rPr>
                <w:rFonts w:ascii="Arial" w:eastAsia="Calibri" w:hAnsi="Arial" w:cs="Arial"/>
              </w:rPr>
              <w:t>Ostvareno u izvještajnom razdoblju</w:t>
            </w:r>
          </w:p>
        </w:tc>
        <w:tc>
          <w:tcPr>
            <w:tcW w:w="1417" w:type="dxa"/>
            <w:shd w:val="clear" w:color="auto" w:fill="BFBFBF" w:themeFill="background1" w:themeFillShade="BF"/>
            <w:vAlign w:val="center"/>
          </w:tcPr>
          <w:p w14:paraId="242054D6" w14:textId="4ECD483C" w:rsidR="00BF7B75" w:rsidRPr="003A2F86" w:rsidRDefault="00BF7B75" w:rsidP="00BF7B75">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6</w:t>
            </w:r>
            <w:r w:rsidRPr="003A2F86">
              <w:rPr>
                <w:rFonts w:ascii="Arial" w:eastAsia="Calibri" w:hAnsi="Arial" w:cs="Arial"/>
              </w:rPr>
              <w:t>.</w:t>
            </w:r>
          </w:p>
        </w:tc>
        <w:tc>
          <w:tcPr>
            <w:tcW w:w="1496" w:type="dxa"/>
            <w:shd w:val="clear" w:color="auto" w:fill="BFBFBF" w:themeFill="background1" w:themeFillShade="BF"/>
            <w:vAlign w:val="center"/>
          </w:tcPr>
          <w:p w14:paraId="07635CA1" w14:textId="54540D65" w:rsidR="00BF7B75" w:rsidRPr="003A2F86" w:rsidRDefault="00BF7B75" w:rsidP="00BF7B75">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7</w:t>
            </w:r>
            <w:r w:rsidRPr="003A2F86">
              <w:rPr>
                <w:rFonts w:ascii="Arial" w:eastAsia="Calibri" w:hAnsi="Arial" w:cs="Arial"/>
              </w:rPr>
              <w:t>.</w:t>
            </w:r>
          </w:p>
        </w:tc>
      </w:tr>
      <w:tr w:rsidR="0066762F" w:rsidRPr="00F12DCA" w14:paraId="2AD9AA94" w14:textId="77777777" w:rsidTr="00F12DCA">
        <w:trPr>
          <w:trHeight w:val="1249"/>
          <w:jc w:val="center"/>
        </w:trPr>
        <w:tc>
          <w:tcPr>
            <w:tcW w:w="2547" w:type="dxa"/>
            <w:vAlign w:val="center"/>
          </w:tcPr>
          <w:p w14:paraId="3C046AB2" w14:textId="77777777" w:rsidR="00626756" w:rsidRPr="00F12DCA" w:rsidRDefault="00626756" w:rsidP="00B223BA">
            <w:pPr>
              <w:rPr>
                <w:rFonts w:ascii="Arial" w:eastAsia="Calibri" w:hAnsi="Arial" w:cs="Arial"/>
                <w:sz w:val="18"/>
                <w:szCs w:val="18"/>
              </w:rPr>
            </w:pPr>
            <w:r w:rsidRPr="00F12DCA">
              <w:rPr>
                <w:rFonts w:ascii="Arial" w:eastAsia="Calibri" w:hAnsi="Arial" w:cs="Arial"/>
                <w:sz w:val="18"/>
                <w:szCs w:val="18"/>
              </w:rPr>
              <w:t>Povećanje broja sudjelovanja djelatnika na seminarima, tečajevima, kongresima, stručnim predavanjima i sl.</w:t>
            </w:r>
          </w:p>
        </w:tc>
        <w:tc>
          <w:tcPr>
            <w:tcW w:w="2671" w:type="dxa"/>
            <w:vAlign w:val="center"/>
          </w:tcPr>
          <w:p w14:paraId="107DF939" w14:textId="77777777" w:rsidR="00626756" w:rsidRPr="00F12DCA" w:rsidRDefault="00626756" w:rsidP="00B223BA">
            <w:pPr>
              <w:rPr>
                <w:rFonts w:ascii="Arial" w:eastAsia="Calibri" w:hAnsi="Arial" w:cs="Arial"/>
                <w:sz w:val="18"/>
                <w:szCs w:val="18"/>
              </w:rPr>
            </w:pPr>
            <w:r w:rsidRPr="00F12DCA">
              <w:rPr>
                <w:rFonts w:ascii="Arial" w:eastAsia="Calibri" w:hAnsi="Arial" w:cs="Arial"/>
                <w:sz w:val="18"/>
                <w:szCs w:val="18"/>
              </w:rPr>
              <w:t>Prilagođavanjem i nadopunom postojećih znanja, vještina i sposobnosti unapređuje se stručnost djelatnika, a time i kvaliteta pružene usluge</w:t>
            </w:r>
          </w:p>
        </w:tc>
        <w:tc>
          <w:tcPr>
            <w:tcW w:w="1400" w:type="dxa"/>
            <w:vAlign w:val="center"/>
          </w:tcPr>
          <w:p w14:paraId="4BCEA8EB" w14:textId="77777777" w:rsidR="00626756" w:rsidRPr="00F12DCA" w:rsidRDefault="00626756" w:rsidP="00B223BA">
            <w:pPr>
              <w:jc w:val="center"/>
              <w:rPr>
                <w:rFonts w:ascii="Arial" w:eastAsia="Calibri" w:hAnsi="Arial" w:cs="Arial"/>
                <w:sz w:val="18"/>
                <w:szCs w:val="18"/>
              </w:rPr>
            </w:pPr>
            <w:r w:rsidRPr="00F12DCA">
              <w:rPr>
                <w:rFonts w:ascii="Arial" w:eastAsia="Calibri" w:hAnsi="Arial" w:cs="Arial"/>
                <w:sz w:val="18"/>
                <w:szCs w:val="18"/>
              </w:rPr>
              <w:t>Broj stručnih usavršavanja djelatnika</w:t>
            </w:r>
          </w:p>
        </w:tc>
        <w:tc>
          <w:tcPr>
            <w:tcW w:w="1134" w:type="dxa"/>
            <w:vAlign w:val="center"/>
          </w:tcPr>
          <w:p w14:paraId="52331577" w14:textId="1572AFBE" w:rsidR="00626756" w:rsidRPr="00F12DCA" w:rsidRDefault="00BF7B75" w:rsidP="00B223BA">
            <w:pPr>
              <w:jc w:val="center"/>
              <w:rPr>
                <w:rFonts w:ascii="Arial" w:eastAsia="Calibri" w:hAnsi="Arial" w:cs="Arial"/>
                <w:sz w:val="18"/>
                <w:szCs w:val="18"/>
              </w:rPr>
            </w:pPr>
            <w:r>
              <w:rPr>
                <w:rFonts w:ascii="Arial" w:eastAsia="Calibri" w:hAnsi="Arial" w:cs="Arial"/>
                <w:sz w:val="18"/>
                <w:szCs w:val="18"/>
              </w:rPr>
              <w:t>7</w:t>
            </w:r>
          </w:p>
        </w:tc>
        <w:tc>
          <w:tcPr>
            <w:tcW w:w="1134" w:type="dxa"/>
            <w:vAlign w:val="center"/>
          </w:tcPr>
          <w:p w14:paraId="0CCB44C2" w14:textId="77777777" w:rsidR="00626756" w:rsidRPr="00F12DCA" w:rsidRDefault="00626756" w:rsidP="00B223BA">
            <w:pPr>
              <w:jc w:val="center"/>
              <w:rPr>
                <w:rFonts w:ascii="Arial" w:eastAsia="Calibri" w:hAnsi="Arial" w:cs="Arial"/>
                <w:sz w:val="18"/>
                <w:szCs w:val="18"/>
              </w:rPr>
            </w:pPr>
            <w:r w:rsidRPr="00F12DCA">
              <w:rPr>
                <w:rFonts w:ascii="Arial" w:eastAsia="Calibri" w:hAnsi="Arial" w:cs="Arial"/>
                <w:sz w:val="18"/>
                <w:szCs w:val="18"/>
              </w:rPr>
              <w:t>Dom</w:t>
            </w:r>
          </w:p>
        </w:tc>
        <w:tc>
          <w:tcPr>
            <w:tcW w:w="1435" w:type="dxa"/>
            <w:vAlign w:val="center"/>
          </w:tcPr>
          <w:p w14:paraId="6D1987BD" w14:textId="55A02DC0" w:rsidR="00626756" w:rsidRPr="00F12DCA" w:rsidRDefault="00F70946" w:rsidP="00B223BA">
            <w:pPr>
              <w:jc w:val="center"/>
              <w:rPr>
                <w:rFonts w:ascii="Arial" w:eastAsia="Calibri" w:hAnsi="Arial" w:cs="Arial"/>
                <w:sz w:val="18"/>
                <w:szCs w:val="18"/>
              </w:rPr>
            </w:pPr>
            <w:r w:rsidRPr="00F12DCA">
              <w:rPr>
                <w:rFonts w:ascii="Arial" w:eastAsia="Calibri" w:hAnsi="Arial" w:cs="Arial"/>
                <w:sz w:val="18"/>
                <w:szCs w:val="18"/>
              </w:rPr>
              <w:t>6</w:t>
            </w:r>
          </w:p>
        </w:tc>
        <w:tc>
          <w:tcPr>
            <w:tcW w:w="1417" w:type="dxa"/>
            <w:vAlign w:val="center"/>
          </w:tcPr>
          <w:p w14:paraId="07793F85" w14:textId="27B9103C" w:rsidR="00626756" w:rsidRPr="00F12DCA" w:rsidRDefault="00BF7B75" w:rsidP="00B223BA">
            <w:pPr>
              <w:jc w:val="center"/>
              <w:rPr>
                <w:rFonts w:ascii="Arial" w:eastAsia="Calibri" w:hAnsi="Arial" w:cs="Arial"/>
                <w:sz w:val="18"/>
                <w:szCs w:val="18"/>
              </w:rPr>
            </w:pPr>
            <w:r>
              <w:rPr>
                <w:rFonts w:ascii="Arial" w:eastAsia="Calibri" w:hAnsi="Arial" w:cs="Arial"/>
                <w:sz w:val="18"/>
                <w:szCs w:val="18"/>
              </w:rPr>
              <w:t>4</w:t>
            </w:r>
          </w:p>
        </w:tc>
        <w:tc>
          <w:tcPr>
            <w:tcW w:w="1417" w:type="dxa"/>
            <w:vAlign w:val="center"/>
          </w:tcPr>
          <w:p w14:paraId="51868D7C" w14:textId="46C1D640" w:rsidR="00626756" w:rsidRPr="00F12DCA" w:rsidRDefault="00087502" w:rsidP="00B223BA">
            <w:pPr>
              <w:jc w:val="center"/>
              <w:rPr>
                <w:rFonts w:ascii="Arial" w:eastAsia="Calibri" w:hAnsi="Arial" w:cs="Arial"/>
                <w:sz w:val="18"/>
                <w:szCs w:val="18"/>
              </w:rPr>
            </w:pPr>
            <w:r w:rsidRPr="00F12DCA">
              <w:rPr>
                <w:rFonts w:ascii="Arial" w:eastAsia="Calibri" w:hAnsi="Arial" w:cs="Arial"/>
                <w:sz w:val="18"/>
                <w:szCs w:val="18"/>
              </w:rPr>
              <w:t>5</w:t>
            </w:r>
          </w:p>
        </w:tc>
        <w:tc>
          <w:tcPr>
            <w:tcW w:w="1496" w:type="dxa"/>
            <w:vAlign w:val="center"/>
          </w:tcPr>
          <w:p w14:paraId="31EEA26B" w14:textId="1A8E12A2" w:rsidR="00626756" w:rsidRPr="00F12DCA" w:rsidRDefault="00087502" w:rsidP="00B223BA">
            <w:pPr>
              <w:jc w:val="center"/>
              <w:rPr>
                <w:rFonts w:ascii="Arial" w:eastAsia="Calibri" w:hAnsi="Arial" w:cs="Arial"/>
                <w:sz w:val="18"/>
                <w:szCs w:val="18"/>
              </w:rPr>
            </w:pPr>
            <w:r w:rsidRPr="00F12DCA">
              <w:rPr>
                <w:rFonts w:ascii="Arial" w:eastAsia="Calibri" w:hAnsi="Arial" w:cs="Arial"/>
                <w:sz w:val="18"/>
                <w:szCs w:val="18"/>
              </w:rPr>
              <w:t>5</w:t>
            </w:r>
          </w:p>
        </w:tc>
      </w:tr>
    </w:tbl>
    <w:p w14:paraId="7B71C315" w14:textId="77777777" w:rsidR="00626756" w:rsidRPr="003A2F86" w:rsidRDefault="00626756" w:rsidP="00626756">
      <w:pPr>
        <w:autoSpaceDE w:val="0"/>
        <w:autoSpaceDN w:val="0"/>
        <w:adjustRightInd w:val="0"/>
        <w:spacing w:after="0" w:line="240" w:lineRule="auto"/>
        <w:jc w:val="both"/>
        <w:rPr>
          <w:rFonts w:ascii="Arial" w:eastAsia="Calibri" w:hAnsi="Arial" w:cs="Arial"/>
          <w:sz w:val="20"/>
          <w:szCs w:val="20"/>
        </w:rPr>
      </w:pPr>
    </w:p>
    <w:p w14:paraId="61D578BF" w14:textId="77777777" w:rsidR="00BF7B75" w:rsidRPr="00BF7B75" w:rsidRDefault="00BF7B75" w:rsidP="00BF7B75">
      <w:pPr>
        <w:spacing w:after="0" w:line="240" w:lineRule="auto"/>
        <w:jc w:val="both"/>
        <w:rPr>
          <w:rFonts w:ascii="Arial" w:eastAsia="Calibri" w:hAnsi="Arial" w:cs="Arial"/>
          <w:sz w:val="20"/>
          <w:szCs w:val="20"/>
          <w:lang w:eastAsia="en-US"/>
        </w:rPr>
      </w:pPr>
      <w:r w:rsidRPr="00BF7B75">
        <w:rPr>
          <w:rFonts w:ascii="Arial" w:eastAsia="Calibri" w:hAnsi="Arial" w:cs="Arial"/>
          <w:sz w:val="20"/>
          <w:szCs w:val="20"/>
          <w:lang w:eastAsia="en-US"/>
        </w:rPr>
        <w:t>Stručna usavršavanja djelatnika Doma u izvještajnom razdoblju su:</w:t>
      </w:r>
    </w:p>
    <w:p w14:paraId="55861D5D" w14:textId="77777777" w:rsidR="00BF7B75" w:rsidRPr="00BF7B75" w:rsidRDefault="00BF7B75" w:rsidP="00BF7B75">
      <w:pPr>
        <w:spacing w:after="0" w:line="240" w:lineRule="auto"/>
        <w:jc w:val="both"/>
        <w:rPr>
          <w:rFonts w:ascii="Arial" w:eastAsia="Calibri" w:hAnsi="Arial" w:cs="Arial"/>
          <w:sz w:val="20"/>
          <w:szCs w:val="20"/>
          <w:lang w:eastAsia="en-US"/>
        </w:rPr>
      </w:pPr>
    </w:p>
    <w:p w14:paraId="15215ACB" w14:textId="77777777" w:rsidR="00BF7B75" w:rsidRPr="00BF7B75" w:rsidRDefault="00BF7B75" w:rsidP="00BF7B75">
      <w:pPr>
        <w:numPr>
          <w:ilvl w:val="0"/>
          <w:numId w:val="14"/>
        </w:numPr>
        <w:shd w:val="clear" w:color="auto" w:fill="FFFFFF"/>
        <w:spacing w:after="0" w:line="240" w:lineRule="auto"/>
        <w:contextualSpacing/>
        <w:jc w:val="both"/>
        <w:rPr>
          <w:rFonts w:ascii="Arial" w:eastAsia="Times New Roman" w:hAnsi="Arial" w:cs="Arial"/>
          <w:sz w:val="20"/>
          <w:szCs w:val="20"/>
          <w:bdr w:val="none" w:sz="0" w:space="0" w:color="auto" w:frame="1"/>
          <w:lang w:eastAsia="en-US"/>
        </w:rPr>
      </w:pPr>
      <w:r w:rsidRPr="00BF7B75">
        <w:rPr>
          <w:rFonts w:ascii="Arial" w:eastAsia="Times New Roman" w:hAnsi="Arial" w:cs="Arial"/>
          <w:sz w:val="20"/>
          <w:szCs w:val="20"/>
          <w:bdr w:val="none" w:sz="0" w:space="0" w:color="auto" w:frame="1"/>
          <w:lang w:eastAsia="en-US"/>
        </w:rPr>
        <w:t>On-line radionica „Pripreme za davanje izjave o fiskalnoj odgovornosti“ dana 14.02.2025.g.- ravnateljica</w:t>
      </w:r>
    </w:p>
    <w:p w14:paraId="3BA4E7B3" w14:textId="77777777" w:rsidR="00BF7B75" w:rsidRPr="00BF7B75" w:rsidRDefault="00BF7B75" w:rsidP="00BF7B75">
      <w:pPr>
        <w:numPr>
          <w:ilvl w:val="0"/>
          <w:numId w:val="14"/>
        </w:numPr>
        <w:shd w:val="clear" w:color="auto" w:fill="FFFFFF"/>
        <w:spacing w:after="0" w:line="240" w:lineRule="auto"/>
        <w:contextualSpacing/>
        <w:jc w:val="both"/>
        <w:rPr>
          <w:rFonts w:ascii="Arial" w:eastAsia="Times New Roman" w:hAnsi="Arial" w:cs="Arial"/>
          <w:sz w:val="20"/>
          <w:szCs w:val="20"/>
          <w:bdr w:val="none" w:sz="0" w:space="0" w:color="auto" w:frame="1"/>
          <w:lang w:eastAsia="en-US"/>
        </w:rPr>
      </w:pPr>
      <w:r w:rsidRPr="00BF7B75">
        <w:rPr>
          <w:rFonts w:ascii="Arial" w:eastAsia="Times New Roman" w:hAnsi="Arial" w:cs="Arial"/>
          <w:sz w:val="20"/>
          <w:szCs w:val="20"/>
          <w:bdr w:val="none" w:sz="0" w:space="0" w:color="auto" w:frame="1"/>
          <w:lang w:eastAsia="en-US"/>
        </w:rPr>
        <w:t>Konferencija „Kompleksni pacijenti u sustavu zdravstvene i socijalne skrbi“, Dubrovnik,  28.02. do 01.03.2025.g. – ravnateljica, socijalna radnica, radni terapeut, glavna sestra i medicinske sestre</w:t>
      </w:r>
    </w:p>
    <w:p w14:paraId="4059A295" w14:textId="77777777" w:rsidR="00BF7B75" w:rsidRPr="00BF7B75" w:rsidRDefault="00BF7B75" w:rsidP="00BF7B75">
      <w:pPr>
        <w:numPr>
          <w:ilvl w:val="0"/>
          <w:numId w:val="14"/>
        </w:numPr>
        <w:shd w:val="clear" w:color="auto" w:fill="FFFFFF"/>
        <w:spacing w:after="0" w:line="240" w:lineRule="auto"/>
        <w:contextualSpacing/>
        <w:jc w:val="both"/>
        <w:rPr>
          <w:rFonts w:ascii="Arial" w:eastAsia="Times New Roman" w:hAnsi="Arial" w:cs="Arial"/>
          <w:sz w:val="20"/>
          <w:szCs w:val="20"/>
          <w:bdr w:val="none" w:sz="0" w:space="0" w:color="auto" w:frame="1"/>
          <w:lang w:eastAsia="en-US"/>
        </w:rPr>
      </w:pPr>
      <w:r w:rsidRPr="00BF7B75">
        <w:rPr>
          <w:rFonts w:ascii="Arial" w:eastAsia="Times New Roman" w:hAnsi="Arial" w:cs="Arial"/>
          <w:sz w:val="20"/>
          <w:szCs w:val="20"/>
          <w:bdr w:val="none" w:sz="0" w:space="0" w:color="auto" w:frame="1"/>
          <w:lang w:eastAsia="en-US"/>
        </w:rPr>
        <w:t>Seminar „Arhivsko poslovanje-zakonske izmjene propisa“ Dubrovnik dana 24.03.2025.g. – računovodstveni referent</w:t>
      </w:r>
    </w:p>
    <w:p w14:paraId="49BEFED4" w14:textId="77777777" w:rsidR="00BF7B75" w:rsidRPr="00BF7B75" w:rsidRDefault="00BF7B75" w:rsidP="00BF7B75">
      <w:pPr>
        <w:numPr>
          <w:ilvl w:val="0"/>
          <w:numId w:val="14"/>
        </w:numPr>
        <w:shd w:val="clear" w:color="auto" w:fill="FFFFFF"/>
        <w:spacing w:after="0" w:line="240" w:lineRule="auto"/>
        <w:contextualSpacing/>
        <w:jc w:val="both"/>
        <w:rPr>
          <w:rFonts w:ascii="Arial" w:eastAsia="Times New Roman" w:hAnsi="Arial" w:cs="Arial"/>
          <w:sz w:val="20"/>
          <w:szCs w:val="20"/>
          <w:bdr w:val="none" w:sz="0" w:space="0" w:color="auto" w:frame="1"/>
          <w:lang w:eastAsia="en-US"/>
        </w:rPr>
      </w:pPr>
      <w:r w:rsidRPr="00BF7B75">
        <w:rPr>
          <w:rFonts w:ascii="Arial" w:eastAsia="Times New Roman" w:hAnsi="Arial" w:cs="Arial"/>
          <w:sz w:val="20"/>
          <w:szCs w:val="20"/>
          <w:bdr w:val="none" w:sz="0" w:space="0" w:color="auto" w:frame="1"/>
          <w:lang w:eastAsia="en-US"/>
        </w:rPr>
        <w:t>On-line predavanje „Kako pomoći sebi prilikom pomaganja drugima“ dana 27.03.2025.g.- radni terapeut</w:t>
      </w:r>
    </w:p>
    <w:p w14:paraId="1818F5AA" w14:textId="77777777" w:rsidR="00F70946" w:rsidRDefault="00F70946" w:rsidP="003752B9">
      <w:pPr>
        <w:autoSpaceDE w:val="0"/>
        <w:autoSpaceDN w:val="0"/>
        <w:adjustRightInd w:val="0"/>
        <w:spacing w:after="0" w:line="240" w:lineRule="auto"/>
        <w:jc w:val="both"/>
        <w:rPr>
          <w:rFonts w:ascii="Arial" w:eastAsia="Calibri" w:hAnsi="Arial" w:cs="Arial"/>
          <w:b/>
          <w:sz w:val="20"/>
          <w:szCs w:val="20"/>
        </w:rPr>
      </w:pPr>
    </w:p>
    <w:p w14:paraId="4B1653B3" w14:textId="4E92B824" w:rsidR="00D60635" w:rsidRPr="003A2F86" w:rsidRDefault="00791FA6" w:rsidP="003752B9">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b/>
          <w:sz w:val="20"/>
          <w:szCs w:val="20"/>
        </w:rPr>
        <w:t>3.</w:t>
      </w:r>
      <w:r w:rsidRPr="003A2F86">
        <w:rPr>
          <w:rFonts w:ascii="Arial" w:eastAsia="Calibri" w:hAnsi="Arial" w:cs="Arial"/>
          <w:sz w:val="20"/>
          <w:szCs w:val="20"/>
        </w:rPr>
        <w:t xml:space="preserve"> </w:t>
      </w:r>
      <w:r w:rsidRPr="003A2F86">
        <w:rPr>
          <w:rFonts w:ascii="Arial" w:eastAsia="Calibri" w:hAnsi="Arial" w:cs="Arial"/>
          <w:b/>
          <w:sz w:val="20"/>
          <w:szCs w:val="20"/>
        </w:rPr>
        <w:t>A204403:</w:t>
      </w:r>
      <w:r w:rsidRPr="003A2F86">
        <w:rPr>
          <w:rFonts w:ascii="Arial" w:eastAsia="Calibri" w:hAnsi="Arial" w:cs="Arial"/>
          <w:sz w:val="20"/>
          <w:szCs w:val="20"/>
        </w:rPr>
        <w:t xml:space="preserve"> </w:t>
      </w:r>
      <w:r w:rsidRPr="003A2F86">
        <w:rPr>
          <w:rFonts w:ascii="Arial" w:eastAsia="Calibri" w:hAnsi="Arial" w:cs="Arial"/>
          <w:b/>
          <w:sz w:val="20"/>
          <w:szCs w:val="20"/>
        </w:rPr>
        <w:t xml:space="preserve">Radne aktivnosti i organiziranje slobodnog vremena korisnika Doma </w:t>
      </w:r>
      <w:r w:rsidRPr="003A2F86">
        <w:rPr>
          <w:rFonts w:ascii="Arial" w:eastAsia="Calibri" w:hAnsi="Arial" w:cs="Arial"/>
          <w:sz w:val="20"/>
          <w:szCs w:val="20"/>
        </w:rPr>
        <w:t xml:space="preserve">- Proračunska sredstva su planirana u iznosu </w:t>
      </w:r>
      <w:r w:rsidR="004D7B6F" w:rsidRPr="003A2F86">
        <w:rPr>
          <w:rFonts w:ascii="Arial" w:eastAsia="Calibri" w:hAnsi="Arial" w:cs="Arial"/>
          <w:sz w:val="20"/>
          <w:szCs w:val="20"/>
        </w:rPr>
        <w:t>1</w:t>
      </w:r>
      <w:r w:rsidR="00CC0AA0">
        <w:rPr>
          <w:rFonts w:ascii="Arial" w:eastAsia="Calibri" w:hAnsi="Arial" w:cs="Arial"/>
          <w:sz w:val="20"/>
          <w:szCs w:val="20"/>
        </w:rPr>
        <w:t>150</w:t>
      </w:r>
      <w:r w:rsidR="004D7B6F" w:rsidRPr="003A2F86">
        <w:rPr>
          <w:rFonts w:ascii="Arial" w:eastAsia="Calibri" w:hAnsi="Arial" w:cs="Arial"/>
          <w:sz w:val="20"/>
          <w:szCs w:val="20"/>
        </w:rPr>
        <w:t xml:space="preserve"> €</w:t>
      </w:r>
      <w:r w:rsidRPr="003A2F86">
        <w:rPr>
          <w:rFonts w:ascii="Arial" w:eastAsia="Calibri" w:hAnsi="Arial" w:cs="Arial"/>
          <w:sz w:val="20"/>
          <w:szCs w:val="20"/>
        </w:rPr>
        <w:t xml:space="preserve"> i odnose se na rashode koji bi se trebali podmiriti iz ostvarenih sredstava proračunskog korisnika, a odnose se na nabavu materijala za radnu okupaciju korisnika, dodatne usluge korisnicima u Domu, organiziranje izleta, glazbene radionice za korisnike, predavanja namijenjena korisnicima, poklone korisnicima povodom proslave rođendana i sl. Ovi rashodi su izvršeni u iznosu </w:t>
      </w:r>
      <w:r w:rsidR="00CC0AA0">
        <w:rPr>
          <w:rFonts w:ascii="Arial" w:eastAsia="Calibri" w:hAnsi="Arial" w:cs="Arial"/>
          <w:sz w:val="20"/>
          <w:szCs w:val="20"/>
        </w:rPr>
        <w:t>200,22</w:t>
      </w:r>
      <w:r w:rsidR="004D7B6F" w:rsidRPr="003A2F86">
        <w:rPr>
          <w:rFonts w:ascii="Arial" w:eastAsia="Calibri" w:hAnsi="Arial" w:cs="Arial"/>
          <w:sz w:val="20"/>
          <w:szCs w:val="20"/>
        </w:rPr>
        <w:t xml:space="preserve"> €</w:t>
      </w:r>
      <w:r w:rsidRPr="003A2F86">
        <w:rPr>
          <w:rFonts w:ascii="Arial" w:eastAsia="Calibri" w:hAnsi="Arial" w:cs="Arial"/>
          <w:sz w:val="20"/>
          <w:szCs w:val="20"/>
        </w:rPr>
        <w:t>.</w:t>
      </w:r>
      <w:r w:rsidR="00626756" w:rsidRPr="003A2F86">
        <w:rPr>
          <w:rFonts w:ascii="Arial" w:eastAsia="Calibri" w:hAnsi="Arial" w:cs="Arial"/>
          <w:sz w:val="20"/>
          <w:szCs w:val="20"/>
        </w:rPr>
        <w:t xml:space="preserve"> Ostvarena proračunska sredstva nisu velika jer zahvaljujući dobroj suradnji sa drugim ustanovama i pojedincima razna predavanja ili radionice organiziraju se bez naknade.</w:t>
      </w:r>
    </w:p>
    <w:p w14:paraId="3EB55B4F" w14:textId="77777777" w:rsidR="00626756" w:rsidRPr="003A2F86" w:rsidRDefault="00626756" w:rsidP="003752B9">
      <w:pPr>
        <w:autoSpaceDE w:val="0"/>
        <w:autoSpaceDN w:val="0"/>
        <w:adjustRightInd w:val="0"/>
        <w:spacing w:after="0" w:line="240" w:lineRule="auto"/>
        <w:jc w:val="both"/>
        <w:rPr>
          <w:rFonts w:ascii="Arial" w:eastAsia="Calibri" w:hAnsi="Arial" w:cs="Arial"/>
          <w:sz w:val="20"/>
          <w:szCs w:val="20"/>
        </w:rPr>
      </w:pPr>
    </w:p>
    <w:p w14:paraId="095A34B1" w14:textId="77777777" w:rsidR="00626756" w:rsidRPr="003A2F86" w:rsidRDefault="00626756" w:rsidP="00626756">
      <w:pPr>
        <w:spacing w:after="0" w:line="240" w:lineRule="auto"/>
        <w:jc w:val="both"/>
        <w:rPr>
          <w:rFonts w:ascii="Arial" w:eastAsia="Calibri" w:hAnsi="Arial" w:cs="Arial"/>
          <w:sz w:val="20"/>
          <w:szCs w:val="20"/>
          <w:u w:val="single"/>
        </w:rPr>
      </w:pPr>
      <w:r w:rsidRPr="003A2F86">
        <w:rPr>
          <w:rFonts w:ascii="Arial" w:eastAsia="Calibri" w:hAnsi="Arial" w:cs="Arial"/>
          <w:b/>
          <w:sz w:val="20"/>
          <w:szCs w:val="20"/>
          <w:u w:val="single"/>
        </w:rPr>
        <w:t>Cilj</w:t>
      </w:r>
      <w:r w:rsidRPr="003A2F86">
        <w:rPr>
          <w:rFonts w:ascii="Arial" w:eastAsia="Calibri" w:hAnsi="Arial" w:cs="Arial"/>
          <w:sz w:val="20"/>
          <w:szCs w:val="20"/>
          <w:u w:val="single"/>
        </w:rPr>
        <w:t>: Podizanje kvalitete života osoba smještenih u Domu, održavanje njihovih preostalih senzomotoričkih, kognitivnih i psihosocijalnih sposobnosti te eliminacija negativnih učinaka institucionalizacije.</w:t>
      </w:r>
    </w:p>
    <w:p w14:paraId="64A426D7" w14:textId="77777777" w:rsidR="00626756" w:rsidRPr="003A2F86" w:rsidRDefault="00626756" w:rsidP="00626756">
      <w:pPr>
        <w:spacing w:after="0" w:line="240" w:lineRule="auto"/>
        <w:jc w:val="both"/>
        <w:rPr>
          <w:rFonts w:ascii="Arial" w:eastAsia="Calibri" w:hAnsi="Arial" w:cs="Arial"/>
          <w:sz w:val="20"/>
          <w:szCs w:val="20"/>
          <w:u w:val="single"/>
        </w:rPr>
      </w:pPr>
    </w:p>
    <w:p w14:paraId="0872FD52" w14:textId="77777777" w:rsidR="00626756" w:rsidRPr="003A2F86" w:rsidRDefault="00626756" w:rsidP="00626756">
      <w:pPr>
        <w:spacing w:after="0" w:line="240" w:lineRule="auto"/>
        <w:jc w:val="both"/>
        <w:rPr>
          <w:rFonts w:ascii="Arial" w:eastAsia="Calibri" w:hAnsi="Arial" w:cs="Arial"/>
          <w:sz w:val="20"/>
          <w:szCs w:val="20"/>
        </w:rPr>
      </w:pPr>
      <w:r w:rsidRPr="003A2F86">
        <w:rPr>
          <w:rFonts w:ascii="Arial" w:eastAsia="Calibri" w:hAnsi="Arial" w:cs="Arial"/>
          <w:sz w:val="20"/>
          <w:szCs w:val="20"/>
        </w:rPr>
        <w:t>Jedna od aktivnosti kojom se planira postići ovaj cilj je organiziranje raznih kreativno-glazbenih radionica uz međusobna druženja i komunikaciju čime se upotpunjuje svakodnevnica korisnika i podiže samopouzdanje.</w:t>
      </w:r>
    </w:p>
    <w:p w14:paraId="509EBB5E" w14:textId="77777777" w:rsidR="00087502" w:rsidRPr="003A2F86" w:rsidRDefault="00087502" w:rsidP="00626756">
      <w:pPr>
        <w:spacing w:after="0" w:line="240" w:lineRule="auto"/>
        <w:jc w:val="both"/>
        <w:rPr>
          <w:rFonts w:ascii="Arial" w:eastAsia="Calibri" w:hAnsi="Arial" w:cs="Arial"/>
          <w:sz w:val="20"/>
          <w:szCs w:val="20"/>
        </w:rPr>
      </w:pPr>
    </w:p>
    <w:tbl>
      <w:tblPr>
        <w:tblStyle w:val="TableGrid24"/>
        <w:tblW w:w="14431" w:type="dxa"/>
        <w:jc w:val="center"/>
        <w:tblLayout w:type="fixed"/>
        <w:tblLook w:val="04A0" w:firstRow="1" w:lastRow="0" w:firstColumn="1" w:lastColumn="0" w:noHBand="0" w:noVBand="1"/>
      </w:tblPr>
      <w:tblGrid>
        <w:gridCol w:w="1838"/>
        <w:gridCol w:w="3544"/>
        <w:gridCol w:w="1276"/>
        <w:gridCol w:w="1276"/>
        <w:gridCol w:w="1094"/>
        <w:gridCol w:w="1134"/>
        <w:gridCol w:w="1435"/>
        <w:gridCol w:w="1417"/>
        <w:gridCol w:w="1417"/>
      </w:tblGrid>
      <w:tr w:rsidR="002935FB" w:rsidRPr="003A2F86" w14:paraId="7D3B369F" w14:textId="77777777" w:rsidTr="002935FB">
        <w:trPr>
          <w:jc w:val="center"/>
        </w:trPr>
        <w:tc>
          <w:tcPr>
            <w:tcW w:w="1838" w:type="dxa"/>
            <w:shd w:val="clear" w:color="auto" w:fill="BFBFBF" w:themeFill="background1" w:themeFillShade="BF"/>
            <w:vAlign w:val="center"/>
          </w:tcPr>
          <w:p w14:paraId="7D7FC36C" w14:textId="77777777" w:rsidR="002935FB" w:rsidRPr="003A2F86" w:rsidRDefault="002935FB" w:rsidP="00853A35">
            <w:pPr>
              <w:jc w:val="center"/>
              <w:rPr>
                <w:rFonts w:ascii="Arial" w:eastAsia="Calibri" w:hAnsi="Arial" w:cs="Arial"/>
              </w:rPr>
            </w:pPr>
            <w:r w:rsidRPr="003A2F86">
              <w:rPr>
                <w:rFonts w:ascii="Arial" w:eastAsia="Calibri" w:hAnsi="Arial" w:cs="Arial"/>
              </w:rPr>
              <w:t>Pokazatelj uspješnosti</w:t>
            </w:r>
          </w:p>
        </w:tc>
        <w:tc>
          <w:tcPr>
            <w:tcW w:w="3544" w:type="dxa"/>
            <w:shd w:val="clear" w:color="auto" w:fill="BFBFBF" w:themeFill="background1" w:themeFillShade="BF"/>
            <w:vAlign w:val="center"/>
          </w:tcPr>
          <w:p w14:paraId="2979041E" w14:textId="77777777" w:rsidR="002935FB" w:rsidRPr="003A2F86" w:rsidRDefault="002935FB" w:rsidP="00853A35">
            <w:pPr>
              <w:jc w:val="center"/>
              <w:rPr>
                <w:rFonts w:ascii="Arial" w:eastAsia="Calibri" w:hAnsi="Arial" w:cs="Arial"/>
              </w:rPr>
            </w:pPr>
            <w:r w:rsidRPr="003A2F86">
              <w:rPr>
                <w:rFonts w:ascii="Arial" w:eastAsia="Calibri" w:hAnsi="Arial" w:cs="Arial"/>
              </w:rPr>
              <w:t>Definicija</w:t>
            </w:r>
          </w:p>
        </w:tc>
        <w:tc>
          <w:tcPr>
            <w:tcW w:w="1276" w:type="dxa"/>
            <w:shd w:val="clear" w:color="auto" w:fill="BFBFBF" w:themeFill="background1" w:themeFillShade="BF"/>
            <w:vAlign w:val="center"/>
          </w:tcPr>
          <w:p w14:paraId="25F02142" w14:textId="23A3991D" w:rsidR="002935FB" w:rsidRPr="003A2F86" w:rsidRDefault="002935FB" w:rsidP="00853A35">
            <w:pPr>
              <w:jc w:val="center"/>
              <w:rPr>
                <w:rFonts w:ascii="Arial" w:eastAsia="Calibri" w:hAnsi="Arial" w:cs="Arial"/>
              </w:rPr>
            </w:pPr>
            <w:r w:rsidRPr="003A2F86">
              <w:rPr>
                <w:rFonts w:ascii="Arial" w:eastAsia="Calibri" w:hAnsi="Arial" w:cs="Arial"/>
              </w:rPr>
              <w:t>Jedinica</w:t>
            </w:r>
          </w:p>
        </w:tc>
        <w:tc>
          <w:tcPr>
            <w:tcW w:w="1276" w:type="dxa"/>
            <w:shd w:val="clear" w:color="auto" w:fill="BFBFBF" w:themeFill="background1" w:themeFillShade="BF"/>
            <w:vAlign w:val="center"/>
          </w:tcPr>
          <w:p w14:paraId="690AA557" w14:textId="6D886DFB" w:rsidR="002935FB" w:rsidRPr="003A2F86" w:rsidRDefault="002935FB" w:rsidP="00853A35">
            <w:pPr>
              <w:jc w:val="center"/>
              <w:rPr>
                <w:rFonts w:ascii="Arial" w:eastAsia="Calibri" w:hAnsi="Arial" w:cs="Arial"/>
              </w:rPr>
            </w:pPr>
            <w:r w:rsidRPr="003A2F86">
              <w:rPr>
                <w:rFonts w:ascii="Arial" w:eastAsia="Calibri" w:hAnsi="Arial" w:cs="Arial"/>
              </w:rPr>
              <w:t>Polazna vrijednost</w:t>
            </w:r>
          </w:p>
          <w:p w14:paraId="229FAC5F" w14:textId="5875EC0C" w:rsidR="002935FB" w:rsidRPr="003A2F86" w:rsidRDefault="002935FB" w:rsidP="00853A35">
            <w:pPr>
              <w:jc w:val="center"/>
              <w:rPr>
                <w:rFonts w:ascii="Arial" w:eastAsia="Calibri" w:hAnsi="Arial" w:cs="Arial"/>
              </w:rPr>
            </w:pPr>
            <w:r w:rsidRPr="003A2F86">
              <w:rPr>
                <w:rFonts w:ascii="Arial" w:eastAsia="Calibri" w:hAnsi="Arial" w:cs="Arial"/>
              </w:rPr>
              <w:t>202</w:t>
            </w:r>
            <w:r>
              <w:rPr>
                <w:rFonts w:ascii="Arial" w:eastAsia="Calibri" w:hAnsi="Arial" w:cs="Arial"/>
              </w:rPr>
              <w:t>4</w:t>
            </w:r>
            <w:r w:rsidRPr="003A2F86">
              <w:rPr>
                <w:rFonts w:ascii="Arial" w:eastAsia="Calibri" w:hAnsi="Arial" w:cs="Arial"/>
              </w:rPr>
              <w:t>.</w:t>
            </w:r>
          </w:p>
        </w:tc>
        <w:tc>
          <w:tcPr>
            <w:tcW w:w="1094" w:type="dxa"/>
            <w:shd w:val="clear" w:color="auto" w:fill="BFBFBF" w:themeFill="background1" w:themeFillShade="BF"/>
            <w:vAlign w:val="center"/>
          </w:tcPr>
          <w:p w14:paraId="5AA42580" w14:textId="33E2CFF1" w:rsidR="002935FB" w:rsidRPr="003A2F86" w:rsidRDefault="002935FB" w:rsidP="00853A35">
            <w:pPr>
              <w:jc w:val="center"/>
              <w:rPr>
                <w:rFonts w:ascii="Arial" w:eastAsia="Calibri" w:hAnsi="Arial" w:cs="Arial"/>
              </w:rPr>
            </w:pPr>
            <w:r w:rsidRPr="003A2F86">
              <w:rPr>
                <w:rFonts w:ascii="Arial" w:eastAsia="Calibri" w:hAnsi="Arial" w:cs="Arial"/>
              </w:rPr>
              <w:t>Izvor podataka</w:t>
            </w:r>
          </w:p>
        </w:tc>
        <w:tc>
          <w:tcPr>
            <w:tcW w:w="1134" w:type="dxa"/>
            <w:shd w:val="clear" w:color="auto" w:fill="BFBFBF" w:themeFill="background1" w:themeFillShade="BF"/>
            <w:vAlign w:val="center"/>
          </w:tcPr>
          <w:p w14:paraId="663F8BB2" w14:textId="60299F00" w:rsidR="002935FB" w:rsidRPr="003A2F86" w:rsidRDefault="002935FB" w:rsidP="00853A35">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5</w:t>
            </w:r>
            <w:r w:rsidRPr="003A2F86">
              <w:rPr>
                <w:rFonts w:ascii="Arial" w:eastAsia="Calibri" w:hAnsi="Arial" w:cs="Arial"/>
              </w:rPr>
              <w:t>.</w:t>
            </w:r>
          </w:p>
        </w:tc>
        <w:tc>
          <w:tcPr>
            <w:tcW w:w="1435" w:type="dxa"/>
            <w:shd w:val="clear" w:color="auto" w:fill="BFBFBF" w:themeFill="background1" w:themeFillShade="BF"/>
            <w:vAlign w:val="center"/>
          </w:tcPr>
          <w:p w14:paraId="2EDF1098" w14:textId="35B3D809" w:rsidR="002935FB" w:rsidRPr="003A2F86" w:rsidRDefault="002935FB" w:rsidP="00853A35">
            <w:pPr>
              <w:jc w:val="center"/>
              <w:rPr>
                <w:rFonts w:ascii="Arial" w:eastAsia="Calibri" w:hAnsi="Arial" w:cs="Arial"/>
              </w:rPr>
            </w:pPr>
            <w:r w:rsidRPr="003A2F86">
              <w:rPr>
                <w:rFonts w:ascii="Arial" w:eastAsia="Calibri" w:hAnsi="Arial" w:cs="Arial"/>
              </w:rPr>
              <w:t>Ostvareno u izvještajnom razdoblju</w:t>
            </w:r>
          </w:p>
        </w:tc>
        <w:tc>
          <w:tcPr>
            <w:tcW w:w="1417" w:type="dxa"/>
            <w:shd w:val="clear" w:color="auto" w:fill="BFBFBF" w:themeFill="background1" w:themeFillShade="BF"/>
            <w:vAlign w:val="center"/>
          </w:tcPr>
          <w:p w14:paraId="3E8C6465" w14:textId="1F565270" w:rsidR="002935FB" w:rsidRPr="003A2F86" w:rsidRDefault="002935FB" w:rsidP="00853A35">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6</w:t>
            </w:r>
            <w:r w:rsidRPr="003A2F86">
              <w:rPr>
                <w:rFonts w:ascii="Arial" w:eastAsia="Calibri" w:hAnsi="Arial" w:cs="Arial"/>
              </w:rPr>
              <w:t>.</w:t>
            </w:r>
          </w:p>
        </w:tc>
        <w:tc>
          <w:tcPr>
            <w:tcW w:w="1417" w:type="dxa"/>
            <w:shd w:val="clear" w:color="auto" w:fill="BFBFBF" w:themeFill="background1" w:themeFillShade="BF"/>
            <w:vAlign w:val="center"/>
          </w:tcPr>
          <w:p w14:paraId="2AF453FB" w14:textId="5B7E2887" w:rsidR="002935FB" w:rsidRPr="003A2F86" w:rsidRDefault="002935FB" w:rsidP="00853A35">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7</w:t>
            </w:r>
            <w:r w:rsidRPr="003A2F86">
              <w:rPr>
                <w:rFonts w:ascii="Arial" w:eastAsia="Calibri" w:hAnsi="Arial" w:cs="Arial"/>
              </w:rPr>
              <w:t>.</w:t>
            </w:r>
          </w:p>
        </w:tc>
      </w:tr>
      <w:tr w:rsidR="002935FB" w:rsidRPr="003A2F86" w14:paraId="3FFA3C36" w14:textId="77777777" w:rsidTr="002935FB">
        <w:trPr>
          <w:trHeight w:val="1309"/>
          <w:jc w:val="center"/>
        </w:trPr>
        <w:tc>
          <w:tcPr>
            <w:tcW w:w="1838" w:type="dxa"/>
            <w:vAlign w:val="center"/>
          </w:tcPr>
          <w:p w14:paraId="63AB77A8" w14:textId="77777777" w:rsidR="002935FB" w:rsidRPr="003A2F86" w:rsidRDefault="002935FB" w:rsidP="00853A35">
            <w:pPr>
              <w:rPr>
                <w:rFonts w:ascii="Arial" w:eastAsia="Calibri" w:hAnsi="Arial" w:cs="Arial"/>
                <w:sz w:val="18"/>
                <w:szCs w:val="18"/>
              </w:rPr>
            </w:pPr>
            <w:r w:rsidRPr="003A2F86">
              <w:rPr>
                <w:rFonts w:ascii="Arial" w:eastAsia="Calibri" w:hAnsi="Arial" w:cs="Arial"/>
                <w:sz w:val="18"/>
                <w:szCs w:val="18"/>
              </w:rPr>
              <w:t xml:space="preserve">Povećanje broja organiziranih radionica (kreativne, glazbene, dramske i sl.) unutar Doma  </w:t>
            </w:r>
          </w:p>
        </w:tc>
        <w:tc>
          <w:tcPr>
            <w:tcW w:w="3544" w:type="dxa"/>
            <w:vAlign w:val="center"/>
          </w:tcPr>
          <w:p w14:paraId="441A58A6" w14:textId="77777777" w:rsidR="002935FB" w:rsidRPr="003A2F86" w:rsidRDefault="002935FB" w:rsidP="00853A35">
            <w:pPr>
              <w:rPr>
                <w:rFonts w:ascii="Arial" w:eastAsia="Calibri" w:hAnsi="Arial" w:cs="Arial"/>
                <w:sz w:val="18"/>
                <w:szCs w:val="18"/>
              </w:rPr>
            </w:pPr>
            <w:r w:rsidRPr="003A2F86">
              <w:rPr>
                <w:rFonts w:ascii="Arial" w:eastAsia="Calibri" w:hAnsi="Arial" w:cs="Arial"/>
                <w:sz w:val="18"/>
                <w:szCs w:val="18"/>
              </w:rPr>
              <w:t>Organiziranjem radionica omogućava se korisnicima međusobno druženje, razvoj njihove kreativnosti, samoizražavanje, podizanje razine fine i grube motorike, te cjeloživotno učenje</w:t>
            </w:r>
          </w:p>
        </w:tc>
        <w:tc>
          <w:tcPr>
            <w:tcW w:w="1276" w:type="dxa"/>
            <w:vAlign w:val="center"/>
          </w:tcPr>
          <w:p w14:paraId="00E59250" w14:textId="015F9158" w:rsidR="002935FB" w:rsidRPr="003A2F86" w:rsidRDefault="002935FB" w:rsidP="00853A35">
            <w:pPr>
              <w:rPr>
                <w:rFonts w:ascii="Arial" w:eastAsia="Calibri" w:hAnsi="Arial" w:cs="Arial"/>
                <w:sz w:val="18"/>
                <w:szCs w:val="18"/>
              </w:rPr>
            </w:pPr>
            <w:r w:rsidRPr="003A2F86">
              <w:rPr>
                <w:rFonts w:ascii="Arial" w:eastAsia="Calibri" w:hAnsi="Arial" w:cs="Arial"/>
                <w:sz w:val="18"/>
                <w:szCs w:val="18"/>
              </w:rPr>
              <w:t>Broj organiziranih radionica</w:t>
            </w:r>
          </w:p>
        </w:tc>
        <w:tc>
          <w:tcPr>
            <w:tcW w:w="1276" w:type="dxa"/>
            <w:vAlign w:val="center"/>
          </w:tcPr>
          <w:p w14:paraId="41C7B25E" w14:textId="0EB7864E" w:rsidR="002935FB" w:rsidRPr="003A2F86" w:rsidRDefault="002935FB" w:rsidP="002935FB">
            <w:pPr>
              <w:jc w:val="center"/>
              <w:rPr>
                <w:rFonts w:ascii="Arial" w:eastAsia="Calibri" w:hAnsi="Arial" w:cs="Arial"/>
                <w:sz w:val="18"/>
                <w:szCs w:val="18"/>
              </w:rPr>
            </w:pPr>
            <w:r>
              <w:rPr>
                <w:rFonts w:ascii="Arial" w:eastAsia="Calibri" w:hAnsi="Arial" w:cs="Arial"/>
                <w:sz w:val="18"/>
                <w:szCs w:val="18"/>
              </w:rPr>
              <w:t>18</w:t>
            </w:r>
          </w:p>
        </w:tc>
        <w:tc>
          <w:tcPr>
            <w:tcW w:w="1094" w:type="dxa"/>
            <w:vAlign w:val="center"/>
          </w:tcPr>
          <w:p w14:paraId="2512A6BA" w14:textId="695F18B7" w:rsidR="002935FB" w:rsidRPr="003A2F86" w:rsidRDefault="002935FB" w:rsidP="00853A35">
            <w:pPr>
              <w:jc w:val="center"/>
              <w:rPr>
                <w:rFonts w:ascii="Arial" w:eastAsia="Calibri" w:hAnsi="Arial" w:cs="Arial"/>
                <w:sz w:val="18"/>
                <w:szCs w:val="18"/>
              </w:rPr>
            </w:pPr>
            <w:r w:rsidRPr="003A2F86">
              <w:rPr>
                <w:rFonts w:ascii="Arial" w:eastAsia="Calibri" w:hAnsi="Arial" w:cs="Arial"/>
                <w:sz w:val="18"/>
                <w:szCs w:val="18"/>
              </w:rPr>
              <w:t>Dom</w:t>
            </w:r>
          </w:p>
        </w:tc>
        <w:tc>
          <w:tcPr>
            <w:tcW w:w="1134" w:type="dxa"/>
            <w:vAlign w:val="center"/>
          </w:tcPr>
          <w:p w14:paraId="5792FA98" w14:textId="0C725960" w:rsidR="002935FB" w:rsidRPr="003A2F86" w:rsidRDefault="002935FB" w:rsidP="00853A35">
            <w:pPr>
              <w:jc w:val="center"/>
              <w:rPr>
                <w:rFonts w:ascii="Arial" w:eastAsia="Calibri" w:hAnsi="Arial" w:cs="Arial"/>
                <w:sz w:val="18"/>
                <w:szCs w:val="18"/>
              </w:rPr>
            </w:pPr>
            <w:r>
              <w:rPr>
                <w:rFonts w:ascii="Arial" w:eastAsia="Calibri" w:hAnsi="Arial" w:cs="Arial"/>
                <w:sz w:val="18"/>
                <w:szCs w:val="18"/>
              </w:rPr>
              <w:t>15</w:t>
            </w:r>
          </w:p>
        </w:tc>
        <w:tc>
          <w:tcPr>
            <w:tcW w:w="1435" w:type="dxa"/>
            <w:vAlign w:val="center"/>
          </w:tcPr>
          <w:p w14:paraId="3CA48EEE" w14:textId="6B917962" w:rsidR="002935FB" w:rsidRPr="003A2F86" w:rsidRDefault="002935FB" w:rsidP="00853A35">
            <w:pPr>
              <w:jc w:val="center"/>
              <w:rPr>
                <w:rFonts w:ascii="Arial" w:eastAsia="Calibri" w:hAnsi="Arial" w:cs="Arial"/>
                <w:sz w:val="18"/>
                <w:szCs w:val="18"/>
              </w:rPr>
            </w:pPr>
            <w:r>
              <w:rPr>
                <w:rFonts w:ascii="Arial" w:eastAsia="Calibri" w:hAnsi="Arial" w:cs="Arial"/>
                <w:sz w:val="18"/>
                <w:szCs w:val="18"/>
              </w:rPr>
              <w:t>10</w:t>
            </w:r>
          </w:p>
        </w:tc>
        <w:tc>
          <w:tcPr>
            <w:tcW w:w="1417" w:type="dxa"/>
            <w:vAlign w:val="center"/>
          </w:tcPr>
          <w:p w14:paraId="100C2804" w14:textId="3C1CB2A8" w:rsidR="002935FB" w:rsidRPr="003A2F86" w:rsidRDefault="002935FB" w:rsidP="00853A35">
            <w:pPr>
              <w:jc w:val="center"/>
              <w:rPr>
                <w:rFonts w:ascii="Arial" w:eastAsia="Calibri" w:hAnsi="Arial" w:cs="Arial"/>
                <w:sz w:val="18"/>
                <w:szCs w:val="18"/>
              </w:rPr>
            </w:pPr>
            <w:r>
              <w:rPr>
                <w:rFonts w:ascii="Arial" w:eastAsia="Calibri" w:hAnsi="Arial" w:cs="Arial"/>
                <w:sz w:val="18"/>
                <w:szCs w:val="18"/>
              </w:rPr>
              <w:t>17</w:t>
            </w:r>
          </w:p>
        </w:tc>
        <w:tc>
          <w:tcPr>
            <w:tcW w:w="1417" w:type="dxa"/>
            <w:vAlign w:val="center"/>
          </w:tcPr>
          <w:p w14:paraId="3D67D5FA" w14:textId="16BFC4F7" w:rsidR="002935FB" w:rsidRPr="003A2F86" w:rsidRDefault="002935FB" w:rsidP="00853A35">
            <w:pPr>
              <w:jc w:val="center"/>
              <w:rPr>
                <w:rFonts w:ascii="Arial" w:eastAsia="Calibri" w:hAnsi="Arial" w:cs="Arial"/>
                <w:sz w:val="18"/>
                <w:szCs w:val="18"/>
              </w:rPr>
            </w:pPr>
            <w:r w:rsidRPr="003A2F86">
              <w:rPr>
                <w:rFonts w:ascii="Arial" w:eastAsia="Calibri" w:hAnsi="Arial" w:cs="Arial"/>
                <w:sz w:val="18"/>
                <w:szCs w:val="18"/>
              </w:rPr>
              <w:t>15</w:t>
            </w:r>
          </w:p>
        </w:tc>
      </w:tr>
    </w:tbl>
    <w:p w14:paraId="2E6576AD" w14:textId="77777777" w:rsidR="00087502" w:rsidRPr="003A2F86" w:rsidRDefault="00087502" w:rsidP="00087502">
      <w:pPr>
        <w:spacing w:after="0" w:line="240" w:lineRule="auto"/>
        <w:jc w:val="both"/>
        <w:rPr>
          <w:rFonts w:ascii="Arial" w:eastAsia="Calibri" w:hAnsi="Arial" w:cs="Arial"/>
          <w:sz w:val="20"/>
          <w:szCs w:val="20"/>
        </w:rPr>
      </w:pPr>
    </w:p>
    <w:p w14:paraId="0EC6673B" w14:textId="77777777" w:rsidR="002935FB" w:rsidRPr="00090030" w:rsidRDefault="002935FB" w:rsidP="002935FB">
      <w:pPr>
        <w:spacing w:after="0" w:line="240" w:lineRule="auto"/>
        <w:jc w:val="both"/>
        <w:rPr>
          <w:rFonts w:ascii="Arial" w:hAnsi="Arial" w:cs="Arial"/>
          <w:b/>
        </w:rPr>
      </w:pPr>
    </w:p>
    <w:p w14:paraId="6C730052" w14:textId="77777777" w:rsidR="002935FB" w:rsidRPr="00B07CB7" w:rsidRDefault="002935FB" w:rsidP="002935FB">
      <w:pPr>
        <w:spacing w:after="0" w:line="240" w:lineRule="auto"/>
        <w:jc w:val="both"/>
        <w:rPr>
          <w:rFonts w:ascii="Arial" w:eastAsia="Calibri" w:hAnsi="Arial" w:cs="Arial"/>
          <w:sz w:val="20"/>
          <w:szCs w:val="20"/>
        </w:rPr>
      </w:pPr>
      <w:r w:rsidRPr="00B07CB7">
        <w:rPr>
          <w:rFonts w:ascii="Arial" w:eastAsia="Calibri" w:hAnsi="Arial" w:cs="Arial"/>
          <w:sz w:val="20"/>
          <w:szCs w:val="20"/>
        </w:rPr>
        <w:t>Organizirane kreativno-glazbene radionice u izvještajnom razdoblju su:</w:t>
      </w:r>
    </w:p>
    <w:p w14:paraId="12E04B58" w14:textId="77777777" w:rsidR="002935FB" w:rsidRPr="0080428A" w:rsidRDefault="002935FB" w:rsidP="002935FB">
      <w:pPr>
        <w:numPr>
          <w:ilvl w:val="0"/>
          <w:numId w:val="35"/>
        </w:numPr>
        <w:spacing w:after="0" w:line="240" w:lineRule="auto"/>
        <w:ind w:left="720"/>
        <w:jc w:val="both"/>
        <w:rPr>
          <w:rFonts w:ascii="Arial" w:eastAsia="Calibri" w:hAnsi="Arial" w:cs="Arial"/>
          <w:sz w:val="20"/>
          <w:szCs w:val="20"/>
        </w:rPr>
      </w:pPr>
      <w:r w:rsidRPr="0080428A">
        <w:rPr>
          <w:rFonts w:ascii="Arial" w:eastAsia="Calibri" w:hAnsi="Arial" w:cs="Arial"/>
          <w:sz w:val="20"/>
          <w:szCs w:val="20"/>
        </w:rPr>
        <w:t>Likovna radionica - izrada srca</w:t>
      </w:r>
      <w:r>
        <w:rPr>
          <w:rFonts w:ascii="Arial" w:eastAsia="Calibri" w:hAnsi="Arial" w:cs="Arial"/>
          <w:sz w:val="20"/>
          <w:szCs w:val="20"/>
        </w:rPr>
        <w:t xml:space="preserve"> i oblaka</w:t>
      </w:r>
      <w:r w:rsidRPr="0080428A">
        <w:rPr>
          <w:rFonts w:ascii="Arial" w:eastAsia="Calibri" w:hAnsi="Arial" w:cs="Arial"/>
          <w:sz w:val="20"/>
          <w:szCs w:val="20"/>
        </w:rPr>
        <w:t xml:space="preserve"> za Valentinovo u periodu 22.01.-12.02.2025.g.</w:t>
      </w:r>
    </w:p>
    <w:p w14:paraId="41B724B1" w14:textId="77777777" w:rsidR="002935FB" w:rsidRPr="0080428A" w:rsidRDefault="002935FB" w:rsidP="002935FB">
      <w:pPr>
        <w:numPr>
          <w:ilvl w:val="0"/>
          <w:numId w:val="35"/>
        </w:numPr>
        <w:spacing w:after="0" w:line="240" w:lineRule="auto"/>
        <w:ind w:left="720"/>
        <w:jc w:val="both"/>
        <w:rPr>
          <w:rFonts w:ascii="Arial" w:eastAsia="Calibri" w:hAnsi="Arial" w:cs="Arial"/>
          <w:sz w:val="20"/>
          <w:szCs w:val="20"/>
        </w:rPr>
      </w:pPr>
      <w:r w:rsidRPr="0080428A">
        <w:rPr>
          <w:rFonts w:ascii="Arial" w:eastAsia="Calibri" w:hAnsi="Arial" w:cs="Arial"/>
          <w:sz w:val="20"/>
          <w:szCs w:val="20"/>
        </w:rPr>
        <w:t>Likovna radionica - izrada ukrasa za maškare u peiodu 18.02.-20.02.2025.g.</w:t>
      </w:r>
    </w:p>
    <w:p w14:paraId="2A077D35" w14:textId="77777777" w:rsidR="002935FB" w:rsidRPr="00746EE3" w:rsidRDefault="002935FB" w:rsidP="002935FB">
      <w:pPr>
        <w:numPr>
          <w:ilvl w:val="0"/>
          <w:numId w:val="35"/>
        </w:numPr>
        <w:spacing w:after="0" w:line="240" w:lineRule="auto"/>
        <w:ind w:left="720"/>
        <w:jc w:val="both"/>
        <w:rPr>
          <w:rFonts w:ascii="Arial" w:eastAsia="Calibri" w:hAnsi="Arial" w:cs="Arial"/>
          <w:sz w:val="20"/>
          <w:szCs w:val="20"/>
        </w:rPr>
      </w:pPr>
      <w:r w:rsidRPr="00746EE3">
        <w:rPr>
          <w:rFonts w:ascii="Arial" w:eastAsia="Calibri" w:hAnsi="Arial" w:cs="Arial"/>
          <w:sz w:val="20"/>
          <w:szCs w:val="20"/>
        </w:rPr>
        <w:t>Likovna radonica – izrada cvjetića povodom Dana žena u periodu 25.02.-27.02.2025.g.</w:t>
      </w:r>
    </w:p>
    <w:p w14:paraId="7C5B2B19" w14:textId="77777777" w:rsidR="002935FB" w:rsidRPr="00746EE3" w:rsidRDefault="002935FB" w:rsidP="002935FB">
      <w:pPr>
        <w:numPr>
          <w:ilvl w:val="0"/>
          <w:numId w:val="35"/>
        </w:numPr>
        <w:spacing w:after="0" w:line="240" w:lineRule="auto"/>
        <w:ind w:left="720"/>
        <w:jc w:val="both"/>
        <w:rPr>
          <w:rFonts w:ascii="Arial" w:eastAsia="Calibri" w:hAnsi="Arial" w:cs="Arial"/>
          <w:sz w:val="20"/>
          <w:szCs w:val="20"/>
        </w:rPr>
      </w:pPr>
      <w:r w:rsidRPr="00746EE3">
        <w:rPr>
          <w:rFonts w:ascii="Arial" w:eastAsia="Calibri" w:hAnsi="Arial" w:cs="Arial"/>
          <w:sz w:val="20"/>
          <w:szCs w:val="20"/>
        </w:rPr>
        <w:t>Likovna radionica – izrada panoa za Korizmu dana 19.03.2025.g.</w:t>
      </w:r>
    </w:p>
    <w:p w14:paraId="50915DE9" w14:textId="77777777" w:rsidR="002935FB" w:rsidRPr="0080428A" w:rsidRDefault="002935FB" w:rsidP="002935FB">
      <w:pPr>
        <w:numPr>
          <w:ilvl w:val="0"/>
          <w:numId w:val="35"/>
        </w:numPr>
        <w:spacing w:after="0" w:line="240" w:lineRule="auto"/>
        <w:ind w:left="720"/>
        <w:jc w:val="both"/>
        <w:rPr>
          <w:rFonts w:ascii="Arial" w:eastAsia="Calibri" w:hAnsi="Arial" w:cs="Arial"/>
          <w:sz w:val="20"/>
          <w:szCs w:val="20"/>
        </w:rPr>
      </w:pPr>
      <w:r w:rsidRPr="0080428A">
        <w:rPr>
          <w:rFonts w:ascii="Arial" w:eastAsia="Calibri" w:hAnsi="Arial" w:cs="Arial"/>
          <w:sz w:val="20"/>
          <w:szCs w:val="20"/>
        </w:rPr>
        <w:t xml:space="preserve">Kreativna radionica pletenja križeva </w:t>
      </w:r>
      <w:r>
        <w:rPr>
          <w:rFonts w:ascii="Arial" w:eastAsia="Calibri" w:hAnsi="Arial" w:cs="Arial"/>
          <w:sz w:val="20"/>
          <w:szCs w:val="20"/>
        </w:rPr>
        <w:t xml:space="preserve">od palmi </w:t>
      </w:r>
      <w:r w:rsidRPr="0080428A">
        <w:rPr>
          <w:rFonts w:ascii="Arial" w:eastAsia="Calibri" w:hAnsi="Arial" w:cs="Arial"/>
          <w:sz w:val="20"/>
          <w:szCs w:val="20"/>
        </w:rPr>
        <w:t>za Uskrs dana 09.04.2025.g.</w:t>
      </w:r>
    </w:p>
    <w:p w14:paraId="73CC88FC" w14:textId="77777777" w:rsidR="002935FB" w:rsidRPr="000871C0" w:rsidRDefault="002935FB" w:rsidP="002935FB">
      <w:pPr>
        <w:numPr>
          <w:ilvl w:val="0"/>
          <w:numId w:val="35"/>
        </w:numPr>
        <w:spacing w:after="0" w:line="240" w:lineRule="auto"/>
        <w:ind w:left="720"/>
        <w:jc w:val="both"/>
        <w:rPr>
          <w:rFonts w:ascii="Arial" w:eastAsia="Calibri" w:hAnsi="Arial" w:cs="Arial"/>
          <w:sz w:val="20"/>
          <w:szCs w:val="20"/>
        </w:rPr>
      </w:pPr>
      <w:r w:rsidRPr="000871C0">
        <w:rPr>
          <w:rFonts w:ascii="Arial" w:eastAsia="Calibri" w:hAnsi="Arial" w:cs="Arial"/>
          <w:sz w:val="20"/>
          <w:szCs w:val="20"/>
        </w:rPr>
        <w:t>Radionica penganja jaja dana 18.04.2025.g.</w:t>
      </w:r>
    </w:p>
    <w:p w14:paraId="08B0277B" w14:textId="77777777" w:rsidR="002935FB" w:rsidRPr="000871C0" w:rsidRDefault="002935FB" w:rsidP="002935FB">
      <w:pPr>
        <w:numPr>
          <w:ilvl w:val="0"/>
          <w:numId w:val="35"/>
        </w:numPr>
        <w:spacing w:after="0" w:line="240" w:lineRule="auto"/>
        <w:ind w:left="720"/>
        <w:jc w:val="both"/>
        <w:rPr>
          <w:rFonts w:ascii="Arial" w:eastAsia="Calibri" w:hAnsi="Arial" w:cs="Arial"/>
          <w:sz w:val="20"/>
          <w:szCs w:val="20"/>
        </w:rPr>
      </w:pPr>
      <w:r w:rsidRPr="000871C0">
        <w:rPr>
          <w:rFonts w:ascii="Arial" w:eastAsia="Calibri" w:hAnsi="Arial" w:cs="Arial"/>
          <w:sz w:val="20"/>
          <w:szCs w:val="20"/>
        </w:rPr>
        <w:t>Likovna radionica – izrada palmi za ljetni pano u periodu 18.06.-20.06.2025.g.</w:t>
      </w:r>
    </w:p>
    <w:p w14:paraId="68E75DF1" w14:textId="77777777" w:rsidR="002935FB" w:rsidRPr="000871C0" w:rsidRDefault="002935FB" w:rsidP="002935FB">
      <w:pPr>
        <w:numPr>
          <w:ilvl w:val="0"/>
          <w:numId w:val="35"/>
        </w:numPr>
        <w:spacing w:after="0" w:line="240" w:lineRule="auto"/>
        <w:ind w:left="720"/>
        <w:jc w:val="both"/>
        <w:rPr>
          <w:rFonts w:ascii="Arial" w:eastAsia="Calibri" w:hAnsi="Arial" w:cs="Arial"/>
          <w:sz w:val="20"/>
          <w:szCs w:val="20"/>
        </w:rPr>
      </w:pPr>
      <w:r w:rsidRPr="000871C0">
        <w:rPr>
          <w:rFonts w:ascii="Arial" w:eastAsia="Calibri" w:hAnsi="Arial" w:cs="Arial"/>
          <w:sz w:val="20"/>
          <w:szCs w:val="20"/>
        </w:rPr>
        <w:t>Likovna radionica – izrada palmi i morskih zvijezda dana 24.06.2025.g.</w:t>
      </w:r>
    </w:p>
    <w:p w14:paraId="0F0BD29A" w14:textId="77777777" w:rsidR="002935FB" w:rsidRPr="00B4156E" w:rsidRDefault="002935FB" w:rsidP="002935FB">
      <w:pPr>
        <w:numPr>
          <w:ilvl w:val="0"/>
          <w:numId w:val="35"/>
        </w:numPr>
        <w:spacing w:after="0" w:line="240" w:lineRule="auto"/>
        <w:ind w:left="720"/>
        <w:jc w:val="both"/>
        <w:rPr>
          <w:rFonts w:ascii="Arial" w:eastAsia="Calibri" w:hAnsi="Arial" w:cs="Arial"/>
          <w:sz w:val="20"/>
          <w:szCs w:val="20"/>
        </w:rPr>
      </w:pPr>
      <w:r w:rsidRPr="00B4156E">
        <w:rPr>
          <w:rFonts w:ascii="Arial" w:eastAsia="Calibri" w:hAnsi="Arial" w:cs="Arial"/>
          <w:sz w:val="20"/>
          <w:szCs w:val="20"/>
        </w:rPr>
        <w:t>Glazbena radionica „Jubox“ – održavanje jednom tjedno</w:t>
      </w:r>
    </w:p>
    <w:p w14:paraId="539B0E93" w14:textId="77777777" w:rsidR="002935FB" w:rsidRPr="00B4156E" w:rsidRDefault="002935FB" w:rsidP="002935FB">
      <w:pPr>
        <w:numPr>
          <w:ilvl w:val="0"/>
          <w:numId w:val="35"/>
        </w:numPr>
        <w:spacing w:after="0" w:line="240" w:lineRule="auto"/>
        <w:ind w:left="720"/>
        <w:jc w:val="both"/>
        <w:rPr>
          <w:rFonts w:ascii="Arial" w:eastAsia="Calibri" w:hAnsi="Arial" w:cs="Arial"/>
          <w:sz w:val="20"/>
          <w:szCs w:val="20"/>
        </w:rPr>
      </w:pPr>
      <w:r w:rsidRPr="00B4156E">
        <w:rPr>
          <w:rFonts w:ascii="Arial" w:eastAsia="Calibri" w:hAnsi="Arial" w:cs="Arial"/>
          <w:sz w:val="20"/>
          <w:szCs w:val="20"/>
        </w:rPr>
        <w:t>Igranje tombole, igre „Gradova i sela“ i kviz – održavanje 1x tjedno</w:t>
      </w:r>
    </w:p>
    <w:p w14:paraId="14951D14" w14:textId="77777777" w:rsidR="00626756" w:rsidRPr="003A2F86" w:rsidRDefault="00626756" w:rsidP="00626756">
      <w:pPr>
        <w:spacing w:after="0" w:line="240" w:lineRule="auto"/>
        <w:ind w:left="360"/>
        <w:jc w:val="both"/>
        <w:rPr>
          <w:rFonts w:ascii="Arial" w:eastAsia="Calibri" w:hAnsi="Arial" w:cs="Arial"/>
          <w:sz w:val="20"/>
          <w:szCs w:val="20"/>
          <w:lang w:eastAsia="en-US"/>
        </w:rPr>
      </w:pPr>
    </w:p>
    <w:p w14:paraId="29665B6F" w14:textId="77777777" w:rsidR="00626756" w:rsidRPr="003A2F86" w:rsidRDefault="00626756" w:rsidP="00626756">
      <w:pPr>
        <w:spacing w:after="0" w:line="240" w:lineRule="auto"/>
        <w:jc w:val="both"/>
        <w:rPr>
          <w:rFonts w:ascii="Arial" w:eastAsia="Calibri" w:hAnsi="Arial" w:cs="Arial"/>
          <w:sz w:val="20"/>
          <w:szCs w:val="20"/>
        </w:rPr>
      </w:pPr>
      <w:r w:rsidRPr="003A2F86">
        <w:rPr>
          <w:rFonts w:ascii="Arial" w:eastAsia="Calibri" w:hAnsi="Arial" w:cs="Arial"/>
          <w:sz w:val="20"/>
          <w:szCs w:val="20"/>
        </w:rPr>
        <w:t>Druga aktivnosti kojom se planira postići ovaj cilj je organiziranje raznih kulturnih događanja unutar prostorija Doma radi što kvalitetnijeg korištenja slobodnog vremena korisnika.</w:t>
      </w:r>
    </w:p>
    <w:p w14:paraId="54CFB9DD" w14:textId="77777777" w:rsidR="00F70946" w:rsidRPr="003A2F86" w:rsidRDefault="00F70946"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547"/>
        <w:gridCol w:w="2813"/>
        <w:gridCol w:w="1258"/>
        <w:gridCol w:w="1134"/>
        <w:gridCol w:w="1134"/>
        <w:gridCol w:w="1435"/>
        <w:gridCol w:w="1417"/>
        <w:gridCol w:w="1417"/>
        <w:gridCol w:w="1496"/>
      </w:tblGrid>
      <w:tr w:rsidR="002935FB" w:rsidRPr="003A2F86" w14:paraId="64634A4F" w14:textId="77777777" w:rsidTr="00923DED">
        <w:trPr>
          <w:jc w:val="center"/>
        </w:trPr>
        <w:tc>
          <w:tcPr>
            <w:tcW w:w="2547" w:type="dxa"/>
            <w:shd w:val="clear" w:color="auto" w:fill="BFBFBF" w:themeFill="background1" w:themeFillShade="BF"/>
            <w:vAlign w:val="center"/>
          </w:tcPr>
          <w:p w14:paraId="4BE325C2" w14:textId="77777777" w:rsidR="002935FB" w:rsidRPr="003A2F86" w:rsidRDefault="002935FB" w:rsidP="002935FB">
            <w:pPr>
              <w:jc w:val="center"/>
              <w:rPr>
                <w:rFonts w:ascii="Arial" w:eastAsia="Calibri" w:hAnsi="Arial" w:cs="Arial"/>
              </w:rPr>
            </w:pPr>
            <w:r w:rsidRPr="003A2F86">
              <w:rPr>
                <w:rFonts w:ascii="Arial" w:eastAsia="Calibri" w:hAnsi="Arial" w:cs="Arial"/>
              </w:rPr>
              <w:t>Pokazatelj uspješnosti</w:t>
            </w:r>
          </w:p>
        </w:tc>
        <w:tc>
          <w:tcPr>
            <w:tcW w:w="2813" w:type="dxa"/>
            <w:shd w:val="clear" w:color="auto" w:fill="BFBFBF" w:themeFill="background1" w:themeFillShade="BF"/>
            <w:vAlign w:val="center"/>
          </w:tcPr>
          <w:p w14:paraId="642C6328" w14:textId="77777777" w:rsidR="002935FB" w:rsidRPr="003A2F86" w:rsidRDefault="002935FB" w:rsidP="002935FB">
            <w:pPr>
              <w:jc w:val="center"/>
              <w:rPr>
                <w:rFonts w:ascii="Arial" w:eastAsia="Calibri" w:hAnsi="Arial" w:cs="Arial"/>
              </w:rPr>
            </w:pPr>
            <w:r w:rsidRPr="003A2F86">
              <w:rPr>
                <w:rFonts w:ascii="Arial" w:eastAsia="Calibri" w:hAnsi="Arial" w:cs="Arial"/>
              </w:rPr>
              <w:t>Definicija</w:t>
            </w:r>
          </w:p>
        </w:tc>
        <w:tc>
          <w:tcPr>
            <w:tcW w:w="1258" w:type="dxa"/>
            <w:shd w:val="clear" w:color="auto" w:fill="BFBFBF" w:themeFill="background1" w:themeFillShade="BF"/>
            <w:vAlign w:val="center"/>
          </w:tcPr>
          <w:p w14:paraId="15E4F403" w14:textId="77777777" w:rsidR="002935FB" w:rsidRPr="003A2F86" w:rsidRDefault="002935FB" w:rsidP="002935FB">
            <w:pPr>
              <w:jc w:val="center"/>
              <w:rPr>
                <w:rFonts w:ascii="Arial" w:eastAsia="Calibri" w:hAnsi="Arial" w:cs="Arial"/>
              </w:rPr>
            </w:pPr>
            <w:r w:rsidRPr="003A2F86">
              <w:rPr>
                <w:rFonts w:ascii="Arial" w:eastAsia="Calibri" w:hAnsi="Arial" w:cs="Arial"/>
              </w:rPr>
              <w:t>Jedinica</w:t>
            </w:r>
          </w:p>
        </w:tc>
        <w:tc>
          <w:tcPr>
            <w:tcW w:w="1134" w:type="dxa"/>
            <w:shd w:val="clear" w:color="auto" w:fill="BFBFBF" w:themeFill="background1" w:themeFillShade="BF"/>
            <w:vAlign w:val="center"/>
          </w:tcPr>
          <w:p w14:paraId="33BFDA81" w14:textId="77777777" w:rsidR="002935FB" w:rsidRPr="003A2F86" w:rsidRDefault="002935FB" w:rsidP="002935FB">
            <w:pPr>
              <w:jc w:val="center"/>
              <w:rPr>
                <w:rFonts w:ascii="Arial" w:eastAsia="Calibri" w:hAnsi="Arial" w:cs="Arial"/>
              </w:rPr>
            </w:pPr>
            <w:r w:rsidRPr="003A2F86">
              <w:rPr>
                <w:rFonts w:ascii="Arial" w:eastAsia="Calibri" w:hAnsi="Arial" w:cs="Arial"/>
              </w:rPr>
              <w:t>Polazna vrijednost</w:t>
            </w:r>
          </w:p>
          <w:p w14:paraId="2AF5C600" w14:textId="622E4C52" w:rsidR="002935FB" w:rsidRPr="003A2F86" w:rsidRDefault="002935FB" w:rsidP="002935FB">
            <w:pPr>
              <w:jc w:val="center"/>
              <w:rPr>
                <w:rFonts w:ascii="Arial" w:eastAsia="Calibri" w:hAnsi="Arial" w:cs="Arial"/>
              </w:rPr>
            </w:pPr>
            <w:r w:rsidRPr="003A2F86">
              <w:rPr>
                <w:rFonts w:ascii="Arial" w:eastAsia="Calibri" w:hAnsi="Arial" w:cs="Arial"/>
              </w:rPr>
              <w:t>202</w:t>
            </w:r>
            <w:r>
              <w:rPr>
                <w:rFonts w:ascii="Arial" w:eastAsia="Calibri" w:hAnsi="Arial" w:cs="Arial"/>
              </w:rPr>
              <w:t>4</w:t>
            </w:r>
            <w:r w:rsidRPr="003A2F86">
              <w:rPr>
                <w:rFonts w:ascii="Arial" w:eastAsia="Calibri" w:hAnsi="Arial" w:cs="Arial"/>
              </w:rPr>
              <w:t>.</w:t>
            </w:r>
          </w:p>
        </w:tc>
        <w:tc>
          <w:tcPr>
            <w:tcW w:w="1134" w:type="dxa"/>
            <w:shd w:val="clear" w:color="auto" w:fill="BFBFBF" w:themeFill="background1" w:themeFillShade="BF"/>
            <w:vAlign w:val="center"/>
          </w:tcPr>
          <w:p w14:paraId="31B9B39C" w14:textId="291EDBF1" w:rsidR="002935FB" w:rsidRPr="003A2F86" w:rsidRDefault="002935FB" w:rsidP="002935FB">
            <w:pPr>
              <w:jc w:val="center"/>
              <w:rPr>
                <w:rFonts w:ascii="Arial" w:eastAsia="Calibri" w:hAnsi="Arial" w:cs="Arial"/>
              </w:rPr>
            </w:pPr>
            <w:r w:rsidRPr="003A2F86">
              <w:rPr>
                <w:rFonts w:ascii="Arial" w:eastAsia="Calibri" w:hAnsi="Arial" w:cs="Arial"/>
              </w:rPr>
              <w:t>Izvor podataka</w:t>
            </w:r>
          </w:p>
        </w:tc>
        <w:tc>
          <w:tcPr>
            <w:tcW w:w="1435" w:type="dxa"/>
            <w:shd w:val="clear" w:color="auto" w:fill="BFBFBF" w:themeFill="background1" w:themeFillShade="BF"/>
            <w:vAlign w:val="center"/>
          </w:tcPr>
          <w:p w14:paraId="3C2C37B2" w14:textId="36B4D949" w:rsidR="002935FB" w:rsidRPr="003A2F86" w:rsidRDefault="002935FB" w:rsidP="002935FB">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5</w:t>
            </w:r>
            <w:r w:rsidRPr="003A2F86">
              <w:rPr>
                <w:rFonts w:ascii="Arial" w:eastAsia="Calibri" w:hAnsi="Arial" w:cs="Arial"/>
              </w:rPr>
              <w:t>.</w:t>
            </w:r>
          </w:p>
        </w:tc>
        <w:tc>
          <w:tcPr>
            <w:tcW w:w="1417" w:type="dxa"/>
            <w:shd w:val="clear" w:color="auto" w:fill="BFBFBF" w:themeFill="background1" w:themeFillShade="BF"/>
            <w:vAlign w:val="center"/>
          </w:tcPr>
          <w:p w14:paraId="07618135" w14:textId="58648FCF" w:rsidR="002935FB" w:rsidRPr="003A2F86" w:rsidRDefault="002935FB" w:rsidP="002935FB">
            <w:pPr>
              <w:jc w:val="center"/>
              <w:rPr>
                <w:rFonts w:ascii="Arial" w:eastAsia="Calibri" w:hAnsi="Arial" w:cs="Arial"/>
              </w:rPr>
            </w:pPr>
            <w:r w:rsidRPr="003A2F86">
              <w:rPr>
                <w:rFonts w:ascii="Arial" w:eastAsia="Calibri" w:hAnsi="Arial" w:cs="Arial"/>
              </w:rPr>
              <w:t>Ostvareno u izvještajnom razdoblju</w:t>
            </w:r>
          </w:p>
        </w:tc>
        <w:tc>
          <w:tcPr>
            <w:tcW w:w="1417" w:type="dxa"/>
            <w:shd w:val="clear" w:color="auto" w:fill="BFBFBF" w:themeFill="background1" w:themeFillShade="BF"/>
            <w:vAlign w:val="center"/>
          </w:tcPr>
          <w:p w14:paraId="42A6840D" w14:textId="56AD4C9E" w:rsidR="002935FB" w:rsidRPr="003A2F86" w:rsidRDefault="002935FB" w:rsidP="002935FB">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6</w:t>
            </w:r>
            <w:r w:rsidRPr="003A2F86">
              <w:rPr>
                <w:rFonts w:ascii="Arial" w:eastAsia="Calibri" w:hAnsi="Arial" w:cs="Arial"/>
              </w:rPr>
              <w:t>.</w:t>
            </w:r>
          </w:p>
        </w:tc>
        <w:tc>
          <w:tcPr>
            <w:tcW w:w="1496" w:type="dxa"/>
            <w:shd w:val="clear" w:color="auto" w:fill="BFBFBF" w:themeFill="background1" w:themeFillShade="BF"/>
            <w:vAlign w:val="center"/>
          </w:tcPr>
          <w:p w14:paraId="0924D09A" w14:textId="17C53EFF" w:rsidR="002935FB" w:rsidRPr="003A2F86" w:rsidRDefault="002935FB" w:rsidP="002935FB">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7</w:t>
            </w:r>
            <w:r w:rsidRPr="003A2F86">
              <w:rPr>
                <w:rFonts w:ascii="Arial" w:eastAsia="Calibri" w:hAnsi="Arial" w:cs="Arial"/>
              </w:rPr>
              <w:t>.</w:t>
            </w:r>
          </w:p>
        </w:tc>
      </w:tr>
      <w:tr w:rsidR="00626756" w:rsidRPr="003A2F86" w14:paraId="7D0845DD" w14:textId="77777777" w:rsidTr="00923DED">
        <w:trPr>
          <w:trHeight w:val="1120"/>
          <w:jc w:val="center"/>
        </w:trPr>
        <w:tc>
          <w:tcPr>
            <w:tcW w:w="2547" w:type="dxa"/>
            <w:vAlign w:val="center"/>
          </w:tcPr>
          <w:p w14:paraId="5026928A" w14:textId="77777777" w:rsidR="00626756" w:rsidRPr="003A2F86" w:rsidRDefault="00626756" w:rsidP="00B223BA">
            <w:pPr>
              <w:rPr>
                <w:rFonts w:ascii="Arial" w:eastAsia="Calibri" w:hAnsi="Arial" w:cs="Arial"/>
                <w:sz w:val="18"/>
                <w:szCs w:val="18"/>
              </w:rPr>
            </w:pPr>
            <w:r w:rsidRPr="003A2F86">
              <w:rPr>
                <w:rFonts w:ascii="Arial" w:eastAsia="Calibri" w:hAnsi="Arial" w:cs="Arial"/>
                <w:sz w:val="18"/>
                <w:szCs w:val="18"/>
              </w:rPr>
              <w:t>Povećanje broja organiziranih kulturnih događanja u Domu (izložbe, književni susreti, nastupi..)</w:t>
            </w:r>
          </w:p>
        </w:tc>
        <w:tc>
          <w:tcPr>
            <w:tcW w:w="2813" w:type="dxa"/>
            <w:vAlign w:val="center"/>
          </w:tcPr>
          <w:p w14:paraId="72D089CD" w14:textId="77777777" w:rsidR="00626756" w:rsidRPr="003A2F86" w:rsidRDefault="00626756" w:rsidP="00B223BA">
            <w:pPr>
              <w:rPr>
                <w:rFonts w:ascii="Arial" w:eastAsia="Calibri" w:hAnsi="Arial" w:cs="Arial"/>
                <w:sz w:val="18"/>
                <w:szCs w:val="18"/>
              </w:rPr>
            </w:pPr>
            <w:r w:rsidRPr="003A2F86">
              <w:rPr>
                <w:rFonts w:ascii="Arial" w:eastAsia="Calibri" w:hAnsi="Arial" w:cs="Arial"/>
                <w:sz w:val="18"/>
                <w:szCs w:val="18"/>
              </w:rPr>
              <w:t>Organiziranjem kulturnih događanja pozitivno usmjeravamo razvoj cjelokupne osobnosti starije osobe te potičemo mentalnu aktivnost</w:t>
            </w:r>
          </w:p>
        </w:tc>
        <w:tc>
          <w:tcPr>
            <w:tcW w:w="1258" w:type="dxa"/>
            <w:vAlign w:val="center"/>
          </w:tcPr>
          <w:p w14:paraId="45437D3A" w14:textId="77777777" w:rsidR="00626756" w:rsidRPr="003A2F86" w:rsidRDefault="00626756" w:rsidP="00B223BA">
            <w:pPr>
              <w:jc w:val="center"/>
              <w:rPr>
                <w:rFonts w:ascii="Arial" w:eastAsia="Calibri" w:hAnsi="Arial" w:cs="Arial"/>
                <w:sz w:val="18"/>
                <w:szCs w:val="18"/>
              </w:rPr>
            </w:pPr>
            <w:r w:rsidRPr="003A2F86">
              <w:rPr>
                <w:rFonts w:ascii="Arial" w:eastAsia="Calibri" w:hAnsi="Arial" w:cs="Arial"/>
                <w:sz w:val="18"/>
                <w:szCs w:val="18"/>
              </w:rPr>
              <w:t>Broj organiziranih kulturnih događanja godišnje</w:t>
            </w:r>
          </w:p>
        </w:tc>
        <w:tc>
          <w:tcPr>
            <w:tcW w:w="1134" w:type="dxa"/>
            <w:vAlign w:val="center"/>
          </w:tcPr>
          <w:p w14:paraId="4927E85F" w14:textId="33D3B707" w:rsidR="00626756" w:rsidRPr="003A2F86" w:rsidRDefault="00CC1EEB" w:rsidP="00B223BA">
            <w:pPr>
              <w:jc w:val="center"/>
              <w:rPr>
                <w:rFonts w:ascii="Arial" w:eastAsia="Calibri" w:hAnsi="Arial" w:cs="Arial"/>
                <w:sz w:val="18"/>
                <w:szCs w:val="18"/>
              </w:rPr>
            </w:pPr>
            <w:r>
              <w:rPr>
                <w:rFonts w:ascii="Arial" w:eastAsia="Calibri" w:hAnsi="Arial" w:cs="Arial"/>
                <w:sz w:val="18"/>
                <w:szCs w:val="18"/>
              </w:rPr>
              <w:t>8</w:t>
            </w:r>
          </w:p>
        </w:tc>
        <w:tc>
          <w:tcPr>
            <w:tcW w:w="1134" w:type="dxa"/>
            <w:vAlign w:val="center"/>
          </w:tcPr>
          <w:p w14:paraId="1B0A573C" w14:textId="77777777" w:rsidR="00626756" w:rsidRPr="003A2F86" w:rsidRDefault="00626756" w:rsidP="00B223BA">
            <w:pPr>
              <w:jc w:val="center"/>
              <w:rPr>
                <w:rFonts w:ascii="Arial" w:eastAsia="Calibri" w:hAnsi="Arial" w:cs="Arial"/>
                <w:sz w:val="18"/>
                <w:szCs w:val="18"/>
              </w:rPr>
            </w:pPr>
            <w:r w:rsidRPr="003A2F86">
              <w:rPr>
                <w:rFonts w:ascii="Arial" w:eastAsia="Calibri" w:hAnsi="Arial" w:cs="Arial"/>
                <w:sz w:val="18"/>
                <w:szCs w:val="18"/>
              </w:rPr>
              <w:t>Dom</w:t>
            </w:r>
          </w:p>
        </w:tc>
        <w:tc>
          <w:tcPr>
            <w:tcW w:w="1435" w:type="dxa"/>
            <w:vAlign w:val="center"/>
          </w:tcPr>
          <w:p w14:paraId="76C160A6" w14:textId="11CF8F20" w:rsidR="00626756" w:rsidRPr="003A2F86" w:rsidRDefault="00F70946" w:rsidP="00B223BA">
            <w:pPr>
              <w:jc w:val="center"/>
              <w:rPr>
                <w:rFonts w:ascii="Arial" w:eastAsia="Calibri" w:hAnsi="Arial" w:cs="Arial"/>
                <w:sz w:val="18"/>
                <w:szCs w:val="18"/>
              </w:rPr>
            </w:pPr>
            <w:r>
              <w:rPr>
                <w:rFonts w:ascii="Arial" w:eastAsia="Calibri" w:hAnsi="Arial" w:cs="Arial"/>
                <w:sz w:val="18"/>
                <w:szCs w:val="18"/>
              </w:rPr>
              <w:t>4</w:t>
            </w:r>
          </w:p>
        </w:tc>
        <w:tc>
          <w:tcPr>
            <w:tcW w:w="1417" w:type="dxa"/>
            <w:vAlign w:val="center"/>
          </w:tcPr>
          <w:p w14:paraId="73A5C7EC" w14:textId="08D27092" w:rsidR="00626756" w:rsidRPr="003A2F86" w:rsidRDefault="00CC1EEB" w:rsidP="00B223BA">
            <w:pPr>
              <w:jc w:val="center"/>
              <w:rPr>
                <w:rFonts w:ascii="Arial" w:eastAsia="Calibri" w:hAnsi="Arial" w:cs="Arial"/>
                <w:sz w:val="18"/>
                <w:szCs w:val="18"/>
              </w:rPr>
            </w:pPr>
            <w:r>
              <w:rPr>
                <w:rFonts w:ascii="Arial" w:eastAsia="Calibri" w:hAnsi="Arial" w:cs="Arial"/>
                <w:sz w:val="18"/>
                <w:szCs w:val="18"/>
              </w:rPr>
              <w:t>2</w:t>
            </w:r>
          </w:p>
        </w:tc>
        <w:tc>
          <w:tcPr>
            <w:tcW w:w="1417" w:type="dxa"/>
            <w:vAlign w:val="center"/>
          </w:tcPr>
          <w:p w14:paraId="39F3A03F" w14:textId="6BF84DCD" w:rsidR="00626756" w:rsidRPr="003A2F86" w:rsidRDefault="00087502" w:rsidP="00B223BA">
            <w:pPr>
              <w:jc w:val="center"/>
              <w:rPr>
                <w:rFonts w:ascii="Arial" w:eastAsia="Calibri" w:hAnsi="Arial" w:cs="Arial"/>
                <w:sz w:val="18"/>
                <w:szCs w:val="18"/>
              </w:rPr>
            </w:pPr>
            <w:r w:rsidRPr="003A2F86">
              <w:rPr>
                <w:rFonts w:ascii="Arial" w:eastAsia="Calibri" w:hAnsi="Arial" w:cs="Arial"/>
                <w:sz w:val="18"/>
                <w:szCs w:val="18"/>
              </w:rPr>
              <w:t>4</w:t>
            </w:r>
          </w:p>
        </w:tc>
        <w:tc>
          <w:tcPr>
            <w:tcW w:w="1496" w:type="dxa"/>
            <w:vAlign w:val="center"/>
          </w:tcPr>
          <w:p w14:paraId="52575FEF" w14:textId="7E96A914" w:rsidR="00626756" w:rsidRPr="003A2F86" w:rsidRDefault="00087502" w:rsidP="00B223BA">
            <w:pPr>
              <w:jc w:val="center"/>
              <w:rPr>
                <w:rFonts w:ascii="Arial" w:eastAsia="Calibri" w:hAnsi="Arial" w:cs="Arial"/>
                <w:sz w:val="18"/>
                <w:szCs w:val="18"/>
              </w:rPr>
            </w:pPr>
            <w:r w:rsidRPr="003A2F86">
              <w:rPr>
                <w:rFonts w:ascii="Arial" w:eastAsia="Calibri" w:hAnsi="Arial" w:cs="Arial"/>
                <w:sz w:val="18"/>
                <w:szCs w:val="18"/>
              </w:rPr>
              <w:t>4</w:t>
            </w:r>
          </w:p>
        </w:tc>
      </w:tr>
    </w:tbl>
    <w:p w14:paraId="416D1AA8" w14:textId="77777777" w:rsidR="00626756" w:rsidRPr="003A2F86" w:rsidRDefault="00626756" w:rsidP="00626756">
      <w:pPr>
        <w:spacing w:after="0" w:line="240" w:lineRule="auto"/>
        <w:contextualSpacing/>
        <w:jc w:val="both"/>
        <w:rPr>
          <w:rFonts w:ascii="Arial" w:eastAsia="Calibri" w:hAnsi="Arial" w:cs="Arial"/>
          <w:sz w:val="20"/>
          <w:szCs w:val="20"/>
          <w:lang w:eastAsia="en-US"/>
        </w:rPr>
      </w:pPr>
    </w:p>
    <w:p w14:paraId="0E9A9719" w14:textId="77777777" w:rsidR="00087502" w:rsidRPr="003A2F86" w:rsidRDefault="00087502" w:rsidP="00087502">
      <w:pPr>
        <w:spacing w:after="0" w:line="240" w:lineRule="auto"/>
        <w:contextualSpacing/>
        <w:jc w:val="both"/>
        <w:rPr>
          <w:rFonts w:ascii="Arial" w:eastAsia="Calibri" w:hAnsi="Arial" w:cs="Arial"/>
          <w:sz w:val="20"/>
          <w:szCs w:val="20"/>
          <w:lang w:eastAsia="en-US"/>
        </w:rPr>
      </w:pPr>
      <w:r w:rsidRPr="003A2F86">
        <w:rPr>
          <w:rFonts w:ascii="Arial" w:eastAsia="Calibri" w:hAnsi="Arial" w:cs="Arial"/>
          <w:sz w:val="20"/>
          <w:szCs w:val="20"/>
          <w:lang w:eastAsia="en-US"/>
        </w:rPr>
        <w:t>Organizirana kulturna događanja u izvještajnom razdoblju su:</w:t>
      </w:r>
    </w:p>
    <w:p w14:paraId="119C6AD3" w14:textId="77777777" w:rsidR="00CC1EEB" w:rsidRPr="00CC1EEB" w:rsidRDefault="00CC1EEB" w:rsidP="00CC1EEB">
      <w:pPr>
        <w:numPr>
          <w:ilvl w:val="0"/>
          <w:numId w:val="25"/>
        </w:numPr>
        <w:spacing w:after="0" w:line="240" w:lineRule="auto"/>
        <w:contextualSpacing/>
        <w:jc w:val="both"/>
        <w:rPr>
          <w:rFonts w:ascii="Arial" w:eastAsia="Calibri" w:hAnsi="Arial" w:cs="Arial"/>
          <w:sz w:val="20"/>
          <w:szCs w:val="20"/>
          <w:lang w:eastAsia="en-US"/>
        </w:rPr>
      </w:pPr>
      <w:r w:rsidRPr="00CC1EEB">
        <w:rPr>
          <w:rFonts w:ascii="Arial" w:eastAsia="Calibri" w:hAnsi="Arial" w:cs="Arial"/>
          <w:sz w:val="20"/>
          <w:szCs w:val="20"/>
          <w:lang w:eastAsia="en-US"/>
        </w:rPr>
        <w:t>Gledanje dokumentarnog filma „Konavoska svila“ dana 26.03.2025.g.</w:t>
      </w:r>
    </w:p>
    <w:p w14:paraId="38BAC8E4" w14:textId="77777777" w:rsidR="00CC1EEB" w:rsidRPr="00CC1EEB" w:rsidRDefault="00CC1EEB" w:rsidP="00CC1EEB">
      <w:pPr>
        <w:numPr>
          <w:ilvl w:val="0"/>
          <w:numId w:val="25"/>
        </w:numPr>
        <w:spacing w:after="0" w:line="240" w:lineRule="auto"/>
        <w:contextualSpacing/>
        <w:jc w:val="both"/>
        <w:rPr>
          <w:rFonts w:ascii="Arial" w:eastAsia="Calibri" w:hAnsi="Arial" w:cs="Arial"/>
          <w:sz w:val="20"/>
          <w:szCs w:val="20"/>
          <w:lang w:eastAsia="en-US"/>
        </w:rPr>
      </w:pPr>
      <w:r w:rsidRPr="00CC1EEB">
        <w:rPr>
          <w:rFonts w:ascii="Arial" w:eastAsia="Calibri" w:hAnsi="Arial" w:cs="Arial"/>
          <w:sz w:val="20"/>
          <w:szCs w:val="20"/>
          <w:lang w:eastAsia="en-US"/>
        </w:rPr>
        <w:t>Glazbeni nastup i predstava djece iz područne škole Čilipi dana 14.04.2025.g.</w:t>
      </w:r>
    </w:p>
    <w:p w14:paraId="28D7FC76" w14:textId="77777777" w:rsidR="00CC1EEB" w:rsidRDefault="00CC1EEB" w:rsidP="00626756">
      <w:pPr>
        <w:spacing w:after="0" w:line="240" w:lineRule="auto"/>
        <w:jc w:val="both"/>
        <w:rPr>
          <w:rFonts w:ascii="Arial" w:eastAsia="Calibri" w:hAnsi="Arial" w:cs="Arial"/>
          <w:sz w:val="20"/>
          <w:szCs w:val="20"/>
        </w:rPr>
      </w:pPr>
    </w:p>
    <w:p w14:paraId="360B1289" w14:textId="32BA1C2F" w:rsidR="00626756" w:rsidRPr="003A2F86" w:rsidRDefault="00626756" w:rsidP="00626756">
      <w:pPr>
        <w:spacing w:after="0" w:line="240" w:lineRule="auto"/>
        <w:jc w:val="both"/>
        <w:rPr>
          <w:rFonts w:ascii="Arial" w:eastAsia="Calibri" w:hAnsi="Arial" w:cs="Arial"/>
          <w:sz w:val="20"/>
          <w:szCs w:val="20"/>
        </w:rPr>
      </w:pPr>
      <w:r w:rsidRPr="003A2F86">
        <w:rPr>
          <w:rFonts w:ascii="Arial" w:eastAsia="Calibri" w:hAnsi="Arial" w:cs="Arial"/>
          <w:sz w:val="20"/>
          <w:szCs w:val="20"/>
        </w:rPr>
        <w:t>Treća aktivnost kojom se planira postići ovaj cilj je što veće uključivanje korisnika u programe obilježavanja svjetskih i međunarodnih dana, blagdana, praznika i proslava rođendana tijekom godine a time i razvijanje osjećaja zadovoljstva i pripadnosti.</w:t>
      </w:r>
    </w:p>
    <w:p w14:paraId="35DC8373" w14:textId="77777777" w:rsidR="007A6BE2" w:rsidRPr="003A2F86" w:rsidRDefault="007A6BE2"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547"/>
        <w:gridCol w:w="2954"/>
        <w:gridCol w:w="1117"/>
        <w:gridCol w:w="1134"/>
        <w:gridCol w:w="1134"/>
        <w:gridCol w:w="1435"/>
        <w:gridCol w:w="1417"/>
        <w:gridCol w:w="1417"/>
        <w:gridCol w:w="1496"/>
      </w:tblGrid>
      <w:tr w:rsidR="00CC1EEB" w:rsidRPr="003A2F86" w14:paraId="12B2761A" w14:textId="77777777" w:rsidTr="00923DED">
        <w:trPr>
          <w:jc w:val="center"/>
        </w:trPr>
        <w:tc>
          <w:tcPr>
            <w:tcW w:w="2547" w:type="dxa"/>
            <w:shd w:val="clear" w:color="auto" w:fill="BFBFBF" w:themeFill="background1" w:themeFillShade="BF"/>
            <w:vAlign w:val="center"/>
          </w:tcPr>
          <w:p w14:paraId="70E55107" w14:textId="77777777" w:rsidR="00CC1EEB" w:rsidRPr="003A2F86" w:rsidRDefault="00CC1EEB" w:rsidP="00CC1EEB">
            <w:pPr>
              <w:jc w:val="center"/>
              <w:rPr>
                <w:rFonts w:ascii="Arial" w:eastAsia="Calibri" w:hAnsi="Arial" w:cs="Arial"/>
              </w:rPr>
            </w:pPr>
            <w:r w:rsidRPr="003A2F86">
              <w:rPr>
                <w:rFonts w:ascii="Arial" w:eastAsia="Calibri" w:hAnsi="Arial" w:cs="Arial"/>
              </w:rPr>
              <w:t>Pokazatelj uspješnosti</w:t>
            </w:r>
          </w:p>
        </w:tc>
        <w:tc>
          <w:tcPr>
            <w:tcW w:w="2954" w:type="dxa"/>
            <w:shd w:val="clear" w:color="auto" w:fill="BFBFBF" w:themeFill="background1" w:themeFillShade="BF"/>
            <w:vAlign w:val="center"/>
          </w:tcPr>
          <w:p w14:paraId="28625F26" w14:textId="77777777" w:rsidR="00CC1EEB" w:rsidRPr="003A2F86" w:rsidRDefault="00CC1EEB" w:rsidP="00CC1EEB">
            <w:pPr>
              <w:jc w:val="center"/>
              <w:rPr>
                <w:rFonts w:ascii="Arial" w:eastAsia="Calibri" w:hAnsi="Arial" w:cs="Arial"/>
              </w:rPr>
            </w:pPr>
            <w:r w:rsidRPr="003A2F86">
              <w:rPr>
                <w:rFonts w:ascii="Arial" w:eastAsia="Calibri" w:hAnsi="Arial" w:cs="Arial"/>
              </w:rPr>
              <w:t>Definicija</w:t>
            </w:r>
          </w:p>
        </w:tc>
        <w:tc>
          <w:tcPr>
            <w:tcW w:w="1117" w:type="dxa"/>
            <w:shd w:val="clear" w:color="auto" w:fill="BFBFBF" w:themeFill="background1" w:themeFillShade="BF"/>
            <w:vAlign w:val="center"/>
          </w:tcPr>
          <w:p w14:paraId="60E8F3F8" w14:textId="77777777" w:rsidR="00CC1EEB" w:rsidRPr="003A2F86" w:rsidRDefault="00CC1EEB" w:rsidP="00CC1EEB">
            <w:pPr>
              <w:jc w:val="center"/>
              <w:rPr>
                <w:rFonts w:ascii="Arial" w:eastAsia="Calibri" w:hAnsi="Arial" w:cs="Arial"/>
              </w:rPr>
            </w:pPr>
            <w:r w:rsidRPr="003A2F86">
              <w:rPr>
                <w:rFonts w:ascii="Arial" w:eastAsia="Calibri" w:hAnsi="Arial" w:cs="Arial"/>
              </w:rPr>
              <w:t>Jedinica</w:t>
            </w:r>
          </w:p>
        </w:tc>
        <w:tc>
          <w:tcPr>
            <w:tcW w:w="1134" w:type="dxa"/>
            <w:shd w:val="clear" w:color="auto" w:fill="BFBFBF" w:themeFill="background1" w:themeFillShade="BF"/>
            <w:vAlign w:val="center"/>
          </w:tcPr>
          <w:p w14:paraId="06B0CB12" w14:textId="77777777" w:rsidR="00CC1EEB" w:rsidRPr="003A2F86" w:rsidRDefault="00CC1EEB" w:rsidP="00CC1EEB">
            <w:pPr>
              <w:jc w:val="center"/>
              <w:rPr>
                <w:rFonts w:ascii="Arial" w:eastAsia="Calibri" w:hAnsi="Arial" w:cs="Arial"/>
              </w:rPr>
            </w:pPr>
            <w:r w:rsidRPr="003A2F86">
              <w:rPr>
                <w:rFonts w:ascii="Arial" w:eastAsia="Calibri" w:hAnsi="Arial" w:cs="Arial"/>
              </w:rPr>
              <w:t>Polazna vrijednost</w:t>
            </w:r>
          </w:p>
          <w:p w14:paraId="48D09C59" w14:textId="476B20AB" w:rsidR="00CC1EEB" w:rsidRPr="003A2F86" w:rsidRDefault="00CC1EEB" w:rsidP="00CC1EEB">
            <w:pPr>
              <w:jc w:val="center"/>
              <w:rPr>
                <w:rFonts w:ascii="Arial" w:eastAsia="Calibri" w:hAnsi="Arial" w:cs="Arial"/>
              </w:rPr>
            </w:pPr>
            <w:r w:rsidRPr="003A2F86">
              <w:rPr>
                <w:rFonts w:ascii="Arial" w:eastAsia="Calibri" w:hAnsi="Arial" w:cs="Arial"/>
              </w:rPr>
              <w:t>202</w:t>
            </w:r>
            <w:r>
              <w:rPr>
                <w:rFonts w:ascii="Arial" w:eastAsia="Calibri" w:hAnsi="Arial" w:cs="Arial"/>
              </w:rPr>
              <w:t>4</w:t>
            </w:r>
            <w:r w:rsidRPr="003A2F86">
              <w:rPr>
                <w:rFonts w:ascii="Arial" w:eastAsia="Calibri" w:hAnsi="Arial" w:cs="Arial"/>
              </w:rPr>
              <w:t>.</w:t>
            </w:r>
          </w:p>
        </w:tc>
        <w:tc>
          <w:tcPr>
            <w:tcW w:w="1134" w:type="dxa"/>
            <w:shd w:val="clear" w:color="auto" w:fill="BFBFBF" w:themeFill="background1" w:themeFillShade="BF"/>
            <w:vAlign w:val="center"/>
          </w:tcPr>
          <w:p w14:paraId="060AE4A4" w14:textId="3950935B" w:rsidR="00CC1EEB" w:rsidRPr="003A2F86" w:rsidRDefault="00CC1EEB" w:rsidP="00CC1EEB">
            <w:pPr>
              <w:jc w:val="center"/>
              <w:rPr>
                <w:rFonts w:ascii="Arial" w:eastAsia="Calibri" w:hAnsi="Arial" w:cs="Arial"/>
              </w:rPr>
            </w:pPr>
            <w:r w:rsidRPr="003A2F86">
              <w:rPr>
                <w:rFonts w:ascii="Arial" w:eastAsia="Calibri" w:hAnsi="Arial" w:cs="Arial"/>
              </w:rPr>
              <w:t>Izvor podataka</w:t>
            </w:r>
          </w:p>
        </w:tc>
        <w:tc>
          <w:tcPr>
            <w:tcW w:w="1435" w:type="dxa"/>
            <w:shd w:val="clear" w:color="auto" w:fill="BFBFBF" w:themeFill="background1" w:themeFillShade="BF"/>
            <w:vAlign w:val="center"/>
          </w:tcPr>
          <w:p w14:paraId="6AF2270A" w14:textId="0CC43770" w:rsidR="00CC1EEB" w:rsidRPr="003A2F86" w:rsidRDefault="00CC1EEB" w:rsidP="00CC1EEB">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5</w:t>
            </w:r>
            <w:r w:rsidRPr="003A2F86">
              <w:rPr>
                <w:rFonts w:ascii="Arial" w:eastAsia="Calibri" w:hAnsi="Arial" w:cs="Arial"/>
              </w:rPr>
              <w:t>.</w:t>
            </w:r>
          </w:p>
        </w:tc>
        <w:tc>
          <w:tcPr>
            <w:tcW w:w="1417" w:type="dxa"/>
            <w:shd w:val="clear" w:color="auto" w:fill="BFBFBF" w:themeFill="background1" w:themeFillShade="BF"/>
            <w:vAlign w:val="center"/>
          </w:tcPr>
          <w:p w14:paraId="66D0A510" w14:textId="3F09ACE1" w:rsidR="00CC1EEB" w:rsidRPr="003A2F86" w:rsidRDefault="00CC1EEB" w:rsidP="00CC1EEB">
            <w:pPr>
              <w:jc w:val="center"/>
              <w:rPr>
                <w:rFonts w:ascii="Arial" w:eastAsia="Calibri" w:hAnsi="Arial" w:cs="Arial"/>
              </w:rPr>
            </w:pPr>
            <w:r w:rsidRPr="003A2F86">
              <w:rPr>
                <w:rFonts w:ascii="Arial" w:eastAsia="Calibri" w:hAnsi="Arial" w:cs="Arial"/>
              </w:rPr>
              <w:t>Ostvareno u izvještajnom razdoblju</w:t>
            </w:r>
          </w:p>
        </w:tc>
        <w:tc>
          <w:tcPr>
            <w:tcW w:w="1417" w:type="dxa"/>
            <w:shd w:val="clear" w:color="auto" w:fill="BFBFBF" w:themeFill="background1" w:themeFillShade="BF"/>
            <w:vAlign w:val="center"/>
          </w:tcPr>
          <w:p w14:paraId="6D594F85" w14:textId="5D669E92" w:rsidR="00CC1EEB" w:rsidRPr="003A2F86" w:rsidRDefault="00CC1EEB" w:rsidP="00CC1EEB">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6</w:t>
            </w:r>
            <w:r w:rsidRPr="003A2F86">
              <w:rPr>
                <w:rFonts w:ascii="Arial" w:eastAsia="Calibri" w:hAnsi="Arial" w:cs="Arial"/>
              </w:rPr>
              <w:t>.</w:t>
            </w:r>
          </w:p>
        </w:tc>
        <w:tc>
          <w:tcPr>
            <w:tcW w:w="1496" w:type="dxa"/>
            <w:shd w:val="clear" w:color="auto" w:fill="BFBFBF" w:themeFill="background1" w:themeFillShade="BF"/>
            <w:vAlign w:val="center"/>
          </w:tcPr>
          <w:p w14:paraId="164C930F" w14:textId="1B8B87CA" w:rsidR="00CC1EEB" w:rsidRPr="003A2F86" w:rsidRDefault="00CC1EEB" w:rsidP="00CC1EEB">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7</w:t>
            </w:r>
            <w:r w:rsidRPr="003A2F86">
              <w:rPr>
                <w:rFonts w:ascii="Arial" w:eastAsia="Calibri" w:hAnsi="Arial" w:cs="Arial"/>
              </w:rPr>
              <w:t>.</w:t>
            </w:r>
          </w:p>
        </w:tc>
      </w:tr>
      <w:tr w:rsidR="00626756" w:rsidRPr="003A2F86" w14:paraId="3648DE81" w14:textId="77777777" w:rsidTr="00B1733A">
        <w:trPr>
          <w:trHeight w:val="1285"/>
          <w:jc w:val="center"/>
        </w:trPr>
        <w:tc>
          <w:tcPr>
            <w:tcW w:w="2547" w:type="dxa"/>
            <w:vAlign w:val="center"/>
          </w:tcPr>
          <w:p w14:paraId="63697A24" w14:textId="77777777" w:rsidR="00626756" w:rsidRPr="003A2F86" w:rsidRDefault="00626756" w:rsidP="00B223BA">
            <w:pPr>
              <w:rPr>
                <w:rFonts w:ascii="Arial" w:eastAsia="Calibri" w:hAnsi="Arial" w:cs="Arial"/>
                <w:sz w:val="18"/>
                <w:szCs w:val="18"/>
              </w:rPr>
            </w:pPr>
            <w:r w:rsidRPr="003A2F86">
              <w:rPr>
                <w:rFonts w:ascii="Arial" w:eastAsia="Calibri" w:hAnsi="Arial" w:cs="Arial"/>
                <w:sz w:val="18"/>
                <w:szCs w:val="18"/>
              </w:rPr>
              <w:t>Povećanje broja organiziranih priredbi i proslava za sve prigode i blagdane</w:t>
            </w:r>
          </w:p>
        </w:tc>
        <w:tc>
          <w:tcPr>
            <w:tcW w:w="2954" w:type="dxa"/>
            <w:vAlign w:val="center"/>
          </w:tcPr>
          <w:p w14:paraId="607FA7D8" w14:textId="77777777" w:rsidR="00626756" w:rsidRPr="003A2F86" w:rsidRDefault="00626756" w:rsidP="00B223BA">
            <w:pPr>
              <w:rPr>
                <w:rFonts w:ascii="Arial" w:eastAsia="Calibri" w:hAnsi="Arial" w:cs="Arial"/>
                <w:sz w:val="16"/>
                <w:szCs w:val="16"/>
              </w:rPr>
            </w:pPr>
            <w:r w:rsidRPr="003A2F86">
              <w:rPr>
                <w:rFonts w:ascii="Arial" w:eastAsia="Calibri" w:hAnsi="Arial" w:cs="Arial"/>
                <w:sz w:val="16"/>
                <w:szCs w:val="16"/>
              </w:rPr>
              <w:t>Organiziranjem proslava rođendana te prigodnih programa uoči blagdana, praznika i međunarodnih dana potičemo društvenost starije osobe, stvaranje novih prijateljstva, te opće zadovoljstvo</w:t>
            </w:r>
          </w:p>
        </w:tc>
        <w:tc>
          <w:tcPr>
            <w:tcW w:w="1117" w:type="dxa"/>
            <w:vAlign w:val="center"/>
          </w:tcPr>
          <w:p w14:paraId="1C56F179" w14:textId="77777777" w:rsidR="00626756" w:rsidRPr="003A2F86" w:rsidRDefault="00626756" w:rsidP="00B223BA">
            <w:pPr>
              <w:jc w:val="center"/>
              <w:rPr>
                <w:rFonts w:ascii="Arial" w:eastAsia="Calibri" w:hAnsi="Arial" w:cs="Arial"/>
                <w:sz w:val="18"/>
                <w:szCs w:val="18"/>
              </w:rPr>
            </w:pPr>
            <w:r w:rsidRPr="003A2F86">
              <w:rPr>
                <w:rFonts w:ascii="Arial" w:eastAsia="Calibri" w:hAnsi="Arial" w:cs="Arial"/>
                <w:sz w:val="18"/>
                <w:szCs w:val="18"/>
              </w:rPr>
              <w:t>Broj priredbi i proslava godišnje</w:t>
            </w:r>
          </w:p>
        </w:tc>
        <w:tc>
          <w:tcPr>
            <w:tcW w:w="1134" w:type="dxa"/>
            <w:vAlign w:val="center"/>
          </w:tcPr>
          <w:p w14:paraId="4E7A66EE" w14:textId="18E26955" w:rsidR="00626756" w:rsidRPr="003A2F86" w:rsidRDefault="00CC1EEB" w:rsidP="00B223BA">
            <w:pPr>
              <w:jc w:val="center"/>
              <w:rPr>
                <w:rFonts w:ascii="Arial" w:eastAsia="Calibri" w:hAnsi="Arial" w:cs="Arial"/>
                <w:sz w:val="18"/>
                <w:szCs w:val="18"/>
              </w:rPr>
            </w:pPr>
            <w:r>
              <w:rPr>
                <w:rFonts w:ascii="Arial" w:eastAsia="Calibri" w:hAnsi="Arial" w:cs="Arial"/>
                <w:sz w:val="18"/>
                <w:szCs w:val="18"/>
              </w:rPr>
              <w:t>35</w:t>
            </w:r>
          </w:p>
        </w:tc>
        <w:tc>
          <w:tcPr>
            <w:tcW w:w="1134" w:type="dxa"/>
            <w:vAlign w:val="center"/>
          </w:tcPr>
          <w:p w14:paraId="48CB863C" w14:textId="77777777" w:rsidR="00626756" w:rsidRPr="003A2F86" w:rsidRDefault="00626756" w:rsidP="00B223BA">
            <w:pPr>
              <w:jc w:val="center"/>
              <w:rPr>
                <w:rFonts w:ascii="Arial" w:eastAsia="Calibri" w:hAnsi="Arial" w:cs="Arial"/>
                <w:sz w:val="18"/>
                <w:szCs w:val="18"/>
              </w:rPr>
            </w:pPr>
            <w:r w:rsidRPr="003A2F86">
              <w:rPr>
                <w:rFonts w:ascii="Arial" w:eastAsia="Calibri" w:hAnsi="Arial" w:cs="Arial"/>
                <w:sz w:val="18"/>
                <w:szCs w:val="18"/>
              </w:rPr>
              <w:t>Dom</w:t>
            </w:r>
          </w:p>
        </w:tc>
        <w:tc>
          <w:tcPr>
            <w:tcW w:w="1435" w:type="dxa"/>
            <w:vAlign w:val="center"/>
          </w:tcPr>
          <w:p w14:paraId="42E99A77" w14:textId="41B9EEDF" w:rsidR="00626756" w:rsidRPr="003A2F86" w:rsidRDefault="00CC1EEB" w:rsidP="00B223BA">
            <w:pPr>
              <w:jc w:val="center"/>
              <w:rPr>
                <w:rFonts w:ascii="Arial" w:eastAsia="Calibri" w:hAnsi="Arial" w:cs="Arial"/>
                <w:sz w:val="18"/>
                <w:szCs w:val="18"/>
              </w:rPr>
            </w:pPr>
            <w:r>
              <w:rPr>
                <w:rFonts w:ascii="Arial" w:eastAsia="Calibri" w:hAnsi="Arial" w:cs="Arial"/>
                <w:sz w:val="18"/>
                <w:szCs w:val="18"/>
              </w:rPr>
              <w:t>32</w:t>
            </w:r>
          </w:p>
        </w:tc>
        <w:tc>
          <w:tcPr>
            <w:tcW w:w="1417" w:type="dxa"/>
            <w:vAlign w:val="center"/>
          </w:tcPr>
          <w:p w14:paraId="16D7ABF0" w14:textId="21B2BFB8" w:rsidR="00626756" w:rsidRPr="003A2F86" w:rsidRDefault="00CC1EEB" w:rsidP="00B223BA">
            <w:pPr>
              <w:jc w:val="center"/>
              <w:rPr>
                <w:rFonts w:ascii="Arial" w:eastAsia="Calibri" w:hAnsi="Arial" w:cs="Arial"/>
                <w:sz w:val="18"/>
                <w:szCs w:val="18"/>
              </w:rPr>
            </w:pPr>
            <w:r>
              <w:rPr>
                <w:rFonts w:ascii="Arial" w:eastAsia="Calibri" w:hAnsi="Arial" w:cs="Arial"/>
                <w:sz w:val="18"/>
                <w:szCs w:val="18"/>
              </w:rPr>
              <w:t>16</w:t>
            </w:r>
          </w:p>
        </w:tc>
        <w:tc>
          <w:tcPr>
            <w:tcW w:w="1417" w:type="dxa"/>
            <w:vAlign w:val="center"/>
          </w:tcPr>
          <w:p w14:paraId="6AEBCE75" w14:textId="794765AC" w:rsidR="00626756" w:rsidRPr="003A2F86" w:rsidRDefault="00F70946" w:rsidP="00B223BA">
            <w:pPr>
              <w:jc w:val="center"/>
              <w:rPr>
                <w:rFonts w:ascii="Arial" w:eastAsia="Calibri" w:hAnsi="Arial" w:cs="Arial"/>
                <w:sz w:val="18"/>
                <w:szCs w:val="18"/>
              </w:rPr>
            </w:pPr>
            <w:r>
              <w:rPr>
                <w:rFonts w:ascii="Arial" w:eastAsia="Calibri" w:hAnsi="Arial" w:cs="Arial"/>
                <w:sz w:val="18"/>
                <w:szCs w:val="18"/>
              </w:rPr>
              <w:t>32</w:t>
            </w:r>
          </w:p>
        </w:tc>
        <w:tc>
          <w:tcPr>
            <w:tcW w:w="1496" w:type="dxa"/>
            <w:vAlign w:val="center"/>
          </w:tcPr>
          <w:p w14:paraId="735C4826" w14:textId="59F0CD61" w:rsidR="00626756" w:rsidRPr="003A2F86" w:rsidRDefault="00F70946" w:rsidP="00B223BA">
            <w:pPr>
              <w:jc w:val="center"/>
              <w:rPr>
                <w:rFonts w:ascii="Arial" w:eastAsia="Calibri" w:hAnsi="Arial" w:cs="Arial"/>
                <w:sz w:val="18"/>
                <w:szCs w:val="18"/>
              </w:rPr>
            </w:pPr>
            <w:r>
              <w:rPr>
                <w:rFonts w:ascii="Arial" w:eastAsia="Calibri" w:hAnsi="Arial" w:cs="Arial"/>
                <w:sz w:val="18"/>
                <w:szCs w:val="18"/>
              </w:rPr>
              <w:t>32</w:t>
            </w:r>
          </w:p>
        </w:tc>
      </w:tr>
    </w:tbl>
    <w:p w14:paraId="248CC8B7" w14:textId="77777777" w:rsidR="00626756" w:rsidRPr="003A2F86" w:rsidRDefault="00626756" w:rsidP="00626756">
      <w:pPr>
        <w:spacing w:after="0" w:line="240" w:lineRule="auto"/>
        <w:jc w:val="both"/>
        <w:rPr>
          <w:rFonts w:ascii="Arial" w:eastAsia="Calibri" w:hAnsi="Arial" w:cs="Arial"/>
          <w:sz w:val="20"/>
          <w:szCs w:val="20"/>
        </w:rPr>
      </w:pPr>
    </w:p>
    <w:p w14:paraId="432A92E4" w14:textId="77777777" w:rsidR="00087502" w:rsidRPr="003A2F86" w:rsidRDefault="00087502" w:rsidP="00087502">
      <w:pPr>
        <w:spacing w:after="0" w:line="240" w:lineRule="auto"/>
        <w:jc w:val="both"/>
        <w:rPr>
          <w:rFonts w:ascii="Arial" w:eastAsia="Calibri" w:hAnsi="Arial" w:cs="Arial"/>
          <w:sz w:val="20"/>
          <w:szCs w:val="20"/>
        </w:rPr>
      </w:pPr>
      <w:r w:rsidRPr="003A2F86">
        <w:rPr>
          <w:rFonts w:ascii="Arial" w:eastAsia="Calibri" w:hAnsi="Arial" w:cs="Arial"/>
          <w:sz w:val="20"/>
          <w:szCs w:val="20"/>
        </w:rPr>
        <w:t>Organizirane priredbe i proslave u izvještajnom razdoblju su:</w:t>
      </w:r>
    </w:p>
    <w:p w14:paraId="1A347FA6" w14:textId="77777777" w:rsidR="00CC1EEB" w:rsidRDefault="00CC1EEB" w:rsidP="00CC1EEB">
      <w:pPr>
        <w:numPr>
          <w:ilvl w:val="0"/>
          <w:numId w:val="1"/>
        </w:numPr>
        <w:spacing w:after="0" w:line="240" w:lineRule="auto"/>
        <w:contextualSpacing/>
        <w:jc w:val="both"/>
        <w:rPr>
          <w:rFonts w:ascii="Arial" w:eastAsia="Calibri" w:hAnsi="Arial" w:cs="Arial"/>
          <w:sz w:val="20"/>
          <w:szCs w:val="20"/>
        </w:rPr>
      </w:pPr>
      <w:r>
        <w:rPr>
          <w:rFonts w:ascii="Arial" w:eastAsia="Calibri" w:hAnsi="Arial" w:cs="Arial"/>
          <w:sz w:val="20"/>
          <w:szCs w:val="20"/>
        </w:rPr>
        <w:t>Proslava Feste Sv.Vlaha uz misno slavlje i grličanje dana 30.01.2025.g.</w:t>
      </w:r>
    </w:p>
    <w:p w14:paraId="6B11B2CF" w14:textId="77777777" w:rsidR="00CC1EEB" w:rsidRPr="000871C0" w:rsidRDefault="00CC1EEB" w:rsidP="00CC1EEB">
      <w:pPr>
        <w:numPr>
          <w:ilvl w:val="0"/>
          <w:numId w:val="1"/>
        </w:numPr>
        <w:spacing w:after="0" w:line="240" w:lineRule="auto"/>
        <w:contextualSpacing/>
        <w:jc w:val="both"/>
        <w:rPr>
          <w:rFonts w:ascii="Arial" w:eastAsia="Calibri" w:hAnsi="Arial" w:cs="Arial"/>
          <w:sz w:val="20"/>
          <w:szCs w:val="20"/>
        </w:rPr>
      </w:pPr>
      <w:r w:rsidRPr="000871C0">
        <w:rPr>
          <w:rFonts w:ascii="Arial" w:eastAsia="Calibri" w:hAnsi="Arial" w:cs="Arial"/>
          <w:sz w:val="20"/>
          <w:szCs w:val="20"/>
        </w:rPr>
        <w:t>Obilježavanja Valentinova dana 14.02.2025. godine</w:t>
      </w:r>
    </w:p>
    <w:p w14:paraId="21058F2F" w14:textId="77777777" w:rsidR="00CC1EEB" w:rsidRPr="000871C0" w:rsidRDefault="00CC1EEB" w:rsidP="00CC1EEB">
      <w:pPr>
        <w:numPr>
          <w:ilvl w:val="0"/>
          <w:numId w:val="1"/>
        </w:numPr>
        <w:spacing w:after="0" w:line="240" w:lineRule="auto"/>
        <w:contextualSpacing/>
        <w:jc w:val="both"/>
        <w:rPr>
          <w:rFonts w:ascii="Arial" w:eastAsia="Calibri" w:hAnsi="Arial" w:cs="Arial"/>
          <w:sz w:val="20"/>
          <w:szCs w:val="20"/>
        </w:rPr>
      </w:pPr>
      <w:r w:rsidRPr="000871C0">
        <w:rPr>
          <w:rFonts w:ascii="Arial" w:eastAsia="Calibri" w:hAnsi="Arial" w:cs="Arial"/>
          <w:sz w:val="20"/>
          <w:szCs w:val="20"/>
        </w:rPr>
        <w:t>Maškarana zabava dana 04.03.2025.g.</w:t>
      </w:r>
    </w:p>
    <w:p w14:paraId="6D52CBC6" w14:textId="77777777" w:rsidR="00CC1EEB" w:rsidRPr="000871C0" w:rsidRDefault="00CC1EEB" w:rsidP="00CC1EEB">
      <w:pPr>
        <w:numPr>
          <w:ilvl w:val="0"/>
          <w:numId w:val="1"/>
        </w:numPr>
        <w:spacing w:after="0" w:line="240" w:lineRule="auto"/>
        <w:contextualSpacing/>
        <w:jc w:val="both"/>
        <w:rPr>
          <w:rFonts w:ascii="Arial" w:eastAsia="Calibri" w:hAnsi="Arial" w:cs="Arial"/>
          <w:sz w:val="20"/>
          <w:szCs w:val="20"/>
        </w:rPr>
      </w:pPr>
      <w:r w:rsidRPr="000871C0">
        <w:rPr>
          <w:rFonts w:ascii="Arial" w:eastAsia="Calibri" w:hAnsi="Arial" w:cs="Arial"/>
          <w:sz w:val="20"/>
          <w:szCs w:val="20"/>
        </w:rPr>
        <w:t>Proslava Dana žena dana 07.03.2025.g.</w:t>
      </w:r>
      <w:r>
        <w:rPr>
          <w:rFonts w:ascii="Arial" w:eastAsia="Calibri" w:hAnsi="Arial" w:cs="Arial"/>
          <w:sz w:val="20"/>
          <w:szCs w:val="20"/>
        </w:rPr>
        <w:t xml:space="preserve"> uz lutriju i poklone</w:t>
      </w:r>
    </w:p>
    <w:p w14:paraId="1C6052A2" w14:textId="77777777" w:rsidR="00CC1EEB" w:rsidRDefault="00CC1EEB" w:rsidP="00CC1EEB">
      <w:pPr>
        <w:numPr>
          <w:ilvl w:val="0"/>
          <w:numId w:val="1"/>
        </w:numPr>
        <w:spacing w:after="0" w:line="240" w:lineRule="auto"/>
        <w:contextualSpacing/>
        <w:jc w:val="both"/>
        <w:rPr>
          <w:rFonts w:ascii="Arial" w:eastAsia="Calibri" w:hAnsi="Arial" w:cs="Arial"/>
          <w:sz w:val="20"/>
          <w:szCs w:val="20"/>
        </w:rPr>
      </w:pPr>
      <w:r w:rsidRPr="000871C0">
        <w:rPr>
          <w:rFonts w:ascii="Arial" w:eastAsia="Calibri" w:hAnsi="Arial" w:cs="Arial"/>
          <w:sz w:val="20"/>
          <w:szCs w:val="20"/>
        </w:rPr>
        <w:t>Obilježavanje početka korizme uz sv.misu i pepeljenje dana 11.03.2025.</w:t>
      </w:r>
      <w:r>
        <w:rPr>
          <w:rFonts w:ascii="Arial" w:eastAsia="Calibri" w:hAnsi="Arial" w:cs="Arial"/>
          <w:sz w:val="20"/>
          <w:szCs w:val="20"/>
        </w:rPr>
        <w:t>g.</w:t>
      </w:r>
    </w:p>
    <w:p w14:paraId="364ED350" w14:textId="77777777" w:rsidR="00CC1EEB" w:rsidRPr="000871C0" w:rsidRDefault="00CC1EEB" w:rsidP="00CC1EEB">
      <w:pPr>
        <w:numPr>
          <w:ilvl w:val="0"/>
          <w:numId w:val="1"/>
        </w:numPr>
        <w:spacing w:after="0" w:line="240" w:lineRule="auto"/>
        <w:contextualSpacing/>
        <w:jc w:val="both"/>
        <w:rPr>
          <w:rFonts w:ascii="Arial" w:eastAsia="Calibri" w:hAnsi="Arial" w:cs="Arial"/>
          <w:sz w:val="20"/>
          <w:szCs w:val="20"/>
        </w:rPr>
      </w:pPr>
      <w:r>
        <w:rPr>
          <w:rFonts w:ascii="Arial" w:eastAsia="Calibri" w:hAnsi="Arial" w:cs="Arial"/>
          <w:sz w:val="20"/>
          <w:szCs w:val="20"/>
        </w:rPr>
        <w:t>Obilježavanje Mjeseca hrvatskog jezika uz kviz dana 14.03.2025.g.</w:t>
      </w:r>
    </w:p>
    <w:p w14:paraId="090D8253" w14:textId="77777777" w:rsidR="00CC1EEB" w:rsidRPr="000871C0" w:rsidRDefault="00CC1EEB" w:rsidP="00CC1EEB">
      <w:pPr>
        <w:numPr>
          <w:ilvl w:val="0"/>
          <w:numId w:val="1"/>
        </w:numPr>
        <w:spacing w:after="0" w:line="240" w:lineRule="auto"/>
        <w:contextualSpacing/>
        <w:jc w:val="both"/>
        <w:rPr>
          <w:rFonts w:ascii="Arial" w:eastAsia="Calibri" w:hAnsi="Arial" w:cs="Arial"/>
          <w:sz w:val="20"/>
          <w:szCs w:val="20"/>
        </w:rPr>
      </w:pPr>
      <w:r w:rsidRPr="000871C0">
        <w:rPr>
          <w:rFonts w:ascii="Arial" w:eastAsia="Calibri" w:hAnsi="Arial" w:cs="Arial"/>
          <w:sz w:val="20"/>
          <w:szCs w:val="20"/>
        </w:rPr>
        <w:t>Obilježavanje Svjetskog dana socijalnog rada uz predavanje dana 18.03.2025.g.</w:t>
      </w:r>
    </w:p>
    <w:p w14:paraId="664D70F5" w14:textId="77777777" w:rsidR="00CC1EEB" w:rsidRPr="000871C0" w:rsidRDefault="00CC1EEB" w:rsidP="00CC1EEB">
      <w:pPr>
        <w:numPr>
          <w:ilvl w:val="0"/>
          <w:numId w:val="1"/>
        </w:numPr>
        <w:spacing w:after="0" w:line="240" w:lineRule="auto"/>
        <w:contextualSpacing/>
        <w:jc w:val="both"/>
        <w:rPr>
          <w:rFonts w:ascii="Arial" w:eastAsia="Calibri" w:hAnsi="Arial" w:cs="Arial"/>
          <w:sz w:val="20"/>
          <w:szCs w:val="20"/>
        </w:rPr>
      </w:pPr>
      <w:r w:rsidRPr="000871C0">
        <w:rPr>
          <w:rFonts w:ascii="Arial" w:eastAsia="Calibri" w:hAnsi="Arial" w:cs="Arial"/>
          <w:sz w:val="20"/>
          <w:szCs w:val="20"/>
        </w:rPr>
        <w:t>Obilježavanje Svjetskog dana pripovjedanja uz čitanje romana „Rječnik zaljubljenika u Konavle“ dana 21.03.2025.g.</w:t>
      </w:r>
    </w:p>
    <w:p w14:paraId="43F359CB" w14:textId="77777777" w:rsidR="00CC1EEB" w:rsidRPr="000871C0" w:rsidRDefault="00CC1EEB" w:rsidP="00CC1EEB">
      <w:pPr>
        <w:numPr>
          <w:ilvl w:val="0"/>
          <w:numId w:val="1"/>
        </w:numPr>
        <w:spacing w:after="0" w:line="240" w:lineRule="auto"/>
        <w:contextualSpacing/>
        <w:jc w:val="both"/>
        <w:rPr>
          <w:rFonts w:ascii="Arial" w:eastAsia="Calibri" w:hAnsi="Arial" w:cs="Arial"/>
          <w:sz w:val="20"/>
          <w:szCs w:val="20"/>
        </w:rPr>
      </w:pPr>
      <w:r w:rsidRPr="000871C0">
        <w:rPr>
          <w:rFonts w:ascii="Arial" w:eastAsia="Calibri" w:hAnsi="Arial" w:cs="Arial"/>
          <w:sz w:val="20"/>
          <w:szCs w:val="20"/>
        </w:rPr>
        <w:t xml:space="preserve">Proslava Uskrsa uz sv.misu, ispovijed korisnika i blagoslov palmi dana 15.-20.04.2025.g. </w:t>
      </w:r>
    </w:p>
    <w:p w14:paraId="69C8A513" w14:textId="77777777" w:rsidR="00CC1EEB" w:rsidRPr="000871C0" w:rsidRDefault="00CC1EEB" w:rsidP="00CC1EEB">
      <w:pPr>
        <w:numPr>
          <w:ilvl w:val="0"/>
          <w:numId w:val="1"/>
        </w:numPr>
        <w:spacing w:after="0" w:line="240" w:lineRule="auto"/>
        <w:contextualSpacing/>
        <w:jc w:val="both"/>
        <w:rPr>
          <w:rFonts w:ascii="Arial" w:eastAsia="Calibri" w:hAnsi="Arial" w:cs="Arial"/>
          <w:sz w:val="20"/>
          <w:szCs w:val="20"/>
        </w:rPr>
      </w:pPr>
      <w:r w:rsidRPr="000871C0">
        <w:rPr>
          <w:rFonts w:ascii="Arial" w:eastAsia="Calibri" w:hAnsi="Arial" w:cs="Arial"/>
          <w:sz w:val="20"/>
          <w:szCs w:val="20"/>
        </w:rPr>
        <w:t>Obilježavanje Dana planeta zemlje uz predavanje dana 25.04.2025.g.</w:t>
      </w:r>
    </w:p>
    <w:p w14:paraId="5171AC0F" w14:textId="77777777" w:rsidR="00CC1EEB" w:rsidRPr="000871C0" w:rsidRDefault="00CC1EEB" w:rsidP="00CC1EEB">
      <w:pPr>
        <w:numPr>
          <w:ilvl w:val="0"/>
          <w:numId w:val="1"/>
        </w:numPr>
        <w:spacing w:after="0" w:line="240" w:lineRule="auto"/>
        <w:contextualSpacing/>
        <w:jc w:val="both"/>
        <w:rPr>
          <w:rFonts w:ascii="Arial" w:eastAsia="Calibri" w:hAnsi="Arial" w:cs="Arial"/>
          <w:sz w:val="20"/>
          <w:szCs w:val="20"/>
        </w:rPr>
      </w:pPr>
      <w:r w:rsidRPr="000871C0">
        <w:rPr>
          <w:rFonts w:ascii="Arial" w:eastAsia="Calibri" w:hAnsi="Arial" w:cs="Arial"/>
          <w:sz w:val="20"/>
          <w:szCs w:val="20"/>
        </w:rPr>
        <w:t>Obilježavanje Međunarodnog dana sporta uz sportske igre dana 23.05.2025.g.</w:t>
      </w:r>
    </w:p>
    <w:p w14:paraId="10E29358" w14:textId="77777777" w:rsidR="00CC1EEB" w:rsidRPr="000871C0" w:rsidRDefault="00CC1EEB" w:rsidP="00CC1EEB">
      <w:pPr>
        <w:numPr>
          <w:ilvl w:val="0"/>
          <w:numId w:val="1"/>
        </w:numPr>
        <w:spacing w:after="0" w:line="240" w:lineRule="auto"/>
        <w:contextualSpacing/>
        <w:jc w:val="both"/>
        <w:rPr>
          <w:rFonts w:ascii="Arial" w:eastAsia="Calibri" w:hAnsi="Arial" w:cs="Arial"/>
          <w:sz w:val="20"/>
          <w:szCs w:val="20"/>
        </w:rPr>
      </w:pPr>
      <w:r w:rsidRPr="000871C0">
        <w:rPr>
          <w:rFonts w:ascii="Arial" w:eastAsia="Calibri" w:hAnsi="Arial" w:cs="Arial"/>
          <w:sz w:val="20"/>
          <w:szCs w:val="20"/>
        </w:rPr>
        <w:t>Obilježavanje Svjetskog dana okoliša uz sadnju cvijeća u vrtu dana 06.06.2025.g.</w:t>
      </w:r>
    </w:p>
    <w:p w14:paraId="5F3B4CEA" w14:textId="77777777" w:rsidR="00CC1EEB" w:rsidRPr="000871C0" w:rsidRDefault="00CC1EEB" w:rsidP="00CC1EEB">
      <w:pPr>
        <w:numPr>
          <w:ilvl w:val="0"/>
          <w:numId w:val="1"/>
        </w:numPr>
        <w:spacing w:after="0" w:line="240" w:lineRule="auto"/>
        <w:contextualSpacing/>
        <w:jc w:val="both"/>
        <w:rPr>
          <w:rFonts w:ascii="Arial" w:eastAsia="Calibri" w:hAnsi="Arial" w:cs="Arial"/>
          <w:sz w:val="20"/>
          <w:szCs w:val="20"/>
        </w:rPr>
      </w:pPr>
      <w:r w:rsidRPr="000871C0">
        <w:rPr>
          <w:rFonts w:ascii="Arial" w:eastAsia="Calibri" w:hAnsi="Arial" w:cs="Arial"/>
          <w:sz w:val="20"/>
          <w:szCs w:val="20"/>
        </w:rPr>
        <w:t>Proslava blagdana Sv.Antuna – odlazak u Pridvorje na sv.misu dana 13.06.2025.g.</w:t>
      </w:r>
    </w:p>
    <w:p w14:paraId="0102A4D3" w14:textId="77777777" w:rsidR="00CC1EEB" w:rsidRPr="000871C0" w:rsidRDefault="00CC1EEB" w:rsidP="00CC1EEB">
      <w:pPr>
        <w:numPr>
          <w:ilvl w:val="0"/>
          <w:numId w:val="1"/>
        </w:numPr>
        <w:spacing w:after="0" w:line="240" w:lineRule="auto"/>
        <w:contextualSpacing/>
        <w:jc w:val="both"/>
        <w:rPr>
          <w:rFonts w:ascii="Arial" w:eastAsia="Calibri" w:hAnsi="Arial" w:cs="Arial"/>
          <w:sz w:val="20"/>
          <w:szCs w:val="20"/>
        </w:rPr>
      </w:pPr>
      <w:r w:rsidRPr="000871C0">
        <w:rPr>
          <w:rFonts w:ascii="Arial" w:eastAsia="Calibri" w:hAnsi="Arial" w:cs="Arial"/>
          <w:sz w:val="20"/>
          <w:szCs w:val="20"/>
        </w:rPr>
        <w:t xml:space="preserve">Proslava rođendana korisnika dana: 06.02.2025.g., 27.03.2025.g., 03.06.2025.g– </w:t>
      </w:r>
      <w:r w:rsidRPr="000871C0">
        <w:rPr>
          <w:rFonts w:ascii="Arial" w:eastAsia="Calibri" w:hAnsi="Arial" w:cs="Arial"/>
          <w:b/>
          <w:sz w:val="20"/>
          <w:szCs w:val="20"/>
        </w:rPr>
        <w:t>ukupno 3 proslave</w:t>
      </w:r>
    </w:p>
    <w:p w14:paraId="6C5CB66F" w14:textId="77777777" w:rsidR="00626756" w:rsidRPr="003A2F86" w:rsidRDefault="00626756" w:rsidP="00626756">
      <w:pPr>
        <w:spacing w:after="0" w:line="240" w:lineRule="auto"/>
        <w:jc w:val="both"/>
        <w:rPr>
          <w:rFonts w:ascii="Arial" w:eastAsia="Calibri" w:hAnsi="Arial" w:cs="Arial"/>
          <w:sz w:val="20"/>
          <w:szCs w:val="20"/>
        </w:rPr>
      </w:pPr>
    </w:p>
    <w:p w14:paraId="3BCFC014" w14:textId="77777777" w:rsidR="00626756" w:rsidRPr="003A2F86" w:rsidRDefault="00626756" w:rsidP="00626756">
      <w:pPr>
        <w:spacing w:after="0" w:line="240" w:lineRule="auto"/>
        <w:jc w:val="both"/>
        <w:rPr>
          <w:rFonts w:ascii="Arial" w:eastAsia="Calibri" w:hAnsi="Arial" w:cs="Arial"/>
          <w:sz w:val="20"/>
          <w:szCs w:val="20"/>
        </w:rPr>
      </w:pPr>
      <w:r w:rsidRPr="003A2F86">
        <w:rPr>
          <w:rFonts w:ascii="Arial" w:eastAsia="Calibri" w:hAnsi="Arial" w:cs="Arial"/>
          <w:sz w:val="20"/>
          <w:szCs w:val="20"/>
        </w:rPr>
        <w:t>Četvrta aktivnost kojom se ovaj cilj nastoji postići je povećanjem broja edukativnih predavanja namijenjenih korisnicima Doma. Predavanja su organizirana iz područja zdravstva, socijalne skrbi, prava i drugih interesantnih tema primijenjenih starijoj populaciji</w:t>
      </w:r>
    </w:p>
    <w:p w14:paraId="3AD96CA9" w14:textId="77777777" w:rsidR="007A6BE2" w:rsidRPr="003A2F86" w:rsidRDefault="007A6BE2"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547"/>
        <w:gridCol w:w="2954"/>
        <w:gridCol w:w="1117"/>
        <w:gridCol w:w="1134"/>
        <w:gridCol w:w="1134"/>
        <w:gridCol w:w="1435"/>
        <w:gridCol w:w="1417"/>
        <w:gridCol w:w="1417"/>
        <w:gridCol w:w="1496"/>
      </w:tblGrid>
      <w:tr w:rsidR="00CC1EEB" w:rsidRPr="003A2F86" w14:paraId="56997ACC" w14:textId="77777777" w:rsidTr="00923DED">
        <w:trPr>
          <w:jc w:val="center"/>
        </w:trPr>
        <w:tc>
          <w:tcPr>
            <w:tcW w:w="2547" w:type="dxa"/>
            <w:shd w:val="clear" w:color="auto" w:fill="BFBFBF" w:themeFill="background1" w:themeFillShade="BF"/>
            <w:vAlign w:val="center"/>
          </w:tcPr>
          <w:p w14:paraId="5F2BC665" w14:textId="77777777" w:rsidR="00CC1EEB" w:rsidRPr="003A2F86" w:rsidRDefault="00CC1EEB" w:rsidP="00CC1EEB">
            <w:pPr>
              <w:jc w:val="center"/>
              <w:rPr>
                <w:rFonts w:ascii="Arial" w:eastAsia="Calibri" w:hAnsi="Arial" w:cs="Arial"/>
              </w:rPr>
            </w:pPr>
            <w:r w:rsidRPr="003A2F86">
              <w:rPr>
                <w:rFonts w:ascii="Arial" w:eastAsia="Calibri" w:hAnsi="Arial" w:cs="Arial"/>
              </w:rPr>
              <w:t>Pokazatelj uspješnosti</w:t>
            </w:r>
          </w:p>
        </w:tc>
        <w:tc>
          <w:tcPr>
            <w:tcW w:w="2954" w:type="dxa"/>
            <w:shd w:val="clear" w:color="auto" w:fill="BFBFBF" w:themeFill="background1" w:themeFillShade="BF"/>
            <w:vAlign w:val="center"/>
          </w:tcPr>
          <w:p w14:paraId="2D66FEEA" w14:textId="77777777" w:rsidR="00CC1EEB" w:rsidRPr="003A2F86" w:rsidRDefault="00CC1EEB" w:rsidP="00CC1EEB">
            <w:pPr>
              <w:jc w:val="center"/>
              <w:rPr>
                <w:rFonts w:ascii="Arial" w:eastAsia="Calibri" w:hAnsi="Arial" w:cs="Arial"/>
              </w:rPr>
            </w:pPr>
            <w:r w:rsidRPr="003A2F86">
              <w:rPr>
                <w:rFonts w:ascii="Arial" w:eastAsia="Calibri" w:hAnsi="Arial" w:cs="Arial"/>
              </w:rPr>
              <w:t>Definicija</w:t>
            </w:r>
          </w:p>
        </w:tc>
        <w:tc>
          <w:tcPr>
            <w:tcW w:w="1117" w:type="dxa"/>
            <w:shd w:val="clear" w:color="auto" w:fill="BFBFBF" w:themeFill="background1" w:themeFillShade="BF"/>
            <w:vAlign w:val="center"/>
          </w:tcPr>
          <w:p w14:paraId="634E11E6" w14:textId="77777777" w:rsidR="00CC1EEB" w:rsidRPr="003A2F86" w:rsidRDefault="00CC1EEB" w:rsidP="00CC1EEB">
            <w:pPr>
              <w:jc w:val="center"/>
              <w:rPr>
                <w:rFonts w:ascii="Arial" w:eastAsia="Calibri" w:hAnsi="Arial" w:cs="Arial"/>
              </w:rPr>
            </w:pPr>
            <w:r w:rsidRPr="003A2F86">
              <w:rPr>
                <w:rFonts w:ascii="Arial" w:eastAsia="Calibri" w:hAnsi="Arial" w:cs="Arial"/>
              </w:rPr>
              <w:t>Jedinica</w:t>
            </w:r>
          </w:p>
        </w:tc>
        <w:tc>
          <w:tcPr>
            <w:tcW w:w="1134" w:type="dxa"/>
            <w:shd w:val="clear" w:color="auto" w:fill="BFBFBF" w:themeFill="background1" w:themeFillShade="BF"/>
            <w:vAlign w:val="center"/>
          </w:tcPr>
          <w:p w14:paraId="5FFCD6A7" w14:textId="77777777" w:rsidR="00CC1EEB" w:rsidRPr="003A2F86" w:rsidRDefault="00CC1EEB" w:rsidP="00CC1EEB">
            <w:pPr>
              <w:jc w:val="center"/>
              <w:rPr>
                <w:rFonts w:ascii="Arial" w:eastAsia="Calibri" w:hAnsi="Arial" w:cs="Arial"/>
              </w:rPr>
            </w:pPr>
            <w:r w:rsidRPr="003A2F86">
              <w:rPr>
                <w:rFonts w:ascii="Arial" w:eastAsia="Calibri" w:hAnsi="Arial" w:cs="Arial"/>
              </w:rPr>
              <w:t>Polazna vrijednost</w:t>
            </w:r>
          </w:p>
          <w:p w14:paraId="4F974769" w14:textId="01C3A7BA" w:rsidR="00CC1EEB" w:rsidRPr="003A2F86" w:rsidRDefault="00CC1EEB" w:rsidP="00CC1EEB">
            <w:pPr>
              <w:jc w:val="center"/>
              <w:rPr>
                <w:rFonts w:ascii="Arial" w:eastAsia="Calibri" w:hAnsi="Arial" w:cs="Arial"/>
              </w:rPr>
            </w:pPr>
            <w:r w:rsidRPr="003A2F86">
              <w:rPr>
                <w:rFonts w:ascii="Arial" w:eastAsia="Calibri" w:hAnsi="Arial" w:cs="Arial"/>
              </w:rPr>
              <w:t>202</w:t>
            </w:r>
            <w:r>
              <w:rPr>
                <w:rFonts w:ascii="Arial" w:eastAsia="Calibri" w:hAnsi="Arial" w:cs="Arial"/>
              </w:rPr>
              <w:t>4</w:t>
            </w:r>
            <w:r w:rsidRPr="003A2F86">
              <w:rPr>
                <w:rFonts w:ascii="Arial" w:eastAsia="Calibri" w:hAnsi="Arial" w:cs="Arial"/>
              </w:rPr>
              <w:t>.</w:t>
            </w:r>
          </w:p>
        </w:tc>
        <w:tc>
          <w:tcPr>
            <w:tcW w:w="1134" w:type="dxa"/>
            <w:shd w:val="clear" w:color="auto" w:fill="BFBFBF" w:themeFill="background1" w:themeFillShade="BF"/>
            <w:vAlign w:val="center"/>
          </w:tcPr>
          <w:p w14:paraId="799B5418" w14:textId="6D44DB7F" w:rsidR="00CC1EEB" w:rsidRPr="003A2F86" w:rsidRDefault="00CC1EEB" w:rsidP="00CC1EEB">
            <w:pPr>
              <w:jc w:val="center"/>
              <w:rPr>
                <w:rFonts w:ascii="Arial" w:eastAsia="Calibri" w:hAnsi="Arial" w:cs="Arial"/>
              </w:rPr>
            </w:pPr>
            <w:r w:rsidRPr="003A2F86">
              <w:rPr>
                <w:rFonts w:ascii="Arial" w:eastAsia="Calibri" w:hAnsi="Arial" w:cs="Arial"/>
              </w:rPr>
              <w:t>Izvor podataka</w:t>
            </w:r>
          </w:p>
        </w:tc>
        <w:tc>
          <w:tcPr>
            <w:tcW w:w="1435" w:type="dxa"/>
            <w:shd w:val="clear" w:color="auto" w:fill="BFBFBF" w:themeFill="background1" w:themeFillShade="BF"/>
            <w:vAlign w:val="center"/>
          </w:tcPr>
          <w:p w14:paraId="56F60B76" w14:textId="39C8F7AA" w:rsidR="00CC1EEB" w:rsidRPr="003A2F86" w:rsidRDefault="00CC1EEB" w:rsidP="00CC1EEB">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5</w:t>
            </w:r>
            <w:r w:rsidRPr="003A2F86">
              <w:rPr>
                <w:rFonts w:ascii="Arial" w:eastAsia="Calibri" w:hAnsi="Arial" w:cs="Arial"/>
              </w:rPr>
              <w:t>.</w:t>
            </w:r>
          </w:p>
        </w:tc>
        <w:tc>
          <w:tcPr>
            <w:tcW w:w="1417" w:type="dxa"/>
            <w:shd w:val="clear" w:color="auto" w:fill="BFBFBF" w:themeFill="background1" w:themeFillShade="BF"/>
            <w:vAlign w:val="center"/>
          </w:tcPr>
          <w:p w14:paraId="382299B1" w14:textId="2E4A77F9" w:rsidR="00CC1EEB" w:rsidRPr="003A2F86" w:rsidRDefault="00CC1EEB" w:rsidP="00CC1EEB">
            <w:pPr>
              <w:jc w:val="center"/>
              <w:rPr>
                <w:rFonts w:ascii="Arial" w:eastAsia="Calibri" w:hAnsi="Arial" w:cs="Arial"/>
              </w:rPr>
            </w:pPr>
            <w:r w:rsidRPr="003A2F86">
              <w:rPr>
                <w:rFonts w:ascii="Arial" w:eastAsia="Calibri" w:hAnsi="Arial" w:cs="Arial"/>
              </w:rPr>
              <w:t>Ostvareno u izvještajnom razdoblju</w:t>
            </w:r>
          </w:p>
        </w:tc>
        <w:tc>
          <w:tcPr>
            <w:tcW w:w="1417" w:type="dxa"/>
            <w:shd w:val="clear" w:color="auto" w:fill="BFBFBF" w:themeFill="background1" w:themeFillShade="BF"/>
            <w:vAlign w:val="center"/>
          </w:tcPr>
          <w:p w14:paraId="226EDD64" w14:textId="058A5834" w:rsidR="00CC1EEB" w:rsidRPr="003A2F86" w:rsidRDefault="00CC1EEB" w:rsidP="00CC1EEB">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6</w:t>
            </w:r>
            <w:r w:rsidRPr="003A2F86">
              <w:rPr>
                <w:rFonts w:ascii="Arial" w:eastAsia="Calibri" w:hAnsi="Arial" w:cs="Arial"/>
              </w:rPr>
              <w:t>.</w:t>
            </w:r>
          </w:p>
        </w:tc>
        <w:tc>
          <w:tcPr>
            <w:tcW w:w="1496" w:type="dxa"/>
            <w:shd w:val="clear" w:color="auto" w:fill="BFBFBF" w:themeFill="background1" w:themeFillShade="BF"/>
            <w:vAlign w:val="center"/>
          </w:tcPr>
          <w:p w14:paraId="123000C0" w14:textId="2372A7D2" w:rsidR="00CC1EEB" w:rsidRPr="003A2F86" w:rsidRDefault="00CC1EEB" w:rsidP="00CC1EEB">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7</w:t>
            </w:r>
            <w:r w:rsidRPr="003A2F86">
              <w:rPr>
                <w:rFonts w:ascii="Arial" w:eastAsia="Calibri" w:hAnsi="Arial" w:cs="Arial"/>
              </w:rPr>
              <w:t>.</w:t>
            </w:r>
          </w:p>
        </w:tc>
      </w:tr>
      <w:tr w:rsidR="00626756" w:rsidRPr="003A2F86" w14:paraId="374E5EC1" w14:textId="77777777" w:rsidTr="00923DED">
        <w:trPr>
          <w:trHeight w:val="274"/>
          <w:jc w:val="center"/>
        </w:trPr>
        <w:tc>
          <w:tcPr>
            <w:tcW w:w="2547" w:type="dxa"/>
            <w:vAlign w:val="center"/>
          </w:tcPr>
          <w:p w14:paraId="5908D506" w14:textId="77777777" w:rsidR="00626756" w:rsidRPr="003A2F86" w:rsidRDefault="00626756" w:rsidP="00B223BA">
            <w:pPr>
              <w:rPr>
                <w:rFonts w:ascii="Arial" w:eastAsia="Calibri" w:hAnsi="Arial" w:cs="Arial"/>
                <w:sz w:val="18"/>
                <w:szCs w:val="18"/>
              </w:rPr>
            </w:pPr>
            <w:r w:rsidRPr="003A2F86">
              <w:rPr>
                <w:rFonts w:ascii="Arial" w:eastAsia="Calibri" w:hAnsi="Arial" w:cs="Arial"/>
                <w:sz w:val="18"/>
                <w:szCs w:val="18"/>
              </w:rPr>
              <w:t>Povećanje broja edukativnih predavanja - od strane vanjskih predavača i osoblja Doma (vlastita predavanja)</w:t>
            </w:r>
          </w:p>
        </w:tc>
        <w:tc>
          <w:tcPr>
            <w:tcW w:w="2954" w:type="dxa"/>
            <w:vAlign w:val="center"/>
          </w:tcPr>
          <w:p w14:paraId="42E13D1E" w14:textId="77777777" w:rsidR="00626756" w:rsidRPr="003A2F86" w:rsidRDefault="00626756" w:rsidP="00B223BA">
            <w:pPr>
              <w:rPr>
                <w:rFonts w:ascii="Arial" w:eastAsia="Calibri" w:hAnsi="Arial" w:cs="Arial"/>
                <w:sz w:val="18"/>
                <w:szCs w:val="18"/>
              </w:rPr>
            </w:pPr>
            <w:r w:rsidRPr="003A2F86">
              <w:rPr>
                <w:rFonts w:ascii="Arial" w:eastAsia="Calibri" w:hAnsi="Arial" w:cs="Arial"/>
                <w:sz w:val="18"/>
                <w:szCs w:val="18"/>
              </w:rPr>
              <w:t>Organiziranjem edukativnih predavanja prilagođenih osobama starije životne dobi korisnici Doma se educiraju i informiraju o njima interesantnim temama</w:t>
            </w:r>
          </w:p>
        </w:tc>
        <w:tc>
          <w:tcPr>
            <w:tcW w:w="1117" w:type="dxa"/>
            <w:vAlign w:val="center"/>
          </w:tcPr>
          <w:p w14:paraId="55F27DFD" w14:textId="77777777" w:rsidR="00626756" w:rsidRPr="003A2F86" w:rsidRDefault="00626756" w:rsidP="00B223BA">
            <w:pPr>
              <w:jc w:val="center"/>
              <w:rPr>
                <w:rFonts w:ascii="Arial" w:eastAsia="Calibri" w:hAnsi="Arial" w:cs="Arial"/>
                <w:sz w:val="18"/>
                <w:szCs w:val="18"/>
              </w:rPr>
            </w:pPr>
            <w:r w:rsidRPr="003A2F86">
              <w:rPr>
                <w:rFonts w:ascii="Arial" w:eastAsia="Calibri" w:hAnsi="Arial" w:cs="Arial"/>
                <w:sz w:val="18"/>
                <w:szCs w:val="18"/>
              </w:rPr>
              <w:t>Broj predavanja godišnje</w:t>
            </w:r>
          </w:p>
        </w:tc>
        <w:tc>
          <w:tcPr>
            <w:tcW w:w="1134" w:type="dxa"/>
            <w:vAlign w:val="center"/>
          </w:tcPr>
          <w:p w14:paraId="52D847CC" w14:textId="511DF10C" w:rsidR="00626756" w:rsidRPr="003A2F86" w:rsidRDefault="00CC1EEB" w:rsidP="00B223BA">
            <w:pPr>
              <w:jc w:val="center"/>
              <w:rPr>
                <w:rFonts w:ascii="Arial" w:eastAsia="Calibri" w:hAnsi="Arial" w:cs="Arial"/>
                <w:sz w:val="18"/>
                <w:szCs w:val="18"/>
              </w:rPr>
            </w:pPr>
            <w:r>
              <w:rPr>
                <w:rFonts w:ascii="Arial" w:eastAsia="Calibri" w:hAnsi="Arial" w:cs="Arial"/>
                <w:sz w:val="18"/>
                <w:szCs w:val="18"/>
              </w:rPr>
              <w:t>13</w:t>
            </w:r>
          </w:p>
        </w:tc>
        <w:tc>
          <w:tcPr>
            <w:tcW w:w="1134" w:type="dxa"/>
            <w:vAlign w:val="center"/>
          </w:tcPr>
          <w:p w14:paraId="4E4744BC" w14:textId="77777777" w:rsidR="00626756" w:rsidRPr="003A2F86" w:rsidRDefault="00626756" w:rsidP="00B223BA">
            <w:pPr>
              <w:jc w:val="center"/>
              <w:rPr>
                <w:rFonts w:ascii="Arial" w:eastAsia="Calibri" w:hAnsi="Arial" w:cs="Arial"/>
                <w:sz w:val="18"/>
                <w:szCs w:val="18"/>
              </w:rPr>
            </w:pPr>
            <w:r w:rsidRPr="003A2F86">
              <w:rPr>
                <w:rFonts w:ascii="Arial" w:eastAsia="Calibri" w:hAnsi="Arial" w:cs="Arial"/>
                <w:sz w:val="18"/>
                <w:szCs w:val="18"/>
              </w:rPr>
              <w:t>Dom</w:t>
            </w:r>
          </w:p>
        </w:tc>
        <w:tc>
          <w:tcPr>
            <w:tcW w:w="1435" w:type="dxa"/>
            <w:vAlign w:val="center"/>
          </w:tcPr>
          <w:p w14:paraId="1F24C228" w14:textId="164AA990" w:rsidR="00626756" w:rsidRPr="003A2F86" w:rsidRDefault="00CC1EEB" w:rsidP="00B223BA">
            <w:pPr>
              <w:jc w:val="center"/>
              <w:rPr>
                <w:rFonts w:ascii="Arial" w:eastAsia="Calibri" w:hAnsi="Arial" w:cs="Arial"/>
                <w:sz w:val="18"/>
                <w:szCs w:val="18"/>
              </w:rPr>
            </w:pPr>
            <w:r>
              <w:rPr>
                <w:rFonts w:ascii="Arial" w:eastAsia="Calibri" w:hAnsi="Arial" w:cs="Arial"/>
                <w:sz w:val="18"/>
                <w:szCs w:val="18"/>
              </w:rPr>
              <w:t>11</w:t>
            </w:r>
          </w:p>
        </w:tc>
        <w:tc>
          <w:tcPr>
            <w:tcW w:w="1417" w:type="dxa"/>
            <w:vAlign w:val="center"/>
          </w:tcPr>
          <w:p w14:paraId="6039348C" w14:textId="42F439E9" w:rsidR="00626756" w:rsidRPr="003A2F86" w:rsidRDefault="00CC1EEB" w:rsidP="00B223BA">
            <w:pPr>
              <w:jc w:val="center"/>
              <w:rPr>
                <w:rFonts w:ascii="Arial" w:eastAsia="Calibri" w:hAnsi="Arial" w:cs="Arial"/>
                <w:sz w:val="18"/>
                <w:szCs w:val="18"/>
              </w:rPr>
            </w:pPr>
            <w:r>
              <w:rPr>
                <w:rFonts w:ascii="Arial" w:eastAsia="Calibri" w:hAnsi="Arial" w:cs="Arial"/>
                <w:sz w:val="18"/>
                <w:szCs w:val="18"/>
              </w:rPr>
              <w:t>6</w:t>
            </w:r>
          </w:p>
        </w:tc>
        <w:tc>
          <w:tcPr>
            <w:tcW w:w="1417" w:type="dxa"/>
            <w:vAlign w:val="center"/>
          </w:tcPr>
          <w:p w14:paraId="0DA1CBA9" w14:textId="5080FA7D" w:rsidR="00626756" w:rsidRPr="003A2F86" w:rsidRDefault="00F70946" w:rsidP="00B223BA">
            <w:pPr>
              <w:jc w:val="center"/>
              <w:rPr>
                <w:rFonts w:ascii="Arial" w:eastAsia="Calibri" w:hAnsi="Arial" w:cs="Arial"/>
                <w:sz w:val="18"/>
                <w:szCs w:val="18"/>
              </w:rPr>
            </w:pPr>
            <w:r>
              <w:rPr>
                <w:rFonts w:ascii="Arial" w:eastAsia="Calibri" w:hAnsi="Arial" w:cs="Arial"/>
                <w:sz w:val="18"/>
                <w:szCs w:val="18"/>
              </w:rPr>
              <w:t>11</w:t>
            </w:r>
          </w:p>
        </w:tc>
        <w:tc>
          <w:tcPr>
            <w:tcW w:w="1496" w:type="dxa"/>
            <w:vAlign w:val="center"/>
          </w:tcPr>
          <w:p w14:paraId="130EBBFC" w14:textId="2C6669E7" w:rsidR="00626756" w:rsidRPr="003A2F86" w:rsidRDefault="00F70946" w:rsidP="00B223BA">
            <w:pPr>
              <w:jc w:val="center"/>
              <w:rPr>
                <w:rFonts w:ascii="Arial" w:eastAsia="Calibri" w:hAnsi="Arial" w:cs="Arial"/>
                <w:sz w:val="18"/>
                <w:szCs w:val="18"/>
              </w:rPr>
            </w:pPr>
            <w:r>
              <w:rPr>
                <w:rFonts w:ascii="Arial" w:eastAsia="Calibri" w:hAnsi="Arial" w:cs="Arial"/>
                <w:sz w:val="18"/>
                <w:szCs w:val="18"/>
              </w:rPr>
              <w:t>11</w:t>
            </w:r>
          </w:p>
        </w:tc>
      </w:tr>
    </w:tbl>
    <w:p w14:paraId="5495F265" w14:textId="77777777" w:rsidR="00626756" w:rsidRPr="003A2F86" w:rsidRDefault="00626756" w:rsidP="00626756">
      <w:pPr>
        <w:spacing w:after="0" w:line="240" w:lineRule="auto"/>
        <w:jc w:val="both"/>
        <w:rPr>
          <w:rFonts w:ascii="Arial" w:eastAsia="Calibri" w:hAnsi="Arial" w:cs="Arial"/>
          <w:sz w:val="20"/>
          <w:szCs w:val="20"/>
        </w:rPr>
      </w:pPr>
    </w:p>
    <w:p w14:paraId="7E56816C" w14:textId="77777777" w:rsidR="00B1733A" w:rsidRPr="003A2F86" w:rsidRDefault="00B1733A" w:rsidP="00B1733A">
      <w:pPr>
        <w:spacing w:after="0" w:line="240" w:lineRule="auto"/>
        <w:jc w:val="both"/>
        <w:rPr>
          <w:rFonts w:ascii="Arial" w:eastAsia="Calibri" w:hAnsi="Arial" w:cs="Arial"/>
          <w:sz w:val="20"/>
          <w:szCs w:val="20"/>
          <w:lang w:eastAsia="en-US"/>
        </w:rPr>
      </w:pPr>
      <w:r w:rsidRPr="003A2F86">
        <w:rPr>
          <w:rFonts w:ascii="Arial" w:eastAsia="Calibri" w:hAnsi="Arial" w:cs="Arial"/>
          <w:sz w:val="20"/>
          <w:szCs w:val="20"/>
          <w:lang w:eastAsia="en-US"/>
        </w:rPr>
        <w:t>Organizirana edukativna predavanja u izvještajnom razdoblju su:</w:t>
      </w:r>
    </w:p>
    <w:p w14:paraId="57AFF74E" w14:textId="77777777" w:rsidR="00B1733A" w:rsidRPr="003A2F86" w:rsidRDefault="00B1733A" w:rsidP="00B1733A">
      <w:pPr>
        <w:spacing w:after="0" w:line="240" w:lineRule="auto"/>
        <w:jc w:val="both"/>
        <w:rPr>
          <w:rFonts w:ascii="Arial" w:eastAsia="Calibri" w:hAnsi="Arial" w:cs="Arial"/>
          <w:sz w:val="20"/>
          <w:szCs w:val="20"/>
          <w:lang w:eastAsia="en-US"/>
        </w:rPr>
      </w:pPr>
    </w:p>
    <w:p w14:paraId="1BB8002E" w14:textId="77777777" w:rsidR="00CC1EEB" w:rsidRPr="000871C0" w:rsidRDefault="00CC1EEB" w:rsidP="00CC1EEB">
      <w:pPr>
        <w:pStyle w:val="Odlomakpopisa"/>
        <w:numPr>
          <w:ilvl w:val="0"/>
          <w:numId w:val="36"/>
        </w:numPr>
        <w:contextualSpacing/>
        <w:rPr>
          <w:rFonts w:ascii="Arial" w:eastAsia="Calibri" w:hAnsi="Arial" w:cs="Arial"/>
        </w:rPr>
      </w:pPr>
      <w:r w:rsidRPr="000871C0">
        <w:rPr>
          <w:rFonts w:ascii="Arial" w:eastAsia="Calibri" w:hAnsi="Arial" w:cs="Arial"/>
        </w:rPr>
        <w:t xml:space="preserve">Predavanje </w:t>
      </w:r>
      <w:r>
        <w:rPr>
          <w:rFonts w:ascii="Arial" w:eastAsia="Calibri" w:hAnsi="Arial" w:cs="Arial"/>
        </w:rPr>
        <w:t>djelatnica</w:t>
      </w:r>
      <w:r w:rsidRPr="000871C0">
        <w:rPr>
          <w:rFonts w:ascii="Arial" w:eastAsia="Calibri" w:hAnsi="Arial" w:cs="Arial"/>
        </w:rPr>
        <w:t xml:space="preserve"> Dubrovačkih muzeja „Moje Konavle“ dana 26.02.2025.g.</w:t>
      </w:r>
    </w:p>
    <w:p w14:paraId="7CEB9509" w14:textId="77777777" w:rsidR="00CC1EEB" w:rsidRPr="000871C0" w:rsidRDefault="00CC1EEB" w:rsidP="00CC1EEB">
      <w:pPr>
        <w:pStyle w:val="Odlomakpopisa"/>
        <w:numPr>
          <w:ilvl w:val="0"/>
          <w:numId w:val="36"/>
        </w:numPr>
        <w:contextualSpacing/>
        <w:rPr>
          <w:rFonts w:ascii="Arial" w:eastAsia="Calibri" w:hAnsi="Arial" w:cs="Arial"/>
        </w:rPr>
      </w:pPr>
      <w:r w:rsidRPr="000871C0">
        <w:rPr>
          <w:rFonts w:ascii="Arial" w:eastAsia="Calibri" w:hAnsi="Arial" w:cs="Arial"/>
        </w:rPr>
        <w:t>Predavanje djelatnica Obiteljskog centra Dubrovnik „Prilagodba na život u domu“ dana 18.03.2025.g.</w:t>
      </w:r>
    </w:p>
    <w:p w14:paraId="74C1808A" w14:textId="77777777" w:rsidR="00CC1EEB" w:rsidRPr="000871C0" w:rsidRDefault="00CC1EEB" w:rsidP="00CC1EEB">
      <w:pPr>
        <w:pStyle w:val="Odlomakpopisa"/>
        <w:numPr>
          <w:ilvl w:val="0"/>
          <w:numId w:val="36"/>
        </w:numPr>
        <w:contextualSpacing/>
        <w:rPr>
          <w:rFonts w:ascii="Arial" w:eastAsia="Calibri" w:hAnsi="Arial" w:cs="Arial"/>
        </w:rPr>
      </w:pPr>
      <w:r w:rsidRPr="000871C0">
        <w:rPr>
          <w:rFonts w:ascii="Arial" w:eastAsia="Calibri" w:hAnsi="Arial" w:cs="Arial"/>
        </w:rPr>
        <w:t>Predavanje djelatnice Hrvatskog zavoda za javno zdravstvo „Sol: izvor u hrani i važnost smanjenja unosa“ dana 20.03.2025.g.</w:t>
      </w:r>
    </w:p>
    <w:p w14:paraId="3E6D1B27" w14:textId="77777777" w:rsidR="00CC1EEB" w:rsidRPr="005F2A2D" w:rsidRDefault="00CC1EEB" w:rsidP="00CC1EEB">
      <w:pPr>
        <w:pStyle w:val="Odlomakpopisa"/>
        <w:numPr>
          <w:ilvl w:val="0"/>
          <w:numId w:val="36"/>
        </w:numPr>
        <w:contextualSpacing/>
        <w:rPr>
          <w:rFonts w:ascii="Arial" w:eastAsia="Calibri" w:hAnsi="Arial" w:cs="Arial"/>
        </w:rPr>
      </w:pPr>
      <w:r w:rsidRPr="005F2A2D">
        <w:rPr>
          <w:rFonts w:ascii="Arial" w:eastAsia="Calibri" w:hAnsi="Arial" w:cs="Arial"/>
        </w:rPr>
        <w:t>Predavanje djelatnice Hrvatskog zavoda za javno zdravstvo „Sarkopenija“ dana 10.04.2025.g.</w:t>
      </w:r>
    </w:p>
    <w:p w14:paraId="7AB78C18" w14:textId="77777777" w:rsidR="00CC1EEB" w:rsidRPr="005F2A2D" w:rsidRDefault="00CC1EEB" w:rsidP="00CC1EEB">
      <w:pPr>
        <w:pStyle w:val="Odlomakpopisa"/>
        <w:numPr>
          <w:ilvl w:val="0"/>
          <w:numId w:val="36"/>
        </w:numPr>
        <w:contextualSpacing/>
        <w:rPr>
          <w:rFonts w:ascii="Arial" w:eastAsia="Calibri" w:hAnsi="Arial" w:cs="Arial"/>
        </w:rPr>
      </w:pPr>
      <w:r w:rsidRPr="005F2A2D">
        <w:rPr>
          <w:rFonts w:ascii="Arial" w:eastAsia="Calibri" w:hAnsi="Arial" w:cs="Arial"/>
        </w:rPr>
        <w:t>Predavanje djelatnice Hrvatskog zavoda za javno zdravstvo „Socijalna participacija“ dana 08.05.2025.g.</w:t>
      </w:r>
    </w:p>
    <w:p w14:paraId="24885B0B" w14:textId="0D61225F" w:rsidR="00F70946" w:rsidRPr="00E32306" w:rsidRDefault="00CC1EEB" w:rsidP="00E32306">
      <w:pPr>
        <w:pStyle w:val="Odlomakpopisa"/>
        <w:numPr>
          <w:ilvl w:val="0"/>
          <w:numId w:val="36"/>
        </w:numPr>
        <w:contextualSpacing/>
        <w:rPr>
          <w:rFonts w:ascii="Arial" w:eastAsia="Calibri" w:hAnsi="Arial" w:cs="Arial"/>
        </w:rPr>
      </w:pPr>
      <w:r w:rsidRPr="005F2A2D">
        <w:rPr>
          <w:rFonts w:ascii="Arial" w:eastAsia="Calibri" w:hAnsi="Arial" w:cs="Arial"/>
        </w:rPr>
        <w:t>Predavanje djelatnice Hrvatskog zavoda za javno zdravstvo „Voda i hrana za zlatne godine“ dana 28.05.2025.g.</w:t>
      </w:r>
      <w:r w:rsidR="00F70946" w:rsidRPr="00E32306">
        <w:rPr>
          <w:rFonts w:ascii="Arial" w:eastAsia="Calibri" w:hAnsi="Arial" w:cs="Arial"/>
        </w:rPr>
        <w:t>.</w:t>
      </w:r>
    </w:p>
    <w:p w14:paraId="6E3A2226" w14:textId="77777777" w:rsidR="00F70946" w:rsidRPr="003A2F86" w:rsidRDefault="00F70946" w:rsidP="00F70946">
      <w:pPr>
        <w:spacing w:after="0" w:line="240" w:lineRule="auto"/>
        <w:contextualSpacing/>
        <w:jc w:val="both"/>
        <w:rPr>
          <w:rFonts w:ascii="Arial" w:eastAsia="Calibri" w:hAnsi="Arial" w:cs="Arial"/>
          <w:sz w:val="20"/>
          <w:szCs w:val="20"/>
          <w:lang w:eastAsia="en-US"/>
        </w:rPr>
      </w:pPr>
    </w:p>
    <w:p w14:paraId="7BA17244" w14:textId="77777777" w:rsidR="00626756" w:rsidRPr="003A2F86" w:rsidRDefault="00626756" w:rsidP="00626756">
      <w:pPr>
        <w:spacing w:after="0" w:line="240" w:lineRule="auto"/>
        <w:jc w:val="both"/>
        <w:rPr>
          <w:rFonts w:ascii="Arial" w:eastAsia="Calibri" w:hAnsi="Arial" w:cs="Arial"/>
          <w:sz w:val="20"/>
          <w:szCs w:val="20"/>
        </w:rPr>
      </w:pPr>
      <w:r w:rsidRPr="003A2F86">
        <w:rPr>
          <w:rFonts w:ascii="Arial" w:eastAsia="Calibri" w:hAnsi="Arial" w:cs="Arial"/>
          <w:sz w:val="20"/>
          <w:szCs w:val="20"/>
        </w:rPr>
        <w:t>Peta aktivnost kojom se planira postići cilj je organiziranje poludnevnih i dnevnih izleta, šetnji, posjeta drugim institucijama te kulturno-umjetničkim i drugim događanjima van Doma</w:t>
      </w:r>
    </w:p>
    <w:p w14:paraId="7BA9A338" w14:textId="77777777" w:rsidR="00626756" w:rsidRPr="003A2F86" w:rsidRDefault="00626756"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122"/>
        <w:gridCol w:w="3260"/>
        <w:gridCol w:w="1236"/>
        <w:gridCol w:w="1134"/>
        <w:gridCol w:w="1134"/>
        <w:gridCol w:w="1435"/>
        <w:gridCol w:w="1417"/>
        <w:gridCol w:w="1417"/>
        <w:gridCol w:w="1496"/>
      </w:tblGrid>
      <w:tr w:rsidR="00E32306" w:rsidRPr="003A2F86" w14:paraId="37736F96" w14:textId="77777777" w:rsidTr="008F1970">
        <w:trPr>
          <w:jc w:val="center"/>
        </w:trPr>
        <w:tc>
          <w:tcPr>
            <w:tcW w:w="2122" w:type="dxa"/>
            <w:shd w:val="clear" w:color="auto" w:fill="BFBFBF" w:themeFill="background1" w:themeFillShade="BF"/>
            <w:vAlign w:val="center"/>
          </w:tcPr>
          <w:p w14:paraId="35E799C0" w14:textId="77777777" w:rsidR="00E32306" w:rsidRPr="003A2F86" w:rsidRDefault="00E32306" w:rsidP="00E32306">
            <w:pPr>
              <w:jc w:val="center"/>
              <w:rPr>
                <w:rFonts w:ascii="Arial" w:eastAsia="Calibri" w:hAnsi="Arial" w:cs="Arial"/>
              </w:rPr>
            </w:pPr>
            <w:r w:rsidRPr="003A2F86">
              <w:rPr>
                <w:rFonts w:ascii="Arial" w:eastAsia="Calibri" w:hAnsi="Arial" w:cs="Arial"/>
              </w:rPr>
              <w:lastRenderedPageBreak/>
              <w:t>Pokazatelj uspješnosti</w:t>
            </w:r>
          </w:p>
        </w:tc>
        <w:tc>
          <w:tcPr>
            <w:tcW w:w="3260" w:type="dxa"/>
            <w:shd w:val="clear" w:color="auto" w:fill="BFBFBF" w:themeFill="background1" w:themeFillShade="BF"/>
            <w:vAlign w:val="center"/>
          </w:tcPr>
          <w:p w14:paraId="11021EB7" w14:textId="77777777" w:rsidR="00E32306" w:rsidRPr="003A2F86" w:rsidRDefault="00E32306" w:rsidP="00E32306">
            <w:pPr>
              <w:jc w:val="center"/>
              <w:rPr>
                <w:rFonts w:ascii="Arial" w:eastAsia="Calibri" w:hAnsi="Arial" w:cs="Arial"/>
              </w:rPr>
            </w:pPr>
            <w:r w:rsidRPr="003A2F86">
              <w:rPr>
                <w:rFonts w:ascii="Arial" w:eastAsia="Calibri" w:hAnsi="Arial" w:cs="Arial"/>
              </w:rPr>
              <w:t>Definicija</w:t>
            </w:r>
          </w:p>
        </w:tc>
        <w:tc>
          <w:tcPr>
            <w:tcW w:w="1236" w:type="dxa"/>
            <w:shd w:val="clear" w:color="auto" w:fill="BFBFBF" w:themeFill="background1" w:themeFillShade="BF"/>
            <w:vAlign w:val="center"/>
          </w:tcPr>
          <w:p w14:paraId="1960FC4B" w14:textId="77777777" w:rsidR="00E32306" w:rsidRPr="003A2F86" w:rsidRDefault="00E32306" w:rsidP="00E32306">
            <w:pPr>
              <w:jc w:val="center"/>
              <w:rPr>
                <w:rFonts w:ascii="Arial" w:eastAsia="Calibri" w:hAnsi="Arial" w:cs="Arial"/>
              </w:rPr>
            </w:pPr>
            <w:r w:rsidRPr="003A2F86">
              <w:rPr>
                <w:rFonts w:ascii="Arial" w:eastAsia="Calibri" w:hAnsi="Arial" w:cs="Arial"/>
              </w:rPr>
              <w:t>Jedinica</w:t>
            </w:r>
          </w:p>
        </w:tc>
        <w:tc>
          <w:tcPr>
            <w:tcW w:w="1134" w:type="dxa"/>
            <w:shd w:val="clear" w:color="auto" w:fill="BFBFBF" w:themeFill="background1" w:themeFillShade="BF"/>
            <w:vAlign w:val="center"/>
          </w:tcPr>
          <w:p w14:paraId="21FE599F" w14:textId="77777777" w:rsidR="00E32306" w:rsidRPr="003A2F86" w:rsidRDefault="00E32306" w:rsidP="00E32306">
            <w:pPr>
              <w:jc w:val="center"/>
              <w:rPr>
                <w:rFonts w:ascii="Arial" w:eastAsia="Calibri" w:hAnsi="Arial" w:cs="Arial"/>
              </w:rPr>
            </w:pPr>
            <w:r w:rsidRPr="003A2F86">
              <w:rPr>
                <w:rFonts w:ascii="Arial" w:eastAsia="Calibri" w:hAnsi="Arial" w:cs="Arial"/>
              </w:rPr>
              <w:t>Polazna vrijednost</w:t>
            </w:r>
          </w:p>
          <w:p w14:paraId="0DB7BF58" w14:textId="35C0F437" w:rsidR="00E32306" w:rsidRPr="003A2F86" w:rsidRDefault="00E32306" w:rsidP="00E32306">
            <w:pPr>
              <w:jc w:val="center"/>
              <w:rPr>
                <w:rFonts w:ascii="Arial" w:eastAsia="Calibri" w:hAnsi="Arial" w:cs="Arial"/>
              </w:rPr>
            </w:pPr>
            <w:r w:rsidRPr="003A2F86">
              <w:rPr>
                <w:rFonts w:ascii="Arial" w:eastAsia="Calibri" w:hAnsi="Arial" w:cs="Arial"/>
              </w:rPr>
              <w:t>202</w:t>
            </w:r>
            <w:r>
              <w:rPr>
                <w:rFonts w:ascii="Arial" w:eastAsia="Calibri" w:hAnsi="Arial" w:cs="Arial"/>
              </w:rPr>
              <w:t>4</w:t>
            </w:r>
            <w:r w:rsidRPr="003A2F86">
              <w:rPr>
                <w:rFonts w:ascii="Arial" w:eastAsia="Calibri" w:hAnsi="Arial" w:cs="Arial"/>
              </w:rPr>
              <w:t>.</w:t>
            </w:r>
          </w:p>
        </w:tc>
        <w:tc>
          <w:tcPr>
            <w:tcW w:w="1134" w:type="dxa"/>
            <w:shd w:val="clear" w:color="auto" w:fill="BFBFBF" w:themeFill="background1" w:themeFillShade="BF"/>
            <w:vAlign w:val="center"/>
          </w:tcPr>
          <w:p w14:paraId="5D34573A" w14:textId="4761DEC8" w:rsidR="00E32306" w:rsidRPr="003A2F86" w:rsidRDefault="00E32306" w:rsidP="00E32306">
            <w:pPr>
              <w:jc w:val="center"/>
              <w:rPr>
                <w:rFonts w:ascii="Arial" w:eastAsia="Calibri" w:hAnsi="Arial" w:cs="Arial"/>
              </w:rPr>
            </w:pPr>
            <w:r w:rsidRPr="003A2F86">
              <w:rPr>
                <w:rFonts w:ascii="Arial" w:eastAsia="Calibri" w:hAnsi="Arial" w:cs="Arial"/>
              </w:rPr>
              <w:t>Izvor podataka</w:t>
            </w:r>
          </w:p>
        </w:tc>
        <w:tc>
          <w:tcPr>
            <w:tcW w:w="1435" w:type="dxa"/>
            <w:shd w:val="clear" w:color="auto" w:fill="BFBFBF" w:themeFill="background1" w:themeFillShade="BF"/>
            <w:vAlign w:val="center"/>
          </w:tcPr>
          <w:p w14:paraId="3C03381E" w14:textId="4291DD94" w:rsidR="00E32306" w:rsidRPr="003A2F86" w:rsidRDefault="00E32306" w:rsidP="00E32306">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5</w:t>
            </w:r>
            <w:r w:rsidRPr="003A2F86">
              <w:rPr>
                <w:rFonts w:ascii="Arial" w:eastAsia="Calibri" w:hAnsi="Arial" w:cs="Arial"/>
              </w:rPr>
              <w:t>.</w:t>
            </w:r>
          </w:p>
        </w:tc>
        <w:tc>
          <w:tcPr>
            <w:tcW w:w="1417" w:type="dxa"/>
            <w:shd w:val="clear" w:color="auto" w:fill="BFBFBF" w:themeFill="background1" w:themeFillShade="BF"/>
            <w:vAlign w:val="center"/>
          </w:tcPr>
          <w:p w14:paraId="628CADE3" w14:textId="003B4BA2" w:rsidR="00E32306" w:rsidRPr="003A2F86" w:rsidRDefault="00E32306" w:rsidP="00E32306">
            <w:pPr>
              <w:jc w:val="center"/>
              <w:rPr>
                <w:rFonts w:ascii="Arial" w:eastAsia="Calibri" w:hAnsi="Arial" w:cs="Arial"/>
              </w:rPr>
            </w:pPr>
            <w:r w:rsidRPr="003A2F86">
              <w:rPr>
                <w:rFonts w:ascii="Arial" w:eastAsia="Calibri" w:hAnsi="Arial" w:cs="Arial"/>
              </w:rPr>
              <w:t>Ostvareno u izvještajnom razdoblju</w:t>
            </w:r>
          </w:p>
        </w:tc>
        <w:tc>
          <w:tcPr>
            <w:tcW w:w="1417" w:type="dxa"/>
            <w:shd w:val="clear" w:color="auto" w:fill="BFBFBF" w:themeFill="background1" w:themeFillShade="BF"/>
            <w:vAlign w:val="center"/>
          </w:tcPr>
          <w:p w14:paraId="49F7D93F" w14:textId="5E7FDDF7" w:rsidR="00E32306" w:rsidRPr="003A2F86" w:rsidRDefault="00E32306" w:rsidP="00E32306">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6</w:t>
            </w:r>
            <w:r w:rsidRPr="003A2F86">
              <w:rPr>
                <w:rFonts w:ascii="Arial" w:eastAsia="Calibri" w:hAnsi="Arial" w:cs="Arial"/>
              </w:rPr>
              <w:t>.</w:t>
            </w:r>
          </w:p>
        </w:tc>
        <w:tc>
          <w:tcPr>
            <w:tcW w:w="1496" w:type="dxa"/>
            <w:shd w:val="clear" w:color="auto" w:fill="BFBFBF" w:themeFill="background1" w:themeFillShade="BF"/>
            <w:vAlign w:val="center"/>
          </w:tcPr>
          <w:p w14:paraId="4456226C" w14:textId="5EA70031" w:rsidR="00E32306" w:rsidRPr="003A2F86" w:rsidRDefault="00E32306" w:rsidP="00E32306">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7</w:t>
            </w:r>
            <w:r w:rsidRPr="003A2F86">
              <w:rPr>
                <w:rFonts w:ascii="Arial" w:eastAsia="Calibri" w:hAnsi="Arial" w:cs="Arial"/>
              </w:rPr>
              <w:t>.</w:t>
            </w:r>
          </w:p>
        </w:tc>
      </w:tr>
      <w:tr w:rsidR="00626756" w:rsidRPr="003A2F86" w14:paraId="1CC906A8" w14:textId="77777777" w:rsidTr="008F1970">
        <w:trPr>
          <w:trHeight w:val="274"/>
          <w:jc w:val="center"/>
        </w:trPr>
        <w:tc>
          <w:tcPr>
            <w:tcW w:w="2122" w:type="dxa"/>
            <w:vAlign w:val="center"/>
          </w:tcPr>
          <w:p w14:paraId="628CABFA" w14:textId="77777777" w:rsidR="00626756" w:rsidRPr="003A2F86" w:rsidRDefault="00626756" w:rsidP="00B223BA">
            <w:pPr>
              <w:rPr>
                <w:rFonts w:ascii="Arial" w:eastAsia="Calibri" w:hAnsi="Arial" w:cs="Arial"/>
                <w:sz w:val="18"/>
                <w:szCs w:val="18"/>
              </w:rPr>
            </w:pPr>
            <w:r w:rsidRPr="003A2F86">
              <w:rPr>
                <w:rFonts w:ascii="Arial" w:eastAsia="Calibri" w:hAnsi="Arial" w:cs="Arial"/>
                <w:sz w:val="18"/>
                <w:szCs w:val="18"/>
              </w:rPr>
              <w:t>Povećanje broja izleta i posjeta van Doma</w:t>
            </w:r>
          </w:p>
        </w:tc>
        <w:tc>
          <w:tcPr>
            <w:tcW w:w="3260" w:type="dxa"/>
            <w:vAlign w:val="center"/>
          </w:tcPr>
          <w:p w14:paraId="49AE7188" w14:textId="77777777" w:rsidR="00626756" w:rsidRPr="003A2F86" w:rsidRDefault="00626756" w:rsidP="00B223BA">
            <w:pPr>
              <w:rPr>
                <w:rFonts w:ascii="Arial" w:eastAsia="Calibri" w:hAnsi="Arial" w:cs="Arial"/>
                <w:sz w:val="18"/>
                <w:szCs w:val="18"/>
              </w:rPr>
            </w:pPr>
            <w:r w:rsidRPr="003A2F86">
              <w:rPr>
                <w:rFonts w:ascii="Arial" w:eastAsia="Calibri" w:hAnsi="Arial" w:cs="Arial"/>
                <w:sz w:val="18"/>
                <w:szCs w:val="18"/>
              </w:rPr>
              <w:t>Organiziranjem izleta i posjeta van Doma potiče se međusobno druženje, zadovoljstvo, promicanje aktivnog starenja te smanjenje osjećaja osamljenosti i izoliranosti</w:t>
            </w:r>
          </w:p>
        </w:tc>
        <w:tc>
          <w:tcPr>
            <w:tcW w:w="1236" w:type="dxa"/>
            <w:vAlign w:val="center"/>
          </w:tcPr>
          <w:p w14:paraId="444654D5" w14:textId="77777777" w:rsidR="00626756" w:rsidRPr="003A2F86" w:rsidRDefault="00626756" w:rsidP="00B223BA">
            <w:pPr>
              <w:jc w:val="center"/>
              <w:rPr>
                <w:rFonts w:ascii="Arial" w:eastAsia="Calibri" w:hAnsi="Arial" w:cs="Arial"/>
                <w:sz w:val="16"/>
                <w:szCs w:val="16"/>
              </w:rPr>
            </w:pPr>
            <w:r w:rsidRPr="003A2F86">
              <w:rPr>
                <w:rFonts w:ascii="Arial" w:eastAsia="Calibri" w:hAnsi="Arial" w:cs="Arial"/>
                <w:sz w:val="16"/>
                <w:szCs w:val="16"/>
              </w:rPr>
              <w:t>Broj organiziranih izleta i posjeta van Doma</w:t>
            </w:r>
          </w:p>
        </w:tc>
        <w:tc>
          <w:tcPr>
            <w:tcW w:w="1134" w:type="dxa"/>
            <w:vAlign w:val="center"/>
          </w:tcPr>
          <w:p w14:paraId="593154D5" w14:textId="10164D44" w:rsidR="00626756" w:rsidRPr="003A2F86" w:rsidRDefault="00E32306" w:rsidP="00B223BA">
            <w:pPr>
              <w:jc w:val="center"/>
              <w:rPr>
                <w:rFonts w:ascii="Arial" w:eastAsia="Calibri" w:hAnsi="Arial" w:cs="Arial"/>
                <w:sz w:val="18"/>
                <w:szCs w:val="18"/>
              </w:rPr>
            </w:pPr>
            <w:r>
              <w:rPr>
                <w:rFonts w:ascii="Arial" w:eastAsia="Calibri" w:hAnsi="Arial" w:cs="Arial"/>
                <w:sz w:val="18"/>
                <w:szCs w:val="18"/>
              </w:rPr>
              <w:t>7</w:t>
            </w:r>
          </w:p>
        </w:tc>
        <w:tc>
          <w:tcPr>
            <w:tcW w:w="1134" w:type="dxa"/>
            <w:vAlign w:val="center"/>
          </w:tcPr>
          <w:p w14:paraId="549046F8" w14:textId="77777777" w:rsidR="00626756" w:rsidRPr="003A2F86" w:rsidRDefault="00626756" w:rsidP="00B223BA">
            <w:pPr>
              <w:jc w:val="center"/>
              <w:rPr>
                <w:rFonts w:ascii="Arial" w:eastAsia="Calibri" w:hAnsi="Arial" w:cs="Arial"/>
                <w:sz w:val="18"/>
                <w:szCs w:val="18"/>
              </w:rPr>
            </w:pPr>
            <w:r w:rsidRPr="003A2F86">
              <w:rPr>
                <w:rFonts w:ascii="Arial" w:eastAsia="Calibri" w:hAnsi="Arial" w:cs="Arial"/>
                <w:sz w:val="18"/>
                <w:szCs w:val="18"/>
              </w:rPr>
              <w:t>Dom</w:t>
            </w:r>
          </w:p>
        </w:tc>
        <w:tc>
          <w:tcPr>
            <w:tcW w:w="1435" w:type="dxa"/>
            <w:vAlign w:val="center"/>
          </w:tcPr>
          <w:p w14:paraId="3DFF7EE5" w14:textId="651EEDCB" w:rsidR="00626756" w:rsidRPr="003A2F86" w:rsidRDefault="00E32306" w:rsidP="00B223BA">
            <w:pPr>
              <w:jc w:val="center"/>
              <w:rPr>
                <w:rFonts w:ascii="Arial" w:eastAsia="Calibri" w:hAnsi="Arial" w:cs="Arial"/>
                <w:sz w:val="18"/>
                <w:szCs w:val="18"/>
              </w:rPr>
            </w:pPr>
            <w:r>
              <w:rPr>
                <w:rFonts w:ascii="Arial" w:eastAsia="Calibri" w:hAnsi="Arial" w:cs="Arial"/>
                <w:sz w:val="18"/>
                <w:szCs w:val="18"/>
              </w:rPr>
              <w:t>7</w:t>
            </w:r>
          </w:p>
        </w:tc>
        <w:tc>
          <w:tcPr>
            <w:tcW w:w="1417" w:type="dxa"/>
            <w:vAlign w:val="center"/>
          </w:tcPr>
          <w:p w14:paraId="0DB3F920" w14:textId="75881912" w:rsidR="00626756" w:rsidRPr="003A2F86" w:rsidRDefault="00E32306" w:rsidP="00B223BA">
            <w:pPr>
              <w:jc w:val="center"/>
              <w:rPr>
                <w:rFonts w:ascii="Arial" w:eastAsia="Calibri" w:hAnsi="Arial" w:cs="Arial"/>
                <w:sz w:val="18"/>
                <w:szCs w:val="18"/>
              </w:rPr>
            </w:pPr>
            <w:r>
              <w:rPr>
                <w:rFonts w:ascii="Arial" w:eastAsia="Calibri" w:hAnsi="Arial" w:cs="Arial"/>
                <w:sz w:val="18"/>
                <w:szCs w:val="18"/>
              </w:rPr>
              <w:t>2</w:t>
            </w:r>
          </w:p>
        </w:tc>
        <w:tc>
          <w:tcPr>
            <w:tcW w:w="1417" w:type="dxa"/>
            <w:vAlign w:val="center"/>
          </w:tcPr>
          <w:p w14:paraId="4C69039C" w14:textId="009F077B" w:rsidR="00626756" w:rsidRPr="003A2F86" w:rsidRDefault="00F70946" w:rsidP="00B223BA">
            <w:pPr>
              <w:jc w:val="center"/>
              <w:rPr>
                <w:rFonts w:ascii="Arial" w:eastAsia="Calibri" w:hAnsi="Arial" w:cs="Arial"/>
                <w:sz w:val="18"/>
                <w:szCs w:val="18"/>
              </w:rPr>
            </w:pPr>
            <w:r>
              <w:rPr>
                <w:rFonts w:ascii="Arial" w:eastAsia="Calibri" w:hAnsi="Arial" w:cs="Arial"/>
                <w:sz w:val="18"/>
                <w:szCs w:val="18"/>
              </w:rPr>
              <w:t>7</w:t>
            </w:r>
          </w:p>
        </w:tc>
        <w:tc>
          <w:tcPr>
            <w:tcW w:w="1496" w:type="dxa"/>
            <w:vAlign w:val="center"/>
          </w:tcPr>
          <w:p w14:paraId="73BC6058" w14:textId="30C6A2F8" w:rsidR="00626756" w:rsidRPr="003A2F86" w:rsidRDefault="00F70946" w:rsidP="00B223BA">
            <w:pPr>
              <w:jc w:val="center"/>
              <w:rPr>
                <w:rFonts w:ascii="Arial" w:eastAsia="Calibri" w:hAnsi="Arial" w:cs="Arial"/>
                <w:sz w:val="18"/>
                <w:szCs w:val="18"/>
              </w:rPr>
            </w:pPr>
            <w:r>
              <w:rPr>
                <w:rFonts w:ascii="Arial" w:eastAsia="Calibri" w:hAnsi="Arial" w:cs="Arial"/>
                <w:sz w:val="18"/>
                <w:szCs w:val="18"/>
              </w:rPr>
              <w:t>7</w:t>
            </w:r>
          </w:p>
        </w:tc>
      </w:tr>
    </w:tbl>
    <w:p w14:paraId="73427F4B" w14:textId="77777777" w:rsidR="008F1970" w:rsidRPr="003A2F86" w:rsidRDefault="008F1970" w:rsidP="00626756">
      <w:pPr>
        <w:spacing w:after="0" w:line="240" w:lineRule="auto"/>
        <w:jc w:val="both"/>
        <w:rPr>
          <w:rFonts w:ascii="Arial" w:eastAsia="Calibri" w:hAnsi="Arial" w:cs="Arial"/>
          <w:sz w:val="20"/>
          <w:szCs w:val="20"/>
          <w:lang w:eastAsia="en-US"/>
        </w:rPr>
      </w:pPr>
    </w:p>
    <w:p w14:paraId="1503719B" w14:textId="77777777" w:rsidR="00B1733A" w:rsidRPr="003A2F86" w:rsidRDefault="00B1733A" w:rsidP="00B1733A">
      <w:pPr>
        <w:spacing w:after="0" w:line="240" w:lineRule="auto"/>
        <w:jc w:val="both"/>
        <w:rPr>
          <w:rFonts w:ascii="Arial" w:eastAsia="Calibri" w:hAnsi="Arial" w:cs="Arial"/>
          <w:sz w:val="20"/>
          <w:szCs w:val="20"/>
        </w:rPr>
      </w:pPr>
      <w:r w:rsidRPr="003A2F86">
        <w:rPr>
          <w:rFonts w:ascii="Arial" w:eastAsia="Calibri" w:hAnsi="Arial" w:cs="Arial"/>
          <w:sz w:val="20"/>
          <w:szCs w:val="20"/>
        </w:rPr>
        <w:t>Organizirani izleti i posjete van Doma u izvještajnom razdoblju su:</w:t>
      </w:r>
    </w:p>
    <w:p w14:paraId="1AD3D71E" w14:textId="77777777" w:rsidR="00E32306" w:rsidRPr="005F2A2D" w:rsidRDefault="00E32306" w:rsidP="00E32306">
      <w:pPr>
        <w:spacing w:after="0" w:line="240" w:lineRule="auto"/>
        <w:jc w:val="both"/>
        <w:rPr>
          <w:rFonts w:ascii="Arial" w:eastAsia="Calibri" w:hAnsi="Arial" w:cs="Arial"/>
          <w:sz w:val="20"/>
          <w:szCs w:val="20"/>
        </w:rPr>
      </w:pPr>
    </w:p>
    <w:p w14:paraId="4BF04F36" w14:textId="77777777" w:rsidR="00E32306" w:rsidRPr="005F2A2D" w:rsidRDefault="00E32306" w:rsidP="00E32306">
      <w:pPr>
        <w:numPr>
          <w:ilvl w:val="0"/>
          <w:numId w:val="2"/>
        </w:numPr>
        <w:spacing w:after="0" w:line="240" w:lineRule="auto"/>
        <w:contextualSpacing/>
        <w:jc w:val="both"/>
        <w:rPr>
          <w:rFonts w:ascii="Arial" w:eastAsia="Calibri" w:hAnsi="Arial" w:cs="Arial"/>
          <w:sz w:val="20"/>
          <w:szCs w:val="20"/>
        </w:rPr>
      </w:pPr>
      <w:r w:rsidRPr="005F2A2D">
        <w:rPr>
          <w:rFonts w:ascii="Arial" w:eastAsia="Calibri" w:hAnsi="Arial" w:cs="Arial"/>
          <w:sz w:val="20"/>
          <w:szCs w:val="20"/>
        </w:rPr>
        <w:t>Izlet i roštiljada na Prevlaci dana 05.06.2025.g.</w:t>
      </w:r>
    </w:p>
    <w:p w14:paraId="5D1B9A60" w14:textId="77777777" w:rsidR="00E32306" w:rsidRPr="005F2A2D" w:rsidRDefault="00E32306" w:rsidP="00E32306">
      <w:pPr>
        <w:numPr>
          <w:ilvl w:val="0"/>
          <w:numId w:val="2"/>
        </w:numPr>
        <w:spacing w:after="0" w:line="240" w:lineRule="auto"/>
        <w:contextualSpacing/>
        <w:jc w:val="both"/>
        <w:rPr>
          <w:rFonts w:ascii="Arial" w:eastAsia="Calibri" w:hAnsi="Arial" w:cs="Arial"/>
          <w:sz w:val="20"/>
          <w:szCs w:val="20"/>
        </w:rPr>
      </w:pPr>
      <w:r w:rsidRPr="005F2A2D">
        <w:rPr>
          <w:rFonts w:ascii="Arial" w:eastAsia="Calibri" w:hAnsi="Arial" w:cs="Arial"/>
          <w:sz w:val="20"/>
          <w:szCs w:val="20"/>
        </w:rPr>
        <w:t>Prisustvovanje misnom slavlju i procesiji u Pridvorju dana 13.06.2024.g.</w:t>
      </w:r>
    </w:p>
    <w:p w14:paraId="1B019DC0" w14:textId="77777777" w:rsidR="00F70946" w:rsidRPr="003A2F86" w:rsidRDefault="00F70946" w:rsidP="00626756">
      <w:pPr>
        <w:spacing w:after="0" w:line="240" w:lineRule="auto"/>
        <w:jc w:val="both"/>
        <w:rPr>
          <w:rFonts w:ascii="Arial" w:eastAsia="Calibri" w:hAnsi="Arial" w:cs="Arial"/>
          <w:sz w:val="20"/>
          <w:szCs w:val="20"/>
        </w:rPr>
      </w:pPr>
    </w:p>
    <w:p w14:paraId="402A0900" w14:textId="77777777" w:rsidR="00626756" w:rsidRPr="003A2F86" w:rsidRDefault="00626756" w:rsidP="00626756">
      <w:pPr>
        <w:spacing w:after="0" w:line="240" w:lineRule="auto"/>
        <w:jc w:val="both"/>
        <w:rPr>
          <w:rFonts w:ascii="Arial" w:eastAsia="Calibri" w:hAnsi="Arial" w:cs="Arial"/>
          <w:sz w:val="20"/>
          <w:szCs w:val="20"/>
          <w:u w:val="single"/>
        </w:rPr>
      </w:pPr>
      <w:r w:rsidRPr="003A2F86">
        <w:rPr>
          <w:rFonts w:ascii="Arial" w:eastAsia="Calibri" w:hAnsi="Arial" w:cs="Arial"/>
          <w:b/>
          <w:sz w:val="20"/>
          <w:szCs w:val="20"/>
          <w:u w:val="single"/>
        </w:rPr>
        <w:t>Cilj:</w:t>
      </w:r>
      <w:r w:rsidRPr="003A2F86">
        <w:rPr>
          <w:rFonts w:ascii="Arial" w:eastAsia="Calibri" w:hAnsi="Arial" w:cs="Arial"/>
          <w:sz w:val="20"/>
          <w:szCs w:val="20"/>
          <w:u w:val="single"/>
        </w:rPr>
        <w:t xml:space="preserve"> Senzibilizacija javnosti za potrebe starijih osoba</w:t>
      </w:r>
    </w:p>
    <w:p w14:paraId="27A82BA7" w14:textId="77777777" w:rsidR="00626756" w:rsidRPr="003A2F86" w:rsidRDefault="00626756" w:rsidP="00626756">
      <w:pPr>
        <w:spacing w:after="0" w:line="240" w:lineRule="auto"/>
        <w:jc w:val="both"/>
        <w:rPr>
          <w:rFonts w:ascii="Arial" w:eastAsia="Calibri" w:hAnsi="Arial" w:cs="Arial"/>
          <w:sz w:val="20"/>
          <w:szCs w:val="20"/>
        </w:rPr>
      </w:pPr>
    </w:p>
    <w:p w14:paraId="799F79A9" w14:textId="77777777" w:rsidR="00626756" w:rsidRPr="003A2F86" w:rsidRDefault="00626756" w:rsidP="00626756">
      <w:pPr>
        <w:spacing w:after="0" w:line="240" w:lineRule="auto"/>
        <w:jc w:val="both"/>
        <w:rPr>
          <w:rFonts w:ascii="Arial" w:eastAsia="Calibri" w:hAnsi="Arial" w:cs="Arial"/>
          <w:sz w:val="20"/>
          <w:szCs w:val="20"/>
        </w:rPr>
      </w:pPr>
      <w:r w:rsidRPr="003A2F86">
        <w:rPr>
          <w:rFonts w:ascii="Arial" w:eastAsia="Calibri" w:hAnsi="Arial" w:cs="Arial"/>
          <w:sz w:val="20"/>
          <w:szCs w:val="20"/>
        </w:rPr>
        <w:t>Jedna od aktivnosti kojom želimo ostvariti ovaj cilj je organiziranje posjeta vrtića i škola kroz zajednička druženja s korisnicima Doma kako bi razbili stereotipe i predrasude mlađih uzrasta prema starijim osobama koji vode diskriminaciji starijih i nemoćnih osoba</w:t>
      </w:r>
    </w:p>
    <w:p w14:paraId="760B39FC" w14:textId="77777777" w:rsidR="00626756" w:rsidRPr="003A2F86" w:rsidRDefault="00626756" w:rsidP="00626756">
      <w:pPr>
        <w:spacing w:after="0" w:line="240" w:lineRule="auto"/>
        <w:jc w:val="both"/>
        <w:rPr>
          <w:rFonts w:ascii="Arial" w:eastAsia="Calibri" w:hAnsi="Arial" w:cs="Arial"/>
          <w:sz w:val="20"/>
          <w:szCs w:val="20"/>
        </w:rPr>
      </w:pPr>
    </w:p>
    <w:tbl>
      <w:tblPr>
        <w:tblStyle w:val="TableGrid24"/>
        <w:tblW w:w="14651" w:type="dxa"/>
        <w:jc w:val="center"/>
        <w:tblLayout w:type="fixed"/>
        <w:tblLook w:val="04A0" w:firstRow="1" w:lastRow="0" w:firstColumn="1" w:lastColumn="0" w:noHBand="0" w:noVBand="1"/>
      </w:tblPr>
      <w:tblGrid>
        <w:gridCol w:w="2122"/>
        <w:gridCol w:w="3238"/>
        <w:gridCol w:w="1258"/>
        <w:gridCol w:w="1134"/>
        <w:gridCol w:w="1134"/>
        <w:gridCol w:w="1435"/>
        <w:gridCol w:w="1417"/>
        <w:gridCol w:w="1417"/>
        <w:gridCol w:w="1496"/>
      </w:tblGrid>
      <w:tr w:rsidR="00E32306" w:rsidRPr="003A2F86" w14:paraId="1B403EC1" w14:textId="77777777" w:rsidTr="00923DED">
        <w:trPr>
          <w:jc w:val="center"/>
        </w:trPr>
        <w:tc>
          <w:tcPr>
            <w:tcW w:w="2122" w:type="dxa"/>
            <w:shd w:val="clear" w:color="auto" w:fill="BFBFBF" w:themeFill="background1" w:themeFillShade="BF"/>
            <w:vAlign w:val="center"/>
          </w:tcPr>
          <w:p w14:paraId="27BC6079" w14:textId="77777777" w:rsidR="00E32306" w:rsidRPr="003A2F86" w:rsidRDefault="00E32306" w:rsidP="00E32306">
            <w:pPr>
              <w:jc w:val="center"/>
              <w:rPr>
                <w:rFonts w:ascii="Arial" w:eastAsia="Calibri" w:hAnsi="Arial" w:cs="Arial"/>
              </w:rPr>
            </w:pPr>
            <w:r w:rsidRPr="003A2F86">
              <w:rPr>
                <w:rFonts w:ascii="Arial" w:eastAsia="Calibri" w:hAnsi="Arial" w:cs="Arial"/>
              </w:rPr>
              <w:t>Pokazatelj uspješnosti</w:t>
            </w:r>
          </w:p>
        </w:tc>
        <w:tc>
          <w:tcPr>
            <w:tcW w:w="3238" w:type="dxa"/>
            <w:shd w:val="clear" w:color="auto" w:fill="BFBFBF" w:themeFill="background1" w:themeFillShade="BF"/>
            <w:vAlign w:val="center"/>
          </w:tcPr>
          <w:p w14:paraId="00CDD967" w14:textId="77777777" w:rsidR="00E32306" w:rsidRPr="003A2F86" w:rsidRDefault="00E32306" w:rsidP="00E32306">
            <w:pPr>
              <w:jc w:val="center"/>
              <w:rPr>
                <w:rFonts w:ascii="Arial" w:eastAsia="Calibri" w:hAnsi="Arial" w:cs="Arial"/>
              </w:rPr>
            </w:pPr>
            <w:r w:rsidRPr="003A2F86">
              <w:rPr>
                <w:rFonts w:ascii="Arial" w:eastAsia="Calibri" w:hAnsi="Arial" w:cs="Arial"/>
              </w:rPr>
              <w:t>Definicija</w:t>
            </w:r>
          </w:p>
        </w:tc>
        <w:tc>
          <w:tcPr>
            <w:tcW w:w="1258" w:type="dxa"/>
            <w:shd w:val="clear" w:color="auto" w:fill="BFBFBF" w:themeFill="background1" w:themeFillShade="BF"/>
            <w:vAlign w:val="center"/>
          </w:tcPr>
          <w:p w14:paraId="7419F6EB" w14:textId="77777777" w:rsidR="00E32306" w:rsidRPr="003A2F86" w:rsidRDefault="00E32306" w:rsidP="00E32306">
            <w:pPr>
              <w:jc w:val="center"/>
              <w:rPr>
                <w:rFonts w:ascii="Arial" w:eastAsia="Calibri" w:hAnsi="Arial" w:cs="Arial"/>
              </w:rPr>
            </w:pPr>
            <w:r w:rsidRPr="003A2F86">
              <w:rPr>
                <w:rFonts w:ascii="Arial" w:eastAsia="Calibri" w:hAnsi="Arial" w:cs="Arial"/>
              </w:rPr>
              <w:t>Jedinica</w:t>
            </w:r>
          </w:p>
        </w:tc>
        <w:tc>
          <w:tcPr>
            <w:tcW w:w="1134" w:type="dxa"/>
            <w:shd w:val="clear" w:color="auto" w:fill="BFBFBF" w:themeFill="background1" w:themeFillShade="BF"/>
            <w:vAlign w:val="center"/>
          </w:tcPr>
          <w:p w14:paraId="5BFA6FF6" w14:textId="77777777" w:rsidR="00E32306" w:rsidRPr="003A2F86" w:rsidRDefault="00E32306" w:rsidP="00E32306">
            <w:pPr>
              <w:jc w:val="center"/>
              <w:rPr>
                <w:rFonts w:ascii="Arial" w:eastAsia="Calibri" w:hAnsi="Arial" w:cs="Arial"/>
              </w:rPr>
            </w:pPr>
            <w:r w:rsidRPr="003A2F86">
              <w:rPr>
                <w:rFonts w:ascii="Arial" w:eastAsia="Calibri" w:hAnsi="Arial" w:cs="Arial"/>
              </w:rPr>
              <w:t>Polazna vrijednost</w:t>
            </w:r>
          </w:p>
          <w:p w14:paraId="7D83EBB5" w14:textId="31A613F3" w:rsidR="00E32306" w:rsidRPr="003A2F86" w:rsidRDefault="00E32306" w:rsidP="00E32306">
            <w:pPr>
              <w:jc w:val="center"/>
              <w:rPr>
                <w:rFonts w:ascii="Arial" w:eastAsia="Calibri" w:hAnsi="Arial" w:cs="Arial"/>
              </w:rPr>
            </w:pPr>
            <w:r w:rsidRPr="003A2F86">
              <w:rPr>
                <w:rFonts w:ascii="Arial" w:eastAsia="Calibri" w:hAnsi="Arial" w:cs="Arial"/>
              </w:rPr>
              <w:t>202</w:t>
            </w:r>
            <w:r>
              <w:rPr>
                <w:rFonts w:ascii="Arial" w:eastAsia="Calibri" w:hAnsi="Arial" w:cs="Arial"/>
              </w:rPr>
              <w:t>4</w:t>
            </w:r>
            <w:r w:rsidRPr="003A2F86">
              <w:rPr>
                <w:rFonts w:ascii="Arial" w:eastAsia="Calibri" w:hAnsi="Arial" w:cs="Arial"/>
              </w:rPr>
              <w:t>.</w:t>
            </w:r>
          </w:p>
        </w:tc>
        <w:tc>
          <w:tcPr>
            <w:tcW w:w="1134" w:type="dxa"/>
            <w:shd w:val="clear" w:color="auto" w:fill="BFBFBF" w:themeFill="background1" w:themeFillShade="BF"/>
            <w:vAlign w:val="center"/>
          </w:tcPr>
          <w:p w14:paraId="48F67464" w14:textId="0D087747" w:rsidR="00E32306" w:rsidRPr="003A2F86" w:rsidRDefault="00E32306" w:rsidP="00E32306">
            <w:pPr>
              <w:jc w:val="center"/>
              <w:rPr>
                <w:rFonts w:ascii="Arial" w:eastAsia="Calibri" w:hAnsi="Arial" w:cs="Arial"/>
              </w:rPr>
            </w:pPr>
            <w:r w:rsidRPr="003A2F86">
              <w:rPr>
                <w:rFonts w:ascii="Arial" w:eastAsia="Calibri" w:hAnsi="Arial" w:cs="Arial"/>
              </w:rPr>
              <w:t>Izvor podataka</w:t>
            </w:r>
          </w:p>
        </w:tc>
        <w:tc>
          <w:tcPr>
            <w:tcW w:w="1435" w:type="dxa"/>
            <w:shd w:val="clear" w:color="auto" w:fill="BFBFBF" w:themeFill="background1" w:themeFillShade="BF"/>
            <w:vAlign w:val="center"/>
          </w:tcPr>
          <w:p w14:paraId="31DC0110" w14:textId="2DCB54F0" w:rsidR="00E32306" w:rsidRPr="003A2F86" w:rsidRDefault="00E32306" w:rsidP="00E32306">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5</w:t>
            </w:r>
            <w:r w:rsidRPr="003A2F86">
              <w:rPr>
                <w:rFonts w:ascii="Arial" w:eastAsia="Calibri" w:hAnsi="Arial" w:cs="Arial"/>
              </w:rPr>
              <w:t>.</w:t>
            </w:r>
          </w:p>
        </w:tc>
        <w:tc>
          <w:tcPr>
            <w:tcW w:w="1417" w:type="dxa"/>
            <w:shd w:val="clear" w:color="auto" w:fill="BFBFBF" w:themeFill="background1" w:themeFillShade="BF"/>
            <w:vAlign w:val="center"/>
          </w:tcPr>
          <w:p w14:paraId="60218965" w14:textId="7767AB7F" w:rsidR="00E32306" w:rsidRPr="003A2F86" w:rsidRDefault="00E32306" w:rsidP="00E32306">
            <w:pPr>
              <w:jc w:val="center"/>
              <w:rPr>
                <w:rFonts w:ascii="Arial" w:eastAsia="Calibri" w:hAnsi="Arial" w:cs="Arial"/>
              </w:rPr>
            </w:pPr>
            <w:r w:rsidRPr="003A2F86">
              <w:rPr>
                <w:rFonts w:ascii="Arial" w:eastAsia="Calibri" w:hAnsi="Arial" w:cs="Arial"/>
              </w:rPr>
              <w:t>Ostvareno u izvještajnom razdoblju</w:t>
            </w:r>
          </w:p>
        </w:tc>
        <w:tc>
          <w:tcPr>
            <w:tcW w:w="1417" w:type="dxa"/>
            <w:shd w:val="clear" w:color="auto" w:fill="BFBFBF" w:themeFill="background1" w:themeFillShade="BF"/>
            <w:vAlign w:val="center"/>
          </w:tcPr>
          <w:p w14:paraId="01A0C595" w14:textId="16B0796C" w:rsidR="00E32306" w:rsidRPr="003A2F86" w:rsidRDefault="00E32306" w:rsidP="00E32306">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6</w:t>
            </w:r>
            <w:r w:rsidRPr="003A2F86">
              <w:rPr>
                <w:rFonts w:ascii="Arial" w:eastAsia="Calibri" w:hAnsi="Arial" w:cs="Arial"/>
              </w:rPr>
              <w:t>.</w:t>
            </w:r>
          </w:p>
        </w:tc>
        <w:tc>
          <w:tcPr>
            <w:tcW w:w="1496" w:type="dxa"/>
            <w:shd w:val="clear" w:color="auto" w:fill="BFBFBF" w:themeFill="background1" w:themeFillShade="BF"/>
            <w:vAlign w:val="center"/>
          </w:tcPr>
          <w:p w14:paraId="0FC88919" w14:textId="218BB678" w:rsidR="00E32306" w:rsidRPr="003A2F86" w:rsidRDefault="00E32306" w:rsidP="00E32306">
            <w:pPr>
              <w:jc w:val="center"/>
              <w:rPr>
                <w:rFonts w:ascii="Arial" w:eastAsia="Calibri" w:hAnsi="Arial" w:cs="Arial"/>
              </w:rPr>
            </w:pPr>
            <w:r w:rsidRPr="003A2F86">
              <w:rPr>
                <w:rFonts w:ascii="Arial" w:eastAsia="Calibri" w:hAnsi="Arial" w:cs="Arial"/>
              </w:rPr>
              <w:t>Ciljana vrijed. 202</w:t>
            </w:r>
            <w:r>
              <w:rPr>
                <w:rFonts w:ascii="Arial" w:eastAsia="Calibri" w:hAnsi="Arial" w:cs="Arial"/>
              </w:rPr>
              <w:t>7</w:t>
            </w:r>
            <w:r w:rsidRPr="003A2F86">
              <w:rPr>
                <w:rFonts w:ascii="Arial" w:eastAsia="Calibri" w:hAnsi="Arial" w:cs="Arial"/>
              </w:rPr>
              <w:t>.</w:t>
            </w:r>
          </w:p>
        </w:tc>
      </w:tr>
      <w:tr w:rsidR="00626756" w:rsidRPr="003A2F86" w14:paraId="6AA0ECF9" w14:textId="77777777" w:rsidTr="00923DED">
        <w:trPr>
          <w:trHeight w:val="1023"/>
          <w:jc w:val="center"/>
        </w:trPr>
        <w:tc>
          <w:tcPr>
            <w:tcW w:w="2122" w:type="dxa"/>
            <w:vAlign w:val="center"/>
          </w:tcPr>
          <w:p w14:paraId="0AB439B6" w14:textId="77777777" w:rsidR="00626756" w:rsidRPr="003A2F86" w:rsidRDefault="00626756" w:rsidP="00B223BA">
            <w:pPr>
              <w:rPr>
                <w:rFonts w:ascii="Arial" w:eastAsia="Calibri" w:hAnsi="Arial" w:cs="Arial"/>
                <w:sz w:val="18"/>
                <w:szCs w:val="18"/>
              </w:rPr>
            </w:pPr>
            <w:r w:rsidRPr="003A2F86">
              <w:rPr>
                <w:rFonts w:ascii="Arial" w:eastAsia="Calibri" w:hAnsi="Arial" w:cs="Arial"/>
                <w:sz w:val="18"/>
                <w:szCs w:val="18"/>
              </w:rPr>
              <w:t>Povećanje broja posjeta djece školskog i predškolskog uzrasta</w:t>
            </w:r>
          </w:p>
        </w:tc>
        <w:tc>
          <w:tcPr>
            <w:tcW w:w="3238" w:type="dxa"/>
            <w:vAlign w:val="center"/>
          </w:tcPr>
          <w:p w14:paraId="3F16B0CE" w14:textId="77777777" w:rsidR="00626756" w:rsidRPr="003A2F86" w:rsidRDefault="00626756" w:rsidP="00B223BA">
            <w:pPr>
              <w:rPr>
                <w:rFonts w:ascii="Arial" w:eastAsia="Calibri" w:hAnsi="Arial" w:cs="Arial"/>
                <w:sz w:val="18"/>
                <w:szCs w:val="18"/>
              </w:rPr>
            </w:pPr>
            <w:r w:rsidRPr="003A2F86">
              <w:rPr>
                <w:rFonts w:ascii="Arial" w:eastAsia="Calibri" w:hAnsi="Arial" w:cs="Arial"/>
                <w:sz w:val="18"/>
                <w:szCs w:val="18"/>
              </w:rPr>
              <w:t>Organiziranjem posjeta dječjih vrtića i škola i međugeneracijskom interakcijom djeca se senzibiliziraju na kontakt sa starijim osobama</w:t>
            </w:r>
          </w:p>
        </w:tc>
        <w:tc>
          <w:tcPr>
            <w:tcW w:w="1258" w:type="dxa"/>
            <w:vAlign w:val="center"/>
          </w:tcPr>
          <w:p w14:paraId="64899B13" w14:textId="77777777" w:rsidR="00626756" w:rsidRPr="003A2F86" w:rsidRDefault="00626756" w:rsidP="00B223BA">
            <w:pPr>
              <w:jc w:val="center"/>
              <w:rPr>
                <w:rFonts w:ascii="Arial" w:eastAsia="Calibri" w:hAnsi="Arial" w:cs="Arial"/>
                <w:sz w:val="18"/>
                <w:szCs w:val="18"/>
              </w:rPr>
            </w:pPr>
            <w:r w:rsidRPr="003A2F86">
              <w:rPr>
                <w:rFonts w:ascii="Arial" w:eastAsia="Calibri" w:hAnsi="Arial" w:cs="Arial"/>
                <w:sz w:val="18"/>
                <w:szCs w:val="18"/>
              </w:rPr>
              <w:t>Broj organiziranih posjeta</w:t>
            </w:r>
          </w:p>
        </w:tc>
        <w:tc>
          <w:tcPr>
            <w:tcW w:w="1134" w:type="dxa"/>
            <w:vAlign w:val="center"/>
          </w:tcPr>
          <w:p w14:paraId="0E0F0DF5" w14:textId="4BE83E8F" w:rsidR="00626756" w:rsidRPr="003A2F86" w:rsidRDefault="00E32306" w:rsidP="00B223BA">
            <w:pPr>
              <w:jc w:val="center"/>
              <w:rPr>
                <w:rFonts w:ascii="Arial" w:eastAsia="Calibri" w:hAnsi="Arial" w:cs="Arial"/>
                <w:sz w:val="18"/>
                <w:szCs w:val="18"/>
              </w:rPr>
            </w:pPr>
            <w:r>
              <w:rPr>
                <w:rFonts w:ascii="Arial" w:eastAsia="Calibri" w:hAnsi="Arial" w:cs="Arial"/>
                <w:sz w:val="18"/>
                <w:szCs w:val="18"/>
              </w:rPr>
              <w:t>3</w:t>
            </w:r>
          </w:p>
        </w:tc>
        <w:tc>
          <w:tcPr>
            <w:tcW w:w="1134" w:type="dxa"/>
            <w:vAlign w:val="center"/>
          </w:tcPr>
          <w:p w14:paraId="7297329D" w14:textId="77777777" w:rsidR="00626756" w:rsidRPr="003A2F86" w:rsidRDefault="00626756" w:rsidP="00B223BA">
            <w:pPr>
              <w:jc w:val="center"/>
              <w:rPr>
                <w:rFonts w:ascii="Arial" w:eastAsia="Calibri" w:hAnsi="Arial" w:cs="Arial"/>
                <w:sz w:val="18"/>
                <w:szCs w:val="18"/>
              </w:rPr>
            </w:pPr>
            <w:r w:rsidRPr="003A2F86">
              <w:rPr>
                <w:rFonts w:ascii="Arial" w:eastAsia="Calibri" w:hAnsi="Arial" w:cs="Arial"/>
                <w:sz w:val="18"/>
                <w:szCs w:val="18"/>
              </w:rPr>
              <w:t>Dom</w:t>
            </w:r>
          </w:p>
        </w:tc>
        <w:tc>
          <w:tcPr>
            <w:tcW w:w="1435" w:type="dxa"/>
            <w:vAlign w:val="center"/>
          </w:tcPr>
          <w:p w14:paraId="2D7D9D3C" w14:textId="61528D01" w:rsidR="00626756" w:rsidRPr="003A2F86" w:rsidRDefault="00E32306" w:rsidP="00B223BA">
            <w:pPr>
              <w:jc w:val="center"/>
              <w:rPr>
                <w:rFonts w:ascii="Arial" w:eastAsia="Calibri" w:hAnsi="Arial" w:cs="Arial"/>
                <w:sz w:val="18"/>
                <w:szCs w:val="18"/>
              </w:rPr>
            </w:pPr>
            <w:r>
              <w:rPr>
                <w:rFonts w:ascii="Arial" w:eastAsia="Calibri" w:hAnsi="Arial" w:cs="Arial"/>
                <w:sz w:val="18"/>
                <w:szCs w:val="18"/>
              </w:rPr>
              <w:t>3</w:t>
            </w:r>
          </w:p>
        </w:tc>
        <w:tc>
          <w:tcPr>
            <w:tcW w:w="1417" w:type="dxa"/>
            <w:vAlign w:val="center"/>
          </w:tcPr>
          <w:p w14:paraId="4705C55D" w14:textId="70C1F77E" w:rsidR="00626756" w:rsidRPr="003A2F86" w:rsidRDefault="00E32306" w:rsidP="00B223BA">
            <w:pPr>
              <w:jc w:val="center"/>
              <w:rPr>
                <w:rFonts w:ascii="Arial" w:eastAsia="Calibri" w:hAnsi="Arial" w:cs="Arial"/>
                <w:sz w:val="18"/>
                <w:szCs w:val="18"/>
              </w:rPr>
            </w:pPr>
            <w:r>
              <w:rPr>
                <w:rFonts w:ascii="Arial" w:eastAsia="Calibri" w:hAnsi="Arial" w:cs="Arial"/>
                <w:sz w:val="18"/>
                <w:szCs w:val="18"/>
              </w:rPr>
              <w:t>1</w:t>
            </w:r>
          </w:p>
        </w:tc>
        <w:tc>
          <w:tcPr>
            <w:tcW w:w="1417" w:type="dxa"/>
            <w:vAlign w:val="center"/>
          </w:tcPr>
          <w:p w14:paraId="43714DF6" w14:textId="7F2AFF8D" w:rsidR="00626756" w:rsidRPr="003A2F86" w:rsidRDefault="003A4B46" w:rsidP="00B223BA">
            <w:pPr>
              <w:jc w:val="center"/>
              <w:rPr>
                <w:rFonts w:ascii="Arial" w:eastAsia="Calibri" w:hAnsi="Arial" w:cs="Arial"/>
                <w:sz w:val="18"/>
                <w:szCs w:val="18"/>
              </w:rPr>
            </w:pPr>
            <w:r w:rsidRPr="003A2F86">
              <w:rPr>
                <w:rFonts w:ascii="Arial" w:eastAsia="Calibri" w:hAnsi="Arial" w:cs="Arial"/>
                <w:sz w:val="18"/>
                <w:szCs w:val="18"/>
              </w:rPr>
              <w:t>2</w:t>
            </w:r>
          </w:p>
        </w:tc>
        <w:tc>
          <w:tcPr>
            <w:tcW w:w="1496" w:type="dxa"/>
            <w:vAlign w:val="center"/>
          </w:tcPr>
          <w:p w14:paraId="6CC8B3A7" w14:textId="06279308" w:rsidR="00626756" w:rsidRPr="003A2F86" w:rsidRDefault="00B1733A" w:rsidP="00B223BA">
            <w:pPr>
              <w:jc w:val="center"/>
              <w:rPr>
                <w:rFonts w:ascii="Arial" w:eastAsia="Calibri" w:hAnsi="Arial" w:cs="Arial"/>
                <w:sz w:val="18"/>
                <w:szCs w:val="18"/>
              </w:rPr>
            </w:pPr>
            <w:r w:rsidRPr="003A2F86">
              <w:rPr>
                <w:rFonts w:ascii="Arial" w:eastAsia="Calibri" w:hAnsi="Arial" w:cs="Arial"/>
                <w:sz w:val="18"/>
                <w:szCs w:val="18"/>
              </w:rPr>
              <w:t>2</w:t>
            </w:r>
          </w:p>
        </w:tc>
      </w:tr>
    </w:tbl>
    <w:p w14:paraId="7C3E1B0F" w14:textId="77777777" w:rsidR="00E1279C" w:rsidRPr="003A2F86" w:rsidRDefault="00E1279C" w:rsidP="00A7223A">
      <w:pPr>
        <w:spacing w:after="0" w:line="240" w:lineRule="auto"/>
        <w:jc w:val="both"/>
        <w:rPr>
          <w:rFonts w:ascii="Arial" w:eastAsia="Calibri" w:hAnsi="Arial" w:cs="Arial"/>
          <w:sz w:val="20"/>
          <w:szCs w:val="20"/>
        </w:rPr>
      </w:pPr>
    </w:p>
    <w:p w14:paraId="6FDFB6D7" w14:textId="200BE140" w:rsidR="003A4B46" w:rsidRPr="003A2F86" w:rsidRDefault="003A4B46" w:rsidP="00A7223A">
      <w:pPr>
        <w:spacing w:after="0" w:line="240" w:lineRule="auto"/>
        <w:rPr>
          <w:rFonts w:ascii="Arial" w:eastAsia="Calibri" w:hAnsi="Arial" w:cs="Arial"/>
          <w:sz w:val="20"/>
          <w:szCs w:val="20"/>
          <w:lang w:eastAsia="en-US"/>
        </w:rPr>
      </w:pPr>
      <w:r w:rsidRPr="003A2F86">
        <w:rPr>
          <w:rFonts w:ascii="Arial" w:eastAsia="Calibri" w:hAnsi="Arial" w:cs="Arial"/>
          <w:sz w:val="20"/>
          <w:szCs w:val="20"/>
          <w:lang w:eastAsia="en-US"/>
        </w:rPr>
        <w:t>U 202</w:t>
      </w:r>
      <w:r w:rsidR="00E32306">
        <w:rPr>
          <w:rFonts w:ascii="Arial" w:eastAsia="Calibri" w:hAnsi="Arial" w:cs="Arial"/>
          <w:sz w:val="20"/>
          <w:szCs w:val="20"/>
          <w:lang w:eastAsia="en-US"/>
        </w:rPr>
        <w:t>5</w:t>
      </w:r>
      <w:r w:rsidRPr="003A2F86">
        <w:rPr>
          <w:rFonts w:ascii="Arial" w:eastAsia="Calibri" w:hAnsi="Arial" w:cs="Arial"/>
          <w:sz w:val="20"/>
          <w:szCs w:val="20"/>
          <w:lang w:eastAsia="en-US"/>
        </w:rPr>
        <w:t>. godini je realiziran</w:t>
      </w:r>
      <w:r w:rsidR="00B1733A" w:rsidRPr="003A2F86">
        <w:rPr>
          <w:rFonts w:ascii="Arial" w:eastAsia="Calibri" w:hAnsi="Arial" w:cs="Arial"/>
          <w:sz w:val="20"/>
          <w:szCs w:val="20"/>
          <w:lang w:eastAsia="en-US"/>
        </w:rPr>
        <w:t>o:</w:t>
      </w:r>
    </w:p>
    <w:p w14:paraId="346BA4CF" w14:textId="77777777" w:rsidR="00E32306" w:rsidRPr="00E32306" w:rsidRDefault="00E32306" w:rsidP="00E32306">
      <w:pPr>
        <w:numPr>
          <w:ilvl w:val="0"/>
          <w:numId w:val="48"/>
        </w:numPr>
        <w:contextualSpacing/>
        <w:rPr>
          <w:rFonts w:ascii="Arial" w:eastAsia="Calibri" w:hAnsi="Arial" w:cs="Arial"/>
          <w:sz w:val="20"/>
          <w:szCs w:val="20"/>
          <w:lang w:eastAsia="en-US"/>
        </w:rPr>
      </w:pPr>
      <w:r w:rsidRPr="00E32306">
        <w:rPr>
          <w:rFonts w:ascii="Arial" w:eastAsia="Calibri" w:hAnsi="Arial" w:cs="Arial"/>
          <w:sz w:val="20"/>
          <w:szCs w:val="20"/>
          <w:lang w:eastAsia="en-US"/>
        </w:rPr>
        <w:t>Posjeta djece iz područne škole Čilipi dana 14.04.2025.g.</w:t>
      </w:r>
    </w:p>
    <w:p w14:paraId="52D6166B" w14:textId="77777777" w:rsidR="00EA73E1" w:rsidRDefault="00EA73E1" w:rsidP="00A7223A">
      <w:pPr>
        <w:autoSpaceDE w:val="0"/>
        <w:autoSpaceDN w:val="0"/>
        <w:adjustRightInd w:val="0"/>
        <w:spacing w:after="0" w:line="240" w:lineRule="auto"/>
        <w:jc w:val="both"/>
        <w:rPr>
          <w:rFonts w:ascii="Arial" w:eastAsia="Calibri" w:hAnsi="Arial" w:cs="Arial"/>
          <w:b/>
          <w:sz w:val="20"/>
          <w:szCs w:val="20"/>
        </w:rPr>
      </w:pPr>
    </w:p>
    <w:p w14:paraId="7244ED70" w14:textId="39217018" w:rsidR="003752B9" w:rsidRPr="003A2F86" w:rsidRDefault="003752B9" w:rsidP="00A7223A">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b/>
          <w:sz w:val="20"/>
          <w:szCs w:val="20"/>
        </w:rPr>
        <w:t xml:space="preserve">4. A204405: Program nabave </w:t>
      </w:r>
      <w:r w:rsidR="00A8623C" w:rsidRPr="003A2F86">
        <w:rPr>
          <w:rFonts w:ascii="Arial" w:eastAsia="Calibri" w:hAnsi="Arial" w:cs="Arial"/>
          <w:b/>
          <w:sz w:val="20"/>
          <w:szCs w:val="20"/>
        </w:rPr>
        <w:t>kn</w:t>
      </w:r>
      <w:r w:rsidRPr="003A2F86">
        <w:rPr>
          <w:rFonts w:ascii="Arial" w:eastAsia="Calibri" w:hAnsi="Arial" w:cs="Arial"/>
          <w:b/>
          <w:sz w:val="20"/>
          <w:szCs w:val="20"/>
        </w:rPr>
        <w:t>jižne i ne</w:t>
      </w:r>
      <w:r w:rsidR="00A8623C" w:rsidRPr="003A2F86">
        <w:rPr>
          <w:rFonts w:ascii="Arial" w:eastAsia="Calibri" w:hAnsi="Arial" w:cs="Arial"/>
          <w:b/>
          <w:sz w:val="20"/>
          <w:szCs w:val="20"/>
        </w:rPr>
        <w:t>kn</w:t>
      </w:r>
      <w:r w:rsidRPr="003A2F86">
        <w:rPr>
          <w:rFonts w:ascii="Arial" w:eastAsia="Calibri" w:hAnsi="Arial" w:cs="Arial"/>
          <w:b/>
          <w:sz w:val="20"/>
          <w:szCs w:val="20"/>
        </w:rPr>
        <w:t>jižne građe</w:t>
      </w:r>
      <w:r w:rsidRPr="003A2F86">
        <w:rPr>
          <w:rFonts w:ascii="Arial" w:eastAsia="Calibri" w:hAnsi="Arial" w:cs="Arial"/>
          <w:sz w:val="20"/>
          <w:szCs w:val="20"/>
        </w:rPr>
        <w:t xml:space="preserve"> - Proračunska sredstva nisu planirana.</w:t>
      </w:r>
    </w:p>
    <w:p w14:paraId="5955E962" w14:textId="77777777" w:rsidR="005566F3" w:rsidRPr="003A2F86" w:rsidRDefault="005566F3" w:rsidP="00A7223A">
      <w:pPr>
        <w:spacing w:after="0" w:line="240" w:lineRule="auto"/>
        <w:rPr>
          <w:rFonts w:ascii="Arial" w:eastAsia="Calibri" w:hAnsi="Arial" w:cs="Arial"/>
          <w:sz w:val="20"/>
          <w:szCs w:val="20"/>
        </w:rPr>
      </w:pPr>
    </w:p>
    <w:p w14:paraId="4FE72CA4" w14:textId="77777777" w:rsidR="00AE23F9" w:rsidRPr="003A2F86" w:rsidRDefault="00AE23F9" w:rsidP="00A7223A">
      <w:pPr>
        <w:spacing w:after="0" w:line="240" w:lineRule="auto"/>
        <w:rPr>
          <w:rFonts w:ascii="Arial" w:eastAsia="Calibri" w:hAnsi="Arial" w:cs="Arial"/>
          <w:sz w:val="20"/>
          <w:szCs w:val="20"/>
        </w:rPr>
      </w:pPr>
      <w:r w:rsidRPr="003A2F86">
        <w:rPr>
          <w:rFonts w:ascii="Arial" w:eastAsia="Calibri" w:hAnsi="Arial" w:cs="Arial"/>
          <w:b/>
          <w:sz w:val="20"/>
          <w:szCs w:val="20"/>
        </w:rPr>
        <w:t>5. A204406: Nabava gospodarskog kombi vozila</w:t>
      </w:r>
      <w:r w:rsidRPr="003A2F86">
        <w:rPr>
          <w:rFonts w:ascii="Arial" w:eastAsia="Calibri" w:hAnsi="Arial" w:cs="Arial"/>
          <w:sz w:val="20"/>
          <w:szCs w:val="20"/>
        </w:rPr>
        <w:t xml:space="preserve"> - Pror</w:t>
      </w:r>
      <w:r w:rsidR="005566F3" w:rsidRPr="003A2F86">
        <w:rPr>
          <w:rFonts w:ascii="Arial" w:eastAsia="Calibri" w:hAnsi="Arial" w:cs="Arial"/>
          <w:sz w:val="20"/>
          <w:szCs w:val="20"/>
        </w:rPr>
        <w:t>ačunska sredstva nisu planirana</w:t>
      </w:r>
      <w:r w:rsidRPr="003A2F86">
        <w:rPr>
          <w:rFonts w:ascii="Arial" w:eastAsia="Calibri" w:hAnsi="Arial" w:cs="Arial"/>
          <w:sz w:val="20"/>
          <w:szCs w:val="20"/>
        </w:rPr>
        <w:t>.</w:t>
      </w:r>
    </w:p>
    <w:p w14:paraId="72A879D3" w14:textId="77777777" w:rsidR="003752B9" w:rsidRPr="003A2F86" w:rsidRDefault="003752B9" w:rsidP="00A7223A">
      <w:pPr>
        <w:spacing w:after="0" w:line="240" w:lineRule="auto"/>
        <w:jc w:val="both"/>
        <w:rPr>
          <w:rFonts w:ascii="Arial" w:eastAsia="Calibri" w:hAnsi="Arial" w:cs="Arial"/>
          <w:sz w:val="20"/>
          <w:szCs w:val="20"/>
        </w:rPr>
      </w:pPr>
    </w:p>
    <w:p w14:paraId="5F45C458" w14:textId="77777777" w:rsidR="009A3132" w:rsidRPr="003A2F86" w:rsidRDefault="003752B9" w:rsidP="00A7223A">
      <w:pPr>
        <w:spacing w:after="0" w:line="240" w:lineRule="auto"/>
        <w:rPr>
          <w:rFonts w:ascii="Arial" w:eastAsia="Calibri" w:hAnsi="Arial" w:cs="Arial"/>
          <w:sz w:val="20"/>
          <w:szCs w:val="20"/>
        </w:rPr>
      </w:pPr>
      <w:r w:rsidRPr="003A2F86">
        <w:rPr>
          <w:rFonts w:ascii="Arial" w:eastAsia="Calibri" w:hAnsi="Arial" w:cs="Arial"/>
          <w:sz w:val="20"/>
          <w:szCs w:val="20"/>
        </w:rPr>
        <w:t>Sredstvima planiranim i utrošenim u okviru ovog programa ostvaruje se zadani Cilj programa.</w:t>
      </w:r>
    </w:p>
    <w:p w14:paraId="6B8FCA85" w14:textId="77777777" w:rsidR="00B50BBC" w:rsidRDefault="00B50BBC" w:rsidP="00A7223A">
      <w:pPr>
        <w:autoSpaceDE w:val="0"/>
        <w:autoSpaceDN w:val="0"/>
        <w:adjustRightInd w:val="0"/>
        <w:spacing w:after="0" w:line="240" w:lineRule="auto"/>
        <w:rPr>
          <w:rFonts w:ascii="Arial" w:eastAsia="Calibri" w:hAnsi="Arial" w:cs="Arial"/>
        </w:rPr>
      </w:pPr>
    </w:p>
    <w:p w14:paraId="72DF4732" w14:textId="77777777" w:rsidR="00BE41A8" w:rsidRDefault="00BE41A8" w:rsidP="00A7223A">
      <w:pPr>
        <w:autoSpaceDE w:val="0"/>
        <w:autoSpaceDN w:val="0"/>
        <w:adjustRightInd w:val="0"/>
        <w:spacing w:after="0" w:line="240" w:lineRule="auto"/>
        <w:rPr>
          <w:rFonts w:ascii="Arial" w:eastAsia="Calibri" w:hAnsi="Arial" w:cs="Arial"/>
        </w:rPr>
      </w:pPr>
    </w:p>
    <w:p w14:paraId="568DC8F6" w14:textId="77777777" w:rsidR="00BE41A8" w:rsidRDefault="00BE41A8" w:rsidP="00A7223A">
      <w:pPr>
        <w:autoSpaceDE w:val="0"/>
        <w:autoSpaceDN w:val="0"/>
        <w:adjustRightInd w:val="0"/>
        <w:spacing w:after="0" w:line="240" w:lineRule="auto"/>
        <w:rPr>
          <w:rFonts w:ascii="Arial" w:eastAsia="Calibri" w:hAnsi="Arial" w:cs="Arial"/>
        </w:rPr>
      </w:pPr>
    </w:p>
    <w:p w14:paraId="7DE64DB9" w14:textId="77777777" w:rsidR="00BE41A8" w:rsidRPr="003A2F86" w:rsidRDefault="00BE41A8" w:rsidP="00A7223A">
      <w:pPr>
        <w:autoSpaceDE w:val="0"/>
        <w:autoSpaceDN w:val="0"/>
        <w:adjustRightInd w:val="0"/>
        <w:spacing w:after="0" w:line="240" w:lineRule="auto"/>
        <w:rPr>
          <w:rFonts w:ascii="Arial" w:eastAsia="Calibri" w:hAnsi="Arial" w:cs="Arial"/>
        </w:rPr>
      </w:pPr>
    </w:p>
    <w:p w14:paraId="04C1AAE2" w14:textId="77777777" w:rsidR="00923DED" w:rsidRPr="003A2F86" w:rsidRDefault="00923DED" w:rsidP="00A7223A">
      <w:pPr>
        <w:autoSpaceDE w:val="0"/>
        <w:autoSpaceDN w:val="0"/>
        <w:adjustRightInd w:val="0"/>
        <w:spacing w:after="0" w:line="240" w:lineRule="auto"/>
        <w:rPr>
          <w:rFonts w:ascii="Arial" w:eastAsia="Calibri" w:hAnsi="Arial" w:cs="Arial"/>
        </w:rPr>
      </w:pPr>
    </w:p>
    <w:p w14:paraId="0659516C" w14:textId="7CC3A1AD" w:rsidR="00B50BBC" w:rsidRPr="003A2F86" w:rsidRDefault="00B50BBC">
      <w:pPr>
        <w:pStyle w:val="Odlomakpopisa"/>
        <w:numPr>
          <w:ilvl w:val="0"/>
          <w:numId w:val="37"/>
        </w:numPr>
        <w:pBdr>
          <w:top w:val="single" w:sz="4" w:space="1" w:color="auto"/>
          <w:left w:val="single" w:sz="4" w:space="0" w:color="auto"/>
          <w:bottom w:val="single" w:sz="4" w:space="1" w:color="auto"/>
          <w:right w:val="single" w:sz="4" w:space="1" w:color="auto"/>
        </w:pBdr>
        <w:ind w:left="0"/>
        <w:jc w:val="center"/>
        <w:rPr>
          <w:rFonts w:ascii="Arial" w:eastAsia="Calibri" w:hAnsi="Arial" w:cs="Arial"/>
          <w:b/>
        </w:rPr>
      </w:pPr>
      <w:r w:rsidRPr="003A2F86">
        <w:rPr>
          <w:rFonts w:ascii="Arial" w:eastAsia="Calibri" w:hAnsi="Arial" w:cs="Arial"/>
          <w:b/>
        </w:rPr>
        <w:lastRenderedPageBreak/>
        <w:t>Posebni izvještaj u godišnjem izvještaju o izvršenju financijskog planu</w:t>
      </w:r>
    </w:p>
    <w:p w14:paraId="2B954E83" w14:textId="77777777" w:rsidR="00B50BBC" w:rsidRPr="003A2F86" w:rsidRDefault="00B50BBC" w:rsidP="00F63556">
      <w:pPr>
        <w:spacing w:after="0" w:line="240" w:lineRule="auto"/>
        <w:rPr>
          <w:rFonts w:ascii="Arial" w:eastAsia="Calibri" w:hAnsi="Arial" w:cs="Arial"/>
          <w:sz w:val="20"/>
          <w:szCs w:val="20"/>
        </w:rPr>
      </w:pPr>
    </w:p>
    <w:p w14:paraId="215173FB" w14:textId="77777777" w:rsidR="00E32306" w:rsidRPr="00E32306" w:rsidRDefault="00E32306" w:rsidP="00E32306">
      <w:pPr>
        <w:numPr>
          <w:ilvl w:val="0"/>
          <w:numId w:val="34"/>
        </w:numPr>
        <w:contextualSpacing/>
        <w:jc w:val="both"/>
        <w:rPr>
          <w:rFonts w:ascii="Arial" w:eastAsia="Calibri" w:hAnsi="Arial" w:cs="Arial"/>
          <w:sz w:val="20"/>
          <w:szCs w:val="20"/>
          <w:lang w:eastAsia="en-US"/>
        </w:rPr>
      </w:pPr>
      <w:r w:rsidRPr="00E32306">
        <w:rPr>
          <w:rFonts w:ascii="Arial" w:eastAsia="Calibri" w:hAnsi="Arial" w:cs="Arial"/>
          <w:sz w:val="20"/>
          <w:szCs w:val="20"/>
          <w:lang w:eastAsia="en-US"/>
        </w:rPr>
        <w:t>Dom za starije i nemoćne osobe Konavle, u prvom polugodištu 2025.g., nije koristio sredstva fondova Europske unije</w:t>
      </w:r>
    </w:p>
    <w:p w14:paraId="4CDB2080" w14:textId="77777777" w:rsidR="00E32306" w:rsidRPr="00E32306" w:rsidRDefault="00E32306" w:rsidP="00E32306">
      <w:pPr>
        <w:numPr>
          <w:ilvl w:val="0"/>
          <w:numId w:val="34"/>
        </w:numPr>
        <w:contextualSpacing/>
        <w:jc w:val="both"/>
        <w:rPr>
          <w:rFonts w:ascii="Arial" w:eastAsia="Calibri" w:hAnsi="Arial" w:cs="Arial"/>
          <w:sz w:val="20"/>
          <w:szCs w:val="20"/>
          <w:lang w:eastAsia="en-US"/>
        </w:rPr>
      </w:pPr>
      <w:r w:rsidRPr="00E32306">
        <w:rPr>
          <w:rFonts w:ascii="Arial" w:eastAsia="Calibri" w:hAnsi="Arial" w:cs="Arial"/>
          <w:sz w:val="20"/>
          <w:szCs w:val="20"/>
          <w:lang w:eastAsia="en-US"/>
        </w:rPr>
        <w:t>Dom za starije i nemoćne osobe Konavle se, u prvom polugodištu 2025.g., nije zaduživao na domaćem i stranom tržištu novca i kapitala</w:t>
      </w:r>
    </w:p>
    <w:p w14:paraId="0D7AB0CF" w14:textId="77777777" w:rsidR="00E32306" w:rsidRPr="00E32306" w:rsidRDefault="00E32306" w:rsidP="00E32306">
      <w:pPr>
        <w:numPr>
          <w:ilvl w:val="0"/>
          <w:numId w:val="34"/>
        </w:numPr>
        <w:contextualSpacing/>
        <w:jc w:val="both"/>
        <w:rPr>
          <w:rFonts w:ascii="Arial" w:eastAsia="Calibri" w:hAnsi="Arial" w:cs="Arial"/>
          <w:sz w:val="20"/>
          <w:szCs w:val="20"/>
          <w:lang w:eastAsia="en-US"/>
        </w:rPr>
      </w:pPr>
      <w:r w:rsidRPr="00E32306">
        <w:rPr>
          <w:rFonts w:ascii="Arial" w:eastAsia="Calibri" w:hAnsi="Arial" w:cs="Arial"/>
          <w:sz w:val="20"/>
          <w:szCs w:val="20"/>
          <w:lang w:eastAsia="en-US"/>
        </w:rPr>
        <w:t>Dom za starije i nemoćne osobe Konavle, u prvom polugodištu 2025.g., nije davao zajmove niti ima potraživanja po danim zajmovima</w:t>
      </w:r>
    </w:p>
    <w:p w14:paraId="36DDB4AA" w14:textId="77777777" w:rsidR="00E32306" w:rsidRPr="00E32306" w:rsidRDefault="00E32306" w:rsidP="00E32306">
      <w:pPr>
        <w:numPr>
          <w:ilvl w:val="0"/>
          <w:numId w:val="34"/>
        </w:numPr>
        <w:contextualSpacing/>
        <w:jc w:val="both"/>
        <w:rPr>
          <w:rFonts w:ascii="Arial" w:eastAsia="Calibri" w:hAnsi="Arial" w:cs="Arial"/>
          <w:sz w:val="20"/>
          <w:szCs w:val="20"/>
          <w:lang w:eastAsia="en-US"/>
        </w:rPr>
      </w:pPr>
      <w:r w:rsidRPr="00E32306">
        <w:rPr>
          <w:rFonts w:ascii="Arial" w:eastAsia="Calibri" w:hAnsi="Arial" w:cs="Arial"/>
          <w:sz w:val="20"/>
          <w:szCs w:val="20"/>
          <w:lang w:eastAsia="en-US"/>
        </w:rPr>
        <w:t>stanje potraživanja na dan 30. lipnja 2025.g. iznosi 140.593,01€, a odnosi se na potraživanja za upravne i administrativne pristojbe, pristojbe po posebnim propisima i naknade (nenaplaćena potraživanja od naših korisnika ili njihovih obveznika plaćanja za sredstva kojima se sufinancira usluga smještaja u Domu) u iznosu 3.620,74€, ostala potraživanja (potraživanja prema Hrvatskom zavodu za zdravstveno osiguranje na ime isplaćenih naknada plaća djelatnicima za vrijeme bolovanja) u iznosu 3.497,51€, te potraživanja za prihode iz proračuna (potraživanja iz proračuna Općine Konavle za uplaćene, a neutrošene vlastite prihode Doma) u iznosu 133.474,76€.</w:t>
      </w:r>
    </w:p>
    <w:p w14:paraId="7268B1D3" w14:textId="77777777" w:rsidR="00E32306" w:rsidRPr="00E32306" w:rsidRDefault="00E32306" w:rsidP="00E32306">
      <w:pPr>
        <w:numPr>
          <w:ilvl w:val="0"/>
          <w:numId w:val="34"/>
        </w:numPr>
        <w:contextualSpacing/>
        <w:jc w:val="both"/>
        <w:rPr>
          <w:rFonts w:ascii="Arial" w:eastAsia="Calibri" w:hAnsi="Arial" w:cs="Arial"/>
          <w:sz w:val="20"/>
          <w:szCs w:val="20"/>
          <w:lang w:eastAsia="en-US"/>
        </w:rPr>
      </w:pPr>
      <w:r w:rsidRPr="00E32306">
        <w:rPr>
          <w:rFonts w:ascii="Arial" w:eastAsia="Calibri" w:hAnsi="Arial" w:cs="Arial"/>
          <w:sz w:val="20"/>
          <w:szCs w:val="20"/>
          <w:lang w:eastAsia="en-US"/>
        </w:rPr>
        <w:t>dospjele obveze na dan 30. lipnja 2025.g. iznose 550,00€ i odnose se na 2 računa istog dobavljača koji je kasnio sa isporukom e-računa</w:t>
      </w:r>
    </w:p>
    <w:p w14:paraId="357AE437" w14:textId="77777777" w:rsidR="00E32306" w:rsidRPr="00E32306" w:rsidRDefault="00E32306" w:rsidP="00E32306">
      <w:pPr>
        <w:numPr>
          <w:ilvl w:val="0"/>
          <w:numId w:val="34"/>
        </w:numPr>
        <w:contextualSpacing/>
        <w:jc w:val="both"/>
        <w:rPr>
          <w:rFonts w:ascii="Arial" w:eastAsia="Calibri" w:hAnsi="Arial" w:cs="Arial"/>
          <w:sz w:val="20"/>
          <w:szCs w:val="20"/>
          <w:lang w:eastAsia="en-US"/>
        </w:rPr>
      </w:pPr>
      <w:r w:rsidRPr="00E32306">
        <w:rPr>
          <w:rFonts w:ascii="Arial" w:eastAsia="Calibri" w:hAnsi="Arial" w:cs="Arial"/>
          <w:sz w:val="20"/>
          <w:szCs w:val="20"/>
          <w:lang w:eastAsia="en-US"/>
        </w:rPr>
        <w:t>potencijalnih obveza po osnovi sudskih sporova na dan 30. lipnja 2025.godine nema</w:t>
      </w:r>
    </w:p>
    <w:p w14:paraId="4691CF7F" w14:textId="77777777" w:rsidR="00E32306" w:rsidRPr="00E32306" w:rsidRDefault="00E32306" w:rsidP="00E32306">
      <w:pPr>
        <w:numPr>
          <w:ilvl w:val="0"/>
          <w:numId w:val="34"/>
        </w:numPr>
        <w:contextualSpacing/>
        <w:jc w:val="both"/>
        <w:rPr>
          <w:rFonts w:ascii="Arial" w:eastAsia="Calibri" w:hAnsi="Arial" w:cs="Arial"/>
          <w:sz w:val="20"/>
          <w:szCs w:val="20"/>
          <w:lang w:eastAsia="en-US"/>
        </w:rPr>
      </w:pPr>
      <w:r w:rsidRPr="00E32306">
        <w:rPr>
          <w:rFonts w:ascii="Arial" w:eastAsia="Calibri" w:hAnsi="Arial" w:cs="Arial"/>
          <w:sz w:val="20"/>
          <w:szCs w:val="20"/>
          <w:lang w:eastAsia="en-US"/>
        </w:rPr>
        <w:t>na dan 30. lipnja 2025.g. u Domu je zaposlen 41 djelatnik</w:t>
      </w:r>
    </w:p>
    <w:p w14:paraId="18A879B1" w14:textId="77777777" w:rsidR="00C831A5" w:rsidRPr="00C831A5" w:rsidRDefault="00C831A5" w:rsidP="00731E7F">
      <w:pPr>
        <w:spacing w:after="0" w:line="240" w:lineRule="auto"/>
        <w:ind w:left="720"/>
        <w:contextualSpacing/>
        <w:jc w:val="both"/>
        <w:rPr>
          <w:rFonts w:ascii="Arial" w:eastAsia="Calibri" w:hAnsi="Arial" w:cs="Arial"/>
          <w:sz w:val="20"/>
          <w:szCs w:val="20"/>
          <w:lang w:eastAsia="en-US"/>
        </w:rPr>
      </w:pPr>
    </w:p>
    <w:p w14:paraId="44568338" w14:textId="591A4A6B" w:rsidR="003752B9" w:rsidRPr="003A2F86" w:rsidRDefault="003752B9" w:rsidP="00731E7F">
      <w:pPr>
        <w:spacing w:after="0" w:line="240" w:lineRule="auto"/>
        <w:contextualSpacing/>
        <w:rPr>
          <w:rFonts w:ascii="Arial" w:eastAsia="Calibri" w:hAnsi="Arial" w:cs="Arial"/>
        </w:rPr>
      </w:pPr>
      <w:r w:rsidRPr="003A2F86">
        <w:rPr>
          <w:rFonts w:ascii="Arial" w:eastAsia="Calibri" w:hAnsi="Arial" w:cs="Arial"/>
        </w:rPr>
        <w:br w:type="page"/>
      </w:r>
    </w:p>
    <w:p w14:paraId="534F89C4" w14:textId="23597735" w:rsidR="003752B9" w:rsidRPr="003A2F86" w:rsidRDefault="00795CD9" w:rsidP="0004293C">
      <w:pPr>
        <w:pStyle w:val="Naslov3"/>
        <w:jc w:val="center"/>
        <w:rPr>
          <w:rFonts w:ascii="Arial" w:eastAsia="Calibri" w:hAnsi="Arial" w:cs="Arial"/>
          <w:sz w:val="22"/>
          <w:lang w:val="hr-HR"/>
        </w:rPr>
      </w:pPr>
      <w:bookmarkStart w:id="359" w:name="_3.4.3._GLAVA:_(020"/>
      <w:bookmarkStart w:id="360" w:name="_Toc207707480"/>
      <w:bookmarkEnd w:id="359"/>
      <w:r w:rsidRPr="003A2F86">
        <w:rPr>
          <w:rFonts w:ascii="Arial" w:eastAsia="Calibri" w:hAnsi="Arial" w:cs="Arial"/>
          <w:sz w:val="22"/>
          <w:lang w:val="hr-HR"/>
        </w:rPr>
        <w:lastRenderedPageBreak/>
        <w:t>3</w:t>
      </w:r>
      <w:r w:rsidR="0004293C" w:rsidRPr="003A2F86">
        <w:rPr>
          <w:rFonts w:ascii="Arial" w:eastAsia="Calibri" w:hAnsi="Arial" w:cs="Arial"/>
          <w:sz w:val="22"/>
          <w:lang w:val="hr-HR"/>
        </w:rPr>
        <w:t>.</w:t>
      </w:r>
      <w:r w:rsidR="00375FAF" w:rsidRPr="003A2F86">
        <w:rPr>
          <w:rFonts w:ascii="Arial" w:eastAsia="Calibri" w:hAnsi="Arial" w:cs="Arial"/>
          <w:sz w:val="22"/>
          <w:lang w:val="hr-HR"/>
        </w:rPr>
        <w:t>4</w:t>
      </w:r>
      <w:r w:rsidR="003752B9" w:rsidRPr="003A2F86">
        <w:rPr>
          <w:rFonts w:ascii="Arial" w:eastAsia="Calibri" w:hAnsi="Arial" w:cs="Arial"/>
          <w:sz w:val="22"/>
          <w:lang w:val="hr-HR"/>
        </w:rPr>
        <w:t>.</w:t>
      </w:r>
      <w:r w:rsidR="002B6F08" w:rsidRPr="003A2F86">
        <w:rPr>
          <w:rFonts w:ascii="Arial" w:eastAsia="Calibri" w:hAnsi="Arial" w:cs="Arial"/>
          <w:sz w:val="22"/>
          <w:lang w:val="hr-HR"/>
        </w:rPr>
        <w:t>3.</w:t>
      </w:r>
      <w:r w:rsidR="003752B9" w:rsidRPr="003A2F86">
        <w:rPr>
          <w:rFonts w:ascii="Arial" w:eastAsia="Calibri" w:hAnsi="Arial" w:cs="Arial"/>
          <w:sz w:val="22"/>
          <w:lang w:val="hr-HR"/>
        </w:rPr>
        <w:tab/>
        <w:t>GLAVA: (020 05) USTANOVA PREDŠKOLSKOG ODGOJA</w:t>
      </w:r>
      <w:r w:rsidR="001F07A0" w:rsidRPr="003A2F86">
        <w:rPr>
          <w:rFonts w:ascii="Arial" w:eastAsia="Calibri" w:hAnsi="Arial" w:cs="Arial"/>
          <w:sz w:val="22"/>
          <w:lang w:val="hr-HR"/>
        </w:rPr>
        <w:t xml:space="preserve"> – DJEČJI VRTIĆ KONAVLE</w:t>
      </w:r>
      <w:bookmarkEnd w:id="360"/>
    </w:p>
    <w:p w14:paraId="2D65083C" w14:textId="77777777" w:rsidR="003752B9" w:rsidRPr="003A2F86" w:rsidRDefault="003752B9" w:rsidP="003752B9">
      <w:pPr>
        <w:autoSpaceDE w:val="0"/>
        <w:autoSpaceDN w:val="0"/>
        <w:adjustRightInd w:val="0"/>
        <w:spacing w:after="0" w:line="240" w:lineRule="auto"/>
        <w:jc w:val="both"/>
        <w:rPr>
          <w:rFonts w:ascii="Arial" w:eastAsia="Calibri" w:hAnsi="Arial" w:cs="Arial"/>
          <w:sz w:val="20"/>
          <w:szCs w:val="20"/>
        </w:rPr>
      </w:pPr>
    </w:p>
    <w:p w14:paraId="17F9AC15" w14:textId="77777777" w:rsidR="00F26861" w:rsidRPr="003A2F86" w:rsidRDefault="00F26861" w:rsidP="00F26861">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U razdjelu 020 UPRAVNI ODJEL ZA OPĆE POSLOVE, MJESNU SAMOUPRAVU I DRUŠTVENE DJELATNOSTI, glava 020 05 Ustanova predškolskog odgoja, izvodi se jedan program. </w:t>
      </w:r>
    </w:p>
    <w:p w14:paraId="604B63A4" w14:textId="77777777" w:rsidR="00F26861" w:rsidRPr="003A2F86" w:rsidRDefault="00F26861" w:rsidP="00F26861">
      <w:pPr>
        <w:spacing w:after="0" w:line="240" w:lineRule="auto"/>
        <w:jc w:val="both"/>
        <w:rPr>
          <w:rFonts w:ascii="Arial" w:eastAsia="Calibri" w:hAnsi="Arial" w:cs="Arial"/>
          <w:sz w:val="20"/>
          <w:szCs w:val="20"/>
        </w:rPr>
      </w:pPr>
    </w:p>
    <w:p w14:paraId="3DABA968" w14:textId="652DA12E" w:rsidR="00EA79CE" w:rsidRPr="003A2F86" w:rsidRDefault="00F26861" w:rsidP="003D18D4">
      <w:pPr>
        <w:pStyle w:val="Naslov3"/>
        <w:rPr>
          <w:rFonts w:eastAsia="Calibri"/>
          <w:lang w:val="hr-HR"/>
        </w:rPr>
      </w:pPr>
      <w:bookmarkStart w:id="361" w:name="_Toc36842172"/>
      <w:bookmarkStart w:id="362" w:name="_Toc207707481"/>
      <w:r w:rsidRPr="003A2F86">
        <w:rPr>
          <w:rFonts w:eastAsia="Calibri"/>
          <w:lang w:val="hr-HR"/>
        </w:rPr>
        <w:t>Program (2051): Odgoj, naobrazba i skrb o predškolskoj djeci</w:t>
      </w:r>
      <w:bookmarkEnd w:id="361"/>
      <w:bookmarkEnd w:id="362"/>
    </w:p>
    <w:p w14:paraId="1FE499E1" w14:textId="77777777" w:rsidR="003D18D4" w:rsidRPr="003A2F86" w:rsidRDefault="003D18D4" w:rsidP="003D18D4">
      <w:pPr>
        <w:spacing w:after="0" w:line="240" w:lineRule="auto"/>
        <w:rPr>
          <w:lang w:eastAsia="en-US"/>
        </w:rPr>
      </w:pPr>
    </w:p>
    <w:p w14:paraId="3008F298" w14:textId="77777777" w:rsidR="00F26861" w:rsidRPr="003A2F86" w:rsidRDefault="00F26861" w:rsidP="00F26861">
      <w:pPr>
        <w:spacing w:after="0" w:line="240" w:lineRule="auto"/>
        <w:jc w:val="both"/>
        <w:rPr>
          <w:rFonts w:ascii="Arial" w:eastAsia="Calibri" w:hAnsi="Arial" w:cs="Arial"/>
          <w:sz w:val="20"/>
          <w:szCs w:val="20"/>
        </w:rPr>
      </w:pPr>
      <w:r w:rsidRPr="003A2F86">
        <w:rPr>
          <w:rFonts w:ascii="Arial" w:eastAsia="Calibri" w:hAnsi="Arial" w:cs="Arial"/>
          <w:noProof/>
          <w:sz w:val="20"/>
          <w:szCs w:val="20"/>
        </w:rPr>
        <w:drawing>
          <wp:inline distT="0" distB="0" distL="0" distR="0" wp14:anchorId="15E32968" wp14:editId="46B84A21">
            <wp:extent cx="6115050" cy="190500"/>
            <wp:effectExtent l="0" t="0" r="0" b="0"/>
            <wp:docPr id="763"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5050" cy="190500"/>
                    </a:xfrm>
                    <a:prstGeom prst="rect">
                      <a:avLst/>
                    </a:prstGeom>
                    <a:noFill/>
                    <a:ln>
                      <a:noFill/>
                    </a:ln>
                  </pic:spPr>
                </pic:pic>
              </a:graphicData>
            </a:graphic>
          </wp:inline>
        </w:drawing>
      </w:r>
    </w:p>
    <w:p w14:paraId="624F8762" w14:textId="77777777" w:rsidR="00F26861" w:rsidRPr="003A2F86" w:rsidRDefault="00F26861" w:rsidP="00F26861">
      <w:pPr>
        <w:spacing w:after="0" w:line="240" w:lineRule="auto"/>
        <w:jc w:val="both"/>
        <w:rPr>
          <w:rFonts w:ascii="Arial" w:eastAsia="Calibri" w:hAnsi="Arial" w:cs="Arial"/>
          <w:sz w:val="20"/>
          <w:szCs w:val="20"/>
        </w:rPr>
      </w:pPr>
    </w:p>
    <w:p w14:paraId="36B5127D" w14:textId="77777777" w:rsidR="00E5761E" w:rsidRPr="003A2F86" w:rsidRDefault="00E5761E" w:rsidP="00E5761E">
      <w:pPr>
        <w:spacing w:after="0" w:line="240" w:lineRule="auto"/>
        <w:jc w:val="both"/>
        <w:rPr>
          <w:rFonts w:ascii="Arial" w:eastAsia="Calibri" w:hAnsi="Arial" w:cs="Arial"/>
          <w:sz w:val="20"/>
          <w:szCs w:val="20"/>
        </w:rPr>
      </w:pPr>
      <w:r w:rsidRPr="003A2F86">
        <w:rPr>
          <w:rFonts w:ascii="Arial" w:eastAsia="Calibri" w:hAnsi="Arial" w:cs="Arial"/>
          <w:sz w:val="20"/>
          <w:szCs w:val="20"/>
        </w:rPr>
        <w:t>Dječji vrtić Konavle osnovan je kao javna ustanova koja će u okviru djelatnosti ranog i predškolskog odgoja i obrazovanja ostvarivati programe kojima će se poticati cjeloviti razvoj i integrirano učenje djece rane i predškolske dobi, razvoj dječjih kompetencija, poštivanje različitosti te osigurati njegu i skrb za djecu predškolskog uzrasta.</w:t>
      </w:r>
    </w:p>
    <w:p w14:paraId="5B931E0D" w14:textId="77777777" w:rsidR="00E5761E" w:rsidRPr="003A2F86" w:rsidRDefault="00E5761E" w:rsidP="00E5761E">
      <w:pPr>
        <w:spacing w:after="0" w:line="240" w:lineRule="auto"/>
        <w:jc w:val="both"/>
        <w:rPr>
          <w:rFonts w:ascii="Arial" w:eastAsia="Calibri" w:hAnsi="Arial" w:cs="Arial"/>
          <w:sz w:val="20"/>
          <w:szCs w:val="20"/>
        </w:rPr>
      </w:pPr>
    </w:p>
    <w:p w14:paraId="35F4ADFE" w14:textId="77777777" w:rsidR="00E5761E" w:rsidRPr="003A2F86" w:rsidRDefault="00E5761E" w:rsidP="00E5761E">
      <w:pPr>
        <w:spacing w:after="0" w:line="240" w:lineRule="auto"/>
        <w:jc w:val="both"/>
        <w:rPr>
          <w:rFonts w:ascii="Arial" w:eastAsia="Calibri" w:hAnsi="Arial" w:cs="Arial"/>
          <w:sz w:val="20"/>
          <w:szCs w:val="20"/>
        </w:rPr>
      </w:pPr>
      <w:r w:rsidRPr="003A2F86">
        <w:rPr>
          <w:rFonts w:ascii="Arial" w:eastAsia="Calibri" w:hAnsi="Arial" w:cs="Arial"/>
          <w:sz w:val="20"/>
          <w:szCs w:val="20"/>
        </w:rPr>
        <w:t>Utemeljena je 1998. godine, nakon razdruživanja od Dječjih vrtića Dubrovnik u sastavu kojih je bila od 1980. g. Ustanova je upisana u Trgovački sud u Splitu pod registarskim brojem (MBS) 060100807 -  2. veljače 1998. godine. Osnivač ustanove je Općina Konavle.</w:t>
      </w:r>
    </w:p>
    <w:p w14:paraId="4D1B4EA8" w14:textId="77777777" w:rsidR="003752B9" w:rsidRPr="003A2F86" w:rsidRDefault="003752B9" w:rsidP="003752B9">
      <w:pPr>
        <w:spacing w:after="0" w:line="240" w:lineRule="auto"/>
        <w:rPr>
          <w:rFonts w:ascii="Times New Roman" w:eastAsia="Times New Roman" w:hAnsi="Times New Roman" w:cs="Arial"/>
          <w:sz w:val="20"/>
          <w:szCs w:val="20"/>
          <w:lang w:eastAsia="en-U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2422"/>
      </w:tblGrid>
      <w:tr w:rsidR="007B04D0" w:rsidRPr="007B04D0" w14:paraId="05965ACA" w14:textId="77777777" w:rsidTr="00E5761E">
        <w:tc>
          <w:tcPr>
            <w:tcW w:w="1683" w:type="dxa"/>
            <w:tcBorders>
              <w:top w:val="dotted" w:sz="4" w:space="0" w:color="auto"/>
              <w:left w:val="dotted" w:sz="4" w:space="0" w:color="auto"/>
              <w:bottom w:val="dotted" w:sz="4" w:space="0" w:color="auto"/>
              <w:right w:val="dotted" w:sz="4" w:space="0" w:color="auto"/>
            </w:tcBorders>
          </w:tcPr>
          <w:p w14:paraId="2BA54FE9" w14:textId="77777777" w:rsidR="003752B9" w:rsidRPr="00731E7F" w:rsidRDefault="003752B9" w:rsidP="003752B9">
            <w:pPr>
              <w:spacing w:after="0" w:line="240" w:lineRule="auto"/>
              <w:rPr>
                <w:rFonts w:ascii="Arial" w:eastAsia="Calibri" w:hAnsi="Arial" w:cs="Arial"/>
                <w:sz w:val="20"/>
                <w:szCs w:val="20"/>
              </w:rPr>
            </w:pPr>
            <w:r w:rsidRPr="00731E7F">
              <w:rPr>
                <w:rFonts w:ascii="Arial" w:eastAsia="Calibri" w:hAnsi="Arial" w:cs="Arial"/>
                <w:sz w:val="20"/>
                <w:szCs w:val="20"/>
              </w:rPr>
              <w:t>OPIS PROGRAMA:</w:t>
            </w:r>
          </w:p>
          <w:p w14:paraId="7FF75F0E" w14:textId="77777777" w:rsidR="003752B9" w:rsidRPr="00731E7F" w:rsidRDefault="003752B9" w:rsidP="003752B9">
            <w:pPr>
              <w:spacing w:after="0" w:line="240" w:lineRule="auto"/>
              <w:rPr>
                <w:rFonts w:ascii="Arial" w:eastAsia="Calibri" w:hAnsi="Arial" w:cs="Arial"/>
                <w:sz w:val="20"/>
                <w:szCs w:val="20"/>
              </w:rPr>
            </w:pPr>
          </w:p>
          <w:p w14:paraId="50068BE1" w14:textId="77777777" w:rsidR="003752B9" w:rsidRPr="00731E7F" w:rsidRDefault="003752B9" w:rsidP="003752B9">
            <w:pPr>
              <w:spacing w:after="0" w:line="240" w:lineRule="auto"/>
              <w:rPr>
                <w:rFonts w:ascii="Arial" w:eastAsia="Calibri" w:hAnsi="Arial" w:cs="Arial"/>
                <w:sz w:val="20"/>
                <w:szCs w:val="20"/>
              </w:rPr>
            </w:pPr>
            <w:r w:rsidRPr="00731E7F">
              <w:rPr>
                <w:rFonts w:ascii="Arial" w:eastAsia="Calibri" w:hAnsi="Arial" w:cs="Arial"/>
                <w:sz w:val="20"/>
                <w:szCs w:val="20"/>
              </w:rPr>
              <w:t>- kako će se nastojati realizirati program, tko je korisnik usluge</w:t>
            </w:r>
          </w:p>
          <w:p w14:paraId="263110E1" w14:textId="77777777" w:rsidR="003752B9" w:rsidRPr="00731E7F" w:rsidRDefault="003752B9" w:rsidP="003752B9">
            <w:pPr>
              <w:spacing w:after="0" w:line="240" w:lineRule="auto"/>
              <w:rPr>
                <w:rFonts w:ascii="Arial" w:eastAsia="Calibri" w:hAnsi="Arial" w:cs="Arial"/>
                <w:sz w:val="20"/>
                <w:szCs w:val="20"/>
              </w:rPr>
            </w:pPr>
            <w:r w:rsidRPr="00731E7F">
              <w:rPr>
                <w:rFonts w:ascii="Arial" w:eastAsia="Calibri" w:hAnsi="Arial" w:cs="Arial"/>
                <w:sz w:val="20"/>
                <w:szCs w:val="20"/>
              </w:rPr>
              <w:t xml:space="preserve">(tj. način ostvarenja cilja programa) </w:t>
            </w:r>
          </w:p>
          <w:p w14:paraId="43614EEC" w14:textId="77777777" w:rsidR="003752B9" w:rsidRPr="00731E7F" w:rsidRDefault="003752B9" w:rsidP="003752B9">
            <w:pPr>
              <w:spacing w:after="0" w:line="240" w:lineRule="auto"/>
              <w:rPr>
                <w:rFonts w:ascii="Arial" w:eastAsia="Calibri" w:hAnsi="Arial" w:cs="Arial"/>
                <w:sz w:val="20"/>
                <w:szCs w:val="20"/>
              </w:rPr>
            </w:pPr>
          </w:p>
        </w:tc>
        <w:tc>
          <w:tcPr>
            <w:tcW w:w="12600" w:type="dxa"/>
            <w:tcBorders>
              <w:top w:val="dotted" w:sz="4" w:space="0" w:color="auto"/>
              <w:left w:val="dotted" w:sz="4" w:space="0" w:color="auto"/>
              <w:bottom w:val="dotted" w:sz="4" w:space="0" w:color="auto"/>
              <w:right w:val="dotted" w:sz="4" w:space="0" w:color="auto"/>
            </w:tcBorders>
          </w:tcPr>
          <w:p w14:paraId="6311C100" w14:textId="77777777" w:rsidR="003752B9" w:rsidRPr="00FC4236" w:rsidRDefault="003752B9" w:rsidP="00DE7911">
            <w:pPr>
              <w:spacing w:after="0" w:line="240" w:lineRule="auto"/>
              <w:rPr>
                <w:rFonts w:ascii="Arial" w:hAnsi="Arial" w:cs="Arial"/>
                <w:sz w:val="20"/>
                <w:szCs w:val="20"/>
                <w:lang w:eastAsia="en-US"/>
              </w:rPr>
            </w:pPr>
            <w:r w:rsidRPr="00FC4236">
              <w:rPr>
                <w:rFonts w:ascii="Arial" w:hAnsi="Arial" w:cs="Arial"/>
                <w:sz w:val="20"/>
                <w:szCs w:val="20"/>
                <w:lang w:eastAsia="en-US"/>
              </w:rPr>
              <w:t>Programom se omogućuje svakom djetetu prvo na razvoj usklađen s njegovim individualnim mogućnostima i sposobnostima. Osiguravaju se institucionalni i izvaninstitucionalni oblici predškolskog odgoja, pomaže se zaposlenim roditeljima u odgoju i skrbi o djeci te se na taj način unapređuje obiteljski odgoj. Stvaraju se uvjeti za očuvanje zdravlja djece i razvoj emocionalne stabilnosti i stabilizacije. Osigurava se ostvarivanje redovitih programa odgoja, naobrazbe, njege, zdravstvene zaštite, prehrane i socijalne skrbi djece koji su prilagođeni razvojnim potrebama djece, te njihovim mogućnostima i sposobnostima.</w:t>
            </w:r>
          </w:p>
          <w:p w14:paraId="3B2609A6" w14:textId="77777777" w:rsidR="003752B9" w:rsidRPr="00FC4236" w:rsidRDefault="003752B9" w:rsidP="00DE7911">
            <w:pPr>
              <w:spacing w:after="0" w:line="240" w:lineRule="auto"/>
              <w:rPr>
                <w:rFonts w:ascii="Arial" w:hAnsi="Arial" w:cs="Arial"/>
                <w:sz w:val="20"/>
                <w:szCs w:val="20"/>
                <w:lang w:eastAsia="en-US"/>
              </w:rPr>
            </w:pPr>
            <w:r w:rsidRPr="00FC4236">
              <w:rPr>
                <w:rFonts w:ascii="Arial" w:hAnsi="Arial" w:cs="Arial"/>
                <w:sz w:val="20"/>
                <w:szCs w:val="20"/>
                <w:lang w:eastAsia="en-US"/>
              </w:rPr>
              <w:t xml:space="preserve">Ova aktivnost uključuje redovnu djelatnost vrtića: odgojno obrazovni rad, naobrazbu i usavršavanje odgojitelja, njegu i skrb za tjelesni rast i zdravlje djece, suradnju s roditeljima i drugo. </w:t>
            </w:r>
          </w:p>
          <w:p w14:paraId="3D4CE751" w14:textId="77777777" w:rsidR="003752B9" w:rsidRPr="00FC4236" w:rsidRDefault="003752B9" w:rsidP="00DE7911">
            <w:pPr>
              <w:spacing w:after="0" w:line="240" w:lineRule="auto"/>
              <w:rPr>
                <w:rFonts w:ascii="Arial" w:hAnsi="Arial" w:cs="Arial"/>
                <w:sz w:val="20"/>
                <w:szCs w:val="20"/>
                <w:lang w:eastAsia="en-US"/>
              </w:rPr>
            </w:pPr>
          </w:p>
          <w:p w14:paraId="4A52E93D" w14:textId="77777777" w:rsidR="003752B9" w:rsidRPr="00FC4236" w:rsidRDefault="003752B9" w:rsidP="00DE7911">
            <w:pPr>
              <w:spacing w:after="0" w:line="240" w:lineRule="auto"/>
              <w:rPr>
                <w:rFonts w:ascii="Arial" w:hAnsi="Arial" w:cs="Arial"/>
                <w:sz w:val="20"/>
                <w:szCs w:val="20"/>
                <w:lang w:eastAsia="en-US"/>
              </w:rPr>
            </w:pPr>
            <w:r w:rsidRPr="00FC4236">
              <w:rPr>
                <w:rFonts w:ascii="Arial" w:hAnsi="Arial" w:cs="Arial"/>
                <w:sz w:val="20"/>
                <w:szCs w:val="20"/>
                <w:lang w:eastAsia="en-US"/>
              </w:rPr>
              <w:t xml:space="preserve">Program se realizira na temelju saznanja u primjeni suvremenih znanstvenih dostignuća o ranom razvoju djece, metodama rada s djecom i njihovim roditeljima. </w:t>
            </w:r>
          </w:p>
          <w:p w14:paraId="69CAA8B1" w14:textId="77777777" w:rsidR="003752B9" w:rsidRPr="00FC4236" w:rsidRDefault="003752B9" w:rsidP="00DE7911">
            <w:pPr>
              <w:spacing w:after="0" w:line="240" w:lineRule="auto"/>
              <w:rPr>
                <w:rFonts w:ascii="Arial" w:hAnsi="Arial" w:cs="Arial"/>
                <w:sz w:val="20"/>
                <w:szCs w:val="20"/>
                <w:lang w:eastAsia="en-US"/>
              </w:rPr>
            </w:pPr>
          </w:p>
          <w:p w14:paraId="0362666A" w14:textId="77777777" w:rsidR="00C072ED" w:rsidRPr="00FC4236" w:rsidRDefault="003752B9" w:rsidP="00DE7911">
            <w:pPr>
              <w:spacing w:after="0" w:line="240" w:lineRule="auto"/>
              <w:rPr>
                <w:rFonts w:ascii="Arial" w:hAnsi="Arial" w:cs="Arial"/>
                <w:sz w:val="20"/>
                <w:szCs w:val="20"/>
                <w:lang w:eastAsia="en-US"/>
              </w:rPr>
            </w:pPr>
            <w:r w:rsidRPr="00FC4236">
              <w:rPr>
                <w:rFonts w:ascii="Arial" w:hAnsi="Arial" w:cs="Arial"/>
                <w:sz w:val="20"/>
                <w:szCs w:val="20"/>
                <w:lang w:eastAsia="en-US"/>
              </w:rPr>
              <w:t>Korisnici usluga - djeca koja imaju boravište ili prebivalište na području opć</w:t>
            </w:r>
            <w:r w:rsidR="00AC079F" w:rsidRPr="00FC4236">
              <w:rPr>
                <w:rFonts w:ascii="Arial" w:hAnsi="Arial" w:cs="Arial"/>
                <w:sz w:val="20"/>
                <w:szCs w:val="20"/>
                <w:lang w:eastAsia="en-US"/>
              </w:rPr>
              <w:t>ine Konavle i njihovi roditelji.</w:t>
            </w:r>
            <w:r w:rsidRPr="00FC4236">
              <w:rPr>
                <w:rFonts w:ascii="Arial" w:hAnsi="Arial" w:cs="Arial"/>
                <w:sz w:val="20"/>
                <w:szCs w:val="20"/>
                <w:lang w:eastAsia="en-US"/>
              </w:rPr>
              <w:t xml:space="preserve"> </w:t>
            </w:r>
          </w:p>
          <w:p w14:paraId="5AA20E41" w14:textId="57641042" w:rsidR="00C072ED" w:rsidRPr="00FC4236" w:rsidRDefault="00C072ED" w:rsidP="00DE7911">
            <w:pPr>
              <w:spacing w:after="0" w:line="240" w:lineRule="auto"/>
              <w:rPr>
                <w:rFonts w:ascii="Arial" w:hAnsi="Arial" w:cs="Arial"/>
                <w:sz w:val="20"/>
                <w:szCs w:val="20"/>
              </w:rPr>
            </w:pPr>
          </w:p>
          <w:p w14:paraId="75F99989" w14:textId="50AED229" w:rsidR="005E6F0D" w:rsidRPr="00FC4236" w:rsidRDefault="005E6F0D" w:rsidP="00DE7911">
            <w:pPr>
              <w:spacing w:after="0" w:line="240" w:lineRule="auto"/>
              <w:rPr>
                <w:rFonts w:ascii="Arial" w:hAnsi="Arial" w:cs="Arial"/>
                <w:sz w:val="20"/>
                <w:szCs w:val="20"/>
              </w:rPr>
            </w:pPr>
            <w:r w:rsidRPr="00FC4236">
              <w:rPr>
                <w:rFonts w:ascii="Arial" w:hAnsi="Arial" w:cs="Arial"/>
                <w:sz w:val="20"/>
                <w:szCs w:val="20"/>
              </w:rPr>
              <w:t>Pedagoška godina</w:t>
            </w:r>
            <w:r w:rsidR="008E43EA" w:rsidRPr="00FC4236">
              <w:rPr>
                <w:rFonts w:ascii="Arial" w:hAnsi="Arial" w:cs="Arial"/>
                <w:sz w:val="20"/>
                <w:szCs w:val="20"/>
              </w:rPr>
              <w:t xml:space="preserve"> 202</w:t>
            </w:r>
            <w:r w:rsidR="007B04D0" w:rsidRPr="00FC4236">
              <w:rPr>
                <w:rFonts w:ascii="Arial" w:hAnsi="Arial" w:cs="Arial"/>
                <w:sz w:val="20"/>
                <w:szCs w:val="20"/>
              </w:rPr>
              <w:t>2</w:t>
            </w:r>
            <w:r w:rsidR="008E43EA" w:rsidRPr="00FC4236">
              <w:rPr>
                <w:rFonts w:ascii="Arial" w:hAnsi="Arial" w:cs="Arial"/>
                <w:sz w:val="20"/>
                <w:szCs w:val="20"/>
              </w:rPr>
              <w:t>/202</w:t>
            </w:r>
            <w:r w:rsidR="007B04D0" w:rsidRPr="00FC4236">
              <w:rPr>
                <w:rFonts w:ascii="Arial" w:hAnsi="Arial" w:cs="Arial"/>
                <w:sz w:val="20"/>
                <w:szCs w:val="20"/>
              </w:rPr>
              <w:t>3</w:t>
            </w:r>
            <w:r w:rsidRPr="00FC4236">
              <w:rPr>
                <w:rFonts w:ascii="Arial" w:hAnsi="Arial" w:cs="Arial"/>
                <w:sz w:val="20"/>
                <w:szCs w:val="20"/>
              </w:rPr>
              <w:t xml:space="preserve"> započinje 01.9.20</w:t>
            </w:r>
            <w:r w:rsidR="007B04D0" w:rsidRPr="00FC4236">
              <w:rPr>
                <w:rFonts w:ascii="Arial" w:hAnsi="Arial" w:cs="Arial"/>
                <w:sz w:val="20"/>
                <w:szCs w:val="20"/>
              </w:rPr>
              <w:t>22</w:t>
            </w:r>
            <w:r w:rsidRPr="00FC4236">
              <w:rPr>
                <w:rFonts w:ascii="Arial" w:hAnsi="Arial" w:cs="Arial"/>
                <w:sz w:val="20"/>
                <w:szCs w:val="20"/>
              </w:rPr>
              <w:t>. g. i traj</w:t>
            </w:r>
            <w:r w:rsidR="00683DF3" w:rsidRPr="00FC4236">
              <w:rPr>
                <w:rFonts w:ascii="Arial" w:hAnsi="Arial" w:cs="Arial"/>
                <w:sz w:val="20"/>
                <w:szCs w:val="20"/>
              </w:rPr>
              <w:t>ala j</w:t>
            </w:r>
            <w:r w:rsidRPr="00FC4236">
              <w:rPr>
                <w:rFonts w:ascii="Arial" w:hAnsi="Arial" w:cs="Arial"/>
                <w:sz w:val="20"/>
                <w:szCs w:val="20"/>
              </w:rPr>
              <w:t>e do 31.08.202</w:t>
            </w:r>
            <w:r w:rsidR="007B04D0" w:rsidRPr="00FC4236">
              <w:rPr>
                <w:rFonts w:ascii="Arial" w:hAnsi="Arial" w:cs="Arial"/>
                <w:sz w:val="20"/>
                <w:szCs w:val="20"/>
              </w:rPr>
              <w:t>3</w:t>
            </w:r>
            <w:r w:rsidRPr="00FC4236">
              <w:rPr>
                <w:rFonts w:ascii="Arial" w:hAnsi="Arial" w:cs="Arial"/>
                <w:sz w:val="20"/>
                <w:szCs w:val="20"/>
              </w:rPr>
              <w:t>. g. sa sveukupno upisano 4</w:t>
            </w:r>
            <w:r w:rsidR="007B04D0" w:rsidRPr="00FC4236">
              <w:rPr>
                <w:rFonts w:ascii="Arial" w:hAnsi="Arial" w:cs="Arial"/>
                <w:sz w:val="20"/>
                <w:szCs w:val="20"/>
              </w:rPr>
              <w:t>37</w:t>
            </w:r>
            <w:r w:rsidRPr="00FC4236">
              <w:rPr>
                <w:rFonts w:ascii="Arial" w:hAnsi="Arial" w:cs="Arial"/>
                <w:sz w:val="20"/>
                <w:szCs w:val="20"/>
              </w:rPr>
              <w:t xml:space="preserve">-ero djece i </w:t>
            </w:r>
            <w:r w:rsidR="007B04D0" w:rsidRPr="00FC4236">
              <w:rPr>
                <w:rFonts w:ascii="Arial" w:hAnsi="Arial" w:cs="Arial"/>
                <w:sz w:val="20"/>
                <w:szCs w:val="20"/>
              </w:rPr>
              <w:t>82</w:t>
            </w:r>
            <w:r w:rsidRPr="00FC4236">
              <w:rPr>
                <w:rFonts w:ascii="Arial" w:hAnsi="Arial" w:cs="Arial"/>
                <w:sz w:val="20"/>
                <w:szCs w:val="20"/>
              </w:rPr>
              <w:t>-ero zaposlenih radnika.</w:t>
            </w:r>
          </w:p>
          <w:p w14:paraId="00297084" w14:textId="13E630BF" w:rsidR="0001404F" w:rsidRPr="00FC4236" w:rsidRDefault="0001404F" w:rsidP="00DE7911">
            <w:pPr>
              <w:spacing w:after="0" w:line="240" w:lineRule="auto"/>
              <w:rPr>
                <w:rFonts w:ascii="Arial" w:hAnsi="Arial" w:cs="Arial"/>
                <w:sz w:val="20"/>
                <w:szCs w:val="20"/>
              </w:rPr>
            </w:pPr>
            <w:r w:rsidRPr="00FC4236">
              <w:rPr>
                <w:rFonts w:ascii="Arial" w:hAnsi="Arial" w:cs="Arial"/>
                <w:sz w:val="20"/>
                <w:szCs w:val="20"/>
              </w:rPr>
              <w:t>Pedagoška godina 202</w:t>
            </w:r>
            <w:r w:rsidR="007B04D0" w:rsidRPr="00FC4236">
              <w:rPr>
                <w:rFonts w:ascii="Arial" w:hAnsi="Arial" w:cs="Arial"/>
                <w:sz w:val="20"/>
                <w:szCs w:val="20"/>
              </w:rPr>
              <w:t>3</w:t>
            </w:r>
            <w:r w:rsidRPr="00FC4236">
              <w:rPr>
                <w:rFonts w:ascii="Arial" w:hAnsi="Arial" w:cs="Arial"/>
                <w:sz w:val="20"/>
                <w:szCs w:val="20"/>
              </w:rPr>
              <w:t>/202</w:t>
            </w:r>
            <w:r w:rsidR="007B04D0" w:rsidRPr="00FC4236">
              <w:rPr>
                <w:rFonts w:ascii="Arial" w:hAnsi="Arial" w:cs="Arial"/>
                <w:sz w:val="20"/>
                <w:szCs w:val="20"/>
              </w:rPr>
              <w:t>4</w:t>
            </w:r>
            <w:r w:rsidRPr="00FC4236">
              <w:rPr>
                <w:rFonts w:ascii="Arial" w:hAnsi="Arial" w:cs="Arial"/>
                <w:sz w:val="20"/>
                <w:szCs w:val="20"/>
              </w:rPr>
              <w:t xml:space="preserve"> započinje 01.9.202</w:t>
            </w:r>
            <w:r w:rsidR="007B04D0" w:rsidRPr="00FC4236">
              <w:rPr>
                <w:rFonts w:ascii="Arial" w:hAnsi="Arial" w:cs="Arial"/>
                <w:sz w:val="20"/>
                <w:szCs w:val="20"/>
              </w:rPr>
              <w:t>3</w:t>
            </w:r>
            <w:r w:rsidRPr="00FC4236">
              <w:rPr>
                <w:rFonts w:ascii="Arial" w:hAnsi="Arial" w:cs="Arial"/>
                <w:sz w:val="20"/>
                <w:szCs w:val="20"/>
              </w:rPr>
              <w:t>. g. i traje do 31.08.202</w:t>
            </w:r>
            <w:r w:rsidR="007B04D0" w:rsidRPr="00FC4236">
              <w:rPr>
                <w:rFonts w:ascii="Arial" w:hAnsi="Arial" w:cs="Arial"/>
                <w:sz w:val="20"/>
                <w:szCs w:val="20"/>
              </w:rPr>
              <w:t>4</w:t>
            </w:r>
            <w:r w:rsidRPr="00FC4236">
              <w:rPr>
                <w:rFonts w:ascii="Arial" w:hAnsi="Arial" w:cs="Arial"/>
                <w:sz w:val="20"/>
                <w:szCs w:val="20"/>
              </w:rPr>
              <w:t xml:space="preserve">. g. sa sveukupno upisano </w:t>
            </w:r>
            <w:r w:rsidR="00D72264">
              <w:rPr>
                <w:rFonts w:ascii="Arial" w:hAnsi="Arial" w:cs="Arial"/>
                <w:sz w:val="20"/>
                <w:szCs w:val="20"/>
              </w:rPr>
              <w:t>368-</w:t>
            </w:r>
            <w:r w:rsidRPr="00FC4236">
              <w:rPr>
                <w:rFonts w:ascii="Arial" w:hAnsi="Arial" w:cs="Arial"/>
                <w:sz w:val="20"/>
                <w:szCs w:val="20"/>
              </w:rPr>
              <w:t xml:space="preserve">ero djece i </w:t>
            </w:r>
            <w:r w:rsidR="00D72264">
              <w:rPr>
                <w:rFonts w:ascii="Arial" w:hAnsi="Arial" w:cs="Arial"/>
                <w:sz w:val="20"/>
                <w:szCs w:val="20"/>
              </w:rPr>
              <w:t>101</w:t>
            </w:r>
            <w:r w:rsidRPr="00FC4236">
              <w:rPr>
                <w:rFonts w:ascii="Arial" w:hAnsi="Arial" w:cs="Arial"/>
                <w:sz w:val="20"/>
                <w:szCs w:val="20"/>
              </w:rPr>
              <w:t>-ero zaposlenih radnika.</w:t>
            </w:r>
          </w:p>
          <w:p w14:paraId="3B278798" w14:textId="528E579A" w:rsidR="00683DF3" w:rsidRPr="00FC4236" w:rsidRDefault="00683DF3" w:rsidP="00DE7911">
            <w:pPr>
              <w:spacing w:after="0" w:line="240" w:lineRule="auto"/>
              <w:rPr>
                <w:rFonts w:ascii="Arial" w:hAnsi="Arial" w:cs="Arial"/>
                <w:sz w:val="20"/>
                <w:szCs w:val="20"/>
              </w:rPr>
            </w:pPr>
            <w:r w:rsidRPr="00FC4236">
              <w:rPr>
                <w:rFonts w:ascii="Arial" w:hAnsi="Arial" w:cs="Arial"/>
                <w:sz w:val="20"/>
                <w:szCs w:val="20"/>
              </w:rPr>
              <w:t>Pedagoška godina</w:t>
            </w:r>
            <w:r w:rsidR="007B04D0" w:rsidRPr="00FC4236">
              <w:rPr>
                <w:rFonts w:ascii="Arial" w:hAnsi="Arial" w:cs="Arial"/>
                <w:sz w:val="20"/>
                <w:szCs w:val="20"/>
              </w:rPr>
              <w:t xml:space="preserve"> 2024/2025. </w:t>
            </w:r>
            <w:r w:rsidRPr="00FC4236">
              <w:rPr>
                <w:rFonts w:ascii="Arial" w:hAnsi="Arial" w:cs="Arial"/>
                <w:sz w:val="20"/>
                <w:szCs w:val="20"/>
              </w:rPr>
              <w:t xml:space="preserve"> je započela 1. 9. 202</w:t>
            </w:r>
            <w:r w:rsidR="007B04D0" w:rsidRPr="00FC4236">
              <w:rPr>
                <w:rFonts w:ascii="Arial" w:hAnsi="Arial" w:cs="Arial"/>
                <w:sz w:val="20"/>
                <w:szCs w:val="20"/>
              </w:rPr>
              <w:t>4</w:t>
            </w:r>
            <w:r w:rsidRPr="00FC4236">
              <w:rPr>
                <w:rFonts w:ascii="Arial" w:hAnsi="Arial" w:cs="Arial"/>
                <w:sz w:val="20"/>
                <w:szCs w:val="20"/>
              </w:rPr>
              <w:t>. g. i traje do 31.08.202</w:t>
            </w:r>
            <w:r w:rsidR="007B04D0" w:rsidRPr="00FC4236">
              <w:rPr>
                <w:rFonts w:ascii="Arial" w:hAnsi="Arial" w:cs="Arial"/>
                <w:sz w:val="20"/>
                <w:szCs w:val="20"/>
              </w:rPr>
              <w:t>5</w:t>
            </w:r>
            <w:r w:rsidRPr="00FC4236">
              <w:rPr>
                <w:rFonts w:ascii="Arial" w:hAnsi="Arial" w:cs="Arial"/>
                <w:sz w:val="20"/>
                <w:szCs w:val="20"/>
              </w:rPr>
              <w:t xml:space="preserve">. g. sa sveukupno upisano </w:t>
            </w:r>
            <w:r w:rsidR="00D72264">
              <w:rPr>
                <w:rFonts w:ascii="Arial" w:hAnsi="Arial" w:cs="Arial"/>
                <w:sz w:val="20"/>
                <w:szCs w:val="20"/>
              </w:rPr>
              <w:t>444</w:t>
            </w:r>
            <w:r w:rsidRPr="00FC4236">
              <w:rPr>
                <w:rFonts w:ascii="Arial" w:hAnsi="Arial" w:cs="Arial"/>
                <w:sz w:val="20"/>
                <w:szCs w:val="20"/>
              </w:rPr>
              <w:t xml:space="preserve">-ero djece i </w:t>
            </w:r>
            <w:r w:rsidR="007B04D0" w:rsidRPr="00FC4236">
              <w:rPr>
                <w:rFonts w:ascii="Arial" w:hAnsi="Arial" w:cs="Arial"/>
                <w:sz w:val="20"/>
                <w:szCs w:val="20"/>
              </w:rPr>
              <w:t>1</w:t>
            </w:r>
            <w:r w:rsidR="00D72264">
              <w:rPr>
                <w:rFonts w:ascii="Arial" w:hAnsi="Arial" w:cs="Arial"/>
                <w:sz w:val="20"/>
                <w:szCs w:val="20"/>
              </w:rPr>
              <w:t>12</w:t>
            </w:r>
            <w:r w:rsidR="007B04D0" w:rsidRPr="00FC4236">
              <w:rPr>
                <w:rFonts w:ascii="Arial" w:hAnsi="Arial" w:cs="Arial"/>
                <w:sz w:val="20"/>
                <w:szCs w:val="20"/>
              </w:rPr>
              <w:t xml:space="preserve"> </w:t>
            </w:r>
            <w:r w:rsidRPr="00FC4236">
              <w:rPr>
                <w:rFonts w:ascii="Arial" w:hAnsi="Arial" w:cs="Arial"/>
                <w:sz w:val="20"/>
                <w:szCs w:val="20"/>
              </w:rPr>
              <w:t>je zaposlenih radnika.</w:t>
            </w:r>
          </w:p>
          <w:p w14:paraId="0D8C680B" w14:textId="183F7FF4" w:rsidR="00133E09" w:rsidRPr="00FC4236" w:rsidRDefault="00133E09" w:rsidP="00DE7911">
            <w:pPr>
              <w:spacing w:after="0" w:line="240" w:lineRule="auto"/>
              <w:rPr>
                <w:rFonts w:ascii="Arial" w:hAnsi="Arial" w:cs="Arial"/>
                <w:sz w:val="20"/>
                <w:szCs w:val="20"/>
              </w:rPr>
            </w:pPr>
            <w:r w:rsidRPr="00FC4236">
              <w:rPr>
                <w:rFonts w:ascii="Arial" w:hAnsi="Arial" w:cs="Arial"/>
                <w:sz w:val="20"/>
                <w:szCs w:val="20"/>
              </w:rPr>
              <w:t xml:space="preserve">Broj upisane djece </w:t>
            </w:r>
            <w:r w:rsidR="005947F6">
              <w:rPr>
                <w:rFonts w:ascii="Arial" w:hAnsi="Arial" w:cs="Arial"/>
                <w:sz w:val="20"/>
                <w:szCs w:val="20"/>
              </w:rPr>
              <w:t>1.6.2025</w:t>
            </w:r>
            <w:r w:rsidRPr="00FC4236">
              <w:rPr>
                <w:rFonts w:ascii="Arial" w:hAnsi="Arial" w:cs="Arial"/>
                <w:sz w:val="20"/>
                <w:szCs w:val="20"/>
              </w:rPr>
              <w:t xml:space="preserve">. godine je iznosio </w:t>
            </w:r>
            <w:r w:rsidR="007B04D0" w:rsidRPr="00FC4236">
              <w:rPr>
                <w:rFonts w:ascii="Arial" w:hAnsi="Arial" w:cs="Arial"/>
                <w:sz w:val="20"/>
                <w:szCs w:val="20"/>
              </w:rPr>
              <w:t>4</w:t>
            </w:r>
            <w:r w:rsidR="005947F6">
              <w:rPr>
                <w:rFonts w:ascii="Arial" w:hAnsi="Arial" w:cs="Arial"/>
                <w:sz w:val="20"/>
                <w:szCs w:val="20"/>
              </w:rPr>
              <w:t>51.</w:t>
            </w:r>
          </w:p>
          <w:p w14:paraId="665D2F86" w14:textId="76616342" w:rsidR="005C0F8F" w:rsidRPr="00FC4236" w:rsidRDefault="005947F6" w:rsidP="00DE7911">
            <w:pPr>
              <w:spacing w:after="0" w:line="240" w:lineRule="auto"/>
              <w:rPr>
                <w:rFonts w:ascii="Arial" w:hAnsi="Arial" w:cs="Arial"/>
                <w:sz w:val="20"/>
                <w:szCs w:val="20"/>
              </w:rPr>
            </w:pPr>
            <w:r>
              <w:rPr>
                <w:rFonts w:ascii="Arial" w:hAnsi="Arial" w:cs="Arial"/>
                <w:sz w:val="20"/>
                <w:szCs w:val="20"/>
              </w:rPr>
              <w:t>.</w:t>
            </w:r>
          </w:p>
          <w:p w14:paraId="59865B71" w14:textId="33FF6E04" w:rsidR="005E6F0D" w:rsidRPr="00FC4236" w:rsidRDefault="005E6F0D" w:rsidP="00DE7911">
            <w:pPr>
              <w:spacing w:after="0" w:line="240" w:lineRule="auto"/>
              <w:rPr>
                <w:rFonts w:ascii="Arial" w:hAnsi="Arial" w:cs="Arial"/>
                <w:sz w:val="20"/>
                <w:szCs w:val="20"/>
              </w:rPr>
            </w:pPr>
            <w:r w:rsidRPr="00FC4236">
              <w:rPr>
                <w:rFonts w:ascii="Arial" w:hAnsi="Arial" w:cs="Arial"/>
                <w:sz w:val="20"/>
                <w:szCs w:val="20"/>
              </w:rPr>
              <w:t>Ustanovom upravlja Upravno vijeće koje broji pet članova:</w:t>
            </w:r>
            <w:r w:rsidR="00F12DCA">
              <w:rPr>
                <w:rFonts w:ascii="Arial" w:hAnsi="Arial" w:cs="Arial"/>
                <w:sz w:val="20"/>
                <w:szCs w:val="20"/>
              </w:rPr>
              <w:t xml:space="preserve"> </w:t>
            </w:r>
            <w:r w:rsidRPr="00FC4236">
              <w:rPr>
                <w:rFonts w:ascii="Arial" w:hAnsi="Arial" w:cs="Arial"/>
                <w:sz w:val="20"/>
                <w:szCs w:val="20"/>
              </w:rPr>
              <w:t>predstavnici Osnivača (3 člana)</w:t>
            </w:r>
            <w:r w:rsidR="00F12DCA">
              <w:rPr>
                <w:rFonts w:ascii="Arial" w:hAnsi="Arial" w:cs="Arial"/>
                <w:sz w:val="20"/>
                <w:szCs w:val="20"/>
              </w:rPr>
              <w:t xml:space="preserve">, </w:t>
            </w:r>
            <w:r w:rsidRPr="00FC4236">
              <w:rPr>
                <w:rFonts w:ascii="Arial" w:hAnsi="Arial" w:cs="Arial"/>
                <w:sz w:val="20"/>
                <w:szCs w:val="20"/>
              </w:rPr>
              <w:t>predstavnik iz redova odgojiteljskog vijeća (1 član)</w:t>
            </w:r>
            <w:r w:rsidR="00F12DCA">
              <w:rPr>
                <w:rFonts w:ascii="Arial" w:hAnsi="Arial" w:cs="Arial"/>
                <w:sz w:val="20"/>
                <w:szCs w:val="20"/>
              </w:rPr>
              <w:t xml:space="preserve">, </w:t>
            </w:r>
            <w:r w:rsidRPr="00FC4236">
              <w:rPr>
                <w:rFonts w:ascii="Arial" w:hAnsi="Arial" w:cs="Arial"/>
                <w:sz w:val="20"/>
                <w:szCs w:val="20"/>
              </w:rPr>
              <w:t>predstavnik roditelja (1 član)</w:t>
            </w:r>
          </w:p>
          <w:p w14:paraId="7D501DF9" w14:textId="77777777" w:rsidR="00A63B44" w:rsidRPr="00FC4236" w:rsidRDefault="00A63B44" w:rsidP="003A4B46">
            <w:pPr>
              <w:spacing w:after="0" w:line="240" w:lineRule="auto"/>
              <w:rPr>
                <w:rFonts w:ascii="Arial" w:hAnsi="Arial" w:cs="Arial"/>
                <w:sz w:val="20"/>
                <w:szCs w:val="20"/>
              </w:rPr>
            </w:pPr>
          </w:p>
          <w:p w14:paraId="61841B85" w14:textId="41F39B77" w:rsidR="003A4B46" w:rsidRPr="00FC4236" w:rsidRDefault="003A4B46" w:rsidP="003A4B46">
            <w:pPr>
              <w:spacing w:after="0" w:line="240" w:lineRule="auto"/>
              <w:rPr>
                <w:rFonts w:ascii="Arial" w:hAnsi="Arial" w:cs="Arial"/>
                <w:sz w:val="20"/>
                <w:szCs w:val="20"/>
              </w:rPr>
            </w:pPr>
            <w:r w:rsidRPr="00FC4236">
              <w:rPr>
                <w:rFonts w:ascii="Arial" w:hAnsi="Arial" w:cs="Arial"/>
                <w:sz w:val="20"/>
                <w:szCs w:val="20"/>
              </w:rPr>
              <w:lastRenderedPageBreak/>
              <w:t>Rad u pedagoškoj 202</w:t>
            </w:r>
            <w:r w:rsidR="007B04D0" w:rsidRPr="00FC4236">
              <w:rPr>
                <w:rFonts w:ascii="Arial" w:hAnsi="Arial" w:cs="Arial"/>
                <w:sz w:val="20"/>
                <w:szCs w:val="20"/>
              </w:rPr>
              <w:t>3</w:t>
            </w:r>
            <w:r w:rsidRPr="00FC4236">
              <w:rPr>
                <w:rFonts w:ascii="Arial" w:hAnsi="Arial" w:cs="Arial"/>
                <w:sz w:val="20"/>
                <w:szCs w:val="20"/>
              </w:rPr>
              <w:t>./202</w:t>
            </w:r>
            <w:r w:rsidR="007B04D0" w:rsidRPr="00FC4236">
              <w:rPr>
                <w:rFonts w:ascii="Arial" w:hAnsi="Arial" w:cs="Arial"/>
                <w:sz w:val="20"/>
                <w:szCs w:val="20"/>
              </w:rPr>
              <w:t>4</w:t>
            </w:r>
            <w:r w:rsidRPr="00FC4236">
              <w:rPr>
                <w:rFonts w:ascii="Arial" w:hAnsi="Arial" w:cs="Arial"/>
                <w:sz w:val="20"/>
                <w:szCs w:val="20"/>
              </w:rPr>
              <w:t>., kao i 202</w:t>
            </w:r>
            <w:r w:rsidR="007B04D0" w:rsidRPr="00FC4236">
              <w:rPr>
                <w:rFonts w:ascii="Arial" w:hAnsi="Arial" w:cs="Arial"/>
                <w:sz w:val="20"/>
                <w:szCs w:val="20"/>
              </w:rPr>
              <w:t>4</w:t>
            </w:r>
            <w:r w:rsidRPr="00FC4236">
              <w:rPr>
                <w:rFonts w:ascii="Arial" w:hAnsi="Arial" w:cs="Arial"/>
                <w:sz w:val="20"/>
                <w:szCs w:val="20"/>
              </w:rPr>
              <w:t>./202</w:t>
            </w:r>
            <w:r w:rsidR="007B04D0" w:rsidRPr="00FC4236">
              <w:rPr>
                <w:rFonts w:ascii="Arial" w:hAnsi="Arial" w:cs="Arial"/>
                <w:sz w:val="20"/>
                <w:szCs w:val="20"/>
              </w:rPr>
              <w:t>5</w:t>
            </w:r>
            <w:r w:rsidRPr="00FC4236">
              <w:rPr>
                <w:rFonts w:ascii="Arial" w:hAnsi="Arial" w:cs="Arial"/>
                <w:sz w:val="20"/>
                <w:szCs w:val="20"/>
              </w:rPr>
              <w:t>. godini se odvijao u osam objekata na području općine Konavle u rasponu od 15 km (3 ustrojbene jedinice s još 5 izdvojenih objekata). U ustrojbenoj jedinici Dječji vrtić i jaslice Gruda na Grudi smještena su djeca tri skupine rane dobi (1.-3.g.), jedna skupina djece u dobi 3-5 g. boravi u smještaju Doma kulture Gruda, a dvije skupine djece dobi 5-7 g. borave u privremenom smještaju Doma za starije i nemoćne na Grudi.</w:t>
            </w:r>
          </w:p>
          <w:p w14:paraId="41011BA3" w14:textId="77777777" w:rsidR="005E6F0D" w:rsidRPr="00FC4236" w:rsidRDefault="005E6F0D" w:rsidP="003A4B46">
            <w:pPr>
              <w:spacing w:after="0" w:line="240" w:lineRule="auto"/>
              <w:rPr>
                <w:rFonts w:ascii="Arial" w:hAnsi="Arial" w:cs="Arial"/>
                <w:sz w:val="20"/>
                <w:szCs w:val="20"/>
              </w:rPr>
            </w:pPr>
          </w:p>
          <w:p w14:paraId="5364E887" w14:textId="77777777" w:rsidR="00E5761E" w:rsidRPr="00FC4236" w:rsidRDefault="00E5761E" w:rsidP="00E5761E">
            <w:pPr>
              <w:spacing w:after="0" w:line="240" w:lineRule="auto"/>
              <w:rPr>
                <w:rFonts w:ascii="Arial" w:hAnsi="Arial" w:cs="Arial"/>
                <w:b/>
                <w:sz w:val="20"/>
                <w:szCs w:val="20"/>
              </w:rPr>
            </w:pPr>
            <w:r w:rsidRPr="00FC4236">
              <w:rPr>
                <w:rFonts w:ascii="Arial" w:hAnsi="Arial" w:cs="Arial"/>
                <w:b/>
                <w:sz w:val="20"/>
                <w:szCs w:val="20"/>
              </w:rPr>
              <w:t>Programi odgoja i obrazovanja koji će se provoditi u Dječjem vrtiću Konavle:</w:t>
            </w:r>
          </w:p>
          <w:p w14:paraId="61397203" w14:textId="77777777" w:rsidR="00E5761E" w:rsidRPr="00FC4236" w:rsidRDefault="00E5761E">
            <w:pPr>
              <w:numPr>
                <w:ilvl w:val="0"/>
                <w:numId w:val="27"/>
              </w:numPr>
              <w:spacing w:after="0" w:line="240" w:lineRule="auto"/>
              <w:rPr>
                <w:rFonts w:ascii="Arial" w:hAnsi="Arial" w:cs="Arial"/>
                <w:bCs/>
                <w:sz w:val="20"/>
                <w:szCs w:val="20"/>
              </w:rPr>
            </w:pPr>
            <w:r w:rsidRPr="00FC4236">
              <w:rPr>
                <w:rFonts w:ascii="Arial" w:hAnsi="Arial" w:cs="Arial"/>
                <w:bCs/>
                <w:sz w:val="20"/>
                <w:szCs w:val="20"/>
              </w:rPr>
              <w:t xml:space="preserve">Redoviti cjelodnevni program u trajanju od 10 sati (sa integriranim redovitim poludnevnim programom u trajanju od 5 sati) –pribavljena nova Suglasnost Ministarstva znanosti i obrazovanja, KLASA:601-01/22-03/00400; URBROJ:533-05-22-0004 od 3. kolovoza 2022.g. </w:t>
            </w:r>
          </w:p>
          <w:p w14:paraId="73D7B74D" w14:textId="0B93F7FF" w:rsidR="00E5761E" w:rsidRPr="00FC4236" w:rsidRDefault="00E5761E">
            <w:pPr>
              <w:numPr>
                <w:ilvl w:val="0"/>
                <w:numId w:val="27"/>
              </w:numPr>
              <w:spacing w:after="0" w:line="240" w:lineRule="auto"/>
              <w:rPr>
                <w:rFonts w:ascii="Arial" w:hAnsi="Arial" w:cs="Arial"/>
                <w:bCs/>
                <w:iCs/>
                <w:sz w:val="20"/>
                <w:szCs w:val="20"/>
              </w:rPr>
            </w:pPr>
            <w:r w:rsidRPr="00FC4236">
              <w:rPr>
                <w:rFonts w:ascii="Arial" w:hAnsi="Arial" w:cs="Arial"/>
                <w:bCs/>
                <w:sz w:val="20"/>
                <w:szCs w:val="20"/>
              </w:rPr>
              <w:t xml:space="preserve">Program predškole </w:t>
            </w:r>
          </w:p>
          <w:p w14:paraId="359FF97D" w14:textId="77777777" w:rsidR="00E5761E" w:rsidRPr="00FC4236" w:rsidRDefault="00E5761E">
            <w:pPr>
              <w:numPr>
                <w:ilvl w:val="0"/>
                <w:numId w:val="27"/>
              </w:numPr>
              <w:spacing w:after="0" w:line="240" w:lineRule="auto"/>
              <w:rPr>
                <w:rFonts w:ascii="Arial" w:hAnsi="Arial" w:cs="Arial"/>
                <w:bCs/>
                <w:iCs/>
                <w:sz w:val="20"/>
                <w:szCs w:val="20"/>
              </w:rPr>
            </w:pPr>
            <w:r w:rsidRPr="00FC4236">
              <w:rPr>
                <w:rFonts w:ascii="Arial" w:hAnsi="Arial" w:cs="Arial"/>
                <w:bCs/>
                <w:sz w:val="20"/>
                <w:szCs w:val="20"/>
              </w:rPr>
              <w:t xml:space="preserve">Posebni program upoznavanja i očuvanja tradicijske baštine „Igrom do baštine” integriran u redovni programa </w:t>
            </w:r>
            <w:r w:rsidRPr="00FC4236">
              <w:rPr>
                <w:rFonts w:ascii="Arial" w:hAnsi="Arial" w:cs="Arial"/>
                <w:bCs/>
                <w:iCs/>
                <w:sz w:val="20"/>
                <w:szCs w:val="20"/>
              </w:rPr>
              <w:t xml:space="preserve">(Klasa:601-02/15-03/01370, Ur.br.:533-25-16-0009 </w:t>
            </w:r>
            <w:r w:rsidRPr="00FC4236">
              <w:rPr>
                <w:rFonts w:ascii="Arial" w:hAnsi="Arial" w:cs="Arial"/>
                <w:bCs/>
                <w:sz w:val="20"/>
                <w:szCs w:val="20"/>
              </w:rPr>
              <w:t>od 30. svibnja 2016.g.)</w:t>
            </w:r>
          </w:p>
          <w:p w14:paraId="5532F545" w14:textId="469D9B39" w:rsidR="00E5761E" w:rsidRPr="00FC4236" w:rsidRDefault="00E5761E">
            <w:pPr>
              <w:numPr>
                <w:ilvl w:val="0"/>
                <w:numId w:val="27"/>
              </w:numPr>
              <w:spacing w:after="0" w:line="240" w:lineRule="auto"/>
              <w:rPr>
                <w:rFonts w:ascii="Arial" w:hAnsi="Arial" w:cs="Arial"/>
                <w:bCs/>
                <w:iCs/>
                <w:sz w:val="20"/>
                <w:szCs w:val="20"/>
              </w:rPr>
            </w:pPr>
            <w:r w:rsidRPr="00FC4236">
              <w:rPr>
                <w:rFonts w:ascii="Arial" w:hAnsi="Arial" w:cs="Arial"/>
                <w:bCs/>
                <w:sz w:val="20"/>
                <w:szCs w:val="20"/>
              </w:rPr>
              <w:t>Posebni glazbeni program integriran u redovni program</w:t>
            </w:r>
            <w:r w:rsidR="00FC4236" w:rsidRPr="00FC4236">
              <w:rPr>
                <w:rFonts w:ascii="Arial" w:hAnsi="Arial" w:cs="Arial"/>
                <w:bCs/>
                <w:sz w:val="20"/>
                <w:szCs w:val="20"/>
              </w:rPr>
              <w:t xml:space="preserve"> </w:t>
            </w:r>
            <w:r w:rsidRPr="00FC4236">
              <w:rPr>
                <w:rFonts w:ascii="Arial" w:hAnsi="Arial" w:cs="Arial"/>
                <w:bCs/>
                <w:iCs/>
                <w:sz w:val="20"/>
                <w:szCs w:val="20"/>
              </w:rPr>
              <w:t>(Klasa:601-02/16-03/00170, Ur.br.:533-25-16-0004</w:t>
            </w:r>
            <w:r w:rsidRPr="00FC4236">
              <w:rPr>
                <w:rFonts w:ascii="Arial" w:hAnsi="Arial" w:cs="Arial"/>
                <w:bCs/>
                <w:sz w:val="20"/>
                <w:szCs w:val="20"/>
              </w:rPr>
              <w:t xml:space="preserve"> od 14. travnja 2016.g.</w:t>
            </w:r>
            <w:r w:rsidRPr="00FC4236">
              <w:rPr>
                <w:rFonts w:ascii="Arial" w:hAnsi="Arial" w:cs="Arial"/>
                <w:bCs/>
                <w:iCs/>
                <w:sz w:val="20"/>
                <w:szCs w:val="20"/>
              </w:rPr>
              <w:t>)</w:t>
            </w:r>
          </w:p>
          <w:p w14:paraId="1EF82F23" w14:textId="2758AC48" w:rsidR="00E5761E" w:rsidRPr="00FC4236" w:rsidRDefault="00E5761E">
            <w:pPr>
              <w:numPr>
                <w:ilvl w:val="0"/>
                <w:numId w:val="27"/>
              </w:numPr>
              <w:spacing w:after="0" w:line="240" w:lineRule="auto"/>
              <w:rPr>
                <w:rFonts w:ascii="Arial" w:hAnsi="Arial" w:cs="Arial"/>
                <w:bCs/>
                <w:iCs/>
                <w:sz w:val="20"/>
                <w:szCs w:val="20"/>
              </w:rPr>
            </w:pPr>
            <w:r w:rsidRPr="00FC4236">
              <w:rPr>
                <w:rFonts w:ascii="Arial" w:hAnsi="Arial" w:cs="Arial"/>
                <w:bCs/>
                <w:sz w:val="20"/>
                <w:szCs w:val="20"/>
              </w:rPr>
              <w:t xml:space="preserve">Program za roditelje „Rastimo zajedno“ </w:t>
            </w:r>
            <w:r w:rsidRPr="00FC4236">
              <w:rPr>
                <w:rFonts w:ascii="Arial" w:hAnsi="Arial" w:cs="Arial"/>
                <w:bCs/>
                <w:iCs/>
                <w:sz w:val="20"/>
                <w:szCs w:val="20"/>
              </w:rPr>
              <w:t>(Klasa:601-02/17-03/00303, Ur.br.:533-25-17-0004 od 27. srpnja 2017.g.</w:t>
            </w:r>
            <w:r w:rsidR="00FC4236" w:rsidRPr="00FC4236">
              <w:rPr>
                <w:rFonts w:ascii="Arial" w:hAnsi="Arial" w:cs="Arial"/>
                <w:bCs/>
                <w:iCs/>
                <w:sz w:val="20"/>
                <w:szCs w:val="20"/>
              </w:rPr>
              <w:t>)</w:t>
            </w:r>
          </w:p>
          <w:p w14:paraId="323507BD" w14:textId="77777777" w:rsidR="00E5761E" w:rsidRPr="00FC4236" w:rsidRDefault="00E5761E" w:rsidP="00E5761E">
            <w:pPr>
              <w:spacing w:after="0" w:line="240" w:lineRule="auto"/>
              <w:rPr>
                <w:rFonts w:ascii="Arial" w:hAnsi="Arial" w:cs="Arial"/>
                <w:bCs/>
                <w:sz w:val="20"/>
                <w:szCs w:val="20"/>
              </w:rPr>
            </w:pPr>
          </w:p>
          <w:p w14:paraId="6033DDA1" w14:textId="12F59F4C" w:rsidR="00E5761E" w:rsidRPr="00FC4236" w:rsidRDefault="00E5761E" w:rsidP="00E5761E">
            <w:pPr>
              <w:spacing w:after="0" w:line="240" w:lineRule="auto"/>
              <w:rPr>
                <w:rFonts w:ascii="Arial" w:hAnsi="Arial" w:cs="Arial"/>
                <w:bCs/>
                <w:sz w:val="20"/>
                <w:szCs w:val="20"/>
              </w:rPr>
            </w:pPr>
            <w:r w:rsidRPr="00FC4236">
              <w:rPr>
                <w:rFonts w:ascii="Arial" w:hAnsi="Arial" w:cs="Arial"/>
                <w:bCs/>
                <w:iCs/>
                <w:sz w:val="20"/>
                <w:szCs w:val="20"/>
              </w:rPr>
              <w:t>Radno vrijeme objekata ove pedagoške godine</w:t>
            </w:r>
            <w:r w:rsidR="003613E2" w:rsidRPr="00FC4236">
              <w:rPr>
                <w:rFonts w:ascii="Arial" w:hAnsi="Arial" w:cs="Arial"/>
                <w:bCs/>
                <w:iCs/>
                <w:sz w:val="20"/>
                <w:szCs w:val="20"/>
              </w:rPr>
              <w:t xml:space="preserve"> je </w:t>
            </w:r>
            <w:r w:rsidRPr="00FC4236">
              <w:rPr>
                <w:rFonts w:ascii="Arial" w:hAnsi="Arial" w:cs="Arial"/>
                <w:bCs/>
                <w:iCs/>
                <w:sz w:val="20"/>
                <w:szCs w:val="20"/>
              </w:rPr>
              <w:t xml:space="preserve">od 6.30-16.30. sati. </w:t>
            </w:r>
            <w:r w:rsidR="003613E2" w:rsidRPr="00FC4236">
              <w:rPr>
                <w:rFonts w:ascii="Arial" w:hAnsi="Arial" w:cs="Arial"/>
                <w:bCs/>
                <w:sz w:val="20"/>
                <w:szCs w:val="20"/>
              </w:rPr>
              <w:t xml:space="preserve">Potrebe produljenog rada </w:t>
            </w:r>
            <w:r w:rsidR="005C0F8F" w:rsidRPr="00FC4236">
              <w:rPr>
                <w:rFonts w:ascii="Arial" w:hAnsi="Arial" w:cs="Arial"/>
                <w:bCs/>
                <w:sz w:val="20"/>
                <w:szCs w:val="20"/>
              </w:rPr>
              <w:t>utvrđ</w:t>
            </w:r>
            <w:r w:rsidR="00FC4236" w:rsidRPr="00FC4236">
              <w:rPr>
                <w:rFonts w:ascii="Arial" w:hAnsi="Arial" w:cs="Arial"/>
                <w:bCs/>
                <w:sz w:val="20"/>
                <w:szCs w:val="20"/>
              </w:rPr>
              <w:t xml:space="preserve">uje </w:t>
            </w:r>
            <w:r w:rsidR="005C0F8F" w:rsidRPr="00FC4236">
              <w:rPr>
                <w:rFonts w:ascii="Arial" w:hAnsi="Arial" w:cs="Arial"/>
                <w:bCs/>
                <w:sz w:val="20"/>
                <w:szCs w:val="20"/>
              </w:rPr>
              <w:t>se</w:t>
            </w:r>
            <w:r w:rsidR="003613E2" w:rsidRPr="00FC4236">
              <w:rPr>
                <w:rFonts w:ascii="Arial" w:hAnsi="Arial" w:cs="Arial"/>
                <w:bCs/>
                <w:sz w:val="20"/>
                <w:szCs w:val="20"/>
              </w:rPr>
              <w:t xml:space="preserve"> sukladno potrebama roditelja i raspoloživog kadra.</w:t>
            </w:r>
            <w:r w:rsidR="00FC4236" w:rsidRPr="00FC4236">
              <w:rPr>
                <w:rFonts w:ascii="Arial" w:hAnsi="Arial" w:cs="Arial"/>
                <w:bCs/>
                <w:sz w:val="20"/>
                <w:szCs w:val="20"/>
              </w:rPr>
              <w:t xml:space="preserve"> U mjesecu travnju 2024. godine uvedeno je dežurstvo u vremenu od 16.30 h do 17.00 h koje je organizirano za: dijete oba zaposlena roditelja izvan Općine Konavle, dijete iz obitelji oba zaposlena roditelja, jedan roditelj zaposlen izvan Općine Konavle, drugi radi smjenski rad (uključuje i djecu pomoraca), dijete samohranog roditelja. Roditelji potrebu za dežurstvom dokazuju potvrdom o radnom vremenu.</w:t>
            </w:r>
          </w:p>
          <w:p w14:paraId="073099AE" w14:textId="77777777" w:rsidR="003613E2" w:rsidRPr="00FC4236" w:rsidRDefault="003613E2" w:rsidP="00E5761E">
            <w:pPr>
              <w:spacing w:after="0" w:line="240" w:lineRule="auto"/>
              <w:rPr>
                <w:rFonts w:ascii="Arial" w:hAnsi="Arial" w:cs="Arial"/>
                <w:bCs/>
                <w:sz w:val="20"/>
                <w:szCs w:val="20"/>
              </w:rPr>
            </w:pPr>
          </w:p>
          <w:p w14:paraId="40CA4474" w14:textId="77777777" w:rsidR="00E5761E" w:rsidRPr="00FC4236" w:rsidRDefault="00E5761E" w:rsidP="00E5761E">
            <w:pPr>
              <w:spacing w:after="0" w:line="240" w:lineRule="auto"/>
              <w:rPr>
                <w:rFonts w:ascii="Arial" w:hAnsi="Arial" w:cs="Arial"/>
                <w:b/>
                <w:bCs/>
                <w:iCs/>
                <w:sz w:val="20"/>
                <w:szCs w:val="20"/>
                <w:u w:val="single"/>
              </w:rPr>
            </w:pPr>
            <w:bookmarkStart w:id="363" w:name="_Toc52355498"/>
            <w:r w:rsidRPr="00FC4236">
              <w:rPr>
                <w:rFonts w:ascii="Arial" w:hAnsi="Arial" w:cs="Arial"/>
                <w:b/>
                <w:bCs/>
                <w:sz w:val="20"/>
                <w:szCs w:val="20"/>
                <w:u w:val="single"/>
              </w:rPr>
              <w:t>Popis dječjih vrtića i jaslica:</w:t>
            </w:r>
            <w:bookmarkEnd w:id="363"/>
            <w:r w:rsidRPr="00FC4236">
              <w:rPr>
                <w:rFonts w:ascii="Arial" w:hAnsi="Arial" w:cs="Arial"/>
                <w:b/>
                <w:bCs/>
                <w:iCs/>
                <w:sz w:val="20"/>
                <w:szCs w:val="20"/>
                <w:u w:val="single"/>
              </w:rPr>
              <w:t xml:space="preserve"> </w:t>
            </w:r>
          </w:p>
          <w:p w14:paraId="2AB0DD40" w14:textId="77777777" w:rsidR="00E5761E" w:rsidRPr="00FC4236" w:rsidRDefault="00E5761E" w:rsidP="00E5761E">
            <w:pPr>
              <w:spacing w:after="0" w:line="240" w:lineRule="auto"/>
              <w:rPr>
                <w:rFonts w:ascii="Arial" w:hAnsi="Arial" w:cs="Arial"/>
                <w:bCs/>
                <w:sz w:val="20"/>
                <w:szCs w:val="20"/>
              </w:rPr>
            </w:pPr>
            <w:r w:rsidRPr="00FC4236">
              <w:rPr>
                <w:rFonts w:ascii="Arial" w:hAnsi="Arial" w:cs="Arial"/>
                <w:bCs/>
                <w:sz w:val="20"/>
                <w:szCs w:val="20"/>
              </w:rPr>
              <w:t>- Dječji vrtić i jaslice Cavtat, Put od Cavtata bb, 20210 Cavtat</w:t>
            </w:r>
          </w:p>
          <w:p w14:paraId="5E24A22F" w14:textId="42383AA7" w:rsidR="00E5761E" w:rsidRPr="00FC4236" w:rsidRDefault="00E5761E" w:rsidP="00E5761E">
            <w:pPr>
              <w:spacing w:after="0" w:line="240" w:lineRule="auto"/>
              <w:rPr>
                <w:rFonts w:ascii="Arial" w:hAnsi="Arial" w:cs="Arial"/>
                <w:bCs/>
                <w:iCs/>
                <w:sz w:val="20"/>
                <w:szCs w:val="20"/>
              </w:rPr>
            </w:pPr>
            <w:r w:rsidRPr="00FC4236">
              <w:rPr>
                <w:rFonts w:ascii="Arial" w:hAnsi="Arial" w:cs="Arial"/>
                <w:bCs/>
                <w:iCs/>
                <w:sz w:val="20"/>
                <w:szCs w:val="20"/>
              </w:rPr>
              <w:t xml:space="preserve">-Izdvojeni objekt u </w:t>
            </w:r>
            <w:r w:rsidR="00FC4236" w:rsidRPr="00FC4236">
              <w:rPr>
                <w:rFonts w:ascii="Arial" w:hAnsi="Arial" w:cs="Arial"/>
                <w:bCs/>
                <w:iCs/>
                <w:sz w:val="20"/>
                <w:szCs w:val="20"/>
              </w:rPr>
              <w:t>objektu Marijin dom</w:t>
            </w:r>
            <w:r w:rsidRPr="00FC4236">
              <w:rPr>
                <w:rFonts w:ascii="Arial" w:hAnsi="Arial" w:cs="Arial"/>
                <w:bCs/>
                <w:iCs/>
                <w:sz w:val="20"/>
                <w:szCs w:val="20"/>
              </w:rPr>
              <w:t>, Obala Stjepana Radića, 20210 Cavtat</w:t>
            </w:r>
          </w:p>
          <w:p w14:paraId="3E6EDF48" w14:textId="77777777" w:rsidR="00E5761E" w:rsidRPr="00FC4236" w:rsidRDefault="00E5761E" w:rsidP="00E5761E">
            <w:pPr>
              <w:spacing w:after="0" w:line="240" w:lineRule="auto"/>
              <w:rPr>
                <w:rFonts w:ascii="Arial" w:hAnsi="Arial" w:cs="Arial"/>
                <w:bCs/>
                <w:iCs/>
                <w:sz w:val="20"/>
                <w:szCs w:val="20"/>
              </w:rPr>
            </w:pPr>
            <w:r w:rsidRPr="00FC4236">
              <w:rPr>
                <w:rFonts w:ascii="Arial" w:hAnsi="Arial" w:cs="Arial"/>
                <w:bCs/>
                <w:iCs/>
                <w:sz w:val="20"/>
                <w:szCs w:val="20"/>
              </w:rPr>
              <w:t>- Dječji vrtić „Katićan“, Beroje bb, 20 213 Čilipi</w:t>
            </w:r>
          </w:p>
          <w:p w14:paraId="3E78B0D0" w14:textId="5DD2B655" w:rsidR="00E5761E" w:rsidRPr="00FC4236" w:rsidRDefault="00E5761E" w:rsidP="00E5761E">
            <w:pPr>
              <w:spacing w:after="0" w:line="240" w:lineRule="auto"/>
              <w:rPr>
                <w:rFonts w:ascii="Arial" w:hAnsi="Arial" w:cs="Arial"/>
                <w:bCs/>
                <w:iCs/>
                <w:sz w:val="20"/>
                <w:szCs w:val="20"/>
              </w:rPr>
            </w:pPr>
            <w:r w:rsidRPr="00FC4236">
              <w:rPr>
                <w:rFonts w:ascii="Arial" w:hAnsi="Arial" w:cs="Arial"/>
                <w:bCs/>
                <w:iCs/>
                <w:sz w:val="20"/>
                <w:szCs w:val="20"/>
              </w:rPr>
              <w:t>- Dječje jaslice u zgradi polj</w:t>
            </w:r>
            <w:r w:rsidR="00FC4236" w:rsidRPr="00FC4236">
              <w:rPr>
                <w:rFonts w:ascii="Arial" w:hAnsi="Arial" w:cs="Arial"/>
                <w:bCs/>
                <w:iCs/>
                <w:sz w:val="20"/>
                <w:szCs w:val="20"/>
              </w:rPr>
              <w:t xml:space="preserve">oprivredne </w:t>
            </w:r>
            <w:r w:rsidRPr="00FC4236">
              <w:rPr>
                <w:rFonts w:ascii="Arial" w:hAnsi="Arial" w:cs="Arial"/>
                <w:bCs/>
                <w:iCs/>
                <w:sz w:val="20"/>
                <w:szCs w:val="20"/>
              </w:rPr>
              <w:t>zadruge F</w:t>
            </w:r>
            <w:r w:rsidR="00FC4236" w:rsidRPr="00FC4236">
              <w:rPr>
                <w:rFonts w:ascii="Arial" w:hAnsi="Arial" w:cs="Arial"/>
                <w:bCs/>
                <w:iCs/>
                <w:sz w:val="20"/>
                <w:szCs w:val="20"/>
              </w:rPr>
              <w:t>rano</w:t>
            </w:r>
            <w:r w:rsidRPr="00FC4236">
              <w:rPr>
                <w:rFonts w:ascii="Arial" w:hAnsi="Arial" w:cs="Arial"/>
                <w:bCs/>
                <w:iCs/>
                <w:sz w:val="20"/>
                <w:szCs w:val="20"/>
              </w:rPr>
              <w:t xml:space="preserve"> Supilo, Bistroće bb, 20 213 Čilipi</w:t>
            </w:r>
          </w:p>
          <w:p w14:paraId="3723E55E" w14:textId="32E23C38" w:rsidR="00E5761E" w:rsidRPr="00FC4236" w:rsidRDefault="00E5761E" w:rsidP="00E5761E">
            <w:pPr>
              <w:spacing w:after="0" w:line="240" w:lineRule="auto"/>
              <w:rPr>
                <w:rFonts w:ascii="Arial" w:hAnsi="Arial" w:cs="Arial"/>
                <w:bCs/>
                <w:iCs/>
                <w:sz w:val="20"/>
                <w:szCs w:val="20"/>
              </w:rPr>
            </w:pPr>
            <w:r w:rsidRPr="00FC4236">
              <w:rPr>
                <w:rFonts w:ascii="Arial" w:hAnsi="Arial" w:cs="Arial"/>
                <w:bCs/>
                <w:iCs/>
                <w:sz w:val="20"/>
                <w:szCs w:val="20"/>
              </w:rPr>
              <w:t>- Dječji vrtić i jaslice „Gruda“,</w:t>
            </w:r>
            <w:r w:rsidR="004C2BF4">
              <w:rPr>
                <w:rFonts w:ascii="Arial" w:hAnsi="Arial" w:cs="Arial"/>
                <w:bCs/>
                <w:iCs/>
                <w:sz w:val="20"/>
                <w:szCs w:val="20"/>
              </w:rPr>
              <w:t xml:space="preserve"> (Gruda 1)</w:t>
            </w:r>
            <w:r w:rsidRPr="00FC4236">
              <w:rPr>
                <w:rFonts w:ascii="Arial" w:hAnsi="Arial" w:cs="Arial"/>
                <w:bCs/>
                <w:iCs/>
                <w:sz w:val="20"/>
                <w:szCs w:val="20"/>
              </w:rPr>
              <w:t xml:space="preserve"> Gruda bb, 20 215 Gruda </w:t>
            </w:r>
          </w:p>
          <w:p w14:paraId="77231DC3" w14:textId="0E84AF13" w:rsidR="00E5761E" w:rsidRPr="00FC4236" w:rsidRDefault="00E5761E" w:rsidP="00E5761E">
            <w:pPr>
              <w:spacing w:after="0" w:line="240" w:lineRule="auto"/>
              <w:rPr>
                <w:rFonts w:ascii="Arial" w:hAnsi="Arial" w:cs="Arial"/>
                <w:bCs/>
                <w:iCs/>
                <w:sz w:val="20"/>
                <w:szCs w:val="20"/>
              </w:rPr>
            </w:pPr>
            <w:r w:rsidRPr="00FC4236">
              <w:rPr>
                <w:rFonts w:ascii="Arial" w:hAnsi="Arial" w:cs="Arial"/>
                <w:bCs/>
                <w:iCs/>
                <w:sz w:val="20"/>
                <w:szCs w:val="20"/>
              </w:rPr>
              <w:t xml:space="preserve">-Izdvojeni objekt u </w:t>
            </w:r>
            <w:r w:rsidR="005C0F8F" w:rsidRPr="00FC4236">
              <w:rPr>
                <w:rFonts w:ascii="Arial" w:hAnsi="Arial" w:cs="Arial"/>
                <w:bCs/>
                <w:iCs/>
                <w:sz w:val="20"/>
                <w:szCs w:val="20"/>
              </w:rPr>
              <w:t>Domu kulture</w:t>
            </w:r>
            <w:r w:rsidRPr="00FC4236">
              <w:rPr>
                <w:rFonts w:ascii="Arial" w:hAnsi="Arial" w:cs="Arial"/>
                <w:bCs/>
                <w:iCs/>
                <w:sz w:val="20"/>
                <w:szCs w:val="20"/>
              </w:rPr>
              <w:t>, Gruda, 20 215 Gruda</w:t>
            </w:r>
          </w:p>
          <w:p w14:paraId="1939C125" w14:textId="77777777" w:rsidR="00E5761E" w:rsidRPr="00FC4236" w:rsidRDefault="00E5761E" w:rsidP="00E5761E">
            <w:pPr>
              <w:spacing w:after="0" w:line="240" w:lineRule="auto"/>
              <w:rPr>
                <w:rFonts w:ascii="Arial" w:hAnsi="Arial" w:cs="Arial"/>
                <w:bCs/>
                <w:iCs/>
                <w:sz w:val="20"/>
                <w:szCs w:val="20"/>
              </w:rPr>
            </w:pPr>
            <w:r w:rsidRPr="00FC4236">
              <w:rPr>
                <w:rFonts w:ascii="Arial" w:hAnsi="Arial" w:cs="Arial"/>
                <w:bCs/>
                <w:iCs/>
                <w:sz w:val="20"/>
                <w:szCs w:val="20"/>
              </w:rPr>
              <w:t>-Izdvojeni objekt u Domu za starije i nemoćne „Konavle“, Gruda 152, 20 215 Gruda</w:t>
            </w:r>
          </w:p>
          <w:p w14:paraId="5F456DE9" w14:textId="0E7B3488" w:rsidR="005C0F8F" w:rsidRPr="00FC4236" w:rsidRDefault="00E5761E" w:rsidP="00344DB6">
            <w:pPr>
              <w:spacing w:after="0" w:line="240" w:lineRule="auto"/>
              <w:rPr>
                <w:rFonts w:ascii="Arial" w:hAnsi="Arial" w:cs="Arial"/>
                <w:sz w:val="20"/>
                <w:szCs w:val="20"/>
              </w:rPr>
            </w:pPr>
            <w:r w:rsidRPr="00FC4236">
              <w:rPr>
                <w:rFonts w:ascii="Arial" w:hAnsi="Arial" w:cs="Arial"/>
                <w:bCs/>
                <w:iCs/>
                <w:sz w:val="20"/>
                <w:szCs w:val="20"/>
              </w:rPr>
              <w:t>-Izdvojeni objekt u Područnoj školi Pridvorje, 20 215 Gruda</w:t>
            </w:r>
          </w:p>
        </w:tc>
      </w:tr>
      <w:tr w:rsidR="003613E2" w:rsidRPr="003A2F86" w14:paraId="568C4AD2" w14:textId="77777777" w:rsidTr="00E5761E">
        <w:tc>
          <w:tcPr>
            <w:tcW w:w="1683" w:type="dxa"/>
            <w:tcBorders>
              <w:top w:val="dotted" w:sz="4" w:space="0" w:color="auto"/>
              <w:left w:val="dotted" w:sz="4" w:space="0" w:color="auto"/>
              <w:bottom w:val="dotted" w:sz="4" w:space="0" w:color="auto"/>
              <w:right w:val="dotted" w:sz="4" w:space="0" w:color="auto"/>
            </w:tcBorders>
          </w:tcPr>
          <w:p w14:paraId="7425B45F" w14:textId="77777777" w:rsidR="003752B9" w:rsidRPr="003A2F86" w:rsidRDefault="003752B9" w:rsidP="003752B9">
            <w:pPr>
              <w:spacing w:after="0" w:line="240" w:lineRule="auto"/>
              <w:rPr>
                <w:rFonts w:ascii="Arial" w:eastAsia="Calibri" w:hAnsi="Arial" w:cs="Arial"/>
                <w:sz w:val="20"/>
                <w:szCs w:val="20"/>
              </w:rPr>
            </w:pPr>
            <w:r w:rsidRPr="003A2F86">
              <w:rPr>
                <w:rFonts w:ascii="Arial" w:eastAsia="Calibri" w:hAnsi="Arial" w:cs="Arial"/>
                <w:sz w:val="20"/>
                <w:szCs w:val="20"/>
              </w:rPr>
              <w:lastRenderedPageBreak/>
              <w:t>ZAKONSKE I DRUGE PODLOGE NA KOJIMA SE ZASNIVA PROGRAM</w:t>
            </w:r>
          </w:p>
        </w:tc>
        <w:tc>
          <w:tcPr>
            <w:tcW w:w="12600" w:type="dxa"/>
            <w:tcBorders>
              <w:top w:val="dotted" w:sz="4" w:space="0" w:color="auto"/>
              <w:left w:val="dotted" w:sz="4" w:space="0" w:color="auto"/>
              <w:bottom w:val="dotted" w:sz="4" w:space="0" w:color="auto"/>
              <w:right w:val="dotted" w:sz="4" w:space="0" w:color="auto"/>
            </w:tcBorders>
          </w:tcPr>
          <w:p w14:paraId="65859B2B" w14:textId="78D92C9B" w:rsidR="00814421" w:rsidRPr="003A2F86" w:rsidRDefault="00911AF5" w:rsidP="00814421">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Zakon o lokalnoj i područnoj (regionalnoj) samoupravi (NN 33/01,60/01,129/05, 109/07,125/08, 36/09, 150/11, 144/12, 19/13, 137/15, 123/17, 98/19, 144/20)</w:t>
            </w:r>
            <w:r w:rsidR="00814421" w:rsidRPr="003A2F86">
              <w:rPr>
                <w:rFonts w:ascii="Arial" w:eastAsia="Times New Roman" w:hAnsi="Arial" w:cs="Arial"/>
                <w:sz w:val="20"/>
                <w:szCs w:val="20"/>
              </w:rPr>
              <w:t>, Zakon o predškolskom odgoju i obrazovanju (NN 10/97, 107/07, 94/13, 98/19</w:t>
            </w:r>
            <w:r w:rsidR="00561E3B" w:rsidRPr="003A2F86">
              <w:rPr>
                <w:rFonts w:ascii="Arial" w:eastAsia="Times New Roman" w:hAnsi="Arial" w:cs="Arial"/>
                <w:sz w:val="20"/>
                <w:szCs w:val="20"/>
              </w:rPr>
              <w:t>, 57/22</w:t>
            </w:r>
            <w:r w:rsidR="00814421" w:rsidRPr="003A2F86">
              <w:rPr>
                <w:rFonts w:ascii="Arial" w:eastAsia="Times New Roman" w:hAnsi="Arial" w:cs="Arial"/>
                <w:sz w:val="20"/>
                <w:szCs w:val="20"/>
              </w:rPr>
              <w:t>), Zakon o radu (NN 93/14, 127/17, 98/19</w:t>
            </w:r>
            <w:r w:rsidR="00E5761E" w:rsidRPr="003A2F86">
              <w:rPr>
                <w:rFonts w:ascii="Arial" w:eastAsia="Times New Roman" w:hAnsi="Arial" w:cs="Arial"/>
                <w:sz w:val="20"/>
                <w:szCs w:val="20"/>
              </w:rPr>
              <w:t>,151/22, 64/23</w:t>
            </w:r>
            <w:r w:rsidR="00814421" w:rsidRPr="003A2F86">
              <w:rPr>
                <w:rFonts w:ascii="Arial" w:eastAsia="Times New Roman" w:hAnsi="Arial" w:cs="Arial"/>
                <w:sz w:val="20"/>
                <w:szCs w:val="20"/>
              </w:rPr>
              <w:t>) i drugi podzakonski akti:</w:t>
            </w:r>
          </w:p>
          <w:p w14:paraId="519EA7CC" w14:textId="77777777" w:rsidR="00814421" w:rsidRPr="003A2F86" w:rsidRDefault="00814421" w:rsidP="00814421">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1. Pravilnik o načinu i uvjetima napredovanja u struci i promicanju u položajna zvanja odgojitelja i stručnih suradnika u dječjim vrtićima (NN 133/97, 20/05)</w:t>
            </w:r>
          </w:p>
          <w:p w14:paraId="4E981B85" w14:textId="77777777" w:rsidR="00814421" w:rsidRPr="003A2F86" w:rsidRDefault="00814421" w:rsidP="00814421">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2. Pravilnik o načinu i uvjetima polaganja stručnog ispita odgojitelja i stručnih suradnika u dječjem vrtiću (NN 133/97, 04/98)</w:t>
            </w:r>
          </w:p>
          <w:p w14:paraId="3C649210" w14:textId="77777777" w:rsidR="00814421" w:rsidRPr="003A2F86" w:rsidRDefault="00814421" w:rsidP="00814421">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3. Pravilnik o posebnim uvjetima i mjerilima ostvarivanja programa predškolskog odgoja (NN 133/97)</w:t>
            </w:r>
          </w:p>
          <w:p w14:paraId="794433FE" w14:textId="77777777" w:rsidR="00814421" w:rsidRPr="003A2F86" w:rsidRDefault="00814421" w:rsidP="00814421">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4. Pravilnik o vrsti stručne spreme stručnih djelatnika te vrsti i stupnju stručne spreme ostalih djelatnika u dječjem vrtiću (NN 133/97)</w:t>
            </w:r>
          </w:p>
          <w:p w14:paraId="488BA2B7" w14:textId="77777777" w:rsidR="00814421" w:rsidRPr="003A2F86" w:rsidRDefault="00814421" w:rsidP="00814421">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5. Pravilnik o načinu raspolaganja sredstvima državnog proračuna i mjerilima sufinanciranja programa predškolskog odgoja (NN 134/97)</w:t>
            </w:r>
          </w:p>
          <w:p w14:paraId="2FEE21AB" w14:textId="77777777" w:rsidR="00814421" w:rsidRPr="003A2F86" w:rsidRDefault="00814421" w:rsidP="00814421">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6. Pravilnik o obrascima i sadržaju pedagoške dokumentacije i evidencije o djeci u dječjem vrtiću (NN 83/01)</w:t>
            </w:r>
          </w:p>
          <w:p w14:paraId="5D8E7922" w14:textId="77777777" w:rsidR="00814421" w:rsidRPr="003A2F86" w:rsidRDefault="00814421" w:rsidP="00814421">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lastRenderedPageBreak/>
              <w:t>7. Program zdravstvene zaštite djece, higijene i pravilne prehrane djece u dječjim vrtićima (NN 105/02, 55/06, 121/07)</w:t>
            </w:r>
          </w:p>
          <w:p w14:paraId="3DC9E94A" w14:textId="77777777" w:rsidR="00814421" w:rsidRPr="003A2F86" w:rsidRDefault="00814421" w:rsidP="00814421">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8. Pravilnik o obrascima zdravstvene dokumentacije djece predškolske dobi i evidencije u dječjem vrtiću (NN 114/02)</w:t>
            </w:r>
          </w:p>
          <w:p w14:paraId="060790DB" w14:textId="77777777" w:rsidR="00814421" w:rsidRPr="003A2F86" w:rsidRDefault="00814421" w:rsidP="00814421">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9. Pravilnik o vježbaonicama i pokusnim programima u dječjim vrtićima te o dječjim vrtićima kao stručno-razvojnim centrima (NN 46/04)</w:t>
            </w:r>
          </w:p>
          <w:p w14:paraId="6B4CD448" w14:textId="77777777" w:rsidR="00814421" w:rsidRPr="003A2F86" w:rsidRDefault="00814421" w:rsidP="00814421">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10. Pravilnik o vježbaonicama i pokusnim programima u dječjim vrtićima te u dječjim vrtićima kao stručno-razvojnim centrima (NN 49/04)</w:t>
            </w:r>
          </w:p>
          <w:p w14:paraId="7D78CD3B" w14:textId="77777777" w:rsidR="00814421" w:rsidRPr="003A2F86" w:rsidRDefault="00814421" w:rsidP="00814421">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11. Državni pedagoški standard predškolskog odgoja i naobrazbe (NN 63/08, 90/10)</w:t>
            </w:r>
          </w:p>
          <w:p w14:paraId="2A0986B7" w14:textId="77777777" w:rsidR="003752B9" w:rsidRPr="003A2F86" w:rsidRDefault="00814421" w:rsidP="00814421">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 xml:space="preserve">12. Pravilnik o sadržaju i trajanju programa predškole (NN 107/14) i </w:t>
            </w:r>
            <w:r w:rsidR="003752B9" w:rsidRPr="003A2F86">
              <w:rPr>
                <w:rFonts w:ascii="Arial" w:eastAsia="Times New Roman" w:hAnsi="Arial" w:cs="Arial"/>
                <w:sz w:val="20"/>
                <w:szCs w:val="20"/>
              </w:rPr>
              <w:t>drugo</w:t>
            </w:r>
          </w:p>
          <w:p w14:paraId="60447EC4" w14:textId="77777777" w:rsidR="00E5761E" w:rsidRPr="003A2F86" w:rsidRDefault="00E5761E" w:rsidP="00814421">
            <w:pPr>
              <w:autoSpaceDE w:val="0"/>
              <w:autoSpaceDN w:val="0"/>
              <w:adjustRightInd w:val="0"/>
              <w:spacing w:after="0" w:line="240" w:lineRule="auto"/>
              <w:jc w:val="both"/>
              <w:rPr>
                <w:rFonts w:ascii="Arial" w:eastAsia="Times New Roman" w:hAnsi="Arial" w:cs="Arial"/>
                <w:sz w:val="20"/>
                <w:szCs w:val="20"/>
              </w:rPr>
            </w:pPr>
          </w:p>
          <w:p w14:paraId="286C99EF" w14:textId="4C694056" w:rsidR="00E5761E" w:rsidRPr="003A2F86" w:rsidRDefault="00E5761E" w:rsidP="00E5761E">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Godišnjim planom i programom rada za pedagošku 20</w:t>
            </w:r>
            <w:r w:rsidR="005C0F8F" w:rsidRPr="003A2F86">
              <w:rPr>
                <w:rFonts w:ascii="Arial" w:eastAsia="Times New Roman" w:hAnsi="Arial" w:cs="Arial"/>
                <w:sz w:val="20"/>
                <w:szCs w:val="20"/>
              </w:rPr>
              <w:t>23</w:t>
            </w:r>
            <w:r w:rsidRPr="003A2F86">
              <w:rPr>
                <w:rFonts w:ascii="Arial" w:eastAsia="Times New Roman" w:hAnsi="Arial" w:cs="Arial"/>
                <w:sz w:val="20"/>
                <w:szCs w:val="20"/>
              </w:rPr>
              <w:t>./202</w:t>
            </w:r>
            <w:r w:rsidR="005C0F8F" w:rsidRPr="003A2F86">
              <w:rPr>
                <w:rFonts w:ascii="Arial" w:eastAsia="Times New Roman" w:hAnsi="Arial" w:cs="Arial"/>
                <w:sz w:val="20"/>
                <w:szCs w:val="20"/>
              </w:rPr>
              <w:t>4</w:t>
            </w:r>
            <w:r w:rsidRPr="003A2F86">
              <w:rPr>
                <w:rFonts w:ascii="Arial" w:eastAsia="Times New Roman" w:hAnsi="Arial" w:cs="Arial"/>
                <w:sz w:val="20"/>
                <w:szCs w:val="20"/>
              </w:rPr>
              <w:t>. godinu kojim su utvrđeni:</w:t>
            </w:r>
          </w:p>
          <w:p w14:paraId="1E665309" w14:textId="7CD60731" w:rsidR="00683DF3" w:rsidRPr="003A2F86" w:rsidRDefault="00E5761E" w:rsidP="005C0F8F">
            <w:pPr>
              <w:autoSpaceDE w:val="0"/>
              <w:autoSpaceDN w:val="0"/>
              <w:adjustRightInd w:val="0"/>
              <w:spacing w:after="0" w:line="240" w:lineRule="auto"/>
              <w:jc w:val="both"/>
              <w:rPr>
                <w:rFonts w:ascii="Arial" w:eastAsia="Calibri" w:hAnsi="Arial" w:cs="Arial"/>
                <w:sz w:val="20"/>
                <w:szCs w:val="20"/>
              </w:rPr>
            </w:pPr>
            <w:r w:rsidRPr="003A2F86">
              <w:rPr>
                <w:rFonts w:ascii="Arial" w:eastAsia="Times New Roman" w:hAnsi="Arial" w:cs="Arial"/>
                <w:sz w:val="20"/>
                <w:szCs w:val="20"/>
              </w:rPr>
              <w:t>ustrojstvo rada, materijalni uvjeti rada, njega i skrb za rast i razvoj djece u vrtiću, odgojno – obrazovni rad, stručno usavršavanje, suradnja s roditeljima, suradnja s društvenim čimbenicima, vrednovanje.</w:t>
            </w:r>
          </w:p>
        </w:tc>
      </w:tr>
      <w:tr w:rsidR="003613E2" w:rsidRPr="003A2F86" w14:paraId="6A7F8448" w14:textId="77777777" w:rsidTr="00E5761E">
        <w:tc>
          <w:tcPr>
            <w:tcW w:w="1683" w:type="dxa"/>
            <w:tcBorders>
              <w:top w:val="dotted" w:sz="4" w:space="0" w:color="auto"/>
              <w:left w:val="dotted" w:sz="4" w:space="0" w:color="auto"/>
              <w:bottom w:val="dotted" w:sz="4" w:space="0" w:color="auto"/>
              <w:right w:val="dotted" w:sz="4" w:space="0" w:color="auto"/>
            </w:tcBorders>
          </w:tcPr>
          <w:p w14:paraId="5F1F503A" w14:textId="77777777" w:rsidR="003752B9" w:rsidRPr="003A2F86" w:rsidRDefault="003752B9" w:rsidP="003752B9">
            <w:pPr>
              <w:spacing w:after="0" w:line="240" w:lineRule="auto"/>
              <w:rPr>
                <w:rFonts w:ascii="Arial" w:eastAsia="Calibri" w:hAnsi="Arial" w:cs="Arial"/>
                <w:sz w:val="20"/>
                <w:szCs w:val="20"/>
              </w:rPr>
            </w:pPr>
            <w:r w:rsidRPr="003A2F86">
              <w:rPr>
                <w:rFonts w:ascii="Arial" w:eastAsia="Calibri" w:hAnsi="Arial" w:cs="Arial"/>
                <w:sz w:val="20"/>
                <w:szCs w:val="20"/>
              </w:rPr>
              <w:lastRenderedPageBreak/>
              <w:t>OPĆI CILJ:</w:t>
            </w:r>
          </w:p>
        </w:tc>
        <w:tc>
          <w:tcPr>
            <w:tcW w:w="12600" w:type="dxa"/>
            <w:tcBorders>
              <w:top w:val="dotted" w:sz="4" w:space="0" w:color="auto"/>
              <w:left w:val="dotted" w:sz="4" w:space="0" w:color="auto"/>
              <w:bottom w:val="dotted" w:sz="4" w:space="0" w:color="auto"/>
              <w:right w:val="dotted" w:sz="4" w:space="0" w:color="auto"/>
            </w:tcBorders>
          </w:tcPr>
          <w:p w14:paraId="4F55972A" w14:textId="77777777" w:rsidR="003752B9" w:rsidRPr="003A2F86" w:rsidRDefault="003752B9" w:rsidP="003752B9">
            <w:pPr>
              <w:autoSpaceDE w:val="0"/>
              <w:autoSpaceDN w:val="0"/>
              <w:adjustRightInd w:val="0"/>
              <w:spacing w:after="0" w:line="240" w:lineRule="auto"/>
              <w:rPr>
                <w:rFonts w:ascii="Arial" w:hAnsi="Arial" w:cs="Arial"/>
                <w:sz w:val="20"/>
                <w:szCs w:val="20"/>
              </w:rPr>
            </w:pPr>
            <w:r w:rsidRPr="003A2F86">
              <w:rPr>
                <w:rFonts w:ascii="Arial" w:hAnsi="Arial" w:cs="Arial"/>
                <w:sz w:val="20"/>
                <w:szCs w:val="20"/>
              </w:rPr>
              <w:t>Osiguravanje redovnog rada dječjeg vrtića i redovna isplata plaća i drugih obveza u skladu s raspoloživim kapacitetom vrtića.</w:t>
            </w:r>
          </w:p>
          <w:p w14:paraId="2194F4C9" w14:textId="7CF4550A" w:rsidR="00034DBF" w:rsidRPr="003A2F86" w:rsidRDefault="003752B9" w:rsidP="00034DBF">
            <w:pPr>
              <w:autoSpaceDE w:val="0"/>
              <w:autoSpaceDN w:val="0"/>
              <w:adjustRightInd w:val="0"/>
              <w:spacing w:after="0" w:line="240" w:lineRule="auto"/>
              <w:rPr>
                <w:rFonts w:ascii="Arial" w:hAnsi="Arial" w:cs="Arial"/>
                <w:sz w:val="20"/>
                <w:szCs w:val="20"/>
              </w:rPr>
            </w:pPr>
            <w:r w:rsidRPr="003A2F86">
              <w:rPr>
                <w:rFonts w:ascii="Arial" w:hAnsi="Arial" w:cs="Arial"/>
                <w:sz w:val="20"/>
                <w:szCs w:val="20"/>
              </w:rPr>
              <w:t>Zadovoljavanje potreba stanovništva vezanih uz predškolski odgoj i obrazovanje.</w:t>
            </w:r>
          </w:p>
        </w:tc>
      </w:tr>
      <w:tr w:rsidR="003613E2" w:rsidRPr="003A2F86" w14:paraId="190F66ED" w14:textId="77777777" w:rsidTr="00E5761E">
        <w:tc>
          <w:tcPr>
            <w:tcW w:w="1683" w:type="dxa"/>
            <w:tcBorders>
              <w:top w:val="dotted" w:sz="4" w:space="0" w:color="auto"/>
              <w:left w:val="dotted" w:sz="4" w:space="0" w:color="auto"/>
              <w:bottom w:val="dotted" w:sz="4" w:space="0" w:color="auto"/>
              <w:right w:val="dotted" w:sz="4" w:space="0" w:color="auto"/>
            </w:tcBorders>
            <w:vAlign w:val="bottom"/>
          </w:tcPr>
          <w:p w14:paraId="22FC9A82" w14:textId="3B4BFDBF"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POSEBNI CILJEVI (što se programom želi postići):</w:t>
            </w:r>
          </w:p>
        </w:tc>
        <w:tc>
          <w:tcPr>
            <w:tcW w:w="12600" w:type="dxa"/>
            <w:tcBorders>
              <w:top w:val="dotted" w:sz="4" w:space="0" w:color="auto"/>
              <w:left w:val="dotted" w:sz="4" w:space="0" w:color="auto"/>
              <w:bottom w:val="dotted" w:sz="4" w:space="0" w:color="auto"/>
              <w:right w:val="dotted" w:sz="4" w:space="0" w:color="auto"/>
            </w:tcBorders>
            <w:vAlign w:val="bottom"/>
          </w:tcPr>
          <w:p w14:paraId="6D525FE7"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xml:space="preserve">Dječji vrtić Konavle je predškolska ustanova u kojoj se provode organizirani oblici izvan obiteljskog odgojno-obrazovnog rada s djecom rane i predškolske dobi. Predškolski odgoj ostvaruje se u skladu s razvojnim osobinama i potrebama djece te socijalnim, kulturnim, vjerskim i drugim potrebama obitelji. </w:t>
            </w:r>
          </w:p>
          <w:p w14:paraId="0EC7ABE1"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Programom se organizirano provodio predškolski odgoj i obrazovanje te skrb o djeci u dobi od navršene jedne godine do polaska u osnovnu školu te se pridonosilo  cjelovitom razvoju osobnosti djeteta i kvaliteti njegova života u uvjetima koji su zadovoljavali njegove potrebe i oživotvorivali prava.</w:t>
            </w:r>
          </w:p>
          <w:p w14:paraId="7B282B7F"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Redovnim radom omogućuje se normalno funkcioniranje dječjeg vrtića i zadovoljavanje potreba korisnika usluga dječjeg vrtića.</w:t>
            </w:r>
          </w:p>
          <w:p w14:paraId="4F19B2CD"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xml:space="preserve">Posebnim programima omogućuje se djeci da izraze svoje sklonosti i talente za određena područja. </w:t>
            </w:r>
          </w:p>
          <w:p w14:paraId="27ED527E" w14:textId="77777777" w:rsidR="00E5761E" w:rsidRPr="003A2F86" w:rsidRDefault="00E5761E" w:rsidP="00E5761E">
            <w:pPr>
              <w:autoSpaceDE w:val="0"/>
              <w:autoSpaceDN w:val="0"/>
              <w:adjustRightInd w:val="0"/>
              <w:spacing w:after="0" w:line="240" w:lineRule="auto"/>
              <w:rPr>
                <w:rFonts w:ascii="Arial" w:hAnsi="Arial" w:cs="Arial"/>
                <w:b/>
                <w:bCs/>
                <w:sz w:val="20"/>
                <w:szCs w:val="20"/>
              </w:rPr>
            </w:pPr>
          </w:p>
          <w:p w14:paraId="56827474" w14:textId="77777777" w:rsidR="00E5761E" w:rsidRPr="003A2F86" w:rsidRDefault="00E5761E" w:rsidP="00E5761E">
            <w:pPr>
              <w:spacing w:after="0" w:line="240" w:lineRule="auto"/>
              <w:rPr>
                <w:rFonts w:ascii="Arial" w:eastAsia="Calibri" w:hAnsi="Arial" w:cs="Arial"/>
                <w:sz w:val="20"/>
                <w:szCs w:val="20"/>
              </w:rPr>
            </w:pPr>
            <w:r w:rsidRPr="003A2F86">
              <w:rPr>
                <w:rFonts w:ascii="Arial" w:hAnsi="Arial" w:cs="Arial"/>
                <w:b/>
                <w:bCs/>
                <w:sz w:val="20"/>
                <w:szCs w:val="20"/>
              </w:rPr>
              <w:t>CILJ:</w:t>
            </w:r>
            <w:r w:rsidRPr="003A2F86">
              <w:rPr>
                <w:rFonts w:ascii="Arial" w:hAnsi="Arial" w:cs="Arial"/>
                <w:sz w:val="20"/>
                <w:szCs w:val="20"/>
              </w:rPr>
              <w:t xml:space="preserve"> Kvalitetan predškolski odgoj i obrazovanje</w:t>
            </w:r>
          </w:p>
          <w:p w14:paraId="65BA6752" w14:textId="77777777" w:rsidR="00E5761E" w:rsidRPr="003A2F86" w:rsidRDefault="00E5761E" w:rsidP="00E5761E">
            <w:pPr>
              <w:spacing w:after="0" w:line="240" w:lineRule="auto"/>
              <w:rPr>
                <w:rFonts w:ascii="Arial" w:eastAsia="Calibri" w:hAnsi="Arial" w:cs="Arial"/>
                <w:sz w:val="20"/>
                <w:szCs w:val="20"/>
              </w:rPr>
            </w:pPr>
          </w:p>
          <w:p w14:paraId="3B1AA52F"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xml:space="preserve">Programom se želi pridonijeti: - cjelovitom razvoju osobnosti djeteta i kvaliteti njegova života u uvjetima koji će zadovoljiti njegove potrebe i oživotvorivati prava; - odgovoriti na realne potrebe roditelja u svezi s ciljem omogućavanja bolje ravnoteže poslovnog i obiteljskog života obitelji s uzdržavanim članovima uključenima u programe. </w:t>
            </w:r>
          </w:p>
          <w:p w14:paraId="083FC13D" w14:textId="77777777" w:rsidR="00E5761E" w:rsidRPr="003A2F86" w:rsidRDefault="00E5761E" w:rsidP="00E5761E">
            <w:pPr>
              <w:spacing w:after="0" w:line="240" w:lineRule="auto"/>
              <w:rPr>
                <w:rFonts w:ascii="Arial" w:eastAsia="Calibri" w:hAnsi="Arial" w:cs="Arial"/>
                <w:b/>
                <w:bCs/>
                <w:sz w:val="20"/>
                <w:szCs w:val="20"/>
              </w:rPr>
            </w:pPr>
          </w:p>
          <w:p w14:paraId="10E4E760" w14:textId="77777777" w:rsidR="00E5761E" w:rsidRPr="003A2F86" w:rsidRDefault="00E5761E" w:rsidP="00E5761E">
            <w:pPr>
              <w:spacing w:after="0" w:line="240" w:lineRule="auto"/>
              <w:rPr>
                <w:rFonts w:ascii="Arial" w:eastAsia="Calibri" w:hAnsi="Arial" w:cs="Arial"/>
                <w:b/>
                <w:bCs/>
                <w:sz w:val="20"/>
                <w:szCs w:val="20"/>
              </w:rPr>
            </w:pPr>
            <w:r w:rsidRPr="003A2F86">
              <w:rPr>
                <w:rFonts w:ascii="Arial" w:eastAsia="Calibri" w:hAnsi="Arial" w:cs="Arial"/>
                <w:b/>
                <w:bCs/>
                <w:sz w:val="20"/>
                <w:szCs w:val="20"/>
              </w:rPr>
              <w:t>POSEBNI CILJEVI:</w:t>
            </w:r>
          </w:p>
          <w:p w14:paraId="388D19C7"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razvoj i unaprjeđenje djelatnosti predškolskog odgoja</w:t>
            </w:r>
          </w:p>
          <w:p w14:paraId="1822C136"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provođenje programa sukladno indikacijama u Nacionalnom kurikulumu za rani i predškolski odgoj i obrazovanje i Pedagoškim standardima</w:t>
            </w:r>
          </w:p>
          <w:p w14:paraId="085AE6E6"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poticanje djece na poštivanje i njegovanje vlastite kulture i povijesne baštine</w:t>
            </w:r>
          </w:p>
          <w:p w14:paraId="2258B476"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socijalizacija i integracija djece s teškoćama u razvoju u redoviti program odgoja i obrazovanja (Usvajanje osnovnih kulturno –higijenskih navika, razvijati samozbrinjavanje, osigurati podršku u komunikaciji i razvoju odnosa s vršnjacima)</w:t>
            </w:r>
          </w:p>
          <w:p w14:paraId="400FE178"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omogućiti pohađanje bilo redovitog programa ili skraćenog programa svoj djeci u godini pred polazak u školu (Razvijanje socijalnih kompetencija osiguravanjem kontekstualnih uvjeta koji omogućuju privikavanje na izvan obiteljski i institucijski kontekst).</w:t>
            </w:r>
          </w:p>
          <w:p w14:paraId="3C4980D3"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osposobiti buduće odgajatelje i stručne suradnike za polaganje stručnog ispita i samostalno obavljanje zadataka (Omogućiti mladim odgojiteljima praksu i mogućnost pristupanja stručnom državnom ispitu i na taj način upoznati njihov rad)</w:t>
            </w:r>
          </w:p>
          <w:p w14:paraId="6ADFFC63"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stvoriti organizacijske uvjete za podizanje kvalitete usluge.</w:t>
            </w:r>
          </w:p>
          <w:p w14:paraId="2DE244B9" w14:textId="77777777" w:rsidR="00E5761E" w:rsidRPr="003A2F86" w:rsidRDefault="00E5761E" w:rsidP="00E5761E">
            <w:pPr>
              <w:spacing w:after="0" w:line="240" w:lineRule="auto"/>
              <w:rPr>
                <w:rFonts w:ascii="Arial" w:eastAsia="Calibri" w:hAnsi="Arial" w:cs="Arial"/>
                <w:sz w:val="20"/>
                <w:szCs w:val="20"/>
              </w:rPr>
            </w:pPr>
          </w:p>
          <w:p w14:paraId="5C733044"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xml:space="preserve">Cilj se ostvaruje kroz: </w:t>
            </w:r>
          </w:p>
          <w:p w14:paraId="4A0F9059" w14:textId="77777777" w:rsidR="00E5761E" w:rsidRPr="003A2F86" w:rsidRDefault="00E5761E" w:rsidP="00E5761E">
            <w:pPr>
              <w:spacing w:after="0" w:line="240" w:lineRule="auto"/>
              <w:rPr>
                <w:rFonts w:ascii="Arial" w:eastAsia="Calibri" w:hAnsi="Arial" w:cs="Arial"/>
                <w:sz w:val="20"/>
                <w:szCs w:val="20"/>
              </w:rPr>
            </w:pPr>
          </w:p>
          <w:p w14:paraId="52217289" w14:textId="77777777" w:rsidR="00E5761E" w:rsidRPr="003A2F86" w:rsidRDefault="00E5761E" w:rsidP="00E5761E">
            <w:pPr>
              <w:spacing w:after="0" w:line="240" w:lineRule="auto"/>
              <w:rPr>
                <w:rFonts w:ascii="Arial" w:eastAsia="Calibri" w:hAnsi="Arial" w:cs="Arial"/>
                <w:b/>
                <w:sz w:val="20"/>
                <w:szCs w:val="20"/>
              </w:rPr>
            </w:pPr>
            <w:r w:rsidRPr="003A2F86">
              <w:rPr>
                <w:rFonts w:ascii="Arial" w:eastAsia="Calibri" w:hAnsi="Arial" w:cs="Arial"/>
                <w:b/>
                <w:sz w:val="20"/>
                <w:szCs w:val="20"/>
              </w:rPr>
              <w:t>1. Mrežu dječjih vrtića</w:t>
            </w:r>
          </w:p>
          <w:p w14:paraId="6833C131"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xml:space="preserve">Na području Općine Konavle se u proteklom razdoblju nije mijenjala i podrazumijeva sve objekte na svom području u kojima se provode programi ranog i predškolskog odgoja i obrazovanja. </w:t>
            </w:r>
          </w:p>
          <w:p w14:paraId="24876352" w14:textId="77777777" w:rsidR="00E5761E" w:rsidRPr="003A2F86" w:rsidRDefault="00E5761E" w:rsidP="00E5761E">
            <w:pPr>
              <w:spacing w:after="0" w:line="240" w:lineRule="auto"/>
              <w:rPr>
                <w:rFonts w:ascii="Arial" w:eastAsia="Calibri" w:hAnsi="Arial" w:cs="Arial"/>
                <w:b/>
                <w:sz w:val="20"/>
                <w:szCs w:val="20"/>
              </w:rPr>
            </w:pPr>
          </w:p>
          <w:p w14:paraId="78FA178E"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b/>
                <w:sz w:val="20"/>
                <w:szCs w:val="20"/>
              </w:rPr>
              <w:t>2.Razvoj sustava osiguranja kvalitete</w:t>
            </w:r>
            <w:r w:rsidRPr="003A2F86">
              <w:rPr>
                <w:rFonts w:ascii="Arial" w:eastAsia="Calibri" w:hAnsi="Arial" w:cs="Arial"/>
                <w:sz w:val="20"/>
                <w:szCs w:val="20"/>
              </w:rPr>
              <w:t xml:space="preserve"> </w:t>
            </w:r>
          </w:p>
          <w:p w14:paraId="2D668977"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Kontinuiranim istraživanjem, refleksijom i samo-refleksijom unapređivati kvalitetu odgojno-obrazovnog procesa koji doprinosi djetetovoj osobnoj (emocionalnoj i tjelesnoj), obrazovnoj i socijalnoj dobrobiti te njegovom cjelovitom razvoju, odgoju i učenju, razvoju njegovih kompetencija.</w:t>
            </w:r>
          </w:p>
          <w:p w14:paraId="51B45CD7" w14:textId="77777777" w:rsidR="00E5761E" w:rsidRPr="003A2F86" w:rsidRDefault="00E5761E" w:rsidP="00E5761E">
            <w:pPr>
              <w:spacing w:after="0" w:line="240" w:lineRule="auto"/>
              <w:rPr>
                <w:rFonts w:ascii="Arial" w:eastAsia="Calibri" w:hAnsi="Arial" w:cs="Arial"/>
                <w:b/>
                <w:sz w:val="20"/>
                <w:szCs w:val="20"/>
              </w:rPr>
            </w:pPr>
          </w:p>
          <w:p w14:paraId="0F5A904E" w14:textId="77777777" w:rsidR="00E5761E" w:rsidRPr="003A2F86" w:rsidRDefault="00E5761E" w:rsidP="00E5761E">
            <w:pPr>
              <w:spacing w:after="0" w:line="240" w:lineRule="auto"/>
              <w:rPr>
                <w:rFonts w:ascii="Arial" w:eastAsia="Calibri" w:hAnsi="Arial" w:cs="Arial"/>
                <w:b/>
                <w:sz w:val="20"/>
                <w:szCs w:val="20"/>
              </w:rPr>
            </w:pPr>
            <w:r w:rsidRPr="003A2F86">
              <w:rPr>
                <w:rFonts w:ascii="Arial" w:eastAsia="Calibri" w:hAnsi="Arial" w:cs="Arial"/>
                <w:b/>
                <w:sz w:val="20"/>
                <w:szCs w:val="20"/>
              </w:rPr>
              <w:t xml:space="preserve">3.Inkluzija djece s posebnim potrebama </w:t>
            </w:r>
          </w:p>
          <w:p w14:paraId="4FC02319" w14:textId="205EBEE7" w:rsidR="00E5761E" w:rsidRPr="003A2F86" w:rsidRDefault="00E5761E" w:rsidP="00E5761E">
            <w:pPr>
              <w:autoSpaceDE w:val="0"/>
              <w:autoSpaceDN w:val="0"/>
              <w:adjustRightInd w:val="0"/>
              <w:spacing w:after="0" w:line="240" w:lineRule="auto"/>
              <w:rPr>
                <w:rFonts w:ascii="Arial" w:hAnsi="Arial" w:cs="Arial"/>
                <w:sz w:val="20"/>
                <w:szCs w:val="20"/>
              </w:rPr>
            </w:pPr>
            <w:r w:rsidRPr="003A2F86">
              <w:rPr>
                <w:rFonts w:ascii="Arial" w:eastAsia="Calibri" w:hAnsi="Arial" w:cs="Arial"/>
                <w:b/>
                <w:sz w:val="20"/>
                <w:szCs w:val="20"/>
              </w:rPr>
              <w:t>Inkluzija za cilj ima uključivanje</w:t>
            </w:r>
            <w:r w:rsidRPr="003A2F86">
              <w:rPr>
                <w:rFonts w:ascii="Arial" w:eastAsia="Calibri" w:hAnsi="Arial" w:cs="Arial"/>
                <w:sz w:val="20"/>
                <w:szCs w:val="20"/>
              </w:rPr>
              <w:t xml:space="preserve"> djece s posebnim potrebama u redovite skupine naše Ustanove kako bi se osigurali jednaki uvjeti ranog i predškolskog odgoja i obrazovanja svoj djeci. Uključivanjem djece s poteškoćama u razvoju u redovite skupine zadovoljavaju se temeljna dječja prava i potrebe sve djece. </w:t>
            </w:r>
          </w:p>
        </w:tc>
      </w:tr>
      <w:tr w:rsidR="003613E2" w:rsidRPr="003A2F86" w14:paraId="31901285" w14:textId="77777777" w:rsidTr="00E5761E">
        <w:tc>
          <w:tcPr>
            <w:tcW w:w="1683" w:type="dxa"/>
            <w:tcBorders>
              <w:top w:val="dotted" w:sz="4" w:space="0" w:color="auto"/>
              <w:left w:val="dotted" w:sz="4" w:space="0" w:color="auto"/>
              <w:bottom w:val="dotted" w:sz="4" w:space="0" w:color="auto"/>
              <w:right w:val="dotted" w:sz="4" w:space="0" w:color="auto"/>
            </w:tcBorders>
            <w:vAlign w:val="bottom"/>
          </w:tcPr>
          <w:p w14:paraId="57C3AEFC" w14:textId="6734FCB2" w:rsidR="00E5761E" w:rsidRPr="003A2F86" w:rsidRDefault="00E5761E" w:rsidP="00E5761E">
            <w:pPr>
              <w:spacing w:after="0" w:line="240" w:lineRule="auto"/>
              <w:rPr>
                <w:rFonts w:ascii="Arial" w:eastAsia="Calibri" w:hAnsi="Arial" w:cs="Arial"/>
                <w:sz w:val="20"/>
                <w:szCs w:val="20"/>
              </w:rPr>
            </w:pPr>
            <w:r w:rsidRPr="003A2F86">
              <w:rPr>
                <w:rFonts w:ascii="Arial" w:hAnsi="Arial" w:cs="Arial"/>
                <w:sz w:val="20"/>
                <w:szCs w:val="20"/>
              </w:rPr>
              <w:lastRenderedPageBreak/>
              <w:t>NAČIN OSTVARENJA CILJA kako će se nastojati realizirati program, tko je korisnik usluge</w:t>
            </w:r>
          </w:p>
        </w:tc>
        <w:tc>
          <w:tcPr>
            <w:tcW w:w="12600" w:type="dxa"/>
            <w:tcBorders>
              <w:top w:val="dotted" w:sz="4" w:space="0" w:color="auto"/>
              <w:left w:val="dotted" w:sz="4" w:space="0" w:color="auto"/>
              <w:bottom w:val="dotted" w:sz="4" w:space="0" w:color="auto"/>
              <w:right w:val="dotted" w:sz="4" w:space="0" w:color="auto"/>
            </w:tcBorders>
            <w:vAlign w:val="bottom"/>
          </w:tcPr>
          <w:p w14:paraId="76CF29BA" w14:textId="77777777" w:rsidR="00E5761E" w:rsidRPr="003A2F86" w:rsidRDefault="00E5761E" w:rsidP="00E5761E">
            <w:pPr>
              <w:spacing w:after="0" w:line="240" w:lineRule="auto"/>
              <w:rPr>
                <w:rFonts w:ascii="Arial" w:hAnsi="Arial" w:cs="Arial"/>
                <w:sz w:val="20"/>
                <w:szCs w:val="20"/>
              </w:rPr>
            </w:pPr>
            <w:r w:rsidRPr="003A2F86">
              <w:rPr>
                <w:rFonts w:ascii="Arial" w:hAnsi="Arial" w:cs="Arial"/>
                <w:sz w:val="20"/>
                <w:szCs w:val="20"/>
              </w:rPr>
              <w:t xml:space="preserve">Ciljevi se ostvaruju kroz provedbu programa, a u njih je uključeno prosječno 420 djece rane i predškolske dobi koja imaju boravište ili prebivalište na području općine Konavle. Programi su se realizirali u pozitivnom socijalnom okruženju sukladno vrijednostima i načelima koje nosi Nacionalni kurikulum ranog i predškolskog odgoja. </w:t>
            </w:r>
          </w:p>
          <w:p w14:paraId="0480C873" w14:textId="77777777" w:rsidR="00E5761E" w:rsidRPr="003A2F86" w:rsidRDefault="00E5761E" w:rsidP="00E5761E">
            <w:pPr>
              <w:spacing w:after="0" w:line="240" w:lineRule="auto"/>
              <w:rPr>
                <w:rFonts w:ascii="Arial" w:hAnsi="Arial" w:cs="Arial"/>
                <w:sz w:val="20"/>
                <w:szCs w:val="20"/>
              </w:rPr>
            </w:pPr>
          </w:p>
          <w:p w14:paraId="6659D8AF" w14:textId="63862552" w:rsidR="003613E2" w:rsidRPr="003A2F86" w:rsidRDefault="00E5761E" w:rsidP="003613E2">
            <w:pPr>
              <w:spacing w:after="0" w:line="240" w:lineRule="auto"/>
              <w:rPr>
                <w:rFonts w:ascii="Arial" w:hAnsi="Arial" w:cs="Arial"/>
                <w:sz w:val="20"/>
                <w:szCs w:val="20"/>
              </w:rPr>
            </w:pPr>
            <w:r w:rsidRPr="003A2F86">
              <w:rPr>
                <w:rFonts w:ascii="Arial" w:hAnsi="Arial" w:cs="Arial"/>
                <w:sz w:val="20"/>
                <w:szCs w:val="20"/>
              </w:rPr>
              <w:t>Korisnici usluga Dječjeg vrtića Konavle u pedagoškoj godini</w:t>
            </w:r>
            <w:r w:rsidR="003613E2" w:rsidRPr="003A2F86">
              <w:rPr>
                <w:rFonts w:ascii="Arial" w:hAnsi="Arial" w:cs="Arial"/>
                <w:sz w:val="20"/>
                <w:szCs w:val="20"/>
              </w:rPr>
              <w:t xml:space="preserve"> </w:t>
            </w:r>
            <w:r w:rsidR="00FC4236">
              <w:rPr>
                <w:rFonts w:ascii="Arial" w:hAnsi="Arial" w:cs="Arial"/>
                <w:sz w:val="20"/>
                <w:szCs w:val="20"/>
              </w:rPr>
              <w:t xml:space="preserve">2024/2025 (stanje 1.10.2024.) </w:t>
            </w:r>
            <w:r w:rsidR="003613E2" w:rsidRPr="003A2F86">
              <w:rPr>
                <w:rFonts w:ascii="Arial" w:hAnsi="Arial" w:cs="Arial"/>
                <w:sz w:val="20"/>
                <w:szCs w:val="20"/>
              </w:rPr>
              <w:t xml:space="preserve">je </w:t>
            </w:r>
            <w:r w:rsidR="00FC4236">
              <w:rPr>
                <w:rFonts w:ascii="Arial" w:hAnsi="Arial" w:cs="Arial"/>
                <w:sz w:val="20"/>
                <w:szCs w:val="20"/>
              </w:rPr>
              <w:t>448</w:t>
            </w:r>
            <w:r w:rsidR="003613E2" w:rsidRPr="003A2F86">
              <w:rPr>
                <w:rFonts w:ascii="Arial" w:hAnsi="Arial" w:cs="Arial"/>
                <w:sz w:val="20"/>
                <w:szCs w:val="20"/>
              </w:rPr>
              <w:t xml:space="preserve"> djece rane i predškolske dobi koja imaju boravište ili prebivalište na području Općine Konavle (stanje 1</w:t>
            </w:r>
            <w:r w:rsidR="005C0F8F" w:rsidRPr="003A2F86">
              <w:rPr>
                <w:rFonts w:ascii="Arial" w:hAnsi="Arial" w:cs="Arial"/>
                <w:sz w:val="20"/>
                <w:szCs w:val="20"/>
              </w:rPr>
              <w:t>.6</w:t>
            </w:r>
            <w:r w:rsidR="003613E2" w:rsidRPr="003A2F86">
              <w:rPr>
                <w:rFonts w:ascii="Arial" w:hAnsi="Arial" w:cs="Arial"/>
                <w:sz w:val="20"/>
                <w:szCs w:val="20"/>
              </w:rPr>
              <w:t>.202</w:t>
            </w:r>
            <w:r w:rsidR="005C0F8F" w:rsidRPr="003A2F86">
              <w:rPr>
                <w:rFonts w:ascii="Arial" w:hAnsi="Arial" w:cs="Arial"/>
                <w:sz w:val="20"/>
                <w:szCs w:val="20"/>
              </w:rPr>
              <w:t>4</w:t>
            </w:r>
            <w:r w:rsidR="003613E2" w:rsidRPr="003A2F86">
              <w:rPr>
                <w:rFonts w:ascii="Arial" w:hAnsi="Arial" w:cs="Arial"/>
                <w:sz w:val="20"/>
                <w:szCs w:val="20"/>
              </w:rPr>
              <w:t>.)</w:t>
            </w:r>
            <w:r w:rsidR="00F12DCA">
              <w:rPr>
                <w:rFonts w:ascii="Arial" w:hAnsi="Arial" w:cs="Arial"/>
                <w:sz w:val="20"/>
                <w:szCs w:val="20"/>
              </w:rPr>
              <w:t>.</w:t>
            </w:r>
          </w:p>
          <w:p w14:paraId="39697EFA" w14:textId="77777777" w:rsidR="00E5761E" w:rsidRPr="003A2F86" w:rsidRDefault="00E5761E" w:rsidP="00E5761E">
            <w:pPr>
              <w:spacing w:after="0" w:line="240" w:lineRule="auto"/>
              <w:rPr>
                <w:rFonts w:ascii="Arial" w:hAnsi="Arial" w:cs="Arial"/>
                <w:sz w:val="20"/>
                <w:szCs w:val="20"/>
              </w:rPr>
            </w:pPr>
          </w:p>
          <w:p w14:paraId="1F391D68" w14:textId="77777777" w:rsidR="00E5761E" w:rsidRPr="003A2F86" w:rsidRDefault="00E5761E" w:rsidP="00E5761E">
            <w:pPr>
              <w:spacing w:after="0" w:line="240" w:lineRule="auto"/>
              <w:rPr>
                <w:rFonts w:ascii="Arial" w:hAnsi="Arial" w:cs="Arial"/>
                <w:sz w:val="20"/>
                <w:szCs w:val="20"/>
              </w:rPr>
            </w:pPr>
            <w:r w:rsidRPr="003A2F86">
              <w:rPr>
                <w:rFonts w:ascii="Arial" w:hAnsi="Arial" w:cs="Arial"/>
                <w:sz w:val="20"/>
                <w:szCs w:val="20"/>
              </w:rPr>
              <w:t>Programi koji se provode:</w:t>
            </w:r>
          </w:p>
          <w:p w14:paraId="6D29D76D" w14:textId="77777777" w:rsidR="00E5761E" w:rsidRPr="003A2F86" w:rsidRDefault="00E5761E">
            <w:pPr>
              <w:numPr>
                <w:ilvl w:val="0"/>
                <w:numId w:val="28"/>
              </w:numPr>
              <w:spacing w:after="0" w:line="240" w:lineRule="auto"/>
              <w:rPr>
                <w:rFonts w:ascii="Arial" w:hAnsi="Arial" w:cs="Arial"/>
                <w:sz w:val="20"/>
                <w:szCs w:val="20"/>
              </w:rPr>
            </w:pPr>
            <w:r w:rsidRPr="003A2F86">
              <w:rPr>
                <w:rFonts w:ascii="Arial" w:hAnsi="Arial" w:cs="Arial"/>
                <w:sz w:val="20"/>
                <w:szCs w:val="20"/>
              </w:rPr>
              <w:t>Redoviti cjelodnevni (u trajanju od 10 sati dnevno) i poludnevni jutarnji (u trajanju od 5 sati dnevno)</w:t>
            </w:r>
          </w:p>
          <w:p w14:paraId="793A56B9" w14:textId="77777777" w:rsidR="00E5761E" w:rsidRPr="003A2F86" w:rsidRDefault="00E5761E">
            <w:pPr>
              <w:numPr>
                <w:ilvl w:val="0"/>
                <w:numId w:val="28"/>
              </w:numPr>
              <w:spacing w:after="0" w:line="240" w:lineRule="auto"/>
              <w:rPr>
                <w:rFonts w:ascii="Arial" w:hAnsi="Arial" w:cs="Arial"/>
                <w:sz w:val="20"/>
                <w:szCs w:val="20"/>
              </w:rPr>
            </w:pPr>
            <w:r w:rsidRPr="003A2F86">
              <w:rPr>
                <w:rFonts w:ascii="Arial" w:hAnsi="Arial" w:cs="Arial"/>
                <w:sz w:val="20"/>
                <w:szCs w:val="20"/>
              </w:rPr>
              <w:t xml:space="preserve">Programi javnih potreba: Program za djecu s teškoćama u razvoju integriranih u redovite skupine. </w:t>
            </w:r>
          </w:p>
          <w:p w14:paraId="4E1DE739" w14:textId="77777777" w:rsidR="00E5761E" w:rsidRPr="003A2F86" w:rsidRDefault="00E5761E">
            <w:pPr>
              <w:numPr>
                <w:ilvl w:val="0"/>
                <w:numId w:val="28"/>
              </w:numPr>
              <w:spacing w:after="0" w:line="240" w:lineRule="auto"/>
              <w:rPr>
                <w:rFonts w:ascii="Arial" w:hAnsi="Arial" w:cs="Arial"/>
                <w:sz w:val="20"/>
                <w:szCs w:val="20"/>
              </w:rPr>
            </w:pPr>
            <w:r w:rsidRPr="003A2F86">
              <w:rPr>
                <w:rFonts w:ascii="Arial" w:hAnsi="Arial" w:cs="Arial"/>
                <w:sz w:val="20"/>
                <w:szCs w:val="20"/>
              </w:rPr>
              <w:t xml:space="preserve">Program predškole </w:t>
            </w:r>
          </w:p>
          <w:p w14:paraId="6C3C64D3" w14:textId="77777777" w:rsidR="00E5761E" w:rsidRPr="003A2F86" w:rsidRDefault="00E5761E">
            <w:pPr>
              <w:numPr>
                <w:ilvl w:val="0"/>
                <w:numId w:val="28"/>
              </w:numPr>
              <w:spacing w:after="0" w:line="240" w:lineRule="auto"/>
              <w:rPr>
                <w:rFonts w:ascii="Arial" w:hAnsi="Arial" w:cs="Arial"/>
                <w:sz w:val="20"/>
                <w:szCs w:val="20"/>
              </w:rPr>
            </w:pPr>
            <w:r w:rsidRPr="003A2F86">
              <w:rPr>
                <w:rFonts w:ascii="Arial" w:hAnsi="Arial" w:cs="Arial"/>
                <w:sz w:val="20"/>
                <w:szCs w:val="20"/>
              </w:rPr>
              <w:t xml:space="preserve">Posebni program upoznavanja i očuvanja tradicijske baštine „Igrom do baštine” integriran u redovni program </w:t>
            </w:r>
          </w:p>
          <w:p w14:paraId="63F4DACD" w14:textId="77777777" w:rsidR="00E5761E" w:rsidRPr="003A2F86" w:rsidRDefault="00E5761E">
            <w:pPr>
              <w:numPr>
                <w:ilvl w:val="0"/>
                <w:numId w:val="28"/>
              </w:numPr>
              <w:spacing w:after="0" w:line="240" w:lineRule="auto"/>
              <w:rPr>
                <w:rFonts w:ascii="Arial" w:hAnsi="Arial" w:cs="Arial"/>
                <w:sz w:val="20"/>
                <w:szCs w:val="20"/>
              </w:rPr>
            </w:pPr>
            <w:r w:rsidRPr="003A2F86">
              <w:rPr>
                <w:rFonts w:ascii="Arial" w:hAnsi="Arial" w:cs="Arial"/>
                <w:sz w:val="20"/>
                <w:szCs w:val="20"/>
              </w:rPr>
              <w:t>Posebni glazbeni program integriran u redovni program</w:t>
            </w:r>
          </w:p>
          <w:p w14:paraId="437AD6E5" w14:textId="77777777" w:rsidR="00E5761E" w:rsidRPr="003A2F86" w:rsidRDefault="00E5761E">
            <w:pPr>
              <w:numPr>
                <w:ilvl w:val="0"/>
                <w:numId w:val="28"/>
              </w:numPr>
              <w:spacing w:after="0" w:line="240" w:lineRule="auto"/>
              <w:rPr>
                <w:rFonts w:ascii="Arial" w:hAnsi="Arial" w:cs="Arial"/>
                <w:sz w:val="20"/>
                <w:szCs w:val="20"/>
              </w:rPr>
            </w:pPr>
            <w:r w:rsidRPr="003A2F86">
              <w:rPr>
                <w:rFonts w:ascii="Arial" w:hAnsi="Arial" w:cs="Arial"/>
                <w:sz w:val="20"/>
                <w:szCs w:val="20"/>
              </w:rPr>
              <w:t>Program radionica za roditelje najmlađe djece „Rastimo zajedno“</w:t>
            </w:r>
          </w:p>
          <w:p w14:paraId="5A92E2A9" w14:textId="77777777" w:rsidR="00E5761E" w:rsidRPr="003A2F86" w:rsidRDefault="00E5761E" w:rsidP="00E5761E">
            <w:pPr>
              <w:spacing w:after="0" w:line="240" w:lineRule="auto"/>
              <w:rPr>
                <w:rFonts w:ascii="Arial" w:hAnsi="Arial" w:cs="Arial"/>
                <w:sz w:val="20"/>
                <w:szCs w:val="20"/>
              </w:rPr>
            </w:pPr>
          </w:p>
          <w:p w14:paraId="091CD124" w14:textId="16B1EDB6" w:rsidR="00E5761E" w:rsidRPr="003A2F86" w:rsidRDefault="00E5761E" w:rsidP="008F1970">
            <w:pPr>
              <w:spacing w:after="0" w:line="240" w:lineRule="auto"/>
              <w:rPr>
                <w:rFonts w:ascii="Arial" w:eastAsia="Calibri" w:hAnsi="Arial" w:cs="Arial"/>
                <w:sz w:val="20"/>
                <w:szCs w:val="20"/>
              </w:rPr>
            </w:pPr>
            <w:r w:rsidRPr="003A2F86">
              <w:rPr>
                <w:rFonts w:ascii="Arial" w:hAnsi="Arial" w:cs="Arial"/>
                <w:sz w:val="20"/>
                <w:szCs w:val="20"/>
              </w:rPr>
              <w:t xml:space="preserve">Programi </w:t>
            </w:r>
            <w:r w:rsidR="00FC4236">
              <w:rPr>
                <w:rFonts w:ascii="Arial" w:hAnsi="Arial" w:cs="Arial"/>
                <w:sz w:val="20"/>
                <w:szCs w:val="20"/>
              </w:rPr>
              <w:t>se</w:t>
            </w:r>
            <w:r w:rsidRPr="003A2F86">
              <w:rPr>
                <w:rFonts w:ascii="Arial" w:hAnsi="Arial" w:cs="Arial"/>
                <w:sz w:val="20"/>
                <w:szCs w:val="20"/>
              </w:rPr>
              <w:t xml:space="preserve"> realizira</w:t>
            </w:r>
            <w:r w:rsidR="00FC4236">
              <w:rPr>
                <w:rFonts w:ascii="Arial" w:hAnsi="Arial" w:cs="Arial"/>
                <w:sz w:val="20"/>
                <w:szCs w:val="20"/>
              </w:rPr>
              <w:t>ju</w:t>
            </w:r>
            <w:r w:rsidRPr="003A2F86">
              <w:rPr>
                <w:rFonts w:ascii="Arial" w:hAnsi="Arial" w:cs="Arial"/>
                <w:sz w:val="20"/>
                <w:szCs w:val="20"/>
              </w:rPr>
              <w:t xml:space="preserve"> u pozitivnom socijalnom okruženju sukladno vrijednostima i načelima koje donosi Nacionalni kurikulum ranog i predškolskog odgoja.</w:t>
            </w:r>
          </w:p>
        </w:tc>
      </w:tr>
      <w:tr w:rsidR="003613E2" w:rsidRPr="003A2F86" w14:paraId="6E364FDE" w14:textId="77777777" w:rsidTr="00E5761E">
        <w:tc>
          <w:tcPr>
            <w:tcW w:w="1683" w:type="dxa"/>
            <w:tcBorders>
              <w:top w:val="dotted" w:sz="4" w:space="0" w:color="auto"/>
              <w:left w:val="dotted" w:sz="4" w:space="0" w:color="auto"/>
              <w:bottom w:val="dotted" w:sz="4" w:space="0" w:color="auto"/>
              <w:right w:val="dotted" w:sz="4" w:space="0" w:color="auto"/>
            </w:tcBorders>
            <w:vAlign w:val="bottom"/>
          </w:tcPr>
          <w:p w14:paraId="5D50240D" w14:textId="2548A92A" w:rsidR="00E5761E" w:rsidRPr="003A2F86" w:rsidRDefault="00E5761E" w:rsidP="00E5761E">
            <w:pPr>
              <w:spacing w:after="0" w:line="240" w:lineRule="auto"/>
              <w:rPr>
                <w:rFonts w:ascii="Arial" w:hAnsi="Arial" w:cs="Arial"/>
                <w:sz w:val="20"/>
                <w:szCs w:val="20"/>
              </w:rPr>
            </w:pPr>
            <w:r w:rsidRPr="003A2F86">
              <w:rPr>
                <w:rFonts w:ascii="Arial" w:eastAsia="Calibri" w:hAnsi="Arial" w:cs="Arial"/>
                <w:sz w:val="20"/>
                <w:szCs w:val="20"/>
              </w:rPr>
              <w:t>Pokazatelji rezultata na kojima se zasnivaju izračuni i ocjene potrebnih sredstava:</w:t>
            </w:r>
          </w:p>
        </w:tc>
        <w:tc>
          <w:tcPr>
            <w:tcW w:w="12600" w:type="dxa"/>
            <w:tcBorders>
              <w:top w:val="dotted" w:sz="4" w:space="0" w:color="auto"/>
              <w:left w:val="dotted" w:sz="4" w:space="0" w:color="auto"/>
              <w:bottom w:val="dotted" w:sz="4" w:space="0" w:color="auto"/>
              <w:right w:val="dotted" w:sz="4" w:space="0" w:color="auto"/>
            </w:tcBorders>
            <w:vAlign w:val="bottom"/>
          </w:tcPr>
          <w:p w14:paraId="6F8E84A0"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xml:space="preserve">Kontinuirano praćenje i analiza potreba za održavanjem kvalitete: </w:t>
            </w:r>
          </w:p>
          <w:p w14:paraId="4982E9D5"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xml:space="preserve">- materijalnog okruženja u odgojnim skupinama </w:t>
            </w:r>
          </w:p>
          <w:p w14:paraId="3E516606"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prehrane djece (sukladno Prehrambenom standardu za planiranje prehrane djece u dječjem vrtiću – jelovnici i normativi, Zagreb,2007.g.)</w:t>
            </w:r>
          </w:p>
          <w:p w14:paraId="6683ED5F" w14:textId="44DB38B8"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održavanje objekata (najnužniji radovi)</w:t>
            </w:r>
          </w:p>
        </w:tc>
      </w:tr>
      <w:tr w:rsidR="003613E2" w:rsidRPr="003A2F86" w14:paraId="76D550B8" w14:textId="77777777" w:rsidTr="00E5761E">
        <w:tc>
          <w:tcPr>
            <w:tcW w:w="1683" w:type="dxa"/>
            <w:tcBorders>
              <w:top w:val="dotted" w:sz="4" w:space="0" w:color="auto"/>
              <w:left w:val="dotted" w:sz="4" w:space="0" w:color="auto"/>
              <w:bottom w:val="dotted" w:sz="4" w:space="0" w:color="auto"/>
              <w:right w:val="dotted" w:sz="4" w:space="0" w:color="auto"/>
            </w:tcBorders>
            <w:vAlign w:val="bottom"/>
          </w:tcPr>
          <w:p w14:paraId="28C8705C" w14:textId="1C368357" w:rsidR="00E5761E" w:rsidRPr="003A2F86" w:rsidRDefault="00E5761E" w:rsidP="00E5761E">
            <w:pPr>
              <w:spacing w:after="0" w:line="240" w:lineRule="auto"/>
              <w:rPr>
                <w:rFonts w:ascii="Arial" w:hAnsi="Arial" w:cs="Arial"/>
                <w:sz w:val="18"/>
                <w:szCs w:val="18"/>
              </w:rPr>
            </w:pPr>
            <w:r w:rsidRPr="003A2F86">
              <w:rPr>
                <w:rFonts w:ascii="Arial" w:eastAsia="Calibri" w:hAnsi="Arial" w:cs="Arial"/>
                <w:sz w:val="18"/>
                <w:szCs w:val="18"/>
              </w:rPr>
              <w:t xml:space="preserve">INSTITUCIJE, DRUŠTVA I STRUČNE OSOBE </w:t>
            </w:r>
            <w:r w:rsidRPr="003A2F86">
              <w:rPr>
                <w:rFonts w:ascii="Arial" w:eastAsia="Calibri" w:hAnsi="Arial" w:cs="Arial"/>
                <w:sz w:val="18"/>
                <w:szCs w:val="18"/>
              </w:rPr>
              <w:lastRenderedPageBreak/>
              <w:t>U PROVEDBI PROGRAMA:</w:t>
            </w:r>
          </w:p>
        </w:tc>
        <w:tc>
          <w:tcPr>
            <w:tcW w:w="12600" w:type="dxa"/>
            <w:tcBorders>
              <w:top w:val="dotted" w:sz="4" w:space="0" w:color="auto"/>
              <w:left w:val="dotted" w:sz="4" w:space="0" w:color="auto"/>
              <w:bottom w:val="dotted" w:sz="4" w:space="0" w:color="auto"/>
              <w:right w:val="dotted" w:sz="4" w:space="0" w:color="auto"/>
            </w:tcBorders>
          </w:tcPr>
          <w:p w14:paraId="725971C0"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lastRenderedPageBreak/>
              <w:t>Program su realizirali djelatnici Dječjeg vrtića: odgojno-obrazovni radnici (odgojitelji i stručni suradnici) te administrativno i tehničko osoblje (svi ostali radnici).</w:t>
            </w:r>
          </w:p>
          <w:p w14:paraId="2C8B4B52" w14:textId="6C6DC816" w:rsidR="00E5761E" w:rsidRPr="003A2F86" w:rsidRDefault="00E5761E" w:rsidP="00E5761E">
            <w:pPr>
              <w:spacing w:after="0" w:line="240" w:lineRule="auto"/>
              <w:rPr>
                <w:rFonts w:ascii="Arial" w:hAnsi="Arial" w:cs="Arial"/>
                <w:sz w:val="20"/>
                <w:szCs w:val="20"/>
              </w:rPr>
            </w:pPr>
            <w:r w:rsidRPr="003A2F86">
              <w:rPr>
                <w:rFonts w:ascii="Arial" w:eastAsia="Calibri" w:hAnsi="Arial" w:cs="Arial"/>
                <w:sz w:val="20"/>
                <w:szCs w:val="20"/>
              </w:rPr>
              <w:t>Ostvarivanje ciljeva postizalo se i u suradnji sa Općinom Konavle, ZZJZ DN županije, Ministarstvom znanosti i obrazovanja, Agencija za odgoj i obrazovanje, drugi dječji vrtići DNŽ te mnogim drugim.</w:t>
            </w:r>
          </w:p>
        </w:tc>
      </w:tr>
      <w:tr w:rsidR="003613E2" w:rsidRPr="003A2F86" w14:paraId="59E1A361" w14:textId="77777777" w:rsidTr="00E5761E">
        <w:tc>
          <w:tcPr>
            <w:tcW w:w="1683" w:type="dxa"/>
            <w:tcBorders>
              <w:top w:val="dotted" w:sz="4" w:space="0" w:color="auto"/>
              <w:left w:val="dotted" w:sz="4" w:space="0" w:color="auto"/>
              <w:bottom w:val="dotted" w:sz="4" w:space="0" w:color="auto"/>
              <w:right w:val="dotted" w:sz="4" w:space="0" w:color="auto"/>
            </w:tcBorders>
            <w:vAlign w:val="bottom"/>
          </w:tcPr>
          <w:p w14:paraId="1FDCF03B" w14:textId="4AA1DF37" w:rsidR="00E5761E" w:rsidRPr="003A2F86" w:rsidRDefault="00E5761E" w:rsidP="00E5761E">
            <w:pPr>
              <w:spacing w:after="0" w:line="240" w:lineRule="auto"/>
              <w:rPr>
                <w:rFonts w:ascii="Arial" w:hAnsi="Arial" w:cs="Arial"/>
                <w:sz w:val="20"/>
                <w:szCs w:val="20"/>
              </w:rPr>
            </w:pPr>
            <w:r w:rsidRPr="003A2F86">
              <w:rPr>
                <w:rFonts w:ascii="Arial" w:eastAsia="Calibri" w:hAnsi="Arial" w:cs="Arial"/>
                <w:sz w:val="20"/>
                <w:szCs w:val="20"/>
              </w:rPr>
              <w:t>POKAZATELJI USPJEŠNOSTI:</w:t>
            </w:r>
          </w:p>
        </w:tc>
        <w:tc>
          <w:tcPr>
            <w:tcW w:w="12600" w:type="dxa"/>
            <w:tcBorders>
              <w:top w:val="dotted" w:sz="4" w:space="0" w:color="auto"/>
              <w:left w:val="dotted" w:sz="4" w:space="0" w:color="auto"/>
              <w:bottom w:val="dotted" w:sz="4" w:space="0" w:color="auto"/>
              <w:right w:val="dotted" w:sz="4" w:space="0" w:color="auto"/>
            </w:tcBorders>
            <w:vAlign w:val="bottom"/>
          </w:tcPr>
          <w:p w14:paraId="3EFD181F"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Postignuća u odgojno-obrazovnom procesu vide se u svakodnevnim aktivnostima djece, suradnji s roditeljima i društvenom zajednicom, dokumentiranju i valorizaciji procesa, prezentiranju rada odgojitelja na razini općine, županije i šire.</w:t>
            </w:r>
          </w:p>
          <w:p w14:paraId="0E93409F"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Kao pokazatelj uspješnosti je i:</w:t>
            </w:r>
          </w:p>
          <w:p w14:paraId="4222C1B1"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 xml:space="preserve">- djeca s teškoćama u razvoju postižu vidljive rezultate u socijalizaciji i njihovom razvoju unatoč poteškoći koju posjeduju </w:t>
            </w:r>
          </w:p>
          <w:p w14:paraId="79F8D3C8" w14:textId="4A6D8A67" w:rsidR="00E5761E" w:rsidRPr="003A2F86" w:rsidRDefault="00E5761E" w:rsidP="00E5761E">
            <w:pPr>
              <w:spacing w:after="0" w:line="240" w:lineRule="auto"/>
              <w:rPr>
                <w:rFonts w:ascii="Arial" w:hAnsi="Arial" w:cs="Arial"/>
                <w:sz w:val="20"/>
                <w:szCs w:val="20"/>
              </w:rPr>
            </w:pPr>
            <w:r w:rsidRPr="003A2F86">
              <w:rPr>
                <w:rFonts w:ascii="Arial" w:eastAsia="Calibri" w:hAnsi="Arial" w:cs="Arial"/>
                <w:sz w:val="20"/>
                <w:szCs w:val="20"/>
              </w:rPr>
              <w:t>- uspješno odrađen pripravnički staž te položen stručni ispit svih pripravnika u ustanovi.</w:t>
            </w:r>
          </w:p>
        </w:tc>
      </w:tr>
      <w:tr w:rsidR="003613E2" w:rsidRPr="003A2F86" w14:paraId="4A90C4B2" w14:textId="77777777" w:rsidTr="00E5761E">
        <w:tc>
          <w:tcPr>
            <w:tcW w:w="1683" w:type="dxa"/>
            <w:tcBorders>
              <w:top w:val="dotted" w:sz="4" w:space="0" w:color="auto"/>
              <w:left w:val="dotted" w:sz="4" w:space="0" w:color="auto"/>
              <w:bottom w:val="dotted" w:sz="4" w:space="0" w:color="auto"/>
              <w:right w:val="dotted" w:sz="4" w:space="0" w:color="auto"/>
            </w:tcBorders>
            <w:vAlign w:val="bottom"/>
          </w:tcPr>
          <w:p w14:paraId="4A31DFC8" w14:textId="0EB4F4BC"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PROCJENA NEPREDVIĐENIH RASHODA:</w:t>
            </w:r>
          </w:p>
        </w:tc>
        <w:tc>
          <w:tcPr>
            <w:tcW w:w="12600" w:type="dxa"/>
            <w:tcBorders>
              <w:top w:val="dotted" w:sz="4" w:space="0" w:color="auto"/>
              <w:left w:val="dotted" w:sz="4" w:space="0" w:color="auto"/>
              <w:bottom w:val="dotted" w:sz="4" w:space="0" w:color="auto"/>
              <w:right w:val="dotted" w:sz="4" w:space="0" w:color="auto"/>
            </w:tcBorders>
            <w:vAlign w:val="bottom"/>
          </w:tcPr>
          <w:p w14:paraId="4F1D9874"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U ovoj djelatnosti kao nepredviđeni rashodi procjenjuju se eventualno veći kvarovi na opremi, te dodatna ulaganja /popravci na objektima vrtića.</w:t>
            </w:r>
          </w:p>
          <w:p w14:paraId="3D6E70E8" w14:textId="77777777"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Nepredviđeni rizici su poremećaji u ostvarenju prihoda proračuna planiranih za ovu namjenu.</w:t>
            </w:r>
          </w:p>
          <w:p w14:paraId="7662E24E" w14:textId="50EE5B28" w:rsidR="00E5761E" w:rsidRPr="003A2F86" w:rsidRDefault="00E5761E" w:rsidP="00E5761E">
            <w:pPr>
              <w:spacing w:after="0" w:line="240" w:lineRule="auto"/>
              <w:rPr>
                <w:rFonts w:ascii="Arial" w:eastAsia="Calibri" w:hAnsi="Arial" w:cs="Arial"/>
                <w:sz w:val="20"/>
                <w:szCs w:val="20"/>
              </w:rPr>
            </w:pPr>
            <w:r w:rsidRPr="003A2F86">
              <w:rPr>
                <w:rFonts w:ascii="Arial" w:eastAsia="Calibri" w:hAnsi="Arial" w:cs="Arial"/>
                <w:sz w:val="20"/>
                <w:szCs w:val="20"/>
              </w:rPr>
              <w:t>Nadalje, mogući rizik je i duža odsutnost zaposlenika vrtića i mogućnost njihove zamjene, te neplanirana poskupljenja materijala, sirovina i energije.</w:t>
            </w:r>
          </w:p>
        </w:tc>
      </w:tr>
    </w:tbl>
    <w:p w14:paraId="3902A003" w14:textId="77777777" w:rsidR="003752B9" w:rsidRPr="003A2F86" w:rsidRDefault="003752B9" w:rsidP="003752B9">
      <w:pPr>
        <w:spacing w:after="0" w:line="240" w:lineRule="auto"/>
        <w:jc w:val="both"/>
        <w:rPr>
          <w:rFonts w:ascii="Arial" w:eastAsia="Calibri" w:hAnsi="Arial" w:cs="Arial"/>
          <w:sz w:val="20"/>
          <w:szCs w:val="20"/>
        </w:rPr>
      </w:pPr>
    </w:p>
    <w:p w14:paraId="4D302558" w14:textId="77777777" w:rsidR="00636182" w:rsidRPr="003A2F86" w:rsidRDefault="00636182" w:rsidP="003752B9">
      <w:pPr>
        <w:spacing w:after="0" w:line="240" w:lineRule="auto"/>
        <w:jc w:val="both"/>
        <w:rPr>
          <w:rFonts w:ascii="Arial" w:eastAsia="Calibri" w:hAnsi="Arial" w:cs="Arial"/>
          <w:sz w:val="20"/>
          <w:szCs w:val="20"/>
        </w:rPr>
      </w:pPr>
    </w:p>
    <w:p w14:paraId="153FC467" w14:textId="77777777" w:rsidR="00636182" w:rsidRPr="003A2F86" w:rsidRDefault="00636182" w:rsidP="003752B9">
      <w:pPr>
        <w:spacing w:after="0" w:line="240" w:lineRule="auto"/>
        <w:jc w:val="both"/>
        <w:rPr>
          <w:rFonts w:ascii="Arial" w:eastAsia="Calibri" w:hAnsi="Arial" w:cs="Arial"/>
          <w:sz w:val="20"/>
          <w:szCs w:val="20"/>
        </w:rPr>
      </w:pPr>
    </w:p>
    <w:p w14:paraId="2437B2D3" w14:textId="77777777" w:rsidR="00636182" w:rsidRPr="003A2F86" w:rsidRDefault="00636182" w:rsidP="003752B9">
      <w:pPr>
        <w:spacing w:after="0" w:line="240" w:lineRule="auto"/>
        <w:jc w:val="both"/>
        <w:rPr>
          <w:rFonts w:ascii="Arial" w:eastAsia="Calibri" w:hAnsi="Arial" w:cs="Arial"/>
          <w:sz w:val="20"/>
          <w:szCs w:val="20"/>
        </w:rPr>
      </w:pPr>
    </w:p>
    <w:p w14:paraId="6EC65E41" w14:textId="77777777" w:rsidR="00636182" w:rsidRPr="003A2F86" w:rsidRDefault="00636182" w:rsidP="003752B9">
      <w:pPr>
        <w:spacing w:after="0" w:line="240" w:lineRule="auto"/>
        <w:jc w:val="both"/>
        <w:rPr>
          <w:rFonts w:ascii="Arial" w:eastAsia="Calibri" w:hAnsi="Arial" w:cs="Arial"/>
          <w:sz w:val="20"/>
          <w:szCs w:val="20"/>
        </w:rPr>
      </w:pPr>
    </w:p>
    <w:p w14:paraId="615D9DC6" w14:textId="77777777" w:rsidR="00636182" w:rsidRPr="003A2F86" w:rsidRDefault="00636182" w:rsidP="003752B9">
      <w:pPr>
        <w:spacing w:after="0" w:line="240" w:lineRule="auto"/>
        <w:jc w:val="both"/>
        <w:rPr>
          <w:rFonts w:ascii="Arial" w:eastAsia="Calibri" w:hAnsi="Arial" w:cs="Arial"/>
          <w:sz w:val="20"/>
          <w:szCs w:val="20"/>
        </w:rPr>
      </w:pPr>
    </w:p>
    <w:p w14:paraId="0010DBB6" w14:textId="77777777" w:rsidR="00636182" w:rsidRPr="003A2F86" w:rsidRDefault="00636182" w:rsidP="003752B9">
      <w:pPr>
        <w:spacing w:after="0" w:line="240" w:lineRule="auto"/>
        <w:jc w:val="both"/>
        <w:rPr>
          <w:rFonts w:ascii="Arial" w:eastAsia="Calibri" w:hAnsi="Arial" w:cs="Arial"/>
          <w:sz w:val="20"/>
          <w:szCs w:val="20"/>
        </w:rPr>
      </w:pPr>
    </w:p>
    <w:p w14:paraId="4AA6EB1C" w14:textId="77777777" w:rsidR="00636182" w:rsidRPr="003A2F86" w:rsidRDefault="00636182" w:rsidP="003752B9">
      <w:pPr>
        <w:spacing w:after="0" w:line="240" w:lineRule="auto"/>
        <w:jc w:val="both"/>
        <w:rPr>
          <w:rFonts w:ascii="Arial" w:eastAsia="Calibri" w:hAnsi="Arial" w:cs="Arial"/>
          <w:sz w:val="20"/>
          <w:szCs w:val="20"/>
        </w:rPr>
      </w:pPr>
    </w:p>
    <w:p w14:paraId="249A0F04" w14:textId="77777777" w:rsidR="00636182" w:rsidRPr="003A2F86" w:rsidRDefault="00636182" w:rsidP="003752B9">
      <w:pPr>
        <w:spacing w:after="0" w:line="240" w:lineRule="auto"/>
        <w:jc w:val="both"/>
        <w:rPr>
          <w:rFonts w:ascii="Arial" w:eastAsia="Calibri" w:hAnsi="Arial" w:cs="Arial"/>
          <w:sz w:val="20"/>
          <w:szCs w:val="20"/>
        </w:rPr>
      </w:pPr>
    </w:p>
    <w:p w14:paraId="15417486" w14:textId="77777777" w:rsidR="00636182" w:rsidRPr="003A2F86" w:rsidRDefault="00636182" w:rsidP="003752B9">
      <w:pPr>
        <w:spacing w:after="0" w:line="240" w:lineRule="auto"/>
        <w:jc w:val="both"/>
        <w:rPr>
          <w:rFonts w:ascii="Arial" w:eastAsia="Calibri" w:hAnsi="Arial" w:cs="Arial"/>
          <w:sz w:val="20"/>
          <w:szCs w:val="20"/>
        </w:rPr>
      </w:pPr>
    </w:p>
    <w:p w14:paraId="0EED38F2" w14:textId="77777777" w:rsidR="00636182" w:rsidRPr="003A2F86" w:rsidRDefault="00636182" w:rsidP="003752B9">
      <w:pPr>
        <w:spacing w:after="0" w:line="240" w:lineRule="auto"/>
        <w:jc w:val="both"/>
        <w:rPr>
          <w:rFonts w:ascii="Arial" w:eastAsia="Calibri" w:hAnsi="Arial" w:cs="Arial"/>
          <w:sz w:val="20"/>
          <w:szCs w:val="20"/>
        </w:rPr>
      </w:pPr>
    </w:p>
    <w:p w14:paraId="6481717B" w14:textId="77777777" w:rsidR="00636182" w:rsidRPr="003A2F86" w:rsidRDefault="00636182" w:rsidP="003752B9">
      <w:pPr>
        <w:spacing w:after="0" w:line="240" w:lineRule="auto"/>
        <w:jc w:val="both"/>
        <w:rPr>
          <w:rFonts w:ascii="Arial" w:eastAsia="Calibri" w:hAnsi="Arial" w:cs="Arial"/>
          <w:sz w:val="20"/>
          <w:szCs w:val="20"/>
        </w:rPr>
      </w:pPr>
    </w:p>
    <w:p w14:paraId="63CC80E2" w14:textId="77777777" w:rsidR="00636182" w:rsidRPr="003A2F86" w:rsidRDefault="00636182" w:rsidP="003752B9">
      <w:pPr>
        <w:spacing w:after="0" w:line="240" w:lineRule="auto"/>
        <w:jc w:val="both"/>
        <w:rPr>
          <w:rFonts w:ascii="Arial" w:eastAsia="Calibri" w:hAnsi="Arial" w:cs="Arial"/>
          <w:sz w:val="20"/>
          <w:szCs w:val="20"/>
        </w:rPr>
      </w:pPr>
    </w:p>
    <w:p w14:paraId="7C14790B" w14:textId="77777777" w:rsidR="008F1970" w:rsidRPr="003A2F86" w:rsidRDefault="008F1970" w:rsidP="003752B9">
      <w:pPr>
        <w:spacing w:after="0" w:line="240" w:lineRule="auto"/>
        <w:jc w:val="both"/>
        <w:rPr>
          <w:rFonts w:ascii="Arial" w:eastAsia="Calibri" w:hAnsi="Arial" w:cs="Arial"/>
          <w:sz w:val="20"/>
          <w:szCs w:val="20"/>
        </w:rPr>
      </w:pPr>
    </w:p>
    <w:p w14:paraId="6CA3A300" w14:textId="77777777" w:rsidR="008F1970" w:rsidRPr="003A2F86" w:rsidRDefault="008F1970" w:rsidP="003752B9">
      <w:pPr>
        <w:spacing w:after="0" w:line="240" w:lineRule="auto"/>
        <w:jc w:val="both"/>
        <w:rPr>
          <w:rFonts w:ascii="Arial" w:eastAsia="Calibri" w:hAnsi="Arial" w:cs="Arial"/>
          <w:sz w:val="20"/>
          <w:szCs w:val="20"/>
        </w:rPr>
      </w:pPr>
    </w:p>
    <w:p w14:paraId="10CE6F32" w14:textId="77777777" w:rsidR="008F1970" w:rsidRPr="003A2F86" w:rsidRDefault="008F1970" w:rsidP="003752B9">
      <w:pPr>
        <w:spacing w:after="0" w:line="240" w:lineRule="auto"/>
        <w:jc w:val="both"/>
        <w:rPr>
          <w:rFonts w:ascii="Arial" w:eastAsia="Calibri" w:hAnsi="Arial" w:cs="Arial"/>
          <w:sz w:val="20"/>
          <w:szCs w:val="20"/>
        </w:rPr>
      </w:pPr>
    </w:p>
    <w:p w14:paraId="5E4A5C69" w14:textId="77777777" w:rsidR="008F1970" w:rsidRPr="003A2F86" w:rsidRDefault="008F1970" w:rsidP="003752B9">
      <w:pPr>
        <w:spacing w:after="0" w:line="240" w:lineRule="auto"/>
        <w:jc w:val="both"/>
        <w:rPr>
          <w:rFonts w:ascii="Arial" w:eastAsia="Calibri" w:hAnsi="Arial" w:cs="Arial"/>
          <w:sz w:val="20"/>
          <w:szCs w:val="20"/>
        </w:rPr>
      </w:pPr>
    </w:p>
    <w:p w14:paraId="43F0415B" w14:textId="77777777" w:rsidR="00636182" w:rsidRPr="003A2F86" w:rsidRDefault="00636182" w:rsidP="003752B9">
      <w:pPr>
        <w:spacing w:after="0" w:line="240" w:lineRule="auto"/>
        <w:jc w:val="both"/>
        <w:rPr>
          <w:rFonts w:ascii="Arial" w:eastAsia="Calibri" w:hAnsi="Arial" w:cs="Arial"/>
          <w:sz w:val="20"/>
          <w:szCs w:val="20"/>
        </w:rPr>
      </w:pPr>
    </w:p>
    <w:p w14:paraId="19159B62" w14:textId="77777777" w:rsidR="00636182" w:rsidRPr="003A2F86" w:rsidRDefault="00636182" w:rsidP="003752B9">
      <w:pPr>
        <w:spacing w:after="0" w:line="240" w:lineRule="auto"/>
        <w:jc w:val="both"/>
        <w:rPr>
          <w:rFonts w:ascii="Arial" w:eastAsia="Calibri" w:hAnsi="Arial" w:cs="Arial"/>
          <w:sz w:val="20"/>
          <w:szCs w:val="20"/>
        </w:rPr>
      </w:pPr>
    </w:p>
    <w:p w14:paraId="0C89C3FE" w14:textId="77777777" w:rsidR="00636182" w:rsidRPr="003A2F86" w:rsidRDefault="00636182" w:rsidP="003752B9">
      <w:pPr>
        <w:spacing w:after="0" w:line="240" w:lineRule="auto"/>
        <w:jc w:val="both"/>
        <w:rPr>
          <w:rFonts w:ascii="Arial" w:eastAsia="Calibri" w:hAnsi="Arial" w:cs="Arial"/>
          <w:sz w:val="20"/>
          <w:szCs w:val="20"/>
        </w:rPr>
      </w:pPr>
    </w:p>
    <w:p w14:paraId="274F5E79" w14:textId="77777777" w:rsidR="00A63BE4" w:rsidRDefault="00A63BE4" w:rsidP="003752B9">
      <w:pPr>
        <w:spacing w:after="0" w:line="240" w:lineRule="auto"/>
        <w:jc w:val="both"/>
        <w:rPr>
          <w:rFonts w:ascii="Arial" w:eastAsia="Calibri" w:hAnsi="Arial" w:cs="Arial"/>
          <w:sz w:val="20"/>
          <w:szCs w:val="20"/>
        </w:rPr>
      </w:pPr>
    </w:p>
    <w:p w14:paraId="7C1B6A47" w14:textId="77777777" w:rsidR="00E1279C" w:rsidRDefault="00E1279C" w:rsidP="003752B9">
      <w:pPr>
        <w:spacing w:after="0" w:line="240" w:lineRule="auto"/>
        <w:jc w:val="both"/>
        <w:rPr>
          <w:rFonts w:ascii="Arial" w:eastAsia="Calibri" w:hAnsi="Arial" w:cs="Arial"/>
          <w:sz w:val="20"/>
          <w:szCs w:val="20"/>
        </w:rPr>
      </w:pPr>
    </w:p>
    <w:p w14:paraId="37C6B05A" w14:textId="77777777" w:rsidR="00E1279C" w:rsidRPr="003A2F86" w:rsidRDefault="00E1279C" w:rsidP="003752B9">
      <w:pPr>
        <w:spacing w:after="0" w:line="240" w:lineRule="auto"/>
        <w:jc w:val="both"/>
        <w:rPr>
          <w:rFonts w:ascii="Arial" w:eastAsia="Calibri" w:hAnsi="Arial" w:cs="Arial"/>
          <w:sz w:val="20"/>
          <w:szCs w:val="20"/>
        </w:rPr>
      </w:pPr>
    </w:p>
    <w:p w14:paraId="24C1B3AA" w14:textId="77777777" w:rsidR="00A63BE4" w:rsidRPr="003A2F86" w:rsidRDefault="00A63BE4" w:rsidP="003752B9">
      <w:pPr>
        <w:spacing w:after="0" w:line="240" w:lineRule="auto"/>
        <w:jc w:val="both"/>
        <w:rPr>
          <w:rFonts w:ascii="Arial" w:eastAsia="Calibri" w:hAnsi="Arial" w:cs="Arial"/>
          <w:sz w:val="20"/>
          <w:szCs w:val="20"/>
        </w:rPr>
      </w:pPr>
    </w:p>
    <w:p w14:paraId="0D85A241" w14:textId="77777777" w:rsidR="00636182" w:rsidRPr="003A2F86" w:rsidRDefault="00636182" w:rsidP="003752B9">
      <w:pPr>
        <w:spacing w:after="0" w:line="240" w:lineRule="auto"/>
        <w:jc w:val="both"/>
        <w:rPr>
          <w:rFonts w:ascii="Arial" w:eastAsia="Calibri" w:hAnsi="Arial" w:cs="Arial"/>
          <w:sz w:val="20"/>
          <w:szCs w:val="20"/>
        </w:rPr>
      </w:pPr>
    </w:p>
    <w:p w14:paraId="6F0A1A6B" w14:textId="77777777" w:rsidR="00636182" w:rsidRPr="003A2F86" w:rsidRDefault="00636182" w:rsidP="003752B9">
      <w:pPr>
        <w:spacing w:after="0" w:line="240" w:lineRule="auto"/>
        <w:jc w:val="both"/>
        <w:rPr>
          <w:rFonts w:ascii="Arial" w:eastAsia="Calibri" w:hAnsi="Arial" w:cs="Arial"/>
          <w:sz w:val="20"/>
          <w:szCs w:val="20"/>
        </w:rPr>
      </w:pPr>
    </w:p>
    <w:p w14:paraId="49CE0ACB" w14:textId="77777777" w:rsidR="00636182" w:rsidRDefault="00636182" w:rsidP="003752B9">
      <w:pPr>
        <w:spacing w:after="0" w:line="240" w:lineRule="auto"/>
        <w:jc w:val="both"/>
        <w:rPr>
          <w:rFonts w:ascii="Arial" w:eastAsia="Calibri" w:hAnsi="Arial" w:cs="Arial"/>
          <w:sz w:val="20"/>
          <w:szCs w:val="20"/>
        </w:rPr>
      </w:pPr>
    </w:p>
    <w:p w14:paraId="773F349B" w14:textId="77777777" w:rsidR="00F12DCA" w:rsidRDefault="00F12DCA" w:rsidP="003752B9">
      <w:pPr>
        <w:spacing w:after="0" w:line="240" w:lineRule="auto"/>
        <w:jc w:val="both"/>
        <w:rPr>
          <w:rFonts w:ascii="Arial" w:eastAsia="Calibri" w:hAnsi="Arial" w:cs="Arial"/>
          <w:sz w:val="20"/>
          <w:szCs w:val="20"/>
        </w:rPr>
      </w:pPr>
    </w:p>
    <w:p w14:paraId="1DD2C490" w14:textId="77777777" w:rsidR="00E5761E" w:rsidRPr="003A2F86" w:rsidRDefault="00E5761E" w:rsidP="003752B9">
      <w:pPr>
        <w:spacing w:after="0" w:line="240" w:lineRule="auto"/>
        <w:jc w:val="both"/>
        <w:rPr>
          <w:rFonts w:ascii="Arial" w:eastAsia="Calibri" w:hAnsi="Arial" w:cs="Arial"/>
          <w:sz w:val="20"/>
          <w:szCs w:val="20"/>
        </w:rPr>
      </w:pPr>
    </w:p>
    <w:p w14:paraId="44C9BE24" w14:textId="77777777" w:rsidR="00636182" w:rsidRPr="003A2F86" w:rsidRDefault="00636182">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3A2F86">
        <w:rPr>
          <w:rFonts w:ascii="Arial" w:eastAsia="Calibri" w:hAnsi="Arial" w:cs="Arial"/>
          <w:b/>
        </w:rPr>
        <w:lastRenderedPageBreak/>
        <w:t>OBRAZLOŽENJE OPĆEG DIJELA FINANCIJSKOG PLANA</w:t>
      </w:r>
    </w:p>
    <w:p w14:paraId="3D99AF08" w14:textId="77777777" w:rsidR="00E5761E" w:rsidRPr="003A2F86" w:rsidRDefault="00E5761E" w:rsidP="00E5761E">
      <w:pPr>
        <w:spacing w:after="0" w:line="240" w:lineRule="auto"/>
        <w:jc w:val="both"/>
        <w:rPr>
          <w:rFonts w:ascii="Arial" w:eastAsia="Calibri" w:hAnsi="Arial" w:cs="Arial"/>
          <w:sz w:val="20"/>
          <w:szCs w:val="20"/>
        </w:rPr>
      </w:pPr>
    </w:p>
    <w:p w14:paraId="6F2F0F0B" w14:textId="7AD752BA" w:rsidR="00133E09" w:rsidRPr="003A2F86" w:rsidRDefault="00190B6C" w:rsidP="00190B6C">
      <w:pPr>
        <w:spacing w:after="0" w:line="240" w:lineRule="auto"/>
        <w:jc w:val="center"/>
        <w:rPr>
          <w:rFonts w:ascii="Arial" w:eastAsia="Calibri" w:hAnsi="Arial" w:cs="Arial"/>
          <w:sz w:val="20"/>
          <w:szCs w:val="20"/>
        </w:rPr>
      </w:pPr>
      <w:r w:rsidRPr="00190B6C">
        <w:rPr>
          <w:noProof/>
        </w:rPr>
        <w:drawing>
          <wp:inline distT="0" distB="0" distL="0" distR="0" wp14:anchorId="108FCC29" wp14:editId="37C52BEC">
            <wp:extent cx="7532914" cy="5425019"/>
            <wp:effectExtent l="0" t="0" r="0" b="4445"/>
            <wp:docPr id="163096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538725" cy="5429204"/>
                    </a:xfrm>
                    <a:prstGeom prst="rect">
                      <a:avLst/>
                    </a:prstGeom>
                    <a:noFill/>
                    <a:ln>
                      <a:noFill/>
                    </a:ln>
                  </pic:spPr>
                </pic:pic>
              </a:graphicData>
            </a:graphic>
          </wp:inline>
        </w:drawing>
      </w:r>
    </w:p>
    <w:p w14:paraId="7D17C7CB" w14:textId="75664341" w:rsidR="00E5761E" w:rsidRPr="003A2F86" w:rsidRDefault="00E5761E" w:rsidP="003613E2">
      <w:pPr>
        <w:spacing w:after="0" w:line="240" w:lineRule="auto"/>
        <w:jc w:val="both"/>
        <w:rPr>
          <w:rFonts w:ascii="Arial" w:eastAsia="Calibri" w:hAnsi="Arial" w:cs="Arial"/>
          <w:sz w:val="20"/>
          <w:szCs w:val="20"/>
        </w:rPr>
      </w:pPr>
      <w:r w:rsidRPr="003A2F86">
        <w:rPr>
          <w:rFonts w:ascii="Arial" w:eastAsia="Calibri" w:hAnsi="Arial" w:cs="Arial"/>
          <w:sz w:val="20"/>
          <w:szCs w:val="20"/>
        </w:rPr>
        <w:t>Opći dio financijskog plana sastoji se od sažetka računa prihoda i rashoda. Sveukupni prihodi i rashodi iskazani su prema izvorima financiranja i ekonomskoj klasifikaciji, dok su rashodi iskazani i prema funkcijskoj klasifikaciji.</w:t>
      </w:r>
    </w:p>
    <w:p w14:paraId="1458B1EE" w14:textId="77777777" w:rsidR="00E5761E" w:rsidRPr="003A2F86" w:rsidRDefault="00E5761E" w:rsidP="003613E2">
      <w:pPr>
        <w:spacing w:after="0" w:line="240" w:lineRule="auto"/>
        <w:jc w:val="both"/>
        <w:rPr>
          <w:rFonts w:ascii="Arial" w:eastAsia="Calibri" w:hAnsi="Arial" w:cs="Arial"/>
          <w:sz w:val="20"/>
          <w:szCs w:val="20"/>
        </w:rPr>
      </w:pPr>
    </w:p>
    <w:p w14:paraId="29AEC29E" w14:textId="5B7E6D30" w:rsidR="00E5761E" w:rsidRPr="003A2F86" w:rsidRDefault="00E5761E" w:rsidP="003613E2">
      <w:pPr>
        <w:spacing w:after="0" w:line="240" w:lineRule="auto"/>
        <w:jc w:val="both"/>
        <w:rPr>
          <w:rFonts w:ascii="Arial" w:eastAsia="Calibri" w:hAnsi="Arial" w:cs="Arial"/>
          <w:sz w:val="20"/>
          <w:szCs w:val="20"/>
        </w:rPr>
      </w:pPr>
      <w:r w:rsidRPr="003A2F86">
        <w:rPr>
          <w:rFonts w:ascii="Arial" w:eastAsia="Calibri" w:hAnsi="Arial" w:cs="Arial"/>
          <w:sz w:val="20"/>
          <w:szCs w:val="20"/>
        </w:rPr>
        <w:t>Ostv</w:t>
      </w:r>
      <w:r w:rsidR="004952FC" w:rsidRPr="003A2F86">
        <w:rPr>
          <w:rFonts w:ascii="Arial" w:eastAsia="Calibri" w:hAnsi="Arial" w:cs="Arial"/>
          <w:sz w:val="20"/>
          <w:szCs w:val="20"/>
        </w:rPr>
        <w:t>a</w:t>
      </w:r>
      <w:r w:rsidRPr="003A2F86">
        <w:rPr>
          <w:rFonts w:ascii="Arial" w:eastAsia="Calibri" w:hAnsi="Arial" w:cs="Arial"/>
          <w:sz w:val="20"/>
          <w:szCs w:val="20"/>
        </w:rPr>
        <w:t>reni prihodi poslovanja sastoje se od:</w:t>
      </w:r>
    </w:p>
    <w:p w14:paraId="738D3120" w14:textId="354F6060" w:rsidR="003613E2" w:rsidRPr="003A2F86" w:rsidRDefault="003613E2">
      <w:pPr>
        <w:pStyle w:val="Odlomakpopisa"/>
        <w:numPr>
          <w:ilvl w:val="0"/>
          <w:numId w:val="38"/>
        </w:numPr>
        <w:rPr>
          <w:rFonts w:ascii="Arial" w:eastAsia="Calibri" w:hAnsi="Arial" w:cs="Arial"/>
          <w:lang w:eastAsia="hr-HR"/>
        </w:rPr>
      </w:pPr>
      <w:r w:rsidRPr="003A2F86">
        <w:rPr>
          <w:rFonts w:ascii="Arial" w:eastAsia="Calibri" w:hAnsi="Arial" w:cs="Arial"/>
          <w:lang w:eastAsia="hr-HR"/>
        </w:rPr>
        <w:t xml:space="preserve">pomoći iz inozemstva i od subjekata unutar općeg Proračuna- Prihodi od pomoći proračunskim korisnicima iz proračuna koji im nije nadležan, sufinanciranje predškolskog odgoja (ministarstvo). Prihodi za pomoć djeci sa teškoćama u razvoju i za program Predškole ostvareni su u iznosu </w:t>
      </w:r>
      <w:r w:rsidR="00EC2107">
        <w:rPr>
          <w:rFonts w:ascii="Arial" w:eastAsia="Calibri" w:hAnsi="Arial" w:cs="Arial"/>
          <w:lang w:eastAsia="hr-HR"/>
        </w:rPr>
        <w:t>0</w:t>
      </w:r>
      <w:r w:rsidRPr="003A2F86">
        <w:rPr>
          <w:rFonts w:ascii="Arial" w:eastAsia="Calibri" w:hAnsi="Arial" w:cs="Arial"/>
          <w:lang w:eastAsia="hr-HR"/>
        </w:rPr>
        <w:t xml:space="preserve"> €. Prihodi iz Ministarstva namijenjeni su za financiranje rashoda za potrebe rada sa djecom, za koje se temeljem Odluke ministarstva odobravaju određena sredstva po obrocima ,a rashodi su prikazani kroz likovni i didaktički materijal i opremanje didaktikom po skupinama gdje borave navedena djeca.</w:t>
      </w:r>
    </w:p>
    <w:p w14:paraId="0AA291A3" w14:textId="6D319740" w:rsidR="003613E2" w:rsidRPr="003A2F86" w:rsidRDefault="003613E2">
      <w:pPr>
        <w:pStyle w:val="Odlomakpopisa"/>
        <w:numPr>
          <w:ilvl w:val="0"/>
          <w:numId w:val="38"/>
        </w:numPr>
        <w:rPr>
          <w:rFonts w:ascii="Arial" w:eastAsia="Calibri" w:hAnsi="Arial" w:cs="Arial"/>
          <w:lang w:eastAsia="hr-HR"/>
        </w:rPr>
      </w:pPr>
      <w:r w:rsidRPr="003A2F86">
        <w:rPr>
          <w:rFonts w:ascii="Arial" w:eastAsia="Calibri" w:hAnsi="Arial" w:cs="Arial"/>
          <w:lang w:eastAsia="hr-HR"/>
        </w:rPr>
        <w:t xml:space="preserve">prihoda od upravnih i administrativnih pristojbi, pristojbi po posebnim propisima i naknada- Prihodi za posebne namjene ostvareni su u iznosu od </w:t>
      </w:r>
      <w:r w:rsidR="00EC2107">
        <w:rPr>
          <w:rFonts w:ascii="Arial" w:eastAsia="Calibri" w:hAnsi="Arial" w:cs="Arial"/>
          <w:lang w:eastAsia="hr-HR"/>
        </w:rPr>
        <w:t>243.743,30</w:t>
      </w:r>
      <w:r w:rsidRPr="003A2F86">
        <w:rPr>
          <w:rFonts w:ascii="Arial" w:eastAsia="Calibri" w:hAnsi="Arial" w:cs="Arial"/>
          <w:lang w:eastAsia="hr-HR"/>
        </w:rPr>
        <w:t xml:space="preserve"> € (odnose se na prihode koji su ostvareni od naplate roditelja sufinanciranjem cijene usluga).</w:t>
      </w:r>
    </w:p>
    <w:p w14:paraId="19B9DB2E" w14:textId="77777777" w:rsidR="003613E2" w:rsidRPr="003A2F86" w:rsidRDefault="003613E2" w:rsidP="003613E2">
      <w:pPr>
        <w:pStyle w:val="Odlomakpopisa"/>
        <w:ind w:left="720"/>
        <w:rPr>
          <w:rFonts w:ascii="Arial" w:eastAsia="Calibri" w:hAnsi="Arial" w:cs="Arial"/>
          <w:lang w:eastAsia="hr-HR"/>
        </w:rPr>
      </w:pPr>
      <w:r w:rsidRPr="003A2F86">
        <w:rPr>
          <w:rFonts w:ascii="Arial" w:eastAsia="Calibri" w:hAnsi="Arial" w:cs="Arial"/>
          <w:lang w:eastAsia="hr-HR"/>
        </w:rPr>
        <w:t>Planirani Prihodi za posebne namjene namijenjeni su za financiranje rashoda poslovanja koji obuhvaćaju materijalne rashode, rashode za zaposlene i rashode za nabavu dugotrajne imovine.</w:t>
      </w:r>
    </w:p>
    <w:p w14:paraId="3C037D9B" w14:textId="4C524396" w:rsidR="004C2BF4" w:rsidRDefault="003613E2">
      <w:pPr>
        <w:pStyle w:val="Odlomakpopisa"/>
        <w:numPr>
          <w:ilvl w:val="0"/>
          <w:numId w:val="38"/>
        </w:numPr>
        <w:rPr>
          <w:rFonts w:ascii="Arial" w:eastAsia="Calibri" w:hAnsi="Arial" w:cs="Arial"/>
          <w:lang w:eastAsia="hr-HR"/>
        </w:rPr>
      </w:pPr>
      <w:r w:rsidRPr="003A2F86">
        <w:rPr>
          <w:rFonts w:ascii="Arial" w:eastAsia="Calibri" w:hAnsi="Arial" w:cs="Arial"/>
          <w:lang w:eastAsia="hr-HR"/>
        </w:rPr>
        <w:t>prihoda od prodaje proizvoda i robe te pruženih usluga</w:t>
      </w:r>
      <w:r w:rsidR="00F8394B" w:rsidRPr="003A2F86">
        <w:rPr>
          <w:rFonts w:ascii="Arial" w:eastAsia="Calibri" w:hAnsi="Arial" w:cs="Arial"/>
          <w:lang w:eastAsia="hr-HR"/>
        </w:rPr>
        <w:t xml:space="preserve"> –</w:t>
      </w:r>
      <w:r w:rsidRPr="003A2F86">
        <w:rPr>
          <w:rFonts w:ascii="Arial" w:eastAsia="Calibri" w:hAnsi="Arial" w:cs="Arial"/>
          <w:lang w:eastAsia="hr-HR"/>
        </w:rPr>
        <w:t xml:space="preserve"> </w:t>
      </w:r>
      <w:r w:rsidR="00F8394B" w:rsidRPr="003A2F86">
        <w:rPr>
          <w:rFonts w:ascii="Arial" w:eastAsia="Calibri" w:hAnsi="Arial" w:cs="Arial"/>
          <w:lang w:eastAsia="hr-HR"/>
        </w:rPr>
        <w:t xml:space="preserve">u iznosu </w:t>
      </w:r>
      <w:r w:rsidR="00EC2107">
        <w:rPr>
          <w:rFonts w:ascii="Arial" w:eastAsia="Calibri" w:hAnsi="Arial" w:cs="Arial"/>
          <w:lang w:eastAsia="hr-HR"/>
        </w:rPr>
        <w:t>18.359,35</w:t>
      </w:r>
      <w:r w:rsidR="00F8394B" w:rsidRPr="003A2F86">
        <w:rPr>
          <w:rFonts w:ascii="Arial" w:eastAsia="Calibri" w:hAnsi="Arial" w:cs="Arial"/>
          <w:lang w:eastAsia="hr-HR"/>
        </w:rPr>
        <w:t xml:space="preserve"> €, od čega v</w:t>
      </w:r>
      <w:r w:rsidRPr="003A2F86">
        <w:rPr>
          <w:rFonts w:ascii="Arial" w:eastAsia="Calibri" w:hAnsi="Arial" w:cs="Arial"/>
          <w:lang w:eastAsia="hr-HR"/>
        </w:rPr>
        <w:t xml:space="preserve">lastiti prihodi, obroci za produženi boravak ostvareni su u iznosu </w:t>
      </w:r>
      <w:r w:rsidR="00AC0C0A">
        <w:rPr>
          <w:rFonts w:ascii="Arial" w:eastAsia="Calibri" w:hAnsi="Arial" w:cs="Arial"/>
          <w:lang w:eastAsia="hr-HR"/>
        </w:rPr>
        <w:t>17.403,75</w:t>
      </w:r>
      <w:r w:rsidRPr="003A2F86">
        <w:rPr>
          <w:rFonts w:ascii="Arial" w:eastAsia="Calibri" w:hAnsi="Arial" w:cs="Arial"/>
          <w:lang w:eastAsia="hr-HR"/>
        </w:rPr>
        <w:t xml:space="preserve"> € (odnose se na prihode koji su ostvareni od naplate za troškove prehrane, produženi boravak djece u OŠ.Gruda</w:t>
      </w:r>
      <w:r w:rsidR="004C2BF4">
        <w:rPr>
          <w:rFonts w:ascii="Arial" w:eastAsia="Calibri" w:hAnsi="Arial" w:cs="Arial"/>
          <w:lang w:eastAsia="hr-HR"/>
        </w:rPr>
        <w:t>, PŠ Popopići</w:t>
      </w:r>
      <w:r w:rsidRPr="003A2F86">
        <w:rPr>
          <w:rFonts w:ascii="Arial" w:eastAsia="Calibri" w:hAnsi="Arial" w:cs="Arial"/>
          <w:lang w:eastAsia="hr-HR"/>
        </w:rPr>
        <w:t xml:space="preserve"> i PŠ.Čilipi)</w:t>
      </w:r>
      <w:r w:rsidR="00F8394B" w:rsidRPr="003A2F86">
        <w:rPr>
          <w:rFonts w:ascii="Arial" w:eastAsia="Calibri" w:hAnsi="Arial" w:cs="Arial"/>
          <w:lang w:eastAsia="hr-HR"/>
        </w:rPr>
        <w:t xml:space="preserve">, te prihodi od </w:t>
      </w:r>
      <w:r w:rsidR="00FC4236">
        <w:rPr>
          <w:rFonts w:ascii="Arial" w:eastAsia="Calibri" w:hAnsi="Arial" w:cs="Arial"/>
          <w:lang w:eastAsia="hr-HR"/>
        </w:rPr>
        <w:t>Zračne luke za godišnju zakupn</w:t>
      </w:r>
      <w:r w:rsidR="004C2BF4">
        <w:rPr>
          <w:rFonts w:ascii="Arial" w:eastAsia="Calibri" w:hAnsi="Arial" w:cs="Arial"/>
          <w:lang w:eastAsia="hr-HR"/>
        </w:rPr>
        <w:t>inu</w:t>
      </w:r>
      <w:r w:rsidR="00FC4236">
        <w:rPr>
          <w:rFonts w:ascii="Arial" w:eastAsia="Calibri" w:hAnsi="Arial" w:cs="Arial"/>
          <w:lang w:eastAsia="hr-HR"/>
        </w:rPr>
        <w:t xml:space="preserve"> smještaja NMT opreme u DV i jaslicama Cavtat u iznosu </w:t>
      </w:r>
      <w:r w:rsidR="00F8394B" w:rsidRPr="003A2F86">
        <w:rPr>
          <w:rFonts w:ascii="Arial" w:eastAsia="Calibri" w:hAnsi="Arial" w:cs="Arial"/>
          <w:lang w:eastAsia="hr-HR"/>
        </w:rPr>
        <w:t>955,60 €</w:t>
      </w:r>
      <w:r w:rsidRPr="003A2F86">
        <w:rPr>
          <w:rFonts w:ascii="Arial" w:eastAsia="Calibri" w:hAnsi="Arial" w:cs="Arial"/>
          <w:lang w:eastAsia="hr-HR"/>
        </w:rPr>
        <w:t xml:space="preserve">. Ovi prihodi su namijenjeni za financiranje materijalnih rashoda. </w:t>
      </w:r>
    </w:p>
    <w:p w14:paraId="0A1A39B3" w14:textId="00704EB8" w:rsidR="003613E2" w:rsidRPr="003A2F86" w:rsidRDefault="003613E2">
      <w:pPr>
        <w:pStyle w:val="Odlomakpopisa"/>
        <w:numPr>
          <w:ilvl w:val="0"/>
          <w:numId w:val="38"/>
        </w:numPr>
        <w:rPr>
          <w:rFonts w:ascii="Arial" w:eastAsia="Calibri" w:hAnsi="Arial" w:cs="Arial"/>
          <w:lang w:eastAsia="hr-HR"/>
        </w:rPr>
      </w:pPr>
      <w:r w:rsidRPr="003A2F86">
        <w:rPr>
          <w:rFonts w:ascii="Arial" w:eastAsia="Calibri" w:hAnsi="Arial" w:cs="Arial"/>
          <w:lang w:eastAsia="hr-HR"/>
        </w:rPr>
        <w:t xml:space="preserve">Prihodi od donacija </w:t>
      </w:r>
      <w:r w:rsidR="004C2BF4">
        <w:rPr>
          <w:rFonts w:ascii="Arial" w:eastAsia="Calibri" w:hAnsi="Arial" w:cs="Arial"/>
          <w:lang w:eastAsia="hr-HR"/>
        </w:rPr>
        <w:t>su</w:t>
      </w:r>
      <w:r w:rsidRPr="003A2F86">
        <w:rPr>
          <w:rFonts w:ascii="Arial" w:eastAsia="Calibri" w:hAnsi="Arial" w:cs="Arial"/>
          <w:lang w:eastAsia="hr-HR"/>
        </w:rPr>
        <w:t xml:space="preserve"> ostvareni</w:t>
      </w:r>
      <w:r w:rsidR="004C2BF4">
        <w:rPr>
          <w:rFonts w:ascii="Arial" w:eastAsia="Calibri" w:hAnsi="Arial" w:cs="Arial"/>
          <w:lang w:eastAsia="hr-HR"/>
        </w:rPr>
        <w:t xml:space="preserve"> u iznosu </w:t>
      </w:r>
      <w:r w:rsidR="00AC0C0A">
        <w:rPr>
          <w:rFonts w:ascii="Arial" w:eastAsia="Calibri" w:hAnsi="Arial" w:cs="Arial"/>
          <w:lang w:eastAsia="hr-HR"/>
        </w:rPr>
        <w:t>0</w:t>
      </w:r>
      <w:r w:rsidR="004C2BF4">
        <w:rPr>
          <w:rFonts w:ascii="Arial" w:eastAsia="Calibri" w:hAnsi="Arial" w:cs="Arial"/>
          <w:lang w:eastAsia="hr-HR"/>
        </w:rPr>
        <w:t xml:space="preserve"> </w:t>
      </w:r>
      <w:r w:rsidR="00AC0C0A">
        <w:rPr>
          <w:rFonts w:ascii="Arial" w:eastAsia="Calibri" w:hAnsi="Arial" w:cs="Arial"/>
          <w:lang w:eastAsia="hr-HR"/>
        </w:rPr>
        <w:t>€</w:t>
      </w:r>
      <w:r w:rsidR="004C2BF4">
        <w:rPr>
          <w:rFonts w:ascii="Arial" w:eastAsia="Calibri" w:hAnsi="Arial" w:cs="Arial"/>
          <w:lang w:eastAsia="hr-HR"/>
        </w:rPr>
        <w:t>.</w:t>
      </w:r>
    </w:p>
    <w:p w14:paraId="2B242E2B" w14:textId="6625B8B2" w:rsidR="003613E2" w:rsidRPr="003A2F86" w:rsidRDefault="003613E2">
      <w:pPr>
        <w:pStyle w:val="Odlomakpopisa"/>
        <w:numPr>
          <w:ilvl w:val="0"/>
          <w:numId w:val="38"/>
        </w:numPr>
        <w:rPr>
          <w:rFonts w:ascii="Arial" w:eastAsia="Calibri" w:hAnsi="Arial" w:cs="Arial"/>
          <w:lang w:eastAsia="hr-HR"/>
        </w:rPr>
      </w:pPr>
      <w:r w:rsidRPr="003A2F86">
        <w:rPr>
          <w:rFonts w:ascii="Arial" w:eastAsia="Calibri" w:hAnsi="Arial" w:cs="Arial"/>
          <w:lang w:eastAsia="hr-HR"/>
        </w:rPr>
        <w:t xml:space="preserve">prihoda iz nadležnog proračuna ostvareni su sveukupno u iznosu </w:t>
      </w:r>
      <w:r w:rsidR="00AC0C0A">
        <w:rPr>
          <w:rFonts w:ascii="Arial" w:eastAsia="Calibri" w:hAnsi="Arial" w:cs="Arial"/>
          <w:lang w:eastAsia="hr-HR"/>
        </w:rPr>
        <w:t>1</w:t>
      </w:r>
      <w:r w:rsidR="00371289">
        <w:rPr>
          <w:rFonts w:ascii="Arial" w:eastAsia="Calibri" w:hAnsi="Arial" w:cs="Arial"/>
          <w:lang w:eastAsia="hr-HR"/>
        </w:rPr>
        <w:t>.378</w:t>
      </w:r>
      <w:r w:rsidR="00486845">
        <w:rPr>
          <w:rFonts w:ascii="Arial" w:eastAsia="Calibri" w:hAnsi="Arial" w:cs="Arial"/>
          <w:lang w:eastAsia="hr-HR"/>
        </w:rPr>
        <w:t>.457,94</w:t>
      </w:r>
      <w:r w:rsidRPr="003A2F86">
        <w:rPr>
          <w:rFonts w:ascii="Arial" w:eastAsia="Calibri" w:hAnsi="Arial" w:cs="Arial"/>
          <w:lang w:eastAsia="hr-HR"/>
        </w:rPr>
        <w:t xml:space="preserve"> € od čega izvor općinski proračun, opći prihodi i primici, za 202</w:t>
      </w:r>
      <w:r w:rsidR="00AC0C0A">
        <w:rPr>
          <w:rFonts w:ascii="Arial" w:eastAsia="Calibri" w:hAnsi="Arial" w:cs="Arial"/>
          <w:lang w:eastAsia="hr-HR"/>
        </w:rPr>
        <w:t>5</w:t>
      </w:r>
      <w:r w:rsidRPr="003A2F86">
        <w:rPr>
          <w:rFonts w:ascii="Arial" w:eastAsia="Calibri" w:hAnsi="Arial" w:cs="Arial"/>
          <w:lang w:eastAsia="hr-HR"/>
        </w:rPr>
        <w:t xml:space="preserve">.godinu ostvareni su u iznosu </w:t>
      </w:r>
      <w:r w:rsidR="00382987">
        <w:rPr>
          <w:rFonts w:ascii="Arial" w:eastAsia="Calibri" w:hAnsi="Arial" w:cs="Arial"/>
          <w:lang w:eastAsia="hr-HR"/>
        </w:rPr>
        <w:t>1.</w:t>
      </w:r>
      <w:r w:rsidR="00486845">
        <w:rPr>
          <w:rFonts w:ascii="Arial" w:eastAsia="Calibri" w:hAnsi="Arial" w:cs="Arial"/>
          <w:lang w:eastAsia="hr-HR"/>
        </w:rPr>
        <w:t>322.597,94</w:t>
      </w:r>
      <w:r w:rsidRPr="003A2F86">
        <w:rPr>
          <w:rFonts w:ascii="Arial" w:eastAsia="Calibri" w:hAnsi="Arial" w:cs="Arial"/>
          <w:lang w:eastAsia="hr-HR"/>
        </w:rPr>
        <w:t xml:space="preserve"> €, te iz sredstava za fiskalnu održivost vrtića </w:t>
      </w:r>
      <w:r w:rsidR="00382987">
        <w:rPr>
          <w:rFonts w:ascii="Arial" w:eastAsia="Calibri" w:hAnsi="Arial" w:cs="Arial"/>
          <w:lang w:eastAsia="hr-HR"/>
        </w:rPr>
        <w:t>55.860</w:t>
      </w:r>
      <w:r w:rsidRPr="003A2F86">
        <w:rPr>
          <w:rFonts w:ascii="Arial" w:eastAsia="Calibri" w:hAnsi="Arial" w:cs="Arial"/>
          <w:lang w:eastAsia="hr-HR"/>
        </w:rPr>
        <w:t xml:space="preserve"> €. </w:t>
      </w:r>
    </w:p>
    <w:p w14:paraId="640B3154" w14:textId="6FB17544" w:rsidR="004952FC" w:rsidRPr="003A2F86" w:rsidRDefault="004C2BF4" w:rsidP="004952FC">
      <w:pPr>
        <w:pStyle w:val="Odlomakpopisa"/>
        <w:ind w:left="720"/>
        <w:rPr>
          <w:rFonts w:ascii="Arial" w:eastAsia="Calibri" w:hAnsi="Arial" w:cs="Arial"/>
          <w:lang w:eastAsia="hr-HR"/>
        </w:rPr>
      </w:pPr>
      <w:r>
        <w:rPr>
          <w:rFonts w:ascii="Arial" w:eastAsia="Calibri" w:hAnsi="Arial" w:cs="Arial"/>
          <w:lang w:eastAsia="hr-HR"/>
        </w:rPr>
        <w:t>Od 9. rujna 2024. godine koeficijenti su usklađeni s Uredbom o koeficijentima, na temelju čega je iskazano povećanje prijenosa sredstava za plaće od rujna 2024.godine.</w:t>
      </w:r>
    </w:p>
    <w:p w14:paraId="3B39CAB0" w14:textId="77777777" w:rsidR="007833DB" w:rsidRDefault="007833DB" w:rsidP="00E5761E">
      <w:pPr>
        <w:spacing w:after="0" w:line="240" w:lineRule="auto"/>
        <w:jc w:val="both"/>
        <w:rPr>
          <w:rFonts w:ascii="Arial" w:eastAsia="Calibri" w:hAnsi="Arial" w:cs="Arial"/>
          <w:sz w:val="20"/>
          <w:szCs w:val="20"/>
        </w:rPr>
      </w:pPr>
    </w:p>
    <w:p w14:paraId="07E9937C" w14:textId="77777777" w:rsidR="007833DB" w:rsidRPr="003A2F86" w:rsidRDefault="007833DB" w:rsidP="007833DB">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sz w:val="20"/>
          <w:szCs w:val="20"/>
        </w:rPr>
        <w:t>Osnovni vlastiti prihodi Ustanove se odnose na sufinanciranje cijene usluge smještaja djece u vrtiću, te prihodi od pružanja usluga prehrane djeci u produženom boravku.</w:t>
      </w:r>
    </w:p>
    <w:p w14:paraId="4848F791" w14:textId="77777777" w:rsidR="007833DB" w:rsidRPr="003A2F86" w:rsidRDefault="007833DB" w:rsidP="007833DB">
      <w:pPr>
        <w:autoSpaceDE w:val="0"/>
        <w:autoSpaceDN w:val="0"/>
        <w:adjustRightInd w:val="0"/>
        <w:spacing w:after="0" w:line="240" w:lineRule="auto"/>
        <w:jc w:val="both"/>
        <w:rPr>
          <w:rFonts w:ascii="Arial" w:eastAsia="Calibri" w:hAnsi="Arial" w:cs="Arial"/>
          <w:sz w:val="20"/>
          <w:szCs w:val="20"/>
        </w:rPr>
      </w:pPr>
    </w:p>
    <w:p w14:paraId="324E5F67" w14:textId="6D090222" w:rsidR="007833DB" w:rsidRPr="003A2F86" w:rsidRDefault="007833DB" w:rsidP="007833DB">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Prihodi proračunskog korisnika se odnose na vlastite prihode u iznosu </w:t>
      </w:r>
      <w:r w:rsidR="00371289">
        <w:rPr>
          <w:rFonts w:ascii="Arial" w:eastAsia="Calibri" w:hAnsi="Arial" w:cs="Arial"/>
          <w:sz w:val="20"/>
          <w:szCs w:val="20"/>
        </w:rPr>
        <w:t>262.102,65</w:t>
      </w:r>
      <w:r w:rsidRPr="003A2F86">
        <w:rPr>
          <w:rFonts w:ascii="Arial" w:eastAsia="Calibri" w:hAnsi="Arial" w:cs="Arial"/>
          <w:sz w:val="20"/>
          <w:szCs w:val="20"/>
        </w:rPr>
        <w:t xml:space="preserve"> € i prihode iz općinskog proračuna </w:t>
      </w:r>
      <w:r w:rsidR="00371289">
        <w:rPr>
          <w:rFonts w:ascii="Arial" w:eastAsia="Calibri" w:hAnsi="Arial" w:cs="Arial"/>
          <w:sz w:val="20"/>
          <w:szCs w:val="20"/>
        </w:rPr>
        <w:t>1.378.457,94</w:t>
      </w:r>
      <w:r w:rsidRPr="003A2F86">
        <w:rPr>
          <w:rFonts w:ascii="Arial" w:eastAsia="Calibri" w:hAnsi="Arial" w:cs="Arial"/>
          <w:sz w:val="20"/>
          <w:szCs w:val="20"/>
        </w:rPr>
        <w:t xml:space="preserve"> € ili sveukupno </w:t>
      </w:r>
      <w:r w:rsidR="00486845">
        <w:rPr>
          <w:rFonts w:ascii="Arial" w:eastAsia="Calibri" w:hAnsi="Arial" w:cs="Arial"/>
          <w:sz w:val="20"/>
          <w:szCs w:val="20"/>
        </w:rPr>
        <w:t xml:space="preserve">1.378.457,94 </w:t>
      </w:r>
      <w:r w:rsidRPr="003A2F86">
        <w:rPr>
          <w:rFonts w:ascii="Arial" w:eastAsia="Calibri" w:hAnsi="Arial" w:cs="Arial"/>
          <w:sz w:val="20"/>
          <w:szCs w:val="20"/>
        </w:rPr>
        <w:t>€.</w:t>
      </w:r>
    </w:p>
    <w:p w14:paraId="03AEB136" w14:textId="77777777" w:rsidR="007833DB" w:rsidRPr="003A2F86" w:rsidRDefault="007833DB" w:rsidP="007833DB">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sz w:val="20"/>
          <w:szCs w:val="20"/>
        </w:rPr>
        <w:t>Vlastiti prihodi proračunskog korisnika se odnose na:</w:t>
      </w:r>
    </w:p>
    <w:p w14:paraId="5FD12055" w14:textId="6C852049" w:rsidR="007833DB" w:rsidRPr="003A2F86" w:rsidRDefault="007833DB" w:rsidP="007833DB">
      <w:pPr>
        <w:pStyle w:val="Odlomakpopisa"/>
        <w:numPr>
          <w:ilvl w:val="0"/>
          <w:numId w:val="6"/>
        </w:numPr>
        <w:autoSpaceDE w:val="0"/>
        <w:autoSpaceDN w:val="0"/>
        <w:adjustRightInd w:val="0"/>
        <w:rPr>
          <w:rFonts w:ascii="Arial" w:eastAsia="Calibri" w:hAnsi="Arial" w:cs="Arial"/>
        </w:rPr>
      </w:pPr>
      <w:r w:rsidRPr="003A2F86">
        <w:rPr>
          <w:rFonts w:ascii="Arial" w:eastAsia="Calibri" w:hAnsi="Arial" w:cs="Arial"/>
        </w:rPr>
        <w:t xml:space="preserve">prihode od obavljanja djelatnosti odnosno od sufinanciranja cijene usluge smještaja djece u vrtiću </w:t>
      </w:r>
      <w:r w:rsidR="00FA2D2A">
        <w:rPr>
          <w:rFonts w:ascii="Arial" w:eastAsia="Calibri" w:hAnsi="Arial" w:cs="Arial"/>
        </w:rPr>
        <w:t>243.743,30</w:t>
      </w:r>
      <w:r w:rsidRPr="003A2F86">
        <w:rPr>
          <w:rFonts w:ascii="Arial" w:eastAsia="Calibri" w:hAnsi="Arial" w:cs="Arial"/>
        </w:rPr>
        <w:t xml:space="preserve"> € (u okviru kojih su iskazani i prihodi u iznosu </w:t>
      </w:r>
      <w:r w:rsidR="00FA2D2A">
        <w:rPr>
          <w:rFonts w:ascii="Arial" w:eastAsia="Calibri" w:hAnsi="Arial" w:cs="Arial"/>
        </w:rPr>
        <w:t>36.425,95</w:t>
      </w:r>
      <w:r w:rsidRPr="003A2F86">
        <w:rPr>
          <w:rFonts w:ascii="Arial" w:eastAsia="Calibri" w:hAnsi="Arial" w:cs="Arial"/>
        </w:rPr>
        <w:t xml:space="preserve"> € koje je sufinancirala općina kroz demografski i socijalni program)</w:t>
      </w:r>
    </w:p>
    <w:p w14:paraId="74D25429" w14:textId="62211DA2" w:rsidR="007833DB" w:rsidRPr="003A2F86" w:rsidRDefault="007833DB" w:rsidP="007833DB">
      <w:pPr>
        <w:pStyle w:val="Odlomakpopisa"/>
        <w:numPr>
          <w:ilvl w:val="0"/>
          <w:numId w:val="6"/>
        </w:numPr>
        <w:autoSpaceDE w:val="0"/>
        <w:autoSpaceDN w:val="0"/>
        <w:adjustRightInd w:val="0"/>
        <w:rPr>
          <w:rFonts w:ascii="Arial" w:eastAsia="Calibri" w:hAnsi="Arial" w:cs="Arial"/>
        </w:rPr>
      </w:pPr>
      <w:r w:rsidRPr="003A2F86">
        <w:rPr>
          <w:rFonts w:ascii="Arial" w:eastAsia="Calibri" w:hAnsi="Arial" w:cs="Arial"/>
        </w:rPr>
        <w:t xml:space="preserve">prihodi od nadležnog ministarstva u iznosu </w:t>
      </w:r>
      <w:r w:rsidR="00FA2D2A">
        <w:rPr>
          <w:rFonts w:ascii="Arial" w:eastAsia="Calibri" w:hAnsi="Arial" w:cs="Arial"/>
        </w:rPr>
        <w:t xml:space="preserve">0 </w:t>
      </w:r>
      <w:r w:rsidRPr="003A2F86">
        <w:rPr>
          <w:rFonts w:ascii="Arial" w:eastAsia="Calibri" w:hAnsi="Arial" w:cs="Arial"/>
        </w:rPr>
        <w:t>€ (Ministarstvo znanosti, obrazovanja i sporta) za programe predškolskog odgoja i djecu s teškoćama razvoju),</w:t>
      </w:r>
    </w:p>
    <w:p w14:paraId="43F3AFB1" w14:textId="07CBABEC" w:rsidR="007833DB" w:rsidRPr="003A2F86" w:rsidRDefault="007833DB" w:rsidP="007833DB">
      <w:pPr>
        <w:pStyle w:val="Odlomakpopisa"/>
        <w:numPr>
          <w:ilvl w:val="0"/>
          <w:numId w:val="6"/>
        </w:numPr>
        <w:autoSpaceDE w:val="0"/>
        <w:autoSpaceDN w:val="0"/>
        <w:adjustRightInd w:val="0"/>
        <w:rPr>
          <w:rFonts w:ascii="Arial" w:eastAsia="Calibri" w:hAnsi="Arial" w:cs="Arial"/>
        </w:rPr>
      </w:pPr>
      <w:r w:rsidRPr="003A2F86">
        <w:rPr>
          <w:rFonts w:ascii="Arial" w:eastAsia="Calibri" w:hAnsi="Arial" w:cs="Arial"/>
        </w:rPr>
        <w:t xml:space="preserve">prihode od pružanja usluga prehrane djeci u produženom boravku osnovnih škola za učenike u iznosu </w:t>
      </w:r>
      <w:r w:rsidR="00C42DED">
        <w:rPr>
          <w:rFonts w:ascii="Arial" w:eastAsia="Calibri" w:hAnsi="Arial" w:cs="Arial"/>
        </w:rPr>
        <w:t>17.403,75</w:t>
      </w:r>
      <w:r w:rsidRPr="003A2F86">
        <w:rPr>
          <w:rFonts w:ascii="Arial" w:eastAsia="Calibri" w:hAnsi="Arial" w:cs="Arial"/>
        </w:rPr>
        <w:t xml:space="preserve"> €</w:t>
      </w:r>
      <w:r w:rsidRPr="003A2F86">
        <w:rPr>
          <w:rFonts w:ascii="Arial" w:eastAsia="Calibri" w:hAnsi="Arial" w:cs="Arial"/>
          <w:color w:val="FF0000"/>
        </w:rPr>
        <w:t xml:space="preserve"> </w:t>
      </w:r>
      <w:r w:rsidRPr="003A2F86">
        <w:rPr>
          <w:rFonts w:ascii="Arial" w:eastAsia="Calibri" w:hAnsi="Arial" w:cs="Arial"/>
        </w:rPr>
        <w:t>(primjerice 1</w:t>
      </w:r>
      <w:r w:rsidR="00FF4586">
        <w:rPr>
          <w:rFonts w:ascii="Arial" w:eastAsia="Calibri" w:hAnsi="Arial" w:cs="Arial"/>
        </w:rPr>
        <w:t>3</w:t>
      </w:r>
      <w:r w:rsidRPr="003A2F86">
        <w:rPr>
          <w:rFonts w:ascii="Arial" w:eastAsia="Calibri" w:hAnsi="Arial" w:cs="Arial"/>
        </w:rPr>
        <w:t xml:space="preserve"> djece je bilo uključeno u produženi boravak u OŠ Gruda i </w:t>
      </w:r>
      <w:r w:rsidR="000A6332">
        <w:rPr>
          <w:rFonts w:ascii="Arial" w:eastAsia="Calibri" w:hAnsi="Arial" w:cs="Arial"/>
        </w:rPr>
        <w:t>1</w:t>
      </w:r>
      <w:r w:rsidR="00F766FB">
        <w:rPr>
          <w:rFonts w:ascii="Arial" w:eastAsia="Calibri" w:hAnsi="Arial" w:cs="Arial"/>
        </w:rPr>
        <w:t>6</w:t>
      </w:r>
      <w:r w:rsidRPr="003A2F86">
        <w:rPr>
          <w:rFonts w:ascii="Arial" w:eastAsia="Calibri" w:hAnsi="Arial" w:cs="Arial"/>
        </w:rPr>
        <w:t xml:space="preserve"> djece u P</w:t>
      </w:r>
      <w:r w:rsidR="00F766FB">
        <w:rPr>
          <w:rFonts w:ascii="Arial" w:eastAsia="Calibri" w:hAnsi="Arial" w:cs="Arial"/>
        </w:rPr>
        <w:t>S</w:t>
      </w:r>
      <w:r w:rsidRPr="003A2F86">
        <w:rPr>
          <w:rFonts w:ascii="Arial" w:eastAsia="Calibri" w:hAnsi="Arial" w:cs="Arial"/>
        </w:rPr>
        <w:t xml:space="preserve"> Čilip</w:t>
      </w:r>
      <w:r w:rsidR="00F766FB">
        <w:rPr>
          <w:rFonts w:ascii="Arial" w:eastAsia="Calibri" w:hAnsi="Arial" w:cs="Arial"/>
        </w:rPr>
        <w:t>i</w:t>
      </w:r>
      <w:r w:rsidR="000A6332">
        <w:rPr>
          <w:rFonts w:ascii="Arial" w:eastAsia="Calibri" w:hAnsi="Arial" w:cs="Arial"/>
        </w:rPr>
        <w:t xml:space="preserve"> i 3 u PS Popovići </w:t>
      </w:r>
      <w:r w:rsidRPr="003A2F86">
        <w:rPr>
          <w:rFonts w:ascii="Arial" w:eastAsia="Calibri" w:hAnsi="Arial" w:cs="Arial"/>
        </w:rPr>
        <w:t>i do 1. lipnja 202</w:t>
      </w:r>
      <w:r w:rsidR="000A6332">
        <w:rPr>
          <w:rFonts w:ascii="Arial" w:eastAsia="Calibri" w:hAnsi="Arial" w:cs="Arial"/>
        </w:rPr>
        <w:t>5</w:t>
      </w:r>
      <w:r w:rsidRPr="003A2F86">
        <w:rPr>
          <w:rFonts w:ascii="Arial" w:eastAsia="Calibri" w:hAnsi="Arial" w:cs="Arial"/>
        </w:rPr>
        <w:t>.),</w:t>
      </w:r>
      <w:r w:rsidR="008750D8">
        <w:rPr>
          <w:rFonts w:ascii="Arial" w:eastAsia="Calibri" w:hAnsi="Arial" w:cs="Arial"/>
        </w:rPr>
        <w:t xml:space="preserve"> </w:t>
      </w:r>
    </w:p>
    <w:p w14:paraId="76A7EA72" w14:textId="07CF8909" w:rsidR="007833DB" w:rsidRPr="003A2F86" w:rsidRDefault="008750D8" w:rsidP="007833DB">
      <w:pPr>
        <w:pStyle w:val="Odlomakpopisa"/>
        <w:numPr>
          <w:ilvl w:val="0"/>
          <w:numId w:val="6"/>
        </w:numPr>
        <w:autoSpaceDE w:val="0"/>
        <w:autoSpaceDN w:val="0"/>
        <w:adjustRightInd w:val="0"/>
        <w:rPr>
          <w:rFonts w:ascii="Arial" w:eastAsia="Calibri" w:hAnsi="Arial" w:cs="Arial"/>
        </w:rPr>
      </w:pPr>
      <w:r>
        <w:rPr>
          <w:rFonts w:ascii="Arial" w:eastAsia="Calibri" w:hAnsi="Arial" w:cs="Arial"/>
        </w:rPr>
        <w:t xml:space="preserve">prihodi od najma 955,60 €, prihodi od donacija fizičke osobe </w:t>
      </w:r>
      <w:r w:rsidR="00C42DED">
        <w:rPr>
          <w:rFonts w:ascii="Arial" w:eastAsia="Calibri" w:hAnsi="Arial" w:cs="Arial"/>
        </w:rPr>
        <w:t>0</w:t>
      </w:r>
      <w:r w:rsidR="007833DB" w:rsidRPr="003A2F86">
        <w:rPr>
          <w:rFonts w:ascii="Arial" w:eastAsia="Calibri" w:hAnsi="Arial" w:cs="Arial"/>
        </w:rPr>
        <w:t xml:space="preserve"> €.</w:t>
      </w:r>
    </w:p>
    <w:p w14:paraId="1E4C4B3E" w14:textId="77777777" w:rsidR="007833DB" w:rsidRDefault="007833DB" w:rsidP="00E5761E">
      <w:pPr>
        <w:spacing w:after="0" w:line="240" w:lineRule="auto"/>
        <w:jc w:val="both"/>
        <w:rPr>
          <w:rFonts w:ascii="Arial" w:eastAsia="Calibri" w:hAnsi="Arial" w:cs="Arial"/>
          <w:sz w:val="20"/>
          <w:szCs w:val="20"/>
        </w:rPr>
      </w:pPr>
    </w:p>
    <w:p w14:paraId="71C74141" w14:textId="620CC0C6" w:rsidR="00E5761E" w:rsidRPr="003A2F86" w:rsidRDefault="004952FC" w:rsidP="00E5761E">
      <w:pPr>
        <w:spacing w:after="0" w:line="240" w:lineRule="auto"/>
        <w:jc w:val="both"/>
        <w:rPr>
          <w:rFonts w:ascii="Arial" w:eastAsia="Calibri" w:hAnsi="Arial" w:cs="Arial"/>
          <w:sz w:val="20"/>
          <w:szCs w:val="20"/>
        </w:rPr>
      </w:pPr>
      <w:r w:rsidRPr="003A2F86">
        <w:rPr>
          <w:rFonts w:ascii="Arial" w:eastAsia="Calibri" w:hAnsi="Arial" w:cs="Arial"/>
          <w:sz w:val="20"/>
          <w:szCs w:val="20"/>
        </w:rPr>
        <w:t>Izvršeni</w:t>
      </w:r>
      <w:r w:rsidR="00E5761E" w:rsidRPr="003A2F86">
        <w:rPr>
          <w:rFonts w:ascii="Arial" w:eastAsia="Calibri" w:hAnsi="Arial" w:cs="Arial"/>
          <w:sz w:val="20"/>
          <w:szCs w:val="20"/>
        </w:rPr>
        <w:t xml:space="preserve"> rashodi poslovanja sastoje se od:</w:t>
      </w:r>
    </w:p>
    <w:p w14:paraId="69E821E5" w14:textId="0A3E3C7C" w:rsidR="003613E2" w:rsidRPr="003A2F86" w:rsidRDefault="003613E2">
      <w:pPr>
        <w:pStyle w:val="Odlomakpopisa"/>
        <w:numPr>
          <w:ilvl w:val="0"/>
          <w:numId w:val="39"/>
        </w:numPr>
        <w:rPr>
          <w:rFonts w:ascii="Arial" w:eastAsia="Calibri" w:hAnsi="Arial" w:cs="Arial"/>
          <w:lang w:eastAsia="hr-HR"/>
        </w:rPr>
      </w:pPr>
      <w:r w:rsidRPr="003A2F86">
        <w:rPr>
          <w:rFonts w:ascii="Arial" w:eastAsia="Calibri" w:hAnsi="Arial" w:cs="Arial"/>
          <w:lang w:eastAsia="hr-HR"/>
        </w:rPr>
        <w:t xml:space="preserve">rashoda za zaposlene u iznosu </w:t>
      </w:r>
      <w:r w:rsidR="008B4B1E">
        <w:rPr>
          <w:rFonts w:ascii="Arial" w:eastAsia="Calibri" w:hAnsi="Arial" w:cs="Arial"/>
          <w:lang w:eastAsia="hr-HR"/>
        </w:rPr>
        <w:t>1.</w:t>
      </w:r>
      <w:r w:rsidR="009A7588">
        <w:rPr>
          <w:rFonts w:ascii="Arial" w:eastAsia="Calibri" w:hAnsi="Arial" w:cs="Arial"/>
          <w:lang w:eastAsia="hr-HR"/>
        </w:rPr>
        <w:t>289.832,13</w:t>
      </w:r>
      <w:r w:rsidRPr="003A2F86">
        <w:rPr>
          <w:rFonts w:ascii="Arial" w:eastAsia="Calibri" w:hAnsi="Arial" w:cs="Arial"/>
          <w:lang w:eastAsia="hr-HR"/>
        </w:rPr>
        <w:t xml:space="preserve"> € (odnose se na rashode za bruto plaće, doprinose na plaću i ostale rashode za zaposlene)</w:t>
      </w:r>
    </w:p>
    <w:p w14:paraId="096941A9" w14:textId="32380E39" w:rsidR="003613E2" w:rsidRPr="003A2F86" w:rsidRDefault="003613E2">
      <w:pPr>
        <w:pStyle w:val="Odlomakpopisa"/>
        <w:numPr>
          <w:ilvl w:val="0"/>
          <w:numId w:val="39"/>
        </w:numPr>
        <w:rPr>
          <w:rFonts w:ascii="Arial" w:eastAsia="Calibri" w:hAnsi="Arial" w:cs="Arial"/>
          <w:lang w:eastAsia="hr-HR"/>
        </w:rPr>
      </w:pPr>
      <w:r w:rsidRPr="003A2F86">
        <w:rPr>
          <w:rFonts w:ascii="Arial" w:eastAsia="Calibri" w:hAnsi="Arial" w:cs="Arial"/>
          <w:lang w:eastAsia="hr-HR"/>
        </w:rPr>
        <w:t xml:space="preserve">materijalne rashode u iznosu </w:t>
      </w:r>
      <w:r w:rsidR="001B6B0A">
        <w:rPr>
          <w:rFonts w:ascii="Arial" w:eastAsia="Calibri" w:hAnsi="Arial" w:cs="Arial"/>
          <w:lang w:eastAsia="hr-HR"/>
        </w:rPr>
        <w:t>312.343,41</w:t>
      </w:r>
      <w:r w:rsidRPr="003A2F86">
        <w:rPr>
          <w:rFonts w:ascii="Arial" w:eastAsia="Calibri" w:hAnsi="Arial" w:cs="Arial"/>
          <w:lang w:eastAsia="hr-HR"/>
        </w:rPr>
        <w:t xml:space="preserve"> € (odnose se na naknade za prijevoz zaposlenih, rashode za materijal i energiju, te rashode za usluge</w:t>
      </w:r>
      <w:r w:rsidR="00F8394B" w:rsidRPr="003A2F86">
        <w:rPr>
          <w:rFonts w:ascii="Arial" w:eastAsia="Calibri" w:hAnsi="Arial" w:cs="Arial"/>
          <w:lang w:eastAsia="hr-HR"/>
        </w:rPr>
        <w:t xml:space="preserve"> i ostale nespomenute rashode poslovanja)</w:t>
      </w:r>
    </w:p>
    <w:p w14:paraId="2608A05A" w14:textId="30290C77" w:rsidR="003613E2" w:rsidRPr="003A2F86" w:rsidRDefault="003613E2">
      <w:pPr>
        <w:pStyle w:val="Odlomakpopisa"/>
        <w:numPr>
          <w:ilvl w:val="0"/>
          <w:numId w:val="39"/>
        </w:numPr>
        <w:rPr>
          <w:rFonts w:ascii="Arial" w:eastAsia="Calibri" w:hAnsi="Arial" w:cs="Arial"/>
          <w:lang w:eastAsia="hr-HR"/>
        </w:rPr>
      </w:pPr>
      <w:r w:rsidRPr="003A2F86">
        <w:rPr>
          <w:rFonts w:ascii="Arial" w:eastAsia="Calibri" w:hAnsi="Arial" w:cs="Arial"/>
          <w:lang w:eastAsia="hr-HR"/>
        </w:rPr>
        <w:t xml:space="preserve">rashodi za nabavu proizvedene dugotrajne imovine u iznosu </w:t>
      </w:r>
      <w:r w:rsidR="001B6B0A">
        <w:rPr>
          <w:rFonts w:ascii="Arial" w:eastAsia="Calibri" w:hAnsi="Arial" w:cs="Arial"/>
          <w:lang w:eastAsia="hr-HR"/>
        </w:rPr>
        <w:t>11.460,60</w:t>
      </w:r>
      <w:r w:rsidRPr="003A2F86">
        <w:rPr>
          <w:rFonts w:ascii="Arial" w:eastAsia="Calibri" w:hAnsi="Arial" w:cs="Arial"/>
          <w:lang w:eastAsia="hr-HR"/>
        </w:rPr>
        <w:t xml:space="preserve"> € (odnose se na rashode za nabavu uredskog namještaja</w:t>
      </w:r>
      <w:r w:rsidR="00936A8A">
        <w:rPr>
          <w:rFonts w:ascii="Arial" w:eastAsia="Calibri" w:hAnsi="Arial" w:cs="Arial"/>
          <w:lang w:eastAsia="hr-HR"/>
        </w:rPr>
        <w:t>, računala, omekšivača vode, stolnog miksera, drobilice kuhinjskog otpada, klima uređaja i hladnjaka</w:t>
      </w:r>
      <w:r w:rsidRPr="003A2F86">
        <w:rPr>
          <w:rFonts w:ascii="Arial" w:eastAsia="Calibri" w:hAnsi="Arial" w:cs="Arial"/>
          <w:lang w:eastAsia="hr-HR"/>
        </w:rPr>
        <w:t>)</w:t>
      </w:r>
    </w:p>
    <w:p w14:paraId="1C8A3098" w14:textId="77777777" w:rsidR="001158F1" w:rsidRPr="003A2F86" w:rsidRDefault="001158F1" w:rsidP="00E5761E">
      <w:pPr>
        <w:spacing w:after="0" w:line="240" w:lineRule="auto"/>
        <w:jc w:val="both"/>
        <w:rPr>
          <w:rFonts w:ascii="Arial" w:eastAsia="Calibri" w:hAnsi="Arial" w:cs="Arial"/>
        </w:rPr>
      </w:pPr>
    </w:p>
    <w:p w14:paraId="0DB3E16A" w14:textId="5F92FF73" w:rsidR="00F8394B" w:rsidRPr="003A2F86" w:rsidRDefault="00F8394B">
      <w:pPr>
        <w:pStyle w:val="Odlomakpopisa"/>
        <w:numPr>
          <w:ilvl w:val="0"/>
          <w:numId w:val="49"/>
        </w:numPr>
        <w:rPr>
          <w:rFonts w:ascii="Arial" w:eastAsia="Calibri" w:hAnsi="Arial" w:cs="Arial"/>
          <w:color w:val="FF0000"/>
        </w:rPr>
      </w:pPr>
      <w:r w:rsidRPr="003A2F86">
        <w:rPr>
          <w:rFonts w:ascii="Arial" w:eastAsia="Calibri" w:hAnsi="Arial" w:cs="Arial"/>
        </w:rPr>
        <w:lastRenderedPageBreak/>
        <w:t>Manjak prihoda iz 202</w:t>
      </w:r>
      <w:r w:rsidR="001B6B0A">
        <w:rPr>
          <w:rFonts w:ascii="Arial" w:eastAsia="Calibri" w:hAnsi="Arial" w:cs="Arial"/>
        </w:rPr>
        <w:t>4</w:t>
      </w:r>
      <w:r w:rsidRPr="003A2F86">
        <w:rPr>
          <w:rFonts w:ascii="Arial" w:eastAsia="Calibri" w:hAnsi="Arial" w:cs="Arial"/>
        </w:rPr>
        <w:t>.</w:t>
      </w:r>
      <w:r w:rsidR="00BA73AF">
        <w:rPr>
          <w:rFonts w:ascii="Arial" w:eastAsia="Calibri" w:hAnsi="Arial" w:cs="Arial"/>
        </w:rPr>
        <w:t xml:space="preserve"> </w:t>
      </w:r>
      <w:r w:rsidRPr="003A2F86">
        <w:rPr>
          <w:rFonts w:ascii="Arial" w:eastAsia="Calibri" w:hAnsi="Arial" w:cs="Arial"/>
        </w:rPr>
        <w:t xml:space="preserve">godine je iznosio </w:t>
      </w:r>
      <w:r w:rsidR="00EE5BF4">
        <w:rPr>
          <w:rFonts w:ascii="Arial" w:eastAsia="Calibri" w:hAnsi="Arial" w:cs="Arial"/>
        </w:rPr>
        <w:t>193.337,89</w:t>
      </w:r>
      <w:r w:rsidRPr="003A2F86">
        <w:rPr>
          <w:rFonts w:ascii="Arial" w:eastAsia="Calibri" w:hAnsi="Arial" w:cs="Arial"/>
        </w:rPr>
        <w:t xml:space="preserve"> € i odnosio se najvećim dijelom na obveze za neisplaćenu plaću za mjesec prosinac 202</w:t>
      </w:r>
      <w:r w:rsidR="009E5521">
        <w:rPr>
          <w:rFonts w:ascii="Arial" w:eastAsia="Calibri" w:hAnsi="Arial" w:cs="Arial"/>
        </w:rPr>
        <w:t>4</w:t>
      </w:r>
      <w:r w:rsidRPr="003A2F86">
        <w:rPr>
          <w:rFonts w:ascii="Arial" w:eastAsia="Calibri" w:hAnsi="Arial" w:cs="Arial"/>
        </w:rPr>
        <w:t>. godine</w:t>
      </w:r>
      <w:r w:rsidR="009E5521">
        <w:rPr>
          <w:rFonts w:ascii="Arial" w:eastAsia="Calibri" w:hAnsi="Arial" w:cs="Arial"/>
        </w:rPr>
        <w:t>. Ispravak manjka je izvršen u iznosu 2.125,96 €, te preneseni manjak iz prethodne godine iznosi 191.211,93 €.</w:t>
      </w:r>
    </w:p>
    <w:p w14:paraId="48DB5FE0" w14:textId="7D55D7CF" w:rsidR="00F8394B" w:rsidRPr="003A2F86" w:rsidRDefault="00F8394B">
      <w:pPr>
        <w:pStyle w:val="Odlomakpopisa"/>
        <w:numPr>
          <w:ilvl w:val="0"/>
          <w:numId w:val="49"/>
        </w:numPr>
        <w:rPr>
          <w:rFonts w:ascii="Arial" w:eastAsia="Calibri" w:hAnsi="Arial" w:cs="Arial"/>
        </w:rPr>
      </w:pPr>
      <w:r w:rsidRPr="003A2F86">
        <w:rPr>
          <w:rFonts w:ascii="Arial" w:eastAsia="Calibri" w:hAnsi="Arial" w:cs="Arial"/>
        </w:rPr>
        <w:t xml:space="preserve">Koncem prethodne godine manjak prihoda iz općinskog proračuna iznosio </w:t>
      </w:r>
      <w:r w:rsidRPr="003A2F86">
        <w:rPr>
          <w:rFonts w:ascii="Arial" w:eastAsia="Calibri" w:hAnsi="Arial" w:cs="Arial"/>
          <w:color w:val="000000" w:themeColor="text1"/>
        </w:rPr>
        <w:t xml:space="preserve">je </w:t>
      </w:r>
      <w:r w:rsidR="00BA73AF">
        <w:rPr>
          <w:rFonts w:ascii="Arial" w:eastAsia="Calibri" w:hAnsi="Arial" w:cs="Arial"/>
          <w:color w:val="000000" w:themeColor="text1"/>
        </w:rPr>
        <w:t>216.109,37</w:t>
      </w:r>
      <w:r w:rsidRPr="003A2F86">
        <w:rPr>
          <w:rFonts w:ascii="Arial" w:eastAsia="Calibri" w:hAnsi="Arial" w:cs="Arial"/>
          <w:color w:val="000000" w:themeColor="text1"/>
        </w:rPr>
        <w:t xml:space="preserve"> € (spomenute nepodmirene obveze), dok </w:t>
      </w:r>
      <w:r w:rsidRPr="003A2F86">
        <w:rPr>
          <w:rFonts w:ascii="Arial" w:eastAsia="Calibri" w:hAnsi="Arial" w:cs="Arial"/>
        </w:rPr>
        <w:t>je višak vlastitih sredstava iznosio</w:t>
      </w:r>
      <w:r w:rsidRPr="003A2F86">
        <w:rPr>
          <w:rFonts w:ascii="Arial" w:eastAsia="Calibri" w:hAnsi="Arial" w:cs="Arial"/>
          <w:color w:val="FF0000"/>
        </w:rPr>
        <w:t xml:space="preserve"> </w:t>
      </w:r>
      <w:r w:rsidR="00BA73AF">
        <w:rPr>
          <w:rFonts w:ascii="Arial" w:eastAsia="Calibri" w:hAnsi="Arial" w:cs="Arial"/>
          <w:color w:val="000000" w:themeColor="text1"/>
        </w:rPr>
        <w:t>24.</w:t>
      </w:r>
      <w:r w:rsidR="00280AA8">
        <w:rPr>
          <w:rFonts w:ascii="Arial" w:eastAsia="Calibri" w:hAnsi="Arial" w:cs="Arial"/>
          <w:color w:val="000000" w:themeColor="text1"/>
        </w:rPr>
        <w:t>897,44</w:t>
      </w:r>
      <w:r w:rsidRPr="003A2F86">
        <w:rPr>
          <w:rFonts w:ascii="Arial" w:eastAsia="Calibri" w:hAnsi="Arial" w:cs="Arial"/>
          <w:color w:val="000000" w:themeColor="text1"/>
        </w:rPr>
        <w:t xml:space="preserve"> €, </w:t>
      </w:r>
      <w:r w:rsidRPr="003A2F86">
        <w:rPr>
          <w:rFonts w:ascii="Arial" w:eastAsia="Calibri" w:hAnsi="Arial" w:cs="Arial"/>
        </w:rPr>
        <w:t xml:space="preserve">odnosno sveukupno manjak </w:t>
      </w:r>
      <w:r w:rsidR="00280AA8">
        <w:rPr>
          <w:rFonts w:ascii="Arial" w:eastAsia="Calibri" w:hAnsi="Arial" w:cs="Arial"/>
        </w:rPr>
        <w:t>191.211,93</w:t>
      </w:r>
      <w:r w:rsidRPr="003A2F86">
        <w:rPr>
          <w:rFonts w:ascii="Arial" w:eastAsia="Calibri" w:hAnsi="Arial" w:cs="Arial"/>
        </w:rPr>
        <w:t xml:space="preserve"> €.</w:t>
      </w:r>
    </w:p>
    <w:p w14:paraId="22F9DFFB" w14:textId="77777777" w:rsidR="00F8394B" w:rsidRPr="003A2F86" w:rsidRDefault="00F8394B" w:rsidP="00F8394B">
      <w:pPr>
        <w:spacing w:after="0" w:line="240" w:lineRule="auto"/>
        <w:jc w:val="both"/>
        <w:rPr>
          <w:rFonts w:ascii="Arial" w:eastAsia="Calibri" w:hAnsi="Arial" w:cs="Arial"/>
          <w:sz w:val="20"/>
          <w:szCs w:val="20"/>
        </w:rPr>
      </w:pPr>
    </w:p>
    <w:p w14:paraId="67125E39" w14:textId="6D253CF4" w:rsidR="00F8394B" w:rsidRPr="003A2F86" w:rsidRDefault="00F8394B">
      <w:pPr>
        <w:pStyle w:val="Odlomakpopisa"/>
        <w:numPr>
          <w:ilvl w:val="0"/>
          <w:numId w:val="49"/>
        </w:numPr>
        <w:rPr>
          <w:rFonts w:ascii="Arial" w:eastAsia="Calibri" w:hAnsi="Arial" w:cs="Arial"/>
        </w:rPr>
      </w:pPr>
      <w:r w:rsidRPr="003A2F86">
        <w:rPr>
          <w:rFonts w:ascii="Arial" w:eastAsia="Calibri" w:hAnsi="Arial" w:cs="Arial"/>
        </w:rPr>
        <w:t xml:space="preserve">Ostvareni tekući višak prihoda koncem </w:t>
      </w:r>
      <w:r w:rsidR="00280AA8">
        <w:rPr>
          <w:rFonts w:ascii="Arial" w:eastAsia="Calibri" w:hAnsi="Arial" w:cs="Arial"/>
        </w:rPr>
        <w:t xml:space="preserve">lipnja </w:t>
      </w:r>
      <w:r w:rsidRPr="003A2F86">
        <w:rPr>
          <w:rFonts w:ascii="Arial" w:eastAsia="Calibri" w:hAnsi="Arial" w:cs="Arial"/>
        </w:rPr>
        <w:t>202</w:t>
      </w:r>
      <w:r w:rsidR="00280AA8">
        <w:rPr>
          <w:rFonts w:ascii="Arial" w:eastAsia="Calibri" w:hAnsi="Arial" w:cs="Arial"/>
        </w:rPr>
        <w:t>5</w:t>
      </w:r>
      <w:r w:rsidRPr="003A2F86">
        <w:rPr>
          <w:rFonts w:ascii="Arial" w:eastAsia="Calibri" w:hAnsi="Arial" w:cs="Arial"/>
        </w:rPr>
        <w:t xml:space="preserve">. iznosi </w:t>
      </w:r>
      <w:r w:rsidR="00280AA8">
        <w:rPr>
          <w:rFonts w:ascii="Arial" w:eastAsia="Calibri" w:hAnsi="Arial" w:cs="Arial"/>
        </w:rPr>
        <w:t>26.924,45</w:t>
      </w:r>
      <w:r w:rsidRPr="003A2F86">
        <w:rPr>
          <w:rFonts w:ascii="Arial" w:eastAsia="Calibri" w:hAnsi="Arial" w:cs="Arial"/>
        </w:rPr>
        <w:t xml:space="preserve"> €, a s prenesenim manjkom iz prethodne godine u iznosu </w:t>
      </w:r>
      <w:r w:rsidR="00280AA8">
        <w:rPr>
          <w:rFonts w:ascii="Arial" w:eastAsia="Calibri" w:hAnsi="Arial" w:cs="Arial"/>
        </w:rPr>
        <w:t>191.211,93</w:t>
      </w:r>
      <w:r w:rsidRPr="003A2F86">
        <w:rPr>
          <w:rFonts w:ascii="Arial" w:eastAsia="Calibri" w:hAnsi="Arial" w:cs="Arial"/>
        </w:rPr>
        <w:t xml:space="preserve"> € čini manjak prihoda u iznosu </w:t>
      </w:r>
      <w:r w:rsidR="00280AA8">
        <w:rPr>
          <w:rFonts w:ascii="Arial" w:eastAsia="Calibri" w:hAnsi="Arial" w:cs="Arial"/>
        </w:rPr>
        <w:t xml:space="preserve">-164.287,48 </w:t>
      </w:r>
      <w:r w:rsidRPr="003A2F86">
        <w:rPr>
          <w:rFonts w:ascii="Arial" w:eastAsia="Calibri" w:hAnsi="Arial" w:cs="Arial"/>
        </w:rPr>
        <w:t xml:space="preserve">€. U okviru ovog manjka su obveze za plaće za mjesec </w:t>
      </w:r>
      <w:r w:rsidR="005E3586">
        <w:rPr>
          <w:rFonts w:ascii="Arial" w:eastAsia="Calibri" w:hAnsi="Arial" w:cs="Arial"/>
        </w:rPr>
        <w:t>lipanj</w:t>
      </w:r>
      <w:r w:rsidRPr="003A2F86">
        <w:rPr>
          <w:rFonts w:ascii="Arial" w:eastAsia="Calibri" w:hAnsi="Arial" w:cs="Arial"/>
        </w:rPr>
        <w:t xml:space="preserve"> 202</w:t>
      </w:r>
      <w:r w:rsidR="005E3586">
        <w:rPr>
          <w:rFonts w:ascii="Arial" w:eastAsia="Calibri" w:hAnsi="Arial" w:cs="Arial"/>
        </w:rPr>
        <w:t>5</w:t>
      </w:r>
      <w:r w:rsidRPr="003A2F86">
        <w:rPr>
          <w:rFonts w:ascii="Arial" w:eastAsia="Calibri" w:hAnsi="Arial" w:cs="Arial"/>
        </w:rPr>
        <w:t xml:space="preserve">. za koje se prihodi ostvaruju u mjesecu </w:t>
      </w:r>
      <w:r w:rsidR="005E3586">
        <w:rPr>
          <w:rFonts w:ascii="Arial" w:eastAsia="Calibri" w:hAnsi="Arial" w:cs="Arial"/>
        </w:rPr>
        <w:t xml:space="preserve">srpnju </w:t>
      </w:r>
      <w:r w:rsidRPr="003A2F86">
        <w:rPr>
          <w:rFonts w:ascii="Arial" w:eastAsia="Calibri" w:hAnsi="Arial" w:cs="Arial"/>
        </w:rPr>
        <w:t>202</w:t>
      </w:r>
      <w:r w:rsidR="004C2BF4">
        <w:rPr>
          <w:rFonts w:ascii="Arial" w:eastAsia="Calibri" w:hAnsi="Arial" w:cs="Arial"/>
        </w:rPr>
        <w:t>5</w:t>
      </w:r>
      <w:r w:rsidRPr="003A2F86">
        <w:rPr>
          <w:rFonts w:ascii="Arial" w:eastAsia="Calibri" w:hAnsi="Arial" w:cs="Arial"/>
        </w:rPr>
        <w:t>.</w:t>
      </w:r>
    </w:p>
    <w:p w14:paraId="4BC4964E" w14:textId="77777777" w:rsidR="00E5761E" w:rsidRPr="003A2F86" w:rsidRDefault="00E5761E" w:rsidP="00E5761E">
      <w:pPr>
        <w:spacing w:after="0" w:line="240" w:lineRule="auto"/>
        <w:jc w:val="both"/>
        <w:rPr>
          <w:rFonts w:ascii="Arial" w:eastAsia="Calibri" w:hAnsi="Arial" w:cs="Arial"/>
        </w:rPr>
      </w:pPr>
    </w:p>
    <w:p w14:paraId="04BD8BA7" w14:textId="77777777" w:rsidR="00BE6256" w:rsidRPr="003A2F86" w:rsidRDefault="00BE6256">
      <w:pPr>
        <w:pStyle w:val="Odlomakpopisa"/>
        <w:numPr>
          <w:ilvl w:val="0"/>
          <w:numId w:val="3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3A2F86">
        <w:rPr>
          <w:rFonts w:ascii="Arial" w:eastAsia="Calibri" w:hAnsi="Arial" w:cs="Arial"/>
          <w:b/>
        </w:rPr>
        <w:t>Procjena i ishodište potrebnih sredstava za aktivnosti unutar programa</w:t>
      </w:r>
    </w:p>
    <w:p w14:paraId="76A33671" w14:textId="77777777" w:rsidR="00BE6256" w:rsidRPr="003A2F86" w:rsidRDefault="00BE6256" w:rsidP="00BE6256">
      <w:pPr>
        <w:spacing w:after="0" w:line="240" w:lineRule="auto"/>
        <w:rPr>
          <w:rFonts w:ascii="Arial" w:eastAsia="Calibri" w:hAnsi="Arial" w:cs="Arial"/>
        </w:rPr>
      </w:pPr>
    </w:p>
    <w:p w14:paraId="6E6C96C4" w14:textId="5838ABAB" w:rsidR="00BE6256" w:rsidRPr="003A2F86" w:rsidRDefault="00BE6256" w:rsidP="00BE6256">
      <w:pPr>
        <w:spacing w:after="0" w:line="240" w:lineRule="auto"/>
        <w:rPr>
          <w:rFonts w:ascii="Arial" w:eastAsia="Calibri" w:hAnsi="Arial" w:cs="Arial"/>
          <w:sz w:val="20"/>
          <w:szCs w:val="20"/>
        </w:rPr>
      </w:pPr>
      <w:r w:rsidRPr="003A2F86">
        <w:rPr>
          <w:rFonts w:ascii="Arial" w:eastAsia="Calibri" w:hAnsi="Arial" w:cs="Arial"/>
          <w:sz w:val="20"/>
          <w:szCs w:val="20"/>
        </w:rPr>
        <w:t>Izvršenje aktivnosti sadržanih u ovom programu za 2013.-202</w:t>
      </w:r>
      <w:r w:rsidR="005E3586">
        <w:rPr>
          <w:rFonts w:ascii="Arial" w:eastAsia="Calibri" w:hAnsi="Arial" w:cs="Arial"/>
          <w:sz w:val="20"/>
          <w:szCs w:val="20"/>
        </w:rPr>
        <w:t>4</w:t>
      </w:r>
      <w:r w:rsidRPr="003A2F86">
        <w:rPr>
          <w:rFonts w:ascii="Arial" w:eastAsia="Calibri" w:hAnsi="Arial" w:cs="Arial"/>
          <w:sz w:val="20"/>
          <w:szCs w:val="20"/>
        </w:rPr>
        <w:t>., plan za 202</w:t>
      </w:r>
      <w:r w:rsidR="005E3586">
        <w:rPr>
          <w:rFonts w:ascii="Arial" w:eastAsia="Calibri" w:hAnsi="Arial" w:cs="Arial"/>
          <w:sz w:val="20"/>
          <w:szCs w:val="20"/>
        </w:rPr>
        <w:t>5</w:t>
      </w:r>
      <w:r w:rsidRPr="003A2F86">
        <w:rPr>
          <w:rFonts w:ascii="Arial" w:eastAsia="Calibri" w:hAnsi="Arial" w:cs="Arial"/>
          <w:sz w:val="20"/>
          <w:szCs w:val="20"/>
        </w:rPr>
        <w:t>., izvršenje za 202</w:t>
      </w:r>
      <w:r w:rsidR="005E3586">
        <w:rPr>
          <w:rFonts w:ascii="Arial" w:eastAsia="Calibri" w:hAnsi="Arial" w:cs="Arial"/>
          <w:sz w:val="20"/>
          <w:szCs w:val="20"/>
        </w:rPr>
        <w:t>5</w:t>
      </w:r>
      <w:r w:rsidRPr="003A2F86">
        <w:rPr>
          <w:rFonts w:ascii="Arial" w:eastAsia="Calibri" w:hAnsi="Arial" w:cs="Arial"/>
          <w:sz w:val="20"/>
          <w:szCs w:val="20"/>
        </w:rPr>
        <w:t>. i projekcije za 202</w:t>
      </w:r>
      <w:r w:rsidR="005E3586">
        <w:rPr>
          <w:rFonts w:ascii="Arial" w:eastAsia="Calibri" w:hAnsi="Arial" w:cs="Arial"/>
          <w:sz w:val="20"/>
          <w:szCs w:val="20"/>
        </w:rPr>
        <w:t>6</w:t>
      </w:r>
      <w:r w:rsidRPr="003A2F86">
        <w:rPr>
          <w:rFonts w:ascii="Arial" w:eastAsia="Calibri" w:hAnsi="Arial" w:cs="Arial"/>
          <w:sz w:val="20"/>
          <w:szCs w:val="20"/>
        </w:rPr>
        <w:t>.-202</w:t>
      </w:r>
      <w:r w:rsidR="005E3586">
        <w:rPr>
          <w:rFonts w:ascii="Arial" w:eastAsia="Calibri" w:hAnsi="Arial" w:cs="Arial"/>
          <w:sz w:val="20"/>
          <w:szCs w:val="20"/>
        </w:rPr>
        <w:t>7</w:t>
      </w:r>
      <w:r w:rsidRPr="003A2F86">
        <w:rPr>
          <w:rFonts w:ascii="Arial" w:eastAsia="Calibri" w:hAnsi="Arial" w:cs="Arial"/>
          <w:sz w:val="20"/>
          <w:szCs w:val="20"/>
        </w:rPr>
        <w:t xml:space="preserve">. iskazuju se u valuti </w:t>
      </w:r>
      <w:r w:rsidR="00E41537" w:rsidRPr="003A2F86">
        <w:rPr>
          <w:rFonts w:ascii="Arial" w:eastAsia="Calibri" w:hAnsi="Arial" w:cs="Arial"/>
          <w:sz w:val="20"/>
          <w:szCs w:val="20"/>
        </w:rPr>
        <w:t>euro</w:t>
      </w:r>
      <w:r w:rsidRPr="003A2F86">
        <w:rPr>
          <w:rFonts w:ascii="Arial" w:eastAsia="Calibri" w:hAnsi="Arial" w:cs="Arial"/>
          <w:sz w:val="20"/>
          <w:szCs w:val="20"/>
        </w:rPr>
        <w:t xml:space="preserve"> kako slijedi:</w:t>
      </w:r>
    </w:p>
    <w:p w14:paraId="4E35B4C9" w14:textId="77777777" w:rsidR="00E5761E" w:rsidRPr="003A2F86" w:rsidRDefault="00E5761E" w:rsidP="00E5761E">
      <w:pPr>
        <w:spacing w:after="0" w:line="240" w:lineRule="auto"/>
        <w:jc w:val="both"/>
        <w:rPr>
          <w:rFonts w:ascii="Arial" w:eastAsia="Calibri" w:hAnsi="Arial" w:cs="Arial"/>
          <w:sz w:val="20"/>
          <w:szCs w:val="20"/>
        </w:rPr>
      </w:pPr>
    </w:p>
    <w:p w14:paraId="384B8BB1" w14:textId="1FF2C84E" w:rsidR="00E5761E" w:rsidRPr="003A2F86" w:rsidRDefault="0094447A" w:rsidP="004C1333">
      <w:pPr>
        <w:spacing w:after="0" w:line="240" w:lineRule="auto"/>
        <w:jc w:val="center"/>
        <w:rPr>
          <w:rFonts w:ascii="Arial" w:eastAsia="Calibri" w:hAnsi="Arial" w:cs="Arial"/>
          <w:sz w:val="20"/>
          <w:szCs w:val="20"/>
        </w:rPr>
      </w:pPr>
      <w:r w:rsidRPr="0094447A">
        <w:rPr>
          <w:noProof/>
        </w:rPr>
        <w:drawing>
          <wp:inline distT="0" distB="0" distL="0" distR="0" wp14:anchorId="38FF8DF4" wp14:editId="370B46DE">
            <wp:extent cx="9251950" cy="4135755"/>
            <wp:effectExtent l="0" t="0" r="6350" b="0"/>
            <wp:docPr id="1851289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251950" cy="4135755"/>
                    </a:xfrm>
                    <a:prstGeom prst="rect">
                      <a:avLst/>
                    </a:prstGeom>
                    <a:noFill/>
                    <a:ln>
                      <a:noFill/>
                    </a:ln>
                  </pic:spPr>
                </pic:pic>
              </a:graphicData>
            </a:graphic>
          </wp:inline>
        </w:drawing>
      </w:r>
    </w:p>
    <w:p w14:paraId="4E277B18" w14:textId="77777777" w:rsidR="00BE6256" w:rsidRPr="003A2F86" w:rsidRDefault="00BE6256" w:rsidP="00BE6256">
      <w:pPr>
        <w:shd w:val="clear" w:color="auto" w:fill="FFFFFF"/>
        <w:spacing w:after="0" w:line="240" w:lineRule="auto"/>
        <w:jc w:val="right"/>
        <w:rPr>
          <w:rFonts w:ascii="Arial" w:hAnsi="Arial" w:cs="Arial"/>
          <w:sz w:val="20"/>
          <w:szCs w:val="20"/>
        </w:rPr>
      </w:pPr>
      <w:r w:rsidRPr="003A2F86">
        <w:rPr>
          <w:rFonts w:ascii="Arial" w:hAnsi="Arial" w:cs="Arial"/>
          <w:b/>
          <w:sz w:val="20"/>
          <w:szCs w:val="20"/>
        </w:rPr>
        <w:lastRenderedPageBreak/>
        <w:t>RAZLOG ODSTUPANJA OD PROŠLOGODIŠNJIH PROJEKCIJA</w:t>
      </w:r>
      <w:r w:rsidRPr="003A2F86">
        <w:rPr>
          <w:rFonts w:ascii="Arial" w:hAnsi="Arial" w:cs="Arial"/>
          <w:sz w:val="20"/>
          <w:szCs w:val="20"/>
        </w:rPr>
        <w:t xml:space="preserve">: </w:t>
      </w:r>
    </w:p>
    <w:p w14:paraId="5BAA29B9" w14:textId="77777777" w:rsidR="00BE6256" w:rsidRPr="003A2F86" w:rsidRDefault="00BE6256" w:rsidP="00BE6256">
      <w:pPr>
        <w:shd w:val="clear" w:color="auto" w:fill="FFFFFF"/>
        <w:spacing w:after="0" w:line="240" w:lineRule="auto"/>
        <w:jc w:val="right"/>
        <w:rPr>
          <w:rFonts w:ascii="Arial" w:hAnsi="Arial" w:cs="Arial"/>
          <w:sz w:val="20"/>
          <w:szCs w:val="20"/>
        </w:rPr>
      </w:pPr>
      <w:r w:rsidRPr="003A2F86">
        <w:rPr>
          <w:rFonts w:ascii="Arial" w:hAnsi="Arial" w:cs="Arial"/>
          <w:sz w:val="20"/>
          <w:szCs w:val="20"/>
        </w:rPr>
        <w:t>Po navedenom programu nije bilo značajnih odstupanja.</w:t>
      </w:r>
    </w:p>
    <w:p w14:paraId="143DB9BD" w14:textId="77777777" w:rsidR="00E41537" w:rsidRPr="003A2F86" w:rsidRDefault="00E41537" w:rsidP="00BE6256">
      <w:pPr>
        <w:spacing w:after="0" w:line="240" w:lineRule="auto"/>
        <w:rPr>
          <w:rFonts w:ascii="Arial" w:eastAsia="Calibri" w:hAnsi="Arial" w:cs="Arial"/>
          <w:b/>
          <w:sz w:val="20"/>
          <w:szCs w:val="20"/>
        </w:rPr>
      </w:pPr>
    </w:p>
    <w:p w14:paraId="31DB8F3C" w14:textId="7D17C717" w:rsidR="00BE6256" w:rsidRPr="003A2F86" w:rsidRDefault="00BE6256" w:rsidP="00BE6256">
      <w:pPr>
        <w:spacing w:after="0" w:line="240" w:lineRule="auto"/>
        <w:rPr>
          <w:rFonts w:ascii="Arial" w:eastAsia="Calibri" w:hAnsi="Arial" w:cs="Arial"/>
          <w:i/>
          <w:sz w:val="20"/>
          <w:szCs w:val="20"/>
        </w:rPr>
      </w:pPr>
      <w:r w:rsidRPr="003A2F86">
        <w:rPr>
          <w:rFonts w:ascii="Arial" w:eastAsia="Calibri" w:hAnsi="Arial" w:cs="Arial"/>
          <w:b/>
          <w:sz w:val="20"/>
          <w:szCs w:val="20"/>
        </w:rPr>
        <w:t>Ishodište i pokazatelji na kojima se zasnivaju izračuni i ocjene</w:t>
      </w:r>
      <w:r w:rsidRPr="003A2F86">
        <w:rPr>
          <w:rFonts w:ascii="Arial" w:eastAsia="Calibri" w:hAnsi="Arial" w:cs="Arial"/>
          <w:sz w:val="20"/>
          <w:szCs w:val="20"/>
        </w:rPr>
        <w:t xml:space="preserve"> </w:t>
      </w:r>
      <w:r w:rsidRPr="003A2F86">
        <w:rPr>
          <w:rFonts w:ascii="Arial" w:eastAsia="Calibri" w:hAnsi="Arial" w:cs="Arial"/>
          <w:b/>
          <w:sz w:val="20"/>
          <w:szCs w:val="20"/>
        </w:rPr>
        <w:t>potrebnih sredstava za provođenje programa:</w:t>
      </w:r>
      <w:r w:rsidRPr="003A2F86">
        <w:rPr>
          <w:rFonts w:ascii="Arial" w:eastAsia="Calibri" w:hAnsi="Arial" w:cs="Arial"/>
          <w:sz w:val="20"/>
          <w:szCs w:val="20"/>
        </w:rPr>
        <w:t xml:space="preserve"> Planske veličine su određene u predloženim iznosima temeljem ostvarenih ciljeva i postignutih rezultata iz prethodnih godina, te predviđanja promjena u izvršenju ciljeva u narednom razdoblju.</w:t>
      </w:r>
    </w:p>
    <w:p w14:paraId="5C810B95" w14:textId="77777777" w:rsidR="00BE6256" w:rsidRPr="003A2F86" w:rsidRDefault="00BE6256" w:rsidP="00BE6256">
      <w:pPr>
        <w:spacing w:after="0" w:line="240" w:lineRule="auto"/>
        <w:jc w:val="both"/>
        <w:rPr>
          <w:rFonts w:ascii="Arial" w:eastAsia="Calibri" w:hAnsi="Arial" w:cs="Arial"/>
          <w:sz w:val="20"/>
          <w:szCs w:val="20"/>
        </w:rPr>
      </w:pPr>
      <w:r w:rsidRPr="003A2F86">
        <w:rPr>
          <w:rFonts w:ascii="Arial" w:eastAsia="Calibri" w:hAnsi="Arial" w:cs="Arial"/>
          <w:b/>
          <w:sz w:val="20"/>
          <w:szCs w:val="20"/>
        </w:rPr>
        <w:t>Izvještaj o postignutim ciljevima i rezultatima programa temeljenim na pokazateljima uspješnosti u prethodnoj godini</w:t>
      </w:r>
      <w:r w:rsidRPr="003A2F86">
        <w:rPr>
          <w:rFonts w:ascii="Arial" w:eastAsia="Calibri" w:hAnsi="Arial" w:cs="Arial"/>
          <w:sz w:val="20"/>
          <w:szCs w:val="20"/>
        </w:rPr>
        <w:t>: Izvršenje je u okviru očekivanih vrijednosti.</w:t>
      </w:r>
    </w:p>
    <w:p w14:paraId="7CDD422F" w14:textId="77777777" w:rsidR="00BE6256" w:rsidRPr="003A2F86" w:rsidRDefault="00BE6256" w:rsidP="00E5761E">
      <w:pPr>
        <w:autoSpaceDE w:val="0"/>
        <w:autoSpaceDN w:val="0"/>
        <w:adjustRightInd w:val="0"/>
        <w:spacing w:after="0" w:line="240" w:lineRule="auto"/>
        <w:jc w:val="both"/>
        <w:rPr>
          <w:rFonts w:ascii="Arial" w:eastAsia="Calibri" w:hAnsi="Arial" w:cs="Arial"/>
          <w:sz w:val="20"/>
          <w:szCs w:val="20"/>
        </w:rPr>
      </w:pPr>
    </w:p>
    <w:p w14:paraId="20BA2CB6" w14:textId="31D4636A" w:rsidR="00E41537" w:rsidRPr="003A2F86" w:rsidRDefault="00E41537" w:rsidP="00E41537">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Ustanova Dječji vrtići Konavle, kao proračunski korisnik Općine, prema predanim financijskim izvještajima za siječanj – </w:t>
      </w:r>
      <w:r w:rsidR="0094447A">
        <w:rPr>
          <w:rFonts w:ascii="Arial" w:eastAsia="Calibri" w:hAnsi="Arial" w:cs="Arial"/>
          <w:sz w:val="20"/>
          <w:szCs w:val="20"/>
        </w:rPr>
        <w:t>lipanj</w:t>
      </w:r>
      <w:r w:rsidRPr="003A2F86">
        <w:rPr>
          <w:rFonts w:ascii="Arial" w:eastAsia="Calibri" w:hAnsi="Arial" w:cs="Arial"/>
          <w:sz w:val="20"/>
          <w:szCs w:val="20"/>
        </w:rPr>
        <w:t xml:space="preserve"> 202</w:t>
      </w:r>
      <w:r w:rsidR="0094447A">
        <w:rPr>
          <w:rFonts w:ascii="Arial" w:eastAsia="Calibri" w:hAnsi="Arial" w:cs="Arial"/>
          <w:sz w:val="20"/>
          <w:szCs w:val="20"/>
        </w:rPr>
        <w:t>5</w:t>
      </w:r>
      <w:r w:rsidRPr="003A2F86">
        <w:rPr>
          <w:rFonts w:ascii="Arial" w:eastAsia="Calibri" w:hAnsi="Arial" w:cs="Arial"/>
          <w:sz w:val="20"/>
          <w:szCs w:val="20"/>
        </w:rPr>
        <w:t xml:space="preserve">. izvršila je rashode u ukupnom iznosu </w:t>
      </w:r>
      <w:r w:rsidR="00507DAA">
        <w:rPr>
          <w:rFonts w:ascii="Arial" w:eastAsia="Calibri" w:hAnsi="Arial" w:cs="Arial"/>
          <w:sz w:val="20"/>
          <w:szCs w:val="20"/>
        </w:rPr>
        <w:t>11.613.636,14</w:t>
      </w:r>
      <w:r w:rsidRPr="003A2F86">
        <w:rPr>
          <w:rFonts w:ascii="Arial" w:eastAsia="Calibri" w:hAnsi="Arial" w:cs="Arial"/>
          <w:sz w:val="20"/>
          <w:szCs w:val="20"/>
        </w:rPr>
        <w:t xml:space="preserve"> €, a prihode u iznosu </w:t>
      </w:r>
      <w:r w:rsidR="00507DAA">
        <w:rPr>
          <w:rFonts w:ascii="Arial" w:eastAsia="Calibri" w:hAnsi="Arial" w:cs="Arial"/>
          <w:sz w:val="20"/>
          <w:szCs w:val="20"/>
        </w:rPr>
        <w:t>1.640.560,59</w:t>
      </w:r>
      <w:r w:rsidRPr="003A2F86">
        <w:rPr>
          <w:rFonts w:ascii="Arial" w:eastAsia="Calibri" w:hAnsi="Arial" w:cs="Arial"/>
          <w:sz w:val="20"/>
          <w:szCs w:val="20"/>
        </w:rPr>
        <w:t xml:space="preserve"> €. Tekući </w:t>
      </w:r>
      <w:r w:rsidR="00507DAA">
        <w:rPr>
          <w:rFonts w:ascii="Arial" w:eastAsia="Calibri" w:hAnsi="Arial" w:cs="Arial"/>
          <w:sz w:val="20"/>
          <w:szCs w:val="20"/>
        </w:rPr>
        <w:t>višak</w:t>
      </w:r>
      <w:r w:rsidRPr="003A2F86">
        <w:rPr>
          <w:rFonts w:ascii="Arial" w:eastAsia="Calibri" w:hAnsi="Arial" w:cs="Arial"/>
          <w:sz w:val="20"/>
          <w:szCs w:val="20"/>
        </w:rPr>
        <w:t xml:space="preserve"> prihoda iznosi </w:t>
      </w:r>
      <w:r w:rsidR="00905468">
        <w:rPr>
          <w:rFonts w:ascii="Arial" w:eastAsia="Calibri" w:hAnsi="Arial" w:cs="Arial"/>
          <w:sz w:val="20"/>
          <w:szCs w:val="20"/>
        </w:rPr>
        <w:t>26.924,45</w:t>
      </w:r>
      <w:r w:rsidRPr="003A2F86">
        <w:rPr>
          <w:rFonts w:ascii="Arial" w:eastAsia="Calibri" w:hAnsi="Arial" w:cs="Arial"/>
          <w:sz w:val="20"/>
          <w:szCs w:val="20"/>
        </w:rPr>
        <w:t xml:space="preserve"> €. Preneseni manjak iznosi -</w:t>
      </w:r>
      <w:r w:rsidR="00905468">
        <w:rPr>
          <w:rFonts w:ascii="Arial" w:eastAsia="Calibri" w:hAnsi="Arial" w:cs="Arial"/>
          <w:sz w:val="20"/>
          <w:szCs w:val="20"/>
        </w:rPr>
        <w:t>191.211,93</w:t>
      </w:r>
      <w:r w:rsidRPr="003A2F86">
        <w:rPr>
          <w:rFonts w:ascii="Arial" w:eastAsia="Calibri" w:hAnsi="Arial" w:cs="Arial"/>
          <w:sz w:val="20"/>
          <w:szCs w:val="20"/>
        </w:rPr>
        <w:t xml:space="preserve"> €. Manjak prihoda i primitaka za pokriće u slijedećem razdoblju iznosi -</w:t>
      </w:r>
      <w:r w:rsidR="00905468">
        <w:rPr>
          <w:rFonts w:ascii="Arial" w:eastAsia="Calibri" w:hAnsi="Arial" w:cs="Arial"/>
          <w:sz w:val="20"/>
          <w:szCs w:val="20"/>
        </w:rPr>
        <w:t>164.287,48</w:t>
      </w:r>
      <w:r w:rsidRPr="003A2F86">
        <w:rPr>
          <w:rFonts w:ascii="Arial" w:eastAsia="Calibri" w:hAnsi="Arial" w:cs="Arial"/>
          <w:sz w:val="20"/>
          <w:szCs w:val="20"/>
        </w:rPr>
        <w:t xml:space="preserve"> €.</w:t>
      </w:r>
    </w:p>
    <w:p w14:paraId="54D24EAB" w14:textId="77777777" w:rsidR="00E41537" w:rsidRPr="003A2F86" w:rsidRDefault="00E41537" w:rsidP="00E41537">
      <w:pPr>
        <w:autoSpaceDE w:val="0"/>
        <w:autoSpaceDN w:val="0"/>
        <w:adjustRightInd w:val="0"/>
        <w:spacing w:after="0" w:line="240" w:lineRule="auto"/>
        <w:jc w:val="both"/>
        <w:rPr>
          <w:rFonts w:ascii="Arial" w:eastAsia="Calibri" w:hAnsi="Arial" w:cs="Arial"/>
          <w:sz w:val="20"/>
          <w:szCs w:val="20"/>
        </w:rPr>
      </w:pPr>
    </w:p>
    <w:p w14:paraId="6B86F623" w14:textId="02F37D3E" w:rsidR="000257B5" w:rsidRPr="000257B5" w:rsidRDefault="000257B5" w:rsidP="000257B5">
      <w:pPr>
        <w:spacing w:after="0" w:line="240" w:lineRule="auto"/>
        <w:jc w:val="both"/>
        <w:rPr>
          <w:rFonts w:ascii="Arial" w:eastAsia="Calibri" w:hAnsi="Arial" w:cs="Arial"/>
          <w:sz w:val="20"/>
          <w:szCs w:val="20"/>
        </w:rPr>
      </w:pPr>
      <w:r w:rsidRPr="000257B5">
        <w:rPr>
          <w:rFonts w:ascii="Arial" w:eastAsia="Calibri" w:hAnsi="Arial" w:cs="Arial"/>
          <w:b/>
          <w:bCs/>
          <w:sz w:val="20"/>
          <w:szCs w:val="20"/>
        </w:rPr>
        <w:t>Stanje nenaplaćenih potraživanja</w:t>
      </w:r>
      <w:r w:rsidRPr="000257B5">
        <w:rPr>
          <w:rFonts w:ascii="Arial" w:eastAsia="Calibri" w:hAnsi="Arial" w:cs="Arial"/>
          <w:sz w:val="20"/>
          <w:szCs w:val="20"/>
        </w:rPr>
        <w:t xml:space="preserve"> na dan </w:t>
      </w:r>
      <w:r w:rsidR="005F4F74">
        <w:rPr>
          <w:rFonts w:ascii="Arial" w:eastAsia="Calibri" w:hAnsi="Arial" w:cs="Arial"/>
          <w:sz w:val="20"/>
          <w:szCs w:val="20"/>
        </w:rPr>
        <w:t>30.06.2025</w:t>
      </w:r>
      <w:r w:rsidRPr="000257B5">
        <w:rPr>
          <w:rFonts w:ascii="Arial" w:eastAsia="Calibri" w:hAnsi="Arial" w:cs="Arial"/>
          <w:sz w:val="20"/>
          <w:szCs w:val="20"/>
        </w:rPr>
        <w:t xml:space="preserve">. godine ukupno iznose </w:t>
      </w:r>
      <w:r w:rsidR="005F4F74">
        <w:rPr>
          <w:rFonts w:ascii="Arial" w:eastAsia="Calibri" w:hAnsi="Arial" w:cs="Arial"/>
          <w:sz w:val="20"/>
          <w:szCs w:val="20"/>
        </w:rPr>
        <w:t>113.137,62</w:t>
      </w:r>
      <w:r w:rsidRPr="000257B5">
        <w:rPr>
          <w:rFonts w:ascii="Arial" w:eastAsia="Calibri" w:hAnsi="Arial" w:cs="Arial"/>
          <w:sz w:val="20"/>
          <w:szCs w:val="20"/>
        </w:rPr>
        <w:t xml:space="preserve"> € od čega se </w:t>
      </w:r>
      <w:r w:rsidR="005F4F74">
        <w:rPr>
          <w:rFonts w:ascii="Arial" w:eastAsia="Calibri" w:hAnsi="Arial" w:cs="Arial"/>
          <w:sz w:val="20"/>
          <w:szCs w:val="20"/>
        </w:rPr>
        <w:t>77.897,98</w:t>
      </w:r>
      <w:r w:rsidRPr="000257B5">
        <w:rPr>
          <w:rFonts w:ascii="Arial" w:eastAsia="Calibri" w:hAnsi="Arial" w:cs="Arial"/>
          <w:sz w:val="20"/>
          <w:szCs w:val="20"/>
        </w:rPr>
        <w:t xml:space="preserve"> € odnosi na potraživanja od Općine za naplaćene proračunske prihode. Potraživanje za naknade bolovanja koje se refundiraju preko HZZO-a iznosi </w:t>
      </w:r>
      <w:r w:rsidR="005F4F74">
        <w:rPr>
          <w:rFonts w:ascii="Arial" w:eastAsia="Calibri" w:hAnsi="Arial" w:cs="Arial"/>
          <w:sz w:val="20"/>
          <w:szCs w:val="20"/>
        </w:rPr>
        <w:t>9.585,60</w:t>
      </w:r>
      <w:r w:rsidRPr="000257B5">
        <w:rPr>
          <w:rFonts w:ascii="Arial" w:eastAsia="Calibri" w:hAnsi="Arial" w:cs="Arial"/>
          <w:sz w:val="20"/>
          <w:szCs w:val="20"/>
        </w:rPr>
        <w:t xml:space="preserve"> €, potraživanja za više plaćene poreze i doprinose </w:t>
      </w:r>
      <w:r w:rsidR="005F4F74">
        <w:rPr>
          <w:rFonts w:ascii="Arial" w:eastAsia="Calibri" w:hAnsi="Arial" w:cs="Arial"/>
          <w:sz w:val="20"/>
          <w:szCs w:val="20"/>
        </w:rPr>
        <w:t>0</w:t>
      </w:r>
      <w:r w:rsidRPr="000257B5">
        <w:rPr>
          <w:rFonts w:ascii="Arial" w:eastAsia="Calibri" w:hAnsi="Arial" w:cs="Arial"/>
          <w:sz w:val="20"/>
          <w:szCs w:val="20"/>
        </w:rPr>
        <w:t xml:space="preserve"> €, a potraživanja od uplate roditelja za sufinanciranje cijene programa iznosi </w:t>
      </w:r>
      <w:r w:rsidR="00A45EC9">
        <w:rPr>
          <w:rFonts w:ascii="Arial" w:eastAsia="Calibri" w:hAnsi="Arial" w:cs="Arial"/>
          <w:sz w:val="20"/>
          <w:szCs w:val="20"/>
        </w:rPr>
        <w:t>17.152,04</w:t>
      </w:r>
      <w:r w:rsidRPr="000257B5">
        <w:rPr>
          <w:rFonts w:ascii="Arial" w:eastAsia="Calibri" w:hAnsi="Arial" w:cs="Arial"/>
          <w:sz w:val="20"/>
          <w:szCs w:val="20"/>
        </w:rPr>
        <w:t xml:space="preserve"> €, potraživanja za pružene usluge prehrane iznose </w:t>
      </w:r>
      <w:r w:rsidR="00A45EC9">
        <w:rPr>
          <w:rFonts w:ascii="Arial" w:eastAsia="Calibri" w:hAnsi="Arial" w:cs="Arial"/>
          <w:sz w:val="20"/>
          <w:szCs w:val="20"/>
        </w:rPr>
        <w:t>8.502</w:t>
      </w:r>
      <w:r w:rsidRPr="000257B5">
        <w:rPr>
          <w:rFonts w:ascii="Arial" w:eastAsia="Calibri" w:hAnsi="Arial" w:cs="Arial"/>
          <w:sz w:val="20"/>
          <w:szCs w:val="20"/>
        </w:rPr>
        <w:t xml:space="preserve"> €. </w:t>
      </w:r>
    </w:p>
    <w:p w14:paraId="339D8ADC" w14:textId="77777777" w:rsidR="000257B5" w:rsidRPr="000257B5" w:rsidRDefault="000257B5" w:rsidP="000257B5">
      <w:pPr>
        <w:spacing w:after="0" w:line="240" w:lineRule="auto"/>
        <w:jc w:val="both"/>
        <w:rPr>
          <w:rFonts w:ascii="Arial" w:eastAsia="Calibri" w:hAnsi="Arial" w:cs="Arial"/>
          <w:sz w:val="20"/>
          <w:szCs w:val="20"/>
        </w:rPr>
      </w:pPr>
    </w:p>
    <w:p w14:paraId="3DE4F45C" w14:textId="393810DE" w:rsidR="000257B5" w:rsidRPr="000257B5" w:rsidRDefault="000257B5" w:rsidP="000257B5">
      <w:pPr>
        <w:spacing w:after="0" w:line="240" w:lineRule="auto"/>
        <w:jc w:val="both"/>
        <w:rPr>
          <w:rFonts w:ascii="Arial" w:eastAsia="Calibri" w:hAnsi="Arial" w:cs="Arial"/>
          <w:sz w:val="20"/>
          <w:szCs w:val="20"/>
        </w:rPr>
      </w:pPr>
      <w:r w:rsidRPr="000257B5">
        <w:rPr>
          <w:rFonts w:ascii="Arial" w:eastAsia="Calibri" w:hAnsi="Arial" w:cs="Arial"/>
          <w:b/>
          <w:bCs/>
          <w:sz w:val="20"/>
          <w:szCs w:val="20"/>
        </w:rPr>
        <w:t>Stanje nepodmirenih obveza</w:t>
      </w:r>
      <w:r w:rsidRPr="000257B5">
        <w:rPr>
          <w:rFonts w:ascii="Arial" w:eastAsia="Calibri" w:hAnsi="Arial" w:cs="Arial"/>
          <w:sz w:val="20"/>
          <w:szCs w:val="20"/>
        </w:rPr>
        <w:t xml:space="preserve"> na dan </w:t>
      </w:r>
      <w:r w:rsidR="00A45EC9">
        <w:rPr>
          <w:rFonts w:ascii="Arial" w:eastAsia="Calibri" w:hAnsi="Arial" w:cs="Arial"/>
          <w:sz w:val="20"/>
          <w:szCs w:val="20"/>
        </w:rPr>
        <w:t>30.06.2025</w:t>
      </w:r>
      <w:r w:rsidRPr="000257B5">
        <w:rPr>
          <w:rFonts w:ascii="Arial" w:eastAsia="Calibri" w:hAnsi="Arial" w:cs="Arial"/>
          <w:sz w:val="20"/>
          <w:szCs w:val="20"/>
        </w:rPr>
        <w:t xml:space="preserve">. iznosi </w:t>
      </w:r>
      <w:r w:rsidR="00A45EC9">
        <w:rPr>
          <w:rFonts w:ascii="Arial" w:eastAsia="Calibri" w:hAnsi="Arial" w:cs="Arial"/>
          <w:sz w:val="20"/>
          <w:szCs w:val="20"/>
        </w:rPr>
        <w:t>251.771,06</w:t>
      </w:r>
      <w:r w:rsidRPr="000257B5">
        <w:rPr>
          <w:rFonts w:ascii="Arial" w:eastAsia="Calibri" w:hAnsi="Arial" w:cs="Arial"/>
          <w:sz w:val="20"/>
          <w:szCs w:val="20"/>
        </w:rPr>
        <w:t xml:space="preserve"> € i odnosi se na nedospjele obveze koje će se podmiriti sa datumima dospijeća računa. Vrijednosno najznačajnije obveze se odnose na plaće za zaposlene za </w:t>
      </w:r>
      <w:r w:rsidR="00A45EC9">
        <w:rPr>
          <w:rFonts w:ascii="Arial" w:eastAsia="Calibri" w:hAnsi="Arial" w:cs="Arial"/>
          <w:sz w:val="20"/>
          <w:szCs w:val="20"/>
        </w:rPr>
        <w:t>lipanj</w:t>
      </w:r>
      <w:r w:rsidRPr="000257B5">
        <w:rPr>
          <w:rFonts w:ascii="Arial" w:eastAsia="Calibri" w:hAnsi="Arial" w:cs="Arial"/>
          <w:sz w:val="20"/>
          <w:szCs w:val="20"/>
        </w:rPr>
        <w:t xml:space="preserve"> 202</w:t>
      </w:r>
      <w:r w:rsidR="00A45EC9">
        <w:rPr>
          <w:rFonts w:ascii="Arial" w:eastAsia="Calibri" w:hAnsi="Arial" w:cs="Arial"/>
          <w:sz w:val="20"/>
          <w:szCs w:val="20"/>
        </w:rPr>
        <w:t>5</w:t>
      </w:r>
      <w:r w:rsidRPr="000257B5">
        <w:rPr>
          <w:rFonts w:ascii="Arial" w:eastAsia="Calibri" w:hAnsi="Arial" w:cs="Arial"/>
          <w:sz w:val="20"/>
          <w:szCs w:val="20"/>
        </w:rPr>
        <w:t xml:space="preserve">. u iznosu </w:t>
      </w:r>
      <w:r w:rsidR="00A45EC9">
        <w:rPr>
          <w:rFonts w:ascii="Arial" w:eastAsia="Calibri" w:hAnsi="Arial" w:cs="Arial"/>
          <w:sz w:val="20"/>
          <w:szCs w:val="20"/>
        </w:rPr>
        <w:t>212.431,02</w:t>
      </w:r>
      <w:r w:rsidRPr="000257B5">
        <w:rPr>
          <w:rFonts w:ascii="Arial" w:eastAsia="Calibri" w:hAnsi="Arial" w:cs="Arial"/>
          <w:sz w:val="20"/>
          <w:szCs w:val="20"/>
        </w:rPr>
        <w:t xml:space="preserve"> €. Obveze za materijalne rashode iznose </w:t>
      </w:r>
      <w:r w:rsidR="001C65F4">
        <w:rPr>
          <w:rFonts w:ascii="Arial" w:eastAsia="Calibri" w:hAnsi="Arial" w:cs="Arial"/>
          <w:sz w:val="20"/>
          <w:szCs w:val="20"/>
        </w:rPr>
        <w:t>39.340,04</w:t>
      </w:r>
      <w:r w:rsidRPr="000257B5">
        <w:rPr>
          <w:rFonts w:ascii="Arial" w:eastAsia="Calibri" w:hAnsi="Arial" w:cs="Arial"/>
          <w:sz w:val="20"/>
          <w:szCs w:val="20"/>
        </w:rPr>
        <w:t xml:space="preserve"> €, od čega naknade za prijevoz zaposlenih </w:t>
      </w:r>
      <w:r w:rsidR="001C65F4">
        <w:rPr>
          <w:rFonts w:ascii="Arial" w:eastAsia="Calibri" w:hAnsi="Arial" w:cs="Arial"/>
          <w:sz w:val="20"/>
          <w:szCs w:val="20"/>
        </w:rPr>
        <w:t>8.792,25</w:t>
      </w:r>
      <w:r w:rsidRPr="000257B5">
        <w:rPr>
          <w:rFonts w:ascii="Arial" w:eastAsia="Calibri" w:hAnsi="Arial" w:cs="Arial"/>
          <w:sz w:val="20"/>
          <w:szCs w:val="20"/>
        </w:rPr>
        <w:t xml:space="preserve"> €.</w:t>
      </w:r>
    </w:p>
    <w:p w14:paraId="137F507B" w14:textId="77777777" w:rsidR="000257B5" w:rsidRPr="000257B5" w:rsidRDefault="000257B5" w:rsidP="000257B5">
      <w:pPr>
        <w:spacing w:after="0" w:line="240" w:lineRule="auto"/>
        <w:jc w:val="both"/>
        <w:rPr>
          <w:rFonts w:ascii="Arial" w:eastAsia="Calibri" w:hAnsi="Arial" w:cs="Arial"/>
          <w:sz w:val="20"/>
          <w:szCs w:val="20"/>
        </w:rPr>
      </w:pPr>
    </w:p>
    <w:p w14:paraId="163F371C" w14:textId="77777777" w:rsidR="000257B5" w:rsidRPr="000257B5" w:rsidRDefault="000257B5" w:rsidP="000257B5">
      <w:pPr>
        <w:autoSpaceDE w:val="0"/>
        <w:autoSpaceDN w:val="0"/>
        <w:adjustRightInd w:val="0"/>
        <w:spacing w:after="0" w:line="240" w:lineRule="auto"/>
        <w:jc w:val="both"/>
        <w:rPr>
          <w:rFonts w:ascii="Arial" w:eastAsia="Calibri" w:hAnsi="Arial" w:cs="Arial"/>
          <w:sz w:val="20"/>
          <w:szCs w:val="20"/>
        </w:rPr>
      </w:pPr>
      <w:r w:rsidRPr="000257B5">
        <w:rPr>
          <w:rFonts w:ascii="Arial" w:eastAsia="Calibri" w:hAnsi="Arial" w:cs="Arial"/>
          <w:sz w:val="20"/>
          <w:szCs w:val="20"/>
        </w:rPr>
        <w:t>Dječji vrtić Konavle nema danih niti primljenih zajmova (kredita).</w:t>
      </w:r>
    </w:p>
    <w:p w14:paraId="1231D809" w14:textId="77777777" w:rsidR="000257B5" w:rsidRPr="000257B5" w:rsidRDefault="000257B5" w:rsidP="000257B5">
      <w:pPr>
        <w:spacing w:after="0" w:line="240" w:lineRule="auto"/>
        <w:jc w:val="both"/>
        <w:rPr>
          <w:rFonts w:ascii="Arial" w:eastAsia="Calibri" w:hAnsi="Arial" w:cs="Arial"/>
          <w:sz w:val="20"/>
          <w:szCs w:val="20"/>
        </w:rPr>
      </w:pPr>
    </w:p>
    <w:p w14:paraId="1D3980DA" w14:textId="77777777" w:rsidR="000257B5" w:rsidRPr="000257B5" w:rsidRDefault="000257B5" w:rsidP="000257B5">
      <w:pPr>
        <w:spacing w:after="0" w:line="240" w:lineRule="auto"/>
        <w:jc w:val="both"/>
        <w:rPr>
          <w:rFonts w:ascii="Arial" w:eastAsia="Calibri" w:hAnsi="Arial" w:cs="Arial"/>
          <w:sz w:val="20"/>
          <w:szCs w:val="20"/>
        </w:rPr>
      </w:pPr>
      <w:r w:rsidRPr="000257B5">
        <w:rPr>
          <w:rFonts w:ascii="Arial" w:eastAsia="Calibri" w:hAnsi="Arial" w:cs="Arial"/>
          <w:sz w:val="20"/>
          <w:szCs w:val="20"/>
        </w:rPr>
        <w:t>Ustanova Dječji vrtić Konavle nema poznatih rizika niti potencijalnih obveza na osnovi sudskih ili bilo kakvih drugih sporova i odnosa sa dobavljačima i korisnicima usluga.</w:t>
      </w:r>
    </w:p>
    <w:p w14:paraId="4210EBC9" w14:textId="77777777" w:rsidR="000257B5" w:rsidRPr="000257B5" w:rsidRDefault="000257B5" w:rsidP="000257B5">
      <w:pPr>
        <w:spacing w:after="0" w:line="240" w:lineRule="auto"/>
        <w:jc w:val="both"/>
        <w:rPr>
          <w:rFonts w:ascii="Arial" w:eastAsia="Calibri" w:hAnsi="Arial" w:cs="Arial"/>
          <w:sz w:val="20"/>
          <w:szCs w:val="20"/>
        </w:rPr>
      </w:pPr>
    </w:p>
    <w:p w14:paraId="1C874953" w14:textId="434FFE65" w:rsidR="000257B5" w:rsidRPr="003A2F86" w:rsidRDefault="00E41537" w:rsidP="000257B5">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b/>
          <w:bCs/>
          <w:sz w:val="20"/>
          <w:szCs w:val="20"/>
        </w:rPr>
        <w:t>Stanje novčanih sredstava na računu Dječjeg vrtića Konavle</w:t>
      </w:r>
      <w:r w:rsidRPr="003A2F86">
        <w:rPr>
          <w:rFonts w:ascii="Arial" w:eastAsia="Calibri" w:hAnsi="Arial" w:cs="Arial"/>
          <w:sz w:val="20"/>
          <w:szCs w:val="20"/>
        </w:rPr>
        <w:t xml:space="preserve"> – Dječji vrtić Konavle nema žiro račun, u sustavu je riznice</w:t>
      </w:r>
      <w:r w:rsidR="000257B5">
        <w:rPr>
          <w:rFonts w:ascii="Arial" w:eastAsia="Calibri" w:hAnsi="Arial" w:cs="Arial"/>
          <w:sz w:val="20"/>
          <w:szCs w:val="20"/>
        </w:rPr>
        <w:t xml:space="preserve">. </w:t>
      </w:r>
      <w:r w:rsidR="000257B5" w:rsidRPr="003A2F86">
        <w:rPr>
          <w:rFonts w:ascii="Arial" w:eastAsia="Calibri" w:hAnsi="Arial" w:cs="Arial"/>
          <w:sz w:val="20"/>
          <w:szCs w:val="20"/>
        </w:rPr>
        <w:t xml:space="preserve">Vlastita sredstva na dan </w:t>
      </w:r>
      <w:r w:rsidR="001C65F4">
        <w:rPr>
          <w:rFonts w:ascii="Arial" w:eastAsia="Calibri" w:hAnsi="Arial" w:cs="Arial"/>
          <w:sz w:val="20"/>
          <w:szCs w:val="20"/>
        </w:rPr>
        <w:t>30.06.2025</w:t>
      </w:r>
      <w:r w:rsidR="000257B5" w:rsidRPr="003A2F86">
        <w:rPr>
          <w:rFonts w:ascii="Arial" w:eastAsia="Calibri" w:hAnsi="Arial" w:cs="Arial"/>
          <w:sz w:val="20"/>
          <w:szCs w:val="20"/>
        </w:rPr>
        <w:t xml:space="preserve">. (iskazano na računu računskog plana 16721 – potraživanja za prihode proračunskih korisnika) na žiro računu Općine iznose </w:t>
      </w:r>
      <w:r w:rsidR="00BB68FB">
        <w:rPr>
          <w:rFonts w:ascii="Arial" w:eastAsia="Calibri" w:hAnsi="Arial" w:cs="Arial"/>
          <w:bCs/>
          <w:sz w:val="20"/>
          <w:szCs w:val="20"/>
        </w:rPr>
        <w:t>77.897,98</w:t>
      </w:r>
      <w:r w:rsidR="000257B5" w:rsidRPr="003A2F86">
        <w:rPr>
          <w:rFonts w:ascii="Arial" w:eastAsia="Calibri" w:hAnsi="Arial" w:cs="Arial"/>
          <w:bCs/>
          <w:sz w:val="20"/>
          <w:szCs w:val="20"/>
        </w:rPr>
        <w:t xml:space="preserve"> €.</w:t>
      </w:r>
      <w:r w:rsidR="000257B5" w:rsidRPr="003A2F86">
        <w:rPr>
          <w:rFonts w:ascii="Arial" w:eastAsia="Calibri" w:hAnsi="Arial" w:cs="Arial"/>
          <w:sz w:val="20"/>
          <w:szCs w:val="20"/>
        </w:rPr>
        <w:t xml:space="preserve"> Navedenim sredstvima proračunski korisnik raspolaže prema vlastitom financijskom planu uz potrebu najave Upravnom odjelu za proračun i financije, te otvaranje potrebnih aktivnosti i pozicija u proračunu. </w:t>
      </w:r>
    </w:p>
    <w:p w14:paraId="04D11BFF" w14:textId="77777777" w:rsidR="00E41537" w:rsidRPr="003A2F86" w:rsidRDefault="00E41537" w:rsidP="00E41537">
      <w:pPr>
        <w:spacing w:after="0" w:line="240" w:lineRule="auto"/>
        <w:jc w:val="both"/>
        <w:rPr>
          <w:rFonts w:ascii="Arial" w:eastAsia="Calibri" w:hAnsi="Arial" w:cs="Arial"/>
          <w:sz w:val="20"/>
          <w:szCs w:val="20"/>
        </w:rPr>
      </w:pPr>
    </w:p>
    <w:p w14:paraId="652BAA89" w14:textId="5DB4AFC6" w:rsidR="00E41537" w:rsidRPr="003A2F86" w:rsidRDefault="00E41537" w:rsidP="00E41537">
      <w:pPr>
        <w:spacing w:after="0" w:line="240" w:lineRule="auto"/>
        <w:jc w:val="both"/>
        <w:rPr>
          <w:rFonts w:ascii="Arial" w:eastAsia="Calibri" w:hAnsi="Arial" w:cs="Arial"/>
          <w:sz w:val="20"/>
          <w:szCs w:val="20"/>
        </w:rPr>
      </w:pPr>
      <w:r w:rsidRPr="003A2F86">
        <w:rPr>
          <w:rFonts w:ascii="Arial" w:eastAsia="Calibri" w:hAnsi="Arial" w:cs="Arial"/>
          <w:b/>
          <w:bCs/>
          <w:sz w:val="20"/>
          <w:szCs w:val="20"/>
        </w:rPr>
        <w:t xml:space="preserve">Izvještaj o zaduživanju na domaćem i stranom tržištu novca i kapitala – </w:t>
      </w:r>
      <w:r w:rsidRPr="003A2F86">
        <w:rPr>
          <w:rFonts w:ascii="Arial" w:eastAsia="Calibri" w:hAnsi="Arial" w:cs="Arial"/>
          <w:sz w:val="20"/>
          <w:szCs w:val="20"/>
        </w:rPr>
        <w:t xml:space="preserve">Dječji vrtić Konavle nema </w:t>
      </w:r>
      <w:r w:rsidR="000257B5" w:rsidRPr="000257B5">
        <w:rPr>
          <w:rFonts w:ascii="Arial" w:eastAsia="Calibri" w:hAnsi="Arial" w:cs="Arial"/>
          <w:sz w:val="20"/>
          <w:szCs w:val="20"/>
        </w:rPr>
        <w:t>danih niti primljenih zajmova (kredita).</w:t>
      </w:r>
    </w:p>
    <w:p w14:paraId="233F7E8C" w14:textId="77777777" w:rsidR="00E41537" w:rsidRPr="003A2F86" w:rsidRDefault="00E41537" w:rsidP="00E5761E">
      <w:pPr>
        <w:spacing w:after="0" w:line="240" w:lineRule="auto"/>
        <w:jc w:val="both"/>
        <w:rPr>
          <w:rFonts w:ascii="Arial" w:eastAsia="Calibri" w:hAnsi="Arial" w:cs="Arial"/>
          <w:sz w:val="20"/>
          <w:szCs w:val="20"/>
        </w:rPr>
      </w:pPr>
    </w:p>
    <w:p w14:paraId="44CB208A" w14:textId="77777777" w:rsidR="00BB68FB" w:rsidRPr="000257B5" w:rsidRDefault="00BB68FB" w:rsidP="00BB68FB">
      <w:pPr>
        <w:autoSpaceDE w:val="0"/>
        <w:autoSpaceDN w:val="0"/>
        <w:adjustRightInd w:val="0"/>
        <w:spacing w:after="0" w:line="240" w:lineRule="auto"/>
        <w:rPr>
          <w:rFonts w:ascii="Arial" w:eastAsia="Calibri" w:hAnsi="Arial" w:cs="Arial"/>
          <w:sz w:val="20"/>
          <w:szCs w:val="20"/>
        </w:rPr>
      </w:pPr>
      <w:r w:rsidRPr="000257B5">
        <w:rPr>
          <w:rFonts w:ascii="Arial" w:eastAsia="Calibri" w:hAnsi="Arial" w:cs="Arial"/>
          <w:sz w:val="20"/>
          <w:szCs w:val="20"/>
        </w:rPr>
        <w:t xml:space="preserve">Planirana sredstva za ostvarenje programa 2051 iznose </w:t>
      </w:r>
      <w:r>
        <w:rPr>
          <w:rFonts w:ascii="Arial" w:eastAsia="Calibri" w:hAnsi="Arial" w:cs="Arial"/>
          <w:sz w:val="20"/>
          <w:szCs w:val="20"/>
        </w:rPr>
        <w:t>3.234.000</w:t>
      </w:r>
      <w:r w:rsidRPr="000257B5">
        <w:rPr>
          <w:rFonts w:ascii="Arial" w:eastAsia="Calibri" w:hAnsi="Arial" w:cs="Arial"/>
          <w:sz w:val="20"/>
          <w:szCs w:val="20"/>
        </w:rPr>
        <w:t xml:space="preserve"> €, a izvršeno je </w:t>
      </w:r>
      <w:r>
        <w:rPr>
          <w:rFonts w:ascii="Arial" w:eastAsia="Calibri" w:hAnsi="Arial" w:cs="Arial"/>
          <w:sz w:val="20"/>
          <w:szCs w:val="20"/>
        </w:rPr>
        <w:t>1.613.636,14</w:t>
      </w:r>
      <w:r w:rsidRPr="000257B5">
        <w:rPr>
          <w:rFonts w:ascii="Arial" w:eastAsia="Calibri" w:hAnsi="Arial" w:cs="Arial"/>
          <w:sz w:val="20"/>
          <w:szCs w:val="20"/>
        </w:rPr>
        <w:t xml:space="preserve"> € ili </w:t>
      </w:r>
      <w:r>
        <w:rPr>
          <w:rFonts w:ascii="Arial" w:eastAsia="Calibri" w:hAnsi="Arial" w:cs="Arial"/>
          <w:sz w:val="20"/>
          <w:szCs w:val="20"/>
        </w:rPr>
        <w:t>49,9</w:t>
      </w:r>
      <w:r w:rsidRPr="000257B5">
        <w:rPr>
          <w:rFonts w:ascii="Arial" w:eastAsia="Calibri" w:hAnsi="Arial" w:cs="Arial"/>
          <w:sz w:val="20"/>
          <w:szCs w:val="20"/>
        </w:rPr>
        <w:t xml:space="preserve"> %.</w:t>
      </w:r>
    </w:p>
    <w:p w14:paraId="1059C4D6" w14:textId="77777777" w:rsidR="00E41537" w:rsidRPr="003A2F86" w:rsidRDefault="00E41537" w:rsidP="00D66E2E">
      <w:pPr>
        <w:spacing w:after="0" w:line="240" w:lineRule="auto"/>
        <w:rPr>
          <w:sz w:val="20"/>
          <w:szCs w:val="20"/>
        </w:rPr>
      </w:pPr>
    </w:p>
    <w:p w14:paraId="1D6AC0D3" w14:textId="77777777" w:rsidR="00D66E2E" w:rsidRPr="003A2F86" w:rsidRDefault="00D66E2E">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3A2F86">
        <w:rPr>
          <w:rFonts w:ascii="Arial" w:eastAsia="Calibri" w:hAnsi="Arial" w:cs="Arial"/>
          <w:b/>
        </w:rPr>
        <w:t>OBRAZLOŽENJE POSEBNOG DIJELA FINANCIJSKOG PLANA</w:t>
      </w:r>
    </w:p>
    <w:p w14:paraId="237424A3" w14:textId="77777777" w:rsidR="00D66E2E" w:rsidRPr="003A2F86" w:rsidRDefault="00D66E2E" w:rsidP="00D66E2E">
      <w:pPr>
        <w:spacing w:after="0" w:line="240" w:lineRule="auto"/>
        <w:rPr>
          <w:rFonts w:ascii="Arial" w:eastAsia="Calibri" w:hAnsi="Arial" w:cs="Arial"/>
          <w:b/>
          <w:sz w:val="20"/>
          <w:szCs w:val="20"/>
        </w:rPr>
      </w:pPr>
    </w:p>
    <w:p w14:paraId="39AE4DB8" w14:textId="77777777" w:rsidR="00D66E2E" w:rsidRPr="003A2F86" w:rsidRDefault="00D66E2E" w:rsidP="00D66E2E">
      <w:pPr>
        <w:spacing w:after="0" w:line="240" w:lineRule="auto"/>
        <w:rPr>
          <w:rFonts w:ascii="Arial" w:eastAsia="Calibri" w:hAnsi="Arial" w:cs="Arial"/>
          <w:sz w:val="20"/>
          <w:szCs w:val="20"/>
        </w:rPr>
      </w:pPr>
      <w:r w:rsidRPr="003A2F86">
        <w:rPr>
          <w:rFonts w:ascii="Arial" w:eastAsia="Calibri" w:hAnsi="Arial" w:cs="Arial"/>
          <w:sz w:val="20"/>
          <w:szCs w:val="20"/>
        </w:rPr>
        <w:t>Posebni dio financijskog plana iskazuje rashode i izdatke po organizacijskoj klasifikaciji, po ekonomskoj, programskoj i funkcijskoj klasifikaciji, te izvorima financiranja.</w:t>
      </w:r>
    </w:p>
    <w:p w14:paraId="78D7EAFF" w14:textId="77777777" w:rsidR="00F6697E" w:rsidRDefault="00F6697E" w:rsidP="00D66E2E">
      <w:pPr>
        <w:spacing w:after="0" w:line="240" w:lineRule="auto"/>
        <w:rPr>
          <w:rFonts w:ascii="Arial" w:eastAsia="Calibri" w:hAnsi="Arial" w:cs="Arial"/>
          <w:sz w:val="20"/>
          <w:szCs w:val="20"/>
        </w:rPr>
      </w:pPr>
    </w:p>
    <w:p w14:paraId="2FD34E3A" w14:textId="77777777" w:rsidR="007932F6" w:rsidRDefault="007932F6" w:rsidP="00D66E2E">
      <w:pPr>
        <w:spacing w:after="0" w:line="240" w:lineRule="auto"/>
        <w:rPr>
          <w:rFonts w:ascii="Arial" w:eastAsia="Calibri" w:hAnsi="Arial" w:cs="Arial"/>
          <w:sz w:val="20"/>
          <w:szCs w:val="20"/>
        </w:rPr>
      </w:pPr>
    </w:p>
    <w:p w14:paraId="61457B9D" w14:textId="77777777" w:rsidR="007932F6" w:rsidRPr="003A2F86" w:rsidRDefault="007932F6" w:rsidP="00D66E2E">
      <w:pPr>
        <w:spacing w:after="0" w:line="240" w:lineRule="auto"/>
        <w:rPr>
          <w:rFonts w:ascii="Arial" w:eastAsia="Calibri" w:hAnsi="Arial" w:cs="Arial"/>
          <w:sz w:val="20"/>
          <w:szCs w:val="20"/>
        </w:rPr>
      </w:pPr>
    </w:p>
    <w:tbl>
      <w:tblPr>
        <w:tblStyle w:val="Reetkatablice"/>
        <w:tblW w:w="0" w:type="auto"/>
        <w:tblLook w:val="04A0" w:firstRow="1" w:lastRow="0" w:firstColumn="1" w:lastColumn="0" w:noHBand="0" w:noVBand="1"/>
      </w:tblPr>
      <w:tblGrid>
        <w:gridCol w:w="3850"/>
        <w:gridCol w:w="2187"/>
        <w:gridCol w:w="2032"/>
        <w:gridCol w:w="2238"/>
        <w:gridCol w:w="2294"/>
        <w:gridCol w:w="1959"/>
      </w:tblGrid>
      <w:tr w:rsidR="00E41537" w:rsidRPr="003A2F86" w14:paraId="7E14727A" w14:textId="77777777" w:rsidTr="000B7CFF">
        <w:tc>
          <w:tcPr>
            <w:tcW w:w="3850" w:type="dxa"/>
            <w:vAlign w:val="center"/>
          </w:tcPr>
          <w:p w14:paraId="616FC054" w14:textId="77777777" w:rsidR="00E41537" w:rsidRPr="003A2F86" w:rsidRDefault="00E41537" w:rsidP="00E41537">
            <w:pPr>
              <w:jc w:val="center"/>
              <w:rPr>
                <w:rFonts w:ascii="Arial" w:eastAsia="Calibri" w:hAnsi="Arial" w:cs="Arial"/>
                <w:b/>
                <w:bCs/>
              </w:rPr>
            </w:pPr>
            <w:r w:rsidRPr="003A2F86">
              <w:rPr>
                <w:rFonts w:ascii="Arial" w:eastAsia="Calibri" w:hAnsi="Arial" w:cs="Arial"/>
                <w:b/>
                <w:bCs/>
              </w:rPr>
              <w:lastRenderedPageBreak/>
              <w:t>Naziv programa iz Proračuna</w:t>
            </w:r>
          </w:p>
        </w:tc>
        <w:tc>
          <w:tcPr>
            <w:tcW w:w="2187" w:type="dxa"/>
            <w:vAlign w:val="center"/>
          </w:tcPr>
          <w:p w14:paraId="17322EDC" w14:textId="4AC58A49" w:rsidR="00E41537" w:rsidRPr="003A2F86" w:rsidRDefault="000257B5" w:rsidP="00E41537">
            <w:pPr>
              <w:jc w:val="center"/>
              <w:rPr>
                <w:rFonts w:ascii="Arial" w:eastAsia="Calibri" w:hAnsi="Arial" w:cs="Arial"/>
                <w:b/>
                <w:bCs/>
              </w:rPr>
            </w:pPr>
            <w:r>
              <w:rPr>
                <w:rFonts w:ascii="Arial" w:eastAsia="Calibri" w:hAnsi="Arial" w:cs="Arial"/>
                <w:b/>
                <w:bCs/>
              </w:rPr>
              <w:t>Izvršenje</w:t>
            </w:r>
            <w:r w:rsidR="00E41537" w:rsidRPr="003A2F86">
              <w:rPr>
                <w:rFonts w:ascii="Arial" w:eastAsia="Calibri" w:hAnsi="Arial" w:cs="Arial"/>
                <w:b/>
                <w:bCs/>
              </w:rPr>
              <w:t xml:space="preserve"> 202</w:t>
            </w:r>
            <w:r w:rsidR="00BB68FB">
              <w:rPr>
                <w:rFonts w:ascii="Arial" w:eastAsia="Calibri" w:hAnsi="Arial" w:cs="Arial"/>
                <w:b/>
                <w:bCs/>
              </w:rPr>
              <w:t>4</w:t>
            </w:r>
            <w:r w:rsidR="00E41537" w:rsidRPr="003A2F86">
              <w:rPr>
                <w:rFonts w:ascii="Arial" w:eastAsia="Calibri" w:hAnsi="Arial" w:cs="Arial"/>
                <w:b/>
                <w:bCs/>
              </w:rPr>
              <w:t>.</w:t>
            </w:r>
          </w:p>
        </w:tc>
        <w:tc>
          <w:tcPr>
            <w:tcW w:w="2032" w:type="dxa"/>
            <w:vAlign w:val="center"/>
          </w:tcPr>
          <w:p w14:paraId="7B3C6750" w14:textId="04B5B542" w:rsidR="00E41537" w:rsidRPr="003A2F86" w:rsidRDefault="00E41537" w:rsidP="00E41537">
            <w:pPr>
              <w:jc w:val="center"/>
              <w:rPr>
                <w:rFonts w:ascii="Arial" w:eastAsia="Calibri" w:hAnsi="Arial" w:cs="Arial"/>
                <w:b/>
                <w:bCs/>
              </w:rPr>
            </w:pPr>
            <w:r w:rsidRPr="003A2F86">
              <w:rPr>
                <w:rFonts w:ascii="Arial" w:eastAsia="Calibri" w:hAnsi="Arial" w:cs="Arial"/>
                <w:b/>
                <w:bCs/>
              </w:rPr>
              <w:t>Plan 202</w:t>
            </w:r>
            <w:r w:rsidR="00BB68FB">
              <w:rPr>
                <w:rFonts w:ascii="Arial" w:eastAsia="Calibri" w:hAnsi="Arial" w:cs="Arial"/>
                <w:b/>
                <w:bCs/>
              </w:rPr>
              <w:t>5</w:t>
            </w:r>
            <w:r w:rsidRPr="003A2F86">
              <w:rPr>
                <w:rFonts w:ascii="Arial" w:eastAsia="Calibri" w:hAnsi="Arial" w:cs="Arial"/>
                <w:b/>
                <w:bCs/>
              </w:rPr>
              <w:t>.</w:t>
            </w:r>
          </w:p>
        </w:tc>
        <w:tc>
          <w:tcPr>
            <w:tcW w:w="2238" w:type="dxa"/>
            <w:vAlign w:val="center"/>
          </w:tcPr>
          <w:p w14:paraId="3E12AB7D" w14:textId="720825B5" w:rsidR="00E41537" w:rsidRPr="003A2F86" w:rsidRDefault="00E41537" w:rsidP="00E41537">
            <w:pPr>
              <w:jc w:val="center"/>
              <w:rPr>
                <w:rFonts w:ascii="Arial" w:eastAsia="Calibri" w:hAnsi="Arial" w:cs="Arial"/>
                <w:b/>
                <w:bCs/>
              </w:rPr>
            </w:pPr>
            <w:r w:rsidRPr="003A2F86">
              <w:rPr>
                <w:rFonts w:ascii="Arial" w:eastAsia="Calibri" w:hAnsi="Arial" w:cs="Arial"/>
                <w:b/>
                <w:bCs/>
              </w:rPr>
              <w:t xml:space="preserve">Izvršenje </w:t>
            </w:r>
            <w:r w:rsidR="00BB68FB">
              <w:rPr>
                <w:rFonts w:ascii="Arial" w:eastAsia="Calibri" w:hAnsi="Arial" w:cs="Arial"/>
                <w:b/>
                <w:bCs/>
              </w:rPr>
              <w:t>1-6/</w:t>
            </w:r>
            <w:r w:rsidRPr="003A2F86">
              <w:rPr>
                <w:rFonts w:ascii="Arial" w:eastAsia="Calibri" w:hAnsi="Arial" w:cs="Arial"/>
                <w:b/>
                <w:bCs/>
              </w:rPr>
              <w:t>202</w:t>
            </w:r>
            <w:r w:rsidR="00BB68FB">
              <w:rPr>
                <w:rFonts w:ascii="Arial" w:eastAsia="Calibri" w:hAnsi="Arial" w:cs="Arial"/>
                <w:b/>
                <w:bCs/>
              </w:rPr>
              <w:t>5</w:t>
            </w:r>
            <w:r w:rsidRPr="003A2F86">
              <w:rPr>
                <w:rFonts w:ascii="Arial" w:eastAsia="Calibri" w:hAnsi="Arial" w:cs="Arial"/>
                <w:b/>
                <w:bCs/>
              </w:rPr>
              <w:t>.</w:t>
            </w:r>
          </w:p>
        </w:tc>
        <w:tc>
          <w:tcPr>
            <w:tcW w:w="2294" w:type="dxa"/>
            <w:vAlign w:val="center"/>
          </w:tcPr>
          <w:p w14:paraId="57546D82" w14:textId="11ADB46E" w:rsidR="00E41537" w:rsidRPr="003A2F86" w:rsidRDefault="00E41537" w:rsidP="00E41537">
            <w:pPr>
              <w:jc w:val="center"/>
              <w:rPr>
                <w:rFonts w:ascii="Arial" w:eastAsia="Calibri" w:hAnsi="Arial" w:cs="Arial"/>
                <w:b/>
                <w:bCs/>
              </w:rPr>
            </w:pPr>
            <w:r w:rsidRPr="003A2F86">
              <w:rPr>
                <w:rFonts w:ascii="Arial" w:eastAsia="Calibri" w:hAnsi="Arial" w:cs="Arial"/>
                <w:b/>
                <w:bCs/>
              </w:rPr>
              <w:t>Projekcija 202</w:t>
            </w:r>
            <w:r w:rsidR="00BB68FB">
              <w:rPr>
                <w:rFonts w:ascii="Arial" w:eastAsia="Calibri" w:hAnsi="Arial" w:cs="Arial"/>
                <w:b/>
                <w:bCs/>
              </w:rPr>
              <w:t>6</w:t>
            </w:r>
            <w:r w:rsidRPr="003A2F86">
              <w:rPr>
                <w:rFonts w:ascii="Arial" w:eastAsia="Calibri" w:hAnsi="Arial" w:cs="Arial"/>
                <w:b/>
                <w:bCs/>
              </w:rPr>
              <w:t>.</w:t>
            </w:r>
          </w:p>
        </w:tc>
        <w:tc>
          <w:tcPr>
            <w:tcW w:w="1959" w:type="dxa"/>
            <w:vAlign w:val="center"/>
          </w:tcPr>
          <w:p w14:paraId="5CFA0165" w14:textId="35E0D6E3" w:rsidR="00E41537" w:rsidRPr="003A2F86" w:rsidRDefault="00E41537" w:rsidP="00E41537">
            <w:pPr>
              <w:jc w:val="center"/>
              <w:rPr>
                <w:rFonts w:ascii="Arial" w:eastAsia="Calibri" w:hAnsi="Arial" w:cs="Arial"/>
                <w:b/>
                <w:bCs/>
              </w:rPr>
            </w:pPr>
            <w:r w:rsidRPr="003A2F86">
              <w:rPr>
                <w:rFonts w:ascii="Arial" w:eastAsia="Calibri" w:hAnsi="Arial" w:cs="Arial"/>
                <w:b/>
                <w:bCs/>
              </w:rPr>
              <w:t>Projekcija 202</w:t>
            </w:r>
            <w:r w:rsidR="00BB68FB">
              <w:rPr>
                <w:rFonts w:ascii="Arial" w:eastAsia="Calibri" w:hAnsi="Arial" w:cs="Arial"/>
                <w:b/>
                <w:bCs/>
              </w:rPr>
              <w:t>7</w:t>
            </w:r>
            <w:r w:rsidRPr="003A2F86">
              <w:rPr>
                <w:rFonts w:ascii="Arial" w:eastAsia="Calibri" w:hAnsi="Arial" w:cs="Arial"/>
                <w:b/>
                <w:bCs/>
              </w:rPr>
              <w:t>.</w:t>
            </w:r>
          </w:p>
        </w:tc>
      </w:tr>
      <w:tr w:rsidR="00BB68FB" w:rsidRPr="003A2F86" w14:paraId="0C21618A" w14:textId="77777777" w:rsidTr="000B7CFF">
        <w:tc>
          <w:tcPr>
            <w:tcW w:w="3850" w:type="dxa"/>
            <w:vAlign w:val="center"/>
          </w:tcPr>
          <w:p w14:paraId="7178BD03" w14:textId="77777777" w:rsidR="00BB68FB" w:rsidRPr="003A2F86" w:rsidRDefault="00BB68FB" w:rsidP="00BB68FB">
            <w:pPr>
              <w:jc w:val="center"/>
              <w:rPr>
                <w:rFonts w:ascii="Arial" w:eastAsia="Calibri" w:hAnsi="Arial" w:cs="Arial"/>
              </w:rPr>
            </w:pPr>
            <w:r w:rsidRPr="003A2F86">
              <w:rPr>
                <w:rFonts w:ascii="Arial" w:eastAsia="Calibri" w:hAnsi="Arial" w:cs="Arial"/>
              </w:rPr>
              <w:t>Odgoj, naobrazba i skrb o predškolskoj djeci</w:t>
            </w:r>
          </w:p>
        </w:tc>
        <w:tc>
          <w:tcPr>
            <w:tcW w:w="2187" w:type="dxa"/>
            <w:vAlign w:val="center"/>
          </w:tcPr>
          <w:p w14:paraId="3FF7FE52" w14:textId="530DAA02" w:rsidR="00BB68FB" w:rsidRPr="003A2F86" w:rsidRDefault="00BB68FB" w:rsidP="00BB68FB">
            <w:pPr>
              <w:jc w:val="center"/>
              <w:rPr>
                <w:rFonts w:ascii="Arial" w:eastAsia="Calibri" w:hAnsi="Arial" w:cs="Arial"/>
              </w:rPr>
            </w:pPr>
            <w:r>
              <w:rPr>
                <w:rFonts w:ascii="Arial" w:eastAsia="Calibri" w:hAnsi="Arial" w:cs="Arial"/>
              </w:rPr>
              <w:t>2.767.561,72</w:t>
            </w:r>
          </w:p>
        </w:tc>
        <w:tc>
          <w:tcPr>
            <w:tcW w:w="2032" w:type="dxa"/>
            <w:vAlign w:val="center"/>
          </w:tcPr>
          <w:p w14:paraId="27E46EBA" w14:textId="651CBD70" w:rsidR="00BB68FB" w:rsidRPr="003A2F86" w:rsidRDefault="00BB68FB" w:rsidP="00BB68FB">
            <w:pPr>
              <w:jc w:val="center"/>
              <w:rPr>
                <w:rFonts w:ascii="Arial" w:eastAsia="Calibri" w:hAnsi="Arial" w:cs="Arial"/>
              </w:rPr>
            </w:pPr>
            <w:r>
              <w:rPr>
                <w:rFonts w:ascii="Arial" w:eastAsia="Calibri" w:hAnsi="Arial" w:cs="Arial"/>
              </w:rPr>
              <w:t>3.234.000</w:t>
            </w:r>
          </w:p>
        </w:tc>
        <w:tc>
          <w:tcPr>
            <w:tcW w:w="2238" w:type="dxa"/>
            <w:vAlign w:val="center"/>
          </w:tcPr>
          <w:p w14:paraId="3ED9F554" w14:textId="27718700" w:rsidR="00BB68FB" w:rsidRPr="003A2F86" w:rsidRDefault="00BB68FB" w:rsidP="00BB68FB">
            <w:pPr>
              <w:jc w:val="center"/>
              <w:rPr>
                <w:rFonts w:ascii="Arial" w:eastAsia="Calibri" w:hAnsi="Arial" w:cs="Arial"/>
              </w:rPr>
            </w:pPr>
            <w:r>
              <w:rPr>
                <w:rFonts w:ascii="Arial" w:eastAsia="Calibri" w:hAnsi="Arial" w:cs="Arial"/>
              </w:rPr>
              <w:t>1.613.636,14</w:t>
            </w:r>
          </w:p>
        </w:tc>
        <w:tc>
          <w:tcPr>
            <w:tcW w:w="2294" w:type="dxa"/>
            <w:vAlign w:val="center"/>
          </w:tcPr>
          <w:p w14:paraId="01788E5F" w14:textId="49291547" w:rsidR="00BB68FB" w:rsidRPr="003A2F86" w:rsidRDefault="00A302D6" w:rsidP="00BB68FB">
            <w:pPr>
              <w:jc w:val="center"/>
              <w:rPr>
                <w:rFonts w:ascii="Arial" w:eastAsia="Calibri" w:hAnsi="Arial" w:cs="Arial"/>
              </w:rPr>
            </w:pPr>
            <w:r>
              <w:rPr>
                <w:rFonts w:ascii="Arial" w:eastAsia="Calibri" w:hAnsi="Arial" w:cs="Arial"/>
              </w:rPr>
              <w:t>3.335.600</w:t>
            </w:r>
            <w:r w:rsidR="00BB68FB" w:rsidRPr="003A2F86">
              <w:rPr>
                <w:rFonts w:ascii="Arial" w:eastAsia="Calibri" w:hAnsi="Arial" w:cs="Arial"/>
              </w:rPr>
              <w:t xml:space="preserve"> €</w:t>
            </w:r>
          </w:p>
        </w:tc>
        <w:tc>
          <w:tcPr>
            <w:tcW w:w="1959" w:type="dxa"/>
            <w:vAlign w:val="center"/>
          </w:tcPr>
          <w:p w14:paraId="08FA79DA" w14:textId="32BF7604" w:rsidR="00BB68FB" w:rsidRPr="003A2F86" w:rsidRDefault="00A302D6" w:rsidP="00BB68FB">
            <w:pPr>
              <w:jc w:val="center"/>
              <w:rPr>
                <w:rFonts w:ascii="Arial" w:eastAsia="Calibri" w:hAnsi="Arial" w:cs="Arial"/>
              </w:rPr>
            </w:pPr>
            <w:r>
              <w:rPr>
                <w:rFonts w:ascii="Arial" w:eastAsia="Calibri" w:hAnsi="Arial" w:cs="Arial"/>
              </w:rPr>
              <w:t>3.538.900</w:t>
            </w:r>
            <w:r w:rsidR="00BB68FB" w:rsidRPr="003A2F86">
              <w:rPr>
                <w:rFonts w:ascii="Arial" w:eastAsia="Calibri" w:hAnsi="Arial" w:cs="Arial"/>
              </w:rPr>
              <w:t xml:space="preserve"> €</w:t>
            </w:r>
          </w:p>
        </w:tc>
      </w:tr>
    </w:tbl>
    <w:p w14:paraId="77A792BB" w14:textId="77777777" w:rsidR="00D66E2E" w:rsidRPr="003A2F86" w:rsidRDefault="00D66E2E" w:rsidP="00D66E2E">
      <w:pPr>
        <w:spacing w:after="0" w:line="240" w:lineRule="auto"/>
        <w:rPr>
          <w:rFonts w:ascii="Arial" w:eastAsia="Calibri" w:hAnsi="Arial" w:cs="Arial"/>
        </w:rPr>
      </w:pPr>
    </w:p>
    <w:p w14:paraId="72B4FCD7" w14:textId="77777777" w:rsidR="00D66E2E" w:rsidRPr="003A2F86" w:rsidRDefault="00D66E2E">
      <w:pPr>
        <w:pStyle w:val="Odlomakpopisa"/>
        <w:numPr>
          <w:ilvl w:val="0"/>
          <w:numId w:val="3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3A2F86">
        <w:rPr>
          <w:rFonts w:ascii="Arial" w:eastAsia="Calibri" w:hAnsi="Arial" w:cs="Arial"/>
          <w:b/>
        </w:rPr>
        <w:t>Obrazloženje aktivnosti / projekata i pokazatelji uspješnosti</w:t>
      </w:r>
    </w:p>
    <w:p w14:paraId="2454B1BA" w14:textId="77777777" w:rsidR="00D66E2E" w:rsidRPr="003A2F86" w:rsidRDefault="00D66E2E" w:rsidP="00D66E2E">
      <w:pPr>
        <w:spacing w:after="0" w:line="240" w:lineRule="auto"/>
        <w:rPr>
          <w:rFonts w:ascii="Arial" w:eastAsia="Calibri" w:hAnsi="Arial" w:cs="Arial"/>
          <w:sz w:val="20"/>
          <w:szCs w:val="20"/>
        </w:rPr>
      </w:pPr>
    </w:p>
    <w:p w14:paraId="6032FC84" w14:textId="77777777" w:rsidR="00D66E2E" w:rsidRPr="003A2F86" w:rsidRDefault="00D66E2E" w:rsidP="00D66E2E">
      <w:pPr>
        <w:spacing w:after="0" w:line="240" w:lineRule="auto"/>
        <w:rPr>
          <w:rFonts w:ascii="Arial" w:eastAsia="Calibri" w:hAnsi="Arial" w:cs="Arial"/>
          <w:sz w:val="20"/>
          <w:szCs w:val="20"/>
        </w:rPr>
      </w:pPr>
      <w:r w:rsidRPr="003A2F86">
        <w:rPr>
          <w:rFonts w:ascii="Arial" w:eastAsia="Calibri" w:hAnsi="Arial" w:cs="Arial"/>
          <w:sz w:val="20"/>
          <w:szCs w:val="20"/>
        </w:rPr>
        <w:t>Unutar programa izvode se slijedeće aktivnosti i projekti:</w:t>
      </w:r>
    </w:p>
    <w:p w14:paraId="7EB3C44B" w14:textId="77777777" w:rsidR="003752B9" w:rsidRPr="003A2F86" w:rsidRDefault="003752B9" w:rsidP="003752B9">
      <w:pPr>
        <w:spacing w:after="0" w:line="240" w:lineRule="auto"/>
        <w:jc w:val="both"/>
        <w:rPr>
          <w:rFonts w:ascii="Arial" w:eastAsia="Calibri" w:hAnsi="Arial" w:cs="Arial"/>
          <w:sz w:val="20"/>
          <w:szCs w:val="20"/>
        </w:rPr>
      </w:pPr>
    </w:p>
    <w:p w14:paraId="1DD2280F" w14:textId="6AF50FB4" w:rsidR="000257B5" w:rsidRPr="000257B5" w:rsidRDefault="00E41537" w:rsidP="000257B5">
      <w:pPr>
        <w:spacing w:after="0" w:line="240" w:lineRule="auto"/>
        <w:jc w:val="both"/>
        <w:rPr>
          <w:rFonts w:ascii="Arial" w:eastAsia="Calibri" w:hAnsi="Arial" w:cs="Arial"/>
          <w:sz w:val="20"/>
          <w:szCs w:val="20"/>
        </w:rPr>
      </w:pPr>
      <w:r w:rsidRPr="003A2F86">
        <w:rPr>
          <w:rFonts w:ascii="Arial" w:eastAsia="Calibri" w:hAnsi="Arial" w:cs="Arial"/>
          <w:b/>
          <w:sz w:val="20"/>
          <w:szCs w:val="20"/>
        </w:rPr>
        <w:t>1. A205101: Osnovne aktivnosti dječjeg vrtića</w:t>
      </w:r>
      <w:r w:rsidRPr="003A2F86">
        <w:rPr>
          <w:rFonts w:ascii="Arial" w:eastAsia="Calibri" w:hAnsi="Arial" w:cs="Arial"/>
          <w:sz w:val="20"/>
          <w:szCs w:val="20"/>
        </w:rPr>
        <w:t xml:space="preserve"> - u sklopu navedene aktivnosti su rashodi za plaće djelatnika dječjeg vrtića s pripadajućim porezima i doprinosima, naknade za prijevoz na posao i s posla, usluge održavanja objekata, te naknade za rad upravnog vijeća. Planirana sredstva za provođenje navedene aktivnosti iznose </w:t>
      </w:r>
      <w:r w:rsidR="00A302D6">
        <w:rPr>
          <w:rFonts w:ascii="Arial" w:eastAsia="Calibri" w:hAnsi="Arial" w:cs="Arial"/>
          <w:sz w:val="20"/>
          <w:szCs w:val="20"/>
        </w:rPr>
        <w:t>2.625.000</w:t>
      </w:r>
      <w:r w:rsidR="000257B5" w:rsidRPr="000257B5">
        <w:rPr>
          <w:rFonts w:ascii="Arial" w:eastAsia="Calibri" w:hAnsi="Arial" w:cs="Arial"/>
          <w:sz w:val="20"/>
          <w:szCs w:val="20"/>
        </w:rPr>
        <w:t xml:space="preserve">,00 €, a rashodi su izvršeni u iznosu </w:t>
      </w:r>
      <w:r w:rsidR="00A302D6">
        <w:rPr>
          <w:rFonts w:ascii="Arial" w:eastAsia="Calibri" w:hAnsi="Arial" w:cs="Arial"/>
          <w:sz w:val="20"/>
          <w:szCs w:val="20"/>
        </w:rPr>
        <w:t>1.346.670,83</w:t>
      </w:r>
      <w:r w:rsidR="000257B5" w:rsidRPr="000257B5">
        <w:rPr>
          <w:rFonts w:ascii="Arial" w:eastAsia="Calibri" w:hAnsi="Arial" w:cs="Arial"/>
          <w:sz w:val="20"/>
          <w:szCs w:val="20"/>
        </w:rPr>
        <w:t xml:space="preserve"> € ili </w:t>
      </w:r>
      <w:r w:rsidR="006812F7">
        <w:rPr>
          <w:rFonts w:ascii="Arial" w:eastAsia="Calibri" w:hAnsi="Arial" w:cs="Arial"/>
          <w:sz w:val="20"/>
          <w:szCs w:val="20"/>
        </w:rPr>
        <w:t>51,3</w:t>
      </w:r>
      <w:r w:rsidR="000257B5" w:rsidRPr="000257B5">
        <w:rPr>
          <w:rFonts w:ascii="Arial" w:eastAsia="Calibri" w:hAnsi="Arial" w:cs="Arial"/>
          <w:sz w:val="20"/>
          <w:szCs w:val="20"/>
        </w:rPr>
        <w:t xml:space="preserve">% plana. </w:t>
      </w:r>
    </w:p>
    <w:p w14:paraId="6BF98C74" w14:textId="22579AC6" w:rsidR="00E41537" w:rsidRPr="003A2F86" w:rsidRDefault="00E41537" w:rsidP="00E41537">
      <w:pPr>
        <w:spacing w:after="0" w:line="240" w:lineRule="auto"/>
        <w:jc w:val="both"/>
        <w:rPr>
          <w:rFonts w:ascii="Arial" w:eastAsia="Calibri" w:hAnsi="Arial" w:cs="Arial"/>
          <w:sz w:val="20"/>
          <w:szCs w:val="20"/>
        </w:rPr>
      </w:pPr>
    </w:p>
    <w:p w14:paraId="5D335A1C" w14:textId="6FD3DBBA" w:rsidR="000257B5" w:rsidRPr="000257B5" w:rsidRDefault="000257B5" w:rsidP="000257B5">
      <w:pPr>
        <w:spacing w:after="0" w:line="240" w:lineRule="auto"/>
        <w:jc w:val="both"/>
        <w:rPr>
          <w:rFonts w:ascii="Arial" w:eastAsia="Calibri" w:hAnsi="Arial" w:cs="Arial"/>
          <w:sz w:val="20"/>
          <w:szCs w:val="20"/>
          <w:lang w:eastAsia="en-US"/>
        </w:rPr>
      </w:pPr>
      <w:r w:rsidRPr="000257B5">
        <w:rPr>
          <w:rFonts w:ascii="Arial" w:eastAsia="Calibri" w:hAnsi="Arial" w:cs="Arial"/>
          <w:sz w:val="20"/>
          <w:szCs w:val="20"/>
          <w:lang w:eastAsia="en-US"/>
        </w:rPr>
        <w:t xml:space="preserve">Izvršeni rashodi se odnose na rashode za zaposlene (31) u iznosu </w:t>
      </w:r>
      <w:r w:rsidR="00CA34EE">
        <w:rPr>
          <w:rFonts w:ascii="Arial" w:eastAsia="Calibri" w:hAnsi="Arial" w:cs="Arial"/>
          <w:sz w:val="20"/>
          <w:szCs w:val="20"/>
          <w:lang w:eastAsia="en-US"/>
        </w:rPr>
        <w:t>1.289.832,13</w:t>
      </w:r>
      <w:r w:rsidRPr="000257B5">
        <w:rPr>
          <w:rFonts w:ascii="Arial" w:eastAsia="Calibri" w:hAnsi="Arial" w:cs="Arial"/>
          <w:sz w:val="20"/>
          <w:szCs w:val="20"/>
          <w:lang w:eastAsia="en-US"/>
        </w:rPr>
        <w:t xml:space="preserve">€ (bruto plaće u iznosu </w:t>
      </w:r>
      <w:r w:rsidR="00CA34EE">
        <w:rPr>
          <w:rFonts w:ascii="Arial" w:eastAsia="Calibri" w:hAnsi="Arial" w:cs="Arial"/>
          <w:sz w:val="20"/>
          <w:szCs w:val="20"/>
          <w:lang w:eastAsia="en-US"/>
        </w:rPr>
        <w:t>1.044.786,81</w:t>
      </w:r>
      <w:r w:rsidRPr="000257B5">
        <w:rPr>
          <w:rFonts w:ascii="Arial" w:eastAsia="Calibri" w:hAnsi="Arial" w:cs="Arial"/>
          <w:sz w:val="20"/>
          <w:szCs w:val="20"/>
          <w:lang w:eastAsia="en-US"/>
        </w:rPr>
        <w:t xml:space="preserve"> €, doprinosi na plaće (313) u iznosu </w:t>
      </w:r>
      <w:r w:rsidR="00CA34EE">
        <w:rPr>
          <w:rFonts w:ascii="Arial" w:eastAsia="Calibri" w:hAnsi="Arial" w:cs="Arial"/>
          <w:sz w:val="20"/>
          <w:szCs w:val="20"/>
          <w:lang w:eastAsia="en-US"/>
        </w:rPr>
        <w:t>171.145,32</w:t>
      </w:r>
      <w:r w:rsidRPr="000257B5">
        <w:rPr>
          <w:rFonts w:ascii="Arial" w:eastAsia="Calibri" w:hAnsi="Arial" w:cs="Arial"/>
          <w:sz w:val="20"/>
          <w:szCs w:val="20"/>
          <w:lang w:eastAsia="en-US"/>
        </w:rPr>
        <w:t xml:space="preserve"> € kn, ostali rashodi za zaposlene (312) u iznosu </w:t>
      </w:r>
      <w:r w:rsidR="00452874">
        <w:rPr>
          <w:rFonts w:ascii="Arial" w:eastAsia="Calibri" w:hAnsi="Arial" w:cs="Arial"/>
          <w:sz w:val="20"/>
          <w:szCs w:val="20"/>
          <w:lang w:eastAsia="en-US"/>
        </w:rPr>
        <w:t>73.900</w:t>
      </w:r>
      <w:r w:rsidRPr="000257B5">
        <w:rPr>
          <w:rFonts w:ascii="Arial" w:eastAsia="Calibri" w:hAnsi="Arial" w:cs="Arial"/>
          <w:sz w:val="20"/>
          <w:szCs w:val="20"/>
          <w:lang w:eastAsia="en-US"/>
        </w:rPr>
        <w:t xml:space="preserve"> € (potpore zbog bolovanja, potpore za smrtni slučaj), </w:t>
      </w:r>
    </w:p>
    <w:p w14:paraId="1614D5B1" w14:textId="7CF0D1D0" w:rsidR="000257B5" w:rsidRPr="000257B5" w:rsidRDefault="000257B5" w:rsidP="000257B5">
      <w:pPr>
        <w:spacing w:after="0" w:line="240" w:lineRule="auto"/>
        <w:jc w:val="both"/>
        <w:rPr>
          <w:rFonts w:ascii="Arial" w:eastAsia="Calibri" w:hAnsi="Arial" w:cs="Arial"/>
          <w:sz w:val="20"/>
          <w:szCs w:val="20"/>
          <w:lang w:eastAsia="en-US"/>
        </w:rPr>
      </w:pPr>
      <w:r w:rsidRPr="000257B5">
        <w:rPr>
          <w:rFonts w:ascii="Arial" w:eastAsia="Calibri" w:hAnsi="Arial" w:cs="Arial"/>
          <w:sz w:val="20"/>
          <w:szCs w:val="20"/>
          <w:lang w:eastAsia="en-US"/>
        </w:rPr>
        <w:t xml:space="preserve">naknade troškova zaposlenima (321) izvršene su u iznosu </w:t>
      </w:r>
      <w:r w:rsidR="00452874">
        <w:rPr>
          <w:rFonts w:ascii="Arial" w:eastAsia="Calibri" w:hAnsi="Arial" w:cs="Arial"/>
          <w:sz w:val="20"/>
          <w:szCs w:val="20"/>
          <w:lang w:eastAsia="en-US"/>
        </w:rPr>
        <w:t>52.770,30</w:t>
      </w:r>
      <w:r w:rsidRPr="000257B5">
        <w:rPr>
          <w:rFonts w:ascii="Arial" w:eastAsia="Calibri" w:hAnsi="Arial" w:cs="Arial"/>
          <w:sz w:val="20"/>
          <w:szCs w:val="20"/>
          <w:lang w:eastAsia="en-US"/>
        </w:rPr>
        <w:t xml:space="preserve"> € (naknade za prijevoz na posao i s posla),  ostali nespomenuti rashodi poslovanja (329) (naknade za članove upravnog vijeća u iznosu </w:t>
      </w:r>
      <w:r w:rsidR="00452874">
        <w:rPr>
          <w:rFonts w:ascii="Arial" w:eastAsia="Calibri" w:hAnsi="Arial" w:cs="Arial"/>
          <w:sz w:val="20"/>
          <w:szCs w:val="20"/>
          <w:lang w:eastAsia="en-US"/>
        </w:rPr>
        <w:t>4.068,40</w:t>
      </w:r>
      <w:r w:rsidRPr="000257B5">
        <w:rPr>
          <w:rFonts w:ascii="Arial" w:eastAsia="Calibri" w:hAnsi="Arial" w:cs="Arial"/>
          <w:sz w:val="20"/>
          <w:szCs w:val="20"/>
          <w:lang w:eastAsia="en-US"/>
        </w:rPr>
        <w:t xml:space="preserve"> € - dio podmiren iz sredstava općinskog proračuna, dok </w:t>
      </w:r>
      <w:r w:rsidR="009C7544">
        <w:rPr>
          <w:rFonts w:ascii="Arial" w:eastAsia="Calibri" w:hAnsi="Arial" w:cs="Arial"/>
          <w:sz w:val="20"/>
          <w:szCs w:val="20"/>
          <w:lang w:eastAsia="en-US"/>
        </w:rPr>
        <w:t xml:space="preserve">nije bilo plaćanja </w:t>
      </w:r>
      <w:r w:rsidRPr="000257B5">
        <w:rPr>
          <w:rFonts w:ascii="Arial" w:eastAsia="Calibri" w:hAnsi="Arial" w:cs="Arial"/>
          <w:sz w:val="20"/>
          <w:szCs w:val="20"/>
          <w:lang w:eastAsia="en-US"/>
        </w:rPr>
        <w:t xml:space="preserve">iz sredstava dječjeg vrtića kroz aktivnost A205112). </w:t>
      </w:r>
    </w:p>
    <w:p w14:paraId="3856A1E5" w14:textId="77777777" w:rsidR="000257B5" w:rsidRPr="000257B5" w:rsidRDefault="000257B5" w:rsidP="000257B5">
      <w:pPr>
        <w:spacing w:after="0" w:line="240" w:lineRule="auto"/>
        <w:jc w:val="both"/>
        <w:rPr>
          <w:rFonts w:ascii="Arial" w:eastAsia="Calibri" w:hAnsi="Arial" w:cs="Arial"/>
          <w:sz w:val="20"/>
          <w:szCs w:val="20"/>
          <w:lang w:eastAsia="en-US"/>
        </w:rPr>
      </w:pPr>
    </w:p>
    <w:p w14:paraId="6E8DA9AD" w14:textId="77777777" w:rsidR="000257B5" w:rsidRPr="000257B5" w:rsidRDefault="000257B5" w:rsidP="000257B5">
      <w:pPr>
        <w:spacing w:after="0" w:line="240" w:lineRule="auto"/>
        <w:jc w:val="both"/>
        <w:rPr>
          <w:rFonts w:ascii="Arial" w:eastAsia="Calibri" w:hAnsi="Arial" w:cs="Arial"/>
          <w:sz w:val="20"/>
          <w:szCs w:val="20"/>
        </w:rPr>
      </w:pPr>
      <w:r w:rsidRPr="000257B5">
        <w:rPr>
          <w:rFonts w:ascii="Arial" w:eastAsia="Calibri" w:hAnsi="Arial" w:cs="Arial"/>
          <w:sz w:val="20"/>
          <w:szCs w:val="20"/>
          <w:lang w:eastAsia="en-US"/>
        </w:rPr>
        <w:t xml:space="preserve">Rashodi za plaće (31) izvršavanju se iz sredstava Općinskog proračuna, program 2051, </w:t>
      </w:r>
      <w:r w:rsidRPr="000257B5">
        <w:rPr>
          <w:rFonts w:ascii="Arial" w:eastAsia="Calibri" w:hAnsi="Arial" w:cs="Arial"/>
          <w:sz w:val="20"/>
          <w:szCs w:val="20"/>
        </w:rPr>
        <w:t>uglavnom putem jedne aktivnosti i to iz sredstava Općinskog proračuna aktivnost A205101. Dio rashoda se može podmiriti iz viška prihoda, što se iskazuje kroz aktivnost A205112.</w:t>
      </w:r>
    </w:p>
    <w:p w14:paraId="4BB349BC" w14:textId="77777777" w:rsidR="000257B5" w:rsidRPr="000257B5" w:rsidRDefault="000257B5" w:rsidP="000257B5">
      <w:pPr>
        <w:spacing w:after="0" w:line="240" w:lineRule="auto"/>
        <w:jc w:val="both"/>
        <w:rPr>
          <w:rFonts w:ascii="Arial" w:eastAsia="Calibri" w:hAnsi="Arial" w:cs="Arial"/>
          <w:sz w:val="20"/>
          <w:szCs w:val="20"/>
        </w:rPr>
      </w:pPr>
    </w:p>
    <w:p w14:paraId="38207CC0" w14:textId="34FE6155" w:rsidR="000257B5" w:rsidRPr="000257B5" w:rsidRDefault="000257B5" w:rsidP="000257B5">
      <w:pPr>
        <w:autoSpaceDE w:val="0"/>
        <w:autoSpaceDN w:val="0"/>
        <w:adjustRightInd w:val="0"/>
        <w:spacing w:after="0" w:line="240" w:lineRule="auto"/>
        <w:jc w:val="both"/>
        <w:rPr>
          <w:rFonts w:ascii="Arial" w:eastAsia="Calibri" w:hAnsi="Arial" w:cs="Arial"/>
          <w:sz w:val="20"/>
          <w:szCs w:val="20"/>
          <w:lang w:eastAsia="en-US"/>
        </w:rPr>
      </w:pPr>
      <w:r w:rsidRPr="000257B5">
        <w:rPr>
          <w:rFonts w:ascii="Arial" w:eastAsia="Calibri" w:hAnsi="Arial" w:cs="Arial"/>
          <w:sz w:val="20"/>
          <w:szCs w:val="20"/>
          <w:lang w:eastAsia="en-US"/>
        </w:rPr>
        <w:t>Sveukupno rashodi za zaposlene proračunskog korisnika (31)</w:t>
      </w:r>
      <w:r>
        <w:rPr>
          <w:rFonts w:ascii="Arial" w:eastAsia="Calibri" w:hAnsi="Arial" w:cs="Arial"/>
          <w:sz w:val="20"/>
          <w:szCs w:val="20"/>
          <w:lang w:eastAsia="en-US"/>
        </w:rPr>
        <w:t xml:space="preserve"> (iskazano kroz aktivnost A205101 i A205112)</w:t>
      </w:r>
      <w:r w:rsidRPr="000257B5">
        <w:rPr>
          <w:rFonts w:ascii="Arial" w:eastAsia="Calibri" w:hAnsi="Arial" w:cs="Arial"/>
          <w:sz w:val="20"/>
          <w:szCs w:val="20"/>
          <w:lang w:eastAsia="en-US"/>
        </w:rPr>
        <w:t xml:space="preserve"> iznose </w:t>
      </w:r>
      <w:r w:rsidR="009C7544">
        <w:rPr>
          <w:rFonts w:ascii="Arial" w:eastAsia="Calibri" w:hAnsi="Arial" w:cs="Arial"/>
          <w:sz w:val="20"/>
          <w:szCs w:val="20"/>
          <w:lang w:eastAsia="en-US"/>
        </w:rPr>
        <w:t>1.289.832,13</w:t>
      </w:r>
      <w:r w:rsidRPr="000257B5">
        <w:rPr>
          <w:rFonts w:ascii="Arial" w:eastAsia="Calibri" w:hAnsi="Arial" w:cs="Arial"/>
          <w:sz w:val="20"/>
          <w:szCs w:val="20"/>
          <w:lang w:eastAsia="en-US"/>
        </w:rPr>
        <w:t xml:space="preserve"> € (</w:t>
      </w:r>
      <w:r>
        <w:rPr>
          <w:rFonts w:ascii="Arial" w:eastAsia="Calibri" w:hAnsi="Arial" w:cs="Arial"/>
          <w:sz w:val="20"/>
          <w:szCs w:val="20"/>
          <w:lang w:eastAsia="en-US"/>
        </w:rPr>
        <w:t xml:space="preserve">od čega iz viška prihoda – vlastitih sredstava </w:t>
      </w:r>
      <w:r w:rsidR="004032EB">
        <w:rPr>
          <w:rFonts w:ascii="Arial" w:eastAsia="Calibri" w:hAnsi="Arial" w:cs="Arial"/>
          <w:sz w:val="20"/>
          <w:szCs w:val="20"/>
          <w:lang w:eastAsia="en-US"/>
        </w:rPr>
        <w:t>0</w:t>
      </w:r>
      <w:r>
        <w:rPr>
          <w:rFonts w:ascii="Arial" w:eastAsia="Calibri" w:hAnsi="Arial" w:cs="Arial"/>
          <w:sz w:val="20"/>
          <w:szCs w:val="20"/>
          <w:lang w:eastAsia="en-US"/>
        </w:rPr>
        <w:t xml:space="preserve"> €)</w:t>
      </w:r>
      <w:r w:rsidRPr="000257B5">
        <w:rPr>
          <w:rFonts w:ascii="Arial" w:eastAsia="Calibri" w:hAnsi="Arial" w:cs="Arial"/>
          <w:sz w:val="20"/>
          <w:szCs w:val="20"/>
          <w:lang w:eastAsia="en-US"/>
        </w:rPr>
        <w:t xml:space="preserve">. Rashodi za zaposlene (31) čine </w:t>
      </w:r>
      <w:r w:rsidR="004032EB">
        <w:rPr>
          <w:rFonts w:ascii="Arial" w:eastAsia="Calibri" w:hAnsi="Arial" w:cs="Arial"/>
          <w:sz w:val="20"/>
          <w:szCs w:val="20"/>
          <w:lang w:eastAsia="en-US"/>
        </w:rPr>
        <w:t>79,9</w:t>
      </w:r>
      <w:r w:rsidRPr="000257B5">
        <w:rPr>
          <w:rFonts w:ascii="Arial" w:eastAsia="Calibri" w:hAnsi="Arial" w:cs="Arial"/>
          <w:sz w:val="20"/>
          <w:szCs w:val="20"/>
          <w:lang w:eastAsia="en-US"/>
        </w:rPr>
        <w:t xml:space="preserve">% ukupnih rashoda ovog proračunskog korisnika (program 2051), a dodatno s naknadama za prijevoz na posao i s posla čine </w:t>
      </w:r>
      <w:r w:rsidR="00452C16" w:rsidRPr="00452C16">
        <w:rPr>
          <w:rFonts w:ascii="Arial" w:eastAsia="Calibri" w:hAnsi="Arial" w:cs="Arial"/>
          <w:sz w:val="20"/>
          <w:szCs w:val="20"/>
          <w:lang w:eastAsia="en-US"/>
        </w:rPr>
        <w:t>8</w:t>
      </w:r>
      <w:r w:rsidR="004032EB">
        <w:rPr>
          <w:rFonts w:ascii="Arial" w:eastAsia="Calibri" w:hAnsi="Arial" w:cs="Arial"/>
          <w:sz w:val="20"/>
          <w:szCs w:val="20"/>
          <w:lang w:eastAsia="en-US"/>
        </w:rPr>
        <w:t>4</w:t>
      </w:r>
      <w:r w:rsidR="00452C16" w:rsidRPr="00452C16">
        <w:rPr>
          <w:rFonts w:ascii="Arial" w:eastAsia="Calibri" w:hAnsi="Arial" w:cs="Arial"/>
          <w:sz w:val="20"/>
          <w:szCs w:val="20"/>
          <w:lang w:eastAsia="en-US"/>
        </w:rPr>
        <w:t>,1</w:t>
      </w:r>
      <w:r w:rsidRPr="000257B5">
        <w:rPr>
          <w:rFonts w:ascii="Arial" w:eastAsia="Calibri" w:hAnsi="Arial" w:cs="Arial"/>
          <w:sz w:val="20"/>
          <w:szCs w:val="20"/>
          <w:lang w:eastAsia="en-US"/>
        </w:rPr>
        <w:t>% ukupnih rashoda dječjeg vrtića.</w:t>
      </w:r>
    </w:p>
    <w:p w14:paraId="515EA837" w14:textId="77777777" w:rsidR="000257B5" w:rsidRPr="000257B5" w:rsidRDefault="000257B5" w:rsidP="000257B5">
      <w:pPr>
        <w:spacing w:after="0" w:line="240" w:lineRule="auto"/>
        <w:jc w:val="both"/>
        <w:rPr>
          <w:rFonts w:ascii="Arial" w:eastAsia="Calibri" w:hAnsi="Arial" w:cs="Arial"/>
          <w:sz w:val="20"/>
          <w:szCs w:val="20"/>
        </w:rPr>
      </w:pPr>
    </w:p>
    <w:p w14:paraId="37683759" w14:textId="77777777" w:rsidR="000257B5" w:rsidRPr="000257B5" w:rsidRDefault="000257B5" w:rsidP="000257B5">
      <w:pPr>
        <w:spacing w:after="0" w:line="240" w:lineRule="auto"/>
        <w:jc w:val="both"/>
        <w:rPr>
          <w:rFonts w:ascii="Arial" w:eastAsia="Calibri" w:hAnsi="Arial" w:cs="Arial"/>
          <w:sz w:val="20"/>
          <w:szCs w:val="20"/>
        </w:rPr>
      </w:pPr>
      <w:r w:rsidRPr="000257B5">
        <w:rPr>
          <w:rFonts w:ascii="Arial" w:eastAsia="Calibri" w:hAnsi="Arial" w:cs="Arial"/>
          <w:sz w:val="20"/>
          <w:szCs w:val="20"/>
        </w:rPr>
        <w:t>Na kraju 2024.godine Ustanova je imala 104 zaposlenih djelatnika: ravnateljica, 2 pedagoga, socijalni pedagog, zdravstvena voditeljica, 63 odgojitelja, pomoćnika za njegu i skrb, tajnica, voditelj računovodstva, administrator, stručnjak zaštite na radu, ekonom domar, domar-rukovatelj postrojenja, domar – vozač, 3 kuharice i 15 spremačica .</w:t>
      </w:r>
    </w:p>
    <w:p w14:paraId="3420245B" w14:textId="77777777" w:rsidR="000257B5" w:rsidRPr="000257B5" w:rsidRDefault="000257B5" w:rsidP="000257B5">
      <w:pPr>
        <w:spacing w:after="0" w:line="240" w:lineRule="auto"/>
        <w:jc w:val="both"/>
        <w:rPr>
          <w:rFonts w:ascii="Arial" w:eastAsia="Calibri" w:hAnsi="Arial" w:cs="Arial"/>
          <w:sz w:val="20"/>
          <w:szCs w:val="20"/>
        </w:rPr>
      </w:pPr>
    </w:p>
    <w:p w14:paraId="501F746D" w14:textId="3BECC32F" w:rsidR="000257B5" w:rsidRPr="000257B5" w:rsidRDefault="000257B5" w:rsidP="000257B5">
      <w:pPr>
        <w:spacing w:after="0" w:line="240" w:lineRule="auto"/>
        <w:jc w:val="both"/>
        <w:rPr>
          <w:rFonts w:ascii="Arial" w:eastAsia="Calibri" w:hAnsi="Arial" w:cs="Arial"/>
          <w:sz w:val="20"/>
          <w:szCs w:val="20"/>
        </w:rPr>
      </w:pPr>
      <w:r w:rsidRPr="000257B5">
        <w:rPr>
          <w:rFonts w:ascii="Arial" w:eastAsia="Calibri" w:hAnsi="Arial" w:cs="Arial"/>
          <w:sz w:val="20"/>
          <w:szCs w:val="20"/>
        </w:rPr>
        <w:t xml:space="preserve">Koncem </w:t>
      </w:r>
      <w:r w:rsidR="005254B7">
        <w:rPr>
          <w:rFonts w:ascii="Arial" w:eastAsia="Calibri" w:hAnsi="Arial" w:cs="Arial"/>
          <w:sz w:val="20"/>
          <w:szCs w:val="20"/>
        </w:rPr>
        <w:t xml:space="preserve">lipnja </w:t>
      </w:r>
      <w:r w:rsidRPr="000257B5">
        <w:rPr>
          <w:rFonts w:ascii="Arial" w:eastAsia="Calibri" w:hAnsi="Arial" w:cs="Arial"/>
          <w:sz w:val="20"/>
          <w:szCs w:val="20"/>
        </w:rPr>
        <w:t>202</w:t>
      </w:r>
      <w:r w:rsidR="005254B7">
        <w:rPr>
          <w:rFonts w:ascii="Arial" w:eastAsia="Calibri" w:hAnsi="Arial" w:cs="Arial"/>
          <w:sz w:val="20"/>
          <w:szCs w:val="20"/>
        </w:rPr>
        <w:t>5</w:t>
      </w:r>
      <w:r w:rsidRPr="000257B5">
        <w:rPr>
          <w:rFonts w:ascii="Arial" w:eastAsia="Calibri" w:hAnsi="Arial" w:cs="Arial"/>
          <w:sz w:val="20"/>
          <w:szCs w:val="20"/>
        </w:rPr>
        <w:t>. na osnovi stvarnog stanja bilo je 1</w:t>
      </w:r>
      <w:r w:rsidR="005254B7">
        <w:rPr>
          <w:rFonts w:ascii="Arial" w:eastAsia="Calibri" w:hAnsi="Arial" w:cs="Arial"/>
          <w:sz w:val="20"/>
          <w:szCs w:val="20"/>
        </w:rPr>
        <w:t>11</w:t>
      </w:r>
      <w:r w:rsidRPr="000257B5">
        <w:rPr>
          <w:rFonts w:ascii="Arial" w:eastAsia="Calibri" w:hAnsi="Arial" w:cs="Arial"/>
          <w:sz w:val="20"/>
          <w:szCs w:val="20"/>
        </w:rPr>
        <w:t xml:space="preserve"> zaposlenika, a na osnovi sati rada 10</w:t>
      </w:r>
      <w:r w:rsidR="005254B7">
        <w:rPr>
          <w:rFonts w:ascii="Arial" w:eastAsia="Calibri" w:hAnsi="Arial" w:cs="Arial"/>
          <w:sz w:val="20"/>
          <w:szCs w:val="20"/>
        </w:rPr>
        <w:t>7</w:t>
      </w:r>
      <w:r w:rsidRPr="000257B5">
        <w:rPr>
          <w:rFonts w:ascii="Arial" w:eastAsia="Calibri" w:hAnsi="Arial" w:cs="Arial"/>
          <w:sz w:val="20"/>
          <w:szCs w:val="20"/>
        </w:rPr>
        <w:t xml:space="preserve"> zaposlenika.</w:t>
      </w:r>
    </w:p>
    <w:p w14:paraId="61C24A5E" w14:textId="77777777" w:rsidR="000257B5" w:rsidRPr="000257B5" w:rsidRDefault="000257B5" w:rsidP="000257B5">
      <w:pPr>
        <w:spacing w:after="0" w:line="240" w:lineRule="auto"/>
        <w:jc w:val="both"/>
        <w:rPr>
          <w:rFonts w:ascii="Arial" w:eastAsia="Calibri" w:hAnsi="Arial" w:cs="Arial"/>
          <w:sz w:val="20"/>
          <w:szCs w:val="20"/>
        </w:rPr>
      </w:pPr>
    </w:p>
    <w:p w14:paraId="75ABF101" w14:textId="12C0FE79" w:rsidR="000257B5" w:rsidRPr="000257B5" w:rsidRDefault="000257B5" w:rsidP="000257B5">
      <w:pPr>
        <w:spacing w:after="0" w:line="240" w:lineRule="auto"/>
        <w:jc w:val="both"/>
        <w:rPr>
          <w:rFonts w:ascii="Arial" w:eastAsia="Calibri" w:hAnsi="Arial" w:cs="Arial"/>
          <w:sz w:val="20"/>
          <w:szCs w:val="20"/>
        </w:rPr>
      </w:pPr>
      <w:r w:rsidRPr="000257B5">
        <w:rPr>
          <w:rFonts w:ascii="Arial" w:eastAsia="Calibri" w:hAnsi="Arial" w:cs="Arial"/>
          <w:sz w:val="20"/>
          <w:szCs w:val="20"/>
        </w:rPr>
        <w:t>Kroz programe dječjeg vrtića je prosječno uključeno 4</w:t>
      </w:r>
      <w:r w:rsidR="005254B7">
        <w:rPr>
          <w:rFonts w:ascii="Arial" w:eastAsia="Calibri" w:hAnsi="Arial" w:cs="Arial"/>
          <w:sz w:val="20"/>
          <w:szCs w:val="20"/>
        </w:rPr>
        <w:t>5</w:t>
      </w:r>
      <w:r w:rsidRPr="000257B5">
        <w:rPr>
          <w:rFonts w:ascii="Arial" w:eastAsia="Calibri" w:hAnsi="Arial" w:cs="Arial"/>
          <w:sz w:val="20"/>
          <w:szCs w:val="20"/>
        </w:rPr>
        <w:t xml:space="preserve">0 djece u dobi od prve do sedme godine života.         </w:t>
      </w:r>
    </w:p>
    <w:p w14:paraId="6C18D18B" w14:textId="77777777" w:rsidR="00E41537" w:rsidRPr="003A2F86" w:rsidRDefault="00E41537" w:rsidP="00DD67F4">
      <w:pPr>
        <w:spacing w:after="0" w:line="240" w:lineRule="auto"/>
        <w:jc w:val="both"/>
        <w:rPr>
          <w:rFonts w:ascii="Arial" w:eastAsia="Calibri" w:hAnsi="Arial" w:cs="Arial"/>
          <w:b/>
          <w:sz w:val="20"/>
          <w:szCs w:val="20"/>
        </w:rPr>
      </w:pPr>
    </w:p>
    <w:p w14:paraId="05FF15DD" w14:textId="42E7DFFA" w:rsidR="009F5C8B" w:rsidRPr="003A2F86" w:rsidRDefault="003752B9" w:rsidP="009F5C8B">
      <w:pPr>
        <w:spacing w:after="0" w:line="240" w:lineRule="auto"/>
        <w:jc w:val="both"/>
        <w:rPr>
          <w:rFonts w:ascii="Arial" w:eastAsia="Calibri" w:hAnsi="Arial" w:cs="Arial"/>
          <w:sz w:val="20"/>
          <w:szCs w:val="20"/>
        </w:rPr>
      </w:pPr>
      <w:r w:rsidRPr="003A2F86">
        <w:rPr>
          <w:rFonts w:ascii="Arial" w:eastAsia="Calibri" w:hAnsi="Arial" w:cs="Arial"/>
          <w:b/>
          <w:sz w:val="20"/>
          <w:szCs w:val="20"/>
        </w:rPr>
        <w:t xml:space="preserve">2. A205102: Opremanje dječjeg vrtića (skupine, igrališta) i sufinanciranje programa predškolskog odgoja </w:t>
      </w:r>
      <w:r w:rsidRPr="003A2F86">
        <w:rPr>
          <w:rFonts w:ascii="Arial" w:eastAsia="Calibri" w:hAnsi="Arial" w:cs="Arial"/>
          <w:sz w:val="20"/>
          <w:szCs w:val="20"/>
        </w:rPr>
        <w:t xml:space="preserve">– planirana sredstva u iznosu </w:t>
      </w:r>
      <w:r w:rsidR="00842BBD">
        <w:rPr>
          <w:rFonts w:ascii="Arial" w:eastAsia="Calibri" w:hAnsi="Arial" w:cs="Arial"/>
          <w:sz w:val="20"/>
          <w:szCs w:val="20"/>
        </w:rPr>
        <w:t>49.000</w:t>
      </w:r>
      <w:r w:rsidR="00C717D0" w:rsidRPr="003A2F86">
        <w:rPr>
          <w:rFonts w:ascii="Arial" w:eastAsia="Calibri" w:hAnsi="Arial" w:cs="Arial"/>
          <w:sz w:val="20"/>
          <w:szCs w:val="20"/>
        </w:rPr>
        <w:t xml:space="preserve"> €</w:t>
      </w:r>
      <w:r w:rsidRPr="003A2F86">
        <w:rPr>
          <w:rFonts w:ascii="Arial" w:eastAsia="Calibri" w:hAnsi="Arial" w:cs="Arial"/>
          <w:sz w:val="20"/>
          <w:szCs w:val="20"/>
        </w:rPr>
        <w:t>. Rashodi su izvršen</w:t>
      </w:r>
      <w:r w:rsidR="002916E9" w:rsidRPr="003A2F86">
        <w:rPr>
          <w:rFonts w:ascii="Arial" w:eastAsia="Calibri" w:hAnsi="Arial" w:cs="Arial"/>
          <w:sz w:val="20"/>
          <w:szCs w:val="20"/>
        </w:rPr>
        <w:t xml:space="preserve">i u iznosu </w:t>
      </w:r>
      <w:r w:rsidR="00842BBD">
        <w:rPr>
          <w:rFonts w:ascii="Arial" w:eastAsia="Calibri" w:hAnsi="Arial" w:cs="Arial"/>
          <w:sz w:val="20"/>
          <w:szCs w:val="20"/>
        </w:rPr>
        <w:t>16.795,78</w:t>
      </w:r>
      <w:r w:rsidR="00C717D0" w:rsidRPr="003A2F86">
        <w:rPr>
          <w:rFonts w:ascii="Arial" w:eastAsia="Calibri" w:hAnsi="Arial" w:cs="Arial"/>
          <w:sz w:val="20"/>
          <w:szCs w:val="20"/>
        </w:rPr>
        <w:t xml:space="preserve"> € ili </w:t>
      </w:r>
      <w:r w:rsidR="00842BBD">
        <w:rPr>
          <w:rFonts w:ascii="Arial" w:eastAsia="Calibri" w:hAnsi="Arial" w:cs="Arial"/>
          <w:sz w:val="20"/>
          <w:szCs w:val="20"/>
        </w:rPr>
        <w:t>34,3</w:t>
      </w:r>
      <w:r w:rsidR="002916E9" w:rsidRPr="003A2F86">
        <w:rPr>
          <w:rFonts w:ascii="Arial" w:eastAsia="Calibri" w:hAnsi="Arial" w:cs="Arial"/>
          <w:sz w:val="20"/>
          <w:szCs w:val="20"/>
        </w:rPr>
        <w:t>% plana</w:t>
      </w:r>
      <w:r w:rsidR="009F5C8B" w:rsidRPr="003A2F86">
        <w:rPr>
          <w:rFonts w:ascii="Arial" w:eastAsia="Calibri" w:hAnsi="Arial" w:cs="Arial"/>
          <w:sz w:val="20"/>
          <w:szCs w:val="20"/>
        </w:rPr>
        <w:t xml:space="preserve">. U okviru ove aktivnosti se </w:t>
      </w:r>
      <w:r w:rsidR="002916E9" w:rsidRPr="003A2F86">
        <w:rPr>
          <w:rFonts w:ascii="Arial" w:eastAsia="Calibri" w:hAnsi="Arial" w:cs="Arial"/>
          <w:sz w:val="20"/>
          <w:szCs w:val="20"/>
        </w:rPr>
        <w:t>iskazuje</w:t>
      </w:r>
      <w:r w:rsidR="009F5C8B" w:rsidRPr="003A2F86">
        <w:rPr>
          <w:rFonts w:ascii="Arial" w:eastAsia="Calibri" w:hAnsi="Arial" w:cs="Arial"/>
          <w:sz w:val="20"/>
          <w:szCs w:val="20"/>
        </w:rPr>
        <w:t xml:space="preserve"> utrošak sredstava koje vrtić dobije od Ministarstva znanosti i obrazovanja.</w:t>
      </w:r>
      <w:r w:rsidR="00647FA8" w:rsidRPr="003A2F86">
        <w:rPr>
          <w:rFonts w:ascii="Arial" w:eastAsia="Calibri" w:hAnsi="Arial" w:cs="Arial"/>
          <w:sz w:val="20"/>
          <w:szCs w:val="20"/>
        </w:rPr>
        <w:t xml:space="preserve"> </w:t>
      </w:r>
    </w:p>
    <w:p w14:paraId="41724613" w14:textId="77777777" w:rsidR="00452C16" w:rsidRPr="00A534D1" w:rsidRDefault="00452C16" w:rsidP="00452C16">
      <w:pPr>
        <w:spacing w:after="0" w:line="240" w:lineRule="auto"/>
        <w:jc w:val="both"/>
        <w:rPr>
          <w:rFonts w:ascii="Arial" w:eastAsia="Calibri" w:hAnsi="Arial" w:cs="Arial"/>
          <w:sz w:val="20"/>
          <w:szCs w:val="20"/>
        </w:rPr>
      </w:pPr>
      <w:r w:rsidRPr="00A534D1">
        <w:rPr>
          <w:rFonts w:ascii="Arial" w:eastAsia="Calibri" w:hAnsi="Arial" w:cs="Arial"/>
          <w:sz w:val="20"/>
          <w:szCs w:val="20"/>
        </w:rPr>
        <w:t>Izvršeni rashodi odnose se na opremu i didaktički i likovni materijal za skupine i didaktiku po dječjim skupinama, radne listove za program Predškole.</w:t>
      </w:r>
    </w:p>
    <w:p w14:paraId="57F710C8" w14:textId="77777777" w:rsidR="00452C16" w:rsidRPr="00FE69F4" w:rsidRDefault="00452C16" w:rsidP="00452C16">
      <w:pPr>
        <w:spacing w:after="0" w:line="240" w:lineRule="auto"/>
        <w:jc w:val="both"/>
        <w:rPr>
          <w:rFonts w:ascii="Arial" w:eastAsia="Calibri" w:hAnsi="Arial" w:cs="Arial"/>
          <w:sz w:val="20"/>
          <w:szCs w:val="20"/>
        </w:rPr>
      </w:pPr>
    </w:p>
    <w:p w14:paraId="3C4BA63E" w14:textId="03EA33B0" w:rsidR="00452C16" w:rsidRPr="00FE69F4" w:rsidRDefault="00452C16" w:rsidP="00452C16">
      <w:pPr>
        <w:spacing w:after="0" w:line="240" w:lineRule="auto"/>
        <w:jc w:val="both"/>
        <w:rPr>
          <w:rFonts w:ascii="Arial" w:eastAsia="Calibri" w:hAnsi="Arial" w:cs="Arial"/>
          <w:sz w:val="20"/>
          <w:szCs w:val="20"/>
        </w:rPr>
      </w:pPr>
      <w:r w:rsidRPr="00FE69F4">
        <w:rPr>
          <w:rFonts w:ascii="Arial" w:eastAsia="Calibri" w:hAnsi="Arial" w:cs="Arial"/>
          <w:sz w:val="20"/>
          <w:szCs w:val="20"/>
        </w:rPr>
        <w:t>Prema odlukama Ministarstva, vrtić je u 2024. ostvario pravo na tri rate kroz tri ciklusa isplata za 7-ero djece iz programa za djecu s teškoćama koja su integrirana u redovite odgojno-obrazovne skupine (106.00 €  mjesečno – za 3 DTUR i 53.00 € mjesečno – za 4 DTUT); te pravo na tri rate kroz tri ciklusa isplata za 100 djece iz programa predškole (iznos obroka 3,60 € po djetetu, ukupno mjesečno 360,00 €).</w:t>
      </w:r>
    </w:p>
    <w:p w14:paraId="3D356D58" w14:textId="77777777" w:rsidR="00452C16" w:rsidRPr="00A534D1" w:rsidRDefault="00452C16" w:rsidP="00452C16">
      <w:pPr>
        <w:spacing w:after="0" w:line="240" w:lineRule="auto"/>
        <w:jc w:val="both"/>
        <w:rPr>
          <w:rFonts w:ascii="Arial" w:eastAsia="Calibri" w:hAnsi="Arial" w:cs="Arial"/>
          <w:sz w:val="20"/>
          <w:szCs w:val="20"/>
        </w:rPr>
      </w:pPr>
    </w:p>
    <w:p w14:paraId="45B0941F" w14:textId="0C22A1D2" w:rsidR="00452C16" w:rsidRPr="00A534D1" w:rsidRDefault="00452C16" w:rsidP="00452C16">
      <w:pPr>
        <w:spacing w:after="0" w:line="240" w:lineRule="auto"/>
        <w:jc w:val="both"/>
        <w:rPr>
          <w:rFonts w:ascii="Arial" w:eastAsia="Calibri" w:hAnsi="Arial" w:cs="Arial"/>
          <w:sz w:val="20"/>
          <w:szCs w:val="20"/>
        </w:rPr>
      </w:pPr>
      <w:r w:rsidRPr="00A534D1">
        <w:rPr>
          <w:rFonts w:ascii="Arial" w:eastAsia="Calibri" w:hAnsi="Arial" w:cs="Arial"/>
          <w:sz w:val="20"/>
          <w:szCs w:val="20"/>
        </w:rPr>
        <w:lastRenderedPageBreak/>
        <w:t>Ukupno ostvarena sredstva ministarstva u 202</w:t>
      </w:r>
      <w:r w:rsidR="00842BBD">
        <w:rPr>
          <w:rFonts w:ascii="Arial" w:eastAsia="Calibri" w:hAnsi="Arial" w:cs="Arial"/>
          <w:sz w:val="20"/>
          <w:szCs w:val="20"/>
        </w:rPr>
        <w:t>5</w:t>
      </w:r>
      <w:r w:rsidRPr="00A534D1">
        <w:rPr>
          <w:rFonts w:ascii="Arial" w:eastAsia="Calibri" w:hAnsi="Arial" w:cs="Arial"/>
          <w:sz w:val="20"/>
          <w:szCs w:val="20"/>
        </w:rPr>
        <w:t xml:space="preserve">. g. iznose </w:t>
      </w:r>
      <w:r w:rsidR="00842BBD">
        <w:rPr>
          <w:rFonts w:ascii="Arial" w:eastAsia="Calibri" w:hAnsi="Arial" w:cs="Arial"/>
          <w:sz w:val="20"/>
          <w:szCs w:val="20"/>
        </w:rPr>
        <w:t xml:space="preserve">0 </w:t>
      </w:r>
      <w:r w:rsidRPr="00A534D1">
        <w:rPr>
          <w:rFonts w:ascii="Arial" w:eastAsia="Calibri" w:hAnsi="Arial" w:cs="Arial"/>
          <w:sz w:val="20"/>
          <w:szCs w:val="20"/>
        </w:rPr>
        <w:t xml:space="preserve">€. </w:t>
      </w:r>
    </w:p>
    <w:p w14:paraId="5228F199" w14:textId="77777777" w:rsidR="00FA7F82" w:rsidRDefault="00FA7F82" w:rsidP="00452C16">
      <w:pPr>
        <w:autoSpaceDE w:val="0"/>
        <w:autoSpaceDN w:val="0"/>
        <w:adjustRightInd w:val="0"/>
        <w:spacing w:after="0" w:line="240" w:lineRule="auto"/>
        <w:jc w:val="both"/>
        <w:rPr>
          <w:rFonts w:ascii="Arial" w:eastAsia="Calibri" w:hAnsi="Arial" w:cs="Arial"/>
          <w:b/>
          <w:sz w:val="20"/>
          <w:szCs w:val="20"/>
        </w:rPr>
      </w:pPr>
    </w:p>
    <w:p w14:paraId="37D94100" w14:textId="49B1F284" w:rsidR="00452C16" w:rsidRDefault="00647FA8" w:rsidP="00452C16">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b/>
          <w:sz w:val="20"/>
          <w:szCs w:val="20"/>
        </w:rPr>
        <w:t>3. K205103: Rekonstrukcija i investicijsko održavanje kuhinje, otvora, sanitarnih čvorova i krova u jaslicama Cavtat</w:t>
      </w:r>
      <w:r w:rsidRPr="003A2F86">
        <w:rPr>
          <w:rFonts w:ascii="Arial" w:eastAsia="Calibri" w:hAnsi="Arial" w:cs="Arial"/>
          <w:sz w:val="20"/>
          <w:szCs w:val="20"/>
        </w:rPr>
        <w:t xml:space="preserve">– Proračunska sredstva planirana su u iznosu </w:t>
      </w:r>
      <w:r w:rsidR="00452C16">
        <w:rPr>
          <w:rFonts w:ascii="Arial" w:eastAsia="Calibri" w:hAnsi="Arial" w:cs="Arial"/>
          <w:sz w:val="20"/>
          <w:szCs w:val="20"/>
        </w:rPr>
        <w:t>2</w:t>
      </w:r>
      <w:r w:rsidR="00FA7F82">
        <w:rPr>
          <w:rFonts w:ascii="Arial" w:eastAsia="Calibri" w:hAnsi="Arial" w:cs="Arial"/>
          <w:sz w:val="20"/>
          <w:szCs w:val="20"/>
        </w:rPr>
        <w:t>6</w:t>
      </w:r>
      <w:r w:rsidR="00452C16">
        <w:rPr>
          <w:rFonts w:ascii="Arial" w:eastAsia="Calibri" w:hAnsi="Arial" w:cs="Arial"/>
          <w:sz w:val="20"/>
          <w:szCs w:val="20"/>
        </w:rPr>
        <w:t>.000</w:t>
      </w:r>
      <w:r w:rsidR="006070BA" w:rsidRPr="003A2F86">
        <w:rPr>
          <w:rFonts w:ascii="Arial" w:eastAsia="Calibri" w:hAnsi="Arial" w:cs="Arial"/>
          <w:sz w:val="20"/>
          <w:szCs w:val="20"/>
        </w:rPr>
        <w:t xml:space="preserve"> </w:t>
      </w:r>
      <w:r w:rsidR="007D1CB7" w:rsidRPr="003A2F86">
        <w:rPr>
          <w:rFonts w:ascii="Arial" w:eastAsia="Calibri" w:hAnsi="Arial" w:cs="Arial"/>
          <w:sz w:val="20"/>
          <w:szCs w:val="20"/>
        </w:rPr>
        <w:t>€</w:t>
      </w:r>
      <w:r w:rsidR="00452C16">
        <w:rPr>
          <w:rFonts w:ascii="Arial" w:eastAsia="Calibri" w:hAnsi="Arial" w:cs="Arial"/>
          <w:sz w:val="20"/>
          <w:szCs w:val="20"/>
        </w:rPr>
        <w:t xml:space="preserve">. </w:t>
      </w:r>
      <w:r w:rsidR="00452C16" w:rsidRPr="00452C16">
        <w:rPr>
          <w:rFonts w:ascii="Arial" w:eastAsia="Calibri" w:hAnsi="Arial" w:cs="Arial"/>
          <w:sz w:val="20"/>
          <w:szCs w:val="20"/>
        </w:rPr>
        <w:t xml:space="preserve">Planirano je investicijsko održavanje krovišta, igrališta, otvora i sanitarnih čvorova u Dječjem vrtiću i jaslicama Cavtat. Rashodi su izvršeni u iznosu </w:t>
      </w:r>
      <w:r w:rsidR="00F04218">
        <w:rPr>
          <w:rFonts w:ascii="Arial" w:eastAsia="Calibri" w:hAnsi="Arial" w:cs="Arial"/>
          <w:sz w:val="20"/>
          <w:szCs w:val="20"/>
        </w:rPr>
        <w:t>4.692,63</w:t>
      </w:r>
      <w:r w:rsidR="00452C16" w:rsidRPr="00452C16">
        <w:rPr>
          <w:rFonts w:ascii="Arial" w:eastAsia="Calibri" w:hAnsi="Arial" w:cs="Arial"/>
          <w:sz w:val="20"/>
          <w:szCs w:val="20"/>
        </w:rPr>
        <w:t xml:space="preserve"> €. Napravljena je </w:t>
      </w:r>
      <w:r w:rsidR="00906D3D">
        <w:rPr>
          <w:rFonts w:ascii="Arial" w:eastAsia="Calibri" w:hAnsi="Arial" w:cs="Arial"/>
          <w:sz w:val="20"/>
          <w:szCs w:val="20"/>
        </w:rPr>
        <w:t>sanacija krova n objektu u Cavtatu i popravljen radijator.</w:t>
      </w:r>
    </w:p>
    <w:p w14:paraId="166F91E4" w14:textId="77777777" w:rsidR="00906D3D" w:rsidRPr="00452C16" w:rsidRDefault="00906D3D" w:rsidP="00452C16">
      <w:pPr>
        <w:autoSpaceDE w:val="0"/>
        <w:autoSpaceDN w:val="0"/>
        <w:adjustRightInd w:val="0"/>
        <w:spacing w:after="0" w:line="240" w:lineRule="auto"/>
        <w:jc w:val="both"/>
        <w:rPr>
          <w:rFonts w:ascii="Arial" w:eastAsia="Calibri" w:hAnsi="Arial" w:cs="Arial"/>
          <w:sz w:val="20"/>
          <w:szCs w:val="20"/>
        </w:rPr>
      </w:pPr>
    </w:p>
    <w:p w14:paraId="1970DCDE" w14:textId="0DEF3303" w:rsidR="002C5474" w:rsidRPr="00A534D1" w:rsidRDefault="003D4B1B" w:rsidP="002C5474">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b/>
          <w:sz w:val="20"/>
          <w:szCs w:val="20"/>
        </w:rPr>
        <w:t xml:space="preserve">4. K205104: Izmjena grijanja, te tekuće i investicijsko održavanje u dječjem vrtiću u vrtiću Katićan, Čilipi </w:t>
      </w:r>
      <w:r w:rsidRPr="003A2F86">
        <w:rPr>
          <w:rFonts w:ascii="Arial" w:eastAsia="Calibri" w:hAnsi="Arial" w:cs="Arial"/>
          <w:sz w:val="20"/>
          <w:szCs w:val="20"/>
        </w:rPr>
        <w:t xml:space="preserve">– Proračunska sredstva su planirana u iznosu </w:t>
      </w:r>
      <w:r w:rsidR="00906D3D">
        <w:rPr>
          <w:rFonts w:ascii="Arial" w:eastAsia="Calibri" w:hAnsi="Arial" w:cs="Arial"/>
          <w:sz w:val="20"/>
          <w:szCs w:val="20"/>
        </w:rPr>
        <w:t>12</w:t>
      </w:r>
      <w:r w:rsidR="00307649" w:rsidRPr="003A2F86">
        <w:rPr>
          <w:rFonts w:ascii="Arial" w:eastAsia="Calibri" w:hAnsi="Arial" w:cs="Arial"/>
          <w:sz w:val="20"/>
          <w:szCs w:val="20"/>
        </w:rPr>
        <w:t>.000 €</w:t>
      </w:r>
      <w:r w:rsidRPr="003A2F86">
        <w:rPr>
          <w:rFonts w:ascii="Arial" w:eastAsia="Calibri" w:hAnsi="Arial" w:cs="Arial"/>
          <w:sz w:val="20"/>
          <w:szCs w:val="20"/>
        </w:rPr>
        <w:t xml:space="preserve"> i odnose se na održavanje objekta. </w:t>
      </w:r>
      <w:r w:rsidR="002C5474" w:rsidRPr="00A534D1">
        <w:rPr>
          <w:rFonts w:ascii="Arial" w:eastAsia="Calibri" w:hAnsi="Arial" w:cs="Arial"/>
          <w:sz w:val="20"/>
          <w:szCs w:val="20"/>
        </w:rPr>
        <w:t xml:space="preserve">Rashodi su izvršeni u iznosu </w:t>
      </w:r>
      <w:r w:rsidR="0059291C">
        <w:rPr>
          <w:rFonts w:ascii="Arial" w:eastAsia="Calibri" w:hAnsi="Arial" w:cs="Arial"/>
          <w:sz w:val="20"/>
          <w:szCs w:val="20"/>
        </w:rPr>
        <w:t>955</w:t>
      </w:r>
      <w:r w:rsidR="002C5474" w:rsidRPr="00A534D1">
        <w:rPr>
          <w:rFonts w:ascii="Arial" w:eastAsia="Calibri" w:hAnsi="Arial" w:cs="Arial"/>
          <w:sz w:val="20"/>
          <w:szCs w:val="20"/>
        </w:rPr>
        <w:t xml:space="preserve"> €</w:t>
      </w:r>
      <w:r w:rsidR="0059291C">
        <w:rPr>
          <w:rFonts w:ascii="Arial" w:eastAsia="Calibri" w:hAnsi="Arial" w:cs="Arial"/>
          <w:sz w:val="20"/>
          <w:szCs w:val="20"/>
        </w:rPr>
        <w:t xml:space="preserve"> (popravljene persijane).</w:t>
      </w:r>
    </w:p>
    <w:p w14:paraId="37807469" w14:textId="19D5EBB2" w:rsidR="003D4B1B" w:rsidRPr="003A2F86" w:rsidRDefault="003D4B1B" w:rsidP="003D4B1B">
      <w:pPr>
        <w:autoSpaceDE w:val="0"/>
        <w:autoSpaceDN w:val="0"/>
        <w:adjustRightInd w:val="0"/>
        <w:spacing w:after="0" w:line="240" w:lineRule="auto"/>
        <w:jc w:val="both"/>
        <w:rPr>
          <w:rFonts w:ascii="Arial" w:eastAsia="Calibri" w:hAnsi="Arial" w:cs="Arial"/>
          <w:sz w:val="20"/>
          <w:szCs w:val="20"/>
        </w:rPr>
      </w:pPr>
    </w:p>
    <w:p w14:paraId="3CB97783" w14:textId="64799698" w:rsidR="002C5474" w:rsidRPr="002C5474" w:rsidRDefault="003D4B1B" w:rsidP="002C5474">
      <w:pPr>
        <w:autoSpaceDE w:val="0"/>
        <w:autoSpaceDN w:val="0"/>
        <w:adjustRightInd w:val="0"/>
        <w:spacing w:after="0" w:line="240" w:lineRule="auto"/>
        <w:jc w:val="both"/>
        <w:rPr>
          <w:rFonts w:ascii="Arial" w:eastAsia="Calibri" w:hAnsi="Arial" w:cs="Arial"/>
          <w:b/>
          <w:sz w:val="20"/>
          <w:szCs w:val="20"/>
        </w:rPr>
      </w:pPr>
      <w:r w:rsidRPr="003A2F86">
        <w:rPr>
          <w:rFonts w:ascii="Arial" w:eastAsia="Calibri" w:hAnsi="Arial" w:cs="Arial"/>
          <w:b/>
          <w:sz w:val="20"/>
          <w:szCs w:val="20"/>
        </w:rPr>
        <w:t xml:space="preserve">5. K205106: Prenamjena objekta za potrebe dječjeg vrtića s tekućim i investicijskim održavanjem, Gruda </w:t>
      </w:r>
      <w:r w:rsidRPr="003A2F86">
        <w:rPr>
          <w:rFonts w:ascii="Arial" w:eastAsia="Calibri" w:hAnsi="Arial" w:cs="Arial"/>
          <w:sz w:val="20"/>
          <w:szCs w:val="20"/>
        </w:rPr>
        <w:t>-</w:t>
      </w:r>
      <w:r w:rsidR="00307649" w:rsidRPr="003A2F86">
        <w:rPr>
          <w:rFonts w:ascii="Arial" w:eastAsia="Calibri" w:hAnsi="Arial" w:cs="Arial"/>
          <w:sz w:val="20"/>
          <w:szCs w:val="20"/>
        </w:rPr>
        <w:t xml:space="preserve"> Proračunska sredstva unutar ove aktivnosti su planirana u iznosu </w:t>
      </w:r>
      <w:r w:rsidR="00616F75">
        <w:rPr>
          <w:rFonts w:ascii="Arial" w:eastAsia="Calibri" w:hAnsi="Arial" w:cs="Arial"/>
          <w:sz w:val="20"/>
          <w:szCs w:val="20"/>
        </w:rPr>
        <w:t>23.500</w:t>
      </w:r>
      <w:r w:rsidR="00307649" w:rsidRPr="003A2F86">
        <w:rPr>
          <w:rFonts w:ascii="Arial" w:eastAsia="Calibri" w:hAnsi="Arial" w:cs="Arial"/>
          <w:sz w:val="20"/>
          <w:szCs w:val="20"/>
        </w:rPr>
        <w:t xml:space="preserve"> €. </w:t>
      </w:r>
      <w:r w:rsidR="00CC6B2D" w:rsidRPr="003A2F86">
        <w:rPr>
          <w:rFonts w:ascii="Arial" w:eastAsia="Calibri" w:hAnsi="Arial" w:cs="Arial"/>
          <w:sz w:val="20"/>
          <w:szCs w:val="20"/>
        </w:rPr>
        <w:t xml:space="preserve">Rashodi su izvršeni u iznosu </w:t>
      </w:r>
      <w:r w:rsidR="00616F75">
        <w:rPr>
          <w:rFonts w:ascii="Arial" w:eastAsia="Calibri" w:hAnsi="Arial" w:cs="Arial"/>
          <w:sz w:val="20"/>
          <w:szCs w:val="20"/>
        </w:rPr>
        <w:t>14.456,96</w:t>
      </w:r>
      <w:r w:rsidR="00CC6B2D" w:rsidRPr="003A2F86">
        <w:rPr>
          <w:rFonts w:ascii="Arial" w:eastAsia="Calibri" w:hAnsi="Arial" w:cs="Arial"/>
          <w:sz w:val="20"/>
          <w:szCs w:val="20"/>
        </w:rPr>
        <w:t xml:space="preserve"> €</w:t>
      </w:r>
      <w:r w:rsidR="00A353D9" w:rsidRPr="003A2F86">
        <w:rPr>
          <w:rFonts w:ascii="Arial" w:eastAsia="Calibri" w:hAnsi="Arial" w:cs="Arial"/>
          <w:sz w:val="20"/>
          <w:szCs w:val="20"/>
        </w:rPr>
        <w:t>.</w:t>
      </w:r>
      <w:r w:rsidR="00CC6B2D" w:rsidRPr="003A2F86">
        <w:rPr>
          <w:rFonts w:ascii="Arial" w:eastAsia="Calibri" w:hAnsi="Arial" w:cs="Arial"/>
          <w:sz w:val="20"/>
          <w:szCs w:val="20"/>
        </w:rPr>
        <w:t xml:space="preserve"> </w:t>
      </w:r>
      <w:r w:rsidR="002C5474" w:rsidRPr="002C5474">
        <w:rPr>
          <w:rFonts w:ascii="Arial" w:eastAsia="Calibri" w:hAnsi="Arial" w:cs="Arial"/>
          <w:sz w:val="20"/>
          <w:szCs w:val="20"/>
        </w:rPr>
        <w:t xml:space="preserve">Rashodi se odnose na </w:t>
      </w:r>
      <w:r w:rsidR="00616F75">
        <w:rPr>
          <w:rFonts w:ascii="Arial" w:eastAsia="Calibri" w:hAnsi="Arial" w:cs="Arial"/>
          <w:sz w:val="20"/>
          <w:szCs w:val="20"/>
        </w:rPr>
        <w:t>montaže laminata</w:t>
      </w:r>
      <w:r w:rsidR="004F07D1">
        <w:rPr>
          <w:rFonts w:ascii="Arial" w:eastAsia="Calibri" w:hAnsi="Arial" w:cs="Arial"/>
          <w:sz w:val="20"/>
          <w:szCs w:val="20"/>
        </w:rPr>
        <w:t xml:space="preserve"> i montiran klima uređaj</w:t>
      </w:r>
      <w:r w:rsidR="00D327F1">
        <w:rPr>
          <w:rFonts w:ascii="Arial" w:eastAsia="Calibri" w:hAnsi="Arial" w:cs="Arial"/>
          <w:sz w:val="20"/>
          <w:szCs w:val="20"/>
        </w:rPr>
        <w:t>, omekšivač vode, hladnjak te stolni mikser robot.</w:t>
      </w:r>
    </w:p>
    <w:p w14:paraId="3C25FC14" w14:textId="327A6AB1" w:rsidR="00307649" w:rsidRPr="003A2F86" w:rsidRDefault="00307649" w:rsidP="003D4B1B">
      <w:pPr>
        <w:autoSpaceDE w:val="0"/>
        <w:autoSpaceDN w:val="0"/>
        <w:adjustRightInd w:val="0"/>
        <w:spacing w:after="0" w:line="240" w:lineRule="auto"/>
        <w:jc w:val="both"/>
        <w:rPr>
          <w:rFonts w:ascii="Arial" w:eastAsia="Calibri" w:hAnsi="Arial" w:cs="Arial"/>
          <w:sz w:val="18"/>
          <w:szCs w:val="18"/>
        </w:rPr>
      </w:pPr>
    </w:p>
    <w:p w14:paraId="78C5E14C" w14:textId="5C81F0E6" w:rsidR="00D004DD" w:rsidRPr="003A2F86" w:rsidRDefault="00D004DD" w:rsidP="00D004DD">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b/>
          <w:sz w:val="20"/>
          <w:szCs w:val="20"/>
        </w:rPr>
        <w:t xml:space="preserve">6. K205107: Prenamjena objekta za potrebe dječjeg vrtića s tekućim i investicijskim održavanjem, Pridvorje </w:t>
      </w:r>
      <w:r w:rsidRPr="003A2F86">
        <w:rPr>
          <w:rFonts w:ascii="Arial" w:eastAsia="Calibri" w:hAnsi="Arial" w:cs="Arial"/>
          <w:sz w:val="20"/>
          <w:szCs w:val="20"/>
        </w:rPr>
        <w:t xml:space="preserve">- Proračunska sredstva </w:t>
      </w:r>
      <w:r w:rsidR="004033F3">
        <w:rPr>
          <w:rFonts w:ascii="Arial" w:eastAsia="Calibri" w:hAnsi="Arial" w:cs="Arial"/>
          <w:sz w:val="20"/>
          <w:szCs w:val="20"/>
        </w:rPr>
        <w:t>su panirana u iznosu 4.900€, a rashodi nisu izvršeni.</w:t>
      </w:r>
      <w:r w:rsidRPr="003A2F86">
        <w:rPr>
          <w:rFonts w:ascii="Arial" w:eastAsia="Calibri" w:hAnsi="Arial" w:cs="Arial"/>
          <w:sz w:val="20"/>
          <w:szCs w:val="20"/>
        </w:rPr>
        <w:t>.</w:t>
      </w:r>
    </w:p>
    <w:p w14:paraId="5A611AD1" w14:textId="77777777" w:rsidR="00D004DD" w:rsidRPr="003A2F86" w:rsidRDefault="00D004DD" w:rsidP="00D004DD">
      <w:pPr>
        <w:spacing w:after="0" w:line="240" w:lineRule="auto"/>
        <w:jc w:val="both"/>
        <w:rPr>
          <w:rFonts w:ascii="Arial" w:eastAsia="Calibri" w:hAnsi="Arial" w:cs="Arial"/>
          <w:sz w:val="20"/>
          <w:szCs w:val="20"/>
        </w:rPr>
      </w:pPr>
    </w:p>
    <w:p w14:paraId="5A4EA7A7" w14:textId="5EEEC320" w:rsidR="00D004DD" w:rsidRPr="003A2F86" w:rsidRDefault="00D004DD" w:rsidP="00D004DD">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b/>
          <w:sz w:val="20"/>
          <w:szCs w:val="20"/>
        </w:rPr>
        <w:t xml:space="preserve">7. A205110: Prenamjena objekta za potrebe dječjeg vrtića s tekućim i investicijskim održavanjem, Cavtat </w:t>
      </w:r>
      <w:r w:rsidRPr="003A2F86">
        <w:rPr>
          <w:rFonts w:ascii="Arial" w:eastAsia="Calibri" w:hAnsi="Arial" w:cs="Arial"/>
          <w:sz w:val="20"/>
          <w:szCs w:val="20"/>
        </w:rPr>
        <w:t xml:space="preserve">– Proračunska sredstva </w:t>
      </w:r>
      <w:r w:rsidR="002505EA" w:rsidRPr="003A2F86">
        <w:rPr>
          <w:rFonts w:ascii="Arial" w:eastAsia="Calibri" w:hAnsi="Arial" w:cs="Arial"/>
          <w:sz w:val="20"/>
          <w:szCs w:val="20"/>
        </w:rPr>
        <w:t xml:space="preserve">nisu </w:t>
      </w:r>
      <w:r w:rsidRPr="003A2F86">
        <w:rPr>
          <w:rFonts w:ascii="Arial" w:eastAsia="Calibri" w:hAnsi="Arial" w:cs="Arial"/>
          <w:sz w:val="20"/>
          <w:szCs w:val="20"/>
        </w:rPr>
        <w:t xml:space="preserve">planirana. </w:t>
      </w:r>
    </w:p>
    <w:p w14:paraId="1682A8CF" w14:textId="77777777" w:rsidR="00D004DD" w:rsidRPr="003A2F86" w:rsidRDefault="00D004DD" w:rsidP="00D004DD">
      <w:pPr>
        <w:spacing w:after="0" w:line="240" w:lineRule="auto"/>
        <w:jc w:val="both"/>
        <w:rPr>
          <w:rFonts w:ascii="Arial" w:eastAsia="Calibri" w:hAnsi="Arial" w:cs="Arial"/>
          <w:sz w:val="18"/>
          <w:szCs w:val="18"/>
        </w:rPr>
      </w:pPr>
    </w:p>
    <w:p w14:paraId="11A5A1DD" w14:textId="3143EA4C" w:rsidR="003D4B1B" w:rsidRPr="003A2F86" w:rsidRDefault="00D004DD" w:rsidP="00D004DD">
      <w:pPr>
        <w:spacing w:after="0" w:line="240" w:lineRule="auto"/>
        <w:jc w:val="both"/>
        <w:rPr>
          <w:rFonts w:ascii="Arial" w:eastAsia="Calibri" w:hAnsi="Arial" w:cs="Arial"/>
          <w:sz w:val="20"/>
          <w:szCs w:val="20"/>
        </w:rPr>
      </w:pPr>
      <w:r w:rsidRPr="003A2F86">
        <w:rPr>
          <w:rFonts w:ascii="Arial" w:eastAsia="Calibri" w:hAnsi="Arial" w:cs="Arial"/>
          <w:b/>
          <w:sz w:val="20"/>
          <w:szCs w:val="20"/>
        </w:rPr>
        <w:t xml:space="preserve">8. A205112: Osnovne aktivnosti dječjeg vrtića – vlastita djelatnost </w:t>
      </w:r>
      <w:r w:rsidRPr="003A2F86">
        <w:rPr>
          <w:rFonts w:ascii="Arial" w:eastAsia="Calibri" w:hAnsi="Arial" w:cs="Arial"/>
          <w:sz w:val="20"/>
          <w:szCs w:val="20"/>
        </w:rPr>
        <w:t xml:space="preserve">- u sklopu navedene aktivnosti planiraju se rashodi koje proračunski korisnik podmiruje iz vlastitih sredstava (višak iz prethodne godine, prihodi od sufinanciranja cijene vrtića iz tekuće godine, te sredstva od pružene usluge prehrane djeci u produženom boravku u osnovnoj školi Gruda) u iznosu </w:t>
      </w:r>
      <w:r w:rsidR="004033F3">
        <w:rPr>
          <w:rFonts w:ascii="Arial" w:eastAsia="Calibri" w:hAnsi="Arial" w:cs="Arial"/>
          <w:sz w:val="20"/>
          <w:szCs w:val="20"/>
        </w:rPr>
        <w:t>493.600</w:t>
      </w:r>
      <w:r w:rsidR="00307649" w:rsidRPr="003A2F86">
        <w:rPr>
          <w:rFonts w:ascii="Arial" w:eastAsia="Calibri" w:hAnsi="Arial" w:cs="Arial"/>
          <w:sz w:val="20"/>
          <w:szCs w:val="20"/>
        </w:rPr>
        <w:t xml:space="preserve"> €</w:t>
      </w:r>
      <w:r w:rsidR="00D04149" w:rsidRPr="003A2F86">
        <w:rPr>
          <w:rFonts w:ascii="Arial" w:eastAsia="Calibri" w:hAnsi="Arial" w:cs="Arial"/>
          <w:sz w:val="20"/>
          <w:szCs w:val="20"/>
        </w:rPr>
        <w:t>.</w:t>
      </w:r>
    </w:p>
    <w:p w14:paraId="315DD538" w14:textId="77777777" w:rsidR="003D4B1B" w:rsidRPr="003A2F86" w:rsidRDefault="003D4B1B" w:rsidP="00D004DD">
      <w:pPr>
        <w:spacing w:after="0" w:line="240" w:lineRule="auto"/>
        <w:jc w:val="both"/>
        <w:rPr>
          <w:rFonts w:ascii="Arial" w:eastAsia="Calibri" w:hAnsi="Arial" w:cs="Arial"/>
          <w:sz w:val="20"/>
          <w:szCs w:val="20"/>
        </w:rPr>
      </w:pPr>
    </w:p>
    <w:p w14:paraId="18431E5C" w14:textId="59B418DE" w:rsidR="002C5474" w:rsidRPr="002C5474" w:rsidRDefault="002C5474" w:rsidP="002C5474">
      <w:pPr>
        <w:spacing w:after="0" w:line="240" w:lineRule="auto"/>
        <w:jc w:val="both"/>
        <w:rPr>
          <w:rFonts w:ascii="Arial" w:eastAsia="Calibri" w:hAnsi="Arial" w:cs="Arial"/>
          <w:sz w:val="20"/>
          <w:szCs w:val="20"/>
        </w:rPr>
      </w:pPr>
      <w:r w:rsidRPr="002C5474">
        <w:rPr>
          <w:rFonts w:ascii="Arial" w:eastAsia="Calibri" w:hAnsi="Arial" w:cs="Arial"/>
          <w:sz w:val="20"/>
          <w:szCs w:val="20"/>
        </w:rPr>
        <w:t xml:space="preserve">Rashodi su izvršeni u iznosu </w:t>
      </w:r>
      <w:r w:rsidR="00DE7BE2">
        <w:rPr>
          <w:rFonts w:ascii="Arial" w:eastAsia="Calibri" w:hAnsi="Arial" w:cs="Arial"/>
          <w:sz w:val="20"/>
          <w:szCs w:val="20"/>
        </w:rPr>
        <w:t>230.064,94</w:t>
      </w:r>
      <w:r w:rsidR="00B2545D">
        <w:rPr>
          <w:rFonts w:ascii="Arial" w:eastAsia="Calibri" w:hAnsi="Arial" w:cs="Arial"/>
          <w:sz w:val="20"/>
          <w:szCs w:val="20"/>
        </w:rPr>
        <w:t xml:space="preserve"> </w:t>
      </w:r>
      <w:r w:rsidRPr="002C5474">
        <w:rPr>
          <w:rFonts w:ascii="Arial" w:eastAsia="Calibri" w:hAnsi="Arial" w:cs="Arial"/>
          <w:sz w:val="20"/>
          <w:szCs w:val="20"/>
        </w:rPr>
        <w:t xml:space="preserve">€ ili </w:t>
      </w:r>
      <w:r w:rsidR="008546B1">
        <w:rPr>
          <w:rFonts w:ascii="Arial" w:eastAsia="Calibri" w:hAnsi="Arial" w:cs="Arial"/>
          <w:sz w:val="20"/>
          <w:szCs w:val="20"/>
        </w:rPr>
        <w:t>47</w:t>
      </w:r>
      <w:r w:rsidR="00DE7BE2">
        <w:rPr>
          <w:rFonts w:ascii="Arial" w:eastAsia="Calibri" w:hAnsi="Arial" w:cs="Arial"/>
          <w:sz w:val="20"/>
          <w:szCs w:val="20"/>
        </w:rPr>
        <w:t>,</w:t>
      </w:r>
      <w:r w:rsidRPr="002C5474">
        <w:rPr>
          <w:rFonts w:ascii="Arial" w:eastAsia="Calibri" w:hAnsi="Arial" w:cs="Arial"/>
          <w:sz w:val="20"/>
          <w:szCs w:val="20"/>
        </w:rPr>
        <w:t>6% plana, a odnose se na:</w:t>
      </w:r>
    </w:p>
    <w:p w14:paraId="61F05BA1" w14:textId="5DE24E48" w:rsidR="002C5474" w:rsidRPr="002C5474" w:rsidRDefault="002C5474" w:rsidP="002C5474">
      <w:pPr>
        <w:spacing w:after="0" w:line="240" w:lineRule="auto"/>
        <w:jc w:val="both"/>
        <w:rPr>
          <w:rFonts w:ascii="Arial" w:eastAsia="Calibri" w:hAnsi="Arial" w:cs="Arial"/>
          <w:sz w:val="20"/>
          <w:szCs w:val="20"/>
        </w:rPr>
      </w:pPr>
      <w:r w:rsidRPr="002C5474">
        <w:rPr>
          <w:rFonts w:ascii="Arial" w:eastAsia="Calibri" w:hAnsi="Arial" w:cs="Arial"/>
          <w:sz w:val="20"/>
          <w:szCs w:val="20"/>
        </w:rPr>
        <w:t xml:space="preserve">- rashodi za zaposlene (31) u iznosu </w:t>
      </w:r>
      <w:r w:rsidR="008546B1">
        <w:rPr>
          <w:rFonts w:ascii="Arial" w:eastAsia="Calibri" w:hAnsi="Arial" w:cs="Arial"/>
          <w:sz w:val="20"/>
          <w:szCs w:val="20"/>
        </w:rPr>
        <w:t>0</w:t>
      </w:r>
      <w:r w:rsidRPr="002C5474">
        <w:rPr>
          <w:rFonts w:ascii="Arial" w:eastAsia="Calibri" w:hAnsi="Arial" w:cs="Arial"/>
          <w:sz w:val="20"/>
          <w:szCs w:val="20"/>
        </w:rPr>
        <w:t xml:space="preserve"> € (plaće, doprinosi i ostali rashodi za zaposlene),</w:t>
      </w:r>
    </w:p>
    <w:p w14:paraId="5CF80FC5" w14:textId="0122B0D0" w:rsidR="002C5474" w:rsidRPr="002C5474" w:rsidRDefault="002C5474" w:rsidP="002C5474">
      <w:pPr>
        <w:spacing w:after="0" w:line="240" w:lineRule="auto"/>
        <w:jc w:val="both"/>
        <w:rPr>
          <w:rFonts w:ascii="Arial" w:eastAsia="Calibri" w:hAnsi="Arial" w:cs="Arial"/>
          <w:sz w:val="20"/>
          <w:szCs w:val="20"/>
        </w:rPr>
      </w:pPr>
      <w:r w:rsidRPr="002C5474">
        <w:rPr>
          <w:rFonts w:ascii="Arial" w:eastAsia="Calibri" w:hAnsi="Arial" w:cs="Arial"/>
          <w:sz w:val="20"/>
          <w:szCs w:val="20"/>
        </w:rPr>
        <w:t xml:space="preserve">- naknade troškova zaposlenih (321) u iznosu </w:t>
      </w:r>
      <w:r w:rsidR="008546B1">
        <w:rPr>
          <w:rFonts w:ascii="Arial" w:eastAsia="Calibri" w:hAnsi="Arial" w:cs="Arial"/>
          <w:sz w:val="20"/>
          <w:szCs w:val="20"/>
        </w:rPr>
        <w:t>14.702,02</w:t>
      </w:r>
      <w:r w:rsidRPr="002C5474">
        <w:rPr>
          <w:rFonts w:ascii="Arial" w:eastAsia="Calibri" w:hAnsi="Arial" w:cs="Arial"/>
          <w:sz w:val="20"/>
          <w:szCs w:val="20"/>
        </w:rPr>
        <w:t xml:space="preserve"> (službena putovanja i stručno usavršavanje zaposlenih),</w:t>
      </w:r>
    </w:p>
    <w:p w14:paraId="3381E211" w14:textId="5EABDE4F" w:rsidR="002C5474" w:rsidRPr="002C5474" w:rsidRDefault="002C5474" w:rsidP="002C5474">
      <w:pPr>
        <w:spacing w:after="0" w:line="240" w:lineRule="auto"/>
        <w:jc w:val="both"/>
        <w:rPr>
          <w:rFonts w:ascii="Arial" w:eastAsia="Calibri" w:hAnsi="Arial" w:cs="Arial"/>
          <w:sz w:val="20"/>
          <w:szCs w:val="20"/>
        </w:rPr>
      </w:pPr>
      <w:r w:rsidRPr="002C5474">
        <w:rPr>
          <w:rFonts w:ascii="Arial" w:eastAsia="Calibri" w:hAnsi="Arial" w:cs="Arial"/>
          <w:sz w:val="20"/>
          <w:szCs w:val="20"/>
        </w:rPr>
        <w:t xml:space="preserve">- rashodi za materijal i energiju (322) u iznosu </w:t>
      </w:r>
      <w:r w:rsidR="008546B1">
        <w:rPr>
          <w:rFonts w:ascii="Arial" w:eastAsia="Calibri" w:hAnsi="Arial" w:cs="Arial"/>
          <w:sz w:val="20"/>
          <w:szCs w:val="20"/>
        </w:rPr>
        <w:t>133.854,70</w:t>
      </w:r>
      <w:r w:rsidRPr="002C5474">
        <w:rPr>
          <w:rFonts w:ascii="Arial" w:eastAsia="Calibri" w:hAnsi="Arial" w:cs="Arial"/>
          <w:sz w:val="20"/>
          <w:szCs w:val="20"/>
        </w:rPr>
        <w:t xml:space="preserve"> € (u okviru ovih rashoda vrijednosno najznačajniji rashodi odnose se na troškove namirnica </w:t>
      </w:r>
      <w:r w:rsidR="006C35BB">
        <w:rPr>
          <w:rFonts w:ascii="Arial" w:eastAsia="Calibri" w:hAnsi="Arial" w:cs="Arial"/>
          <w:sz w:val="20"/>
          <w:szCs w:val="20"/>
        </w:rPr>
        <w:t xml:space="preserve">86.901,81 </w:t>
      </w:r>
      <w:r w:rsidRPr="002C5474">
        <w:rPr>
          <w:rFonts w:ascii="Arial" w:eastAsia="Calibri" w:hAnsi="Arial" w:cs="Arial"/>
          <w:sz w:val="20"/>
          <w:szCs w:val="20"/>
        </w:rPr>
        <w:t xml:space="preserve">€, uredski materijal i drugi materijalni rashodi </w:t>
      </w:r>
      <w:r w:rsidR="006C35BB">
        <w:rPr>
          <w:rFonts w:ascii="Arial" w:eastAsia="Calibri" w:hAnsi="Arial" w:cs="Arial"/>
          <w:sz w:val="20"/>
          <w:szCs w:val="20"/>
        </w:rPr>
        <w:t>17.185,34</w:t>
      </w:r>
      <w:r w:rsidRPr="002C5474">
        <w:rPr>
          <w:rFonts w:ascii="Arial" w:eastAsia="Calibri" w:hAnsi="Arial" w:cs="Arial"/>
          <w:sz w:val="20"/>
          <w:szCs w:val="20"/>
        </w:rPr>
        <w:t xml:space="preserve"> €, energija, gorivo i plin </w:t>
      </w:r>
      <w:r w:rsidR="00B7392C">
        <w:rPr>
          <w:rFonts w:ascii="Arial" w:eastAsia="Calibri" w:hAnsi="Arial" w:cs="Arial"/>
          <w:sz w:val="20"/>
          <w:szCs w:val="20"/>
        </w:rPr>
        <w:t>20.371,61</w:t>
      </w:r>
      <w:r w:rsidRPr="002C5474">
        <w:rPr>
          <w:rFonts w:ascii="Arial" w:eastAsia="Calibri" w:hAnsi="Arial" w:cs="Arial"/>
          <w:sz w:val="20"/>
          <w:szCs w:val="20"/>
        </w:rPr>
        <w:t xml:space="preserve"> €, materijal za tekuće i investicijsko održavanje </w:t>
      </w:r>
      <w:r w:rsidR="00B7392C">
        <w:rPr>
          <w:rFonts w:ascii="Arial" w:eastAsia="Calibri" w:hAnsi="Arial" w:cs="Arial"/>
          <w:sz w:val="20"/>
          <w:szCs w:val="20"/>
        </w:rPr>
        <w:t>8.372,35</w:t>
      </w:r>
      <w:r w:rsidRPr="002C5474">
        <w:rPr>
          <w:rFonts w:ascii="Arial" w:eastAsia="Calibri" w:hAnsi="Arial" w:cs="Arial"/>
          <w:sz w:val="20"/>
          <w:szCs w:val="20"/>
        </w:rPr>
        <w:t xml:space="preserve"> €, sitan inventar </w:t>
      </w:r>
      <w:r w:rsidR="00B7392C">
        <w:rPr>
          <w:rFonts w:ascii="Arial" w:eastAsia="Calibri" w:hAnsi="Arial" w:cs="Arial"/>
          <w:sz w:val="20"/>
          <w:szCs w:val="20"/>
        </w:rPr>
        <w:t>302,28</w:t>
      </w:r>
      <w:r w:rsidRPr="002C5474">
        <w:rPr>
          <w:rFonts w:ascii="Arial" w:eastAsia="Calibri" w:hAnsi="Arial" w:cs="Arial"/>
          <w:sz w:val="20"/>
          <w:szCs w:val="20"/>
        </w:rPr>
        <w:t xml:space="preserve"> € i radna odjeća i obuća u iznosu od </w:t>
      </w:r>
      <w:r w:rsidR="00083828">
        <w:rPr>
          <w:rFonts w:ascii="Arial" w:eastAsia="Calibri" w:hAnsi="Arial" w:cs="Arial"/>
          <w:sz w:val="20"/>
          <w:szCs w:val="20"/>
        </w:rPr>
        <w:t>721,31</w:t>
      </w:r>
      <w:r w:rsidRPr="002C5474">
        <w:rPr>
          <w:rFonts w:ascii="Arial" w:eastAsia="Calibri" w:hAnsi="Arial" w:cs="Arial"/>
          <w:sz w:val="20"/>
          <w:szCs w:val="20"/>
        </w:rPr>
        <w:t xml:space="preserve"> €),</w:t>
      </w:r>
    </w:p>
    <w:p w14:paraId="18CA766D" w14:textId="6EFB0FEB" w:rsidR="002C5474" w:rsidRPr="002C5474" w:rsidRDefault="002C5474" w:rsidP="002C5474">
      <w:pPr>
        <w:spacing w:after="0" w:line="240" w:lineRule="auto"/>
        <w:jc w:val="both"/>
        <w:rPr>
          <w:rFonts w:ascii="Arial" w:eastAsia="Calibri" w:hAnsi="Arial" w:cs="Arial"/>
          <w:sz w:val="20"/>
          <w:szCs w:val="20"/>
        </w:rPr>
      </w:pPr>
      <w:r w:rsidRPr="002C5474">
        <w:rPr>
          <w:rFonts w:ascii="Arial" w:eastAsia="Calibri" w:hAnsi="Arial" w:cs="Arial"/>
          <w:sz w:val="20"/>
          <w:szCs w:val="20"/>
        </w:rPr>
        <w:t xml:space="preserve">- rashodi za usluge (323) u iznosu od </w:t>
      </w:r>
      <w:r w:rsidR="00083828">
        <w:rPr>
          <w:rFonts w:ascii="Arial" w:eastAsia="Calibri" w:hAnsi="Arial" w:cs="Arial"/>
          <w:sz w:val="20"/>
          <w:szCs w:val="20"/>
        </w:rPr>
        <w:t>74.351,35</w:t>
      </w:r>
      <w:r w:rsidRPr="002C5474">
        <w:rPr>
          <w:rFonts w:ascii="Arial" w:eastAsia="Calibri" w:hAnsi="Arial" w:cs="Arial"/>
          <w:sz w:val="20"/>
          <w:szCs w:val="20"/>
        </w:rPr>
        <w:t xml:space="preserve"> € odnose se na tekuće troškove komunikacije, održavanje objekata i opreme (od čega održavanje objekata, postrojenja</w:t>
      </w:r>
      <w:r w:rsidR="00F12DCA">
        <w:rPr>
          <w:rFonts w:ascii="Arial" w:eastAsia="Calibri" w:hAnsi="Arial" w:cs="Arial"/>
          <w:sz w:val="20"/>
          <w:szCs w:val="20"/>
        </w:rPr>
        <w:t>,</w:t>
      </w:r>
      <w:r w:rsidRPr="002C5474">
        <w:rPr>
          <w:rFonts w:ascii="Arial" w:eastAsia="Calibri" w:hAnsi="Arial" w:cs="Arial"/>
          <w:sz w:val="20"/>
          <w:szCs w:val="20"/>
        </w:rPr>
        <w:t xml:space="preserve"> opreme i prijevoznih sredstava </w:t>
      </w:r>
      <w:r w:rsidR="00B2545D">
        <w:rPr>
          <w:rFonts w:ascii="Arial" w:eastAsia="Calibri" w:hAnsi="Arial" w:cs="Arial"/>
          <w:sz w:val="20"/>
          <w:szCs w:val="20"/>
        </w:rPr>
        <w:t>51</w:t>
      </w:r>
      <w:r w:rsidR="00DE7BE2">
        <w:rPr>
          <w:rFonts w:ascii="Arial" w:eastAsia="Calibri" w:hAnsi="Arial" w:cs="Arial"/>
          <w:sz w:val="20"/>
          <w:szCs w:val="20"/>
        </w:rPr>
        <w:t>.403,43</w:t>
      </w:r>
      <w:r w:rsidRPr="002C5474">
        <w:rPr>
          <w:rFonts w:ascii="Arial" w:eastAsia="Calibri" w:hAnsi="Arial" w:cs="Arial"/>
          <w:color w:val="FF0000"/>
          <w:sz w:val="20"/>
          <w:szCs w:val="20"/>
        </w:rPr>
        <w:t xml:space="preserve"> </w:t>
      </w:r>
      <w:r w:rsidRPr="002C5474">
        <w:rPr>
          <w:rFonts w:ascii="Arial" w:eastAsia="Calibri" w:hAnsi="Arial" w:cs="Arial"/>
          <w:sz w:val="20"/>
          <w:szCs w:val="20"/>
        </w:rPr>
        <w:t>€ (popravci perilica rublja i posuđa, sušilice rublja, konvektomata, kuhinjskog kotla, popravak i održavanje klima uređaja, ugradnja led svjetiljki, servis video nadzornog sustava, ispitivanje elektroinstalacija, uređaja i opreme po objektima),</w:t>
      </w:r>
      <w:r w:rsidRPr="002C5474">
        <w:rPr>
          <w:rFonts w:ascii="Arial" w:eastAsia="Calibri" w:hAnsi="Arial" w:cs="Arial"/>
          <w:color w:val="FF0000"/>
          <w:sz w:val="20"/>
          <w:szCs w:val="20"/>
        </w:rPr>
        <w:t xml:space="preserve"> </w:t>
      </w:r>
      <w:r w:rsidRPr="002C5474">
        <w:rPr>
          <w:rFonts w:ascii="Arial" w:eastAsia="Calibri" w:hAnsi="Arial" w:cs="Arial"/>
          <w:sz w:val="20"/>
          <w:szCs w:val="20"/>
        </w:rPr>
        <w:t xml:space="preserve">komunalne usluge </w:t>
      </w:r>
      <w:r w:rsidR="00DA4256">
        <w:rPr>
          <w:rFonts w:ascii="Arial" w:eastAsia="Calibri" w:hAnsi="Arial" w:cs="Arial"/>
          <w:sz w:val="20"/>
          <w:szCs w:val="20"/>
        </w:rPr>
        <w:t>10.395,87</w:t>
      </w:r>
      <w:r w:rsidRPr="002C5474">
        <w:rPr>
          <w:rFonts w:ascii="Arial" w:eastAsia="Calibri" w:hAnsi="Arial" w:cs="Arial"/>
          <w:sz w:val="20"/>
          <w:szCs w:val="20"/>
        </w:rPr>
        <w:t xml:space="preserve"> € (opskrba vodom, odvoz smeća, deratizacija i ostalo), zdravstvene usluge </w:t>
      </w:r>
      <w:r w:rsidR="00DA4256">
        <w:rPr>
          <w:rFonts w:ascii="Arial" w:eastAsia="Calibri" w:hAnsi="Arial" w:cs="Arial"/>
          <w:sz w:val="20"/>
          <w:szCs w:val="20"/>
        </w:rPr>
        <w:t>2.758,85</w:t>
      </w:r>
      <w:r w:rsidRPr="002C5474">
        <w:rPr>
          <w:rFonts w:ascii="Arial" w:eastAsia="Calibri" w:hAnsi="Arial" w:cs="Arial"/>
          <w:sz w:val="20"/>
          <w:szCs w:val="20"/>
        </w:rPr>
        <w:t xml:space="preserve"> €, računalne usluge te ostale usluge,</w:t>
      </w:r>
    </w:p>
    <w:p w14:paraId="2A2DFBAE" w14:textId="018C5090" w:rsidR="002C5474" w:rsidRPr="002C5474" w:rsidRDefault="002C5474" w:rsidP="002C5474">
      <w:pPr>
        <w:spacing w:after="0" w:line="240" w:lineRule="auto"/>
        <w:jc w:val="both"/>
        <w:rPr>
          <w:rFonts w:ascii="Arial" w:eastAsia="Calibri" w:hAnsi="Arial" w:cs="Arial"/>
          <w:sz w:val="20"/>
          <w:szCs w:val="20"/>
        </w:rPr>
      </w:pPr>
      <w:r w:rsidRPr="002C5474">
        <w:rPr>
          <w:rFonts w:ascii="Arial" w:eastAsia="Calibri" w:hAnsi="Arial" w:cs="Arial"/>
          <w:sz w:val="20"/>
          <w:szCs w:val="20"/>
        </w:rPr>
        <w:t xml:space="preserve">- ostali rashodi poslovanja (329) u iznosu </w:t>
      </w:r>
      <w:r w:rsidR="00DA4256">
        <w:rPr>
          <w:rFonts w:ascii="Arial" w:eastAsia="Calibri" w:hAnsi="Arial" w:cs="Arial"/>
          <w:sz w:val="20"/>
          <w:szCs w:val="20"/>
        </w:rPr>
        <w:t>3.050,73</w:t>
      </w:r>
      <w:r w:rsidRPr="002C5474">
        <w:rPr>
          <w:rFonts w:ascii="Arial" w:eastAsia="Calibri" w:hAnsi="Arial" w:cs="Arial"/>
          <w:sz w:val="20"/>
          <w:szCs w:val="20"/>
        </w:rPr>
        <w:t xml:space="preserve"> € (premije osiguranja, reprezentacija, ostali rashodi poslovanja),</w:t>
      </w:r>
    </w:p>
    <w:p w14:paraId="411D1203" w14:textId="160B50F0" w:rsidR="002C5474" w:rsidRPr="002C5474" w:rsidRDefault="002C5474" w:rsidP="002C5474">
      <w:pPr>
        <w:spacing w:after="0" w:line="240" w:lineRule="auto"/>
        <w:jc w:val="both"/>
        <w:rPr>
          <w:rFonts w:ascii="Arial" w:eastAsia="Calibri" w:hAnsi="Arial" w:cs="Arial"/>
          <w:sz w:val="20"/>
          <w:szCs w:val="20"/>
        </w:rPr>
      </w:pPr>
      <w:r w:rsidRPr="002C5474">
        <w:rPr>
          <w:rFonts w:ascii="Arial" w:eastAsia="Calibri" w:hAnsi="Arial" w:cs="Arial"/>
          <w:sz w:val="20"/>
          <w:szCs w:val="20"/>
        </w:rPr>
        <w:t xml:space="preserve">- oprema (422) u iznosu </w:t>
      </w:r>
      <w:r w:rsidR="00BB6C12">
        <w:rPr>
          <w:rFonts w:ascii="Arial" w:eastAsia="Calibri" w:hAnsi="Arial" w:cs="Arial"/>
          <w:sz w:val="20"/>
          <w:szCs w:val="20"/>
        </w:rPr>
        <w:t>4.106,14</w:t>
      </w:r>
      <w:r w:rsidRPr="002C5474">
        <w:rPr>
          <w:rFonts w:ascii="Arial" w:eastAsia="Calibri" w:hAnsi="Arial" w:cs="Arial"/>
          <w:sz w:val="20"/>
          <w:szCs w:val="20"/>
        </w:rPr>
        <w:t xml:space="preserve"> € (računala, uredski namještaj</w:t>
      </w:r>
      <w:r w:rsidR="00967BA5">
        <w:rPr>
          <w:rFonts w:ascii="Arial" w:eastAsia="Calibri" w:hAnsi="Arial" w:cs="Arial"/>
          <w:sz w:val="20"/>
          <w:szCs w:val="20"/>
        </w:rPr>
        <w:t>, drobilica kuhinjskog otpada)</w:t>
      </w:r>
      <w:r w:rsidRPr="002C5474">
        <w:rPr>
          <w:rFonts w:ascii="Arial" w:eastAsia="Calibri" w:hAnsi="Arial" w:cs="Arial"/>
          <w:sz w:val="20"/>
          <w:szCs w:val="20"/>
        </w:rPr>
        <w:t xml:space="preserve">. </w:t>
      </w:r>
    </w:p>
    <w:p w14:paraId="44C5B8E3" w14:textId="77777777" w:rsidR="00DD41C8" w:rsidRDefault="00DD41C8" w:rsidP="00BA0D06">
      <w:pPr>
        <w:spacing w:after="0" w:line="240" w:lineRule="auto"/>
        <w:jc w:val="both"/>
        <w:rPr>
          <w:rFonts w:ascii="Arial" w:eastAsia="Calibri" w:hAnsi="Arial" w:cs="Arial"/>
          <w:sz w:val="20"/>
          <w:szCs w:val="20"/>
        </w:rPr>
      </w:pPr>
    </w:p>
    <w:p w14:paraId="5A8B70B9" w14:textId="6E21AF68" w:rsidR="002C5474" w:rsidRPr="00A534D1" w:rsidRDefault="002C5474" w:rsidP="002C5474">
      <w:pPr>
        <w:spacing w:after="0" w:line="240" w:lineRule="auto"/>
        <w:jc w:val="both"/>
        <w:rPr>
          <w:rFonts w:ascii="Arial" w:eastAsia="Calibri" w:hAnsi="Arial" w:cs="Arial"/>
          <w:b/>
          <w:bCs/>
          <w:sz w:val="20"/>
          <w:szCs w:val="20"/>
        </w:rPr>
      </w:pPr>
      <w:r w:rsidRPr="00A534D1">
        <w:rPr>
          <w:rFonts w:ascii="Arial" w:eastAsia="Calibri" w:hAnsi="Arial" w:cs="Arial"/>
          <w:b/>
          <w:bCs/>
          <w:sz w:val="20"/>
          <w:szCs w:val="20"/>
        </w:rPr>
        <w:t xml:space="preserve">9. A205119: Nabava dostavnog vozila </w:t>
      </w:r>
      <w:r w:rsidRPr="00A534D1">
        <w:rPr>
          <w:rFonts w:ascii="Arial" w:eastAsia="Calibri" w:hAnsi="Arial" w:cs="Arial"/>
          <w:sz w:val="20"/>
          <w:szCs w:val="20"/>
        </w:rPr>
        <w:t>–</w:t>
      </w:r>
      <w:r w:rsidRPr="00A534D1">
        <w:rPr>
          <w:rFonts w:ascii="Arial" w:eastAsia="Calibri" w:hAnsi="Arial" w:cs="Arial"/>
          <w:b/>
          <w:bCs/>
          <w:sz w:val="20"/>
          <w:szCs w:val="20"/>
        </w:rPr>
        <w:t xml:space="preserve"> </w:t>
      </w:r>
      <w:r w:rsidRPr="00A534D1">
        <w:rPr>
          <w:rFonts w:ascii="Arial" w:eastAsia="Calibri" w:hAnsi="Arial" w:cs="Arial"/>
          <w:sz w:val="20"/>
          <w:szCs w:val="20"/>
        </w:rPr>
        <w:t xml:space="preserve">Proračunska sredstva </w:t>
      </w:r>
      <w:r w:rsidR="00967BA5">
        <w:rPr>
          <w:rFonts w:ascii="Arial" w:eastAsia="Calibri" w:hAnsi="Arial" w:cs="Arial"/>
          <w:sz w:val="20"/>
          <w:szCs w:val="20"/>
        </w:rPr>
        <w:t xml:space="preserve">nisu </w:t>
      </w:r>
      <w:r w:rsidRPr="00A534D1">
        <w:rPr>
          <w:rFonts w:ascii="Arial" w:eastAsia="Calibri" w:hAnsi="Arial" w:cs="Arial"/>
          <w:sz w:val="20"/>
          <w:szCs w:val="20"/>
        </w:rPr>
        <w:t>planirana</w:t>
      </w:r>
      <w:r w:rsidR="00967BA5">
        <w:rPr>
          <w:rFonts w:ascii="Arial" w:eastAsia="Calibri" w:hAnsi="Arial" w:cs="Arial"/>
          <w:sz w:val="20"/>
          <w:szCs w:val="20"/>
        </w:rPr>
        <w:t xml:space="preserve">- U 2024. je nabavljeno vozilo u </w:t>
      </w:r>
      <w:r w:rsidRPr="00A534D1">
        <w:rPr>
          <w:rFonts w:ascii="Arial" w:eastAsia="Calibri" w:hAnsi="Arial" w:cs="Arial"/>
          <w:sz w:val="20"/>
          <w:szCs w:val="20"/>
        </w:rPr>
        <w:t>iznosu 24.500</w:t>
      </w:r>
      <w:r>
        <w:rPr>
          <w:rFonts w:ascii="Arial" w:eastAsia="Calibri" w:hAnsi="Arial" w:cs="Arial"/>
          <w:sz w:val="20"/>
          <w:szCs w:val="20"/>
        </w:rPr>
        <w:t xml:space="preserve"> </w:t>
      </w:r>
      <w:r w:rsidRPr="00A534D1">
        <w:rPr>
          <w:rFonts w:ascii="Arial" w:eastAsia="Calibri" w:hAnsi="Arial" w:cs="Arial"/>
          <w:sz w:val="20"/>
          <w:szCs w:val="20"/>
        </w:rPr>
        <w:t xml:space="preserve">€, </w:t>
      </w:r>
      <w:r w:rsidR="00967BA5">
        <w:rPr>
          <w:rFonts w:ascii="Arial" w:eastAsia="Calibri" w:hAnsi="Arial" w:cs="Arial"/>
          <w:sz w:val="20"/>
          <w:szCs w:val="20"/>
        </w:rPr>
        <w:t>d</w:t>
      </w:r>
      <w:r w:rsidRPr="00A534D1">
        <w:rPr>
          <w:rFonts w:ascii="Arial" w:eastAsia="Calibri" w:hAnsi="Arial" w:cs="Arial"/>
          <w:sz w:val="20"/>
          <w:szCs w:val="20"/>
        </w:rPr>
        <w:t>ostavno vozilo za dostavu hrane po objektima.</w:t>
      </w:r>
    </w:p>
    <w:p w14:paraId="32705BD9" w14:textId="77777777" w:rsidR="002C5474" w:rsidRPr="00A534D1" w:rsidRDefault="002C5474" w:rsidP="002C5474">
      <w:pPr>
        <w:spacing w:after="0" w:line="240" w:lineRule="auto"/>
        <w:jc w:val="both"/>
        <w:rPr>
          <w:rFonts w:ascii="Arial" w:eastAsia="Calibri" w:hAnsi="Arial" w:cs="Arial"/>
          <w:sz w:val="20"/>
          <w:szCs w:val="20"/>
        </w:rPr>
      </w:pPr>
    </w:p>
    <w:p w14:paraId="4B48C17E" w14:textId="3D8F777E" w:rsidR="005D2DAF" w:rsidRPr="00D12A0C" w:rsidRDefault="002C5474" w:rsidP="005D2DAF">
      <w:pPr>
        <w:spacing w:after="0" w:line="240" w:lineRule="auto"/>
        <w:jc w:val="both"/>
        <w:rPr>
          <w:rFonts w:ascii="Arial" w:eastAsia="Calibri" w:hAnsi="Arial" w:cs="Arial"/>
          <w:sz w:val="20"/>
          <w:szCs w:val="20"/>
        </w:rPr>
      </w:pPr>
      <w:r>
        <w:rPr>
          <w:rFonts w:ascii="Arial" w:eastAsia="Calibri" w:hAnsi="Arial" w:cs="Arial"/>
          <w:b/>
          <w:sz w:val="20"/>
          <w:szCs w:val="20"/>
        </w:rPr>
        <w:t>10</w:t>
      </w:r>
      <w:r w:rsidR="00BA0D06" w:rsidRPr="003A2F86">
        <w:rPr>
          <w:rFonts w:ascii="Arial" w:eastAsia="Calibri" w:hAnsi="Arial" w:cs="Arial"/>
          <w:b/>
          <w:sz w:val="20"/>
          <w:szCs w:val="20"/>
        </w:rPr>
        <w:t>. T20</w:t>
      </w:r>
      <w:r w:rsidR="008A128F" w:rsidRPr="003A2F86">
        <w:rPr>
          <w:rFonts w:ascii="Arial" w:eastAsia="Calibri" w:hAnsi="Arial" w:cs="Arial"/>
          <w:b/>
          <w:sz w:val="20"/>
          <w:szCs w:val="20"/>
        </w:rPr>
        <w:t>5122</w:t>
      </w:r>
      <w:r w:rsidR="00BA0D06" w:rsidRPr="003A2F86">
        <w:rPr>
          <w:rFonts w:ascii="Arial" w:eastAsia="Calibri" w:hAnsi="Arial" w:cs="Arial"/>
          <w:b/>
          <w:sz w:val="20"/>
          <w:szCs w:val="20"/>
        </w:rPr>
        <w:t>: Dječji vrtić, unapređ</w:t>
      </w:r>
      <w:r w:rsidR="005D2DAF" w:rsidRPr="003A2F86">
        <w:rPr>
          <w:rFonts w:ascii="Arial" w:eastAsia="Calibri" w:hAnsi="Arial" w:cs="Arial"/>
          <w:b/>
          <w:sz w:val="20"/>
          <w:szCs w:val="20"/>
        </w:rPr>
        <w:t>enje usluga „Otvo</w:t>
      </w:r>
      <w:r w:rsidR="005D2DAF" w:rsidRPr="00D12A0C">
        <w:rPr>
          <w:rFonts w:ascii="Arial" w:eastAsia="Calibri" w:hAnsi="Arial" w:cs="Arial"/>
          <w:b/>
          <w:sz w:val="20"/>
          <w:szCs w:val="20"/>
        </w:rPr>
        <w:t xml:space="preserve">rimo južna vrata lijepe naše“ </w:t>
      </w:r>
      <w:r w:rsidR="005D2DAF" w:rsidRPr="00D12A0C">
        <w:rPr>
          <w:rFonts w:ascii="Arial" w:eastAsia="Calibri" w:hAnsi="Arial" w:cs="Arial"/>
          <w:sz w:val="20"/>
          <w:szCs w:val="20"/>
        </w:rPr>
        <w:t xml:space="preserve"> </w:t>
      </w:r>
      <w:r w:rsidR="000D6EF9" w:rsidRPr="00D12A0C">
        <w:rPr>
          <w:rFonts w:ascii="Arial" w:eastAsia="Calibri" w:hAnsi="Arial" w:cs="Arial"/>
          <w:sz w:val="20"/>
          <w:szCs w:val="20"/>
        </w:rPr>
        <w:t>Ovaj projekt, faza I je završena u 2021. godini.</w:t>
      </w:r>
    </w:p>
    <w:p w14:paraId="4133E9EC" w14:textId="30492551" w:rsidR="005D2DAF" w:rsidRPr="00D12A0C" w:rsidRDefault="005D2DAF" w:rsidP="005D2DAF">
      <w:pPr>
        <w:spacing w:after="0" w:line="240" w:lineRule="auto"/>
        <w:jc w:val="both"/>
        <w:rPr>
          <w:rFonts w:ascii="Arial" w:eastAsia="Calibri" w:hAnsi="Arial" w:cs="Arial"/>
          <w:sz w:val="20"/>
          <w:szCs w:val="20"/>
        </w:rPr>
      </w:pPr>
    </w:p>
    <w:p w14:paraId="659A0344" w14:textId="790EF20F" w:rsidR="00DD41C8" w:rsidRPr="00D12A0C" w:rsidRDefault="005D2DAF" w:rsidP="00F12DCA">
      <w:pPr>
        <w:spacing w:after="0" w:line="240" w:lineRule="auto"/>
        <w:ind w:left="567"/>
        <w:jc w:val="both"/>
        <w:rPr>
          <w:rFonts w:ascii="Arial" w:eastAsia="Calibri" w:hAnsi="Arial" w:cs="Arial"/>
          <w:sz w:val="18"/>
          <w:szCs w:val="18"/>
        </w:rPr>
      </w:pPr>
      <w:r w:rsidRPr="00D12A0C">
        <w:rPr>
          <w:rFonts w:ascii="Arial" w:eastAsia="Calibri" w:hAnsi="Arial" w:cs="Arial"/>
          <w:sz w:val="18"/>
          <w:szCs w:val="18"/>
        </w:rPr>
        <w:lastRenderedPageBreak/>
        <w:t xml:space="preserve">Ugovor za „Unapređenje usluga za djecu u sustavu ranog i predškolskog odgoja i obrazovanja“ u sklopu ESF Operativnog programa „Učinkoviti ljudski potencijali 2014.-2020.“ zaključen je u veljači 2019. s Ministarstvom za demografiju, obitelj, mlade i socijalnu politiku i Hrvatskim zavodom za zapošljavanje. Projektom su </w:t>
      </w:r>
      <w:r w:rsidR="000D6EF9" w:rsidRPr="00D12A0C">
        <w:rPr>
          <w:rFonts w:ascii="Arial" w:eastAsia="Calibri" w:hAnsi="Arial" w:cs="Arial"/>
          <w:sz w:val="18"/>
          <w:szCs w:val="18"/>
        </w:rPr>
        <w:t xml:space="preserve">bila </w:t>
      </w:r>
      <w:r w:rsidRPr="00D12A0C">
        <w:rPr>
          <w:rFonts w:ascii="Arial" w:eastAsia="Calibri" w:hAnsi="Arial" w:cs="Arial"/>
          <w:sz w:val="18"/>
          <w:szCs w:val="18"/>
        </w:rPr>
        <w:t xml:space="preserve">odobrena bespovratna sredstva u iznosu max 7.410.440,01 </w:t>
      </w:r>
      <w:r w:rsidR="00A8623C" w:rsidRPr="00D12A0C">
        <w:rPr>
          <w:rFonts w:ascii="Arial" w:eastAsia="Calibri" w:hAnsi="Arial" w:cs="Arial"/>
          <w:sz w:val="18"/>
          <w:szCs w:val="18"/>
        </w:rPr>
        <w:t>kn</w:t>
      </w:r>
      <w:r w:rsidRPr="00D12A0C">
        <w:rPr>
          <w:rFonts w:ascii="Arial" w:eastAsia="Calibri" w:hAnsi="Arial" w:cs="Arial"/>
          <w:sz w:val="18"/>
          <w:szCs w:val="18"/>
        </w:rPr>
        <w:t>, a projekt</w:t>
      </w:r>
      <w:r w:rsidR="000D6EF9" w:rsidRPr="00D12A0C">
        <w:rPr>
          <w:rFonts w:ascii="Arial" w:eastAsia="Calibri" w:hAnsi="Arial" w:cs="Arial"/>
          <w:sz w:val="18"/>
          <w:szCs w:val="18"/>
        </w:rPr>
        <w:t xml:space="preserve"> je trajao</w:t>
      </w:r>
      <w:r w:rsidRPr="00D12A0C">
        <w:rPr>
          <w:rFonts w:ascii="Arial" w:eastAsia="Calibri" w:hAnsi="Arial" w:cs="Arial"/>
          <w:sz w:val="18"/>
          <w:szCs w:val="18"/>
        </w:rPr>
        <w:t xml:space="preserve"> 30 mjeseci (počevši danom potpisivanja ugovora, pa do konca srpnja 2021.). </w:t>
      </w:r>
    </w:p>
    <w:p w14:paraId="18A63A90" w14:textId="77777777" w:rsidR="00DD41C8" w:rsidRPr="00D12A0C" w:rsidRDefault="00DD41C8" w:rsidP="00F12DCA">
      <w:pPr>
        <w:spacing w:after="0" w:line="240" w:lineRule="auto"/>
        <w:ind w:left="567"/>
        <w:jc w:val="both"/>
        <w:rPr>
          <w:rFonts w:ascii="Arial" w:eastAsia="Calibri" w:hAnsi="Arial" w:cs="Arial"/>
          <w:sz w:val="18"/>
          <w:szCs w:val="18"/>
        </w:rPr>
      </w:pPr>
    </w:p>
    <w:p w14:paraId="7FA1D2D4" w14:textId="0652756D" w:rsidR="005D2DAF" w:rsidRPr="00D12A0C" w:rsidRDefault="005D2DAF" w:rsidP="00F12DCA">
      <w:pPr>
        <w:spacing w:after="0" w:line="240" w:lineRule="auto"/>
        <w:ind w:left="567"/>
        <w:jc w:val="both"/>
        <w:rPr>
          <w:rFonts w:ascii="Arial" w:eastAsia="Calibri" w:hAnsi="Arial" w:cs="Arial"/>
          <w:sz w:val="18"/>
          <w:szCs w:val="18"/>
        </w:rPr>
      </w:pPr>
      <w:r w:rsidRPr="00D12A0C">
        <w:rPr>
          <w:rFonts w:ascii="Arial" w:eastAsia="Calibri" w:hAnsi="Arial" w:cs="Arial"/>
          <w:sz w:val="18"/>
          <w:szCs w:val="18"/>
        </w:rPr>
        <w:t xml:space="preserve">Konačno odobrena sredstva </w:t>
      </w:r>
      <w:r w:rsidR="00945257" w:rsidRPr="00D12A0C">
        <w:rPr>
          <w:rFonts w:ascii="Arial" w:eastAsia="Calibri" w:hAnsi="Arial" w:cs="Arial"/>
          <w:sz w:val="18"/>
          <w:szCs w:val="18"/>
        </w:rPr>
        <w:t>prema završnom izvješću iznose 4.863.769,77 kn</w:t>
      </w:r>
      <w:r w:rsidR="00A7176E" w:rsidRPr="00D12A0C">
        <w:rPr>
          <w:rFonts w:ascii="Arial" w:eastAsia="Calibri" w:hAnsi="Arial" w:cs="Arial"/>
          <w:sz w:val="18"/>
          <w:szCs w:val="18"/>
        </w:rPr>
        <w:t xml:space="preserve"> (645.533,18 €)</w:t>
      </w:r>
      <w:r w:rsidR="00945257" w:rsidRPr="00D12A0C">
        <w:rPr>
          <w:rFonts w:ascii="Arial" w:eastAsia="Calibri" w:hAnsi="Arial" w:cs="Arial"/>
          <w:sz w:val="18"/>
          <w:szCs w:val="18"/>
        </w:rPr>
        <w:t xml:space="preserve">. </w:t>
      </w:r>
      <w:r w:rsidRPr="00D12A0C">
        <w:rPr>
          <w:rFonts w:ascii="Arial" w:eastAsia="Calibri" w:hAnsi="Arial" w:cs="Arial"/>
          <w:sz w:val="18"/>
          <w:szCs w:val="18"/>
        </w:rPr>
        <w:t xml:space="preserve">Dječji vrtić Konavle je </w:t>
      </w:r>
      <w:r w:rsidR="003D6583">
        <w:rPr>
          <w:rFonts w:ascii="Arial" w:eastAsia="Calibri" w:hAnsi="Arial" w:cs="Arial"/>
          <w:sz w:val="18"/>
          <w:szCs w:val="18"/>
        </w:rPr>
        <w:t xml:space="preserve">bio </w:t>
      </w:r>
      <w:r w:rsidRPr="00D12A0C">
        <w:rPr>
          <w:rFonts w:ascii="Arial" w:eastAsia="Calibri" w:hAnsi="Arial" w:cs="Arial"/>
          <w:sz w:val="18"/>
          <w:szCs w:val="18"/>
        </w:rPr>
        <w:t>partner u projektu, a voditelj projekta je Općin</w:t>
      </w:r>
      <w:r w:rsidR="003D6583">
        <w:rPr>
          <w:rFonts w:ascii="Arial" w:eastAsia="Calibri" w:hAnsi="Arial" w:cs="Arial"/>
          <w:sz w:val="18"/>
          <w:szCs w:val="18"/>
        </w:rPr>
        <w:t>a</w:t>
      </w:r>
      <w:r w:rsidRPr="00D12A0C">
        <w:rPr>
          <w:rFonts w:ascii="Arial" w:eastAsia="Calibri" w:hAnsi="Arial" w:cs="Arial"/>
          <w:sz w:val="18"/>
          <w:szCs w:val="18"/>
        </w:rPr>
        <w:t>. Projekt se sufinancira</w:t>
      </w:r>
      <w:r w:rsidR="003D6583">
        <w:rPr>
          <w:rFonts w:ascii="Arial" w:eastAsia="Calibri" w:hAnsi="Arial" w:cs="Arial"/>
          <w:sz w:val="18"/>
          <w:szCs w:val="18"/>
        </w:rPr>
        <w:t>o</w:t>
      </w:r>
      <w:r w:rsidRPr="00D12A0C">
        <w:rPr>
          <w:rFonts w:ascii="Arial" w:eastAsia="Calibri" w:hAnsi="Arial" w:cs="Arial"/>
          <w:sz w:val="18"/>
          <w:szCs w:val="18"/>
        </w:rPr>
        <w:t xml:space="preserve"> sredstvima EU (samo ovjereni prihvatljivi troškovi projekta).</w:t>
      </w:r>
    </w:p>
    <w:p w14:paraId="1110B8B4" w14:textId="606B4CE7" w:rsidR="002C61FC" w:rsidRPr="00D12A0C" w:rsidRDefault="002C61FC" w:rsidP="00F12DCA">
      <w:pPr>
        <w:spacing w:after="0" w:line="240" w:lineRule="auto"/>
        <w:ind w:left="567"/>
        <w:jc w:val="both"/>
        <w:rPr>
          <w:rFonts w:ascii="Arial" w:eastAsia="Calibri" w:hAnsi="Arial" w:cs="Arial"/>
          <w:sz w:val="18"/>
          <w:szCs w:val="18"/>
        </w:rPr>
      </w:pPr>
      <w:r w:rsidRPr="00D12A0C">
        <w:rPr>
          <w:rFonts w:ascii="Arial" w:eastAsia="Calibri" w:hAnsi="Arial" w:cs="Arial"/>
          <w:b/>
          <w:bCs/>
          <w:sz w:val="18"/>
          <w:szCs w:val="18"/>
        </w:rPr>
        <w:t>Zaposlenih putem Projekta je 25</w:t>
      </w:r>
      <w:r w:rsidRPr="00D12A0C">
        <w:rPr>
          <w:rFonts w:ascii="Arial" w:eastAsia="Calibri" w:hAnsi="Arial" w:cs="Arial"/>
          <w:sz w:val="18"/>
          <w:szCs w:val="18"/>
        </w:rPr>
        <w:t xml:space="preserve"> (15 odgojitelja, edukator rehabilitator - zamjena za </w:t>
      </w:r>
      <w:r w:rsidR="00D361DF" w:rsidRPr="00D12A0C">
        <w:rPr>
          <w:rFonts w:ascii="Arial" w:eastAsia="Calibri" w:hAnsi="Arial" w:cs="Arial"/>
          <w:sz w:val="18"/>
          <w:szCs w:val="18"/>
        </w:rPr>
        <w:t>rodiljni</w:t>
      </w:r>
      <w:r w:rsidRPr="00D12A0C">
        <w:rPr>
          <w:rFonts w:ascii="Arial" w:eastAsia="Calibri" w:hAnsi="Arial" w:cs="Arial"/>
          <w:sz w:val="18"/>
          <w:szCs w:val="18"/>
        </w:rPr>
        <w:t xml:space="preserve"> dopust, psiholog 0,5, pedagog 0,5, 6 spremačica 0,5 radnog vremena). Kroz stručno usavršavanje održale su se edukacije za psihologa i edukatora rehabilitatora mjesečno po modulima, u travnju je održana edukacija Terapijske priče, u svibnju Inkluzija djece s teškoćama u razvoju, u lipnju (Korak po korak)</w:t>
      </w:r>
      <w:r w:rsidR="00945257" w:rsidRPr="00D12A0C">
        <w:rPr>
          <w:rFonts w:ascii="Arial" w:eastAsia="Calibri" w:hAnsi="Arial" w:cs="Arial"/>
          <w:sz w:val="18"/>
          <w:szCs w:val="18"/>
        </w:rPr>
        <w:t xml:space="preserve"> </w:t>
      </w:r>
      <w:r w:rsidRPr="00D12A0C">
        <w:rPr>
          <w:rFonts w:ascii="Arial" w:eastAsia="Calibri" w:hAnsi="Arial" w:cs="Arial"/>
          <w:sz w:val="18"/>
          <w:szCs w:val="18"/>
        </w:rPr>
        <w:t>- Edukacija Zajednice odgajatelja koje uče i (Svijet lutaka) – Edukativne radionice za provedbu dramsko scenskog integriranog programa Od priče do predstave.</w:t>
      </w:r>
    </w:p>
    <w:p w14:paraId="396E09B0" w14:textId="498A7EB9" w:rsidR="00EB7362" w:rsidRPr="00D12A0C" w:rsidRDefault="00EB7362" w:rsidP="00F12DCA">
      <w:pPr>
        <w:spacing w:after="0" w:line="240" w:lineRule="auto"/>
        <w:ind w:left="567"/>
        <w:jc w:val="both"/>
        <w:rPr>
          <w:rFonts w:ascii="Arial" w:eastAsia="Calibri" w:hAnsi="Arial" w:cs="Arial"/>
          <w:sz w:val="18"/>
          <w:szCs w:val="18"/>
        </w:rPr>
      </w:pPr>
    </w:p>
    <w:p w14:paraId="5B90B7B1" w14:textId="7598962F" w:rsidR="00327855" w:rsidRPr="00D12A0C" w:rsidRDefault="00327855" w:rsidP="00F12DCA">
      <w:pPr>
        <w:autoSpaceDE w:val="0"/>
        <w:autoSpaceDN w:val="0"/>
        <w:adjustRightInd w:val="0"/>
        <w:spacing w:after="0" w:line="240" w:lineRule="auto"/>
        <w:ind w:left="567"/>
        <w:jc w:val="both"/>
        <w:rPr>
          <w:rFonts w:ascii="Arial" w:eastAsia="Calibri" w:hAnsi="Arial" w:cs="Arial"/>
          <w:sz w:val="18"/>
          <w:szCs w:val="18"/>
        </w:rPr>
      </w:pPr>
      <w:r w:rsidRPr="00D12A0C">
        <w:rPr>
          <w:rFonts w:ascii="Arial" w:eastAsia="Calibri" w:hAnsi="Arial" w:cs="Arial"/>
          <w:sz w:val="18"/>
          <w:szCs w:val="18"/>
        </w:rPr>
        <w:t>U sklop</w:t>
      </w:r>
      <w:r w:rsidR="00C97EC8" w:rsidRPr="00D12A0C">
        <w:rPr>
          <w:rFonts w:ascii="Arial" w:eastAsia="Calibri" w:hAnsi="Arial" w:cs="Arial"/>
          <w:sz w:val="18"/>
          <w:szCs w:val="18"/>
        </w:rPr>
        <w:t>u</w:t>
      </w:r>
      <w:r w:rsidRPr="00D12A0C">
        <w:rPr>
          <w:rFonts w:ascii="Arial" w:eastAsia="Calibri" w:hAnsi="Arial" w:cs="Arial"/>
          <w:sz w:val="18"/>
          <w:szCs w:val="18"/>
        </w:rPr>
        <w:t xml:space="preserve"> Projekta provodi</w:t>
      </w:r>
      <w:r w:rsidR="0070768E" w:rsidRPr="00D12A0C">
        <w:rPr>
          <w:rFonts w:ascii="Arial" w:eastAsia="Calibri" w:hAnsi="Arial" w:cs="Arial"/>
          <w:sz w:val="18"/>
          <w:szCs w:val="18"/>
        </w:rPr>
        <w:t>o</w:t>
      </w:r>
      <w:r w:rsidRPr="00D12A0C">
        <w:rPr>
          <w:rFonts w:ascii="Arial" w:eastAsia="Calibri" w:hAnsi="Arial" w:cs="Arial"/>
          <w:sz w:val="18"/>
          <w:szCs w:val="18"/>
        </w:rPr>
        <w:t xml:space="preserve"> se produljeni i smjenski rad, te rad subotom u Dječjem vrtiću i jaslicama Cavtat.</w:t>
      </w:r>
    </w:p>
    <w:p w14:paraId="02943514" w14:textId="77777777" w:rsidR="00A039EF" w:rsidRPr="00D12A0C" w:rsidRDefault="00A039EF" w:rsidP="00F12DCA">
      <w:pPr>
        <w:spacing w:after="0" w:line="240" w:lineRule="auto"/>
        <w:ind w:left="567"/>
        <w:jc w:val="both"/>
        <w:rPr>
          <w:rFonts w:ascii="Arial" w:eastAsia="Calibri" w:hAnsi="Arial" w:cs="Arial"/>
          <w:sz w:val="18"/>
          <w:szCs w:val="18"/>
        </w:rPr>
      </w:pPr>
    </w:p>
    <w:p w14:paraId="75121008" w14:textId="77777777" w:rsidR="00B07620" w:rsidRPr="00D12A0C" w:rsidRDefault="00B07620" w:rsidP="00F12DCA">
      <w:pPr>
        <w:autoSpaceDE w:val="0"/>
        <w:autoSpaceDN w:val="0"/>
        <w:adjustRightInd w:val="0"/>
        <w:spacing w:after="0" w:line="240" w:lineRule="auto"/>
        <w:ind w:left="567"/>
        <w:jc w:val="both"/>
        <w:rPr>
          <w:rFonts w:ascii="Arial" w:eastAsia="Calibri" w:hAnsi="Arial" w:cs="Arial"/>
          <w:sz w:val="18"/>
          <w:szCs w:val="18"/>
        </w:rPr>
      </w:pPr>
      <w:r w:rsidRPr="00D12A0C">
        <w:rPr>
          <w:rFonts w:ascii="Arial" w:eastAsia="Calibri" w:hAnsi="Arial" w:cs="Arial"/>
          <w:sz w:val="18"/>
          <w:szCs w:val="18"/>
        </w:rPr>
        <w:t>U projektnu aktivnost 1) Usluga produljenog i smjenskog radnog vremena Dječjeg vrtića Konavle (koji je uključivao i rad subotom) u sklopu projekta „Otvorimo južna vrata Lijepe naše“ k.b.: UP.02.2.2.08.0065 uključen je sljedeći broj djece:</w:t>
      </w:r>
    </w:p>
    <w:p w14:paraId="50FDFFA9" w14:textId="59EF12A6" w:rsidR="00B07620" w:rsidRPr="00D12A0C" w:rsidRDefault="00B07620" w:rsidP="00F12DCA">
      <w:pPr>
        <w:numPr>
          <w:ilvl w:val="0"/>
          <w:numId w:val="23"/>
        </w:numPr>
        <w:autoSpaceDE w:val="0"/>
        <w:autoSpaceDN w:val="0"/>
        <w:adjustRightInd w:val="0"/>
        <w:spacing w:after="0" w:line="240" w:lineRule="auto"/>
        <w:ind w:left="851" w:firstLine="284"/>
        <w:jc w:val="both"/>
        <w:rPr>
          <w:rFonts w:ascii="Arial" w:eastAsia="Calibri" w:hAnsi="Arial" w:cs="Arial"/>
          <w:b/>
          <w:sz w:val="18"/>
          <w:szCs w:val="18"/>
        </w:rPr>
      </w:pPr>
      <w:r w:rsidRPr="00D12A0C">
        <w:rPr>
          <w:rFonts w:ascii="Arial" w:eastAsia="Calibri" w:hAnsi="Arial" w:cs="Arial"/>
          <w:sz w:val="18"/>
          <w:szCs w:val="18"/>
        </w:rPr>
        <w:t>Uključivanje djece u usluge produljenog boravka - Broj uključene djece do 31.07.2021.</w:t>
      </w:r>
      <w:r w:rsidRPr="00D12A0C">
        <w:rPr>
          <w:rFonts w:ascii="Arial" w:eastAsia="Calibri" w:hAnsi="Arial" w:cs="Arial"/>
          <w:sz w:val="18"/>
          <w:szCs w:val="18"/>
        </w:rPr>
        <w:tab/>
        <w:t xml:space="preserve">-  </w:t>
      </w:r>
      <w:r w:rsidR="009C4959" w:rsidRPr="00D12A0C">
        <w:rPr>
          <w:rFonts w:ascii="Arial" w:eastAsia="Calibri" w:hAnsi="Arial" w:cs="Arial"/>
          <w:b/>
          <w:sz w:val="18"/>
          <w:szCs w:val="18"/>
        </w:rPr>
        <w:t>32</w:t>
      </w:r>
    </w:p>
    <w:p w14:paraId="3B45E0DE" w14:textId="77777777" w:rsidR="00B07620" w:rsidRPr="00D12A0C" w:rsidRDefault="00B07620" w:rsidP="00F12DCA">
      <w:pPr>
        <w:autoSpaceDE w:val="0"/>
        <w:autoSpaceDN w:val="0"/>
        <w:adjustRightInd w:val="0"/>
        <w:spacing w:after="0" w:line="240" w:lineRule="auto"/>
        <w:ind w:left="851" w:firstLine="284"/>
        <w:jc w:val="both"/>
        <w:rPr>
          <w:rFonts w:ascii="Arial" w:eastAsia="Calibri" w:hAnsi="Arial" w:cs="Arial"/>
          <w:sz w:val="18"/>
          <w:szCs w:val="18"/>
        </w:rPr>
      </w:pPr>
      <w:r w:rsidRPr="00D12A0C">
        <w:rPr>
          <w:rFonts w:ascii="Arial" w:eastAsia="Calibri" w:hAnsi="Arial" w:cs="Arial"/>
          <w:sz w:val="18"/>
          <w:szCs w:val="18"/>
        </w:rPr>
        <w:t>Praćenje korištenja i organiziranja ovoga programa vršilo se evidencijom u tablice (koje su u svakoj odgojnoj skupini) na način da roditelj najavi potrebu dan prije</w:t>
      </w:r>
    </w:p>
    <w:p w14:paraId="02D082C3" w14:textId="77777777" w:rsidR="00B07620" w:rsidRPr="00D12A0C" w:rsidRDefault="00B07620" w:rsidP="00F12DCA">
      <w:pPr>
        <w:numPr>
          <w:ilvl w:val="0"/>
          <w:numId w:val="23"/>
        </w:numPr>
        <w:autoSpaceDE w:val="0"/>
        <w:autoSpaceDN w:val="0"/>
        <w:adjustRightInd w:val="0"/>
        <w:spacing w:after="0" w:line="240" w:lineRule="auto"/>
        <w:ind w:left="851" w:firstLine="284"/>
        <w:jc w:val="both"/>
        <w:rPr>
          <w:rFonts w:ascii="Arial" w:eastAsia="Calibri" w:hAnsi="Arial" w:cs="Arial"/>
          <w:b/>
          <w:sz w:val="18"/>
          <w:szCs w:val="18"/>
        </w:rPr>
      </w:pPr>
      <w:r w:rsidRPr="00D12A0C">
        <w:rPr>
          <w:rFonts w:ascii="Arial" w:eastAsia="Calibri" w:hAnsi="Arial" w:cs="Arial"/>
          <w:sz w:val="18"/>
          <w:szCs w:val="18"/>
        </w:rPr>
        <w:t xml:space="preserve">Uključivanje djece u smjenski rad - Broj uključene djece do 31.07.2020. - </w:t>
      </w:r>
      <w:r w:rsidRPr="00D12A0C">
        <w:rPr>
          <w:rFonts w:ascii="Arial" w:eastAsia="Calibri" w:hAnsi="Arial" w:cs="Arial"/>
          <w:b/>
          <w:sz w:val="18"/>
          <w:szCs w:val="18"/>
        </w:rPr>
        <w:t>49</w:t>
      </w:r>
    </w:p>
    <w:p w14:paraId="14352BB7" w14:textId="77777777" w:rsidR="00B07620" w:rsidRPr="00D12A0C" w:rsidRDefault="00B07620" w:rsidP="00F12DCA">
      <w:pPr>
        <w:autoSpaceDE w:val="0"/>
        <w:autoSpaceDN w:val="0"/>
        <w:adjustRightInd w:val="0"/>
        <w:spacing w:after="0" w:line="240" w:lineRule="auto"/>
        <w:ind w:left="851" w:firstLine="284"/>
        <w:jc w:val="both"/>
        <w:rPr>
          <w:rFonts w:ascii="Arial" w:eastAsia="Calibri" w:hAnsi="Arial" w:cs="Arial"/>
          <w:sz w:val="18"/>
          <w:szCs w:val="18"/>
        </w:rPr>
      </w:pPr>
      <w:r w:rsidRPr="00D12A0C">
        <w:rPr>
          <w:rFonts w:ascii="Arial" w:eastAsia="Calibri" w:hAnsi="Arial" w:cs="Arial"/>
          <w:sz w:val="18"/>
          <w:szCs w:val="18"/>
        </w:rPr>
        <w:t>Praćenje korištenja i organiziranja ovoga programa vrši se također evidencijom u tablice (koje su u svakoj odgojnoj skupini) na način da roditelj najavi potrebu dan prije ili tjedan prije (ovisno je li potreba programa na dnevnoj ili tjednoj bazi).</w:t>
      </w:r>
    </w:p>
    <w:p w14:paraId="56DAB9CA" w14:textId="23397BA5" w:rsidR="00B07620" w:rsidRPr="00D12A0C" w:rsidRDefault="00B07620" w:rsidP="00F12DCA">
      <w:pPr>
        <w:numPr>
          <w:ilvl w:val="0"/>
          <w:numId w:val="23"/>
        </w:numPr>
        <w:autoSpaceDE w:val="0"/>
        <w:autoSpaceDN w:val="0"/>
        <w:adjustRightInd w:val="0"/>
        <w:spacing w:after="0" w:line="240" w:lineRule="auto"/>
        <w:ind w:left="851" w:firstLine="284"/>
        <w:jc w:val="both"/>
        <w:rPr>
          <w:rFonts w:ascii="Arial" w:eastAsia="Calibri" w:hAnsi="Arial" w:cs="Arial"/>
          <w:b/>
          <w:sz w:val="18"/>
          <w:szCs w:val="18"/>
        </w:rPr>
      </w:pPr>
      <w:r w:rsidRPr="00D12A0C">
        <w:rPr>
          <w:rFonts w:ascii="Arial" w:eastAsia="Calibri" w:hAnsi="Arial" w:cs="Arial"/>
          <w:sz w:val="18"/>
          <w:szCs w:val="18"/>
        </w:rPr>
        <w:t xml:space="preserve">Rad subotom (provodio se u objektu Cavtat) –Na početku projekta, broj prijavljene djece za potrebe rada subotom je bio </w:t>
      </w:r>
      <w:r w:rsidR="009C4959" w:rsidRPr="00D12A0C">
        <w:rPr>
          <w:rFonts w:ascii="Arial" w:eastAsia="Calibri" w:hAnsi="Arial" w:cs="Arial"/>
          <w:b/>
          <w:sz w:val="18"/>
          <w:szCs w:val="18"/>
        </w:rPr>
        <w:t>48</w:t>
      </w:r>
      <w:r w:rsidRPr="00D12A0C">
        <w:rPr>
          <w:rFonts w:ascii="Arial" w:eastAsia="Calibri" w:hAnsi="Arial" w:cs="Arial"/>
          <w:sz w:val="18"/>
          <w:szCs w:val="18"/>
        </w:rPr>
        <w:t xml:space="preserve"> . Za organizirati program subotom, vodio se popis najavljenih potreba te se sukladno tomu organizirao broj odgojno-obrazovnog i tehničkog osoblja te potreba nabavke namirnica.</w:t>
      </w:r>
    </w:p>
    <w:p w14:paraId="4B4A7B98" w14:textId="6306CBF0" w:rsidR="00B07620" w:rsidRPr="00D12A0C" w:rsidRDefault="00B07620" w:rsidP="00F12DCA">
      <w:pPr>
        <w:numPr>
          <w:ilvl w:val="0"/>
          <w:numId w:val="23"/>
        </w:numPr>
        <w:autoSpaceDE w:val="0"/>
        <w:autoSpaceDN w:val="0"/>
        <w:adjustRightInd w:val="0"/>
        <w:spacing w:after="0" w:line="240" w:lineRule="auto"/>
        <w:ind w:left="851" w:firstLine="284"/>
        <w:jc w:val="both"/>
        <w:rPr>
          <w:rFonts w:ascii="Arial" w:eastAsia="Calibri" w:hAnsi="Arial" w:cs="Arial"/>
          <w:b/>
          <w:sz w:val="18"/>
          <w:szCs w:val="18"/>
        </w:rPr>
      </w:pPr>
      <w:r w:rsidRPr="00D12A0C">
        <w:rPr>
          <w:rFonts w:ascii="Arial" w:eastAsia="Calibri" w:hAnsi="Arial" w:cs="Arial"/>
          <w:sz w:val="18"/>
          <w:szCs w:val="18"/>
        </w:rPr>
        <w:t xml:space="preserve">Broj stručnjaka uključenih u </w:t>
      </w:r>
      <w:r w:rsidR="00502844" w:rsidRPr="00D12A0C">
        <w:rPr>
          <w:rFonts w:ascii="Arial" w:eastAsia="Calibri" w:hAnsi="Arial" w:cs="Arial"/>
          <w:sz w:val="18"/>
          <w:szCs w:val="18"/>
        </w:rPr>
        <w:t>osposobljavanje</w:t>
      </w:r>
      <w:r w:rsidRPr="00D12A0C">
        <w:rPr>
          <w:rFonts w:ascii="Arial" w:eastAsia="Calibri" w:hAnsi="Arial" w:cs="Arial"/>
          <w:sz w:val="18"/>
          <w:szCs w:val="18"/>
        </w:rPr>
        <w:t xml:space="preserve"> </w:t>
      </w:r>
      <w:r w:rsidR="00502844" w:rsidRPr="00D12A0C">
        <w:rPr>
          <w:rFonts w:ascii="Arial" w:eastAsia="Calibri" w:hAnsi="Arial" w:cs="Arial"/>
          <w:sz w:val="18"/>
          <w:szCs w:val="18"/>
        </w:rPr>
        <w:t>–</w:t>
      </w:r>
      <w:r w:rsidRPr="00D12A0C">
        <w:rPr>
          <w:rFonts w:ascii="Arial" w:eastAsia="Calibri" w:hAnsi="Arial" w:cs="Arial"/>
          <w:sz w:val="18"/>
          <w:szCs w:val="18"/>
        </w:rPr>
        <w:t xml:space="preserve"> </w:t>
      </w:r>
      <w:r w:rsidRPr="00D12A0C">
        <w:rPr>
          <w:rFonts w:ascii="Arial" w:eastAsia="Calibri" w:hAnsi="Arial" w:cs="Arial"/>
          <w:b/>
          <w:sz w:val="18"/>
          <w:szCs w:val="18"/>
        </w:rPr>
        <w:t>61</w:t>
      </w:r>
      <w:r w:rsidR="00502844" w:rsidRPr="00D12A0C">
        <w:rPr>
          <w:rFonts w:ascii="Arial" w:eastAsia="Calibri" w:hAnsi="Arial" w:cs="Arial"/>
          <w:b/>
          <w:sz w:val="18"/>
          <w:szCs w:val="18"/>
        </w:rPr>
        <w:t>,</w:t>
      </w:r>
    </w:p>
    <w:p w14:paraId="03744353" w14:textId="3A68305B" w:rsidR="00B07620" w:rsidRPr="00D12A0C" w:rsidRDefault="00B07620" w:rsidP="00F12DCA">
      <w:pPr>
        <w:numPr>
          <w:ilvl w:val="0"/>
          <w:numId w:val="23"/>
        </w:numPr>
        <w:autoSpaceDE w:val="0"/>
        <w:autoSpaceDN w:val="0"/>
        <w:adjustRightInd w:val="0"/>
        <w:spacing w:after="0" w:line="240" w:lineRule="auto"/>
        <w:ind w:left="851" w:firstLine="284"/>
        <w:jc w:val="both"/>
        <w:rPr>
          <w:rFonts w:ascii="Arial" w:eastAsia="Calibri" w:hAnsi="Arial" w:cs="Arial"/>
          <w:b/>
          <w:sz w:val="18"/>
          <w:szCs w:val="18"/>
        </w:rPr>
      </w:pPr>
      <w:r w:rsidRPr="00D12A0C">
        <w:rPr>
          <w:rFonts w:ascii="Arial" w:eastAsia="Calibri" w:hAnsi="Arial" w:cs="Arial"/>
          <w:sz w:val="18"/>
          <w:szCs w:val="18"/>
        </w:rPr>
        <w:t xml:space="preserve">Broj odgojitelja i/ili stručnih suradnika zaposlenih kroz projekt </w:t>
      </w:r>
      <w:r w:rsidR="00502844" w:rsidRPr="00D12A0C">
        <w:rPr>
          <w:rFonts w:ascii="Arial" w:eastAsia="Calibri" w:hAnsi="Arial" w:cs="Arial"/>
          <w:sz w:val="18"/>
          <w:szCs w:val="18"/>
        </w:rPr>
        <w:t>–</w:t>
      </w:r>
      <w:r w:rsidRPr="00D12A0C">
        <w:rPr>
          <w:rFonts w:ascii="Arial" w:eastAsia="Calibri" w:hAnsi="Arial" w:cs="Arial"/>
          <w:sz w:val="18"/>
          <w:szCs w:val="18"/>
        </w:rPr>
        <w:t xml:space="preserve"> </w:t>
      </w:r>
      <w:r w:rsidR="00502844" w:rsidRPr="00D12A0C">
        <w:rPr>
          <w:rFonts w:ascii="Arial" w:eastAsia="Calibri" w:hAnsi="Arial" w:cs="Arial"/>
          <w:b/>
          <w:sz w:val="18"/>
          <w:szCs w:val="18"/>
        </w:rPr>
        <w:t>31.</w:t>
      </w:r>
    </w:p>
    <w:p w14:paraId="603B53CF" w14:textId="5F0B1087" w:rsidR="00B07620" w:rsidRPr="00D12A0C" w:rsidRDefault="00B07620" w:rsidP="003752B9">
      <w:pPr>
        <w:autoSpaceDE w:val="0"/>
        <w:autoSpaceDN w:val="0"/>
        <w:adjustRightInd w:val="0"/>
        <w:spacing w:after="0" w:line="240" w:lineRule="auto"/>
        <w:jc w:val="both"/>
        <w:rPr>
          <w:rFonts w:ascii="Arial" w:eastAsia="Calibri" w:hAnsi="Arial" w:cs="Arial"/>
          <w:sz w:val="20"/>
          <w:szCs w:val="20"/>
        </w:rPr>
      </w:pPr>
    </w:p>
    <w:p w14:paraId="6EFE71BA" w14:textId="363467F7" w:rsidR="00C97EC8" w:rsidRPr="00D12A0C" w:rsidRDefault="00DA17B5" w:rsidP="00C97EC8">
      <w:pPr>
        <w:autoSpaceDE w:val="0"/>
        <w:autoSpaceDN w:val="0"/>
        <w:adjustRightInd w:val="0"/>
        <w:spacing w:after="0" w:line="240" w:lineRule="auto"/>
        <w:jc w:val="both"/>
        <w:rPr>
          <w:rFonts w:ascii="Arial" w:eastAsia="Calibri" w:hAnsi="Arial" w:cs="Arial"/>
          <w:sz w:val="20"/>
          <w:szCs w:val="20"/>
        </w:rPr>
      </w:pPr>
      <w:r w:rsidRPr="00D12A0C">
        <w:rPr>
          <w:rFonts w:ascii="Arial" w:eastAsia="Calibri" w:hAnsi="Arial" w:cs="Arial"/>
          <w:b/>
          <w:sz w:val="20"/>
          <w:szCs w:val="20"/>
        </w:rPr>
        <w:t>1</w:t>
      </w:r>
      <w:r w:rsidR="002C5474" w:rsidRPr="00D12A0C">
        <w:rPr>
          <w:rFonts w:ascii="Arial" w:eastAsia="Calibri" w:hAnsi="Arial" w:cs="Arial"/>
          <w:b/>
          <w:sz w:val="20"/>
          <w:szCs w:val="20"/>
        </w:rPr>
        <w:t>1</w:t>
      </w:r>
      <w:r w:rsidRPr="00D12A0C">
        <w:rPr>
          <w:rFonts w:ascii="Arial" w:eastAsia="Calibri" w:hAnsi="Arial" w:cs="Arial"/>
          <w:b/>
          <w:sz w:val="20"/>
          <w:szCs w:val="20"/>
        </w:rPr>
        <w:t>. T205123: Dječji vrtić, unapređenje usluga „Otvorimo Južna vrata lijepe naše, II. Faza“</w:t>
      </w:r>
      <w:r w:rsidR="000D6EF9" w:rsidRPr="00D12A0C">
        <w:rPr>
          <w:rFonts w:ascii="Arial" w:eastAsia="Calibri" w:hAnsi="Arial" w:cs="Arial"/>
          <w:b/>
          <w:sz w:val="20"/>
          <w:szCs w:val="20"/>
        </w:rPr>
        <w:t xml:space="preserve"> – </w:t>
      </w:r>
      <w:r w:rsidR="00C97EC8" w:rsidRPr="00D12A0C">
        <w:rPr>
          <w:rFonts w:ascii="Arial" w:eastAsia="Calibri" w:hAnsi="Arial" w:cs="Arial"/>
          <w:sz w:val="20"/>
          <w:szCs w:val="20"/>
        </w:rPr>
        <w:t>Ovaj projekt, faza II je završena u 2023. godini.</w:t>
      </w:r>
    </w:p>
    <w:p w14:paraId="325DDB8A" w14:textId="77777777" w:rsidR="00C97EC8" w:rsidRPr="00D12A0C" w:rsidRDefault="00C97EC8" w:rsidP="00C97EC8">
      <w:pPr>
        <w:spacing w:after="0" w:line="240" w:lineRule="auto"/>
        <w:jc w:val="both"/>
        <w:rPr>
          <w:rFonts w:ascii="Arial" w:eastAsia="Calibri" w:hAnsi="Arial" w:cs="Arial"/>
          <w:sz w:val="20"/>
          <w:szCs w:val="20"/>
        </w:rPr>
      </w:pPr>
    </w:p>
    <w:p w14:paraId="3277A83B" w14:textId="756CBF20" w:rsidR="000D6EF9" w:rsidRPr="00F12DCA" w:rsidRDefault="000D6EF9" w:rsidP="00F12DCA">
      <w:pPr>
        <w:spacing w:after="0" w:line="240" w:lineRule="auto"/>
        <w:ind w:left="426"/>
        <w:jc w:val="both"/>
        <w:rPr>
          <w:rFonts w:ascii="Arial" w:eastAsia="Calibri" w:hAnsi="Arial" w:cs="Arial"/>
          <w:sz w:val="18"/>
          <w:szCs w:val="18"/>
        </w:rPr>
      </w:pPr>
      <w:r w:rsidRPr="00F12DCA">
        <w:rPr>
          <w:rFonts w:ascii="Arial" w:eastAsia="Calibri" w:hAnsi="Arial" w:cs="Arial"/>
          <w:sz w:val="18"/>
          <w:szCs w:val="18"/>
        </w:rPr>
        <w:t xml:space="preserve">Ugovor za „Nastavak unapređenja usluga za djecu u sustavu ranog i predškolskog odgoja i obrazovanja“ u sklopu ESF Operativnog programa „Učinkoviti ljudski potencijali 2014.-2020.“ zaključen je u </w:t>
      </w:r>
      <w:r w:rsidR="007B185A" w:rsidRPr="00F12DCA">
        <w:rPr>
          <w:rFonts w:ascii="Arial" w:eastAsia="Calibri" w:hAnsi="Arial" w:cs="Arial"/>
          <w:sz w:val="18"/>
          <w:szCs w:val="18"/>
        </w:rPr>
        <w:t>prosincu</w:t>
      </w:r>
      <w:r w:rsidRPr="00F12DCA">
        <w:rPr>
          <w:rFonts w:ascii="Arial" w:eastAsia="Calibri" w:hAnsi="Arial" w:cs="Arial"/>
          <w:sz w:val="18"/>
          <w:szCs w:val="18"/>
        </w:rPr>
        <w:t xml:space="preserve"> 20</w:t>
      </w:r>
      <w:r w:rsidR="007B185A" w:rsidRPr="00F12DCA">
        <w:rPr>
          <w:rFonts w:ascii="Arial" w:eastAsia="Calibri" w:hAnsi="Arial" w:cs="Arial"/>
          <w:sz w:val="18"/>
          <w:szCs w:val="18"/>
        </w:rPr>
        <w:t>21</w:t>
      </w:r>
      <w:r w:rsidRPr="00F12DCA">
        <w:rPr>
          <w:rFonts w:ascii="Arial" w:eastAsia="Calibri" w:hAnsi="Arial" w:cs="Arial"/>
          <w:sz w:val="18"/>
          <w:szCs w:val="18"/>
        </w:rPr>
        <w:t xml:space="preserve">. s Ministarstvom </w:t>
      </w:r>
      <w:r w:rsidR="007B185A" w:rsidRPr="00F12DCA">
        <w:rPr>
          <w:rFonts w:ascii="Arial" w:eastAsia="Calibri" w:hAnsi="Arial" w:cs="Arial"/>
          <w:sz w:val="18"/>
          <w:szCs w:val="18"/>
        </w:rPr>
        <w:t>rada, mirovinskog sustav, obitelji i socijalne politike</w:t>
      </w:r>
      <w:r w:rsidRPr="00F12DCA">
        <w:rPr>
          <w:rFonts w:ascii="Arial" w:eastAsia="Calibri" w:hAnsi="Arial" w:cs="Arial"/>
          <w:sz w:val="18"/>
          <w:szCs w:val="18"/>
        </w:rPr>
        <w:t xml:space="preserve"> i Hrvatskim zavodom za zapošljavanje. Projektom su bila </w:t>
      </w:r>
      <w:r w:rsidR="00C97EC8" w:rsidRPr="00F12DCA">
        <w:rPr>
          <w:rFonts w:ascii="Arial" w:eastAsia="Calibri" w:hAnsi="Arial" w:cs="Arial"/>
          <w:sz w:val="18"/>
          <w:szCs w:val="18"/>
        </w:rPr>
        <w:t xml:space="preserve">odobrena </w:t>
      </w:r>
      <w:r w:rsidRPr="00F12DCA">
        <w:rPr>
          <w:rFonts w:ascii="Arial" w:eastAsia="Calibri" w:hAnsi="Arial" w:cs="Arial"/>
          <w:sz w:val="18"/>
          <w:szCs w:val="18"/>
        </w:rPr>
        <w:t xml:space="preserve">bespovratna sredstva u iznosu max </w:t>
      </w:r>
      <w:r w:rsidR="007B185A" w:rsidRPr="00F12DCA">
        <w:rPr>
          <w:rFonts w:ascii="Arial" w:eastAsia="Calibri" w:hAnsi="Arial" w:cs="Arial"/>
          <w:sz w:val="18"/>
          <w:szCs w:val="18"/>
        </w:rPr>
        <w:t>4.549.946,58</w:t>
      </w:r>
      <w:r w:rsidRPr="00F12DCA">
        <w:rPr>
          <w:rFonts w:ascii="Arial" w:eastAsia="Calibri" w:hAnsi="Arial" w:cs="Arial"/>
          <w:sz w:val="18"/>
          <w:szCs w:val="18"/>
        </w:rPr>
        <w:t xml:space="preserve"> kn</w:t>
      </w:r>
      <w:r w:rsidR="00710DC1" w:rsidRPr="00F12DCA">
        <w:rPr>
          <w:rFonts w:ascii="Arial" w:eastAsia="Calibri" w:hAnsi="Arial" w:cs="Arial"/>
          <w:sz w:val="18"/>
          <w:szCs w:val="18"/>
        </w:rPr>
        <w:t xml:space="preserve"> (603.881,67 €)</w:t>
      </w:r>
      <w:r w:rsidRPr="00F12DCA">
        <w:rPr>
          <w:rFonts w:ascii="Arial" w:eastAsia="Calibri" w:hAnsi="Arial" w:cs="Arial"/>
          <w:sz w:val="18"/>
          <w:szCs w:val="18"/>
        </w:rPr>
        <w:t>, a projekt</w:t>
      </w:r>
      <w:r w:rsidR="003D6583" w:rsidRPr="00F12DCA">
        <w:rPr>
          <w:rFonts w:ascii="Arial" w:eastAsia="Calibri" w:hAnsi="Arial" w:cs="Arial"/>
          <w:sz w:val="18"/>
          <w:szCs w:val="18"/>
        </w:rPr>
        <w:t xml:space="preserve"> je</w:t>
      </w:r>
      <w:r w:rsidRPr="00F12DCA">
        <w:rPr>
          <w:rFonts w:ascii="Arial" w:eastAsia="Calibri" w:hAnsi="Arial" w:cs="Arial"/>
          <w:sz w:val="18"/>
          <w:szCs w:val="18"/>
        </w:rPr>
        <w:t xml:space="preserve"> traj</w:t>
      </w:r>
      <w:r w:rsidR="003D6583" w:rsidRPr="00F12DCA">
        <w:rPr>
          <w:rFonts w:ascii="Arial" w:eastAsia="Calibri" w:hAnsi="Arial" w:cs="Arial"/>
          <w:sz w:val="18"/>
          <w:szCs w:val="18"/>
        </w:rPr>
        <w:t>ao</w:t>
      </w:r>
      <w:r w:rsidRPr="00F12DCA">
        <w:rPr>
          <w:rFonts w:ascii="Arial" w:eastAsia="Calibri" w:hAnsi="Arial" w:cs="Arial"/>
          <w:sz w:val="18"/>
          <w:szCs w:val="18"/>
        </w:rPr>
        <w:t xml:space="preserve"> </w:t>
      </w:r>
      <w:r w:rsidR="007B185A" w:rsidRPr="00F12DCA">
        <w:rPr>
          <w:rFonts w:ascii="Arial" w:eastAsia="Calibri" w:hAnsi="Arial" w:cs="Arial"/>
          <w:sz w:val="18"/>
          <w:szCs w:val="18"/>
        </w:rPr>
        <w:t>2</w:t>
      </w:r>
      <w:r w:rsidRPr="00F12DCA">
        <w:rPr>
          <w:rFonts w:ascii="Arial" w:eastAsia="Calibri" w:hAnsi="Arial" w:cs="Arial"/>
          <w:sz w:val="18"/>
          <w:szCs w:val="18"/>
        </w:rPr>
        <w:t xml:space="preserve">0 mjeseci (počevši danom potpisivanja ugovora, pa do </w:t>
      </w:r>
      <w:r w:rsidR="007B185A" w:rsidRPr="00F12DCA">
        <w:rPr>
          <w:rFonts w:ascii="Arial" w:eastAsia="Calibri" w:hAnsi="Arial" w:cs="Arial"/>
          <w:sz w:val="18"/>
          <w:szCs w:val="18"/>
        </w:rPr>
        <w:t>23.8.</w:t>
      </w:r>
      <w:r w:rsidRPr="00F12DCA">
        <w:rPr>
          <w:rFonts w:ascii="Arial" w:eastAsia="Calibri" w:hAnsi="Arial" w:cs="Arial"/>
          <w:sz w:val="18"/>
          <w:szCs w:val="18"/>
        </w:rPr>
        <w:t>202</w:t>
      </w:r>
      <w:r w:rsidR="007B185A" w:rsidRPr="00F12DCA">
        <w:rPr>
          <w:rFonts w:ascii="Arial" w:eastAsia="Calibri" w:hAnsi="Arial" w:cs="Arial"/>
          <w:sz w:val="18"/>
          <w:szCs w:val="18"/>
        </w:rPr>
        <w:t>3</w:t>
      </w:r>
      <w:r w:rsidRPr="00F12DCA">
        <w:rPr>
          <w:rFonts w:ascii="Arial" w:eastAsia="Calibri" w:hAnsi="Arial" w:cs="Arial"/>
          <w:sz w:val="18"/>
          <w:szCs w:val="18"/>
        </w:rPr>
        <w:t xml:space="preserve">.). </w:t>
      </w:r>
    </w:p>
    <w:p w14:paraId="7450BC64" w14:textId="77777777" w:rsidR="002144A7" w:rsidRPr="00F12DCA" w:rsidRDefault="002144A7" w:rsidP="00F12DCA">
      <w:pPr>
        <w:autoSpaceDE w:val="0"/>
        <w:autoSpaceDN w:val="0"/>
        <w:adjustRightInd w:val="0"/>
        <w:spacing w:after="0" w:line="240" w:lineRule="auto"/>
        <w:ind w:left="426"/>
        <w:jc w:val="both"/>
        <w:rPr>
          <w:rFonts w:ascii="Arial" w:eastAsia="Calibri" w:hAnsi="Arial" w:cs="Arial"/>
          <w:sz w:val="18"/>
          <w:szCs w:val="18"/>
        </w:rPr>
      </w:pPr>
    </w:p>
    <w:p w14:paraId="249C4DDE" w14:textId="327B0DB0" w:rsidR="00DA17B5" w:rsidRPr="00F12DCA" w:rsidRDefault="00C97EC8" w:rsidP="00F12DCA">
      <w:pPr>
        <w:autoSpaceDE w:val="0"/>
        <w:autoSpaceDN w:val="0"/>
        <w:adjustRightInd w:val="0"/>
        <w:spacing w:after="0" w:line="240" w:lineRule="auto"/>
        <w:ind w:left="426"/>
        <w:jc w:val="both"/>
        <w:rPr>
          <w:rFonts w:ascii="Arial" w:eastAsia="Calibri" w:hAnsi="Arial" w:cs="Arial"/>
          <w:sz w:val="18"/>
          <w:szCs w:val="18"/>
        </w:rPr>
      </w:pPr>
      <w:r w:rsidRPr="00F12DCA">
        <w:rPr>
          <w:rFonts w:ascii="Arial" w:eastAsia="Calibri" w:hAnsi="Arial" w:cs="Arial"/>
          <w:sz w:val="18"/>
          <w:szCs w:val="18"/>
        </w:rPr>
        <w:t xml:space="preserve">Konačno odobrena sredstva prema završnom izvješću iznose 219.055,33 €. </w:t>
      </w:r>
      <w:r w:rsidR="00685F1A" w:rsidRPr="00F12DCA">
        <w:rPr>
          <w:rFonts w:ascii="Arial" w:eastAsia="Calibri" w:hAnsi="Arial" w:cs="Arial"/>
          <w:sz w:val="18"/>
          <w:szCs w:val="18"/>
        </w:rPr>
        <w:t>U sklop</w:t>
      </w:r>
      <w:r w:rsidRPr="00F12DCA">
        <w:rPr>
          <w:rFonts w:ascii="Arial" w:eastAsia="Calibri" w:hAnsi="Arial" w:cs="Arial"/>
          <w:sz w:val="18"/>
          <w:szCs w:val="18"/>
        </w:rPr>
        <w:t>u</w:t>
      </w:r>
      <w:r w:rsidR="00685F1A" w:rsidRPr="00F12DCA">
        <w:rPr>
          <w:rFonts w:ascii="Arial" w:eastAsia="Calibri" w:hAnsi="Arial" w:cs="Arial"/>
          <w:sz w:val="18"/>
          <w:szCs w:val="18"/>
        </w:rPr>
        <w:t xml:space="preserve"> Projekta provodi</w:t>
      </w:r>
      <w:r w:rsidR="00710DC1" w:rsidRPr="00F12DCA">
        <w:rPr>
          <w:rFonts w:ascii="Arial" w:eastAsia="Calibri" w:hAnsi="Arial" w:cs="Arial"/>
          <w:sz w:val="18"/>
          <w:szCs w:val="18"/>
        </w:rPr>
        <w:t>o</w:t>
      </w:r>
      <w:r w:rsidR="00685F1A" w:rsidRPr="00F12DCA">
        <w:rPr>
          <w:rFonts w:ascii="Arial" w:eastAsia="Calibri" w:hAnsi="Arial" w:cs="Arial"/>
          <w:sz w:val="18"/>
          <w:szCs w:val="18"/>
        </w:rPr>
        <w:t xml:space="preserve"> se produljeni rad, te rad subotom u Dječjem vrtiću i jaslicama Cavtat, Dječjem vrtiću „Katićan“ Čilipi i Dječjem vrtiću i jaslicama Gruda</w:t>
      </w:r>
    </w:p>
    <w:p w14:paraId="4AC93FD1" w14:textId="77777777" w:rsidR="00080510" w:rsidRPr="00F12DCA" w:rsidRDefault="00080510" w:rsidP="00F12DCA">
      <w:pPr>
        <w:autoSpaceDE w:val="0"/>
        <w:autoSpaceDN w:val="0"/>
        <w:adjustRightInd w:val="0"/>
        <w:spacing w:after="0" w:line="240" w:lineRule="auto"/>
        <w:ind w:left="426"/>
        <w:jc w:val="both"/>
        <w:rPr>
          <w:rFonts w:ascii="Arial" w:eastAsia="Calibri" w:hAnsi="Arial" w:cs="Arial"/>
          <w:sz w:val="18"/>
          <w:szCs w:val="18"/>
        </w:rPr>
      </w:pPr>
    </w:p>
    <w:p w14:paraId="1D562FF5" w14:textId="20D2335A" w:rsidR="00DB2BDC" w:rsidRPr="00F12DCA" w:rsidRDefault="00530106" w:rsidP="00F12DCA">
      <w:pPr>
        <w:autoSpaceDE w:val="0"/>
        <w:autoSpaceDN w:val="0"/>
        <w:adjustRightInd w:val="0"/>
        <w:spacing w:after="0" w:line="240" w:lineRule="auto"/>
        <w:ind w:left="426"/>
        <w:jc w:val="both"/>
        <w:rPr>
          <w:rFonts w:ascii="Arial" w:eastAsia="Calibri" w:hAnsi="Arial" w:cs="Arial"/>
          <w:sz w:val="18"/>
          <w:szCs w:val="18"/>
        </w:rPr>
      </w:pPr>
      <w:r w:rsidRPr="00F12DCA">
        <w:rPr>
          <w:rFonts w:ascii="Arial" w:eastAsia="Calibri" w:hAnsi="Arial" w:cs="Arial"/>
          <w:sz w:val="18"/>
          <w:szCs w:val="18"/>
        </w:rPr>
        <w:t xml:space="preserve">Broj djece uključene u uslugu produljenog radnog vremena vrtića: </w:t>
      </w:r>
      <w:r w:rsidR="00080510" w:rsidRPr="00F12DCA">
        <w:rPr>
          <w:rFonts w:ascii="Arial" w:eastAsia="Calibri" w:hAnsi="Arial" w:cs="Arial"/>
          <w:sz w:val="18"/>
          <w:szCs w:val="18"/>
        </w:rPr>
        <w:t>75</w:t>
      </w:r>
    </w:p>
    <w:p w14:paraId="125D46EF" w14:textId="0C92E97B" w:rsidR="00530106" w:rsidRPr="00F12DCA" w:rsidRDefault="00530106" w:rsidP="00F12DCA">
      <w:pPr>
        <w:autoSpaceDE w:val="0"/>
        <w:autoSpaceDN w:val="0"/>
        <w:adjustRightInd w:val="0"/>
        <w:spacing w:after="0" w:line="240" w:lineRule="auto"/>
        <w:ind w:left="426"/>
        <w:jc w:val="both"/>
        <w:rPr>
          <w:rFonts w:ascii="Arial" w:eastAsia="Calibri" w:hAnsi="Arial" w:cs="Arial"/>
          <w:sz w:val="18"/>
          <w:szCs w:val="18"/>
        </w:rPr>
      </w:pPr>
      <w:r w:rsidRPr="00F12DCA">
        <w:rPr>
          <w:rFonts w:ascii="Arial" w:eastAsia="Calibri" w:hAnsi="Arial" w:cs="Arial"/>
          <w:sz w:val="18"/>
          <w:szCs w:val="18"/>
        </w:rPr>
        <w:t xml:space="preserve">Broj odgojiteljica, stručnih suradnika, zaposlenih u projektu: </w:t>
      </w:r>
      <w:r w:rsidR="00080510" w:rsidRPr="00F12DCA">
        <w:rPr>
          <w:rFonts w:ascii="Arial" w:eastAsia="Calibri" w:hAnsi="Arial" w:cs="Arial"/>
          <w:sz w:val="18"/>
          <w:szCs w:val="18"/>
        </w:rPr>
        <w:t>13</w:t>
      </w:r>
    </w:p>
    <w:p w14:paraId="25C44920" w14:textId="7A120ABF" w:rsidR="00530106" w:rsidRPr="00F12DCA" w:rsidRDefault="00080510" w:rsidP="00F12DCA">
      <w:pPr>
        <w:autoSpaceDE w:val="0"/>
        <w:autoSpaceDN w:val="0"/>
        <w:adjustRightInd w:val="0"/>
        <w:spacing w:after="0" w:line="240" w:lineRule="auto"/>
        <w:ind w:left="426"/>
        <w:jc w:val="both"/>
        <w:rPr>
          <w:rFonts w:ascii="Arial" w:eastAsia="Calibri" w:hAnsi="Arial" w:cs="Arial"/>
          <w:sz w:val="18"/>
          <w:szCs w:val="18"/>
        </w:rPr>
      </w:pPr>
      <w:r w:rsidRPr="00F12DCA">
        <w:rPr>
          <w:rFonts w:ascii="Arial" w:eastAsia="Calibri" w:hAnsi="Arial" w:cs="Arial"/>
          <w:sz w:val="18"/>
          <w:szCs w:val="18"/>
        </w:rPr>
        <w:t>Broj stručnjaka koji sudjeluju u osposobljavanju: 44</w:t>
      </w:r>
    </w:p>
    <w:p w14:paraId="478A6277" w14:textId="5066207D" w:rsidR="00080510" w:rsidRPr="00F12DCA" w:rsidRDefault="00080510" w:rsidP="00F12DCA">
      <w:pPr>
        <w:autoSpaceDE w:val="0"/>
        <w:autoSpaceDN w:val="0"/>
        <w:adjustRightInd w:val="0"/>
        <w:spacing w:after="0" w:line="240" w:lineRule="auto"/>
        <w:ind w:left="426"/>
        <w:jc w:val="both"/>
        <w:rPr>
          <w:rFonts w:ascii="Arial" w:eastAsia="Calibri" w:hAnsi="Arial" w:cs="Arial"/>
          <w:sz w:val="18"/>
          <w:szCs w:val="18"/>
        </w:rPr>
      </w:pPr>
      <w:r w:rsidRPr="00F12DCA">
        <w:rPr>
          <w:rFonts w:ascii="Arial" w:eastAsia="Calibri" w:hAnsi="Arial" w:cs="Arial"/>
          <w:sz w:val="18"/>
          <w:szCs w:val="18"/>
        </w:rPr>
        <w:t>Broj stručnjaka osposobljenih u području socijalnih usluga: 44</w:t>
      </w:r>
    </w:p>
    <w:p w14:paraId="4372A30C" w14:textId="4F20E167" w:rsidR="00080510" w:rsidRPr="00F12DCA" w:rsidRDefault="00080510" w:rsidP="00F12DCA">
      <w:pPr>
        <w:autoSpaceDE w:val="0"/>
        <w:autoSpaceDN w:val="0"/>
        <w:adjustRightInd w:val="0"/>
        <w:spacing w:after="0" w:line="240" w:lineRule="auto"/>
        <w:ind w:left="426"/>
        <w:jc w:val="both"/>
        <w:rPr>
          <w:rFonts w:ascii="Arial" w:eastAsia="Calibri" w:hAnsi="Arial" w:cs="Arial"/>
          <w:sz w:val="18"/>
          <w:szCs w:val="18"/>
        </w:rPr>
      </w:pPr>
      <w:r w:rsidRPr="00F12DCA">
        <w:rPr>
          <w:rFonts w:ascii="Arial" w:eastAsia="Calibri" w:hAnsi="Arial" w:cs="Arial"/>
          <w:sz w:val="18"/>
          <w:szCs w:val="18"/>
        </w:rPr>
        <w:t>Broj pružatelja socijalnih usluga koji provode projekt: 1</w:t>
      </w:r>
    </w:p>
    <w:p w14:paraId="6F5A0A0A" w14:textId="77777777" w:rsidR="00080510" w:rsidRPr="00D12A0C" w:rsidRDefault="00080510" w:rsidP="003752B9">
      <w:pPr>
        <w:autoSpaceDE w:val="0"/>
        <w:autoSpaceDN w:val="0"/>
        <w:adjustRightInd w:val="0"/>
        <w:spacing w:after="0" w:line="240" w:lineRule="auto"/>
        <w:jc w:val="both"/>
        <w:rPr>
          <w:rFonts w:ascii="Arial" w:eastAsia="Calibri" w:hAnsi="Arial" w:cs="Arial"/>
          <w:sz w:val="20"/>
          <w:szCs w:val="20"/>
        </w:rPr>
      </w:pPr>
    </w:p>
    <w:p w14:paraId="65CEA172" w14:textId="50AD244B" w:rsidR="003752B9" w:rsidRPr="00D12A0C" w:rsidRDefault="003752B9" w:rsidP="003752B9">
      <w:pPr>
        <w:autoSpaceDE w:val="0"/>
        <w:autoSpaceDN w:val="0"/>
        <w:adjustRightInd w:val="0"/>
        <w:spacing w:after="0" w:line="240" w:lineRule="auto"/>
        <w:jc w:val="both"/>
        <w:rPr>
          <w:rFonts w:ascii="Arial" w:eastAsia="Calibri" w:hAnsi="Arial" w:cs="Arial"/>
          <w:sz w:val="20"/>
          <w:szCs w:val="20"/>
        </w:rPr>
      </w:pPr>
      <w:r w:rsidRPr="00D12A0C">
        <w:rPr>
          <w:rFonts w:ascii="Arial" w:eastAsia="Calibri" w:hAnsi="Arial" w:cs="Arial"/>
          <w:sz w:val="20"/>
          <w:szCs w:val="20"/>
        </w:rPr>
        <w:t xml:space="preserve">Aktivnosti vezane uz opće ciljeve postignute su sukladno postocima izvršenja i u skladu s očekivanom dinamikom izvršenja rashoda. </w:t>
      </w:r>
      <w:r w:rsidRPr="00D12A0C">
        <w:rPr>
          <w:rFonts w:ascii="Arial" w:eastAsia="Calibri" w:hAnsi="Arial" w:cs="Arial"/>
          <w:sz w:val="20"/>
          <w:szCs w:val="20"/>
        </w:rPr>
        <w:br w:type="page"/>
      </w:r>
    </w:p>
    <w:p w14:paraId="43148A26" w14:textId="77777777" w:rsidR="003752B9" w:rsidRPr="00D12A0C" w:rsidRDefault="003752B9" w:rsidP="003752B9">
      <w:pPr>
        <w:spacing w:after="0" w:line="240" w:lineRule="auto"/>
        <w:rPr>
          <w:rFonts w:ascii="Arial" w:eastAsia="Calibri" w:hAnsi="Arial" w:cs="Arial"/>
          <w:b/>
          <w:sz w:val="20"/>
          <w:szCs w:val="20"/>
          <w:u w:val="single"/>
        </w:rPr>
      </w:pPr>
      <w:r w:rsidRPr="00D12A0C">
        <w:rPr>
          <w:rFonts w:ascii="Arial" w:eastAsia="Calibri" w:hAnsi="Arial" w:cs="Arial"/>
          <w:b/>
          <w:sz w:val="20"/>
          <w:szCs w:val="20"/>
          <w:u w:val="single"/>
        </w:rPr>
        <w:lastRenderedPageBreak/>
        <w:t xml:space="preserve">POKAZATELJI USPJEŠNOSTI </w:t>
      </w:r>
    </w:p>
    <w:p w14:paraId="0604B7B0" w14:textId="77777777" w:rsidR="003752B9" w:rsidRPr="00D12A0C" w:rsidRDefault="003752B9" w:rsidP="003752B9">
      <w:pPr>
        <w:spacing w:after="0" w:line="240" w:lineRule="auto"/>
        <w:rPr>
          <w:rFonts w:ascii="Arial" w:eastAsia="Calibri" w:hAnsi="Arial" w:cs="Arial"/>
          <w:sz w:val="20"/>
          <w:szCs w:val="20"/>
        </w:rPr>
      </w:pPr>
    </w:p>
    <w:p w14:paraId="7E079348" w14:textId="77777777" w:rsidR="003752B9" w:rsidRPr="00D12A0C" w:rsidRDefault="003752B9" w:rsidP="003752B9">
      <w:pPr>
        <w:spacing w:after="0" w:line="240" w:lineRule="auto"/>
        <w:jc w:val="both"/>
        <w:rPr>
          <w:rFonts w:ascii="Arial" w:eastAsia="Calibri" w:hAnsi="Arial" w:cs="Arial"/>
          <w:sz w:val="20"/>
          <w:szCs w:val="20"/>
        </w:rPr>
      </w:pPr>
      <w:r w:rsidRPr="00D12A0C">
        <w:rPr>
          <w:rFonts w:ascii="Arial" w:eastAsia="Calibri" w:hAnsi="Arial" w:cs="Arial"/>
          <w:sz w:val="20"/>
          <w:szCs w:val="20"/>
        </w:rPr>
        <w:t>Dječji vrtić Konavle je predškolska ustanova u kojoj se provode organizirani oblici izvanobiteljskog odgojno-obrazovnog rada s djecom rane i predškolske dobi. Predškolski odgoj ostvaruje se u skladu s razvojnim osobinama i potrebama djece te socijalnim, kulturnim, vjerskim i drugim potrebama obitelji.</w:t>
      </w:r>
    </w:p>
    <w:p w14:paraId="03AA21C7" w14:textId="77777777" w:rsidR="003752B9" w:rsidRPr="00D12A0C" w:rsidRDefault="003752B9" w:rsidP="003752B9">
      <w:pPr>
        <w:spacing w:after="0" w:line="240" w:lineRule="auto"/>
        <w:rPr>
          <w:rFonts w:ascii="Arial" w:eastAsia="Calibri" w:hAnsi="Arial" w:cs="Arial"/>
          <w:b/>
          <w:sz w:val="20"/>
          <w:szCs w:val="20"/>
          <w:lang w:eastAsia="en-US"/>
        </w:rPr>
      </w:pPr>
    </w:p>
    <w:p w14:paraId="30DE8312" w14:textId="77777777" w:rsidR="003752B9" w:rsidRPr="00D12A0C" w:rsidRDefault="003752B9" w:rsidP="003752B9">
      <w:pPr>
        <w:spacing w:after="0" w:line="240" w:lineRule="auto"/>
        <w:rPr>
          <w:rFonts w:ascii="Arial" w:eastAsia="Calibri" w:hAnsi="Arial" w:cs="Arial"/>
          <w:b/>
          <w:sz w:val="20"/>
          <w:szCs w:val="20"/>
          <w:u w:val="single"/>
          <w:lang w:eastAsia="en-US"/>
        </w:rPr>
      </w:pPr>
      <w:r w:rsidRPr="00D12A0C">
        <w:rPr>
          <w:rFonts w:ascii="Arial" w:eastAsia="Calibri" w:hAnsi="Arial" w:cs="Arial"/>
          <w:b/>
          <w:sz w:val="20"/>
          <w:szCs w:val="20"/>
          <w:u w:val="single"/>
          <w:lang w:eastAsia="en-US"/>
        </w:rPr>
        <w:t>CILJ: Obogaćivanje redovitog vrtićkog programa novim sadržajima</w:t>
      </w:r>
    </w:p>
    <w:p w14:paraId="635710B8" w14:textId="77777777" w:rsidR="003752B9" w:rsidRPr="00D12A0C" w:rsidRDefault="003752B9" w:rsidP="003752B9">
      <w:pPr>
        <w:spacing w:after="0" w:line="240" w:lineRule="auto"/>
        <w:rPr>
          <w:rFonts w:ascii="Arial" w:eastAsia="Calibri" w:hAnsi="Arial" w:cs="Arial"/>
          <w:sz w:val="20"/>
          <w:szCs w:val="20"/>
          <w:lang w:eastAsia="en-US"/>
        </w:rPr>
      </w:pPr>
    </w:p>
    <w:p w14:paraId="4E793FAC" w14:textId="77777777" w:rsidR="002D348D" w:rsidRPr="00D12A0C" w:rsidRDefault="002D348D" w:rsidP="002D348D">
      <w:pPr>
        <w:spacing w:after="0" w:line="240" w:lineRule="auto"/>
        <w:rPr>
          <w:rFonts w:ascii="Arial" w:eastAsia="Calibri" w:hAnsi="Arial" w:cs="Arial"/>
          <w:sz w:val="20"/>
          <w:szCs w:val="20"/>
        </w:rPr>
      </w:pPr>
      <w:r w:rsidRPr="00D12A0C">
        <w:rPr>
          <w:rFonts w:ascii="Arial" w:eastAsia="Calibri" w:hAnsi="Arial" w:cs="Arial"/>
          <w:sz w:val="20"/>
          <w:szCs w:val="20"/>
        </w:rPr>
        <w:t>Posebni programi integrirani u redoviti program omogućavaju djeci dodatni razvoj kreativnosti i pripadnosti svome okruženju:</w:t>
      </w:r>
    </w:p>
    <w:p w14:paraId="1C8C99F4" w14:textId="23185BC5" w:rsidR="002D348D" w:rsidRPr="00D12A0C" w:rsidRDefault="002D348D" w:rsidP="002C5474">
      <w:pPr>
        <w:numPr>
          <w:ilvl w:val="0"/>
          <w:numId w:val="15"/>
        </w:numPr>
        <w:spacing w:after="0" w:line="240" w:lineRule="auto"/>
        <w:jc w:val="both"/>
        <w:rPr>
          <w:rFonts w:ascii="Arial" w:eastAsia="Calibri" w:hAnsi="Arial" w:cs="Arial"/>
          <w:bCs/>
          <w:sz w:val="20"/>
          <w:szCs w:val="20"/>
        </w:rPr>
      </w:pPr>
      <w:r w:rsidRPr="00D12A0C">
        <w:rPr>
          <w:rFonts w:ascii="Arial" w:eastAsia="Calibri" w:hAnsi="Arial" w:cs="Arial"/>
          <w:bCs/>
          <w:sz w:val="20"/>
          <w:szCs w:val="20"/>
        </w:rPr>
        <w:t>Posebni program upoznavanja i očuvanja tradicijske baštine „Igrom do baštine” u sklopu cjelodnevnog programa vrtića (suglasnost Ministarstva znanosti, obrazovanja i sporta KLASA:601-02/15-3/01370, URBROJ:533-25-16-0009 od 30. svibnja 2016.g) koristila je jedna skupina djece u Dječjem vrtiću i jaslicama Cavtat</w:t>
      </w:r>
    </w:p>
    <w:p w14:paraId="484F3271" w14:textId="1D30A400" w:rsidR="002D348D" w:rsidRPr="00D12A0C" w:rsidRDefault="002D348D" w:rsidP="002C5474">
      <w:pPr>
        <w:numPr>
          <w:ilvl w:val="0"/>
          <w:numId w:val="15"/>
        </w:numPr>
        <w:spacing w:after="0" w:line="240" w:lineRule="auto"/>
        <w:jc w:val="both"/>
        <w:rPr>
          <w:rFonts w:ascii="Arial" w:eastAsia="Calibri" w:hAnsi="Arial" w:cs="Arial"/>
          <w:bCs/>
          <w:sz w:val="20"/>
          <w:szCs w:val="20"/>
        </w:rPr>
      </w:pPr>
      <w:r w:rsidRPr="00D12A0C">
        <w:rPr>
          <w:rFonts w:ascii="Arial" w:eastAsia="Calibri" w:hAnsi="Arial" w:cs="Arial"/>
          <w:sz w:val="20"/>
          <w:szCs w:val="20"/>
        </w:rPr>
        <w:t>Posebni glazbeni program integriran u redovni program (suglasnost Ministarstva znanosti, obrazovanja i sporta KLASA:601-02/16-3/00170, URBROJ:533-25-16-0004 od 14. travnja 2016.g) koristile su dvije skupine djece u izdvojenom prostoru Marijin dom u Cavtatu</w:t>
      </w:r>
    </w:p>
    <w:p w14:paraId="4E312585" w14:textId="77777777" w:rsidR="002D348D" w:rsidRPr="00D12A0C" w:rsidRDefault="002D348D" w:rsidP="003752B9">
      <w:pPr>
        <w:spacing w:after="0" w:line="240" w:lineRule="auto"/>
        <w:rPr>
          <w:rFonts w:ascii="Arial" w:eastAsia="Calibri" w:hAnsi="Arial" w:cs="Arial"/>
          <w:sz w:val="20"/>
          <w:szCs w:val="20"/>
        </w:rPr>
      </w:pPr>
    </w:p>
    <w:tbl>
      <w:tblPr>
        <w:tblStyle w:val="Reetkatablice2"/>
        <w:tblW w:w="14130" w:type="dxa"/>
        <w:jc w:val="center"/>
        <w:tblLayout w:type="fixed"/>
        <w:tblLook w:val="04A0" w:firstRow="1" w:lastRow="0" w:firstColumn="1" w:lastColumn="0" w:noHBand="0" w:noVBand="1"/>
      </w:tblPr>
      <w:tblGrid>
        <w:gridCol w:w="1413"/>
        <w:gridCol w:w="3827"/>
        <w:gridCol w:w="1985"/>
        <w:gridCol w:w="1139"/>
        <w:gridCol w:w="1134"/>
        <w:gridCol w:w="992"/>
        <w:gridCol w:w="1134"/>
        <w:gridCol w:w="1276"/>
        <w:gridCol w:w="1230"/>
      </w:tblGrid>
      <w:tr w:rsidR="00D12A0C" w:rsidRPr="00D12A0C" w14:paraId="7CA19A80" w14:textId="77777777" w:rsidTr="00F6697E">
        <w:trPr>
          <w:jc w:val="center"/>
        </w:trPr>
        <w:tc>
          <w:tcPr>
            <w:tcW w:w="1413" w:type="dxa"/>
            <w:shd w:val="clear" w:color="auto" w:fill="BFBFBF" w:themeFill="background1" w:themeFillShade="BF"/>
            <w:vAlign w:val="center"/>
          </w:tcPr>
          <w:p w14:paraId="224A6643" w14:textId="77777777" w:rsidR="003752B9" w:rsidRPr="00D12A0C" w:rsidRDefault="003752B9" w:rsidP="003752B9">
            <w:pPr>
              <w:jc w:val="center"/>
              <w:rPr>
                <w:rFonts w:ascii="Arial" w:eastAsia="Calibri" w:hAnsi="Arial" w:cs="Arial"/>
              </w:rPr>
            </w:pPr>
            <w:r w:rsidRPr="00D12A0C">
              <w:rPr>
                <w:rFonts w:ascii="Arial" w:eastAsia="Calibri" w:hAnsi="Arial" w:cs="Arial"/>
              </w:rPr>
              <w:t>Pokazatelj uspješnosti</w:t>
            </w:r>
          </w:p>
        </w:tc>
        <w:tc>
          <w:tcPr>
            <w:tcW w:w="3827" w:type="dxa"/>
            <w:shd w:val="clear" w:color="auto" w:fill="BFBFBF" w:themeFill="background1" w:themeFillShade="BF"/>
            <w:vAlign w:val="center"/>
          </w:tcPr>
          <w:p w14:paraId="1B41D183" w14:textId="77777777" w:rsidR="003752B9" w:rsidRPr="00D12A0C" w:rsidRDefault="003752B9" w:rsidP="003752B9">
            <w:pPr>
              <w:jc w:val="center"/>
              <w:rPr>
                <w:rFonts w:ascii="Arial" w:eastAsia="Calibri" w:hAnsi="Arial" w:cs="Arial"/>
              </w:rPr>
            </w:pPr>
            <w:r w:rsidRPr="00D12A0C">
              <w:rPr>
                <w:rFonts w:ascii="Arial" w:eastAsia="Calibri" w:hAnsi="Arial" w:cs="Arial"/>
              </w:rPr>
              <w:t>Definicija</w:t>
            </w:r>
          </w:p>
        </w:tc>
        <w:tc>
          <w:tcPr>
            <w:tcW w:w="1985" w:type="dxa"/>
            <w:shd w:val="clear" w:color="auto" w:fill="BFBFBF" w:themeFill="background1" w:themeFillShade="BF"/>
            <w:vAlign w:val="center"/>
          </w:tcPr>
          <w:p w14:paraId="470F58C5" w14:textId="77777777" w:rsidR="003752B9" w:rsidRPr="00D12A0C" w:rsidRDefault="003752B9" w:rsidP="003752B9">
            <w:pPr>
              <w:jc w:val="center"/>
              <w:rPr>
                <w:rFonts w:ascii="Arial" w:eastAsia="Calibri" w:hAnsi="Arial" w:cs="Arial"/>
              </w:rPr>
            </w:pPr>
            <w:r w:rsidRPr="00D12A0C">
              <w:rPr>
                <w:rFonts w:ascii="Arial" w:eastAsia="Calibri" w:hAnsi="Arial" w:cs="Arial"/>
              </w:rPr>
              <w:t>Jedinica</w:t>
            </w:r>
          </w:p>
        </w:tc>
        <w:tc>
          <w:tcPr>
            <w:tcW w:w="1139" w:type="dxa"/>
            <w:shd w:val="clear" w:color="auto" w:fill="BFBFBF" w:themeFill="background1" w:themeFillShade="BF"/>
            <w:vAlign w:val="center"/>
          </w:tcPr>
          <w:p w14:paraId="79C26BC7" w14:textId="77777777" w:rsidR="003752B9" w:rsidRPr="00D12A0C" w:rsidRDefault="003752B9" w:rsidP="003752B9">
            <w:pPr>
              <w:jc w:val="center"/>
              <w:rPr>
                <w:rFonts w:ascii="Arial" w:eastAsia="Calibri" w:hAnsi="Arial" w:cs="Arial"/>
              </w:rPr>
            </w:pPr>
            <w:r w:rsidRPr="00D12A0C">
              <w:rPr>
                <w:rFonts w:ascii="Arial" w:eastAsia="Calibri" w:hAnsi="Arial" w:cs="Arial"/>
              </w:rPr>
              <w:t>Polazna vrijednost</w:t>
            </w:r>
          </w:p>
          <w:p w14:paraId="32CD50AA" w14:textId="42174BDD" w:rsidR="002C5474" w:rsidRPr="00D12A0C" w:rsidRDefault="002C5474" w:rsidP="003752B9">
            <w:pPr>
              <w:jc w:val="center"/>
              <w:rPr>
                <w:rFonts w:ascii="Arial" w:eastAsia="Calibri" w:hAnsi="Arial" w:cs="Arial"/>
              </w:rPr>
            </w:pPr>
            <w:r w:rsidRPr="00D12A0C">
              <w:rPr>
                <w:rFonts w:ascii="Arial" w:eastAsia="Calibri" w:hAnsi="Arial" w:cs="Arial"/>
              </w:rPr>
              <w:t>202</w:t>
            </w:r>
            <w:r w:rsidR="00105F5B">
              <w:rPr>
                <w:rFonts w:ascii="Arial" w:eastAsia="Calibri" w:hAnsi="Arial" w:cs="Arial"/>
              </w:rPr>
              <w:t>4</w:t>
            </w:r>
            <w:r w:rsidRPr="00D12A0C">
              <w:rPr>
                <w:rFonts w:ascii="Arial" w:eastAsia="Calibri" w:hAnsi="Arial" w:cs="Arial"/>
              </w:rPr>
              <w:t>.</w:t>
            </w:r>
          </w:p>
        </w:tc>
        <w:tc>
          <w:tcPr>
            <w:tcW w:w="1134" w:type="dxa"/>
            <w:shd w:val="clear" w:color="auto" w:fill="BFBFBF" w:themeFill="background1" w:themeFillShade="BF"/>
            <w:vAlign w:val="center"/>
          </w:tcPr>
          <w:p w14:paraId="099C4E19" w14:textId="77777777" w:rsidR="003752B9" w:rsidRPr="00D12A0C" w:rsidRDefault="003752B9" w:rsidP="003752B9">
            <w:pPr>
              <w:jc w:val="center"/>
              <w:rPr>
                <w:rFonts w:ascii="Arial" w:eastAsia="Calibri" w:hAnsi="Arial" w:cs="Arial"/>
              </w:rPr>
            </w:pPr>
            <w:r w:rsidRPr="00D12A0C">
              <w:rPr>
                <w:rFonts w:ascii="Arial" w:eastAsia="Calibri" w:hAnsi="Arial" w:cs="Arial"/>
              </w:rPr>
              <w:t>Izvor podataka</w:t>
            </w:r>
          </w:p>
        </w:tc>
        <w:tc>
          <w:tcPr>
            <w:tcW w:w="992" w:type="dxa"/>
            <w:shd w:val="clear" w:color="auto" w:fill="BFBFBF" w:themeFill="background1" w:themeFillShade="BF"/>
            <w:vAlign w:val="center"/>
          </w:tcPr>
          <w:p w14:paraId="4C6CBB5F" w14:textId="5B48C0C2" w:rsidR="003752B9" w:rsidRPr="00D12A0C" w:rsidRDefault="003752B9" w:rsidP="000121D5">
            <w:pPr>
              <w:jc w:val="center"/>
              <w:rPr>
                <w:rFonts w:ascii="Arial" w:eastAsia="Calibri" w:hAnsi="Arial" w:cs="Arial"/>
              </w:rPr>
            </w:pPr>
            <w:r w:rsidRPr="00D12A0C">
              <w:rPr>
                <w:rFonts w:ascii="Arial" w:eastAsia="Calibri" w:hAnsi="Arial" w:cs="Arial"/>
              </w:rPr>
              <w:t>Ciljana vrijed. 20</w:t>
            </w:r>
            <w:r w:rsidR="000121D5" w:rsidRPr="00D12A0C">
              <w:rPr>
                <w:rFonts w:ascii="Arial" w:eastAsia="Calibri" w:hAnsi="Arial" w:cs="Arial"/>
              </w:rPr>
              <w:t>2</w:t>
            </w:r>
            <w:r w:rsidR="00105F5B">
              <w:rPr>
                <w:rFonts w:ascii="Arial" w:eastAsia="Calibri" w:hAnsi="Arial" w:cs="Arial"/>
              </w:rPr>
              <w:t>5</w:t>
            </w:r>
          </w:p>
        </w:tc>
        <w:tc>
          <w:tcPr>
            <w:tcW w:w="1134" w:type="dxa"/>
            <w:shd w:val="clear" w:color="auto" w:fill="BFBFBF" w:themeFill="background1" w:themeFillShade="BF"/>
            <w:vAlign w:val="center"/>
          </w:tcPr>
          <w:p w14:paraId="025CFE63" w14:textId="77777777" w:rsidR="003752B9" w:rsidRPr="00D12A0C" w:rsidRDefault="003752B9" w:rsidP="003752B9">
            <w:pPr>
              <w:jc w:val="center"/>
              <w:rPr>
                <w:rFonts w:ascii="Arial" w:eastAsia="Calibri" w:hAnsi="Arial" w:cs="Arial"/>
              </w:rPr>
            </w:pPr>
            <w:r w:rsidRPr="00D12A0C">
              <w:rPr>
                <w:rFonts w:ascii="Arial" w:eastAsia="Calibri" w:hAnsi="Arial" w:cs="Arial"/>
              </w:rPr>
              <w:t>Izvršeno</w:t>
            </w:r>
          </w:p>
        </w:tc>
        <w:tc>
          <w:tcPr>
            <w:tcW w:w="1276" w:type="dxa"/>
            <w:shd w:val="clear" w:color="auto" w:fill="BFBFBF" w:themeFill="background1" w:themeFillShade="BF"/>
            <w:vAlign w:val="center"/>
          </w:tcPr>
          <w:p w14:paraId="4497CB65" w14:textId="56BE5421" w:rsidR="003752B9" w:rsidRPr="00D12A0C" w:rsidRDefault="003752B9" w:rsidP="000121D5">
            <w:pPr>
              <w:jc w:val="center"/>
              <w:rPr>
                <w:rFonts w:ascii="Arial" w:eastAsia="Calibri" w:hAnsi="Arial" w:cs="Arial"/>
              </w:rPr>
            </w:pPr>
            <w:r w:rsidRPr="00D12A0C">
              <w:rPr>
                <w:rFonts w:ascii="Arial" w:eastAsia="Calibri" w:hAnsi="Arial" w:cs="Arial"/>
              </w:rPr>
              <w:t>Ciljana vrijed. 20</w:t>
            </w:r>
            <w:r w:rsidR="00FF5384" w:rsidRPr="00D12A0C">
              <w:rPr>
                <w:rFonts w:ascii="Arial" w:eastAsia="Calibri" w:hAnsi="Arial" w:cs="Arial"/>
              </w:rPr>
              <w:t>2</w:t>
            </w:r>
            <w:r w:rsidR="00105F5B">
              <w:rPr>
                <w:rFonts w:ascii="Arial" w:eastAsia="Calibri" w:hAnsi="Arial" w:cs="Arial"/>
              </w:rPr>
              <w:t>6</w:t>
            </w:r>
          </w:p>
        </w:tc>
        <w:tc>
          <w:tcPr>
            <w:tcW w:w="1230" w:type="dxa"/>
            <w:shd w:val="clear" w:color="auto" w:fill="BFBFBF" w:themeFill="background1" w:themeFillShade="BF"/>
            <w:vAlign w:val="center"/>
          </w:tcPr>
          <w:p w14:paraId="0E62BAB6" w14:textId="5FCC0E9A" w:rsidR="003752B9" w:rsidRPr="00D12A0C" w:rsidRDefault="003752B9" w:rsidP="000121D5">
            <w:pPr>
              <w:jc w:val="center"/>
              <w:rPr>
                <w:rFonts w:ascii="Arial" w:eastAsia="Calibri" w:hAnsi="Arial" w:cs="Arial"/>
              </w:rPr>
            </w:pPr>
            <w:r w:rsidRPr="00D12A0C">
              <w:rPr>
                <w:rFonts w:ascii="Arial" w:eastAsia="Calibri" w:hAnsi="Arial" w:cs="Arial"/>
              </w:rPr>
              <w:t>Ciljana vrijed. 202</w:t>
            </w:r>
            <w:r w:rsidR="00105F5B">
              <w:rPr>
                <w:rFonts w:ascii="Arial" w:eastAsia="Calibri" w:hAnsi="Arial" w:cs="Arial"/>
              </w:rPr>
              <w:t>7</w:t>
            </w:r>
          </w:p>
        </w:tc>
      </w:tr>
      <w:tr w:rsidR="00D12A0C" w:rsidRPr="00D12A0C" w14:paraId="0CCFE4A3" w14:textId="77777777" w:rsidTr="00F81F68">
        <w:trPr>
          <w:trHeight w:val="708"/>
          <w:jc w:val="center"/>
        </w:trPr>
        <w:tc>
          <w:tcPr>
            <w:tcW w:w="1413" w:type="dxa"/>
            <w:vAlign w:val="center"/>
          </w:tcPr>
          <w:p w14:paraId="5EB11E27" w14:textId="32424CE6" w:rsidR="002C5474" w:rsidRPr="00D12A0C" w:rsidRDefault="002C5474" w:rsidP="002C5474">
            <w:pPr>
              <w:rPr>
                <w:rFonts w:ascii="Arial" w:eastAsia="Calibri" w:hAnsi="Arial" w:cs="Arial"/>
                <w:sz w:val="18"/>
                <w:szCs w:val="18"/>
              </w:rPr>
            </w:pPr>
            <w:r w:rsidRPr="00D12A0C">
              <w:rPr>
                <w:rFonts w:ascii="Arial" w:eastAsia="Calibri" w:hAnsi="Arial" w:cs="Arial"/>
                <w:sz w:val="18"/>
                <w:szCs w:val="18"/>
              </w:rPr>
              <w:t>Broj djece obuhvaćen posebnim programima</w:t>
            </w:r>
          </w:p>
        </w:tc>
        <w:tc>
          <w:tcPr>
            <w:tcW w:w="3827" w:type="dxa"/>
            <w:vAlign w:val="center"/>
          </w:tcPr>
          <w:p w14:paraId="4BDEAF89" w14:textId="138CC8D1" w:rsidR="002C5474" w:rsidRPr="00D12A0C" w:rsidRDefault="002C5474" w:rsidP="002C5474">
            <w:pPr>
              <w:rPr>
                <w:rFonts w:ascii="Arial" w:eastAsia="Calibri" w:hAnsi="Arial" w:cs="Arial"/>
                <w:sz w:val="18"/>
                <w:szCs w:val="18"/>
              </w:rPr>
            </w:pPr>
            <w:r w:rsidRPr="00D12A0C">
              <w:rPr>
                <w:rFonts w:ascii="Arial" w:eastAsia="Calibri" w:hAnsi="Arial" w:cs="Arial"/>
                <w:sz w:val="18"/>
                <w:szCs w:val="18"/>
              </w:rPr>
              <w:t>Obuhvaćanjem posebnim programima pruža se prilika da djeca svoje doživljaje o tradicijskoj baštini i glazbi osvješćuju (različitim) kreativnim izražavanjem i razvijaju stvaralački potencijal</w:t>
            </w:r>
          </w:p>
        </w:tc>
        <w:tc>
          <w:tcPr>
            <w:tcW w:w="1985" w:type="dxa"/>
            <w:vAlign w:val="center"/>
          </w:tcPr>
          <w:p w14:paraId="3900EDCA" w14:textId="77777777" w:rsidR="002C5474" w:rsidRPr="00D12A0C" w:rsidRDefault="002C5474" w:rsidP="002C5474">
            <w:pPr>
              <w:jc w:val="center"/>
              <w:rPr>
                <w:rFonts w:ascii="Arial" w:eastAsia="Calibri" w:hAnsi="Arial" w:cs="Arial"/>
                <w:sz w:val="18"/>
                <w:szCs w:val="18"/>
              </w:rPr>
            </w:pPr>
            <w:r w:rsidRPr="00D12A0C">
              <w:rPr>
                <w:rFonts w:ascii="Arial" w:eastAsia="Calibri" w:hAnsi="Arial" w:cs="Arial"/>
                <w:sz w:val="18"/>
                <w:szCs w:val="18"/>
              </w:rPr>
              <w:t>Udio djece obuhvaćen posebnim programima u ukupnom broju djece</w:t>
            </w:r>
          </w:p>
        </w:tc>
        <w:tc>
          <w:tcPr>
            <w:tcW w:w="1139" w:type="dxa"/>
            <w:vAlign w:val="center"/>
          </w:tcPr>
          <w:p w14:paraId="73AF421C" w14:textId="05544D56" w:rsidR="002C5474" w:rsidRPr="00D12A0C" w:rsidRDefault="002C5474" w:rsidP="002C5474">
            <w:pPr>
              <w:jc w:val="center"/>
              <w:rPr>
                <w:rFonts w:ascii="Arial" w:eastAsia="Calibri" w:hAnsi="Arial" w:cs="Arial"/>
                <w:sz w:val="18"/>
                <w:szCs w:val="18"/>
              </w:rPr>
            </w:pPr>
            <w:r w:rsidRPr="00D12A0C">
              <w:rPr>
                <w:rFonts w:ascii="Arial" w:eastAsia="Calibri" w:hAnsi="Arial" w:cs="Arial"/>
                <w:sz w:val="18"/>
                <w:szCs w:val="18"/>
              </w:rPr>
              <w:t>(</w:t>
            </w:r>
            <w:r w:rsidR="00DE7459">
              <w:rPr>
                <w:rFonts w:ascii="Arial" w:eastAsia="Calibri" w:hAnsi="Arial" w:cs="Arial"/>
                <w:sz w:val="18"/>
                <w:szCs w:val="18"/>
              </w:rPr>
              <w:t>3</w:t>
            </w:r>
            <w:r w:rsidRPr="00D12A0C">
              <w:rPr>
                <w:rFonts w:ascii="Arial" w:eastAsia="Calibri" w:hAnsi="Arial" w:cs="Arial"/>
                <w:sz w:val="18"/>
                <w:szCs w:val="18"/>
              </w:rPr>
              <w:t>0 djece)</w:t>
            </w:r>
          </w:p>
        </w:tc>
        <w:tc>
          <w:tcPr>
            <w:tcW w:w="1134" w:type="dxa"/>
            <w:vAlign w:val="center"/>
          </w:tcPr>
          <w:p w14:paraId="2588234F" w14:textId="77777777" w:rsidR="002C5474" w:rsidRPr="00D12A0C" w:rsidRDefault="002C5474" w:rsidP="002C5474">
            <w:pPr>
              <w:jc w:val="center"/>
              <w:rPr>
                <w:rFonts w:ascii="Arial" w:eastAsia="Calibri" w:hAnsi="Arial" w:cs="Arial"/>
                <w:sz w:val="18"/>
                <w:szCs w:val="18"/>
              </w:rPr>
            </w:pPr>
            <w:r w:rsidRPr="00D12A0C">
              <w:rPr>
                <w:rFonts w:ascii="Arial" w:eastAsia="Calibri" w:hAnsi="Arial" w:cs="Arial"/>
                <w:sz w:val="18"/>
                <w:szCs w:val="18"/>
              </w:rPr>
              <w:t>Dječji vrtić Konavle</w:t>
            </w:r>
          </w:p>
        </w:tc>
        <w:tc>
          <w:tcPr>
            <w:tcW w:w="992" w:type="dxa"/>
            <w:vAlign w:val="center"/>
          </w:tcPr>
          <w:p w14:paraId="72BF6058" w14:textId="77777777" w:rsidR="002C5474" w:rsidRPr="00D12A0C" w:rsidRDefault="002C5474" w:rsidP="002C5474">
            <w:pPr>
              <w:jc w:val="center"/>
              <w:rPr>
                <w:rFonts w:ascii="Arial" w:eastAsia="Calibri" w:hAnsi="Arial" w:cs="Arial"/>
                <w:sz w:val="18"/>
                <w:szCs w:val="18"/>
              </w:rPr>
            </w:pPr>
          </w:p>
          <w:p w14:paraId="32DFF739" w14:textId="6A03F147" w:rsidR="002C5474" w:rsidRPr="00D12A0C" w:rsidRDefault="002C5474" w:rsidP="002C5474">
            <w:pPr>
              <w:jc w:val="center"/>
              <w:rPr>
                <w:rFonts w:ascii="Arial" w:eastAsia="Calibri" w:hAnsi="Arial" w:cs="Arial"/>
                <w:sz w:val="18"/>
                <w:szCs w:val="18"/>
              </w:rPr>
            </w:pPr>
            <w:r w:rsidRPr="00D12A0C">
              <w:rPr>
                <w:rFonts w:ascii="Arial" w:eastAsia="Calibri" w:hAnsi="Arial" w:cs="Arial"/>
                <w:sz w:val="18"/>
                <w:szCs w:val="18"/>
              </w:rPr>
              <w:t>(</w:t>
            </w:r>
            <w:r w:rsidR="00DE7459">
              <w:rPr>
                <w:rFonts w:ascii="Arial" w:eastAsia="Calibri" w:hAnsi="Arial" w:cs="Arial"/>
                <w:sz w:val="18"/>
                <w:szCs w:val="18"/>
              </w:rPr>
              <w:t>30</w:t>
            </w:r>
            <w:r w:rsidRPr="00D12A0C">
              <w:rPr>
                <w:rFonts w:ascii="Arial" w:eastAsia="Calibri" w:hAnsi="Arial" w:cs="Arial"/>
                <w:sz w:val="18"/>
                <w:szCs w:val="18"/>
              </w:rPr>
              <w:t xml:space="preserve"> djece)</w:t>
            </w:r>
          </w:p>
        </w:tc>
        <w:tc>
          <w:tcPr>
            <w:tcW w:w="1134" w:type="dxa"/>
            <w:vAlign w:val="center"/>
          </w:tcPr>
          <w:p w14:paraId="551C04DF" w14:textId="099D79F7" w:rsidR="002C5474" w:rsidRPr="00D12A0C" w:rsidRDefault="00DE7459" w:rsidP="002C5474">
            <w:pPr>
              <w:jc w:val="center"/>
              <w:rPr>
                <w:rFonts w:ascii="Arial" w:eastAsia="Calibri" w:hAnsi="Arial" w:cs="Arial"/>
                <w:sz w:val="18"/>
                <w:szCs w:val="18"/>
              </w:rPr>
            </w:pPr>
            <w:r>
              <w:rPr>
                <w:rFonts w:ascii="Arial" w:eastAsia="Calibri" w:hAnsi="Arial" w:cs="Arial"/>
                <w:sz w:val="18"/>
                <w:szCs w:val="18"/>
              </w:rPr>
              <w:t>29</w:t>
            </w:r>
            <w:r w:rsidR="002C5474" w:rsidRPr="00D12A0C">
              <w:rPr>
                <w:rFonts w:ascii="Arial" w:eastAsia="Calibri" w:hAnsi="Arial" w:cs="Arial"/>
                <w:sz w:val="18"/>
                <w:szCs w:val="18"/>
              </w:rPr>
              <w:t xml:space="preserve"> djece</w:t>
            </w:r>
          </w:p>
        </w:tc>
        <w:tc>
          <w:tcPr>
            <w:tcW w:w="1276" w:type="dxa"/>
            <w:tcBorders>
              <w:top w:val="single" w:sz="4" w:space="0" w:color="auto"/>
              <w:left w:val="single" w:sz="4" w:space="0" w:color="auto"/>
              <w:bottom w:val="single" w:sz="4" w:space="0" w:color="auto"/>
              <w:right w:val="single" w:sz="4" w:space="0" w:color="auto"/>
            </w:tcBorders>
            <w:vAlign w:val="center"/>
          </w:tcPr>
          <w:p w14:paraId="2EF3BD93" w14:textId="7DAB6AA2" w:rsidR="002C5474" w:rsidRPr="00D12A0C" w:rsidRDefault="00DE7459" w:rsidP="002C5474">
            <w:pPr>
              <w:jc w:val="center"/>
              <w:rPr>
                <w:rFonts w:ascii="Arial" w:eastAsia="Calibri" w:hAnsi="Arial" w:cs="Arial"/>
                <w:sz w:val="18"/>
                <w:szCs w:val="18"/>
              </w:rPr>
            </w:pPr>
            <w:r>
              <w:rPr>
                <w:rFonts w:ascii="Arial" w:hAnsi="Arial" w:cs="Arial"/>
                <w:sz w:val="18"/>
                <w:szCs w:val="18"/>
              </w:rPr>
              <w:t>30</w:t>
            </w:r>
            <w:r w:rsidR="002C5474" w:rsidRPr="00D12A0C">
              <w:rPr>
                <w:rFonts w:ascii="Arial" w:hAnsi="Arial" w:cs="Arial"/>
                <w:sz w:val="18"/>
                <w:szCs w:val="18"/>
              </w:rPr>
              <w:t xml:space="preserve"> djece</w:t>
            </w:r>
          </w:p>
        </w:tc>
        <w:tc>
          <w:tcPr>
            <w:tcW w:w="1230" w:type="dxa"/>
            <w:tcBorders>
              <w:top w:val="single" w:sz="4" w:space="0" w:color="auto"/>
              <w:left w:val="single" w:sz="4" w:space="0" w:color="auto"/>
              <w:bottom w:val="single" w:sz="4" w:space="0" w:color="auto"/>
              <w:right w:val="single" w:sz="4" w:space="0" w:color="auto"/>
            </w:tcBorders>
            <w:vAlign w:val="center"/>
          </w:tcPr>
          <w:p w14:paraId="72A3B126" w14:textId="22F57E3A" w:rsidR="002C5474" w:rsidRPr="00D12A0C" w:rsidRDefault="00DE7459" w:rsidP="002C5474">
            <w:pPr>
              <w:jc w:val="center"/>
              <w:rPr>
                <w:rFonts w:ascii="Arial" w:eastAsia="Calibri" w:hAnsi="Arial" w:cs="Arial"/>
                <w:sz w:val="18"/>
                <w:szCs w:val="18"/>
              </w:rPr>
            </w:pPr>
            <w:r>
              <w:rPr>
                <w:rFonts w:ascii="Arial" w:hAnsi="Arial" w:cs="Arial"/>
                <w:sz w:val="18"/>
                <w:szCs w:val="18"/>
              </w:rPr>
              <w:t>30</w:t>
            </w:r>
            <w:r w:rsidR="002C5474" w:rsidRPr="00D12A0C">
              <w:rPr>
                <w:rFonts w:ascii="Arial" w:hAnsi="Arial" w:cs="Arial"/>
                <w:sz w:val="18"/>
                <w:szCs w:val="18"/>
              </w:rPr>
              <w:t xml:space="preserve"> djece</w:t>
            </w:r>
          </w:p>
        </w:tc>
      </w:tr>
    </w:tbl>
    <w:p w14:paraId="303111DF" w14:textId="77777777" w:rsidR="002144A7" w:rsidRPr="00D12A0C" w:rsidRDefault="002144A7" w:rsidP="002144A7">
      <w:pPr>
        <w:spacing w:after="0" w:line="240" w:lineRule="auto"/>
        <w:rPr>
          <w:rFonts w:ascii="Arial" w:eastAsia="Calibri" w:hAnsi="Arial" w:cs="Arial"/>
          <w:b/>
          <w:sz w:val="20"/>
          <w:szCs w:val="20"/>
        </w:rPr>
      </w:pPr>
    </w:p>
    <w:p w14:paraId="251EBF4F" w14:textId="0BA48BD6" w:rsidR="002144A7" w:rsidRPr="00D12A0C" w:rsidRDefault="002144A7" w:rsidP="002144A7">
      <w:pPr>
        <w:spacing w:after="0" w:line="240" w:lineRule="auto"/>
        <w:rPr>
          <w:rFonts w:ascii="Arial" w:eastAsia="Calibri" w:hAnsi="Arial" w:cs="Arial"/>
          <w:sz w:val="20"/>
          <w:szCs w:val="20"/>
        </w:rPr>
      </w:pPr>
      <w:r w:rsidRPr="00D12A0C">
        <w:rPr>
          <w:rFonts w:ascii="Arial" w:eastAsia="Calibri" w:hAnsi="Arial" w:cs="Arial"/>
          <w:b/>
          <w:sz w:val="20"/>
          <w:szCs w:val="20"/>
        </w:rPr>
        <w:t>Obrazloženje:</w:t>
      </w:r>
      <w:r w:rsidRPr="00D12A0C">
        <w:rPr>
          <w:rFonts w:ascii="Arial" w:eastAsia="Calibri" w:hAnsi="Arial" w:cs="Arial"/>
          <w:sz w:val="20"/>
          <w:szCs w:val="20"/>
        </w:rPr>
        <w:t xml:space="preserve"> Ova dva posebna programa su se provodila u dva objekta (izdvojeni objekt u staroj jezgri Cavtata „Marijin dom“ i Dječji vrtić i jaslice Cavtat jer su se u tim objektima radile voditeljice Programa), a bilo je obuhvaćeno 70-ero djece čime je ostvarena ciljana vrijednost za 202</w:t>
      </w:r>
      <w:r w:rsidR="002C5474" w:rsidRPr="00D12A0C">
        <w:rPr>
          <w:rFonts w:ascii="Arial" w:eastAsia="Calibri" w:hAnsi="Arial" w:cs="Arial"/>
          <w:sz w:val="20"/>
          <w:szCs w:val="20"/>
        </w:rPr>
        <w:t>4</w:t>
      </w:r>
      <w:r w:rsidRPr="00D12A0C">
        <w:rPr>
          <w:rFonts w:ascii="Arial" w:eastAsia="Calibri" w:hAnsi="Arial" w:cs="Arial"/>
          <w:sz w:val="20"/>
          <w:szCs w:val="20"/>
        </w:rPr>
        <w:t>. g.</w:t>
      </w:r>
    </w:p>
    <w:p w14:paraId="01997D41" w14:textId="77777777" w:rsidR="00707EF5" w:rsidRPr="00D12A0C" w:rsidRDefault="00707EF5" w:rsidP="003752B9">
      <w:pPr>
        <w:spacing w:after="0" w:line="240" w:lineRule="auto"/>
        <w:rPr>
          <w:rFonts w:ascii="Arial" w:eastAsia="Calibri" w:hAnsi="Arial" w:cs="Arial"/>
          <w:sz w:val="20"/>
          <w:szCs w:val="20"/>
        </w:rPr>
      </w:pPr>
    </w:p>
    <w:p w14:paraId="7866E420" w14:textId="0D762B2C" w:rsidR="003752B9" w:rsidRPr="00D12A0C" w:rsidRDefault="003752B9" w:rsidP="003752B9">
      <w:pPr>
        <w:spacing w:after="0" w:line="240" w:lineRule="auto"/>
        <w:rPr>
          <w:rFonts w:ascii="Arial" w:eastAsia="Calibri" w:hAnsi="Arial" w:cs="Arial"/>
          <w:b/>
          <w:sz w:val="20"/>
          <w:szCs w:val="20"/>
          <w:u w:val="single"/>
        </w:rPr>
      </w:pPr>
      <w:r w:rsidRPr="00D12A0C">
        <w:rPr>
          <w:rFonts w:ascii="Arial" w:eastAsia="Calibri" w:hAnsi="Arial" w:cs="Arial"/>
          <w:b/>
          <w:sz w:val="20"/>
          <w:szCs w:val="20"/>
          <w:u w:val="single"/>
        </w:rPr>
        <w:t xml:space="preserve">CILJ: Razvoj </w:t>
      </w:r>
      <w:r w:rsidR="006736AE" w:rsidRPr="00D12A0C">
        <w:rPr>
          <w:rFonts w:ascii="Arial" w:eastAsia="Calibri" w:hAnsi="Arial" w:cs="Arial"/>
          <w:b/>
          <w:sz w:val="20"/>
          <w:szCs w:val="20"/>
          <w:u w:val="single"/>
        </w:rPr>
        <w:t>suradnje</w:t>
      </w:r>
      <w:r w:rsidRPr="00D12A0C">
        <w:rPr>
          <w:rFonts w:ascii="Arial" w:eastAsia="Calibri" w:hAnsi="Arial" w:cs="Arial"/>
          <w:b/>
          <w:sz w:val="20"/>
          <w:szCs w:val="20"/>
          <w:u w:val="single"/>
        </w:rPr>
        <w:t xml:space="preserve"> s roditeljima</w:t>
      </w:r>
    </w:p>
    <w:p w14:paraId="1E4AA4B4" w14:textId="77777777" w:rsidR="003752B9" w:rsidRPr="00D12A0C" w:rsidRDefault="003752B9" w:rsidP="003752B9">
      <w:pPr>
        <w:spacing w:after="0" w:line="240" w:lineRule="auto"/>
        <w:rPr>
          <w:rFonts w:ascii="Arial" w:eastAsia="Calibri" w:hAnsi="Arial" w:cs="Arial"/>
          <w:sz w:val="20"/>
          <w:szCs w:val="20"/>
        </w:rPr>
      </w:pPr>
    </w:p>
    <w:p w14:paraId="309D3CD2" w14:textId="77777777" w:rsidR="003752B9" w:rsidRPr="00D12A0C" w:rsidRDefault="003752B9" w:rsidP="003752B9">
      <w:pPr>
        <w:spacing w:after="0" w:line="240" w:lineRule="auto"/>
        <w:jc w:val="both"/>
        <w:rPr>
          <w:rFonts w:ascii="Arial" w:eastAsia="Calibri" w:hAnsi="Arial" w:cs="Arial"/>
          <w:sz w:val="20"/>
          <w:szCs w:val="20"/>
        </w:rPr>
      </w:pPr>
      <w:r w:rsidRPr="00D12A0C">
        <w:rPr>
          <w:rFonts w:ascii="Arial" w:eastAsia="Calibri" w:hAnsi="Arial" w:cs="Arial"/>
          <w:sz w:val="20"/>
          <w:szCs w:val="20"/>
        </w:rPr>
        <w:t xml:space="preserve">Partnerstvo s roditeljima je važan i neizostavan čimbenik u procesu rada vrtića, a zadaće mu je primjereno odgovoriti na individualne i razvojne potrebe djeteta i osigurati potporu njegovu cjelovitom razvoju. </w:t>
      </w:r>
    </w:p>
    <w:p w14:paraId="12F80B16" w14:textId="5FDE4F62" w:rsidR="003752B9" w:rsidRPr="00D12A0C" w:rsidRDefault="003752B9" w:rsidP="003752B9">
      <w:pPr>
        <w:spacing w:after="0" w:line="240" w:lineRule="auto"/>
        <w:rPr>
          <w:rFonts w:ascii="Arial" w:eastAsia="Calibri" w:hAnsi="Arial" w:cs="Arial"/>
          <w:sz w:val="20"/>
          <w:szCs w:val="20"/>
        </w:rPr>
      </w:pPr>
      <w:r w:rsidRPr="00D12A0C">
        <w:rPr>
          <w:rFonts w:ascii="Arial" w:eastAsia="Calibri" w:hAnsi="Arial" w:cs="Arial"/>
          <w:sz w:val="20"/>
          <w:szCs w:val="20"/>
        </w:rPr>
        <w:tab/>
      </w:r>
      <w:r w:rsidR="00A50328" w:rsidRPr="00D12A0C">
        <w:rPr>
          <w:rFonts w:ascii="Arial" w:eastAsia="Calibri" w:hAnsi="Arial" w:cs="Arial"/>
          <w:sz w:val="20"/>
          <w:szCs w:val="20"/>
        </w:rPr>
        <w:t>1</w:t>
      </w:r>
      <w:r w:rsidRPr="00D12A0C">
        <w:rPr>
          <w:rFonts w:ascii="Arial" w:eastAsia="Calibri" w:hAnsi="Arial" w:cs="Arial"/>
          <w:sz w:val="20"/>
          <w:szCs w:val="20"/>
        </w:rPr>
        <w:t xml:space="preserve">. </w:t>
      </w:r>
      <w:r w:rsidRPr="00D12A0C">
        <w:rPr>
          <w:rFonts w:ascii="Arial" w:eastAsia="Calibri" w:hAnsi="Arial" w:cs="Arial"/>
          <w:sz w:val="20"/>
          <w:szCs w:val="20"/>
        </w:rPr>
        <w:tab/>
        <w:t>Roditeljski sastanci</w:t>
      </w:r>
    </w:p>
    <w:p w14:paraId="50CE04FC" w14:textId="628CEA17" w:rsidR="003752B9" w:rsidRPr="00D12A0C" w:rsidRDefault="003752B9" w:rsidP="003752B9">
      <w:pPr>
        <w:spacing w:after="0" w:line="240" w:lineRule="auto"/>
        <w:rPr>
          <w:rFonts w:ascii="Arial" w:eastAsia="Calibri" w:hAnsi="Arial" w:cs="Arial"/>
          <w:sz w:val="20"/>
          <w:szCs w:val="20"/>
        </w:rPr>
      </w:pPr>
      <w:r w:rsidRPr="00D12A0C">
        <w:rPr>
          <w:rFonts w:ascii="Arial" w:eastAsia="Calibri" w:hAnsi="Arial" w:cs="Arial"/>
          <w:sz w:val="20"/>
          <w:szCs w:val="20"/>
        </w:rPr>
        <w:tab/>
      </w:r>
      <w:r w:rsidR="00A50328" w:rsidRPr="00D12A0C">
        <w:rPr>
          <w:rFonts w:ascii="Arial" w:eastAsia="Calibri" w:hAnsi="Arial" w:cs="Arial"/>
          <w:sz w:val="20"/>
          <w:szCs w:val="20"/>
        </w:rPr>
        <w:t>2</w:t>
      </w:r>
      <w:r w:rsidRPr="00D12A0C">
        <w:rPr>
          <w:rFonts w:ascii="Arial" w:eastAsia="Calibri" w:hAnsi="Arial" w:cs="Arial"/>
          <w:sz w:val="20"/>
          <w:szCs w:val="20"/>
        </w:rPr>
        <w:t>.</w:t>
      </w:r>
      <w:r w:rsidRPr="00D12A0C">
        <w:rPr>
          <w:rFonts w:ascii="Arial" w:eastAsia="Calibri" w:hAnsi="Arial" w:cs="Arial"/>
          <w:sz w:val="20"/>
          <w:szCs w:val="20"/>
        </w:rPr>
        <w:tab/>
        <w:t>Program „Rastimo zajedno“</w:t>
      </w:r>
    </w:p>
    <w:p w14:paraId="48940C47" w14:textId="2C644B9C" w:rsidR="003752B9" w:rsidRPr="00C43EF1" w:rsidRDefault="003752B9" w:rsidP="003752B9">
      <w:pPr>
        <w:spacing w:after="0" w:line="240" w:lineRule="auto"/>
        <w:contextualSpacing/>
        <w:jc w:val="center"/>
        <w:rPr>
          <w:rFonts w:ascii="Arial" w:eastAsia="Calibri" w:hAnsi="Arial" w:cs="Arial"/>
          <w:b/>
          <w:sz w:val="20"/>
          <w:szCs w:val="20"/>
          <w:u w:val="dotted"/>
        </w:rPr>
      </w:pPr>
      <w:r w:rsidRPr="00C43EF1">
        <w:rPr>
          <w:rFonts w:ascii="Arial" w:eastAsia="Calibri" w:hAnsi="Arial" w:cs="Arial"/>
          <w:b/>
          <w:sz w:val="20"/>
          <w:szCs w:val="20"/>
          <w:u w:val="dotted"/>
        </w:rPr>
        <w:t>Roditeljski sastanci</w:t>
      </w:r>
    </w:p>
    <w:p w14:paraId="72A7CAB8" w14:textId="77777777" w:rsidR="003752B9" w:rsidRPr="00C43EF1" w:rsidRDefault="003752B9" w:rsidP="003752B9">
      <w:pPr>
        <w:spacing w:after="0" w:line="240" w:lineRule="auto"/>
        <w:rPr>
          <w:rFonts w:ascii="Arial" w:eastAsia="Calibri" w:hAnsi="Arial" w:cs="Arial"/>
          <w:sz w:val="20"/>
          <w:szCs w:val="20"/>
        </w:rPr>
      </w:pPr>
    </w:p>
    <w:tbl>
      <w:tblPr>
        <w:tblStyle w:val="Reetkatablice22"/>
        <w:tblW w:w="13967" w:type="dxa"/>
        <w:jc w:val="center"/>
        <w:tblLayout w:type="fixed"/>
        <w:tblLook w:val="04A0" w:firstRow="1" w:lastRow="0" w:firstColumn="1" w:lastColumn="0" w:noHBand="0" w:noVBand="1"/>
      </w:tblPr>
      <w:tblGrid>
        <w:gridCol w:w="1838"/>
        <w:gridCol w:w="3522"/>
        <w:gridCol w:w="1258"/>
        <w:gridCol w:w="1134"/>
        <w:gridCol w:w="1134"/>
        <w:gridCol w:w="1232"/>
        <w:gridCol w:w="1276"/>
        <w:gridCol w:w="1276"/>
        <w:gridCol w:w="1297"/>
      </w:tblGrid>
      <w:tr w:rsidR="00C43EF1" w:rsidRPr="00C43EF1" w14:paraId="5CB309DB" w14:textId="77777777" w:rsidTr="003D6583">
        <w:trPr>
          <w:jc w:val="center"/>
        </w:trPr>
        <w:tc>
          <w:tcPr>
            <w:tcW w:w="1838" w:type="dxa"/>
            <w:shd w:val="clear" w:color="auto" w:fill="BFBFBF" w:themeFill="background1" w:themeFillShade="BF"/>
            <w:vAlign w:val="center"/>
          </w:tcPr>
          <w:p w14:paraId="2A18E743" w14:textId="77777777" w:rsidR="003752B9" w:rsidRPr="00C43EF1" w:rsidRDefault="003752B9" w:rsidP="003752B9">
            <w:pPr>
              <w:jc w:val="center"/>
              <w:rPr>
                <w:rFonts w:ascii="Arial" w:eastAsia="Calibri" w:hAnsi="Arial" w:cs="Arial"/>
              </w:rPr>
            </w:pPr>
            <w:r w:rsidRPr="00C43EF1">
              <w:rPr>
                <w:rFonts w:ascii="Arial" w:eastAsia="Calibri" w:hAnsi="Arial" w:cs="Arial"/>
              </w:rPr>
              <w:t>Pokazatelj uspješnosti</w:t>
            </w:r>
          </w:p>
        </w:tc>
        <w:tc>
          <w:tcPr>
            <w:tcW w:w="3522" w:type="dxa"/>
            <w:shd w:val="clear" w:color="auto" w:fill="BFBFBF" w:themeFill="background1" w:themeFillShade="BF"/>
            <w:vAlign w:val="center"/>
          </w:tcPr>
          <w:p w14:paraId="186CB6E8" w14:textId="77777777" w:rsidR="003752B9" w:rsidRPr="00C43EF1" w:rsidRDefault="003752B9" w:rsidP="003752B9">
            <w:pPr>
              <w:jc w:val="center"/>
              <w:rPr>
                <w:rFonts w:ascii="Arial" w:eastAsia="Calibri" w:hAnsi="Arial" w:cs="Arial"/>
              </w:rPr>
            </w:pPr>
            <w:r w:rsidRPr="00C43EF1">
              <w:rPr>
                <w:rFonts w:ascii="Arial" w:eastAsia="Calibri" w:hAnsi="Arial" w:cs="Arial"/>
              </w:rPr>
              <w:t>Definicija</w:t>
            </w:r>
          </w:p>
        </w:tc>
        <w:tc>
          <w:tcPr>
            <w:tcW w:w="1258" w:type="dxa"/>
            <w:shd w:val="clear" w:color="auto" w:fill="BFBFBF" w:themeFill="background1" w:themeFillShade="BF"/>
            <w:vAlign w:val="center"/>
          </w:tcPr>
          <w:p w14:paraId="1DB19349" w14:textId="77777777" w:rsidR="003752B9" w:rsidRPr="00C43EF1" w:rsidRDefault="003752B9" w:rsidP="003752B9">
            <w:pPr>
              <w:jc w:val="center"/>
              <w:rPr>
                <w:rFonts w:ascii="Arial" w:eastAsia="Calibri" w:hAnsi="Arial" w:cs="Arial"/>
              </w:rPr>
            </w:pPr>
            <w:r w:rsidRPr="00C43EF1">
              <w:rPr>
                <w:rFonts w:ascii="Arial" w:eastAsia="Calibri" w:hAnsi="Arial" w:cs="Arial"/>
              </w:rPr>
              <w:t>Jedinica</w:t>
            </w:r>
          </w:p>
        </w:tc>
        <w:tc>
          <w:tcPr>
            <w:tcW w:w="1134" w:type="dxa"/>
            <w:shd w:val="clear" w:color="auto" w:fill="BFBFBF" w:themeFill="background1" w:themeFillShade="BF"/>
            <w:vAlign w:val="center"/>
          </w:tcPr>
          <w:p w14:paraId="758071D4" w14:textId="77777777" w:rsidR="003752B9" w:rsidRPr="00C43EF1" w:rsidRDefault="003752B9" w:rsidP="003752B9">
            <w:pPr>
              <w:jc w:val="center"/>
              <w:rPr>
                <w:rFonts w:ascii="Arial" w:eastAsia="Calibri" w:hAnsi="Arial" w:cs="Arial"/>
              </w:rPr>
            </w:pPr>
            <w:r w:rsidRPr="00C43EF1">
              <w:rPr>
                <w:rFonts w:ascii="Arial" w:eastAsia="Calibri" w:hAnsi="Arial" w:cs="Arial"/>
              </w:rPr>
              <w:t>Polazna vrijednost</w:t>
            </w:r>
          </w:p>
          <w:p w14:paraId="406C296B" w14:textId="679C33DA" w:rsidR="002C5474" w:rsidRPr="00C43EF1" w:rsidRDefault="002C5474" w:rsidP="003752B9">
            <w:pPr>
              <w:jc w:val="center"/>
              <w:rPr>
                <w:rFonts w:ascii="Arial" w:eastAsia="Calibri" w:hAnsi="Arial" w:cs="Arial"/>
              </w:rPr>
            </w:pPr>
            <w:r w:rsidRPr="00C43EF1">
              <w:rPr>
                <w:rFonts w:ascii="Arial" w:eastAsia="Calibri" w:hAnsi="Arial" w:cs="Arial"/>
              </w:rPr>
              <w:t>202</w:t>
            </w:r>
            <w:r w:rsidR="00DE7459" w:rsidRPr="00C43EF1">
              <w:rPr>
                <w:rFonts w:ascii="Arial" w:eastAsia="Calibri" w:hAnsi="Arial" w:cs="Arial"/>
              </w:rPr>
              <w:t>4</w:t>
            </w:r>
            <w:r w:rsidRPr="00C43EF1">
              <w:rPr>
                <w:rFonts w:ascii="Arial" w:eastAsia="Calibri" w:hAnsi="Arial" w:cs="Arial"/>
              </w:rPr>
              <w:t>.</w:t>
            </w:r>
          </w:p>
        </w:tc>
        <w:tc>
          <w:tcPr>
            <w:tcW w:w="1134" w:type="dxa"/>
            <w:shd w:val="clear" w:color="auto" w:fill="BFBFBF" w:themeFill="background1" w:themeFillShade="BF"/>
            <w:vAlign w:val="center"/>
          </w:tcPr>
          <w:p w14:paraId="107DB5CE" w14:textId="77777777" w:rsidR="003752B9" w:rsidRPr="00C43EF1" w:rsidRDefault="003752B9" w:rsidP="003752B9">
            <w:pPr>
              <w:jc w:val="center"/>
              <w:rPr>
                <w:rFonts w:ascii="Arial" w:eastAsia="Calibri" w:hAnsi="Arial" w:cs="Arial"/>
              </w:rPr>
            </w:pPr>
            <w:r w:rsidRPr="00C43EF1">
              <w:rPr>
                <w:rFonts w:ascii="Arial" w:eastAsia="Calibri" w:hAnsi="Arial" w:cs="Arial"/>
              </w:rPr>
              <w:t>Izvor podataka</w:t>
            </w:r>
          </w:p>
        </w:tc>
        <w:tc>
          <w:tcPr>
            <w:tcW w:w="1232" w:type="dxa"/>
            <w:shd w:val="clear" w:color="auto" w:fill="BFBFBF" w:themeFill="background1" w:themeFillShade="BF"/>
            <w:vAlign w:val="center"/>
          </w:tcPr>
          <w:p w14:paraId="41B461B3" w14:textId="799FAD63" w:rsidR="003752B9" w:rsidRPr="00C43EF1" w:rsidRDefault="003752B9" w:rsidP="00E37C5F">
            <w:pPr>
              <w:jc w:val="center"/>
              <w:rPr>
                <w:rFonts w:ascii="Arial" w:eastAsia="Calibri" w:hAnsi="Arial" w:cs="Arial"/>
              </w:rPr>
            </w:pPr>
            <w:r w:rsidRPr="00C43EF1">
              <w:rPr>
                <w:rFonts w:ascii="Arial" w:eastAsia="Calibri" w:hAnsi="Arial" w:cs="Arial"/>
              </w:rPr>
              <w:t>Ciljana vrijednost 20</w:t>
            </w:r>
            <w:r w:rsidR="00E37C5F" w:rsidRPr="00C43EF1">
              <w:rPr>
                <w:rFonts w:ascii="Arial" w:eastAsia="Calibri" w:hAnsi="Arial" w:cs="Arial"/>
              </w:rPr>
              <w:t>2</w:t>
            </w:r>
            <w:r w:rsidR="00DE7459" w:rsidRPr="00C43EF1">
              <w:rPr>
                <w:rFonts w:ascii="Arial" w:eastAsia="Calibri" w:hAnsi="Arial" w:cs="Arial"/>
              </w:rPr>
              <w:t>5</w:t>
            </w:r>
            <w:r w:rsidRPr="00C43EF1">
              <w:rPr>
                <w:rFonts w:ascii="Arial" w:eastAsia="Calibri" w:hAnsi="Arial" w:cs="Arial"/>
              </w:rPr>
              <w:t>.</w:t>
            </w:r>
          </w:p>
        </w:tc>
        <w:tc>
          <w:tcPr>
            <w:tcW w:w="1276" w:type="dxa"/>
            <w:shd w:val="clear" w:color="auto" w:fill="BFBFBF" w:themeFill="background1" w:themeFillShade="BF"/>
            <w:vAlign w:val="center"/>
          </w:tcPr>
          <w:p w14:paraId="4014DCE7" w14:textId="0B1FC9F5" w:rsidR="003752B9" w:rsidRPr="00C43EF1" w:rsidRDefault="003752B9" w:rsidP="00E37C5F">
            <w:pPr>
              <w:jc w:val="center"/>
              <w:rPr>
                <w:rFonts w:ascii="Arial" w:eastAsia="Calibri" w:hAnsi="Arial" w:cs="Arial"/>
              </w:rPr>
            </w:pPr>
            <w:r w:rsidRPr="00C43EF1">
              <w:rPr>
                <w:rFonts w:ascii="Arial" w:eastAsia="Calibri" w:hAnsi="Arial" w:cs="Arial"/>
              </w:rPr>
              <w:t xml:space="preserve">Izvršeno </w:t>
            </w:r>
            <w:r w:rsidR="002C5474" w:rsidRPr="00C43EF1">
              <w:rPr>
                <w:rFonts w:ascii="Arial" w:eastAsia="Calibri" w:hAnsi="Arial" w:cs="Arial"/>
              </w:rPr>
              <w:t>202</w:t>
            </w:r>
            <w:r w:rsidR="00DE7459" w:rsidRPr="00C43EF1">
              <w:rPr>
                <w:rFonts w:ascii="Arial" w:eastAsia="Calibri" w:hAnsi="Arial" w:cs="Arial"/>
              </w:rPr>
              <w:t>5</w:t>
            </w:r>
            <w:r w:rsidR="002C5474" w:rsidRPr="00C43EF1">
              <w:rPr>
                <w:rFonts w:ascii="Arial" w:eastAsia="Calibri" w:hAnsi="Arial" w:cs="Arial"/>
              </w:rPr>
              <w:t>.</w:t>
            </w:r>
          </w:p>
        </w:tc>
        <w:tc>
          <w:tcPr>
            <w:tcW w:w="1276" w:type="dxa"/>
            <w:shd w:val="clear" w:color="auto" w:fill="BFBFBF" w:themeFill="background1" w:themeFillShade="BF"/>
            <w:vAlign w:val="center"/>
          </w:tcPr>
          <w:p w14:paraId="7B6B71B1" w14:textId="7B599CAA" w:rsidR="003752B9" w:rsidRPr="00C43EF1" w:rsidRDefault="003752B9" w:rsidP="00E37C5F">
            <w:pPr>
              <w:jc w:val="center"/>
              <w:rPr>
                <w:rFonts w:ascii="Arial" w:eastAsia="Calibri" w:hAnsi="Arial" w:cs="Arial"/>
              </w:rPr>
            </w:pPr>
            <w:r w:rsidRPr="00C43EF1">
              <w:rPr>
                <w:rFonts w:ascii="Arial" w:eastAsia="Calibri" w:hAnsi="Arial" w:cs="Arial"/>
              </w:rPr>
              <w:t>Ciljana vrijednost 202</w:t>
            </w:r>
            <w:r w:rsidR="00DE7459" w:rsidRPr="00C43EF1">
              <w:rPr>
                <w:rFonts w:ascii="Arial" w:eastAsia="Calibri" w:hAnsi="Arial" w:cs="Arial"/>
              </w:rPr>
              <w:t>6</w:t>
            </w:r>
          </w:p>
        </w:tc>
        <w:tc>
          <w:tcPr>
            <w:tcW w:w="1297" w:type="dxa"/>
            <w:shd w:val="clear" w:color="auto" w:fill="BFBFBF" w:themeFill="background1" w:themeFillShade="BF"/>
            <w:vAlign w:val="center"/>
          </w:tcPr>
          <w:p w14:paraId="63F58318" w14:textId="1210F27B" w:rsidR="003752B9" w:rsidRPr="00C43EF1" w:rsidRDefault="003752B9" w:rsidP="00E37C5F">
            <w:pPr>
              <w:jc w:val="center"/>
              <w:rPr>
                <w:rFonts w:ascii="Arial" w:eastAsia="Calibri" w:hAnsi="Arial" w:cs="Arial"/>
              </w:rPr>
            </w:pPr>
            <w:r w:rsidRPr="00C43EF1">
              <w:rPr>
                <w:rFonts w:ascii="Arial" w:eastAsia="Calibri" w:hAnsi="Arial" w:cs="Arial"/>
              </w:rPr>
              <w:t>Ciljana vrijednost 202</w:t>
            </w:r>
            <w:r w:rsidR="00DE7459" w:rsidRPr="00C43EF1">
              <w:rPr>
                <w:rFonts w:ascii="Arial" w:eastAsia="Calibri" w:hAnsi="Arial" w:cs="Arial"/>
              </w:rPr>
              <w:t>7</w:t>
            </w:r>
          </w:p>
        </w:tc>
      </w:tr>
      <w:tr w:rsidR="00C43EF1" w:rsidRPr="00C43EF1" w14:paraId="56DA5783" w14:textId="77777777" w:rsidTr="003D6583">
        <w:trPr>
          <w:trHeight w:val="70"/>
          <w:jc w:val="center"/>
        </w:trPr>
        <w:tc>
          <w:tcPr>
            <w:tcW w:w="1838" w:type="dxa"/>
            <w:vAlign w:val="center"/>
          </w:tcPr>
          <w:p w14:paraId="5B8E041A" w14:textId="3C614B00" w:rsidR="003752B9" w:rsidRPr="00C43EF1" w:rsidRDefault="006736AE" w:rsidP="003752B9">
            <w:pPr>
              <w:rPr>
                <w:rFonts w:ascii="Arial" w:eastAsia="Calibri" w:hAnsi="Arial" w:cs="Arial"/>
                <w:sz w:val="18"/>
                <w:szCs w:val="18"/>
              </w:rPr>
            </w:pPr>
            <w:r w:rsidRPr="00C43EF1">
              <w:rPr>
                <w:rFonts w:ascii="Arial" w:eastAsia="Calibri" w:hAnsi="Arial" w:cs="Arial"/>
                <w:sz w:val="18"/>
                <w:szCs w:val="18"/>
              </w:rPr>
              <w:t>Broj</w:t>
            </w:r>
            <w:r w:rsidR="003752B9" w:rsidRPr="00C43EF1">
              <w:rPr>
                <w:rFonts w:ascii="Arial" w:eastAsia="Calibri" w:hAnsi="Arial" w:cs="Arial"/>
                <w:sz w:val="18"/>
                <w:szCs w:val="18"/>
              </w:rPr>
              <w:t xml:space="preserve"> roditeljskih sastanaka godišnje</w:t>
            </w:r>
          </w:p>
        </w:tc>
        <w:tc>
          <w:tcPr>
            <w:tcW w:w="3522" w:type="dxa"/>
            <w:vAlign w:val="center"/>
          </w:tcPr>
          <w:p w14:paraId="724048B6" w14:textId="7EF90828" w:rsidR="003752B9" w:rsidRPr="00C43EF1" w:rsidRDefault="006736AE" w:rsidP="003752B9">
            <w:pPr>
              <w:rPr>
                <w:rFonts w:ascii="Arial" w:eastAsia="Calibri" w:hAnsi="Arial" w:cs="Arial"/>
                <w:sz w:val="18"/>
                <w:szCs w:val="18"/>
              </w:rPr>
            </w:pPr>
            <w:r w:rsidRPr="00C43EF1">
              <w:rPr>
                <w:rFonts w:ascii="Arial" w:eastAsia="Calibri" w:hAnsi="Arial" w:cs="Arial"/>
                <w:sz w:val="18"/>
                <w:szCs w:val="18"/>
              </w:rPr>
              <w:t>Sudjelovanjem roditelja na roditeljskim sastancima</w:t>
            </w:r>
            <w:r w:rsidR="003752B9" w:rsidRPr="00C43EF1">
              <w:rPr>
                <w:rFonts w:ascii="Arial" w:eastAsia="Calibri" w:hAnsi="Arial" w:cs="Arial"/>
                <w:sz w:val="18"/>
                <w:szCs w:val="18"/>
              </w:rPr>
              <w:t xml:space="preserve"> omogućava </w:t>
            </w:r>
            <w:r w:rsidRPr="00C43EF1">
              <w:rPr>
                <w:rFonts w:ascii="Arial" w:eastAsia="Calibri" w:hAnsi="Arial" w:cs="Arial"/>
                <w:sz w:val="18"/>
                <w:szCs w:val="18"/>
              </w:rPr>
              <w:t xml:space="preserve">se </w:t>
            </w:r>
            <w:r w:rsidR="003752B9" w:rsidRPr="00C43EF1">
              <w:rPr>
                <w:rFonts w:ascii="Arial" w:eastAsia="Calibri" w:hAnsi="Arial" w:cs="Arial"/>
                <w:sz w:val="18"/>
                <w:szCs w:val="18"/>
              </w:rPr>
              <w:t>obostrano djelovanje u smislu približavanja obiteljskog i vrtićkog okruženja</w:t>
            </w:r>
          </w:p>
        </w:tc>
        <w:tc>
          <w:tcPr>
            <w:tcW w:w="1258" w:type="dxa"/>
            <w:vAlign w:val="center"/>
          </w:tcPr>
          <w:p w14:paraId="27326435" w14:textId="77777777" w:rsidR="003752B9" w:rsidRPr="00C43EF1" w:rsidRDefault="003752B9" w:rsidP="003752B9">
            <w:pPr>
              <w:rPr>
                <w:rFonts w:ascii="Arial" w:eastAsia="Calibri" w:hAnsi="Arial" w:cs="Arial"/>
                <w:sz w:val="18"/>
                <w:szCs w:val="18"/>
              </w:rPr>
            </w:pPr>
            <w:r w:rsidRPr="00C43EF1">
              <w:rPr>
                <w:rFonts w:ascii="Arial" w:eastAsia="Calibri" w:hAnsi="Arial" w:cs="Arial"/>
                <w:sz w:val="18"/>
                <w:szCs w:val="18"/>
              </w:rPr>
              <w:t>Broj roditeljskih sastanaka godišnje</w:t>
            </w:r>
          </w:p>
        </w:tc>
        <w:tc>
          <w:tcPr>
            <w:tcW w:w="1134" w:type="dxa"/>
            <w:vAlign w:val="center"/>
          </w:tcPr>
          <w:p w14:paraId="533B02EB" w14:textId="556ACDC4" w:rsidR="003752B9" w:rsidRPr="00C43EF1" w:rsidRDefault="00C43EF1" w:rsidP="003752B9">
            <w:pPr>
              <w:jc w:val="center"/>
              <w:rPr>
                <w:rFonts w:ascii="Arial" w:eastAsia="Calibri" w:hAnsi="Arial" w:cs="Arial"/>
                <w:sz w:val="18"/>
                <w:szCs w:val="18"/>
              </w:rPr>
            </w:pPr>
            <w:r w:rsidRPr="00C43EF1">
              <w:rPr>
                <w:rFonts w:ascii="Arial" w:eastAsia="Calibri" w:hAnsi="Arial" w:cs="Arial"/>
                <w:sz w:val="18"/>
                <w:szCs w:val="18"/>
              </w:rPr>
              <w:t xml:space="preserve">34 </w:t>
            </w:r>
            <w:r w:rsidR="003752B9" w:rsidRPr="00C43EF1">
              <w:rPr>
                <w:rFonts w:ascii="Arial" w:eastAsia="Calibri" w:hAnsi="Arial" w:cs="Arial"/>
                <w:sz w:val="18"/>
                <w:szCs w:val="18"/>
              </w:rPr>
              <w:t>sastanka</w:t>
            </w:r>
          </w:p>
        </w:tc>
        <w:tc>
          <w:tcPr>
            <w:tcW w:w="1134" w:type="dxa"/>
            <w:vAlign w:val="center"/>
          </w:tcPr>
          <w:p w14:paraId="19EBDE05" w14:textId="77777777" w:rsidR="003752B9" w:rsidRPr="00C43EF1" w:rsidRDefault="003752B9" w:rsidP="003752B9">
            <w:pPr>
              <w:rPr>
                <w:rFonts w:ascii="Arial" w:eastAsia="Calibri" w:hAnsi="Arial" w:cs="Arial"/>
                <w:sz w:val="18"/>
                <w:szCs w:val="18"/>
              </w:rPr>
            </w:pPr>
            <w:r w:rsidRPr="00C43EF1">
              <w:rPr>
                <w:rFonts w:ascii="Arial" w:eastAsia="Calibri" w:hAnsi="Arial" w:cs="Arial"/>
                <w:sz w:val="18"/>
                <w:szCs w:val="18"/>
              </w:rPr>
              <w:t>Dječji vrtić Konavle</w:t>
            </w:r>
          </w:p>
        </w:tc>
        <w:tc>
          <w:tcPr>
            <w:tcW w:w="1232" w:type="dxa"/>
            <w:vAlign w:val="center"/>
          </w:tcPr>
          <w:p w14:paraId="08B127D5" w14:textId="7831DA7B" w:rsidR="003752B9" w:rsidRPr="00C43EF1" w:rsidRDefault="00C43EF1" w:rsidP="003752B9">
            <w:pPr>
              <w:jc w:val="center"/>
              <w:rPr>
                <w:rFonts w:ascii="Arial" w:eastAsia="Calibri" w:hAnsi="Arial" w:cs="Arial"/>
                <w:sz w:val="18"/>
                <w:szCs w:val="18"/>
              </w:rPr>
            </w:pPr>
            <w:r w:rsidRPr="00C43EF1">
              <w:rPr>
                <w:rFonts w:ascii="Arial" w:eastAsia="Calibri" w:hAnsi="Arial" w:cs="Arial"/>
                <w:sz w:val="18"/>
                <w:szCs w:val="18"/>
              </w:rPr>
              <w:t>35</w:t>
            </w:r>
            <w:r w:rsidR="003752B9" w:rsidRPr="00C43EF1">
              <w:rPr>
                <w:rFonts w:ascii="Arial" w:eastAsia="Calibri" w:hAnsi="Arial" w:cs="Arial"/>
                <w:sz w:val="18"/>
                <w:szCs w:val="18"/>
              </w:rPr>
              <w:t xml:space="preserve"> sastanka</w:t>
            </w:r>
          </w:p>
        </w:tc>
        <w:tc>
          <w:tcPr>
            <w:tcW w:w="1276" w:type="dxa"/>
            <w:vAlign w:val="center"/>
          </w:tcPr>
          <w:p w14:paraId="0F51CAD5" w14:textId="6D84B947" w:rsidR="003752B9" w:rsidRPr="00C43EF1" w:rsidRDefault="00C43EF1" w:rsidP="00E37C5F">
            <w:pPr>
              <w:jc w:val="center"/>
              <w:rPr>
                <w:rFonts w:ascii="Arial" w:eastAsia="Calibri" w:hAnsi="Arial" w:cs="Arial"/>
                <w:sz w:val="18"/>
                <w:szCs w:val="18"/>
              </w:rPr>
            </w:pPr>
            <w:r w:rsidRPr="00C43EF1">
              <w:rPr>
                <w:rFonts w:ascii="Arial" w:eastAsia="Calibri" w:hAnsi="Arial" w:cs="Arial"/>
                <w:sz w:val="18"/>
                <w:szCs w:val="18"/>
              </w:rPr>
              <w:t>14</w:t>
            </w:r>
            <w:r w:rsidR="003752B9" w:rsidRPr="00C43EF1">
              <w:rPr>
                <w:rFonts w:ascii="Arial" w:eastAsia="Calibri" w:hAnsi="Arial" w:cs="Arial"/>
                <w:sz w:val="18"/>
                <w:szCs w:val="18"/>
              </w:rPr>
              <w:t xml:space="preserve"> sastanka</w:t>
            </w:r>
          </w:p>
        </w:tc>
        <w:tc>
          <w:tcPr>
            <w:tcW w:w="1276" w:type="dxa"/>
            <w:vAlign w:val="center"/>
          </w:tcPr>
          <w:p w14:paraId="4FDF068C" w14:textId="284E92B9" w:rsidR="003752B9" w:rsidRPr="00C43EF1" w:rsidRDefault="001403E1" w:rsidP="003752B9">
            <w:pPr>
              <w:jc w:val="center"/>
              <w:rPr>
                <w:rFonts w:ascii="Arial" w:eastAsia="Calibri" w:hAnsi="Arial" w:cs="Arial"/>
                <w:sz w:val="18"/>
                <w:szCs w:val="18"/>
              </w:rPr>
            </w:pPr>
            <w:r w:rsidRPr="00C43EF1">
              <w:rPr>
                <w:rFonts w:ascii="Arial" w:eastAsia="Calibri" w:hAnsi="Arial" w:cs="Arial"/>
                <w:sz w:val="18"/>
                <w:szCs w:val="18"/>
              </w:rPr>
              <w:t>40</w:t>
            </w:r>
            <w:r w:rsidR="003752B9" w:rsidRPr="00C43EF1">
              <w:rPr>
                <w:rFonts w:ascii="Arial" w:eastAsia="Calibri" w:hAnsi="Arial" w:cs="Arial"/>
                <w:sz w:val="18"/>
                <w:szCs w:val="18"/>
              </w:rPr>
              <w:t xml:space="preserve"> sastanaka</w:t>
            </w:r>
          </w:p>
        </w:tc>
        <w:tc>
          <w:tcPr>
            <w:tcW w:w="1297" w:type="dxa"/>
            <w:vAlign w:val="center"/>
          </w:tcPr>
          <w:p w14:paraId="3A0B1967" w14:textId="18277E17" w:rsidR="003752B9" w:rsidRPr="00C43EF1" w:rsidRDefault="00DD4272" w:rsidP="003752B9">
            <w:pPr>
              <w:jc w:val="center"/>
              <w:rPr>
                <w:rFonts w:ascii="Arial" w:eastAsia="Calibri" w:hAnsi="Arial" w:cs="Arial"/>
                <w:sz w:val="18"/>
                <w:szCs w:val="18"/>
              </w:rPr>
            </w:pPr>
            <w:r w:rsidRPr="00C43EF1">
              <w:rPr>
                <w:rFonts w:ascii="Arial" w:eastAsia="Calibri" w:hAnsi="Arial" w:cs="Arial"/>
                <w:sz w:val="18"/>
                <w:szCs w:val="18"/>
              </w:rPr>
              <w:t>40</w:t>
            </w:r>
            <w:r w:rsidR="003752B9" w:rsidRPr="00C43EF1">
              <w:rPr>
                <w:rFonts w:ascii="Arial" w:eastAsia="Calibri" w:hAnsi="Arial" w:cs="Arial"/>
                <w:sz w:val="18"/>
                <w:szCs w:val="18"/>
              </w:rPr>
              <w:t xml:space="preserve"> sastanaka</w:t>
            </w:r>
          </w:p>
        </w:tc>
      </w:tr>
    </w:tbl>
    <w:p w14:paraId="69CB98E0" w14:textId="02DF109D" w:rsidR="008A4B00" w:rsidRPr="002C5474" w:rsidRDefault="008A4B00" w:rsidP="008A4B00">
      <w:pPr>
        <w:overflowPunct w:val="0"/>
        <w:autoSpaceDE w:val="0"/>
        <w:autoSpaceDN w:val="0"/>
        <w:adjustRightInd w:val="0"/>
        <w:spacing w:after="0" w:line="240" w:lineRule="auto"/>
        <w:jc w:val="both"/>
        <w:rPr>
          <w:rFonts w:ascii="Arial" w:eastAsia="Times New Roman" w:hAnsi="Arial" w:cs="Arial"/>
          <w:sz w:val="20"/>
          <w:szCs w:val="20"/>
        </w:rPr>
      </w:pPr>
      <w:r w:rsidRPr="002C5474">
        <w:rPr>
          <w:rFonts w:ascii="Arial" w:eastAsia="Times New Roman" w:hAnsi="Arial" w:cs="Arial"/>
          <w:b/>
          <w:bCs/>
          <w:sz w:val="20"/>
          <w:szCs w:val="20"/>
        </w:rPr>
        <w:t>Obrazloženje:</w:t>
      </w:r>
      <w:r w:rsidRPr="002C5474">
        <w:rPr>
          <w:rFonts w:ascii="Arial" w:eastAsia="Times New Roman" w:hAnsi="Arial" w:cs="Arial"/>
          <w:sz w:val="20"/>
          <w:szCs w:val="20"/>
        </w:rPr>
        <w:t xml:space="preserve"> U razdoblju od 1. do </w:t>
      </w:r>
      <w:r w:rsidR="00C43EF1">
        <w:rPr>
          <w:rFonts w:ascii="Arial" w:eastAsia="Times New Roman" w:hAnsi="Arial" w:cs="Arial"/>
          <w:sz w:val="20"/>
          <w:szCs w:val="20"/>
        </w:rPr>
        <w:t>6</w:t>
      </w:r>
      <w:r w:rsidRPr="002C5474">
        <w:rPr>
          <w:rFonts w:ascii="Arial" w:eastAsia="Times New Roman" w:hAnsi="Arial" w:cs="Arial"/>
          <w:sz w:val="20"/>
          <w:szCs w:val="20"/>
        </w:rPr>
        <w:t>. mjeseca 202</w:t>
      </w:r>
      <w:r w:rsidR="00C43EF1">
        <w:rPr>
          <w:rFonts w:ascii="Arial" w:eastAsia="Times New Roman" w:hAnsi="Arial" w:cs="Arial"/>
          <w:sz w:val="20"/>
          <w:szCs w:val="20"/>
        </w:rPr>
        <w:t>5</w:t>
      </w:r>
      <w:r w:rsidRPr="002C5474">
        <w:rPr>
          <w:rFonts w:ascii="Arial" w:eastAsia="Times New Roman" w:hAnsi="Arial" w:cs="Arial"/>
          <w:sz w:val="20"/>
          <w:szCs w:val="20"/>
        </w:rPr>
        <w:t xml:space="preserve">. godine održana su </w:t>
      </w:r>
      <w:r w:rsidR="00C43EF1">
        <w:rPr>
          <w:rFonts w:ascii="Arial" w:eastAsia="Times New Roman" w:hAnsi="Arial" w:cs="Arial"/>
          <w:sz w:val="20"/>
          <w:szCs w:val="20"/>
        </w:rPr>
        <w:t>14</w:t>
      </w:r>
      <w:r w:rsidRPr="002C5474">
        <w:rPr>
          <w:rFonts w:ascii="Arial" w:eastAsia="Times New Roman" w:hAnsi="Arial" w:cs="Arial"/>
          <w:sz w:val="20"/>
          <w:szCs w:val="20"/>
        </w:rPr>
        <w:t>. roditeljsk</w:t>
      </w:r>
      <w:r w:rsidR="00C43EF1">
        <w:rPr>
          <w:rFonts w:ascii="Arial" w:eastAsia="Times New Roman" w:hAnsi="Arial" w:cs="Arial"/>
          <w:sz w:val="20"/>
          <w:szCs w:val="20"/>
        </w:rPr>
        <w:t>ih</w:t>
      </w:r>
      <w:r w:rsidRPr="002C5474">
        <w:rPr>
          <w:rFonts w:ascii="Arial" w:eastAsia="Times New Roman" w:hAnsi="Arial" w:cs="Arial"/>
          <w:sz w:val="20"/>
          <w:szCs w:val="20"/>
        </w:rPr>
        <w:t xml:space="preserve"> sastan</w:t>
      </w:r>
      <w:r w:rsidR="00C43EF1">
        <w:rPr>
          <w:rFonts w:ascii="Arial" w:eastAsia="Times New Roman" w:hAnsi="Arial" w:cs="Arial"/>
          <w:sz w:val="20"/>
          <w:szCs w:val="20"/>
        </w:rPr>
        <w:t>a</w:t>
      </w:r>
      <w:r w:rsidRPr="002C5474">
        <w:rPr>
          <w:rFonts w:ascii="Arial" w:eastAsia="Times New Roman" w:hAnsi="Arial" w:cs="Arial"/>
          <w:sz w:val="20"/>
          <w:szCs w:val="20"/>
        </w:rPr>
        <w:t>ka od strane stručnih suradnika i odgojitelja.</w:t>
      </w:r>
    </w:p>
    <w:p w14:paraId="194EF0C0" w14:textId="77777777" w:rsidR="00962DD2" w:rsidRPr="00D12A0C" w:rsidRDefault="00962DD2" w:rsidP="003752B9">
      <w:pPr>
        <w:spacing w:after="0" w:line="240" w:lineRule="auto"/>
        <w:rPr>
          <w:rFonts w:ascii="Arial" w:eastAsia="Calibri" w:hAnsi="Arial" w:cs="Arial"/>
          <w:sz w:val="20"/>
          <w:szCs w:val="20"/>
        </w:rPr>
      </w:pPr>
    </w:p>
    <w:p w14:paraId="2C6D7BBE" w14:textId="77777777" w:rsidR="003752B9" w:rsidRPr="00D12A0C" w:rsidRDefault="003752B9" w:rsidP="003752B9">
      <w:pPr>
        <w:spacing w:after="0" w:line="240" w:lineRule="auto"/>
        <w:contextualSpacing/>
        <w:jc w:val="center"/>
        <w:rPr>
          <w:rFonts w:ascii="Arial" w:eastAsia="Calibri" w:hAnsi="Arial" w:cs="Arial"/>
          <w:b/>
          <w:sz w:val="20"/>
          <w:u w:val="dotted"/>
          <w:lang w:eastAsia="en-US"/>
        </w:rPr>
      </w:pPr>
      <w:r w:rsidRPr="00D12A0C">
        <w:rPr>
          <w:rFonts w:ascii="Arial" w:eastAsia="Calibri" w:hAnsi="Arial" w:cs="Arial"/>
          <w:b/>
          <w:sz w:val="20"/>
          <w:u w:val="dotted"/>
          <w:lang w:eastAsia="en-US"/>
        </w:rPr>
        <w:t>3.</w:t>
      </w:r>
      <w:r w:rsidRPr="00D12A0C">
        <w:rPr>
          <w:rFonts w:ascii="Arial" w:eastAsia="Calibri" w:hAnsi="Arial" w:cs="Arial"/>
          <w:b/>
          <w:sz w:val="20"/>
          <w:u w:val="dotted"/>
          <w:lang w:eastAsia="en-US"/>
        </w:rPr>
        <w:tab/>
        <w:t>Program „Rastimo zajedno“</w:t>
      </w:r>
    </w:p>
    <w:p w14:paraId="7F30FD97" w14:textId="77777777" w:rsidR="003752B9" w:rsidRPr="00D12A0C" w:rsidRDefault="003752B9" w:rsidP="003752B9">
      <w:pPr>
        <w:spacing w:after="0" w:line="240" w:lineRule="auto"/>
        <w:rPr>
          <w:rFonts w:ascii="Arial" w:eastAsia="Calibri" w:hAnsi="Arial" w:cs="Arial"/>
          <w:sz w:val="20"/>
          <w:szCs w:val="20"/>
        </w:rPr>
      </w:pPr>
    </w:p>
    <w:tbl>
      <w:tblPr>
        <w:tblStyle w:val="Reetkatablice22"/>
        <w:tblW w:w="13967" w:type="dxa"/>
        <w:jc w:val="center"/>
        <w:tblLayout w:type="fixed"/>
        <w:tblLook w:val="04A0" w:firstRow="1" w:lastRow="0" w:firstColumn="1" w:lastColumn="0" w:noHBand="0" w:noVBand="1"/>
      </w:tblPr>
      <w:tblGrid>
        <w:gridCol w:w="2122"/>
        <w:gridCol w:w="2693"/>
        <w:gridCol w:w="1803"/>
        <w:gridCol w:w="1134"/>
        <w:gridCol w:w="1134"/>
        <w:gridCol w:w="1232"/>
        <w:gridCol w:w="1276"/>
        <w:gridCol w:w="1276"/>
        <w:gridCol w:w="1297"/>
      </w:tblGrid>
      <w:tr w:rsidR="00D12A0C" w:rsidRPr="00D12A0C" w14:paraId="00A7E9EF" w14:textId="77777777" w:rsidTr="002E0731">
        <w:trPr>
          <w:jc w:val="center"/>
        </w:trPr>
        <w:tc>
          <w:tcPr>
            <w:tcW w:w="2122" w:type="dxa"/>
            <w:shd w:val="clear" w:color="auto" w:fill="BFBFBF" w:themeFill="background1" w:themeFillShade="BF"/>
            <w:vAlign w:val="center"/>
          </w:tcPr>
          <w:p w14:paraId="157D7455" w14:textId="77777777" w:rsidR="003752B9" w:rsidRPr="00D12A0C" w:rsidRDefault="003752B9" w:rsidP="003752B9">
            <w:pPr>
              <w:jc w:val="center"/>
              <w:rPr>
                <w:rFonts w:ascii="Arial" w:eastAsia="Calibri" w:hAnsi="Arial" w:cs="Arial"/>
              </w:rPr>
            </w:pPr>
            <w:r w:rsidRPr="00D12A0C">
              <w:rPr>
                <w:rFonts w:ascii="Arial" w:eastAsia="Calibri" w:hAnsi="Arial" w:cs="Arial"/>
              </w:rPr>
              <w:t>Pokazatelj uspješnosti</w:t>
            </w:r>
          </w:p>
        </w:tc>
        <w:tc>
          <w:tcPr>
            <w:tcW w:w="2693" w:type="dxa"/>
            <w:shd w:val="clear" w:color="auto" w:fill="BFBFBF" w:themeFill="background1" w:themeFillShade="BF"/>
            <w:vAlign w:val="center"/>
          </w:tcPr>
          <w:p w14:paraId="08E498B4" w14:textId="77777777" w:rsidR="003752B9" w:rsidRPr="00D12A0C" w:rsidRDefault="003752B9" w:rsidP="003752B9">
            <w:pPr>
              <w:jc w:val="center"/>
              <w:rPr>
                <w:rFonts w:ascii="Arial" w:eastAsia="Calibri" w:hAnsi="Arial" w:cs="Arial"/>
              </w:rPr>
            </w:pPr>
            <w:r w:rsidRPr="00D12A0C">
              <w:rPr>
                <w:rFonts w:ascii="Arial" w:eastAsia="Calibri" w:hAnsi="Arial" w:cs="Arial"/>
              </w:rPr>
              <w:t>Definicija</w:t>
            </w:r>
          </w:p>
        </w:tc>
        <w:tc>
          <w:tcPr>
            <w:tcW w:w="1803" w:type="dxa"/>
            <w:shd w:val="clear" w:color="auto" w:fill="BFBFBF" w:themeFill="background1" w:themeFillShade="BF"/>
            <w:vAlign w:val="center"/>
          </w:tcPr>
          <w:p w14:paraId="44C2F13B" w14:textId="77777777" w:rsidR="003752B9" w:rsidRPr="00D12A0C" w:rsidRDefault="003752B9" w:rsidP="003752B9">
            <w:pPr>
              <w:jc w:val="center"/>
              <w:rPr>
                <w:rFonts w:ascii="Arial" w:eastAsia="Calibri" w:hAnsi="Arial" w:cs="Arial"/>
              </w:rPr>
            </w:pPr>
            <w:r w:rsidRPr="00D12A0C">
              <w:rPr>
                <w:rFonts w:ascii="Arial" w:eastAsia="Calibri" w:hAnsi="Arial" w:cs="Arial"/>
              </w:rPr>
              <w:t>Jedinica</w:t>
            </w:r>
          </w:p>
        </w:tc>
        <w:tc>
          <w:tcPr>
            <w:tcW w:w="1134" w:type="dxa"/>
            <w:shd w:val="clear" w:color="auto" w:fill="BFBFBF" w:themeFill="background1" w:themeFillShade="BF"/>
            <w:vAlign w:val="center"/>
          </w:tcPr>
          <w:p w14:paraId="05AD34FC" w14:textId="2DA26BCA" w:rsidR="003752B9" w:rsidRPr="00D12A0C" w:rsidRDefault="003752B9" w:rsidP="003752B9">
            <w:pPr>
              <w:jc w:val="center"/>
              <w:rPr>
                <w:rFonts w:ascii="Arial" w:eastAsia="Calibri" w:hAnsi="Arial" w:cs="Arial"/>
              </w:rPr>
            </w:pPr>
            <w:r w:rsidRPr="00D12A0C">
              <w:rPr>
                <w:rFonts w:ascii="Arial" w:eastAsia="Calibri" w:hAnsi="Arial" w:cs="Arial"/>
              </w:rPr>
              <w:t>Polazna vrijednost</w:t>
            </w:r>
            <w:r w:rsidR="008A4B00" w:rsidRPr="00D12A0C">
              <w:rPr>
                <w:rFonts w:ascii="Arial" w:eastAsia="Calibri" w:hAnsi="Arial" w:cs="Arial"/>
              </w:rPr>
              <w:t xml:space="preserve"> 202</w:t>
            </w:r>
            <w:r w:rsidR="007F65BB">
              <w:rPr>
                <w:rFonts w:ascii="Arial" w:eastAsia="Calibri" w:hAnsi="Arial" w:cs="Arial"/>
              </w:rPr>
              <w:t>4</w:t>
            </w:r>
            <w:r w:rsidR="008A4B00" w:rsidRPr="00D12A0C">
              <w:rPr>
                <w:rFonts w:ascii="Arial" w:eastAsia="Calibri" w:hAnsi="Arial" w:cs="Arial"/>
              </w:rPr>
              <w:t>.</w:t>
            </w:r>
          </w:p>
        </w:tc>
        <w:tc>
          <w:tcPr>
            <w:tcW w:w="1134" w:type="dxa"/>
            <w:shd w:val="clear" w:color="auto" w:fill="BFBFBF" w:themeFill="background1" w:themeFillShade="BF"/>
            <w:vAlign w:val="center"/>
          </w:tcPr>
          <w:p w14:paraId="60D66523" w14:textId="77777777" w:rsidR="003752B9" w:rsidRPr="00D12A0C" w:rsidRDefault="003752B9" w:rsidP="003752B9">
            <w:pPr>
              <w:jc w:val="center"/>
              <w:rPr>
                <w:rFonts w:ascii="Arial" w:eastAsia="Calibri" w:hAnsi="Arial" w:cs="Arial"/>
              </w:rPr>
            </w:pPr>
            <w:r w:rsidRPr="00D12A0C">
              <w:rPr>
                <w:rFonts w:ascii="Arial" w:eastAsia="Calibri" w:hAnsi="Arial" w:cs="Arial"/>
              </w:rPr>
              <w:t>Izvor podataka</w:t>
            </w:r>
          </w:p>
        </w:tc>
        <w:tc>
          <w:tcPr>
            <w:tcW w:w="1232" w:type="dxa"/>
            <w:shd w:val="clear" w:color="auto" w:fill="BFBFBF" w:themeFill="background1" w:themeFillShade="BF"/>
            <w:vAlign w:val="center"/>
          </w:tcPr>
          <w:p w14:paraId="1BF2D565" w14:textId="70F5F85D" w:rsidR="003752B9" w:rsidRPr="00D12A0C" w:rsidRDefault="003752B9" w:rsidP="00CB07CA">
            <w:pPr>
              <w:jc w:val="center"/>
              <w:rPr>
                <w:rFonts w:ascii="Arial" w:eastAsia="Calibri" w:hAnsi="Arial" w:cs="Arial"/>
              </w:rPr>
            </w:pPr>
            <w:r w:rsidRPr="00D12A0C">
              <w:rPr>
                <w:rFonts w:ascii="Arial" w:eastAsia="Calibri" w:hAnsi="Arial" w:cs="Arial"/>
              </w:rPr>
              <w:t>Ciljana vrijednost 20</w:t>
            </w:r>
            <w:r w:rsidR="00CB07CA" w:rsidRPr="00D12A0C">
              <w:rPr>
                <w:rFonts w:ascii="Arial" w:eastAsia="Calibri" w:hAnsi="Arial" w:cs="Arial"/>
              </w:rPr>
              <w:t>2</w:t>
            </w:r>
            <w:r w:rsidR="007F65BB">
              <w:rPr>
                <w:rFonts w:ascii="Arial" w:eastAsia="Calibri" w:hAnsi="Arial" w:cs="Arial"/>
              </w:rPr>
              <w:t>5</w:t>
            </w:r>
          </w:p>
        </w:tc>
        <w:tc>
          <w:tcPr>
            <w:tcW w:w="1276" w:type="dxa"/>
            <w:shd w:val="clear" w:color="auto" w:fill="BFBFBF" w:themeFill="background1" w:themeFillShade="BF"/>
            <w:vAlign w:val="center"/>
          </w:tcPr>
          <w:p w14:paraId="4DF149D3" w14:textId="405D7852" w:rsidR="003752B9" w:rsidRPr="00D12A0C" w:rsidRDefault="003752B9" w:rsidP="003752B9">
            <w:pPr>
              <w:jc w:val="center"/>
              <w:rPr>
                <w:rFonts w:ascii="Arial" w:eastAsia="Calibri" w:hAnsi="Arial" w:cs="Arial"/>
              </w:rPr>
            </w:pPr>
            <w:r w:rsidRPr="00D12A0C">
              <w:rPr>
                <w:rFonts w:ascii="Arial" w:eastAsia="Calibri" w:hAnsi="Arial" w:cs="Arial"/>
              </w:rPr>
              <w:t>Izvršeno</w:t>
            </w:r>
            <w:r w:rsidR="008A4B00" w:rsidRPr="00D12A0C">
              <w:rPr>
                <w:rFonts w:ascii="Arial" w:eastAsia="Calibri" w:hAnsi="Arial" w:cs="Arial"/>
              </w:rPr>
              <w:t xml:space="preserve"> 202</w:t>
            </w:r>
            <w:r w:rsidR="007F65BB">
              <w:rPr>
                <w:rFonts w:ascii="Arial" w:eastAsia="Calibri" w:hAnsi="Arial" w:cs="Arial"/>
              </w:rPr>
              <w:t>5</w:t>
            </w:r>
            <w:r w:rsidR="008A4B00" w:rsidRPr="00D12A0C">
              <w:rPr>
                <w:rFonts w:ascii="Arial" w:eastAsia="Calibri" w:hAnsi="Arial" w:cs="Arial"/>
              </w:rPr>
              <w:t>.</w:t>
            </w:r>
          </w:p>
        </w:tc>
        <w:tc>
          <w:tcPr>
            <w:tcW w:w="1276" w:type="dxa"/>
            <w:shd w:val="clear" w:color="auto" w:fill="BFBFBF" w:themeFill="background1" w:themeFillShade="BF"/>
            <w:vAlign w:val="center"/>
          </w:tcPr>
          <w:p w14:paraId="3CA9FE17" w14:textId="3E1E2792" w:rsidR="003752B9" w:rsidRPr="00D12A0C" w:rsidRDefault="003752B9" w:rsidP="00CB07CA">
            <w:pPr>
              <w:jc w:val="center"/>
              <w:rPr>
                <w:rFonts w:ascii="Arial" w:eastAsia="Calibri" w:hAnsi="Arial" w:cs="Arial"/>
              </w:rPr>
            </w:pPr>
            <w:r w:rsidRPr="00D12A0C">
              <w:rPr>
                <w:rFonts w:ascii="Arial" w:eastAsia="Calibri" w:hAnsi="Arial" w:cs="Arial"/>
              </w:rPr>
              <w:t>Ciljana vrijednost 20</w:t>
            </w:r>
            <w:r w:rsidR="00CB07CA" w:rsidRPr="00D12A0C">
              <w:rPr>
                <w:rFonts w:ascii="Arial" w:eastAsia="Calibri" w:hAnsi="Arial" w:cs="Arial"/>
              </w:rPr>
              <w:t>2</w:t>
            </w:r>
            <w:r w:rsidR="007F65BB">
              <w:rPr>
                <w:rFonts w:ascii="Arial" w:eastAsia="Calibri" w:hAnsi="Arial" w:cs="Arial"/>
              </w:rPr>
              <w:t>6</w:t>
            </w:r>
            <w:r w:rsidRPr="00D12A0C">
              <w:rPr>
                <w:rFonts w:ascii="Arial" w:eastAsia="Calibri" w:hAnsi="Arial" w:cs="Arial"/>
              </w:rPr>
              <w:t>.</w:t>
            </w:r>
          </w:p>
        </w:tc>
        <w:tc>
          <w:tcPr>
            <w:tcW w:w="1297" w:type="dxa"/>
            <w:shd w:val="clear" w:color="auto" w:fill="BFBFBF" w:themeFill="background1" w:themeFillShade="BF"/>
            <w:vAlign w:val="center"/>
          </w:tcPr>
          <w:p w14:paraId="60859B69" w14:textId="53DE678C" w:rsidR="003752B9" w:rsidRPr="00D12A0C" w:rsidRDefault="003752B9" w:rsidP="00CB07CA">
            <w:pPr>
              <w:jc w:val="center"/>
              <w:rPr>
                <w:rFonts w:ascii="Arial" w:eastAsia="Calibri" w:hAnsi="Arial" w:cs="Arial"/>
              </w:rPr>
            </w:pPr>
            <w:r w:rsidRPr="00D12A0C">
              <w:rPr>
                <w:rFonts w:ascii="Arial" w:eastAsia="Calibri" w:hAnsi="Arial" w:cs="Arial"/>
              </w:rPr>
              <w:t>Ciljana vrijednost 202</w:t>
            </w:r>
            <w:r w:rsidR="007F65BB">
              <w:rPr>
                <w:rFonts w:ascii="Arial" w:eastAsia="Calibri" w:hAnsi="Arial" w:cs="Arial"/>
              </w:rPr>
              <w:t>7.</w:t>
            </w:r>
          </w:p>
        </w:tc>
      </w:tr>
      <w:tr w:rsidR="00D12A0C" w:rsidRPr="00D12A0C" w14:paraId="00FB3214" w14:textId="77777777" w:rsidTr="00F12DCA">
        <w:trPr>
          <w:trHeight w:val="1015"/>
          <w:jc w:val="center"/>
        </w:trPr>
        <w:tc>
          <w:tcPr>
            <w:tcW w:w="2122" w:type="dxa"/>
            <w:vAlign w:val="center"/>
          </w:tcPr>
          <w:p w14:paraId="44C620AF" w14:textId="065552FB" w:rsidR="008A4B00" w:rsidRPr="00D12A0C" w:rsidRDefault="008A4B00" w:rsidP="008A4B00">
            <w:pPr>
              <w:rPr>
                <w:rFonts w:ascii="Arial" w:eastAsia="Calibri" w:hAnsi="Arial" w:cs="Arial"/>
              </w:rPr>
            </w:pPr>
            <w:r w:rsidRPr="00D12A0C">
              <w:rPr>
                <w:rFonts w:ascii="Arial" w:eastAsia="Calibri" w:hAnsi="Arial" w:cs="Arial"/>
              </w:rPr>
              <w:t>broj ciklusa radionica „Rastimo zajedno“</w:t>
            </w:r>
          </w:p>
        </w:tc>
        <w:tc>
          <w:tcPr>
            <w:tcW w:w="2693" w:type="dxa"/>
            <w:vAlign w:val="center"/>
          </w:tcPr>
          <w:p w14:paraId="3530F977" w14:textId="77777777" w:rsidR="008A4B00" w:rsidRPr="00D12A0C" w:rsidRDefault="008A4B00" w:rsidP="008A4B00">
            <w:pPr>
              <w:rPr>
                <w:rFonts w:ascii="Arial" w:eastAsia="Calibri" w:hAnsi="Arial" w:cs="Arial"/>
              </w:rPr>
            </w:pPr>
            <w:r w:rsidRPr="00D12A0C">
              <w:rPr>
                <w:rFonts w:ascii="Arial" w:eastAsia="Calibri" w:hAnsi="Arial" w:cs="Arial"/>
              </w:rPr>
              <w:t>Jačanje roditeljskih kompetencija</w:t>
            </w:r>
          </w:p>
          <w:p w14:paraId="7FE0AF84" w14:textId="08145F94" w:rsidR="008A4B00" w:rsidRPr="00D12A0C" w:rsidRDefault="008A4B00" w:rsidP="008A4B00">
            <w:pPr>
              <w:rPr>
                <w:rFonts w:ascii="Arial" w:eastAsia="Calibri" w:hAnsi="Arial" w:cs="Arial"/>
              </w:rPr>
            </w:pPr>
          </w:p>
        </w:tc>
        <w:tc>
          <w:tcPr>
            <w:tcW w:w="1803" w:type="dxa"/>
            <w:vAlign w:val="center"/>
          </w:tcPr>
          <w:p w14:paraId="2B36F713" w14:textId="19B6BE4D" w:rsidR="008A4B00" w:rsidRPr="00D12A0C" w:rsidRDefault="008A4B00" w:rsidP="008A4B00">
            <w:pPr>
              <w:jc w:val="center"/>
              <w:rPr>
                <w:rFonts w:ascii="Arial" w:eastAsia="Calibri" w:hAnsi="Arial" w:cs="Arial"/>
                <w:sz w:val="18"/>
              </w:rPr>
            </w:pPr>
            <w:r w:rsidRPr="00D12A0C">
              <w:rPr>
                <w:rFonts w:ascii="Arial" w:eastAsia="Calibri" w:hAnsi="Arial" w:cs="Arial"/>
                <w:sz w:val="18"/>
              </w:rPr>
              <w:t xml:space="preserve">1 ciklus Rastimo zajedno za roditelje </w:t>
            </w:r>
            <w:r w:rsidRPr="00F12DCA">
              <w:rPr>
                <w:rFonts w:ascii="Arial" w:eastAsia="Calibri" w:hAnsi="Arial" w:cs="Arial"/>
                <w:sz w:val="18"/>
                <w:szCs w:val="18"/>
              </w:rPr>
              <w:t>(11 susreta , jednom tjedno po dva sata)</w:t>
            </w:r>
            <w:r w:rsidRPr="00F12DCA">
              <w:rPr>
                <w:rFonts w:ascii="Arial" w:eastAsia="Calibri" w:hAnsi="Arial" w:cs="Arial"/>
                <w:sz w:val="16"/>
                <w:szCs w:val="18"/>
              </w:rPr>
              <w:t xml:space="preserve"> </w:t>
            </w:r>
          </w:p>
        </w:tc>
        <w:tc>
          <w:tcPr>
            <w:tcW w:w="1134" w:type="dxa"/>
            <w:vAlign w:val="center"/>
          </w:tcPr>
          <w:p w14:paraId="76B16B44" w14:textId="697BFBC8" w:rsidR="008A4B00" w:rsidRPr="00D12A0C" w:rsidRDefault="008A4B00" w:rsidP="008A4B00">
            <w:pPr>
              <w:jc w:val="center"/>
              <w:rPr>
                <w:rFonts w:ascii="Arial" w:eastAsia="Calibri" w:hAnsi="Arial" w:cs="Arial"/>
              </w:rPr>
            </w:pPr>
            <w:r w:rsidRPr="00D12A0C">
              <w:rPr>
                <w:rFonts w:ascii="Arial" w:eastAsia="Calibri" w:hAnsi="Arial" w:cs="Arial"/>
              </w:rPr>
              <w:t>1 ciklusa</w:t>
            </w:r>
          </w:p>
        </w:tc>
        <w:tc>
          <w:tcPr>
            <w:tcW w:w="1134" w:type="dxa"/>
            <w:vAlign w:val="center"/>
          </w:tcPr>
          <w:p w14:paraId="0F6D07F7" w14:textId="77777777" w:rsidR="008A4B00" w:rsidRPr="00D12A0C" w:rsidRDefault="008A4B00" w:rsidP="008A4B00">
            <w:pPr>
              <w:jc w:val="center"/>
              <w:rPr>
                <w:rFonts w:ascii="Arial" w:eastAsia="Calibri" w:hAnsi="Arial" w:cs="Arial"/>
              </w:rPr>
            </w:pPr>
            <w:r w:rsidRPr="00D12A0C">
              <w:rPr>
                <w:rFonts w:ascii="Arial" w:eastAsia="Calibri" w:hAnsi="Arial" w:cs="Arial"/>
              </w:rPr>
              <w:t>Dječji vrtić Konavle</w:t>
            </w:r>
          </w:p>
        </w:tc>
        <w:tc>
          <w:tcPr>
            <w:tcW w:w="1232" w:type="dxa"/>
            <w:vAlign w:val="center"/>
          </w:tcPr>
          <w:p w14:paraId="64D756BC" w14:textId="54FE1DD0" w:rsidR="008A4B00" w:rsidRPr="00D12A0C" w:rsidRDefault="008A4B00" w:rsidP="008A4B00">
            <w:pPr>
              <w:jc w:val="center"/>
              <w:rPr>
                <w:rFonts w:ascii="Arial" w:eastAsia="Calibri" w:hAnsi="Arial" w:cs="Arial"/>
              </w:rPr>
            </w:pPr>
            <w:r w:rsidRPr="00D12A0C">
              <w:rPr>
                <w:rFonts w:ascii="Arial" w:eastAsia="Calibri" w:hAnsi="Arial" w:cs="Arial"/>
              </w:rPr>
              <w:t>1 ciklusa</w:t>
            </w:r>
          </w:p>
        </w:tc>
        <w:tc>
          <w:tcPr>
            <w:tcW w:w="1276" w:type="dxa"/>
            <w:vAlign w:val="center"/>
          </w:tcPr>
          <w:p w14:paraId="3427597E" w14:textId="6A88CB9C" w:rsidR="008A4B00" w:rsidRPr="00D12A0C" w:rsidRDefault="008A4B00" w:rsidP="008A4B00">
            <w:pPr>
              <w:jc w:val="center"/>
              <w:rPr>
                <w:rFonts w:ascii="Arial" w:eastAsia="Calibri" w:hAnsi="Arial" w:cs="Arial"/>
              </w:rPr>
            </w:pPr>
            <w:r w:rsidRPr="00D12A0C">
              <w:rPr>
                <w:rFonts w:ascii="Arial" w:eastAsia="Calibri" w:hAnsi="Arial" w:cs="Arial"/>
              </w:rPr>
              <w:t>1 ciklus</w:t>
            </w:r>
          </w:p>
        </w:tc>
        <w:tc>
          <w:tcPr>
            <w:tcW w:w="1276" w:type="dxa"/>
            <w:vAlign w:val="center"/>
          </w:tcPr>
          <w:p w14:paraId="64A0FF87" w14:textId="1CF817C9" w:rsidR="008A4B00" w:rsidRPr="00D12A0C" w:rsidRDefault="008A4B00" w:rsidP="008A4B00">
            <w:pPr>
              <w:jc w:val="center"/>
              <w:rPr>
                <w:rFonts w:ascii="Arial" w:eastAsia="Calibri" w:hAnsi="Arial" w:cs="Arial"/>
              </w:rPr>
            </w:pPr>
            <w:r w:rsidRPr="00D12A0C">
              <w:rPr>
                <w:rFonts w:ascii="Arial" w:eastAsia="Calibri" w:hAnsi="Arial" w:cs="Arial"/>
              </w:rPr>
              <w:t>1 ciklus</w:t>
            </w:r>
          </w:p>
        </w:tc>
        <w:tc>
          <w:tcPr>
            <w:tcW w:w="1297" w:type="dxa"/>
            <w:vAlign w:val="center"/>
          </w:tcPr>
          <w:p w14:paraId="0F77C632" w14:textId="74B53403" w:rsidR="008A4B00" w:rsidRPr="00D12A0C" w:rsidRDefault="008A4B00" w:rsidP="008A4B00">
            <w:pPr>
              <w:jc w:val="center"/>
              <w:rPr>
                <w:rFonts w:ascii="Arial" w:eastAsia="Calibri" w:hAnsi="Arial" w:cs="Arial"/>
              </w:rPr>
            </w:pPr>
            <w:r w:rsidRPr="00D12A0C">
              <w:rPr>
                <w:rFonts w:ascii="Arial" w:eastAsia="Calibri" w:hAnsi="Arial" w:cs="Arial"/>
              </w:rPr>
              <w:t>1 ciklus</w:t>
            </w:r>
          </w:p>
        </w:tc>
      </w:tr>
    </w:tbl>
    <w:p w14:paraId="35ADD102" w14:textId="77777777" w:rsidR="008F1970" w:rsidRPr="00D12A0C" w:rsidRDefault="008F1970" w:rsidP="008A5ACD">
      <w:pPr>
        <w:spacing w:after="0" w:line="240" w:lineRule="auto"/>
        <w:rPr>
          <w:rFonts w:ascii="Arial" w:eastAsia="Calibri" w:hAnsi="Arial" w:cs="Arial"/>
          <w:sz w:val="20"/>
          <w:szCs w:val="20"/>
        </w:rPr>
      </w:pPr>
    </w:p>
    <w:p w14:paraId="09E8166B" w14:textId="738E505C" w:rsidR="008A5ACD" w:rsidRPr="00C43EF1" w:rsidRDefault="008A5ACD" w:rsidP="008A5ACD">
      <w:pPr>
        <w:spacing w:after="0" w:line="240" w:lineRule="auto"/>
        <w:rPr>
          <w:rFonts w:ascii="Arial" w:eastAsia="Calibri" w:hAnsi="Arial" w:cs="Arial"/>
          <w:sz w:val="20"/>
          <w:szCs w:val="20"/>
        </w:rPr>
      </w:pPr>
      <w:r w:rsidRPr="00D12A0C">
        <w:rPr>
          <w:rFonts w:ascii="Arial" w:eastAsia="Calibri" w:hAnsi="Arial" w:cs="Arial"/>
          <w:sz w:val="20"/>
          <w:szCs w:val="20"/>
        </w:rPr>
        <w:t xml:space="preserve">Kontinuiranim održavanjem ciklusa radionica za roditelje djece najmlađe dobi „Rastimo zajedno” koji se sastoji od 11 susreta (jednom tjedno po dva sata) povećava </w:t>
      </w:r>
      <w:r w:rsidRPr="00C43EF1">
        <w:rPr>
          <w:rFonts w:ascii="Arial" w:eastAsia="Calibri" w:hAnsi="Arial" w:cs="Arial"/>
          <w:sz w:val="20"/>
          <w:szCs w:val="20"/>
        </w:rPr>
        <w:t>se broj roditelja uključenih u radionice.</w:t>
      </w:r>
    </w:p>
    <w:p w14:paraId="3FBCC870" w14:textId="77777777" w:rsidR="003752B9" w:rsidRPr="00C43EF1" w:rsidRDefault="003752B9" w:rsidP="003752B9">
      <w:pPr>
        <w:spacing w:after="0" w:line="240" w:lineRule="auto"/>
        <w:rPr>
          <w:rFonts w:ascii="Arial" w:eastAsia="Calibri" w:hAnsi="Arial" w:cs="Arial"/>
          <w:sz w:val="20"/>
          <w:szCs w:val="20"/>
        </w:rPr>
      </w:pPr>
    </w:p>
    <w:p w14:paraId="0A564D8E" w14:textId="06B635F9" w:rsidR="008A4B00" w:rsidRPr="00C43EF1" w:rsidRDefault="008A4B00" w:rsidP="008A4B00">
      <w:pPr>
        <w:spacing w:after="0" w:line="240" w:lineRule="auto"/>
        <w:rPr>
          <w:rFonts w:ascii="Arial" w:eastAsia="Times New Roman" w:hAnsi="Arial" w:cs="Arial"/>
          <w:sz w:val="20"/>
          <w:szCs w:val="20"/>
        </w:rPr>
      </w:pPr>
      <w:r w:rsidRPr="00C43EF1">
        <w:rPr>
          <w:rFonts w:ascii="Arial" w:eastAsia="Times New Roman" w:hAnsi="Arial" w:cs="Arial"/>
          <w:b/>
          <w:sz w:val="20"/>
          <w:szCs w:val="20"/>
        </w:rPr>
        <w:t>Obrazloženje:</w:t>
      </w:r>
      <w:r w:rsidRPr="00C43EF1">
        <w:rPr>
          <w:rFonts w:ascii="Arial" w:eastAsia="Times New Roman" w:hAnsi="Arial" w:cs="Arial"/>
          <w:sz w:val="20"/>
          <w:szCs w:val="20"/>
        </w:rPr>
        <w:t xml:space="preserve"> U razdoblju od 1. do </w:t>
      </w:r>
      <w:r w:rsidR="00C43EF1" w:rsidRPr="00C43EF1">
        <w:rPr>
          <w:rFonts w:ascii="Arial" w:eastAsia="Times New Roman" w:hAnsi="Arial" w:cs="Arial"/>
          <w:sz w:val="20"/>
          <w:szCs w:val="20"/>
        </w:rPr>
        <w:t>6</w:t>
      </w:r>
      <w:r w:rsidRPr="00C43EF1">
        <w:rPr>
          <w:rFonts w:ascii="Arial" w:eastAsia="Times New Roman" w:hAnsi="Arial" w:cs="Arial"/>
          <w:sz w:val="20"/>
          <w:szCs w:val="20"/>
        </w:rPr>
        <w:t>. mjeseca 202</w:t>
      </w:r>
      <w:r w:rsidR="00C43EF1" w:rsidRPr="00C43EF1">
        <w:rPr>
          <w:rFonts w:ascii="Arial" w:eastAsia="Times New Roman" w:hAnsi="Arial" w:cs="Arial"/>
          <w:sz w:val="20"/>
          <w:szCs w:val="20"/>
        </w:rPr>
        <w:t>5</w:t>
      </w:r>
      <w:r w:rsidRPr="00C43EF1">
        <w:rPr>
          <w:rFonts w:ascii="Arial" w:eastAsia="Times New Roman" w:hAnsi="Arial" w:cs="Arial"/>
          <w:sz w:val="20"/>
          <w:szCs w:val="20"/>
        </w:rPr>
        <w:t>. godine održan je 1 ciklus od 11 radionica za roditelje „Rastimo zajedno“.</w:t>
      </w:r>
    </w:p>
    <w:p w14:paraId="399C4D81" w14:textId="77777777" w:rsidR="00656BF1" w:rsidRPr="00D12A0C" w:rsidRDefault="00656BF1" w:rsidP="003752B9">
      <w:pPr>
        <w:spacing w:after="0" w:line="240" w:lineRule="auto"/>
        <w:jc w:val="both"/>
        <w:rPr>
          <w:rFonts w:ascii="Arial" w:eastAsia="Times New Roman" w:hAnsi="Arial" w:cs="Arial"/>
          <w:sz w:val="20"/>
          <w:szCs w:val="20"/>
          <w:lang w:eastAsia="en-US"/>
        </w:rPr>
      </w:pPr>
    </w:p>
    <w:p w14:paraId="50E6443D" w14:textId="77777777" w:rsidR="003752B9" w:rsidRPr="00D12A0C" w:rsidRDefault="003752B9" w:rsidP="003752B9">
      <w:pPr>
        <w:spacing w:after="0" w:line="240" w:lineRule="auto"/>
        <w:rPr>
          <w:rFonts w:ascii="Arial" w:eastAsia="Calibri" w:hAnsi="Arial" w:cs="Arial"/>
          <w:b/>
          <w:sz w:val="20"/>
          <w:szCs w:val="20"/>
          <w:u w:val="single"/>
        </w:rPr>
      </w:pPr>
      <w:r w:rsidRPr="00D12A0C">
        <w:rPr>
          <w:rFonts w:ascii="Arial" w:eastAsia="Calibri" w:hAnsi="Arial" w:cs="Arial"/>
          <w:b/>
          <w:sz w:val="20"/>
          <w:szCs w:val="20"/>
          <w:u w:val="single"/>
        </w:rPr>
        <w:t>CILJ: Održavanje kvalitete zaposlenog kadra</w:t>
      </w:r>
    </w:p>
    <w:p w14:paraId="2CD4B419" w14:textId="77777777" w:rsidR="003752B9" w:rsidRPr="00D12A0C" w:rsidRDefault="003752B9" w:rsidP="003752B9">
      <w:pPr>
        <w:spacing w:after="0" w:line="240" w:lineRule="auto"/>
        <w:rPr>
          <w:rFonts w:ascii="Arial" w:eastAsia="Calibri" w:hAnsi="Arial" w:cs="Arial"/>
          <w:sz w:val="20"/>
          <w:szCs w:val="20"/>
        </w:rPr>
      </w:pPr>
    </w:p>
    <w:p w14:paraId="427B3DCA" w14:textId="77777777" w:rsidR="00167AC4" w:rsidRPr="00D12A0C" w:rsidRDefault="00167AC4" w:rsidP="003752B9">
      <w:pPr>
        <w:spacing w:after="0" w:line="240" w:lineRule="auto"/>
        <w:rPr>
          <w:rFonts w:ascii="Arial" w:eastAsia="Calibri" w:hAnsi="Arial" w:cs="Arial"/>
          <w:sz w:val="20"/>
          <w:szCs w:val="20"/>
        </w:rPr>
      </w:pPr>
      <w:r w:rsidRPr="00D12A0C">
        <w:rPr>
          <w:rFonts w:ascii="Arial" w:eastAsia="Calibri" w:hAnsi="Arial" w:cs="Arial"/>
          <w:sz w:val="20"/>
          <w:szCs w:val="20"/>
        </w:rPr>
        <w:t>Stručno usavršavanje svih struktura zaposlenih je Zakonom o predškolskom odgoju i obrazovanju obvezno, direktno utječe na razinu kvalitete odgojno-obrazovnog procesa, te vrtića u cjelini. Ovaj cilj održavanja kvalitete nastoji se postići povećanjem broja sudjelovanja na stručnim edukacijama.</w:t>
      </w:r>
    </w:p>
    <w:p w14:paraId="6DF1E3CF" w14:textId="77777777" w:rsidR="003752B9" w:rsidRPr="00D12A0C" w:rsidRDefault="003752B9" w:rsidP="003752B9">
      <w:pPr>
        <w:spacing w:after="0" w:line="240" w:lineRule="auto"/>
        <w:rPr>
          <w:rFonts w:ascii="Arial" w:eastAsia="Calibri" w:hAnsi="Arial" w:cs="Arial"/>
          <w:sz w:val="20"/>
          <w:szCs w:val="20"/>
        </w:rPr>
      </w:pPr>
    </w:p>
    <w:tbl>
      <w:tblPr>
        <w:tblStyle w:val="Reetkatablice22"/>
        <w:tblW w:w="14213" w:type="dxa"/>
        <w:jc w:val="center"/>
        <w:tblLayout w:type="fixed"/>
        <w:tblLook w:val="04A0" w:firstRow="1" w:lastRow="0" w:firstColumn="1" w:lastColumn="0" w:noHBand="0" w:noVBand="1"/>
      </w:tblPr>
      <w:tblGrid>
        <w:gridCol w:w="2263"/>
        <w:gridCol w:w="2552"/>
        <w:gridCol w:w="1559"/>
        <w:gridCol w:w="1418"/>
        <w:gridCol w:w="1094"/>
        <w:gridCol w:w="1232"/>
        <w:gridCol w:w="1451"/>
        <w:gridCol w:w="1276"/>
        <w:gridCol w:w="1368"/>
      </w:tblGrid>
      <w:tr w:rsidR="00D12A0C" w:rsidRPr="00D12A0C" w14:paraId="23DC08ED" w14:textId="77777777" w:rsidTr="00F6697E">
        <w:trPr>
          <w:jc w:val="center"/>
        </w:trPr>
        <w:tc>
          <w:tcPr>
            <w:tcW w:w="2263" w:type="dxa"/>
            <w:shd w:val="clear" w:color="auto" w:fill="BFBFBF" w:themeFill="background1" w:themeFillShade="BF"/>
            <w:vAlign w:val="center"/>
          </w:tcPr>
          <w:p w14:paraId="73BD7B5A" w14:textId="77777777" w:rsidR="003752B9" w:rsidRPr="00D12A0C" w:rsidRDefault="003752B9" w:rsidP="003752B9">
            <w:pPr>
              <w:jc w:val="center"/>
              <w:rPr>
                <w:rFonts w:ascii="Arial" w:eastAsia="Calibri" w:hAnsi="Arial" w:cs="Arial"/>
              </w:rPr>
            </w:pPr>
            <w:r w:rsidRPr="00D12A0C">
              <w:rPr>
                <w:rFonts w:ascii="Arial" w:eastAsia="Calibri" w:hAnsi="Arial" w:cs="Arial"/>
              </w:rPr>
              <w:t>Pokazatelj uspješnosti</w:t>
            </w:r>
          </w:p>
        </w:tc>
        <w:tc>
          <w:tcPr>
            <w:tcW w:w="2552" w:type="dxa"/>
            <w:shd w:val="clear" w:color="auto" w:fill="BFBFBF" w:themeFill="background1" w:themeFillShade="BF"/>
            <w:vAlign w:val="center"/>
          </w:tcPr>
          <w:p w14:paraId="47320EFA" w14:textId="77777777" w:rsidR="003752B9" w:rsidRPr="00D12A0C" w:rsidRDefault="003752B9" w:rsidP="003752B9">
            <w:pPr>
              <w:jc w:val="center"/>
              <w:rPr>
                <w:rFonts w:ascii="Arial" w:eastAsia="Calibri" w:hAnsi="Arial" w:cs="Arial"/>
              </w:rPr>
            </w:pPr>
            <w:r w:rsidRPr="00D12A0C">
              <w:rPr>
                <w:rFonts w:ascii="Arial" w:eastAsia="Calibri" w:hAnsi="Arial" w:cs="Arial"/>
              </w:rPr>
              <w:t>Definicija</w:t>
            </w:r>
          </w:p>
        </w:tc>
        <w:tc>
          <w:tcPr>
            <w:tcW w:w="1559" w:type="dxa"/>
            <w:shd w:val="clear" w:color="auto" w:fill="BFBFBF" w:themeFill="background1" w:themeFillShade="BF"/>
            <w:vAlign w:val="center"/>
          </w:tcPr>
          <w:p w14:paraId="66755A38" w14:textId="77777777" w:rsidR="003752B9" w:rsidRPr="00D12A0C" w:rsidRDefault="003752B9" w:rsidP="003752B9">
            <w:pPr>
              <w:jc w:val="center"/>
              <w:rPr>
                <w:rFonts w:ascii="Arial" w:eastAsia="Calibri" w:hAnsi="Arial" w:cs="Arial"/>
              </w:rPr>
            </w:pPr>
            <w:r w:rsidRPr="00D12A0C">
              <w:rPr>
                <w:rFonts w:ascii="Arial" w:eastAsia="Calibri" w:hAnsi="Arial" w:cs="Arial"/>
              </w:rPr>
              <w:t>Jedinica</w:t>
            </w:r>
          </w:p>
        </w:tc>
        <w:tc>
          <w:tcPr>
            <w:tcW w:w="1418" w:type="dxa"/>
            <w:shd w:val="clear" w:color="auto" w:fill="BFBFBF" w:themeFill="background1" w:themeFillShade="BF"/>
            <w:vAlign w:val="center"/>
          </w:tcPr>
          <w:p w14:paraId="3F130889" w14:textId="4D6E1797" w:rsidR="003752B9" w:rsidRPr="00D12A0C" w:rsidRDefault="003752B9" w:rsidP="003752B9">
            <w:pPr>
              <w:jc w:val="center"/>
              <w:rPr>
                <w:rFonts w:ascii="Arial" w:eastAsia="Calibri" w:hAnsi="Arial" w:cs="Arial"/>
              </w:rPr>
            </w:pPr>
            <w:r w:rsidRPr="00D12A0C">
              <w:rPr>
                <w:rFonts w:ascii="Arial" w:eastAsia="Calibri" w:hAnsi="Arial" w:cs="Arial"/>
              </w:rPr>
              <w:t>Polazna vrijednost</w:t>
            </w:r>
            <w:r w:rsidR="008A4B00" w:rsidRPr="00D12A0C">
              <w:rPr>
                <w:rFonts w:ascii="Arial" w:eastAsia="Calibri" w:hAnsi="Arial" w:cs="Arial"/>
              </w:rPr>
              <w:t xml:space="preserve"> 202</w:t>
            </w:r>
            <w:r w:rsidR="003C009B">
              <w:rPr>
                <w:rFonts w:ascii="Arial" w:eastAsia="Calibri" w:hAnsi="Arial" w:cs="Arial"/>
              </w:rPr>
              <w:t>4</w:t>
            </w:r>
            <w:r w:rsidR="008A4B00" w:rsidRPr="00D12A0C">
              <w:rPr>
                <w:rFonts w:ascii="Arial" w:eastAsia="Calibri" w:hAnsi="Arial" w:cs="Arial"/>
              </w:rPr>
              <w:t>.</w:t>
            </w:r>
          </w:p>
        </w:tc>
        <w:tc>
          <w:tcPr>
            <w:tcW w:w="1094" w:type="dxa"/>
            <w:shd w:val="clear" w:color="auto" w:fill="BFBFBF" w:themeFill="background1" w:themeFillShade="BF"/>
            <w:vAlign w:val="center"/>
          </w:tcPr>
          <w:p w14:paraId="583B42B7" w14:textId="77777777" w:rsidR="003752B9" w:rsidRPr="00D12A0C" w:rsidRDefault="003752B9" w:rsidP="003752B9">
            <w:pPr>
              <w:jc w:val="center"/>
              <w:rPr>
                <w:rFonts w:ascii="Arial" w:eastAsia="Calibri" w:hAnsi="Arial" w:cs="Arial"/>
              </w:rPr>
            </w:pPr>
            <w:r w:rsidRPr="00D12A0C">
              <w:rPr>
                <w:rFonts w:ascii="Arial" w:eastAsia="Calibri" w:hAnsi="Arial" w:cs="Arial"/>
              </w:rPr>
              <w:t>Izvor podataka</w:t>
            </w:r>
          </w:p>
        </w:tc>
        <w:tc>
          <w:tcPr>
            <w:tcW w:w="1232" w:type="dxa"/>
            <w:shd w:val="clear" w:color="auto" w:fill="BFBFBF" w:themeFill="background1" w:themeFillShade="BF"/>
            <w:vAlign w:val="center"/>
          </w:tcPr>
          <w:p w14:paraId="747B433D" w14:textId="456384C3" w:rsidR="003752B9" w:rsidRPr="00D12A0C" w:rsidRDefault="003752B9" w:rsidP="0036426F">
            <w:pPr>
              <w:jc w:val="center"/>
              <w:rPr>
                <w:rFonts w:ascii="Arial" w:eastAsia="Calibri" w:hAnsi="Arial" w:cs="Arial"/>
              </w:rPr>
            </w:pPr>
            <w:r w:rsidRPr="00D12A0C">
              <w:rPr>
                <w:rFonts w:ascii="Arial" w:eastAsia="Calibri" w:hAnsi="Arial" w:cs="Arial"/>
              </w:rPr>
              <w:t>Ciljana vrijednost 20</w:t>
            </w:r>
            <w:r w:rsidR="0036426F" w:rsidRPr="00D12A0C">
              <w:rPr>
                <w:rFonts w:ascii="Arial" w:eastAsia="Calibri" w:hAnsi="Arial" w:cs="Arial"/>
              </w:rPr>
              <w:t>2</w:t>
            </w:r>
            <w:r w:rsidR="003C009B">
              <w:rPr>
                <w:rFonts w:ascii="Arial" w:eastAsia="Calibri" w:hAnsi="Arial" w:cs="Arial"/>
              </w:rPr>
              <w:t>5</w:t>
            </w:r>
          </w:p>
        </w:tc>
        <w:tc>
          <w:tcPr>
            <w:tcW w:w="1451" w:type="dxa"/>
            <w:shd w:val="clear" w:color="auto" w:fill="BFBFBF" w:themeFill="background1" w:themeFillShade="BF"/>
            <w:vAlign w:val="center"/>
          </w:tcPr>
          <w:p w14:paraId="37CF766B" w14:textId="295E5F9D" w:rsidR="003752B9" w:rsidRPr="00D12A0C" w:rsidRDefault="003752B9" w:rsidP="003752B9">
            <w:pPr>
              <w:jc w:val="center"/>
              <w:rPr>
                <w:rFonts w:ascii="Arial" w:eastAsia="Calibri" w:hAnsi="Arial" w:cs="Arial"/>
              </w:rPr>
            </w:pPr>
            <w:r w:rsidRPr="00D12A0C">
              <w:rPr>
                <w:rFonts w:ascii="Arial" w:eastAsia="Calibri" w:hAnsi="Arial" w:cs="Arial"/>
              </w:rPr>
              <w:t>Izvršeno</w:t>
            </w:r>
            <w:r w:rsidR="008A4B00" w:rsidRPr="00D12A0C">
              <w:rPr>
                <w:rFonts w:ascii="Arial" w:eastAsia="Calibri" w:hAnsi="Arial" w:cs="Arial"/>
              </w:rPr>
              <w:t xml:space="preserve"> 202</w:t>
            </w:r>
            <w:r w:rsidR="003C009B">
              <w:rPr>
                <w:rFonts w:ascii="Arial" w:eastAsia="Calibri" w:hAnsi="Arial" w:cs="Arial"/>
              </w:rPr>
              <w:t>5</w:t>
            </w:r>
            <w:r w:rsidR="008A4B00" w:rsidRPr="00D12A0C">
              <w:rPr>
                <w:rFonts w:ascii="Arial" w:eastAsia="Calibri" w:hAnsi="Arial" w:cs="Arial"/>
              </w:rPr>
              <w:t>.</w:t>
            </w:r>
          </w:p>
        </w:tc>
        <w:tc>
          <w:tcPr>
            <w:tcW w:w="1276" w:type="dxa"/>
            <w:shd w:val="clear" w:color="auto" w:fill="BFBFBF" w:themeFill="background1" w:themeFillShade="BF"/>
            <w:vAlign w:val="center"/>
          </w:tcPr>
          <w:p w14:paraId="2CFEB912" w14:textId="65C6FB35" w:rsidR="003752B9" w:rsidRPr="00D12A0C" w:rsidRDefault="003752B9" w:rsidP="0036426F">
            <w:pPr>
              <w:jc w:val="center"/>
              <w:rPr>
                <w:rFonts w:ascii="Arial" w:eastAsia="Calibri" w:hAnsi="Arial" w:cs="Arial"/>
              </w:rPr>
            </w:pPr>
            <w:r w:rsidRPr="00D12A0C">
              <w:rPr>
                <w:rFonts w:ascii="Arial" w:eastAsia="Calibri" w:hAnsi="Arial" w:cs="Arial"/>
              </w:rPr>
              <w:t>Ciljana vrijednost 202</w:t>
            </w:r>
            <w:r w:rsidR="003C009B">
              <w:rPr>
                <w:rFonts w:ascii="Arial" w:eastAsia="Calibri" w:hAnsi="Arial" w:cs="Arial"/>
              </w:rPr>
              <w:t>6</w:t>
            </w:r>
            <w:r w:rsidRPr="00D12A0C">
              <w:rPr>
                <w:rFonts w:ascii="Arial" w:eastAsia="Calibri" w:hAnsi="Arial" w:cs="Arial"/>
              </w:rPr>
              <w:t>.</w:t>
            </w:r>
          </w:p>
        </w:tc>
        <w:tc>
          <w:tcPr>
            <w:tcW w:w="1368" w:type="dxa"/>
            <w:shd w:val="clear" w:color="auto" w:fill="BFBFBF" w:themeFill="background1" w:themeFillShade="BF"/>
            <w:vAlign w:val="center"/>
          </w:tcPr>
          <w:p w14:paraId="430EA4FB" w14:textId="687BE640" w:rsidR="003752B9" w:rsidRPr="00D12A0C" w:rsidRDefault="003752B9" w:rsidP="0036426F">
            <w:pPr>
              <w:jc w:val="center"/>
              <w:rPr>
                <w:rFonts w:ascii="Arial" w:eastAsia="Calibri" w:hAnsi="Arial" w:cs="Arial"/>
              </w:rPr>
            </w:pPr>
            <w:r w:rsidRPr="00D12A0C">
              <w:rPr>
                <w:rFonts w:ascii="Arial" w:eastAsia="Calibri" w:hAnsi="Arial" w:cs="Arial"/>
              </w:rPr>
              <w:t>Ciljana vrijednost 20</w:t>
            </w:r>
            <w:r w:rsidR="003C009B">
              <w:rPr>
                <w:rFonts w:ascii="Arial" w:eastAsia="Calibri" w:hAnsi="Arial" w:cs="Arial"/>
              </w:rPr>
              <w:t>27</w:t>
            </w:r>
            <w:r w:rsidRPr="00D12A0C">
              <w:rPr>
                <w:rFonts w:ascii="Arial" w:eastAsia="Calibri" w:hAnsi="Arial" w:cs="Arial"/>
              </w:rPr>
              <w:t>.</w:t>
            </w:r>
          </w:p>
        </w:tc>
      </w:tr>
      <w:tr w:rsidR="00D12A0C" w:rsidRPr="00D12A0C" w14:paraId="466AD53F" w14:textId="77777777" w:rsidTr="00F12DCA">
        <w:trPr>
          <w:trHeight w:val="1120"/>
          <w:jc w:val="center"/>
        </w:trPr>
        <w:tc>
          <w:tcPr>
            <w:tcW w:w="2263" w:type="dxa"/>
            <w:vAlign w:val="center"/>
          </w:tcPr>
          <w:p w14:paraId="4B4F3A79" w14:textId="77777777" w:rsidR="008A4B00" w:rsidRPr="00D12A0C" w:rsidRDefault="008A4B00" w:rsidP="008A4B00">
            <w:pPr>
              <w:rPr>
                <w:rFonts w:ascii="Arial" w:eastAsia="Calibri" w:hAnsi="Arial" w:cs="Arial"/>
              </w:rPr>
            </w:pPr>
            <w:r w:rsidRPr="00D12A0C">
              <w:rPr>
                <w:rFonts w:ascii="Arial" w:eastAsia="Calibri" w:hAnsi="Arial" w:cs="Arial"/>
              </w:rPr>
              <w:t>Broj postojećih stručnih seminara</w:t>
            </w:r>
          </w:p>
        </w:tc>
        <w:tc>
          <w:tcPr>
            <w:tcW w:w="2552" w:type="dxa"/>
            <w:vAlign w:val="center"/>
          </w:tcPr>
          <w:p w14:paraId="39830DA6" w14:textId="77777777" w:rsidR="008A4B00" w:rsidRPr="00D12A0C" w:rsidRDefault="008A4B00" w:rsidP="008A4B00">
            <w:pPr>
              <w:rPr>
                <w:rFonts w:ascii="Arial" w:eastAsia="Calibri" w:hAnsi="Arial" w:cs="Arial"/>
              </w:rPr>
            </w:pPr>
            <w:r w:rsidRPr="00D12A0C">
              <w:rPr>
                <w:rFonts w:ascii="Arial" w:eastAsia="Calibri" w:hAnsi="Arial" w:cs="Arial"/>
              </w:rPr>
              <w:t>Sudjelovanjem stručnih radnika na različitim usavršavanjima povećava se njihova kvaliteta</w:t>
            </w:r>
          </w:p>
        </w:tc>
        <w:tc>
          <w:tcPr>
            <w:tcW w:w="1559" w:type="dxa"/>
            <w:vAlign w:val="center"/>
          </w:tcPr>
          <w:p w14:paraId="73AF5D09" w14:textId="77777777" w:rsidR="008A4B00" w:rsidRPr="00F12DCA" w:rsidRDefault="008A4B00" w:rsidP="008A4B00">
            <w:pPr>
              <w:rPr>
                <w:rFonts w:ascii="Arial" w:eastAsia="Calibri" w:hAnsi="Arial" w:cs="Arial"/>
                <w:sz w:val="18"/>
                <w:szCs w:val="18"/>
              </w:rPr>
            </w:pPr>
            <w:r w:rsidRPr="00F12DCA">
              <w:rPr>
                <w:rFonts w:ascii="Arial" w:eastAsia="Calibri" w:hAnsi="Arial" w:cs="Arial"/>
                <w:sz w:val="18"/>
                <w:szCs w:val="18"/>
              </w:rPr>
              <w:t>Broj stručnih seminara unutar i van Ustanove</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912A44" w14:textId="743D1138" w:rsidR="008A4B00" w:rsidRPr="00D12A0C" w:rsidRDefault="003C009B" w:rsidP="008A4B00">
            <w:pPr>
              <w:jc w:val="center"/>
              <w:rPr>
                <w:rFonts w:ascii="Arial" w:eastAsia="Calibri" w:hAnsi="Arial" w:cs="Arial"/>
                <w:sz w:val="18"/>
                <w:szCs w:val="18"/>
              </w:rPr>
            </w:pPr>
            <w:r>
              <w:rPr>
                <w:rFonts w:ascii="Arial" w:eastAsia="Calibri" w:hAnsi="Arial" w:cs="Arial"/>
              </w:rPr>
              <w:t xml:space="preserve">43 </w:t>
            </w:r>
            <w:r w:rsidR="008A4B00" w:rsidRPr="00D12A0C">
              <w:rPr>
                <w:rFonts w:ascii="Arial" w:eastAsia="Calibri" w:hAnsi="Arial" w:cs="Arial"/>
              </w:rPr>
              <w:t>edukacije (ciklusa ili pojedinačnih)</w:t>
            </w:r>
          </w:p>
        </w:tc>
        <w:tc>
          <w:tcPr>
            <w:tcW w:w="1094" w:type="dxa"/>
            <w:vAlign w:val="center"/>
          </w:tcPr>
          <w:p w14:paraId="410F4041" w14:textId="77777777" w:rsidR="008A4B00" w:rsidRPr="00D12A0C" w:rsidRDefault="008A4B00" w:rsidP="008A4B00">
            <w:pPr>
              <w:jc w:val="center"/>
              <w:rPr>
                <w:rFonts w:ascii="Arial" w:eastAsia="Calibri" w:hAnsi="Arial" w:cs="Arial"/>
              </w:rPr>
            </w:pPr>
            <w:r w:rsidRPr="00D12A0C">
              <w:rPr>
                <w:rFonts w:ascii="Arial" w:eastAsia="Calibri" w:hAnsi="Arial" w:cs="Arial"/>
              </w:rPr>
              <w:t>Dječji vrtić Konavle</w:t>
            </w:r>
          </w:p>
        </w:tc>
        <w:tc>
          <w:tcPr>
            <w:tcW w:w="1232" w:type="dxa"/>
            <w:vAlign w:val="center"/>
          </w:tcPr>
          <w:p w14:paraId="0120D762" w14:textId="66A19400" w:rsidR="008A4B00" w:rsidRPr="00D12A0C" w:rsidRDefault="00572D92" w:rsidP="008A4B00">
            <w:pPr>
              <w:jc w:val="center"/>
              <w:rPr>
                <w:rFonts w:ascii="Arial" w:eastAsia="Calibri" w:hAnsi="Arial" w:cs="Arial"/>
              </w:rPr>
            </w:pPr>
            <w:r>
              <w:rPr>
                <w:rFonts w:ascii="Arial" w:eastAsia="Calibri" w:hAnsi="Arial" w:cs="Arial"/>
              </w:rPr>
              <w:t>25</w:t>
            </w:r>
            <w:r w:rsidR="008A4B00" w:rsidRPr="00D12A0C">
              <w:rPr>
                <w:rFonts w:ascii="Arial" w:eastAsia="Calibri" w:hAnsi="Arial" w:cs="Arial"/>
              </w:rPr>
              <w:t xml:space="preserve"> edukacija</w:t>
            </w:r>
          </w:p>
        </w:tc>
        <w:tc>
          <w:tcPr>
            <w:tcW w:w="1451" w:type="dxa"/>
            <w:vAlign w:val="center"/>
          </w:tcPr>
          <w:p w14:paraId="63F36EF1" w14:textId="718A9967" w:rsidR="008A4B00" w:rsidRPr="00D12A0C" w:rsidRDefault="00572D92" w:rsidP="008A4B00">
            <w:pPr>
              <w:jc w:val="center"/>
              <w:rPr>
                <w:rFonts w:ascii="Arial" w:eastAsia="Calibri" w:hAnsi="Arial" w:cs="Arial"/>
              </w:rPr>
            </w:pPr>
            <w:r>
              <w:rPr>
                <w:rFonts w:ascii="Arial" w:eastAsia="Calibri" w:hAnsi="Arial" w:cs="Arial"/>
              </w:rPr>
              <w:t>15</w:t>
            </w:r>
            <w:r w:rsidR="008A4B00" w:rsidRPr="00D12A0C">
              <w:rPr>
                <w:rFonts w:ascii="Arial" w:eastAsia="Calibri" w:hAnsi="Arial" w:cs="Arial"/>
              </w:rPr>
              <w:t xml:space="preserve"> edukacija</w:t>
            </w:r>
          </w:p>
        </w:tc>
        <w:tc>
          <w:tcPr>
            <w:tcW w:w="1276" w:type="dxa"/>
            <w:vAlign w:val="center"/>
          </w:tcPr>
          <w:p w14:paraId="0CF3F111" w14:textId="0FD0F011" w:rsidR="008A4B00" w:rsidRPr="00D12A0C" w:rsidRDefault="00572D92" w:rsidP="008A4B00">
            <w:pPr>
              <w:jc w:val="center"/>
              <w:rPr>
                <w:rFonts w:ascii="Arial" w:eastAsia="Calibri" w:hAnsi="Arial" w:cs="Arial"/>
              </w:rPr>
            </w:pPr>
            <w:r>
              <w:rPr>
                <w:rFonts w:ascii="Arial" w:eastAsia="Calibri" w:hAnsi="Arial" w:cs="Arial"/>
              </w:rPr>
              <w:t xml:space="preserve">30 </w:t>
            </w:r>
            <w:r w:rsidR="008A4B00" w:rsidRPr="00D12A0C">
              <w:rPr>
                <w:rFonts w:ascii="Arial" w:eastAsia="Calibri" w:hAnsi="Arial" w:cs="Arial"/>
              </w:rPr>
              <w:t>edukacija</w:t>
            </w:r>
          </w:p>
        </w:tc>
        <w:tc>
          <w:tcPr>
            <w:tcW w:w="1368" w:type="dxa"/>
            <w:vAlign w:val="center"/>
          </w:tcPr>
          <w:p w14:paraId="0573CC22" w14:textId="5FA45A59" w:rsidR="008A4B00" w:rsidRPr="00D12A0C" w:rsidRDefault="00572D92" w:rsidP="008A4B00">
            <w:pPr>
              <w:jc w:val="center"/>
              <w:rPr>
                <w:rFonts w:ascii="Arial" w:eastAsia="Calibri" w:hAnsi="Arial" w:cs="Arial"/>
              </w:rPr>
            </w:pPr>
            <w:r>
              <w:rPr>
                <w:rFonts w:ascii="Arial" w:eastAsia="Calibri" w:hAnsi="Arial" w:cs="Arial"/>
              </w:rPr>
              <w:t>32</w:t>
            </w:r>
            <w:r w:rsidR="008A4B00" w:rsidRPr="00D12A0C">
              <w:rPr>
                <w:rFonts w:ascii="Arial" w:eastAsia="Calibri" w:hAnsi="Arial" w:cs="Arial"/>
              </w:rPr>
              <w:t xml:space="preserve"> edukacija</w:t>
            </w:r>
          </w:p>
        </w:tc>
      </w:tr>
    </w:tbl>
    <w:p w14:paraId="06E2225C" w14:textId="53EB1961" w:rsidR="0011021F" w:rsidRPr="00D12A0C" w:rsidRDefault="0011021F" w:rsidP="008A4B00">
      <w:pPr>
        <w:spacing w:after="0" w:line="240" w:lineRule="auto"/>
        <w:rPr>
          <w:rFonts w:ascii="Arial" w:hAnsi="Arial" w:cs="Arial"/>
          <w:sz w:val="20"/>
          <w:szCs w:val="20"/>
        </w:rPr>
      </w:pPr>
    </w:p>
    <w:p w14:paraId="7FFE99A4" w14:textId="784FBEA4" w:rsidR="008A4B00" w:rsidRDefault="008A4B00" w:rsidP="008A4B00">
      <w:pPr>
        <w:autoSpaceDE w:val="0"/>
        <w:autoSpaceDN w:val="0"/>
        <w:adjustRightInd w:val="0"/>
        <w:spacing w:after="0" w:line="240" w:lineRule="auto"/>
        <w:rPr>
          <w:rFonts w:ascii="Arial" w:eastAsia="Calibri" w:hAnsi="Arial" w:cs="Arial"/>
          <w:sz w:val="20"/>
          <w:szCs w:val="20"/>
        </w:rPr>
      </w:pPr>
      <w:r w:rsidRPr="008A4B00">
        <w:rPr>
          <w:rFonts w:ascii="Arial" w:eastAsia="Calibri" w:hAnsi="Arial" w:cs="Arial"/>
          <w:b/>
          <w:sz w:val="20"/>
          <w:szCs w:val="20"/>
        </w:rPr>
        <w:t xml:space="preserve">Obrazloženje: </w:t>
      </w:r>
      <w:r w:rsidRPr="008A4B00">
        <w:rPr>
          <w:rFonts w:ascii="Arial" w:eastAsia="Calibri" w:hAnsi="Arial" w:cs="Arial"/>
          <w:sz w:val="20"/>
          <w:szCs w:val="20"/>
        </w:rPr>
        <w:t>Stručno usavršavanje se odvijalo unutar Ustanove, izvan Ustanove te individualno</w:t>
      </w:r>
      <w:r w:rsidR="00D12A0C" w:rsidRPr="00D12A0C">
        <w:rPr>
          <w:rFonts w:ascii="Arial" w:eastAsia="Calibri" w:hAnsi="Arial" w:cs="Arial"/>
          <w:sz w:val="20"/>
          <w:szCs w:val="20"/>
        </w:rPr>
        <w:t>.</w:t>
      </w:r>
    </w:p>
    <w:p w14:paraId="3C1B6C39" w14:textId="48C49D61" w:rsidR="00C43EF1" w:rsidRPr="008A4B00" w:rsidRDefault="00C43EF1" w:rsidP="008A4B00">
      <w:pPr>
        <w:autoSpaceDE w:val="0"/>
        <w:autoSpaceDN w:val="0"/>
        <w:adjustRightInd w:val="0"/>
        <w:spacing w:after="0" w:line="240" w:lineRule="auto"/>
        <w:rPr>
          <w:rFonts w:ascii="Arial" w:eastAsia="Calibri" w:hAnsi="Arial" w:cs="Arial"/>
          <w:b/>
          <w:sz w:val="20"/>
          <w:szCs w:val="20"/>
        </w:rPr>
      </w:pPr>
      <w:r>
        <w:rPr>
          <w:rFonts w:ascii="Arial" w:eastAsia="Calibri" w:hAnsi="Arial" w:cs="Arial"/>
          <w:sz w:val="20"/>
          <w:szCs w:val="20"/>
        </w:rPr>
        <w:t>U prvoj polovici 2025. godine odgojno-obrazovne djelatnice su sudjelovale na 15 edukacija.</w:t>
      </w:r>
    </w:p>
    <w:p w14:paraId="598CB8AA" w14:textId="77777777" w:rsidR="0011021F" w:rsidRPr="003D6583" w:rsidRDefault="0011021F" w:rsidP="008A4B00">
      <w:pPr>
        <w:spacing w:after="0" w:line="240" w:lineRule="auto"/>
        <w:jc w:val="both"/>
        <w:rPr>
          <w:rFonts w:ascii="Arial" w:eastAsia="Calibri" w:hAnsi="Arial" w:cs="Arial"/>
          <w:sz w:val="20"/>
          <w:szCs w:val="24"/>
        </w:rPr>
      </w:pPr>
    </w:p>
    <w:p w14:paraId="2C497A53" w14:textId="77777777" w:rsidR="00684552" w:rsidRPr="003A2F86" w:rsidRDefault="00684552" w:rsidP="00684552">
      <w:pPr>
        <w:spacing w:after="0" w:line="240" w:lineRule="auto"/>
        <w:jc w:val="both"/>
        <w:rPr>
          <w:rFonts w:ascii="Arial" w:eastAsia="Calibri" w:hAnsi="Arial" w:cs="Arial"/>
          <w:sz w:val="20"/>
          <w:szCs w:val="24"/>
        </w:rPr>
      </w:pPr>
      <w:r w:rsidRPr="003A2F86">
        <w:rPr>
          <w:rFonts w:ascii="Arial" w:eastAsia="Calibri" w:hAnsi="Arial" w:cs="Arial"/>
          <w:sz w:val="20"/>
          <w:szCs w:val="20"/>
        </w:rPr>
        <w:br w:type="page"/>
      </w:r>
    </w:p>
    <w:p w14:paraId="19E6982C" w14:textId="77777777" w:rsidR="0004293C" w:rsidRPr="003A2F86" w:rsidRDefault="0004293C" w:rsidP="0004293C">
      <w:pPr>
        <w:spacing w:after="0" w:line="240" w:lineRule="auto"/>
        <w:rPr>
          <w:rFonts w:ascii="Arial" w:eastAsia="Calibri" w:hAnsi="Arial" w:cs="Arial"/>
          <w:sz w:val="20"/>
          <w:szCs w:val="20"/>
        </w:rPr>
      </w:pPr>
    </w:p>
    <w:p w14:paraId="3E68978B" w14:textId="032B4BD9" w:rsidR="0004293C" w:rsidRPr="003A2F86" w:rsidRDefault="00795CD9" w:rsidP="00792D46">
      <w:pPr>
        <w:pStyle w:val="Naslov3"/>
        <w:jc w:val="center"/>
        <w:rPr>
          <w:rFonts w:ascii="Arial" w:eastAsia="Calibri" w:hAnsi="Arial" w:cs="Arial"/>
          <w:sz w:val="22"/>
          <w:lang w:val="hr-HR"/>
        </w:rPr>
      </w:pPr>
      <w:bookmarkStart w:id="364" w:name="_3.4.4._GLAVA:_(030"/>
      <w:bookmarkStart w:id="365" w:name="_Toc435014691"/>
      <w:bookmarkStart w:id="366" w:name="_Toc207707482"/>
      <w:bookmarkEnd w:id="364"/>
      <w:r w:rsidRPr="003A2F86">
        <w:rPr>
          <w:rFonts w:ascii="Arial" w:eastAsia="Calibri" w:hAnsi="Arial" w:cs="Arial"/>
          <w:sz w:val="22"/>
          <w:lang w:val="hr-HR"/>
        </w:rPr>
        <w:t>3</w:t>
      </w:r>
      <w:r w:rsidR="0004293C" w:rsidRPr="003A2F86">
        <w:rPr>
          <w:rFonts w:ascii="Arial" w:eastAsia="Calibri" w:hAnsi="Arial" w:cs="Arial"/>
          <w:sz w:val="22"/>
          <w:lang w:val="hr-HR"/>
        </w:rPr>
        <w:t>.</w:t>
      </w:r>
      <w:r w:rsidR="00375FAF" w:rsidRPr="003A2F86">
        <w:rPr>
          <w:rFonts w:ascii="Arial" w:eastAsia="Calibri" w:hAnsi="Arial" w:cs="Arial"/>
          <w:sz w:val="22"/>
          <w:lang w:val="hr-HR"/>
        </w:rPr>
        <w:t>4</w:t>
      </w:r>
      <w:r w:rsidR="002B6F08" w:rsidRPr="003A2F86">
        <w:rPr>
          <w:rFonts w:ascii="Arial" w:eastAsia="Calibri" w:hAnsi="Arial" w:cs="Arial"/>
          <w:sz w:val="22"/>
          <w:lang w:val="hr-HR"/>
        </w:rPr>
        <w:t>.</w:t>
      </w:r>
      <w:r w:rsidR="0004293C" w:rsidRPr="003A2F86">
        <w:rPr>
          <w:rFonts w:ascii="Arial" w:eastAsia="Calibri" w:hAnsi="Arial" w:cs="Arial"/>
          <w:sz w:val="22"/>
          <w:lang w:val="hr-HR"/>
        </w:rPr>
        <w:t>4.</w:t>
      </w:r>
      <w:r w:rsidR="0004293C" w:rsidRPr="003A2F86">
        <w:rPr>
          <w:rFonts w:ascii="Arial" w:eastAsia="Calibri" w:hAnsi="Arial" w:cs="Arial"/>
          <w:sz w:val="22"/>
          <w:lang w:val="hr-HR"/>
        </w:rPr>
        <w:tab/>
        <w:t>GLAVA: (030 02) USTANOVA ZA VATROGASNU DJELATNOST</w:t>
      </w:r>
      <w:bookmarkEnd w:id="365"/>
      <w:r w:rsidR="007F68B8" w:rsidRPr="003A2F86">
        <w:rPr>
          <w:rFonts w:ascii="Arial" w:eastAsia="Calibri" w:hAnsi="Arial" w:cs="Arial"/>
          <w:sz w:val="22"/>
          <w:lang w:val="hr-HR"/>
        </w:rPr>
        <w:t xml:space="preserve"> – JAVNA VATROGASNA POSTROJBA KONAVLE</w:t>
      </w:r>
      <w:bookmarkEnd w:id="366"/>
    </w:p>
    <w:p w14:paraId="4D8A74E1" w14:textId="77777777" w:rsidR="0004293C" w:rsidRPr="003A2F86" w:rsidRDefault="0004293C" w:rsidP="0004293C">
      <w:pPr>
        <w:autoSpaceDE w:val="0"/>
        <w:autoSpaceDN w:val="0"/>
        <w:adjustRightInd w:val="0"/>
        <w:spacing w:after="0" w:line="240" w:lineRule="auto"/>
        <w:jc w:val="both"/>
        <w:rPr>
          <w:rFonts w:ascii="Arial" w:eastAsia="Calibri" w:hAnsi="Arial" w:cs="Arial"/>
          <w:sz w:val="20"/>
          <w:szCs w:val="20"/>
        </w:rPr>
      </w:pPr>
    </w:p>
    <w:p w14:paraId="53B2BD38" w14:textId="77777777" w:rsidR="007F68B8" w:rsidRPr="003A2F86" w:rsidRDefault="007F68B8" w:rsidP="007F68B8">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U razdjelu 030 UPRAVNI ODJEL ZA KOMUNALNI SUSTAV I </w:t>
      </w:r>
      <w:r w:rsidR="00FD0F8C" w:rsidRPr="003A2F86">
        <w:rPr>
          <w:rFonts w:ascii="Arial" w:eastAsia="Calibri" w:hAnsi="Arial" w:cs="Arial"/>
          <w:sz w:val="20"/>
          <w:szCs w:val="20"/>
        </w:rPr>
        <w:t>GOSPODARENJE</w:t>
      </w:r>
      <w:r w:rsidRPr="003A2F86">
        <w:rPr>
          <w:rFonts w:ascii="Arial" w:eastAsia="Calibri" w:hAnsi="Arial" w:cs="Arial"/>
          <w:sz w:val="20"/>
          <w:szCs w:val="20"/>
        </w:rPr>
        <w:t xml:space="preserve"> NEKRETNINAMA, glava (030 02) Ustanova za vatrogasnu djelatnost, izvodi se od jedan program koji se provodi kroz aktivnosti redovne djelatnosti vatrogastva (minimalni standard za decentraliziranu funkciju i redovnu djelatnost izvan minimalnog standarda. </w:t>
      </w:r>
    </w:p>
    <w:p w14:paraId="0B11F340" w14:textId="77777777" w:rsidR="007F68B8" w:rsidRPr="003A2F86" w:rsidRDefault="007F68B8" w:rsidP="0004293C">
      <w:pPr>
        <w:autoSpaceDE w:val="0"/>
        <w:autoSpaceDN w:val="0"/>
        <w:adjustRightInd w:val="0"/>
        <w:spacing w:after="0" w:line="240" w:lineRule="auto"/>
        <w:jc w:val="both"/>
        <w:rPr>
          <w:rFonts w:ascii="Arial" w:eastAsia="Calibri" w:hAnsi="Arial" w:cs="Arial"/>
          <w:sz w:val="20"/>
          <w:szCs w:val="20"/>
        </w:rPr>
      </w:pPr>
    </w:p>
    <w:p w14:paraId="4AAD92ED" w14:textId="77777777" w:rsidR="0004293C" w:rsidRPr="003A2F86" w:rsidRDefault="0004293C" w:rsidP="003D18D4">
      <w:pPr>
        <w:pStyle w:val="Naslov3"/>
        <w:rPr>
          <w:rFonts w:eastAsia="Calibri"/>
          <w:lang w:val="hr-HR"/>
        </w:rPr>
      </w:pPr>
      <w:bookmarkStart w:id="367" w:name="_Toc435014692"/>
      <w:bookmarkStart w:id="368" w:name="_Toc207707483"/>
      <w:r w:rsidRPr="003A2F86">
        <w:rPr>
          <w:rFonts w:eastAsia="Calibri"/>
          <w:lang w:val="hr-HR"/>
        </w:rPr>
        <w:t>Program (2071): Redovna djelatnost javne vatrogasne postrojbe</w:t>
      </w:r>
      <w:bookmarkEnd w:id="367"/>
      <w:bookmarkEnd w:id="368"/>
    </w:p>
    <w:p w14:paraId="094FED46" w14:textId="77777777" w:rsidR="003D18D4" w:rsidRPr="003A2F86" w:rsidRDefault="003D18D4" w:rsidP="003D18D4">
      <w:pPr>
        <w:spacing w:after="0" w:line="240" w:lineRule="auto"/>
        <w:rPr>
          <w:lang w:eastAsia="en-US"/>
        </w:rPr>
      </w:pPr>
    </w:p>
    <w:p w14:paraId="1F67B616" w14:textId="77777777" w:rsidR="0004293C" w:rsidRPr="003A2F86" w:rsidRDefault="0004293C" w:rsidP="0004293C">
      <w:pPr>
        <w:spacing w:after="0" w:line="240" w:lineRule="auto"/>
        <w:rPr>
          <w:rFonts w:ascii="Times New Roman" w:eastAsia="Times New Roman" w:hAnsi="Times New Roman" w:cs="Arial"/>
          <w:sz w:val="20"/>
          <w:szCs w:val="20"/>
          <w:lang w:eastAsia="en-US"/>
        </w:rPr>
      </w:pPr>
      <w:r w:rsidRPr="003A2F86">
        <w:rPr>
          <w:rFonts w:ascii="Times New Roman" w:eastAsia="Times New Roman" w:hAnsi="Times New Roman" w:cs="Arial"/>
          <w:noProof/>
          <w:sz w:val="20"/>
          <w:szCs w:val="20"/>
        </w:rPr>
        <w:drawing>
          <wp:inline distT="0" distB="0" distL="0" distR="0" wp14:anchorId="2700BB8B" wp14:editId="62277805">
            <wp:extent cx="6383655" cy="163830"/>
            <wp:effectExtent l="19050" t="0" r="0" b="0"/>
            <wp:docPr id="7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srcRect/>
                    <a:stretch>
                      <a:fillRect/>
                    </a:stretch>
                  </pic:blipFill>
                  <pic:spPr bwMode="auto">
                    <a:xfrm>
                      <a:off x="0" y="0"/>
                      <a:ext cx="6383655" cy="163830"/>
                    </a:xfrm>
                    <a:prstGeom prst="rect">
                      <a:avLst/>
                    </a:prstGeom>
                    <a:noFill/>
                    <a:ln w="9525">
                      <a:noFill/>
                      <a:miter lim="800000"/>
                      <a:headEnd/>
                      <a:tailEnd/>
                    </a:ln>
                  </pic:spPr>
                </pic:pic>
              </a:graphicData>
            </a:graphic>
          </wp:inline>
        </w:drawing>
      </w:r>
    </w:p>
    <w:p w14:paraId="68C12DCD" w14:textId="77777777" w:rsidR="0004293C" w:rsidRPr="003A2F86" w:rsidRDefault="0004293C" w:rsidP="0004293C">
      <w:pPr>
        <w:spacing w:after="0" w:line="240" w:lineRule="auto"/>
        <w:rPr>
          <w:rFonts w:ascii="Arial" w:eastAsia="Calibri" w:hAnsi="Arial" w:cs="Arial"/>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1"/>
        <w:gridCol w:w="12123"/>
      </w:tblGrid>
      <w:tr w:rsidR="00F63556" w:rsidRPr="003A2F86" w14:paraId="672FCAAE" w14:textId="77777777" w:rsidTr="003D18D4">
        <w:tc>
          <w:tcPr>
            <w:tcW w:w="1561" w:type="dxa"/>
          </w:tcPr>
          <w:p w14:paraId="4211AD10"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DJELOKRUG RADA:</w:t>
            </w:r>
          </w:p>
        </w:tc>
        <w:tc>
          <w:tcPr>
            <w:tcW w:w="12123" w:type="dxa"/>
            <w:tcBorders>
              <w:top w:val="dotted" w:sz="4" w:space="0" w:color="auto"/>
              <w:left w:val="dotted" w:sz="4" w:space="0" w:color="auto"/>
              <w:bottom w:val="dotted" w:sz="4" w:space="0" w:color="auto"/>
              <w:right w:val="dotted" w:sz="4" w:space="0" w:color="auto"/>
            </w:tcBorders>
          </w:tcPr>
          <w:p w14:paraId="3B292132"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Javna vatrogasna postrojba Konavle ustrojena je temeljem Zakona o vatrogastvu. Osnivač ustanove je Općina Konavle. Javna vatrogasna postrojba sudjeluje u provedbi preventivnih mjera zaštite od požara i eksplozija, gašenja požara i spašavanja ljudi i imovine ugroženih požarom i eksplozijom, pružanju tehničke pomoći u nezgodama i opasnim situacijama, te obavljanju drugih poslova u ekološkim i drugim nesrećama. Vatrogasna djelatnost je stručna i humanitarna djelatnost od interesa za Republiku Hrvatsku.</w:t>
            </w:r>
          </w:p>
          <w:p w14:paraId="33EB4199" w14:textId="77777777" w:rsidR="00F63556" w:rsidRPr="003A2F86" w:rsidRDefault="00F63556" w:rsidP="00F63556">
            <w:pPr>
              <w:spacing w:after="0" w:line="240" w:lineRule="auto"/>
              <w:rPr>
                <w:rFonts w:ascii="Arial" w:eastAsia="Calibri" w:hAnsi="Arial" w:cs="Arial"/>
                <w:sz w:val="20"/>
                <w:szCs w:val="20"/>
              </w:rPr>
            </w:pPr>
          </w:p>
          <w:p w14:paraId="63405A87"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Djelatnosti Vatrogasne postrojbe su:</w:t>
            </w:r>
          </w:p>
          <w:p w14:paraId="36DDE5FA"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xml:space="preserve">- sudjelovanje u provedbi preventivnih mjera zaštite od požara i eksplozija, gašenje požara i spašavanje ljudi i imovine ugroženih požarom i eksplozijom, pružanje tehničke pomoći u nezgodama i opasnim situacijama, obavljanje i drugih poslova u nesrećama, ekološkim i inim nesrećama, </w:t>
            </w:r>
          </w:p>
          <w:p w14:paraId="79CC881A"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obavljanje poslova održavanja vatrogasnih aparata,</w:t>
            </w:r>
          </w:p>
          <w:p w14:paraId="368E36F2"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osposobljavanje i usavršavanja vatrogasnih kadrova</w:t>
            </w:r>
          </w:p>
          <w:p w14:paraId="08DEB22A"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osposobljavanje pučanstva za provedbu preventivnih mjera zaštite od požara, gašenje požara i spašavanje ljudi i imovine ugroženih požarom,</w:t>
            </w:r>
          </w:p>
          <w:p w14:paraId="6265BD56"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provođenje preventivnih mjera zaštite od požara te vršenje osiguranja na mjestima u kojim zbog povećanog prometa ili broja ljudi postoji velika opasnost od pojave nesreća sa većim materijalnim posljedicama,</w:t>
            </w:r>
          </w:p>
          <w:p w14:paraId="741D8267"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poslovi održavanja javnih cesta,</w:t>
            </w:r>
          </w:p>
          <w:p w14:paraId="2B20946B"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pružanje usluge vatrogasnog dežurstva drugim tijelima,</w:t>
            </w:r>
          </w:p>
          <w:p w14:paraId="1BEA8F09"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pružanje usluge prijevoza vode.</w:t>
            </w:r>
          </w:p>
          <w:p w14:paraId="107E0EA9" w14:textId="77777777" w:rsidR="00F63556" w:rsidRPr="003A2F86" w:rsidRDefault="00F63556" w:rsidP="00F63556">
            <w:pPr>
              <w:spacing w:after="0" w:line="240" w:lineRule="auto"/>
              <w:rPr>
                <w:rFonts w:ascii="Arial" w:eastAsia="Calibri" w:hAnsi="Arial" w:cs="Arial"/>
                <w:sz w:val="20"/>
                <w:szCs w:val="20"/>
              </w:rPr>
            </w:pPr>
          </w:p>
          <w:p w14:paraId="4F051A52"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xml:space="preserve">Pored prethodno spomenutih djelatnosti, Vatrogasna postrojba može obavljati i druge djelatnosti, ako se one u manjem opsegu ili uobičajeno obavljaju uz upisanu djelatnost. </w:t>
            </w:r>
          </w:p>
          <w:p w14:paraId="11CFAD15"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Djelatnosti koje se ne smatraju vatrogasnom djelatnošću, Vatrogasna postrojba može obavljati sukladno posebnim propisima, ako se time ne umanjuje intervencijska spremnost Vatrogasne postrojbe.</w:t>
            </w:r>
          </w:p>
        </w:tc>
      </w:tr>
      <w:tr w:rsidR="00F63556" w:rsidRPr="003A2F86" w14:paraId="1565AD67" w14:textId="77777777" w:rsidTr="003D18D4">
        <w:tc>
          <w:tcPr>
            <w:tcW w:w="1561" w:type="dxa"/>
          </w:tcPr>
          <w:p w14:paraId="2F7F5D10"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OPIS PROGRAMA:</w:t>
            </w:r>
          </w:p>
        </w:tc>
        <w:tc>
          <w:tcPr>
            <w:tcW w:w="12123" w:type="dxa"/>
            <w:tcBorders>
              <w:top w:val="dotted" w:sz="4" w:space="0" w:color="auto"/>
              <w:left w:val="dotted" w:sz="4" w:space="0" w:color="auto"/>
              <w:bottom w:val="dotted" w:sz="4" w:space="0" w:color="auto"/>
              <w:right w:val="dotted" w:sz="4" w:space="0" w:color="auto"/>
            </w:tcBorders>
          </w:tcPr>
          <w:p w14:paraId="4421FF36" w14:textId="77777777" w:rsidR="00F63556" w:rsidRPr="003A2F86" w:rsidRDefault="00F63556" w:rsidP="00F63556">
            <w:pPr>
              <w:autoSpaceDE w:val="0"/>
              <w:autoSpaceDN w:val="0"/>
              <w:adjustRightInd w:val="0"/>
              <w:spacing w:after="0" w:line="240" w:lineRule="auto"/>
              <w:rPr>
                <w:rFonts w:ascii="Arial" w:hAnsi="Arial" w:cs="Arial"/>
                <w:sz w:val="20"/>
                <w:szCs w:val="20"/>
              </w:rPr>
            </w:pPr>
            <w:r w:rsidRPr="003A2F86">
              <w:rPr>
                <w:rFonts w:ascii="Arial" w:hAnsi="Arial" w:cs="Arial"/>
                <w:sz w:val="20"/>
                <w:szCs w:val="20"/>
              </w:rPr>
              <w:t>Program obuhvaća aktivnosti kojima se osiguravaju sredstva za nesmetano funkcioniranje i koordinaciju vatrogasne službe, obuku operativnih djelatnika putem praktične i teorijske nastave, održavanje mobilnosti voznog parka i vatrogasne opreme, gašenje požara, spašavanje ljudi i imovine, pomoć kod elementarnih nepogoda, pružanje tehničke pomoći u nezgodama i opasnim situacijama i drugi poslovi u nesrećama, ekološkim i inim nesrećama.</w:t>
            </w:r>
          </w:p>
          <w:p w14:paraId="674890A2" w14:textId="77777777" w:rsidR="00F63556" w:rsidRPr="003A2F86" w:rsidRDefault="00F63556" w:rsidP="00F63556">
            <w:pPr>
              <w:autoSpaceDE w:val="0"/>
              <w:autoSpaceDN w:val="0"/>
              <w:adjustRightInd w:val="0"/>
              <w:spacing w:after="0" w:line="240" w:lineRule="auto"/>
              <w:rPr>
                <w:rFonts w:ascii="Arial" w:hAnsi="Arial" w:cs="Arial"/>
                <w:sz w:val="20"/>
                <w:szCs w:val="20"/>
              </w:rPr>
            </w:pPr>
          </w:p>
          <w:p w14:paraId="65E184C5" w14:textId="77777777" w:rsidR="00F63556" w:rsidRPr="003A2F86" w:rsidRDefault="00F63556" w:rsidP="00F63556">
            <w:pPr>
              <w:autoSpaceDE w:val="0"/>
              <w:autoSpaceDN w:val="0"/>
              <w:adjustRightInd w:val="0"/>
              <w:spacing w:after="0" w:line="240" w:lineRule="auto"/>
              <w:rPr>
                <w:rFonts w:ascii="Arial" w:hAnsi="Arial" w:cs="Arial"/>
                <w:sz w:val="20"/>
                <w:szCs w:val="20"/>
              </w:rPr>
            </w:pPr>
            <w:r w:rsidRPr="003A2F86">
              <w:rPr>
                <w:rFonts w:ascii="Arial" w:hAnsi="Arial" w:cs="Arial"/>
                <w:sz w:val="20"/>
                <w:szCs w:val="20"/>
              </w:rPr>
              <w:lastRenderedPageBreak/>
              <w:t>Dosadašnjom kontinuiranom nabavkom kvalitetne osobne i zajedničke zaštitne opreme pridonosi se povećanju sigurnosti vatrogasaca, a samim time manjem broju povreda i manjem korištenju bolovanja. Nabavkom nove i modernije vatrogasna opreme i vozila povećava se učinkovitost i brzina dolaska na mjesto intervencije čime bi se umanjili materijalni troškovi, a povećala sigurnost stanovništva i gostiju na našem području.</w:t>
            </w:r>
          </w:p>
          <w:p w14:paraId="4F5F6C98" w14:textId="77777777" w:rsidR="009747AB" w:rsidRPr="003A2F86" w:rsidRDefault="009747AB" w:rsidP="00F63556">
            <w:pPr>
              <w:autoSpaceDE w:val="0"/>
              <w:autoSpaceDN w:val="0"/>
              <w:adjustRightInd w:val="0"/>
              <w:spacing w:after="0" w:line="240" w:lineRule="auto"/>
              <w:rPr>
                <w:rFonts w:ascii="Arial" w:hAnsi="Arial" w:cs="Arial"/>
                <w:sz w:val="20"/>
                <w:szCs w:val="20"/>
              </w:rPr>
            </w:pPr>
          </w:p>
          <w:p w14:paraId="17AF6551" w14:textId="77777777" w:rsidR="00F63556" w:rsidRPr="003A2F86" w:rsidRDefault="00F63556" w:rsidP="00F63556">
            <w:pPr>
              <w:autoSpaceDE w:val="0"/>
              <w:autoSpaceDN w:val="0"/>
              <w:adjustRightInd w:val="0"/>
              <w:spacing w:after="0" w:line="240" w:lineRule="auto"/>
              <w:rPr>
                <w:rFonts w:ascii="Arial" w:hAnsi="Arial" w:cs="Arial"/>
                <w:sz w:val="20"/>
                <w:szCs w:val="20"/>
              </w:rPr>
            </w:pPr>
            <w:r w:rsidRPr="003A2F86">
              <w:rPr>
                <w:rFonts w:ascii="Arial" w:hAnsi="Arial" w:cs="Arial"/>
                <w:sz w:val="20"/>
                <w:szCs w:val="20"/>
              </w:rPr>
              <w:t>Protupožarna preventiva, kao bitan čimbenik zaštite od požara, smanjuje mogućnost nastanka štetnih događaja. Preventivom se građanstvo osposobljava za samozaštitu od požara, kako za poduzimanje mjera da do štetnog događaja ne dođe, tako i za otklanjanje opasnosti na najučinkovitiji način sa što manjim štetnim posljedicama, ako do štetnog događaja ipak dođe.</w:t>
            </w:r>
          </w:p>
          <w:p w14:paraId="1E3F21AB" w14:textId="77777777" w:rsidR="00C1328D" w:rsidRPr="003A2F86" w:rsidRDefault="00C1328D" w:rsidP="00F63556">
            <w:pPr>
              <w:autoSpaceDE w:val="0"/>
              <w:autoSpaceDN w:val="0"/>
              <w:adjustRightInd w:val="0"/>
              <w:spacing w:after="0" w:line="240" w:lineRule="auto"/>
              <w:rPr>
                <w:rFonts w:ascii="Arial" w:hAnsi="Arial" w:cs="Arial"/>
                <w:sz w:val="20"/>
                <w:szCs w:val="20"/>
              </w:rPr>
            </w:pPr>
          </w:p>
          <w:p w14:paraId="23B45639" w14:textId="77777777" w:rsidR="00F63556" w:rsidRPr="003A2F86" w:rsidRDefault="00F63556" w:rsidP="00F63556">
            <w:pPr>
              <w:spacing w:after="0" w:line="240" w:lineRule="auto"/>
              <w:rPr>
                <w:rFonts w:ascii="Arial" w:hAnsi="Arial" w:cs="Arial"/>
                <w:sz w:val="20"/>
                <w:szCs w:val="20"/>
              </w:rPr>
            </w:pPr>
            <w:r w:rsidRPr="003A2F86">
              <w:rPr>
                <w:rFonts w:ascii="Arial" w:hAnsi="Arial" w:cs="Arial"/>
                <w:sz w:val="20"/>
                <w:szCs w:val="20"/>
              </w:rPr>
              <w:t>Javna vatrogasna postrojba ostvaruje sredstva iz proračuna Općine Konavle, te iz državnog proračuna (putem Općine) sukladno odlukama Vlade Republike Hrvatske o minimalnim decentraliziranim standardima za decentralizirano financiranje redovite djelatnosti javne vatrogasne postrojbe.</w:t>
            </w:r>
          </w:p>
          <w:p w14:paraId="71930C08" w14:textId="77777777" w:rsidR="00C1328D" w:rsidRPr="003A2F86" w:rsidRDefault="00C1328D" w:rsidP="00F63556">
            <w:pPr>
              <w:spacing w:after="0" w:line="240" w:lineRule="auto"/>
              <w:rPr>
                <w:rFonts w:ascii="Arial" w:hAnsi="Arial" w:cs="Arial"/>
                <w:sz w:val="20"/>
                <w:szCs w:val="20"/>
              </w:rPr>
            </w:pPr>
          </w:p>
          <w:p w14:paraId="5229E49B" w14:textId="6773B77B" w:rsidR="00C1328D" w:rsidRPr="003A2F86" w:rsidRDefault="00C1328D" w:rsidP="00F63556">
            <w:pPr>
              <w:spacing w:after="0" w:line="240" w:lineRule="auto"/>
              <w:rPr>
                <w:rFonts w:ascii="Arial" w:hAnsi="Arial" w:cs="Arial"/>
                <w:sz w:val="20"/>
                <w:szCs w:val="20"/>
              </w:rPr>
            </w:pPr>
            <w:r w:rsidRPr="003A2F86">
              <w:rPr>
                <w:rFonts w:ascii="Arial" w:hAnsi="Arial" w:cs="Arial"/>
                <w:sz w:val="20"/>
                <w:szCs w:val="20"/>
              </w:rPr>
              <w:t xml:space="preserve">Javnom vatrogasnom postrojbom upravlja Vatrogasno vijeće koje broji tri člana vijeća (član osnivača / Općine Konavle, član Vatrogasne zajednice Dubrovačko neretvanske županije i </w:t>
            </w:r>
            <w:r w:rsidR="009747AB" w:rsidRPr="003A2F86">
              <w:rPr>
                <w:rFonts w:ascii="Arial" w:hAnsi="Arial" w:cs="Arial"/>
                <w:sz w:val="20"/>
                <w:szCs w:val="20"/>
              </w:rPr>
              <w:t>č</w:t>
            </w:r>
            <w:r w:rsidRPr="003A2F86">
              <w:rPr>
                <w:rFonts w:ascii="Arial" w:hAnsi="Arial" w:cs="Arial"/>
                <w:sz w:val="20"/>
                <w:szCs w:val="20"/>
              </w:rPr>
              <w:t>lan djelatnika JVP Konavle).</w:t>
            </w:r>
          </w:p>
          <w:p w14:paraId="60661411" w14:textId="77777777" w:rsidR="00C1328D" w:rsidRPr="003A2F86" w:rsidRDefault="00C1328D" w:rsidP="00F63556">
            <w:pPr>
              <w:spacing w:after="0" w:line="240" w:lineRule="auto"/>
              <w:rPr>
                <w:rFonts w:ascii="Arial" w:eastAsia="Calibri" w:hAnsi="Arial" w:cs="Arial"/>
                <w:sz w:val="20"/>
                <w:szCs w:val="20"/>
              </w:rPr>
            </w:pPr>
          </w:p>
          <w:p w14:paraId="3ECE8F8B" w14:textId="20924E0D" w:rsidR="00C1328D" w:rsidRPr="003A2F86" w:rsidRDefault="00C1328D" w:rsidP="00F63556">
            <w:pPr>
              <w:spacing w:after="0" w:line="240" w:lineRule="auto"/>
              <w:rPr>
                <w:rFonts w:ascii="Arial" w:eastAsia="Calibri" w:hAnsi="Arial" w:cs="Arial"/>
                <w:sz w:val="20"/>
                <w:szCs w:val="20"/>
              </w:rPr>
            </w:pPr>
            <w:r w:rsidRPr="003A2F86">
              <w:rPr>
                <w:rFonts w:ascii="Arial" w:eastAsia="Calibri" w:hAnsi="Arial" w:cs="Arial"/>
                <w:sz w:val="20"/>
                <w:szCs w:val="20"/>
              </w:rPr>
              <w:t>Od 2015. godine JVP Konavle posluje u sustavu riznice Općine Konavle i nema svoj žiro račun.</w:t>
            </w:r>
          </w:p>
        </w:tc>
      </w:tr>
      <w:tr w:rsidR="00F63556" w:rsidRPr="003A2F86" w14:paraId="323E6157" w14:textId="77777777" w:rsidTr="003D18D4">
        <w:tc>
          <w:tcPr>
            <w:tcW w:w="1561" w:type="dxa"/>
          </w:tcPr>
          <w:p w14:paraId="78B9FD17"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lastRenderedPageBreak/>
              <w:t>ZAKONSKE I DRUGE PRAVNE OSNOVE PROGRAMA:</w:t>
            </w:r>
          </w:p>
        </w:tc>
        <w:tc>
          <w:tcPr>
            <w:tcW w:w="12123" w:type="dxa"/>
            <w:tcBorders>
              <w:top w:val="dotted" w:sz="4" w:space="0" w:color="auto"/>
              <w:left w:val="dotted" w:sz="4" w:space="0" w:color="auto"/>
              <w:bottom w:val="dotted" w:sz="4" w:space="0" w:color="auto"/>
              <w:right w:val="dotted" w:sz="4" w:space="0" w:color="auto"/>
            </w:tcBorders>
          </w:tcPr>
          <w:p w14:paraId="122F4FCC" w14:textId="77777777" w:rsidR="00F63556" w:rsidRPr="003A2F86" w:rsidRDefault="00F63556" w:rsidP="00F63556">
            <w:pPr>
              <w:autoSpaceDE w:val="0"/>
              <w:autoSpaceDN w:val="0"/>
              <w:adjustRightInd w:val="0"/>
              <w:spacing w:after="0" w:line="240" w:lineRule="auto"/>
              <w:rPr>
                <w:rFonts w:ascii="Arial" w:hAnsi="Arial" w:cs="Arial"/>
                <w:sz w:val="20"/>
                <w:szCs w:val="20"/>
              </w:rPr>
            </w:pPr>
            <w:r w:rsidRPr="003A2F86">
              <w:rPr>
                <w:rFonts w:ascii="Arial" w:hAnsi="Arial" w:cs="Arial"/>
                <w:sz w:val="20"/>
                <w:szCs w:val="20"/>
              </w:rPr>
              <w:t>Zakon o lokalnoj i područnoj (regionalnoj) samoupravi (NN 33/01,60/01,129/05, 109/07,125/08, 36/09, 150/11, 144/12, 19/13, 137/15, 123/17, 98/19, 144/20), Zakon o vatrogastvu (NN 125/19), Odluka o minimalnim financijskim standardima za decentralizirano financiranje redovite djelatnosti javnih vatrogasnih postrojbi (za tekuću godinu, objava u NN), Zakon o proračunu (NN 144/21), Statut Javne vatrogasne postrojbe i drugi akti</w:t>
            </w:r>
          </w:p>
          <w:p w14:paraId="3C150313" w14:textId="77777777" w:rsidR="00F63556" w:rsidRPr="003A2F86" w:rsidRDefault="00F63556" w:rsidP="00F63556">
            <w:pPr>
              <w:autoSpaceDE w:val="0"/>
              <w:autoSpaceDN w:val="0"/>
              <w:adjustRightInd w:val="0"/>
              <w:spacing w:after="0" w:line="240" w:lineRule="auto"/>
              <w:rPr>
                <w:rFonts w:ascii="Arial" w:hAnsi="Arial" w:cs="Arial"/>
                <w:sz w:val="20"/>
                <w:szCs w:val="20"/>
              </w:rPr>
            </w:pPr>
          </w:p>
          <w:p w14:paraId="0D23D210" w14:textId="77777777" w:rsidR="00F63556" w:rsidRPr="003A2F86" w:rsidRDefault="00F63556" w:rsidP="00F63556">
            <w:pPr>
              <w:autoSpaceDE w:val="0"/>
              <w:autoSpaceDN w:val="0"/>
              <w:adjustRightInd w:val="0"/>
              <w:spacing w:after="0" w:line="240" w:lineRule="auto"/>
              <w:rPr>
                <w:rFonts w:ascii="Arial" w:hAnsi="Arial" w:cs="Arial"/>
                <w:sz w:val="20"/>
                <w:szCs w:val="20"/>
              </w:rPr>
            </w:pPr>
            <w:r w:rsidRPr="003A2F86">
              <w:rPr>
                <w:rFonts w:ascii="Arial" w:hAnsi="Arial" w:cs="Arial"/>
                <w:sz w:val="20"/>
                <w:szCs w:val="20"/>
              </w:rPr>
              <w:t xml:space="preserve">Općinsko vijeće je 8.3.2021. donijelo </w:t>
            </w:r>
            <w:r w:rsidRPr="003A2F86">
              <w:rPr>
                <w:rFonts w:ascii="Arial" w:hAnsi="Arial" w:cs="Arial"/>
                <w:b/>
                <w:bCs/>
                <w:sz w:val="20"/>
                <w:szCs w:val="20"/>
              </w:rPr>
              <w:t>Odluku o osnivanju Javne vatrogasne postrojbe Konavle</w:t>
            </w:r>
            <w:r w:rsidRPr="003A2F86">
              <w:rPr>
                <w:rFonts w:ascii="Arial" w:hAnsi="Arial" w:cs="Arial"/>
                <w:sz w:val="20"/>
                <w:szCs w:val="20"/>
              </w:rPr>
              <w:t xml:space="preserve"> (Službeni glasnik Općine Konavle 2/2021. Ovom odlukom obavljeno je usklađenje u skladu s odredbama članka 122.st.1. Zakona o vatrogastvu (NN 125/19). Naime, JVP Konavle je osnovana odlukom općinskog vijeća od 25.1.2005.g.</w:t>
            </w:r>
          </w:p>
        </w:tc>
      </w:tr>
      <w:tr w:rsidR="00F63556" w:rsidRPr="003A2F86" w14:paraId="51ED5675" w14:textId="77777777" w:rsidTr="003D18D4">
        <w:tc>
          <w:tcPr>
            <w:tcW w:w="1561" w:type="dxa"/>
          </w:tcPr>
          <w:p w14:paraId="1E2922EB"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OPĆI CILJ:</w:t>
            </w:r>
          </w:p>
        </w:tc>
        <w:tc>
          <w:tcPr>
            <w:tcW w:w="12123" w:type="dxa"/>
            <w:tcBorders>
              <w:top w:val="dotted" w:sz="4" w:space="0" w:color="auto"/>
              <w:left w:val="dotted" w:sz="4" w:space="0" w:color="auto"/>
              <w:bottom w:val="dotted" w:sz="4" w:space="0" w:color="auto"/>
              <w:right w:val="dotted" w:sz="4" w:space="0" w:color="auto"/>
            </w:tcBorders>
          </w:tcPr>
          <w:p w14:paraId="2B2D62D2" w14:textId="77777777" w:rsidR="00F63556" w:rsidRPr="003A2F86" w:rsidRDefault="00F63556" w:rsidP="00F63556">
            <w:pPr>
              <w:autoSpaceDE w:val="0"/>
              <w:autoSpaceDN w:val="0"/>
              <w:adjustRightInd w:val="0"/>
              <w:spacing w:after="0" w:line="240" w:lineRule="auto"/>
              <w:rPr>
                <w:rFonts w:ascii="Arial" w:eastAsia="Calibri" w:hAnsi="Arial" w:cs="Arial"/>
                <w:sz w:val="20"/>
                <w:szCs w:val="20"/>
              </w:rPr>
            </w:pPr>
            <w:r w:rsidRPr="003A2F86">
              <w:rPr>
                <w:rFonts w:ascii="Arial" w:eastAsia="Calibri" w:hAnsi="Arial" w:cs="Arial"/>
                <w:sz w:val="20"/>
                <w:szCs w:val="20"/>
              </w:rPr>
              <w:t xml:space="preserve">Cilj programa je učinkovito funkcioniranje protupožarne zaštite. </w:t>
            </w:r>
          </w:p>
          <w:p w14:paraId="0734D6C7" w14:textId="77777777" w:rsidR="00F63556" w:rsidRPr="003A2F86" w:rsidRDefault="00F63556" w:rsidP="00F63556">
            <w:pPr>
              <w:autoSpaceDE w:val="0"/>
              <w:autoSpaceDN w:val="0"/>
              <w:adjustRightInd w:val="0"/>
              <w:spacing w:after="0" w:line="240" w:lineRule="auto"/>
              <w:rPr>
                <w:rFonts w:ascii="Arial" w:hAnsi="Arial" w:cs="Arial"/>
                <w:sz w:val="20"/>
                <w:szCs w:val="20"/>
              </w:rPr>
            </w:pPr>
            <w:r w:rsidRPr="003A2F86">
              <w:rPr>
                <w:rFonts w:ascii="Arial" w:hAnsi="Arial" w:cs="Arial"/>
                <w:sz w:val="20"/>
                <w:szCs w:val="20"/>
              </w:rPr>
              <w:t>Opći cilj je prevencija požara, podizanje kvalitete rada, stručno usavršavanje djelatnika, podizanje materijalnih i drugih uvjeta rada.</w:t>
            </w:r>
          </w:p>
          <w:p w14:paraId="11204485" w14:textId="77777777" w:rsidR="00F63556" w:rsidRPr="003A2F86" w:rsidRDefault="00F63556" w:rsidP="00F63556">
            <w:pPr>
              <w:autoSpaceDE w:val="0"/>
              <w:autoSpaceDN w:val="0"/>
              <w:adjustRightInd w:val="0"/>
              <w:spacing w:after="0" w:line="240" w:lineRule="auto"/>
              <w:rPr>
                <w:rFonts w:ascii="Arial" w:hAnsi="Arial" w:cs="Arial"/>
                <w:sz w:val="20"/>
                <w:szCs w:val="20"/>
              </w:rPr>
            </w:pPr>
            <w:r w:rsidRPr="003A2F86">
              <w:rPr>
                <w:rFonts w:ascii="Arial" w:hAnsi="Arial" w:cs="Arial"/>
                <w:sz w:val="20"/>
                <w:szCs w:val="20"/>
              </w:rPr>
              <w:t xml:space="preserve">- priprema operativnih vatrogasaca na nove tehnologije i upotrebu nove vatrogasne opreme sa ciljem podizanja spremnosti vatrogasne službe u djelovanju na intervencijama, smanjenju materijalnih troškova i povećavanju sigurnosti stanovništva, </w:t>
            </w:r>
          </w:p>
          <w:p w14:paraId="1DF16CF3" w14:textId="77777777" w:rsidR="00F63556" w:rsidRPr="003A2F86" w:rsidRDefault="00F63556" w:rsidP="00F63556">
            <w:pPr>
              <w:autoSpaceDE w:val="0"/>
              <w:autoSpaceDN w:val="0"/>
              <w:adjustRightInd w:val="0"/>
              <w:spacing w:after="0" w:line="240" w:lineRule="auto"/>
              <w:rPr>
                <w:rFonts w:ascii="Arial" w:hAnsi="Arial" w:cs="Arial"/>
                <w:sz w:val="20"/>
                <w:szCs w:val="20"/>
              </w:rPr>
            </w:pPr>
            <w:r w:rsidRPr="003A2F86">
              <w:rPr>
                <w:rFonts w:ascii="Arial" w:hAnsi="Arial" w:cs="Arial"/>
                <w:sz w:val="20"/>
                <w:szCs w:val="20"/>
              </w:rPr>
              <w:t>-rad na protupožarnoj preventivi sa ciljem umanjenja nastanka štetnih događaja.</w:t>
            </w:r>
          </w:p>
        </w:tc>
      </w:tr>
      <w:tr w:rsidR="00F63556" w:rsidRPr="003A2F86" w14:paraId="6FDEB538" w14:textId="77777777" w:rsidTr="003D18D4">
        <w:tc>
          <w:tcPr>
            <w:tcW w:w="1561" w:type="dxa"/>
            <w:vAlign w:val="bottom"/>
          </w:tcPr>
          <w:p w14:paraId="191A987A"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POSEBNI CILJEVI</w:t>
            </w:r>
          </w:p>
        </w:tc>
        <w:tc>
          <w:tcPr>
            <w:tcW w:w="12123" w:type="dxa"/>
            <w:tcBorders>
              <w:top w:val="dotted" w:sz="4" w:space="0" w:color="auto"/>
              <w:left w:val="dotted" w:sz="4" w:space="0" w:color="auto"/>
              <w:bottom w:val="dotted" w:sz="4" w:space="0" w:color="auto"/>
              <w:right w:val="dotted" w:sz="4" w:space="0" w:color="auto"/>
            </w:tcBorders>
            <w:vAlign w:val="bottom"/>
          </w:tcPr>
          <w:p w14:paraId="2C584F39"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xml:space="preserve">POSEBNI CILJ je učinkovito funkcioniranje protupožarne zaštite. </w:t>
            </w:r>
          </w:p>
          <w:p w14:paraId="52E3FB72"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Naime, svrha programa je:</w:t>
            </w:r>
          </w:p>
          <w:p w14:paraId="0F323808"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xml:space="preserve">- zadovoljavanje potreba stanovništva za provedbom dobrih preventivnih mjera protupožarne zaštite radi što bolje zaštite ljudi i materijalnih dobara, gašenje požara i spašavanja ljudi i imovine ugroženih požarom, pružanje tehničke pomoći u nezgodama i opasnim situacijama, obavljanje i drugih poslova u nesrećama, ekološkim i drugim nesrećama, </w:t>
            </w:r>
          </w:p>
          <w:p w14:paraId="149C48CD"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xml:space="preserve">- omogućiti redovnu djelatnost vatrogasnih službi, razvijanje dobrovoljstva i humanitarnog djelovanja, </w:t>
            </w:r>
          </w:p>
          <w:p w14:paraId="4AA1954C"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xml:space="preserve">- priprema operativnih vatrogasaca na nove tehnologije i upotrebu nove vatrogasne opreme s ciljem podizanja spremnosti vatrogasne službe u djelovanju na intervencijama, smanjenju materijalnih troškova i povećavanju sigurnosti stanovništva, </w:t>
            </w:r>
          </w:p>
          <w:p w14:paraId="33E9609F"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-rad na protupožarnoj preventivi sa ciljem umanjenja nastanka štetnih događaja.</w:t>
            </w:r>
          </w:p>
          <w:p w14:paraId="1B2C8FB4" w14:textId="77777777" w:rsidR="00F63556" w:rsidRPr="003A2F86" w:rsidRDefault="00F63556" w:rsidP="00F63556">
            <w:pPr>
              <w:spacing w:after="0" w:line="240" w:lineRule="auto"/>
              <w:rPr>
                <w:rFonts w:ascii="Arial" w:eastAsia="Calibri" w:hAnsi="Arial" w:cs="Arial"/>
                <w:sz w:val="20"/>
                <w:szCs w:val="20"/>
              </w:rPr>
            </w:pPr>
          </w:p>
          <w:p w14:paraId="61FB7782" w14:textId="4A3171B2" w:rsidR="009747AB"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lastRenderedPageBreak/>
              <w:t xml:space="preserve">Strategija razvoja JVP Konavle </w:t>
            </w:r>
            <w:r w:rsidR="00D12A0C">
              <w:rPr>
                <w:rFonts w:ascii="Arial" w:eastAsia="Calibri" w:hAnsi="Arial" w:cs="Arial"/>
                <w:sz w:val="20"/>
                <w:szCs w:val="20"/>
              </w:rPr>
              <w:t xml:space="preserve">zacrtana za </w:t>
            </w:r>
            <w:r w:rsidR="00E4253B">
              <w:rPr>
                <w:rFonts w:ascii="Arial" w:eastAsia="Calibri" w:hAnsi="Arial" w:cs="Arial"/>
                <w:sz w:val="20"/>
                <w:szCs w:val="20"/>
              </w:rPr>
              <w:t>prethodno proračunsko</w:t>
            </w:r>
            <w:r w:rsidR="00D12A0C">
              <w:rPr>
                <w:rFonts w:ascii="Arial" w:eastAsia="Calibri" w:hAnsi="Arial" w:cs="Arial"/>
                <w:sz w:val="20"/>
                <w:szCs w:val="20"/>
              </w:rPr>
              <w:t xml:space="preserve"> razdoblje koje se odnosila na </w:t>
            </w:r>
            <w:r w:rsidRPr="003A2F86">
              <w:rPr>
                <w:rFonts w:ascii="Arial" w:eastAsia="Calibri" w:hAnsi="Arial" w:cs="Arial"/>
                <w:sz w:val="20"/>
                <w:szCs w:val="20"/>
              </w:rPr>
              <w:t>nabavu vatrogasnog vozila – rab</w:t>
            </w:r>
            <w:r w:rsidR="003D6583">
              <w:rPr>
                <w:rFonts w:ascii="Arial" w:eastAsia="Calibri" w:hAnsi="Arial" w:cs="Arial"/>
                <w:sz w:val="20"/>
                <w:szCs w:val="20"/>
              </w:rPr>
              <w:t>l</w:t>
            </w:r>
            <w:r w:rsidRPr="003A2F86">
              <w:rPr>
                <w:rFonts w:ascii="Arial" w:eastAsia="Calibri" w:hAnsi="Arial" w:cs="Arial"/>
                <w:sz w:val="20"/>
                <w:szCs w:val="20"/>
              </w:rPr>
              <w:t>jenih autoljestvi ljestvenika</w:t>
            </w:r>
            <w:r w:rsidR="00D12A0C">
              <w:rPr>
                <w:rFonts w:ascii="Arial" w:eastAsia="Calibri" w:hAnsi="Arial" w:cs="Arial"/>
                <w:sz w:val="20"/>
                <w:szCs w:val="20"/>
              </w:rPr>
              <w:t xml:space="preserve"> je ostvarena</w:t>
            </w:r>
            <w:r w:rsidRPr="003A2F86">
              <w:rPr>
                <w:rFonts w:ascii="Arial" w:eastAsia="Calibri" w:hAnsi="Arial" w:cs="Arial"/>
                <w:sz w:val="20"/>
                <w:szCs w:val="20"/>
              </w:rPr>
              <w:t xml:space="preserve">. </w:t>
            </w:r>
            <w:r w:rsidR="00D12A0C">
              <w:rPr>
                <w:rFonts w:ascii="Arial" w:eastAsia="Calibri" w:hAnsi="Arial" w:cs="Arial"/>
                <w:sz w:val="20"/>
                <w:szCs w:val="20"/>
              </w:rPr>
              <w:t>N</w:t>
            </w:r>
            <w:r w:rsidRPr="003A2F86">
              <w:rPr>
                <w:rFonts w:ascii="Arial" w:eastAsia="Calibri" w:hAnsi="Arial" w:cs="Arial"/>
                <w:sz w:val="20"/>
                <w:szCs w:val="20"/>
              </w:rPr>
              <w:t>abavkom istog maksimalno</w:t>
            </w:r>
            <w:r w:rsidR="00D12A0C">
              <w:rPr>
                <w:rFonts w:ascii="Arial" w:eastAsia="Calibri" w:hAnsi="Arial" w:cs="Arial"/>
                <w:sz w:val="20"/>
                <w:szCs w:val="20"/>
              </w:rPr>
              <w:t xml:space="preserve"> se</w:t>
            </w:r>
            <w:r w:rsidRPr="003A2F86">
              <w:rPr>
                <w:rFonts w:ascii="Arial" w:eastAsia="Calibri" w:hAnsi="Arial" w:cs="Arial"/>
                <w:sz w:val="20"/>
                <w:szCs w:val="20"/>
              </w:rPr>
              <w:t xml:space="preserve"> podigla operativna spremnost i učinkovitost postrojbe u gašenju više</w:t>
            </w:r>
            <w:r w:rsidR="003D6583">
              <w:rPr>
                <w:rFonts w:ascii="Arial" w:eastAsia="Calibri" w:hAnsi="Arial" w:cs="Arial"/>
                <w:sz w:val="20"/>
                <w:szCs w:val="20"/>
              </w:rPr>
              <w:t>-</w:t>
            </w:r>
            <w:r w:rsidRPr="003A2F86">
              <w:rPr>
                <w:rFonts w:ascii="Arial" w:eastAsia="Calibri" w:hAnsi="Arial" w:cs="Arial"/>
                <w:sz w:val="20"/>
                <w:szCs w:val="20"/>
              </w:rPr>
              <w:t xml:space="preserve">etažnih objekata na području Općine Konavle. </w:t>
            </w:r>
          </w:p>
          <w:p w14:paraId="17919B00" w14:textId="041F3189"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Na području Konavala postoji niz visoko etažnih objekata zbog kojih je potrebno vršiti gašenje. Navedeno vozilo je</w:t>
            </w:r>
            <w:r w:rsidR="00D12A0C">
              <w:rPr>
                <w:rFonts w:ascii="Arial" w:eastAsia="Calibri" w:hAnsi="Arial" w:cs="Arial"/>
                <w:sz w:val="20"/>
                <w:szCs w:val="20"/>
              </w:rPr>
              <w:t xml:space="preserve">, između ostalog, bilo </w:t>
            </w:r>
            <w:r w:rsidRPr="003A2F86">
              <w:rPr>
                <w:rFonts w:ascii="Arial" w:eastAsia="Calibri" w:hAnsi="Arial" w:cs="Arial"/>
                <w:sz w:val="20"/>
                <w:szCs w:val="20"/>
              </w:rPr>
              <w:t>potrebno nabaviti zbog Plana i procjene ugroženosti od požara i tehnoloških eksplozija za Općinu Konavle koje je propisano člankom 5. Pravilnika o minimumu tehničke opreme i sredstava vatrogasnih postrojbi.</w:t>
            </w:r>
          </w:p>
          <w:p w14:paraId="47F401BA" w14:textId="77777777" w:rsidR="00F63556" w:rsidRPr="003A2F86" w:rsidRDefault="00F63556" w:rsidP="00F63556">
            <w:pPr>
              <w:spacing w:after="0" w:line="240" w:lineRule="auto"/>
              <w:rPr>
                <w:rFonts w:ascii="Arial" w:eastAsia="Calibri" w:hAnsi="Arial" w:cs="Arial"/>
                <w:sz w:val="20"/>
                <w:szCs w:val="20"/>
              </w:rPr>
            </w:pPr>
          </w:p>
          <w:p w14:paraId="76F31548" w14:textId="42F49201"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xml:space="preserve">JVP Konavle redovno održava vozila i opremu. Svi manji kvarovi </w:t>
            </w:r>
            <w:r w:rsidR="00D12A0C">
              <w:rPr>
                <w:rFonts w:ascii="Arial" w:eastAsia="Calibri" w:hAnsi="Arial" w:cs="Arial"/>
                <w:sz w:val="20"/>
                <w:szCs w:val="20"/>
              </w:rPr>
              <w:t>se</w:t>
            </w:r>
            <w:r w:rsidRPr="003A2F86">
              <w:rPr>
                <w:rFonts w:ascii="Arial" w:eastAsia="Calibri" w:hAnsi="Arial" w:cs="Arial"/>
                <w:sz w:val="20"/>
                <w:szCs w:val="20"/>
              </w:rPr>
              <w:t xml:space="preserve"> otklanja</w:t>
            </w:r>
            <w:r w:rsidR="00D12A0C">
              <w:rPr>
                <w:rFonts w:ascii="Arial" w:eastAsia="Calibri" w:hAnsi="Arial" w:cs="Arial"/>
                <w:sz w:val="20"/>
                <w:szCs w:val="20"/>
              </w:rPr>
              <w:t>ju</w:t>
            </w:r>
            <w:r w:rsidRPr="003A2F86">
              <w:rPr>
                <w:rFonts w:ascii="Arial" w:eastAsia="Calibri" w:hAnsi="Arial" w:cs="Arial"/>
                <w:sz w:val="20"/>
                <w:szCs w:val="20"/>
              </w:rPr>
              <w:t xml:space="preserve"> u samoj postrojbi da bi se maksimalno smanjili troškovi održavanja i popravaka vozila. Sve nabavke opreme, robe, tehnike i usluga </w:t>
            </w:r>
            <w:r w:rsidR="00D12A0C">
              <w:rPr>
                <w:rFonts w:ascii="Arial" w:eastAsia="Calibri" w:hAnsi="Arial" w:cs="Arial"/>
                <w:sz w:val="20"/>
                <w:szCs w:val="20"/>
              </w:rPr>
              <w:t>se</w:t>
            </w:r>
            <w:r w:rsidRPr="003A2F86">
              <w:rPr>
                <w:rFonts w:ascii="Arial" w:eastAsia="Calibri" w:hAnsi="Arial" w:cs="Arial"/>
                <w:sz w:val="20"/>
                <w:szCs w:val="20"/>
              </w:rPr>
              <w:t xml:space="preserve"> </w:t>
            </w:r>
            <w:r w:rsidR="00D12A0C">
              <w:rPr>
                <w:rFonts w:ascii="Arial" w:eastAsia="Calibri" w:hAnsi="Arial" w:cs="Arial"/>
                <w:sz w:val="20"/>
                <w:szCs w:val="20"/>
              </w:rPr>
              <w:t>obavljaju</w:t>
            </w:r>
            <w:r w:rsidRPr="003A2F86">
              <w:rPr>
                <w:rFonts w:ascii="Arial" w:eastAsia="Calibri" w:hAnsi="Arial" w:cs="Arial"/>
                <w:sz w:val="20"/>
                <w:szCs w:val="20"/>
              </w:rPr>
              <w:t xml:space="preserve"> ukoliko </w:t>
            </w:r>
            <w:r w:rsidR="00D12A0C">
              <w:rPr>
                <w:rFonts w:ascii="Arial" w:eastAsia="Calibri" w:hAnsi="Arial" w:cs="Arial"/>
                <w:sz w:val="20"/>
                <w:szCs w:val="20"/>
              </w:rPr>
              <w:t xml:space="preserve">su </w:t>
            </w:r>
            <w:r w:rsidRPr="003A2F86">
              <w:rPr>
                <w:rFonts w:ascii="Arial" w:eastAsia="Calibri" w:hAnsi="Arial" w:cs="Arial"/>
                <w:sz w:val="20"/>
                <w:szCs w:val="20"/>
              </w:rPr>
              <w:t>nužne</w:t>
            </w:r>
            <w:r w:rsidR="00D12A0C">
              <w:rPr>
                <w:rFonts w:ascii="Arial" w:eastAsia="Calibri" w:hAnsi="Arial" w:cs="Arial"/>
                <w:sz w:val="20"/>
                <w:szCs w:val="20"/>
              </w:rPr>
              <w:t>.</w:t>
            </w:r>
          </w:p>
          <w:p w14:paraId="66846DC1" w14:textId="77777777" w:rsidR="00F63556" w:rsidRPr="003A2F86" w:rsidRDefault="00F63556" w:rsidP="00F63556">
            <w:pPr>
              <w:spacing w:after="0" w:line="240" w:lineRule="auto"/>
              <w:rPr>
                <w:rFonts w:ascii="Arial" w:eastAsia="Calibri" w:hAnsi="Arial" w:cs="Arial"/>
                <w:sz w:val="20"/>
                <w:szCs w:val="20"/>
              </w:rPr>
            </w:pPr>
          </w:p>
          <w:p w14:paraId="4583E07B" w14:textId="5AC46481"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 xml:space="preserve">Putem EU projekta Flood </w:t>
            </w:r>
            <w:r w:rsidR="003D6583">
              <w:rPr>
                <w:rFonts w:ascii="Arial" w:eastAsia="Calibri" w:hAnsi="Arial" w:cs="Arial"/>
                <w:sz w:val="20"/>
                <w:szCs w:val="20"/>
              </w:rPr>
              <w:t xml:space="preserve">&amp; </w:t>
            </w:r>
            <w:r w:rsidRPr="003A2F86">
              <w:rPr>
                <w:rFonts w:ascii="Arial" w:eastAsia="Calibri" w:hAnsi="Arial" w:cs="Arial"/>
                <w:sz w:val="20"/>
                <w:szCs w:val="20"/>
              </w:rPr>
              <w:t xml:space="preserve">Fire </w:t>
            </w:r>
            <w:r w:rsidR="003D6583">
              <w:rPr>
                <w:rFonts w:ascii="Arial" w:eastAsia="Calibri" w:hAnsi="Arial" w:cs="Arial"/>
                <w:sz w:val="20"/>
                <w:szCs w:val="20"/>
              </w:rPr>
              <w:t xml:space="preserve">za </w:t>
            </w:r>
            <w:r w:rsidRPr="003A2F86">
              <w:rPr>
                <w:rFonts w:ascii="Arial" w:eastAsia="Calibri" w:hAnsi="Arial" w:cs="Arial"/>
                <w:sz w:val="20"/>
                <w:szCs w:val="20"/>
              </w:rPr>
              <w:t xml:space="preserve">JVP Konavle je </w:t>
            </w:r>
            <w:r w:rsidR="00B30C6F" w:rsidRPr="003A2F86">
              <w:rPr>
                <w:rFonts w:ascii="Arial" w:eastAsia="Calibri" w:hAnsi="Arial" w:cs="Arial"/>
                <w:sz w:val="20"/>
                <w:szCs w:val="20"/>
              </w:rPr>
              <w:t>tijekom</w:t>
            </w:r>
            <w:r w:rsidRPr="003A2F86">
              <w:rPr>
                <w:rFonts w:ascii="Arial" w:eastAsia="Calibri" w:hAnsi="Arial" w:cs="Arial"/>
                <w:sz w:val="20"/>
                <w:szCs w:val="20"/>
              </w:rPr>
              <w:t xml:space="preserve"> 2022.</w:t>
            </w:r>
            <w:r w:rsidR="00B30C6F" w:rsidRPr="003A2F86">
              <w:rPr>
                <w:rFonts w:ascii="Arial" w:eastAsia="Calibri" w:hAnsi="Arial" w:cs="Arial"/>
                <w:sz w:val="20"/>
                <w:szCs w:val="20"/>
              </w:rPr>
              <w:t xml:space="preserve"> </w:t>
            </w:r>
            <w:r w:rsidRPr="003A2F86">
              <w:rPr>
                <w:rFonts w:ascii="Arial" w:eastAsia="Calibri" w:hAnsi="Arial" w:cs="Arial"/>
                <w:sz w:val="20"/>
                <w:szCs w:val="20"/>
              </w:rPr>
              <w:t>god</w:t>
            </w:r>
            <w:r w:rsidR="00B30C6F" w:rsidRPr="003A2F86">
              <w:rPr>
                <w:rFonts w:ascii="Arial" w:eastAsia="Calibri" w:hAnsi="Arial" w:cs="Arial"/>
                <w:sz w:val="20"/>
                <w:szCs w:val="20"/>
              </w:rPr>
              <w:t>ine</w:t>
            </w:r>
            <w:r w:rsidRPr="003A2F86">
              <w:rPr>
                <w:rFonts w:ascii="Arial" w:eastAsia="Calibri" w:hAnsi="Arial" w:cs="Arial"/>
                <w:sz w:val="20"/>
                <w:szCs w:val="20"/>
              </w:rPr>
              <w:t xml:space="preserve"> </w:t>
            </w:r>
            <w:r w:rsidR="003D6583">
              <w:rPr>
                <w:rFonts w:ascii="Arial" w:eastAsia="Calibri" w:hAnsi="Arial" w:cs="Arial"/>
                <w:sz w:val="20"/>
                <w:szCs w:val="20"/>
              </w:rPr>
              <w:t>nabavljeno</w:t>
            </w:r>
            <w:r w:rsidRPr="003A2F86">
              <w:rPr>
                <w:rFonts w:ascii="Arial" w:eastAsia="Calibri" w:hAnsi="Arial" w:cs="Arial"/>
                <w:sz w:val="20"/>
                <w:szCs w:val="20"/>
              </w:rPr>
              <w:t>:</w:t>
            </w:r>
            <w:r w:rsidR="00F12DCA">
              <w:rPr>
                <w:rFonts w:ascii="Arial" w:eastAsia="Calibri" w:hAnsi="Arial" w:cs="Arial"/>
                <w:sz w:val="20"/>
                <w:szCs w:val="20"/>
              </w:rPr>
              <w:t xml:space="preserve"> </w:t>
            </w:r>
            <w:r w:rsidR="00B30C6F" w:rsidRPr="003A2F86">
              <w:rPr>
                <w:rFonts w:ascii="Arial" w:eastAsia="Calibri" w:hAnsi="Arial" w:cs="Arial"/>
                <w:sz w:val="20"/>
                <w:szCs w:val="20"/>
              </w:rPr>
              <w:t>m</w:t>
            </w:r>
            <w:r w:rsidRPr="003A2F86">
              <w:rPr>
                <w:rFonts w:ascii="Arial" w:eastAsia="Calibri" w:hAnsi="Arial" w:cs="Arial"/>
                <w:sz w:val="20"/>
                <w:szCs w:val="20"/>
              </w:rPr>
              <w:t xml:space="preserve">alo terensko vozilo sa visokotlačnim modulom za gašenje požara, </w:t>
            </w:r>
            <w:r w:rsidR="00B30C6F" w:rsidRPr="003A2F86">
              <w:rPr>
                <w:rFonts w:ascii="Arial" w:eastAsia="Calibri" w:hAnsi="Arial" w:cs="Arial"/>
                <w:sz w:val="20"/>
                <w:szCs w:val="20"/>
              </w:rPr>
              <w:t>n</w:t>
            </w:r>
            <w:r w:rsidRPr="003A2F86">
              <w:rPr>
                <w:rFonts w:ascii="Arial" w:eastAsia="Calibri" w:hAnsi="Arial" w:cs="Arial"/>
                <w:sz w:val="20"/>
                <w:szCs w:val="20"/>
              </w:rPr>
              <w:t xml:space="preserve">avalno vozilo s duplom kabinom, bespilotnu letjelicu s termo kamerom, 10 radio stanica te 25 kompleta zaštitne </w:t>
            </w:r>
            <w:r w:rsidR="00B30C6F" w:rsidRPr="003A2F86">
              <w:rPr>
                <w:rFonts w:ascii="Arial" w:eastAsia="Calibri" w:hAnsi="Arial" w:cs="Arial"/>
                <w:sz w:val="20"/>
                <w:szCs w:val="20"/>
              </w:rPr>
              <w:t>vatrogasne</w:t>
            </w:r>
            <w:r w:rsidRPr="003A2F86">
              <w:rPr>
                <w:rFonts w:ascii="Arial" w:eastAsia="Calibri" w:hAnsi="Arial" w:cs="Arial"/>
                <w:sz w:val="20"/>
                <w:szCs w:val="20"/>
              </w:rPr>
              <w:t xml:space="preserve"> opreme.</w:t>
            </w:r>
          </w:p>
          <w:p w14:paraId="2A894049" w14:textId="3E96833E" w:rsidR="00F63556" w:rsidRPr="003A2F86" w:rsidRDefault="00F63556" w:rsidP="00F63556">
            <w:pPr>
              <w:spacing w:after="0" w:line="240" w:lineRule="auto"/>
              <w:rPr>
                <w:rFonts w:ascii="Arial" w:eastAsia="Calibri" w:hAnsi="Arial" w:cs="Arial"/>
                <w:sz w:val="20"/>
                <w:szCs w:val="20"/>
              </w:rPr>
            </w:pPr>
          </w:p>
          <w:p w14:paraId="399B84E4" w14:textId="77777777" w:rsidR="008A524D"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Javna vatrogasna postrojba Konavle kao postrojba Vrste II. iz Plana i procjene ugroženosti od požara i tehnoloških eksplozija Općine Konavle bi trebala dodatno zaposliti dva vatrogasca, od kojih će jedan biti vozač vatrogasnog vozila, a drugi voditelj vatrogasne grupe, čime bi se udovoljio uvjet za postrojbu Vrste II, te omogućilo brže i kvalitetnije djelovanje na dvije intervencije istodobno, a posebice u ljetnoj sezoni kada JVP Konavle vrši vatrogasno dežurstvo na dislokaciji u Cavtatu.</w:t>
            </w:r>
            <w:r w:rsidR="008A524D" w:rsidRPr="003A2F86">
              <w:rPr>
                <w:rFonts w:ascii="Arial" w:eastAsia="Calibri" w:hAnsi="Arial" w:cs="Arial"/>
                <w:sz w:val="20"/>
                <w:szCs w:val="20"/>
              </w:rPr>
              <w:t xml:space="preserve"> </w:t>
            </w:r>
          </w:p>
          <w:p w14:paraId="6E73E9D6" w14:textId="1E45F72C" w:rsidR="00F63556" w:rsidRPr="003A2F86" w:rsidRDefault="008A524D" w:rsidP="00F63556">
            <w:pPr>
              <w:spacing w:after="0" w:line="240" w:lineRule="auto"/>
              <w:rPr>
                <w:rFonts w:ascii="Arial" w:eastAsia="Calibri" w:hAnsi="Arial" w:cs="Arial"/>
                <w:sz w:val="20"/>
                <w:szCs w:val="20"/>
              </w:rPr>
            </w:pPr>
            <w:r w:rsidRPr="003A2F86">
              <w:rPr>
                <w:rFonts w:ascii="Arial" w:eastAsia="Calibri" w:hAnsi="Arial" w:cs="Arial"/>
                <w:sz w:val="20"/>
                <w:szCs w:val="20"/>
              </w:rPr>
              <w:t>JVP je preselila u novi vatrogasni dom na Grudi.</w:t>
            </w:r>
          </w:p>
        </w:tc>
      </w:tr>
      <w:tr w:rsidR="00F63556" w:rsidRPr="003A2F86" w14:paraId="5A118988" w14:textId="77777777" w:rsidTr="003D18D4">
        <w:tc>
          <w:tcPr>
            <w:tcW w:w="1561" w:type="dxa"/>
            <w:vAlign w:val="bottom"/>
          </w:tcPr>
          <w:p w14:paraId="4DDB168F" w14:textId="77777777" w:rsidR="00F63556" w:rsidRPr="003A2F86" w:rsidRDefault="00F63556" w:rsidP="00F63556">
            <w:pPr>
              <w:spacing w:after="0" w:line="240" w:lineRule="auto"/>
              <w:rPr>
                <w:rFonts w:ascii="Arial" w:eastAsia="Calibri" w:hAnsi="Arial" w:cs="Arial"/>
              </w:rPr>
            </w:pPr>
            <w:r w:rsidRPr="003A2F86">
              <w:rPr>
                <w:rFonts w:ascii="Arial" w:eastAsia="Calibri" w:hAnsi="Arial" w:cs="Arial"/>
                <w:sz w:val="14"/>
              </w:rPr>
              <w:lastRenderedPageBreak/>
              <w:t>INSTITUCIJE, DRUŠTVA I STRUČNE OSOBE U PROVEDBI PROGRAMA:</w:t>
            </w:r>
          </w:p>
        </w:tc>
        <w:tc>
          <w:tcPr>
            <w:tcW w:w="12123" w:type="dxa"/>
            <w:tcBorders>
              <w:top w:val="dotted" w:sz="4" w:space="0" w:color="auto"/>
              <w:left w:val="dotted" w:sz="4" w:space="0" w:color="auto"/>
              <w:bottom w:val="dotted" w:sz="4" w:space="0" w:color="auto"/>
              <w:right w:val="dotted" w:sz="4" w:space="0" w:color="auto"/>
            </w:tcBorders>
          </w:tcPr>
          <w:p w14:paraId="68FD5778" w14:textId="77777777" w:rsidR="00F63556" w:rsidRPr="003A2F86" w:rsidRDefault="00F63556" w:rsidP="00F63556">
            <w:pPr>
              <w:spacing w:after="0" w:line="240" w:lineRule="auto"/>
              <w:rPr>
                <w:rFonts w:ascii="Arial" w:eastAsia="Calibri" w:hAnsi="Arial" w:cs="Arial"/>
                <w:sz w:val="20"/>
                <w:szCs w:val="20"/>
              </w:rPr>
            </w:pPr>
            <w:r w:rsidRPr="003A2F86">
              <w:rPr>
                <w:rFonts w:ascii="Arial" w:eastAsia="Calibri" w:hAnsi="Arial" w:cs="Arial"/>
                <w:sz w:val="20"/>
                <w:szCs w:val="20"/>
              </w:rPr>
              <w:t>Program realiziraju djelatnici Javne vatrogasne postrojbe, u suradnji s službenicima i namještenicima Općine u okviru poslova i zadataka radnih mjesta na koje su raspoređeni, Ministarstvo unutarnjih poslova, Državna uprava za zaštitu i spašavanje, Hrvatska vatrogasna zajednica, Vatrogasna zajednica županije Dubrovačko-neretvanske, Vatrogasna zajednica Općine Konavle</w:t>
            </w:r>
          </w:p>
        </w:tc>
      </w:tr>
    </w:tbl>
    <w:p w14:paraId="046FC454" w14:textId="77777777" w:rsidR="008A524D" w:rsidRPr="003A2F86" w:rsidRDefault="008A524D" w:rsidP="00F63556">
      <w:pPr>
        <w:spacing w:after="0" w:line="240" w:lineRule="auto"/>
        <w:rPr>
          <w:rFonts w:ascii="Arial" w:eastAsia="Calibri" w:hAnsi="Arial" w:cs="Arial"/>
        </w:rPr>
      </w:pPr>
    </w:p>
    <w:p w14:paraId="497D5866" w14:textId="77777777" w:rsidR="00F63556" w:rsidRPr="003A2F86" w:rsidRDefault="00F63556">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3A2F86">
        <w:rPr>
          <w:rFonts w:ascii="Arial" w:eastAsia="Calibri" w:hAnsi="Arial" w:cs="Arial"/>
          <w:b/>
        </w:rPr>
        <w:t>OBRAZLOŽENJE OPĆEG DIJELA FINANCIJSKOG PLANA</w:t>
      </w:r>
    </w:p>
    <w:p w14:paraId="101CE50C" w14:textId="77777777" w:rsidR="00F6697E" w:rsidRPr="003A2F86" w:rsidRDefault="00F6697E" w:rsidP="00F63556">
      <w:pPr>
        <w:spacing w:after="0" w:line="240" w:lineRule="auto"/>
        <w:ind w:firstLine="708"/>
        <w:rPr>
          <w:rFonts w:ascii="Arial" w:eastAsia="Calibri" w:hAnsi="Arial" w:cs="Arial"/>
          <w:sz w:val="20"/>
          <w:szCs w:val="20"/>
        </w:rPr>
      </w:pPr>
    </w:p>
    <w:p w14:paraId="06A796F0" w14:textId="54605EAD" w:rsidR="00F63556" w:rsidRPr="003A2F86" w:rsidRDefault="00F63556" w:rsidP="00F63556">
      <w:pPr>
        <w:spacing w:after="0" w:line="240" w:lineRule="auto"/>
        <w:ind w:firstLine="708"/>
        <w:rPr>
          <w:rFonts w:ascii="Arial" w:eastAsia="Calibri" w:hAnsi="Arial" w:cs="Arial"/>
          <w:sz w:val="20"/>
          <w:szCs w:val="20"/>
        </w:rPr>
      </w:pPr>
      <w:r w:rsidRPr="003A2F86">
        <w:rPr>
          <w:rFonts w:ascii="Arial" w:eastAsia="Calibri" w:hAnsi="Arial" w:cs="Arial"/>
          <w:sz w:val="20"/>
          <w:szCs w:val="20"/>
        </w:rPr>
        <w:t>Opći dio financijskog plana sastoji se od sažetka računa prihoda i rashoda. Prihodi i rashodi su  iskazanih prema izvorima financiranja i ekonomskoj klasifikaciji, te izvorima financiranja.</w:t>
      </w:r>
    </w:p>
    <w:p w14:paraId="44E90C66" w14:textId="337BEDAC" w:rsidR="00F63556" w:rsidRPr="003A2F86" w:rsidRDefault="00E4253B" w:rsidP="00F63556">
      <w:pPr>
        <w:spacing w:after="0" w:line="240" w:lineRule="auto"/>
        <w:jc w:val="center"/>
        <w:rPr>
          <w:rFonts w:ascii="Arial" w:eastAsia="Calibri" w:hAnsi="Arial" w:cs="Arial"/>
          <w:sz w:val="20"/>
          <w:szCs w:val="20"/>
        </w:rPr>
      </w:pPr>
      <w:r w:rsidRPr="00E4253B">
        <w:rPr>
          <w:noProof/>
        </w:rPr>
        <w:lastRenderedPageBreak/>
        <w:drawing>
          <wp:inline distT="0" distB="0" distL="0" distR="0" wp14:anchorId="452A405F" wp14:editId="550397D1">
            <wp:extent cx="8001000" cy="5522940"/>
            <wp:effectExtent l="0" t="0" r="0" b="1905"/>
            <wp:docPr id="530907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003173" cy="5524440"/>
                    </a:xfrm>
                    <a:prstGeom prst="rect">
                      <a:avLst/>
                    </a:prstGeom>
                    <a:noFill/>
                    <a:ln>
                      <a:noFill/>
                    </a:ln>
                  </pic:spPr>
                </pic:pic>
              </a:graphicData>
            </a:graphic>
          </wp:inline>
        </w:drawing>
      </w:r>
    </w:p>
    <w:p w14:paraId="706CF72E" w14:textId="77777777" w:rsidR="008F1970" w:rsidRPr="003A2F86" w:rsidRDefault="008F1970" w:rsidP="00F63556">
      <w:pPr>
        <w:spacing w:after="0" w:line="240" w:lineRule="auto"/>
        <w:ind w:firstLine="708"/>
      </w:pPr>
    </w:p>
    <w:p w14:paraId="32AE4F9C" w14:textId="717D3D48" w:rsidR="00F63556" w:rsidRPr="003A2F86" w:rsidRDefault="00F63556" w:rsidP="008F1970">
      <w:pPr>
        <w:spacing w:after="0" w:line="240" w:lineRule="auto"/>
        <w:ind w:firstLine="567"/>
        <w:rPr>
          <w:rFonts w:ascii="Arial" w:eastAsia="Calibri" w:hAnsi="Arial" w:cs="Arial"/>
          <w:sz w:val="20"/>
          <w:szCs w:val="20"/>
        </w:rPr>
      </w:pPr>
      <w:r w:rsidRPr="003A2F86">
        <w:rPr>
          <w:rFonts w:ascii="Arial" w:eastAsia="Calibri" w:hAnsi="Arial" w:cs="Arial"/>
          <w:sz w:val="20"/>
          <w:szCs w:val="20"/>
          <w:u w:val="single"/>
        </w:rPr>
        <w:t>Ostvareni prihodi poslovanja</w:t>
      </w:r>
      <w:r w:rsidRPr="003A2F86">
        <w:rPr>
          <w:rFonts w:ascii="Arial" w:eastAsia="Calibri" w:hAnsi="Arial" w:cs="Arial"/>
          <w:sz w:val="20"/>
          <w:szCs w:val="20"/>
        </w:rPr>
        <w:t xml:space="preserve"> sastoje se od:</w:t>
      </w:r>
    </w:p>
    <w:p w14:paraId="7A6CF576" w14:textId="53CA2E16" w:rsidR="005022AA" w:rsidRPr="003A2F86" w:rsidRDefault="005022AA" w:rsidP="008F1970">
      <w:pPr>
        <w:spacing w:after="0" w:line="240" w:lineRule="auto"/>
        <w:ind w:left="708" w:firstLine="567"/>
        <w:rPr>
          <w:rFonts w:ascii="Arial" w:eastAsia="Calibri" w:hAnsi="Arial" w:cs="Arial"/>
          <w:sz w:val="20"/>
          <w:szCs w:val="20"/>
        </w:rPr>
      </w:pPr>
      <w:r w:rsidRPr="003A2F86">
        <w:rPr>
          <w:rFonts w:ascii="Arial" w:eastAsia="Calibri" w:hAnsi="Arial" w:cs="Arial"/>
          <w:sz w:val="20"/>
          <w:szCs w:val="20"/>
        </w:rPr>
        <w:lastRenderedPageBreak/>
        <w:t>a)</w:t>
      </w:r>
      <w:r w:rsidRPr="003A2F86">
        <w:rPr>
          <w:rFonts w:ascii="Arial" w:eastAsia="Calibri" w:hAnsi="Arial" w:cs="Arial"/>
          <w:sz w:val="20"/>
          <w:szCs w:val="20"/>
        </w:rPr>
        <w:tab/>
        <w:t xml:space="preserve">Tekuće pomoći proračunskim korisnicima iz proračuna koji im nije nadležan. Ostvareni su prihodi u iznosu </w:t>
      </w:r>
      <w:r w:rsidR="009747AB" w:rsidRPr="003A2F86">
        <w:rPr>
          <w:rFonts w:ascii="Arial" w:eastAsia="Calibri" w:hAnsi="Arial" w:cs="Arial"/>
          <w:sz w:val="20"/>
          <w:szCs w:val="20"/>
        </w:rPr>
        <w:t>0</w:t>
      </w:r>
      <w:r w:rsidRPr="003A2F86">
        <w:rPr>
          <w:rFonts w:ascii="Arial" w:eastAsia="Calibri" w:hAnsi="Arial" w:cs="Arial"/>
          <w:sz w:val="20"/>
          <w:szCs w:val="20"/>
        </w:rPr>
        <w:t xml:space="preserve"> € </w:t>
      </w:r>
      <w:r w:rsidR="009747AB" w:rsidRPr="003A2F86">
        <w:rPr>
          <w:rFonts w:ascii="Arial" w:eastAsia="Calibri" w:hAnsi="Arial" w:cs="Arial"/>
          <w:sz w:val="20"/>
          <w:szCs w:val="20"/>
        </w:rPr>
        <w:t xml:space="preserve">(ranijih godina prihodi </w:t>
      </w:r>
      <w:r w:rsidRPr="003A2F86">
        <w:rPr>
          <w:rFonts w:ascii="Arial" w:eastAsia="Calibri" w:hAnsi="Arial" w:cs="Arial"/>
          <w:sz w:val="20"/>
          <w:szCs w:val="20"/>
        </w:rPr>
        <w:t>od Hrvatske vatrogasne zajednice</w:t>
      </w:r>
      <w:r w:rsidR="009747AB" w:rsidRPr="003A2F86">
        <w:rPr>
          <w:rFonts w:ascii="Arial" w:eastAsia="Calibri" w:hAnsi="Arial" w:cs="Arial"/>
          <w:sz w:val="20"/>
          <w:szCs w:val="20"/>
        </w:rPr>
        <w:t>)</w:t>
      </w:r>
      <w:r w:rsidRPr="003A2F86">
        <w:rPr>
          <w:rFonts w:ascii="Arial" w:eastAsia="Calibri" w:hAnsi="Arial" w:cs="Arial"/>
          <w:sz w:val="20"/>
          <w:szCs w:val="20"/>
        </w:rPr>
        <w:t>.</w:t>
      </w:r>
    </w:p>
    <w:p w14:paraId="5D0446A6" w14:textId="3305F76B" w:rsidR="005022AA" w:rsidRPr="003A2F86" w:rsidRDefault="005022AA" w:rsidP="008F1970">
      <w:pPr>
        <w:spacing w:after="0" w:line="240" w:lineRule="auto"/>
        <w:ind w:left="708" w:firstLine="567"/>
        <w:jc w:val="both"/>
        <w:rPr>
          <w:rFonts w:ascii="Arial" w:eastAsia="Calibri" w:hAnsi="Arial" w:cs="Arial"/>
          <w:sz w:val="20"/>
          <w:szCs w:val="20"/>
        </w:rPr>
      </w:pPr>
      <w:r w:rsidRPr="003A2F86">
        <w:rPr>
          <w:rFonts w:ascii="Arial" w:eastAsia="Calibri" w:hAnsi="Arial" w:cs="Arial"/>
          <w:sz w:val="20"/>
          <w:szCs w:val="20"/>
        </w:rPr>
        <w:t xml:space="preserve">b) </w:t>
      </w:r>
      <w:r w:rsidRPr="003A2F86">
        <w:rPr>
          <w:rFonts w:ascii="Arial" w:eastAsia="Calibri" w:hAnsi="Arial" w:cs="Arial"/>
          <w:sz w:val="20"/>
          <w:szCs w:val="20"/>
        </w:rPr>
        <w:tab/>
        <w:t xml:space="preserve">Prihodi od prodaje proizvoda i robe te pruženih usluga i prihodi od donacija. </w:t>
      </w:r>
      <w:r w:rsidR="009747AB" w:rsidRPr="003A2F86">
        <w:rPr>
          <w:rFonts w:ascii="Arial" w:eastAsia="Calibri" w:hAnsi="Arial" w:cs="Arial"/>
          <w:sz w:val="20"/>
          <w:szCs w:val="20"/>
        </w:rPr>
        <w:t>Nisu o</w:t>
      </w:r>
      <w:r w:rsidRPr="003A2F86">
        <w:rPr>
          <w:rFonts w:ascii="Arial" w:eastAsia="Calibri" w:hAnsi="Arial" w:cs="Arial"/>
          <w:sz w:val="20"/>
          <w:szCs w:val="20"/>
        </w:rPr>
        <w:t xml:space="preserve">stvareni prihodi — tekuće donacije </w:t>
      </w:r>
      <w:r w:rsidR="009747AB" w:rsidRPr="003A2F86">
        <w:rPr>
          <w:rFonts w:ascii="Arial" w:eastAsia="Calibri" w:hAnsi="Arial" w:cs="Arial"/>
          <w:sz w:val="20"/>
          <w:szCs w:val="20"/>
        </w:rPr>
        <w:t xml:space="preserve">(ranijih godina prihodi od </w:t>
      </w:r>
      <w:r w:rsidRPr="003A2F86">
        <w:rPr>
          <w:rFonts w:ascii="Arial" w:eastAsia="Calibri" w:hAnsi="Arial" w:cs="Arial"/>
          <w:sz w:val="20"/>
          <w:szCs w:val="20"/>
        </w:rPr>
        <w:t>Vatrogasne zajednice Županije dubrovačko neretvanske</w:t>
      </w:r>
      <w:r w:rsidR="009747AB" w:rsidRPr="003A2F86">
        <w:rPr>
          <w:rFonts w:ascii="Arial" w:eastAsia="Calibri" w:hAnsi="Arial" w:cs="Arial"/>
          <w:sz w:val="20"/>
          <w:szCs w:val="20"/>
        </w:rPr>
        <w:t>)</w:t>
      </w:r>
      <w:r w:rsidRPr="003A2F86">
        <w:rPr>
          <w:rFonts w:ascii="Arial" w:eastAsia="Calibri" w:hAnsi="Arial" w:cs="Arial"/>
          <w:sz w:val="20"/>
          <w:szCs w:val="20"/>
        </w:rPr>
        <w:t>.</w:t>
      </w:r>
    </w:p>
    <w:p w14:paraId="3CB075AA" w14:textId="6A437E58" w:rsidR="005022AA" w:rsidRPr="003A2F86" w:rsidRDefault="00D5398C" w:rsidP="008F1970">
      <w:pPr>
        <w:spacing w:after="0" w:line="240" w:lineRule="auto"/>
        <w:ind w:left="708" w:firstLine="567"/>
        <w:jc w:val="both"/>
        <w:rPr>
          <w:rFonts w:ascii="Arial" w:eastAsia="Calibri" w:hAnsi="Arial" w:cs="Arial"/>
          <w:sz w:val="20"/>
          <w:szCs w:val="20"/>
        </w:rPr>
      </w:pPr>
      <w:r w:rsidRPr="003A2F86">
        <w:rPr>
          <w:rFonts w:ascii="Arial" w:eastAsia="Calibri" w:hAnsi="Arial" w:cs="Arial"/>
          <w:sz w:val="20"/>
          <w:szCs w:val="20"/>
        </w:rPr>
        <w:t>c)</w:t>
      </w:r>
      <w:r w:rsidRPr="003A2F86">
        <w:rPr>
          <w:rFonts w:ascii="Arial" w:eastAsia="Calibri" w:hAnsi="Arial" w:cs="Arial"/>
          <w:sz w:val="20"/>
          <w:szCs w:val="20"/>
        </w:rPr>
        <w:tab/>
      </w:r>
      <w:r w:rsidR="005022AA" w:rsidRPr="003A2F86">
        <w:rPr>
          <w:rFonts w:ascii="Arial" w:eastAsia="Calibri" w:hAnsi="Arial" w:cs="Arial"/>
          <w:sz w:val="20"/>
          <w:szCs w:val="20"/>
        </w:rPr>
        <w:t>Prihodi iz nadležnog proračuna za financiranje redovne djelatnosti proračunskih korisnika ostvareni su</w:t>
      </w:r>
      <w:r w:rsidRPr="003A2F86">
        <w:rPr>
          <w:rFonts w:ascii="Arial" w:eastAsia="Calibri" w:hAnsi="Arial" w:cs="Arial"/>
          <w:sz w:val="20"/>
          <w:szCs w:val="20"/>
        </w:rPr>
        <w:t xml:space="preserve"> </w:t>
      </w:r>
      <w:r w:rsidR="005022AA" w:rsidRPr="003A2F86">
        <w:rPr>
          <w:rFonts w:ascii="Arial" w:eastAsia="Calibri" w:hAnsi="Arial" w:cs="Arial"/>
          <w:sz w:val="20"/>
          <w:szCs w:val="20"/>
        </w:rPr>
        <w:t xml:space="preserve">sveukupno u iznosu </w:t>
      </w:r>
      <w:r w:rsidR="00B65C50">
        <w:rPr>
          <w:rFonts w:ascii="Arial" w:eastAsia="Calibri" w:hAnsi="Arial" w:cs="Arial"/>
          <w:sz w:val="20"/>
          <w:szCs w:val="20"/>
        </w:rPr>
        <w:t>359.760,54</w:t>
      </w:r>
      <w:r w:rsidR="005022AA" w:rsidRPr="003A2F86">
        <w:rPr>
          <w:rFonts w:ascii="Arial" w:eastAsia="Calibri" w:hAnsi="Arial" w:cs="Arial"/>
          <w:sz w:val="20"/>
          <w:szCs w:val="20"/>
        </w:rPr>
        <w:t xml:space="preserve"> </w:t>
      </w:r>
      <w:r w:rsidRPr="003A2F86">
        <w:rPr>
          <w:rFonts w:ascii="Arial" w:eastAsia="Calibri" w:hAnsi="Arial" w:cs="Arial"/>
          <w:sz w:val="20"/>
          <w:szCs w:val="20"/>
        </w:rPr>
        <w:t>€</w:t>
      </w:r>
      <w:r w:rsidR="005022AA" w:rsidRPr="003A2F86">
        <w:rPr>
          <w:rFonts w:ascii="Arial" w:eastAsia="Calibri" w:hAnsi="Arial" w:cs="Arial"/>
          <w:sz w:val="20"/>
          <w:szCs w:val="20"/>
        </w:rPr>
        <w:t>. Prihodi iz nadležnog proračuna (Općina Konavle ) za financiranje</w:t>
      </w:r>
      <w:r w:rsidR="002A4B5E" w:rsidRPr="003A2F86">
        <w:rPr>
          <w:rFonts w:ascii="Arial" w:eastAsia="Calibri" w:hAnsi="Arial" w:cs="Arial"/>
          <w:sz w:val="20"/>
          <w:szCs w:val="20"/>
        </w:rPr>
        <w:t xml:space="preserve"> </w:t>
      </w:r>
      <w:r w:rsidR="005022AA" w:rsidRPr="003A2F86">
        <w:rPr>
          <w:rFonts w:ascii="Arial" w:eastAsia="Calibri" w:hAnsi="Arial" w:cs="Arial"/>
          <w:sz w:val="20"/>
          <w:szCs w:val="20"/>
        </w:rPr>
        <w:t xml:space="preserve">rashoda poslovanja iznosili su </w:t>
      </w:r>
      <w:r w:rsidR="00FE4154">
        <w:rPr>
          <w:rFonts w:ascii="Arial" w:eastAsia="Calibri" w:hAnsi="Arial" w:cs="Arial"/>
          <w:sz w:val="20"/>
          <w:szCs w:val="20"/>
        </w:rPr>
        <w:t>246.760,54</w:t>
      </w:r>
      <w:r w:rsidR="009747AB" w:rsidRPr="003A2F86">
        <w:rPr>
          <w:rFonts w:ascii="Arial" w:eastAsia="Calibri" w:hAnsi="Arial" w:cs="Arial"/>
          <w:sz w:val="20"/>
          <w:szCs w:val="20"/>
        </w:rPr>
        <w:t>€</w:t>
      </w:r>
      <w:r w:rsidR="005022AA" w:rsidRPr="003A2F86">
        <w:rPr>
          <w:rFonts w:ascii="Arial" w:eastAsia="Calibri" w:hAnsi="Arial" w:cs="Arial"/>
          <w:sz w:val="20"/>
          <w:szCs w:val="20"/>
        </w:rPr>
        <w:t xml:space="preserve"> te su utrošeni na rashode za zaposlene, materijalne troškove</w:t>
      </w:r>
      <w:r w:rsidR="002A4B5E" w:rsidRPr="003A2F86">
        <w:rPr>
          <w:rFonts w:ascii="Arial" w:eastAsia="Calibri" w:hAnsi="Arial" w:cs="Arial"/>
          <w:sz w:val="20"/>
          <w:szCs w:val="20"/>
        </w:rPr>
        <w:t xml:space="preserve">, </w:t>
      </w:r>
      <w:r w:rsidR="005022AA" w:rsidRPr="003A2F86">
        <w:rPr>
          <w:rFonts w:ascii="Arial" w:eastAsia="Calibri" w:hAnsi="Arial" w:cs="Arial"/>
          <w:sz w:val="20"/>
          <w:szCs w:val="20"/>
        </w:rPr>
        <w:t>te nabavu nefinancijske i</w:t>
      </w:r>
      <w:r w:rsidR="002A4B5E" w:rsidRPr="003A2F86">
        <w:rPr>
          <w:rFonts w:ascii="Arial" w:eastAsia="Calibri" w:hAnsi="Arial" w:cs="Arial"/>
          <w:sz w:val="20"/>
          <w:szCs w:val="20"/>
        </w:rPr>
        <w:t>m</w:t>
      </w:r>
      <w:r w:rsidR="005022AA" w:rsidRPr="003A2F86">
        <w:rPr>
          <w:rFonts w:ascii="Arial" w:eastAsia="Calibri" w:hAnsi="Arial" w:cs="Arial"/>
          <w:sz w:val="20"/>
          <w:szCs w:val="20"/>
        </w:rPr>
        <w:t>ovin</w:t>
      </w:r>
      <w:r w:rsidR="009747AB" w:rsidRPr="003A2F86">
        <w:rPr>
          <w:rFonts w:ascii="Arial" w:eastAsia="Calibri" w:hAnsi="Arial" w:cs="Arial"/>
          <w:sz w:val="20"/>
          <w:szCs w:val="20"/>
        </w:rPr>
        <w:t xml:space="preserve">e, dok su iz nadležnog proračuna još doznačena decentralizirana sredstva </w:t>
      </w:r>
      <w:r w:rsidR="005022AA" w:rsidRPr="003A2F86">
        <w:rPr>
          <w:rFonts w:ascii="Arial" w:eastAsia="Calibri" w:hAnsi="Arial" w:cs="Arial"/>
          <w:sz w:val="20"/>
          <w:szCs w:val="20"/>
        </w:rPr>
        <w:t xml:space="preserve">za financiranje rashoda poslovanja </w:t>
      </w:r>
      <w:r w:rsidR="009747AB" w:rsidRPr="003A2F86">
        <w:rPr>
          <w:rFonts w:ascii="Arial" w:eastAsia="Calibri" w:hAnsi="Arial" w:cs="Arial"/>
          <w:sz w:val="20"/>
          <w:szCs w:val="20"/>
        </w:rPr>
        <w:t xml:space="preserve">u iznosu </w:t>
      </w:r>
      <w:r w:rsidR="00027796">
        <w:rPr>
          <w:rFonts w:ascii="Arial" w:eastAsia="Calibri" w:hAnsi="Arial" w:cs="Arial"/>
          <w:sz w:val="20"/>
          <w:szCs w:val="20"/>
        </w:rPr>
        <w:t>113.000</w:t>
      </w:r>
      <w:r w:rsidR="009747AB" w:rsidRPr="003A2F86">
        <w:rPr>
          <w:rFonts w:ascii="Arial" w:eastAsia="Calibri" w:hAnsi="Arial" w:cs="Arial"/>
          <w:sz w:val="20"/>
          <w:szCs w:val="20"/>
        </w:rPr>
        <w:t xml:space="preserve"> € i utrošena su </w:t>
      </w:r>
      <w:r w:rsidR="005022AA" w:rsidRPr="003A2F86">
        <w:rPr>
          <w:rFonts w:ascii="Arial" w:eastAsia="Calibri" w:hAnsi="Arial" w:cs="Arial"/>
          <w:sz w:val="20"/>
          <w:szCs w:val="20"/>
        </w:rPr>
        <w:t>na rashode za zaposlene.</w:t>
      </w:r>
    </w:p>
    <w:p w14:paraId="4FEA912B" w14:textId="77777777" w:rsidR="00F63556" w:rsidRPr="003A2F86" w:rsidRDefault="00F63556" w:rsidP="008F1970">
      <w:pPr>
        <w:spacing w:after="0" w:line="240" w:lineRule="auto"/>
        <w:ind w:firstLine="567"/>
        <w:rPr>
          <w:rFonts w:ascii="Arial" w:eastAsia="Calibri" w:hAnsi="Arial" w:cs="Arial"/>
          <w:sz w:val="20"/>
          <w:szCs w:val="20"/>
        </w:rPr>
      </w:pPr>
    </w:p>
    <w:p w14:paraId="74D00A37" w14:textId="4C5C6A83" w:rsidR="00F63556" w:rsidRPr="003A2F86" w:rsidRDefault="00F63556" w:rsidP="00F63556">
      <w:pPr>
        <w:spacing w:after="0" w:line="240" w:lineRule="auto"/>
        <w:ind w:firstLine="708"/>
        <w:rPr>
          <w:rFonts w:ascii="Arial" w:eastAsia="Calibri" w:hAnsi="Arial" w:cs="Arial"/>
          <w:sz w:val="20"/>
          <w:szCs w:val="20"/>
        </w:rPr>
      </w:pPr>
      <w:r w:rsidRPr="003A2F86">
        <w:rPr>
          <w:rFonts w:ascii="Arial" w:eastAsia="Calibri" w:hAnsi="Arial" w:cs="Arial"/>
          <w:sz w:val="20"/>
          <w:szCs w:val="20"/>
          <w:u w:val="single"/>
        </w:rPr>
        <w:t>Izvršeni rashodi poslovanja</w:t>
      </w:r>
      <w:r w:rsidRPr="003A2F86">
        <w:rPr>
          <w:rFonts w:ascii="Arial" w:eastAsia="Calibri" w:hAnsi="Arial" w:cs="Arial"/>
          <w:sz w:val="20"/>
          <w:szCs w:val="20"/>
        </w:rPr>
        <w:t xml:space="preserve"> sastoje se od:</w:t>
      </w:r>
    </w:p>
    <w:p w14:paraId="6C24D9E3" w14:textId="77777777" w:rsidR="00F63556" w:rsidRPr="003A2F86" w:rsidRDefault="00F63556" w:rsidP="00F63556">
      <w:pPr>
        <w:spacing w:after="0" w:line="240" w:lineRule="auto"/>
        <w:ind w:firstLine="708"/>
        <w:rPr>
          <w:rFonts w:ascii="Arial" w:eastAsia="Calibri" w:hAnsi="Arial" w:cs="Arial"/>
          <w:sz w:val="20"/>
          <w:szCs w:val="20"/>
        </w:rPr>
      </w:pPr>
    </w:p>
    <w:p w14:paraId="5CC7C7AF" w14:textId="32DADD52" w:rsidR="00F63556" w:rsidRPr="003A2F86" w:rsidRDefault="00F63556">
      <w:pPr>
        <w:pStyle w:val="Odlomakpopisa"/>
        <w:numPr>
          <w:ilvl w:val="0"/>
          <w:numId w:val="44"/>
        </w:numPr>
        <w:contextualSpacing/>
        <w:rPr>
          <w:rFonts w:ascii="Arial" w:eastAsia="Calibri" w:hAnsi="Arial" w:cs="Arial"/>
        </w:rPr>
      </w:pPr>
      <w:r w:rsidRPr="003A2F86">
        <w:rPr>
          <w:rFonts w:ascii="Arial" w:eastAsia="Calibri" w:hAnsi="Arial" w:cs="Arial"/>
        </w:rPr>
        <w:t xml:space="preserve">rashoda za zaposlene koji su izvršeni u iznosu </w:t>
      </w:r>
      <w:r w:rsidR="002213E4">
        <w:rPr>
          <w:rFonts w:ascii="Arial" w:eastAsia="Calibri" w:hAnsi="Arial" w:cs="Arial"/>
        </w:rPr>
        <w:t>333.218,53</w:t>
      </w:r>
      <w:r w:rsidRPr="003A2F86">
        <w:rPr>
          <w:rFonts w:ascii="Arial" w:eastAsia="Calibri" w:hAnsi="Arial" w:cs="Arial"/>
        </w:rPr>
        <w:t xml:space="preserve"> € (odnose se na rashode za bruto plaće, doprinose na plaću i ostale rashode za zaposlene)</w:t>
      </w:r>
    </w:p>
    <w:p w14:paraId="774465E7" w14:textId="0460A04C" w:rsidR="00F63556" w:rsidRPr="003A2F86" w:rsidRDefault="00F63556">
      <w:pPr>
        <w:pStyle w:val="Odlomakpopisa"/>
        <w:numPr>
          <w:ilvl w:val="0"/>
          <w:numId w:val="44"/>
        </w:numPr>
        <w:contextualSpacing/>
        <w:rPr>
          <w:rFonts w:ascii="Arial" w:eastAsia="Calibri" w:hAnsi="Arial" w:cs="Arial"/>
        </w:rPr>
      </w:pPr>
      <w:r w:rsidRPr="003A2F86">
        <w:rPr>
          <w:rFonts w:ascii="Arial" w:eastAsia="Calibri" w:hAnsi="Arial" w:cs="Arial"/>
        </w:rPr>
        <w:t xml:space="preserve">materijalne rashode koji su izvršeni u iznosu </w:t>
      </w:r>
      <w:r w:rsidR="002213E4">
        <w:rPr>
          <w:rFonts w:ascii="Arial" w:eastAsia="Calibri" w:hAnsi="Arial" w:cs="Arial"/>
        </w:rPr>
        <w:t>32.219,53</w:t>
      </w:r>
      <w:r w:rsidRPr="003A2F86">
        <w:rPr>
          <w:rFonts w:ascii="Arial" w:eastAsia="Calibri" w:hAnsi="Arial" w:cs="Arial"/>
        </w:rPr>
        <w:t xml:space="preserve"> € (odnose se na naknade za prijevoz zaposlenika, rashode za materijal i energiju te rashode za usluge)</w:t>
      </w:r>
      <w:r w:rsidR="00EB45A7" w:rsidRPr="003A2F86">
        <w:rPr>
          <w:rFonts w:ascii="Arial" w:eastAsia="Calibri" w:hAnsi="Arial" w:cs="Arial"/>
        </w:rPr>
        <w:t>.</w:t>
      </w:r>
    </w:p>
    <w:p w14:paraId="0ACE4D52" w14:textId="77777777" w:rsidR="00F63556" w:rsidRPr="003A2F86" w:rsidRDefault="00F63556" w:rsidP="00F63556">
      <w:pPr>
        <w:spacing w:after="0" w:line="240" w:lineRule="auto"/>
        <w:ind w:left="708"/>
        <w:rPr>
          <w:rFonts w:ascii="Arial" w:eastAsia="Calibri" w:hAnsi="Arial" w:cs="Arial"/>
          <w:sz w:val="20"/>
          <w:szCs w:val="20"/>
        </w:rPr>
      </w:pPr>
    </w:p>
    <w:p w14:paraId="66C2FDEA" w14:textId="269123EC" w:rsidR="00F63556" w:rsidRPr="003A2F86" w:rsidRDefault="009747AB" w:rsidP="00EB45A7">
      <w:pPr>
        <w:spacing w:after="0" w:line="240" w:lineRule="auto"/>
        <w:ind w:left="708"/>
        <w:rPr>
          <w:rFonts w:ascii="Arial" w:eastAsia="Calibri" w:hAnsi="Arial" w:cs="Arial"/>
          <w:sz w:val="20"/>
          <w:szCs w:val="20"/>
        </w:rPr>
      </w:pPr>
      <w:r w:rsidRPr="003A2F86">
        <w:rPr>
          <w:rFonts w:ascii="Arial" w:eastAsia="Calibri" w:hAnsi="Arial" w:cs="Arial"/>
          <w:sz w:val="20"/>
          <w:szCs w:val="20"/>
          <w:u w:val="single"/>
        </w:rPr>
        <w:t>R</w:t>
      </w:r>
      <w:r w:rsidR="00F63556" w:rsidRPr="003A2F86">
        <w:rPr>
          <w:rFonts w:ascii="Arial" w:eastAsia="Calibri" w:hAnsi="Arial" w:cs="Arial"/>
          <w:sz w:val="20"/>
          <w:szCs w:val="20"/>
          <w:u w:val="single"/>
        </w:rPr>
        <w:t>ashodi za nabavu nefinancijske imovine</w:t>
      </w:r>
      <w:r w:rsidR="00F63556" w:rsidRPr="003A2F86">
        <w:rPr>
          <w:rFonts w:ascii="Arial" w:eastAsia="Calibri" w:hAnsi="Arial" w:cs="Arial"/>
          <w:sz w:val="20"/>
          <w:szCs w:val="20"/>
        </w:rPr>
        <w:t xml:space="preserve"> </w:t>
      </w:r>
      <w:r w:rsidRPr="003A2F86">
        <w:rPr>
          <w:rFonts w:ascii="Arial" w:eastAsia="Calibri" w:hAnsi="Arial" w:cs="Arial"/>
          <w:sz w:val="20"/>
          <w:szCs w:val="20"/>
        </w:rPr>
        <w:t xml:space="preserve">su izvršeni </w:t>
      </w:r>
      <w:r w:rsidR="004D7C41">
        <w:rPr>
          <w:rFonts w:ascii="Arial" w:eastAsia="Calibri" w:hAnsi="Arial" w:cs="Arial"/>
          <w:sz w:val="20"/>
          <w:szCs w:val="20"/>
        </w:rPr>
        <w:t xml:space="preserve">u iznosu </w:t>
      </w:r>
      <w:r w:rsidR="002213E4">
        <w:rPr>
          <w:rFonts w:ascii="Arial" w:eastAsia="Calibri" w:hAnsi="Arial" w:cs="Arial"/>
          <w:sz w:val="20"/>
          <w:szCs w:val="20"/>
        </w:rPr>
        <w:t>1.382,50</w:t>
      </w:r>
      <w:r w:rsidR="004D7C41">
        <w:rPr>
          <w:rFonts w:ascii="Arial" w:eastAsia="Calibri" w:hAnsi="Arial" w:cs="Arial"/>
          <w:sz w:val="20"/>
          <w:szCs w:val="20"/>
        </w:rPr>
        <w:t xml:space="preserve"> € </w:t>
      </w:r>
      <w:r w:rsidRPr="003A2F86">
        <w:rPr>
          <w:rFonts w:ascii="Arial" w:eastAsia="Calibri" w:hAnsi="Arial" w:cs="Arial"/>
          <w:sz w:val="20"/>
          <w:szCs w:val="20"/>
        </w:rPr>
        <w:t>(</w:t>
      </w:r>
      <w:r w:rsidR="000E554E">
        <w:rPr>
          <w:rFonts w:ascii="Arial" w:eastAsia="Calibri" w:hAnsi="Arial" w:cs="Arial"/>
          <w:sz w:val="20"/>
          <w:szCs w:val="20"/>
        </w:rPr>
        <w:t>nabava radio stanica za vozila</w:t>
      </w:r>
      <w:r w:rsidRPr="003A2F86">
        <w:rPr>
          <w:rFonts w:ascii="Arial" w:eastAsia="Calibri" w:hAnsi="Arial" w:cs="Arial"/>
          <w:sz w:val="20"/>
          <w:szCs w:val="20"/>
        </w:rPr>
        <w:t>)</w:t>
      </w:r>
      <w:r w:rsidR="00EB45A7" w:rsidRPr="003A2F86">
        <w:rPr>
          <w:rFonts w:ascii="Arial" w:eastAsia="Calibri" w:hAnsi="Arial" w:cs="Arial"/>
          <w:sz w:val="20"/>
          <w:szCs w:val="20"/>
        </w:rPr>
        <w:t>.</w:t>
      </w:r>
    </w:p>
    <w:p w14:paraId="79ED2F0B" w14:textId="77777777" w:rsidR="007469A9" w:rsidRPr="003A2F86" w:rsidRDefault="007469A9" w:rsidP="00F63556">
      <w:pPr>
        <w:spacing w:after="0" w:line="240" w:lineRule="auto"/>
        <w:ind w:firstLine="708"/>
        <w:rPr>
          <w:rFonts w:ascii="Arial" w:eastAsia="Calibri" w:hAnsi="Arial" w:cs="Arial"/>
        </w:rPr>
      </w:pPr>
    </w:p>
    <w:p w14:paraId="4D9AB439" w14:textId="77777777" w:rsidR="00F63556" w:rsidRPr="003A2F86" w:rsidRDefault="00F63556" w:rsidP="00F63556">
      <w:pPr>
        <w:pBdr>
          <w:top w:val="single" w:sz="4" w:space="1" w:color="auto"/>
          <w:left w:val="single" w:sz="4" w:space="4" w:color="auto"/>
          <w:bottom w:val="single" w:sz="4" w:space="0" w:color="auto"/>
          <w:right w:val="single" w:sz="4" w:space="4" w:color="auto"/>
        </w:pBdr>
        <w:spacing w:after="0" w:line="240" w:lineRule="auto"/>
        <w:rPr>
          <w:rFonts w:ascii="Arial" w:eastAsia="Calibri" w:hAnsi="Arial" w:cs="Arial"/>
          <w:b/>
        </w:rPr>
      </w:pPr>
      <w:r w:rsidRPr="003A2F86">
        <w:rPr>
          <w:rFonts w:ascii="Arial" w:eastAsia="Calibri" w:hAnsi="Arial" w:cs="Arial"/>
          <w:b/>
        </w:rPr>
        <w:t>OBRAZLOŽENJE POSEBNOG DIJELA FINANCIJSKOG PLANA</w:t>
      </w:r>
    </w:p>
    <w:p w14:paraId="4300D92E" w14:textId="77777777" w:rsidR="00F63556" w:rsidRPr="003A2F86" w:rsidRDefault="00F63556" w:rsidP="00F63556">
      <w:pPr>
        <w:spacing w:after="0" w:line="240" w:lineRule="auto"/>
        <w:rPr>
          <w:rFonts w:ascii="Arial" w:eastAsia="Calibri" w:hAnsi="Arial" w:cs="Arial"/>
        </w:rPr>
      </w:pPr>
    </w:p>
    <w:p w14:paraId="129897D3" w14:textId="77777777" w:rsidR="00F63556" w:rsidRPr="003A2F86" w:rsidRDefault="00F63556" w:rsidP="00F63556">
      <w:pPr>
        <w:pStyle w:val="Tijeloteksta"/>
        <w:ind w:left="212" w:right="543"/>
        <w:rPr>
          <w:rFonts w:ascii="Arial" w:eastAsia="Calibri" w:hAnsi="Arial" w:cs="Arial"/>
          <w:sz w:val="20"/>
          <w:lang w:val="hr-HR"/>
        </w:rPr>
      </w:pPr>
      <w:r w:rsidRPr="003A2F86">
        <w:rPr>
          <w:rFonts w:ascii="Arial" w:eastAsia="Calibri" w:hAnsi="Arial" w:cs="Arial"/>
          <w:sz w:val="20"/>
          <w:lang w:val="hr-HR"/>
        </w:rPr>
        <w:t>Posebni dio financijskog plana iskazuje rashode i izdatke po organizacijskoj klasifikaciji, po ekonomskoj, programskoj i funkcijskoj klasifikaciji, te izvorima financiranja.</w:t>
      </w:r>
    </w:p>
    <w:p w14:paraId="03053287" w14:textId="77777777" w:rsidR="00F63556" w:rsidRPr="003A2F86" w:rsidRDefault="00F63556" w:rsidP="00F63556">
      <w:pPr>
        <w:spacing w:after="0" w:line="240" w:lineRule="auto"/>
        <w:rPr>
          <w:rFonts w:ascii="Arial" w:eastAsia="Calibri" w:hAnsi="Arial" w:cs="Arial"/>
        </w:rPr>
      </w:pPr>
    </w:p>
    <w:tbl>
      <w:tblPr>
        <w:tblW w:w="12982" w:type="dxa"/>
        <w:jc w:val="center"/>
        <w:tblLook w:val="04A0" w:firstRow="1" w:lastRow="0" w:firstColumn="1" w:lastColumn="0" w:noHBand="0" w:noVBand="1"/>
      </w:tblPr>
      <w:tblGrid>
        <w:gridCol w:w="5379"/>
        <w:gridCol w:w="1569"/>
        <w:gridCol w:w="1531"/>
        <w:gridCol w:w="1642"/>
        <w:gridCol w:w="1418"/>
        <w:gridCol w:w="1443"/>
      </w:tblGrid>
      <w:tr w:rsidR="00000787" w:rsidRPr="00F12DCA" w14:paraId="0E9BDBFA" w14:textId="77777777" w:rsidTr="00000787">
        <w:trPr>
          <w:trHeight w:val="577"/>
          <w:jc w:val="center"/>
        </w:trPr>
        <w:tc>
          <w:tcPr>
            <w:tcW w:w="5379" w:type="dxa"/>
            <w:tcBorders>
              <w:top w:val="single" w:sz="4" w:space="0" w:color="auto"/>
              <w:left w:val="single" w:sz="4" w:space="0" w:color="auto"/>
              <w:bottom w:val="single" w:sz="4" w:space="0" w:color="auto"/>
              <w:right w:val="single" w:sz="4" w:space="0" w:color="auto"/>
            </w:tcBorders>
            <w:noWrap/>
            <w:vAlign w:val="center"/>
            <w:hideMark/>
          </w:tcPr>
          <w:p w14:paraId="79701358" w14:textId="77777777" w:rsidR="00000787" w:rsidRPr="00F12DCA" w:rsidRDefault="00000787" w:rsidP="00000787">
            <w:pPr>
              <w:spacing w:after="0" w:line="240" w:lineRule="auto"/>
              <w:jc w:val="center"/>
              <w:rPr>
                <w:rFonts w:ascii="Arial" w:hAnsi="Arial" w:cs="Arial"/>
                <w:b/>
                <w:color w:val="000000"/>
                <w:sz w:val="20"/>
                <w:szCs w:val="20"/>
              </w:rPr>
            </w:pPr>
            <w:r w:rsidRPr="00F12DCA">
              <w:rPr>
                <w:rFonts w:ascii="Arial" w:hAnsi="Arial" w:cs="Arial"/>
                <w:b/>
                <w:color w:val="000000"/>
                <w:sz w:val="20"/>
                <w:szCs w:val="20"/>
              </w:rPr>
              <w:t>Naziv programa iz Proračuna</w:t>
            </w:r>
          </w:p>
        </w:tc>
        <w:tc>
          <w:tcPr>
            <w:tcW w:w="1569" w:type="dxa"/>
            <w:tcBorders>
              <w:top w:val="single" w:sz="4" w:space="0" w:color="auto"/>
              <w:left w:val="nil"/>
              <w:bottom w:val="single" w:sz="4" w:space="0" w:color="auto"/>
              <w:right w:val="single" w:sz="4" w:space="0" w:color="auto"/>
            </w:tcBorders>
            <w:noWrap/>
            <w:vAlign w:val="center"/>
            <w:hideMark/>
          </w:tcPr>
          <w:p w14:paraId="5BA320EA" w14:textId="2C843E24" w:rsidR="00000787" w:rsidRPr="00F12DCA" w:rsidRDefault="00000787" w:rsidP="00000787">
            <w:pPr>
              <w:spacing w:after="0" w:line="240" w:lineRule="auto"/>
              <w:jc w:val="center"/>
              <w:rPr>
                <w:rFonts w:ascii="Arial" w:hAnsi="Arial" w:cs="Arial"/>
                <w:b/>
                <w:color w:val="000000"/>
                <w:sz w:val="20"/>
                <w:szCs w:val="20"/>
              </w:rPr>
            </w:pPr>
            <w:r w:rsidRPr="00F12DCA">
              <w:rPr>
                <w:rFonts w:ascii="Arial" w:hAnsi="Arial" w:cs="Arial"/>
                <w:b/>
                <w:color w:val="000000"/>
                <w:sz w:val="20"/>
                <w:szCs w:val="20"/>
              </w:rPr>
              <w:t xml:space="preserve">Izvršeno proračun </w:t>
            </w:r>
          </w:p>
          <w:p w14:paraId="1C328AD9" w14:textId="715A8ACD" w:rsidR="00000787" w:rsidRPr="00F12DCA" w:rsidRDefault="000E554E" w:rsidP="00000787">
            <w:pPr>
              <w:spacing w:after="0" w:line="240" w:lineRule="auto"/>
              <w:jc w:val="center"/>
              <w:rPr>
                <w:rFonts w:ascii="Arial" w:hAnsi="Arial" w:cs="Arial"/>
                <w:b/>
                <w:color w:val="000000"/>
                <w:sz w:val="20"/>
                <w:szCs w:val="20"/>
              </w:rPr>
            </w:pPr>
            <w:r>
              <w:rPr>
                <w:rFonts w:ascii="Arial" w:hAnsi="Arial" w:cs="Arial"/>
                <w:b/>
                <w:color w:val="000000"/>
                <w:sz w:val="20"/>
                <w:szCs w:val="20"/>
              </w:rPr>
              <w:t>2024.</w:t>
            </w:r>
          </w:p>
        </w:tc>
        <w:tc>
          <w:tcPr>
            <w:tcW w:w="1531" w:type="dxa"/>
            <w:tcBorders>
              <w:top w:val="single" w:sz="4" w:space="0" w:color="auto"/>
              <w:left w:val="nil"/>
              <w:bottom w:val="single" w:sz="4" w:space="0" w:color="auto"/>
              <w:right w:val="single" w:sz="4" w:space="0" w:color="auto"/>
            </w:tcBorders>
            <w:vAlign w:val="center"/>
            <w:hideMark/>
          </w:tcPr>
          <w:p w14:paraId="5A057881" w14:textId="05D8433D" w:rsidR="00000787" w:rsidRPr="00F12DCA" w:rsidRDefault="000E554E" w:rsidP="00000787">
            <w:pPr>
              <w:spacing w:after="0" w:line="240" w:lineRule="auto"/>
              <w:jc w:val="center"/>
              <w:rPr>
                <w:rFonts w:ascii="Arial" w:hAnsi="Arial" w:cs="Arial"/>
                <w:b/>
                <w:color w:val="000000"/>
                <w:sz w:val="20"/>
                <w:szCs w:val="20"/>
              </w:rPr>
            </w:pPr>
            <w:r>
              <w:rPr>
                <w:rFonts w:ascii="Arial" w:hAnsi="Arial" w:cs="Arial"/>
                <w:b/>
                <w:color w:val="000000"/>
                <w:sz w:val="20"/>
                <w:szCs w:val="20"/>
              </w:rPr>
              <w:t>plan</w:t>
            </w:r>
          </w:p>
          <w:p w14:paraId="1EECC641" w14:textId="6E41C960" w:rsidR="00000787" w:rsidRPr="00F12DCA" w:rsidRDefault="00000787" w:rsidP="00000787">
            <w:pPr>
              <w:spacing w:after="0" w:line="240" w:lineRule="auto"/>
              <w:jc w:val="center"/>
              <w:rPr>
                <w:rFonts w:ascii="Arial" w:hAnsi="Arial" w:cs="Arial"/>
                <w:b/>
                <w:color w:val="000000"/>
                <w:sz w:val="20"/>
                <w:szCs w:val="20"/>
              </w:rPr>
            </w:pPr>
            <w:r w:rsidRPr="00F12DCA">
              <w:rPr>
                <w:rFonts w:ascii="Arial" w:hAnsi="Arial" w:cs="Arial"/>
                <w:b/>
                <w:color w:val="000000"/>
                <w:sz w:val="20"/>
                <w:szCs w:val="20"/>
              </w:rPr>
              <w:t>202</w:t>
            </w:r>
            <w:r w:rsidR="000E554E">
              <w:rPr>
                <w:rFonts w:ascii="Arial" w:hAnsi="Arial" w:cs="Arial"/>
                <w:b/>
                <w:color w:val="000000"/>
                <w:sz w:val="20"/>
                <w:szCs w:val="20"/>
              </w:rPr>
              <w:t>5</w:t>
            </w:r>
            <w:r w:rsidRPr="00F12DCA">
              <w:rPr>
                <w:rFonts w:ascii="Arial" w:hAnsi="Arial" w:cs="Arial"/>
                <w:b/>
                <w:color w:val="000000"/>
                <w:sz w:val="20"/>
                <w:szCs w:val="20"/>
              </w:rPr>
              <w:t>.</w:t>
            </w:r>
          </w:p>
        </w:tc>
        <w:tc>
          <w:tcPr>
            <w:tcW w:w="1642" w:type="dxa"/>
            <w:tcBorders>
              <w:top w:val="single" w:sz="4" w:space="0" w:color="auto"/>
              <w:left w:val="nil"/>
              <w:bottom w:val="single" w:sz="4" w:space="0" w:color="auto"/>
              <w:right w:val="single" w:sz="4" w:space="0" w:color="auto"/>
            </w:tcBorders>
            <w:vAlign w:val="center"/>
          </w:tcPr>
          <w:p w14:paraId="0C72027D" w14:textId="77777777" w:rsidR="00000787" w:rsidRPr="00F12DCA" w:rsidRDefault="00000787" w:rsidP="00000787">
            <w:pPr>
              <w:spacing w:after="0" w:line="240" w:lineRule="auto"/>
              <w:jc w:val="center"/>
              <w:rPr>
                <w:rFonts w:ascii="Arial" w:hAnsi="Arial" w:cs="Arial"/>
                <w:b/>
                <w:color w:val="000000"/>
                <w:sz w:val="20"/>
                <w:szCs w:val="20"/>
              </w:rPr>
            </w:pPr>
            <w:r w:rsidRPr="00F12DCA">
              <w:rPr>
                <w:rFonts w:ascii="Arial" w:hAnsi="Arial" w:cs="Arial"/>
                <w:b/>
                <w:color w:val="000000"/>
                <w:sz w:val="20"/>
                <w:szCs w:val="20"/>
              </w:rPr>
              <w:t xml:space="preserve">Izvršeno proračun </w:t>
            </w:r>
          </w:p>
          <w:p w14:paraId="20D591A1" w14:textId="1B765EFB" w:rsidR="00000787" w:rsidRPr="00F12DCA" w:rsidRDefault="00000787" w:rsidP="00000787">
            <w:pPr>
              <w:spacing w:after="0" w:line="240" w:lineRule="auto"/>
              <w:jc w:val="center"/>
              <w:rPr>
                <w:rFonts w:ascii="Arial" w:hAnsi="Arial" w:cs="Arial"/>
                <w:b/>
                <w:color w:val="000000"/>
                <w:sz w:val="20"/>
                <w:szCs w:val="20"/>
              </w:rPr>
            </w:pPr>
            <w:r w:rsidRPr="00F12DCA">
              <w:rPr>
                <w:rFonts w:ascii="Arial" w:hAnsi="Arial" w:cs="Arial"/>
                <w:b/>
                <w:color w:val="000000"/>
                <w:sz w:val="20"/>
                <w:szCs w:val="20"/>
              </w:rPr>
              <w:t>202</w:t>
            </w:r>
            <w:r w:rsidR="000E554E">
              <w:rPr>
                <w:rFonts w:ascii="Arial" w:hAnsi="Arial" w:cs="Arial"/>
                <w:b/>
                <w:color w:val="000000"/>
                <w:sz w:val="20"/>
                <w:szCs w:val="20"/>
              </w:rPr>
              <w:t>5</w:t>
            </w:r>
            <w:r w:rsidRPr="00F12DCA">
              <w:rPr>
                <w:rFonts w:ascii="Arial" w:hAnsi="Arial" w:cs="Arial"/>
                <w:b/>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7E79D6" w14:textId="0E65CC3C" w:rsidR="00000787" w:rsidRPr="00F12DCA" w:rsidRDefault="00000787" w:rsidP="00000787">
            <w:pPr>
              <w:spacing w:after="0" w:line="240" w:lineRule="auto"/>
              <w:jc w:val="center"/>
              <w:rPr>
                <w:rFonts w:ascii="Arial" w:hAnsi="Arial" w:cs="Arial"/>
                <w:b/>
                <w:color w:val="000000"/>
                <w:sz w:val="20"/>
                <w:szCs w:val="20"/>
              </w:rPr>
            </w:pPr>
            <w:r w:rsidRPr="00F12DCA">
              <w:rPr>
                <w:rFonts w:ascii="Arial" w:hAnsi="Arial" w:cs="Arial"/>
                <w:b/>
                <w:color w:val="000000"/>
                <w:sz w:val="20"/>
                <w:szCs w:val="20"/>
              </w:rPr>
              <w:t>Projekcija 202</w:t>
            </w:r>
            <w:r w:rsidR="000E554E">
              <w:rPr>
                <w:rFonts w:ascii="Arial" w:hAnsi="Arial" w:cs="Arial"/>
                <w:b/>
                <w:color w:val="000000"/>
                <w:sz w:val="20"/>
                <w:szCs w:val="20"/>
              </w:rPr>
              <w:t>6</w:t>
            </w:r>
            <w:r w:rsidRPr="00F12DCA">
              <w:rPr>
                <w:rFonts w:ascii="Arial" w:hAnsi="Arial" w:cs="Arial"/>
                <w:b/>
                <w:color w:val="000000"/>
                <w:sz w:val="20"/>
                <w:szCs w:val="20"/>
              </w:rPr>
              <w:t>.</w:t>
            </w:r>
          </w:p>
        </w:tc>
        <w:tc>
          <w:tcPr>
            <w:tcW w:w="1443" w:type="dxa"/>
            <w:tcBorders>
              <w:top w:val="single" w:sz="4" w:space="0" w:color="auto"/>
              <w:left w:val="nil"/>
              <w:bottom w:val="single" w:sz="4" w:space="0" w:color="auto"/>
              <w:right w:val="single" w:sz="4" w:space="0" w:color="auto"/>
            </w:tcBorders>
            <w:vAlign w:val="center"/>
          </w:tcPr>
          <w:p w14:paraId="1B14F8DC" w14:textId="56516ADF" w:rsidR="00000787" w:rsidRPr="00F12DCA" w:rsidRDefault="00000787" w:rsidP="00000787">
            <w:pPr>
              <w:spacing w:after="0" w:line="240" w:lineRule="auto"/>
              <w:jc w:val="center"/>
              <w:rPr>
                <w:rFonts w:ascii="Arial" w:hAnsi="Arial" w:cs="Arial"/>
                <w:b/>
                <w:color w:val="000000"/>
                <w:sz w:val="20"/>
                <w:szCs w:val="20"/>
              </w:rPr>
            </w:pPr>
            <w:r w:rsidRPr="00F12DCA">
              <w:rPr>
                <w:rFonts w:ascii="Arial" w:hAnsi="Arial" w:cs="Arial"/>
                <w:b/>
                <w:color w:val="000000"/>
                <w:sz w:val="20"/>
                <w:szCs w:val="20"/>
              </w:rPr>
              <w:t>Projekcija 202</w:t>
            </w:r>
            <w:r w:rsidR="000E554E">
              <w:rPr>
                <w:rFonts w:ascii="Arial" w:hAnsi="Arial" w:cs="Arial"/>
                <w:b/>
                <w:color w:val="000000"/>
                <w:sz w:val="20"/>
                <w:szCs w:val="20"/>
              </w:rPr>
              <w:t>7</w:t>
            </w:r>
            <w:r w:rsidRPr="00F12DCA">
              <w:rPr>
                <w:rFonts w:ascii="Arial" w:hAnsi="Arial" w:cs="Arial"/>
                <w:b/>
                <w:color w:val="000000"/>
                <w:sz w:val="20"/>
                <w:szCs w:val="20"/>
              </w:rPr>
              <w:t>.</w:t>
            </w:r>
          </w:p>
        </w:tc>
      </w:tr>
      <w:tr w:rsidR="000E554E" w:rsidRPr="00F12DCA" w14:paraId="26602FDF" w14:textId="77777777" w:rsidTr="00734D80">
        <w:trPr>
          <w:trHeight w:val="288"/>
          <w:jc w:val="center"/>
        </w:trPr>
        <w:tc>
          <w:tcPr>
            <w:tcW w:w="5379" w:type="dxa"/>
            <w:tcBorders>
              <w:top w:val="single" w:sz="4" w:space="0" w:color="auto"/>
              <w:left w:val="single" w:sz="4" w:space="0" w:color="auto"/>
              <w:bottom w:val="single" w:sz="4" w:space="0" w:color="auto"/>
              <w:right w:val="single" w:sz="4" w:space="0" w:color="auto"/>
            </w:tcBorders>
            <w:hideMark/>
          </w:tcPr>
          <w:p w14:paraId="0C52C750" w14:textId="77777777" w:rsidR="000E554E" w:rsidRPr="00F12DCA" w:rsidRDefault="000E554E" w:rsidP="000E554E">
            <w:pPr>
              <w:spacing w:after="0" w:line="240" w:lineRule="auto"/>
              <w:rPr>
                <w:rFonts w:ascii="Arial" w:hAnsi="Arial" w:cs="Arial"/>
                <w:color w:val="000000"/>
                <w:sz w:val="20"/>
                <w:szCs w:val="20"/>
              </w:rPr>
            </w:pPr>
            <w:r w:rsidRPr="00F12DCA">
              <w:rPr>
                <w:rFonts w:ascii="Arial" w:hAnsi="Arial" w:cs="Arial"/>
                <w:color w:val="000000"/>
                <w:sz w:val="20"/>
                <w:szCs w:val="20"/>
              </w:rPr>
              <w:t xml:space="preserve">Redovna djelatnost javne vatrogasne postrojbe </w:t>
            </w:r>
          </w:p>
        </w:tc>
        <w:tc>
          <w:tcPr>
            <w:tcW w:w="1569" w:type="dxa"/>
            <w:tcBorders>
              <w:top w:val="nil"/>
              <w:left w:val="nil"/>
              <w:bottom w:val="single" w:sz="4" w:space="0" w:color="auto"/>
              <w:right w:val="single" w:sz="4" w:space="0" w:color="auto"/>
            </w:tcBorders>
            <w:noWrap/>
            <w:vAlign w:val="center"/>
            <w:hideMark/>
          </w:tcPr>
          <w:p w14:paraId="5EB4F219" w14:textId="214F0B59" w:rsidR="000E554E" w:rsidRPr="00F12DCA" w:rsidRDefault="000E554E" w:rsidP="000E554E">
            <w:pPr>
              <w:spacing w:after="0" w:line="240" w:lineRule="auto"/>
              <w:jc w:val="center"/>
              <w:rPr>
                <w:rFonts w:ascii="Arial" w:hAnsi="Arial" w:cs="Arial"/>
                <w:color w:val="000000"/>
                <w:sz w:val="20"/>
                <w:szCs w:val="20"/>
              </w:rPr>
            </w:pPr>
            <w:r w:rsidRPr="00F12DCA">
              <w:rPr>
                <w:rFonts w:ascii="Arial" w:hAnsi="Arial" w:cs="Arial"/>
                <w:color w:val="000000"/>
                <w:sz w:val="20"/>
                <w:szCs w:val="20"/>
              </w:rPr>
              <w:t>634.283,24</w:t>
            </w:r>
          </w:p>
        </w:tc>
        <w:tc>
          <w:tcPr>
            <w:tcW w:w="1531" w:type="dxa"/>
            <w:tcBorders>
              <w:top w:val="nil"/>
              <w:left w:val="nil"/>
              <w:bottom w:val="single" w:sz="4" w:space="0" w:color="auto"/>
              <w:right w:val="single" w:sz="4" w:space="0" w:color="auto"/>
            </w:tcBorders>
            <w:noWrap/>
            <w:vAlign w:val="bottom"/>
            <w:hideMark/>
          </w:tcPr>
          <w:p w14:paraId="5EB87F19" w14:textId="76A09742" w:rsidR="000E554E" w:rsidRPr="00F12DCA" w:rsidRDefault="0060063E" w:rsidP="000E554E">
            <w:pPr>
              <w:spacing w:after="0" w:line="240" w:lineRule="auto"/>
              <w:jc w:val="center"/>
              <w:rPr>
                <w:rFonts w:ascii="Arial" w:hAnsi="Arial" w:cs="Arial"/>
                <w:color w:val="000000"/>
                <w:sz w:val="20"/>
                <w:szCs w:val="20"/>
              </w:rPr>
            </w:pPr>
            <w:r>
              <w:rPr>
                <w:rFonts w:ascii="Arial" w:hAnsi="Arial" w:cs="Arial"/>
                <w:color w:val="000000"/>
                <w:sz w:val="20"/>
                <w:szCs w:val="20"/>
              </w:rPr>
              <w:t>881.164</w:t>
            </w:r>
          </w:p>
        </w:tc>
        <w:tc>
          <w:tcPr>
            <w:tcW w:w="1642" w:type="dxa"/>
            <w:tcBorders>
              <w:top w:val="single" w:sz="4" w:space="0" w:color="auto"/>
              <w:left w:val="nil"/>
              <w:bottom w:val="single" w:sz="4" w:space="0" w:color="auto"/>
              <w:right w:val="single" w:sz="4" w:space="0" w:color="auto"/>
            </w:tcBorders>
            <w:vAlign w:val="center"/>
          </w:tcPr>
          <w:p w14:paraId="15A846FA" w14:textId="09CC45CC" w:rsidR="000E554E" w:rsidRPr="00F12DCA" w:rsidRDefault="0060063E" w:rsidP="000E554E">
            <w:pPr>
              <w:spacing w:after="0" w:line="240" w:lineRule="auto"/>
              <w:jc w:val="center"/>
              <w:rPr>
                <w:rFonts w:ascii="Arial" w:hAnsi="Arial" w:cs="Arial"/>
                <w:color w:val="000000"/>
                <w:sz w:val="20"/>
                <w:szCs w:val="20"/>
              </w:rPr>
            </w:pPr>
            <w:r>
              <w:rPr>
                <w:rFonts w:ascii="Arial" w:hAnsi="Arial" w:cs="Arial"/>
                <w:color w:val="000000"/>
                <w:sz w:val="20"/>
                <w:szCs w:val="20"/>
              </w:rPr>
              <w:t>366.820,56</w:t>
            </w:r>
          </w:p>
        </w:tc>
        <w:tc>
          <w:tcPr>
            <w:tcW w:w="1418" w:type="dxa"/>
            <w:tcBorders>
              <w:top w:val="nil"/>
              <w:left w:val="single" w:sz="4" w:space="0" w:color="auto"/>
              <w:bottom w:val="single" w:sz="4" w:space="0" w:color="auto"/>
              <w:right w:val="single" w:sz="4" w:space="0" w:color="auto"/>
            </w:tcBorders>
            <w:noWrap/>
            <w:vAlign w:val="bottom"/>
            <w:hideMark/>
          </w:tcPr>
          <w:p w14:paraId="66F0D000" w14:textId="4FF97C71" w:rsidR="000E554E" w:rsidRPr="00F12DCA" w:rsidRDefault="0060063E" w:rsidP="000E554E">
            <w:pPr>
              <w:spacing w:after="0" w:line="240" w:lineRule="auto"/>
              <w:jc w:val="center"/>
              <w:rPr>
                <w:rFonts w:ascii="Arial" w:hAnsi="Arial" w:cs="Arial"/>
                <w:color w:val="000000"/>
                <w:sz w:val="20"/>
                <w:szCs w:val="20"/>
              </w:rPr>
            </w:pPr>
            <w:r>
              <w:rPr>
                <w:rFonts w:ascii="Arial" w:hAnsi="Arial" w:cs="Arial"/>
                <w:color w:val="000000"/>
                <w:sz w:val="20"/>
                <w:szCs w:val="20"/>
              </w:rPr>
              <w:t>951.614</w:t>
            </w:r>
          </w:p>
        </w:tc>
        <w:tc>
          <w:tcPr>
            <w:tcW w:w="1443" w:type="dxa"/>
            <w:tcBorders>
              <w:top w:val="nil"/>
              <w:left w:val="nil"/>
              <w:bottom w:val="single" w:sz="4" w:space="0" w:color="auto"/>
              <w:right w:val="single" w:sz="4" w:space="0" w:color="auto"/>
            </w:tcBorders>
            <w:vAlign w:val="bottom"/>
          </w:tcPr>
          <w:p w14:paraId="3F687BBF" w14:textId="1B79A2B9" w:rsidR="000E554E" w:rsidRPr="00F12DCA" w:rsidRDefault="00C1294A" w:rsidP="000E554E">
            <w:pPr>
              <w:spacing w:after="0" w:line="240" w:lineRule="auto"/>
              <w:jc w:val="center"/>
              <w:rPr>
                <w:rFonts w:ascii="Arial" w:hAnsi="Arial" w:cs="Arial"/>
                <w:color w:val="000000"/>
                <w:sz w:val="20"/>
                <w:szCs w:val="20"/>
              </w:rPr>
            </w:pPr>
            <w:r>
              <w:rPr>
                <w:rFonts w:ascii="Arial" w:hAnsi="Arial" w:cs="Arial"/>
                <w:color w:val="000000"/>
                <w:sz w:val="20"/>
                <w:szCs w:val="20"/>
              </w:rPr>
              <w:t>1.013.014</w:t>
            </w:r>
          </w:p>
        </w:tc>
      </w:tr>
    </w:tbl>
    <w:p w14:paraId="53193D8D" w14:textId="77777777" w:rsidR="00F63556" w:rsidRPr="003A2F86" w:rsidRDefault="00F63556" w:rsidP="00F63556">
      <w:pPr>
        <w:spacing w:after="0" w:line="240" w:lineRule="auto"/>
        <w:rPr>
          <w:rFonts w:ascii="Arial" w:hAnsi="Arial" w:cs="Arial"/>
        </w:rPr>
      </w:pPr>
    </w:p>
    <w:p w14:paraId="0A5B2544" w14:textId="77777777" w:rsidR="00F63556" w:rsidRPr="003A2F86" w:rsidRDefault="00F63556" w:rsidP="003D6583">
      <w:pPr>
        <w:pBdr>
          <w:top w:val="single" w:sz="4" w:space="1" w:color="auto"/>
          <w:left w:val="single" w:sz="4" w:space="4" w:color="auto"/>
          <w:bottom w:val="single" w:sz="4" w:space="0" w:color="auto"/>
          <w:right w:val="single" w:sz="4" w:space="4" w:color="auto"/>
        </w:pBdr>
        <w:spacing w:after="0" w:line="240" w:lineRule="auto"/>
        <w:jc w:val="center"/>
        <w:rPr>
          <w:rFonts w:ascii="Arial" w:eastAsia="Calibri" w:hAnsi="Arial" w:cs="Arial"/>
          <w:b/>
        </w:rPr>
      </w:pPr>
      <w:r w:rsidRPr="003A2F86">
        <w:rPr>
          <w:rFonts w:ascii="Arial" w:eastAsia="Calibri" w:hAnsi="Arial" w:cs="Arial"/>
          <w:b/>
        </w:rPr>
        <w:t>OBRAZLOŽENJE PROGRAMA</w:t>
      </w:r>
    </w:p>
    <w:p w14:paraId="69A57026" w14:textId="77777777" w:rsidR="00F63556" w:rsidRPr="003A2F86" w:rsidRDefault="00F63556" w:rsidP="00F63556">
      <w:pPr>
        <w:spacing w:after="0" w:line="240" w:lineRule="auto"/>
        <w:rPr>
          <w:rFonts w:ascii="Arial" w:eastAsia="Calibri" w:hAnsi="Arial" w:cs="Arial"/>
        </w:rPr>
      </w:pPr>
    </w:p>
    <w:p w14:paraId="0ACC4B88" w14:textId="77777777" w:rsidR="00F63556" w:rsidRPr="003A2F86" w:rsidRDefault="00F63556">
      <w:pPr>
        <w:pStyle w:val="Odlomakpopisa"/>
        <w:numPr>
          <w:ilvl w:val="0"/>
          <w:numId w:val="3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3A2F86">
        <w:rPr>
          <w:rFonts w:ascii="Arial" w:eastAsia="Calibri" w:hAnsi="Arial" w:cs="Arial"/>
          <w:b/>
        </w:rPr>
        <w:t>Procjena i ishodište potrebnih sredstava za aktivnosti unutar programa</w:t>
      </w:r>
    </w:p>
    <w:p w14:paraId="5A7A5F32" w14:textId="77777777" w:rsidR="00F63556" w:rsidRPr="003A2F86" w:rsidRDefault="00F63556" w:rsidP="00F63556">
      <w:pPr>
        <w:spacing w:after="0" w:line="240" w:lineRule="auto"/>
        <w:rPr>
          <w:rFonts w:ascii="Arial" w:eastAsia="Calibri" w:hAnsi="Arial" w:cs="Arial"/>
          <w:sz w:val="20"/>
          <w:szCs w:val="20"/>
        </w:rPr>
      </w:pPr>
    </w:p>
    <w:p w14:paraId="23A2E33F" w14:textId="17B68664" w:rsidR="00F63556" w:rsidRPr="003A2F86" w:rsidRDefault="00EF35EC" w:rsidP="00F63556">
      <w:pPr>
        <w:spacing w:after="0" w:line="240" w:lineRule="auto"/>
        <w:rPr>
          <w:rFonts w:ascii="Arial" w:eastAsia="Calibri" w:hAnsi="Arial" w:cs="Arial"/>
          <w:sz w:val="20"/>
          <w:szCs w:val="20"/>
        </w:rPr>
      </w:pPr>
      <w:r w:rsidRPr="003A2F86">
        <w:rPr>
          <w:rFonts w:ascii="Arial" w:eastAsia="Calibri" w:hAnsi="Arial" w:cs="Arial"/>
          <w:sz w:val="20"/>
          <w:szCs w:val="20"/>
        </w:rPr>
        <w:t>Izvršenje aktivnosti sadržanih u ovom programu za 2013.-202</w:t>
      </w:r>
      <w:r w:rsidR="00C1294A">
        <w:rPr>
          <w:rFonts w:ascii="Arial" w:eastAsia="Calibri" w:hAnsi="Arial" w:cs="Arial"/>
          <w:sz w:val="20"/>
          <w:szCs w:val="20"/>
        </w:rPr>
        <w:t>4</w:t>
      </w:r>
      <w:r w:rsidRPr="003A2F86">
        <w:rPr>
          <w:rFonts w:ascii="Arial" w:eastAsia="Calibri" w:hAnsi="Arial" w:cs="Arial"/>
          <w:sz w:val="20"/>
          <w:szCs w:val="20"/>
        </w:rPr>
        <w:t>., plan za 202</w:t>
      </w:r>
      <w:r w:rsidR="00C1294A">
        <w:rPr>
          <w:rFonts w:ascii="Arial" w:eastAsia="Calibri" w:hAnsi="Arial" w:cs="Arial"/>
          <w:sz w:val="20"/>
          <w:szCs w:val="20"/>
        </w:rPr>
        <w:t>5</w:t>
      </w:r>
      <w:r w:rsidRPr="003A2F86">
        <w:rPr>
          <w:rFonts w:ascii="Arial" w:eastAsia="Calibri" w:hAnsi="Arial" w:cs="Arial"/>
          <w:sz w:val="20"/>
          <w:szCs w:val="20"/>
        </w:rPr>
        <w:t>., izvršenje za 202</w:t>
      </w:r>
      <w:r w:rsidR="00C1294A">
        <w:rPr>
          <w:rFonts w:ascii="Arial" w:eastAsia="Calibri" w:hAnsi="Arial" w:cs="Arial"/>
          <w:sz w:val="20"/>
          <w:szCs w:val="20"/>
        </w:rPr>
        <w:t>5</w:t>
      </w:r>
      <w:r w:rsidRPr="003A2F86">
        <w:rPr>
          <w:rFonts w:ascii="Arial" w:eastAsia="Calibri" w:hAnsi="Arial" w:cs="Arial"/>
          <w:sz w:val="20"/>
          <w:szCs w:val="20"/>
        </w:rPr>
        <w:t>., projekcije za 202</w:t>
      </w:r>
      <w:r w:rsidR="00C1294A">
        <w:rPr>
          <w:rFonts w:ascii="Arial" w:eastAsia="Calibri" w:hAnsi="Arial" w:cs="Arial"/>
          <w:sz w:val="20"/>
          <w:szCs w:val="20"/>
        </w:rPr>
        <w:t>6</w:t>
      </w:r>
      <w:r w:rsidRPr="003A2F86">
        <w:rPr>
          <w:rFonts w:ascii="Arial" w:eastAsia="Calibri" w:hAnsi="Arial" w:cs="Arial"/>
          <w:sz w:val="20"/>
          <w:szCs w:val="20"/>
        </w:rPr>
        <w:t>.-202</w:t>
      </w:r>
      <w:r w:rsidR="00C1294A">
        <w:rPr>
          <w:rFonts w:ascii="Arial" w:eastAsia="Calibri" w:hAnsi="Arial" w:cs="Arial"/>
          <w:sz w:val="20"/>
          <w:szCs w:val="20"/>
        </w:rPr>
        <w:t>7</w:t>
      </w:r>
      <w:r w:rsidRPr="003A2F86">
        <w:rPr>
          <w:rFonts w:ascii="Arial" w:eastAsia="Calibri" w:hAnsi="Arial" w:cs="Arial"/>
          <w:sz w:val="20"/>
          <w:szCs w:val="20"/>
        </w:rPr>
        <w:t>. iskazuju se u valuti EURO kako slijedi:</w:t>
      </w:r>
    </w:p>
    <w:p w14:paraId="3AF4B8CF" w14:textId="77777777" w:rsidR="00F63556" w:rsidRPr="003A2F86" w:rsidRDefault="00F63556" w:rsidP="00F63556">
      <w:pPr>
        <w:spacing w:after="0" w:line="240" w:lineRule="auto"/>
        <w:rPr>
          <w:rFonts w:ascii="Arial" w:hAnsi="Arial" w:cs="Arial"/>
          <w:sz w:val="20"/>
          <w:szCs w:val="20"/>
        </w:rPr>
      </w:pPr>
    </w:p>
    <w:p w14:paraId="3E556859" w14:textId="05732255" w:rsidR="00F63556" w:rsidRPr="003A2F86" w:rsidRDefault="00F63556" w:rsidP="00F63556">
      <w:pPr>
        <w:spacing w:after="0" w:line="240" w:lineRule="auto"/>
        <w:rPr>
          <w:rFonts w:ascii="Arial" w:eastAsia="Calibri" w:hAnsi="Arial" w:cs="Arial"/>
          <w:sz w:val="20"/>
          <w:szCs w:val="20"/>
        </w:rPr>
      </w:pPr>
    </w:p>
    <w:p w14:paraId="400E42AA" w14:textId="65014892" w:rsidR="00217044" w:rsidRPr="003A2F86" w:rsidRDefault="00C1294A" w:rsidP="00217044">
      <w:pPr>
        <w:shd w:val="clear" w:color="auto" w:fill="FFFFFF"/>
        <w:spacing w:after="0" w:line="240" w:lineRule="auto"/>
        <w:jc w:val="center"/>
        <w:rPr>
          <w:rFonts w:ascii="Arial" w:hAnsi="Arial" w:cs="Arial"/>
          <w:b/>
          <w:sz w:val="20"/>
          <w:szCs w:val="20"/>
        </w:rPr>
      </w:pPr>
      <w:r w:rsidRPr="00C1294A">
        <w:rPr>
          <w:noProof/>
        </w:rPr>
        <w:lastRenderedPageBreak/>
        <w:drawing>
          <wp:inline distT="0" distB="0" distL="0" distR="0" wp14:anchorId="04114318" wp14:editId="1645791D">
            <wp:extent cx="9251950" cy="1816735"/>
            <wp:effectExtent l="0" t="0" r="6350" b="0"/>
            <wp:docPr id="4956049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251950" cy="1816735"/>
                    </a:xfrm>
                    <a:prstGeom prst="rect">
                      <a:avLst/>
                    </a:prstGeom>
                    <a:noFill/>
                    <a:ln>
                      <a:noFill/>
                    </a:ln>
                  </pic:spPr>
                </pic:pic>
              </a:graphicData>
            </a:graphic>
          </wp:inline>
        </w:drawing>
      </w:r>
    </w:p>
    <w:p w14:paraId="395ECBF8" w14:textId="77777777" w:rsidR="00217044" w:rsidRPr="003A2F86" w:rsidRDefault="00217044" w:rsidP="00000787">
      <w:pPr>
        <w:shd w:val="clear" w:color="auto" w:fill="FFFFFF"/>
        <w:spacing w:after="0" w:line="240" w:lineRule="auto"/>
        <w:jc w:val="right"/>
        <w:rPr>
          <w:rFonts w:ascii="Arial" w:hAnsi="Arial" w:cs="Arial"/>
          <w:b/>
          <w:sz w:val="20"/>
          <w:szCs w:val="20"/>
        </w:rPr>
      </w:pPr>
    </w:p>
    <w:p w14:paraId="55D3326C" w14:textId="7E2054B6" w:rsidR="00000787" w:rsidRPr="003A2F86" w:rsidRDefault="00000787" w:rsidP="00000787">
      <w:pPr>
        <w:shd w:val="clear" w:color="auto" w:fill="FFFFFF"/>
        <w:spacing w:after="0" w:line="240" w:lineRule="auto"/>
        <w:jc w:val="right"/>
        <w:rPr>
          <w:rFonts w:ascii="Arial" w:hAnsi="Arial" w:cs="Arial"/>
          <w:sz w:val="20"/>
          <w:szCs w:val="20"/>
        </w:rPr>
      </w:pPr>
      <w:r w:rsidRPr="003A2F86">
        <w:rPr>
          <w:rFonts w:ascii="Arial" w:hAnsi="Arial" w:cs="Arial"/>
          <w:b/>
          <w:sz w:val="20"/>
          <w:szCs w:val="20"/>
        </w:rPr>
        <w:t>RAZLOG ODSTUPANJA OD PROŠLOGODIŠNJIH PROJEKCIJA</w:t>
      </w:r>
      <w:r w:rsidRPr="003A2F86">
        <w:rPr>
          <w:rFonts w:ascii="Arial" w:hAnsi="Arial" w:cs="Arial"/>
          <w:sz w:val="20"/>
          <w:szCs w:val="20"/>
        </w:rPr>
        <w:t xml:space="preserve">: </w:t>
      </w:r>
    </w:p>
    <w:p w14:paraId="22423014" w14:textId="1F334D56" w:rsidR="00000787" w:rsidRPr="003A2F86" w:rsidRDefault="00000787" w:rsidP="00000787">
      <w:pPr>
        <w:shd w:val="clear" w:color="auto" w:fill="FFFFFF"/>
        <w:spacing w:after="0" w:line="240" w:lineRule="auto"/>
        <w:jc w:val="right"/>
        <w:rPr>
          <w:rFonts w:ascii="Arial" w:hAnsi="Arial" w:cs="Arial"/>
          <w:sz w:val="20"/>
          <w:szCs w:val="20"/>
        </w:rPr>
      </w:pPr>
      <w:r w:rsidRPr="003A2F86">
        <w:rPr>
          <w:rFonts w:ascii="Arial" w:hAnsi="Arial" w:cs="Arial"/>
          <w:sz w:val="20"/>
          <w:szCs w:val="20"/>
        </w:rPr>
        <w:t>Po navedenom programu nije bilo značajnijih odstupanja.</w:t>
      </w:r>
    </w:p>
    <w:p w14:paraId="603B36BF" w14:textId="77777777" w:rsidR="00000787" w:rsidRPr="003A2F86" w:rsidRDefault="00000787" w:rsidP="00000787">
      <w:pPr>
        <w:spacing w:after="0" w:line="240" w:lineRule="auto"/>
        <w:rPr>
          <w:rFonts w:ascii="Arial" w:eastAsia="Calibri" w:hAnsi="Arial" w:cs="Arial"/>
          <w:i/>
          <w:sz w:val="20"/>
          <w:szCs w:val="20"/>
        </w:rPr>
      </w:pPr>
      <w:r w:rsidRPr="003A2F86">
        <w:rPr>
          <w:rFonts w:ascii="Arial" w:eastAsia="Calibri" w:hAnsi="Arial" w:cs="Arial"/>
          <w:b/>
          <w:sz w:val="20"/>
          <w:szCs w:val="20"/>
        </w:rPr>
        <w:t>Ishodište i pokazatelji na kojima se zasnivaju izračuni i ocjene</w:t>
      </w:r>
      <w:r w:rsidRPr="003A2F86">
        <w:rPr>
          <w:rFonts w:ascii="Arial" w:eastAsia="Calibri" w:hAnsi="Arial" w:cs="Arial"/>
          <w:sz w:val="20"/>
          <w:szCs w:val="20"/>
        </w:rPr>
        <w:t xml:space="preserve"> </w:t>
      </w:r>
      <w:r w:rsidRPr="003A2F86">
        <w:rPr>
          <w:rFonts w:ascii="Arial" w:eastAsia="Calibri" w:hAnsi="Arial" w:cs="Arial"/>
          <w:b/>
          <w:sz w:val="20"/>
          <w:szCs w:val="20"/>
        </w:rPr>
        <w:t>potrebnih sredstava za provođenje programa:</w:t>
      </w:r>
      <w:r w:rsidRPr="003A2F86">
        <w:rPr>
          <w:rFonts w:ascii="Arial" w:eastAsia="Calibri" w:hAnsi="Arial" w:cs="Arial"/>
          <w:sz w:val="20"/>
          <w:szCs w:val="20"/>
        </w:rPr>
        <w:t xml:space="preserve"> Planske veličine su određene u predloženim iznosima temeljem ostvarenih ciljeva i postignutih rezultata iz prethodnih godina, te predviđanja promjena u izvršenju ciljeva u narednom razdoblju.</w:t>
      </w:r>
    </w:p>
    <w:p w14:paraId="5AB0222A" w14:textId="7286645E" w:rsidR="00000787" w:rsidRPr="003A2F86" w:rsidRDefault="00000787" w:rsidP="00000787">
      <w:pPr>
        <w:spacing w:after="0" w:line="240" w:lineRule="auto"/>
        <w:rPr>
          <w:rFonts w:ascii="Arial" w:eastAsia="Calibri" w:hAnsi="Arial" w:cs="Arial"/>
          <w:sz w:val="20"/>
          <w:szCs w:val="20"/>
        </w:rPr>
      </w:pPr>
      <w:r w:rsidRPr="003A2F86">
        <w:rPr>
          <w:rFonts w:ascii="Arial" w:eastAsia="Calibri" w:hAnsi="Arial" w:cs="Arial"/>
          <w:b/>
          <w:sz w:val="20"/>
          <w:szCs w:val="20"/>
        </w:rPr>
        <w:t>Izvještaj o postignutim ciljevima i rezultatima programa temeljenim na pokazateljima uspješnosti u prethodnoj godini</w:t>
      </w:r>
      <w:r w:rsidRPr="003A2F86">
        <w:rPr>
          <w:rFonts w:ascii="Arial" w:eastAsia="Calibri" w:hAnsi="Arial" w:cs="Arial"/>
          <w:sz w:val="20"/>
          <w:szCs w:val="20"/>
        </w:rPr>
        <w:t>: Izvršenje je u okviru očekivanih vrijednosti.</w:t>
      </w:r>
    </w:p>
    <w:p w14:paraId="65AAFF73" w14:textId="77777777" w:rsidR="00000787" w:rsidRPr="003A2F86" w:rsidRDefault="00000787" w:rsidP="00000787">
      <w:pPr>
        <w:autoSpaceDE w:val="0"/>
        <w:autoSpaceDN w:val="0"/>
        <w:adjustRightInd w:val="0"/>
        <w:spacing w:after="0" w:line="240" w:lineRule="auto"/>
        <w:rPr>
          <w:rFonts w:ascii="Arial" w:eastAsia="Calibri" w:hAnsi="Arial" w:cs="Arial"/>
          <w:sz w:val="20"/>
          <w:szCs w:val="20"/>
        </w:rPr>
      </w:pPr>
    </w:p>
    <w:p w14:paraId="6C16BD56" w14:textId="77777777" w:rsidR="00000787" w:rsidRPr="003A2F86" w:rsidRDefault="00000787">
      <w:pPr>
        <w:pStyle w:val="Odlomakpopisa"/>
        <w:numPr>
          <w:ilvl w:val="0"/>
          <w:numId w:val="3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3A2F86">
        <w:rPr>
          <w:rFonts w:ascii="Arial" w:eastAsia="Calibri" w:hAnsi="Arial" w:cs="Arial"/>
          <w:b/>
        </w:rPr>
        <w:t>Obrazloženje aktivnosti / projekata i pokazatelji uspješnosti</w:t>
      </w:r>
    </w:p>
    <w:p w14:paraId="08BD0D9D" w14:textId="77777777" w:rsidR="00F63556" w:rsidRPr="003A2F86" w:rsidRDefault="00F63556" w:rsidP="0004293C">
      <w:pPr>
        <w:spacing w:after="0" w:line="240" w:lineRule="auto"/>
        <w:rPr>
          <w:rFonts w:ascii="Arial" w:eastAsia="Calibri" w:hAnsi="Arial" w:cs="Arial"/>
          <w:sz w:val="20"/>
          <w:szCs w:val="20"/>
        </w:rPr>
      </w:pPr>
    </w:p>
    <w:p w14:paraId="0D23637F" w14:textId="36DD8F51" w:rsidR="0004293C" w:rsidRPr="003A2F86" w:rsidRDefault="0004293C" w:rsidP="0004293C">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sz w:val="20"/>
          <w:szCs w:val="20"/>
        </w:rPr>
        <w:t>Planirana sredstva za ostvarenje programa</w:t>
      </w:r>
      <w:r w:rsidR="00DD36C6" w:rsidRPr="003A2F86">
        <w:rPr>
          <w:rFonts w:ascii="Arial" w:eastAsia="Calibri" w:hAnsi="Arial" w:cs="Arial"/>
          <w:sz w:val="20"/>
          <w:szCs w:val="20"/>
        </w:rPr>
        <w:t xml:space="preserve"> 2071 </w:t>
      </w:r>
      <w:r w:rsidRPr="003A2F86">
        <w:rPr>
          <w:rFonts w:ascii="Arial" w:eastAsia="Calibri" w:hAnsi="Arial" w:cs="Arial"/>
          <w:sz w:val="20"/>
          <w:szCs w:val="20"/>
        </w:rPr>
        <w:t xml:space="preserve">iznose </w:t>
      </w:r>
      <w:r w:rsidR="00C1294A">
        <w:rPr>
          <w:rFonts w:ascii="Arial" w:eastAsia="Calibri" w:hAnsi="Arial" w:cs="Arial"/>
          <w:sz w:val="20"/>
          <w:szCs w:val="20"/>
        </w:rPr>
        <w:t>881.164</w:t>
      </w:r>
      <w:r w:rsidR="00000787" w:rsidRPr="003A2F86">
        <w:rPr>
          <w:rFonts w:ascii="Arial" w:eastAsia="Calibri" w:hAnsi="Arial" w:cs="Arial"/>
          <w:sz w:val="20"/>
          <w:szCs w:val="20"/>
        </w:rPr>
        <w:t xml:space="preserve"> €</w:t>
      </w:r>
      <w:r w:rsidRPr="003A2F86">
        <w:rPr>
          <w:rFonts w:ascii="Arial" w:eastAsia="Calibri" w:hAnsi="Arial" w:cs="Arial"/>
          <w:sz w:val="20"/>
          <w:szCs w:val="20"/>
        </w:rPr>
        <w:t xml:space="preserve">. Izvršeno je </w:t>
      </w:r>
      <w:r w:rsidR="00C1294A">
        <w:rPr>
          <w:rFonts w:ascii="Arial" w:eastAsia="Calibri" w:hAnsi="Arial" w:cs="Arial"/>
          <w:sz w:val="20"/>
          <w:szCs w:val="20"/>
        </w:rPr>
        <w:t>366.820,56</w:t>
      </w:r>
      <w:r w:rsidR="00217044" w:rsidRPr="003A2F86">
        <w:rPr>
          <w:rFonts w:ascii="Arial" w:eastAsia="Calibri" w:hAnsi="Arial" w:cs="Arial"/>
          <w:sz w:val="20"/>
          <w:szCs w:val="20"/>
        </w:rPr>
        <w:t xml:space="preserve"> </w:t>
      </w:r>
      <w:r w:rsidR="00000787" w:rsidRPr="003A2F86">
        <w:rPr>
          <w:rFonts w:ascii="Arial" w:eastAsia="Calibri" w:hAnsi="Arial" w:cs="Arial"/>
          <w:sz w:val="20"/>
          <w:szCs w:val="20"/>
        </w:rPr>
        <w:t>€</w:t>
      </w:r>
      <w:r w:rsidRPr="003A2F86">
        <w:rPr>
          <w:rFonts w:ascii="Arial" w:eastAsia="Calibri" w:hAnsi="Arial" w:cs="Arial"/>
          <w:sz w:val="20"/>
          <w:szCs w:val="20"/>
        </w:rPr>
        <w:t xml:space="preserve"> ili </w:t>
      </w:r>
      <w:r w:rsidR="00BD6AC6">
        <w:rPr>
          <w:rFonts w:ascii="Arial" w:eastAsia="Calibri" w:hAnsi="Arial" w:cs="Arial"/>
          <w:sz w:val="20"/>
          <w:szCs w:val="20"/>
        </w:rPr>
        <w:t>41,6</w:t>
      </w:r>
      <w:r w:rsidRPr="003A2F86">
        <w:rPr>
          <w:rFonts w:ascii="Arial" w:eastAsia="Calibri" w:hAnsi="Arial" w:cs="Arial"/>
          <w:sz w:val="20"/>
          <w:szCs w:val="20"/>
        </w:rPr>
        <w:t xml:space="preserve">%. </w:t>
      </w:r>
    </w:p>
    <w:p w14:paraId="21ACC3FF" w14:textId="77777777" w:rsidR="0004293C" w:rsidRPr="003A2F86" w:rsidRDefault="0004293C" w:rsidP="0004293C">
      <w:pPr>
        <w:autoSpaceDE w:val="0"/>
        <w:autoSpaceDN w:val="0"/>
        <w:adjustRightInd w:val="0"/>
        <w:spacing w:after="0" w:line="240" w:lineRule="auto"/>
        <w:jc w:val="both"/>
        <w:rPr>
          <w:rFonts w:ascii="Arial" w:eastAsia="Calibri" w:hAnsi="Arial" w:cs="Arial"/>
          <w:sz w:val="20"/>
          <w:szCs w:val="20"/>
        </w:rPr>
      </w:pPr>
    </w:p>
    <w:p w14:paraId="7BE7E4B3" w14:textId="24D6082A" w:rsidR="0004293C" w:rsidRPr="003A2F86" w:rsidRDefault="0004293C" w:rsidP="0004293C">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Ustanova Javna vatrogasna postrojba, kao proračunski korisnik Općine, prema predanim financijskim izvještajima za siječanj – </w:t>
      </w:r>
      <w:r w:rsidR="00BD6AC6">
        <w:rPr>
          <w:rFonts w:ascii="Arial" w:eastAsia="Calibri" w:hAnsi="Arial" w:cs="Arial"/>
          <w:sz w:val="20"/>
          <w:szCs w:val="20"/>
        </w:rPr>
        <w:t>lipanj</w:t>
      </w:r>
      <w:r w:rsidRPr="003A2F86">
        <w:rPr>
          <w:rFonts w:ascii="Arial" w:eastAsia="Calibri" w:hAnsi="Arial" w:cs="Arial"/>
          <w:sz w:val="20"/>
          <w:szCs w:val="20"/>
        </w:rPr>
        <w:t xml:space="preserve"> 20</w:t>
      </w:r>
      <w:r w:rsidR="008217C8" w:rsidRPr="003A2F86">
        <w:rPr>
          <w:rFonts w:ascii="Arial" w:eastAsia="Calibri" w:hAnsi="Arial" w:cs="Arial"/>
          <w:sz w:val="20"/>
          <w:szCs w:val="20"/>
        </w:rPr>
        <w:t>2</w:t>
      </w:r>
      <w:r w:rsidR="00BD6AC6">
        <w:rPr>
          <w:rFonts w:ascii="Arial" w:eastAsia="Calibri" w:hAnsi="Arial" w:cs="Arial"/>
          <w:sz w:val="20"/>
          <w:szCs w:val="20"/>
        </w:rPr>
        <w:t>5</w:t>
      </w:r>
      <w:r w:rsidRPr="003A2F86">
        <w:rPr>
          <w:rFonts w:ascii="Arial" w:eastAsia="Calibri" w:hAnsi="Arial" w:cs="Arial"/>
          <w:sz w:val="20"/>
          <w:szCs w:val="20"/>
        </w:rPr>
        <w:t xml:space="preserve">. izvršila je rashode u ukupnom iznosu </w:t>
      </w:r>
      <w:r w:rsidR="00BD6AC6">
        <w:rPr>
          <w:rFonts w:ascii="Arial" w:eastAsia="Calibri" w:hAnsi="Arial" w:cs="Arial"/>
          <w:sz w:val="20"/>
          <w:szCs w:val="20"/>
        </w:rPr>
        <w:t>366.820,56</w:t>
      </w:r>
      <w:r w:rsidR="00B928D5" w:rsidRPr="003A2F86">
        <w:rPr>
          <w:rFonts w:ascii="Arial" w:eastAsia="Calibri" w:hAnsi="Arial" w:cs="Arial"/>
          <w:sz w:val="20"/>
          <w:szCs w:val="20"/>
        </w:rPr>
        <w:t xml:space="preserve"> €</w:t>
      </w:r>
      <w:r w:rsidRPr="003A2F86">
        <w:rPr>
          <w:rFonts w:ascii="Arial" w:eastAsia="Calibri" w:hAnsi="Arial" w:cs="Arial"/>
          <w:sz w:val="20"/>
          <w:szCs w:val="20"/>
        </w:rPr>
        <w:t xml:space="preserve">, a prihode u iznosu </w:t>
      </w:r>
      <w:r w:rsidR="00BD6AC6">
        <w:rPr>
          <w:rFonts w:ascii="Arial" w:eastAsia="Calibri" w:hAnsi="Arial" w:cs="Arial"/>
          <w:sz w:val="20"/>
          <w:szCs w:val="20"/>
        </w:rPr>
        <w:t>359.760,54</w:t>
      </w:r>
      <w:r w:rsidR="00000787" w:rsidRPr="003A2F86">
        <w:rPr>
          <w:rFonts w:ascii="Arial" w:eastAsia="Calibri" w:hAnsi="Arial" w:cs="Arial"/>
          <w:sz w:val="20"/>
          <w:szCs w:val="20"/>
        </w:rPr>
        <w:t xml:space="preserve"> €</w:t>
      </w:r>
      <w:r w:rsidRPr="003A2F86">
        <w:rPr>
          <w:rFonts w:ascii="Arial" w:eastAsia="Calibri" w:hAnsi="Arial" w:cs="Arial"/>
          <w:sz w:val="20"/>
          <w:szCs w:val="20"/>
        </w:rPr>
        <w:t xml:space="preserve">, te je ostvaren </w:t>
      </w:r>
      <w:r w:rsidR="00DD36C6" w:rsidRPr="003A2F86">
        <w:rPr>
          <w:rFonts w:ascii="Arial" w:eastAsia="Calibri" w:hAnsi="Arial" w:cs="Arial"/>
          <w:sz w:val="20"/>
          <w:szCs w:val="20"/>
        </w:rPr>
        <w:t xml:space="preserve">tekući </w:t>
      </w:r>
      <w:r w:rsidR="00C0677D" w:rsidRPr="003A2F86">
        <w:rPr>
          <w:rFonts w:ascii="Arial" w:eastAsia="Calibri" w:hAnsi="Arial" w:cs="Arial"/>
          <w:sz w:val="20"/>
          <w:szCs w:val="20"/>
        </w:rPr>
        <w:t>manjak</w:t>
      </w:r>
      <w:r w:rsidRPr="003A2F86">
        <w:rPr>
          <w:rFonts w:ascii="Arial" w:eastAsia="Calibri" w:hAnsi="Arial" w:cs="Arial"/>
          <w:sz w:val="20"/>
          <w:szCs w:val="20"/>
        </w:rPr>
        <w:t xml:space="preserve"> prihoda u iznosu </w:t>
      </w:r>
      <w:r w:rsidR="00153DE2">
        <w:rPr>
          <w:rFonts w:ascii="Arial" w:eastAsia="Calibri" w:hAnsi="Arial" w:cs="Arial"/>
          <w:sz w:val="20"/>
          <w:szCs w:val="20"/>
        </w:rPr>
        <w:t>7.060,02</w:t>
      </w:r>
      <w:r w:rsidR="00000787" w:rsidRPr="003A2F86">
        <w:rPr>
          <w:rFonts w:ascii="Arial" w:eastAsia="Calibri" w:hAnsi="Arial" w:cs="Arial"/>
          <w:sz w:val="20"/>
          <w:szCs w:val="20"/>
        </w:rPr>
        <w:t xml:space="preserve"> €</w:t>
      </w:r>
      <w:r w:rsidRPr="003A2F86">
        <w:rPr>
          <w:rFonts w:ascii="Arial" w:eastAsia="Calibri" w:hAnsi="Arial" w:cs="Arial"/>
          <w:sz w:val="20"/>
          <w:szCs w:val="20"/>
        </w:rPr>
        <w:t xml:space="preserve">. Iz prethodne godine prenesen je manjak prihoda u iznosu </w:t>
      </w:r>
      <w:r w:rsidR="00875337" w:rsidRPr="003A2F86">
        <w:rPr>
          <w:rFonts w:ascii="Arial" w:eastAsia="Calibri" w:hAnsi="Arial" w:cs="Arial"/>
          <w:sz w:val="20"/>
          <w:szCs w:val="20"/>
        </w:rPr>
        <w:t>-</w:t>
      </w:r>
      <w:r w:rsidR="00153DE2">
        <w:rPr>
          <w:rFonts w:ascii="Arial" w:eastAsia="Calibri" w:hAnsi="Arial" w:cs="Arial"/>
          <w:sz w:val="20"/>
          <w:szCs w:val="20"/>
        </w:rPr>
        <w:t>54.320,36</w:t>
      </w:r>
      <w:r w:rsidR="00000787" w:rsidRPr="003A2F86">
        <w:rPr>
          <w:rFonts w:ascii="Arial" w:eastAsia="Calibri" w:hAnsi="Arial" w:cs="Arial"/>
          <w:sz w:val="20"/>
          <w:szCs w:val="20"/>
        </w:rPr>
        <w:t xml:space="preserve"> €</w:t>
      </w:r>
      <w:r w:rsidRPr="003A2F86">
        <w:rPr>
          <w:rFonts w:ascii="Arial" w:eastAsia="Calibri" w:hAnsi="Arial" w:cs="Arial"/>
          <w:sz w:val="20"/>
          <w:szCs w:val="20"/>
        </w:rPr>
        <w:t xml:space="preserve">. </w:t>
      </w:r>
      <w:r w:rsidR="00000787" w:rsidRPr="003A2F86">
        <w:rPr>
          <w:rFonts w:ascii="Arial" w:eastAsia="Calibri" w:hAnsi="Arial" w:cs="Arial"/>
          <w:sz w:val="20"/>
          <w:szCs w:val="20"/>
        </w:rPr>
        <w:t xml:space="preserve">Za sljedeće razdoblje </w:t>
      </w:r>
      <w:r w:rsidR="00C0677D" w:rsidRPr="003A2F86">
        <w:rPr>
          <w:rFonts w:ascii="Arial" w:eastAsia="Calibri" w:hAnsi="Arial" w:cs="Arial"/>
          <w:sz w:val="20"/>
          <w:szCs w:val="20"/>
        </w:rPr>
        <w:t xml:space="preserve">manjak za pokriće iznosi </w:t>
      </w:r>
      <w:r w:rsidR="00153DE2">
        <w:rPr>
          <w:rFonts w:ascii="Arial" w:eastAsia="Calibri" w:hAnsi="Arial" w:cs="Arial"/>
          <w:sz w:val="20"/>
          <w:szCs w:val="20"/>
        </w:rPr>
        <w:t>61.380,38</w:t>
      </w:r>
      <w:r w:rsidR="00C0677D" w:rsidRPr="003A2F86">
        <w:rPr>
          <w:rFonts w:ascii="Arial" w:eastAsia="Calibri" w:hAnsi="Arial" w:cs="Arial"/>
          <w:sz w:val="20"/>
          <w:szCs w:val="20"/>
        </w:rPr>
        <w:t xml:space="preserve"> €</w:t>
      </w:r>
      <w:r w:rsidRPr="003A2F86">
        <w:rPr>
          <w:rFonts w:ascii="Arial" w:eastAsia="Calibri" w:hAnsi="Arial" w:cs="Arial"/>
          <w:sz w:val="20"/>
          <w:szCs w:val="20"/>
        </w:rPr>
        <w:t xml:space="preserve">. </w:t>
      </w:r>
    </w:p>
    <w:p w14:paraId="0A3DA9C8" w14:textId="77777777" w:rsidR="0004293C" w:rsidRPr="003A2F86" w:rsidRDefault="0004293C" w:rsidP="0004293C">
      <w:pPr>
        <w:autoSpaceDE w:val="0"/>
        <w:autoSpaceDN w:val="0"/>
        <w:adjustRightInd w:val="0"/>
        <w:spacing w:after="0" w:line="240" w:lineRule="auto"/>
        <w:jc w:val="both"/>
        <w:rPr>
          <w:rFonts w:ascii="Arial" w:eastAsia="Calibri" w:hAnsi="Arial" w:cs="Arial"/>
          <w:sz w:val="20"/>
          <w:szCs w:val="20"/>
        </w:rPr>
      </w:pPr>
    </w:p>
    <w:p w14:paraId="7AA70FC8" w14:textId="2C970CB1" w:rsidR="0004293C" w:rsidRPr="003A2F86" w:rsidRDefault="0004293C" w:rsidP="0004293C">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Na računu računskog plana 16721 – potraživanja za prihode proračunskih korisnika, na dan </w:t>
      </w:r>
      <w:r w:rsidR="00C0677D" w:rsidRPr="003A2F86">
        <w:rPr>
          <w:rFonts w:ascii="Arial" w:eastAsia="Calibri" w:hAnsi="Arial" w:cs="Arial"/>
          <w:sz w:val="20"/>
          <w:szCs w:val="20"/>
        </w:rPr>
        <w:t>31.12</w:t>
      </w:r>
      <w:r w:rsidR="00000787" w:rsidRPr="003A2F86">
        <w:rPr>
          <w:rFonts w:ascii="Arial" w:eastAsia="Calibri" w:hAnsi="Arial" w:cs="Arial"/>
          <w:sz w:val="20"/>
          <w:szCs w:val="20"/>
        </w:rPr>
        <w:t>.202</w:t>
      </w:r>
      <w:r w:rsidR="00153DE2">
        <w:rPr>
          <w:rFonts w:ascii="Arial" w:eastAsia="Calibri" w:hAnsi="Arial" w:cs="Arial"/>
          <w:sz w:val="20"/>
          <w:szCs w:val="20"/>
        </w:rPr>
        <w:t>4</w:t>
      </w:r>
      <w:r w:rsidR="00000787" w:rsidRPr="003A2F86">
        <w:rPr>
          <w:rFonts w:ascii="Arial" w:eastAsia="Calibri" w:hAnsi="Arial" w:cs="Arial"/>
          <w:sz w:val="20"/>
          <w:szCs w:val="20"/>
        </w:rPr>
        <w:t>.</w:t>
      </w:r>
      <w:r w:rsidRPr="003A2F86">
        <w:rPr>
          <w:rFonts w:ascii="Arial" w:eastAsia="Calibri" w:hAnsi="Arial" w:cs="Arial"/>
          <w:sz w:val="20"/>
          <w:szCs w:val="20"/>
        </w:rPr>
        <w:t xml:space="preserve"> proračunski korisnik </w:t>
      </w:r>
      <w:r w:rsidR="00930CD2" w:rsidRPr="003A2F86">
        <w:rPr>
          <w:rFonts w:ascii="Arial" w:eastAsia="Calibri" w:hAnsi="Arial" w:cs="Arial"/>
          <w:sz w:val="20"/>
          <w:szCs w:val="20"/>
        </w:rPr>
        <w:t>n</w:t>
      </w:r>
      <w:r w:rsidR="00875337" w:rsidRPr="003A2F86">
        <w:rPr>
          <w:rFonts w:ascii="Arial" w:eastAsia="Calibri" w:hAnsi="Arial" w:cs="Arial"/>
          <w:sz w:val="20"/>
          <w:szCs w:val="20"/>
        </w:rPr>
        <w:t>e</w:t>
      </w:r>
      <w:r w:rsidR="00930CD2" w:rsidRPr="003A2F86">
        <w:rPr>
          <w:rFonts w:ascii="Arial" w:eastAsia="Calibri" w:hAnsi="Arial" w:cs="Arial"/>
          <w:sz w:val="20"/>
          <w:szCs w:val="20"/>
        </w:rPr>
        <w:t>ma</w:t>
      </w:r>
      <w:r w:rsidRPr="003A2F86">
        <w:rPr>
          <w:rFonts w:ascii="Arial" w:eastAsia="Calibri" w:hAnsi="Arial" w:cs="Arial"/>
          <w:sz w:val="20"/>
          <w:szCs w:val="20"/>
        </w:rPr>
        <w:t xml:space="preserve"> vlastita</w:t>
      </w:r>
      <w:r w:rsidR="00875337" w:rsidRPr="003A2F86">
        <w:rPr>
          <w:rFonts w:ascii="Arial" w:eastAsia="Calibri" w:hAnsi="Arial" w:cs="Arial"/>
          <w:sz w:val="20"/>
          <w:szCs w:val="20"/>
        </w:rPr>
        <w:t xml:space="preserve"> sredstv</w:t>
      </w:r>
      <w:r w:rsidR="00217044" w:rsidRPr="003A2F86">
        <w:rPr>
          <w:rFonts w:ascii="Arial" w:eastAsia="Calibri" w:hAnsi="Arial" w:cs="Arial"/>
          <w:sz w:val="20"/>
          <w:szCs w:val="20"/>
        </w:rPr>
        <w:t xml:space="preserve">a, kao niti na dan </w:t>
      </w:r>
      <w:r w:rsidR="00153DE2">
        <w:rPr>
          <w:rFonts w:ascii="Arial" w:eastAsia="Calibri" w:hAnsi="Arial" w:cs="Arial"/>
          <w:sz w:val="20"/>
          <w:szCs w:val="20"/>
        </w:rPr>
        <w:t>30.06.2025</w:t>
      </w:r>
      <w:r w:rsidR="00217044" w:rsidRPr="003A2F86">
        <w:rPr>
          <w:rFonts w:ascii="Arial" w:eastAsia="Calibri" w:hAnsi="Arial" w:cs="Arial"/>
          <w:sz w:val="20"/>
          <w:szCs w:val="20"/>
        </w:rPr>
        <w:t>.</w:t>
      </w:r>
      <w:r w:rsidRPr="003A2F86">
        <w:rPr>
          <w:rFonts w:ascii="Arial" w:eastAsia="Calibri" w:hAnsi="Arial" w:cs="Arial"/>
          <w:sz w:val="20"/>
          <w:szCs w:val="20"/>
        </w:rPr>
        <w:t xml:space="preserve"> </w:t>
      </w:r>
    </w:p>
    <w:p w14:paraId="22DF4CC3" w14:textId="77777777" w:rsidR="00217044" w:rsidRPr="003A2F86" w:rsidRDefault="00217044" w:rsidP="00E97FF5">
      <w:pPr>
        <w:spacing w:after="0" w:line="240" w:lineRule="auto"/>
        <w:jc w:val="both"/>
        <w:rPr>
          <w:rFonts w:ascii="Arial" w:eastAsia="Calibri" w:hAnsi="Arial" w:cs="Arial"/>
          <w:sz w:val="18"/>
          <w:szCs w:val="18"/>
        </w:rPr>
      </w:pPr>
    </w:p>
    <w:p w14:paraId="2C41555B" w14:textId="75626C46" w:rsidR="0004293C" w:rsidRPr="003A2F86" w:rsidRDefault="0004293C" w:rsidP="0004293C">
      <w:pPr>
        <w:spacing w:after="0" w:line="240" w:lineRule="auto"/>
        <w:jc w:val="both"/>
        <w:rPr>
          <w:rFonts w:ascii="Arial" w:eastAsia="Calibri" w:hAnsi="Arial" w:cs="Arial"/>
          <w:sz w:val="20"/>
          <w:szCs w:val="20"/>
        </w:rPr>
      </w:pPr>
      <w:r w:rsidRPr="003A2F86">
        <w:rPr>
          <w:rFonts w:ascii="Arial" w:eastAsia="Calibri" w:hAnsi="Arial" w:cs="Arial"/>
          <w:sz w:val="20"/>
          <w:szCs w:val="20"/>
        </w:rPr>
        <w:t>Unutar programa izvode se slijedeće aktivnosti i projekti:</w:t>
      </w:r>
    </w:p>
    <w:p w14:paraId="617441DF" w14:textId="77777777" w:rsidR="0004293C" w:rsidRPr="003A2F86" w:rsidRDefault="0004293C" w:rsidP="0004293C">
      <w:pPr>
        <w:spacing w:after="0" w:line="240" w:lineRule="auto"/>
        <w:jc w:val="both"/>
        <w:rPr>
          <w:rFonts w:ascii="Arial" w:eastAsia="Calibri" w:hAnsi="Arial" w:cs="Arial"/>
          <w:sz w:val="20"/>
          <w:szCs w:val="20"/>
        </w:rPr>
      </w:pPr>
    </w:p>
    <w:p w14:paraId="336E8299" w14:textId="72CBE37B" w:rsidR="004D7C41" w:rsidRDefault="0004293C" w:rsidP="0004293C">
      <w:pPr>
        <w:spacing w:after="0" w:line="240" w:lineRule="auto"/>
        <w:jc w:val="both"/>
        <w:rPr>
          <w:rFonts w:ascii="Arial" w:eastAsia="Calibri" w:hAnsi="Arial" w:cs="Arial"/>
          <w:sz w:val="20"/>
          <w:szCs w:val="20"/>
        </w:rPr>
      </w:pPr>
      <w:r w:rsidRPr="003A2F86">
        <w:rPr>
          <w:rFonts w:ascii="Arial" w:eastAsia="Calibri" w:hAnsi="Arial" w:cs="Arial"/>
          <w:b/>
          <w:sz w:val="20"/>
          <w:szCs w:val="20"/>
        </w:rPr>
        <w:t>1. A207101: Redovna djelatnost JVP - minimalni financijski standard</w:t>
      </w:r>
      <w:r w:rsidRPr="003A2F86">
        <w:rPr>
          <w:rFonts w:ascii="Arial" w:eastAsia="Calibri" w:hAnsi="Arial" w:cs="Arial"/>
          <w:sz w:val="20"/>
          <w:szCs w:val="20"/>
        </w:rPr>
        <w:t xml:space="preserve"> - u sklopu navedene aktivnosti planiraju se rashodi za plaće djelatnika javne vatrogasne postrojbe s pripadajućim porezima i doprinosima, na</w:t>
      </w:r>
      <w:r w:rsidR="00A8623C" w:rsidRPr="003A2F86">
        <w:rPr>
          <w:rFonts w:ascii="Arial" w:eastAsia="Calibri" w:hAnsi="Arial" w:cs="Arial"/>
          <w:sz w:val="20"/>
          <w:szCs w:val="20"/>
        </w:rPr>
        <w:t>kn</w:t>
      </w:r>
      <w:r w:rsidRPr="003A2F86">
        <w:rPr>
          <w:rFonts w:ascii="Arial" w:eastAsia="Calibri" w:hAnsi="Arial" w:cs="Arial"/>
          <w:sz w:val="20"/>
          <w:szCs w:val="20"/>
        </w:rPr>
        <w:t xml:space="preserve">ade za prijevoz na posao i s posla, energiju, gorivo, uredski materijal, druge materijalne rashode, materijal i usluge za tekuće i investicijsko održavanje, usluge telefona, komunalne usluge. Planirana sredstva za provođenje navedene aktivnosti iznose </w:t>
      </w:r>
      <w:r w:rsidR="00096AE7">
        <w:rPr>
          <w:rFonts w:ascii="Arial" w:eastAsia="Calibri" w:hAnsi="Arial" w:cs="Arial"/>
          <w:sz w:val="20"/>
          <w:szCs w:val="20"/>
        </w:rPr>
        <w:t>313.414</w:t>
      </w:r>
      <w:r w:rsidR="00000787" w:rsidRPr="003A2F86">
        <w:rPr>
          <w:rFonts w:ascii="Arial" w:eastAsia="Calibri" w:hAnsi="Arial" w:cs="Arial"/>
          <w:sz w:val="20"/>
          <w:szCs w:val="20"/>
        </w:rPr>
        <w:t xml:space="preserve"> €</w:t>
      </w:r>
      <w:r w:rsidRPr="003A2F86">
        <w:rPr>
          <w:rFonts w:ascii="Arial" w:eastAsia="Calibri" w:hAnsi="Arial" w:cs="Arial"/>
          <w:sz w:val="20"/>
          <w:szCs w:val="20"/>
        </w:rPr>
        <w:t xml:space="preserve"> a rashodi su izvršeni u </w:t>
      </w:r>
      <w:r w:rsidR="00334FC7" w:rsidRPr="003A2F86">
        <w:rPr>
          <w:rFonts w:ascii="Arial" w:eastAsia="Calibri" w:hAnsi="Arial" w:cs="Arial"/>
          <w:sz w:val="20"/>
          <w:szCs w:val="20"/>
        </w:rPr>
        <w:t>iznosu</w:t>
      </w:r>
      <w:r w:rsidR="002F1818" w:rsidRPr="003A2F86">
        <w:rPr>
          <w:rFonts w:ascii="Arial" w:eastAsia="Calibri" w:hAnsi="Arial" w:cs="Arial"/>
          <w:sz w:val="20"/>
          <w:szCs w:val="20"/>
        </w:rPr>
        <w:t xml:space="preserve"> </w:t>
      </w:r>
      <w:r w:rsidR="00096AE7">
        <w:rPr>
          <w:rFonts w:ascii="Arial" w:eastAsia="Calibri" w:hAnsi="Arial" w:cs="Arial"/>
          <w:sz w:val="20"/>
          <w:szCs w:val="20"/>
        </w:rPr>
        <w:t>155.492,14</w:t>
      </w:r>
      <w:r w:rsidR="00000787" w:rsidRPr="003A2F86">
        <w:rPr>
          <w:rFonts w:ascii="Arial" w:eastAsia="Calibri" w:hAnsi="Arial" w:cs="Arial"/>
          <w:sz w:val="20"/>
          <w:szCs w:val="20"/>
        </w:rPr>
        <w:t xml:space="preserve"> €</w:t>
      </w:r>
      <w:r w:rsidRPr="003A2F86">
        <w:rPr>
          <w:rFonts w:ascii="Arial" w:eastAsia="Calibri" w:hAnsi="Arial" w:cs="Arial"/>
          <w:sz w:val="20"/>
          <w:szCs w:val="20"/>
        </w:rPr>
        <w:t xml:space="preserve">. Sredstva za financiranje decentralizirane funkcije vatrogastva se doznačuju iz državnog proračuna. </w:t>
      </w:r>
    </w:p>
    <w:p w14:paraId="44100298" w14:textId="48552F7B" w:rsidR="0004293C" w:rsidRPr="003A2F86" w:rsidRDefault="0004293C" w:rsidP="0004293C">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Rashodi za plaće (31) iz minimalnog financijskog standarda izvršeni su u iznosu </w:t>
      </w:r>
      <w:r w:rsidR="00096AE7">
        <w:rPr>
          <w:rFonts w:ascii="Arial" w:eastAsia="Calibri" w:hAnsi="Arial" w:cs="Arial"/>
          <w:sz w:val="20"/>
          <w:szCs w:val="20"/>
        </w:rPr>
        <w:t>151.267,39</w:t>
      </w:r>
      <w:r w:rsidR="00000787" w:rsidRPr="003A2F86">
        <w:rPr>
          <w:rFonts w:ascii="Arial" w:eastAsia="Calibri" w:hAnsi="Arial" w:cs="Arial"/>
          <w:sz w:val="20"/>
          <w:szCs w:val="20"/>
        </w:rPr>
        <w:t xml:space="preserve"> €</w:t>
      </w:r>
      <w:r w:rsidRPr="003A2F86">
        <w:rPr>
          <w:rFonts w:ascii="Arial" w:eastAsia="Calibri" w:hAnsi="Arial" w:cs="Arial"/>
          <w:sz w:val="20"/>
          <w:szCs w:val="20"/>
        </w:rPr>
        <w:t xml:space="preserve"> i to bruto plaće (311), doprinosi na plaće (313)</w:t>
      </w:r>
      <w:r w:rsidR="00217044" w:rsidRPr="003A2F86">
        <w:rPr>
          <w:rFonts w:ascii="Arial" w:eastAsia="Calibri" w:hAnsi="Arial" w:cs="Arial"/>
          <w:sz w:val="20"/>
          <w:szCs w:val="20"/>
        </w:rPr>
        <w:t xml:space="preserve">, </w:t>
      </w:r>
      <w:r w:rsidR="004D7C41">
        <w:rPr>
          <w:rFonts w:ascii="Arial" w:eastAsia="Calibri" w:hAnsi="Arial" w:cs="Arial"/>
          <w:sz w:val="20"/>
          <w:szCs w:val="20"/>
        </w:rPr>
        <w:t xml:space="preserve">te </w:t>
      </w:r>
      <w:r w:rsidRPr="003A2F86">
        <w:rPr>
          <w:rFonts w:ascii="Arial" w:eastAsia="Calibri" w:hAnsi="Arial" w:cs="Arial"/>
          <w:sz w:val="20"/>
          <w:szCs w:val="20"/>
        </w:rPr>
        <w:t xml:space="preserve">ostali rashodi za zaposlene (312). </w:t>
      </w:r>
    </w:p>
    <w:p w14:paraId="3540615A" w14:textId="77777777" w:rsidR="00A30B1C" w:rsidRPr="003A2F86" w:rsidRDefault="00A30B1C" w:rsidP="0004293C">
      <w:pPr>
        <w:spacing w:after="0" w:line="240" w:lineRule="auto"/>
        <w:jc w:val="both"/>
        <w:rPr>
          <w:rFonts w:ascii="Arial" w:eastAsia="Times New Roman" w:hAnsi="Arial" w:cs="Arial"/>
          <w:sz w:val="20"/>
          <w:szCs w:val="20"/>
        </w:rPr>
      </w:pPr>
    </w:p>
    <w:p w14:paraId="2684C481" w14:textId="5C6F1C94" w:rsidR="00D25E97" w:rsidRPr="003A2F86" w:rsidRDefault="00D25E97" w:rsidP="0004293C">
      <w:pPr>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lastRenderedPageBreak/>
        <w:t xml:space="preserve">Rashodi za naknade troškova zaposlenim (321) se odnose na prijevoz zaposlenika na posao i s posla i izvršeni su u iznosu </w:t>
      </w:r>
      <w:r w:rsidR="00096AE7">
        <w:rPr>
          <w:rFonts w:ascii="Arial" w:eastAsia="Times New Roman" w:hAnsi="Arial" w:cs="Arial"/>
          <w:sz w:val="20"/>
          <w:szCs w:val="20"/>
        </w:rPr>
        <w:t>4.224,75</w:t>
      </w:r>
      <w:r w:rsidR="004D7C41">
        <w:rPr>
          <w:rFonts w:ascii="Arial" w:eastAsia="Times New Roman" w:hAnsi="Arial" w:cs="Arial"/>
          <w:sz w:val="20"/>
          <w:szCs w:val="20"/>
        </w:rPr>
        <w:t xml:space="preserve"> </w:t>
      </w:r>
      <w:r w:rsidRPr="003A2F86">
        <w:rPr>
          <w:rFonts w:ascii="Arial" w:eastAsia="Times New Roman" w:hAnsi="Arial" w:cs="Arial"/>
          <w:sz w:val="20"/>
          <w:szCs w:val="20"/>
        </w:rPr>
        <w:t>€.</w:t>
      </w:r>
    </w:p>
    <w:p w14:paraId="75AAE975" w14:textId="77777777" w:rsidR="00D25E97" w:rsidRPr="003A2F86" w:rsidRDefault="00D25E97" w:rsidP="0004293C">
      <w:pPr>
        <w:spacing w:after="0" w:line="240" w:lineRule="auto"/>
        <w:jc w:val="both"/>
        <w:rPr>
          <w:rFonts w:ascii="Arial" w:eastAsia="Times New Roman" w:hAnsi="Arial" w:cs="Arial"/>
          <w:sz w:val="20"/>
          <w:szCs w:val="20"/>
        </w:rPr>
      </w:pPr>
    </w:p>
    <w:p w14:paraId="01E39543" w14:textId="6BDD3E0D" w:rsidR="0004293C" w:rsidRPr="003A2F86" w:rsidRDefault="0004293C" w:rsidP="0004293C">
      <w:pPr>
        <w:spacing w:after="0" w:line="240" w:lineRule="auto"/>
        <w:jc w:val="both"/>
        <w:rPr>
          <w:rFonts w:ascii="Arial" w:eastAsia="Calibri" w:hAnsi="Arial" w:cs="Arial"/>
          <w:sz w:val="20"/>
          <w:szCs w:val="20"/>
        </w:rPr>
      </w:pPr>
      <w:r w:rsidRPr="003A2F86">
        <w:rPr>
          <w:rFonts w:ascii="Arial" w:eastAsia="Times New Roman" w:hAnsi="Arial" w:cs="Arial"/>
          <w:sz w:val="20"/>
          <w:szCs w:val="20"/>
        </w:rPr>
        <w:t>Odluka o minimalnim financijskim standardima za obavljanje djelatnosti javnih vatrogasnih postrojbi u 20</w:t>
      </w:r>
      <w:r w:rsidR="00F67580" w:rsidRPr="003A2F86">
        <w:rPr>
          <w:rFonts w:ascii="Arial" w:eastAsia="Times New Roman" w:hAnsi="Arial" w:cs="Arial"/>
          <w:sz w:val="20"/>
          <w:szCs w:val="20"/>
        </w:rPr>
        <w:t>2</w:t>
      </w:r>
      <w:r w:rsidR="00096AE7">
        <w:rPr>
          <w:rFonts w:ascii="Arial" w:eastAsia="Times New Roman" w:hAnsi="Arial" w:cs="Arial"/>
          <w:sz w:val="20"/>
          <w:szCs w:val="20"/>
        </w:rPr>
        <w:t>5</w:t>
      </w:r>
      <w:r w:rsidRPr="003A2F86">
        <w:rPr>
          <w:rFonts w:ascii="Arial" w:eastAsia="Times New Roman" w:hAnsi="Arial" w:cs="Arial"/>
          <w:sz w:val="20"/>
          <w:szCs w:val="20"/>
        </w:rPr>
        <w:t xml:space="preserve">. iz </w:t>
      </w:r>
      <w:r w:rsidR="00A41B7E" w:rsidRPr="003A2F86">
        <w:rPr>
          <w:rFonts w:ascii="Arial" w:eastAsia="Times New Roman" w:hAnsi="Arial" w:cs="Arial"/>
          <w:sz w:val="20"/>
          <w:szCs w:val="20"/>
        </w:rPr>
        <w:t>siječnja</w:t>
      </w:r>
      <w:r w:rsidRPr="003A2F86">
        <w:rPr>
          <w:rFonts w:ascii="Arial" w:eastAsia="Times New Roman" w:hAnsi="Arial" w:cs="Arial"/>
          <w:sz w:val="20"/>
          <w:szCs w:val="20"/>
        </w:rPr>
        <w:t xml:space="preserve"> 20</w:t>
      </w:r>
      <w:r w:rsidR="00FE0073" w:rsidRPr="003A2F86">
        <w:rPr>
          <w:rFonts w:ascii="Arial" w:eastAsia="Times New Roman" w:hAnsi="Arial" w:cs="Arial"/>
          <w:sz w:val="20"/>
          <w:szCs w:val="20"/>
        </w:rPr>
        <w:t>2</w:t>
      </w:r>
      <w:r w:rsidR="00096AE7">
        <w:rPr>
          <w:rFonts w:ascii="Arial" w:eastAsia="Times New Roman" w:hAnsi="Arial" w:cs="Arial"/>
          <w:sz w:val="20"/>
          <w:szCs w:val="20"/>
        </w:rPr>
        <w:t>5</w:t>
      </w:r>
      <w:r w:rsidRPr="003A2F86">
        <w:rPr>
          <w:rFonts w:ascii="Arial" w:eastAsia="Times New Roman" w:hAnsi="Arial" w:cs="Arial"/>
          <w:sz w:val="20"/>
          <w:szCs w:val="20"/>
        </w:rPr>
        <w:t>. objavlje</w:t>
      </w:r>
      <w:r w:rsidR="003E5D67" w:rsidRPr="003A2F86">
        <w:rPr>
          <w:rFonts w:ascii="Arial" w:eastAsia="Times New Roman" w:hAnsi="Arial" w:cs="Arial"/>
          <w:sz w:val="20"/>
          <w:szCs w:val="20"/>
        </w:rPr>
        <w:t xml:space="preserve">na je u Narodnim novinama broj </w:t>
      </w:r>
      <w:r w:rsidR="0034205F">
        <w:rPr>
          <w:rFonts w:ascii="Arial" w:eastAsia="Times New Roman" w:hAnsi="Arial" w:cs="Arial"/>
          <w:sz w:val="20"/>
          <w:szCs w:val="20"/>
        </w:rPr>
        <w:t>16</w:t>
      </w:r>
      <w:r w:rsidR="00D25E97" w:rsidRPr="003A2F86">
        <w:rPr>
          <w:rFonts w:ascii="Arial" w:eastAsia="Times New Roman" w:hAnsi="Arial" w:cs="Arial"/>
          <w:sz w:val="20"/>
          <w:szCs w:val="20"/>
        </w:rPr>
        <w:t>202</w:t>
      </w:r>
      <w:r w:rsidR="0034205F">
        <w:rPr>
          <w:rFonts w:ascii="Arial" w:eastAsia="Times New Roman" w:hAnsi="Arial" w:cs="Arial"/>
          <w:sz w:val="20"/>
          <w:szCs w:val="20"/>
        </w:rPr>
        <w:t>5</w:t>
      </w:r>
      <w:r w:rsidRPr="003A2F86">
        <w:rPr>
          <w:rFonts w:ascii="Arial" w:eastAsia="Times New Roman" w:hAnsi="Arial" w:cs="Arial"/>
          <w:sz w:val="20"/>
          <w:szCs w:val="20"/>
        </w:rPr>
        <w:t xml:space="preserve"> i spomenutom odlukom utvrđeni su minimalni standardi za Javnu vatrogasnu postrojbu Konavle u iznosu </w:t>
      </w:r>
      <w:r w:rsidR="0034205F">
        <w:rPr>
          <w:rFonts w:ascii="Arial" w:hAnsi="Arial" w:cs="Arial"/>
          <w:b/>
          <w:sz w:val="20"/>
          <w:szCs w:val="20"/>
        </w:rPr>
        <w:t>312.246</w:t>
      </w:r>
      <w:r w:rsidR="00A41B7E" w:rsidRPr="003A2F86">
        <w:rPr>
          <w:rFonts w:ascii="Arial" w:hAnsi="Arial" w:cs="Arial"/>
          <w:b/>
          <w:sz w:val="20"/>
          <w:szCs w:val="20"/>
        </w:rPr>
        <w:t xml:space="preserve"> €</w:t>
      </w:r>
      <w:r w:rsidR="00A41B7E" w:rsidRPr="003A2F86">
        <w:rPr>
          <w:rFonts w:ascii="Arial" w:eastAsia="Calibri" w:hAnsi="Arial" w:cs="Arial"/>
          <w:sz w:val="20"/>
          <w:szCs w:val="20"/>
        </w:rPr>
        <w:t xml:space="preserve">. </w:t>
      </w:r>
    </w:p>
    <w:p w14:paraId="12E1DD78" w14:textId="77777777" w:rsidR="0004293C" w:rsidRPr="003A2F86" w:rsidRDefault="0004293C" w:rsidP="0004293C">
      <w:pPr>
        <w:spacing w:after="0" w:line="240" w:lineRule="auto"/>
        <w:jc w:val="both"/>
        <w:rPr>
          <w:rFonts w:ascii="Arial" w:eastAsia="Calibri" w:hAnsi="Arial" w:cs="Arial"/>
          <w:sz w:val="20"/>
          <w:szCs w:val="20"/>
        </w:rPr>
      </w:pPr>
    </w:p>
    <w:p w14:paraId="7DFA0BED" w14:textId="0E5502F5" w:rsidR="0004293C" w:rsidRPr="003A2F86" w:rsidRDefault="0004293C" w:rsidP="0004293C">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U Službenom glasniku Općine Konavle </w:t>
      </w:r>
      <w:r w:rsidR="0034205F">
        <w:rPr>
          <w:rFonts w:ascii="Arial" w:eastAsia="Calibri" w:hAnsi="Arial" w:cs="Arial"/>
          <w:sz w:val="20"/>
          <w:szCs w:val="20"/>
        </w:rPr>
        <w:t>nije</w:t>
      </w:r>
      <w:r w:rsidRPr="003A2F86">
        <w:rPr>
          <w:rFonts w:ascii="Arial" w:eastAsia="Calibri" w:hAnsi="Arial" w:cs="Arial"/>
          <w:sz w:val="20"/>
          <w:szCs w:val="20"/>
        </w:rPr>
        <w:t xml:space="preserve"> objavljena Odluka o kriterijima za financiranje Javne vatrogasne postrojbe Konavle u 20</w:t>
      </w:r>
      <w:r w:rsidR="002E2FE4" w:rsidRPr="003A2F86">
        <w:rPr>
          <w:rFonts w:ascii="Arial" w:eastAsia="Calibri" w:hAnsi="Arial" w:cs="Arial"/>
          <w:sz w:val="20"/>
          <w:szCs w:val="20"/>
        </w:rPr>
        <w:t>2</w:t>
      </w:r>
      <w:r w:rsidR="00D87CA8">
        <w:rPr>
          <w:rFonts w:ascii="Arial" w:eastAsia="Calibri" w:hAnsi="Arial" w:cs="Arial"/>
          <w:sz w:val="20"/>
          <w:szCs w:val="20"/>
        </w:rPr>
        <w:t>5</w:t>
      </w:r>
      <w:r w:rsidRPr="003A2F86">
        <w:rPr>
          <w:rFonts w:ascii="Arial" w:eastAsia="Calibri" w:hAnsi="Arial" w:cs="Arial"/>
          <w:sz w:val="20"/>
          <w:szCs w:val="20"/>
        </w:rPr>
        <w:t>. godini</w:t>
      </w:r>
      <w:r w:rsidR="00FD1162" w:rsidRPr="003A2F86">
        <w:rPr>
          <w:rFonts w:ascii="Arial" w:eastAsia="Calibri" w:hAnsi="Arial" w:cs="Arial"/>
          <w:sz w:val="20"/>
          <w:szCs w:val="20"/>
        </w:rPr>
        <w:t>.</w:t>
      </w:r>
    </w:p>
    <w:p w14:paraId="7CA870F0" w14:textId="77777777" w:rsidR="0004293C" w:rsidRPr="003A2F86" w:rsidRDefault="0004293C" w:rsidP="0004293C">
      <w:pPr>
        <w:spacing w:after="0" w:line="240" w:lineRule="auto"/>
        <w:jc w:val="both"/>
        <w:rPr>
          <w:rFonts w:ascii="Arial" w:eastAsia="Calibri" w:hAnsi="Arial" w:cs="Arial"/>
          <w:sz w:val="20"/>
          <w:szCs w:val="20"/>
        </w:rPr>
      </w:pPr>
    </w:p>
    <w:p w14:paraId="45824503" w14:textId="409280A0" w:rsidR="006B2821" w:rsidRPr="003A2F86" w:rsidRDefault="0004293C" w:rsidP="0004293C">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Rashodi za plaće (31) izvršavaju se putem dvije aktivnosti i to iz sredstava decentralizirane funkcije - aktivnost A207101 i sredstava općinskog proračuna - aktivnost A207102. Sveukupno rashodi za zaposlene proračunskog korisnika (31) iznose </w:t>
      </w:r>
      <w:r w:rsidR="00287C34">
        <w:rPr>
          <w:rFonts w:ascii="Arial" w:eastAsia="Calibri" w:hAnsi="Arial" w:cs="Arial"/>
          <w:sz w:val="20"/>
          <w:szCs w:val="20"/>
        </w:rPr>
        <w:t>333.218,53</w:t>
      </w:r>
      <w:r w:rsidR="006B2821" w:rsidRPr="003A2F86">
        <w:rPr>
          <w:rFonts w:ascii="Arial" w:eastAsia="Calibri" w:hAnsi="Arial" w:cs="Arial"/>
          <w:sz w:val="20"/>
          <w:szCs w:val="20"/>
        </w:rPr>
        <w:t xml:space="preserve"> €</w:t>
      </w:r>
      <w:r w:rsidRPr="003A2F86">
        <w:rPr>
          <w:rFonts w:ascii="Arial" w:eastAsia="Calibri" w:hAnsi="Arial" w:cs="Arial"/>
          <w:sz w:val="20"/>
          <w:szCs w:val="20"/>
        </w:rPr>
        <w:t xml:space="preserve"> od čega iz sredstava decentralizacije </w:t>
      </w:r>
      <w:r w:rsidR="00287C34">
        <w:rPr>
          <w:rFonts w:ascii="Arial" w:eastAsia="Calibri" w:hAnsi="Arial" w:cs="Arial"/>
          <w:sz w:val="20"/>
          <w:szCs w:val="20"/>
        </w:rPr>
        <w:t>151.267,39</w:t>
      </w:r>
      <w:r w:rsidR="006B2821" w:rsidRPr="003A2F86">
        <w:rPr>
          <w:rFonts w:ascii="Arial" w:eastAsia="Calibri" w:hAnsi="Arial" w:cs="Arial"/>
          <w:sz w:val="20"/>
          <w:szCs w:val="20"/>
        </w:rPr>
        <w:t xml:space="preserve"> €</w:t>
      </w:r>
      <w:r w:rsidRPr="003A2F86">
        <w:rPr>
          <w:rFonts w:ascii="Arial" w:eastAsia="Calibri" w:hAnsi="Arial" w:cs="Arial"/>
          <w:sz w:val="20"/>
          <w:szCs w:val="20"/>
        </w:rPr>
        <w:t xml:space="preserve"> (A207101) i sredstava proračuna </w:t>
      </w:r>
      <w:r w:rsidR="009F75C9">
        <w:rPr>
          <w:rFonts w:ascii="Arial" w:eastAsia="Calibri" w:hAnsi="Arial" w:cs="Arial"/>
          <w:sz w:val="20"/>
          <w:szCs w:val="20"/>
        </w:rPr>
        <w:t>181.951,14</w:t>
      </w:r>
      <w:r w:rsidR="006B2821" w:rsidRPr="003A2F86">
        <w:rPr>
          <w:rFonts w:ascii="Arial" w:eastAsia="Calibri" w:hAnsi="Arial" w:cs="Arial"/>
          <w:sz w:val="20"/>
          <w:szCs w:val="20"/>
        </w:rPr>
        <w:t xml:space="preserve"> €</w:t>
      </w:r>
      <w:r w:rsidRPr="003A2F86">
        <w:rPr>
          <w:rFonts w:ascii="Arial" w:eastAsia="Calibri" w:hAnsi="Arial" w:cs="Arial"/>
          <w:sz w:val="20"/>
          <w:szCs w:val="20"/>
        </w:rPr>
        <w:t xml:space="preserve"> (A207102). Rashodi za zaposlene (31) čine </w:t>
      </w:r>
      <w:r w:rsidR="00555E26">
        <w:rPr>
          <w:rFonts w:ascii="Arial" w:eastAsia="Calibri" w:hAnsi="Arial" w:cs="Arial"/>
          <w:sz w:val="20"/>
          <w:szCs w:val="20"/>
        </w:rPr>
        <w:t>90,8</w:t>
      </w:r>
      <w:r w:rsidRPr="003A2F86">
        <w:rPr>
          <w:rFonts w:ascii="Arial" w:eastAsia="Calibri" w:hAnsi="Arial" w:cs="Arial"/>
          <w:sz w:val="20"/>
          <w:szCs w:val="20"/>
        </w:rPr>
        <w:t>% ukupnih rashoda ovog proračunskog korisnika (program 2071)</w:t>
      </w:r>
      <w:r w:rsidR="006B2821" w:rsidRPr="003A2F86">
        <w:rPr>
          <w:rFonts w:ascii="Arial" w:eastAsia="Calibri" w:hAnsi="Arial" w:cs="Arial"/>
          <w:sz w:val="20"/>
          <w:szCs w:val="20"/>
        </w:rPr>
        <w:t xml:space="preserve">, odnosno </w:t>
      </w:r>
      <w:r w:rsidR="00555E26">
        <w:rPr>
          <w:rFonts w:ascii="Arial" w:eastAsia="Calibri" w:hAnsi="Arial" w:cs="Arial"/>
          <w:sz w:val="20"/>
          <w:szCs w:val="20"/>
        </w:rPr>
        <w:t>92</w:t>
      </w:r>
      <w:r w:rsidR="006B2821" w:rsidRPr="003A2F86">
        <w:rPr>
          <w:rFonts w:ascii="Arial" w:eastAsia="Calibri" w:hAnsi="Arial" w:cs="Arial"/>
          <w:sz w:val="20"/>
          <w:szCs w:val="20"/>
        </w:rPr>
        <w:t>% ukupnih rashoda proračunskog korisnika s uključenim rashodima za prijevoz na posao i s posla.</w:t>
      </w:r>
    </w:p>
    <w:p w14:paraId="224A135C" w14:textId="77777777" w:rsidR="006B2821" w:rsidRPr="003A2F86" w:rsidRDefault="006B2821" w:rsidP="0004293C">
      <w:pPr>
        <w:spacing w:after="0" w:line="240" w:lineRule="auto"/>
        <w:jc w:val="both"/>
        <w:rPr>
          <w:rFonts w:ascii="Arial" w:eastAsia="Calibri" w:hAnsi="Arial" w:cs="Arial"/>
          <w:sz w:val="20"/>
          <w:szCs w:val="20"/>
        </w:rPr>
      </w:pPr>
    </w:p>
    <w:p w14:paraId="626BF953" w14:textId="7FE1C809" w:rsidR="00613B5C" w:rsidRPr="00F12DCA" w:rsidRDefault="0004293C" w:rsidP="00F12DCA">
      <w:pPr>
        <w:spacing w:after="0" w:line="240" w:lineRule="auto"/>
        <w:ind w:left="567"/>
        <w:jc w:val="both"/>
        <w:rPr>
          <w:rFonts w:ascii="Arial" w:eastAsia="Times New Roman" w:hAnsi="Arial" w:cs="Arial"/>
          <w:sz w:val="18"/>
          <w:szCs w:val="18"/>
        </w:rPr>
      </w:pPr>
      <w:r w:rsidRPr="00F12DCA">
        <w:rPr>
          <w:rFonts w:ascii="Arial" w:eastAsia="Calibri" w:hAnsi="Arial" w:cs="Arial"/>
          <w:sz w:val="18"/>
          <w:szCs w:val="18"/>
        </w:rPr>
        <w:t xml:space="preserve">Koncem prosinca 2018. ustanova </w:t>
      </w:r>
      <w:r w:rsidR="00613B5C" w:rsidRPr="00F12DCA">
        <w:rPr>
          <w:rFonts w:ascii="Arial" w:eastAsia="Calibri" w:hAnsi="Arial" w:cs="Arial"/>
          <w:sz w:val="18"/>
          <w:szCs w:val="18"/>
        </w:rPr>
        <w:t xml:space="preserve">je imala </w:t>
      </w:r>
      <w:r w:rsidRPr="00F12DCA">
        <w:rPr>
          <w:rFonts w:ascii="Arial" w:eastAsia="Calibri" w:hAnsi="Arial" w:cs="Arial"/>
          <w:sz w:val="18"/>
          <w:szCs w:val="18"/>
        </w:rPr>
        <w:t>18</w:t>
      </w:r>
      <w:r w:rsidRPr="00F12DCA">
        <w:rPr>
          <w:rFonts w:ascii="Arial" w:eastAsia="Times New Roman" w:hAnsi="Arial" w:cs="Arial"/>
          <w:sz w:val="18"/>
          <w:szCs w:val="18"/>
        </w:rPr>
        <w:t xml:space="preserve"> vatrogasaca i jednog administratora, a </w:t>
      </w:r>
      <w:r w:rsidR="006B2821" w:rsidRPr="00F12DCA">
        <w:rPr>
          <w:rFonts w:ascii="Arial" w:eastAsia="Times New Roman" w:hAnsi="Arial" w:cs="Arial"/>
          <w:sz w:val="18"/>
          <w:szCs w:val="18"/>
        </w:rPr>
        <w:t xml:space="preserve">od konca </w:t>
      </w:r>
      <w:r w:rsidRPr="00F12DCA">
        <w:rPr>
          <w:rFonts w:ascii="Arial" w:eastAsia="Times New Roman" w:hAnsi="Arial" w:cs="Arial"/>
          <w:sz w:val="18"/>
          <w:szCs w:val="18"/>
        </w:rPr>
        <w:t>2019.</w:t>
      </w:r>
      <w:r w:rsidR="002E2FE4" w:rsidRPr="00F12DCA">
        <w:rPr>
          <w:rFonts w:ascii="Arial" w:eastAsia="Times New Roman" w:hAnsi="Arial" w:cs="Arial"/>
          <w:sz w:val="18"/>
          <w:szCs w:val="18"/>
        </w:rPr>
        <w:t xml:space="preserve"> </w:t>
      </w:r>
      <w:r w:rsidR="0006110D" w:rsidRPr="00F12DCA">
        <w:rPr>
          <w:rFonts w:ascii="Arial" w:eastAsia="Times New Roman" w:hAnsi="Arial" w:cs="Arial"/>
          <w:sz w:val="18"/>
          <w:szCs w:val="18"/>
        </w:rPr>
        <w:t xml:space="preserve">do </w:t>
      </w:r>
      <w:r w:rsidR="002F3CF1" w:rsidRPr="00F12DCA">
        <w:rPr>
          <w:rFonts w:ascii="Arial" w:eastAsia="Times New Roman" w:hAnsi="Arial" w:cs="Arial"/>
          <w:sz w:val="18"/>
          <w:szCs w:val="18"/>
        </w:rPr>
        <w:t xml:space="preserve">konca </w:t>
      </w:r>
      <w:r w:rsidR="0006110D" w:rsidRPr="00F12DCA">
        <w:rPr>
          <w:rFonts w:ascii="Arial" w:eastAsia="Times New Roman" w:hAnsi="Arial" w:cs="Arial"/>
          <w:sz w:val="18"/>
          <w:szCs w:val="18"/>
        </w:rPr>
        <w:t xml:space="preserve">2022. </w:t>
      </w:r>
      <w:r w:rsidRPr="00F12DCA">
        <w:rPr>
          <w:rFonts w:ascii="Arial" w:eastAsia="Times New Roman" w:hAnsi="Arial" w:cs="Arial"/>
          <w:sz w:val="18"/>
          <w:szCs w:val="18"/>
        </w:rPr>
        <w:t xml:space="preserve">ima </w:t>
      </w:r>
      <w:r w:rsidR="00161419" w:rsidRPr="00F12DCA">
        <w:rPr>
          <w:rFonts w:ascii="Arial" w:eastAsia="Times New Roman" w:hAnsi="Arial" w:cs="Arial"/>
          <w:sz w:val="18"/>
          <w:szCs w:val="18"/>
        </w:rPr>
        <w:t>19</w:t>
      </w:r>
      <w:r w:rsidRPr="00F12DCA">
        <w:rPr>
          <w:rFonts w:ascii="Arial" w:eastAsia="Times New Roman" w:hAnsi="Arial" w:cs="Arial"/>
          <w:sz w:val="18"/>
          <w:szCs w:val="18"/>
        </w:rPr>
        <w:t xml:space="preserve"> vatrogasaca i jednog administratora. </w:t>
      </w:r>
    </w:p>
    <w:p w14:paraId="52DFD0E6" w14:textId="49290AE3" w:rsidR="00D25E97" w:rsidRPr="00555E26" w:rsidRDefault="0006110D" w:rsidP="00555E26">
      <w:pPr>
        <w:spacing w:after="0" w:line="240" w:lineRule="auto"/>
        <w:ind w:left="567"/>
        <w:jc w:val="both"/>
        <w:rPr>
          <w:rFonts w:ascii="Arial" w:eastAsia="Calibri" w:hAnsi="Arial" w:cs="Arial"/>
          <w:sz w:val="18"/>
          <w:szCs w:val="18"/>
        </w:rPr>
      </w:pPr>
      <w:r w:rsidRPr="00F12DCA">
        <w:rPr>
          <w:rFonts w:ascii="Arial" w:eastAsia="Times New Roman" w:hAnsi="Arial" w:cs="Arial"/>
          <w:sz w:val="18"/>
          <w:szCs w:val="18"/>
        </w:rPr>
        <w:t xml:space="preserve">Krajem prosinca 2023. zaposleno je sveukupno 21 vatrogasac, od toga 19 na </w:t>
      </w:r>
      <w:r w:rsidR="00613B5C" w:rsidRPr="00F12DCA">
        <w:rPr>
          <w:rFonts w:ascii="Arial" w:eastAsia="Times New Roman" w:hAnsi="Arial" w:cs="Arial"/>
          <w:sz w:val="18"/>
          <w:szCs w:val="18"/>
        </w:rPr>
        <w:t>neodređeno</w:t>
      </w:r>
      <w:r w:rsidRPr="00F12DCA">
        <w:rPr>
          <w:rFonts w:ascii="Arial" w:eastAsia="Times New Roman" w:hAnsi="Arial" w:cs="Arial"/>
          <w:sz w:val="18"/>
          <w:szCs w:val="18"/>
        </w:rPr>
        <w:t xml:space="preserve"> radno vrijeme i dva vatrogasca početnika na odre</w:t>
      </w:r>
      <w:r w:rsidR="00613B5C" w:rsidRPr="00F12DCA">
        <w:rPr>
          <w:rFonts w:ascii="Arial" w:eastAsia="Times New Roman" w:hAnsi="Arial" w:cs="Arial"/>
          <w:sz w:val="18"/>
          <w:szCs w:val="18"/>
        </w:rPr>
        <w:t>đ</w:t>
      </w:r>
      <w:r w:rsidRPr="00F12DCA">
        <w:rPr>
          <w:rFonts w:ascii="Arial" w:eastAsia="Times New Roman" w:hAnsi="Arial" w:cs="Arial"/>
          <w:sz w:val="18"/>
          <w:szCs w:val="18"/>
        </w:rPr>
        <w:t>eno radno vrijeme i jedan voditelj računovodstva.</w:t>
      </w:r>
      <w:r w:rsidR="00555E26">
        <w:rPr>
          <w:rFonts w:ascii="Arial" w:eastAsia="Times New Roman" w:hAnsi="Arial" w:cs="Arial"/>
          <w:sz w:val="18"/>
          <w:szCs w:val="18"/>
        </w:rPr>
        <w:t xml:space="preserve"> </w:t>
      </w:r>
      <w:r w:rsidR="00D25E97" w:rsidRPr="00555E26">
        <w:rPr>
          <w:rFonts w:ascii="Arial" w:eastAsia="Calibri" w:hAnsi="Arial" w:cs="Arial"/>
          <w:sz w:val="18"/>
          <w:szCs w:val="18"/>
        </w:rPr>
        <w:t>Krajem 2024. zaposleno je 17 vatrogasaca i jedan računovodstveni referent.</w:t>
      </w:r>
    </w:p>
    <w:p w14:paraId="153E6A4D" w14:textId="77777777" w:rsidR="00555E26" w:rsidRDefault="00555E26" w:rsidP="0004293C">
      <w:pPr>
        <w:spacing w:after="0" w:line="240" w:lineRule="auto"/>
        <w:jc w:val="both"/>
        <w:rPr>
          <w:rFonts w:ascii="Arial" w:eastAsia="Calibri" w:hAnsi="Arial" w:cs="Arial"/>
          <w:sz w:val="18"/>
          <w:szCs w:val="18"/>
        </w:rPr>
      </w:pPr>
    </w:p>
    <w:p w14:paraId="5CBF5311" w14:textId="0199FDCD" w:rsidR="0006110D" w:rsidRPr="00555E26" w:rsidRDefault="00555E26" w:rsidP="0004293C">
      <w:pPr>
        <w:spacing w:after="0" w:line="240" w:lineRule="auto"/>
        <w:jc w:val="both"/>
        <w:rPr>
          <w:rFonts w:ascii="Arial" w:eastAsia="Calibri" w:hAnsi="Arial" w:cs="Arial"/>
          <w:sz w:val="20"/>
          <w:szCs w:val="20"/>
        </w:rPr>
      </w:pPr>
      <w:r w:rsidRPr="00555E26">
        <w:rPr>
          <w:rFonts w:ascii="Arial" w:eastAsia="Calibri" w:hAnsi="Arial" w:cs="Arial"/>
          <w:sz w:val="20"/>
          <w:szCs w:val="20"/>
        </w:rPr>
        <w:t>Krajem lipnja 2025. zaposleno je 17 vatrogasaca i jedan računovodstveni referent.</w:t>
      </w:r>
    </w:p>
    <w:p w14:paraId="1F9E0A8F" w14:textId="77777777" w:rsidR="00555E26" w:rsidRPr="003A2F86" w:rsidRDefault="00555E26" w:rsidP="0004293C">
      <w:pPr>
        <w:spacing w:after="0" w:line="240" w:lineRule="auto"/>
        <w:jc w:val="both"/>
        <w:rPr>
          <w:rFonts w:ascii="Arial" w:eastAsia="Times New Roman" w:hAnsi="Arial" w:cs="Arial"/>
          <w:sz w:val="20"/>
          <w:szCs w:val="20"/>
        </w:rPr>
      </w:pPr>
    </w:p>
    <w:p w14:paraId="17D0063B" w14:textId="670F0E60" w:rsidR="0004293C" w:rsidRPr="003A2F86" w:rsidRDefault="0004293C" w:rsidP="0004293C">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Rashodi za zaposlene (31) </w:t>
      </w:r>
      <w:r w:rsidRPr="003A2F86">
        <w:rPr>
          <w:rFonts w:ascii="Arial" w:eastAsia="Times New Roman" w:hAnsi="Arial" w:cs="Arial"/>
          <w:iCs/>
          <w:sz w:val="20"/>
          <w:szCs w:val="20"/>
        </w:rPr>
        <w:t xml:space="preserve">ustanove Javna vatrogasna postrojba Konavle </w:t>
      </w:r>
      <w:r w:rsidR="00D25E97" w:rsidRPr="003A2F86">
        <w:rPr>
          <w:rFonts w:ascii="Arial" w:eastAsia="Calibri" w:hAnsi="Arial" w:cs="Arial"/>
          <w:sz w:val="20"/>
          <w:szCs w:val="20"/>
        </w:rPr>
        <w:t xml:space="preserve">u iznosu </w:t>
      </w:r>
      <w:r w:rsidR="00B54695">
        <w:rPr>
          <w:rFonts w:ascii="Arial" w:eastAsia="Calibri" w:hAnsi="Arial" w:cs="Arial"/>
          <w:sz w:val="20"/>
          <w:szCs w:val="20"/>
        </w:rPr>
        <w:t>333.218,53</w:t>
      </w:r>
      <w:r w:rsidR="00D25E97" w:rsidRPr="003A2F86">
        <w:rPr>
          <w:rFonts w:ascii="Arial" w:eastAsia="Calibri" w:hAnsi="Arial" w:cs="Arial"/>
          <w:sz w:val="20"/>
          <w:szCs w:val="20"/>
        </w:rPr>
        <w:t xml:space="preserve"> € čine</w:t>
      </w:r>
      <w:r w:rsidRPr="003A2F86">
        <w:rPr>
          <w:rFonts w:ascii="Arial" w:eastAsia="Calibri" w:hAnsi="Arial" w:cs="Arial"/>
          <w:sz w:val="20"/>
          <w:szCs w:val="20"/>
        </w:rPr>
        <w:t xml:space="preserve"> </w:t>
      </w:r>
      <w:r w:rsidR="00970591">
        <w:rPr>
          <w:rFonts w:ascii="Arial" w:eastAsia="Calibri" w:hAnsi="Arial" w:cs="Arial"/>
          <w:sz w:val="20"/>
          <w:szCs w:val="20"/>
        </w:rPr>
        <w:t>3,</w:t>
      </w:r>
      <w:r w:rsidR="00B54695">
        <w:rPr>
          <w:rFonts w:ascii="Arial" w:eastAsia="Calibri" w:hAnsi="Arial" w:cs="Arial"/>
          <w:sz w:val="20"/>
          <w:szCs w:val="20"/>
        </w:rPr>
        <w:t>34</w:t>
      </w:r>
      <w:r w:rsidRPr="003A2F86">
        <w:rPr>
          <w:rFonts w:ascii="Arial" w:eastAsia="Calibri" w:hAnsi="Arial" w:cs="Arial"/>
          <w:sz w:val="20"/>
          <w:szCs w:val="20"/>
        </w:rPr>
        <w:t xml:space="preserve">% ukupnih rashoda Proračuna (rashodi poslovanja „3“ i rashodi na nabavu nefinancijske imovine „4“), odnosno </w:t>
      </w:r>
      <w:r w:rsidR="00D25E97" w:rsidRPr="003A2F86">
        <w:rPr>
          <w:rFonts w:ascii="Arial" w:eastAsia="Calibri" w:hAnsi="Arial" w:cs="Arial"/>
          <w:sz w:val="20"/>
          <w:szCs w:val="20"/>
        </w:rPr>
        <w:t>3,</w:t>
      </w:r>
      <w:r w:rsidR="00627CCC">
        <w:rPr>
          <w:rFonts w:ascii="Arial" w:eastAsia="Calibri" w:hAnsi="Arial" w:cs="Arial"/>
          <w:sz w:val="20"/>
          <w:szCs w:val="20"/>
        </w:rPr>
        <w:t>26</w:t>
      </w:r>
      <w:r w:rsidRPr="003A2F86">
        <w:rPr>
          <w:rFonts w:ascii="Arial" w:eastAsia="Calibri" w:hAnsi="Arial" w:cs="Arial"/>
          <w:sz w:val="20"/>
          <w:szCs w:val="20"/>
        </w:rPr>
        <w:t>% ukupnih rashoda i izdataka Proračuna (rashodi poslovanja „3“ i rashodi na nabavu nefinancijske imovine „4“ uvećani za izdatke za financijsku imovinu i otplate zajmova „5“).</w:t>
      </w:r>
    </w:p>
    <w:p w14:paraId="228BC1FA" w14:textId="77777777" w:rsidR="003B5B15" w:rsidRPr="003A2F86" w:rsidRDefault="003B5B15" w:rsidP="003B5B15">
      <w:pPr>
        <w:pStyle w:val="Odlomakpopisa"/>
        <w:autoSpaceDE w:val="0"/>
        <w:autoSpaceDN w:val="0"/>
        <w:adjustRightInd w:val="0"/>
        <w:ind w:left="0"/>
        <w:rPr>
          <w:rFonts w:ascii="Arial" w:eastAsia="Calibri" w:hAnsi="Arial" w:cs="Arial"/>
        </w:rPr>
      </w:pPr>
    </w:p>
    <w:p w14:paraId="669D64AA" w14:textId="1957DC8C" w:rsidR="0004293C" w:rsidRPr="003A2F86" w:rsidRDefault="0004293C" w:rsidP="0004293C">
      <w:pPr>
        <w:spacing w:after="0" w:line="240" w:lineRule="auto"/>
        <w:jc w:val="both"/>
        <w:rPr>
          <w:rFonts w:ascii="Arial" w:eastAsia="Calibri" w:hAnsi="Arial" w:cs="Arial"/>
          <w:sz w:val="20"/>
          <w:szCs w:val="20"/>
        </w:rPr>
      </w:pPr>
      <w:r w:rsidRPr="003A2F86">
        <w:rPr>
          <w:rFonts w:ascii="Arial" w:eastAsia="Calibri" w:hAnsi="Arial" w:cs="Arial"/>
          <w:b/>
          <w:sz w:val="20"/>
          <w:szCs w:val="20"/>
        </w:rPr>
        <w:t>2. A207102: Redovna djelatnost JVP - iznad minimalnog standarda</w:t>
      </w:r>
      <w:r w:rsidRPr="003A2F86">
        <w:rPr>
          <w:rFonts w:ascii="Arial" w:eastAsia="Calibri" w:hAnsi="Arial" w:cs="Arial"/>
          <w:sz w:val="20"/>
          <w:szCs w:val="20"/>
        </w:rPr>
        <w:t xml:space="preserve"> - u sklopu navedene aktivnosti planiraju se rashodi za razliku do visine plaća djelatnika javne vatrogasne postrojbe s pripadajućim porezima i doprinosima (iznad minimalnog standarda), na</w:t>
      </w:r>
      <w:r w:rsidR="00A8623C" w:rsidRPr="003A2F86">
        <w:rPr>
          <w:rFonts w:ascii="Arial" w:eastAsia="Calibri" w:hAnsi="Arial" w:cs="Arial"/>
          <w:sz w:val="20"/>
          <w:szCs w:val="20"/>
        </w:rPr>
        <w:t>kn</w:t>
      </w:r>
      <w:r w:rsidRPr="003A2F86">
        <w:rPr>
          <w:rFonts w:ascii="Arial" w:eastAsia="Calibri" w:hAnsi="Arial" w:cs="Arial"/>
          <w:sz w:val="20"/>
          <w:szCs w:val="20"/>
        </w:rPr>
        <w:t>ade za prijevoz na posao i s posla, službena putovanja, energiju, materijal i usluge za tekuće i investicijsko održavanje opreme, prijevoznih sredstava i građevina, intelektualne usluge, na</w:t>
      </w:r>
      <w:r w:rsidR="00A8623C" w:rsidRPr="003A2F86">
        <w:rPr>
          <w:rFonts w:ascii="Arial" w:eastAsia="Calibri" w:hAnsi="Arial" w:cs="Arial"/>
          <w:sz w:val="20"/>
          <w:szCs w:val="20"/>
        </w:rPr>
        <w:t>kn</w:t>
      </w:r>
      <w:r w:rsidRPr="003A2F86">
        <w:rPr>
          <w:rFonts w:ascii="Arial" w:eastAsia="Calibri" w:hAnsi="Arial" w:cs="Arial"/>
          <w:sz w:val="20"/>
          <w:szCs w:val="20"/>
        </w:rPr>
        <w:t xml:space="preserve">ade za rad upravnog vijeća i financijske rashode. Planirana sredstva za provođenje navedene aktivnosti iznose </w:t>
      </w:r>
      <w:r w:rsidR="00627CCC">
        <w:rPr>
          <w:rFonts w:ascii="Arial" w:eastAsia="Calibri" w:hAnsi="Arial" w:cs="Arial"/>
          <w:sz w:val="20"/>
          <w:szCs w:val="20"/>
        </w:rPr>
        <w:t>555.750</w:t>
      </w:r>
      <w:r w:rsidR="006B2821" w:rsidRPr="003A2F86">
        <w:rPr>
          <w:rFonts w:ascii="Arial" w:eastAsia="Calibri" w:hAnsi="Arial" w:cs="Arial"/>
          <w:sz w:val="20"/>
          <w:szCs w:val="20"/>
        </w:rPr>
        <w:t xml:space="preserve"> €</w:t>
      </w:r>
      <w:r w:rsidRPr="003A2F86">
        <w:rPr>
          <w:rFonts w:ascii="Arial" w:eastAsia="Calibri" w:hAnsi="Arial" w:cs="Arial"/>
          <w:sz w:val="20"/>
          <w:szCs w:val="20"/>
        </w:rPr>
        <w:t xml:space="preserve">. Rashodi su izvršeni u iznosu </w:t>
      </w:r>
      <w:r w:rsidR="00627CCC">
        <w:rPr>
          <w:rFonts w:ascii="Arial" w:eastAsia="Calibri" w:hAnsi="Arial" w:cs="Arial"/>
          <w:sz w:val="20"/>
          <w:szCs w:val="20"/>
        </w:rPr>
        <w:t>209.945,92</w:t>
      </w:r>
      <w:r w:rsidR="006B2821" w:rsidRPr="003A2F86">
        <w:rPr>
          <w:rFonts w:ascii="Arial" w:eastAsia="Calibri" w:hAnsi="Arial" w:cs="Arial"/>
          <w:sz w:val="20"/>
          <w:szCs w:val="20"/>
        </w:rPr>
        <w:t xml:space="preserve"> €</w:t>
      </w:r>
      <w:r w:rsidRPr="003A2F86">
        <w:rPr>
          <w:rFonts w:ascii="Arial" w:eastAsia="Calibri" w:hAnsi="Arial" w:cs="Arial"/>
          <w:sz w:val="20"/>
          <w:szCs w:val="20"/>
        </w:rPr>
        <w:t xml:space="preserve"> ili </w:t>
      </w:r>
      <w:r w:rsidR="00627CCC">
        <w:rPr>
          <w:rFonts w:ascii="Arial" w:eastAsia="Calibri" w:hAnsi="Arial" w:cs="Arial"/>
          <w:sz w:val="20"/>
          <w:szCs w:val="20"/>
        </w:rPr>
        <w:t>37,8</w:t>
      </w:r>
      <w:r w:rsidRPr="003A2F86">
        <w:rPr>
          <w:rFonts w:ascii="Arial" w:eastAsia="Calibri" w:hAnsi="Arial" w:cs="Arial"/>
          <w:sz w:val="20"/>
          <w:szCs w:val="20"/>
        </w:rPr>
        <w:t xml:space="preserve">% plana. </w:t>
      </w:r>
    </w:p>
    <w:p w14:paraId="1B08A6DE" w14:textId="64F0FA7F" w:rsidR="00F20B7C" w:rsidRPr="003A2F86" w:rsidRDefault="00013151" w:rsidP="00F20B7C">
      <w:pPr>
        <w:spacing w:after="0" w:line="240" w:lineRule="auto"/>
        <w:jc w:val="both"/>
        <w:rPr>
          <w:rFonts w:ascii="Arial" w:eastAsia="Calibri" w:hAnsi="Arial" w:cs="Arial"/>
          <w:sz w:val="20"/>
          <w:szCs w:val="20"/>
        </w:rPr>
      </w:pPr>
      <w:r w:rsidRPr="003A2F86">
        <w:rPr>
          <w:rFonts w:ascii="Arial" w:eastAsia="Calibri" w:hAnsi="Arial" w:cs="Arial"/>
          <w:sz w:val="20"/>
          <w:szCs w:val="20"/>
        </w:rPr>
        <w:t>Plaće se obračunavaju po osnovici utvrđenoj za državne službenike i namještenike.</w:t>
      </w:r>
    </w:p>
    <w:p w14:paraId="4F626DF0" w14:textId="1600D3C2" w:rsidR="00F20B7C" w:rsidRPr="003A2F86" w:rsidRDefault="00F20B7C" w:rsidP="00F20B7C">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U JVP je zaposleno </w:t>
      </w:r>
      <w:r w:rsidR="00160CA2" w:rsidRPr="003A2F86">
        <w:rPr>
          <w:rFonts w:ascii="Arial" w:eastAsia="Calibri" w:hAnsi="Arial" w:cs="Arial"/>
          <w:sz w:val="20"/>
          <w:szCs w:val="20"/>
        </w:rPr>
        <w:t>17</w:t>
      </w:r>
      <w:r w:rsidRPr="003A2F86">
        <w:rPr>
          <w:rFonts w:ascii="Arial" w:eastAsia="Calibri" w:hAnsi="Arial" w:cs="Arial"/>
          <w:sz w:val="20"/>
          <w:szCs w:val="20"/>
        </w:rPr>
        <w:t xml:space="preserve"> profesionalnih vatrogasaca i administrativni referent</w:t>
      </w:r>
      <w:r w:rsidR="00190D1F" w:rsidRPr="003A2F86">
        <w:rPr>
          <w:rFonts w:ascii="Arial" w:eastAsia="Calibri" w:hAnsi="Arial" w:cs="Arial"/>
          <w:sz w:val="20"/>
          <w:szCs w:val="20"/>
        </w:rPr>
        <w:t>.</w:t>
      </w:r>
    </w:p>
    <w:p w14:paraId="10AA17C5" w14:textId="685E9457" w:rsidR="00F20B7C" w:rsidRPr="003A2F86" w:rsidRDefault="00F20B7C" w:rsidP="0004293C">
      <w:pPr>
        <w:spacing w:after="0" w:line="240" w:lineRule="auto"/>
        <w:jc w:val="both"/>
        <w:rPr>
          <w:rFonts w:ascii="Arial" w:eastAsia="Calibri" w:hAnsi="Arial" w:cs="Arial"/>
          <w:sz w:val="20"/>
          <w:szCs w:val="20"/>
        </w:rPr>
      </w:pPr>
    </w:p>
    <w:p w14:paraId="0E7AC8B0" w14:textId="43DB4E89" w:rsidR="0004293C" w:rsidRPr="003A2F86" w:rsidRDefault="0004293C" w:rsidP="0004293C">
      <w:pPr>
        <w:spacing w:after="0" w:line="240" w:lineRule="auto"/>
        <w:jc w:val="both"/>
        <w:rPr>
          <w:rFonts w:ascii="Arial" w:eastAsia="Calibri" w:hAnsi="Arial" w:cs="Arial"/>
          <w:sz w:val="20"/>
          <w:szCs w:val="20"/>
        </w:rPr>
      </w:pPr>
      <w:r w:rsidRPr="003A2F86">
        <w:rPr>
          <w:rFonts w:ascii="Arial" w:eastAsia="Calibri" w:hAnsi="Arial" w:cs="Arial"/>
          <w:sz w:val="20"/>
          <w:szCs w:val="20"/>
        </w:rPr>
        <w:t xml:space="preserve">Izvan minimalnog standarda izvršeni su rashodi za plaće (31) u iznosu </w:t>
      </w:r>
      <w:r w:rsidR="002F4731">
        <w:rPr>
          <w:rFonts w:ascii="Arial" w:eastAsia="Calibri" w:hAnsi="Arial" w:cs="Arial"/>
          <w:sz w:val="20"/>
          <w:szCs w:val="20"/>
        </w:rPr>
        <w:t>181.951,14</w:t>
      </w:r>
      <w:r w:rsidR="006B2821" w:rsidRPr="003A2F86">
        <w:rPr>
          <w:rFonts w:ascii="Arial" w:eastAsia="Calibri" w:hAnsi="Arial" w:cs="Arial"/>
          <w:sz w:val="20"/>
          <w:szCs w:val="20"/>
        </w:rPr>
        <w:t xml:space="preserve"> €</w:t>
      </w:r>
      <w:r w:rsidRPr="003A2F86">
        <w:rPr>
          <w:rFonts w:ascii="Arial" w:eastAsia="Calibri" w:hAnsi="Arial" w:cs="Arial"/>
          <w:sz w:val="20"/>
          <w:szCs w:val="20"/>
        </w:rPr>
        <w:t>, rashodi za na</w:t>
      </w:r>
      <w:r w:rsidR="00A8623C" w:rsidRPr="003A2F86">
        <w:rPr>
          <w:rFonts w:ascii="Arial" w:eastAsia="Calibri" w:hAnsi="Arial" w:cs="Arial"/>
          <w:sz w:val="20"/>
          <w:szCs w:val="20"/>
        </w:rPr>
        <w:t>kn</w:t>
      </w:r>
      <w:r w:rsidRPr="003A2F86">
        <w:rPr>
          <w:rFonts w:ascii="Arial" w:eastAsia="Calibri" w:hAnsi="Arial" w:cs="Arial"/>
          <w:sz w:val="20"/>
          <w:szCs w:val="20"/>
        </w:rPr>
        <w:t xml:space="preserve">ade troškova (321) u iznosu </w:t>
      </w:r>
      <w:r w:rsidR="002F4731">
        <w:rPr>
          <w:rFonts w:ascii="Arial" w:eastAsia="Calibri" w:hAnsi="Arial" w:cs="Arial"/>
          <w:sz w:val="20"/>
          <w:szCs w:val="20"/>
        </w:rPr>
        <w:t>0</w:t>
      </w:r>
      <w:r w:rsidR="006B2821" w:rsidRPr="003A2F86">
        <w:rPr>
          <w:rFonts w:ascii="Arial" w:eastAsia="Calibri" w:hAnsi="Arial" w:cs="Arial"/>
          <w:sz w:val="20"/>
          <w:szCs w:val="20"/>
        </w:rPr>
        <w:t xml:space="preserve"> €</w:t>
      </w:r>
      <w:r w:rsidRPr="003A2F86">
        <w:rPr>
          <w:rFonts w:ascii="Arial" w:eastAsia="Calibri" w:hAnsi="Arial" w:cs="Arial"/>
          <w:sz w:val="20"/>
          <w:szCs w:val="20"/>
        </w:rPr>
        <w:t xml:space="preserve"> (na</w:t>
      </w:r>
      <w:r w:rsidR="00A8623C" w:rsidRPr="003A2F86">
        <w:rPr>
          <w:rFonts w:ascii="Arial" w:eastAsia="Calibri" w:hAnsi="Arial" w:cs="Arial"/>
          <w:sz w:val="20"/>
          <w:szCs w:val="20"/>
        </w:rPr>
        <w:t>kn</w:t>
      </w:r>
      <w:r w:rsidRPr="003A2F86">
        <w:rPr>
          <w:rFonts w:ascii="Arial" w:eastAsia="Calibri" w:hAnsi="Arial" w:cs="Arial"/>
          <w:sz w:val="20"/>
          <w:szCs w:val="20"/>
        </w:rPr>
        <w:t>ade za prijevoz na posao i s posla</w:t>
      </w:r>
      <w:r w:rsidR="00160CA2" w:rsidRPr="003A2F86">
        <w:rPr>
          <w:rFonts w:ascii="Arial" w:eastAsia="Calibri" w:hAnsi="Arial" w:cs="Arial"/>
          <w:sz w:val="20"/>
          <w:szCs w:val="20"/>
        </w:rPr>
        <w:t>, službena putovanja</w:t>
      </w:r>
      <w:r w:rsidRPr="003A2F86">
        <w:rPr>
          <w:rFonts w:ascii="Arial" w:eastAsia="Calibri" w:hAnsi="Arial" w:cs="Arial"/>
          <w:sz w:val="20"/>
          <w:szCs w:val="20"/>
        </w:rPr>
        <w:t xml:space="preserve">), rashodi za materijal i energiju (322) u iznosu </w:t>
      </w:r>
      <w:r w:rsidR="002F4731">
        <w:rPr>
          <w:rFonts w:ascii="Arial" w:eastAsia="Calibri" w:hAnsi="Arial" w:cs="Arial"/>
          <w:sz w:val="20"/>
          <w:szCs w:val="20"/>
        </w:rPr>
        <w:t>15.144,27</w:t>
      </w:r>
      <w:r w:rsidR="006B2821" w:rsidRPr="003A2F86">
        <w:rPr>
          <w:rFonts w:ascii="Arial" w:eastAsia="Calibri" w:hAnsi="Arial" w:cs="Arial"/>
          <w:sz w:val="20"/>
          <w:szCs w:val="20"/>
        </w:rPr>
        <w:t xml:space="preserve"> €</w:t>
      </w:r>
      <w:r w:rsidRPr="003A2F86">
        <w:rPr>
          <w:rFonts w:ascii="Arial" w:eastAsia="Calibri" w:hAnsi="Arial" w:cs="Arial"/>
          <w:sz w:val="20"/>
          <w:szCs w:val="20"/>
        </w:rPr>
        <w:t xml:space="preserve"> (službena i radna vatrogasna odjeća i obuća</w:t>
      </w:r>
      <w:r w:rsidR="00475F00" w:rsidRPr="003A2F86">
        <w:rPr>
          <w:rFonts w:ascii="Arial" w:eastAsia="Calibri" w:hAnsi="Arial" w:cs="Arial"/>
          <w:sz w:val="20"/>
          <w:szCs w:val="20"/>
        </w:rPr>
        <w:t xml:space="preserve">, </w:t>
      </w:r>
      <w:r w:rsidR="001F5B3D" w:rsidRPr="003A2F86">
        <w:rPr>
          <w:rFonts w:ascii="Arial" w:eastAsia="Calibri" w:hAnsi="Arial" w:cs="Arial"/>
          <w:sz w:val="20"/>
          <w:szCs w:val="20"/>
        </w:rPr>
        <w:t>auto gume</w:t>
      </w:r>
      <w:r w:rsidR="008F1175" w:rsidRPr="003A2F86">
        <w:rPr>
          <w:rFonts w:ascii="Arial" w:eastAsia="Calibri" w:hAnsi="Arial" w:cs="Arial"/>
          <w:sz w:val="20"/>
          <w:szCs w:val="20"/>
        </w:rPr>
        <w:t xml:space="preserve">, </w:t>
      </w:r>
      <w:r w:rsidR="001F5B3D" w:rsidRPr="003A2F86">
        <w:rPr>
          <w:rFonts w:ascii="Arial" w:eastAsia="Calibri" w:hAnsi="Arial" w:cs="Arial"/>
          <w:sz w:val="20"/>
          <w:szCs w:val="20"/>
        </w:rPr>
        <w:t>električna energija</w:t>
      </w:r>
      <w:r w:rsidR="008F1175" w:rsidRPr="003A2F86">
        <w:rPr>
          <w:rFonts w:ascii="Arial" w:eastAsia="Calibri" w:hAnsi="Arial" w:cs="Arial"/>
          <w:sz w:val="20"/>
          <w:szCs w:val="20"/>
        </w:rPr>
        <w:t>,</w:t>
      </w:r>
      <w:r w:rsidR="00657130" w:rsidRPr="003A2F86">
        <w:rPr>
          <w:rFonts w:ascii="Arial" w:eastAsia="Calibri" w:hAnsi="Arial" w:cs="Arial"/>
          <w:sz w:val="20"/>
          <w:szCs w:val="20"/>
        </w:rPr>
        <w:t xml:space="preserve"> drugi materijal</w:t>
      </w:r>
      <w:r w:rsidR="00475F00" w:rsidRPr="003A2F86">
        <w:rPr>
          <w:rFonts w:ascii="Arial" w:eastAsia="Calibri" w:hAnsi="Arial" w:cs="Arial"/>
          <w:sz w:val="20"/>
          <w:szCs w:val="20"/>
        </w:rPr>
        <w:t>)</w:t>
      </w:r>
      <w:r w:rsidRPr="003A2F86">
        <w:rPr>
          <w:rFonts w:ascii="Arial" w:eastAsia="Calibri" w:hAnsi="Arial" w:cs="Arial"/>
          <w:sz w:val="20"/>
          <w:szCs w:val="20"/>
        </w:rPr>
        <w:t xml:space="preserve"> i rashodi za usluge (323) u iznosu </w:t>
      </w:r>
      <w:r w:rsidR="002F4731">
        <w:rPr>
          <w:rFonts w:ascii="Arial" w:eastAsia="Calibri" w:hAnsi="Arial" w:cs="Arial"/>
          <w:sz w:val="20"/>
          <w:szCs w:val="20"/>
        </w:rPr>
        <w:t>12.786,79</w:t>
      </w:r>
      <w:r w:rsidR="006B2821" w:rsidRPr="003A2F86">
        <w:rPr>
          <w:rFonts w:ascii="Arial" w:eastAsia="Calibri" w:hAnsi="Arial" w:cs="Arial"/>
          <w:sz w:val="20"/>
          <w:szCs w:val="20"/>
        </w:rPr>
        <w:t xml:space="preserve"> €</w:t>
      </w:r>
      <w:r w:rsidRPr="003A2F86">
        <w:rPr>
          <w:rFonts w:ascii="Arial" w:eastAsia="Calibri" w:hAnsi="Arial" w:cs="Arial"/>
          <w:sz w:val="20"/>
          <w:szCs w:val="20"/>
        </w:rPr>
        <w:t xml:space="preserve"> (</w:t>
      </w:r>
      <w:r w:rsidR="000D752C" w:rsidRPr="003A2F86">
        <w:rPr>
          <w:rFonts w:ascii="Arial" w:eastAsia="Calibri" w:hAnsi="Arial" w:cs="Arial"/>
          <w:sz w:val="20"/>
          <w:szCs w:val="20"/>
        </w:rPr>
        <w:t xml:space="preserve">usluge telefona, </w:t>
      </w:r>
      <w:r w:rsidRPr="003A2F86">
        <w:rPr>
          <w:rFonts w:ascii="Arial" w:eastAsia="Calibri" w:hAnsi="Arial" w:cs="Arial"/>
          <w:sz w:val="20"/>
          <w:szCs w:val="20"/>
        </w:rPr>
        <w:t>usluge tekućeg i investicijskog održavanja prijevoznih sredstava, održavanje objekta i opreme, komunalne usluge - voda, usluge tehničkog pregleda vozila</w:t>
      </w:r>
      <w:r w:rsidR="00E95217" w:rsidRPr="003A2F86">
        <w:rPr>
          <w:rFonts w:ascii="Arial" w:eastAsia="Calibri" w:hAnsi="Arial" w:cs="Arial"/>
          <w:sz w:val="20"/>
          <w:szCs w:val="20"/>
        </w:rPr>
        <w:t xml:space="preserve">, </w:t>
      </w:r>
      <w:r w:rsidR="00572437" w:rsidRPr="003A2F86">
        <w:rPr>
          <w:rFonts w:ascii="Arial" w:eastAsia="Calibri" w:hAnsi="Arial" w:cs="Arial"/>
          <w:sz w:val="20"/>
          <w:szCs w:val="20"/>
        </w:rPr>
        <w:t xml:space="preserve">zdravstveni pregledi djelatnika, </w:t>
      </w:r>
      <w:r w:rsidR="00E95217" w:rsidRPr="003A2F86">
        <w:rPr>
          <w:rFonts w:ascii="Arial" w:eastAsia="Calibri" w:hAnsi="Arial" w:cs="Arial"/>
          <w:sz w:val="20"/>
          <w:szCs w:val="20"/>
        </w:rPr>
        <w:t>ostale usluge certifikati i drugo</w:t>
      </w:r>
      <w:r w:rsidRPr="003A2F86">
        <w:rPr>
          <w:rFonts w:ascii="Arial" w:eastAsia="Calibri" w:hAnsi="Arial" w:cs="Arial"/>
          <w:sz w:val="20"/>
          <w:szCs w:val="20"/>
        </w:rPr>
        <w:t xml:space="preserve">), ostali nespomenuti rashodi poslovanja (329) u iznosu </w:t>
      </w:r>
      <w:r w:rsidR="002F4731">
        <w:rPr>
          <w:rFonts w:ascii="Arial" w:eastAsia="Calibri" w:hAnsi="Arial" w:cs="Arial"/>
          <w:sz w:val="20"/>
          <w:szCs w:val="20"/>
        </w:rPr>
        <w:t>63,72</w:t>
      </w:r>
      <w:r w:rsidR="006B2821" w:rsidRPr="003A2F86">
        <w:rPr>
          <w:rFonts w:ascii="Arial" w:eastAsia="Calibri" w:hAnsi="Arial" w:cs="Arial"/>
          <w:sz w:val="20"/>
          <w:szCs w:val="20"/>
        </w:rPr>
        <w:t xml:space="preserve"> €</w:t>
      </w:r>
      <w:r w:rsidRPr="003A2F86">
        <w:rPr>
          <w:rFonts w:ascii="Arial" w:eastAsia="Calibri" w:hAnsi="Arial" w:cs="Arial"/>
          <w:sz w:val="20"/>
          <w:szCs w:val="20"/>
        </w:rPr>
        <w:t xml:space="preserve"> (ostali nespomenuti rashodi </w:t>
      </w:r>
      <w:r w:rsidR="00F711A8" w:rsidRPr="003A2F86">
        <w:rPr>
          <w:rFonts w:ascii="Arial" w:eastAsia="Calibri" w:hAnsi="Arial" w:cs="Arial"/>
          <w:sz w:val="20"/>
          <w:szCs w:val="20"/>
        </w:rPr>
        <w:t>- HRT pristojba</w:t>
      </w:r>
      <w:r w:rsidR="00B97DD7" w:rsidRPr="003A2F86">
        <w:rPr>
          <w:rFonts w:ascii="Arial" w:eastAsia="Calibri" w:hAnsi="Arial" w:cs="Arial"/>
          <w:sz w:val="20"/>
          <w:szCs w:val="20"/>
        </w:rPr>
        <w:t xml:space="preserve">, </w:t>
      </w:r>
      <w:r w:rsidR="00623793" w:rsidRPr="003A2F86">
        <w:rPr>
          <w:rFonts w:ascii="Arial" w:eastAsia="Calibri" w:hAnsi="Arial" w:cs="Arial"/>
          <w:sz w:val="20"/>
          <w:szCs w:val="20"/>
        </w:rPr>
        <w:t>drugo</w:t>
      </w:r>
      <w:r w:rsidR="00757D8B" w:rsidRPr="003A2F86">
        <w:rPr>
          <w:rFonts w:ascii="Arial" w:eastAsia="Calibri" w:hAnsi="Arial" w:cs="Arial"/>
          <w:sz w:val="20"/>
          <w:szCs w:val="20"/>
        </w:rPr>
        <w:t>)</w:t>
      </w:r>
      <w:r w:rsidR="0055358B" w:rsidRPr="003A2F86">
        <w:rPr>
          <w:rFonts w:ascii="Arial" w:eastAsia="Calibri" w:hAnsi="Arial" w:cs="Arial"/>
          <w:sz w:val="20"/>
          <w:szCs w:val="20"/>
        </w:rPr>
        <w:t>,</w:t>
      </w:r>
      <w:r w:rsidR="00160CA2" w:rsidRPr="003A2F86">
        <w:rPr>
          <w:rFonts w:ascii="Arial" w:eastAsia="Calibri" w:hAnsi="Arial" w:cs="Arial"/>
          <w:sz w:val="20"/>
          <w:szCs w:val="20"/>
        </w:rPr>
        <w:t xml:space="preserve"> dok nije bilo </w:t>
      </w:r>
      <w:r w:rsidR="0055358B" w:rsidRPr="003A2F86">
        <w:rPr>
          <w:rFonts w:ascii="Arial" w:eastAsia="Calibri" w:hAnsi="Arial" w:cs="Arial"/>
          <w:sz w:val="20"/>
          <w:szCs w:val="20"/>
        </w:rPr>
        <w:t>rashod</w:t>
      </w:r>
      <w:r w:rsidR="00160CA2" w:rsidRPr="003A2F86">
        <w:rPr>
          <w:rFonts w:ascii="Arial" w:eastAsia="Calibri" w:hAnsi="Arial" w:cs="Arial"/>
          <w:sz w:val="20"/>
          <w:szCs w:val="20"/>
        </w:rPr>
        <w:t>a</w:t>
      </w:r>
      <w:r w:rsidR="0055358B" w:rsidRPr="003A2F86">
        <w:rPr>
          <w:rFonts w:ascii="Arial" w:eastAsia="Calibri" w:hAnsi="Arial" w:cs="Arial"/>
          <w:sz w:val="20"/>
          <w:szCs w:val="20"/>
        </w:rPr>
        <w:t xml:space="preserve"> za </w:t>
      </w:r>
      <w:r w:rsidR="00160CA2" w:rsidRPr="003A2F86">
        <w:rPr>
          <w:rFonts w:ascii="Arial" w:eastAsia="Calibri" w:hAnsi="Arial" w:cs="Arial"/>
          <w:sz w:val="20"/>
          <w:szCs w:val="20"/>
        </w:rPr>
        <w:t>opremu.</w:t>
      </w:r>
    </w:p>
    <w:p w14:paraId="43CC3E44" w14:textId="77777777" w:rsidR="00FD5B0B" w:rsidRPr="003A2F86" w:rsidRDefault="00FD5B0B" w:rsidP="00FD5B0B">
      <w:pPr>
        <w:spacing w:after="0" w:line="240" w:lineRule="auto"/>
        <w:rPr>
          <w:rFonts w:ascii="Arial" w:eastAsia="Calibri" w:hAnsi="Arial" w:cs="Arial"/>
          <w:sz w:val="20"/>
          <w:szCs w:val="20"/>
        </w:rPr>
      </w:pPr>
    </w:p>
    <w:p w14:paraId="2C6222AA" w14:textId="6E527D10" w:rsidR="00970591" w:rsidRPr="00970591" w:rsidRDefault="00FD5B0B" w:rsidP="00970591">
      <w:pPr>
        <w:autoSpaceDE w:val="0"/>
        <w:autoSpaceDN w:val="0"/>
        <w:adjustRightInd w:val="0"/>
        <w:spacing w:after="0" w:line="240" w:lineRule="auto"/>
        <w:jc w:val="both"/>
        <w:rPr>
          <w:rFonts w:ascii="Arial" w:eastAsia="Calibri" w:hAnsi="Arial" w:cs="Arial"/>
          <w:sz w:val="20"/>
          <w:szCs w:val="20"/>
        </w:rPr>
      </w:pPr>
      <w:r w:rsidRPr="003A2F86">
        <w:rPr>
          <w:rFonts w:ascii="Arial" w:eastAsia="Calibri" w:hAnsi="Arial" w:cs="Arial"/>
          <w:b/>
          <w:sz w:val="20"/>
          <w:szCs w:val="20"/>
        </w:rPr>
        <w:t xml:space="preserve">3. </w:t>
      </w:r>
      <w:r w:rsidR="0004293C" w:rsidRPr="003A2F86">
        <w:rPr>
          <w:rFonts w:ascii="Arial" w:eastAsia="Calibri" w:hAnsi="Arial" w:cs="Arial"/>
          <w:b/>
          <w:sz w:val="20"/>
          <w:szCs w:val="20"/>
        </w:rPr>
        <w:t>K207103: Nabava opreme za vatrogasnu postrojbu</w:t>
      </w:r>
      <w:r w:rsidR="0004293C" w:rsidRPr="003A2F86">
        <w:rPr>
          <w:rFonts w:ascii="Arial" w:eastAsia="Calibri" w:hAnsi="Arial" w:cs="Arial"/>
          <w:sz w:val="20"/>
          <w:szCs w:val="20"/>
        </w:rPr>
        <w:t xml:space="preserve"> - u sklopu projekta planiraju se rashodi za nabavu vatrogasne opreme u iznosu </w:t>
      </w:r>
      <w:r w:rsidR="00160CA2" w:rsidRPr="003A2F86">
        <w:rPr>
          <w:rFonts w:ascii="Arial" w:eastAsia="Calibri" w:hAnsi="Arial" w:cs="Arial"/>
          <w:sz w:val="20"/>
          <w:szCs w:val="20"/>
        </w:rPr>
        <w:t>1</w:t>
      </w:r>
      <w:r w:rsidR="00C90D33">
        <w:rPr>
          <w:rFonts w:ascii="Arial" w:eastAsia="Calibri" w:hAnsi="Arial" w:cs="Arial"/>
          <w:sz w:val="20"/>
          <w:szCs w:val="20"/>
        </w:rPr>
        <w:t>2.</w:t>
      </w:r>
      <w:r w:rsidR="00160CA2" w:rsidRPr="003A2F86">
        <w:rPr>
          <w:rFonts w:ascii="Arial" w:eastAsia="Calibri" w:hAnsi="Arial" w:cs="Arial"/>
          <w:sz w:val="20"/>
          <w:szCs w:val="20"/>
        </w:rPr>
        <w:t>000</w:t>
      </w:r>
      <w:r w:rsidR="006B2821" w:rsidRPr="003A2F86">
        <w:rPr>
          <w:rFonts w:ascii="Arial" w:eastAsia="Calibri" w:hAnsi="Arial" w:cs="Arial"/>
          <w:sz w:val="20"/>
          <w:szCs w:val="20"/>
        </w:rPr>
        <w:t xml:space="preserve"> €</w:t>
      </w:r>
      <w:r w:rsidR="0004293C" w:rsidRPr="003A2F86">
        <w:rPr>
          <w:rFonts w:ascii="Arial" w:eastAsia="Calibri" w:hAnsi="Arial" w:cs="Arial"/>
          <w:sz w:val="20"/>
          <w:szCs w:val="20"/>
        </w:rPr>
        <w:t xml:space="preserve">. </w:t>
      </w:r>
      <w:r w:rsidR="006B2821" w:rsidRPr="003A2F86">
        <w:rPr>
          <w:rFonts w:ascii="Arial" w:eastAsia="Calibri" w:hAnsi="Arial" w:cs="Arial"/>
          <w:sz w:val="20"/>
          <w:szCs w:val="20"/>
        </w:rPr>
        <w:t>Planira</w:t>
      </w:r>
      <w:r w:rsidR="00970591">
        <w:rPr>
          <w:rFonts w:ascii="Arial" w:eastAsia="Calibri" w:hAnsi="Arial" w:cs="Arial"/>
          <w:sz w:val="20"/>
          <w:szCs w:val="20"/>
        </w:rPr>
        <w:t xml:space="preserve">na je </w:t>
      </w:r>
      <w:r w:rsidR="006B2821" w:rsidRPr="003A2F86">
        <w:rPr>
          <w:rFonts w:ascii="Arial" w:eastAsia="Calibri" w:hAnsi="Arial" w:cs="Arial"/>
          <w:sz w:val="20"/>
          <w:szCs w:val="20"/>
        </w:rPr>
        <w:t>nabavka vatrogasne opreme i opreme za zaštitu požara zatvorenog prostora, te nabava nedostajuće vatrogasne armature. Rashodi su izvršeni</w:t>
      </w:r>
      <w:r w:rsidR="00970591">
        <w:rPr>
          <w:rFonts w:ascii="Arial" w:eastAsia="Calibri" w:hAnsi="Arial" w:cs="Arial"/>
          <w:sz w:val="20"/>
          <w:szCs w:val="20"/>
        </w:rPr>
        <w:t xml:space="preserve"> </w:t>
      </w:r>
      <w:r w:rsidR="00970591" w:rsidRPr="00970591">
        <w:rPr>
          <w:rFonts w:ascii="Arial" w:eastAsia="Calibri" w:hAnsi="Arial" w:cs="Arial"/>
          <w:sz w:val="20"/>
          <w:szCs w:val="20"/>
        </w:rPr>
        <w:t xml:space="preserve">u iznosu od </w:t>
      </w:r>
      <w:r w:rsidR="00C90D33">
        <w:rPr>
          <w:rFonts w:ascii="Arial" w:eastAsia="Calibri" w:hAnsi="Arial" w:cs="Arial"/>
          <w:sz w:val="20"/>
          <w:szCs w:val="20"/>
        </w:rPr>
        <w:t>1.382,50</w:t>
      </w:r>
      <w:r w:rsidR="00970591" w:rsidRPr="00970591">
        <w:rPr>
          <w:rFonts w:ascii="Arial" w:eastAsia="Calibri" w:hAnsi="Arial" w:cs="Arial"/>
          <w:sz w:val="20"/>
          <w:szCs w:val="20"/>
        </w:rPr>
        <w:t xml:space="preserve"> eura.</w:t>
      </w:r>
      <w:r w:rsidR="00970591">
        <w:rPr>
          <w:rFonts w:ascii="Arial" w:eastAsia="Calibri" w:hAnsi="Arial" w:cs="Arial"/>
          <w:sz w:val="20"/>
          <w:szCs w:val="20"/>
        </w:rPr>
        <w:t xml:space="preserve"> </w:t>
      </w:r>
      <w:r w:rsidR="00970591" w:rsidRPr="00970591">
        <w:rPr>
          <w:rFonts w:ascii="Arial" w:eastAsia="Calibri" w:hAnsi="Arial" w:cs="Arial"/>
          <w:sz w:val="20"/>
          <w:szCs w:val="20"/>
        </w:rPr>
        <w:t>Nabavljen</w:t>
      </w:r>
      <w:r w:rsidR="00C90D33">
        <w:rPr>
          <w:rFonts w:ascii="Arial" w:eastAsia="Calibri" w:hAnsi="Arial" w:cs="Arial"/>
          <w:sz w:val="20"/>
          <w:szCs w:val="20"/>
        </w:rPr>
        <w:t>e su radio stanice za vozila</w:t>
      </w:r>
      <w:r w:rsidR="00970591" w:rsidRPr="00970591">
        <w:rPr>
          <w:rFonts w:ascii="Arial" w:eastAsia="Calibri" w:hAnsi="Arial" w:cs="Arial"/>
          <w:sz w:val="20"/>
          <w:szCs w:val="20"/>
        </w:rPr>
        <w:t>.</w:t>
      </w:r>
    </w:p>
    <w:p w14:paraId="4BD899D1" w14:textId="77777777" w:rsidR="00970591" w:rsidRPr="00970591" w:rsidRDefault="00970591" w:rsidP="00970591">
      <w:pPr>
        <w:autoSpaceDE w:val="0"/>
        <w:autoSpaceDN w:val="0"/>
        <w:adjustRightInd w:val="0"/>
        <w:spacing w:after="0" w:line="240" w:lineRule="auto"/>
        <w:jc w:val="both"/>
        <w:rPr>
          <w:rFonts w:ascii="Arial" w:eastAsia="Calibri" w:hAnsi="Arial" w:cs="Arial"/>
          <w:sz w:val="20"/>
          <w:szCs w:val="20"/>
        </w:rPr>
      </w:pPr>
    </w:p>
    <w:p w14:paraId="2233FFA2" w14:textId="684EFF63" w:rsidR="00757D8B" w:rsidRPr="003D6583" w:rsidRDefault="00160CA2" w:rsidP="003D6583">
      <w:pPr>
        <w:spacing w:after="0" w:line="240" w:lineRule="auto"/>
        <w:ind w:left="567"/>
        <w:jc w:val="both"/>
        <w:rPr>
          <w:rFonts w:ascii="Arial" w:eastAsia="Calibri" w:hAnsi="Arial" w:cs="Arial"/>
          <w:bCs/>
          <w:sz w:val="18"/>
          <w:szCs w:val="18"/>
        </w:rPr>
      </w:pPr>
      <w:r w:rsidRPr="003D6583">
        <w:rPr>
          <w:rFonts w:ascii="Arial" w:eastAsia="Calibri" w:hAnsi="Arial" w:cs="Arial"/>
          <w:sz w:val="18"/>
          <w:szCs w:val="18"/>
        </w:rPr>
        <w:t>U 2022.</w:t>
      </w:r>
      <w:r w:rsidR="006B2821" w:rsidRPr="003D6583">
        <w:rPr>
          <w:rFonts w:ascii="Arial" w:eastAsia="Calibri" w:hAnsi="Arial" w:cs="Arial"/>
          <w:sz w:val="18"/>
          <w:szCs w:val="18"/>
        </w:rPr>
        <w:t xml:space="preserve"> godin</w:t>
      </w:r>
      <w:r w:rsidRPr="003D6583">
        <w:rPr>
          <w:rFonts w:ascii="Arial" w:eastAsia="Calibri" w:hAnsi="Arial" w:cs="Arial"/>
          <w:sz w:val="18"/>
          <w:szCs w:val="18"/>
        </w:rPr>
        <w:t>i</w:t>
      </w:r>
      <w:r w:rsidR="006B2821" w:rsidRPr="003D6583">
        <w:rPr>
          <w:rFonts w:ascii="Arial" w:eastAsia="Calibri" w:hAnsi="Arial" w:cs="Arial"/>
          <w:sz w:val="18"/>
          <w:szCs w:val="18"/>
        </w:rPr>
        <w:t xml:space="preserve"> n</w:t>
      </w:r>
      <w:r w:rsidR="00244A75" w:rsidRPr="003D6583">
        <w:rPr>
          <w:rFonts w:ascii="Arial" w:eastAsia="Calibri" w:hAnsi="Arial" w:cs="Arial"/>
          <w:sz w:val="18"/>
          <w:szCs w:val="18"/>
        </w:rPr>
        <w:t>abavljena je komunikacijska oprema (radio stanica) za navalno vozilo s duplom kabinom marke Man, kao i oprema za održavanje i zaštitu – nedostajuća vatrogasna armatura iz sredstava Hrvatske vatrogasne zajednice i Vatrogasne zajednice Dubrovačko neretvanske županije, te sredstava Općine</w:t>
      </w:r>
      <w:r w:rsidR="006B2821" w:rsidRPr="003D6583">
        <w:rPr>
          <w:rFonts w:ascii="Arial" w:eastAsia="Calibri" w:hAnsi="Arial" w:cs="Arial"/>
          <w:sz w:val="18"/>
          <w:szCs w:val="18"/>
        </w:rPr>
        <w:t xml:space="preserve"> (sveukupno u iznosu 3.096,66 €)</w:t>
      </w:r>
      <w:r w:rsidRPr="003D6583">
        <w:rPr>
          <w:rFonts w:ascii="Arial" w:eastAsia="Calibri" w:hAnsi="Arial" w:cs="Arial"/>
          <w:sz w:val="18"/>
          <w:szCs w:val="18"/>
        </w:rPr>
        <w:t xml:space="preserve">. U 2023. godini je nabavljena oprema u vrijednosti </w:t>
      </w:r>
      <w:r w:rsidRPr="003D6583">
        <w:rPr>
          <w:rFonts w:ascii="Arial" w:eastAsia="Calibri" w:hAnsi="Arial" w:cs="Arial"/>
          <w:bCs/>
          <w:sz w:val="18"/>
          <w:szCs w:val="18"/>
        </w:rPr>
        <w:t>13.018,44 € (komunikacijska oprema za vozila te vatrogasna oprema za održavanje i zaštitu).</w:t>
      </w:r>
    </w:p>
    <w:p w14:paraId="0C2C7B9A" w14:textId="77777777" w:rsidR="00160CA2" w:rsidRPr="003A2F86" w:rsidRDefault="00160CA2" w:rsidP="0004293C">
      <w:pPr>
        <w:spacing w:after="0" w:line="240" w:lineRule="auto"/>
        <w:jc w:val="both"/>
        <w:rPr>
          <w:rFonts w:ascii="Arial" w:eastAsia="Calibri" w:hAnsi="Arial" w:cs="Arial"/>
          <w:bCs/>
          <w:sz w:val="20"/>
          <w:szCs w:val="20"/>
        </w:rPr>
      </w:pPr>
    </w:p>
    <w:p w14:paraId="76CB7BD6" w14:textId="48B6A710" w:rsidR="0004293C" w:rsidRPr="003A2F86" w:rsidRDefault="0004293C" w:rsidP="0004293C">
      <w:pPr>
        <w:spacing w:after="0" w:line="240" w:lineRule="auto"/>
        <w:jc w:val="both"/>
        <w:rPr>
          <w:rFonts w:ascii="Arial" w:eastAsia="Calibri" w:hAnsi="Arial" w:cs="Arial"/>
          <w:sz w:val="20"/>
          <w:szCs w:val="20"/>
        </w:rPr>
      </w:pPr>
      <w:r w:rsidRPr="003A2F86">
        <w:rPr>
          <w:rFonts w:ascii="Arial" w:eastAsia="Calibri" w:hAnsi="Arial" w:cs="Arial"/>
          <w:b/>
          <w:sz w:val="20"/>
          <w:szCs w:val="20"/>
        </w:rPr>
        <w:t>4. A207104: Nabava zapovjednog vozila</w:t>
      </w:r>
      <w:r w:rsidRPr="003A2F86">
        <w:rPr>
          <w:rFonts w:ascii="Arial" w:eastAsia="Calibri" w:hAnsi="Arial" w:cs="Arial"/>
          <w:sz w:val="20"/>
          <w:szCs w:val="20"/>
        </w:rPr>
        <w:t xml:space="preserve"> - Proračunska sredstva ne planiraju se putem ove aktivnosti. </w:t>
      </w:r>
    </w:p>
    <w:p w14:paraId="54FD0522" w14:textId="5FAF7100" w:rsidR="00C47FD4" w:rsidRPr="003A2F86" w:rsidRDefault="00C47FD4" w:rsidP="00C47FD4">
      <w:pPr>
        <w:spacing w:after="0" w:line="240" w:lineRule="auto"/>
        <w:rPr>
          <w:rFonts w:ascii="Arial" w:eastAsia="Calibri" w:hAnsi="Arial" w:cs="Arial"/>
          <w:i/>
          <w:sz w:val="20"/>
          <w:szCs w:val="20"/>
        </w:rPr>
      </w:pPr>
      <w:r w:rsidRPr="003A2F86">
        <w:rPr>
          <w:rFonts w:ascii="Arial" w:eastAsia="Calibri" w:hAnsi="Arial" w:cs="Arial"/>
          <w:i/>
          <w:sz w:val="20"/>
          <w:szCs w:val="20"/>
        </w:rPr>
        <w:t xml:space="preserve">U 2017. nabavljeno je osobno zapovjedno vozio u iznosu 86.825,00 kn / 11.523,66 </w:t>
      </w:r>
      <w:r w:rsidR="0094285B" w:rsidRPr="003A2F86">
        <w:rPr>
          <w:rFonts w:ascii="Arial" w:eastAsia="Calibri" w:hAnsi="Arial" w:cs="Arial"/>
          <w:i/>
          <w:sz w:val="20"/>
          <w:szCs w:val="20"/>
        </w:rPr>
        <w:t>€</w:t>
      </w:r>
      <w:r w:rsidRPr="003A2F86">
        <w:rPr>
          <w:rFonts w:ascii="Arial" w:eastAsia="Calibri" w:hAnsi="Arial" w:cs="Arial"/>
          <w:i/>
          <w:sz w:val="20"/>
          <w:szCs w:val="20"/>
        </w:rPr>
        <w:t>.</w:t>
      </w:r>
    </w:p>
    <w:p w14:paraId="70DF47B1" w14:textId="77777777" w:rsidR="0004293C" w:rsidRPr="003A2F86" w:rsidRDefault="0004293C" w:rsidP="00C47FD4">
      <w:pPr>
        <w:spacing w:after="0" w:line="240" w:lineRule="auto"/>
        <w:jc w:val="both"/>
        <w:rPr>
          <w:rFonts w:ascii="Arial" w:eastAsia="Calibri" w:hAnsi="Arial" w:cs="Arial"/>
          <w:sz w:val="20"/>
          <w:szCs w:val="20"/>
        </w:rPr>
      </w:pPr>
    </w:p>
    <w:p w14:paraId="40CE4105" w14:textId="77777777" w:rsidR="0004293C" w:rsidRPr="00DA693C" w:rsidRDefault="0004293C" w:rsidP="0004293C">
      <w:pPr>
        <w:spacing w:after="0" w:line="240" w:lineRule="auto"/>
        <w:jc w:val="both"/>
        <w:rPr>
          <w:rFonts w:ascii="Arial" w:eastAsia="Calibri" w:hAnsi="Arial" w:cs="Arial"/>
          <w:sz w:val="20"/>
          <w:szCs w:val="20"/>
        </w:rPr>
      </w:pPr>
      <w:r w:rsidRPr="00DA693C">
        <w:rPr>
          <w:rFonts w:ascii="Arial" w:eastAsia="Calibri" w:hAnsi="Arial" w:cs="Arial"/>
          <w:b/>
          <w:sz w:val="20"/>
          <w:szCs w:val="20"/>
        </w:rPr>
        <w:t>5. T207107: Nabava vatrogasnog vozila</w:t>
      </w:r>
      <w:r w:rsidRPr="00DA693C">
        <w:rPr>
          <w:rFonts w:ascii="Arial" w:eastAsia="Calibri" w:hAnsi="Arial" w:cs="Arial"/>
          <w:sz w:val="20"/>
          <w:szCs w:val="20"/>
        </w:rPr>
        <w:t xml:space="preserve"> </w:t>
      </w:r>
      <w:r w:rsidRPr="00DA693C">
        <w:rPr>
          <w:rFonts w:ascii="Arial" w:eastAsia="Calibri" w:hAnsi="Arial" w:cs="Arial"/>
          <w:b/>
          <w:sz w:val="20"/>
          <w:szCs w:val="20"/>
        </w:rPr>
        <w:t>– autocisterna</w:t>
      </w:r>
      <w:r w:rsidRPr="00DA693C">
        <w:rPr>
          <w:rFonts w:ascii="Arial" w:eastAsia="Calibri" w:hAnsi="Arial" w:cs="Arial"/>
          <w:sz w:val="20"/>
          <w:szCs w:val="20"/>
        </w:rPr>
        <w:t xml:space="preserve"> - u sklopu aktivnosti ne planiraju se rashodi. </w:t>
      </w:r>
    </w:p>
    <w:p w14:paraId="43A13010" w14:textId="77777777" w:rsidR="00815E54" w:rsidRPr="00DA693C" w:rsidRDefault="00815E54" w:rsidP="0004293C">
      <w:pPr>
        <w:spacing w:after="0" w:line="240" w:lineRule="auto"/>
        <w:jc w:val="both"/>
        <w:rPr>
          <w:rFonts w:ascii="Arial" w:eastAsia="Calibri" w:hAnsi="Arial" w:cs="Arial"/>
          <w:sz w:val="20"/>
          <w:szCs w:val="20"/>
        </w:rPr>
      </w:pPr>
    </w:p>
    <w:p w14:paraId="793D38F9" w14:textId="77777777" w:rsidR="00C47FD4" w:rsidRPr="003D6583" w:rsidRDefault="00C47FD4" w:rsidP="003D6583">
      <w:pPr>
        <w:spacing w:after="0" w:line="240" w:lineRule="auto"/>
        <w:ind w:left="567"/>
        <w:rPr>
          <w:rFonts w:ascii="Arial" w:eastAsia="Calibri" w:hAnsi="Arial" w:cs="Arial"/>
          <w:i/>
          <w:sz w:val="18"/>
          <w:szCs w:val="18"/>
        </w:rPr>
      </w:pPr>
      <w:r w:rsidRPr="003D6583">
        <w:rPr>
          <w:rFonts w:ascii="Arial" w:eastAsia="Calibri" w:hAnsi="Arial" w:cs="Arial"/>
          <w:i/>
          <w:sz w:val="18"/>
          <w:szCs w:val="18"/>
        </w:rPr>
        <w:t>U prosincu 2019. dobivena je od Ministarstva gospodarstva, poduzetništva i obrta vatrogasna cisterna na privremeno korištenje na temelju Ugovora o smještaju, čuvanju i održavanju opreme (rok četiri godine).</w:t>
      </w:r>
    </w:p>
    <w:p w14:paraId="3CBF9554" w14:textId="77777777" w:rsidR="00C47FD4" w:rsidRPr="003D6583" w:rsidRDefault="00C47FD4" w:rsidP="003D6583">
      <w:pPr>
        <w:spacing w:after="0" w:line="240" w:lineRule="auto"/>
        <w:ind w:left="567"/>
        <w:rPr>
          <w:rFonts w:ascii="Arial" w:eastAsia="Calibri" w:hAnsi="Arial" w:cs="Arial"/>
          <w:sz w:val="18"/>
          <w:szCs w:val="18"/>
        </w:rPr>
      </w:pPr>
    </w:p>
    <w:p w14:paraId="1CD08E83" w14:textId="092BB74E" w:rsidR="00C47FD4" w:rsidRPr="003D6583" w:rsidRDefault="00C47FD4" w:rsidP="003D6583">
      <w:pPr>
        <w:spacing w:after="0" w:line="240" w:lineRule="auto"/>
        <w:ind w:left="567"/>
        <w:rPr>
          <w:rFonts w:ascii="Arial" w:eastAsia="Calibri" w:hAnsi="Arial" w:cs="Arial"/>
          <w:sz w:val="18"/>
          <w:szCs w:val="18"/>
        </w:rPr>
      </w:pPr>
      <w:r w:rsidRPr="003D6583">
        <w:rPr>
          <w:rFonts w:ascii="Arial" w:eastAsia="Calibri" w:hAnsi="Arial" w:cs="Arial"/>
          <w:sz w:val="18"/>
          <w:szCs w:val="18"/>
        </w:rPr>
        <w:t xml:space="preserve">(U 2017. i 2018. nabava novog vatrogasnog vozila (cisterna s nadogradnjom ukupne vrijednosti 708.855,31 kn / 94.081,27 </w:t>
      </w:r>
      <w:r w:rsidR="0094285B" w:rsidRPr="003D6583">
        <w:rPr>
          <w:rFonts w:ascii="Arial" w:eastAsia="Calibri" w:hAnsi="Arial" w:cs="Arial"/>
          <w:sz w:val="18"/>
          <w:szCs w:val="18"/>
        </w:rPr>
        <w:t>€</w:t>
      </w:r>
      <w:r w:rsidRPr="003D6583">
        <w:rPr>
          <w:rFonts w:ascii="Arial" w:eastAsia="Calibri" w:hAnsi="Arial" w:cs="Arial"/>
          <w:sz w:val="18"/>
          <w:szCs w:val="18"/>
        </w:rPr>
        <w:t>).</w:t>
      </w:r>
    </w:p>
    <w:p w14:paraId="07F7E6A6" w14:textId="151078C3" w:rsidR="00C47FD4" w:rsidRPr="003D6583" w:rsidRDefault="00C47FD4" w:rsidP="003D6583">
      <w:pPr>
        <w:spacing w:after="0" w:line="240" w:lineRule="auto"/>
        <w:ind w:left="567"/>
        <w:rPr>
          <w:rFonts w:ascii="Arial" w:eastAsia="Calibri" w:hAnsi="Arial" w:cs="Arial"/>
          <w:i/>
          <w:sz w:val="18"/>
          <w:szCs w:val="18"/>
        </w:rPr>
      </w:pPr>
      <w:r w:rsidRPr="003D6583">
        <w:rPr>
          <w:rFonts w:ascii="Arial" w:eastAsia="Calibri" w:hAnsi="Arial" w:cs="Arial"/>
          <w:i/>
          <w:sz w:val="18"/>
          <w:szCs w:val="18"/>
        </w:rPr>
        <w:t xml:space="preserve">*U 2017. nabavljeno je novo vatrogasno vozilo (cisterna) u iznosu 248.125 kn / 32.931,85 </w:t>
      </w:r>
      <w:r w:rsidR="0094285B" w:rsidRPr="003D6583">
        <w:rPr>
          <w:rFonts w:ascii="Arial" w:eastAsia="Calibri" w:hAnsi="Arial" w:cs="Arial"/>
          <w:i/>
          <w:sz w:val="18"/>
          <w:szCs w:val="18"/>
        </w:rPr>
        <w:t>€</w:t>
      </w:r>
      <w:r w:rsidRPr="003D6583">
        <w:rPr>
          <w:rFonts w:ascii="Arial" w:eastAsia="Calibri" w:hAnsi="Arial" w:cs="Arial"/>
          <w:i/>
          <w:sz w:val="18"/>
          <w:szCs w:val="18"/>
        </w:rPr>
        <w:t>, odnosno nabavljeno je podvozje za vozilo autocisternu.</w:t>
      </w:r>
    </w:p>
    <w:p w14:paraId="4C58247A" w14:textId="0E48E7FC" w:rsidR="00C47FD4" w:rsidRPr="003D6583" w:rsidRDefault="00C47FD4" w:rsidP="003D6583">
      <w:pPr>
        <w:spacing w:after="0" w:line="240" w:lineRule="auto"/>
        <w:ind w:left="567"/>
        <w:rPr>
          <w:rFonts w:ascii="Arial" w:eastAsia="Calibri" w:hAnsi="Arial" w:cs="Arial"/>
          <w:i/>
          <w:sz w:val="18"/>
          <w:szCs w:val="18"/>
        </w:rPr>
      </w:pPr>
      <w:r w:rsidRPr="003D6583">
        <w:rPr>
          <w:rFonts w:ascii="Arial" w:eastAsia="Calibri" w:hAnsi="Arial" w:cs="Arial"/>
          <w:i/>
          <w:sz w:val="18"/>
          <w:szCs w:val="18"/>
        </w:rPr>
        <w:t xml:space="preserve">*U 2018. je nabavljeno vatrogasno vozilo koje je nadograđeno u skladu s vatrogasnim standardima (vozila 247.858,75 kn / 32.896,51 </w:t>
      </w:r>
      <w:r w:rsidR="0094285B" w:rsidRPr="003D6583">
        <w:rPr>
          <w:rFonts w:ascii="Arial" w:eastAsia="Calibri" w:hAnsi="Arial" w:cs="Arial"/>
          <w:i/>
          <w:sz w:val="18"/>
          <w:szCs w:val="18"/>
        </w:rPr>
        <w:t>€</w:t>
      </w:r>
      <w:r w:rsidRPr="003D6583">
        <w:rPr>
          <w:rFonts w:ascii="Arial" w:eastAsia="Calibri" w:hAnsi="Arial" w:cs="Arial"/>
          <w:i/>
          <w:sz w:val="18"/>
          <w:szCs w:val="18"/>
        </w:rPr>
        <w:t xml:space="preserve">, nadogradnja vatrogasne pumpe, crijeva i krovnog topa 133.149,06 kn / 17.601,83 </w:t>
      </w:r>
      <w:r w:rsidR="0094285B" w:rsidRPr="003D6583">
        <w:rPr>
          <w:rFonts w:ascii="Arial" w:eastAsia="Calibri" w:hAnsi="Arial" w:cs="Arial"/>
          <w:i/>
          <w:sz w:val="18"/>
          <w:szCs w:val="18"/>
        </w:rPr>
        <w:t>€</w:t>
      </w:r>
      <w:r w:rsidRPr="003D6583">
        <w:rPr>
          <w:rFonts w:ascii="Arial" w:eastAsia="Calibri" w:hAnsi="Arial" w:cs="Arial"/>
          <w:i/>
          <w:sz w:val="18"/>
          <w:szCs w:val="18"/>
        </w:rPr>
        <w:t xml:space="preserve">, prilagodba pogona kardana i vozila za nadogradnju 79.722,50 kn / 10.580,99 </w:t>
      </w:r>
      <w:r w:rsidR="0094285B" w:rsidRPr="003D6583">
        <w:rPr>
          <w:rFonts w:ascii="Arial" w:eastAsia="Calibri" w:hAnsi="Arial" w:cs="Arial"/>
          <w:i/>
          <w:sz w:val="18"/>
          <w:szCs w:val="18"/>
        </w:rPr>
        <w:t>€</w:t>
      </w:r>
      <w:r w:rsidRPr="003D6583">
        <w:rPr>
          <w:rFonts w:ascii="Arial" w:eastAsia="Calibri" w:hAnsi="Arial" w:cs="Arial"/>
          <w:i/>
          <w:sz w:val="18"/>
          <w:szCs w:val="18"/>
        </w:rPr>
        <w:t>).</w:t>
      </w:r>
    </w:p>
    <w:p w14:paraId="391FD10F" w14:textId="77777777" w:rsidR="0004293C" w:rsidRPr="00DA693C" w:rsidRDefault="0004293C" w:rsidP="00C47FD4">
      <w:pPr>
        <w:spacing w:after="0" w:line="240" w:lineRule="auto"/>
        <w:jc w:val="both"/>
        <w:rPr>
          <w:rFonts w:ascii="Arial" w:eastAsia="Calibri" w:hAnsi="Arial" w:cs="Arial"/>
          <w:sz w:val="20"/>
          <w:szCs w:val="20"/>
        </w:rPr>
      </w:pPr>
    </w:p>
    <w:p w14:paraId="14A40FF5" w14:textId="77777777" w:rsidR="0004293C" w:rsidRPr="00DA693C" w:rsidRDefault="0004293C" w:rsidP="0004293C">
      <w:pPr>
        <w:spacing w:after="0" w:line="240" w:lineRule="auto"/>
        <w:jc w:val="both"/>
        <w:rPr>
          <w:rFonts w:ascii="Arial" w:eastAsia="Calibri" w:hAnsi="Arial" w:cs="Arial"/>
          <w:sz w:val="20"/>
          <w:szCs w:val="20"/>
        </w:rPr>
      </w:pPr>
      <w:r w:rsidRPr="00DA693C">
        <w:rPr>
          <w:rFonts w:ascii="Arial" w:eastAsia="Calibri" w:hAnsi="Arial" w:cs="Arial"/>
          <w:b/>
          <w:sz w:val="20"/>
          <w:szCs w:val="20"/>
        </w:rPr>
        <w:t>6. T207108: Nabava vatrogasnog vozila</w:t>
      </w:r>
      <w:r w:rsidRPr="00DA693C">
        <w:rPr>
          <w:rFonts w:ascii="Arial" w:eastAsia="Calibri" w:hAnsi="Arial" w:cs="Arial"/>
          <w:sz w:val="20"/>
          <w:szCs w:val="20"/>
        </w:rPr>
        <w:t xml:space="preserve"> </w:t>
      </w:r>
      <w:r w:rsidRPr="00DA693C">
        <w:rPr>
          <w:rFonts w:ascii="Arial" w:eastAsia="Calibri" w:hAnsi="Arial" w:cs="Arial"/>
          <w:b/>
          <w:sz w:val="20"/>
          <w:szCs w:val="20"/>
        </w:rPr>
        <w:t>– kombinirano vozilo (voda, pjena, prah) s duplom kabinom</w:t>
      </w:r>
      <w:r w:rsidRPr="00DA693C">
        <w:rPr>
          <w:rFonts w:ascii="Arial" w:eastAsia="Calibri" w:hAnsi="Arial" w:cs="Arial"/>
          <w:sz w:val="20"/>
          <w:szCs w:val="20"/>
        </w:rPr>
        <w:t xml:space="preserve"> - </w:t>
      </w:r>
      <w:r w:rsidR="00E45952" w:rsidRPr="00DA693C">
        <w:rPr>
          <w:rFonts w:ascii="Arial" w:eastAsia="Calibri" w:hAnsi="Arial" w:cs="Arial"/>
          <w:sz w:val="20"/>
          <w:szCs w:val="20"/>
        </w:rPr>
        <w:t xml:space="preserve">u sklopu aktivnosti ne planiraju se rashodi. </w:t>
      </w:r>
    </w:p>
    <w:p w14:paraId="7504E5DE" w14:textId="77777777" w:rsidR="00E45952" w:rsidRPr="00DA693C" w:rsidRDefault="00E45952" w:rsidP="0004293C">
      <w:pPr>
        <w:spacing w:after="0" w:line="240" w:lineRule="auto"/>
        <w:jc w:val="both"/>
        <w:rPr>
          <w:rFonts w:ascii="Arial" w:eastAsia="Calibri" w:hAnsi="Arial" w:cs="Arial"/>
          <w:sz w:val="20"/>
          <w:szCs w:val="20"/>
        </w:rPr>
      </w:pPr>
    </w:p>
    <w:p w14:paraId="57F37ADF" w14:textId="270296C8" w:rsidR="0004293C" w:rsidRPr="00DA693C" w:rsidRDefault="0004293C" w:rsidP="0004293C">
      <w:pPr>
        <w:spacing w:after="0" w:line="240" w:lineRule="auto"/>
        <w:rPr>
          <w:rFonts w:ascii="Arial" w:eastAsia="Calibri" w:hAnsi="Arial" w:cs="Arial"/>
          <w:sz w:val="20"/>
          <w:szCs w:val="20"/>
        </w:rPr>
      </w:pPr>
      <w:r w:rsidRPr="00DA693C">
        <w:rPr>
          <w:rFonts w:ascii="Arial" w:eastAsia="Calibri" w:hAnsi="Arial" w:cs="Arial"/>
          <w:b/>
          <w:sz w:val="20"/>
          <w:szCs w:val="20"/>
        </w:rPr>
        <w:t>7. T207109: Nabava šumskog radnog vozila</w:t>
      </w:r>
      <w:r w:rsidRPr="00DA693C">
        <w:rPr>
          <w:rFonts w:ascii="Arial" w:eastAsia="Calibri" w:hAnsi="Arial" w:cs="Arial"/>
          <w:sz w:val="20"/>
          <w:szCs w:val="20"/>
        </w:rPr>
        <w:t xml:space="preserve"> - </w:t>
      </w:r>
      <w:r w:rsidR="00FD5B0B" w:rsidRPr="00DA693C">
        <w:rPr>
          <w:rFonts w:ascii="Arial" w:eastAsia="Calibri" w:hAnsi="Arial" w:cs="Arial"/>
          <w:sz w:val="20"/>
          <w:szCs w:val="20"/>
        </w:rPr>
        <w:t xml:space="preserve">Proračunska sredstva ne planiraju se putem ove aktivnosti. </w:t>
      </w:r>
    </w:p>
    <w:p w14:paraId="7AFC9D7C" w14:textId="77777777" w:rsidR="003D6583" w:rsidRDefault="003D6583" w:rsidP="00C47FD4">
      <w:pPr>
        <w:spacing w:after="0" w:line="240" w:lineRule="auto"/>
        <w:jc w:val="both"/>
        <w:rPr>
          <w:rFonts w:ascii="Arial" w:eastAsia="Calibri" w:hAnsi="Arial" w:cs="Arial"/>
          <w:i/>
          <w:sz w:val="20"/>
          <w:szCs w:val="20"/>
          <w:lang w:eastAsia="en-US"/>
        </w:rPr>
      </w:pPr>
    </w:p>
    <w:p w14:paraId="698A004C" w14:textId="59ADC8C9" w:rsidR="00C47FD4" w:rsidRPr="003D6583" w:rsidRDefault="00C47FD4" w:rsidP="003D6583">
      <w:pPr>
        <w:spacing w:after="0" w:line="240" w:lineRule="auto"/>
        <w:ind w:left="567"/>
        <w:jc w:val="both"/>
        <w:rPr>
          <w:rFonts w:ascii="Arial" w:eastAsia="Calibri" w:hAnsi="Arial" w:cs="Arial"/>
          <w:i/>
          <w:sz w:val="18"/>
          <w:szCs w:val="18"/>
          <w:lang w:eastAsia="en-US"/>
        </w:rPr>
      </w:pPr>
      <w:r w:rsidRPr="003D6583">
        <w:rPr>
          <w:rFonts w:ascii="Arial" w:eastAsia="Calibri" w:hAnsi="Arial" w:cs="Arial"/>
          <w:i/>
          <w:sz w:val="18"/>
          <w:szCs w:val="18"/>
          <w:lang w:eastAsia="en-US"/>
        </w:rPr>
        <w:t>(Vozilo nabavljeno putem Općine u 2018.</w:t>
      </w:r>
      <w:r w:rsidRPr="003D6583">
        <w:rPr>
          <w:rFonts w:ascii="Times New Roman" w:eastAsia="Times New Roman" w:hAnsi="Times New Roman" w:cs="Times New Roman"/>
          <w:i/>
          <w:sz w:val="18"/>
          <w:szCs w:val="18"/>
          <w:lang w:eastAsia="en-US"/>
        </w:rPr>
        <w:t xml:space="preserve"> u vrijednosti </w:t>
      </w:r>
      <w:r w:rsidRPr="003D6583">
        <w:rPr>
          <w:rFonts w:ascii="Arial" w:eastAsia="Calibri" w:hAnsi="Arial" w:cs="Arial"/>
          <w:i/>
          <w:sz w:val="18"/>
          <w:szCs w:val="18"/>
          <w:lang w:eastAsia="en-US"/>
        </w:rPr>
        <w:t xml:space="preserve">335.187,50 kn / 44.487,03 </w:t>
      </w:r>
      <w:r w:rsidR="0094285B" w:rsidRPr="003D6583">
        <w:rPr>
          <w:rFonts w:ascii="Arial" w:eastAsia="Calibri" w:hAnsi="Arial" w:cs="Arial"/>
          <w:i/>
          <w:sz w:val="18"/>
          <w:szCs w:val="18"/>
          <w:lang w:eastAsia="en-US"/>
        </w:rPr>
        <w:t>€</w:t>
      </w:r>
      <w:r w:rsidRPr="003D6583">
        <w:rPr>
          <w:rFonts w:ascii="Arial" w:eastAsia="Calibri" w:hAnsi="Arial" w:cs="Arial"/>
          <w:i/>
          <w:sz w:val="18"/>
          <w:szCs w:val="18"/>
          <w:lang w:eastAsia="en-US"/>
        </w:rPr>
        <w:t xml:space="preserve">. U lipnju 2018. je ugovorena nabava vozila UNIMOG U300 (vozilo za zimsku službu i košenje) u iznosu 249.000 kn / 33.047,98 </w:t>
      </w:r>
      <w:r w:rsidR="0094285B" w:rsidRPr="003D6583">
        <w:rPr>
          <w:rFonts w:ascii="Arial" w:eastAsia="Calibri" w:hAnsi="Arial" w:cs="Arial"/>
          <w:i/>
          <w:sz w:val="18"/>
          <w:szCs w:val="18"/>
          <w:lang w:eastAsia="en-US"/>
        </w:rPr>
        <w:t>€</w:t>
      </w:r>
      <w:r w:rsidRPr="003D6583">
        <w:rPr>
          <w:rFonts w:ascii="Arial" w:eastAsia="Calibri" w:hAnsi="Arial" w:cs="Arial"/>
          <w:i/>
          <w:sz w:val="18"/>
          <w:szCs w:val="18"/>
          <w:lang w:eastAsia="en-US"/>
        </w:rPr>
        <w:t xml:space="preserve"> nakon čega je obavljena nadogradnja vozila u iznosu 86.187,50 kn / 11.439,05 </w:t>
      </w:r>
      <w:r w:rsidR="0094285B" w:rsidRPr="003D6583">
        <w:rPr>
          <w:rFonts w:ascii="Arial" w:eastAsia="Calibri" w:hAnsi="Arial" w:cs="Arial"/>
          <w:i/>
          <w:sz w:val="18"/>
          <w:szCs w:val="18"/>
          <w:lang w:eastAsia="en-US"/>
        </w:rPr>
        <w:t>€</w:t>
      </w:r>
      <w:r w:rsidRPr="003D6583">
        <w:rPr>
          <w:rFonts w:ascii="Arial" w:eastAsia="Calibri" w:hAnsi="Arial" w:cs="Arial"/>
          <w:i/>
          <w:sz w:val="18"/>
          <w:szCs w:val="18"/>
          <w:lang w:eastAsia="en-US"/>
        </w:rPr>
        <w:t>. Vozilo je ustupljeno vatrogasnoj postrojbi bez naknade.)</w:t>
      </w:r>
    </w:p>
    <w:p w14:paraId="6E3A5C04" w14:textId="77777777" w:rsidR="00C47FD4" w:rsidRPr="00DA693C" w:rsidRDefault="00C47FD4" w:rsidP="00C47FD4">
      <w:pPr>
        <w:spacing w:after="0" w:line="240" w:lineRule="auto"/>
        <w:jc w:val="both"/>
        <w:rPr>
          <w:rFonts w:ascii="Arial" w:eastAsia="Calibri" w:hAnsi="Arial" w:cs="Arial"/>
          <w:sz w:val="20"/>
          <w:szCs w:val="20"/>
          <w:lang w:eastAsia="en-US"/>
        </w:rPr>
      </w:pPr>
    </w:p>
    <w:p w14:paraId="087D594C" w14:textId="77777777" w:rsidR="00B75C9E" w:rsidRPr="00DA693C" w:rsidRDefault="00B75C9E" w:rsidP="00B75C9E">
      <w:pPr>
        <w:spacing w:after="0" w:line="240" w:lineRule="auto"/>
        <w:jc w:val="both"/>
        <w:rPr>
          <w:rFonts w:ascii="Arial" w:eastAsia="Calibri" w:hAnsi="Arial" w:cs="Arial"/>
          <w:sz w:val="20"/>
          <w:szCs w:val="20"/>
        </w:rPr>
      </w:pPr>
      <w:r w:rsidRPr="00DA693C">
        <w:rPr>
          <w:rFonts w:ascii="Arial" w:eastAsia="Calibri" w:hAnsi="Arial" w:cs="Arial"/>
          <w:b/>
          <w:sz w:val="20"/>
          <w:szCs w:val="20"/>
        </w:rPr>
        <w:t>8. T207110: Nabava vozila za prijevoz vatrogasaca</w:t>
      </w:r>
      <w:r w:rsidRPr="00DA693C">
        <w:rPr>
          <w:rFonts w:ascii="Arial" w:eastAsia="Calibri" w:hAnsi="Arial" w:cs="Arial"/>
          <w:sz w:val="20"/>
          <w:szCs w:val="20"/>
        </w:rPr>
        <w:t xml:space="preserve"> - u sklopu aktivnosti ne planiraju se rashodi.</w:t>
      </w:r>
    </w:p>
    <w:p w14:paraId="10E62D7E" w14:textId="77777777" w:rsidR="003D6583" w:rsidRPr="00F12DCA" w:rsidRDefault="003D6583" w:rsidP="00C47FD4">
      <w:pPr>
        <w:spacing w:after="0" w:line="240" w:lineRule="auto"/>
        <w:jc w:val="both"/>
        <w:rPr>
          <w:rFonts w:ascii="Arial" w:eastAsia="Calibri" w:hAnsi="Arial" w:cs="Arial"/>
          <w:iCs/>
          <w:sz w:val="18"/>
          <w:szCs w:val="18"/>
          <w:lang w:eastAsia="en-US"/>
        </w:rPr>
      </w:pPr>
    </w:p>
    <w:p w14:paraId="1BBD9ED1" w14:textId="66456FFD" w:rsidR="00C47FD4" w:rsidRPr="003D6583" w:rsidRDefault="00C47FD4" w:rsidP="003D6583">
      <w:pPr>
        <w:spacing w:after="0" w:line="240" w:lineRule="auto"/>
        <w:ind w:left="567"/>
        <w:jc w:val="both"/>
        <w:rPr>
          <w:rFonts w:ascii="Arial" w:eastAsia="Calibri" w:hAnsi="Arial" w:cs="Arial"/>
          <w:i/>
          <w:sz w:val="18"/>
          <w:szCs w:val="18"/>
          <w:lang w:eastAsia="en-US"/>
        </w:rPr>
      </w:pPr>
      <w:r w:rsidRPr="003D6583">
        <w:rPr>
          <w:rFonts w:ascii="Arial" w:eastAsia="Calibri" w:hAnsi="Arial" w:cs="Arial"/>
          <w:i/>
          <w:sz w:val="18"/>
          <w:szCs w:val="18"/>
          <w:lang w:eastAsia="en-US"/>
        </w:rPr>
        <w:t xml:space="preserve">U rujnu 2019., na temelju zaključenog ugovora, dobiveno je na korištenje vozilo za prijevoz vatrogasaca – transporter kombi (marka VW Transporter 2.0) od Hrvatske vatrogasne zajednice na neodređeno vrijeme (vrijednost vozila 243.936,73 kn / 32.375,97 </w:t>
      </w:r>
      <w:r w:rsidR="0094285B" w:rsidRPr="003D6583">
        <w:rPr>
          <w:rFonts w:ascii="Arial" w:eastAsia="Calibri" w:hAnsi="Arial" w:cs="Arial"/>
          <w:i/>
          <w:sz w:val="18"/>
          <w:szCs w:val="18"/>
          <w:lang w:eastAsia="en-US"/>
        </w:rPr>
        <w:t>€</w:t>
      </w:r>
      <w:r w:rsidRPr="003D6583">
        <w:rPr>
          <w:rFonts w:ascii="Arial" w:eastAsia="Calibri" w:hAnsi="Arial" w:cs="Arial"/>
          <w:i/>
          <w:sz w:val="18"/>
          <w:szCs w:val="18"/>
          <w:lang w:eastAsia="en-US"/>
        </w:rPr>
        <w:t xml:space="preserve">). Ministarstvo poljoprivrede je nabavilo vozila i prenijelo u vlasništvo Hrvatskoj vatrogasnoj zajednici za potrebe vatrogasnih organizacija u RH. </w:t>
      </w:r>
    </w:p>
    <w:p w14:paraId="248AE073" w14:textId="77777777" w:rsidR="00815E54" w:rsidRPr="00DA693C" w:rsidRDefault="00815E54" w:rsidP="00C47FD4">
      <w:pPr>
        <w:spacing w:after="0" w:line="240" w:lineRule="auto"/>
        <w:jc w:val="both"/>
        <w:rPr>
          <w:rFonts w:ascii="Arial" w:eastAsia="Calibri" w:hAnsi="Arial" w:cs="Arial"/>
          <w:sz w:val="20"/>
          <w:szCs w:val="20"/>
        </w:rPr>
      </w:pPr>
    </w:p>
    <w:p w14:paraId="7ED150D3" w14:textId="545C9810" w:rsidR="0008074D" w:rsidRPr="00DA693C" w:rsidRDefault="0008074D" w:rsidP="00C47FD4">
      <w:pPr>
        <w:spacing w:after="0" w:line="240" w:lineRule="auto"/>
        <w:jc w:val="both"/>
        <w:rPr>
          <w:rFonts w:ascii="Arial" w:eastAsia="Calibri" w:hAnsi="Arial" w:cs="Arial"/>
          <w:sz w:val="20"/>
          <w:szCs w:val="20"/>
          <w:lang w:eastAsia="en-US"/>
        </w:rPr>
      </w:pPr>
      <w:r w:rsidRPr="00DA693C">
        <w:rPr>
          <w:rFonts w:ascii="Arial" w:eastAsia="Calibri" w:hAnsi="Arial" w:cs="Arial"/>
          <w:b/>
          <w:sz w:val="20"/>
          <w:szCs w:val="20"/>
        </w:rPr>
        <w:t>9. T207111: Nabava vatrogasnog vozila - autoljestve</w:t>
      </w:r>
      <w:r w:rsidRPr="00DA693C">
        <w:rPr>
          <w:rFonts w:ascii="Arial" w:eastAsia="Calibri" w:hAnsi="Arial" w:cs="Arial"/>
          <w:sz w:val="20"/>
          <w:szCs w:val="20"/>
        </w:rPr>
        <w:t xml:space="preserve"> - </w:t>
      </w:r>
      <w:r w:rsidR="00970591" w:rsidRPr="00DA693C">
        <w:rPr>
          <w:rFonts w:ascii="Arial" w:eastAsia="Calibri" w:hAnsi="Arial" w:cs="Arial"/>
          <w:sz w:val="20"/>
          <w:szCs w:val="20"/>
          <w:lang w:eastAsia="en-US"/>
        </w:rPr>
        <w:t>Sukladno obvezama propisanim za vrstu II vatrogasnih postrojbi nabavljeno je vatrogasno vozilo – autoljestve iz sredstava općinskog proračuna.</w:t>
      </w:r>
    </w:p>
    <w:p w14:paraId="64670538" w14:textId="77777777" w:rsidR="00057F77" w:rsidRPr="00DA693C" w:rsidRDefault="00057F77" w:rsidP="00C47FD4">
      <w:pPr>
        <w:spacing w:after="0" w:line="240" w:lineRule="auto"/>
        <w:rPr>
          <w:rFonts w:ascii="Arial" w:eastAsia="Calibri" w:hAnsi="Arial" w:cs="Arial"/>
          <w:sz w:val="20"/>
          <w:szCs w:val="20"/>
        </w:rPr>
      </w:pPr>
    </w:p>
    <w:p w14:paraId="2C1858F8" w14:textId="7C854579" w:rsidR="00970591" w:rsidRPr="00DA693C" w:rsidRDefault="00970591" w:rsidP="00C47FD4">
      <w:pPr>
        <w:spacing w:after="0" w:line="240" w:lineRule="auto"/>
        <w:rPr>
          <w:rFonts w:ascii="Arial" w:eastAsia="Calibri" w:hAnsi="Arial" w:cs="Arial"/>
          <w:i/>
          <w:iCs/>
          <w:sz w:val="20"/>
          <w:szCs w:val="20"/>
        </w:rPr>
      </w:pPr>
      <w:r w:rsidRPr="00DA693C">
        <w:rPr>
          <w:rFonts w:ascii="Arial" w:eastAsia="Calibri" w:hAnsi="Arial" w:cs="Arial"/>
          <w:i/>
          <w:iCs/>
          <w:sz w:val="20"/>
          <w:szCs w:val="20"/>
        </w:rPr>
        <w:t>Općina je nabavila rabljeno vozilo autoljestve u vrijednosti 19</w:t>
      </w:r>
      <w:r w:rsidR="00DE58FE" w:rsidRPr="00DA693C">
        <w:rPr>
          <w:rFonts w:ascii="Arial" w:eastAsia="Calibri" w:hAnsi="Arial" w:cs="Arial"/>
          <w:i/>
          <w:iCs/>
          <w:sz w:val="20"/>
          <w:szCs w:val="20"/>
        </w:rPr>
        <w:t>3.125 €. Nefinancijska imovina je prenesena u vlasništvo Javne vatrogasne postrojbe bez naknade.</w:t>
      </w:r>
    </w:p>
    <w:p w14:paraId="25F5A305" w14:textId="77777777" w:rsidR="00160CA2" w:rsidRPr="00DA693C" w:rsidRDefault="00160CA2" w:rsidP="00C47FD4">
      <w:pPr>
        <w:spacing w:after="0" w:line="240" w:lineRule="auto"/>
        <w:rPr>
          <w:rFonts w:ascii="Arial" w:eastAsia="Calibri" w:hAnsi="Arial" w:cs="Arial"/>
          <w:sz w:val="20"/>
          <w:szCs w:val="20"/>
        </w:rPr>
      </w:pPr>
    </w:p>
    <w:p w14:paraId="0D2F1D07" w14:textId="77777777" w:rsidR="00C47FD4" w:rsidRPr="00DA693C" w:rsidRDefault="00057F77" w:rsidP="00C47FD4">
      <w:pPr>
        <w:spacing w:after="0" w:line="240" w:lineRule="auto"/>
        <w:rPr>
          <w:rFonts w:ascii="Arial" w:eastAsia="Calibri" w:hAnsi="Arial" w:cs="Arial"/>
        </w:rPr>
      </w:pPr>
      <w:r w:rsidRPr="00DA693C">
        <w:rPr>
          <w:rFonts w:ascii="Arial" w:eastAsia="Calibri" w:hAnsi="Arial" w:cs="Arial"/>
          <w:b/>
          <w:sz w:val="20"/>
          <w:szCs w:val="20"/>
        </w:rPr>
        <w:t>10. T207112: Nabava navalnog vozila</w:t>
      </w:r>
      <w:r w:rsidRPr="00DA693C">
        <w:rPr>
          <w:rFonts w:ascii="Arial" w:eastAsia="Calibri" w:hAnsi="Arial" w:cs="Arial"/>
          <w:sz w:val="20"/>
          <w:szCs w:val="20"/>
        </w:rPr>
        <w:t xml:space="preserve"> </w:t>
      </w:r>
      <w:r w:rsidR="00C47FD4" w:rsidRPr="00DA693C">
        <w:rPr>
          <w:rFonts w:ascii="Arial" w:eastAsia="Calibri" w:hAnsi="Arial" w:cs="Arial"/>
          <w:sz w:val="20"/>
          <w:szCs w:val="20"/>
        </w:rPr>
        <w:t>–</w:t>
      </w:r>
      <w:r w:rsidRPr="00DA693C">
        <w:rPr>
          <w:rFonts w:ascii="Arial" w:eastAsia="Calibri" w:hAnsi="Arial" w:cs="Arial"/>
          <w:sz w:val="20"/>
          <w:szCs w:val="20"/>
        </w:rPr>
        <w:t xml:space="preserve"> </w:t>
      </w:r>
      <w:r w:rsidR="00C47FD4" w:rsidRPr="00DA693C">
        <w:rPr>
          <w:rFonts w:ascii="Arial" w:eastAsia="Calibri" w:hAnsi="Arial" w:cs="Arial"/>
        </w:rPr>
        <w:t>- u sklopu aktivnosti ne planiraju se rashodi.</w:t>
      </w:r>
    </w:p>
    <w:p w14:paraId="7D1D326E" w14:textId="77777777" w:rsidR="00C47FD4" w:rsidRPr="00F12DCA" w:rsidRDefault="00C47FD4" w:rsidP="00244A75">
      <w:pPr>
        <w:spacing w:after="0" w:line="240" w:lineRule="auto"/>
        <w:jc w:val="both"/>
        <w:rPr>
          <w:rFonts w:ascii="Arial" w:eastAsia="Calibri" w:hAnsi="Arial" w:cs="Arial"/>
          <w:sz w:val="18"/>
          <w:szCs w:val="18"/>
        </w:rPr>
      </w:pPr>
    </w:p>
    <w:p w14:paraId="4275E4FC" w14:textId="1BF6DB00" w:rsidR="00C47FD4" w:rsidRPr="003D6583" w:rsidRDefault="00C47FD4" w:rsidP="003D6583">
      <w:pPr>
        <w:spacing w:after="0" w:line="240" w:lineRule="auto"/>
        <w:ind w:left="567"/>
        <w:jc w:val="both"/>
        <w:rPr>
          <w:rFonts w:ascii="Arial" w:eastAsia="Calibri" w:hAnsi="Arial" w:cs="Arial"/>
          <w:i/>
          <w:iCs/>
          <w:sz w:val="18"/>
          <w:szCs w:val="18"/>
          <w:lang w:eastAsia="en-US"/>
        </w:rPr>
      </w:pPr>
      <w:r w:rsidRPr="003D6583">
        <w:rPr>
          <w:rFonts w:ascii="Arial" w:eastAsia="Calibri" w:hAnsi="Arial" w:cs="Arial"/>
          <w:i/>
          <w:iCs/>
          <w:sz w:val="18"/>
          <w:szCs w:val="18"/>
        </w:rPr>
        <w:t xml:space="preserve">Vozilo je nabavljeno sredinom 2022. godine putem projekta Flood and Fire, odnosno sufinanciranjem iz EU sredstava. Radi se o navalnom vozilu s duplom kabinom marke Man ukupne vrijednosti 1.498.375,00 kn / 198.868,54 </w:t>
      </w:r>
      <w:r w:rsidR="0094285B" w:rsidRPr="003D6583">
        <w:rPr>
          <w:rFonts w:ascii="Arial" w:eastAsia="Calibri" w:hAnsi="Arial" w:cs="Arial"/>
          <w:i/>
          <w:iCs/>
          <w:sz w:val="18"/>
          <w:szCs w:val="18"/>
        </w:rPr>
        <w:t>€</w:t>
      </w:r>
      <w:r w:rsidRPr="003D6583">
        <w:rPr>
          <w:rFonts w:ascii="Arial" w:eastAsia="Calibri" w:hAnsi="Arial" w:cs="Arial"/>
          <w:i/>
          <w:iCs/>
          <w:sz w:val="18"/>
          <w:szCs w:val="18"/>
        </w:rPr>
        <w:t>.</w:t>
      </w:r>
    </w:p>
    <w:p w14:paraId="3A259222" w14:textId="77777777" w:rsidR="00057F77" w:rsidRPr="00DA693C" w:rsidRDefault="00057F77" w:rsidP="00057F77">
      <w:pPr>
        <w:spacing w:after="0" w:line="240" w:lineRule="auto"/>
        <w:rPr>
          <w:rFonts w:ascii="Arial" w:eastAsia="Calibri" w:hAnsi="Arial" w:cs="Arial"/>
          <w:sz w:val="20"/>
          <w:szCs w:val="20"/>
        </w:rPr>
      </w:pPr>
    </w:p>
    <w:p w14:paraId="4E63E4BD" w14:textId="261D3974" w:rsidR="00057F77" w:rsidRPr="00DA693C" w:rsidRDefault="00057F77" w:rsidP="00057F77">
      <w:pPr>
        <w:spacing w:after="0" w:line="240" w:lineRule="auto"/>
        <w:rPr>
          <w:rFonts w:ascii="Arial" w:eastAsia="Calibri" w:hAnsi="Arial" w:cs="Arial"/>
          <w:sz w:val="20"/>
          <w:szCs w:val="20"/>
        </w:rPr>
      </w:pPr>
      <w:r w:rsidRPr="00DA693C">
        <w:rPr>
          <w:rFonts w:ascii="Arial" w:eastAsia="Calibri" w:hAnsi="Arial" w:cs="Arial"/>
          <w:b/>
          <w:sz w:val="20"/>
          <w:szCs w:val="20"/>
        </w:rPr>
        <w:t>11. T207114: Nabava malog vozila za tehničke intervencije</w:t>
      </w:r>
      <w:r w:rsidRPr="00DA693C">
        <w:rPr>
          <w:rFonts w:ascii="Arial" w:eastAsia="Calibri" w:hAnsi="Arial" w:cs="Arial"/>
          <w:sz w:val="20"/>
          <w:szCs w:val="20"/>
        </w:rPr>
        <w:t xml:space="preserve"> - u sklopu aktivnosti ne planiraju se rashodi.</w:t>
      </w:r>
    </w:p>
    <w:p w14:paraId="694AFDF3" w14:textId="77777777" w:rsidR="00057F77" w:rsidRPr="00DA693C" w:rsidRDefault="00057F77" w:rsidP="00057F77">
      <w:pPr>
        <w:spacing w:after="0" w:line="240" w:lineRule="auto"/>
        <w:rPr>
          <w:rFonts w:ascii="Arial" w:eastAsia="Calibri" w:hAnsi="Arial" w:cs="Arial"/>
          <w:sz w:val="20"/>
          <w:szCs w:val="20"/>
        </w:rPr>
      </w:pPr>
    </w:p>
    <w:p w14:paraId="56845F68" w14:textId="77777777" w:rsidR="00160CA2" w:rsidRPr="00DA693C" w:rsidRDefault="00160CA2" w:rsidP="0004293C">
      <w:pPr>
        <w:spacing w:after="0" w:line="240" w:lineRule="auto"/>
        <w:jc w:val="both"/>
        <w:rPr>
          <w:rFonts w:ascii="Arial" w:eastAsia="Calibri" w:hAnsi="Arial" w:cs="Arial"/>
          <w:sz w:val="20"/>
          <w:szCs w:val="20"/>
        </w:rPr>
      </w:pPr>
    </w:p>
    <w:p w14:paraId="410978CB" w14:textId="77777777" w:rsidR="0004293C" w:rsidRDefault="0004293C" w:rsidP="0004293C">
      <w:pPr>
        <w:autoSpaceDE w:val="0"/>
        <w:autoSpaceDN w:val="0"/>
        <w:adjustRightInd w:val="0"/>
        <w:spacing w:after="0" w:line="240" w:lineRule="auto"/>
        <w:jc w:val="both"/>
        <w:rPr>
          <w:rFonts w:ascii="Arial" w:eastAsia="Calibri" w:hAnsi="Arial" w:cs="Arial"/>
          <w:sz w:val="20"/>
          <w:szCs w:val="20"/>
        </w:rPr>
      </w:pPr>
      <w:r w:rsidRPr="00DA693C">
        <w:rPr>
          <w:rFonts w:ascii="Arial" w:eastAsia="Calibri" w:hAnsi="Arial" w:cs="Arial"/>
          <w:sz w:val="20"/>
          <w:szCs w:val="20"/>
        </w:rPr>
        <w:t xml:space="preserve">Aktivnosti vezane uz opće ciljeve postignute su sukladno postocima izvršenja i u skladu s očekivanom dinamikom izvršenja rashoda. </w:t>
      </w:r>
    </w:p>
    <w:p w14:paraId="4DEAD715" w14:textId="77777777" w:rsidR="007932F6" w:rsidRPr="00DA693C" w:rsidRDefault="007932F6" w:rsidP="0004293C">
      <w:pPr>
        <w:autoSpaceDE w:val="0"/>
        <w:autoSpaceDN w:val="0"/>
        <w:adjustRightInd w:val="0"/>
        <w:spacing w:after="0" w:line="240" w:lineRule="auto"/>
        <w:jc w:val="both"/>
        <w:rPr>
          <w:rFonts w:ascii="Arial" w:eastAsia="Calibri" w:hAnsi="Arial" w:cs="Arial"/>
          <w:sz w:val="20"/>
          <w:szCs w:val="20"/>
        </w:rPr>
      </w:pPr>
    </w:p>
    <w:p w14:paraId="4565ADE9" w14:textId="77777777" w:rsidR="00163183" w:rsidRPr="00DA693C" w:rsidRDefault="00163183" w:rsidP="0004293C">
      <w:pPr>
        <w:spacing w:after="0" w:line="240" w:lineRule="auto"/>
        <w:rPr>
          <w:rFonts w:ascii="Arial" w:eastAsia="Calibri" w:hAnsi="Arial" w:cs="Arial"/>
          <w:sz w:val="20"/>
          <w:szCs w:val="20"/>
        </w:rPr>
      </w:pPr>
    </w:p>
    <w:p w14:paraId="362FAD7F" w14:textId="6F525402" w:rsidR="00160CA2" w:rsidRPr="00DA693C" w:rsidRDefault="00160CA2" w:rsidP="00160CA2">
      <w:pPr>
        <w:autoSpaceDE w:val="0"/>
        <w:autoSpaceDN w:val="0"/>
        <w:adjustRightInd w:val="0"/>
        <w:spacing w:after="0" w:line="240" w:lineRule="auto"/>
        <w:jc w:val="center"/>
        <w:rPr>
          <w:rFonts w:ascii="Arial" w:eastAsia="Calibri" w:hAnsi="Arial" w:cs="Arial"/>
          <w:b/>
          <w:bCs/>
          <w:i/>
          <w:iCs/>
          <w:sz w:val="20"/>
          <w:szCs w:val="20"/>
        </w:rPr>
      </w:pPr>
      <w:r w:rsidRPr="00DA693C">
        <w:rPr>
          <w:rFonts w:ascii="Arial" w:eastAsia="Calibri" w:hAnsi="Arial" w:cs="Arial"/>
          <w:b/>
          <w:bCs/>
          <w:i/>
          <w:iCs/>
          <w:sz w:val="20"/>
          <w:szCs w:val="20"/>
        </w:rPr>
        <w:lastRenderedPageBreak/>
        <w:t>POSEBNI IZVJEŠTAJI O IZVRŠENJU GODIŠNJEG PRORAČUNA ZA 2024.god.</w:t>
      </w:r>
    </w:p>
    <w:p w14:paraId="5E1FA312" w14:textId="77777777" w:rsidR="00160CA2" w:rsidRPr="00DA693C" w:rsidRDefault="00160CA2" w:rsidP="00160CA2">
      <w:pPr>
        <w:rPr>
          <w:sz w:val="20"/>
          <w:szCs w:val="20"/>
        </w:rPr>
      </w:pPr>
    </w:p>
    <w:p w14:paraId="7EBFE3BE" w14:textId="77777777" w:rsidR="00160CA2" w:rsidRPr="00DA693C" w:rsidRDefault="00160CA2" w:rsidP="00160CA2">
      <w:pPr>
        <w:autoSpaceDE w:val="0"/>
        <w:autoSpaceDN w:val="0"/>
        <w:adjustRightInd w:val="0"/>
        <w:spacing w:after="0" w:line="240" w:lineRule="auto"/>
        <w:jc w:val="both"/>
        <w:rPr>
          <w:rFonts w:ascii="Arial" w:eastAsia="Calibri" w:hAnsi="Arial" w:cs="Arial"/>
          <w:sz w:val="20"/>
          <w:szCs w:val="20"/>
        </w:rPr>
      </w:pPr>
      <w:r w:rsidRPr="00DA693C">
        <w:rPr>
          <w:rFonts w:ascii="Arial" w:eastAsia="Calibri" w:hAnsi="Arial" w:cs="Arial"/>
          <w:sz w:val="20"/>
          <w:szCs w:val="20"/>
        </w:rPr>
        <w:t>Javna vatrogasna postroja Konavle nema korištenih proračunskih zaliha.</w:t>
      </w:r>
    </w:p>
    <w:p w14:paraId="2290FA0B" w14:textId="77777777" w:rsidR="00160CA2" w:rsidRPr="00DA693C" w:rsidRDefault="00160CA2" w:rsidP="00160CA2">
      <w:pPr>
        <w:autoSpaceDE w:val="0"/>
        <w:autoSpaceDN w:val="0"/>
        <w:adjustRightInd w:val="0"/>
        <w:spacing w:after="0" w:line="240" w:lineRule="auto"/>
        <w:jc w:val="both"/>
        <w:rPr>
          <w:rFonts w:ascii="Arial" w:eastAsia="Calibri" w:hAnsi="Arial" w:cs="Arial"/>
          <w:sz w:val="20"/>
          <w:szCs w:val="20"/>
        </w:rPr>
      </w:pPr>
      <w:r w:rsidRPr="00DA693C">
        <w:rPr>
          <w:rFonts w:ascii="Arial" w:eastAsia="Calibri" w:hAnsi="Arial" w:cs="Arial"/>
          <w:sz w:val="20"/>
          <w:szCs w:val="20"/>
        </w:rPr>
        <w:t>Javna vatrogasna postrojba Konavle nema korištenih sredstva iz fondova Europske unije.</w:t>
      </w:r>
    </w:p>
    <w:p w14:paraId="2ED541F4" w14:textId="413E4452" w:rsidR="00160CA2" w:rsidRPr="00DA693C" w:rsidRDefault="00160CA2" w:rsidP="00160CA2">
      <w:pPr>
        <w:autoSpaceDE w:val="0"/>
        <w:autoSpaceDN w:val="0"/>
        <w:adjustRightInd w:val="0"/>
        <w:spacing w:after="0" w:line="240" w:lineRule="auto"/>
        <w:jc w:val="both"/>
        <w:rPr>
          <w:rFonts w:ascii="Arial" w:eastAsia="Calibri" w:hAnsi="Arial" w:cs="Arial"/>
          <w:sz w:val="20"/>
          <w:szCs w:val="20"/>
        </w:rPr>
      </w:pPr>
      <w:r w:rsidRPr="00DA693C">
        <w:rPr>
          <w:rFonts w:ascii="Arial" w:eastAsia="Calibri" w:hAnsi="Arial" w:cs="Arial"/>
          <w:sz w:val="20"/>
          <w:szCs w:val="20"/>
        </w:rPr>
        <w:t>Javna vatrogasna postrojba Konavle nema zaduživanja na domaćem i stranom tržištu novca i kapitala.</w:t>
      </w:r>
    </w:p>
    <w:p w14:paraId="464FEBD5" w14:textId="77777777" w:rsidR="00160CA2" w:rsidRPr="00DA693C" w:rsidRDefault="00160CA2" w:rsidP="00160CA2">
      <w:pPr>
        <w:autoSpaceDE w:val="0"/>
        <w:autoSpaceDN w:val="0"/>
        <w:adjustRightInd w:val="0"/>
        <w:spacing w:after="0" w:line="240" w:lineRule="auto"/>
        <w:jc w:val="both"/>
        <w:rPr>
          <w:rFonts w:ascii="Arial" w:eastAsia="Calibri" w:hAnsi="Arial" w:cs="Arial"/>
          <w:sz w:val="20"/>
          <w:szCs w:val="20"/>
        </w:rPr>
      </w:pPr>
      <w:r w:rsidRPr="00DA693C">
        <w:rPr>
          <w:rFonts w:ascii="Arial" w:eastAsia="Calibri" w:hAnsi="Arial" w:cs="Arial"/>
          <w:sz w:val="20"/>
          <w:szCs w:val="20"/>
        </w:rPr>
        <w:t>Javna vatrogasna postrojba Konavle nema dane zajmove ni potraživanja po danim zajmovima.</w:t>
      </w:r>
    </w:p>
    <w:p w14:paraId="03171B15" w14:textId="77777777" w:rsidR="00160CA2" w:rsidRPr="00DA693C" w:rsidRDefault="00160CA2" w:rsidP="00160CA2">
      <w:pPr>
        <w:autoSpaceDE w:val="0"/>
        <w:autoSpaceDN w:val="0"/>
        <w:adjustRightInd w:val="0"/>
        <w:spacing w:after="0" w:line="240" w:lineRule="auto"/>
        <w:jc w:val="both"/>
        <w:rPr>
          <w:rFonts w:ascii="Arial" w:eastAsia="Calibri" w:hAnsi="Arial" w:cs="Arial"/>
          <w:sz w:val="20"/>
          <w:szCs w:val="20"/>
        </w:rPr>
      </w:pPr>
      <w:r w:rsidRPr="00DA693C">
        <w:rPr>
          <w:rFonts w:ascii="Arial" w:eastAsia="Calibri" w:hAnsi="Arial" w:cs="Arial"/>
          <w:sz w:val="20"/>
          <w:szCs w:val="20"/>
        </w:rPr>
        <w:t>Javna vatrogasna postrojba Konavle nema danih jamstava i plaćanja po protestiranim jamstvima.</w:t>
      </w:r>
    </w:p>
    <w:p w14:paraId="287699CC" w14:textId="77777777" w:rsidR="00160CA2" w:rsidRPr="00DA693C" w:rsidRDefault="00160CA2" w:rsidP="00160CA2">
      <w:pPr>
        <w:autoSpaceDE w:val="0"/>
        <w:autoSpaceDN w:val="0"/>
        <w:adjustRightInd w:val="0"/>
        <w:spacing w:after="0" w:line="240" w:lineRule="auto"/>
        <w:jc w:val="both"/>
        <w:rPr>
          <w:rFonts w:ascii="Arial" w:eastAsia="Calibri" w:hAnsi="Arial" w:cs="Arial"/>
          <w:sz w:val="20"/>
          <w:szCs w:val="20"/>
        </w:rPr>
      </w:pPr>
      <w:r w:rsidRPr="00DA693C">
        <w:rPr>
          <w:rFonts w:ascii="Arial" w:eastAsia="Calibri" w:hAnsi="Arial" w:cs="Arial"/>
          <w:sz w:val="20"/>
          <w:szCs w:val="20"/>
        </w:rPr>
        <w:t>Javna vatrogasna postrojba Konavle nema potencijalnih obveza po osnovi sudskih sporova.</w:t>
      </w:r>
    </w:p>
    <w:p w14:paraId="68F6DE2F" w14:textId="77777777" w:rsidR="00160CA2" w:rsidRPr="00DA693C" w:rsidRDefault="00160CA2" w:rsidP="00160CA2">
      <w:pPr>
        <w:spacing w:after="0" w:line="240" w:lineRule="auto"/>
        <w:jc w:val="both"/>
        <w:rPr>
          <w:rFonts w:ascii="Arial" w:eastAsia="Calibri" w:hAnsi="Arial" w:cs="Arial"/>
        </w:rPr>
      </w:pPr>
    </w:p>
    <w:p w14:paraId="058363E2" w14:textId="361B0AB4" w:rsidR="00DE58FE" w:rsidRPr="00DA693C" w:rsidRDefault="00DE58FE" w:rsidP="00DE58FE">
      <w:pPr>
        <w:autoSpaceDE w:val="0"/>
        <w:autoSpaceDN w:val="0"/>
        <w:adjustRightInd w:val="0"/>
        <w:spacing w:after="0" w:line="240" w:lineRule="auto"/>
        <w:jc w:val="both"/>
        <w:rPr>
          <w:rFonts w:ascii="Arial" w:eastAsia="Calibri" w:hAnsi="Arial" w:cs="Arial"/>
          <w:sz w:val="20"/>
          <w:szCs w:val="20"/>
        </w:rPr>
      </w:pPr>
      <w:r w:rsidRPr="00DA693C">
        <w:rPr>
          <w:rFonts w:ascii="Arial" w:eastAsia="Calibri" w:hAnsi="Arial" w:cs="Arial"/>
          <w:sz w:val="20"/>
          <w:szCs w:val="20"/>
        </w:rPr>
        <w:t xml:space="preserve">Stanje nepodmirenih obaveza na dan </w:t>
      </w:r>
      <w:r w:rsidR="008C2DB6">
        <w:rPr>
          <w:rFonts w:ascii="Arial" w:eastAsia="Calibri" w:hAnsi="Arial" w:cs="Arial"/>
          <w:sz w:val="20"/>
          <w:szCs w:val="20"/>
        </w:rPr>
        <w:t>30.06.2025</w:t>
      </w:r>
      <w:r w:rsidRPr="00DA693C">
        <w:rPr>
          <w:rFonts w:ascii="Arial" w:eastAsia="Calibri" w:hAnsi="Arial" w:cs="Arial"/>
          <w:sz w:val="20"/>
          <w:szCs w:val="20"/>
        </w:rPr>
        <w:t xml:space="preserve">. godine iznose sveukupno </w:t>
      </w:r>
      <w:r w:rsidR="008C2DB6">
        <w:rPr>
          <w:rFonts w:ascii="Arial" w:eastAsia="Calibri" w:hAnsi="Arial" w:cs="Arial"/>
          <w:sz w:val="20"/>
          <w:szCs w:val="20"/>
        </w:rPr>
        <w:t>61.380,38</w:t>
      </w:r>
      <w:r w:rsidRPr="00DA693C">
        <w:rPr>
          <w:rFonts w:ascii="Arial" w:eastAsia="Calibri" w:hAnsi="Arial" w:cs="Arial"/>
          <w:sz w:val="20"/>
          <w:szCs w:val="20"/>
        </w:rPr>
        <w:t xml:space="preserve"> </w:t>
      </w:r>
      <w:r w:rsidR="00E0704C">
        <w:rPr>
          <w:rFonts w:ascii="Arial" w:eastAsia="Calibri" w:hAnsi="Arial" w:cs="Arial"/>
          <w:sz w:val="20"/>
          <w:szCs w:val="20"/>
        </w:rPr>
        <w:t>€</w:t>
      </w:r>
      <w:r w:rsidRPr="00DA693C">
        <w:rPr>
          <w:rFonts w:ascii="Arial" w:eastAsia="Calibri" w:hAnsi="Arial" w:cs="Arial"/>
          <w:sz w:val="20"/>
          <w:szCs w:val="20"/>
        </w:rPr>
        <w:t xml:space="preserve">  i odnosi se na nedospjele obaveze  za račune iz mjeseca </w:t>
      </w:r>
      <w:r w:rsidR="008C2DB6">
        <w:rPr>
          <w:rFonts w:ascii="Arial" w:eastAsia="Calibri" w:hAnsi="Arial" w:cs="Arial"/>
          <w:sz w:val="20"/>
          <w:szCs w:val="20"/>
        </w:rPr>
        <w:t>lipnja</w:t>
      </w:r>
      <w:r w:rsidRPr="00DA693C">
        <w:rPr>
          <w:rFonts w:ascii="Arial" w:eastAsia="Calibri" w:hAnsi="Arial" w:cs="Arial"/>
          <w:sz w:val="20"/>
          <w:szCs w:val="20"/>
        </w:rPr>
        <w:t xml:space="preserve"> 202</w:t>
      </w:r>
      <w:r w:rsidR="008C2DB6">
        <w:rPr>
          <w:rFonts w:ascii="Arial" w:eastAsia="Calibri" w:hAnsi="Arial" w:cs="Arial"/>
          <w:sz w:val="20"/>
          <w:szCs w:val="20"/>
        </w:rPr>
        <w:t>5</w:t>
      </w:r>
      <w:r w:rsidRPr="00DA693C">
        <w:rPr>
          <w:rFonts w:ascii="Arial" w:eastAsia="Calibri" w:hAnsi="Arial" w:cs="Arial"/>
          <w:sz w:val="20"/>
          <w:szCs w:val="20"/>
        </w:rPr>
        <w:t xml:space="preserve">.god., a koji dospijevaju u </w:t>
      </w:r>
      <w:r w:rsidR="008C2DB6">
        <w:rPr>
          <w:rFonts w:ascii="Arial" w:eastAsia="Calibri" w:hAnsi="Arial" w:cs="Arial"/>
          <w:sz w:val="20"/>
          <w:szCs w:val="20"/>
        </w:rPr>
        <w:t>srpnju</w:t>
      </w:r>
      <w:r w:rsidRPr="00DA693C">
        <w:rPr>
          <w:rFonts w:ascii="Arial" w:eastAsia="Calibri" w:hAnsi="Arial" w:cs="Arial"/>
          <w:sz w:val="20"/>
          <w:szCs w:val="20"/>
        </w:rPr>
        <w:t xml:space="preserve"> 2025.godine te na plaću za mjesec </w:t>
      </w:r>
      <w:r w:rsidR="008C2DB6">
        <w:rPr>
          <w:rFonts w:ascii="Arial" w:eastAsia="Calibri" w:hAnsi="Arial" w:cs="Arial"/>
          <w:sz w:val="20"/>
          <w:szCs w:val="20"/>
        </w:rPr>
        <w:t>lipanj</w:t>
      </w:r>
      <w:r w:rsidRPr="00DA693C">
        <w:rPr>
          <w:rFonts w:ascii="Arial" w:eastAsia="Calibri" w:hAnsi="Arial" w:cs="Arial"/>
          <w:sz w:val="20"/>
          <w:szCs w:val="20"/>
        </w:rPr>
        <w:t xml:space="preserve"> 202</w:t>
      </w:r>
      <w:r w:rsidR="008C2DB6">
        <w:rPr>
          <w:rFonts w:ascii="Arial" w:eastAsia="Calibri" w:hAnsi="Arial" w:cs="Arial"/>
          <w:sz w:val="20"/>
          <w:szCs w:val="20"/>
        </w:rPr>
        <w:t>5</w:t>
      </w:r>
      <w:r w:rsidRPr="00DA693C">
        <w:rPr>
          <w:rFonts w:ascii="Arial" w:eastAsia="Calibri" w:hAnsi="Arial" w:cs="Arial"/>
          <w:sz w:val="20"/>
          <w:szCs w:val="20"/>
        </w:rPr>
        <w:t xml:space="preserve">.godine koja </w:t>
      </w:r>
      <w:r w:rsidR="003D6583">
        <w:rPr>
          <w:rFonts w:ascii="Arial" w:eastAsia="Calibri" w:hAnsi="Arial" w:cs="Arial"/>
          <w:sz w:val="20"/>
          <w:szCs w:val="20"/>
        </w:rPr>
        <w:t xml:space="preserve">se isplaćuje </w:t>
      </w:r>
      <w:r w:rsidRPr="00DA693C">
        <w:rPr>
          <w:rFonts w:ascii="Arial" w:eastAsia="Calibri" w:hAnsi="Arial" w:cs="Arial"/>
          <w:sz w:val="20"/>
          <w:szCs w:val="20"/>
        </w:rPr>
        <w:t xml:space="preserve">u </w:t>
      </w:r>
      <w:r w:rsidR="008C2DB6">
        <w:rPr>
          <w:rFonts w:ascii="Arial" w:eastAsia="Calibri" w:hAnsi="Arial" w:cs="Arial"/>
          <w:sz w:val="20"/>
          <w:szCs w:val="20"/>
        </w:rPr>
        <w:t>srpnju</w:t>
      </w:r>
      <w:r w:rsidRPr="00DA693C">
        <w:rPr>
          <w:rFonts w:ascii="Arial" w:eastAsia="Calibri" w:hAnsi="Arial" w:cs="Arial"/>
          <w:sz w:val="20"/>
          <w:szCs w:val="20"/>
        </w:rPr>
        <w:t xml:space="preserve"> 2025.godine.</w:t>
      </w:r>
    </w:p>
    <w:p w14:paraId="1C9B8CED" w14:textId="6CDB1671" w:rsidR="00DE58FE" w:rsidRPr="00DA693C" w:rsidRDefault="00DE58FE" w:rsidP="00DE58FE">
      <w:pPr>
        <w:autoSpaceDE w:val="0"/>
        <w:autoSpaceDN w:val="0"/>
        <w:adjustRightInd w:val="0"/>
        <w:spacing w:after="0" w:line="240" w:lineRule="auto"/>
        <w:jc w:val="both"/>
        <w:rPr>
          <w:rFonts w:ascii="Arial" w:eastAsia="Calibri" w:hAnsi="Arial" w:cs="Arial"/>
          <w:sz w:val="20"/>
          <w:szCs w:val="20"/>
        </w:rPr>
      </w:pPr>
      <w:r w:rsidRPr="00DA693C">
        <w:rPr>
          <w:rFonts w:ascii="Arial" w:eastAsia="Calibri" w:hAnsi="Arial" w:cs="Arial"/>
          <w:sz w:val="20"/>
          <w:szCs w:val="20"/>
        </w:rPr>
        <w:t xml:space="preserve">Plaće za zaposlene za mjesec </w:t>
      </w:r>
      <w:r w:rsidR="008C2DB6">
        <w:rPr>
          <w:rFonts w:ascii="Arial" w:eastAsia="Calibri" w:hAnsi="Arial" w:cs="Arial"/>
          <w:sz w:val="20"/>
          <w:szCs w:val="20"/>
        </w:rPr>
        <w:t>lipanj</w:t>
      </w:r>
      <w:r w:rsidRPr="00DA693C">
        <w:rPr>
          <w:rFonts w:ascii="Arial" w:eastAsia="Calibri" w:hAnsi="Arial" w:cs="Arial"/>
          <w:sz w:val="20"/>
          <w:szCs w:val="20"/>
        </w:rPr>
        <w:t xml:space="preserve"> 202</w:t>
      </w:r>
      <w:r w:rsidR="008C2DB6">
        <w:rPr>
          <w:rFonts w:ascii="Arial" w:eastAsia="Calibri" w:hAnsi="Arial" w:cs="Arial"/>
          <w:sz w:val="20"/>
          <w:szCs w:val="20"/>
        </w:rPr>
        <w:t>5</w:t>
      </w:r>
      <w:r w:rsidRPr="00DA693C">
        <w:rPr>
          <w:rFonts w:ascii="Arial" w:eastAsia="Calibri" w:hAnsi="Arial" w:cs="Arial"/>
          <w:sz w:val="20"/>
          <w:szCs w:val="20"/>
        </w:rPr>
        <w:t>.</w:t>
      </w:r>
      <w:r w:rsidR="008C2DB6">
        <w:rPr>
          <w:rFonts w:ascii="Arial" w:eastAsia="Calibri" w:hAnsi="Arial" w:cs="Arial"/>
          <w:sz w:val="20"/>
          <w:szCs w:val="20"/>
        </w:rPr>
        <w:t xml:space="preserve"> </w:t>
      </w:r>
      <w:r w:rsidRPr="00DA693C">
        <w:rPr>
          <w:rFonts w:ascii="Arial" w:eastAsia="Calibri" w:hAnsi="Arial" w:cs="Arial"/>
          <w:sz w:val="20"/>
          <w:szCs w:val="20"/>
        </w:rPr>
        <w:t xml:space="preserve">godine iznose </w:t>
      </w:r>
      <w:r w:rsidR="008C2DB6">
        <w:rPr>
          <w:rFonts w:ascii="Arial" w:hAnsi="Arial" w:cs="Arial"/>
          <w:sz w:val="20"/>
          <w:szCs w:val="20"/>
        </w:rPr>
        <w:t>58.369,12</w:t>
      </w:r>
      <w:r w:rsidRPr="00DA693C">
        <w:rPr>
          <w:b/>
          <w:bCs/>
          <w:sz w:val="18"/>
          <w:szCs w:val="18"/>
        </w:rPr>
        <w:t xml:space="preserve"> </w:t>
      </w:r>
      <w:r w:rsidR="003B6C70">
        <w:rPr>
          <w:rFonts w:ascii="Arial" w:eastAsia="Calibri" w:hAnsi="Arial" w:cs="Arial"/>
          <w:sz w:val="20"/>
          <w:szCs w:val="20"/>
        </w:rPr>
        <w:t>€</w:t>
      </w:r>
      <w:r w:rsidRPr="00DA693C">
        <w:rPr>
          <w:rFonts w:ascii="Arial" w:eastAsia="Calibri" w:hAnsi="Arial" w:cs="Arial"/>
          <w:sz w:val="20"/>
          <w:szCs w:val="20"/>
        </w:rPr>
        <w:t xml:space="preserve">, dok obaveze za materijalne rashode iznose </w:t>
      </w:r>
      <w:r w:rsidR="0022553E">
        <w:rPr>
          <w:rFonts w:ascii="Arial" w:eastAsia="Calibri" w:hAnsi="Arial" w:cs="Arial"/>
          <w:sz w:val="20"/>
          <w:szCs w:val="20"/>
        </w:rPr>
        <w:t>3.011,26</w:t>
      </w:r>
      <w:r w:rsidRPr="00DA693C">
        <w:rPr>
          <w:rFonts w:ascii="Arial" w:eastAsia="Calibri" w:hAnsi="Arial" w:cs="Arial"/>
          <w:sz w:val="20"/>
          <w:szCs w:val="20"/>
        </w:rPr>
        <w:t xml:space="preserve"> </w:t>
      </w:r>
      <w:r w:rsidR="003B6C70">
        <w:rPr>
          <w:rFonts w:ascii="Arial" w:eastAsia="Calibri" w:hAnsi="Arial" w:cs="Arial"/>
          <w:sz w:val="20"/>
          <w:szCs w:val="20"/>
        </w:rPr>
        <w:t>€</w:t>
      </w:r>
      <w:r w:rsidRPr="00DA693C">
        <w:rPr>
          <w:rFonts w:ascii="Arial" w:eastAsia="Calibri" w:hAnsi="Arial" w:cs="Arial"/>
          <w:sz w:val="20"/>
          <w:szCs w:val="20"/>
        </w:rPr>
        <w:t>.</w:t>
      </w:r>
    </w:p>
    <w:p w14:paraId="4C26B6B2" w14:textId="77777777" w:rsidR="00160CA2" w:rsidRPr="00DA693C" w:rsidRDefault="00160CA2" w:rsidP="00160CA2">
      <w:pPr>
        <w:spacing w:after="0" w:line="240" w:lineRule="auto"/>
        <w:jc w:val="both"/>
        <w:rPr>
          <w:rFonts w:ascii="Arial" w:eastAsia="Calibri" w:hAnsi="Arial" w:cs="Arial"/>
          <w:sz w:val="18"/>
          <w:szCs w:val="18"/>
        </w:rPr>
      </w:pPr>
    </w:p>
    <w:p w14:paraId="043BAD20" w14:textId="16E65ABC" w:rsidR="00160CA2" w:rsidRPr="00DA693C" w:rsidRDefault="00160CA2" w:rsidP="00160CA2">
      <w:pPr>
        <w:spacing w:after="0" w:line="240" w:lineRule="auto"/>
        <w:jc w:val="both"/>
        <w:rPr>
          <w:rFonts w:ascii="Arial" w:eastAsia="Calibri" w:hAnsi="Arial" w:cs="Arial"/>
          <w:sz w:val="20"/>
          <w:szCs w:val="20"/>
        </w:rPr>
      </w:pPr>
      <w:r w:rsidRPr="00DA693C">
        <w:rPr>
          <w:rFonts w:ascii="Arial" w:eastAsia="Calibri" w:hAnsi="Arial" w:cs="Arial"/>
          <w:sz w:val="20"/>
          <w:szCs w:val="20"/>
        </w:rPr>
        <w:t xml:space="preserve">Stanje potraživanja na dan </w:t>
      </w:r>
      <w:r w:rsidR="00DE58FE" w:rsidRPr="00DA693C">
        <w:rPr>
          <w:rFonts w:ascii="Arial" w:eastAsia="Calibri" w:hAnsi="Arial" w:cs="Arial"/>
          <w:sz w:val="20"/>
          <w:szCs w:val="20"/>
        </w:rPr>
        <w:t>31.12</w:t>
      </w:r>
      <w:r w:rsidRPr="00DA693C">
        <w:rPr>
          <w:rFonts w:ascii="Arial" w:eastAsia="Calibri" w:hAnsi="Arial" w:cs="Arial"/>
          <w:sz w:val="20"/>
          <w:szCs w:val="20"/>
        </w:rPr>
        <w:t xml:space="preserve">.2024. iznosi </w:t>
      </w:r>
      <w:r w:rsidR="00DE58FE" w:rsidRPr="00DA693C">
        <w:rPr>
          <w:rFonts w:ascii="Arial" w:eastAsia="Calibri" w:hAnsi="Arial" w:cs="Arial"/>
          <w:sz w:val="20"/>
          <w:szCs w:val="20"/>
        </w:rPr>
        <w:t>1.736,12</w:t>
      </w:r>
      <w:r w:rsidRPr="00DA693C">
        <w:rPr>
          <w:rFonts w:ascii="Arial" w:eastAsia="Calibri" w:hAnsi="Arial" w:cs="Arial"/>
          <w:sz w:val="20"/>
          <w:szCs w:val="20"/>
        </w:rPr>
        <w:t xml:space="preserve"> € i odnosi se na potraživanja za </w:t>
      </w:r>
      <w:r w:rsidR="00DE58FE" w:rsidRPr="00DA693C">
        <w:rPr>
          <w:rFonts w:ascii="Arial" w:eastAsia="Calibri" w:hAnsi="Arial" w:cs="Arial"/>
          <w:sz w:val="20"/>
          <w:szCs w:val="20"/>
        </w:rPr>
        <w:t>više plaćeni porez</w:t>
      </w:r>
      <w:r w:rsidRPr="00DA693C">
        <w:rPr>
          <w:rFonts w:ascii="Arial" w:eastAsia="Calibri" w:hAnsi="Arial" w:cs="Arial"/>
          <w:sz w:val="20"/>
          <w:szCs w:val="20"/>
        </w:rPr>
        <w:t>.</w:t>
      </w:r>
      <w:r w:rsidR="008C2DB6">
        <w:rPr>
          <w:rFonts w:ascii="Arial" w:eastAsia="Calibri" w:hAnsi="Arial" w:cs="Arial"/>
          <w:sz w:val="20"/>
          <w:szCs w:val="20"/>
        </w:rPr>
        <w:t xml:space="preserve"> Na dan 30.06.2025. nema potraživanja.</w:t>
      </w:r>
    </w:p>
    <w:p w14:paraId="79627E88" w14:textId="77777777" w:rsidR="00A63BE4" w:rsidRPr="00DA693C" w:rsidRDefault="00A63BE4" w:rsidP="0004293C">
      <w:pPr>
        <w:spacing w:after="0" w:line="240" w:lineRule="auto"/>
        <w:rPr>
          <w:rFonts w:ascii="Arial" w:eastAsia="Calibri" w:hAnsi="Arial" w:cs="Arial"/>
          <w:sz w:val="20"/>
          <w:szCs w:val="20"/>
        </w:rPr>
      </w:pPr>
    </w:p>
    <w:p w14:paraId="236BC84F" w14:textId="5DD81784" w:rsidR="0004293C" w:rsidRPr="00DA693C" w:rsidRDefault="0004293C" w:rsidP="0004293C">
      <w:pPr>
        <w:spacing w:after="0" w:line="240" w:lineRule="auto"/>
        <w:rPr>
          <w:rFonts w:ascii="Arial" w:eastAsia="Calibri" w:hAnsi="Arial" w:cs="Arial"/>
          <w:sz w:val="20"/>
          <w:szCs w:val="20"/>
        </w:rPr>
      </w:pPr>
      <w:r w:rsidRPr="00DA693C">
        <w:rPr>
          <w:rFonts w:ascii="Arial" w:eastAsia="Calibri" w:hAnsi="Arial" w:cs="Arial"/>
          <w:sz w:val="20"/>
          <w:szCs w:val="20"/>
        </w:rPr>
        <w:br w:type="page"/>
      </w:r>
    </w:p>
    <w:p w14:paraId="78F039E4" w14:textId="77777777" w:rsidR="00C351C6" w:rsidRPr="00DA693C" w:rsidRDefault="00C351C6" w:rsidP="00C351C6">
      <w:pPr>
        <w:spacing w:after="0" w:line="240" w:lineRule="auto"/>
        <w:jc w:val="both"/>
        <w:rPr>
          <w:rFonts w:ascii="Arial" w:eastAsia="Calibri" w:hAnsi="Arial" w:cs="Arial"/>
          <w:b/>
          <w:sz w:val="20"/>
          <w:szCs w:val="20"/>
          <w:u w:val="single"/>
          <w:lang w:eastAsia="en-US"/>
        </w:rPr>
      </w:pPr>
      <w:r w:rsidRPr="00DA693C">
        <w:rPr>
          <w:rFonts w:ascii="Arial" w:eastAsia="Calibri" w:hAnsi="Arial" w:cs="Arial"/>
          <w:b/>
          <w:sz w:val="20"/>
          <w:szCs w:val="20"/>
          <w:u w:val="single"/>
          <w:lang w:eastAsia="en-US"/>
        </w:rPr>
        <w:lastRenderedPageBreak/>
        <w:t>POKAZATELJI USPJEŠNOSTI</w:t>
      </w:r>
    </w:p>
    <w:p w14:paraId="32E9CCB3" w14:textId="77777777" w:rsidR="00C351C6" w:rsidRPr="00DA693C" w:rsidRDefault="00C351C6" w:rsidP="00C351C6">
      <w:pPr>
        <w:spacing w:after="0" w:line="240" w:lineRule="auto"/>
        <w:jc w:val="both"/>
        <w:rPr>
          <w:rFonts w:ascii="Arial" w:eastAsia="Calibri" w:hAnsi="Arial" w:cs="Arial"/>
          <w:b/>
          <w:sz w:val="20"/>
          <w:szCs w:val="20"/>
          <w:u w:val="single"/>
          <w:lang w:eastAsia="en-US"/>
        </w:rPr>
      </w:pPr>
    </w:p>
    <w:p w14:paraId="4E5EC605" w14:textId="77777777" w:rsidR="00C351C6" w:rsidRPr="00DA693C" w:rsidRDefault="00C351C6" w:rsidP="00C351C6">
      <w:pPr>
        <w:spacing w:after="0" w:line="240" w:lineRule="auto"/>
        <w:jc w:val="both"/>
        <w:rPr>
          <w:rFonts w:ascii="Arial" w:eastAsia="Calibri" w:hAnsi="Arial" w:cs="Arial"/>
          <w:sz w:val="20"/>
          <w:szCs w:val="20"/>
          <w:lang w:eastAsia="en-US"/>
        </w:rPr>
      </w:pPr>
      <w:r w:rsidRPr="00DA693C">
        <w:rPr>
          <w:rFonts w:ascii="Arial" w:eastAsia="Calibri" w:hAnsi="Arial" w:cs="Arial"/>
          <w:sz w:val="20"/>
          <w:szCs w:val="20"/>
          <w:lang w:eastAsia="en-US"/>
        </w:rPr>
        <w:t>Javna vatrogasna postrojba Konavle obavlja vatrogasnu djelatnost koja obuhvaća sudjelovanje u provedbi preventivnih mjera zaštite od požara i eksplozija, gašenje požara i spašavanje ljudi i imovine ugroženih požarom i eksplozijom, pružanje tehničke pomoći u nezgodama i opasnim situacijama te obavljanje i drugih poslova u nesrećama.</w:t>
      </w:r>
    </w:p>
    <w:p w14:paraId="24DF833D" w14:textId="77777777" w:rsidR="00C351C6" w:rsidRPr="00DA693C" w:rsidRDefault="00C351C6" w:rsidP="00C351C6">
      <w:pPr>
        <w:spacing w:after="0" w:line="240" w:lineRule="auto"/>
        <w:jc w:val="both"/>
        <w:rPr>
          <w:rFonts w:ascii="Arial" w:eastAsia="Calibri" w:hAnsi="Arial" w:cs="Arial"/>
          <w:sz w:val="20"/>
          <w:szCs w:val="20"/>
          <w:lang w:eastAsia="en-US"/>
        </w:rPr>
      </w:pPr>
    </w:p>
    <w:p w14:paraId="2DBA7156" w14:textId="77777777" w:rsidR="00C351C6" w:rsidRPr="00DA693C" w:rsidRDefault="00C351C6" w:rsidP="00C351C6">
      <w:pPr>
        <w:spacing w:after="0" w:line="240" w:lineRule="auto"/>
        <w:jc w:val="both"/>
        <w:rPr>
          <w:rFonts w:ascii="Arial" w:eastAsia="Calibri" w:hAnsi="Arial" w:cs="Arial"/>
          <w:b/>
          <w:sz w:val="20"/>
          <w:szCs w:val="20"/>
          <w:u w:val="single"/>
          <w:lang w:eastAsia="en-US"/>
        </w:rPr>
      </w:pPr>
      <w:r w:rsidRPr="00DA693C">
        <w:rPr>
          <w:rFonts w:ascii="Arial" w:eastAsia="Calibri" w:hAnsi="Arial" w:cs="Arial"/>
          <w:b/>
          <w:sz w:val="20"/>
          <w:szCs w:val="20"/>
          <w:u w:val="single"/>
          <w:lang w:eastAsia="en-US"/>
        </w:rPr>
        <w:t>CILJ: Povećanje svijesti u mladih o preventivnoj zaštiti od požara i mogućim ugrozama</w:t>
      </w:r>
    </w:p>
    <w:p w14:paraId="649AB03B" w14:textId="77777777" w:rsidR="00C351C6" w:rsidRPr="00DA693C" w:rsidRDefault="00C351C6" w:rsidP="00C351C6">
      <w:pPr>
        <w:spacing w:after="0" w:line="240" w:lineRule="auto"/>
        <w:jc w:val="both"/>
        <w:rPr>
          <w:rFonts w:ascii="Arial" w:eastAsia="Calibri" w:hAnsi="Arial" w:cs="Arial"/>
          <w:sz w:val="20"/>
          <w:szCs w:val="20"/>
          <w:lang w:eastAsia="en-US"/>
        </w:rPr>
      </w:pPr>
    </w:p>
    <w:p w14:paraId="1D67A5EC" w14:textId="77777777" w:rsidR="00C351C6" w:rsidRPr="00DA693C" w:rsidRDefault="00C351C6" w:rsidP="00C351C6">
      <w:pPr>
        <w:spacing w:after="0" w:line="240" w:lineRule="auto"/>
        <w:jc w:val="both"/>
        <w:rPr>
          <w:rFonts w:ascii="Arial" w:eastAsia="Calibri" w:hAnsi="Arial" w:cs="Arial"/>
          <w:sz w:val="20"/>
          <w:szCs w:val="20"/>
          <w:lang w:eastAsia="en-US"/>
        </w:rPr>
      </w:pPr>
      <w:r w:rsidRPr="00DA693C">
        <w:rPr>
          <w:rFonts w:ascii="Arial" w:eastAsia="Calibri" w:hAnsi="Arial" w:cs="Arial"/>
          <w:sz w:val="20"/>
          <w:szCs w:val="20"/>
          <w:lang w:eastAsia="en-US"/>
        </w:rPr>
        <w:t>Cilj ove radionice i edukacije je upoznavanje mladih s opasnostima koje nastaju uslijed izbijanja požara, njihovi pravilni postupci prilikom nastanka istih, te upoznavanje s načinom rada vatrogasne postrojbe, opremom i tehnikom, a sve u svrhu povećanja svijesti o preventivnoj zaštiti od požara, te u skladu s tim i smanjenju broja potrebnih intervencija JVP Konavle.</w:t>
      </w:r>
    </w:p>
    <w:p w14:paraId="75C78D31" w14:textId="77777777" w:rsidR="00F04ABA" w:rsidRPr="00DA693C" w:rsidRDefault="00F04ABA" w:rsidP="00F04ABA">
      <w:pPr>
        <w:spacing w:after="0" w:line="259" w:lineRule="auto"/>
        <w:jc w:val="both"/>
        <w:rPr>
          <w:rFonts w:ascii="Arial" w:eastAsia="Calibri" w:hAnsi="Arial" w:cs="Arial"/>
          <w:sz w:val="20"/>
          <w:szCs w:val="20"/>
          <w:lang w:eastAsia="en-US"/>
        </w:rPr>
      </w:pPr>
      <w:bookmarkStart w:id="369" w:name="_Hlk496173019"/>
    </w:p>
    <w:tbl>
      <w:tblPr>
        <w:tblStyle w:val="Reetkatablice51"/>
        <w:tblW w:w="14230" w:type="dxa"/>
        <w:jc w:val="center"/>
        <w:tblLayout w:type="fixed"/>
        <w:tblLook w:val="04A0" w:firstRow="1" w:lastRow="0" w:firstColumn="1" w:lastColumn="0" w:noHBand="0" w:noVBand="1"/>
      </w:tblPr>
      <w:tblGrid>
        <w:gridCol w:w="1423"/>
        <w:gridCol w:w="2544"/>
        <w:gridCol w:w="1566"/>
        <w:gridCol w:w="1134"/>
        <w:gridCol w:w="1286"/>
        <w:gridCol w:w="1276"/>
        <w:gridCol w:w="1667"/>
        <w:gridCol w:w="1667"/>
        <w:gridCol w:w="1667"/>
      </w:tblGrid>
      <w:tr w:rsidR="00DA693C" w:rsidRPr="00DA693C" w14:paraId="5CF041BE" w14:textId="77777777" w:rsidTr="00617716">
        <w:trPr>
          <w:trHeight w:val="1029"/>
          <w:jc w:val="center"/>
        </w:trPr>
        <w:tc>
          <w:tcPr>
            <w:tcW w:w="1423" w:type="dxa"/>
            <w:shd w:val="clear" w:color="auto" w:fill="BFBFBF"/>
            <w:vAlign w:val="center"/>
          </w:tcPr>
          <w:p w14:paraId="03808372" w14:textId="77777777" w:rsidR="00F04ABA" w:rsidRPr="00DA693C" w:rsidRDefault="00F04ABA" w:rsidP="00F04ABA">
            <w:pPr>
              <w:jc w:val="center"/>
              <w:rPr>
                <w:rFonts w:ascii="Arial" w:eastAsia="Calibri" w:hAnsi="Arial" w:cs="Arial"/>
                <w:lang w:eastAsia="en-US"/>
              </w:rPr>
            </w:pPr>
            <w:r w:rsidRPr="00DA693C">
              <w:rPr>
                <w:rFonts w:ascii="Arial" w:eastAsia="Calibri" w:hAnsi="Arial" w:cs="Arial"/>
                <w:lang w:eastAsia="en-US"/>
              </w:rPr>
              <w:t>Pokazatelj uspješnosti</w:t>
            </w:r>
          </w:p>
        </w:tc>
        <w:tc>
          <w:tcPr>
            <w:tcW w:w="2544" w:type="dxa"/>
            <w:shd w:val="clear" w:color="auto" w:fill="BFBFBF"/>
            <w:vAlign w:val="center"/>
          </w:tcPr>
          <w:p w14:paraId="743F5C97" w14:textId="77777777" w:rsidR="00F04ABA" w:rsidRPr="00DA693C" w:rsidRDefault="00F04ABA" w:rsidP="00F04ABA">
            <w:pPr>
              <w:jc w:val="center"/>
              <w:rPr>
                <w:rFonts w:ascii="Arial" w:eastAsia="Calibri" w:hAnsi="Arial" w:cs="Arial"/>
                <w:lang w:eastAsia="en-US"/>
              </w:rPr>
            </w:pPr>
            <w:r w:rsidRPr="00DA693C">
              <w:rPr>
                <w:rFonts w:ascii="Arial" w:eastAsia="Calibri" w:hAnsi="Arial" w:cs="Arial"/>
                <w:lang w:eastAsia="en-US"/>
              </w:rPr>
              <w:t>Definicija</w:t>
            </w:r>
          </w:p>
        </w:tc>
        <w:tc>
          <w:tcPr>
            <w:tcW w:w="1566" w:type="dxa"/>
            <w:shd w:val="clear" w:color="auto" w:fill="BFBFBF"/>
            <w:vAlign w:val="center"/>
          </w:tcPr>
          <w:p w14:paraId="3DD00531" w14:textId="77777777" w:rsidR="00F04ABA" w:rsidRPr="00DA693C" w:rsidRDefault="00F04ABA" w:rsidP="00F04ABA">
            <w:pPr>
              <w:jc w:val="center"/>
              <w:rPr>
                <w:rFonts w:ascii="Arial" w:eastAsia="Calibri" w:hAnsi="Arial" w:cs="Arial"/>
                <w:lang w:eastAsia="en-US"/>
              </w:rPr>
            </w:pPr>
            <w:r w:rsidRPr="00DA693C">
              <w:rPr>
                <w:rFonts w:ascii="Arial" w:eastAsia="Calibri" w:hAnsi="Arial" w:cs="Arial"/>
                <w:lang w:eastAsia="en-US"/>
              </w:rPr>
              <w:t>Jedinica</w:t>
            </w:r>
          </w:p>
        </w:tc>
        <w:tc>
          <w:tcPr>
            <w:tcW w:w="1134" w:type="dxa"/>
            <w:shd w:val="clear" w:color="auto" w:fill="BFBFBF"/>
            <w:vAlign w:val="center"/>
          </w:tcPr>
          <w:p w14:paraId="6BEAE933" w14:textId="77777777" w:rsidR="00F04ABA" w:rsidRPr="00DA693C" w:rsidRDefault="00F04ABA" w:rsidP="00F04ABA">
            <w:pPr>
              <w:jc w:val="center"/>
              <w:rPr>
                <w:rFonts w:ascii="Arial" w:eastAsia="Calibri" w:hAnsi="Arial" w:cs="Arial"/>
                <w:lang w:eastAsia="en-US"/>
              </w:rPr>
            </w:pPr>
            <w:r w:rsidRPr="00DA693C">
              <w:rPr>
                <w:rFonts w:ascii="Arial" w:eastAsia="Calibri" w:hAnsi="Arial" w:cs="Arial"/>
                <w:lang w:eastAsia="en-US"/>
              </w:rPr>
              <w:t>Polazna vrijednost</w:t>
            </w:r>
          </w:p>
          <w:p w14:paraId="7063F7D9" w14:textId="4455D3B2" w:rsidR="009E4591" w:rsidRPr="00DA693C" w:rsidRDefault="009E4591" w:rsidP="00F04ABA">
            <w:pPr>
              <w:jc w:val="center"/>
              <w:rPr>
                <w:rFonts w:ascii="Arial" w:eastAsia="Calibri" w:hAnsi="Arial" w:cs="Arial"/>
                <w:lang w:eastAsia="en-US"/>
              </w:rPr>
            </w:pPr>
            <w:r w:rsidRPr="00DA693C">
              <w:rPr>
                <w:rFonts w:ascii="Arial" w:eastAsia="Calibri" w:hAnsi="Arial" w:cs="Arial"/>
                <w:lang w:eastAsia="en-US"/>
              </w:rPr>
              <w:t>202</w:t>
            </w:r>
            <w:r w:rsidR="0022553E">
              <w:rPr>
                <w:rFonts w:ascii="Arial" w:eastAsia="Calibri" w:hAnsi="Arial" w:cs="Arial"/>
                <w:lang w:eastAsia="en-US"/>
              </w:rPr>
              <w:t>4</w:t>
            </w:r>
            <w:r w:rsidRPr="00DA693C">
              <w:rPr>
                <w:rFonts w:ascii="Arial" w:eastAsia="Calibri" w:hAnsi="Arial" w:cs="Arial"/>
                <w:lang w:eastAsia="en-US"/>
              </w:rPr>
              <w:t>.</w:t>
            </w:r>
          </w:p>
        </w:tc>
        <w:tc>
          <w:tcPr>
            <w:tcW w:w="1286" w:type="dxa"/>
            <w:shd w:val="clear" w:color="auto" w:fill="BFBFBF"/>
            <w:vAlign w:val="center"/>
          </w:tcPr>
          <w:p w14:paraId="462831DF" w14:textId="77777777" w:rsidR="00F04ABA" w:rsidRPr="00DA693C" w:rsidRDefault="00F04ABA" w:rsidP="00F04ABA">
            <w:pPr>
              <w:jc w:val="center"/>
              <w:rPr>
                <w:rFonts w:ascii="Arial" w:eastAsia="Calibri" w:hAnsi="Arial" w:cs="Arial"/>
                <w:lang w:eastAsia="en-US"/>
              </w:rPr>
            </w:pPr>
            <w:r w:rsidRPr="00DA693C">
              <w:rPr>
                <w:rFonts w:ascii="Arial" w:eastAsia="Calibri" w:hAnsi="Arial" w:cs="Arial"/>
                <w:lang w:eastAsia="en-US"/>
              </w:rPr>
              <w:t>Izvor podataka</w:t>
            </w:r>
          </w:p>
        </w:tc>
        <w:tc>
          <w:tcPr>
            <w:tcW w:w="1276" w:type="dxa"/>
            <w:shd w:val="clear" w:color="auto" w:fill="BFBFBF"/>
            <w:vAlign w:val="center"/>
          </w:tcPr>
          <w:p w14:paraId="0F0E238A" w14:textId="471F2FC9" w:rsidR="00F04ABA" w:rsidRPr="00DA693C" w:rsidRDefault="00F04ABA" w:rsidP="00F04ABA">
            <w:pPr>
              <w:jc w:val="center"/>
              <w:rPr>
                <w:rFonts w:ascii="Arial" w:eastAsia="Calibri" w:hAnsi="Arial" w:cs="Arial"/>
                <w:lang w:eastAsia="en-US"/>
              </w:rPr>
            </w:pPr>
            <w:r w:rsidRPr="00DA693C">
              <w:rPr>
                <w:rFonts w:ascii="Arial" w:eastAsia="Calibri" w:hAnsi="Arial" w:cs="Arial"/>
                <w:lang w:eastAsia="en-US"/>
              </w:rPr>
              <w:t>Ciljana vrijednost 202</w:t>
            </w:r>
            <w:r w:rsidR="0022553E">
              <w:rPr>
                <w:rFonts w:ascii="Arial" w:eastAsia="Calibri" w:hAnsi="Arial" w:cs="Arial"/>
                <w:lang w:eastAsia="en-US"/>
              </w:rPr>
              <w:t>5</w:t>
            </w:r>
            <w:r w:rsidRPr="00DA693C">
              <w:rPr>
                <w:rFonts w:ascii="Arial" w:eastAsia="Calibri" w:hAnsi="Arial" w:cs="Arial"/>
                <w:lang w:eastAsia="en-US"/>
              </w:rPr>
              <w:t>.</w:t>
            </w:r>
          </w:p>
        </w:tc>
        <w:tc>
          <w:tcPr>
            <w:tcW w:w="1667" w:type="dxa"/>
            <w:shd w:val="clear" w:color="auto" w:fill="BFBFBF"/>
            <w:vAlign w:val="center"/>
          </w:tcPr>
          <w:p w14:paraId="2C760B59" w14:textId="131C2A63" w:rsidR="00F04ABA" w:rsidRPr="00DA693C" w:rsidRDefault="00F04ABA" w:rsidP="00F04ABA">
            <w:pPr>
              <w:jc w:val="center"/>
              <w:rPr>
                <w:rFonts w:ascii="Arial" w:eastAsia="Calibri" w:hAnsi="Arial" w:cs="Arial"/>
                <w:lang w:eastAsia="en-US"/>
              </w:rPr>
            </w:pPr>
            <w:r w:rsidRPr="00DA693C">
              <w:rPr>
                <w:rFonts w:ascii="Arial" w:eastAsia="Calibri" w:hAnsi="Arial" w:cs="Arial"/>
                <w:lang w:eastAsia="en-US"/>
              </w:rPr>
              <w:t>Izvršeno 20</w:t>
            </w:r>
            <w:r w:rsidR="0022553E">
              <w:rPr>
                <w:rFonts w:ascii="Arial" w:eastAsia="Calibri" w:hAnsi="Arial" w:cs="Arial"/>
                <w:lang w:eastAsia="en-US"/>
              </w:rPr>
              <w:t>25</w:t>
            </w:r>
            <w:r w:rsidRPr="00DA693C">
              <w:rPr>
                <w:rFonts w:ascii="Arial" w:eastAsia="Calibri" w:hAnsi="Arial" w:cs="Arial"/>
                <w:lang w:eastAsia="en-US"/>
              </w:rPr>
              <w:t>.</w:t>
            </w:r>
          </w:p>
        </w:tc>
        <w:tc>
          <w:tcPr>
            <w:tcW w:w="1667" w:type="dxa"/>
            <w:shd w:val="clear" w:color="auto" w:fill="BFBFBF"/>
            <w:vAlign w:val="center"/>
          </w:tcPr>
          <w:p w14:paraId="479E213C" w14:textId="2F4280D1" w:rsidR="00F04ABA" w:rsidRPr="00DA693C" w:rsidRDefault="00F04ABA" w:rsidP="00F04ABA">
            <w:pPr>
              <w:jc w:val="center"/>
              <w:rPr>
                <w:rFonts w:ascii="Arial" w:eastAsia="Calibri" w:hAnsi="Arial" w:cs="Arial"/>
                <w:lang w:eastAsia="en-US"/>
              </w:rPr>
            </w:pPr>
            <w:r w:rsidRPr="00DA693C">
              <w:rPr>
                <w:rFonts w:ascii="Arial" w:eastAsia="Calibri" w:hAnsi="Arial" w:cs="Arial"/>
                <w:lang w:eastAsia="en-US"/>
              </w:rPr>
              <w:t>Ciljana vrijednost 20</w:t>
            </w:r>
            <w:r w:rsidR="001D7C75" w:rsidRPr="00DA693C">
              <w:rPr>
                <w:rFonts w:ascii="Arial" w:eastAsia="Calibri" w:hAnsi="Arial" w:cs="Arial"/>
                <w:lang w:eastAsia="en-US"/>
              </w:rPr>
              <w:t>2</w:t>
            </w:r>
            <w:r w:rsidR="0022553E">
              <w:rPr>
                <w:rFonts w:ascii="Arial" w:eastAsia="Calibri" w:hAnsi="Arial" w:cs="Arial"/>
                <w:lang w:eastAsia="en-US"/>
              </w:rPr>
              <w:t>6</w:t>
            </w:r>
            <w:r w:rsidRPr="00DA693C">
              <w:rPr>
                <w:rFonts w:ascii="Arial" w:eastAsia="Calibri" w:hAnsi="Arial" w:cs="Arial"/>
                <w:lang w:eastAsia="en-US"/>
              </w:rPr>
              <w:t>.</w:t>
            </w:r>
          </w:p>
        </w:tc>
        <w:tc>
          <w:tcPr>
            <w:tcW w:w="1667" w:type="dxa"/>
            <w:shd w:val="clear" w:color="auto" w:fill="BFBFBF"/>
          </w:tcPr>
          <w:p w14:paraId="186DD4B7" w14:textId="77777777" w:rsidR="00F04ABA" w:rsidRPr="00DA693C" w:rsidRDefault="00F04ABA" w:rsidP="00F04ABA">
            <w:pPr>
              <w:jc w:val="center"/>
              <w:rPr>
                <w:rFonts w:ascii="Arial" w:eastAsia="Calibri" w:hAnsi="Arial" w:cs="Arial"/>
                <w:lang w:eastAsia="en-US"/>
              </w:rPr>
            </w:pPr>
          </w:p>
          <w:p w14:paraId="488622C2" w14:textId="385D5D45" w:rsidR="00F04ABA" w:rsidRPr="00DA693C" w:rsidRDefault="00F04ABA" w:rsidP="00F04ABA">
            <w:pPr>
              <w:jc w:val="center"/>
              <w:rPr>
                <w:rFonts w:ascii="Arial" w:eastAsia="Calibri" w:hAnsi="Arial" w:cs="Arial"/>
                <w:lang w:eastAsia="en-US"/>
              </w:rPr>
            </w:pPr>
            <w:r w:rsidRPr="00DA693C">
              <w:rPr>
                <w:rFonts w:ascii="Arial" w:eastAsia="Calibri" w:hAnsi="Arial" w:cs="Arial"/>
                <w:lang w:eastAsia="en-US"/>
              </w:rPr>
              <w:t>Ciljana vrijednost 202</w:t>
            </w:r>
            <w:r w:rsidR="0022553E">
              <w:rPr>
                <w:rFonts w:ascii="Arial" w:eastAsia="Calibri" w:hAnsi="Arial" w:cs="Arial"/>
                <w:lang w:eastAsia="en-US"/>
              </w:rPr>
              <w:t>7</w:t>
            </w:r>
            <w:r w:rsidRPr="00DA693C">
              <w:rPr>
                <w:rFonts w:ascii="Arial" w:eastAsia="Calibri" w:hAnsi="Arial" w:cs="Arial"/>
                <w:lang w:eastAsia="en-US"/>
              </w:rPr>
              <w:t xml:space="preserve">. </w:t>
            </w:r>
          </w:p>
        </w:tc>
      </w:tr>
      <w:tr w:rsidR="004E3E83" w:rsidRPr="00DA693C" w14:paraId="748F4AD1" w14:textId="77777777" w:rsidTr="00977A67">
        <w:trPr>
          <w:trHeight w:val="1031"/>
          <w:jc w:val="center"/>
        </w:trPr>
        <w:tc>
          <w:tcPr>
            <w:tcW w:w="1423" w:type="dxa"/>
            <w:vAlign w:val="center"/>
          </w:tcPr>
          <w:p w14:paraId="08170AFE" w14:textId="77777777" w:rsidR="004E3E83" w:rsidRPr="00DA693C" w:rsidRDefault="004E3E83" w:rsidP="004E3E83">
            <w:pPr>
              <w:rPr>
                <w:rFonts w:ascii="Arial" w:eastAsia="Calibri" w:hAnsi="Arial" w:cs="Arial"/>
                <w:sz w:val="18"/>
                <w:lang w:eastAsia="en-US"/>
              </w:rPr>
            </w:pPr>
            <w:r w:rsidRPr="00DA693C">
              <w:rPr>
                <w:rFonts w:ascii="Arial" w:eastAsia="Calibri" w:hAnsi="Arial" w:cs="Arial"/>
                <w:sz w:val="18"/>
                <w:lang w:eastAsia="en-US"/>
              </w:rPr>
              <w:t>Provođenje edukacije za osnovne škole i vrtiće</w:t>
            </w:r>
          </w:p>
        </w:tc>
        <w:tc>
          <w:tcPr>
            <w:tcW w:w="2544" w:type="dxa"/>
            <w:vAlign w:val="center"/>
          </w:tcPr>
          <w:p w14:paraId="770D5423" w14:textId="77777777" w:rsidR="004E3E83" w:rsidRPr="00DA693C" w:rsidRDefault="004E3E83" w:rsidP="004E3E83">
            <w:pPr>
              <w:rPr>
                <w:rFonts w:ascii="Arial" w:eastAsia="Calibri" w:hAnsi="Arial" w:cs="Arial"/>
                <w:sz w:val="18"/>
                <w:lang w:eastAsia="en-US"/>
              </w:rPr>
            </w:pPr>
            <w:r w:rsidRPr="00DA693C">
              <w:rPr>
                <w:rFonts w:ascii="Arial" w:eastAsia="Calibri" w:hAnsi="Arial" w:cs="Arial"/>
                <w:sz w:val="18"/>
                <w:lang w:eastAsia="en-US"/>
              </w:rPr>
              <w:t>Uspješno provođenje edukacije kod djece pomaže u preventivnim mjerama opasnosti od požara</w:t>
            </w:r>
          </w:p>
        </w:tc>
        <w:tc>
          <w:tcPr>
            <w:tcW w:w="1566" w:type="dxa"/>
            <w:vAlign w:val="center"/>
          </w:tcPr>
          <w:p w14:paraId="5561C6D0" w14:textId="77777777" w:rsidR="004E3E83" w:rsidRPr="00DA693C" w:rsidRDefault="004E3E83" w:rsidP="004E3E83">
            <w:pPr>
              <w:jc w:val="center"/>
              <w:rPr>
                <w:rFonts w:ascii="Arial" w:eastAsia="Calibri" w:hAnsi="Arial" w:cs="Arial"/>
                <w:sz w:val="18"/>
                <w:lang w:eastAsia="en-US"/>
              </w:rPr>
            </w:pPr>
            <w:r w:rsidRPr="00DA693C">
              <w:rPr>
                <w:rFonts w:ascii="Arial" w:eastAsia="Calibri" w:hAnsi="Arial" w:cs="Arial"/>
                <w:sz w:val="18"/>
                <w:lang w:eastAsia="en-US"/>
              </w:rPr>
              <w:t>Broj održanih edukacija kroz godinu</w:t>
            </w:r>
          </w:p>
        </w:tc>
        <w:tc>
          <w:tcPr>
            <w:tcW w:w="1134" w:type="dxa"/>
            <w:vAlign w:val="center"/>
          </w:tcPr>
          <w:p w14:paraId="2314FC65" w14:textId="77777777" w:rsidR="004E3E83" w:rsidRPr="00DA693C" w:rsidRDefault="004E3E83" w:rsidP="004E3E83">
            <w:pPr>
              <w:jc w:val="center"/>
              <w:rPr>
                <w:rFonts w:ascii="Arial" w:eastAsia="Calibri" w:hAnsi="Arial" w:cs="Arial"/>
                <w:sz w:val="18"/>
                <w:lang w:eastAsia="en-US"/>
              </w:rPr>
            </w:pPr>
            <w:r w:rsidRPr="00DA693C">
              <w:rPr>
                <w:rFonts w:ascii="Arial" w:eastAsia="Calibri" w:hAnsi="Arial" w:cs="Arial"/>
                <w:sz w:val="18"/>
                <w:lang w:eastAsia="en-US"/>
              </w:rPr>
              <w:t>3</w:t>
            </w:r>
          </w:p>
          <w:p w14:paraId="77237891" w14:textId="77777777" w:rsidR="004E3E83" w:rsidRPr="00DA693C" w:rsidRDefault="004E3E83" w:rsidP="004E3E83">
            <w:pPr>
              <w:jc w:val="center"/>
              <w:rPr>
                <w:rFonts w:ascii="Arial" w:eastAsia="Calibri" w:hAnsi="Arial" w:cs="Arial"/>
                <w:sz w:val="18"/>
                <w:lang w:eastAsia="en-US"/>
              </w:rPr>
            </w:pPr>
            <w:r w:rsidRPr="00DA693C">
              <w:rPr>
                <w:rFonts w:ascii="Arial" w:eastAsia="Calibri" w:hAnsi="Arial" w:cs="Arial"/>
                <w:sz w:val="18"/>
                <w:lang w:eastAsia="en-US"/>
              </w:rPr>
              <w:t>(tri puta godišnje u osnovnim školama)</w:t>
            </w:r>
          </w:p>
        </w:tc>
        <w:tc>
          <w:tcPr>
            <w:tcW w:w="1286" w:type="dxa"/>
            <w:vAlign w:val="center"/>
          </w:tcPr>
          <w:p w14:paraId="26D556A0" w14:textId="77777777" w:rsidR="004E3E83" w:rsidRPr="00DA693C" w:rsidRDefault="004E3E83" w:rsidP="004E3E83">
            <w:pPr>
              <w:jc w:val="center"/>
              <w:rPr>
                <w:rFonts w:ascii="Arial" w:eastAsia="Calibri" w:hAnsi="Arial" w:cs="Arial"/>
                <w:sz w:val="18"/>
                <w:lang w:eastAsia="en-US"/>
              </w:rPr>
            </w:pPr>
            <w:r w:rsidRPr="00DA693C">
              <w:rPr>
                <w:rFonts w:ascii="Arial" w:eastAsia="Calibri" w:hAnsi="Arial" w:cs="Arial"/>
                <w:sz w:val="18"/>
                <w:lang w:eastAsia="en-US"/>
              </w:rPr>
              <w:t xml:space="preserve">Javna vatrogasna postrojba Konavle </w:t>
            </w:r>
          </w:p>
        </w:tc>
        <w:tc>
          <w:tcPr>
            <w:tcW w:w="1276" w:type="dxa"/>
            <w:vAlign w:val="center"/>
          </w:tcPr>
          <w:p w14:paraId="61690D04" w14:textId="0DC43FDA" w:rsidR="004E3E83" w:rsidRPr="00DA693C" w:rsidRDefault="004E3E83" w:rsidP="004E3E83">
            <w:pPr>
              <w:jc w:val="center"/>
              <w:rPr>
                <w:rFonts w:ascii="Arial" w:eastAsia="Calibri" w:hAnsi="Arial" w:cs="Arial"/>
                <w:sz w:val="18"/>
                <w:lang w:eastAsia="en-US"/>
              </w:rPr>
            </w:pPr>
            <w:r w:rsidRPr="00DA693C">
              <w:rPr>
                <w:rFonts w:ascii="Arial" w:eastAsia="Calibri" w:hAnsi="Arial" w:cs="Arial"/>
                <w:sz w:val="18"/>
                <w:lang w:eastAsia="en-US"/>
              </w:rPr>
              <w:t>16</w:t>
            </w:r>
          </w:p>
          <w:p w14:paraId="16254AF1" w14:textId="4DF36706" w:rsidR="004E3E83" w:rsidRPr="00DA693C" w:rsidRDefault="004E3E83" w:rsidP="004E3E83">
            <w:pPr>
              <w:jc w:val="center"/>
              <w:rPr>
                <w:rFonts w:ascii="Arial" w:eastAsia="Calibri" w:hAnsi="Arial" w:cs="Arial"/>
                <w:sz w:val="18"/>
                <w:lang w:eastAsia="en-US"/>
              </w:rPr>
            </w:pPr>
            <w:r w:rsidRPr="00DA693C">
              <w:rPr>
                <w:rFonts w:ascii="Arial" w:eastAsia="Calibri" w:hAnsi="Arial" w:cs="Arial"/>
                <w:sz w:val="18"/>
                <w:lang w:eastAsia="en-US"/>
              </w:rPr>
              <w:t>(šesnaest puta godišnje u osnovnim školama)</w:t>
            </w:r>
          </w:p>
        </w:tc>
        <w:tc>
          <w:tcPr>
            <w:tcW w:w="1667" w:type="dxa"/>
            <w:vAlign w:val="center"/>
          </w:tcPr>
          <w:p w14:paraId="2FB8B606" w14:textId="61262EF2" w:rsidR="004E3E83" w:rsidRPr="00DA693C" w:rsidRDefault="004E3E83" w:rsidP="004E3E83">
            <w:pPr>
              <w:jc w:val="center"/>
              <w:rPr>
                <w:rFonts w:ascii="Arial" w:eastAsia="Calibri" w:hAnsi="Arial" w:cs="Arial"/>
                <w:sz w:val="18"/>
                <w:lang w:eastAsia="en-US"/>
              </w:rPr>
            </w:pPr>
            <w:r>
              <w:rPr>
                <w:rFonts w:ascii="Arial" w:eastAsia="Calibri" w:hAnsi="Arial" w:cs="Arial"/>
                <w:sz w:val="18"/>
                <w:lang w:eastAsia="en-US"/>
              </w:rPr>
              <w:t>4</w:t>
            </w:r>
            <w:r w:rsidRPr="00DA693C">
              <w:rPr>
                <w:rFonts w:ascii="Arial" w:eastAsia="Calibri" w:hAnsi="Arial" w:cs="Arial"/>
                <w:sz w:val="18"/>
                <w:lang w:eastAsia="en-US"/>
              </w:rPr>
              <w:t xml:space="preserve"> (</w:t>
            </w:r>
            <w:r w:rsidR="00E94E51">
              <w:rPr>
                <w:rFonts w:ascii="Arial" w:eastAsia="Calibri" w:hAnsi="Arial" w:cs="Arial"/>
                <w:sz w:val="18"/>
                <w:lang w:eastAsia="en-US"/>
              </w:rPr>
              <w:t>četiri</w:t>
            </w:r>
            <w:r w:rsidRPr="00DA693C">
              <w:rPr>
                <w:rFonts w:ascii="Arial" w:eastAsia="Calibri" w:hAnsi="Arial" w:cs="Arial"/>
                <w:sz w:val="18"/>
                <w:lang w:eastAsia="en-US"/>
              </w:rPr>
              <w:t xml:space="preserve"> puta godišnje u osnovnim školama i dječjim vrtićima)</w:t>
            </w:r>
          </w:p>
        </w:tc>
        <w:tc>
          <w:tcPr>
            <w:tcW w:w="1667" w:type="dxa"/>
          </w:tcPr>
          <w:p w14:paraId="055AA5B6" w14:textId="77777777" w:rsidR="004E3E83" w:rsidRPr="00DA693C" w:rsidRDefault="004E3E83" w:rsidP="004E3E83">
            <w:pPr>
              <w:jc w:val="center"/>
              <w:rPr>
                <w:rFonts w:ascii="Arial" w:eastAsia="Calibri" w:hAnsi="Arial" w:cs="Arial"/>
                <w:sz w:val="18"/>
                <w:lang w:eastAsia="en-US"/>
              </w:rPr>
            </w:pPr>
            <w:r w:rsidRPr="00DA693C">
              <w:rPr>
                <w:rFonts w:ascii="Arial" w:eastAsia="Calibri" w:hAnsi="Arial" w:cs="Arial"/>
                <w:sz w:val="18"/>
                <w:lang w:eastAsia="en-US"/>
              </w:rPr>
              <w:t>16</w:t>
            </w:r>
          </w:p>
          <w:p w14:paraId="1A3ED400" w14:textId="0193F16A" w:rsidR="004E3E83" w:rsidRPr="00DA693C" w:rsidRDefault="004E3E83" w:rsidP="004E3E83">
            <w:pPr>
              <w:jc w:val="center"/>
              <w:rPr>
                <w:rFonts w:ascii="Arial" w:eastAsia="Calibri" w:hAnsi="Arial" w:cs="Arial"/>
                <w:sz w:val="18"/>
                <w:lang w:eastAsia="en-US"/>
              </w:rPr>
            </w:pPr>
            <w:r w:rsidRPr="00DA693C">
              <w:rPr>
                <w:rFonts w:ascii="Arial" w:eastAsia="Calibri" w:hAnsi="Arial" w:cs="Arial"/>
                <w:sz w:val="18"/>
                <w:lang w:eastAsia="en-US"/>
              </w:rPr>
              <w:t>(šesnaest puta godišnje u osnovnim školama i vrtićima)</w:t>
            </w:r>
          </w:p>
        </w:tc>
        <w:tc>
          <w:tcPr>
            <w:tcW w:w="1667" w:type="dxa"/>
          </w:tcPr>
          <w:p w14:paraId="7757BAD8" w14:textId="14C01E86" w:rsidR="004E3E83" w:rsidRPr="00DA693C" w:rsidRDefault="004E3E83" w:rsidP="004E3E83">
            <w:pPr>
              <w:jc w:val="center"/>
              <w:rPr>
                <w:rFonts w:ascii="Arial" w:eastAsia="Calibri" w:hAnsi="Arial" w:cs="Arial"/>
                <w:sz w:val="18"/>
                <w:lang w:eastAsia="en-US"/>
              </w:rPr>
            </w:pPr>
            <w:r>
              <w:rPr>
                <w:rFonts w:ascii="Arial" w:eastAsia="Calibri" w:hAnsi="Arial" w:cs="Arial"/>
                <w:sz w:val="18"/>
                <w:lang w:eastAsia="en-US"/>
              </w:rPr>
              <w:t>17</w:t>
            </w:r>
          </w:p>
          <w:p w14:paraId="7BA7EF2B" w14:textId="02BBD17A" w:rsidR="004E3E83" w:rsidRPr="00DA693C" w:rsidRDefault="004E3E83" w:rsidP="004E3E83">
            <w:pPr>
              <w:jc w:val="center"/>
              <w:rPr>
                <w:rFonts w:ascii="Arial" w:eastAsia="Calibri" w:hAnsi="Arial" w:cs="Arial"/>
                <w:sz w:val="18"/>
                <w:lang w:eastAsia="en-US"/>
              </w:rPr>
            </w:pPr>
            <w:r w:rsidRPr="00DA693C">
              <w:rPr>
                <w:rFonts w:ascii="Arial" w:eastAsia="Calibri" w:hAnsi="Arial" w:cs="Arial"/>
                <w:sz w:val="18"/>
                <w:lang w:eastAsia="en-US"/>
              </w:rPr>
              <w:t>(</w:t>
            </w:r>
            <w:r>
              <w:rPr>
                <w:rFonts w:ascii="Arial" w:eastAsia="Calibri" w:hAnsi="Arial" w:cs="Arial"/>
                <w:sz w:val="18"/>
                <w:lang w:eastAsia="en-US"/>
              </w:rPr>
              <w:t xml:space="preserve">sedamnaest </w:t>
            </w:r>
            <w:r w:rsidRPr="00DA693C">
              <w:rPr>
                <w:rFonts w:ascii="Arial" w:eastAsia="Calibri" w:hAnsi="Arial" w:cs="Arial"/>
                <w:sz w:val="18"/>
                <w:lang w:eastAsia="en-US"/>
              </w:rPr>
              <w:t>puta godišnje u osnovnim školama i vrtićima)</w:t>
            </w:r>
          </w:p>
        </w:tc>
      </w:tr>
    </w:tbl>
    <w:p w14:paraId="0E9254BE" w14:textId="77777777" w:rsidR="00F04ABA" w:rsidRPr="00DA693C" w:rsidRDefault="00F04ABA" w:rsidP="00F04ABA">
      <w:pPr>
        <w:spacing w:after="0" w:line="240" w:lineRule="auto"/>
        <w:jc w:val="both"/>
        <w:rPr>
          <w:rFonts w:ascii="Arial" w:eastAsia="Calibri" w:hAnsi="Arial" w:cs="Arial"/>
          <w:sz w:val="20"/>
          <w:szCs w:val="20"/>
          <w:lang w:eastAsia="en-US"/>
        </w:rPr>
      </w:pPr>
    </w:p>
    <w:p w14:paraId="104907BF" w14:textId="77777777" w:rsidR="00E94E51" w:rsidRPr="00E94E51" w:rsidRDefault="00E94E51" w:rsidP="00E94E51">
      <w:pPr>
        <w:spacing w:after="0" w:line="240" w:lineRule="auto"/>
        <w:jc w:val="both"/>
        <w:rPr>
          <w:rFonts w:ascii="Arial" w:eastAsia="Calibri" w:hAnsi="Arial" w:cs="Arial"/>
          <w:bCs/>
          <w:sz w:val="20"/>
          <w:szCs w:val="20"/>
          <w:lang w:eastAsia="en-US"/>
        </w:rPr>
      </w:pPr>
      <w:r w:rsidRPr="00E94E51">
        <w:rPr>
          <w:rFonts w:ascii="Arial" w:eastAsia="Calibri" w:hAnsi="Arial" w:cs="Arial"/>
          <w:bCs/>
          <w:sz w:val="20"/>
          <w:szCs w:val="20"/>
          <w:lang w:eastAsia="en-US"/>
        </w:rPr>
        <w:t>Tokom mjeseca travanja 2025 godine djelatnici JVP Konavle su u novom vatrogasnom domu proveli prezentaciju osnova sigurnosti u slučaju požara te ih upoznali sa vatrogasnom opremom i vatrogasnim vozilima za djecu od prvog do četvrtog razreda Osnovne škole Gruda i Područne škole Čilipi.</w:t>
      </w:r>
    </w:p>
    <w:p w14:paraId="5CBADE29" w14:textId="77777777" w:rsidR="00E94E51" w:rsidRPr="00E94E51" w:rsidRDefault="00E94E51" w:rsidP="00E94E51">
      <w:pPr>
        <w:spacing w:after="0" w:line="240" w:lineRule="auto"/>
        <w:jc w:val="both"/>
        <w:rPr>
          <w:rFonts w:ascii="Arial" w:eastAsia="Calibri" w:hAnsi="Arial" w:cs="Arial"/>
          <w:bCs/>
          <w:sz w:val="20"/>
          <w:szCs w:val="20"/>
          <w:lang w:eastAsia="en-US"/>
        </w:rPr>
      </w:pPr>
    </w:p>
    <w:p w14:paraId="07E9B872" w14:textId="77777777" w:rsidR="00E94E51" w:rsidRPr="00E94E51" w:rsidRDefault="00E94E51" w:rsidP="00E94E51">
      <w:pPr>
        <w:spacing w:after="0" w:line="240" w:lineRule="auto"/>
        <w:jc w:val="both"/>
        <w:rPr>
          <w:rFonts w:ascii="Arial" w:eastAsia="Calibri" w:hAnsi="Arial" w:cs="Arial"/>
          <w:bCs/>
          <w:sz w:val="20"/>
          <w:szCs w:val="20"/>
          <w:lang w:eastAsia="en-US"/>
        </w:rPr>
      </w:pPr>
      <w:r w:rsidRPr="00E94E51">
        <w:rPr>
          <w:rFonts w:ascii="Arial" w:eastAsia="Calibri" w:hAnsi="Arial" w:cs="Arial"/>
          <w:bCs/>
          <w:sz w:val="20"/>
          <w:szCs w:val="20"/>
          <w:lang w:eastAsia="en-US"/>
        </w:rPr>
        <w:t>Tokom mjeseca svibnja 2025. godine djelatnici JVP Konavle u suradnji sa Civilnom zaštitom Dubrovnik su proveli edukaciju djece u području smanjenja rizika od katastrofa u Područnoj školi Stravča.</w:t>
      </w:r>
    </w:p>
    <w:p w14:paraId="3642C1C1" w14:textId="77777777" w:rsidR="009E4591" w:rsidRPr="00DA693C" w:rsidRDefault="009E4591" w:rsidP="0004293C">
      <w:pPr>
        <w:spacing w:after="0" w:line="240" w:lineRule="auto"/>
        <w:jc w:val="both"/>
        <w:rPr>
          <w:rFonts w:ascii="Arial" w:eastAsia="Calibri" w:hAnsi="Arial" w:cs="Arial"/>
          <w:b/>
          <w:sz w:val="20"/>
          <w:szCs w:val="20"/>
          <w:u w:val="single"/>
          <w:lang w:eastAsia="en-US"/>
        </w:rPr>
      </w:pPr>
    </w:p>
    <w:p w14:paraId="0A8BC9F8" w14:textId="77777777" w:rsidR="009E4591" w:rsidRPr="00DA693C" w:rsidRDefault="009E4591" w:rsidP="0004293C">
      <w:pPr>
        <w:spacing w:after="0" w:line="240" w:lineRule="auto"/>
        <w:jc w:val="both"/>
        <w:rPr>
          <w:rFonts w:ascii="Arial" w:eastAsia="Calibri" w:hAnsi="Arial" w:cs="Arial"/>
          <w:b/>
          <w:sz w:val="20"/>
          <w:szCs w:val="20"/>
          <w:u w:val="single"/>
          <w:lang w:eastAsia="en-US"/>
        </w:rPr>
      </w:pPr>
    </w:p>
    <w:p w14:paraId="69912716" w14:textId="61D72725" w:rsidR="0004293C" w:rsidRPr="00DA693C" w:rsidRDefault="0004293C" w:rsidP="0004293C">
      <w:pPr>
        <w:spacing w:after="0" w:line="240" w:lineRule="auto"/>
        <w:jc w:val="both"/>
        <w:rPr>
          <w:rFonts w:ascii="Arial" w:eastAsia="Calibri" w:hAnsi="Arial" w:cs="Arial"/>
          <w:b/>
          <w:sz w:val="20"/>
          <w:szCs w:val="20"/>
          <w:u w:val="single"/>
          <w:lang w:eastAsia="en-US"/>
        </w:rPr>
      </w:pPr>
      <w:r w:rsidRPr="00DA693C">
        <w:rPr>
          <w:rFonts w:ascii="Arial" w:eastAsia="Calibri" w:hAnsi="Arial" w:cs="Arial"/>
          <w:b/>
          <w:sz w:val="20"/>
          <w:szCs w:val="20"/>
          <w:u w:val="single"/>
          <w:lang w:eastAsia="en-US"/>
        </w:rPr>
        <w:t>CILJ: Efikasnija iskorištenost kapaciteta Javne vatrogasne postrojbe na teritoriju RH</w:t>
      </w:r>
    </w:p>
    <w:p w14:paraId="0095630B" w14:textId="77777777" w:rsidR="0004293C" w:rsidRPr="00DA693C" w:rsidRDefault="0004293C" w:rsidP="0004293C">
      <w:pPr>
        <w:spacing w:after="0" w:line="240" w:lineRule="auto"/>
        <w:jc w:val="both"/>
        <w:rPr>
          <w:rFonts w:ascii="Arial" w:eastAsia="Calibri" w:hAnsi="Arial" w:cs="Arial"/>
          <w:sz w:val="20"/>
          <w:szCs w:val="20"/>
          <w:lang w:eastAsia="en-US"/>
        </w:rPr>
      </w:pPr>
    </w:p>
    <w:p w14:paraId="7E054D9F" w14:textId="77777777" w:rsidR="0004293C" w:rsidRPr="00DA693C" w:rsidRDefault="0004293C" w:rsidP="0004293C">
      <w:pPr>
        <w:spacing w:after="0" w:line="240" w:lineRule="auto"/>
        <w:jc w:val="both"/>
        <w:rPr>
          <w:rFonts w:ascii="Arial" w:eastAsia="Calibri" w:hAnsi="Arial" w:cs="Arial"/>
          <w:sz w:val="20"/>
          <w:szCs w:val="20"/>
          <w:lang w:eastAsia="en-US"/>
        </w:rPr>
      </w:pPr>
      <w:r w:rsidRPr="00DA693C">
        <w:rPr>
          <w:rFonts w:ascii="Arial" w:eastAsia="Calibri" w:hAnsi="Arial" w:cs="Arial"/>
          <w:sz w:val="20"/>
          <w:szCs w:val="20"/>
          <w:lang w:eastAsia="en-US"/>
        </w:rPr>
        <w:t>Ovim ciljem se postiže dodatna obučenost određenog broja interventnih vatrogasaca u JVP Konavle, koji se osposobljavaju za ispomoć prilikom velikih i zahtjevnih vatrogasnih intervencija na drugim područjima, tj kvalitetnoj pomoći drugim sredinama ugroženih katastrofom.</w:t>
      </w:r>
    </w:p>
    <w:p w14:paraId="5702FB00" w14:textId="77777777" w:rsidR="00617716" w:rsidRPr="00DA693C" w:rsidRDefault="00617716" w:rsidP="00617716">
      <w:pPr>
        <w:spacing w:after="0" w:line="240" w:lineRule="auto"/>
        <w:jc w:val="both"/>
        <w:rPr>
          <w:rFonts w:ascii="Arial" w:eastAsia="Calibri" w:hAnsi="Arial" w:cs="Arial"/>
          <w:b/>
          <w:sz w:val="20"/>
          <w:szCs w:val="20"/>
          <w:lang w:eastAsia="en-US"/>
        </w:rPr>
      </w:pPr>
    </w:p>
    <w:tbl>
      <w:tblPr>
        <w:tblStyle w:val="Reetkatablice51"/>
        <w:tblW w:w="14739" w:type="dxa"/>
        <w:tblInd w:w="137" w:type="dxa"/>
        <w:tblLayout w:type="fixed"/>
        <w:tblLook w:val="04A0" w:firstRow="1" w:lastRow="0" w:firstColumn="1" w:lastColumn="0" w:noHBand="0" w:noVBand="1"/>
      </w:tblPr>
      <w:tblGrid>
        <w:gridCol w:w="1840"/>
        <w:gridCol w:w="2551"/>
        <w:gridCol w:w="1418"/>
        <w:gridCol w:w="1276"/>
        <w:gridCol w:w="1275"/>
        <w:gridCol w:w="1418"/>
        <w:gridCol w:w="1418"/>
        <w:gridCol w:w="1418"/>
        <w:gridCol w:w="2125"/>
      </w:tblGrid>
      <w:tr w:rsidR="00DA693C" w:rsidRPr="00DA693C" w14:paraId="2272D2B9" w14:textId="77777777" w:rsidTr="00992310">
        <w:tc>
          <w:tcPr>
            <w:tcW w:w="18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8641966" w14:textId="7777777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Pokazatelj uspješnosti</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32F3533" w14:textId="7777777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Definicija</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518A284" w14:textId="7777777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Jedinica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6C3A527" w14:textId="7777777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Polazna vrijednost</w:t>
            </w:r>
          </w:p>
          <w:p w14:paraId="7D1F9C9B" w14:textId="698079BA" w:rsidR="009E4591" w:rsidRPr="00DA693C" w:rsidRDefault="009E4591" w:rsidP="0014454D">
            <w:pPr>
              <w:jc w:val="center"/>
              <w:rPr>
                <w:rFonts w:ascii="Arial" w:eastAsia="Calibri" w:hAnsi="Arial" w:cs="Arial"/>
                <w:lang w:eastAsia="en-US"/>
              </w:rPr>
            </w:pPr>
            <w:r w:rsidRPr="00DA693C">
              <w:rPr>
                <w:rFonts w:ascii="Arial" w:eastAsia="Calibri" w:hAnsi="Arial" w:cs="Arial"/>
                <w:lang w:eastAsia="en-US"/>
              </w:rPr>
              <w:t>202</w:t>
            </w:r>
            <w:r w:rsidR="00E94E51">
              <w:rPr>
                <w:rFonts w:ascii="Arial" w:eastAsia="Calibri" w:hAnsi="Arial" w:cs="Arial"/>
                <w:lang w:eastAsia="en-US"/>
              </w:rPr>
              <w:t>4</w:t>
            </w:r>
            <w:r w:rsidRPr="00DA693C">
              <w:rPr>
                <w:rFonts w:ascii="Arial" w:eastAsia="Calibri" w:hAnsi="Arial" w:cs="Arial"/>
                <w:lang w:eastAsia="en-US"/>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0C7F3C6" w14:textId="7777777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Izvor podataka</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1DFCA5F" w14:textId="7C18B23A"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Ciljana vrijednost 20</w:t>
            </w:r>
            <w:r w:rsidR="009E4591" w:rsidRPr="00DA693C">
              <w:rPr>
                <w:rFonts w:ascii="Arial" w:eastAsia="Calibri" w:hAnsi="Arial" w:cs="Arial"/>
                <w:lang w:eastAsia="en-US"/>
              </w:rPr>
              <w:t>2</w:t>
            </w:r>
            <w:r w:rsidR="00E94E51">
              <w:rPr>
                <w:rFonts w:ascii="Arial" w:eastAsia="Calibri" w:hAnsi="Arial" w:cs="Arial"/>
                <w:lang w:eastAsia="en-US"/>
              </w:rPr>
              <w:t>5</w:t>
            </w:r>
            <w:r w:rsidRPr="00DA693C">
              <w:rPr>
                <w:rFonts w:ascii="Arial" w:eastAsia="Calibri" w:hAnsi="Arial" w:cs="Arial"/>
                <w:lang w:eastAsia="en-US"/>
              </w:rPr>
              <w:t>.</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1637761" w14:textId="5A7A4372"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Izvršeno 202</w:t>
            </w:r>
            <w:r w:rsidR="00E94E51">
              <w:rPr>
                <w:rFonts w:ascii="Arial" w:eastAsia="Calibri" w:hAnsi="Arial" w:cs="Arial"/>
                <w:lang w:eastAsia="en-US"/>
              </w:rPr>
              <w:t>5</w:t>
            </w:r>
            <w:r w:rsidR="009E4591" w:rsidRPr="00DA693C">
              <w:rPr>
                <w:rFonts w:ascii="Arial" w:eastAsia="Calibri" w:hAnsi="Arial" w:cs="Arial"/>
                <w:lang w:eastAsia="en-US"/>
              </w:rPr>
              <w:t>4</w:t>
            </w:r>
            <w:r w:rsidRPr="00DA693C">
              <w:rPr>
                <w:rFonts w:ascii="Arial" w:eastAsia="Calibri" w:hAnsi="Arial" w:cs="Arial"/>
                <w:lang w:eastAsia="en-US"/>
              </w:rPr>
              <w:t>.</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FE7880D" w14:textId="32C8E78F"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Ciljana vrijednost 202</w:t>
            </w:r>
            <w:r w:rsidR="00E94E51">
              <w:rPr>
                <w:rFonts w:ascii="Arial" w:eastAsia="Calibri" w:hAnsi="Arial" w:cs="Arial"/>
                <w:lang w:eastAsia="en-US"/>
              </w:rPr>
              <w:t>6</w:t>
            </w:r>
            <w:r w:rsidRPr="00DA693C">
              <w:rPr>
                <w:rFonts w:ascii="Arial" w:eastAsia="Calibri" w:hAnsi="Arial" w:cs="Arial"/>
                <w:lang w:eastAsia="en-US"/>
              </w:rPr>
              <w:t>.</w:t>
            </w:r>
          </w:p>
        </w:tc>
        <w:tc>
          <w:tcPr>
            <w:tcW w:w="2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05B1CF5" w14:textId="181B04F0"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Ciljana vrijednost 202</w:t>
            </w:r>
            <w:r w:rsidR="00E94E51">
              <w:rPr>
                <w:rFonts w:ascii="Arial" w:eastAsia="Calibri" w:hAnsi="Arial" w:cs="Arial"/>
                <w:lang w:eastAsia="en-US"/>
              </w:rPr>
              <w:t>7</w:t>
            </w:r>
            <w:r w:rsidRPr="00DA693C">
              <w:rPr>
                <w:rFonts w:ascii="Arial" w:eastAsia="Calibri" w:hAnsi="Arial" w:cs="Arial"/>
                <w:lang w:eastAsia="en-US"/>
              </w:rPr>
              <w:t>.</w:t>
            </w:r>
          </w:p>
        </w:tc>
      </w:tr>
      <w:tr w:rsidR="00617716" w:rsidRPr="00DA693C" w14:paraId="4F214033" w14:textId="77777777" w:rsidTr="00992310">
        <w:trPr>
          <w:trHeight w:val="745"/>
        </w:trPr>
        <w:tc>
          <w:tcPr>
            <w:tcW w:w="1840" w:type="dxa"/>
            <w:tcBorders>
              <w:top w:val="single" w:sz="4" w:space="0" w:color="000000"/>
              <w:left w:val="single" w:sz="4" w:space="0" w:color="000000"/>
              <w:bottom w:val="single" w:sz="4" w:space="0" w:color="000000"/>
              <w:right w:val="single" w:sz="4" w:space="0" w:color="000000"/>
            </w:tcBorders>
            <w:vAlign w:val="center"/>
          </w:tcPr>
          <w:p w14:paraId="2A0AD661" w14:textId="77777777" w:rsidR="00617716" w:rsidRPr="00DA693C" w:rsidRDefault="00617716" w:rsidP="00617716">
            <w:pPr>
              <w:rPr>
                <w:rFonts w:ascii="Arial" w:eastAsia="Calibri" w:hAnsi="Arial" w:cs="Arial"/>
                <w:sz w:val="18"/>
                <w:lang w:eastAsia="en-US"/>
              </w:rPr>
            </w:pPr>
            <w:r w:rsidRPr="00DA693C">
              <w:rPr>
                <w:rFonts w:ascii="Arial" w:eastAsia="Calibri" w:hAnsi="Arial" w:cs="Arial"/>
                <w:sz w:val="18"/>
                <w:lang w:eastAsia="en-US"/>
              </w:rPr>
              <w:t xml:space="preserve">Veći broj vatrogasaca obučen </w:t>
            </w:r>
            <w:r w:rsidRPr="00DA693C">
              <w:rPr>
                <w:rFonts w:ascii="Arial" w:eastAsia="Calibri" w:hAnsi="Arial" w:cs="Arial"/>
                <w:sz w:val="18"/>
                <w:lang w:eastAsia="en-US"/>
              </w:rPr>
              <w:lastRenderedPageBreak/>
              <w:t>za slučaj dislokacije na priobalje</w:t>
            </w:r>
          </w:p>
        </w:tc>
        <w:tc>
          <w:tcPr>
            <w:tcW w:w="2551" w:type="dxa"/>
            <w:tcBorders>
              <w:top w:val="single" w:sz="4" w:space="0" w:color="000000"/>
              <w:left w:val="single" w:sz="4" w:space="0" w:color="000000"/>
              <w:bottom w:val="single" w:sz="4" w:space="0" w:color="000000"/>
              <w:right w:val="single" w:sz="4" w:space="0" w:color="000000"/>
            </w:tcBorders>
            <w:vAlign w:val="center"/>
          </w:tcPr>
          <w:p w14:paraId="7CCF128A" w14:textId="77777777" w:rsidR="00617716" w:rsidRPr="00DA693C" w:rsidRDefault="00617716" w:rsidP="00617716">
            <w:pPr>
              <w:rPr>
                <w:rFonts w:ascii="Arial" w:eastAsia="Calibri" w:hAnsi="Arial" w:cs="Arial"/>
                <w:sz w:val="18"/>
                <w:lang w:eastAsia="en-US"/>
              </w:rPr>
            </w:pPr>
            <w:r w:rsidRPr="00DA693C">
              <w:rPr>
                <w:rFonts w:ascii="Arial" w:eastAsia="Calibri" w:hAnsi="Arial" w:cs="Arial"/>
                <w:sz w:val="18"/>
                <w:lang w:eastAsia="en-US"/>
              </w:rPr>
              <w:lastRenderedPageBreak/>
              <w:t>Obučiti i opremiti veći broj vatrogasaca za slučaj dislokacije na priobalje.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072707"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 ukupnog broja zaposlenih</w:t>
            </w:r>
          </w:p>
        </w:tc>
        <w:tc>
          <w:tcPr>
            <w:tcW w:w="1276" w:type="dxa"/>
            <w:tcBorders>
              <w:top w:val="single" w:sz="4" w:space="0" w:color="000000"/>
              <w:left w:val="single" w:sz="4" w:space="0" w:color="000000"/>
              <w:bottom w:val="single" w:sz="4" w:space="0" w:color="000000"/>
              <w:right w:val="single" w:sz="4" w:space="0" w:color="000000"/>
            </w:tcBorders>
            <w:vAlign w:val="center"/>
          </w:tcPr>
          <w:p w14:paraId="40710ACA"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10 %</w:t>
            </w:r>
          </w:p>
          <w:p w14:paraId="4BB7B9A7"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(2 zaposlenika)</w:t>
            </w:r>
          </w:p>
        </w:tc>
        <w:tc>
          <w:tcPr>
            <w:tcW w:w="1275" w:type="dxa"/>
            <w:tcBorders>
              <w:top w:val="single" w:sz="4" w:space="0" w:color="000000"/>
              <w:left w:val="single" w:sz="4" w:space="0" w:color="000000"/>
              <w:bottom w:val="single" w:sz="4" w:space="0" w:color="000000"/>
              <w:right w:val="single" w:sz="4" w:space="0" w:color="000000"/>
            </w:tcBorders>
            <w:vAlign w:val="center"/>
          </w:tcPr>
          <w:p w14:paraId="625A2670"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 xml:space="preserve">Javna vatrogasna </w:t>
            </w:r>
            <w:r w:rsidRPr="00DA693C">
              <w:rPr>
                <w:rFonts w:ascii="Arial" w:eastAsia="Calibri" w:hAnsi="Arial" w:cs="Arial"/>
                <w:sz w:val="18"/>
                <w:lang w:eastAsia="en-US"/>
              </w:rPr>
              <w:lastRenderedPageBreak/>
              <w:t>postrojba Konavle</w:t>
            </w:r>
          </w:p>
        </w:tc>
        <w:tc>
          <w:tcPr>
            <w:tcW w:w="1418" w:type="dxa"/>
            <w:tcBorders>
              <w:top w:val="single" w:sz="4" w:space="0" w:color="000000"/>
              <w:left w:val="single" w:sz="4" w:space="0" w:color="000000"/>
              <w:bottom w:val="single" w:sz="4" w:space="0" w:color="000000"/>
              <w:right w:val="single" w:sz="4" w:space="0" w:color="000000"/>
            </w:tcBorders>
            <w:vAlign w:val="center"/>
          </w:tcPr>
          <w:p w14:paraId="378190AC"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lastRenderedPageBreak/>
              <w:t>70 %</w:t>
            </w:r>
          </w:p>
          <w:p w14:paraId="0097E53D"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(14 zaposlenika)</w:t>
            </w:r>
          </w:p>
        </w:tc>
        <w:tc>
          <w:tcPr>
            <w:tcW w:w="1418" w:type="dxa"/>
            <w:tcBorders>
              <w:top w:val="single" w:sz="4" w:space="0" w:color="000000"/>
              <w:left w:val="single" w:sz="4" w:space="0" w:color="000000"/>
              <w:bottom w:val="single" w:sz="4" w:space="0" w:color="000000"/>
              <w:right w:val="single" w:sz="4" w:space="0" w:color="000000"/>
            </w:tcBorders>
            <w:vAlign w:val="center"/>
          </w:tcPr>
          <w:p w14:paraId="5E4204F6" w14:textId="0F9ADDB5" w:rsidR="00617716" w:rsidRPr="00DA693C" w:rsidRDefault="004B1FB8" w:rsidP="0014454D">
            <w:pPr>
              <w:jc w:val="center"/>
              <w:rPr>
                <w:rFonts w:ascii="Arial" w:eastAsia="Calibri" w:hAnsi="Arial" w:cs="Arial"/>
                <w:sz w:val="18"/>
                <w:lang w:eastAsia="en-US"/>
              </w:rPr>
            </w:pPr>
            <w:r w:rsidRPr="00DA693C">
              <w:rPr>
                <w:rFonts w:ascii="Arial" w:eastAsia="Calibri" w:hAnsi="Arial" w:cs="Arial"/>
                <w:sz w:val="18"/>
                <w:lang w:eastAsia="en-US"/>
              </w:rPr>
              <w:t>0</w:t>
            </w:r>
            <w:r w:rsidR="00617716" w:rsidRPr="00DA693C">
              <w:rPr>
                <w:rFonts w:ascii="Arial" w:eastAsia="Calibri" w:hAnsi="Arial" w:cs="Arial"/>
                <w:sz w:val="18"/>
                <w:lang w:eastAsia="en-US"/>
              </w:rPr>
              <w:t>%</w:t>
            </w:r>
          </w:p>
          <w:p w14:paraId="25C54D3A" w14:textId="5D2F379E"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w:t>
            </w:r>
            <w:r w:rsidR="004B1FB8" w:rsidRPr="00DA693C">
              <w:rPr>
                <w:rFonts w:ascii="Arial" w:eastAsia="Calibri" w:hAnsi="Arial" w:cs="Arial"/>
                <w:sz w:val="18"/>
                <w:lang w:eastAsia="en-US"/>
              </w:rPr>
              <w:t>0</w:t>
            </w:r>
            <w:r w:rsidRPr="00DA693C">
              <w:rPr>
                <w:rFonts w:ascii="Arial" w:eastAsia="Calibri" w:hAnsi="Arial" w:cs="Arial"/>
                <w:sz w:val="18"/>
                <w:lang w:eastAsia="en-US"/>
              </w:rPr>
              <w:t xml:space="preserve"> zaposlenika)</w:t>
            </w:r>
          </w:p>
        </w:tc>
        <w:tc>
          <w:tcPr>
            <w:tcW w:w="1418" w:type="dxa"/>
            <w:tcBorders>
              <w:top w:val="single" w:sz="4" w:space="0" w:color="000000"/>
              <w:left w:val="single" w:sz="4" w:space="0" w:color="000000"/>
              <w:bottom w:val="single" w:sz="4" w:space="0" w:color="000000"/>
              <w:right w:val="single" w:sz="4" w:space="0" w:color="000000"/>
            </w:tcBorders>
            <w:vAlign w:val="center"/>
          </w:tcPr>
          <w:p w14:paraId="1D3072AE" w14:textId="3222A605" w:rsidR="00617716" w:rsidRPr="00DA693C" w:rsidRDefault="00FF77D6" w:rsidP="0014454D">
            <w:pPr>
              <w:jc w:val="center"/>
              <w:rPr>
                <w:rFonts w:ascii="Arial" w:eastAsia="Calibri" w:hAnsi="Arial" w:cs="Arial"/>
                <w:sz w:val="18"/>
                <w:lang w:eastAsia="en-US"/>
              </w:rPr>
            </w:pPr>
            <w:r>
              <w:rPr>
                <w:rFonts w:ascii="Arial" w:eastAsia="Calibri" w:hAnsi="Arial" w:cs="Arial"/>
                <w:sz w:val="18"/>
                <w:lang w:eastAsia="en-US"/>
              </w:rPr>
              <w:t>80</w:t>
            </w:r>
            <w:r w:rsidR="00617716" w:rsidRPr="00DA693C">
              <w:rPr>
                <w:rFonts w:ascii="Arial" w:eastAsia="Calibri" w:hAnsi="Arial" w:cs="Arial"/>
                <w:sz w:val="18"/>
                <w:lang w:eastAsia="en-US"/>
              </w:rPr>
              <w:t xml:space="preserve"> %</w:t>
            </w:r>
          </w:p>
          <w:p w14:paraId="66AC310F" w14:textId="3D500392"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(1</w:t>
            </w:r>
            <w:r w:rsidR="00FF77D6">
              <w:rPr>
                <w:rFonts w:ascii="Arial" w:eastAsia="Calibri" w:hAnsi="Arial" w:cs="Arial"/>
                <w:sz w:val="18"/>
                <w:lang w:eastAsia="en-US"/>
              </w:rPr>
              <w:t>6</w:t>
            </w:r>
            <w:r w:rsidRPr="00DA693C">
              <w:rPr>
                <w:rFonts w:ascii="Arial" w:eastAsia="Calibri" w:hAnsi="Arial" w:cs="Arial"/>
                <w:sz w:val="18"/>
                <w:lang w:eastAsia="en-US"/>
              </w:rPr>
              <w:t xml:space="preserve"> zaposlenika)</w:t>
            </w:r>
          </w:p>
        </w:tc>
        <w:tc>
          <w:tcPr>
            <w:tcW w:w="2125" w:type="dxa"/>
            <w:tcBorders>
              <w:top w:val="single" w:sz="4" w:space="0" w:color="000000"/>
              <w:left w:val="single" w:sz="4" w:space="0" w:color="000000"/>
              <w:bottom w:val="single" w:sz="4" w:space="0" w:color="000000"/>
              <w:right w:val="single" w:sz="4" w:space="0" w:color="000000"/>
            </w:tcBorders>
            <w:vAlign w:val="center"/>
          </w:tcPr>
          <w:p w14:paraId="76E300F6"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80 %</w:t>
            </w:r>
          </w:p>
          <w:p w14:paraId="7DA8C883"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(16 zaposlenika)</w:t>
            </w:r>
          </w:p>
        </w:tc>
      </w:tr>
    </w:tbl>
    <w:p w14:paraId="49A8D30C" w14:textId="77777777" w:rsidR="00617716" w:rsidRPr="00DA693C" w:rsidRDefault="00617716" w:rsidP="00617716">
      <w:pPr>
        <w:spacing w:after="0" w:line="240" w:lineRule="auto"/>
        <w:jc w:val="both"/>
        <w:rPr>
          <w:rFonts w:ascii="Arial" w:eastAsia="Calibri" w:hAnsi="Arial" w:cs="Arial"/>
          <w:sz w:val="20"/>
          <w:szCs w:val="20"/>
          <w:lang w:eastAsia="en-US"/>
        </w:rPr>
      </w:pPr>
    </w:p>
    <w:p w14:paraId="6CB54A20" w14:textId="0E6F1913" w:rsidR="00617716" w:rsidRPr="00DA693C" w:rsidRDefault="009E4591" w:rsidP="00617716">
      <w:pPr>
        <w:spacing w:after="0" w:line="240" w:lineRule="auto"/>
        <w:jc w:val="both"/>
        <w:rPr>
          <w:rFonts w:ascii="Arial" w:eastAsia="Calibri" w:hAnsi="Arial" w:cs="Arial"/>
          <w:sz w:val="20"/>
          <w:szCs w:val="20"/>
          <w:lang w:eastAsia="en-US"/>
        </w:rPr>
      </w:pPr>
      <w:r w:rsidRPr="00DA693C">
        <w:rPr>
          <w:rFonts w:ascii="Arial" w:eastAsia="Calibri" w:hAnsi="Arial" w:cs="Arial"/>
          <w:sz w:val="20"/>
          <w:szCs w:val="20"/>
          <w:lang w:eastAsia="en-US"/>
        </w:rPr>
        <w:t>Planirana obuka desantiranja vatrogasaca u 202</w:t>
      </w:r>
      <w:r w:rsidR="00FF77D6">
        <w:rPr>
          <w:rFonts w:ascii="Arial" w:eastAsia="Calibri" w:hAnsi="Arial" w:cs="Arial"/>
          <w:sz w:val="20"/>
          <w:szCs w:val="20"/>
          <w:lang w:eastAsia="en-US"/>
        </w:rPr>
        <w:t>5</w:t>
      </w:r>
      <w:r w:rsidRPr="00DA693C">
        <w:rPr>
          <w:rFonts w:ascii="Arial" w:eastAsia="Calibri" w:hAnsi="Arial" w:cs="Arial"/>
          <w:sz w:val="20"/>
          <w:szCs w:val="20"/>
          <w:lang w:eastAsia="en-US"/>
        </w:rPr>
        <w:t>. godine nije održana.</w:t>
      </w:r>
    </w:p>
    <w:p w14:paraId="78F2DB79" w14:textId="77777777" w:rsidR="00617716" w:rsidRPr="00DA693C" w:rsidRDefault="00617716" w:rsidP="00617716">
      <w:pPr>
        <w:spacing w:after="0" w:line="240" w:lineRule="auto"/>
        <w:jc w:val="both"/>
        <w:rPr>
          <w:rFonts w:ascii="Arial" w:eastAsia="Calibri" w:hAnsi="Arial" w:cs="Arial"/>
          <w:sz w:val="20"/>
          <w:szCs w:val="20"/>
          <w:lang w:eastAsia="en-US"/>
        </w:rPr>
      </w:pPr>
    </w:p>
    <w:tbl>
      <w:tblPr>
        <w:tblStyle w:val="Reetkatablice51"/>
        <w:tblW w:w="14370" w:type="dxa"/>
        <w:jc w:val="center"/>
        <w:tblLayout w:type="fixed"/>
        <w:tblLook w:val="04A0" w:firstRow="1" w:lastRow="0" w:firstColumn="1" w:lastColumn="0" w:noHBand="0" w:noVBand="1"/>
      </w:tblPr>
      <w:tblGrid>
        <w:gridCol w:w="1471"/>
        <w:gridCol w:w="2919"/>
        <w:gridCol w:w="1134"/>
        <w:gridCol w:w="1192"/>
        <w:gridCol w:w="1501"/>
        <w:gridCol w:w="1192"/>
        <w:gridCol w:w="1418"/>
        <w:gridCol w:w="1418"/>
        <w:gridCol w:w="2125"/>
      </w:tblGrid>
      <w:tr w:rsidR="00DA693C" w:rsidRPr="00DA693C" w14:paraId="5C2C462D" w14:textId="77777777" w:rsidTr="00992310">
        <w:trPr>
          <w:jc w:val="center"/>
        </w:trPr>
        <w:tc>
          <w:tcPr>
            <w:tcW w:w="14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880A1BA" w14:textId="7777777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Pokazatelj uspješnosti</w:t>
            </w:r>
          </w:p>
        </w:tc>
        <w:tc>
          <w:tcPr>
            <w:tcW w:w="29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9C94027" w14:textId="7777777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8AEDB02" w14:textId="7777777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Jedinica</w:t>
            </w:r>
          </w:p>
        </w:tc>
        <w:tc>
          <w:tcPr>
            <w:tcW w:w="11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714901A" w14:textId="3EF126A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Polazna vrijednost</w:t>
            </w:r>
            <w:r w:rsidR="009E4591" w:rsidRPr="00DA693C">
              <w:rPr>
                <w:rFonts w:ascii="Arial" w:eastAsia="Calibri" w:hAnsi="Arial" w:cs="Arial"/>
                <w:lang w:eastAsia="en-US"/>
              </w:rPr>
              <w:t xml:space="preserve"> 202</w:t>
            </w:r>
            <w:r w:rsidR="00FF77D6">
              <w:rPr>
                <w:rFonts w:ascii="Arial" w:eastAsia="Calibri" w:hAnsi="Arial" w:cs="Arial"/>
                <w:lang w:eastAsia="en-US"/>
              </w:rPr>
              <w:t>4</w:t>
            </w:r>
            <w:r w:rsidR="009E4591" w:rsidRPr="00DA693C">
              <w:rPr>
                <w:rFonts w:ascii="Arial" w:eastAsia="Calibri" w:hAnsi="Arial" w:cs="Arial"/>
                <w:lang w:eastAsia="en-US"/>
              </w:rPr>
              <w:t>.</w:t>
            </w:r>
          </w:p>
        </w:tc>
        <w:tc>
          <w:tcPr>
            <w:tcW w:w="15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AE90E03" w14:textId="7777777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Izvor podataka</w:t>
            </w:r>
          </w:p>
        </w:tc>
        <w:tc>
          <w:tcPr>
            <w:tcW w:w="11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9CB5764" w14:textId="66E07361"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Ciljana vrijednost 20</w:t>
            </w:r>
            <w:r w:rsidR="00A86FE3" w:rsidRPr="00DA693C">
              <w:rPr>
                <w:rFonts w:ascii="Arial" w:eastAsia="Calibri" w:hAnsi="Arial" w:cs="Arial"/>
                <w:lang w:eastAsia="en-US"/>
              </w:rPr>
              <w:t>2</w:t>
            </w:r>
            <w:r w:rsidR="00FF77D6">
              <w:rPr>
                <w:rFonts w:ascii="Arial" w:eastAsia="Calibri" w:hAnsi="Arial" w:cs="Arial"/>
                <w:lang w:eastAsia="en-US"/>
              </w:rPr>
              <w:t>5</w:t>
            </w:r>
            <w:r w:rsidRPr="00DA693C">
              <w:rPr>
                <w:rFonts w:ascii="Arial" w:eastAsia="Calibri" w:hAnsi="Arial" w:cs="Arial"/>
                <w:lang w:eastAsia="en-US"/>
              </w:rPr>
              <w:t>.</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8E46A0D" w14:textId="4D65CC78"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Izvršeno 20</w:t>
            </w:r>
            <w:r w:rsidR="009E4591" w:rsidRPr="00DA693C">
              <w:rPr>
                <w:rFonts w:ascii="Arial" w:eastAsia="Calibri" w:hAnsi="Arial" w:cs="Arial"/>
                <w:lang w:eastAsia="en-US"/>
              </w:rPr>
              <w:t>2</w:t>
            </w:r>
            <w:r w:rsidR="00FF77D6">
              <w:rPr>
                <w:rFonts w:ascii="Arial" w:eastAsia="Calibri" w:hAnsi="Arial" w:cs="Arial"/>
                <w:lang w:eastAsia="en-US"/>
              </w:rPr>
              <w:t>5</w:t>
            </w:r>
            <w:r w:rsidRPr="00DA693C">
              <w:rPr>
                <w:rFonts w:ascii="Arial" w:eastAsia="Calibri" w:hAnsi="Arial" w:cs="Arial"/>
                <w:lang w:eastAsia="en-US"/>
              </w:rPr>
              <w:t>.</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DC53C95" w14:textId="2D045821"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Ciljana vrijednost 20</w:t>
            </w:r>
            <w:r w:rsidR="00A86FE3" w:rsidRPr="00DA693C">
              <w:rPr>
                <w:rFonts w:ascii="Arial" w:eastAsia="Calibri" w:hAnsi="Arial" w:cs="Arial"/>
                <w:lang w:eastAsia="en-US"/>
              </w:rPr>
              <w:t>2</w:t>
            </w:r>
            <w:r w:rsidR="00FF77D6">
              <w:rPr>
                <w:rFonts w:ascii="Arial" w:eastAsia="Calibri" w:hAnsi="Arial" w:cs="Arial"/>
                <w:lang w:eastAsia="en-US"/>
              </w:rPr>
              <w:t>6</w:t>
            </w:r>
            <w:r w:rsidRPr="00DA693C">
              <w:rPr>
                <w:rFonts w:ascii="Arial" w:eastAsia="Calibri" w:hAnsi="Arial" w:cs="Arial"/>
                <w:lang w:eastAsia="en-US"/>
              </w:rPr>
              <w:t>.</w:t>
            </w:r>
          </w:p>
        </w:tc>
        <w:tc>
          <w:tcPr>
            <w:tcW w:w="2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2B1DB05" w14:textId="4A65AAD8"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Ciljana vrijednost 20</w:t>
            </w:r>
            <w:r w:rsidR="00A86FE3" w:rsidRPr="00DA693C">
              <w:rPr>
                <w:rFonts w:ascii="Arial" w:eastAsia="Calibri" w:hAnsi="Arial" w:cs="Arial"/>
                <w:lang w:eastAsia="en-US"/>
              </w:rPr>
              <w:t>2</w:t>
            </w:r>
            <w:r w:rsidR="00FF77D6">
              <w:rPr>
                <w:rFonts w:ascii="Arial" w:eastAsia="Calibri" w:hAnsi="Arial" w:cs="Arial"/>
                <w:lang w:eastAsia="en-US"/>
              </w:rPr>
              <w:t>7</w:t>
            </w:r>
            <w:r w:rsidRPr="00DA693C">
              <w:rPr>
                <w:rFonts w:ascii="Arial" w:eastAsia="Calibri" w:hAnsi="Arial" w:cs="Arial"/>
                <w:lang w:eastAsia="en-US"/>
              </w:rPr>
              <w:t>.</w:t>
            </w:r>
          </w:p>
        </w:tc>
      </w:tr>
      <w:tr w:rsidR="00617716" w:rsidRPr="00DA693C" w14:paraId="0D00C514" w14:textId="77777777" w:rsidTr="00992310">
        <w:trPr>
          <w:trHeight w:val="1031"/>
          <w:jc w:val="center"/>
        </w:trPr>
        <w:tc>
          <w:tcPr>
            <w:tcW w:w="1471" w:type="dxa"/>
            <w:tcBorders>
              <w:top w:val="single" w:sz="4" w:space="0" w:color="000000"/>
              <w:left w:val="single" w:sz="4" w:space="0" w:color="000000"/>
              <w:bottom w:val="single" w:sz="4" w:space="0" w:color="000000"/>
              <w:right w:val="single" w:sz="4" w:space="0" w:color="000000"/>
            </w:tcBorders>
            <w:vAlign w:val="center"/>
          </w:tcPr>
          <w:p w14:paraId="298D13C0" w14:textId="77777777" w:rsidR="00617716" w:rsidRPr="00DA693C" w:rsidRDefault="00617716" w:rsidP="00992310">
            <w:pPr>
              <w:rPr>
                <w:rFonts w:ascii="Arial" w:eastAsia="Calibri" w:hAnsi="Arial" w:cs="Arial"/>
                <w:sz w:val="18"/>
                <w:lang w:eastAsia="en-US"/>
              </w:rPr>
            </w:pPr>
            <w:r w:rsidRPr="00DA693C">
              <w:rPr>
                <w:rFonts w:ascii="Arial" w:eastAsia="Calibri" w:hAnsi="Arial" w:cs="Arial"/>
                <w:sz w:val="18"/>
                <w:lang w:eastAsia="en-US"/>
              </w:rPr>
              <w:t>Edukacija zaposlenih u postrojbi</w:t>
            </w:r>
          </w:p>
        </w:tc>
        <w:tc>
          <w:tcPr>
            <w:tcW w:w="2919" w:type="dxa"/>
            <w:tcBorders>
              <w:top w:val="single" w:sz="4" w:space="0" w:color="000000"/>
              <w:left w:val="single" w:sz="4" w:space="0" w:color="000000"/>
              <w:bottom w:val="single" w:sz="4" w:space="0" w:color="000000"/>
              <w:right w:val="single" w:sz="4" w:space="0" w:color="000000"/>
            </w:tcBorders>
            <w:vAlign w:val="center"/>
          </w:tcPr>
          <w:p w14:paraId="243B79B4" w14:textId="77777777" w:rsidR="00617716" w:rsidRPr="00DA693C" w:rsidRDefault="00617716" w:rsidP="00992310">
            <w:pPr>
              <w:rPr>
                <w:rFonts w:ascii="Arial" w:eastAsia="Calibri" w:hAnsi="Arial" w:cs="Arial"/>
                <w:sz w:val="18"/>
                <w:lang w:eastAsia="en-US"/>
              </w:rPr>
            </w:pPr>
            <w:r w:rsidRPr="00DA693C">
              <w:rPr>
                <w:rFonts w:ascii="Arial" w:eastAsia="Calibri" w:hAnsi="Arial" w:cs="Arial"/>
                <w:sz w:val="18"/>
                <w:lang w:eastAsia="en-US"/>
              </w:rPr>
              <w:t>Uspješno provođenje specijalističkih vježbi zaposlenika pomaže u uspješnijem i boljem djelovanju u zahtjevnijim vatrogasnim intervencijama.</w:t>
            </w:r>
          </w:p>
        </w:tc>
        <w:tc>
          <w:tcPr>
            <w:tcW w:w="1134" w:type="dxa"/>
            <w:tcBorders>
              <w:top w:val="single" w:sz="4" w:space="0" w:color="000000"/>
              <w:left w:val="single" w:sz="4" w:space="0" w:color="000000"/>
              <w:bottom w:val="single" w:sz="4" w:space="0" w:color="000000"/>
              <w:right w:val="single" w:sz="4" w:space="0" w:color="000000"/>
            </w:tcBorders>
            <w:vAlign w:val="center"/>
          </w:tcPr>
          <w:p w14:paraId="18B8B6C6"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Broj održanih vježbi tijekom godine</w:t>
            </w:r>
          </w:p>
        </w:tc>
        <w:tc>
          <w:tcPr>
            <w:tcW w:w="1192" w:type="dxa"/>
            <w:tcBorders>
              <w:top w:val="single" w:sz="4" w:space="0" w:color="000000"/>
              <w:left w:val="single" w:sz="4" w:space="0" w:color="000000"/>
              <w:bottom w:val="single" w:sz="4" w:space="0" w:color="000000"/>
              <w:right w:val="single" w:sz="4" w:space="0" w:color="000000"/>
            </w:tcBorders>
            <w:vAlign w:val="center"/>
          </w:tcPr>
          <w:p w14:paraId="01488F3E"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7</w:t>
            </w:r>
          </w:p>
        </w:tc>
        <w:tc>
          <w:tcPr>
            <w:tcW w:w="1501" w:type="dxa"/>
            <w:tcBorders>
              <w:top w:val="single" w:sz="4" w:space="0" w:color="000000"/>
              <w:left w:val="single" w:sz="4" w:space="0" w:color="000000"/>
              <w:bottom w:val="single" w:sz="4" w:space="0" w:color="000000"/>
              <w:right w:val="single" w:sz="4" w:space="0" w:color="000000"/>
            </w:tcBorders>
            <w:vAlign w:val="center"/>
          </w:tcPr>
          <w:p w14:paraId="57ABF1AC"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Javna vatrogasna postrojba Konavle</w:t>
            </w:r>
          </w:p>
        </w:tc>
        <w:tc>
          <w:tcPr>
            <w:tcW w:w="1192" w:type="dxa"/>
            <w:tcBorders>
              <w:top w:val="single" w:sz="4" w:space="0" w:color="000000"/>
              <w:left w:val="single" w:sz="4" w:space="0" w:color="000000"/>
              <w:bottom w:val="single" w:sz="4" w:space="0" w:color="000000"/>
              <w:right w:val="single" w:sz="4" w:space="0" w:color="000000"/>
            </w:tcBorders>
            <w:vAlign w:val="center"/>
          </w:tcPr>
          <w:p w14:paraId="7A633D81" w14:textId="3EE2B813" w:rsidR="00617716" w:rsidRPr="00DA693C" w:rsidRDefault="008B176C" w:rsidP="0014454D">
            <w:pPr>
              <w:jc w:val="center"/>
              <w:rPr>
                <w:rFonts w:ascii="Arial" w:eastAsia="Calibri" w:hAnsi="Arial" w:cs="Arial"/>
                <w:sz w:val="18"/>
                <w:lang w:eastAsia="en-US"/>
              </w:rPr>
            </w:pPr>
            <w:r>
              <w:rPr>
                <w:rFonts w:ascii="Arial" w:eastAsia="Calibri" w:hAnsi="Arial" w:cs="Arial"/>
                <w:sz w:val="18"/>
                <w:lang w:eastAsia="en-US"/>
              </w:rPr>
              <w:t>13</w:t>
            </w:r>
          </w:p>
        </w:tc>
        <w:tc>
          <w:tcPr>
            <w:tcW w:w="1418" w:type="dxa"/>
            <w:tcBorders>
              <w:top w:val="single" w:sz="4" w:space="0" w:color="000000"/>
              <w:left w:val="single" w:sz="4" w:space="0" w:color="000000"/>
              <w:bottom w:val="single" w:sz="4" w:space="0" w:color="000000"/>
              <w:right w:val="single" w:sz="4" w:space="0" w:color="000000"/>
            </w:tcBorders>
            <w:vAlign w:val="center"/>
          </w:tcPr>
          <w:p w14:paraId="4C3B8A5A" w14:textId="4B0CF042" w:rsidR="00617716" w:rsidRPr="00DA693C" w:rsidRDefault="008B176C" w:rsidP="0014454D">
            <w:pPr>
              <w:jc w:val="center"/>
              <w:rPr>
                <w:rFonts w:ascii="Arial" w:eastAsia="Calibri" w:hAnsi="Arial" w:cs="Arial"/>
                <w:sz w:val="18"/>
                <w:lang w:eastAsia="en-US"/>
              </w:rPr>
            </w:pPr>
            <w:r>
              <w:rPr>
                <w:rFonts w:ascii="Arial" w:eastAsia="Calibri" w:hAnsi="Arial" w:cs="Arial"/>
                <w:sz w:val="18"/>
                <w:lang w:eastAsia="en-US"/>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23378EB7" w14:textId="380CAB58" w:rsidR="00617716" w:rsidRPr="00DA693C" w:rsidRDefault="008B176C" w:rsidP="0014454D">
            <w:pPr>
              <w:jc w:val="center"/>
              <w:rPr>
                <w:rFonts w:ascii="Arial" w:eastAsia="Calibri" w:hAnsi="Arial" w:cs="Arial"/>
                <w:sz w:val="18"/>
                <w:lang w:eastAsia="en-US"/>
              </w:rPr>
            </w:pPr>
            <w:r>
              <w:rPr>
                <w:rFonts w:ascii="Arial" w:eastAsia="Calibri" w:hAnsi="Arial" w:cs="Arial"/>
                <w:sz w:val="18"/>
                <w:lang w:eastAsia="en-US"/>
              </w:rPr>
              <w:t>14</w:t>
            </w:r>
          </w:p>
        </w:tc>
        <w:tc>
          <w:tcPr>
            <w:tcW w:w="2125" w:type="dxa"/>
            <w:tcBorders>
              <w:top w:val="single" w:sz="4" w:space="0" w:color="000000"/>
              <w:left w:val="single" w:sz="4" w:space="0" w:color="000000"/>
              <w:bottom w:val="single" w:sz="4" w:space="0" w:color="000000"/>
              <w:right w:val="single" w:sz="4" w:space="0" w:color="000000"/>
            </w:tcBorders>
            <w:vAlign w:val="center"/>
          </w:tcPr>
          <w:p w14:paraId="256ACB2A" w14:textId="3E628A53"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1</w:t>
            </w:r>
            <w:r w:rsidR="008B176C">
              <w:rPr>
                <w:rFonts w:ascii="Arial" w:eastAsia="Calibri" w:hAnsi="Arial" w:cs="Arial"/>
                <w:sz w:val="18"/>
                <w:lang w:eastAsia="en-US"/>
              </w:rPr>
              <w:t>6</w:t>
            </w:r>
          </w:p>
        </w:tc>
      </w:tr>
    </w:tbl>
    <w:p w14:paraId="71955A4B" w14:textId="77777777" w:rsidR="00617716" w:rsidRPr="00DA693C" w:rsidRDefault="00617716" w:rsidP="00617716">
      <w:pPr>
        <w:spacing w:after="0" w:line="240" w:lineRule="auto"/>
        <w:jc w:val="both"/>
        <w:rPr>
          <w:rFonts w:ascii="Arial" w:eastAsia="Calibri" w:hAnsi="Arial" w:cs="Arial"/>
          <w:sz w:val="20"/>
          <w:szCs w:val="20"/>
          <w:lang w:eastAsia="en-US"/>
        </w:rPr>
      </w:pPr>
    </w:p>
    <w:p w14:paraId="2F840B23" w14:textId="4C2D62B0" w:rsidR="00C83B75" w:rsidRDefault="008B176C" w:rsidP="00C83B75">
      <w:pPr>
        <w:spacing w:after="0" w:line="240" w:lineRule="auto"/>
        <w:jc w:val="both"/>
        <w:rPr>
          <w:rFonts w:ascii="Arial" w:eastAsia="Calibri" w:hAnsi="Arial" w:cs="Arial"/>
          <w:bCs/>
          <w:sz w:val="20"/>
          <w:szCs w:val="20"/>
          <w:lang w:eastAsia="en-US"/>
        </w:rPr>
      </w:pPr>
      <w:r w:rsidRPr="008B176C">
        <w:rPr>
          <w:rFonts w:ascii="Arial" w:eastAsia="Calibri" w:hAnsi="Arial" w:cs="Arial"/>
          <w:bCs/>
          <w:sz w:val="20"/>
          <w:szCs w:val="20"/>
          <w:lang w:eastAsia="en-US"/>
        </w:rPr>
        <w:t>U mjesecu ožujku 2025. godine djelatnici JVP Konavle su sudjelovali  na vježbi požara u skladištu na razini -1 C zgrade terminala Zračne luke Ruđer Bošković gdje se proveo taktički nastup i provedba djelomične evakuacije s terminala.</w:t>
      </w:r>
    </w:p>
    <w:p w14:paraId="3C602DFF" w14:textId="77777777" w:rsidR="008B176C" w:rsidRPr="00DA693C" w:rsidRDefault="008B176C" w:rsidP="00C83B75">
      <w:pPr>
        <w:spacing w:after="0" w:line="240" w:lineRule="auto"/>
        <w:jc w:val="both"/>
        <w:rPr>
          <w:rFonts w:ascii="Arial" w:eastAsia="Calibri" w:hAnsi="Arial" w:cs="Arial"/>
          <w:bCs/>
          <w:sz w:val="20"/>
          <w:szCs w:val="20"/>
          <w:lang w:eastAsia="en-US"/>
        </w:rPr>
      </w:pPr>
    </w:p>
    <w:p w14:paraId="5D4930ED" w14:textId="77777777" w:rsidR="0004293C" w:rsidRPr="00DA693C" w:rsidRDefault="0004293C" w:rsidP="0004293C">
      <w:pPr>
        <w:spacing w:after="0" w:line="240" w:lineRule="auto"/>
        <w:jc w:val="both"/>
        <w:rPr>
          <w:rFonts w:ascii="Arial" w:eastAsia="Calibri" w:hAnsi="Arial" w:cs="Arial"/>
          <w:b/>
          <w:sz w:val="20"/>
          <w:szCs w:val="20"/>
          <w:u w:val="single"/>
        </w:rPr>
      </w:pPr>
      <w:r w:rsidRPr="00DA693C">
        <w:rPr>
          <w:rFonts w:ascii="Arial" w:eastAsia="Calibri" w:hAnsi="Arial" w:cs="Arial"/>
          <w:b/>
          <w:sz w:val="20"/>
          <w:szCs w:val="20"/>
          <w:u w:val="single"/>
        </w:rPr>
        <w:t>CILJ: Povećanje kvalitete vatrogasne djelatnosti</w:t>
      </w:r>
    </w:p>
    <w:p w14:paraId="5BE6ECBB" w14:textId="77777777" w:rsidR="0004293C" w:rsidRPr="00DA693C" w:rsidRDefault="0004293C" w:rsidP="0004293C">
      <w:pPr>
        <w:spacing w:after="0" w:line="240" w:lineRule="auto"/>
        <w:jc w:val="both"/>
        <w:rPr>
          <w:rFonts w:ascii="Arial" w:eastAsia="Calibri" w:hAnsi="Arial" w:cs="Arial"/>
          <w:sz w:val="20"/>
          <w:szCs w:val="20"/>
        </w:rPr>
      </w:pPr>
    </w:p>
    <w:p w14:paraId="4514ACB5" w14:textId="77777777" w:rsidR="0004293C" w:rsidRPr="00DA693C" w:rsidRDefault="0004293C" w:rsidP="0004293C">
      <w:pPr>
        <w:spacing w:after="0" w:line="240" w:lineRule="auto"/>
        <w:jc w:val="both"/>
        <w:rPr>
          <w:rFonts w:ascii="Arial" w:eastAsia="Calibri" w:hAnsi="Arial" w:cs="Arial"/>
          <w:sz w:val="20"/>
          <w:szCs w:val="20"/>
        </w:rPr>
      </w:pPr>
      <w:r w:rsidRPr="00DA693C">
        <w:rPr>
          <w:rFonts w:ascii="Arial" w:eastAsia="Calibri" w:hAnsi="Arial" w:cs="Arial"/>
          <w:sz w:val="20"/>
          <w:szCs w:val="20"/>
        </w:rPr>
        <w:t xml:space="preserve">Ovim ciljem postižemo veću kvalitetu provođenja vatrogasnih intervencija na svom području djelovanja, te se konstantnim provođenjem vatrogasnih obuka i vježbi podiže operativna spremnost Javne vatrogasne postrojbe Konavle. </w:t>
      </w:r>
    </w:p>
    <w:p w14:paraId="052AEEDD" w14:textId="77777777" w:rsidR="00617716" w:rsidRPr="00DA693C" w:rsidRDefault="00617716" w:rsidP="00617716">
      <w:pPr>
        <w:spacing w:after="0" w:line="256" w:lineRule="auto"/>
        <w:jc w:val="both"/>
        <w:rPr>
          <w:rFonts w:ascii="Arial" w:eastAsia="Calibri" w:hAnsi="Arial" w:cs="Arial"/>
          <w:sz w:val="20"/>
          <w:szCs w:val="20"/>
          <w:lang w:eastAsia="en-US"/>
        </w:rPr>
      </w:pPr>
    </w:p>
    <w:tbl>
      <w:tblPr>
        <w:tblStyle w:val="Reetkatablice51"/>
        <w:tblW w:w="14201" w:type="dxa"/>
        <w:jc w:val="center"/>
        <w:tblLayout w:type="fixed"/>
        <w:tblLook w:val="04A0" w:firstRow="1" w:lastRow="0" w:firstColumn="1" w:lastColumn="0" w:noHBand="0" w:noVBand="1"/>
      </w:tblPr>
      <w:tblGrid>
        <w:gridCol w:w="2405"/>
        <w:gridCol w:w="3152"/>
        <w:gridCol w:w="1258"/>
        <w:gridCol w:w="1133"/>
        <w:gridCol w:w="1328"/>
        <w:gridCol w:w="1134"/>
        <w:gridCol w:w="1275"/>
        <w:gridCol w:w="1275"/>
        <w:gridCol w:w="1241"/>
      </w:tblGrid>
      <w:tr w:rsidR="00DA693C" w:rsidRPr="00DA693C" w14:paraId="45F4B47B" w14:textId="77777777" w:rsidTr="00992310">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B1A4A88" w14:textId="7777777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Pokazatelj uspješnosti</w:t>
            </w:r>
          </w:p>
        </w:tc>
        <w:tc>
          <w:tcPr>
            <w:tcW w:w="31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AAA30BB" w14:textId="7777777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Definicija</w:t>
            </w:r>
          </w:p>
        </w:tc>
        <w:tc>
          <w:tcPr>
            <w:tcW w:w="125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E1C29F0" w14:textId="7777777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Jedinica</w:t>
            </w:r>
          </w:p>
        </w:tc>
        <w:tc>
          <w:tcPr>
            <w:tcW w:w="11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98191E9" w14:textId="0C5B03E9"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Polazna vrijednost</w:t>
            </w:r>
            <w:r w:rsidR="009E4591" w:rsidRPr="00DA693C">
              <w:rPr>
                <w:rFonts w:ascii="Arial" w:eastAsia="Calibri" w:hAnsi="Arial" w:cs="Arial"/>
                <w:lang w:eastAsia="en-US"/>
              </w:rPr>
              <w:t xml:space="preserve"> 202</w:t>
            </w:r>
            <w:r w:rsidR="008B176C">
              <w:rPr>
                <w:rFonts w:ascii="Arial" w:eastAsia="Calibri" w:hAnsi="Arial" w:cs="Arial"/>
                <w:lang w:eastAsia="en-US"/>
              </w:rPr>
              <w:t>4</w:t>
            </w:r>
            <w:r w:rsidR="009E4591" w:rsidRPr="00DA693C">
              <w:rPr>
                <w:rFonts w:ascii="Arial" w:eastAsia="Calibri" w:hAnsi="Arial" w:cs="Arial"/>
                <w:lang w:eastAsia="en-US"/>
              </w:rPr>
              <w:t>.</w:t>
            </w:r>
          </w:p>
        </w:tc>
        <w:tc>
          <w:tcPr>
            <w:tcW w:w="13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AC77A8D" w14:textId="7777777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1B54412" w14:textId="2EE5B347"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Ciljana vrijednost 20</w:t>
            </w:r>
            <w:r w:rsidR="00AD1852" w:rsidRPr="00DA693C">
              <w:rPr>
                <w:rFonts w:ascii="Arial" w:eastAsia="Calibri" w:hAnsi="Arial" w:cs="Arial"/>
                <w:lang w:eastAsia="en-US"/>
              </w:rPr>
              <w:t>2</w:t>
            </w:r>
            <w:r w:rsidR="008B176C">
              <w:rPr>
                <w:rFonts w:ascii="Arial" w:eastAsia="Calibri" w:hAnsi="Arial" w:cs="Arial"/>
                <w:lang w:eastAsia="en-US"/>
              </w:rPr>
              <w:t>5</w:t>
            </w:r>
            <w:r w:rsidRPr="00DA693C">
              <w:rPr>
                <w:rFonts w:ascii="Arial" w:eastAsia="Calibri" w:hAnsi="Arial" w:cs="Arial"/>
                <w:lang w:eastAsia="en-US"/>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2014000" w14:textId="646E4481"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Izvršeno 202</w:t>
            </w:r>
            <w:r w:rsidR="008B176C">
              <w:rPr>
                <w:rFonts w:ascii="Arial" w:eastAsia="Calibri" w:hAnsi="Arial" w:cs="Arial"/>
                <w:lang w:eastAsia="en-US"/>
              </w:rPr>
              <w:t>5</w:t>
            </w:r>
            <w:r w:rsidRPr="00DA693C">
              <w:rPr>
                <w:rFonts w:ascii="Arial" w:eastAsia="Calibri" w:hAnsi="Arial" w:cs="Arial"/>
                <w:lang w:eastAsia="en-US"/>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5013B8E" w14:textId="465CEDFC"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Ciljana vrijednost 20</w:t>
            </w:r>
            <w:r w:rsidR="008B176C">
              <w:rPr>
                <w:rFonts w:ascii="Arial" w:eastAsia="Calibri" w:hAnsi="Arial" w:cs="Arial"/>
                <w:lang w:eastAsia="en-US"/>
              </w:rPr>
              <w:t>26</w:t>
            </w:r>
            <w:r w:rsidRPr="00DA693C">
              <w:rPr>
                <w:rFonts w:ascii="Arial" w:eastAsia="Calibri" w:hAnsi="Arial" w:cs="Arial"/>
                <w:lang w:eastAsia="en-US"/>
              </w:rPr>
              <w:t>.</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B56A494" w14:textId="2B03F96D" w:rsidR="00617716" w:rsidRPr="00DA693C" w:rsidRDefault="00617716" w:rsidP="0014454D">
            <w:pPr>
              <w:jc w:val="center"/>
              <w:rPr>
                <w:rFonts w:ascii="Arial" w:eastAsia="Calibri" w:hAnsi="Arial" w:cs="Arial"/>
                <w:lang w:eastAsia="en-US"/>
              </w:rPr>
            </w:pPr>
            <w:r w:rsidRPr="00DA693C">
              <w:rPr>
                <w:rFonts w:ascii="Arial" w:eastAsia="Calibri" w:hAnsi="Arial" w:cs="Arial"/>
                <w:lang w:eastAsia="en-US"/>
              </w:rPr>
              <w:t>Ciljana vrijednost 202</w:t>
            </w:r>
            <w:r w:rsidR="008B176C">
              <w:rPr>
                <w:rFonts w:ascii="Arial" w:eastAsia="Calibri" w:hAnsi="Arial" w:cs="Arial"/>
                <w:lang w:eastAsia="en-US"/>
              </w:rPr>
              <w:t>7</w:t>
            </w:r>
            <w:r w:rsidRPr="00DA693C">
              <w:rPr>
                <w:rFonts w:ascii="Arial" w:eastAsia="Calibri" w:hAnsi="Arial" w:cs="Arial"/>
                <w:lang w:eastAsia="en-US"/>
              </w:rPr>
              <w:t>.</w:t>
            </w:r>
          </w:p>
        </w:tc>
      </w:tr>
      <w:tr w:rsidR="00617716" w:rsidRPr="00DA693C" w14:paraId="40C80CDC" w14:textId="77777777" w:rsidTr="00992310">
        <w:trPr>
          <w:trHeight w:val="273"/>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57BCB01E" w14:textId="77777777" w:rsidR="00617716" w:rsidRPr="00DA693C" w:rsidRDefault="00617716" w:rsidP="00992310">
            <w:pPr>
              <w:rPr>
                <w:rFonts w:ascii="Arial" w:eastAsia="Calibri" w:hAnsi="Arial" w:cs="Arial"/>
                <w:sz w:val="18"/>
                <w:lang w:eastAsia="en-US"/>
              </w:rPr>
            </w:pPr>
            <w:r w:rsidRPr="00DA693C">
              <w:rPr>
                <w:rFonts w:ascii="Arial" w:eastAsia="Calibri" w:hAnsi="Arial" w:cs="Arial"/>
                <w:sz w:val="18"/>
                <w:lang w:eastAsia="en-US"/>
              </w:rPr>
              <w:t>Kontinuirano provođenje teorijske i praktične nastave u JVP</w:t>
            </w:r>
          </w:p>
        </w:tc>
        <w:tc>
          <w:tcPr>
            <w:tcW w:w="3152" w:type="dxa"/>
            <w:tcBorders>
              <w:top w:val="single" w:sz="4" w:space="0" w:color="000000"/>
              <w:left w:val="single" w:sz="4" w:space="0" w:color="000000"/>
              <w:bottom w:val="single" w:sz="4" w:space="0" w:color="000000"/>
              <w:right w:val="single" w:sz="4" w:space="0" w:color="000000"/>
            </w:tcBorders>
            <w:vAlign w:val="center"/>
          </w:tcPr>
          <w:p w14:paraId="7CBD5C24" w14:textId="77777777" w:rsidR="00617716" w:rsidRPr="00DA693C" w:rsidRDefault="00617716" w:rsidP="0014454D">
            <w:pPr>
              <w:jc w:val="both"/>
              <w:rPr>
                <w:rFonts w:ascii="Arial" w:eastAsia="Calibri" w:hAnsi="Arial" w:cs="Arial"/>
                <w:sz w:val="18"/>
                <w:lang w:eastAsia="en-US"/>
              </w:rPr>
            </w:pPr>
            <w:r w:rsidRPr="00DA693C">
              <w:rPr>
                <w:rFonts w:ascii="Arial" w:eastAsia="Calibri" w:hAnsi="Arial" w:cs="Arial"/>
                <w:sz w:val="18"/>
                <w:lang w:eastAsia="en-US"/>
              </w:rPr>
              <w:t>Edukacija djelatnika radi postizanja određenih vještina u rukovanju različitom opremom i tehnikom (organizator JVP, HVZ i drugi)</w:t>
            </w:r>
          </w:p>
        </w:tc>
        <w:tc>
          <w:tcPr>
            <w:tcW w:w="1258" w:type="dxa"/>
            <w:tcBorders>
              <w:top w:val="single" w:sz="4" w:space="0" w:color="000000"/>
              <w:left w:val="single" w:sz="4" w:space="0" w:color="000000"/>
              <w:bottom w:val="single" w:sz="4" w:space="0" w:color="000000"/>
              <w:right w:val="single" w:sz="4" w:space="0" w:color="000000"/>
            </w:tcBorders>
            <w:vAlign w:val="center"/>
          </w:tcPr>
          <w:p w14:paraId="0784CAD7"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Broj edukacija godišnje</w:t>
            </w:r>
          </w:p>
        </w:tc>
        <w:tc>
          <w:tcPr>
            <w:tcW w:w="1133" w:type="dxa"/>
            <w:tcBorders>
              <w:top w:val="single" w:sz="4" w:space="0" w:color="000000"/>
              <w:left w:val="single" w:sz="4" w:space="0" w:color="000000"/>
              <w:bottom w:val="single" w:sz="4" w:space="0" w:color="000000"/>
              <w:right w:val="single" w:sz="4" w:space="0" w:color="000000"/>
            </w:tcBorders>
            <w:vAlign w:val="center"/>
          </w:tcPr>
          <w:p w14:paraId="0C665407"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12</w:t>
            </w:r>
          </w:p>
        </w:tc>
        <w:tc>
          <w:tcPr>
            <w:tcW w:w="1328" w:type="dxa"/>
            <w:tcBorders>
              <w:top w:val="single" w:sz="4" w:space="0" w:color="000000"/>
              <w:left w:val="single" w:sz="4" w:space="0" w:color="000000"/>
              <w:bottom w:val="single" w:sz="4" w:space="0" w:color="000000"/>
              <w:right w:val="single" w:sz="4" w:space="0" w:color="000000"/>
            </w:tcBorders>
            <w:vAlign w:val="center"/>
          </w:tcPr>
          <w:p w14:paraId="4CB253AE" w14:textId="77777777" w:rsidR="00617716" w:rsidRPr="00DA693C" w:rsidRDefault="00617716" w:rsidP="0014454D">
            <w:pPr>
              <w:jc w:val="center"/>
              <w:rPr>
                <w:rFonts w:ascii="Arial" w:eastAsia="Calibri" w:hAnsi="Arial" w:cs="Arial"/>
                <w:sz w:val="18"/>
                <w:lang w:eastAsia="en-US"/>
              </w:rPr>
            </w:pPr>
            <w:r w:rsidRPr="00DA693C">
              <w:rPr>
                <w:rFonts w:ascii="Arial" w:eastAsia="Calibri" w:hAnsi="Arial" w:cs="Arial"/>
                <w:sz w:val="18"/>
                <w:lang w:eastAsia="en-US"/>
              </w:rPr>
              <w:t>Javna vatrogasna postrojba Konavle</w:t>
            </w:r>
          </w:p>
        </w:tc>
        <w:tc>
          <w:tcPr>
            <w:tcW w:w="1134" w:type="dxa"/>
            <w:tcBorders>
              <w:top w:val="single" w:sz="4" w:space="0" w:color="000000"/>
              <w:left w:val="single" w:sz="4" w:space="0" w:color="000000"/>
              <w:bottom w:val="single" w:sz="4" w:space="0" w:color="000000"/>
              <w:right w:val="single" w:sz="4" w:space="0" w:color="000000"/>
            </w:tcBorders>
            <w:vAlign w:val="center"/>
          </w:tcPr>
          <w:p w14:paraId="70410A75" w14:textId="4812BCF5" w:rsidR="00617716" w:rsidRPr="00DA693C" w:rsidRDefault="008B176C" w:rsidP="0014454D">
            <w:pPr>
              <w:jc w:val="center"/>
              <w:rPr>
                <w:rFonts w:ascii="Arial" w:eastAsia="Calibri" w:hAnsi="Arial" w:cs="Arial"/>
                <w:sz w:val="18"/>
                <w:lang w:eastAsia="en-US"/>
              </w:rPr>
            </w:pPr>
            <w:r>
              <w:rPr>
                <w:rFonts w:ascii="Arial" w:eastAsia="Calibri" w:hAnsi="Arial" w:cs="Arial"/>
                <w:sz w:val="18"/>
                <w:lang w:eastAsia="en-US"/>
              </w:rPr>
              <w:t>40</w:t>
            </w:r>
          </w:p>
        </w:tc>
        <w:tc>
          <w:tcPr>
            <w:tcW w:w="1275" w:type="dxa"/>
            <w:tcBorders>
              <w:top w:val="single" w:sz="4" w:space="0" w:color="000000"/>
              <w:left w:val="single" w:sz="4" w:space="0" w:color="000000"/>
              <w:bottom w:val="single" w:sz="4" w:space="0" w:color="000000"/>
              <w:right w:val="single" w:sz="4" w:space="0" w:color="000000"/>
            </w:tcBorders>
            <w:vAlign w:val="center"/>
          </w:tcPr>
          <w:p w14:paraId="0A3B18F4" w14:textId="39999A33" w:rsidR="00617716" w:rsidRPr="00DA693C" w:rsidRDefault="008B176C" w:rsidP="0014454D">
            <w:pPr>
              <w:jc w:val="center"/>
              <w:rPr>
                <w:rFonts w:ascii="Arial" w:eastAsia="Calibri" w:hAnsi="Arial" w:cs="Arial"/>
                <w:sz w:val="18"/>
                <w:lang w:eastAsia="en-US"/>
              </w:rPr>
            </w:pPr>
            <w:r>
              <w:rPr>
                <w:rFonts w:ascii="Arial" w:eastAsia="Calibri" w:hAnsi="Arial" w:cs="Arial"/>
                <w:sz w:val="18"/>
                <w:lang w:eastAsia="en-US"/>
              </w:rPr>
              <w:t>20</w:t>
            </w:r>
          </w:p>
        </w:tc>
        <w:tc>
          <w:tcPr>
            <w:tcW w:w="1275" w:type="dxa"/>
            <w:tcBorders>
              <w:top w:val="single" w:sz="4" w:space="0" w:color="000000"/>
              <w:left w:val="single" w:sz="4" w:space="0" w:color="000000"/>
              <w:bottom w:val="single" w:sz="4" w:space="0" w:color="000000"/>
              <w:right w:val="single" w:sz="4" w:space="0" w:color="000000"/>
            </w:tcBorders>
            <w:vAlign w:val="center"/>
          </w:tcPr>
          <w:p w14:paraId="1838F23B" w14:textId="7E74C64C" w:rsidR="00617716" w:rsidRPr="00DA693C" w:rsidRDefault="008B176C" w:rsidP="0014454D">
            <w:pPr>
              <w:jc w:val="center"/>
              <w:rPr>
                <w:rFonts w:ascii="Arial" w:eastAsia="Calibri" w:hAnsi="Arial" w:cs="Arial"/>
                <w:sz w:val="18"/>
                <w:lang w:eastAsia="en-US"/>
              </w:rPr>
            </w:pPr>
            <w:r>
              <w:rPr>
                <w:rFonts w:ascii="Arial" w:eastAsia="Calibri" w:hAnsi="Arial" w:cs="Arial"/>
                <w:sz w:val="18"/>
                <w:lang w:eastAsia="en-US"/>
              </w:rPr>
              <w:t>42</w:t>
            </w:r>
          </w:p>
        </w:tc>
        <w:tc>
          <w:tcPr>
            <w:tcW w:w="1241" w:type="dxa"/>
            <w:tcBorders>
              <w:top w:val="single" w:sz="4" w:space="0" w:color="000000"/>
              <w:left w:val="single" w:sz="4" w:space="0" w:color="000000"/>
              <w:bottom w:val="single" w:sz="4" w:space="0" w:color="000000"/>
              <w:right w:val="single" w:sz="4" w:space="0" w:color="000000"/>
            </w:tcBorders>
            <w:vAlign w:val="center"/>
          </w:tcPr>
          <w:p w14:paraId="5BB16DA4" w14:textId="4BB9B058" w:rsidR="00617716" w:rsidRPr="00DA693C" w:rsidRDefault="008B176C" w:rsidP="0014454D">
            <w:pPr>
              <w:jc w:val="center"/>
              <w:rPr>
                <w:rFonts w:ascii="Arial" w:eastAsia="Calibri" w:hAnsi="Arial" w:cs="Arial"/>
                <w:sz w:val="18"/>
                <w:lang w:eastAsia="en-US"/>
              </w:rPr>
            </w:pPr>
            <w:r>
              <w:rPr>
                <w:rFonts w:ascii="Arial" w:eastAsia="Calibri" w:hAnsi="Arial" w:cs="Arial"/>
                <w:sz w:val="18"/>
                <w:lang w:eastAsia="en-US"/>
              </w:rPr>
              <w:t>42</w:t>
            </w:r>
          </w:p>
        </w:tc>
      </w:tr>
    </w:tbl>
    <w:p w14:paraId="55A23D6B" w14:textId="77777777" w:rsidR="00617716" w:rsidRPr="00DA693C" w:rsidRDefault="00617716" w:rsidP="00617716">
      <w:pPr>
        <w:spacing w:after="0" w:line="240" w:lineRule="auto"/>
        <w:jc w:val="both"/>
        <w:rPr>
          <w:rFonts w:ascii="Arial" w:eastAsia="Calibri" w:hAnsi="Arial" w:cs="Arial"/>
          <w:sz w:val="20"/>
          <w:szCs w:val="20"/>
          <w:lang w:eastAsia="en-US"/>
        </w:rPr>
      </w:pPr>
    </w:p>
    <w:p w14:paraId="0C1A90FC" w14:textId="1F7E5029" w:rsidR="00617716" w:rsidRPr="00DA693C" w:rsidRDefault="00617716" w:rsidP="00617716">
      <w:pPr>
        <w:spacing w:after="0" w:line="240" w:lineRule="auto"/>
        <w:jc w:val="both"/>
        <w:rPr>
          <w:rFonts w:ascii="Arial" w:eastAsia="Calibri" w:hAnsi="Arial" w:cs="Arial"/>
          <w:bCs/>
          <w:sz w:val="20"/>
          <w:szCs w:val="20"/>
          <w:lang w:eastAsia="en-US"/>
        </w:rPr>
      </w:pPr>
      <w:r w:rsidRPr="00DA693C">
        <w:rPr>
          <w:rFonts w:ascii="Arial" w:eastAsia="Calibri" w:hAnsi="Arial" w:cs="Arial"/>
          <w:bCs/>
          <w:sz w:val="20"/>
          <w:szCs w:val="20"/>
          <w:lang w:eastAsia="en-US"/>
        </w:rPr>
        <w:t>Sukladno Planu vježbi u JVP Konavle u 202</w:t>
      </w:r>
      <w:r w:rsidR="008B176C">
        <w:rPr>
          <w:rFonts w:ascii="Arial" w:eastAsia="Calibri" w:hAnsi="Arial" w:cs="Arial"/>
          <w:bCs/>
          <w:sz w:val="20"/>
          <w:szCs w:val="20"/>
          <w:lang w:eastAsia="en-US"/>
        </w:rPr>
        <w:t>5</w:t>
      </w:r>
      <w:r w:rsidR="009E4591" w:rsidRPr="00DA693C">
        <w:rPr>
          <w:rFonts w:ascii="Arial" w:eastAsia="Calibri" w:hAnsi="Arial" w:cs="Arial"/>
          <w:bCs/>
          <w:sz w:val="20"/>
          <w:szCs w:val="20"/>
          <w:lang w:eastAsia="en-US"/>
        </w:rPr>
        <w:t>4</w:t>
      </w:r>
      <w:r w:rsidRPr="00DA693C">
        <w:rPr>
          <w:rFonts w:ascii="Arial" w:eastAsia="Calibri" w:hAnsi="Arial" w:cs="Arial"/>
          <w:bCs/>
          <w:sz w:val="20"/>
          <w:szCs w:val="20"/>
          <w:lang w:eastAsia="en-US"/>
        </w:rPr>
        <w:t xml:space="preserve">. godine izvršeno je </w:t>
      </w:r>
      <w:r w:rsidR="008B176C">
        <w:rPr>
          <w:rFonts w:ascii="Arial" w:eastAsia="Calibri" w:hAnsi="Arial" w:cs="Arial"/>
          <w:bCs/>
          <w:sz w:val="20"/>
          <w:szCs w:val="20"/>
          <w:lang w:eastAsia="en-US"/>
        </w:rPr>
        <w:t>2</w:t>
      </w:r>
      <w:r w:rsidR="008C00EB" w:rsidRPr="00DA693C">
        <w:rPr>
          <w:rFonts w:ascii="Arial" w:eastAsia="Calibri" w:hAnsi="Arial" w:cs="Arial"/>
          <w:bCs/>
          <w:sz w:val="20"/>
          <w:szCs w:val="20"/>
          <w:lang w:eastAsia="en-US"/>
        </w:rPr>
        <w:t>0</w:t>
      </w:r>
      <w:r w:rsidRPr="00DA693C">
        <w:rPr>
          <w:rFonts w:ascii="Arial" w:eastAsia="Calibri" w:hAnsi="Arial" w:cs="Arial"/>
          <w:bCs/>
          <w:sz w:val="20"/>
          <w:szCs w:val="20"/>
          <w:lang w:eastAsia="en-US"/>
        </w:rPr>
        <w:t xml:space="preserve"> teorijskih i praktičnih vježbi vatrogasaca.</w:t>
      </w:r>
    </w:p>
    <w:p w14:paraId="24EADAD2" w14:textId="77777777" w:rsidR="00DA693C" w:rsidRPr="00DA693C" w:rsidRDefault="00DA693C" w:rsidP="00DA693C">
      <w:pPr>
        <w:spacing w:after="0" w:line="240" w:lineRule="auto"/>
        <w:jc w:val="both"/>
        <w:rPr>
          <w:rFonts w:ascii="Arial" w:eastAsia="Calibri" w:hAnsi="Arial" w:cs="Arial"/>
          <w:bCs/>
          <w:sz w:val="20"/>
          <w:szCs w:val="20"/>
          <w:lang w:eastAsia="en-US"/>
        </w:rPr>
      </w:pPr>
    </w:p>
    <w:p w14:paraId="4AEE768E" w14:textId="77777777" w:rsidR="00FC06B5" w:rsidRPr="00FC06B5" w:rsidRDefault="00FC06B5" w:rsidP="00FC06B5">
      <w:pPr>
        <w:spacing w:after="0" w:line="240" w:lineRule="auto"/>
        <w:jc w:val="both"/>
        <w:rPr>
          <w:rFonts w:ascii="Arial" w:eastAsia="Calibri" w:hAnsi="Arial" w:cs="Arial"/>
          <w:sz w:val="20"/>
          <w:szCs w:val="20"/>
          <w:lang w:eastAsia="en-US"/>
        </w:rPr>
      </w:pPr>
      <w:r w:rsidRPr="00FC06B5">
        <w:rPr>
          <w:rFonts w:ascii="Arial" w:eastAsia="Calibri" w:hAnsi="Arial" w:cs="Arial"/>
          <w:sz w:val="20"/>
          <w:szCs w:val="20"/>
          <w:lang w:eastAsia="en-US"/>
        </w:rPr>
        <w:t>U prostorijama JVP Konavle izvršeno je osposobljavanje i obuka za dva dobrovoljna vatrogasca koji će u narednoj sezoni biti zaposleni kao sezonski vatrogasci.</w:t>
      </w:r>
    </w:p>
    <w:p w14:paraId="3946FA08" w14:textId="77777777" w:rsidR="00FC06B5" w:rsidRPr="00FC06B5" w:rsidRDefault="00FC06B5" w:rsidP="00FC06B5">
      <w:pPr>
        <w:spacing w:after="0" w:line="240" w:lineRule="auto"/>
        <w:jc w:val="both"/>
        <w:rPr>
          <w:rFonts w:ascii="Arial" w:eastAsia="Calibri" w:hAnsi="Arial" w:cs="Arial"/>
          <w:sz w:val="20"/>
          <w:szCs w:val="20"/>
          <w:lang w:eastAsia="en-US"/>
        </w:rPr>
      </w:pPr>
    </w:p>
    <w:p w14:paraId="72F2D394" w14:textId="77777777" w:rsidR="00FC06B5" w:rsidRPr="00FC06B5" w:rsidRDefault="00FC06B5" w:rsidP="00FC06B5">
      <w:pPr>
        <w:spacing w:after="0" w:line="240" w:lineRule="auto"/>
        <w:jc w:val="both"/>
        <w:rPr>
          <w:rFonts w:ascii="Arial" w:eastAsia="Calibri" w:hAnsi="Arial" w:cs="Arial"/>
          <w:sz w:val="20"/>
          <w:szCs w:val="20"/>
          <w:lang w:eastAsia="en-US"/>
        </w:rPr>
      </w:pPr>
    </w:p>
    <w:p w14:paraId="68ABCA53" w14:textId="009309E6" w:rsidR="00FC06B5" w:rsidRPr="00FC06B5" w:rsidRDefault="00FC06B5" w:rsidP="00FC06B5">
      <w:pPr>
        <w:spacing w:after="0" w:line="240" w:lineRule="auto"/>
        <w:jc w:val="both"/>
        <w:rPr>
          <w:rFonts w:ascii="Arial" w:eastAsia="Calibri" w:hAnsi="Arial" w:cs="Arial"/>
          <w:sz w:val="20"/>
          <w:szCs w:val="20"/>
          <w:lang w:eastAsia="en-US"/>
        </w:rPr>
      </w:pPr>
      <w:r w:rsidRPr="00FC06B5">
        <w:rPr>
          <w:rFonts w:ascii="Arial" w:eastAsia="Calibri" w:hAnsi="Arial" w:cs="Arial"/>
          <w:sz w:val="20"/>
          <w:szCs w:val="20"/>
          <w:lang w:eastAsia="en-US"/>
        </w:rPr>
        <w:t>U periodu od mjeseca veljače pa sve do sredine mjeseca lipnja 2025. godine djelatnici su tokom smjenskoga rada odradili niz  vježbi i obuka  na terenu, kao i u krugu vatroga</w:t>
      </w:r>
      <w:r>
        <w:rPr>
          <w:rFonts w:ascii="Arial" w:eastAsia="Calibri" w:hAnsi="Arial" w:cs="Arial"/>
          <w:sz w:val="20"/>
          <w:szCs w:val="20"/>
          <w:lang w:eastAsia="en-US"/>
        </w:rPr>
        <w:t>s</w:t>
      </w:r>
      <w:r w:rsidRPr="00FC06B5">
        <w:rPr>
          <w:rFonts w:ascii="Arial" w:eastAsia="Calibri" w:hAnsi="Arial" w:cs="Arial"/>
          <w:sz w:val="20"/>
          <w:szCs w:val="20"/>
          <w:lang w:eastAsia="en-US"/>
        </w:rPr>
        <w:t>ne postrojbe na Grudi. Korištene su auto ljestve i vatrogasni toranj kao poligon za simulaciju vježba spašavanja iz dubina i visina.</w:t>
      </w:r>
    </w:p>
    <w:p w14:paraId="217DD235" w14:textId="77777777" w:rsidR="00FC06B5" w:rsidRPr="00FC06B5" w:rsidRDefault="00FC06B5" w:rsidP="00FC06B5">
      <w:pPr>
        <w:spacing w:after="0" w:line="240" w:lineRule="auto"/>
        <w:jc w:val="both"/>
        <w:rPr>
          <w:rFonts w:ascii="Arial" w:eastAsia="Calibri" w:hAnsi="Arial" w:cs="Arial"/>
          <w:sz w:val="20"/>
          <w:szCs w:val="20"/>
          <w:lang w:eastAsia="en-US"/>
        </w:rPr>
      </w:pPr>
    </w:p>
    <w:p w14:paraId="72F5FEFC" w14:textId="77777777" w:rsidR="00FC06B5" w:rsidRPr="00FC06B5" w:rsidRDefault="00FC06B5" w:rsidP="00FC06B5">
      <w:pPr>
        <w:spacing w:after="0" w:line="240" w:lineRule="auto"/>
        <w:jc w:val="both"/>
        <w:rPr>
          <w:rFonts w:ascii="Arial" w:eastAsia="Calibri" w:hAnsi="Arial" w:cs="Arial"/>
          <w:sz w:val="20"/>
          <w:szCs w:val="20"/>
          <w:lang w:eastAsia="en-US"/>
        </w:rPr>
      </w:pPr>
    </w:p>
    <w:p w14:paraId="6244118A" w14:textId="23EF604C" w:rsidR="00FC06B5" w:rsidRPr="00FC06B5" w:rsidRDefault="00FC06B5" w:rsidP="00FC06B5">
      <w:pPr>
        <w:spacing w:after="0" w:line="240" w:lineRule="auto"/>
        <w:jc w:val="both"/>
        <w:rPr>
          <w:rFonts w:ascii="Arial" w:eastAsia="Calibri" w:hAnsi="Arial" w:cs="Arial"/>
          <w:sz w:val="20"/>
          <w:szCs w:val="20"/>
          <w:lang w:eastAsia="en-US"/>
        </w:rPr>
      </w:pPr>
      <w:r w:rsidRPr="00FC06B5">
        <w:rPr>
          <w:rFonts w:ascii="Arial" w:eastAsia="Calibri" w:hAnsi="Arial" w:cs="Arial"/>
          <w:sz w:val="20"/>
          <w:szCs w:val="20"/>
          <w:lang w:eastAsia="en-US"/>
        </w:rPr>
        <w:lastRenderedPageBreak/>
        <w:t>Tokom mjeseca svibnja i lipnja 2025.</w:t>
      </w:r>
      <w:r>
        <w:rPr>
          <w:rFonts w:ascii="Arial" w:eastAsia="Calibri" w:hAnsi="Arial" w:cs="Arial"/>
          <w:sz w:val="20"/>
          <w:szCs w:val="20"/>
          <w:lang w:eastAsia="en-US"/>
        </w:rPr>
        <w:t xml:space="preserve"> </w:t>
      </w:r>
      <w:r w:rsidRPr="00FC06B5">
        <w:rPr>
          <w:rFonts w:ascii="Arial" w:eastAsia="Calibri" w:hAnsi="Arial" w:cs="Arial"/>
          <w:sz w:val="20"/>
          <w:szCs w:val="20"/>
          <w:lang w:eastAsia="en-US"/>
        </w:rPr>
        <w:t>godine djelatnici JVP Konavle su kontinuirano provodili pripremu i osposobljavanje za protupožarnu sezonu sa sezoncima VZ Općine Konavle.</w:t>
      </w:r>
    </w:p>
    <w:p w14:paraId="5DD0A158" w14:textId="77777777" w:rsidR="00DA693C" w:rsidRPr="00DA693C" w:rsidRDefault="00DA693C" w:rsidP="00617716">
      <w:pPr>
        <w:spacing w:after="0" w:line="240" w:lineRule="auto"/>
        <w:jc w:val="both"/>
        <w:rPr>
          <w:rFonts w:ascii="Arial" w:eastAsia="Calibri" w:hAnsi="Arial" w:cs="Arial"/>
          <w:sz w:val="20"/>
          <w:szCs w:val="20"/>
          <w:lang w:eastAsia="en-US"/>
        </w:rPr>
      </w:pPr>
    </w:p>
    <w:p w14:paraId="4AC7B80C" w14:textId="26DD490B" w:rsidR="001927DB" w:rsidRPr="001927DB" w:rsidRDefault="001927DB" w:rsidP="001927DB">
      <w:pPr>
        <w:spacing w:after="0" w:line="240" w:lineRule="auto"/>
        <w:jc w:val="both"/>
        <w:rPr>
          <w:rFonts w:ascii="Arial" w:eastAsia="Calibri" w:hAnsi="Arial" w:cs="Arial"/>
          <w:sz w:val="20"/>
          <w:szCs w:val="20"/>
          <w:lang w:eastAsia="en-US"/>
        </w:rPr>
      </w:pPr>
      <w:r w:rsidRPr="001927DB">
        <w:rPr>
          <w:rFonts w:ascii="Arial" w:eastAsia="Calibri" w:hAnsi="Arial" w:cs="Arial"/>
          <w:sz w:val="20"/>
          <w:szCs w:val="20"/>
          <w:lang w:eastAsia="en-US"/>
        </w:rPr>
        <w:t>Javna vatrogasna postrojba Konavle (u daljnjem tekstu JVP) je u periodu od 01.</w:t>
      </w:r>
      <w:r>
        <w:rPr>
          <w:rFonts w:ascii="Arial" w:eastAsia="Calibri" w:hAnsi="Arial" w:cs="Arial"/>
          <w:sz w:val="20"/>
          <w:szCs w:val="20"/>
          <w:lang w:eastAsia="en-US"/>
        </w:rPr>
        <w:t xml:space="preserve"> </w:t>
      </w:r>
      <w:r w:rsidRPr="001927DB">
        <w:rPr>
          <w:rFonts w:ascii="Arial" w:eastAsia="Calibri" w:hAnsi="Arial" w:cs="Arial"/>
          <w:sz w:val="20"/>
          <w:szCs w:val="20"/>
          <w:lang w:eastAsia="en-US"/>
        </w:rPr>
        <w:t>siječnja</w:t>
      </w:r>
      <w:r>
        <w:rPr>
          <w:rFonts w:ascii="Arial" w:eastAsia="Calibri" w:hAnsi="Arial" w:cs="Arial"/>
          <w:sz w:val="20"/>
          <w:szCs w:val="20"/>
          <w:lang w:eastAsia="en-US"/>
        </w:rPr>
        <w:t xml:space="preserve"> </w:t>
      </w:r>
      <w:r w:rsidRPr="001927DB">
        <w:rPr>
          <w:rFonts w:ascii="Arial" w:eastAsia="Calibri" w:hAnsi="Arial" w:cs="Arial"/>
          <w:sz w:val="20"/>
          <w:szCs w:val="20"/>
          <w:lang w:eastAsia="en-US"/>
        </w:rPr>
        <w:t>2025. do 30.</w:t>
      </w:r>
      <w:r>
        <w:rPr>
          <w:rFonts w:ascii="Arial" w:eastAsia="Calibri" w:hAnsi="Arial" w:cs="Arial"/>
          <w:sz w:val="20"/>
          <w:szCs w:val="20"/>
          <w:lang w:eastAsia="en-US"/>
        </w:rPr>
        <w:t xml:space="preserve"> </w:t>
      </w:r>
      <w:r w:rsidRPr="001927DB">
        <w:rPr>
          <w:rFonts w:ascii="Arial" w:eastAsia="Calibri" w:hAnsi="Arial" w:cs="Arial"/>
          <w:sz w:val="20"/>
          <w:szCs w:val="20"/>
          <w:lang w:eastAsia="en-US"/>
        </w:rPr>
        <w:t>lipnja.  2025. godine odradila ukupno 45 vatrogasnih intervencija, što je u usporedbi s istim periodom lanjske godine  manje za 4 intervencije.</w:t>
      </w:r>
    </w:p>
    <w:p w14:paraId="68D8D64E" w14:textId="77777777" w:rsidR="00BD1EAD" w:rsidRPr="00DA693C" w:rsidRDefault="00BD1EAD" w:rsidP="00617716">
      <w:pPr>
        <w:spacing w:after="0" w:line="240" w:lineRule="auto"/>
        <w:jc w:val="both"/>
        <w:rPr>
          <w:rFonts w:ascii="Arial" w:eastAsia="Calibri" w:hAnsi="Arial" w:cs="Arial"/>
          <w:sz w:val="20"/>
          <w:szCs w:val="20"/>
          <w:lang w:eastAsia="en-US"/>
        </w:rPr>
      </w:pPr>
    </w:p>
    <w:p w14:paraId="53DF3D70" w14:textId="77777777" w:rsidR="00BD1EAD" w:rsidRPr="00DA693C" w:rsidRDefault="00BD1EAD" w:rsidP="00BD1EAD">
      <w:pPr>
        <w:spacing w:after="0" w:line="240" w:lineRule="auto"/>
        <w:jc w:val="both"/>
        <w:rPr>
          <w:rFonts w:ascii="Arial" w:eastAsia="Calibri" w:hAnsi="Arial" w:cs="Arial"/>
          <w:sz w:val="20"/>
          <w:szCs w:val="20"/>
          <w:lang w:eastAsia="en-US"/>
        </w:rPr>
      </w:pPr>
      <w:r w:rsidRPr="00DA693C">
        <w:rPr>
          <w:rFonts w:ascii="Arial" w:eastAsia="Calibri" w:hAnsi="Arial" w:cs="Arial"/>
          <w:sz w:val="20"/>
          <w:szCs w:val="20"/>
          <w:lang w:eastAsia="en-US"/>
        </w:rPr>
        <w:t>Zabilježeno je ukupno.</w:t>
      </w:r>
    </w:p>
    <w:p w14:paraId="0B430E10" w14:textId="04EA6D5A" w:rsidR="00BD1EAD" w:rsidRPr="00DA693C" w:rsidRDefault="006A72F8">
      <w:pPr>
        <w:pStyle w:val="Odlomakpopisa"/>
        <w:numPr>
          <w:ilvl w:val="0"/>
          <w:numId w:val="15"/>
        </w:numPr>
        <w:rPr>
          <w:rFonts w:ascii="Arial" w:eastAsia="Calibri" w:hAnsi="Arial" w:cs="Arial"/>
        </w:rPr>
      </w:pPr>
      <w:r>
        <w:rPr>
          <w:rFonts w:ascii="Arial" w:eastAsia="Calibri" w:hAnsi="Arial" w:cs="Arial"/>
        </w:rPr>
        <w:t>10</w:t>
      </w:r>
      <w:r w:rsidR="00BD1EAD" w:rsidRPr="00DA693C">
        <w:rPr>
          <w:rFonts w:ascii="Arial" w:eastAsia="Calibri" w:hAnsi="Arial" w:cs="Arial"/>
        </w:rPr>
        <w:t xml:space="preserve"> požara od toga </w:t>
      </w:r>
      <w:r>
        <w:rPr>
          <w:rFonts w:ascii="Arial" w:eastAsia="Calibri" w:hAnsi="Arial" w:cs="Arial"/>
        </w:rPr>
        <w:t>1</w:t>
      </w:r>
      <w:r w:rsidR="00BD1EAD" w:rsidRPr="00DA693C">
        <w:rPr>
          <w:rFonts w:ascii="Arial" w:eastAsia="Calibri" w:hAnsi="Arial" w:cs="Arial"/>
        </w:rPr>
        <w:t xml:space="preserve"> požara na građevinama, </w:t>
      </w:r>
      <w:r>
        <w:rPr>
          <w:rFonts w:ascii="Arial" w:eastAsia="Calibri" w:hAnsi="Arial" w:cs="Arial"/>
        </w:rPr>
        <w:t>9</w:t>
      </w:r>
      <w:r w:rsidR="00BD1EAD" w:rsidRPr="00DA693C">
        <w:rPr>
          <w:rFonts w:ascii="Arial" w:eastAsia="Calibri" w:hAnsi="Arial" w:cs="Arial"/>
        </w:rPr>
        <w:t xml:space="preserve">požara otvorenog prostora </w:t>
      </w:r>
    </w:p>
    <w:p w14:paraId="28E3CBED" w14:textId="77777777" w:rsidR="006A72F8" w:rsidRDefault="006A72F8">
      <w:pPr>
        <w:pStyle w:val="Odlomakpopisa"/>
        <w:numPr>
          <w:ilvl w:val="0"/>
          <w:numId w:val="15"/>
        </w:numPr>
        <w:rPr>
          <w:rFonts w:ascii="Arial" w:eastAsia="Calibri" w:hAnsi="Arial" w:cs="Arial"/>
        </w:rPr>
      </w:pPr>
      <w:r>
        <w:rPr>
          <w:rFonts w:ascii="Arial" w:eastAsia="Calibri" w:hAnsi="Arial" w:cs="Arial"/>
        </w:rPr>
        <w:t>10</w:t>
      </w:r>
      <w:r w:rsidR="00BD1EAD" w:rsidRPr="00DA693C">
        <w:rPr>
          <w:rFonts w:ascii="Arial" w:eastAsia="Calibri" w:hAnsi="Arial" w:cs="Arial"/>
        </w:rPr>
        <w:t xml:space="preserve"> tehnička intervencija </w:t>
      </w:r>
      <w:r>
        <w:rPr>
          <w:rFonts w:ascii="Arial" w:eastAsia="Calibri" w:hAnsi="Arial" w:cs="Arial"/>
        </w:rPr>
        <w:t>u objektima,</w:t>
      </w:r>
    </w:p>
    <w:p w14:paraId="7EC95E8B" w14:textId="05BE622A" w:rsidR="00BD1EAD" w:rsidRDefault="006A72F8">
      <w:pPr>
        <w:pStyle w:val="Odlomakpopisa"/>
        <w:numPr>
          <w:ilvl w:val="0"/>
          <w:numId w:val="15"/>
        </w:numPr>
        <w:rPr>
          <w:rFonts w:ascii="Arial" w:eastAsia="Calibri" w:hAnsi="Arial" w:cs="Arial"/>
        </w:rPr>
      </w:pPr>
      <w:r>
        <w:rPr>
          <w:rFonts w:ascii="Arial" w:eastAsia="Calibri" w:hAnsi="Arial" w:cs="Arial"/>
        </w:rPr>
        <w:t xml:space="preserve">9 tehničkih intervencija </w:t>
      </w:r>
      <w:r w:rsidR="00BD1EAD" w:rsidRPr="00DA693C">
        <w:rPr>
          <w:rFonts w:ascii="Arial" w:eastAsia="Calibri" w:hAnsi="Arial" w:cs="Arial"/>
        </w:rPr>
        <w:t>(uklanjanje prepreka, pilanje i rušenje stabala i sl.),</w:t>
      </w:r>
    </w:p>
    <w:p w14:paraId="7DD96785" w14:textId="3249FA18" w:rsidR="00A405C5" w:rsidRPr="00DA693C" w:rsidRDefault="00A405C5">
      <w:pPr>
        <w:pStyle w:val="Odlomakpopisa"/>
        <w:numPr>
          <w:ilvl w:val="0"/>
          <w:numId w:val="15"/>
        </w:numPr>
        <w:rPr>
          <w:rFonts w:ascii="Arial" w:eastAsia="Calibri" w:hAnsi="Arial" w:cs="Arial"/>
        </w:rPr>
      </w:pPr>
      <w:r>
        <w:rPr>
          <w:rFonts w:ascii="Arial" w:eastAsia="Calibri" w:hAnsi="Arial" w:cs="Arial"/>
        </w:rPr>
        <w:t>1 intervencija ispomoć hitnom sanitetskoj službi</w:t>
      </w:r>
    </w:p>
    <w:p w14:paraId="4F6557DE" w14:textId="5B307DA9" w:rsidR="00BD1EAD" w:rsidRPr="00DA693C" w:rsidRDefault="00A405C5">
      <w:pPr>
        <w:pStyle w:val="Odlomakpopisa"/>
        <w:numPr>
          <w:ilvl w:val="0"/>
          <w:numId w:val="15"/>
        </w:numPr>
        <w:rPr>
          <w:rFonts w:ascii="Arial" w:eastAsia="Calibri" w:hAnsi="Arial" w:cs="Arial"/>
        </w:rPr>
      </w:pPr>
      <w:r>
        <w:rPr>
          <w:rFonts w:ascii="Arial" w:eastAsia="Calibri" w:hAnsi="Arial" w:cs="Arial"/>
        </w:rPr>
        <w:t xml:space="preserve">21 </w:t>
      </w:r>
      <w:r w:rsidR="00BD1EAD" w:rsidRPr="00DA693C">
        <w:rPr>
          <w:rFonts w:ascii="Arial" w:eastAsia="Calibri" w:hAnsi="Arial" w:cs="Arial"/>
        </w:rPr>
        <w:t>ostale operativne aktivnosti (intervencije ispiranja ceste i javnih površina, vatrogasnih osiguranja, prijevoza vode i drugo).</w:t>
      </w:r>
    </w:p>
    <w:p w14:paraId="2442EBE6" w14:textId="77777777" w:rsidR="00BD1EAD" w:rsidRPr="00DA693C" w:rsidRDefault="00BD1EAD" w:rsidP="00617716">
      <w:pPr>
        <w:spacing w:after="0" w:line="240" w:lineRule="auto"/>
        <w:jc w:val="both"/>
        <w:rPr>
          <w:rFonts w:ascii="Arial" w:eastAsia="Calibri" w:hAnsi="Arial" w:cs="Arial"/>
          <w:sz w:val="20"/>
          <w:szCs w:val="20"/>
          <w:lang w:eastAsia="en-US"/>
        </w:rPr>
      </w:pPr>
    </w:p>
    <w:p w14:paraId="6B64009B" w14:textId="262E1B43" w:rsidR="00617716" w:rsidRPr="00DA693C" w:rsidRDefault="00617716" w:rsidP="00617716">
      <w:pPr>
        <w:spacing w:after="0" w:line="240" w:lineRule="auto"/>
        <w:ind w:firstLine="720"/>
        <w:jc w:val="both"/>
        <w:rPr>
          <w:rFonts w:ascii="Arial" w:eastAsia="Calibri" w:hAnsi="Arial" w:cs="Arial"/>
          <w:sz w:val="20"/>
          <w:szCs w:val="20"/>
          <w:lang w:eastAsia="en-US"/>
        </w:rPr>
      </w:pPr>
      <w:r w:rsidRPr="00DA693C">
        <w:rPr>
          <w:rFonts w:ascii="Arial" w:eastAsia="Calibri" w:hAnsi="Arial" w:cs="Arial"/>
          <w:sz w:val="20"/>
          <w:szCs w:val="20"/>
          <w:lang w:eastAsia="en-US"/>
        </w:rPr>
        <w:t xml:space="preserve">Provođenjem svih ovih zadanih ciljeva i ostvarenjem kroz naredne godine uvelike </w:t>
      </w:r>
      <w:r w:rsidR="00DA693C" w:rsidRPr="00DA693C">
        <w:rPr>
          <w:rFonts w:ascii="Arial" w:eastAsia="Calibri" w:hAnsi="Arial" w:cs="Arial"/>
          <w:sz w:val="20"/>
          <w:szCs w:val="20"/>
          <w:lang w:eastAsia="en-US"/>
        </w:rPr>
        <w:t>se postiže</w:t>
      </w:r>
      <w:r w:rsidRPr="00DA693C">
        <w:rPr>
          <w:rFonts w:ascii="Arial" w:eastAsia="Calibri" w:hAnsi="Arial" w:cs="Arial"/>
          <w:sz w:val="20"/>
          <w:szCs w:val="20"/>
          <w:lang w:eastAsia="en-US"/>
        </w:rPr>
        <w:t xml:space="preserve"> operativna spremnost svih vatrogasaca u vatrogasnoj postrojbi, a posebno je za istaći da se edukacijom o preventivnim mjerama zaštite od požara kod najmlađih u osnovnim školama i vrtićima želi postići smanjenje broja vatrogasnih intervencija, ali i zainteresirati mlade za vatrogasnu djelatnost, te pri tome možda dobiti i nove buduće naraštaje vatrogasaca, ali i odraslih ljudi s većom sviješću opasnosti od požara. </w:t>
      </w:r>
    </w:p>
    <w:p w14:paraId="76783B09" w14:textId="77777777" w:rsidR="00617716" w:rsidRPr="00DA693C" w:rsidRDefault="00617716" w:rsidP="00617716">
      <w:pPr>
        <w:spacing w:after="0" w:line="240" w:lineRule="auto"/>
        <w:jc w:val="both"/>
        <w:rPr>
          <w:rFonts w:ascii="Arial" w:eastAsia="Times New Roman" w:hAnsi="Arial" w:cs="Arial"/>
          <w:sz w:val="20"/>
          <w:szCs w:val="20"/>
          <w:lang w:eastAsia="en-US"/>
        </w:rPr>
      </w:pPr>
    </w:p>
    <w:p w14:paraId="7D7DAFE4" w14:textId="77777777" w:rsidR="00617716" w:rsidRPr="00DA693C" w:rsidRDefault="00617716" w:rsidP="00617716">
      <w:pPr>
        <w:spacing w:after="0" w:line="240" w:lineRule="auto"/>
        <w:ind w:firstLine="567"/>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Ovakvim pristupom JVP će se u narednom razdoblju maksimalno angažirati u provedbi preventivnih mjera zaštite od požara, te se s takvim radom planira smanjiti broj požara, te prvenstveno šteta koju požari naprave u svakoj protupožarnoj sezoni.</w:t>
      </w:r>
    </w:p>
    <w:p w14:paraId="08EE9210" w14:textId="77777777" w:rsidR="00D54AFC" w:rsidRPr="00DA693C" w:rsidRDefault="00D54AFC" w:rsidP="00D54AFC">
      <w:pPr>
        <w:spacing w:after="0" w:line="240" w:lineRule="auto"/>
        <w:jc w:val="both"/>
        <w:rPr>
          <w:rFonts w:ascii="Arial" w:eastAsia="Times New Roman" w:hAnsi="Arial" w:cs="Arial"/>
          <w:sz w:val="20"/>
          <w:szCs w:val="20"/>
          <w:lang w:eastAsia="en-US"/>
        </w:rPr>
      </w:pPr>
    </w:p>
    <w:p w14:paraId="43661B1F" w14:textId="77777777" w:rsidR="00D54AFC" w:rsidRPr="00DA693C" w:rsidRDefault="00D54AFC" w:rsidP="00D54AFC">
      <w:pPr>
        <w:spacing w:after="0" w:line="240" w:lineRule="auto"/>
        <w:ind w:firstLine="567"/>
        <w:jc w:val="both"/>
        <w:rPr>
          <w:rFonts w:ascii="Arial" w:eastAsia="Times New Roman" w:hAnsi="Arial" w:cs="Arial"/>
          <w:sz w:val="20"/>
          <w:szCs w:val="20"/>
          <w:lang w:eastAsia="en-US"/>
        </w:rPr>
      </w:pPr>
      <w:r w:rsidRPr="00DA693C">
        <w:rPr>
          <w:rFonts w:ascii="Arial" w:eastAsia="Times New Roman" w:hAnsi="Arial" w:cs="Arial"/>
          <w:sz w:val="20"/>
          <w:szCs w:val="20"/>
          <w:lang w:eastAsia="en-US"/>
        </w:rPr>
        <w:t>Svi ostali ciljevi i indikatori za razvoj JVP-a se očekuju od nadležnih institucija, prvenstveno Ministarstva unutarnjih poslova RH, Ureda za vatrogastvo RH, kao i od jedinice lokalne uprave i samouprave.</w:t>
      </w:r>
    </w:p>
    <w:p w14:paraId="3F2B4DA7" w14:textId="77777777" w:rsidR="00D54AFC" w:rsidRPr="00DA693C" w:rsidRDefault="00D54AFC" w:rsidP="00D54AFC">
      <w:pPr>
        <w:spacing w:after="0" w:line="240" w:lineRule="auto"/>
        <w:jc w:val="both"/>
        <w:rPr>
          <w:rFonts w:ascii="Arial" w:eastAsia="Times New Roman" w:hAnsi="Arial" w:cs="Arial"/>
          <w:sz w:val="20"/>
          <w:szCs w:val="20"/>
          <w:lang w:eastAsia="en-US"/>
        </w:rPr>
      </w:pPr>
    </w:p>
    <w:p w14:paraId="4B818E37" w14:textId="7E0C9EE5" w:rsidR="009F2B41" w:rsidRPr="003A2F86" w:rsidRDefault="00D54AFC" w:rsidP="00D54AFC">
      <w:pPr>
        <w:spacing w:after="0" w:line="240" w:lineRule="auto"/>
        <w:jc w:val="both"/>
        <w:rPr>
          <w:rFonts w:ascii="Arial" w:eastAsia="Calibri" w:hAnsi="Arial" w:cs="Arial"/>
          <w:color w:val="FF0000"/>
          <w:sz w:val="20"/>
          <w:szCs w:val="20"/>
          <w:lang w:eastAsia="en-US"/>
        </w:rPr>
      </w:pPr>
      <w:r w:rsidRPr="00DA693C">
        <w:rPr>
          <w:rFonts w:ascii="Arial" w:eastAsia="Times New Roman" w:hAnsi="Arial" w:cs="Arial"/>
          <w:sz w:val="20"/>
          <w:szCs w:val="20"/>
          <w:lang w:eastAsia="en-US"/>
        </w:rPr>
        <w:t xml:space="preserve"> </w:t>
      </w:r>
      <w:bookmarkEnd w:id="369"/>
      <w:r w:rsidR="009F2B41" w:rsidRPr="003A2F86">
        <w:rPr>
          <w:rFonts w:ascii="Arial" w:eastAsia="Calibri" w:hAnsi="Arial" w:cs="Arial"/>
          <w:color w:val="FF0000"/>
          <w:sz w:val="20"/>
          <w:szCs w:val="20"/>
          <w:lang w:eastAsia="en-US"/>
        </w:rPr>
        <w:br w:type="page"/>
      </w:r>
    </w:p>
    <w:p w14:paraId="0948F883" w14:textId="1CE4A889" w:rsidR="002B6F08" w:rsidRPr="00731E7F" w:rsidRDefault="00375FAF" w:rsidP="00375FAF">
      <w:pPr>
        <w:pStyle w:val="Naslov1"/>
        <w:rPr>
          <w:rFonts w:ascii="Arial" w:eastAsia="Calibri" w:hAnsi="Arial" w:cs="Arial"/>
          <w:sz w:val="22"/>
          <w:szCs w:val="22"/>
          <w:lang w:val="hr-HR"/>
        </w:rPr>
      </w:pPr>
      <w:bookmarkStart w:id="370" w:name="_Toc207707484"/>
      <w:r w:rsidRPr="00731E7F">
        <w:rPr>
          <w:rFonts w:ascii="Arial" w:eastAsia="Calibri" w:hAnsi="Arial" w:cs="Arial"/>
          <w:sz w:val="22"/>
          <w:szCs w:val="22"/>
          <w:lang w:val="hr-HR"/>
        </w:rPr>
        <w:lastRenderedPageBreak/>
        <w:t>4</w:t>
      </w:r>
      <w:r w:rsidR="002B6F08" w:rsidRPr="00731E7F">
        <w:rPr>
          <w:rFonts w:ascii="Arial" w:eastAsia="Calibri" w:hAnsi="Arial" w:cs="Arial"/>
          <w:sz w:val="22"/>
          <w:szCs w:val="22"/>
          <w:lang w:val="hr-HR"/>
        </w:rPr>
        <w:t>. POSEBNI IZVJEŠTAJI U IZVJEŠTAJU O IZVRŠENJU PRORAČUNA</w:t>
      </w:r>
      <w:bookmarkEnd w:id="370"/>
    </w:p>
    <w:p w14:paraId="73E8E12F" w14:textId="77777777" w:rsidR="002B6F08" w:rsidRPr="00731E7F" w:rsidRDefault="002B6F08" w:rsidP="00D54AFC">
      <w:pPr>
        <w:spacing w:after="0" w:line="240" w:lineRule="auto"/>
        <w:jc w:val="both"/>
        <w:rPr>
          <w:rFonts w:ascii="Arial" w:eastAsia="Calibri" w:hAnsi="Arial" w:cs="Arial"/>
          <w:sz w:val="20"/>
          <w:szCs w:val="20"/>
          <w:lang w:eastAsia="en-US"/>
        </w:rPr>
      </w:pPr>
    </w:p>
    <w:p w14:paraId="1784F8B1" w14:textId="3F37FA01" w:rsidR="00F2348E" w:rsidRPr="00731E7F" w:rsidRDefault="00375FAF" w:rsidP="00375FAF">
      <w:pPr>
        <w:pStyle w:val="Naslov2"/>
        <w:jc w:val="center"/>
        <w:rPr>
          <w:rFonts w:ascii="Arial" w:eastAsia="Calibri" w:hAnsi="Arial" w:cs="Arial"/>
          <w:sz w:val="22"/>
          <w:szCs w:val="22"/>
          <w:lang w:val="hr-HR"/>
        </w:rPr>
      </w:pPr>
      <w:bookmarkStart w:id="371" w:name="_4.1.__IZVJEŠTAJ"/>
      <w:bookmarkStart w:id="372" w:name="_Toc207707485"/>
      <w:bookmarkEnd w:id="371"/>
      <w:r w:rsidRPr="00731E7F">
        <w:rPr>
          <w:rFonts w:ascii="Arial" w:eastAsia="Calibri" w:hAnsi="Arial" w:cs="Arial"/>
          <w:sz w:val="22"/>
          <w:szCs w:val="22"/>
          <w:lang w:val="hr-HR"/>
        </w:rPr>
        <w:t>4</w:t>
      </w:r>
      <w:r w:rsidR="00F2348E" w:rsidRPr="00731E7F">
        <w:rPr>
          <w:rFonts w:ascii="Arial" w:eastAsia="Calibri" w:hAnsi="Arial" w:cs="Arial"/>
          <w:sz w:val="22"/>
          <w:szCs w:val="22"/>
          <w:lang w:val="hr-HR"/>
        </w:rPr>
        <w:t xml:space="preserve">.1. </w:t>
      </w:r>
      <w:r w:rsidR="00F2348E" w:rsidRPr="00731E7F">
        <w:rPr>
          <w:rFonts w:ascii="Arial" w:eastAsia="Calibri" w:hAnsi="Arial" w:cs="Arial"/>
          <w:sz w:val="22"/>
          <w:szCs w:val="22"/>
          <w:lang w:val="hr-HR"/>
        </w:rPr>
        <w:tab/>
        <w:t>IZVJEŠTAJ O KORIŠTENJU PRORAČUNSKE ZALIHE</w:t>
      </w:r>
      <w:bookmarkEnd w:id="372"/>
    </w:p>
    <w:p w14:paraId="63455719" w14:textId="77777777" w:rsidR="00F2348E" w:rsidRPr="00731E7F" w:rsidRDefault="00F2348E" w:rsidP="00F2348E">
      <w:pPr>
        <w:spacing w:after="0" w:line="240" w:lineRule="auto"/>
        <w:rPr>
          <w:rFonts w:ascii="Arial" w:eastAsia="Times New Roman" w:hAnsi="Arial" w:cs="Arial"/>
          <w:iCs/>
          <w:lang w:eastAsia="en-US"/>
        </w:rPr>
      </w:pPr>
      <w:bookmarkStart w:id="373" w:name="Izvjestaj_proračunska_zaliha"/>
      <w:bookmarkEnd w:id="373"/>
    </w:p>
    <w:p w14:paraId="762B3EC8" w14:textId="7CF33646" w:rsidR="00F2348E" w:rsidRPr="00F12DCA" w:rsidRDefault="00F2348E" w:rsidP="00F2348E">
      <w:pPr>
        <w:autoSpaceDE w:val="0"/>
        <w:autoSpaceDN w:val="0"/>
        <w:adjustRightInd w:val="0"/>
        <w:spacing w:after="0" w:line="240" w:lineRule="auto"/>
        <w:jc w:val="both"/>
        <w:rPr>
          <w:rFonts w:ascii="Arial" w:eastAsia="Times New Roman" w:hAnsi="Arial" w:cs="Arial"/>
          <w:i/>
          <w:iCs/>
          <w:sz w:val="20"/>
          <w:szCs w:val="20"/>
          <w:lang w:eastAsia="en-US"/>
        </w:rPr>
      </w:pPr>
      <w:r w:rsidRPr="00F12DCA">
        <w:rPr>
          <w:rFonts w:ascii="Arial" w:eastAsia="Times New Roman" w:hAnsi="Arial" w:cs="Arial"/>
          <w:sz w:val="20"/>
          <w:szCs w:val="20"/>
        </w:rPr>
        <w:t xml:space="preserve">Odredbom članka 65. Zakona o proračunu (Narodne novine broj 144/21) utvrđena je namjena sredstava za proračunsku zalihu, dok je u članku 66. istog Zakona utvrđena obveza osobe odgovorne za izvršavanje proračuna da izvještava nadležno tijelo o korištenju proračunske zalihe. </w:t>
      </w:r>
      <w:r w:rsidRPr="00F12DCA">
        <w:rPr>
          <w:rFonts w:ascii="Arial" w:eastAsia="Times New Roman" w:hAnsi="Arial" w:cs="Arial"/>
          <w:sz w:val="20"/>
          <w:szCs w:val="20"/>
          <w:lang w:eastAsia="en-US"/>
        </w:rPr>
        <w:t>Člankom 26. Odluke o izvršenju proračuna Općine Konavle za 202</w:t>
      </w:r>
      <w:r w:rsidR="00731E7F" w:rsidRPr="00F12DCA">
        <w:rPr>
          <w:rFonts w:ascii="Arial" w:eastAsia="Times New Roman" w:hAnsi="Arial" w:cs="Arial"/>
          <w:sz w:val="20"/>
          <w:szCs w:val="20"/>
          <w:lang w:eastAsia="en-US"/>
        </w:rPr>
        <w:t>4</w:t>
      </w:r>
      <w:r w:rsidRPr="00F12DCA">
        <w:rPr>
          <w:rFonts w:ascii="Arial" w:eastAsia="Times New Roman" w:hAnsi="Arial" w:cs="Arial"/>
          <w:sz w:val="20"/>
          <w:szCs w:val="20"/>
          <w:lang w:eastAsia="en-US"/>
        </w:rPr>
        <w:t>. godinu (Službeni glasnik Općine Konavle broj 8/2</w:t>
      </w:r>
      <w:r w:rsidR="006F738A" w:rsidRPr="00F12DCA">
        <w:rPr>
          <w:rFonts w:ascii="Arial" w:eastAsia="Times New Roman" w:hAnsi="Arial" w:cs="Arial"/>
          <w:sz w:val="20"/>
          <w:szCs w:val="20"/>
          <w:lang w:eastAsia="en-US"/>
        </w:rPr>
        <w:t>3</w:t>
      </w:r>
      <w:r w:rsidRPr="00F12DCA">
        <w:rPr>
          <w:rFonts w:ascii="Arial" w:eastAsia="Times New Roman" w:hAnsi="Arial" w:cs="Arial"/>
          <w:sz w:val="20"/>
          <w:szCs w:val="20"/>
          <w:lang w:eastAsia="en-US"/>
        </w:rPr>
        <w:t xml:space="preserve">) propisano je: „U Proračunu su planirana sredstva proračunske zalihe u iznosu 30.000 </w:t>
      </w:r>
      <w:r w:rsidR="0044214E" w:rsidRPr="00F12DCA">
        <w:rPr>
          <w:rFonts w:ascii="Arial" w:eastAsia="Times New Roman" w:hAnsi="Arial" w:cs="Arial"/>
          <w:sz w:val="20"/>
          <w:szCs w:val="20"/>
          <w:lang w:eastAsia="en-US"/>
        </w:rPr>
        <w:t>€</w:t>
      </w:r>
      <w:r w:rsidRPr="00F12DCA">
        <w:rPr>
          <w:rFonts w:ascii="Arial" w:eastAsia="Times New Roman" w:hAnsi="Arial" w:cs="Arial"/>
          <w:sz w:val="20"/>
          <w:szCs w:val="20"/>
          <w:lang w:eastAsia="en-US"/>
        </w:rPr>
        <w:t xml:space="preserve">.“ „O korištenju sredstava proračunske zalihe odlučuje Općinski načelnik. </w:t>
      </w:r>
      <w:r w:rsidRPr="00F12DCA">
        <w:rPr>
          <w:rFonts w:ascii="Arial" w:eastAsia="Times New Roman" w:hAnsi="Arial" w:cs="Arial"/>
          <w:i/>
          <w:sz w:val="20"/>
          <w:szCs w:val="20"/>
          <w:lang w:eastAsia="en-US"/>
        </w:rPr>
        <w:t>Općinski načelnik obvezan je izvijestiti Općinsko vijeće o korištenju proračunske zalihe uz polugodišnji i godišnji Izvještaj o izvršenju proračuna</w:t>
      </w:r>
      <w:r w:rsidRPr="00F12DCA">
        <w:rPr>
          <w:rFonts w:ascii="Arial" w:eastAsia="Times New Roman" w:hAnsi="Arial" w:cs="Arial"/>
          <w:i/>
          <w:iCs/>
          <w:sz w:val="20"/>
          <w:szCs w:val="20"/>
          <w:lang w:eastAsia="en-US"/>
        </w:rPr>
        <w:t xml:space="preserve">“. </w:t>
      </w:r>
    </w:p>
    <w:p w14:paraId="741483A7" w14:textId="77777777" w:rsidR="00F2348E" w:rsidRPr="00731E7F" w:rsidRDefault="00F2348E" w:rsidP="00F2348E">
      <w:pPr>
        <w:autoSpaceDE w:val="0"/>
        <w:autoSpaceDN w:val="0"/>
        <w:adjustRightInd w:val="0"/>
        <w:spacing w:after="0" w:line="240" w:lineRule="auto"/>
        <w:jc w:val="both"/>
        <w:rPr>
          <w:rFonts w:ascii="Arial" w:eastAsia="Times New Roman" w:hAnsi="Arial" w:cs="Arial"/>
        </w:rPr>
      </w:pPr>
    </w:p>
    <w:p w14:paraId="520B8764" w14:textId="1ACD17A0" w:rsidR="00F2348E" w:rsidRPr="00731E7F" w:rsidRDefault="00F2348E" w:rsidP="00F2348E">
      <w:pPr>
        <w:autoSpaceDE w:val="0"/>
        <w:autoSpaceDN w:val="0"/>
        <w:adjustRightInd w:val="0"/>
        <w:spacing w:after="0" w:line="240" w:lineRule="auto"/>
        <w:jc w:val="both"/>
        <w:rPr>
          <w:rFonts w:ascii="Arial" w:eastAsia="Times New Roman" w:hAnsi="Arial" w:cs="Arial"/>
        </w:rPr>
      </w:pPr>
      <w:r w:rsidRPr="00731E7F">
        <w:rPr>
          <w:rFonts w:ascii="Arial" w:eastAsia="Times New Roman" w:hAnsi="Arial" w:cs="Arial"/>
          <w:b/>
          <w:bCs/>
        </w:rPr>
        <w:t>U razdoblju</w:t>
      </w:r>
      <w:r w:rsidRPr="00731E7F">
        <w:rPr>
          <w:rFonts w:ascii="Arial" w:eastAsia="Times New Roman" w:hAnsi="Arial" w:cs="Arial"/>
        </w:rPr>
        <w:t xml:space="preserve"> </w:t>
      </w:r>
      <w:r w:rsidRPr="00731E7F">
        <w:rPr>
          <w:rFonts w:ascii="Arial" w:eastAsia="Times New Roman" w:hAnsi="Arial" w:cs="Arial"/>
          <w:b/>
        </w:rPr>
        <w:t xml:space="preserve">siječanj – </w:t>
      </w:r>
      <w:r w:rsidR="009B388C">
        <w:rPr>
          <w:rFonts w:ascii="Arial" w:eastAsia="Times New Roman" w:hAnsi="Arial" w:cs="Arial"/>
          <w:b/>
        </w:rPr>
        <w:t>lipanj</w:t>
      </w:r>
      <w:r w:rsidRPr="00731E7F">
        <w:rPr>
          <w:rFonts w:ascii="Arial" w:eastAsia="Times New Roman" w:hAnsi="Arial" w:cs="Arial"/>
          <w:b/>
        </w:rPr>
        <w:t xml:space="preserve"> 202</w:t>
      </w:r>
      <w:r w:rsidR="009B388C">
        <w:rPr>
          <w:rFonts w:ascii="Arial" w:eastAsia="Times New Roman" w:hAnsi="Arial" w:cs="Arial"/>
          <w:b/>
        </w:rPr>
        <w:t>5</w:t>
      </w:r>
      <w:r w:rsidRPr="00731E7F">
        <w:rPr>
          <w:rFonts w:ascii="Arial" w:eastAsia="Times New Roman" w:hAnsi="Arial" w:cs="Arial"/>
          <w:b/>
        </w:rPr>
        <w:t>.</w:t>
      </w:r>
      <w:r w:rsidRPr="00731E7F">
        <w:rPr>
          <w:rFonts w:ascii="Arial" w:eastAsia="Times New Roman" w:hAnsi="Arial" w:cs="Arial"/>
        </w:rPr>
        <w:t xml:space="preserve"> </w:t>
      </w:r>
      <w:r w:rsidRPr="00731E7F">
        <w:rPr>
          <w:rFonts w:ascii="Arial" w:eastAsia="Times New Roman" w:hAnsi="Arial" w:cs="Arial"/>
          <w:b/>
          <w:lang w:eastAsia="en-US"/>
        </w:rPr>
        <w:t>proračunska zaliha nije korištena</w:t>
      </w:r>
      <w:r w:rsidR="00856469" w:rsidRPr="00731E7F">
        <w:rPr>
          <w:rFonts w:ascii="Arial" w:eastAsia="Times New Roman" w:hAnsi="Arial" w:cs="Arial"/>
          <w:b/>
          <w:lang w:eastAsia="en-US"/>
        </w:rPr>
        <w:t>.</w:t>
      </w:r>
    </w:p>
    <w:p w14:paraId="1F55EC8F" w14:textId="77777777" w:rsidR="00F2348E" w:rsidRPr="00731E7F" w:rsidRDefault="00F2348E" w:rsidP="00F2348E">
      <w:pPr>
        <w:autoSpaceDE w:val="0"/>
        <w:autoSpaceDN w:val="0"/>
        <w:adjustRightInd w:val="0"/>
        <w:spacing w:after="0" w:line="240" w:lineRule="auto"/>
        <w:jc w:val="both"/>
        <w:rPr>
          <w:rFonts w:ascii="Arial" w:eastAsia="Times New Roman" w:hAnsi="Arial" w:cs="Arial"/>
        </w:rPr>
      </w:pPr>
    </w:p>
    <w:p w14:paraId="3E60ECA3" w14:textId="77B45A07" w:rsidR="00F2348E" w:rsidRPr="00F12DCA" w:rsidRDefault="00F2348E" w:rsidP="00F2348E">
      <w:pPr>
        <w:autoSpaceDE w:val="0"/>
        <w:autoSpaceDN w:val="0"/>
        <w:adjustRightInd w:val="0"/>
        <w:spacing w:after="0" w:line="240" w:lineRule="auto"/>
        <w:jc w:val="both"/>
        <w:rPr>
          <w:rFonts w:ascii="Arial" w:eastAsia="Times New Roman" w:hAnsi="Arial" w:cs="Arial"/>
          <w:sz w:val="20"/>
          <w:szCs w:val="20"/>
        </w:rPr>
      </w:pPr>
      <w:r w:rsidRPr="00F12DCA">
        <w:rPr>
          <w:rFonts w:ascii="Arial" w:eastAsia="Times New Roman" w:hAnsi="Arial" w:cs="Arial"/>
          <w:sz w:val="20"/>
          <w:szCs w:val="20"/>
        </w:rPr>
        <w:t xml:space="preserve">Dakle, u privitku nema prikaza korištenja sredstava proračunske zalihe za razdoblje 01.01. – </w:t>
      </w:r>
      <w:r w:rsidR="00AE0F83">
        <w:rPr>
          <w:rFonts w:ascii="Arial" w:eastAsia="Times New Roman" w:hAnsi="Arial" w:cs="Arial"/>
          <w:sz w:val="20"/>
          <w:szCs w:val="20"/>
        </w:rPr>
        <w:t>30.06.2025</w:t>
      </w:r>
      <w:r w:rsidRPr="00F12DCA">
        <w:rPr>
          <w:rFonts w:ascii="Arial" w:eastAsia="Times New Roman" w:hAnsi="Arial" w:cs="Arial"/>
          <w:sz w:val="20"/>
          <w:szCs w:val="20"/>
        </w:rPr>
        <w:t>. godine.</w:t>
      </w:r>
    </w:p>
    <w:p w14:paraId="2762F605" w14:textId="77777777" w:rsidR="00F2348E" w:rsidRPr="00731E7F" w:rsidRDefault="00F2348E" w:rsidP="00F2348E">
      <w:pPr>
        <w:spacing w:after="0" w:line="240" w:lineRule="auto"/>
        <w:jc w:val="center"/>
        <w:rPr>
          <w:rFonts w:ascii="Arial" w:eastAsia="Times New Roman" w:hAnsi="Arial" w:cs="Arial"/>
          <w:iCs/>
          <w:lang w:eastAsia="en-US"/>
        </w:rPr>
      </w:pPr>
      <w:r w:rsidRPr="00731E7F">
        <w:rPr>
          <w:rFonts w:ascii="Arial" w:eastAsia="Times New Roman" w:hAnsi="Arial" w:cs="Arial"/>
          <w:iCs/>
          <w:lang w:eastAsia="en-US"/>
        </w:rPr>
        <w:br w:type="page"/>
      </w:r>
    </w:p>
    <w:p w14:paraId="5174FE2C" w14:textId="2DDB4189" w:rsidR="00094BFA" w:rsidRPr="00416BEE" w:rsidRDefault="00F978D1" w:rsidP="00ED60D0">
      <w:pPr>
        <w:pStyle w:val="Naslov2"/>
        <w:jc w:val="center"/>
        <w:rPr>
          <w:rFonts w:ascii="Arial" w:hAnsi="Arial" w:cs="Arial"/>
          <w:sz w:val="22"/>
          <w:lang w:val="hr-HR"/>
        </w:rPr>
      </w:pPr>
      <w:bookmarkStart w:id="374" w:name="_4.2._IZVJEŠTAJ_O"/>
      <w:bookmarkStart w:id="375" w:name="_Toc207707486"/>
      <w:bookmarkEnd w:id="374"/>
      <w:r w:rsidRPr="00416BEE">
        <w:rPr>
          <w:rFonts w:ascii="Arial" w:hAnsi="Arial" w:cs="Arial"/>
          <w:sz w:val="22"/>
          <w:lang w:val="hr-HR"/>
        </w:rPr>
        <w:lastRenderedPageBreak/>
        <w:t>4</w:t>
      </w:r>
      <w:r w:rsidR="0065579C" w:rsidRPr="00416BEE">
        <w:rPr>
          <w:rFonts w:ascii="Arial" w:hAnsi="Arial" w:cs="Arial"/>
          <w:sz w:val="22"/>
          <w:lang w:val="hr-HR"/>
        </w:rPr>
        <w:t>.</w:t>
      </w:r>
      <w:r w:rsidRPr="00416BEE">
        <w:rPr>
          <w:rFonts w:ascii="Arial" w:hAnsi="Arial" w:cs="Arial"/>
          <w:sz w:val="22"/>
          <w:lang w:val="hr-HR"/>
        </w:rPr>
        <w:t>2</w:t>
      </w:r>
      <w:r w:rsidR="0065579C" w:rsidRPr="00416BEE">
        <w:rPr>
          <w:rFonts w:ascii="Arial" w:hAnsi="Arial" w:cs="Arial"/>
          <w:sz w:val="22"/>
          <w:lang w:val="hr-HR"/>
        </w:rPr>
        <w:t>.</w:t>
      </w:r>
      <w:r w:rsidR="0065579C" w:rsidRPr="00416BEE">
        <w:rPr>
          <w:rFonts w:ascii="Arial" w:hAnsi="Arial" w:cs="Arial"/>
          <w:sz w:val="22"/>
          <w:lang w:val="hr-HR"/>
        </w:rPr>
        <w:tab/>
      </w:r>
      <w:r w:rsidRPr="00416BEE">
        <w:rPr>
          <w:rFonts w:ascii="Arial" w:hAnsi="Arial" w:cs="Arial"/>
          <w:sz w:val="22"/>
          <w:lang w:val="hr-HR"/>
        </w:rPr>
        <w:t>IZVJEŠTAJ O ZADUŽIVANJU NA DOMA</w:t>
      </w:r>
      <w:r w:rsidR="00003B5B" w:rsidRPr="00416BEE">
        <w:rPr>
          <w:rFonts w:ascii="Arial" w:hAnsi="Arial" w:cs="Arial"/>
          <w:sz w:val="22"/>
          <w:lang w:val="hr-HR"/>
        </w:rPr>
        <w:t>Ć</w:t>
      </w:r>
      <w:r w:rsidRPr="00416BEE">
        <w:rPr>
          <w:rFonts w:ascii="Arial" w:hAnsi="Arial" w:cs="Arial"/>
          <w:sz w:val="22"/>
          <w:lang w:val="hr-HR"/>
        </w:rPr>
        <w:t>EM I STRANOM TRŽIŠTU NOVCA I KAPITALA</w:t>
      </w:r>
      <w:bookmarkEnd w:id="375"/>
    </w:p>
    <w:p w14:paraId="77F28184" w14:textId="77777777" w:rsidR="00F978D1" w:rsidRPr="00416BEE" w:rsidRDefault="00F978D1" w:rsidP="00F978D1">
      <w:pPr>
        <w:rPr>
          <w:lang w:eastAsia="en-US"/>
        </w:rPr>
      </w:pPr>
    </w:p>
    <w:p w14:paraId="1047C9A9" w14:textId="54A5D157" w:rsidR="00094BFA" w:rsidRPr="00416BEE" w:rsidRDefault="00094BFA" w:rsidP="00891119">
      <w:pPr>
        <w:autoSpaceDE w:val="0"/>
        <w:autoSpaceDN w:val="0"/>
        <w:adjustRightInd w:val="0"/>
        <w:spacing w:after="0" w:line="240" w:lineRule="auto"/>
        <w:jc w:val="both"/>
        <w:rPr>
          <w:rFonts w:ascii="Arial" w:eastAsia="Times New Roman" w:hAnsi="Arial" w:cs="Arial"/>
          <w:sz w:val="12"/>
        </w:rPr>
      </w:pPr>
      <w:bookmarkStart w:id="376" w:name="_Hlk146004249"/>
    </w:p>
    <w:p w14:paraId="21C860E1" w14:textId="56C0FE87" w:rsidR="00F978D1" w:rsidRPr="00416BEE" w:rsidRDefault="00F978D1" w:rsidP="00F978D1">
      <w:pPr>
        <w:pStyle w:val="Naslov3"/>
        <w:jc w:val="center"/>
        <w:rPr>
          <w:rFonts w:ascii="Arial" w:hAnsi="Arial" w:cs="Arial"/>
          <w:sz w:val="22"/>
          <w:szCs w:val="22"/>
          <w:lang w:val="hr-HR"/>
        </w:rPr>
      </w:pPr>
      <w:bookmarkStart w:id="377" w:name="_Toc207707487"/>
      <w:r w:rsidRPr="00416BEE">
        <w:rPr>
          <w:rFonts w:ascii="Arial" w:hAnsi="Arial" w:cs="Arial"/>
          <w:sz w:val="22"/>
          <w:szCs w:val="22"/>
          <w:lang w:val="hr-HR"/>
        </w:rPr>
        <w:t>4.2.1.</w:t>
      </w:r>
      <w:r w:rsidRPr="00416BEE">
        <w:rPr>
          <w:rFonts w:ascii="Arial" w:hAnsi="Arial" w:cs="Arial"/>
          <w:sz w:val="22"/>
          <w:szCs w:val="22"/>
          <w:lang w:val="hr-HR"/>
        </w:rPr>
        <w:tab/>
        <w:t>PREGLED PRI</w:t>
      </w:r>
      <w:bookmarkStart w:id="378" w:name="Primljeni_krediti"/>
      <w:bookmarkEnd w:id="378"/>
      <w:r w:rsidRPr="00416BEE">
        <w:rPr>
          <w:rFonts w:ascii="Arial" w:hAnsi="Arial" w:cs="Arial"/>
          <w:sz w:val="22"/>
          <w:szCs w:val="22"/>
          <w:lang w:val="hr-HR"/>
        </w:rPr>
        <w:t>MLJENIH KREDITA I OBVEZA PO KREDITIMA - OPĆINA</w:t>
      </w:r>
      <w:bookmarkEnd w:id="377"/>
    </w:p>
    <w:p w14:paraId="785CC859" w14:textId="1A7F050E" w:rsidR="00532D30" w:rsidRPr="00416BEE" w:rsidRDefault="00532D30" w:rsidP="00891119">
      <w:pPr>
        <w:autoSpaceDE w:val="0"/>
        <w:autoSpaceDN w:val="0"/>
        <w:adjustRightInd w:val="0"/>
        <w:spacing w:after="0" w:line="240" w:lineRule="auto"/>
        <w:jc w:val="both"/>
        <w:rPr>
          <w:rFonts w:ascii="Arial" w:eastAsia="Times New Roman" w:hAnsi="Arial" w:cs="Arial"/>
          <w:sz w:val="12"/>
        </w:rPr>
      </w:pPr>
    </w:p>
    <w:p w14:paraId="0241C4F5" w14:textId="77777777" w:rsidR="00992310" w:rsidRPr="00416BEE" w:rsidRDefault="00992310" w:rsidP="00891119">
      <w:pPr>
        <w:autoSpaceDE w:val="0"/>
        <w:autoSpaceDN w:val="0"/>
        <w:adjustRightInd w:val="0"/>
        <w:spacing w:after="0" w:line="240" w:lineRule="auto"/>
        <w:jc w:val="both"/>
        <w:rPr>
          <w:rFonts w:ascii="Arial" w:eastAsia="Times New Roman" w:hAnsi="Arial" w:cs="Arial"/>
          <w:sz w:val="12"/>
        </w:rPr>
      </w:pPr>
    </w:p>
    <w:p w14:paraId="0DBB482E" w14:textId="31FCECF4" w:rsidR="00F524FD" w:rsidRPr="00F12DCA" w:rsidRDefault="00891119" w:rsidP="00266CFE">
      <w:pPr>
        <w:spacing w:after="0" w:line="240" w:lineRule="auto"/>
        <w:jc w:val="both"/>
        <w:rPr>
          <w:rFonts w:ascii="Arial" w:hAnsi="Arial" w:cs="Arial"/>
          <w:sz w:val="20"/>
          <w:szCs w:val="20"/>
        </w:rPr>
      </w:pPr>
      <w:r w:rsidRPr="00F12DCA">
        <w:rPr>
          <w:rFonts w:ascii="Arial" w:hAnsi="Arial" w:cs="Arial"/>
          <w:sz w:val="20"/>
          <w:szCs w:val="20"/>
        </w:rPr>
        <w:t xml:space="preserve">Općina Konavle </w:t>
      </w:r>
      <w:r w:rsidR="00D54D6F" w:rsidRPr="00F12DCA">
        <w:rPr>
          <w:rFonts w:ascii="Arial" w:hAnsi="Arial" w:cs="Arial"/>
          <w:sz w:val="20"/>
          <w:szCs w:val="20"/>
        </w:rPr>
        <w:t>koncem</w:t>
      </w:r>
      <w:r w:rsidR="00CE2900" w:rsidRPr="00F12DCA">
        <w:rPr>
          <w:rFonts w:ascii="Arial" w:hAnsi="Arial" w:cs="Arial"/>
          <w:sz w:val="20"/>
          <w:szCs w:val="20"/>
        </w:rPr>
        <w:t xml:space="preserve"> </w:t>
      </w:r>
      <w:r w:rsidR="00D54D6F" w:rsidRPr="00F12DCA">
        <w:rPr>
          <w:rFonts w:ascii="Arial" w:hAnsi="Arial" w:cs="Arial"/>
          <w:sz w:val="20"/>
          <w:szCs w:val="20"/>
        </w:rPr>
        <w:t>20</w:t>
      </w:r>
      <w:r w:rsidR="00CE2900" w:rsidRPr="00F12DCA">
        <w:rPr>
          <w:rFonts w:ascii="Arial" w:hAnsi="Arial" w:cs="Arial"/>
          <w:sz w:val="20"/>
          <w:szCs w:val="20"/>
        </w:rPr>
        <w:t>2</w:t>
      </w:r>
      <w:r w:rsidR="00AE0F83">
        <w:rPr>
          <w:rFonts w:ascii="Arial" w:hAnsi="Arial" w:cs="Arial"/>
          <w:sz w:val="20"/>
          <w:szCs w:val="20"/>
        </w:rPr>
        <w:t>4</w:t>
      </w:r>
      <w:r w:rsidR="00D54D6F" w:rsidRPr="00F12DCA">
        <w:rPr>
          <w:rFonts w:ascii="Arial" w:hAnsi="Arial" w:cs="Arial"/>
          <w:sz w:val="20"/>
          <w:szCs w:val="20"/>
        </w:rPr>
        <w:t>. godine</w:t>
      </w:r>
      <w:r w:rsidR="006F738A" w:rsidRPr="00F12DCA">
        <w:rPr>
          <w:rFonts w:ascii="Arial" w:hAnsi="Arial" w:cs="Arial"/>
          <w:sz w:val="20"/>
          <w:szCs w:val="20"/>
        </w:rPr>
        <w:t xml:space="preserve"> imala je</w:t>
      </w:r>
      <w:r w:rsidR="00D54D6F" w:rsidRPr="00F12DCA">
        <w:rPr>
          <w:rFonts w:ascii="Arial" w:hAnsi="Arial" w:cs="Arial"/>
          <w:sz w:val="20"/>
          <w:szCs w:val="20"/>
        </w:rPr>
        <w:t xml:space="preserve"> ima </w:t>
      </w:r>
      <w:r w:rsidR="00F524FD" w:rsidRPr="00F12DCA">
        <w:rPr>
          <w:rFonts w:ascii="Arial" w:hAnsi="Arial" w:cs="Arial"/>
          <w:sz w:val="20"/>
          <w:szCs w:val="20"/>
        </w:rPr>
        <w:t xml:space="preserve">obveze za kredite i zajmove u ukupnom iznosu </w:t>
      </w:r>
      <w:r w:rsidR="00AE0F83" w:rsidRPr="00AE0F83">
        <w:rPr>
          <w:rFonts w:ascii="Arial" w:hAnsi="Arial" w:cs="Arial"/>
          <w:sz w:val="20"/>
          <w:szCs w:val="20"/>
        </w:rPr>
        <w:t xml:space="preserve">3.264.279,68 </w:t>
      </w:r>
      <w:r w:rsidR="00FB5F08" w:rsidRPr="00F12DCA">
        <w:rPr>
          <w:rFonts w:ascii="Arial" w:hAnsi="Arial" w:cs="Arial"/>
          <w:sz w:val="20"/>
          <w:szCs w:val="20"/>
        </w:rPr>
        <w:t>€</w:t>
      </w:r>
      <w:r w:rsidR="006F738A" w:rsidRPr="00F12DCA">
        <w:rPr>
          <w:rFonts w:ascii="Arial" w:hAnsi="Arial" w:cs="Arial"/>
          <w:sz w:val="20"/>
          <w:szCs w:val="20"/>
        </w:rPr>
        <w:t xml:space="preserve">, a koncem </w:t>
      </w:r>
      <w:r w:rsidR="00AE0F83">
        <w:rPr>
          <w:rFonts w:ascii="Arial" w:hAnsi="Arial" w:cs="Arial"/>
          <w:sz w:val="20"/>
          <w:szCs w:val="20"/>
        </w:rPr>
        <w:t xml:space="preserve">lipnja </w:t>
      </w:r>
      <w:r w:rsidR="006F738A" w:rsidRPr="00F12DCA">
        <w:rPr>
          <w:rFonts w:ascii="Arial" w:hAnsi="Arial" w:cs="Arial"/>
          <w:sz w:val="20"/>
          <w:szCs w:val="20"/>
        </w:rPr>
        <w:t>202</w:t>
      </w:r>
      <w:r w:rsidR="00AE0F83">
        <w:rPr>
          <w:rFonts w:ascii="Arial" w:hAnsi="Arial" w:cs="Arial"/>
          <w:sz w:val="20"/>
          <w:szCs w:val="20"/>
        </w:rPr>
        <w:t>5</w:t>
      </w:r>
      <w:r w:rsidR="006F738A" w:rsidRPr="00F12DCA">
        <w:rPr>
          <w:rFonts w:ascii="Arial" w:hAnsi="Arial" w:cs="Arial"/>
          <w:sz w:val="20"/>
          <w:szCs w:val="20"/>
        </w:rPr>
        <w:t xml:space="preserve">. godine iznose </w:t>
      </w:r>
      <w:r w:rsidR="00AE0F83">
        <w:rPr>
          <w:rFonts w:ascii="Arial" w:hAnsi="Arial" w:cs="Arial"/>
          <w:sz w:val="20"/>
          <w:szCs w:val="20"/>
        </w:rPr>
        <w:t>2.883.721,68</w:t>
      </w:r>
      <w:r w:rsidR="006F738A" w:rsidRPr="00F12DCA">
        <w:rPr>
          <w:rFonts w:ascii="Arial" w:hAnsi="Arial" w:cs="Arial"/>
          <w:sz w:val="20"/>
          <w:szCs w:val="20"/>
        </w:rPr>
        <w:t xml:space="preserve"> €</w:t>
      </w:r>
      <w:r w:rsidR="007E1DD5">
        <w:rPr>
          <w:rFonts w:ascii="Arial" w:hAnsi="Arial" w:cs="Arial"/>
          <w:sz w:val="20"/>
          <w:szCs w:val="20"/>
        </w:rPr>
        <w:t xml:space="preserve"> i odnose se n</w:t>
      </w:r>
      <w:r w:rsidR="00F524FD" w:rsidRPr="00F12DCA">
        <w:rPr>
          <w:rFonts w:ascii="Arial" w:hAnsi="Arial" w:cs="Arial"/>
          <w:sz w:val="20"/>
          <w:szCs w:val="20"/>
        </w:rPr>
        <w:t>a:</w:t>
      </w:r>
    </w:p>
    <w:p w14:paraId="23FA5B5B" w14:textId="2E8F9E28" w:rsidR="00C17EE5" w:rsidRPr="00F12DCA" w:rsidRDefault="00C07EC4" w:rsidP="00C07EC4">
      <w:pPr>
        <w:spacing w:after="0" w:line="240" w:lineRule="auto"/>
        <w:ind w:left="709"/>
        <w:rPr>
          <w:rFonts w:ascii="Arial" w:hAnsi="Arial" w:cs="Arial"/>
          <w:sz w:val="20"/>
          <w:szCs w:val="20"/>
        </w:rPr>
      </w:pPr>
      <w:r w:rsidRPr="00F12DCA">
        <w:rPr>
          <w:rFonts w:ascii="Arial" w:hAnsi="Arial" w:cs="Arial"/>
          <w:sz w:val="20"/>
          <w:szCs w:val="20"/>
        </w:rPr>
        <w:t>-</w:t>
      </w:r>
      <w:r w:rsidRPr="00F12DCA">
        <w:rPr>
          <w:rFonts w:ascii="Arial" w:hAnsi="Arial" w:cs="Arial"/>
          <w:sz w:val="20"/>
          <w:szCs w:val="20"/>
        </w:rPr>
        <w:tab/>
      </w:r>
      <w:r w:rsidR="00D54D6F" w:rsidRPr="00F12DCA">
        <w:rPr>
          <w:rFonts w:ascii="Arial" w:hAnsi="Arial" w:cs="Arial"/>
          <w:sz w:val="20"/>
          <w:szCs w:val="20"/>
        </w:rPr>
        <w:t>obveze</w:t>
      </w:r>
      <w:r w:rsidR="00D843C5" w:rsidRPr="00F12DCA">
        <w:rPr>
          <w:rFonts w:ascii="Arial" w:hAnsi="Arial" w:cs="Arial"/>
          <w:sz w:val="20"/>
          <w:szCs w:val="20"/>
        </w:rPr>
        <w:t xml:space="preserve"> za primljene </w:t>
      </w:r>
      <w:r w:rsidR="00C17EE5" w:rsidRPr="00F12DCA">
        <w:rPr>
          <w:rFonts w:ascii="Arial" w:hAnsi="Arial" w:cs="Arial"/>
          <w:sz w:val="20"/>
          <w:szCs w:val="20"/>
        </w:rPr>
        <w:t xml:space="preserve">dugoročne </w:t>
      </w:r>
      <w:r w:rsidR="00D843C5" w:rsidRPr="00F12DCA">
        <w:rPr>
          <w:rFonts w:ascii="Arial" w:hAnsi="Arial" w:cs="Arial"/>
          <w:sz w:val="20"/>
          <w:szCs w:val="20"/>
        </w:rPr>
        <w:t>kredite</w:t>
      </w:r>
      <w:r w:rsidR="00D54D6F" w:rsidRPr="00F12DCA">
        <w:rPr>
          <w:rFonts w:ascii="Arial" w:hAnsi="Arial" w:cs="Arial"/>
          <w:sz w:val="20"/>
          <w:szCs w:val="20"/>
        </w:rPr>
        <w:t xml:space="preserve"> </w:t>
      </w:r>
      <w:r w:rsidR="00F524FD" w:rsidRPr="00F12DCA">
        <w:rPr>
          <w:rFonts w:ascii="Arial" w:hAnsi="Arial" w:cs="Arial"/>
          <w:sz w:val="20"/>
          <w:szCs w:val="20"/>
        </w:rPr>
        <w:t xml:space="preserve">od kreditnih institucija izvan javnog sektora u iznosu </w:t>
      </w:r>
      <w:r w:rsidR="00AE0F83">
        <w:rPr>
          <w:rFonts w:ascii="Arial" w:hAnsi="Arial" w:cs="Arial"/>
          <w:sz w:val="20"/>
          <w:szCs w:val="20"/>
        </w:rPr>
        <w:t xml:space="preserve">0 </w:t>
      </w:r>
      <w:r w:rsidR="00FB5F08" w:rsidRPr="00F12DCA">
        <w:rPr>
          <w:rFonts w:ascii="Arial" w:hAnsi="Arial" w:cs="Arial"/>
          <w:sz w:val="20"/>
          <w:szCs w:val="20"/>
        </w:rPr>
        <w:t>€</w:t>
      </w:r>
      <w:r w:rsidR="00F524FD" w:rsidRPr="00F12DCA">
        <w:rPr>
          <w:rFonts w:ascii="Arial" w:hAnsi="Arial" w:cs="Arial"/>
          <w:sz w:val="20"/>
          <w:szCs w:val="20"/>
        </w:rPr>
        <w:t xml:space="preserve">, </w:t>
      </w:r>
    </w:p>
    <w:p w14:paraId="151D8F87" w14:textId="6892C5A9" w:rsidR="00121610" w:rsidRPr="00F12DCA" w:rsidRDefault="00121610" w:rsidP="00C07EC4">
      <w:pPr>
        <w:spacing w:after="0" w:line="240" w:lineRule="auto"/>
        <w:ind w:left="709"/>
        <w:rPr>
          <w:rFonts w:ascii="Arial" w:hAnsi="Arial" w:cs="Arial"/>
          <w:sz w:val="20"/>
          <w:szCs w:val="20"/>
        </w:rPr>
      </w:pPr>
      <w:r w:rsidRPr="00F12DCA">
        <w:rPr>
          <w:rFonts w:ascii="Arial" w:hAnsi="Arial" w:cs="Arial"/>
          <w:sz w:val="20"/>
          <w:szCs w:val="20"/>
        </w:rPr>
        <w:t xml:space="preserve">- </w:t>
      </w:r>
      <w:r w:rsidRPr="00F12DCA">
        <w:rPr>
          <w:rFonts w:ascii="Arial" w:hAnsi="Arial" w:cs="Arial"/>
          <w:sz w:val="20"/>
          <w:szCs w:val="20"/>
        </w:rPr>
        <w:tab/>
        <w:t xml:space="preserve">obveze za </w:t>
      </w:r>
      <w:r w:rsidR="00EE6E36" w:rsidRPr="00F12DCA">
        <w:rPr>
          <w:rFonts w:ascii="Arial" w:hAnsi="Arial" w:cs="Arial"/>
          <w:sz w:val="20"/>
          <w:szCs w:val="20"/>
        </w:rPr>
        <w:t xml:space="preserve">primljene dugoročne zajmove od HBOR-a u iznosu </w:t>
      </w:r>
      <w:r w:rsidR="00AE0F83">
        <w:rPr>
          <w:rFonts w:ascii="Arial" w:hAnsi="Arial" w:cs="Arial"/>
          <w:sz w:val="20"/>
          <w:szCs w:val="20"/>
        </w:rPr>
        <w:t>1.551.642,15</w:t>
      </w:r>
      <w:r w:rsidR="00FB5F08" w:rsidRPr="00F12DCA">
        <w:rPr>
          <w:rFonts w:ascii="Arial" w:hAnsi="Arial" w:cs="Arial"/>
          <w:sz w:val="20"/>
          <w:szCs w:val="20"/>
        </w:rPr>
        <w:t xml:space="preserve"> €</w:t>
      </w:r>
    </w:p>
    <w:p w14:paraId="4FCED23A" w14:textId="09586CCE" w:rsidR="00C07EC4" w:rsidRPr="00F12DCA" w:rsidRDefault="00C07EC4" w:rsidP="00C07EC4">
      <w:pPr>
        <w:spacing w:after="0" w:line="240" w:lineRule="auto"/>
        <w:ind w:left="709"/>
        <w:rPr>
          <w:rFonts w:ascii="Arial" w:hAnsi="Arial" w:cs="Arial"/>
          <w:sz w:val="20"/>
          <w:szCs w:val="20"/>
        </w:rPr>
      </w:pPr>
      <w:r w:rsidRPr="00F12DCA">
        <w:rPr>
          <w:rFonts w:ascii="Arial" w:hAnsi="Arial" w:cs="Arial"/>
          <w:sz w:val="20"/>
          <w:szCs w:val="20"/>
        </w:rPr>
        <w:t>-</w:t>
      </w:r>
      <w:r w:rsidRPr="00F12DCA">
        <w:rPr>
          <w:rFonts w:ascii="Arial" w:hAnsi="Arial" w:cs="Arial"/>
          <w:sz w:val="20"/>
          <w:szCs w:val="20"/>
        </w:rPr>
        <w:tab/>
        <w:t>o</w:t>
      </w:r>
      <w:r w:rsidR="00F524FD" w:rsidRPr="00F12DCA">
        <w:rPr>
          <w:rFonts w:ascii="Arial" w:hAnsi="Arial" w:cs="Arial"/>
          <w:sz w:val="20"/>
          <w:szCs w:val="20"/>
        </w:rPr>
        <w:t>bveze za zajmove od državno</w:t>
      </w:r>
      <w:r w:rsidRPr="00F12DCA">
        <w:rPr>
          <w:rFonts w:ascii="Arial" w:hAnsi="Arial" w:cs="Arial"/>
          <w:sz w:val="20"/>
          <w:szCs w:val="20"/>
        </w:rPr>
        <w:t>g</w:t>
      </w:r>
      <w:r w:rsidR="00F524FD" w:rsidRPr="00F12DCA">
        <w:rPr>
          <w:rFonts w:ascii="Arial" w:hAnsi="Arial" w:cs="Arial"/>
          <w:sz w:val="20"/>
          <w:szCs w:val="20"/>
        </w:rPr>
        <w:t xml:space="preserve"> proračuna u iznosu </w:t>
      </w:r>
      <w:r w:rsidR="000F22E8" w:rsidRPr="00F12DCA">
        <w:rPr>
          <w:rFonts w:ascii="Arial" w:hAnsi="Arial" w:cs="Arial"/>
          <w:sz w:val="20"/>
          <w:szCs w:val="20"/>
        </w:rPr>
        <w:t>1.332.079,53</w:t>
      </w:r>
      <w:r w:rsidR="00FB5F08" w:rsidRPr="00F12DCA">
        <w:rPr>
          <w:rFonts w:ascii="Arial" w:hAnsi="Arial" w:cs="Arial"/>
          <w:sz w:val="20"/>
          <w:szCs w:val="20"/>
        </w:rPr>
        <w:t xml:space="preserve"> €</w:t>
      </w:r>
      <w:r w:rsidR="00FD2D62" w:rsidRPr="00F12DCA">
        <w:rPr>
          <w:rFonts w:ascii="Arial" w:hAnsi="Arial" w:cs="Arial"/>
          <w:sz w:val="20"/>
          <w:szCs w:val="20"/>
        </w:rPr>
        <w:t>.</w:t>
      </w:r>
    </w:p>
    <w:p w14:paraId="67808AFF" w14:textId="77777777" w:rsidR="00ED7A4C" w:rsidRPr="00605733" w:rsidRDefault="00ED7A4C" w:rsidP="00ED7A4C">
      <w:pPr>
        <w:autoSpaceDE w:val="0"/>
        <w:autoSpaceDN w:val="0"/>
        <w:adjustRightInd w:val="0"/>
        <w:spacing w:after="0" w:line="240" w:lineRule="auto"/>
        <w:jc w:val="both"/>
        <w:rPr>
          <w:rFonts w:ascii="Arial" w:eastAsia="Calibri" w:hAnsi="Arial" w:cs="Arial"/>
          <w:lang w:eastAsia="en-US"/>
        </w:rPr>
      </w:pPr>
    </w:p>
    <w:p w14:paraId="262C85D3" w14:textId="77777777" w:rsidR="00FD2D62" w:rsidRPr="00605733" w:rsidRDefault="00FD2D62" w:rsidP="00ED7A4C">
      <w:pPr>
        <w:autoSpaceDE w:val="0"/>
        <w:autoSpaceDN w:val="0"/>
        <w:adjustRightInd w:val="0"/>
        <w:spacing w:after="0" w:line="240" w:lineRule="auto"/>
        <w:jc w:val="both"/>
        <w:rPr>
          <w:rFonts w:ascii="Arial" w:eastAsia="Calibri" w:hAnsi="Arial" w:cs="Arial"/>
          <w:lang w:eastAsia="en-US"/>
        </w:rPr>
      </w:pPr>
    </w:p>
    <w:p w14:paraId="49614967" w14:textId="61595BDF" w:rsidR="00ED7A4C" w:rsidRPr="00605733" w:rsidRDefault="006A1FD7" w:rsidP="0052045C">
      <w:pPr>
        <w:pStyle w:val="Naslov4"/>
        <w:rPr>
          <w:rFonts w:eastAsia="Calibri"/>
          <w:lang w:val="hr-HR"/>
        </w:rPr>
      </w:pPr>
      <w:bookmarkStart w:id="379" w:name="_Toc207707488"/>
      <w:r w:rsidRPr="00605733">
        <w:rPr>
          <w:rFonts w:eastAsia="Calibri"/>
          <w:lang w:val="hr-HR"/>
        </w:rPr>
        <w:t>4</w:t>
      </w:r>
      <w:r w:rsidR="00ED7A4C" w:rsidRPr="00605733">
        <w:rPr>
          <w:rFonts w:eastAsia="Calibri"/>
          <w:lang w:val="hr-HR"/>
        </w:rPr>
        <w:t>.</w:t>
      </w:r>
      <w:r w:rsidR="00003B5B" w:rsidRPr="00605733">
        <w:rPr>
          <w:rFonts w:eastAsia="Calibri"/>
          <w:lang w:val="hr-HR"/>
        </w:rPr>
        <w:t>2</w:t>
      </w:r>
      <w:r w:rsidR="00ED7A4C" w:rsidRPr="00605733">
        <w:rPr>
          <w:rFonts w:eastAsia="Calibri"/>
          <w:lang w:val="hr-HR"/>
        </w:rPr>
        <w:t>.1.</w:t>
      </w:r>
      <w:r w:rsidR="00003B5B" w:rsidRPr="00605733">
        <w:rPr>
          <w:rFonts w:eastAsia="Calibri"/>
          <w:lang w:val="hr-HR"/>
        </w:rPr>
        <w:t>1.</w:t>
      </w:r>
      <w:r w:rsidR="00ED7A4C" w:rsidRPr="00605733">
        <w:rPr>
          <w:rFonts w:eastAsia="Calibri"/>
          <w:lang w:val="hr-HR"/>
        </w:rPr>
        <w:tab/>
        <w:t>PREGLED PRIMLJENIH KREDITA</w:t>
      </w:r>
      <w:r w:rsidR="00C40770" w:rsidRPr="00605733">
        <w:rPr>
          <w:rFonts w:eastAsia="Calibri"/>
          <w:lang w:val="hr-HR"/>
        </w:rPr>
        <w:t xml:space="preserve"> </w:t>
      </w:r>
      <w:r w:rsidR="00EE6E36" w:rsidRPr="00605733">
        <w:rPr>
          <w:rFonts w:eastAsia="Calibri"/>
          <w:lang w:val="hr-HR"/>
        </w:rPr>
        <w:t>/</w:t>
      </w:r>
      <w:r w:rsidR="00C40770" w:rsidRPr="00605733">
        <w:rPr>
          <w:rFonts w:eastAsia="Calibri"/>
          <w:lang w:val="hr-HR"/>
        </w:rPr>
        <w:t xml:space="preserve"> </w:t>
      </w:r>
      <w:r w:rsidR="00EE6E36" w:rsidRPr="00605733">
        <w:rPr>
          <w:rFonts w:eastAsia="Calibri"/>
          <w:lang w:val="hr-HR"/>
        </w:rPr>
        <w:t>ZAJMOVA</w:t>
      </w:r>
      <w:r w:rsidR="00ED7A4C" w:rsidRPr="00605733">
        <w:rPr>
          <w:rFonts w:eastAsia="Calibri"/>
          <w:lang w:val="hr-HR"/>
        </w:rPr>
        <w:t xml:space="preserve"> I OBVEZA PO KREDITIMA</w:t>
      </w:r>
      <w:r w:rsidR="00C40770" w:rsidRPr="00605733">
        <w:rPr>
          <w:rFonts w:eastAsia="Calibri"/>
          <w:lang w:val="hr-HR"/>
        </w:rPr>
        <w:t xml:space="preserve"> </w:t>
      </w:r>
      <w:r w:rsidR="00EE6E36" w:rsidRPr="00605733">
        <w:rPr>
          <w:rFonts w:eastAsia="Calibri"/>
          <w:lang w:val="hr-HR"/>
        </w:rPr>
        <w:t>/</w:t>
      </w:r>
      <w:r w:rsidR="00C40770" w:rsidRPr="00605733">
        <w:rPr>
          <w:rFonts w:eastAsia="Calibri"/>
          <w:lang w:val="hr-HR"/>
        </w:rPr>
        <w:t xml:space="preserve"> </w:t>
      </w:r>
      <w:r w:rsidR="00EE6E36" w:rsidRPr="00605733">
        <w:rPr>
          <w:rFonts w:eastAsia="Calibri"/>
          <w:lang w:val="hr-HR"/>
        </w:rPr>
        <w:t>ZAJMOVI</w:t>
      </w:r>
      <w:r w:rsidR="00BE6CDF" w:rsidRPr="00605733">
        <w:rPr>
          <w:rFonts w:eastAsia="Calibri"/>
          <w:lang w:val="hr-HR"/>
        </w:rPr>
        <w:t>M</w:t>
      </w:r>
      <w:r w:rsidR="00EE6E36" w:rsidRPr="00605733">
        <w:rPr>
          <w:rFonts w:eastAsia="Calibri"/>
          <w:lang w:val="hr-HR"/>
        </w:rPr>
        <w:t>A</w:t>
      </w:r>
      <w:r w:rsidR="00ED7A4C" w:rsidRPr="00605733">
        <w:rPr>
          <w:rFonts w:eastAsia="Calibri"/>
          <w:lang w:val="hr-HR"/>
        </w:rPr>
        <w:t xml:space="preserve"> OD FINANCIJSKIH INST</w:t>
      </w:r>
      <w:r w:rsidR="00A10E1F" w:rsidRPr="00605733">
        <w:rPr>
          <w:rFonts w:eastAsia="Calibri"/>
          <w:lang w:val="hr-HR"/>
        </w:rPr>
        <w:t>ITUCIJA</w:t>
      </w:r>
      <w:bookmarkEnd w:id="379"/>
    </w:p>
    <w:p w14:paraId="3449DC6B" w14:textId="77777777" w:rsidR="00ED7A4C" w:rsidRPr="00605733" w:rsidRDefault="00ED7A4C" w:rsidP="00ED7A4C">
      <w:pPr>
        <w:spacing w:after="0" w:line="240" w:lineRule="auto"/>
        <w:jc w:val="both"/>
        <w:rPr>
          <w:rFonts w:ascii="Arial" w:eastAsia="Calibri" w:hAnsi="Arial" w:cs="Arial"/>
          <w:lang w:eastAsia="en-US"/>
        </w:rPr>
      </w:pPr>
    </w:p>
    <w:p w14:paraId="55F13301" w14:textId="2AA95F35" w:rsidR="00A10E1F" w:rsidRPr="00EB650B" w:rsidRDefault="00A10E1F" w:rsidP="00A10E1F">
      <w:pPr>
        <w:spacing w:after="0" w:line="240" w:lineRule="auto"/>
        <w:ind w:firstLine="708"/>
        <w:jc w:val="both"/>
        <w:rPr>
          <w:rFonts w:ascii="Arial" w:eastAsia="Times New Roman" w:hAnsi="Arial" w:cs="Arial"/>
          <w:sz w:val="20"/>
          <w:szCs w:val="20"/>
          <w:lang w:eastAsia="en-US"/>
        </w:rPr>
      </w:pPr>
      <w:r w:rsidRPr="00EB650B">
        <w:rPr>
          <w:rFonts w:ascii="Arial" w:eastAsia="Times New Roman" w:hAnsi="Arial" w:cs="Arial"/>
          <w:sz w:val="20"/>
          <w:szCs w:val="20"/>
          <w:lang w:eastAsia="en-US"/>
        </w:rPr>
        <w:t>Obveze za dugoročne kredite od kreditnih institucija</w:t>
      </w:r>
      <w:r w:rsidR="00AE0F83">
        <w:rPr>
          <w:rFonts w:ascii="Arial" w:eastAsia="Times New Roman" w:hAnsi="Arial" w:cs="Arial"/>
          <w:sz w:val="20"/>
          <w:szCs w:val="20"/>
          <w:lang w:eastAsia="en-US"/>
        </w:rPr>
        <w:t xml:space="preserve"> izvan javnog sektora</w:t>
      </w:r>
      <w:r w:rsidRPr="00EB650B">
        <w:rPr>
          <w:rFonts w:ascii="Arial" w:eastAsia="Times New Roman" w:hAnsi="Arial" w:cs="Arial"/>
          <w:sz w:val="20"/>
          <w:szCs w:val="20"/>
          <w:lang w:eastAsia="en-US"/>
        </w:rPr>
        <w:t xml:space="preserve"> </w:t>
      </w:r>
      <w:r w:rsidR="00AE0F83">
        <w:rPr>
          <w:rFonts w:ascii="Arial" w:eastAsia="Times New Roman" w:hAnsi="Arial" w:cs="Arial"/>
          <w:sz w:val="20"/>
          <w:szCs w:val="20"/>
          <w:lang w:eastAsia="en-US"/>
        </w:rPr>
        <w:t xml:space="preserve">početkom 2025. su iznosile 219.229,24 </w:t>
      </w:r>
      <w:r w:rsidR="00FB5F08" w:rsidRPr="00EB650B">
        <w:rPr>
          <w:rFonts w:ascii="Arial" w:hAnsi="Arial" w:cs="Arial"/>
          <w:sz w:val="20"/>
          <w:szCs w:val="20"/>
        </w:rPr>
        <w:t>€</w:t>
      </w:r>
      <w:r w:rsidR="00AE0F83">
        <w:rPr>
          <w:rFonts w:ascii="Arial" w:eastAsia="Times New Roman" w:hAnsi="Arial" w:cs="Arial"/>
          <w:sz w:val="20"/>
          <w:szCs w:val="20"/>
          <w:lang w:eastAsia="en-US"/>
        </w:rPr>
        <w:t xml:space="preserve">, a </w:t>
      </w:r>
      <w:r w:rsidRPr="00EB650B">
        <w:rPr>
          <w:rFonts w:ascii="Arial" w:eastAsia="Times New Roman" w:hAnsi="Arial" w:cs="Arial"/>
          <w:sz w:val="20"/>
          <w:szCs w:val="20"/>
          <w:lang w:eastAsia="en-US"/>
        </w:rPr>
        <w:t>odnos</w:t>
      </w:r>
      <w:r w:rsidR="00AE0F83">
        <w:rPr>
          <w:rFonts w:ascii="Arial" w:eastAsia="Times New Roman" w:hAnsi="Arial" w:cs="Arial"/>
          <w:sz w:val="20"/>
          <w:szCs w:val="20"/>
          <w:lang w:eastAsia="en-US"/>
        </w:rPr>
        <w:t xml:space="preserve">ile su se </w:t>
      </w:r>
      <w:r w:rsidRPr="00EB650B">
        <w:rPr>
          <w:rFonts w:ascii="Arial" w:eastAsia="Times New Roman" w:hAnsi="Arial" w:cs="Arial"/>
          <w:sz w:val="20"/>
          <w:szCs w:val="20"/>
          <w:lang w:eastAsia="en-US"/>
        </w:rPr>
        <w:t>na ugovor o dugoročnom kreditu iz 2013. godine koji je iskorišten za izgradnju doma za starije i nemoćne osobe.</w:t>
      </w:r>
      <w:r w:rsidR="00AE0F83">
        <w:rPr>
          <w:rFonts w:ascii="Arial" w:eastAsia="Times New Roman" w:hAnsi="Arial" w:cs="Arial"/>
          <w:sz w:val="20"/>
          <w:szCs w:val="20"/>
          <w:lang w:eastAsia="en-US"/>
        </w:rPr>
        <w:t xml:space="preserve"> Ovaj kredit je u cijelosti otplaćen u travnju 2025.</w:t>
      </w:r>
    </w:p>
    <w:p w14:paraId="213EA3E7" w14:textId="40231F77" w:rsidR="00A10E1F" w:rsidRPr="00EB650B" w:rsidRDefault="00A10E1F" w:rsidP="00A10E1F">
      <w:pPr>
        <w:spacing w:after="0" w:line="240" w:lineRule="auto"/>
        <w:jc w:val="both"/>
        <w:rPr>
          <w:rFonts w:ascii="Arial" w:eastAsia="Times New Roman" w:hAnsi="Arial" w:cs="Arial"/>
          <w:sz w:val="20"/>
          <w:szCs w:val="20"/>
          <w:lang w:eastAsia="en-US"/>
        </w:rPr>
      </w:pPr>
    </w:p>
    <w:p w14:paraId="546B1CD7" w14:textId="77777777" w:rsidR="001128ED" w:rsidRDefault="00AE0F83" w:rsidP="000F22E8">
      <w:pPr>
        <w:spacing w:after="0" w:line="240" w:lineRule="auto"/>
        <w:ind w:firstLine="708"/>
        <w:jc w:val="both"/>
        <w:rPr>
          <w:rFonts w:ascii="Arial" w:eastAsia="Times New Roman" w:hAnsi="Arial" w:cs="Arial"/>
          <w:sz w:val="20"/>
          <w:szCs w:val="20"/>
          <w:lang w:eastAsia="en-US"/>
        </w:rPr>
      </w:pPr>
      <w:r>
        <w:rPr>
          <w:rFonts w:ascii="Arial" w:eastAsia="Times New Roman" w:hAnsi="Arial" w:cs="Arial"/>
          <w:sz w:val="20"/>
          <w:szCs w:val="20"/>
          <w:lang w:eastAsia="en-US"/>
        </w:rPr>
        <w:t>Pored navedenog, Općina</w:t>
      </w:r>
      <w:r w:rsidR="001128ED">
        <w:rPr>
          <w:rFonts w:ascii="Arial" w:eastAsia="Times New Roman" w:hAnsi="Arial" w:cs="Arial"/>
          <w:sz w:val="20"/>
          <w:szCs w:val="20"/>
          <w:lang w:eastAsia="en-US"/>
        </w:rPr>
        <w:t xml:space="preserve"> ima kreditno zaduživanje na temelju dvije suglasnosti za zaduživanje kod Hrvatske banke za obnovu i razvitak (HBOR), a to su:</w:t>
      </w:r>
    </w:p>
    <w:p w14:paraId="71A34BA5" w14:textId="009877B1" w:rsidR="000F22E8" w:rsidRDefault="001128ED" w:rsidP="001128ED">
      <w:pPr>
        <w:spacing w:after="0" w:line="240" w:lineRule="auto"/>
        <w:ind w:left="709" w:hanging="709"/>
        <w:jc w:val="both"/>
        <w:rPr>
          <w:rFonts w:ascii="Arial" w:eastAsia="Times New Roman" w:hAnsi="Arial" w:cs="Arial"/>
          <w:sz w:val="20"/>
          <w:szCs w:val="20"/>
          <w:lang w:eastAsia="en-US"/>
        </w:rPr>
      </w:pPr>
      <w:r>
        <w:rPr>
          <w:rFonts w:ascii="Arial" w:eastAsia="Times New Roman" w:hAnsi="Arial" w:cs="Arial"/>
          <w:sz w:val="20"/>
          <w:szCs w:val="20"/>
          <w:lang w:eastAsia="en-US"/>
        </w:rPr>
        <w:t>a)</w:t>
      </w:r>
      <w:r>
        <w:rPr>
          <w:rFonts w:ascii="Arial" w:eastAsia="Times New Roman" w:hAnsi="Arial" w:cs="Arial"/>
          <w:sz w:val="20"/>
          <w:szCs w:val="20"/>
          <w:lang w:eastAsia="en-US"/>
        </w:rPr>
        <w:tab/>
      </w:r>
      <w:r w:rsidR="00AE0F83">
        <w:rPr>
          <w:rFonts w:ascii="Arial" w:eastAsia="Times New Roman" w:hAnsi="Arial" w:cs="Arial"/>
          <w:sz w:val="20"/>
          <w:szCs w:val="20"/>
          <w:lang w:eastAsia="en-US"/>
        </w:rPr>
        <w:t xml:space="preserve"> </w:t>
      </w:r>
      <w:r w:rsidR="000F22E8" w:rsidRPr="00EB650B">
        <w:rPr>
          <w:rFonts w:ascii="Arial" w:eastAsia="Times New Roman" w:hAnsi="Arial" w:cs="Arial"/>
          <w:sz w:val="20"/>
          <w:szCs w:val="20"/>
          <w:lang w:eastAsia="en-US"/>
        </w:rPr>
        <w:t>U prosincu 2021. ministar financija je da suglasnost za zaduživanje za izgradnju vatrogasnog doma i nabavu vatrogasnog vozila i opreme do 8.400.000 kn odnosno 1.114.871,59 €. Ugovor o kreditu je zaključen u ožujku 2022. Do konca 2022. iskorištena su sredstva ovog kredita (HBOR) u cijelosti</w:t>
      </w:r>
      <w:r>
        <w:rPr>
          <w:rFonts w:ascii="Arial" w:eastAsia="Times New Roman" w:hAnsi="Arial" w:cs="Arial"/>
          <w:sz w:val="20"/>
          <w:szCs w:val="20"/>
          <w:lang w:eastAsia="en-US"/>
        </w:rPr>
        <w:t>.</w:t>
      </w:r>
    </w:p>
    <w:p w14:paraId="0F0A3289" w14:textId="5B38DF3B" w:rsidR="003D18D4" w:rsidRPr="00EB650B" w:rsidRDefault="001128ED" w:rsidP="001128ED">
      <w:pPr>
        <w:spacing w:after="0" w:line="240" w:lineRule="auto"/>
        <w:ind w:left="709" w:hanging="709"/>
        <w:jc w:val="both"/>
        <w:rPr>
          <w:rFonts w:ascii="Arial" w:eastAsia="Times New Roman" w:hAnsi="Arial" w:cs="Arial"/>
          <w:sz w:val="20"/>
          <w:szCs w:val="20"/>
          <w:lang w:eastAsia="en-US"/>
        </w:rPr>
      </w:pPr>
      <w:r>
        <w:rPr>
          <w:rFonts w:ascii="Arial" w:eastAsia="Times New Roman" w:hAnsi="Arial" w:cs="Arial"/>
          <w:sz w:val="20"/>
          <w:szCs w:val="20"/>
          <w:lang w:eastAsia="en-US"/>
        </w:rPr>
        <w:t>b)</w:t>
      </w:r>
      <w:r>
        <w:rPr>
          <w:rFonts w:ascii="Arial" w:eastAsia="Times New Roman" w:hAnsi="Arial" w:cs="Arial"/>
          <w:sz w:val="20"/>
          <w:szCs w:val="20"/>
          <w:lang w:eastAsia="en-US"/>
        </w:rPr>
        <w:tab/>
      </w:r>
      <w:r w:rsidR="00D04BFF" w:rsidRPr="00EB650B">
        <w:rPr>
          <w:rFonts w:ascii="Arial" w:eastAsia="Times New Roman" w:hAnsi="Arial" w:cs="Arial"/>
          <w:sz w:val="20"/>
          <w:szCs w:val="20"/>
          <w:lang w:eastAsia="en-US"/>
        </w:rPr>
        <w:t xml:space="preserve">Vlada Republike Hrvatske je 25. kolovoza 2022. godine dala suglasnost Općini Konavale za zaduživanje za </w:t>
      </w:r>
      <w:r w:rsidR="00D039EE" w:rsidRPr="00EB650B">
        <w:rPr>
          <w:rFonts w:ascii="Arial" w:eastAsia="Times New Roman" w:hAnsi="Arial" w:cs="Arial"/>
          <w:sz w:val="20"/>
          <w:szCs w:val="20"/>
          <w:lang w:eastAsia="en-US"/>
        </w:rPr>
        <w:t>projekt modernizacije javne rasvjete – unapređenje energetske učinkovitosti</w:t>
      </w:r>
      <w:r w:rsidR="00941216" w:rsidRPr="00EB650B">
        <w:rPr>
          <w:rFonts w:ascii="Arial" w:eastAsia="Times New Roman" w:hAnsi="Arial" w:cs="Arial"/>
          <w:sz w:val="20"/>
          <w:szCs w:val="20"/>
          <w:lang w:eastAsia="en-US"/>
        </w:rPr>
        <w:t xml:space="preserve"> u iznosu 8.900.000 kn kod HBOR s rokom otplate kredita od sedam i</w:t>
      </w:r>
      <w:r w:rsidR="006F738A" w:rsidRPr="00EB650B">
        <w:rPr>
          <w:rFonts w:ascii="Arial" w:eastAsia="Times New Roman" w:hAnsi="Arial" w:cs="Arial"/>
          <w:sz w:val="20"/>
          <w:szCs w:val="20"/>
          <w:lang w:eastAsia="en-US"/>
        </w:rPr>
        <w:t xml:space="preserve"> </w:t>
      </w:r>
      <w:r w:rsidR="00941216" w:rsidRPr="00EB650B">
        <w:rPr>
          <w:rFonts w:ascii="Arial" w:eastAsia="Times New Roman" w:hAnsi="Arial" w:cs="Arial"/>
          <w:sz w:val="20"/>
          <w:szCs w:val="20"/>
          <w:lang w:eastAsia="en-US"/>
        </w:rPr>
        <w:t>pol godina uključujući poček od pola godine u jednakim tromjesečnim ratama, uz fiksnu kamatnu stopu 0,5% godišnje (nema naknade za odobravanje kredita)., a općinsko vijeće je odobrilo zaduživanje u lipnju 2022. Ugovor o kreditu je</w:t>
      </w:r>
      <w:r w:rsidR="00A61B27" w:rsidRPr="00EB650B">
        <w:rPr>
          <w:rFonts w:ascii="Arial" w:eastAsia="Times New Roman" w:hAnsi="Arial" w:cs="Arial"/>
          <w:sz w:val="20"/>
          <w:szCs w:val="20"/>
          <w:lang w:eastAsia="en-US"/>
        </w:rPr>
        <w:t xml:space="preserve"> zaključen u prosincu 2022. </w:t>
      </w:r>
      <w:r w:rsidR="00D039EE" w:rsidRPr="00EB650B">
        <w:rPr>
          <w:rFonts w:ascii="Arial" w:eastAsia="Times New Roman" w:hAnsi="Arial" w:cs="Arial"/>
          <w:sz w:val="20"/>
          <w:szCs w:val="20"/>
          <w:lang w:eastAsia="en-US"/>
        </w:rPr>
        <w:t>(kredit ne ulazi u stupanj zaduženosti jer spada u kategoriju povećanja energetske učinkovitosti)</w:t>
      </w:r>
      <w:r w:rsidR="00A61B27" w:rsidRPr="00EB650B">
        <w:rPr>
          <w:rFonts w:ascii="Arial" w:eastAsia="Times New Roman" w:hAnsi="Arial" w:cs="Arial"/>
          <w:sz w:val="20"/>
          <w:szCs w:val="20"/>
          <w:lang w:eastAsia="en-US"/>
        </w:rPr>
        <w:t>. Predujam za kredit u iznosu 850.000 € je iskorišten u prosincu 2023. godine.</w:t>
      </w:r>
    </w:p>
    <w:p w14:paraId="3FBADDA6" w14:textId="77777777" w:rsidR="003D18D4" w:rsidRPr="00605733" w:rsidRDefault="003D18D4" w:rsidP="00A10E1F">
      <w:pPr>
        <w:spacing w:after="0" w:line="240" w:lineRule="auto"/>
        <w:jc w:val="both"/>
        <w:rPr>
          <w:rFonts w:ascii="Arial" w:eastAsia="Times New Roman" w:hAnsi="Arial" w:cs="Arial"/>
          <w:lang w:eastAsia="en-US"/>
        </w:rPr>
      </w:pPr>
    </w:p>
    <w:p w14:paraId="46AA619A" w14:textId="77777777" w:rsidR="003D18D4" w:rsidRPr="00605733" w:rsidRDefault="003D18D4" w:rsidP="00A10E1F">
      <w:pPr>
        <w:spacing w:after="0" w:line="240" w:lineRule="auto"/>
        <w:jc w:val="both"/>
        <w:rPr>
          <w:rFonts w:ascii="Arial" w:eastAsia="Times New Roman" w:hAnsi="Arial" w:cs="Arial"/>
          <w:lang w:eastAsia="en-US"/>
        </w:rPr>
      </w:pPr>
    </w:p>
    <w:p w14:paraId="30A3E9B1" w14:textId="77777777" w:rsidR="003D18D4" w:rsidRPr="00605733" w:rsidRDefault="003D18D4" w:rsidP="00A10E1F">
      <w:pPr>
        <w:spacing w:after="0" w:line="240" w:lineRule="auto"/>
        <w:jc w:val="both"/>
        <w:rPr>
          <w:rFonts w:ascii="Arial" w:eastAsia="Times New Roman" w:hAnsi="Arial" w:cs="Arial"/>
          <w:lang w:eastAsia="en-US"/>
        </w:rPr>
      </w:pPr>
    </w:p>
    <w:p w14:paraId="2325A9F8" w14:textId="77777777" w:rsidR="003D18D4" w:rsidRPr="00605733" w:rsidRDefault="003D18D4" w:rsidP="00A10E1F">
      <w:pPr>
        <w:spacing w:after="0" w:line="240" w:lineRule="auto"/>
        <w:jc w:val="both"/>
        <w:rPr>
          <w:rFonts w:ascii="Arial" w:eastAsia="Times New Roman" w:hAnsi="Arial" w:cs="Arial"/>
          <w:lang w:eastAsia="en-US"/>
        </w:rPr>
      </w:pPr>
    </w:p>
    <w:p w14:paraId="33EF1E76" w14:textId="77777777" w:rsidR="003D18D4" w:rsidRPr="00605733" w:rsidRDefault="003D18D4" w:rsidP="00A10E1F">
      <w:pPr>
        <w:spacing w:after="0" w:line="240" w:lineRule="auto"/>
        <w:jc w:val="both"/>
        <w:rPr>
          <w:rFonts w:ascii="Arial" w:eastAsia="Times New Roman" w:hAnsi="Arial" w:cs="Arial"/>
          <w:lang w:eastAsia="en-US"/>
        </w:rPr>
      </w:pPr>
    </w:p>
    <w:bookmarkEnd w:id="376"/>
    <w:p w14:paraId="57740E7F" w14:textId="77777777" w:rsidR="003D18D4" w:rsidRPr="00605733" w:rsidRDefault="003D18D4" w:rsidP="00A10E1F">
      <w:pPr>
        <w:spacing w:after="0" w:line="240" w:lineRule="auto"/>
        <w:jc w:val="both"/>
        <w:rPr>
          <w:rFonts w:ascii="Arial" w:eastAsia="Times New Roman" w:hAnsi="Arial" w:cs="Arial"/>
          <w:lang w:eastAsia="en-US"/>
        </w:rPr>
      </w:pPr>
    </w:p>
    <w:p w14:paraId="191D0A87" w14:textId="77777777" w:rsidR="003D18D4" w:rsidRPr="00605733" w:rsidRDefault="003D18D4" w:rsidP="00A10E1F">
      <w:pPr>
        <w:spacing w:after="0" w:line="240" w:lineRule="auto"/>
        <w:jc w:val="both"/>
        <w:rPr>
          <w:rFonts w:ascii="Arial" w:eastAsia="Times New Roman" w:hAnsi="Arial" w:cs="Arial"/>
          <w:lang w:eastAsia="en-US"/>
        </w:rPr>
      </w:pPr>
    </w:p>
    <w:p w14:paraId="6125ED5E" w14:textId="77777777" w:rsidR="003D18D4" w:rsidRPr="00605733" w:rsidRDefault="003D18D4" w:rsidP="00A10E1F">
      <w:pPr>
        <w:spacing w:after="0" w:line="240" w:lineRule="auto"/>
        <w:jc w:val="both"/>
        <w:rPr>
          <w:rFonts w:ascii="Arial" w:eastAsia="Times New Roman" w:hAnsi="Arial" w:cs="Arial"/>
          <w:lang w:eastAsia="en-US"/>
        </w:rPr>
      </w:pPr>
    </w:p>
    <w:p w14:paraId="7CF02B52" w14:textId="77777777" w:rsidR="003D18D4" w:rsidRPr="00605733" w:rsidRDefault="003D18D4" w:rsidP="00A10E1F">
      <w:pPr>
        <w:spacing w:after="0" w:line="240" w:lineRule="auto"/>
        <w:jc w:val="both"/>
        <w:rPr>
          <w:rFonts w:ascii="Arial" w:eastAsia="Times New Roman" w:hAnsi="Arial" w:cs="Arial"/>
          <w:lang w:eastAsia="en-US"/>
        </w:rPr>
      </w:pPr>
    </w:p>
    <w:p w14:paraId="0E0D9E7B" w14:textId="77777777" w:rsidR="004A3A42" w:rsidRDefault="004A3A42" w:rsidP="00A10E1F">
      <w:pPr>
        <w:spacing w:after="0" w:line="240" w:lineRule="auto"/>
        <w:jc w:val="both"/>
        <w:rPr>
          <w:rFonts w:ascii="Arial" w:eastAsia="Times New Roman" w:hAnsi="Arial" w:cs="Arial"/>
          <w:lang w:eastAsia="en-US"/>
        </w:rPr>
      </w:pPr>
    </w:p>
    <w:p w14:paraId="50DE8EB7" w14:textId="77777777" w:rsidR="0012128A" w:rsidRDefault="0012128A" w:rsidP="00A10E1F">
      <w:pPr>
        <w:spacing w:after="0" w:line="240" w:lineRule="auto"/>
        <w:jc w:val="both"/>
        <w:rPr>
          <w:rFonts w:ascii="Arial" w:eastAsia="Times New Roman" w:hAnsi="Arial" w:cs="Arial"/>
          <w:lang w:eastAsia="en-US"/>
        </w:rPr>
      </w:pPr>
    </w:p>
    <w:p w14:paraId="361060AA" w14:textId="77777777" w:rsidR="0012128A" w:rsidRPr="00605733" w:rsidRDefault="0012128A" w:rsidP="00A10E1F">
      <w:pPr>
        <w:spacing w:after="0" w:line="240" w:lineRule="auto"/>
        <w:jc w:val="both"/>
        <w:rPr>
          <w:rFonts w:ascii="Arial" w:eastAsia="Times New Roman" w:hAnsi="Arial" w:cs="Arial"/>
          <w:lang w:eastAsia="en-US"/>
        </w:rPr>
      </w:pPr>
    </w:p>
    <w:p w14:paraId="270C3AFB" w14:textId="12758DCA" w:rsidR="00D843C5" w:rsidRPr="006D647D" w:rsidRDefault="00892B2C" w:rsidP="00892B2C">
      <w:pPr>
        <w:pStyle w:val="Opisslike"/>
        <w:keepNext/>
        <w:jc w:val="both"/>
        <w:rPr>
          <w:rFonts w:ascii="Arial" w:hAnsi="Arial" w:cs="Arial"/>
          <w:bCs w:val="0"/>
          <w:iCs/>
        </w:rPr>
      </w:pPr>
      <w:bookmarkStart w:id="380" w:name="_Toc207706990"/>
      <w:r w:rsidRPr="00731E7F">
        <w:rPr>
          <w:color w:val="C00000"/>
        </w:rPr>
        <w:lastRenderedPageBreak/>
        <w:t xml:space="preserve">Tablica </w:t>
      </w:r>
      <w:r w:rsidR="002A3DE2" w:rsidRPr="00731E7F">
        <w:rPr>
          <w:color w:val="C00000"/>
        </w:rPr>
        <w:fldChar w:fldCharType="begin"/>
      </w:r>
      <w:r w:rsidR="002A3DE2" w:rsidRPr="00731E7F">
        <w:rPr>
          <w:color w:val="C00000"/>
        </w:rPr>
        <w:instrText xml:space="preserve"> SEQ Tablica \* ARABIC </w:instrText>
      </w:r>
      <w:r w:rsidR="002A3DE2" w:rsidRPr="00731E7F">
        <w:rPr>
          <w:color w:val="C00000"/>
        </w:rPr>
        <w:fldChar w:fldCharType="separate"/>
      </w:r>
      <w:r w:rsidR="00910987">
        <w:rPr>
          <w:noProof/>
          <w:color w:val="C00000"/>
        </w:rPr>
        <w:t>26</w:t>
      </w:r>
      <w:r w:rsidR="002A3DE2" w:rsidRPr="00731E7F">
        <w:rPr>
          <w:color w:val="C00000"/>
        </w:rPr>
        <w:fldChar w:fldCharType="end"/>
      </w:r>
      <w:r w:rsidRPr="00731E7F">
        <w:rPr>
          <w:color w:val="C00000"/>
        </w:rPr>
        <w:t xml:space="preserve">.: </w:t>
      </w:r>
      <w:r w:rsidR="00B50BA4" w:rsidRPr="006D647D">
        <w:rPr>
          <w:rFonts w:ascii="Arial" w:hAnsi="Arial" w:cs="Arial"/>
          <w:bCs w:val="0"/>
          <w:iCs/>
        </w:rPr>
        <w:t xml:space="preserve">Pregled primljenih </w:t>
      </w:r>
      <w:r w:rsidR="00C17EE5" w:rsidRPr="006D647D">
        <w:rPr>
          <w:rFonts w:ascii="Arial" w:hAnsi="Arial" w:cs="Arial"/>
          <w:bCs w:val="0"/>
          <w:iCs/>
        </w:rPr>
        <w:t xml:space="preserve">dugoročnih </w:t>
      </w:r>
      <w:r w:rsidR="00B50BA4" w:rsidRPr="006D647D">
        <w:rPr>
          <w:rFonts w:ascii="Arial" w:hAnsi="Arial" w:cs="Arial"/>
          <w:bCs w:val="0"/>
          <w:iCs/>
        </w:rPr>
        <w:t>kredita</w:t>
      </w:r>
      <w:r w:rsidR="005F082E" w:rsidRPr="006D647D">
        <w:rPr>
          <w:rFonts w:ascii="Arial" w:hAnsi="Arial" w:cs="Arial"/>
          <w:bCs w:val="0"/>
          <w:iCs/>
        </w:rPr>
        <w:t xml:space="preserve"> od kreditnih institucija</w:t>
      </w:r>
      <w:bookmarkEnd w:id="380"/>
    </w:p>
    <w:p w14:paraId="5DAB6C0D" w14:textId="77777777" w:rsidR="00CB10A5" w:rsidRPr="00CB10A5" w:rsidRDefault="00CB10A5" w:rsidP="00CB10A5">
      <w:pPr>
        <w:spacing w:after="0" w:line="240" w:lineRule="auto"/>
        <w:jc w:val="center"/>
        <w:rPr>
          <w:lang w:eastAsia="en-US"/>
        </w:rPr>
      </w:pPr>
    </w:p>
    <w:p w14:paraId="6E4C0F95" w14:textId="2D6A2F75" w:rsidR="001128ED" w:rsidRDefault="001128ED" w:rsidP="005F082E">
      <w:pPr>
        <w:jc w:val="center"/>
        <w:rPr>
          <w:color w:val="C00000"/>
          <w:lang w:eastAsia="en-US"/>
        </w:rPr>
      </w:pPr>
      <w:r w:rsidRPr="001128ED">
        <w:rPr>
          <w:noProof/>
        </w:rPr>
        <w:drawing>
          <wp:inline distT="0" distB="0" distL="0" distR="0" wp14:anchorId="1554A4BD" wp14:editId="53BBE75C">
            <wp:extent cx="9251950" cy="3978275"/>
            <wp:effectExtent l="0" t="0" r="6350" b="3175"/>
            <wp:docPr id="170835922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251950" cy="3978275"/>
                    </a:xfrm>
                    <a:prstGeom prst="rect">
                      <a:avLst/>
                    </a:prstGeom>
                    <a:noFill/>
                    <a:ln>
                      <a:noFill/>
                    </a:ln>
                  </pic:spPr>
                </pic:pic>
              </a:graphicData>
            </a:graphic>
          </wp:inline>
        </w:drawing>
      </w:r>
    </w:p>
    <w:p w14:paraId="4AD5182C" w14:textId="77777777" w:rsidR="001A1EBF" w:rsidRPr="006D647D" w:rsidRDefault="001A1EBF" w:rsidP="00891119">
      <w:pPr>
        <w:spacing w:after="0" w:line="240" w:lineRule="auto"/>
        <w:jc w:val="both"/>
        <w:rPr>
          <w:rFonts w:ascii="Arial" w:eastAsia="Times New Roman" w:hAnsi="Arial" w:cs="Arial"/>
          <w:b/>
          <w:iCs/>
          <w:lang w:eastAsia="en-US"/>
        </w:rPr>
      </w:pPr>
    </w:p>
    <w:p w14:paraId="6E3C4B13" w14:textId="034614FE" w:rsidR="00891119" w:rsidRPr="006D647D" w:rsidRDefault="00891119">
      <w:pPr>
        <w:pStyle w:val="Odlomakpopisa"/>
        <w:numPr>
          <w:ilvl w:val="0"/>
          <w:numId w:val="21"/>
        </w:numPr>
        <w:rPr>
          <w:rFonts w:ascii="Arial" w:hAnsi="Arial" w:cs="Arial"/>
          <w:b/>
          <w:iCs/>
        </w:rPr>
      </w:pPr>
      <w:r w:rsidRPr="006D647D">
        <w:rPr>
          <w:rFonts w:ascii="Arial" w:hAnsi="Arial" w:cs="Arial"/>
          <w:b/>
          <w:iCs/>
        </w:rPr>
        <w:t>Ugovor o dugoročnom kreditu od 23. kolovoza 2013. – Izgradnja doma za starije i nemoćne osobe na Grudi</w:t>
      </w:r>
    </w:p>
    <w:p w14:paraId="1A19109D" w14:textId="77777777" w:rsidR="00891119" w:rsidRPr="006D647D" w:rsidRDefault="00891119" w:rsidP="00891119">
      <w:pPr>
        <w:spacing w:after="0" w:line="240" w:lineRule="auto"/>
        <w:jc w:val="both"/>
        <w:rPr>
          <w:rFonts w:ascii="Arial" w:eastAsia="Times New Roman" w:hAnsi="Arial" w:cs="Arial"/>
          <w:iCs/>
          <w:lang w:eastAsia="en-US"/>
        </w:rPr>
      </w:pPr>
    </w:p>
    <w:p w14:paraId="4E9F227D" w14:textId="6923E3BF" w:rsidR="00891119" w:rsidRPr="00EB650B" w:rsidRDefault="00891119" w:rsidP="00891119">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Općina Konavle se u 2013. zadužila dugoročno na domaćem tržištu novca i kapitala za izgradnju Doma za starije i nemoćne osobe</w:t>
      </w:r>
      <w:r w:rsidR="009E608D" w:rsidRPr="00EB650B">
        <w:rPr>
          <w:rFonts w:ascii="Arial" w:eastAsia="Times New Roman" w:hAnsi="Arial" w:cs="Arial"/>
          <w:iCs/>
          <w:sz w:val="20"/>
          <w:szCs w:val="20"/>
          <w:lang w:eastAsia="en-US"/>
        </w:rPr>
        <w:t xml:space="preserve"> na Grudi</w:t>
      </w:r>
      <w:r w:rsidRPr="00EB650B">
        <w:rPr>
          <w:rFonts w:ascii="Arial" w:eastAsia="Times New Roman" w:hAnsi="Arial" w:cs="Arial"/>
          <w:iCs/>
          <w:sz w:val="20"/>
          <w:szCs w:val="20"/>
          <w:lang w:eastAsia="en-US"/>
        </w:rPr>
        <w:t xml:space="preserve">. </w:t>
      </w:r>
      <w:r w:rsidR="001A45D0" w:rsidRPr="00EB650B">
        <w:rPr>
          <w:rFonts w:ascii="Arial" w:eastAsia="Times New Roman" w:hAnsi="Arial" w:cs="Arial"/>
          <w:iCs/>
          <w:sz w:val="20"/>
          <w:szCs w:val="20"/>
          <w:lang w:eastAsia="en-US"/>
        </w:rPr>
        <w:t>U</w:t>
      </w:r>
      <w:r w:rsidRPr="00EB650B">
        <w:rPr>
          <w:rFonts w:ascii="Arial" w:eastAsia="Times New Roman" w:hAnsi="Arial" w:cs="Arial"/>
          <w:iCs/>
          <w:sz w:val="20"/>
          <w:szCs w:val="20"/>
          <w:lang w:eastAsia="en-US"/>
        </w:rPr>
        <w:t xml:space="preserve"> kolovozu 2013. </w:t>
      </w:r>
      <w:r w:rsidR="009E608D" w:rsidRPr="00EB650B">
        <w:rPr>
          <w:rFonts w:ascii="Arial" w:eastAsia="Times New Roman" w:hAnsi="Arial" w:cs="Arial"/>
          <w:iCs/>
          <w:sz w:val="20"/>
          <w:szCs w:val="20"/>
          <w:lang w:eastAsia="en-US"/>
        </w:rPr>
        <w:t xml:space="preserve">je zaključen </w:t>
      </w:r>
      <w:r w:rsidRPr="00EB650B">
        <w:rPr>
          <w:rFonts w:ascii="Arial" w:eastAsia="Times New Roman" w:hAnsi="Arial" w:cs="Arial"/>
          <w:iCs/>
          <w:sz w:val="20"/>
          <w:szCs w:val="20"/>
          <w:lang w:eastAsia="en-US"/>
        </w:rPr>
        <w:t xml:space="preserve">ugovor o dugoročnom kreditu s poslovnom bankom (OTP banka Hrvatska d.d. Zadar) u iznosu 20.000.000 </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 odnosno 2.630.750,95 EUR po srednjem tečaju HNB-a za 1 EUR na dan 26.4.2013.</w:t>
      </w:r>
      <w:r w:rsidR="0026356B" w:rsidRPr="00EB650B">
        <w:rPr>
          <w:rFonts w:ascii="Arial" w:eastAsia="Times New Roman" w:hAnsi="Arial" w:cs="Arial"/>
          <w:iCs/>
          <w:sz w:val="20"/>
          <w:szCs w:val="20"/>
          <w:lang w:eastAsia="en-US"/>
        </w:rPr>
        <w:t xml:space="preserve"> </w:t>
      </w:r>
      <w:r w:rsidRPr="00EB650B">
        <w:rPr>
          <w:rFonts w:ascii="Arial" w:eastAsia="Times New Roman" w:hAnsi="Arial" w:cs="Arial"/>
          <w:iCs/>
          <w:sz w:val="20"/>
          <w:szCs w:val="20"/>
          <w:lang w:eastAsia="en-US"/>
        </w:rPr>
        <w:t>Općinsko vijeće Općine Konavle je dana 21. ožujka 2013. donijelo odluku o zaduživanju kojom je odobrilo zaduživanje, uzimanjem dugoročnog novčanog kredita u kunama s valutnom klauzulom uz EUR po srednjem tečaju HNB-a u iznosu 20.000.000</w:t>
      </w:r>
      <w:r w:rsidR="001A45D0" w:rsidRPr="00EB650B">
        <w:rPr>
          <w:rFonts w:ascii="Arial" w:eastAsia="Times New Roman" w:hAnsi="Arial" w:cs="Arial"/>
          <w:iCs/>
          <w:sz w:val="20"/>
          <w:szCs w:val="20"/>
          <w:lang w:eastAsia="en-US"/>
        </w:rPr>
        <w:t xml:space="preserve"> </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 xml:space="preserve">. Vlada Republike Hrvatske je na sjednici održanoj 26. lipnja 2013. donijela odluku o davanju suglasnosti Općini Konavle za zaduživanje u iznosu 20.000.000 </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 xml:space="preserve">, na rok otplate kredita od 10 godina, uz poček od godinu dana po okončanju investicije, s otplatom u 36 jednakih tromjesečnih rata, uz promjenljivu kamatnu stopu vezanu za tromjesečni EURIBOR uvećan </w:t>
      </w:r>
      <w:r w:rsidRPr="00EB650B">
        <w:rPr>
          <w:rFonts w:ascii="Arial" w:eastAsia="Times New Roman" w:hAnsi="Arial" w:cs="Arial"/>
          <w:iCs/>
          <w:sz w:val="20"/>
          <w:szCs w:val="20"/>
          <w:lang w:eastAsia="en-US"/>
        </w:rPr>
        <w:lastRenderedPageBreak/>
        <w:t>za kamatnu maržu od 1,48% te jednokratnu na</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 xml:space="preserve">adu za troškove odobravanja kredita od 0,4% iznosa odobrenog kredita. </w:t>
      </w:r>
      <w:r w:rsidR="00374836" w:rsidRPr="00EB650B">
        <w:rPr>
          <w:rFonts w:ascii="Arial" w:eastAsia="Times New Roman" w:hAnsi="Arial" w:cs="Arial"/>
          <w:iCs/>
          <w:sz w:val="20"/>
          <w:szCs w:val="20"/>
          <w:lang w:eastAsia="en-US"/>
        </w:rPr>
        <w:t>Kamata se obračunava i naplaćuje tromjesečno u protuvrijednosti kuna po srednjem tečaju HNB za EUR u razdoblju otplate kredita.</w:t>
      </w:r>
    </w:p>
    <w:p w14:paraId="49FAEBE1" w14:textId="77777777" w:rsidR="00891119" w:rsidRPr="00EB650B" w:rsidRDefault="00891119" w:rsidP="00891119">
      <w:pPr>
        <w:spacing w:after="0" w:line="240" w:lineRule="auto"/>
        <w:jc w:val="both"/>
        <w:rPr>
          <w:rFonts w:ascii="Arial" w:eastAsia="Times New Roman" w:hAnsi="Arial" w:cs="Arial"/>
          <w:iCs/>
          <w:sz w:val="20"/>
          <w:szCs w:val="20"/>
          <w:lang w:eastAsia="en-US"/>
        </w:rPr>
      </w:pPr>
    </w:p>
    <w:p w14:paraId="3A37E1BE" w14:textId="17478F1C" w:rsidR="00891119" w:rsidRPr="00EB650B" w:rsidRDefault="00891119" w:rsidP="00891119">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Ugovor s poslovnom bankom je zaključen 23. kolovoza 2013. (ovjeren kod javnog bilježnika). Ugovor je odobren po uvjetima odobravanja i osiguranja dugoročnog kredita iz sredstava Hrvatske banke za obnovu i razvitak Zagreb po Programu kreditiranja infrastrukture. Iznos danog kredita u kunama, obračunat po srednjem tečaju HNB za 1 EUR, na dan 26. travnja 2013., je protuvrijednost od 2.630.750,95 EUR. Iznos kredita utvrđen i obračunat u EUR predstavlja obvezu Općine, korisnika kredita. Kredit je ugovoren uz valutnu klauzulu vezanu za EUR. Sve isplate iz kredita su se obavljale u kunama uz primjenu srednjeg tečaja HNB za 1 EUR na dan isplate. Kredit se mogao koristiti do 30. prosinca 2014. za izgradnju objekta (17.849.073,21 </w:t>
      </w:r>
      <w:r w:rsidR="00A8623C" w:rsidRPr="00EB650B">
        <w:rPr>
          <w:rFonts w:ascii="Arial" w:eastAsia="Times New Roman" w:hAnsi="Arial" w:cs="Arial"/>
          <w:iCs/>
          <w:sz w:val="20"/>
          <w:szCs w:val="20"/>
          <w:lang w:eastAsia="en-US"/>
        </w:rPr>
        <w:t>kn</w:t>
      </w:r>
      <w:r w:rsidR="009C3EFD" w:rsidRPr="00EB650B">
        <w:rPr>
          <w:rFonts w:ascii="Arial" w:eastAsia="Times New Roman" w:hAnsi="Arial" w:cs="Arial"/>
          <w:iCs/>
          <w:sz w:val="20"/>
          <w:szCs w:val="20"/>
          <w:lang w:eastAsia="en-US"/>
        </w:rPr>
        <w:t>)</w:t>
      </w:r>
      <w:r w:rsidRPr="00EB650B">
        <w:rPr>
          <w:rFonts w:ascii="Arial" w:eastAsia="Times New Roman" w:hAnsi="Arial" w:cs="Arial"/>
          <w:iCs/>
          <w:sz w:val="20"/>
          <w:szCs w:val="20"/>
          <w:lang w:eastAsia="en-US"/>
        </w:rPr>
        <w:t xml:space="preserve"> i za opremu i uređaje </w:t>
      </w:r>
      <w:r w:rsidR="009C3EFD" w:rsidRPr="00EB650B">
        <w:rPr>
          <w:rFonts w:ascii="Arial" w:eastAsia="Times New Roman" w:hAnsi="Arial" w:cs="Arial"/>
          <w:iCs/>
          <w:sz w:val="20"/>
          <w:szCs w:val="20"/>
          <w:lang w:eastAsia="en-US"/>
        </w:rPr>
        <w:t>(</w:t>
      </w:r>
      <w:r w:rsidRPr="00EB650B">
        <w:rPr>
          <w:rFonts w:ascii="Arial" w:eastAsia="Times New Roman" w:hAnsi="Arial" w:cs="Arial"/>
          <w:iCs/>
          <w:sz w:val="20"/>
          <w:szCs w:val="20"/>
          <w:lang w:eastAsia="en-US"/>
        </w:rPr>
        <w:t xml:space="preserve">2.150.926,79 </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 xml:space="preserve">) uz odstupanje do 10% od iznosa predviđenih namjena unutar ukupnog iznosa kredita. Banka je doznačavala sredstva u korist računa izvođača radova na temelju ovjerenih građevinskih situacija. </w:t>
      </w:r>
    </w:p>
    <w:p w14:paraId="0CDC090C" w14:textId="77777777" w:rsidR="00891119" w:rsidRPr="00EB650B" w:rsidRDefault="00891119" w:rsidP="00891119">
      <w:pPr>
        <w:spacing w:after="0" w:line="240" w:lineRule="auto"/>
        <w:jc w:val="both"/>
        <w:rPr>
          <w:rFonts w:ascii="Arial" w:eastAsia="Times New Roman" w:hAnsi="Arial" w:cs="Arial"/>
          <w:iCs/>
          <w:sz w:val="20"/>
          <w:szCs w:val="20"/>
          <w:lang w:eastAsia="en-US"/>
        </w:rPr>
      </w:pPr>
    </w:p>
    <w:p w14:paraId="45E4B09D" w14:textId="659691EB" w:rsidR="00891119" w:rsidRPr="00EB650B" w:rsidRDefault="00891119" w:rsidP="00891119">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Kredit je stavljen u otplatu 31. prosinca 2014., a poček je tekao od dana stavljanja kredita u otplatu do 29. rujna 2015. </w:t>
      </w:r>
      <w:r w:rsidRPr="00EB650B">
        <w:rPr>
          <w:rFonts w:ascii="Arial" w:eastAsia="Times New Roman" w:hAnsi="Arial" w:cs="Arial"/>
          <w:b/>
          <w:iCs/>
          <w:sz w:val="20"/>
          <w:szCs w:val="20"/>
          <w:u w:val="single"/>
          <w:lang w:eastAsia="en-US"/>
        </w:rPr>
        <w:t xml:space="preserve">Krajnji rok povrata kredita </w:t>
      </w:r>
      <w:r w:rsidRPr="00EB650B">
        <w:rPr>
          <w:rFonts w:ascii="Arial" w:eastAsia="Times New Roman" w:hAnsi="Arial" w:cs="Arial"/>
          <w:bCs/>
          <w:iCs/>
          <w:sz w:val="20"/>
          <w:szCs w:val="20"/>
          <w:lang w:eastAsia="en-US"/>
        </w:rPr>
        <w:t xml:space="preserve">je </w:t>
      </w:r>
      <w:r w:rsidR="00EC5CE0" w:rsidRPr="00EB650B">
        <w:rPr>
          <w:rFonts w:ascii="Arial" w:eastAsia="Times New Roman" w:hAnsi="Arial" w:cs="Arial"/>
          <w:bCs/>
          <w:iCs/>
          <w:sz w:val="20"/>
          <w:szCs w:val="20"/>
          <w:lang w:eastAsia="en-US"/>
        </w:rPr>
        <w:t xml:space="preserve">bio </w:t>
      </w:r>
      <w:r w:rsidRPr="00EB650B">
        <w:rPr>
          <w:rFonts w:ascii="Arial" w:eastAsia="Times New Roman" w:hAnsi="Arial" w:cs="Arial"/>
          <w:bCs/>
          <w:iCs/>
          <w:sz w:val="20"/>
          <w:szCs w:val="20"/>
          <w:lang w:eastAsia="en-US"/>
        </w:rPr>
        <w:t>30. rujna 2024.</w:t>
      </w:r>
      <w:r w:rsidR="00EC5CE0" w:rsidRPr="00EB650B">
        <w:rPr>
          <w:rFonts w:ascii="Arial" w:eastAsia="Times New Roman" w:hAnsi="Arial" w:cs="Arial"/>
          <w:bCs/>
          <w:iCs/>
          <w:sz w:val="20"/>
          <w:szCs w:val="20"/>
          <w:lang w:eastAsia="en-US"/>
        </w:rPr>
        <w:t xml:space="preserve">, ali je </w:t>
      </w:r>
      <w:r w:rsidR="007C5858" w:rsidRPr="00EB650B">
        <w:rPr>
          <w:rFonts w:ascii="Arial" w:eastAsia="Times New Roman" w:hAnsi="Arial" w:cs="Arial"/>
          <w:iCs/>
          <w:sz w:val="20"/>
          <w:szCs w:val="20"/>
          <w:lang w:eastAsia="en-US"/>
        </w:rPr>
        <w:t xml:space="preserve">dodatkom ugovora iz lipnja 2020. produžen </w:t>
      </w:r>
      <w:r w:rsidR="00EC5CE0" w:rsidRPr="00EB650B">
        <w:rPr>
          <w:rFonts w:ascii="Arial" w:eastAsia="Times New Roman" w:hAnsi="Arial" w:cs="Arial"/>
          <w:iCs/>
          <w:sz w:val="20"/>
          <w:szCs w:val="20"/>
          <w:lang w:eastAsia="en-US"/>
        </w:rPr>
        <w:t>do</w:t>
      </w:r>
      <w:r w:rsidR="007C5858" w:rsidRPr="00EB650B">
        <w:rPr>
          <w:rFonts w:ascii="Arial" w:eastAsia="Times New Roman" w:hAnsi="Arial" w:cs="Arial"/>
          <w:iCs/>
          <w:sz w:val="20"/>
          <w:szCs w:val="20"/>
          <w:lang w:eastAsia="en-US"/>
        </w:rPr>
        <w:t xml:space="preserve"> </w:t>
      </w:r>
      <w:r w:rsidR="007C5858" w:rsidRPr="00EB650B">
        <w:rPr>
          <w:rFonts w:ascii="Arial" w:eastAsia="Times New Roman" w:hAnsi="Arial" w:cs="Arial"/>
          <w:b/>
          <w:iCs/>
          <w:sz w:val="20"/>
          <w:szCs w:val="20"/>
          <w:u w:val="single"/>
          <w:lang w:eastAsia="en-US"/>
        </w:rPr>
        <w:t>30.9.2025.</w:t>
      </w:r>
      <w:r w:rsidR="007C5858" w:rsidRPr="00EB650B">
        <w:rPr>
          <w:rFonts w:ascii="Arial" w:eastAsia="Times New Roman" w:hAnsi="Arial" w:cs="Arial"/>
          <w:iCs/>
          <w:sz w:val="20"/>
          <w:szCs w:val="20"/>
          <w:lang w:eastAsia="en-US"/>
        </w:rPr>
        <w:t xml:space="preserve"> </w:t>
      </w:r>
      <w:r w:rsidRPr="00EB650B">
        <w:rPr>
          <w:rFonts w:ascii="Arial" w:eastAsia="Times New Roman" w:hAnsi="Arial" w:cs="Arial"/>
          <w:iCs/>
          <w:sz w:val="20"/>
          <w:szCs w:val="20"/>
          <w:lang w:eastAsia="en-US"/>
        </w:rPr>
        <w:t xml:space="preserve">Otplata se obavlja u 36 jednakih tromjesečnih obroka od kojih je prvi obrok dospio na naplatu 31. prosinca 2015. Utvrđeni obrok obračunava se u EUR i naplaćuje u kunskoj protuvrijednosti po </w:t>
      </w:r>
      <w:r w:rsidRPr="00EB650B">
        <w:rPr>
          <w:rFonts w:ascii="Arial" w:eastAsia="Times New Roman" w:hAnsi="Arial" w:cs="Arial"/>
          <w:b/>
          <w:iCs/>
          <w:sz w:val="20"/>
          <w:szCs w:val="20"/>
          <w:lang w:eastAsia="en-US"/>
        </w:rPr>
        <w:t>srednjem</w:t>
      </w:r>
      <w:r w:rsidRPr="00EB650B">
        <w:rPr>
          <w:rFonts w:ascii="Arial" w:eastAsia="Times New Roman" w:hAnsi="Arial" w:cs="Arial"/>
          <w:iCs/>
          <w:sz w:val="20"/>
          <w:szCs w:val="20"/>
          <w:lang w:eastAsia="en-US"/>
        </w:rPr>
        <w:t xml:space="preserve"> tečaju HNB na dan uplate. Interkalarna kamata se obračunavala i naplaćivala u razdoblju korištenja kredita od prijenosa kredita u otplatu na iskorišteni iznos kredita, kvartalno, u visini redovne kamate. Zatezna kamata se obračunava i naplaćuje sukladno Odluci o kamatama poslovne banke, koja je u vrijeme zaključivanja Ugovora iznosila 15,0%. Radi osiguravanja redovne otplate kredita banci su dostavljene dvije bjanko vlastite akceptirane mjenice s klauzulom „bez protesta“, uz mjenično očitovanje, jedna zadužnica potvrđena od javnog bilježnika. </w:t>
      </w:r>
    </w:p>
    <w:p w14:paraId="71585E49" w14:textId="77777777" w:rsidR="00891119" w:rsidRPr="00EB650B" w:rsidRDefault="00891119" w:rsidP="00891119">
      <w:pPr>
        <w:spacing w:after="0" w:line="240" w:lineRule="auto"/>
        <w:jc w:val="both"/>
        <w:rPr>
          <w:rFonts w:ascii="Arial" w:eastAsia="Times New Roman" w:hAnsi="Arial" w:cs="Arial"/>
          <w:iCs/>
          <w:sz w:val="20"/>
          <w:szCs w:val="20"/>
          <w:lang w:eastAsia="en-US"/>
        </w:rPr>
      </w:pPr>
    </w:p>
    <w:p w14:paraId="5A3D7740" w14:textId="5C68D3B7" w:rsidR="00891119" w:rsidRPr="00EB650B" w:rsidRDefault="00891119" w:rsidP="00891119">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U 2013.</w:t>
      </w:r>
      <w:r w:rsidR="00374836" w:rsidRPr="00EB650B">
        <w:rPr>
          <w:rFonts w:ascii="Arial" w:eastAsia="Times New Roman" w:hAnsi="Arial" w:cs="Arial"/>
          <w:iCs/>
          <w:sz w:val="20"/>
          <w:szCs w:val="20"/>
          <w:lang w:eastAsia="en-US"/>
        </w:rPr>
        <w:t xml:space="preserve"> i 2014.</w:t>
      </w:r>
      <w:r w:rsidRPr="00EB650B">
        <w:rPr>
          <w:rFonts w:ascii="Arial" w:eastAsia="Times New Roman" w:hAnsi="Arial" w:cs="Arial"/>
          <w:iCs/>
          <w:sz w:val="20"/>
          <w:szCs w:val="20"/>
          <w:lang w:eastAsia="en-US"/>
        </w:rPr>
        <w:t xml:space="preserve"> iskorištena su kreditna sredstva (8443) za plaćanje situacija za izvedene građevinske radove sveukupno 20.047.974,40 </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 xml:space="preserve"> (protuvrijednost 2.630.750,95 EUR).</w:t>
      </w:r>
      <w:r w:rsidR="00374836" w:rsidRPr="00EB650B">
        <w:rPr>
          <w:rFonts w:ascii="Arial" w:eastAsia="Times New Roman" w:hAnsi="Arial" w:cs="Arial"/>
          <w:iCs/>
          <w:sz w:val="20"/>
          <w:szCs w:val="20"/>
          <w:lang w:eastAsia="en-US"/>
        </w:rPr>
        <w:t xml:space="preserve"> </w:t>
      </w:r>
      <w:r w:rsidRPr="00EB650B">
        <w:rPr>
          <w:rFonts w:ascii="Arial" w:eastAsia="Times New Roman" w:hAnsi="Arial" w:cs="Arial"/>
          <w:iCs/>
          <w:sz w:val="20"/>
          <w:szCs w:val="20"/>
          <w:lang w:eastAsia="en-US"/>
        </w:rPr>
        <w:t xml:space="preserve">Tijekom cijelog vremena otplate tromjesečni obrok za glavnicu kredita iznosi 73.076,42 EUR, dakle godišnje dospijeva glavnica kredita u iznosu 292.305,68 EUR (četiri obroka). </w:t>
      </w:r>
    </w:p>
    <w:p w14:paraId="0314C425" w14:textId="77777777" w:rsidR="003276CA" w:rsidRPr="00EB650B" w:rsidRDefault="003276CA" w:rsidP="003276CA">
      <w:pPr>
        <w:spacing w:after="0" w:line="240" w:lineRule="auto"/>
        <w:jc w:val="both"/>
        <w:rPr>
          <w:rFonts w:ascii="Arial" w:eastAsia="Times New Roman" w:hAnsi="Arial" w:cs="Arial"/>
          <w:iCs/>
          <w:sz w:val="20"/>
          <w:szCs w:val="20"/>
          <w:lang w:eastAsia="en-US"/>
        </w:rPr>
      </w:pPr>
    </w:p>
    <w:p w14:paraId="4EB57683" w14:textId="1433B156" w:rsidR="003276CA" w:rsidRPr="00EB650B" w:rsidRDefault="002205D1" w:rsidP="003276CA">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Zbog nedostatka proračunskih sredstava uvjetovanih pandemijom </w:t>
      </w:r>
      <w:r w:rsidR="00FD5C81" w:rsidRPr="00EB650B">
        <w:rPr>
          <w:rFonts w:ascii="Arial" w:eastAsia="Times New Roman" w:hAnsi="Arial" w:cs="Arial"/>
          <w:iCs/>
          <w:sz w:val="20"/>
          <w:szCs w:val="20"/>
          <w:lang w:eastAsia="en-US"/>
        </w:rPr>
        <w:t>bolesti COVID 19</w:t>
      </w:r>
      <w:r w:rsidRPr="00EB650B">
        <w:rPr>
          <w:rFonts w:ascii="Arial" w:eastAsia="Times New Roman" w:hAnsi="Arial" w:cs="Arial"/>
          <w:iCs/>
          <w:sz w:val="20"/>
          <w:szCs w:val="20"/>
          <w:lang w:eastAsia="en-US"/>
        </w:rPr>
        <w:t>, Općina je s poslovnom bankom dana 19. lipnja 2020</w:t>
      </w:r>
      <w:r w:rsidR="004C4ECD" w:rsidRPr="00EB650B">
        <w:rPr>
          <w:rFonts w:ascii="Arial" w:eastAsia="Times New Roman" w:hAnsi="Arial" w:cs="Arial"/>
          <w:iCs/>
          <w:sz w:val="20"/>
          <w:szCs w:val="20"/>
          <w:lang w:eastAsia="en-US"/>
        </w:rPr>
        <w:t xml:space="preserve">. </w:t>
      </w:r>
      <w:r w:rsidR="00E6359C" w:rsidRPr="00EB650B">
        <w:rPr>
          <w:rFonts w:ascii="Arial" w:eastAsia="Times New Roman" w:hAnsi="Arial" w:cs="Arial"/>
          <w:iCs/>
          <w:sz w:val="20"/>
          <w:szCs w:val="20"/>
          <w:lang w:eastAsia="en-US"/>
        </w:rPr>
        <w:t>z</w:t>
      </w:r>
      <w:r w:rsidRPr="00EB650B">
        <w:rPr>
          <w:rFonts w:ascii="Arial" w:eastAsia="Times New Roman" w:hAnsi="Arial" w:cs="Arial"/>
          <w:iCs/>
          <w:sz w:val="20"/>
          <w:szCs w:val="20"/>
          <w:lang w:eastAsia="en-US"/>
        </w:rPr>
        <w:t xml:space="preserve">aključila </w:t>
      </w:r>
      <w:r w:rsidR="004C4ECD" w:rsidRPr="00EB650B">
        <w:rPr>
          <w:rFonts w:ascii="Arial" w:eastAsia="Times New Roman" w:hAnsi="Arial" w:cs="Arial"/>
          <w:iCs/>
          <w:sz w:val="20"/>
          <w:szCs w:val="20"/>
          <w:lang w:eastAsia="en-US"/>
        </w:rPr>
        <w:t xml:space="preserve">dodatak ugovoru kojim je utvrđena odgoda plaćanja rata glavnice kredita do </w:t>
      </w:r>
      <w:r w:rsidR="006B1388" w:rsidRPr="00EB650B">
        <w:rPr>
          <w:rFonts w:ascii="Arial" w:eastAsia="Times New Roman" w:hAnsi="Arial" w:cs="Arial"/>
          <w:iCs/>
          <w:sz w:val="20"/>
          <w:szCs w:val="20"/>
          <w:lang w:eastAsia="en-US"/>
        </w:rPr>
        <w:t>31.12.2020</w:t>
      </w:r>
      <w:r w:rsidR="00AC6893" w:rsidRPr="00EB650B">
        <w:rPr>
          <w:rFonts w:ascii="Arial" w:eastAsia="Times New Roman" w:hAnsi="Arial" w:cs="Arial"/>
          <w:iCs/>
          <w:sz w:val="20"/>
          <w:szCs w:val="20"/>
          <w:lang w:eastAsia="en-US"/>
        </w:rPr>
        <w:t>. te se obračun kamata i prvi obrok plaća</w:t>
      </w:r>
      <w:r w:rsidR="006B1388" w:rsidRPr="00EB650B">
        <w:rPr>
          <w:rFonts w:ascii="Arial" w:eastAsia="Times New Roman" w:hAnsi="Arial" w:cs="Arial"/>
          <w:iCs/>
          <w:sz w:val="20"/>
          <w:szCs w:val="20"/>
          <w:lang w:eastAsia="en-US"/>
        </w:rPr>
        <w:t xml:space="preserve"> 31.03.2021</w:t>
      </w:r>
      <w:r w:rsidR="004C4ECD" w:rsidRPr="00EB650B">
        <w:rPr>
          <w:rFonts w:ascii="Arial" w:eastAsia="Times New Roman" w:hAnsi="Arial" w:cs="Arial"/>
          <w:iCs/>
          <w:sz w:val="20"/>
          <w:szCs w:val="20"/>
          <w:lang w:eastAsia="en-US"/>
        </w:rPr>
        <w:t xml:space="preserve">. Kamatna stopa u razdoblju odgode plaćanja utvrđena je u visini redovne kamatne stope, ali se naplata kamate </w:t>
      </w:r>
      <w:r w:rsidR="00C17EE5" w:rsidRPr="00EB650B">
        <w:rPr>
          <w:rFonts w:ascii="Arial" w:eastAsia="Times New Roman" w:hAnsi="Arial" w:cs="Arial"/>
          <w:iCs/>
          <w:sz w:val="20"/>
          <w:szCs w:val="20"/>
          <w:lang w:eastAsia="en-US"/>
        </w:rPr>
        <w:t>izvršava</w:t>
      </w:r>
      <w:r w:rsidR="004C4ECD" w:rsidRPr="00EB650B">
        <w:rPr>
          <w:rFonts w:ascii="Arial" w:eastAsia="Times New Roman" w:hAnsi="Arial" w:cs="Arial"/>
          <w:iCs/>
          <w:sz w:val="20"/>
          <w:szCs w:val="20"/>
          <w:lang w:eastAsia="en-US"/>
        </w:rPr>
        <w:t xml:space="preserve"> na dan utvrđene ponovne otplate glavnice kredita.</w:t>
      </w:r>
      <w:r w:rsidRPr="00EB650B">
        <w:rPr>
          <w:rFonts w:ascii="Arial" w:eastAsia="Times New Roman" w:hAnsi="Arial" w:cs="Arial"/>
          <w:iCs/>
          <w:sz w:val="20"/>
          <w:szCs w:val="20"/>
          <w:lang w:eastAsia="en-US"/>
        </w:rPr>
        <w:t xml:space="preserve"> </w:t>
      </w:r>
      <w:r w:rsidRPr="00EB650B">
        <w:rPr>
          <w:rFonts w:ascii="Arial" w:eastAsia="Times New Roman" w:hAnsi="Arial" w:cs="Arial"/>
          <w:b/>
          <w:iCs/>
          <w:sz w:val="20"/>
          <w:szCs w:val="20"/>
          <w:u w:val="single"/>
          <w:lang w:eastAsia="en-US"/>
        </w:rPr>
        <w:t>Posljednji obrok glavnice kredita dospijeva 30. rujna 2025.</w:t>
      </w:r>
      <w:r w:rsidR="003276CA" w:rsidRPr="00EB650B">
        <w:rPr>
          <w:rFonts w:ascii="Arial" w:eastAsia="Times New Roman" w:hAnsi="Arial" w:cs="Arial"/>
          <w:b/>
          <w:iCs/>
          <w:sz w:val="20"/>
          <w:szCs w:val="20"/>
          <w:u w:val="single"/>
          <w:lang w:eastAsia="en-US"/>
        </w:rPr>
        <w:t xml:space="preserve"> </w:t>
      </w:r>
      <w:r w:rsidR="003276CA" w:rsidRPr="00EB650B">
        <w:rPr>
          <w:rFonts w:ascii="Arial" w:eastAsia="Times New Roman" w:hAnsi="Arial" w:cs="Arial"/>
          <w:iCs/>
          <w:sz w:val="20"/>
          <w:szCs w:val="20"/>
          <w:lang w:eastAsia="en-US"/>
        </w:rPr>
        <w:t xml:space="preserve">Sveukupno iznos redovne kamate obračunat tijekom odgode kredita jednu godinu iznosi oko 15.930 EUR i (cca 120.400,00 </w:t>
      </w:r>
      <w:r w:rsidR="00A8623C" w:rsidRPr="00EB650B">
        <w:rPr>
          <w:rFonts w:ascii="Arial" w:eastAsia="Times New Roman" w:hAnsi="Arial" w:cs="Arial"/>
          <w:iCs/>
          <w:sz w:val="20"/>
          <w:szCs w:val="20"/>
          <w:lang w:eastAsia="en-US"/>
        </w:rPr>
        <w:t>kn</w:t>
      </w:r>
      <w:r w:rsidR="003276CA" w:rsidRPr="00EB650B">
        <w:rPr>
          <w:rFonts w:ascii="Arial" w:eastAsia="Times New Roman" w:hAnsi="Arial" w:cs="Arial"/>
          <w:iCs/>
          <w:sz w:val="20"/>
          <w:szCs w:val="20"/>
          <w:lang w:eastAsia="en-US"/>
        </w:rPr>
        <w:t xml:space="preserve">) </w:t>
      </w:r>
      <w:r w:rsidR="00C17EE5" w:rsidRPr="00EB650B">
        <w:rPr>
          <w:rFonts w:ascii="Arial" w:eastAsia="Times New Roman" w:hAnsi="Arial" w:cs="Arial"/>
          <w:iCs/>
          <w:sz w:val="20"/>
          <w:szCs w:val="20"/>
          <w:lang w:eastAsia="en-US"/>
        </w:rPr>
        <w:t>plaćen je</w:t>
      </w:r>
      <w:r w:rsidR="003276CA" w:rsidRPr="00EB650B">
        <w:rPr>
          <w:rFonts w:ascii="Arial" w:eastAsia="Times New Roman" w:hAnsi="Arial" w:cs="Arial"/>
          <w:iCs/>
          <w:sz w:val="20"/>
          <w:szCs w:val="20"/>
          <w:lang w:eastAsia="en-US"/>
        </w:rPr>
        <w:t xml:space="preserve"> 15.4.2021. zajedno s redovnim kamatama u prvom tromjesečju 2021.</w:t>
      </w:r>
      <w:r w:rsidR="00DB2C0A" w:rsidRPr="00EB650B">
        <w:rPr>
          <w:rFonts w:ascii="Arial" w:eastAsia="Times New Roman" w:hAnsi="Arial" w:cs="Arial"/>
          <w:iCs/>
          <w:sz w:val="20"/>
          <w:szCs w:val="20"/>
          <w:lang w:eastAsia="en-US"/>
        </w:rPr>
        <w:t xml:space="preserve"> </w:t>
      </w:r>
      <w:r w:rsidR="003276CA" w:rsidRPr="00EB650B">
        <w:rPr>
          <w:rFonts w:ascii="Arial" w:eastAsia="Times New Roman" w:hAnsi="Arial" w:cs="Arial"/>
          <w:iCs/>
          <w:sz w:val="20"/>
          <w:szCs w:val="20"/>
          <w:lang w:eastAsia="en-US"/>
        </w:rPr>
        <w:t xml:space="preserve">godine. </w:t>
      </w:r>
    </w:p>
    <w:p w14:paraId="7EF29437" w14:textId="22E1F358" w:rsidR="007C5858" w:rsidRPr="00EB650B" w:rsidRDefault="00F4631C" w:rsidP="00525B4C">
      <w:pPr>
        <w:spacing w:after="0" w:line="240" w:lineRule="auto"/>
        <w:ind w:firstLine="708"/>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Kamatna stopa koncem svakog tromjesečja </w:t>
      </w:r>
      <w:r w:rsidR="00525B4C" w:rsidRPr="00EB650B">
        <w:rPr>
          <w:rFonts w:ascii="Arial" w:eastAsia="Times New Roman" w:hAnsi="Arial" w:cs="Arial"/>
          <w:iCs/>
          <w:sz w:val="20"/>
          <w:szCs w:val="20"/>
          <w:lang w:eastAsia="en-US"/>
        </w:rPr>
        <w:t xml:space="preserve">2019. godine </w:t>
      </w:r>
      <w:r w:rsidR="003A07A0" w:rsidRPr="00EB650B">
        <w:rPr>
          <w:rFonts w:ascii="Arial" w:eastAsia="Times New Roman" w:hAnsi="Arial" w:cs="Arial"/>
          <w:iCs/>
          <w:sz w:val="20"/>
          <w:szCs w:val="20"/>
          <w:lang w:eastAsia="en-US"/>
        </w:rPr>
        <w:t xml:space="preserve">iznosila je od 1,17% do 1,07%. </w:t>
      </w:r>
      <w:r w:rsidR="007C5858" w:rsidRPr="00EB650B">
        <w:rPr>
          <w:rFonts w:ascii="Arial" w:eastAsia="Times New Roman" w:hAnsi="Arial" w:cs="Arial"/>
          <w:iCs/>
          <w:sz w:val="20"/>
          <w:szCs w:val="20"/>
          <w:lang w:eastAsia="en-US"/>
        </w:rPr>
        <w:t>Tijekom 2020. nije bilo plaćanja glavnice niti kamate kredita.</w:t>
      </w:r>
      <w:r w:rsidR="00E66927" w:rsidRPr="00EB650B">
        <w:rPr>
          <w:rFonts w:ascii="Arial" w:eastAsia="Times New Roman" w:hAnsi="Arial" w:cs="Arial"/>
          <w:iCs/>
          <w:sz w:val="20"/>
          <w:szCs w:val="20"/>
          <w:lang w:eastAsia="en-US"/>
        </w:rPr>
        <w:t xml:space="preserve"> Kamatna stopa koncem </w:t>
      </w:r>
      <w:r w:rsidR="00785D29" w:rsidRPr="00EB650B">
        <w:rPr>
          <w:rFonts w:ascii="Arial" w:eastAsia="Times New Roman" w:hAnsi="Arial" w:cs="Arial"/>
          <w:iCs/>
          <w:sz w:val="20"/>
          <w:szCs w:val="20"/>
          <w:lang w:eastAsia="en-US"/>
        </w:rPr>
        <w:t>pojedinog</w:t>
      </w:r>
      <w:r w:rsidR="00E66927" w:rsidRPr="00EB650B">
        <w:rPr>
          <w:rFonts w:ascii="Arial" w:eastAsia="Times New Roman" w:hAnsi="Arial" w:cs="Arial"/>
          <w:iCs/>
          <w:sz w:val="20"/>
          <w:szCs w:val="20"/>
          <w:lang w:eastAsia="en-US"/>
        </w:rPr>
        <w:t xml:space="preserve"> tromjesečja u 2020. iznosila je od 1,09% do 1,13%, a koncem prosinca 0,987%.</w:t>
      </w:r>
      <w:r w:rsidR="006B4792" w:rsidRPr="00EB650B">
        <w:rPr>
          <w:rFonts w:ascii="Arial" w:eastAsia="Times New Roman" w:hAnsi="Arial" w:cs="Arial"/>
          <w:iCs/>
          <w:sz w:val="20"/>
          <w:szCs w:val="20"/>
          <w:lang w:eastAsia="en-US"/>
        </w:rPr>
        <w:t xml:space="preserve"> Kamatna stopa koncem prvog, drugog, trećeg i četvrtog tromjesečja 2021. godine iznosila je 0,942 odnosno 0,944, odnosno 0,937, te 0,909%.</w:t>
      </w:r>
    </w:p>
    <w:p w14:paraId="42E85191" w14:textId="1494D0D5" w:rsidR="00E91935" w:rsidRPr="00EB650B" w:rsidRDefault="00C17EE5" w:rsidP="00E91935">
      <w:pPr>
        <w:spacing w:after="0" w:line="240" w:lineRule="auto"/>
        <w:ind w:firstLine="708"/>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Koncem</w:t>
      </w:r>
      <w:r w:rsidR="00E66927" w:rsidRPr="00EB650B">
        <w:rPr>
          <w:rFonts w:ascii="Arial" w:eastAsia="Times New Roman" w:hAnsi="Arial" w:cs="Arial"/>
          <w:iCs/>
          <w:sz w:val="20"/>
          <w:szCs w:val="20"/>
          <w:lang w:eastAsia="en-US"/>
        </w:rPr>
        <w:t xml:space="preserve"> </w:t>
      </w:r>
      <w:r w:rsidR="00785D29" w:rsidRPr="00EB650B">
        <w:rPr>
          <w:rFonts w:ascii="Arial" w:eastAsia="Times New Roman" w:hAnsi="Arial" w:cs="Arial"/>
          <w:iCs/>
          <w:sz w:val="20"/>
          <w:szCs w:val="20"/>
          <w:lang w:eastAsia="en-US"/>
        </w:rPr>
        <w:t>prosinca</w:t>
      </w:r>
      <w:r w:rsidRPr="00EB650B">
        <w:rPr>
          <w:rFonts w:ascii="Arial" w:eastAsia="Times New Roman" w:hAnsi="Arial" w:cs="Arial"/>
          <w:iCs/>
          <w:sz w:val="20"/>
          <w:szCs w:val="20"/>
          <w:lang w:eastAsia="en-US"/>
        </w:rPr>
        <w:t xml:space="preserve"> 20</w:t>
      </w:r>
      <w:r w:rsidR="00E66927" w:rsidRPr="00EB650B">
        <w:rPr>
          <w:rFonts w:ascii="Arial" w:eastAsia="Times New Roman" w:hAnsi="Arial" w:cs="Arial"/>
          <w:iCs/>
          <w:sz w:val="20"/>
          <w:szCs w:val="20"/>
          <w:lang w:eastAsia="en-US"/>
        </w:rPr>
        <w:t>21</w:t>
      </w:r>
      <w:r w:rsidRPr="00EB650B">
        <w:rPr>
          <w:rFonts w:ascii="Arial" w:eastAsia="Times New Roman" w:hAnsi="Arial" w:cs="Arial"/>
          <w:iCs/>
          <w:sz w:val="20"/>
          <w:szCs w:val="20"/>
          <w:lang w:eastAsia="en-US"/>
        </w:rPr>
        <w:t>. obveze za kredit</w:t>
      </w:r>
      <w:r w:rsidR="00E91935" w:rsidRPr="00EB650B">
        <w:rPr>
          <w:rFonts w:ascii="Arial" w:eastAsia="Times New Roman" w:hAnsi="Arial" w:cs="Arial"/>
          <w:iCs/>
          <w:sz w:val="20"/>
          <w:szCs w:val="20"/>
          <w:lang w:eastAsia="en-US"/>
        </w:rPr>
        <w:t xml:space="preserve"> su iznosile</w:t>
      </w:r>
      <w:r w:rsidRPr="00EB650B">
        <w:rPr>
          <w:rFonts w:ascii="Arial" w:eastAsia="Times New Roman" w:hAnsi="Arial" w:cs="Arial"/>
          <w:iCs/>
          <w:sz w:val="20"/>
          <w:szCs w:val="20"/>
          <w:lang w:eastAsia="en-US"/>
        </w:rPr>
        <w:t xml:space="preserve"> </w:t>
      </w:r>
      <w:r w:rsidR="00785D29" w:rsidRPr="00EB650B">
        <w:rPr>
          <w:rFonts w:ascii="Arial" w:eastAsia="Times New Roman" w:hAnsi="Arial" w:cs="Arial"/>
          <w:iCs/>
          <w:sz w:val="20"/>
          <w:szCs w:val="20"/>
          <w:lang w:eastAsia="en-US"/>
        </w:rPr>
        <w:t>8.239.921,94</w:t>
      </w:r>
      <w:r w:rsidRPr="00EB650B">
        <w:rPr>
          <w:rFonts w:ascii="Arial" w:eastAsia="Times New Roman" w:hAnsi="Arial" w:cs="Arial"/>
          <w:iCs/>
          <w:sz w:val="20"/>
          <w:szCs w:val="20"/>
          <w:lang w:eastAsia="en-US"/>
        </w:rPr>
        <w:t xml:space="preserve"> kn</w:t>
      </w:r>
      <w:r w:rsidR="0013697E" w:rsidRPr="00EB650B">
        <w:rPr>
          <w:rFonts w:ascii="Arial" w:eastAsia="Times New Roman" w:hAnsi="Arial" w:cs="Arial"/>
          <w:iCs/>
          <w:sz w:val="20"/>
          <w:szCs w:val="20"/>
          <w:lang w:eastAsia="en-US"/>
        </w:rPr>
        <w:t xml:space="preserve"> ,a koncem 2022. iznose </w:t>
      </w:r>
      <w:r w:rsidR="00B64A02" w:rsidRPr="00EB650B">
        <w:rPr>
          <w:rFonts w:ascii="Arial" w:eastAsia="Times New Roman" w:hAnsi="Arial" w:cs="Arial"/>
          <w:iCs/>
          <w:sz w:val="20"/>
          <w:szCs w:val="20"/>
          <w:lang w:eastAsia="en-US"/>
        </w:rPr>
        <w:t>6.056.536,70</w:t>
      </w:r>
      <w:r w:rsidR="0013697E" w:rsidRPr="00EB650B">
        <w:rPr>
          <w:rFonts w:ascii="Arial" w:eastAsia="Times New Roman" w:hAnsi="Arial" w:cs="Arial"/>
          <w:iCs/>
          <w:sz w:val="20"/>
          <w:szCs w:val="20"/>
          <w:lang w:eastAsia="en-US"/>
        </w:rPr>
        <w:t xml:space="preserve"> kn.</w:t>
      </w:r>
    </w:p>
    <w:p w14:paraId="58E8D967" w14:textId="77777777" w:rsidR="00DE73EE" w:rsidRPr="00EB650B" w:rsidRDefault="00E91935" w:rsidP="00E91935">
      <w:pPr>
        <w:spacing w:after="0" w:line="240" w:lineRule="auto"/>
        <w:ind w:firstLine="708"/>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U 2022. su otplaćena </w:t>
      </w:r>
      <w:r w:rsidR="00B64A02" w:rsidRPr="00EB650B">
        <w:rPr>
          <w:rFonts w:ascii="Arial" w:eastAsia="Times New Roman" w:hAnsi="Arial" w:cs="Arial"/>
          <w:iCs/>
          <w:sz w:val="20"/>
          <w:szCs w:val="20"/>
          <w:lang w:eastAsia="en-US"/>
        </w:rPr>
        <w:t>četiri</w:t>
      </w:r>
      <w:r w:rsidRPr="00EB650B">
        <w:rPr>
          <w:rFonts w:ascii="Arial" w:eastAsia="Times New Roman" w:hAnsi="Arial" w:cs="Arial"/>
          <w:iCs/>
          <w:sz w:val="20"/>
          <w:szCs w:val="20"/>
          <w:lang w:eastAsia="en-US"/>
        </w:rPr>
        <w:t xml:space="preserve"> obroka kredita (glavnica </w:t>
      </w:r>
      <w:r w:rsidR="00C81AFC" w:rsidRPr="00EB650B">
        <w:rPr>
          <w:rFonts w:ascii="Arial" w:eastAsia="Times New Roman" w:hAnsi="Arial" w:cs="Arial"/>
          <w:iCs/>
          <w:sz w:val="20"/>
          <w:szCs w:val="20"/>
          <w:lang w:eastAsia="en-US"/>
        </w:rPr>
        <w:t>292.305,67</w:t>
      </w:r>
      <w:r w:rsidRPr="00EB650B">
        <w:rPr>
          <w:rFonts w:ascii="Arial" w:eastAsia="Times New Roman" w:hAnsi="Arial" w:cs="Arial"/>
          <w:iCs/>
          <w:sz w:val="20"/>
          <w:szCs w:val="20"/>
          <w:lang w:eastAsia="en-US"/>
        </w:rPr>
        <w:t xml:space="preserve"> EUR i kamate </w:t>
      </w:r>
      <w:r w:rsidR="00C81AFC" w:rsidRPr="00EB650B">
        <w:rPr>
          <w:rFonts w:ascii="Arial" w:eastAsia="Times New Roman" w:hAnsi="Arial" w:cs="Arial"/>
          <w:iCs/>
          <w:sz w:val="20"/>
          <w:szCs w:val="20"/>
          <w:lang w:eastAsia="en-US"/>
        </w:rPr>
        <w:t>14.238,06</w:t>
      </w:r>
      <w:r w:rsidRPr="00EB650B">
        <w:rPr>
          <w:rFonts w:ascii="Arial" w:eastAsia="Times New Roman" w:hAnsi="Arial" w:cs="Arial"/>
          <w:iCs/>
          <w:sz w:val="20"/>
          <w:szCs w:val="20"/>
          <w:lang w:eastAsia="en-US"/>
        </w:rPr>
        <w:t xml:space="preserve"> EUR) u ukupnom iznosu </w:t>
      </w:r>
      <w:r w:rsidR="00C81AFC" w:rsidRPr="00EB650B">
        <w:rPr>
          <w:rFonts w:ascii="Arial" w:eastAsia="Times New Roman" w:hAnsi="Arial" w:cs="Arial"/>
          <w:iCs/>
          <w:sz w:val="20"/>
          <w:szCs w:val="20"/>
          <w:lang w:eastAsia="en-US"/>
        </w:rPr>
        <w:t>2.312.030,88</w:t>
      </w:r>
      <w:r w:rsidRPr="00EB650B">
        <w:rPr>
          <w:rFonts w:ascii="Arial" w:eastAsia="Times New Roman" w:hAnsi="Arial" w:cs="Arial"/>
          <w:iCs/>
          <w:sz w:val="20"/>
          <w:szCs w:val="20"/>
          <w:lang w:eastAsia="en-US"/>
        </w:rPr>
        <w:t xml:space="preserve"> kn (glavnica </w:t>
      </w:r>
      <w:r w:rsidR="00C81AFC" w:rsidRPr="00EB650B">
        <w:rPr>
          <w:rFonts w:ascii="Arial" w:eastAsia="Times New Roman" w:hAnsi="Arial" w:cs="Arial"/>
          <w:iCs/>
          <w:sz w:val="20"/>
          <w:szCs w:val="20"/>
          <w:lang w:eastAsia="en-US"/>
        </w:rPr>
        <w:t>2.204.671,44</w:t>
      </w:r>
      <w:r w:rsidRPr="00EB650B">
        <w:rPr>
          <w:rFonts w:ascii="Arial" w:eastAsia="Times New Roman" w:hAnsi="Arial" w:cs="Arial"/>
          <w:iCs/>
          <w:sz w:val="20"/>
          <w:szCs w:val="20"/>
          <w:lang w:eastAsia="en-US"/>
        </w:rPr>
        <w:t xml:space="preserve"> kn i kamate </w:t>
      </w:r>
      <w:r w:rsidR="00C81AFC" w:rsidRPr="00EB650B">
        <w:rPr>
          <w:rFonts w:ascii="Arial" w:eastAsia="Times New Roman" w:hAnsi="Arial" w:cs="Arial"/>
          <w:iCs/>
          <w:sz w:val="20"/>
          <w:szCs w:val="20"/>
          <w:lang w:eastAsia="en-US"/>
        </w:rPr>
        <w:t>107.359,44</w:t>
      </w:r>
      <w:r w:rsidRPr="00EB650B">
        <w:rPr>
          <w:rFonts w:ascii="Arial" w:eastAsia="Times New Roman" w:hAnsi="Arial" w:cs="Arial"/>
          <w:iCs/>
          <w:sz w:val="20"/>
          <w:szCs w:val="20"/>
          <w:lang w:eastAsia="en-US"/>
        </w:rPr>
        <w:t xml:space="preserve"> kn). Kamatna stopa koncem prvog</w:t>
      </w:r>
      <w:r w:rsidR="006B4792" w:rsidRPr="00EB650B">
        <w:rPr>
          <w:rFonts w:ascii="Arial" w:eastAsia="Times New Roman" w:hAnsi="Arial" w:cs="Arial"/>
          <w:iCs/>
          <w:sz w:val="20"/>
          <w:szCs w:val="20"/>
          <w:lang w:eastAsia="en-US"/>
        </w:rPr>
        <w:t xml:space="preserve"> i</w:t>
      </w:r>
      <w:r w:rsidRPr="00EB650B">
        <w:rPr>
          <w:rFonts w:ascii="Arial" w:eastAsia="Times New Roman" w:hAnsi="Arial" w:cs="Arial"/>
          <w:iCs/>
          <w:sz w:val="20"/>
          <w:szCs w:val="20"/>
          <w:lang w:eastAsia="en-US"/>
        </w:rPr>
        <w:t xml:space="preserve"> drugog tromjesečja iznosila je 0,9</w:t>
      </w:r>
      <w:r w:rsidR="000536E1" w:rsidRPr="00EB650B">
        <w:rPr>
          <w:rFonts w:ascii="Arial" w:eastAsia="Times New Roman" w:hAnsi="Arial" w:cs="Arial"/>
          <w:iCs/>
          <w:sz w:val="20"/>
          <w:szCs w:val="20"/>
          <w:lang w:eastAsia="en-US"/>
        </w:rPr>
        <w:t>09</w:t>
      </w:r>
      <w:r w:rsidR="00C81AFC" w:rsidRPr="00EB650B">
        <w:rPr>
          <w:rFonts w:ascii="Arial" w:eastAsia="Times New Roman" w:hAnsi="Arial" w:cs="Arial"/>
          <w:iCs/>
          <w:sz w:val="20"/>
          <w:szCs w:val="20"/>
          <w:lang w:eastAsia="en-US"/>
        </w:rPr>
        <w:t>%</w:t>
      </w:r>
      <w:r w:rsidRPr="00EB650B">
        <w:rPr>
          <w:rFonts w:ascii="Arial" w:eastAsia="Times New Roman" w:hAnsi="Arial" w:cs="Arial"/>
          <w:iCs/>
          <w:sz w:val="20"/>
          <w:szCs w:val="20"/>
          <w:lang w:eastAsia="en-US"/>
        </w:rPr>
        <w:t xml:space="preserve"> odnosno </w:t>
      </w:r>
      <w:r w:rsidR="000536E1" w:rsidRPr="00EB650B">
        <w:rPr>
          <w:rFonts w:ascii="Arial" w:eastAsia="Times New Roman" w:hAnsi="Arial" w:cs="Arial"/>
          <w:iCs/>
          <w:sz w:val="20"/>
          <w:szCs w:val="20"/>
          <w:lang w:eastAsia="en-US"/>
        </w:rPr>
        <w:t>1,016</w:t>
      </w:r>
      <w:r w:rsidRPr="00EB650B">
        <w:rPr>
          <w:rFonts w:ascii="Arial" w:eastAsia="Times New Roman" w:hAnsi="Arial" w:cs="Arial"/>
          <w:iCs/>
          <w:sz w:val="20"/>
          <w:szCs w:val="20"/>
          <w:lang w:eastAsia="en-US"/>
        </w:rPr>
        <w:t>%.</w:t>
      </w:r>
      <w:r w:rsidR="00C81AFC" w:rsidRPr="00EB650B">
        <w:rPr>
          <w:rFonts w:ascii="Arial" w:eastAsia="Times New Roman" w:hAnsi="Arial" w:cs="Arial"/>
          <w:iCs/>
          <w:sz w:val="20"/>
          <w:szCs w:val="20"/>
          <w:lang w:eastAsia="en-US"/>
        </w:rPr>
        <w:t>, dok je koncem treće</w:t>
      </w:r>
      <w:r w:rsidR="00DE73EE" w:rsidRPr="00EB650B">
        <w:rPr>
          <w:rFonts w:ascii="Arial" w:eastAsia="Times New Roman" w:hAnsi="Arial" w:cs="Arial"/>
          <w:iCs/>
          <w:sz w:val="20"/>
          <w:szCs w:val="20"/>
          <w:lang w:eastAsia="en-US"/>
        </w:rPr>
        <w:t>g</w:t>
      </w:r>
      <w:r w:rsidR="00C81AFC" w:rsidRPr="00EB650B">
        <w:rPr>
          <w:rFonts w:ascii="Arial" w:eastAsia="Times New Roman" w:hAnsi="Arial" w:cs="Arial"/>
          <w:iCs/>
          <w:sz w:val="20"/>
          <w:szCs w:val="20"/>
          <w:lang w:eastAsia="en-US"/>
        </w:rPr>
        <w:t xml:space="preserve"> tromjesečja iznosila </w:t>
      </w:r>
      <w:r w:rsidR="00DE73EE" w:rsidRPr="00EB650B">
        <w:rPr>
          <w:rFonts w:ascii="Arial" w:eastAsia="Times New Roman" w:hAnsi="Arial" w:cs="Arial"/>
          <w:iCs/>
          <w:sz w:val="20"/>
          <w:szCs w:val="20"/>
          <w:lang w:eastAsia="en-US"/>
        </w:rPr>
        <w:t>1,289</w:t>
      </w:r>
      <w:r w:rsidR="00C81AFC" w:rsidRPr="00EB650B">
        <w:rPr>
          <w:rFonts w:ascii="Arial" w:eastAsia="Times New Roman" w:hAnsi="Arial" w:cs="Arial"/>
          <w:iCs/>
          <w:sz w:val="20"/>
          <w:szCs w:val="20"/>
          <w:lang w:eastAsia="en-US"/>
        </w:rPr>
        <w:t xml:space="preserve">%, a koncem prosinca 2022. </w:t>
      </w:r>
      <w:r w:rsidR="00DE73EE" w:rsidRPr="00EB650B">
        <w:rPr>
          <w:rFonts w:ascii="Arial" w:eastAsia="Times New Roman" w:hAnsi="Arial" w:cs="Arial"/>
          <w:iCs/>
          <w:sz w:val="20"/>
          <w:szCs w:val="20"/>
          <w:lang w:eastAsia="en-US"/>
        </w:rPr>
        <w:t xml:space="preserve">je iznosila 2,673%. </w:t>
      </w:r>
    </w:p>
    <w:p w14:paraId="76D74F3C" w14:textId="200E7E53" w:rsidR="00E91935" w:rsidRPr="00EB650B" w:rsidRDefault="00DE73EE" w:rsidP="00E91935">
      <w:pPr>
        <w:spacing w:after="0" w:line="240" w:lineRule="auto"/>
        <w:ind w:firstLine="708"/>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Tromjesečni </w:t>
      </w:r>
      <w:r w:rsidR="00294EB9">
        <w:rPr>
          <w:rFonts w:ascii="Arial" w:eastAsia="Times New Roman" w:hAnsi="Arial" w:cs="Arial"/>
          <w:iCs/>
          <w:sz w:val="20"/>
          <w:szCs w:val="20"/>
          <w:lang w:eastAsia="en-US"/>
        </w:rPr>
        <w:t>EURIBOR</w:t>
      </w:r>
      <w:r w:rsidRPr="00EB650B">
        <w:rPr>
          <w:rFonts w:ascii="Arial" w:eastAsia="Times New Roman" w:hAnsi="Arial" w:cs="Arial"/>
          <w:iCs/>
          <w:sz w:val="20"/>
          <w:szCs w:val="20"/>
          <w:lang w:eastAsia="en-US"/>
        </w:rPr>
        <w:t xml:space="preserve"> 31.12.2022. godine iznosi 2,202%, te je prvi obrok u 2023. godini plaćen po kamati u iznosu 3,682%</w:t>
      </w:r>
      <w:r w:rsidR="00827A01" w:rsidRPr="00EB650B">
        <w:rPr>
          <w:rFonts w:ascii="Arial" w:eastAsia="Times New Roman" w:hAnsi="Arial" w:cs="Arial"/>
          <w:iCs/>
          <w:sz w:val="20"/>
          <w:szCs w:val="20"/>
          <w:lang w:eastAsia="en-US"/>
        </w:rPr>
        <w:t>, dok je obrok 30.6.2023. plaćen po kamati u iznosu 4,495%</w:t>
      </w:r>
      <w:r w:rsidR="00595F3D" w:rsidRPr="00EB650B">
        <w:rPr>
          <w:rFonts w:ascii="Arial" w:eastAsia="Times New Roman" w:hAnsi="Arial" w:cs="Arial"/>
          <w:iCs/>
          <w:sz w:val="20"/>
          <w:szCs w:val="20"/>
          <w:lang w:eastAsia="en-US"/>
        </w:rPr>
        <w:t xml:space="preserve">, obrok u rujnu je plaćen po kamati u iznosu </w:t>
      </w:r>
      <w:r w:rsidR="007336BD" w:rsidRPr="00EB650B">
        <w:rPr>
          <w:rFonts w:ascii="Arial" w:eastAsia="Times New Roman" w:hAnsi="Arial" w:cs="Arial"/>
          <w:iCs/>
          <w:sz w:val="20"/>
          <w:szCs w:val="20"/>
          <w:lang w:eastAsia="en-US"/>
        </w:rPr>
        <w:t>5,078%</w:t>
      </w:r>
      <w:r w:rsidR="00595F3D" w:rsidRPr="00EB650B">
        <w:rPr>
          <w:rFonts w:ascii="Arial" w:eastAsia="Times New Roman" w:hAnsi="Arial" w:cs="Arial"/>
          <w:iCs/>
          <w:sz w:val="20"/>
          <w:szCs w:val="20"/>
          <w:lang w:eastAsia="en-US"/>
        </w:rPr>
        <w:t>, a u prosincu 2023. po kamati u iznosu 5,452%.</w:t>
      </w:r>
    </w:p>
    <w:p w14:paraId="42A49F9E" w14:textId="2A2CFA5B" w:rsidR="007336BD" w:rsidRPr="00EB650B" w:rsidRDefault="007336BD" w:rsidP="007336BD">
      <w:pPr>
        <w:spacing w:after="0" w:line="240" w:lineRule="auto"/>
        <w:ind w:firstLine="708"/>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U 2023. su otplaćena četiri obroka kredita (glavnica 292.305,6</w:t>
      </w:r>
      <w:r w:rsidR="00F97D82" w:rsidRPr="00EB650B">
        <w:rPr>
          <w:rFonts w:ascii="Arial" w:eastAsia="Times New Roman" w:hAnsi="Arial" w:cs="Arial"/>
          <w:iCs/>
          <w:sz w:val="20"/>
          <w:szCs w:val="20"/>
          <w:lang w:eastAsia="en-US"/>
        </w:rPr>
        <w:t>6</w:t>
      </w:r>
      <w:r w:rsidRPr="00EB650B">
        <w:rPr>
          <w:rFonts w:ascii="Arial" w:eastAsia="Times New Roman" w:hAnsi="Arial" w:cs="Arial"/>
          <w:iCs/>
          <w:sz w:val="20"/>
          <w:szCs w:val="20"/>
          <w:lang w:eastAsia="en-US"/>
        </w:rPr>
        <w:t xml:space="preserve"> EUR i kamate </w:t>
      </w:r>
      <w:r w:rsidR="00F97D82" w:rsidRPr="00EB650B">
        <w:rPr>
          <w:rFonts w:ascii="Arial" w:eastAsia="Times New Roman" w:hAnsi="Arial" w:cs="Arial"/>
          <w:iCs/>
          <w:sz w:val="20"/>
          <w:szCs w:val="20"/>
          <w:lang w:eastAsia="en-US"/>
        </w:rPr>
        <w:t>32.382,77</w:t>
      </w:r>
      <w:r w:rsidRPr="00EB650B">
        <w:rPr>
          <w:rFonts w:ascii="Arial" w:eastAsia="Times New Roman" w:hAnsi="Arial" w:cs="Arial"/>
          <w:iCs/>
          <w:sz w:val="20"/>
          <w:szCs w:val="20"/>
          <w:lang w:eastAsia="en-US"/>
        </w:rPr>
        <w:t xml:space="preserve"> EUR) u ukupnom iznosu </w:t>
      </w:r>
      <w:r w:rsidR="00F97D82" w:rsidRPr="00EB650B">
        <w:rPr>
          <w:rFonts w:ascii="Arial" w:eastAsia="Times New Roman" w:hAnsi="Arial" w:cs="Arial"/>
          <w:iCs/>
          <w:sz w:val="20"/>
          <w:szCs w:val="20"/>
          <w:lang w:eastAsia="en-US"/>
        </w:rPr>
        <w:t>324.688,43</w:t>
      </w:r>
      <w:r w:rsidRPr="00EB650B">
        <w:rPr>
          <w:rFonts w:ascii="Arial" w:eastAsia="Times New Roman" w:hAnsi="Arial" w:cs="Arial"/>
          <w:iCs/>
          <w:sz w:val="20"/>
          <w:szCs w:val="20"/>
          <w:lang w:eastAsia="en-US"/>
        </w:rPr>
        <w:t xml:space="preserve"> </w:t>
      </w:r>
      <w:r w:rsidR="00F97D82" w:rsidRPr="00EB650B">
        <w:rPr>
          <w:rFonts w:ascii="Arial" w:eastAsia="Times New Roman" w:hAnsi="Arial" w:cs="Arial"/>
          <w:iCs/>
          <w:sz w:val="20"/>
          <w:szCs w:val="20"/>
          <w:lang w:eastAsia="en-US"/>
        </w:rPr>
        <w:t>€</w:t>
      </w:r>
      <w:r w:rsidRPr="00EB650B">
        <w:rPr>
          <w:rFonts w:ascii="Arial" w:eastAsia="Times New Roman" w:hAnsi="Arial" w:cs="Arial"/>
          <w:iCs/>
          <w:sz w:val="20"/>
          <w:szCs w:val="20"/>
          <w:lang w:eastAsia="en-US"/>
        </w:rPr>
        <w:t>. Koncem prosinca 202</w:t>
      </w:r>
      <w:r w:rsidR="00F97D82" w:rsidRPr="00EB650B">
        <w:rPr>
          <w:rFonts w:ascii="Arial" w:eastAsia="Times New Roman" w:hAnsi="Arial" w:cs="Arial"/>
          <w:iCs/>
          <w:sz w:val="20"/>
          <w:szCs w:val="20"/>
          <w:lang w:eastAsia="en-US"/>
        </w:rPr>
        <w:t>3</w:t>
      </w:r>
      <w:r w:rsidRPr="00EB650B">
        <w:rPr>
          <w:rFonts w:ascii="Arial" w:eastAsia="Times New Roman" w:hAnsi="Arial" w:cs="Arial"/>
          <w:iCs/>
          <w:sz w:val="20"/>
          <w:szCs w:val="20"/>
          <w:lang w:eastAsia="en-US"/>
        </w:rPr>
        <w:t xml:space="preserve">. obveze za kredit iznose </w:t>
      </w:r>
      <w:r w:rsidR="000D3A68" w:rsidRPr="00EB650B">
        <w:rPr>
          <w:rFonts w:ascii="Arial" w:eastAsia="Times New Roman" w:hAnsi="Arial" w:cs="Arial"/>
          <w:iCs/>
          <w:sz w:val="20"/>
          <w:szCs w:val="20"/>
          <w:lang w:eastAsia="en-US"/>
        </w:rPr>
        <w:t>511.534,90 €</w:t>
      </w:r>
      <w:r w:rsidRPr="00EB650B">
        <w:rPr>
          <w:rFonts w:ascii="Arial" w:eastAsia="Times New Roman" w:hAnsi="Arial" w:cs="Arial"/>
          <w:iCs/>
          <w:sz w:val="20"/>
          <w:szCs w:val="20"/>
          <w:lang w:eastAsia="en-US"/>
        </w:rPr>
        <w:t>.</w:t>
      </w:r>
    </w:p>
    <w:p w14:paraId="39A35E0D" w14:textId="60B261E8" w:rsidR="00DE2CF6" w:rsidRPr="00EB650B" w:rsidRDefault="00DE2CF6" w:rsidP="00DE2CF6">
      <w:pPr>
        <w:spacing w:after="0" w:line="240" w:lineRule="auto"/>
        <w:ind w:firstLine="708"/>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U 2024. su otplaćena </w:t>
      </w:r>
      <w:r w:rsidR="006D647D" w:rsidRPr="00EB650B">
        <w:rPr>
          <w:rFonts w:ascii="Arial" w:eastAsia="Times New Roman" w:hAnsi="Arial" w:cs="Arial"/>
          <w:iCs/>
          <w:sz w:val="20"/>
          <w:szCs w:val="20"/>
          <w:lang w:eastAsia="en-US"/>
        </w:rPr>
        <w:t>četiri</w:t>
      </w:r>
      <w:r w:rsidRPr="00EB650B">
        <w:rPr>
          <w:rFonts w:ascii="Arial" w:eastAsia="Times New Roman" w:hAnsi="Arial" w:cs="Arial"/>
          <w:iCs/>
          <w:sz w:val="20"/>
          <w:szCs w:val="20"/>
          <w:lang w:eastAsia="en-US"/>
        </w:rPr>
        <w:t xml:space="preserve"> obroka kredita (glavnica </w:t>
      </w:r>
      <w:r w:rsidR="006D647D" w:rsidRPr="00EB650B">
        <w:rPr>
          <w:rFonts w:ascii="Arial" w:eastAsia="Times New Roman" w:hAnsi="Arial" w:cs="Arial"/>
          <w:iCs/>
          <w:sz w:val="20"/>
          <w:szCs w:val="20"/>
          <w:lang w:eastAsia="en-US"/>
        </w:rPr>
        <w:t>292.305,66</w:t>
      </w:r>
      <w:r w:rsidRPr="00EB650B">
        <w:rPr>
          <w:rFonts w:ascii="Arial" w:eastAsia="Times New Roman" w:hAnsi="Arial" w:cs="Arial"/>
          <w:iCs/>
          <w:sz w:val="20"/>
          <w:szCs w:val="20"/>
          <w:lang w:eastAsia="en-US"/>
        </w:rPr>
        <w:t xml:space="preserve"> EUR i kamate </w:t>
      </w:r>
      <w:r w:rsidR="006D647D" w:rsidRPr="00EB650B">
        <w:rPr>
          <w:rFonts w:ascii="Arial" w:eastAsia="Times New Roman" w:hAnsi="Arial" w:cs="Arial"/>
          <w:iCs/>
          <w:sz w:val="20"/>
          <w:szCs w:val="20"/>
          <w:lang w:eastAsia="en-US"/>
        </w:rPr>
        <w:t>21.334,83</w:t>
      </w:r>
      <w:r w:rsidRPr="00EB650B">
        <w:rPr>
          <w:rFonts w:ascii="Arial" w:eastAsia="Times New Roman" w:hAnsi="Arial" w:cs="Arial"/>
          <w:iCs/>
          <w:sz w:val="20"/>
          <w:szCs w:val="20"/>
          <w:lang w:eastAsia="en-US"/>
        </w:rPr>
        <w:t xml:space="preserve"> EUR) u ukupnom iznosu </w:t>
      </w:r>
      <w:r w:rsidR="006D647D" w:rsidRPr="00EB650B">
        <w:rPr>
          <w:rFonts w:ascii="Arial" w:eastAsia="Times New Roman" w:hAnsi="Arial" w:cs="Arial"/>
          <w:iCs/>
          <w:sz w:val="20"/>
          <w:szCs w:val="20"/>
          <w:lang w:eastAsia="en-US"/>
        </w:rPr>
        <w:t>313.640,49</w:t>
      </w:r>
      <w:r w:rsidRPr="00EB650B">
        <w:rPr>
          <w:rFonts w:ascii="Arial" w:eastAsia="Times New Roman" w:hAnsi="Arial" w:cs="Arial"/>
          <w:iCs/>
          <w:sz w:val="20"/>
          <w:szCs w:val="20"/>
          <w:lang w:eastAsia="en-US"/>
        </w:rPr>
        <w:t xml:space="preserve"> €. Koncem 2024. obveze za kredit iznose </w:t>
      </w:r>
      <w:r w:rsidR="006D647D" w:rsidRPr="00EB650B">
        <w:rPr>
          <w:rFonts w:ascii="Arial" w:eastAsia="Times New Roman" w:hAnsi="Arial" w:cs="Arial"/>
          <w:iCs/>
          <w:sz w:val="20"/>
          <w:szCs w:val="20"/>
          <w:lang w:eastAsia="en-US"/>
        </w:rPr>
        <w:t>219.229,24</w:t>
      </w:r>
      <w:r w:rsidRPr="00EB650B">
        <w:rPr>
          <w:rFonts w:ascii="Arial" w:eastAsia="Times New Roman" w:hAnsi="Arial" w:cs="Arial"/>
          <w:iCs/>
          <w:sz w:val="20"/>
          <w:szCs w:val="20"/>
          <w:lang w:eastAsia="en-US"/>
        </w:rPr>
        <w:t xml:space="preserve"> €. Prvi obrok u ožujku 2024. godini plaćen po kamati u iznosu 5,373%, obrok u lipnju 2024. plaćen </w:t>
      </w:r>
      <w:r w:rsidR="006D647D" w:rsidRPr="00EB650B">
        <w:rPr>
          <w:rFonts w:ascii="Arial" w:eastAsia="Times New Roman" w:hAnsi="Arial" w:cs="Arial"/>
          <w:iCs/>
          <w:sz w:val="20"/>
          <w:szCs w:val="20"/>
          <w:lang w:eastAsia="en-US"/>
        </w:rPr>
        <w:t xml:space="preserve">je </w:t>
      </w:r>
      <w:r w:rsidRPr="00EB650B">
        <w:rPr>
          <w:rFonts w:ascii="Arial" w:eastAsia="Times New Roman" w:hAnsi="Arial" w:cs="Arial"/>
          <w:iCs/>
          <w:sz w:val="20"/>
          <w:szCs w:val="20"/>
          <w:lang w:eastAsia="en-US"/>
        </w:rPr>
        <w:t>po kamati u iznosu 5,382%.</w:t>
      </w:r>
      <w:r w:rsidR="006D647D" w:rsidRPr="00EB650B">
        <w:rPr>
          <w:rFonts w:ascii="Arial" w:eastAsia="Times New Roman" w:hAnsi="Arial" w:cs="Arial"/>
          <w:iCs/>
          <w:sz w:val="20"/>
          <w:szCs w:val="20"/>
          <w:lang w:eastAsia="en-US"/>
        </w:rPr>
        <w:t xml:space="preserve"> Obrok u rujnu</w:t>
      </w:r>
      <w:r w:rsidR="00B47DC8" w:rsidRPr="00EB650B">
        <w:rPr>
          <w:rFonts w:ascii="Arial" w:eastAsia="Times New Roman" w:hAnsi="Arial" w:cs="Arial"/>
          <w:iCs/>
          <w:sz w:val="20"/>
          <w:szCs w:val="20"/>
          <w:lang w:eastAsia="en-US"/>
        </w:rPr>
        <w:t xml:space="preserve"> 2024.</w:t>
      </w:r>
      <w:r w:rsidR="006D647D" w:rsidRPr="00EB650B">
        <w:rPr>
          <w:rFonts w:ascii="Arial" w:eastAsia="Times New Roman" w:hAnsi="Arial" w:cs="Arial"/>
          <w:iCs/>
          <w:sz w:val="20"/>
          <w:szCs w:val="20"/>
          <w:lang w:eastAsia="en-US"/>
        </w:rPr>
        <w:t xml:space="preserve"> je plaćen po kamati u iznosu </w:t>
      </w:r>
      <w:r w:rsidR="00B47DC8" w:rsidRPr="00EB650B">
        <w:rPr>
          <w:rFonts w:ascii="Arial" w:eastAsia="Times New Roman" w:hAnsi="Arial" w:cs="Arial"/>
          <w:iCs/>
          <w:sz w:val="20"/>
          <w:szCs w:val="20"/>
          <w:lang w:eastAsia="en-US"/>
        </w:rPr>
        <w:t>5,175</w:t>
      </w:r>
      <w:r w:rsidR="006D647D" w:rsidRPr="00EB650B">
        <w:rPr>
          <w:rFonts w:ascii="Arial" w:eastAsia="Times New Roman" w:hAnsi="Arial" w:cs="Arial"/>
          <w:iCs/>
          <w:sz w:val="20"/>
          <w:szCs w:val="20"/>
          <w:lang w:eastAsia="en-US"/>
        </w:rPr>
        <w:t>%, a u prosincu 202</w:t>
      </w:r>
      <w:r w:rsidR="00B47DC8" w:rsidRPr="00EB650B">
        <w:rPr>
          <w:rFonts w:ascii="Arial" w:eastAsia="Times New Roman" w:hAnsi="Arial" w:cs="Arial"/>
          <w:iCs/>
          <w:sz w:val="20"/>
          <w:szCs w:val="20"/>
          <w:lang w:eastAsia="en-US"/>
        </w:rPr>
        <w:t>4</w:t>
      </w:r>
      <w:r w:rsidR="006D647D" w:rsidRPr="00EB650B">
        <w:rPr>
          <w:rFonts w:ascii="Arial" w:eastAsia="Times New Roman" w:hAnsi="Arial" w:cs="Arial"/>
          <w:iCs/>
          <w:sz w:val="20"/>
          <w:szCs w:val="20"/>
          <w:lang w:eastAsia="en-US"/>
        </w:rPr>
        <w:t xml:space="preserve">. po kamati u iznosu </w:t>
      </w:r>
      <w:r w:rsidR="00B47DC8" w:rsidRPr="00EB650B">
        <w:rPr>
          <w:rFonts w:ascii="Arial" w:eastAsia="Times New Roman" w:hAnsi="Arial" w:cs="Arial"/>
          <w:iCs/>
          <w:sz w:val="20"/>
          <w:szCs w:val="20"/>
          <w:lang w:eastAsia="en-US"/>
        </w:rPr>
        <w:t>4,806</w:t>
      </w:r>
      <w:r w:rsidR="006D647D" w:rsidRPr="00EB650B">
        <w:rPr>
          <w:rFonts w:ascii="Arial" w:eastAsia="Times New Roman" w:hAnsi="Arial" w:cs="Arial"/>
          <w:iCs/>
          <w:sz w:val="20"/>
          <w:szCs w:val="20"/>
          <w:lang w:eastAsia="en-US"/>
        </w:rPr>
        <w:t>%.</w:t>
      </w:r>
    </w:p>
    <w:p w14:paraId="0FF7AEA4" w14:textId="20C55AD7" w:rsidR="00B47DC8" w:rsidRPr="00EB650B" w:rsidRDefault="00B47DC8" w:rsidP="00B47DC8">
      <w:pPr>
        <w:spacing w:after="0" w:line="240" w:lineRule="auto"/>
        <w:ind w:firstLine="708"/>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lastRenderedPageBreak/>
        <w:t xml:space="preserve">U </w:t>
      </w:r>
      <w:r w:rsidR="00465D4F" w:rsidRPr="00EB650B">
        <w:rPr>
          <w:rFonts w:ascii="Arial" w:eastAsia="Times New Roman" w:hAnsi="Arial" w:cs="Arial"/>
          <w:iCs/>
          <w:sz w:val="20"/>
          <w:szCs w:val="20"/>
          <w:lang w:eastAsia="en-US"/>
        </w:rPr>
        <w:t xml:space="preserve">travnju </w:t>
      </w:r>
      <w:r w:rsidRPr="00EB650B">
        <w:rPr>
          <w:rFonts w:ascii="Arial" w:eastAsia="Times New Roman" w:hAnsi="Arial" w:cs="Arial"/>
          <w:iCs/>
          <w:sz w:val="20"/>
          <w:szCs w:val="20"/>
          <w:lang w:eastAsia="en-US"/>
        </w:rPr>
        <w:t xml:space="preserve">2025. su otplaćen je kredit u cijelosti (obrok u ožujku 2025. i prijevremena otplata kredita u travnju 2025. (glavnica kredita 219.229,24 €, kamata 2.498,06 € i naknada za prijevremenu otplatu 1.461,53 €). Krajnji rok otplate je bio 30.9.2025. Obrok u ožujku 2025. godini plaćen po kamati u iznosu 4,163%, obrok u </w:t>
      </w:r>
      <w:r w:rsidR="00465D4F" w:rsidRPr="00EB650B">
        <w:rPr>
          <w:rFonts w:ascii="Arial" w:eastAsia="Times New Roman" w:hAnsi="Arial" w:cs="Arial"/>
          <w:iCs/>
          <w:sz w:val="20"/>
          <w:szCs w:val="20"/>
          <w:lang w:eastAsia="en-US"/>
        </w:rPr>
        <w:t>travnju</w:t>
      </w:r>
      <w:r w:rsidRPr="00EB650B">
        <w:rPr>
          <w:rFonts w:ascii="Arial" w:eastAsia="Times New Roman" w:hAnsi="Arial" w:cs="Arial"/>
          <w:iCs/>
          <w:sz w:val="20"/>
          <w:szCs w:val="20"/>
          <w:lang w:eastAsia="en-US"/>
        </w:rPr>
        <w:t xml:space="preserve"> 202</w:t>
      </w:r>
      <w:r w:rsidR="00465D4F" w:rsidRPr="00EB650B">
        <w:rPr>
          <w:rFonts w:ascii="Arial" w:eastAsia="Times New Roman" w:hAnsi="Arial" w:cs="Arial"/>
          <w:iCs/>
          <w:sz w:val="20"/>
          <w:szCs w:val="20"/>
          <w:lang w:eastAsia="en-US"/>
        </w:rPr>
        <w:t>5</w:t>
      </w:r>
      <w:r w:rsidRPr="00EB650B">
        <w:rPr>
          <w:rFonts w:ascii="Arial" w:eastAsia="Times New Roman" w:hAnsi="Arial" w:cs="Arial"/>
          <w:iCs/>
          <w:sz w:val="20"/>
          <w:szCs w:val="20"/>
          <w:lang w:eastAsia="en-US"/>
        </w:rPr>
        <w:t xml:space="preserve">. plaćen je po kamati u iznosu </w:t>
      </w:r>
      <w:r w:rsidR="00465D4F" w:rsidRPr="00EB650B">
        <w:rPr>
          <w:rFonts w:ascii="Arial" w:eastAsia="Times New Roman" w:hAnsi="Arial" w:cs="Arial"/>
          <w:iCs/>
          <w:sz w:val="20"/>
          <w:szCs w:val="20"/>
          <w:lang w:eastAsia="en-US"/>
        </w:rPr>
        <w:t>3,808</w:t>
      </w:r>
      <w:r w:rsidRPr="00EB650B">
        <w:rPr>
          <w:rFonts w:ascii="Arial" w:eastAsia="Times New Roman" w:hAnsi="Arial" w:cs="Arial"/>
          <w:iCs/>
          <w:sz w:val="20"/>
          <w:szCs w:val="20"/>
          <w:lang w:eastAsia="en-US"/>
        </w:rPr>
        <w:t>%.</w:t>
      </w:r>
    </w:p>
    <w:p w14:paraId="4A26A679" w14:textId="5AF97DF0" w:rsidR="00891119" w:rsidRPr="00CB4F90" w:rsidRDefault="00891119" w:rsidP="00DE2CF6">
      <w:pPr>
        <w:spacing w:after="0" w:line="240" w:lineRule="auto"/>
        <w:ind w:left="2836" w:firstLine="709"/>
        <w:jc w:val="both"/>
        <w:rPr>
          <w:rFonts w:ascii="Arial" w:eastAsia="Times New Roman" w:hAnsi="Arial" w:cs="Arial"/>
          <w:i/>
          <w:iCs/>
          <w:sz w:val="20"/>
          <w:lang w:eastAsia="en-US"/>
        </w:rPr>
      </w:pPr>
      <w:r w:rsidRPr="00CB4F90">
        <w:rPr>
          <w:rFonts w:ascii="Arial" w:eastAsia="Times New Roman" w:hAnsi="Arial" w:cs="Arial"/>
          <w:i/>
          <w:iCs/>
          <w:sz w:val="20"/>
          <w:lang w:eastAsia="en-US"/>
        </w:rPr>
        <w:t>*Rekapitulacija:</w:t>
      </w:r>
      <w:r w:rsidR="00F057D2" w:rsidRPr="00CB4F90">
        <w:rPr>
          <w:rFonts w:ascii="Arial" w:eastAsia="Times New Roman" w:hAnsi="Arial" w:cs="Arial"/>
          <w:i/>
          <w:iCs/>
          <w:sz w:val="20"/>
          <w:lang w:eastAsia="en-US"/>
        </w:rPr>
        <w:t xml:space="preserve"> </w:t>
      </w:r>
    </w:p>
    <w:p w14:paraId="54889707" w14:textId="4646D95F" w:rsidR="00DB2C0A" w:rsidRPr="003A2F86" w:rsidRDefault="001128ED" w:rsidP="00DB2C0A">
      <w:pPr>
        <w:spacing w:after="0" w:line="240" w:lineRule="auto"/>
        <w:jc w:val="center"/>
        <w:rPr>
          <w:rFonts w:ascii="Arial" w:eastAsia="Times New Roman" w:hAnsi="Arial" w:cs="Arial"/>
          <w:b/>
          <w:iCs/>
          <w:lang w:eastAsia="en-US"/>
        </w:rPr>
      </w:pPr>
      <w:r w:rsidRPr="001128ED">
        <w:rPr>
          <w:noProof/>
        </w:rPr>
        <w:drawing>
          <wp:inline distT="0" distB="0" distL="0" distR="0" wp14:anchorId="4D5D753D" wp14:editId="555D15D1">
            <wp:extent cx="6353298" cy="4147973"/>
            <wp:effectExtent l="0" t="0" r="0" b="5080"/>
            <wp:docPr id="38784461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55562" cy="4149451"/>
                    </a:xfrm>
                    <a:prstGeom prst="rect">
                      <a:avLst/>
                    </a:prstGeom>
                    <a:noFill/>
                    <a:ln>
                      <a:noFill/>
                    </a:ln>
                  </pic:spPr>
                </pic:pic>
              </a:graphicData>
            </a:graphic>
          </wp:inline>
        </w:drawing>
      </w:r>
    </w:p>
    <w:p w14:paraId="60E0A976" w14:textId="77777777" w:rsidR="00992310" w:rsidRPr="00CB10A5" w:rsidRDefault="00992310" w:rsidP="00CB10A5">
      <w:pPr>
        <w:spacing w:after="0" w:line="240" w:lineRule="auto"/>
        <w:jc w:val="both"/>
        <w:rPr>
          <w:rFonts w:ascii="Arial" w:eastAsia="Times New Roman" w:hAnsi="Arial" w:cs="Arial"/>
          <w:bCs/>
          <w:iCs/>
          <w:lang w:eastAsia="en-US"/>
        </w:rPr>
      </w:pPr>
    </w:p>
    <w:p w14:paraId="30CC6051" w14:textId="16826FE4" w:rsidR="00664410" w:rsidRPr="00CB4F90" w:rsidRDefault="00664410">
      <w:pPr>
        <w:pStyle w:val="Odlomakpopisa"/>
        <w:numPr>
          <w:ilvl w:val="0"/>
          <w:numId w:val="22"/>
        </w:numPr>
        <w:rPr>
          <w:rFonts w:ascii="Arial" w:hAnsi="Arial" w:cs="Arial"/>
          <w:b/>
          <w:iCs/>
        </w:rPr>
      </w:pPr>
      <w:r w:rsidRPr="00CB4F90">
        <w:rPr>
          <w:rFonts w:ascii="Arial" w:hAnsi="Arial" w:cs="Arial"/>
          <w:b/>
          <w:iCs/>
        </w:rPr>
        <w:t>Ugovor o dugoročnom kreditu – Izgradnja zajedničkog vatrogasnog doma i spremišta Vatrogasni dom Gruda i nabava vatrogasnih vozila i opreme</w:t>
      </w:r>
    </w:p>
    <w:p w14:paraId="35C7DE30" w14:textId="7299568A" w:rsidR="00664410" w:rsidRPr="00CB4F90" w:rsidRDefault="00664410" w:rsidP="00664410">
      <w:pPr>
        <w:spacing w:after="0" w:line="240" w:lineRule="auto"/>
        <w:jc w:val="both"/>
        <w:rPr>
          <w:rFonts w:ascii="Arial" w:eastAsia="Times New Roman" w:hAnsi="Arial" w:cs="Arial"/>
          <w:iCs/>
          <w:lang w:eastAsia="en-US"/>
        </w:rPr>
      </w:pPr>
    </w:p>
    <w:p w14:paraId="7E01A29C" w14:textId="4F8EC148" w:rsidR="00664410" w:rsidRPr="00EB650B" w:rsidRDefault="00664410" w:rsidP="008140AE">
      <w:pPr>
        <w:spacing w:after="0" w:line="240" w:lineRule="auto"/>
        <w:ind w:firstLine="709"/>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Općina Konavle je ishodila građevinsku dozvolu za izgradnju vatrogasnog doma u rujnu 2017. godine, a produženje važenja građevinske dozvole u rujnu 2020. godine.</w:t>
      </w:r>
      <w:r w:rsidR="008140AE" w:rsidRPr="00EB650B">
        <w:rPr>
          <w:rFonts w:ascii="Arial" w:eastAsia="Times New Roman" w:hAnsi="Arial" w:cs="Arial"/>
          <w:iCs/>
          <w:sz w:val="20"/>
          <w:szCs w:val="20"/>
          <w:lang w:eastAsia="en-US"/>
        </w:rPr>
        <w:t xml:space="preserve"> </w:t>
      </w:r>
      <w:r w:rsidRPr="00EB650B">
        <w:rPr>
          <w:rFonts w:ascii="Arial" w:eastAsia="Times New Roman" w:hAnsi="Arial" w:cs="Arial"/>
          <w:iCs/>
          <w:sz w:val="20"/>
          <w:szCs w:val="20"/>
          <w:lang w:eastAsia="en-US"/>
        </w:rPr>
        <w:t>Ugovor o dodjeli potpore za projekt Izgradnje zajedničkog vatrogasnog doma i spremišta - Vatrogasni dom Gruda je zaključen u travnju 2019. godine s Agencijom za plaćanja u poljoprivredi, ribarstvu i ruralnom razvoju. Ovim ugovorom je određena potpora u vrijednosti 80% ukupno prihvatljivih troškova projekta određenog planom nabave, odnosno procijenjeni iznos potpore 9.109.402,70 kn</w:t>
      </w:r>
      <w:r w:rsidR="00510165" w:rsidRPr="00EB650B">
        <w:rPr>
          <w:rFonts w:ascii="Arial" w:eastAsia="Times New Roman" w:hAnsi="Arial" w:cs="Arial"/>
          <w:iCs/>
          <w:sz w:val="20"/>
          <w:szCs w:val="20"/>
          <w:lang w:eastAsia="en-US"/>
        </w:rPr>
        <w:t xml:space="preserve"> (1.209.025,51 €)</w:t>
      </w:r>
      <w:r w:rsidRPr="00EB650B">
        <w:rPr>
          <w:rFonts w:ascii="Arial" w:eastAsia="Times New Roman" w:hAnsi="Arial" w:cs="Arial"/>
          <w:iCs/>
          <w:sz w:val="20"/>
          <w:szCs w:val="20"/>
          <w:lang w:eastAsia="en-US"/>
        </w:rPr>
        <w:t>. Planom nabave uz osnovni ugovor je bila utvrđena procijenjena vrijednost troškova građenja 11.169.753,38 kn (s PDV-om)</w:t>
      </w:r>
      <w:r w:rsidR="00510165" w:rsidRPr="00EB650B">
        <w:rPr>
          <w:rFonts w:ascii="Arial" w:eastAsia="Times New Roman" w:hAnsi="Arial" w:cs="Arial"/>
          <w:iCs/>
          <w:sz w:val="20"/>
          <w:szCs w:val="20"/>
          <w:lang w:eastAsia="en-US"/>
        </w:rPr>
        <w:t xml:space="preserve"> (1.482.481,04 €)</w:t>
      </w:r>
      <w:r w:rsidRPr="00EB650B">
        <w:rPr>
          <w:rFonts w:ascii="Arial" w:eastAsia="Times New Roman" w:hAnsi="Arial" w:cs="Arial"/>
          <w:iCs/>
          <w:sz w:val="20"/>
          <w:szCs w:val="20"/>
          <w:lang w:eastAsia="en-US"/>
        </w:rPr>
        <w:t xml:space="preserve">. Međutim, nakon provedenog postupka nabave (prosinac 2020. godine) radovi izgradnje </w:t>
      </w:r>
      <w:r w:rsidRPr="00EB650B">
        <w:rPr>
          <w:rFonts w:ascii="Arial" w:eastAsia="Times New Roman" w:hAnsi="Arial" w:cs="Arial"/>
          <w:iCs/>
          <w:sz w:val="20"/>
          <w:szCs w:val="20"/>
          <w:lang w:eastAsia="en-US"/>
        </w:rPr>
        <w:lastRenderedPageBreak/>
        <w:t>su iznosili 11.320.642,60 kn</w:t>
      </w:r>
      <w:r w:rsidR="00510165" w:rsidRPr="00EB650B">
        <w:rPr>
          <w:rFonts w:ascii="Arial" w:eastAsia="Times New Roman" w:hAnsi="Arial" w:cs="Arial"/>
          <w:iCs/>
          <w:sz w:val="20"/>
          <w:szCs w:val="20"/>
          <w:lang w:eastAsia="en-US"/>
        </w:rPr>
        <w:t xml:space="preserve"> (1.502.507,48 €)</w:t>
      </w:r>
      <w:r w:rsidRPr="00EB650B">
        <w:rPr>
          <w:rFonts w:ascii="Arial" w:eastAsia="Times New Roman" w:hAnsi="Arial" w:cs="Arial"/>
          <w:iCs/>
          <w:sz w:val="20"/>
          <w:szCs w:val="20"/>
          <w:lang w:eastAsia="en-US"/>
        </w:rPr>
        <w:t>, odnosno 14.150.803,25 kn s porezom na dodanu vrijednost</w:t>
      </w:r>
      <w:r w:rsidR="00510165" w:rsidRPr="00EB650B">
        <w:rPr>
          <w:rFonts w:ascii="Arial" w:eastAsia="Times New Roman" w:hAnsi="Arial" w:cs="Arial"/>
          <w:iCs/>
          <w:sz w:val="20"/>
          <w:szCs w:val="20"/>
          <w:lang w:eastAsia="en-US"/>
        </w:rPr>
        <w:t xml:space="preserve"> (1.878.134,35 €)</w:t>
      </w:r>
      <w:r w:rsidRPr="00EB650B">
        <w:rPr>
          <w:rFonts w:ascii="Arial" w:eastAsia="Times New Roman" w:hAnsi="Arial" w:cs="Arial"/>
          <w:iCs/>
          <w:sz w:val="20"/>
          <w:szCs w:val="20"/>
          <w:lang w:eastAsia="en-US"/>
        </w:rPr>
        <w:t>. Ugovor s odabranim izvoditeljem Općina je zaključila 4.3.2021.</w:t>
      </w:r>
      <w:r w:rsidR="00CB4F90" w:rsidRPr="00EB650B">
        <w:rPr>
          <w:rFonts w:ascii="Arial" w:eastAsia="Times New Roman" w:hAnsi="Arial" w:cs="Arial"/>
          <w:iCs/>
          <w:sz w:val="20"/>
          <w:szCs w:val="20"/>
          <w:lang w:eastAsia="en-US"/>
        </w:rPr>
        <w:t xml:space="preserve"> </w:t>
      </w:r>
    </w:p>
    <w:p w14:paraId="3111662D" w14:textId="77777777" w:rsidR="00CB4F90" w:rsidRPr="00EB650B" w:rsidRDefault="00CB4F90" w:rsidP="008140AE">
      <w:pPr>
        <w:spacing w:after="0" w:line="240" w:lineRule="auto"/>
        <w:ind w:firstLine="709"/>
        <w:jc w:val="both"/>
        <w:rPr>
          <w:rFonts w:ascii="Arial" w:eastAsia="Times New Roman" w:hAnsi="Arial" w:cs="Arial"/>
          <w:iCs/>
          <w:sz w:val="20"/>
          <w:szCs w:val="20"/>
          <w:lang w:eastAsia="en-US"/>
        </w:rPr>
      </w:pPr>
    </w:p>
    <w:p w14:paraId="33EC55A0" w14:textId="28778974" w:rsidR="00F40720" w:rsidRPr="00EB650B" w:rsidRDefault="00664410" w:rsidP="00664410">
      <w:pPr>
        <w:spacing w:after="0" w:line="240" w:lineRule="auto"/>
        <w:ind w:firstLine="708"/>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Usporedo s provedbom ovog projekta, </w:t>
      </w:r>
      <w:r w:rsidR="00441F7A" w:rsidRPr="00EB650B">
        <w:rPr>
          <w:rFonts w:ascii="Arial" w:eastAsia="Times New Roman" w:hAnsi="Arial" w:cs="Arial"/>
          <w:iCs/>
          <w:sz w:val="20"/>
          <w:szCs w:val="20"/>
          <w:lang w:eastAsia="en-US"/>
        </w:rPr>
        <w:t xml:space="preserve">putem </w:t>
      </w:r>
      <w:r w:rsidRPr="00EB650B">
        <w:rPr>
          <w:rFonts w:ascii="Arial" w:eastAsia="Times New Roman" w:hAnsi="Arial" w:cs="Arial"/>
          <w:iCs/>
          <w:sz w:val="20"/>
          <w:szCs w:val="20"/>
          <w:lang w:eastAsia="en-US"/>
        </w:rPr>
        <w:t xml:space="preserve">prekogranične suradnje </w:t>
      </w:r>
      <w:r w:rsidR="00441F7A" w:rsidRPr="00EB650B">
        <w:rPr>
          <w:rFonts w:ascii="Arial" w:eastAsia="Times New Roman" w:hAnsi="Arial" w:cs="Arial"/>
          <w:iCs/>
          <w:sz w:val="20"/>
          <w:szCs w:val="20"/>
          <w:lang w:eastAsia="en-US"/>
        </w:rPr>
        <w:t>osigurana je nabava</w:t>
      </w:r>
      <w:r w:rsidRPr="00EB650B">
        <w:rPr>
          <w:rFonts w:ascii="Arial" w:eastAsia="Times New Roman" w:hAnsi="Arial" w:cs="Arial"/>
          <w:iCs/>
          <w:sz w:val="20"/>
          <w:szCs w:val="20"/>
          <w:lang w:eastAsia="en-US"/>
        </w:rPr>
        <w:t xml:space="preserve"> druge opreme za vatrogastvo (dron, specijalizirana oprema za vozila i ljude – prevencija od poplava i požara), te nabav</w:t>
      </w:r>
      <w:r w:rsidR="00441F7A" w:rsidRPr="00EB650B">
        <w:rPr>
          <w:rFonts w:ascii="Arial" w:eastAsia="Times New Roman" w:hAnsi="Arial" w:cs="Arial"/>
          <w:iCs/>
          <w:sz w:val="20"/>
          <w:szCs w:val="20"/>
          <w:lang w:eastAsia="en-US"/>
        </w:rPr>
        <w:t>a</w:t>
      </w:r>
      <w:r w:rsidRPr="00EB650B">
        <w:rPr>
          <w:rFonts w:ascii="Arial" w:eastAsia="Times New Roman" w:hAnsi="Arial" w:cs="Arial"/>
          <w:iCs/>
          <w:sz w:val="20"/>
          <w:szCs w:val="20"/>
          <w:lang w:eastAsia="en-US"/>
        </w:rPr>
        <w:t xml:space="preserve"> vatrogasnog vozila iz projekta FLOOD &amp; FIRE; unutar kojeg su i drugi troškovi povezani uz tehničku pomoć, trošak zajedničkih vježbi i slično </w:t>
      </w:r>
      <w:r w:rsidR="00441F7A" w:rsidRPr="00EB650B">
        <w:rPr>
          <w:rFonts w:ascii="Arial" w:eastAsia="Times New Roman" w:hAnsi="Arial" w:cs="Arial"/>
          <w:iCs/>
          <w:sz w:val="20"/>
          <w:szCs w:val="20"/>
          <w:lang w:eastAsia="en-US"/>
        </w:rPr>
        <w:t>se</w:t>
      </w:r>
      <w:r w:rsidRPr="00EB650B">
        <w:rPr>
          <w:rFonts w:ascii="Arial" w:eastAsia="Times New Roman" w:hAnsi="Arial" w:cs="Arial"/>
          <w:iCs/>
          <w:sz w:val="20"/>
          <w:szCs w:val="20"/>
          <w:lang w:eastAsia="en-US"/>
        </w:rPr>
        <w:t xml:space="preserve"> osigurava već</w:t>
      </w:r>
      <w:r w:rsidR="00441F7A" w:rsidRPr="00EB650B">
        <w:rPr>
          <w:rFonts w:ascii="Arial" w:eastAsia="Times New Roman" w:hAnsi="Arial" w:cs="Arial"/>
          <w:iCs/>
          <w:sz w:val="20"/>
          <w:szCs w:val="20"/>
          <w:lang w:eastAsia="en-US"/>
        </w:rPr>
        <w:t>a</w:t>
      </w:r>
      <w:r w:rsidRPr="00EB650B">
        <w:rPr>
          <w:rFonts w:ascii="Arial" w:eastAsia="Times New Roman" w:hAnsi="Arial" w:cs="Arial"/>
          <w:iCs/>
          <w:sz w:val="20"/>
          <w:szCs w:val="20"/>
          <w:lang w:eastAsia="en-US"/>
        </w:rPr>
        <w:t xml:space="preserve"> razin</w:t>
      </w:r>
      <w:r w:rsidR="00441F7A" w:rsidRPr="00EB650B">
        <w:rPr>
          <w:rFonts w:ascii="Arial" w:eastAsia="Times New Roman" w:hAnsi="Arial" w:cs="Arial"/>
          <w:iCs/>
          <w:sz w:val="20"/>
          <w:szCs w:val="20"/>
          <w:lang w:eastAsia="en-US"/>
        </w:rPr>
        <w:t>a</w:t>
      </w:r>
      <w:r w:rsidRPr="00EB650B">
        <w:rPr>
          <w:rFonts w:ascii="Arial" w:eastAsia="Times New Roman" w:hAnsi="Arial" w:cs="Arial"/>
          <w:iCs/>
          <w:sz w:val="20"/>
          <w:szCs w:val="20"/>
          <w:lang w:eastAsia="en-US"/>
        </w:rPr>
        <w:t xml:space="preserve"> opremljenosti.</w:t>
      </w:r>
      <w:r w:rsidR="00F40720" w:rsidRPr="00EB650B">
        <w:rPr>
          <w:rFonts w:ascii="Arial" w:eastAsia="Times New Roman" w:hAnsi="Arial" w:cs="Arial"/>
          <w:iCs/>
          <w:sz w:val="20"/>
          <w:szCs w:val="20"/>
          <w:lang w:eastAsia="en-US"/>
        </w:rPr>
        <w:t xml:space="preserve"> Općina Konavle kao jedan od projektnih partnera u projektu Flood&amp;Fire uključena je u sve projektne aktivnosti s ciljem povećavanja zaštite vlastitog teritorija (209,5 km2) od prirodnih nepogoda poplava i požara. U sklopu projekta Općina Konavle će provesti nabavu specijalizirane opreme kako bi se povećala tehnička spremnost nadležnih službi za reakciju u slučaju prirodnih nepogoda poput poplava i požara. Ovaj projekt će se sufinancirati iz INTERREG programa HR-BIH-MNE. Zaduživanje </w:t>
      </w:r>
      <w:r w:rsidR="008140AE" w:rsidRPr="00EB650B">
        <w:rPr>
          <w:rFonts w:ascii="Arial" w:eastAsia="Times New Roman" w:hAnsi="Arial" w:cs="Arial"/>
          <w:iCs/>
          <w:sz w:val="20"/>
          <w:szCs w:val="20"/>
          <w:lang w:eastAsia="en-US"/>
        </w:rPr>
        <w:t xml:space="preserve">je planirano </w:t>
      </w:r>
      <w:r w:rsidR="00F40720" w:rsidRPr="00EB650B">
        <w:rPr>
          <w:rFonts w:ascii="Arial" w:eastAsia="Times New Roman" w:hAnsi="Arial" w:cs="Arial"/>
          <w:iCs/>
          <w:sz w:val="20"/>
          <w:szCs w:val="20"/>
          <w:lang w:eastAsia="en-US"/>
        </w:rPr>
        <w:t>za potrebe nabave vatrogasnog vozila (cisterne) s pripadajućom opremom procijenjene vrijednosti 292.000 EUR.</w:t>
      </w:r>
    </w:p>
    <w:p w14:paraId="0CE10208" w14:textId="77777777" w:rsidR="008140AE" w:rsidRPr="00EB650B" w:rsidRDefault="008140AE" w:rsidP="00664410">
      <w:pPr>
        <w:spacing w:after="0" w:line="240" w:lineRule="auto"/>
        <w:ind w:firstLine="708"/>
        <w:jc w:val="both"/>
        <w:rPr>
          <w:rFonts w:ascii="Arial" w:eastAsia="Times New Roman" w:hAnsi="Arial" w:cs="Arial"/>
          <w:iCs/>
          <w:sz w:val="20"/>
          <w:szCs w:val="20"/>
          <w:lang w:eastAsia="en-US"/>
        </w:rPr>
      </w:pPr>
    </w:p>
    <w:p w14:paraId="4195E4A4" w14:textId="7A2E20F8" w:rsidR="002F0FA6" w:rsidRPr="00EB650B" w:rsidRDefault="00664410" w:rsidP="008140AE">
      <w:pPr>
        <w:spacing w:after="0" w:line="240" w:lineRule="auto"/>
        <w:ind w:firstLine="708"/>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Općinsko vijeće Općine Konavle je </w:t>
      </w:r>
      <w:r w:rsidR="002F0FA6" w:rsidRPr="00EB650B">
        <w:rPr>
          <w:rFonts w:ascii="Arial" w:eastAsia="Times New Roman" w:hAnsi="Arial" w:cs="Arial"/>
          <w:iCs/>
          <w:sz w:val="20"/>
          <w:szCs w:val="20"/>
          <w:lang w:eastAsia="en-US"/>
        </w:rPr>
        <w:t>5</w:t>
      </w:r>
      <w:r w:rsidRPr="00EB650B">
        <w:rPr>
          <w:rFonts w:ascii="Arial" w:eastAsia="Times New Roman" w:hAnsi="Arial" w:cs="Arial"/>
          <w:iCs/>
          <w:sz w:val="20"/>
          <w:szCs w:val="20"/>
          <w:lang w:eastAsia="en-US"/>
        </w:rPr>
        <w:t>. studenoga 20</w:t>
      </w:r>
      <w:r w:rsidR="002F0FA6" w:rsidRPr="00EB650B">
        <w:rPr>
          <w:rFonts w:ascii="Arial" w:eastAsia="Times New Roman" w:hAnsi="Arial" w:cs="Arial"/>
          <w:iCs/>
          <w:sz w:val="20"/>
          <w:szCs w:val="20"/>
          <w:lang w:eastAsia="en-US"/>
        </w:rPr>
        <w:t>21</w:t>
      </w:r>
      <w:r w:rsidRPr="00EB650B">
        <w:rPr>
          <w:rFonts w:ascii="Arial" w:eastAsia="Times New Roman" w:hAnsi="Arial" w:cs="Arial"/>
          <w:iCs/>
          <w:sz w:val="20"/>
          <w:szCs w:val="20"/>
          <w:lang w:eastAsia="en-US"/>
        </w:rPr>
        <w:t xml:space="preserve">. donijelo odluku o zaduživanju kojom je odobrilo zaduživanje kod </w:t>
      </w:r>
      <w:r w:rsidR="00B06653" w:rsidRPr="00EB650B">
        <w:rPr>
          <w:rFonts w:ascii="Arial" w:eastAsia="Times New Roman" w:hAnsi="Arial" w:cs="Arial"/>
          <w:iCs/>
          <w:sz w:val="20"/>
          <w:szCs w:val="20"/>
          <w:lang w:eastAsia="en-US"/>
        </w:rPr>
        <w:t xml:space="preserve">Hrvatske </w:t>
      </w:r>
      <w:r w:rsidRPr="00EB650B">
        <w:rPr>
          <w:rFonts w:ascii="Arial" w:eastAsia="Times New Roman" w:hAnsi="Arial" w:cs="Arial"/>
          <w:iCs/>
          <w:sz w:val="20"/>
          <w:szCs w:val="20"/>
          <w:lang w:eastAsia="en-US"/>
        </w:rPr>
        <w:t xml:space="preserve">banke </w:t>
      </w:r>
      <w:r w:rsidR="00B06653" w:rsidRPr="00EB650B">
        <w:rPr>
          <w:rFonts w:ascii="Arial" w:eastAsia="Times New Roman" w:hAnsi="Arial" w:cs="Arial"/>
          <w:iCs/>
          <w:sz w:val="20"/>
          <w:szCs w:val="20"/>
          <w:lang w:eastAsia="en-US"/>
        </w:rPr>
        <w:t xml:space="preserve">za obnovu i razvitak </w:t>
      </w:r>
      <w:r w:rsidRPr="00EB650B">
        <w:rPr>
          <w:rFonts w:ascii="Arial" w:eastAsia="Times New Roman" w:hAnsi="Arial" w:cs="Arial"/>
          <w:iCs/>
          <w:sz w:val="20"/>
          <w:szCs w:val="20"/>
          <w:lang w:eastAsia="en-US"/>
        </w:rPr>
        <w:t xml:space="preserve">za potrebe predfinanciranja kapitalnog projekta </w:t>
      </w:r>
      <w:r w:rsidR="002F0FA6" w:rsidRPr="00EB650B">
        <w:rPr>
          <w:rFonts w:ascii="Arial" w:eastAsia="Times New Roman" w:hAnsi="Arial" w:cs="Arial"/>
          <w:iCs/>
          <w:sz w:val="20"/>
          <w:szCs w:val="20"/>
          <w:lang w:eastAsia="en-US"/>
        </w:rPr>
        <w:t>zajedničkog vatrogasnog doma i spremišta Vatrogasni dom Gruda, te nabavu vatrogasnog vozila i opreme</w:t>
      </w:r>
      <w:r w:rsidRPr="00EB650B">
        <w:rPr>
          <w:rFonts w:ascii="Arial" w:eastAsia="Times New Roman" w:hAnsi="Arial" w:cs="Arial"/>
          <w:iCs/>
          <w:sz w:val="20"/>
          <w:szCs w:val="20"/>
          <w:lang w:eastAsia="en-US"/>
        </w:rPr>
        <w:t xml:space="preserve"> uzimanjem dugoročnog kredita u kunama u iznosu </w:t>
      </w:r>
      <w:r w:rsidR="002F0FA6" w:rsidRPr="00EB650B">
        <w:rPr>
          <w:rFonts w:ascii="Arial" w:eastAsia="Times New Roman" w:hAnsi="Arial" w:cs="Arial"/>
          <w:iCs/>
          <w:sz w:val="20"/>
          <w:szCs w:val="20"/>
          <w:lang w:eastAsia="en-US"/>
        </w:rPr>
        <w:t>8.400.000</w:t>
      </w:r>
      <w:r w:rsidRPr="00EB650B">
        <w:rPr>
          <w:rFonts w:ascii="Arial" w:eastAsia="Times New Roman" w:hAnsi="Arial" w:cs="Arial"/>
          <w:iCs/>
          <w:sz w:val="20"/>
          <w:szCs w:val="20"/>
          <w:lang w:eastAsia="en-US"/>
        </w:rPr>
        <w:t xml:space="preserve"> kn </w:t>
      </w:r>
      <w:r w:rsidR="00510165" w:rsidRPr="00EB650B">
        <w:rPr>
          <w:rFonts w:ascii="Arial" w:eastAsia="Times New Roman" w:hAnsi="Arial" w:cs="Arial"/>
          <w:iCs/>
          <w:sz w:val="20"/>
          <w:szCs w:val="20"/>
          <w:lang w:eastAsia="en-US"/>
        </w:rPr>
        <w:t>(1.114.871,6 €)</w:t>
      </w:r>
      <w:r w:rsidR="00084D81" w:rsidRPr="00EB650B">
        <w:rPr>
          <w:rFonts w:ascii="Arial" w:eastAsia="Times New Roman" w:hAnsi="Arial" w:cs="Arial"/>
          <w:iCs/>
          <w:sz w:val="20"/>
          <w:szCs w:val="20"/>
          <w:lang w:eastAsia="en-US"/>
        </w:rPr>
        <w:t xml:space="preserve"> </w:t>
      </w:r>
      <w:r w:rsidRPr="00EB650B">
        <w:rPr>
          <w:rFonts w:ascii="Arial" w:eastAsia="Times New Roman" w:hAnsi="Arial" w:cs="Arial"/>
          <w:iCs/>
          <w:sz w:val="20"/>
          <w:szCs w:val="20"/>
          <w:lang w:eastAsia="en-US"/>
        </w:rPr>
        <w:t xml:space="preserve">uz redovnu fiksnu kamatnu stopu </w:t>
      </w:r>
      <w:r w:rsidR="002F0FA6" w:rsidRPr="00EB650B">
        <w:rPr>
          <w:rFonts w:ascii="Arial" w:eastAsia="Times New Roman" w:hAnsi="Arial" w:cs="Arial"/>
          <w:iCs/>
          <w:sz w:val="20"/>
          <w:szCs w:val="20"/>
          <w:lang w:eastAsia="en-US"/>
        </w:rPr>
        <w:t>1,2</w:t>
      </w:r>
      <w:r w:rsidRPr="00EB650B">
        <w:rPr>
          <w:rFonts w:ascii="Arial" w:eastAsia="Times New Roman" w:hAnsi="Arial" w:cs="Arial"/>
          <w:iCs/>
          <w:sz w:val="20"/>
          <w:szCs w:val="20"/>
          <w:lang w:eastAsia="en-US"/>
        </w:rPr>
        <w:t xml:space="preserve">% godišnje, s rokom otplate od </w:t>
      </w:r>
      <w:r w:rsidR="002F0FA6" w:rsidRPr="00EB650B">
        <w:rPr>
          <w:rFonts w:ascii="Arial" w:eastAsia="Times New Roman" w:hAnsi="Arial" w:cs="Arial"/>
          <w:iCs/>
          <w:sz w:val="20"/>
          <w:szCs w:val="20"/>
          <w:lang w:eastAsia="en-US"/>
        </w:rPr>
        <w:t>7</w:t>
      </w:r>
      <w:r w:rsidRPr="00EB650B">
        <w:rPr>
          <w:rFonts w:ascii="Arial" w:eastAsia="Times New Roman" w:hAnsi="Arial" w:cs="Arial"/>
          <w:iCs/>
          <w:sz w:val="20"/>
          <w:szCs w:val="20"/>
          <w:lang w:eastAsia="en-US"/>
        </w:rPr>
        <w:t xml:space="preserve"> godin</w:t>
      </w:r>
      <w:r w:rsidR="002F0FA6" w:rsidRPr="00EB650B">
        <w:rPr>
          <w:rFonts w:ascii="Arial" w:eastAsia="Times New Roman" w:hAnsi="Arial" w:cs="Arial"/>
          <w:iCs/>
          <w:sz w:val="20"/>
          <w:szCs w:val="20"/>
          <w:lang w:eastAsia="en-US"/>
        </w:rPr>
        <w:t>a</w:t>
      </w:r>
      <w:r w:rsidRPr="00EB650B">
        <w:rPr>
          <w:rFonts w:ascii="Arial" w:eastAsia="Times New Roman" w:hAnsi="Arial" w:cs="Arial"/>
          <w:iCs/>
          <w:sz w:val="20"/>
          <w:szCs w:val="20"/>
          <w:lang w:eastAsia="en-US"/>
        </w:rPr>
        <w:t xml:space="preserve"> </w:t>
      </w:r>
      <w:r w:rsidR="00437B4A" w:rsidRPr="00EB650B">
        <w:rPr>
          <w:rFonts w:ascii="Arial" w:eastAsia="Times New Roman" w:hAnsi="Arial" w:cs="Arial"/>
          <w:iCs/>
          <w:sz w:val="20"/>
          <w:szCs w:val="20"/>
          <w:lang w:eastAsia="en-US"/>
        </w:rPr>
        <w:t>uključujući</w:t>
      </w:r>
      <w:r w:rsidR="002F0FA6" w:rsidRPr="00EB650B">
        <w:rPr>
          <w:rFonts w:ascii="Arial" w:eastAsia="Times New Roman" w:hAnsi="Arial" w:cs="Arial"/>
          <w:iCs/>
          <w:sz w:val="20"/>
          <w:szCs w:val="20"/>
          <w:lang w:eastAsia="en-US"/>
        </w:rPr>
        <w:t xml:space="preserve"> 2 godine počeka </w:t>
      </w:r>
      <w:r w:rsidRPr="00EB650B">
        <w:rPr>
          <w:rFonts w:ascii="Arial" w:eastAsia="Times New Roman" w:hAnsi="Arial" w:cs="Arial"/>
          <w:iCs/>
          <w:sz w:val="20"/>
          <w:szCs w:val="20"/>
          <w:lang w:eastAsia="en-US"/>
        </w:rPr>
        <w:t xml:space="preserve">u </w:t>
      </w:r>
      <w:r w:rsidR="002F0FA6" w:rsidRPr="00EB650B">
        <w:rPr>
          <w:rFonts w:ascii="Arial" w:eastAsia="Times New Roman" w:hAnsi="Arial" w:cs="Arial"/>
          <w:iCs/>
          <w:sz w:val="20"/>
          <w:szCs w:val="20"/>
          <w:lang w:eastAsia="en-US"/>
        </w:rPr>
        <w:t>20</w:t>
      </w:r>
      <w:r w:rsidRPr="00EB650B">
        <w:rPr>
          <w:rFonts w:ascii="Arial" w:eastAsia="Times New Roman" w:hAnsi="Arial" w:cs="Arial"/>
          <w:iCs/>
          <w:sz w:val="20"/>
          <w:szCs w:val="20"/>
          <w:lang w:eastAsia="en-US"/>
        </w:rPr>
        <w:t xml:space="preserve"> jednakih tromjesečnih obroka. </w:t>
      </w:r>
      <w:r w:rsidR="002F0FA6" w:rsidRPr="00EB650B">
        <w:rPr>
          <w:rFonts w:ascii="Arial" w:eastAsia="Times New Roman" w:hAnsi="Arial" w:cs="Arial"/>
          <w:iCs/>
          <w:sz w:val="20"/>
          <w:szCs w:val="20"/>
          <w:lang w:eastAsia="en-US"/>
        </w:rPr>
        <w:t>Naknada za obradu kredita iznosi 0,2% i plaća se jednokratno prije prvog korištenja kredita. Naknade za rezervaciju sredstava nema, a naknada za prijevremenu otplatu kredita (dio koji se ne odnosi na primljena sredstva EU fondova) iznosi 1%. Za izgradnju vatrogasnog doma odobren je kredit u iznosu 6.600.000 kn</w:t>
      </w:r>
      <w:r w:rsidR="00510165" w:rsidRPr="00EB650B">
        <w:rPr>
          <w:rFonts w:ascii="Arial" w:eastAsia="Times New Roman" w:hAnsi="Arial" w:cs="Arial"/>
          <w:iCs/>
          <w:sz w:val="20"/>
          <w:szCs w:val="20"/>
          <w:lang w:eastAsia="en-US"/>
        </w:rPr>
        <w:t xml:space="preserve"> (875.970,55 €)</w:t>
      </w:r>
      <w:r w:rsidR="002F0FA6" w:rsidRPr="00EB650B">
        <w:rPr>
          <w:rFonts w:ascii="Arial" w:eastAsia="Times New Roman" w:hAnsi="Arial" w:cs="Arial"/>
          <w:iCs/>
          <w:sz w:val="20"/>
          <w:szCs w:val="20"/>
          <w:lang w:eastAsia="en-US"/>
        </w:rPr>
        <w:t>, a za nabavu vatrogasnog vozila i opreme 1.800.000 kn</w:t>
      </w:r>
      <w:r w:rsidR="00510165" w:rsidRPr="00EB650B">
        <w:rPr>
          <w:rFonts w:ascii="Arial" w:eastAsia="Times New Roman" w:hAnsi="Arial" w:cs="Arial"/>
          <w:iCs/>
          <w:sz w:val="20"/>
          <w:szCs w:val="20"/>
          <w:lang w:eastAsia="en-US"/>
        </w:rPr>
        <w:t xml:space="preserve"> (238.901,06 €)</w:t>
      </w:r>
      <w:r w:rsidR="002F0FA6" w:rsidRPr="00EB650B">
        <w:rPr>
          <w:rFonts w:ascii="Arial" w:eastAsia="Times New Roman" w:hAnsi="Arial" w:cs="Arial"/>
          <w:iCs/>
          <w:sz w:val="20"/>
          <w:szCs w:val="20"/>
          <w:lang w:eastAsia="en-US"/>
        </w:rPr>
        <w:t>.</w:t>
      </w:r>
    </w:p>
    <w:p w14:paraId="2D16DFC9" w14:textId="77777777" w:rsidR="008140AE" w:rsidRPr="00EB650B" w:rsidRDefault="008140AE" w:rsidP="00664410">
      <w:pPr>
        <w:spacing w:after="0" w:line="240" w:lineRule="auto"/>
        <w:jc w:val="both"/>
        <w:rPr>
          <w:rFonts w:ascii="Arial" w:eastAsia="Times New Roman" w:hAnsi="Arial" w:cs="Arial"/>
          <w:iCs/>
          <w:sz w:val="20"/>
          <w:szCs w:val="20"/>
          <w:lang w:eastAsia="en-US"/>
        </w:rPr>
      </w:pPr>
    </w:p>
    <w:p w14:paraId="5190739C" w14:textId="2063BB58" w:rsidR="00664410" w:rsidRPr="00EB650B" w:rsidRDefault="00664410" w:rsidP="008140AE">
      <w:pPr>
        <w:spacing w:after="0" w:line="240" w:lineRule="auto"/>
        <w:ind w:firstLine="708"/>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S obzirom da se radi o predfinanciranju projekta koji se sufinancira EU sredstvima i da je Općina osigurala financiranje preostalog dijela projekta iz vlastitih sredstava, </w:t>
      </w:r>
      <w:r w:rsidRPr="00EB650B">
        <w:rPr>
          <w:rFonts w:ascii="Arial" w:eastAsia="Times New Roman" w:hAnsi="Arial" w:cs="Arial"/>
          <w:b/>
          <w:bCs/>
          <w:iCs/>
          <w:sz w:val="20"/>
          <w:szCs w:val="20"/>
          <w:lang w:eastAsia="en-US"/>
        </w:rPr>
        <w:t xml:space="preserve">ministar financija je </w:t>
      </w:r>
      <w:r w:rsidR="002F0FA6" w:rsidRPr="00EB650B">
        <w:rPr>
          <w:rFonts w:ascii="Arial" w:eastAsia="Times New Roman" w:hAnsi="Arial" w:cs="Arial"/>
          <w:b/>
          <w:bCs/>
          <w:iCs/>
          <w:sz w:val="20"/>
          <w:szCs w:val="20"/>
          <w:lang w:eastAsia="en-US"/>
        </w:rPr>
        <w:t>2</w:t>
      </w:r>
      <w:r w:rsidRPr="00EB650B">
        <w:rPr>
          <w:rFonts w:ascii="Arial" w:eastAsia="Times New Roman" w:hAnsi="Arial" w:cs="Arial"/>
          <w:b/>
          <w:bCs/>
          <w:iCs/>
          <w:sz w:val="20"/>
          <w:szCs w:val="20"/>
          <w:lang w:eastAsia="en-US"/>
        </w:rPr>
        <w:t xml:space="preserve">. </w:t>
      </w:r>
      <w:r w:rsidR="002F0FA6" w:rsidRPr="00EB650B">
        <w:rPr>
          <w:rFonts w:ascii="Arial" w:eastAsia="Times New Roman" w:hAnsi="Arial" w:cs="Arial"/>
          <w:b/>
          <w:bCs/>
          <w:iCs/>
          <w:sz w:val="20"/>
          <w:szCs w:val="20"/>
          <w:lang w:eastAsia="en-US"/>
        </w:rPr>
        <w:t>prosinca</w:t>
      </w:r>
      <w:r w:rsidRPr="00EB650B">
        <w:rPr>
          <w:rFonts w:ascii="Arial" w:eastAsia="Times New Roman" w:hAnsi="Arial" w:cs="Arial"/>
          <w:b/>
          <w:bCs/>
          <w:iCs/>
          <w:sz w:val="20"/>
          <w:szCs w:val="20"/>
          <w:lang w:eastAsia="en-US"/>
        </w:rPr>
        <w:t xml:space="preserve"> 20</w:t>
      </w:r>
      <w:r w:rsidR="002F0FA6" w:rsidRPr="00EB650B">
        <w:rPr>
          <w:rFonts w:ascii="Arial" w:eastAsia="Times New Roman" w:hAnsi="Arial" w:cs="Arial"/>
          <w:b/>
          <w:bCs/>
          <w:iCs/>
          <w:sz w:val="20"/>
          <w:szCs w:val="20"/>
          <w:lang w:eastAsia="en-US"/>
        </w:rPr>
        <w:t>21</w:t>
      </w:r>
      <w:r w:rsidRPr="00EB650B">
        <w:rPr>
          <w:rFonts w:ascii="Arial" w:eastAsia="Times New Roman" w:hAnsi="Arial" w:cs="Arial"/>
          <w:b/>
          <w:bCs/>
          <w:iCs/>
          <w:sz w:val="20"/>
          <w:szCs w:val="20"/>
          <w:lang w:eastAsia="en-US"/>
        </w:rPr>
        <w:t>. dao suglasnost za zaduživanje</w:t>
      </w:r>
      <w:r w:rsidRPr="00EB650B">
        <w:rPr>
          <w:rFonts w:ascii="Arial" w:eastAsia="Times New Roman" w:hAnsi="Arial" w:cs="Arial"/>
          <w:iCs/>
          <w:sz w:val="20"/>
          <w:szCs w:val="20"/>
          <w:lang w:eastAsia="en-US"/>
        </w:rPr>
        <w:t xml:space="preserve">. </w:t>
      </w:r>
    </w:p>
    <w:p w14:paraId="2DAFFA2B" w14:textId="77777777" w:rsidR="00664410" w:rsidRPr="00EB650B" w:rsidRDefault="00664410" w:rsidP="00664410">
      <w:pPr>
        <w:spacing w:after="0" w:line="240" w:lineRule="auto"/>
        <w:jc w:val="both"/>
        <w:rPr>
          <w:rFonts w:ascii="Arial" w:eastAsia="Times New Roman" w:hAnsi="Arial" w:cs="Arial"/>
          <w:iCs/>
          <w:sz w:val="20"/>
          <w:szCs w:val="20"/>
          <w:lang w:eastAsia="en-US"/>
        </w:rPr>
      </w:pPr>
    </w:p>
    <w:p w14:paraId="531D1CEF" w14:textId="4C269E9D" w:rsidR="00664410" w:rsidRPr="00EB650B" w:rsidRDefault="00664410" w:rsidP="008140AE">
      <w:pPr>
        <w:spacing w:after="0" w:line="240" w:lineRule="auto"/>
        <w:ind w:firstLine="708"/>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Općina Konavle je </w:t>
      </w:r>
      <w:r w:rsidR="002F0FA6" w:rsidRPr="00EB650B">
        <w:rPr>
          <w:rFonts w:ascii="Arial" w:eastAsia="Times New Roman" w:hAnsi="Arial" w:cs="Arial"/>
          <w:iCs/>
          <w:sz w:val="20"/>
          <w:szCs w:val="20"/>
          <w:lang w:eastAsia="en-US"/>
        </w:rPr>
        <w:t>10</w:t>
      </w:r>
      <w:r w:rsidRPr="00EB650B">
        <w:rPr>
          <w:rFonts w:ascii="Arial" w:eastAsia="Times New Roman" w:hAnsi="Arial" w:cs="Arial"/>
          <w:iCs/>
          <w:sz w:val="20"/>
          <w:szCs w:val="20"/>
          <w:lang w:eastAsia="en-US"/>
        </w:rPr>
        <w:t xml:space="preserve">. </w:t>
      </w:r>
      <w:r w:rsidR="002F0FA6" w:rsidRPr="00EB650B">
        <w:rPr>
          <w:rFonts w:ascii="Arial" w:eastAsia="Times New Roman" w:hAnsi="Arial" w:cs="Arial"/>
          <w:iCs/>
          <w:sz w:val="20"/>
          <w:szCs w:val="20"/>
          <w:lang w:eastAsia="en-US"/>
        </w:rPr>
        <w:t>ožujka</w:t>
      </w:r>
      <w:r w:rsidRPr="00EB650B">
        <w:rPr>
          <w:rFonts w:ascii="Arial" w:eastAsia="Times New Roman" w:hAnsi="Arial" w:cs="Arial"/>
          <w:iCs/>
          <w:sz w:val="20"/>
          <w:szCs w:val="20"/>
          <w:lang w:eastAsia="en-US"/>
        </w:rPr>
        <w:t xml:space="preserve"> 20</w:t>
      </w:r>
      <w:r w:rsidR="002F0FA6" w:rsidRPr="00EB650B">
        <w:rPr>
          <w:rFonts w:ascii="Arial" w:eastAsia="Times New Roman" w:hAnsi="Arial" w:cs="Arial"/>
          <w:iCs/>
          <w:sz w:val="20"/>
          <w:szCs w:val="20"/>
          <w:lang w:eastAsia="en-US"/>
        </w:rPr>
        <w:t>22</w:t>
      </w:r>
      <w:r w:rsidRPr="00EB650B">
        <w:rPr>
          <w:rFonts w:ascii="Arial" w:eastAsia="Times New Roman" w:hAnsi="Arial" w:cs="Arial"/>
          <w:iCs/>
          <w:sz w:val="20"/>
          <w:szCs w:val="20"/>
          <w:lang w:eastAsia="en-US"/>
        </w:rPr>
        <w:t>. zaključila ugovor o kreditu s bankom (</w:t>
      </w:r>
      <w:r w:rsidR="002F0FA6" w:rsidRPr="00EB650B">
        <w:rPr>
          <w:rFonts w:ascii="Arial" w:eastAsia="Times New Roman" w:hAnsi="Arial" w:cs="Arial"/>
          <w:iCs/>
          <w:sz w:val="20"/>
          <w:szCs w:val="20"/>
          <w:lang w:eastAsia="en-US"/>
        </w:rPr>
        <w:t>HBOR</w:t>
      </w:r>
      <w:r w:rsidRPr="00EB650B">
        <w:rPr>
          <w:rFonts w:ascii="Arial" w:eastAsia="Times New Roman" w:hAnsi="Arial" w:cs="Arial"/>
          <w:iCs/>
          <w:sz w:val="20"/>
          <w:szCs w:val="20"/>
          <w:lang w:eastAsia="en-US"/>
        </w:rPr>
        <w:t xml:space="preserve">) u iznosu </w:t>
      </w:r>
      <w:r w:rsidR="00B06653" w:rsidRPr="00EB650B">
        <w:rPr>
          <w:rFonts w:ascii="Arial" w:eastAsia="Times New Roman" w:hAnsi="Arial" w:cs="Arial"/>
          <w:iCs/>
          <w:sz w:val="20"/>
          <w:szCs w:val="20"/>
          <w:lang w:eastAsia="en-US"/>
        </w:rPr>
        <w:t>8.400</w:t>
      </w:r>
      <w:r w:rsidRPr="00EB650B">
        <w:rPr>
          <w:rFonts w:ascii="Arial" w:eastAsia="Times New Roman" w:hAnsi="Arial" w:cs="Arial"/>
          <w:iCs/>
          <w:sz w:val="20"/>
          <w:szCs w:val="20"/>
          <w:lang w:eastAsia="en-US"/>
        </w:rPr>
        <w:t>.000 kn</w:t>
      </w:r>
      <w:r w:rsidR="00B06653" w:rsidRPr="00EB650B">
        <w:rPr>
          <w:rFonts w:ascii="Arial" w:eastAsia="Times New Roman" w:hAnsi="Arial" w:cs="Arial"/>
          <w:iCs/>
          <w:sz w:val="20"/>
          <w:szCs w:val="20"/>
          <w:lang w:eastAsia="en-US"/>
        </w:rPr>
        <w:t>, od čega za izgradnju vatrogasnog doma 6.600.000 kn, a za nabavu vatrogasnog vozila i opreme 1.800.000 kn</w:t>
      </w:r>
      <w:r w:rsidRPr="00EB650B">
        <w:rPr>
          <w:rFonts w:ascii="Arial" w:eastAsia="Times New Roman" w:hAnsi="Arial" w:cs="Arial"/>
          <w:iCs/>
          <w:sz w:val="20"/>
          <w:szCs w:val="20"/>
          <w:lang w:eastAsia="en-US"/>
        </w:rPr>
        <w:t xml:space="preserve">. </w:t>
      </w:r>
      <w:r w:rsidR="00B06653" w:rsidRPr="00EB650B">
        <w:rPr>
          <w:rFonts w:ascii="Arial" w:eastAsia="Times New Roman" w:hAnsi="Arial" w:cs="Arial"/>
          <w:iCs/>
          <w:sz w:val="20"/>
          <w:szCs w:val="20"/>
          <w:lang w:eastAsia="en-US"/>
        </w:rPr>
        <w:t xml:space="preserve">Kredit se može koristiti do 31.12.2022. </w:t>
      </w:r>
      <w:r w:rsidRPr="00EB650B">
        <w:rPr>
          <w:rFonts w:ascii="Arial" w:eastAsia="Times New Roman" w:hAnsi="Arial" w:cs="Arial"/>
          <w:iCs/>
          <w:sz w:val="20"/>
          <w:szCs w:val="20"/>
          <w:lang w:eastAsia="en-US"/>
        </w:rPr>
        <w:t xml:space="preserve">Prvi obrok dospijeva </w:t>
      </w:r>
      <w:r w:rsidR="00B06653" w:rsidRPr="00EB650B">
        <w:rPr>
          <w:rFonts w:ascii="Arial" w:eastAsia="Times New Roman" w:hAnsi="Arial" w:cs="Arial"/>
          <w:b/>
          <w:iCs/>
          <w:sz w:val="20"/>
          <w:szCs w:val="20"/>
          <w:lang w:eastAsia="en-US"/>
        </w:rPr>
        <w:t>31</w:t>
      </w:r>
      <w:r w:rsidRPr="00EB650B">
        <w:rPr>
          <w:rFonts w:ascii="Arial" w:eastAsia="Times New Roman" w:hAnsi="Arial" w:cs="Arial"/>
          <w:b/>
          <w:iCs/>
          <w:sz w:val="20"/>
          <w:szCs w:val="20"/>
          <w:lang w:eastAsia="en-US"/>
        </w:rPr>
        <w:t xml:space="preserve">. </w:t>
      </w:r>
      <w:r w:rsidR="00B06653" w:rsidRPr="00EB650B">
        <w:rPr>
          <w:rFonts w:ascii="Arial" w:eastAsia="Times New Roman" w:hAnsi="Arial" w:cs="Arial"/>
          <w:b/>
          <w:iCs/>
          <w:sz w:val="20"/>
          <w:szCs w:val="20"/>
          <w:lang w:eastAsia="en-US"/>
        </w:rPr>
        <w:t>ožujka</w:t>
      </w:r>
      <w:r w:rsidRPr="00EB650B">
        <w:rPr>
          <w:rFonts w:ascii="Arial" w:eastAsia="Times New Roman" w:hAnsi="Arial" w:cs="Arial"/>
          <w:b/>
          <w:iCs/>
          <w:sz w:val="20"/>
          <w:szCs w:val="20"/>
          <w:lang w:eastAsia="en-US"/>
        </w:rPr>
        <w:t xml:space="preserve"> 202</w:t>
      </w:r>
      <w:r w:rsidR="00B06653" w:rsidRPr="00EB650B">
        <w:rPr>
          <w:rFonts w:ascii="Arial" w:eastAsia="Times New Roman" w:hAnsi="Arial" w:cs="Arial"/>
          <w:b/>
          <w:iCs/>
          <w:sz w:val="20"/>
          <w:szCs w:val="20"/>
          <w:lang w:eastAsia="en-US"/>
        </w:rPr>
        <w:t>5</w:t>
      </w:r>
      <w:r w:rsidRPr="00EB650B">
        <w:rPr>
          <w:rFonts w:ascii="Arial" w:eastAsia="Times New Roman" w:hAnsi="Arial" w:cs="Arial"/>
          <w:b/>
          <w:iCs/>
          <w:sz w:val="20"/>
          <w:szCs w:val="20"/>
          <w:lang w:eastAsia="en-US"/>
        </w:rPr>
        <w:t>.</w:t>
      </w:r>
      <w:r w:rsidRPr="00EB650B">
        <w:rPr>
          <w:rFonts w:ascii="Arial" w:eastAsia="Times New Roman" w:hAnsi="Arial" w:cs="Arial"/>
          <w:iCs/>
          <w:sz w:val="20"/>
          <w:szCs w:val="20"/>
          <w:lang w:eastAsia="en-US"/>
        </w:rPr>
        <w:t xml:space="preserve">, a posljednji </w:t>
      </w:r>
      <w:r w:rsidRPr="00EB650B">
        <w:rPr>
          <w:rFonts w:ascii="Arial" w:eastAsia="Times New Roman" w:hAnsi="Arial" w:cs="Arial"/>
          <w:b/>
          <w:iCs/>
          <w:sz w:val="20"/>
          <w:szCs w:val="20"/>
          <w:lang w:eastAsia="en-US"/>
        </w:rPr>
        <w:t>15. listopada 2022.</w:t>
      </w:r>
      <w:r w:rsidRPr="00EB650B">
        <w:rPr>
          <w:rFonts w:ascii="Arial" w:eastAsia="Times New Roman" w:hAnsi="Arial" w:cs="Arial"/>
          <w:iCs/>
          <w:sz w:val="20"/>
          <w:szCs w:val="20"/>
          <w:lang w:eastAsia="en-US"/>
        </w:rPr>
        <w:t xml:space="preserve"> godine Ugovorena je otplata u 12 jednakih tromjesečnih obroka glavnice i fiksnu kamatu 0,75% godišnje. Instrument osiguranja kredita je bjanko zadužnica. Zbog nedostatka proračunskih sredstava uvjetovanih pandemijom bolesti COVID 19, Općina je s poslovnom bankom dana 9. lipnja 2020. zaključila dodatak ugovoru kojim je utvrđena odgoda plaćanja rata glavnice kredita do 15.1.2021. te se obračun kamata i prvi obrok plaća</w:t>
      </w:r>
      <w:r w:rsidR="00DB2C0A" w:rsidRPr="00EB650B">
        <w:rPr>
          <w:rFonts w:ascii="Arial" w:eastAsia="Times New Roman" w:hAnsi="Arial" w:cs="Arial"/>
          <w:iCs/>
          <w:sz w:val="20"/>
          <w:szCs w:val="20"/>
          <w:lang w:eastAsia="en-US"/>
        </w:rPr>
        <w:t xml:space="preserve"> </w:t>
      </w:r>
      <w:r w:rsidRPr="00EB650B">
        <w:rPr>
          <w:rFonts w:ascii="Arial" w:eastAsia="Times New Roman" w:hAnsi="Arial" w:cs="Arial"/>
          <w:iCs/>
          <w:sz w:val="20"/>
          <w:szCs w:val="20"/>
          <w:lang w:eastAsia="en-US"/>
        </w:rPr>
        <w:t xml:space="preserve">15.4.2021. Kamatna stopa u razdoblju odgode plaćanja utvrđena je u visini redovne kamatne stope, ali će se naplata kamate izvršiti na dan utvrđene ponovne otplate glavnice kredita. </w:t>
      </w:r>
      <w:r w:rsidRPr="00EB650B">
        <w:rPr>
          <w:rFonts w:ascii="Arial" w:eastAsia="Times New Roman" w:hAnsi="Arial" w:cs="Arial"/>
          <w:b/>
          <w:iCs/>
          <w:sz w:val="20"/>
          <w:szCs w:val="20"/>
          <w:u w:val="single"/>
          <w:lang w:eastAsia="en-US"/>
        </w:rPr>
        <w:t xml:space="preserve">Posljednji obrok glavnice kredita dospijeva </w:t>
      </w:r>
      <w:r w:rsidR="00F40720" w:rsidRPr="00EB650B">
        <w:rPr>
          <w:rFonts w:ascii="Arial" w:eastAsia="Times New Roman" w:hAnsi="Arial" w:cs="Arial"/>
          <w:b/>
          <w:iCs/>
          <w:sz w:val="20"/>
          <w:szCs w:val="20"/>
          <w:u w:val="single"/>
          <w:lang w:eastAsia="en-US"/>
        </w:rPr>
        <w:t>31.12.</w:t>
      </w:r>
      <w:r w:rsidRPr="00EB650B">
        <w:rPr>
          <w:rFonts w:ascii="Arial" w:eastAsia="Times New Roman" w:hAnsi="Arial" w:cs="Arial"/>
          <w:b/>
          <w:iCs/>
          <w:sz w:val="20"/>
          <w:szCs w:val="20"/>
          <w:u w:val="single"/>
          <w:lang w:eastAsia="en-US"/>
        </w:rPr>
        <w:t>202</w:t>
      </w:r>
      <w:r w:rsidR="00F40720" w:rsidRPr="00EB650B">
        <w:rPr>
          <w:rFonts w:ascii="Arial" w:eastAsia="Times New Roman" w:hAnsi="Arial" w:cs="Arial"/>
          <w:b/>
          <w:iCs/>
          <w:sz w:val="20"/>
          <w:szCs w:val="20"/>
          <w:u w:val="single"/>
          <w:lang w:eastAsia="en-US"/>
        </w:rPr>
        <w:t>9</w:t>
      </w:r>
      <w:r w:rsidRPr="00EB650B">
        <w:rPr>
          <w:rFonts w:ascii="Arial" w:eastAsia="Times New Roman" w:hAnsi="Arial" w:cs="Arial"/>
          <w:b/>
          <w:iCs/>
          <w:sz w:val="20"/>
          <w:szCs w:val="20"/>
          <w:u w:val="single"/>
          <w:lang w:eastAsia="en-US"/>
        </w:rPr>
        <w:t>.</w:t>
      </w:r>
      <w:r w:rsidRPr="00EB650B">
        <w:rPr>
          <w:rFonts w:ascii="Arial" w:eastAsia="Times New Roman" w:hAnsi="Arial" w:cs="Arial"/>
          <w:iCs/>
          <w:sz w:val="20"/>
          <w:szCs w:val="20"/>
          <w:lang w:eastAsia="en-US"/>
        </w:rPr>
        <w:t xml:space="preserve"> </w:t>
      </w:r>
    </w:p>
    <w:p w14:paraId="3D97E141" w14:textId="77777777" w:rsidR="00F057D2" w:rsidRPr="00EB650B" w:rsidRDefault="00F057D2" w:rsidP="00F057D2">
      <w:pPr>
        <w:spacing w:after="0" w:line="240" w:lineRule="auto"/>
        <w:jc w:val="both"/>
        <w:rPr>
          <w:rFonts w:ascii="Arial" w:eastAsia="Times New Roman" w:hAnsi="Arial" w:cs="Arial"/>
          <w:iCs/>
          <w:sz w:val="20"/>
          <w:szCs w:val="20"/>
          <w:lang w:eastAsia="en-US"/>
        </w:rPr>
      </w:pPr>
    </w:p>
    <w:p w14:paraId="5A6EFB57" w14:textId="06F85E59" w:rsidR="00F057D2" w:rsidRPr="00EB650B" w:rsidRDefault="00F057D2" w:rsidP="00F057D2">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U 20</w:t>
      </w:r>
      <w:r w:rsidR="00827FDF" w:rsidRPr="00EB650B">
        <w:rPr>
          <w:rFonts w:ascii="Arial" w:eastAsia="Times New Roman" w:hAnsi="Arial" w:cs="Arial"/>
          <w:iCs/>
          <w:sz w:val="20"/>
          <w:szCs w:val="20"/>
          <w:lang w:eastAsia="en-US"/>
        </w:rPr>
        <w:t>22</w:t>
      </w:r>
      <w:r w:rsidRPr="00EB650B">
        <w:rPr>
          <w:rFonts w:ascii="Arial" w:eastAsia="Times New Roman" w:hAnsi="Arial" w:cs="Arial"/>
          <w:iCs/>
          <w:sz w:val="20"/>
          <w:szCs w:val="20"/>
          <w:lang w:eastAsia="en-US"/>
        </w:rPr>
        <w:t xml:space="preserve">. je plaćena </w:t>
      </w:r>
      <w:r w:rsidR="00827FDF" w:rsidRPr="00EB650B">
        <w:rPr>
          <w:rFonts w:ascii="Arial" w:eastAsia="Times New Roman" w:hAnsi="Arial" w:cs="Arial"/>
          <w:iCs/>
          <w:sz w:val="20"/>
          <w:szCs w:val="20"/>
          <w:lang w:eastAsia="en-US"/>
        </w:rPr>
        <w:t xml:space="preserve">naknada za </w:t>
      </w:r>
      <w:r w:rsidR="007F07A8" w:rsidRPr="00EB650B">
        <w:rPr>
          <w:rFonts w:ascii="Arial" w:eastAsia="Times New Roman" w:hAnsi="Arial" w:cs="Arial"/>
          <w:iCs/>
          <w:sz w:val="20"/>
          <w:szCs w:val="20"/>
          <w:lang w:eastAsia="en-US"/>
        </w:rPr>
        <w:t>obradu</w:t>
      </w:r>
      <w:r w:rsidR="00827FDF" w:rsidRPr="00EB650B">
        <w:rPr>
          <w:rFonts w:ascii="Arial" w:eastAsia="Times New Roman" w:hAnsi="Arial" w:cs="Arial"/>
          <w:iCs/>
          <w:sz w:val="20"/>
          <w:szCs w:val="20"/>
          <w:lang w:eastAsia="en-US"/>
        </w:rPr>
        <w:t xml:space="preserve"> kredita u iznosu</w:t>
      </w:r>
      <w:r w:rsidR="007F07A8" w:rsidRPr="00EB650B">
        <w:rPr>
          <w:rFonts w:ascii="Arial" w:eastAsia="Times New Roman" w:hAnsi="Arial" w:cs="Arial"/>
          <w:iCs/>
          <w:sz w:val="20"/>
          <w:szCs w:val="20"/>
          <w:lang w:eastAsia="en-US"/>
        </w:rPr>
        <w:t xml:space="preserve"> 16.800</w:t>
      </w:r>
      <w:r w:rsidR="009902E6" w:rsidRPr="00EB650B">
        <w:rPr>
          <w:rFonts w:ascii="Arial" w:eastAsia="Times New Roman" w:hAnsi="Arial" w:cs="Arial"/>
          <w:iCs/>
          <w:sz w:val="20"/>
          <w:szCs w:val="20"/>
          <w:lang w:eastAsia="en-US"/>
        </w:rPr>
        <w:t xml:space="preserve"> </w:t>
      </w:r>
      <w:r w:rsidRPr="00EB650B">
        <w:rPr>
          <w:rFonts w:ascii="Arial" w:eastAsia="Times New Roman" w:hAnsi="Arial" w:cs="Arial"/>
          <w:iCs/>
          <w:sz w:val="20"/>
          <w:szCs w:val="20"/>
          <w:lang w:eastAsia="en-US"/>
        </w:rPr>
        <w:t>kn</w:t>
      </w:r>
      <w:r w:rsidR="007F07A8" w:rsidRPr="00EB650B">
        <w:rPr>
          <w:rFonts w:ascii="Arial" w:eastAsia="Times New Roman" w:hAnsi="Arial" w:cs="Arial"/>
          <w:iCs/>
          <w:sz w:val="20"/>
          <w:szCs w:val="20"/>
          <w:lang w:eastAsia="en-US"/>
        </w:rPr>
        <w:t xml:space="preserve"> </w:t>
      </w:r>
      <w:r w:rsidR="00992310" w:rsidRPr="00EB650B">
        <w:rPr>
          <w:rFonts w:ascii="Arial" w:eastAsia="Times New Roman" w:hAnsi="Arial" w:cs="Arial"/>
          <w:iCs/>
          <w:sz w:val="20"/>
          <w:szCs w:val="20"/>
          <w:lang w:eastAsia="en-US"/>
        </w:rPr>
        <w:t xml:space="preserve">/ 2.229,74 € </w:t>
      </w:r>
      <w:r w:rsidR="007F07A8" w:rsidRPr="00EB650B">
        <w:rPr>
          <w:rFonts w:ascii="Arial" w:eastAsia="Times New Roman" w:hAnsi="Arial" w:cs="Arial"/>
          <w:iCs/>
          <w:sz w:val="20"/>
          <w:szCs w:val="20"/>
          <w:lang w:eastAsia="en-US"/>
        </w:rPr>
        <w:t>(0,2% jednokratno)</w:t>
      </w:r>
      <w:r w:rsidR="00DE73EE" w:rsidRPr="00EB650B">
        <w:rPr>
          <w:rFonts w:ascii="Arial" w:eastAsia="Times New Roman" w:hAnsi="Arial" w:cs="Arial"/>
          <w:iCs/>
          <w:sz w:val="20"/>
          <w:szCs w:val="20"/>
          <w:lang w:eastAsia="en-US"/>
        </w:rPr>
        <w:t>, te interkalarna kamata 35.926,75 kn</w:t>
      </w:r>
      <w:r w:rsidR="00992310" w:rsidRPr="00EB650B">
        <w:rPr>
          <w:rFonts w:ascii="Arial" w:eastAsia="Times New Roman" w:hAnsi="Arial" w:cs="Arial"/>
          <w:iCs/>
          <w:sz w:val="20"/>
          <w:szCs w:val="20"/>
          <w:lang w:eastAsia="en-US"/>
        </w:rPr>
        <w:t xml:space="preserve"> / 4.768,30 €</w:t>
      </w:r>
      <w:r w:rsidR="007F07A8" w:rsidRPr="00EB650B">
        <w:rPr>
          <w:rFonts w:ascii="Arial" w:eastAsia="Times New Roman" w:hAnsi="Arial" w:cs="Arial"/>
          <w:iCs/>
          <w:sz w:val="20"/>
          <w:szCs w:val="20"/>
          <w:lang w:eastAsia="en-US"/>
        </w:rPr>
        <w:t>.</w:t>
      </w:r>
      <w:r w:rsidR="005F28FE" w:rsidRPr="00EB650B">
        <w:rPr>
          <w:rFonts w:ascii="Arial" w:eastAsia="Times New Roman" w:hAnsi="Arial" w:cs="Arial"/>
          <w:iCs/>
          <w:sz w:val="20"/>
          <w:szCs w:val="20"/>
          <w:lang w:eastAsia="en-US"/>
        </w:rPr>
        <w:t xml:space="preserve"> </w:t>
      </w:r>
      <w:r w:rsidR="007F07A8" w:rsidRPr="00EB650B">
        <w:rPr>
          <w:rFonts w:ascii="Arial" w:eastAsia="Times New Roman" w:hAnsi="Arial" w:cs="Arial"/>
          <w:iCs/>
          <w:sz w:val="20"/>
          <w:szCs w:val="20"/>
          <w:lang w:eastAsia="en-US"/>
        </w:rPr>
        <w:t xml:space="preserve">Do konca 2022. iskorišten je kredit u </w:t>
      </w:r>
      <w:r w:rsidR="00DE73EE" w:rsidRPr="00EB650B">
        <w:rPr>
          <w:rFonts w:ascii="Arial" w:eastAsia="Times New Roman" w:hAnsi="Arial" w:cs="Arial"/>
          <w:iCs/>
          <w:sz w:val="20"/>
          <w:szCs w:val="20"/>
          <w:lang w:eastAsia="en-US"/>
        </w:rPr>
        <w:t>cijelosti</w:t>
      </w:r>
      <w:r w:rsidRPr="00EB650B">
        <w:rPr>
          <w:rFonts w:ascii="Arial" w:eastAsia="Times New Roman" w:hAnsi="Arial" w:cs="Arial"/>
          <w:iCs/>
          <w:sz w:val="20"/>
          <w:szCs w:val="20"/>
          <w:lang w:eastAsia="en-US"/>
        </w:rPr>
        <w:t xml:space="preserve">. </w:t>
      </w:r>
    </w:p>
    <w:p w14:paraId="5333FE47" w14:textId="77777777" w:rsidR="004A0779" w:rsidRPr="00EB650B" w:rsidRDefault="004A0779" w:rsidP="00F057D2">
      <w:pPr>
        <w:spacing w:after="0" w:line="240" w:lineRule="auto"/>
        <w:jc w:val="both"/>
        <w:rPr>
          <w:rFonts w:ascii="Arial" w:eastAsia="Times New Roman" w:hAnsi="Arial" w:cs="Arial"/>
          <w:iCs/>
          <w:sz w:val="20"/>
          <w:szCs w:val="20"/>
          <w:lang w:eastAsia="en-US"/>
        </w:rPr>
      </w:pPr>
    </w:p>
    <w:p w14:paraId="059CAF72" w14:textId="3299D959" w:rsidR="00510165" w:rsidRPr="00EB650B" w:rsidRDefault="00510165" w:rsidP="00F057D2">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U 2023. je plaćena redovna kamata u iznosu </w:t>
      </w:r>
      <w:r w:rsidR="009E3E72" w:rsidRPr="00EB650B">
        <w:rPr>
          <w:rFonts w:ascii="Arial" w:eastAsia="Times New Roman" w:hAnsi="Arial" w:cs="Arial"/>
          <w:iCs/>
          <w:sz w:val="20"/>
          <w:szCs w:val="20"/>
          <w:lang w:eastAsia="en-US"/>
        </w:rPr>
        <w:t>13.378,45</w:t>
      </w:r>
      <w:r w:rsidRPr="00EB650B">
        <w:rPr>
          <w:rFonts w:ascii="Arial" w:eastAsia="Times New Roman" w:hAnsi="Arial" w:cs="Arial"/>
          <w:iCs/>
          <w:sz w:val="20"/>
          <w:szCs w:val="20"/>
          <w:lang w:eastAsia="en-US"/>
        </w:rPr>
        <w:t xml:space="preserve"> €.</w:t>
      </w:r>
      <w:r w:rsidR="00DE2CF6" w:rsidRPr="00EB650B">
        <w:rPr>
          <w:rFonts w:ascii="Arial" w:eastAsia="Times New Roman" w:hAnsi="Arial" w:cs="Arial"/>
          <w:iCs/>
          <w:sz w:val="20"/>
          <w:szCs w:val="20"/>
          <w:lang w:eastAsia="en-US"/>
        </w:rPr>
        <w:t xml:space="preserve"> U 2024. je plaćena redovna kamata u iznosu </w:t>
      </w:r>
      <w:r w:rsidR="00CB4F90" w:rsidRPr="00EB650B">
        <w:rPr>
          <w:rFonts w:ascii="Arial" w:eastAsia="Times New Roman" w:hAnsi="Arial" w:cs="Arial"/>
          <w:iCs/>
          <w:sz w:val="20"/>
          <w:szCs w:val="20"/>
          <w:lang w:eastAsia="en-US"/>
        </w:rPr>
        <w:t>13.378,46</w:t>
      </w:r>
      <w:r w:rsidR="00DE2CF6" w:rsidRPr="00EB650B">
        <w:rPr>
          <w:rFonts w:ascii="Arial" w:eastAsia="Times New Roman" w:hAnsi="Arial" w:cs="Arial"/>
          <w:iCs/>
          <w:sz w:val="20"/>
          <w:szCs w:val="20"/>
          <w:lang w:eastAsia="en-US"/>
        </w:rPr>
        <w:t xml:space="preserve"> €.</w:t>
      </w:r>
    </w:p>
    <w:p w14:paraId="7593D5AB" w14:textId="77777777" w:rsidR="004A0779" w:rsidRPr="00EB650B" w:rsidRDefault="004A0779" w:rsidP="004A0779">
      <w:pPr>
        <w:spacing w:after="0" w:line="240" w:lineRule="auto"/>
        <w:jc w:val="both"/>
        <w:rPr>
          <w:rFonts w:ascii="Arial" w:hAnsi="Arial" w:cs="Arial"/>
          <w:noProof/>
          <w:sz w:val="20"/>
          <w:szCs w:val="20"/>
        </w:rPr>
      </w:pPr>
    </w:p>
    <w:p w14:paraId="2C0E80C4" w14:textId="7A683C0D" w:rsidR="004A0779" w:rsidRPr="00EB650B" w:rsidRDefault="004A0779" w:rsidP="004A0779">
      <w:pPr>
        <w:spacing w:after="0" w:line="240" w:lineRule="auto"/>
        <w:jc w:val="both"/>
        <w:rPr>
          <w:rFonts w:ascii="Arial" w:eastAsia="Times New Roman" w:hAnsi="Arial" w:cs="Arial"/>
          <w:iCs/>
          <w:sz w:val="20"/>
          <w:szCs w:val="20"/>
          <w:lang w:eastAsia="en-US"/>
        </w:rPr>
      </w:pPr>
      <w:r w:rsidRPr="00EB650B">
        <w:rPr>
          <w:rFonts w:ascii="Arial" w:hAnsi="Arial" w:cs="Arial"/>
          <w:noProof/>
          <w:sz w:val="20"/>
          <w:szCs w:val="20"/>
        </w:rPr>
        <w:t xml:space="preserve">Obveze za glavnicu kredita koncem 2024. godine </w:t>
      </w:r>
      <w:r w:rsidR="001128ED">
        <w:rPr>
          <w:rFonts w:ascii="Arial" w:hAnsi="Arial" w:cs="Arial"/>
          <w:noProof/>
          <w:sz w:val="20"/>
          <w:szCs w:val="20"/>
        </w:rPr>
        <w:t>su iznosile</w:t>
      </w:r>
      <w:r w:rsidRPr="00EB650B">
        <w:rPr>
          <w:rFonts w:ascii="Arial" w:hAnsi="Arial" w:cs="Arial"/>
          <w:noProof/>
          <w:sz w:val="20"/>
          <w:szCs w:val="20"/>
        </w:rPr>
        <w:t xml:space="preserve"> 1.114.871,59 €.</w:t>
      </w:r>
      <w:r w:rsidR="001128ED">
        <w:rPr>
          <w:rFonts w:ascii="Arial" w:hAnsi="Arial" w:cs="Arial"/>
          <w:noProof/>
          <w:sz w:val="20"/>
          <w:szCs w:val="20"/>
        </w:rPr>
        <w:t xml:space="preserve"> U 2025. je plaćena glavnica kredita u iznosu 111.487,16 € i kamate u iznosu 6.467,48 €, te obveze ga glavnicu kredita koncem lipnja 2025. iznose 1.003.384,43 €.</w:t>
      </w:r>
    </w:p>
    <w:p w14:paraId="436EA45D" w14:textId="77777777" w:rsidR="004A0779" w:rsidRPr="00F55637" w:rsidRDefault="004A0779" w:rsidP="004A0779">
      <w:pPr>
        <w:spacing w:after="0" w:line="240" w:lineRule="auto"/>
        <w:jc w:val="both"/>
        <w:rPr>
          <w:rFonts w:ascii="Arial" w:eastAsia="Times New Roman" w:hAnsi="Arial" w:cs="Arial"/>
          <w:iCs/>
          <w:sz w:val="14"/>
          <w:szCs w:val="14"/>
          <w:lang w:eastAsia="en-US"/>
        </w:rPr>
      </w:pPr>
    </w:p>
    <w:p w14:paraId="7D9D6A2A" w14:textId="7E3935C5" w:rsidR="009E425F" w:rsidRPr="00CB10A5" w:rsidRDefault="000C21B3" w:rsidP="009E425F">
      <w:pPr>
        <w:spacing w:after="0" w:line="240" w:lineRule="auto"/>
        <w:jc w:val="center"/>
        <w:rPr>
          <w:rFonts w:ascii="Arial" w:eastAsia="Times New Roman" w:hAnsi="Arial" w:cs="Arial"/>
          <w:b/>
          <w:iCs/>
          <w:lang w:eastAsia="en-US"/>
        </w:rPr>
      </w:pPr>
      <w:r w:rsidRPr="000C21B3">
        <w:rPr>
          <w:noProof/>
        </w:rPr>
        <w:lastRenderedPageBreak/>
        <w:drawing>
          <wp:inline distT="0" distB="0" distL="0" distR="0" wp14:anchorId="4EAD4502" wp14:editId="5633044F">
            <wp:extent cx="5842635" cy="2078355"/>
            <wp:effectExtent l="0" t="0" r="5715" b="0"/>
            <wp:docPr id="47629579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42635" cy="2078355"/>
                    </a:xfrm>
                    <a:prstGeom prst="rect">
                      <a:avLst/>
                    </a:prstGeom>
                    <a:noFill/>
                    <a:ln>
                      <a:noFill/>
                    </a:ln>
                  </pic:spPr>
                </pic:pic>
              </a:graphicData>
            </a:graphic>
          </wp:inline>
        </w:drawing>
      </w:r>
    </w:p>
    <w:p w14:paraId="61FD5161" w14:textId="77777777" w:rsidR="00CB4F90" w:rsidRPr="00F55637" w:rsidRDefault="00CB4F90" w:rsidP="009E425F">
      <w:pPr>
        <w:spacing w:after="0" w:line="240" w:lineRule="auto"/>
        <w:jc w:val="center"/>
        <w:rPr>
          <w:rFonts w:ascii="Arial" w:eastAsia="Times New Roman" w:hAnsi="Arial" w:cs="Arial"/>
          <w:b/>
          <w:iCs/>
          <w:sz w:val="14"/>
          <w:szCs w:val="14"/>
          <w:lang w:eastAsia="en-US"/>
        </w:rPr>
      </w:pPr>
    </w:p>
    <w:p w14:paraId="55C408CF" w14:textId="77777777" w:rsidR="009A57D3" w:rsidRPr="00AE65FB" w:rsidRDefault="009A57D3">
      <w:pPr>
        <w:pStyle w:val="Odlomakpopisa"/>
        <w:numPr>
          <w:ilvl w:val="0"/>
          <w:numId w:val="22"/>
        </w:numPr>
        <w:rPr>
          <w:rFonts w:ascii="Arial" w:hAnsi="Arial" w:cs="Arial"/>
          <w:b/>
          <w:iCs/>
        </w:rPr>
      </w:pPr>
      <w:r w:rsidRPr="00AE65FB">
        <w:rPr>
          <w:rFonts w:ascii="Arial" w:hAnsi="Arial" w:cs="Arial"/>
          <w:b/>
          <w:iCs/>
        </w:rPr>
        <w:t>Ugovor o dugoročnom kreditu – Povećanje učinkovitosti sustava javne rasvjete</w:t>
      </w:r>
    </w:p>
    <w:p w14:paraId="5C92D8A5" w14:textId="77777777" w:rsidR="009A57D3" w:rsidRPr="00AE65FB" w:rsidRDefault="009A57D3" w:rsidP="009A57D3">
      <w:pPr>
        <w:autoSpaceDE w:val="0"/>
        <w:autoSpaceDN w:val="0"/>
        <w:adjustRightInd w:val="0"/>
        <w:spacing w:after="0" w:line="240" w:lineRule="auto"/>
        <w:rPr>
          <w:noProof/>
        </w:rPr>
      </w:pPr>
    </w:p>
    <w:p w14:paraId="088E1DEB" w14:textId="1C608FB4" w:rsidR="009A57D3" w:rsidRPr="00EB650B" w:rsidRDefault="009A57D3" w:rsidP="009A57D3">
      <w:pPr>
        <w:spacing w:after="0" w:line="240" w:lineRule="auto"/>
        <w:ind w:firstLine="708"/>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Općinsko vijeće Općine Konavle je 6. lipnja 2022. donijelo odluku o zaduživanju kojom je odobrilo zaduživanje kod Hrvatske banke za obnovu i razvitak za potrebe predfinanciranja kapitalnog projekta modernizacije javne rasvjete – unapređenje energetske učinkovitosti sustava javne rasvjete na području Općine Konavle uzimanjem dugoročnog kredita u kunama u iznosu 8.900.000 kn (1.181.232,99 €)</w:t>
      </w:r>
      <w:r w:rsidR="003B7535" w:rsidRPr="00EB650B">
        <w:rPr>
          <w:rFonts w:ascii="Arial" w:eastAsia="Times New Roman" w:hAnsi="Arial" w:cs="Arial"/>
          <w:iCs/>
          <w:sz w:val="20"/>
          <w:szCs w:val="20"/>
          <w:lang w:eastAsia="en-US"/>
        </w:rPr>
        <w:t xml:space="preserve"> </w:t>
      </w:r>
      <w:r w:rsidRPr="00EB650B">
        <w:rPr>
          <w:rFonts w:ascii="Arial" w:eastAsia="Times New Roman" w:hAnsi="Arial" w:cs="Arial"/>
          <w:iCs/>
          <w:sz w:val="20"/>
          <w:szCs w:val="20"/>
          <w:lang w:eastAsia="en-US"/>
        </w:rPr>
        <w:t xml:space="preserve">uz redovnu fiksnu kamatnu stopu 0,5% godišnje, s rokom otplate od 7 godina uključujući pola godine počeka u tromjesečnim obrocima. Naknade za obradu kredita nema. Naknade za rezervaciju sredstava nema, a naknada za prijevremenu otplatu kredita (dio koji se ne odnosi na primljena sredstva EU fondova) se ne obračunava </w:t>
      </w:r>
    </w:p>
    <w:p w14:paraId="4F1E6A08" w14:textId="77777777" w:rsidR="009A57D3" w:rsidRPr="00EB650B" w:rsidRDefault="009A57D3" w:rsidP="009A57D3">
      <w:pPr>
        <w:spacing w:after="0" w:line="240" w:lineRule="auto"/>
        <w:jc w:val="both"/>
        <w:rPr>
          <w:rFonts w:ascii="Arial" w:eastAsia="Times New Roman" w:hAnsi="Arial" w:cs="Arial"/>
          <w:iCs/>
          <w:sz w:val="20"/>
          <w:szCs w:val="20"/>
          <w:lang w:eastAsia="en-US"/>
        </w:rPr>
      </w:pPr>
    </w:p>
    <w:p w14:paraId="5CD68E72" w14:textId="77777777" w:rsidR="009A57D3" w:rsidRPr="00EB650B" w:rsidRDefault="009A57D3" w:rsidP="009A57D3">
      <w:pPr>
        <w:spacing w:after="0" w:line="240" w:lineRule="auto"/>
        <w:ind w:firstLine="708"/>
        <w:jc w:val="both"/>
        <w:rPr>
          <w:rFonts w:ascii="Arial" w:eastAsia="Times New Roman" w:hAnsi="Arial" w:cs="Arial"/>
          <w:b/>
          <w:bCs/>
          <w:iCs/>
          <w:sz w:val="20"/>
          <w:szCs w:val="20"/>
          <w:lang w:eastAsia="en-US"/>
        </w:rPr>
      </w:pPr>
      <w:r w:rsidRPr="00EB650B">
        <w:rPr>
          <w:rFonts w:ascii="Arial" w:eastAsia="Times New Roman" w:hAnsi="Arial" w:cs="Arial"/>
          <w:iCs/>
          <w:sz w:val="20"/>
          <w:szCs w:val="20"/>
          <w:lang w:eastAsia="en-US"/>
        </w:rPr>
        <w:t xml:space="preserve">S obzirom da se radi o projektu povećanja energetske učinkovitosti zaduživanje ne povećava stupanj zaduženosti. </w:t>
      </w:r>
      <w:r w:rsidRPr="00EB650B">
        <w:rPr>
          <w:rFonts w:ascii="Arial" w:eastAsia="Times New Roman" w:hAnsi="Arial" w:cs="Arial"/>
          <w:b/>
          <w:bCs/>
          <w:iCs/>
          <w:sz w:val="20"/>
          <w:szCs w:val="20"/>
          <w:lang w:eastAsia="en-US"/>
        </w:rPr>
        <w:t xml:space="preserve">Vlada Republike Hrvatske je dana 25. kolovoza 2022. godine dala suglasnost za zaduživanje. </w:t>
      </w:r>
    </w:p>
    <w:p w14:paraId="2E238794" w14:textId="77777777" w:rsidR="009A57D3" w:rsidRPr="00EB650B" w:rsidRDefault="009A57D3" w:rsidP="009A57D3">
      <w:pPr>
        <w:spacing w:after="0" w:line="240" w:lineRule="auto"/>
        <w:jc w:val="both"/>
        <w:rPr>
          <w:rFonts w:ascii="Arial" w:eastAsia="Times New Roman" w:hAnsi="Arial" w:cs="Arial"/>
          <w:iCs/>
          <w:sz w:val="20"/>
          <w:szCs w:val="20"/>
          <w:lang w:eastAsia="en-US"/>
        </w:rPr>
      </w:pPr>
    </w:p>
    <w:p w14:paraId="43CA5428" w14:textId="39E1649C" w:rsidR="009A57D3" w:rsidRPr="00EB650B" w:rsidRDefault="009A57D3" w:rsidP="00DE2CF6">
      <w:pPr>
        <w:spacing w:after="0" w:line="240" w:lineRule="auto"/>
        <w:ind w:firstLine="708"/>
        <w:jc w:val="both"/>
        <w:rPr>
          <w:rFonts w:ascii="Arial" w:hAnsi="Arial" w:cs="Arial"/>
          <w:noProof/>
          <w:sz w:val="20"/>
          <w:szCs w:val="20"/>
        </w:rPr>
      </w:pPr>
      <w:r w:rsidRPr="00EB650B">
        <w:rPr>
          <w:rFonts w:ascii="Arial" w:eastAsia="Times New Roman" w:hAnsi="Arial" w:cs="Arial"/>
          <w:iCs/>
          <w:sz w:val="20"/>
          <w:szCs w:val="20"/>
          <w:lang w:eastAsia="en-US"/>
        </w:rPr>
        <w:t>Općina Konavle je 19.</w:t>
      </w:r>
      <w:r w:rsidR="00442443" w:rsidRPr="00EB650B">
        <w:rPr>
          <w:rFonts w:ascii="Arial" w:eastAsia="Times New Roman" w:hAnsi="Arial" w:cs="Arial"/>
          <w:iCs/>
          <w:sz w:val="20"/>
          <w:szCs w:val="20"/>
          <w:lang w:eastAsia="en-US"/>
        </w:rPr>
        <w:t>1</w:t>
      </w:r>
      <w:r w:rsidRPr="00EB650B">
        <w:rPr>
          <w:rFonts w:ascii="Arial" w:eastAsia="Times New Roman" w:hAnsi="Arial" w:cs="Arial"/>
          <w:iCs/>
          <w:sz w:val="20"/>
          <w:szCs w:val="20"/>
          <w:lang w:eastAsia="en-US"/>
        </w:rPr>
        <w:t>2.2022</w:t>
      </w:r>
      <w:r w:rsidR="00103D2E" w:rsidRPr="00EB650B">
        <w:rPr>
          <w:rFonts w:ascii="Arial" w:eastAsia="Times New Roman" w:hAnsi="Arial" w:cs="Arial"/>
          <w:iCs/>
          <w:sz w:val="20"/>
          <w:szCs w:val="20"/>
          <w:lang w:eastAsia="en-US"/>
        </w:rPr>
        <w:t>.</w:t>
      </w:r>
      <w:r w:rsidRPr="00EB650B">
        <w:rPr>
          <w:rFonts w:ascii="Arial" w:eastAsia="Times New Roman" w:hAnsi="Arial" w:cs="Arial"/>
          <w:iCs/>
          <w:sz w:val="20"/>
          <w:szCs w:val="20"/>
          <w:lang w:eastAsia="en-US"/>
        </w:rPr>
        <w:t xml:space="preserve"> zaključila ugovor o kreditu s bankom (HBOR) u iznosu 8.900.000 kn. </w:t>
      </w:r>
      <w:r w:rsidR="00DE2CF6" w:rsidRPr="00EB650B">
        <w:rPr>
          <w:rFonts w:ascii="Arial" w:eastAsia="Times New Roman" w:hAnsi="Arial" w:cs="Arial"/>
          <w:iCs/>
          <w:sz w:val="20"/>
          <w:szCs w:val="20"/>
          <w:lang w:eastAsia="en-US"/>
        </w:rPr>
        <w:t xml:space="preserve">Prema osnovnom ugovoru kredit se mogao </w:t>
      </w:r>
      <w:r w:rsidRPr="00EB650B">
        <w:rPr>
          <w:rFonts w:ascii="Arial" w:eastAsia="Times New Roman" w:hAnsi="Arial" w:cs="Arial"/>
          <w:iCs/>
          <w:sz w:val="20"/>
          <w:szCs w:val="20"/>
          <w:lang w:eastAsia="en-US"/>
        </w:rPr>
        <w:t>koristiti do 31.12.2023.</w:t>
      </w:r>
      <w:r w:rsidR="00DE2CF6" w:rsidRPr="00EB650B">
        <w:rPr>
          <w:rFonts w:ascii="Arial" w:eastAsia="Times New Roman" w:hAnsi="Arial" w:cs="Arial"/>
          <w:iCs/>
          <w:sz w:val="20"/>
          <w:szCs w:val="20"/>
          <w:lang w:eastAsia="en-US"/>
        </w:rPr>
        <w:t xml:space="preserve"> U prosincu 2023. godine je zaključen dodatak ugovoru kojim je utvrđeno korištenje predujma kredita. Naime, z</w:t>
      </w:r>
      <w:r w:rsidR="00445C79" w:rsidRPr="00EB650B">
        <w:rPr>
          <w:rFonts w:ascii="Arial" w:hAnsi="Arial" w:cs="Arial"/>
          <w:noProof/>
          <w:sz w:val="20"/>
          <w:szCs w:val="20"/>
        </w:rPr>
        <w:t>bog duljeg postupka javne nabave (</w:t>
      </w:r>
      <w:r w:rsidRPr="00EB650B">
        <w:rPr>
          <w:rFonts w:ascii="Arial" w:hAnsi="Arial" w:cs="Arial"/>
          <w:noProof/>
          <w:sz w:val="20"/>
          <w:szCs w:val="20"/>
        </w:rPr>
        <w:t>žalba odabranih ponuditelja i postup</w:t>
      </w:r>
      <w:r w:rsidR="00445C79" w:rsidRPr="00EB650B">
        <w:rPr>
          <w:rFonts w:ascii="Arial" w:hAnsi="Arial" w:cs="Arial"/>
          <w:noProof/>
          <w:sz w:val="20"/>
          <w:szCs w:val="20"/>
        </w:rPr>
        <w:t>a</w:t>
      </w:r>
      <w:r w:rsidRPr="00EB650B">
        <w:rPr>
          <w:rFonts w:ascii="Arial" w:hAnsi="Arial" w:cs="Arial"/>
          <w:noProof/>
          <w:sz w:val="20"/>
          <w:szCs w:val="20"/>
        </w:rPr>
        <w:t>k rješava</w:t>
      </w:r>
      <w:r w:rsidR="00445C79" w:rsidRPr="00EB650B">
        <w:rPr>
          <w:rFonts w:ascii="Arial" w:hAnsi="Arial" w:cs="Arial"/>
          <w:noProof/>
          <w:sz w:val="20"/>
          <w:szCs w:val="20"/>
        </w:rPr>
        <w:t>la</w:t>
      </w:r>
      <w:r w:rsidRPr="00EB650B">
        <w:rPr>
          <w:rFonts w:ascii="Arial" w:hAnsi="Arial" w:cs="Arial"/>
          <w:noProof/>
          <w:sz w:val="20"/>
          <w:szCs w:val="20"/>
        </w:rPr>
        <w:t xml:space="preserve"> Komisija za kontrolu postupaka javne nabave), </w:t>
      </w:r>
      <w:r w:rsidR="00445C79" w:rsidRPr="00EB650B">
        <w:rPr>
          <w:rFonts w:ascii="Arial" w:hAnsi="Arial" w:cs="Arial"/>
          <w:noProof/>
          <w:sz w:val="20"/>
          <w:szCs w:val="20"/>
        </w:rPr>
        <w:t xml:space="preserve">koncem godine </w:t>
      </w:r>
      <w:r w:rsidR="00D537C9" w:rsidRPr="00EB650B">
        <w:rPr>
          <w:rFonts w:ascii="Arial" w:hAnsi="Arial" w:cs="Arial"/>
          <w:noProof/>
          <w:sz w:val="20"/>
          <w:szCs w:val="20"/>
        </w:rPr>
        <w:t>isplaćen je predujam kredita u iznosu 850.000 €</w:t>
      </w:r>
      <w:r w:rsidRPr="00EB650B">
        <w:rPr>
          <w:rFonts w:ascii="Arial" w:hAnsi="Arial" w:cs="Arial"/>
          <w:noProof/>
          <w:sz w:val="20"/>
          <w:szCs w:val="20"/>
        </w:rPr>
        <w:t>.</w:t>
      </w:r>
      <w:r w:rsidR="00D537C9" w:rsidRPr="00EB650B">
        <w:rPr>
          <w:rFonts w:ascii="Arial" w:hAnsi="Arial" w:cs="Arial"/>
          <w:noProof/>
          <w:sz w:val="20"/>
          <w:szCs w:val="20"/>
        </w:rPr>
        <w:t xml:space="preserve"> </w:t>
      </w:r>
    </w:p>
    <w:p w14:paraId="27E6915B" w14:textId="77777777" w:rsidR="00AC7A4D" w:rsidRPr="00EB650B" w:rsidRDefault="00AC7A4D" w:rsidP="00DE2CF6">
      <w:pPr>
        <w:spacing w:after="0" w:line="240" w:lineRule="auto"/>
        <w:ind w:firstLine="708"/>
        <w:jc w:val="both"/>
        <w:rPr>
          <w:rFonts w:ascii="Arial" w:hAnsi="Arial" w:cs="Arial"/>
          <w:noProof/>
          <w:sz w:val="20"/>
          <w:szCs w:val="20"/>
        </w:rPr>
      </w:pPr>
    </w:p>
    <w:p w14:paraId="6DE6DF89" w14:textId="3D9044C3" w:rsidR="009A57D3" w:rsidRDefault="00AC7A4D" w:rsidP="00AC7A4D">
      <w:pPr>
        <w:spacing w:after="0" w:line="240" w:lineRule="auto"/>
        <w:ind w:firstLine="708"/>
        <w:jc w:val="both"/>
        <w:rPr>
          <w:rFonts w:ascii="Arial" w:hAnsi="Arial" w:cs="Arial"/>
          <w:noProof/>
          <w:sz w:val="20"/>
          <w:szCs w:val="20"/>
        </w:rPr>
      </w:pPr>
      <w:r w:rsidRPr="00EB650B">
        <w:rPr>
          <w:rFonts w:ascii="Arial" w:hAnsi="Arial" w:cs="Arial"/>
          <w:noProof/>
          <w:sz w:val="20"/>
          <w:szCs w:val="20"/>
        </w:rPr>
        <w:t xml:space="preserve">U 2024. godine iskorišten je i opravdan predujam u iznosu 647.940,92 €, a u srpnju 2024. je vraćen dio neiskorištenog kredita u iznosu 202.059,08 €. </w:t>
      </w:r>
      <w:r w:rsidRPr="00EB650B">
        <w:rPr>
          <w:rFonts w:ascii="Arial" w:eastAsia="Times New Roman" w:hAnsi="Arial" w:cs="Arial"/>
          <w:iCs/>
          <w:sz w:val="20"/>
          <w:szCs w:val="20"/>
          <w:lang w:eastAsia="en-US"/>
        </w:rPr>
        <w:t xml:space="preserve">U 2024. godine su plaćene redovne kamate u iznosu </w:t>
      </w:r>
      <w:r w:rsidR="004A0779" w:rsidRPr="00EB650B">
        <w:rPr>
          <w:rFonts w:ascii="Arial" w:eastAsia="Times New Roman" w:hAnsi="Arial" w:cs="Arial"/>
          <w:iCs/>
          <w:sz w:val="20"/>
          <w:szCs w:val="20"/>
          <w:lang w:eastAsia="en-US"/>
        </w:rPr>
        <w:t>3.777,01</w:t>
      </w:r>
      <w:r w:rsidRPr="00EB650B">
        <w:rPr>
          <w:rFonts w:ascii="Arial" w:eastAsia="Times New Roman" w:hAnsi="Arial" w:cs="Arial"/>
          <w:iCs/>
          <w:sz w:val="20"/>
          <w:szCs w:val="20"/>
          <w:lang w:eastAsia="en-US"/>
        </w:rPr>
        <w:t xml:space="preserve"> €.</w:t>
      </w:r>
      <w:r w:rsidR="00190CB5" w:rsidRPr="00EB650B">
        <w:rPr>
          <w:rFonts w:ascii="Arial" w:hAnsi="Arial" w:cs="Arial"/>
          <w:noProof/>
          <w:sz w:val="20"/>
          <w:szCs w:val="20"/>
        </w:rPr>
        <w:t xml:space="preserve"> </w:t>
      </w:r>
      <w:r w:rsidR="004A0779" w:rsidRPr="00EB650B">
        <w:rPr>
          <w:rFonts w:ascii="Arial" w:hAnsi="Arial" w:cs="Arial"/>
          <w:noProof/>
          <w:sz w:val="20"/>
          <w:szCs w:val="20"/>
        </w:rPr>
        <w:t xml:space="preserve">Do konca godine plaćena je glavnica kredita u iznosu 17.744,61 €, odnosno sveukupno s neiskorištenim predujmom vraćena je glavnica u iznosu 251.900,68 €. Obveze za glavnicu kredita koncem 2024. godine </w:t>
      </w:r>
      <w:r w:rsidR="000C21B3">
        <w:rPr>
          <w:rFonts w:ascii="Arial" w:hAnsi="Arial" w:cs="Arial"/>
          <w:noProof/>
          <w:sz w:val="20"/>
          <w:szCs w:val="20"/>
        </w:rPr>
        <w:t>su iznosile</w:t>
      </w:r>
      <w:r w:rsidR="004A0779" w:rsidRPr="00EB650B">
        <w:rPr>
          <w:rFonts w:ascii="Arial" w:hAnsi="Arial" w:cs="Arial"/>
          <w:noProof/>
          <w:sz w:val="20"/>
          <w:szCs w:val="20"/>
        </w:rPr>
        <w:t xml:space="preserve"> 598.099,32 €.</w:t>
      </w:r>
    </w:p>
    <w:p w14:paraId="3B0B3B4C" w14:textId="77777777" w:rsidR="000C21B3" w:rsidRDefault="000C21B3" w:rsidP="000C21B3">
      <w:pPr>
        <w:spacing w:after="0" w:line="240" w:lineRule="auto"/>
        <w:jc w:val="both"/>
        <w:rPr>
          <w:rFonts w:ascii="Arial" w:hAnsi="Arial" w:cs="Arial"/>
          <w:noProof/>
          <w:sz w:val="20"/>
          <w:szCs w:val="20"/>
        </w:rPr>
      </w:pPr>
    </w:p>
    <w:p w14:paraId="1028CA9E" w14:textId="5D00BA7C" w:rsidR="000C21B3" w:rsidRPr="00EB650B" w:rsidRDefault="000C21B3" w:rsidP="000C21B3">
      <w:pPr>
        <w:spacing w:after="0" w:line="240" w:lineRule="auto"/>
        <w:ind w:firstLine="708"/>
        <w:jc w:val="both"/>
        <w:rPr>
          <w:rFonts w:ascii="Arial" w:eastAsia="Times New Roman" w:hAnsi="Arial" w:cs="Arial"/>
          <w:iCs/>
          <w:sz w:val="20"/>
          <w:szCs w:val="20"/>
          <w:lang w:eastAsia="en-US"/>
        </w:rPr>
      </w:pPr>
      <w:r>
        <w:rPr>
          <w:rFonts w:ascii="Arial" w:hAnsi="Arial" w:cs="Arial"/>
          <w:noProof/>
          <w:sz w:val="20"/>
          <w:szCs w:val="20"/>
        </w:rPr>
        <w:t xml:space="preserve">U 2025. je plaćena glavnica kredita u iznosu 49.841,60 € i kamate u iznosu 1.451,89 €, te obveze </w:t>
      </w:r>
      <w:r w:rsidR="00CB10A5">
        <w:rPr>
          <w:rFonts w:ascii="Arial" w:hAnsi="Arial" w:cs="Arial"/>
          <w:noProof/>
          <w:sz w:val="20"/>
          <w:szCs w:val="20"/>
        </w:rPr>
        <w:t>z</w:t>
      </w:r>
      <w:r>
        <w:rPr>
          <w:rFonts w:ascii="Arial" w:hAnsi="Arial" w:cs="Arial"/>
          <w:noProof/>
          <w:sz w:val="20"/>
          <w:szCs w:val="20"/>
        </w:rPr>
        <w:t>a glavnicu kredita koncem lipnja 2025. iznose 548.257,72 €.</w:t>
      </w:r>
    </w:p>
    <w:p w14:paraId="07F1DA1B" w14:textId="77777777" w:rsidR="000C21B3" w:rsidRPr="00F55637" w:rsidRDefault="000C21B3" w:rsidP="000C21B3">
      <w:pPr>
        <w:spacing w:after="0" w:line="240" w:lineRule="auto"/>
        <w:jc w:val="both"/>
        <w:rPr>
          <w:rFonts w:ascii="Arial" w:eastAsia="Times New Roman" w:hAnsi="Arial" w:cs="Arial"/>
          <w:iCs/>
          <w:sz w:val="14"/>
          <w:szCs w:val="14"/>
          <w:lang w:eastAsia="en-US"/>
        </w:rPr>
      </w:pPr>
    </w:p>
    <w:p w14:paraId="6D19C1B2" w14:textId="77777777" w:rsidR="000C21B3" w:rsidRDefault="000C21B3" w:rsidP="00AC7A4D">
      <w:pPr>
        <w:spacing w:after="0" w:line="240" w:lineRule="auto"/>
        <w:ind w:firstLine="708"/>
        <w:jc w:val="both"/>
        <w:rPr>
          <w:rFonts w:ascii="Arial" w:hAnsi="Arial" w:cs="Arial"/>
          <w:noProof/>
          <w:sz w:val="20"/>
          <w:szCs w:val="20"/>
        </w:rPr>
      </w:pPr>
    </w:p>
    <w:p w14:paraId="5FF5E2DF" w14:textId="77777777" w:rsidR="00F55637" w:rsidRPr="00F55637" w:rsidRDefault="00F55637" w:rsidP="00AC7A4D">
      <w:pPr>
        <w:spacing w:after="0" w:line="240" w:lineRule="auto"/>
        <w:ind w:firstLine="708"/>
        <w:jc w:val="both"/>
        <w:rPr>
          <w:rFonts w:ascii="Arial" w:eastAsia="Times New Roman" w:hAnsi="Arial" w:cs="Arial"/>
          <w:iCs/>
          <w:sz w:val="14"/>
          <w:szCs w:val="14"/>
          <w:lang w:eastAsia="en-US"/>
        </w:rPr>
      </w:pPr>
    </w:p>
    <w:p w14:paraId="3BDAC8C4" w14:textId="7114C9EE" w:rsidR="00103D2E" w:rsidRDefault="000C21B3" w:rsidP="004A0779">
      <w:pPr>
        <w:spacing w:after="0" w:line="240" w:lineRule="auto"/>
        <w:jc w:val="center"/>
        <w:rPr>
          <w:rFonts w:ascii="Arial" w:eastAsia="Times New Roman" w:hAnsi="Arial" w:cs="Arial"/>
          <w:iCs/>
          <w:lang w:eastAsia="en-US"/>
        </w:rPr>
      </w:pPr>
      <w:r w:rsidRPr="000C21B3">
        <w:rPr>
          <w:noProof/>
        </w:rPr>
        <w:lastRenderedPageBreak/>
        <w:drawing>
          <wp:inline distT="0" distB="0" distL="0" distR="0" wp14:anchorId="5FA5E656" wp14:editId="6EAB386F">
            <wp:extent cx="5367647" cy="1756547"/>
            <wp:effectExtent l="0" t="0" r="5080" b="0"/>
            <wp:docPr id="103643191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71784" cy="1757901"/>
                    </a:xfrm>
                    <a:prstGeom prst="rect">
                      <a:avLst/>
                    </a:prstGeom>
                    <a:noFill/>
                    <a:ln>
                      <a:noFill/>
                    </a:ln>
                  </pic:spPr>
                </pic:pic>
              </a:graphicData>
            </a:graphic>
          </wp:inline>
        </w:drawing>
      </w:r>
    </w:p>
    <w:p w14:paraId="5A60BBCF" w14:textId="77777777" w:rsidR="00F55637" w:rsidRDefault="00F55637" w:rsidP="004A0779">
      <w:pPr>
        <w:spacing w:after="0" w:line="240" w:lineRule="auto"/>
        <w:jc w:val="center"/>
        <w:rPr>
          <w:rFonts w:ascii="Arial" w:eastAsia="Times New Roman" w:hAnsi="Arial" w:cs="Arial"/>
          <w:iCs/>
          <w:lang w:eastAsia="en-US"/>
        </w:rPr>
      </w:pPr>
    </w:p>
    <w:p w14:paraId="57103387" w14:textId="643B3611" w:rsidR="00D843C5" w:rsidRPr="003A2F86" w:rsidRDefault="00892B2C" w:rsidP="004C330F">
      <w:pPr>
        <w:pStyle w:val="Opisslike"/>
        <w:keepNext/>
        <w:jc w:val="both"/>
        <w:rPr>
          <w:rFonts w:ascii="Arial" w:hAnsi="Arial" w:cs="Arial"/>
          <w:bCs w:val="0"/>
          <w:iCs/>
        </w:rPr>
      </w:pPr>
      <w:bookmarkStart w:id="381" w:name="_Toc207706991"/>
      <w:r w:rsidRPr="003A2F86">
        <w:rPr>
          <w:color w:val="FF0000"/>
        </w:rPr>
        <w:t xml:space="preserve">Tablica </w:t>
      </w:r>
      <w:r w:rsidR="002A3DE2" w:rsidRPr="003A2F86">
        <w:rPr>
          <w:color w:val="FF0000"/>
        </w:rPr>
        <w:fldChar w:fldCharType="begin"/>
      </w:r>
      <w:r w:rsidR="002A3DE2" w:rsidRPr="003A2F86">
        <w:rPr>
          <w:color w:val="FF0000"/>
        </w:rPr>
        <w:instrText xml:space="preserve"> SEQ Tablica \* ARABIC </w:instrText>
      </w:r>
      <w:r w:rsidR="002A3DE2" w:rsidRPr="003A2F86">
        <w:rPr>
          <w:color w:val="FF0000"/>
        </w:rPr>
        <w:fldChar w:fldCharType="separate"/>
      </w:r>
      <w:r w:rsidR="00910987">
        <w:rPr>
          <w:noProof/>
          <w:color w:val="FF0000"/>
        </w:rPr>
        <w:t>27</w:t>
      </w:r>
      <w:r w:rsidR="002A3DE2" w:rsidRPr="003A2F86">
        <w:rPr>
          <w:color w:val="FF0000"/>
        </w:rPr>
        <w:fldChar w:fldCharType="end"/>
      </w:r>
      <w:r w:rsidR="004C330F" w:rsidRPr="003A2F86">
        <w:rPr>
          <w:color w:val="FF0000"/>
        </w:rPr>
        <w:t>.</w:t>
      </w:r>
      <w:r w:rsidR="004C330F" w:rsidRPr="003A2F86">
        <w:rPr>
          <w:color w:val="7030A0"/>
        </w:rPr>
        <w:t>:</w:t>
      </w:r>
      <w:r w:rsidR="00D843C5" w:rsidRPr="003A2F86">
        <w:rPr>
          <w:rFonts w:ascii="Arial" w:hAnsi="Arial" w:cs="Arial"/>
          <w:b w:val="0"/>
          <w:bCs w:val="0"/>
          <w:iCs/>
          <w:color w:val="7030A0"/>
        </w:rPr>
        <w:t xml:space="preserve"> </w:t>
      </w:r>
      <w:r w:rsidR="00D843C5" w:rsidRPr="003A2F86">
        <w:rPr>
          <w:rFonts w:ascii="Arial" w:hAnsi="Arial" w:cs="Arial"/>
          <w:bCs w:val="0"/>
          <w:iCs/>
        </w:rPr>
        <w:t>Pregled obveza</w:t>
      </w:r>
      <w:r w:rsidR="00FE08E6" w:rsidRPr="003A2F86">
        <w:rPr>
          <w:rFonts w:ascii="Arial" w:hAnsi="Arial" w:cs="Arial"/>
          <w:bCs w:val="0"/>
          <w:iCs/>
        </w:rPr>
        <w:t xml:space="preserve"> po primljenim kreditima</w:t>
      </w:r>
      <w:r w:rsidR="006C5137" w:rsidRPr="003A2F86">
        <w:rPr>
          <w:rFonts w:ascii="Arial" w:hAnsi="Arial" w:cs="Arial"/>
          <w:bCs w:val="0"/>
          <w:iCs/>
        </w:rPr>
        <w:t xml:space="preserve"> od financijskih institucija</w:t>
      </w:r>
      <w:bookmarkEnd w:id="381"/>
    </w:p>
    <w:p w14:paraId="07D1948F" w14:textId="77777777" w:rsidR="00F21318" w:rsidRDefault="00F21318" w:rsidP="000827C9">
      <w:pPr>
        <w:autoSpaceDE w:val="0"/>
        <w:autoSpaceDN w:val="0"/>
        <w:adjustRightInd w:val="0"/>
        <w:spacing w:after="0" w:line="240" w:lineRule="auto"/>
        <w:jc w:val="center"/>
      </w:pPr>
    </w:p>
    <w:p w14:paraId="1971CA2C" w14:textId="117670C9" w:rsidR="003D18D4" w:rsidRPr="003A2F86" w:rsidRDefault="00F21318" w:rsidP="000827C9">
      <w:pPr>
        <w:autoSpaceDE w:val="0"/>
        <w:autoSpaceDN w:val="0"/>
        <w:adjustRightInd w:val="0"/>
        <w:spacing w:after="0" w:line="240" w:lineRule="auto"/>
        <w:jc w:val="center"/>
        <w:rPr>
          <w:rFonts w:ascii="Arial" w:eastAsia="Times New Roman" w:hAnsi="Arial" w:cs="Arial"/>
        </w:rPr>
      </w:pPr>
      <w:r w:rsidRPr="00F21318">
        <w:rPr>
          <w:noProof/>
        </w:rPr>
        <w:drawing>
          <wp:inline distT="0" distB="0" distL="0" distR="0" wp14:anchorId="61900370" wp14:editId="5A83E85F">
            <wp:extent cx="6210795" cy="3712759"/>
            <wp:effectExtent l="0" t="0" r="0" b="2540"/>
            <wp:docPr id="74960301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14492" cy="3714969"/>
                    </a:xfrm>
                    <a:prstGeom prst="rect">
                      <a:avLst/>
                    </a:prstGeom>
                    <a:noFill/>
                    <a:ln>
                      <a:noFill/>
                    </a:ln>
                  </pic:spPr>
                </pic:pic>
              </a:graphicData>
            </a:graphic>
          </wp:inline>
        </w:drawing>
      </w:r>
    </w:p>
    <w:p w14:paraId="51D10BB8" w14:textId="77777777" w:rsidR="003D18D4" w:rsidRPr="003A2F86" w:rsidRDefault="003D18D4" w:rsidP="00D843C5">
      <w:pPr>
        <w:autoSpaceDE w:val="0"/>
        <w:autoSpaceDN w:val="0"/>
        <w:adjustRightInd w:val="0"/>
        <w:spacing w:after="0" w:line="240" w:lineRule="auto"/>
        <w:jc w:val="both"/>
        <w:rPr>
          <w:rFonts w:ascii="Arial" w:eastAsia="Times New Roman" w:hAnsi="Arial" w:cs="Arial"/>
        </w:rPr>
      </w:pPr>
    </w:p>
    <w:p w14:paraId="6E42C504" w14:textId="6D35D741" w:rsidR="00FE08E6" w:rsidRPr="003A2F86" w:rsidRDefault="004C330F" w:rsidP="004C330F">
      <w:pPr>
        <w:pStyle w:val="Opisslike"/>
        <w:keepNext/>
        <w:jc w:val="both"/>
      </w:pPr>
      <w:bookmarkStart w:id="382" w:name="_Toc207706992"/>
      <w:r w:rsidRPr="003A2F86">
        <w:rPr>
          <w:color w:val="FF0000"/>
        </w:rPr>
        <w:t xml:space="preserve">Tablica </w:t>
      </w:r>
      <w:r w:rsidR="002A3DE2" w:rsidRPr="003A2F86">
        <w:rPr>
          <w:color w:val="FF0000"/>
        </w:rPr>
        <w:fldChar w:fldCharType="begin"/>
      </w:r>
      <w:r w:rsidR="002A3DE2" w:rsidRPr="003A2F86">
        <w:rPr>
          <w:color w:val="FF0000"/>
        </w:rPr>
        <w:instrText xml:space="preserve"> SEQ Tablica \* ARABIC </w:instrText>
      </w:r>
      <w:r w:rsidR="002A3DE2" w:rsidRPr="003A2F86">
        <w:rPr>
          <w:color w:val="FF0000"/>
        </w:rPr>
        <w:fldChar w:fldCharType="separate"/>
      </w:r>
      <w:r w:rsidR="00910987">
        <w:rPr>
          <w:noProof/>
          <w:color w:val="FF0000"/>
        </w:rPr>
        <w:t>28</w:t>
      </w:r>
      <w:r w:rsidR="002A3DE2" w:rsidRPr="003A2F86">
        <w:rPr>
          <w:color w:val="FF0000"/>
        </w:rPr>
        <w:fldChar w:fldCharType="end"/>
      </w:r>
      <w:r w:rsidRPr="003A2F86">
        <w:rPr>
          <w:color w:val="FF0000"/>
        </w:rPr>
        <w:t>.</w:t>
      </w:r>
      <w:r w:rsidRPr="003A2F86">
        <w:t xml:space="preserve">: </w:t>
      </w:r>
      <w:bookmarkStart w:id="383" w:name="_Hlk146004608"/>
      <w:r w:rsidR="00266CFE" w:rsidRPr="003A2F86">
        <w:rPr>
          <w:rFonts w:ascii="Arial" w:hAnsi="Arial" w:cs="Arial"/>
          <w:bCs w:val="0"/>
          <w:iCs/>
        </w:rPr>
        <w:t>Pregled stanja obveza za kredite od financijskih institucija i iznosa otplata kredita u tekućoj i narednim godinama</w:t>
      </w:r>
      <w:bookmarkEnd w:id="382"/>
    </w:p>
    <w:p w14:paraId="128D2484" w14:textId="6CCECD06" w:rsidR="003E7689" w:rsidRPr="003A2F86" w:rsidRDefault="003E7689" w:rsidP="00D3373C">
      <w:pPr>
        <w:spacing w:after="0" w:line="240" w:lineRule="auto"/>
        <w:jc w:val="center"/>
        <w:rPr>
          <w:rFonts w:ascii="Arial" w:eastAsia="Times New Roman" w:hAnsi="Arial" w:cs="Arial"/>
          <w:bCs/>
          <w:iCs/>
          <w:sz w:val="10"/>
          <w:szCs w:val="10"/>
          <w:lang w:eastAsia="en-US"/>
        </w:rPr>
      </w:pPr>
    </w:p>
    <w:p w14:paraId="3F3A9EA4" w14:textId="531EF4DF" w:rsidR="00401B71" w:rsidRPr="003A2F86" w:rsidRDefault="0012128A" w:rsidP="00D523A8">
      <w:pPr>
        <w:autoSpaceDE w:val="0"/>
        <w:autoSpaceDN w:val="0"/>
        <w:adjustRightInd w:val="0"/>
        <w:spacing w:after="0" w:line="240" w:lineRule="auto"/>
        <w:jc w:val="center"/>
        <w:rPr>
          <w:noProof/>
        </w:rPr>
      </w:pPr>
      <w:r>
        <w:rPr>
          <w:noProof/>
        </w:rPr>
        <w:drawing>
          <wp:inline distT="0" distB="0" distL="0" distR="0" wp14:anchorId="2FF381AC" wp14:editId="06899FD9">
            <wp:extent cx="4668921" cy="2243470"/>
            <wp:effectExtent l="0" t="0" r="0" b="4445"/>
            <wp:docPr id="6235474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6">
                      <a:extLst>
                        <a:ext uri="{28A0092B-C50C-407E-A947-70E740481C1C}">
                          <a14:useLocalDpi xmlns:a14="http://schemas.microsoft.com/office/drawing/2010/main" val="0"/>
                        </a:ext>
                      </a:extLst>
                    </a:blip>
                    <a:srcRect b="55332"/>
                    <a:stretch/>
                  </pic:blipFill>
                  <pic:spPr bwMode="auto">
                    <a:xfrm>
                      <a:off x="0" y="0"/>
                      <a:ext cx="4669790" cy="2243887"/>
                    </a:xfrm>
                    <a:prstGeom prst="rect">
                      <a:avLst/>
                    </a:prstGeom>
                    <a:noFill/>
                    <a:ln>
                      <a:noFill/>
                    </a:ln>
                    <a:extLst>
                      <a:ext uri="{53640926-AAD7-44D8-BBD7-CCE9431645EC}">
                        <a14:shadowObscured xmlns:a14="http://schemas.microsoft.com/office/drawing/2010/main"/>
                      </a:ext>
                    </a:extLst>
                  </pic:spPr>
                </pic:pic>
              </a:graphicData>
            </a:graphic>
          </wp:inline>
        </w:drawing>
      </w:r>
    </w:p>
    <w:p w14:paraId="6D173EE9" w14:textId="7E213D83" w:rsidR="00D523A8" w:rsidRPr="003A2F86" w:rsidRDefault="00F21318" w:rsidP="00F21318">
      <w:pPr>
        <w:autoSpaceDE w:val="0"/>
        <w:autoSpaceDN w:val="0"/>
        <w:adjustRightInd w:val="0"/>
        <w:spacing w:after="0" w:line="240" w:lineRule="auto"/>
        <w:jc w:val="center"/>
        <w:rPr>
          <w:noProof/>
        </w:rPr>
      </w:pPr>
      <w:r w:rsidRPr="00F21318">
        <w:rPr>
          <w:noProof/>
        </w:rPr>
        <w:drawing>
          <wp:inline distT="0" distB="0" distL="0" distR="0" wp14:anchorId="78834FFD" wp14:editId="241D1EFA">
            <wp:extent cx="4666615" cy="2096218"/>
            <wp:effectExtent l="0" t="0" r="635" b="0"/>
            <wp:docPr id="35478466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7">
                      <a:extLst>
                        <a:ext uri="{28A0092B-C50C-407E-A947-70E740481C1C}">
                          <a14:useLocalDpi xmlns:a14="http://schemas.microsoft.com/office/drawing/2010/main" val="0"/>
                        </a:ext>
                      </a:extLst>
                    </a:blip>
                    <a:srcRect t="58244"/>
                    <a:stretch/>
                  </pic:blipFill>
                  <pic:spPr bwMode="auto">
                    <a:xfrm>
                      <a:off x="0" y="0"/>
                      <a:ext cx="4669921" cy="2097703"/>
                    </a:xfrm>
                    <a:prstGeom prst="rect">
                      <a:avLst/>
                    </a:prstGeom>
                    <a:noFill/>
                    <a:ln>
                      <a:noFill/>
                    </a:ln>
                    <a:extLst>
                      <a:ext uri="{53640926-AAD7-44D8-BBD7-CCE9431645EC}">
                        <a14:shadowObscured xmlns:a14="http://schemas.microsoft.com/office/drawing/2010/main"/>
                      </a:ext>
                    </a:extLst>
                  </pic:spPr>
                </pic:pic>
              </a:graphicData>
            </a:graphic>
          </wp:inline>
        </w:drawing>
      </w:r>
    </w:p>
    <w:bookmarkEnd w:id="383"/>
    <w:p w14:paraId="31ED786E" w14:textId="0E70E4D0" w:rsidR="0013697E" w:rsidRPr="003A2F86" w:rsidRDefault="008F6454" w:rsidP="00D3373C">
      <w:pPr>
        <w:autoSpaceDE w:val="0"/>
        <w:autoSpaceDN w:val="0"/>
        <w:adjustRightInd w:val="0"/>
        <w:spacing w:after="0" w:line="240" w:lineRule="auto"/>
        <w:rPr>
          <w:rFonts w:ascii="Arial" w:eastAsia="Calibri" w:hAnsi="Arial" w:cs="Arial"/>
          <w:lang w:eastAsia="en-US"/>
        </w:rPr>
      </w:pPr>
      <w:r w:rsidRPr="003A2F86">
        <w:rPr>
          <w:noProof/>
        </w:rPr>
        <w:t xml:space="preserve">      </w:t>
      </w:r>
      <w:r w:rsidR="0013697E" w:rsidRPr="003A2F86">
        <w:rPr>
          <w:rFonts w:ascii="Arial" w:eastAsia="Calibri" w:hAnsi="Arial" w:cs="Arial"/>
          <w:lang w:eastAsia="en-US"/>
        </w:rPr>
        <w:br w:type="page"/>
      </w:r>
    </w:p>
    <w:p w14:paraId="5678D0BD" w14:textId="77777777" w:rsidR="006078D4" w:rsidRPr="00F63581" w:rsidRDefault="006078D4" w:rsidP="00A10E1F">
      <w:pPr>
        <w:autoSpaceDE w:val="0"/>
        <w:autoSpaceDN w:val="0"/>
        <w:adjustRightInd w:val="0"/>
        <w:spacing w:after="0" w:line="240" w:lineRule="auto"/>
        <w:jc w:val="both"/>
        <w:rPr>
          <w:rFonts w:ascii="Arial" w:eastAsia="Calibri" w:hAnsi="Arial" w:cs="Arial"/>
          <w:lang w:eastAsia="en-US"/>
        </w:rPr>
      </w:pPr>
    </w:p>
    <w:p w14:paraId="06757F09" w14:textId="573998AD" w:rsidR="00A10E1F" w:rsidRPr="00F63581" w:rsidRDefault="006A1FD7" w:rsidP="00B02ED8">
      <w:pPr>
        <w:pStyle w:val="Naslov4"/>
        <w:rPr>
          <w:rFonts w:eastAsia="Calibri"/>
          <w:lang w:val="hr-HR"/>
        </w:rPr>
      </w:pPr>
      <w:bookmarkStart w:id="384" w:name="_Toc207707489"/>
      <w:r w:rsidRPr="00F63581">
        <w:rPr>
          <w:rFonts w:eastAsia="Calibri"/>
          <w:lang w:val="hr-HR"/>
        </w:rPr>
        <w:t>4</w:t>
      </w:r>
      <w:r w:rsidR="00A10E1F" w:rsidRPr="00F63581">
        <w:rPr>
          <w:rFonts w:eastAsia="Calibri"/>
          <w:lang w:val="hr-HR"/>
        </w:rPr>
        <w:t>.</w:t>
      </w:r>
      <w:r w:rsidR="00003B5B" w:rsidRPr="00F63581">
        <w:rPr>
          <w:rFonts w:eastAsia="Calibri"/>
          <w:lang w:val="hr-HR"/>
        </w:rPr>
        <w:t>2.</w:t>
      </w:r>
      <w:r w:rsidR="00A10E1F" w:rsidRPr="00F63581">
        <w:rPr>
          <w:rFonts w:eastAsia="Calibri"/>
          <w:lang w:val="hr-HR"/>
        </w:rPr>
        <w:t>1.</w:t>
      </w:r>
      <w:r w:rsidR="00B02ED8" w:rsidRPr="00F63581">
        <w:rPr>
          <w:rFonts w:eastAsia="Calibri"/>
          <w:lang w:val="hr-HR"/>
        </w:rPr>
        <w:t>2</w:t>
      </w:r>
      <w:r w:rsidR="00A10E1F" w:rsidRPr="00F63581">
        <w:rPr>
          <w:rFonts w:eastAsia="Calibri"/>
          <w:lang w:val="hr-HR"/>
        </w:rPr>
        <w:t>.</w:t>
      </w:r>
      <w:r w:rsidR="00A10E1F" w:rsidRPr="00F63581">
        <w:rPr>
          <w:rFonts w:eastAsia="Calibri"/>
          <w:lang w:val="hr-HR"/>
        </w:rPr>
        <w:tab/>
      </w:r>
      <w:bookmarkStart w:id="385" w:name="_Hlk146004643"/>
      <w:r w:rsidR="00A10E1F" w:rsidRPr="00F63581">
        <w:rPr>
          <w:rFonts w:eastAsia="Calibri"/>
          <w:lang w:val="hr-HR"/>
        </w:rPr>
        <w:t>PREGLED PRIMLJENIH KREDITA I OBVEZA PO BESKAMATNIM ZAJMOVIMA IZ DRŽAVNOG PRORAČUNA</w:t>
      </w:r>
      <w:bookmarkEnd w:id="384"/>
      <w:bookmarkEnd w:id="385"/>
    </w:p>
    <w:p w14:paraId="5F0B6929" w14:textId="77777777" w:rsidR="00373623" w:rsidRPr="00F63581" w:rsidRDefault="00373623" w:rsidP="00C23137">
      <w:pPr>
        <w:autoSpaceDE w:val="0"/>
        <w:autoSpaceDN w:val="0"/>
        <w:adjustRightInd w:val="0"/>
        <w:spacing w:after="0" w:line="240" w:lineRule="auto"/>
        <w:jc w:val="both"/>
        <w:rPr>
          <w:rFonts w:ascii="Arial" w:eastAsia="Times New Roman" w:hAnsi="Arial" w:cs="Arial"/>
        </w:rPr>
      </w:pPr>
    </w:p>
    <w:p w14:paraId="2AC84773" w14:textId="52DBE6FC" w:rsidR="00C23137" w:rsidRPr="00EB650B" w:rsidRDefault="00C23137" w:rsidP="00C23137">
      <w:pPr>
        <w:autoSpaceDE w:val="0"/>
        <w:autoSpaceDN w:val="0"/>
        <w:adjustRightInd w:val="0"/>
        <w:spacing w:after="0" w:line="240" w:lineRule="auto"/>
        <w:jc w:val="both"/>
        <w:rPr>
          <w:rFonts w:ascii="Arial" w:eastAsia="Times New Roman" w:hAnsi="Arial" w:cs="Arial"/>
          <w:sz w:val="20"/>
          <w:szCs w:val="20"/>
        </w:rPr>
      </w:pPr>
      <w:bookmarkStart w:id="386" w:name="_Hlk146004712"/>
      <w:r w:rsidRPr="00EB650B">
        <w:rPr>
          <w:rFonts w:ascii="Arial" w:eastAsia="Times New Roman" w:hAnsi="Arial" w:cs="Arial"/>
          <w:sz w:val="20"/>
          <w:szCs w:val="20"/>
        </w:rPr>
        <w:t xml:space="preserve">Zbog ekonomskih posljedica uzrokovanih pandemijom </w:t>
      </w:r>
      <w:r w:rsidR="00D65641" w:rsidRPr="00EB650B">
        <w:rPr>
          <w:rFonts w:ascii="Arial" w:eastAsia="Times New Roman" w:hAnsi="Arial" w:cs="Arial"/>
          <w:sz w:val="20"/>
          <w:szCs w:val="20"/>
        </w:rPr>
        <w:t>bolesti</w:t>
      </w:r>
      <w:r w:rsidRPr="00EB650B">
        <w:rPr>
          <w:rFonts w:ascii="Arial" w:eastAsia="Times New Roman" w:hAnsi="Arial" w:cs="Arial"/>
          <w:sz w:val="20"/>
          <w:szCs w:val="20"/>
        </w:rPr>
        <w:t xml:space="preserve"> COVID-19, Vlada Republike Hrvatske je ekonomskim mjerama usmjerenim u zadržavanje radnih mjesta i rješavanje problema nelikvidnosti onima čija je poslovna aktivnost smanjena uslijed epidemije, uključujući i jedinice lokalne i područne (regionalne) samouprave koje su se suočile s nesrazmjerom između dinamike priljeva sredstava i dospijeća obveza, omogućila mjere pomoći usmjerene na poboljšanje likvidnosti i učinkovitije upravljanje proračunskim sredstvima. </w:t>
      </w:r>
    </w:p>
    <w:bookmarkEnd w:id="386"/>
    <w:p w14:paraId="6069C0C5" w14:textId="77777777" w:rsidR="00C23137" w:rsidRPr="00EB650B" w:rsidRDefault="00C23137" w:rsidP="00C23137">
      <w:pPr>
        <w:autoSpaceDE w:val="0"/>
        <w:autoSpaceDN w:val="0"/>
        <w:adjustRightInd w:val="0"/>
        <w:spacing w:after="0" w:line="240" w:lineRule="auto"/>
        <w:jc w:val="both"/>
        <w:rPr>
          <w:rFonts w:ascii="Arial" w:eastAsia="Times New Roman" w:hAnsi="Arial" w:cs="Arial"/>
          <w:sz w:val="20"/>
          <w:szCs w:val="20"/>
        </w:rPr>
      </w:pPr>
    </w:p>
    <w:p w14:paraId="54153608" w14:textId="2F56DAD7" w:rsidR="00C23137" w:rsidRPr="00EB650B" w:rsidRDefault="00C23137" w:rsidP="00C23137">
      <w:pPr>
        <w:autoSpaceDE w:val="0"/>
        <w:autoSpaceDN w:val="0"/>
        <w:adjustRightInd w:val="0"/>
        <w:spacing w:after="0" w:line="240" w:lineRule="auto"/>
        <w:jc w:val="both"/>
        <w:rPr>
          <w:rFonts w:ascii="Arial" w:eastAsia="Times New Roman" w:hAnsi="Arial" w:cs="Arial"/>
          <w:sz w:val="20"/>
          <w:szCs w:val="20"/>
        </w:rPr>
      </w:pPr>
      <w:r w:rsidRPr="00EB650B">
        <w:rPr>
          <w:rFonts w:ascii="Arial" w:eastAsia="Times New Roman" w:hAnsi="Arial" w:cs="Arial"/>
          <w:sz w:val="20"/>
          <w:szCs w:val="20"/>
        </w:rPr>
        <w:t>Dakle, Općini su odobreni beskamatni zajmovi</w:t>
      </w:r>
      <w:r w:rsidR="00864A67" w:rsidRPr="00EB650B">
        <w:rPr>
          <w:rFonts w:ascii="Arial" w:eastAsia="Times New Roman" w:hAnsi="Arial" w:cs="Arial"/>
          <w:sz w:val="20"/>
          <w:szCs w:val="20"/>
        </w:rPr>
        <w:t xml:space="preserve"> u razdoblju 2020. do 202</w:t>
      </w:r>
      <w:r w:rsidR="00F21318">
        <w:rPr>
          <w:rFonts w:ascii="Arial" w:eastAsia="Times New Roman" w:hAnsi="Arial" w:cs="Arial"/>
          <w:sz w:val="20"/>
          <w:szCs w:val="20"/>
        </w:rPr>
        <w:t>1</w:t>
      </w:r>
      <w:r w:rsidR="00864A67" w:rsidRPr="00EB650B">
        <w:rPr>
          <w:rFonts w:ascii="Arial" w:eastAsia="Times New Roman" w:hAnsi="Arial" w:cs="Arial"/>
          <w:sz w:val="20"/>
          <w:szCs w:val="20"/>
        </w:rPr>
        <w:t>. godine i to</w:t>
      </w:r>
      <w:r w:rsidRPr="00EB650B">
        <w:rPr>
          <w:rFonts w:ascii="Arial" w:eastAsia="Times New Roman" w:hAnsi="Arial" w:cs="Arial"/>
          <w:sz w:val="20"/>
          <w:szCs w:val="20"/>
        </w:rPr>
        <w:t>:</w:t>
      </w:r>
    </w:p>
    <w:p w14:paraId="17BADB11" w14:textId="77777777" w:rsidR="00B824DF" w:rsidRPr="00EB650B" w:rsidRDefault="00B824DF" w:rsidP="00C23137">
      <w:pPr>
        <w:autoSpaceDE w:val="0"/>
        <w:autoSpaceDN w:val="0"/>
        <w:adjustRightInd w:val="0"/>
        <w:spacing w:after="0" w:line="240" w:lineRule="auto"/>
        <w:jc w:val="both"/>
        <w:rPr>
          <w:rFonts w:ascii="Arial" w:eastAsia="Times New Roman" w:hAnsi="Arial" w:cs="Arial"/>
          <w:sz w:val="20"/>
          <w:szCs w:val="20"/>
          <w:u w:val="single"/>
        </w:rPr>
      </w:pPr>
    </w:p>
    <w:p w14:paraId="4CC6C365" w14:textId="6FCFF36F" w:rsidR="00C23137" w:rsidRPr="00EB650B" w:rsidRDefault="00C23137" w:rsidP="00C23137">
      <w:pPr>
        <w:autoSpaceDE w:val="0"/>
        <w:autoSpaceDN w:val="0"/>
        <w:adjustRightInd w:val="0"/>
        <w:spacing w:after="0" w:line="240" w:lineRule="auto"/>
        <w:jc w:val="both"/>
        <w:rPr>
          <w:rFonts w:ascii="Arial" w:eastAsia="Times New Roman" w:hAnsi="Arial" w:cs="Arial"/>
          <w:sz w:val="20"/>
          <w:szCs w:val="20"/>
          <w:u w:val="single"/>
        </w:rPr>
      </w:pPr>
      <w:r w:rsidRPr="00EB650B">
        <w:rPr>
          <w:rFonts w:ascii="Arial" w:eastAsia="Times New Roman" w:hAnsi="Arial" w:cs="Arial"/>
          <w:sz w:val="20"/>
          <w:szCs w:val="20"/>
          <w:u w:val="single"/>
        </w:rPr>
        <w:t>1.</w:t>
      </w:r>
      <w:r w:rsidRPr="00EB650B">
        <w:rPr>
          <w:rFonts w:ascii="Arial" w:eastAsia="Times New Roman" w:hAnsi="Arial" w:cs="Arial"/>
          <w:sz w:val="20"/>
          <w:szCs w:val="20"/>
          <w:u w:val="single"/>
        </w:rPr>
        <w:tab/>
      </w:r>
      <w:r w:rsidRPr="00EB650B">
        <w:rPr>
          <w:rFonts w:ascii="Arial" w:eastAsia="Times New Roman" w:hAnsi="Arial" w:cs="Arial"/>
          <w:b/>
          <w:bCs/>
          <w:sz w:val="20"/>
          <w:szCs w:val="20"/>
          <w:u w:val="single"/>
        </w:rPr>
        <w:t>u 2020. godini</w:t>
      </w:r>
      <w:r w:rsidRPr="00EB650B">
        <w:rPr>
          <w:rFonts w:ascii="Arial" w:eastAsia="Times New Roman" w:hAnsi="Arial" w:cs="Arial"/>
          <w:sz w:val="20"/>
          <w:szCs w:val="20"/>
          <w:u w:val="single"/>
        </w:rPr>
        <w:t xml:space="preserve"> na temelju:</w:t>
      </w:r>
    </w:p>
    <w:p w14:paraId="1C868603" w14:textId="77777777" w:rsidR="00B824DF" w:rsidRPr="00EB650B" w:rsidRDefault="00B824DF" w:rsidP="0065325D">
      <w:pPr>
        <w:autoSpaceDE w:val="0"/>
        <w:autoSpaceDN w:val="0"/>
        <w:adjustRightInd w:val="0"/>
        <w:spacing w:after="0" w:line="240" w:lineRule="auto"/>
        <w:ind w:firstLine="284"/>
        <w:jc w:val="both"/>
        <w:rPr>
          <w:rFonts w:ascii="Arial" w:eastAsia="Times New Roman" w:hAnsi="Arial" w:cs="Arial"/>
          <w:sz w:val="20"/>
          <w:szCs w:val="20"/>
        </w:rPr>
      </w:pPr>
    </w:p>
    <w:p w14:paraId="31581E4C" w14:textId="7FE558A4" w:rsidR="00DE772E" w:rsidRPr="00EB650B" w:rsidRDefault="00C23137" w:rsidP="0065325D">
      <w:pPr>
        <w:autoSpaceDE w:val="0"/>
        <w:autoSpaceDN w:val="0"/>
        <w:adjustRightInd w:val="0"/>
        <w:spacing w:after="0" w:line="240" w:lineRule="auto"/>
        <w:ind w:firstLine="284"/>
        <w:jc w:val="both"/>
        <w:rPr>
          <w:rFonts w:ascii="Arial" w:eastAsia="Times New Roman" w:hAnsi="Arial" w:cs="Arial"/>
          <w:bCs/>
          <w:iCs/>
          <w:sz w:val="20"/>
          <w:szCs w:val="20"/>
        </w:rPr>
      </w:pPr>
      <w:r w:rsidRPr="00EB650B">
        <w:rPr>
          <w:rFonts w:ascii="Arial" w:eastAsia="Times New Roman" w:hAnsi="Arial" w:cs="Arial"/>
          <w:sz w:val="20"/>
          <w:szCs w:val="20"/>
        </w:rPr>
        <w:t>1.1. Naputka o načinu isplate beskamatnog zajma jedinicama lokalne i područne (regionalne) samouprave, HZMO-u i HZZO-u (Narodne novine 46/20, 5/21</w:t>
      </w:r>
      <w:r w:rsidR="005B521F" w:rsidRPr="00EB650B">
        <w:rPr>
          <w:rFonts w:ascii="Arial" w:eastAsia="Times New Roman" w:hAnsi="Arial" w:cs="Arial"/>
          <w:sz w:val="20"/>
          <w:szCs w:val="20"/>
        </w:rPr>
        <w:t>, 73/21</w:t>
      </w:r>
      <w:r w:rsidRPr="00EB650B">
        <w:rPr>
          <w:rFonts w:ascii="Arial" w:eastAsia="Times New Roman" w:hAnsi="Arial" w:cs="Arial"/>
          <w:sz w:val="20"/>
          <w:szCs w:val="20"/>
        </w:rPr>
        <w:t xml:space="preserve">): </w:t>
      </w:r>
      <w:r w:rsidRPr="00EB650B">
        <w:rPr>
          <w:rFonts w:ascii="Arial" w:eastAsia="Times New Roman" w:hAnsi="Arial" w:cs="Arial"/>
          <w:bCs/>
          <w:iCs/>
          <w:sz w:val="20"/>
          <w:szCs w:val="20"/>
        </w:rPr>
        <w:t>u visini odgođenog plaćanja poreza i prireza na dohodak, a stanje 31.12.202</w:t>
      </w:r>
      <w:r w:rsidR="00864A67" w:rsidRPr="00EB650B">
        <w:rPr>
          <w:rFonts w:ascii="Arial" w:eastAsia="Times New Roman" w:hAnsi="Arial" w:cs="Arial"/>
          <w:bCs/>
          <w:iCs/>
          <w:sz w:val="20"/>
          <w:szCs w:val="20"/>
        </w:rPr>
        <w:t>2</w:t>
      </w:r>
      <w:r w:rsidRPr="00EB650B">
        <w:rPr>
          <w:rFonts w:ascii="Arial" w:eastAsia="Times New Roman" w:hAnsi="Arial" w:cs="Arial"/>
          <w:bCs/>
          <w:iCs/>
          <w:sz w:val="20"/>
          <w:szCs w:val="20"/>
        </w:rPr>
        <w:t xml:space="preserve">. </w:t>
      </w:r>
      <w:r w:rsidR="00DA7B45" w:rsidRPr="00EB650B">
        <w:rPr>
          <w:rFonts w:ascii="Arial" w:eastAsia="Times New Roman" w:hAnsi="Arial" w:cs="Arial"/>
          <w:bCs/>
          <w:iCs/>
          <w:sz w:val="20"/>
          <w:szCs w:val="20"/>
        </w:rPr>
        <w:t xml:space="preserve">je iznosilo </w:t>
      </w:r>
      <w:r w:rsidR="00864A67" w:rsidRPr="00EB650B">
        <w:rPr>
          <w:rFonts w:ascii="Arial" w:eastAsia="Times New Roman" w:hAnsi="Arial" w:cs="Arial"/>
          <w:bCs/>
          <w:iCs/>
          <w:sz w:val="20"/>
          <w:szCs w:val="20"/>
        </w:rPr>
        <w:t>737.151,87</w:t>
      </w:r>
      <w:r w:rsidRPr="00EB650B">
        <w:rPr>
          <w:rFonts w:ascii="Arial" w:eastAsia="Times New Roman" w:hAnsi="Arial" w:cs="Arial"/>
          <w:bCs/>
          <w:iCs/>
          <w:sz w:val="20"/>
          <w:szCs w:val="20"/>
        </w:rPr>
        <w:t xml:space="preserve"> kn</w:t>
      </w:r>
      <w:r w:rsidR="00DA7B45" w:rsidRPr="00EB650B">
        <w:rPr>
          <w:rFonts w:ascii="Arial" w:eastAsia="Times New Roman" w:hAnsi="Arial" w:cs="Arial"/>
          <w:bCs/>
          <w:iCs/>
          <w:sz w:val="20"/>
          <w:szCs w:val="20"/>
        </w:rPr>
        <w:t xml:space="preserve">, odnosno </w:t>
      </w:r>
      <w:r w:rsidR="0064780B" w:rsidRPr="00EB650B">
        <w:rPr>
          <w:rFonts w:ascii="Arial" w:eastAsia="Times New Roman" w:hAnsi="Arial" w:cs="Arial"/>
          <w:bCs/>
          <w:iCs/>
          <w:sz w:val="20"/>
          <w:szCs w:val="20"/>
        </w:rPr>
        <w:t>31.12</w:t>
      </w:r>
      <w:r w:rsidR="00DA7B45" w:rsidRPr="00EB650B">
        <w:rPr>
          <w:rFonts w:ascii="Arial" w:eastAsia="Times New Roman" w:hAnsi="Arial" w:cs="Arial"/>
          <w:bCs/>
          <w:iCs/>
          <w:sz w:val="20"/>
          <w:szCs w:val="20"/>
        </w:rPr>
        <w:t xml:space="preserve">.2023. iznosi </w:t>
      </w:r>
      <w:r w:rsidR="0064780B" w:rsidRPr="00EB650B">
        <w:rPr>
          <w:rFonts w:ascii="Arial" w:eastAsia="Times New Roman" w:hAnsi="Arial" w:cs="Arial"/>
          <w:b/>
          <w:iCs/>
          <w:sz w:val="20"/>
          <w:szCs w:val="20"/>
        </w:rPr>
        <w:t>97.757,41</w:t>
      </w:r>
      <w:r w:rsidR="00C41527" w:rsidRPr="00EB650B">
        <w:rPr>
          <w:rFonts w:ascii="Arial" w:eastAsia="Times New Roman" w:hAnsi="Arial" w:cs="Arial"/>
          <w:b/>
          <w:iCs/>
          <w:sz w:val="20"/>
          <w:szCs w:val="20"/>
        </w:rPr>
        <w:t xml:space="preserve"> €</w:t>
      </w:r>
      <w:r w:rsidR="00DE772E" w:rsidRPr="00EB650B">
        <w:rPr>
          <w:rFonts w:ascii="Arial" w:eastAsia="Times New Roman" w:hAnsi="Arial" w:cs="Arial"/>
          <w:b/>
          <w:iCs/>
          <w:sz w:val="20"/>
          <w:szCs w:val="20"/>
        </w:rPr>
        <w:t>.</w:t>
      </w:r>
      <w:r w:rsidR="00DE772E" w:rsidRPr="00EB650B">
        <w:rPr>
          <w:rFonts w:ascii="Arial" w:eastAsia="Times New Roman" w:hAnsi="Arial" w:cs="Arial"/>
          <w:bCs/>
          <w:iCs/>
          <w:sz w:val="20"/>
          <w:szCs w:val="20"/>
        </w:rPr>
        <w:t xml:space="preserve"> Sukladno obavijesti Ministarstva financija iz travnja 2024., a prema podacima Porezne uprave, više nema aktivnih mjera obročne otplate poreza na dohodak i prireza porezu na dohodak iz 2020. godine te se naplata dijela zajma isplaćenog u skladu s Naputkom više ne provodi sukcesivno od poreznih obveznika u visini naplate odgođenog i/ili obročnom otplatom danog poreza na dohodak.</w:t>
      </w:r>
      <w:r w:rsidR="005B521F" w:rsidRPr="00EB650B">
        <w:rPr>
          <w:rFonts w:ascii="Arial" w:eastAsia="Times New Roman" w:hAnsi="Arial" w:cs="Arial"/>
          <w:bCs/>
          <w:iCs/>
          <w:sz w:val="20"/>
          <w:szCs w:val="20"/>
        </w:rPr>
        <w:t xml:space="preserve"> </w:t>
      </w:r>
      <w:r w:rsidR="00DE772E" w:rsidRPr="00EB650B">
        <w:rPr>
          <w:rFonts w:ascii="Arial" w:eastAsia="Times New Roman" w:hAnsi="Arial" w:cs="Arial"/>
          <w:bCs/>
          <w:iCs/>
          <w:sz w:val="20"/>
          <w:szCs w:val="20"/>
        </w:rPr>
        <w:t xml:space="preserve">Preostali iznos duga po osnovi odgode/obročne otplate poreza na dohodak te oslobođenja od plaćanja poreza na dohodak i prireza porezu na dohodak jedinice lokalne i područne (regionalne) samouprave vraćaju samostalno na jedinstveni račun državnog proračuna prema dinamici koju same odrede, a najkasnije </w:t>
      </w:r>
      <w:r w:rsidR="00DE772E" w:rsidRPr="00EB650B">
        <w:rPr>
          <w:rFonts w:ascii="Arial" w:eastAsia="Times New Roman" w:hAnsi="Arial" w:cs="Arial"/>
          <w:b/>
          <w:i/>
          <w:sz w:val="20"/>
          <w:szCs w:val="20"/>
          <w:u w:val="single"/>
        </w:rPr>
        <w:t>do kraja 2027.</w:t>
      </w:r>
      <w:r w:rsidR="00DE772E" w:rsidRPr="00EB650B">
        <w:rPr>
          <w:rFonts w:ascii="Arial" w:eastAsia="Times New Roman" w:hAnsi="Arial" w:cs="Arial"/>
          <w:bCs/>
          <w:iCs/>
          <w:sz w:val="20"/>
          <w:szCs w:val="20"/>
        </w:rPr>
        <w:t xml:space="preserve"> godine.</w:t>
      </w:r>
      <w:r w:rsidR="0049657F" w:rsidRPr="00EB650B">
        <w:rPr>
          <w:rFonts w:ascii="Arial" w:eastAsia="Times New Roman" w:hAnsi="Arial" w:cs="Arial"/>
          <w:bCs/>
          <w:iCs/>
          <w:sz w:val="20"/>
          <w:szCs w:val="20"/>
        </w:rPr>
        <w:t xml:space="preserve"> </w:t>
      </w:r>
      <w:r w:rsidR="00DE772E" w:rsidRPr="00EB650B">
        <w:rPr>
          <w:rFonts w:ascii="Arial" w:eastAsia="Times New Roman" w:hAnsi="Arial" w:cs="Arial"/>
          <w:bCs/>
          <w:iCs/>
          <w:sz w:val="20"/>
          <w:szCs w:val="20"/>
        </w:rPr>
        <w:t>Preostali iznos duga po ovoj osnovi ulazi u ukupnu godišnju obvezu jedinice lokalne i područne (regionalne) samouprave iz članka 121. Zakona o proračunu (Narodne novine, br. 144/21) u visini prosječnog godišnjeg anuiteta beskamatnog zajma.</w:t>
      </w:r>
    </w:p>
    <w:p w14:paraId="3B2A3A9F" w14:textId="77777777" w:rsidR="00DE772E" w:rsidRPr="00EB650B" w:rsidRDefault="00DE772E" w:rsidP="00C23137">
      <w:pPr>
        <w:autoSpaceDE w:val="0"/>
        <w:autoSpaceDN w:val="0"/>
        <w:adjustRightInd w:val="0"/>
        <w:spacing w:after="0" w:line="240" w:lineRule="auto"/>
        <w:ind w:firstLine="567"/>
        <w:jc w:val="both"/>
        <w:rPr>
          <w:rFonts w:ascii="Arial" w:eastAsia="Times New Roman" w:hAnsi="Arial" w:cs="Arial"/>
          <w:bCs/>
          <w:iCs/>
          <w:sz w:val="20"/>
          <w:szCs w:val="20"/>
        </w:rPr>
      </w:pPr>
    </w:p>
    <w:p w14:paraId="614D646A" w14:textId="71D58D99" w:rsidR="00C23137" w:rsidRPr="00EB650B" w:rsidRDefault="00C23137" w:rsidP="002D064D">
      <w:pPr>
        <w:autoSpaceDE w:val="0"/>
        <w:autoSpaceDN w:val="0"/>
        <w:adjustRightInd w:val="0"/>
        <w:spacing w:after="0" w:line="240" w:lineRule="auto"/>
        <w:ind w:left="993" w:hanging="709"/>
        <w:jc w:val="both"/>
        <w:rPr>
          <w:rFonts w:ascii="Arial" w:eastAsia="Times New Roman" w:hAnsi="Arial" w:cs="Arial"/>
          <w:sz w:val="20"/>
          <w:szCs w:val="20"/>
        </w:rPr>
      </w:pPr>
      <w:r w:rsidRPr="00EB650B">
        <w:rPr>
          <w:rFonts w:ascii="Arial" w:eastAsia="Times New Roman" w:hAnsi="Arial" w:cs="Arial"/>
          <w:sz w:val="20"/>
          <w:szCs w:val="20"/>
        </w:rPr>
        <w:t>1.2. Naputka o isplati sredstava beskamatnog zajma jedinicama lokalne i područne (regionalne) samouprave uslijed pada prihoda (Narodne novine 130/20) (beskamatni zajam s rokom povrata tri godine od dana uplate – uplata 24.12.2020.), stanje 31.12.202</w:t>
      </w:r>
      <w:r w:rsidR="00864A67" w:rsidRPr="00EB650B">
        <w:rPr>
          <w:rFonts w:ascii="Arial" w:eastAsia="Times New Roman" w:hAnsi="Arial" w:cs="Arial"/>
          <w:sz w:val="20"/>
          <w:szCs w:val="20"/>
        </w:rPr>
        <w:t>2</w:t>
      </w:r>
      <w:r w:rsidRPr="00EB650B">
        <w:rPr>
          <w:rFonts w:ascii="Arial" w:eastAsia="Times New Roman" w:hAnsi="Arial" w:cs="Arial"/>
          <w:sz w:val="20"/>
          <w:szCs w:val="20"/>
        </w:rPr>
        <w:t xml:space="preserve">. </w:t>
      </w:r>
      <w:r w:rsidR="00C41527" w:rsidRPr="00EB650B">
        <w:rPr>
          <w:rFonts w:ascii="Arial" w:eastAsia="Times New Roman" w:hAnsi="Arial" w:cs="Arial"/>
          <w:sz w:val="20"/>
          <w:szCs w:val="20"/>
        </w:rPr>
        <w:t>je iznosilo</w:t>
      </w:r>
      <w:r w:rsidRPr="00EB650B">
        <w:rPr>
          <w:rFonts w:ascii="Arial" w:eastAsia="Times New Roman" w:hAnsi="Arial" w:cs="Arial"/>
          <w:sz w:val="20"/>
          <w:szCs w:val="20"/>
        </w:rPr>
        <w:t xml:space="preserve"> 3.400.000 kn</w:t>
      </w:r>
      <w:r w:rsidR="00C41527" w:rsidRPr="00EB650B">
        <w:rPr>
          <w:rFonts w:ascii="Arial" w:eastAsia="Times New Roman" w:hAnsi="Arial" w:cs="Arial"/>
          <w:sz w:val="20"/>
          <w:szCs w:val="20"/>
        </w:rPr>
        <w:t xml:space="preserve">, a koncem 2023. iznosi </w:t>
      </w:r>
      <w:r w:rsidR="00C41527" w:rsidRPr="00EB650B">
        <w:rPr>
          <w:rFonts w:ascii="Arial" w:eastAsia="Times New Roman" w:hAnsi="Arial" w:cs="Arial"/>
          <w:b/>
          <w:bCs/>
          <w:sz w:val="20"/>
          <w:szCs w:val="20"/>
        </w:rPr>
        <w:t>451.257,55 €</w:t>
      </w:r>
      <w:r w:rsidR="00121AE8" w:rsidRPr="00EB650B">
        <w:rPr>
          <w:rFonts w:ascii="Arial" w:eastAsia="Times New Roman" w:hAnsi="Arial" w:cs="Arial"/>
          <w:b/>
          <w:bCs/>
          <w:sz w:val="20"/>
          <w:szCs w:val="20"/>
        </w:rPr>
        <w:t>.</w:t>
      </w:r>
      <w:r w:rsidR="00121AE8" w:rsidRPr="00EB650B">
        <w:rPr>
          <w:rFonts w:ascii="Arial" w:eastAsia="Times New Roman" w:hAnsi="Arial" w:cs="Arial"/>
          <w:sz w:val="20"/>
          <w:szCs w:val="20"/>
        </w:rPr>
        <w:t xml:space="preserve"> Sukladno Zakonu o izmjenama i dopunama Zakona o izvršavanju Državnog proračuna Republike Hrvatske za 2023. godinu</w:t>
      </w:r>
      <w:r w:rsidR="002A73BE" w:rsidRPr="00EB650B">
        <w:rPr>
          <w:rFonts w:ascii="Arial" w:eastAsia="Times New Roman" w:hAnsi="Arial" w:cs="Arial"/>
          <w:sz w:val="20"/>
          <w:szCs w:val="20"/>
        </w:rPr>
        <w:t xml:space="preserve">, produljen je krajnji rok za povrat zajma </w:t>
      </w:r>
      <w:r w:rsidR="002A73BE" w:rsidRPr="00EB650B">
        <w:rPr>
          <w:rFonts w:ascii="Arial" w:eastAsia="Times New Roman" w:hAnsi="Arial" w:cs="Arial"/>
          <w:b/>
          <w:bCs/>
          <w:i/>
          <w:iCs/>
          <w:sz w:val="20"/>
          <w:szCs w:val="20"/>
          <w:u w:val="single"/>
        </w:rPr>
        <w:t>do konca 2027. godine</w:t>
      </w:r>
      <w:r w:rsidR="002A73BE" w:rsidRPr="00EB650B">
        <w:rPr>
          <w:rFonts w:ascii="Arial" w:eastAsia="Times New Roman" w:hAnsi="Arial" w:cs="Arial"/>
          <w:sz w:val="20"/>
          <w:szCs w:val="20"/>
        </w:rPr>
        <w:t>.</w:t>
      </w:r>
    </w:p>
    <w:p w14:paraId="31A77DB7" w14:textId="77777777" w:rsidR="00B824DF" w:rsidRPr="00EB650B" w:rsidRDefault="00B824DF" w:rsidP="00C23137">
      <w:pPr>
        <w:autoSpaceDE w:val="0"/>
        <w:autoSpaceDN w:val="0"/>
        <w:adjustRightInd w:val="0"/>
        <w:spacing w:after="0" w:line="240" w:lineRule="auto"/>
        <w:jc w:val="both"/>
        <w:rPr>
          <w:rFonts w:ascii="Arial" w:eastAsia="Times New Roman" w:hAnsi="Arial" w:cs="Arial"/>
          <w:bCs/>
          <w:iCs/>
          <w:sz w:val="20"/>
          <w:szCs w:val="20"/>
          <w:u w:val="single"/>
        </w:rPr>
      </w:pPr>
    </w:p>
    <w:p w14:paraId="71122F37" w14:textId="7672EAD2" w:rsidR="00C23137" w:rsidRPr="00EB650B" w:rsidRDefault="00C23137" w:rsidP="00C23137">
      <w:pPr>
        <w:autoSpaceDE w:val="0"/>
        <w:autoSpaceDN w:val="0"/>
        <w:adjustRightInd w:val="0"/>
        <w:spacing w:after="0" w:line="240" w:lineRule="auto"/>
        <w:jc w:val="both"/>
        <w:rPr>
          <w:rFonts w:ascii="Arial" w:eastAsia="Times New Roman" w:hAnsi="Arial" w:cs="Arial"/>
          <w:bCs/>
          <w:iCs/>
          <w:sz w:val="20"/>
          <w:szCs w:val="20"/>
          <w:u w:val="single"/>
        </w:rPr>
      </w:pPr>
      <w:r w:rsidRPr="00EB650B">
        <w:rPr>
          <w:rFonts w:ascii="Arial" w:eastAsia="Times New Roman" w:hAnsi="Arial" w:cs="Arial"/>
          <w:bCs/>
          <w:iCs/>
          <w:sz w:val="20"/>
          <w:szCs w:val="20"/>
          <w:u w:val="single"/>
        </w:rPr>
        <w:t>2.</w:t>
      </w:r>
      <w:r w:rsidRPr="00EB650B">
        <w:rPr>
          <w:rFonts w:ascii="Arial" w:eastAsia="Times New Roman" w:hAnsi="Arial" w:cs="Arial"/>
          <w:bCs/>
          <w:iCs/>
          <w:sz w:val="20"/>
          <w:szCs w:val="20"/>
          <w:u w:val="single"/>
        </w:rPr>
        <w:tab/>
      </w:r>
      <w:r w:rsidRPr="00EB650B">
        <w:rPr>
          <w:rFonts w:ascii="Arial" w:eastAsia="Times New Roman" w:hAnsi="Arial" w:cs="Arial"/>
          <w:b/>
          <w:iCs/>
          <w:sz w:val="20"/>
          <w:szCs w:val="20"/>
          <w:u w:val="single"/>
        </w:rPr>
        <w:t>u 2021. godini</w:t>
      </w:r>
      <w:r w:rsidRPr="00EB650B">
        <w:rPr>
          <w:rFonts w:ascii="Arial" w:eastAsia="Times New Roman" w:hAnsi="Arial" w:cs="Arial"/>
          <w:bCs/>
          <w:iCs/>
          <w:sz w:val="20"/>
          <w:szCs w:val="20"/>
          <w:u w:val="single"/>
        </w:rPr>
        <w:t xml:space="preserve"> na temelju:</w:t>
      </w:r>
    </w:p>
    <w:p w14:paraId="5BCE82DB" w14:textId="0938EECA" w:rsidR="00C23137" w:rsidRPr="00EB650B" w:rsidRDefault="00C23137" w:rsidP="00C23137">
      <w:pPr>
        <w:pStyle w:val="Tijeloteksta2"/>
        <w:ind w:left="1066" w:hanging="709"/>
        <w:rPr>
          <w:rFonts w:ascii="Arial" w:hAnsi="Arial" w:cs="Arial"/>
          <w:b/>
          <w:iCs/>
          <w:sz w:val="20"/>
          <w:lang w:val="hr-HR"/>
        </w:rPr>
      </w:pPr>
      <w:r w:rsidRPr="00EB650B">
        <w:rPr>
          <w:rFonts w:ascii="Arial" w:hAnsi="Arial" w:cs="Arial"/>
          <w:bCs/>
          <w:iCs/>
          <w:sz w:val="20"/>
          <w:lang w:val="hr-HR"/>
        </w:rPr>
        <w:t>2.</w:t>
      </w:r>
      <w:r w:rsidR="00864A67" w:rsidRPr="00EB650B">
        <w:rPr>
          <w:rFonts w:ascii="Arial" w:hAnsi="Arial" w:cs="Arial"/>
          <w:bCs/>
          <w:iCs/>
          <w:sz w:val="20"/>
          <w:lang w:val="hr-HR"/>
        </w:rPr>
        <w:t>1</w:t>
      </w:r>
      <w:r w:rsidRPr="00EB650B">
        <w:rPr>
          <w:rFonts w:ascii="Arial" w:hAnsi="Arial" w:cs="Arial"/>
          <w:bCs/>
          <w:iCs/>
          <w:sz w:val="20"/>
          <w:lang w:val="hr-HR"/>
        </w:rPr>
        <w:t xml:space="preserve">. </w:t>
      </w:r>
      <w:r w:rsidRPr="00EB650B">
        <w:rPr>
          <w:rFonts w:ascii="Arial" w:hAnsi="Arial" w:cs="Arial"/>
          <w:bCs/>
          <w:iCs/>
          <w:sz w:val="20"/>
          <w:lang w:val="hr-HR"/>
        </w:rPr>
        <w:tab/>
        <w:t>Odluke o dodjeli beskamatnog zajma jedinicama lokalne i područne (regionalne) samouprave uslijed pada prihoda (Narodne novine 136/21) u iznosu 5.900.000 kn (uplata 16.12.2021., rok povrata 3 godine)</w:t>
      </w:r>
      <w:r w:rsidR="00C41527" w:rsidRPr="00EB650B">
        <w:rPr>
          <w:rFonts w:ascii="Arial" w:hAnsi="Arial" w:cs="Arial"/>
          <w:bCs/>
          <w:iCs/>
          <w:sz w:val="20"/>
          <w:lang w:val="hr-HR"/>
        </w:rPr>
        <w:t xml:space="preserve">, stanje </w:t>
      </w:r>
      <w:r w:rsidR="0064780B" w:rsidRPr="00EB650B">
        <w:rPr>
          <w:rFonts w:ascii="Arial" w:hAnsi="Arial" w:cs="Arial"/>
          <w:bCs/>
          <w:iCs/>
          <w:sz w:val="20"/>
          <w:lang w:val="hr-HR"/>
        </w:rPr>
        <w:t>31.12.</w:t>
      </w:r>
      <w:r w:rsidR="00C41527" w:rsidRPr="00EB650B">
        <w:rPr>
          <w:rFonts w:ascii="Arial" w:hAnsi="Arial" w:cs="Arial"/>
          <w:bCs/>
          <w:iCs/>
          <w:sz w:val="20"/>
          <w:lang w:val="hr-HR"/>
        </w:rPr>
        <w:t xml:space="preserve">2023. iznosi </w:t>
      </w:r>
      <w:r w:rsidR="00C41527" w:rsidRPr="00EB650B">
        <w:rPr>
          <w:rFonts w:ascii="Arial" w:hAnsi="Arial" w:cs="Arial"/>
          <w:b/>
          <w:iCs/>
          <w:sz w:val="20"/>
          <w:lang w:val="hr-HR"/>
        </w:rPr>
        <w:t>783.064,57 €</w:t>
      </w:r>
      <w:r w:rsidRPr="00EB650B">
        <w:rPr>
          <w:rFonts w:ascii="Arial" w:hAnsi="Arial" w:cs="Arial"/>
          <w:b/>
          <w:iCs/>
          <w:sz w:val="20"/>
          <w:lang w:val="hr-HR"/>
        </w:rPr>
        <w:t>.</w:t>
      </w:r>
      <w:r w:rsidR="00AA33D1" w:rsidRPr="00EB650B">
        <w:rPr>
          <w:rFonts w:ascii="Arial" w:hAnsi="Arial" w:cs="Arial"/>
          <w:bCs/>
          <w:iCs/>
          <w:sz w:val="20"/>
          <w:lang w:val="hr-HR"/>
        </w:rPr>
        <w:t xml:space="preserve"> Sukladno Zakonu o izvršavanju Državnog proračuna Republike Hrvatske za 2024. godinu, produljen je krajnji rok za povrat zajma </w:t>
      </w:r>
      <w:r w:rsidR="00AA33D1" w:rsidRPr="00EB650B">
        <w:rPr>
          <w:rFonts w:ascii="Arial" w:hAnsi="Arial" w:cs="Arial"/>
          <w:b/>
          <w:i/>
          <w:sz w:val="20"/>
          <w:u w:val="single"/>
          <w:lang w:val="hr-HR"/>
        </w:rPr>
        <w:t>do konca 2027. godine</w:t>
      </w:r>
      <w:r w:rsidR="00AA33D1" w:rsidRPr="00EB650B">
        <w:rPr>
          <w:rFonts w:ascii="Arial" w:hAnsi="Arial" w:cs="Arial"/>
          <w:b/>
          <w:iCs/>
          <w:sz w:val="20"/>
          <w:lang w:val="hr-HR"/>
        </w:rPr>
        <w:t>.</w:t>
      </w:r>
    </w:p>
    <w:p w14:paraId="579E48D8" w14:textId="77777777" w:rsidR="00B824DF" w:rsidRPr="00EB650B" w:rsidRDefault="00B824DF" w:rsidP="0000514C">
      <w:pPr>
        <w:autoSpaceDE w:val="0"/>
        <w:autoSpaceDN w:val="0"/>
        <w:adjustRightInd w:val="0"/>
        <w:spacing w:after="0" w:line="240" w:lineRule="auto"/>
        <w:jc w:val="both"/>
        <w:rPr>
          <w:rFonts w:ascii="Arial" w:eastAsia="Times New Roman" w:hAnsi="Arial" w:cs="Arial"/>
          <w:bCs/>
          <w:sz w:val="20"/>
          <w:szCs w:val="20"/>
        </w:rPr>
      </w:pPr>
    </w:p>
    <w:p w14:paraId="46C998CE" w14:textId="75AF1109" w:rsidR="00F63581" w:rsidRPr="00EB650B" w:rsidRDefault="00ED7EE6" w:rsidP="00B824DF">
      <w:pPr>
        <w:autoSpaceDE w:val="0"/>
        <w:autoSpaceDN w:val="0"/>
        <w:adjustRightInd w:val="0"/>
        <w:spacing w:after="0" w:line="240" w:lineRule="auto"/>
        <w:jc w:val="both"/>
        <w:rPr>
          <w:rFonts w:ascii="Arial" w:eastAsia="Times New Roman" w:hAnsi="Arial" w:cs="Arial"/>
          <w:sz w:val="20"/>
          <w:szCs w:val="20"/>
        </w:rPr>
      </w:pPr>
      <w:bookmarkStart w:id="387" w:name="_Hlk101953244"/>
      <w:r w:rsidRPr="00EB650B">
        <w:rPr>
          <w:rFonts w:ascii="Arial" w:eastAsia="Times New Roman" w:hAnsi="Arial" w:cs="Arial"/>
          <w:b/>
          <w:bCs/>
          <w:sz w:val="20"/>
          <w:szCs w:val="20"/>
        </w:rPr>
        <w:t>U</w:t>
      </w:r>
      <w:r w:rsidR="00B824DF" w:rsidRPr="00EB650B">
        <w:rPr>
          <w:rFonts w:ascii="Arial" w:eastAsia="Times New Roman" w:hAnsi="Arial" w:cs="Arial"/>
          <w:b/>
          <w:bCs/>
          <w:sz w:val="20"/>
          <w:szCs w:val="20"/>
        </w:rPr>
        <w:t xml:space="preserve"> 202</w:t>
      </w:r>
      <w:r w:rsidR="00F21318">
        <w:rPr>
          <w:rFonts w:ascii="Arial" w:eastAsia="Times New Roman" w:hAnsi="Arial" w:cs="Arial"/>
          <w:b/>
          <w:bCs/>
          <w:sz w:val="20"/>
          <w:szCs w:val="20"/>
        </w:rPr>
        <w:t>5</w:t>
      </w:r>
      <w:r w:rsidR="00B824DF" w:rsidRPr="00EB650B">
        <w:rPr>
          <w:rFonts w:ascii="Arial" w:eastAsia="Times New Roman" w:hAnsi="Arial" w:cs="Arial"/>
          <w:b/>
          <w:bCs/>
          <w:sz w:val="20"/>
          <w:szCs w:val="20"/>
        </w:rPr>
        <w:t>. godini</w:t>
      </w:r>
      <w:r w:rsidR="00B824DF" w:rsidRPr="00EB650B">
        <w:rPr>
          <w:rFonts w:ascii="Arial" w:eastAsia="Times New Roman" w:hAnsi="Arial" w:cs="Arial"/>
          <w:sz w:val="20"/>
          <w:szCs w:val="20"/>
        </w:rPr>
        <w:t xml:space="preserve"> </w:t>
      </w:r>
      <w:r w:rsidR="009127BD" w:rsidRPr="00EB650B">
        <w:rPr>
          <w:rFonts w:ascii="Arial" w:eastAsia="Times New Roman" w:hAnsi="Arial" w:cs="Arial"/>
          <w:sz w:val="20"/>
          <w:szCs w:val="20"/>
        </w:rPr>
        <w:t>nije bilo odobravanja beskamatnog zajma</w:t>
      </w:r>
      <w:r w:rsidR="00F63581" w:rsidRPr="00EB650B">
        <w:rPr>
          <w:rFonts w:ascii="Arial" w:eastAsia="Times New Roman" w:hAnsi="Arial" w:cs="Arial"/>
          <w:sz w:val="20"/>
          <w:szCs w:val="20"/>
        </w:rPr>
        <w:t>, a nije bilo niti povrata beskamatnih zajmova.</w:t>
      </w:r>
    </w:p>
    <w:p w14:paraId="1A539E57" w14:textId="77777777" w:rsidR="00F63581" w:rsidRPr="00EB650B" w:rsidRDefault="00F63581" w:rsidP="00B824DF">
      <w:pPr>
        <w:autoSpaceDE w:val="0"/>
        <w:autoSpaceDN w:val="0"/>
        <w:adjustRightInd w:val="0"/>
        <w:spacing w:after="0" w:line="240" w:lineRule="auto"/>
        <w:jc w:val="both"/>
        <w:rPr>
          <w:rFonts w:ascii="Arial" w:eastAsia="Times New Roman" w:hAnsi="Arial" w:cs="Arial"/>
          <w:sz w:val="20"/>
          <w:szCs w:val="20"/>
        </w:rPr>
      </w:pPr>
    </w:p>
    <w:p w14:paraId="0FEDEC4C" w14:textId="4685E94A" w:rsidR="00B824DF" w:rsidRPr="00EB650B" w:rsidRDefault="00F63581" w:rsidP="00B824DF">
      <w:pPr>
        <w:autoSpaceDE w:val="0"/>
        <w:autoSpaceDN w:val="0"/>
        <w:adjustRightInd w:val="0"/>
        <w:spacing w:after="0" w:line="240" w:lineRule="auto"/>
        <w:jc w:val="both"/>
        <w:rPr>
          <w:rFonts w:ascii="Arial" w:eastAsia="Times New Roman" w:hAnsi="Arial" w:cs="Arial"/>
          <w:bCs/>
          <w:iCs/>
          <w:sz w:val="20"/>
          <w:szCs w:val="20"/>
        </w:rPr>
      </w:pPr>
      <w:r w:rsidRPr="00EB650B">
        <w:rPr>
          <w:rFonts w:ascii="Arial" w:eastAsia="Times New Roman" w:hAnsi="Arial" w:cs="Arial"/>
          <w:sz w:val="20"/>
          <w:szCs w:val="20"/>
        </w:rPr>
        <w:t>P</w:t>
      </w:r>
      <w:r w:rsidR="009127BD" w:rsidRPr="00EB650B">
        <w:rPr>
          <w:rFonts w:ascii="Arial" w:eastAsia="Times New Roman" w:hAnsi="Arial" w:cs="Arial"/>
          <w:sz w:val="20"/>
          <w:szCs w:val="20"/>
        </w:rPr>
        <w:t xml:space="preserve">ovrat </w:t>
      </w:r>
      <w:r w:rsidR="009127BD" w:rsidRPr="00EB650B">
        <w:rPr>
          <w:rFonts w:ascii="Arial" w:hAnsi="Arial" w:cs="Arial"/>
          <w:bCs/>
          <w:iCs/>
          <w:sz w:val="20"/>
          <w:szCs w:val="20"/>
        </w:rPr>
        <w:t>poreza na dohodak po godišnjoj prijavi za 2023. godinu temeljem Naputka o načinu uplaćivanja prihoda proračuna, obveznih doprinosa te prihoda za financiranje drugih javnih potreba u 2024. godini (Narodne novine, br. 15/24) isplaćivao se na teret računa državnog proračuna, a povrati su se izvršavali iz raspoloživih sredstava sljedećeg dana</w:t>
      </w:r>
      <w:r w:rsidR="00ED7EE6" w:rsidRPr="00EB650B">
        <w:rPr>
          <w:rFonts w:ascii="Arial" w:hAnsi="Arial" w:cs="Arial"/>
          <w:bCs/>
          <w:iCs/>
          <w:sz w:val="20"/>
          <w:szCs w:val="20"/>
        </w:rPr>
        <w:t>.</w:t>
      </w:r>
    </w:p>
    <w:p w14:paraId="626A9219" w14:textId="77777777" w:rsidR="009127BD" w:rsidRPr="00EB650B" w:rsidRDefault="009127BD" w:rsidP="005E0D1A">
      <w:pPr>
        <w:spacing w:after="0" w:line="240" w:lineRule="auto"/>
        <w:ind w:firstLine="567"/>
        <w:jc w:val="both"/>
        <w:rPr>
          <w:rFonts w:ascii="Arial" w:hAnsi="Arial" w:cs="Arial"/>
          <w:sz w:val="20"/>
          <w:szCs w:val="20"/>
        </w:rPr>
      </w:pPr>
    </w:p>
    <w:p w14:paraId="76816E0A" w14:textId="40A98FFE" w:rsidR="005E0D1A" w:rsidRPr="00EB2587" w:rsidRDefault="00373623" w:rsidP="005E0D1A">
      <w:pPr>
        <w:spacing w:after="0" w:line="240" w:lineRule="auto"/>
        <w:ind w:firstLine="567"/>
        <w:jc w:val="both"/>
        <w:rPr>
          <w:rFonts w:ascii="Arial" w:eastAsia="Times New Roman" w:hAnsi="Arial" w:cs="Arial"/>
          <w:b/>
          <w:bCs/>
          <w:sz w:val="20"/>
          <w:szCs w:val="20"/>
        </w:rPr>
      </w:pPr>
      <w:r w:rsidRPr="00EB650B">
        <w:rPr>
          <w:rFonts w:ascii="Arial" w:hAnsi="Arial" w:cs="Arial"/>
          <w:sz w:val="20"/>
          <w:szCs w:val="20"/>
        </w:rPr>
        <w:t xml:space="preserve">Obveze za </w:t>
      </w:r>
      <w:r w:rsidRPr="00EB650B">
        <w:rPr>
          <w:rFonts w:ascii="Arial" w:hAnsi="Arial" w:cs="Arial"/>
          <w:b/>
          <w:bCs/>
          <w:i/>
          <w:iCs/>
          <w:sz w:val="20"/>
          <w:szCs w:val="20"/>
        </w:rPr>
        <w:t>beskamatne zajmove od državnog proračuna</w:t>
      </w:r>
      <w:r w:rsidRPr="00EB650B">
        <w:rPr>
          <w:rFonts w:ascii="Arial" w:hAnsi="Arial" w:cs="Arial"/>
          <w:sz w:val="20"/>
          <w:szCs w:val="20"/>
        </w:rPr>
        <w:t xml:space="preserve"> koncem</w:t>
      </w:r>
      <w:r w:rsidR="00C41527" w:rsidRPr="00EB650B">
        <w:rPr>
          <w:rFonts w:ascii="Arial" w:hAnsi="Arial" w:cs="Arial"/>
          <w:sz w:val="20"/>
          <w:szCs w:val="20"/>
        </w:rPr>
        <w:t xml:space="preserve"> </w:t>
      </w:r>
      <w:r w:rsidR="00F21318">
        <w:rPr>
          <w:rFonts w:ascii="Arial" w:hAnsi="Arial" w:cs="Arial"/>
          <w:sz w:val="20"/>
          <w:szCs w:val="20"/>
        </w:rPr>
        <w:t xml:space="preserve">lipnja </w:t>
      </w:r>
      <w:r w:rsidR="00ED7EE6" w:rsidRPr="00EB650B">
        <w:rPr>
          <w:rFonts w:ascii="Arial" w:hAnsi="Arial" w:cs="Arial"/>
          <w:sz w:val="20"/>
          <w:szCs w:val="20"/>
        </w:rPr>
        <w:t>202</w:t>
      </w:r>
      <w:r w:rsidR="00F21318">
        <w:rPr>
          <w:rFonts w:ascii="Arial" w:hAnsi="Arial" w:cs="Arial"/>
          <w:sz w:val="20"/>
          <w:szCs w:val="20"/>
        </w:rPr>
        <w:t>5</w:t>
      </w:r>
      <w:r w:rsidR="00ED7EE6" w:rsidRPr="00EB650B">
        <w:rPr>
          <w:rFonts w:ascii="Arial" w:hAnsi="Arial" w:cs="Arial"/>
          <w:sz w:val="20"/>
          <w:szCs w:val="20"/>
        </w:rPr>
        <w:t xml:space="preserve">. su iste kao i koncem </w:t>
      </w:r>
      <w:r w:rsidRPr="00EB650B">
        <w:rPr>
          <w:rFonts w:ascii="Arial" w:hAnsi="Arial" w:cs="Arial"/>
          <w:sz w:val="20"/>
          <w:szCs w:val="20"/>
        </w:rPr>
        <w:t>20</w:t>
      </w:r>
      <w:r w:rsidR="00F21318">
        <w:rPr>
          <w:rFonts w:ascii="Arial" w:hAnsi="Arial" w:cs="Arial"/>
          <w:sz w:val="20"/>
          <w:szCs w:val="20"/>
        </w:rPr>
        <w:t>24</w:t>
      </w:r>
      <w:r w:rsidRPr="00EB650B">
        <w:rPr>
          <w:rFonts w:ascii="Arial" w:hAnsi="Arial" w:cs="Arial"/>
          <w:sz w:val="20"/>
          <w:szCs w:val="20"/>
        </w:rPr>
        <w:t xml:space="preserve"> godine</w:t>
      </w:r>
      <w:r w:rsidR="00ED7EE6" w:rsidRPr="00EB650B">
        <w:rPr>
          <w:rFonts w:ascii="Arial" w:hAnsi="Arial" w:cs="Arial"/>
          <w:sz w:val="20"/>
          <w:szCs w:val="20"/>
        </w:rPr>
        <w:t xml:space="preserve">, a iznose </w:t>
      </w:r>
      <w:r w:rsidR="00CD6C7F" w:rsidRPr="00EB2587">
        <w:rPr>
          <w:rFonts w:ascii="Arial" w:hAnsi="Arial" w:cs="Arial"/>
          <w:b/>
          <w:bCs/>
          <w:sz w:val="20"/>
          <w:szCs w:val="20"/>
        </w:rPr>
        <w:t>1.332.079,53</w:t>
      </w:r>
      <w:r w:rsidR="00C41527" w:rsidRPr="00EB2587">
        <w:rPr>
          <w:rFonts w:ascii="Arial" w:hAnsi="Arial" w:cs="Arial"/>
          <w:b/>
          <w:bCs/>
          <w:sz w:val="20"/>
          <w:szCs w:val="20"/>
        </w:rPr>
        <w:t xml:space="preserve"> €</w:t>
      </w:r>
      <w:r w:rsidRPr="00EB2587">
        <w:rPr>
          <w:rFonts w:ascii="Arial" w:hAnsi="Arial" w:cs="Arial"/>
          <w:b/>
          <w:bCs/>
          <w:sz w:val="20"/>
          <w:szCs w:val="20"/>
        </w:rPr>
        <w:t>.</w:t>
      </w:r>
      <w:r w:rsidR="00C41527" w:rsidRPr="00EB2587">
        <w:rPr>
          <w:rFonts w:ascii="Arial" w:hAnsi="Arial" w:cs="Arial"/>
          <w:b/>
          <w:bCs/>
          <w:sz w:val="20"/>
          <w:szCs w:val="20"/>
        </w:rPr>
        <w:t xml:space="preserve"> </w:t>
      </w:r>
      <w:bookmarkEnd w:id="387"/>
      <w:r w:rsidR="005E0D1A" w:rsidRPr="00EB2587">
        <w:rPr>
          <w:rFonts w:ascii="Arial" w:hAnsi="Arial" w:cs="Arial"/>
          <w:b/>
          <w:bCs/>
          <w:sz w:val="20"/>
          <w:szCs w:val="20"/>
          <w:lang w:eastAsia="en-US"/>
        </w:rPr>
        <w:t>K</w:t>
      </w:r>
      <w:r w:rsidR="005E0D1A" w:rsidRPr="00EB2587">
        <w:rPr>
          <w:rFonts w:ascii="Arial" w:eastAsia="Times New Roman" w:hAnsi="Arial" w:cs="Arial"/>
          <w:b/>
          <w:bCs/>
          <w:sz w:val="20"/>
          <w:szCs w:val="20"/>
        </w:rPr>
        <w:t xml:space="preserve">oncem </w:t>
      </w:r>
      <w:r w:rsidR="00F21318">
        <w:rPr>
          <w:rFonts w:ascii="Arial" w:eastAsia="Times New Roman" w:hAnsi="Arial" w:cs="Arial"/>
          <w:b/>
          <w:bCs/>
          <w:sz w:val="20"/>
          <w:szCs w:val="20"/>
        </w:rPr>
        <w:t xml:space="preserve">lipnja </w:t>
      </w:r>
      <w:r w:rsidR="005E0D1A" w:rsidRPr="00EB2587">
        <w:rPr>
          <w:rFonts w:ascii="Arial" w:eastAsia="Times New Roman" w:hAnsi="Arial" w:cs="Arial"/>
          <w:b/>
          <w:bCs/>
          <w:sz w:val="20"/>
          <w:szCs w:val="20"/>
        </w:rPr>
        <w:t>202</w:t>
      </w:r>
      <w:r w:rsidR="00F21318">
        <w:rPr>
          <w:rFonts w:ascii="Arial" w:eastAsia="Times New Roman" w:hAnsi="Arial" w:cs="Arial"/>
          <w:b/>
          <w:bCs/>
          <w:sz w:val="20"/>
          <w:szCs w:val="20"/>
        </w:rPr>
        <w:t>5</w:t>
      </w:r>
      <w:r w:rsidR="005E0D1A" w:rsidRPr="00EB2587">
        <w:rPr>
          <w:rFonts w:ascii="Arial" w:eastAsia="Times New Roman" w:hAnsi="Arial" w:cs="Arial"/>
          <w:b/>
          <w:bCs/>
          <w:sz w:val="20"/>
          <w:szCs w:val="20"/>
        </w:rPr>
        <w:t>. nema nedospjelih obveza.</w:t>
      </w:r>
    </w:p>
    <w:p w14:paraId="2AC577C1" w14:textId="77777777" w:rsidR="00C41527" w:rsidRPr="00EB650B" w:rsidRDefault="00C41527" w:rsidP="00C41527">
      <w:pPr>
        <w:autoSpaceDE w:val="0"/>
        <w:autoSpaceDN w:val="0"/>
        <w:adjustRightInd w:val="0"/>
        <w:spacing w:after="0" w:line="240" w:lineRule="auto"/>
        <w:jc w:val="both"/>
        <w:rPr>
          <w:rFonts w:ascii="Arial" w:eastAsia="Times New Roman" w:hAnsi="Arial" w:cs="Arial"/>
          <w:sz w:val="20"/>
          <w:szCs w:val="20"/>
        </w:rPr>
      </w:pPr>
    </w:p>
    <w:p w14:paraId="2992B154" w14:textId="510FF8DE" w:rsidR="005E0D1A" w:rsidRPr="00EB650B" w:rsidRDefault="00C41527" w:rsidP="00C41527">
      <w:pPr>
        <w:spacing w:after="0" w:line="240" w:lineRule="auto"/>
        <w:ind w:firstLine="567"/>
        <w:jc w:val="both"/>
        <w:rPr>
          <w:rFonts w:ascii="Arial" w:hAnsi="Arial" w:cs="Arial"/>
          <w:sz w:val="20"/>
          <w:szCs w:val="20"/>
          <w:lang w:eastAsia="en-US"/>
        </w:rPr>
      </w:pPr>
      <w:r w:rsidRPr="00EB650B">
        <w:rPr>
          <w:rFonts w:ascii="Arial" w:hAnsi="Arial" w:cs="Arial"/>
          <w:sz w:val="20"/>
          <w:szCs w:val="20"/>
          <w:lang w:eastAsia="en-US"/>
        </w:rPr>
        <w:lastRenderedPageBreak/>
        <w:t xml:space="preserve">U tablici u nastavku iskazan je pregled obveza za beskamatne zajmove Općini iz državnog proračuna. </w:t>
      </w:r>
      <w:r w:rsidRPr="00EB650B">
        <w:rPr>
          <w:rFonts w:ascii="Arial" w:eastAsia="Times New Roman" w:hAnsi="Arial" w:cs="Arial"/>
          <w:sz w:val="20"/>
          <w:szCs w:val="20"/>
        </w:rPr>
        <w:t xml:space="preserve">Ministarstvo financija je </w:t>
      </w:r>
      <w:r w:rsidRPr="00EB650B">
        <w:rPr>
          <w:rFonts w:ascii="Arial" w:hAnsi="Arial" w:cs="Arial"/>
          <w:sz w:val="20"/>
          <w:szCs w:val="20"/>
          <w:lang w:eastAsia="en-US"/>
        </w:rPr>
        <w:t>ranije utvrdilo da će sve dospjele obveze koje ne budu podmirene u roku dospijeća podijeliti u četiri mjesečna obroka, te poslovnim bankama poslati naloge za izvršenje.</w:t>
      </w:r>
    </w:p>
    <w:p w14:paraId="51749B48" w14:textId="77777777" w:rsidR="005E0D1A" w:rsidRPr="003A2F86" w:rsidRDefault="005E0D1A" w:rsidP="006C228F">
      <w:pPr>
        <w:spacing w:after="0" w:line="240" w:lineRule="auto"/>
        <w:rPr>
          <w:lang w:eastAsia="en-US"/>
        </w:rPr>
      </w:pPr>
    </w:p>
    <w:p w14:paraId="7FB6DAD5" w14:textId="4C8B50F7" w:rsidR="0083004A" w:rsidRPr="003A2F86" w:rsidRDefault="0083004A" w:rsidP="0083004A">
      <w:pPr>
        <w:pStyle w:val="Opisslike"/>
      </w:pPr>
      <w:bookmarkStart w:id="388" w:name="_Toc207706993"/>
      <w:r w:rsidRPr="003A2F86">
        <w:rPr>
          <w:color w:val="FF0000"/>
        </w:rPr>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29</w:t>
      </w:r>
      <w:r w:rsidRPr="003A2F86">
        <w:rPr>
          <w:color w:val="FF0000"/>
        </w:rPr>
        <w:fldChar w:fldCharType="end"/>
      </w:r>
      <w:r w:rsidRPr="003A2F86">
        <w:rPr>
          <w:color w:val="FF0000"/>
        </w:rPr>
        <w:t>:</w:t>
      </w:r>
      <w:r w:rsidRPr="003A2F86">
        <w:rPr>
          <w:color w:val="7030A0"/>
        </w:rPr>
        <w:t xml:space="preserve"> </w:t>
      </w:r>
      <w:r w:rsidRPr="003A2F86">
        <w:rPr>
          <w:rFonts w:ascii="Arial" w:hAnsi="Arial" w:cs="Arial"/>
          <w:bCs w:val="0"/>
          <w:iCs/>
        </w:rPr>
        <w:t xml:space="preserve">Pregled obveza za beskamatne zajmove Općini iz državnog proračuna na dan </w:t>
      </w:r>
      <w:r w:rsidR="00F21318">
        <w:rPr>
          <w:rFonts w:ascii="Arial" w:hAnsi="Arial" w:cs="Arial"/>
          <w:bCs w:val="0"/>
          <w:iCs/>
        </w:rPr>
        <w:t>30.06.2025</w:t>
      </w:r>
      <w:r w:rsidRPr="003A2F86">
        <w:rPr>
          <w:rFonts w:ascii="Arial" w:hAnsi="Arial" w:cs="Arial"/>
          <w:bCs w:val="0"/>
          <w:iCs/>
        </w:rPr>
        <w:t>.</w:t>
      </w:r>
      <w:bookmarkEnd w:id="388"/>
      <w:r w:rsidRPr="003A2F86">
        <w:rPr>
          <w:rFonts w:ascii="Arial" w:hAnsi="Arial" w:cs="Arial"/>
          <w:bCs w:val="0"/>
          <w:iCs/>
        </w:rPr>
        <w:t xml:space="preserve"> </w:t>
      </w:r>
    </w:p>
    <w:p w14:paraId="24F60D40" w14:textId="77777777" w:rsidR="0083004A" w:rsidRPr="003A2F86" w:rsidRDefault="0083004A" w:rsidP="0083004A">
      <w:pPr>
        <w:autoSpaceDE w:val="0"/>
        <w:autoSpaceDN w:val="0"/>
        <w:adjustRightInd w:val="0"/>
        <w:spacing w:after="0" w:line="240" w:lineRule="auto"/>
        <w:jc w:val="both"/>
        <w:rPr>
          <w:rFonts w:ascii="Arial" w:eastAsia="Times New Roman" w:hAnsi="Arial" w:cs="Arial"/>
          <w:sz w:val="14"/>
          <w:szCs w:val="14"/>
        </w:rPr>
      </w:pPr>
    </w:p>
    <w:p w14:paraId="7122A70D" w14:textId="7733923B" w:rsidR="00B56C60" w:rsidRPr="003A2F86" w:rsidRDefault="0042261F" w:rsidP="006C228F">
      <w:pPr>
        <w:autoSpaceDE w:val="0"/>
        <w:autoSpaceDN w:val="0"/>
        <w:adjustRightInd w:val="0"/>
        <w:spacing w:after="0" w:line="240" w:lineRule="auto"/>
        <w:jc w:val="center"/>
        <w:rPr>
          <w:rFonts w:ascii="Arial" w:eastAsia="Times New Roman" w:hAnsi="Arial" w:cs="Arial"/>
          <w:sz w:val="20"/>
          <w:szCs w:val="20"/>
        </w:rPr>
      </w:pPr>
      <w:r w:rsidRPr="0042261F">
        <w:rPr>
          <w:noProof/>
        </w:rPr>
        <w:drawing>
          <wp:inline distT="0" distB="0" distL="0" distR="0" wp14:anchorId="7D993F0E" wp14:editId="70954CB2">
            <wp:extent cx="4846700" cy="2398700"/>
            <wp:effectExtent l="0" t="0" r="0" b="1905"/>
            <wp:docPr id="121272202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54672" cy="2402646"/>
                    </a:xfrm>
                    <a:prstGeom prst="rect">
                      <a:avLst/>
                    </a:prstGeom>
                    <a:noFill/>
                    <a:ln>
                      <a:noFill/>
                    </a:ln>
                  </pic:spPr>
                </pic:pic>
              </a:graphicData>
            </a:graphic>
          </wp:inline>
        </w:drawing>
      </w:r>
    </w:p>
    <w:p w14:paraId="534509E6" w14:textId="77777777" w:rsidR="00B54FEA" w:rsidRPr="00C00955" w:rsidRDefault="00B54FEA" w:rsidP="0083004A">
      <w:pPr>
        <w:autoSpaceDE w:val="0"/>
        <w:autoSpaceDN w:val="0"/>
        <w:adjustRightInd w:val="0"/>
        <w:spacing w:after="0" w:line="240" w:lineRule="auto"/>
        <w:jc w:val="both"/>
        <w:rPr>
          <w:rFonts w:ascii="Arial" w:hAnsi="Arial" w:cs="Arial"/>
          <w:bCs/>
          <w:iCs/>
        </w:rPr>
      </w:pPr>
      <w:bookmarkStart w:id="389" w:name="_Hlk146004861"/>
    </w:p>
    <w:p w14:paraId="53315532" w14:textId="2CA5C23E" w:rsidR="0083004A" w:rsidRPr="00EB650B" w:rsidRDefault="0083004A" w:rsidP="0083004A">
      <w:pPr>
        <w:autoSpaceDE w:val="0"/>
        <w:autoSpaceDN w:val="0"/>
        <w:adjustRightInd w:val="0"/>
        <w:spacing w:after="0" w:line="240" w:lineRule="auto"/>
        <w:jc w:val="both"/>
        <w:rPr>
          <w:rFonts w:ascii="Arial" w:eastAsia="Times New Roman" w:hAnsi="Arial" w:cs="Arial"/>
          <w:sz w:val="20"/>
          <w:szCs w:val="20"/>
        </w:rPr>
      </w:pPr>
      <w:bookmarkStart w:id="390" w:name="_Hlk176506597"/>
      <w:r w:rsidRPr="00EB650B">
        <w:rPr>
          <w:rFonts w:ascii="Arial" w:hAnsi="Arial" w:cs="Arial"/>
          <w:bCs/>
          <w:iCs/>
          <w:sz w:val="20"/>
          <w:szCs w:val="20"/>
        </w:rPr>
        <w:t>Obaveze za zajmove iz državnog proračuna (267) su početkom 202</w:t>
      </w:r>
      <w:r w:rsidR="0042261F">
        <w:rPr>
          <w:rFonts w:ascii="Arial" w:hAnsi="Arial" w:cs="Arial"/>
          <w:bCs/>
          <w:iCs/>
          <w:sz w:val="20"/>
          <w:szCs w:val="20"/>
        </w:rPr>
        <w:t>5</w:t>
      </w:r>
      <w:r w:rsidRPr="00EB650B">
        <w:rPr>
          <w:rFonts w:ascii="Arial" w:hAnsi="Arial" w:cs="Arial"/>
          <w:bCs/>
          <w:iCs/>
          <w:sz w:val="20"/>
          <w:szCs w:val="20"/>
        </w:rPr>
        <w:t xml:space="preserve">. godine iznosile </w:t>
      </w:r>
      <w:r w:rsidR="00B56C60" w:rsidRPr="00EB650B">
        <w:rPr>
          <w:rFonts w:ascii="Arial" w:hAnsi="Arial" w:cs="Arial"/>
          <w:bCs/>
          <w:iCs/>
          <w:sz w:val="20"/>
          <w:szCs w:val="20"/>
        </w:rPr>
        <w:t>1.332.</w:t>
      </w:r>
      <w:r w:rsidR="00ED7EE6" w:rsidRPr="00EB650B">
        <w:rPr>
          <w:rFonts w:ascii="Arial" w:hAnsi="Arial" w:cs="Arial"/>
          <w:bCs/>
          <w:iCs/>
          <w:sz w:val="20"/>
          <w:szCs w:val="20"/>
        </w:rPr>
        <w:t>079,53</w:t>
      </w:r>
      <w:r w:rsidR="00B56C60" w:rsidRPr="00EB650B">
        <w:rPr>
          <w:rFonts w:ascii="Arial" w:hAnsi="Arial" w:cs="Arial"/>
          <w:bCs/>
          <w:iCs/>
          <w:sz w:val="20"/>
          <w:szCs w:val="20"/>
        </w:rPr>
        <w:t xml:space="preserve"> €</w:t>
      </w:r>
      <w:r w:rsidRPr="00EB650B">
        <w:rPr>
          <w:rFonts w:ascii="Arial" w:hAnsi="Arial" w:cs="Arial"/>
          <w:bCs/>
          <w:iCs/>
          <w:sz w:val="20"/>
          <w:szCs w:val="20"/>
        </w:rPr>
        <w:t xml:space="preserve">, </w:t>
      </w:r>
      <w:r w:rsidR="00ED7EE6" w:rsidRPr="00EB650B">
        <w:rPr>
          <w:rFonts w:ascii="Arial" w:hAnsi="Arial" w:cs="Arial"/>
          <w:bCs/>
          <w:iCs/>
          <w:sz w:val="20"/>
          <w:szCs w:val="20"/>
        </w:rPr>
        <w:t>kao i koncem</w:t>
      </w:r>
      <w:r w:rsidR="0042261F">
        <w:rPr>
          <w:rFonts w:ascii="Arial" w:hAnsi="Arial" w:cs="Arial"/>
          <w:bCs/>
          <w:iCs/>
          <w:sz w:val="20"/>
          <w:szCs w:val="20"/>
        </w:rPr>
        <w:t xml:space="preserve"> lipnja</w:t>
      </w:r>
      <w:r w:rsidR="00ED7EE6" w:rsidRPr="00EB650B">
        <w:rPr>
          <w:rFonts w:ascii="Arial" w:hAnsi="Arial" w:cs="Arial"/>
          <w:bCs/>
          <w:iCs/>
          <w:sz w:val="20"/>
          <w:szCs w:val="20"/>
        </w:rPr>
        <w:t xml:space="preserve"> 202</w:t>
      </w:r>
      <w:r w:rsidR="0042261F">
        <w:rPr>
          <w:rFonts w:ascii="Arial" w:hAnsi="Arial" w:cs="Arial"/>
          <w:bCs/>
          <w:iCs/>
          <w:sz w:val="20"/>
          <w:szCs w:val="20"/>
        </w:rPr>
        <w:t>5</w:t>
      </w:r>
      <w:r w:rsidR="00ED7EE6" w:rsidRPr="00EB650B">
        <w:rPr>
          <w:rFonts w:ascii="Arial" w:hAnsi="Arial" w:cs="Arial"/>
          <w:bCs/>
          <w:iCs/>
          <w:sz w:val="20"/>
          <w:szCs w:val="20"/>
        </w:rPr>
        <w:t>.</w:t>
      </w:r>
      <w:r w:rsidRPr="00EB650B">
        <w:rPr>
          <w:rFonts w:ascii="Arial" w:hAnsi="Arial" w:cs="Arial"/>
          <w:bCs/>
          <w:iCs/>
          <w:sz w:val="20"/>
          <w:szCs w:val="20"/>
        </w:rPr>
        <w:t xml:space="preserve"> </w:t>
      </w:r>
      <w:r w:rsidR="0094439F" w:rsidRPr="00EB650B">
        <w:rPr>
          <w:rFonts w:ascii="Arial" w:hAnsi="Arial" w:cs="Arial"/>
          <w:bCs/>
          <w:iCs/>
          <w:sz w:val="20"/>
          <w:szCs w:val="20"/>
        </w:rPr>
        <w:t xml:space="preserve">Nema dospjelih obveza. </w:t>
      </w:r>
    </w:p>
    <w:bookmarkEnd w:id="390"/>
    <w:p w14:paraId="269E521B" w14:textId="77777777" w:rsidR="0083004A" w:rsidRPr="00C00955" w:rsidRDefault="0083004A" w:rsidP="0083004A">
      <w:pPr>
        <w:autoSpaceDE w:val="0"/>
        <w:autoSpaceDN w:val="0"/>
        <w:adjustRightInd w:val="0"/>
        <w:spacing w:after="0" w:line="240" w:lineRule="auto"/>
        <w:jc w:val="both"/>
        <w:rPr>
          <w:rFonts w:ascii="Arial" w:eastAsia="Times New Roman" w:hAnsi="Arial" w:cs="Arial"/>
        </w:rPr>
      </w:pPr>
    </w:p>
    <w:p w14:paraId="7E6B6512" w14:textId="0B210C17" w:rsidR="00651105" w:rsidRPr="003A2F86" w:rsidRDefault="00651105" w:rsidP="00651105">
      <w:pPr>
        <w:pStyle w:val="Opisslike"/>
        <w:keepNext/>
        <w:jc w:val="both"/>
      </w:pPr>
      <w:bookmarkStart w:id="391" w:name="_Toc207706994"/>
      <w:r w:rsidRPr="003A2F86">
        <w:rPr>
          <w:color w:val="FF0000"/>
        </w:rPr>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30</w:t>
      </w:r>
      <w:r w:rsidRPr="003A2F86">
        <w:rPr>
          <w:color w:val="FF0000"/>
        </w:rPr>
        <w:fldChar w:fldCharType="end"/>
      </w:r>
      <w:r w:rsidRPr="003A2F86">
        <w:rPr>
          <w:color w:val="FF0000"/>
        </w:rPr>
        <w:t>.</w:t>
      </w:r>
      <w:r w:rsidRPr="003A2F86">
        <w:t xml:space="preserve">: </w:t>
      </w:r>
      <w:r w:rsidRPr="003A2F86">
        <w:rPr>
          <w:rFonts w:ascii="Arial" w:hAnsi="Arial" w:cs="Arial"/>
          <w:bCs w:val="0"/>
          <w:iCs/>
        </w:rPr>
        <w:t>Pregled obveza za beskamatne zajmove i iznos otplata zajmova u narednim godinama</w:t>
      </w:r>
      <w:bookmarkEnd w:id="391"/>
      <w:r w:rsidRPr="003A2F86">
        <w:t xml:space="preserve"> </w:t>
      </w:r>
    </w:p>
    <w:p w14:paraId="49F4C6BB" w14:textId="77777777" w:rsidR="00651105" w:rsidRPr="003A2F86" w:rsidRDefault="00651105" w:rsidP="00651105">
      <w:pPr>
        <w:spacing w:after="0" w:line="240" w:lineRule="auto"/>
        <w:rPr>
          <w:lang w:eastAsia="en-US"/>
        </w:rPr>
      </w:pPr>
    </w:p>
    <w:bookmarkEnd w:id="389"/>
    <w:p w14:paraId="07D6A696" w14:textId="329ED642" w:rsidR="007A09E5" w:rsidRPr="003A2F86" w:rsidRDefault="0042261F" w:rsidP="00F55637">
      <w:pPr>
        <w:autoSpaceDE w:val="0"/>
        <w:autoSpaceDN w:val="0"/>
        <w:adjustRightInd w:val="0"/>
        <w:spacing w:after="0" w:line="240" w:lineRule="auto"/>
        <w:jc w:val="center"/>
        <w:rPr>
          <w:rFonts w:ascii="Arial" w:eastAsia="Times New Roman" w:hAnsi="Arial" w:cs="Arial"/>
        </w:rPr>
      </w:pPr>
      <w:r w:rsidRPr="0042261F">
        <w:rPr>
          <w:noProof/>
        </w:rPr>
        <w:lastRenderedPageBreak/>
        <w:drawing>
          <wp:inline distT="0" distB="0" distL="0" distR="0" wp14:anchorId="0762694B" wp14:editId="2940B650">
            <wp:extent cx="4536440" cy="2208530"/>
            <wp:effectExtent l="0" t="0" r="0" b="1270"/>
            <wp:docPr id="182587228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36440" cy="2208530"/>
                    </a:xfrm>
                    <a:prstGeom prst="rect">
                      <a:avLst/>
                    </a:prstGeom>
                    <a:noFill/>
                    <a:ln>
                      <a:noFill/>
                    </a:ln>
                  </pic:spPr>
                </pic:pic>
              </a:graphicData>
            </a:graphic>
          </wp:inline>
        </w:drawing>
      </w:r>
    </w:p>
    <w:p w14:paraId="5FE5C62F" w14:textId="77777777" w:rsidR="00B02ED8" w:rsidRPr="003A2F86" w:rsidRDefault="00B02ED8" w:rsidP="00B02ED8">
      <w:pPr>
        <w:autoSpaceDE w:val="0"/>
        <w:autoSpaceDN w:val="0"/>
        <w:adjustRightInd w:val="0"/>
        <w:spacing w:after="0" w:line="240" w:lineRule="auto"/>
        <w:jc w:val="both"/>
        <w:rPr>
          <w:rFonts w:ascii="Arial" w:eastAsia="Times New Roman" w:hAnsi="Arial" w:cs="Arial"/>
          <w:sz w:val="12"/>
        </w:rPr>
      </w:pPr>
    </w:p>
    <w:p w14:paraId="205D056A" w14:textId="77777777" w:rsidR="006A400F" w:rsidRPr="003A2F86" w:rsidRDefault="006A400F" w:rsidP="00B02ED8">
      <w:pPr>
        <w:autoSpaceDE w:val="0"/>
        <w:autoSpaceDN w:val="0"/>
        <w:adjustRightInd w:val="0"/>
        <w:spacing w:after="0" w:line="240" w:lineRule="auto"/>
        <w:jc w:val="both"/>
        <w:rPr>
          <w:rFonts w:ascii="Arial" w:eastAsia="Times New Roman" w:hAnsi="Arial" w:cs="Arial"/>
          <w:sz w:val="12"/>
        </w:rPr>
      </w:pPr>
    </w:p>
    <w:p w14:paraId="0CF0E32D" w14:textId="116C560E" w:rsidR="00B02ED8" w:rsidRPr="00C00955" w:rsidRDefault="00B02ED8" w:rsidP="00B02ED8">
      <w:pPr>
        <w:pStyle w:val="Naslov3"/>
        <w:jc w:val="center"/>
        <w:rPr>
          <w:rFonts w:ascii="Arial" w:hAnsi="Arial" w:cs="Arial"/>
          <w:sz w:val="22"/>
          <w:szCs w:val="22"/>
          <w:lang w:val="hr-HR"/>
        </w:rPr>
      </w:pPr>
      <w:bookmarkStart w:id="392" w:name="_Toc207707490"/>
      <w:r w:rsidRPr="00C00955">
        <w:rPr>
          <w:rFonts w:ascii="Arial" w:hAnsi="Arial" w:cs="Arial"/>
          <w:sz w:val="22"/>
          <w:szCs w:val="22"/>
          <w:lang w:val="hr-HR"/>
        </w:rPr>
        <w:t>4.2.2.</w:t>
      </w:r>
      <w:r w:rsidRPr="00C00955">
        <w:rPr>
          <w:rFonts w:ascii="Arial" w:hAnsi="Arial" w:cs="Arial"/>
          <w:sz w:val="22"/>
          <w:szCs w:val="22"/>
          <w:lang w:val="hr-HR"/>
        </w:rPr>
        <w:tab/>
        <w:t>PREGLED PRIMLJENIH KREDITA I OBVEZA PO KREDITIMA – PRORAČUNSKI KORISNICI</w:t>
      </w:r>
      <w:bookmarkEnd w:id="392"/>
    </w:p>
    <w:p w14:paraId="1047F09F" w14:textId="77777777" w:rsidR="00B02ED8" w:rsidRPr="00C00955" w:rsidRDefault="00B02ED8" w:rsidP="00B02ED8">
      <w:pPr>
        <w:autoSpaceDE w:val="0"/>
        <w:autoSpaceDN w:val="0"/>
        <w:adjustRightInd w:val="0"/>
        <w:spacing w:after="0" w:line="240" w:lineRule="auto"/>
        <w:jc w:val="both"/>
        <w:rPr>
          <w:rFonts w:ascii="Arial" w:eastAsia="Times New Roman" w:hAnsi="Arial" w:cs="Arial"/>
          <w:sz w:val="12"/>
        </w:rPr>
      </w:pPr>
    </w:p>
    <w:p w14:paraId="32E6AAE0" w14:textId="77777777" w:rsidR="00B02ED8" w:rsidRPr="00C00955" w:rsidRDefault="00B02ED8" w:rsidP="00B02ED8">
      <w:pPr>
        <w:autoSpaceDE w:val="0"/>
        <w:autoSpaceDN w:val="0"/>
        <w:adjustRightInd w:val="0"/>
        <w:spacing w:after="0" w:line="240" w:lineRule="auto"/>
        <w:jc w:val="both"/>
        <w:rPr>
          <w:rFonts w:ascii="Arial" w:eastAsia="Times New Roman" w:hAnsi="Arial" w:cs="Arial"/>
          <w:sz w:val="12"/>
        </w:rPr>
      </w:pPr>
    </w:p>
    <w:p w14:paraId="0D4BBE7A" w14:textId="5947E8DC" w:rsidR="00AB5F4A" w:rsidRPr="00EB650B" w:rsidRDefault="00AB5F4A" w:rsidP="00AB5F4A">
      <w:pPr>
        <w:autoSpaceDE w:val="0"/>
        <w:autoSpaceDN w:val="0"/>
        <w:adjustRightInd w:val="0"/>
        <w:spacing w:after="0" w:line="240" w:lineRule="auto"/>
        <w:jc w:val="both"/>
        <w:rPr>
          <w:rFonts w:ascii="Arial" w:eastAsia="Times New Roman" w:hAnsi="Arial" w:cs="Arial"/>
          <w:sz w:val="20"/>
          <w:szCs w:val="20"/>
        </w:rPr>
      </w:pPr>
      <w:r w:rsidRPr="00EB650B">
        <w:rPr>
          <w:rFonts w:ascii="Arial" w:eastAsia="Times New Roman" w:hAnsi="Arial" w:cs="Arial"/>
          <w:sz w:val="20"/>
          <w:szCs w:val="20"/>
        </w:rPr>
        <w:t xml:space="preserve">Proračunski korisnici Općine Konavle (Dječji vrtić Konavle, Muzeji i galerije Konavala, Javna vatrogasna postrojba Konavle, Dom za starije i nemoćne osobe Konavle) nisu se zaduživali i nemaju primljenih kredita niti zajmova, te nemaju niti obveza po kreditima i zajmovima. </w:t>
      </w:r>
    </w:p>
    <w:p w14:paraId="6DC58A97" w14:textId="77777777" w:rsidR="00F2348E" w:rsidRPr="00C00955" w:rsidRDefault="00F2348E" w:rsidP="00891119">
      <w:pPr>
        <w:spacing w:after="0" w:line="240" w:lineRule="auto"/>
        <w:jc w:val="both"/>
        <w:rPr>
          <w:rFonts w:ascii="Arial" w:eastAsia="Calibri" w:hAnsi="Arial" w:cs="Arial"/>
          <w:lang w:eastAsia="en-US"/>
        </w:rPr>
      </w:pPr>
    </w:p>
    <w:p w14:paraId="5C079C21" w14:textId="65256FCB" w:rsidR="00891119" w:rsidRPr="00C00955" w:rsidRDefault="0052045C" w:rsidP="0052045C">
      <w:pPr>
        <w:pStyle w:val="Naslov2"/>
        <w:jc w:val="center"/>
        <w:rPr>
          <w:rFonts w:ascii="Arial" w:eastAsia="Calibri" w:hAnsi="Arial" w:cs="Arial"/>
          <w:sz w:val="22"/>
          <w:szCs w:val="22"/>
          <w:lang w:val="hr-HR"/>
        </w:rPr>
      </w:pPr>
      <w:bookmarkStart w:id="393" w:name="_4.3.__IZVJEŠTAJ"/>
      <w:bookmarkStart w:id="394" w:name="_Toc207707491"/>
      <w:bookmarkEnd w:id="393"/>
      <w:r w:rsidRPr="00C00955">
        <w:rPr>
          <w:rFonts w:ascii="Arial" w:eastAsia="Calibri" w:hAnsi="Arial" w:cs="Arial"/>
          <w:sz w:val="22"/>
          <w:szCs w:val="22"/>
          <w:lang w:val="hr-HR"/>
        </w:rPr>
        <w:t>4.3</w:t>
      </w:r>
      <w:r w:rsidR="00891119" w:rsidRPr="00C00955">
        <w:rPr>
          <w:rFonts w:ascii="Arial" w:eastAsia="Calibri" w:hAnsi="Arial" w:cs="Arial"/>
          <w:sz w:val="22"/>
          <w:szCs w:val="22"/>
          <w:lang w:val="hr-HR"/>
        </w:rPr>
        <w:t xml:space="preserve">. </w:t>
      </w:r>
      <w:r w:rsidR="00891119" w:rsidRPr="00C00955">
        <w:rPr>
          <w:rFonts w:ascii="Arial" w:eastAsia="Calibri" w:hAnsi="Arial" w:cs="Arial"/>
          <w:sz w:val="22"/>
          <w:szCs w:val="22"/>
          <w:lang w:val="hr-HR"/>
        </w:rPr>
        <w:tab/>
      </w:r>
      <w:r w:rsidR="00F02C0B" w:rsidRPr="00C00955">
        <w:rPr>
          <w:rFonts w:ascii="Arial" w:eastAsia="Calibri" w:hAnsi="Arial" w:cs="Arial"/>
          <w:sz w:val="22"/>
          <w:szCs w:val="22"/>
          <w:lang w:val="hr-HR"/>
        </w:rPr>
        <w:t>IZVJEŠTAJ O D</w:t>
      </w:r>
      <w:bookmarkStart w:id="395" w:name="Dana_jamstva"/>
      <w:bookmarkEnd w:id="395"/>
      <w:r w:rsidR="00F02C0B" w:rsidRPr="00C00955">
        <w:rPr>
          <w:rFonts w:ascii="Arial" w:eastAsia="Calibri" w:hAnsi="Arial" w:cs="Arial"/>
          <w:sz w:val="22"/>
          <w:szCs w:val="22"/>
          <w:lang w:val="hr-HR"/>
        </w:rPr>
        <w:t xml:space="preserve">ANIM JAMSTVIMA I </w:t>
      </w:r>
      <w:r w:rsidR="00D10F06" w:rsidRPr="00C00955">
        <w:rPr>
          <w:rFonts w:ascii="Arial" w:eastAsia="Calibri" w:hAnsi="Arial" w:cs="Arial"/>
          <w:sz w:val="22"/>
          <w:szCs w:val="22"/>
          <w:lang w:val="hr-HR"/>
        </w:rPr>
        <w:t>PLAĆANJIMA</w:t>
      </w:r>
      <w:r w:rsidR="00F02C0B" w:rsidRPr="00C00955">
        <w:rPr>
          <w:rFonts w:ascii="Arial" w:eastAsia="Calibri" w:hAnsi="Arial" w:cs="Arial"/>
          <w:sz w:val="22"/>
          <w:szCs w:val="22"/>
          <w:lang w:val="hr-HR"/>
        </w:rPr>
        <w:t xml:space="preserve"> PO </w:t>
      </w:r>
      <w:r w:rsidR="00D10F06" w:rsidRPr="00C00955">
        <w:rPr>
          <w:rFonts w:ascii="Arial" w:eastAsia="Calibri" w:hAnsi="Arial" w:cs="Arial"/>
          <w:sz w:val="22"/>
          <w:szCs w:val="22"/>
          <w:lang w:val="hr-HR"/>
        </w:rPr>
        <w:t>PROTESTIRANIM</w:t>
      </w:r>
      <w:r w:rsidR="00F02C0B" w:rsidRPr="00C00955">
        <w:rPr>
          <w:rFonts w:ascii="Arial" w:eastAsia="Calibri" w:hAnsi="Arial" w:cs="Arial"/>
          <w:sz w:val="22"/>
          <w:szCs w:val="22"/>
          <w:lang w:val="hr-HR"/>
        </w:rPr>
        <w:t xml:space="preserve"> JAMSTVIMA</w:t>
      </w:r>
      <w:bookmarkEnd w:id="394"/>
    </w:p>
    <w:p w14:paraId="2AFD938D" w14:textId="77777777" w:rsidR="004811A1" w:rsidRPr="00C00955" w:rsidRDefault="004811A1" w:rsidP="00891119">
      <w:pPr>
        <w:spacing w:after="0" w:line="240" w:lineRule="auto"/>
        <w:jc w:val="both"/>
        <w:rPr>
          <w:rFonts w:ascii="Arial" w:eastAsia="Calibri" w:hAnsi="Arial" w:cs="Arial"/>
          <w:lang w:eastAsia="en-US"/>
        </w:rPr>
      </w:pPr>
    </w:p>
    <w:p w14:paraId="5D1261D6" w14:textId="127E21EE" w:rsidR="00891119" w:rsidRPr="00EB650B" w:rsidRDefault="00891119" w:rsidP="00891119">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Općina Konavle u razdoblju od 1. siječnja do </w:t>
      </w:r>
      <w:r w:rsidR="0042261F">
        <w:rPr>
          <w:rFonts w:ascii="Arial" w:eastAsia="Times New Roman" w:hAnsi="Arial" w:cs="Arial"/>
          <w:iCs/>
          <w:sz w:val="20"/>
          <w:szCs w:val="20"/>
          <w:lang w:eastAsia="en-US"/>
        </w:rPr>
        <w:t>30.06.2025</w:t>
      </w:r>
      <w:r w:rsidRPr="00EB650B">
        <w:rPr>
          <w:rFonts w:ascii="Arial" w:eastAsia="Times New Roman" w:hAnsi="Arial" w:cs="Arial"/>
          <w:iCs/>
          <w:sz w:val="20"/>
          <w:szCs w:val="20"/>
          <w:lang w:eastAsia="en-US"/>
        </w:rPr>
        <w:t xml:space="preserve">. </w:t>
      </w:r>
      <w:r w:rsidRPr="00EB650B">
        <w:rPr>
          <w:rFonts w:ascii="Arial" w:eastAsia="Times New Roman" w:hAnsi="Arial" w:cs="Arial"/>
          <w:b/>
          <w:iCs/>
          <w:sz w:val="20"/>
          <w:szCs w:val="20"/>
          <w:lang w:eastAsia="en-US"/>
        </w:rPr>
        <w:t>nije izdavala jamstva</w:t>
      </w:r>
      <w:r w:rsidRPr="00EB650B">
        <w:rPr>
          <w:rFonts w:ascii="Arial" w:eastAsia="Times New Roman" w:hAnsi="Arial" w:cs="Arial"/>
          <w:iCs/>
          <w:sz w:val="20"/>
          <w:szCs w:val="20"/>
          <w:lang w:eastAsia="en-US"/>
        </w:rPr>
        <w:t xml:space="preserve"> (tablica u nastavku). </w:t>
      </w:r>
    </w:p>
    <w:p w14:paraId="254031E0" w14:textId="77777777" w:rsidR="00891119" w:rsidRPr="00C00955" w:rsidRDefault="00891119" w:rsidP="00891119">
      <w:pPr>
        <w:spacing w:after="0" w:line="240" w:lineRule="auto"/>
        <w:jc w:val="both"/>
        <w:rPr>
          <w:rFonts w:ascii="Arial" w:eastAsia="Times New Roman" w:hAnsi="Arial" w:cs="Arial"/>
          <w:bCs/>
          <w:iCs/>
          <w:lang w:eastAsia="en-US"/>
        </w:rPr>
      </w:pPr>
    </w:p>
    <w:p w14:paraId="2AC61DC4" w14:textId="5142846E" w:rsidR="00891119" w:rsidRPr="003A2F86" w:rsidRDefault="004C330F" w:rsidP="004C330F">
      <w:pPr>
        <w:pStyle w:val="Opisslike"/>
        <w:keepNext/>
        <w:jc w:val="both"/>
      </w:pPr>
      <w:bookmarkStart w:id="396" w:name="_Toc207706995"/>
      <w:r w:rsidRPr="003A2F86">
        <w:rPr>
          <w:color w:val="FF0000"/>
        </w:rPr>
        <w:t xml:space="preserve">Tablica </w:t>
      </w:r>
      <w:r w:rsidR="002A3DE2" w:rsidRPr="003A2F86">
        <w:rPr>
          <w:color w:val="FF0000"/>
        </w:rPr>
        <w:fldChar w:fldCharType="begin"/>
      </w:r>
      <w:r w:rsidR="002A3DE2" w:rsidRPr="003A2F86">
        <w:rPr>
          <w:color w:val="FF0000"/>
        </w:rPr>
        <w:instrText xml:space="preserve"> SEQ Tablica \* ARABIC </w:instrText>
      </w:r>
      <w:r w:rsidR="002A3DE2" w:rsidRPr="003A2F86">
        <w:rPr>
          <w:color w:val="FF0000"/>
        </w:rPr>
        <w:fldChar w:fldCharType="separate"/>
      </w:r>
      <w:r w:rsidR="00910987">
        <w:rPr>
          <w:noProof/>
          <w:color w:val="FF0000"/>
        </w:rPr>
        <w:t>31</w:t>
      </w:r>
      <w:r w:rsidR="002A3DE2" w:rsidRPr="003A2F86">
        <w:rPr>
          <w:color w:val="FF0000"/>
        </w:rPr>
        <w:fldChar w:fldCharType="end"/>
      </w:r>
      <w:r w:rsidRPr="003A2F86">
        <w:rPr>
          <w:color w:val="FF0000"/>
        </w:rPr>
        <w:t>.</w:t>
      </w:r>
      <w:r w:rsidRPr="003A2F86">
        <w:t xml:space="preserve">: </w:t>
      </w:r>
      <w:r w:rsidR="00891119" w:rsidRPr="003A2F86">
        <w:rPr>
          <w:rFonts w:ascii="Arial" w:hAnsi="Arial" w:cs="Arial"/>
          <w:bCs w:val="0"/>
          <w:iCs/>
        </w:rPr>
        <w:t>Pregled izdanih jamstava u 20</w:t>
      </w:r>
      <w:r w:rsidR="00CC1602" w:rsidRPr="003A2F86">
        <w:rPr>
          <w:rFonts w:ascii="Arial" w:hAnsi="Arial" w:cs="Arial"/>
          <w:bCs w:val="0"/>
          <w:iCs/>
        </w:rPr>
        <w:t>2</w:t>
      </w:r>
      <w:r w:rsidR="0042261F">
        <w:rPr>
          <w:rFonts w:ascii="Arial" w:hAnsi="Arial" w:cs="Arial"/>
          <w:bCs w:val="0"/>
          <w:iCs/>
        </w:rPr>
        <w:t>5</w:t>
      </w:r>
      <w:r w:rsidR="00891119" w:rsidRPr="003A2F86">
        <w:rPr>
          <w:rFonts w:ascii="Arial" w:hAnsi="Arial" w:cs="Arial"/>
          <w:bCs w:val="0"/>
          <w:iCs/>
        </w:rPr>
        <w:t>.</w:t>
      </w:r>
      <w:bookmarkEnd w:id="396"/>
    </w:p>
    <w:p w14:paraId="0D70B54F" w14:textId="77777777" w:rsidR="00891119" w:rsidRPr="003A2F86" w:rsidRDefault="00891119" w:rsidP="00891119">
      <w:pPr>
        <w:spacing w:after="0" w:line="240" w:lineRule="auto"/>
        <w:rPr>
          <w:rFonts w:ascii="Arial" w:eastAsia="Times New Roman" w:hAnsi="Arial" w:cs="Arial"/>
          <w:iCs/>
          <w:lang w:eastAsia="en-US"/>
        </w:rPr>
      </w:pPr>
    </w:p>
    <w:tbl>
      <w:tblPr>
        <w:tblW w:w="13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213"/>
        <w:gridCol w:w="1134"/>
        <w:gridCol w:w="2050"/>
        <w:gridCol w:w="1559"/>
        <w:gridCol w:w="992"/>
        <w:gridCol w:w="1199"/>
        <w:gridCol w:w="1418"/>
        <w:gridCol w:w="1185"/>
      </w:tblGrid>
      <w:tr w:rsidR="00605E28" w:rsidRPr="003A2F86" w14:paraId="2A2EE41A" w14:textId="77777777" w:rsidTr="000B4A24">
        <w:trPr>
          <w:jc w:val="center"/>
        </w:trPr>
        <w:tc>
          <w:tcPr>
            <w:tcW w:w="567" w:type="dxa"/>
            <w:vAlign w:val="center"/>
          </w:tcPr>
          <w:p w14:paraId="37E847A7"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8"/>
                <w:szCs w:val="16"/>
              </w:rPr>
            </w:pPr>
            <w:r w:rsidRPr="003A2F86">
              <w:rPr>
                <w:rFonts w:ascii="Arial" w:eastAsia="Times New Roman" w:hAnsi="Arial" w:cs="Arial"/>
                <w:sz w:val="18"/>
                <w:szCs w:val="16"/>
              </w:rPr>
              <w:t>R. br.</w:t>
            </w:r>
          </w:p>
        </w:tc>
        <w:tc>
          <w:tcPr>
            <w:tcW w:w="3213" w:type="dxa"/>
            <w:vAlign w:val="center"/>
          </w:tcPr>
          <w:p w14:paraId="6511B519"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8"/>
                <w:szCs w:val="16"/>
              </w:rPr>
            </w:pPr>
            <w:r w:rsidRPr="003A2F86">
              <w:rPr>
                <w:rFonts w:ascii="Arial" w:eastAsia="Times New Roman" w:hAnsi="Arial" w:cs="Arial"/>
                <w:sz w:val="18"/>
                <w:szCs w:val="16"/>
              </w:rPr>
              <w:t>Datum odluke Općine Konavle o davanju jamstva</w:t>
            </w:r>
          </w:p>
        </w:tc>
        <w:tc>
          <w:tcPr>
            <w:tcW w:w="1134" w:type="dxa"/>
            <w:vAlign w:val="center"/>
          </w:tcPr>
          <w:p w14:paraId="735D5B58"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8"/>
                <w:szCs w:val="16"/>
              </w:rPr>
            </w:pPr>
            <w:r w:rsidRPr="003A2F86">
              <w:rPr>
                <w:rFonts w:ascii="Arial" w:eastAsia="Times New Roman" w:hAnsi="Arial" w:cs="Arial"/>
                <w:sz w:val="18"/>
                <w:szCs w:val="16"/>
              </w:rPr>
              <w:t>Datum sklapanja ugovora o jamstvu s korisnikom kredita</w:t>
            </w:r>
          </w:p>
        </w:tc>
        <w:tc>
          <w:tcPr>
            <w:tcW w:w="2050" w:type="dxa"/>
            <w:vAlign w:val="center"/>
          </w:tcPr>
          <w:p w14:paraId="5F8621F3"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8"/>
                <w:szCs w:val="16"/>
              </w:rPr>
            </w:pPr>
            <w:r w:rsidRPr="003A2F86">
              <w:rPr>
                <w:rFonts w:ascii="Arial" w:eastAsia="Times New Roman" w:hAnsi="Arial" w:cs="Arial"/>
                <w:sz w:val="18"/>
                <w:szCs w:val="16"/>
              </w:rPr>
              <w:t>Naziv financijske institucije u čiju korist se daje jamstvo</w:t>
            </w:r>
          </w:p>
        </w:tc>
        <w:tc>
          <w:tcPr>
            <w:tcW w:w="1559" w:type="dxa"/>
            <w:vAlign w:val="center"/>
          </w:tcPr>
          <w:p w14:paraId="37D13F2B"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8"/>
                <w:szCs w:val="16"/>
              </w:rPr>
            </w:pPr>
            <w:r w:rsidRPr="003A2F86">
              <w:rPr>
                <w:rFonts w:ascii="Arial" w:eastAsia="Times New Roman" w:hAnsi="Arial" w:cs="Arial"/>
                <w:sz w:val="18"/>
                <w:szCs w:val="16"/>
              </w:rPr>
              <w:t>Naziv korisnika kredita odnosno dužnika i namjena kredita</w:t>
            </w:r>
          </w:p>
        </w:tc>
        <w:tc>
          <w:tcPr>
            <w:tcW w:w="992" w:type="dxa"/>
            <w:vAlign w:val="center"/>
          </w:tcPr>
          <w:p w14:paraId="717130EE"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8"/>
                <w:szCs w:val="16"/>
              </w:rPr>
            </w:pPr>
            <w:r w:rsidRPr="003A2F86">
              <w:rPr>
                <w:rFonts w:ascii="Arial" w:eastAsia="Times New Roman" w:hAnsi="Arial" w:cs="Arial"/>
                <w:sz w:val="18"/>
                <w:szCs w:val="16"/>
              </w:rPr>
              <w:t>Valutna jedinica</w:t>
            </w:r>
          </w:p>
        </w:tc>
        <w:tc>
          <w:tcPr>
            <w:tcW w:w="1199" w:type="dxa"/>
            <w:vAlign w:val="center"/>
          </w:tcPr>
          <w:p w14:paraId="1E6F1246"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8"/>
                <w:szCs w:val="16"/>
              </w:rPr>
            </w:pPr>
            <w:r w:rsidRPr="003A2F86">
              <w:rPr>
                <w:rFonts w:ascii="Arial" w:eastAsia="Times New Roman" w:hAnsi="Arial" w:cs="Arial"/>
                <w:sz w:val="18"/>
                <w:szCs w:val="16"/>
              </w:rPr>
              <w:t>Iznos jamstva u valuti</w:t>
            </w:r>
          </w:p>
        </w:tc>
        <w:tc>
          <w:tcPr>
            <w:tcW w:w="1418" w:type="dxa"/>
            <w:vAlign w:val="center"/>
          </w:tcPr>
          <w:p w14:paraId="261CCBFE"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8"/>
                <w:szCs w:val="16"/>
              </w:rPr>
            </w:pPr>
            <w:r w:rsidRPr="003A2F86">
              <w:rPr>
                <w:rFonts w:ascii="Arial" w:eastAsia="Times New Roman" w:hAnsi="Arial" w:cs="Arial"/>
                <w:sz w:val="18"/>
                <w:szCs w:val="16"/>
              </w:rPr>
              <w:t>Iznos jamstva u kunama</w:t>
            </w:r>
          </w:p>
        </w:tc>
        <w:tc>
          <w:tcPr>
            <w:tcW w:w="1185" w:type="dxa"/>
            <w:vAlign w:val="center"/>
          </w:tcPr>
          <w:p w14:paraId="39CA8A78"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8"/>
                <w:szCs w:val="16"/>
              </w:rPr>
            </w:pPr>
            <w:r w:rsidRPr="003A2F86">
              <w:rPr>
                <w:rFonts w:ascii="Arial" w:eastAsia="Times New Roman" w:hAnsi="Arial" w:cs="Arial"/>
                <w:sz w:val="18"/>
                <w:szCs w:val="16"/>
              </w:rPr>
              <w:t xml:space="preserve">Posljednja godina dospijeća </w:t>
            </w:r>
          </w:p>
        </w:tc>
      </w:tr>
      <w:tr w:rsidR="00605E28" w:rsidRPr="003A2F86" w14:paraId="7FED70C7" w14:textId="77777777" w:rsidTr="000B4A24">
        <w:trPr>
          <w:jc w:val="center"/>
        </w:trPr>
        <w:tc>
          <w:tcPr>
            <w:tcW w:w="567" w:type="dxa"/>
            <w:vAlign w:val="center"/>
          </w:tcPr>
          <w:p w14:paraId="63F1905C"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1</w:t>
            </w:r>
          </w:p>
        </w:tc>
        <w:tc>
          <w:tcPr>
            <w:tcW w:w="3213" w:type="dxa"/>
            <w:vAlign w:val="center"/>
          </w:tcPr>
          <w:p w14:paraId="453C0E3C"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2</w:t>
            </w:r>
          </w:p>
        </w:tc>
        <w:tc>
          <w:tcPr>
            <w:tcW w:w="1134" w:type="dxa"/>
            <w:vAlign w:val="center"/>
          </w:tcPr>
          <w:p w14:paraId="2BFAF475"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3</w:t>
            </w:r>
          </w:p>
        </w:tc>
        <w:tc>
          <w:tcPr>
            <w:tcW w:w="2050" w:type="dxa"/>
            <w:vAlign w:val="center"/>
          </w:tcPr>
          <w:p w14:paraId="5580EC1E"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4</w:t>
            </w:r>
          </w:p>
        </w:tc>
        <w:tc>
          <w:tcPr>
            <w:tcW w:w="1559" w:type="dxa"/>
            <w:vAlign w:val="center"/>
          </w:tcPr>
          <w:p w14:paraId="4DEF1CE7"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5</w:t>
            </w:r>
          </w:p>
        </w:tc>
        <w:tc>
          <w:tcPr>
            <w:tcW w:w="992" w:type="dxa"/>
            <w:vAlign w:val="center"/>
          </w:tcPr>
          <w:p w14:paraId="6934BA3C"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6</w:t>
            </w:r>
          </w:p>
        </w:tc>
        <w:tc>
          <w:tcPr>
            <w:tcW w:w="1199" w:type="dxa"/>
            <w:vAlign w:val="center"/>
          </w:tcPr>
          <w:p w14:paraId="26D9745A"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7</w:t>
            </w:r>
          </w:p>
        </w:tc>
        <w:tc>
          <w:tcPr>
            <w:tcW w:w="1418" w:type="dxa"/>
            <w:vAlign w:val="center"/>
          </w:tcPr>
          <w:p w14:paraId="7F517164"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8</w:t>
            </w:r>
          </w:p>
        </w:tc>
        <w:tc>
          <w:tcPr>
            <w:tcW w:w="1185" w:type="dxa"/>
            <w:vAlign w:val="center"/>
          </w:tcPr>
          <w:p w14:paraId="7277FB37"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9</w:t>
            </w:r>
          </w:p>
        </w:tc>
      </w:tr>
      <w:tr w:rsidR="00891119" w:rsidRPr="003A2F86" w14:paraId="366A12AF" w14:textId="77777777" w:rsidTr="000B4A24">
        <w:trPr>
          <w:jc w:val="center"/>
        </w:trPr>
        <w:tc>
          <w:tcPr>
            <w:tcW w:w="567" w:type="dxa"/>
            <w:vAlign w:val="center"/>
          </w:tcPr>
          <w:p w14:paraId="530C6F9D"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1.</w:t>
            </w:r>
          </w:p>
        </w:tc>
        <w:tc>
          <w:tcPr>
            <w:tcW w:w="3213" w:type="dxa"/>
            <w:vAlign w:val="center"/>
          </w:tcPr>
          <w:p w14:paraId="1F22B47A"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w:t>
            </w:r>
          </w:p>
        </w:tc>
        <w:tc>
          <w:tcPr>
            <w:tcW w:w="1134" w:type="dxa"/>
            <w:vAlign w:val="center"/>
          </w:tcPr>
          <w:p w14:paraId="11726904"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w:t>
            </w:r>
          </w:p>
        </w:tc>
        <w:tc>
          <w:tcPr>
            <w:tcW w:w="2050" w:type="dxa"/>
            <w:vAlign w:val="center"/>
          </w:tcPr>
          <w:p w14:paraId="6D3376DF"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4"/>
                <w:szCs w:val="14"/>
              </w:rPr>
            </w:pPr>
            <w:r w:rsidRPr="003A2F86">
              <w:rPr>
                <w:rFonts w:ascii="Arial" w:eastAsia="Times New Roman" w:hAnsi="Arial" w:cs="Arial"/>
                <w:sz w:val="14"/>
                <w:szCs w:val="14"/>
              </w:rPr>
              <w:t>-</w:t>
            </w:r>
          </w:p>
        </w:tc>
        <w:tc>
          <w:tcPr>
            <w:tcW w:w="1559" w:type="dxa"/>
            <w:vAlign w:val="center"/>
          </w:tcPr>
          <w:p w14:paraId="6A644098"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w:t>
            </w:r>
          </w:p>
        </w:tc>
        <w:tc>
          <w:tcPr>
            <w:tcW w:w="992" w:type="dxa"/>
            <w:vAlign w:val="center"/>
          </w:tcPr>
          <w:p w14:paraId="230F0387"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w:t>
            </w:r>
          </w:p>
        </w:tc>
        <w:tc>
          <w:tcPr>
            <w:tcW w:w="1199" w:type="dxa"/>
            <w:vAlign w:val="center"/>
          </w:tcPr>
          <w:p w14:paraId="120712A2"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w:t>
            </w:r>
          </w:p>
        </w:tc>
        <w:tc>
          <w:tcPr>
            <w:tcW w:w="1418" w:type="dxa"/>
            <w:vAlign w:val="center"/>
          </w:tcPr>
          <w:p w14:paraId="34629A5B"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w:t>
            </w:r>
          </w:p>
        </w:tc>
        <w:tc>
          <w:tcPr>
            <w:tcW w:w="1185" w:type="dxa"/>
            <w:vAlign w:val="center"/>
          </w:tcPr>
          <w:p w14:paraId="45C8762A" w14:textId="77777777" w:rsidR="00891119" w:rsidRPr="003A2F86" w:rsidRDefault="00891119" w:rsidP="0089111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w:t>
            </w:r>
          </w:p>
        </w:tc>
      </w:tr>
    </w:tbl>
    <w:p w14:paraId="1E5B8CDB" w14:textId="77777777" w:rsidR="00891119" w:rsidRPr="003A2F86" w:rsidRDefault="00891119" w:rsidP="00891119">
      <w:pPr>
        <w:spacing w:after="0" w:line="240" w:lineRule="auto"/>
        <w:jc w:val="both"/>
        <w:rPr>
          <w:rFonts w:ascii="Arial" w:eastAsia="Times New Roman" w:hAnsi="Arial" w:cs="Arial"/>
          <w:iCs/>
          <w:lang w:eastAsia="en-US"/>
        </w:rPr>
      </w:pPr>
    </w:p>
    <w:p w14:paraId="393779C3" w14:textId="77777777" w:rsidR="00891119" w:rsidRPr="00EB650B" w:rsidRDefault="00891119" w:rsidP="00891119">
      <w:pPr>
        <w:spacing w:after="0" w:line="240" w:lineRule="auto"/>
        <w:jc w:val="both"/>
        <w:rPr>
          <w:rFonts w:ascii="Arial" w:eastAsia="Times New Roman" w:hAnsi="Arial" w:cs="Arial"/>
          <w:bCs/>
          <w:iCs/>
          <w:sz w:val="20"/>
          <w:szCs w:val="20"/>
          <w:lang w:eastAsia="en-US"/>
        </w:rPr>
      </w:pPr>
      <w:r w:rsidRPr="00EB650B">
        <w:rPr>
          <w:rFonts w:ascii="Arial" w:eastAsia="Times New Roman" w:hAnsi="Arial" w:cs="Arial"/>
          <w:iCs/>
          <w:sz w:val="20"/>
          <w:szCs w:val="20"/>
          <w:lang w:eastAsia="en-US"/>
        </w:rPr>
        <w:t>Ranijih godina Općina je dala jamstvo društvu u vlasništvu, Konavosko komunalno društvo d.o.o., za izgradnju kanalizacijskog sustava, a u 2014. godini jamstvo za kredit za izgradnju objekata vodoopskrbnog sustava Đurinići, Vitaljina i dijela kanalizacijskog sustava Cavtat. U</w:t>
      </w:r>
      <w:r w:rsidRPr="00EB650B">
        <w:rPr>
          <w:rFonts w:ascii="Arial" w:eastAsia="Times New Roman" w:hAnsi="Arial" w:cs="Arial"/>
          <w:bCs/>
          <w:iCs/>
          <w:sz w:val="20"/>
          <w:szCs w:val="20"/>
          <w:lang w:eastAsia="en-US"/>
        </w:rPr>
        <w:t xml:space="preserve"> tablici u nastavku daje se </w:t>
      </w:r>
      <w:r w:rsidRPr="00EB650B">
        <w:rPr>
          <w:rFonts w:ascii="Arial" w:eastAsia="Times New Roman" w:hAnsi="Arial" w:cs="Arial"/>
          <w:b/>
          <w:bCs/>
          <w:iCs/>
          <w:sz w:val="20"/>
          <w:szCs w:val="20"/>
          <w:lang w:eastAsia="en-US"/>
        </w:rPr>
        <w:t>pregled aktivnih danih jamstava</w:t>
      </w:r>
      <w:r w:rsidRPr="00EB650B">
        <w:rPr>
          <w:rFonts w:ascii="Arial" w:eastAsia="Times New Roman" w:hAnsi="Arial" w:cs="Arial"/>
          <w:bCs/>
          <w:iCs/>
          <w:sz w:val="20"/>
          <w:szCs w:val="20"/>
          <w:lang w:eastAsia="en-US"/>
        </w:rPr>
        <w:t xml:space="preserve"> ranijih godina.</w:t>
      </w:r>
    </w:p>
    <w:p w14:paraId="2046FD44" w14:textId="77777777" w:rsidR="00891119" w:rsidRPr="00EB650B" w:rsidRDefault="00891119" w:rsidP="00891119">
      <w:pPr>
        <w:spacing w:after="0" w:line="240" w:lineRule="auto"/>
        <w:jc w:val="both"/>
        <w:rPr>
          <w:rFonts w:ascii="Arial" w:eastAsia="Times New Roman" w:hAnsi="Arial" w:cs="Arial"/>
          <w:iCs/>
          <w:sz w:val="20"/>
          <w:szCs w:val="20"/>
          <w:lang w:eastAsia="en-US"/>
        </w:rPr>
      </w:pPr>
    </w:p>
    <w:p w14:paraId="5E6EE1DC" w14:textId="3BB6A824" w:rsidR="00891119" w:rsidRPr="003A2F86" w:rsidRDefault="004C330F" w:rsidP="004C330F">
      <w:pPr>
        <w:pStyle w:val="Opisslike"/>
        <w:keepNext/>
        <w:jc w:val="both"/>
      </w:pPr>
      <w:bookmarkStart w:id="397" w:name="_Toc207706996"/>
      <w:r w:rsidRPr="003A2F86">
        <w:rPr>
          <w:color w:val="FF0000"/>
        </w:rPr>
        <w:lastRenderedPageBreak/>
        <w:t xml:space="preserve">Tablica </w:t>
      </w:r>
      <w:r w:rsidR="002A3DE2" w:rsidRPr="003A2F86">
        <w:rPr>
          <w:color w:val="FF0000"/>
        </w:rPr>
        <w:fldChar w:fldCharType="begin"/>
      </w:r>
      <w:r w:rsidR="002A3DE2" w:rsidRPr="003A2F86">
        <w:rPr>
          <w:color w:val="FF0000"/>
        </w:rPr>
        <w:instrText xml:space="preserve"> SEQ Tablica \* ARABIC </w:instrText>
      </w:r>
      <w:r w:rsidR="002A3DE2" w:rsidRPr="003A2F86">
        <w:rPr>
          <w:color w:val="FF0000"/>
        </w:rPr>
        <w:fldChar w:fldCharType="separate"/>
      </w:r>
      <w:r w:rsidR="00910987">
        <w:rPr>
          <w:noProof/>
          <w:color w:val="FF0000"/>
        </w:rPr>
        <w:t>32</w:t>
      </w:r>
      <w:r w:rsidR="002A3DE2" w:rsidRPr="003A2F86">
        <w:rPr>
          <w:color w:val="FF0000"/>
        </w:rPr>
        <w:fldChar w:fldCharType="end"/>
      </w:r>
      <w:r w:rsidRPr="003A2F86">
        <w:rPr>
          <w:color w:val="FF0000"/>
        </w:rPr>
        <w:t>.</w:t>
      </w:r>
      <w:r w:rsidRPr="003A2F86">
        <w:t xml:space="preserve">: </w:t>
      </w:r>
      <w:r w:rsidR="00891119" w:rsidRPr="003A2F86">
        <w:rPr>
          <w:rFonts w:ascii="Arial" w:hAnsi="Arial" w:cs="Arial"/>
          <w:bCs w:val="0"/>
          <w:iCs/>
        </w:rPr>
        <w:t>Pregled aktivnih jamstava</w:t>
      </w:r>
      <w:bookmarkEnd w:id="397"/>
    </w:p>
    <w:p w14:paraId="5EDB8BB0" w14:textId="77777777" w:rsidR="00891119" w:rsidRPr="003A2F86" w:rsidRDefault="00891119" w:rsidP="00891119">
      <w:pPr>
        <w:spacing w:after="0" w:line="240" w:lineRule="auto"/>
        <w:rPr>
          <w:rFonts w:ascii="Arial" w:eastAsia="Times New Roman" w:hAnsi="Arial" w:cs="Arial"/>
          <w:iCs/>
          <w:lang w:eastAsia="en-US"/>
        </w:rPr>
      </w:pPr>
    </w:p>
    <w:tbl>
      <w:tblPr>
        <w:tblW w:w="14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4040"/>
        <w:gridCol w:w="1374"/>
        <w:gridCol w:w="1276"/>
        <w:gridCol w:w="1984"/>
        <w:gridCol w:w="1560"/>
        <w:gridCol w:w="980"/>
        <w:gridCol w:w="1275"/>
        <w:gridCol w:w="1220"/>
      </w:tblGrid>
      <w:tr w:rsidR="00DA03FB" w:rsidRPr="003A2F86" w14:paraId="1F8F3661" w14:textId="355CBD23" w:rsidTr="00DA03FB">
        <w:trPr>
          <w:jc w:val="center"/>
        </w:trPr>
        <w:tc>
          <w:tcPr>
            <w:tcW w:w="700" w:type="dxa"/>
            <w:vAlign w:val="center"/>
          </w:tcPr>
          <w:p w14:paraId="278AC5D1" w14:textId="77777777" w:rsidR="00DA03FB" w:rsidRPr="003A2F86" w:rsidRDefault="00DA03FB" w:rsidP="00891119">
            <w:pPr>
              <w:autoSpaceDE w:val="0"/>
              <w:autoSpaceDN w:val="0"/>
              <w:adjustRightInd w:val="0"/>
              <w:spacing w:after="0" w:line="240" w:lineRule="auto"/>
              <w:jc w:val="center"/>
              <w:rPr>
                <w:rFonts w:ascii="Arial" w:eastAsia="Times New Roman" w:hAnsi="Arial" w:cs="Arial"/>
                <w:sz w:val="18"/>
                <w:szCs w:val="18"/>
              </w:rPr>
            </w:pPr>
            <w:bookmarkStart w:id="398" w:name="_Hlk176506941"/>
            <w:r w:rsidRPr="003A2F86">
              <w:rPr>
                <w:rFonts w:ascii="Arial" w:eastAsia="Times New Roman" w:hAnsi="Arial" w:cs="Arial"/>
                <w:sz w:val="18"/>
                <w:szCs w:val="18"/>
              </w:rPr>
              <w:t>R. br.</w:t>
            </w:r>
          </w:p>
        </w:tc>
        <w:tc>
          <w:tcPr>
            <w:tcW w:w="4040" w:type="dxa"/>
            <w:vAlign w:val="center"/>
          </w:tcPr>
          <w:p w14:paraId="11D3A577" w14:textId="77777777" w:rsidR="00DA03FB" w:rsidRPr="003A2F86" w:rsidRDefault="00DA03FB" w:rsidP="00891119">
            <w:pPr>
              <w:autoSpaceDE w:val="0"/>
              <w:autoSpaceDN w:val="0"/>
              <w:adjustRightInd w:val="0"/>
              <w:spacing w:after="0" w:line="240" w:lineRule="auto"/>
              <w:jc w:val="center"/>
              <w:rPr>
                <w:rFonts w:ascii="Arial" w:eastAsia="Times New Roman" w:hAnsi="Arial" w:cs="Arial"/>
                <w:sz w:val="18"/>
                <w:szCs w:val="18"/>
              </w:rPr>
            </w:pPr>
            <w:r w:rsidRPr="003A2F86">
              <w:rPr>
                <w:rFonts w:ascii="Arial" w:eastAsia="Times New Roman" w:hAnsi="Arial" w:cs="Arial"/>
                <w:sz w:val="18"/>
                <w:szCs w:val="18"/>
              </w:rPr>
              <w:t>Datum odluke Općine Konavle o davanju jamstva</w:t>
            </w:r>
          </w:p>
        </w:tc>
        <w:tc>
          <w:tcPr>
            <w:tcW w:w="1374" w:type="dxa"/>
            <w:vAlign w:val="center"/>
          </w:tcPr>
          <w:p w14:paraId="4C82B353" w14:textId="5E51F592" w:rsidR="00DA03FB" w:rsidRPr="003A2F86" w:rsidRDefault="00DA03FB" w:rsidP="00891119">
            <w:pPr>
              <w:autoSpaceDE w:val="0"/>
              <w:autoSpaceDN w:val="0"/>
              <w:adjustRightInd w:val="0"/>
              <w:spacing w:after="0" w:line="240" w:lineRule="auto"/>
              <w:jc w:val="center"/>
              <w:rPr>
                <w:rFonts w:ascii="Arial" w:eastAsia="Times New Roman" w:hAnsi="Arial" w:cs="Arial"/>
                <w:sz w:val="18"/>
                <w:szCs w:val="18"/>
              </w:rPr>
            </w:pPr>
            <w:r w:rsidRPr="003A2F86">
              <w:rPr>
                <w:rFonts w:ascii="Arial" w:eastAsia="Times New Roman" w:hAnsi="Arial" w:cs="Arial"/>
                <w:sz w:val="18"/>
                <w:szCs w:val="18"/>
              </w:rPr>
              <w:t>Namjena jamstva</w:t>
            </w:r>
          </w:p>
        </w:tc>
        <w:tc>
          <w:tcPr>
            <w:tcW w:w="1276" w:type="dxa"/>
            <w:vAlign w:val="center"/>
          </w:tcPr>
          <w:p w14:paraId="7F7F8517" w14:textId="272EE137" w:rsidR="00DA03FB" w:rsidRPr="003A2F86" w:rsidRDefault="00DA03FB" w:rsidP="00891119">
            <w:pPr>
              <w:autoSpaceDE w:val="0"/>
              <w:autoSpaceDN w:val="0"/>
              <w:adjustRightInd w:val="0"/>
              <w:spacing w:after="0" w:line="240" w:lineRule="auto"/>
              <w:jc w:val="center"/>
              <w:rPr>
                <w:rFonts w:ascii="Arial" w:eastAsia="Times New Roman" w:hAnsi="Arial" w:cs="Arial"/>
                <w:sz w:val="18"/>
                <w:szCs w:val="18"/>
              </w:rPr>
            </w:pPr>
            <w:r w:rsidRPr="003A2F86">
              <w:rPr>
                <w:rFonts w:ascii="Arial" w:eastAsia="Times New Roman" w:hAnsi="Arial" w:cs="Arial"/>
                <w:sz w:val="18"/>
                <w:szCs w:val="18"/>
              </w:rPr>
              <w:t>Datum sklapanja ugovora o jamstvu s korisnikom kredita</w:t>
            </w:r>
          </w:p>
        </w:tc>
        <w:tc>
          <w:tcPr>
            <w:tcW w:w="1984" w:type="dxa"/>
            <w:vAlign w:val="center"/>
          </w:tcPr>
          <w:p w14:paraId="5A21D2C4" w14:textId="77777777" w:rsidR="00DA03FB" w:rsidRPr="003A2F86" w:rsidRDefault="00DA03FB" w:rsidP="00891119">
            <w:pPr>
              <w:autoSpaceDE w:val="0"/>
              <w:autoSpaceDN w:val="0"/>
              <w:adjustRightInd w:val="0"/>
              <w:spacing w:after="0" w:line="240" w:lineRule="auto"/>
              <w:jc w:val="center"/>
              <w:rPr>
                <w:rFonts w:ascii="Arial" w:eastAsia="Times New Roman" w:hAnsi="Arial" w:cs="Arial"/>
                <w:sz w:val="18"/>
                <w:szCs w:val="18"/>
              </w:rPr>
            </w:pPr>
            <w:r w:rsidRPr="003A2F86">
              <w:rPr>
                <w:rFonts w:ascii="Arial" w:eastAsia="Times New Roman" w:hAnsi="Arial" w:cs="Arial"/>
                <w:sz w:val="18"/>
                <w:szCs w:val="18"/>
              </w:rPr>
              <w:t>Naziv financijske institucije u čiju korist se daje jamstvo</w:t>
            </w:r>
          </w:p>
        </w:tc>
        <w:tc>
          <w:tcPr>
            <w:tcW w:w="1560" w:type="dxa"/>
            <w:vAlign w:val="center"/>
          </w:tcPr>
          <w:p w14:paraId="5E9F9C84" w14:textId="77777777" w:rsidR="00DA03FB" w:rsidRPr="003A2F86" w:rsidRDefault="00DA03FB" w:rsidP="00891119">
            <w:pPr>
              <w:autoSpaceDE w:val="0"/>
              <w:autoSpaceDN w:val="0"/>
              <w:adjustRightInd w:val="0"/>
              <w:spacing w:after="0" w:line="240" w:lineRule="auto"/>
              <w:jc w:val="center"/>
              <w:rPr>
                <w:rFonts w:ascii="Arial" w:eastAsia="Times New Roman" w:hAnsi="Arial" w:cs="Arial"/>
                <w:sz w:val="18"/>
                <w:szCs w:val="18"/>
              </w:rPr>
            </w:pPr>
            <w:r w:rsidRPr="003A2F86">
              <w:rPr>
                <w:rFonts w:ascii="Arial" w:eastAsia="Times New Roman" w:hAnsi="Arial" w:cs="Arial"/>
                <w:sz w:val="18"/>
                <w:szCs w:val="18"/>
              </w:rPr>
              <w:t>Naziv korisnika kredita odnosno dužnika i namjena kredita</w:t>
            </w:r>
          </w:p>
        </w:tc>
        <w:tc>
          <w:tcPr>
            <w:tcW w:w="980" w:type="dxa"/>
            <w:vAlign w:val="center"/>
          </w:tcPr>
          <w:p w14:paraId="2C4462B3" w14:textId="77777777" w:rsidR="00DA03FB" w:rsidRPr="003A2F86" w:rsidRDefault="00DA03FB" w:rsidP="00891119">
            <w:pPr>
              <w:autoSpaceDE w:val="0"/>
              <w:autoSpaceDN w:val="0"/>
              <w:adjustRightInd w:val="0"/>
              <w:spacing w:after="0" w:line="240" w:lineRule="auto"/>
              <w:jc w:val="center"/>
              <w:rPr>
                <w:rFonts w:ascii="Arial" w:eastAsia="Times New Roman" w:hAnsi="Arial" w:cs="Arial"/>
                <w:sz w:val="18"/>
                <w:szCs w:val="18"/>
              </w:rPr>
            </w:pPr>
            <w:r w:rsidRPr="003A2F86">
              <w:rPr>
                <w:rFonts w:ascii="Arial" w:eastAsia="Times New Roman" w:hAnsi="Arial" w:cs="Arial"/>
                <w:sz w:val="18"/>
                <w:szCs w:val="18"/>
              </w:rPr>
              <w:t>Valutna jedinica</w:t>
            </w:r>
          </w:p>
        </w:tc>
        <w:tc>
          <w:tcPr>
            <w:tcW w:w="1275" w:type="dxa"/>
            <w:vAlign w:val="center"/>
          </w:tcPr>
          <w:p w14:paraId="568B3256" w14:textId="77777777" w:rsidR="00DA03FB" w:rsidRPr="003A2F86" w:rsidRDefault="00DA03FB" w:rsidP="00891119">
            <w:pPr>
              <w:autoSpaceDE w:val="0"/>
              <w:autoSpaceDN w:val="0"/>
              <w:adjustRightInd w:val="0"/>
              <w:spacing w:after="0" w:line="240" w:lineRule="auto"/>
              <w:jc w:val="center"/>
              <w:rPr>
                <w:rFonts w:ascii="Arial" w:eastAsia="Times New Roman" w:hAnsi="Arial" w:cs="Arial"/>
                <w:sz w:val="18"/>
                <w:szCs w:val="18"/>
              </w:rPr>
            </w:pPr>
            <w:r w:rsidRPr="003A2F86">
              <w:rPr>
                <w:rFonts w:ascii="Arial" w:eastAsia="Times New Roman" w:hAnsi="Arial" w:cs="Arial"/>
                <w:sz w:val="18"/>
                <w:szCs w:val="18"/>
              </w:rPr>
              <w:t>Iznos jamstva u valuti</w:t>
            </w:r>
          </w:p>
        </w:tc>
        <w:tc>
          <w:tcPr>
            <w:tcW w:w="1220" w:type="dxa"/>
            <w:vAlign w:val="center"/>
          </w:tcPr>
          <w:p w14:paraId="4AC5C123" w14:textId="77777777" w:rsidR="00DA03FB" w:rsidRPr="003A2F86" w:rsidRDefault="00DA03FB" w:rsidP="00891119">
            <w:pPr>
              <w:autoSpaceDE w:val="0"/>
              <w:autoSpaceDN w:val="0"/>
              <w:adjustRightInd w:val="0"/>
              <w:spacing w:after="0" w:line="240" w:lineRule="auto"/>
              <w:jc w:val="center"/>
              <w:rPr>
                <w:rFonts w:ascii="Arial" w:eastAsia="Times New Roman" w:hAnsi="Arial" w:cs="Arial"/>
                <w:sz w:val="18"/>
                <w:szCs w:val="18"/>
              </w:rPr>
            </w:pPr>
            <w:r w:rsidRPr="003A2F86">
              <w:rPr>
                <w:rFonts w:ascii="Arial" w:eastAsia="Times New Roman" w:hAnsi="Arial" w:cs="Arial"/>
                <w:sz w:val="18"/>
                <w:szCs w:val="18"/>
              </w:rPr>
              <w:t xml:space="preserve">Posljednja godina dospijeća </w:t>
            </w:r>
          </w:p>
        </w:tc>
      </w:tr>
      <w:tr w:rsidR="00DA03FB" w:rsidRPr="003A2F86" w14:paraId="3BBADF39" w14:textId="7EE38A2C" w:rsidTr="00DA03FB">
        <w:trPr>
          <w:jc w:val="center"/>
        </w:trPr>
        <w:tc>
          <w:tcPr>
            <w:tcW w:w="700" w:type="dxa"/>
            <w:vAlign w:val="center"/>
          </w:tcPr>
          <w:p w14:paraId="5425F8D6" w14:textId="77777777" w:rsidR="00DA03FB" w:rsidRPr="003A2F86" w:rsidRDefault="00DA03FB" w:rsidP="00DA03FB">
            <w:pPr>
              <w:autoSpaceDE w:val="0"/>
              <w:autoSpaceDN w:val="0"/>
              <w:adjustRightInd w:val="0"/>
              <w:spacing w:after="0" w:line="240" w:lineRule="auto"/>
              <w:jc w:val="center"/>
              <w:rPr>
                <w:rFonts w:ascii="Arial" w:eastAsia="Times New Roman" w:hAnsi="Arial" w:cs="Arial"/>
                <w:sz w:val="16"/>
                <w:szCs w:val="18"/>
              </w:rPr>
            </w:pPr>
            <w:r w:rsidRPr="003A2F86">
              <w:rPr>
                <w:rFonts w:ascii="Arial" w:eastAsia="Times New Roman" w:hAnsi="Arial" w:cs="Arial"/>
                <w:sz w:val="16"/>
                <w:szCs w:val="18"/>
              </w:rPr>
              <w:t>1</w:t>
            </w:r>
          </w:p>
        </w:tc>
        <w:tc>
          <w:tcPr>
            <w:tcW w:w="4040" w:type="dxa"/>
            <w:vAlign w:val="center"/>
          </w:tcPr>
          <w:p w14:paraId="4FC7FC2A" w14:textId="77777777" w:rsidR="00DA03FB" w:rsidRPr="003A2F86" w:rsidRDefault="00DA03FB" w:rsidP="00DA03FB">
            <w:pPr>
              <w:autoSpaceDE w:val="0"/>
              <w:autoSpaceDN w:val="0"/>
              <w:adjustRightInd w:val="0"/>
              <w:spacing w:after="0" w:line="240" w:lineRule="auto"/>
              <w:jc w:val="center"/>
              <w:rPr>
                <w:rFonts w:ascii="Arial" w:eastAsia="Times New Roman" w:hAnsi="Arial" w:cs="Arial"/>
                <w:sz w:val="16"/>
                <w:szCs w:val="18"/>
              </w:rPr>
            </w:pPr>
            <w:r w:rsidRPr="003A2F86">
              <w:rPr>
                <w:rFonts w:ascii="Arial" w:eastAsia="Times New Roman" w:hAnsi="Arial" w:cs="Arial"/>
                <w:sz w:val="16"/>
                <w:szCs w:val="18"/>
              </w:rPr>
              <w:t>2</w:t>
            </w:r>
          </w:p>
        </w:tc>
        <w:tc>
          <w:tcPr>
            <w:tcW w:w="1374" w:type="dxa"/>
            <w:vAlign w:val="center"/>
          </w:tcPr>
          <w:p w14:paraId="5567CAA1" w14:textId="6066DD50" w:rsidR="00DA03FB" w:rsidRPr="003A2F86" w:rsidRDefault="00DA03FB" w:rsidP="00DA03FB">
            <w:pPr>
              <w:autoSpaceDE w:val="0"/>
              <w:autoSpaceDN w:val="0"/>
              <w:adjustRightInd w:val="0"/>
              <w:spacing w:after="0" w:line="240" w:lineRule="auto"/>
              <w:jc w:val="center"/>
              <w:rPr>
                <w:rFonts w:ascii="Arial" w:eastAsia="Times New Roman" w:hAnsi="Arial" w:cs="Arial"/>
                <w:sz w:val="16"/>
                <w:szCs w:val="18"/>
              </w:rPr>
            </w:pPr>
            <w:r w:rsidRPr="003A2F86">
              <w:rPr>
                <w:rFonts w:ascii="Arial" w:eastAsia="Times New Roman" w:hAnsi="Arial" w:cs="Arial"/>
                <w:sz w:val="16"/>
                <w:szCs w:val="18"/>
              </w:rPr>
              <w:t>3</w:t>
            </w:r>
          </w:p>
        </w:tc>
        <w:tc>
          <w:tcPr>
            <w:tcW w:w="1276" w:type="dxa"/>
            <w:vAlign w:val="center"/>
          </w:tcPr>
          <w:p w14:paraId="4621A99B" w14:textId="6545364E" w:rsidR="00DA03FB" w:rsidRPr="003A2F86" w:rsidRDefault="00DA03FB" w:rsidP="00DA03FB">
            <w:pPr>
              <w:autoSpaceDE w:val="0"/>
              <w:autoSpaceDN w:val="0"/>
              <w:adjustRightInd w:val="0"/>
              <w:spacing w:after="0" w:line="240" w:lineRule="auto"/>
              <w:jc w:val="center"/>
              <w:rPr>
                <w:rFonts w:ascii="Arial" w:eastAsia="Times New Roman" w:hAnsi="Arial" w:cs="Arial"/>
                <w:sz w:val="16"/>
                <w:szCs w:val="18"/>
              </w:rPr>
            </w:pPr>
            <w:r w:rsidRPr="003A2F86">
              <w:rPr>
                <w:rFonts w:ascii="Arial" w:eastAsia="Times New Roman" w:hAnsi="Arial" w:cs="Arial"/>
                <w:sz w:val="16"/>
                <w:szCs w:val="18"/>
              </w:rPr>
              <w:t>4</w:t>
            </w:r>
          </w:p>
        </w:tc>
        <w:tc>
          <w:tcPr>
            <w:tcW w:w="1984" w:type="dxa"/>
            <w:vAlign w:val="center"/>
          </w:tcPr>
          <w:p w14:paraId="14746AB0" w14:textId="2B412BEC" w:rsidR="00DA03FB" w:rsidRPr="003A2F86" w:rsidRDefault="00DA03FB" w:rsidP="00DA03FB">
            <w:pPr>
              <w:autoSpaceDE w:val="0"/>
              <w:autoSpaceDN w:val="0"/>
              <w:adjustRightInd w:val="0"/>
              <w:spacing w:after="0" w:line="240" w:lineRule="auto"/>
              <w:jc w:val="center"/>
              <w:rPr>
                <w:rFonts w:ascii="Arial" w:eastAsia="Times New Roman" w:hAnsi="Arial" w:cs="Arial"/>
                <w:sz w:val="16"/>
                <w:szCs w:val="18"/>
              </w:rPr>
            </w:pPr>
            <w:r w:rsidRPr="003A2F86">
              <w:rPr>
                <w:rFonts w:ascii="Arial" w:eastAsia="Times New Roman" w:hAnsi="Arial" w:cs="Arial"/>
                <w:sz w:val="16"/>
                <w:szCs w:val="18"/>
              </w:rPr>
              <w:t>5</w:t>
            </w:r>
          </w:p>
        </w:tc>
        <w:tc>
          <w:tcPr>
            <w:tcW w:w="1560" w:type="dxa"/>
            <w:vAlign w:val="center"/>
          </w:tcPr>
          <w:p w14:paraId="512DB170" w14:textId="7E3ED18D" w:rsidR="00DA03FB" w:rsidRPr="003A2F86" w:rsidRDefault="00DA03FB" w:rsidP="00DA03FB">
            <w:pPr>
              <w:autoSpaceDE w:val="0"/>
              <w:autoSpaceDN w:val="0"/>
              <w:adjustRightInd w:val="0"/>
              <w:spacing w:after="0" w:line="240" w:lineRule="auto"/>
              <w:jc w:val="center"/>
              <w:rPr>
                <w:rFonts w:ascii="Arial" w:eastAsia="Times New Roman" w:hAnsi="Arial" w:cs="Arial"/>
                <w:sz w:val="16"/>
                <w:szCs w:val="18"/>
              </w:rPr>
            </w:pPr>
            <w:r w:rsidRPr="003A2F86">
              <w:rPr>
                <w:rFonts w:ascii="Arial" w:eastAsia="Times New Roman" w:hAnsi="Arial" w:cs="Arial"/>
                <w:sz w:val="16"/>
                <w:szCs w:val="18"/>
              </w:rPr>
              <w:t>6</w:t>
            </w:r>
          </w:p>
        </w:tc>
        <w:tc>
          <w:tcPr>
            <w:tcW w:w="980" w:type="dxa"/>
            <w:vAlign w:val="center"/>
          </w:tcPr>
          <w:p w14:paraId="60FCE4CF" w14:textId="4AF9FFBD" w:rsidR="00DA03FB" w:rsidRPr="003A2F86" w:rsidRDefault="00DA03FB" w:rsidP="00DA03FB">
            <w:pPr>
              <w:autoSpaceDE w:val="0"/>
              <w:autoSpaceDN w:val="0"/>
              <w:adjustRightInd w:val="0"/>
              <w:spacing w:after="0" w:line="240" w:lineRule="auto"/>
              <w:jc w:val="center"/>
              <w:rPr>
                <w:rFonts w:ascii="Arial" w:eastAsia="Times New Roman" w:hAnsi="Arial" w:cs="Arial"/>
                <w:sz w:val="16"/>
                <w:szCs w:val="18"/>
              </w:rPr>
            </w:pPr>
            <w:r w:rsidRPr="003A2F86">
              <w:rPr>
                <w:rFonts w:ascii="Arial" w:eastAsia="Times New Roman" w:hAnsi="Arial" w:cs="Arial"/>
                <w:sz w:val="16"/>
                <w:szCs w:val="18"/>
              </w:rPr>
              <w:t>7</w:t>
            </w:r>
          </w:p>
        </w:tc>
        <w:tc>
          <w:tcPr>
            <w:tcW w:w="1275" w:type="dxa"/>
            <w:vAlign w:val="center"/>
          </w:tcPr>
          <w:p w14:paraId="60E2D235" w14:textId="73D4D6B1" w:rsidR="00DA03FB" w:rsidRPr="003A2F86" w:rsidRDefault="00DA03FB" w:rsidP="00DA03FB">
            <w:pPr>
              <w:autoSpaceDE w:val="0"/>
              <w:autoSpaceDN w:val="0"/>
              <w:adjustRightInd w:val="0"/>
              <w:spacing w:after="0" w:line="240" w:lineRule="auto"/>
              <w:jc w:val="center"/>
              <w:rPr>
                <w:rFonts w:ascii="Arial" w:eastAsia="Times New Roman" w:hAnsi="Arial" w:cs="Arial"/>
                <w:sz w:val="16"/>
                <w:szCs w:val="18"/>
              </w:rPr>
            </w:pPr>
            <w:r w:rsidRPr="003A2F86">
              <w:rPr>
                <w:rFonts w:ascii="Arial" w:eastAsia="Times New Roman" w:hAnsi="Arial" w:cs="Arial"/>
                <w:sz w:val="16"/>
                <w:szCs w:val="18"/>
              </w:rPr>
              <w:t>8</w:t>
            </w:r>
          </w:p>
        </w:tc>
        <w:tc>
          <w:tcPr>
            <w:tcW w:w="1220" w:type="dxa"/>
            <w:vAlign w:val="center"/>
          </w:tcPr>
          <w:p w14:paraId="3EE3943E" w14:textId="473D26C2" w:rsidR="00DA03FB" w:rsidRPr="003A2F86" w:rsidRDefault="00DA03FB" w:rsidP="00DA03FB">
            <w:pPr>
              <w:autoSpaceDE w:val="0"/>
              <w:autoSpaceDN w:val="0"/>
              <w:adjustRightInd w:val="0"/>
              <w:spacing w:after="0" w:line="240" w:lineRule="auto"/>
              <w:jc w:val="center"/>
              <w:rPr>
                <w:rFonts w:ascii="Arial" w:eastAsia="Times New Roman" w:hAnsi="Arial" w:cs="Arial"/>
                <w:sz w:val="16"/>
                <w:szCs w:val="18"/>
              </w:rPr>
            </w:pPr>
            <w:r w:rsidRPr="003A2F86">
              <w:rPr>
                <w:rFonts w:ascii="Arial" w:eastAsia="Times New Roman" w:hAnsi="Arial" w:cs="Arial"/>
                <w:sz w:val="16"/>
                <w:szCs w:val="18"/>
              </w:rPr>
              <w:t>9</w:t>
            </w:r>
          </w:p>
        </w:tc>
      </w:tr>
      <w:tr w:rsidR="0030139E" w:rsidRPr="0030139E" w14:paraId="0DE8C570" w14:textId="6A99B438" w:rsidTr="00DA03FB">
        <w:trPr>
          <w:jc w:val="center"/>
        </w:trPr>
        <w:tc>
          <w:tcPr>
            <w:tcW w:w="700" w:type="dxa"/>
            <w:vAlign w:val="center"/>
          </w:tcPr>
          <w:p w14:paraId="0B12593D" w14:textId="77777777" w:rsidR="00DA03FB" w:rsidRPr="0030139E" w:rsidRDefault="00DA03FB" w:rsidP="00DA03FB">
            <w:pPr>
              <w:autoSpaceDE w:val="0"/>
              <w:autoSpaceDN w:val="0"/>
              <w:adjustRightInd w:val="0"/>
              <w:spacing w:after="0" w:line="240" w:lineRule="auto"/>
              <w:jc w:val="center"/>
              <w:rPr>
                <w:rFonts w:ascii="Arial" w:eastAsia="Times New Roman" w:hAnsi="Arial" w:cs="Arial"/>
                <w:sz w:val="18"/>
                <w:szCs w:val="18"/>
              </w:rPr>
            </w:pPr>
            <w:r w:rsidRPr="0030139E">
              <w:rPr>
                <w:rFonts w:ascii="Arial" w:eastAsia="Times New Roman" w:hAnsi="Arial" w:cs="Arial"/>
                <w:sz w:val="18"/>
                <w:szCs w:val="18"/>
              </w:rPr>
              <w:t>1.</w:t>
            </w:r>
          </w:p>
        </w:tc>
        <w:tc>
          <w:tcPr>
            <w:tcW w:w="4040" w:type="dxa"/>
            <w:vAlign w:val="center"/>
          </w:tcPr>
          <w:p w14:paraId="59F6303B" w14:textId="542F96CA" w:rsidR="00DA03FB" w:rsidRPr="0030139E" w:rsidRDefault="00DA03FB" w:rsidP="00DA03FB">
            <w:pPr>
              <w:autoSpaceDE w:val="0"/>
              <w:autoSpaceDN w:val="0"/>
              <w:adjustRightInd w:val="0"/>
              <w:spacing w:after="0" w:line="240" w:lineRule="auto"/>
              <w:jc w:val="center"/>
              <w:rPr>
                <w:rFonts w:ascii="Arial" w:eastAsia="Times New Roman" w:hAnsi="Arial" w:cs="Arial"/>
                <w:sz w:val="18"/>
                <w:szCs w:val="18"/>
              </w:rPr>
            </w:pPr>
            <w:r w:rsidRPr="0030139E">
              <w:rPr>
                <w:rFonts w:ascii="Arial" w:eastAsia="Times New Roman" w:hAnsi="Arial" w:cs="Arial"/>
                <w:sz w:val="18"/>
                <w:szCs w:val="18"/>
              </w:rPr>
              <w:t>3.10.2014., Odluka Općinskog vijeća (</w:t>
            </w:r>
            <w:r w:rsidR="00970797" w:rsidRPr="0030139E">
              <w:rPr>
                <w:rFonts w:ascii="Arial" w:eastAsia="Times New Roman" w:hAnsi="Arial" w:cs="Arial"/>
                <w:sz w:val="18"/>
                <w:szCs w:val="18"/>
              </w:rPr>
              <w:t>S</w:t>
            </w:r>
            <w:r w:rsidRPr="0030139E">
              <w:rPr>
                <w:rFonts w:ascii="Arial" w:eastAsia="Times New Roman" w:hAnsi="Arial" w:cs="Arial"/>
                <w:sz w:val="18"/>
                <w:szCs w:val="18"/>
              </w:rPr>
              <w:t>l.gl.Općine Konavle 8/14), suglasnost Ministarstva financija, KLASA: 403-01/14-01/05, URBROJ: 513-05-01-14-3, 3.11.2014.</w:t>
            </w:r>
          </w:p>
        </w:tc>
        <w:tc>
          <w:tcPr>
            <w:tcW w:w="1374" w:type="dxa"/>
            <w:vAlign w:val="center"/>
          </w:tcPr>
          <w:p w14:paraId="5B2C7E33" w14:textId="0901A2C4" w:rsidR="00DA03FB" w:rsidRPr="0030139E" w:rsidRDefault="00DA03FB" w:rsidP="00DA03FB">
            <w:pPr>
              <w:autoSpaceDE w:val="0"/>
              <w:autoSpaceDN w:val="0"/>
              <w:adjustRightInd w:val="0"/>
              <w:spacing w:after="0" w:line="240" w:lineRule="auto"/>
              <w:jc w:val="center"/>
              <w:rPr>
                <w:rFonts w:ascii="Arial" w:eastAsia="Times New Roman" w:hAnsi="Arial" w:cs="Arial"/>
                <w:sz w:val="16"/>
                <w:szCs w:val="16"/>
              </w:rPr>
            </w:pPr>
            <w:r w:rsidRPr="0030139E">
              <w:rPr>
                <w:rFonts w:ascii="Arial" w:eastAsia="Times New Roman" w:hAnsi="Arial" w:cs="Arial"/>
                <w:sz w:val="16"/>
                <w:szCs w:val="16"/>
              </w:rPr>
              <w:t>Izgradnja kanalizacijskog i vodoopskrbnog sustava</w:t>
            </w:r>
          </w:p>
        </w:tc>
        <w:tc>
          <w:tcPr>
            <w:tcW w:w="1276" w:type="dxa"/>
            <w:vAlign w:val="center"/>
          </w:tcPr>
          <w:p w14:paraId="54A534AE" w14:textId="09D56912" w:rsidR="00DA03FB" w:rsidRPr="0030139E" w:rsidRDefault="00DA03FB" w:rsidP="00DA03FB">
            <w:pPr>
              <w:autoSpaceDE w:val="0"/>
              <w:autoSpaceDN w:val="0"/>
              <w:adjustRightInd w:val="0"/>
              <w:spacing w:after="0" w:line="240" w:lineRule="auto"/>
              <w:jc w:val="center"/>
              <w:rPr>
                <w:rFonts w:ascii="Arial" w:eastAsia="Times New Roman" w:hAnsi="Arial" w:cs="Arial"/>
                <w:sz w:val="18"/>
                <w:szCs w:val="18"/>
              </w:rPr>
            </w:pPr>
            <w:r w:rsidRPr="0030139E">
              <w:rPr>
                <w:rFonts w:ascii="Arial" w:eastAsia="Times New Roman" w:hAnsi="Arial" w:cs="Arial"/>
                <w:sz w:val="18"/>
                <w:szCs w:val="18"/>
              </w:rPr>
              <w:t>25.11.2014.</w:t>
            </w:r>
          </w:p>
        </w:tc>
        <w:tc>
          <w:tcPr>
            <w:tcW w:w="1984" w:type="dxa"/>
            <w:vAlign w:val="center"/>
          </w:tcPr>
          <w:p w14:paraId="60E2CA9B" w14:textId="77777777" w:rsidR="00DA03FB" w:rsidRPr="0030139E" w:rsidRDefault="00DA03FB" w:rsidP="00DA03FB">
            <w:pPr>
              <w:autoSpaceDE w:val="0"/>
              <w:autoSpaceDN w:val="0"/>
              <w:adjustRightInd w:val="0"/>
              <w:spacing w:after="0" w:line="240" w:lineRule="auto"/>
              <w:jc w:val="center"/>
              <w:rPr>
                <w:rFonts w:ascii="Arial" w:eastAsia="Times New Roman" w:hAnsi="Arial" w:cs="Arial"/>
                <w:sz w:val="18"/>
                <w:szCs w:val="18"/>
              </w:rPr>
            </w:pPr>
            <w:r w:rsidRPr="0030139E">
              <w:rPr>
                <w:rFonts w:ascii="Arial" w:eastAsia="Times New Roman" w:hAnsi="Arial" w:cs="Arial"/>
                <w:sz w:val="18"/>
                <w:szCs w:val="18"/>
              </w:rPr>
              <w:t>Erste &amp; Steiermärkische Bank d.d. Rijeka</w:t>
            </w:r>
          </w:p>
        </w:tc>
        <w:tc>
          <w:tcPr>
            <w:tcW w:w="1560" w:type="dxa"/>
            <w:vAlign w:val="center"/>
          </w:tcPr>
          <w:p w14:paraId="77837C83" w14:textId="77777777" w:rsidR="00DA03FB" w:rsidRPr="0030139E" w:rsidRDefault="00DA03FB" w:rsidP="00DA03FB">
            <w:pPr>
              <w:autoSpaceDE w:val="0"/>
              <w:autoSpaceDN w:val="0"/>
              <w:adjustRightInd w:val="0"/>
              <w:spacing w:after="0" w:line="240" w:lineRule="auto"/>
              <w:jc w:val="center"/>
              <w:rPr>
                <w:rFonts w:ascii="Arial" w:eastAsia="Times New Roman" w:hAnsi="Arial" w:cs="Arial"/>
                <w:sz w:val="18"/>
                <w:szCs w:val="18"/>
              </w:rPr>
            </w:pPr>
            <w:r w:rsidRPr="0030139E">
              <w:rPr>
                <w:rFonts w:ascii="Arial" w:eastAsia="Times New Roman" w:hAnsi="Arial" w:cs="Arial"/>
                <w:sz w:val="18"/>
                <w:szCs w:val="18"/>
              </w:rPr>
              <w:t>Konavosko komunalno društvo d.o.o. Čilipi</w:t>
            </w:r>
          </w:p>
        </w:tc>
        <w:tc>
          <w:tcPr>
            <w:tcW w:w="980" w:type="dxa"/>
            <w:vAlign w:val="center"/>
          </w:tcPr>
          <w:p w14:paraId="0A4CB67D" w14:textId="77777777" w:rsidR="00DA03FB" w:rsidRPr="0030139E" w:rsidRDefault="00DA03FB" w:rsidP="00DA03FB">
            <w:pPr>
              <w:autoSpaceDE w:val="0"/>
              <w:autoSpaceDN w:val="0"/>
              <w:adjustRightInd w:val="0"/>
              <w:spacing w:after="0" w:line="240" w:lineRule="auto"/>
              <w:jc w:val="center"/>
              <w:rPr>
                <w:rFonts w:ascii="Arial" w:eastAsia="Times New Roman" w:hAnsi="Arial" w:cs="Arial"/>
                <w:sz w:val="18"/>
                <w:szCs w:val="18"/>
              </w:rPr>
            </w:pPr>
            <w:r w:rsidRPr="0030139E">
              <w:rPr>
                <w:rFonts w:ascii="Arial" w:eastAsia="Times New Roman" w:hAnsi="Arial" w:cs="Arial"/>
                <w:sz w:val="18"/>
                <w:szCs w:val="18"/>
              </w:rPr>
              <w:t>EUR</w:t>
            </w:r>
          </w:p>
        </w:tc>
        <w:tc>
          <w:tcPr>
            <w:tcW w:w="1275" w:type="dxa"/>
            <w:vAlign w:val="center"/>
          </w:tcPr>
          <w:p w14:paraId="3C01877E" w14:textId="791C72A9" w:rsidR="00DA03FB" w:rsidRPr="0030139E" w:rsidRDefault="00CB33AD" w:rsidP="00DA03FB">
            <w:pPr>
              <w:autoSpaceDE w:val="0"/>
              <w:autoSpaceDN w:val="0"/>
              <w:adjustRightInd w:val="0"/>
              <w:spacing w:after="0" w:line="240" w:lineRule="auto"/>
              <w:jc w:val="right"/>
              <w:rPr>
                <w:rFonts w:ascii="Arial" w:eastAsia="Times New Roman" w:hAnsi="Arial" w:cs="Arial"/>
                <w:sz w:val="18"/>
                <w:szCs w:val="18"/>
              </w:rPr>
            </w:pPr>
            <w:r>
              <w:rPr>
                <w:rFonts w:ascii="Arial" w:eastAsia="Times New Roman" w:hAnsi="Arial" w:cs="Arial"/>
                <w:sz w:val="18"/>
                <w:szCs w:val="18"/>
              </w:rPr>
              <w:t>308.709,23</w:t>
            </w:r>
          </w:p>
        </w:tc>
        <w:tc>
          <w:tcPr>
            <w:tcW w:w="1220" w:type="dxa"/>
            <w:vAlign w:val="center"/>
          </w:tcPr>
          <w:p w14:paraId="209EF9FB" w14:textId="77777777" w:rsidR="00DA03FB" w:rsidRPr="0030139E" w:rsidRDefault="00DA03FB" w:rsidP="00DA03FB">
            <w:pPr>
              <w:autoSpaceDE w:val="0"/>
              <w:autoSpaceDN w:val="0"/>
              <w:adjustRightInd w:val="0"/>
              <w:spacing w:after="0" w:line="240" w:lineRule="auto"/>
              <w:jc w:val="center"/>
              <w:rPr>
                <w:rFonts w:ascii="Arial" w:eastAsia="Times New Roman" w:hAnsi="Arial" w:cs="Arial"/>
                <w:sz w:val="18"/>
                <w:szCs w:val="18"/>
              </w:rPr>
            </w:pPr>
            <w:r w:rsidRPr="0030139E">
              <w:rPr>
                <w:rFonts w:ascii="Arial" w:eastAsia="Times New Roman" w:hAnsi="Arial" w:cs="Arial"/>
                <w:sz w:val="18"/>
                <w:szCs w:val="18"/>
              </w:rPr>
              <w:t>2029.</w:t>
            </w:r>
          </w:p>
        </w:tc>
      </w:tr>
      <w:bookmarkEnd w:id="398"/>
    </w:tbl>
    <w:p w14:paraId="35EB1675" w14:textId="77777777" w:rsidR="00891119" w:rsidRPr="003A2F86" w:rsidRDefault="00891119" w:rsidP="00891119">
      <w:pPr>
        <w:autoSpaceDE w:val="0"/>
        <w:autoSpaceDN w:val="0"/>
        <w:adjustRightInd w:val="0"/>
        <w:spacing w:after="0" w:line="240" w:lineRule="auto"/>
        <w:jc w:val="both"/>
        <w:rPr>
          <w:rFonts w:ascii="Arial" w:eastAsia="Times New Roman" w:hAnsi="Arial" w:cs="Arial"/>
        </w:rPr>
      </w:pPr>
    </w:p>
    <w:p w14:paraId="16C945E5" w14:textId="77777777" w:rsidR="00891119" w:rsidRPr="00EB650B" w:rsidRDefault="00891119" w:rsidP="00891119">
      <w:pPr>
        <w:spacing w:after="0" w:line="240" w:lineRule="auto"/>
        <w:jc w:val="both"/>
        <w:rPr>
          <w:rFonts w:ascii="Arial" w:eastAsia="Times New Roman" w:hAnsi="Arial" w:cs="Arial"/>
          <w:b/>
          <w:iCs/>
          <w:sz w:val="20"/>
          <w:szCs w:val="20"/>
          <w:lang w:eastAsia="en-US"/>
        </w:rPr>
      </w:pPr>
      <w:r w:rsidRPr="00EB650B">
        <w:rPr>
          <w:rFonts w:ascii="Arial" w:eastAsia="Times New Roman" w:hAnsi="Arial" w:cs="Arial"/>
          <w:b/>
          <w:iCs/>
          <w:sz w:val="20"/>
          <w:szCs w:val="20"/>
          <w:lang w:eastAsia="en-US"/>
        </w:rPr>
        <w:t>Obrazloženje:</w:t>
      </w:r>
    </w:p>
    <w:p w14:paraId="428B2F4B" w14:textId="54BF9AA5" w:rsidR="00891119" w:rsidRPr="00EB650B" w:rsidRDefault="00891119" w:rsidP="00891119">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U 2014. Općina je izdala jedno jamstvo društvu u vlasništvu, Konavoskom komunalnom društvu d.o.o. u iznosu 6.006.671,46 </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 Konavosko komunalno društvo je provelo postupak javne nabave investicijskog kredita (za izgradnju objekata vodoopskrbnog sustava Đurinići, Vitaljina i dijela kanalizacijskog sustava Cavtat) odabralo najpovoljnijeg ponuditelja (Erste&amp;Steiermärkische Bank d.d. Rijeka. Kredit je odobren u iznosu 4.500.000</w:t>
      </w:r>
      <w:r w:rsidR="001A45D0" w:rsidRPr="00EB650B">
        <w:rPr>
          <w:rFonts w:ascii="Arial" w:eastAsia="Times New Roman" w:hAnsi="Arial" w:cs="Arial"/>
          <w:iCs/>
          <w:sz w:val="20"/>
          <w:szCs w:val="20"/>
          <w:lang w:eastAsia="en-US"/>
        </w:rPr>
        <w:t xml:space="preserve"> </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 xml:space="preserve"> (dugoročni kunski kredit s valutnom klauzulom u EUR) uz poček od tri godine (nakon iskorištenja kredita) i rok povrata kredita od 10 godina (120 mjeseci) nakon isteka počeka. Kamatna stopa je promjenjiva u visini tromjesečnog EURIBOR-a uvećana za kamatnu maržu od 3,91%. Način povrata je u 20 polugodišnjih obroka, dospijeće prvog obroka 31.12.2019. Utvrđen je </w:t>
      </w:r>
      <w:r w:rsidRPr="00EB650B">
        <w:rPr>
          <w:rFonts w:ascii="Arial" w:eastAsia="Times New Roman" w:hAnsi="Arial" w:cs="Arial"/>
          <w:sz w:val="20"/>
          <w:szCs w:val="20"/>
        </w:rPr>
        <w:t xml:space="preserve">povrat kredita u kunama uz primjenu </w:t>
      </w:r>
      <w:r w:rsidRPr="00EB650B">
        <w:rPr>
          <w:rFonts w:ascii="Arial" w:eastAsia="Times New Roman" w:hAnsi="Arial" w:cs="Arial"/>
          <w:b/>
          <w:sz w:val="20"/>
          <w:szCs w:val="20"/>
        </w:rPr>
        <w:t>prodajnog</w:t>
      </w:r>
      <w:r w:rsidRPr="00EB650B">
        <w:rPr>
          <w:rFonts w:ascii="Arial" w:eastAsia="Times New Roman" w:hAnsi="Arial" w:cs="Arial"/>
          <w:sz w:val="20"/>
          <w:szCs w:val="20"/>
        </w:rPr>
        <w:t xml:space="preserve"> tečaja HNB za 1 EUR na dan uplate. </w:t>
      </w:r>
      <w:r w:rsidRPr="00EB650B">
        <w:rPr>
          <w:rFonts w:ascii="Arial" w:eastAsia="Times New Roman" w:hAnsi="Arial" w:cs="Arial"/>
          <w:iCs/>
          <w:sz w:val="20"/>
          <w:szCs w:val="20"/>
          <w:lang w:eastAsia="en-US"/>
        </w:rPr>
        <w:t>Ukupni iznos jamstva (</w:t>
      </w:r>
      <w:r w:rsidRPr="00EB650B">
        <w:rPr>
          <w:rFonts w:ascii="Arial" w:eastAsia="Times New Roman" w:hAnsi="Arial" w:cs="Arial"/>
          <w:sz w:val="20"/>
          <w:szCs w:val="20"/>
        </w:rPr>
        <w:t xml:space="preserve">6.006.671,46 </w:t>
      </w:r>
      <w:r w:rsidR="00A8623C" w:rsidRPr="00EB650B">
        <w:rPr>
          <w:rFonts w:ascii="Arial" w:eastAsia="Times New Roman" w:hAnsi="Arial" w:cs="Arial"/>
          <w:sz w:val="20"/>
          <w:szCs w:val="20"/>
        </w:rPr>
        <w:t>kn</w:t>
      </w:r>
      <w:r w:rsidRPr="00EB650B">
        <w:rPr>
          <w:rFonts w:ascii="Arial" w:eastAsia="Times New Roman" w:hAnsi="Arial" w:cs="Arial"/>
          <w:sz w:val="20"/>
          <w:szCs w:val="20"/>
        </w:rPr>
        <w:t>)</w:t>
      </w:r>
      <w:r w:rsidRPr="00EB650B">
        <w:rPr>
          <w:rFonts w:ascii="Arial" w:eastAsia="Times New Roman" w:hAnsi="Arial" w:cs="Arial"/>
          <w:iCs/>
          <w:sz w:val="20"/>
          <w:szCs w:val="20"/>
          <w:lang w:eastAsia="en-US"/>
        </w:rPr>
        <w:t xml:space="preserve"> je utvrđen na način da je glavnica kredita (4.500.000</w:t>
      </w:r>
      <w:r w:rsidR="001A45D0" w:rsidRPr="00EB650B">
        <w:rPr>
          <w:rFonts w:ascii="Arial" w:eastAsia="Times New Roman" w:hAnsi="Arial" w:cs="Arial"/>
          <w:iCs/>
          <w:sz w:val="20"/>
          <w:szCs w:val="20"/>
          <w:lang w:eastAsia="en-US"/>
        </w:rPr>
        <w:t xml:space="preserve"> </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 xml:space="preserve">) uvećana za kamate (1.472.921,46 </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 i druge na</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ade (na</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 xml:space="preserve">ada za obradu kredita 0,75% jednokratno, 33.750 </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 xml:space="preserve">). </w:t>
      </w:r>
    </w:p>
    <w:p w14:paraId="70A22690" w14:textId="77777777" w:rsidR="00891119" w:rsidRPr="00EB650B" w:rsidRDefault="00891119" w:rsidP="00891119">
      <w:pPr>
        <w:spacing w:after="0" w:line="240" w:lineRule="auto"/>
        <w:jc w:val="both"/>
        <w:rPr>
          <w:rFonts w:ascii="Arial" w:eastAsia="Times New Roman" w:hAnsi="Arial" w:cs="Arial"/>
          <w:iCs/>
          <w:sz w:val="20"/>
          <w:szCs w:val="20"/>
          <w:lang w:eastAsia="en-US"/>
        </w:rPr>
      </w:pPr>
    </w:p>
    <w:p w14:paraId="17AE45BF" w14:textId="0EFD204D" w:rsidR="00891119" w:rsidRPr="00EB650B" w:rsidRDefault="00891119" w:rsidP="00891119">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Općinsko vijeće je na sjednici održanoj 3. listopada 2014. donijelo Odluku o davanju jamstva za ispunjenje novčanih obveza na način da je odobrilo upis založnog prava (hipoteke) u zemljišnim </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jigama na čestici zemljišta u vlasništvu Općine, a u korist poslovne banke. Ministarstvo financija je 3. studenoga 2014. dalo suglasnost Općini za davanje jamstva za kredit Konavoskog komunalnog društva kod poslovne banke Erste&amp;Steiermärkische Bank d.d. Rijeka. Ugovor o kreditu između korisnika kredita (Konavosko komunalno društvo d.o.o.) i poslovne banke, kao i Sporazum o osiguranju novčane tražbine zasnivanjem založnog prava (hipoteke) na nekretnini između Općine, poslovne banke i korisnika kredita (Konavoskog komunalnog društva) zaključen je 25. studenoga 2014. Dana 7.7.2016. godine korisnik kredita (Konavosko komunalno društvo) i poslovna banka zaključili su dodatak ugovoru o dugoročnom kreditu, a njime je utvrđeno produženje roka korištenja kredita do 31.12.2016. uz plaćanje na</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ade za izmjenu ugovora u visini 0,1% iznosa kredita.</w:t>
      </w:r>
    </w:p>
    <w:p w14:paraId="13B6655D" w14:textId="77777777" w:rsidR="00891119" w:rsidRPr="00EB650B" w:rsidRDefault="00891119" w:rsidP="00891119">
      <w:pPr>
        <w:spacing w:after="0" w:line="240" w:lineRule="auto"/>
        <w:jc w:val="both"/>
        <w:rPr>
          <w:rFonts w:ascii="Arial" w:eastAsia="Times New Roman" w:hAnsi="Arial" w:cs="Arial"/>
          <w:iCs/>
          <w:sz w:val="20"/>
          <w:szCs w:val="20"/>
          <w:lang w:eastAsia="en-US"/>
        </w:rPr>
      </w:pPr>
    </w:p>
    <w:p w14:paraId="663E6BF7" w14:textId="7CEF1C88" w:rsidR="002D205C" w:rsidRPr="00EB650B" w:rsidRDefault="00891119" w:rsidP="00891119">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Kredit je iskorišten </w:t>
      </w:r>
      <w:r w:rsidR="001A45D0" w:rsidRPr="00EB650B">
        <w:rPr>
          <w:rFonts w:ascii="Arial" w:eastAsia="Times New Roman" w:hAnsi="Arial" w:cs="Arial"/>
          <w:iCs/>
          <w:sz w:val="20"/>
          <w:szCs w:val="20"/>
          <w:lang w:eastAsia="en-US"/>
        </w:rPr>
        <w:t xml:space="preserve">tijekom 2015. i 2016. </w:t>
      </w:r>
      <w:r w:rsidRPr="00EB650B">
        <w:rPr>
          <w:rFonts w:ascii="Arial" w:eastAsia="Times New Roman" w:hAnsi="Arial" w:cs="Arial"/>
          <w:iCs/>
          <w:sz w:val="20"/>
          <w:szCs w:val="20"/>
          <w:lang w:eastAsia="en-US"/>
        </w:rPr>
        <w:t xml:space="preserve">u iznosu 4.518.819,52 </w:t>
      </w:r>
      <w:r w:rsidR="00A8623C" w:rsidRPr="00EB650B">
        <w:rPr>
          <w:rFonts w:ascii="Arial" w:eastAsia="Times New Roman" w:hAnsi="Arial" w:cs="Arial"/>
          <w:iCs/>
          <w:sz w:val="20"/>
          <w:szCs w:val="20"/>
          <w:lang w:eastAsia="en-US"/>
        </w:rPr>
        <w:t>kn</w:t>
      </w:r>
      <w:r w:rsidRPr="00EB650B">
        <w:rPr>
          <w:rFonts w:ascii="Arial" w:eastAsia="Times New Roman" w:hAnsi="Arial" w:cs="Arial"/>
          <w:iCs/>
          <w:sz w:val="20"/>
          <w:szCs w:val="20"/>
          <w:lang w:eastAsia="en-US"/>
        </w:rPr>
        <w:t xml:space="preserve"> (593.907,07 EUR). Do</w:t>
      </w:r>
      <w:r w:rsidR="001A45D0" w:rsidRPr="00EB650B">
        <w:rPr>
          <w:rFonts w:ascii="Arial" w:eastAsia="Times New Roman" w:hAnsi="Arial" w:cs="Arial"/>
          <w:iCs/>
          <w:sz w:val="20"/>
          <w:szCs w:val="20"/>
          <w:lang w:eastAsia="en-US"/>
        </w:rPr>
        <w:t xml:space="preserve"> dospijeća </w:t>
      </w:r>
      <w:r w:rsidRPr="00EB650B">
        <w:rPr>
          <w:rFonts w:ascii="Arial" w:eastAsia="Times New Roman" w:hAnsi="Arial" w:cs="Arial"/>
          <w:iCs/>
          <w:sz w:val="20"/>
          <w:szCs w:val="20"/>
          <w:lang w:eastAsia="en-US"/>
        </w:rPr>
        <w:t xml:space="preserve">prvog polugodišnjeg obroka </w:t>
      </w:r>
      <w:r w:rsidR="001A45D0" w:rsidRPr="00EB650B">
        <w:rPr>
          <w:rFonts w:ascii="Arial" w:eastAsia="Times New Roman" w:hAnsi="Arial" w:cs="Arial"/>
          <w:iCs/>
          <w:sz w:val="20"/>
          <w:szCs w:val="20"/>
          <w:lang w:eastAsia="en-US"/>
        </w:rPr>
        <w:t>(31</w:t>
      </w:r>
      <w:r w:rsidRPr="00EB650B">
        <w:rPr>
          <w:rFonts w:ascii="Arial" w:eastAsia="Times New Roman" w:hAnsi="Arial" w:cs="Arial"/>
          <w:iCs/>
          <w:sz w:val="20"/>
          <w:szCs w:val="20"/>
          <w:lang w:eastAsia="en-US"/>
        </w:rPr>
        <w:t>.12.2019.</w:t>
      </w:r>
      <w:r w:rsidR="001A45D0" w:rsidRPr="00EB650B">
        <w:rPr>
          <w:rFonts w:ascii="Arial" w:eastAsia="Times New Roman" w:hAnsi="Arial" w:cs="Arial"/>
          <w:iCs/>
          <w:sz w:val="20"/>
          <w:szCs w:val="20"/>
          <w:lang w:eastAsia="en-US"/>
        </w:rPr>
        <w:t xml:space="preserve">) plaćaju se </w:t>
      </w:r>
      <w:r w:rsidRPr="00EB650B">
        <w:rPr>
          <w:rFonts w:ascii="Arial" w:eastAsia="Times New Roman" w:hAnsi="Arial" w:cs="Arial"/>
          <w:iCs/>
          <w:sz w:val="20"/>
          <w:szCs w:val="20"/>
          <w:lang w:eastAsia="en-US"/>
        </w:rPr>
        <w:t>kamate u počeku čiji obroci godišnje iznose približno 21.000 EUR, odnosno polugodišnji obrok cca 10.500 EUR)</w:t>
      </w:r>
      <w:r w:rsidR="001A45D0" w:rsidRPr="00EB650B">
        <w:rPr>
          <w:rFonts w:ascii="Arial" w:eastAsia="Times New Roman" w:hAnsi="Arial" w:cs="Arial"/>
          <w:iCs/>
          <w:sz w:val="20"/>
          <w:szCs w:val="20"/>
          <w:lang w:eastAsia="en-US"/>
        </w:rPr>
        <w:t>.</w:t>
      </w:r>
    </w:p>
    <w:p w14:paraId="1C75E5C8" w14:textId="604228B3" w:rsidR="002D205C" w:rsidRPr="00EB650B" w:rsidRDefault="009C4750" w:rsidP="00891119">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sz w:val="20"/>
          <w:szCs w:val="20"/>
        </w:rPr>
        <w:t>Uslijed</w:t>
      </w:r>
      <w:r w:rsidR="002D205C" w:rsidRPr="00EB650B">
        <w:rPr>
          <w:rFonts w:ascii="Arial" w:eastAsia="Times New Roman" w:hAnsi="Arial" w:cs="Arial"/>
          <w:sz w:val="20"/>
          <w:szCs w:val="20"/>
        </w:rPr>
        <w:t xml:space="preserve"> pada prihoda uzrokovanih posljedicama bolesti COVID-19, poslovna banka je društvu odobrila odgodu otplate kredita do 30.6.2021., te je utvrđen i novi otplatni plan s izmjenama plaćanja visine glavnice kredita i kamata. Krajnji rok otplate kredita je ostao </w:t>
      </w:r>
      <w:r w:rsidR="00891119" w:rsidRPr="00EB650B">
        <w:rPr>
          <w:rFonts w:ascii="Arial" w:eastAsia="Times New Roman" w:hAnsi="Arial" w:cs="Arial"/>
          <w:b/>
          <w:iCs/>
          <w:sz w:val="20"/>
          <w:szCs w:val="20"/>
          <w:lang w:eastAsia="en-US"/>
        </w:rPr>
        <w:t>30.06.2029.</w:t>
      </w:r>
      <w:r w:rsidR="00891119" w:rsidRPr="00EB650B">
        <w:rPr>
          <w:rFonts w:ascii="Arial" w:eastAsia="Times New Roman" w:hAnsi="Arial" w:cs="Arial"/>
          <w:iCs/>
          <w:sz w:val="20"/>
          <w:szCs w:val="20"/>
          <w:lang w:eastAsia="en-US"/>
        </w:rPr>
        <w:t xml:space="preserve"> </w:t>
      </w:r>
      <w:r w:rsidR="00FF43B2" w:rsidRPr="00EB650B">
        <w:rPr>
          <w:rFonts w:ascii="Arial" w:eastAsia="Times New Roman" w:hAnsi="Arial" w:cs="Arial"/>
          <w:iCs/>
          <w:sz w:val="20"/>
          <w:szCs w:val="20"/>
          <w:lang w:eastAsia="en-US"/>
        </w:rPr>
        <w:t>Prema dodatku ugovoru iz veljače 2020. godine, kamate se plaćaju u visini tromjesečnog EURIBOR-a uvećana za kamatnu maržu od 1,50% godišnje</w:t>
      </w:r>
      <w:r w:rsidR="00AF0770" w:rsidRPr="00EB650B">
        <w:rPr>
          <w:rFonts w:ascii="Arial" w:eastAsia="Times New Roman" w:hAnsi="Arial" w:cs="Arial"/>
          <w:iCs/>
          <w:sz w:val="20"/>
          <w:szCs w:val="20"/>
          <w:lang w:eastAsia="en-US"/>
        </w:rPr>
        <w:t>. Kamatna stopa je vezana uz promjenu tromjesečnog EURIBOR-a. U slučaju da je vrijednost tromjesečnog EURIBOR-a niža od nule, ugovoreno je da će se primjenjivati EURIBOR u iznosu nula.</w:t>
      </w:r>
    </w:p>
    <w:p w14:paraId="575B645F" w14:textId="5CCABCB4" w:rsidR="00891119" w:rsidRPr="00EB650B" w:rsidRDefault="009C4750" w:rsidP="00891119">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P</w:t>
      </w:r>
      <w:r w:rsidR="00891119" w:rsidRPr="00EB650B">
        <w:rPr>
          <w:rFonts w:ascii="Arial" w:eastAsia="Times New Roman" w:hAnsi="Arial" w:cs="Arial"/>
          <w:iCs/>
          <w:sz w:val="20"/>
          <w:szCs w:val="20"/>
          <w:lang w:eastAsia="en-US"/>
        </w:rPr>
        <w:t xml:space="preserve">olugodišnji obrok glavnice kredita iznosi </w:t>
      </w:r>
      <w:r w:rsidR="002D205C" w:rsidRPr="00EB650B">
        <w:rPr>
          <w:rFonts w:ascii="Arial" w:eastAsia="Times New Roman" w:hAnsi="Arial" w:cs="Arial"/>
          <w:iCs/>
          <w:sz w:val="20"/>
          <w:szCs w:val="20"/>
          <w:lang w:eastAsia="en-US"/>
        </w:rPr>
        <w:t>29.695,35</w:t>
      </w:r>
      <w:r w:rsidR="00891119" w:rsidRPr="00EB650B">
        <w:rPr>
          <w:rFonts w:ascii="Arial" w:eastAsia="Times New Roman" w:hAnsi="Arial" w:cs="Arial"/>
          <w:iCs/>
          <w:sz w:val="20"/>
          <w:szCs w:val="20"/>
          <w:lang w:eastAsia="en-US"/>
        </w:rPr>
        <w:t xml:space="preserve"> EUR, odnosno </w:t>
      </w:r>
      <w:r w:rsidR="00891119" w:rsidRPr="00EB650B">
        <w:rPr>
          <w:rFonts w:ascii="Arial" w:eastAsia="Times New Roman" w:hAnsi="Arial" w:cs="Arial"/>
          <w:b/>
          <w:iCs/>
          <w:sz w:val="20"/>
          <w:szCs w:val="20"/>
          <w:lang w:eastAsia="en-US"/>
        </w:rPr>
        <w:t>godišnja</w:t>
      </w:r>
      <w:r w:rsidR="00891119" w:rsidRPr="00EB650B">
        <w:rPr>
          <w:rFonts w:ascii="Arial" w:eastAsia="Times New Roman" w:hAnsi="Arial" w:cs="Arial"/>
          <w:iCs/>
          <w:sz w:val="20"/>
          <w:szCs w:val="20"/>
          <w:lang w:eastAsia="en-US"/>
        </w:rPr>
        <w:t xml:space="preserve"> obveza za glavnicu kredita iznosi </w:t>
      </w:r>
      <w:r w:rsidR="002D205C" w:rsidRPr="00EB650B">
        <w:rPr>
          <w:rFonts w:ascii="Arial" w:eastAsia="Times New Roman" w:hAnsi="Arial" w:cs="Arial"/>
          <w:iCs/>
          <w:sz w:val="20"/>
          <w:szCs w:val="20"/>
          <w:lang w:eastAsia="en-US"/>
        </w:rPr>
        <w:t>59.390,70</w:t>
      </w:r>
      <w:r w:rsidR="00891119" w:rsidRPr="00EB650B">
        <w:rPr>
          <w:rFonts w:ascii="Arial" w:eastAsia="Times New Roman" w:hAnsi="Arial" w:cs="Arial"/>
          <w:iCs/>
          <w:sz w:val="20"/>
          <w:szCs w:val="20"/>
          <w:lang w:eastAsia="en-US"/>
        </w:rPr>
        <w:t xml:space="preserve"> EUR. Pored toga, </w:t>
      </w:r>
      <w:r w:rsidR="00891119" w:rsidRPr="00EB650B">
        <w:rPr>
          <w:rFonts w:ascii="Arial" w:eastAsia="Times New Roman" w:hAnsi="Arial" w:cs="Arial"/>
          <w:b/>
          <w:iCs/>
          <w:sz w:val="20"/>
          <w:szCs w:val="20"/>
          <w:lang w:eastAsia="en-US"/>
        </w:rPr>
        <w:t>godišnja</w:t>
      </w:r>
      <w:r w:rsidR="00891119" w:rsidRPr="00EB650B">
        <w:rPr>
          <w:rFonts w:ascii="Arial" w:eastAsia="Times New Roman" w:hAnsi="Arial" w:cs="Arial"/>
          <w:iCs/>
          <w:sz w:val="20"/>
          <w:szCs w:val="20"/>
          <w:lang w:eastAsia="en-US"/>
        </w:rPr>
        <w:t xml:space="preserve"> obveza za kamate iznosi približno od </w:t>
      </w:r>
      <w:r w:rsidR="002D205C" w:rsidRPr="00EB650B">
        <w:rPr>
          <w:rFonts w:ascii="Arial" w:eastAsia="Times New Roman" w:hAnsi="Arial" w:cs="Arial"/>
          <w:iCs/>
          <w:sz w:val="20"/>
          <w:szCs w:val="20"/>
          <w:lang w:eastAsia="en-US"/>
        </w:rPr>
        <w:t>16.670</w:t>
      </w:r>
      <w:r w:rsidR="00891119" w:rsidRPr="00EB650B">
        <w:rPr>
          <w:rFonts w:ascii="Arial" w:eastAsia="Times New Roman" w:hAnsi="Arial" w:cs="Arial"/>
          <w:iCs/>
          <w:sz w:val="20"/>
          <w:szCs w:val="20"/>
          <w:lang w:eastAsia="en-US"/>
        </w:rPr>
        <w:t xml:space="preserve"> EUR na početku otplatnog razdoblja do približno 1.</w:t>
      </w:r>
      <w:r w:rsidR="002D205C" w:rsidRPr="00EB650B">
        <w:rPr>
          <w:rFonts w:ascii="Arial" w:eastAsia="Times New Roman" w:hAnsi="Arial" w:cs="Arial"/>
          <w:iCs/>
          <w:sz w:val="20"/>
          <w:szCs w:val="20"/>
          <w:lang w:eastAsia="en-US"/>
        </w:rPr>
        <w:t>60</w:t>
      </w:r>
      <w:r w:rsidR="00891119" w:rsidRPr="00EB650B">
        <w:rPr>
          <w:rFonts w:ascii="Arial" w:eastAsia="Times New Roman" w:hAnsi="Arial" w:cs="Arial"/>
          <w:iCs/>
          <w:sz w:val="20"/>
          <w:szCs w:val="20"/>
          <w:lang w:eastAsia="en-US"/>
        </w:rPr>
        <w:t xml:space="preserve">0 EUR na kraju otplatnog razdoblja. </w:t>
      </w:r>
    </w:p>
    <w:p w14:paraId="5FCDE604" w14:textId="77777777" w:rsidR="00B66515" w:rsidRPr="00EB650B" w:rsidRDefault="00B66515" w:rsidP="00B66515">
      <w:pPr>
        <w:autoSpaceDE w:val="0"/>
        <w:autoSpaceDN w:val="0"/>
        <w:adjustRightInd w:val="0"/>
        <w:spacing w:after="0" w:line="240" w:lineRule="auto"/>
        <w:jc w:val="both"/>
        <w:rPr>
          <w:rFonts w:ascii="Arial" w:eastAsia="Times New Roman" w:hAnsi="Arial" w:cs="Arial"/>
          <w:iCs/>
          <w:sz w:val="20"/>
          <w:szCs w:val="20"/>
          <w:lang w:eastAsia="en-US"/>
        </w:rPr>
      </w:pPr>
    </w:p>
    <w:p w14:paraId="0248AAA0" w14:textId="30F6FE9D" w:rsidR="009C4750" w:rsidRPr="00EB650B" w:rsidRDefault="00B66515" w:rsidP="009C4750">
      <w:pPr>
        <w:autoSpaceDE w:val="0"/>
        <w:autoSpaceDN w:val="0"/>
        <w:adjustRightInd w:val="0"/>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lastRenderedPageBreak/>
        <w:t>U 2017. iz općinskog proračuna za ovo jamstvo doznačena su sredstva (kamata po kreditu Erste&amp;Steiermärkische Bank d.d. Rijeka) komunalnom društvu u iznosu 159.201,88 kn, u 2018. u iznosu 160.241,13 kn, a u 2019. u iznosu 160.393,98 kn. U 2020. nisu doznačavana sredstva komunalnom društvu za otplatu kredita</w:t>
      </w:r>
      <w:r w:rsidR="002F3AC2" w:rsidRPr="00EB650B">
        <w:rPr>
          <w:rFonts w:ascii="Arial" w:eastAsia="Times New Roman" w:hAnsi="Arial" w:cs="Arial"/>
          <w:iCs/>
          <w:sz w:val="20"/>
          <w:szCs w:val="20"/>
          <w:lang w:eastAsia="en-US"/>
        </w:rPr>
        <w:t>.</w:t>
      </w:r>
      <w:r w:rsidR="009C4750" w:rsidRPr="00EB650B">
        <w:rPr>
          <w:rFonts w:ascii="Arial" w:eastAsia="Times New Roman" w:hAnsi="Arial" w:cs="Arial"/>
          <w:iCs/>
          <w:sz w:val="20"/>
          <w:szCs w:val="20"/>
          <w:lang w:eastAsia="en-US"/>
        </w:rPr>
        <w:t xml:space="preserve"> Komunalnom društvu su u 2021. doznačena sredstva u iznosu 540.585,01 kn u obliku kapitalne pomoći.</w:t>
      </w:r>
    </w:p>
    <w:p w14:paraId="5868F975" w14:textId="68241A84" w:rsidR="009C4750" w:rsidRPr="00EB650B" w:rsidRDefault="00891119" w:rsidP="009C4750">
      <w:pPr>
        <w:autoSpaceDE w:val="0"/>
        <w:autoSpaceDN w:val="0"/>
        <w:adjustRightInd w:val="0"/>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 xml:space="preserve">Stanje aktivnih jamstava (danog društvu u vlasništvu 2014. godine) </w:t>
      </w:r>
      <w:r w:rsidR="00A711F3" w:rsidRPr="00EB650B">
        <w:rPr>
          <w:rFonts w:ascii="Arial" w:eastAsia="Times New Roman" w:hAnsi="Arial" w:cs="Arial"/>
          <w:iCs/>
          <w:sz w:val="20"/>
          <w:szCs w:val="20"/>
          <w:lang w:eastAsia="en-US"/>
        </w:rPr>
        <w:t>koncem</w:t>
      </w:r>
      <w:r w:rsidRPr="00EB650B">
        <w:rPr>
          <w:rFonts w:ascii="Arial" w:eastAsia="Times New Roman" w:hAnsi="Arial" w:cs="Arial"/>
          <w:iCs/>
          <w:sz w:val="20"/>
          <w:szCs w:val="20"/>
          <w:lang w:eastAsia="en-US"/>
        </w:rPr>
        <w:t xml:space="preserve"> 20</w:t>
      </w:r>
      <w:r w:rsidR="00B66515" w:rsidRPr="00EB650B">
        <w:rPr>
          <w:rFonts w:ascii="Arial" w:eastAsia="Times New Roman" w:hAnsi="Arial" w:cs="Arial"/>
          <w:iCs/>
          <w:sz w:val="20"/>
          <w:szCs w:val="20"/>
          <w:lang w:eastAsia="en-US"/>
        </w:rPr>
        <w:t>2</w:t>
      </w:r>
      <w:r w:rsidR="00BE15EE" w:rsidRPr="00EB650B">
        <w:rPr>
          <w:rFonts w:ascii="Arial" w:eastAsia="Times New Roman" w:hAnsi="Arial" w:cs="Arial"/>
          <w:iCs/>
          <w:sz w:val="20"/>
          <w:szCs w:val="20"/>
          <w:lang w:eastAsia="en-US"/>
        </w:rPr>
        <w:t>2</w:t>
      </w:r>
      <w:r w:rsidRPr="00EB650B">
        <w:rPr>
          <w:rFonts w:ascii="Arial" w:eastAsia="Times New Roman" w:hAnsi="Arial" w:cs="Arial"/>
          <w:iCs/>
          <w:sz w:val="20"/>
          <w:szCs w:val="20"/>
          <w:lang w:eastAsia="en-US"/>
        </w:rPr>
        <w:t>. po spomenutom jamstvu</w:t>
      </w:r>
      <w:r w:rsidR="00A22BA5" w:rsidRPr="00EB650B">
        <w:rPr>
          <w:rFonts w:ascii="Arial" w:eastAsia="Times New Roman" w:hAnsi="Arial" w:cs="Arial"/>
          <w:iCs/>
          <w:sz w:val="20"/>
          <w:szCs w:val="20"/>
          <w:lang w:eastAsia="en-US"/>
        </w:rPr>
        <w:t xml:space="preserve"> je iznosilo</w:t>
      </w:r>
      <w:r w:rsidRPr="00EB650B">
        <w:rPr>
          <w:rFonts w:ascii="Arial" w:eastAsia="Times New Roman" w:hAnsi="Arial" w:cs="Arial"/>
          <w:iCs/>
          <w:sz w:val="20"/>
          <w:szCs w:val="20"/>
          <w:lang w:eastAsia="en-US"/>
        </w:rPr>
        <w:t xml:space="preserve"> </w:t>
      </w:r>
      <w:r w:rsidR="00BE15EE" w:rsidRPr="00EB650B">
        <w:rPr>
          <w:rFonts w:ascii="Arial" w:eastAsia="Times New Roman" w:hAnsi="Arial" w:cs="Arial"/>
          <w:iCs/>
          <w:sz w:val="20"/>
          <w:szCs w:val="20"/>
          <w:lang w:eastAsia="en-US"/>
        </w:rPr>
        <w:t xml:space="preserve">3.565.861,01 kn (473.271,09 €, </w:t>
      </w:r>
      <w:r w:rsidR="00C37D13" w:rsidRPr="00EB650B">
        <w:rPr>
          <w:rFonts w:ascii="Arial" w:eastAsia="Times New Roman" w:hAnsi="Arial" w:cs="Arial"/>
          <w:iCs/>
          <w:sz w:val="20"/>
          <w:szCs w:val="20"/>
          <w:lang w:eastAsia="en-US"/>
        </w:rPr>
        <w:t>evidentirano u izvanbilančnoj evidenciji).</w:t>
      </w:r>
      <w:r w:rsidR="0043415A" w:rsidRPr="00EB650B">
        <w:rPr>
          <w:rFonts w:ascii="Arial" w:eastAsia="Times New Roman" w:hAnsi="Arial" w:cs="Arial"/>
          <w:iCs/>
          <w:sz w:val="20"/>
          <w:szCs w:val="20"/>
          <w:lang w:eastAsia="en-US"/>
        </w:rPr>
        <w:t xml:space="preserve"> </w:t>
      </w:r>
      <w:r w:rsidR="009C4750" w:rsidRPr="00EB650B">
        <w:rPr>
          <w:rFonts w:ascii="Arial" w:eastAsia="Times New Roman" w:hAnsi="Arial" w:cs="Arial"/>
          <w:iCs/>
          <w:sz w:val="20"/>
          <w:szCs w:val="20"/>
          <w:lang w:eastAsia="en-US"/>
        </w:rPr>
        <w:t xml:space="preserve">Komunalno društvo je </w:t>
      </w:r>
      <w:r w:rsidR="007509BA" w:rsidRPr="00EB650B">
        <w:rPr>
          <w:rFonts w:ascii="Arial" w:eastAsia="Times New Roman" w:hAnsi="Arial" w:cs="Arial"/>
          <w:iCs/>
          <w:sz w:val="20"/>
          <w:szCs w:val="20"/>
          <w:lang w:eastAsia="en-US"/>
        </w:rPr>
        <w:t>za</w:t>
      </w:r>
      <w:r w:rsidR="009C4750" w:rsidRPr="00EB650B">
        <w:rPr>
          <w:rFonts w:ascii="Arial" w:eastAsia="Times New Roman" w:hAnsi="Arial" w:cs="Arial"/>
          <w:iCs/>
          <w:sz w:val="20"/>
          <w:szCs w:val="20"/>
          <w:lang w:eastAsia="en-US"/>
        </w:rPr>
        <w:t xml:space="preserve"> 2022. otplatilo obrok</w:t>
      </w:r>
      <w:r w:rsidR="007509BA" w:rsidRPr="00EB650B">
        <w:rPr>
          <w:rFonts w:ascii="Arial" w:eastAsia="Times New Roman" w:hAnsi="Arial" w:cs="Arial"/>
          <w:iCs/>
          <w:sz w:val="20"/>
          <w:szCs w:val="20"/>
          <w:lang w:eastAsia="en-US"/>
        </w:rPr>
        <w:t>e</w:t>
      </w:r>
      <w:r w:rsidR="009C4750" w:rsidRPr="00EB650B">
        <w:rPr>
          <w:rFonts w:ascii="Arial" w:eastAsia="Times New Roman" w:hAnsi="Arial" w:cs="Arial"/>
          <w:iCs/>
          <w:sz w:val="20"/>
          <w:szCs w:val="20"/>
          <w:lang w:eastAsia="en-US"/>
        </w:rPr>
        <w:t xml:space="preserve"> u visini </w:t>
      </w:r>
      <w:r w:rsidR="007509BA" w:rsidRPr="00EB650B">
        <w:rPr>
          <w:rFonts w:ascii="Arial" w:eastAsia="Times New Roman" w:hAnsi="Arial" w:cs="Arial"/>
          <w:iCs/>
          <w:sz w:val="20"/>
          <w:szCs w:val="20"/>
          <w:lang w:eastAsia="en-US"/>
        </w:rPr>
        <w:t>59.390,70</w:t>
      </w:r>
      <w:r w:rsidR="009C4750" w:rsidRPr="00EB650B">
        <w:rPr>
          <w:rFonts w:ascii="Arial" w:eastAsia="Times New Roman" w:hAnsi="Arial" w:cs="Arial"/>
          <w:iCs/>
          <w:sz w:val="20"/>
          <w:szCs w:val="20"/>
          <w:lang w:eastAsia="en-US"/>
        </w:rPr>
        <w:t xml:space="preserve"> EUR, te redovne kamate u iznosu </w:t>
      </w:r>
      <w:r w:rsidR="007509BA" w:rsidRPr="00EB650B">
        <w:rPr>
          <w:rFonts w:ascii="Arial" w:eastAsia="Times New Roman" w:hAnsi="Arial" w:cs="Arial"/>
          <w:iCs/>
          <w:sz w:val="20"/>
          <w:szCs w:val="20"/>
          <w:lang w:eastAsia="en-US"/>
        </w:rPr>
        <w:t>7.449,82</w:t>
      </w:r>
      <w:r w:rsidR="009C4750" w:rsidRPr="00EB650B">
        <w:rPr>
          <w:rFonts w:ascii="Arial" w:eastAsia="Times New Roman" w:hAnsi="Arial" w:cs="Arial"/>
          <w:iCs/>
          <w:sz w:val="20"/>
          <w:szCs w:val="20"/>
          <w:lang w:eastAsia="en-US"/>
        </w:rPr>
        <w:t xml:space="preserve"> EUR, te </w:t>
      </w:r>
      <w:r w:rsidR="009C4750" w:rsidRPr="00EB650B">
        <w:rPr>
          <w:rFonts w:ascii="Arial" w:eastAsia="Times New Roman" w:hAnsi="Arial" w:cs="Arial"/>
          <w:b/>
          <w:bCs/>
          <w:iCs/>
          <w:sz w:val="20"/>
          <w:szCs w:val="20"/>
          <w:lang w:eastAsia="en-US"/>
        </w:rPr>
        <w:t xml:space="preserve">dug </w:t>
      </w:r>
      <w:r w:rsidR="007509BA" w:rsidRPr="00EB650B">
        <w:rPr>
          <w:rFonts w:ascii="Arial" w:eastAsia="Times New Roman" w:hAnsi="Arial" w:cs="Arial"/>
          <w:b/>
          <w:bCs/>
          <w:iCs/>
          <w:sz w:val="20"/>
          <w:szCs w:val="20"/>
          <w:lang w:eastAsia="en-US"/>
        </w:rPr>
        <w:t>31.12</w:t>
      </w:r>
      <w:r w:rsidR="009C4750" w:rsidRPr="00EB650B">
        <w:rPr>
          <w:rFonts w:ascii="Arial" w:eastAsia="Times New Roman" w:hAnsi="Arial" w:cs="Arial"/>
          <w:b/>
          <w:bCs/>
          <w:iCs/>
          <w:sz w:val="20"/>
          <w:szCs w:val="20"/>
          <w:lang w:eastAsia="en-US"/>
        </w:rPr>
        <w:t>.22.</w:t>
      </w:r>
      <w:r w:rsidR="007509BA" w:rsidRPr="00EB650B">
        <w:rPr>
          <w:rFonts w:ascii="Arial" w:eastAsia="Times New Roman" w:hAnsi="Arial" w:cs="Arial"/>
          <w:iCs/>
          <w:sz w:val="20"/>
          <w:szCs w:val="20"/>
          <w:lang w:eastAsia="en-US"/>
        </w:rPr>
        <w:t xml:space="preserve"> (nakon usklađenja duga po tečaju HNB na dan bilance)</w:t>
      </w:r>
      <w:r w:rsidR="009C4750" w:rsidRPr="00EB650B">
        <w:rPr>
          <w:rFonts w:ascii="Arial" w:eastAsia="Times New Roman" w:hAnsi="Arial" w:cs="Arial"/>
          <w:iCs/>
          <w:sz w:val="20"/>
          <w:szCs w:val="20"/>
          <w:lang w:eastAsia="en-US"/>
        </w:rPr>
        <w:t xml:space="preserve"> iznosi </w:t>
      </w:r>
      <w:r w:rsidR="007509BA" w:rsidRPr="00EB650B">
        <w:rPr>
          <w:rFonts w:ascii="Arial" w:eastAsia="Times New Roman" w:hAnsi="Arial" w:cs="Arial"/>
          <w:iCs/>
          <w:sz w:val="20"/>
          <w:szCs w:val="20"/>
          <w:lang w:eastAsia="en-US"/>
        </w:rPr>
        <w:t>471.855,49</w:t>
      </w:r>
      <w:r w:rsidR="009C4750" w:rsidRPr="00EB650B">
        <w:rPr>
          <w:rFonts w:ascii="Arial" w:eastAsia="Times New Roman" w:hAnsi="Arial" w:cs="Arial"/>
          <w:iCs/>
          <w:sz w:val="20"/>
          <w:szCs w:val="20"/>
          <w:lang w:eastAsia="en-US"/>
        </w:rPr>
        <w:t xml:space="preserve"> EUR (glavnica </w:t>
      </w:r>
      <w:r w:rsidR="007509BA" w:rsidRPr="00EB650B">
        <w:rPr>
          <w:rFonts w:ascii="Arial" w:eastAsia="Times New Roman" w:hAnsi="Arial" w:cs="Arial"/>
          <w:iCs/>
          <w:sz w:val="20"/>
          <w:szCs w:val="20"/>
          <w:lang w:eastAsia="en-US"/>
        </w:rPr>
        <w:t>445.430,32</w:t>
      </w:r>
      <w:r w:rsidR="009C4750" w:rsidRPr="00EB650B">
        <w:rPr>
          <w:rFonts w:ascii="Arial" w:eastAsia="Times New Roman" w:hAnsi="Arial" w:cs="Arial"/>
          <w:iCs/>
          <w:sz w:val="20"/>
          <w:szCs w:val="20"/>
          <w:lang w:eastAsia="en-US"/>
        </w:rPr>
        <w:t xml:space="preserve"> EUR i kamate </w:t>
      </w:r>
      <w:r w:rsidR="007509BA" w:rsidRPr="00EB650B">
        <w:rPr>
          <w:rFonts w:ascii="Arial" w:eastAsia="Times New Roman" w:hAnsi="Arial" w:cs="Arial"/>
          <w:iCs/>
          <w:sz w:val="20"/>
          <w:szCs w:val="20"/>
          <w:lang w:eastAsia="en-US"/>
        </w:rPr>
        <w:t>26.425,17</w:t>
      </w:r>
      <w:r w:rsidR="009C4750" w:rsidRPr="00EB650B">
        <w:rPr>
          <w:rFonts w:ascii="Arial" w:eastAsia="Times New Roman" w:hAnsi="Arial" w:cs="Arial"/>
          <w:iCs/>
          <w:sz w:val="20"/>
          <w:szCs w:val="20"/>
          <w:lang w:eastAsia="en-US"/>
        </w:rPr>
        <w:t xml:space="preserve"> EUR). Prodajni tečaj 1 EUR na dan </w:t>
      </w:r>
      <w:r w:rsidR="007509BA" w:rsidRPr="00EB650B">
        <w:rPr>
          <w:rFonts w:ascii="Arial" w:eastAsia="Times New Roman" w:hAnsi="Arial" w:cs="Arial"/>
          <w:iCs/>
          <w:sz w:val="20"/>
          <w:szCs w:val="20"/>
          <w:lang w:eastAsia="en-US"/>
        </w:rPr>
        <w:t>31.12</w:t>
      </w:r>
      <w:r w:rsidR="009C4750" w:rsidRPr="00EB650B">
        <w:rPr>
          <w:rFonts w:ascii="Arial" w:eastAsia="Times New Roman" w:hAnsi="Arial" w:cs="Arial"/>
          <w:iCs/>
          <w:sz w:val="20"/>
          <w:szCs w:val="20"/>
          <w:lang w:eastAsia="en-US"/>
        </w:rPr>
        <w:t>.22. iznosi 7,</w:t>
      </w:r>
      <w:r w:rsidR="007509BA" w:rsidRPr="00EB650B">
        <w:rPr>
          <w:rFonts w:ascii="Arial" w:eastAsia="Times New Roman" w:hAnsi="Arial" w:cs="Arial"/>
          <w:iCs/>
          <w:sz w:val="20"/>
          <w:szCs w:val="20"/>
          <w:lang w:eastAsia="en-US"/>
        </w:rPr>
        <w:t>557104</w:t>
      </w:r>
      <w:r w:rsidR="009C4750" w:rsidRPr="00EB650B">
        <w:rPr>
          <w:rFonts w:ascii="Arial" w:eastAsia="Times New Roman" w:hAnsi="Arial" w:cs="Arial"/>
          <w:iCs/>
          <w:sz w:val="20"/>
          <w:szCs w:val="20"/>
          <w:lang w:eastAsia="en-US"/>
        </w:rPr>
        <w:t xml:space="preserve"> kn. Komunalnom društvu su u 2022. doznačena sredstva u iznosu </w:t>
      </w:r>
      <w:r w:rsidR="007509BA" w:rsidRPr="00EB650B">
        <w:rPr>
          <w:rFonts w:ascii="Arial" w:eastAsia="Times New Roman" w:hAnsi="Arial" w:cs="Arial"/>
          <w:iCs/>
          <w:sz w:val="20"/>
          <w:szCs w:val="20"/>
          <w:lang w:eastAsia="en-US"/>
        </w:rPr>
        <w:t>505.001,67</w:t>
      </w:r>
      <w:r w:rsidR="009C4750" w:rsidRPr="00EB650B">
        <w:rPr>
          <w:rFonts w:ascii="Arial" w:eastAsia="Times New Roman" w:hAnsi="Arial" w:cs="Arial"/>
          <w:iCs/>
          <w:sz w:val="20"/>
          <w:szCs w:val="20"/>
          <w:lang w:eastAsia="en-US"/>
        </w:rPr>
        <w:t xml:space="preserve"> kn u obliku kapitalne pomoći.</w:t>
      </w:r>
    </w:p>
    <w:p w14:paraId="7DA287C0" w14:textId="4C271186" w:rsidR="00AF4385" w:rsidRPr="00EB650B" w:rsidRDefault="00AF4385" w:rsidP="009C4750">
      <w:pPr>
        <w:autoSpaceDE w:val="0"/>
        <w:autoSpaceDN w:val="0"/>
        <w:adjustRightInd w:val="0"/>
        <w:spacing w:after="0" w:line="240" w:lineRule="auto"/>
        <w:jc w:val="both"/>
        <w:rPr>
          <w:rFonts w:ascii="Arial" w:eastAsia="Times New Roman" w:hAnsi="Arial" w:cs="Arial"/>
          <w:iCs/>
          <w:sz w:val="20"/>
          <w:szCs w:val="20"/>
          <w:lang w:eastAsia="en-US"/>
        </w:rPr>
      </w:pPr>
      <w:r w:rsidRPr="00EB650B">
        <w:rPr>
          <w:rFonts w:ascii="Arial" w:eastAsia="Times New Roman" w:hAnsi="Arial" w:cs="Arial"/>
          <w:iCs/>
          <w:sz w:val="20"/>
          <w:szCs w:val="20"/>
          <w:lang w:eastAsia="en-US"/>
        </w:rPr>
        <w:t>U 2023. godini iz općinskog proračuna za ovo jamstvo Komunalnom društvu su doznačena sredstva 65.937,29 € u obliku kapitalne pomoći za otplatu dva obroka kredita (kamata i glavnica).</w:t>
      </w:r>
      <w:r w:rsidR="00FF43B2" w:rsidRPr="00EB650B">
        <w:rPr>
          <w:rFonts w:ascii="Arial" w:eastAsia="Times New Roman" w:hAnsi="Arial" w:cs="Arial"/>
          <w:b/>
          <w:bCs/>
          <w:iCs/>
          <w:sz w:val="20"/>
          <w:szCs w:val="20"/>
          <w:lang w:eastAsia="en-US"/>
        </w:rPr>
        <w:t xml:space="preserve"> Dug 31.12.2023.</w:t>
      </w:r>
      <w:r w:rsidR="00FF43B2" w:rsidRPr="00EB650B">
        <w:rPr>
          <w:rFonts w:ascii="Arial" w:eastAsia="Times New Roman" w:hAnsi="Arial" w:cs="Arial"/>
          <w:iCs/>
          <w:sz w:val="20"/>
          <w:szCs w:val="20"/>
          <w:lang w:eastAsia="en-US"/>
        </w:rPr>
        <w:t xml:space="preserve"> je iznosio 407.333,80 € (glavnica 386.039,62 € i kamate).</w:t>
      </w:r>
    </w:p>
    <w:p w14:paraId="06C9C64B" w14:textId="77777777" w:rsidR="00CE6FE0" w:rsidRPr="00EB650B" w:rsidRDefault="00CE6FE0" w:rsidP="00DA03FB">
      <w:pPr>
        <w:autoSpaceDE w:val="0"/>
        <w:autoSpaceDN w:val="0"/>
        <w:adjustRightInd w:val="0"/>
        <w:spacing w:after="0" w:line="240" w:lineRule="auto"/>
        <w:jc w:val="both"/>
        <w:rPr>
          <w:rFonts w:ascii="Arial" w:eastAsia="Times New Roman" w:hAnsi="Arial" w:cs="Arial"/>
          <w:iCs/>
          <w:sz w:val="20"/>
          <w:szCs w:val="20"/>
          <w:lang w:eastAsia="en-US"/>
        </w:rPr>
      </w:pPr>
    </w:p>
    <w:p w14:paraId="24BEA47A" w14:textId="49AE05C0" w:rsidR="00641BA9" w:rsidRPr="00EB650B" w:rsidRDefault="00DA03FB" w:rsidP="00DA03FB">
      <w:pPr>
        <w:autoSpaceDE w:val="0"/>
        <w:autoSpaceDN w:val="0"/>
        <w:adjustRightInd w:val="0"/>
        <w:spacing w:after="0" w:line="240" w:lineRule="auto"/>
        <w:jc w:val="both"/>
        <w:rPr>
          <w:rFonts w:ascii="Arial" w:eastAsia="Times New Roman" w:hAnsi="Arial" w:cs="Arial"/>
          <w:iCs/>
          <w:sz w:val="20"/>
          <w:szCs w:val="20"/>
          <w:lang w:eastAsia="en-US"/>
        </w:rPr>
      </w:pPr>
      <w:bookmarkStart w:id="399" w:name="_Hlk176507018"/>
      <w:bookmarkStart w:id="400" w:name="_Hlk207639808"/>
      <w:r w:rsidRPr="00EB650B">
        <w:rPr>
          <w:rFonts w:ascii="Arial" w:eastAsia="Times New Roman" w:hAnsi="Arial" w:cs="Arial"/>
          <w:iCs/>
          <w:sz w:val="20"/>
          <w:szCs w:val="20"/>
          <w:lang w:eastAsia="en-US"/>
        </w:rPr>
        <w:t>Komunalno društvo je za 202</w:t>
      </w:r>
      <w:r w:rsidR="00AF4385" w:rsidRPr="00EB650B">
        <w:rPr>
          <w:rFonts w:ascii="Arial" w:eastAsia="Times New Roman" w:hAnsi="Arial" w:cs="Arial"/>
          <w:iCs/>
          <w:sz w:val="20"/>
          <w:szCs w:val="20"/>
          <w:lang w:eastAsia="en-US"/>
        </w:rPr>
        <w:t>4</w:t>
      </w:r>
      <w:r w:rsidRPr="00EB650B">
        <w:rPr>
          <w:rFonts w:ascii="Arial" w:eastAsia="Times New Roman" w:hAnsi="Arial" w:cs="Arial"/>
          <w:iCs/>
          <w:sz w:val="20"/>
          <w:szCs w:val="20"/>
          <w:lang w:eastAsia="en-US"/>
        </w:rPr>
        <w:t xml:space="preserve">. otplatilo </w:t>
      </w:r>
      <w:r w:rsidR="00AF4385" w:rsidRPr="00EB650B">
        <w:rPr>
          <w:rFonts w:ascii="Arial" w:eastAsia="Times New Roman" w:hAnsi="Arial" w:cs="Arial"/>
          <w:iCs/>
          <w:sz w:val="20"/>
          <w:szCs w:val="20"/>
          <w:lang w:eastAsia="en-US"/>
        </w:rPr>
        <w:t>glavnicu</w:t>
      </w:r>
      <w:r w:rsidRPr="00EB650B">
        <w:rPr>
          <w:rFonts w:ascii="Arial" w:eastAsia="Times New Roman" w:hAnsi="Arial" w:cs="Arial"/>
          <w:iCs/>
          <w:sz w:val="20"/>
          <w:szCs w:val="20"/>
          <w:lang w:eastAsia="en-US"/>
        </w:rPr>
        <w:t xml:space="preserve"> </w:t>
      </w:r>
      <w:r w:rsidR="0030139E" w:rsidRPr="00EB650B">
        <w:rPr>
          <w:rFonts w:ascii="Arial" w:eastAsia="Times New Roman" w:hAnsi="Arial" w:cs="Arial"/>
          <w:iCs/>
          <w:sz w:val="20"/>
          <w:szCs w:val="20"/>
          <w:lang w:eastAsia="en-US"/>
        </w:rPr>
        <w:t>59.390,70</w:t>
      </w:r>
      <w:r w:rsidRPr="00EB650B">
        <w:rPr>
          <w:rFonts w:ascii="Arial" w:eastAsia="Times New Roman" w:hAnsi="Arial" w:cs="Arial"/>
          <w:iCs/>
          <w:sz w:val="20"/>
          <w:szCs w:val="20"/>
          <w:lang w:eastAsia="en-US"/>
        </w:rPr>
        <w:t xml:space="preserve"> € i kamate </w:t>
      </w:r>
      <w:r w:rsidR="0030139E" w:rsidRPr="00EB650B">
        <w:rPr>
          <w:rFonts w:ascii="Arial" w:eastAsia="Times New Roman" w:hAnsi="Arial" w:cs="Arial"/>
          <w:iCs/>
          <w:sz w:val="20"/>
          <w:szCs w:val="20"/>
          <w:lang w:eastAsia="en-US"/>
        </w:rPr>
        <w:t>21.259,34</w:t>
      </w:r>
      <w:r w:rsidRPr="00EB650B">
        <w:rPr>
          <w:rFonts w:ascii="Arial" w:eastAsia="Times New Roman" w:hAnsi="Arial" w:cs="Arial"/>
          <w:iCs/>
          <w:sz w:val="20"/>
          <w:szCs w:val="20"/>
          <w:lang w:eastAsia="en-US"/>
        </w:rPr>
        <w:t xml:space="preserve"> €</w:t>
      </w:r>
      <w:r w:rsidR="001B52D5" w:rsidRPr="00EB650B">
        <w:rPr>
          <w:rFonts w:ascii="Arial" w:eastAsia="Times New Roman" w:hAnsi="Arial" w:cs="Arial"/>
          <w:iCs/>
          <w:sz w:val="20"/>
          <w:szCs w:val="20"/>
          <w:lang w:eastAsia="en-US"/>
        </w:rPr>
        <w:t xml:space="preserve">. </w:t>
      </w:r>
      <w:r w:rsidR="001B52D5" w:rsidRPr="00EB650B">
        <w:rPr>
          <w:rFonts w:ascii="Arial" w:eastAsia="Times New Roman" w:hAnsi="Arial" w:cs="Arial"/>
          <w:b/>
          <w:bCs/>
          <w:iCs/>
          <w:sz w:val="20"/>
          <w:szCs w:val="20"/>
          <w:lang w:eastAsia="en-US"/>
        </w:rPr>
        <w:t>D</w:t>
      </w:r>
      <w:r w:rsidRPr="00EB650B">
        <w:rPr>
          <w:rFonts w:ascii="Arial" w:eastAsia="Times New Roman" w:hAnsi="Arial" w:cs="Arial"/>
          <w:b/>
          <w:bCs/>
          <w:iCs/>
          <w:sz w:val="20"/>
          <w:szCs w:val="20"/>
          <w:lang w:eastAsia="en-US"/>
        </w:rPr>
        <w:t xml:space="preserve">ug </w:t>
      </w:r>
      <w:r w:rsidR="0030139E" w:rsidRPr="00EB650B">
        <w:rPr>
          <w:rFonts w:ascii="Arial" w:eastAsia="Times New Roman" w:hAnsi="Arial" w:cs="Arial"/>
          <w:b/>
          <w:bCs/>
          <w:iCs/>
          <w:sz w:val="20"/>
          <w:szCs w:val="20"/>
          <w:lang w:eastAsia="en-US"/>
        </w:rPr>
        <w:t>31.12</w:t>
      </w:r>
      <w:r w:rsidR="00AF4385" w:rsidRPr="00EB650B">
        <w:rPr>
          <w:rFonts w:ascii="Arial" w:eastAsia="Times New Roman" w:hAnsi="Arial" w:cs="Arial"/>
          <w:b/>
          <w:bCs/>
          <w:iCs/>
          <w:sz w:val="20"/>
          <w:szCs w:val="20"/>
          <w:lang w:eastAsia="en-US"/>
        </w:rPr>
        <w:t>.2024</w:t>
      </w:r>
      <w:r w:rsidRPr="00EB650B">
        <w:rPr>
          <w:rFonts w:ascii="Arial" w:eastAsia="Times New Roman" w:hAnsi="Arial" w:cs="Arial"/>
          <w:b/>
          <w:bCs/>
          <w:iCs/>
          <w:sz w:val="20"/>
          <w:szCs w:val="20"/>
          <w:lang w:eastAsia="en-US"/>
        </w:rPr>
        <w:t>.</w:t>
      </w:r>
      <w:r w:rsidRPr="00EB650B">
        <w:rPr>
          <w:rFonts w:ascii="Arial" w:eastAsia="Times New Roman" w:hAnsi="Arial" w:cs="Arial"/>
          <w:iCs/>
          <w:sz w:val="20"/>
          <w:szCs w:val="20"/>
          <w:lang w:eastAsia="en-US"/>
        </w:rPr>
        <w:t xml:space="preserve"> iznosi </w:t>
      </w:r>
      <w:r w:rsidR="0030139E" w:rsidRPr="00EB650B">
        <w:rPr>
          <w:rFonts w:ascii="Arial" w:eastAsia="Times New Roman" w:hAnsi="Arial" w:cs="Arial"/>
          <w:iCs/>
          <w:sz w:val="20"/>
          <w:szCs w:val="20"/>
          <w:lang w:eastAsia="en-US"/>
        </w:rPr>
        <w:t>340.868,06</w:t>
      </w:r>
      <w:r w:rsidR="00E94095" w:rsidRPr="00EB650B">
        <w:rPr>
          <w:rFonts w:ascii="Arial" w:eastAsia="Times New Roman" w:hAnsi="Arial" w:cs="Arial"/>
          <w:iCs/>
          <w:sz w:val="20"/>
          <w:szCs w:val="20"/>
          <w:lang w:eastAsia="en-US"/>
        </w:rPr>
        <w:t xml:space="preserve"> € (</w:t>
      </w:r>
      <w:r w:rsidR="0030139E" w:rsidRPr="00EB650B">
        <w:rPr>
          <w:rFonts w:ascii="Arial" w:eastAsia="Times New Roman" w:hAnsi="Arial" w:cs="Arial"/>
          <w:iCs/>
          <w:sz w:val="20"/>
          <w:szCs w:val="20"/>
          <w:lang w:eastAsia="en-US"/>
        </w:rPr>
        <w:t xml:space="preserve">od čega </w:t>
      </w:r>
      <w:r w:rsidR="00E94095" w:rsidRPr="00EB650B">
        <w:rPr>
          <w:rFonts w:ascii="Arial" w:eastAsia="Times New Roman" w:hAnsi="Arial" w:cs="Arial"/>
          <w:iCs/>
          <w:sz w:val="20"/>
          <w:szCs w:val="20"/>
          <w:lang w:eastAsia="en-US"/>
        </w:rPr>
        <w:t xml:space="preserve">glavnica </w:t>
      </w:r>
      <w:r w:rsidR="0030139E" w:rsidRPr="00EB650B">
        <w:rPr>
          <w:rFonts w:ascii="Arial" w:eastAsia="Times New Roman" w:hAnsi="Arial" w:cs="Arial"/>
          <w:iCs/>
          <w:sz w:val="20"/>
          <w:szCs w:val="20"/>
          <w:lang w:eastAsia="en-US"/>
        </w:rPr>
        <w:t>326.648,92</w:t>
      </w:r>
      <w:r w:rsidR="00E94095" w:rsidRPr="00EB650B">
        <w:rPr>
          <w:rFonts w:ascii="Arial" w:eastAsia="Times New Roman" w:hAnsi="Arial" w:cs="Arial"/>
          <w:iCs/>
          <w:sz w:val="20"/>
          <w:szCs w:val="20"/>
          <w:lang w:eastAsia="en-US"/>
        </w:rPr>
        <w:t xml:space="preserve"> €).</w:t>
      </w:r>
      <w:r w:rsidR="001B52D5" w:rsidRPr="00EB650B">
        <w:rPr>
          <w:rFonts w:ascii="Arial" w:eastAsia="Times New Roman" w:hAnsi="Arial" w:cs="Arial"/>
          <w:iCs/>
          <w:sz w:val="20"/>
          <w:szCs w:val="20"/>
          <w:lang w:eastAsia="en-US"/>
        </w:rPr>
        <w:t xml:space="preserve"> </w:t>
      </w:r>
    </w:p>
    <w:p w14:paraId="1F001DC8" w14:textId="3BCC2F4F" w:rsidR="00DA03FB" w:rsidRPr="00EB650B" w:rsidRDefault="00BE15EE" w:rsidP="00DA03FB">
      <w:pPr>
        <w:autoSpaceDE w:val="0"/>
        <w:autoSpaceDN w:val="0"/>
        <w:adjustRightInd w:val="0"/>
        <w:spacing w:after="0" w:line="240" w:lineRule="auto"/>
        <w:jc w:val="both"/>
        <w:rPr>
          <w:rFonts w:ascii="Arial" w:eastAsia="Times New Roman" w:hAnsi="Arial" w:cs="Arial"/>
          <w:iCs/>
          <w:sz w:val="20"/>
          <w:szCs w:val="20"/>
          <w:lang w:eastAsia="en-US"/>
        </w:rPr>
      </w:pPr>
      <w:bookmarkStart w:id="401" w:name="_Hlk176507218"/>
      <w:bookmarkEnd w:id="399"/>
      <w:r w:rsidRPr="00EB650B">
        <w:rPr>
          <w:rFonts w:ascii="Arial" w:eastAsia="Times New Roman" w:hAnsi="Arial" w:cs="Arial"/>
          <w:iCs/>
          <w:sz w:val="20"/>
          <w:szCs w:val="20"/>
          <w:lang w:eastAsia="en-US"/>
        </w:rPr>
        <w:t xml:space="preserve">Komunalnom društvu su </w:t>
      </w:r>
      <w:r w:rsidR="00347FE1" w:rsidRPr="00EB650B">
        <w:rPr>
          <w:rFonts w:ascii="Arial" w:eastAsia="Times New Roman" w:hAnsi="Arial" w:cs="Arial"/>
          <w:iCs/>
          <w:sz w:val="20"/>
          <w:szCs w:val="20"/>
          <w:lang w:eastAsia="en-US"/>
        </w:rPr>
        <w:t xml:space="preserve">u </w:t>
      </w:r>
      <w:r w:rsidRPr="00EB650B">
        <w:rPr>
          <w:rFonts w:ascii="Arial" w:eastAsia="Times New Roman" w:hAnsi="Arial" w:cs="Arial"/>
          <w:iCs/>
          <w:sz w:val="20"/>
          <w:szCs w:val="20"/>
          <w:lang w:eastAsia="en-US"/>
        </w:rPr>
        <w:t>202</w:t>
      </w:r>
      <w:r w:rsidR="00FF43B2" w:rsidRPr="00EB650B">
        <w:rPr>
          <w:rFonts w:ascii="Arial" w:eastAsia="Times New Roman" w:hAnsi="Arial" w:cs="Arial"/>
          <w:iCs/>
          <w:sz w:val="20"/>
          <w:szCs w:val="20"/>
          <w:lang w:eastAsia="en-US"/>
        </w:rPr>
        <w:t>4</w:t>
      </w:r>
      <w:r w:rsidRPr="00EB650B">
        <w:rPr>
          <w:rFonts w:ascii="Arial" w:eastAsia="Times New Roman" w:hAnsi="Arial" w:cs="Arial"/>
          <w:iCs/>
          <w:sz w:val="20"/>
          <w:szCs w:val="20"/>
          <w:lang w:eastAsia="en-US"/>
        </w:rPr>
        <w:t xml:space="preserve">. doznačena sredstva u iznosu </w:t>
      </w:r>
      <w:r w:rsidR="0030139E" w:rsidRPr="00EB650B">
        <w:rPr>
          <w:rFonts w:ascii="Arial" w:eastAsia="Times New Roman" w:hAnsi="Arial" w:cs="Arial"/>
          <w:iCs/>
          <w:sz w:val="20"/>
          <w:szCs w:val="20"/>
          <w:lang w:eastAsia="en-US"/>
        </w:rPr>
        <w:t>80.650,04</w:t>
      </w:r>
      <w:r w:rsidRPr="00EB650B">
        <w:rPr>
          <w:rFonts w:ascii="Arial" w:eastAsia="Times New Roman" w:hAnsi="Arial" w:cs="Arial"/>
          <w:iCs/>
          <w:sz w:val="20"/>
          <w:szCs w:val="20"/>
          <w:lang w:eastAsia="en-US"/>
        </w:rPr>
        <w:t xml:space="preserve"> € u obliku kapitalne pomoći</w:t>
      </w:r>
      <w:r w:rsidR="00DA03FB" w:rsidRPr="00EB650B">
        <w:rPr>
          <w:rFonts w:ascii="Arial" w:eastAsia="Times New Roman" w:hAnsi="Arial" w:cs="Arial"/>
          <w:iCs/>
          <w:sz w:val="20"/>
          <w:szCs w:val="20"/>
          <w:lang w:eastAsia="en-US"/>
        </w:rPr>
        <w:t xml:space="preserve"> za otplatu</w:t>
      </w:r>
      <w:r w:rsidR="0030139E" w:rsidRPr="00EB650B">
        <w:rPr>
          <w:rFonts w:ascii="Arial" w:eastAsia="Times New Roman" w:hAnsi="Arial" w:cs="Arial"/>
          <w:iCs/>
          <w:sz w:val="20"/>
          <w:szCs w:val="20"/>
          <w:lang w:eastAsia="en-US"/>
        </w:rPr>
        <w:t xml:space="preserve"> dva</w:t>
      </w:r>
      <w:r w:rsidR="00DA03FB" w:rsidRPr="00EB650B">
        <w:rPr>
          <w:rFonts w:ascii="Arial" w:eastAsia="Times New Roman" w:hAnsi="Arial" w:cs="Arial"/>
          <w:iCs/>
          <w:sz w:val="20"/>
          <w:szCs w:val="20"/>
          <w:lang w:eastAsia="en-US"/>
        </w:rPr>
        <w:t xml:space="preserve"> obroka kredita (Erste&amp;Steiermärkische Bank d.d. Rijeka)</w:t>
      </w:r>
      <w:r w:rsidR="004F57C9" w:rsidRPr="00EB650B">
        <w:rPr>
          <w:rFonts w:ascii="Arial" w:eastAsia="Times New Roman" w:hAnsi="Arial" w:cs="Arial"/>
          <w:iCs/>
          <w:sz w:val="20"/>
          <w:szCs w:val="20"/>
          <w:lang w:eastAsia="en-US"/>
        </w:rPr>
        <w:t xml:space="preserve"> u iznosu </w:t>
      </w:r>
      <w:r w:rsidR="0030139E" w:rsidRPr="00EB650B">
        <w:rPr>
          <w:rFonts w:ascii="Arial" w:eastAsia="Times New Roman" w:hAnsi="Arial" w:cs="Arial"/>
          <w:iCs/>
          <w:sz w:val="20"/>
          <w:szCs w:val="20"/>
          <w:lang w:eastAsia="en-US"/>
        </w:rPr>
        <w:t>65.050,14</w:t>
      </w:r>
      <w:r w:rsidR="004F57C9" w:rsidRPr="00EB650B">
        <w:rPr>
          <w:rFonts w:ascii="Arial" w:eastAsia="Times New Roman" w:hAnsi="Arial" w:cs="Arial"/>
          <w:iCs/>
          <w:sz w:val="20"/>
          <w:szCs w:val="20"/>
          <w:lang w:eastAsia="en-US"/>
        </w:rPr>
        <w:t xml:space="preserve"> €,</w:t>
      </w:r>
      <w:r w:rsidR="001B52D5" w:rsidRPr="00EB650B">
        <w:rPr>
          <w:rFonts w:ascii="Arial" w:eastAsia="Times New Roman" w:hAnsi="Arial" w:cs="Arial"/>
          <w:iCs/>
          <w:sz w:val="20"/>
          <w:szCs w:val="20"/>
          <w:lang w:eastAsia="en-US"/>
        </w:rPr>
        <w:t xml:space="preserve"> razlike kamata za 2023. </w:t>
      </w:r>
      <w:r w:rsidR="0030139E" w:rsidRPr="00EB650B">
        <w:rPr>
          <w:rFonts w:ascii="Arial" w:eastAsia="Times New Roman" w:hAnsi="Arial" w:cs="Arial"/>
          <w:iCs/>
          <w:sz w:val="20"/>
          <w:szCs w:val="20"/>
          <w:lang w:eastAsia="en-US"/>
        </w:rPr>
        <w:t xml:space="preserve">i 2024. </w:t>
      </w:r>
      <w:r w:rsidR="001B52D5" w:rsidRPr="00EB650B">
        <w:rPr>
          <w:rFonts w:ascii="Arial" w:eastAsia="Times New Roman" w:hAnsi="Arial" w:cs="Arial"/>
          <w:iCs/>
          <w:sz w:val="20"/>
          <w:szCs w:val="20"/>
          <w:lang w:eastAsia="en-US"/>
        </w:rPr>
        <w:t>godinu</w:t>
      </w:r>
      <w:r w:rsidR="004F57C9" w:rsidRPr="00EB650B">
        <w:rPr>
          <w:rFonts w:ascii="Arial" w:eastAsia="Times New Roman" w:hAnsi="Arial" w:cs="Arial"/>
          <w:iCs/>
          <w:sz w:val="20"/>
          <w:szCs w:val="20"/>
          <w:lang w:eastAsia="en-US"/>
        </w:rPr>
        <w:t xml:space="preserve"> u iznosu </w:t>
      </w:r>
      <w:r w:rsidR="0030139E" w:rsidRPr="00EB650B">
        <w:rPr>
          <w:rFonts w:ascii="Arial" w:eastAsia="Times New Roman" w:hAnsi="Arial" w:cs="Arial"/>
          <w:iCs/>
          <w:sz w:val="20"/>
          <w:szCs w:val="20"/>
          <w:lang w:eastAsia="en-US"/>
        </w:rPr>
        <w:t>15.599,90</w:t>
      </w:r>
      <w:r w:rsidR="004F57C9" w:rsidRPr="00EB650B">
        <w:rPr>
          <w:rFonts w:ascii="Arial" w:eastAsia="Times New Roman" w:hAnsi="Arial" w:cs="Arial"/>
          <w:iCs/>
          <w:sz w:val="20"/>
          <w:szCs w:val="20"/>
          <w:lang w:eastAsia="en-US"/>
        </w:rPr>
        <w:t xml:space="preserve"> €</w:t>
      </w:r>
      <w:r w:rsidR="00DA03FB" w:rsidRPr="00EB650B">
        <w:rPr>
          <w:rFonts w:ascii="Arial" w:eastAsia="Times New Roman" w:hAnsi="Arial" w:cs="Arial"/>
          <w:iCs/>
          <w:sz w:val="20"/>
          <w:szCs w:val="20"/>
          <w:lang w:eastAsia="en-US"/>
        </w:rPr>
        <w:t>.</w:t>
      </w:r>
    </w:p>
    <w:p w14:paraId="26CDFFB2" w14:textId="7C8ACF1C" w:rsidR="00B66515" w:rsidRPr="00EB650B" w:rsidRDefault="009C4750" w:rsidP="00B66515">
      <w:pPr>
        <w:autoSpaceDE w:val="0"/>
        <w:autoSpaceDN w:val="0"/>
        <w:adjustRightInd w:val="0"/>
        <w:spacing w:after="0" w:line="240" w:lineRule="auto"/>
        <w:jc w:val="both"/>
        <w:rPr>
          <w:rFonts w:ascii="Arial" w:eastAsia="Times New Roman" w:hAnsi="Arial" w:cs="Arial"/>
          <w:iCs/>
          <w:sz w:val="20"/>
          <w:szCs w:val="20"/>
          <w:lang w:eastAsia="en-US"/>
        </w:rPr>
      </w:pPr>
      <w:bookmarkStart w:id="402" w:name="_Hlk176507229"/>
      <w:bookmarkEnd w:id="401"/>
      <w:r w:rsidRPr="00EB650B">
        <w:rPr>
          <w:rFonts w:ascii="Arial" w:eastAsia="Times New Roman" w:hAnsi="Arial" w:cs="Arial"/>
          <w:iCs/>
          <w:sz w:val="20"/>
          <w:szCs w:val="20"/>
          <w:lang w:eastAsia="en-US"/>
        </w:rPr>
        <w:t>S</w:t>
      </w:r>
      <w:r w:rsidR="00B66515" w:rsidRPr="00EB650B">
        <w:rPr>
          <w:rFonts w:ascii="Arial" w:eastAsia="Times New Roman" w:hAnsi="Arial" w:cs="Arial"/>
          <w:iCs/>
          <w:sz w:val="20"/>
          <w:szCs w:val="20"/>
          <w:lang w:eastAsia="en-US"/>
        </w:rPr>
        <w:t>tanje aktivnih jamstava koncem 202</w:t>
      </w:r>
      <w:r w:rsidR="00FF43B2" w:rsidRPr="00EB650B">
        <w:rPr>
          <w:rFonts w:ascii="Arial" w:eastAsia="Times New Roman" w:hAnsi="Arial" w:cs="Arial"/>
          <w:iCs/>
          <w:sz w:val="20"/>
          <w:szCs w:val="20"/>
          <w:lang w:eastAsia="en-US"/>
        </w:rPr>
        <w:t>4</w:t>
      </w:r>
      <w:r w:rsidR="00B66515" w:rsidRPr="00EB650B">
        <w:rPr>
          <w:rFonts w:ascii="Arial" w:eastAsia="Times New Roman" w:hAnsi="Arial" w:cs="Arial"/>
          <w:iCs/>
          <w:sz w:val="20"/>
          <w:szCs w:val="20"/>
          <w:lang w:eastAsia="en-US"/>
        </w:rPr>
        <w:t xml:space="preserve">. po spomenutom jamstvu iznosi </w:t>
      </w:r>
      <w:r w:rsidR="001C45E9" w:rsidRPr="00EB650B">
        <w:rPr>
          <w:rFonts w:ascii="Arial" w:eastAsia="Times New Roman" w:hAnsi="Arial" w:cs="Arial"/>
          <w:iCs/>
          <w:sz w:val="20"/>
          <w:szCs w:val="20"/>
          <w:lang w:eastAsia="en-US"/>
        </w:rPr>
        <w:t>340.868,06</w:t>
      </w:r>
      <w:r w:rsidR="00BE15EE" w:rsidRPr="00EB650B">
        <w:rPr>
          <w:rFonts w:ascii="Arial" w:eastAsia="Times New Roman" w:hAnsi="Arial" w:cs="Arial"/>
          <w:iCs/>
          <w:sz w:val="20"/>
          <w:szCs w:val="20"/>
          <w:lang w:eastAsia="en-US"/>
        </w:rPr>
        <w:t xml:space="preserve"> </w:t>
      </w:r>
      <w:r w:rsidR="00DA03FB" w:rsidRPr="00EB650B">
        <w:rPr>
          <w:rFonts w:ascii="Arial" w:eastAsia="Times New Roman" w:hAnsi="Arial" w:cs="Arial"/>
          <w:iCs/>
          <w:sz w:val="20"/>
          <w:szCs w:val="20"/>
          <w:lang w:eastAsia="en-US"/>
        </w:rPr>
        <w:t>€</w:t>
      </w:r>
      <w:r w:rsidR="00B66515" w:rsidRPr="00EB650B">
        <w:rPr>
          <w:rFonts w:ascii="Arial" w:eastAsia="Times New Roman" w:hAnsi="Arial" w:cs="Arial"/>
          <w:iCs/>
          <w:sz w:val="20"/>
          <w:szCs w:val="20"/>
          <w:lang w:eastAsia="en-US"/>
        </w:rPr>
        <w:t xml:space="preserve"> (bilanca, evidentirano u izvanbilančnoj evidenciji).</w:t>
      </w:r>
    </w:p>
    <w:bookmarkEnd w:id="402"/>
    <w:p w14:paraId="7AD0B4C3" w14:textId="77777777" w:rsidR="0030139E" w:rsidRDefault="0030139E" w:rsidP="00891119">
      <w:pPr>
        <w:spacing w:after="0" w:line="240" w:lineRule="auto"/>
        <w:jc w:val="both"/>
        <w:rPr>
          <w:rFonts w:ascii="Arial" w:eastAsia="Times New Roman" w:hAnsi="Arial" w:cs="Arial"/>
          <w:bCs/>
          <w:iCs/>
          <w:sz w:val="20"/>
          <w:szCs w:val="20"/>
          <w:lang w:eastAsia="en-US"/>
        </w:rPr>
      </w:pPr>
    </w:p>
    <w:p w14:paraId="0AC19660" w14:textId="701786D2" w:rsidR="00E55F97" w:rsidRPr="00E55F97" w:rsidRDefault="00E55F97" w:rsidP="00E55F97">
      <w:pPr>
        <w:spacing w:after="0" w:line="240" w:lineRule="auto"/>
        <w:jc w:val="both"/>
        <w:rPr>
          <w:rFonts w:ascii="Arial" w:eastAsia="Times New Roman" w:hAnsi="Arial" w:cs="Arial"/>
          <w:bCs/>
          <w:iCs/>
          <w:sz w:val="20"/>
          <w:szCs w:val="20"/>
          <w:lang w:eastAsia="en-US"/>
        </w:rPr>
      </w:pPr>
      <w:bookmarkStart w:id="403" w:name="_Hlk207639848"/>
      <w:r w:rsidRPr="00E55F97">
        <w:rPr>
          <w:rFonts w:ascii="Arial" w:eastAsia="Times New Roman" w:hAnsi="Arial" w:cs="Arial"/>
          <w:bCs/>
          <w:iCs/>
          <w:sz w:val="20"/>
          <w:szCs w:val="20"/>
          <w:lang w:eastAsia="en-US"/>
        </w:rPr>
        <w:t>Komunalno društvo je za 202</w:t>
      </w:r>
      <w:r>
        <w:rPr>
          <w:rFonts w:ascii="Arial" w:eastAsia="Times New Roman" w:hAnsi="Arial" w:cs="Arial"/>
          <w:bCs/>
          <w:iCs/>
          <w:sz w:val="20"/>
          <w:szCs w:val="20"/>
          <w:lang w:eastAsia="en-US"/>
        </w:rPr>
        <w:t>5</w:t>
      </w:r>
      <w:r w:rsidRPr="00E55F97">
        <w:rPr>
          <w:rFonts w:ascii="Arial" w:eastAsia="Times New Roman" w:hAnsi="Arial" w:cs="Arial"/>
          <w:bCs/>
          <w:iCs/>
          <w:sz w:val="20"/>
          <w:szCs w:val="20"/>
          <w:lang w:eastAsia="en-US"/>
        </w:rPr>
        <w:t xml:space="preserve">. otplatilo glavnicu u visini </w:t>
      </w:r>
      <w:r>
        <w:rPr>
          <w:rFonts w:ascii="Arial" w:eastAsia="Times New Roman" w:hAnsi="Arial" w:cs="Arial"/>
          <w:bCs/>
          <w:iCs/>
          <w:sz w:val="20"/>
          <w:szCs w:val="20"/>
          <w:lang w:eastAsia="en-US"/>
        </w:rPr>
        <w:t>29.695,35</w:t>
      </w:r>
      <w:r w:rsidRPr="00E55F97">
        <w:rPr>
          <w:rFonts w:ascii="Arial" w:eastAsia="Times New Roman" w:hAnsi="Arial" w:cs="Arial"/>
          <w:bCs/>
          <w:iCs/>
          <w:sz w:val="20"/>
          <w:szCs w:val="20"/>
          <w:lang w:eastAsia="en-US"/>
        </w:rPr>
        <w:t xml:space="preserve"> € i kamate u iznosu </w:t>
      </w:r>
      <w:r>
        <w:rPr>
          <w:rFonts w:ascii="Arial" w:eastAsia="Times New Roman" w:hAnsi="Arial" w:cs="Arial"/>
          <w:bCs/>
          <w:iCs/>
          <w:sz w:val="20"/>
          <w:szCs w:val="20"/>
          <w:lang w:eastAsia="en-US"/>
        </w:rPr>
        <w:t>8.862,81</w:t>
      </w:r>
      <w:r w:rsidRPr="00E55F97">
        <w:rPr>
          <w:rFonts w:ascii="Arial" w:eastAsia="Times New Roman" w:hAnsi="Arial" w:cs="Arial"/>
          <w:bCs/>
          <w:iCs/>
          <w:sz w:val="20"/>
          <w:szCs w:val="20"/>
          <w:lang w:eastAsia="en-US"/>
        </w:rPr>
        <w:t xml:space="preserve"> €. </w:t>
      </w:r>
      <w:r w:rsidRPr="00E55F97">
        <w:rPr>
          <w:rFonts w:ascii="Arial" w:eastAsia="Times New Roman" w:hAnsi="Arial" w:cs="Arial"/>
          <w:b/>
          <w:bCs/>
          <w:iCs/>
          <w:sz w:val="20"/>
          <w:szCs w:val="20"/>
          <w:lang w:eastAsia="en-US"/>
        </w:rPr>
        <w:t xml:space="preserve">Dug </w:t>
      </w:r>
      <w:r>
        <w:rPr>
          <w:rFonts w:ascii="Arial" w:eastAsia="Times New Roman" w:hAnsi="Arial" w:cs="Arial"/>
          <w:b/>
          <w:bCs/>
          <w:iCs/>
          <w:sz w:val="20"/>
          <w:szCs w:val="20"/>
          <w:lang w:eastAsia="en-US"/>
        </w:rPr>
        <w:t>30.06.2025</w:t>
      </w:r>
      <w:r w:rsidRPr="00E55F97">
        <w:rPr>
          <w:rFonts w:ascii="Arial" w:eastAsia="Times New Roman" w:hAnsi="Arial" w:cs="Arial"/>
          <w:b/>
          <w:bCs/>
          <w:iCs/>
          <w:sz w:val="20"/>
          <w:szCs w:val="20"/>
          <w:lang w:eastAsia="en-US"/>
        </w:rPr>
        <w:t>.</w:t>
      </w:r>
      <w:r w:rsidRPr="00E55F97">
        <w:rPr>
          <w:rFonts w:ascii="Arial" w:eastAsia="Times New Roman" w:hAnsi="Arial" w:cs="Arial"/>
          <w:bCs/>
          <w:iCs/>
          <w:sz w:val="20"/>
          <w:szCs w:val="20"/>
          <w:lang w:eastAsia="en-US"/>
        </w:rPr>
        <w:t xml:space="preserve"> iznosi </w:t>
      </w:r>
      <w:r>
        <w:rPr>
          <w:rFonts w:ascii="Arial" w:eastAsia="Times New Roman" w:hAnsi="Arial" w:cs="Arial"/>
          <w:bCs/>
          <w:iCs/>
          <w:sz w:val="20"/>
          <w:szCs w:val="20"/>
          <w:lang w:eastAsia="en-US"/>
        </w:rPr>
        <w:t>308.709,23</w:t>
      </w:r>
      <w:r w:rsidRPr="00E55F97">
        <w:rPr>
          <w:rFonts w:ascii="Arial" w:eastAsia="Times New Roman" w:hAnsi="Arial" w:cs="Arial"/>
          <w:bCs/>
          <w:iCs/>
          <w:sz w:val="20"/>
          <w:szCs w:val="20"/>
          <w:lang w:eastAsia="en-US"/>
        </w:rPr>
        <w:t xml:space="preserve"> € (od čega glavnica </w:t>
      </w:r>
      <w:r>
        <w:rPr>
          <w:rFonts w:ascii="Arial" w:eastAsia="Times New Roman" w:hAnsi="Arial" w:cs="Arial"/>
          <w:bCs/>
          <w:iCs/>
          <w:sz w:val="20"/>
          <w:szCs w:val="20"/>
          <w:lang w:eastAsia="en-US"/>
        </w:rPr>
        <w:t xml:space="preserve">267.258,22 </w:t>
      </w:r>
      <w:r w:rsidRPr="00E55F97">
        <w:rPr>
          <w:rFonts w:ascii="Arial" w:eastAsia="Times New Roman" w:hAnsi="Arial" w:cs="Arial"/>
          <w:bCs/>
          <w:iCs/>
          <w:sz w:val="20"/>
          <w:szCs w:val="20"/>
          <w:lang w:eastAsia="en-US"/>
        </w:rPr>
        <w:t xml:space="preserve">€). Redovna kamata prema osnovnom ugovoru iznosi </w:t>
      </w:r>
      <w:r>
        <w:rPr>
          <w:rFonts w:ascii="Arial" w:eastAsia="Times New Roman" w:hAnsi="Arial" w:cs="Arial"/>
          <w:bCs/>
          <w:iCs/>
          <w:sz w:val="20"/>
          <w:szCs w:val="20"/>
          <w:lang w:eastAsia="en-US"/>
        </w:rPr>
        <w:t>14.487,63</w:t>
      </w:r>
      <w:r w:rsidRPr="00E55F97">
        <w:rPr>
          <w:rFonts w:ascii="Arial" w:eastAsia="Times New Roman" w:hAnsi="Arial" w:cs="Arial"/>
          <w:bCs/>
          <w:iCs/>
          <w:sz w:val="20"/>
          <w:szCs w:val="20"/>
          <w:lang w:eastAsia="en-US"/>
        </w:rPr>
        <w:t xml:space="preserve"> €. Kako se kamata obračunava prema tromjesečnom EURIBOR-u iznos kamata je veća (zbog rasta EURIBOR-a u 2023. i 2024. godini). </w:t>
      </w:r>
    </w:p>
    <w:p w14:paraId="3FB29866" w14:textId="33913527" w:rsidR="00E55F97" w:rsidRPr="00E55F97" w:rsidRDefault="00E55F97" w:rsidP="00E55F97">
      <w:pPr>
        <w:spacing w:after="0" w:line="240" w:lineRule="auto"/>
        <w:jc w:val="both"/>
        <w:rPr>
          <w:rFonts w:ascii="Arial" w:eastAsia="Times New Roman" w:hAnsi="Arial" w:cs="Arial"/>
          <w:bCs/>
          <w:iCs/>
          <w:sz w:val="20"/>
          <w:szCs w:val="20"/>
          <w:lang w:eastAsia="en-US"/>
        </w:rPr>
      </w:pPr>
      <w:r w:rsidRPr="00E55F97">
        <w:rPr>
          <w:rFonts w:ascii="Arial" w:eastAsia="Times New Roman" w:hAnsi="Arial" w:cs="Arial"/>
          <w:bCs/>
          <w:iCs/>
          <w:sz w:val="20"/>
          <w:szCs w:val="20"/>
          <w:lang w:eastAsia="en-US"/>
        </w:rPr>
        <w:t>Komunalnom društvu su u 202</w:t>
      </w:r>
      <w:r w:rsidR="00CB10A5">
        <w:rPr>
          <w:rFonts w:ascii="Arial" w:eastAsia="Times New Roman" w:hAnsi="Arial" w:cs="Arial"/>
          <w:bCs/>
          <w:iCs/>
          <w:sz w:val="20"/>
          <w:szCs w:val="20"/>
          <w:lang w:eastAsia="en-US"/>
        </w:rPr>
        <w:t>5</w:t>
      </w:r>
      <w:r w:rsidRPr="00E55F97">
        <w:rPr>
          <w:rFonts w:ascii="Arial" w:eastAsia="Times New Roman" w:hAnsi="Arial" w:cs="Arial"/>
          <w:bCs/>
          <w:iCs/>
          <w:sz w:val="20"/>
          <w:szCs w:val="20"/>
          <w:lang w:eastAsia="en-US"/>
        </w:rPr>
        <w:t xml:space="preserve">. doznačena sredstva u iznosu </w:t>
      </w:r>
      <w:r>
        <w:rPr>
          <w:rFonts w:ascii="Arial" w:eastAsia="Times New Roman" w:hAnsi="Arial" w:cs="Arial"/>
          <w:bCs/>
          <w:iCs/>
          <w:sz w:val="20"/>
          <w:szCs w:val="20"/>
          <w:lang w:eastAsia="en-US"/>
        </w:rPr>
        <w:t>38.558,16</w:t>
      </w:r>
      <w:r w:rsidRPr="00E55F97">
        <w:rPr>
          <w:rFonts w:ascii="Arial" w:eastAsia="Times New Roman" w:hAnsi="Arial" w:cs="Arial"/>
          <w:bCs/>
          <w:iCs/>
          <w:sz w:val="20"/>
          <w:szCs w:val="20"/>
          <w:lang w:eastAsia="en-US"/>
        </w:rPr>
        <w:t xml:space="preserve"> € u obliku kapitalne pomoći za otplatu obroka kredita (Erste&amp;Steiermärkische Bank d.d. Rijeka) u iznosu </w:t>
      </w:r>
      <w:r>
        <w:rPr>
          <w:rFonts w:ascii="Arial" w:eastAsia="Times New Roman" w:hAnsi="Arial" w:cs="Arial"/>
          <w:bCs/>
          <w:iCs/>
          <w:sz w:val="20"/>
          <w:szCs w:val="20"/>
          <w:lang w:eastAsia="en-US"/>
        </w:rPr>
        <w:t>29.695,35</w:t>
      </w:r>
      <w:r w:rsidRPr="00E55F97">
        <w:rPr>
          <w:rFonts w:ascii="Arial" w:eastAsia="Times New Roman" w:hAnsi="Arial" w:cs="Arial"/>
          <w:bCs/>
          <w:iCs/>
          <w:sz w:val="20"/>
          <w:szCs w:val="20"/>
          <w:lang w:eastAsia="en-US"/>
        </w:rPr>
        <w:t xml:space="preserve"> €, razlike kamata u iznosu </w:t>
      </w:r>
      <w:r>
        <w:rPr>
          <w:rFonts w:ascii="Arial" w:eastAsia="Times New Roman" w:hAnsi="Arial" w:cs="Arial"/>
          <w:bCs/>
          <w:iCs/>
          <w:sz w:val="20"/>
          <w:szCs w:val="20"/>
          <w:lang w:eastAsia="en-US"/>
        </w:rPr>
        <w:t>8.862,81</w:t>
      </w:r>
      <w:r w:rsidRPr="00E55F97">
        <w:rPr>
          <w:rFonts w:ascii="Arial" w:eastAsia="Times New Roman" w:hAnsi="Arial" w:cs="Arial"/>
          <w:bCs/>
          <w:iCs/>
          <w:sz w:val="20"/>
          <w:szCs w:val="20"/>
          <w:lang w:eastAsia="en-US"/>
        </w:rPr>
        <w:t xml:space="preserve"> €.</w:t>
      </w:r>
    </w:p>
    <w:p w14:paraId="418D4B62" w14:textId="0F8BBA37" w:rsidR="00E55F97" w:rsidRPr="00E55F97" w:rsidRDefault="00E55F97" w:rsidP="00E55F97">
      <w:pPr>
        <w:spacing w:after="0" w:line="240" w:lineRule="auto"/>
        <w:jc w:val="both"/>
        <w:rPr>
          <w:rFonts w:ascii="Arial" w:eastAsia="Times New Roman" w:hAnsi="Arial" w:cs="Arial"/>
          <w:bCs/>
          <w:iCs/>
          <w:sz w:val="20"/>
          <w:szCs w:val="20"/>
          <w:lang w:eastAsia="en-US"/>
        </w:rPr>
      </w:pPr>
      <w:r w:rsidRPr="00E55F97">
        <w:rPr>
          <w:rFonts w:ascii="Arial" w:eastAsia="Times New Roman" w:hAnsi="Arial" w:cs="Arial"/>
          <w:bCs/>
          <w:iCs/>
          <w:sz w:val="20"/>
          <w:szCs w:val="20"/>
          <w:lang w:eastAsia="en-US"/>
        </w:rPr>
        <w:t>Stanje aktivnih jamstava koncem</w:t>
      </w:r>
      <w:r>
        <w:rPr>
          <w:rFonts w:ascii="Arial" w:eastAsia="Times New Roman" w:hAnsi="Arial" w:cs="Arial"/>
          <w:bCs/>
          <w:iCs/>
          <w:sz w:val="20"/>
          <w:szCs w:val="20"/>
          <w:lang w:eastAsia="en-US"/>
        </w:rPr>
        <w:t xml:space="preserve"> lipnja</w:t>
      </w:r>
      <w:r w:rsidRPr="00E55F97">
        <w:rPr>
          <w:rFonts w:ascii="Arial" w:eastAsia="Times New Roman" w:hAnsi="Arial" w:cs="Arial"/>
          <w:bCs/>
          <w:iCs/>
          <w:sz w:val="20"/>
          <w:szCs w:val="20"/>
          <w:lang w:eastAsia="en-US"/>
        </w:rPr>
        <w:t xml:space="preserve"> 202</w:t>
      </w:r>
      <w:r>
        <w:rPr>
          <w:rFonts w:ascii="Arial" w:eastAsia="Times New Roman" w:hAnsi="Arial" w:cs="Arial"/>
          <w:bCs/>
          <w:iCs/>
          <w:sz w:val="20"/>
          <w:szCs w:val="20"/>
          <w:lang w:eastAsia="en-US"/>
        </w:rPr>
        <w:t>5</w:t>
      </w:r>
      <w:r w:rsidRPr="00E55F97">
        <w:rPr>
          <w:rFonts w:ascii="Arial" w:eastAsia="Times New Roman" w:hAnsi="Arial" w:cs="Arial"/>
          <w:bCs/>
          <w:iCs/>
          <w:sz w:val="20"/>
          <w:szCs w:val="20"/>
          <w:lang w:eastAsia="en-US"/>
        </w:rPr>
        <w:t xml:space="preserve">. po spomenutom jamstvu iznosi </w:t>
      </w:r>
      <w:r>
        <w:rPr>
          <w:rFonts w:ascii="Arial" w:eastAsia="Times New Roman" w:hAnsi="Arial" w:cs="Arial"/>
          <w:bCs/>
          <w:iCs/>
          <w:sz w:val="20"/>
          <w:szCs w:val="20"/>
          <w:lang w:eastAsia="en-US"/>
        </w:rPr>
        <w:t>308.709,23</w:t>
      </w:r>
      <w:r w:rsidRPr="00E55F97">
        <w:rPr>
          <w:rFonts w:ascii="Arial" w:eastAsia="Times New Roman" w:hAnsi="Arial" w:cs="Arial"/>
          <w:bCs/>
          <w:iCs/>
          <w:sz w:val="20"/>
          <w:szCs w:val="20"/>
          <w:lang w:eastAsia="en-US"/>
        </w:rPr>
        <w:t xml:space="preserve"> € (bilanca, evidentirano u izvanbilančnoj evidenciji).</w:t>
      </w:r>
    </w:p>
    <w:bookmarkEnd w:id="400"/>
    <w:bookmarkEnd w:id="403"/>
    <w:p w14:paraId="7ACC4D62" w14:textId="77777777" w:rsidR="00E55F97" w:rsidRPr="00EB650B" w:rsidRDefault="00E55F97" w:rsidP="00891119">
      <w:pPr>
        <w:spacing w:after="0" w:line="240" w:lineRule="auto"/>
        <w:jc w:val="both"/>
        <w:rPr>
          <w:rFonts w:ascii="Arial" w:eastAsia="Times New Roman" w:hAnsi="Arial" w:cs="Arial"/>
          <w:bCs/>
          <w:iCs/>
          <w:sz w:val="20"/>
          <w:szCs w:val="20"/>
          <w:lang w:eastAsia="en-US"/>
        </w:rPr>
      </w:pPr>
    </w:p>
    <w:p w14:paraId="16838BB7" w14:textId="2032D5D8" w:rsidR="00891119" w:rsidRPr="00EB650B" w:rsidRDefault="00891119" w:rsidP="00891119">
      <w:pPr>
        <w:spacing w:after="0" w:line="240" w:lineRule="auto"/>
        <w:jc w:val="both"/>
        <w:rPr>
          <w:rFonts w:ascii="Arial" w:eastAsia="Times New Roman" w:hAnsi="Arial" w:cs="Arial"/>
          <w:bCs/>
          <w:iCs/>
          <w:sz w:val="20"/>
          <w:szCs w:val="20"/>
          <w:lang w:eastAsia="en-US"/>
        </w:rPr>
      </w:pPr>
      <w:r w:rsidRPr="00EB650B">
        <w:rPr>
          <w:rFonts w:ascii="Arial" w:eastAsia="Times New Roman" w:hAnsi="Arial" w:cs="Arial"/>
          <w:bCs/>
          <w:iCs/>
          <w:sz w:val="20"/>
          <w:szCs w:val="20"/>
          <w:lang w:eastAsia="en-US"/>
        </w:rPr>
        <w:t xml:space="preserve">U tablici u nastavku daje se </w:t>
      </w:r>
      <w:r w:rsidRPr="00EB650B">
        <w:rPr>
          <w:rFonts w:ascii="Arial" w:eastAsia="Times New Roman" w:hAnsi="Arial" w:cs="Arial"/>
          <w:b/>
          <w:bCs/>
          <w:iCs/>
          <w:sz w:val="20"/>
          <w:szCs w:val="20"/>
          <w:lang w:eastAsia="en-US"/>
        </w:rPr>
        <w:t>pregled protestiranih jamstava</w:t>
      </w:r>
      <w:r w:rsidRPr="00EB650B">
        <w:rPr>
          <w:rFonts w:ascii="Arial" w:eastAsia="Times New Roman" w:hAnsi="Arial" w:cs="Arial"/>
          <w:bCs/>
          <w:iCs/>
          <w:sz w:val="20"/>
          <w:szCs w:val="20"/>
          <w:lang w:eastAsia="en-US"/>
        </w:rPr>
        <w:t xml:space="preserve"> jedinice lokalne samouprave.</w:t>
      </w:r>
    </w:p>
    <w:p w14:paraId="6E14E55D" w14:textId="09520B4B" w:rsidR="00FB332B" w:rsidRPr="00EB650B" w:rsidRDefault="00FB332B" w:rsidP="00891119">
      <w:pPr>
        <w:spacing w:after="0" w:line="240" w:lineRule="auto"/>
        <w:jc w:val="both"/>
        <w:rPr>
          <w:rFonts w:ascii="Arial" w:eastAsia="Times New Roman" w:hAnsi="Arial" w:cs="Arial"/>
          <w:bCs/>
          <w:iCs/>
          <w:sz w:val="20"/>
          <w:szCs w:val="20"/>
          <w:lang w:eastAsia="en-US"/>
        </w:rPr>
      </w:pPr>
      <w:bookmarkStart w:id="404" w:name="_Hlk17992341"/>
    </w:p>
    <w:p w14:paraId="32B0045E" w14:textId="4D77E26A" w:rsidR="00891119" w:rsidRPr="003A2F86" w:rsidRDefault="004C330F" w:rsidP="004C330F">
      <w:pPr>
        <w:pStyle w:val="Opisslike"/>
        <w:keepNext/>
        <w:jc w:val="both"/>
      </w:pPr>
      <w:bookmarkStart w:id="405" w:name="_Toc207706997"/>
      <w:r w:rsidRPr="003A2F86">
        <w:rPr>
          <w:color w:val="FF0000"/>
        </w:rPr>
        <w:t xml:space="preserve">Tablica </w:t>
      </w:r>
      <w:r w:rsidR="002A3DE2" w:rsidRPr="003A2F86">
        <w:rPr>
          <w:color w:val="FF0000"/>
        </w:rPr>
        <w:fldChar w:fldCharType="begin"/>
      </w:r>
      <w:r w:rsidR="002A3DE2" w:rsidRPr="003A2F86">
        <w:rPr>
          <w:color w:val="FF0000"/>
        </w:rPr>
        <w:instrText xml:space="preserve"> SEQ Tablica \* ARABIC </w:instrText>
      </w:r>
      <w:r w:rsidR="002A3DE2" w:rsidRPr="003A2F86">
        <w:rPr>
          <w:color w:val="FF0000"/>
        </w:rPr>
        <w:fldChar w:fldCharType="separate"/>
      </w:r>
      <w:r w:rsidR="00910987">
        <w:rPr>
          <w:noProof/>
          <w:color w:val="FF0000"/>
        </w:rPr>
        <w:t>33</w:t>
      </w:r>
      <w:r w:rsidR="002A3DE2" w:rsidRPr="003A2F86">
        <w:rPr>
          <w:color w:val="FF0000"/>
        </w:rPr>
        <w:fldChar w:fldCharType="end"/>
      </w:r>
      <w:r w:rsidRPr="003A2F86">
        <w:rPr>
          <w:color w:val="FF0000"/>
        </w:rPr>
        <w:t>.</w:t>
      </w:r>
      <w:r w:rsidRPr="003A2F86">
        <w:t xml:space="preserve">: </w:t>
      </w:r>
      <w:r w:rsidR="00891119" w:rsidRPr="003A2F86">
        <w:rPr>
          <w:rFonts w:ascii="Arial" w:hAnsi="Arial" w:cs="Arial"/>
          <w:bCs w:val="0"/>
          <w:iCs/>
        </w:rPr>
        <w:t>Pregled protestiranih jamstava u 20</w:t>
      </w:r>
      <w:r w:rsidR="00C5619F" w:rsidRPr="003A2F86">
        <w:rPr>
          <w:rFonts w:ascii="Arial" w:hAnsi="Arial" w:cs="Arial"/>
          <w:bCs w:val="0"/>
          <w:iCs/>
        </w:rPr>
        <w:t>2</w:t>
      </w:r>
      <w:r w:rsidR="00CB10A5">
        <w:rPr>
          <w:rFonts w:ascii="Arial" w:hAnsi="Arial" w:cs="Arial"/>
          <w:bCs w:val="0"/>
          <w:iCs/>
        </w:rPr>
        <w:t>5</w:t>
      </w:r>
      <w:r w:rsidR="00891119" w:rsidRPr="003A2F86">
        <w:rPr>
          <w:rFonts w:ascii="Arial" w:hAnsi="Arial" w:cs="Arial"/>
          <w:bCs w:val="0"/>
          <w:iCs/>
        </w:rPr>
        <w:t>.</w:t>
      </w:r>
      <w:bookmarkEnd w:id="405"/>
    </w:p>
    <w:bookmarkEnd w:id="404"/>
    <w:p w14:paraId="25A44D10" w14:textId="77777777" w:rsidR="00891119" w:rsidRPr="003A2F86" w:rsidRDefault="00891119" w:rsidP="00891119">
      <w:pPr>
        <w:spacing w:after="0" w:line="240" w:lineRule="auto"/>
        <w:rPr>
          <w:rFonts w:ascii="Arial" w:eastAsia="Times New Roman" w:hAnsi="Arial" w:cs="Arial"/>
          <w:iCs/>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1783"/>
        <w:gridCol w:w="2404"/>
        <w:gridCol w:w="2047"/>
        <w:gridCol w:w="827"/>
        <w:gridCol w:w="1217"/>
        <w:gridCol w:w="1316"/>
        <w:gridCol w:w="887"/>
        <w:gridCol w:w="1397"/>
      </w:tblGrid>
      <w:tr w:rsidR="00DA03FB" w:rsidRPr="003A2F86" w14:paraId="4295CBE6" w14:textId="77777777" w:rsidTr="001C45E9">
        <w:trPr>
          <w:trHeight w:val="838"/>
          <w:jc w:val="center"/>
        </w:trPr>
        <w:tc>
          <w:tcPr>
            <w:tcW w:w="607" w:type="dxa"/>
            <w:vAlign w:val="center"/>
          </w:tcPr>
          <w:p w14:paraId="2B2D1A28" w14:textId="77777777" w:rsidR="00DA03FB" w:rsidRPr="003A2F86" w:rsidRDefault="00DA03FB" w:rsidP="00891119">
            <w:pPr>
              <w:autoSpaceDE w:val="0"/>
              <w:autoSpaceDN w:val="0"/>
              <w:adjustRightInd w:val="0"/>
              <w:spacing w:after="0" w:line="240" w:lineRule="auto"/>
              <w:jc w:val="center"/>
              <w:rPr>
                <w:rFonts w:ascii="Arial" w:eastAsia="Times New Roman" w:hAnsi="Arial" w:cs="Arial"/>
                <w:sz w:val="18"/>
                <w:szCs w:val="18"/>
              </w:rPr>
            </w:pPr>
            <w:r w:rsidRPr="003A2F86">
              <w:rPr>
                <w:rFonts w:ascii="Arial" w:eastAsia="Times New Roman" w:hAnsi="Arial" w:cs="Arial"/>
                <w:sz w:val="18"/>
                <w:szCs w:val="18"/>
              </w:rPr>
              <w:t>R. br.</w:t>
            </w:r>
          </w:p>
        </w:tc>
        <w:tc>
          <w:tcPr>
            <w:tcW w:w="1783" w:type="dxa"/>
            <w:vAlign w:val="center"/>
          </w:tcPr>
          <w:p w14:paraId="7C5144F9" w14:textId="77777777" w:rsidR="00DA03FB" w:rsidRPr="003A2F86" w:rsidRDefault="00DA03FB" w:rsidP="00891119">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iCs/>
                <w:sz w:val="18"/>
                <w:szCs w:val="18"/>
                <w:lang w:eastAsia="en-US"/>
              </w:rPr>
              <w:t>Datum plaćanja po protestiranom jamstvu</w:t>
            </w:r>
          </w:p>
        </w:tc>
        <w:tc>
          <w:tcPr>
            <w:tcW w:w="2404" w:type="dxa"/>
            <w:vAlign w:val="center"/>
          </w:tcPr>
          <w:p w14:paraId="54CFF97E" w14:textId="77777777" w:rsidR="00DA03FB" w:rsidRPr="003A2F86" w:rsidRDefault="00DA03FB" w:rsidP="00891119">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iCs/>
                <w:sz w:val="18"/>
                <w:szCs w:val="18"/>
                <w:lang w:eastAsia="en-US"/>
              </w:rPr>
              <w:t>Naziv korisnika kredita, odnosno dužnika</w:t>
            </w:r>
          </w:p>
        </w:tc>
        <w:tc>
          <w:tcPr>
            <w:tcW w:w="2047" w:type="dxa"/>
            <w:vAlign w:val="center"/>
          </w:tcPr>
          <w:p w14:paraId="49A34C7C" w14:textId="77777777" w:rsidR="00DA03FB" w:rsidRPr="003A2F86" w:rsidRDefault="00DA03FB" w:rsidP="00891119">
            <w:pPr>
              <w:autoSpaceDE w:val="0"/>
              <w:autoSpaceDN w:val="0"/>
              <w:adjustRightInd w:val="0"/>
              <w:spacing w:after="0" w:line="240" w:lineRule="auto"/>
              <w:jc w:val="center"/>
              <w:rPr>
                <w:rFonts w:ascii="Arial" w:eastAsia="Times New Roman" w:hAnsi="Arial" w:cs="Arial"/>
                <w:sz w:val="18"/>
                <w:szCs w:val="18"/>
              </w:rPr>
            </w:pPr>
            <w:r w:rsidRPr="003A2F86">
              <w:rPr>
                <w:rFonts w:ascii="Arial" w:eastAsia="Times New Roman" w:hAnsi="Arial" w:cs="Arial"/>
                <w:sz w:val="18"/>
                <w:szCs w:val="18"/>
              </w:rPr>
              <w:t>Naziv financijske institucije u čiju korist je protestirano jamstvo</w:t>
            </w:r>
          </w:p>
        </w:tc>
        <w:tc>
          <w:tcPr>
            <w:tcW w:w="827" w:type="dxa"/>
            <w:vAlign w:val="center"/>
          </w:tcPr>
          <w:p w14:paraId="18BA189A" w14:textId="77777777" w:rsidR="00DA03FB" w:rsidRPr="003A2F86" w:rsidRDefault="00DA03FB" w:rsidP="00891119">
            <w:pPr>
              <w:autoSpaceDE w:val="0"/>
              <w:autoSpaceDN w:val="0"/>
              <w:adjustRightInd w:val="0"/>
              <w:spacing w:after="0" w:line="240" w:lineRule="auto"/>
              <w:jc w:val="center"/>
              <w:rPr>
                <w:rFonts w:ascii="Arial" w:eastAsia="Times New Roman" w:hAnsi="Arial" w:cs="Arial"/>
                <w:sz w:val="18"/>
                <w:szCs w:val="18"/>
              </w:rPr>
            </w:pPr>
            <w:r w:rsidRPr="003A2F86">
              <w:rPr>
                <w:rFonts w:ascii="Arial" w:eastAsia="Times New Roman" w:hAnsi="Arial" w:cs="Arial"/>
                <w:sz w:val="18"/>
                <w:szCs w:val="18"/>
              </w:rPr>
              <w:t>Valutna jedinica</w:t>
            </w:r>
          </w:p>
        </w:tc>
        <w:tc>
          <w:tcPr>
            <w:tcW w:w="1217" w:type="dxa"/>
            <w:vAlign w:val="center"/>
          </w:tcPr>
          <w:p w14:paraId="364E8079" w14:textId="77777777" w:rsidR="00DA03FB" w:rsidRPr="003A2F86" w:rsidRDefault="00DA03FB" w:rsidP="00891119">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iCs/>
                <w:sz w:val="18"/>
                <w:szCs w:val="18"/>
                <w:lang w:eastAsia="en-US"/>
              </w:rPr>
              <w:t>Iznos plaćene glavnice u valuti</w:t>
            </w:r>
          </w:p>
        </w:tc>
        <w:tc>
          <w:tcPr>
            <w:tcW w:w="1316" w:type="dxa"/>
            <w:vAlign w:val="center"/>
          </w:tcPr>
          <w:p w14:paraId="7CA36218" w14:textId="77777777" w:rsidR="00DA03FB" w:rsidRPr="003A2F86" w:rsidRDefault="00DA03FB" w:rsidP="00891119">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iCs/>
                <w:sz w:val="18"/>
                <w:szCs w:val="18"/>
                <w:lang w:eastAsia="en-US"/>
              </w:rPr>
              <w:t>Iznos plaćenih kamata u valuti</w:t>
            </w:r>
          </w:p>
        </w:tc>
        <w:tc>
          <w:tcPr>
            <w:tcW w:w="887" w:type="dxa"/>
            <w:vAlign w:val="center"/>
          </w:tcPr>
          <w:p w14:paraId="22F71F24" w14:textId="77777777" w:rsidR="00DA03FB" w:rsidRPr="003A2F86" w:rsidRDefault="00DA03FB" w:rsidP="00891119">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iCs/>
                <w:sz w:val="18"/>
                <w:szCs w:val="18"/>
                <w:lang w:eastAsia="en-US"/>
              </w:rPr>
              <w:t>Ostala plaćanja u valuti</w:t>
            </w:r>
          </w:p>
        </w:tc>
        <w:tc>
          <w:tcPr>
            <w:tcW w:w="1397" w:type="dxa"/>
            <w:vAlign w:val="center"/>
          </w:tcPr>
          <w:p w14:paraId="7D727B9F" w14:textId="77777777" w:rsidR="00DA03FB" w:rsidRPr="003A2F86" w:rsidRDefault="00DA03FB" w:rsidP="0089111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Ukupan iznos izvršenih plaćanja u valuti</w:t>
            </w:r>
          </w:p>
          <w:p w14:paraId="2BFD70E8" w14:textId="77777777" w:rsidR="00DA03FB" w:rsidRPr="003A2F86" w:rsidRDefault="00DA03FB" w:rsidP="0089111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(EUR)</w:t>
            </w:r>
          </w:p>
        </w:tc>
      </w:tr>
      <w:tr w:rsidR="00DA03FB" w:rsidRPr="003A2F86" w14:paraId="3025C000" w14:textId="77777777" w:rsidTr="001C45E9">
        <w:trPr>
          <w:jc w:val="center"/>
        </w:trPr>
        <w:tc>
          <w:tcPr>
            <w:tcW w:w="607" w:type="dxa"/>
            <w:vAlign w:val="center"/>
          </w:tcPr>
          <w:p w14:paraId="07BC1558" w14:textId="77777777" w:rsidR="00DA03FB" w:rsidRPr="003A2F86" w:rsidRDefault="00DA03FB" w:rsidP="0089111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1</w:t>
            </w:r>
          </w:p>
        </w:tc>
        <w:tc>
          <w:tcPr>
            <w:tcW w:w="1783" w:type="dxa"/>
            <w:vAlign w:val="center"/>
          </w:tcPr>
          <w:p w14:paraId="558B7BD4" w14:textId="77777777" w:rsidR="00DA03FB" w:rsidRPr="003A2F86" w:rsidRDefault="00DA03FB" w:rsidP="0089111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2</w:t>
            </w:r>
          </w:p>
        </w:tc>
        <w:tc>
          <w:tcPr>
            <w:tcW w:w="2404" w:type="dxa"/>
            <w:vAlign w:val="center"/>
          </w:tcPr>
          <w:p w14:paraId="631A49F5" w14:textId="77777777" w:rsidR="00DA03FB" w:rsidRPr="003A2F86" w:rsidRDefault="00DA03FB" w:rsidP="0089111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3</w:t>
            </w:r>
          </w:p>
        </w:tc>
        <w:tc>
          <w:tcPr>
            <w:tcW w:w="2047" w:type="dxa"/>
            <w:vAlign w:val="center"/>
          </w:tcPr>
          <w:p w14:paraId="029422F6" w14:textId="77777777" w:rsidR="00DA03FB" w:rsidRPr="003A2F86" w:rsidRDefault="00DA03FB" w:rsidP="0089111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4</w:t>
            </w:r>
          </w:p>
        </w:tc>
        <w:tc>
          <w:tcPr>
            <w:tcW w:w="827" w:type="dxa"/>
            <w:vAlign w:val="center"/>
          </w:tcPr>
          <w:p w14:paraId="080DDA83" w14:textId="77777777" w:rsidR="00DA03FB" w:rsidRPr="003A2F86" w:rsidRDefault="00DA03FB" w:rsidP="0089111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5</w:t>
            </w:r>
          </w:p>
        </w:tc>
        <w:tc>
          <w:tcPr>
            <w:tcW w:w="1217" w:type="dxa"/>
            <w:vAlign w:val="center"/>
          </w:tcPr>
          <w:p w14:paraId="16848E57" w14:textId="77777777" w:rsidR="00DA03FB" w:rsidRPr="003A2F86" w:rsidRDefault="00DA03FB" w:rsidP="0089111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6</w:t>
            </w:r>
          </w:p>
        </w:tc>
        <w:tc>
          <w:tcPr>
            <w:tcW w:w="1316" w:type="dxa"/>
            <w:vAlign w:val="center"/>
          </w:tcPr>
          <w:p w14:paraId="7655534B" w14:textId="2BCB1EB5" w:rsidR="00DA03FB" w:rsidRPr="003A2F86" w:rsidRDefault="00DA03FB" w:rsidP="0089111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7.</w:t>
            </w:r>
          </w:p>
        </w:tc>
        <w:tc>
          <w:tcPr>
            <w:tcW w:w="887" w:type="dxa"/>
            <w:vAlign w:val="center"/>
          </w:tcPr>
          <w:p w14:paraId="426961F0" w14:textId="77777777" w:rsidR="00DA03FB" w:rsidRPr="003A2F86" w:rsidRDefault="00DA03FB" w:rsidP="0089111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8</w:t>
            </w:r>
          </w:p>
        </w:tc>
        <w:tc>
          <w:tcPr>
            <w:tcW w:w="1397" w:type="dxa"/>
            <w:vAlign w:val="center"/>
          </w:tcPr>
          <w:p w14:paraId="5FDF15D1" w14:textId="77777777" w:rsidR="00DA03FB" w:rsidRPr="003A2F86" w:rsidRDefault="00DA03FB" w:rsidP="0089111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9</w:t>
            </w:r>
          </w:p>
        </w:tc>
      </w:tr>
      <w:tr w:rsidR="00DA03FB" w:rsidRPr="003A2F86" w14:paraId="14905D1F" w14:textId="77777777" w:rsidTr="001C45E9">
        <w:trPr>
          <w:trHeight w:val="58"/>
          <w:jc w:val="center"/>
        </w:trPr>
        <w:tc>
          <w:tcPr>
            <w:tcW w:w="607" w:type="dxa"/>
            <w:vAlign w:val="center"/>
          </w:tcPr>
          <w:p w14:paraId="33438ED3" w14:textId="77777777" w:rsidR="00DA03FB" w:rsidRPr="003A2F86" w:rsidRDefault="00DA03FB" w:rsidP="00891119">
            <w:pPr>
              <w:spacing w:after="0" w:line="240" w:lineRule="auto"/>
              <w:jc w:val="center"/>
              <w:rPr>
                <w:rFonts w:ascii="Arial" w:eastAsia="Times New Roman" w:hAnsi="Arial" w:cs="Arial"/>
                <w:iCs/>
                <w:sz w:val="2"/>
                <w:szCs w:val="18"/>
                <w:lang w:eastAsia="en-US"/>
              </w:rPr>
            </w:pPr>
          </w:p>
        </w:tc>
        <w:tc>
          <w:tcPr>
            <w:tcW w:w="1783" w:type="dxa"/>
            <w:vAlign w:val="center"/>
          </w:tcPr>
          <w:p w14:paraId="41CB11CA" w14:textId="77777777" w:rsidR="00DA03FB" w:rsidRPr="003A2F86" w:rsidRDefault="00DA03FB" w:rsidP="00C5619F">
            <w:pPr>
              <w:spacing w:after="0" w:line="240" w:lineRule="auto"/>
              <w:jc w:val="center"/>
              <w:rPr>
                <w:rFonts w:ascii="Arial" w:eastAsia="Times New Roman" w:hAnsi="Arial" w:cs="Arial"/>
                <w:iCs/>
                <w:sz w:val="2"/>
                <w:szCs w:val="18"/>
                <w:lang w:eastAsia="en-US"/>
              </w:rPr>
            </w:pPr>
          </w:p>
        </w:tc>
        <w:tc>
          <w:tcPr>
            <w:tcW w:w="2404" w:type="dxa"/>
            <w:vAlign w:val="center"/>
          </w:tcPr>
          <w:p w14:paraId="267643C2" w14:textId="77777777" w:rsidR="00DA03FB" w:rsidRPr="003A2F86" w:rsidRDefault="00DA03FB" w:rsidP="00C5619F">
            <w:pPr>
              <w:autoSpaceDE w:val="0"/>
              <w:autoSpaceDN w:val="0"/>
              <w:adjustRightInd w:val="0"/>
              <w:spacing w:after="0" w:line="240" w:lineRule="auto"/>
              <w:jc w:val="center"/>
              <w:rPr>
                <w:rFonts w:ascii="Arial" w:eastAsia="Times New Roman" w:hAnsi="Arial" w:cs="Arial"/>
                <w:sz w:val="2"/>
                <w:szCs w:val="18"/>
              </w:rPr>
            </w:pPr>
          </w:p>
        </w:tc>
        <w:tc>
          <w:tcPr>
            <w:tcW w:w="2047" w:type="dxa"/>
            <w:vAlign w:val="center"/>
          </w:tcPr>
          <w:p w14:paraId="221226FF" w14:textId="77777777" w:rsidR="00DA03FB" w:rsidRPr="003A2F86" w:rsidRDefault="00DA03FB" w:rsidP="00C5619F">
            <w:pPr>
              <w:autoSpaceDE w:val="0"/>
              <w:autoSpaceDN w:val="0"/>
              <w:adjustRightInd w:val="0"/>
              <w:spacing w:after="0" w:line="240" w:lineRule="auto"/>
              <w:jc w:val="center"/>
              <w:rPr>
                <w:rFonts w:ascii="Arial" w:eastAsia="Times New Roman" w:hAnsi="Arial" w:cs="Arial"/>
                <w:sz w:val="2"/>
                <w:szCs w:val="18"/>
              </w:rPr>
            </w:pPr>
          </w:p>
        </w:tc>
        <w:tc>
          <w:tcPr>
            <w:tcW w:w="827" w:type="dxa"/>
            <w:vAlign w:val="center"/>
          </w:tcPr>
          <w:p w14:paraId="2D6EBCFC" w14:textId="77777777" w:rsidR="00DA03FB" w:rsidRPr="003A2F86" w:rsidRDefault="00DA03FB" w:rsidP="00C5619F">
            <w:pPr>
              <w:autoSpaceDE w:val="0"/>
              <w:autoSpaceDN w:val="0"/>
              <w:adjustRightInd w:val="0"/>
              <w:spacing w:after="0" w:line="240" w:lineRule="auto"/>
              <w:jc w:val="center"/>
              <w:rPr>
                <w:rFonts w:ascii="Arial" w:eastAsia="Times New Roman" w:hAnsi="Arial" w:cs="Arial"/>
                <w:sz w:val="2"/>
                <w:szCs w:val="18"/>
              </w:rPr>
            </w:pPr>
          </w:p>
        </w:tc>
        <w:tc>
          <w:tcPr>
            <w:tcW w:w="1217" w:type="dxa"/>
            <w:vAlign w:val="center"/>
          </w:tcPr>
          <w:p w14:paraId="0C54D9CE" w14:textId="77777777" w:rsidR="00DA03FB" w:rsidRPr="003A2F86" w:rsidRDefault="00DA03FB" w:rsidP="00C5619F">
            <w:pPr>
              <w:spacing w:after="0" w:line="240" w:lineRule="auto"/>
              <w:jc w:val="center"/>
              <w:rPr>
                <w:rFonts w:ascii="Arial" w:eastAsia="Times New Roman" w:hAnsi="Arial" w:cs="Arial"/>
                <w:iCs/>
                <w:sz w:val="2"/>
                <w:szCs w:val="18"/>
                <w:lang w:eastAsia="en-US"/>
              </w:rPr>
            </w:pPr>
          </w:p>
        </w:tc>
        <w:tc>
          <w:tcPr>
            <w:tcW w:w="1316" w:type="dxa"/>
            <w:vAlign w:val="center"/>
          </w:tcPr>
          <w:p w14:paraId="2E34678A" w14:textId="77777777" w:rsidR="00DA03FB" w:rsidRPr="003A2F86" w:rsidRDefault="00DA03FB" w:rsidP="00C5619F">
            <w:pPr>
              <w:spacing w:after="0" w:line="240" w:lineRule="auto"/>
              <w:jc w:val="center"/>
              <w:rPr>
                <w:rFonts w:ascii="Arial" w:eastAsia="Times New Roman" w:hAnsi="Arial" w:cs="Arial"/>
                <w:iCs/>
                <w:sz w:val="2"/>
                <w:szCs w:val="18"/>
                <w:lang w:eastAsia="en-US"/>
              </w:rPr>
            </w:pPr>
          </w:p>
        </w:tc>
        <w:tc>
          <w:tcPr>
            <w:tcW w:w="887" w:type="dxa"/>
            <w:vAlign w:val="center"/>
          </w:tcPr>
          <w:p w14:paraId="2B74D959" w14:textId="77777777" w:rsidR="00DA03FB" w:rsidRPr="003A2F86" w:rsidRDefault="00DA03FB" w:rsidP="00C5619F">
            <w:pPr>
              <w:spacing w:after="0" w:line="240" w:lineRule="auto"/>
              <w:jc w:val="center"/>
              <w:rPr>
                <w:rFonts w:ascii="Arial" w:eastAsia="Times New Roman" w:hAnsi="Arial" w:cs="Arial"/>
                <w:iCs/>
                <w:sz w:val="2"/>
                <w:szCs w:val="18"/>
                <w:lang w:eastAsia="en-US"/>
              </w:rPr>
            </w:pPr>
          </w:p>
        </w:tc>
        <w:tc>
          <w:tcPr>
            <w:tcW w:w="1397" w:type="dxa"/>
            <w:vAlign w:val="center"/>
          </w:tcPr>
          <w:p w14:paraId="3CC2F85C" w14:textId="77777777" w:rsidR="00DA03FB" w:rsidRPr="003A2F86" w:rsidRDefault="00DA03FB" w:rsidP="00C5619F">
            <w:pPr>
              <w:spacing w:after="0" w:line="240" w:lineRule="auto"/>
              <w:jc w:val="center"/>
              <w:rPr>
                <w:rFonts w:ascii="Arial" w:eastAsia="Times New Roman" w:hAnsi="Arial" w:cs="Arial"/>
                <w:iCs/>
                <w:sz w:val="2"/>
                <w:szCs w:val="18"/>
                <w:lang w:eastAsia="en-US"/>
              </w:rPr>
            </w:pPr>
          </w:p>
        </w:tc>
      </w:tr>
      <w:tr w:rsidR="001C45E9" w:rsidRPr="003A2F86" w14:paraId="3CBA6132" w14:textId="77777777" w:rsidTr="001C45E9">
        <w:trPr>
          <w:jc w:val="center"/>
        </w:trPr>
        <w:tc>
          <w:tcPr>
            <w:tcW w:w="607" w:type="dxa"/>
            <w:vAlign w:val="center"/>
          </w:tcPr>
          <w:p w14:paraId="015122CA" w14:textId="77777777" w:rsidR="001C45E9" w:rsidRPr="003A2F86" w:rsidRDefault="001C45E9" w:rsidP="001C45E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1.</w:t>
            </w:r>
          </w:p>
        </w:tc>
        <w:tc>
          <w:tcPr>
            <w:tcW w:w="1783" w:type="dxa"/>
            <w:vAlign w:val="center"/>
          </w:tcPr>
          <w:p w14:paraId="20B05F86" w14:textId="2C5B23DB" w:rsidR="001C45E9" w:rsidRPr="003A2F86" w:rsidRDefault="00CC628A" w:rsidP="001C45E9">
            <w:pPr>
              <w:spacing w:after="0" w:line="240" w:lineRule="auto"/>
              <w:jc w:val="center"/>
              <w:rPr>
                <w:rFonts w:ascii="Arial" w:eastAsia="Times New Roman" w:hAnsi="Arial" w:cs="Arial"/>
                <w:iCs/>
                <w:sz w:val="16"/>
                <w:szCs w:val="16"/>
                <w:lang w:eastAsia="en-US"/>
              </w:rPr>
            </w:pPr>
            <w:r>
              <w:rPr>
                <w:rFonts w:ascii="Arial" w:eastAsia="Times New Roman" w:hAnsi="Arial" w:cs="Arial"/>
                <w:iCs/>
                <w:sz w:val="16"/>
                <w:szCs w:val="16"/>
                <w:lang w:eastAsia="en-US"/>
              </w:rPr>
              <w:t>11.06.2025.</w:t>
            </w:r>
          </w:p>
        </w:tc>
        <w:tc>
          <w:tcPr>
            <w:tcW w:w="2404" w:type="dxa"/>
            <w:vAlign w:val="center"/>
          </w:tcPr>
          <w:p w14:paraId="294D5DBE" w14:textId="3628231E" w:rsidR="001C45E9" w:rsidRPr="003A2F86" w:rsidRDefault="001C45E9" w:rsidP="001C45E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Konavosko komunalno društvo d.o.o. Čilipi</w:t>
            </w:r>
          </w:p>
        </w:tc>
        <w:tc>
          <w:tcPr>
            <w:tcW w:w="2047" w:type="dxa"/>
            <w:vAlign w:val="center"/>
          </w:tcPr>
          <w:p w14:paraId="1811FAA2" w14:textId="3CD801F4" w:rsidR="001C45E9" w:rsidRPr="003A2F86" w:rsidRDefault="001C45E9" w:rsidP="001C45E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Erste&amp;Steiermärkische Bank d.d. Rijeka</w:t>
            </w:r>
          </w:p>
        </w:tc>
        <w:tc>
          <w:tcPr>
            <w:tcW w:w="827" w:type="dxa"/>
            <w:vAlign w:val="center"/>
          </w:tcPr>
          <w:p w14:paraId="04C8E851" w14:textId="45CFAF21" w:rsidR="001C45E9" w:rsidRPr="003A2F86" w:rsidRDefault="001C45E9" w:rsidP="001C45E9">
            <w:pPr>
              <w:autoSpaceDE w:val="0"/>
              <w:autoSpaceDN w:val="0"/>
              <w:adjustRightInd w:val="0"/>
              <w:spacing w:after="0" w:line="240" w:lineRule="auto"/>
              <w:jc w:val="center"/>
              <w:rPr>
                <w:rFonts w:ascii="Arial" w:eastAsia="Times New Roman" w:hAnsi="Arial" w:cs="Arial"/>
                <w:sz w:val="16"/>
                <w:szCs w:val="16"/>
              </w:rPr>
            </w:pPr>
            <w:r w:rsidRPr="003A2F86">
              <w:rPr>
                <w:rFonts w:ascii="Arial" w:eastAsia="Times New Roman" w:hAnsi="Arial" w:cs="Arial"/>
                <w:sz w:val="16"/>
                <w:szCs w:val="16"/>
              </w:rPr>
              <w:t>EUR</w:t>
            </w:r>
          </w:p>
        </w:tc>
        <w:tc>
          <w:tcPr>
            <w:tcW w:w="1217" w:type="dxa"/>
            <w:vAlign w:val="center"/>
          </w:tcPr>
          <w:p w14:paraId="2A8523E3" w14:textId="4B7E5563" w:rsidR="001C45E9" w:rsidRPr="003A2F86" w:rsidRDefault="001C45E9" w:rsidP="001C45E9">
            <w:pPr>
              <w:spacing w:after="0" w:line="240" w:lineRule="auto"/>
              <w:jc w:val="center"/>
              <w:rPr>
                <w:rFonts w:ascii="Arial" w:eastAsia="Times New Roman" w:hAnsi="Arial" w:cs="Arial"/>
                <w:iCs/>
                <w:sz w:val="16"/>
                <w:szCs w:val="16"/>
                <w:lang w:eastAsia="en-US"/>
              </w:rPr>
            </w:pPr>
            <w:r>
              <w:rPr>
                <w:rFonts w:ascii="Arial" w:eastAsia="Times New Roman" w:hAnsi="Arial" w:cs="Arial"/>
                <w:iCs/>
                <w:sz w:val="16"/>
                <w:szCs w:val="16"/>
                <w:lang w:eastAsia="en-US"/>
              </w:rPr>
              <w:t>0</w:t>
            </w:r>
          </w:p>
        </w:tc>
        <w:tc>
          <w:tcPr>
            <w:tcW w:w="1316" w:type="dxa"/>
            <w:vAlign w:val="center"/>
          </w:tcPr>
          <w:p w14:paraId="50BE7CFD" w14:textId="751A2D65" w:rsidR="001C45E9" w:rsidRPr="003A2F86" w:rsidRDefault="00CC628A" w:rsidP="001C45E9">
            <w:pPr>
              <w:spacing w:after="0" w:line="240" w:lineRule="auto"/>
              <w:jc w:val="center"/>
              <w:rPr>
                <w:rFonts w:ascii="Arial" w:eastAsia="Times New Roman" w:hAnsi="Arial" w:cs="Arial"/>
                <w:iCs/>
                <w:sz w:val="16"/>
                <w:szCs w:val="16"/>
                <w:lang w:eastAsia="en-US"/>
              </w:rPr>
            </w:pPr>
            <w:r>
              <w:rPr>
                <w:rFonts w:ascii="Arial" w:eastAsia="Times New Roman" w:hAnsi="Arial" w:cs="Arial"/>
                <w:iCs/>
                <w:sz w:val="16"/>
                <w:szCs w:val="16"/>
                <w:lang w:eastAsia="en-US"/>
              </w:rPr>
              <w:t>6.399,33</w:t>
            </w:r>
          </w:p>
        </w:tc>
        <w:tc>
          <w:tcPr>
            <w:tcW w:w="887" w:type="dxa"/>
            <w:vAlign w:val="center"/>
          </w:tcPr>
          <w:p w14:paraId="36CDDCFA" w14:textId="26B9987A" w:rsidR="001C45E9" w:rsidRPr="003A2F86" w:rsidRDefault="001C45E9" w:rsidP="001C45E9">
            <w:pPr>
              <w:spacing w:after="0" w:line="240" w:lineRule="auto"/>
              <w:jc w:val="center"/>
              <w:rPr>
                <w:rFonts w:ascii="Arial" w:eastAsia="Times New Roman" w:hAnsi="Arial" w:cs="Arial"/>
                <w:iCs/>
                <w:sz w:val="16"/>
                <w:szCs w:val="16"/>
                <w:lang w:eastAsia="en-US"/>
              </w:rPr>
            </w:pPr>
          </w:p>
        </w:tc>
        <w:tc>
          <w:tcPr>
            <w:tcW w:w="1397" w:type="dxa"/>
            <w:vAlign w:val="center"/>
          </w:tcPr>
          <w:p w14:paraId="12A32390" w14:textId="41AE07FB" w:rsidR="001C45E9" w:rsidRPr="003A2F86" w:rsidRDefault="00CC628A" w:rsidP="001C45E9">
            <w:pPr>
              <w:spacing w:after="0" w:line="240" w:lineRule="auto"/>
              <w:jc w:val="center"/>
              <w:rPr>
                <w:rFonts w:ascii="Arial" w:eastAsia="Times New Roman" w:hAnsi="Arial" w:cs="Arial"/>
                <w:iCs/>
                <w:sz w:val="16"/>
                <w:szCs w:val="16"/>
                <w:lang w:eastAsia="en-US"/>
              </w:rPr>
            </w:pPr>
            <w:r>
              <w:rPr>
                <w:rFonts w:ascii="Arial" w:eastAsia="Times New Roman" w:hAnsi="Arial" w:cs="Arial"/>
                <w:iCs/>
                <w:sz w:val="16"/>
                <w:szCs w:val="16"/>
                <w:lang w:eastAsia="en-US"/>
              </w:rPr>
              <w:t>6.399,33</w:t>
            </w:r>
          </w:p>
        </w:tc>
      </w:tr>
      <w:tr w:rsidR="001C45E9" w:rsidRPr="003A2F86" w14:paraId="25A99BBD" w14:textId="77777777" w:rsidTr="001C45E9">
        <w:trPr>
          <w:jc w:val="center"/>
        </w:trPr>
        <w:tc>
          <w:tcPr>
            <w:tcW w:w="607" w:type="dxa"/>
            <w:vAlign w:val="center"/>
          </w:tcPr>
          <w:p w14:paraId="552F7EF9" w14:textId="78EE4398" w:rsidR="001C45E9" w:rsidRPr="003A2F86" w:rsidRDefault="001C45E9" w:rsidP="001C45E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2.</w:t>
            </w:r>
          </w:p>
        </w:tc>
        <w:tc>
          <w:tcPr>
            <w:tcW w:w="1783" w:type="dxa"/>
            <w:vAlign w:val="center"/>
          </w:tcPr>
          <w:p w14:paraId="1A26FF0F" w14:textId="3F7B5DE7" w:rsidR="001C45E9" w:rsidRPr="003A2F86" w:rsidRDefault="00CC628A" w:rsidP="001C45E9">
            <w:pPr>
              <w:spacing w:after="0" w:line="240" w:lineRule="auto"/>
              <w:jc w:val="center"/>
              <w:rPr>
                <w:rFonts w:ascii="Arial" w:eastAsia="Times New Roman" w:hAnsi="Arial" w:cs="Arial"/>
                <w:iCs/>
                <w:sz w:val="16"/>
                <w:szCs w:val="16"/>
                <w:lang w:eastAsia="en-US"/>
              </w:rPr>
            </w:pPr>
            <w:r>
              <w:rPr>
                <w:rFonts w:ascii="Arial" w:eastAsia="Times New Roman" w:hAnsi="Arial" w:cs="Arial"/>
                <w:iCs/>
                <w:sz w:val="16"/>
                <w:szCs w:val="16"/>
                <w:lang w:eastAsia="en-US"/>
              </w:rPr>
              <w:t>30</w:t>
            </w:r>
            <w:r w:rsidR="001C45E9" w:rsidRPr="003A2F86">
              <w:rPr>
                <w:rFonts w:ascii="Arial" w:eastAsia="Times New Roman" w:hAnsi="Arial" w:cs="Arial"/>
                <w:iCs/>
                <w:sz w:val="16"/>
                <w:szCs w:val="16"/>
                <w:lang w:eastAsia="en-US"/>
              </w:rPr>
              <w:t>.06.202</w:t>
            </w:r>
            <w:r>
              <w:rPr>
                <w:rFonts w:ascii="Arial" w:eastAsia="Times New Roman" w:hAnsi="Arial" w:cs="Arial"/>
                <w:iCs/>
                <w:sz w:val="16"/>
                <w:szCs w:val="16"/>
                <w:lang w:eastAsia="en-US"/>
              </w:rPr>
              <w:t>5</w:t>
            </w:r>
            <w:r w:rsidR="001C45E9" w:rsidRPr="003A2F86">
              <w:rPr>
                <w:rFonts w:ascii="Arial" w:eastAsia="Times New Roman" w:hAnsi="Arial" w:cs="Arial"/>
                <w:iCs/>
                <w:sz w:val="16"/>
                <w:szCs w:val="16"/>
                <w:lang w:eastAsia="en-US"/>
              </w:rPr>
              <w:t>.</w:t>
            </w:r>
            <w:r>
              <w:rPr>
                <w:rFonts w:ascii="Arial" w:eastAsia="Times New Roman" w:hAnsi="Arial" w:cs="Arial"/>
                <w:iCs/>
                <w:sz w:val="16"/>
                <w:szCs w:val="16"/>
                <w:lang w:eastAsia="en-US"/>
              </w:rPr>
              <w:t>.</w:t>
            </w:r>
          </w:p>
        </w:tc>
        <w:tc>
          <w:tcPr>
            <w:tcW w:w="2404" w:type="dxa"/>
            <w:vAlign w:val="center"/>
          </w:tcPr>
          <w:p w14:paraId="6513ABCD" w14:textId="36BFE6F0" w:rsidR="001C45E9" w:rsidRPr="003A2F86" w:rsidRDefault="001C45E9" w:rsidP="001C45E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sz w:val="16"/>
                <w:szCs w:val="16"/>
              </w:rPr>
              <w:t>Konavosko komunalno društvo d.o.o. Čilipi</w:t>
            </w:r>
          </w:p>
        </w:tc>
        <w:tc>
          <w:tcPr>
            <w:tcW w:w="2047" w:type="dxa"/>
            <w:vAlign w:val="center"/>
          </w:tcPr>
          <w:p w14:paraId="3EB2D102" w14:textId="7B0B670A" w:rsidR="001C45E9" w:rsidRPr="003A2F86" w:rsidRDefault="001C45E9" w:rsidP="001C45E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sz w:val="16"/>
                <w:szCs w:val="16"/>
              </w:rPr>
              <w:t>Erste&amp;Steiermärkische Bank d.d. Rijeka</w:t>
            </w:r>
          </w:p>
        </w:tc>
        <w:tc>
          <w:tcPr>
            <w:tcW w:w="827" w:type="dxa"/>
            <w:vAlign w:val="center"/>
          </w:tcPr>
          <w:p w14:paraId="6D090507" w14:textId="7F7CF360" w:rsidR="001C45E9" w:rsidRPr="003A2F86" w:rsidRDefault="001C45E9" w:rsidP="001C45E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sz w:val="16"/>
                <w:szCs w:val="16"/>
              </w:rPr>
              <w:t>EUR</w:t>
            </w:r>
          </w:p>
        </w:tc>
        <w:tc>
          <w:tcPr>
            <w:tcW w:w="1217" w:type="dxa"/>
            <w:vAlign w:val="center"/>
          </w:tcPr>
          <w:p w14:paraId="0E12CC71" w14:textId="2750F461" w:rsidR="001C45E9" w:rsidRPr="003A2F86" w:rsidRDefault="001C45E9" w:rsidP="001C45E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29.695,35</w:t>
            </w:r>
          </w:p>
        </w:tc>
        <w:tc>
          <w:tcPr>
            <w:tcW w:w="1316" w:type="dxa"/>
            <w:vAlign w:val="center"/>
          </w:tcPr>
          <w:p w14:paraId="0239B7F0" w14:textId="1CC997E5" w:rsidR="001C45E9" w:rsidRPr="003A2F86" w:rsidRDefault="00CC628A" w:rsidP="001C45E9">
            <w:pPr>
              <w:spacing w:after="0" w:line="240" w:lineRule="auto"/>
              <w:jc w:val="center"/>
              <w:rPr>
                <w:rFonts w:ascii="Arial" w:eastAsia="Times New Roman" w:hAnsi="Arial" w:cs="Arial"/>
                <w:iCs/>
                <w:sz w:val="16"/>
                <w:szCs w:val="16"/>
                <w:lang w:eastAsia="en-US"/>
              </w:rPr>
            </w:pPr>
            <w:r>
              <w:rPr>
                <w:rFonts w:ascii="Arial" w:eastAsia="Times New Roman" w:hAnsi="Arial" w:cs="Arial"/>
                <w:iCs/>
                <w:sz w:val="16"/>
                <w:szCs w:val="16"/>
                <w:lang w:eastAsia="en-US"/>
              </w:rPr>
              <w:t>2.463,48</w:t>
            </w:r>
          </w:p>
        </w:tc>
        <w:tc>
          <w:tcPr>
            <w:tcW w:w="887" w:type="dxa"/>
            <w:vAlign w:val="center"/>
          </w:tcPr>
          <w:p w14:paraId="7B521E18" w14:textId="4892D33B" w:rsidR="001C45E9" w:rsidRPr="003A2F86" w:rsidRDefault="001C45E9" w:rsidP="001C45E9">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w:t>
            </w:r>
          </w:p>
        </w:tc>
        <w:tc>
          <w:tcPr>
            <w:tcW w:w="1397" w:type="dxa"/>
            <w:vAlign w:val="center"/>
          </w:tcPr>
          <w:p w14:paraId="1859697F" w14:textId="3883124B" w:rsidR="001C45E9" w:rsidRPr="003A2F86" w:rsidRDefault="00CC628A" w:rsidP="001C45E9">
            <w:pPr>
              <w:spacing w:after="0" w:line="240" w:lineRule="auto"/>
              <w:jc w:val="center"/>
              <w:rPr>
                <w:rFonts w:ascii="Arial" w:eastAsia="Times New Roman" w:hAnsi="Arial" w:cs="Arial"/>
                <w:iCs/>
                <w:sz w:val="16"/>
                <w:szCs w:val="16"/>
                <w:lang w:eastAsia="en-US"/>
              </w:rPr>
            </w:pPr>
            <w:r>
              <w:rPr>
                <w:rFonts w:ascii="Arial" w:eastAsia="Times New Roman" w:hAnsi="Arial" w:cs="Arial"/>
                <w:iCs/>
                <w:sz w:val="16"/>
                <w:szCs w:val="16"/>
                <w:lang w:eastAsia="en-US"/>
              </w:rPr>
              <w:t>32.158,83</w:t>
            </w:r>
          </w:p>
        </w:tc>
      </w:tr>
      <w:tr w:rsidR="0097437D" w:rsidRPr="003A2F86" w14:paraId="122B23D5" w14:textId="77777777" w:rsidTr="001C45E9">
        <w:trPr>
          <w:jc w:val="center"/>
        </w:trPr>
        <w:tc>
          <w:tcPr>
            <w:tcW w:w="607" w:type="dxa"/>
            <w:vAlign w:val="center"/>
          </w:tcPr>
          <w:p w14:paraId="76C878A6" w14:textId="77777777" w:rsidR="0097437D" w:rsidRPr="003A2F86" w:rsidRDefault="0097437D" w:rsidP="0097437D">
            <w:pPr>
              <w:spacing w:after="0" w:line="240" w:lineRule="auto"/>
              <w:jc w:val="center"/>
              <w:rPr>
                <w:rFonts w:ascii="Arial" w:eastAsia="Times New Roman" w:hAnsi="Arial" w:cs="Arial"/>
                <w:b/>
                <w:iCs/>
                <w:sz w:val="18"/>
                <w:szCs w:val="16"/>
                <w:lang w:eastAsia="en-US"/>
              </w:rPr>
            </w:pPr>
          </w:p>
        </w:tc>
        <w:tc>
          <w:tcPr>
            <w:tcW w:w="7061" w:type="dxa"/>
            <w:gridSpan w:val="4"/>
            <w:vAlign w:val="center"/>
          </w:tcPr>
          <w:p w14:paraId="03C97417" w14:textId="70F8BC0A" w:rsidR="0097437D" w:rsidRPr="003A2F86" w:rsidRDefault="0097437D" w:rsidP="0097437D">
            <w:pPr>
              <w:spacing w:after="0" w:line="240" w:lineRule="auto"/>
              <w:rPr>
                <w:rFonts w:ascii="Arial" w:eastAsia="Times New Roman" w:hAnsi="Arial" w:cs="Arial"/>
                <w:b/>
                <w:iCs/>
                <w:sz w:val="18"/>
                <w:szCs w:val="16"/>
                <w:lang w:eastAsia="en-US"/>
              </w:rPr>
            </w:pPr>
            <w:r w:rsidRPr="003A2F86">
              <w:rPr>
                <w:rFonts w:ascii="Arial" w:eastAsia="Times New Roman" w:hAnsi="Arial" w:cs="Arial"/>
                <w:b/>
                <w:iCs/>
                <w:sz w:val="18"/>
                <w:szCs w:val="16"/>
                <w:lang w:eastAsia="en-US"/>
              </w:rPr>
              <w:t xml:space="preserve">SVEUKUPNO </w:t>
            </w:r>
          </w:p>
        </w:tc>
        <w:tc>
          <w:tcPr>
            <w:tcW w:w="1217" w:type="dxa"/>
            <w:vAlign w:val="center"/>
          </w:tcPr>
          <w:p w14:paraId="62774C87" w14:textId="18BB0BAA" w:rsidR="0097437D" w:rsidRPr="003A2F86" w:rsidRDefault="0097437D" w:rsidP="0097437D">
            <w:pPr>
              <w:spacing w:after="0" w:line="240" w:lineRule="auto"/>
              <w:jc w:val="center"/>
              <w:rPr>
                <w:rFonts w:ascii="Arial" w:eastAsia="Times New Roman" w:hAnsi="Arial" w:cs="Arial"/>
                <w:b/>
                <w:iCs/>
                <w:sz w:val="18"/>
                <w:szCs w:val="16"/>
                <w:lang w:eastAsia="en-US"/>
              </w:rPr>
            </w:pPr>
            <w:r w:rsidRPr="003A2F86">
              <w:rPr>
                <w:rFonts w:ascii="Arial" w:eastAsia="Times New Roman" w:hAnsi="Arial" w:cs="Arial"/>
                <w:b/>
                <w:iCs/>
                <w:sz w:val="18"/>
                <w:szCs w:val="16"/>
                <w:lang w:eastAsia="en-US"/>
              </w:rPr>
              <w:fldChar w:fldCharType="begin"/>
            </w:r>
            <w:r w:rsidRPr="003A2F86">
              <w:rPr>
                <w:rFonts w:ascii="Arial" w:eastAsia="Times New Roman" w:hAnsi="Arial" w:cs="Arial"/>
                <w:b/>
                <w:iCs/>
                <w:sz w:val="18"/>
                <w:szCs w:val="16"/>
                <w:lang w:eastAsia="en-US"/>
              </w:rPr>
              <w:instrText xml:space="preserve"> =SUM(ABOVE) </w:instrText>
            </w:r>
            <w:r w:rsidRPr="003A2F86">
              <w:rPr>
                <w:rFonts w:ascii="Arial" w:eastAsia="Times New Roman" w:hAnsi="Arial" w:cs="Arial"/>
                <w:b/>
                <w:iCs/>
                <w:sz w:val="18"/>
                <w:szCs w:val="16"/>
                <w:lang w:eastAsia="en-US"/>
              </w:rPr>
              <w:fldChar w:fldCharType="separate"/>
            </w:r>
            <w:r w:rsidR="00CC628A">
              <w:rPr>
                <w:rFonts w:ascii="Arial" w:eastAsia="Times New Roman" w:hAnsi="Arial" w:cs="Arial"/>
                <w:b/>
                <w:iCs/>
                <w:noProof/>
                <w:sz w:val="18"/>
                <w:szCs w:val="16"/>
                <w:lang w:eastAsia="en-US"/>
              </w:rPr>
              <w:t>29.695,35</w:t>
            </w:r>
            <w:r w:rsidRPr="003A2F86">
              <w:rPr>
                <w:rFonts w:ascii="Arial" w:eastAsia="Times New Roman" w:hAnsi="Arial" w:cs="Arial"/>
                <w:b/>
                <w:iCs/>
                <w:sz w:val="18"/>
                <w:szCs w:val="16"/>
                <w:lang w:eastAsia="en-US"/>
              </w:rPr>
              <w:fldChar w:fldCharType="end"/>
            </w:r>
          </w:p>
        </w:tc>
        <w:tc>
          <w:tcPr>
            <w:tcW w:w="1316" w:type="dxa"/>
            <w:vAlign w:val="center"/>
          </w:tcPr>
          <w:p w14:paraId="15BFBD66" w14:textId="5CA4E88D" w:rsidR="0097437D" w:rsidRPr="003A2F86" w:rsidRDefault="0097437D" w:rsidP="0097437D">
            <w:pPr>
              <w:spacing w:after="0" w:line="240" w:lineRule="auto"/>
              <w:jc w:val="center"/>
              <w:rPr>
                <w:rFonts w:ascii="Arial" w:eastAsia="Times New Roman" w:hAnsi="Arial" w:cs="Arial"/>
                <w:b/>
                <w:iCs/>
                <w:sz w:val="18"/>
                <w:szCs w:val="16"/>
                <w:lang w:eastAsia="en-US"/>
              </w:rPr>
            </w:pPr>
            <w:r w:rsidRPr="003A2F86">
              <w:rPr>
                <w:rFonts w:ascii="Arial" w:eastAsia="Times New Roman" w:hAnsi="Arial" w:cs="Arial"/>
                <w:b/>
                <w:iCs/>
                <w:sz w:val="18"/>
                <w:szCs w:val="16"/>
                <w:lang w:eastAsia="en-US"/>
              </w:rPr>
              <w:fldChar w:fldCharType="begin"/>
            </w:r>
            <w:r w:rsidRPr="003A2F86">
              <w:rPr>
                <w:rFonts w:ascii="Arial" w:eastAsia="Times New Roman" w:hAnsi="Arial" w:cs="Arial"/>
                <w:b/>
                <w:iCs/>
                <w:sz w:val="18"/>
                <w:szCs w:val="16"/>
                <w:lang w:eastAsia="en-US"/>
              </w:rPr>
              <w:instrText xml:space="preserve"> =SUM(above) </w:instrText>
            </w:r>
            <w:r w:rsidRPr="003A2F86">
              <w:rPr>
                <w:rFonts w:ascii="Arial" w:eastAsia="Times New Roman" w:hAnsi="Arial" w:cs="Arial"/>
                <w:b/>
                <w:iCs/>
                <w:sz w:val="18"/>
                <w:szCs w:val="16"/>
                <w:lang w:eastAsia="en-US"/>
              </w:rPr>
              <w:fldChar w:fldCharType="separate"/>
            </w:r>
            <w:r w:rsidR="00CC628A">
              <w:rPr>
                <w:rFonts w:ascii="Arial" w:eastAsia="Times New Roman" w:hAnsi="Arial" w:cs="Arial"/>
                <w:b/>
                <w:iCs/>
                <w:noProof/>
                <w:sz w:val="18"/>
                <w:szCs w:val="16"/>
                <w:lang w:eastAsia="en-US"/>
              </w:rPr>
              <w:t>8.862,81</w:t>
            </w:r>
            <w:r w:rsidRPr="003A2F86">
              <w:rPr>
                <w:rFonts w:ascii="Arial" w:eastAsia="Times New Roman" w:hAnsi="Arial" w:cs="Arial"/>
                <w:b/>
                <w:iCs/>
                <w:sz w:val="18"/>
                <w:szCs w:val="16"/>
                <w:lang w:eastAsia="en-US"/>
              </w:rPr>
              <w:fldChar w:fldCharType="end"/>
            </w:r>
          </w:p>
        </w:tc>
        <w:tc>
          <w:tcPr>
            <w:tcW w:w="887" w:type="dxa"/>
            <w:vAlign w:val="center"/>
          </w:tcPr>
          <w:p w14:paraId="77D1AA2C" w14:textId="4801EF68" w:rsidR="0097437D" w:rsidRPr="003A2F86" w:rsidRDefault="0097437D" w:rsidP="0097437D">
            <w:pPr>
              <w:spacing w:after="0" w:line="240" w:lineRule="auto"/>
              <w:jc w:val="center"/>
              <w:rPr>
                <w:rFonts w:ascii="Arial" w:eastAsia="Times New Roman" w:hAnsi="Arial" w:cs="Arial"/>
                <w:b/>
                <w:iCs/>
                <w:sz w:val="18"/>
                <w:szCs w:val="16"/>
                <w:lang w:eastAsia="en-US"/>
              </w:rPr>
            </w:pPr>
          </w:p>
        </w:tc>
        <w:tc>
          <w:tcPr>
            <w:tcW w:w="1397" w:type="dxa"/>
            <w:vAlign w:val="center"/>
          </w:tcPr>
          <w:p w14:paraId="417A5C0F" w14:textId="16548F86" w:rsidR="0097437D" w:rsidRPr="003A2F86" w:rsidRDefault="0097437D" w:rsidP="0097437D">
            <w:pPr>
              <w:spacing w:after="0" w:line="240" w:lineRule="auto"/>
              <w:jc w:val="center"/>
              <w:rPr>
                <w:rFonts w:ascii="Arial" w:eastAsia="Times New Roman" w:hAnsi="Arial" w:cs="Arial"/>
                <w:b/>
                <w:iCs/>
                <w:sz w:val="18"/>
                <w:szCs w:val="16"/>
                <w:lang w:eastAsia="en-US"/>
              </w:rPr>
            </w:pPr>
            <w:r w:rsidRPr="003A2F86">
              <w:rPr>
                <w:rFonts w:ascii="Arial" w:eastAsia="Times New Roman" w:hAnsi="Arial" w:cs="Arial"/>
                <w:b/>
                <w:iCs/>
                <w:sz w:val="18"/>
                <w:szCs w:val="16"/>
                <w:lang w:eastAsia="en-US"/>
              </w:rPr>
              <w:fldChar w:fldCharType="begin"/>
            </w:r>
            <w:r w:rsidRPr="003A2F86">
              <w:rPr>
                <w:rFonts w:ascii="Arial" w:eastAsia="Times New Roman" w:hAnsi="Arial" w:cs="Arial"/>
                <w:b/>
                <w:iCs/>
                <w:sz w:val="18"/>
                <w:szCs w:val="16"/>
                <w:lang w:eastAsia="en-US"/>
              </w:rPr>
              <w:instrText xml:space="preserve"> =SUM(above) </w:instrText>
            </w:r>
            <w:r w:rsidRPr="003A2F86">
              <w:rPr>
                <w:rFonts w:ascii="Arial" w:eastAsia="Times New Roman" w:hAnsi="Arial" w:cs="Arial"/>
                <w:b/>
                <w:iCs/>
                <w:sz w:val="18"/>
                <w:szCs w:val="16"/>
                <w:lang w:eastAsia="en-US"/>
              </w:rPr>
              <w:fldChar w:fldCharType="separate"/>
            </w:r>
            <w:r w:rsidR="00CC628A">
              <w:rPr>
                <w:rFonts w:ascii="Arial" w:eastAsia="Times New Roman" w:hAnsi="Arial" w:cs="Arial"/>
                <w:b/>
                <w:iCs/>
                <w:noProof/>
                <w:sz w:val="18"/>
                <w:szCs w:val="16"/>
                <w:lang w:eastAsia="en-US"/>
              </w:rPr>
              <w:t>38.558,16</w:t>
            </w:r>
            <w:r w:rsidRPr="003A2F86">
              <w:rPr>
                <w:rFonts w:ascii="Arial" w:eastAsia="Times New Roman" w:hAnsi="Arial" w:cs="Arial"/>
                <w:b/>
                <w:iCs/>
                <w:sz w:val="18"/>
                <w:szCs w:val="16"/>
                <w:lang w:eastAsia="en-US"/>
              </w:rPr>
              <w:fldChar w:fldCharType="end"/>
            </w:r>
          </w:p>
        </w:tc>
      </w:tr>
    </w:tbl>
    <w:p w14:paraId="35E3ABA7" w14:textId="77777777" w:rsidR="00642202" w:rsidRPr="003A2F86" w:rsidRDefault="00642202" w:rsidP="00C37D13">
      <w:pPr>
        <w:spacing w:after="0" w:line="240" w:lineRule="auto"/>
        <w:jc w:val="both"/>
        <w:rPr>
          <w:rFonts w:ascii="Arial" w:eastAsia="Times New Roman" w:hAnsi="Arial" w:cs="Arial"/>
          <w:iCs/>
          <w:sz w:val="18"/>
          <w:szCs w:val="18"/>
          <w:lang w:eastAsia="en-US"/>
        </w:rPr>
      </w:pPr>
    </w:p>
    <w:p w14:paraId="7F29D602" w14:textId="77777777" w:rsidR="0097437D" w:rsidRPr="00EB650B" w:rsidRDefault="00101923" w:rsidP="00C37D13">
      <w:pPr>
        <w:spacing w:after="0" w:line="240" w:lineRule="auto"/>
        <w:jc w:val="both"/>
        <w:rPr>
          <w:rFonts w:ascii="Arial" w:eastAsia="Times New Roman" w:hAnsi="Arial" w:cs="Arial"/>
          <w:iCs/>
          <w:sz w:val="20"/>
          <w:szCs w:val="20"/>
          <w:lang w:eastAsia="en-US"/>
        </w:rPr>
      </w:pPr>
      <w:r w:rsidRPr="00EB650B">
        <w:rPr>
          <w:rFonts w:ascii="Arial" w:eastAsia="Times New Roman" w:hAnsi="Arial" w:cs="Arial"/>
          <w:b/>
          <w:bCs/>
          <w:iCs/>
          <w:sz w:val="20"/>
          <w:szCs w:val="20"/>
          <w:lang w:eastAsia="en-US"/>
        </w:rPr>
        <w:t>U poslovnim knjigama se ne evidentiraju potraživanja po protestiranim jamstvima već se izdvajanja evidentiraju na temelju ugovora kao kapitalna pomoć s obzirom da se radi o ulaganjima u imovinu</w:t>
      </w:r>
      <w:r w:rsidR="00BE15EE" w:rsidRPr="00EB650B">
        <w:rPr>
          <w:rFonts w:ascii="Arial" w:eastAsia="Times New Roman" w:hAnsi="Arial" w:cs="Arial"/>
          <w:b/>
          <w:bCs/>
          <w:iCs/>
          <w:sz w:val="20"/>
          <w:szCs w:val="20"/>
          <w:lang w:eastAsia="en-US"/>
        </w:rPr>
        <w:t xml:space="preserve"> od značajnog interesa za stanovništvo Općine</w:t>
      </w:r>
      <w:r w:rsidRPr="00EB650B">
        <w:rPr>
          <w:rFonts w:ascii="Arial" w:eastAsia="Times New Roman" w:hAnsi="Arial" w:cs="Arial"/>
          <w:iCs/>
          <w:sz w:val="20"/>
          <w:szCs w:val="20"/>
          <w:lang w:eastAsia="en-US"/>
        </w:rPr>
        <w:t>.</w:t>
      </w:r>
    </w:p>
    <w:p w14:paraId="63D86D8E" w14:textId="7FFF000F" w:rsidR="00C37D13" w:rsidRPr="003A2F86" w:rsidRDefault="0097437D" w:rsidP="00C37D13">
      <w:pPr>
        <w:spacing w:after="0" w:line="240" w:lineRule="auto"/>
        <w:jc w:val="both"/>
        <w:rPr>
          <w:rFonts w:ascii="Arial" w:eastAsia="Times New Roman" w:hAnsi="Arial" w:cs="Arial"/>
          <w:iCs/>
          <w:lang w:eastAsia="en-US"/>
        </w:rPr>
      </w:pPr>
      <w:r w:rsidRPr="00EB650B">
        <w:rPr>
          <w:rFonts w:ascii="Arial" w:eastAsia="Times New Roman" w:hAnsi="Arial" w:cs="Arial"/>
          <w:iCs/>
          <w:sz w:val="20"/>
          <w:szCs w:val="20"/>
          <w:lang w:eastAsia="en-US"/>
        </w:rPr>
        <w:t xml:space="preserve">Koncem </w:t>
      </w:r>
      <w:r w:rsidR="001A49BF">
        <w:rPr>
          <w:rFonts w:ascii="Arial" w:eastAsia="Times New Roman" w:hAnsi="Arial" w:cs="Arial"/>
          <w:iCs/>
          <w:sz w:val="20"/>
          <w:szCs w:val="20"/>
          <w:lang w:eastAsia="en-US"/>
        </w:rPr>
        <w:t xml:space="preserve">lipnja </w:t>
      </w:r>
      <w:r w:rsidRPr="00EB650B">
        <w:rPr>
          <w:rFonts w:ascii="Arial" w:eastAsia="Times New Roman" w:hAnsi="Arial" w:cs="Arial"/>
          <w:iCs/>
          <w:sz w:val="20"/>
          <w:szCs w:val="20"/>
          <w:lang w:eastAsia="en-US"/>
        </w:rPr>
        <w:t>202</w:t>
      </w:r>
      <w:r w:rsidR="001A49BF">
        <w:rPr>
          <w:rFonts w:ascii="Arial" w:eastAsia="Times New Roman" w:hAnsi="Arial" w:cs="Arial"/>
          <w:iCs/>
          <w:sz w:val="20"/>
          <w:szCs w:val="20"/>
          <w:lang w:eastAsia="en-US"/>
        </w:rPr>
        <w:t>5</w:t>
      </w:r>
      <w:r w:rsidRPr="00EB650B">
        <w:rPr>
          <w:rFonts w:ascii="Arial" w:eastAsia="Times New Roman" w:hAnsi="Arial" w:cs="Arial"/>
          <w:iCs/>
          <w:sz w:val="20"/>
          <w:szCs w:val="20"/>
          <w:lang w:eastAsia="en-US"/>
        </w:rPr>
        <w:t xml:space="preserve">. godine </w:t>
      </w:r>
      <w:r w:rsidR="00083BF2">
        <w:rPr>
          <w:rFonts w:ascii="Arial" w:eastAsia="Times New Roman" w:hAnsi="Arial" w:cs="Arial"/>
          <w:iCs/>
          <w:sz w:val="20"/>
          <w:szCs w:val="20"/>
          <w:lang w:eastAsia="en-US"/>
        </w:rPr>
        <w:t xml:space="preserve">nema </w:t>
      </w:r>
      <w:r w:rsidRPr="00EB650B">
        <w:rPr>
          <w:rFonts w:ascii="Arial" w:eastAsia="Times New Roman" w:hAnsi="Arial" w:cs="Arial"/>
          <w:iCs/>
          <w:sz w:val="20"/>
          <w:szCs w:val="20"/>
          <w:lang w:eastAsia="en-US"/>
        </w:rPr>
        <w:t>evidentiran</w:t>
      </w:r>
      <w:r w:rsidR="00083BF2">
        <w:rPr>
          <w:rFonts w:ascii="Arial" w:eastAsia="Times New Roman" w:hAnsi="Arial" w:cs="Arial"/>
          <w:iCs/>
          <w:sz w:val="20"/>
          <w:szCs w:val="20"/>
          <w:lang w:eastAsia="en-US"/>
        </w:rPr>
        <w:t>ih</w:t>
      </w:r>
      <w:r w:rsidRPr="00EB650B">
        <w:rPr>
          <w:rFonts w:ascii="Arial" w:eastAsia="Times New Roman" w:hAnsi="Arial" w:cs="Arial"/>
          <w:iCs/>
          <w:sz w:val="20"/>
          <w:szCs w:val="20"/>
          <w:lang w:eastAsia="en-US"/>
        </w:rPr>
        <w:t xml:space="preserve"> obvez</w:t>
      </w:r>
      <w:r w:rsidR="00083BF2">
        <w:rPr>
          <w:rFonts w:ascii="Arial" w:eastAsia="Times New Roman" w:hAnsi="Arial" w:cs="Arial"/>
          <w:iCs/>
          <w:sz w:val="20"/>
          <w:szCs w:val="20"/>
          <w:lang w:eastAsia="en-US"/>
        </w:rPr>
        <w:t>a</w:t>
      </w:r>
      <w:r w:rsidRPr="00EB650B">
        <w:rPr>
          <w:rFonts w:ascii="Arial" w:eastAsia="Times New Roman" w:hAnsi="Arial" w:cs="Arial"/>
          <w:iCs/>
          <w:sz w:val="20"/>
          <w:szCs w:val="20"/>
          <w:lang w:eastAsia="en-US"/>
        </w:rPr>
        <w:t xml:space="preserve"> za prijenos sredstava komunalnom društvu za povrat obroka kredita.</w:t>
      </w:r>
      <w:r w:rsidR="00101923" w:rsidRPr="003A2F86">
        <w:rPr>
          <w:rFonts w:ascii="Arial" w:eastAsia="Times New Roman" w:hAnsi="Arial" w:cs="Arial"/>
          <w:iCs/>
          <w:lang w:eastAsia="en-US"/>
        </w:rPr>
        <w:t xml:space="preserve"> </w:t>
      </w:r>
      <w:r w:rsidR="00101923" w:rsidRPr="003A2F86">
        <w:rPr>
          <w:rFonts w:ascii="Arial" w:eastAsia="Times New Roman" w:hAnsi="Arial" w:cs="Arial"/>
          <w:iCs/>
          <w:lang w:eastAsia="en-US"/>
        </w:rPr>
        <w:br w:type="page"/>
      </w:r>
    </w:p>
    <w:p w14:paraId="7D51A8B0" w14:textId="77777777" w:rsidR="0052045C" w:rsidRPr="0097437D" w:rsidRDefault="0052045C" w:rsidP="00C37D13">
      <w:pPr>
        <w:spacing w:after="0" w:line="240" w:lineRule="auto"/>
        <w:jc w:val="both"/>
        <w:rPr>
          <w:rFonts w:ascii="Arial" w:eastAsia="Times New Roman" w:hAnsi="Arial" w:cs="Arial"/>
          <w:iCs/>
          <w:lang w:eastAsia="en-US"/>
        </w:rPr>
      </w:pPr>
    </w:p>
    <w:p w14:paraId="58DA55E9" w14:textId="15AD7725" w:rsidR="001B0DED" w:rsidRPr="0097437D" w:rsidRDefault="001B0DED" w:rsidP="001B0DED">
      <w:pPr>
        <w:pStyle w:val="Naslov2"/>
        <w:jc w:val="center"/>
        <w:rPr>
          <w:rFonts w:ascii="Arial" w:eastAsia="Calibri" w:hAnsi="Arial" w:cs="Arial"/>
          <w:sz w:val="22"/>
          <w:szCs w:val="22"/>
          <w:lang w:val="hr-HR"/>
        </w:rPr>
      </w:pPr>
      <w:bookmarkStart w:id="406" w:name="_4.4.__IZVJEŠTAJ"/>
      <w:bookmarkStart w:id="407" w:name="_Toc207707492"/>
      <w:bookmarkEnd w:id="406"/>
      <w:r w:rsidRPr="0097437D">
        <w:rPr>
          <w:rFonts w:ascii="Arial" w:eastAsia="Calibri" w:hAnsi="Arial" w:cs="Arial"/>
          <w:sz w:val="22"/>
          <w:szCs w:val="22"/>
          <w:lang w:val="hr-HR"/>
        </w:rPr>
        <w:t xml:space="preserve">4.4. </w:t>
      </w:r>
      <w:r w:rsidRPr="0097437D">
        <w:rPr>
          <w:rFonts w:ascii="Arial" w:eastAsia="Calibri" w:hAnsi="Arial" w:cs="Arial"/>
          <w:sz w:val="22"/>
          <w:szCs w:val="22"/>
          <w:lang w:val="hr-HR"/>
        </w:rPr>
        <w:tab/>
      </w:r>
      <w:bookmarkStart w:id="408" w:name="Korištenje_EU_sredstava"/>
      <w:bookmarkEnd w:id="408"/>
      <w:r w:rsidRPr="0097437D">
        <w:rPr>
          <w:rFonts w:ascii="Arial" w:eastAsia="Calibri" w:hAnsi="Arial" w:cs="Arial"/>
          <w:sz w:val="22"/>
          <w:szCs w:val="22"/>
          <w:lang w:val="hr-HR"/>
        </w:rPr>
        <w:t>IZVJEŠTAJ O KORIŠTENJU SREDSTAVA FONDOVA EUROPSKE UNIJE</w:t>
      </w:r>
      <w:bookmarkEnd w:id="407"/>
    </w:p>
    <w:p w14:paraId="0A343448" w14:textId="77777777" w:rsidR="0052045C" w:rsidRPr="0097437D" w:rsidRDefault="0052045C" w:rsidP="00C37D13">
      <w:pPr>
        <w:spacing w:after="0" w:line="240" w:lineRule="auto"/>
        <w:jc w:val="both"/>
        <w:rPr>
          <w:rFonts w:ascii="Arial" w:eastAsia="Times New Roman" w:hAnsi="Arial" w:cs="Arial"/>
          <w:iCs/>
          <w:lang w:eastAsia="en-US"/>
        </w:rPr>
      </w:pPr>
    </w:p>
    <w:p w14:paraId="686E8664" w14:textId="2112B984" w:rsidR="0052045C" w:rsidRPr="0097437D" w:rsidRDefault="0052045C" w:rsidP="0052045C">
      <w:pPr>
        <w:autoSpaceDE w:val="0"/>
        <w:autoSpaceDN w:val="0"/>
        <w:adjustRightInd w:val="0"/>
        <w:spacing w:after="0" w:line="240" w:lineRule="auto"/>
        <w:jc w:val="both"/>
        <w:rPr>
          <w:rFonts w:ascii="Arial" w:eastAsia="Calibri" w:hAnsi="Arial" w:cs="Arial"/>
          <w:sz w:val="20"/>
        </w:rPr>
      </w:pPr>
      <w:r w:rsidRPr="0097437D">
        <w:rPr>
          <w:rFonts w:ascii="Arial" w:eastAsia="Calibri" w:hAnsi="Arial" w:cs="Arial"/>
          <w:sz w:val="20"/>
        </w:rPr>
        <w:t>Sukladno odredbama članka 23. i članka 27. Pravilnika o polugodišnjem i godišnjem izvještaju o izvršenju proračuna i financijskog plana</w:t>
      </w:r>
      <w:r w:rsidR="00C543AF" w:rsidRPr="0097437D">
        <w:rPr>
          <w:rFonts w:ascii="Arial" w:eastAsia="Calibri" w:hAnsi="Arial" w:cs="Arial"/>
          <w:sz w:val="20"/>
        </w:rPr>
        <w:t xml:space="preserve"> (NN 85/23)</w:t>
      </w:r>
      <w:r w:rsidRPr="0097437D">
        <w:rPr>
          <w:rFonts w:ascii="Arial" w:eastAsia="Calibri" w:hAnsi="Arial" w:cs="Arial"/>
          <w:sz w:val="20"/>
        </w:rPr>
        <w:t xml:space="preserve">, sastavni dio posebnih izvještaja u godišnjem izvještaju o izvršenju proračuna je </w:t>
      </w:r>
      <w:r w:rsidRPr="0097437D">
        <w:rPr>
          <w:rFonts w:ascii="Arial" w:eastAsia="Calibri" w:hAnsi="Arial" w:cs="Arial"/>
          <w:b/>
          <w:bCs/>
          <w:sz w:val="20"/>
        </w:rPr>
        <w:t>Izvještaj o korištenju sredstava fondova Europske unije</w:t>
      </w:r>
      <w:r w:rsidRPr="0097437D">
        <w:rPr>
          <w:rFonts w:ascii="Arial" w:eastAsia="Calibri" w:hAnsi="Arial" w:cs="Arial"/>
          <w:sz w:val="20"/>
        </w:rPr>
        <w:t xml:space="preserve">. Ovaj izvještaj nije obvezni izvještaj u Polugodišnjem izvještaju o izvršenju proračuna. </w:t>
      </w:r>
    </w:p>
    <w:p w14:paraId="2AFF0E42" w14:textId="77777777" w:rsidR="00AB5F4A" w:rsidRPr="0097437D" w:rsidRDefault="00AB5F4A" w:rsidP="0052045C">
      <w:pPr>
        <w:autoSpaceDE w:val="0"/>
        <w:autoSpaceDN w:val="0"/>
        <w:adjustRightInd w:val="0"/>
        <w:spacing w:after="0" w:line="240" w:lineRule="auto"/>
        <w:jc w:val="both"/>
        <w:rPr>
          <w:rFonts w:ascii="Arial" w:eastAsia="Calibri" w:hAnsi="Arial" w:cs="Arial"/>
          <w:sz w:val="20"/>
        </w:rPr>
      </w:pPr>
    </w:p>
    <w:p w14:paraId="7C8A8CB0" w14:textId="2E1FE41A" w:rsidR="004B52F8" w:rsidRPr="0097437D" w:rsidRDefault="00C24DEB" w:rsidP="0052045C">
      <w:pPr>
        <w:autoSpaceDE w:val="0"/>
        <w:autoSpaceDN w:val="0"/>
        <w:adjustRightInd w:val="0"/>
        <w:spacing w:after="0" w:line="240" w:lineRule="auto"/>
        <w:jc w:val="both"/>
        <w:rPr>
          <w:rFonts w:ascii="Arial" w:eastAsia="Calibri" w:hAnsi="Arial" w:cs="Arial"/>
          <w:b/>
          <w:bCs/>
          <w:sz w:val="20"/>
        </w:rPr>
      </w:pPr>
      <w:bookmarkStart w:id="409" w:name="_Hlk166665601"/>
      <w:r w:rsidRPr="0097437D">
        <w:rPr>
          <w:rFonts w:ascii="Arial" w:eastAsia="Calibri" w:hAnsi="Arial" w:cs="Arial"/>
          <w:b/>
          <w:bCs/>
          <w:i/>
          <w:iCs/>
          <w:sz w:val="20"/>
        </w:rPr>
        <w:t>MODIFICIRANO OBRAČUNSKO NAČELO:</w:t>
      </w:r>
      <w:r w:rsidRPr="0097437D">
        <w:rPr>
          <w:rFonts w:ascii="Arial" w:eastAsia="Calibri" w:hAnsi="Arial" w:cs="Arial"/>
          <w:b/>
          <w:bCs/>
          <w:i/>
          <w:iCs/>
          <w:sz w:val="20"/>
          <w:u w:val="single"/>
        </w:rPr>
        <w:t xml:space="preserve"> </w:t>
      </w:r>
      <w:r w:rsidR="00CB40B8" w:rsidRPr="0097437D">
        <w:rPr>
          <w:rFonts w:ascii="Arial" w:eastAsia="Calibri" w:hAnsi="Arial" w:cs="Arial"/>
          <w:b/>
          <w:bCs/>
          <w:i/>
          <w:iCs/>
          <w:sz w:val="20"/>
          <w:u w:val="single"/>
        </w:rPr>
        <w:t>Prihodi</w:t>
      </w:r>
      <w:r w:rsidR="00CB40B8" w:rsidRPr="0097437D">
        <w:rPr>
          <w:rFonts w:ascii="Arial" w:eastAsia="Calibri" w:hAnsi="Arial" w:cs="Arial"/>
          <w:b/>
          <w:bCs/>
          <w:sz w:val="20"/>
        </w:rPr>
        <w:t xml:space="preserve"> </w:t>
      </w:r>
      <w:r w:rsidRPr="0097437D">
        <w:rPr>
          <w:rFonts w:ascii="Arial" w:eastAsia="Calibri" w:hAnsi="Arial" w:cs="Arial"/>
          <w:b/>
          <w:bCs/>
          <w:sz w:val="20"/>
        </w:rPr>
        <w:t xml:space="preserve">i primici </w:t>
      </w:r>
      <w:r w:rsidR="00CB40B8" w:rsidRPr="0097437D">
        <w:rPr>
          <w:rFonts w:ascii="Arial" w:eastAsia="Calibri" w:hAnsi="Arial" w:cs="Arial"/>
          <w:b/>
          <w:bCs/>
          <w:sz w:val="20"/>
        </w:rPr>
        <w:t>se u poslovnim knjigama</w:t>
      </w:r>
      <w:r w:rsidRPr="0097437D">
        <w:rPr>
          <w:rFonts w:ascii="Arial" w:eastAsia="Calibri" w:hAnsi="Arial" w:cs="Arial"/>
          <w:b/>
          <w:bCs/>
          <w:sz w:val="20"/>
        </w:rPr>
        <w:t xml:space="preserve"> Općine</w:t>
      </w:r>
      <w:r w:rsidR="00CB40B8" w:rsidRPr="0097437D">
        <w:rPr>
          <w:rFonts w:ascii="Arial" w:eastAsia="Calibri" w:hAnsi="Arial" w:cs="Arial"/>
          <w:b/>
          <w:bCs/>
          <w:sz w:val="20"/>
        </w:rPr>
        <w:t xml:space="preserve"> </w:t>
      </w:r>
      <w:r w:rsidR="004B52F8" w:rsidRPr="0097437D">
        <w:rPr>
          <w:rFonts w:ascii="Arial" w:eastAsia="Calibri" w:hAnsi="Arial" w:cs="Arial"/>
          <w:b/>
          <w:bCs/>
          <w:sz w:val="20"/>
        </w:rPr>
        <w:t>iskazuju u izvještajnom razdoblju u kojem su ostvareni</w:t>
      </w:r>
      <w:r w:rsidRPr="0097437D">
        <w:rPr>
          <w:rFonts w:ascii="Arial" w:eastAsia="Calibri" w:hAnsi="Arial" w:cs="Arial"/>
          <w:b/>
          <w:bCs/>
          <w:sz w:val="20"/>
        </w:rPr>
        <w:t xml:space="preserve"> / naplaćeni</w:t>
      </w:r>
      <w:r w:rsidR="004B52F8" w:rsidRPr="0097437D">
        <w:rPr>
          <w:rFonts w:ascii="Arial" w:eastAsia="Calibri" w:hAnsi="Arial" w:cs="Arial"/>
          <w:b/>
          <w:bCs/>
          <w:sz w:val="20"/>
        </w:rPr>
        <w:t xml:space="preserve">, a </w:t>
      </w:r>
      <w:r w:rsidR="004B52F8" w:rsidRPr="0097437D">
        <w:rPr>
          <w:rFonts w:ascii="Arial" w:eastAsia="Calibri" w:hAnsi="Arial" w:cs="Arial"/>
          <w:b/>
          <w:bCs/>
          <w:i/>
          <w:iCs/>
          <w:sz w:val="20"/>
          <w:u w:val="single"/>
        </w:rPr>
        <w:t>rashod</w:t>
      </w:r>
      <w:r w:rsidRPr="0097437D">
        <w:rPr>
          <w:rFonts w:ascii="Arial" w:eastAsia="Calibri" w:hAnsi="Arial" w:cs="Arial"/>
          <w:b/>
          <w:bCs/>
          <w:i/>
          <w:iCs/>
          <w:sz w:val="20"/>
          <w:u w:val="single"/>
        </w:rPr>
        <w:t>i</w:t>
      </w:r>
      <w:r w:rsidR="004B52F8" w:rsidRPr="0097437D">
        <w:rPr>
          <w:rFonts w:ascii="Arial" w:eastAsia="Calibri" w:hAnsi="Arial" w:cs="Arial"/>
          <w:b/>
          <w:bCs/>
          <w:sz w:val="20"/>
        </w:rPr>
        <w:t xml:space="preserve"> se iskazuju u izvještajnom razdoblju u kojem su nastali, neovisno o plaćanju (po modelu nastanka događaja)</w:t>
      </w:r>
      <w:r w:rsidRPr="0097437D">
        <w:rPr>
          <w:rFonts w:ascii="Arial" w:eastAsia="Calibri" w:hAnsi="Arial" w:cs="Arial"/>
          <w:b/>
          <w:bCs/>
          <w:sz w:val="20"/>
        </w:rPr>
        <w:t>, dok se izdaci iskazuju u izvještajnom razdoblju u kojem su plaćeni</w:t>
      </w:r>
      <w:r w:rsidR="004B52F8" w:rsidRPr="0097437D">
        <w:rPr>
          <w:rFonts w:ascii="Arial" w:eastAsia="Calibri" w:hAnsi="Arial" w:cs="Arial"/>
          <w:b/>
          <w:bCs/>
          <w:sz w:val="20"/>
        </w:rPr>
        <w:t>.</w:t>
      </w:r>
    </w:p>
    <w:bookmarkEnd w:id="409"/>
    <w:p w14:paraId="0796F833" w14:textId="6A0C9458" w:rsidR="00CB40B8" w:rsidRPr="0097437D" w:rsidRDefault="00CB40B8" w:rsidP="0052045C">
      <w:pPr>
        <w:autoSpaceDE w:val="0"/>
        <w:autoSpaceDN w:val="0"/>
        <w:adjustRightInd w:val="0"/>
        <w:spacing w:after="0" w:line="240" w:lineRule="auto"/>
        <w:jc w:val="both"/>
        <w:rPr>
          <w:rFonts w:ascii="Arial" w:eastAsia="Calibri" w:hAnsi="Arial" w:cs="Arial"/>
          <w:sz w:val="20"/>
        </w:rPr>
      </w:pPr>
    </w:p>
    <w:p w14:paraId="7326A56F" w14:textId="52DABF4A" w:rsidR="0052045C" w:rsidRPr="0097437D" w:rsidRDefault="0052045C" w:rsidP="0052045C">
      <w:pPr>
        <w:autoSpaceDE w:val="0"/>
        <w:autoSpaceDN w:val="0"/>
        <w:adjustRightInd w:val="0"/>
        <w:spacing w:after="0" w:line="240" w:lineRule="auto"/>
        <w:jc w:val="both"/>
        <w:rPr>
          <w:rFonts w:ascii="Arial" w:eastAsia="Calibri" w:hAnsi="Arial" w:cs="Arial"/>
          <w:sz w:val="20"/>
          <w:szCs w:val="20"/>
        </w:rPr>
      </w:pPr>
      <w:r w:rsidRPr="0097437D">
        <w:rPr>
          <w:rFonts w:ascii="Arial" w:eastAsia="Calibri" w:hAnsi="Arial" w:cs="Arial"/>
          <w:sz w:val="20"/>
        </w:rPr>
        <w:t xml:space="preserve">U nastavku se daju informacije o ostvarenim sredstvima pomoći temeljem prijenosa EU sredstava, o načinu iskazivanja prihoda i rashoda u vezi s pomoćima EU, odnosno njihovom evidentiranju i stanju </w:t>
      </w:r>
      <w:r w:rsidRPr="0097437D">
        <w:rPr>
          <w:rFonts w:ascii="Arial" w:eastAsia="Calibri" w:hAnsi="Arial" w:cs="Arial"/>
          <w:sz w:val="20"/>
          <w:szCs w:val="20"/>
        </w:rPr>
        <w:t>predujmova. Tijekom 202</w:t>
      </w:r>
      <w:r w:rsidR="009A2438" w:rsidRPr="0097437D">
        <w:rPr>
          <w:rFonts w:ascii="Arial" w:eastAsia="Calibri" w:hAnsi="Arial" w:cs="Arial"/>
          <w:sz w:val="20"/>
          <w:szCs w:val="20"/>
        </w:rPr>
        <w:t>4</w:t>
      </w:r>
      <w:r w:rsidRPr="0097437D">
        <w:rPr>
          <w:rFonts w:ascii="Arial" w:eastAsia="Calibri" w:hAnsi="Arial" w:cs="Arial"/>
          <w:sz w:val="20"/>
          <w:szCs w:val="20"/>
        </w:rPr>
        <w:t>. ostvarena su sredstva od pomoći temeljem prijenosa EU sredstava kako slijedi:</w:t>
      </w:r>
      <w:r w:rsidRPr="0097437D">
        <w:rPr>
          <w:sz w:val="20"/>
          <w:szCs w:val="20"/>
        </w:rPr>
        <w:t xml:space="preserve"> </w:t>
      </w:r>
    </w:p>
    <w:p w14:paraId="2CA57DE0" w14:textId="77777777" w:rsidR="0052045C" w:rsidRPr="001D1CC8" w:rsidRDefault="0052045C" w:rsidP="0052045C">
      <w:pPr>
        <w:autoSpaceDE w:val="0"/>
        <w:autoSpaceDN w:val="0"/>
        <w:adjustRightInd w:val="0"/>
        <w:spacing w:after="0" w:line="240" w:lineRule="auto"/>
        <w:jc w:val="both"/>
        <w:rPr>
          <w:rFonts w:ascii="Arial" w:eastAsia="Calibri" w:hAnsi="Arial" w:cs="Arial"/>
          <w:sz w:val="20"/>
          <w:szCs w:val="20"/>
        </w:rPr>
      </w:pPr>
      <w:bookmarkStart w:id="410" w:name="_Hlk166665670"/>
    </w:p>
    <w:p w14:paraId="10ED76CA" w14:textId="36D9A3DE" w:rsidR="004E241C" w:rsidRPr="004E241C" w:rsidRDefault="004E241C" w:rsidP="004E241C">
      <w:pPr>
        <w:numPr>
          <w:ilvl w:val="0"/>
          <w:numId w:val="12"/>
        </w:numPr>
        <w:autoSpaceDE w:val="0"/>
        <w:autoSpaceDN w:val="0"/>
        <w:adjustRightInd w:val="0"/>
        <w:spacing w:after="0" w:line="240" w:lineRule="auto"/>
        <w:jc w:val="both"/>
        <w:rPr>
          <w:rFonts w:ascii="Arial" w:eastAsia="Calibri" w:hAnsi="Arial" w:cs="Arial"/>
          <w:sz w:val="20"/>
          <w:szCs w:val="20"/>
          <w:u w:val="single"/>
          <w:lang w:eastAsia="en-US"/>
        </w:rPr>
      </w:pPr>
      <w:r w:rsidRPr="004E241C">
        <w:rPr>
          <w:rFonts w:ascii="Arial" w:eastAsia="Calibri" w:hAnsi="Arial" w:cs="Arial"/>
          <w:b/>
          <w:sz w:val="20"/>
          <w:szCs w:val="20"/>
          <w:u w:val="single"/>
          <w:lang w:eastAsia="en-US"/>
        </w:rPr>
        <w:t xml:space="preserve">Pomoći od </w:t>
      </w:r>
      <w:r w:rsidR="005A516D" w:rsidRPr="001D1CC8">
        <w:rPr>
          <w:rFonts w:ascii="Arial" w:eastAsia="Calibri" w:hAnsi="Arial" w:cs="Arial"/>
          <w:b/>
          <w:sz w:val="20"/>
          <w:szCs w:val="20"/>
          <w:u w:val="single"/>
          <w:lang w:eastAsia="en-US"/>
        </w:rPr>
        <w:t>inozemnih vlada</w:t>
      </w:r>
      <w:r w:rsidRPr="004E241C">
        <w:rPr>
          <w:rFonts w:ascii="Arial" w:eastAsia="Calibri" w:hAnsi="Arial" w:cs="Arial"/>
          <w:b/>
          <w:sz w:val="20"/>
          <w:szCs w:val="20"/>
          <w:u w:val="single"/>
          <w:lang w:eastAsia="en-US"/>
        </w:rPr>
        <w:t xml:space="preserve"> (</w:t>
      </w:r>
      <w:r w:rsidRPr="004E241C">
        <w:rPr>
          <w:rFonts w:ascii="Arial" w:eastAsia="Calibri" w:hAnsi="Arial" w:cs="Arial"/>
          <w:b/>
          <w:sz w:val="20"/>
          <w:szCs w:val="20"/>
          <w:highlight w:val="yellow"/>
          <w:u w:val="single"/>
          <w:lang w:eastAsia="en-US"/>
        </w:rPr>
        <w:t>63</w:t>
      </w:r>
      <w:r w:rsidR="005A516D" w:rsidRPr="001D1CC8">
        <w:rPr>
          <w:rFonts w:ascii="Arial" w:eastAsia="Calibri" w:hAnsi="Arial" w:cs="Arial"/>
          <w:b/>
          <w:sz w:val="20"/>
          <w:szCs w:val="20"/>
          <w:u w:val="single"/>
          <w:lang w:eastAsia="en-US"/>
        </w:rPr>
        <w:t>1</w:t>
      </w:r>
      <w:r w:rsidRPr="004E241C">
        <w:rPr>
          <w:rFonts w:ascii="Arial" w:eastAsia="Calibri" w:hAnsi="Arial" w:cs="Arial"/>
          <w:b/>
          <w:sz w:val="20"/>
          <w:szCs w:val="20"/>
          <w:u w:val="single"/>
          <w:lang w:eastAsia="en-US"/>
        </w:rPr>
        <w:t xml:space="preserve">), Tekuće pomoći od </w:t>
      </w:r>
      <w:r w:rsidR="005A516D" w:rsidRPr="001D1CC8">
        <w:rPr>
          <w:rFonts w:ascii="Arial" w:eastAsia="Calibri" w:hAnsi="Arial" w:cs="Arial"/>
          <w:b/>
          <w:sz w:val="20"/>
          <w:szCs w:val="20"/>
          <w:u w:val="single"/>
          <w:lang w:eastAsia="en-US"/>
        </w:rPr>
        <w:t>inozemnih vlada</w:t>
      </w:r>
      <w:r w:rsidRPr="004E241C">
        <w:rPr>
          <w:rFonts w:ascii="Arial" w:eastAsia="Calibri" w:hAnsi="Arial" w:cs="Arial"/>
          <w:b/>
          <w:sz w:val="20"/>
          <w:szCs w:val="20"/>
          <w:u w:val="single"/>
          <w:lang w:eastAsia="en-US"/>
        </w:rPr>
        <w:t xml:space="preserve"> (63</w:t>
      </w:r>
      <w:r w:rsidR="005A516D" w:rsidRPr="001D1CC8">
        <w:rPr>
          <w:rFonts w:ascii="Arial" w:eastAsia="Calibri" w:hAnsi="Arial" w:cs="Arial"/>
          <w:b/>
          <w:sz w:val="20"/>
          <w:szCs w:val="20"/>
          <w:u w:val="single"/>
          <w:lang w:eastAsia="en-US"/>
        </w:rPr>
        <w:t>11</w:t>
      </w:r>
      <w:r w:rsidRPr="004E241C">
        <w:rPr>
          <w:rFonts w:ascii="Arial" w:eastAsia="Calibri" w:hAnsi="Arial" w:cs="Arial"/>
          <w:b/>
          <w:sz w:val="20"/>
          <w:szCs w:val="20"/>
          <w:u w:val="single"/>
          <w:lang w:eastAsia="en-US"/>
        </w:rPr>
        <w:t xml:space="preserve">) </w:t>
      </w:r>
      <w:r w:rsidR="005A516D" w:rsidRPr="001D1CC8">
        <w:rPr>
          <w:rFonts w:ascii="Arial" w:eastAsia="Calibri" w:hAnsi="Arial" w:cs="Arial"/>
          <w:b/>
          <w:sz w:val="20"/>
          <w:szCs w:val="20"/>
          <w:u w:val="single"/>
          <w:lang w:eastAsia="en-US"/>
        </w:rPr>
        <w:t>i Kapitalne pomoći od inozemnih vlada (6312)</w:t>
      </w:r>
    </w:p>
    <w:p w14:paraId="00F2D3B7" w14:textId="77777777" w:rsidR="004E241C" w:rsidRPr="004E241C" w:rsidRDefault="004E241C" w:rsidP="004E241C">
      <w:pPr>
        <w:autoSpaceDE w:val="0"/>
        <w:autoSpaceDN w:val="0"/>
        <w:adjustRightInd w:val="0"/>
        <w:spacing w:after="0" w:line="240" w:lineRule="auto"/>
        <w:rPr>
          <w:rFonts w:ascii="Arial" w:eastAsia="Calibri" w:hAnsi="Arial" w:cs="Arial"/>
          <w:sz w:val="20"/>
          <w:szCs w:val="20"/>
        </w:rPr>
      </w:pPr>
    </w:p>
    <w:p w14:paraId="58187DA2" w14:textId="274BA669" w:rsidR="002D3961" w:rsidRPr="00D2370E" w:rsidRDefault="002D3961" w:rsidP="002D3961">
      <w:pPr>
        <w:autoSpaceDE w:val="0"/>
        <w:autoSpaceDN w:val="0"/>
        <w:adjustRightInd w:val="0"/>
        <w:spacing w:after="0" w:line="240" w:lineRule="auto"/>
        <w:jc w:val="both"/>
        <w:rPr>
          <w:rFonts w:ascii="Arial" w:eastAsia="Calibri" w:hAnsi="Arial" w:cs="Arial"/>
          <w:b/>
          <w:color w:val="0070C0"/>
          <w:sz w:val="20"/>
          <w:szCs w:val="20"/>
        </w:rPr>
      </w:pPr>
      <w:r w:rsidRPr="00D2370E">
        <w:rPr>
          <w:rFonts w:ascii="Arial" w:eastAsia="Calibri" w:hAnsi="Arial" w:cs="Arial"/>
          <w:color w:val="0070C0"/>
          <w:sz w:val="20"/>
          <w:szCs w:val="20"/>
        </w:rPr>
        <w:t>U okviru ovih prihoda Općina nije iskazala prihode u prvom polugodištu 2025.</w:t>
      </w:r>
    </w:p>
    <w:p w14:paraId="71940F36" w14:textId="77777777" w:rsidR="002D3961" w:rsidRDefault="002D3961" w:rsidP="004E241C">
      <w:pPr>
        <w:autoSpaceDE w:val="0"/>
        <w:autoSpaceDN w:val="0"/>
        <w:adjustRightInd w:val="0"/>
        <w:spacing w:after="0" w:line="240" w:lineRule="auto"/>
        <w:jc w:val="both"/>
        <w:rPr>
          <w:rFonts w:ascii="Arial" w:eastAsia="Calibri" w:hAnsi="Arial" w:cs="Arial"/>
          <w:sz w:val="20"/>
          <w:szCs w:val="20"/>
        </w:rPr>
      </w:pPr>
    </w:p>
    <w:p w14:paraId="110DA2FA" w14:textId="1CA96DF3" w:rsidR="001D1CC8" w:rsidRDefault="002D3961" w:rsidP="004E241C">
      <w:pPr>
        <w:autoSpaceDE w:val="0"/>
        <w:autoSpaceDN w:val="0"/>
        <w:adjustRightInd w:val="0"/>
        <w:spacing w:after="0" w:line="240" w:lineRule="auto"/>
        <w:jc w:val="both"/>
        <w:rPr>
          <w:rFonts w:ascii="Arial" w:eastAsia="Calibri" w:hAnsi="Arial" w:cs="Arial"/>
          <w:b/>
          <w:sz w:val="20"/>
          <w:szCs w:val="20"/>
        </w:rPr>
      </w:pPr>
      <w:r w:rsidRPr="002D3961">
        <w:rPr>
          <w:rFonts w:ascii="Arial" w:eastAsia="Calibri" w:hAnsi="Arial" w:cs="Arial"/>
          <w:b/>
          <w:bCs/>
          <w:sz w:val="20"/>
          <w:szCs w:val="20"/>
          <w:u w:val="single"/>
        </w:rPr>
        <w:t>2024</w:t>
      </w:r>
      <w:r>
        <w:rPr>
          <w:rFonts w:ascii="Arial" w:eastAsia="Calibri" w:hAnsi="Arial" w:cs="Arial"/>
          <w:sz w:val="20"/>
          <w:szCs w:val="20"/>
        </w:rPr>
        <w:t>. godine u</w:t>
      </w:r>
      <w:r w:rsidR="004E241C" w:rsidRPr="004E241C">
        <w:rPr>
          <w:rFonts w:ascii="Arial" w:eastAsia="Calibri" w:hAnsi="Arial" w:cs="Arial"/>
          <w:sz w:val="20"/>
          <w:szCs w:val="20"/>
        </w:rPr>
        <w:t xml:space="preserve"> okviru ovih prihoda Općina </w:t>
      </w:r>
      <w:r>
        <w:rPr>
          <w:rFonts w:ascii="Arial" w:eastAsia="Calibri" w:hAnsi="Arial" w:cs="Arial"/>
          <w:sz w:val="20"/>
          <w:szCs w:val="20"/>
        </w:rPr>
        <w:t xml:space="preserve">su bili iskazani </w:t>
      </w:r>
      <w:r w:rsidR="004E241C" w:rsidRPr="004E241C">
        <w:rPr>
          <w:rFonts w:ascii="Arial" w:eastAsia="Calibri" w:hAnsi="Arial" w:cs="Arial"/>
          <w:sz w:val="20"/>
          <w:szCs w:val="20"/>
        </w:rPr>
        <w:t>prihod</w:t>
      </w:r>
      <w:r>
        <w:rPr>
          <w:rFonts w:ascii="Arial" w:eastAsia="Calibri" w:hAnsi="Arial" w:cs="Arial"/>
          <w:sz w:val="20"/>
          <w:szCs w:val="20"/>
        </w:rPr>
        <w:t>i</w:t>
      </w:r>
      <w:r w:rsidR="004E241C" w:rsidRPr="004E241C">
        <w:rPr>
          <w:rFonts w:ascii="Arial" w:eastAsia="Calibri" w:hAnsi="Arial" w:cs="Arial"/>
          <w:sz w:val="20"/>
          <w:szCs w:val="20"/>
        </w:rPr>
        <w:t xml:space="preserve"> u iznosu </w:t>
      </w:r>
      <w:r w:rsidR="005A516D" w:rsidRPr="001D1CC8">
        <w:rPr>
          <w:rFonts w:ascii="Arial" w:eastAsia="Calibri" w:hAnsi="Arial" w:cs="Arial"/>
          <w:b/>
          <w:bCs/>
          <w:sz w:val="20"/>
          <w:szCs w:val="20"/>
        </w:rPr>
        <w:t>288.576,59</w:t>
      </w:r>
      <w:r w:rsidR="004E241C" w:rsidRPr="004E241C">
        <w:rPr>
          <w:rFonts w:ascii="Arial" w:eastAsia="Calibri" w:hAnsi="Arial" w:cs="Arial"/>
          <w:b/>
          <w:bCs/>
          <w:sz w:val="20"/>
          <w:szCs w:val="20"/>
        </w:rPr>
        <w:t xml:space="preserve"> € (A.1, A.2</w:t>
      </w:r>
      <w:r w:rsidR="004E241C" w:rsidRPr="004E241C">
        <w:rPr>
          <w:rFonts w:ascii="Arial" w:eastAsia="Calibri" w:hAnsi="Arial" w:cs="Arial"/>
          <w:b/>
          <w:sz w:val="20"/>
          <w:szCs w:val="20"/>
        </w:rPr>
        <w:t>.</w:t>
      </w:r>
      <w:r w:rsidR="005A516D" w:rsidRPr="001D1CC8">
        <w:rPr>
          <w:rFonts w:ascii="Arial" w:eastAsia="Calibri" w:hAnsi="Arial" w:cs="Arial"/>
          <w:b/>
          <w:sz w:val="20"/>
          <w:szCs w:val="20"/>
        </w:rPr>
        <w:t>)</w:t>
      </w:r>
      <w:r w:rsidR="001D1CC8">
        <w:rPr>
          <w:rFonts w:ascii="Arial" w:eastAsia="Calibri" w:hAnsi="Arial" w:cs="Arial"/>
          <w:b/>
          <w:sz w:val="20"/>
          <w:szCs w:val="20"/>
        </w:rPr>
        <w:t>.</w:t>
      </w:r>
    </w:p>
    <w:p w14:paraId="007F76C4" w14:textId="77777777" w:rsidR="001D1CC8" w:rsidRDefault="004E241C" w:rsidP="004E241C">
      <w:pPr>
        <w:autoSpaceDE w:val="0"/>
        <w:autoSpaceDN w:val="0"/>
        <w:adjustRightInd w:val="0"/>
        <w:spacing w:after="0" w:line="240" w:lineRule="auto"/>
        <w:jc w:val="both"/>
        <w:rPr>
          <w:rFonts w:ascii="Arial" w:eastAsia="Times New Roman" w:hAnsi="Arial" w:cs="Arial"/>
          <w:sz w:val="20"/>
          <w:szCs w:val="20"/>
          <w:lang w:eastAsia="en-US"/>
        </w:rPr>
      </w:pPr>
      <w:r w:rsidRPr="004E241C">
        <w:rPr>
          <w:rFonts w:ascii="Arial" w:eastAsia="Times New Roman" w:hAnsi="Arial" w:cs="Arial"/>
          <w:sz w:val="20"/>
          <w:szCs w:val="20"/>
          <w:lang w:eastAsia="en-US"/>
        </w:rPr>
        <w:t>Ostvarena sredstva su evidentirana kao prihodi na</w:t>
      </w:r>
      <w:r w:rsidR="001D1CC8">
        <w:rPr>
          <w:rFonts w:ascii="Arial" w:eastAsia="Times New Roman" w:hAnsi="Arial" w:cs="Arial"/>
          <w:sz w:val="20"/>
          <w:szCs w:val="20"/>
          <w:lang w:eastAsia="en-US"/>
        </w:rPr>
        <w:t>:</w:t>
      </w:r>
    </w:p>
    <w:p w14:paraId="30F4437F" w14:textId="1664EEC9" w:rsidR="001D1CC8" w:rsidRPr="001D1CC8" w:rsidRDefault="004E241C">
      <w:pPr>
        <w:pStyle w:val="Odlomakpopisa"/>
        <w:numPr>
          <w:ilvl w:val="0"/>
          <w:numId w:val="56"/>
        </w:numPr>
        <w:autoSpaceDE w:val="0"/>
        <w:autoSpaceDN w:val="0"/>
        <w:adjustRightInd w:val="0"/>
        <w:rPr>
          <w:rFonts w:ascii="Arial" w:eastAsia="Calibri" w:hAnsi="Arial" w:cs="Arial"/>
          <w:bCs/>
        </w:rPr>
      </w:pPr>
      <w:r w:rsidRPr="001D1CC8">
        <w:rPr>
          <w:rFonts w:ascii="Arial" w:hAnsi="Arial" w:cs="Arial"/>
        </w:rPr>
        <w:t xml:space="preserve">osnovnom računu </w:t>
      </w:r>
      <w:r w:rsidRPr="001D1CC8">
        <w:rPr>
          <w:rFonts w:ascii="Arial" w:hAnsi="Arial" w:cs="Arial"/>
          <w:b/>
          <w:bCs/>
          <w:u w:val="single"/>
        </w:rPr>
        <w:t>63</w:t>
      </w:r>
      <w:r w:rsidR="005A516D" w:rsidRPr="001D1CC8">
        <w:rPr>
          <w:rFonts w:ascii="Arial" w:hAnsi="Arial" w:cs="Arial"/>
          <w:b/>
          <w:bCs/>
          <w:u w:val="single"/>
        </w:rPr>
        <w:t>112</w:t>
      </w:r>
      <w:r w:rsidR="005A516D" w:rsidRPr="001D1CC8">
        <w:rPr>
          <w:rFonts w:ascii="Arial" w:hAnsi="Arial" w:cs="Arial"/>
        </w:rPr>
        <w:t xml:space="preserve"> u iznosu 73.000,00 € (od čega za projekt </w:t>
      </w:r>
      <w:r w:rsidR="005A516D" w:rsidRPr="001D1CC8">
        <w:rPr>
          <w:rFonts w:ascii="Arial" w:eastAsia="Calibri" w:hAnsi="Arial" w:cs="Arial"/>
          <w:b/>
        </w:rPr>
        <w:t xml:space="preserve"> „To 0 waste“ </w:t>
      </w:r>
      <w:r w:rsidR="005A516D" w:rsidRPr="001D1CC8">
        <w:rPr>
          <w:rFonts w:ascii="Arial" w:eastAsia="Calibri" w:hAnsi="Arial" w:cs="Arial"/>
          <w:bCs/>
        </w:rPr>
        <w:t xml:space="preserve">39.000 € i za projekt </w:t>
      </w:r>
      <w:r w:rsidR="005A516D" w:rsidRPr="001D1CC8">
        <w:rPr>
          <w:rFonts w:ascii="Arial" w:eastAsia="Calibri" w:hAnsi="Arial" w:cs="Arial"/>
          <w:b/>
        </w:rPr>
        <w:t>WATERLINK</w:t>
      </w:r>
      <w:r w:rsidR="005A516D" w:rsidRPr="001D1CC8">
        <w:rPr>
          <w:rFonts w:ascii="Arial" w:eastAsia="Calibri" w:hAnsi="Arial" w:cs="Arial"/>
          <w:bCs/>
        </w:rPr>
        <w:t xml:space="preserve"> 34.000 €), te na </w:t>
      </w:r>
    </w:p>
    <w:p w14:paraId="7EB0CD06" w14:textId="2966A4E6" w:rsidR="004E241C" w:rsidRPr="001D1CC8" w:rsidRDefault="005A516D">
      <w:pPr>
        <w:pStyle w:val="Odlomakpopisa"/>
        <w:numPr>
          <w:ilvl w:val="0"/>
          <w:numId w:val="56"/>
        </w:numPr>
        <w:autoSpaceDE w:val="0"/>
        <w:autoSpaceDN w:val="0"/>
        <w:adjustRightInd w:val="0"/>
        <w:rPr>
          <w:rFonts w:ascii="Arial" w:eastAsia="Calibri" w:hAnsi="Arial" w:cs="Arial"/>
          <w:bCs/>
        </w:rPr>
      </w:pPr>
      <w:r w:rsidRPr="001D1CC8">
        <w:rPr>
          <w:rFonts w:ascii="Arial" w:hAnsi="Arial" w:cs="Arial"/>
        </w:rPr>
        <w:t xml:space="preserve">osnovnom računu </w:t>
      </w:r>
      <w:r w:rsidRPr="001D1CC8">
        <w:rPr>
          <w:rFonts w:ascii="Arial" w:hAnsi="Arial" w:cs="Arial"/>
          <w:b/>
          <w:bCs/>
          <w:u w:val="single"/>
        </w:rPr>
        <w:t>63122</w:t>
      </w:r>
      <w:r w:rsidRPr="001D1CC8">
        <w:rPr>
          <w:rFonts w:ascii="Arial" w:hAnsi="Arial" w:cs="Arial"/>
        </w:rPr>
        <w:t xml:space="preserve"> u iznosu 215.576,59 € (od čega za projekt </w:t>
      </w:r>
      <w:r w:rsidRPr="001D1CC8">
        <w:rPr>
          <w:rFonts w:ascii="Arial" w:eastAsia="Calibri" w:hAnsi="Arial" w:cs="Arial"/>
          <w:b/>
        </w:rPr>
        <w:t xml:space="preserve"> „To 0 waste“ </w:t>
      </w:r>
      <w:r w:rsidRPr="001D1CC8">
        <w:rPr>
          <w:rFonts w:ascii="Arial" w:eastAsia="Calibri" w:hAnsi="Arial" w:cs="Arial"/>
          <w:bCs/>
        </w:rPr>
        <w:t xml:space="preserve">115.743,59 € i za projekt </w:t>
      </w:r>
      <w:r w:rsidRPr="001D1CC8">
        <w:rPr>
          <w:rFonts w:ascii="Arial" w:eastAsia="Calibri" w:hAnsi="Arial" w:cs="Arial"/>
          <w:b/>
        </w:rPr>
        <w:t>WATERLINK</w:t>
      </w:r>
      <w:r w:rsidRPr="001D1CC8">
        <w:rPr>
          <w:rFonts w:ascii="Arial" w:eastAsia="Calibri" w:hAnsi="Arial" w:cs="Arial"/>
          <w:bCs/>
        </w:rPr>
        <w:t xml:space="preserve"> 99.833,00 €). </w:t>
      </w:r>
    </w:p>
    <w:p w14:paraId="5FB64C33" w14:textId="77777777" w:rsidR="004E241C" w:rsidRPr="004E241C" w:rsidRDefault="004E241C" w:rsidP="004E241C">
      <w:pPr>
        <w:spacing w:after="0" w:line="240" w:lineRule="auto"/>
        <w:jc w:val="both"/>
        <w:rPr>
          <w:rFonts w:ascii="Arial" w:eastAsia="Calibri" w:hAnsi="Arial" w:cs="Arial"/>
          <w:sz w:val="20"/>
          <w:szCs w:val="20"/>
        </w:rPr>
      </w:pPr>
    </w:p>
    <w:p w14:paraId="6F9630FE" w14:textId="73E89C03" w:rsidR="004E241C" w:rsidRPr="004E241C" w:rsidRDefault="004E241C" w:rsidP="004E241C">
      <w:pPr>
        <w:spacing w:after="0" w:line="240" w:lineRule="auto"/>
        <w:jc w:val="both"/>
        <w:rPr>
          <w:rFonts w:ascii="Arial" w:eastAsia="Calibri" w:hAnsi="Arial" w:cs="Arial"/>
          <w:sz w:val="20"/>
          <w:szCs w:val="20"/>
        </w:rPr>
      </w:pPr>
      <w:r w:rsidRPr="004E241C">
        <w:rPr>
          <w:rFonts w:ascii="Arial" w:eastAsia="Calibri" w:hAnsi="Arial" w:cs="Arial"/>
          <w:sz w:val="20"/>
          <w:szCs w:val="20"/>
        </w:rPr>
        <w:t xml:space="preserve">U 2024. godine odobrena su </w:t>
      </w:r>
      <w:r w:rsidR="005A516D" w:rsidRPr="001D1CC8">
        <w:rPr>
          <w:rFonts w:ascii="Arial" w:eastAsia="Calibri" w:hAnsi="Arial" w:cs="Arial"/>
          <w:sz w:val="20"/>
          <w:szCs w:val="20"/>
        </w:rPr>
        <w:t>dva</w:t>
      </w:r>
      <w:r w:rsidRPr="004E241C">
        <w:rPr>
          <w:rFonts w:ascii="Arial" w:eastAsia="Calibri" w:hAnsi="Arial" w:cs="Arial"/>
          <w:sz w:val="20"/>
          <w:szCs w:val="20"/>
        </w:rPr>
        <w:t xml:space="preserve"> projekta iz programa prekogranične suradnje</w:t>
      </w:r>
      <w:r w:rsidR="005A516D" w:rsidRPr="001D1CC8">
        <w:rPr>
          <w:rFonts w:ascii="Arial" w:eastAsia="Calibri" w:hAnsi="Arial" w:cs="Arial"/>
          <w:sz w:val="20"/>
          <w:szCs w:val="20"/>
        </w:rPr>
        <w:t xml:space="preserve"> kod kojih je glavni projektni partner iz susjednih država (Bosna i Hercegovina, te Crna Gora). </w:t>
      </w:r>
      <w:r w:rsidRPr="004E241C">
        <w:rPr>
          <w:rFonts w:ascii="Arial" w:eastAsia="Calibri" w:hAnsi="Arial" w:cs="Arial"/>
          <w:sz w:val="20"/>
          <w:szCs w:val="20"/>
        </w:rPr>
        <w:t>Do konca 2024. godine</w:t>
      </w:r>
      <w:r w:rsidR="005A516D" w:rsidRPr="001D1CC8">
        <w:rPr>
          <w:rFonts w:ascii="Arial" w:eastAsia="Calibri" w:hAnsi="Arial" w:cs="Arial"/>
          <w:sz w:val="20"/>
          <w:szCs w:val="20"/>
        </w:rPr>
        <w:t xml:space="preserve"> </w:t>
      </w:r>
      <w:r w:rsidRPr="004E241C">
        <w:rPr>
          <w:rFonts w:ascii="Arial" w:eastAsia="Calibri" w:hAnsi="Arial" w:cs="Arial"/>
          <w:sz w:val="20"/>
          <w:szCs w:val="20"/>
        </w:rPr>
        <w:t xml:space="preserve">su zaključeni ugovori </w:t>
      </w:r>
      <w:r w:rsidR="005A516D" w:rsidRPr="001D1CC8">
        <w:rPr>
          <w:rFonts w:ascii="Arial" w:eastAsia="Calibri" w:hAnsi="Arial" w:cs="Arial"/>
          <w:sz w:val="20"/>
          <w:szCs w:val="20"/>
        </w:rPr>
        <w:t>i</w:t>
      </w:r>
      <w:r w:rsidRPr="004E241C">
        <w:rPr>
          <w:rFonts w:ascii="Arial" w:eastAsia="Calibri" w:hAnsi="Arial" w:cs="Arial"/>
          <w:sz w:val="20"/>
          <w:szCs w:val="20"/>
        </w:rPr>
        <w:t xml:space="preserve"> doznačena</w:t>
      </w:r>
      <w:r w:rsidR="005A516D" w:rsidRPr="001D1CC8">
        <w:rPr>
          <w:rFonts w:ascii="Arial" w:eastAsia="Calibri" w:hAnsi="Arial" w:cs="Arial"/>
          <w:sz w:val="20"/>
          <w:szCs w:val="20"/>
        </w:rPr>
        <w:t xml:space="preserve"> su</w:t>
      </w:r>
      <w:r w:rsidRPr="004E241C">
        <w:rPr>
          <w:rFonts w:ascii="Arial" w:eastAsia="Calibri" w:hAnsi="Arial" w:cs="Arial"/>
          <w:sz w:val="20"/>
          <w:szCs w:val="20"/>
        </w:rPr>
        <w:t xml:space="preserve"> sredstva</w:t>
      </w:r>
      <w:r w:rsidR="005A516D" w:rsidRPr="001D1CC8">
        <w:rPr>
          <w:rFonts w:ascii="Arial" w:eastAsia="Calibri" w:hAnsi="Arial" w:cs="Arial"/>
          <w:sz w:val="20"/>
          <w:szCs w:val="20"/>
        </w:rPr>
        <w:t xml:space="preserve"> predujmova za oba projekta. Sredstva su doznačena u jednom iznosu</w:t>
      </w:r>
      <w:r w:rsidR="00783C8D" w:rsidRPr="001D1CC8">
        <w:rPr>
          <w:rFonts w:ascii="Arial" w:eastAsia="Calibri" w:hAnsi="Arial" w:cs="Arial"/>
          <w:sz w:val="20"/>
          <w:szCs w:val="20"/>
        </w:rPr>
        <w:t>, a podjela prihoda na tekuće i kapitalne je obavljena procjenom sukladno planiranim troškovima projekta.</w:t>
      </w:r>
    </w:p>
    <w:p w14:paraId="6FE272C3" w14:textId="77777777" w:rsidR="004E241C" w:rsidRPr="004E241C" w:rsidRDefault="004E241C" w:rsidP="004E241C">
      <w:pPr>
        <w:spacing w:after="0" w:line="240" w:lineRule="auto"/>
        <w:jc w:val="both"/>
        <w:rPr>
          <w:rFonts w:ascii="Arial" w:eastAsia="Calibri" w:hAnsi="Arial" w:cs="Arial"/>
          <w:sz w:val="20"/>
          <w:szCs w:val="20"/>
        </w:rPr>
      </w:pPr>
    </w:p>
    <w:p w14:paraId="5D5991A8" w14:textId="75EF3DC6" w:rsidR="004E241C" w:rsidRPr="004E241C" w:rsidRDefault="004E241C" w:rsidP="004E241C">
      <w:pPr>
        <w:spacing w:after="0" w:line="240" w:lineRule="auto"/>
        <w:jc w:val="both"/>
        <w:rPr>
          <w:rFonts w:ascii="Arial" w:eastAsia="Calibri" w:hAnsi="Arial" w:cs="Arial"/>
          <w:bCs/>
          <w:sz w:val="20"/>
          <w:szCs w:val="20"/>
        </w:rPr>
      </w:pPr>
      <w:r w:rsidRPr="004E241C">
        <w:rPr>
          <w:rFonts w:ascii="Arial" w:eastAsia="Calibri" w:hAnsi="Arial" w:cs="Arial"/>
          <w:b/>
          <w:sz w:val="20"/>
          <w:szCs w:val="20"/>
        </w:rPr>
        <w:t xml:space="preserve">A.1) </w:t>
      </w:r>
      <w:r w:rsidRPr="004E241C">
        <w:rPr>
          <w:rFonts w:ascii="Arial" w:eastAsia="Calibri" w:hAnsi="Arial" w:cs="Arial"/>
          <w:b/>
          <w:sz w:val="20"/>
          <w:szCs w:val="20"/>
        </w:rPr>
        <w:tab/>
        <w:t xml:space="preserve">„To 0 waste“ – </w:t>
      </w:r>
      <w:r w:rsidRPr="004E241C">
        <w:rPr>
          <w:rFonts w:ascii="Arial" w:eastAsia="Calibri" w:hAnsi="Arial" w:cs="Arial"/>
          <w:bCs/>
          <w:sz w:val="20"/>
          <w:szCs w:val="20"/>
        </w:rPr>
        <w:t xml:space="preserve">maksimalna vrijednost projekta </w:t>
      </w:r>
      <w:r w:rsidR="001D1CC8" w:rsidRPr="001D1CC8">
        <w:rPr>
          <w:rFonts w:ascii="Arial" w:eastAsia="Calibri" w:hAnsi="Arial" w:cs="Arial"/>
          <w:bCs/>
          <w:sz w:val="20"/>
          <w:szCs w:val="20"/>
        </w:rPr>
        <w:t>622.125</w:t>
      </w:r>
      <w:r w:rsidRPr="004E241C">
        <w:rPr>
          <w:rFonts w:ascii="Arial" w:eastAsia="Calibri" w:hAnsi="Arial" w:cs="Arial"/>
          <w:bCs/>
          <w:sz w:val="20"/>
          <w:szCs w:val="20"/>
        </w:rPr>
        <w:t xml:space="preserve"> €, od čega </w:t>
      </w:r>
      <w:r w:rsidRPr="00501674">
        <w:rPr>
          <w:rFonts w:ascii="Arial" w:eastAsia="Calibri" w:hAnsi="Arial" w:cs="Arial"/>
          <w:b/>
          <w:i/>
          <w:iCs/>
          <w:sz w:val="20"/>
          <w:szCs w:val="20"/>
        </w:rPr>
        <w:t>očekivana vrijednost sufinanciranja EU iznosi 85%</w:t>
      </w:r>
      <w:r w:rsidR="001D1CC8" w:rsidRPr="00501674">
        <w:rPr>
          <w:rFonts w:ascii="Arial" w:eastAsia="Calibri" w:hAnsi="Arial" w:cs="Arial"/>
          <w:b/>
          <w:i/>
          <w:iCs/>
          <w:sz w:val="20"/>
          <w:szCs w:val="20"/>
        </w:rPr>
        <w:t xml:space="preserve"> odnosno 528.806,25</w:t>
      </w:r>
      <w:r w:rsidR="001D1CC8" w:rsidRPr="001D1CC8">
        <w:rPr>
          <w:rFonts w:ascii="Arial" w:eastAsia="Calibri" w:hAnsi="Arial" w:cs="Arial"/>
          <w:bCs/>
          <w:sz w:val="20"/>
          <w:szCs w:val="20"/>
        </w:rPr>
        <w:t xml:space="preserve"> €.</w:t>
      </w:r>
    </w:p>
    <w:p w14:paraId="4B36645D" w14:textId="77777777" w:rsidR="001D1CC8" w:rsidRDefault="001D1CC8" w:rsidP="00783C8D">
      <w:pPr>
        <w:spacing w:after="0" w:line="240" w:lineRule="auto"/>
        <w:jc w:val="both"/>
        <w:rPr>
          <w:rFonts w:ascii="Arial" w:eastAsia="Calibri" w:hAnsi="Arial" w:cs="Arial"/>
          <w:bCs/>
          <w:sz w:val="20"/>
          <w:szCs w:val="20"/>
        </w:rPr>
      </w:pPr>
    </w:p>
    <w:p w14:paraId="03820375" w14:textId="77777777" w:rsidR="00703E28" w:rsidRPr="00703E28" w:rsidRDefault="00703E28" w:rsidP="00703E28">
      <w:pPr>
        <w:spacing w:after="0" w:line="240" w:lineRule="auto"/>
        <w:jc w:val="both"/>
        <w:rPr>
          <w:rFonts w:ascii="Arial" w:eastAsia="Calibri" w:hAnsi="Arial" w:cs="Arial"/>
          <w:bCs/>
          <w:sz w:val="20"/>
          <w:szCs w:val="20"/>
        </w:rPr>
      </w:pPr>
      <w:r w:rsidRPr="00703E28">
        <w:rPr>
          <w:rFonts w:ascii="Arial" w:eastAsia="Calibri" w:hAnsi="Arial" w:cs="Arial"/>
          <w:b/>
          <w:sz w:val="20"/>
          <w:szCs w:val="20"/>
        </w:rPr>
        <w:t>Naziv projekta</w:t>
      </w:r>
      <w:r w:rsidRPr="00703E28">
        <w:rPr>
          <w:rFonts w:ascii="Arial" w:eastAsia="Calibri" w:hAnsi="Arial" w:cs="Arial"/>
          <w:bCs/>
          <w:sz w:val="20"/>
          <w:szCs w:val="20"/>
        </w:rPr>
        <w:t>: Toward Zero Waste CBC (TO 0 WASTE)</w:t>
      </w:r>
    </w:p>
    <w:p w14:paraId="6E745F3F" w14:textId="77777777" w:rsidR="00703E28" w:rsidRPr="00703E28" w:rsidRDefault="00703E28" w:rsidP="00703E28">
      <w:pPr>
        <w:spacing w:after="0" w:line="240" w:lineRule="auto"/>
        <w:jc w:val="both"/>
        <w:rPr>
          <w:rFonts w:ascii="Arial" w:eastAsia="Calibri" w:hAnsi="Arial" w:cs="Arial"/>
          <w:bCs/>
          <w:sz w:val="20"/>
          <w:szCs w:val="20"/>
        </w:rPr>
      </w:pPr>
      <w:r w:rsidRPr="00703E28">
        <w:rPr>
          <w:rFonts w:ascii="Arial" w:eastAsia="Calibri" w:hAnsi="Arial" w:cs="Arial"/>
          <w:b/>
          <w:sz w:val="20"/>
          <w:szCs w:val="20"/>
        </w:rPr>
        <w:t>Glavni cilj projekta</w:t>
      </w:r>
      <w:r w:rsidRPr="00703E28">
        <w:rPr>
          <w:rFonts w:ascii="Arial" w:eastAsia="Calibri" w:hAnsi="Arial" w:cs="Arial"/>
          <w:bCs/>
          <w:sz w:val="20"/>
          <w:szCs w:val="20"/>
        </w:rPr>
        <w:t>: Unaprijediti kružno i resursno učinkovito gospodarstvo kroz smanjenje otpada na odlagalištima, povećanje odvojenog prikupljanja otpada i smanjenje divljih odlagališta u Općini Tuzi, Općini Konavle i Gradu Mostaru.</w:t>
      </w:r>
    </w:p>
    <w:p w14:paraId="2F7EE4E1" w14:textId="77777777" w:rsidR="00703E28" w:rsidRPr="00703E28" w:rsidRDefault="00703E28" w:rsidP="00703E28">
      <w:pPr>
        <w:spacing w:after="0" w:line="240" w:lineRule="auto"/>
        <w:jc w:val="both"/>
        <w:rPr>
          <w:rFonts w:ascii="Arial" w:eastAsia="Calibri" w:hAnsi="Arial" w:cs="Arial"/>
          <w:bCs/>
          <w:sz w:val="20"/>
          <w:szCs w:val="20"/>
        </w:rPr>
      </w:pPr>
      <w:r w:rsidRPr="00703E28">
        <w:rPr>
          <w:rFonts w:ascii="Arial" w:eastAsia="Calibri" w:hAnsi="Arial" w:cs="Arial"/>
          <w:b/>
          <w:sz w:val="20"/>
          <w:szCs w:val="20"/>
        </w:rPr>
        <w:t>Prioritetna os programa</w:t>
      </w:r>
      <w:r w:rsidRPr="00703E28">
        <w:rPr>
          <w:rFonts w:ascii="Arial" w:eastAsia="Calibri" w:hAnsi="Arial" w:cs="Arial"/>
          <w:bCs/>
          <w:sz w:val="20"/>
          <w:szCs w:val="20"/>
        </w:rPr>
        <w:t>: Prioritetna os 2 – Zelena ulaganja u zaštitu okoliša i učinkovito upravljanje rizicima</w:t>
      </w:r>
    </w:p>
    <w:p w14:paraId="769D520F" w14:textId="77777777" w:rsidR="00703E28" w:rsidRPr="00703E28" w:rsidRDefault="00703E28" w:rsidP="00703E28">
      <w:pPr>
        <w:spacing w:after="0" w:line="240" w:lineRule="auto"/>
        <w:jc w:val="both"/>
        <w:rPr>
          <w:rFonts w:ascii="Arial" w:eastAsia="Calibri" w:hAnsi="Arial" w:cs="Arial"/>
          <w:bCs/>
          <w:sz w:val="20"/>
          <w:szCs w:val="20"/>
        </w:rPr>
      </w:pPr>
      <w:r w:rsidRPr="00703E28">
        <w:rPr>
          <w:rFonts w:ascii="Arial" w:eastAsia="Calibri" w:hAnsi="Arial" w:cs="Arial"/>
          <w:b/>
          <w:sz w:val="20"/>
          <w:szCs w:val="20"/>
        </w:rPr>
        <w:t>Opis projekta</w:t>
      </w:r>
      <w:r w:rsidRPr="00703E28">
        <w:rPr>
          <w:rFonts w:ascii="Arial" w:eastAsia="Calibri" w:hAnsi="Arial" w:cs="Arial"/>
          <w:bCs/>
          <w:sz w:val="20"/>
          <w:szCs w:val="20"/>
        </w:rPr>
        <w:t>:</w:t>
      </w:r>
    </w:p>
    <w:p w14:paraId="0C620682" w14:textId="77777777" w:rsidR="00703E28" w:rsidRPr="00703E28" w:rsidRDefault="00703E28" w:rsidP="00703E28">
      <w:pPr>
        <w:spacing w:after="0" w:line="240" w:lineRule="auto"/>
        <w:jc w:val="both"/>
        <w:rPr>
          <w:rFonts w:ascii="Arial" w:eastAsia="Calibri" w:hAnsi="Arial" w:cs="Arial"/>
          <w:bCs/>
          <w:sz w:val="20"/>
          <w:szCs w:val="20"/>
        </w:rPr>
      </w:pPr>
      <w:r w:rsidRPr="00703E28">
        <w:rPr>
          <w:rFonts w:ascii="Arial" w:eastAsia="Calibri" w:hAnsi="Arial" w:cs="Arial"/>
          <w:bCs/>
          <w:sz w:val="20"/>
          <w:szCs w:val="20"/>
        </w:rPr>
        <w:t>Projekt TO 0 WASTE fokusira se na izazove u gospodarenju otpadom, uključujući slabu tehničku i kadrovsku opremljenost komunalnih poduzeća, financijske probleme i nisku razinu recikliranja. Ograničeni kapaciteti odlagališta i divlja odlagališta dodatno otežavaju situaciju, dok javnost ima nisku svijest o važnosti pravilnog zbrinjavanja otpada. Partneri – Općina Tuzi, Općina Konavle i Grad Mostar – radit će na zajedničkom rješavanju ovih problema, koristeći iskustva Općine Konavle koja ima napredniji sustav.</w:t>
      </w:r>
    </w:p>
    <w:p w14:paraId="7C728D0C" w14:textId="77777777" w:rsidR="00703E28" w:rsidRPr="00703E28" w:rsidRDefault="00703E28" w:rsidP="00703E28">
      <w:pPr>
        <w:spacing w:after="0" w:line="240" w:lineRule="auto"/>
        <w:jc w:val="both"/>
        <w:rPr>
          <w:rFonts w:ascii="Arial" w:eastAsia="Calibri" w:hAnsi="Arial" w:cs="Arial"/>
          <w:bCs/>
          <w:sz w:val="20"/>
          <w:szCs w:val="20"/>
        </w:rPr>
      </w:pPr>
      <w:r w:rsidRPr="00703E28">
        <w:rPr>
          <w:rFonts w:ascii="Arial" w:eastAsia="Calibri" w:hAnsi="Arial" w:cs="Arial"/>
          <w:b/>
          <w:sz w:val="20"/>
          <w:szCs w:val="20"/>
        </w:rPr>
        <w:t>Očekivani ključni rezultati projekta</w:t>
      </w:r>
      <w:r w:rsidRPr="00703E28">
        <w:rPr>
          <w:rFonts w:ascii="Arial" w:eastAsia="Calibri" w:hAnsi="Arial" w:cs="Arial"/>
          <w:bCs/>
          <w:sz w:val="20"/>
          <w:szCs w:val="20"/>
        </w:rPr>
        <w:t>:</w:t>
      </w:r>
    </w:p>
    <w:p w14:paraId="5199F78D" w14:textId="77777777" w:rsidR="00703E28" w:rsidRPr="00703E28" w:rsidRDefault="00703E28" w:rsidP="00703E28">
      <w:pPr>
        <w:spacing w:after="0" w:line="240" w:lineRule="auto"/>
        <w:jc w:val="both"/>
        <w:rPr>
          <w:rFonts w:ascii="Arial" w:eastAsia="Calibri" w:hAnsi="Arial" w:cs="Arial"/>
          <w:bCs/>
          <w:sz w:val="20"/>
          <w:szCs w:val="20"/>
        </w:rPr>
      </w:pPr>
      <w:r w:rsidRPr="00703E28">
        <w:rPr>
          <w:rFonts w:ascii="Arial" w:eastAsia="Calibri" w:hAnsi="Arial" w:cs="Arial"/>
          <w:bCs/>
          <w:sz w:val="20"/>
          <w:szCs w:val="20"/>
        </w:rPr>
        <w:lastRenderedPageBreak/>
        <w:t>Implementacija rješenja za unapređenje odvojenog prikupljanja otpada i sanaciju divljih odlagališta testirat će se kroz pilot akcije u Mostaru, Konavlima i Tuzima. Očekuje se povećanje prikupljenog odvojenog otpada i smanjenje divljih odlagališta, dok će Planovi gospodarenja čvrstim otpadom za razdoblje 2025.-2030. dokumentirati rezultate pilot akcija.</w:t>
      </w:r>
    </w:p>
    <w:p w14:paraId="1ABAAF2C" w14:textId="77777777" w:rsidR="00703E28" w:rsidRPr="00703E28" w:rsidRDefault="00703E28" w:rsidP="00703E28">
      <w:pPr>
        <w:spacing w:after="0" w:line="240" w:lineRule="auto"/>
        <w:jc w:val="both"/>
        <w:rPr>
          <w:rFonts w:ascii="Arial" w:eastAsia="Calibri" w:hAnsi="Arial" w:cs="Arial"/>
          <w:bCs/>
          <w:sz w:val="20"/>
          <w:szCs w:val="20"/>
        </w:rPr>
      </w:pPr>
    </w:p>
    <w:p w14:paraId="2D23120C" w14:textId="01AFB5A1" w:rsidR="008B12ED" w:rsidRDefault="00703E28" w:rsidP="00703E28">
      <w:pPr>
        <w:spacing w:after="0" w:line="240" w:lineRule="auto"/>
        <w:jc w:val="both"/>
        <w:rPr>
          <w:rFonts w:ascii="Arial" w:eastAsia="Calibri" w:hAnsi="Arial" w:cs="Arial"/>
          <w:bCs/>
          <w:sz w:val="20"/>
          <w:szCs w:val="20"/>
        </w:rPr>
      </w:pPr>
      <w:r w:rsidRPr="00703E28">
        <w:rPr>
          <w:rFonts w:ascii="Arial" w:eastAsia="Calibri" w:hAnsi="Arial" w:cs="Arial"/>
          <w:b/>
          <w:sz w:val="20"/>
          <w:szCs w:val="20"/>
        </w:rPr>
        <w:t>Projektno partnerstvo</w:t>
      </w:r>
      <w:r w:rsidRPr="00703E28">
        <w:rPr>
          <w:rFonts w:ascii="Arial" w:eastAsia="Calibri" w:hAnsi="Arial" w:cs="Arial"/>
          <w:bCs/>
          <w:sz w:val="20"/>
          <w:szCs w:val="20"/>
        </w:rPr>
        <w:t>:</w:t>
      </w:r>
      <w:r>
        <w:rPr>
          <w:rFonts w:ascii="Arial" w:eastAsia="Calibri" w:hAnsi="Arial" w:cs="Arial"/>
          <w:bCs/>
          <w:sz w:val="20"/>
          <w:szCs w:val="20"/>
        </w:rPr>
        <w:t xml:space="preserve"> </w:t>
      </w:r>
      <w:r w:rsidRPr="00703E28">
        <w:rPr>
          <w:rFonts w:ascii="Arial" w:eastAsia="Calibri" w:hAnsi="Arial" w:cs="Arial"/>
          <w:bCs/>
          <w:sz w:val="20"/>
          <w:szCs w:val="20"/>
        </w:rPr>
        <w:t>Projektno partnerstvo uključuje tri lokalne samouprave: Općinu Tuzi kao vodećeg partnera, Općinu Konavle i Grad Mostar. Svaka općina će doprinijeti opremanju svojih komunalnih poduzeća specijaliziranom opremom i vozilima za odvojeno prikupljanje otpada te čišćenje divljih odlagališta.</w:t>
      </w:r>
    </w:p>
    <w:p w14:paraId="5A34FBDE" w14:textId="77777777" w:rsidR="008B12ED" w:rsidRDefault="008B12ED" w:rsidP="00783C8D">
      <w:pPr>
        <w:spacing w:after="0" w:line="240" w:lineRule="auto"/>
        <w:jc w:val="both"/>
        <w:rPr>
          <w:rFonts w:ascii="Arial" w:eastAsia="Calibri" w:hAnsi="Arial" w:cs="Arial"/>
          <w:bCs/>
          <w:sz w:val="20"/>
          <w:szCs w:val="20"/>
        </w:rPr>
      </w:pPr>
    </w:p>
    <w:p w14:paraId="036FDEAB" w14:textId="77777777" w:rsidR="00703E28" w:rsidRPr="001D1CC8" w:rsidRDefault="00703E28" w:rsidP="00703E28">
      <w:pPr>
        <w:spacing w:after="0" w:line="240" w:lineRule="auto"/>
        <w:jc w:val="both"/>
        <w:rPr>
          <w:rFonts w:ascii="Arial" w:eastAsia="Calibri" w:hAnsi="Arial" w:cs="Arial"/>
          <w:bCs/>
          <w:sz w:val="20"/>
          <w:szCs w:val="20"/>
        </w:rPr>
      </w:pPr>
      <w:r w:rsidRPr="001D1CC8">
        <w:rPr>
          <w:rFonts w:ascii="Arial" w:eastAsia="Calibri" w:hAnsi="Arial" w:cs="Arial"/>
          <w:bCs/>
          <w:sz w:val="20"/>
          <w:szCs w:val="20"/>
        </w:rPr>
        <w:t>Projektom “TO 0 WASTE” Općina Konavle nastavlja promicati održivo i odgovorno upravljanje otpadom, očuvanje okoliša te prelazak na kružnu ekonomiju u Općini Konavle, a sve kako bi se podigla kvaliteta javnog prostora i poboljšao život svih stanovnika. Ukupan projektni proračun Općine Konavle iznosi 622.125,00 €.</w:t>
      </w:r>
    </w:p>
    <w:p w14:paraId="75BDF16D" w14:textId="77777777" w:rsidR="00703E28" w:rsidRPr="001D1CC8" w:rsidRDefault="00703E28" w:rsidP="00703E28">
      <w:pPr>
        <w:spacing w:after="0" w:line="240" w:lineRule="auto"/>
        <w:jc w:val="both"/>
        <w:rPr>
          <w:rFonts w:ascii="Arial" w:eastAsia="Calibri" w:hAnsi="Arial" w:cs="Arial"/>
          <w:bCs/>
          <w:sz w:val="20"/>
          <w:szCs w:val="20"/>
        </w:rPr>
      </w:pPr>
      <w:r w:rsidRPr="001D1CC8">
        <w:rPr>
          <w:rFonts w:ascii="Arial" w:eastAsia="Calibri" w:hAnsi="Arial" w:cs="Arial"/>
          <w:bCs/>
          <w:sz w:val="20"/>
          <w:szCs w:val="20"/>
        </w:rPr>
        <w:t>Vodeći projektni partner je Općina Tuzi (MNE). Ugovor s partnerima je zaključen u srpnju / kolovozu 2024. godine. Trajanje provedbe projekta je od 15.7.2024.-14.01.2027.</w:t>
      </w:r>
    </w:p>
    <w:p w14:paraId="12E3E25A" w14:textId="77777777" w:rsidR="00703E28" w:rsidRPr="001D1CC8" w:rsidRDefault="00703E28" w:rsidP="00703E28">
      <w:pPr>
        <w:spacing w:after="0" w:line="240" w:lineRule="auto"/>
        <w:jc w:val="both"/>
        <w:rPr>
          <w:rFonts w:ascii="Arial" w:eastAsia="Calibri" w:hAnsi="Arial" w:cs="Arial"/>
          <w:bCs/>
          <w:sz w:val="20"/>
          <w:szCs w:val="20"/>
        </w:rPr>
      </w:pPr>
      <w:r w:rsidRPr="00501674">
        <w:rPr>
          <w:rFonts w:ascii="Arial" w:eastAsia="Calibri" w:hAnsi="Arial" w:cs="Arial"/>
          <w:b/>
          <w:sz w:val="20"/>
          <w:szCs w:val="20"/>
        </w:rPr>
        <w:t>Predujam</w:t>
      </w:r>
      <w:r w:rsidRPr="001D1CC8">
        <w:rPr>
          <w:rFonts w:ascii="Arial" w:eastAsia="Calibri" w:hAnsi="Arial" w:cs="Arial"/>
          <w:bCs/>
          <w:sz w:val="20"/>
          <w:szCs w:val="20"/>
        </w:rPr>
        <w:t xml:space="preserve"> za provedbu projekta za doznačen u rujnu 2024. godine u iznosu </w:t>
      </w:r>
      <w:r w:rsidRPr="00501674">
        <w:rPr>
          <w:rFonts w:ascii="Arial" w:eastAsia="Calibri" w:hAnsi="Arial" w:cs="Arial"/>
          <w:b/>
          <w:sz w:val="20"/>
          <w:szCs w:val="20"/>
        </w:rPr>
        <w:t>154.743,59 €</w:t>
      </w:r>
      <w:r w:rsidRPr="001D1CC8">
        <w:rPr>
          <w:rFonts w:ascii="Arial" w:eastAsia="Calibri" w:hAnsi="Arial" w:cs="Arial"/>
          <w:bCs/>
          <w:sz w:val="20"/>
          <w:szCs w:val="20"/>
        </w:rPr>
        <w:t>, od čega je evidentirano kao tekuća pomoć 39.000 €, a 115.743,59 € kao kapitalna pomoć.</w:t>
      </w:r>
      <w:r w:rsidRPr="001D1CC8">
        <w:rPr>
          <w:rFonts w:ascii="Arial" w:eastAsia="Calibri" w:hAnsi="Arial" w:cs="Arial"/>
          <w:sz w:val="20"/>
          <w:szCs w:val="20"/>
        </w:rPr>
        <w:t xml:space="preserve"> Podjela prihoda na tekuće i kapitalne je obavljena procjenom sukladno planiranim troškovima projekta.</w:t>
      </w:r>
    </w:p>
    <w:p w14:paraId="4B6F64FF" w14:textId="77777777" w:rsidR="00703E28" w:rsidRPr="000327A6" w:rsidRDefault="00703E28" w:rsidP="00703E28">
      <w:pPr>
        <w:spacing w:after="0" w:line="240" w:lineRule="auto"/>
        <w:jc w:val="both"/>
        <w:rPr>
          <w:rFonts w:ascii="Arial" w:eastAsia="Calibri" w:hAnsi="Arial" w:cs="Arial"/>
          <w:bCs/>
          <w:sz w:val="20"/>
          <w:szCs w:val="20"/>
        </w:rPr>
      </w:pPr>
    </w:p>
    <w:p w14:paraId="0B825D5C" w14:textId="77777777" w:rsidR="00703E28" w:rsidRPr="000327A6" w:rsidRDefault="00703E28" w:rsidP="00703E28">
      <w:pPr>
        <w:spacing w:after="0" w:line="240" w:lineRule="auto"/>
        <w:jc w:val="both"/>
        <w:rPr>
          <w:rFonts w:ascii="Arial" w:eastAsia="Calibri" w:hAnsi="Arial" w:cs="Arial"/>
          <w:bCs/>
          <w:sz w:val="20"/>
          <w:szCs w:val="20"/>
        </w:rPr>
      </w:pPr>
      <w:r w:rsidRPr="000327A6">
        <w:rPr>
          <w:rFonts w:ascii="Arial" w:eastAsia="Calibri" w:hAnsi="Arial" w:cs="Arial"/>
          <w:bCs/>
          <w:sz w:val="20"/>
          <w:szCs w:val="20"/>
        </w:rPr>
        <w:t>U 2024</w:t>
      </w:r>
      <w:r>
        <w:rPr>
          <w:rFonts w:ascii="Arial" w:eastAsia="Calibri" w:hAnsi="Arial" w:cs="Arial"/>
          <w:bCs/>
          <w:sz w:val="20"/>
          <w:szCs w:val="20"/>
        </w:rPr>
        <w:t>. godini iskazani su rashodi za provedbu projekta u iznosu 28.479,62 € (od čega iz tekućih sredstava EU 24.207,68 €, a iz općinskih sredstava 4.271,94 €).</w:t>
      </w:r>
    </w:p>
    <w:p w14:paraId="0C810074" w14:textId="77777777" w:rsidR="008B12ED" w:rsidRDefault="008B12ED" w:rsidP="00783C8D">
      <w:pPr>
        <w:spacing w:after="0" w:line="240" w:lineRule="auto"/>
        <w:jc w:val="both"/>
        <w:rPr>
          <w:rFonts w:ascii="Arial" w:eastAsia="Calibri" w:hAnsi="Arial" w:cs="Arial"/>
          <w:bCs/>
          <w:sz w:val="20"/>
          <w:szCs w:val="20"/>
        </w:rPr>
      </w:pPr>
    </w:p>
    <w:p w14:paraId="7FABFBE6" w14:textId="44FC8162" w:rsidR="00D2370E" w:rsidRPr="000327A6" w:rsidRDefault="00D2370E" w:rsidP="00D2370E">
      <w:pPr>
        <w:spacing w:after="0" w:line="240" w:lineRule="auto"/>
        <w:jc w:val="both"/>
        <w:rPr>
          <w:rFonts w:ascii="Arial" w:eastAsia="Calibri" w:hAnsi="Arial" w:cs="Arial"/>
          <w:bCs/>
          <w:sz w:val="20"/>
          <w:szCs w:val="20"/>
        </w:rPr>
      </w:pPr>
      <w:r w:rsidRPr="000327A6">
        <w:rPr>
          <w:rFonts w:ascii="Arial" w:eastAsia="Calibri" w:hAnsi="Arial" w:cs="Arial"/>
          <w:bCs/>
          <w:sz w:val="20"/>
          <w:szCs w:val="20"/>
        </w:rPr>
        <w:t>U 20</w:t>
      </w:r>
      <w:r>
        <w:rPr>
          <w:rFonts w:ascii="Arial" w:eastAsia="Calibri" w:hAnsi="Arial" w:cs="Arial"/>
          <w:bCs/>
          <w:sz w:val="20"/>
          <w:szCs w:val="20"/>
        </w:rPr>
        <w:t xml:space="preserve">25. godini iskazani su rashodi za provedbu projekta u iznosu </w:t>
      </w:r>
      <w:r w:rsidR="00E86E80">
        <w:rPr>
          <w:rFonts w:ascii="Arial" w:eastAsia="Calibri" w:hAnsi="Arial" w:cs="Arial"/>
          <w:bCs/>
          <w:sz w:val="20"/>
          <w:szCs w:val="20"/>
        </w:rPr>
        <w:t>364.004,32</w:t>
      </w:r>
      <w:r>
        <w:rPr>
          <w:rFonts w:ascii="Arial" w:eastAsia="Calibri" w:hAnsi="Arial" w:cs="Arial"/>
          <w:bCs/>
          <w:sz w:val="20"/>
          <w:szCs w:val="20"/>
        </w:rPr>
        <w:t xml:space="preserve"> € (od čega iz tekućih sredstava EU </w:t>
      </w:r>
      <w:r w:rsidR="00316CD3">
        <w:rPr>
          <w:rFonts w:ascii="Arial" w:eastAsia="Calibri" w:hAnsi="Arial" w:cs="Arial"/>
          <w:bCs/>
          <w:sz w:val="20"/>
          <w:szCs w:val="20"/>
        </w:rPr>
        <w:t>309.694,63</w:t>
      </w:r>
      <w:r>
        <w:rPr>
          <w:rFonts w:ascii="Arial" w:eastAsia="Calibri" w:hAnsi="Arial" w:cs="Arial"/>
          <w:bCs/>
          <w:sz w:val="20"/>
          <w:szCs w:val="20"/>
        </w:rPr>
        <w:t xml:space="preserve"> €, a iz općinskih sredstava </w:t>
      </w:r>
      <w:r w:rsidR="00316CD3">
        <w:rPr>
          <w:rFonts w:ascii="Arial" w:eastAsia="Calibri" w:hAnsi="Arial" w:cs="Arial"/>
          <w:bCs/>
          <w:sz w:val="20"/>
          <w:szCs w:val="20"/>
        </w:rPr>
        <w:t>54.309,69</w:t>
      </w:r>
      <w:r>
        <w:rPr>
          <w:rFonts w:ascii="Arial" w:eastAsia="Calibri" w:hAnsi="Arial" w:cs="Arial"/>
          <w:bCs/>
          <w:sz w:val="20"/>
          <w:szCs w:val="20"/>
        </w:rPr>
        <w:t xml:space="preserve"> €).</w:t>
      </w:r>
    </w:p>
    <w:p w14:paraId="2A0B93FD" w14:textId="77777777" w:rsidR="00D2370E" w:rsidRDefault="00D2370E" w:rsidP="00783C8D">
      <w:pPr>
        <w:spacing w:after="0" w:line="240" w:lineRule="auto"/>
        <w:jc w:val="both"/>
        <w:rPr>
          <w:rFonts w:ascii="Arial" w:eastAsia="Calibri" w:hAnsi="Arial" w:cs="Arial"/>
          <w:bCs/>
          <w:sz w:val="20"/>
          <w:szCs w:val="20"/>
        </w:rPr>
      </w:pPr>
    </w:p>
    <w:p w14:paraId="401BA594" w14:textId="77777777" w:rsidR="00D2370E" w:rsidRDefault="00D2370E" w:rsidP="00783C8D">
      <w:pPr>
        <w:spacing w:after="0" w:line="240" w:lineRule="auto"/>
        <w:jc w:val="both"/>
        <w:rPr>
          <w:rFonts w:ascii="Arial" w:eastAsia="Calibri" w:hAnsi="Arial" w:cs="Arial"/>
          <w:bCs/>
          <w:sz w:val="20"/>
          <w:szCs w:val="20"/>
        </w:rPr>
      </w:pPr>
    </w:p>
    <w:p w14:paraId="5035CCBF" w14:textId="0741CE7E" w:rsidR="004E241C" w:rsidRPr="001D1CC8" w:rsidRDefault="004E241C" w:rsidP="004E241C">
      <w:pPr>
        <w:spacing w:after="0" w:line="240" w:lineRule="auto"/>
        <w:jc w:val="both"/>
        <w:rPr>
          <w:rFonts w:ascii="Arial" w:eastAsia="Calibri" w:hAnsi="Arial" w:cs="Arial"/>
          <w:bCs/>
          <w:sz w:val="20"/>
          <w:szCs w:val="20"/>
        </w:rPr>
      </w:pPr>
      <w:r w:rsidRPr="004E241C">
        <w:rPr>
          <w:rFonts w:ascii="Arial" w:eastAsia="Calibri" w:hAnsi="Arial" w:cs="Arial"/>
          <w:b/>
          <w:sz w:val="20"/>
          <w:szCs w:val="20"/>
        </w:rPr>
        <w:t xml:space="preserve">A.2) </w:t>
      </w:r>
      <w:r w:rsidRPr="004E241C">
        <w:rPr>
          <w:rFonts w:ascii="Arial" w:eastAsia="Calibri" w:hAnsi="Arial" w:cs="Arial"/>
          <w:b/>
          <w:sz w:val="20"/>
          <w:szCs w:val="20"/>
        </w:rPr>
        <w:tab/>
        <w:t>WATERLINK</w:t>
      </w:r>
      <w:r w:rsidRPr="004E241C">
        <w:rPr>
          <w:rFonts w:ascii="Arial" w:eastAsia="Calibri" w:hAnsi="Arial" w:cs="Arial"/>
          <w:bCs/>
          <w:sz w:val="20"/>
          <w:szCs w:val="20"/>
        </w:rPr>
        <w:t xml:space="preserve"> - maksimalna vrijednost projekta </w:t>
      </w:r>
      <w:r w:rsidR="001D1CC8" w:rsidRPr="001D1CC8">
        <w:rPr>
          <w:rFonts w:ascii="Arial" w:eastAsia="Calibri" w:hAnsi="Arial" w:cs="Arial"/>
          <w:bCs/>
          <w:sz w:val="20"/>
          <w:szCs w:val="20"/>
        </w:rPr>
        <w:t>535.752</w:t>
      </w:r>
      <w:r w:rsidRPr="004E241C">
        <w:rPr>
          <w:rFonts w:ascii="Arial" w:eastAsia="Calibri" w:hAnsi="Arial" w:cs="Arial"/>
          <w:bCs/>
          <w:sz w:val="20"/>
          <w:szCs w:val="20"/>
        </w:rPr>
        <w:t xml:space="preserve"> €, od čega </w:t>
      </w:r>
      <w:r w:rsidRPr="00501674">
        <w:rPr>
          <w:rFonts w:ascii="Arial" w:eastAsia="Calibri" w:hAnsi="Arial" w:cs="Arial"/>
          <w:b/>
          <w:i/>
          <w:iCs/>
          <w:sz w:val="20"/>
          <w:szCs w:val="20"/>
        </w:rPr>
        <w:t>očekivana vrijednost sufinanciranja EU iznosi 85%</w:t>
      </w:r>
      <w:r w:rsidR="001D1CC8" w:rsidRPr="00501674">
        <w:rPr>
          <w:rFonts w:ascii="Arial" w:eastAsia="Calibri" w:hAnsi="Arial" w:cs="Arial"/>
          <w:b/>
          <w:i/>
          <w:iCs/>
          <w:sz w:val="20"/>
          <w:szCs w:val="20"/>
        </w:rPr>
        <w:t xml:space="preserve"> odnosno 455.389,20 €.</w:t>
      </w:r>
    </w:p>
    <w:p w14:paraId="1F124C10" w14:textId="77777777" w:rsidR="001D1CC8" w:rsidRPr="004E241C" w:rsidRDefault="001D1CC8" w:rsidP="004E241C">
      <w:pPr>
        <w:spacing w:after="0" w:line="240" w:lineRule="auto"/>
        <w:jc w:val="both"/>
        <w:rPr>
          <w:rFonts w:ascii="Arial" w:eastAsia="Calibri" w:hAnsi="Arial" w:cs="Arial"/>
          <w:bCs/>
          <w:sz w:val="20"/>
          <w:szCs w:val="20"/>
        </w:rPr>
      </w:pPr>
    </w:p>
    <w:p w14:paraId="14E32D10" w14:textId="77777777" w:rsidR="001D1CC8" w:rsidRPr="001D1CC8" w:rsidRDefault="001D1CC8" w:rsidP="001D1CC8">
      <w:pPr>
        <w:spacing w:after="0" w:line="240" w:lineRule="auto"/>
        <w:jc w:val="both"/>
        <w:rPr>
          <w:rFonts w:ascii="Arial" w:eastAsia="Calibri" w:hAnsi="Arial" w:cs="Arial"/>
          <w:bCs/>
          <w:sz w:val="20"/>
          <w:szCs w:val="20"/>
        </w:rPr>
      </w:pPr>
      <w:r w:rsidRPr="001D1CC8">
        <w:rPr>
          <w:rFonts w:ascii="Arial" w:eastAsia="Calibri" w:hAnsi="Arial" w:cs="Arial"/>
          <w:bCs/>
          <w:sz w:val="20"/>
          <w:szCs w:val="20"/>
        </w:rPr>
        <w:t>Naziv projekta: WATERLINK – Pametno i inovativno upravljanje za očuvanje kvalitete i opskrbe vode u regiji</w:t>
      </w:r>
    </w:p>
    <w:p w14:paraId="61F20F3F" w14:textId="77777777" w:rsidR="001D1CC8" w:rsidRPr="001D1CC8" w:rsidRDefault="001D1CC8" w:rsidP="001D1CC8">
      <w:pPr>
        <w:spacing w:after="0" w:line="240" w:lineRule="auto"/>
        <w:jc w:val="both"/>
        <w:rPr>
          <w:rFonts w:ascii="Arial" w:eastAsia="Calibri" w:hAnsi="Arial" w:cs="Arial"/>
          <w:bCs/>
          <w:sz w:val="20"/>
          <w:szCs w:val="20"/>
        </w:rPr>
      </w:pPr>
      <w:r w:rsidRPr="001D1CC8">
        <w:rPr>
          <w:rFonts w:ascii="Arial" w:eastAsia="Calibri" w:hAnsi="Arial" w:cs="Arial"/>
          <w:b/>
          <w:sz w:val="20"/>
          <w:szCs w:val="20"/>
        </w:rPr>
        <w:t>Glavni cilj projekta</w:t>
      </w:r>
      <w:r w:rsidRPr="001D1CC8">
        <w:rPr>
          <w:rFonts w:ascii="Arial" w:eastAsia="Calibri" w:hAnsi="Arial" w:cs="Arial"/>
          <w:bCs/>
          <w:sz w:val="20"/>
          <w:szCs w:val="20"/>
        </w:rPr>
        <w:t>: Poboljšati prilagodbu klimatskim promjenama i spriječiti rizike od katastrofa u prekograničnom području Trebinje-Konavle-Herceg Novi smanjenjem tehničkih gubitaka u sustavima opskrbe vodom kroz uspostavu daljinskog nadzora potrošnje vode i nadzornog centra.</w:t>
      </w:r>
    </w:p>
    <w:p w14:paraId="24722DAA" w14:textId="77777777" w:rsidR="001D1CC8" w:rsidRPr="001D1CC8" w:rsidRDefault="001D1CC8" w:rsidP="001D1CC8">
      <w:pPr>
        <w:spacing w:after="0" w:line="240" w:lineRule="auto"/>
        <w:jc w:val="both"/>
        <w:rPr>
          <w:rFonts w:ascii="Arial" w:eastAsia="Calibri" w:hAnsi="Arial" w:cs="Arial"/>
          <w:bCs/>
          <w:sz w:val="20"/>
          <w:szCs w:val="20"/>
        </w:rPr>
      </w:pPr>
      <w:r w:rsidRPr="001D1CC8">
        <w:rPr>
          <w:rFonts w:ascii="Arial" w:eastAsia="Calibri" w:hAnsi="Arial" w:cs="Arial"/>
          <w:b/>
          <w:sz w:val="20"/>
          <w:szCs w:val="20"/>
        </w:rPr>
        <w:t>Prioritetna os programa</w:t>
      </w:r>
      <w:r w:rsidRPr="001D1CC8">
        <w:rPr>
          <w:rFonts w:ascii="Arial" w:eastAsia="Calibri" w:hAnsi="Arial" w:cs="Arial"/>
          <w:bCs/>
          <w:sz w:val="20"/>
          <w:szCs w:val="20"/>
        </w:rPr>
        <w:t>: Zelena ulaganja u zaštitu okoliša i učinkovito upravljanje rizicima</w:t>
      </w:r>
    </w:p>
    <w:p w14:paraId="4A340874" w14:textId="6D65B14C" w:rsidR="001D1CC8" w:rsidRPr="001D1CC8" w:rsidRDefault="001D1CC8" w:rsidP="001D1CC8">
      <w:pPr>
        <w:spacing w:after="0" w:line="240" w:lineRule="auto"/>
        <w:jc w:val="both"/>
        <w:rPr>
          <w:rFonts w:ascii="Arial" w:eastAsia="Calibri" w:hAnsi="Arial" w:cs="Arial"/>
          <w:bCs/>
          <w:sz w:val="20"/>
          <w:szCs w:val="20"/>
        </w:rPr>
      </w:pPr>
      <w:r w:rsidRPr="001D1CC8">
        <w:rPr>
          <w:rFonts w:ascii="Arial" w:eastAsia="Calibri" w:hAnsi="Arial" w:cs="Arial"/>
          <w:b/>
          <w:sz w:val="20"/>
          <w:szCs w:val="20"/>
        </w:rPr>
        <w:t>Opis projekta</w:t>
      </w:r>
      <w:r w:rsidRPr="001D1CC8">
        <w:rPr>
          <w:rFonts w:ascii="Arial" w:eastAsia="Calibri" w:hAnsi="Arial" w:cs="Arial"/>
          <w:bCs/>
          <w:sz w:val="20"/>
          <w:szCs w:val="20"/>
        </w:rPr>
        <w:t xml:space="preserve">: </w:t>
      </w:r>
    </w:p>
    <w:p w14:paraId="49351D9C" w14:textId="77777777" w:rsidR="001D1CC8" w:rsidRPr="001D1CC8" w:rsidRDefault="001D1CC8" w:rsidP="001D1CC8">
      <w:pPr>
        <w:spacing w:after="0" w:line="240" w:lineRule="auto"/>
        <w:jc w:val="both"/>
        <w:rPr>
          <w:rFonts w:ascii="Arial" w:eastAsia="Calibri" w:hAnsi="Arial" w:cs="Arial"/>
          <w:bCs/>
          <w:sz w:val="20"/>
          <w:szCs w:val="20"/>
        </w:rPr>
      </w:pPr>
      <w:r w:rsidRPr="001D1CC8">
        <w:rPr>
          <w:rFonts w:ascii="Arial" w:eastAsia="Calibri" w:hAnsi="Arial" w:cs="Arial"/>
          <w:bCs/>
          <w:sz w:val="20"/>
          <w:szCs w:val="20"/>
        </w:rPr>
        <w:t>Projekt WATERLINK fokusira se na zajedničke izazove u upravljanju vodnim resursima u prekograničnom području, poput visokih tehničkih gubitaka u sustavima opskrbe vodom, koji dosežu čak 80 posto. Kroz uspostavu zajedničkog plana i novih tehnologija, projekt će raditi na smanjenju tih gubitaka sa 70 posto na 30 posto. Aktivnosti uključuju osnivanje laboratorija za nadzor kvalitete vode, izradu izvještaja o kalibraciji matematičkog modela, te implementaciju pilot akcija za optimizaciju vodovodnog sustava.</w:t>
      </w:r>
    </w:p>
    <w:p w14:paraId="288CD538" w14:textId="77777777" w:rsidR="001D1CC8" w:rsidRPr="001D1CC8" w:rsidRDefault="001D1CC8" w:rsidP="001D1CC8">
      <w:pPr>
        <w:spacing w:after="0" w:line="240" w:lineRule="auto"/>
        <w:jc w:val="both"/>
        <w:rPr>
          <w:rFonts w:ascii="Arial" w:eastAsia="Calibri" w:hAnsi="Arial" w:cs="Arial"/>
          <w:bCs/>
          <w:sz w:val="20"/>
          <w:szCs w:val="20"/>
        </w:rPr>
      </w:pPr>
      <w:r w:rsidRPr="001D1CC8">
        <w:rPr>
          <w:rFonts w:ascii="Arial" w:eastAsia="Calibri" w:hAnsi="Arial" w:cs="Arial"/>
          <w:b/>
          <w:sz w:val="20"/>
          <w:szCs w:val="20"/>
        </w:rPr>
        <w:t>Projektno partnerstvo</w:t>
      </w:r>
      <w:r w:rsidRPr="001D1CC8">
        <w:rPr>
          <w:rFonts w:ascii="Arial" w:eastAsia="Calibri" w:hAnsi="Arial" w:cs="Arial"/>
          <w:bCs/>
          <w:sz w:val="20"/>
          <w:szCs w:val="20"/>
        </w:rPr>
        <w:t>:</w:t>
      </w:r>
    </w:p>
    <w:p w14:paraId="3DDC9631" w14:textId="77777777" w:rsidR="001D1CC8" w:rsidRPr="001D1CC8" w:rsidRDefault="001D1CC8" w:rsidP="001D1CC8">
      <w:pPr>
        <w:spacing w:after="0" w:line="240" w:lineRule="auto"/>
        <w:jc w:val="both"/>
        <w:rPr>
          <w:rFonts w:ascii="Arial" w:eastAsia="Calibri" w:hAnsi="Arial" w:cs="Arial"/>
          <w:bCs/>
          <w:sz w:val="20"/>
          <w:szCs w:val="20"/>
        </w:rPr>
      </w:pPr>
      <w:r w:rsidRPr="001D1CC8">
        <w:rPr>
          <w:rFonts w:ascii="Arial" w:eastAsia="Calibri" w:hAnsi="Arial" w:cs="Arial"/>
          <w:bCs/>
          <w:sz w:val="20"/>
          <w:szCs w:val="20"/>
        </w:rPr>
        <w:t>Projekt uključuje tri partnera: Grad Trebinje (vodeći partner), Vodovod i kanalizaciju Herceg Novi, te Općinu Konavle. Ovi partneri preuzimaju ključne uloge u provedbi aktivnosti i postizanju ciljeva projekta, omogućavajući zajednički pristup rješavanju problema upravljanja vodom u</w:t>
      </w:r>
    </w:p>
    <w:p w14:paraId="527AAF44" w14:textId="77777777" w:rsidR="001D1CC8" w:rsidRPr="001D1CC8" w:rsidRDefault="001D1CC8" w:rsidP="001D1CC8">
      <w:pPr>
        <w:spacing w:after="0" w:line="240" w:lineRule="auto"/>
        <w:jc w:val="both"/>
        <w:rPr>
          <w:rFonts w:ascii="Arial" w:eastAsia="Calibri" w:hAnsi="Arial" w:cs="Arial"/>
          <w:bCs/>
          <w:sz w:val="20"/>
          <w:szCs w:val="20"/>
        </w:rPr>
      </w:pPr>
      <w:r w:rsidRPr="001D1CC8">
        <w:rPr>
          <w:rFonts w:ascii="Arial" w:eastAsia="Calibri" w:hAnsi="Arial" w:cs="Arial"/>
          <w:bCs/>
          <w:sz w:val="20"/>
          <w:szCs w:val="20"/>
        </w:rPr>
        <w:t>prekograničnom području.</w:t>
      </w:r>
    </w:p>
    <w:p w14:paraId="7DA63F12" w14:textId="58292C36" w:rsidR="001D1CC8" w:rsidRPr="001D1CC8" w:rsidRDefault="001D1CC8" w:rsidP="001D1CC8">
      <w:pPr>
        <w:spacing w:after="0" w:line="240" w:lineRule="auto"/>
        <w:jc w:val="both"/>
        <w:rPr>
          <w:rFonts w:ascii="Arial" w:eastAsia="Calibri" w:hAnsi="Arial" w:cs="Arial"/>
          <w:bCs/>
          <w:sz w:val="20"/>
          <w:szCs w:val="20"/>
        </w:rPr>
      </w:pPr>
      <w:r w:rsidRPr="001D1CC8">
        <w:rPr>
          <w:rFonts w:ascii="Arial" w:eastAsia="Calibri" w:hAnsi="Arial" w:cs="Arial"/>
          <w:bCs/>
          <w:sz w:val="20"/>
          <w:szCs w:val="20"/>
        </w:rPr>
        <w:t xml:space="preserve">Ugovor s partnerima je zaključen u </w:t>
      </w:r>
      <w:r>
        <w:rPr>
          <w:rFonts w:ascii="Arial" w:eastAsia="Calibri" w:hAnsi="Arial" w:cs="Arial"/>
          <w:bCs/>
          <w:sz w:val="20"/>
          <w:szCs w:val="20"/>
        </w:rPr>
        <w:t>rujnu</w:t>
      </w:r>
      <w:r w:rsidRPr="001D1CC8">
        <w:rPr>
          <w:rFonts w:ascii="Arial" w:eastAsia="Calibri" w:hAnsi="Arial" w:cs="Arial"/>
          <w:bCs/>
          <w:sz w:val="20"/>
          <w:szCs w:val="20"/>
        </w:rPr>
        <w:t xml:space="preserve"> 2024. godine. Trajanje provedbe projekta je od 15.08.2024. do 14.08.2026.</w:t>
      </w:r>
    </w:p>
    <w:p w14:paraId="6DCE91EB" w14:textId="75B8512A" w:rsidR="001D1CC8" w:rsidRPr="001D1CC8" w:rsidRDefault="001D1CC8" w:rsidP="001D1CC8">
      <w:pPr>
        <w:spacing w:after="0" w:line="240" w:lineRule="auto"/>
        <w:jc w:val="both"/>
        <w:rPr>
          <w:rFonts w:ascii="Arial" w:eastAsia="Calibri" w:hAnsi="Arial" w:cs="Arial"/>
          <w:bCs/>
          <w:sz w:val="20"/>
          <w:szCs w:val="20"/>
        </w:rPr>
      </w:pPr>
      <w:r w:rsidRPr="00501674">
        <w:rPr>
          <w:rFonts w:ascii="Arial" w:eastAsia="Calibri" w:hAnsi="Arial" w:cs="Arial"/>
          <w:b/>
          <w:sz w:val="20"/>
          <w:szCs w:val="20"/>
        </w:rPr>
        <w:t>Predujam</w:t>
      </w:r>
      <w:r w:rsidRPr="001D1CC8">
        <w:rPr>
          <w:rFonts w:ascii="Arial" w:eastAsia="Calibri" w:hAnsi="Arial" w:cs="Arial"/>
          <w:bCs/>
          <w:sz w:val="20"/>
          <w:szCs w:val="20"/>
        </w:rPr>
        <w:t xml:space="preserve"> za provedbu projekta za doznačen u </w:t>
      </w:r>
      <w:r>
        <w:rPr>
          <w:rFonts w:ascii="Arial" w:eastAsia="Calibri" w:hAnsi="Arial" w:cs="Arial"/>
          <w:bCs/>
          <w:sz w:val="20"/>
          <w:szCs w:val="20"/>
        </w:rPr>
        <w:t>studenome</w:t>
      </w:r>
      <w:r w:rsidRPr="001D1CC8">
        <w:rPr>
          <w:rFonts w:ascii="Arial" w:eastAsia="Calibri" w:hAnsi="Arial" w:cs="Arial"/>
          <w:bCs/>
          <w:sz w:val="20"/>
          <w:szCs w:val="20"/>
        </w:rPr>
        <w:t xml:space="preserve"> 2024. godine u iznosu </w:t>
      </w:r>
      <w:r w:rsidRPr="00501674">
        <w:rPr>
          <w:rFonts w:ascii="Arial" w:eastAsia="Calibri" w:hAnsi="Arial" w:cs="Arial"/>
          <w:b/>
          <w:sz w:val="20"/>
          <w:szCs w:val="20"/>
        </w:rPr>
        <w:t>133.833 €</w:t>
      </w:r>
      <w:r w:rsidRPr="001D1CC8">
        <w:rPr>
          <w:rFonts w:ascii="Arial" w:eastAsia="Calibri" w:hAnsi="Arial" w:cs="Arial"/>
          <w:bCs/>
          <w:sz w:val="20"/>
          <w:szCs w:val="20"/>
        </w:rPr>
        <w:t xml:space="preserve">, od čega je evidentirano kao tekuća pomoć </w:t>
      </w:r>
      <w:r>
        <w:rPr>
          <w:rFonts w:ascii="Arial" w:eastAsia="Calibri" w:hAnsi="Arial" w:cs="Arial"/>
          <w:bCs/>
          <w:sz w:val="20"/>
          <w:szCs w:val="20"/>
        </w:rPr>
        <w:t>34</w:t>
      </w:r>
      <w:r w:rsidRPr="001D1CC8">
        <w:rPr>
          <w:rFonts w:ascii="Arial" w:eastAsia="Calibri" w:hAnsi="Arial" w:cs="Arial"/>
          <w:bCs/>
          <w:sz w:val="20"/>
          <w:szCs w:val="20"/>
        </w:rPr>
        <w:t xml:space="preserve">.000 €, a </w:t>
      </w:r>
      <w:r>
        <w:rPr>
          <w:rFonts w:ascii="Arial" w:eastAsia="Calibri" w:hAnsi="Arial" w:cs="Arial"/>
          <w:bCs/>
          <w:sz w:val="20"/>
          <w:szCs w:val="20"/>
        </w:rPr>
        <w:t>99.833</w:t>
      </w:r>
      <w:r w:rsidRPr="001D1CC8">
        <w:rPr>
          <w:rFonts w:ascii="Arial" w:eastAsia="Calibri" w:hAnsi="Arial" w:cs="Arial"/>
          <w:bCs/>
          <w:sz w:val="20"/>
          <w:szCs w:val="20"/>
        </w:rPr>
        <w:t xml:space="preserve"> € kao kapitalna pomoć.</w:t>
      </w:r>
      <w:r w:rsidRPr="001D1CC8">
        <w:rPr>
          <w:rFonts w:ascii="Arial" w:eastAsia="Calibri" w:hAnsi="Arial" w:cs="Arial"/>
          <w:sz w:val="20"/>
          <w:szCs w:val="20"/>
        </w:rPr>
        <w:t xml:space="preserve"> Podjela prihoda na tekuće i kapitalne je obavljena procjenom sukladno planiranim troškovima projekta.</w:t>
      </w:r>
    </w:p>
    <w:p w14:paraId="521F2C25" w14:textId="77777777" w:rsidR="004E241C" w:rsidRDefault="004E241C" w:rsidP="0052045C">
      <w:pPr>
        <w:autoSpaceDE w:val="0"/>
        <w:autoSpaceDN w:val="0"/>
        <w:adjustRightInd w:val="0"/>
        <w:spacing w:after="0" w:line="240" w:lineRule="auto"/>
        <w:jc w:val="both"/>
        <w:rPr>
          <w:rFonts w:ascii="Arial" w:eastAsia="Calibri" w:hAnsi="Arial" w:cs="Arial"/>
          <w:sz w:val="20"/>
          <w:szCs w:val="20"/>
        </w:rPr>
      </w:pPr>
    </w:p>
    <w:p w14:paraId="37CBEC59" w14:textId="17B2392E" w:rsidR="000327A6" w:rsidRPr="000327A6" w:rsidRDefault="000327A6" w:rsidP="000327A6">
      <w:pPr>
        <w:spacing w:after="0" w:line="240" w:lineRule="auto"/>
        <w:jc w:val="both"/>
        <w:rPr>
          <w:rFonts w:ascii="Arial" w:eastAsia="Calibri" w:hAnsi="Arial" w:cs="Arial"/>
          <w:bCs/>
          <w:sz w:val="20"/>
          <w:szCs w:val="20"/>
        </w:rPr>
      </w:pPr>
      <w:r w:rsidRPr="000327A6">
        <w:rPr>
          <w:rFonts w:ascii="Arial" w:eastAsia="Calibri" w:hAnsi="Arial" w:cs="Arial"/>
          <w:bCs/>
          <w:sz w:val="20"/>
          <w:szCs w:val="20"/>
        </w:rPr>
        <w:t>U 2024</w:t>
      </w:r>
      <w:r>
        <w:rPr>
          <w:rFonts w:ascii="Arial" w:eastAsia="Calibri" w:hAnsi="Arial" w:cs="Arial"/>
          <w:bCs/>
          <w:sz w:val="20"/>
          <w:szCs w:val="20"/>
        </w:rPr>
        <w:t xml:space="preserve">. godini iskazani su rashodi za provedbu projekta u iznosu 14.371,73 € (od čega iz sredstava EU </w:t>
      </w:r>
      <w:r w:rsidR="00927568">
        <w:rPr>
          <w:rFonts w:ascii="Arial" w:eastAsia="Calibri" w:hAnsi="Arial" w:cs="Arial"/>
          <w:bCs/>
          <w:sz w:val="20"/>
          <w:szCs w:val="20"/>
        </w:rPr>
        <w:t>12.215,96 € i to tekuća sredstva 10.814,52 € i kapitalna sredstva 1.401,44 €</w:t>
      </w:r>
      <w:r>
        <w:rPr>
          <w:rFonts w:ascii="Arial" w:eastAsia="Calibri" w:hAnsi="Arial" w:cs="Arial"/>
          <w:bCs/>
          <w:sz w:val="20"/>
          <w:szCs w:val="20"/>
        </w:rPr>
        <w:t xml:space="preserve">, </w:t>
      </w:r>
      <w:r w:rsidR="00927568">
        <w:rPr>
          <w:rFonts w:ascii="Arial" w:eastAsia="Calibri" w:hAnsi="Arial" w:cs="Arial"/>
          <w:bCs/>
          <w:sz w:val="20"/>
          <w:szCs w:val="20"/>
        </w:rPr>
        <w:t>te</w:t>
      </w:r>
      <w:r>
        <w:rPr>
          <w:rFonts w:ascii="Arial" w:eastAsia="Calibri" w:hAnsi="Arial" w:cs="Arial"/>
          <w:bCs/>
          <w:sz w:val="20"/>
          <w:szCs w:val="20"/>
        </w:rPr>
        <w:t xml:space="preserve"> iz općinskih sredstava </w:t>
      </w:r>
      <w:r w:rsidR="00927568">
        <w:rPr>
          <w:rFonts w:ascii="Arial" w:eastAsia="Calibri" w:hAnsi="Arial" w:cs="Arial"/>
          <w:bCs/>
          <w:sz w:val="20"/>
          <w:szCs w:val="20"/>
        </w:rPr>
        <w:t>2.155,77</w:t>
      </w:r>
      <w:r>
        <w:rPr>
          <w:rFonts w:ascii="Arial" w:eastAsia="Calibri" w:hAnsi="Arial" w:cs="Arial"/>
          <w:bCs/>
          <w:sz w:val="20"/>
          <w:szCs w:val="20"/>
        </w:rPr>
        <w:t xml:space="preserve"> €).</w:t>
      </w:r>
    </w:p>
    <w:p w14:paraId="0322F834" w14:textId="77777777" w:rsidR="000327A6" w:rsidRDefault="000327A6" w:rsidP="0052045C">
      <w:pPr>
        <w:autoSpaceDE w:val="0"/>
        <w:autoSpaceDN w:val="0"/>
        <w:adjustRightInd w:val="0"/>
        <w:spacing w:after="0" w:line="240" w:lineRule="auto"/>
        <w:jc w:val="both"/>
        <w:rPr>
          <w:rFonts w:ascii="Arial" w:eastAsia="Calibri" w:hAnsi="Arial" w:cs="Arial"/>
          <w:sz w:val="20"/>
          <w:szCs w:val="20"/>
        </w:rPr>
      </w:pPr>
    </w:p>
    <w:p w14:paraId="04961B9E" w14:textId="49DAE5B3" w:rsidR="00316CD3" w:rsidRPr="000327A6" w:rsidRDefault="00316CD3" w:rsidP="00316CD3">
      <w:pPr>
        <w:spacing w:after="0" w:line="240" w:lineRule="auto"/>
        <w:jc w:val="both"/>
        <w:rPr>
          <w:rFonts w:ascii="Arial" w:eastAsia="Calibri" w:hAnsi="Arial" w:cs="Arial"/>
          <w:bCs/>
          <w:sz w:val="20"/>
          <w:szCs w:val="20"/>
        </w:rPr>
      </w:pPr>
      <w:r w:rsidRPr="000327A6">
        <w:rPr>
          <w:rFonts w:ascii="Arial" w:eastAsia="Calibri" w:hAnsi="Arial" w:cs="Arial"/>
          <w:bCs/>
          <w:sz w:val="20"/>
          <w:szCs w:val="20"/>
        </w:rPr>
        <w:lastRenderedPageBreak/>
        <w:t>U 202</w:t>
      </w:r>
      <w:r>
        <w:rPr>
          <w:rFonts w:ascii="Arial" w:eastAsia="Calibri" w:hAnsi="Arial" w:cs="Arial"/>
          <w:bCs/>
          <w:sz w:val="20"/>
          <w:szCs w:val="20"/>
        </w:rPr>
        <w:t>5. godini iskazani su rashodi za provedbu projekta u iznosu 131.378,98 € (od čega iz sredstava EU 111.672,12 € i to tekuća sredstva 79.665,68 € i kapitalna sredstva 32.006,44 €, te iz općinskih sredstava 19.706,86 €).</w:t>
      </w:r>
    </w:p>
    <w:p w14:paraId="49AE1E44" w14:textId="77777777" w:rsidR="000327A6" w:rsidRDefault="000327A6" w:rsidP="0052045C">
      <w:pPr>
        <w:autoSpaceDE w:val="0"/>
        <w:autoSpaceDN w:val="0"/>
        <w:adjustRightInd w:val="0"/>
        <w:spacing w:after="0" w:line="240" w:lineRule="auto"/>
        <w:jc w:val="both"/>
        <w:rPr>
          <w:rFonts w:ascii="Arial" w:eastAsia="Calibri" w:hAnsi="Arial" w:cs="Arial"/>
          <w:sz w:val="20"/>
          <w:szCs w:val="20"/>
        </w:rPr>
      </w:pPr>
    </w:p>
    <w:p w14:paraId="6890583D" w14:textId="77777777" w:rsidR="00316CD3" w:rsidRPr="000A13EA" w:rsidRDefault="00316CD3" w:rsidP="0052045C">
      <w:pPr>
        <w:autoSpaceDE w:val="0"/>
        <w:autoSpaceDN w:val="0"/>
        <w:adjustRightInd w:val="0"/>
        <w:spacing w:after="0" w:line="240" w:lineRule="auto"/>
        <w:jc w:val="both"/>
        <w:rPr>
          <w:rFonts w:ascii="Arial" w:eastAsia="Calibri" w:hAnsi="Arial" w:cs="Arial"/>
          <w:sz w:val="20"/>
          <w:szCs w:val="20"/>
        </w:rPr>
      </w:pPr>
    </w:p>
    <w:p w14:paraId="63DAB93D" w14:textId="77777777" w:rsidR="0052045C" w:rsidRPr="000A13EA" w:rsidRDefault="0052045C">
      <w:pPr>
        <w:numPr>
          <w:ilvl w:val="0"/>
          <w:numId w:val="12"/>
        </w:numPr>
        <w:autoSpaceDE w:val="0"/>
        <w:autoSpaceDN w:val="0"/>
        <w:adjustRightInd w:val="0"/>
        <w:spacing w:after="0" w:line="240" w:lineRule="auto"/>
        <w:jc w:val="both"/>
        <w:rPr>
          <w:rFonts w:ascii="Arial" w:eastAsia="Calibri" w:hAnsi="Arial" w:cs="Arial"/>
          <w:sz w:val="20"/>
          <w:szCs w:val="20"/>
          <w:u w:val="single"/>
          <w:lang w:eastAsia="en-US"/>
        </w:rPr>
      </w:pPr>
      <w:r w:rsidRPr="000A13EA">
        <w:rPr>
          <w:rFonts w:ascii="Arial" w:eastAsia="Calibri" w:hAnsi="Arial" w:cs="Arial"/>
          <w:b/>
          <w:sz w:val="20"/>
          <w:szCs w:val="20"/>
          <w:u w:val="single"/>
          <w:lang w:eastAsia="en-US"/>
        </w:rPr>
        <w:t>Pomoći od međunarodnih organizacija te institucija i tijela EU (</w:t>
      </w:r>
      <w:r w:rsidRPr="000A13EA">
        <w:rPr>
          <w:rFonts w:ascii="Arial" w:eastAsia="Calibri" w:hAnsi="Arial" w:cs="Arial"/>
          <w:b/>
          <w:sz w:val="20"/>
          <w:szCs w:val="20"/>
          <w:highlight w:val="yellow"/>
          <w:u w:val="single"/>
          <w:lang w:eastAsia="en-US"/>
        </w:rPr>
        <w:t>632</w:t>
      </w:r>
      <w:r w:rsidRPr="000A13EA">
        <w:rPr>
          <w:rFonts w:ascii="Arial" w:eastAsia="Calibri" w:hAnsi="Arial" w:cs="Arial"/>
          <w:b/>
          <w:sz w:val="20"/>
          <w:szCs w:val="20"/>
          <w:u w:val="single"/>
          <w:lang w:eastAsia="en-US"/>
        </w:rPr>
        <w:t xml:space="preserve">), Tekuće pomoći od institucija i tijela EU (6323) – </w:t>
      </w:r>
    </w:p>
    <w:p w14:paraId="59014235" w14:textId="77777777" w:rsidR="0052045C" w:rsidRPr="000A13EA" w:rsidRDefault="0052045C" w:rsidP="0052045C">
      <w:pPr>
        <w:autoSpaceDE w:val="0"/>
        <w:autoSpaceDN w:val="0"/>
        <w:adjustRightInd w:val="0"/>
        <w:spacing w:after="0" w:line="240" w:lineRule="auto"/>
        <w:rPr>
          <w:rFonts w:ascii="Arial" w:eastAsia="Calibri" w:hAnsi="Arial" w:cs="Arial"/>
          <w:sz w:val="20"/>
          <w:szCs w:val="20"/>
        </w:rPr>
      </w:pPr>
    </w:p>
    <w:p w14:paraId="2055DE6C" w14:textId="1CF911DE" w:rsidR="0052045C" w:rsidRPr="000A13EA" w:rsidRDefault="0052045C" w:rsidP="00256A30">
      <w:pPr>
        <w:autoSpaceDE w:val="0"/>
        <w:autoSpaceDN w:val="0"/>
        <w:adjustRightInd w:val="0"/>
        <w:spacing w:after="0" w:line="240" w:lineRule="auto"/>
        <w:jc w:val="both"/>
        <w:rPr>
          <w:rFonts w:ascii="Arial" w:eastAsia="Calibri" w:hAnsi="Arial" w:cs="Arial"/>
          <w:sz w:val="20"/>
          <w:szCs w:val="20"/>
        </w:rPr>
      </w:pPr>
      <w:r w:rsidRPr="000A13EA">
        <w:rPr>
          <w:rFonts w:ascii="Arial" w:eastAsia="Calibri" w:hAnsi="Arial" w:cs="Arial"/>
          <w:sz w:val="20"/>
          <w:szCs w:val="20"/>
        </w:rPr>
        <w:t xml:space="preserve">U okviru ovih prihoda Općina je iskazala prihode u iznosu </w:t>
      </w:r>
      <w:r w:rsidR="00CC5C39" w:rsidRPr="000A13EA">
        <w:rPr>
          <w:rFonts w:ascii="Arial" w:eastAsia="Calibri" w:hAnsi="Arial" w:cs="Arial"/>
          <w:b/>
          <w:bCs/>
          <w:sz w:val="20"/>
          <w:szCs w:val="20"/>
        </w:rPr>
        <w:t>0 €</w:t>
      </w:r>
      <w:r w:rsidR="00927568">
        <w:rPr>
          <w:rFonts w:ascii="Arial" w:eastAsia="Calibri" w:hAnsi="Arial" w:cs="Arial"/>
          <w:b/>
          <w:bCs/>
          <w:sz w:val="20"/>
          <w:szCs w:val="20"/>
        </w:rPr>
        <w:t xml:space="preserve"> (B.1.)</w:t>
      </w:r>
      <w:r w:rsidRPr="000A13EA">
        <w:rPr>
          <w:rFonts w:ascii="Arial" w:eastAsia="Calibri" w:hAnsi="Arial" w:cs="Arial"/>
          <w:b/>
          <w:bCs/>
          <w:sz w:val="20"/>
          <w:szCs w:val="20"/>
        </w:rPr>
        <w:t>,</w:t>
      </w:r>
      <w:r w:rsidRPr="000A13EA">
        <w:rPr>
          <w:rFonts w:ascii="Arial" w:eastAsia="Calibri" w:hAnsi="Arial" w:cs="Arial"/>
          <w:sz w:val="20"/>
          <w:szCs w:val="20"/>
        </w:rPr>
        <w:t xml:space="preserve"> dok je proračunski korisnik Općine ostvario sredstva u iznosu </w:t>
      </w:r>
      <w:r w:rsidR="00316CD3">
        <w:rPr>
          <w:rFonts w:ascii="Arial" w:eastAsia="Calibri" w:hAnsi="Arial" w:cs="Arial"/>
          <w:b/>
          <w:bCs/>
          <w:sz w:val="20"/>
          <w:szCs w:val="20"/>
        </w:rPr>
        <w:t>2,409,00</w:t>
      </w:r>
      <w:r w:rsidRPr="000A13EA">
        <w:rPr>
          <w:rFonts w:ascii="Arial" w:eastAsia="Calibri" w:hAnsi="Arial" w:cs="Arial"/>
          <w:b/>
          <w:bCs/>
          <w:sz w:val="20"/>
          <w:szCs w:val="20"/>
        </w:rPr>
        <w:t xml:space="preserve"> €</w:t>
      </w:r>
      <w:r w:rsidRPr="000A13EA">
        <w:rPr>
          <w:rFonts w:ascii="Arial" w:eastAsia="Calibri" w:hAnsi="Arial" w:cs="Arial"/>
          <w:sz w:val="20"/>
          <w:szCs w:val="20"/>
        </w:rPr>
        <w:t xml:space="preserve"> (u tijeku su projekti </w:t>
      </w:r>
      <w:r w:rsidR="00CC5C39" w:rsidRPr="000A13EA">
        <w:rPr>
          <w:rFonts w:ascii="Arial" w:eastAsia="Calibri" w:hAnsi="Arial" w:cs="Arial"/>
          <w:b/>
          <w:bCs/>
          <w:sz w:val="20"/>
          <w:szCs w:val="20"/>
        </w:rPr>
        <w:t>B.</w:t>
      </w:r>
      <w:r w:rsidR="00927568">
        <w:rPr>
          <w:rFonts w:ascii="Arial" w:eastAsia="Calibri" w:hAnsi="Arial" w:cs="Arial"/>
          <w:b/>
          <w:bCs/>
          <w:sz w:val="20"/>
          <w:szCs w:val="20"/>
        </w:rPr>
        <w:t>2</w:t>
      </w:r>
      <w:r w:rsidR="00CC5C39" w:rsidRPr="000A13EA">
        <w:rPr>
          <w:rFonts w:ascii="Arial" w:eastAsia="Calibri" w:hAnsi="Arial" w:cs="Arial"/>
          <w:b/>
          <w:bCs/>
          <w:sz w:val="20"/>
          <w:szCs w:val="20"/>
        </w:rPr>
        <w:t>., B.</w:t>
      </w:r>
      <w:r w:rsidR="00927568">
        <w:rPr>
          <w:rFonts w:ascii="Arial" w:eastAsia="Calibri" w:hAnsi="Arial" w:cs="Arial"/>
          <w:b/>
          <w:bCs/>
          <w:sz w:val="20"/>
          <w:szCs w:val="20"/>
        </w:rPr>
        <w:t>3</w:t>
      </w:r>
      <w:r w:rsidR="00CC5C39" w:rsidRPr="000A13EA">
        <w:rPr>
          <w:rFonts w:ascii="Arial" w:eastAsia="Calibri" w:hAnsi="Arial" w:cs="Arial"/>
          <w:b/>
          <w:bCs/>
          <w:sz w:val="20"/>
          <w:szCs w:val="20"/>
        </w:rPr>
        <w:t>., B.</w:t>
      </w:r>
      <w:r w:rsidR="00927568">
        <w:rPr>
          <w:rFonts w:ascii="Arial" w:eastAsia="Calibri" w:hAnsi="Arial" w:cs="Arial"/>
          <w:b/>
          <w:bCs/>
          <w:sz w:val="20"/>
          <w:szCs w:val="20"/>
        </w:rPr>
        <w:t>4</w:t>
      </w:r>
      <w:r w:rsidR="00CC5C39" w:rsidRPr="000A13EA">
        <w:rPr>
          <w:rFonts w:ascii="Arial" w:eastAsia="Calibri" w:hAnsi="Arial" w:cs="Arial"/>
          <w:b/>
          <w:bCs/>
          <w:sz w:val="20"/>
          <w:szCs w:val="20"/>
        </w:rPr>
        <w:t>.</w:t>
      </w:r>
      <w:r w:rsidRPr="000A13EA">
        <w:rPr>
          <w:rFonts w:ascii="Arial" w:eastAsia="Calibri" w:hAnsi="Arial" w:cs="Arial"/>
          <w:b/>
          <w:bCs/>
          <w:sz w:val="20"/>
          <w:szCs w:val="20"/>
        </w:rPr>
        <w:t>)</w:t>
      </w:r>
      <w:r w:rsidRPr="000A13EA">
        <w:rPr>
          <w:rFonts w:ascii="Arial" w:eastAsia="Calibri" w:hAnsi="Arial" w:cs="Arial"/>
          <w:b/>
          <w:sz w:val="20"/>
          <w:szCs w:val="20"/>
        </w:rPr>
        <w:t>.</w:t>
      </w:r>
      <w:r w:rsidRPr="000A13EA">
        <w:rPr>
          <w:rFonts w:ascii="Arial" w:eastAsia="Times New Roman" w:hAnsi="Arial" w:cs="Arial"/>
          <w:sz w:val="20"/>
          <w:szCs w:val="20"/>
          <w:lang w:eastAsia="en-US"/>
        </w:rPr>
        <w:t xml:space="preserve"> Ostvarena sredstva su u cijelosti evidentirana kao prihodi na osnovnom računu </w:t>
      </w:r>
      <w:r w:rsidRPr="000A13EA">
        <w:rPr>
          <w:rFonts w:ascii="Arial" w:eastAsia="Times New Roman" w:hAnsi="Arial" w:cs="Arial"/>
          <w:b/>
          <w:bCs/>
          <w:sz w:val="20"/>
          <w:szCs w:val="20"/>
          <w:u w:val="single"/>
          <w:lang w:eastAsia="en-US"/>
        </w:rPr>
        <w:t>63231</w:t>
      </w:r>
      <w:r w:rsidRPr="000A13EA">
        <w:rPr>
          <w:rFonts w:ascii="Arial" w:eastAsia="Times New Roman" w:hAnsi="Arial" w:cs="Arial"/>
          <w:sz w:val="20"/>
          <w:szCs w:val="20"/>
          <w:lang w:eastAsia="en-US"/>
        </w:rPr>
        <w:t>.</w:t>
      </w:r>
    </w:p>
    <w:bookmarkEnd w:id="410"/>
    <w:p w14:paraId="19428FAE" w14:textId="77777777" w:rsidR="0052045C" w:rsidRDefault="0052045C" w:rsidP="00545CC6">
      <w:pPr>
        <w:spacing w:after="0" w:line="240" w:lineRule="auto"/>
        <w:jc w:val="both"/>
        <w:rPr>
          <w:rFonts w:ascii="Arial" w:eastAsia="Calibri" w:hAnsi="Arial" w:cs="Arial"/>
          <w:sz w:val="20"/>
          <w:szCs w:val="20"/>
        </w:rPr>
      </w:pPr>
    </w:p>
    <w:p w14:paraId="3B9EC7C2" w14:textId="77777777" w:rsidR="00316CD3" w:rsidRPr="00D2370E" w:rsidRDefault="00316CD3" w:rsidP="00316CD3">
      <w:pPr>
        <w:autoSpaceDE w:val="0"/>
        <w:autoSpaceDN w:val="0"/>
        <w:adjustRightInd w:val="0"/>
        <w:spacing w:after="0" w:line="240" w:lineRule="auto"/>
        <w:jc w:val="both"/>
        <w:rPr>
          <w:rFonts w:ascii="Arial" w:eastAsia="Calibri" w:hAnsi="Arial" w:cs="Arial"/>
          <w:b/>
          <w:color w:val="0070C0"/>
          <w:sz w:val="20"/>
          <w:szCs w:val="20"/>
        </w:rPr>
      </w:pPr>
      <w:r w:rsidRPr="00D2370E">
        <w:rPr>
          <w:rFonts w:ascii="Arial" w:eastAsia="Calibri" w:hAnsi="Arial" w:cs="Arial"/>
          <w:color w:val="0070C0"/>
          <w:sz w:val="20"/>
          <w:szCs w:val="20"/>
        </w:rPr>
        <w:t>U okviru ovih prihoda Općina nije iskazala prihode u prvom polugodištu 2025.</w:t>
      </w:r>
    </w:p>
    <w:p w14:paraId="3C81EB57" w14:textId="77777777" w:rsidR="00294EB9" w:rsidRDefault="00294EB9" w:rsidP="00545CC6">
      <w:pPr>
        <w:spacing w:after="0" w:line="240" w:lineRule="auto"/>
        <w:jc w:val="both"/>
        <w:rPr>
          <w:rFonts w:ascii="Arial" w:eastAsia="Calibri" w:hAnsi="Arial" w:cs="Arial"/>
          <w:sz w:val="20"/>
          <w:szCs w:val="20"/>
        </w:rPr>
      </w:pPr>
    </w:p>
    <w:p w14:paraId="31F5BEA0" w14:textId="77777777" w:rsidR="00316CD3" w:rsidRDefault="00316CD3" w:rsidP="00545CC6">
      <w:pPr>
        <w:spacing w:after="0" w:line="240" w:lineRule="auto"/>
        <w:jc w:val="both"/>
        <w:rPr>
          <w:rFonts w:ascii="Arial" w:eastAsia="Calibri" w:hAnsi="Arial" w:cs="Arial"/>
          <w:sz w:val="20"/>
          <w:szCs w:val="20"/>
        </w:rPr>
      </w:pPr>
    </w:p>
    <w:p w14:paraId="4CF263AC" w14:textId="7B4A00B4" w:rsidR="00927568" w:rsidRDefault="00927568" w:rsidP="00927568">
      <w:pPr>
        <w:spacing w:after="0" w:line="240" w:lineRule="auto"/>
        <w:jc w:val="both"/>
        <w:rPr>
          <w:rFonts w:ascii="Arial" w:eastAsia="Calibri" w:hAnsi="Arial" w:cs="Arial"/>
          <w:b/>
          <w:bCs/>
          <w:sz w:val="20"/>
          <w:szCs w:val="20"/>
        </w:rPr>
      </w:pPr>
      <w:r w:rsidRPr="000A13EA">
        <w:rPr>
          <w:rFonts w:ascii="Arial" w:eastAsia="Calibri" w:hAnsi="Arial" w:cs="Arial"/>
          <w:b/>
          <w:bCs/>
          <w:sz w:val="20"/>
          <w:szCs w:val="20"/>
        </w:rPr>
        <w:t>B.</w:t>
      </w:r>
      <w:r>
        <w:rPr>
          <w:rFonts w:ascii="Arial" w:eastAsia="Calibri" w:hAnsi="Arial" w:cs="Arial"/>
          <w:b/>
          <w:bCs/>
          <w:sz w:val="20"/>
          <w:szCs w:val="20"/>
        </w:rPr>
        <w:t>1</w:t>
      </w:r>
      <w:r w:rsidRPr="000A13EA">
        <w:rPr>
          <w:rFonts w:ascii="Arial" w:eastAsia="Calibri" w:hAnsi="Arial" w:cs="Arial"/>
          <w:b/>
          <w:bCs/>
          <w:sz w:val="20"/>
          <w:szCs w:val="20"/>
        </w:rPr>
        <w:t xml:space="preserve">) </w:t>
      </w:r>
      <w:r>
        <w:rPr>
          <w:rFonts w:ascii="Arial" w:eastAsia="Calibri" w:hAnsi="Arial" w:cs="Arial"/>
          <w:b/>
          <w:bCs/>
          <w:sz w:val="20"/>
          <w:szCs w:val="20"/>
        </w:rPr>
        <w:t>CIRCUS – CIRCULAR ECONOMY STRATEGIES</w:t>
      </w:r>
    </w:p>
    <w:p w14:paraId="408949E8" w14:textId="77777777" w:rsidR="002A4531" w:rsidRDefault="002A4531" w:rsidP="002A4531">
      <w:pPr>
        <w:spacing w:after="0" w:line="240" w:lineRule="auto"/>
        <w:jc w:val="both"/>
        <w:rPr>
          <w:rFonts w:ascii="Arial" w:eastAsia="Calibri" w:hAnsi="Arial" w:cs="Arial"/>
          <w:sz w:val="20"/>
          <w:szCs w:val="20"/>
        </w:rPr>
      </w:pPr>
    </w:p>
    <w:p w14:paraId="7648E2CD" w14:textId="4034C48A" w:rsidR="002A4531" w:rsidRPr="00927568" w:rsidRDefault="002A4531" w:rsidP="002A4531">
      <w:pPr>
        <w:spacing w:after="0" w:line="240" w:lineRule="auto"/>
        <w:jc w:val="both"/>
        <w:rPr>
          <w:rFonts w:ascii="Arial" w:eastAsia="Calibri" w:hAnsi="Arial" w:cs="Arial"/>
          <w:sz w:val="20"/>
          <w:szCs w:val="20"/>
        </w:rPr>
      </w:pPr>
      <w:r w:rsidRPr="00927568">
        <w:rPr>
          <w:rFonts w:ascii="Arial" w:eastAsia="Calibri" w:hAnsi="Arial" w:cs="Arial"/>
          <w:sz w:val="20"/>
          <w:szCs w:val="20"/>
        </w:rPr>
        <w:t xml:space="preserve">Ukupan </w:t>
      </w:r>
      <w:r w:rsidR="00294EB9">
        <w:rPr>
          <w:rFonts w:ascii="Arial" w:eastAsia="Calibri" w:hAnsi="Arial" w:cs="Arial"/>
          <w:sz w:val="20"/>
          <w:szCs w:val="20"/>
        </w:rPr>
        <w:t>proračun</w:t>
      </w:r>
      <w:r w:rsidRPr="00927568">
        <w:rPr>
          <w:rFonts w:ascii="Arial" w:eastAsia="Calibri" w:hAnsi="Arial" w:cs="Arial"/>
          <w:sz w:val="20"/>
          <w:szCs w:val="20"/>
        </w:rPr>
        <w:t xml:space="preserve"> Općine Konavle: 134.450,00 </w:t>
      </w:r>
      <w:r>
        <w:rPr>
          <w:rFonts w:ascii="Arial" w:eastAsia="Calibri" w:hAnsi="Arial" w:cs="Arial"/>
          <w:sz w:val="20"/>
          <w:szCs w:val="20"/>
        </w:rPr>
        <w:t>€</w:t>
      </w:r>
      <w:r w:rsidR="008B12ED">
        <w:rPr>
          <w:rFonts w:ascii="Arial" w:eastAsia="Calibri" w:hAnsi="Arial" w:cs="Arial"/>
          <w:sz w:val="20"/>
          <w:szCs w:val="20"/>
        </w:rPr>
        <w:t xml:space="preserve">, </w:t>
      </w:r>
      <w:r w:rsidR="008B12ED" w:rsidRPr="004E241C">
        <w:rPr>
          <w:rFonts w:ascii="Arial" w:eastAsia="Calibri" w:hAnsi="Arial" w:cs="Arial"/>
          <w:bCs/>
          <w:sz w:val="20"/>
          <w:szCs w:val="20"/>
        </w:rPr>
        <w:t xml:space="preserve">od čega </w:t>
      </w:r>
      <w:r w:rsidR="008B12ED" w:rsidRPr="00501674">
        <w:rPr>
          <w:rFonts w:ascii="Arial" w:eastAsia="Calibri" w:hAnsi="Arial" w:cs="Arial"/>
          <w:b/>
          <w:sz w:val="20"/>
          <w:szCs w:val="20"/>
        </w:rPr>
        <w:t>očekivana vrijednost sufinanciranja EU iznosi 85% odnosno 114.282,50 €.</w:t>
      </w:r>
    </w:p>
    <w:p w14:paraId="7A334D68" w14:textId="77777777" w:rsidR="00927568" w:rsidRPr="00927568" w:rsidRDefault="00927568" w:rsidP="00927568">
      <w:pPr>
        <w:spacing w:after="0" w:line="240" w:lineRule="auto"/>
        <w:jc w:val="both"/>
        <w:rPr>
          <w:rFonts w:ascii="Arial" w:eastAsia="Calibri" w:hAnsi="Arial" w:cs="Arial"/>
          <w:sz w:val="20"/>
          <w:szCs w:val="20"/>
        </w:rPr>
      </w:pPr>
    </w:p>
    <w:p w14:paraId="16590974" w14:textId="77777777" w:rsidR="00927568" w:rsidRPr="00927568" w:rsidRDefault="00927568" w:rsidP="00927568">
      <w:pPr>
        <w:spacing w:after="0" w:line="240" w:lineRule="auto"/>
        <w:jc w:val="both"/>
        <w:rPr>
          <w:rFonts w:ascii="Arial" w:eastAsia="Calibri" w:hAnsi="Arial" w:cs="Arial"/>
          <w:sz w:val="20"/>
          <w:szCs w:val="20"/>
        </w:rPr>
      </w:pPr>
      <w:r w:rsidRPr="00927568">
        <w:rPr>
          <w:rFonts w:ascii="Arial" w:eastAsia="Calibri" w:hAnsi="Arial" w:cs="Arial"/>
          <w:b/>
          <w:bCs/>
          <w:sz w:val="20"/>
          <w:szCs w:val="20"/>
        </w:rPr>
        <w:t>Naziv projekta</w:t>
      </w:r>
      <w:r w:rsidRPr="00927568">
        <w:rPr>
          <w:rFonts w:ascii="Arial" w:eastAsia="Calibri" w:hAnsi="Arial" w:cs="Arial"/>
          <w:sz w:val="20"/>
          <w:szCs w:val="20"/>
        </w:rPr>
        <w:t>: CIRCUS – Strategije, akcijski planovi i rješenja za prijelaz sustava poljoprivrede i prehrane u obalnim zajednicama ADRION-a</w:t>
      </w:r>
    </w:p>
    <w:p w14:paraId="6CC579A9" w14:textId="77777777" w:rsidR="00927568" w:rsidRPr="00927568" w:rsidRDefault="00927568" w:rsidP="00927568">
      <w:pPr>
        <w:spacing w:after="0" w:line="240" w:lineRule="auto"/>
        <w:jc w:val="both"/>
        <w:rPr>
          <w:rFonts w:ascii="Arial" w:eastAsia="Calibri" w:hAnsi="Arial" w:cs="Arial"/>
          <w:sz w:val="20"/>
          <w:szCs w:val="20"/>
        </w:rPr>
      </w:pPr>
      <w:r w:rsidRPr="00927568">
        <w:rPr>
          <w:rFonts w:ascii="Arial" w:eastAsia="Calibri" w:hAnsi="Arial" w:cs="Arial"/>
          <w:b/>
          <w:bCs/>
          <w:sz w:val="20"/>
          <w:szCs w:val="20"/>
        </w:rPr>
        <w:t>Glavni cilj projekta</w:t>
      </w:r>
      <w:r w:rsidRPr="00927568">
        <w:rPr>
          <w:rFonts w:ascii="Arial" w:eastAsia="Calibri" w:hAnsi="Arial" w:cs="Arial"/>
          <w:sz w:val="20"/>
          <w:szCs w:val="20"/>
        </w:rPr>
        <w:t>: Podržati prijelaz na cirkularnu ekonomiju u sustavu poljoprivrede i prehrane obalnih zajednica jadransko-jonske regije (ADRION) razvojem i testiranjem strategija, akcijskih planova te inovativnih rješenja koja će povećati znanje i kapacitete dionika, posebno u javnom sektoru.</w:t>
      </w:r>
    </w:p>
    <w:p w14:paraId="50872A65" w14:textId="77777777" w:rsidR="00927568" w:rsidRPr="00927568" w:rsidRDefault="00927568" w:rsidP="00927568">
      <w:pPr>
        <w:spacing w:after="0" w:line="240" w:lineRule="auto"/>
        <w:jc w:val="both"/>
        <w:rPr>
          <w:rFonts w:ascii="Arial" w:eastAsia="Calibri" w:hAnsi="Arial" w:cs="Arial"/>
          <w:sz w:val="20"/>
          <w:szCs w:val="20"/>
        </w:rPr>
      </w:pPr>
      <w:r w:rsidRPr="002A4531">
        <w:rPr>
          <w:rFonts w:ascii="Arial" w:eastAsia="Calibri" w:hAnsi="Arial" w:cs="Arial"/>
          <w:b/>
          <w:bCs/>
          <w:sz w:val="20"/>
          <w:szCs w:val="20"/>
        </w:rPr>
        <w:t>Prioritetna os programa</w:t>
      </w:r>
      <w:r w:rsidRPr="00927568">
        <w:rPr>
          <w:rFonts w:ascii="Arial" w:eastAsia="Calibri" w:hAnsi="Arial" w:cs="Arial"/>
          <w:sz w:val="20"/>
          <w:szCs w:val="20"/>
        </w:rPr>
        <w:t>: Podrška zelenijoj i klimatski otpornijoj jadransko-jonskoj regiji</w:t>
      </w:r>
    </w:p>
    <w:p w14:paraId="49EE8D93" w14:textId="0A44D0A7" w:rsidR="00927568" w:rsidRPr="00927568" w:rsidRDefault="00927568" w:rsidP="00927568">
      <w:pPr>
        <w:spacing w:after="0" w:line="240" w:lineRule="auto"/>
        <w:jc w:val="both"/>
        <w:rPr>
          <w:rFonts w:ascii="Arial" w:eastAsia="Calibri" w:hAnsi="Arial" w:cs="Arial"/>
          <w:sz w:val="20"/>
          <w:szCs w:val="20"/>
        </w:rPr>
      </w:pPr>
      <w:r w:rsidRPr="002A4531">
        <w:rPr>
          <w:rFonts w:ascii="Arial" w:eastAsia="Calibri" w:hAnsi="Arial" w:cs="Arial"/>
          <w:b/>
          <w:bCs/>
          <w:sz w:val="20"/>
          <w:szCs w:val="20"/>
        </w:rPr>
        <w:t>Opis projekta</w:t>
      </w:r>
      <w:r w:rsidRPr="00927568">
        <w:rPr>
          <w:rFonts w:ascii="Arial" w:eastAsia="Calibri" w:hAnsi="Arial" w:cs="Arial"/>
          <w:sz w:val="20"/>
          <w:szCs w:val="20"/>
        </w:rPr>
        <w:t>:</w:t>
      </w:r>
      <w:r w:rsidR="002A4531">
        <w:rPr>
          <w:rFonts w:ascii="Arial" w:eastAsia="Calibri" w:hAnsi="Arial" w:cs="Arial"/>
          <w:sz w:val="20"/>
          <w:szCs w:val="20"/>
        </w:rPr>
        <w:t xml:space="preserve"> </w:t>
      </w:r>
      <w:r w:rsidRPr="00927568">
        <w:rPr>
          <w:rFonts w:ascii="Arial" w:eastAsia="Calibri" w:hAnsi="Arial" w:cs="Arial"/>
          <w:sz w:val="20"/>
          <w:szCs w:val="20"/>
        </w:rPr>
        <w:t>Projekt CIRCUS fokusira se na izazove s kojima se suočavaju obalne zajednice u regiji ADRION, kao što su prekomjerna eksploatacija resursa, klimatske promjene i iseljavanje mladih. Cilj je pokrenuti održiv razvoj ekosustava kroz integrirane strategije i akcijske planove koji će potaknuti suradnju između ruralnih i obalnih područja. Projekt uključuje šest općina: Tricase (Italija), Trebinje (Bosna i Hercegovina), Vlore (Albanija), Herceg Novi (Crna Gora), Korfu (Grčka) i Konavle (Hrvatska).</w:t>
      </w:r>
    </w:p>
    <w:p w14:paraId="55F8B7FD" w14:textId="47FC3326" w:rsidR="00927568" w:rsidRDefault="00927568" w:rsidP="002A4531">
      <w:pPr>
        <w:spacing w:after="0" w:line="240" w:lineRule="auto"/>
        <w:jc w:val="both"/>
        <w:rPr>
          <w:rFonts w:ascii="Arial" w:eastAsia="Calibri" w:hAnsi="Arial" w:cs="Arial"/>
          <w:sz w:val="20"/>
          <w:szCs w:val="20"/>
        </w:rPr>
      </w:pPr>
      <w:r w:rsidRPr="002A4531">
        <w:rPr>
          <w:rFonts w:ascii="Arial" w:eastAsia="Calibri" w:hAnsi="Arial" w:cs="Arial"/>
          <w:b/>
          <w:bCs/>
          <w:sz w:val="20"/>
          <w:szCs w:val="20"/>
        </w:rPr>
        <w:t>Projektno partnerstvo</w:t>
      </w:r>
      <w:r w:rsidRPr="00927568">
        <w:rPr>
          <w:rFonts w:ascii="Arial" w:eastAsia="Calibri" w:hAnsi="Arial" w:cs="Arial"/>
          <w:sz w:val="20"/>
          <w:szCs w:val="20"/>
        </w:rPr>
        <w:t>:</w:t>
      </w:r>
      <w:r w:rsidR="002A4531">
        <w:rPr>
          <w:rFonts w:ascii="Arial" w:eastAsia="Calibri" w:hAnsi="Arial" w:cs="Arial"/>
          <w:sz w:val="20"/>
          <w:szCs w:val="20"/>
        </w:rPr>
        <w:t xml:space="preserve"> </w:t>
      </w:r>
      <w:r w:rsidRPr="00927568">
        <w:rPr>
          <w:rFonts w:ascii="Arial" w:eastAsia="Calibri" w:hAnsi="Arial" w:cs="Arial"/>
          <w:sz w:val="20"/>
          <w:szCs w:val="20"/>
        </w:rPr>
        <w:t xml:space="preserve">Projekt uključuje vodećeg partnera, Mediteranski agronomski institut u Bariju (CIHEAM Bari) i devet drugih partnera iz lokalnih tijela, istraživačkih ustanova i organizacija za podršku poduzetništvu. Ova suradnja će stvoriti sinergije koje će doprinositi održivom razvoju agrifood sustava i jačanju lokalnih zajednica. Projekt CIRCUS financira se iz IPA Adriatic Ionian programa Europske unije. </w:t>
      </w:r>
    </w:p>
    <w:p w14:paraId="74C4BA65" w14:textId="77777777" w:rsidR="002A4531" w:rsidRDefault="002A4531" w:rsidP="002A4531">
      <w:pPr>
        <w:spacing w:after="0" w:line="240" w:lineRule="auto"/>
        <w:jc w:val="both"/>
        <w:rPr>
          <w:rFonts w:ascii="Arial" w:eastAsia="Calibri" w:hAnsi="Arial" w:cs="Arial"/>
          <w:sz w:val="20"/>
          <w:szCs w:val="20"/>
        </w:rPr>
      </w:pPr>
    </w:p>
    <w:p w14:paraId="675CDF70" w14:textId="0AC57465" w:rsidR="002A4531" w:rsidRPr="00927568" w:rsidRDefault="00927568" w:rsidP="002A4531">
      <w:pPr>
        <w:spacing w:after="0" w:line="240" w:lineRule="auto"/>
        <w:jc w:val="both"/>
        <w:rPr>
          <w:rFonts w:ascii="Arial" w:eastAsia="Calibri" w:hAnsi="Arial" w:cs="Arial"/>
          <w:sz w:val="20"/>
          <w:szCs w:val="20"/>
        </w:rPr>
      </w:pPr>
      <w:r w:rsidRPr="001D1CC8">
        <w:rPr>
          <w:rFonts w:ascii="Arial" w:eastAsia="Calibri" w:hAnsi="Arial" w:cs="Arial"/>
          <w:bCs/>
          <w:sz w:val="20"/>
          <w:szCs w:val="20"/>
        </w:rPr>
        <w:t xml:space="preserve">Ugovor s partnerima je zaključen u </w:t>
      </w:r>
      <w:r w:rsidR="002A4531">
        <w:rPr>
          <w:rFonts w:ascii="Arial" w:eastAsia="Calibri" w:hAnsi="Arial" w:cs="Arial"/>
          <w:bCs/>
          <w:sz w:val="20"/>
          <w:szCs w:val="20"/>
        </w:rPr>
        <w:t>rujnu/listopadu</w:t>
      </w:r>
      <w:r w:rsidRPr="001D1CC8">
        <w:rPr>
          <w:rFonts w:ascii="Arial" w:eastAsia="Calibri" w:hAnsi="Arial" w:cs="Arial"/>
          <w:bCs/>
          <w:sz w:val="20"/>
          <w:szCs w:val="20"/>
        </w:rPr>
        <w:t xml:space="preserve"> 2024. godine. Trajanje provedbe projekta je </w:t>
      </w:r>
      <w:r w:rsidR="002A4531" w:rsidRPr="00927568">
        <w:rPr>
          <w:rFonts w:ascii="Arial" w:eastAsia="Calibri" w:hAnsi="Arial" w:cs="Arial"/>
          <w:sz w:val="20"/>
          <w:szCs w:val="20"/>
        </w:rPr>
        <w:t>36 mjeseci (od 01.09.2024. do 31.08.2027.)</w:t>
      </w:r>
      <w:r w:rsidR="002A4531">
        <w:rPr>
          <w:rFonts w:ascii="Arial" w:eastAsia="Calibri" w:hAnsi="Arial" w:cs="Arial"/>
          <w:sz w:val="20"/>
          <w:szCs w:val="20"/>
        </w:rPr>
        <w:t>.</w:t>
      </w:r>
    </w:p>
    <w:p w14:paraId="6CC00DBC" w14:textId="7E45E522" w:rsidR="00927568" w:rsidRPr="00695440" w:rsidRDefault="002A4531" w:rsidP="00927568">
      <w:pPr>
        <w:spacing w:after="0" w:line="240" w:lineRule="auto"/>
        <w:jc w:val="both"/>
        <w:rPr>
          <w:rFonts w:ascii="Arial" w:eastAsia="Calibri" w:hAnsi="Arial" w:cs="Arial"/>
          <w:b/>
          <w:i/>
          <w:iCs/>
          <w:sz w:val="20"/>
          <w:szCs w:val="20"/>
        </w:rPr>
      </w:pPr>
      <w:r w:rsidRPr="00695440">
        <w:rPr>
          <w:rFonts w:ascii="Arial" w:eastAsia="Calibri" w:hAnsi="Arial" w:cs="Arial"/>
          <w:b/>
          <w:i/>
          <w:iCs/>
          <w:sz w:val="20"/>
          <w:szCs w:val="20"/>
        </w:rPr>
        <w:t xml:space="preserve">Nije bilo predujma za provedbu projekta u 2024. godini. </w:t>
      </w:r>
    </w:p>
    <w:p w14:paraId="1EDBD5C4" w14:textId="77777777" w:rsidR="00927568" w:rsidRPr="000327A6" w:rsidRDefault="00927568" w:rsidP="00927568">
      <w:pPr>
        <w:spacing w:after="0" w:line="240" w:lineRule="auto"/>
        <w:jc w:val="both"/>
        <w:rPr>
          <w:rFonts w:ascii="Arial" w:eastAsia="Calibri" w:hAnsi="Arial" w:cs="Arial"/>
          <w:bCs/>
          <w:sz w:val="20"/>
          <w:szCs w:val="20"/>
        </w:rPr>
      </w:pPr>
    </w:p>
    <w:p w14:paraId="72A48C67" w14:textId="70BB6F5B" w:rsidR="00927568" w:rsidRPr="000327A6" w:rsidRDefault="00927568" w:rsidP="00927568">
      <w:pPr>
        <w:spacing w:after="0" w:line="240" w:lineRule="auto"/>
        <w:jc w:val="both"/>
        <w:rPr>
          <w:rFonts w:ascii="Arial" w:eastAsia="Calibri" w:hAnsi="Arial" w:cs="Arial"/>
          <w:bCs/>
          <w:sz w:val="20"/>
          <w:szCs w:val="20"/>
        </w:rPr>
      </w:pPr>
      <w:r w:rsidRPr="000327A6">
        <w:rPr>
          <w:rFonts w:ascii="Arial" w:eastAsia="Calibri" w:hAnsi="Arial" w:cs="Arial"/>
          <w:bCs/>
          <w:sz w:val="20"/>
          <w:szCs w:val="20"/>
        </w:rPr>
        <w:t xml:space="preserve">U </w:t>
      </w:r>
      <w:r w:rsidRPr="00316CD3">
        <w:rPr>
          <w:rFonts w:ascii="Arial" w:eastAsia="Calibri" w:hAnsi="Arial" w:cs="Arial"/>
          <w:b/>
          <w:sz w:val="20"/>
          <w:szCs w:val="20"/>
        </w:rPr>
        <w:t>2024</w:t>
      </w:r>
      <w:r>
        <w:rPr>
          <w:rFonts w:ascii="Arial" w:eastAsia="Calibri" w:hAnsi="Arial" w:cs="Arial"/>
          <w:bCs/>
          <w:sz w:val="20"/>
          <w:szCs w:val="20"/>
        </w:rPr>
        <w:t xml:space="preserve">. godini iskazani su rashodi za provedbu projekta u iznosu </w:t>
      </w:r>
      <w:r w:rsidR="002A4531">
        <w:rPr>
          <w:rFonts w:ascii="Arial" w:eastAsia="Calibri" w:hAnsi="Arial" w:cs="Arial"/>
          <w:bCs/>
          <w:sz w:val="20"/>
          <w:szCs w:val="20"/>
        </w:rPr>
        <w:t>3.000</w:t>
      </w:r>
      <w:r>
        <w:rPr>
          <w:rFonts w:ascii="Arial" w:eastAsia="Calibri" w:hAnsi="Arial" w:cs="Arial"/>
          <w:bCs/>
          <w:sz w:val="20"/>
          <w:szCs w:val="20"/>
        </w:rPr>
        <w:t xml:space="preserve"> € (od čega iz tekućih sredstava EU </w:t>
      </w:r>
      <w:r w:rsidR="002A4531">
        <w:rPr>
          <w:rFonts w:ascii="Arial" w:eastAsia="Calibri" w:hAnsi="Arial" w:cs="Arial"/>
          <w:bCs/>
          <w:sz w:val="20"/>
          <w:szCs w:val="20"/>
        </w:rPr>
        <w:t>2.550</w:t>
      </w:r>
      <w:r>
        <w:rPr>
          <w:rFonts w:ascii="Arial" w:eastAsia="Calibri" w:hAnsi="Arial" w:cs="Arial"/>
          <w:bCs/>
          <w:sz w:val="20"/>
          <w:szCs w:val="20"/>
        </w:rPr>
        <w:t xml:space="preserve"> €</w:t>
      </w:r>
      <w:r w:rsidR="002A4531">
        <w:rPr>
          <w:rFonts w:ascii="Arial" w:eastAsia="Calibri" w:hAnsi="Arial" w:cs="Arial"/>
          <w:bCs/>
          <w:sz w:val="20"/>
          <w:szCs w:val="20"/>
        </w:rPr>
        <w:t xml:space="preserve"> kao manjak ovog izvora financiranja</w:t>
      </w:r>
      <w:r>
        <w:rPr>
          <w:rFonts w:ascii="Arial" w:eastAsia="Calibri" w:hAnsi="Arial" w:cs="Arial"/>
          <w:bCs/>
          <w:sz w:val="20"/>
          <w:szCs w:val="20"/>
        </w:rPr>
        <w:t xml:space="preserve">, a iz općinskih sredstava </w:t>
      </w:r>
      <w:r w:rsidR="002A4531">
        <w:rPr>
          <w:rFonts w:ascii="Arial" w:eastAsia="Calibri" w:hAnsi="Arial" w:cs="Arial"/>
          <w:bCs/>
          <w:sz w:val="20"/>
          <w:szCs w:val="20"/>
        </w:rPr>
        <w:t>450</w:t>
      </w:r>
      <w:r>
        <w:rPr>
          <w:rFonts w:ascii="Arial" w:eastAsia="Calibri" w:hAnsi="Arial" w:cs="Arial"/>
          <w:bCs/>
          <w:sz w:val="20"/>
          <w:szCs w:val="20"/>
        </w:rPr>
        <w:t xml:space="preserve"> €).</w:t>
      </w:r>
    </w:p>
    <w:p w14:paraId="56457111" w14:textId="77777777" w:rsidR="00927568" w:rsidRDefault="00927568" w:rsidP="00545CC6">
      <w:pPr>
        <w:spacing w:after="0" w:line="240" w:lineRule="auto"/>
        <w:jc w:val="both"/>
        <w:rPr>
          <w:rFonts w:ascii="Arial" w:eastAsia="Calibri" w:hAnsi="Arial" w:cs="Arial"/>
          <w:sz w:val="20"/>
          <w:szCs w:val="20"/>
        </w:rPr>
      </w:pPr>
    </w:p>
    <w:p w14:paraId="0924A023" w14:textId="087846E1" w:rsidR="00316CD3" w:rsidRPr="000327A6" w:rsidRDefault="00316CD3" w:rsidP="00316CD3">
      <w:pPr>
        <w:spacing w:after="0" w:line="240" w:lineRule="auto"/>
        <w:jc w:val="both"/>
        <w:rPr>
          <w:rFonts w:ascii="Arial" w:eastAsia="Calibri" w:hAnsi="Arial" w:cs="Arial"/>
          <w:bCs/>
          <w:sz w:val="20"/>
          <w:szCs w:val="20"/>
        </w:rPr>
      </w:pPr>
      <w:r w:rsidRPr="000327A6">
        <w:rPr>
          <w:rFonts w:ascii="Arial" w:eastAsia="Calibri" w:hAnsi="Arial" w:cs="Arial"/>
          <w:bCs/>
          <w:sz w:val="20"/>
          <w:szCs w:val="20"/>
        </w:rPr>
        <w:t xml:space="preserve">U </w:t>
      </w:r>
      <w:r w:rsidRPr="00316CD3">
        <w:rPr>
          <w:rFonts w:ascii="Arial" w:eastAsia="Calibri" w:hAnsi="Arial" w:cs="Arial"/>
          <w:b/>
          <w:sz w:val="20"/>
          <w:szCs w:val="20"/>
        </w:rPr>
        <w:t>2025</w:t>
      </w:r>
      <w:r>
        <w:rPr>
          <w:rFonts w:ascii="Arial" w:eastAsia="Calibri" w:hAnsi="Arial" w:cs="Arial"/>
          <w:bCs/>
          <w:sz w:val="20"/>
          <w:szCs w:val="20"/>
        </w:rPr>
        <w:t>. godini iskazani su rashodi za provedbu projekta u iznosu 10.484,00 € (od čega iz tekućih sredstava EU 8.911,4 € kao manjak ovog izvora financiranja, a iz općinskih sredstava 1.572,60 €).</w:t>
      </w:r>
    </w:p>
    <w:p w14:paraId="28A4D7D0" w14:textId="77777777" w:rsidR="00316CD3" w:rsidRDefault="00316CD3" w:rsidP="00545CC6">
      <w:pPr>
        <w:spacing w:after="0" w:line="240" w:lineRule="auto"/>
        <w:jc w:val="both"/>
        <w:rPr>
          <w:rFonts w:ascii="Arial" w:eastAsia="Calibri" w:hAnsi="Arial" w:cs="Arial"/>
          <w:sz w:val="20"/>
          <w:szCs w:val="20"/>
        </w:rPr>
      </w:pPr>
    </w:p>
    <w:p w14:paraId="02B8DDE1" w14:textId="77777777" w:rsidR="00316CD3" w:rsidRPr="000A13EA" w:rsidRDefault="00316CD3" w:rsidP="00545CC6">
      <w:pPr>
        <w:spacing w:after="0" w:line="240" w:lineRule="auto"/>
        <w:jc w:val="both"/>
        <w:rPr>
          <w:rFonts w:ascii="Arial" w:eastAsia="Calibri" w:hAnsi="Arial" w:cs="Arial"/>
          <w:sz w:val="20"/>
          <w:szCs w:val="20"/>
        </w:rPr>
      </w:pPr>
    </w:p>
    <w:p w14:paraId="60EF23FC" w14:textId="7F902D07" w:rsidR="0052045C" w:rsidRPr="000A13EA" w:rsidRDefault="00CC5C39" w:rsidP="0052045C">
      <w:pPr>
        <w:spacing w:after="0" w:line="240" w:lineRule="auto"/>
        <w:jc w:val="both"/>
        <w:rPr>
          <w:rFonts w:ascii="Arial" w:eastAsia="Calibri" w:hAnsi="Arial" w:cs="Arial"/>
          <w:sz w:val="20"/>
          <w:szCs w:val="20"/>
        </w:rPr>
      </w:pPr>
      <w:r w:rsidRPr="000A13EA">
        <w:rPr>
          <w:rFonts w:ascii="Arial" w:eastAsia="Calibri" w:hAnsi="Arial" w:cs="Arial"/>
          <w:b/>
          <w:bCs/>
          <w:sz w:val="20"/>
          <w:szCs w:val="20"/>
        </w:rPr>
        <w:t>B</w:t>
      </w:r>
      <w:r w:rsidR="0052045C" w:rsidRPr="000A13EA">
        <w:rPr>
          <w:rFonts w:ascii="Arial" w:eastAsia="Calibri" w:hAnsi="Arial" w:cs="Arial"/>
          <w:b/>
          <w:bCs/>
          <w:sz w:val="20"/>
          <w:szCs w:val="20"/>
        </w:rPr>
        <w:t>.</w:t>
      </w:r>
      <w:r w:rsidR="00927568">
        <w:rPr>
          <w:rFonts w:ascii="Arial" w:eastAsia="Calibri" w:hAnsi="Arial" w:cs="Arial"/>
          <w:b/>
          <w:bCs/>
          <w:sz w:val="20"/>
          <w:szCs w:val="20"/>
        </w:rPr>
        <w:t>2</w:t>
      </w:r>
      <w:r w:rsidR="0052045C" w:rsidRPr="000A13EA">
        <w:rPr>
          <w:rFonts w:ascii="Arial" w:eastAsia="Calibri" w:hAnsi="Arial" w:cs="Arial"/>
          <w:b/>
          <w:bCs/>
          <w:sz w:val="20"/>
          <w:szCs w:val="20"/>
        </w:rPr>
        <w:t xml:space="preserve">) </w:t>
      </w:r>
      <w:bookmarkStart w:id="411" w:name="_Hlk166665863"/>
      <w:r w:rsidR="0052045C" w:rsidRPr="000A13EA">
        <w:rPr>
          <w:rFonts w:ascii="Arial" w:eastAsia="Calibri" w:hAnsi="Arial" w:cs="Arial"/>
          <w:b/>
          <w:bCs/>
          <w:sz w:val="20"/>
          <w:szCs w:val="20"/>
        </w:rPr>
        <w:t>ERASMUS+, Unnecessary - useful and aesthetic creative approach to recycling</w:t>
      </w:r>
      <w:r w:rsidR="0052045C" w:rsidRPr="000A13EA">
        <w:rPr>
          <w:rFonts w:ascii="Arial" w:eastAsia="Calibri" w:hAnsi="Arial" w:cs="Arial"/>
          <w:sz w:val="20"/>
          <w:szCs w:val="20"/>
        </w:rPr>
        <w:t xml:space="preserve"> </w:t>
      </w:r>
      <w:bookmarkEnd w:id="411"/>
      <w:r w:rsidR="0052045C" w:rsidRPr="000A13EA">
        <w:rPr>
          <w:rFonts w:ascii="Arial" w:eastAsia="Calibri" w:hAnsi="Arial" w:cs="Arial"/>
          <w:sz w:val="20"/>
          <w:szCs w:val="20"/>
        </w:rPr>
        <w:t xml:space="preserve">je projekt koji je preko proračunskog korisnika – Muzeji i galerije Konavala, započeo u 2020. godini sa trajanjem do 30.12.2021. (sufinanciranje provedbe projekta ERASMUS + kreativan pristup recikliranju, projekt u kojem je ustanova partner a koordinator iz Poljske). </w:t>
      </w:r>
      <w:bookmarkStart w:id="412" w:name="_Hlk166665895"/>
      <w:r w:rsidR="0052045C" w:rsidRPr="000A13EA">
        <w:rPr>
          <w:rFonts w:ascii="Arial" w:eastAsia="Calibri" w:hAnsi="Arial" w:cs="Arial"/>
          <w:sz w:val="20"/>
          <w:szCs w:val="20"/>
        </w:rPr>
        <w:t xml:space="preserve">Tema projekta je pronalaženje oblika kreativne upotrebe otpada u umjetnosti s terapeutskim efektima kao doprinosa konceptu održivog </w:t>
      </w:r>
      <w:r w:rsidR="0052045C" w:rsidRPr="000A13EA">
        <w:rPr>
          <w:rFonts w:ascii="Arial" w:eastAsia="Calibri" w:hAnsi="Arial" w:cs="Arial"/>
          <w:sz w:val="20"/>
          <w:szCs w:val="20"/>
        </w:rPr>
        <w:lastRenderedPageBreak/>
        <w:t>razvoja i cjeloživotnog učenja s ciljem uključivanja u programe ranjivih skupina</w:t>
      </w:r>
      <w:bookmarkEnd w:id="412"/>
      <w:r w:rsidR="0052045C" w:rsidRPr="000A13EA">
        <w:rPr>
          <w:rFonts w:ascii="Arial" w:eastAsia="Calibri" w:hAnsi="Arial" w:cs="Arial"/>
          <w:sz w:val="20"/>
          <w:szCs w:val="20"/>
        </w:rPr>
        <w:t xml:space="preserve">. </w:t>
      </w:r>
      <w:bookmarkStart w:id="413" w:name="_Hlk166665991"/>
      <w:r w:rsidR="0052045C" w:rsidRPr="00501674">
        <w:rPr>
          <w:rFonts w:ascii="Arial" w:eastAsia="Calibri" w:hAnsi="Arial" w:cs="Arial"/>
          <w:b/>
          <w:bCs/>
          <w:i/>
          <w:iCs/>
          <w:sz w:val="20"/>
          <w:szCs w:val="20"/>
        </w:rPr>
        <w:t xml:space="preserve">Ukupna vrijednost projekta iznosi 156.245,00 </w:t>
      </w:r>
      <w:r w:rsidR="009837C0" w:rsidRPr="00501674">
        <w:rPr>
          <w:rFonts w:ascii="Arial" w:eastAsia="Calibri" w:hAnsi="Arial" w:cs="Arial"/>
          <w:b/>
          <w:bCs/>
          <w:i/>
          <w:iCs/>
          <w:sz w:val="20"/>
          <w:szCs w:val="20"/>
        </w:rPr>
        <w:t>€</w:t>
      </w:r>
      <w:r w:rsidR="0052045C" w:rsidRPr="00501674">
        <w:rPr>
          <w:rFonts w:ascii="Arial" w:eastAsia="Calibri" w:hAnsi="Arial" w:cs="Arial"/>
          <w:b/>
          <w:bCs/>
          <w:i/>
          <w:iCs/>
          <w:sz w:val="20"/>
          <w:szCs w:val="20"/>
        </w:rPr>
        <w:t xml:space="preserve">, </w:t>
      </w:r>
      <w:r w:rsidR="00E7370C" w:rsidRPr="00501674">
        <w:rPr>
          <w:rFonts w:ascii="Arial" w:eastAsia="Calibri" w:hAnsi="Arial" w:cs="Arial"/>
          <w:b/>
          <w:bCs/>
          <w:i/>
          <w:iCs/>
          <w:sz w:val="20"/>
          <w:szCs w:val="20"/>
        </w:rPr>
        <w:t xml:space="preserve">od čega </w:t>
      </w:r>
      <w:r w:rsidR="0052045C" w:rsidRPr="00501674">
        <w:rPr>
          <w:rFonts w:ascii="Arial" w:eastAsia="Calibri" w:hAnsi="Arial" w:cs="Arial"/>
          <w:b/>
          <w:bCs/>
          <w:i/>
          <w:iCs/>
          <w:sz w:val="20"/>
          <w:szCs w:val="20"/>
        </w:rPr>
        <w:t xml:space="preserve">Muzejima i galerijama Konavala </w:t>
      </w:r>
      <w:r w:rsidR="00E7370C" w:rsidRPr="00501674">
        <w:rPr>
          <w:rFonts w:ascii="Arial" w:eastAsia="Calibri" w:hAnsi="Arial" w:cs="Arial"/>
          <w:b/>
          <w:bCs/>
          <w:i/>
          <w:iCs/>
          <w:sz w:val="20"/>
          <w:szCs w:val="20"/>
        </w:rPr>
        <w:t xml:space="preserve">odobreni proračun iznosi </w:t>
      </w:r>
      <w:r w:rsidR="0052045C" w:rsidRPr="00501674">
        <w:rPr>
          <w:rFonts w:ascii="Arial" w:eastAsia="Calibri" w:hAnsi="Arial" w:cs="Arial"/>
          <w:b/>
          <w:bCs/>
          <w:i/>
          <w:iCs/>
          <w:sz w:val="20"/>
          <w:szCs w:val="20"/>
        </w:rPr>
        <w:t xml:space="preserve">16.844 </w:t>
      </w:r>
      <w:r w:rsidR="00E7370C" w:rsidRPr="00501674">
        <w:rPr>
          <w:rFonts w:ascii="Arial" w:eastAsia="Calibri" w:hAnsi="Arial" w:cs="Arial"/>
          <w:b/>
          <w:bCs/>
          <w:i/>
          <w:iCs/>
          <w:sz w:val="20"/>
          <w:szCs w:val="20"/>
        </w:rPr>
        <w:t>€</w:t>
      </w:r>
      <w:r w:rsidR="0052045C" w:rsidRPr="00501674">
        <w:rPr>
          <w:rFonts w:ascii="Arial" w:eastAsia="Calibri" w:hAnsi="Arial" w:cs="Arial"/>
          <w:b/>
          <w:bCs/>
          <w:i/>
          <w:iCs/>
          <w:sz w:val="20"/>
          <w:szCs w:val="20"/>
        </w:rPr>
        <w:t>.</w:t>
      </w:r>
      <w:r w:rsidR="0052045C" w:rsidRPr="000A13EA">
        <w:rPr>
          <w:rFonts w:ascii="Arial" w:eastAsia="Calibri" w:hAnsi="Arial" w:cs="Arial"/>
          <w:sz w:val="20"/>
          <w:szCs w:val="20"/>
        </w:rPr>
        <w:t xml:space="preserve"> U svibnju 2020. Muzejima je doznačen predujam u iznosu 6.737,60 </w:t>
      </w:r>
      <w:r w:rsidR="00E7370C" w:rsidRPr="000A13EA">
        <w:rPr>
          <w:rFonts w:ascii="Arial" w:eastAsia="Calibri" w:hAnsi="Arial" w:cs="Arial"/>
          <w:sz w:val="20"/>
          <w:szCs w:val="20"/>
        </w:rPr>
        <w:t>€</w:t>
      </w:r>
      <w:r w:rsidR="0052045C" w:rsidRPr="000A13EA">
        <w:rPr>
          <w:rFonts w:ascii="Arial" w:eastAsia="Calibri" w:hAnsi="Arial" w:cs="Arial"/>
          <w:sz w:val="20"/>
          <w:szCs w:val="20"/>
        </w:rPr>
        <w:t xml:space="preserve"> (50.130,40 kn), te je u navedenom iznosu bio iskazan i prihod. U 2022. godini su ostvareni prihodi za ovaj projekt u iznosu 6.737,60 </w:t>
      </w:r>
      <w:r w:rsidR="007B6B39" w:rsidRPr="000A13EA">
        <w:rPr>
          <w:rFonts w:ascii="Arial" w:eastAsia="Calibri" w:hAnsi="Arial" w:cs="Arial"/>
          <w:sz w:val="20"/>
          <w:szCs w:val="20"/>
        </w:rPr>
        <w:t>€</w:t>
      </w:r>
      <w:r w:rsidR="0052045C" w:rsidRPr="000A13EA">
        <w:rPr>
          <w:rFonts w:ascii="Arial" w:eastAsia="Calibri" w:hAnsi="Arial" w:cs="Arial"/>
          <w:sz w:val="20"/>
          <w:szCs w:val="20"/>
        </w:rPr>
        <w:t xml:space="preserve"> (40%) odnosno 50.701,83 kn.</w:t>
      </w:r>
    </w:p>
    <w:p w14:paraId="51446339" w14:textId="6A939265" w:rsidR="0052045C" w:rsidRPr="000A13EA" w:rsidRDefault="0052045C" w:rsidP="0052045C">
      <w:pPr>
        <w:spacing w:after="0" w:line="240" w:lineRule="auto"/>
        <w:jc w:val="both"/>
        <w:rPr>
          <w:rFonts w:ascii="Arial" w:eastAsia="Calibri" w:hAnsi="Arial" w:cs="Arial"/>
          <w:bCs/>
          <w:sz w:val="20"/>
          <w:szCs w:val="20"/>
        </w:rPr>
      </w:pPr>
      <w:r w:rsidRPr="000A13EA">
        <w:rPr>
          <w:rFonts w:ascii="Arial" w:eastAsia="Calibri" w:hAnsi="Arial" w:cs="Arial"/>
          <w:bCs/>
          <w:sz w:val="20"/>
          <w:szCs w:val="20"/>
        </w:rPr>
        <w:t>U 2023. su doznačena sredstva u iznosu 1.790,80 € na temelju odobrenog izvještaja</w:t>
      </w:r>
      <w:r w:rsidR="00501674">
        <w:rPr>
          <w:rFonts w:ascii="Arial" w:eastAsia="Calibri" w:hAnsi="Arial" w:cs="Arial"/>
          <w:bCs/>
          <w:sz w:val="20"/>
          <w:szCs w:val="20"/>
        </w:rPr>
        <w:t xml:space="preserve"> (</w:t>
      </w:r>
      <w:r w:rsidR="00501674" w:rsidRPr="00501674">
        <w:rPr>
          <w:rFonts w:ascii="Arial" w:eastAsia="Calibri" w:hAnsi="Arial" w:cs="Arial"/>
          <w:b/>
          <w:i/>
          <w:iCs/>
          <w:sz w:val="20"/>
          <w:szCs w:val="20"/>
        </w:rPr>
        <w:t>sveukupno doznačena sredstva od početka provedbe projekta 15.266 €</w:t>
      </w:r>
      <w:r w:rsidR="00501674">
        <w:rPr>
          <w:rFonts w:ascii="Arial" w:eastAsia="Calibri" w:hAnsi="Arial" w:cs="Arial"/>
          <w:bCs/>
          <w:sz w:val="20"/>
          <w:szCs w:val="20"/>
        </w:rPr>
        <w:t>)</w:t>
      </w:r>
      <w:r w:rsidRPr="000A13EA">
        <w:rPr>
          <w:rFonts w:ascii="Arial" w:eastAsia="Calibri" w:hAnsi="Arial" w:cs="Arial"/>
          <w:bCs/>
          <w:sz w:val="20"/>
          <w:szCs w:val="20"/>
        </w:rPr>
        <w:t>. U 2023. nije bilo rashoda po projektu.</w:t>
      </w:r>
      <w:r w:rsidR="00256A30" w:rsidRPr="000A13EA">
        <w:rPr>
          <w:rFonts w:ascii="Arial" w:eastAsia="Calibri" w:hAnsi="Arial" w:cs="Arial"/>
          <w:bCs/>
          <w:sz w:val="20"/>
          <w:szCs w:val="20"/>
        </w:rPr>
        <w:t xml:space="preserve"> Neutrošena sredstva koncem 2023.</w:t>
      </w:r>
      <w:r w:rsidR="0060280B" w:rsidRPr="000A13EA">
        <w:rPr>
          <w:rFonts w:ascii="Arial" w:eastAsia="Calibri" w:hAnsi="Arial" w:cs="Arial"/>
          <w:bCs/>
          <w:sz w:val="20"/>
          <w:szCs w:val="20"/>
        </w:rPr>
        <w:t xml:space="preserve"> su iznosila</w:t>
      </w:r>
      <w:r w:rsidR="00256A30" w:rsidRPr="000A13EA">
        <w:rPr>
          <w:rFonts w:ascii="Arial" w:eastAsia="Calibri" w:hAnsi="Arial" w:cs="Arial"/>
          <w:bCs/>
          <w:sz w:val="20"/>
          <w:szCs w:val="20"/>
        </w:rPr>
        <w:t xml:space="preserve"> 4.077,09 €.</w:t>
      </w:r>
      <w:r w:rsidR="0060280B" w:rsidRPr="000A13EA">
        <w:rPr>
          <w:rFonts w:ascii="Arial" w:eastAsia="Calibri" w:hAnsi="Arial" w:cs="Arial"/>
          <w:bCs/>
          <w:sz w:val="20"/>
          <w:szCs w:val="20"/>
        </w:rPr>
        <w:t xml:space="preserve"> U 2024. godini utrošeno je 4.077 €</w:t>
      </w:r>
      <w:r w:rsidR="00316CD3">
        <w:rPr>
          <w:rFonts w:ascii="Arial" w:eastAsia="Calibri" w:hAnsi="Arial" w:cs="Arial"/>
          <w:bCs/>
          <w:sz w:val="20"/>
          <w:szCs w:val="20"/>
        </w:rPr>
        <w:t>, a u 2025. godini nije bilo rashoda</w:t>
      </w:r>
      <w:r w:rsidR="0060280B" w:rsidRPr="000A13EA">
        <w:rPr>
          <w:rFonts w:ascii="Arial" w:eastAsia="Calibri" w:hAnsi="Arial" w:cs="Arial"/>
          <w:bCs/>
          <w:sz w:val="20"/>
          <w:szCs w:val="20"/>
        </w:rPr>
        <w:t xml:space="preserve">. Drugi prihodi nisu ostvarivani u 2024. </w:t>
      </w:r>
      <w:r w:rsidR="00316CD3">
        <w:rPr>
          <w:rFonts w:ascii="Arial" w:eastAsia="Calibri" w:hAnsi="Arial" w:cs="Arial"/>
          <w:bCs/>
          <w:sz w:val="20"/>
          <w:szCs w:val="20"/>
        </w:rPr>
        <w:t xml:space="preserve">niti u 2025. </w:t>
      </w:r>
      <w:r w:rsidR="0060280B" w:rsidRPr="000A13EA">
        <w:rPr>
          <w:rFonts w:ascii="Arial" w:eastAsia="Calibri" w:hAnsi="Arial" w:cs="Arial"/>
          <w:bCs/>
          <w:sz w:val="20"/>
          <w:szCs w:val="20"/>
        </w:rPr>
        <w:t>godini za ovaj projekt.</w:t>
      </w:r>
    </w:p>
    <w:bookmarkEnd w:id="413"/>
    <w:p w14:paraId="479F5208" w14:textId="77777777" w:rsidR="0052045C" w:rsidRPr="000A13EA" w:rsidRDefault="0052045C" w:rsidP="0052045C">
      <w:pPr>
        <w:spacing w:after="0" w:line="240" w:lineRule="auto"/>
        <w:jc w:val="both"/>
        <w:rPr>
          <w:rFonts w:ascii="Arial" w:eastAsia="Calibri" w:hAnsi="Arial" w:cs="Arial"/>
          <w:b/>
          <w:bCs/>
          <w:sz w:val="20"/>
          <w:szCs w:val="20"/>
        </w:rPr>
      </w:pPr>
    </w:p>
    <w:p w14:paraId="461ACBF5" w14:textId="66461663" w:rsidR="0052045C" w:rsidRPr="00F81630" w:rsidRDefault="00CC5C39" w:rsidP="0052045C">
      <w:pPr>
        <w:spacing w:after="0" w:line="240" w:lineRule="auto"/>
        <w:jc w:val="both"/>
        <w:rPr>
          <w:rFonts w:ascii="Arial" w:eastAsia="Calibri" w:hAnsi="Arial" w:cs="Arial"/>
          <w:bCs/>
          <w:sz w:val="20"/>
          <w:szCs w:val="20"/>
        </w:rPr>
      </w:pPr>
      <w:r w:rsidRPr="00F81630">
        <w:rPr>
          <w:rFonts w:ascii="Arial" w:eastAsia="Calibri" w:hAnsi="Arial" w:cs="Arial"/>
          <w:b/>
          <w:bCs/>
          <w:sz w:val="20"/>
          <w:szCs w:val="20"/>
        </w:rPr>
        <w:t>B</w:t>
      </w:r>
      <w:r w:rsidR="0052045C" w:rsidRPr="00F81630">
        <w:rPr>
          <w:rFonts w:ascii="Arial" w:eastAsia="Calibri" w:hAnsi="Arial" w:cs="Arial"/>
          <w:b/>
          <w:bCs/>
          <w:sz w:val="20"/>
          <w:szCs w:val="20"/>
        </w:rPr>
        <w:t>.</w:t>
      </w:r>
      <w:r w:rsidR="00927568">
        <w:rPr>
          <w:rFonts w:ascii="Arial" w:eastAsia="Calibri" w:hAnsi="Arial" w:cs="Arial"/>
          <w:b/>
          <w:bCs/>
          <w:sz w:val="20"/>
          <w:szCs w:val="20"/>
        </w:rPr>
        <w:t>3</w:t>
      </w:r>
      <w:r w:rsidR="0052045C" w:rsidRPr="00F81630">
        <w:rPr>
          <w:rFonts w:ascii="Arial" w:eastAsia="Calibri" w:hAnsi="Arial" w:cs="Arial"/>
          <w:b/>
          <w:bCs/>
          <w:sz w:val="20"/>
          <w:szCs w:val="20"/>
        </w:rPr>
        <w:t xml:space="preserve">) ERASMUS+, </w:t>
      </w:r>
      <w:r w:rsidR="0052045C" w:rsidRPr="00F81630">
        <w:rPr>
          <w:rFonts w:ascii="Arial" w:eastAsia="Calibri" w:hAnsi="Arial" w:cs="Arial"/>
          <w:b/>
        </w:rPr>
        <w:t>"Transnational approaches and multi-perspective methods in history teaching"</w:t>
      </w:r>
      <w:r w:rsidR="0052045C" w:rsidRPr="00F81630">
        <w:rPr>
          <w:rFonts w:ascii="Arial" w:eastAsia="Calibri" w:hAnsi="Arial" w:cs="Arial"/>
          <w:b/>
          <w:bCs/>
          <w:sz w:val="20"/>
          <w:szCs w:val="20"/>
        </w:rPr>
        <w:t xml:space="preserve">, Transnacionalni prikazi povijesti </w:t>
      </w:r>
      <w:r w:rsidR="0052045C" w:rsidRPr="00F81630">
        <w:rPr>
          <w:rFonts w:ascii="Arial" w:eastAsia="Calibri" w:hAnsi="Arial" w:cs="Arial"/>
          <w:sz w:val="20"/>
          <w:szCs w:val="20"/>
        </w:rPr>
        <w:t xml:space="preserve">je projekt koji je preko proračunskog korisnika – Muzeji i galerije Konavala, započeo u 2020. godini. </w:t>
      </w:r>
      <w:r w:rsidR="0052045C" w:rsidRPr="00F81630">
        <w:rPr>
          <w:rFonts w:ascii="Arial" w:eastAsia="Calibri" w:hAnsi="Arial" w:cs="Arial"/>
          <w:bCs/>
          <w:sz w:val="20"/>
          <w:szCs w:val="20"/>
        </w:rPr>
        <w:t xml:space="preserve">Projekt traje od 11/2020 do 06/2023. godine. </w:t>
      </w:r>
      <w:r w:rsidR="0052045C" w:rsidRPr="00501674">
        <w:rPr>
          <w:rFonts w:ascii="Arial" w:eastAsia="Calibri" w:hAnsi="Arial" w:cs="Arial"/>
          <w:b/>
          <w:i/>
          <w:iCs/>
          <w:sz w:val="20"/>
          <w:szCs w:val="20"/>
        </w:rPr>
        <w:t>Muzeji i galerije Konavala</w:t>
      </w:r>
      <w:r w:rsidR="0052045C" w:rsidRPr="00F81630">
        <w:rPr>
          <w:rFonts w:ascii="Arial" w:eastAsia="Calibri" w:hAnsi="Arial" w:cs="Arial"/>
          <w:bCs/>
          <w:sz w:val="20"/>
          <w:szCs w:val="20"/>
        </w:rPr>
        <w:t xml:space="preserve"> sudjel</w:t>
      </w:r>
      <w:r w:rsidR="00501674">
        <w:rPr>
          <w:rFonts w:ascii="Arial" w:eastAsia="Calibri" w:hAnsi="Arial" w:cs="Arial"/>
          <w:bCs/>
          <w:sz w:val="20"/>
          <w:szCs w:val="20"/>
        </w:rPr>
        <w:t>uju</w:t>
      </w:r>
      <w:r w:rsidR="0052045C" w:rsidRPr="00F81630">
        <w:rPr>
          <w:rFonts w:ascii="Arial" w:eastAsia="Calibri" w:hAnsi="Arial" w:cs="Arial"/>
          <w:bCs/>
          <w:sz w:val="20"/>
          <w:szCs w:val="20"/>
        </w:rPr>
        <w:t xml:space="preserve"> u novom Erasmus+ programu </w:t>
      </w:r>
      <w:r w:rsidR="0052045C" w:rsidRPr="00501674">
        <w:rPr>
          <w:rFonts w:ascii="Arial" w:eastAsia="Calibri" w:hAnsi="Arial" w:cs="Arial"/>
          <w:b/>
          <w:i/>
          <w:iCs/>
          <w:sz w:val="20"/>
          <w:szCs w:val="20"/>
        </w:rPr>
        <w:t>kao partner s</w:t>
      </w:r>
      <w:r w:rsidR="00501674" w:rsidRPr="00501674">
        <w:rPr>
          <w:rFonts w:ascii="Arial" w:eastAsia="Calibri" w:hAnsi="Arial" w:cs="Arial"/>
          <w:b/>
          <w:i/>
          <w:iCs/>
          <w:sz w:val="20"/>
          <w:szCs w:val="20"/>
        </w:rPr>
        <w:t xml:space="preserve"> ugovorenim</w:t>
      </w:r>
      <w:r w:rsidR="0052045C" w:rsidRPr="00501674">
        <w:rPr>
          <w:rFonts w:ascii="Arial" w:eastAsia="Calibri" w:hAnsi="Arial" w:cs="Arial"/>
          <w:b/>
          <w:i/>
          <w:iCs/>
          <w:sz w:val="20"/>
          <w:szCs w:val="20"/>
        </w:rPr>
        <w:t xml:space="preserve"> iznosom 33.315 </w:t>
      </w:r>
      <w:r w:rsidR="009837C0" w:rsidRPr="00501674">
        <w:rPr>
          <w:rFonts w:ascii="Arial" w:eastAsia="Calibri" w:hAnsi="Arial" w:cs="Arial"/>
          <w:b/>
          <w:i/>
          <w:iCs/>
          <w:sz w:val="20"/>
          <w:szCs w:val="20"/>
        </w:rPr>
        <w:t>€</w:t>
      </w:r>
      <w:r w:rsidR="0052045C" w:rsidRPr="00501674">
        <w:rPr>
          <w:rFonts w:ascii="Arial" w:eastAsia="Calibri" w:hAnsi="Arial" w:cs="Arial"/>
          <w:b/>
          <w:i/>
          <w:iCs/>
          <w:sz w:val="20"/>
          <w:szCs w:val="20"/>
        </w:rPr>
        <w:t>.</w:t>
      </w:r>
      <w:r w:rsidR="0052045C" w:rsidRPr="00F81630">
        <w:rPr>
          <w:rFonts w:ascii="Arial" w:eastAsia="Calibri" w:hAnsi="Arial" w:cs="Arial"/>
          <w:bCs/>
          <w:sz w:val="20"/>
          <w:szCs w:val="20"/>
        </w:rPr>
        <w:t xml:space="preserve"> U projektu sudjeluje 7 partnera + koordinator iz Austrije Universitaet Klagenfurt. Projekt se bavi promocijom transnacionalnih prikaza povijesti koji omogućuju višestruke identitetske konstrukcije s ciljem razvoja modela najbolje prakse za podučavanje povijesti u školi i izvan nje. </w:t>
      </w:r>
      <w:r w:rsidR="0052045C" w:rsidRPr="00F81630">
        <w:rPr>
          <w:rFonts w:ascii="Arial" w:eastAsia="Calibri" w:hAnsi="Arial" w:cs="Arial"/>
          <w:sz w:val="20"/>
          <w:szCs w:val="20"/>
        </w:rPr>
        <w:t xml:space="preserve">U siječnju 2021. Muzejima je doznačen </w:t>
      </w:r>
      <w:r w:rsidR="0052045C" w:rsidRPr="00501674">
        <w:rPr>
          <w:rFonts w:ascii="Arial" w:eastAsia="Calibri" w:hAnsi="Arial" w:cs="Arial"/>
          <w:b/>
          <w:bCs/>
          <w:i/>
          <w:iCs/>
          <w:sz w:val="20"/>
          <w:szCs w:val="20"/>
        </w:rPr>
        <w:t>predujam</w:t>
      </w:r>
      <w:r w:rsidR="0052045C" w:rsidRPr="00F81630">
        <w:rPr>
          <w:rFonts w:ascii="Arial" w:eastAsia="Calibri" w:hAnsi="Arial" w:cs="Arial"/>
          <w:sz w:val="20"/>
          <w:szCs w:val="20"/>
        </w:rPr>
        <w:t xml:space="preserve"> u iznosu 13.326 </w:t>
      </w:r>
      <w:r w:rsidR="00E7370C" w:rsidRPr="00F81630">
        <w:rPr>
          <w:rFonts w:ascii="Arial" w:eastAsia="Calibri" w:hAnsi="Arial" w:cs="Arial"/>
          <w:sz w:val="20"/>
          <w:szCs w:val="20"/>
        </w:rPr>
        <w:t>€</w:t>
      </w:r>
      <w:r w:rsidR="0052045C" w:rsidRPr="00F81630">
        <w:rPr>
          <w:rFonts w:ascii="Arial" w:eastAsia="Calibri" w:hAnsi="Arial" w:cs="Arial"/>
          <w:sz w:val="20"/>
          <w:szCs w:val="20"/>
        </w:rPr>
        <w:t xml:space="preserve"> (40%) (100.742,60 kn), te je u navedenom iznosu iskazan i prihod. </w:t>
      </w:r>
      <w:bookmarkStart w:id="414" w:name="_Hlk80187453"/>
      <w:r w:rsidR="0052045C" w:rsidRPr="00F81630">
        <w:rPr>
          <w:rFonts w:ascii="Arial" w:eastAsia="Calibri" w:hAnsi="Arial" w:cs="Arial"/>
          <w:bCs/>
          <w:sz w:val="20"/>
          <w:szCs w:val="20"/>
        </w:rPr>
        <w:t xml:space="preserve">U srpnju 2022. godine doznačena su sredstva u iznosu 13.901,87 </w:t>
      </w:r>
      <w:r w:rsidR="00E7370C" w:rsidRPr="00F81630">
        <w:rPr>
          <w:rFonts w:ascii="Arial" w:eastAsia="Calibri" w:hAnsi="Arial" w:cs="Arial"/>
          <w:bCs/>
          <w:sz w:val="20"/>
          <w:szCs w:val="20"/>
        </w:rPr>
        <w:t>€</w:t>
      </w:r>
      <w:r w:rsidR="0052045C" w:rsidRPr="00F81630">
        <w:rPr>
          <w:rFonts w:ascii="Arial" w:eastAsia="Calibri" w:hAnsi="Arial" w:cs="Arial"/>
          <w:bCs/>
          <w:sz w:val="20"/>
          <w:szCs w:val="20"/>
        </w:rPr>
        <w:t xml:space="preserve"> odnosno 104.433,04 kn za provedbu projekta.</w:t>
      </w:r>
    </w:p>
    <w:p w14:paraId="0D0F41AF" w14:textId="1D9B5724" w:rsidR="0052045C" w:rsidRPr="00F81630" w:rsidRDefault="0052045C" w:rsidP="0052045C">
      <w:pPr>
        <w:spacing w:after="0" w:line="240" w:lineRule="auto"/>
        <w:jc w:val="both"/>
        <w:rPr>
          <w:rFonts w:ascii="Arial" w:eastAsia="Calibri" w:hAnsi="Arial" w:cs="Arial"/>
          <w:bCs/>
          <w:sz w:val="20"/>
          <w:szCs w:val="20"/>
        </w:rPr>
      </w:pPr>
      <w:r w:rsidRPr="00F81630">
        <w:rPr>
          <w:rFonts w:ascii="Arial" w:eastAsia="Calibri" w:hAnsi="Arial" w:cs="Arial"/>
          <w:bCs/>
          <w:sz w:val="20"/>
          <w:szCs w:val="20"/>
        </w:rPr>
        <w:t>U 2023. nije bilo doznake sredstava, a izvršeni su rashodi po projektu u iznosu 5.032,13 €.</w:t>
      </w:r>
      <w:r w:rsidR="00256A30" w:rsidRPr="00F81630">
        <w:rPr>
          <w:rFonts w:ascii="Arial" w:eastAsia="Calibri" w:hAnsi="Arial" w:cs="Arial"/>
          <w:bCs/>
          <w:sz w:val="20"/>
          <w:szCs w:val="20"/>
        </w:rPr>
        <w:t xml:space="preserve"> Neutrošena sredstva koncem 2023. </w:t>
      </w:r>
      <w:r w:rsidR="0060280B" w:rsidRPr="00F81630">
        <w:rPr>
          <w:rFonts w:ascii="Arial" w:eastAsia="Calibri" w:hAnsi="Arial" w:cs="Arial"/>
          <w:bCs/>
          <w:sz w:val="20"/>
          <w:szCs w:val="20"/>
        </w:rPr>
        <w:t>su iznosila</w:t>
      </w:r>
      <w:r w:rsidR="00256A30" w:rsidRPr="00F81630">
        <w:rPr>
          <w:rFonts w:ascii="Arial" w:eastAsia="Calibri" w:hAnsi="Arial" w:cs="Arial"/>
          <w:bCs/>
          <w:sz w:val="20"/>
          <w:szCs w:val="20"/>
        </w:rPr>
        <w:t xml:space="preserve"> 929,66 €.</w:t>
      </w:r>
    </w:p>
    <w:p w14:paraId="782C381B" w14:textId="3A641212" w:rsidR="0060280B" w:rsidRDefault="0060280B" w:rsidP="0052045C">
      <w:pPr>
        <w:spacing w:after="0" w:line="240" w:lineRule="auto"/>
        <w:jc w:val="both"/>
        <w:rPr>
          <w:rFonts w:ascii="Arial" w:eastAsia="Calibri" w:hAnsi="Arial" w:cs="Arial"/>
          <w:bCs/>
          <w:sz w:val="20"/>
          <w:szCs w:val="20"/>
        </w:rPr>
      </w:pPr>
      <w:r w:rsidRPr="00F81630">
        <w:rPr>
          <w:rFonts w:ascii="Arial" w:eastAsia="Calibri" w:hAnsi="Arial" w:cs="Arial"/>
          <w:bCs/>
          <w:sz w:val="20"/>
          <w:szCs w:val="20"/>
        </w:rPr>
        <w:t xml:space="preserve">U 2024. godini ostvareni prihodi za ovaj projekt iznose 7.576,90 €, a </w:t>
      </w:r>
      <w:r w:rsidR="000A13EA" w:rsidRPr="00F81630">
        <w:rPr>
          <w:rFonts w:ascii="Arial" w:eastAsia="Calibri" w:hAnsi="Arial" w:cs="Arial"/>
          <w:bCs/>
          <w:sz w:val="20"/>
          <w:szCs w:val="20"/>
        </w:rPr>
        <w:t>sredstva nisu utrošena</w:t>
      </w:r>
      <w:r w:rsidRPr="00F81630">
        <w:rPr>
          <w:rFonts w:ascii="Arial" w:eastAsia="Calibri" w:hAnsi="Arial" w:cs="Arial"/>
          <w:bCs/>
          <w:sz w:val="20"/>
          <w:szCs w:val="20"/>
        </w:rPr>
        <w:t xml:space="preserve">, te neutrošena sredstva koncem 2024. iznose </w:t>
      </w:r>
      <w:r w:rsidR="000A13EA" w:rsidRPr="00F81630">
        <w:rPr>
          <w:rFonts w:ascii="Arial" w:eastAsia="Calibri" w:hAnsi="Arial" w:cs="Arial"/>
          <w:bCs/>
          <w:sz w:val="20"/>
          <w:szCs w:val="20"/>
        </w:rPr>
        <w:t>8.506,56</w:t>
      </w:r>
      <w:r w:rsidRPr="00F81630">
        <w:rPr>
          <w:rFonts w:ascii="Arial" w:eastAsia="Calibri" w:hAnsi="Arial" w:cs="Arial"/>
          <w:bCs/>
          <w:sz w:val="20"/>
          <w:szCs w:val="20"/>
        </w:rPr>
        <w:t xml:space="preserve"> €</w:t>
      </w:r>
      <w:r w:rsidR="00A27770">
        <w:rPr>
          <w:rFonts w:ascii="Arial" w:eastAsia="Calibri" w:hAnsi="Arial" w:cs="Arial"/>
          <w:bCs/>
          <w:sz w:val="20"/>
          <w:szCs w:val="20"/>
        </w:rPr>
        <w:t xml:space="preserve"> (</w:t>
      </w:r>
      <w:r w:rsidR="00A27770" w:rsidRPr="00501674">
        <w:rPr>
          <w:rFonts w:ascii="Arial" w:eastAsia="Calibri" w:hAnsi="Arial" w:cs="Arial"/>
          <w:b/>
          <w:i/>
          <w:iCs/>
          <w:sz w:val="20"/>
          <w:szCs w:val="20"/>
        </w:rPr>
        <w:t xml:space="preserve">sveukupno doznačena sredstva od početka provedbe projekta </w:t>
      </w:r>
      <w:r w:rsidR="00A27770">
        <w:rPr>
          <w:rFonts w:ascii="Arial" w:eastAsia="Calibri" w:hAnsi="Arial" w:cs="Arial"/>
          <w:b/>
          <w:i/>
          <w:iCs/>
          <w:sz w:val="20"/>
          <w:szCs w:val="20"/>
        </w:rPr>
        <w:t>34.804,77</w:t>
      </w:r>
      <w:r w:rsidR="00A27770" w:rsidRPr="00501674">
        <w:rPr>
          <w:rFonts w:ascii="Arial" w:eastAsia="Calibri" w:hAnsi="Arial" w:cs="Arial"/>
          <w:b/>
          <w:i/>
          <w:iCs/>
          <w:sz w:val="20"/>
          <w:szCs w:val="20"/>
        </w:rPr>
        <w:t xml:space="preserve"> €</w:t>
      </w:r>
      <w:r w:rsidR="00A27770">
        <w:rPr>
          <w:rFonts w:ascii="Arial" w:eastAsia="Calibri" w:hAnsi="Arial" w:cs="Arial"/>
          <w:bCs/>
          <w:sz w:val="20"/>
          <w:szCs w:val="20"/>
        </w:rPr>
        <w:t>)</w:t>
      </w:r>
      <w:r w:rsidR="00A27770" w:rsidRPr="000A13EA">
        <w:rPr>
          <w:rFonts w:ascii="Arial" w:eastAsia="Calibri" w:hAnsi="Arial" w:cs="Arial"/>
          <w:bCs/>
          <w:sz w:val="20"/>
          <w:szCs w:val="20"/>
        </w:rPr>
        <w:t>.</w:t>
      </w:r>
      <w:r w:rsidR="00316CD3">
        <w:rPr>
          <w:rFonts w:ascii="Arial" w:eastAsia="Calibri" w:hAnsi="Arial" w:cs="Arial"/>
          <w:bCs/>
          <w:sz w:val="20"/>
          <w:szCs w:val="20"/>
        </w:rPr>
        <w:t xml:space="preserve"> </w:t>
      </w:r>
    </w:p>
    <w:p w14:paraId="6503C8D1" w14:textId="77777777" w:rsidR="00316CD3" w:rsidRDefault="00316CD3" w:rsidP="0052045C">
      <w:pPr>
        <w:spacing w:after="0" w:line="240" w:lineRule="auto"/>
        <w:jc w:val="both"/>
        <w:rPr>
          <w:rFonts w:ascii="Arial" w:eastAsia="Calibri" w:hAnsi="Arial" w:cs="Arial"/>
          <w:bCs/>
          <w:sz w:val="20"/>
          <w:szCs w:val="20"/>
        </w:rPr>
      </w:pPr>
    </w:p>
    <w:p w14:paraId="5C5FEA8E" w14:textId="1AAA8D01" w:rsidR="00316CD3" w:rsidRPr="00F81630" w:rsidRDefault="00316CD3" w:rsidP="0052045C">
      <w:pPr>
        <w:spacing w:after="0" w:line="240" w:lineRule="auto"/>
        <w:jc w:val="both"/>
        <w:rPr>
          <w:rFonts w:ascii="Arial" w:eastAsia="Calibri" w:hAnsi="Arial" w:cs="Arial"/>
          <w:bCs/>
          <w:sz w:val="20"/>
          <w:szCs w:val="20"/>
        </w:rPr>
      </w:pPr>
      <w:r>
        <w:rPr>
          <w:rFonts w:ascii="Arial" w:eastAsia="Calibri" w:hAnsi="Arial" w:cs="Arial"/>
          <w:bCs/>
          <w:sz w:val="20"/>
          <w:szCs w:val="20"/>
        </w:rPr>
        <w:t>U 2025. godini nije bilo prihoda niti izvršenih rashoda ovog projekta.</w:t>
      </w:r>
    </w:p>
    <w:p w14:paraId="51BCC2E7" w14:textId="77777777" w:rsidR="00256A30" w:rsidRPr="00294EB9" w:rsidRDefault="00256A30" w:rsidP="00256A30">
      <w:pPr>
        <w:spacing w:after="0" w:line="240" w:lineRule="auto"/>
        <w:jc w:val="both"/>
        <w:rPr>
          <w:rFonts w:ascii="Arial" w:eastAsia="Calibri" w:hAnsi="Arial" w:cs="Arial"/>
          <w:sz w:val="20"/>
          <w:szCs w:val="20"/>
        </w:rPr>
      </w:pPr>
    </w:p>
    <w:p w14:paraId="6B1AB7FF" w14:textId="57D73828" w:rsidR="00B32353" w:rsidRPr="00F81630" w:rsidRDefault="00CC5C39" w:rsidP="00B32353">
      <w:pPr>
        <w:spacing w:after="0" w:line="240" w:lineRule="auto"/>
        <w:jc w:val="both"/>
        <w:rPr>
          <w:rFonts w:ascii="Arial" w:eastAsia="Calibri" w:hAnsi="Arial" w:cs="Arial"/>
          <w:bCs/>
          <w:sz w:val="20"/>
          <w:szCs w:val="20"/>
        </w:rPr>
      </w:pPr>
      <w:r w:rsidRPr="00F81630">
        <w:rPr>
          <w:rFonts w:ascii="Arial" w:eastAsia="Times New Roman" w:hAnsi="Arial" w:cs="Arial"/>
          <w:b/>
          <w:bCs/>
          <w:sz w:val="20"/>
          <w:szCs w:val="20"/>
        </w:rPr>
        <w:t>B</w:t>
      </w:r>
      <w:r w:rsidR="00B32353" w:rsidRPr="00F81630">
        <w:rPr>
          <w:rFonts w:ascii="Arial" w:eastAsia="Times New Roman" w:hAnsi="Arial" w:cs="Arial"/>
          <w:b/>
          <w:bCs/>
          <w:sz w:val="20"/>
          <w:szCs w:val="20"/>
        </w:rPr>
        <w:t>.</w:t>
      </w:r>
      <w:r w:rsidR="00927568">
        <w:rPr>
          <w:rFonts w:ascii="Arial" w:eastAsia="Times New Roman" w:hAnsi="Arial" w:cs="Arial"/>
          <w:b/>
          <w:bCs/>
          <w:sz w:val="20"/>
          <w:szCs w:val="20"/>
        </w:rPr>
        <w:t>4</w:t>
      </w:r>
      <w:r w:rsidR="00B32353" w:rsidRPr="00F81630">
        <w:rPr>
          <w:rFonts w:ascii="Arial" w:eastAsia="Times New Roman" w:hAnsi="Arial" w:cs="Arial"/>
          <w:b/>
          <w:bCs/>
          <w:sz w:val="20"/>
          <w:szCs w:val="20"/>
        </w:rPr>
        <w:t xml:space="preserve">.) </w:t>
      </w:r>
      <w:r w:rsidR="000C28EE" w:rsidRPr="00F81630">
        <w:rPr>
          <w:rFonts w:ascii="Arial" w:eastAsia="Times New Roman" w:hAnsi="Arial" w:cs="Arial"/>
          <w:b/>
          <w:bCs/>
          <w:sz w:val="20"/>
          <w:szCs w:val="20"/>
        </w:rPr>
        <w:t xml:space="preserve">ERASMUS+ ATME, „A theatrical museum experience“ </w:t>
      </w:r>
      <w:r w:rsidR="000C28EE" w:rsidRPr="00F81630">
        <w:rPr>
          <w:rFonts w:ascii="Arial" w:eastAsia="Times New Roman" w:hAnsi="Arial" w:cs="Arial"/>
          <w:sz w:val="20"/>
          <w:szCs w:val="20"/>
        </w:rPr>
        <w:t xml:space="preserve">je projekt </w:t>
      </w:r>
      <w:r w:rsidR="00B32353" w:rsidRPr="00F81630">
        <w:rPr>
          <w:rFonts w:ascii="Arial" w:eastAsia="Calibri" w:hAnsi="Arial" w:cs="Arial"/>
          <w:sz w:val="20"/>
          <w:szCs w:val="20"/>
        </w:rPr>
        <w:t xml:space="preserve">kojeg provodi proračunski korisnik – Muzeji i galerije Konavala, a započeo je u 2023. godini. </w:t>
      </w:r>
      <w:bookmarkStart w:id="415" w:name="_Hlk166666304"/>
      <w:r w:rsidR="00B32353" w:rsidRPr="00F81630">
        <w:rPr>
          <w:rFonts w:ascii="Arial" w:eastAsia="Calibri" w:hAnsi="Arial" w:cs="Arial"/>
          <w:sz w:val="20"/>
          <w:szCs w:val="20"/>
        </w:rPr>
        <w:t xml:space="preserve">Projekt se </w:t>
      </w:r>
      <w:r w:rsidR="000C28EE" w:rsidRPr="00F81630">
        <w:rPr>
          <w:rFonts w:ascii="Arial" w:eastAsia="Times New Roman" w:hAnsi="Arial" w:cs="Arial"/>
          <w:sz w:val="20"/>
          <w:szCs w:val="20"/>
        </w:rPr>
        <w:t xml:space="preserve">bavi poučavanjem ciljanih skupina kako na originalan način prezentirati sadržaj muzeja, povijesti umjetnosti i sl. čime muzejski prostori postaju novi edukativni i poticajni prostori otvoreni širim publikama, gdje se učenjem kroz iskustvo postiže individualni rast i razvoj kroz nove načine razmišljanja i razvoja uključivog društva. </w:t>
      </w:r>
      <w:bookmarkEnd w:id="415"/>
      <w:r w:rsidR="000C28EE" w:rsidRPr="00F81630">
        <w:rPr>
          <w:rFonts w:ascii="Arial" w:eastAsia="Times New Roman" w:hAnsi="Arial" w:cs="Arial"/>
          <w:sz w:val="20"/>
          <w:szCs w:val="20"/>
        </w:rPr>
        <w:t xml:space="preserve">Projekt traje od 01.04.2023. do 30.09.2024. godine, a </w:t>
      </w:r>
      <w:r w:rsidR="000C28EE" w:rsidRPr="00A27770">
        <w:rPr>
          <w:rFonts w:ascii="Arial" w:eastAsia="Times New Roman" w:hAnsi="Arial" w:cs="Arial"/>
          <w:b/>
          <w:bCs/>
          <w:sz w:val="20"/>
          <w:szCs w:val="20"/>
        </w:rPr>
        <w:t xml:space="preserve">odobreni </w:t>
      </w:r>
      <w:r w:rsidR="00541075" w:rsidRPr="00A27770">
        <w:rPr>
          <w:rFonts w:ascii="Arial" w:eastAsia="Times New Roman" w:hAnsi="Arial" w:cs="Arial"/>
          <w:b/>
          <w:bCs/>
          <w:sz w:val="20"/>
          <w:szCs w:val="20"/>
        </w:rPr>
        <w:t>proračun</w:t>
      </w:r>
      <w:r w:rsidR="000C28EE" w:rsidRPr="00A27770">
        <w:rPr>
          <w:rFonts w:ascii="Arial" w:eastAsia="Times New Roman" w:hAnsi="Arial" w:cs="Arial"/>
          <w:b/>
          <w:bCs/>
          <w:sz w:val="20"/>
          <w:szCs w:val="20"/>
        </w:rPr>
        <w:t xml:space="preserve"> za ustanovu iznosi </w:t>
      </w:r>
      <w:bookmarkStart w:id="416" w:name="_Hlk166666330"/>
      <w:r w:rsidR="000C28EE" w:rsidRPr="00A27770">
        <w:rPr>
          <w:rFonts w:ascii="Arial" w:eastAsia="Times New Roman" w:hAnsi="Arial" w:cs="Arial"/>
          <w:b/>
          <w:bCs/>
          <w:sz w:val="20"/>
          <w:szCs w:val="20"/>
        </w:rPr>
        <w:t xml:space="preserve">16.650 </w:t>
      </w:r>
      <w:r w:rsidR="00E7370C" w:rsidRPr="00A27770">
        <w:rPr>
          <w:rFonts w:ascii="Arial" w:eastAsia="Times New Roman" w:hAnsi="Arial" w:cs="Arial"/>
          <w:b/>
          <w:bCs/>
          <w:sz w:val="20"/>
          <w:szCs w:val="20"/>
        </w:rPr>
        <w:t>€</w:t>
      </w:r>
      <w:bookmarkEnd w:id="416"/>
      <w:r w:rsidR="000C28EE" w:rsidRPr="00F81630">
        <w:rPr>
          <w:rFonts w:ascii="Arial" w:eastAsia="Times New Roman" w:hAnsi="Arial" w:cs="Arial"/>
          <w:sz w:val="20"/>
          <w:szCs w:val="20"/>
        </w:rPr>
        <w:t>. U projektu uz Muzeje i galerije Konavala sudjeluje muzej iz Švedske i dramska skupina iz Belgije, koja je koordinator projekta.</w:t>
      </w:r>
      <w:r w:rsidR="00B32353" w:rsidRPr="00F81630">
        <w:rPr>
          <w:rFonts w:ascii="Arial" w:eastAsia="Times New Roman" w:hAnsi="Arial" w:cs="Arial"/>
          <w:sz w:val="20"/>
          <w:szCs w:val="20"/>
        </w:rPr>
        <w:t xml:space="preserve"> </w:t>
      </w:r>
      <w:bookmarkStart w:id="417" w:name="_Hlk166666373"/>
      <w:r w:rsidR="00B32353" w:rsidRPr="00F81630">
        <w:rPr>
          <w:rFonts w:ascii="Arial" w:eastAsia="Calibri" w:hAnsi="Arial" w:cs="Arial"/>
          <w:sz w:val="20"/>
          <w:szCs w:val="20"/>
        </w:rPr>
        <w:t xml:space="preserve">U rujnu 2023. Muzejima je </w:t>
      </w:r>
      <w:r w:rsidR="00B32353" w:rsidRPr="00A27770">
        <w:rPr>
          <w:rFonts w:ascii="Arial" w:eastAsia="Calibri" w:hAnsi="Arial" w:cs="Arial"/>
          <w:b/>
          <w:bCs/>
          <w:sz w:val="20"/>
          <w:szCs w:val="20"/>
        </w:rPr>
        <w:t xml:space="preserve">doznačen predujam u iznosu 12.000 </w:t>
      </w:r>
      <w:r w:rsidR="00E7370C" w:rsidRPr="00A27770">
        <w:rPr>
          <w:rFonts w:ascii="Arial" w:eastAsia="Calibri" w:hAnsi="Arial" w:cs="Arial"/>
          <w:b/>
          <w:bCs/>
          <w:sz w:val="20"/>
          <w:szCs w:val="20"/>
        </w:rPr>
        <w:t>€</w:t>
      </w:r>
      <w:r w:rsidR="00B32353" w:rsidRPr="00F81630">
        <w:rPr>
          <w:rFonts w:ascii="Arial" w:eastAsia="Calibri" w:hAnsi="Arial" w:cs="Arial"/>
          <w:sz w:val="20"/>
          <w:szCs w:val="20"/>
        </w:rPr>
        <w:t xml:space="preserve"> (85%), te je u navedenom iznosu iskazan i prihod. </w:t>
      </w:r>
    </w:p>
    <w:bookmarkEnd w:id="417"/>
    <w:p w14:paraId="7B1190B8" w14:textId="05F97D72" w:rsidR="00B32353" w:rsidRPr="00F81630" w:rsidRDefault="00B32353" w:rsidP="00B32353">
      <w:pPr>
        <w:spacing w:after="0" w:line="240" w:lineRule="auto"/>
        <w:jc w:val="both"/>
        <w:rPr>
          <w:rFonts w:ascii="Arial" w:eastAsia="Calibri" w:hAnsi="Arial" w:cs="Arial"/>
          <w:bCs/>
          <w:sz w:val="20"/>
          <w:szCs w:val="20"/>
        </w:rPr>
      </w:pPr>
      <w:r w:rsidRPr="00F81630">
        <w:rPr>
          <w:rFonts w:ascii="Arial" w:eastAsia="Calibri" w:hAnsi="Arial" w:cs="Arial"/>
          <w:bCs/>
          <w:sz w:val="20"/>
          <w:szCs w:val="20"/>
        </w:rPr>
        <w:t xml:space="preserve">U 2023. izvršeni su rashodi po projektu u iznosu 11.052,78 € </w:t>
      </w:r>
      <w:r w:rsidRPr="00F81630">
        <w:rPr>
          <w:rFonts w:ascii="Arial" w:eastAsia="Times New Roman" w:hAnsi="Arial" w:cs="Arial"/>
          <w:sz w:val="20"/>
          <w:szCs w:val="20"/>
        </w:rPr>
        <w:t>za troškove službenog puta na TMP sastanak u Švedsku i 2 radionice u Švedsku i Belgiju</w:t>
      </w:r>
      <w:r w:rsidRPr="00F81630">
        <w:rPr>
          <w:rFonts w:ascii="Arial" w:eastAsia="Calibri" w:hAnsi="Arial" w:cs="Arial"/>
          <w:bCs/>
          <w:sz w:val="20"/>
          <w:szCs w:val="20"/>
        </w:rPr>
        <w:t xml:space="preserve">. Neutrošena sredstva koncem 2023. </w:t>
      </w:r>
      <w:r w:rsidR="0060280B" w:rsidRPr="00F81630">
        <w:rPr>
          <w:rFonts w:ascii="Arial" w:eastAsia="Calibri" w:hAnsi="Arial" w:cs="Arial"/>
          <w:bCs/>
          <w:sz w:val="20"/>
          <w:szCs w:val="20"/>
        </w:rPr>
        <w:t>su iznosila</w:t>
      </w:r>
      <w:r w:rsidRPr="00F81630">
        <w:rPr>
          <w:rFonts w:ascii="Arial" w:eastAsia="Calibri" w:hAnsi="Arial" w:cs="Arial"/>
          <w:bCs/>
          <w:sz w:val="20"/>
          <w:szCs w:val="20"/>
        </w:rPr>
        <w:t xml:space="preserve"> 947,22 €.</w:t>
      </w:r>
    </w:p>
    <w:p w14:paraId="036465F5" w14:textId="41BB39E6" w:rsidR="0060280B" w:rsidRPr="00F81630" w:rsidRDefault="0060280B" w:rsidP="0060280B">
      <w:pPr>
        <w:spacing w:after="0" w:line="240" w:lineRule="auto"/>
        <w:jc w:val="both"/>
        <w:rPr>
          <w:rFonts w:ascii="Arial" w:eastAsia="Calibri" w:hAnsi="Arial" w:cs="Arial"/>
          <w:bCs/>
          <w:sz w:val="20"/>
          <w:szCs w:val="20"/>
        </w:rPr>
      </w:pPr>
      <w:r w:rsidRPr="00F81630">
        <w:rPr>
          <w:rFonts w:ascii="Arial" w:eastAsia="Calibri" w:hAnsi="Arial" w:cs="Arial"/>
          <w:bCs/>
          <w:sz w:val="20"/>
          <w:szCs w:val="20"/>
        </w:rPr>
        <w:t xml:space="preserve">U 2024. godini utrošeno je </w:t>
      </w:r>
      <w:r w:rsidR="00F81630" w:rsidRPr="00F81630">
        <w:rPr>
          <w:rFonts w:ascii="Arial" w:eastAsia="Calibri" w:hAnsi="Arial" w:cs="Arial"/>
          <w:bCs/>
          <w:sz w:val="20"/>
          <w:szCs w:val="20"/>
        </w:rPr>
        <w:t>4.338,01</w:t>
      </w:r>
      <w:r w:rsidRPr="00F81630">
        <w:rPr>
          <w:rFonts w:ascii="Arial" w:eastAsia="Calibri" w:hAnsi="Arial" w:cs="Arial"/>
          <w:bCs/>
          <w:sz w:val="20"/>
          <w:szCs w:val="20"/>
        </w:rPr>
        <w:t xml:space="preserve"> €</w:t>
      </w:r>
      <w:r w:rsidR="00F81630" w:rsidRPr="00F81630">
        <w:rPr>
          <w:rFonts w:ascii="Arial" w:eastAsia="Calibri" w:hAnsi="Arial" w:cs="Arial"/>
          <w:bCs/>
          <w:sz w:val="20"/>
          <w:szCs w:val="20"/>
        </w:rPr>
        <w:t>. Doznačena EU sredstva su u cijelosti utrošena i za provedbu projekta koja se očekuju EU sredstva na temelju izvršenih rashoda do konca 2024. godine u iznosu 3.214,50 €</w:t>
      </w:r>
      <w:r w:rsidR="00F81630">
        <w:rPr>
          <w:rFonts w:ascii="Arial" w:eastAsia="Calibri" w:hAnsi="Arial" w:cs="Arial"/>
          <w:bCs/>
          <w:sz w:val="20"/>
          <w:szCs w:val="20"/>
        </w:rPr>
        <w:t xml:space="preserve"> (koncem 2024. godine iskazan manjak ovih izvora financiranja)</w:t>
      </w:r>
      <w:r w:rsidR="00F81630" w:rsidRPr="00F81630">
        <w:rPr>
          <w:rFonts w:ascii="Arial" w:eastAsia="Calibri" w:hAnsi="Arial" w:cs="Arial"/>
          <w:bCs/>
          <w:sz w:val="20"/>
          <w:szCs w:val="20"/>
        </w:rPr>
        <w:t xml:space="preserve">. </w:t>
      </w:r>
      <w:r w:rsidRPr="00F81630">
        <w:rPr>
          <w:rFonts w:ascii="Arial" w:eastAsia="Calibri" w:hAnsi="Arial" w:cs="Arial"/>
          <w:bCs/>
          <w:sz w:val="20"/>
          <w:szCs w:val="20"/>
        </w:rPr>
        <w:t>Drugi prihodi nisu ostvarivani u 2024. godini za ovaj projekt</w:t>
      </w:r>
      <w:r w:rsidR="00A27770">
        <w:rPr>
          <w:rFonts w:ascii="Arial" w:eastAsia="Calibri" w:hAnsi="Arial" w:cs="Arial"/>
          <w:bCs/>
          <w:sz w:val="20"/>
          <w:szCs w:val="20"/>
        </w:rPr>
        <w:t xml:space="preserve"> (</w:t>
      </w:r>
      <w:r w:rsidR="00A27770" w:rsidRPr="00501674">
        <w:rPr>
          <w:rFonts w:ascii="Arial" w:eastAsia="Calibri" w:hAnsi="Arial" w:cs="Arial"/>
          <w:b/>
          <w:i/>
          <w:iCs/>
          <w:sz w:val="20"/>
          <w:szCs w:val="20"/>
        </w:rPr>
        <w:t xml:space="preserve">sveukupno doznačena sredstva od početka provedbe projekta </w:t>
      </w:r>
      <w:r w:rsidR="00A27770">
        <w:rPr>
          <w:rFonts w:ascii="Arial" w:eastAsia="Calibri" w:hAnsi="Arial" w:cs="Arial"/>
          <w:b/>
          <w:i/>
          <w:iCs/>
          <w:sz w:val="20"/>
          <w:szCs w:val="20"/>
        </w:rPr>
        <w:t>12.000</w:t>
      </w:r>
      <w:r w:rsidR="00A27770" w:rsidRPr="00501674">
        <w:rPr>
          <w:rFonts w:ascii="Arial" w:eastAsia="Calibri" w:hAnsi="Arial" w:cs="Arial"/>
          <w:b/>
          <w:i/>
          <w:iCs/>
          <w:sz w:val="20"/>
          <w:szCs w:val="20"/>
        </w:rPr>
        <w:t xml:space="preserve"> €</w:t>
      </w:r>
      <w:r w:rsidR="00A27770">
        <w:rPr>
          <w:rFonts w:ascii="Arial" w:eastAsia="Calibri" w:hAnsi="Arial" w:cs="Arial"/>
          <w:bCs/>
          <w:sz w:val="20"/>
          <w:szCs w:val="20"/>
        </w:rPr>
        <w:t>)</w:t>
      </w:r>
      <w:r w:rsidR="00A27770" w:rsidRPr="000A13EA">
        <w:rPr>
          <w:rFonts w:ascii="Arial" w:eastAsia="Calibri" w:hAnsi="Arial" w:cs="Arial"/>
          <w:bCs/>
          <w:sz w:val="20"/>
          <w:szCs w:val="20"/>
        </w:rPr>
        <w:t>.</w:t>
      </w:r>
    </w:p>
    <w:p w14:paraId="77425C79" w14:textId="77777777" w:rsidR="00B32353" w:rsidRDefault="00B32353" w:rsidP="000C28EE">
      <w:pPr>
        <w:shd w:val="clear" w:color="auto" w:fill="FFFFFF"/>
        <w:spacing w:after="0" w:line="240" w:lineRule="auto"/>
        <w:jc w:val="both"/>
        <w:rPr>
          <w:rFonts w:ascii="Arial" w:eastAsia="Times New Roman" w:hAnsi="Arial" w:cs="Arial"/>
        </w:rPr>
      </w:pPr>
    </w:p>
    <w:p w14:paraId="6856DCC1" w14:textId="647E82EE" w:rsidR="00316CD3" w:rsidRPr="00F81630" w:rsidRDefault="00316CD3" w:rsidP="00316CD3">
      <w:pPr>
        <w:spacing w:after="0" w:line="240" w:lineRule="auto"/>
        <w:jc w:val="both"/>
        <w:rPr>
          <w:rFonts w:ascii="Arial" w:eastAsia="Calibri" w:hAnsi="Arial" w:cs="Arial"/>
          <w:bCs/>
          <w:sz w:val="20"/>
          <w:szCs w:val="20"/>
        </w:rPr>
      </w:pPr>
      <w:r>
        <w:rPr>
          <w:rFonts w:ascii="Arial" w:eastAsia="Calibri" w:hAnsi="Arial" w:cs="Arial"/>
          <w:bCs/>
          <w:sz w:val="20"/>
          <w:szCs w:val="20"/>
        </w:rPr>
        <w:t>U 2025. godini su ostvareni prihodi za ovaj projekt u iznosu 2.409 €, a nije bilo izvršenih rashoda ovog projekta.</w:t>
      </w:r>
    </w:p>
    <w:p w14:paraId="3F7A7348" w14:textId="77777777" w:rsidR="00316CD3" w:rsidRPr="00F81630" w:rsidRDefault="00316CD3" w:rsidP="000C28EE">
      <w:pPr>
        <w:shd w:val="clear" w:color="auto" w:fill="FFFFFF"/>
        <w:spacing w:after="0" w:line="240" w:lineRule="auto"/>
        <w:jc w:val="both"/>
        <w:rPr>
          <w:rFonts w:ascii="Arial" w:eastAsia="Times New Roman" w:hAnsi="Arial" w:cs="Arial"/>
        </w:rPr>
      </w:pPr>
    </w:p>
    <w:p w14:paraId="44F88822" w14:textId="1E3C03AB" w:rsidR="0052045C" w:rsidRPr="00F81630" w:rsidRDefault="0052045C" w:rsidP="001224E3">
      <w:pPr>
        <w:pStyle w:val="Odlomakpopisa"/>
        <w:numPr>
          <w:ilvl w:val="0"/>
          <w:numId w:val="12"/>
        </w:numPr>
        <w:rPr>
          <w:rFonts w:ascii="Arial" w:eastAsia="Calibri" w:hAnsi="Arial" w:cs="Arial"/>
          <w:b/>
          <w:u w:val="single"/>
        </w:rPr>
      </w:pPr>
      <w:bookmarkStart w:id="418" w:name="_Hlk166666448"/>
      <w:r w:rsidRPr="00F81630">
        <w:rPr>
          <w:rFonts w:ascii="Arial" w:eastAsia="Calibri" w:hAnsi="Arial" w:cs="Arial"/>
          <w:b/>
          <w:u w:val="single"/>
        </w:rPr>
        <w:t>Pomoći temeljem prijenosa EU sredstava (</w:t>
      </w:r>
      <w:r w:rsidRPr="00F81630">
        <w:rPr>
          <w:rFonts w:ascii="Arial" w:eastAsia="Calibri" w:hAnsi="Arial" w:cs="Arial"/>
          <w:b/>
          <w:highlight w:val="yellow"/>
          <w:u w:val="single"/>
        </w:rPr>
        <w:t>638</w:t>
      </w:r>
      <w:r w:rsidRPr="00F81630">
        <w:rPr>
          <w:rFonts w:ascii="Arial" w:eastAsia="Calibri" w:hAnsi="Arial" w:cs="Arial"/>
          <w:b/>
          <w:u w:val="single"/>
        </w:rPr>
        <w:t xml:space="preserve">) </w:t>
      </w:r>
      <w:r w:rsidRPr="00F81630">
        <w:rPr>
          <w:rFonts w:ascii="Arial" w:hAnsi="Arial" w:cs="Arial"/>
          <w:b/>
          <w:u w:val="single"/>
        </w:rPr>
        <w:t>i to kao tekuće pomoći Općini:</w:t>
      </w:r>
    </w:p>
    <w:p w14:paraId="0D8B5480" w14:textId="77777777" w:rsidR="0052045C" w:rsidRPr="00F81630" w:rsidRDefault="0052045C" w:rsidP="0052045C">
      <w:pPr>
        <w:autoSpaceDE w:val="0"/>
        <w:autoSpaceDN w:val="0"/>
        <w:adjustRightInd w:val="0"/>
        <w:spacing w:after="0" w:line="240" w:lineRule="auto"/>
        <w:ind w:left="360"/>
        <w:rPr>
          <w:rFonts w:ascii="Arial" w:eastAsia="Calibri" w:hAnsi="Arial" w:cs="Arial"/>
          <w:b/>
          <w:sz w:val="20"/>
          <w:szCs w:val="20"/>
        </w:rPr>
      </w:pPr>
    </w:p>
    <w:p w14:paraId="3535654D" w14:textId="6A33651D" w:rsidR="0052045C" w:rsidRPr="00F81630" w:rsidRDefault="0052045C" w:rsidP="0052045C">
      <w:pPr>
        <w:autoSpaceDE w:val="0"/>
        <w:autoSpaceDN w:val="0"/>
        <w:adjustRightInd w:val="0"/>
        <w:spacing w:after="0" w:line="240" w:lineRule="auto"/>
        <w:jc w:val="both"/>
        <w:rPr>
          <w:rFonts w:ascii="Arial" w:eastAsia="Calibri" w:hAnsi="Arial" w:cs="Arial"/>
          <w:sz w:val="20"/>
          <w:szCs w:val="20"/>
        </w:rPr>
      </w:pPr>
      <w:r w:rsidRPr="00F81630">
        <w:rPr>
          <w:rFonts w:ascii="Arial" w:eastAsia="Calibri" w:hAnsi="Arial" w:cs="Arial"/>
          <w:sz w:val="20"/>
          <w:szCs w:val="20"/>
        </w:rPr>
        <w:t xml:space="preserve">U okviru ovih prihoda Općina je iskazala prihode u iznosu </w:t>
      </w:r>
      <w:r w:rsidR="00316CD3">
        <w:rPr>
          <w:rFonts w:ascii="Arial" w:eastAsia="Calibri" w:hAnsi="Arial" w:cs="Arial"/>
          <w:b/>
          <w:bCs/>
          <w:sz w:val="20"/>
          <w:szCs w:val="20"/>
        </w:rPr>
        <w:t>2.271.869,19</w:t>
      </w:r>
      <w:r w:rsidRPr="00F81630">
        <w:rPr>
          <w:rFonts w:ascii="Arial" w:eastAsia="Calibri" w:hAnsi="Arial" w:cs="Arial"/>
          <w:b/>
          <w:bCs/>
          <w:sz w:val="20"/>
          <w:szCs w:val="20"/>
        </w:rPr>
        <w:t xml:space="preserve"> € (</w:t>
      </w:r>
      <w:r w:rsidR="00A80DBE">
        <w:rPr>
          <w:rFonts w:ascii="Arial" w:eastAsia="Calibri" w:hAnsi="Arial" w:cs="Arial"/>
          <w:b/>
          <w:bCs/>
          <w:sz w:val="20"/>
          <w:szCs w:val="20"/>
        </w:rPr>
        <w:t>C</w:t>
      </w:r>
      <w:r w:rsidRPr="00F81630">
        <w:rPr>
          <w:rFonts w:ascii="Arial" w:eastAsia="Calibri" w:hAnsi="Arial" w:cs="Arial"/>
          <w:b/>
          <w:bCs/>
          <w:sz w:val="20"/>
          <w:szCs w:val="20"/>
        </w:rPr>
        <w:t xml:space="preserve">.1 i </w:t>
      </w:r>
      <w:r w:rsidR="00A80DBE">
        <w:rPr>
          <w:rFonts w:ascii="Arial" w:eastAsia="Calibri" w:hAnsi="Arial" w:cs="Arial"/>
          <w:b/>
          <w:bCs/>
          <w:sz w:val="20"/>
          <w:szCs w:val="20"/>
        </w:rPr>
        <w:t>C</w:t>
      </w:r>
      <w:r w:rsidRPr="00F81630">
        <w:rPr>
          <w:rFonts w:ascii="Arial" w:eastAsia="Calibri" w:hAnsi="Arial" w:cs="Arial"/>
          <w:b/>
          <w:bCs/>
          <w:sz w:val="20"/>
          <w:szCs w:val="20"/>
        </w:rPr>
        <w:t>.2),</w:t>
      </w:r>
      <w:r w:rsidRPr="00F81630">
        <w:rPr>
          <w:rFonts w:ascii="Arial" w:eastAsia="Calibri" w:hAnsi="Arial" w:cs="Arial"/>
          <w:sz w:val="20"/>
          <w:szCs w:val="20"/>
        </w:rPr>
        <w:t xml:space="preserve"> dok proračunski korisnici Općine nisu ostvarili ove pomoći. </w:t>
      </w:r>
      <w:r w:rsidRPr="00F81630">
        <w:rPr>
          <w:rFonts w:ascii="Arial" w:eastAsia="Times New Roman" w:hAnsi="Arial" w:cs="Arial"/>
          <w:sz w:val="20"/>
          <w:szCs w:val="20"/>
          <w:lang w:eastAsia="en-US"/>
        </w:rPr>
        <w:t xml:space="preserve">Ostvarena sredstva su u evidentirana kao prihodi na osnovnom računu </w:t>
      </w:r>
      <w:r w:rsidRPr="00A80DBE">
        <w:rPr>
          <w:rFonts w:ascii="Arial" w:eastAsia="Times New Roman" w:hAnsi="Arial" w:cs="Arial"/>
          <w:b/>
          <w:bCs/>
          <w:sz w:val="20"/>
          <w:szCs w:val="20"/>
          <w:u w:val="single"/>
          <w:lang w:eastAsia="en-US"/>
        </w:rPr>
        <w:t>63811</w:t>
      </w:r>
      <w:r w:rsidRPr="00F81630">
        <w:rPr>
          <w:rFonts w:ascii="Arial" w:eastAsia="Times New Roman" w:hAnsi="Arial" w:cs="Arial"/>
          <w:sz w:val="20"/>
          <w:szCs w:val="20"/>
          <w:lang w:eastAsia="en-US"/>
        </w:rPr>
        <w:t>.</w:t>
      </w:r>
      <w:r w:rsidR="00F81630" w:rsidRPr="00F81630">
        <w:rPr>
          <w:rFonts w:ascii="Arial" w:eastAsia="Times New Roman" w:hAnsi="Arial" w:cs="Arial"/>
          <w:sz w:val="20"/>
          <w:szCs w:val="20"/>
          <w:lang w:eastAsia="en-US"/>
        </w:rPr>
        <w:t xml:space="preserve"> </w:t>
      </w:r>
      <w:r w:rsidRPr="00F81630">
        <w:rPr>
          <w:rFonts w:ascii="Arial" w:eastAsia="Times New Roman" w:hAnsi="Arial" w:cs="Arial"/>
          <w:sz w:val="20"/>
          <w:szCs w:val="20"/>
          <w:lang w:eastAsia="en-US"/>
        </w:rPr>
        <w:t>Prihodi Općine se odnose na tekuće pomoći, dok nije bilo kapitalnih pomoći.</w:t>
      </w:r>
    </w:p>
    <w:p w14:paraId="5C7C1AA8" w14:textId="77777777" w:rsidR="0052045C" w:rsidRDefault="0052045C" w:rsidP="0052045C">
      <w:pPr>
        <w:autoSpaceDE w:val="0"/>
        <w:autoSpaceDN w:val="0"/>
        <w:adjustRightInd w:val="0"/>
        <w:spacing w:after="0" w:line="240" w:lineRule="auto"/>
        <w:ind w:left="360"/>
        <w:rPr>
          <w:rFonts w:ascii="Arial" w:eastAsia="Calibri" w:hAnsi="Arial" w:cs="Arial"/>
          <w:b/>
          <w:sz w:val="20"/>
          <w:szCs w:val="20"/>
        </w:rPr>
      </w:pPr>
    </w:p>
    <w:p w14:paraId="233B1FB0" w14:textId="77777777" w:rsidR="002279F1" w:rsidRDefault="002279F1" w:rsidP="0052045C">
      <w:pPr>
        <w:autoSpaceDE w:val="0"/>
        <w:autoSpaceDN w:val="0"/>
        <w:adjustRightInd w:val="0"/>
        <w:spacing w:after="0" w:line="240" w:lineRule="auto"/>
        <w:ind w:left="360"/>
        <w:rPr>
          <w:rFonts w:ascii="Arial" w:eastAsia="Calibri" w:hAnsi="Arial" w:cs="Arial"/>
          <w:b/>
          <w:sz w:val="20"/>
          <w:szCs w:val="20"/>
        </w:rPr>
      </w:pPr>
    </w:p>
    <w:p w14:paraId="502F0150" w14:textId="77777777" w:rsidR="002279F1" w:rsidRDefault="002279F1" w:rsidP="0052045C">
      <w:pPr>
        <w:autoSpaceDE w:val="0"/>
        <w:autoSpaceDN w:val="0"/>
        <w:adjustRightInd w:val="0"/>
        <w:spacing w:after="0" w:line="240" w:lineRule="auto"/>
        <w:ind w:left="360"/>
        <w:rPr>
          <w:rFonts w:ascii="Arial" w:eastAsia="Calibri" w:hAnsi="Arial" w:cs="Arial"/>
          <w:b/>
          <w:sz w:val="20"/>
          <w:szCs w:val="20"/>
        </w:rPr>
      </w:pPr>
    </w:p>
    <w:p w14:paraId="6AF03535" w14:textId="77777777" w:rsidR="002279F1" w:rsidRPr="00F81630" w:rsidRDefault="002279F1" w:rsidP="0052045C">
      <w:pPr>
        <w:autoSpaceDE w:val="0"/>
        <w:autoSpaceDN w:val="0"/>
        <w:adjustRightInd w:val="0"/>
        <w:spacing w:after="0" w:line="240" w:lineRule="auto"/>
        <w:ind w:left="360"/>
        <w:rPr>
          <w:rFonts w:ascii="Arial" w:eastAsia="Calibri" w:hAnsi="Arial" w:cs="Arial"/>
          <w:b/>
          <w:sz w:val="20"/>
          <w:szCs w:val="20"/>
        </w:rPr>
      </w:pPr>
    </w:p>
    <w:bookmarkEnd w:id="414"/>
    <w:p w14:paraId="20177726" w14:textId="77777777" w:rsidR="0052045C" w:rsidRPr="00F81630" w:rsidRDefault="0052045C" w:rsidP="0052045C">
      <w:pPr>
        <w:autoSpaceDE w:val="0"/>
        <w:autoSpaceDN w:val="0"/>
        <w:adjustRightInd w:val="0"/>
        <w:spacing w:after="0" w:line="240" w:lineRule="auto"/>
        <w:ind w:left="360"/>
        <w:jc w:val="center"/>
        <w:rPr>
          <w:rFonts w:ascii="Arial" w:eastAsia="Calibri" w:hAnsi="Arial" w:cs="Arial"/>
          <w:b/>
          <w:sz w:val="20"/>
          <w:szCs w:val="20"/>
        </w:rPr>
      </w:pPr>
      <w:r w:rsidRPr="00F81630">
        <w:rPr>
          <w:rFonts w:ascii="Arial" w:eastAsia="Calibri" w:hAnsi="Arial" w:cs="Arial"/>
          <w:b/>
          <w:sz w:val="20"/>
          <w:szCs w:val="20"/>
        </w:rPr>
        <w:lastRenderedPageBreak/>
        <w:t>Prihodi Općine</w:t>
      </w:r>
    </w:p>
    <w:p w14:paraId="3F42B7A9" w14:textId="77777777" w:rsidR="0052045C" w:rsidRPr="00F81630" w:rsidRDefault="0052045C" w:rsidP="0052045C">
      <w:pPr>
        <w:autoSpaceDE w:val="0"/>
        <w:autoSpaceDN w:val="0"/>
        <w:adjustRightInd w:val="0"/>
        <w:spacing w:after="0" w:line="240" w:lineRule="auto"/>
        <w:ind w:left="720"/>
        <w:jc w:val="both"/>
        <w:rPr>
          <w:rFonts w:ascii="Arial" w:eastAsia="Times New Roman" w:hAnsi="Arial" w:cs="Arial"/>
          <w:sz w:val="20"/>
          <w:szCs w:val="20"/>
          <w:lang w:eastAsia="en-US"/>
        </w:rPr>
      </w:pPr>
    </w:p>
    <w:p w14:paraId="7D8C937A" w14:textId="73CA1C0C" w:rsidR="0052045C" w:rsidRPr="00F81630" w:rsidRDefault="00A80DBE" w:rsidP="0052045C">
      <w:pPr>
        <w:spacing w:after="0" w:line="240" w:lineRule="auto"/>
        <w:jc w:val="both"/>
        <w:rPr>
          <w:rFonts w:ascii="Arial" w:eastAsia="Calibri" w:hAnsi="Arial" w:cs="Arial"/>
          <w:sz w:val="20"/>
          <w:szCs w:val="20"/>
        </w:rPr>
      </w:pPr>
      <w:r>
        <w:rPr>
          <w:rFonts w:ascii="Arial" w:eastAsia="Calibri" w:hAnsi="Arial" w:cs="Arial"/>
          <w:b/>
          <w:bCs/>
          <w:sz w:val="20"/>
          <w:szCs w:val="20"/>
        </w:rPr>
        <w:t>C</w:t>
      </w:r>
      <w:r w:rsidR="0052045C" w:rsidRPr="00F81630">
        <w:rPr>
          <w:rFonts w:ascii="Arial" w:eastAsia="Calibri" w:hAnsi="Arial" w:cs="Arial"/>
          <w:b/>
          <w:bCs/>
          <w:sz w:val="20"/>
          <w:szCs w:val="20"/>
        </w:rPr>
        <w:t>.1)</w:t>
      </w:r>
      <w:r w:rsidR="0052045C" w:rsidRPr="00F81630">
        <w:rPr>
          <w:rFonts w:ascii="Arial" w:eastAsia="Calibri" w:hAnsi="Arial" w:cs="Arial"/>
          <w:b/>
          <w:bCs/>
          <w:sz w:val="20"/>
          <w:szCs w:val="20"/>
        </w:rPr>
        <w:tab/>
      </w:r>
      <w:r w:rsidR="00316CD3">
        <w:rPr>
          <w:rFonts w:ascii="Arial" w:hAnsi="Arial" w:cs="Arial"/>
          <w:i/>
          <w:sz w:val="20"/>
          <w:szCs w:val="20"/>
          <w:u w:val="single"/>
        </w:rPr>
        <w:t>Izgradnja i opremanje osnovne škole Cavtat</w:t>
      </w:r>
      <w:r w:rsidR="0052045C" w:rsidRPr="00F81630">
        <w:rPr>
          <w:rFonts w:ascii="Arial" w:hAnsi="Arial" w:cs="Arial"/>
          <w:sz w:val="20"/>
          <w:szCs w:val="20"/>
        </w:rPr>
        <w:t xml:space="preserve">, </w:t>
      </w:r>
      <w:r w:rsidR="00316CD3">
        <w:rPr>
          <w:rFonts w:ascii="Arial" w:hAnsi="Arial" w:cs="Arial"/>
          <w:sz w:val="20"/>
          <w:szCs w:val="20"/>
        </w:rPr>
        <w:t>Dubrovačko neretvanska županija</w:t>
      </w:r>
      <w:r w:rsidR="0052045C" w:rsidRPr="00F81630">
        <w:rPr>
          <w:rFonts w:ascii="Arial" w:hAnsi="Arial" w:cs="Arial"/>
          <w:sz w:val="20"/>
          <w:szCs w:val="20"/>
        </w:rPr>
        <w:t xml:space="preserve"> nositelj projekta</w:t>
      </w:r>
      <w:r w:rsidR="00316CD3">
        <w:rPr>
          <w:rFonts w:ascii="Arial" w:hAnsi="Arial" w:cs="Arial"/>
          <w:sz w:val="20"/>
          <w:szCs w:val="20"/>
        </w:rPr>
        <w:t xml:space="preserve">, Općina Konavle je partner i korisnik </w:t>
      </w:r>
    </w:p>
    <w:p w14:paraId="15029B4C" w14:textId="320FE472" w:rsidR="0052045C" w:rsidRPr="00F81630" w:rsidRDefault="0052045C" w:rsidP="0052045C">
      <w:pPr>
        <w:autoSpaceDE w:val="0"/>
        <w:autoSpaceDN w:val="0"/>
        <w:adjustRightInd w:val="0"/>
        <w:spacing w:after="0" w:line="240" w:lineRule="auto"/>
        <w:ind w:left="720"/>
        <w:jc w:val="both"/>
        <w:rPr>
          <w:rFonts w:ascii="Arial" w:eastAsia="Times New Roman" w:hAnsi="Arial" w:cs="Arial"/>
          <w:sz w:val="20"/>
          <w:szCs w:val="20"/>
          <w:lang w:eastAsia="en-US"/>
        </w:rPr>
      </w:pPr>
      <w:r w:rsidRPr="00F81630">
        <w:rPr>
          <w:rFonts w:ascii="Arial" w:eastAsia="Times New Roman" w:hAnsi="Arial" w:cs="Arial"/>
          <w:sz w:val="20"/>
          <w:szCs w:val="20"/>
          <w:lang w:eastAsia="en-US"/>
        </w:rPr>
        <w:t xml:space="preserve">Projekt se sufinancira bespovratnim </w:t>
      </w:r>
      <w:r w:rsidR="002279F1">
        <w:rPr>
          <w:rFonts w:ascii="Arial" w:eastAsia="Times New Roman" w:hAnsi="Arial" w:cs="Arial"/>
          <w:sz w:val="20"/>
          <w:szCs w:val="20"/>
          <w:lang w:eastAsia="en-US"/>
        </w:rPr>
        <w:t xml:space="preserve">EU </w:t>
      </w:r>
      <w:r w:rsidRPr="00F81630">
        <w:rPr>
          <w:rFonts w:ascii="Arial" w:eastAsia="Times New Roman" w:hAnsi="Arial" w:cs="Arial"/>
          <w:sz w:val="20"/>
          <w:szCs w:val="20"/>
          <w:lang w:eastAsia="en-US"/>
        </w:rPr>
        <w:t xml:space="preserve">sredstvima </w:t>
      </w:r>
      <w:r w:rsidR="002279F1">
        <w:rPr>
          <w:rFonts w:ascii="Arial" w:eastAsia="Times New Roman" w:hAnsi="Arial" w:cs="Arial"/>
          <w:sz w:val="20"/>
          <w:szCs w:val="20"/>
          <w:lang w:eastAsia="en-US"/>
        </w:rPr>
        <w:t xml:space="preserve">(max </w:t>
      </w:r>
      <w:r w:rsidR="002279F1">
        <w:rPr>
          <w:rFonts w:ascii="Arial" w:hAnsi="Arial" w:cs="Arial"/>
          <w:sz w:val="20"/>
          <w:szCs w:val="20"/>
        </w:rPr>
        <w:t>18.056.689,10 € zajedno troškovi Općine i županije)</w:t>
      </w:r>
    </w:p>
    <w:bookmarkEnd w:id="418"/>
    <w:p w14:paraId="200C5C59" w14:textId="77777777" w:rsidR="0052045C" w:rsidRPr="00911F33" w:rsidRDefault="0052045C" w:rsidP="0052045C">
      <w:pPr>
        <w:autoSpaceDE w:val="0"/>
        <w:autoSpaceDN w:val="0"/>
        <w:adjustRightInd w:val="0"/>
        <w:spacing w:after="0" w:line="240" w:lineRule="auto"/>
        <w:ind w:left="720"/>
        <w:jc w:val="both"/>
        <w:rPr>
          <w:rFonts w:ascii="Arial" w:eastAsia="Times New Roman" w:hAnsi="Arial" w:cs="Arial"/>
          <w:sz w:val="20"/>
          <w:szCs w:val="20"/>
          <w:lang w:eastAsia="en-US"/>
        </w:rPr>
      </w:pPr>
    </w:p>
    <w:p w14:paraId="153F7C7B" w14:textId="1E807B0B" w:rsidR="0052045C" w:rsidRPr="00911F33" w:rsidRDefault="007B3F1D" w:rsidP="0052045C">
      <w:pPr>
        <w:autoSpaceDE w:val="0"/>
        <w:autoSpaceDN w:val="0"/>
        <w:adjustRightInd w:val="0"/>
        <w:spacing w:after="0" w:line="240" w:lineRule="auto"/>
        <w:ind w:left="720"/>
        <w:jc w:val="both"/>
        <w:rPr>
          <w:rFonts w:ascii="Arial" w:eastAsia="Times New Roman" w:hAnsi="Arial" w:cs="Arial"/>
          <w:sz w:val="20"/>
          <w:szCs w:val="20"/>
          <w:lang w:eastAsia="en-US"/>
        </w:rPr>
      </w:pPr>
      <w:r w:rsidRPr="00911F33">
        <w:rPr>
          <w:rFonts w:ascii="Arial" w:eastAsia="Times New Roman" w:hAnsi="Arial" w:cs="Arial"/>
          <w:sz w:val="20"/>
          <w:szCs w:val="20"/>
          <w:lang w:eastAsia="en-US"/>
        </w:rPr>
        <w:t>Središnja agencija za financiranje i ugovaranje programa i projekata Europske unije</w:t>
      </w:r>
      <w:r w:rsidR="0052045C" w:rsidRPr="00911F33">
        <w:rPr>
          <w:rFonts w:ascii="Arial" w:eastAsia="Times New Roman" w:hAnsi="Arial" w:cs="Arial"/>
          <w:sz w:val="20"/>
          <w:szCs w:val="20"/>
          <w:lang w:eastAsia="en-US"/>
        </w:rPr>
        <w:t xml:space="preserve"> (dalje u tekstu: </w:t>
      </w:r>
      <w:r w:rsidRPr="00911F33">
        <w:rPr>
          <w:rFonts w:ascii="Arial" w:eastAsia="Times New Roman" w:hAnsi="Arial" w:cs="Arial"/>
          <w:sz w:val="20"/>
          <w:szCs w:val="20"/>
          <w:lang w:eastAsia="en-US"/>
        </w:rPr>
        <w:t>SAFU</w:t>
      </w:r>
      <w:r w:rsidR="0052045C" w:rsidRPr="00911F33">
        <w:rPr>
          <w:rFonts w:ascii="Arial" w:eastAsia="Times New Roman" w:hAnsi="Arial" w:cs="Arial"/>
          <w:sz w:val="20"/>
          <w:szCs w:val="20"/>
          <w:lang w:eastAsia="en-US"/>
        </w:rPr>
        <w:t>)</w:t>
      </w:r>
      <w:r w:rsidRPr="00911F33">
        <w:rPr>
          <w:rFonts w:ascii="Arial" w:eastAsia="Times New Roman" w:hAnsi="Arial" w:cs="Arial"/>
          <w:sz w:val="20"/>
          <w:szCs w:val="20"/>
          <w:lang w:eastAsia="en-US"/>
        </w:rPr>
        <w:t xml:space="preserve"> i Ministarstvo znanosti, obrazovanja i mladih</w:t>
      </w:r>
      <w:r w:rsidR="0052045C" w:rsidRPr="00911F33">
        <w:rPr>
          <w:rFonts w:ascii="Arial" w:eastAsia="Times New Roman" w:hAnsi="Arial" w:cs="Arial"/>
          <w:sz w:val="20"/>
          <w:szCs w:val="20"/>
          <w:lang w:eastAsia="en-US"/>
        </w:rPr>
        <w:t xml:space="preserve"> </w:t>
      </w:r>
      <w:r w:rsidRPr="00911F33">
        <w:rPr>
          <w:rFonts w:ascii="Arial" w:eastAsia="Times New Roman" w:hAnsi="Arial" w:cs="Arial"/>
          <w:sz w:val="20"/>
          <w:szCs w:val="20"/>
          <w:lang w:eastAsia="en-US"/>
        </w:rPr>
        <w:t>su</w:t>
      </w:r>
      <w:r w:rsidR="0052045C" w:rsidRPr="00911F33">
        <w:rPr>
          <w:rFonts w:ascii="Arial" w:eastAsia="Times New Roman" w:hAnsi="Arial" w:cs="Arial"/>
          <w:sz w:val="20"/>
          <w:szCs w:val="20"/>
          <w:lang w:eastAsia="en-US"/>
        </w:rPr>
        <w:t xml:space="preserve"> u </w:t>
      </w:r>
      <w:r w:rsidRPr="00911F33">
        <w:rPr>
          <w:rFonts w:ascii="Arial" w:eastAsia="Times New Roman" w:hAnsi="Arial" w:cs="Arial"/>
          <w:sz w:val="20"/>
          <w:szCs w:val="20"/>
          <w:lang w:eastAsia="en-US"/>
        </w:rPr>
        <w:t>ožujku</w:t>
      </w:r>
      <w:r w:rsidR="0052045C" w:rsidRPr="00911F33">
        <w:rPr>
          <w:rFonts w:ascii="Arial" w:eastAsia="Times New Roman" w:hAnsi="Arial" w:cs="Arial"/>
          <w:sz w:val="20"/>
          <w:szCs w:val="20"/>
          <w:lang w:eastAsia="en-US"/>
        </w:rPr>
        <w:t xml:space="preserve"> </w:t>
      </w:r>
      <w:r w:rsidRPr="00911F33">
        <w:rPr>
          <w:rFonts w:ascii="Arial" w:eastAsia="Times New Roman" w:hAnsi="Arial" w:cs="Arial"/>
          <w:sz w:val="20"/>
          <w:szCs w:val="20"/>
          <w:lang w:eastAsia="en-US"/>
        </w:rPr>
        <w:t>2025.</w:t>
      </w:r>
      <w:r w:rsidR="0052045C" w:rsidRPr="00911F33">
        <w:rPr>
          <w:rFonts w:ascii="Arial" w:eastAsia="Times New Roman" w:hAnsi="Arial" w:cs="Arial"/>
          <w:sz w:val="20"/>
          <w:szCs w:val="20"/>
          <w:lang w:eastAsia="en-US"/>
        </w:rPr>
        <w:t xml:space="preserve"> zaključili Ugovor </w:t>
      </w:r>
      <w:r w:rsidRPr="00911F33">
        <w:rPr>
          <w:rFonts w:ascii="Arial" w:eastAsia="Times New Roman" w:hAnsi="Arial" w:cs="Arial"/>
          <w:sz w:val="20"/>
          <w:szCs w:val="20"/>
          <w:lang w:eastAsia="en-US"/>
        </w:rPr>
        <w:t>o dodjeli bespovratnih sredstava za projekte koji se financiraju iz mehanizma za oporavak i otpornost za provedbu projekta Izgradnja i opremanje Osnovne škole Cavtat s Dubrovačko – ne</w:t>
      </w:r>
      <w:r w:rsidR="00911F33">
        <w:rPr>
          <w:rFonts w:ascii="Arial" w:eastAsia="Times New Roman" w:hAnsi="Arial" w:cs="Arial"/>
          <w:sz w:val="20"/>
          <w:szCs w:val="20"/>
          <w:lang w:eastAsia="en-US"/>
        </w:rPr>
        <w:t>re</w:t>
      </w:r>
      <w:r w:rsidRPr="00911F33">
        <w:rPr>
          <w:rFonts w:ascii="Arial" w:eastAsia="Times New Roman" w:hAnsi="Arial" w:cs="Arial"/>
          <w:sz w:val="20"/>
          <w:szCs w:val="20"/>
          <w:lang w:eastAsia="en-US"/>
        </w:rPr>
        <w:t>tvanskom županijom kao korisnikom bespovratnih sredstava. Sukladno ugovoru projekt provodi korisnik i partner u projektu: Općina Konavle. Projekt traje od 9. rujna 2021. do 30. lipnja 2026. Ukupna vrijednost projekta ej 23.152.748,87 €, od čega prihvatljivi troškovi iznose 18.056.689,10 €. Korisnik ima pravo na korištenje do 30% predujma (5.417.006,73 €).</w:t>
      </w:r>
    </w:p>
    <w:p w14:paraId="400D21EA" w14:textId="77777777" w:rsidR="007B3F1D" w:rsidRPr="00911F33" w:rsidRDefault="007B3F1D" w:rsidP="0052045C">
      <w:pPr>
        <w:autoSpaceDE w:val="0"/>
        <w:autoSpaceDN w:val="0"/>
        <w:adjustRightInd w:val="0"/>
        <w:spacing w:after="0" w:line="240" w:lineRule="auto"/>
        <w:ind w:left="720"/>
        <w:jc w:val="both"/>
        <w:rPr>
          <w:rFonts w:ascii="Arial" w:eastAsia="Times New Roman" w:hAnsi="Arial" w:cs="Arial"/>
          <w:sz w:val="20"/>
          <w:szCs w:val="20"/>
          <w:lang w:eastAsia="en-US"/>
        </w:rPr>
      </w:pPr>
    </w:p>
    <w:p w14:paraId="3530A828" w14:textId="0383801F" w:rsidR="007B3F1D" w:rsidRPr="00911F33" w:rsidRDefault="007B3F1D" w:rsidP="0052045C">
      <w:pPr>
        <w:autoSpaceDE w:val="0"/>
        <w:autoSpaceDN w:val="0"/>
        <w:adjustRightInd w:val="0"/>
        <w:spacing w:after="0" w:line="240" w:lineRule="auto"/>
        <w:ind w:left="720"/>
        <w:jc w:val="both"/>
        <w:rPr>
          <w:rFonts w:ascii="Arial" w:eastAsia="Times New Roman" w:hAnsi="Arial" w:cs="Arial"/>
          <w:sz w:val="20"/>
          <w:szCs w:val="20"/>
          <w:lang w:eastAsia="en-US"/>
        </w:rPr>
      </w:pPr>
      <w:r w:rsidRPr="00911F33">
        <w:rPr>
          <w:rFonts w:ascii="Arial" w:eastAsia="Times New Roman" w:hAnsi="Arial" w:cs="Arial"/>
          <w:sz w:val="20"/>
          <w:szCs w:val="20"/>
          <w:lang w:eastAsia="en-US"/>
        </w:rPr>
        <w:t xml:space="preserve">Za potrebe provedbe ovog projekta, Dubrovačko neretvanska županija i Općina Konavle zaključili su Sporazum o partnerstvu na projektu u veljači 2025. godine. Sporazumom je, između ostalog, utvrđeno financiranje neprihvatljivih troškova u iznosu 5.096.059,77 € koji su uvećani i za procijenjene neprihvatljive troškove izmještanja dalekovoda (koji su bili preduvjet početka radova, a obavljao ih je HEP) </w:t>
      </w:r>
      <w:r w:rsidR="00911F33" w:rsidRPr="00911F33">
        <w:rPr>
          <w:rFonts w:ascii="Arial" w:eastAsia="Times New Roman" w:hAnsi="Arial" w:cs="Arial"/>
          <w:sz w:val="20"/>
          <w:szCs w:val="20"/>
          <w:lang w:eastAsia="en-US"/>
        </w:rPr>
        <w:t xml:space="preserve">u iznosu 373.032,71 € što sveukupno iznosi 5.469.092,48 €. </w:t>
      </w:r>
    </w:p>
    <w:p w14:paraId="3F972C5D" w14:textId="77777777" w:rsidR="0052045C" w:rsidRPr="00911F33" w:rsidRDefault="0052045C" w:rsidP="0052045C">
      <w:pPr>
        <w:autoSpaceDE w:val="0"/>
        <w:autoSpaceDN w:val="0"/>
        <w:adjustRightInd w:val="0"/>
        <w:spacing w:after="0" w:line="240" w:lineRule="auto"/>
        <w:ind w:left="720"/>
        <w:jc w:val="both"/>
        <w:rPr>
          <w:rFonts w:ascii="Arial" w:eastAsia="Times New Roman" w:hAnsi="Arial" w:cs="Arial"/>
          <w:sz w:val="20"/>
          <w:szCs w:val="20"/>
          <w:lang w:eastAsia="en-US"/>
        </w:rPr>
      </w:pPr>
    </w:p>
    <w:p w14:paraId="5979B106" w14:textId="0AF6B797" w:rsidR="00911F33" w:rsidRPr="00911F33" w:rsidRDefault="00911F33" w:rsidP="0052045C">
      <w:pPr>
        <w:autoSpaceDE w:val="0"/>
        <w:autoSpaceDN w:val="0"/>
        <w:adjustRightInd w:val="0"/>
        <w:spacing w:after="0" w:line="240" w:lineRule="auto"/>
        <w:ind w:left="720"/>
        <w:jc w:val="both"/>
        <w:rPr>
          <w:rFonts w:ascii="Arial" w:eastAsia="Times New Roman" w:hAnsi="Arial" w:cs="Arial"/>
          <w:sz w:val="20"/>
          <w:szCs w:val="20"/>
          <w:lang w:eastAsia="en-US"/>
        </w:rPr>
      </w:pPr>
      <w:r>
        <w:rPr>
          <w:rFonts w:ascii="Arial" w:eastAsia="Times New Roman" w:hAnsi="Arial" w:cs="Arial"/>
          <w:sz w:val="20"/>
          <w:szCs w:val="20"/>
          <w:lang w:eastAsia="en-US"/>
        </w:rPr>
        <w:t>Prema sporazumu procijenjene neprihvatljive troškove financirati će Županija u iznosu 2.431.985,82 € i Općina u iznosu 3.037.106,67 €.</w:t>
      </w:r>
    </w:p>
    <w:p w14:paraId="091492A2" w14:textId="77777777" w:rsidR="00F81630" w:rsidRDefault="00F81630" w:rsidP="0052045C">
      <w:pPr>
        <w:autoSpaceDE w:val="0"/>
        <w:autoSpaceDN w:val="0"/>
        <w:adjustRightInd w:val="0"/>
        <w:spacing w:after="0" w:line="240" w:lineRule="auto"/>
        <w:ind w:left="720"/>
        <w:jc w:val="both"/>
        <w:rPr>
          <w:rFonts w:ascii="Arial" w:eastAsia="Times New Roman" w:hAnsi="Arial" w:cs="Arial"/>
          <w:sz w:val="20"/>
          <w:szCs w:val="20"/>
          <w:lang w:eastAsia="en-US"/>
        </w:rPr>
      </w:pPr>
    </w:p>
    <w:p w14:paraId="55F0874D" w14:textId="14C2F7CE" w:rsidR="00911F33" w:rsidRDefault="00DF6B2B" w:rsidP="0052045C">
      <w:pPr>
        <w:autoSpaceDE w:val="0"/>
        <w:autoSpaceDN w:val="0"/>
        <w:adjustRightInd w:val="0"/>
        <w:spacing w:after="0" w:line="240" w:lineRule="auto"/>
        <w:ind w:left="720"/>
        <w:jc w:val="both"/>
        <w:rPr>
          <w:rFonts w:ascii="Arial" w:eastAsia="Times New Roman" w:hAnsi="Arial" w:cs="Arial"/>
          <w:sz w:val="20"/>
          <w:szCs w:val="20"/>
          <w:lang w:eastAsia="en-US"/>
        </w:rPr>
      </w:pPr>
      <w:r>
        <w:rPr>
          <w:rFonts w:ascii="Arial" w:eastAsia="Times New Roman" w:hAnsi="Arial" w:cs="Arial"/>
          <w:sz w:val="20"/>
          <w:szCs w:val="20"/>
          <w:lang w:eastAsia="en-US"/>
        </w:rPr>
        <w:t xml:space="preserve">U prvom polugodištu 2025., županija je doznačila 2.271.869,19 € koje je evidentirano kao prihod. </w:t>
      </w:r>
    </w:p>
    <w:p w14:paraId="5AC5C3C6" w14:textId="77777777" w:rsidR="00911F33" w:rsidRDefault="00911F33" w:rsidP="0052045C">
      <w:pPr>
        <w:autoSpaceDE w:val="0"/>
        <w:autoSpaceDN w:val="0"/>
        <w:adjustRightInd w:val="0"/>
        <w:spacing w:after="0" w:line="240" w:lineRule="auto"/>
        <w:ind w:left="720"/>
        <w:jc w:val="both"/>
        <w:rPr>
          <w:rFonts w:ascii="Arial" w:eastAsia="Times New Roman" w:hAnsi="Arial" w:cs="Arial"/>
          <w:sz w:val="20"/>
          <w:szCs w:val="20"/>
          <w:lang w:eastAsia="en-US"/>
        </w:rPr>
      </w:pPr>
    </w:p>
    <w:p w14:paraId="3BBE5C7B" w14:textId="77777777" w:rsidR="00911F33" w:rsidRPr="00A80DBE" w:rsidRDefault="00911F33" w:rsidP="0052045C">
      <w:pPr>
        <w:autoSpaceDE w:val="0"/>
        <w:autoSpaceDN w:val="0"/>
        <w:adjustRightInd w:val="0"/>
        <w:spacing w:after="0" w:line="240" w:lineRule="auto"/>
        <w:ind w:left="720"/>
        <w:jc w:val="both"/>
        <w:rPr>
          <w:rFonts w:ascii="Arial" w:eastAsia="Times New Roman" w:hAnsi="Arial" w:cs="Arial"/>
          <w:sz w:val="20"/>
          <w:szCs w:val="20"/>
          <w:lang w:eastAsia="en-US"/>
        </w:rPr>
      </w:pPr>
    </w:p>
    <w:p w14:paraId="029D6786" w14:textId="4CCFE2C3" w:rsidR="0052045C" w:rsidRPr="00A80DBE" w:rsidRDefault="0052045C" w:rsidP="00B32353">
      <w:pPr>
        <w:numPr>
          <w:ilvl w:val="0"/>
          <w:numId w:val="12"/>
        </w:numPr>
        <w:autoSpaceDE w:val="0"/>
        <w:autoSpaceDN w:val="0"/>
        <w:adjustRightInd w:val="0"/>
        <w:spacing w:after="0" w:line="240" w:lineRule="auto"/>
        <w:ind w:left="709" w:hanging="359"/>
        <w:jc w:val="both"/>
        <w:rPr>
          <w:rFonts w:ascii="Arial" w:eastAsia="Calibri" w:hAnsi="Arial" w:cs="Arial"/>
          <w:bCs/>
          <w:sz w:val="20"/>
          <w:szCs w:val="20"/>
        </w:rPr>
      </w:pPr>
      <w:bookmarkStart w:id="419" w:name="_Hlk166667353"/>
      <w:r w:rsidRPr="00A80DBE">
        <w:rPr>
          <w:rFonts w:ascii="Arial" w:eastAsia="Calibri" w:hAnsi="Arial" w:cs="Arial"/>
          <w:b/>
          <w:sz w:val="20"/>
          <w:szCs w:val="20"/>
          <w:u w:val="single"/>
          <w:lang w:eastAsia="en-US"/>
        </w:rPr>
        <w:t>Pomoći proračunu iz drugih proračuna (tekuće i kapitalne pomoći) (</w:t>
      </w:r>
      <w:r w:rsidRPr="00A80DBE">
        <w:rPr>
          <w:rFonts w:ascii="Arial" w:eastAsia="Calibri" w:hAnsi="Arial" w:cs="Arial"/>
          <w:b/>
          <w:sz w:val="20"/>
          <w:szCs w:val="20"/>
          <w:highlight w:val="yellow"/>
          <w:u w:val="single"/>
          <w:lang w:eastAsia="en-US"/>
        </w:rPr>
        <w:t>633</w:t>
      </w:r>
      <w:r w:rsidRPr="00A80DBE">
        <w:rPr>
          <w:rFonts w:ascii="Arial" w:eastAsia="Calibri" w:hAnsi="Arial" w:cs="Arial"/>
          <w:b/>
          <w:sz w:val="20"/>
          <w:szCs w:val="20"/>
          <w:u w:val="single"/>
          <w:lang w:eastAsia="en-US"/>
        </w:rPr>
        <w:t xml:space="preserve">), a na temelju sufinanciranja EU projekata iz državnog proračuna </w:t>
      </w:r>
    </w:p>
    <w:p w14:paraId="1FCBF9C6" w14:textId="77777777" w:rsidR="00B32353" w:rsidRPr="00A80DBE" w:rsidRDefault="00B32353" w:rsidP="0052045C">
      <w:pPr>
        <w:autoSpaceDE w:val="0"/>
        <w:autoSpaceDN w:val="0"/>
        <w:adjustRightInd w:val="0"/>
        <w:spacing w:after="0" w:line="240" w:lineRule="auto"/>
        <w:ind w:left="360"/>
        <w:jc w:val="both"/>
        <w:rPr>
          <w:rFonts w:ascii="Arial" w:eastAsia="Calibri" w:hAnsi="Arial" w:cs="Arial"/>
          <w:bCs/>
          <w:sz w:val="20"/>
          <w:szCs w:val="20"/>
        </w:rPr>
      </w:pPr>
    </w:p>
    <w:p w14:paraId="6B99230B" w14:textId="62B9B9FC" w:rsidR="0052045C" w:rsidRPr="00A80DBE" w:rsidRDefault="0052045C" w:rsidP="0052045C">
      <w:pPr>
        <w:autoSpaceDE w:val="0"/>
        <w:autoSpaceDN w:val="0"/>
        <w:adjustRightInd w:val="0"/>
        <w:spacing w:after="0" w:line="240" w:lineRule="auto"/>
        <w:ind w:left="360"/>
        <w:jc w:val="both"/>
        <w:rPr>
          <w:rFonts w:ascii="Arial" w:eastAsia="Calibri" w:hAnsi="Arial" w:cs="Arial"/>
          <w:bCs/>
          <w:sz w:val="20"/>
          <w:szCs w:val="20"/>
        </w:rPr>
      </w:pPr>
      <w:r w:rsidRPr="00A80DBE">
        <w:rPr>
          <w:rFonts w:ascii="Arial" w:eastAsia="Calibri" w:hAnsi="Arial" w:cs="Arial"/>
          <w:bCs/>
          <w:sz w:val="20"/>
          <w:szCs w:val="20"/>
        </w:rPr>
        <w:t>U okviru ovih prihoda Općina</w:t>
      </w:r>
      <w:r w:rsidR="00DF6B2B">
        <w:rPr>
          <w:rFonts w:ascii="Arial" w:eastAsia="Calibri" w:hAnsi="Arial" w:cs="Arial"/>
          <w:bCs/>
          <w:sz w:val="20"/>
          <w:szCs w:val="20"/>
        </w:rPr>
        <w:t xml:space="preserve"> nije</w:t>
      </w:r>
      <w:r w:rsidRPr="00A80DBE">
        <w:rPr>
          <w:rFonts w:ascii="Arial" w:eastAsia="Calibri" w:hAnsi="Arial" w:cs="Arial"/>
          <w:bCs/>
          <w:sz w:val="20"/>
          <w:szCs w:val="20"/>
        </w:rPr>
        <w:t xml:space="preserve"> iskazala prihode</w:t>
      </w:r>
      <w:r w:rsidR="00DF6B2B">
        <w:rPr>
          <w:rFonts w:ascii="Arial" w:eastAsia="Calibri" w:hAnsi="Arial" w:cs="Arial"/>
          <w:bCs/>
          <w:sz w:val="20"/>
          <w:szCs w:val="20"/>
        </w:rPr>
        <w:t>.</w:t>
      </w:r>
    </w:p>
    <w:p w14:paraId="6CE25302" w14:textId="77777777" w:rsidR="0052045C" w:rsidRPr="00A80DBE" w:rsidRDefault="0052045C" w:rsidP="00FB7F63">
      <w:pPr>
        <w:autoSpaceDE w:val="0"/>
        <w:autoSpaceDN w:val="0"/>
        <w:adjustRightInd w:val="0"/>
        <w:spacing w:after="0" w:line="240" w:lineRule="auto"/>
        <w:jc w:val="both"/>
        <w:rPr>
          <w:rFonts w:ascii="Arial" w:eastAsia="Calibri" w:hAnsi="Arial" w:cs="Arial"/>
          <w:bCs/>
          <w:sz w:val="20"/>
          <w:szCs w:val="20"/>
        </w:rPr>
      </w:pPr>
    </w:p>
    <w:bookmarkEnd w:id="419"/>
    <w:p w14:paraId="6FF03D4E" w14:textId="77777777" w:rsidR="0052045C" w:rsidRPr="00A80DBE" w:rsidRDefault="0052045C" w:rsidP="0052045C">
      <w:pPr>
        <w:autoSpaceDE w:val="0"/>
        <w:autoSpaceDN w:val="0"/>
        <w:adjustRightInd w:val="0"/>
        <w:spacing w:after="0" w:line="240" w:lineRule="auto"/>
        <w:rPr>
          <w:rFonts w:ascii="Arial" w:eastAsia="Calibri" w:hAnsi="Arial" w:cs="Arial"/>
          <w:sz w:val="20"/>
        </w:rPr>
      </w:pPr>
    </w:p>
    <w:p w14:paraId="6E6CBE30" w14:textId="5535AB7D" w:rsidR="0052045C" w:rsidRPr="000327A6" w:rsidRDefault="0052045C">
      <w:pPr>
        <w:numPr>
          <w:ilvl w:val="0"/>
          <w:numId w:val="12"/>
        </w:numPr>
        <w:autoSpaceDE w:val="0"/>
        <w:autoSpaceDN w:val="0"/>
        <w:adjustRightInd w:val="0"/>
        <w:spacing w:after="0" w:line="240" w:lineRule="auto"/>
        <w:ind w:left="709" w:hanging="359"/>
        <w:jc w:val="both"/>
        <w:rPr>
          <w:rFonts w:ascii="Arial" w:eastAsia="Calibri" w:hAnsi="Arial" w:cs="Arial"/>
          <w:b/>
          <w:sz w:val="20"/>
          <w:szCs w:val="20"/>
          <w:u w:val="single"/>
          <w:lang w:eastAsia="en-US"/>
        </w:rPr>
      </w:pPr>
      <w:r w:rsidRPr="000327A6">
        <w:rPr>
          <w:rFonts w:ascii="Arial" w:eastAsia="Calibri" w:hAnsi="Arial" w:cs="Arial"/>
          <w:b/>
          <w:sz w:val="20"/>
          <w:szCs w:val="20"/>
          <w:u w:val="single"/>
          <w:lang w:eastAsia="en-US"/>
        </w:rPr>
        <w:t>Prihodi od donacija od pravnih i fizičkih osoba izvan općeg proračuna</w:t>
      </w:r>
      <w:r w:rsidR="000327A6" w:rsidRPr="000327A6">
        <w:rPr>
          <w:rFonts w:ascii="Arial" w:eastAsia="Calibri" w:hAnsi="Arial" w:cs="Arial"/>
          <w:b/>
          <w:sz w:val="20"/>
          <w:szCs w:val="20"/>
          <w:u w:val="single"/>
          <w:lang w:eastAsia="en-US"/>
        </w:rPr>
        <w:t xml:space="preserve"> (</w:t>
      </w:r>
      <w:r w:rsidR="000327A6" w:rsidRPr="000327A6">
        <w:rPr>
          <w:rFonts w:ascii="Arial" w:eastAsia="Calibri" w:hAnsi="Arial" w:cs="Arial"/>
          <w:b/>
          <w:sz w:val="20"/>
          <w:szCs w:val="20"/>
          <w:highlight w:val="yellow"/>
          <w:u w:val="single"/>
          <w:lang w:eastAsia="en-US"/>
        </w:rPr>
        <w:t>663</w:t>
      </w:r>
      <w:r w:rsidR="000327A6" w:rsidRPr="000327A6">
        <w:rPr>
          <w:rFonts w:ascii="Arial" w:eastAsia="Calibri" w:hAnsi="Arial" w:cs="Arial"/>
          <w:b/>
          <w:sz w:val="20"/>
          <w:szCs w:val="20"/>
          <w:u w:val="single"/>
          <w:lang w:eastAsia="en-US"/>
        </w:rPr>
        <w:t>)</w:t>
      </w:r>
      <w:r w:rsidRPr="000327A6">
        <w:rPr>
          <w:rFonts w:ascii="Arial" w:eastAsia="Calibri" w:hAnsi="Arial" w:cs="Arial"/>
          <w:b/>
          <w:sz w:val="20"/>
          <w:szCs w:val="20"/>
          <w:u w:val="single"/>
          <w:lang w:eastAsia="en-US"/>
        </w:rPr>
        <w:t>, a na temelju projekta koji se financira EU sredstvima</w:t>
      </w:r>
    </w:p>
    <w:p w14:paraId="7A8466F9" w14:textId="77777777" w:rsidR="0052045C" w:rsidRPr="003A2F86" w:rsidRDefault="0052045C" w:rsidP="0052045C">
      <w:pPr>
        <w:autoSpaceDE w:val="0"/>
        <w:autoSpaceDN w:val="0"/>
        <w:adjustRightInd w:val="0"/>
        <w:spacing w:after="0" w:line="240" w:lineRule="auto"/>
        <w:ind w:left="708"/>
        <w:jc w:val="both"/>
        <w:rPr>
          <w:rFonts w:ascii="Arial" w:hAnsi="Arial" w:cs="Arial"/>
          <w:sz w:val="20"/>
          <w:szCs w:val="20"/>
        </w:rPr>
      </w:pPr>
    </w:p>
    <w:p w14:paraId="4CB78ABF" w14:textId="77777777" w:rsidR="00DF6B2B" w:rsidRPr="00D2370E" w:rsidRDefault="00DF6B2B" w:rsidP="00DF6B2B">
      <w:pPr>
        <w:autoSpaceDE w:val="0"/>
        <w:autoSpaceDN w:val="0"/>
        <w:adjustRightInd w:val="0"/>
        <w:spacing w:after="0" w:line="240" w:lineRule="auto"/>
        <w:jc w:val="both"/>
        <w:rPr>
          <w:rFonts w:ascii="Arial" w:eastAsia="Calibri" w:hAnsi="Arial" w:cs="Arial"/>
          <w:b/>
          <w:color w:val="0070C0"/>
          <w:sz w:val="20"/>
          <w:szCs w:val="20"/>
        </w:rPr>
      </w:pPr>
      <w:r w:rsidRPr="00D2370E">
        <w:rPr>
          <w:rFonts w:ascii="Arial" w:eastAsia="Calibri" w:hAnsi="Arial" w:cs="Arial"/>
          <w:color w:val="0070C0"/>
          <w:sz w:val="20"/>
          <w:szCs w:val="20"/>
        </w:rPr>
        <w:t>U okviru ovih prihoda Općina nije iskazala prihode u prvom polugodištu 2025.</w:t>
      </w:r>
    </w:p>
    <w:p w14:paraId="62BB7655" w14:textId="77777777" w:rsidR="00DF6B2B" w:rsidRDefault="00DF6B2B" w:rsidP="00A80DBE">
      <w:pPr>
        <w:autoSpaceDE w:val="0"/>
        <w:autoSpaceDN w:val="0"/>
        <w:adjustRightInd w:val="0"/>
        <w:spacing w:after="0" w:line="240" w:lineRule="auto"/>
        <w:jc w:val="both"/>
        <w:rPr>
          <w:rFonts w:ascii="Arial" w:eastAsia="Calibri" w:hAnsi="Arial" w:cs="Arial"/>
          <w:sz w:val="20"/>
          <w:szCs w:val="20"/>
        </w:rPr>
      </w:pPr>
    </w:p>
    <w:p w14:paraId="1C3335BE" w14:textId="777386BF" w:rsidR="00A80DBE" w:rsidRPr="00A80DBE" w:rsidRDefault="00A80DBE" w:rsidP="00A80DBE">
      <w:pPr>
        <w:autoSpaceDE w:val="0"/>
        <w:autoSpaceDN w:val="0"/>
        <w:adjustRightInd w:val="0"/>
        <w:spacing w:after="0" w:line="240" w:lineRule="auto"/>
        <w:jc w:val="both"/>
        <w:rPr>
          <w:rFonts w:ascii="Arial" w:eastAsia="Calibri" w:hAnsi="Arial" w:cs="Arial"/>
          <w:b/>
          <w:sz w:val="20"/>
          <w:szCs w:val="20"/>
        </w:rPr>
      </w:pPr>
      <w:r w:rsidRPr="00A80DBE">
        <w:rPr>
          <w:rFonts w:ascii="Arial" w:eastAsia="Calibri" w:hAnsi="Arial" w:cs="Arial"/>
          <w:sz w:val="20"/>
          <w:szCs w:val="20"/>
        </w:rPr>
        <w:t xml:space="preserve">U okviru ovih prihoda Općina je </w:t>
      </w:r>
      <w:r w:rsidR="00DF6B2B">
        <w:rPr>
          <w:rFonts w:ascii="Arial" w:eastAsia="Calibri" w:hAnsi="Arial" w:cs="Arial"/>
          <w:sz w:val="20"/>
          <w:szCs w:val="20"/>
        </w:rPr>
        <w:t xml:space="preserve">u 2024. </w:t>
      </w:r>
      <w:r w:rsidRPr="00A80DBE">
        <w:rPr>
          <w:rFonts w:ascii="Arial" w:eastAsia="Calibri" w:hAnsi="Arial" w:cs="Arial"/>
          <w:sz w:val="20"/>
          <w:szCs w:val="20"/>
        </w:rPr>
        <w:t xml:space="preserve">iskazala prihode u iznosu </w:t>
      </w:r>
      <w:r>
        <w:rPr>
          <w:rFonts w:ascii="Arial" w:eastAsia="Calibri" w:hAnsi="Arial" w:cs="Arial"/>
          <w:b/>
          <w:bCs/>
          <w:sz w:val="20"/>
          <w:szCs w:val="20"/>
        </w:rPr>
        <w:t>126.945,00</w:t>
      </w:r>
      <w:r w:rsidRPr="00A80DBE">
        <w:rPr>
          <w:rFonts w:ascii="Arial" w:eastAsia="Calibri" w:hAnsi="Arial" w:cs="Arial"/>
          <w:b/>
          <w:bCs/>
          <w:sz w:val="20"/>
          <w:szCs w:val="20"/>
        </w:rPr>
        <w:t xml:space="preserve"> € (</w:t>
      </w:r>
      <w:r>
        <w:rPr>
          <w:rFonts w:ascii="Arial" w:eastAsia="Calibri" w:hAnsi="Arial" w:cs="Arial"/>
          <w:b/>
          <w:bCs/>
          <w:sz w:val="20"/>
          <w:szCs w:val="20"/>
        </w:rPr>
        <w:t>F</w:t>
      </w:r>
      <w:r w:rsidRPr="00A80DBE">
        <w:rPr>
          <w:rFonts w:ascii="Arial" w:eastAsia="Calibri" w:hAnsi="Arial" w:cs="Arial"/>
          <w:b/>
          <w:bCs/>
          <w:sz w:val="20"/>
          <w:szCs w:val="20"/>
        </w:rPr>
        <w:t>.1</w:t>
      </w:r>
      <w:r w:rsidRPr="00A80DBE">
        <w:rPr>
          <w:rFonts w:ascii="Arial" w:eastAsia="Calibri" w:hAnsi="Arial" w:cs="Arial"/>
          <w:b/>
          <w:sz w:val="20"/>
          <w:szCs w:val="20"/>
        </w:rPr>
        <w:t>.).</w:t>
      </w:r>
    </w:p>
    <w:p w14:paraId="73A1889F" w14:textId="77777777" w:rsidR="00A80DBE" w:rsidRPr="00A80DBE" w:rsidRDefault="00A80DBE" w:rsidP="00A80DBE">
      <w:pPr>
        <w:autoSpaceDE w:val="0"/>
        <w:autoSpaceDN w:val="0"/>
        <w:adjustRightInd w:val="0"/>
        <w:spacing w:after="0" w:line="240" w:lineRule="auto"/>
        <w:jc w:val="both"/>
        <w:rPr>
          <w:rFonts w:ascii="Arial" w:eastAsia="Times New Roman" w:hAnsi="Arial" w:cs="Arial"/>
          <w:sz w:val="20"/>
          <w:szCs w:val="20"/>
          <w:lang w:eastAsia="en-US"/>
        </w:rPr>
      </w:pPr>
      <w:r w:rsidRPr="00A80DBE">
        <w:rPr>
          <w:rFonts w:ascii="Arial" w:eastAsia="Times New Roman" w:hAnsi="Arial" w:cs="Arial"/>
          <w:sz w:val="20"/>
          <w:szCs w:val="20"/>
          <w:lang w:eastAsia="en-US"/>
        </w:rPr>
        <w:t>Ostvarena sredstva su evidentirana kao prihodi na:</w:t>
      </w:r>
    </w:p>
    <w:p w14:paraId="17032A5C" w14:textId="6A51DD09" w:rsidR="00A80DBE" w:rsidRPr="00A80DBE" w:rsidRDefault="00A80DBE">
      <w:pPr>
        <w:numPr>
          <w:ilvl w:val="0"/>
          <w:numId w:val="56"/>
        </w:numPr>
        <w:autoSpaceDE w:val="0"/>
        <w:autoSpaceDN w:val="0"/>
        <w:adjustRightInd w:val="0"/>
        <w:spacing w:after="0" w:line="240" w:lineRule="auto"/>
        <w:jc w:val="both"/>
        <w:rPr>
          <w:rFonts w:ascii="Arial" w:eastAsia="Calibri" w:hAnsi="Arial" w:cs="Arial"/>
          <w:bCs/>
          <w:sz w:val="20"/>
          <w:szCs w:val="20"/>
          <w:lang w:eastAsia="en-US"/>
        </w:rPr>
      </w:pPr>
      <w:r w:rsidRPr="00A80DBE">
        <w:rPr>
          <w:rFonts w:ascii="Arial" w:eastAsia="Times New Roman" w:hAnsi="Arial" w:cs="Arial"/>
          <w:sz w:val="20"/>
          <w:szCs w:val="20"/>
          <w:lang w:eastAsia="en-US"/>
        </w:rPr>
        <w:t xml:space="preserve">osnovnom računu </w:t>
      </w:r>
      <w:r w:rsidRPr="00A80DBE">
        <w:rPr>
          <w:rFonts w:ascii="Arial" w:eastAsia="Times New Roman" w:hAnsi="Arial" w:cs="Arial"/>
          <w:b/>
          <w:bCs/>
          <w:sz w:val="20"/>
          <w:szCs w:val="20"/>
          <w:u w:val="single"/>
          <w:lang w:eastAsia="en-US"/>
        </w:rPr>
        <w:t>6</w:t>
      </w:r>
      <w:r>
        <w:rPr>
          <w:rFonts w:ascii="Arial" w:eastAsia="Times New Roman" w:hAnsi="Arial" w:cs="Arial"/>
          <w:b/>
          <w:bCs/>
          <w:sz w:val="20"/>
          <w:szCs w:val="20"/>
          <w:u w:val="single"/>
          <w:lang w:eastAsia="en-US"/>
        </w:rPr>
        <w:t>6313</w:t>
      </w:r>
      <w:r w:rsidRPr="00A80DBE">
        <w:rPr>
          <w:rFonts w:ascii="Arial" w:eastAsia="Times New Roman" w:hAnsi="Arial" w:cs="Arial"/>
          <w:sz w:val="20"/>
          <w:szCs w:val="20"/>
          <w:lang w:eastAsia="en-US"/>
        </w:rPr>
        <w:t xml:space="preserve"> u iznosu </w:t>
      </w:r>
      <w:r>
        <w:rPr>
          <w:rFonts w:ascii="Arial" w:eastAsia="Times New Roman" w:hAnsi="Arial" w:cs="Arial"/>
          <w:sz w:val="20"/>
          <w:szCs w:val="20"/>
          <w:lang w:eastAsia="en-US"/>
        </w:rPr>
        <w:t>32.000,00</w:t>
      </w:r>
      <w:r w:rsidRPr="00A80DBE">
        <w:rPr>
          <w:rFonts w:ascii="Arial" w:eastAsia="Times New Roman" w:hAnsi="Arial" w:cs="Arial"/>
          <w:sz w:val="20"/>
          <w:szCs w:val="20"/>
          <w:lang w:eastAsia="en-US"/>
        </w:rPr>
        <w:t xml:space="preserve"> € (projekt </w:t>
      </w:r>
      <w:r w:rsidRPr="00A80DBE">
        <w:rPr>
          <w:rFonts w:ascii="Arial" w:eastAsia="Calibri" w:hAnsi="Arial" w:cs="Arial"/>
          <w:b/>
          <w:sz w:val="20"/>
          <w:szCs w:val="20"/>
          <w:lang w:eastAsia="en-US"/>
        </w:rPr>
        <w:t xml:space="preserve"> „</w:t>
      </w:r>
      <w:r>
        <w:rPr>
          <w:rFonts w:ascii="Arial" w:eastAsia="Calibri" w:hAnsi="Arial" w:cs="Arial"/>
          <w:b/>
          <w:sz w:val="20"/>
          <w:szCs w:val="20"/>
          <w:lang w:eastAsia="en-US"/>
        </w:rPr>
        <w:t>CROSSMART</w:t>
      </w:r>
      <w:r w:rsidRPr="00A80DBE">
        <w:rPr>
          <w:rFonts w:ascii="Arial" w:eastAsia="Calibri" w:hAnsi="Arial" w:cs="Arial"/>
          <w:b/>
          <w:sz w:val="20"/>
          <w:szCs w:val="20"/>
          <w:lang w:eastAsia="en-US"/>
        </w:rPr>
        <w:t>“</w:t>
      </w:r>
      <w:r w:rsidRPr="00A80DBE">
        <w:rPr>
          <w:rFonts w:ascii="Arial" w:eastAsia="Calibri" w:hAnsi="Arial" w:cs="Arial"/>
          <w:bCs/>
          <w:sz w:val="20"/>
          <w:szCs w:val="20"/>
          <w:lang w:eastAsia="en-US"/>
        </w:rPr>
        <w:t xml:space="preserve">), te na </w:t>
      </w:r>
    </w:p>
    <w:p w14:paraId="6F7CC2CB" w14:textId="22F43696" w:rsidR="00A80DBE" w:rsidRPr="00A80DBE" w:rsidRDefault="00A80DBE">
      <w:pPr>
        <w:numPr>
          <w:ilvl w:val="0"/>
          <w:numId w:val="56"/>
        </w:numPr>
        <w:autoSpaceDE w:val="0"/>
        <w:autoSpaceDN w:val="0"/>
        <w:adjustRightInd w:val="0"/>
        <w:spacing w:after="0" w:line="240" w:lineRule="auto"/>
        <w:jc w:val="both"/>
        <w:rPr>
          <w:rFonts w:ascii="Arial" w:eastAsia="Calibri" w:hAnsi="Arial" w:cs="Arial"/>
          <w:bCs/>
          <w:sz w:val="20"/>
          <w:szCs w:val="20"/>
          <w:lang w:eastAsia="en-US"/>
        </w:rPr>
      </w:pPr>
      <w:r w:rsidRPr="00A80DBE">
        <w:rPr>
          <w:rFonts w:ascii="Arial" w:eastAsia="Times New Roman" w:hAnsi="Arial" w:cs="Arial"/>
          <w:sz w:val="20"/>
          <w:szCs w:val="20"/>
          <w:lang w:eastAsia="en-US"/>
        </w:rPr>
        <w:t xml:space="preserve">osnovnom računu </w:t>
      </w:r>
      <w:r w:rsidRPr="00A80DBE">
        <w:rPr>
          <w:rFonts w:ascii="Arial" w:eastAsia="Times New Roman" w:hAnsi="Arial" w:cs="Arial"/>
          <w:b/>
          <w:bCs/>
          <w:sz w:val="20"/>
          <w:szCs w:val="20"/>
          <w:u w:val="single"/>
          <w:lang w:eastAsia="en-US"/>
        </w:rPr>
        <w:t>6</w:t>
      </w:r>
      <w:r>
        <w:rPr>
          <w:rFonts w:ascii="Arial" w:eastAsia="Times New Roman" w:hAnsi="Arial" w:cs="Arial"/>
          <w:b/>
          <w:bCs/>
          <w:sz w:val="20"/>
          <w:szCs w:val="20"/>
          <w:u w:val="single"/>
          <w:lang w:eastAsia="en-US"/>
        </w:rPr>
        <w:t>6323</w:t>
      </w:r>
      <w:r w:rsidRPr="00A80DBE">
        <w:rPr>
          <w:rFonts w:ascii="Arial" w:eastAsia="Times New Roman" w:hAnsi="Arial" w:cs="Arial"/>
          <w:sz w:val="20"/>
          <w:szCs w:val="20"/>
          <w:lang w:eastAsia="en-US"/>
        </w:rPr>
        <w:t xml:space="preserve"> u iznosu </w:t>
      </w:r>
      <w:r>
        <w:rPr>
          <w:rFonts w:ascii="Arial" w:eastAsia="Times New Roman" w:hAnsi="Arial" w:cs="Arial"/>
          <w:sz w:val="20"/>
          <w:szCs w:val="20"/>
          <w:lang w:eastAsia="en-US"/>
        </w:rPr>
        <w:t>94.945,00</w:t>
      </w:r>
      <w:r w:rsidRPr="00A80DBE">
        <w:rPr>
          <w:rFonts w:ascii="Arial" w:eastAsia="Times New Roman" w:hAnsi="Arial" w:cs="Arial"/>
          <w:sz w:val="20"/>
          <w:szCs w:val="20"/>
          <w:lang w:eastAsia="en-US"/>
        </w:rPr>
        <w:t xml:space="preserve"> € (projekt </w:t>
      </w:r>
      <w:r w:rsidRPr="00A80DBE">
        <w:rPr>
          <w:rFonts w:ascii="Arial" w:eastAsia="Calibri" w:hAnsi="Arial" w:cs="Arial"/>
          <w:b/>
          <w:sz w:val="20"/>
          <w:szCs w:val="20"/>
          <w:lang w:eastAsia="en-US"/>
        </w:rPr>
        <w:t xml:space="preserve"> „</w:t>
      </w:r>
      <w:r>
        <w:rPr>
          <w:rFonts w:ascii="Arial" w:eastAsia="Calibri" w:hAnsi="Arial" w:cs="Arial"/>
          <w:b/>
          <w:sz w:val="20"/>
          <w:szCs w:val="20"/>
          <w:lang w:eastAsia="en-US"/>
        </w:rPr>
        <w:t>CROSSMART“</w:t>
      </w:r>
      <w:r w:rsidRPr="00A80DBE">
        <w:rPr>
          <w:rFonts w:ascii="Arial" w:eastAsia="Calibri" w:hAnsi="Arial" w:cs="Arial"/>
          <w:bCs/>
          <w:sz w:val="20"/>
          <w:szCs w:val="20"/>
          <w:lang w:eastAsia="en-US"/>
        </w:rPr>
        <w:t xml:space="preserve">). </w:t>
      </w:r>
    </w:p>
    <w:p w14:paraId="2049C881" w14:textId="77777777" w:rsidR="00A80DBE" w:rsidRPr="00A80DBE" w:rsidRDefault="00A80DBE" w:rsidP="00A80DBE">
      <w:pPr>
        <w:spacing w:after="0" w:line="240" w:lineRule="auto"/>
        <w:jc w:val="both"/>
        <w:rPr>
          <w:rFonts w:ascii="Arial" w:eastAsia="Calibri" w:hAnsi="Arial" w:cs="Arial"/>
          <w:sz w:val="20"/>
          <w:szCs w:val="20"/>
        </w:rPr>
      </w:pPr>
    </w:p>
    <w:p w14:paraId="499DBFED" w14:textId="75584400" w:rsidR="00A80DBE" w:rsidRPr="00A80DBE" w:rsidRDefault="00A80DBE" w:rsidP="00A80DBE">
      <w:pPr>
        <w:spacing w:after="0" w:line="240" w:lineRule="auto"/>
        <w:jc w:val="both"/>
        <w:rPr>
          <w:rFonts w:ascii="Arial" w:eastAsia="Calibri" w:hAnsi="Arial" w:cs="Arial"/>
          <w:sz w:val="20"/>
          <w:szCs w:val="20"/>
        </w:rPr>
      </w:pPr>
      <w:r w:rsidRPr="00A80DBE">
        <w:rPr>
          <w:rFonts w:ascii="Arial" w:eastAsia="Calibri" w:hAnsi="Arial" w:cs="Arial"/>
          <w:sz w:val="20"/>
          <w:szCs w:val="20"/>
        </w:rPr>
        <w:t>U 2024. godine odobren</w:t>
      </w:r>
      <w:r>
        <w:rPr>
          <w:rFonts w:ascii="Arial" w:eastAsia="Calibri" w:hAnsi="Arial" w:cs="Arial"/>
          <w:sz w:val="20"/>
          <w:szCs w:val="20"/>
        </w:rPr>
        <w:t xml:space="preserve"> je projekt </w:t>
      </w:r>
      <w:r w:rsidRPr="00A80DBE">
        <w:rPr>
          <w:rFonts w:ascii="Arial" w:eastAsia="Calibri" w:hAnsi="Arial" w:cs="Arial"/>
          <w:sz w:val="20"/>
          <w:szCs w:val="20"/>
        </w:rPr>
        <w:t xml:space="preserve">iz programa prekogranične suradnje </w:t>
      </w:r>
      <w:r>
        <w:rPr>
          <w:rFonts w:ascii="Arial" w:eastAsia="Calibri" w:hAnsi="Arial" w:cs="Arial"/>
          <w:sz w:val="20"/>
          <w:szCs w:val="20"/>
        </w:rPr>
        <w:t>u kojem je glavni projektni partner Centar za poduzetništvo d.o.o. (Dubrovačko-neretvanska županija)</w:t>
      </w:r>
      <w:r w:rsidRPr="00A80DBE">
        <w:rPr>
          <w:rFonts w:ascii="Arial" w:eastAsia="Calibri" w:hAnsi="Arial" w:cs="Arial"/>
          <w:sz w:val="20"/>
          <w:szCs w:val="20"/>
        </w:rPr>
        <w:t xml:space="preserve">. </w:t>
      </w:r>
      <w:r>
        <w:rPr>
          <w:rFonts w:ascii="Arial" w:eastAsia="Calibri" w:hAnsi="Arial" w:cs="Arial"/>
          <w:sz w:val="20"/>
          <w:szCs w:val="20"/>
        </w:rPr>
        <w:t>Na temelju zaključenog ugovora doznačen je predujam za provedbu projekta. S</w:t>
      </w:r>
      <w:r w:rsidRPr="00A80DBE">
        <w:rPr>
          <w:rFonts w:ascii="Arial" w:eastAsia="Calibri" w:hAnsi="Arial" w:cs="Arial"/>
          <w:sz w:val="20"/>
          <w:szCs w:val="20"/>
        </w:rPr>
        <w:t>redstva su doznačena u jednom iznosu, a podjela prihoda na tekuće i kapitalne je obavljena procjenom sukladno planiranim troškovima projekta.</w:t>
      </w:r>
    </w:p>
    <w:p w14:paraId="43D8B061" w14:textId="77777777" w:rsidR="00A80DBE" w:rsidRDefault="00A80DBE" w:rsidP="00A80DBE">
      <w:pPr>
        <w:spacing w:after="0" w:line="240" w:lineRule="auto"/>
        <w:jc w:val="both"/>
        <w:rPr>
          <w:rFonts w:ascii="Arial" w:eastAsia="Calibri" w:hAnsi="Arial" w:cs="Arial"/>
          <w:sz w:val="20"/>
          <w:szCs w:val="20"/>
        </w:rPr>
      </w:pPr>
    </w:p>
    <w:p w14:paraId="6AF34570" w14:textId="3D74BEB8" w:rsidR="00A80DBE" w:rsidRPr="00A80DBE" w:rsidRDefault="00703E28" w:rsidP="00A80DBE">
      <w:pPr>
        <w:spacing w:after="0" w:line="240" w:lineRule="auto"/>
        <w:jc w:val="both"/>
        <w:rPr>
          <w:rFonts w:ascii="Arial" w:eastAsia="Calibri" w:hAnsi="Arial" w:cs="Arial"/>
          <w:bCs/>
          <w:sz w:val="20"/>
          <w:szCs w:val="20"/>
        </w:rPr>
      </w:pPr>
      <w:r>
        <w:rPr>
          <w:rFonts w:ascii="Arial" w:eastAsia="Calibri" w:hAnsi="Arial" w:cs="Arial"/>
          <w:b/>
          <w:sz w:val="20"/>
          <w:szCs w:val="20"/>
        </w:rPr>
        <w:t>E</w:t>
      </w:r>
      <w:r w:rsidR="00A80DBE" w:rsidRPr="00A80DBE">
        <w:rPr>
          <w:rFonts w:ascii="Arial" w:eastAsia="Calibri" w:hAnsi="Arial" w:cs="Arial"/>
          <w:b/>
          <w:sz w:val="20"/>
          <w:szCs w:val="20"/>
        </w:rPr>
        <w:t xml:space="preserve">.1) </w:t>
      </w:r>
      <w:r w:rsidR="00A80DBE" w:rsidRPr="00A80DBE">
        <w:rPr>
          <w:rFonts w:ascii="Arial" w:eastAsia="Calibri" w:hAnsi="Arial" w:cs="Arial"/>
          <w:b/>
          <w:sz w:val="20"/>
          <w:szCs w:val="20"/>
        </w:rPr>
        <w:tab/>
        <w:t>„</w:t>
      </w:r>
      <w:r w:rsidR="000327A6">
        <w:rPr>
          <w:rFonts w:ascii="Arial" w:eastAsia="Calibri" w:hAnsi="Arial" w:cs="Arial"/>
          <w:b/>
          <w:sz w:val="20"/>
          <w:szCs w:val="20"/>
        </w:rPr>
        <w:t>CROSSMART</w:t>
      </w:r>
      <w:r w:rsidR="00A80DBE" w:rsidRPr="00A80DBE">
        <w:rPr>
          <w:rFonts w:ascii="Arial" w:eastAsia="Calibri" w:hAnsi="Arial" w:cs="Arial"/>
          <w:b/>
          <w:sz w:val="20"/>
          <w:szCs w:val="20"/>
        </w:rPr>
        <w:t xml:space="preserve">“ – </w:t>
      </w:r>
      <w:r w:rsidR="00A80DBE" w:rsidRPr="00A80DBE">
        <w:rPr>
          <w:rFonts w:ascii="Arial" w:eastAsia="Calibri" w:hAnsi="Arial" w:cs="Arial"/>
          <w:bCs/>
          <w:sz w:val="20"/>
          <w:szCs w:val="20"/>
        </w:rPr>
        <w:t xml:space="preserve">maksimalna vrijednost projekta </w:t>
      </w:r>
      <w:r w:rsidR="000327A6">
        <w:rPr>
          <w:rFonts w:ascii="Arial" w:eastAsia="Calibri" w:hAnsi="Arial" w:cs="Arial"/>
          <w:bCs/>
          <w:sz w:val="20"/>
          <w:szCs w:val="20"/>
        </w:rPr>
        <w:t>507.780,00</w:t>
      </w:r>
      <w:r w:rsidR="00A80DBE" w:rsidRPr="00A80DBE">
        <w:rPr>
          <w:rFonts w:ascii="Arial" w:eastAsia="Calibri" w:hAnsi="Arial" w:cs="Arial"/>
          <w:bCs/>
          <w:sz w:val="20"/>
          <w:szCs w:val="20"/>
        </w:rPr>
        <w:t xml:space="preserve"> €, od čega </w:t>
      </w:r>
      <w:r w:rsidR="00A80DBE" w:rsidRPr="00A27770">
        <w:rPr>
          <w:rFonts w:ascii="Arial" w:eastAsia="Calibri" w:hAnsi="Arial" w:cs="Arial"/>
          <w:b/>
          <w:sz w:val="20"/>
          <w:szCs w:val="20"/>
        </w:rPr>
        <w:t xml:space="preserve">očekivana vrijednost sufinanciranja EU iznosi 85% odnosno </w:t>
      </w:r>
      <w:r w:rsidR="000327A6" w:rsidRPr="00A27770">
        <w:rPr>
          <w:rFonts w:ascii="Arial" w:eastAsia="Calibri" w:hAnsi="Arial" w:cs="Arial"/>
          <w:b/>
          <w:sz w:val="20"/>
          <w:szCs w:val="20"/>
        </w:rPr>
        <w:t>431.613,00</w:t>
      </w:r>
      <w:r w:rsidR="00A80DBE" w:rsidRPr="00A27770">
        <w:rPr>
          <w:rFonts w:ascii="Arial" w:eastAsia="Calibri" w:hAnsi="Arial" w:cs="Arial"/>
          <w:b/>
          <w:sz w:val="20"/>
          <w:szCs w:val="20"/>
        </w:rPr>
        <w:t xml:space="preserve"> €.</w:t>
      </w:r>
    </w:p>
    <w:p w14:paraId="11BBCF7A" w14:textId="77777777" w:rsidR="00A80DBE" w:rsidRPr="00A80DBE" w:rsidRDefault="00A80DBE" w:rsidP="00A80DBE">
      <w:pPr>
        <w:spacing w:after="0" w:line="240" w:lineRule="auto"/>
        <w:jc w:val="both"/>
        <w:rPr>
          <w:rFonts w:ascii="Arial" w:eastAsia="Calibri" w:hAnsi="Arial" w:cs="Arial"/>
          <w:bCs/>
          <w:sz w:val="20"/>
          <w:szCs w:val="20"/>
        </w:rPr>
      </w:pPr>
    </w:p>
    <w:p w14:paraId="1D40E3EB" w14:textId="77777777" w:rsidR="000327A6" w:rsidRPr="000327A6" w:rsidRDefault="000327A6" w:rsidP="000327A6">
      <w:pPr>
        <w:autoSpaceDE w:val="0"/>
        <w:autoSpaceDN w:val="0"/>
        <w:adjustRightInd w:val="0"/>
        <w:spacing w:after="0" w:line="240" w:lineRule="auto"/>
        <w:jc w:val="both"/>
        <w:rPr>
          <w:rFonts w:ascii="Arial" w:hAnsi="Arial" w:cs="Arial"/>
          <w:sz w:val="20"/>
          <w:szCs w:val="20"/>
        </w:rPr>
      </w:pPr>
      <w:r w:rsidRPr="000327A6">
        <w:rPr>
          <w:rFonts w:ascii="Arial" w:hAnsi="Arial" w:cs="Arial"/>
          <w:b/>
          <w:bCs/>
          <w:sz w:val="20"/>
          <w:szCs w:val="20"/>
        </w:rPr>
        <w:t>Naziv projekta</w:t>
      </w:r>
      <w:r w:rsidRPr="000327A6">
        <w:rPr>
          <w:rFonts w:ascii="Arial" w:hAnsi="Arial" w:cs="Arial"/>
          <w:sz w:val="20"/>
          <w:szCs w:val="20"/>
        </w:rPr>
        <w:t>: CROSSMART – Prekogranična razvojna platforma za pametnu i preciznu poljoprivredu i unapređenje poduzetništva u poljoprivredi</w:t>
      </w:r>
    </w:p>
    <w:p w14:paraId="5478D7E6" w14:textId="77777777" w:rsidR="000327A6" w:rsidRPr="000327A6" w:rsidRDefault="000327A6" w:rsidP="000327A6">
      <w:pPr>
        <w:autoSpaceDE w:val="0"/>
        <w:autoSpaceDN w:val="0"/>
        <w:adjustRightInd w:val="0"/>
        <w:spacing w:after="0" w:line="240" w:lineRule="auto"/>
        <w:jc w:val="both"/>
        <w:rPr>
          <w:rFonts w:ascii="Arial" w:hAnsi="Arial" w:cs="Arial"/>
          <w:sz w:val="20"/>
          <w:szCs w:val="20"/>
        </w:rPr>
      </w:pPr>
      <w:r w:rsidRPr="000327A6">
        <w:rPr>
          <w:rFonts w:ascii="Arial" w:hAnsi="Arial" w:cs="Arial"/>
          <w:b/>
          <w:bCs/>
          <w:sz w:val="20"/>
          <w:szCs w:val="20"/>
        </w:rPr>
        <w:lastRenderedPageBreak/>
        <w:t>Glavni cilj projekta</w:t>
      </w:r>
      <w:r w:rsidRPr="000327A6">
        <w:rPr>
          <w:rFonts w:ascii="Arial" w:hAnsi="Arial" w:cs="Arial"/>
          <w:sz w:val="20"/>
          <w:szCs w:val="20"/>
        </w:rPr>
        <w:t>: Razviti i poboljšati inovacijske kapacitete poduzetnika u poljoprivredi te unaprijediti njihov pristup naprednim tehnologijama kroz uspostavu CROSSMART platforme koja će omogućiti razmjenu znanja i primjenu rješenja u preciznoj i pametnoj poljoprivredi.</w:t>
      </w:r>
    </w:p>
    <w:p w14:paraId="02FED5F5" w14:textId="77777777" w:rsidR="000327A6" w:rsidRPr="000327A6" w:rsidRDefault="000327A6" w:rsidP="000327A6">
      <w:pPr>
        <w:autoSpaceDE w:val="0"/>
        <w:autoSpaceDN w:val="0"/>
        <w:adjustRightInd w:val="0"/>
        <w:spacing w:after="0" w:line="240" w:lineRule="auto"/>
        <w:jc w:val="both"/>
        <w:rPr>
          <w:rFonts w:ascii="Arial" w:hAnsi="Arial" w:cs="Arial"/>
          <w:sz w:val="20"/>
          <w:szCs w:val="20"/>
        </w:rPr>
      </w:pPr>
      <w:r w:rsidRPr="000327A6">
        <w:rPr>
          <w:rFonts w:ascii="Arial" w:hAnsi="Arial" w:cs="Arial"/>
          <w:b/>
          <w:bCs/>
          <w:sz w:val="20"/>
          <w:szCs w:val="20"/>
        </w:rPr>
        <w:t>Prioritetna os programa</w:t>
      </w:r>
      <w:r w:rsidRPr="000327A6">
        <w:rPr>
          <w:rFonts w:ascii="Arial" w:hAnsi="Arial" w:cs="Arial"/>
          <w:sz w:val="20"/>
          <w:szCs w:val="20"/>
        </w:rPr>
        <w:t>: Pametne investicije u istraživanje, inovacije i konkurentno poduzetništvo</w:t>
      </w:r>
    </w:p>
    <w:p w14:paraId="2896CA78" w14:textId="7B505D3D" w:rsidR="000327A6" w:rsidRPr="000327A6" w:rsidRDefault="000327A6" w:rsidP="000327A6">
      <w:pPr>
        <w:autoSpaceDE w:val="0"/>
        <w:autoSpaceDN w:val="0"/>
        <w:adjustRightInd w:val="0"/>
        <w:spacing w:after="0" w:line="240" w:lineRule="auto"/>
        <w:jc w:val="both"/>
        <w:rPr>
          <w:rFonts w:ascii="Arial" w:hAnsi="Arial" w:cs="Arial"/>
          <w:sz w:val="20"/>
          <w:szCs w:val="20"/>
        </w:rPr>
      </w:pPr>
      <w:r w:rsidRPr="000327A6">
        <w:rPr>
          <w:rFonts w:ascii="Arial" w:hAnsi="Arial" w:cs="Arial"/>
          <w:b/>
          <w:bCs/>
          <w:sz w:val="20"/>
          <w:szCs w:val="20"/>
        </w:rPr>
        <w:t>Opis projekta</w:t>
      </w:r>
      <w:r w:rsidRPr="000327A6">
        <w:rPr>
          <w:rFonts w:ascii="Arial" w:hAnsi="Arial" w:cs="Arial"/>
          <w:sz w:val="20"/>
          <w:szCs w:val="20"/>
        </w:rPr>
        <w:t>:</w:t>
      </w:r>
      <w:r>
        <w:rPr>
          <w:rFonts w:ascii="Arial" w:hAnsi="Arial" w:cs="Arial"/>
          <w:sz w:val="20"/>
          <w:szCs w:val="20"/>
        </w:rPr>
        <w:t xml:space="preserve"> </w:t>
      </w:r>
      <w:r w:rsidRPr="000327A6">
        <w:rPr>
          <w:rFonts w:ascii="Arial" w:hAnsi="Arial" w:cs="Arial"/>
          <w:sz w:val="20"/>
          <w:szCs w:val="20"/>
        </w:rPr>
        <w:t>Projekt CROSSMART fokusira se na zajedničke izazove u ruralnim područjima kao što su slaba suradnja između javnih institucija, akademske zajednice i poduzetnika u poljoprivredi, nedovoljna upotreba naprednih tehnologija te otpor prema inovacijama. Kroz uspostavu CROSSMART platforme, projekt će omogućiti poduzetnicima u poljoprivredi pristup treninzima, individualnom savjetovanju i zajedničkim pilot akcijama koje će olakšati testiranje i razvoj novih tehnologija.</w:t>
      </w:r>
    </w:p>
    <w:p w14:paraId="3BE22646" w14:textId="77777777" w:rsidR="000327A6" w:rsidRPr="000327A6" w:rsidRDefault="000327A6" w:rsidP="000327A6">
      <w:pPr>
        <w:autoSpaceDE w:val="0"/>
        <w:autoSpaceDN w:val="0"/>
        <w:adjustRightInd w:val="0"/>
        <w:spacing w:after="0" w:line="240" w:lineRule="auto"/>
        <w:jc w:val="both"/>
        <w:rPr>
          <w:rFonts w:ascii="Arial" w:hAnsi="Arial" w:cs="Arial"/>
          <w:sz w:val="20"/>
          <w:szCs w:val="20"/>
        </w:rPr>
      </w:pPr>
    </w:p>
    <w:p w14:paraId="6DE32C9C" w14:textId="77777777" w:rsidR="000327A6" w:rsidRPr="000327A6" w:rsidRDefault="000327A6" w:rsidP="000327A6">
      <w:pPr>
        <w:autoSpaceDE w:val="0"/>
        <w:autoSpaceDN w:val="0"/>
        <w:adjustRightInd w:val="0"/>
        <w:spacing w:after="0" w:line="240" w:lineRule="auto"/>
        <w:jc w:val="both"/>
        <w:rPr>
          <w:rFonts w:ascii="Arial" w:hAnsi="Arial" w:cs="Arial"/>
          <w:sz w:val="20"/>
          <w:szCs w:val="20"/>
        </w:rPr>
      </w:pPr>
      <w:r w:rsidRPr="000327A6">
        <w:rPr>
          <w:rFonts w:ascii="Arial" w:hAnsi="Arial" w:cs="Arial"/>
          <w:sz w:val="20"/>
          <w:szCs w:val="20"/>
        </w:rPr>
        <w:t>U okviru projekta, planira se razvoj softverskog rješenja za upravljanje te uspostava laboratorija za analizu vina i maslinova ulja na području Općine Konavle. Aktivnosti će uključivati 16 edukativnih programa za poduzetnike u poljoprivredi i pet studijskih posjeta radi razmjene znanja, a rezultati će imati direktne koristi za poduzetnike i široku javnost.</w:t>
      </w:r>
    </w:p>
    <w:p w14:paraId="6E0E13D4" w14:textId="3CC5DF17" w:rsidR="000327A6" w:rsidRPr="000327A6" w:rsidRDefault="000327A6" w:rsidP="000327A6">
      <w:pPr>
        <w:autoSpaceDE w:val="0"/>
        <w:autoSpaceDN w:val="0"/>
        <w:adjustRightInd w:val="0"/>
        <w:spacing w:after="0" w:line="240" w:lineRule="auto"/>
        <w:jc w:val="both"/>
        <w:rPr>
          <w:rFonts w:ascii="Arial" w:hAnsi="Arial" w:cs="Arial"/>
          <w:sz w:val="20"/>
          <w:szCs w:val="20"/>
        </w:rPr>
      </w:pPr>
      <w:r w:rsidRPr="000327A6">
        <w:rPr>
          <w:rFonts w:ascii="Arial" w:hAnsi="Arial" w:cs="Arial"/>
          <w:b/>
          <w:bCs/>
          <w:sz w:val="20"/>
          <w:szCs w:val="20"/>
        </w:rPr>
        <w:t>Projektno partnerstvo</w:t>
      </w:r>
      <w:r w:rsidRPr="000327A6">
        <w:rPr>
          <w:rFonts w:ascii="Arial" w:hAnsi="Arial" w:cs="Arial"/>
          <w:sz w:val="20"/>
          <w:szCs w:val="20"/>
        </w:rPr>
        <w:t>:Projekt uključuje šest partnera: Centar za poduzetništvo d.o.o. (vodeći partner), Općina Konavle, Ured za europske integracije Srednjebosanskog kantona, Općina Tuzi, Sveučilište u Zagrebu, Agronomski fakultet i Asocijacija za ekonomski razvoj REDAH. Cilj partnerstva je ostvarenje sinergije kroz zajedničke aktivnosti, razmjenu iskustava i zajednički rad na rješavanju zajedničkih izazova u poljoprivredi.</w:t>
      </w:r>
    </w:p>
    <w:p w14:paraId="2D1B90A5" w14:textId="77777777" w:rsidR="000327A6" w:rsidRPr="000327A6" w:rsidRDefault="000327A6" w:rsidP="000327A6">
      <w:pPr>
        <w:autoSpaceDE w:val="0"/>
        <w:autoSpaceDN w:val="0"/>
        <w:adjustRightInd w:val="0"/>
        <w:spacing w:after="0" w:line="240" w:lineRule="auto"/>
        <w:jc w:val="both"/>
        <w:rPr>
          <w:rFonts w:ascii="Arial" w:hAnsi="Arial" w:cs="Arial"/>
          <w:sz w:val="20"/>
          <w:szCs w:val="20"/>
        </w:rPr>
      </w:pPr>
    </w:p>
    <w:p w14:paraId="27063DFE" w14:textId="750F7921" w:rsidR="000327A6" w:rsidRPr="001D1CC8" w:rsidRDefault="000327A6" w:rsidP="000327A6">
      <w:pPr>
        <w:spacing w:after="0" w:line="240" w:lineRule="auto"/>
        <w:jc w:val="both"/>
        <w:rPr>
          <w:rFonts w:ascii="Arial" w:eastAsia="Calibri" w:hAnsi="Arial" w:cs="Arial"/>
          <w:bCs/>
          <w:sz w:val="20"/>
          <w:szCs w:val="20"/>
        </w:rPr>
      </w:pPr>
      <w:r w:rsidRPr="001D1CC8">
        <w:rPr>
          <w:rFonts w:ascii="Arial" w:eastAsia="Calibri" w:hAnsi="Arial" w:cs="Arial"/>
          <w:bCs/>
          <w:sz w:val="20"/>
          <w:szCs w:val="20"/>
        </w:rPr>
        <w:t xml:space="preserve">Ugovor s partnerima je zaključen u </w:t>
      </w:r>
      <w:r>
        <w:rPr>
          <w:rFonts w:ascii="Arial" w:eastAsia="Calibri" w:hAnsi="Arial" w:cs="Arial"/>
          <w:bCs/>
          <w:sz w:val="20"/>
          <w:szCs w:val="20"/>
        </w:rPr>
        <w:t>listopadu</w:t>
      </w:r>
      <w:r w:rsidRPr="001D1CC8">
        <w:rPr>
          <w:rFonts w:ascii="Arial" w:eastAsia="Calibri" w:hAnsi="Arial" w:cs="Arial"/>
          <w:bCs/>
          <w:sz w:val="20"/>
          <w:szCs w:val="20"/>
        </w:rPr>
        <w:t xml:space="preserve"> 2024. godine. Trajanje provedbe projekta je </w:t>
      </w:r>
      <w:r w:rsidRPr="000327A6">
        <w:rPr>
          <w:rFonts w:ascii="Arial" w:eastAsia="Calibri" w:hAnsi="Arial" w:cs="Arial"/>
          <w:bCs/>
          <w:sz w:val="20"/>
          <w:szCs w:val="20"/>
        </w:rPr>
        <w:t>30 mjeseci (1. rujna 2024. do 28. veljače 2027.)</w:t>
      </w:r>
      <w:r w:rsidRPr="001D1CC8">
        <w:rPr>
          <w:rFonts w:ascii="Arial" w:eastAsia="Calibri" w:hAnsi="Arial" w:cs="Arial"/>
          <w:bCs/>
          <w:sz w:val="20"/>
          <w:szCs w:val="20"/>
        </w:rPr>
        <w:t>.</w:t>
      </w:r>
    </w:p>
    <w:p w14:paraId="3584F30B" w14:textId="36779DD2" w:rsidR="000327A6" w:rsidRPr="001D1CC8" w:rsidRDefault="000327A6" w:rsidP="000327A6">
      <w:pPr>
        <w:spacing w:after="0" w:line="240" w:lineRule="auto"/>
        <w:jc w:val="both"/>
        <w:rPr>
          <w:rFonts w:ascii="Arial" w:eastAsia="Calibri" w:hAnsi="Arial" w:cs="Arial"/>
          <w:bCs/>
          <w:sz w:val="20"/>
          <w:szCs w:val="20"/>
        </w:rPr>
      </w:pPr>
      <w:r w:rsidRPr="00A27770">
        <w:rPr>
          <w:rFonts w:ascii="Arial" w:eastAsia="Calibri" w:hAnsi="Arial" w:cs="Arial"/>
          <w:b/>
          <w:sz w:val="20"/>
          <w:szCs w:val="20"/>
        </w:rPr>
        <w:t>Predujam</w:t>
      </w:r>
      <w:r w:rsidRPr="001D1CC8">
        <w:rPr>
          <w:rFonts w:ascii="Arial" w:eastAsia="Calibri" w:hAnsi="Arial" w:cs="Arial"/>
          <w:bCs/>
          <w:sz w:val="20"/>
          <w:szCs w:val="20"/>
        </w:rPr>
        <w:t xml:space="preserve"> za provedbu projekta za doznačen u </w:t>
      </w:r>
      <w:r>
        <w:rPr>
          <w:rFonts w:ascii="Arial" w:eastAsia="Calibri" w:hAnsi="Arial" w:cs="Arial"/>
          <w:bCs/>
          <w:sz w:val="20"/>
          <w:szCs w:val="20"/>
        </w:rPr>
        <w:t>studenome</w:t>
      </w:r>
      <w:r w:rsidRPr="001D1CC8">
        <w:rPr>
          <w:rFonts w:ascii="Arial" w:eastAsia="Calibri" w:hAnsi="Arial" w:cs="Arial"/>
          <w:bCs/>
          <w:sz w:val="20"/>
          <w:szCs w:val="20"/>
        </w:rPr>
        <w:t xml:space="preserve"> 2024. godine u iznosu </w:t>
      </w:r>
      <w:r w:rsidRPr="00A27770">
        <w:rPr>
          <w:rFonts w:ascii="Arial" w:eastAsia="Calibri" w:hAnsi="Arial" w:cs="Arial"/>
          <w:b/>
          <w:sz w:val="20"/>
          <w:szCs w:val="20"/>
        </w:rPr>
        <w:t>126.945 €</w:t>
      </w:r>
      <w:r w:rsidRPr="001D1CC8">
        <w:rPr>
          <w:rFonts w:ascii="Arial" w:eastAsia="Calibri" w:hAnsi="Arial" w:cs="Arial"/>
          <w:bCs/>
          <w:sz w:val="20"/>
          <w:szCs w:val="20"/>
        </w:rPr>
        <w:t xml:space="preserve">, od čega je evidentirano kao tekuća pomoć </w:t>
      </w:r>
      <w:r>
        <w:rPr>
          <w:rFonts w:ascii="Arial" w:eastAsia="Calibri" w:hAnsi="Arial" w:cs="Arial"/>
          <w:bCs/>
          <w:sz w:val="20"/>
          <w:szCs w:val="20"/>
        </w:rPr>
        <w:t>32</w:t>
      </w:r>
      <w:r w:rsidRPr="001D1CC8">
        <w:rPr>
          <w:rFonts w:ascii="Arial" w:eastAsia="Calibri" w:hAnsi="Arial" w:cs="Arial"/>
          <w:bCs/>
          <w:sz w:val="20"/>
          <w:szCs w:val="20"/>
        </w:rPr>
        <w:t xml:space="preserve">.000 €, a </w:t>
      </w:r>
      <w:r>
        <w:rPr>
          <w:rFonts w:ascii="Arial" w:eastAsia="Calibri" w:hAnsi="Arial" w:cs="Arial"/>
          <w:bCs/>
          <w:sz w:val="20"/>
          <w:szCs w:val="20"/>
        </w:rPr>
        <w:t>94.945</w:t>
      </w:r>
      <w:r w:rsidRPr="001D1CC8">
        <w:rPr>
          <w:rFonts w:ascii="Arial" w:eastAsia="Calibri" w:hAnsi="Arial" w:cs="Arial"/>
          <w:bCs/>
          <w:sz w:val="20"/>
          <w:szCs w:val="20"/>
        </w:rPr>
        <w:t xml:space="preserve"> € kao kapitalna pomoć.</w:t>
      </w:r>
      <w:r w:rsidRPr="001D1CC8">
        <w:rPr>
          <w:rFonts w:ascii="Arial" w:eastAsia="Calibri" w:hAnsi="Arial" w:cs="Arial"/>
          <w:sz w:val="20"/>
          <w:szCs w:val="20"/>
        </w:rPr>
        <w:t xml:space="preserve"> Podjela prihoda na tekuće i kapitalne je obavljena procjenom sukladno planiranim troškovima projekta.</w:t>
      </w:r>
    </w:p>
    <w:p w14:paraId="61D284F1" w14:textId="77777777" w:rsidR="000327A6" w:rsidRDefault="000327A6" w:rsidP="000327A6">
      <w:pPr>
        <w:autoSpaceDE w:val="0"/>
        <w:autoSpaceDN w:val="0"/>
        <w:adjustRightInd w:val="0"/>
        <w:spacing w:after="0" w:line="240" w:lineRule="auto"/>
        <w:jc w:val="both"/>
        <w:rPr>
          <w:rFonts w:ascii="Arial" w:hAnsi="Arial" w:cs="Arial"/>
          <w:sz w:val="20"/>
          <w:szCs w:val="20"/>
        </w:rPr>
      </w:pPr>
    </w:p>
    <w:p w14:paraId="0EE2E654" w14:textId="629B3E00" w:rsidR="00927568" w:rsidRPr="000327A6" w:rsidRDefault="00927568" w:rsidP="00927568">
      <w:pPr>
        <w:spacing w:after="0" w:line="240" w:lineRule="auto"/>
        <w:jc w:val="both"/>
        <w:rPr>
          <w:rFonts w:ascii="Arial" w:eastAsia="Calibri" w:hAnsi="Arial" w:cs="Arial"/>
          <w:bCs/>
          <w:sz w:val="20"/>
          <w:szCs w:val="20"/>
        </w:rPr>
      </w:pPr>
      <w:r w:rsidRPr="000327A6">
        <w:rPr>
          <w:rFonts w:ascii="Arial" w:eastAsia="Calibri" w:hAnsi="Arial" w:cs="Arial"/>
          <w:bCs/>
          <w:sz w:val="20"/>
          <w:szCs w:val="20"/>
        </w:rPr>
        <w:t>U 2024</w:t>
      </w:r>
      <w:r>
        <w:rPr>
          <w:rFonts w:ascii="Arial" w:eastAsia="Calibri" w:hAnsi="Arial" w:cs="Arial"/>
          <w:bCs/>
          <w:sz w:val="20"/>
          <w:szCs w:val="20"/>
        </w:rPr>
        <w:t>. godini iskazani su rashodi za provedbu projekta u iznosu 15.569,48 € (od čega iz tekućih sredstava EU 13.234,06, te iz općinskih sredstava 2.335,42 €).</w:t>
      </w:r>
    </w:p>
    <w:p w14:paraId="77FC5999" w14:textId="77777777" w:rsidR="000327A6" w:rsidRDefault="000327A6" w:rsidP="000327A6">
      <w:pPr>
        <w:autoSpaceDE w:val="0"/>
        <w:autoSpaceDN w:val="0"/>
        <w:adjustRightInd w:val="0"/>
        <w:spacing w:after="0" w:line="240" w:lineRule="auto"/>
        <w:jc w:val="both"/>
        <w:rPr>
          <w:rFonts w:ascii="Arial" w:hAnsi="Arial" w:cs="Arial"/>
          <w:sz w:val="20"/>
          <w:szCs w:val="20"/>
        </w:rPr>
      </w:pPr>
    </w:p>
    <w:p w14:paraId="6CA6CB79" w14:textId="59449A4F" w:rsidR="00DF6B2B" w:rsidRPr="000327A6" w:rsidRDefault="00DF6B2B" w:rsidP="00DF6B2B">
      <w:pPr>
        <w:spacing w:after="0" w:line="240" w:lineRule="auto"/>
        <w:jc w:val="both"/>
        <w:rPr>
          <w:rFonts w:ascii="Arial" w:eastAsia="Calibri" w:hAnsi="Arial" w:cs="Arial"/>
          <w:bCs/>
          <w:sz w:val="20"/>
          <w:szCs w:val="20"/>
        </w:rPr>
      </w:pPr>
      <w:r w:rsidRPr="000327A6">
        <w:rPr>
          <w:rFonts w:ascii="Arial" w:eastAsia="Calibri" w:hAnsi="Arial" w:cs="Arial"/>
          <w:bCs/>
          <w:sz w:val="20"/>
          <w:szCs w:val="20"/>
        </w:rPr>
        <w:t>U 202</w:t>
      </w:r>
      <w:r>
        <w:rPr>
          <w:rFonts w:ascii="Arial" w:eastAsia="Calibri" w:hAnsi="Arial" w:cs="Arial"/>
          <w:bCs/>
          <w:sz w:val="20"/>
          <w:szCs w:val="20"/>
        </w:rPr>
        <w:t>5. godini iskazani su rashodi za provedbu projekta u iznosu 90.102,75 € (od čega iz sredstava EU 73.597,32 €, te iz općinskih sredstava 16.505,43 €).</w:t>
      </w:r>
    </w:p>
    <w:p w14:paraId="75057001" w14:textId="77777777" w:rsidR="00DF6B2B" w:rsidRDefault="00DF6B2B" w:rsidP="000327A6">
      <w:pPr>
        <w:autoSpaceDE w:val="0"/>
        <w:autoSpaceDN w:val="0"/>
        <w:adjustRightInd w:val="0"/>
        <w:spacing w:after="0" w:line="240" w:lineRule="auto"/>
        <w:jc w:val="both"/>
        <w:rPr>
          <w:rFonts w:ascii="Arial" w:hAnsi="Arial" w:cs="Arial"/>
          <w:sz w:val="20"/>
          <w:szCs w:val="20"/>
        </w:rPr>
      </w:pPr>
    </w:p>
    <w:p w14:paraId="5EB3B057" w14:textId="77777777" w:rsidR="00C47F03" w:rsidRDefault="00C47F03" w:rsidP="0052045C">
      <w:pPr>
        <w:autoSpaceDE w:val="0"/>
        <w:autoSpaceDN w:val="0"/>
        <w:adjustRightInd w:val="0"/>
        <w:spacing w:after="0" w:line="240" w:lineRule="auto"/>
        <w:ind w:left="708"/>
        <w:jc w:val="both"/>
        <w:rPr>
          <w:rFonts w:ascii="Arial" w:hAnsi="Arial" w:cs="Arial"/>
          <w:sz w:val="20"/>
          <w:szCs w:val="20"/>
        </w:rPr>
      </w:pPr>
    </w:p>
    <w:p w14:paraId="2DD5BDD7" w14:textId="77777777" w:rsidR="00703E28" w:rsidRDefault="00703E28" w:rsidP="0052045C">
      <w:pPr>
        <w:autoSpaceDE w:val="0"/>
        <w:autoSpaceDN w:val="0"/>
        <w:adjustRightInd w:val="0"/>
        <w:spacing w:after="0" w:line="240" w:lineRule="auto"/>
        <w:ind w:left="708"/>
        <w:jc w:val="both"/>
        <w:rPr>
          <w:rFonts w:ascii="Arial" w:hAnsi="Arial" w:cs="Arial"/>
          <w:sz w:val="20"/>
          <w:szCs w:val="20"/>
        </w:rPr>
      </w:pPr>
    </w:p>
    <w:p w14:paraId="74D2E5B7" w14:textId="77777777" w:rsidR="00703E28" w:rsidRDefault="00703E28" w:rsidP="0052045C">
      <w:pPr>
        <w:autoSpaceDE w:val="0"/>
        <w:autoSpaceDN w:val="0"/>
        <w:adjustRightInd w:val="0"/>
        <w:spacing w:after="0" w:line="240" w:lineRule="auto"/>
        <w:ind w:left="708"/>
        <w:jc w:val="both"/>
        <w:rPr>
          <w:rFonts w:ascii="Arial" w:hAnsi="Arial" w:cs="Arial"/>
          <w:sz w:val="20"/>
          <w:szCs w:val="20"/>
        </w:rPr>
      </w:pPr>
    </w:p>
    <w:p w14:paraId="40A1D307" w14:textId="77777777" w:rsidR="00703E28" w:rsidRDefault="00703E28" w:rsidP="0052045C">
      <w:pPr>
        <w:autoSpaceDE w:val="0"/>
        <w:autoSpaceDN w:val="0"/>
        <w:adjustRightInd w:val="0"/>
        <w:spacing w:after="0" w:line="240" w:lineRule="auto"/>
        <w:ind w:left="708"/>
        <w:jc w:val="both"/>
        <w:rPr>
          <w:rFonts w:ascii="Arial" w:hAnsi="Arial" w:cs="Arial"/>
          <w:sz w:val="20"/>
          <w:szCs w:val="20"/>
        </w:rPr>
      </w:pPr>
    </w:p>
    <w:p w14:paraId="6922B0D2" w14:textId="77777777" w:rsidR="00703E28" w:rsidRDefault="00703E28" w:rsidP="0052045C">
      <w:pPr>
        <w:autoSpaceDE w:val="0"/>
        <w:autoSpaceDN w:val="0"/>
        <w:adjustRightInd w:val="0"/>
        <w:spacing w:after="0" w:line="240" w:lineRule="auto"/>
        <w:ind w:left="708"/>
        <w:jc w:val="both"/>
        <w:rPr>
          <w:rFonts w:ascii="Arial" w:hAnsi="Arial" w:cs="Arial"/>
          <w:sz w:val="20"/>
          <w:szCs w:val="20"/>
        </w:rPr>
      </w:pPr>
    </w:p>
    <w:p w14:paraId="09B13911" w14:textId="77777777" w:rsidR="00703E28" w:rsidRDefault="00703E28" w:rsidP="0052045C">
      <w:pPr>
        <w:autoSpaceDE w:val="0"/>
        <w:autoSpaceDN w:val="0"/>
        <w:adjustRightInd w:val="0"/>
        <w:spacing w:after="0" w:line="240" w:lineRule="auto"/>
        <w:ind w:left="708"/>
        <w:jc w:val="both"/>
        <w:rPr>
          <w:rFonts w:ascii="Arial" w:hAnsi="Arial" w:cs="Arial"/>
          <w:sz w:val="20"/>
          <w:szCs w:val="20"/>
        </w:rPr>
      </w:pPr>
    </w:p>
    <w:p w14:paraId="2AE8D780" w14:textId="77777777" w:rsidR="00703E28" w:rsidRDefault="00703E28" w:rsidP="0052045C">
      <w:pPr>
        <w:autoSpaceDE w:val="0"/>
        <w:autoSpaceDN w:val="0"/>
        <w:adjustRightInd w:val="0"/>
        <w:spacing w:after="0" w:line="240" w:lineRule="auto"/>
        <w:ind w:left="708"/>
        <w:jc w:val="both"/>
        <w:rPr>
          <w:rFonts w:ascii="Arial" w:hAnsi="Arial" w:cs="Arial"/>
          <w:sz w:val="20"/>
          <w:szCs w:val="20"/>
        </w:rPr>
      </w:pPr>
    </w:p>
    <w:p w14:paraId="34DDB048" w14:textId="77777777" w:rsidR="00703E28" w:rsidRDefault="00703E28" w:rsidP="0052045C">
      <w:pPr>
        <w:autoSpaceDE w:val="0"/>
        <w:autoSpaceDN w:val="0"/>
        <w:adjustRightInd w:val="0"/>
        <w:spacing w:after="0" w:line="240" w:lineRule="auto"/>
        <w:ind w:left="708"/>
        <w:jc w:val="both"/>
        <w:rPr>
          <w:rFonts w:ascii="Arial" w:hAnsi="Arial" w:cs="Arial"/>
          <w:sz w:val="20"/>
          <w:szCs w:val="20"/>
        </w:rPr>
      </w:pPr>
    </w:p>
    <w:p w14:paraId="71763541" w14:textId="77777777" w:rsidR="00703E28" w:rsidRDefault="00703E28" w:rsidP="0052045C">
      <w:pPr>
        <w:autoSpaceDE w:val="0"/>
        <w:autoSpaceDN w:val="0"/>
        <w:adjustRightInd w:val="0"/>
        <w:spacing w:after="0" w:line="240" w:lineRule="auto"/>
        <w:ind w:left="708"/>
        <w:jc w:val="both"/>
        <w:rPr>
          <w:rFonts w:ascii="Arial" w:hAnsi="Arial" w:cs="Arial"/>
          <w:sz w:val="20"/>
          <w:szCs w:val="20"/>
        </w:rPr>
      </w:pPr>
    </w:p>
    <w:p w14:paraId="5BAA0063" w14:textId="77777777" w:rsidR="00DF6B2B" w:rsidRDefault="00DF6B2B" w:rsidP="0052045C">
      <w:pPr>
        <w:autoSpaceDE w:val="0"/>
        <w:autoSpaceDN w:val="0"/>
        <w:adjustRightInd w:val="0"/>
        <w:spacing w:after="0" w:line="240" w:lineRule="auto"/>
        <w:ind w:left="708"/>
        <w:jc w:val="both"/>
        <w:rPr>
          <w:rFonts w:ascii="Arial" w:hAnsi="Arial" w:cs="Arial"/>
          <w:sz w:val="20"/>
          <w:szCs w:val="20"/>
        </w:rPr>
      </w:pPr>
    </w:p>
    <w:p w14:paraId="0BE7956A" w14:textId="77777777" w:rsidR="00DF6B2B" w:rsidRDefault="00DF6B2B" w:rsidP="0052045C">
      <w:pPr>
        <w:autoSpaceDE w:val="0"/>
        <w:autoSpaceDN w:val="0"/>
        <w:adjustRightInd w:val="0"/>
        <w:spacing w:after="0" w:line="240" w:lineRule="auto"/>
        <w:ind w:left="708"/>
        <w:jc w:val="both"/>
        <w:rPr>
          <w:rFonts w:ascii="Arial" w:hAnsi="Arial" w:cs="Arial"/>
          <w:sz w:val="20"/>
          <w:szCs w:val="20"/>
        </w:rPr>
      </w:pPr>
    </w:p>
    <w:p w14:paraId="3122C0BA" w14:textId="77777777" w:rsidR="00DF6B2B" w:rsidRDefault="00DF6B2B" w:rsidP="0052045C">
      <w:pPr>
        <w:autoSpaceDE w:val="0"/>
        <w:autoSpaceDN w:val="0"/>
        <w:adjustRightInd w:val="0"/>
        <w:spacing w:after="0" w:line="240" w:lineRule="auto"/>
        <w:ind w:left="708"/>
        <w:jc w:val="both"/>
        <w:rPr>
          <w:rFonts w:ascii="Arial" w:hAnsi="Arial" w:cs="Arial"/>
          <w:sz w:val="20"/>
          <w:szCs w:val="20"/>
        </w:rPr>
      </w:pPr>
    </w:p>
    <w:p w14:paraId="7E417B84" w14:textId="77777777" w:rsidR="00DF6B2B" w:rsidRDefault="00DF6B2B" w:rsidP="0052045C">
      <w:pPr>
        <w:autoSpaceDE w:val="0"/>
        <w:autoSpaceDN w:val="0"/>
        <w:adjustRightInd w:val="0"/>
        <w:spacing w:after="0" w:line="240" w:lineRule="auto"/>
        <w:ind w:left="708"/>
        <w:jc w:val="both"/>
        <w:rPr>
          <w:rFonts w:ascii="Arial" w:hAnsi="Arial" w:cs="Arial"/>
          <w:sz w:val="20"/>
          <w:szCs w:val="20"/>
        </w:rPr>
      </w:pPr>
    </w:p>
    <w:p w14:paraId="0F0CCC13" w14:textId="77777777" w:rsidR="00DF6B2B" w:rsidRDefault="00DF6B2B" w:rsidP="0052045C">
      <w:pPr>
        <w:autoSpaceDE w:val="0"/>
        <w:autoSpaceDN w:val="0"/>
        <w:adjustRightInd w:val="0"/>
        <w:spacing w:after="0" w:line="240" w:lineRule="auto"/>
        <w:ind w:left="708"/>
        <w:jc w:val="both"/>
        <w:rPr>
          <w:rFonts w:ascii="Arial" w:hAnsi="Arial" w:cs="Arial"/>
          <w:sz w:val="20"/>
          <w:szCs w:val="20"/>
        </w:rPr>
      </w:pPr>
    </w:p>
    <w:p w14:paraId="393C5FDD" w14:textId="77777777" w:rsidR="00DF6B2B" w:rsidRDefault="00DF6B2B" w:rsidP="0052045C">
      <w:pPr>
        <w:autoSpaceDE w:val="0"/>
        <w:autoSpaceDN w:val="0"/>
        <w:adjustRightInd w:val="0"/>
        <w:spacing w:after="0" w:line="240" w:lineRule="auto"/>
        <w:ind w:left="708"/>
        <w:jc w:val="both"/>
        <w:rPr>
          <w:rFonts w:ascii="Arial" w:hAnsi="Arial" w:cs="Arial"/>
          <w:sz w:val="20"/>
          <w:szCs w:val="20"/>
        </w:rPr>
      </w:pPr>
    </w:p>
    <w:p w14:paraId="3805EE54" w14:textId="77777777" w:rsidR="00703E28" w:rsidRDefault="00703E28" w:rsidP="0052045C">
      <w:pPr>
        <w:autoSpaceDE w:val="0"/>
        <w:autoSpaceDN w:val="0"/>
        <w:adjustRightInd w:val="0"/>
        <w:spacing w:after="0" w:line="240" w:lineRule="auto"/>
        <w:ind w:left="708"/>
        <w:jc w:val="both"/>
        <w:rPr>
          <w:rFonts w:ascii="Arial" w:hAnsi="Arial" w:cs="Arial"/>
          <w:sz w:val="20"/>
          <w:szCs w:val="20"/>
        </w:rPr>
      </w:pPr>
    </w:p>
    <w:p w14:paraId="298CA046" w14:textId="77777777" w:rsidR="00703E28" w:rsidRDefault="00703E28" w:rsidP="0052045C">
      <w:pPr>
        <w:autoSpaceDE w:val="0"/>
        <w:autoSpaceDN w:val="0"/>
        <w:adjustRightInd w:val="0"/>
        <w:spacing w:after="0" w:line="240" w:lineRule="auto"/>
        <w:ind w:left="708"/>
        <w:jc w:val="both"/>
        <w:rPr>
          <w:rFonts w:ascii="Arial" w:hAnsi="Arial" w:cs="Arial"/>
          <w:sz w:val="20"/>
          <w:szCs w:val="20"/>
        </w:rPr>
      </w:pPr>
    </w:p>
    <w:p w14:paraId="3AB7C73B" w14:textId="77777777" w:rsidR="00703E28" w:rsidRPr="003A2F86" w:rsidRDefault="00703E28" w:rsidP="0052045C">
      <w:pPr>
        <w:autoSpaceDE w:val="0"/>
        <w:autoSpaceDN w:val="0"/>
        <w:adjustRightInd w:val="0"/>
        <w:spacing w:after="0" w:line="240" w:lineRule="auto"/>
        <w:ind w:left="708"/>
        <w:jc w:val="both"/>
        <w:rPr>
          <w:rFonts w:ascii="Arial" w:hAnsi="Arial" w:cs="Arial"/>
          <w:sz w:val="20"/>
          <w:szCs w:val="20"/>
        </w:rPr>
      </w:pPr>
    </w:p>
    <w:p w14:paraId="0E0F7009" w14:textId="77777777" w:rsidR="00C47F03" w:rsidRPr="003A2F86" w:rsidRDefault="00C47F03" w:rsidP="0052045C">
      <w:pPr>
        <w:autoSpaceDE w:val="0"/>
        <w:autoSpaceDN w:val="0"/>
        <w:adjustRightInd w:val="0"/>
        <w:spacing w:after="0" w:line="240" w:lineRule="auto"/>
        <w:ind w:left="708"/>
        <w:jc w:val="both"/>
        <w:rPr>
          <w:rFonts w:ascii="Arial" w:hAnsi="Arial" w:cs="Arial"/>
          <w:sz w:val="20"/>
          <w:szCs w:val="20"/>
        </w:rPr>
      </w:pPr>
    </w:p>
    <w:p w14:paraId="5A3093A0" w14:textId="4BB24A9A" w:rsidR="0052045C" w:rsidRPr="003A2F86" w:rsidRDefault="0052045C" w:rsidP="007E796C">
      <w:pPr>
        <w:pStyle w:val="Opisslike"/>
      </w:pPr>
      <w:bookmarkStart w:id="420" w:name="_Toc207706998"/>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34</w:t>
      </w:r>
      <w:r w:rsidRPr="003A2F86">
        <w:rPr>
          <w:color w:val="FF0000"/>
        </w:rPr>
        <w:fldChar w:fldCharType="end"/>
      </w:r>
      <w:r w:rsidRPr="003A2F86">
        <w:rPr>
          <w:rFonts w:ascii="T3Font_4" w:hAnsi="T3Font_4" w:cs="T3Font_4"/>
          <w:color w:val="FF0000"/>
          <w:sz w:val="24"/>
        </w:rPr>
        <w:t>.</w:t>
      </w:r>
      <w:r w:rsidRPr="003A2F86">
        <w:rPr>
          <w:rFonts w:ascii="T3Font_4" w:hAnsi="T3Font_4" w:cs="T3Font_4"/>
          <w:sz w:val="24"/>
        </w:rPr>
        <w:t xml:space="preserve">: </w:t>
      </w:r>
      <w:r w:rsidRPr="003A2F86">
        <w:t>Pregled projekta sufinanciranih pomoćima EU, te uplate</w:t>
      </w:r>
      <w:r w:rsidR="00495844" w:rsidRPr="003A2F86">
        <w:t>, prihodi</w:t>
      </w:r>
      <w:r w:rsidRPr="003A2F86">
        <w:t xml:space="preserve"> i rashodi u 202</w:t>
      </w:r>
      <w:r w:rsidR="00DF6B2B">
        <w:t>5</w:t>
      </w:r>
      <w:r w:rsidRPr="003A2F86">
        <w:t>.</w:t>
      </w:r>
      <w:bookmarkEnd w:id="420"/>
    </w:p>
    <w:p w14:paraId="7DDF2EA3" w14:textId="77777777" w:rsidR="00495844" w:rsidRPr="003A2F86" w:rsidRDefault="00495844" w:rsidP="007B6B39">
      <w:pPr>
        <w:autoSpaceDE w:val="0"/>
        <w:autoSpaceDN w:val="0"/>
        <w:adjustRightInd w:val="0"/>
        <w:spacing w:after="0" w:line="240" w:lineRule="auto"/>
        <w:jc w:val="center"/>
        <w:rPr>
          <w:noProof/>
        </w:rPr>
      </w:pPr>
    </w:p>
    <w:p w14:paraId="1DCA83DB" w14:textId="7C9FB065" w:rsidR="00B32353" w:rsidRDefault="00A620B7" w:rsidP="007B6B39">
      <w:pPr>
        <w:autoSpaceDE w:val="0"/>
        <w:autoSpaceDN w:val="0"/>
        <w:adjustRightInd w:val="0"/>
        <w:spacing w:after="0" w:line="240" w:lineRule="auto"/>
        <w:jc w:val="center"/>
        <w:rPr>
          <w:noProof/>
        </w:rPr>
      </w:pPr>
      <w:r w:rsidRPr="00A620B7">
        <w:rPr>
          <w:noProof/>
        </w:rPr>
        <w:drawing>
          <wp:inline distT="0" distB="0" distL="0" distR="0" wp14:anchorId="08ABC4BD" wp14:editId="358F97F4">
            <wp:extent cx="9251950" cy="5168265"/>
            <wp:effectExtent l="0" t="0" r="6350" b="0"/>
            <wp:docPr id="92129037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251950" cy="5168265"/>
                    </a:xfrm>
                    <a:prstGeom prst="rect">
                      <a:avLst/>
                    </a:prstGeom>
                    <a:noFill/>
                    <a:ln>
                      <a:noFill/>
                    </a:ln>
                  </pic:spPr>
                </pic:pic>
              </a:graphicData>
            </a:graphic>
          </wp:inline>
        </w:drawing>
      </w:r>
    </w:p>
    <w:p w14:paraId="04D0CABB" w14:textId="77777777" w:rsidR="00A75D42" w:rsidRDefault="00A75D42" w:rsidP="007B6B39">
      <w:pPr>
        <w:autoSpaceDE w:val="0"/>
        <w:autoSpaceDN w:val="0"/>
        <w:adjustRightInd w:val="0"/>
        <w:spacing w:after="0" w:line="240" w:lineRule="auto"/>
        <w:jc w:val="center"/>
        <w:rPr>
          <w:noProof/>
        </w:rPr>
      </w:pPr>
    </w:p>
    <w:p w14:paraId="4816D143" w14:textId="77777777" w:rsidR="00A75D42" w:rsidRDefault="00A75D42" w:rsidP="007B6B39">
      <w:pPr>
        <w:autoSpaceDE w:val="0"/>
        <w:autoSpaceDN w:val="0"/>
        <w:adjustRightInd w:val="0"/>
        <w:spacing w:after="0" w:line="240" w:lineRule="auto"/>
        <w:jc w:val="center"/>
        <w:rPr>
          <w:noProof/>
        </w:rPr>
      </w:pPr>
    </w:p>
    <w:p w14:paraId="3BB56964" w14:textId="77777777" w:rsidR="00A75D42" w:rsidRDefault="00A75D42" w:rsidP="007B6B39">
      <w:pPr>
        <w:autoSpaceDE w:val="0"/>
        <w:autoSpaceDN w:val="0"/>
        <w:adjustRightInd w:val="0"/>
        <w:spacing w:after="0" w:line="240" w:lineRule="auto"/>
        <w:jc w:val="center"/>
        <w:rPr>
          <w:noProof/>
        </w:rPr>
      </w:pPr>
    </w:p>
    <w:p w14:paraId="39703A41" w14:textId="3EFCDE84" w:rsidR="00A75D42" w:rsidRDefault="00A620B7" w:rsidP="007B6B39">
      <w:pPr>
        <w:autoSpaceDE w:val="0"/>
        <w:autoSpaceDN w:val="0"/>
        <w:adjustRightInd w:val="0"/>
        <w:spacing w:after="0" w:line="240" w:lineRule="auto"/>
        <w:jc w:val="center"/>
        <w:rPr>
          <w:noProof/>
        </w:rPr>
      </w:pPr>
      <w:r w:rsidRPr="00A620B7">
        <w:rPr>
          <w:noProof/>
        </w:rPr>
        <w:lastRenderedPageBreak/>
        <w:drawing>
          <wp:inline distT="0" distB="0" distL="0" distR="0" wp14:anchorId="30865432" wp14:editId="7BA240FA">
            <wp:extent cx="9251950" cy="5310505"/>
            <wp:effectExtent l="0" t="0" r="6350" b="4445"/>
            <wp:docPr id="191910224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251950" cy="5310505"/>
                    </a:xfrm>
                    <a:prstGeom prst="rect">
                      <a:avLst/>
                    </a:prstGeom>
                    <a:noFill/>
                    <a:ln>
                      <a:noFill/>
                    </a:ln>
                  </pic:spPr>
                </pic:pic>
              </a:graphicData>
            </a:graphic>
          </wp:inline>
        </w:drawing>
      </w:r>
    </w:p>
    <w:p w14:paraId="07B7ECCA" w14:textId="77777777" w:rsidR="00A75D42" w:rsidRDefault="00A75D42" w:rsidP="007B6B39">
      <w:pPr>
        <w:autoSpaceDE w:val="0"/>
        <w:autoSpaceDN w:val="0"/>
        <w:adjustRightInd w:val="0"/>
        <w:spacing w:after="0" w:line="240" w:lineRule="auto"/>
        <w:jc w:val="center"/>
        <w:rPr>
          <w:noProof/>
        </w:rPr>
      </w:pPr>
    </w:p>
    <w:p w14:paraId="473B4DB9" w14:textId="77777777" w:rsidR="00A75D42" w:rsidRDefault="00A75D42" w:rsidP="007B6B39">
      <w:pPr>
        <w:autoSpaceDE w:val="0"/>
        <w:autoSpaceDN w:val="0"/>
        <w:adjustRightInd w:val="0"/>
        <w:spacing w:after="0" w:line="240" w:lineRule="auto"/>
        <w:jc w:val="center"/>
        <w:rPr>
          <w:noProof/>
        </w:rPr>
      </w:pPr>
    </w:p>
    <w:p w14:paraId="279353B2" w14:textId="4B523430" w:rsidR="00A75D42" w:rsidRPr="003A2F86" w:rsidRDefault="00A75D42" w:rsidP="007B6B39">
      <w:pPr>
        <w:autoSpaceDE w:val="0"/>
        <w:autoSpaceDN w:val="0"/>
        <w:adjustRightInd w:val="0"/>
        <w:spacing w:after="0" w:line="240" w:lineRule="auto"/>
        <w:jc w:val="center"/>
        <w:rPr>
          <w:noProof/>
        </w:rPr>
      </w:pPr>
    </w:p>
    <w:p w14:paraId="64A5020C" w14:textId="72E5BC2C" w:rsidR="00B32353" w:rsidRPr="003A2F86" w:rsidRDefault="00B32353" w:rsidP="007B6B39">
      <w:pPr>
        <w:autoSpaceDE w:val="0"/>
        <w:autoSpaceDN w:val="0"/>
        <w:adjustRightInd w:val="0"/>
        <w:spacing w:after="0" w:line="240" w:lineRule="auto"/>
        <w:jc w:val="center"/>
        <w:rPr>
          <w:noProof/>
        </w:rPr>
      </w:pPr>
    </w:p>
    <w:p w14:paraId="7263D293" w14:textId="10646976" w:rsidR="00B32353" w:rsidRPr="003A2F86" w:rsidRDefault="00A620B7" w:rsidP="007B6B39">
      <w:pPr>
        <w:autoSpaceDE w:val="0"/>
        <w:autoSpaceDN w:val="0"/>
        <w:adjustRightInd w:val="0"/>
        <w:spacing w:after="0" w:line="240" w:lineRule="auto"/>
        <w:jc w:val="center"/>
        <w:rPr>
          <w:noProof/>
        </w:rPr>
      </w:pPr>
      <w:r w:rsidRPr="00A620B7">
        <w:rPr>
          <w:noProof/>
        </w:rPr>
        <w:lastRenderedPageBreak/>
        <w:drawing>
          <wp:inline distT="0" distB="0" distL="0" distR="0" wp14:anchorId="037301D8" wp14:editId="65F46AE6">
            <wp:extent cx="9251950" cy="4438650"/>
            <wp:effectExtent l="0" t="0" r="6350" b="0"/>
            <wp:docPr id="133727917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251950" cy="4438650"/>
                    </a:xfrm>
                    <a:prstGeom prst="rect">
                      <a:avLst/>
                    </a:prstGeom>
                    <a:noFill/>
                    <a:ln>
                      <a:noFill/>
                    </a:ln>
                  </pic:spPr>
                </pic:pic>
              </a:graphicData>
            </a:graphic>
          </wp:inline>
        </w:drawing>
      </w:r>
    </w:p>
    <w:p w14:paraId="7D6E1C23" w14:textId="77777777" w:rsidR="0052045C" w:rsidRPr="00AC4C54" w:rsidRDefault="0052045C" w:rsidP="0052045C">
      <w:pPr>
        <w:autoSpaceDE w:val="0"/>
        <w:autoSpaceDN w:val="0"/>
        <w:adjustRightInd w:val="0"/>
        <w:spacing w:after="0" w:line="240" w:lineRule="auto"/>
        <w:rPr>
          <w:noProof/>
        </w:rPr>
      </w:pPr>
    </w:p>
    <w:p w14:paraId="043A6A19" w14:textId="77777777" w:rsidR="0052045C" w:rsidRPr="00AC4C54" w:rsidRDefault="0052045C" w:rsidP="0052045C">
      <w:pPr>
        <w:autoSpaceDE w:val="0"/>
        <w:autoSpaceDN w:val="0"/>
        <w:adjustRightInd w:val="0"/>
        <w:spacing w:after="0" w:line="240" w:lineRule="auto"/>
        <w:jc w:val="both"/>
        <w:rPr>
          <w:rFonts w:ascii="Arial" w:hAnsi="Arial" w:cs="Arial"/>
          <w:b/>
          <w:sz w:val="20"/>
          <w:szCs w:val="24"/>
        </w:rPr>
      </w:pPr>
      <w:r w:rsidRPr="00AC4C54">
        <w:rPr>
          <w:rFonts w:ascii="Arial" w:hAnsi="Arial" w:cs="Arial"/>
          <w:b/>
          <w:sz w:val="20"/>
          <w:szCs w:val="24"/>
        </w:rPr>
        <w:t>REKAPITULACIJA:</w:t>
      </w:r>
    </w:p>
    <w:p w14:paraId="5004EC77" w14:textId="0558A9EF" w:rsidR="0052045C" w:rsidRPr="00AC4C54" w:rsidRDefault="00DF6B2B">
      <w:pPr>
        <w:numPr>
          <w:ilvl w:val="0"/>
          <w:numId w:val="13"/>
        </w:numPr>
        <w:autoSpaceDE w:val="0"/>
        <w:autoSpaceDN w:val="0"/>
        <w:adjustRightInd w:val="0"/>
        <w:spacing w:after="0" w:line="240" w:lineRule="auto"/>
        <w:jc w:val="both"/>
        <w:rPr>
          <w:rFonts w:ascii="Arial" w:eastAsia="Times New Roman" w:hAnsi="Arial" w:cs="Arial"/>
          <w:sz w:val="20"/>
          <w:szCs w:val="24"/>
          <w:lang w:eastAsia="en-US"/>
        </w:rPr>
      </w:pPr>
      <w:r>
        <w:rPr>
          <w:rFonts w:ascii="Arial" w:eastAsia="Times New Roman" w:hAnsi="Arial" w:cs="Arial"/>
          <w:sz w:val="20"/>
          <w:szCs w:val="24"/>
          <w:lang w:eastAsia="en-US"/>
        </w:rPr>
        <w:t>Nisu iskazane obveze</w:t>
      </w:r>
      <w:r w:rsidR="0052045C" w:rsidRPr="00AC4C54">
        <w:rPr>
          <w:rFonts w:ascii="Arial" w:eastAsia="Times New Roman" w:hAnsi="Arial" w:cs="Arial"/>
          <w:sz w:val="20"/>
          <w:szCs w:val="24"/>
          <w:lang w:eastAsia="en-US"/>
        </w:rPr>
        <w:t xml:space="preserve"> za primljene predujmove iz fondova EU</w:t>
      </w:r>
      <w:r>
        <w:rPr>
          <w:rFonts w:ascii="Arial" w:eastAsia="Times New Roman" w:hAnsi="Arial" w:cs="Arial"/>
          <w:sz w:val="20"/>
          <w:szCs w:val="24"/>
          <w:lang w:eastAsia="en-US"/>
        </w:rPr>
        <w:t xml:space="preserve">. Ove obveze su se </w:t>
      </w:r>
      <w:r w:rsidR="0052045C" w:rsidRPr="00AC4C54">
        <w:rPr>
          <w:rFonts w:ascii="Arial" w:eastAsia="Times New Roman" w:hAnsi="Arial" w:cs="Arial"/>
          <w:sz w:val="20"/>
          <w:szCs w:val="24"/>
          <w:lang w:eastAsia="en-US"/>
        </w:rPr>
        <w:t>iskazivale do konca 2020. godine na računu 23957 - Obveze za EU predujmove</w:t>
      </w:r>
      <w:r>
        <w:rPr>
          <w:rFonts w:ascii="Arial" w:eastAsia="Times New Roman" w:hAnsi="Arial" w:cs="Arial"/>
          <w:sz w:val="20"/>
          <w:szCs w:val="24"/>
          <w:lang w:eastAsia="en-US"/>
        </w:rPr>
        <w:t xml:space="preserve">. </w:t>
      </w:r>
      <w:r w:rsidR="0052045C" w:rsidRPr="00AC4C54">
        <w:rPr>
          <w:rFonts w:ascii="Arial" w:eastAsia="Times New Roman" w:hAnsi="Arial" w:cs="Arial"/>
          <w:sz w:val="20"/>
          <w:szCs w:val="24"/>
          <w:lang w:eastAsia="en-US"/>
        </w:rPr>
        <w:t xml:space="preserve">Od početka 2021. godine, pomoći za sufinanciranje EU projekata, </w:t>
      </w:r>
      <w:r>
        <w:rPr>
          <w:rFonts w:ascii="Arial" w:eastAsia="Times New Roman" w:hAnsi="Arial" w:cs="Arial"/>
          <w:sz w:val="20"/>
          <w:szCs w:val="24"/>
          <w:lang w:eastAsia="en-US"/>
        </w:rPr>
        <w:t xml:space="preserve">su se iskazivale </w:t>
      </w:r>
      <w:r w:rsidR="0052045C" w:rsidRPr="00AC4C54">
        <w:rPr>
          <w:rFonts w:ascii="Arial" w:eastAsia="Times New Roman" w:hAnsi="Arial" w:cs="Arial"/>
          <w:sz w:val="20"/>
          <w:szCs w:val="24"/>
          <w:lang w:eastAsia="en-US"/>
        </w:rPr>
        <w:t>na računima prihodi od pomoći (632 ili 638, odnosno 633 ukoliko se radi o udjelu sredstava RH u bespovratnim sredstvima).</w:t>
      </w:r>
      <w:r>
        <w:rPr>
          <w:rFonts w:ascii="Arial" w:eastAsia="Times New Roman" w:hAnsi="Arial" w:cs="Arial"/>
          <w:sz w:val="20"/>
          <w:szCs w:val="24"/>
          <w:lang w:eastAsia="en-US"/>
        </w:rPr>
        <w:t xml:space="preserve"> Od početka 2025. ponovno se trebaju iskazivati obveze za primljene predujmove iz fondova EU na </w:t>
      </w:r>
      <w:r w:rsidR="00A620B7" w:rsidRPr="00A620B7">
        <w:rPr>
          <w:rFonts w:ascii="Arial" w:eastAsia="Times New Roman" w:hAnsi="Arial" w:cs="Arial"/>
          <w:b/>
          <w:bCs/>
          <w:sz w:val="20"/>
          <w:szCs w:val="24"/>
          <w:lang w:eastAsia="en-US"/>
        </w:rPr>
        <w:t>podskupini 275</w:t>
      </w:r>
      <w:r w:rsidR="00A620B7">
        <w:rPr>
          <w:rFonts w:ascii="Arial" w:eastAsia="Times New Roman" w:hAnsi="Arial" w:cs="Arial"/>
          <w:sz w:val="20"/>
          <w:szCs w:val="24"/>
          <w:lang w:eastAsia="en-US"/>
        </w:rPr>
        <w:t xml:space="preserve">. </w:t>
      </w:r>
    </w:p>
    <w:p w14:paraId="67F07196" w14:textId="5CBADA1D" w:rsidR="0052045C" w:rsidRPr="00AC4C54" w:rsidRDefault="0052045C">
      <w:pPr>
        <w:numPr>
          <w:ilvl w:val="0"/>
          <w:numId w:val="13"/>
        </w:numPr>
        <w:autoSpaceDE w:val="0"/>
        <w:autoSpaceDN w:val="0"/>
        <w:adjustRightInd w:val="0"/>
        <w:spacing w:after="0" w:line="240" w:lineRule="auto"/>
        <w:jc w:val="both"/>
        <w:rPr>
          <w:rFonts w:ascii="Arial" w:eastAsia="Times New Roman" w:hAnsi="Arial" w:cs="Arial"/>
          <w:sz w:val="20"/>
          <w:szCs w:val="24"/>
          <w:lang w:eastAsia="en-US"/>
        </w:rPr>
      </w:pPr>
      <w:r w:rsidRPr="00AC4C54">
        <w:rPr>
          <w:rFonts w:ascii="Arial" w:eastAsia="Times New Roman" w:hAnsi="Arial" w:cs="Arial"/>
          <w:sz w:val="20"/>
          <w:szCs w:val="24"/>
          <w:lang w:eastAsia="en-US"/>
        </w:rPr>
        <w:t>Prihodi koje Općina (kao partner u projektu) ostvari od udruga</w:t>
      </w:r>
      <w:r w:rsidR="00EC6DB3" w:rsidRPr="00AC4C54">
        <w:rPr>
          <w:rFonts w:ascii="Arial" w:eastAsia="Times New Roman" w:hAnsi="Arial" w:cs="Arial"/>
          <w:sz w:val="20"/>
          <w:szCs w:val="24"/>
          <w:lang w:eastAsia="en-US"/>
        </w:rPr>
        <w:t xml:space="preserve"> / trgovačko društvo</w:t>
      </w:r>
      <w:r w:rsidRPr="00AC4C54">
        <w:rPr>
          <w:rFonts w:ascii="Arial" w:eastAsia="Times New Roman" w:hAnsi="Arial" w:cs="Arial"/>
          <w:sz w:val="20"/>
          <w:szCs w:val="24"/>
          <w:lang w:eastAsia="en-US"/>
        </w:rPr>
        <w:t xml:space="preserve"> koje su nositelji projekta koji se financira sredstvima iz EU fondova se evidentira</w:t>
      </w:r>
      <w:r w:rsidR="003A22C9" w:rsidRPr="00AC4C54">
        <w:rPr>
          <w:rFonts w:ascii="Arial" w:eastAsia="Times New Roman" w:hAnsi="Arial" w:cs="Arial"/>
          <w:sz w:val="20"/>
          <w:szCs w:val="24"/>
          <w:lang w:eastAsia="en-US"/>
        </w:rPr>
        <w:t>ju</w:t>
      </w:r>
      <w:r w:rsidRPr="00AC4C54">
        <w:rPr>
          <w:rFonts w:ascii="Arial" w:eastAsia="Times New Roman" w:hAnsi="Arial" w:cs="Arial"/>
          <w:sz w:val="20"/>
          <w:szCs w:val="24"/>
          <w:lang w:eastAsia="en-US"/>
        </w:rPr>
        <w:t xml:space="preserve"> kao donacija od neprofitne organizacije.</w:t>
      </w:r>
    </w:p>
    <w:p w14:paraId="5E20D9EE" w14:textId="27A36EBB" w:rsidR="00D7321A" w:rsidRPr="00AC4C54" w:rsidRDefault="0052045C" w:rsidP="00D7321A">
      <w:pPr>
        <w:numPr>
          <w:ilvl w:val="0"/>
          <w:numId w:val="13"/>
        </w:numPr>
        <w:autoSpaceDE w:val="0"/>
        <w:autoSpaceDN w:val="0"/>
        <w:adjustRightInd w:val="0"/>
        <w:spacing w:after="0" w:line="240" w:lineRule="auto"/>
        <w:jc w:val="both"/>
        <w:rPr>
          <w:rFonts w:ascii="Times New Roman" w:eastAsia="Calibri" w:hAnsi="Times New Roman" w:cs="Times New Roman"/>
          <w:sz w:val="20"/>
          <w:szCs w:val="20"/>
          <w:lang w:eastAsia="en-US"/>
        </w:rPr>
      </w:pPr>
      <w:r w:rsidRPr="007E0333">
        <w:rPr>
          <w:rFonts w:ascii="Arial" w:eastAsia="Times New Roman" w:hAnsi="Arial" w:cs="Arial"/>
          <w:b/>
          <w:bCs/>
          <w:sz w:val="20"/>
          <w:szCs w:val="24"/>
          <w:lang w:eastAsia="en-US"/>
        </w:rPr>
        <w:t xml:space="preserve">Općina </w:t>
      </w:r>
      <w:r w:rsidR="003A22C9" w:rsidRPr="007E0333">
        <w:rPr>
          <w:rFonts w:ascii="Arial" w:eastAsia="Times New Roman" w:hAnsi="Arial" w:cs="Arial"/>
          <w:b/>
          <w:bCs/>
          <w:sz w:val="20"/>
          <w:szCs w:val="24"/>
          <w:lang w:eastAsia="en-US"/>
        </w:rPr>
        <w:t xml:space="preserve">nema iskazane obveze niti potraživanja po sredstvima iz fondova Europske unije na kraju </w:t>
      </w:r>
      <w:r w:rsidR="00A620B7">
        <w:rPr>
          <w:rFonts w:ascii="Arial" w:eastAsia="Times New Roman" w:hAnsi="Arial" w:cs="Arial"/>
          <w:b/>
          <w:bCs/>
          <w:sz w:val="20"/>
          <w:szCs w:val="24"/>
          <w:lang w:eastAsia="en-US"/>
        </w:rPr>
        <w:t>lipnja 2025.</w:t>
      </w:r>
      <w:r w:rsidR="003A22C9" w:rsidRPr="007E0333">
        <w:rPr>
          <w:rFonts w:ascii="Arial" w:eastAsia="Times New Roman" w:hAnsi="Arial" w:cs="Arial"/>
          <w:b/>
          <w:bCs/>
          <w:sz w:val="20"/>
          <w:szCs w:val="24"/>
          <w:lang w:eastAsia="en-US"/>
        </w:rPr>
        <w:t xml:space="preserve"> godine</w:t>
      </w:r>
      <w:r w:rsidRPr="00AC4C54">
        <w:rPr>
          <w:rFonts w:ascii="Arial" w:eastAsia="Times New Roman" w:hAnsi="Arial" w:cs="Arial"/>
          <w:sz w:val="20"/>
          <w:szCs w:val="24"/>
          <w:lang w:eastAsia="en-US"/>
        </w:rPr>
        <w:t>.</w:t>
      </w:r>
    </w:p>
    <w:p w14:paraId="722AD033" w14:textId="77777777" w:rsidR="00D7321A" w:rsidRPr="00AC4C54" w:rsidRDefault="00D7321A" w:rsidP="00D7321A">
      <w:pPr>
        <w:autoSpaceDE w:val="0"/>
        <w:autoSpaceDN w:val="0"/>
        <w:adjustRightInd w:val="0"/>
        <w:spacing w:after="0" w:line="240" w:lineRule="auto"/>
        <w:ind w:left="644"/>
        <w:jc w:val="both"/>
        <w:rPr>
          <w:rFonts w:ascii="Times New Roman" w:eastAsia="Calibri" w:hAnsi="Times New Roman" w:cs="Times New Roman"/>
          <w:sz w:val="20"/>
          <w:szCs w:val="20"/>
          <w:lang w:eastAsia="en-US"/>
        </w:rPr>
      </w:pPr>
    </w:p>
    <w:p w14:paraId="1DBA7874" w14:textId="77777777" w:rsidR="00C47F03" w:rsidRPr="00AC4C54" w:rsidRDefault="00C47F03" w:rsidP="00D7321A">
      <w:pPr>
        <w:autoSpaceDE w:val="0"/>
        <w:autoSpaceDN w:val="0"/>
        <w:adjustRightInd w:val="0"/>
        <w:spacing w:after="0" w:line="240" w:lineRule="auto"/>
        <w:ind w:left="644"/>
        <w:jc w:val="both"/>
        <w:rPr>
          <w:rFonts w:ascii="Times New Roman" w:eastAsia="Calibri" w:hAnsi="Times New Roman" w:cs="Times New Roman"/>
          <w:sz w:val="20"/>
          <w:szCs w:val="20"/>
          <w:lang w:eastAsia="en-US"/>
        </w:rPr>
      </w:pPr>
    </w:p>
    <w:p w14:paraId="2700E47F" w14:textId="74D8456C" w:rsidR="0052045C" w:rsidRPr="003A2F86" w:rsidRDefault="0052045C" w:rsidP="007E796C">
      <w:pPr>
        <w:pStyle w:val="Opisslike"/>
      </w:pPr>
      <w:bookmarkStart w:id="421" w:name="_Toc207706999"/>
      <w:r w:rsidRPr="003A2F86">
        <w:rPr>
          <w:color w:val="FF0000"/>
        </w:rPr>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35</w:t>
      </w:r>
      <w:r w:rsidRPr="003A2F86">
        <w:rPr>
          <w:color w:val="FF0000"/>
        </w:rPr>
        <w:fldChar w:fldCharType="end"/>
      </w:r>
      <w:r w:rsidRPr="003A2F86">
        <w:rPr>
          <w:rFonts w:ascii="T3Font_4" w:hAnsi="T3Font_4" w:cs="T3Font_4"/>
          <w:color w:val="FF0000"/>
          <w:sz w:val="24"/>
        </w:rPr>
        <w:t>.</w:t>
      </w:r>
      <w:r w:rsidRPr="003A2F86">
        <w:rPr>
          <w:rFonts w:ascii="T3Font_4" w:hAnsi="T3Font_4" w:cs="T3Font_4"/>
          <w:sz w:val="24"/>
        </w:rPr>
        <w:t xml:space="preserve">: </w:t>
      </w:r>
      <w:r w:rsidRPr="003A2F86">
        <w:t xml:space="preserve">Pregled projekta sufinanciranih pomoćima EU, ugovoreno i uplaćeno ukupno od početka projekta do </w:t>
      </w:r>
      <w:r w:rsidR="00A06C76">
        <w:t>30.06.2025</w:t>
      </w:r>
      <w:r w:rsidRPr="003A2F86">
        <w:t>.</w:t>
      </w:r>
      <w:bookmarkEnd w:id="421"/>
    </w:p>
    <w:p w14:paraId="188D0988" w14:textId="26351140" w:rsidR="0052045C" w:rsidRPr="003A2F86" w:rsidRDefault="00ED75AC" w:rsidP="00615EBD">
      <w:pPr>
        <w:autoSpaceDE w:val="0"/>
        <w:autoSpaceDN w:val="0"/>
        <w:adjustRightInd w:val="0"/>
        <w:spacing w:after="0" w:line="240" w:lineRule="auto"/>
        <w:jc w:val="center"/>
        <w:rPr>
          <w:noProof/>
        </w:rPr>
      </w:pPr>
      <w:r w:rsidRPr="00ED75AC">
        <w:rPr>
          <w:noProof/>
        </w:rPr>
        <w:drawing>
          <wp:inline distT="0" distB="0" distL="0" distR="0" wp14:anchorId="55877BE1" wp14:editId="3A0542F4">
            <wp:extent cx="7934325" cy="5563266"/>
            <wp:effectExtent l="0" t="0" r="0" b="0"/>
            <wp:docPr id="120699799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939330" cy="5566775"/>
                    </a:xfrm>
                    <a:prstGeom prst="rect">
                      <a:avLst/>
                    </a:prstGeom>
                    <a:noFill/>
                    <a:ln>
                      <a:noFill/>
                    </a:ln>
                  </pic:spPr>
                </pic:pic>
              </a:graphicData>
            </a:graphic>
          </wp:inline>
        </w:drawing>
      </w:r>
    </w:p>
    <w:p w14:paraId="75B36A70" w14:textId="76E668AC" w:rsidR="0052045C" w:rsidRPr="003A2F86" w:rsidRDefault="0052045C" w:rsidP="00615EBD">
      <w:pPr>
        <w:autoSpaceDE w:val="0"/>
        <w:autoSpaceDN w:val="0"/>
        <w:adjustRightInd w:val="0"/>
        <w:spacing w:after="0" w:line="240" w:lineRule="auto"/>
        <w:jc w:val="center"/>
        <w:rPr>
          <w:noProof/>
        </w:rPr>
      </w:pPr>
    </w:p>
    <w:p w14:paraId="7F074830" w14:textId="53B7D3C1" w:rsidR="0052045C" w:rsidRPr="003A2F86" w:rsidRDefault="0052045C" w:rsidP="00615EBD">
      <w:pPr>
        <w:autoSpaceDE w:val="0"/>
        <w:autoSpaceDN w:val="0"/>
        <w:adjustRightInd w:val="0"/>
        <w:spacing w:after="0" w:line="240" w:lineRule="auto"/>
        <w:jc w:val="center"/>
        <w:rPr>
          <w:noProof/>
        </w:rPr>
      </w:pPr>
    </w:p>
    <w:p w14:paraId="0543E48F" w14:textId="437490F3" w:rsidR="001E6729" w:rsidRDefault="00ED75AC" w:rsidP="00615EBD">
      <w:pPr>
        <w:autoSpaceDE w:val="0"/>
        <w:autoSpaceDN w:val="0"/>
        <w:adjustRightInd w:val="0"/>
        <w:spacing w:after="0" w:line="240" w:lineRule="auto"/>
        <w:jc w:val="center"/>
        <w:rPr>
          <w:noProof/>
        </w:rPr>
      </w:pPr>
      <w:r w:rsidRPr="00ED75AC">
        <w:rPr>
          <w:noProof/>
        </w:rPr>
        <w:drawing>
          <wp:inline distT="0" distB="0" distL="0" distR="0" wp14:anchorId="0E43E980" wp14:editId="05E1AAE6">
            <wp:extent cx="9251950" cy="5321935"/>
            <wp:effectExtent l="0" t="0" r="6350" b="0"/>
            <wp:docPr id="92585452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251950" cy="5321935"/>
                    </a:xfrm>
                    <a:prstGeom prst="rect">
                      <a:avLst/>
                    </a:prstGeom>
                    <a:noFill/>
                    <a:ln>
                      <a:noFill/>
                    </a:ln>
                  </pic:spPr>
                </pic:pic>
              </a:graphicData>
            </a:graphic>
          </wp:inline>
        </w:drawing>
      </w:r>
    </w:p>
    <w:p w14:paraId="489F77D4" w14:textId="004A8D1E" w:rsidR="00EC6DB3" w:rsidRDefault="00EC6DB3" w:rsidP="00615EBD">
      <w:pPr>
        <w:autoSpaceDE w:val="0"/>
        <w:autoSpaceDN w:val="0"/>
        <w:adjustRightInd w:val="0"/>
        <w:spacing w:after="0" w:line="240" w:lineRule="auto"/>
        <w:jc w:val="center"/>
        <w:rPr>
          <w:noProof/>
        </w:rPr>
      </w:pPr>
    </w:p>
    <w:p w14:paraId="0308CE00" w14:textId="77777777" w:rsidR="00EC6DB3" w:rsidRDefault="00EC6DB3" w:rsidP="00615EBD">
      <w:pPr>
        <w:autoSpaceDE w:val="0"/>
        <w:autoSpaceDN w:val="0"/>
        <w:adjustRightInd w:val="0"/>
        <w:spacing w:after="0" w:line="240" w:lineRule="auto"/>
        <w:jc w:val="center"/>
        <w:rPr>
          <w:noProof/>
        </w:rPr>
      </w:pPr>
    </w:p>
    <w:p w14:paraId="62BB9C9C" w14:textId="0E835E1D" w:rsidR="00EC6DB3" w:rsidRDefault="00EC6DB3" w:rsidP="00615EBD">
      <w:pPr>
        <w:autoSpaceDE w:val="0"/>
        <w:autoSpaceDN w:val="0"/>
        <w:adjustRightInd w:val="0"/>
        <w:spacing w:after="0" w:line="240" w:lineRule="auto"/>
        <w:jc w:val="center"/>
        <w:rPr>
          <w:noProof/>
        </w:rPr>
      </w:pPr>
    </w:p>
    <w:p w14:paraId="1ACA8E2D" w14:textId="2A4233FD" w:rsidR="00EC6DB3" w:rsidRDefault="00ED75AC" w:rsidP="00615EBD">
      <w:pPr>
        <w:autoSpaceDE w:val="0"/>
        <w:autoSpaceDN w:val="0"/>
        <w:adjustRightInd w:val="0"/>
        <w:spacing w:after="0" w:line="240" w:lineRule="auto"/>
        <w:jc w:val="center"/>
        <w:rPr>
          <w:noProof/>
        </w:rPr>
      </w:pPr>
      <w:r w:rsidRPr="00ED75AC">
        <w:rPr>
          <w:noProof/>
        </w:rPr>
        <w:drawing>
          <wp:inline distT="0" distB="0" distL="0" distR="0" wp14:anchorId="47826B68" wp14:editId="2B0F76F4">
            <wp:extent cx="9251950" cy="5238115"/>
            <wp:effectExtent l="0" t="0" r="6350" b="635"/>
            <wp:docPr id="19917766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251950" cy="5238115"/>
                    </a:xfrm>
                    <a:prstGeom prst="rect">
                      <a:avLst/>
                    </a:prstGeom>
                    <a:noFill/>
                    <a:ln>
                      <a:noFill/>
                    </a:ln>
                  </pic:spPr>
                </pic:pic>
              </a:graphicData>
            </a:graphic>
          </wp:inline>
        </w:drawing>
      </w:r>
    </w:p>
    <w:p w14:paraId="12A30ABE" w14:textId="47146A7A" w:rsidR="00A06C76" w:rsidRDefault="00A06C76" w:rsidP="00615EBD">
      <w:pPr>
        <w:autoSpaceDE w:val="0"/>
        <w:autoSpaceDN w:val="0"/>
        <w:adjustRightInd w:val="0"/>
        <w:spacing w:after="0" w:line="240" w:lineRule="auto"/>
        <w:jc w:val="center"/>
        <w:rPr>
          <w:noProof/>
        </w:rPr>
      </w:pPr>
    </w:p>
    <w:p w14:paraId="210438A8" w14:textId="77777777" w:rsidR="00A06C76" w:rsidRDefault="00A06C76" w:rsidP="00615EBD">
      <w:pPr>
        <w:autoSpaceDE w:val="0"/>
        <w:autoSpaceDN w:val="0"/>
        <w:adjustRightInd w:val="0"/>
        <w:spacing w:after="0" w:line="240" w:lineRule="auto"/>
        <w:jc w:val="center"/>
        <w:rPr>
          <w:noProof/>
        </w:rPr>
      </w:pPr>
    </w:p>
    <w:p w14:paraId="1577E3B4" w14:textId="77777777" w:rsidR="00ED75AC" w:rsidRDefault="00ED75AC" w:rsidP="00615EBD">
      <w:pPr>
        <w:autoSpaceDE w:val="0"/>
        <w:autoSpaceDN w:val="0"/>
        <w:adjustRightInd w:val="0"/>
        <w:spacing w:after="0" w:line="240" w:lineRule="auto"/>
        <w:jc w:val="center"/>
        <w:rPr>
          <w:noProof/>
        </w:rPr>
      </w:pPr>
    </w:p>
    <w:p w14:paraId="79D765B9" w14:textId="77777777" w:rsidR="00ED75AC" w:rsidRDefault="00ED75AC" w:rsidP="00615EBD">
      <w:pPr>
        <w:autoSpaceDE w:val="0"/>
        <w:autoSpaceDN w:val="0"/>
        <w:adjustRightInd w:val="0"/>
        <w:spacing w:after="0" w:line="240" w:lineRule="auto"/>
        <w:jc w:val="center"/>
        <w:rPr>
          <w:noProof/>
        </w:rPr>
      </w:pPr>
    </w:p>
    <w:p w14:paraId="104381ED" w14:textId="77777777" w:rsidR="00ED75AC" w:rsidRDefault="00ED75AC" w:rsidP="00615EBD">
      <w:pPr>
        <w:autoSpaceDE w:val="0"/>
        <w:autoSpaceDN w:val="0"/>
        <w:adjustRightInd w:val="0"/>
        <w:spacing w:after="0" w:line="240" w:lineRule="auto"/>
        <w:jc w:val="center"/>
        <w:rPr>
          <w:noProof/>
        </w:rPr>
      </w:pPr>
    </w:p>
    <w:p w14:paraId="01529772" w14:textId="46669B28" w:rsidR="00ED75AC" w:rsidRDefault="00ED75AC" w:rsidP="00615EBD">
      <w:pPr>
        <w:autoSpaceDE w:val="0"/>
        <w:autoSpaceDN w:val="0"/>
        <w:adjustRightInd w:val="0"/>
        <w:spacing w:after="0" w:line="240" w:lineRule="auto"/>
        <w:jc w:val="center"/>
        <w:rPr>
          <w:noProof/>
        </w:rPr>
      </w:pPr>
      <w:r w:rsidRPr="00ED75AC">
        <w:rPr>
          <w:noProof/>
        </w:rPr>
        <w:drawing>
          <wp:inline distT="0" distB="0" distL="0" distR="0" wp14:anchorId="076F027F" wp14:editId="725B6EED">
            <wp:extent cx="9251950" cy="2883535"/>
            <wp:effectExtent l="0" t="0" r="6350" b="0"/>
            <wp:docPr id="1776296456"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251950" cy="2883535"/>
                    </a:xfrm>
                    <a:prstGeom prst="rect">
                      <a:avLst/>
                    </a:prstGeom>
                    <a:noFill/>
                    <a:ln>
                      <a:noFill/>
                    </a:ln>
                  </pic:spPr>
                </pic:pic>
              </a:graphicData>
            </a:graphic>
          </wp:inline>
        </w:drawing>
      </w:r>
    </w:p>
    <w:p w14:paraId="0B74A57B" w14:textId="77777777" w:rsidR="00ED75AC" w:rsidRPr="003A2F86" w:rsidRDefault="00ED75AC" w:rsidP="00615EBD">
      <w:pPr>
        <w:autoSpaceDE w:val="0"/>
        <w:autoSpaceDN w:val="0"/>
        <w:adjustRightInd w:val="0"/>
        <w:spacing w:after="0" w:line="240" w:lineRule="auto"/>
        <w:jc w:val="center"/>
        <w:rPr>
          <w:noProof/>
        </w:rPr>
      </w:pPr>
    </w:p>
    <w:p w14:paraId="54E68135" w14:textId="77777777" w:rsidR="0052045C" w:rsidRPr="00010109" w:rsidRDefault="0052045C" w:rsidP="00C37D13">
      <w:pPr>
        <w:spacing w:after="0" w:line="240" w:lineRule="auto"/>
        <w:jc w:val="both"/>
        <w:rPr>
          <w:rFonts w:ascii="Arial" w:eastAsia="Times New Roman" w:hAnsi="Arial" w:cs="Arial"/>
          <w:iCs/>
          <w:lang w:eastAsia="en-US"/>
        </w:rPr>
      </w:pPr>
    </w:p>
    <w:p w14:paraId="4FBCA53A" w14:textId="6514DEB6" w:rsidR="00F2348E" w:rsidRPr="00010109" w:rsidRDefault="00F2348E" w:rsidP="00F2348E">
      <w:pPr>
        <w:pStyle w:val="Naslov2"/>
        <w:jc w:val="center"/>
        <w:rPr>
          <w:rFonts w:ascii="Arial" w:hAnsi="Arial" w:cs="Arial"/>
          <w:sz w:val="22"/>
          <w:lang w:val="hr-HR"/>
        </w:rPr>
      </w:pPr>
      <w:bookmarkStart w:id="422" w:name="_4.5._IZVJEŠTAJ_O"/>
      <w:bookmarkStart w:id="423" w:name="_Toc207707493"/>
      <w:bookmarkEnd w:id="422"/>
      <w:r w:rsidRPr="00010109">
        <w:rPr>
          <w:rFonts w:ascii="Arial" w:hAnsi="Arial" w:cs="Arial"/>
          <w:sz w:val="22"/>
          <w:lang w:val="hr-HR"/>
        </w:rPr>
        <w:t>4.</w:t>
      </w:r>
      <w:r w:rsidR="00AB5F4A" w:rsidRPr="00010109">
        <w:rPr>
          <w:rFonts w:ascii="Arial" w:hAnsi="Arial" w:cs="Arial"/>
          <w:sz w:val="22"/>
          <w:lang w:val="hr-HR"/>
        </w:rPr>
        <w:t>5</w:t>
      </w:r>
      <w:r w:rsidRPr="00010109">
        <w:rPr>
          <w:rFonts w:ascii="Arial" w:hAnsi="Arial" w:cs="Arial"/>
          <w:sz w:val="22"/>
          <w:lang w:val="hr-HR"/>
        </w:rPr>
        <w:t>.</w:t>
      </w:r>
      <w:r w:rsidRPr="00010109">
        <w:rPr>
          <w:rFonts w:ascii="Arial" w:hAnsi="Arial" w:cs="Arial"/>
          <w:sz w:val="22"/>
          <w:lang w:val="hr-HR"/>
        </w:rPr>
        <w:tab/>
      </w:r>
      <w:bookmarkStart w:id="424" w:name="Dani_zajmovi"/>
      <w:bookmarkEnd w:id="424"/>
      <w:r w:rsidR="00AB5F4A" w:rsidRPr="00010109">
        <w:rPr>
          <w:rFonts w:ascii="Arial" w:hAnsi="Arial" w:cs="Arial"/>
          <w:sz w:val="22"/>
          <w:lang w:val="hr-HR"/>
        </w:rPr>
        <w:t xml:space="preserve">IZVJEŠTAJ O DANIM ZAJMOVIMA I </w:t>
      </w:r>
      <w:r w:rsidRPr="00010109">
        <w:rPr>
          <w:rFonts w:ascii="Arial" w:hAnsi="Arial" w:cs="Arial"/>
          <w:sz w:val="22"/>
          <w:lang w:val="hr-HR"/>
        </w:rPr>
        <w:t xml:space="preserve">POTRAŽIVANJA </w:t>
      </w:r>
      <w:r w:rsidR="00AB5F4A" w:rsidRPr="00010109">
        <w:rPr>
          <w:rFonts w:ascii="Arial" w:hAnsi="Arial" w:cs="Arial"/>
          <w:sz w:val="22"/>
          <w:lang w:val="hr-HR"/>
        </w:rPr>
        <w:t>PO DANIM ZAJMOVIMA</w:t>
      </w:r>
      <w:bookmarkEnd w:id="423"/>
    </w:p>
    <w:p w14:paraId="131B8295" w14:textId="77777777" w:rsidR="00F2348E" w:rsidRPr="00010109" w:rsidRDefault="00F2348E" w:rsidP="00F2348E">
      <w:pPr>
        <w:spacing w:after="0" w:line="240" w:lineRule="auto"/>
        <w:jc w:val="both"/>
        <w:rPr>
          <w:rFonts w:ascii="Arial" w:eastAsia="Calibri" w:hAnsi="Arial" w:cs="Arial"/>
          <w:lang w:eastAsia="en-US"/>
        </w:rPr>
      </w:pPr>
    </w:p>
    <w:p w14:paraId="216D3FCF" w14:textId="5614521B" w:rsidR="00F2348E" w:rsidRPr="00AC4C54" w:rsidRDefault="00F2348E" w:rsidP="00F2348E">
      <w:pPr>
        <w:autoSpaceDE w:val="0"/>
        <w:autoSpaceDN w:val="0"/>
        <w:adjustRightInd w:val="0"/>
        <w:spacing w:after="0" w:line="240" w:lineRule="auto"/>
        <w:jc w:val="both"/>
        <w:rPr>
          <w:rFonts w:ascii="Arial" w:eastAsia="Times New Roman" w:hAnsi="Arial" w:cs="Arial"/>
          <w:sz w:val="20"/>
          <w:szCs w:val="20"/>
        </w:rPr>
      </w:pPr>
      <w:r w:rsidRPr="00AC4C54">
        <w:rPr>
          <w:rFonts w:ascii="Arial" w:eastAsia="Times New Roman" w:hAnsi="Arial" w:cs="Arial"/>
          <w:b/>
          <w:bCs/>
          <w:sz w:val="20"/>
          <w:szCs w:val="20"/>
        </w:rPr>
        <w:t xml:space="preserve">Općina </w:t>
      </w:r>
      <w:r w:rsidR="00AB5F4A" w:rsidRPr="00AC4C54">
        <w:rPr>
          <w:rFonts w:ascii="Arial" w:eastAsia="Times New Roman" w:hAnsi="Arial" w:cs="Arial"/>
          <w:b/>
          <w:bCs/>
          <w:sz w:val="20"/>
          <w:szCs w:val="20"/>
        </w:rPr>
        <w:t>Konavle</w:t>
      </w:r>
      <w:r w:rsidR="00AB5F4A" w:rsidRPr="00AC4C54">
        <w:rPr>
          <w:rFonts w:ascii="Arial" w:eastAsia="Times New Roman" w:hAnsi="Arial" w:cs="Arial"/>
          <w:sz w:val="20"/>
          <w:szCs w:val="20"/>
        </w:rPr>
        <w:t xml:space="preserve"> </w:t>
      </w:r>
      <w:r w:rsidRPr="00AC4C54">
        <w:rPr>
          <w:rFonts w:ascii="Arial" w:eastAsia="Times New Roman" w:hAnsi="Arial" w:cs="Arial"/>
          <w:sz w:val="20"/>
          <w:szCs w:val="20"/>
        </w:rPr>
        <w:t>nema danih zajmova u izvještajnom razdoblju, niti potraživanja za dane zajmove iz prethodnih godina.</w:t>
      </w:r>
    </w:p>
    <w:p w14:paraId="7735AC15" w14:textId="77777777" w:rsidR="00F2348E" w:rsidRPr="00AC4C54" w:rsidRDefault="00F2348E" w:rsidP="00F2348E">
      <w:pPr>
        <w:spacing w:after="0" w:line="240" w:lineRule="auto"/>
        <w:jc w:val="both"/>
        <w:rPr>
          <w:rFonts w:ascii="Arial" w:eastAsia="Calibri" w:hAnsi="Arial" w:cs="Arial"/>
          <w:sz w:val="20"/>
          <w:szCs w:val="20"/>
          <w:lang w:eastAsia="en-US"/>
        </w:rPr>
      </w:pPr>
    </w:p>
    <w:p w14:paraId="10796E95" w14:textId="5318A219" w:rsidR="00AB5F4A" w:rsidRPr="00AC4C54" w:rsidRDefault="00AB5F4A" w:rsidP="00AB5F4A">
      <w:pPr>
        <w:autoSpaceDE w:val="0"/>
        <w:autoSpaceDN w:val="0"/>
        <w:adjustRightInd w:val="0"/>
        <w:spacing w:after="0" w:line="240" w:lineRule="auto"/>
        <w:jc w:val="both"/>
        <w:rPr>
          <w:rFonts w:ascii="Arial" w:eastAsia="Times New Roman" w:hAnsi="Arial" w:cs="Arial"/>
          <w:sz w:val="20"/>
          <w:szCs w:val="20"/>
        </w:rPr>
      </w:pPr>
      <w:r w:rsidRPr="00AC4C54">
        <w:rPr>
          <w:rFonts w:ascii="Arial" w:eastAsia="Times New Roman" w:hAnsi="Arial" w:cs="Arial"/>
          <w:b/>
          <w:bCs/>
          <w:sz w:val="20"/>
          <w:szCs w:val="20"/>
        </w:rPr>
        <w:t>Proračunski korisnici</w:t>
      </w:r>
      <w:r w:rsidRPr="00AC4C54">
        <w:rPr>
          <w:rFonts w:ascii="Arial" w:eastAsia="Times New Roman" w:hAnsi="Arial" w:cs="Arial"/>
          <w:sz w:val="20"/>
          <w:szCs w:val="20"/>
        </w:rPr>
        <w:t xml:space="preserve"> Općine Konavle (Dječji vrtić Konavle, Muzeji i galerije Konavala, Javna vatrogasna postrojba Konavle, Dom za starije i nemoćne osobe Konavle) nisu davali zajmove, te nemaju niti potraživanja za dane zajmove iz tekuće ili prethodnih godina.</w:t>
      </w:r>
    </w:p>
    <w:p w14:paraId="47ADACE1" w14:textId="77777777" w:rsidR="00F2348E" w:rsidRPr="00010109" w:rsidRDefault="00F2348E" w:rsidP="00F2348E">
      <w:pPr>
        <w:spacing w:after="0" w:line="240" w:lineRule="auto"/>
        <w:jc w:val="both"/>
        <w:rPr>
          <w:rFonts w:ascii="Arial" w:eastAsia="Calibri" w:hAnsi="Arial" w:cs="Arial"/>
          <w:lang w:eastAsia="en-US"/>
        </w:rPr>
      </w:pPr>
    </w:p>
    <w:p w14:paraId="6CCE0555" w14:textId="77777777" w:rsidR="00F2348E" w:rsidRPr="00010109" w:rsidRDefault="00F2348E" w:rsidP="00F2348E">
      <w:pPr>
        <w:spacing w:after="0" w:line="240" w:lineRule="auto"/>
        <w:jc w:val="both"/>
        <w:rPr>
          <w:rFonts w:ascii="Arial" w:eastAsia="Calibri" w:hAnsi="Arial" w:cs="Arial"/>
          <w:lang w:eastAsia="en-US"/>
        </w:rPr>
      </w:pPr>
      <w:r w:rsidRPr="00010109">
        <w:rPr>
          <w:rFonts w:ascii="Arial" w:eastAsia="Calibri" w:hAnsi="Arial" w:cs="Arial"/>
          <w:lang w:eastAsia="en-US"/>
        </w:rPr>
        <w:br w:type="page"/>
      </w:r>
    </w:p>
    <w:p w14:paraId="231BF1DF" w14:textId="296DF78C" w:rsidR="008F05E4" w:rsidRPr="001A064B" w:rsidRDefault="008F05E4" w:rsidP="008F05E4">
      <w:pPr>
        <w:pStyle w:val="Naslov2"/>
        <w:jc w:val="center"/>
        <w:rPr>
          <w:rFonts w:ascii="Arial" w:hAnsi="Arial" w:cs="Arial"/>
          <w:sz w:val="22"/>
          <w:lang w:val="hr-HR"/>
        </w:rPr>
      </w:pPr>
      <w:bookmarkStart w:id="425" w:name="_4.6._IZVJEŠTAJ_O"/>
      <w:bookmarkStart w:id="426" w:name="_Toc207707494"/>
      <w:bookmarkStart w:id="427" w:name="_Toc494714825"/>
      <w:bookmarkEnd w:id="425"/>
      <w:r w:rsidRPr="001A064B">
        <w:rPr>
          <w:rFonts w:ascii="Arial" w:hAnsi="Arial" w:cs="Arial"/>
          <w:sz w:val="22"/>
          <w:lang w:val="hr-HR"/>
        </w:rPr>
        <w:lastRenderedPageBreak/>
        <w:t>4.6.</w:t>
      </w:r>
      <w:r w:rsidRPr="001A064B">
        <w:rPr>
          <w:rFonts w:ascii="Arial" w:hAnsi="Arial" w:cs="Arial"/>
          <w:sz w:val="22"/>
          <w:lang w:val="hr-HR"/>
        </w:rPr>
        <w:tab/>
      </w:r>
      <w:bookmarkStart w:id="428" w:name="Potraživanja"/>
      <w:bookmarkEnd w:id="428"/>
      <w:r w:rsidRPr="001A064B">
        <w:rPr>
          <w:rFonts w:ascii="Arial" w:hAnsi="Arial" w:cs="Arial"/>
          <w:sz w:val="22"/>
          <w:lang w:val="hr-HR"/>
        </w:rPr>
        <w:t>IZVJEŠTAJ O STANJU POTRAŽIVANJA I DOSPJELIH OBVEZA TE STANJU POTENCIJALNIH OBVEZA PO OSNOVI SUDSKIH SPOROVA</w:t>
      </w:r>
      <w:bookmarkEnd w:id="426"/>
    </w:p>
    <w:p w14:paraId="7B033E8D" w14:textId="77777777" w:rsidR="008F05E4" w:rsidRPr="001A064B" w:rsidRDefault="008F05E4" w:rsidP="00A10402">
      <w:pPr>
        <w:spacing w:after="0"/>
        <w:rPr>
          <w:lang w:eastAsia="en-US"/>
        </w:rPr>
      </w:pPr>
    </w:p>
    <w:p w14:paraId="093125CE" w14:textId="4BA5AAE0" w:rsidR="00EA65B3" w:rsidRPr="001A064B" w:rsidRDefault="00FC0E6E" w:rsidP="008F05E4">
      <w:pPr>
        <w:pStyle w:val="Naslov3"/>
        <w:jc w:val="center"/>
        <w:rPr>
          <w:rFonts w:ascii="Arial" w:hAnsi="Arial" w:cs="Arial"/>
          <w:sz w:val="22"/>
          <w:szCs w:val="22"/>
          <w:lang w:val="hr-HR"/>
        </w:rPr>
      </w:pPr>
      <w:bookmarkStart w:id="429" w:name="_Toc207707495"/>
      <w:r w:rsidRPr="001A064B">
        <w:rPr>
          <w:rFonts w:ascii="Arial" w:hAnsi="Arial" w:cs="Arial"/>
          <w:sz w:val="22"/>
          <w:szCs w:val="22"/>
          <w:lang w:val="hr-HR"/>
        </w:rPr>
        <w:t>4.6</w:t>
      </w:r>
      <w:r w:rsidR="00EA65B3" w:rsidRPr="001A064B">
        <w:rPr>
          <w:rFonts w:ascii="Arial" w:hAnsi="Arial" w:cs="Arial"/>
          <w:sz w:val="22"/>
          <w:szCs w:val="22"/>
          <w:lang w:val="hr-HR"/>
        </w:rPr>
        <w:t>.</w:t>
      </w:r>
      <w:r w:rsidR="008F05E4" w:rsidRPr="001A064B">
        <w:rPr>
          <w:rFonts w:ascii="Arial" w:hAnsi="Arial" w:cs="Arial"/>
          <w:sz w:val="22"/>
          <w:szCs w:val="22"/>
          <w:lang w:val="hr-HR"/>
        </w:rPr>
        <w:t>1.</w:t>
      </w:r>
      <w:r w:rsidR="00EA65B3" w:rsidRPr="001A064B">
        <w:rPr>
          <w:rFonts w:ascii="Arial" w:hAnsi="Arial" w:cs="Arial"/>
          <w:sz w:val="22"/>
          <w:szCs w:val="22"/>
          <w:lang w:val="hr-HR"/>
        </w:rPr>
        <w:tab/>
        <w:t>STANJE NENAPLAĆENIH POTRAŽIVANJA</w:t>
      </w:r>
      <w:bookmarkEnd w:id="429"/>
    </w:p>
    <w:p w14:paraId="3D84026A" w14:textId="77777777" w:rsidR="00EA65B3" w:rsidRPr="001A064B" w:rsidRDefault="00EA65B3" w:rsidP="00EA65B3">
      <w:pPr>
        <w:spacing w:after="0" w:line="240" w:lineRule="auto"/>
        <w:rPr>
          <w:rFonts w:ascii="Arial" w:eastAsia="Times New Roman" w:hAnsi="Arial" w:cs="Arial"/>
          <w:sz w:val="20"/>
          <w:szCs w:val="20"/>
        </w:rPr>
      </w:pPr>
    </w:p>
    <w:p w14:paraId="76503FFF" w14:textId="502C247E" w:rsidR="00EA65B3" w:rsidRPr="001A064B" w:rsidRDefault="00EA65B3" w:rsidP="00EA65B3">
      <w:pPr>
        <w:spacing w:after="0" w:line="240" w:lineRule="auto"/>
        <w:jc w:val="both"/>
        <w:rPr>
          <w:rFonts w:ascii="Arial" w:eastAsia="Times New Roman" w:hAnsi="Arial" w:cs="Arial"/>
          <w:sz w:val="20"/>
          <w:szCs w:val="20"/>
        </w:rPr>
      </w:pPr>
      <w:bookmarkStart w:id="430" w:name="_Hlk166668718"/>
      <w:bookmarkStart w:id="431" w:name="_Hlk115073956"/>
      <w:r w:rsidRPr="001A064B">
        <w:rPr>
          <w:rFonts w:ascii="Arial" w:eastAsia="Times New Roman" w:hAnsi="Arial" w:cs="Arial"/>
          <w:b/>
          <w:sz w:val="20"/>
          <w:szCs w:val="20"/>
        </w:rPr>
        <w:t>Potraživanja Općine</w:t>
      </w:r>
      <w:r w:rsidRPr="001A064B">
        <w:rPr>
          <w:rFonts w:ascii="Arial" w:eastAsia="Times New Roman" w:hAnsi="Arial" w:cs="Arial"/>
          <w:sz w:val="20"/>
          <w:szCs w:val="20"/>
        </w:rPr>
        <w:t xml:space="preserve"> za prihode poslovanja (16) i prihode od prodaje nefinancijske imovine (17) iskazana su u iznosu </w:t>
      </w:r>
      <w:r w:rsidR="00A34B63">
        <w:rPr>
          <w:rFonts w:ascii="Arial" w:eastAsia="Times New Roman" w:hAnsi="Arial" w:cs="Arial"/>
          <w:b/>
          <w:sz w:val="20"/>
          <w:szCs w:val="20"/>
        </w:rPr>
        <w:t>1.769.069,71</w:t>
      </w:r>
      <w:r w:rsidR="0086386B" w:rsidRPr="001A064B">
        <w:rPr>
          <w:rFonts w:ascii="Arial" w:eastAsia="Times New Roman" w:hAnsi="Arial" w:cs="Arial"/>
          <w:b/>
          <w:sz w:val="20"/>
          <w:szCs w:val="20"/>
        </w:rPr>
        <w:t xml:space="preserve"> €</w:t>
      </w:r>
      <w:r w:rsidRPr="001A064B">
        <w:rPr>
          <w:rFonts w:ascii="Arial" w:eastAsia="Times New Roman" w:hAnsi="Arial" w:cs="Arial"/>
          <w:sz w:val="20"/>
          <w:szCs w:val="20"/>
        </w:rPr>
        <w:t xml:space="preserve"> (bez ispravka vrijednosti). Potraživanja za naknade koje se refundiraju (bolovanja) </w:t>
      </w:r>
      <w:r w:rsidR="00BB5656" w:rsidRPr="001A064B">
        <w:rPr>
          <w:rFonts w:ascii="Arial" w:eastAsia="Times New Roman" w:hAnsi="Arial" w:cs="Arial"/>
          <w:sz w:val="20"/>
          <w:szCs w:val="20"/>
        </w:rPr>
        <w:t xml:space="preserve">i ostale naknade </w:t>
      </w:r>
      <w:r w:rsidRPr="001A064B">
        <w:rPr>
          <w:rFonts w:ascii="Arial" w:eastAsia="Times New Roman" w:hAnsi="Arial" w:cs="Arial"/>
          <w:sz w:val="20"/>
          <w:szCs w:val="20"/>
        </w:rPr>
        <w:t xml:space="preserve">iznose </w:t>
      </w:r>
      <w:r w:rsidR="00BB5656" w:rsidRPr="001A064B">
        <w:rPr>
          <w:rFonts w:ascii="Arial" w:eastAsia="Times New Roman" w:hAnsi="Arial" w:cs="Arial"/>
          <w:sz w:val="20"/>
          <w:szCs w:val="20"/>
        </w:rPr>
        <w:t>309,14</w:t>
      </w:r>
      <w:r w:rsidR="0086386B" w:rsidRPr="001A064B">
        <w:rPr>
          <w:rFonts w:ascii="Arial" w:eastAsia="Times New Roman" w:hAnsi="Arial" w:cs="Arial"/>
          <w:sz w:val="20"/>
          <w:szCs w:val="20"/>
        </w:rPr>
        <w:t xml:space="preserve"> €</w:t>
      </w:r>
      <w:r w:rsidRPr="001A064B">
        <w:rPr>
          <w:rFonts w:ascii="Arial" w:eastAsia="Times New Roman" w:hAnsi="Arial" w:cs="Arial"/>
          <w:sz w:val="20"/>
          <w:szCs w:val="20"/>
        </w:rPr>
        <w:t xml:space="preserve">, </w:t>
      </w:r>
      <w:r w:rsidR="001B4293" w:rsidRPr="001A064B">
        <w:rPr>
          <w:rFonts w:ascii="Arial" w:eastAsia="Times New Roman" w:hAnsi="Arial" w:cs="Arial"/>
          <w:sz w:val="20"/>
          <w:szCs w:val="20"/>
        </w:rPr>
        <w:t xml:space="preserve">potraživanja za više plaćene poreze i doprinose </w:t>
      </w:r>
      <w:r w:rsidR="00A34B63">
        <w:rPr>
          <w:rFonts w:ascii="Arial" w:eastAsia="Times New Roman" w:hAnsi="Arial" w:cs="Arial"/>
          <w:sz w:val="20"/>
          <w:szCs w:val="20"/>
        </w:rPr>
        <w:t>24,65</w:t>
      </w:r>
      <w:r w:rsidR="001B4293" w:rsidRPr="001A064B">
        <w:rPr>
          <w:rFonts w:ascii="Arial" w:eastAsia="Times New Roman" w:hAnsi="Arial" w:cs="Arial"/>
          <w:sz w:val="20"/>
          <w:szCs w:val="20"/>
        </w:rPr>
        <w:t xml:space="preserve"> €</w:t>
      </w:r>
      <w:r w:rsidR="0086386B" w:rsidRPr="001A064B">
        <w:rPr>
          <w:rFonts w:ascii="Arial" w:eastAsia="Times New Roman" w:hAnsi="Arial" w:cs="Arial"/>
          <w:sz w:val="20"/>
          <w:szCs w:val="20"/>
        </w:rPr>
        <w:t xml:space="preserve">, </w:t>
      </w:r>
      <w:r w:rsidR="00A34B63">
        <w:rPr>
          <w:rFonts w:ascii="Arial" w:eastAsia="Times New Roman" w:hAnsi="Arial" w:cs="Arial"/>
          <w:sz w:val="20"/>
          <w:szCs w:val="20"/>
        </w:rPr>
        <w:t xml:space="preserve">potraživanja za više plaćene naknade 93.789,79 €, ostala potraživanja 1.000 € </w:t>
      </w:r>
      <w:r w:rsidRPr="001A064B">
        <w:rPr>
          <w:rFonts w:ascii="Arial" w:eastAsia="Times New Roman" w:hAnsi="Arial" w:cs="Arial"/>
          <w:sz w:val="20"/>
          <w:szCs w:val="20"/>
        </w:rPr>
        <w:t>te sveukupna potraživanja</w:t>
      </w:r>
      <w:r w:rsidR="001A064B" w:rsidRPr="001A064B">
        <w:rPr>
          <w:rFonts w:ascii="Arial" w:eastAsia="Times New Roman" w:hAnsi="Arial" w:cs="Arial"/>
          <w:sz w:val="20"/>
          <w:szCs w:val="20"/>
        </w:rPr>
        <w:t xml:space="preserve"> (skupina računa 12+16+17)</w:t>
      </w:r>
      <w:r w:rsidRPr="001A064B">
        <w:rPr>
          <w:rFonts w:ascii="Arial" w:eastAsia="Times New Roman" w:hAnsi="Arial" w:cs="Arial"/>
          <w:sz w:val="20"/>
          <w:szCs w:val="20"/>
        </w:rPr>
        <w:t xml:space="preserve"> iznose </w:t>
      </w:r>
      <w:r w:rsidR="00A34B63">
        <w:rPr>
          <w:rFonts w:ascii="Arial" w:eastAsia="Times New Roman" w:hAnsi="Arial" w:cs="Arial"/>
          <w:b/>
          <w:i/>
          <w:sz w:val="20"/>
          <w:szCs w:val="20"/>
        </w:rPr>
        <w:t>1.864.193,29</w:t>
      </w:r>
      <w:r w:rsidR="0086386B" w:rsidRPr="001A064B">
        <w:rPr>
          <w:rFonts w:ascii="Arial" w:eastAsia="Times New Roman" w:hAnsi="Arial" w:cs="Arial"/>
          <w:b/>
          <w:i/>
          <w:sz w:val="20"/>
          <w:szCs w:val="20"/>
        </w:rPr>
        <w:t xml:space="preserve"> €</w:t>
      </w:r>
      <w:r w:rsidRPr="001A064B">
        <w:rPr>
          <w:rFonts w:ascii="Arial" w:eastAsia="Times New Roman" w:hAnsi="Arial" w:cs="Arial"/>
          <w:sz w:val="20"/>
          <w:szCs w:val="20"/>
        </w:rPr>
        <w:t>. Ispravak vrijednosti potraživanja za prihode poslovanja i prihode od prodaje nefinancijske imovine koncem 202</w:t>
      </w:r>
      <w:r w:rsidR="00A34B63">
        <w:rPr>
          <w:rFonts w:ascii="Arial" w:eastAsia="Times New Roman" w:hAnsi="Arial" w:cs="Arial"/>
          <w:sz w:val="20"/>
          <w:szCs w:val="20"/>
        </w:rPr>
        <w:t>4</w:t>
      </w:r>
      <w:r w:rsidRPr="001A064B">
        <w:rPr>
          <w:rFonts w:ascii="Arial" w:eastAsia="Times New Roman" w:hAnsi="Arial" w:cs="Arial"/>
          <w:sz w:val="20"/>
          <w:szCs w:val="20"/>
        </w:rPr>
        <w:t>. je</w:t>
      </w:r>
      <w:r w:rsidR="001B4293" w:rsidRPr="001A064B">
        <w:rPr>
          <w:rFonts w:ascii="Arial" w:eastAsia="Times New Roman" w:hAnsi="Arial" w:cs="Arial"/>
          <w:sz w:val="20"/>
          <w:szCs w:val="20"/>
        </w:rPr>
        <w:t xml:space="preserve"> bio</w:t>
      </w:r>
      <w:r w:rsidRPr="001A064B">
        <w:rPr>
          <w:rFonts w:ascii="Arial" w:eastAsia="Times New Roman" w:hAnsi="Arial" w:cs="Arial"/>
          <w:sz w:val="20"/>
          <w:szCs w:val="20"/>
        </w:rPr>
        <w:t xml:space="preserve"> iskazan u iznosu </w:t>
      </w:r>
      <w:r w:rsidR="00A34B63" w:rsidRPr="00A34B63">
        <w:rPr>
          <w:rFonts w:ascii="Arial" w:eastAsia="Times New Roman" w:hAnsi="Arial" w:cs="Arial"/>
          <w:sz w:val="20"/>
          <w:szCs w:val="20"/>
        </w:rPr>
        <w:t xml:space="preserve">431.236,68 </w:t>
      </w:r>
      <w:r w:rsidR="0086386B" w:rsidRPr="001A064B">
        <w:rPr>
          <w:rFonts w:ascii="Arial" w:eastAsia="Times New Roman" w:hAnsi="Arial" w:cs="Arial"/>
          <w:sz w:val="20"/>
          <w:szCs w:val="20"/>
        </w:rPr>
        <w:t>€</w:t>
      </w:r>
      <w:r w:rsidRPr="001A064B">
        <w:rPr>
          <w:rFonts w:ascii="Arial" w:eastAsia="Times New Roman" w:hAnsi="Arial" w:cs="Arial"/>
          <w:sz w:val="20"/>
          <w:szCs w:val="20"/>
        </w:rPr>
        <w:t xml:space="preserve">. </w:t>
      </w:r>
      <w:r w:rsidR="001B4293" w:rsidRPr="001A064B">
        <w:rPr>
          <w:rFonts w:ascii="Arial" w:eastAsia="Times New Roman" w:hAnsi="Arial" w:cs="Arial"/>
          <w:sz w:val="20"/>
          <w:szCs w:val="20"/>
        </w:rPr>
        <w:t>Ispravak vrijednosti koncem</w:t>
      </w:r>
      <w:r w:rsidR="00A34B63">
        <w:rPr>
          <w:rFonts w:ascii="Arial" w:eastAsia="Times New Roman" w:hAnsi="Arial" w:cs="Arial"/>
          <w:sz w:val="20"/>
          <w:szCs w:val="20"/>
        </w:rPr>
        <w:t xml:space="preserve"> lipnja 2025. nije iskazan</w:t>
      </w:r>
      <w:r w:rsidR="001B4293" w:rsidRPr="001A064B">
        <w:rPr>
          <w:rFonts w:ascii="Arial" w:eastAsia="Times New Roman" w:hAnsi="Arial" w:cs="Arial"/>
          <w:sz w:val="20"/>
          <w:szCs w:val="20"/>
        </w:rPr>
        <w:t xml:space="preserve">. </w:t>
      </w:r>
    </w:p>
    <w:p w14:paraId="7DE9B440" w14:textId="77777777" w:rsidR="001B4293" w:rsidRPr="001A064B" w:rsidRDefault="001B4293" w:rsidP="00EA65B3">
      <w:pPr>
        <w:spacing w:after="0" w:line="240" w:lineRule="auto"/>
        <w:jc w:val="both"/>
        <w:rPr>
          <w:rFonts w:ascii="Arial" w:eastAsia="Times New Roman" w:hAnsi="Arial" w:cs="Arial"/>
          <w:sz w:val="20"/>
          <w:szCs w:val="20"/>
        </w:rPr>
      </w:pPr>
    </w:p>
    <w:p w14:paraId="39C5AFD3" w14:textId="49021F2A" w:rsidR="001B4293" w:rsidRPr="001A064B" w:rsidRDefault="00EA65B3" w:rsidP="001B4293">
      <w:pPr>
        <w:spacing w:after="0" w:line="240" w:lineRule="auto"/>
        <w:jc w:val="both"/>
        <w:rPr>
          <w:rFonts w:ascii="Arial" w:eastAsia="Times New Roman" w:hAnsi="Arial" w:cs="Arial"/>
          <w:sz w:val="20"/>
          <w:szCs w:val="20"/>
        </w:rPr>
      </w:pPr>
      <w:r w:rsidRPr="001A064B">
        <w:rPr>
          <w:rFonts w:ascii="Arial" w:eastAsia="Times New Roman" w:hAnsi="Arial" w:cs="Arial"/>
          <w:b/>
          <w:sz w:val="20"/>
          <w:szCs w:val="20"/>
        </w:rPr>
        <w:t>Potraživanja četiri proračunska korisnika</w:t>
      </w:r>
      <w:r w:rsidRPr="001A064B">
        <w:rPr>
          <w:rFonts w:ascii="Arial" w:eastAsia="Times New Roman" w:hAnsi="Arial" w:cs="Arial"/>
          <w:sz w:val="20"/>
          <w:szCs w:val="20"/>
        </w:rPr>
        <w:t xml:space="preserve"> za prihode poslovanja</w:t>
      </w:r>
      <w:r w:rsidR="00BC5343" w:rsidRPr="001A064B">
        <w:rPr>
          <w:rFonts w:ascii="Arial" w:eastAsia="Times New Roman" w:hAnsi="Arial" w:cs="Arial"/>
          <w:sz w:val="20"/>
          <w:szCs w:val="20"/>
        </w:rPr>
        <w:t xml:space="preserve"> (16)</w:t>
      </w:r>
      <w:r w:rsidRPr="001A064B">
        <w:rPr>
          <w:rFonts w:ascii="Arial" w:eastAsia="Times New Roman" w:hAnsi="Arial" w:cs="Arial"/>
          <w:sz w:val="20"/>
          <w:szCs w:val="20"/>
        </w:rPr>
        <w:t xml:space="preserve"> i prihode od prodaje nefinancijske imovine </w:t>
      </w:r>
      <w:r w:rsidR="00BC5343" w:rsidRPr="001A064B">
        <w:rPr>
          <w:rFonts w:ascii="Arial" w:eastAsia="Times New Roman" w:hAnsi="Arial" w:cs="Arial"/>
          <w:sz w:val="20"/>
          <w:szCs w:val="20"/>
        </w:rPr>
        <w:t xml:space="preserve">(17) </w:t>
      </w:r>
      <w:r w:rsidRPr="001A064B">
        <w:rPr>
          <w:rFonts w:ascii="Arial" w:eastAsia="Times New Roman" w:hAnsi="Arial" w:cs="Arial"/>
          <w:sz w:val="20"/>
          <w:szCs w:val="20"/>
        </w:rPr>
        <w:t xml:space="preserve">iznose </w:t>
      </w:r>
      <w:r w:rsidR="00A34B63">
        <w:rPr>
          <w:rFonts w:ascii="Arial" w:eastAsia="Times New Roman" w:hAnsi="Arial" w:cs="Arial"/>
          <w:b/>
          <w:sz w:val="20"/>
          <w:szCs w:val="20"/>
        </w:rPr>
        <w:t>384.466,96</w:t>
      </w:r>
      <w:r w:rsidR="0086386B" w:rsidRPr="001A064B">
        <w:rPr>
          <w:rFonts w:ascii="Arial" w:eastAsia="Times New Roman" w:hAnsi="Arial" w:cs="Arial"/>
          <w:b/>
          <w:sz w:val="20"/>
          <w:szCs w:val="20"/>
        </w:rPr>
        <w:t xml:space="preserve"> €</w:t>
      </w:r>
      <w:r w:rsidRPr="001A064B">
        <w:rPr>
          <w:rFonts w:ascii="Arial" w:eastAsia="Times New Roman" w:hAnsi="Arial" w:cs="Arial"/>
          <w:sz w:val="20"/>
          <w:szCs w:val="20"/>
        </w:rPr>
        <w:t xml:space="preserve"> (</w:t>
      </w:r>
      <w:r w:rsidRPr="001A064B">
        <w:rPr>
          <w:rFonts w:ascii="Arial" w:eastAsia="Times New Roman" w:hAnsi="Arial" w:cs="Arial"/>
          <w:sz w:val="20"/>
          <w:szCs w:val="20"/>
          <w:u w:val="single"/>
        </w:rPr>
        <w:t xml:space="preserve">od čega potraživanja proračunskih korisnika za naplaćene prihode putem proračunske riznice iznose </w:t>
      </w:r>
      <w:r w:rsidR="00A34B63">
        <w:rPr>
          <w:rFonts w:ascii="Arial" w:eastAsia="Times New Roman" w:hAnsi="Arial" w:cs="Arial"/>
          <w:sz w:val="20"/>
          <w:szCs w:val="20"/>
          <w:u w:val="single"/>
        </w:rPr>
        <w:t>316.459,55</w:t>
      </w:r>
      <w:r w:rsidR="0086386B" w:rsidRPr="001A064B">
        <w:rPr>
          <w:rFonts w:ascii="Arial" w:eastAsia="Times New Roman" w:hAnsi="Arial" w:cs="Arial"/>
          <w:sz w:val="20"/>
          <w:szCs w:val="20"/>
          <w:u w:val="single"/>
        </w:rPr>
        <w:t xml:space="preserve"> €</w:t>
      </w:r>
      <w:r w:rsidRPr="001A064B">
        <w:rPr>
          <w:rFonts w:ascii="Arial" w:eastAsia="Times New Roman" w:hAnsi="Arial" w:cs="Arial"/>
          <w:sz w:val="20"/>
          <w:szCs w:val="20"/>
        </w:rPr>
        <w:t xml:space="preserve">, a ostala potraživanja iznose </w:t>
      </w:r>
      <w:r w:rsidR="00A34B63">
        <w:rPr>
          <w:rFonts w:ascii="Arial" w:eastAsia="Times New Roman" w:hAnsi="Arial" w:cs="Arial"/>
          <w:sz w:val="20"/>
          <w:szCs w:val="20"/>
        </w:rPr>
        <w:t>68.007,41</w:t>
      </w:r>
      <w:r w:rsidR="0086386B" w:rsidRPr="001A064B">
        <w:rPr>
          <w:rFonts w:ascii="Arial" w:eastAsia="Times New Roman" w:hAnsi="Arial" w:cs="Arial"/>
          <w:sz w:val="20"/>
          <w:szCs w:val="20"/>
        </w:rPr>
        <w:t xml:space="preserve"> €</w:t>
      </w:r>
      <w:r w:rsidRPr="001A064B">
        <w:rPr>
          <w:rFonts w:ascii="Arial" w:eastAsia="Times New Roman" w:hAnsi="Arial" w:cs="Arial"/>
          <w:sz w:val="20"/>
          <w:szCs w:val="20"/>
        </w:rPr>
        <w:t xml:space="preserve">). Potraživanja za naknade koje se refundiraju (bolovanja) iznose </w:t>
      </w:r>
      <w:r w:rsidR="00A34B63">
        <w:rPr>
          <w:rFonts w:ascii="Arial" w:eastAsia="Times New Roman" w:hAnsi="Arial" w:cs="Arial"/>
          <w:sz w:val="20"/>
          <w:szCs w:val="20"/>
        </w:rPr>
        <w:t>10.083,11</w:t>
      </w:r>
      <w:r w:rsidR="0086386B" w:rsidRPr="001A064B">
        <w:rPr>
          <w:rFonts w:ascii="Arial" w:eastAsia="Times New Roman" w:hAnsi="Arial" w:cs="Arial"/>
          <w:sz w:val="20"/>
          <w:szCs w:val="20"/>
        </w:rPr>
        <w:t xml:space="preserve"> €</w:t>
      </w:r>
      <w:r w:rsidRPr="001A064B">
        <w:rPr>
          <w:rFonts w:ascii="Arial" w:eastAsia="Times New Roman" w:hAnsi="Arial" w:cs="Arial"/>
          <w:sz w:val="20"/>
          <w:szCs w:val="20"/>
        </w:rPr>
        <w:t xml:space="preserve">, potraživanja za više plaćene poreze i doprinose </w:t>
      </w:r>
      <w:r w:rsidR="00A34B63">
        <w:rPr>
          <w:rFonts w:ascii="Arial" w:eastAsia="Times New Roman" w:hAnsi="Arial" w:cs="Arial"/>
          <w:sz w:val="20"/>
          <w:szCs w:val="20"/>
        </w:rPr>
        <w:t>0</w:t>
      </w:r>
      <w:r w:rsidR="0086386B" w:rsidRPr="001A064B">
        <w:rPr>
          <w:rFonts w:ascii="Arial" w:eastAsia="Times New Roman" w:hAnsi="Arial" w:cs="Arial"/>
          <w:sz w:val="20"/>
          <w:szCs w:val="20"/>
        </w:rPr>
        <w:t xml:space="preserve"> €</w:t>
      </w:r>
      <w:r w:rsidRPr="001A064B">
        <w:rPr>
          <w:rFonts w:ascii="Arial" w:eastAsia="Times New Roman" w:hAnsi="Arial" w:cs="Arial"/>
          <w:sz w:val="20"/>
          <w:szCs w:val="20"/>
        </w:rPr>
        <w:t>,</w:t>
      </w:r>
      <w:r w:rsidR="00BC5343" w:rsidRPr="001A064B">
        <w:rPr>
          <w:rFonts w:ascii="Arial" w:eastAsia="Times New Roman" w:hAnsi="Arial" w:cs="Arial"/>
          <w:sz w:val="20"/>
          <w:szCs w:val="20"/>
        </w:rPr>
        <w:t xml:space="preserve"> </w:t>
      </w:r>
      <w:r w:rsidRPr="001A064B">
        <w:rPr>
          <w:rFonts w:ascii="Arial" w:eastAsia="Times New Roman" w:hAnsi="Arial" w:cs="Arial"/>
          <w:sz w:val="20"/>
          <w:szCs w:val="20"/>
        </w:rPr>
        <w:t xml:space="preserve">te sveukupna potraživanja iznose </w:t>
      </w:r>
      <w:r w:rsidR="00A34B63">
        <w:rPr>
          <w:rFonts w:ascii="Arial" w:eastAsia="Times New Roman" w:hAnsi="Arial" w:cs="Arial"/>
          <w:b/>
          <w:sz w:val="20"/>
          <w:szCs w:val="20"/>
        </w:rPr>
        <w:t>394.550,07</w:t>
      </w:r>
      <w:r w:rsidR="00BC5343" w:rsidRPr="001A064B">
        <w:rPr>
          <w:rFonts w:ascii="Arial" w:eastAsia="Times New Roman" w:hAnsi="Arial" w:cs="Arial"/>
          <w:b/>
          <w:sz w:val="20"/>
          <w:szCs w:val="20"/>
        </w:rPr>
        <w:t xml:space="preserve"> €</w:t>
      </w:r>
      <w:r w:rsidRPr="001A064B">
        <w:rPr>
          <w:rFonts w:ascii="Arial" w:eastAsia="Times New Roman" w:hAnsi="Arial" w:cs="Arial"/>
          <w:sz w:val="20"/>
          <w:szCs w:val="20"/>
        </w:rPr>
        <w:t xml:space="preserve">. Od proračunskih korisnika, </w:t>
      </w:r>
      <w:r w:rsidR="00F97CF9" w:rsidRPr="001A064B">
        <w:rPr>
          <w:rFonts w:ascii="Arial" w:eastAsia="Times New Roman" w:hAnsi="Arial" w:cs="Arial"/>
          <w:sz w:val="20"/>
          <w:szCs w:val="20"/>
        </w:rPr>
        <w:t xml:space="preserve">koncem </w:t>
      </w:r>
      <w:r w:rsidR="00794016">
        <w:rPr>
          <w:rFonts w:ascii="Arial" w:eastAsia="Times New Roman" w:hAnsi="Arial" w:cs="Arial"/>
          <w:sz w:val="20"/>
          <w:szCs w:val="20"/>
        </w:rPr>
        <w:t>2024</w:t>
      </w:r>
      <w:r w:rsidR="00F97CF9" w:rsidRPr="001A064B">
        <w:rPr>
          <w:rFonts w:ascii="Arial" w:eastAsia="Times New Roman" w:hAnsi="Arial" w:cs="Arial"/>
          <w:sz w:val="20"/>
          <w:szCs w:val="20"/>
        </w:rPr>
        <w:t xml:space="preserve">. godine </w:t>
      </w:r>
      <w:r w:rsidRPr="001A064B">
        <w:rPr>
          <w:rFonts w:ascii="Arial" w:eastAsia="Times New Roman" w:hAnsi="Arial" w:cs="Arial"/>
          <w:sz w:val="20"/>
          <w:szCs w:val="20"/>
        </w:rPr>
        <w:t xml:space="preserve">samo je ustanova Muzeji i galerije Konavala iskazala ispravak vrijednosti potraživanja u iznosu </w:t>
      </w:r>
      <w:r w:rsidR="001A064B" w:rsidRPr="001A064B">
        <w:rPr>
          <w:rFonts w:ascii="Arial" w:eastAsia="Times New Roman" w:hAnsi="Arial" w:cs="Arial"/>
          <w:sz w:val="20"/>
          <w:szCs w:val="20"/>
        </w:rPr>
        <w:t>564,74</w:t>
      </w:r>
      <w:r w:rsidR="00F97CF9" w:rsidRPr="001A064B">
        <w:rPr>
          <w:rFonts w:ascii="Arial" w:eastAsia="Times New Roman" w:hAnsi="Arial" w:cs="Arial"/>
          <w:sz w:val="20"/>
          <w:szCs w:val="20"/>
        </w:rPr>
        <w:t xml:space="preserve"> €</w:t>
      </w:r>
      <w:r w:rsidRPr="001A064B">
        <w:rPr>
          <w:rFonts w:ascii="Arial" w:eastAsia="Times New Roman" w:hAnsi="Arial" w:cs="Arial"/>
          <w:sz w:val="20"/>
          <w:szCs w:val="20"/>
        </w:rPr>
        <w:t>.</w:t>
      </w:r>
      <w:r w:rsidR="00F97CF9" w:rsidRPr="001A064B">
        <w:rPr>
          <w:rFonts w:ascii="Arial" w:eastAsia="Times New Roman" w:hAnsi="Arial" w:cs="Arial"/>
          <w:sz w:val="20"/>
          <w:szCs w:val="20"/>
        </w:rPr>
        <w:t xml:space="preserve"> </w:t>
      </w:r>
      <w:r w:rsidR="00794016">
        <w:rPr>
          <w:rFonts w:ascii="Arial" w:eastAsia="Times New Roman" w:hAnsi="Arial" w:cs="Arial"/>
          <w:sz w:val="20"/>
          <w:szCs w:val="20"/>
        </w:rPr>
        <w:t>Ispravak vrijednosti koncem lipnja 2025. nije prikazan.</w:t>
      </w:r>
    </w:p>
    <w:p w14:paraId="38E61A95" w14:textId="77777777" w:rsidR="00EA65B3" w:rsidRPr="001A064B" w:rsidRDefault="00EA65B3" w:rsidP="00EA65B3">
      <w:pPr>
        <w:spacing w:after="0" w:line="240" w:lineRule="auto"/>
        <w:jc w:val="both"/>
        <w:rPr>
          <w:rFonts w:ascii="Arial" w:eastAsia="Times New Roman" w:hAnsi="Arial" w:cs="Arial"/>
          <w:sz w:val="20"/>
          <w:szCs w:val="20"/>
        </w:rPr>
      </w:pPr>
    </w:p>
    <w:bookmarkEnd w:id="430"/>
    <w:p w14:paraId="6E96A343" w14:textId="7EE57E1B" w:rsidR="00EA65B3" w:rsidRPr="001A064B" w:rsidRDefault="00EA65B3" w:rsidP="00EA65B3">
      <w:pPr>
        <w:spacing w:after="0" w:line="240" w:lineRule="auto"/>
        <w:jc w:val="both"/>
        <w:rPr>
          <w:rFonts w:ascii="Arial" w:eastAsia="Times New Roman" w:hAnsi="Arial" w:cs="Arial"/>
          <w:sz w:val="20"/>
          <w:szCs w:val="20"/>
        </w:rPr>
      </w:pPr>
      <w:r w:rsidRPr="001A064B">
        <w:rPr>
          <w:rFonts w:ascii="Arial" w:eastAsia="Times New Roman" w:hAnsi="Arial" w:cs="Arial"/>
          <w:b/>
          <w:bCs/>
          <w:sz w:val="20"/>
          <w:szCs w:val="20"/>
        </w:rPr>
        <w:t>Konsolidirana potraživanja</w:t>
      </w:r>
      <w:r w:rsidRPr="001A064B">
        <w:rPr>
          <w:rFonts w:ascii="Arial" w:eastAsia="Times New Roman" w:hAnsi="Arial" w:cs="Arial"/>
          <w:sz w:val="20"/>
          <w:szCs w:val="20"/>
        </w:rPr>
        <w:t xml:space="preserve"> za prihode poslovanja (16), prihode od prodaje nefinancijske imovine (17), te druga potraživanja (12) iznose </w:t>
      </w:r>
      <w:r w:rsidR="00A34B63">
        <w:rPr>
          <w:rFonts w:ascii="Arial" w:eastAsia="Times New Roman" w:hAnsi="Arial" w:cs="Arial"/>
          <w:b/>
          <w:bCs/>
          <w:sz w:val="20"/>
          <w:szCs w:val="20"/>
        </w:rPr>
        <w:t>2.258.743,36</w:t>
      </w:r>
      <w:r w:rsidR="00F97CF9" w:rsidRPr="001A064B">
        <w:rPr>
          <w:rFonts w:ascii="Arial" w:eastAsia="Times New Roman" w:hAnsi="Arial" w:cs="Arial"/>
          <w:b/>
          <w:bCs/>
          <w:sz w:val="20"/>
          <w:szCs w:val="20"/>
        </w:rPr>
        <w:t xml:space="preserve"> €</w:t>
      </w:r>
      <w:r w:rsidRPr="001A064B">
        <w:rPr>
          <w:rFonts w:ascii="Arial" w:eastAsia="Times New Roman" w:hAnsi="Arial" w:cs="Arial"/>
          <w:sz w:val="20"/>
          <w:szCs w:val="20"/>
        </w:rPr>
        <w:t xml:space="preserve"> </w:t>
      </w:r>
      <w:r w:rsidRPr="001A064B">
        <w:rPr>
          <w:rFonts w:ascii="Arial" w:eastAsia="Times New Roman" w:hAnsi="Arial" w:cs="Arial"/>
          <w:b/>
          <w:bCs/>
          <w:sz w:val="20"/>
          <w:szCs w:val="20"/>
        </w:rPr>
        <w:t xml:space="preserve">bez </w:t>
      </w:r>
      <w:bookmarkStart w:id="432" w:name="_Hlk115074100"/>
      <w:bookmarkEnd w:id="431"/>
      <w:r w:rsidRPr="001A064B">
        <w:rPr>
          <w:rFonts w:ascii="Arial" w:eastAsia="Times New Roman" w:hAnsi="Arial" w:cs="Arial"/>
          <w:b/>
          <w:bCs/>
          <w:sz w:val="20"/>
          <w:szCs w:val="20"/>
        </w:rPr>
        <w:t>ispravka vrijednosti</w:t>
      </w:r>
      <w:r w:rsidRPr="001A064B">
        <w:rPr>
          <w:rFonts w:ascii="Arial" w:eastAsia="Times New Roman" w:hAnsi="Arial" w:cs="Arial"/>
          <w:sz w:val="20"/>
          <w:szCs w:val="20"/>
        </w:rPr>
        <w:t xml:space="preserve"> (potraživanja umanjena za potraživanja proračunskih korisnika za naplaćene prihode putem proračunske riznice u iznosu </w:t>
      </w:r>
      <w:r w:rsidR="00A34B63">
        <w:rPr>
          <w:rFonts w:ascii="Arial" w:eastAsia="Times New Roman" w:hAnsi="Arial" w:cs="Arial"/>
          <w:sz w:val="20"/>
          <w:szCs w:val="20"/>
        </w:rPr>
        <w:t>316.459,55</w:t>
      </w:r>
      <w:r w:rsidR="00F97CF9" w:rsidRPr="001A064B">
        <w:rPr>
          <w:rFonts w:ascii="Arial" w:eastAsia="Times New Roman" w:hAnsi="Arial" w:cs="Arial"/>
          <w:sz w:val="20"/>
          <w:szCs w:val="20"/>
        </w:rPr>
        <w:t xml:space="preserve"> €</w:t>
      </w:r>
      <w:r w:rsidR="001A064B" w:rsidRPr="001A064B">
        <w:rPr>
          <w:rFonts w:ascii="Arial" w:eastAsia="Times New Roman" w:hAnsi="Arial" w:cs="Arial"/>
          <w:sz w:val="20"/>
          <w:szCs w:val="20"/>
        </w:rPr>
        <w:t xml:space="preserve"> i za potraživanja od proračunskih korisnika za povrat u proračun u iznosu </w:t>
      </w:r>
      <w:r w:rsidR="00A34B63">
        <w:rPr>
          <w:rFonts w:ascii="Arial" w:eastAsia="Times New Roman" w:hAnsi="Arial" w:cs="Arial"/>
          <w:sz w:val="20"/>
          <w:szCs w:val="20"/>
        </w:rPr>
        <w:t>0</w:t>
      </w:r>
      <w:r w:rsidR="001A064B" w:rsidRPr="001A064B">
        <w:rPr>
          <w:rFonts w:ascii="Arial" w:eastAsia="Times New Roman" w:hAnsi="Arial" w:cs="Arial"/>
          <w:sz w:val="20"/>
          <w:szCs w:val="20"/>
        </w:rPr>
        <w:t xml:space="preserve"> €</w:t>
      </w:r>
      <w:r w:rsidRPr="001A064B">
        <w:rPr>
          <w:rFonts w:ascii="Arial" w:eastAsia="Times New Roman" w:hAnsi="Arial" w:cs="Arial"/>
          <w:sz w:val="20"/>
          <w:szCs w:val="20"/>
        </w:rPr>
        <w:t>).</w:t>
      </w:r>
      <w:bookmarkEnd w:id="432"/>
    </w:p>
    <w:p w14:paraId="045471F0" w14:textId="53761ED4" w:rsidR="00EA65B3" w:rsidRPr="001A064B" w:rsidRDefault="00EA65B3" w:rsidP="00EA65B3">
      <w:pPr>
        <w:spacing w:after="0" w:line="240" w:lineRule="auto"/>
        <w:jc w:val="both"/>
        <w:rPr>
          <w:rFonts w:ascii="Arial" w:eastAsia="Times New Roman" w:hAnsi="Arial" w:cs="Arial"/>
          <w:sz w:val="20"/>
          <w:szCs w:val="20"/>
        </w:rPr>
      </w:pPr>
      <w:r w:rsidRPr="001A064B">
        <w:rPr>
          <w:rFonts w:ascii="Arial" w:eastAsia="Times New Roman" w:hAnsi="Arial" w:cs="Arial"/>
          <w:sz w:val="20"/>
          <w:szCs w:val="20"/>
        </w:rPr>
        <w:t xml:space="preserve">U slijedećoj tablici daje se zbirno stanje potraživanja Općine i proračunskih korisnika na dan </w:t>
      </w:r>
      <w:r w:rsidR="00A34B63">
        <w:rPr>
          <w:rFonts w:ascii="Arial" w:eastAsia="Times New Roman" w:hAnsi="Arial" w:cs="Arial"/>
          <w:sz w:val="20"/>
          <w:szCs w:val="20"/>
        </w:rPr>
        <w:t>30.06.2025</w:t>
      </w:r>
      <w:r w:rsidRPr="001A064B">
        <w:rPr>
          <w:rFonts w:ascii="Arial" w:eastAsia="Times New Roman" w:hAnsi="Arial" w:cs="Arial"/>
          <w:sz w:val="20"/>
          <w:szCs w:val="20"/>
        </w:rPr>
        <w:t xml:space="preserve">. Ispravci potraživanja koja uzimaju vrijeme kašnjenja plaćanja, a prema odredbama članka 37.a Pravilnika o proračunskom računovodstvu i Računskom planu (NN 124/14, 115/15, 87/16, 3/18, 126/19, 108/20), </w:t>
      </w:r>
      <w:r w:rsidR="00F97CF9" w:rsidRPr="001A064B">
        <w:rPr>
          <w:rFonts w:ascii="Arial" w:eastAsia="Times New Roman" w:hAnsi="Arial" w:cs="Arial"/>
          <w:sz w:val="20"/>
          <w:szCs w:val="20"/>
        </w:rPr>
        <w:t>koncem 202</w:t>
      </w:r>
      <w:r w:rsidR="001A064B" w:rsidRPr="001A064B">
        <w:rPr>
          <w:rFonts w:ascii="Arial" w:eastAsia="Times New Roman" w:hAnsi="Arial" w:cs="Arial"/>
          <w:sz w:val="20"/>
          <w:szCs w:val="20"/>
        </w:rPr>
        <w:t>4</w:t>
      </w:r>
      <w:r w:rsidR="00F97CF9" w:rsidRPr="001A064B">
        <w:rPr>
          <w:rFonts w:ascii="Arial" w:eastAsia="Times New Roman" w:hAnsi="Arial" w:cs="Arial"/>
          <w:sz w:val="20"/>
          <w:szCs w:val="20"/>
        </w:rPr>
        <w:t xml:space="preserve">. su </w:t>
      </w:r>
      <w:r w:rsidR="00A34B63">
        <w:rPr>
          <w:rFonts w:ascii="Arial" w:eastAsia="Times New Roman" w:hAnsi="Arial" w:cs="Arial"/>
          <w:sz w:val="20"/>
          <w:szCs w:val="20"/>
        </w:rPr>
        <w:t xml:space="preserve">bila </w:t>
      </w:r>
      <w:r w:rsidRPr="001A064B">
        <w:rPr>
          <w:rFonts w:ascii="Arial" w:eastAsia="Times New Roman" w:hAnsi="Arial" w:cs="Arial"/>
          <w:sz w:val="20"/>
          <w:szCs w:val="20"/>
        </w:rPr>
        <w:t xml:space="preserve">iskazana sveukupno u iznosu </w:t>
      </w:r>
      <w:r w:rsidR="001A064B" w:rsidRPr="001A064B">
        <w:rPr>
          <w:rFonts w:ascii="Arial" w:eastAsia="Times New Roman" w:hAnsi="Arial" w:cs="Arial"/>
          <w:sz w:val="20"/>
          <w:szCs w:val="20"/>
        </w:rPr>
        <w:t>431.801,42 €</w:t>
      </w:r>
      <w:r w:rsidR="00A34B63">
        <w:rPr>
          <w:rFonts w:ascii="Arial" w:eastAsia="Times New Roman" w:hAnsi="Arial" w:cs="Arial"/>
          <w:sz w:val="20"/>
          <w:szCs w:val="20"/>
        </w:rPr>
        <w:t xml:space="preserve">, a koncem lipnja 2025. </w:t>
      </w:r>
      <w:r w:rsidR="00794016">
        <w:rPr>
          <w:rFonts w:ascii="Arial" w:eastAsia="Times New Roman" w:hAnsi="Arial" w:cs="Arial"/>
          <w:sz w:val="20"/>
          <w:szCs w:val="20"/>
        </w:rPr>
        <w:t>nisu prikazana</w:t>
      </w:r>
      <w:r w:rsidR="00A34B63">
        <w:rPr>
          <w:rFonts w:ascii="Arial" w:eastAsia="Times New Roman" w:hAnsi="Arial" w:cs="Arial"/>
          <w:sz w:val="20"/>
          <w:szCs w:val="20"/>
        </w:rPr>
        <w:t xml:space="preserve"> u tablici.</w:t>
      </w:r>
    </w:p>
    <w:p w14:paraId="7158DC1C" w14:textId="77777777" w:rsidR="00A10402" w:rsidRDefault="00A10402" w:rsidP="00EA65B3">
      <w:pPr>
        <w:spacing w:after="0" w:line="240" w:lineRule="auto"/>
        <w:jc w:val="both"/>
        <w:rPr>
          <w:rFonts w:ascii="Arial" w:eastAsia="Times New Roman" w:hAnsi="Arial" w:cs="Arial"/>
          <w:sz w:val="20"/>
          <w:szCs w:val="20"/>
        </w:rPr>
      </w:pPr>
    </w:p>
    <w:p w14:paraId="4C749614" w14:textId="77777777" w:rsidR="001A064B" w:rsidRDefault="001A064B" w:rsidP="00EA65B3">
      <w:pPr>
        <w:spacing w:after="0" w:line="240" w:lineRule="auto"/>
        <w:jc w:val="both"/>
        <w:rPr>
          <w:rFonts w:ascii="Arial" w:eastAsia="Times New Roman" w:hAnsi="Arial" w:cs="Arial"/>
          <w:sz w:val="20"/>
          <w:szCs w:val="20"/>
        </w:rPr>
      </w:pPr>
    </w:p>
    <w:p w14:paraId="50F9B9D4" w14:textId="77777777" w:rsidR="001A064B" w:rsidRDefault="001A064B" w:rsidP="00EA65B3">
      <w:pPr>
        <w:spacing w:after="0" w:line="240" w:lineRule="auto"/>
        <w:jc w:val="both"/>
        <w:rPr>
          <w:rFonts w:ascii="Arial" w:eastAsia="Times New Roman" w:hAnsi="Arial" w:cs="Arial"/>
          <w:sz w:val="20"/>
          <w:szCs w:val="20"/>
        </w:rPr>
      </w:pPr>
    </w:p>
    <w:p w14:paraId="31DC5E7D" w14:textId="77777777" w:rsidR="001A064B" w:rsidRDefault="001A064B" w:rsidP="00EA65B3">
      <w:pPr>
        <w:spacing w:after="0" w:line="240" w:lineRule="auto"/>
        <w:jc w:val="both"/>
        <w:rPr>
          <w:rFonts w:ascii="Arial" w:eastAsia="Times New Roman" w:hAnsi="Arial" w:cs="Arial"/>
          <w:sz w:val="20"/>
          <w:szCs w:val="20"/>
        </w:rPr>
      </w:pPr>
    </w:p>
    <w:p w14:paraId="389FD7CB" w14:textId="77777777" w:rsidR="001A064B" w:rsidRDefault="001A064B" w:rsidP="00EA65B3">
      <w:pPr>
        <w:spacing w:after="0" w:line="240" w:lineRule="auto"/>
        <w:jc w:val="both"/>
        <w:rPr>
          <w:rFonts w:ascii="Arial" w:eastAsia="Times New Roman" w:hAnsi="Arial" w:cs="Arial"/>
          <w:sz w:val="20"/>
          <w:szCs w:val="20"/>
        </w:rPr>
      </w:pPr>
    </w:p>
    <w:p w14:paraId="251239A2" w14:textId="77777777" w:rsidR="001A064B" w:rsidRDefault="001A064B" w:rsidP="00EA65B3">
      <w:pPr>
        <w:spacing w:after="0" w:line="240" w:lineRule="auto"/>
        <w:jc w:val="both"/>
        <w:rPr>
          <w:rFonts w:ascii="Arial" w:eastAsia="Times New Roman" w:hAnsi="Arial" w:cs="Arial"/>
          <w:sz w:val="20"/>
          <w:szCs w:val="20"/>
        </w:rPr>
      </w:pPr>
    </w:p>
    <w:p w14:paraId="3674690C" w14:textId="77777777" w:rsidR="001A064B" w:rsidRDefault="001A064B" w:rsidP="00EA65B3">
      <w:pPr>
        <w:spacing w:after="0" w:line="240" w:lineRule="auto"/>
        <w:jc w:val="both"/>
        <w:rPr>
          <w:rFonts w:ascii="Arial" w:eastAsia="Times New Roman" w:hAnsi="Arial" w:cs="Arial"/>
          <w:sz w:val="20"/>
          <w:szCs w:val="20"/>
        </w:rPr>
      </w:pPr>
    </w:p>
    <w:p w14:paraId="59556791" w14:textId="77777777" w:rsidR="001A064B" w:rsidRDefault="001A064B" w:rsidP="00EA65B3">
      <w:pPr>
        <w:spacing w:after="0" w:line="240" w:lineRule="auto"/>
        <w:jc w:val="both"/>
        <w:rPr>
          <w:rFonts w:ascii="Arial" w:eastAsia="Times New Roman" w:hAnsi="Arial" w:cs="Arial"/>
          <w:sz w:val="20"/>
          <w:szCs w:val="20"/>
        </w:rPr>
      </w:pPr>
    </w:p>
    <w:p w14:paraId="57B5116E" w14:textId="77777777" w:rsidR="001A064B" w:rsidRDefault="001A064B" w:rsidP="00EA65B3">
      <w:pPr>
        <w:spacing w:after="0" w:line="240" w:lineRule="auto"/>
        <w:jc w:val="both"/>
        <w:rPr>
          <w:rFonts w:ascii="Arial" w:eastAsia="Times New Roman" w:hAnsi="Arial" w:cs="Arial"/>
          <w:sz w:val="20"/>
          <w:szCs w:val="20"/>
        </w:rPr>
      </w:pPr>
    </w:p>
    <w:p w14:paraId="425BE6CC" w14:textId="77777777" w:rsidR="001A064B" w:rsidRDefault="001A064B" w:rsidP="00EA65B3">
      <w:pPr>
        <w:spacing w:after="0" w:line="240" w:lineRule="auto"/>
        <w:jc w:val="both"/>
        <w:rPr>
          <w:rFonts w:ascii="Arial" w:eastAsia="Times New Roman" w:hAnsi="Arial" w:cs="Arial"/>
          <w:sz w:val="20"/>
          <w:szCs w:val="20"/>
        </w:rPr>
      </w:pPr>
    </w:p>
    <w:p w14:paraId="2F5F4B41" w14:textId="77777777" w:rsidR="001A064B" w:rsidRDefault="001A064B" w:rsidP="00EA65B3">
      <w:pPr>
        <w:spacing w:after="0" w:line="240" w:lineRule="auto"/>
        <w:jc w:val="both"/>
        <w:rPr>
          <w:rFonts w:ascii="Arial" w:eastAsia="Times New Roman" w:hAnsi="Arial" w:cs="Arial"/>
          <w:sz w:val="20"/>
          <w:szCs w:val="20"/>
        </w:rPr>
      </w:pPr>
    </w:p>
    <w:p w14:paraId="084BB594" w14:textId="77777777" w:rsidR="001A064B" w:rsidRDefault="001A064B" w:rsidP="00EA65B3">
      <w:pPr>
        <w:spacing w:after="0" w:line="240" w:lineRule="auto"/>
        <w:jc w:val="both"/>
        <w:rPr>
          <w:rFonts w:ascii="Arial" w:eastAsia="Times New Roman" w:hAnsi="Arial" w:cs="Arial"/>
          <w:sz w:val="20"/>
          <w:szCs w:val="20"/>
        </w:rPr>
      </w:pPr>
    </w:p>
    <w:p w14:paraId="4043F6DE" w14:textId="77777777" w:rsidR="001A064B" w:rsidRDefault="001A064B" w:rsidP="00EA65B3">
      <w:pPr>
        <w:spacing w:after="0" w:line="240" w:lineRule="auto"/>
        <w:jc w:val="both"/>
        <w:rPr>
          <w:rFonts w:ascii="Arial" w:eastAsia="Times New Roman" w:hAnsi="Arial" w:cs="Arial"/>
          <w:sz w:val="20"/>
          <w:szCs w:val="20"/>
        </w:rPr>
      </w:pPr>
    </w:p>
    <w:p w14:paraId="7A8CA9F3" w14:textId="77777777" w:rsidR="001A064B" w:rsidRDefault="001A064B" w:rsidP="00EA65B3">
      <w:pPr>
        <w:spacing w:after="0" w:line="240" w:lineRule="auto"/>
        <w:jc w:val="both"/>
        <w:rPr>
          <w:rFonts w:ascii="Arial" w:eastAsia="Times New Roman" w:hAnsi="Arial" w:cs="Arial"/>
          <w:sz w:val="20"/>
          <w:szCs w:val="20"/>
        </w:rPr>
      </w:pPr>
    </w:p>
    <w:p w14:paraId="32646F77" w14:textId="77777777" w:rsidR="001A064B" w:rsidRDefault="001A064B" w:rsidP="00EA65B3">
      <w:pPr>
        <w:spacing w:after="0" w:line="240" w:lineRule="auto"/>
        <w:jc w:val="both"/>
        <w:rPr>
          <w:rFonts w:ascii="Arial" w:eastAsia="Times New Roman" w:hAnsi="Arial" w:cs="Arial"/>
          <w:sz w:val="20"/>
          <w:szCs w:val="20"/>
        </w:rPr>
      </w:pPr>
    </w:p>
    <w:p w14:paraId="76BA7DB6" w14:textId="77777777" w:rsidR="001A064B" w:rsidRDefault="001A064B" w:rsidP="00EA65B3">
      <w:pPr>
        <w:spacing w:after="0" w:line="240" w:lineRule="auto"/>
        <w:jc w:val="both"/>
        <w:rPr>
          <w:rFonts w:ascii="Arial" w:eastAsia="Times New Roman" w:hAnsi="Arial" w:cs="Arial"/>
          <w:sz w:val="20"/>
          <w:szCs w:val="20"/>
        </w:rPr>
      </w:pPr>
    </w:p>
    <w:p w14:paraId="5781DB37" w14:textId="77777777" w:rsidR="001A064B" w:rsidRPr="003A2F86" w:rsidRDefault="001A064B" w:rsidP="00EA65B3">
      <w:pPr>
        <w:spacing w:after="0" w:line="240" w:lineRule="auto"/>
        <w:jc w:val="both"/>
        <w:rPr>
          <w:rFonts w:ascii="Arial" w:eastAsia="Times New Roman" w:hAnsi="Arial" w:cs="Arial"/>
          <w:sz w:val="20"/>
          <w:szCs w:val="20"/>
        </w:rPr>
      </w:pPr>
    </w:p>
    <w:p w14:paraId="3EDB882F" w14:textId="041CEED7" w:rsidR="00EA65B3" w:rsidRPr="003A2F86" w:rsidRDefault="00EA65B3" w:rsidP="00EA65B3">
      <w:pPr>
        <w:pStyle w:val="Opisslike"/>
        <w:keepNext/>
        <w:jc w:val="both"/>
        <w:rPr>
          <w:rFonts w:ascii="Arial" w:hAnsi="Arial" w:cs="Arial"/>
          <w:bCs w:val="0"/>
          <w:iCs/>
        </w:rPr>
      </w:pPr>
      <w:bookmarkStart w:id="433" w:name="_Toc207707000"/>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36</w:t>
      </w:r>
      <w:r w:rsidRPr="003A2F86">
        <w:rPr>
          <w:noProof/>
          <w:color w:val="FF0000"/>
        </w:rPr>
        <w:fldChar w:fldCharType="end"/>
      </w:r>
      <w:r w:rsidRPr="003A2F86">
        <w:rPr>
          <w:color w:val="FF0000"/>
        </w:rPr>
        <w:t>.:</w:t>
      </w:r>
      <w:r w:rsidRPr="003A2F86">
        <w:t xml:space="preserve"> </w:t>
      </w:r>
      <w:r w:rsidRPr="003A2F86">
        <w:rPr>
          <w:rFonts w:ascii="Arial" w:hAnsi="Arial" w:cs="Arial"/>
          <w:bCs w:val="0"/>
          <w:iCs/>
        </w:rPr>
        <w:t xml:space="preserve">Pregled potraživanja na dan </w:t>
      </w:r>
      <w:r w:rsidR="00A34B63">
        <w:rPr>
          <w:rFonts w:ascii="Arial" w:hAnsi="Arial" w:cs="Arial"/>
          <w:bCs w:val="0"/>
          <w:iCs/>
        </w:rPr>
        <w:t>30.06.2025</w:t>
      </w:r>
      <w:r w:rsidRPr="003A2F86">
        <w:rPr>
          <w:rFonts w:ascii="Arial" w:hAnsi="Arial" w:cs="Arial"/>
          <w:bCs w:val="0"/>
          <w:iCs/>
        </w:rPr>
        <w:t>. – Općina i proračunski korisnici</w:t>
      </w:r>
      <w:bookmarkEnd w:id="433"/>
    </w:p>
    <w:p w14:paraId="5D179ECE" w14:textId="1E05C989" w:rsidR="00EA65B3" w:rsidRPr="003A2F86" w:rsidRDefault="00EA65B3" w:rsidP="00A10402">
      <w:pPr>
        <w:spacing w:after="0" w:line="240" w:lineRule="auto"/>
        <w:jc w:val="center"/>
        <w:rPr>
          <w:noProof/>
        </w:rPr>
      </w:pPr>
    </w:p>
    <w:p w14:paraId="1A047D61" w14:textId="58776719" w:rsidR="00551237" w:rsidRDefault="00CA75F1" w:rsidP="00EA65B3">
      <w:pPr>
        <w:spacing w:after="0" w:line="240" w:lineRule="auto"/>
        <w:jc w:val="both"/>
        <w:rPr>
          <w:noProof/>
        </w:rPr>
      </w:pPr>
      <w:r w:rsidRPr="00CA75F1">
        <w:rPr>
          <w:noProof/>
        </w:rPr>
        <w:drawing>
          <wp:inline distT="0" distB="0" distL="0" distR="0" wp14:anchorId="3244C352" wp14:editId="5199BE64">
            <wp:extent cx="8353425" cy="4214005"/>
            <wp:effectExtent l="0" t="0" r="0" b="0"/>
            <wp:docPr id="54560788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353917" cy="4214253"/>
                    </a:xfrm>
                    <a:prstGeom prst="rect">
                      <a:avLst/>
                    </a:prstGeom>
                    <a:noFill/>
                    <a:ln>
                      <a:noFill/>
                    </a:ln>
                  </pic:spPr>
                </pic:pic>
              </a:graphicData>
            </a:graphic>
          </wp:inline>
        </w:drawing>
      </w:r>
    </w:p>
    <w:p w14:paraId="2669B792" w14:textId="71F0D8BF" w:rsidR="00CA75F1" w:rsidRDefault="00CA75F1" w:rsidP="00CA75F1">
      <w:pPr>
        <w:spacing w:after="0" w:line="240" w:lineRule="auto"/>
        <w:jc w:val="center"/>
        <w:rPr>
          <w:noProof/>
        </w:rPr>
      </w:pPr>
      <w:r w:rsidRPr="00CA75F1">
        <w:rPr>
          <w:noProof/>
        </w:rPr>
        <w:lastRenderedPageBreak/>
        <w:drawing>
          <wp:inline distT="0" distB="0" distL="0" distR="0" wp14:anchorId="63F91C03" wp14:editId="5FF5C0C3">
            <wp:extent cx="7237095" cy="6156325"/>
            <wp:effectExtent l="0" t="0" r="1905" b="0"/>
            <wp:docPr id="582280189"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237095" cy="6156325"/>
                    </a:xfrm>
                    <a:prstGeom prst="rect">
                      <a:avLst/>
                    </a:prstGeom>
                    <a:noFill/>
                    <a:ln>
                      <a:noFill/>
                    </a:ln>
                  </pic:spPr>
                </pic:pic>
              </a:graphicData>
            </a:graphic>
          </wp:inline>
        </w:drawing>
      </w:r>
    </w:p>
    <w:p w14:paraId="5D55356A" w14:textId="16D912EC" w:rsidR="00CA75F1" w:rsidRDefault="00CA75F1" w:rsidP="00CA75F1">
      <w:pPr>
        <w:spacing w:after="0" w:line="240" w:lineRule="auto"/>
        <w:jc w:val="center"/>
        <w:rPr>
          <w:noProof/>
        </w:rPr>
      </w:pPr>
      <w:r w:rsidRPr="00CA75F1">
        <w:rPr>
          <w:noProof/>
        </w:rPr>
        <w:lastRenderedPageBreak/>
        <w:drawing>
          <wp:inline distT="0" distB="0" distL="0" distR="0" wp14:anchorId="15BE4B89" wp14:editId="4F506118">
            <wp:extent cx="7115175" cy="2185757"/>
            <wp:effectExtent l="0" t="0" r="0" b="5080"/>
            <wp:docPr id="141023547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141996" cy="2193996"/>
                    </a:xfrm>
                    <a:prstGeom prst="rect">
                      <a:avLst/>
                    </a:prstGeom>
                    <a:noFill/>
                    <a:ln>
                      <a:noFill/>
                    </a:ln>
                  </pic:spPr>
                </pic:pic>
              </a:graphicData>
            </a:graphic>
          </wp:inline>
        </w:drawing>
      </w:r>
    </w:p>
    <w:p w14:paraId="7631B1B4" w14:textId="77777777" w:rsidR="00CA75F1" w:rsidRPr="003A2F86" w:rsidRDefault="00CA75F1" w:rsidP="00EA65B3">
      <w:pPr>
        <w:spacing w:after="0" w:line="240" w:lineRule="auto"/>
        <w:jc w:val="both"/>
        <w:rPr>
          <w:noProof/>
        </w:rPr>
      </w:pPr>
    </w:p>
    <w:p w14:paraId="1509CD5E" w14:textId="1C505F62" w:rsidR="00DA73AE" w:rsidRPr="003A2F86" w:rsidRDefault="00DA73AE">
      <w:r w:rsidRPr="003A2F86">
        <w:br w:type="page"/>
      </w:r>
    </w:p>
    <w:p w14:paraId="5267EA33" w14:textId="77777777" w:rsidR="00DA73AE" w:rsidRPr="00551237" w:rsidRDefault="00DA73AE" w:rsidP="00EA65B3">
      <w:pPr>
        <w:spacing w:after="0" w:line="240" w:lineRule="auto"/>
        <w:jc w:val="both"/>
      </w:pPr>
    </w:p>
    <w:p w14:paraId="36FCA8DA" w14:textId="5728FB22" w:rsidR="00EA65B3" w:rsidRPr="00551237" w:rsidRDefault="00FC0E6E" w:rsidP="008F05E4">
      <w:pPr>
        <w:pStyle w:val="Naslov3"/>
        <w:jc w:val="center"/>
        <w:rPr>
          <w:rFonts w:ascii="Arial" w:hAnsi="Arial" w:cs="Arial"/>
          <w:sz w:val="22"/>
          <w:szCs w:val="22"/>
          <w:lang w:val="hr-HR"/>
        </w:rPr>
      </w:pPr>
      <w:bookmarkStart w:id="434" w:name="_Toc207707496"/>
      <w:r w:rsidRPr="00551237">
        <w:rPr>
          <w:rFonts w:ascii="Arial" w:hAnsi="Arial" w:cs="Arial"/>
          <w:sz w:val="22"/>
          <w:szCs w:val="22"/>
          <w:lang w:val="hr-HR"/>
        </w:rPr>
        <w:t>4.</w:t>
      </w:r>
      <w:r w:rsidR="00A10402" w:rsidRPr="00551237">
        <w:rPr>
          <w:rFonts w:ascii="Arial" w:hAnsi="Arial" w:cs="Arial"/>
          <w:sz w:val="22"/>
          <w:szCs w:val="22"/>
          <w:lang w:val="hr-HR"/>
        </w:rPr>
        <w:t>6.2</w:t>
      </w:r>
      <w:r w:rsidRPr="00551237">
        <w:rPr>
          <w:rFonts w:ascii="Arial" w:hAnsi="Arial" w:cs="Arial"/>
          <w:sz w:val="22"/>
          <w:szCs w:val="22"/>
          <w:lang w:val="hr-HR"/>
        </w:rPr>
        <w:t>.</w:t>
      </w:r>
      <w:r w:rsidR="00EA65B3" w:rsidRPr="00551237">
        <w:rPr>
          <w:rFonts w:ascii="Arial" w:hAnsi="Arial" w:cs="Arial"/>
          <w:sz w:val="22"/>
          <w:szCs w:val="22"/>
          <w:lang w:val="hr-HR"/>
        </w:rPr>
        <w:tab/>
      </w:r>
      <w:bookmarkStart w:id="435" w:name="Obveze"/>
      <w:bookmarkEnd w:id="435"/>
      <w:r w:rsidR="00EA65B3" w:rsidRPr="00551237">
        <w:rPr>
          <w:rFonts w:ascii="Arial" w:hAnsi="Arial" w:cs="Arial"/>
          <w:sz w:val="22"/>
          <w:szCs w:val="22"/>
          <w:lang w:val="hr-HR"/>
        </w:rPr>
        <w:t>PREGLED UKUPNIH OBVEZA I STANJE NEPODMIRENIH DOSPJELIH OBVEZA</w:t>
      </w:r>
      <w:bookmarkEnd w:id="434"/>
    </w:p>
    <w:p w14:paraId="15E68565" w14:textId="77777777" w:rsidR="00EA65B3" w:rsidRPr="00C6075C" w:rsidRDefault="00EA65B3" w:rsidP="00EA65B3">
      <w:pPr>
        <w:autoSpaceDE w:val="0"/>
        <w:autoSpaceDN w:val="0"/>
        <w:adjustRightInd w:val="0"/>
        <w:spacing w:after="0" w:line="240" w:lineRule="auto"/>
        <w:jc w:val="both"/>
        <w:rPr>
          <w:rFonts w:ascii="Arial" w:eastAsia="Times New Roman" w:hAnsi="Arial" w:cs="Arial"/>
        </w:rPr>
      </w:pPr>
    </w:p>
    <w:p w14:paraId="47983122" w14:textId="3BEC2D80" w:rsidR="00EA65B3" w:rsidRPr="00C6075C" w:rsidRDefault="00EA65B3" w:rsidP="00EA65B3">
      <w:pPr>
        <w:spacing w:after="0" w:line="240" w:lineRule="auto"/>
        <w:jc w:val="both"/>
        <w:rPr>
          <w:rFonts w:ascii="Arial" w:eastAsia="Times New Roman" w:hAnsi="Arial" w:cs="Arial"/>
          <w:sz w:val="20"/>
          <w:szCs w:val="20"/>
        </w:rPr>
      </w:pPr>
      <w:bookmarkStart w:id="436" w:name="_Hlk166669308"/>
      <w:r w:rsidRPr="00C6075C">
        <w:rPr>
          <w:rFonts w:ascii="Arial" w:eastAsia="Times New Roman" w:hAnsi="Arial" w:cs="Arial"/>
          <w:b/>
          <w:sz w:val="20"/>
          <w:szCs w:val="20"/>
        </w:rPr>
        <w:t>Obveze Općine</w:t>
      </w:r>
      <w:r w:rsidRPr="00C6075C">
        <w:rPr>
          <w:rFonts w:ascii="Arial" w:eastAsia="Times New Roman" w:hAnsi="Arial" w:cs="Arial"/>
          <w:sz w:val="20"/>
          <w:szCs w:val="20"/>
        </w:rPr>
        <w:t xml:space="preserve"> za rashode poslovanja (23) i rashode za nabavu nefinancijske imovine (24) iznose </w:t>
      </w:r>
      <w:r w:rsidR="00CA75F1">
        <w:rPr>
          <w:rFonts w:ascii="Arial" w:eastAsia="Times New Roman" w:hAnsi="Arial" w:cs="Arial"/>
          <w:sz w:val="20"/>
          <w:szCs w:val="20"/>
        </w:rPr>
        <w:t>1.864.429,99</w:t>
      </w:r>
      <w:r w:rsidRPr="00C6075C">
        <w:rPr>
          <w:rFonts w:ascii="Arial" w:eastAsia="Times New Roman" w:hAnsi="Arial" w:cs="Arial"/>
          <w:sz w:val="20"/>
          <w:szCs w:val="20"/>
        </w:rPr>
        <w:t xml:space="preserve"> €, a obveze za kredite </w:t>
      </w:r>
      <w:r w:rsidR="00CA75F1">
        <w:rPr>
          <w:rFonts w:ascii="Arial" w:eastAsia="Times New Roman" w:hAnsi="Arial" w:cs="Arial"/>
          <w:sz w:val="20"/>
          <w:szCs w:val="20"/>
        </w:rPr>
        <w:t>(26) iznose 2.883.721,68</w:t>
      </w:r>
      <w:r w:rsidRPr="00C6075C">
        <w:rPr>
          <w:rFonts w:ascii="Arial" w:eastAsia="Times New Roman" w:hAnsi="Arial" w:cs="Arial"/>
          <w:sz w:val="20"/>
          <w:szCs w:val="20"/>
        </w:rPr>
        <w:t xml:space="preserve"> €</w:t>
      </w:r>
      <w:r w:rsidR="00CA75F1">
        <w:rPr>
          <w:rFonts w:ascii="Arial" w:eastAsia="Times New Roman" w:hAnsi="Arial" w:cs="Arial"/>
          <w:sz w:val="20"/>
          <w:szCs w:val="20"/>
        </w:rPr>
        <w:t xml:space="preserve">. Obveze za predujmove, depozite i jamčevne pologe (27) iznose 392.326,31 €. Sveukupno spomenute obveze </w:t>
      </w:r>
      <w:r w:rsidRPr="00C6075C">
        <w:rPr>
          <w:rFonts w:ascii="Arial" w:eastAsia="Times New Roman" w:hAnsi="Arial" w:cs="Arial"/>
          <w:sz w:val="20"/>
          <w:szCs w:val="20"/>
        </w:rPr>
        <w:t>iznos</w:t>
      </w:r>
      <w:r w:rsidR="00CA75F1">
        <w:rPr>
          <w:rFonts w:ascii="Arial" w:eastAsia="Times New Roman" w:hAnsi="Arial" w:cs="Arial"/>
          <w:sz w:val="20"/>
          <w:szCs w:val="20"/>
        </w:rPr>
        <w:t>e</w:t>
      </w:r>
      <w:r w:rsidRPr="00C6075C">
        <w:rPr>
          <w:rFonts w:ascii="Arial" w:eastAsia="Times New Roman" w:hAnsi="Arial" w:cs="Arial"/>
          <w:sz w:val="20"/>
          <w:szCs w:val="20"/>
        </w:rPr>
        <w:t xml:space="preserve"> </w:t>
      </w:r>
      <w:r w:rsidR="00CA75F1" w:rsidRPr="00CA75F1">
        <w:rPr>
          <w:rFonts w:ascii="Arial" w:eastAsia="Times New Roman" w:hAnsi="Arial" w:cs="Arial"/>
          <w:b/>
          <w:bCs/>
          <w:sz w:val="20"/>
          <w:szCs w:val="20"/>
        </w:rPr>
        <w:t>5.140.477,98</w:t>
      </w:r>
      <w:r w:rsidRPr="00C6075C">
        <w:rPr>
          <w:rFonts w:ascii="Arial" w:eastAsia="Times New Roman" w:hAnsi="Arial" w:cs="Arial"/>
          <w:b/>
          <w:bCs/>
          <w:sz w:val="20"/>
          <w:szCs w:val="20"/>
        </w:rPr>
        <w:t xml:space="preserve"> €</w:t>
      </w:r>
      <w:r w:rsidRPr="00C6075C">
        <w:rPr>
          <w:rFonts w:ascii="Arial" w:eastAsia="Times New Roman" w:hAnsi="Arial" w:cs="Arial"/>
          <w:sz w:val="20"/>
          <w:szCs w:val="20"/>
        </w:rPr>
        <w:t>. Obvez</w:t>
      </w:r>
      <w:r w:rsidR="00DA73AE" w:rsidRPr="00C6075C">
        <w:rPr>
          <w:rFonts w:ascii="Arial" w:eastAsia="Times New Roman" w:hAnsi="Arial" w:cs="Arial"/>
          <w:sz w:val="20"/>
          <w:szCs w:val="20"/>
        </w:rPr>
        <w:t>e</w:t>
      </w:r>
      <w:r w:rsidRPr="00C6075C">
        <w:rPr>
          <w:rFonts w:ascii="Arial" w:eastAsia="Times New Roman" w:hAnsi="Arial" w:cs="Arial"/>
          <w:sz w:val="20"/>
          <w:szCs w:val="20"/>
        </w:rPr>
        <w:t xml:space="preserve"> za naplaćene prihode budućeg razdoblja</w:t>
      </w:r>
      <w:r w:rsidR="00CA75F1">
        <w:rPr>
          <w:rFonts w:ascii="Arial" w:eastAsia="Times New Roman" w:hAnsi="Arial" w:cs="Arial"/>
          <w:sz w:val="20"/>
          <w:szCs w:val="20"/>
        </w:rPr>
        <w:t xml:space="preserve"> (292)</w:t>
      </w:r>
      <w:r w:rsidRPr="00C6075C">
        <w:rPr>
          <w:rFonts w:ascii="Arial" w:eastAsia="Times New Roman" w:hAnsi="Arial" w:cs="Arial"/>
          <w:sz w:val="20"/>
          <w:szCs w:val="20"/>
        </w:rPr>
        <w:t xml:space="preserve"> </w:t>
      </w:r>
      <w:r w:rsidR="00DA73AE" w:rsidRPr="00C6075C">
        <w:rPr>
          <w:rFonts w:ascii="Arial" w:eastAsia="Times New Roman" w:hAnsi="Arial" w:cs="Arial"/>
          <w:sz w:val="20"/>
          <w:szCs w:val="20"/>
        </w:rPr>
        <w:t xml:space="preserve">iznose </w:t>
      </w:r>
      <w:r w:rsidR="00D3297A" w:rsidRPr="00C6075C">
        <w:rPr>
          <w:rFonts w:ascii="Arial" w:eastAsia="Times New Roman" w:hAnsi="Arial" w:cs="Arial"/>
          <w:sz w:val="20"/>
          <w:szCs w:val="20"/>
        </w:rPr>
        <w:t>2</w:t>
      </w:r>
      <w:r w:rsidR="00CA75F1">
        <w:rPr>
          <w:rFonts w:ascii="Arial" w:eastAsia="Times New Roman" w:hAnsi="Arial" w:cs="Arial"/>
          <w:sz w:val="20"/>
          <w:szCs w:val="20"/>
        </w:rPr>
        <w:t>2.907,14</w:t>
      </w:r>
      <w:r w:rsidR="00DA73AE" w:rsidRPr="00C6075C">
        <w:rPr>
          <w:rFonts w:ascii="Arial" w:eastAsia="Times New Roman" w:hAnsi="Arial" w:cs="Arial"/>
          <w:sz w:val="20"/>
          <w:szCs w:val="20"/>
        </w:rPr>
        <w:t xml:space="preserve"> €</w:t>
      </w:r>
      <w:r w:rsidRPr="00C6075C">
        <w:rPr>
          <w:rFonts w:ascii="Arial" w:eastAsia="Times New Roman" w:hAnsi="Arial" w:cs="Arial"/>
          <w:sz w:val="20"/>
          <w:szCs w:val="20"/>
        </w:rPr>
        <w:t xml:space="preserve">. </w:t>
      </w:r>
    </w:p>
    <w:p w14:paraId="34A1BD18" w14:textId="77777777" w:rsidR="00EA65B3" w:rsidRPr="00513167" w:rsidRDefault="00EA65B3" w:rsidP="00EA65B3">
      <w:pPr>
        <w:spacing w:after="0" w:line="240" w:lineRule="auto"/>
        <w:jc w:val="both"/>
        <w:rPr>
          <w:rFonts w:ascii="Arial" w:eastAsia="Times New Roman" w:hAnsi="Arial" w:cs="Arial"/>
          <w:sz w:val="20"/>
          <w:szCs w:val="20"/>
        </w:rPr>
      </w:pPr>
    </w:p>
    <w:p w14:paraId="3BE01018" w14:textId="1AC9780F" w:rsidR="00EA65B3" w:rsidRPr="00513167" w:rsidRDefault="00EA65B3" w:rsidP="00EA65B3">
      <w:pPr>
        <w:spacing w:after="0" w:line="240" w:lineRule="auto"/>
        <w:jc w:val="both"/>
        <w:rPr>
          <w:rFonts w:ascii="Arial" w:eastAsia="Times New Roman" w:hAnsi="Arial" w:cs="Arial"/>
          <w:sz w:val="20"/>
          <w:szCs w:val="20"/>
        </w:rPr>
      </w:pPr>
      <w:r w:rsidRPr="00513167">
        <w:rPr>
          <w:rFonts w:ascii="Arial" w:eastAsia="Times New Roman" w:hAnsi="Arial" w:cs="Arial"/>
          <w:b/>
          <w:sz w:val="20"/>
          <w:szCs w:val="20"/>
        </w:rPr>
        <w:t>Obveze četiri proračunska korisnika</w:t>
      </w:r>
      <w:r w:rsidRPr="00513167">
        <w:rPr>
          <w:rFonts w:ascii="Arial" w:eastAsia="Times New Roman" w:hAnsi="Arial" w:cs="Arial"/>
          <w:sz w:val="20"/>
          <w:szCs w:val="20"/>
        </w:rPr>
        <w:t xml:space="preserve"> iznose </w:t>
      </w:r>
      <w:r w:rsidR="00CA75F1">
        <w:rPr>
          <w:rFonts w:ascii="Arial" w:eastAsia="Times New Roman" w:hAnsi="Arial" w:cs="Arial"/>
          <w:sz w:val="20"/>
          <w:szCs w:val="20"/>
        </w:rPr>
        <w:t>464.402,71</w:t>
      </w:r>
      <w:r w:rsidRPr="00513167">
        <w:rPr>
          <w:rFonts w:ascii="Arial" w:eastAsia="Times New Roman" w:hAnsi="Arial" w:cs="Arial"/>
          <w:sz w:val="20"/>
          <w:szCs w:val="20"/>
        </w:rPr>
        <w:t xml:space="preserve"> €.</w:t>
      </w:r>
    </w:p>
    <w:p w14:paraId="1DD64269" w14:textId="77777777" w:rsidR="00EA65B3" w:rsidRPr="00513167" w:rsidRDefault="00EA65B3" w:rsidP="00EA65B3">
      <w:pPr>
        <w:spacing w:after="0" w:line="240" w:lineRule="auto"/>
        <w:jc w:val="both"/>
        <w:rPr>
          <w:rFonts w:ascii="Arial" w:eastAsia="Times New Roman" w:hAnsi="Arial" w:cs="Arial"/>
          <w:sz w:val="20"/>
          <w:szCs w:val="20"/>
        </w:rPr>
      </w:pPr>
    </w:p>
    <w:p w14:paraId="3FBE79E1" w14:textId="7FFF0A66" w:rsidR="00EA65B3" w:rsidRPr="00513167" w:rsidRDefault="00EA65B3" w:rsidP="00EA65B3">
      <w:pPr>
        <w:spacing w:after="0" w:line="240" w:lineRule="auto"/>
        <w:jc w:val="both"/>
        <w:rPr>
          <w:rFonts w:ascii="Arial" w:eastAsia="Times New Roman" w:hAnsi="Arial" w:cs="Arial"/>
          <w:sz w:val="20"/>
          <w:szCs w:val="20"/>
        </w:rPr>
      </w:pPr>
      <w:bookmarkStart w:id="437" w:name="_Hlk115073782"/>
      <w:r w:rsidRPr="00513167">
        <w:rPr>
          <w:rFonts w:ascii="Arial" w:eastAsia="Times New Roman" w:hAnsi="Arial" w:cs="Arial"/>
          <w:b/>
          <w:sz w:val="20"/>
          <w:szCs w:val="20"/>
        </w:rPr>
        <w:t>Konsolidirane</w:t>
      </w:r>
      <w:r w:rsidRPr="00513167">
        <w:rPr>
          <w:rFonts w:ascii="Arial" w:eastAsia="Times New Roman" w:hAnsi="Arial" w:cs="Arial"/>
          <w:sz w:val="20"/>
          <w:szCs w:val="20"/>
        </w:rPr>
        <w:t xml:space="preserve"> </w:t>
      </w:r>
      <w:r w:rsidRPr="00513167">
        <w:rPr>
          <w:rFonts w:ascii="Arial" w:eastAsia="Times New Roman" w:hAnsi="Arial" w:cs="Arial"/>
          <w:b/>
          <w:sz w:val="20"/>
          <w:szCs w:val="20"/>
        </w:rPr>
        <w:t>obveze</w:t>
      </w:r>
      <w:r w:rsidRPr="00513167">
        <w:rPr>
          <w:rFonts w:ascii="Arial" w:eastAsia="Times New Roman" w:hAnsi="Arial" w:cs="Arial"/>
          <w:sz w:val="20"/>
          <w:szCs w:val="20"/>
        </w:rPr>
        <w:t xml:space="preserve"> za rashode poslovanja</w:t>
      </w:r>
      <w:r w:rsidR="00461275" w:rsidRPr="00513167">
        <w:rPr>
          <w:rFonts w:ascii="Arial" w:eastAsia="Times New Roman" w:hAnsi="Arial" w:cs="Arial"/>
          <w:sz w:val="20"/>
          <w:szCs w:val="20"/>
        </w:rPr>
        <w:t xml:space="preserve"> (23)</w:t>
      </w:r>
      <w:r w:rsidRPr="00513167">
        <w:rPr>
          <w:rFonts w:ascii="Arial" w:eastAsia="Times New Roman" w:hAnsi="Arial" w:cs="Arial"/>
          <w:sz w:val="20"/>
          <w:szCs w:val="20"/>
        </w:rPr>
        <w:t xml:space="preserve"> i obveze za rashode za nabavu nefinancijske imovine </w:t>
      </w:r>
      <w:r w:rsidR="00461275" w:rsidRPr="00513167">
        <w:rPr>
          <w:rFonts w:ascii="Arial" w:eastAsia="Times New Roman" w:hAnsi="Arial" w:cs="Arial"/>
          <w:sz w:val="20"/>
          <w:szCs w:val="20"/>
        </w:rPr>
        <w:t xml:space="preserve">(24) </w:t>
      </w:r>
      <w:r w:rsidRPr="00513167">
        <w:rPr>
          <w:rFonts w:ascii="Arial" w:eastAsia="Times New Roman" w:hAnsi="Arial" w:cs="Arial"/>
          <w:sz w:val="20"/>
          <w:szCs w:val="20"/>
        </w:rPr>
        <w:t xml:space="preserve">iznose </w:t>
      </w:r>
      <w:r w:rsidR="00D162A4">
        <w:rPr>
          <w:rFonts w:ascii="Arial" w:eastAsia="Times New Roman" w:hAnsi="Arial" w:cs="Arial"/>
          <w:sz w:val="20"/>
          <w:szCs w:val="20"/>
        </w:rPr>
        <w:t>2.328.832,70</w:t>
      </w:r>
      <w:r w:rsidRPr="00513167">
        <w:rPr>
          <w:rFonts w:ascii="Arial" w:eastAsia="Times New Roman" w:hAnsi="Arial" w:cs="Arial"/>
          <w:sz w:val="20"/>
          <w:szCs w:val="20"/>
        </w:rPr>
        <w:t xml:space="preserve"> € (ukupno </w:t>
      </w:r>
      <w:r w:rsidR="00D23251" w:rsidRPr="00513167">
        <w:rPr>
          <w:rFonts w:ascii="Arial" w:eastAsia="Times New Roman" w:hAnsi="Arial" w:cs="Arial"/>
          <w:sz w:val="20"/>
          <w:szCs w:val="20"/>
        </w:rPr>
        <w:t xml:space="preserve">zbroj </w:t>
      </w:r>
      <w:r w:rsidRPr="00513167">
        <w:rPr>
          <w:rFonts w:ascii="Arial" w:eastAsia="Times New Roman" w:hAnsi="Arial" w:cs="Arial"/>
          <w:sz w:val="20"/>
          <w:szCs w:val="20"/>
        </w:rPr>
        <w:t>obvez</w:t>
      </w:r>
      <w:r w:rsidR="00D23251" w:rsidRPr="00513167">
        <w:rPr>
          <w:rFonts w:ascii="Arial" w:eastAsia="Times New Roman" w:hAnsi="Arial" w:cs="Arial"/>
          <w:sz w:val="20"/>
          <w:szCs w:val="20"/>
        </w:rPr>
        <w:t>a</w:t>
      </w:r>
      <w:r w:rsidRPr="00513167">
        <w:rPr>
          <w:rFonts w:ascii="Arial" w:eastAsia="Times New Roman" w:hAnsi="Arial" w:cs="Arial"/>
          <w:sz w:val="20"/>
          <w:szCs w:val="20"/>
        </w:rPr>
        <w:t xml:space="preserve"> </w:t>
      </w:r>
      <w:r w:rsidR="00D23251" w:rsidRPr="00513167">
        <w:rPr>
          <w:rFonts w:ascii="Arial" w:eastAsia="Times New Roman" w:hAnsi="Arial" w:cs="Arial"/>
          <w:sz w:val="20"/>
          <w:szCs w:val="20"/>
        </w:rPr>
        <w:t>općine i obveza proračunskih korisnika</w:t>
      </w:r>
      <w:r w:rsidRPr="00513167">
        <w:rPr>
          <w:rFonts w:ascii="Arial" w:eastAsia="Times New Roman" w:hAnsi="Arial" w:cs="Arial"/>
          <w:sz w:val="20"/>
          <w:szCs w:val="20"/>
        </w:rPr>
        <w:t xml:space="preserve">). </w:t>
      </w:r>
      <w:r w:rsidR="00D162A4">
        <w:rPr>
          <w:rFonts w:ascii="Arial" w:eastAsia="Times New Roman" w:hAnsi="Arial" w:cs="Arial"/>
          <w:sz w:val="20"/>
          <w:szCs w:val="20"/>
        </w:rPr>
        <w:t>Obveze za predujmove, depozite i jamčevne pologe iznose 75.866,76 € (</w:t>
      </w:r>
      <w:r w:rsidR="00D162A4" w:rsidRPr="00D162A4">
        <w:rPr>
          <w:rFonts w:ascii="Arial" w:eastAsia="Times New Roman" w:hAnsi="Arial" w:cs="Arial"/>
          <w:sz w:val="20"/>
          <w:szCs w:val="20"/>
        </w:rPr>
        <w:t>ukupno zbroj obveza općine i obveza proračunskih korisnika umanjeno za međusobne obveze prema proračunskim korisnicima za naplaćene prihode putem proračunske riznice u iznosu 316.459</w:t>
      </w:r>
      <w:r w:rsidR="00C15D51">
        <w:rPr>
          <w:rFonts w:ascii="Arial" w:eastAsia="Times New Roman" w:hAnsi="Arial" w:cs="Arial"/>
          <w:sz w:val="20"/>
          <w:szCs w:val="20"/>
        </w:rPr>
        <w:t>,55</w:t>
      </w:r>
      <w:r w:rsidR="00D162A4" w:rsidRPr="00D162A4">
        <w:rPr>
          <w:rFonts w:ascii="Arial" w:eastAsia="Times New Roman" w:hAnsi="Arial" w:cs="Arial"/>
          <w:sz w:val="20"/>
          <w:szCs w:val="20"/>
        </w:rPr>
        <w:t xml:space="preserve"> € i za obveze proračunskih korisnika za povrat u proračun u iznosu 0 €). </w:t>
      </w:r>
      <w:r w:rsidR="00D162A4">
        <w:rPr>
          <w:rFonts w:ascii="Arial" w:eastAsia="Times New Roman" w:hAnsi="Arial" w:cs="Arial"/>
          <w:sz w:val="20"/>
          <w:szCs w:val="20"/>
        </w:rPr>
        <w:t xml:space="preserve">za </w:t>
      </w:r>
      <w:r w:rsidRPr="00513167">
        <w:rPr>
          <w:rFonts w:ascii="Arial" w:eastAsia="Times New Roman" w:hAnsi="Arial" w:cs="Arial"/>
          <w:sz w:val="20"/>
          <w:szCs w:val="20"/>
          <w:u w:val="single"/>
        </w:rPr>
        <w:t xml:space="preserve">Sveukupno konsolidirane obveze s obvezama za zajmove iznose </w:t>
      </w:r>
      <w:r w:rsidR="00C15D51">
        <w:rPr>
          <w:rFonts w:ascii="Arial" w:eastAsia="Times New Roman" w:hAnsi="Arial" w:cs="Arial"/>
          <w:b/>
          <w:bCs/>
          <w:sz w:val="20"/>
          <w:szCs w:val="20"/>
          <w:u w:val="single"/>
        </w:rPr>
        <w:t>5.288.421,14</w:t>
      </w:r>
      <w:r w:rsidRPr="00513167">
        <w:rPr>
          <w:rFonts w:ascii="Arial" w:eastAsia="Times New Roman" w:hAnsi="Arial" w:cs="Arial"/>
          <w:b/>
          <w:bCs/>
          <w:sz w:val="20"/>
          <w:szCs w:val="20"/>
          <w:u w:val="single"/>
        </w:rPr>
        <w:t xml:space="preserve"> €</w:t>
      </w:r>
      <w:r w:rsidRPr="00513167">
        <w:rPr>
          <w:rFonts w:ascii="Arial" w:eastAsia="Times New Roman" w:hAnsi="Arial" w:cs="Arial"/>
          <w:b/>
          <w:bCs/>
          <w:sz w:val="20"/>
          <w:szCs w:val="20"/>
        </w:rPr>
        <w:t>.</w:t>
      </w:r>
    </w:p>
    <w:p w14:paraId="09568E60" w14:textId="77777777" w:rsidR="00EA65B3" w:rsidRPr="00513167" w:rsidRDefault="00EA65B3" w:rsidP="00EA65B3">
      <w:pPr>
        <w:spacing w:after="0" w:line="240" w:lineRule="auto"/>
        <w:jc w:val="both"/>
        <w:rPr>
          <w:rFonts w:ascii="Arial" w:hAnsi="Arial" w:cs="Arial"/>
          <w:iCs/>
          <w:sz w:val="20"/>
          <w:szCs w:val="20"/>
        </w:rPr>
      </w:pPr>
    </w:p>
    <w:p w14:paraId="58A09FFD" w14:textId="7D623C9E" w:rsidR="00EA65B3" w:rsidRPr="00513167" w:rsidRDefault="00EA65B3" w:rsidP="00EA65B3">
      <w:pPr>
        <w:spacing w:after="0" w:line="240" w:lineRule="auto"/>
        <w:jc w:val="both"/>
        <w:rPr>
          <w:rFonts w:ascii="Arial" w:eastAsia="Times New Roman" w:hAnsi="Arial" w:cs="Arial"/>
          <w:sz w:val="20"/>
          <w:szCs w:val="20"/>
        </w:rPr>
      </w:pPr>
      <w:r w:rsidRPr="00513167">
        <w:rPr>
          <w:rFonts w:ascii="Arial" w:eastAsia="Times New Roman" w:hAnsi="Arial" w:cs="Arial"/>
          <w:sz w:val="20"/>
          <w:szCs w:val="20"/>
        </w:rPr>
        <w:t xml:space="preserve">Vrijednosno najznačajnije konsolidirane obveze se odnose na </w:t>
      </w:r>
      <w:r w:rsidR="00D23251" w:rsidRPr="00513167">
        <w:rPr>
          <w:rFonts w:ascii="Arial" w:eastAsia="Times New Roman" w:hAnsi="Arial" w:cs="Arial"/>
          <w:sz w:val="20"/>
          <w:szCs w:val="20"/>
        </w:rPr>
        <w:t xml:space="preserve">dva kredita prema HBOR-u sveukupno </w:t>
      </w:r>
      <w:r w:rsidR="00C15D51">
        <w:rPr>
          <w:rFonts w:ascii="Arial" w:eastAsia="Times New Roman" w:hAnsi="Arial" w:cs="Arial"/>
          <w:sz w:val="20"/>
          <w:szCs w:val="20"/>
        </w:rPr>
        <w:t>1.551.642,15</w:t>
      </w:r>
      <w:r w:rsidR="00D23251" w:rsidRPr="00513167">
        <w:rPr>
          <w:rFonts w:ascii="Arial" w:eastAsia="Times New Roman" w:hAnsi="Arial" w:cs="Arial"/>
          <w:sz w:val="20"/>
          <w:szCs w:val="20"/>
        </w:rPr>
        <w:t xml:space="preserve"> € (kredit za izgradnju vatrogasnog doma – pred</w:t>
      </w:r>
      <w:r w:rsidR="004E1190" w:rsidRPr="00513167">
        <w:rPr>
          <w:rFonts w:ascii="Arial" w:eastAsia="Times New Roman" w:hAnsi="Arial" w:cs="Arial"/>
          <w:sz w:val="20"/>
          <w:szCs w:val="20"/>
        </w:rPr>
        <w:t>-</w:t>
      </w:r>
      <w:r w:rsidR="00D23251" w:rsidRPr="00513167">
        <w:rPr>
          <w:rFonts w:ascii="Arial" w:eastAsia="Times New Roman" w:hAnsi="Arial" w:cs="Arial"/>
          <w:sz w:val="20"/>
          <w:szCs w:val="20"/>
        </w:rPr>
        <w:t xml:space="preserve">financiranje </w:t>
      </w:r>
      <w:r w:rsidR="00C15D51">
        <w:rPr>
          <w:rFonts w:ascii="Arial" w:eastAsia="Times New Roman" w:hAnsi="Arial" w:cs="Arial"/>
          <w:sz w:val="20"/>
          <w:szCs w:val="20"/>
        </w:rPr>
        <w:t>1.003.384,43</w:t>
      </w:r>
      <w:r w:rsidR="00D23251" w:rsidRPr="00513167">
        <w:rPr>
          <w:rFonts w:ascii="Arial" w:eastAsia="Times New Roman" w:hAnsi="Arial" w:cs="Arial"/>
          <w:sz w:val="20"/>
          <w:szCs w:val="20"/>
        </w:rPr>
        <w:t xml:space="preserve"> € i kredit za modernizaciju javne rasvjete </w:t>
      </w:r>
      <w:r w:rsidR="00C15D51">
        <w:rPr>
          <w:rFonts w:ascii="Arial" w:eastAsia="Times New Roman" w:hAnsi="Arial" w:cs="Arial"/>
          <w:sz w:val="20"/>
          <w:szCs w:val="20"/>
        </w:rPr>
        <w:t>548.257,72</w:t>
      </w:r>
      <w:r w:rsidR="00D23251" w:rsidRPr="00513167">
        <w:rPr>
          <w:rFonts w:ascii="Arial" w:eastAsia="Times New Roman" w:hAnsi="Arial" w:cs="Arial"/>
          <w:sz w:val="20"/>
          <w:szCs w:val="20"/>
        </w:rPr>
        <w:t xml:space="preserve"> €), </w:t>
      </w:r>
      <w:r w:rsidRPr="00513167">
        <w:rPr>
          <w:rFonts w:ascii="Arial" w:eastAsia="Times New Roman" w:hAnsi="Arial" w:cs="Arial"/>
          <w:sz w:val="20"/>
          <w:szCs w:val="20"/>
        </w:rPr>
        <w:t xml:space="preserve">obveze Općine za jedan kredit prema financijskoj instituciji u iznosu </w:t>
      </w:r>
      <w:r w:rsidR="00C6075C" w:rsidRPr="00513167">
        <w:rPr>
          <w:rFonts w:ascii="Arial" w:eastAsia="Times New Roman" w:hAnsi="Arial" w:cs="Arial"/>
          <w:sz w:val="20"/>
          <w:szCs w:val="20"/>
        </w:rPr>
        <w:t>219.229,24</w:t>
      </w:r>
      <w:r w:rsidRPr="00513167">
        <w:rPr>
          <w:rFonts w:ascii="Arial" w:eastAsia="Times New Roman" w:hAnsi="Arial" w:cs="Arial"/>
          <w:sz w:val="20"/>
          <w:szCs w:val="20"/>
        </w:rPr>
        <w:t xml:space="preserve"> € (rok povrata kredita rujan 2025. godine). Druge značajnije obveze se također odnose na zajmove i to za povrat beskamatnih kredita u državni proračun u iznosu </w:t>
      </w:r>
      <w:r w:rsidR="00D23251" w:rsidRPr="00513167">
        <w:rPr>
          <w:rFonts w:ascii="Arial" w:eastAsia="Times New Roman" w:hAnsi="Arial" w:cs="Arial"/>
          <w:sz w:val="20"/>
          <w:szCs w:val="20"/>
        </w:rPr>
        <w:t>1.332.079,53</w:t>
      </w:r>
      <w:r w:rsidRPr="00513167">
        <w:rPr>
          <w:rFonts w:ascii="Arial" w:eastAsia="Times New Roman" w:hAnsi="Arial" w:cs="Arial"/>
          <w:sz w:val="20"/>
          <w:szCs w:val="20"/>
        </w:rPr>
        <w:t xml:space="preserve"> €. </w:t>
      </w:r>
    </w:p>
    <w:p w14:paraId="25267FB5" w14:textId="77777777" w:rsidR="00EA65B3" w:rsidRPr="00513167" w:rsidRDefault="00EA65B3" w:rsidP="00EA65B3">
      <w:pPr>
        <w:spacing w:after="0" w:line="240" w:lineRule="auto"/>
        <w:jc w:val="both"/>
        <w:rPr>
          <w:rFonts w:ascii="Arial" w:eastAsia="Times New Roman" w:hAnsi="Arial" w:cs="Arial"/>
          <w:sz w:val="20"/>
          <w:szCs w:val="20"/>
        </w:rPr>
      </w:pPr>
    </w:p>
    <w:p w14:paraId="50FE1194" w14:textId="7D018FBD" w:rsidR="00EA65B3" w:rsidRPr="00513167" w:rsidRDefault="00EA65B3" w:rsidP="00EA65B3">
      <w:pPr>
        <w:spacing w:after="0" w:line="240" w:lineRule="auto"/>
        <w:jc w:val="both"/>
        <w:rPr>
          <w:rFonts w:ascii="Arial" w:eastAsia="Times New Roman" w:hAnsi="Arial" w:cs="Arial"/>
          <w:sz w:val="20"/>
          <w:szCs w:val="20"/>
        </w:rPr>
      </w:pPr>
      <w:r w:rsidRPr="00513167">
        <w:rPr>
          <w:rFonts w:ascii="Arial" w:eastAsia="Times New Roman" w:hAnsi="Arial" w:cs="Arial"/>
          <w:sz w:val="20"/>
          <w:szCs w:val="20"/>
        </w:rPr>
        <w:t xml:space="preserve">Sveukupno nedospjele konsolidirane obveze koncem </w:t>
      </w:r>
      <w:r w:rsidR="00C15D51">
        <w:rPr>
          <w:rFonts w:ascii="Arial" w:eastAsia="Times New Roman" w:hAnsi="Arial" w:cs="Arial"/>
          <w:sz w:val="20"/>
          <w:szCs w:val="20"/>
        </w:rPr>
        <w:t xml:space="preserve">lipnja </w:t>
      </w:r>
      <w:r w:rsidRPr="00513167">
        <w:rPr>
          <w:rFonts w:ascii="Arial" w:eastAsia="Times New Roman" w:hAnsi="Arial" w:cs="Arial"/>
          <w:sz w:val="20"/>
          <w:szCs w:val="20"/>
        </w:rPr>
        <w:t>202</w:t>
      </w:r>
      <w:r w:rsidR="00C15D51">
        <w:rPr>
          <w:rFonts w:ascii="Arial" w:eastAsia="Times New Roman" w:hAnsi="Arial" w:cs="Arial"/>
          <w:sz w:val="20"/>
          <w:szCs w:val="20"/>
        </w:rPr>
        <w:t>5</w:t>
      </w:r>
      <w:r w:rsidRPr="00513167">
        <w:rPr>
          <w:rFonts w:ascii="Arial" w:eastAsia="Times New Roman" w:hAnsi="Arial" w:cs="Arial"/>
          <w:sz w:val="20"/>
          <w:szCs w:val="20"/>
        </w:rPr>
        <w:t xml:space="preserve">. iznose </w:t>
      </w:r>
      <w:r w:rsidR="00C15D51">
        <w:rPr>
          <w:rFonts w:ascii="Arial" w:eastAsia="Times New Roman" w:hAnsi="Arial" w:cs="Arial"/>
          <w:sz w:val="20"/>
          <w:szCs w:val="20"/>
        </w:rPr>
        <w:t>5.091.972,06</w:t>
      </w:r>
      <w:r w:rsidRPr="00513167">
        <w:rPr>
          <w:rFonts w:ascii="Arial" w:eastAsia="Times New Roman" w:hAnsi="Arial" w:cs="Arial"/>
          <w:sz w:val="20"/>
          <w:szCs w:val="20"/>
        </w:rPr>
        <w:t xml:space="preserve"> € </w:t>
      </w:r>
      <w:bookmarkStart w:id="438" w:name="_Hlk115074699"/>
      <w:r w:rsidRPr="00513167">
        <w:rPr>
          <w:rFonts w:ascii="Arial" w:eastAsia="Times New Roman" w:hAnsi="Arial" w:cs="Arial"/>
          <w:sz w:val="20"/>
          <w:szCs w:val="20"/>
        </w:rPr>
        <w:t xml:space="preserve">(obveze općine </w:t>
      </w:r>
      <w:r w:rsidR="00C15D51">
        <w:rPr>
          <w:rFonts w:ascii="Arial" w:eastAsia="Times New Roman" w:hAnsi="Arial" w:cs="Arial"/>
          <w:sz w:val="20"/>
          <w:szCs w:val="20"/>
        </w:rPr>
        <w:t>4.630.287,19</w:t>
      </w:r>
      <w:r w:rsidRPr="00513167">
        <w:rPr>
          <w:rFonts w:ascii="Arial" w:eastAsia="Times New Roman" w:hAnsi="Arial" w:cs="Arial"/>
          <w:sz w:val="20"/>
          <w:szCs w:val="20"/>
        </w:rPr>
        <w:t xml:space="preserve"> € i obveze proračunskih korisnika </w:t>
      </w:r>
      <w:r w:rsidR="00C15D51">
        <w:rPr>
          <w:rFonts w:ascii="Arial" w:eastAsia="Times New Roman" w:hAnsi="Arial" w:cs="Arial"/>
          <w:sz w:val="20"/>
          <w:szCs w:val="20"/>
        </w:rPr>
        <w:t>461.684,87</w:t>
      </w:r>
      <w:r w:rsidRPr="00513167">
        <w:rPr>
          <w:rFonts w:ascii="Arial" w:eastAsia="Times New Roman" w:hAnsi="Arial" w:cs="Arial"/>
          <w:sz w:val="20"/>
          <w:szCs w:val="20"/>
        </w:rPr>
        <w:t xml:space="preserve"> €).</w:t>
      </w:r>
    </w:p>
    <w:bookmarkEnd w:id="438"/>
    <w:p w14:paraId="3DF537E7" w14:textId="77777777" w:rsidR="00EA65B3" w:rsidRPr="00513167" w:rsidRDefault="00EA65B3" w:rsidP="00EA65B3">
      <w:pPr>
        <w:spacing w:after="0" w:line="240" w:lineRule="auto"/>
        <w:jc w:val="both"/>
        <w:rPr>
          <w:rFonts w:ascii="Arial" w:eastAsia="Times New Roman" w:hAnsi="Arial" w:cs="Arial"/>
          <w:sz w:val="20"/>
          <w:szCs w:val="20"/>
        </w:rPr>
      </w:pPr>
    </w:p>
    <w:p w14:paraId="036E6A4B" w14:textId="7F11B93A" w:rsidR="00EA65B3" w:rsidRPr="00513167" w:rsidRDefault="00EA65B3" w:rsidP="00EA65B3">
      <w:pPr>
        <w:spacing w:after="0" w:line="240" w:lineRule="auto"/>
        <w:jc w:val="both"/>
        <w:rPr>
          <w:rFonts w:ascii="Arial" w:eastAsia="Times New Roman" w:hAnsi="Arial" w:cs="Arial"/>
          <w:sz w:val="20"/>
          <w:szCs w:val="20"/>
        </w:rPr>
      </w:pPr>
      <w:r w:rsidRPr="00513167">
        <w:rPr>
          <w:rFonts w:ascii="Arial" w:eastAsia="Times New Roman" w:hAnsi="Arial" w:cs="Arial"/>
          <w:sz w:val="20"/>
          <w:szCs w:val="20"/>
        </w:rPr>
        <w:t xml:space="preserve">Dospjele konsolidirane obveze koncem </w:t>
      </w:r>
      <w:r w:rsidR="00C15D51">
        <w:rPr>
          <w:rFonts w:ascii="Arial" w:eastAsia="Times New Roman" w:hAnsi="Arial" w:cs="Arial"/>
          <w:sz w:val="20"/>
          <w:szCs w:val="20"/>
        </w:rPr>
        <w:t xml:space="preserve">lipnja </w:t>
      </w:r>
      <w:r w:rsidRPr="00513167">
        <w:rPr>
          <w:rFonts w:ascii="Arial" w:eastAsia="Times New Roman" w:hAnsi="Arial" w:cs="Arial"/>
          <w:sz w:val="20"/>
          <w:szCs w:val="20"/>
        </w:rPr>
        <w:t>202</w:t>
      </w:r>
      <w:r w:rsidR="00C15D51">
        <w:rPr>
          <w:rFonts w:ascii="Arial" w:eastAsia="Times New Roman" w:hAnsi="Arial" w:cs="Arial"/>
          <w:sz w:val="20"/>
          <w:szCs w:val="20"/>
        </w:rPr>
        <w:t>4</w:t>
      </w:r>
      <w:r w:rsidRPr="00513167">
        <w:rPr>
          <w:rFonts w:ascii="Arial" w:eastAsia="Times New Roman" w:hAnsi="Arial" w:cs="Arial"/>
          <w:sz w:val="20"/>
          <w:szCs w:val="20"/>
        </w:rPr>
        <w:t xml:space="preserve">. iznose </w:t>
      </w:r>
      <w:r w:rsidR="00C15D51">
        <w:rPr>
          <w:rFonts w:ascii="Arial" w:eastAsia="Times New Roman" w:hAnsi="Arial" w:cs="Arial"/>
          <w:sz w:val="20"/>
          <w:szCs w:val="20"/>
        </w:rPr>
        <w:t>196.449,08</w:t>
      </w:r>
      <w:r w:rsidRPr="00513167">
        <w:rPr>
          <w:rFonts w:ascii="Arial" w:eastAsia="Times New Roman" w:hAnsi="Arial" w:cs="Arial"/>
          <w:sz w:val="20"/>
          <w:szCs w:val="20"/>
        </w:rPr>
        <w:t xml:space="preserve"> € (obveze Općine</w:t>
      </w:r>
      <w:r w:rsidR="004E1190" w:rsidRPr="00513167">
        <w:rPr>
          <w:rFonts w:ascii="Arial" w:eastAsia="Times New Roman" w:hAnsi="Arial" w:cs="Arial"/>
          <w:sz w:val="20"/>
          <w:szCs w:val="20"/>
        </w:rPr>
        <w:t xml:space="preserve"> </w:t>
      </w:r>
      <w:r w:rsidR="00C15D51">
        <w:rPr>
          <w:rFonts w:ascii="Arial" w:eastAsia="Times New Roman" w:hAnsi="Arial" w:cs="Arial"/>
          <w:sz w:val="20"/>
          <w:szCs w:val="20"/>
        </w:rPr>
        <w:t>193.731,24</w:t>
      </w:r>
      <w:r w:rsidR="004E1190" w:rsidRPr="00513167">
        <w:rPr>
          <w:rFonts w:ascii="Arial" w:eastAsia="Times New Roman" w:hAnsi="Arial" w:cs="Arial"/>
          <w:sz w:val="20"/>
          <w:szCs w:val="20"/>
        </w:rPr>
        <w:t xml:space="preserve"> € i obveze proračunskih korisnika </w:t>
      </w:r>
      <w:r w:rsidR="00C15D51">
        <w:rPr>
          <w:rFonts w:ascii="Arial" w:eastAsia="Times New Roman" w:hAnsi="Arial" w:cs="Arial"/>
          <w:sz w:val="20"/>
          <w:szCs w:val="20"/>
        </w:rPr>
        <w:t>2.717,84</w:t>
      </w:r>
      <w:r w:rsidR="004E1190" w:rsidRPr="00513167">
        <w:rPr>
          <w:rFonts w:ascii="Arial" w:eastAsia="Times New Roman" w:hAnsi="Arial" w:cs="Arial"/>
          <w:sz w:val="20"/>
          <w:szCs w:val="20"/>
        </w:rPr>
        <w:t xml:space="preserve"> €</w:t>
      </w:r>
      <w:r w:rsidRPr="00513167">
        <w:rPr>
          <w:rFonts w:ascii="Arial" w:eastAsia="Times New Roman" w:hAnsi="Arial" w:cs="Arial"/>
          <w:sz w:val="20"/>
          <w:szCs w:val="20"/>
        </w:rPr>
        <w:t>).</w:t>
      </w:r>
    </w:p>
    <w:bookmarkEnd w:id="436"/>
    <w:bookmarkEnd w:id="437"/>
    <w:p w14:paraId="3DF07CC3" w14:textId="77777777" w:rsidR="00EA65B3" w:rsidRPr="00513167" w:rsidRDefault="00EA65B3" w:rsidP="00EA65B3">
      <w:pPr>
        <w:spacing w:after="0" w:line="240" w:lineRule="auto"/>
        <w:jc w:val="both"/>
        <w:rPr>
          <w:rFonts w:ascii="Arial" w:eastAsia="Times New Roman" w:hAnsi="Arial" w:cs="Arial"/>
          <w:sz w:val="20"/>
          <w:szCs w:val="20"/>
        </w:rPr>
      </w:pPr>
    </w:p>
    <w:p w14:paraId="4DEF238C" w14:textId="58C2EA33" w:rsidR="00EA65B3" w:rsidRPr="00513167" w:rsidRDefault="00EA65B3" w:rsidP="00EA65B3">
      <w:pPr>
        <w:spacing w:after="0" w:line="240" w:lineRule="auto"/>
        <w:jc w:val="both"/>
        <w:rPr>
          <w:rFonts w:ascii="Arial" w:eastAsia="Times New Roman" w:hAnsi="Arial" w:cs="Arial"/>
          <w:sz w:val="20"/>
          <w:szCs w:val="20"/>
        </w:rPr>
      </w:pPr>
      <w:r w:rsidRPr="00513167">
        <w:rPr>
          <w:rFonts w:ascii="Arial" w:eastAsia="Times New Roman" w:hAnsi="Arial" w:cs="Arial"/>
          <w:sz w:val="20"/>
          <w:szCs w:val="20"/>
        </w:rPr>
        <w:t xml:space="preserve">U slijedećoj tablici daje se kratak pregled zbirnog stanja obveza </w:t>
      </w:r>
      <w:r w:rsidRPr="00513167">
        <w:rPr>
          <w:rFonts w:ascii="Arial" w:eastAsia="Times New Roman" w:hAnsi="Arial" w:cs="Arial"/>
          <w:b/>
          <w:sz w:val="20"/>
          <w:szCs w:val="20"/>
        </w:rPr>
        <w:t>Općine i proračunskih korisnika</w:t>
      </w:r>
      <w:r w:rsidRPr="00513167">
        <w:rPr>
          <w:rFonts w:ascii="Arial" w:eastAsia="Times New Roman" w:hAnsi="Arial" w:cs="Arial"/>
          <w:sz w:val="20"/>
          <w:szCs w:val="20"/>
        </w:rPr>
        <w:t xml:space="preserve"> na dan </w:t>
      </w:r>
      <w:r w:rsidR="00EF1CF4">
        <w:rPr>
          <w:rFonts w:ascii="Arial" w:eastAsia="Times New Roman" w:hAnsi="Arial" w:cs="Arial"/>
          <w:sz w:val="20"/>
          <w:szCs w:val="20"/>
        </w:rPr>
        <w:t>30.06.2025</w:t>
      </w:r>
      <w:r w:rsidRPr="00513167">
        <w:rPr>
          <w:rFonts w:ascii="Arial" w:eastAsia="Times New Roman" w:hAnsi="Arial" w:cs="Arial"/>
          <w:sz w:val="20"/>
          <w:szCs w:val="20"/>
        </w:rPr>
        <w:t>. s iskazanim stanjem dospjelih nepodmirenih obveza Općine. Stanje dospjelih nepodmirenih obveza proračunskih korisnika se iskazuje u odvojenoj tablici.</w:t>
      </w:r>
    </w:p>
    <w:p w14:paraId="6A33A279" w14:textId="77777777" w:rsidR="00EA65B3" w:rsidRPr="00513167" w:rsidRDefault="00EA65B3" w:rsidP="00EA65B3">
      <w:pPr>
        <w:spacing w:after="0" w:line="240" w:lineRule="auto"/>
        <w:jc w:val="both"/>
        <w:rPr>
          <w:rFonts w:ascii="Arial" w:eastAsia="Times New Roman" w:hAnsi="Arial" w:cs="Arial"/>
          <w:sz w:val="20"/>
          <w:szCs w:val="20"/>
        </w:rPr>
      </w:pPr>
    </w:p>
    <w:p w14:paraId="59ECFC62" w14:textId="77777777" w:rsidR="00EA65B3" w:rsidRPr="00513167" w:rsidRDefault="00EA65B3" w:rsidP="00EA65B3">
      <w:pPr>
        <w:spacing w:after="0" w:line="240" w:lineRule="auto"/>
        <w:jc w:val="both"/>
        <w:rPr>
          <w:rFonts w:ascii="Arial" w:eastAsia="Times New Roman" w:hAnsi="Arial" w:cs="Arial"/>
          <w:sz w:val="20"/>
          <w:szCs w:val="20"/>
        </w:rPr>
      </w:pPr>
    </w:p>
    <w:p w14:paraId="739B222D" w14:textId="77777777" w:rsidR="00EA65B3" w:rsidRPr="00513167" w:rsidRDefault="00EA65B3" w:rsidP="00EA65B3">
      <w:pPr>
        <w:spacing w:after="0" w:line="240" w:lineRule="auto"/>
        <w:jc w:val="both"/>
        <w:rPr>
          <w:rFonts w:ascii="Arial" w:eastAsia="Times New Roman" w:hAnsi="Arial" w:cs="Arial"/>
          <w:sz w:val="20"/>
          <w:szCs w:val="20"/>
        </w:rPr>
      </w:pPr>
    </w:p>
    <w:p w14:paraId="217B0BBD" w14:textId="77777777" w:rsidR="00EA65B3" w:rsidRPr="00513167" w:rsidRDefault="00EA65B3" w:rsidP="00EA65B3">
      <w:pPr>
        <w:spacing w:after="0" w:line="240" w:lineRule="auto"/>
        <w:jc w:val="both"/>
        <w:rPr>
          <w:rFonts w:ascii="Arial" w:eastAsia="Times New Roman" w:hAnsi="Arial" w:cs="Arial"/>
          <w:sz w:val="20"/>
          <w:szCs w:val="20"/>
        </w:rPr>
      </w:pPr>
    </w:p>
    <w:p w14:paraId="087E2103" w14:textId="77777777" w:rsidR="00EA65B3" w:rsidRPr="003A2F86" w:rsidRDefault="00EA65B3" w:rsidP="00EA65B3">
      <w:pPr>
        <w:spacing w:after="0" w:line="240" w:lineRule="auto"/>
        <w:jc w:val="both"/>
        <w:rPr>
          <w:rFonts w:ascii="Arial" w:eastAsia="Times New Roman" w:hAnsi="Arial" w:cs="Arial"/>
          <w:sz w:val="20"/>
          <w:szCs w:val="20"/>
        </w:rPr>
      </w:pPr>
    </w:p>
    <w:p w14:paraId="69C53146" w14:textId="77777777" w:rsidR="00EA65B3" w:rsidRPr="003A2F86" w:rsidRDefault="00EA65B3" w:rsidP="00EA65B3">
      <w:pPr>
        <w:spacing w:after="0" w:line="240" w:lineRule="auto"/>
        <w:jc w:val="both"/>
        <w:rPr>
          <w:rFonts w:ascii="Arial" w:eastAsia="Times New Roman" w:hAnsi="Arial" w:cs="Arial"/>
          <w:sz w:val="20"/>
          <w:szCs w:val="20"/>
        </w:rPr>
      </w:pPr>
    </w:p>
    <w:p w14:paraId="4D004BAE" w14:textId="77777777" w:rsidR="00EA65B3" w:rsidRPr="003A2F86" w:rsidRDefault="00EA65B3" w:rsidP="00EA65B3">
      <w:pPr>
        <w:spacing w:after="0" w:line="240" w:lineRule="auto"/>
        <w:jc w:val="both"/>
        <w:rPr>
          <w:rFonts w:ascii="Arial" w:eastAsia="Times New Roman" w:hAnsi="Arial" w:cs="Arial"/>
          <w:sz w:val="20"/>
          <w:szCs w:val="20"/>
        </w:rPr>
      </w:pPr>
    </w:p>
    <w:p w14:paraId="1F6438B7" w14:textId="77777777" w:rsidR="00EA65B3" w:rsidRPr="003A2F86" w:rsidRDefault="00EA65B3" w:rsidP="00EA65B3">
      <w:pPr>
        <w:spacing w:after="0" w:line="240" w:lineRule="auto"/>
        <w:jc w:val="both"/>
        <w:rPr>
          <w:rFonts w:ascii="Arial" w:eastAsia="Times New Roman" w:hAnsi="Arial" w:cs="Arial"/>
          <w:sz w:val="20"/>
          <w:szCs w:val="20"/>
        </w:rPr>
      </w:pPr>
    </w:p>
    <w:p w14:paraId="62E08A89" w14:textId="77777777" w:rsidR="00EA65B3" w:rsidRPr="003A2F86" w:rsidRDefault="00EA65B3" w:rsidP="00EA65B3">
      <w:pPr>
        <w:spacing w:after="0" w:line="240" w:lineRule="auto"/>
        <w:jc w:val="both"/>
        <w:rPr>
          <w:rFonts w:ascii="Arial" w:eastAsia="Times New Roman" w:hAnsi="Arial" w:cs="Arial"/>
          <w:sz w:val="20"/>
          <w:szCs w:val="20"/>
        </w:rPr>
      </w:pPr>
    </w:p>
    <w:p w14:paraId="5B2FA39A" w14:textId="77777777" w:rsidR="00EA65B3" w:rsidRPr="003A2F86" w:rsidRDefault="00EA65B3" w:rsidP="00EA65B3">
      <w:pPr>
        <w:spacing w:after="0" w:line="240" w:lineRule="auto"/>
        <w:jc w:val="both"/>
        <w:rPr>
          <w:rFonts w:ascii="Arial" w:eastAsia="Times New Roman" w:hAnsi="Arial" w:cs="Arial"/>
          <w:sz w:val="20"/>
          <w:szCs w:val="20"/>
        </w:rPr>
      </w:pPr>
    </w:p>
    <w:p w14:paraId="4DA4321F" w14:textId="77777777" w:rsidR="00EA65B3" w:rsidRPr="003A2F86" w:rsidRDefault="00EA65B3" w:rsidP="00EA65B3">
      <w:pPr>
        <w:spacing w:after="0" w:line="240" w:lineRule="auto"/>
        <w:jc w:val="both"/>
        <w:rPr>
          <w:rFonts w:ascii="Arial" w:eastAsia="Times New Roman" w:hAnsi="Arial" w:cs="Arial"/>
          <w:sz w:val="20"/>
          <w:szCs w:val="20"/>
        </w:rPr>
      </w:pPr>
    </w:p>
    <w:p w14:paraId="06CA743B" w14:textId="77777777" w:rsidR="00EA65B3" w:rsidRPr="003A2F86" w:rsidRDefault="00EA65B3" w:rsidP="00EA65B3">
      <w:pPr>
        <w:spacing w:after="0" w:line="240" w:lineRule="auto"/>
        <w:jc w:val="both"/>
        <w:rPr>
          <w:rFonts w:ascii="Arial" w:eastAsia="Times New Roman" w:hAnsi="Arial" w:cs="Arial"/>
          <w:sz w:val="20"/>
          <w:szCs w:val="20"/>
        </w:rPr>
      </w:pPr>
    </w:p>
    <w:p w14:paraId="2A0E246F" w14:textId="77777777" w:rsidR="00EA65B3" w:rsidRPr="003A2F86" w:rsidRDefault="00EA65B3" w:rsidP="00EA65B3">
      <w:pPr>
        <w:spacing w:after="0" w:line="240" w:lineRule="auto"/>
        <w:jc w:val="both"/>
        <w:rPr>
          <w:rFonts w:ascii="Arial" w:eastAsia="Times New Roman" w:hAnsi="Arial" w:cs="Arial"/>
          <w:sz w:val="20"/>
          <w:szCs w:val="20"/>
        </w:rPr>
      </w:pPr>
    </w:p>
    <w:p w14:paraId="7B988B5D" w14:textId="77777777" w:rsidR="00EA65B3" w:rsidRPr="003A2F86" w:rsidRDefault="00EA65B3" w:rsidP="00EA65B3">
      <w:pPr>
        <w:spacing w:after="0" w:line="240" w:lineRule="auto"/>
        <w:jc w:val="both"/>
        <w:rPr>
          <w:rFonts w:ascii="Arial" w:eastAsia="Times New Roman" w:hAnsi="Arial" w:cs="Arial"/>
          <w:sz w:val="20"/>
          <w:szCs w:val="20"/>
        </w:rPr>
      </w:pPr>
    </w:p>
    <w:p w14:paraId="26277535" w14:textId="77777777" w:rsidR="00EA65B3" w:rsidRPr="003A2F86" w:rsidRDefault="00EA65B3" w:rsidP="00EA65B3">
      <w:pPr>
        <w:spacing w:after="0" w:line="240" w:lineRule="auto"/>
        <w:jc w:val="both"/>
        <w:rPr>
          <w:rFonts w:ascii="Arial" w:eastAsia="Times New Roman" w:hAnsi="Arial" w:cs="Arial"/>
          <w:sz w:val="20"/>
          <w:szCs w:val="20"/>
        </w:rPr>
      </w:pPr>
    </w:p>
    <w:p w14:paraId="52C846FF" w14:textId="50184AB3" w:rsidR="00EA65B3" w:rsidRPr="003A2F86" w:rsidRDefault="00EA65B3" w:rsidP="00EA65B3">
      <w:pPr>
        <w:pStyle w:val="Opisslike"/>
        <w:keepNext/>
        <w:jc w:val="both"/>
        <w:rPr>
          <w:rFonts w:ascii="Arial" w:hAnsi="Arial" w:cs="Arial"/>
          <w:bCs w:val="0"/>
          <w:iCs/>
        </w:rPr>
      </w:pPr>
      <w:bookmarkStart w:id="439" w:name="_Toc207707001"/>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37</w:t>
      </w:r>
      <w:r w:rsidRPr="003A2F86">
        <w:rPr>
          <w:color w:val="FF0000"/>
        </w:rPr>
        <w:fldChar w:fldCharType="end"/>
      </w:r>
      <w:r w:rsidRPr="003A2F86">
        <w:rPr>
          <w:color w:val="FF0000"/>
        </w:rPr>
        <w:t>.</w:t>
      </w:r>
      <w:r w:rsidRPr="003A2F86">
        <w:t xml:space="preserve">: </w:t>
      </w:r>
      <w:r w:rsidRPr="003A2F86">
        <w:rPr>
          <w:rFonts w:ascii="Arial" w:hAnsi="Arial" w:cs="Arial"/>
          <w:bCs w:val="0"/>
          <w:iCs/>
        </w:rPr>
        <w:t xml:space="preserve">Pregled stanja ukupnih obveza Općine i proračunskih korisnika, te nepodmirenih </w:t>
      </w:r>
      <w:r w:rsidR="00495844" w:rsidRPr="003A2F86">
        <w:rPr>
          <w:rFonts w:ascii="Arial" w:hAnsi="Arial" w:cs="Arial"/>
          <w:bCs w:val="0"/>
          <w:iCs/>
        </w:rPr>
        <w:t xml:space="preserve">dospjelih </w:t>
      </w:r>
      <w:r w:rsidRPr="003A2F86">
        <w:rPr>
          <w:rFonts w:ascii="Arial" w:hAnsi="Arial" w:cs="Arial"/>
          <w:bCs w:val="0"/>
          <w:iCs/>
        </w:rPr>
        <w:t xml:space="preserve">obveza na dan </w:t>
      </w:r>
      <w:r w:rsidR="005A28EA">
        <w:rPr>
          <w:rFonts w:ascii="Arial" w:hAnsi="Arial" w:cs="Arial"/>
          <w:bCs w:val="0"/>
          <w:iCs/>
        </w:rPr>
        <w:t>30.06.2025</w:t>
      </w:r>
      <w:r w:rsidRPr="003A2F86">
        <w:rPr>
          <w:rFonts w:ascii="Arial" w:hAnsi="Arial" w:cs="Arial"/>
          <w:bCs w:val="0"/>
          <w:iCs/>
        </w:rPr>
        <w:t>.</w:t>
      </w:r>
      <w:bookmarkEnd w:id="439"/>
    </w:p>
    <w:p w14:paraId="430B754F" w14:textId="219DEF4F" w:rsidR="00513167" w:rsidRDefault="00EF1CF4" w:rsidP="00513167">
      <w:pPr>
        <w:autoSpaceDE w:val="0"/>
        <w:autoSpaceDN w:val="0"/>
        <w:adjustRightInd w:val="0"/>
        <w:spacing w:after="0" w:line="240" w:lineRule="auto"/>
        <w:jc w:val="center"/>
      </w:pPr>
      <w:r w:rsidRPr="00EF1CF4">
        <w:rPr>
          <w:noProof/>
        </w:rPr>
        <w:drawing>
          <wp:inline distT="0" distB="0" distL="0" distR="0" wp14:anchorId="38956559" wp14:editId="51B761AB">
            <wp:extent cx="7684449" cy="5486400"/>
            <wp:effectExtent l="0" t="0" r="0" b="0"/>
            <wp:docPr id="2043960987"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688514" cy="5489302"/>
                    </a:xfrm>
                    <a:prstGeom prst="rect">
                      <a:avLst/>
                    </a:prstGeom>
                    <a:noFill/>
                    <a:ln>
                      <a:noFill/>
                    </a:ln>
                  </pic:spPr>
                </pic:pic>
              </a:graphicData>
            </a:graphic>
          </wp:inline>
        </w:drawing>
      </w:r>
    </w:p>
    <w:p w14:paraId="32DCAF2B" w14:textId="2A865277" w:rsidR="00D162A4" w:rsidRDefault="00D162A4" w:rsidP="00513167">
      <w:pPr>
        <w:autoSpaceDE w:val="0"/>
        <w:autoSpaceDN w:val="0"/>
        <w:adjustRightInd w:val="0"/>
        <w:spacing w:after="0" w:line="240" w:lineRule="auto"/>
        <w:jc w:val="center"/>
      </w:pPr>
    </w:p>
    <w:p w14:paraId="53E313AD" w14:textId="7CDA7D4C" w:rsidR="00D162A4" w:rsidRDefault="00EF1CF4" w:rsidP="00513167">
      <w:pPr>
        <w:autoSpaceDE w:val="0"/>
        <w:autoSpaceDN w:val="0"/>
        <w:adjustRightInd w:val="0"/>
        <w:spacing w:after="0" w:line="240" w:lineRule="auto"/>
        <w:jc w:val="center"/>
      </w:pPr>
      <w:r w:rsidRPr="00EF1CF4">
        <w:rPr>
          <w:noProof/>
        </w:rPr>
        <w:lastRenderedPageBreak/>
        <w:drawing>
          <wp:inline distT="0" distB="0" distL="0" distR="0" wp14:anchorId="6D5713C5" wp14:editId="43619960">
            <wp:extent cx="7705725" cy="5534448"/>
            <wp:effectExtent l="0" t="0" r="0" b="9525"/>
            <wp:docPr id="2133194492"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706903" cy="5535294"/>
                    </a:xfrm>
                    <a:prstGeom prst="rect">
                      <a:avLst/>
                    </a:prstGeom>
                    <a:noFill/>
                    <a:ln>
                      <a:noFill/>
                    </a:ln>
                  </pic:spPr>
                </pic:pic>
              </a:graphicData>
            </a:graphic>
          </wp:inline>
        </w:drawing>
      </w:r>
    </w:p>
    <w:p w14:paraId="6C30C53B" w14:textId="77777777" w:rsidR="00D162A4" w:rsidRDefault="00D162A4" w:rsidP="00513167">
      <w:pPr>
        <w:autoSpaceDE w:val="0"/>
        <w:autoSpaceDN w:val="0"/>
        <w:adjustRightInd w:val="0"/>
        <w:spacing w:after="0" w:line="240" w:lineRule="auto"/>
        <w:jc w:val="center"/>
        <w:rPr>
          <w:rFonts w:ascii="Arial" w:eastAsia="Times New Roman" w:hAnsi="Arial" w:cs="Arial"/>
          <w:sz w:val="20"/>
          <w:szCs w:val="20"/>
        </w:rPr>
      </w:pPr>
    </w:p>
    <w:p w14:paraId="7EFE6ACE" w14:textId="77777777" w:rsidR="00513167" w:rsidRPr="003A2F86" w:rsidRDefault="00513167" w:rsidP="00EA65B3">
      <w:pPr>
        <w:autoSpaceDE w:val="0"/>
        <w:autoSpaceDN w:val="0"/>
        <w:adjustRightInd w:val="0"/>
        <w:spacing w:after="0" w:line="240" w:lineRule="auto"/>
        <w:jc w:val="both"/>
        <w:rPr>
          <w:rFonts w:ascii="Arial" w:eastAsia="Times New Roman" w:hAnsi="Arial" w:cs="Arial"/>
          <w:sz w:val="20"/>
          <w:szCs w:val="20"/>
        </w:rPr>
      </w:pPr>
    </w:p>
    <w:p w14:paraId="1EB6C828" w14:textId="4EB8B144" w:rsidR="005E2FBD" w:rsidRPr="006625D0" w:rsidRDefault="005E2FBD" w:rsidP="005E2FBD">
      <w:pPr>
        <w:autoSpaceDE w:val="0"/>
        <w:autoSpaceDN w:val="0"/>
        <w:adjustRightInd w:val="0"/>
        <w:spacing w:after="0" w:line="240" w:lineRule="auto"/>
        <w:jc w:val="both"/>
      </w:pPr>
      <w:r w:rsidRPr="006625D0">
        <w:rPr>
          <w:rFonts w:ascii="Arial" w:eastAsia="Times New Roman" w:hAnsi="Arial" w:cs="Arial"/>
          <w:sz w:val="20"/>
          <w:szCs w:val="20"/>
        </w:rPr>
        <w:lastRenderedPageBreak/>
        <w:t xml:space="preserve">U okviru ukupnih obveza Općine koncem </w:t>
      </w:r>
      <w:r w:rsidR="00EF1CF4">
        <w:rPr>
          <w:rFonts w:ascii="Arial" w:eastAsia="Times New Roman" w:hAnsi="Arial" w:cs="Arial"/>
          <w:sz w:val="20"/>
          <w:szCs w:val="20"/>
        </w:rPr>
        <w:t xml:space="preserve">lipnja </w:t>
      </w:r>
      <w:r w:rsidRPr="006625D0">
        <w:rPr>
          <w:rFonts w:ascii="Arial" w:eastAsia="Times New Roman" w:hAnsi="Arial" w:cs="Arial"/>
          <w:sz w:val="20"/>
          <w:szCs w:val="20"/>
        </w:rPr>
        <w:t>202</w:t>
      </w:r>
      <w:r w:rsidR="00EF1CF4">
        <w:rPr>
          <w:rFonts w:ascii="Arial" w:eastAsia="Times New Roman" w:hAnsi="Arial" w:cs="Arial"/>
          <w:sz w:val="20"/>
          <w:szCs w:val="20"/>
        </w:rPr>
        <w:t>5</w:t>
      </w:r>
      <w:r w:rsidRPr="006625D0">
        <w:rPr>
          <w:rFonts w:ascii="Arial" w:eastAsia="Times New Roman" w:hAnsi="Arial" w:cs="Arial"/>
          <w:sz w:val="20"/>
          <w:szCs w:val="20"/>
        </w:rPr>
        <w:t xml:space="preserve">. godine dospjele nepodmirene </w:t>
      </w:r>
      <w:r w:rsidR="00495844" w:rsidRPr="006625D0">
        <w:rPr>
          <w:rFonts w:ascii="Arial" w:eastAsia="Times New Roman" w:hAnsi="Arial" w:cs="Arial"/>
          <w:sz w:val="20"/>
          <w:szCs w:val="20"/>
        </w:rPr>
        <w:t xml:space="preserve">dospjele </w:t>
      </w:r>
      <w:r w:rsidRPr="006625D0">
        <w:rPr>
          <w:rFonts w:ascii="Arial" w:eastAsia="Times New Roman" w:hAnsi="Arial" w:cs="Arial"/>
          <w:sz w:val="20"/>
          <w:szCs w:val="20"/>
        </w:rPr>
        <w:t xml:space="preserve">obveze iznose </w:t>
      </w:r>
      <w:r w:rsidR="00EF1CF4">
        <w:rPr>
          <w:rFonts w:ascii="Arial" w:eastAsia="Times New Roman" w:hAnsi="Arial" w:cs="Arial"/>
          <w:sz w:val="20"/>
          <w:szCs w:val="20"/>
        </w:rPr>
        <w:t>193.831,24</w:t>
      </w:r>
      <w:r w:rsidRPr="006625D0">
        <w:rPr>
          <w:rFonts w:ascii="Arial" w:eastAsia="Times New Roman" w:hAnsi="Arial" w:cs="Arial"/>
          <w:sz w:val="20"/>
          <w:szCs w:val="20"/>
        </w:rPr>
        <w:t xml:space="preserve"> € </w:t>
      </w:r>
      <w:r w:rsidRPr="006625D0">
        <w:rPr>
          <w:rFonts w:ascii="Arial" w:hAnsi="Arial" w:cs="Arial"/>
          <w:bCs/>
          <w:iCs/>
          <w:sz w:val="20"/>
          <w:szCs w:val="20"/>
        </w:rPr>
        <w:t xml:space="preserve">(prekoračenje 1 do </w:t>
      </w:r>
      <w:r w:rsidR="006625D0" w:rsidRPr="006625D0">
        <w:rPr>
          <w:rFonts w:ascii="Arial" w:hAnsi="Arial" w:cs="Arial"/>
          <w:bCs/>
          <w:iCs/>
          <w:sz w:val="20"/>
          <w:szCs w:val="20"/>
        </w:rPr>
        <w:t xml:space="preserve">180 </w:t>
      </w:r>
      <w:r w:rsidRPr="006625D0">
        <w:rPr>
          <w:rFonts w:ascii="Arial" w:hAnsi="Arial" w:cs="Arial"/>
          <w:bCs/>
          <w:iCs/>
          <w:sz w:val="20"/>
          <w:szCs w:val="20"/>
        </w:rPr>
        <w:t xml:space="preserve">dana) </w:t>
      </w:r>
      <w:r w:rsidRPr="006625D0">
        <w:rPr>
          <w:rFonts w:ascii="Arial" w:eastAsia="Times New Roman" w:hAnsi="Arial" w:cs="Arial"/>
          <w:sz w:val="20"/>
          <w:szCs w:val="20"/>
        </w:rPr>
        <w:t xml:space="preserve">i odnose se na </w:t>
      </w:r>
      <w:r w:rsidRPr="006625D0">
        <w:rPr>
          <w:rFonts w:ascii="Arial" w:hAnsi="Arial" w:cs="Arial"/>
          <w:bCs/>
          <w:iCs/>
          <w:sz w:val="20"/>
          <w:szCs w:val="20"/>
        </w:rPr>
        <w:t xml:space="preserve">obveze za rashode poslovanja i obveze za nabavu nefinancijske imovine. Najveći dio obveza je podmiren u </w:t>
      </w:r>
      <w:r w:rsidR="00EF1CF4">
        <w:rPr>
          <w:rFonts w:ascii="Arial" w:hAnsi="Arial" w:cs="Arial"/>
          <w:bCs/>
          <w:iCs/>
          <w:sz w:val="20"/>
          <w:szCs w:val="20"/>
        </w:rPr>
        <w:t>srpnju</w:t>
      </w:r>
      <w:r w:rsidRPr="006625D0">
        <w:rPr>
          <w:rFonts w:ascii="Arial" w:hAnsi="Arial" w:cs="Arial"/>
          <w:bCs/>
          <w:iCs/>
          <w:sz w:val="20"/>
          <w:szCs w:val="20"/>
        </w:rPr>
        <w:t xml:space="preserve"> 202</w:t>
      </w:r>
      <w:r w:rsidR="006625D0" w:rsidRPr="006625D0">
        <w:rPr>
          <w:rFonts w:ascii="Arial" w:hAnsi="Arial" w:cs="Arial"/>
          <w:bCs/>
          <w:iCs/>
          <w:sz w:val="20"/>
          <w:szCs w:val="20"/>
        </w:rPr>
        <w:t>5</w:t>
      </w:r>
      <w:r w:rsidRPr="006625D0">
        <w:rPr>
          <w:rFonts w:ascii="Arial" w:hAnsi="Arial" w:cs="Arial"/>
          <w:bCs/>
          <w:iCs/>
          <w:sz w:val="20"/>
          <w:szCs w:val="20"/>
        </w:rPr>
        <w:t xml:space="preserve">. godine. </w:t>
      </w:r>
    </w:p>
    <w:p w14:paraId="5ABCE9D6" w14:textId="1A2E0168" w:rsidR="00571B78" w:rsidRPr="006625D0" w:rsidRDefault="00571B78" w:rsidP="00EA65B3">
      <w:pPr>
        <w:autoSpaceDE w:val="0"/>
        <w:autoSpaceDN w:val="0"/>
        <w:adjustRightInd w:val="0"/>
        <w:spacing w:after="0" w:line="240" w:lineRule="auto"/>
        <w:jc w:val="both"/>
        <w:rPr>
          <w:rFonts w:ascii="Arial" w:eastAsia="Times New Roman" w:hAnsi="Arial" w:cs="Arial"/>
          <w:sz w:val="20"/>
          <w:szCs w:val="20"/>
        </w:rPr>
      </w:pPr>
    </w:p>
    <w:p w14:paraId="5DA1A443" w14:textId="635A1097" w:rsidR="00EA65B3" w:rsidRPr="006625D0" w:rsidRDefault="00EA65B3" w:rsidP="00EA65B3">
      <w:pPr>
        <w:spacing w:after="0" w:line="240" w:lineRule="auto"/>
        <w:ind w:firstLine="709"/>
        <w:rPr>
          <w:rFonts w:ascii="Arial" w:hAnsi="Arial" w:cs="Arial"/>
          <w:sz w:val="20"/>
          <w:szCs w:val="20"/>
          <w:lang w:eastAsia="en-US"/>
        </w:rPr>
      </w:pPr>
      <w:bookmarkStart w:id="440" w:name="_Hlk77837830"/>
      <w:r w:rsidRPr="006625D0">
        <w:rPr>
          <w:rFonts w:ascii="Arial" w:hAnsi="Arial" w:cs="Arial"/>
          <w:sz w:val="20"/>
          <w:szCs w:val="20"/>
          <w:lang w:eastAsia="en-US"/>
        </w:rPr>
        <w:t xml:space="preserve">Obveze za </w:t>
      </w:r>
      <w:r w:rsidRPr="006625D0">
        <w:rPr>
          <w:rFonts w:ascii="Arial" w:hAnsi="Arial" w:cs="Arial"/>
          <w:b/>
          <w:bCs/>
          <w:i/>
          <w:iCs/>
          <w:sz w:val="20"/>
          <w:szCs w:val="20"/>
          <w:lang w:eastAsia="en-US"/>
        </w:rPr>
        <w:t>beskamatne zajmove od državnog proračuna</w:t>
      </w:r>
      <w:r w:rsidRPr="006625D0">
        <w:rPr>
          <w:rFonts w:ascii="Arial" w:hAnsi="Arial" w:cs="Arial"/>
          <w:sz w:val="20"/>
          <w:szCs w:val="20"/>
          <w:lang w:eastAsia="en-US"/>
        </w:rPr>
        <w:t xml:space="preserve"> koncem </w:t>
      </w:r>
      <w:r w:rsidR="00EF1CF4">
        <w:rPr>
          <w:rFonts w:ascii="Arial" w:hAnsi="Arial" w:cs="Arial"/>
          <w:sz w:val="20"/>
          <w:szCs w:val="20"/>
          <w:lang w:eastAsia="en-US"/>
        </w:rPr>
        <w:t xml:space="preserve">lipnja </w:t>
      </w:r>
      <w:r w:rsidRPr="006625D0">
        <w:rPr>
          <w:rFonts w:ascii="Arial" w:hAnsi="Arial" w:cs="Arial"/>
          <w:sz w:val="20"/>
          <w:szCs w:val="20"/>
          <w:lang w:eastAsia="en-US"/>
        </w:rPr>
        <w:t>202</w:t>
      </w:r>
      <w:r w:rsidR="00EF1CF4">
        <w:rPr>
          <w:rFonts w:ascii="Arial" w:hAnsi="Arial" w:cs="Arial"/>
          <w:sz w:val="20"/>
          <w:szCs w:val="20"/>
          <w:lang w:eastAsia="en-US"/>
        </w:rPr>
        <w:t>5</w:t>
      </w:r>
      <w:r w:rsidRPr="006625D0">
        <w:rPr>
          <w:rFonts w:ascii="Arial" w:hAnsi="Arial" w:cs="Arial"/>
          <w:sz w:val="20"/>
          <w:szCs w:val="20"/>
          <w:lang w:eastAsia="en-US"/>
        </w:rPr>
        <w:t xml:space="preserve">. u iznosu </w:t>
      </w:r>
      <w:r w:rsidR="005017A2" w:rsidRPr="006625D0">
        <w:rPr>
          <w:rFonts w:ascii="Arial" w:hAnsi="Arial" w:cs="Arial"/>
          <w:sz w:val="20"/>
          <w:szCs w:val="20"/>
          <w:lang w:eastAsia="en-US"/>
        </w:rPr>
        <w:t>1.332.079,53</w:t>
      </w:r>
      <w:r w:rsidRPr="006625D0">
        <w:rPr>
          <w:rFonts w:ascii="Arial" w:hAnsi="Arial" w:cs="Arial"/>
          <w:sz w:val="20"/>
          <w:szCs w:val="20"/>
          <w:lang w:eastAsia="en-US"/>
        </w:rPr>
        <w:t xml:space="preserve"> € u cijelosti se odnose na beskamatne zajmove i to:</w:t>
      </w:r>
    </w:p>
    <w:p w14:paraId="1D27813F" w14:textId="2160611F" w:rsidR="00EA65B3" w:rsidRPr="006625D0" w:rsidRDefault="00EA65B3">
      <w:pPr>
        <w:pStyle w:val="Odlomakpopisa"/>
        <w:numPr>
          <w:ilvl w:val="0"/>
          <w:numId w:val="50"/>
        </w:numPr>
        <w:rPr>
          <w:rFonts w:ascii="Arial" w:hAnsi="Arial" w:cs="Arial"/>
          <w:b/>
          <w:bCs/>
        </w:rPr>
      </w:pPr>
      <w:r w:rsidRPr="006625D0">
        <w:rPr>
          <w:rFonts w:ascii="Arial" w:hAnsi="Arial" w:cs="Arial"/>
          <w:b/>
          <w:bCs/>
        </w:rPr>
        <w:t>nedospjele obveze:</w:t>
      </w:r>
    </w:p>
    <w:p w14:paraId="0F961EBD" w14:textId="0455822C" w:rsidR="00EA65B3" w:rsidRPr="006625D0" w:rsidRDefault="00EA65B3" w:rsidP="00495844">
      <w:pPr>
        <w:numPr>
          <w:ilvl w:val="1"/>
          <w:numId w:val="9"/>
        </w:numPr>
        <w:spacing w:after="0" w:line="240" w:lineRule="auto"/>
        <w:jc w:val="both"/>
        <w:rPr>
          <w:rFonts w:ascii="Arial" w:hAnsi="Arial" w:cs="Arial"/>
          <w:sz w:val="20"/>
          <w:szCs w:val="20"/>
          <w:lang w:eastAsia="en-US"/>
        </w:rPr>
      </w:pPr>
      <w:r w:rsidRPr="006625D0">
        <w:rPr>
          <w:rFonts w:ascii="Arial" w:hAnsi="Arial" w:cs="Arial"/>
          <w:sz w:val="20"/>
          <w:szCs w:val="20"/>
          <w:lang w:eastAsia="en-US"/>
        </w:rPr>
        <w:t xml:space="preserve">obveze 451.257,55 € za zajam uplaćen 24.12.2020. u iznosu 3.400.000 kn na temelju pada prihoda u 2020. godini (rok povrata </w:t>
      </w:r>
      <w:r w:rsidR="005017A2" w:rsidRPr="006625D0">
        <w:rPr>
          <w:rFonts w:ascii="Arial" w:hAnsi="Arial" w:cs="Arial"/>
          <w:sz w:val="20"/>
          <w:szCs w:val="20"/>
          <w:lang w:eastAsia="en-US"/>
        </w:rPr>
        <w:t xml:space="preserve">prvotno bio </w:t>
      </w:r>
      <w:r w:rsidRPr="006625D0">
        <w:rPr>
          <w:rFonts w:ascii="Arial" w:hAnsi="Arial" w:cs="Arial"/>
          <w:sz w:val="20"/>
          <w:szCs w:val="20"/>
          <w:lang w:eastAsia="en-US"/>
        </w:rPr>
        <w:t>3 godine, odnosno do konca 2023. godine</w:t>
      </w:r>
      <w:r w:rsidR="005017A2" w:rsidRPr="006625D0">
        <w:rPr>
          <w:rFonts w:ascii="Arial" w:hAnsi="Arial" w:cs="Arial"/>
          <w:sz w:val="20"/>
          <w:szCs w:val="20"/>
          <w:lang w:eastAsia="en-US"/>
        </w:rPr>
        <w:t xml:space="preserve">, </w:t>
      </w:r>
      <w:r w:rsidR="00B35217">
        <w:rPr>
          <w:rFonts w:ascii="Arial" w:hAnsi="Arial" w:cs="Arial"/>
          <w:sz w:val="20"/>
          <w:szCs w:val="20"/>
          <w:lang w:eastAsia="en-US"/>
        </w:rPr>
        <w:t xml:space="preserve">a </w:t>
      </w:r>
      <w:r w:rsidR="005017A2" w:rsidRPr="006625D0">
        <w:rPr>
          <w:rFonts w:ascii="Arial" w:hAnsi="Arial" w:cs="Arial"/>
          <w:sz w:val="20"/>
          <w:szCs w:val="20"/>
          <w:lang w:eastAsia="en-US"/>
        </w:rPr>
        <w:t xml:space="preserve">produžen </w:t>
      </w:r>
      <w:r w:rsidR="00B35217">
        <w:rPr>
          <w:rFonts w:ascii="Arial" w:hAnsi="Arial" w:cs="Arial"/>
          <w:sz w:val="20"/>
          <w:szCs w:val="20"/>
          <w:lang w:eastAsia="en-US"/>
        </w:rPr>
        <w:t>je</w:t>
      </w:r>
      <w:r w:rsidR="005017A2" w:rsidRPr="006625D0">
        <w:rPr>
          <w:rFonts w:ascii="Arial" w:hAnsi="Arial" w:cs="Arial"/>
          <w:sz w:val="20"/>
          <w:szCs w:val="20"/>
          <w:lang w:eastAsia="en-US"/>
        </w:rPr>
        <w:t xml:space="preserve"> do konca 2027. godine</w:t>
      </w:r>
      <w:r w:rsidRPr="006625D0">
        <w:rPr>
          <w:rFonts w:ascii="Arial" w:hAnsi="Arial" w:cs="Arial"/>
          <w:sz w:val="20"/>
          <w:szCs w:val="20"/>
          <w:lang w:eastAsia="en-US"/>
        </w:rPr>
        <w:t>),</w:t>
      </w:r>
    </w:p>
    <w:p w14:paraId="0D25EBC4" w14:textId="04D889B0" w:rsidR="00EA65B3" w:rsidRPr="006625D0" w:rsidRDefault="00EA65B3" w:rsidP="00495844">
      <w:pPr>
        <w:numPr>
          <w:ilvl w:val="1"/>
          <w:numId w:val="9"/>
        </w:numPr>
        <w:spacing w:after="0" w:line="240" w:lineRule="auto"/>
        <w:jc w:val="both"/>
        <w:rPr>
          <w:rFonts w:ascii="Arial" w:hAnsi="Arial" w:cs="Arial"/>
          <w:sz w:val="20"/>
          <w:szCs w:val="20"/>
          <w:lang w:eastAsia="en-US"/>
        </w:rPr>
      </w:pPr>
      <w:r w:rsidRPr="006625D0">
        <w:rPr>
          <w:rFonts w:ascii="Arial" w:hAnsi="Arial" w:cs="Arial"/>
          <w:sz w:val="20"/>
          <w:szCs w:val="20"/>
          <w:lang w:eastAsia="en-US"/>
        </w:rPr>
        <w:t xml:space="preserve">obveze 783.064,57 € za zajam uplaćen 16.12.2021. u iznosu 5.900.000 kn na temelju pada prihoda u 2021. godini (rok povrata </w:t>
      </w:r>
      <w:r w:rsidR="005017A2" w:rsidRPr="006625D0">
        <w:rPr>
          <w:rFonts w:ascii="Arial" w:hAnsi="Arial" w:cs="Arial"/>
          <w:sz w:val="20"/>
          <w:szCs w:val="20"/>
          <w:lang w:eastAsia="en-US"/>
        </w:rPr>
        <w:t xml:space="preserve">prvotno bio </w:t>
      </w:r>
      <w:r w:rsidRPr="006625D0">
        <w:rPr>
          <w:rFonts w:ascii="Arial" w:hAnsi="Arial" w:cs="Arial"/>
          <w:sz w:val="20"/>
          <w:szCs w:val="20"/>
          <w:lang w:eastAsia="en-US"/>
        </w:rPr>
        <w:t>3 godine, odnosno do konca 2024. godine</w:t>
      </w:r>
      <w:r w:rsidR="005017A2" w:rsidRPr="006625D0">
        <w:rPr>
          <w:rFonts w:ascii="Arial" w:hAnsi="Arial" w:cs="Arial"/>
          <w:sz w:val="20"/>
          <w:szCs w:val="20"/>
          <w:lang w:eastAsia="en-US"/>
        </w:rPr>
        <w:t xml:space="preserve">, </w:t>
      </w:r>
      <w:r w:rsidR="00B35217">
        <w:rPr>
          <w:rFonts w:ascii="Arial" w:hAnsi="Arial" w:cs="Arial"/>
          <w:sz w:val="20"/>
          <w:szCs w:val="20"/>
          <w:lang w:eastAsia="en-US"/>
        </w:rPr>
        <w:t>a</w:t>
      </w:r>
      <w:r w:rsidR="005017A2" w:rsidRPr="006625D0">
        <w:rPr>
          <w:rFonts w:ascii="Arial" w:hAnsi="Arial" w:cs="Arial"/>
          <w:sz w:val="20"/>
          <w:szCs w:val="20"/>
          <w:lang w:eastAsia="en-US"/>
        </w:rPr>
        <w:t xml:space="preserve"> produžen </w:t>
      </w:r>
      <w:r w:rsidR="00B35217">
        <w:rPr>
          <w:rFonts w:ascii="Arial" w:hAnsi="Arial" w:cs="Arial"/>
          <w:sz w:val="20"/>
          <w:szCs w:val="20"/>
          <w:lang w:eastAsia="en-US"/>
        </w:rPr>
        <w:t>je</w:t>
      </w:r>
      <w:r w:rsidR="005017A2" w:rsidRPr="006625D0">
        <w:rPr>
          <w:rFonts w:ascii="Arial" w:hAnsi="Arial" w:cs="Arial"/>
          <w:sz w:val="20"/>
          <w:szCs w:val="20"/>
          <w:lang w:eastAsia="en-US"/>
        </w:rPr>
        <w:t xml:space="preserve"> do konca 2027. godine</w:t>
      </w:r>
      <w:r w:rsidRPr="006625D0">
        <w:rPr>
          <w:rFonts w:ascii="Arial" w:hAnsi="Arial" w:cs="Arial"/>
          <w:sz w:val="20"/>
          <w:szCs w:val="20"/>
          <w:lang w:eastAsia="en-US"/>
        </w:rPr>
        <w:t>),</w:t>
      </w:r>
    </w:p>
    <w:p w14:paraId="02D26D0A" w14:textId="273E7ACA" w:rsidR="00EA65B3" w:rsidRPr="006625D0" w:rsidRDefault="00EA65B3" w:rsidP="00495844">
      <w:pPr>
        <w:numPr>
          <w:ilvl w:val="1"/>
          <w:numId w:val="9"/>
        </w:numPr>
        <w:spacing w:after="0" w:line="240" w:lineRule="auto"/>
        <w:jc w:val="both"/>
        <w:rPr>
          <w:rFonts w:ascii="Arial" w:hAnsi="Arial" w:cs="Arial"/>
          <w:sz w:val="20"/>
          <w:szCs w:val="20"/>
          <w:lang w:eastAsia="en-US"/>
        </w:rPr>
      </w:pPr>
      <w:r w:rsidRPr="006625D0">
        <w:rPr>
          <w:rFonts w:ascii="Arial" w:hAnsi="Arial" w:cs="Arial"/>
          <w:sz w:val="20"/>
          <w:szCs w:val="20"/>
          <w:lang w:eastAsia="en-US"/>
        </w:rPr>
        <w:t>obveze 97.</w:t>
      </w:r>
      <w:r w:rsidR="005017A2" w:rsidRPr="006625D0">
        <w:rPr>
          <w:rFonts w:ascii="Arial" w:hAnsi="Arial" w:cs="Arial"/>
          <w:sz w:val="20"/>
          <w:szCs w:val="20"/>
          <w:lang w:eastAsia="en-US"/>
        </w:rPr>
        <w:t>757,41</w:t>
      </w:r>
      <w:r w:rsidRPr="006625D0">
        <w:rPr>
          <w:rFonts w:ascii="Arial" w:hAnsi="Arial" w:cs="Arial"/>
          <w:sz w:val="20"/>
          <w:szCs w:val="20"/>
          <w:lang w:eastAsia="en-US"/>
        </w:rPr>
        <w:t xml:space="preserve"> € za zajam u visini odgođenog plaćanja poreza i prireza na dohodak (</w:t>
      </w:r>
      <w:r w:rsidR="005017A2" w:rsidRPr="006625D0">
        <w:rPr>
          <w:rFonts w:ascii="Arial" w:hAnsi="Arial" w:cs="Arial"/>
          <w:sz w:val="20"/>
          <w:szCs w:val="20"/>
          <w:lang w:eastAsia="en-US"/>
        </w:rPr>
        <w:t>O</w:t>
      </w:r>
      <w:r w:rsidRPr="006625D0">
        <w:rPr>
          <w:rFonts w:ascii="Arial" w:hAnsi="Arial" w:cs="Arial"/>
          <w:sz w:val="20"/>
          <w:szCs w:val="20"/>
          <w:lang w:eastAsia="en-US"/>
        </w:rPr>
        <w:t xml:space="preserve">dgoda Porezne uprave obveznicima poreza i prireza na dohodak, a povrat zajma </w:t>
      </w:r>
      <w:r w:rsidR="005017A2" w:rsidRPr="006625D0">
        <w:rPr>
          <w:rFonts w:ascii="Arial" w:hAnsi="Arial" w:cs="Arial"/>
          <w:sz w:val="20"/>
          <w:szCs w:val="20"/>
          <w:lang w:eastAsia="en-US"/>
        </w:rPr>
        <w:t xml:space="preserve">su obavljali </w:t>
      </w:r>
      <w:r w:rsidRPr="006625D0">
        <w:rPr>
          <w:rFonts w:ascii="Arial" w:hAnsi="Arial" w:cs="Arial"/>
          <w:sz w:val="20"/>
          <w:szCs w:val="20"/>
          <w:lang w:eastAsia="en-US"/>
        </w:rPr>
        <w:t xml:space="preserve">obveznici kojima je odgoda odobrena, te </w:t>
      </w:r>
      <w:r w:rsidR="005017A2" w:rsidRPr="006625D0">
        <w:rPr>
          <w:rFonts w:ascii="Arial" w:hAnsi="Arial" w:cs="Arial"/>
          <w:sz w:val="20"/>
          <w:szCs w:val="20"/>
          <w:lang w:eastAsia="en-US"/>
        </w:rPr>
        <w:t xml:space="preserve">je </w:t>
      </w:r>
      <w:r w:rsidRPr="006625D0">
        <w:rPr>
          <w:rFonts w:ascii="Arial" w:hAnsi="Arial" w:cs="Arial"/>
          <w:sz w:val="20"/>
          <w:szCs w:val="20"/>
          <w:lang w:eastAsia="en-US"/>
        </w:rPr>
        <w:t>smanjenje zajma Općina obavlja</w:t>
      </w:r>
      <w:r w:rsidR="005017A2" w:rsidRPr="006625D0">
        <w:rPr>
          <w:rFonts w:ascii="Arial" w:hAnsi="Arial" w:cs="Arial"/>
          <w:sz w:val="20"/>
          <w:szCs w:val="20"/>
          <w:lang w:eastAsia="en-US"/>
        </w:rPr>
        <w:t>la</w:t>
      </w:r>
      <w:r w:rsidRPr="006625D0">
        <w:rPr>
          <w:rFonts w:ascii="Arial" w:hAnsi="Arial" w:cs="Arial"/>
          <w:sz w:val="20"/>
          <w:szCs w:val="20"/>
          <w:lang w:eastAsia="en-US"/>
        </w:rPr>
        <w:t xml:space="preserve"> po obavijestima financijske agencije</w:t>
      </w:r>
      <w:r w:rsidR="005017A2" w:rsidRPr="006625D0">
        <w:rPr>
          <w:rFonts w:ascii="Arial" w:hAnsi="Arial" w:cs="Arial"/>
          <w:sz w:val="20"/>
          <w:szCs w:val="20"/>
          <w:lang w:eastAsia="en-US"/>
        </w:rPr>
        <w:t>. Međutim na temelju obavijesti Ministarstva financija iz travnja 2024. godine, prema podacima Porezne uprave nema više aktivnih mjera obročne otplate i preostali iznos duga je Općina obvezna samostalno vratiti na račun državnog proračuna prema dinamici koju sama odredi a najkasnije do konca 2027. godine</w:t>
      </w:r>
      <w:r w:rsidRPr="006625D0">
        <w:rPr>
          <w:rFonts w:ascii="Arial" w:hAnsi="Arial" w:cs="Arial"/>
          <w:sz w:val="20"/>
          <w:szCs w:val="20"/>
          <w:lang w:eastAsia="en-US"/>
        </w:rPr>
        <w:t>)</w:t>
      </w:r>
      <w:r w:rsidR="00495844" w:rsidRPr="006625D0">
        <w:rPr>
          <w:rFonts w:ascii="Arial" w:hAnsi="Arial" w:cs="Arial"/>
          <w:sz w:val="20"/>
          <w:szCs w:val="20"/>
          <w:lang w:eastAsia="en-US"/>
        </w:rPr>
        <w:t>.</w:t>
      </w:r>
    </w:p>
    <w:p w14:paraId="6CC19F45" w14:textId="77777777" w:rsidR="00EA65B3" w:rsidRPr="00781A43" w:rsidRDefault="00EA65B3" w:rsidP="00EA65B3">
      <w:pPr>
        <w:spacing w:after="0" w:line="240" w:lineRule="auto"/>
        <w:rPr>
          <w:rFonts w:ascii="Arial" w:hAnsi="Arial" w:cs="Arial"/>
          <w:sz w:val="20"/>
          <w:szCs w:val="20"/>
          <w:lang w:eastAsia="en-US"/>
        </w:rPr>
      </w:pPr>
    </w:p>
    <w:p w14:paraId="5B080E6E" w14:textId="299575F0" w:rsidR="00EA65B3" w:rsidRPr="003A2F86" w:rsidRDefault="00EA65B3" w:rsidP="00EA65B3">
      <w:pPr>
        <w:pStyle w:val="Opisslike"/>
        <w:keepNext/>
        <w:jc w:val="both"/>
      </w:pPr>
      <w:bookmarkStart w:id="441" w:name="_Toc207707002"/>
      <w:bookmarkEnd w:id="440"/>
      <w:r w:rsidRPr="003A2F86">
        <w:rPr>
          <w:color w:val="FF0000"/>
        </w:rPr>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38</w:t>
      </w:r>
      <w:r w:rsidRPr="003A2F86">
        <w:rPr>
          <w:color w:val="FF0000"/>
        </w:rPr>
        <w:fldChar w:fldCharType="end"/>
      </w:r>
      <w:r w:rsidRPr="003A2F86">
        <w:rPr>
          <w:color w:val="FF0000"/>
        </w:rPr>
        <w:t>.</w:t>
      </w:r>
      <w:r w:rsidRPr="003A2F86">
        <w:t xml:space="preserve">: </w:t>
      </w:r>
      <w:r w:rsidRPr="003A2F86">
        <w:rPr>
          <w:rFonts w:ascii="Arial" w:hAnsi="Arial" w:cs="Arial"/>
          <w:bCs w:val="0"/>
          <w:iCs/>
        </w:rPr>
        <w:t xml:space="preserve">Pregled obveza proračunskih korisnika po dospjelosti na dan </w:t>
      </w:r>
      <w:r w:rsidR="00EF1CF4">
        <w:rPr>
          <w:rFonts w:ascii="Arial" w:hAnsi="Arial" w:cs="Arial"/>
          <w:bCs w:val="0"/>
          <w:iCs/>
        </w:rPr>
        <w:t>30.06.2025</w:t>
      </w:r>
      <w:r w:rsidRPr="003A2F86">
        <w:rPr>
          <w:rFonts w:ascii="Arial" w:hAnsi="Arial" w:cs="Arial"/>
          <w:bCs w:val="0"/>
          <w:iCs/>
        </w:rPr>
        <w:t>.</w:t>
      </w:r>
      <w:bookmarkEnd w:id="441"/>
    </w:p>
    <w:p w14:paraId="5F1E6F3F" w14:textId="1F0F4629" w:rsidR="00EA65B3" w:rsidRPr="003A2F86" w:rsidRDefault="00EA65B3" w:rsidP="00EA65B3">
      <w:pPr>
        <w:autoSpaceDE w:val="0"/>
        <w:autoSpaceDN w:val="0"/>
        <w:adjustRightInd w:val="0"/>
        <w:spacing w:after="0" w:line="240" w:lineRule="auto"/>
        <w:jc w:val="both"/>
        <w:rPr>
          <w:rFonts w:ascii="Arial" w:eastAsia="Times New Roman" w:hAnsi="Arial" w:cs="Arial"/>
          <w:sz w:val="20"/>
          <w:szCs w:val="20"/>
        </w:rPr>
      </w:pPr>
    </w:p>
    <w:p w14:paraId="000394CB" w14:textId="287C41F1" w:rsidR="00EF1CF4" w:rsidRDefault="00EF1CF4" w:rsidP="00EA65B3">
      <w:pPr>
        <w:autoSpaceDE w:val="0"/>
        <w:autoSpaceDN w:val="0"/>
        <w:adjustRightInd w:val="0"/>
        <w:spacing w:after="0" w:line="240" w:lineRule="auto"/>
        <w:jc w:val="both"/>
        <w:rPr>
          <w:rFonts w:ascii="Arial" w:eastAsia="Times New Roman" w:hAnsi="Arial" w:cs="Arial"/>
          <w:sz w:val="20"/>
          <w:szCs w:val="20"/>
        </w:rPr>
      </w:pPr>
      <w:r w:rsidRPr="00EF1CF4">
        <w:rPr>
          <w:noProof/>
        </w:rPr>
        <w:drawing>
          <wp:inline distT="0" distB="0" distL="0" distR="0" wp14:anchorId="7987BF6D" wp14:editId="31BEFF16">
            <wp:extent cx="9251950" cy="1905000"/>
            <wp:effectExtent l="0" t="0" r="6350" b="0"/>
            <wp:docPr id="305995904"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251950" cy="1905000"/>
                    </a:xfrm>
                    <a:prstGeom prst="rect">
                      <a:avLst/>
                    </a:prstGeom>
                    <a:noFill/>
                    <a:ln>
                      <a:noFill/>
                    </a:ln>
                  </pic:spPr>
                </pic:pic>
              </a:graphicData>
            </a:graphic>
          </wp:inline>
        </w:drawing>
      </w:r>
    </w:p>
    <w:p w14:paraId="74A34569" w14:textId="77777777" w:rsidR="00EF1CF4" w:rsidRPr="006625D0" w:rsidRDefault="00EF1CF4" w:rsidP="00EA65B3">
      <w:pPr>
        <w:autoSpaceDE w:val="0"/>
        <w:autoSpaceDN w:val="0"/>
        <w:adjustRightInd w:val="0"/>
        <w:spacing w:after="0" w:line="240" w:lineRule="auto"/>
        <w:jc w:val="both"/>
        <w:rPr>
          <w:rFonts w:ascii="Arial" w:eastAsia="Times New Roman" w:hAnsi="Arial" w:cs="Arial"/>
          <w:sz w:val="20"/>
          <w:szCs w:val="20"/>
        </w:rPr>
      </w:pPr>
    </w:p>
    <w:p w14:paraId="289DA65F" w14:textId="2543C376" w:rsidR="00EA65B3" w:rsidRPr="006625D0" w:rsidRDefault="00EA65B3" w:rsidP="006625D0">
      <w:pPr>
        <w:autoSpaceDE w:val="0"/>
        <w:autoSpaceDN w:val="0"/>
        <w:adjustRightInd w:val="0"/>
        <w:spacing w:after="0" w:line="240" w:lineRule="auto"/>
        <w:jc w:val="both"/>
        <w:rPr>
          <w:rFonts w:ascii="Arial" w:eastAsia="Times New Roman" w:hAnsi="Arial" w:cs="Arial"/>
          <w:sz w:val="20"/>
          <w:szCs w:val="20"/>
        </w:rPr>
      </w:pPr>
      <w:r w:rsidRPr="006625D0">
        <w:rPr>
          <w:rFonts w:ascii="Arial" w:eastAsia="Times New Roman" w:hAnsi="Arial" w:cs="Arial"/>
          <w:sz w:val="20"/>
          <w:szCs w:val="20"/>
        </w:rPr>
        <w:t xml:space="preserve">Proračunski obveznici </w:t>
      </w:r>
      <w:r w:rsidR="00260A44" w:rsidRPr="006625D0">
        <w:rPr>
          <w:rFonts w:ascii="Arial" w:eastAsia="Times New Roman" w:hAnsi="Arial" w:cs="Arial"/>
          <w:sz w:val="20"/>
          <w:szCs w:val="20"/>
        </w:rPr>
        <w:t>su</w:t>
      </w:r>
      <w:r w:rsidRPr="006625D0">
        <w:rPr>
          <w:rFonts w:ascii="Arial" w:eastAsia="Times New Roman" w:hAnsi="Arial" w:cs="Arial"/>
          <w:sz w:val="20"/>
          <w:szCs w:val="20"/>
        </w:rPr>
        <w:t xml:space="preserve"> iskazali dospjele obveze </w:t>
      </w:r>
      <w:r w:rsidR="00260A44" w:rsidRPr="006625D0">
        <w:rPr>
          <w:rFonts w:ascii="Arial" w:eastAsia="Times New Roman" w:hAnsi="Arial" w:cs="Arial"/>
          <w:sz w:val="20"/>
          <w:szCs w:val="20"/>
        </w:rPr>
        <w:t xml:space="preserve">koncem </w:t>
      </w:r>
      <w:r w:rsidR="00EF1CF4">
        <w:rPr>
          <w:rFonts w:ascii="Arial" w:eastAsia="Times New Roman" w:hAnsi="Arial" w:cs="Arial"/>
          <w:sz w:val="20"/>
          <w:szCs w:val="20"/>
        </w:rPr>
        <w:t>lipnj</w:t>
      </w:r>
      <w:r w:rsidR="00B35217">
        <w:rPr>
          <w:rFonts w:ascii="Arial" w:eastAsia="Times New Roman" w:hAnsi="Arial" w:cs="Arial"/>
          <w:sz w:val="20"/>
          <w:szCs w:val="20"/>
        </w:rPr>
        <w:t>a</w:t>
      </w:r>
      <w:r w:rsidR="00EF1CF4">
        <w:rPr>
          <w:rFonts w:ascii="Arial" w:eastAsia="Times New Roman" w:hAnsi="Arial" w:cs="Arial"/>
          <w:sz w:val="20"/>
          <w:szCs w:val="20"/>
        </w:rPr>
        <w:t xml:space="preserve"> </w:t>
      </w:r>
      <w:r w:rsidR="005E2FBD" w:rsidRPr="006625D0">
        <w:rPr>
          <w:rFonts w:ascii="Arial" w:eastAsia="Times New Roman" w:hAnsi="Arial" w:cs="Arial"/>
          <w:sz w:val="20"/>
          <w:szCs w:val="20"/>
        </w:rPr>
        <w:t>202</w:t>
      </w:r>
      <w:r w:rsidR="00EF1CF4">
        <w:rPr>
          <w:rFonts w:ascii="Arial" w:eastAsia="Times New Roman" w:hAnsi="Arial" w:cs="Arial"/>
          <w:sz w:val="20"/>
          <w:szCs w:val="20"/>
        </w:rPr>
        <w:t>5</w:t>
      </w:r>
      <w:r w:rsidR="005E2FBD" w:rsidRPr="006625D0">
        <w:rPr>
          <w:rFonts w:ascii="Arial" w:eastAsia="Times New Roman" w:hAnsi="Arial" w:cs="Arial"/>
          <w:sz w:val="20"/>
          <w:szCs w:val="20"/>
        </w:rPr>
        <w:t xml:space="preserve">. </w:t>
      </w:r>
      <w:r w:rsidR="00260A44" w:rsidRPr="006625D0">
        <w:rPr>
          <w:rFonts w:ascii="Arial" w:eastAsia="Times New Roman" w:hAnsi="Arial" w:cs="Arial"/>
          <w:sz w:val="20"/>
          <w:szCs w:val="20"/>
        </w:rPr>
        <w:t>godine</w:t>
      </w:r>
      <w:r w:rsidR="005E2FBD" w:rsidRPr="006625D0">
        <w:rPr>
          <w:rFonts w:ascii="Arial" w:eastAsia="Times New Roman" w:hAnsi="Arial" w:cs="Arial"/>
          <w:sz w:val="20"/>
          <w:szCs w:val="20"/>
        </w:rPr>
        <w:t xml:space="preserve"> u iznosu </w:t>
      </w:r>
      <w:r w:rsidR="00EF1CF4">
        <w:rPr>
          <w:rFonts w:ascii="Arial" w:eastAsia="Times New Roman" w:hAnsi="Arial" w:cs="Arial"/>
          <w:sz w:val="20"/>
          <w:szCs w:val="20"/>
        </w:rPr>
        <w:t>2.717,84</w:t>
      </w:r>
      <w:r w:rsidR="0045519D" w:rsidRPr="006625D0">
        <w:rPr>
          <w:rFonts w:ascii="Arial" w:eastAsia="Times New Roman" w:hAnsi="Arial" w:cs="Arial"/>
          <w:sz w:val="20"/>
          <w:szCs w:val="20"/>
        </w:rPr>
        <w:t xml:space="preserve"> €</w:t>
      </w:r>
      <w:r w:rsidR="006625D0" w:rsidRPr="006625D0">
        <w:rPr>
          <w:rFonts w:ascii="Arial" w:eastAsia="Times New Roman" w:hAnsi="Arial" w:cs="Arial"/>
          <w:sz w:val="20"/>
          <w:szCs w:val="20"/>
        </w:rPr>
        <w:t>.</w:t>
      </w:r>
    </w:p>
    <w:p w14:paraId="5C38F724" w14:textId="77777777" w:rsidR="006625D0" w:rsidRPr="006625D0" w:rsidRDefault="006625D0" w:rsidP="006625D0">
      <w:pPr>
        <w:autoSpaceDE w:val="0"/>
        <w:autoSpaceDN w:val="0"/>
        <w:adjustRightInd w:val="0"/>
        <w:spacing w:after="0" w:line="240" w:lineRule="auto"/>
        <w:jc w:val="both"/>
        <w:rPr>
          <w:rFonts w:ascii="Arial" w:eastAsia="Times New Roman" w:hAnsi="Arial" w:cs="Arial"/>
          <w:sz w:val="20"/>
        </w:rPr>
      </w:pPr>
    </w:p>
    <w:p w14:paraId="43045AAF" w14:textId="5CEC1969" w:rsidR="00EA65B3" w:rsidRPr="006625D0" w:rsidRDefault="00FC0E6E" w:rsidP="008F05E4">
      <w:pPr>
        <w:pStyle w:val="Naslov3"/>
        <w:jc w:val="center"/>
        <w:rPr>
          <w:rFonts w:ascii="Arial" w:hAnsi="Arial" w:cs="Arial"/>
          <w:sz w:val="22"/>
          <w:szCs w:val="22"/>
          <w:lang w:val="hr-HR"/>
        </w:rPr>
      </w:pPr>
      <w:bookmarkStart w:id="442" w:name="_Toc207707497"/>
      <w:r w:rsidRPr="006625D0">
        <w:rPr>
          <w:rFonts w:ascii="Arial" w:hAnsi="Arial" w:cs="Arial"/>
          <w:sz w:val="22"/>
          <w:szCs w:val="22"/>
          <w:lang w:val="hr-HR"/>
        </w:rPr>
        <w:t>4.</w:t>
      </w:r>
      <w:r w:rsidR="00A10402" w:rsidRPr="006625D0">
        <w:rPr>
          <w:rFonts w:ascii="Arial" w:hAnsi="Arial" w:cs="Arial"/>
          <w:sz w:val="22"/>
          <w:szCs w:val="22"/>
          <w:lang w:val="hr-HR"/>
        </w:rPr>
        <w:t>6.3</w:t>
      </w:r>
      <w:r w:rsidR="00EA65B3" w:rsidRPr="006625D0">
        <w:rPr>
          <w:rFonts w:ascii="Arial" w:hAnsi="Arial" w:cs="Arial"/>
          <w:sz w:val="22"/>
          <w:szCs w:val="22"/>
          <w:lang w:val="hr-HR"/>
        </w:rPr>
        <w:t>.</w:t>
      </w:r>
      <w:r w:rsidR="00EA65B3" w:rsidRPr="006625D0">
        <w:rPr>
          <w:rFonts w:ascii="Arial" w:hAnsi="Arial" w:cs="Arial"/>
          <w:sz w:val="22"/>
          <w:szCs w:val="22"/>
          <w:lang w:val="hr-HR"/>
        </w:rPr>
        <w:tab/>
        <w:t>STANJE POTENCIJALNIH OBVEZA</w:t>
      </w:r>
      <w:bookmarkEnd w:id="442"/>
    </w:p>
    <w:p w14:paraId="1917D30E" w14:textId="77777777" w:rsidR="00EA65B3" w:rsidRPr="006625D0" w:rsidRDefault="00EA65B3" w:rsidP="00EA65B3">
      <w:pPr>
        <w:autoSpaceDE w:val="0"/>
        <w:autoSpaceDN w:val="0"/>
        <w:adjustRightInd w:val="0"/>
        <w:spacing w:after="0" w:line="240" w:lineRule="auto"/>
        <w:rPr>
          <w:rFonts w:ascii="Arial" w:eastAsia="Times New Roman" w:hAnsi="Arial" w:cs="Arial"/>
          <w:sz w:val="20"/>
          <w:szCs w:val="20"/>
        </w:rPr>
      </w:pPr>
    </w:p>
    <w:p w14:paraId="42086DA4" w14:textId="77777777" w:rsidR="00EA65B3" w:rsidRPr="006625D0" w:rsidRDefault="00EA65B3" w:rsidP="00EA65B3">
      <w:pPr>
        <w:spacing w:after="0" w:line="240" w:lineRule="auto"/>
        <w:jc w:val="both"/>
        <w:rPr>
          <w:rFonts w:ascii="Arial" w:eastAsia="Times New Roman" w:hAnsi="Arial" w:cs="Arial"/>
          <w:iCs/>
          <w:sz w:val="20"/>
          <w:lang w:eastAsia="en-US"/>
        </w:rPr>
      </w:pPr>
      <w:r w:rsidRPr="006625D0">
        <w:rPr>
          <w:rFonts w:ascii="Arial" w:eastAsia="Times New Roman" w:hAnsi="Arial" w:cs="Arial"/>
          <w:iCs/>
          <w:sz w:val="20"/>
          <w:lang w:eastAsia="en-US"/>
        </w:rPr>
        <w:t>Upravni odjel za opće poslove, mjesnu samoupravu i društvene djelatnosti vodi pregled upravnih postupaka koji su zabilježeni pred Uredom državne uprave u Dubrovačko-neretvanskoj županiji, te evidenciju sudskih sporova najvećim dijelom radi utvrđivanja prava vlasništva i uknjižbe.</w:t>
      </w:r>
      <w:r w:rsidRPr="006625D0">
        <w:rPr>
          <w:rFonts w:ascii="Times New Roman" w:eastAsia="Times New Roman" w:hAnsi="Times New Roman" w:cs="Times New Roman"/>
          <w:sz w:val="20"/>
          <w:szCs w:val="20"/>
          <w:lang w:eastAsia="en-US"/>
        </w:rPr>
        <w:t xml:space="preserve"> </w:t>
      </w:r>
      <w:r w:rsidRPr="006625D0">
        <w:rPr>
          <w:rFonts w:ascii="Arial" w:eastAsia="Times New Roman" w:hAnsi="Arial" w:cs="Arial"/>
          <w:iCs/>
          <w:sz w:val="20"/>
          <w:lang w:eastAsia="en-US"/>
        </w:rPr>
        <w:t>Potencijalne obveze su evidentirane izvanbilančno.</w:t>
      </w:r>
    </w:p>
    <w:p w14:paraId="58631733" w14:textId="77777777" w:rsidR="00EA65B3" w:rsidRPr="006625D0" w:rsidRDefault="00EA65B3" w:rsidP="00EA65B3">
      <w:pPr>
        <w:spacing w:after="0" w:line="240" w:lineRule="auto"/>
        <w:jc w:val="both"/>
        <w:rPr>
          <w:rFonts w:ascii="Arial" w:eastAsia="Times New Roman" w:hAnsi="Arial" w:cs="Arial"/>
          <w:sz w:val="20"/>
          <w:szCs w:val="20"/>
        </w:rPr>
      </w:pPr>
    </w:p>
    <w:p w14:paraId="35C33D65" w14:textId="6D1415CA" w:rsidR="00EA65B3" w:rsidRPr="006625D0" w:rsidRDefault="00EA65B3" w:rsidP="00EA65B3">
      <w:pPr>
        <w:spacing w:after="0" w:line="240" w:lineRule="auto"/>
        <w:jc w:val="both"/>
        <w:rPr>
          <w:rFonts w:ascii="Arial" w:eastAsia="Times New Roman" w:hAnsi="Arial" w:cs="Arial"/>
          <w:sz w:val="20"/>
          <w:szCs w:val="20"/>
        </w:rPr>
      </w:pPr>
      <w:r w:rsidRPr="006625D0">
        <w:rPr>
          <w:rFonts w:ascii="Arial" w:eastAsia="Times New Roman" w:hAnsi="Arial" w:cs="Arial"/>
          <w:sz w:val="20"/>
          <w:szCs w:val="20"/>
        </w:rPr>
        <w:t>Prema novom Pravilniku o izvještaju o izvršenju proračuna i financijskog plana, u polugodišnjem izvještaju o izvršenju proračuna nije obvezno iskazivanje potencijalnih obveza.</w:t>
      </w:r>
      <w:r w:rsidR="007D7E65" w:rsidRPr="006625D0">
        <w:rPr>
          <w:rFonts w:ascii="Arial" w:eastAsia="Times New Roman" w:hAnsi="Arial" w:cs="Arial"/>
          <w:sz w:val="20"/>
          <w:szCs w:val="20"/>
        </w:rPr>
        <w:t xml:space="preserve"> </w:t>
      </w:r>
      <w:r w:rsidRPr="006625D0">
        <w:rPr>
          <w:rFonts w:ascii="Arial" w:eastAsia="Times New Roman" w:hAnsi="Arial" w:cs="Arial"/>
          <w:sz w:val="20"/>
          <w:szCs w:val="20"/>
        </w:rPr>
        <w:t>Stanje potencijalnih obveza Općine na dan 31.12.202</w:t>
      </w:r>
      <w:r w:rsidR="006625D0" w:rsidRPr="006625D0">
        <w:rPr>
          <w:rFonts w:ascii="Arial" w:eastAsia="Times New Roman" w:hAnsi="Arial" w:cs="Arial"/>
          <w:sz w:val="20"/>
          <w:szCs w:val="20"/>
        </w:rPr>
        <w:t>4</w:t>
      </w:r>
      <w:r w:rsidRPr="006625D0">
        <w:rPr>
          <w:rFonts w:ascii="Arial" w:eastAsia="Times New Roman" w:hAnsi="Arial" w:cs="Arial"/>
          <w:sz w:val="20"/>
          <w:szCs w:val="20"/>
        </w:rPr>
        <w:t>.</w:t>
      </w:r>
      <w:r w:rsidRPr="006625D0">
        <w:rPr>
          <w:rFonts w:ascii="Times New Roman" w:eastAsia="Times New Roman" w:hAnsi="Times New Roman" w:cs="Times New Roman"/>
          <w:sz w:val="20"/>
          <w:szCs w:val="20"/>
          <w:lang w:eastAsia="en-US"/>
        </w:rPr>
        <w:t xml:space="preserve"> </w:t>
      </w:r>
      <w:r w:rsidRPr="006625D0">
        <w:rPr>
          <w:rFonts w:ascii="Arial" w:eastAsia="Times New Roman" w:hAnsi="Arial" w:cs="Arial"/>
          <w:sz w:val="20"/>
          <w:szCs w:val="20"/>
        </w:rPr>
        <w:t xml:space="preserve">po osnovi sudskih postupaka </w:t>
      </w:r>
      <w:r w:rsidR="00FC1608" w:rsidRPr="006625D0">
        <w:rPr>
          <w:rFonts w:ascii="Arial" w:eastAsia="Times New Roman" w:hAnsi="Arial" w:cs="Arial"/>
          <w:sz w:val="20"/>
          <w:szCs w:val="20"/>
        </w:rPr>
        <w:t xml:space="preserve">iznosi </w:t>
      </w:r>
      <w:r w:rsidR="006625D0" w:rsidRPr="006625D0">
        <w:rPr>
          <w:rFonts w:ascii="Arial" w:eastAsia="Times New Roman" w:hAnsi="Arial" w:cs="Arial"/>
          <w:sz w:val="20"/>
          <w:szCs w:val="20"/>
        </w:rPr>
        <w:t>154.091,18</w:t>
      </w:r>
      <w:r w:rsidR="00FC1608" w:rsidRPr="006625D0">
        <w:rPr>
          <w:rFonts w:ascii="Arial" w:eastAsia="Times New Roman" w:hAnsi="Arial" w:cs="Arial"/>
          <w:sz w:val="20"/>
          <w:szCs w:val="20"/>
        </w:rPr>
        <w:t xml:space="preserve"> </w:t>
      </w:r>
      <w:r w:rsidRPr="006625D0">
        <w:rPr>
          <w:rFonts w:ascii="Arial" w:eastAsia="Times New Roman" w:hAnsi="Arial" w:cs="Arial"/>
          <w:sz w:val="20"/>
          <w:szCs w:val="20"/>
        </w:rPr>
        <w:t>€.</w:t>
      </w:r>
    </w:p>
    <w:p w14:paraId="1E172130" w14:textId="5FACAE71" w:rsidR="00EA65B3" w:rsidRPr="006625D0" w:rsidRDefault="00EA65B3" w:rsidP="00EA65B3">
      <w:pPr>
        <w:spacing w:after="0" w:line="240" w:lineRule="auto"/>
        <w:jc w:val="both"/>
        <w:rPr>
          <w:rFonts w:ascii="Arial" w:eastAsia="Times New Roman" w:hAnsi="Arial" w:cs="Arial"/>
          <w:sz w:val="20"/>
          <w:szCs w:val="20"/>
        </w:rPr>
      </w:pPr>
      <w:r w:rsidRPr="006625D0">
        <w:rPr>
          <w:rFonts w:ascii="Arial" w:eastAsia="Times New Roman" w:hAnsi="Arial" w:cs="Arial"/>
          <w:sz w:val="20"/>
          <w:szCs w:val="20"/>
        </w:rPr>
        <w:lastRenderedPageBreak/>
        <w:t xml:space="preserve">Proračunski korisnici su se izjasnili da nemaju potencijalnih obveza po osnovi sudskih postupaka na dan </w:t>
      </w:r>
      <w:r w:rsidR="00F9325E">
        <w:rPr>
          <w:rFonts w:ascii="Arial" w:eastAsia="Times New Roman" w:hAnsi="Arial" w:cs="Arial"/>
          <w:sz w:val="20"/>
          <w:szCs w:val="20"/>
        </w:rPr>
        <w:t>.1.1.2025</w:t>
      </w:r>
      <w:r w:rsidRPr="006625D0">
        <w:rPr>
          <w:rFonts w:ascii="Arial" w:eastAsia="Times New Roman" w:hAnsi="Arial" w:cs="Arial"/>
          <w:sz w:val="20"/>
          <w:szCs w:val="20"/>
        </w:rPr>
        <w:t>.</w:t>
      </w:r>
    </w:p>
    <w:p w14:paraId="7860EB93" w14:textId="77777777" w:rsidR="00EA65B3" w:rsidRPr="006625D0" w:rsidRDefault="00EA65B3" w:rsidP="00EA65B3">
      <w:pPr>
        <w:spacing w:after="0" w:line="240" w:lineRule="auto"/>
        <w:jc w:val="both"/>
        <w:rPr>
          <w:rFonts w:ascii="Arial" w:eastAsia="Times New Roman" w:hAnsi="Arial" w:cs="Arial"/>
          <w:iCs/>
          <w:sz w:val="20"/>
          <w:lang w:eastAsia="en-US"/>
        </w:rPr>
      </w:pPr>
      <w:bookmarkStart w:id="443" w:name="_Hlk115074825"/>
    </w:p>
    <w:p w14:paraId="393A6EFF" w14:textId="20CEE14A" w:rsidR="00EA65B3" w:rsidRPr="006625D0" w:rsidRDefault="00217565" w:rsidP="00EA65B3">
      <w:pPr>
        <w:spacing w:after="0" w:line="240" w:lineRule="auto"/>
        <w:rPr>
          <w:rFonts w:ascii="Arial" w:eastAsia="Times New Roman" w:hAnsi="Arial" w:cs="Arial"/>
          <w:sz w:val="20"/>
          <w:szCs w:val="20"/>
        </w:rPr>
      </w:pPr>
      <w:r w:rsidRPr="006625D0">
        <w:rPr>
          <w:rFonts w:ascii="Arial" w:eastAsia="Times New Roman" w:hAnsi="Arial" w:cs="Arial"/>
          <w:sz w:val="20"/>
          <w:szCs w:val="20"/>
        </w:rPr>
        <w:t xml:space="preserve">U nastavku se daje tablica sa stanjem na dan </w:t>
      </w:r>
      <w:r w:rsidR="00F9325E">
        <w:rPr>
          <w:rFonts w:ascii="Arial" w:eastAsia="Times New Roman" w:hAnsi="Arial" w:cs="Arial"/>
          <w:sz w:val="20"/>
          <w:szCs w:val="20"/>
        </w:rPr>
        <w:t>1.1.2025</w:t>
      </w:r>
      <w:r w:rsidR="0045519D" w:rsidRPr="006625D0">
        <w:rPr>
          <w:rFonts w:ascii="Arial" w:eastAsia="Times New Roman" w:hAnsi="Arial" w:cs="Arial"/>
          <w:sz w:val="20"/>
          <w:szCs w:val="20"/>
        </w:rPr>
        <w:t>.</w:t>
      </w:r>
      <w:r w:rsidRPr="006625D0">
        <w:rPr>
          <w:rFonts w:ascii="Arial" w:eastAsia="Times New Roman" w:hAnsi="Arial" w:cs="Arial"/>
          <w:sz w:val="20"/>
          <w:szCs w:val="20"/>
        </w:rPr>
        <w:t xml:space="preserve"> iskazana u valuti EURO.</w:t>
      </w:r>
    </w:p>
    <w:bookmarkEnd w:id="443"/>
    <w:p w14:paraId="35E5BF33" w14:textId="77777777" w:rsidR="00EA65B3" w:rsidRPr="003A2F86" w:rsidRDefault="00EA65B3" w:rsidP="00EA65B3">
      <w:pPr>
        <w:spacing w:after="0" w:line="240" w:lineRule="auto"/>
        <w:rPr>
          <w:rFonts w:ascii="Arial" w:eastAsia="Times New Roman" w:hAnsi="Arial" w:cs="Arial"/>
          <w:sz w:val="20"/>
          <w:szCs w:val="20"/>
        </w:rPr>
      </w:pPr>
    </w:p>
    <w:p w14:paraId="5B02C08A" w14:textId="6740679E" w:rsidR="00EA65B3" w:rsidRPr="003A2F86" w:rsidRDefault="00EA65B3" w:rsidP="00EA65B3">
      <w:pPr>
        <w:pStyle w:val="Opisslike"/>
        <w:keepNext/>
        <w:jc w:val="both"/>
      </w:pPr>
      <w:bookmarkStart w:id="444" w:name="_Toc207707003"/>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39</w:t>
      </w:r>
      <w:r w:rsidRPr="003A2F86">
        <w:rPr>
          <w:color w:val="FF0000"/>
        </w:rPr>
        <w:fldChar w:fldCharType="end"/>
      </w:r>
      <w:r w:rsidRPr="003A2F86">
        <w:rPr>
          <w:color w:val="FF0000"/>
        </w:rPr>
        <w:t>.</w:t>
      </w:r>
      <w:r w:rsidRPr="003A2F86">
        <w:rPr>
          <w:color w:val="7030A0"/>
        </w:rPr>
        <w:t xml:space="preserve">: </w:t>
      </w:r>
      <w:r w:rsidRPr="003A2F86">
        <w:rPr>
          <w:rFonts w:ascii="Arial" w:hAnsi="Arial" w:cs="Arial"/>
          <w:bCs w:val="0"/>
          <w:iCs/>
        </w:rPr>
        <w:t xml:space="preserve">Pregled potencijalnih obveza Općine na dan </w:t>
      </w:r>
      <w:r w:rsidR="0045519D" w:rsidRPr="003A2F86">
        <w:rPr>
          <w:rFonts w:ascii="Arial" w:hAnsi="Arial" w:cs="Arial"/>
          <w:bCs w:val="0"/>
          <w:iCs/>
        </w:rPr>
        <w:t>1.1.202</w:t>
      </w:r>
      <w:r w:rsidR="00EF1CF4">
        <w:rPr>
          <w:rFonts w:ascii="Arial" w:hAnsi="Arial" w:cs="Arial"/>
          <w:bCs w:val="0"/>
          <w:iCs/>
        </w:rPr>
        <w:t>5</w:t>
      </w:r>
      <w:r w:rsidRPr="003A2F86">
        <w:rPr>
          <w:rFonts w:ascii="Arial" w:hAnsi="Arial" w:cs="Arial"/>
          <w:bCs w:val="0"/>
          <w:iCs/>
        </w:rPr>
        <w:t>. (na temelju sudskih postupaka i upravnih postupaka)</w:t>
      </w:r>
      <w:bookmarkEnd w:id="444"/>
    </w:p>
    <w:p w14:paraId="756DD05B" w14:textId="03AE6598" w:rsidR="006625D0" w:rsidRPr="006625D0" w:rsidRDefault="006625D0" w:rsidP="006625D0">
      <w:pPr>
        <w:spacing w:after="0" w:line="240" w:lineRule="auto"/>
        <w:rPr>
          <w:rFonts w:ascii="Times New Roman" w:eastAsia="Times New Roman" w:hAnsi="Times New Roman" w:cs="Times New Roman"/>
          <w:sz w:val="20"/>
          <w:szCs w:val="20"/>
          <w:lang w:eastAsia="en-US"/>
        </w:rPr>
      </w:pPr>
      <w:r w:rsidRPr="006625D0">
        <w:rPr>
          <w:rFonts w:ascii="Times New Roman" w:eastAsia="Times New Roman" w:hAnsi="Times New Roman" w:cs="Times New Roman"/>
          <w:noProof/>
          <w:sz w:val="20"/>
          <w:szCs w:val="20"/>
          <w:lang w:eastAsia="en-US"/>
        </w:rPr>
        <w:drawing>
          <wp:inline distT="0" distB="0" distL="0" distR="0" wp14:anchorId="13DF4390" wp14:editId="0A4BB7F9">
            <wp:extent cx="8597462" cy="5609056"/>
            <wp:effectExtent l="0" t="0" r="0" b="0"/>
            <wp:docPr id="187958404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3">
                      <a:extLst>
                        <a:ext uri="{28A0092B-C50C-407E-A947-70E740481C1C}">
                          <a14:useLocalDpi xmlns:a14="http://schemas.microsoft.com/office/drawing/2010/main" val="0"/>
                        </a:ext>
                      </a:extLst>
                    </a:blip>
                    <a:srcRect t="2921"/>
                    <a:stretch/>
                  </pic:blipFill>
                  <pic:spPr bwMode="auto">
                    <a:xfrm>
                      <a:off x="0" y="0"/>
                      <a:ext cx="8600574" cy="5611086"/>
                    </a:xfrm>
                    <a:prstGeom prst="rect">
                      <a:avLst/>
                    </a:prstGeom>
                    <a:noFill/>
                    <a:ln>
                      <a:noFill/>
                    </a:ln>
                    <a:extLst>
                      <a:ext uri="{53640926-AAD7-44D8-BBD7-CCE9431645EC}">
                        <a14:shadowObscured xmlns:a14="http://schemas.microsoft.com/office/drawing/2010/main"/>
                      </a:ext>
                    </a:extLst>
                  </pic:spPr>
                </pic:pic>
              </a:graphicData>
            </a:graphic>
          </wp:inline>
        </w:drawing>
      </w:r>
    </w:p>
    <w:p w14:paraId="10DF2D32" w14:textId="791E0ABB" w:rsidR="006625D0" w:rsidRPr="006625D0" w:rsidRDefault="006625D0" w:rsidP="006625D0">
      <w:pPr>
        <w:spacing w:after="0" w:line="240" w:lineRule="auto"/>
        <w:rPr>
          <w:rFonts w:ascii="Times New Roman" w:eastAsia="Times New Roman" w:hAnsi="Times New Roman" w:cs="Times New Roman"/>
          <w:sz w:val="20"/>
          <w:szCs w:val="20"/>
          <w:lang w:eastAsia="en-US"/>
        </w:rPr>
      </w:pPr>
      <w:r w:rsidRPr="006625D0">
        <w:rPr>
          <w:rFonts w:ascii="Times New Roman" w:eastAsia="Times New Roman" w:hAnsi="Times New Roman" w:cs="Times New Roman"/>
          <w:noProof/>
          <w:sz w:val="20"/>
          <w:szCs w:val="20"/>
          <w:lang w:eastAsia="en-US"/>
        </w:rPr>
        <w:lastRenderedPageBreak/>
        <w:drawing>
          <wp:inline distT="0" distB="0" distL="0" distR="0" wp14:anchorId="772FAC33" wp14:editId="67491100">
            <wp:extent cx="8975725" cy="6116955"/>
            <wp:effectExtent l="0" t="0" r="0" b="0"/>
            <wp:docPr id="182586968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75725" cy="6116955"/>
                    </a:xfrm>
                    <a:prstGeom prst="rect">
                      <a:avLst/>
                    </a:prstGeom>
                    <a:noFill/>
                    <a:ln>
                      <a:noFill/>
                    </a:ln>
                  </pic:spPr>
                </pic:pic>
              </a:graphicData>
            </a:graphic>
          </wp:inline>
        </w:drawing>
      </w:r>
    </w:p>
    <w:p w14:paraId="5CD58DA3" w14:textId="0D3296D3" w:rsidR="006625D0" w:rsidRPr="006625D0" w:rsidRDefault="006625D0" w:rsidP="006625D0">
      <w:pPr>
        <w:spacing w:after="0" w:line="240" w:lineRule="auto"/>
        <w:rPr>
          <w:rFonts w:ascii="Times New Roman" w:eastAsia="Times New Roman" w:hAnsi="Times New Roman" w:cs="Times New Roman"/>
          <w:sz w:val="20"/>
          <w:szCs w:val="20"/>
          <w:lang w:eastAsia="en-US"/>
        </w:rPr>
      </w:pPr>
      <w:r w:rsidRPr="006625D0">
        <w:rPr>
          <w:rFonts w:ascii="Times New Roman" w:eastAsia="Times New Roman" w:hAnsi="Times New Roman" w:cs="Times New Roman"/>
          <w:noProof/>
          <w:sz w:val="20"/>
          <w:szCs w:val="20"/>
          <w:lang w:eastAsia="en-US"/>
        </w:rPr>
        <w:lastRenderedPageBreak/>
        <w:drawing>
          <wp:inline distT="0" distB="0" distL="0" distR="0" wp14:anchorId="7AEE05E7" wp14:editId="6EF02118">
            <wp:extent cx="9249410" cy="5875020"/>
            <wp:effectExtent l="0" t="0" r="8890" b="0"/>
            <wp:docPr id="64329075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249410" cy="5875020"/>
                    </a:xfrm>
                    <a:prstGeom prst="rect">
                      <a:avLst/>
                    </a:prstGeom>
                    <a:noFill/>
                    <a:ln>
                      <a:noFill/>
                    </a:ln>
                  </pic:spPr>
                </pic:pic>
              </a:graphicData>
            </a:graphic>
          </wp:inline>
        </w:drawing>
      </w:r>
    </w:p>
    <w:p w14:paraId="07A78215" w14:textId="77777777" w:rsidR="006625D0" w:rsidRPr="006625D0" w:rsidRDefault="006625D0" w:rsidP="006625D0">
      <w:pPr>
        <w:spacing w:after="0" w:line="240" w:lineRule="auto"/>
        <w:rPr>
          <w:rFonts w:ascii="Times New Roman" w:eastAsia="Times New Roman" w:hAnsi="Times New Roman" w:cs="Times New Roman"/>
          <w:sz w:val="20"/>
          <w:szCs w:val="20"/>
          <w:lang w:eastAsia="en-US"/>
        </w:rPr>
      </w:pPr>
    </w:p>
    <w:p w14:paraId="40360744" w14:textId="357B5243" w:rsidR="006625D0" w:rsidRPr="006625D0" w:rsidRDefault="006625D0" w:rsidP="006625D0">
      <w:pPr>
        <w:spacing w:after="0" w:line="240" w:lineRule="auto"/>
        <w:rPr>
          <w:rFonts w:ascii="Times New Roman" w:eastAsia="Times New Roman" w:hAnsi="Times New Roman" w:cs="Times New Roman"/>
          <w:sz w:val="20"/>
          <w:szCs w:val="20"/>
          <w:lang w:eastAsia="en-US"/>
        </w:rPr>
      </w:pPr>
      <w:r w:rsidRPr="006625D0">
        <w:rPr>
          <w:rFonts w:ascii="Times New Roman" w:eastAsia="Times New Roman" w:hAnsi="Times New Roman" w:cs="Times New Roman"/>
          <w:noProof/>
          <w:sz w:val="20"/>
          <w:szCs w:val="20"/>
          <w:lang w:eastAsia="en-US"/>
        </w:rPr>
        <w:lastRenderedPageBreak/>
        <w:drawing>
          <wp:inline distT="0" distB="0" distL="0" distR="0" wp14:anchorId="186565FB" wp14:editId="5D30D57F">
            <wp:extent cx="9249410" cy="3510280"/>
            <wp:effectExtent l="0" t="0" r="8890" b="0"/>
            <wp:docPr id="10374403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249410" cy="3510280"/>
                    </a:xfrm>
                    <a:prstGeom prst="rect">
                      <a:avLst/>
                    </a:prstGeom>
                    <a:noFill/>
                    <a:ln>
                      <a:noFill/>
                    </a:ln>
                  </pic:spPr>
                </pic:pic>
              </a:graphicData>
            </a:graphic>
          </wp:inline>
        </w:drawing>
      </w:r>
    </w:p>
    <w:p w14:paraId="73C198E9" w14:textId="77777777" w:rsidR="006625D0" w:rsidRPr="006625D0" w:rsidRDefault="006625D0" w:rsidP="006625D0">
      <w:pPr>
        <w:spacing w:after="0" w:line="240" w:lineRule="auto"/>
        <w:rPr>
          <w:rFonts w:ascii="Times New Roman" w:eastAsia="Times New Roman" w:hAnsi="Times New Roman" w:cs="Times New Roman"/>
          <w:sz w:val="20"/>
          <w:szCs w:val="20"/>
          <w:lang w:eastAsia="en-US"/>
        </w:rPr>
      </w:pPr>
    </w:p>
    <w:p w14:paraId="65142159" w14:textId="77777777" w:rsidR="006625D0" w:rsidRPr="006625D0" w:rsidRDefault="006625D0" w:rsidP="006625D0">
      <w:pPr>
        <w:spacing w:after="0" w:line="240" w:lineRule="auto"/>
        <w:rPr>
          <w:rFonts w:ascii="Times New Roman" w:eastAsia="Times New Roman" w:hAnsi="Times New Roman" w:cs="Times New Roman"/>
          <w:sz w:val="20"/>
          <w:szCs w:val="20"/>
          <w:lang w:eastAsia="en-US"/>
        </w:rPr>
      </w:pPr>
    </w:p>
    <w:p w14:paraId="4409C965" w14:textId="77777777" w:rsidR="00FC1608" w:rsidRPr="003A2F86" w:rsidRDefault="00FC1608" w:rsidP="00FC1608"/>
    <w:p w14:paraId="1F0778C8" w14:textId="77777777" w:rsidR="00EA65B3" w:rsidRPr="003A2F86" w:rsidRDefault="00EA65B3" w:rsidP="00EA65B3">
      <w:pPr>
        <w:autoSpaceDE w:val="0"/>
        <w:autoSpaceDN w:val="0"/>
        <w:adjustRightInd w:val="0"/>
        <w:spacing w:after="0" w:line="240" w:lineRule="auto"/>
        <w:rPr>
          <w:rFonts w:ascii="Arial" w:eastAsia="Times New Roman" w:hAnsi="Arial" w:cs="Times New Roman"/>
          <w:bCs/>
          <w:szCs w:val="20"/>
        </w:rPr>
        <w:sectPr w:rsidR="00EA65B3" w:rsidRPr="003A2F86" w:rsidSect="00673312">
          <w:pgSz w:w="16838" w:h="11906" w:orient="landscape" w:code="9"/>
          <w:pgMar w:top="1077" w:right="1134" w:bottom="1134" w:left="0" w:header="720" w:footer="720" w:gutter="1134"/>
          <w:pgNumType w:chapStyle="1"/>
          <w:cols w:space="720"/>
          <w:titlePg/>
          <w:docGrid w:linePitch="299"/>
        </w:sectPr>
      </w:pPr>
    </w:p>
    <w:p w14:paraId="70DFAE0D" w14:textId="019D0F86" w:rsidR="00A3648D" w:rsidRPr="00534078" w:rsidRDefault="00A3648D" w:rsidP="00A3648D">
      <w:pPr>
        <w:spacing w:after="0" w:line="240" w:lineRule="auto"/>
        <w:jc w:val="center"/>
        <w:rPr>
          <w:rFonts w:ascii="Arial" w:eastAsia="Times New Roman" w:hAnsi="Arial" w:cs="Arial"/>
          <w:iCs/>
          <w:lang w:eastAsia="en-US"/>
        </w:rPr>
      </w:pPr>
    </w:p>
    <w:p w14:paraId="50250A22" w14:textId="46650E80" w:rsidR="00A3648D" w:rsidRPr="00534078" w:rsidRDefault="006D222A" w:rsidP="00A3648D">
      <w:pPr>
        <w:pStyle w:val="Naslov1"/>
        <w:rPr>
          <w:rFonts w:ascii="Arial" w:hAnsi="Arial" w:cs="Arial"/>
          <w:sz w:val="22"/>
          <w:lang w:val="hr-HR"/>
        </w:rPr>
      </w:pPr>
      <w:bookmarkStart w:id="445" w:name="_5.__IZVJEŠTAJ"/>
      <w:bookmarkStart w:id="446" w:name="_Toc207707498"/>
      <w:bookmarkEnd w:id="445"/>
      <w:r w:rsidRPr="00534078">
        <w:rPr>
          <w:rFonts w:ascii="Arial" w:eastAsia="Calibri" w:hAnsi="Arial" w:cs="Arial"/>
          <w:sz w:val="22"/>
          <w:lang w:val="hr-HR"/>
        </w:rPr>
        <w:t>5</w:t>
      </w:r>
      <w:r w:rsidR="00A3648D" w:rsidRPr="00534078">
        <w:rPr>
          <w:rFonts w:ascii="Arial" w:eastAsia="Calibri" w:hAnsi="Arial" w:cs="Arial"/>
          <w:sz w:val="22"/>
          <w:lang w:val="hr-HR"/>
        </w:rPr>
        <w:t xml:space="preserve">. </w:t>
      </w:r>
      <w:r w:rsidR="00A3648D" w:rsidRPr="00534078">
        <w:rPr>
          <w:rFonts w:ascii="Arial" w:eastAsia="Calibri" w:hAnsi="Arial" w:cs="Arial"/>
          <w:sz w:val="22"/>
          <w:lang w:val="hr-HR"/>
        </w:rPr>
        <w:tab/>
      </w:r>
      <w:bookmarkStart w:id="447" w:name="Izvještaj_preraspodjela"/>
      <w:bookmarkEnd w:id="447"/>
      <w:r w:rsidR="00A3648D" w:rsidRPr="00534078">
        <w:rPr>
          <w:rFonts w:ascii="Arial" w:eastAsia="Calibri" w:hAnsi="Arial" w:cs="Arial"/>
          <w:sz w:val="22"/>
          <w:lang w:val="hr-HR"/>
        </w:rPr>
        <w:t xml:space="preserve">IZVJEŠTAJ </w:t>
      </w:r>
      <w:r w:rsidR="00A3648D" w:rsidRPr="00534078">
        <w:rPr>
          <w:rFonts w:ascii="Arial" w:hAnsi="Arial" w:cs="Arial"/>
          <w:sz w:val="22"/>
          <w:lang w:val="hr-HR"/>
        </w:rPr>
        <w:t>O PRERASPODJELI SREDSTAVA U PRORAČUNU OPĆINE KONAVLE ZA 202</w:t>
      </w:r>
      <w:r w:rsidR="00EF1CF4">
        <w:rPr>
          <w:rFonts w:ascii="Arial" w:hAnsi="Arial" w:cs="Arial"/>
          <w:sz w:val="22"/>
          <w:lang w:val="hr-HR"/>
        </w:rPr>
        <w:t>5</w:t>
      </w:r>
      <w:r w:rsidR="00A3648D" w:rsidRPr="00534078">
        <w:rPr>
          <w:rFonts w:ascii="Arial" w:hAnsi="Arial" w:cs="Arial"/>
          <w:sz w:val="22"/>
          <w:lang w:val="hr-HR"/>
        </w:rPr>
        <w:t>.</w:t>
      </w:r>
      <w:bookmarkEnd w:id="446"/>
    </w:p>
    <w:p w14:paraId="38028A00" w14:textId="77777777" w:rsidR="00A3648D" w:rsidRPr="00AC4C54" w:rsidRDefault="00A3648D" w:rsidP="00A3648D">
      <w:pPr>
        <w:spacing w:after="0" w:line="240" w:lineRule="auto"/>
        <w:rPr>
          <w:rFonts w:ascii="Times New Roman" w:eastAsia="Times New Roman" w:hAnsi="Times New Roman" w:cs="Times New Roman"/>
          <w:sz w:val="18"/>
          <w:szCs w:val="18"/>
          <w:lang w:eastAsia="en-US"/>
        </w:rPr>
      </w:pPr>
    </w:p>
    <w:p w14:paraId="4488738B" w14:textId="6E7DD2A4" w:rsidR="00FC1608" w:rsidRPr="00AC4C54" w:rsidRDefault="00FC1608" w:rsidP="00FC1608">
      <w:pPr>
        <w:autoSpaceDE w:val="0"/>
        <w:autoSpaceDN w:val="0"/>
        <w:adjustRightInd w:val="0"/>
        <w:spacing w:after="0" w:line="240" w:lineRule="auto"/>
        <w:jc w:val="both"/>
        <w:rPr>
          <w:rFonts w:ascii="Arial" w:eastAsia="Times New Roman" w:hAnsi="Arial" w:cs="Arial"/>
          <w:sz w:val="20"/>
          <w:szCs w:val="20"/>
        </w:rPr>
      </w:pPr>
      <w:bookmarkStart w:id="448" w:name="_Hlk64905762"/>
      <w:r w:rsidRPr="00AC4C54">
        <w:rPr>
          <w:rFonts w:ascii="Arial" w:eastAsia="Times New Roman" w:hAnsi="Arial" w:cs="Arial"/>
          <w:sz w:val="20"/>
          <w:szCs w:val="20"/>
        </w:rPr>
        <w:t>Člankom 2</w:t>
      </w:r>
      <w:r w:rsidR="006D283D" w:rsidRPr="00AC4C54">
        <w:rPr>
          <w:rFonts w:ascii="Arial" w:eastAsia="Times New Roman" w:hAnsi="Arial" w:cs="Arial"/>
          <w:sz w:val="20"/>
          <w:szCs w:val="20"/>
        </w:rPr>
        <w:t>9</w:t>
      </w:r>
      <w:r w:rsidRPr="00AC4C54">
        <w:rPr>
          <w:rFonts w:ascii="Arial" w:eastAsia="Times New Roman" w:hAnsi="Arial" w:cs="Arial"/>
          <w:sz w:val="20"/>
          <w:szCs w:val="20"/>
        </w:rPr>
        <w:t>. Odluke o izvršenju proračuna Općine Konavle za 202</w:t>
      </w:r>
      <w:r w:rsidR="005641D9">
        <w:rPr>
          <w:rFonts w:ascii="Arial" w:eastAsia="Times New Roman" w:hAnsi="Arial" w:cs="Arial"/>
          <w:sz w:val="20"/>
          <w:szCs w:val="20"/>
        </w:rPr>
        <w:t>5</w:t>
      </w:r>
      <w:r w:rsidRPr="00AC4C54">
        <w:rPr>
          <w:rFonts w:ascii="Arial" w:eastAsia="Times New Roman" w:hAnsi="Arial" w:cs="Arial"/>
          <w:sz w:val="20"/>
          <w:szCs w:val="20"/>
        </w:rPr>
        <w:t xml:space="preserve">. godinu (Službeni glasnik Općine Konavle broj </w:t>
      </w:r>
      <w:r w:rsidR="005641D9">
        <w:rPr>
          <w:rFonts w:ascii="Arial" w:eastAsia="Times New Roman" w:hAnsi="Arial" w:cs="Arial"/>
          <w:sz w:val="20"/>
          <w:szCs w:val="20"/>
        </w:rPr>
        <w:t>11/24</w:t>
      </w:r>
      <w:r w:rsidRPr="00AC4C54">
        <w:rPr>
          <w:rFonts w:ascii="Arial" w:eastAsia="Times New Roman" w:hAnsi="Arial" w:cs="Arial"/>
          <w:sz w:val="20"/>
          <w:szCs w:val="20"/>
        </w:rPr>
        <w:t>) propisano je:</w:t>
      </w:r>
      <w:r w:rsidRPr="00AC4C54">
        <w:rPr>
          <w:rFonts w:ascii="Arial" w:eastAsia="Times New Roman" w:hAnsi="Arial" w:cs="Arial"/>
          <w:sz w:val="20"/>
          <w:szCs w:val="20"/>
          <w:lang w:eastAsia="en-US"/>
        </w:rPr>
        <w:t xml:space="preserve"> </w:t>
      </w:r>
    </w:p>
    <w:p w14:paraId="2ABCFE0B" w14:textId="77777777" w:rsidR="005641D9" w:rsidRPr="005641D9" w:rsidRDefault="00FC1608" w:rsidP="005641D9">
      <w:pPr>
        <w:autoSpaceDE w:val="0"/>
        <w:autoSpaceDN w:val="0"/>
        <w:adjustRightInd w:val="0"/>
        <w:spacing w:after="0" w:line="240" w:lineRule="auto"/>
        <w:ind w:firstLine="709"/>
        <w:jc w:val="both"/>
        <w:rPr>
          <w:rFonts w:ascii="Arial" w:eastAsia="Times New Roman" w:hAnsi="Arial" w:cs="Arial"/>
          <w:sz w:val="20"/>
          <w:szCs w:val="20"/>
        </w:rPr>
      </w:pPr>
      <w:r w:rsidRPr="00AC4C54">
        <w:rPr>
          <w:rFonts w:ascii="Arial" w:eastAsia="Times New Roman" w:hAnsi="Arial" w:cs="Arial"/>
          <w:sz w:val="20"/>
          <w:szCs w:val="20"/>
        </w:rPr>
        <w:t>„</w:t>
      </w:r>
      <w:r w:rsidR="005641D9" w:rsidRPr="005641D9">
        <w:rPr>
          <w:rFonts w:ascii="Arial" w:eastAsia="Times New Roman" w:hAnsi="Arial" w:cs="Arial"/>
          <w:sz w:val="20"/>
          <w:szCs w:val="20"/>
        </w:rPr>
        <w:t>Rashodi i izdaci proračuna mogu se preraspodijeliti najviše do 5% na razini skupine ekonomske klasifikacije koju donosi Općinsko vijeće koja se umanjuje i to unutar izvora financiranja opći prihodi i primici i unutar izvora financiranja namjenski primici.</w:t>
      </w:r>
    </w:p>
    <w:p w14:paraId="2C3A8B2D" w14:textId="77777777" w:rsidR="005641D9" w:rsidRPr="005641D9" w:rsidRDefault="005641D9" w:rsidP="005641D9">
      <w:pPr>
        <w:autoSpaceDE w:val="0"/>
        <w:autoSpaceDN w:val="0"/>
        <w:adjustRightInd w:val="0"/>
        <w:spacing w:after="0" w:line="240" w:lineRule="auto"/>
        <w:ind w:firstLine="709"/>
        <w:jc w:val="both"/>
        <w:rPr>
          <w:rFonts w:ascii="Arial" w:eastAsia="Times New Roman" w:hAnsi="Arial" w:cs="Arial"/>
          <w:sz w:val="20"/>
          <w:szCs w:val="20"/>
        </w:rPr>
      </w:pPr>
      <w:r w:rsidRPr="005641D9">
        <w:rPr>
          <w:rFonts w:ascii="Arial" w:eastAsia="Times New Roman" w:hAnsi="Arial" w:cs="Arial"/>
          <w:sz w:val="20"/>
          <w:szCs w:val="20"/>
        </w:rPr>
        <w:tab/>
        <w:t>Iznimno od stavka 1. ovoga članka, preraspodjela sredstava unutar izvora financiranja opći prihodi i primici može se izvršiti najviše do 15% na razini skupine ekonomske klasifikacije koju donosi općinsko vijeće ako se time osigurava povećanje sredstava učešća Općine ili njenih proračunskih korisnika za financiranje projekata koji se sufinanciraju iz sredstava Europske unije.</w:t>
      </w:r>
    </w:p>
    <w:p w14:paraId="00BD2519" w14:textId="77777777" w:rsidR="005641D9" w:rsidRPr="005641D9" w:rsidRDefault="005641D9" w:rsidP="005641D9">
      <w:pPr>
        <w:autoSpaceDE w:val="0"/>
        <w:autoSpaceDN w:val="0"/>
        <w:adjustRightInd w:val="0"/>
        <w:spacing w:after="0" w:line="240" w:lineRule="auto"/>
        <w:ind w:firstLine="709"/>
        <w:jc w:val="both"/>
        <w:rPr>
          <w:rFonts w:ascii="Arial" w:eastAsia="Times New Roman" w:hAnsi="Arial" w:cs="Arial"/>
          <w:sz w:val="20"/>
          <w:szCs w:val="20"/>
        </w:rPr>
      </w:pPr>
      <w:r w:rsidRPr="005641D9">
        <w:rPr>
          <w:rFonts w:ascii="Arial" w:eastAsia="Times New Roman" w:hAnsi="Arial" w:cs="Arial"/>
          <w:sz w:val="20"/>
          <w:szCs w:val="20"/>
        </w:rPr>
        <w:tab/>
        <w:t>Iznimno od odredbe stavka 1. ovoga članka, sredstva učešća Općine ili njenih proračunskih korisnika planirana u proračunu za financiranje projekata koji se sufinanciraju iz sredstava Europske unije iz izvora opći prihodi i primici, te sredstva za financiranje projekata koja se refundiraju iz pomoći Europske unije mogu se preraspodjeljivati:</w:t>
      </w:r>
    </w:p>
    <w:p w14:paraId="7344DB76" w14:textId="77777777" w:rsidR="005641D9" w:rsidRPr="005641D9" w:rsidRDefault="005641D9" w:rsidP="005641D9">
      <w:pPr>
        <w:numPr>
          <w:ilvl w:val="0"/>
          <w:numId w:val="59"/>
        </w:numPr>
        <w:autoSpaceDE w:val="0"/>
        <w:autoSpaceDN w:val="0"/>
        <w:adjustRightInd w:val="0"/>
        <w:spacing w:after="0" w:line="240" w:lineRule="auto"/>
        <w:jc w:val="both"/>
        <w:rPr>
          <w:rFonts w:ascii="Arial" w:eastAsia="Times New Roman" w:hAnsi="Arial" w:cs="Arial"/>
          <w:sz w:val="20"/>
          <w:szCs w:val="20"/>
        </w:rPr>
      </w:pPr>
      <w:r w:rsidRPr="005641D9">
        <w:rPr>
          <w:rFonts w:ascii="Arial" w:eastAsia="Times New Roman" w:hAnsi="Arial" w:cs="Arial"/>
          <w:sz w:val="20"/>
          <w:szCs w:val="20"/>
        </w:rPr>
        <w:t>bez ograničenja unutar istog razdjela organizacijske klasifikacije,</w:t>
      </w:r>
    </w:p>
    <w:p w14:paraId="33A44497" w14:textId="77777777" w:rsidR="005641D9" w:rsidRPr="005641D9" w:rsidRDefault="005641D9" w:rsidP="005641D9">
      <w:pPr>
        <w:numPr>
          <w:ilvl w:val="0"/>
          <w:numId w:val="59"/>
        </w:numPr>
        <w:autoSpaceDE w:val="0"/>
        <w:autoSpaceDN w:val="0"/>
        <w:adjustRightInd w:val="0"/>
        <w:spacing w:after="0" w:line="240" w:lineRule="auto"/>
        <w:jc w:val="both"/>
        <w:rPr>
          <w:rFonts w:ascii="Arial" w:eastAsia="Times New Roman" w:hAnsi="Arial" w:cs="Arial"/>
          <w:sz w:val="20"/>
          <w:szCs w:val="20"/>
        </w:rPr>
      </w:pPr>
      <w:r w:rsidRPr="005641D9">
        <w:rPr>
          <w:rFonts w:ascii="Arial" w:eastAsia="Times New Roman" w:hAnsi="Arial" w:cs="Arial"/>
          <w:sz w:val="20"/>
          <w:szCs w:val="20"/>
        </w:rPr>
        <w:t>najviše do 15% između projekata različitih razdjela organizacijske klasifikacije.</w:t>
      </w:r>
    </w:p>
    <w:p w14:paraId="48B33B94" w14:textId="77777777" w:rsidR="005641D9" w:rsidRPr="005641D9" w:rsidRDefault="005641D9" w:rsidP="005641D9">
      <w:pPr>
        <w:autoSpaceDE w:val="0"/>
        <w:autoSpaceDN w:val="0"/>
        <w:adjustRightInd w:val="0"/>
        <w:spacing w:after="0" w:line="240" w:lineRule="auto"/>
        <w:ind w:firstLine="709"/>
        <w:jc w:val="both"/>
        <w:rPr>
          <w:rFonts w:ascii="Arial" w:eastAsia="Times New Roman" w:hAnsi="Arial" w:cs="Arial"/>
          <w:sz w:val="20"/>
          <w:szCs w:val="20"/>
        </w:rPr>
      </w:pPr>
      <w:r w:rsidRPr="005641D9">
        <w:rPr>
          <w:rFonts w:ascii="Arial" w:eastAsia="Times New Roman" w:hAnsi="Arial" w:cs="Arial"/>
          <w:sz w:val="20"/>
          <w:szCs w:val="20"/>
        </w:rPr>
        <w:tab/>
        <w:t>Iznimno od stavka 1. ovoga članka, sredstva za otplatu glavnice i kamata duga i općinskih jamstava, negativne tečajne razlike i razlike zbog primjene valutne klauzule mogu se, tijekom proračunske godine osiguravati preraspodjelom bez ograničenja.</w:t>
      </w:r>
    </w:p>
    <w:p w14:paraId="1635A9BA" w14:textId="77777777" w:rsidR="005641D9" w:rsidRPr="005641D9" w:rsidRDefault="005641D9" w:rsidP="005641D9">
      <w:pPr>
        <w:autoSpaceDE w:val="0"/>
        <w:autoSpaceDN w:val="0"/>
        <w:adjustRightInd w:val="0"/>
        <w:spacing w:after="0" w:line="240" w:lineRule="auto"/>
        <w:ind w:firstLine="709"/>
        <w:jc w:val="both"/>
        <w:rPr>
          <w:rFonts w:ascii="Arial" w:eastAsia="Times New Roman" w:hAnsi="Arial" w:cs="Arial"/>
          <w:sz w:val="20"/>
          <w:szCs w:val="20"/>
        </w:rPr>
      </w:pPr>
      <w:r w:rsidRPr="005641D9">
        <w:rPr>
          <w:rFonts w:ascii="Arial" w:eastAsia="Times New Roman" w:hAnsi="Arial" w:cs="Arial"/>
          <w:sz w:val="20"/>
          <w:szCs w:val="20"/>
        </w:rPr>
        <w:tab/>
        <w:t>Obrazloženi zahtjev kojim se dokazuje opravdanost razloga za dodatnim sredstvima na proračunskoj stavci koja se povećava proračunski nadležno upravno tijelo dostavlja Općinskom načelniku putem Upravnog odjela za proračun i financije.</w:t>
      </w:r>
    </w:p>
    <w:p w14:paraId="22374509" w14:textId="77777777" w:rsidR="005641D9" w:rsidRPr="005641D9" w:rsidRDefault="005641D9" w:rsidP="005641D9">
      <w:pPr>
        <w:autoSpaceDE w:val="0"/>
        <w:autoSpaceDN w:val="0"/>
        <w:adjustRightInd w:val="0"/>
        <w:spacing w:after="0" w:line="240" w:lineRule="auto"/>
        <w:ind w:firstLine="709"/>
        <w:jc w:val="both"/>
        <w:rPr>
          <w:rFonts w:ascii="Arial" w:eastAsia="Times New Roman" w:hAnsi="Arial" w:cs="Arial"/>
          <w:sz w:val="20"/>
          <w:szCs w:val="20"/>
        </w:rPr>
      </w:pPr>
      <w:r w:rsidRPr="005641D9">
        <w:rPr>
          <w:rFonts w:ascii="Arial" w:eastAsia="Times New Roman" w:hAnsi="Arial" w:cs="Arial"/>
          <w:sz w:val="20"/>
          <w:szCs w:val="20"/>
        </w:rPr>
        <w:tab/>
        <w:t xml:space="preserve">Sredstva iz stavka 2. i 3. ovoga članka mogu se preraspodjelom osigurati za naknadno utvrđene aktivnosti i/ili projekte i/ili stavke na razini skupine ekonomske klasifikacije. </w:t>
      </w:r>
    </w:p>
    <w:p w14:paraId="2DF71C51" w14:textId="77777777" w:rsidR="005641D9" w:rsidRPr="005641D9" w:rsidRDefault="005641D9" w:rsidP="005641D9">
      <w:pPr>
        <w:autoSpaceDE w:val="0"/>
        <w:autoSpaceDN w:val="0"/>
        <w:adjustRightInd w:val="0"/>
        <w:spacing w:after="0" w:line="240" w:lineRule="auto"/>
        <w:ind w:firstLine="709"/>
        <w:jc w:val="both"/>
        <w:rPr>
          <w:rFonts w:ascii="Arial" w:eastAsia="Times New Roman" w:hAnsi="Arial" w:cs="Arial"/>
          <w:sz w:val="20"/>
          <w:szCs w:val="20"/>
        </w:rPr>
      </w:pPr>
      <w:r w:rsidRPr="005641D9">
        <w:rPr>
          <w:rFonts w:ascii="Arial" w:eastAsia="Times New Roman" w:hAnsi="Arial" w:cs="Arial"/>
          <w:sz w:val="20"/>
          <w:szCs w:val="20"/>
        </w:rPr>
        <w:tab/>
        <w:t>Sredstva u proračunu se mogu preraspodjeljivati isključivo u planu za tekuću godinu.</w:t>
      </w:r>
    </w:p>
    <w:p w14:paraId="0F4816F8" w14:textId="77777777" w:rsidR="005641D9" w:rsidRPr="005641D9" w:rsidRDefault="005641D9" w:rsidP="005641D9">
      <w:pPr>
        <w:autoSpaceDE w:val="0"/>
        <w:autoSpaceDN w:val="0"/>
        <w:adjustRightInd w:val="0"/>
        <w:spacing w:after="0" w:line="240" w:lineRule="auto"/>
        <w:ind w:firstLine="709"/>
        <w:jc w:val="both"/>
        <w:rPr>
          <w:rFonts w:ascii="Arial" w:eastAsia="Times New Roman" w:hAnsi="Arial" w:cs="Arial"/>
          <w:sz w:val="20"/>
          <w:szCs w:val="20"/>
        </w:rPr>
      </w:pPr>
      <w:r w:rsidRPr="005641D9">
        <w:rPr>
          <w:rFonts w:ascii="Arial" w:eastAsia="Times New Roman" w:hAnsi="Arial" w:cs="Arial"/>
          <w:sz w:val="20"/>
          <w:szCs w:val="20"/>
        </w:rPr>
        <w:tab/>
        <w:t>Sredstva se ne mogu preraspodjeljivati između Računa prihoda i rashoda i Računa financiranja.</w:t>
      </w:r>
    </w:p>
    <w:p w14:paraId="4E306377" w14:textId="10205A28" w:rsidR="00FC1608" w:rsidRPr="00AC4C54" w:rsidRDefault="005641D9" w:rsidP="005641D9">
      <w:pPr>
        <w:autoSpaceDE w:val="0"/>
        <w:autoSpaceDN w:val="0"/>
        <w:adjustRightInd w:val="0"/>
        <w:spacing w:after="0" w:line="240" w:lineRule="auto"/>
        <w:ind w:firstLine="709"/>
        <w:jc w:val="both"/>
        <w:rPr>
          <w:rFonts w:ascii="Arial" w:eastAsia="Times New Roman" w:hAnsi="Arial" w:cs="Arial"/>
          <w:sz w:val="20"/>
          <w:szCs w:val="20"/>
        </w:rPr>
      </w:pPr>
      <w:r w:rsidRPr="005641D9">
        <w:rPr>
          <w:rFonts w:ascii="Arial" w:eastAsia="Times New Roman" w:hAnsi="Arial" w:cs="Arial"/>
          <w:sz w:val="20"/>
          <w:szCs w:val="20"/>
        </w:rPr>
        <w:tab/>
        <w:t>O izvršenim preraspodjelama u proteklom razdoblju Općinski načelnik izvještava Općinsko vijeće u polugodišnjem i godišnjem izvještaju o izvršenju proračuna.</w:t>
      </w:r>
      <w:r w:rsidR="00FC1608" w:rsidRPr="00AC4C54">
        <w:rPr>
          <w:rFonts w:ascii="Arial" w:eastAsia="Times New Roman" w:hAnsi="Arial" w:cs="Arial"/>
          <w:sz w:val="20"/>
          <w:szCs w:val="20"/>
        </w:rPr>
        <w:t>“.</w:t>
      </w:r>
    </w:p>
    <w:p w14:paraId="3164B342" w14:textId="77777777" w:rsidR="00FC1608" w:rsidRPr="00AC4C54" w:rsidRDefault="00FC1608" w:rsidP="00FC1608">
      <w:pPr>
        <w:autoSpaceDE w:val="0"/>
        <w:autoSpaceDN w:val="0"/>
        <w:adjustRightInd w:val="0"/>
        <w:spacing w:after="0" w:line="240" w:lineRule="auto"/>
        <w:jc w:val="both"/>
        <w:rPr>
          <w:rFonts w:ascii="Arial" w:eastAsia="Times New Roman" w:hAnsi="Arial" w:cs="Arial"/>
          <w:sz w:val="20"/>
          <w:szCs w:val="20"/>
        </w:rPr>
      </w:pPr>
    </w:p>
    <w:p w14:paraId="7F3DBB72" w14:textId="4BCF10DA" w:rsidR="00FC1608" w:rsidRPr="00AC4C54" w:rsidRDefault="00FC1608" w:rsidP="00FC1608">
      <w:pPr>
        <w:autoSpaceDE w:val="0"/>
        <w:autoSpaceDN w:val="0"/>
        <w:adjustRightInd w:val="0"/>
        <w:spacing w:after="0" w:line="240" w:lineRule="auto"/>
        <w:jc w:val="both"/>
        <w:rPr>
          <w:rFonts w:ascii="Arial" w:eastAsia="Times New Roman" w:hAnsi="Arial" w:cs="Arial"/>
          <w:sz w:val="20"/>
          <w:szCs w:val="20"/>
        </w:rPr>
      </w:pPr>
      <w:r w:rsidRPr="00AC4C54">
        <w:rPr>
          <w:rFonts w:ascii="Arial" w:eastAsia="Times New Roman" w:hAnsi="Arial" w:cs="Arial"/>
          <w:b/>
          <w:bCs/>
          <w:sz w:val="20"/>
          <w:szCs w:val="20"/>
        </w:rPr>
        <w:t xml:space="preserve">U razdoblju 1. siječnja do </w:t>
      </w:r>
      <w:r w:rsidR="00534078" w:rsidRPr="00AC4C54">
        <w:rPr>
          <w:rFonts w:ascii="Arial" w:eastAsia="Times New Roman" w:hAnsi="Arial" w:cs="Arial"/>
          <w:b/>
          <w:bCs/>
          <w:sz w:val="20"/>
          <w:szCs w:val="20"/>
        </w:rPr>
        <w:t>3</w:t>
      </w:r>
      <w:r w:rsidR="005641D9">
        <w:rPr>
          <w:rFonts w:ascii="Arial" w:eastAsia="Times New Roman" w:hAnsi="Arial" w:cs="Arial"/>
          <w:b/>
          <w:bCs/>
          <w:sz w:val="20"/>
          <w:szCs w:val="20"/>
        </w:rPr>
        <w:t xml:space="preserve">0. lipnja </w:t>
      </w:r>
      <w:r w:rsidR="006E6C4A" w:rsidRPr="00AC4C54">
        <w:rPr>
          <w:rFonts w:ascii="Arial" w:eastAsia="Times New Roman" w:hAnsi="Arial" w:cs="Arial"/>
          <w:b/>
          <w:bCs/>
          <w:sz w:val="20"/>
          <w:szCs w:val="20"/>
        </w:rPr>
        <w:t>202</w:t>
      </w:r>
      <w:r w:rsidR="005641D9">
        <w:rPr>
          <w:rFonts w:ascii="Arial" w:eastAsia="Times New Roman" w:hAnsi="Arial" w:cs="Arial"/>
          <w:b/>
          <w:bCs/>
          <w:sz w:val="20"/>
          <w:szCs w:val="20"/>
        </w:rPr>
        <w:t>5</w:t>
      </w:r>
      <w:r w:rsidRPr="00AC4C54">
        <w:rPr>
          <w:rFonts w:ascii="Arial" w:eastAsia="Times New Roman" w:hAnsi="Arial" w:cs="Arial"/>
          <w:b/>
          <w:bCs/>
          <w:sz w:val="20"/>
          <w:szCs w:val="20"/>
        </w:rPr>
        <w:t>. od strane pojedinih upravnih odjela općinske uprave je iskazana potreba za preraspodjelom sredstava</w:t>
      </w:r>
      <w:r w:rsidRPr="00AC4C54">
        <w:rPr>
          <w:rFonts w:ascii="Arial" w:eastAsia="Times New Roman" w:hAnsi="Arial" w:cs="Arial"/>
          <w:sz w:val="20"/>
          <w:szCs w:val="20"/>
        </w:rPr>
        <w:t xml:space="preserve"> uvjetovana činjenicama i okolnostima koje nisu bile poznate u vrijeme planiranja i donošenja Proračuna za 202</w:t>
      </w:r>
      <w:r w:rsidR="005641D9">
        <w:rPr>
          <w:rFonts w:ascii="Arial" w:eastAsia="Times New Roman" w:hAnsi="Arial" w:cs="Arial"/>
          <w:sz w:val="20"/>
          <w:szCs w:val="20"/>
        </w:rPr>
        <w:t>5</w:t>
      </w:r>
      <w:r w:rsidRPr="00AC4C54">
        <w:rPr>
          <w:rFonts w:ascii="Arial" w:eastAsia="Times New Roman" w:hAnsi="Arial" w:cs="Arial"/>
          <w:sz w:val="20"/>
          <w:szCs w:val="20"/>
        </w:rPr>
        <w:t xml:space="preserve">. godinu. </w:t>
      </w:r>
    </w:p>
    <w:bookmarkEnd w:id="448"/>
    <w:p w14:paraId="6E7427F1" w14:textId="77777777" w:rsidR="00A3648D" w:rsidRDefault="00A3648D" w:rsidP="00A3648D">
      <w:pPr>
        <w:spacing w:after="0" w:line="240" w:lineRule="auto"/>
        <w:rPr>
          <w:lang w:eastAsia="en-US"/>
        </w:rPr>
      </w:pPr>
    </w:p>
    <w:p w14:paraId="4540D306" w14:textId="77777777" w:rsidR="000971C3" w:rsidRDefault="000971C3" w:rsidP="00A3648D">
      <w:pPr>
        <w:spacing w:after="0" w:line="240" w:lineRule="auto"/>
        <w:rPr>
          <w:lang w:eastAsia="en-US"/>
        </w:rPr>
      </w:pPr>
    </w:p>
    <w:p w14:paraId="36F69734" w14:textId="77777777" w:rsidR="000971C3" w:rsidRDefault="000971C3" w:rsidP="00A3648D">
      <w:pPr>
        <w:spacing w:after="0" w:line="240" w:lineRule="auto"/>
        <w:rPr>
          <w:lang w:eastAsia="en-US"/>
        </w:rPr>
      </w:pPr>
    </w:p>
    <w:p w14:paraId="3334A0D8" w14:textId="77777777" w:rsidR="000971C3" w:rsidRDefault="000971C3" w:rsidP="00A3648D">
      <w:pPr>
        <w:spacing w:after="0" w:line="240" w:lineRule="auto"/>
        <w:rPr>
          <w:lang w:eastAsia="en-US"/>
        </w:rPr>
      </w:pPr>
    </w:p>
    <w:p w14:paraId="1E6A1D14" w14:textId="77777777" w:rsidR="000971C3" w:rsidRDefault="000971C3" w:rsidP="00A3648D">
      <w:pPr>
        <w:spacing w:after="0" w:line="240" w:lineRule="auto"/>
        <w:rPr>
          <w:lang w:eastAsia="en-US"/>
        </w:rPr>
      </w:pPr>
    </w:p>
    <w:p w14:paraId="1C6DD699" w14:textId="77777777" w:rsidR="000971C3" w:rsidRDefault="000971C3" w:rsidP="00A3648D">
      <w:pPr>
        <w:spacing w:after="0" w:line="240" w:lineRule="auto"/>
        <w:rPr>
          <w:lang w:eastAsia="en-US"/>
        </w:rPr>
      </w:pPr>
    </w:p>
    <w:p w14:paraId="2542C4C3" w14:textId="77777777" w:rsidR="000971C3" w:rsidRDefault="000971C3" w:rsidP="00A3648D">
      <w:pPr>
        <w:spacing w:after="0" w:line="240" w:lineRule="auto"/>
        <w:rPr>
          <w:lang w:eastAsia="en-US"/>
        </w:rPr>
      </w:pPr>
    </w:p>
    <w:p w14:paraId="681EC56A" w14:textId="77777777" w:rsidR="000971C3" w:rsidRDefault="000971C3" w:rsidP="00A3648D">
      <w:pPr>
        <w:spacing w:after="0" w:line="240" w:lineRule="auto"/>
        <w:rPr>
          <w:lang w:eastAsia="en-US"/>
        </w:rPr>
      </w:pPr>
    </w:p>
    <w:p w14:paraId="2F1E8FF9" w14:textId="77777777" w:rsidR="000971C3" w:rsidRDefault="000971C3" w:rsidP="00A3648D">
      <w:pPr>
        <w:spacing w:after="0" w:line="240" w:lineRule="auto"/>
        <w:rPr>
          <w:lang w:eastAsia="en-US"/>
        </w:rPr>
      </w:pPr>
    </w:p>
    <w:p w14:paraId="14B45BB5" w14:textId="77777777" w:rsidR="000971C3" w:rsidRDefault="000971C3" w:rsidP="00A3648D">
      <w:pPr>
        <w:spacing w:after="0" w:line="240" w:lineRule="auto"/>
        <w:rPr>
          <w:lang w:eastAsia="en-US"/>
        </w:rPr>
      </w:pPr>
    </w:p>
    <w:p w14:paraId="446CA259" w14:textId="77777777" w:rsidR="000971C3" w:rsidRDefault="000971C3" w:rsidP="00A3648D">
      <w:pPr>
        <w:spacing w:after="0" w:line="240" w:lineRule="auto"/>
        <w:rPr>
          <w:lang w:eastAsia="en-US"/>
        </w:rPr>
      </w:pPr>
    </w:p>
    <w:p w14:paraId="01A0DAEE" w14:textId="77777777" w:rsidR="000971C3" w:rsidRPr="003A2F86" w:rsidRDefault="000971C3" w:rsidP="00A3648D">
      <w:pPr>
        <w:spacing w:after="0" w:line="240" w:lineRule="auto"/>
        <w:rPr>
          <w:lang w:eastAsia="en-US"/>
        </w:rPr>
      </w:pPr>
    </w:p>
    <w:p w14:paraId="0743F5C7" w14:textId="0FC20277" w:rsidR="0013369B" w:rsidRPr="003A2F86" w:rsidRDefault="0013369B" w:rsidP="0013369B">
      <w:pPr>
        <w:pStyle w:val="Opisslike"/>
      </w:pPr>
      <w:bookmarkStart w:id="449" w:name="_Toc207707004"/>
      <w:r w:rsidRPr="003A2F86">
        <w:rPr>
          <w:color w:val="FF0000"/>
        </w:rPr>
        <w:lastRenderedPageBreak/>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40</w:t>
      </w:r>
      <w:r w:rsidRPr="003A2F86">
        <w:rPr>
          <w:color w:val="FF0000"/>
        </w:rPr>
        <w:fldChar w:fldCharType="end"/>
      </w:r>
      <w:r w:rsidRPr="003A2F86">
        <w:rPr>
          <w:color w:val="FF0000"/>
        </w:rPr>
        <w:t>.</w:t>
      </w:r>
      <w:r w:rsidRPr="003A2F86">
        <w:t xml:space="preserve">: </w:t>
      </w:r>
      <w:r w:rsidRPr="003A2F86">
        <w:rPr>
          <w:rFonts w:ascii="Arial" w:hAnsi="Arial" w:cs="Arial"/>
          <w:iCs/>
        </w:rPr>
        <w:t>Preraspodjele sredstava u proračunu za 20</w:t>
      </w:r>
      <w:r w:rsidR="005641D9">
        <w:rPr>
          <w:rFonts w:ascii="Arial" w:hAnsi="Arial" w:cs="Arial"/>
          <w:iCs/>
        </w:rPr>
        <w:t>25</w:t>
      </w:r>
      <w:r w:rsidRPr="003A2F86">
        <w:rPr>
          <w:rFonts w:ascii="Arial" w:hAnsi="Arial" w:cs="Arial"/>
          <w:iCs/>
        </w:rPr>
        <w:t>.</w:t>
      </w:r>
      <w:bookmarkEnd w:id="449"/>
      <w:r w:rsidRPr="003A2F86">
        <w:rPr>
          <w:rFonts w:ascii="Arial" w:hAnsi="Arial" w:cs="Arial"/>
          <w:iCs/>
        </w:rPr>
        <w:t xml:space="preserve"> </w:t>
      </w:r>
    </w:p>
    <w:p w14:paraId="095786E4" w14:textId="20FCEAE1" w:rsidR="0013369B" w:rsidRPr="000971C3" w:rsidRDefault="0013369B" w:rsidP="00A3648D">
      <w:pPr>
        <w:spacing w:after="0" w:line="240" w:lineRule="auto"/>
        <w:rPr>
          <w:sz w:val="8"/>
          <w:szCs w:val="8"/>
          <w:lang w:eastAsia="en-US"/>
        </w:rPr>
      </w:pPr>
    </w:p>
    <w:p w14:paraId="4B291433" w14:textId="59CCE465" w:rsidR="000971C3" w:rsidRDefault="000971C3" w:rsidP="000971C3">
      <w:pPr>
        <w:spacing w:after="0" w:line="240" w:lineRule="auto"/>
        <w:jc w:val="center"/>
        <w:rPr>
          <w:lang w:eastAsia="en-US"/>
        </w:rPr>
      </w:pPr>
      <w:r w:rsidRPr="000971C3">
        <w:rPr>
          <w:noProof/>
        </w:rPr>
        <w:drawing>
          <wp:inline distT="0" distB="0" distL="0" distR="0" wp14:anchorId="0911822E" wp14:editId="3BB14B4A">
            <wp:extent cx="7133509" cy="5650293"/>
            <wp:effectExtent l="0" t="0" r="0" b="7620"/>
            <wp:docPr id="2084409"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141167" cy="5656358"/>
                    </a:xfrm>
                    <a:prstGeom prst="rect">
                      <a:avLst/>
                    </a:prstGeom>
                    <a:noFill/>
                    <a:ln>
                      <a:noFill/>
                    </a:ln>
                  </pic:spPr>
                </pic:pic>
              </a:graphicData>
            </a:graphic>
          </wp:inline>
        </w:drawing>
      </w:r>
    </w:p>
    <w:p w14:paraId="40C0D0C0" w14:textId="77777777" w:rsidR="000971C3" w:rsidRDefault="000971C3" w:rsidP="00A3648D">
      <w:pPr>
        <w:spacing w:after="0" w:line="240" w:lineRule="auto"/>
        <w:rPr>
          <w:lang w:eastAsia="en-US"/>
        </w:rPr>
      </w:pPr>
    </w:p>
    <w:p w14:paraId="06B5E935" w14:textId="7BDA03BF" w:rsidR="000971C3" w:rsidRDefault="000971C3" w:rsidP="000971C3">
      <w:pPr>
        <w:tabs>
          <w:tab w:val="left" w:pos="567"/>
        </w:tabs>
        <w:spacing w:after="0" w:line="240" w:lineRule="auto"/>
        <w:jc w:val="center"/>
        <w:rPr>
          <w:lang w:eastAsia="en-US"/>
        </w:rPr>
      </w:pPr>
      <w:r w:rsidRPr="000971C3">
        <w:rPr>
          <w:noProof/>
        </w:rPr>
        <w:lastRenderedPageBreak/>
        <w:drawing>
          <wp:inline distT="0" distB="0" distL="0" distR="0" wp14:anchorId="01DC7044" wp14:editId="282C69F5">
            <wp:extent cx="7751310" cy="5567680"/>
            <wp:effectExtent l="0" t="0" r="2540" b="0"/>
            <wp:docPr id="1645860363"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752582" cy="5568594"/>
                    </a:xfrm>
                    <a:prstGeom prst="rect">
                      <a:avLst/>
                    </a:prstGeom>
                    <a:noFill/>
                    <a:ln>
                      <a:noFill/>
                    </a:ln>
                  </pic:spPr>
                </pic:pic>
              </a:graphicData>
            </a:graphic>
          </wp:inline>
        </w:drawing>
      </w:r>
    </w:p>
    <w:p w14:paraId="6C746A1C" w14:textId="264D3181" w:rsidR="000971C3" w:rsidRDefault="000971C3" w:rsidP="00A3648D">
      <w:pPr>
        <w:spacing w:after="0" w:line="240" w:lineRule="auto"/>
        <w:rPr>
          <w:lang w:eastAsia="en-US"/>
        </w:rPr>
      </w:pPr>
    </w:p>
    <w:p w14:paraId="2B4A9140" w14:textId="391DBD96" w:rsidR="000971C3" w:rsidRDefault="000971C3" w:rsidP="000971C3">
      <w:pPr>
        <w:spacing w:after="0" w:line="240" w:lineRule="auto"/>
        <w:jc w:val="center"/>
        <w:rPr>
          <w:lang w:eastAsia="en-US"/>
        </w:rPr>
      </w:pPr>
      <w:r w:rsidRPr="000971C3">
        <w:rPr>
          <w:noProof/>
        </w:rPr>
        <w:lastRenderedPageBreak/>
        <w:drawing>
          <wp:inline distT="0" distB="0" distL="0" distR="0" wp14:anchorId="47248B76" wp14:editId="3CB37074">
            <wp:extent cx="8289336" cy="5662930"/>
            <wp:effectExtent l="0" t="0" r="0" b="0"/>
            <wp:docPr id="1783206872"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289587" cy="5663101"/>
                    </a:xfrm>
                    <a:prstGeom prst="rect">
                      <a:avLst/>
                    </a:prstGeom>
                    <a:noFill/>
                    <a:ln>
                      <a:noFill/>
                    </a:ln>
                  </pic:spPr>
                </pic:pic>
              </a:graphicData>
            </a:graphic>
          </wp:inline>
        </w:drawing>
      </w:r>
    </w:p>
    <w:p w14:paraId="7DBEEABE" w14:textId="3A28C1E5" w:rsidR="000971C3" w:rsidRDefault="000971C3" w:rsidP="000971C3">
      <w:pPr>
        <w:spacing w:after="0" w:line="240" w:lineRule="auto"/>
        <w:jc w:val="center"/>
        <w:rPr>
          <w:lang w:eastAsia="en-US"/>
        </w:rPr>
      </w:pPr>
      <w:r w:rsidRPr="000971C3">
        <w:rPr>
          <w:noProof/>
        </w:rPr>
        <w:lastRenderedPageBreak/>
        <w:drawing>
          <wp:inline distT="0" distB="0" distL="0" distR="0" wp14:anchorId="052AE239" wp14:editId="3D998145">
            <wp:extent cx="8568690" cy="5761479"/>
            <wp:effectExtent l="0" t="0" r="3810" b="0"/>
            <wp:docPr id="1170026233"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571044" cy="5763062"/>
                    </a:xfrm>
                    <a:prstGeom prst="rect">
                      <a:avLst/>
                    </a:prstGeom>
                    <a:noFill/>
                    <a:ln>
                      <a:noFill/>
                    </a:ln>
                  </pic:spPr>
                </pic:pic>
              </a:graphicData>
            </a:graphic>
          </wp:inline>
        </w:drawing>
      </w:r>
    </w:p>
    <w:p w14:paraId="38D994F8" w14:textId="56616A31" w:rsidR="000971C3" w:rsidRDefault="000971C3" w:rsidP="000971C3">
      <w:pPr>
        <w:spacing w:after="0" w:line="240" w:lineRule="auto"/>
        <w:jc w:val="center"/>
        <w:rPr>
          <w:lang w:eastAsia="en-US"/>
        </w:rPr>
      </w:pPr>
      <w:r w:rsidRPr="000971C3">
        <w:rPr>
          <w:noProof/>
        </w:rPr>
        <w:lastRenderedPageBreak/>
        <w:drawing>
          <wp:inline distT="0" distB="0" distL="0" distR="0" wp14:anchorId="7570E88B" wp14:editId="3CFC87B1">
            <wp:extent cx="8286750" cy="5773290"/>
            <wp:effectExtent l="0" t="0" r="0" b="0"/>
            <wp:docPr id="1562828608"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290484" cy="5775891"/>
                    </a:xfrm>
                    <a:prstGeom prst="rect">
                      <a:avLst/>
                    </a:prstGeom>
                    <a:noFill/>
                    <a:ln>
                      <a:noFill/>
                    </a:ln>
                  </pic:spPr>
                </pic:pic>
              </a:graphicData>
            </a:graphic>
          </wp:inline>
        </w:drawing>
      </w:r>
    </w:p>
    <w:p w14:paraId="5D8D0D4C" w14:textId="77777777" w:rsidR="0013369B" w:rsidRPr="003A2F86" w:rsidRDefault="0013369B" w:rsidP="00A3648D">
      <w:pPr>
        <w:spacing w:after="0" w:line="240" w:lineRule="auto"/>
        <w:rPr>
          <w:lang w:eastAsia="en-US"/>
        </w:rPr>
      </w:pPr>
    </w:p>
    <w:p w14:paraId="59F39E5C" w14:textId="77777777" w:rsidR="0013369B" w:rsidRPr="003A2F86" w:rsidRDefault="0013369B" w:rsidP="00A3648D">
      <w:pPr>
        <w:spacing w:after="0" w:line="240" w:lineRule="auto"/>
        <w:rPr>
          <w:lang w:eastAsia="en-US"/>
        </w:rPr>
        <w:sectPr w:rsidR="0013369B" w:rsidRPr="003A2F86" w:rsidSect="00673312">
          <w:pgSz w:w="16838" w:h="11906" w:orient="landscape" w:code="9"/>
          <w:pgMar w:top="1134" w:right="1134" w:bottom="1134" w:left="1134" w:header="720" w:footer="720" w:gutter="0"/>
          <w:pgNumType w:chapStyle="1"/>
          <w:cols w:space="720"/>
          <w:titlePg/>
          <w:docGrid w:linePitch="272"/>
        </w:sectPr>
      </w:pPr>
    </w:p>
    <w:p w14:paraId="165B9654" w14:textId="5D771B2E" w:rsidR="00A3648D" w:rsidRPr="00392B92" w:rsidRDefault="006D222A" w:rsidP="00A3648D">
      <w:pPr>
        <w:pStyle w:val="Naslov1"/>
        <w:rPr>
          <w:rFonts w:ascii="Arial" w:eastAsia="Calibri" w:hAnsi="Arial" w:cs="Arial"/>
          <w:sz w:val="22"/>
          <w:lang w:val="hr-HR"/>
        </w:rPr>
      </w:pPr>
      <w:bookmarkStart w:id="450" w:name="_Toc207707499"/>
      <w:r w:rsidRPr="00392B92">
        <w:rPr>
          <w:rFonts w:ascii="Arial" w:eastAsia="Calibri" w:hAnsi="Arial" w:cs="Arial"/>
          <w:sz w:val="22"/>
          <w:lang w:val="hr-HR"/>
        </w:rPr>
        <w:lastRenderedPageBreak/>
        <w:t>6</w:t>
      </w:r>
      <w:r w:rsidR="00A3648D" w:rsidRPr="00392B92">
        <w:rPr>
          <w:rFonts w:ascii="Arial" w:eastAsia="Calibri" w:hAnsi="Arial" w:cs="Arial"/>
          <w:sz w:val="22"/>
          <w:lang w:val="hr-HR"/>
        </w:rPr>
        <w:t xml:space="preserve">. </w:t>
      </w:r>
      <w:r w:rsidR="00A3648D" w:rsidRPr="00392B92">
        <w:rPr>
          <w:rFonts w:ascii="Arial" w:eastAsia="Calibri" w:hAnsi="Arial" w:cs="Arial"/>
          <w:sz w:val="22"/>
          <w:lang w:val="hr-HR"/>
        </w:rPr>
        <w:tab/>
      </w:r>
      <w:bookmarkStart w:id="451" w:name="Izvještaj_suglasnosti_za_zaduživanje"/>
      <w:bookmarkEnd w:id="451"/>
      <w:r w:rsidR="00A3648D" w:rsidRPr="00392B92">
        <w:rPr>
          <w:rFonts w:ascii="Arial" w:eastAsia="Calibri" w:hAnsi="Arial" w:cs="Arial"/>
          <w:sz w:val="22"/>
          <w:lang w:val="hr-HR"/>
        </w:rPr>
        <w:t>IZVJEŠTAJ O DANIM SUGLASNOSTIMA ZA ZADUŽIVANJE</w:t>
      </w:r>
      <w:bookmarkEnd w:id="450"/>
    </w:p>
    <w:p w14:paraId="52A2E4D7" w14:textId="77777777" w:rsidR="00A3648D" w:rsidRPr="00392B92" w:rsidRDefault="00A3648D" w:rsidP="00A3648D">
      <w:pPr>
        <w:spacing w:after="0" w:line="240" w:lineRule="auto"/>
        <w:jc w:val="both"/>
        <w:rPr>
          <w:rFonts w:ascii="Arial" w:eastAsia="Calibri" w:hAnsi="Arial" w:cs="Arial"/>
          <w:lang w:eastAsia="en-US"/>
        </w:rPr>
      </w:pPr>
    </w:p>
    <w:p w14:paraId="6F4FE1BA" w14:textId="6FB848C5" w:rsidR="00867198" w:rsidRPr="00AC4C54" w:rsidRDefault="00A3648D" w:rsidP="00A3648D">
      <w:pPr>
        <w:spacing w:after="0" w:line="240" w:lineRule="auto"/>
        <w:jc w:val="both"/>
        <w:rPr>
          <w:rFonts w:ascii="Arial" w:eastAsia="Times New Roman" w:hAnsi="Arial" w:cs="Arial"/>
          <w:iCs/>
          <w:sz w:val="20"/>
          <w:szCs w:val="20"/>
          <w:lang w:eastAsia="en-US"/>
        </w:rPr>
      </w:pPr>
      <w:r w:rsidRPr="00AC4C54">
        <w:rPr>
          <w:rFonts w:ascii="Arial" w:eastAsia="Times New Roman" w:hAnsi="Arial" w:cs="Arial"/>
          <w:iCs/>
          <w:sz w:val="20"/>
          <w:szCs w:val="20"/>
          <w:lang w:eastAsia="en-US"/>
        </w:rPr>
        <w:t>U 20</w:t>
      </w:r>
      <w:r w:rsidR="006879CE" w:rsidRPr="00AC4C54">
        <w:rPr>
          <w:rFonts w:ascii="Arial" w:eastAsia="Times New Roman" w:hAnsi="Arial" w:cs="Arial"/>
          <w:iCs/>
          <w:sz w:val="20"/>
          <w:szCs w:val="20"/>
          <w:lang w:eastAsia="en-US"/>
        </w:rPr>
        <w:t>2</w:t>
      </w:r>
      <w:r w:rsidR="000971C3">
        <w:rPr>
          <w:rFonts w:ascii="Arial" w:eastAsia="Times New Roman" w:hAnsi="Arial" w:cs="Arial"/>
          <w:iCs/>
          <w:sz w:val="20"/>
          <w:szCs w:val="20"/>
          <w:lang w:eastAsia="en-US"/>
        </w:rPr>
        <w:t>5</w:t>
      </w:r>
      <w:r w:rsidRPr="00AC4C54">
        <w:rPr>
          <w:rFonts w:ascii="Arial" w:eastAsia="Times New Roman" w:hAnsi="Arial" w:cs="Arial"/>
          <w:iCs/>
          <w:sz w:val="20"/>
          <w:szCs w:val="20"/>
          <w:lang w:eastAsia="en-US"/>
        </w:rPr>
        <w:t xml:space="preserve">. Općina </w:t>
      </w:r>
      <w:r w:rsidR="000971C3">
        <w:rPr>
          <w:rFonts w:ascii="Arial" w:eastAsia="Times New Roman" w:hAnsi="Arial" w:cs="Arial"/>
          <w:iCs/>
          <w:sz w:val="20"/>
          <w:szCs w:val="20"/>
          <w:lang w:eastAsia="en-US"/>
        </w:rPr>
        <w:t xml:space="preserve">nije </w:t>
      </w:r>
      <w:r w:rsidRPr="00AC4C54">
        <w:rPr>
          <w:rFonts w:ascii="Arial" w:eastAsia="Times New Roman" w:hAnsi="Arial" w:cs="Arial"/>
          <w:iCs/>
          <w:sz w:val="20"/>
          <w:szCs w:val="20"/>
          <w:lang w:eastAsia="en-US"/>
        </w:rPr>
        <w:t>izd</w:t>
      </w:r>
      <w:r w:rsidR="000971C3">
        <w:rPr>
          <w:rFonts w:ascii="Arial" w:eastAsia="Times New Roman" w:hAnsi="Arial" w:cs="Arial"/>
          <w:iCs/>
          <w:sz w:val="20"/>
          <w:szCs w:val="20"/>
          <w:lang w:eastAsia="en-US"/>
        </w:rPr>
        <w:t>avala</w:t>
      </w:r>
      <w:r w:rsidR="00BC2597" w:rsidRPr="00AC4C54">
        <w:rPr>
          <w:rFonts w:ascii="Arial" w:eastAsia="Times New Roman" w:hAnsi="Arial" w:cs="Arial"/>
          <w:iCs/>
          <w:sz w:val="20"/>
          <w:szCs w:val="20"/>
          <w:lang w:eastAsia="en-US"/>
        </w:rPr>
        <w:t xml:space="preserve"> </w:t>
      </w:r>
      <w:r w:rsidRPr="00AC4C54">
        <w:rPr>
          <w:rFonts w:ascii="Arial" w:eastAsia="Times New Roman" w:hAnsi="Arial" w:cs="Arial"/>
          <w:iCs/>
          <w:sz w:val="20"/>
          <w:szCs w:val="20"/>
          <w:lang w:eastAsia="en-US"/>
        </w:rPr>
        <w:t>suglasn</w:t>
      </w:r>
      <w:r w:rsidR="00867198" w:rsidRPr="00AC4C54">
        <w:rPr>
          <w:rFonts w:ascii="Arial" w:eastAsia="Times New Roman" w:hAnsi="Arial" w:cs="Arial"/>
          <w:iCs/>
          <w:sz w:val="20"/>
          <w:szCs w:val="20"/>
          <w:lang w:eastAsia="en-US"/>
        </w:rPr>
        <w:t>o</w:t>
      </w:r>
      <w:r w:rsidRPr="00AC4C54">
        <w:rPr>
          <w:rFonts w:ascii="Arial" w:eastAsia="Times New Roman" w:hAnsi="Arial" w:cs="Arial"/>
          <w:iCs/>
          <w:sz w:val="20"/>
          <w:szCs w:val="20"/>
          <w:lang w:eastAsia="en-US"/>
        </w:rPr>
        <w:t>st</w:t>
      </w:r>
      <w:r w:rsidR="00534078" w:rsidRPr="00AC4C54">
        <w:rPr>
          <w:rFonts w:ascii="Arial" w:eastAsia="Times New Roman" w:hAnsi="Arial" w:cs="Arial"/>
          <w:iCs/>
          <w:sz w:val="20"/>
          <w:szCs w:val="20"/>
          <w:lang w:eastAsia="en-US"/>
        </w:rPr>
        <w:t>i</w:t>
      </w:r>
      <w:r w:rsidRPr="00AC4C54">
        <w:rPr>
          <w:rFonts w:ascii="Arial" w:eastAsia="Times New Roman" w:hAnsi="Arial" w:cs="Arial"/>
          <w:iCs/>
          <w:sz w:val="20"/>
          <w:szCs w:val="20"/>
          <w:lang w:eastAsia="en-US"/>
        </w:rPr>
        <w:t xml:space="preserve"> za zaduživanje društv</w:t>
      </w:r>
      <w:r w:rsidR="00495844" w:rsidRPr="00AC4C54">
        <w:rPr>
          <w:rFonts w:ascii="Arial" w:eastAsia="Times New Roman" w:hAnsi="Arial" w:cs="Arial"/>
          <w:iCs/>
          <w:sz w:val="20"/>
          <w:szCs w:val="20"/>
          <w:lang w:eastAsia="en-US"/>
        </w:rPr>
        <w:t>u</w:t>
      </w:r>
      <w:r w:rsidRPr="00AC4C54">
        <w:rPr>
          <w:rFonts w:ascii="Arial" w:eastAsia="Times New Roman" w:hAnsi="Arial" w:cs="Arial"/>
          <w:iCs/>
          <w:sz w:val="20"/>
          <w:szCs w:val="20"/>
          <w:lang w:eastAsia="en-US"/>
        </w:rPr>
        <w:t xml:space="preserve"> u vlasništvu Općine</w:t>
      </w:r>
      <w:r w:rsidR="000971C3">
        <w:rPr>
          <w:rFonts w:ascii="Arial" w:eastAsia="Times New Roman" w:hAnsi="Arial" w:cs="Arial"/>
          <w:iCs/>
          <w:sz w:val="20"/>
          <w:szCs w:val="20"/>
          <w:lang w:eastAsia="en-US"/>
        </w:rPr>
        <w:t xml:space="preserve">. </w:t>
      </w:r>
    </w:p>
    <w:p w14:paraId="2365AB2B" w14:textId="77777777" w:rsidR="00BC2597" w:rsidRPr="003A2F86" w:rsidRDefault="00BC2597" w:rsidP="00A3648D">
      <w:pPr>
        <w:spacing w:after="0" w:line="240" w:lineRule="auto"/>
        <w:jc w:val="both"/>
        <w:rPr>
          <w:rFonts w:ascii="Arial" w:eastAsia="Calibri" w:hAnsi="Arial" w:cs="Arial"/>
          <w:lang w:eastAsia="en-US"/>
        </w:rPr>
      </w:pPr>
    </w:p>
    <w:p w14:paraId="53B831A0" w14:textId="438464F3" w:rsidR="00A3648D" w:rsidRPr="003A2F86" w:rsidRDefault="00A3648D" w:rsidP="00A3648D">
      <w:pPr>
        <w:pStyle w:val="Opisslike"/>
      </w:pPr>
      <w:bookmarkStart w:id="452" w:name="_Toc207707005"/>
      <w:r w:rsidRPr="003A2F86">
        <w:rPr>
          <w:color w:val="FF0000"/>
        </w:rPr>
        <w:t xml:space="preserve">Tablica </w:t>
      </w:r>
      <w:r w:rsidRPr="003A2F86">
        <w:rPr>
          <w:color w:val="FF0000"/>
        </w:rPr>
        <w:fldChar w:fldCharType="begin"/>
      </w:r>
      <w:r w:rsidRPr="003A2F86">
        <w:rPr>
          <w:color w:val="FF0000"/>
        </w:rPr>
        <w:instrText xml:space="preserve"> SEQ Tablica \* ARABIC </w:instrText>
      </w:r>
      <w:r w:rsidRPr="003A2F86">
        <w:rPr>
          <w:color w:val="FF0000"/>
        </w:rPr>
        <w:fldChar w:fldCharType="separate"/>
      </w:r>
      <w:r w:rsidR="00910987">
        <w:rPr>
          <w:noProof/>
          <w:color w:val="FF0000"/>
        </w:rPr>
        <w:t>41</w:t>
      </w:r>
      <w:r w:rsidRPr="003A2F86">
        <w:rPr>
          <w:color w:val="FF0000"/>
        </w:rPr>
        <w:fldChar w:fldCharType="end"/>
      </w:r>
      <w:r w:rsidRPr="003A2F86">
        <w:rPr>
          <w:color w:val="FF0000"/>
        </w:rPr>
        <w:t>.</w:t>
      </w:r>
      <w:r w:rsidRPr="003A2F86">
        <w:t xml:space="preserve">: </w:t>
      </w:r>
      <w:r w:rsidRPr="003A2F86">
        <w:rPr>
          <w:rFonts w:ascii="Arial" w:hAnsi="Arial" w:cs="Arial"/>
          <w:iCs/>
        </w:rPr>
        <w:t>Pregled danih suglasnosti za zaduživanje</w:t>
      </w:r>
      <w:bookmarkEnd w:id="452"/>
    </w:p>
    <w:p w14:paraId="5C54AC20" w14:textId="77777777" w:rsidR="00A3648D" w:rsidRPr="003A2F86" w:rsidRDefault="00A3648D" w:rsidP="00A3648D">
      <w:pPr>
        <w:spacing w:after="0" w:line="240" w:lineRule="auto"/>
        <w:rPr>
          <w:rFonts w:ascii="Arial" w:eastAsia="Times New Roman" w:hAnsi="Arial" w:cs="Arial"/>
          <w:iCs/>
          <w:lang w:eastAsia="en-US"/>
        </w:rPr>
      </w:pPr>
    </w:p>
    <w:tbl>
      <w:tblPr>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275"/>
        <w:gridCol w:w="1276"/>
        <w:gridCol w:w="1985"/>
        <w:gridCol w:w="1275"/>
        <w:gridCol w:w="993"/>
        <w:gridCol w:w="1435"/>
        <w:gridCol w:w="974"/>
        <w:gridCol w:w="851"/>
        <w:gridCol w:w="1417"/>
        <w:gridCol w:w="1560"/>
        <w:gridCol w:w="1417"/>
      </w:tblGrid>
      <w:tr w:rsidR="00A3648D" w:rsidRPr="003A2F86" w14:paraId="6D432F8D" w14:textId="77777777" w:rsidTr="004E5AF3">
        <w:trPr>
          <w:trHeight w:val="1155"/>
          <w:jc w:val="center"/>
        </w:trPr>
        <w:tc>
          <w:tcPr>
            <w:tcW w:w="421" w:type="dxa"/>
            <w:vAlign w:val="center"/>
          </w:tcPr>
          <w:p w14:paraId="375C4222" w14:textId="77777777" w:rsidR="00A3648D" w:rsidRPr="003A2F86" w:rsidRDefault="00A3648D" w:rsidP="00B223BA">
            <w:pPr>
              <w:autoSpaceDE w:val="0"/>
              <w:autoSpaceDN w:val="0"/>
              <w:adjustRightInd w:val="0"/>
              <w:spacing w:after="0" w:line="240" w:lineRule="auto"/>
              <w:jc w:val="center"/>
              <w:rPr>
                <w:rFonts w:ascii="Arial" w:eastAsia="Times New Roman" w:hAnsi="Arial" w:cs="Arial"/>
                <w:sz w:val="18"/>
                <w:szCs w:val="18"/>
              </w:rPr>
            </w:pPr>
            <w:r w:rsidRPr="003A2F86">
              <w:rPr>
                <w:rFonts w:ascii="Arial" w:eastAsia="Times New Roman" w:hAnsi="Arial" w:cs="Arial"/>
                <w:sz w:val="18"/>
                <w:szCs w:val="18"/>
              </w:rPr>
              <w:t>R. br.</w:t>
            </w:r>
          </w:p>
        </w:tc>
        <w:tc>
          <w:tcPr>
            <w:tcW w:w="1275" w:type="dxa"/>
            <w:vAlign w:val="center"/>
          </w:tcPr>
          <w:p w14:paraId="6961EB84" w14:textId="77777777" w:rsidR="00A3648D" w:rsidRPr="003A2F86" w:rsidRDefault="00A3648D" w:rsidP="00B223BA">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iCs/>
                <w:sz w:val="18"/>
                <w:szCs w:val="18"/>
                <w:lang w:eastAsia="en-US"/>
              </w:rPr>
              <w:t>Naziv korisnika kredita, odnosno dužnika</w:t>
            </w:r>
          </w:p>
        </w:tc>
        <w:tc>
          <w:tcPr>
            <w:tcW w:w="1276" w:type="dxa"/>
            <w:vAlign w:val="center"/>
          </w:tcPr>
          <w:p w14:paraId="6C9506A2" w14:textId="77777777" w:rsidR="00A3648D" w:rsidRPr="003A2F86" w:rsidRDefault="00A3648D" w:rsidP="00B223BA">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iCs/>
                <w:sz w:val="18"/>
                <w:szCs w:val="18"/>
                <w:lang w:eastAsia="en-US"/>
              </w:rPr>
              <w:t>Datum davanja suglasnosti za zaduživanje</w:t>
            </w:r>
          </w:p>
        </w:tc>
        <w:tc>
          <w:tcPr>
            <w:tcW w:w="1985" w:type="dxa"/>
            <w:vAlign w:val="center"/>
          </w:tcPr>
          <w:p w14:paraId="2C2C7355" w14:textId="77777777" w:rsidR="00A3648D" w:rsidRPr="003A2F86" w:rsidRDefault="00A3648D" w:rsidP="00B223BA">
            <w:pPr>
              <w:autoSpaceDE w:val="0"/>
              <w:autoSpaceDN w:val="0"/>
              <w:adjustRightInd w:val="0"/>
              <w:spacing w:after="0" w:line="240" w:lineRule="auto"/>
              <w:jc w:val="center"/>
              <w:rPr>
                <w:rFonts w:ascii="Arial" w:eastAsia="Times New Roman" w:hAnsi="Arial" w:cs="Arial"/>
                <w:sz w:val="18"/>
                <w:szCs w:val="18"/>
              </w:rPr>
            </w:pPr>
            <w:r w:rsidRPr="003A2F86">
              <w:rPr>
                <w:rFonts w:ascii="Arial" w:eastAsia="Times New Roman" w:hAnsi="Arial" w:cs="Arial"/>
                <w:sz w:val="18"/>
                <w:szCs w:val="18"/>
              </w:rPr>
              <w:t>Naziv institucije kod koje se zadužilo društvo</w:t>
            </w:r>
          </w:p>
        </w:tc>
        <w:tc>
          <w:tcPr>
            <w:tcW w:w="1275" w:type="dxa"/>
            <w:vAlign w:val="center"/>
          </w:tcPr>
          <w:p w14:paraId="40514EBC" w14:textId="77777777" w:rsidR="00A3648D" w:rsidRPr="003A2F86" w:rsidRDefault="00A3648D" w:rsidP="00B223BA">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iCs/>
                <w:sz w:val="18"/>
                <w:szCs w:val="18"/>
                <w:lang w:eastAsia="en-US"/>
              </w:rPr>
              <w:t>namjena</w:t>
            </w:r>
          </w:p>
        </w:tc>
        <w:tc>
          <w:tcPr>
            <w:tcW w:w="993" w:type="dxa"/>
            <w:vAlign w:val="center"/>
          </w:tcPr>
          <w:p w14:paraId="0A464762" w14:textId="77777777" w:rsidR="00A3648D" w:rsidRPr="003A2F86" w:rsidRDefault="00A3648D" w:rsidP="00B223BA">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iCs/>
                <w:sz w:val="18"/>
                <w:szCs w:val="18"/>
                <w:lang w:eastAsia="en-US"/>
              </w:rPr>
              <w:t>Datum ugovora</w:t>
            </w:r>
          </w:p>
        </w:tc>
        <w:tc>
          <w:tcPr>
            <w:tcW w:w="1435" w:type="dxa"/>
            <w:vAlign w:val="center"/>
          </w:tcPr>
          <w:p w14:paraId="452D4036" w14:textId="77777777" w:rsidR="00A3648D" w:rsidRPr="003A2F86" w:rsidRDefault="00A3648D" w:rsidP="00B223BA">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iCs/>
                <w:sz w:val="18"/>
                <w:szCs w:val="18"/>
                <w:lang w:eastAsia="en-US"/>
              </w:rPr>
              <w:t>Iznos zaduživanja (</w:t>
            </w:r>
            <w:r w:rsidRPr="001E6F11">
              <w:rPr>
                <w:rFonts w:ascii="Arial" w:eastAsia="Times New Roman" w:hAnsi="Arial" w:cs="Arial"/>
                <w:b/>
                <w:bCs/>
                <w:iCs/>
                <w:sz w:val="18"/>
                <w:szCs w:val="18"/>
                <w:lang w:eastAsia="en-US"/>
              </w:rPr>
              <w:t>glavnica</w:t>
            </w:r>
            <w:r w:rsidRPr="003A2F86">
              <w:rPr>
                <w:rFonts w:ascii="Arial" w:eastAsia="Times New Roman" w:hAnsi="Arial" w:cs="Arial"/>
                <w:iCs/>
                <w:sz w:val="18"/>
                <w:szCs w:val="18"/>
                <w:lang w:eastAsia="en-US"/>
              </w:rPr>
              <w:t>)</w:t>
            </w:r>
          </w:p>
          <w:p w14:paraId="740527A3" w14:textId="77777777" w:rsidR="00A3648D" w:rsidRPr="003A2F86" w:rsidRDefault="00A3648D" w:rsidP="00B223BA">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iCs/>
                <w:sz w:val="18"/>
                <w:szCs w:val="18"/>
                <w:lang w:eastAsia="en-US"/>
              </w:rPr>
              <w:t>(kn)</w:t>
            </w:r>
          </w:p>
          <w:p w14:paraId="04CE981F" w14:textId="77777777" w:rsidR="00A3648D" w:rsidRPr="003A2F86" w:rsidRDefault="00A3648D" w:rsidP="00B223BA">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iCs/>
                <w:sz w:val="18"/>
                <w:szCs w:val="18"/>
                <w:lang w:eastAsia="en-US"/>
              </w:rPr>
              <w:t>(€)</w:t>
            </w:r>
            <w:r w:rsidRPr="00AB04F5">
              <w:rPr>
                <w:rFonts w:ascii="Arial" w:eastAsia="Times New Roman" w:hAnsi="Arial" w:cs="Arial"/>
                <w:iCs/>
                <w:color w:val="007BB8"/>
                <w:sz w:val="24"/>
                <w:szCs w:val="24"/>
                <w:lang w:eastAsia="en-US"/>
              </w:rPr>
              <w:t>*</w:t>
            </w:r>
          </w:p>
        </w:tc>
        <w:tc>
          <w:tcPr>
            <w:tcW w:w="974" w:type="dxa"/>
            <w:vAlign w:val="center"/>
          </w:tcPr>
          <w:p w14:paraId="04AE9324" w14:textId="77777777" w:rsidR="00A3648D" w:rsidRPr="003A2F86" w:rsidRDefault="00A3648D" w:rsidP="00B223BA">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iCs/>
                <w:sz w:val="18"/>
                <w:szCs w:val="18"/>
                <w:lang w:eastAsia="en-US"/>
              </w:rPr>
              <w:t>Krajnji rok povrata</w:t>
            </w:r>
          </w:p>
        </w:tc>
        <w:tc>
          <w:tcPr>
            <w:tcW w:w="851" w:type="dxa"/>
            <w:vAlign w:val="center"/>
          </w:tcPr>
          <w:p w14:paraId="384F7032" w14:textId="77777777" w:rsidR="00A3648D" w:rsidRPr="003A2F86" w:rsidRDefault="00A3648D" w:rsidP="00B223BA">
            <w:pPr>
              <w:spacing w:after="0" w:line="240" w:lineRule="auto"/>
              <w:jc w:val="center"/>
              <w:rPr>
                <w:rFonts w:ascii="Arial" w:eastAsia="Times New Roman" w:hAnsi="Arial" w:cs="Arial"/>
                <w:iCs/>
                <w:sz w:val="14"/>
                <w:szCs w:val="14"/>
                <w:lang w:eastAsia="en-US"/>
              </w:rPr>
            </w:pPr>
            <w:r w:rsidRPr="003A2F86">
              <w:rPr>
                <w:rFonts w:ascii="Arial" w:eastAsia="Times New Roman" w:hAnsi="Arial" w:cs="Arial"/>
                <w:iCs/>
                <w:sz w:val="14"/>
                <w:szCs w:val="14"/>
                <w:lang w:eastAsia="en-US"/>
              </w:rPr>
              <w:t>Kamatna stopa</w:t>
            </w:r>
          </w:p>
        </w:tc>
        <w:tc>
          <w:tcPr>
            <w:tcW w:w="1417" w:type="dxa"/>
            <w:vAlign w:val="center"/>
          </w:tcPr>
          <w:p w14:paraId="5A8FF6C5" w14:textId="77777777" w:rsidR="00A3648D" w:rsidRPr="003A2F86" w:rsidRDefault="00A3648D" w:rsidP="00B223BA">
            <w:pPr>
              <w:spacing w:after="0" w:line="240" w:lineRule="auto"/>
              <w:jc w:val="center"/>
              <w:rPr>
                <w:rFonts w:ascii="Arial" w:eastAsia="Times New Roman" w:hAnsi="Arial" w:cs="Arial"/>
                <w:sz w:val="20"/>
                <w:szCs w:val="20"/>
              </w:rPr>
            </w:pPr>
            <w:r w:rsidRPr="003A2F86">
              <w:rPr>
                <w:rFonts w:ascii="Arial" w:eastAsia="Times New Roman" w:hAnsi="Arial" w:cs="Arial"/>
                <w:sz w:val="20"/>
                <w:szCs w:val="20"/>
              </w:rPr>
              <w:t>stanje aktivnih suglasnosti (</w:t>
            </w:r>
            <w:r w:rsidRPr="003A2F86">
              <w:rPr>
                <w:rFonts w:ascii="Arial" w:eastAsia="Times New Roman" w:hAnsi="Arial" w:cs="Arial"/>
                <w:b/>
                <w:bCs/>
                <w:sz w:val="20"/>
                <w:szCs w:val="20"/>
              </w:rPr>
              <w:t>glavnica</w:t>
            </w:r>
            <w:r w:rsidRPr="003A2F86">
              <w:rPr>
                <w:rFonts w:ascii="Arial" w:eastAsia="Times New Roman" w:hAnsi="Arial" w:cs="Arial"/>
                <w:sz w:val="20"/>
                <w:szCs w:val="20"/>
              </w:rPr>
              <w:t>)</w:t>
            </w:r>
          </w:p>
          <w:p w14:paraId="5FFABDC7" w14:textId="42B81868" w:rsidR="00A3648D" w:rsidRPr="00392B92" w:rsidRDefault="00A3648D" w:rsidP="00B223BA">
            <w:pPr>
              <w:spacing w:after="0" w:line="240" w:lineRule="auto"/>
              <w:jc w:val="center"/>
              <w:rPr>
                <w:rFonts w:ascii="Arial" w:eastAsia="Times New Roman" w:hAnsi="Arial" w:cs="Arial"/>
                <w:b/>
                <w:bCs/>
                <w:sz w:val="20"/>
                <w:szCs w:val="20"/>
              </w:rPr>
            </w:pPr>
            <w:r w:rsidRPr="00392B92">
              <w:rPr>
                <w:rFonts w:ascii="Arial" w:eastAsia="Times New Roman" w:hAnsi="Arial" w:cs="Arial"/>
                <w:b/>
                <w:bCs/>
                <w:sz w:val="20"/>
                <w:szCs w:val="20"/>
              </w:rPr>
              <w:t>1.1.</w:t>
            </w:r>
            <w:r w:rsidR="00392B92">
              <w:rPr>
                <w:rFonts w:ascii="Arial" w:eastAsia="Times New Roman" w:hAnsi="Arial" w:cs="Arial"/>
                <w:b/>
                <w:bCs/>
                <w:sz w:val="20"/>
                <w:szCs w:val="20"/>
              </w:rPr>
              <w:t>202</w:t>
            </w:r>
            <w:r w:rsidR="000971C3">
              <w:rPr>
                <w:rFonts w:ascii="Arial" w:eastAsia="Times New Roman" w:hAnsi="Arial" w:cs="Arial"/>
                <w:b/>
                <w:bCs/>
                <w:sz w:val="20"/>
                <w:szCs w:val="20"/>
              </w:rPr>
              <w:t>5</w:t>
            </w:r>
            <w:r w:rsidR="00392B92">
              <w:rPr>
                <w:rFonts w:ascii="Arial" w:eastAsia="Times New Roman" w:hAnsi="Arial" w:cs="Arial"/>
                <w:b/>
                <w:bCs/>
                <w:sz w:val="20"/>
                <w:szCs w:val="20"/>
              </w:rPr>
              <w:t>.</w:t>
            </w:r>
          </w:p>
          <w:p w14:paraId="314F6FCF" w14:textId="77777777" w:rsidR="00A3648D" w:rsidRPr="003A2F86" w:rsidRDefault="00A3648D" w:rsidP="00B223BA">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sz w:val="20"/>
                <w:szCs w:val="20"/>
              </w:rPr>
              <w:t>(€)</w:t>
            </w:r>
          </w:p>
        </w:tc>
        <w:tc>
          <w:tcPr>
            <w:tcW w:w="1560" w:type="dxa"/>
            <w:vAlign w:val="center"/>
          </w:tcPr>
          <w:p w14:paraId="4F811CFC" w14:textId="77777777" w:rsidR="00A3648D" w:rsidRPr="003A2F86" w:rsidRDefault="00A3648D" w:rsidP="00B223BA">
            <w:pPr>
              <w:spacing w:after="0" w:line="240" w:lineRule="auto"/>
              <w:jc w:val="center"/>
              <w:rPr>
                <w:rFonts w:ascii="Arial" w:eastAsia="Times New Roman" w:hAnsi="Arial" w:cs="Arial"/>
                <w:sz w:val="20"/>
                <w:szCs w:val="20"/>
              </w:rPr>
            </w:pPr>
            <w:r w:rsidRPr="003A2F86">
              <w:rPr>
                <w:rFonts w:ascii="Arial" w:eastAsia="Times New Roman" w:hAnsi="Arial" w:cs="Arial"/>
                <w:sz w:val="20"/>
                <w:szCs w:val="20"/>
              </w:rPr>
              <w:t>otplate u tekućoj godini (</w:t>
            </w:r>
            <w:r w:rsidRPr="001E6F11">
              <w:rPr>
                <w:rFonts w:ascii="Arial" w:eastAsia="Times New Roman" w:hAnsi="Arial" w:cs="Arial"/>
                <w:b/>
                <w:bCs/>
                <w:sz w:val="20"/>
                <w:szCs w:val="20"/>
              </w:rPr>
              <w:t>glavnica</w:t>
            </w:r>
            <w:r w:rsidRPr="003A2F86">
              <w:rPr>
                <w:rFonts w:ascii="Arial" w:eastAsia="Times New Roman" w:hAnsi="Arial" w:cs="Arial"/>
                <w:sz w:val="20"/>
                <w:szCs w:val="20"/>
              </w:rPr>
              <w:t>)</w:t>
            </w:r>
          </w:p>
          <w:p w14:paraId="2741BFA6" w14:textId="77777777" w:rsidR="00A3648D" w:rsidRPr="003A2F86" w:rsidRDefault="00A3648D" w:rsidP="00B223BA">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sz w:val="20"/>
                <w:szCs w:val="20"/>
              </w:rPr>
              <w:t>(€)</w:t>
            </w:r>
          </w:p>
        </w:tc>
        <w:tc>
          <w:tcPr>
            <w:tcW w:w="1417" w:type="dxa"/>
            <w:vAlign w:val="center"/>
          </w:tcPr>
          <w:p w14:paraId="2061FD74" w14:textId="77777777" w:rsidR="00A3648D" w:rsidRPr="003A2F86" w:rsidRDefault="00A3648D" w:rsidP="00B223BA">
            <w:pPr>
              <w:spacing w:after="0" w:line="240" w:lineRule="auto"/>
              <w:jc w:val="center"/>
              <w:rPr>
                <w:rFonts w:ascii="Arial" w:eastAsia="Times New Roman" w:hAnsi="Arial" w:cs="Arial"/>
                <w:sz w:val="20"/>
                <w:szCs w:val="20"/>
              </w:rPr>
            </w:pPr>
            <w:r w:rsidRPr="003A2F86">
              <w:rPr>
                <w:rFonts w:ascii="Arial" w:eastAsia="Times New Roman" w:hAnsi="Arial" w:cs="Arial"/>
                <w:sz w:val="20"/>
                <w:szCs w:val="20"/>
              </w:rPr>
              <w:t>stanje aktivnih suglasnosti</w:t>
            </w:r>
          </w:p>
          <w:p w14:paraId="6A44FCD1" w14:textId="77777777" w:rsidR="00A3648D" w:rsidRPr="003A2F86" w:rsidRDefault="00A3648D" w:rsidP="00B223BA">
            <w:pPr>
              <w:spacing w:after="0" w:line="240" w:lineRule="auto"/>
              <w:jc w:val="center"/>
              <w:rPr>
                <w:rFonts w:ascii="Arial" w:eastAsia="Times New Roman" w:hAnsi="Arial" w:cs="Arial"/>
                <w:sz w:val="20"/>
                <w:szCs w:val="20"/>
              </w:rPr>
            </w:pPr>
            <w:r w:rsidRPr="003A2F86">
              <w:rPr>
                <w:rFonts w:ascii="Arial" w:eastAsia="Times New Roman" w:hAnsi="Arial" w:cs="Arial"/>
                <w:sz w:val="20"/>
                <w:szCs w:val="20"/>
              </w:rPr>
              <w:t>(</w:t>
            </w:r>
            <w:r w:rsidRPr="003A2F86">
              <w:rPr>
                <w:rFonts w:ascii="Arial" w:eastAsia="Times New Roman" w:hAnsi="Arial" w:cs="Arial"/>
                <w:b/>
                <w:bCs/>
                <w:sz w:val="20"/>
                <w:szCs w:val="20"/>
              </w:rPr>
              <w:t>glavnica</w:t>
            </w:r>
            <w:r w:rsidRPr="003A2F86">
              <w:rPr>
                <w:rFonts w:ascii="Arial" w:eastAsia="Times New Roman" w:hAnsi="Arial" w:cs="Arial"/>
                <w:sz w:val="20"/>
                <w:szCs w:val="20"/>
              </w:rPr>
              <w:t>) 31.12.</w:t>
            </w:r>
          </w:p>
          <w:p w14:paraId="73A3C82C" w14:textId="77777777" w:rsidR="00A3648D" w:rsidRPr="003A2F86" w:rsidRDefault="00A3648D" w:rsidP="00B223BA">
            <w:pPr>
              <w:spacing w:after="0" w:line="240" w:lineRule="auto"/>
              <w:jc w:val="center"/>
              <w:rPr>
                <w:rFonts w:ascii="Arial" w:eastAsia="Times New Roman" w:hAnsi="Arial" w:cs="Arial"/>
                <w:iCs/>
                <w:sz w:val="18"/>
                <w:szCs w:val="18"/>
                <w:lang w:eastAsia="en-US"/>
              </w:rPr>
            </w:pPr>
            <w:r w:rsidRPr="003A2F86">
              <w:rPr>
                <w:rFonts w:ascii="Arial" w:eastAsia="Times New Roman" w:hAnsi="Arial" w:cs="Arial"/>
                <w:sz w:val="20"/>
                <w:szCs w:val="20"/>
              </w:rPr>
              <w:t>(€)</w:t>
            </w:r>
          </w:p>
        </w:tc>
      </w:tr>
      <w:tr w:rsidR="00A3648D" w:rsidRPr="003A2F86" w14:paraId="1B093FD6" w14:textId="77777777" w:rsidTr="004E5AF3">
        <w:trPr>
          <w:jc w:val="center"/>
        </w:trPr>
        <w:tc>
          <w:tcPr>
            <w:tcW w:w="421" w:type="dxa"/>
            <w:vAlign w:val="center"/>
          </w:tcPr>
          <w:p w14:paraId="45841FE5" w14:textId="77777777" w:rsidR="00A3648D" w:rsidRPr="003A2F86" w:rsidRDefault="00A3648D" w:rsidP="00B223BA">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1</w:t>
            </w:r>
          </w:p>
        </w:tc>
        <w:tc>
          <w:tcPr>
            <w:tcW w:w="1275" w:type="dxa"/>
            <w:vAlign w:val="center"/>
          </w:tcPr>
          <w:p w14:paraId="78C86EC7" w14:textId="77777777" w:rsidR="00A3648D" w:rsidRPr="003A2F86" w:rsidRDefault="00A3648D" w:rsidP="00B223BA">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2</w:t>
            </w:r>
          </w:p>
        </w:tc>
        <w:tc>
          <w:tcPr>
            <w:tcW w:w="1276" w:type="dxa"/>
            <w:vAlign w:val="center"/>
          </w:tcPr>
          <w:p w14:paraId="3C4EB949" w14:textId="77777777" w:rsidR="00A3648D" w:rsidRPr="003A2F86" w:rsidRDefault="00A3648D" w:rsidP="00B223BA">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3</w:t>
            </w:r>
          </w:p>
        </w:tc>
        <w:tc>
          <w:tcPr>
            <w:tcW w:w="1985" w:type="dxa"/>
            <w:vAlign w:val="center"/>
          </w:tcPr>
          <w:p w14:paraId="3326FC10" w14:textId="77777777" w:rsidR="00A3648D" w:rsidRPr="003A2F86" w:rsidRDefault="00A3648D" w:rsidP="00B223BA">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4</w:t>
            </w:r>
          </w:p>
        </w:tc>
        <w:tc>
          <w:tcPr>
            <w:tcW w:w="1275" w:type="dxa"/>
            <w:vAlign w:val="center"/>
          </w:tcPr>
          <w:p w14:paraId="79A0C3C8" w14:textId="77777777" w:rsidR="00A3648D" w:rsidRPr="003A2F86" w:rsidRDefault="00A3648D" w:rsidP="00B223BA">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5</w:t>
            </w:r>
          </w:p>
        </w:tc>
        <w:tc>
          <w:tcPr>
            <w:tcW w:w="993" w:type="dxa"/>
            <w:vAlign w:val="center"/>
          </w:tcPr>
          <w:p w14:paraId="2783C4EC" w14:textId="77777777" w:rsidR="00A3648D" w:rsidRPr="003A2F86" w:rsidRDefault="00A3648D" w:rsidP="00B223BA">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6</w:t>
            </w:r>
          </w:p>
        </w:tc>
        <w:tc>
          <w:tcPr>
            <w:tcW w:w="1435" w:type="dxa"/>
            <w:vAlign w:val="center"/>
          </w:tcPr>
          <w:p w14:paraId="05264F8E" w14:textId="77777777" w:rsidR="00A3648D" w:rsidRPr="003A2F86" w:rsidRDefault="00A3648D" w:rsidP="00B223BA">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7</w:t>
            </w:r>
          </w:p>
        </w:tc>
        <w:tc>
          <w:tcPr>
            <w:tcW w:w="974" w:type="dxa"/>
            <w:vAlign w:val="center"/>
          </w:tcPr>
          <w:p w14:paraId="29C6A872" w14:textId="77777777" w:rsidR="00A3648D" w:rsidRPr="003A2F86" w:rsidRDefault="00A3648D" w:rsidP="00B223BA">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8</w:t>
            </w:r>
          </w:p>
        </w:tc>
        <w:tc>
          <w:tcPr>
            <w:tcW w:w="851" w:type="dxa"/>
            <w:vAlign w:val="center"/>
          </w:tcPr>
          <w:p w14:paraId="4538D72F" w14:textId="77777777" w:rsidR="00A3648D" w:rsidRPr="003A2F86" w:rsidRDefault="00A3648D" w:rsidP="00B223BA">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9</w:t>
            </w:r>
          </w:p>
        </w:tc>
        <w:tc>
          <w:tcPr>
            <w:tcW w:w="1417" w:type="dxa"/>
            <w:vAlign w:val="center"/>
          </w:tcPr>
          <w:p w14:paraId="30A401A3" w14:textId="77777777" w:rsidR="00A3648D" w:rsidRPr="003A2F86" w:rsidRDefault="00A3648D" w:rsidP="00B223BA">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10</w:t>
            </w:r>
          </w:p>
        </w:tc>
        <w:tc>
          <w:tcPr>
            <w:tcW w:w="1560" w:type="dxa"/>
            <w:vAlign w:val="center"/>
          </w:tcPr>
          <w:p w14:paraId="1EDFA2B5" w14:textId="77777777" w:rsidR="00A3648D" w:rsidRPr="003A2F86" w:rsidRDefault="00A3648D" w:rsidP="00B223BA">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11</w:t>
            </w:r>
          </w:p>
        </w:tc>
        <w:tc>
          <w:tcPr>
            <w:tcW w:w="1417" w:type="dxa"/>
            <w:vAlign w:val="center"/>
          </w:tcPr>
          <w:p w14:paraId="0471C117" w14:textId="77777777" w:rsidR="00A3648D" w:rsidRPr="003A2F86" w:rsidRDefault="00A3648D" w:rsidP="00B223BA">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12</w:t>
            </w:r>
          </w:p>
        </w:tc>
      </w:tr>
      <w:tr w:rsidR="00A3648D" w:rsidRPr="003A2F86" w14:paraId="3B1A7C50" w14:textId="77777777" w:rsidTr="00AF60D5">
        <w:trPr>
          <w:trHeight w:val="58"/>
          <w:jc w:val="center"/>
        </w:trPr>
        <w:tc>
          <w:tcPr>
            <w:tcW w:w="421" w:type="dxa"/>
            <w:vAlign w:val="center"/>
          </w:tcPr>
          <w:p w14:paraId="4CE2BC39" w14:textId="77777777" w:rsidR="00A3648D" w:rsidRPr="003A2F86" w:rsidRDefault="00A3648D" w:rsidP="00B223BA">
            <w:pPr>
              <w:spacing w:after="0" w:line="240" w:lineRule="auto"/>
              <w:jc w:val="center"/>
              <w:rPr>
                <w:rFonts w:ascii="Arial" w:eastAsia="Times New Roman" w:hAnsi="Arial" w:cs="Arial"/>
                <w:iCs/>
                <w:sz w:val="2"/>
                <w:szCs w:val="18"/>
                <w:lang w:eastAsia="en-US"/>
              </w:rPr>
            </w:pPr>
          </w:p>
        </w:tc>
        <w:tc>
          <w:tcPr>
            <w:tcW w:w="1275" w:type="dxa"/>
            <w:vAlign w:val="center"/>
          </w:tcPr>
          <w:p w14:paraId="315BBB7D" w14:textId="77777777" w:rsidR="00A3648D" w:rsidRPr="003A2F86" w:rsidRDefault="00A3648D" w:rsidP="00B223BA">
            <w:pPr>
              <w:spacing w:after="0" w:line="240" w:lineRule="auto"/>
              <w:rPr>
                <w:rFonts w:ascii="Arial" w:eastAsia="Times New Roman" w:hAnsi="Arial" w:cs="Arial"/>
                <w:iCs/>
                <w:sz w:val="2"/>
                <w:szCs w:val="18"/>
                <w:lang w:eastAsia="en-US"/>
              </w:rPr>
            </w:pPr>
          </w:p>
        </w:tc>
        <w:tc>
          <w:tcPr>
            <w:tcW w:w="1276" w:type="dxa"/>
            <w:vAlign w:val="center"/>
          </w:tcPr>
          <w:p w14:paraId="273469A7" w14:textId="77777777" w:rsidR="00A3648D" w:rsidRPr="003A2F86" w:rsidRDefault="00A3648D" w:rsidP="00B223BA">
            <w:pPr>
              <w:autoSpaceDE w:val="0"/>
              <w:autoSpaceDN w:val="0"/>
              <w:adjustRightInd w:val="0"/>
              <w:spacing w:after="0" w:line="240" w:lineRule="auto"/>
              <w:jc w:val="both"/>
              <w:rPr>
                <w:rFonts w:ascii="Arial" w:eastAsia="Times New Roman" w:hAnsi="Arial" w:cs="Arial"/>
                <w:sz w:val="2"/>
                <w:szCs w:val="18"/>
              </w:rPr>
            </w:pPr>
          </w:p>
        </w:tc>
        <w:tc>
          <w:tcPr>
            <w:tcW w:w="1985" w:type="dxa"/>
            <w:tcBorders>
              <w:bottom w:val="single" w:sz="4" w:space="0" w:color="auto"/>
            </w:tcBorders>
            <w:vAlign w:val="center"/>
          </w:tcPr>
          <w:p w14:paraId="20C5EAD6" w14:textId="77777777" w:rsidR="00A3648D" w:rsidRPr="003A2F86" w:rsidRDefault="00A3648D" w:rsidP="00B223BA">
            <w:pPr>
              <w:autoSpaceDE w:val="0"/>
              <w:autoSpaceDN w:val="0"/>
              <w:adjustRightInd w:val="0"/>
              <w:spacing w:after="0" w:line="240" w:lineRule="auto"/>
              <w:rPr>
                <w:rFonts w:ascii="Arial" w:eastAsia="Times New Roman" w:hAnsi="Arial" w:cs="Arial"/>
                <w:sz w:val="2"/>
                <w:szCs w:val="18"/>
              </w:rPr>
            </w:pPr>
          </w:p>
        </w:tc>
        <w:tc>
          <w:tcPr>
            <w:tcW w:w="1275" w:type="dxa"/>
            <w:tcBorders>
              <w:bottom w:val="single" w:sz="4" w:space="0" w:color="auto"/>
            </w:tcBorders>
            <w:vAlign w:val="center"/>
          </w:tcPr>
          <w:p w14:paraId="63CECBF0" w14:textId="77777777" w:rsidR="00A3648D" w:rsidRPr="003A2F86" w:rsidRDefault="00A3648D" w:rsidP="00B223BA">
            <w:pPr>
              <w:spacing w:after="0" w:line="240" w:lineRule="auto"/>
              <w:jc w:val="right"/>
              <w:rPr>
                <w:rFonts w:ascii="Arial" w:eastAsia="Times New Roman" w:hAnsi="Arial" w:cs="Arial"/>
                <w:iCs/>
                <w:sz w:val="2"/>
                <w:szCs w:val="18"/>
                <w:lang w:eastAsia="en-US"/>
              </w:rPr>
            </w:pPr>
          </w:p>
        </w:tc>
        <w:tc>
          <w:tcPr>
            <w:tcW w:w="993" w:type="dxa"/>
            <w:tcBorders>
              <w:bottom w:val="single" w:sz="4" w:space="0" w:color="auto"/>
            </w:tcBorders>
            <w:vAlign w:val="center"/>
          </w:tcPr>
          <w:p w14:paraId="0F7298DF" w14:textId="77777777" w:rsidR="00A3648D" w:rsidRPr="003A2F86" w:rsidRDefault="00A3648D" w:rsidP="00B223BA">
            <w:pPr>
              <w:spacing w:after="0" w:line="240" w:lineRule="auto"/>
              <w:jc w:val="right"/>
              <w:rPr>
                <w:rFonts w:ascii="Arial" w:eastAsia="Times New Roman" w:hAnsi="Arial" w:cs="Arial"/>
                <w:iCs/>
                <w:sz w:val="2"/>
                <w:szCs w:val="18"/>
                <w:lang w:eastAsia="en-US"/>
              </w:rPr>
            </w:pPr>
          </w:p>
        </w:tc>
        <w:tc>
          <w:tcPr>
            <w:tcW w:w="1435" w:type="dxa"/>
            <w:tcBorders>
              <w:bottom w:val="single" w:sz="4" w:space="0" w:color="auto"/>
            </w:tcBorders>
            <w:vAlign w:val="center"/>
          </w:tcPr>
          <w:p w14:paraId="3A5F5EF4" w14:textId="77777777" w:rsidR="00A3648D" w:rsidRPr="003A2F86" w:rsidRDefault="00A3648D" w:rsidP="00B223BA">
            <w:pPr>
              <w:spacing w:after="0" w:line="240" w:lineRule="auto"/>
              <w:jc w:val="right"/>
              <w:rPr>
                <w:rFonts w:ascii="Arial" w:eastAsia="Times New Roman" w:hAnsi="Arial" w:cs="Arial"/>
                <w:iCs/>
                <w:sz w:val="2"/>
                <w:szCs w:val="18"/>
                <w:lang w:eastAsia="en-US"/>
              </w:rPr>
            </w:pPr>
          </w:p>
        </w:tc>
        <w:tc>
          <w:tcPr>
            <w:tcW w:w="974" w:type="dxa"/>
            <w:tcBorders>
              <w:bottom w:val="single" w:sz="4" w:space="0" w:color="auto"/>
            </w:tcBorders>
            <w:vAlign w:val="center"/>
          </w:tcPr>
          <w:p w14:paraId="77CA9C77" w14:textId="77777777" w:rsidR="00A3648D" w:rsidRPr="003A2F86" w:rsidRDefault="00A3648D" w:rsidP="00B223BA">
            <w:pPr>
              <w:spacing w:after="0" w:line="240" w:lineRule="auto"/>
              <w:jc w:val="right"/>
              <w:rPr>
                <w:rFonts w:ascii="Arial" w:eastAsia="Times New Roman" w:hAnsi="Arial" w:cs="Arial"/>
                <w:iCs/>
                <w:sz w:val="2"/>
                <w:szCs w:val="18"/>
                <w:lang w:eastAsia="en-US"/>
              </w:rPr>
            </w:pPr>
          </w:p>
        </w:tc>
        <w:tc>
          <w:tcPr>
            <w:tcW w:w="851" w:type="dxa"/>
            <w:tcBorders>
              <w:bottom w:val="single" w:sz="4" w:space="0" w:color="auto"/>
            </w:tcBorders>
            <w:vAlign w:val="center"/>
          </w:tcPr>
          <w:p w14:paraId="32E17BAA" w14:textId="77777777" w:rsidR="00A3648D" w:rsidRPr="003A2F86" w:rsidRDefault="00A3648D" w:rsidP="00B223BA">
            <w:pPr>
              <w:spacing w:after="0" w:line="240" w:lineRule="auto"/>
              <w:jc w:val="right"/>
              <w:rPr>
                <w:rFonts w:ascii="Arial" w:eastAsia="Times New Roman" w:hAnsi="Arial" w:cs="Arial"/>
                <w:iCs/>
                <w:sz w:val="2"/>
                <w:szCs w:val="18"/>
                <w:lang w:eastAsia="en-US"/>
              </w:rPr>
            </w:pPr>
          </w:p>
        </w:tc>
        <w:tc>
          <w:tcPr>
            <w:tcW w:w="1417" w:type="dxa"/>
            <w:tcBorders>
              <w:bottom w:val="single" w:sz="4" w:space="0" w:color="auto"/>
            </w:tcBorders>
            <w:vAlign w:val="center"/>
          </w:tcPr>
          <w:p w14:paraId="0F51FB1B" w14:textId="77777777" w:rsidR="00A3648D" w:rsidRPr="003A2F86" w:rsidRDefault="00A3648D" w:rsidP="00B223BA">
            <w:pPr>
              <w:spacing w:after="0" w:line="240" w:lineRule="auto"/>
              <w:jc w:val="right"/>
              <w:rPr>
                <w:rFonts w:ascii="Arial" w:eastAsia="Times New Roman" w:hAnsi="Arial" w:cs="Arial"/>
                <w:iCs/>
                <w:sz w:val="2"/>
                <w:szCs w:val="18"/>
                <w:lang w:eastAsia="en-US"/>
              </w:rPr>
            </w:pPr>
          </w:p>
        </w:tc>
        <w:tc>
          <w:tcPr>
            <w:tcW w:w="1560" w:type="dxa"/>
            <w:tcBorders>
              <w:bottom w:val="single" w:sz="4" w:space="0" w:color="auto"/>
            </w:tcBorders>
            <w:vAlign w:val="center"/>
          </w:tcPr>
          <w:p w14:paraId="571B062F" w14:textId="77777777" w:rsidR="00A3648D" w:rsidRPr="003A2F86" w:rsidRDefault="00A3648D" w:rsidP="00B223BA">
            <w:pPr>
              <w:spacing w:after="0" w:line="240" w:lineRule="auto"/>
              <w:jc w:val="right"/>
              <w:rPr>
                <w:rFonts w:ascii="Arial" w:eastAsia="Times New Roman" w:hAnsi="Arial" w:cs="Arial"/>
                <w:iCs/>
                <w:sz w:val="2"/>
                <w:szCs w:val="18"/>
                <w:lang w:eastAsia="en-US"/>
              </w:rPr>
            </w:pPr>
          </w:p>
        </w:tc>
        <w:tc>
          <w:tcPr>
            <w:tcW w:w="1417" w:type="dxa"/>
            <w:tcBorders>
              <w:bottom w:val="single" w:sz="4" w:space="0" w:color="auto"/>
            </w:tcBorders>
            <w:vAlign w:val="center"/>
          </w:tcPr>
          <w:p w14:paraId="42C92EF0" w14:textId="77777777" w:rsidR="00A3648D" w:rsidRPr="003A2F86" w:rsidRDefault="00A3648D" w:rsidP="00B223BA">
            <w:pPr>
              <w:spacing w:after="0" w:line="240" w:lineRule="auto"/>
              <w:jc w:val="right"/>
              <w:rPr>
                <w:rFonts w:ascii="Arial" w:eastAsia="Times New Roman" w:hAnsi="Arial" w:cs="Arial"/>
                <w:iCs/>
                <w:sz w:val="2"/>
                <w:szCs w:val="18"/>
                <w:lang w:eastAsia="en-US"/>
              </w:rPr>
            </w:pPr>
          </w:p>
        </w:tc>
      </w:tr>
      <w:tr w:rsidR="00AF60D5" w:rsidRPr="003A2F86" w14:paraId="262E0AFB" w14:textId="77777777" w:rsidTr="00AF60D5">
        <w:trPr>
          <w:jc w:val="center"/>
        </w:trPr>
        <w:tc>
          <w:tcPr>
            <w:tcW w:w="421" w:type="dxa"/>
            <w:vAlign w:val="center"/>
          </w:tcPr>
          <w:p w14:paraId="021FDBB6" w14:textId="77777777" w:rsidR="00AF60D5" w:rsidRPr="003A2F86" w:rsidRDefault="00AF60D5" w:rsidP="00AF60D5">
            <w:pPr>
              <w:spacing w:after="0" w:line="240" w:lineRule="auto"/>
              <w:jc w:val="center"/>
              <w:rPr>
                <w:rFonts w:ascii="Arial" w:eastAsia="Times New Roman" w:hAnsi="Arial" w:cs="Arial"/>
                <w:iCs/>
                <w:sz w:val="16"/>
                <w:szCs w:val="16"/>
                <w:lang w:eastAsia="en-US"/>
              </w:rPr>
            </w:pPr>
            <w:r w:rsidRPr="003A2F86">
              <w:rPr>
                <w:rFonts w:ascii="Arial" w:eastAsia="Times New Roman" w:hAnsi="Arial" w:cs="Arial"/>
                <w:iCs/>
                <w:sz w:val="16"/>
                <w:szCs w:val="16"/>
                <w:lang w:eastAsia="en-US"/>
              </w:rPr>
              <w:t>1.</w:t>
            </w:r>
          </w:p>
        </w:tc>
        <w:tc>
          <w:tcPr>
            <w:tcW w:w="1275" w:type="dxa"/>
            <w:vAlign w:val="center"/>
          </w:tcPr>
          <w:p w14:paraId="1B3C9602" w14:textId="2010A85F" w:rsidR="00AF60D5" w:rsidRPr="003A2F86" w:rsidRDefault="00AF60D5" w:rsidP="00AF60D5">
            <w:pPr>
              <w:autoSpaceDE w:val="0"/>
              <w:autoSpaceDN w:val="0"/>
              <w:adjustRightInd w:val="0"/>
              <w:spacing w:after="0" w:line="240" w:lineRule="auto"/>
              <w:rPr>
                <w:rFonts w:ascii="Arial" w:eastAsia="Times New Roman" w:hAnsi="Arial" w:cs="Arial"/>
                <w:sz w:val="16"/>
                <w:szCs w:val="16"/>
              </w:rPr>
            </w:pPr>
            <w:r w:rsidRPr="003A2F86">
              <w:rPr>
                <w:rFonts w:ascii="Arial" w:eastAsia="Times New Roman" w:hAnsi="Arial" w:cs="Arial"/>
                <w:iCs/>
                <w:sz w:val="16"/>
                <w:szCs w:val="16"/>
                <w:lang w:eastAsia="en-US"/>
              </w:rPr>
              <w:t>Čistoća i zelenilo Konavle d.o.o. Čilipi</w:t>
            </w:r>
          </w:p>
        </w:tc>
        <w:tc>
          <w:tcPr>
            <w:tcW w:w="1276" w:type="dxa"/>
            <w:tcBorders>
              <w:top w:val="single" w:sz="8" w:space="0" w:color="000000"/>
              <w:left w:val="single" w:sz="8" w:space="0" w:color="000000"/>
              <w:bottom w:val="single" w:sz="8" w:space="0" w:color="000000"/>
              <w:right w:val="single" w:sz="4" w:space="0" w:color="auto"/>
            </w:tcBorders>
            <w:vAlign w:val="center"/>
          </w:tcPr>
          <w:p w14:paraId="7E5389BD" w14:textId="687D617E" w:rsidR="00AF60D5" w:rsidRPr="003A2F86" w:rsidRDefault="00AF60D5" w:rsidP="00AF60D5">
            <w:pPr>
              <w:autoSpaceDE w:val="0"/>
              <w:autoSpaceDN w:val="0"/>
              <w:adjustRightInd w:val="0"/>
              <w:spacing w:after="0" w:line="240" w:lineRule="auto"/>
              <w:jc w:val="center"/>
              <w:rPr>
                <w:rFonts w:ascii="Arial" w:eastAsia="Times New Roman" w:hAnsi="Arial" w:cs="Arial"/>
                <w:sz w:val="16"/>
                <w:szCs w:val="16"/>
              </w:rPr>
            </w:pPr>
            <w:r>
              <w:rPr>
                <w:rFonts w:ascii="Arial" w:eastAsia="Times New Roman" w:hAnsi="Arial" w:cs="Arial"/>
                <w:sz w:val="16"/>
                <w:szCs w:val="16"/>
              </w:rPr>
              <w:t>28.6.2019.</w:t>
            </w:r>
          </w:p>
        </w:tc>
        <w:tc>
          <w:tcPr>
            <w:tcW w:w="1985" w:type="dxa"/>
            <w:tcBorders>
              <w:top w:val="single" w:sz="4" w:space="0" w:color="auto"/>
              <w:left w:val="single" w:sz="4" w:space="0" w:color="auto"/>
              <w:bottom w:val="single" w:sz="4" w:space="0" w:color="auto"/>
              <w:right w:val="single" w:sz="4" w:space="0" w:color="auto"/>
            </w:tcBorders>
            <w:vAlign w:val="center"/>
          </w:tcPr>
          <w:p w14:paraId="65D825A6" w14:textId="2BEEF95C" w:rsidR="00AF60D5" w:rsidRPr="00AF60D5" w:rsidRDefault="00AF60D5" w:rsidP="00AF60D5">
            <w:pPr>
              <w:autoSpaceDE w:val="0"/>
              <w:autoSpaceDN w:val="0"/>
              <w:adjustRightInd w:val="0"/>
              <w:spacing w:after="0" w:line="240" w:lineRule="auto"/>
              <w:rPr>
                <w:rFonts w:ascii="Arial" w:eastAsia="Times New Roman" w:hAnsi="Arial" w:cs="Arial"/>
                <w:sz w:val="16"/>
                <w:szCs w:val="16"/>
              </w:rPr>
            </w:pPr>
            <w:r w:rsidRPr="00AF60D5">
              <w:rPr>
                <w:sz w:val="16"/>
                <w:szCs w:val="16"/>
              </w:rPr>
              <w:t>Erste&amp;Steiermärkische S-Leasing d.o.o. Zagreb</w:t>
            </w:r>
          </w:p>
        </w:tc>
        <w:tc>
          <w:tcPr>
            <w:tcW w:w="1275" w:type="dxa"/>
            <w:tcBorders>
              <w:top w:val="single" w:sz="4" w:space="0" w:color="auto"/>
              <w:left w:val="single" w:sz="4" w:space="0" w:color="auto"/>
              <w:bottom w:val="single" w:sz="4" w:space="0" w:color="auto"/>
              <w:right w:val="single" w:sz="4" w:space="0" w:color="auto"/>
            </w:tcBorders>
            <w:vAlign w:val="center"/>
          </w:tcPr>
          <w:p w14:paraId="3029333D" w14:textId="419F817B" w:rsidR="00AF60D5" w:rsidRPr="00AF60D5" w:rsidRDefault="00AF60D5" w:rsidP="00AF60D5">
            <w:pPr>
              <w:spacing w:after="0" w:line="240" w:lineRule="auto"/>
              <w:jc w:val="right"/>
              <w:rPr>
                <w:rFonts w:ascii="Arial" w:eastAsia="Times New Roman" w:hAnsi="Arial" w:cs="Arial"/>
                <w:iCs/>
                <w:sz w:val="14"/>
                <w:szCs w:val="14"/>
                <w:lang w:eastAsia="en-US"/>
              </w:rPr>
            </w:pPr>
            <w:r w:rsidRPr="00AF60D5">
              <w:rPr>
                <w:rFonts w:ascii="Arial" w:eastAsia="Times New Roman" w:hAnsi="Arial" w:cs="Arial"/>
                <w:iCs/>
                <w:sz w:val="14"/>
                <w:szCs w:val="14"/>
                <w:lang w:eastAsia="en-US"/>
              </w:rPr>
              <w:t>kamion za odvoz smeća s nadogradnjom, (MAN TGL 12.250 + nadogradnja  FARID T1s8)</w:t>
            </w:r>
          </w:p>
        </w:tc>
        <w:tc>
          <w:tcPr>
            <w:tcW w:w="993" w:type="dxa"/>
            <w:tcBorders>
              <w:top w:val="single" w:sz="4" w:space="0" w:color="auto"/>
              <w:left w:val="single" w:sz="4" w:space="0" w:color="auto"/>
              <w:bottom w:val="single" w:sz="4" w:space="0" w:color="auto"/>
              <w:right w:val="single" w:sz="4" w:space="0" w:color="auto"/>
            </w:tcBorders>
            <w:vAlign w:val="center"/>
          </w:tcPr>
          <w:p w14:paraId="379F6E26" w14:textId="08C19F51" w:rsidR="00AF60D5" w:rsidRPr="003A2F86" w:rsidRDefault="00AF60D5" w:rsidP="00AF60D5">
            <w:pPr>
              <w:spacing w:after="0" w:line="240" w:lineRule="auto"/>
              <w:jc w:val="right"/>
              <w:rPr>
                <w:rFonts w:ascii="Arial" w:eastAsia="Times New Roman" w:hAnsi="Arial" w:cs="Arial"/>
                <w:iCs/>
                <w:sz w:val="14"/>
                <w:szCs w:val="14"/>
                <w:lang w:eastAsia="en-US"/>
              </w:rPr>
            </w:pPr>
            <w:r>
              <w:rPr>
                <w:rFonts w:ascii="Arial" w:eastAsia="Times New Roman" w:hAnsi="Arial" w:cs="Arial"/>
                <w:iCs/>
                <w:sz w:val="14"/>
                <w:szCs w:val="14"/>
                <w:lang w:eastAsia="en-US"/>
              </w:rPr>
              <w:t>9.7.2019.</w:t>
            </w:r>
          </w:p>
        </w:tc>
        <w:tc>
          <w:tcPr>
            <w:tcW w:w="1435" w:type="dxa"/>
            <w:tcBorders>
              <w:top w:val="single" w:sz="4" w:space="0" w:color="auto"/>
              <w:left w:val="single" w:sz="4" w:space="0" w:color="auto"/>
              <w:bottom w:val="single" w:sz="4" w:space="0" w:color="auto"/>
              <w:right w:val="single" w:sz="4" w:space="0" w:color="auto"/>
            </w:tcBorders>
            <w:vAlign w:val="center"/>
          </w:tcPr>
          <w:p w14:paraId="2060D139" w14:textId="2DEED6A9" w:rsidR="00AF60D5" w:rsidRPr="003A2F86" w:rsidRDefault="00AF60D5" w:rsidP="00AF60D5">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1.195.312,50 kn (158.645,23 €)</w:t>
            </w:r>
          </w:p>
        </w:tc>
        <w:tc>
          <w:tcPr>
            <w:tcW w:w="974" w:type="dxa"/>
            <w:tcBorders>
              <w:top w:val="single" w:sz="4" w:space="0" w:color="auto"/>
              <w:left w:val="single" w:sz="4" w:space="0" w:color="auto"/>
              <w:bottom w:val="single" w:sz="4" w:space="0" w:color="auto"/>
              <w:right w:val="single" w:sz="4" w:space="0" w:color="auto"/>
            </w:tcBorders>
            <w:vAlign w:val="center"/>
          </w:tcPr>
          <w:p w14:paraId="3D4746C2" w14:textId="25E5748C" w:rsidR="00AF60D5" w:rsidRPr="003A2F86" w:rsidRDefault="00AF60D5" w:rsidP="00AF60D5">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15.02.25.</w:t>
            </w:r>
          </w:p>
        </w:tc>
        <w:tc>
          <w:tcPr>
            <w:tcW w:w="851" w:type="dxa"/>
            <w:tcBorders>
              <w:top w:val="single" w:sz="4" w:space="0" w:color="auto"/>
              <w:left w:val="single" w:sz="4" w:space="0" w:color="auto"/>
              <w:bottom w:val="single" w:sz="4" w:space="0" w:color="auto"/>
              <w:right w:val="single" w:sz="4" w:space="0" w:color="auto"/>
            </w:tcBorders>
            <w:vAlign w:val="center"/>
          </w:tcPr>
          <w:p w14:paraId="72724C27" w14:textId="0AC60886" w:rsidR="00AF60D5" w:rsidRPr="00AF60D5" w:rsidRDefault="00AF60D5" w:rsidP="00AF60D5">
            <w:pPr>
              <w:spacing w:after="0" w:line="240" w:lineRule="auto"/>
              <w:jc w:val="right"/>
              <w:rPr>
                <w:rFonts w:ascii="Arial" w:eastAsia="Times New Roman" w:hAnsi="Arial" w:cs="Arial"/>
                <w:iCs/>
                <w:sz w:val="14"/>
                <w:szCs w:val="14"/>
                <w:lang w:eastAsia="en-US"/>
              </w:rPr>
            </w:pPr>
            <w:r>
              <w:rPr>
                <w:rFonts w:ascii="Arial" w:eastAsia="Times New Roman" w:hAnsi="Arial" w:cs="Arial"/>
                <w:iCs/>
                <w:sz w:val="14"/>
                <w:szCs w:val="14"/>
                <w:lang w:eastAsia="en-US"/>
              </w:rPr>
              <w:t>2,9% fiksna</w:t>
            </w:r>
          </w:p>
        </w:tc>
        <w:tc>
          <w:tcPr>
            <w:tcW w:w="1417" w:type="dxa"/>
            <w:tcBorders>
              <w:top w:val="single" w:sz="4" w:space="0" w:color="auto"/>
              <w:left w:val="single" w:sz="4" w:space="0" w:color="auto"/>
              <w:bottom w:val="single" w:sz="4" w:space="0" w:color="auto"/>
              <w:right w:val="single" w:sz="4" w:space="0" w:color="auto"/>
            </w:tcBorders>
            <w:vAlign w:val="center"/>
          </w:tcPr>
          <w:p w14:paraId="25E05F8B" w14:textId="1B5F2393" w:rsidR="00AF60D5" w:rsidRPr="003A2F86" w:rsidRDefault="00AF60D5" w:rsidP="00AF60D5">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5.488,72</w:t>
            </w:r>
          </w:p>
        </w:tc>
        <w:tc>
          <w:tcPr>
            <w:tcW w:w="1560" w:type="dxa"/>
            <w:tcBorders>
              <w:top w:val="single" w:sz="4" w:space="0" w:color="auto"/>
              <w:left w:val="single" w:sz="4" w:space="0" w:color="auto"/>
              <w:bottom w:val="single" w:sz="4" w:space="0" w:color="auto"/>
              <w:right w:val="single" w:sz="4" w:space="0" w:color="auto"/>
            </w:tcBorders>
            <w:vAlign w:val="center"/>
          </w:tcPr>
          <w:p w14:paraId="2BBE1636" w14:textId="4D898A38" w:rsidR="00AF60D5" w:rsidRPr="003A2F86" w:rsidRDefault="00AF60D5" w:rsidP="00AF60D5">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-5.488,72</w:t>
            </w:r>
          </w:p>
        </w:tc>
        <w:tc>
          <w:tcPr>
            <w:tcW w:w="1417" w:type="dxa"/>
            <w:tcBorders>
              <w:top w:val="single" w:sz="4" w:space="0" w:color="auto"/>
              <w:left w:val="single" w:sz="4" w:space="0" w:color="auto"/>
              <w:bottom w:val="single" w:sz="4" w:space="0" w:color="auto"/>
              <w:right w:val="single" w:sz="4" w:space="0" w:color="auto"/>
            </w:tcBorders>
            <w:vAlign w:val="center"/>
          </w:tcPr>
          <w:p w14:paraId="3666F0BB" w14:textId="5BEED34E" w:rsidR="00AF60D5" w:rsidRPr="003A2F86" w:rsidRDefault="00AF60D5" w:rsidP="00AF60D5">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0,00</w:t>
            </w:r>
          </w:p>
        </w:tc>
      </w:tr>
      <w:tr w:rsidR="00AF60D5" w:rsidRPr="003A2F86" w14:paraId="78817EE3" w14:textId="77777777" w:rsidTr="00AF60D5">
        <w:trPr>
          <w:jc w:val="center"/>
        </w:trPr>
        <w:tc>
          <w:tcPr>
            <w:tcW w:w="421" w:type="dxa"/>
            <w:vAlign w:val="center"/>
          </w:tcPr>
          <w:p w14:paraId="4F67F8E1" w14:textId="77777777" w:rsidR="00AF60D5" w:rsidRPr="003A2F86" w:rsidRDefault="00AF60D5" w:rsidP="00AF60D5">
            <w:pPr>
              <w:spacing w:after="0" w:line="240" w:lineRule="auto"/>
              <w:jc w:val="center"/>
              <w:rPr>
                <w:rFonts w:ascii="Arial" w:eastAsia="Times New Roman" w:hAnsi="Arial" w:cs="Arial"/>
                <w:iCs/>
                <w:sz w:val="14"/>
                <w:szCs w:val="14"/>
                <w:lang w:eastAsia="en-US"/>
              </w:rPr>
            </w:pPr>
            <w:r w:rsidRPr="003A2F86">
              <w:rPr>
                <w:rFonts w:ascii="Arial" w:eastAsia="Times New Roman" w:hAnsi="Arial" w:cs="Arial"/>
                <w:iCs/>
                <w:sz w:val="14"/>
                <w:szCs w:val="14"/>
                <w:lang w:eastAsia="en-US"/>
              </w:rPr>
              <w:t>2.</w:t>
            </w:r>
          </w:p>
        </w:tc>
        <w:tc>
          <w:tcPr>
            <w:tcW w:w="1275" w:type="dxa"/>
            <w:vAlign w:val="center"/>
          </w:tcPr>
          <w:p w14:paraId="62C3A455" w14:textId="49B6637A" w:rsidR="00AF60D5" w:rsidRPr="003A2F86" w:rsidRDefault="00AF60D5" w:rsidP="00AF60D5">
            <w:pPr>
              <w:spacing w:after="0" w:line="240" w:lineRule="auto"/>
              <w:rPr>
                <w:rFonts w:ascii="Arial" w:eastAsia="Times New Roman" w:hAnsi="Arial" w:cs="Arial"/>
                <w:iCs/>
                <w:sz w:val="16"/>
                <w:szCs w:val="16"/>
                <w:lang w:eastAsia="en-US"/>
              </w:rPr>
            </w:pPr>
            <w:r w:rsidRPr="003A2F86">
              <w:rPr>
                <w:rFonts w:ascii="Arial" w:eastAsia="Times New Roman" w:hAnsi="Arial" w:cs="Arial"/>
                <w:iCs/>
                <w:sz w:val="16"/>
                <w:szCs w:val="16"/>
                <w:lang w:eastAsia="en-US"/>
              </w:rPr>
              <w:t>Čistoća i zelenilo Konavle d.o.o. Čilipi</w:t>
            </w:r>
          </w:p>
        </w:tc>
        <w:tc>
          <w:tcPr>
            <w:tcW w:w="1276" w:type="dxa"/>
            <w:tcBorders>
              <w:top w:val="single" w:sz="8" w:space="0" w:color="000000"/>
              <w:left w:val="single" w:sz="8" w:space="0" w:color="000000"/>
              <w:bottom w:val="single" w:sz="8" w:space="0" w:color="000000"/>
              <w:right w:val="single" w:sz="4" w:space="0" w:color="auto"/>
            </w:tcBorders>
            <w:vAlign w:val="center"/>
          </w:tcPr>
          <w:p w14:paraId="06842D7E" w14:textId="67367550" w:rsidR="00AF60D5" w:rsidRPr="003A2F86" w:rsidRDefault="00AF60D5" w:rsidP="00AF60D5">
            <w:pPr>
              <w:autoSpaceDE w:val="0"/>
              <w:autoSpaceDN w:val="0"/>
              <w:adjustRightInd w:val="0"/>
              <w:spacing w:after="0" w:line="240" w:lineRule="auto"/>
              <w:jc w:val="center"/>
              <w:rPr>
                <w:rFonts w:ascii="Arial" w:eastAsia="Times New Roman" w:hAnsi="Arial" w:cs="Arial"/>
                <w:sz w:val="16"/>
                <w:szCs w:val="16"/>
              </w:rPr>
            </w:pPr>
            <w:r>
              <w:rPr>
                <w:rFonts w:ascii="Arial" w:eastAsia="Times New Roman" w:hAnsi="Arial" w:cs="Arial"/>
                <w:sz w:val="16"/>
                <w:szCs w:val="16"/>
              </w:rPr>
              <w:t>27.12.2019.</w:t>
            </w:r>
          </w:p>
        </w:tc>
        <w:tc>
          <w:tcPr>
            <w:tcW w:w="1985" w:type="dxa"/>
            <w:tcBorders>
              <w:top w:val="single" w:sz="4" w:space="0" w:color="auto"/>
              <w:left w:val="single" w:sz="4" w:space="0" w:color="auto"/>
              <w:bottom w:val="single" w:sz="4" w:space="0" w:color="auto"/>
              <w:right w:val="single" w:sz="4" w:space="0" w:color="auto"/>
            </w:tcBorders>
            <w:vAlign w:val="center"/>
          </w:tcPr>
          <w:p w14:paraId="17D201BC" w14:textId="33997389" w:rsidR="00AF60D5" w:rsidRPr="00AF60D5" w:rsidRDefault="00AF60D5" w:rsidP="00AF60D5">
            <w:pPr>
              <w:autoSpaceDE w:val="0"/>
              <w:autoSpaceDN w:val="0"/>
              <w:adjustRightInd w:val="0"/>
              <w:spacing w:after="0" w:line="240" w:lineRule="auto"/>
              <w:rPr>
                <w:rFonts w:ascii="Arial" w:eastAsia="Times New Roman" w:hAnsi="Arial" w:cs="Arial"/>
                <w:sz w:val="16"/>
                <w:szCs w:val="16"/>
              </w:rPr>
            </w:pPr>
            <w:r w:rsidRPr="00AF60D5">
              <w:rPr>
                <w:sz w:val="16"/>
                <w:szCs w:val="16"/>
              </w:rPr>
              <w:t>OTP banka d.d. Split</w:t>
            </w:r>
          </w:p>
        </w:tc>
        <w:tc>
          <w:tcPr>
            <w:tcW w:w="1275" w:type="dxa"/>
            <w:tcBorders>
              <w:top w:val="single" w:sz="4" w:space="0" w:color="auto"/>
              <w:left w:val="single" w:sz="4" w:space="0" w:color="auto"/>
              <w:bottom w:val="single" w:sz="4" w:space="0" w:color="auto"/>
              <w:right w:val="single" w:sz="4" w:space="0" w:color="auto"/>
            </w:tcBorders>
            <w:vAlign w:val="center"/>
          </w:tcPr>
          <w:p w14:paraId="07D168B3" w14:textId="2397CF4C" w:rsidR="00AF60D5" w:rsidRPr="00AF60D5" w:rsidRDefault="00AF60D5" w:rsidP="00AF60D5">
            <w:pPr>
              <w:spacing w:after="0" w:line="240" w:lineRule="auto"/>
              <w:jc w:val="right"/>
              <w:rPr>
                <w:rFonts w:ascii="Arial" w:eastAsia="Times New Roman" w:hAnsi="Arial" w:cs="Arial"/>
                <w:iCs/>
                <w:sz w:val="14"/>
                <w:szCs w:val="14"/>
                <w:lang w:eastAsia="en-US"/>
              </w:rPr>
            </w:pPr>
            <w:r w:rsidRPr="00AF60D5">
              <w:rPr>
                <w:rFonts w:ascii="Arial" w:eastAsia="Times New Roman" w:hAnsi="Arial" w:cs="Arial"/>
                <w:iCs/>
                <w:sz w:val="14"/>
                <w:szCs w:val="14"/>
                <w:lang w:eastAsia="en-US"/>
              </w:rPr>
              <w:t>izgradnja zgrade s tržnicom</w:t>
            </w:r>
          </w:p>
        </w:tc>
        <w:tc>
          <w:tcPr>
            <w:tcW w:w="993" w:type="dxa"/>
            <w:tcBorders>
              <w:top w:val="single" w:sz="4" w:space="0" w:color="auto"/>
              <w:left w:val="single" w:sz="4" w:space="0" w:color="auto"/>
              <w:bottom w:val="single" w:sz="4" w:space="0" w:color="auto"/>
              <w:right w:val="single" w:sz="4" w:space="0" w:color="auto"/>
            </w:tcBorders>
            <w:vAlign w:val="center"/>
          </w:tcPr>
          <w:p w14:paraId="07AA57A6" w14:textId="5CBB7C74" w:rsidR="00AF60D5" w:rsidRPr="003A2F86" w:rsidRDefault="00AF60D5" w:rsidP="00AF60D5">
            <w:pPr>
              <w:spacing w:after="0" w:line="240" w:lineRule="auto"/>
              <w:jc w:val="right"/>
              <w:rPr>
                <w:rFonts w:ascii="Arial" w:eastAsia="Times New Roman" w:hAnsi="Arial" w:cs="Arial"/>
                <w:iCs/>
                <w:sz w:val="14"/>
                <w:szCs w:val="14"/>
                <w:lang w:eastAsia="en-US"/>
              </w:rPr>
            </w:pPr>
            <w:r>
              <w:rPr>
                <w:rFonts w:ascii="Arial" w:eastAsia="Times New Roman" w:hAnsi="Arial" w:cs="Arial"/>
                <w:iCs/>
                <w:sz w:val="14"/>
                <w:szCs w:val="14"/>
                <w:lang w:eastAsia="en-US"/>
              </w:rPr>
              <w:t>27.12.19. i 29.5.2020.</w:t>
            </w:r>
          </w:p>
        </w:tc>
        <w:tc>
          <w:tcPr>
            <w:tcW w:w="1435" w:type="dxa"/>
            <w:tcBorders>
              <w:top w:val="single" w:sz="4" w:space="0" w:color="auto"/>
              <w:left w:val="single" w:sz="4" w:space="0" w:color="auto"/>
              <w:bottom w:val="single" w:sz="4" w:space="0" w:color="auto"/>
              <w:right w:val="single" w:sz="4" w:space="0" w:color="auto"/>
            </w:tcBorders>
            <w:vAlign w:val="center"/>
          </w:tcPr>
          <w:p w14:paraId="3B4EE3D2" w14:textId="5FA28E4A" w:rsidR="00AF60D5" w:rsidRPr="003A2F86" w:rsidRDefault="001B6553" w:rsidP="00AF60D5">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10.000.000 km (1.327.228,08 €)</w:t>
            </w:r>
          </w:p>
        </w:tc>
        <w:tc>
          <w:tcPr>
            <w:tcW w:w="974" w:type="dxa"/>
            <w:tcBorders>
              <w:top w:val="single" w:sz="4" w:space="0" w:color="auto"/>
              <w:left w:val="single" w:sz="4" w:space="0" w:color="auto"/>
              <w:bottom w:val="single" w:sz="4" w:space="0" w:color="auto"/>
              <w:right w:val="single" w:sz="4" w:space="0" w:color="auto"/>
            </w:tcBorders>
            <w:vAlign w:val="center"/>
          </w:tcPr>
          <w:p w14:paraId="5C86C4DB" w14:textId="3D8CC8D4" w:rsidR="00AF60D5" w:rsidRPr="003A2F86" w:rsidRDefault="001B6553" w:rsidP="00AF60D5">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31.12.30.</w:t>
            </w:r>
          </w:p>
        </w:tc>
        <w:tc>
          <w:tcPr>
            <w:tcW w:w="851" w:type="dxa"/>
            <w:tcBorders>
              <w:top w:val="single" w:sz="4" w:space="0" w:color="auto"/>
              <w:left w:val="single" w:sz="4" w:space="0" w:color="auto"/>
              <w:bottom w:val="single" w:sz="4" w:space="0" w:color="auto"/>
              <w:right w:val="single" w:sz="4" w:space="0" w:color="auto"/>
            </w:tcBorders>
            <w:vAlign w:val="center"/>
          </w:tcPr>
          <w:p w14:paraId="393AF008" w14:textId="7FBF7DA0" w:rsidR="00AF60D5" w:rsidRPr="00AF60D5" w:rsidRDefault="001B6553" w:rsidP="00AF60D5">
            <w:pPr>
              <w:spacing w:after="0" w:line="240" w:lineRule="auto"/>
              <w:jc w:val="right"/>
              <w:rPr>
                <w:rFonts w:ascii="Arial" w:eastAsia="Times New Roman" w:hAnsi="Arial" w:cs="Arial"/>
                <w:iCs/>
                <w:sz w:val="14"/>
                <w:szCs w:val="14"/>
                <w:lang w:eastAsia="en-US"/>
              </w:rPr>
            </w:pPr>
            <w:r>
              <w:rPr>
                <w:rFonts w:ascii="Arial" w:eastAsia="Times New Roman" w:hAnsi="Arial" w:cs="Arial"/>
                <w:iCs/>
                <w:sz w:val="14"/>
                <w:szCs w:val="14"/>
                <w:lang w:eastAsia="en-US"/>
              </w:rPr>
              <w:t>1,14% godišnje fiksno</w:t>
            </w:r>
          </w:p>
        </w:tc>
        <w:tc>
          <w:tcPr>
            <w:tcW w:w="1417" w:type="dxa"/>
            <w:tcBorders>
              <w:top w:val="single" w:sz="4" w:space="0" w:color="auto"/>
              <w:left w:val="single" w:sz="4" w:space="0" w:color="auto"/>
              <w:bottom w:val="single" w:sz="4" w:space="0" w:color="auto"/>
              <w:right w:val="single" w:sz="4" w:space="0" w:color="auto"/>
            </w:tcBorders>
            <w:vAlign w:val="center"/>
          </w:tcPr>
          <w:p w14:paraId="25174105" w14:textId="390082F6" w:rsidR="00AF60D5" w:rsidRPr="003A2F86" w:rsidRDefault="001B6553" w:rsidP="00AF60D5">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807.397,18</w:t>
            </w:r>
          </w:p>
        </w:tc>
        <w:tc>
          <w:tcPr>
            <w:tcW w:w="1560" w:type="dxa"/>
            <w:tcBorders>
              <w:top w:val="single" w:sz="4" w:space="0" w:color="auto"/>
              <w:left w:val="single" w:sz="4" w:space="0" w:color="auto"/>
              <w:bottom w:val="single" w:sz="4" w:space="0" w:color="auto"/>
              <w:right w:val="single" w:sz="4" w:space="0" w:color="auto"/>
            </w:tcBorders>
            <w:vAlign w:val="center"/>
          </w:tcPr>
          <w:p w14:paraId="082615B1" w14:textId="1341F58E" w:rsidR="00AF60D5" w:rsidRPr="003A2F86" w:rsidRDefault="001B6553" w:rsidP="00AF60D5">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-15.331,47</w:t>
            </w:r>
          </w:p>
        </w:tc>
        <w:tc>
          <w:tcPr>
            <w:tcW w:w="1417" w:type="dxa"/>
            <w:tcBorders>
              <w:top w:val="single" w:sz="4" w:space="0" w:color="auto"/>
              <w:left w:val="single" w:sz="4" w:space="0" w:color="auto"/>
              <w:bottom w:val="single" w:sz="4" w:space="0" w:color="auto"/>
              <w:right w:val="single" w:sz="4" w:space="0" w:color="auto"/>
            </w:tcBorders>
            <w:vAlign w:val="center"/>
          </w:tcPr>
          <w:p w14:paraId="381AD59B" w14:textId="02260EEB" w:rsidR="00AF60D5" w:rsidRPr="003A2F86" w:rsidRDefault="001B6553" w:rsidP="00AF60D5">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fldChar w:fldCharType="begin"/>
            </w:r>
            <w:r>
              <w:rPr>
                <w:rFonts w:ascii="Arial" w:eastAsia="Times New Roman" w:hAnsi="Arial" w:cs="Arial"/>
                <w:iCs/>
                <w:sz w:val="16"/>
                <w:szCs w:val="16"/>
                <w:lang w:eastAsia="en-US"/>
              </w:rPr>
              <w:instrText xml:space="preserve"> =SUM(LEFT) </w:instrText>
            </w:r>
            <w:r>
              <w:rPr>
                <w:rFonts w:ascii="Arial" w:eastAsia="Times New Roman" w:hAnsi="Arial" w:cs="Arial"/>
                <w:iCs/>
                <w:sz w:val="16"/>
                <w:szCs w:val="16"/>
                <w:lang w:eastAsia="en-US"/>
              </w:rPr>
              <w:fldChar w:fldCharType="separate"/>
            </w:r>
            <w:r>
              <w:rPr>
                <w:rFonts w:ascii="Arial" w:eastAsia="Times New Roman" w:hAnsi="Arial" w:cs="Arial"/>
                <w:iCs/>
                <w:noProof/>
                <w:sz w:val="16"/>
                <w:szCs w:val="16"/>
                <w:lang w:eastAsia="en-US"/>
              </w:rPr>
              <w:t>792.065,71</w:t>
            </w:r>
            <w:r>
              <w:rPr>
                <w:rFonts w:ascii="Arial" w:eastAsia="Times New Roman" w:hAnsi="Arial" w:cs="Arial"/>
                <w:iCs/>
                <w:sz w:val="16"/>
                <w:szCs w:val="16"/>
                <w:lang w:eastAsia="en-US"/>
              </w:rPr>
              <w:fldChar w:fldCharType="end"/>
            </w:r>
          </w:p>
        </w:tc>
      </w:tr>
      <w:tr w:rsidR="00AF60D5" w:rsidRPr="003A2F86" w14:paraId="4BF031FF" w14:textId="77777777" w:rsidTr="00AF60D5">
        <w:trPr>
          <w:jc w:val="center"/>
        </w:trPr>
        <w:tc>
          <w:tcPr>
            <w:tcW w:w="421" w:type="dxa"/>
            <w:vAlign w:val="center"/>
          </w:tcPr>
          <w:p w14:paraId="1AEDB3AB" w14:textId="5343ACB4" w:rsidR="00AF60D5" w:rsidRPr="003A2F86" w:rsidRDefault="00AF60D5" w:rsidP="001B6553">
            <w:pPr>
              <w:spacing w:after="0" w:line="240" w:lineRule="auto"/>
              <w:jc w:val="center"/>
              <w:rPr>
                <w:rFonts w:ascii="Arial" w:eastAsia="Times New Roman" w:hAnsi="Arial" w:cs="Arial"/>
                <w:iCs/>
                <w:sz w:val="14"/>
                <w:szCs w:val="14"/>
                <w:lang w:eastAsia="en-US"/>
              </w:rPr>
            </w:pPr>
            <w:r w:rsidRPr="003A2F86">
              <w:rPr>
                <w:rFonts w:ascii="Arial" w:eastAsia="Times New Roman" w:hAnsi="Arial" w:cs="Arial"/>
                <w:iCs/>
                <w:sz w:val="14"/>
                <w:szCs w:val="14"/>
                <w:lang w:eastAsia="en-US"/>
              </w:rPr>
              <w:t>3</w:t>
            </w:r>
            <w:r>
              <w:rPr>
                <w:rFonts w:ascii="Arial" w:eastAsia="Times New Roman" w:hAnsi="Arial" w:cs="Arial"/>
                <w:iCs/>
                <w:sz w:val="14"/>
                <w:szCs w:val="14"/>
                <w:lang w:eastAsia="en-US"/>
              </w:rPr>
              <w:t>.</w:t>
            </w:r>
          </w:p>
        </w:tc>
        <w:tc>
          <w:tcPr>
            <w:tcW w:w="1275" w:type="dxa"/>
            <w:vAlign w:val="center"/>
          </w:tcPr>
          <w:p w14:paraId="2C125B7F" w14:textId="429A8EA7" w:rsidR="00AF60D5" w:rsidRPr="003A2F86" w:rsidRDefault="00AF60D5" w:rsidP="00AF60D5">
            <w:pPr>
              <w:spacing w:after="0" w:line="240" w:lineRule="auto"/>
              <w:rPr>
                <w:rFonts w:ascii="Arial" w:eastAsia="Times New Roman" w:hAnsi="Arial" w:cs="Arial"/>
                <w:iCs/>
                <w:sz w:val="16"/>
                <w:szCs w:val="16"/>
                <w:lang w:eastAsia="en-US"/>
              </w:rPr>
            </w:pPr>
            <w:r w:rsidRPr="003A2F86">
              <w:rPr>
                <w:rFonts w:ascii="Arial" w:eastAsia="Times New Roman" w:hAnsi="Arial" w:cs="Arial"/>
                <w:iCs/>
                <w:sz w:val="16"/>
                <w:szCs w:val="16"/>
                <w:lang w:eastAsia="en-US"/>
              </w:rPr>
              <w:t>Čistoća i zelenilo Konavle d.o.o. Čilipi</w:t>
            </w:r>
          </w:p>
        </w:tc>
        <w:tc>
          <w:tcPr>
            <w:tcW w:w="1276" w:type="dxa"/>
            <w:tcBorders>
              <w:top w:val="nil"/>
              <w:left w:val="single" w:sz="8" w:space="0" w:color="000000"/>
              <w:bottom w:val="single" w:sz="8" w:space="0" w:color="000000"/>
              <w:right w:val="single" w:sz="4" w:space="0" w:color="auto"/>
            </w:tcBorders>
            <w:vAlign w:val="center"/>
          </w:tcPr>
          <w:p w14:paraId="574CEFB3" w14:textId="5C7C8BC3" w:rsidR="00AF60D5" w:rsidRPr="003A2F86" w:rsidRDefault="00AF60D5" w:rsidP="00AF60D5">
            <w:pPr>
              <w:autoSpaceDE w:val="0"/>
              <w:autoSpaceDN w:val="0"/>
              <w:adjustRightInd w:val="0"/>
              <w:spacing w:after="0" w:line="240" w:lineRule="auto"/>
              <w:jc w:val="center"/>
              <w:rPr>
                <w:rFonts w:ascii="Arial" w:eastAsia="Times New Roman" w:hAnsi="Arial" w:cs="Arial"/>
                <w:sz w:val="16"/>
                <w:szCs w:val="16"/>
              </w:rPr>
            </w:pPr>
            <w:r>
              <w:rPr>
                <w:rFonts w:ascii="Arial" w:eastAsia="Times New Roman" w:hAnsi="Arial" w:cs="Arial"/>
                <w:sz w:val="16"/>
                <w:szCs w:val="16"/>
              </w:rPr>
              <w:t>2.10.2023.</w:t>
            </w:r>
          </w:p>
        </w:tc>
        <w:tc>
          <w:tcPr>
            <w:tcW w:w="1985" w:type="dxa"/>
            <w:tcBorders>
              <w:top w:val="single" w:sz="4" w:space="0" w:color="auto"/>
              <w:left w:val="single" w:sz="4" w:space="0" w:color="auto"/>
              <w:bottom w:val="single" w:sz="4" w:space="0" w:color="auto"/>
              <w:right w:val="single" w:sz="4" w:space="0" w:color="auto"/>
            </w:tcBorders>
            <w:vAlign w:val="center"/>
          </w:tcPr>
          <w:p w14:paraId="3D949AB1" w14:textId="689B59EF" w:rsidR="00AF60D5" w:rsidRPr="00AF60D5" w:rsidRDefault="00AF60D5" w:rsidP="00AF60D5">
            <w:pPr>
              <w:autoSpaceDE w:val="0"/>
              <w:autoSpaceDN w:val="0"/>
              <w:adjustRightInd w:val="0"/>
              <w:spacing w:after="0" w:line="240" w:lineRule="auto"/>
              <w:rPr>
                <w:rFonts w:ascii="Arial" w:eastAsia="Times New Roman" w:hAnsi="Arial" w:cs="Arial"/>
                <w:sz w:val="16"/>
                <w:szCs w:val="16"/>
              </w:rPr>
            </w:pPr>
            <w:r w:rsidRPr="00AF60D5">
              <w:rPr>
                <w:sz w:val="16"/>
                <w:szCs w:val="16"/>
              </w:rPr>
              <w:t>UNICREDIT LEASING CROATIA d.o.o. Zagreb</w:t>
            </w:r>
          </w:p>
        </w:tc>
        <w:tc>
          <w:tcPr>
            <w:tcW w:w="1275" w:type="dxa"/>
            <w:tcBorders>
              <w:top w:val="single" w:sz="4" w:space="0" w:color="auto"/>
              <w:left w:val="single" w:sz="4" w:space="0" w:color="auto"/>
              <w:bottom w:val="single" w:sz="4" w:space="0" w:color="auto"/>
              <w:right w:val="single" w:sz="4" w:space="0" w:color="auto"/>
            </w:tcBorders>
            <w:vAlign w:val="center"/>
          </w:tcPr>
          <w:p w14:paraId="08FF4B06" w14:textId="1E33B673" w:rsidR="00AF60D5" w:rsidRPr="00AF60D5" w:rsidRDefault="00AF60D5" w:rsidP="00AF60D5">
            <w:pPr>
              <w:spacing w:after="0" w:line="240" w:lineRule="auto"/>
              <w:jc w:val="right"/>
              <w:rPr>
                <w:rFonts w:ascii="Arial" w:eastAsia="Times New Roman" w:hAnsi="Arial" w:cs="Arial"/>
                <w:iCs/>
                <w:sz w:val="14"/>
                <w:szCs w:val="14"/>
                <w:lang w:eastAsia="en-US"/>
              </w:rPr>
            </w:pPr>
            <w:r w:rsidRPr="00AF60D5">
              <w:rPr>
                <w:rFonts w:ascii="Arial" w:eastAsia="Times New Roman" w:hAnsi="Arial" w:cs="Arial"/>
                <w:iCs/>
                <w:sz w:val="14"/>
                <w:szCs w:val="14"/>
                <w:lang w:eastAsia="en-US"/>
              </w:rPr>
              <w:t>IVECO EUROCARGA ML120EL22/P</w:t>
            </w:r>
          </w:p>
        </w:tc>
        <w:tc>
          <w:tcPr>
            <w:tcW w:w="993" w:type="dxa"/>
            <w:tcBorders>
              <w:top w:val="single" w:sz="4" w:space="0" w:color="auto"/>
              <w:left w:val="single" w:sz="4" w:space="0" w:color="auto"/>
              <w:bottom w:val="single" w:sz="4" w:space="0" w:color="auto"/>
              <w:right w:val="single" w:sz="4" w:space="0" w:color="auto"/>
            </w:tcBorders>
            <w:vAlign w:val="center"/>
          </w:tcPr>
          <w:p w14:paraId="44EDED09" w14:textId="2A96D9FB" w:rsidR="00AF60D5" w:rsidRPr="003A2F86" w:rsidRDefault="00AF60D5" w:rsidP="00AF60D5">
            <w:pPr>
              <w:spacing w:after="0" w:line="240" w:lineRule="auto"/>
              <w:jc w:val="right"/>
              <w:rPr>
                <w:rFonts w:ascii="Arial" w:eastAsia="Times New Roman" w:hAnsi="Arial" w:cs="Arial"/>
                <w:iCs/>
                <w:sz w:val="14"/>
                <w:szCs w:val="14"/>
                <w:lang w:eastAsia="en-US"/>
              </w:rPr>
            </w:pPr>
            <w:r>
              <w:rPr>
                <w:rFonts w:ascii="Arial" w:eastAsia="Times New Roman" w:hAnsi="Arial" w:cs="Arial"/>
                <w:iCs/>
                <w:sz w:val="14"/>
                <w:szCs w:val="14"/>
                <w:lang w:eastAsia="en-US"/>
              </w:rPr>
              <w:t>31.10.2023.</w:t>
            </w:r>
          </w:p>
        </w:tc>
        <w:tc>
          <w:tcPr>
            <w:tcW w:w="1435" w:type="dxa"/>
            <w:tcBorders>
              <w:top w:val="single" w:sz="4" w:space="0" w:color="auto"/>
              <w:left w:val="single" w:sz="4" w:space="0" w:color="auto"/>
              <w:bottom w:val="single" w:sz="4" w:space="0" w:color="auto"/>
              <w:right w:val="single" w:sz="4" w:space="0" w:color="auto"/>
            </w:tcBorders>
            <w:vAlign w:val="center"/>
          </w:tcPr>
          <w:p w14:paraId="25B0330B" w14:textId="1D9778F8" w:rsidR="00AF60D5" w:rsidRPr="003A2F86" w:rsidRDefault="001B6553" w:rsidP="00AF60D5">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254.375,00 €</w:t>
            </w:r>
          </w:p>
        </w:tc>
        <w:tc>
          <w:tcPr>
            <w:tcW w:w="974" w:type="dxa"/>
            <w:tcBorders>
              <w:top w:val="single" w:sz="4" w:space="0" w:color="auto"/>
              <w:left w:val="single" w:sz="4" w:space="0" w:color="auto"/>
              <w:bottom w:val="single" w:sz="4" w:space="0" w:color="auto"/>
              <w:right w:val="single" w:sz="4" w:space="0" w:color="auto"/>
            </w:tcBorders>
            <w:vAlign w:val="center"/>
          </w:tcPr>
          <w:p w14:paraId="73A2EE1B" w14:textId="64054ECC" w:rsidR="00AF60D5" w:rsidRPr="003A2F86" w:rsidRDefault="001B6553" w:rsidP="001B6553">
            <w:pPr>
              <w:spacing w:after="0" w:line="240" w:lineRule="auto"/>
              <w:jc w:val="center"/>
              <w:rPr>
                <w:rFonts w:ascii="Arial" w:eastAsia="Times New Roman" w:hAnsi="Arial" w:cs="Arial"/>
                <w:iCs/>
                <w:sz w:val="16"/>
                <w:szCs w:val="16"/>
                <w:lang w:eastAsia="en-US"/>
              </w:rPr>
            </w:pPr>
            <w:r>
              <w:rPr>
                <w:rFonts w:ascii="Arial" w:eastAsia="Times New Roman" w:hAnsi="Arial" w:cs="Arial"/>
                <w:iCs/>
                <w:sz w:val="16"/>
                <w:szCs w:val="16"/>
                <w:lang w:eastAsia="en-US"/>
              </w:rPr>
              <w:t>31.05.29.</w:t>
            </w:r>
          </w:p>
        </w:tc>
        <w:tc>
          <w:tcPr>
            <w:tcW w:w="851" w:type="dxa"/>
            <w:tcBorders>
              <w:top w:val="single" w:sz="4" w:space="0" w:color="auto"/>
              <w:left w:val="single" w:sz="4" w:space="0" w:color="auto"/>
              <w:bottom w:val="single" w:sz="4" w:space="0" w:color="auto"/>
              <w:right w:val="single" w:sz="4" w:space="0" w:color="auto"/>
            </w:tcBorders>
            <w:vAlign w:val="center"/>
          </w:tcPr>
          <w:p w14:paraId="4C957C17" w14:textId="5457EACD" w:rsidR="00AF60D5" w:rsidRPr="00AF60D5" w:rsidRDefault="001B6553" w:rsidP="00AF60D5">
            <w:pPr>
              <w:spacing w:after="0" w:line="240" w:lineRule="auto"/>
              <w:jc w:val="right"/>
              <w:rPr>
                <w:rFonts w:ascii="Arial" w:eastAsia="Times New Roman" w:hAnsi="Arial" w:cs="Arial"/>
                <w:iCs/>
                <w:sz w:val="14"/>
                <w:szCs w:val="14"/>
                <w:lang w:eastAsia="en-US"/>
              </w:rPr>
            </w:pPr>
            <w:r>
              <w:rPr>
                <w:rFonts w:ascii="Arial" w:eastAsia="Times New Roman" w:hAnsi="Arial" w:cs="Arial"/>
                <w:iCs/>
                <w:sz w:val="14"/>
                <w:szCs w:val="14"/>
                <w:lang w:eastAsia="en-US"/>
              </w:rPr>
              <w:t>5,14% fiksno godišnje</w:t>
            </w:r>
          </w:p>
        </w:tc>
        <w:tc>
          <w:tcPr>
            <w:tcW w:w="1417" w:type="dxa"/>
            <w:tcBorders>
              <w:top w:val="single" w:sz="4" w:space="0" w:color="auto"/>
              <w:left w:val="single" w:sz="4" w:space="0" w:color="auto"/>
              <w:bottom w:val="single" w:sz="4" w:space="0" w:color="auto"/>
              <w:right w:val="single" w:sz="4" w:space="0" w:color="auto"/>
            </w:tcBorders>
            <w:vAlign w:val="center"/>
          </w:tcPr>
          <w:p w14:paraId="1DC668FB" w14:textId="3F7E4B99" w:rsidR="001B6553" w:rsidRPr="003A2F86" w:rsidRDefault="001B6553" w:rsidP="001B6553">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182.461,73</w:t>
            </w:r>
          </w:p>
        </w:tc>
        <w:tc>
          <w:tcPr>
            <w:tcW w:w="1560" w:type="dxa"/>
            <w:tcBorders>
              <w:top w:val="single" w:sz="4" w:space="0" w:color="auto"/>
              <w:left w:val="single" w:sz="4" w:space="0" w:color="auto"/>
              <w:bottom w:val="single" w:sz="4" w:space="0" w:color="auto"/>
              <w:right w:val="single" w:sz="4" w:space="0" w:color="auto"/>
            </w:tcBorders>
            <w:vAlign w:val="center"/>
          </w:tcPr>
          <w:p w14:paraId="5FB62ADE" w14:textId="542CBCF0" w:rsidR="00AF60D5" w:rsidRPr="003A2F86" w:rsidRDefault="001B6553" w:rsidP="00AF60D5">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-18.540,54</w:t>
            </w:r>
          </w:p>
        </w:tc>
        <w:tc>
          <w:tcPr>
            <w:tcW w:w="1417" w:type="dxa"/>
            <w:tcBorders>
              <w:top w:val="single" w:sz="4" w:space="0" w:color="auto"/>
              <w:left w:val="single" w:sz="4" w:space="0" w:color="auto"/>
              <w:bottom w:val="single" w:sz="4" w:space="0" w:color="auto"/>
              <w:right w:val="single" w:sz="4" w:space="0" w:color="auto"/>
            </w:tcBorders>
            <w:vAlign w:val="center"/>
          </w:tcPr>
          <w:p w14:paraId="6A975DA3" w14:textId="650DBEF6" w:rsidR="00AF60D5" w:rsidRPr="003A2F86" w:rsidRDefault="001B6553" w:rsidP="00AF60D5">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fldChar w:fldCharType="begin"/>
            </w:r>
            <w:r>
              <w:rPr>
                <w:rFonts w:ascii="Arial" w:eastAsia="Times New Roman" w:hAnsi="Arial" w:cs="Arial"/>
                <w:iCs/>
                <w:sz w:val="16"/>
                <w:szCs w:val="16"/>
                <w:lang w:eastAsia="en-US"/>
              </w:rPr>
              <w:instrText xml:space="preserve"> =SUM(LEFT) </w:instrText>
            </w:r>
            <w:r>
              <w:rPr>
                <w:rFonts w:ascii="Arial" w:eastAsia="Times New Roman" w:hAnsi="Arial" w:cs="Arial"/>
                <w:iCs/>
                <w:sz w:val="16"/>
                <w:szCs w:val="16"/>
                <w:lang w:eastAsia="en-US"/>
              </w:rPr>
              <w:fldChar w:fldCharType="separate"/>
            </w:r>
            <w:r>
              <w:rPr>
                <w:rFonts w:ascii="Arial" w:eastAsia="Times New Roman" w:hAnsi="Arial" w:cs="Arial"/>
                <w:iCs/>
                <w:noProof/>
                <w:sz w:val="16"/>
                <w:szCs w:val="16"/>
                <w:lang w:eastAsia="en-US"/>
              </w:rPr>
              <w:t>163.921,19</w:t>
            </w:r>
            <w:r>
              <w:rPr>
                <w:rFonts w:ascii="Arial" w:eastAsia="Times New Roman" w:hAnsi="Arial" w:cs="Arial"/>
                <w:iCs/>
                <w:sz w:val="16"/>
                <w:szCs w:val="16"/>
                <w:lang w:eastAsia="en-US"/>
              </w:rPr>
              <w:fldChar w:fldCharType="end"/>
            </w:r>
          </w:p>
        </w:tc>
      </w:tr>
      <w:tr w:rsidR="001B6553" w:rsidRPr="003A2F86" w14:paraId="1D57F0D1" w14:textId="77777777" w:rsidTr="00AF60D5">
        <w:trPr>
          <w:jc w:val="center"/>
        </w:trPr>
        <w:tc>
          <w:tcPr>
            <w:tcW w:w="421" w:type="dxa"/>
            <w:vAlign w:val="center"/>
          </w:tcPr>
          <w:p w14:paraId="1FF43168" w14:textId="09DBF0D0" w:rsidR="001B6553" w:rsidRPr="003A2F86" w:rsidRDefault="001B6553" w:rsidP="001B6553">
            <w:pPr>
              <w:spacing w:after="0" w:line="240" w:lineRule="auto"/>
              <w:jc w:val="center"/>
              <w:rPr>
                <w:rFonts w:ascii="Arial" w:eastAsia="Times New Roman" w:hAnsi="Arial" w:cs="Arial"/>
                <w:iCs/>
                <w:sz w:val="14"/>
                <w:szCs w:val="14"/>
                <w:lang w:eastAsia="en-US"/>
              </w:rPr>
            </w:pPr>
            <w:r w:rsidRPr="003A2F86">
              <w:rPr>
                <w:rFonts w:ascii="Arial" w:eastAsia="Times New Roman" w:hAnsi="Arial" w:cs="Arial"/>
                <w:iCs/>
                <w:sz w:val="14"/>
                <w:szCs w:val="14"/>
                <w:lang w:eastAsia="en-US"/>
              </w:rPr>
              <w:t>4.</w:t>
            </w:r>
          </w:p>
        </w:tc>
        <w:tc>
          <w:tcPr>
            <w:tcW w:w="1275" w:type="dxa"/>
            <w:vAlign w:val="center"/>
          </w:tcPr>
          <w:p w14:paraId="76182D7B" w14:textId="23970A0B" w:rsidR="001B6553" w:rsidRPr="003A2F86" w:rsidRDefault="001B6553" w:rsidP="001B6553">
            <w:pPr>
              <w:spacing w:after="0" w:line="240" w:lineRule="auto"/>
              <w:rPr>
                <w:rFonts w:ascii="Arial" w:eastAsia="Times New Roman" w:hAnsi="Arial" w:cs="Arial"/>
                <w:iCs/>
                <w:sz w:val="16"/>
                <w:szCs w:val="16"/>
                <w:lang w:eastAsia="en-US"/>
              </w:rPr>
            </w:pPr>
            <w:r w:rsidRPr="003A2F86">
              <w:rPr>
                <w:rFonts w:ascii="Arial" w:eastAsia="Times New Roman" w:hAnsi="Arial" w:cs="Arial"/>
                <w:iCs/>
                <w:sz w:val="16"/>
                <w:szCs w:val="16"/>
                <w:lang w:eastAsia="en-US"/>
              </w:rPr>
              <w:t>Čistoća i zelenilo Konavle d.o.o. Čilipi</w:t>
            </w:r>
          </w:p>
        </w:tc>
        <w:tc>
          <w:tcPr>
            <w:tcW w:w="1276" w:type="dxa"/>
            <w:tcBorders>
              <w:top w:val="nil"/>
              <w:left w:val="single" w:sz="8" w:space="0" w:color="000000"/>
              <w:bottom w:val="single" w:sz="8" w:space="0" w:color="000000"/>
              <w:right w:val="single" w:sz="4" w:space="0" w:color="auto"/>
            </w:tcBorders>
            <w:vAlign w:val="center"/>
          </w:tcPr>
          <w:p w14:paraId="1895CB8F" w14:textId="2A78F31B" w:rsidR="001B6553" w:rsidRPr="003A2F86" w:rsidRDefault="001B6553" w:rsidP="001B6553">
            <w:pPr>
              <w:autoSpaceDE w:val="0"/>
              <w:autoSpaceDN w:val="0"/>
              <w:adjustRightInd w:val="0"/>
              <w:spacing w:after="0" w:line="240" w:lineRule="auto"/>
              <w:jc w:val="center"/>
              <w:rPr>
                <w:rFonts w:ascii="Arial" w:eastAsia="Times New Roman" w:hAnsi="Arial" w:cs="Arial"/>
                <w:sz w:val="16"/>
                <w:szCs w:val="16"/>
              </w:rPr>
            </w:pPr>
            <w:r>
              <w:rPr>
                <w:rFonts w:ascii="Arial" w:eastAsia="Times New Roman" w:hAnsi="Arial" w:cs="Arial"/>
                <w:sz w:val="16"/>
                <w:szCs w:val="16"/>
              </w:rPr>
              <w:t>28.05.2024.</w:t>
            </w:r>
          </w:p>
        </w:tc>
        <w:tc>
          <w:tcPr>
            <w:tcW w:w="1985" w:type="dxa"/>
            <w:tcBorders>
              <w:top w:val="single" w:sz="8" w:space="0" w:color="000000"/>
              <w:left w:val="nil"/>
              <w:bottom w:val="single" w:sz="8" w:space="0" w:color="000000"/>
              <w:right w:val="single" w:sz="8" w:space="0" w:color="000000"/>
            </w:tcBorders>
            <w:vAlign w:val="center"/>
          </w:tcPr>
          <w:p w14:paraId="45AEFACD" w14:textId="3992ED7F" w:rsidR="001B6553" w:rsidRPr="00AF60D5" w:rsidRDefault="001B6553" w:rsidP="001B6553">
            <w:pPr>
              <w:autoSpaceDE w:val="0"/>
              <w:autoSpaceDN w:val="0"/>
              <w:adjustRightInd w:val="0"/>
              <w:spacing w:after="0" w:line="240" w:lineRule="auto"/>
              <w:rPr>
                <w:rFonts w:ascii="Arial" w:eastAsia="Times New Roman" w:hAnsi="Arial" w:cs="Arial"/>
                <w:sz w:val="14"/>
                <w:szCs w:val="14"/>
              </w:rPr>
            </w:pPr>
            <w:r w:rsidRPr="00AF60D5">
              <w:rPr>
                <w:rFonts w:ascii="Calibri" w:hAnsi="Calibri" w:cs="Calibri"/>
                <w:color w:val="000000"/>
                <w:sz w:val="14"/>
                <w:szCs w:val="14"/>
              </w:rPr>
              <w:t>PBZ-LEASING d.o.o. Zagreb</w:t>
            </w:r>
          </w:p>
        </w:tc>
        <w:tc>
          <w:tcPr>
            <w:tcW w:w="1275" w:type="dxa"/>
            <w:tcBorders>
              <w:top w:val="single" w:sz="4" w:space="0" w:color="auto"/>
              <w:left w:val="single" w:sz="4" w:space="0" w:color="auto"/>
              <w:bottom w:val="single" w:sz="4" w:space="0" w:color="auto"/>
              <w:right w:val="single" w:sz="4" w:space="0" w:color="auto"/>
            </w:tcBorders>
            <w:vAlign w:val="center"/>
          </w:tcPr>
          <w:p w14:paraId="64D859BF" w14:textId="4DCE8348" w:rsidR="001B6553" w:rsidRPr="00AF60D5" w:rsidRDefault="001B6553" w:rsidP="001B6553">
            <w:pPr>
              <w:spacing w:after="0" w:line="240" w:lineRule="auto"/>
              <w:jc w:val="right"/>
              <w:rPr>
                <w:rFonts w:ascii="Arial" w:eastAsia="Times New Roman" w:hAnsi="Arial" w:cs="Arial"/>
                <w:iCs/>
                <w:sz w:val="14"/>
                <w:szCs w:val="14"/>
                <w:lang w:eastAsia="en-US"/>
              </w:rPr>
            </w:pPr>
            <w:r w:rsidRPr="00AF60D5">
              <w:rPr>
                <w:rFonts w:ascii="Arial" w:eastAsia="Times New Roman" w:hAnsi="Arial" w:cs="Arial"/>
                <w:iCs/>
                <w:sz w:val="14"/>
                <w:szCs w:val="14"/>
                <w:lang w:eastAsia="en-US"/>
              </w:rPr>
              <w:t>komunalno vozilo s potisnom pločom 5m³ IVECO DAILY 35C16H s nadogradnjom QUBE ROSSI 5</w:t>
            </w:r>
          </w:p>
        </w:tc>
        <w:tc>
          <w:tcPr>
            <w:tcW w:w="993" w:type="dxa"/>
            <w:tcBorders>
              <w:top w:val="single" w:sz="4" w:space="0" w:color="auto"/>
              <w:left w:val="single" w:sz="4" w:space="0" w:color="auto"/>
              <w:bottom w:val="single" w:sz="4" w:space="0" w:color="auto"/>
              <w:right w:val="single" w:sz="4" w:space="0" w:color="auto"/>
            </w:tcBorders>
            <w:vAlign w:val="center"/>
          </w:tcPr>
          <w:p w14:paraId="5AF7D4F8" w14:textId="780F7C07" w:rsidR="001B6553" w:rsidRPr="003A2F86" w:rsidRDefault="001B6553" w:rsidP="001B6553">
            <w:pPr>
              <w:spacing w:after="0" w:line="240" w:lineRule="auto"/>
              <w:jc w:val="right"/>
              <w:rPr>
                <w:rFonts w:ascii="Arial" w:eastAsia="Times New Roman" w:hAnsi="Arial" w:cs="Arial"/>
                <w:iCs/>
                <w:sz w:val="14"/>
                <w:szCs w:val="14"/>
                <w:lang w:eastAsia="en-US"/>
              </w:rPr>
            </w:pPr>
            <w:r>
              <w:rPr>
                <w:rFonts w:ascii="Arial" w:eastAsia="Times New Roman" w:hAnsi="Arial" w:cs="Arial"/>
                <w:iCs/>
                <w:sz w:val="14"/>
                <w:szCs w:val="14"/>
                <w:lang w:eastAsia="en-US"/>
              </w:rPr>
              <w:t>6.6.2024.</w:t>
            </w:r>
          </w:p>
        </w:tc>
        <w:tc>
          <w:tcPr>
            <w:tcW w:w="1435" w:type="dxa"/>
            <w:tcBorders>
              <w:top w:val="single" w:sz="4" w:space="0" w:color="auto"/>
              <w:left w:val="single" w:sz="4" w:space="0" w:color="auto"/>
              <w:bottom w:val="single" w:sz="4" w:space="0" w:color="auto"/>
              <w:right w:val="single" w:sz="4" w:space="0" w:color="auto"/>
            </w:tcBorders>
            <w:vAlign w:val="center"/>
          </w:tcPr>
          <w:p w14:paraId="70B20D1A" w14:textId="2B823FFA" w:rsidR="001B6553" w:rsidRPr="003A2F86" w:rsidRDefault="001B6553" w:rsidP="001B6553">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123.125,00 €</w:t>
            </w:r>
          </w:p>
        </w:tc>
        <w:tc>
          <w:tcPr>
            <w:tcW w:w="974" w:type="dxa"/>
            <w:tcBorders>
              <w:top w:val="single" w:sz="4" w:space="0" w:color="auto"/>
              <w:left w:val="single" w:sz="4" w:space="0" w:color="auto"/>
              <w:bottom w:val="single" w:sz="4" w:space="0" w:color="auto"/>
              <w:right w:val="single" w:sz="4" w:space="0" w:color="auto"/>
            </w:tcBorders>
            <w:vAlign w:val="center"/>
          </w:tcPr>
          <w:p w14:paraId="79AD8492" w14:textId="5C47F6CF" w:rsidR="001B6553" w:rsidRPr="003A2F86" w:rsidRDefault="001B6553" w:rsidP="001B6553">
            <w:pPr>
              <w:spacing w:after="0" w:line="240" w:lineRule="auto"/>
              <w:jc w:val="center"/>
              <w:rPr>
                <w:rFonts w:ascii="Arial" w:eastAsia="Times New Roman" w:hAnsi="Arial" w:cs="Arial"/>
                <w:iCs/>
                <w:sz w:val="18"/>
                <w:szCs w:val="18"/>
                <w:lang w:eastAsia="en-US"/>
              </w:rPr>
            </w:pPr>
            <w:r>
              <w:rPr>
                <w:rFonts w:ascii="Arial" w:eastAsia="Times New Roman" w:hAnsi="Arial" w:cs="Arial"/>
                <w:iCs/>
                <w:sz w:val="18"/>
                <w:szCs w:val="18"/>
                <w:lang w:eastAsia="en-US"/>
              </w:rPr>
              <w:t>3 godine</w:t>
            </w:r>
          </w:p>
        </w:tc>
        <w:tc>
          <w:tcPr>
            <w:tcW w:w="851" w:type="dxa"/>
            <w:tcBorders>
              <w:top w:val="single" w:sz="4" w:space="0" w:color="auto"/>
              <w:left w:val="single" w:sz="4" w:space="0" w:color="auto"/>
              <w:bottom w:val="single" w:sz="4" w:space="0" w:color="auto"/>
              <w:right w:val="single" w:sz="4" w:space="0" w:color="auto"/>
            </w:tcBorders>
            <w:vAlign w:val="center"/>
          </w:tcPr>
          <w:p w14:paraId="10C3C50F" w14:textId="0F41177F" w:rsidR="001B6553" w:rsidRPr="00AF60D5" w:rsidRDefault="001B6553" w:rsidP="001B6553">
            <w:pPr>
              <w:spacing w:after="0" w:line="240" w:lineRule="auto"/>
              <w:jc w:val="center"/>
              <w:rPr>
                <w:rFonts w:ascii="Arial" w:eastAsia="Times New Roman" w:hAnsi="Arial" w:cs="Arial"/>
                <w:iCs/>
                <w:sz w:val="14"/>
                <w:szCs w:val="14"/>
                <w:lang w:eastAsia="en-US"/>
              </w:rPr>
            </w:pPr>
            <w:r>
              <w:rPr>
                <w:rFonts w:ascii="Arial" w:eastAsia="Times New Roman" w:hAnsi="Arial" w:cs="Arial"/>
                <w:iCs/>
                <w:sz w:val="14"/>
                <w:szCs w:val="14"/>
                <w:lang w:eastAsia="en-US"/>
              </w:rPr>
              <w:t>5,95% fiksno godišnje</w:t>
            </w:r>
          </w:p>
        </w:tc>
        <w:tc>
          <w:tcPr>
            <w:tcW w:w="1417" w:type="dxa"/>
            <w:tcBorders>
              <w:top w:val="single" w:sz="4" w:space="0" w:color="auto"/>
              <w:left w:val="single" w:sz="4" w:space="0" w:color="auto"/>
              <w:bottom w:val="single" w:sz="4" w:space="0" w:color="auto"/>
              <w:right w:val="single" w:sz="4" w:space="0" w:color="auto"/>
            </w:tcBorders>
            <w:vAlign w:val="center"/>
          </w:tcPr>
          <w:p w14:paraId="416B9934" w14:textId="455EAC5A" w:rsidR="001B6553" w:rsidRPr="003A2F86" w:rsidRDefault="001B6553" w:rsidP="001B6553">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83.431,34</w:t>
            </w:r>
          </w:p>
        </w:tc>
        <w:tc>
          <w:tcPr>
            <w:tcW w:w="1560" w:type="dxa"/>
            <w:tcBorders>
              <w:top w:val="single" w:sz="4" w:space="0" w:color="auto"/>
              <w:left w:val="single" w:sz="4" w:space="0" w:color="auto"/>
              <w:bottom w:val="single" w:sz="4" w:space="0" w:color="auto"/>
              <w:right w:val="single" w:sz="4" w:space="0" w:color="auto"/>
            </w:tcBorders>
            <w:vAlign w:val="center"/>
          </w:tcPr>
          <w:p w14:paraId="57E1480A" w14:textId="5C06E2F1" w:rsidR="001B6553" w:rsidRPr="003A2F86" w:rsidRDefault="001B6553" w:rsidP="001B6553">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-15.522,56</w:t>
            </w:r>
          </w:p>
        </w:tc>
        <w:tc>
          <w:tcPr>
            <w:tcW w:w="1417" w:type="dxa"/>
            <w:tcBorders>
              <w:top w:val="single" w:sz="4" w:space="0" w:color="auto"/>
              <w:left w:val="single" w:sz="4" w:space="0" w:color="auto"/>
              <w:bottom w:val="single" w:sz="4" w:space="0" w:color="auto"/>
              <w:right w:val="single" w:sz="4" w:space="0" w:color="auto"/>
            </w:tcBorders>
            <w:vAlign w:val="center"/>
          </w:tcPr>
          <w:p w14:paraId="789593E7" w14:textId="36264795" w:rsidR="001B6553" w:rsidRPr="003A2F86" w:rsidRDefault="001B6553" w:rsidP="001B6553">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fldChar w:fldCharType="begin"/>
            </w:r>
            <w:r>
              <w:rPr>
                <w:rFonts w:ascii="Arial" w:eastAsia="Times New Roman" w:hAnsi="Arial" w:cs="Arial"/>
                <w:iCs/>
                <w:sz w:val="16"/>
                <w:szCs w:val="16"/>
                <w:lang w:eastAsia="en-US"/>
              </w:rPr>
              <w:instrText xml:space="preserve"> =SUM(LEFT) </w:instrText>
            </w:r>
            <w:r>
              <w:rPr>
                <w:rFonts w:ascii="Arial" w:eastAsia="Times New Roman" w:hAnsi="Arial" w:cs="Arial"/>
                <w:iCs/>
                <w:sz w:val="16"/>
                <w:szCs w:val="16"/>
                <w:lang w:eastAsia="en-US"/>
              </w:rPr>
              <w:fldChar w:fldCharType="separate"/>
            </w:r>
            <w:r>
              <w:rPr>
                <w:rFonts w:ascii="Arial" w:eastAsia="Times New Roman" w:hAnsi="Arial" w:cs="Arial"/>
                <w:iCs/>
                <w:noProof/>
                <w:sz w:val="16"/>
                <w:szCs w:val="16"/>
                <w:lang w:eastAsia="en-US"/>
              </w:rPr>
              <w:t>67.908,78</w:t>
            </w:r>
            <w:r>
              <w:rPr>
                <w:rFonts w:ascii="Arial" w:eastAsia="Times New Roman" w:hAnsi="Arial" w:cs="Arial"/>
                <w:iCs/>
                <w:sz w:val="16"/>
                <w:szCs w:val="16"/>
                <w:lang w:eastAsia="en-US"/>
              </w:rPr>
              <w:fldChar w:fldCharType="end"/>
            </w:r>
          </w:p>
        </w:tc>
      </w:tr>
      <w:tr w:rsidR="001B6553" w:rsidRPr="003A2F86" w14:paraId="63A892F3" w14:textId="77777777" w:rsidTr="00AF60D5">
        <w:trPr>
          <w:jc w:val="center"/>
        </w:trPr>
        <w:tc>
          <w:tcPr>
            <w:tcW w:w="421" w:type="dxa"/>
            <w:vAlign w:val="center"/>
          </w:tcPr>
          <w:p w14:paraId="7C62A907" w14:textId="70CB7D2F" w:rsidR="001B6553" w:rsidRPr="003A2F86" w:rsidRDefault="001B6553" w:rsidP="001B6553">
            <w:pPr>
              <w:spacing w:after="0" w:line="240" w:lineRule="auto"/>
              <w:jc w:val="center"/>
              <w:rPr>
                <w:rFonts w:ascii="Arial" w:eastAsia="Times New Roman" w:hAnsi="Arial" w:cs="Arial"/>
                <w:iCs/>
                <w:sz w:val="14"/>
                <w:szCs w:val="14"/>
                <w:lang w:eastAsia="en-US"/>
              </w:rPr>
            </w:pPr>
            <w:r>
              <w:rPr>
                <w:rFonts w:ascii="Arial" w:eastAsia="Times New Roman" w:hAnsi="Arial" w:cs="Arial"/>
                <w:iCs/>
                <w:sz w:val="14"/>
                <w:szCs w:val="14"/>
                <w:lang w:eastAsia="en-US"/>
              </w:rPr>
              <w:t>5.</w:t>
            </w:r>
          </w:p>
        </w:tc>
        <w:tc>
          <w:tcPr>
            <w:tcW w:w="1275" w:type="dxa"/>
            <w:tcBorders>
              <w:bottom w:val="single" w:sz="4" w:space="0" w:color="auto"/>
            </w:tcBorders>
            <w:vAlign w:val="center"/>
          </w:tcPr>
          <w:p w14:paraId="6FFB5EF0" w14:textId="311F2DB1" w:rsidR="001B6553" w:rsidRPr="003A2F86" w:rsidRDefault="001B6553" w:rsidP="001B6553">
            <w:pPr>
              <w:spacing w:after="0" w:line="240" w:lineRule="auto"/>
              <w:rPr>
                <w:rFonts w:ascii="Arial" w:eastAsia="Times New Roman" w:hAnsi="Arial" w:cs="Arial"/>
                <w:iCs/>
                <w:sz w:val="16"/>
                <w:szCs w:val="16"/>
                <w:lang w:eastAsia="en-US"/>
              </w:rPr>
            </w:pPr>
            <w:r w:rsidRPr="003A2F86">
              <w:rPr>
                <w:rFonts w:ascii="Arial" w:eastAsia="Times New Roman" w:hAnsi="Arial" w:cs="Arial"/>
                <w:iCs/>
                <w:sz w:val="16"/>
                <w:szCs w:val="16"/>
                <w:lang w:eastAsia="en-US"/>
              </w:rPr>
              <w:t>Čistoća i zelenilo Konavle d.o.o. Čilipi</w:t>
            </w:r>
          </w:p>
        </w:tc>
        <w:tc>
          <w:tcPr>
            <w:tcW w:w="1276" w:type="dxa"/>
            <w:tcBorders>
              <w:top w:val="nil"/>
              <w:left w:val="nil"/>
              <w:bottom w:val="single" w:sz="4" w:space="0" w:color="auto"/>
              <w:right w:val="single" w:sz="4" w:space="0" w:color="auto"/>
            </w:tcBorders>
            <w:vAlign w:val="center"/>
          </w:tcPr>
          <w:p w14:paraId="1975FE86" w14:textId="0E80DBB6" w:rsidR="001B6553" w:rsidRPr="003A2F86" w:rsidRDefault="001B6553" w:rsidP="001B6553">
            <w:pPr>
              <w:autoSpaceDE w:val="0"/>
              <w:autoSpaceDN w:val="0"/>
              <w:adjustRightInd w:val="0"/>
              <w:spacing w:after="0" w:line="240" w:lineRule="auto"/>
              <w:jc w:val="center"/>
              <w:rPr>
                <w:rFonts w:ascii="Arial" w:eastAsia="Times New Roman" w:hAnsi="Arial" w:cs="Arial"/>
                <w:sz w:val="16"/>
                <w:szCs w:val="16"/>
              </w:rPr>
            </w:pPr>
            <w:r>
              <w:rPr>
                <w:rFonts w:ascii="Arial" w:eastAsia="Times New Roman" w:hAnsi="Arial" w:cs="Arial"/>
                <w:sz w:val="16"/>
                <w:szCs w:val="16"/>
              </w:rPr>
              <w:t>20.9.2024.</w:t>
            </w:r>
          </w:p>
        </w:tc>
        <w:tc>
          <w:tcPr>
            <w:tcW w:w="1985" w:type="dxa"/>
            <w:tcBorders>
              <w:top w:val="nil"/>
              <w:left w:val="nil"/>
              <w:bottom w:val="single" w:sz="8" w:space="0" w:color="000000"/>
              <w:right w:val="single" w:sz="8" w:space="0" w:color="000000"/>
            </w:tcBorders>
            <w:vAlign w:val="center"/>
          </w:tcPr>
          <w:p w14:paraId="5EB20C5B" w14:textId="54AE0251" w:rsidR="001B6553" w:rsidRPr="00AF60D5" w:rsidRDefault="001B6553" w:rsidP="001B6553">
            <w:pPr>
              <w:autoSpaceDE w:val="0"/>
              <w:autoSpaceDN w:val="0"/>
              <w:adjustRightInd w:val="0"/>
              <w:spacing w:after="0" w:line="240" w:lineRule="auto"/>
              <w:rPr>
                <w:sz w:val="14"/>
                <w:szCs w:val="14"/>
              </w:rPr>
            </w:pPr>
            <w:r w:rsidRPr="00AF60D5">
              <w:rPr>
                <w:rFonts w:ascii="Calibri" w:hAnsi="Calibri" w:cs="Calibri"/>
                <w:color w:val="000000"/>
                <w:sz w:val="14"/>
                <w:szCs w:val="14"/>
              </w:rPr>
              <w:t>PBZ-LEASING d.o.o. Zagreb</w:t>
            </w:r>
          </w:p>
        </w:tc>
        <w:tc>
          <w:tcPr>
            <w:tcW w:w="1275" w:type="dxa"/>
            <w:tcBorders>
              <w:top w:val="single" w:sz="4" w:space="0" w:color="auto"/>
              <w:left w:val="single" w:sz="4" w:space="0" w:color="auto"/>
              <w:bottom w:val="single" w:sz="4" w:space="0" w:color="auto"/>
              <w:right w:val="single" w:sz="4" w:space="0" w:color="auto"/>
            </w:tcBorders>
            <w:vAlign w:val="center"/>
          </w:tcPr>
          <w:p w14:paraId="6F90E94E" w14:textId="664549C2" w:rsidR="001B6553" w:rsidRPr="00AF60D5" w:rsidRDefault="001B6553" w:rsidP="001B6553">
            <w:pPr>
              <w:spacing w:after="0" w:line="240" w:lineRule="auto"/>
              <w:jc w:val="right"/>
              <w:rPr>
                <w:sz w:val="14"/>
                <w:szCs w:val="14"/>
              </w:rPr>
            </w:pPr>
            <w:r w:rsidRPr="00AF60D5">
              <w:rPr>
                <w:sz w:val="14"/>
                <w:szCs w:val="14"/>
              </w:rPr>
              <w:t>Komunalno vozilo tipa MAN, TGM 18.290 4x2 BB CH s nadogradn</w:t>
            </w:r>
            <w:r>
              <w:rPr>
                <w:sz w:val="14"/>
                <w:szCs w:val="14"/>
              </w:rPr>
              <w:t>j</w:t>
            </w:r>
            <w:r w:rsidRPr="00AF60D5">
              <w:rPr>
                <w:sz w:val="14"/>
                <w:szCs w:val="14"/>
              </w:rPr>
              <w:t>om HIAB</w:t>
            </w:r>
          </w:p>
        </w:tc>
        <w:tc>
          <w:tcPr>
            <w:tcW w:w="993" w:type="dxa"/>
            <w:tcBorders>
              <w:top w:val="single" w:sz="4" w:space="0" w:color="auto"/>
              <w:left w:val="single" w:sz="4" w:space="0" w:color="auto"/>
              <w:bottom w:val="single" w:sz="4" w:space="0" w:color="auto"/>
              <w:right w:val="single" w:sz="4" w:space="0" w:color="auto"/>
            </w:tcBorders>
            <w:vAlign w:val="center"/>
          </w:tcPr>
          <w:p w14:paraId="255344E8" w14:textId="440AE989" w:rsidR="001B6553" w:rsidRPr="003A2F86" w:rsidRDefault="001B6553" w:rsidP="001B6553">
            <w:pPr>
              <w:spacing w:after="0" w:line="240" w:lineRule="auto"/>
              <w:jc w:val="right"/>
              <w:rPr>
                <w:rFonts w:ascii="Arial" w:eastAsia="Times New Roman" w:hAnsi="Arial" w:cs="Arial"/>
                <w:iCs/>
                <w:sz w:val="14"/>
                <w:szCs w:val="14"/>
                <w:lang w:eastAsia="en-US"/>
              </w:rPr>
            </w:pPr>
            <w:r>
              <w:rPr>
                <w:rFonts w:ascii="Arial" w:eastAsia="Times New Roman" w:hAnsi="Arial" w:cs="Arial"/>
                <w:iCs/>
                <w:sz w:val="14"/>
                <w:szCs w:val="14"/>
                <w:lang w:eastAsia="en-US"/>
              </w:rPr>
              <w:t>22.10.2024.</w:t>
            </w:r>
          </w:p>
        </w:tc>
        <w:tc>
          <w:tcPr>
            <w:tcW w:w="1435" w:type="dxa"/>
            <w:tcBorders>
              <w:top w:val="single" w:sz="4" w:space="0" w:color="auto"/>
              <w:left w:val="single" w:sz="4" w:space="0" w:color="auto"/>
              <w:bottom w:val="single" w:sz="4" w:space="0" w:color="auto"/>
              <w:right w:val="single" w:sz="4" w:space="0" w:color="auto"/>
            </w:tcBorders>
            <w:vAlign w:val="center"/>
          </w:tcPr>
          <w:p w14:paraId="06873D98" w14:textId="3381CCD1" w:rsidR="001B6553" w:rsidRPr="003A2F86" w:rsidRDefault="001B6553" w:rsidP="001B6553">
            <w:pPr>
              <w:spacing w:after="0" w:line="240" w:lineRule="auto"/>
              <w:jc w:val="right"/>
              <w:rPr>
                <w:rFonts w:ascii="Arial" w:eastAsia="Times New Roman" w:hAnsi="Arial" w:cs="Arial"/>
                <w:iCs/>
                <w:sz w:val="16"/>
                <w:szCs w:val="16"/>
                <w:lang w:eastAsia="en-US"/>
              </w:rPr>
            </w:pPr>
          </w:p>
        </w:tc>
        <w:tc>
          <w:tcPr>
            <w:tcW w:w="974" w:type="dxa"/>
            <w:tcBorders>
              <w:top w:val="single" w:sz="4" w:space="0" w:color="auto"/>
              <w:left w:val="single" w:sz="4" w:space="0" w:color="auto"/>
              <w:bottom w:val="single" w:sz="4" w:space="0" w:color="auto"/>
              <w:right w:val="single" w:sz="4" w:space="0" w:color="auto"/>
            </w:tcBorders>
            <w:vAlign w:val="center"/>
          </w:tcPr>
          <w:p w14:paraId="0D52A45F" w14:textId="2FC4C4D1" w:rsidR="001B6553" w:rsidRPr="003A2F86" w:rsidRDefault="001B6553" w:rsidP="001B6553">
            <w:pPr>
              <w:spacing w:after="0" w:line="240" w:lineRule="auto"/>
              <w:jc w:val="center"/>
              <w:rPr>
                <w:rFonts w:ascii="Arial" w:eastAsia="Times New Roman" w:hAnsi="Arial" w:cs="Arial"/>
                <w:iCs/>
                <w:sz w:val="18"/>
                <w:szCs w:val="18"/>
                <w:lang w:eastAsia="en-US"/>
              </w:rPr>
            </w:pPr>
            <w:r>
              <w:rPr>
                <w:rFonts w:ascii="Arial" w:eastAsia="Times New Roman" w:hAnsi="Arial" w:cs="Arial"/>
                <w:iCs/>
                <w:sz w:val="18"/>
                <w:szCs w:val="18"/>
                <w:lang w:eastAsia="en-US"/>
              </w:rPr>
              <w:t>5 godina</w:t>
            </w:r>
          </w:p>
        </w:tc>
        <w:tc>
          <w:tcPr>
            <w:tcW w:w="851" w:type="dxa"/>
            <w:tcBorders>
              <w:top w:val="single" w:sz="4" w:space="0" w:color="auto"/>
              <w:left w:val="single" w:sz="4" w:space="0" w:color="auto"/>
              <w:bottom w:val="single" w:sz="4" w:space="0" w:color="auto"/>
              <w:right w:val="single" w:sz="4" w:space="0" w:color="auto"/>
            </w:tcBorders>
            <w:vAlign w:val="center"/>
          </w:tcPr>
          <w:p w14:paraId="3678942C" w14:textId="7CD009BE" w:rsidR="001B6553" w:rsidRPr="00AF60D5" w:rsidRDefault="001B6553" w:rsidP="001B6553">
            <w:pPr>
              <w:spacing w:after="0" w:line="240" w:lineRule="auto"/>
              <w:jc w:val="center"/>
              <w:rPr>
                <w:rFonts w:ascii="Arial" w:eastAsia="Times New Roman" w:hAnsi="Arial" w:cs="Arial"/>
                <w:iCs/>
                <w:sz w:val="14"/>
                <w:szCs w:val="14"/>
                <w:lang w:eastAsia="en-US"/>
              </w:rPr>
            </w:pPr>
            <w:r>
              <w:rPr>
                <w:rFonts w:ascii="Arial" w:eastAsia="Times New Roman" w:hAnsi="Arial" w:cs="Arial"/>
                <w:iCs/>
                <w:sz w:val="14"/>
                <w:szCs w:val="14"/>
                <w:lang w:eastAsia="en-US"/>
              </w:rPr>
              <w:t>5,14% fiksno godišnje</w:t>
            </w:r>
          </w:p>
        </w:tc>
        <w:tc>
          <w:tcPr>
            <w:tcW w:w="1417" w:type="dxa"/>
            <w:tcBorders>
              <w:top w:val="single" w:sz="4" w:space="0" w:color="auto"/>
              <w:left w:val="single" w:sz="4" w:space="0" w:color="auto"/>
              <w:bottom w:val="single" w:sz="4" w:space="0" w:color="auto"/>
              <w:right w:val="single" w:sz="4" w:space="0" w:color="auto"/>
            </w:tcBorders>
            <w:vAlign w:val="center"/>
          </w:tcPr>
          <w:p w14:paraId="4AD936A6" w14:textId="0CDC4A2B" w:rsidR="001B6553" w:rsidRPr="003A2F86" w:rsidRDefault="001B6553" w:rsidP="001B6553">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220.000,00</w:t>
            </w:r>
          </w:p>
        </w:tc>
        <w:tc>
          <w:tcPr>
            <w:tcW w:w="1560" w:type="dxa"/>
            <w:tcBorders>
              <w:top w:val="single" w:sz="4" w:space="0" w:color="auto"/>
              <w:left w:val="single" w:sz="4" w:space="0" w:color="auto"/>
              <w:bottom w:val="single" w:sz="4" w:space="0" w:color="auto"/>
              <w:right w:val="single" w:sz="4" w:space="0" w:color="auto"/>
            </w:tcBorders>
            <w:vAlign w:val="center"/>
          </w:tcPr>
          <w:p w14:paraId="0A124FE8" w14:textId="0335A47A" w:rsidR="001B6553" w:rsidRPr="003A2F86" w:rsidRDefault="001B6553" w:rsidP="001B6553">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t>-19.460,20</w:t>
            </w:r>
          </w:p>
        </w:tc>
        <w:tc>
          <w:tcPr>
            <w:tcW w:w="1417" w:type="dxa"/>
            <w:tcBorders>
              <w:top w:val="single" w:sz="4" w:space="0" w:color="auto"/>
              <w:left w:val="single" w:sz="4" w:space="0" w:color="auto"/>
              <w:bottom w:val="single" w:sz="4" w:space="0" w:color="auto"/>
              <w:right w:val="single" w:sz="4" w:space="0" w:color="auto"/>
            </w:tcBorders>
            <w:vAlign w:val="center"/>
          </w:tcPr>
          <w:p w14:paraId="7B902356" w14:textId="7014D595" w:rsidR="001B6553" w:rsidRPr="003A2F86" w:rsidRDefault="001B6553" w:rsidP="001B6553">
            <w:pPr>
              <w:spacing w:after="0" w:line="240" w:lineRule="auto"/>
              <w:jc w:val="right"/>
              <w:rPr>
                <w:rFonts w:ascii="Arial" w:eastAsia="Times New Roman" w:hAnsi="Arial" w:cs="Arial"/>
                <w:iCs/>
                <w:sz w:val="16"/>
                <w:szCs w:val="16"/>
                <w:lang w:eastAsia="en-US"/>
              </w:rPr>
            </w:pPr>
            <w:r>
              <w:rPr>
                <w:rFonts w:ascii="Arial" w:eastAsia="Times New Roman" w:hAnsi="Arial" w:cs="Arial"/>
                <w:iCs/>
                <w:sz w:val="16"/>
                <w:szCs w:val="16"/>
                <w:lang w:eastAsia="en-US"/>
              </w:rPr>
              <w:fldChar w:fldCharType="begin"/>
            </w:r>
            <w:r>
              <w:rPr>
                <w:rFonts w:ascii="Arial" w:eastAsia="Times New Roman" w:hAnsi="Arial" w:cs="Arial"/>
                <w:iCs/>
                <w:sz w:val="16"/>
                <w:szCs w:val="16"/>
                <w:lang w:eastAsia="en-US"/>
              </w:rPr>
              <w:instrText xml:space="preserve"> =SUM(LEFT) </w:instrText>
            </w:r>
            <w:r>
              <w:rPr>
                <w:rFonts w:ascii="Arial" w:eastAsia="Times New Roman" w:hAnsi="Arial" w:cs="Arial"/>
                <w:iCs/>
                <w:sz w:val="16"/>
                <w:szCs w:val="16"/>
                <w:lang w:eastAsia="en-US"/>
              </w:rPr>
              <w:fldChar w:fldCharType="separate"/>
            </w:r>
            <w:r>
              <w:rPr>
                <w:rFonts w:ascii="Arial" w:eastAsia="Times New Roman" w:hAnsi="Arial" w:cs="Arial"/>
                <w:iCs/>
                <w:noProof/>
                <w:sz w:val="16"/>
                <w:szCs w:val="16"/>
                <w:lang w:eastAsia="en-US"/>
              </w:rPr>
              <w:t>200.539,8</w:t>
            </w:r>
            <w:r>
              <w:rPr>
                <w:rFonts w:ascii="Arial" w:eastAsia="Times New Roman" w:hAnsi="Arial" w:cs="Arial"/>
                <w:iCs/>
                <w:sz w:val="16"/>
                <w:szCs w:val="16"/>
                <w:lang w:eastAsia="en-US"/>
              </w:rPr>
              <w:fldChar w:fldCharType="end"/>
            </w:r>
          </w:p>
        </w:tc>
      </w:tr>
      <w:tr w:rsidR="001B6553" w:rsidRPr="003A2F86" w14:paraId="27765636" w14:textId="77777777" w:rsidTr="00AF60D5">
        <w:trPr>
          <w:jc w:val="center"/>
        </w:trPr>
        <w:tc>
          <w:tcPr>
            <w:tcW w:w="421" w:type="dxa"/>
            <w:vAlign w:val="center"/>
          </w:tcPr>
          <w:p w14:paraId="58BAE02C" w14:textId="77777777" w:rsidR="001B6553" w:rsidRPr="003A2F86" w:rsidRDefault="001B6553" w:rsidP="001B6553">
            <w:pPr>
              <w:spacing w:after="0" w:line="240" w:lineRule="auto"/>
              <w:jc w:val="center"/>
              <w:rPr>
                <w:rFonts w:ascii="Arial" w:eastAsia="Times New Roman" w:hAnsi="Arial" w:cs="Arial"/>
                <w:b/>
                <w:iCs/>
                <w:sz w:val="18"/>
                <w:szCs w:val="16"/>
                <w:lang w:eastAsia="en-US"/>
              </w:rPr>
            </w:pPr>
          </w:p>
        </w:tc>
        <w:tc>
          <w:tcPr>
            <w:tcW w:w="1275" w:type="dxa"/>
            <w:tcBorders>
              <w:top w:val="single" w:sz="4" w:space="0" w:color="auto"/>
              <w:left w:val="nil"/>
              <w:bottom w:val="single" w:sz="8" w:space="0" w:color="000000"/>
              <w:right w:val="single" w:sz="8" w:space="0" w:color="000000"/>
            </w:tcBorders>
            <w:vAlign w:val="center"/>
          </w:tcPr>
          <w:p w14:paraId="1436DE57" w14:textId="7BB7273C" w:rsidR="001B6553" w:rsidRPr="00AF60D5" w:rsidRDefault="001B6553" w:rsidP="001B6553">
            <w:pPr>
              <w:spacing w:after="0" w:line="240" w:lineRule="auto"/>
              <w:rPr>
                <w:rFonts w:ascii="Arial" w:eastAsia="Times New Roman" w:hAnsi="Arial" w:cs="Arial"/>
                <w:b/>
                <w:iCs/>
                <w:sz w:val="16"/>
                <w:szCs w:val="16"/>
                <w:lang w:eastAsia="en-US"/>
              </w:rPr>
            </w:pPr>
            <w:r w:rsidRPr="00AF60D5">
              <w:rPr>
                <w:rFonts w:ascii="Arial" w:hAnsi="Arial" w:cs="Arial"/>
                <w:b/>
                <w:bCs/>
                <w:color w:val="000000"/>
                <w:sz w:val="16"/>
                <w:szCs w:val="16"/>
              </w:rPr>
              <w:t xml:space="preserve">SVEUKUPNO </w:t>
            </w:r>
          </w:p>
        </w:tc>
        <w:tc>
          <w:tcPr>
            <w:tcW w:w="1276" w:type="dxa"/>
            <w:tcBorders>
              <w:top w:val="single" w:sz="4" w:space="0" w:color="auto"/>
              <w:left w:val="nil"/>
              <w:bottom w:val="single" w:sz="8" w:space="0" w:color="000000"/>
              <w:right w:val="single" w:sz="8" w:space="0" w:color="000000"/>
            </w:tcBorders>
            <w:vAlign w:val="center"/>
          </w:tcPr>
          <w:p w14:paraId="17FC67BB" w14:textId="3C692A59" w:rsidR="001B6553" w:rsidRPr="003A2F86" w:rsidRDefault="001B6553" w:rsidP="001B6553">
            <w:pPr>
              <w:spacing w:after="0" w:line="240" w:lineRule="auto"/>
              <w:rPr>
                <w:rFonts w:ascii="Arial" w:eastAsia="Times New Roman" w:hAnsi="Arial" w:cs="Arial"/>
                <w:b/>
                <w:iCs/>
                <w:sz w:val="18"/>
                <w:szCs w:val="16"/>
                <w:lang w:eastAsia="en-US"/>
              </w:rPr>
            </w:pPr>
            <w:r>
              <w:rPr>
                <w:rFonts w:ascii="Arial" w:hAnsi="Arial" w:cs="Arial"/>
                <w:b/>
                <w:bCs/>
                <w:color w:val="000000"/>
                <w:sz w:val="18"/>
                <w:szCs w:val="18"/>
              </w:rPr>
              <w:t> </w:t>
            </w:r>
          </w:p>
        </w:tc>
        <w:tc>
          <w:tcPr>
            <w:tcW w:w="1985" w:type="dxa"/>
            <w:tcBorders>
              <w:top w:val="single" w:sz="4" w:space="0" w:color="auto"/>
              <w:left w:val="nil"/>
              <w:bottom w:val="single" w:sz="8" w:space="0" w:color="000000"/>
              <w:right w:val="single" w:sz="8" w:space="0" w:color="000000"/>
            </w:tcBorders>
            <w:vAlign w:val="center"/>
          </w:tcPr>
          <w:p w14:paraId="49242648" w14:textId="298A746C" w:rsidR="001B6553" w:rsidRPr="003A2F86" w:rsidRDefault="001B6553" w:rsidP="001B6553">
            <w:pPr>
              <w:spacing w:after="0" w:line="240" w:lineRule="auto"/>
              <w:rPr>
                <w:rFonts w:ascii="Arial" w:eastAsia="Times New Roman" w:hAnsi="Arial" w:cs="Arial"/>
                <w:b/>
                <w:iCs/>
                <w:sz w:val="18"/>
                <w:szCs w:val="16"/>
                <w:lang w:eastAsia="en-US"/>
              </w:rPr>
            </w:pPr>
            <w:r>
              <w:rPr>
                <w:rFonts w:ascii="Arial" w:hAnsi="Arial" w:cs="Arial"/>
                <w:b/>
                <w:bCs/>
                <w:color w:val="000000"/>
                <w:sz w:val="18"/>
                <w:szCs w:val="18"/>
              </w:rPr>
              <w:t> </w:t>
            </w:r>
          </w:p>
        </w:tc>
        <w:tc>
          <w:tcPr>
            <w:tcW w:w="1275" w:type="dxa"/>
            <w:tcBorders>
              <w:top w:val="single" w:sz="4" w:space="0" w:color="auto"/>
              <w:left w:val="nil"/>
              <w:bottom w:val="single" w:sz="8" w:space="0" w:color="000000"/>
              <w:right w:val="single" w:sz="8" w:space="0" w:color="000000"/>
            </w:tcBorders>
            <w:vAlign w:val="center"/>
          </w:tcPr>
          <w:p w14:paraId="0ADD7E96" w14:textId="3FA10FC7" w:rsidR="001B6553" w:rsidRPr="003A2F86" w:rsidRDefault="001B6553" w:rsidP="001B6553">
            <w:pPr>
              <w:spacing w:after="0" w:line="240" w:lineRule="auto"/>
              <w:jc w:val="right"/>
              <w:rPr>
                <w:rFonts w:ascii="Arial" w:eastAsia="Times New Roman" w:hAnsi="Arial" w:cs="Arial"/>
                <w:b/>
                <w:iCs/>
                <w:sz w:val="18"/>
                <w:szCs w:val="16"/>
                <w:lang w:eastAsia="en-US"/>
              </w:rPr>
            </w:pPr>
            <w:r>
              <w:rPr>
                <w:rFonts w:ascii="Arial" w:hAnsi="Arial" w:cs="Arial"/>
                <w:b/>
                <w:bCs/>
                <w:color w:val="000000"/>
                <w:sz w:val="18"/>
                <w:szCs w:val="18"/>
              </w:rPr>
              <w:t> </w:t>
            </w:r>
          </w:p>
        </w:tc>
        <w:tc>
          <w:tcPr>
            <w:tcW w:w="993" w:type="dxa"/>
            <w:tcBorders>
              <w:top w:val="single" w:sz="4" w:space="0" w:color="auto"/>
              <w:left w:val="nil"/>
              <w:bottom w:val="single" w:sz="8" w:space="0" w:color="000000"/>
              <w:right w:val="single" w:sz="8" w:space="0" w:color="000000"/>
            </w:tcBorders>
            <w:vAlign w:val="center"/>
          </w:tcPr>
          <w:p w14:paraId="6E4DFF94" w14:textId="20E71625" w:rsidR="001B6553" w:rsidRPr="003A2F86" w:rsidRDefault="001B6553" w:rsidP="001B6553">
            <w:pPr>
              <w:spacing w:after="0" w:line="240" w:lineRule="auto"/>
              <w:jc w:val="right"/>
              <w:rPr>
                <w:rFonts w:ascii="Arial" w:eastAsia="Times New Roman" w:hAnsi="Arial" w:cs="Arial"/>
                <w:b/>
                <w:iCs/>
                <w:sz w:val="18"/>
                <w:szCs w:val="16"/>
                <w:lang w:eastAsia="en-US"/>
              </w:rPr>
            </w:pPr>
            <w:r>
              <w:rPr>
                <w:rFonts w:ascii="Arial" w:hAnsi="Arial" w:cs="Arial"/>
                <w:b/>
                <w:bCs/>
                <w:color w:val="000000"/>
                <w:sz w:val="18"/>
                <w:szCs w:val="18"/>
              </w:rPr>
              <w:t> </w:t>
            </w:r>
          </w:p>
        </w:tc>
        <w:tc>
          <w:tcPr>
            <w:tcW w:w="1435" w:type="dxa"/>
            <w:tcBorders>
              <w:top w:val="single" w:sz="4" w:space="0" w:color="auto"/>
              <w:left w:val="nil"/>
              <w:bottom w:val="single" w:sz="8" w:space="0" w:color="000000"/>
              <w:right w:val="single" w:sz="8" w:space="0" w:color="000000"/>
            </w:tcBorders>
            <w:vAlign w:val="center"/>
          </w:tcPr>
          <w:p w14:paraId="20D14FB9" w14:textId="00A475B2" w:rsidR="001B6553" w:rsidRPr="003A2F86" w:rsidRDefault="001B6553" w:rsidP="001B6553">
            <w:pPr>
              <w:spacing w:after="0" w:line="240" w:lineRule="auto"/>
              <w:jc w:val="right"/>
              <w:rPr>
                <w:rFonts w:ascii="Arial" w:eastAsia="Times New Roman" w:hAnsi="Arial" w:cs="Arial"/>
                <w:b/>
                <w:iCs/>
                <w:sz w:val="18"/>
                <w:szCs w:val="16"/>
                <w:lang w:eastAsia="en-US"/>
              </w:rPr>
            </w:pPr>
            <w:r>
              <w:rPr>
                <w:rFonts w:ascii="Arial" w:hAnsi="Arial" w:cs="Arial"/>
                <w:b/>
                <w:bCs/>
                <w:color w:val="0070C0"/>
                <w:sz w:val="18"/>
                <w:szCs w:val="18"/>
              </w:rPr>
              <w:t>2.138.373,31</w:t>
            </w:r>
          </w:p>
        </w:tc>
        <w:tc>
          <w:tcPr>
            <w:tcW w:w="974" w:type="dxa"/>
            <w:tcBorders>
              <w:top w:val="single" w:sz="4" w:space="0" w:color="auto"/>
              <w:left w:val="nil"/>
              <w:bottom w:val="single" w:sz="8" w:space="0" w:color="000000"/>
              <w:right w:val="single" w:sz="8" w:space="0" w:color="000000"/>
            </w:tcBorders>
            <w:vAlign w:val="center"/>
          </w:tcPr>
          <w:p w14:paraId="18EC2EBF" w14:textId="4043CEEF" w:rsidR="001B6553" w:rsidRPr="003A2F86" w:rsidRDefault="001B6553" w:rsidP="001B6553">
            <w:pPr>
              <w:spacing w:after="0" w:line="240" w:lineRule="auto"/>
              <w:jc w:val="right"/>
              <w:rPr>
                <w:rFonts w:ascii="Arial" w:eastAsia="Times New Roman" w:hAnsi="Arial" w:cs="Arial"/>
                <w:b/>
                <w:iCs/>
                <w:sz w:val="18"/>
                <w:szCs w:val="16"/>
                <w:lang w:eastAsia="en-US"/>
              </w:rPr>
            </w:pPr>
            <w:r>
              <w:rPr>
                <w:rFonts w:ascii="Arial" w:hAnsi="Arial" w:cs="Arial"/>
                <w:b/>
                <w:bCs/>
                <w:color w:val="000000"/>
                <w:sz w:val="18"/>
                <w:szCs w:val="18"/>
              </w:rPr>
              <w:t> </w:t>
            </w:r>
          </w:p>
        </w:tc>
        <w:tc>
          <w:tcPr>
            <w:tcW w:w="851" w:type="dxa"/>
            <w:tcBorders>
              <w:top w:val="single" w:sz="4" w:space="0" w:color="auto"/>
              <w:left w:val="nil"/>
              <w:bottom w:val="single" w:sz="8" w:space="0" w:color="000000"/>
              <w:right w:val="single" w:sz="8" w:space="0" w:color="000000"/>
            </w:tcBorders>
            <w:vAlign w:val="center"/>
          </w:tcPr>
          <w:p w14:paraId="37CA1441" w14:textId="0466732E" w:rsidR="001B6553" w:rsidRPr="003A2F86" w:rsidRDefault="001B6553" w:rsidP="001B6553">
            <w:pPr>
              <w:spacing w:after="0" w:line="240" w:lineRule="auto"/>
              <w:jc w:val="right"/>
              <w:rPr>
                <w:rFonts w:ascii="Arial" w:eastAsia="Times New Roman" w:hAnsi="Arial" w:cs="Arial"/>
                <w:b/>
                <w:iCs/>
                <w:sz w:val="18"/>
                <w:szCs w:val="16"/>
                <w:lang w:eastAsia="en-US"/>
              </w:rPr>
            </w:pPr>
            <w:r>
              <w:rPr>
                <w:rFonts w:ascii="Arial" w:hAnsi="Arial" w:cs="Arial"/>
                <w:b/>
                <w:bCs/>
                <w:color w:val="000000"/>
                <w:sz w:val="18"/>
                <w:szCs w:val="18"/>
              </w:rPr>
              <w:t> </w:t>
            </w:r>
          </w:p>
        </w:tc>
        <w:tc>
          <w:tcPr>
            <w:tcW w:w="1417" w:type="dxa"/>
            <w:tcBorders>
              <w:top w:val="single" w:sz="4" w:space="0" w:color="auto"/>
              <w:left w:val="nil"/>
              <w:bottom w:val="single" w:sz="8" w:space="0" w:color="000000"/>
              <w:right w:val="single" w:sz="8" w:space="0" w:color="000000"/>
            </w:tcBorders>
            <w:vAlign w:val="center"/>
          </w:tcPr>
          <w:p w14:paraId="5E77C44C" w14:textId="6F1EDA24" w:rsidR="001B6553" w:rsidRPr="003A2F86" w:rsidRDefault="001B6553" w:rsidP="001B6553">
            <w:pPr>
              <w:spacing w:after="0" w:line="240" w:lineRule="auto"/>
              <w:jc w:val="right"/>
              <w:rPr>
                <w:rFonts w:ascii="Arial" w:eastAsia="Times New Roman" w:hAnsi="Arial" w:cs="Arial"/>
                <w:b/>
                <w:iCs/>
                <w:sz w:val="18"/>
                <w:szCs w:val="16"/>
                <w:lang w:eastAsia="en-US"/>
              </w:rPr>
            </w:pPr>
            <w:r>
              <w:rPr>
                <w:rFonts w:ascii="Arial" w:eastAsia="Times New Roman" w:hAnsi="Arial" w:cs="Arial"/>
                <w:b/>
                <w:iCs/>
                <w:sz w:val="18"/>
                <w:szCs w:val="16"/>
                <w:lang w:eastAsia="en-US"/>
              </w:rPr>
              <w:fldChar w:fldCharType="begin"/>
            </w:r>
            <w:r>
              <w:rPr>
                <w:rFonts w:ascii="Arial" w:eastAsia="Times New Roman" w:hAnsi="Arial" w:cs="Arial"/>
                <w:b/>
                <w:iCs/>
                <w:sz w:val="18"/>
                <w:szCs w:val="16"/>
                <w:lang w:eastAsia="en-US"/>
              </w:rPr>
              <w:instrText xml:space="preserve"> =SUM(ABOVE) </w:instrText>
            </w:r>
            <w:r>
              <w:rPr>
                <w:rFonts w:ascii="Arial" w:eastAsia="Times New Roman" w:hAnsi="Arial" w:cs="Arial"/>
                <w:b/>
                <w:iCs/>
                <w:sz w:val="18"/>
                <w:szCs w:val="16"/>
                <w:lang w:eastAsia="en-US"/>
              </w:rPr>
              <w:fldChar w:fldCharType="separate"/>
            </w:r>
            <w:r>
              <w:rPr>
                <w:rFonts w:ascii="Arial" w:eastAsia="Times New Roman" w:hAnsi="Arial" w:cs="Arial"/>
                <w:b/>
                <w:iCs/>
                <w:noProof/>
                <w:sz w:val="18"/>
                <w:szCs w:val="16"/>
                <w:lang w:eastAsia="en-US"/>
              </w:rPr>
              <w:t>1.298.778,97</w:t>
            </w:r>
            <w:r>
              <w:rPr>
                <w:rFonts w:ascii="Arial" w:eastAsia="Times New Roman" w:hAnsi="Arial" w:cs="Arial"/>
                <w:b/>
                <w:iCs/>
                <w:sz w:val="18"/>
                <w:szCs w:val="16"/>
                <w:lang w:eastAsia="en-US"/>
              </w:rPr>
              <w:fldChar w:fldCharType="end"/>
            </w:r>
          </w:p>
        </w:tc>
        <w:tc>
          <w:tcPr>
            <w:tcW w:w="1560" w:type="dxa"/>
            <w:tcBorders>
              <w:top w:val="single" w:sz="4" w:space="0" w:color="auto"/>
              <w:left w:val="nil"/>
              <w:bottom w:val="single" w:sz="8" w:space="0" w:color="000000"/>
              <w:right w:val="single" w:sz="8" w:space="0" w:color="000000"/>
            </w:tcBorders>
            <w:vAlign w:val="center"/>
          </w:tcPr>
          <w:p w14:paraId="33B28AC6" w14:textId="72E8D84E" w:rsidR="001B6553" w:rsidRPr="003A2F86" w:rsidRDefault="001B6553" w:rsidP="001B6553">
            <w:pPr>
              <w:spacing w:after="0" w:line="240" w:lineRule="auto"/>
              <w:jc w:val="right"/>
              <w:rPr>
                <w:rFonts w:ascii="Arial" w:eastAsia="Times New Roman" w:hAnsi="Arial" w:cs="Arial"/>
                <w:b/>
                <w:iCs/>
                <w:sz w:val="18"/>
                <w:szCs w:val="16"/>
                <w:lang w:eastAsia="en-US"/>
              </w:rPr>
            </w:pPr>
            <w:r>
              <w:rPr>
                <w:rFonts w:ascii="Arial" w:eastAsia="Times New Roman" w:hAnsi="Arial" w:cs="Arial"/>
                <w:b/>
                <w:iCs/>
                <w:sz w:val="18"/>
                <w:szCs w:val="16"/>
                <w:lang w:eastAsia="en-US"/>
              </w:rPr>
              <w:fldChar w:fldCharType="begin"/>
            </w:r>
            <w:r>
              <w:rPr>
                <w:rFonts w:ascii="Arial" w:eastAsia="Times New Roman" w:hAnsi="Arial" w:cs="Arial"/>
                <w:b/>
                <w:iCs/>
                <w:sz w:val="18"/>
                <w:szCs w:val="16"/>
                <w:lang w:eastAsia="en-US"/>
              </w:rPr>
              <w:instrText xml:space="preserve"> =SUM(ABOVE) </w:instrText>
            </w:r>
            <w:r>
              <w:rPr>
                <w:rFonts w:ascii="Arial" w:eastAsia="Times New Roman" w:hAnsi="Arial" w:cs="Arial"/>
                <w:b/>
                <w:iCs/>
                <w:sz w:val="18"/>
                <w:szCs w:val="16"/>
                <w:lang w:eastAsia="en-US"/>
              </w:rPr>
              <w:fldChar w:fldCharType="separate"/>
            </w:r>
            <w:r>
              <w:rPr>
                <w:rFonts w:ascii="Arial" w:eastAsia="Times New Roman" w:hAnsi="Arial" w:cs="Arial"/>
                <w:b/>
                <w:iCs/>
                <w:noProof/>
                <w:sz w:val="18"/>
                <w:szCs w:val="16"/>
                <w:lang w:eastAsia="en-US"/>
              </w:rPr>
              <w:t>-74.343,49</w:t>
            </w:r>
            <w:r>
              <w:rPr>
                <w:rFonts w:ascii="Arial" w:eastAsia="Times New Roman" w:hAnsi="Arial" w:cs="Arial"/>
                <w:b/>
                <w:iCs/>
                <w:sz w:val="18"/>
                <w:szCs w:val="16"/>
                <w:lang w:eastAsia="en-US"/>
              </w:rPr>
              <w:fldChar w:fldCharType="end"/>
            </w:r>
          </w:p>
        </w:tc>
        <w:tc>
          <w:tcPr>
            <w:tcW w:w="1417" w:type="dxa"/>
            <w:tcBorders>
              <w:top w:val="single" w:sz="4" w:space="0" w:color="auto"/>
              <w:left w:val="nil"/>
              <w:bottom w:val="single" w:sz="8" w:space="0" w:color="000000"/>
              <w:right w:val="single" w:sz="8" w:space="0" w:color="000000"/>
            </w:tcBorders>
            <w:vAlign w:val="center"/>
          </w:tcPr>
          <w:p w14:paraId="6382AEBC" w14:textId="6FCC60E6" w:rsidR="001B6553" w:rsidRPr="003A2F86" w:rsidRDefault="001B6553" w:rsidP="001B6553">
            <w:pPr>
              <w:spacing w:after="0" w:line="240" w:lineRule="auto"/>
              <w:jc w:val="right"/>
              <w:rPr>
                <w:rFonts w:ascii="Arial" w:eastAsia="Times New Roman" w:hAnsi="Arial" w:cs="Arial"/>
                <w:b/>
                <w:iCs/>
                <w:sz w:val="18"/>
                <w:szCs w:val="16"/>
                <w:lang w:eastAsia="en-US"/>
              </w:rPr>
            </w:pPr>
            <w:r>
              <w:rPr>
                <w:rFonts w:ascii="Arial" w:eastAsia="Times New Roman" w:hAnsi="Arial" w:cs="Arial"/>
                <w:b/>
                <w:iCs/>
                <w:sz w:val="18"/>
                <w:szCs w:val="16"/>
                <w:lang w:eastAsia="en-US"/>
              </w:rPr>
              <w:fldChar w:fldCharType="begin"/>
            </w:r>
            <w:r>
              <w:rPr>
                <w:rFonts w:ascii="Arial" w:eastAsia="Times New Roman" w:hAnsi="Arial" w:cs="Arial"/>
                <w:b/>
                <w:iCs/>
                <w:sz w:val="18"/>
                <w:szCs w:val="16"/>
                <w:lang w:eastAsia="en-US"/>
              </w:rPr>
              <w:instrText xml:space="preserve"> =SUM(ABOVE) </w:instrText>
            </w:r>
            <w:r>
              <w:rPr>
                <w:rFonts w:ascii="Arial" w:eastAsia="Times New Roman" w:hAnsi="Arial" w:cs="Arial"/>
                <w:b/>
                <w:iCs/>
                <w:sz w:val="18"/>
                <w:szCs w:val="16"/>
                <w:lang w:eastAsia="en-US"/>
              </w:rPr>
              <w:fldChar w:fldCharType="separate"/>
            </w:r>
            <w:r>
              <w:rPr>
                <w:rFonts w:ascii="Arial" w:eastAsia="Times New Roman" w:hAnsi="Arial" w:cs="Arial"/>
                <w:b/>
                <w:iCs/>
                <w:noProof/>
                <w:sz w:val="18"/>
                <w:szCs w:val="16"/>
                <w:lang w:eastAsia="en-US"/>
              </w:rPr>
              <w:t>1.224.435,48</w:t>
            </w:r>
            <w:r>
              <w:rPr>
                <w:rFonts w:ascii="Arial" w:eastAsia="Times New Roman" w:hAnsi="Arial" w:cs="Arial"/>
                <w:b/>
                <w:iCs/>
                <w:sz w:val="18"/>
                <w:szCs w:val="16"/>
                <w:lang w:eastAsia="en-US"/>
              </w:rPr>
              <w:fldChar w:fldCharType="end"/>
            </w:r>
          </w:p>
        </w:tc>
      </w:tr>
    </w:tbl>
    <w:p w14:paraId="01D62F63" w14:textId="77777777" w:rsidR="00A3648D" w:rsidRPr="003A2F86" w:rsidRDefault="00A3648D" w:rsidP="00A3648D">
      <w:pPr>
        <w:spacing w:after="0" w:line="240" w:lineRule="auto"/>
        <w:jc w:val="both"/>
        <w:rPr>
          <w:rFonts w:ascii="Arial" w:eastAsia="Calibri" w:hAnsi="Arial" w:cs="Arial"/>
          <w:i/>
          <w:iCs/>
          <w:sz w:val="18"/>
          <w:szCs w:val="18"/>
          <w:lang w:eastAsia="en-US"/>
        </w:rPr>
      </w:pPr>
      <w:r w:rsidRPr="003A2F86">
        <w:rPr>
          <w:rFonts w:ascii="Arial" w:eastAsia="Calibri" w:hAnsi="Arial" w:cs="Arial"/>
          <w:i/>
          <w:iCs/>
          <w:color w:val="007BB8"/>
          <w:sz w:val="18"/>
          <w:szCs w:val="18"/>
          <w:lang w:eastAsia="en-US"/>
        </w:rPr>
        <w:t>*</w:t>
      </w:r>
      <w:r w:rsidRPr="003A2F86">
        <w:rPr>
          <w:rFonts w:ascii="Arial" w:eastAsia="Calibri" w:hAnsi="Arial" w:cs="Arial"/>
          <w:i/>
          <w:iCs/>
          <w:sz w:val="18"/>
          <w:szCs w:val="18"/>
          <w:lang w:eastAsia="en-US"/>
        </w:rPr>
        <w:t xml:space="preserve"> Iznos zaduživanja u kunama preračunat u € primjenom fiksnog tečaja konverzije 1 EUR = 7,5345 kn</w:t>
      </w:r>
    </w:p>
    <w:p w14:paraId="10E48D4F" w14:textId="59D0EABB" w:rsidR="00A3648D" w:rsidRPr="00392B92" w:rsidRDefault="00A3648D" w:rsidP="00A3648D">
      <w:pPr>
        <w:spacing w:after="0" w:line="240" w:lineRule="auto"/>
        <w:jc w:val="both"/>
        <w:rPr>
          <w:rFonts w:ascii="Arial" w:eastAsia="Calibri" w:hAnsi="Arial" w:cs="Arial"/>
          <w:lang w:eastAsia="en-US"/>
        </w:rPr>
      </w:pPr>
    </w:p>
    <w:p w14:paraId="2B0DC6DA" w14:textId="677EBE0C" w:rsidR="00A3648D" w:rsidRPr="00AC4C54" w:rsidRDefault="001D4EF4" w:rsidP="00A3648D">
      <w:pPr>
        <w:spacing w:after="0" w:line="240" w:lineRule="auto"/>
        <w:jc w:val="both"/>
        <w:rPr>
          <w:rFonts w:ascii="Arial" w:eastAsia="Times New Roman" w:hAnsi="Arial" w:cs="Arial"/>
          <w:iCs/>
          <w:sz w:val="20"/>
          <w:szCs w:val="20"/>
          <w:lang w:eastAsia="en-US"/>
        </w:rPr>
      </w:pPr>
      <w:r w:rsidRPr="00AC4C54">
        <w:rPr>
          <w:rFonts w:ascii="Arial" w:eastAsia="Times New Roman" w:hAnsi="Arial" w:cs="Arial"/>
          <w:iCs/>
          <w:sz w:val="20"/>
          <w:szCs w:val="20"/>
          <w:lang w:eastAsia="en-US"/>
        </w:rPr>
        <w:t>U</w:t>
      </w:r>
      <w:r w:rsidR="00A3648D" w:rsidRPr="00AC4C54">
        <w:rPr>
          <w:rFonts w:ascii="Arial" w:eastAsia="Times New Roman" w:hAnsi="Arial" w:cs="Arial"/>
          <w:iCs/>
          <w:sz w:val="20"/>
          <w:szCs w:val="20"/>
          <w:lang w:eastAsia="en-US"/>
        </w:rPr>
        <w:t xml:space="preserve"> 2019. </w:t>
      </w:r>
      <w:r w:rsidRPr="00AC4C54">
        <w:rPr>
          <w:rFonts w:ascii="Arial" w:eastAsia="Times New Roman" w:hAnsi="Arial" w:cs="Arial"/>
          <w:iCs/>
          <w:sz w:val="20"/>
          <w:szCs w:val="20"/>
          <w:lang w:eastAsia="en-US"/>
        </w:rPr>
        <w:t xml:space="preserve">Općina je izdala </w:t>
      </w:r>
      <w:r w:rsidR="00A3648D" w:rsidRPr="00AC4C54">
        <w:rPr>
          <w:rFonts w:ascii="Arial" w:eastAsia="Times New Roman" w:hAnsi="Arial" w:cs="Arial"/>
          <w:iCs/>
          <w:sz w:val="20"/>
          <w:szCs w:val="20"/>
          <w:lang w:eastAsia="en-US"/>
        </w:rPr>
        <w:t>dvije suglasnost za zaduživanje društvu u vlasništvu, Čistoća i zelenilo Konavle d.o.o. u ukupnom iznosu 11.195.312,50 kn</w:t>
      </w:r>
      <w:r w:rsidR="000C61D2" w:rsidRPr="00AC4C54">
        <w:rPr>
          <w:rFonts w:ascii="Arial" w:eastAsia="Times New Roman" w:hAnsi="Arial" w:cs="Arial"/>
          <w:iCs/>
          <w:sz w:val="20"/>
          <w:szCs w:val="20"/>
          <w:lang w:eastAsia="en-US"/>
        </w:rPr>
        <w:t xml:space="preserve"> / 1.483.805,50 €</w:t>
      </w:r>
      <w:r w:rsidR="006879CE" w:rsidRPr="00AC4C54">
        <w:rPr>
          <w:rFonts w:ascii="Arial" w:eastAsia="Times New Roman" w:hAnsi="Arial" w:cs="Arial"/>
          <w:iCs/>
          <w:sz w:val="20"/>
          <w:szCs w:val="20"/>
          <w:lang w:eastAsia="en-US"/>
        </w:rPr>
        <w:t xml:space="preserve">, te u 2023. godini jednu suglasnost u iznosu </w:t>
      </w:r>
      <w:r w:rsidR="00C15E68" w:rsidRPr="00AC4C54">
        <w:rPr>
          <w:rFonts w:ascii="Arial" w:eastAsia="Times New Roman" w:hAnsi="Arial" w:cs="Arial"/>
          <w:iCs/>
          <w:sz w:val="20"/>
          <w:szCs w:val="20"/>
          <w:lang w:eastAsia="en-US"/>
        </w:rPr>
        <w:t>282.197,60 €</w:t>
      </w:r>
      <w:r w:rsidR="009975CB" w:rsidRPr="00AC4C54">
        <w:rPr>
          <w:rFonts w:ascii="Arial" w:eastAsia="Times New Roman" w:hAnsi="Arial" w:cs="Arial"/>
          <w:iCs/>
          <w:sz w:val="20"/>
          <w:szCs w:val="20"/>
          <w:lang w:eastAsia="en-US"/>
        </w:rPr>
        <w:t xml:space="preserve"> (glavnica 254.375 € i kamate)</w:t>
      </w:r>
      <w:r w:rsidRPr="00AC4C54">
        <w:rPr>
          <w:rFonts w:ascii="Arial" w:eastAsia="Times New Roman" w:hAnsi="Arial" w:cs="Arial"/>
          <w:iCs/>
          <w:sz w:val="20"/>
          <w:szCs w:val="20"/>
          <w:lang w:eastAsia="en-US"/>
        </w:rPr>
        <w:t xml:space="preserve"> i u 2024. suglasnost u iznosu </w:t>
      </w:r>
      <w:r w:rsidR="009975CB" w:rsidRPr="00AC4C54">
        <w:rPr>
          <w:rFonts w:ascii="Arial" w:eastAsia="Times New Roman" w:hAnsi="Arial" w:cs="Arial"/>
          <w:iCs/>
          <w:sz w:val="20"/>
          <w:szCs w:val="20"/>
          <w:lang w:eastAsia="en-US"/>
        </w:rPr>
        <w:t>132,505,04 € (glavnica 123.125 € i kamate)</w:t>
      </w:r>
      <w:r w:rsidR="00392B92" w:rsidRPr="00AC4C54">
        <w:rPr>
          <w:rFonts w:ascii="Arial" w:eastAsia="Times New Roman" w:hAnsi="Arial" w:cs="Arial"/>
          <w:iCs/>
          <w:sz w:val="20"/>
          <w:szCs w:val="20"/>
          <w:lang w:eastAsia="en-US"/>
        </w:rPr>
        <w:t xml:space="preserve"> i suglasnost u iznosu 305.068,40 € (glavnica 275.000 € i kamate).</w:t>
      </w:r>
    </w:p>
    <w:p w14:paraId="739698C8" w14:textId="77777777" w:rsidR="00A3648D" w:rsidRPr="00AC4C54" w:rsidRDefault="00A3648D" w:rsidP="00A3648D">
      <w:pPr>
        <w:spacing w:after="0" w:line="240" w:lineRule="auto"/>
        <w:jc w:val="both"/>
        <w:rPr>
          <w:rFonts w:ascii="Arial" w:eastAsia="Calibri" w:hAnsi="Arial" w:cs="Arial"/>
          <w:sz w:val="20"/>
          <w:szCs w:val="20"/>
          <w:lang w:eastAsia="en-US"/>
        </w:rPr>
      </w:pPr>
    </w:p>
    <w:p w14:paraId="73702877" w14:textId="72CFAEE8" w:rsidR="00A3648D" w:rsidRPr="00AC4C54" w:rsidRDefault="00266D06" w:rsidP="00A3648D">
      <w:pPr>
        <w:shd w:val="clear" w:color="auto" w:fill="F2F2F2"/>
        <w:spacing w:after="0" w:line="240" w:lineRule="auto"/>
        <w:jc w:val="both"/>
        <w:rPr>
          <w:rFonts w:ascii="Arial" w:eastAsia="Calibri" w:hAnsi="Arial" w:cs="Arial"/>
          <w:b/>
          <w:sz w:val="20"/>
          <w:szCs w:val="20"/>
          <w:u w:val="single"/>
          <w:lang w:eastAsia="en-US"/>
        </w:rPr>
      </w:pPr>
      <w:r w:rsidRPr="00AC4C54">
        <w:rPr>
          <w:rFonts w:ascii="Arial" w:eastAsia="Calibri" w:hAnsi="Arial" w:cs="Arial"/>
          <w:b/>
          <w:sz w:val="20"/>
          <w:szCs w:val="20"/>
          <w:u w:val="single"/>
          <w:shd w:val="clear" w:color="auto" w:fill="F2F2F2"/>
          <w:lang w:eastAsia="en-US"/>
        </w:rPr>
        <w:lastRenderedPageBreak/>
        <w:t>1</w:t>
      </w:r>
      <w:r w:rsidR="00A3648D" w:rsidRPr="00AC4C54">
        <w:rPr>
          <w:rFonts w:ascii="Arial" w:eastAsia="Calibri" w:hAnsi="Arial" w:cs="Arial"/>
          <w:b/>
          <w:sz w:val="20"/>
          <w:szCs w:val="20"/>
          <w:u w:val="single"/>
          <w:shd w:val="clear" w:color="auto" w:fill="F2F2F2"/>
          <w:lang w:eastAsia="en-US"/>
        </w:rPr>
        <w:t xml:space="preserve">. </w:t>
      </w:r>
      <w:r w:rsidR="00A3648D" w:rsidRPr="00AC4C54">
        <w:rPr>
          <w:rFonts w:ascii="Arial" w:eastAsia="Calibri" w:hAnsi="Arial" w:cs="Arial"/>
          <w:b/>
          <w:sz w:val="20"/>
          <w:szCs w:val="20"/>
          <w:u w:val="single"/>
          <w:shd w:val="clear" w:color="auto" w:fill="F2F2F2"/>
          <w:lang w:eastAsia="en-US"/>
        </w:rPr>
        <w:tab/>
        <w:t xml:space="preserve">Suglasnost za zaduživanje društva ČISTOĆA I ZELENILO KONAVLE D.O.O. (investicija: </w:t>
      </w:r>
      <w:r w:rsidR="00A3648D" w:rsidRPr="00AC4C54">
        <w:rPr>
          <w:rFonts w:ascii="Arial" w:eastAsia="Calibri" w:hAnsi="Arial" w:cs="Arial"/>
          <w:b/>
          <w:sz w:val="20"/>
          <w:szCs w:val="20"/>
          <w:u w:val="single"/>
          <w:shd w:val="clear" w:color="auto" w:fill="F2F2F2"/>
        </w:rPr>
        <w:t xml:space="preserve">Nabava novog komunalnog vozila za odvoz smeća </w:t>
      </w:r>
      <w:r w:rsidR="00785C66" w:rsidRPr="00785C66">
        <w:rPr>
          <w:rFonts w:ascii="Arial" w:eastAsia="Calibri" w:hAnsi="Arial" w:cs="Arial"/>
          <w:b/>
          <w:bCs/>
          <w:sz w:val="20"/>
          <w:szCs w:val="20"/>
        </w:rPr>
        <w:t>s nadogradnjom (MAN TGL 12.250 + nadogradnja FARID T1s8)</w:t>
      </w:r>
      <w:r w:rsidR="00785C66" w:rsidRPr="00AC4C54">
        <w:rPr>
          <w:rFonts w:ascii="Arial" w:eastAsia="Calibri" w:hAnsi="Arial" w:cs="Arial"/>
          <w:sz w:val="20"/>
          <w:szCs w:val="20"/>
        </w:rPr>
        <w:t xml:space="preserve"> </w:t>
      </w:r>
      <w:r w:rsidR="00A3648D" w:rsidRPr="00AC4C54">
        <w:rPr>
          <w:rFonts w:ascii="Arial" w:eastAsia="Calibri" w:hAnsi="Arial" w:cs="Arial"/>
          <w:b/>
          <w:sz w:val="20"/>
          <w:szCs w:val="20"/>
          <w:u w:val="single"/>
          <w:shd w:val="clear" w:color="auto" w:fill="F2F2F2"/>
        </w:rPr>
        <w:t>putem financijskog leasinga – Erste&amp;Steiermärkisches-Leasing d.o.o.</w:t>
      </w:r>
      <w:r w:rsidR="00A3648D" w:rsidRPr="00AC4C54">
        <w:rPr>
          <w:rFonts w:ascii="Arial" w:eastAsia="Calibri" w:hAnsi="Arial" w:cs="Arial"/>
          <w:b/>
          <w:sz w:val="20"/>
          <w:szCs w:val="20"/>
          <w:u w:val="single"/>
        </w:rPr>
        <w:t>)</w:t>
      </w:r>
    </w:p>
    <w:p w14:paraId="30CD4828" w14:textId="77777777" w:rsidR="00A3648D" w:rsidRPr="00AC4C54" w:rsidRDefault="00A3648D" w:rsidP="00A3648D">
      <w:pPr>
        <w:spacing w:after="0" w:line="240" w:lineRule="auto"/>
        <w:jc w:val="both"/>
        <w:rPr>
          <w:rFonts w:ascii="Arial" w:eastAsia="Times New Roman" w:hAnsi="Arial" w:cs="Arial"/>
          <w:bCs/>
          <w:iCs/>
          <w:sz w:val="20"/>
          <w:szCs w:val="20"/>
          <w:lang w:eastAsia="en-US"/>
        </w:rPr>
      </w:pPr>
    </w:p>
    <w:p w14:paraId="4E55E1CD" w14:textId="77777777" w:rsidR="00A3648D" w:rsidRPr="00AC4C54" w:rsidRDefault="00A3648D" w:rsidP="00A3648D">
      <w:pPr>
        <w:spacing w:after="0" w:line="240" w:lineRule="auto"/>
        <w:jc w:val="both"/>
        <w:rPr>
          <w:rFonts w:ascii="Arial" w:eastAsia="Calibri" w:hAnsi="Arial" w:cs="Arial"/>
          <w:b/>
          <w:sz w:val="20"/>
          <w:szCs w:val="20"/>
        </w:rPr>
      </w:pPr>
      <w:r w:rsidRPr="00AC4C54">
        <w:rPr>
          <w:rFonts w:ascii="Arial" w:eastAsia="Times New Roman" w:hAnsi="Arial" w:cs="Arial"/>
          <w:b/>
          <w:sz w:val="20"/>
          <w:szCs w:val="20"/>
        </w:rPr>
        <w:t xml:space="preserve">Općinsko vijeće Općine Konavle je na 14. sjednici održanoj 28. lipnja 2019., </w:t>
      </w:r>
      <w:r w:rsidRPr="00AC4C54">
        <w:rPr>
          <w:rFonts w:ascii="Arial" w:eastAsia="Times New Roman" w:hAnsi="Arial" w:cs="Arial"/>
          <w:sz w:val="20"/>
          <w:szCs w:val="20"/>
        </w:rPr>
        <w:t xml:space="preserve">na temelju članka 31. Statuta Općine Konavle (Službeni glasnik Općine Konavle broj 6/14 – pročišćeni tekst, 4/16, 2/18) i članka 90. Zakona o proračunu </w:t>
      </w:r>
      <w:r w:rsidRPr="00AC4C54">
        <w:rPr>
          <w:rFonts w:ascii="Arial" w:eastAsia="Calibri" w:hAnsi="Arial" w:cs="Arial"/>
          <w:sz w:val="20"/>
          <w:szCs w:val="20"/>
        </w:rPr>
        <w:t xml:space="preserve">(Narodne novine broj 87/08, 136/12, 15/15) </w:t>
      </w:r>
      <w:r w:rsidRPr="00AC4C54">
        <w:rPr>
          <w:rFonts w:ascii="Arial" w:eastAsia="Calibri" w:hAnsi="Arial" w:cs="Arial"/>
          <w:b/>
          <w:sz w:val="20"/>
          <w:szCs w:val="20"/>
        </w:rPr>
        <w:t xml:space="preserve">donijelo Odluku o davanju suglasnosti za kreditno zaduživanje društva Čistoća i zelenilo Konavle d.o.o. Čilipi. </w:t>
      </w:r>
    </w:p>
    <w:p w14:paraId="4FC442F3" w14:textId="77777777" w:rsidR="00A3648D" w:rsidRPr="00AC4C54" w:rsidRDefault="00A3648D" w:rsidP="00A3648D">
      <w:pPr>
        <w:spacing w:after="0" w:line="240" w:lineRule="auto"/>
        <w:jc w:val="both"/>
        <w:rPr>
          <w:rFonts w:ascii="Arial" w:eastAsia="Calibri" w:hAnsi="Arial" w:cs="Arial"/>
          <w:sz w:val="20"/>
          <w:szCs w:val="20"/>
        </w:rPr>
      </w:pPr>
    </w:p>
    <w:p w14:paraId="37493713" w14:textId="2E6F5146" w:rsidR="00A3648D" w:rsidRPr="00AC4C54" w:rsidRDefault="00A3648D" w:rsidP="00A3648D">
      <w:pPr>
        <w:spacing w:after="0" w:line="240" w:lineRule="auto"/>
        <w:jc w:val="both"/>
        <w:rPr>
          <w:rFonts w:ascii="Arial" w:eastAsia="Calibri" w:hAnsi="Arial" w:cs="Arial"/>
          <w:sz w:val="20"/>
          <w:szCs w:val="20"/>
        </w:rPr>
      </w:pPr>
      <w:r w:rsidRPr="00785C66">
        <w:rPr>
          <w:rFonts w:ascii="Arial" w:eastAsia="Calibri" w:hAnsi="Arial" w:cs="Arial"/>
          <w:b/>
          <w:bCs/>
          <w:sz w:val="20"/>
          <w:szCs w:val="20"/>
        </w:rPr>
        <w:t>Nabava kamiona za odvoz smeća s nadogradnjom</w:t>
      </w:r>
      <w:r w:rsidRPr="00AC4C54">
        <w:rPr>
          <w:rFonts w:ascii="Arial" w:eastAsia="Calibri" w:hAnsi="Arial" w:cs="Arial"/>
          <w:sz w:val="20"/>
          <w:szCs w:val="20"/>
        </w:rPr>
        <w:t xml:space="preserve"> predstavlja značajan kapitalni projekt i od važnosti je za stanovnike. </w:t>
      </w:r>
      <w:r w:rsidRPr="00AC4C54">
        <w:rPr>
          <w:rFonts w:ascii="Arial" w:eastAsia="Times New Roman" w:hAnsi="Arial" w:cs="Arial"/>
          <w:sz w:val="20"/>
          <w:szCs w:val="20"/>
        </w:rPr>
        <w:t xml:space="preserve">Pravna osoba u vlasništvu Općine </w:t>
      </w:r>
      <w:r w:rsidRPr="00AC4C54">
        <w:rPr>
          <w:rFonts w:ascii="Arial" w:eastAsia="Calibri" w:hAnsi="Arial" w:cs="Arial"/>
          <w:sz w:val="20"/>
          <w:szCs w:val="20"/>
          <w:lang w:eastAsia="en-US"/>
        </w:rPr>
        <w:t xml:space="preserve">(Čistoća i zelenilo Konavle d.o.o.) </w:t>
      </w:r>
      <w:r w:rsidRPr="00AC4C54">
        <w:rPr>
          <w:rFonts w:ascii="Arial" w:eastAsia="Times New Roman" w:hAnsi="Arial" w:cs="Arial"/>
          <w:sz w:val="20"/>
          <w:szCs w:val="20"/>
        </w:rPr>
        <w:t>je provela otvoreni postupak nabave male vrijednosti za nabavu komunalnog vozila (postupak lipanj 2019.)</w:t>
      </w:r>
      <w:r w:rsidRPr="00AC4C54">
        <w:rPr>
          <w:rFonts w:ascii="Arial" w:eastAsia="Calibri" w:hAnsi="Arial" w:cs="Arial"/>
          <w:sz w:val="20"/>
          <w:szCs w:val="20"/>
          <w:lang w:eastAsia="en-US"/>
        </w:rPr>
        <w:t xml:space="preserve">. </w:t>
      </w:r>
    </w:p>
    <w:p w14:paraId="0ED2A2BB" w14:textId="77777777" w:rsidR="00A3648D" w:rsidRPr="00AC4C54" w:rsidRDefault="00A3648D" w:rsidP="00A3648D">
      <w:pPr>
        <w:spacing w:after="0" w:line="240" w:lineRule="auto"/>
        <w:jc w:val="both"/>
        <w:rPr>
          <w:rFonts w:ascii="Arial" w:eastAsia="Times New Roman" w:hAnsi="Arial" w:cs="Arial"/>
          <w:bCs/>
          <w:iCs/>
          <w:sz w:val="20"/>
          <w:szCs w:val="20"/>
          <w:lang w:eastAsia="en-US"/>
        </w:rPr>
      </w:pPr>
    </w:p>
    <w:p w14:paraId="41B996B5" w14:textId="5C3C6FBE" w:rsidR="00A3648D" w:rsidRPr="00AC4C54" w:rsidRDefault="00A3648D" w:rsidP="00A3648D">
      <w:pPr>
        <w:spacing w:after="0" w:line="240" w:lineRule="auto"/>
        <w:jc w:val="both"/>
        <w:rPr>
          <w:rFonts w:ascii="Arial" w:eastAsia="Times New Roman" w:hAnsi="Arial" w:cs="Arial"/>
          <w:bCs/>
          <w:iCs/>
          <w:sz w:val="20"/>
          <w:szCs w:val="20"/>
          <w:lang w:eastAsia="en-US"/>
        </w:rPr>
      </w:pPr>
      <w:r w:rsidRPr="00AC4C54">
        <w:rPr>
          <w:rFonts w:ascii="Arial" w:eastAsia="Times New Roman" w:hAnsi="Arial" w:cs="Arial"/>
          <w:iCs/>
          <w:sz w:val="20"/>
          <w:szCs w:val="20"/>
          <w:lang w:eastAsia="en-US"/>
        </w:rPr>
        <w:t xml:space="preserve">Kredit je zaključen 9.7.2019. s odabranim ponuditeljem (Erste&amp;Steiermärkische S-Leasing d.o.o. Zagreb) u iznosu </w:t>
      </w:r>
      <w:r w:rsidRPr="00785C66">
        <w:rPr>
          <w:rFonts w:ascii="Arial" w:eastAsia="Times New Roman" w:hAnsi="Arial" w:cs="Arial"/>
          <w:b/>
          <w:bCs/>
          <w:iCs/>
          <w:sz w:val="20"/>
          <w:szCs w:val="20"/>
          <w:lang w:eastAsia="en-US"/>
        </w:rPr>
        <w:t xml:space="preserve">1.195.312,50 kn </w:t>
      </w:r>
      <w:r w:rsidR="000C61D2" w:rsidRPr="00785C66">
        <w:rPr>
          <w:rFonts w:ascii="Arial" w:eastAsia="Times New Roman" w:hAnsi="Arial" w:cs="Arial"/>
          <w:b/>
          <w:bCs/>
          <w:iCs/>
          <w:sz w:val="20"/>
          <w:szCs w:val="20"/>
          <w:lang w:eastAsia="en-US"/>
        </w:rPr>
        <w:t>/ 158.645,23 €</w:t>
      </w:r>
      <w:r w:rsidR="000C61D2" w:rsidRPr="00AC4C54">
        <w:rPr>
          <w:rFonts w:ascii="Arial" w:eastAsia="Times New Roman" w:hAnsi="Arial" w:cs="Arial"/>
          <w:iCs/>
          <w:sz w:val="20"/>
          <w:szCs w:val="20"/>
          <w:lang w:eastAsia="en-US"/>
        </w:rPr>
        <w:t xml:space="preserve"> </w:t>
      </w:r>
      <w:r w:rsidRPr="00AC4C54">
        <w:rPr>
          <w:rFonts w:ascii="Arial" w:eastAsia="Times New Roman" w:hAnsi="Arial" w:cs="Arial"/>
          <w:iCs/>
          <w:sz w:val="20"/>
          <w:szCs w:val="20"/>
          <w:lang w:eastAsia="en-US"/>
        </w:rPr>
        <w:t xml:space="preserve">(dugoročni kunski kredit). Obračun leasing rate vrši se u mjesecu koji slijedi mjesecu u kojem je izvršena primopredaja objekta leasinga. Leasing rate dospijevaju u roku od 8 dana, najkasnije na datum dospijeća označen na računu. </w:t>
      </w:r>
      <w:r w:rsidRPr="00AC4C54">
        <w:rPr>
          <w:rFonts w:ascii="Arial" w:eastAsia="Times New Roman" w:hAnsi="Arial" w:cs="Arial"/>
          <w:bCs/>
          <w:iCs/>
          <w:sz w:val="20"/>
          <w:szCs w:val="20"/>
          <w:lang w:eastAsia="en-US"/>
        </w:rPr>
        <w:t xml:space="preserve">Redovna kamatna stopa je fiksna i iznosi 2,90% nominalna. Sredstva osiguranja leasinga je polica automobilskog kasko osiguranja i zadužnica primatelja leasinga. </w:t>
      </w:r>
      <w:r w:rsidRPr="00AC4C54">
        <w:rPr>
          <w:rFonts w:ascii="Arial" w:eastAsia="Times New Roman" w:hAnsi="Arial" w:cs="Arial"/>
          <w:bCs/>
          <w:iCs/>
          <w:sz w:val="20"/>
          <w:szCs w:val="20"/>
          <w:u w:val="single"/>
          <w:lang w:eastAsia="en-US"/>
        </w:rPr>
        <w:t>Krajnji rok povrata leasinga je bio 1.8.2024</w:t>
      </w:r>
      <w:r w:rsidRPr="00AC4C54">
        <w:rPr>
          <w:rFonts w:ascii="Arial" w:eastAsia="Times New Roman" w:hAnsi="Arial" w:cs="Arial"/>
          <w:bCs/>
          <w:iCs/>
          <w:sz w:val="20"/>
          <w:szCs w:val="20"/>
          <w:lang w:eastAsia="en-US"/>
        </w:rPr>
        <w:t xml:space="preserve">. (dodatkom ugovoru iz travnja 2020. produžen 6 mjeseci). Društvo je u srpnju 2019. podmirilo učešće za kredit u iznosu 179.296,88 kn. </w:t>
      </w:r>
    </w:p>
    <w:p w14:paraId="07D76F21" w14:textId="77777777" w:rsidR="00A3648D" w:rsidRPr="00AC4C54" w:rsidRDefault="00A3648D" w:rsidP="00A3648D">
      <w:pPr>
        <w:spacing w:after="0" w:line="240" w:lineRule="auto"/>
        <w:jc w:val="both"/>
        <w:rPr>
          <w:rFonts w:ascii="Arial" w:eastAsia="Times New Roman" w:hAnsi="Arial" w:cs="Arial"/>
          <w:bCs/>
          <w:iCs/>
          <w:sz w:val="20"/>
          <w:szCs w:val="20"/>
          <w:lang w:eastAsia="en-US"/>
        </w:rPr>
      </w:pPr>
    </w:p>
    <w:p w14:paraId="6ECF0280" w14:textId="77777777" w:rsidR="00A3648D" w:rsidRPr="00AC4C54" w:rsidRDefault="00A3648D" w:rsidP="00A3648D">
      <w:pPr>
        <w:spacing w:after="0" w:line="240" w:lineRule="auto"/>
        <w:jc w:val="both"/>
        <w:rPr>
          <w:rFonts w:ascii="Arial" w:eastAsia="Calibri" w:hAnsi="Arial" w:cs="Arial"/>
          <w:b/>
          <w:sz w:val="20"/>
          <w:szCs w:val="20"/>
          <w:u w:val="single"/>
          <w:lang w:eastAsia="en-US"/>
        </w:rPr>
      </w:pPr>
      <w:r w:rsidRPr="00AC4C54">
        <w:rPr>
          <w:rFonts w:ascii="Arial" w:eastAsia="Calibri" w:hAnsi="Arial" w:cs="Arial"/>
          <w:sz w:val="20"/>
          <w:szCs w:val="20"/>
          <w:lang w:eastAsia="en-US"/>
        </w:rPr>
        <w:t xml:space="preserve">Dana 16. travnja 2020. je s leasing društvom zaključen dodatak ugovoru o financijskom leasingu kojim je odgođena otplata leasing rata za 6 mjeseci (od travnja do konca rujna 2020., te se otplata nastavlja 1.10.2020., pa i konačan </w:t>
      </w:r>
      <w:r w:rsidRPr="00AC4C54">
        <w:rPr>
          <w:rFonts w:ascii="Arial" w:eastAsia="Calibri" w:hAnsi="Arial" w:cs="Arial"/>
          <w:b/>
          <w:sz w:val="20"/>
          <w:szCs w:val="20"/>
          <w:u w:val="single"/>
          <w:lang w:eastAsia="en-US"/>
        </w:rPr>
        <w:t>krajnji rok povrata leasinga je 1.2.2025.</w:t>
      </w:r>
    </w:p>
    <w:p w14:paraId="169FED93" w14:textId="77777777" w:rsidR="00A3648D" w:rsidRPr="00AC4C54" w:rsidRDefault="00A3648D" w:rsidP="00A3648D">
      <w:pPr>
        <w:spacing w:after="0" w:line="240" w:lineRule="auto"/>
        <w:jc w:val="both"/>
        <w:rPr>
          <w:rFonts w:ascii="Arial" w:eastAsia="Calibri" w:hAnsi="Arial" w:cs="Arial"/>
          <w:sz w:val="20"/>
          <w:szCs w:val="20"/>
          <w:lang w:eastAsia="en-US"/>
        </w:rPr>
      </w:pPr>
      <w:r w:rsidRPr="00AC4C54">
        <w:rPr>
          <w:rFonts w:ascii="Arial" w:eastAsia="Times New Roman" w:hAnsi="Arial" w:cs="Arial"/>
          <w:bCs/>
          <w:iCs/>
          <w:sz w:val="20"/>
          <w:szCs w:val="20"/>
          <w:lang w:eastAsia="en-US"/>
        </w:rPr>
        <w:t>U razdoblju 2019-2022. podmirena je glavnica u iznosu 681.688,66 kn, kamate u iznosu 59.500,49 kn i naknada za odgodu otplate kredita 19.683,81 kn, odnosno sveukupno 760.872,96 kn.</w:t>
      </w:r>
    </w:p>
    <w:p w14:paraId="1069EAA9" w14:textId="77777777" w:rsidR="00A3648D" w:rsidRPr="00AC4C54" w:rsidRDefault="00A3648D" w:rsidP="00A3648D">
      <w:pPr>
        <w:spacing w:after="0" w:line="240" w:lineRule="auto"/>
        <w:jc w:val="both"/>
        <w:rPr>
          <w:rFonts w:ascii="Arial" w:eastAsia="Times New Roman" w:hAnsi="Arial" w:cs="Arial"/>
          <w:bCs/>
          <w:iCs/>
          <w:sz w:val="20"/>
          <w:szCs w:val="20"/>
          <w:lang w:eastAsia="en-US"/>
        </w:rPr>
      </w:pPr>
    </w:p>
    <w:p w14:paraId="4A5C0918" w14:textId="77777777" w:rsidR="00A3648D" w:rsidRPr="00AC4C54" w:rsidRDefault="00A3648D" w:rsidP="00A3648D">
      <w:pPr>
        <w:spacing w:after="0" w:line="240" w:lineRule="auto"/>
        <w:jc w:val="both"/>
        <w:rPr>
          <w:rFonts w:ascii="Arial" w:eastAsia="Times New Roman" w:hAnsi="Arial" w:cs="Arial"/>
          <w:bCs/>
          <w:iCs/>
          <w:sz w:val="20"/>
          <w:szCs w:val="20"/>
          <w:lang w:eastAsia="en-US"/>
        </w:rPr>
      </w:pPr>
      <w:r w:rsidRPr="00AC4C54">
        <w:rPr>
          <w:rFonts w:ascii="Arial" w:eastAsia="Times New Roman" w:hAnsi="Arial" w:cs="Arial"/>
          <w:bCs/>
          <w:iCs/>
          <w:sz w:val="20"/>
          <w:szCs w:val="20"/>
          <w:lang w:eastAsia="en-US"/>
        </w:rPr>
        <w:t xml:space="preserve">Društvo je u 2022. otplatilo glavnicu u iznosu 226.071,10 kn i kamate u iznosu 18.462,02 kn. </w:t>
      </w:r>
    </w:p>
    <w:p w14:paraId="47D5C44C" w14:textId="77777777" w:rsidR="00A3648D" w:rsidRPr="00AC4C54" w:rsidRDefault="00A3648D" w:rsidP="00A3648D">
      <w:pPr>
        <w:spacing w:after="0" w:line="240" w:lineRule="auto"/>
        <w:jc w:val="both"/>
        <w:rPr>
          <w:rFonts w:ascii="Arial" w:eastAsia="Times New Roman" w:hAnsi="Arial" w:cs="Arial"/>
          <w:bCs/>
          <w:iCs/>
          <w:sz w:val="20"/>
          <w:szCs w:val="20"/>
          <w:lang w:eastAsia="en-US"/>
        </w:rPr>
      </w:pPr>
      <w:r w:rsidRPr="00AC4C54">
        <w:rPr>
          <w:rFonts w:ascii="Arial" w:eastAsia="Times New Roman" w:hAnsi="Arial" w:cs="Arial"/>
          <w:bCs/>
          <w:iCs/>
          <w:sz w:val="20"/>
          <w:szCs w:val="20"/>
          <w:lang w:eastAsia="en-US"/>
        </w:rPr>
        <w:t xml:space="preserve">Koncem 2022. </w:t>
      </w:r>
      <w:r w:rsidRPr="00AC4C54">
        <w:rPr>
          <w:rFonts w:ascii="Arial" w:eastAsia="Times New Roman" w:hAnsi="Arial" w:cs="Arial"/>
          <w:b/>
          <w:bCs/>
          <w:iCs/>
          <w:sz w:val="20"/>
          <w:szCs w:val="20"/>
          <w:lang w:eastAsia="en-US"/>
        </w:rPr>
        <w:t>preostala glavnica</w:t>
      </w:r>
      <w:r w:rsidRPr="00AC4C54">
        <w:rPr>
          <w:rFonts w:ascii="Arial" w:eastAsia="Times New Roman" w:hAnsi="Arial" w:cs="Arial"/>
          <w:bCs/>
          <w:iCs/>
          <w:sz w:val="20"/>
          <w:szCs w:val="20"/>
          <w:lang w:eastAsia="en-US"/>
        </w:rPr>
        <w:t xml:space="preserve"> kredita iznosi </w:t>
      </w:r>
      <w:r w:rsidRPr="00AC4C54">
        <w:rPr>
          <w:rFonts w:ascii="Arial" w:eastAsia="Times New Roman" w:hAnsi="Arial" w:cs="Arial"/>
          <w:b/>
          <w:bCs/>
          <w:iCs/>
          <w:sz w:val="20"/>
          <w:szCs w:val="20"/>
          <w:lang w:eastAsia="en-US"/>
        </w:rPr>
        <w:t>513.623,84</w:t>
      </w:r>
      <w:r w:rsidRPr="00AC4C54">
        <w:rPr>
          <w:rFonts w:ascii="Arial" w:eastAsia="Times New Roman" w:hAnsi="Arial" w:cs="Arial"/>
          <w:bCs/>
          <w:iCs/>
          <w:sz w:val="20"/>
          <w:szCs w:val="20"/>
          <w:lang w:eastAsia="en-US"/>
        </w:rPr>
        <w:t xml:space="preserve"> kn (68.169,60 €).</w:t>
      </w:r>
    </w:p>
    <w:p w14:paraId="6ED864A2" w14:textId="58AA2246" w:rsidR="00A3648D" w:rsidRPr="00AC4C54" w:rsidRDefault="00A3648D" w:rsidP="00A3648D">
      <w:pPr>
        <w:spacing w:after="0" w:line="240" w:lineRule="auto"/>
        <w:jc w:val="both"/>
        <w:rPr>
          <w:rFonts w:ascii="Arial" w:eastAsia="Times New Roman" w:hAnsi="Arial" w:cs="Arial"/>
          <w:bCs/>
          <w:iCs/>
          <w:sz w:val="20"/>
          <w:szCs w:val="20"/>
          <w:lang w:eastAsia="en-US"/>
        </w:rPr>
      </w:pPr>
      <w:r w:rsidRPr="00AC4C54">
        <w:rPr>
          <w:rFonts w:ascii="Arial" w:eastAsia="Times New Roman" w:hAnsi="Arial" w:cs="Arial"/>
          <w:bCs/>
          <w:iCs/>
          <w:sz w:val="20"/>
          <w:szCs w:val="20"/>
          <w:lang w:eastAsia="en-US"/>
        </w:rPr>
        <w:t xml:space="preserve">Društvo je u 2023. otplatilo glavnicu u iznosu </w:t>
      </w:r>
      <w:r w:rsidR="004C43F1" w:rsidRPr="00AC4C54">
        <w:rPr>
          <w:rFonts w:ascii="Arial" w:eastAsia="Times New Roman" w:hAnsi="Arial" w:cs="Arial"/>
          <w:bCs/>
          <w:iCs/>
          <w:sz w:val="20"/>
          <w:szCs w:val="20"/>
          <w:lang w:eastAsia="en-US"/>
        </w:rPr>
        <w:t>30.886,59</w:t>
      </w:r>
      <w:r w:rsidRPr="00AC4C54">
        <w:rPr>
          <w:rFonts w:ascii="Arial" w:eastAsia="Times New Roman" w:hAnsi="Arial" w:cs="Arial"/>
          <w:bCs/>
          <w:iCs/>
          <w:sz w:val="20"/>
          <w:szCs w:val="20"/>
          <w:lang w:eastAsia="en-US"/>
        </w:rPr>
        <w:t xml:space="preserve"> € i kamate </w:t>
      </w:r>
      <w:r w:rsidR="004C43F1" w:rsidRPr="00AC4C54">
        <w:rPr>
          <w:rFonts w:ascii="Arial" w:eastAsia="Times New Roman" w:hAnsi="Arial" w:cs="Arial"/>
          <w:bCs/>
          <w:iCs/>
          <w:sz w:val="20"/>
          <w:szCs w:val="20"/>
          <w:lang w:eastAsia="en-US"/>
        </w:rPr>
        <w:t>1.568,49</w:t>
      </w:r>
      <w:r w:rsidRPr="00AC4C54">
        <w:rPr>
          <w:rFonts w:ascii="Arial" w:eastAsia="Times New Roman" w:hAnsi="Arial" w:cs="Arial"/>
          <w:bCs/>
          <w:iCs/>
          <w:sz w:val="20"/>
          <w:szCs w:val="20"/>
          <w:lang w:eastAsia="en-US"/>
        </w:rPr>
        <w:t xml:space="preserve"> €, te koncem 2023. </w:t>
      </w:r>
      <w:r w:rsidRPr="00AC4C54">
        <w:rPr>
          <w:rFonts w:ascii="Arial" w:eastAsia="Times New Roman" w:hAnsi="Arial" w:cs="Arial"/>
          <w:b/>
          <w:bCs/>
          <w:iCs/>
          <w:sz w:val="20"/>
          <w:szCs w:val="20"/>
          <w:lang w:eastAsia="en-US"/>
        </w:rPr>
        <w:t>preostala glavnica</w:t>
      </w:r>
      <w:r w:rsidRPr="00AC4C54">
        <w:rPr>
          <w:rFonts w:ascii="Arial" w:eastAsia="Times New Roman" w:hAnsi="Arial" w:cs="Arial"/>
          <w:bCs/>
          <w:iCs/>
          <w:sz w:val="20"/>
          <w:szCs w:val="20"/>
          <w:lang w:eastAsia="en-US"/>
        </w:rPr>
        <w:t xml:space="preserve"> kredita iznosi </w:t>
      </w:r>
      <w:r w:rsidR="004C43F1" w:rsidRPr="00AC4C54">
        <w:rPr>
          <w:rFonts w:ascii="Arial" w:eastAsia="Times New Roman" w:hAnsi="Arial" w:cs="Arial"/>
          <w:b/>
          <w:iCs/>
          <w:sz w:val="20"/>
          <w:szCs w:val="20"/>
          <w:lang w:eastAsia="en-US"/>
        </w:rPr>
        <w:t>37.283,01</w:t>
      </w:r>
      <w:r w:rsidRPr="00AC4C54">
        <w:rPr>
          <w:rFonts w:ascii="Arial" w:eastAsia="Times New Roman" w:hAnsi="Arial" w:cs="Arial"/>
          <w:b/>
          <w:iCs/>
          <w:sz w:val="20"/>
          <w:szCs w:val="20"/>
          <w:lang w:eastAsia="en-US"/>
        </w:rPr>
        <w:t xml:space="preserve"> €.</w:t>
      </w:r>
    </w:p>
    <w:p w14:paraId="509BFC1B" w14:textId="5345336A" w:rsidR="00266D06" w:rsidRPr="00AC4C54" w:rsidRDefault="00266D06" w:rsidP="00266D06">
      <w:pPr>
        <w:spacing w:after="0" w:line="240" w:lineRule="auto"/>
        <w:jc w:val="both"/>
        <w:rPr>
          <w:rFonts w:ascii="Arial" w:eastAsia="Times New Roman" w:hAnsi="Arial" w:cs="Arial"/>
          <w:bCs/>
          <w:iCs/>
          <w:sz w:val="20"/>
          <w:szCs w:val="20"/>
          <w:lang w:eastAsia="en-US"/>
        </w:rPr>
      </w:pPr>
      <w:r w:rsidRPr="00AC4C54">
        <w:rPr>
          <w:rFonts w:ascii="Arial" w:eastAsia="Times New Roman" w:hAnsi="Arial" w:cs="Arial"/>
          <w:bCs/>
          <w:iCs/>
          <w:sz w:val="20"/>
          <w:szCs w:val="20"/>
          <w:lang w:eastAsia="en-US"/>
        </w:rPr>
        <w:t xml:space="preserve">Društvo je u 2024. otplatilo glavnicu u iznosu </w:t>
      </w:r>
      <w:r w:rsidR="00832352" w:rsidRPr="00AC4C54">
        <w:rPr>
          <w:rFonts w:ascii="Arial" w:eastAsia="Times New Roman" w:hAnsi="Arial" w:cs="Arial"/>
          <w:bCs/>
          <w:iCs/>
          <w:sz w:val="20"/>
          <w:szCs w:val="20"/>
          <w:lang w:eastAsia="en-US"/>
        </w:rPr>
        <w:t>31.794,29</w:t>
      </w:r>
      <w:r w:rsidRPr="00AC4C54">
        <w:rPr>
          <w:rFonts w:ascii="Arial" w:eastAsia="Times New Roman" w:hAnsi="Arial" w:cs="Arial"/>
          <w:bCs/>
          <w:iCs/>
          <w:sz w:val="20"/>
          <w:szCs w:val="20"/>
          <w:lang w:eastAsia="en-US"/>
        </w:rPr>
        <w:t xml:space="preserve"> € i kamate u iznosu </w:t>
      </w:r>
      <w:r w:rsidR="00832352" w:rsidRPr="00AC4C54">
        <w:rPr>
          <w:rFonts w:ascii="Arial" w:eastAsia="Times New Roman" w:hAnsi="Arial" w:cs="Arial"/>
          <w:bCs/>
          <w:iCs/>
          <w:sz w:val="20"/>
          <w:szCs w:val="20"/>
          <w:lang w:eastAsia="en-US"/>
        </w:rPr>
        <w:t>676,82</w:t>
      </w:r>
      <w:r w:rsidRPr="00AC4C54">
        <w:rPr>
          <w:rFonts w:ascii="Arial" w:eastAsia="Times New Roman" w:hAnsi="Arial" w:cs="Arial"/>
          <w:bCs/>
          <w:iCs/>
          <w:sz w:val="20"/>
          <w:szCs w:val="20"/>
          <w:lang w:eastAsia="en-US"/>
        </w:rPr>
        <w:t xml:space="preserve"> €, te koncem 2024. </w:t>
      </w:r>
      <w:r w:rsidRPr="00AC4C54">
        <w:rPr>
          <w:rFonts w:ascii="Arial" w:eastAsia="Times New Roman" w:hAnsi="Arial" w:cs="Arial"/>
          <w:b/>
          <w:bCs/>
          <w:iCs/>
          <w:sz w:val="20"/>
          <w:szCs w:val="20"/>
          <w:lang w:eastAsia="en-US"/>
        </w:rPr>
        <w:t>preostala glavnica</w:t>
      </w:r>
      <w:r w:rsidRPr="00AC4C54">
        <w:rPr>
          <w:rFonts w:ascii="Arial" w:eastAsia="Times New Roman" w:hAnsi="Arial" w:cs="Arial"/>
          <w:bCs/>
          <w:iCs/>
          <w:sz w:val="20"/>
          <w:szCs w:val="20"/>
          <w:lang w:eastAsia="en-US"/>
        </w:rPr>
        <w:t xml:space="preserve"> kredita iznosi </w:t>
      </w:r>
      <w:r w:rsidR="00832352" w:rsidRPr="00AC4C54">
        <w:rPr>
          <w:rFonts w:ascii="Arial" w:eastAsia="Times New Roman" w:hAnsi="Arial" w:cs="Arial"/>
          <w:b/>
          <w:iCs/>
          <w:sz w:val="20"/>
          <w:szCs w:val="20"/>
          <w:lang w:eastAsia="en-US"/>
        </w:rPr>
        <w:t>5.488,72</w:t>
      </w:r>
      <w:r w:rsidRPr="00AC4C54">
        <w:rPr>
          <w:rFonts w:ascii="Arial" w:eastAsia="Times New Roman" w:hAnsi="Arial" w:cs="Arial"/>
          <w:b/>
          <w:iCs/>
          <w:sz w:val="20"/>
          <w:szCs w:val="20"/>
          <w:lang w:eastAsia="en-US"/>
        </w:rPr>
        <w:t xml:space="preserve"> €.</w:t>
      </w:r>
    </w:p>
    <w:p w14:paraId="7E99908F" w14:textId="4B3938D1" w:rsidR="00A3648D" w:rsidRDefault="001B6553" w:rsidP="00A3648D">
      <w:pPr>
        <w:spacing w:after="0" w:line="240" w:lineRule="auto"/>
        <w:jc w:val="both"/>
        <w:rPr>
          <w:rFonts w:ascii="Arial" w:eastAsia="Calibri" w:hAnsi="Arial" w:cs="Arial"/>
          <w:sz w:val="20"/>
          <w:szCs w:val="20"/>
          <w:lang w:eastAsia="en-US"/>
        </w:rPr>
      </w:pPr>
      <w:r w:rsidRPr="00AC4C54">
        <w:rPr>
          <w:rFonts w:ascii="Arial" w:eastAsia="Times New Roman" w:hAnsi="Arial" w:cs="Arial"/>
          <w:bCs/>
          <w:iCs/>
          <w:sz w:val="20"/>
          <w:szCs w:val="20"/>
          <w:lang w:eastAsia="en-US"/>
        </w:rPr>
        <w:t>Društvo je u 20</w:t>
      </w:r>
      <w:r>
        <w:rPr>
          <w:rFonts w:ascii="Arial" w:eastAsia="Times New Roman" w:hAnsi="Arial" w:cs="Arial"/>
          <w:bCs/>
          <w:iCs/>
          <w:sz w:val="20"/>
          <w:szCs w:val="20"/>
          <w:lang w:eastAsia="en-US"/>
        </w:rPr>
        <w:t>25</w:t>
      </w:r>
      <w:r w:rsidRPr="00AC4C54">
        <w:rPr>
          <w:rFonts w:ascii="Arial" w:eastAsia="Times New Roman" w:hAnsi="Arial" w:cs="Arial"/>
          <w:bCs/>
          <w:iCs/>
          <w:sz w:val="20"/>
          <w:szCs w:val="20"/>
          <w:lang w:eastAsia="en-US"/>
        </w:rPr>
        <w:t xml:space="preserve">. </w:t>
      </w:r>
      <w:r>
        <w:rPr>
          <w:rFonts w:ascii="Arial" w:eastAsia="Times New Roman" w:hAnsi="Arial" w:cs="Arial"/>
          <w:bCs/>
          <w:iCs/>
          <w:sz w:val="20"/>
          <w:szCs w:val="20"/>
          <w:lang w:eastAsia="en-US"/>
        </w:rPr>
        <w:t xml:space="preserve">u cijelosti </w:t>
      </w:r>
      <w:r w:rsidRPr="00AC4C54">
        <w:rPr>
          <w:rFonts w:ascii="Arial" w:eastAsia="Times New Roman" w:hAnsi="Arial" w:cs="Arial"/>
          <w:bCs/>
          <w:iCs/>
          <w:sz w:val="20"/>
          <w:szCs w:val="20"/>
          <w:lang w:eastAsia="en-US"/>
        </w:rPr>
        <w:t xml:space="preserve">otplatilo glavnicu u iznosu </w:t>
      </w:r>
      <w:r>
        <w:rPr>
          <w:rFonts w:ascii="Arial" w:eastAsia="Times New Roman" w:hAnsi="Arial" w:cs="Arial"/>
          <w:bCs/>
          <w:iCs/>
          <w:sz w:val="20"/>
          <w:szCs w:val="20"/>
          <w:lang w:eastAsia="en-US"/>
        </w:rPr>
        <w:t>5.488,72</w:t>
      </w:r>
      <w:r w:rsidRPr="00AC4C54">
        <w:rPr>
          <w:rFonts w:ascii="Arial" w:eastAsia="Times New Roman" w:hAnsi="Arial" w:cs="Arial"/>
          <w:bCs/>
          <w:iCs/>
          <w:sz w:val="20"/>
          <w:szCs w:val="20"/>
          <w:lang w:eastAsia="en-US"/>
        </w:rPr>
        <w:t xml:space="preserve"> € i kamate u iznosu </w:t>
      </w:r>
      <w:r>
        <w:rPr>
          <w:rFonts w:ascii="Arial" w:eastAsia="Times New Roman" w:hAnsi="Arial" w:cs="Arial"/>
          <w:bCs/>
          <w:iCs/>
          <w:sz w:val="20"/>
          <w:szCs w:val="20"/>
          <w:lang w:eastAsia="en-US"/>
        </w:rPr>
        <w:t>25,49</w:t>
      </w:r>
      <w:r w:rsidRPr="00AC4C54">
        <w:rPr>
          <w:rFonts w:ascii="Arial" w:eastAsia="Times New Roman" w:hAnsi="Arial" w:cs="Arial"/>
          <w:bCs/>
          <w:iCs/>
          <w:sz w:val="20"/>
          <w:szCs w:val="20"/>
          <w:lang w:eastAsia="en-US"/>
        </w:rPr>
        <w:t xml:space="preserve"> €</w:t>
      </w:r>
      <w:r>
        <w:rPr>
          <w:rFonts w:ascii="Arial" w:eastAsia="Times New Roman" w:hAnsi="Arial" w:cs="Arial"/>
          <w:bCs/>
          <w:iCs/>
          <w:sz w:val="20"/>
          <w:szCs w:val="20"/>
          <w:lang w:eastAsia="en-US"/>
        </w:rPr>
        <w:t>.</w:t>
      </w:r>
    </w:p>
    <w:p w14:paraId="1C4C00F4" w14:textId="77777777" w:rsidR="001B6553" w:rsidRDefault="001B6553" w:rsidP="00A3648D">
      <w:pPr>
        <w:spacing w:after="0" w:line="240" w:lineRule="auto"/>
        <w:jc w:val="both"/>
        <w:rPr>
          <w:rFonts w:ascii="Arial" w:eastAsia="Calibri" w:hAnsi="Arial" w:cs="Arial"/>
          <w:sz w:val="20"/>
          <w:szCs w:val="20"/>
          <w:lang w:eastAsia="en-US"/>
        </w:rPr>
      </w:pPr>
    </w:p>
    <w:p w14:paraId="21A68E75" w14:textId="77777777" w:rsidR="001B6553" w:rsidRPr="00AC4C54" w:rsidRDefault="001B6553" w:rsidP="00A3648D">
      <w:pPr>
        <w:spacing w:after="0" w:line="240" w:lineRule="auto"/>
        <w:jc w:val="both"/>
        <w:rPr>
          <w:rFonts w:ascii="Arial" w:eastAsia="Calibri" w:hAnsi="Arial" w:cs="Arial"/>
          <w:sz w:val="20"/>
          <w:szCs w:val="20"/>
          <w:lang w:eastAsia="en-US"/>
        </w:rPr>
      </w:pPr>
    </w:p>
    <w:p w14:paraId="644BCBF0" w14:textId="6F9C110A" w:rsidR="00A3648D" w:rsidRPr="00AC4C54" w:rsidRDefault="00266D06" w:rsidP="00A3648D">
      <w:pPr>
        <w:shd w:val="clear" w:color="auto" w:fill="F2F2F2"/>
        <w:spacing w:after="0" w:line="240" w:lineRule="auto"/>
        <w:jc w:val="both"/>
        <w:rPr>
          <w:rFonts w:ascii="Arial" w:eastAsia="Calibri" w:hAnsi="Arial" w:cs="Arial"/>
          <w:b/>
          <w:sz w:val="20"/>
          <w:szCs w:val="20"/>
          <w:u w:val="single"/>
          <w:lang w:eastAsia="en-US"/>
        </w:rPr>
      </w:pPr>
      <w:r w:rsidRPr="00AC4C54">
        <w:rPr>
          <w:rFonts w:ascii="Arial" w:eastAsia="Calibri" w:hAnsi="Arial" w:cs="Arial"/>
          <w:b/>
          <w:sz w:val="20"/>
          <w:szCs w:val="20"/>
          <w:u w:val="single"/>
          <w:lang w:eastAsia="en-US"/>
        </w:rPr>
        <w:t>2</w:t>
      </w:r>
      <w:r w:rsidR="00A3648D" w:rsidRPr="00AC4C54">
        <w:rPr>
          <w:rFonts w:ascii="Arial" w:eastAsia="Calibri" w:hAnsi="Arial" w:cs="Arial"/>
          <w:b/>
          <w:sz w:val="20"/>
          <w:szCs w:val="20"/>
          <w:u w:val="single"/>
          <w:lang w:eastAsia="en-US"/>
        </w:rPr>
        <w:t xml:space="preserve">. </w:t>
      </w:r>
      <w:r w:rsidR="00A3648D" w:rsidRPr="00AC4C54">
        <w:rPr>
          <w:rFonts w:ascii="Arial" w:eastAsia="Calibri" w:hAnsi="Arial" w:cs="Arial"/>
          <w:b/>
          <w:sz w:val="20"/>
          <w:szCs w:val="20"/>
          <w:u w:val="single"/>
          <w:lang w:eastAsia="en-US"/>
        </w:rPr>
        <w:tab/>
        <w:t xml:space="preserve">Suglasnost za zaduživanje društva ČISTOĆA I ZELENILO KONAVLE D.O.O. (investicija </w:t>
      </w:r>
      <w:r w:rsidR="00A3648D" w:rsidRPr="00AC4C54">
        <w:rPr>
          <w:rFonts w:ascii="Arial" w:eastAsia="Calibri" w:hAnsi="Arial" w:cs="Arial"/>
          <w:b/>
          <w:sz w:val="20"/>
          <w:szCs w:val="20"/>
          <w:u w:val="single"/>
        </w:rPr>
        <w:t>Izgradnja poslovno trgovačke građevine s tržnicom, Cavtat – OTP</w:t>
      </w:r>
      <w:r w:rsidR="00A3648D" w:rsidRPr="00AC4C54">
        <w:rPr>
          <w:rFonts w:ascii="Arial" w:eastAsia="Times New Roman" w:hAnsi="Arial" w:cs="Arial"/>
          <w:iCs/>
          <w:sz w:val="20"/>
          <w:szCs w:val="20"/>
          <w:u w:val="single"/>
          <w:lang w:eastAsia="en-US"/>
        </w:rPr>
        <w:t xml:space="preserve"> banka Hrvatska d.d. Zadar</w:t>
      </w:r>
      <w:r w:rsidR="00A3648D" w:rsidRPr="00AC4C54">
        <w:rPr>
          <w:rFonts w:ascii="Arial" w:eastAsia="Calibri" w:hAnsi="Arial" w:cs="Arial"/>
          <w:b/>
          <w:sz w:val="20"/>
          <w:szCs w:val="20"/>
          <w:u w:val="single"/>
        </w:rPr>
        <w:t xml:space="preserve"> )</w:t>
      </w:r>
    </w:p>
    <w:p w14:paraId="4ADB981E" w14:textId="77777777" w:rsidR="00A3648D" w:rsidRPr="00AC4C54" w:rsidRDefault="00A3648D" w:rsidP="00A3648D">
      <w:pPr>
        <w:spacing w:after="0" w:line="240" w:lineRule="auto"/>
        <w:jc w:val="both"/>
        <w:rPr>
          <w:rFonts w:ascii="Arial" w:eastAsia="Calibri" w:hAnsi="Arial" w:cs="Arial"/>
          <w:sz w:val="20"/>
          <w:szCs w:val="20"/>
          <w:lang w:eastAsia="en-US"/>
        </w:rPr>
      </w:pPr>
    </w:p>
    <w:p w14:paraId="6567A03F" w14:textId="77777777" w:rsidR="00A3648D" w:rsidRPr="00AC4C54" w:rsidRDefault="00A3648D" w:rsidP="00A3648D">
      <w:pPr>
        <w:spacing w:after="0" w:line="240" w:lineRule="auto"/>
        <w:jc w:val="both"/>
        <w:rPr>
          <w:rFonts w:ascii="Arial" w:eastAsia="Calibri" w:hAnsi="Arial" w:cs="Arial"/>
          <w:sz w:val="20"/>
          <w:szCs w:val="20"/>
        </w:rPr>
      </w:pPr>
      <w:r w:rsidRPr="00AC4C54">
        <w:rPr>
          <w:rFonts w:ascii="Arial" w:eastAsia="Times New Roman" w:hAnsi="Arial" w:cs="Arial"/>
          <w:b/>
          <w:sz w:val="20"/>
          <w:szCs w:val="20"/>
        </w:rPr>
        <w:t xml:space="preserve">Općinsko vijeće Općine Konavle je na 18. sjednici održanoj 27. prosinca 2019., na temelju članka 90. Zakona o proračunu </w:t>
      </w:r>
      <w:r w:rsidRPr="00AC4C54">
        <w:rPr>
          <w:rFonts w:ascii="Arial" w:eastAsia="Calibri" w:hAnsi="Arial" w:cs="Arial"/>
          <w:b/>
          <w:sz w:val="20"/>
          <w:szCs w:val="20"/>
        </w:rPr>
        <w:t xml:space="preserve">(Narodne novine broj 87/08, 136/12, 15/15) donijelo Odluku o davanju suglasnosti za kreditno zaduživanje društva Čistoća i zelenilo Konavle d.o.o. Čilipi. </w:t>
      </w:r>
      <w:r w:rsidRPr="00AC4C54">
        <w:rPr>
          <w:rFonts w:ascii="Arial" w:eastAsia="Calibri" w:hAnsi="Arial" w:cs="Arial"/>
          <w:sz w:val="20"/>
          <w:szCs w:val="20"/>
        </w:rPr>
        <w:t xml:space="preserve">(odluka objavljena u Službenom glasniku Općine Konavle 12/2019). Čistoća i zelenilo Konavle d.o.o. se dugoročno zadužila za investiciju: Izgradnja poslovno trgovačke građevine s tržnicom, Cavtat  - refinanciranje kredita od 24.3.2017. na rok od 10 godina bez jamstva Općine. </w:t>
      </w:r>
    </w:p>
    <w:p w14:paraId="537B7990" w14:textId="77777777" w:rsidR="00A3648D" w:rsidRPr="00AC4C54" w:rsidRDefault="00A3648D" w:rsidP="00A3648D">
      <w:pPr>
        <w:spacing w:after="0" w:line="240" w:lineRule="auto"/>
        <w:jc w:val="both"/>
        <w:rPr>
          <w:rFonts w:ascii="Arial" w:eastAsia="Calibri" w:hAnsi="Arial" w:cs="Arial"/>
          <w:sz w:val="20"/>
          <w:szCs w:val="20"/>
        </w:rPr>
      </w:pPr>
    </w:p>
    <w:p w14:paraId="42F359A3" w14:textId="17B6AED7" w:rsidR="00A3648D" w:rsidRPr="00AC4C54" w:rsidRDefault="00A3648D" w:rsidP="00A3648D">
      <w:pPr>
        <w:spacing w:after="0" w:line="240" w:lineRule="auto"/>
        <w:jc w:val="both"/>
        <w:rPr>
          <w:rFonts w:ascii="Arial" w:eastAsia="Times New Roman" w:hAnsi="Arial" w:cs="Arial"/>
          <w:bCs/>
          <w:iCs/>
          <w:sz w:val="20"/>
          <w:szCs w:val="20"/>
          <w:lang w:eastAsia="en-US"/>
        </w:rPr>
      </w:pPr>
      <w:r w:rsidRPr="00AC4C54">
        <w:rPr>
          <w:rFonts w:ascii="Arial" w:eastAsia="Times New Roman" w:hAnsi="Arial" w:cs="Arial"/>
          <w:iCs/>
          <w:sz w:val="20"/>
          <w:szCs w:val="20"/>
          <w:lang w:eastAsia="en-US"/>
        </w:rPr>
        <w:t xml:space="preserve">Kredit je zaključen (27.12.2019.) s poslovnom bankom (OTP banka d.d. Split) u iznosu 10.000.000 kn </w:t>
      </w:r>
      <w:r w:rsidR="000C61D2" w:rsidRPr="00AC4C54">
        <w:rPr>
          <w:rFonts w:ascii="Arial" w:eastAsia="Times New Roman" w:hAnsi="Arial" w:cs="Arial"/>
          <w:iCs/>
          <w:sz w:val="20"/>
          <w:szCs w:val="20"/>
          <w:lang w:eastAsia="en-US"/>
        </w:rPr>
        <w:t xml:space="preserve">/ 1.327.228,08 € </w:t>
      </w:r>
      <w:r w:rsidRPr="00AC4C54">
        <w:rPr>
          <w:rFonts w:ascii="Arial" w:eastAsia="Times New Roman" w:hAnsi="Arial" w:cs="Arial"/>
          <w:iCs/>
          <w:sz w:val="20"/>
          <w:szCs w:val="20"/>
          <w:lang w:eastAsia="en-US"/>
        </w:rPr>
        <w:t xml:space="preserve">(dugoročni kunski kredit). </w:t>
      </w:r>
      <w:r w:rsidRPr="00AC4C54">
        <w:rPr>
          <w:rFonts w:ascii="Arial" w:eastAsia="Times New Roman" w:hAnsi="Arial" w:cs="Arial"/>
          <w:bCs/>
          <w:iCs/>
          <w:sz w:val="20"/>
          <w:szCs w:val="20"/>
          <w:lang w:eastAsia="en-US"/>
        </w:rPr>
        <w:t xml:space="preserve">Redovna kamatna stopa je fiksna i iznosi 1,14% godišnje, a obračunava se i plaća mjesečno. Zatezna kamatna stopa je u visini zakonske zatezne kamate. Nema troška odobravanja kredita. Sredstva osiguranja su 1 vlastita bjanko akceptirana mjenica bez protesta, zadužnica Korisnika kredita, te ugovor o cesiji s najmoprimcima izgrađene zgrade na kojoj je zasnovano založno pravo na pravu građenja. Prvi obrok kredita dospijeva 31.1.2020. Otplata je u 120 redovitih mjesečnih obroka kredita jednake glavnice, te je </w:t>
      </w:r>
      <w:r w:rsidRPr="00AC4C54">
        <w:rPr>
          <w:rFonts w:ascii="Arial" w:eastAsia="Times New Roman" w:hAnsi="Arial" w:cs="Arial"/>
          <w:bCs/>
          <w:iCs/>
          <w:sz w:val="20"/>
          <w:szCs w:val="20"/>
          <w:u w:val="single"/>
          <w:lang w:eastAsia="en-US"/>
        </w:rPr>
        <w:t xml:space="preserve">krajnji rok povrata kredita bio 31.12.2029. </w:t>
      </w:r>
      <w:r w:rsidRPr="00AC4C54">
        <w:rPr>
          <w:rFonts w:ascii="Arial" w:eastAsia="Times New Roman" w:hAnsi="Arial" w:cs="Arial"/>
          <w:bCs/>
          <w:iCs/>
          <w:sz w:val="20"/>
          <w:szCs w:val="20"/>
          <w:lang w:eastAsia="en-US"/>
        </w:rPr>
        <w:t>(dodatkom ugovoru iz svibnja 2020. produžen jednu godinu).</w:t>
      </w:r>
    </w:p>
    <w:p w14:paraId="0CC29145" w14:textId="77777777" w:rsidR="00A3648D" w:rsidRPr="00AC4C54" w:rsidRDefault="00A3648D" w:rsidP="00A3648D">
      <w:pPr>
        <w:spacing w:after="0" w:line="240" w:lineRule="auto"/>
        <w:jc w:val="both"/>
        <w:rPr>
          <w:rFonts w:ascii="Arial" w:eastAsia="Calibri" w:hAnsi="Arial" w:cs="Arial"/>
          <w:sz w:val="20"/>
          <w:szCs w:val="20"/>
        </w:rPr>
      </w:pPr>
    </w:p>
    <w:p w14:paraId="1F4BA962" w14:textId="77777777" w:rsidR="00A3648D" w:rsidRPr="00AC4C54" w:rsidRDefault="00A3648D" w:rsidP="00A3648D">
      <w:pPr>
        <w:spacing w:after="0" w:line="240" w:lineRule="auto"/>
        <w:jc w:val="both"/>
        <w:rPr>
          <w:rFonts w:ascii="Arial" w:eastAsia="Calibri" w:hAnsi="Arial" w:cs="Arial"/>
          <w:b/>
          <w:sz w:val="20"/>
          <w:szCs w:val="20"/>
          <w:u w:val="single"/>
          <w:lang w:eastAsia="en-US"/>
        </w:rPr>
      </w:pPr>
      <w:r w:rsidRPr="00AC4C54">
        <w:rPr>
          <w:rFonts w:ascii="Arial" w:eastAsia="Calibri" w:hAnsi="Arial" w:cs="Arial"/>
          <w:sz w:val="20"/>
          <w:szCs w:val="20"/>
          <w:lang w:eastAsia="en-US"/>
        </w:rPr>
        <w:t xml:space="preserve">Dana 29. svibnja 2020. je s poslovnom bankom zaključen dodatak ugovoru o kreditu kojim je odgođena otplata kredita za 1 godinu (od 1.3.20 do 31.3.2021, te se otplata nastavlja 31.03.2021., pa je i konačan </w:t>
      </w:r>
      <w:r w:rsidRPr="00AC4C54">
        <w:rPr>
          <w:rFonts w:ascii="Arial" w:eastAsia="Calibri" w:hAnsi="Arial" w:cs="Arial"/>
          <w:b/>
          <w:sz w:val="20"/>
          <w:szCs w:val="20"/>
          <w:u w:val="single"/>
          <w:lang w:eastAsia="en-US"/>
        </w:rPr>
        <w:t>krajnji rok povrata kredita je 31.12.2030.</w:t>
      </w:r>
    </w:p>
    <w:p w14:paraId="34ADD99D" w14:textId="77777777" w:rsidR="00A3648D" w:rsidRPr="00AC4C54" w:rsidRDefault="00A3648D" w:rsidP="00A3648D">
      <w:pPr>
        <w:spacing w:after="0" w:line="240" w:lineRule="auto"/>
        <w:jc w:val="both"/>
        <w:rPr>
          <w:rFonts w:ascii="Arial" w:eastAsia="Times New Roman" w:hAnsi="Arial" w:cs="Arial"/>
          <w:bCs/>
          <w:iCs/>
          <w:sz w:val="20"/>
          <w:szCs w:val="20"/>
          <w:lang w:eastAsia="en-US"/>
        </w:rPr>
      </w:pPr>
    </w:p>
    <w:p w14:paraId="0C821AAE" w14:textId="77777777" w:rsidR="00A3648D" w:rsidRPr="00AC4C54" w:rsidRDefault="00A3648D" w:rsidP="00A3648D">
      <w:pPr>
        <w:spacing w:after="0" w:line="240" w:lineRule="auto"/>
        <w:jc w:val="both"/>
        <w:rPr>
          <w:rFonts w:ascii="Arial" w:eastAsia="Calibri" w:hAnsi="Arial" w:cs="Arial"/>
          <w:sz w:val="20"/>
          <w:szCs w:val="20"/>
          <w:lang w:eastAsia="en-US"/>
        </w:rPr>
      </w:pPr>
      <w:r w:rsidRPr="00AC4C54">
        <w:rPr>
          <w:rFonts w:ascii="Arial" w:eastAsia="Times New Roman" w:hAnsi="Arial" w:cs="Arial"/>
          <w:bCs/>
          <w:iCs/>
          <w:sz w:val="20"/>
          <w:szCs w:val="20"/>
          <w:lang w:eastAsia="en-US"/>
        </w:rPr>
        <w:t>U razdoblju 2019-2022. podmirena je glavnica u iznosu 1.916.666,59 kn, kamate u iznosu 310.063,75 kn, odnosno sveukupno 2.226.730,34 kn.</w:t>
      </w:r>
    </w:p>
    <w:p w14:paraId="764632FD" w14:textId="77777777" w:rsidR="00A3648D" w:rsidRPr="00AC4C54" w:rsidRDefault="00A3648D" w:rsidP="00A3648D">
      <w:pPr>
        <w:spacing w:after="0" w:line="240" w:lineRule="auto"/>
        <w:jc w:val="both"/>
        <w:rPr>
          <w:rFonts w:ascii="Arial" w:eastAsia="Times New Roman" w:hAnsi="Arial" w:cs="Arial"/>
          <w:bCs/>
          <w:iCs/>
          <w:sz w:val="20"/>
          <w:szCs w:val="20"/>
          <w:lang w:eastAsia="en-US"/>
        </w:rPr>
      </w:pPr>
      <w:r w:rsidRPr="00AC4C54">
        <w:rPr>
          <w:rFonts w:ascii="Arial" w:eastAsia="Times New Roman" w:hAnsi="Arial" w:cs="Arial"/>
          <w:bCs/>
          <w:iCs/>
          <w:sz w:val="20"/>
          <w:szCs w:val="20"/>
          <w:lang w:eastAsia="en-US"/>
        </w:rPr>
        <w:t xml:space="preserve">Društvo je u 2022. otplatilo glavnicu u iznosu 916.666,63 kn i kamate u iznosu 89.523,83 kn. </w:t>
      </w:r>
    </w:p>
    <w:p w14:paraId="7E1F136F" w14:textId="77777777" w:rsidR="00A3648D" w:rsidRPr="00AC4C54" w:rsidRDefault="00A3648D" w:rsidP="00A3648D">
      <w:pPr>
        <w:spacing w:after="0" w:line="240" w:lineRule="auto"/>
        <w:jc w:val="both"/>
        <w:rPr>
          <w:rFonts w:ascii="Arial" w:eastAsia="Times New Roman" w:hAnsi="Arial" w:cs="Arial"/>
          <w:bCs/>
          <w:iCs/>
          <w:sz w:val="20"/>
          <w:szCs w:val="20"/>
          <w:lang w:eastAsia="en-US"/>
        </w:rPr>
      </w:pPr>
      <w:r w:rsidRPr="00AC4C54">
        <w:rPr>
          <w:rFonts w:ascii="Arial" w:eastAsia="Times New Roman" w:hAnsi="Arial" w:cs="Arial"/>
          <w:bCs/>
          <w:iCs/>
          <w:sz w:val="20"/>
          <w:szCs w:val="20"/>
          <w:lang w:eastAsia="en-US"/>
        </w:rPr>
        <w:t xml:space="preserve">Koncem 2022. </w:t>
      </w:r>
      <w:r w:rsidRPr="00AC4C54">
        <w:rPr>
          <w:rFonts w:ascii="Arial" w:eastAsia="Times New Roman" w:hAnsi="Arial" w:cs="Arial"/>
          <w:b/>
          <w:bCs/>
          <w:iCs/>
          <w:sz w:val="20"/>
          <w:szCs w:val="20"/>
          <w:lang w:eastAsia="en-US"/>
        </w:rPr>
        <w:t>preostala glavnica</w:t>
      </w:r>
      <w:r w:rsidRPr="00AC4C54">
        <w:rPr>
          <w:rFonts w:ascii="Arial" w:eastAsia="Times New Roman" w:hAnsi="Arial" w:cs="Arial"/>
          <w:bCs/>
          <w:iCs/>
          <w:sz w:val="20"/>
          <w:szCs w:val="20"/>
          <w:lang w:eastAsia="en-US"/>
        </w:rPr>
        <w:t xml:space="preserve"> kredita iznosi </w:t>
      </w:r>
      <w:r w:rsidRPr="00AC4C54">
        <w:rPr>
          <w:rFonts w:ascii="Arial" w:eastAsia="Times New Roman" w:hAnsi="Arial" w:cs="Arial"/>
          <w:b/>
          <w:bCs/>
          <w:iCs/>
          <w:sz w:val="20"/>
          <w:szCs w:val="20"/>
          <w:lang w:eastAsia="en-US"/>
        </w:rPr>
        <w:t>8.083.333,41</w:t>
      </w:r>
      <w:r w:rsidRPr="00AC4C54">
        <w:rPr>
          <w:rFonts w:ascii="Arial" w:eastAsia="Times New Roman" w:hAnsi="Arial" w:cs="Arial"/>
          <w:bCs/>
          <w:iCs/>
          <w:sz w:val="20"/>
          <w:szCs w:val="20"/>
          <w:lang w:eastAsia="en-US"/>
        </w:rPr>
        <w:t xml:space="preserve"> kn (1.072.842,71 €).</w:t>
      </w:r>
    </w:p>
    <w:p w14:paraId="09398F86" w14:textId="77777777" w:rsidR="00A3648D" w:rsidRPr="00AC4C54" w:rsidRDefault="00A3648D" w:rsidP="00A3648D">
      <w:pPr>
        <w:spacing w:after="0" w:line="240" w:lineRule="auto"/>
        <w:jc w:val="both"/>
        <w:rPr>
          <w:rFonts w:ascii="Arial" w:eastAsia="Times New Roman" w:hAnsi="Arial" w:cs="Arial"/>
          <w:bCs/>
          <w:iCs/>
          <w:sz w:val="20"/>
          <w:szCs w:val="20"/>
          <w:lang w:eastAsia="en-US"/>
        </w:rPr>
      </w:pPr>
    </w:p>
    <w:p w14:paraId="0043C773" w14:textId="11257C84" w:rsidR="00A3648D" w:rsidRPr="00AC4C54" w:rsidRDefault="00A3648D" w:rsidP="00A3648D">
      <w:pPr>
        <w:spacing w:after="0" w:line="240" w:lineRule="auto"/>
        <w:jc w:val="both"/>
        <w:rPr>
          <w:rFonts w:ascii="Arial" w:eastAsia="Times New Roman" w:hAnsi="Arial" w:cs="Arial"/>
          <w:b/>
          <w:iCs/>
          <w:sz w:val="20"/>
          <w:szCs w:val="20"/>
          <w:lang w:eastAsia="en-US"/>
        </w:rPr>
      </w:pPr>
      <w:r w:rsidRPr="00AC4C54">
        <w:rPr>
          <w:rFonts w:ascii="Arial" w:eastAsia="Times New Roman" w:hAnsi="Arial" w:cs="Arial"/>
          <w:bCs/>
          <w:iCs/>
          <w:sz w:val="20"/>
          <w:szCs w:val="20"/>
          <w:lang w:eastAsia="en-US"/>
        </w:rPr>
        <w:t xml:space="preserve">U 2023. društvo je otplatilo glavnicu u iznosu </w:t>
      </w:r>
      <w:r w:rsidR="004C43F1" w:rsidRPr="00AC4C54">
        <w:rPr>
          <w:rFonts w:ascii="Arial" w:eastAsia="Times New Roman" w:hAnsi="Arial" w:cs="Arial"/>
          <w:bCs/>
          <w:iCs/>
          <w:sz w:val="20"/>
          <w:szCs w:val="20"/>
          <w:lang w:eastAsia="en-US"/>
        </w:rPr>
        <w:t>132.722,77</w:t>
      </w:r>
      <w:r w:rsidRPr="00AC4C54">
        <w:rPr>
          <w:rFonts w:ascii="Arial" w:eastAsia="Times New Roman" w:hAnsi="Arial" w:cs="Arial"/>
          <w:bCs/>
          <w:iCs/>
          <w:sz w:val="20"/>
          <w:szCs w:val="20"/>
          <w:lang w:eastAsia="en-US"/>
        </w:rPr>
        <w:t xml:space="preserve"> € i kamate u iznosu </w:t>
      </w:r>
      <w:r w:rsidR="004C43F1" w:rsidRPr="00AC4C54">
        <w:rPr>
          <w:rFonts w:ascii="Arial" w:eastAsia="Times New Roman" w:hAnsi="Arial" w:cs="Arial"/>
          <w:bCs/>
          <w:iCs/>
          <w:sz w:val="20"/>
          <w:szCs w:val="20"/>
          <w:lang w:eastAsia="en-US"/>
        </w:rPr>
        <w:t>11.536,07</w:t>
      </w:r>
      <w:r w:rsidRPr="00AC4C54">
        <w:rPr>
          <w:rFonts w:ascii="Arial" w:eastAsia="Times New Roman" w:hAnsi="Arial" w:cs="Arial"/>
          <w:bCs/>
          <w:iCs/>
          <w:sz w:val="20"/>
          <w:szCs w:val="20"/>
          <w:lang w:eastAsia="en-US"/>
        </w:rPr>
        <w:t xml:space="preserve"> €, te koncem 2023. </w:t>
      </w:r>
      <w:r w:rsidRPr="00AC4C54">
        <w:rPr>
          <w:rFonts w:ascii="Arial" w:eastAsia="Times New Roman" w:hAnsi="Arial" w:cs="Arial"/>
          <w:b/>
          <w:iCs/>
          <w:sz w:val="20"/>
          <w:szCs w:val="20"/>
          <w:lang w:eastAsia="en-US"/>
        </w:rPr>
        <w:t>preostala glavnica kredita</w:t>
      </w:r>
      <w:r w:rsidRPr="00AC4C54">
        <w:rPr>
          <w:rFonts w:ascii="Arial" w:eastAsia="Times New Roman" w:hAnsi="Arial" w:cs="Arial"/>
          <w:bCs/>
          <w:iCs/>
          <w:sz w:val="20"/>
          <w:szCs w:val="20"/>
          <w:lang w:eastAsia="en-US"/>
        </w:rPr>
        <w:t xml:space="preserve"> iznosi </w:t>
      </w:r>
      <w:r w:rsidR="004C43F1" w:rsidRPr="00AC4C54">
        <w:rPr>
          <w:rFonts w:ascii="Arial" w:eastAsia="Times New Roman" w:hAnsi="Arial" w:cs="Arial"/>
          <w:b/>
          <w:iCs/>
          <w:sz w:val="20"/>
          <w:szCs w:val="20"/>
          <w:lang w:eastAsia="en-US"/>
        </w:rPr>
        <w:t>940.119,94</w:t>
      </w:r>
      <w:r w:rsidRPr="00AC4C54">
        <w:rPr>
          <w:rFonts w:ascii="Arial" w:eastAsia="Times New Roman" w:hAnsi="Arial" w:cs="Arial"/>
          <w:b/>
          <w:iCs/>
          <w:sz w:val="20"/>
          <w:szCs w:val="20"/>
          <w:lang w:eastAsia="en-US"/>
        </w:rPr>
        <w:t xml:space="preserve"> €.</w:t>
      </w:r>
    </w:p>
    <w:p w14:paraId="199F7BF1" w14:textId="10D49F63" w:rsidR="005D1B11" w:rsidRPr="00AC4C54" w:rsidRDefault="005D1B11" w:rsidP="005D1B11">
      <w:pPr>
        <w:spacing w:after="0" w:line="240" w:lineRule="auto"/>
        <w:jc w:val="both"/>
        <w:rPr>
          <w:rFonts w:ascii="Arial" w:eastAsia="Times New Roman" w:hAnsi="Arial" w:cs="Arial"/>
          <w:b/>
          <w:iCs/>
          <w:sz w:val="20"/>
          <w:szCs w:val="20"/>
          <w:lang w:eastAsia="en-US"/>
        </w:rPr>
      </w:pPr>
      <w:r w:rsidRPr="00AC4C54">
        <w:rPr>
          <w:rFonts w:ascii="Arial" w:eastAsia="Times New Roman" w:hAnsi="Arial" w:cs="Arial"/>
          <w:bCs/>
          <w:iCs/>
          <w:sz w:val="20"/>
          <w:szCs w:val="20"/>
          <w:lang w:eastAsia="en-US"/>
        </w:rPr>
        <w:t xml:space="preserve">U 2024. društvo je otplatilo glavnicu u iznosu </w:t>
      </w:r>
      <w:r w:rsidR="00832352" w:rsidRPr="00AC4C54">
        <w:rPr>
          <w:rFonts w:ascii="Arial" w:eastAsia="Times New Roman" w:hAnsi="Arial" w:cs="Arial"/>
          <w:bCs/>
          <w:iCs/>
          <w:sz w:val="20"/>
          <w:szCs w:val="20"/>
          <w:lang w:eastAsia="en-US"/>
        </w:rPr>
        <w:t>132.722,76</w:t>
      </w:r>
      <w:r w:rsidRPr="00AC4C54">
        <w:rPr>
          <w:rFonts w:ascii="Arial" w:eastAsia="Times New Roman" w:hAnsi="Arial" w:cs="Arial"/>
          <w:bCs/>
          <w:iCs/>
          <w:sz w:val="20"/>
          <w:szCs w:val="20"/>
          <w:lang w:eastAsia="en-US"/>
        </w:rPr>
        <w:t xml:space="preserve"> € i kamate u iznosu </w:t>
      </w:r>
      <w:r w:rsidR="00832352" w:rsidRPr="00AC4C54">
        <w:rPr>
          <w:rFonts w:ascii="Arial" w:eastAsia="Times New Roman" w:hAnsi="Arial" w:cs="Arial"/>
          <w:bCs/>
          <w:iCs/>
          <w:sz w:val="20"/>
          <w:szCs w:val="20"/>
          <w:lang w:eastAsia="en-US"/>
        </w:rPr>
        <w:t>9.971,56</w:t>
      </w:r>
      <w:r w:rsidRPr="00AC4C54">
        <w:rPr>
          <w:rFonts w:ascii="Arial" w:eastAsia="Times New Roman" w:hAnsi="Arial" w:cs="Arial"/>
          <w:bCs/>
          <w:iCs/>
          <w:sz w:val="20"/>
          <w:szCs w:val="20"/>
          <w:lang w:eastAsia="en-US"/>
        </w:rPr>
        <w:t xml:space="preserve"> €, te koncem 202</w:t>
      </w:r>
      <w:r w:rsidR="00334672" w:rsidRPr="00AC4C54">
        <w:rPr>
          <w:rFonts w:ascii="Arial" w:eastAsia="Times New Roman" w:hAnsi="Arial" w:cs="Arial"/>
          <w:bCs/>
          <w:iCs/>
          <w:sz w:val="20"/>
          <w:szCs w:val="20"/>
          <w:lang w:eastAsia="en-US"/>
        </w:rPr>
        <w:t>4</w:t>
      </w:r>
      <w:r w:rsidRPr="00AC4C54">
        <w:rPr>
          <w:rFonts w:ascii="Arial" w:eastAsia="Times New Roman" w:hAnsi="Arial" w:cs="Arial"/>
          <w:bCs/>
          <w:iCs/>
          <w:sz w:val="20"/>
          <w:szCs w:val="20"/>
          <w:lang w:eastAsia="en-US"/>
        </w:rPr>
        <w:t xml:space="preserve">. </w:t>
      </w:r>
      <w:r w:rsidRPr="00AC4C54">
        <w:rPr>
          <w:rFonts w:ascii="Arial" w:eastAsia="Times New Roman" w:hAnsi="Arial" w:cs="Arial"/>
          <w:b/>
          <w:iCs/>
          <w:sz w:val="20"/>
          <w:szCs w:val="20"/>
          <w:lang w:eastAsia="en-US"/>
        </w:rPr>
        <w:t>preostala glavnica kredita</w:t>
      </w:r>
      <w:r w:rsidRPr="00AC4C54">
        <w:rPr>
          <w:rFonts w:ascii="Arial" w:eastAsia="Times New Roman" w:hAnsi="Arial" w:cs="Arial"/>
          <w:bCs/>
          <w:iCs/>
          <w:sz w:val="20"/>
          <w:szCs w:val="20"/>
          <w:lang w:eastAsia="en-US"/>
        </w:rPr>
        <w:t xml:space="preserve"> iznosi </w:t>
      </w:r>
      <w:r w:rsidR="00832352" w:rsidRPr="00AC4C54">
        <w:rPr>
          <w:rFonts w:ascii="Arial" w:eastAsia="Times New Roman" w:hAnsi="Arial" w:cs="Arial"/>
          <w:b/>
          <w:iCs/>
          <w:sz w:val="20"/>
          <w:szCs w:val="20"/>
          <w:lang w:eastAsia="en-US"/>
        </w:rPr>
        <w:t>807.397,18</w:t>
      </w:r>
      <w:r w:rsidRPr="00AC4C54">
        <w:rPr>
          <w:rFonts w:ascii="Arial" w:eastAsia="Times New Roman" w:hAnsi="Arial" w:cs="Arial"/>
          <w:b/>
          <w:iCs/>
          <w:sz w:val="20"/>
          <w:szCs w:val="20"/>
          <w:lang w:eastAsia="en-US"/>
        </w:rPr>
        <w:t xml:space="preserve"> €.</w:t>
      </w:r>
    </w:p>
    <w:p w14:paraId="759D4B8F" w14:textId="5F5F2920" w:rsidR="001B6553" w:rsidRPr="00AC4C54" w:rsidRDefault="001B6553" w:rsidP="001B6553">
      <w:pPr>
        <w:spacing w:after="0" w:line="240" w:lineRule="auto"/>
        <w:jc w:val="both"/>
        <w:rPr>
          <w:rFonts w:ascii="Arial" w:eastAsia="Times New Roman" w:hAnsi="Arial" w:cs="Arial"/>
          <w:b/>
          <w:iCs/>
          <w:sz w:val="20"/>
          <w:szCs w:val="20"/>
          <w:lang w:eastAsia="en-US"/>
        </w:rPr>
      </w:pPr>
      <w:r w:rsidRPr="00AC4C54">
        <w:rPr>
          <w:rFonts w:ascii="Arial" w:eastAsia="Times New Roman" w:hAnsi="Arial" w:cs="Arial"/>
          <w:bCs/>
          <w:iCs/>
          <w:sz w:val="20"/>
          <w:szCs w:val="20"/>
          <w:lang w:eastAsia="en-US"/>
        </w:rPr>
        <w:t>U 202</w:t>
      </w:r>
      <w:r>
        <w:rPr>
          <w:rFonts w:ascii="Arial" w:eastAsia="Times New Roman" w:hAnsi="Arial" w:cs="Arial"/>
          <w:bCs/>
          <w:iCs/>
          <w:sz w:val="20"/>
          <w:szCs w:val="20"/>
          <w:lang w:eastAsia="en-US"/>
        </w:rPr>
        <w:t>5</w:t>
      </w:r>
      <w:r w:rsidRPr="00AC4C54">
        <w:rPr>
          <w:rFonts w:ascii="Arial" w:eastAsia="Times New Roman" w:hAnsi="Arial" w:cs="Arial"/>
          <w:bCs/>
          <w:iCs/>
          <w:sz w:val="20"/>
          <w:szCs w:val="20"/>
          <w:lang w:eastAsia="en-US"/>
        </w:rPr>
        <w:t xml:space="preserve">. društvo je otplatilo glavnicu u iznosu </w:t>
      </w:r>
      <w:r>
        <w:rPr>
          <w:rFonts w:ascii="Arial" w:eastAsia="Times New Roman" w:hAnsi="Arial" w:cs="Arial"/>
          <w:bCs/>
          <w:iCs/>
          <w:sz w:val="20"/>
          <w:szCs w:val="20"/>
          <w:lang w:eastAsia="en-US"/>
        </w:rPr>
        <w:t>66.361,38</w:t>
      </w:r>
      <w:r w:rsidRPr="00AC4C54">
        <w:rPr>
          <w:rFonts w:ascii="Arial" w:eastAsia="Times New Roman" w:hAnsi="Arial" w:cs="Arial"/>
          <w:bCs/>
          <w:iCs/>
          <w:sz w:val="20"/>
          <w:szCs w:val="20"/>
          <w:lang w:eastAsia="en-US"/>
        </w:rPr>
        <w:t xml:space="preserve"> € i kamate u iznosu </w:t>
      </w:r>
      <w:r>
        <w:rPr>
          <w:rFonts w:ascii="Arial" w:eastAsia="Times New Roman" w:hAnsi="Arial" w:cs="Arial"/>
          <w:bCs/>
          <w:iCs/>
          <w:sz w:val="20"/>
          <w:szCs w:val="20"/>
          <w:lang w:eastAsia="en-US"/>
        </w:rPr>
        <w:t>4.430,17</w:t>
      </w:r>
      <w:r w:rsidRPr="00AC4C54">
        <w:rPr>
          <w:rFonts w:ascii="Arial" w:eastAsia="Times New Roman" w:hAnsi="Arial" w:cs="Arial"/>
          <w:bCs/>
          <w:iCs/>
          <w:sz w:val="20"/>
          <w:szCs w:val="20"/>
          <w:lang w:eastAsia="en-US"/>
        </w:rPr>
        <w:t xml:space="preserve"> €, te koncem </w:t>
      </w:r>
      <w:r>
        <w:rPr>
          <w:rFonts w:ascii="Arial" w:eastAsia="Times New Roman" w:hAnsi="Arial" w:cs="Arial"/>
          <w:bCs/>
          <w:iCs/>
          <w:sz w:val="20"/>
          <w:szCs w:val="20"/>
          <w:lang w:eastAsia="en-US"/>
        </w:rPr>
        <w:t xml:space="preserve">lipnja </w:t>
      </w:r>
      <w:r w:rsidRPr="00AC4C54">
        <w:rPr>
          <w:rFonts w:ascii="Arial" w:eastAsia="Times New Roman" w:hAnsi="Arial" w:cs="Arial"/>
          <w:bCs/>
          <w:iCs/>
          <w:sz w:val="20"/>
          <w:szCs w:val="20"/>
          <w:lang w:eastAsia="en-US"/>
        </w:rPr>
        <w:t>202</w:t>
      </w:r>
      <w:r>
        <w:rPr>
          <w:rFonts w:ascii="Arial" w:eastAsia="Times New Roman" w:hAnsi="Arial" w:cs="Arial"/>
          <w:bCs/>
          <w:iCs/>
          <w:sz w:val="20"/>
          <w:szCs w:val="20"/>
          <w:lang w:eastAsia="en-US"/>
        </w:rPr>
        <w:t>5</w:t>
      </w:r>
      <w:r w:rsidRPr="00AC4C54">
        <w:rPr>
          <w:rFonts w:ascii="Arial" w:eastAsia="Times New Roman" w:hAnsi="Arial" w:cs="Arial"/>
          <w:bCs/>
          <w:iCs/>
          <w:sz w:val="20"/>
          <w:szCs w:val="20"/>
          <w:lang w:eastAsia="en-US"/>
        </w:rPr>
        <w:t xml:space="preserve">. </w:t>
      </w:r>
      <w:r w:rsidRPr="00AC4C54">
        <w:rPr>
          <w:rFonts w:ascii="Arial" w:eastAsia="Times New Roman" w:hAnsi="Arial" w:cs="Arial"/>
          <w:b/>
          <w:iCs/>
          <w:sz w:val="20"/>
          <w:szCs w:val="20"/>
          <w:lang w:eastAsia="en-US"/>
        </w:rPr>
        <w:t>preostala glavnica kredita</w:t>
      </w:r>
      <w:r w:rsidRPr="00AC4C54">
        <w:rPr>
          <w:rFonts w:ascii="Arial" w:eastAsia="Times New Roman" w:hAnsi="Arial" w:cs="Arial"/>
          <w:bCs/>
          <w:iCs/>
          <w:sz w:val="20"/>
          <w:szCs w:val="20"/>
          <w:lang w:eastAsia="en-US"/>
        </w:rPr>
        <w:t xml:space="preserve"> iznosi </w:t>
      </w:r>
      <w:r>
        <w:rPr>
          <w:rFonts w:ascii="Arial" w:eastAsia="Times New Roman" w:hAnsi="Arial" w:cs="Arial"/>
          <w:b/>
          <w:iCs/>
          <w:sz w:val="20"/>
          <w:szCs w:val="20"/>
          <w:lang w:eastAsia="en-US"/>
        </w:rPr>
        <w:t>741.035,80</w:t>
      </w:r>
      <w:r w:rsidRPr="00AC4C54">
        <w:rPr>
          <w:rFonts w:ascii="Arial" w:eastAsia="Times New Roman" w:hAnsi="Arial" w:cs="Arial"/>
          <w:b/>
          <w:iCs/>
          <w:sz w:val="20"/>
          <w:szCs w:val="20"/>
          <w:lang w:eastAsia="en-US"/>
        </w:rPr>
        <w:t xml:space="preserve"> €.</w:t>
      </w:r>
    </w:p>
    <w:p w14:paraId="3286BA13" w14:textId="77777777" w:rsidR="001B6553" w:rsidRPr="00AC4C54" w:rsidRDefault="001B6553" w:rsidP="00A3648D">
      <w:pPr>
        <w:spacing w:after="0" w:line="240" w:lineRule="auto"/>
        <w:jc w:val="both"/>
        <w:rPr>
          <w:rFonts w:ascii="Arial" w:eastAsia="Times New Roman" w:hAnsi="Arial" w:cs="Arial"/>
          <w:bCs/>
          <w:iCs/>
          <w:sz w:val="20"/>
          <w:szCs w:val="20"/>
          <w:lang w:eastAsia="en-US"/>
        </w:rPr>
      </w:pPr>
    </w:p>
    <w:p w14:paraId="1C22DD5A" w14:textId="17407FC2" w:rsidR="00A3648D" w:rsidRPr="00AC4C54" w:rsidRDefault="00334672" w:rsidP="00A3648D">
      <w:pPr>
        <w:shd w:val="clear" w:color="auto" w:fill="F2F2F2"/>
        <w:spacing w:after="0" w:line="240" w:lineRule="auto"/>
        <w:jc w:val="both"/>
        <w:rPr>
          <w:rFonts w:ascii="Arial" w:eastAsia="Calibri" w:hAnsi="Arial" w:cs="Arial"/>
          <w:b/>
          <w:sz w:val="20"/>
          <w:szCs w:val="20"/>
          <w:u w:val="single"/>
          <w:lang w:eastAsia="en-US"/>
        </w:rPr>
      </w:pPr>
      <w:r w:rsidRPr="00AC4C54">
        <w:rPr>
          <w:rFonts w:ascii="Arial" w:eastAsia="Calibri" w:hAnsi="Arial" w:cs="Arial"/>
          <w:b/>
          <w:sz w:val="20"/>
          <w:szCs w:val="20"/>
          <w:u w:val="single"/>
          <w:lang w:eastAsia="en-US"/>
        </w:rPr>
        <w:t>3</w:t>
      </w:r>
      <w:r w:rsidR="00A3648D" w:rsidRPr="00AC4C54">
        <w:rPr>
          <w:rFonts w:ascii="Arial" w:eastAsia="Calibri" w:hAnsi="Arial" w:cs="Arial"/>
          <w:b/>
          <w:sz w:val="20"/>
          <w:szCs w:val="20"/>
          <w:u w:val="single"/>
          <w:lang w:eastAsia="en-US"/>
        </w:rPr>
        <w:t xml:space="preserve">. </w:t>
      </w:r>
      <w:r w:rsidR="00A3648D" w:rsidRPr="00AC4C54">
        <w:rPr>
          <w:rFonts w:ascii="Arial" w:eastAsia="Calibri" w:hAnsi="Arial" w:cs="Arial"/>
          <w:b/>
          <w:sz w:val="20"/>
          <w:szCs w:val="20"/>
          <w:u w:val="single"/>
          <w:lang w:eastAsia="en-US"/>
        </w:rPr>
        <w:tab/>
        <w:t>Suglasnost za zaduživanje društva ČISTOĆA I ZELENILO KONAVLE D.O.O. (nabava komunalnog vozila</w:t>
      </w:r>
      <w:r w:rsidR="00E20FC6">
        <w:rPr>
          <w:rFonts w:ascii="Arial" w:eastAsia="Calibri" w:hAnsi="Arial" w:cs="Arial"/>
          <w:b/>
          <w:sz w:val="20"/>
          <w:szCs w:val="20"/>
          <w:u w:val="single"/>
          <w:lang w:eastAsia="en-US"/>
        </w:rPr>
        <w:t>: IVECO, EUROCARGO ML120EL22/P, FAUN ROTOPRESS 008</w:t>
      </w:r>
      <w:r w:rsidR="00A3648D" w:rsidRPr="00AC4C54">
        <w:rPr>
          <w:rFonts w:ascii="Arial" w:eastAsia="Calibri" w:hAnsi="Arial" w:cs="Arial"/>
          <w:b/>
          <w:sz w:val="20"/>
          <w:szCs w:val="20"/>
          <w:u w:val="single"/>
        </w:rPr>
        <w:t xml:space="preserve"> – </w:t>
      </w:r>
      <w:r w:rsidR="009C5AFB" w:rsidRPr="00AC4C54">
        <w:rPr>
          <w:rFonts w:ascii="Arial" w:eastAsia="Calibri" w:hAnsi="Arial" w:cs="Arial"/>
          <w:b/>
          <w:sz w:val="20"/>
          <w:szCs w:val="20"/>
          <w:u w:val="single"/>
          <w:shd w:val="clear" w:color="auto" w:fill="F2F2F2"/>
        </w:rPr>
        <w:t>UNICREDIT leasing Croatia d.o.o.</w:t>
      </w:r>
      <w:r w:rsidR="009C5AFB" w:rsidRPr="00AC4C54">
        <w:rPr>
          <w:rFonts w:ascii="Arial" w:eastAsia="Calibri" w:hAnsi="Arial" w:cs="Arial"/>
          <w:b/>
          <w:sz w:val="20"/>
          <w:szCs w:val="20"/>
          <w:u w:val="single"/>
        </w:rPr>
        <w:t>)</w:t>
      </w:r>
    </w:p>
    <w:p w14:paraId="00929307" w14:textId="77777777" w:rsidR="00A3648D" w:rsidRPr="00AC4C54" w:rsidRDefault="00A3648D" w:rsidP="00A3648D">
      <w:pPr>
        <w:spacing w:after="0" w:line="240" w:lineRule="auto"/>
        <w:jc w:val="both"/>
        <w:rPr>
          <w:rFonts w:ascii="Arial" w:eastAsia="Times New Roman" w:hAnsi="Arial" w:cs="Arial"/>
          <w:bCs/>
          <w:iCs/>
          <w:sz w:val="20"/>
          <w:szCs w:val="20"/>
          <w:lang w:eastAsia="en-US"/>
        </w:rPr>
      </w:pPr>
    </w:p>
    <w:p w14:paraId="1C4FAF82" w14:textId="04624684" w:rsidR="002C573F" w:rsidRPr="00AC4C54" w:rsidRDefault="004C43F1" w:rsidP="004C43F1">
      <w:pPr>
        <w:spacing w:after="0" w:line="240" w:lineRule="auto"/>
        <w:jc w:val="both"/>
        <w:rPr>
          <w:rFonts w:ascii="Arial" w:eastAsia="Times New Roman" w:hAnsi="Arial" w:cs="Arial"/>
          <w:sz w:val="20"/>
          <w:szCs w:val="20"/>
        </w:rPr>
      </w:pPr>
      <w:r w:rsidRPr="00AC4C54">
        <w:rPr>
          <w:rFonts w:ascii="Arial" w:eastAsia="Times New Roman" w:hAnsi="Arial" w:cs="Arial"/>
          <w:b/>
          <w:sz w:val="20"/>
          <w:szCs w:val="20"/>
        </w:rPr>
        <w:t xml:space="preserve">Općinsko vijeće Općine Konavle je na 16. sjednici održanoj 2. listopada 2023., na temelju članka 127. Zakona o proračunu </w:t>
      </w:r>
      <w:r w:rsidRPr="00AC4C54">
        <w:rPr>
          <w:rFonts w:ascii="Arial" w:eastAsia="Calibri" w:hAnsi="Arial" w:cs="Arial"/>
          <w:b/>
          <w:sz w:val="20"/>
          <w:szCs w:val="20"/>
        </w:rPr>
        <w:t xml:space="preserve">(Narodne novine broj 144/21) donijelo Odluku o davanju suglasnosti za kreditno zaduživanje društva Čistoća i zelenilo Konavle d.o.o. Čilipi. </w:t>
      </w:r>
      <w:r w:rsidRPr="00AC4C54">
        <w:rPr>
          <w:rFonts w:ascii="Arial" w:eastAsia="Calibri" w:hAnsi="Arial" w:cs="Arial"/>
          <w:sz w:val="20"/>
          <w:szCs w:val="20"/>
        </w:rPr>
        <w:t xml:space="preserve">(odluka objavljena u Službenom glasniku Općine Konavle 6/2023). Čistoća i zelenilo Konavle d.o.o. je zaključilo ugovor </w:t>
      </w:r>
      <w:r w:rsidRPr="00AC4C54">
        <w:rPr>
          <w:rFonts w:ascii="Arial" w:eastAsia="Times New Roman" w:hAnsi="Arial" w:cs="Arial"/>
          <w:sz w:val="20"/>
          <w:szCs w:val="20"/>
        </w:rPr>
        <w:t xml:space="preserve">31.10.2023. godine </w:t>
      </w:r>
      <w:r w:rsidR="009C5AFB" w:rsidRPr="00AC4C54">
        <w:rPr>
          <w:rFonts w:ascii="Arial" w:eastAsia="Times New Roman" w:hAnsi="Arial" w:cs="Arial"/>
          <w:sz w:val="20"/>
          <w:szCs w:val="20"/>
        </w:rPr>
        <w:t xml:space="preserve">s UNICREDIT leasing Croatia d.o.o. </w:t>
      </w:r>
      <w:r w:rsidRPr="00AC4C54">
        <w:rPr>
          <w:rFonts w:ascii="Arial" w:eastAsia="Times New Roman" w:hAnsi="Arial" w:cs="Arial"/>
          <w:sz w:val="20"/>
          <w:szCs w:val="20"/>
        </w:rPr>
        <w:t>(ovjereni primjerak davatelj leasinga dostavio 13.11.2023. poštom)</w:t>
      </w:r>
      <w:r w:rsidR="00793280" w:rsidRPr="00AC4C54">
        <w:rPr>
          <w:rFonts w:ascii="Arial" w:eastAsia="Times New Roman" w:hAnsi="Arial" w:cs="Arial"/>
          <w:sz w:val="20"/>
          <w:szCs w:val="20"/>
        </w:rPr>
        <w:t xml:space="preserve"> u iznosu 282.197,60 € (</w:t>
      </w:r>
      <w:r w:rsidR="00793280" w:rsidRPr="00253DDE">
        <w:rPr>
          <w:rFonts w:ascii="Arial" w:eastAsia="Times New Roman" w:hAnsi="Arial" w:cs="Arial"/>
          <w:b/>
          <w:bCs/>
          <w:sz w:val="20"/>
          <w:szCs w:val="20"/>
        </w:rPr>
        <w:t>sveukupno glavnica 254.375 €</w:t>
      </w:r>
      <w:r w:rsidR="00793280" w:rsidRPr="00AC4C54">
        <w:rPr>
          <w:rFonts w:ascii="Arial" w:eastAsia="Times New Roman" w:hAnsi="Arial" w:cs="Arial"/>
          <w:sz w:val="20"/>
          <w:szCs w:val="20"/>
        </w:rPr>
        <w:t>, kamate i naknade)</w:t>
      </w:r>
      <w:r w:rsidRPr="00AC4C54">
        <w:rPr>
          <w:rFonts w:ascii="Arial" w:eastAsia="Times New Roman" w:hAnsi="Arial" w:cs="Arial"/>
          <w:sz w:val="20"/>
          <w:szCs w:val="20"/>
        </w:rPr>
        <w:t xml:space="preserve">. </w:t>
      </w:r>
      <w:r w:rsidR="00171B32" w:rsidRPr="00AC4C54">
        <w:rPr>
          <w:rFonts w:ascii="Arial" w:eastAsia="Times New Roman" w:hAnsi="Arial" w:cs="Arial"/>
          <w:sz w:val="20"/>
          <w:szCs w:val="20"/>
        </w:rPr>
        <w:t>Obračun prvog obroka leasinga počin</w:t>
      </w:r>
      <w:r w:rsidR="002C085C" w:rsidRPr="00AC4C54">
        <w:rPr>
          <w:rFonts w:ascii="Arial" w:eastAsia="Times New Roman" w:hAnsi="Arial" w:cs="Arial"/>
          <w:sz w:val="20"/>
          <w:szCs w:val="20"/>
        </w:rPr>
        <w:t>j</w:t>
      </w:r>
      <w:r w:rsidR="00171B32" w:rsidRPr="00AC4C54">
        <w:rPr>
          <w:rFonts w:ascii="Arial" w:eastAsia="Times New Roman" w:hAnsi="Arial" w:cs="Arial"/>
          <w:sz w:val="20"/>
          <w:szCs w:val="20"/>
        </w:rPr>
        <w:t xml:space="preserve">e prvi dan u mjesecu koji slijedi mjesecu u kojem je izvršena primopredaja objekta leasinga. Redovna kamatna stopa je fiksna i iznosi 5,14% godišnje, a obračunava se i plaća mjesečno. Zatezna kamatna stopa je u visini zakonske zatezne kamate. Nema troška odobravanja kredita. Sredstva osiguranja su 1 zadužnica Korisnika kredita. Otplata je u 60 redovitih mjesečnih obroka kredita (jednaki obroci). </w:t>
      </w:r>
    </w:p>
    <w:p w14:paraId="231C6775" w14:textId="36F5D1FB" w:rsidR="00593653" w:rsidRDefault="00593653" w:rsidP="00593653">
      <w:pPr>
        <w:spacing w:after="0" w:line="240" w:lineRule="auto"/>
        <w:jc w:val="both"/>
        <w:rPr>
          <w:rFonts w:ascii="Arial" w:eastAsia="Times New Roman" w:hAnsi="Arial" w:cs="Arial"/>
          <w:b/>
          <w:iCs/>
          <w:sz w:val="20"/>
          <w:szCs w:val="20"/>
          <w:lang w:eastAsia="en-US"/>
        </w:rPr>
      </w:pPr>
      <w:r w:rsidRPr="00AC4C54">
        <w:rPr>
          <w:rFonts w:ascii="Arial" w:eastAsia="Times New Roman" w:hAnsi="Arial" w:cs="Arial"/>
          <w:bCs/>
          <w:iCs/>
          <w:sz w:val="20"/>
          <w:szCs w:val="20"/>
          <w:lang w:eastAsia="en-US"/>
        </w:rPr>
        <w:t xml:space="preserve">Društvo je u siječnju 2024. podmirilo učešće za kredit u iznosu 50.875 €. </w:t>
      </w:r>
      <w:r w:rsidR="0078086D" w:rsidRPr="00AC4C54">
        <w:rPr>
          <w:rFonts w:ascii="Arial" w:eastAsia="Times New Roman" w:hAnsi="Arial" w:cs="Arial"/>
          <w:sz w:val="20"/>
          <w:szCs w:val="20"/>
        </w:rPr>
        <w:t xml:space="preserve">Primopredaja objekta leasinga je bila 6.5.2024. </w:t>
      </w:r>
      <w:r w:rsidR="00793280" w:rsidRPr="00AC4C54">
        <w:rPr>
          <w:rFonts w:ascii="Arial" w:eastAsia="Times New Roman" w:hAnsi="Arial" w:cs="Arial"/>
          <w:bCs/>
          <w:iCs/>
          <w:sz w:val="20"/>
          <w:szCs w:val="20"/>
          <w:lang w:eastAsia="en-US"/>
        </w:rPr>
        <w:t xml:space="preserve">U 2024. društvo je otplatilo glavnicu u iznosu 71.913,17 € (zajedno s učešćem) i kamate u iznosu 5.832,80 €. </w:t>
      </w:r>
      <w:r w:rsidRPr="00AC4C54">
        <w:rPr>
          <w:rFonts w:ascii="Arial" w:eastAsia="Times New Roman" w:hAnsi="Arial" w:cs="Arial"/>
          <w:bCs/>
          <w:iCs/>
          <w:sz w:val="20"/>
          <w:szCs w:val="20"/>
          <w:lang w:eastAsia="en-US"/>
        </w:rPr>
        <w:t xml:space="preserve">Koncem 2024. </w:t>
      </w:r>
      <w:r w:rsidRPr="00AC4C54">
        <w:rPr>
          <w:rFonts w:ascii="Arial" w:eastAsia="Times New Roman" w:hAnsi="Arial" w:cs="Arial"/>
          <w:b/>
          <w:iCs/>
          <w:sz w:val="20"/>
          <w:szCs w:val="20"/>
          <w:lang w:eastAsia="en-US"/>
        </w:rPr>
        <w:t>preostala glavnica kredita</w:t>
      </w:r>
      <w:r w:rsidRPr="00AC4C54">
        <w:rPr>
          <w:rFonts w:ascii="Arial" w:eastAsia="Times New Roman" w:hAnsi="Arial" w:cs="Arial"/>
          <w:bCs/>
          <w:iCs/>
          <w:sz w:val="20"/>
          <w:szCs w:val="20"/>
          <w:lang w:eastAsia="en-US"/>
        </w:rPr>
        <w:t xml:space="preserve"> iznosi </w:t>
      </w:r>
      <w:r w:rsidR="00793280" w:rsidRPr="00AC4C54">
        <w:rPr>
          <w:rFonts w:ascii="Arial" w:eastAsia="Times New Roman" w:hAnsi="Arial" w:cs="Arial"/>
          <w:b/>
          <w:iCs/>
          <w:sz w:val="20"/>
          <w:szCs w:val="20"/>
          <w:lang w:eastAsia="en-US"/>
        </w:rPr>
        <w:t>182.461,83</w:t>
      </w:r>
      <w:r w:rsidRPr="00AC4C54">
        <w:rPr>
          <w:rFonts w:ascii="Arial" w:eastAsia="Times New Roman" w:hAnsi="Arial" w:cs="Arial"/>
          <w:b/>
          <w:iCs/>
          <w:sz w:val="20"/>
          <w:szCs w:val="20"/>
          <w:lang w:eastAsia="en-US"/>
        </w:rPr>
        <w:t xml:space="preserve"> €.</w:t>
      </w:r>
      <w:r w:rsidR="006D597E" w:rsidRPr="00AC4C54">
        <w:rPr>
          <w:rFonts w:ascii="Arial" w:eastAsia="Times New Roman" w:hAnsi="Arial" w:cs="Arial"/>
          <w:b/>
          <w:iCs/>
          <w:sz w:val="20"/>
          <w:szCs w:val="20"/>
          <w:lang w:eastAsia="en-US"/>
        </w:rPr>
        <w:t xml:space="preserve"> </w:t>
      </w:r>
    </w:p>
    <w:p w14:paraId="49B9C0A0" w14:textId="77777777" w:rsidR="001B6553" w:rsidRDefault="001B6553" w:rsidP="00593653">
      <w:pPr>
        <w:spacing w:after="0" w:line="240" w:lineRule="auto"/>
        <w:jc w:val="both"/>
        <w:rPr>
          <w:rFonts w:ascii="Arial" w:eastAsia="Times New Roman" w:hAnsi="Arial" w:cs="Arial"/>
          <w:b/>
          <w:iCs/>
          <w:sz w:val="20"/>
          <w:szCs w:val="20"/>
          <w:lang w:eastAsia="en-US"/>
        </w:rPr>
      </w:pPr>
    </w:p>
    <w:p w14:paraId="18434330" w14:textId="6A3899FA" w:rsidR="001B6553" w:rsidRDefault="001B6553" w:rsidP="001B6553">
      <w:pPr>
        <w:spacing w:after="0" w:line="240" w:lineRule="auto"/>
        <w:jc w:val="both"/>
        <w:rPr>
          <w:rFonts w:ascii="Arial" w:eastAsia="Times New Roman" w:hAnsi="Arial" w:cs="Arial"/>
          <w:b/>
          <w:iCs/>
          <w:sz w:val="20"/>
          <w:szCs w:val="20"/>
          <w:lang w:eastAsia="en-US"/>
        </w:rPr>
      </w:pPr>
      <w:r w:rsidRPr="00AC4C54">
        <w:rPr>
          <w:rFonts w:ascii="Arial" w:eastAsia="Times New Roman" w:hAnsi="Arial" w:cs="Arial"/>
          <w:bCs/>
          <w:iCs/>
          <w:sz w:val="20"/>
          <w:szCs w:val="20"/>
          <w:lang w:eastAsia="en-US"/>
        </w:rPr>
        <w:t>U 202</w:t>
      </w:r>
      <w:r>
        <w:rPr>
          <w:rFonts w:ascii="Arial" w:eastAsia="Times New Roman" w:hAnsi="Arial" w:cs="Arial"/>
          <w:bCs/>
          <w:iCs/>
          <w:sz w:val="20"/>
          <w:szCs w:val="20"/>
          <w:lang w:eastAsia="en-US"/>
        </w:rPr>
        <w:t>5</w:t>
      </w:r>
      <w:r w:rsidRPr="00AC4C54">
        <w:rPr>
          <w:rFonts w:ascii="Arial" w:eastAsia="Times New Roman" w:hAnsi="Arial" w:cs="Arial"/>
          <w:bCs/>
          <w:iCs/>
          <w:sz w:val="20"/>
          <w:szCs w:val="20"/>
          <w:lang w:eastAsia="en-US"/>
        </w:rPr>
        <w:t xml:space="preserve">. društvo je otplatilo glavnicu u iznosu </w:t>
      </w:r>
      <w:r>
        <w:rPr>
          <w:rFonts w:ascii="Arial" w:eastAsia="Times New Roman" w:hAnsi="Arial" w:cs="Arial"/>
          <w:bCs/>
          <w:iCs/>
          <w:sz w:val="20"/>
          <w:szCs w:val="20"/>
          <w:lang w:eastAsia="en-US"/>
        </w:rPr>
        <w:t>18.540,54</w:t>
      </w:r>
      <w:r w:rsidRPr="00AC4C54">
        <w:rPr>
          <w:rFonts w:ascii="Arial" w:eastAsia="Times New Roman" w:hAnsi="Arial" w:cs="Arial"/>
          <w:bCs/>
          <w:iCs/>
          <w:sz w:val="20"/>
          <w:szCs w:val="20"/>
          <w:lang w:eastAsia="en-US"/>
        </w:rPr>
        <w:t xml:space="preserve"> € i kamate u iznosu </w:t>
      </w:r>
      <w:r>
        <w:rPr>
          <w:rFonts w:ascii="Arial" w:eastAsia="Times New Roman" w:hAnsi="Arial" w:cs="Arial"/>
          <w:bCs/>
          <w:iCs/>
          <w:sz w:val="20"/>
          <w:szCs w:val="20"/>
          <w:lang w:eastAsia="en-US"/>
        </w:rPr>
        <w:t>4.491,72</w:t>
      </w:r>
      <w:r w:rsidRPr="00AC4C54">
        <w:rPr>
          <w:rFonts w:ascii="Arial" w:eastAsia="Times New Roman" w:hAnsi="Arial" w:cs="Arial"/>
          <w:bCs/>
          <w:iCs/>
          <w:sz w:val="20"/>
          <w:szCs w:val="20"/>
          <w:lang w:eastAsia="en-US"/>
        </w:rPr>
        <w:t xml:space="preserve"> €. Koncem </w:t>
      </w:r>
      <w:r w:rsidR="00B11D85">
        <w:rPr>
          <w:rFonts w:ascii="Arial" w:eastAsia="Times New Roman" w:hAnsi="Arial" w:cs="Arial"/>
          <w:bCs/>
          <w:iCs/>
          <w:sz w:val="20"/>
          <w:szCs w:val="20"/>
          <w:lang w:eastAsia="en-US"/>
        </w:rPr>
        <w:t xml:space="preserve">lipnja </w:t>
      </w:r>
      <w:r w:rsidRPr="00AC4C54">
        <w:rPr>
          <w:rFonts w:ascii="Arial" w:eastAsia="Times New Roman" w:hAnsi="Arial" w:cs="Arial"/>
          <w:bCs/>
          <w:iCs/>
          <w:sz w:val="20"/>
          <w:szCs w:val="20"/>
          <w:lang w:eastAsia="en-US"/>
        </w:rPr>
        <w:t>202</w:t>
      </w:r>
      <w:r w:rsidR="00B11D85">
        <w:rPr>
          <w:rFonts w:ascii="Arial" w:eastAsia="Times New Roman" w:hAnsi="Arial" w:cs="Arial"/>
          <w:bCs/>
          <w:iCs/>
          <w:sz w:val="20"/>
          <w:szCs w:val="20"/>
          <w:lang w:eastAsia="en-US"/>
        </w:rPr>
        <w:t>5</w:t>
      </w:r>
      <w:r w:rsidRPr="00AC4C54">
        <w:rPr>
          <w:rFonts w:ascii="Arial" w:eastAsia="Times New Roman" w:hAnsi="Arial" w:cs="Arial"/>
          <w:bCs/>
          <w:iCs/>
          <w:sz w:val="20"/>
          <w:szCs w:val="20"/>
          <w:lang w:eastAsia="en-US"/>
        </w:rPr>
        <w:t xml:space="preserve">. </w:t>
      </w:r>
      <w:r w:rsidRPr="00AC4C54">
        <w:rPr>
          <w:rFonts w:ascii="Arial" w:eastAsia="Times New Roman" w:hAnsi="Arial" w:cs="Arial"/>
          <w:b/>
          <w:iCs/>
          <w:sz w:val="20"/>
          <w:szCs w:val="20"/>
          <w:lang w:eastAsia="en-US"/>
        </w:rPr>
        <w:t>preostala glavnica kredita</w:t>
      </w:r>
      <w:r w:rsidRPr="00AC4C54">
        <w:rPr>
          <w:rFonts w:ascii="Arial" w:eastAsia="Times New Roman" w:hAnsi="Arial" w:cs="Arial"/>
          <w:bCs/>
          <w:iCs/>
          <w:sz w:val="20"/>
          <w:szCs w:val="20"/>
          <w:lang w:eastAsia="en-US"/>
        </w:rPr>
        <w:t xml:space="preserve"> iznosi </w:t>
      </w:r>
      <w:r w:rsidR="00B11D85">
        <w:rPr>
          <w:rFonts w:ascii="Arial" w:eastAsia="Times New Roman" w:hAnsi="Arial" w:cs="Arial"/>
          <w:b/>
          <w:iCs/>
          <w:sz w:val="20"/>
          <w:szCs w:val="20"/>
          <w:lang w:eastAsia="en-US"/>
        </w:rPr>
        <w:t>163.921,29</w:t>
      </w:r>
      <w:r w:rsidRPr="00AC4C54">
        <w:rPr>
          <w:rFonts w:ascii="Arial" w:eastAsia="Times New Roman" w:hAnsi="Arial" w:cs="Arial"/>
          <w:b/>
          <w:iCs/>
          <w:sz w:val="20"/>
          <w:szCs w:val="20"/>
          <w:lang w:eastAsia="en-US"/>
        </w:rPr>
        <w:t xml:space="preserve"> €. </w:t>
      </w:r>
    </w:p>
    <w:p w14:paraId="3522F4E7" w14:textId="77777777" w:rsidR="001B6553" w:rsidRPr="00AC4C54" w:rsidRDefault="001B6553" w:rsidP="00593653">
      <w:pPr>
        <w:spacing w:after="0" w:line="240" w:lineRule="auto"/>
        <w:jc w:val="both"/>
        <w:rPr>
          <w:rFonts w:ascii="Arial" w:eastAsia="Times New Roman" w:hAnsi="Arial" w:cs="Arial"/>
          <w:b/>
          <w:iCs/>
          <w:sz w:val="20"/>
          <w:szCs w:val="20"/>
          <w:lang w:eastAsia="en-US"/>
        </w:rPr>
      </w:pPr>
    </w:p>
    <w:p w14:paraId="75B99323" w14:textId="77777777" w:rsidR="002C573F" w:rsidRPr="00AC4C54" w:rsidRDefault="002C573F" w:rsidP="004C43F1">
      <w:pPr>
        <w:spacing w:after="0" w:line="240" w:lineRule="auto"/>
        <w:jc w:val="both"/>
        <w:rPr>
          <w:rFonts w:ascii="Arial" w:eastAsia="Times New Roman" w:hAnsi="Arial" w:cs="Arial"/>
          <w:sz w:val="20"/>
          <w:szCs w:val="20"/>
        </w:rPr>
      </w:pPr>
    </w:p>
    <w:p w14:paraId="21FAAA3C" w14:textId="364F3211" w:rsidR="00593653" w:rsidRPr="00AC4C54" w:rsidRDefault="00593653" w:rsidP="00593653">
      <w:pPr>
        <w:shd w:val="clear" w:color="auto" w:fill="F2F2F2"/>
        <w:spacing w:after="0" w:line="240" w:lineRule="auto"/>
        <w:jc w:val="both"/>
        <w:rPr>
          <w:rFonts w:ascii="Arial" w:eastAsia="Calibri" w:hAnsi="Arial" w:cs="Arial"/>
          <w:b/>
          <w:sz w:val="20"/>
          <w:szCs w:val="20"/>
          <w:u w:val="single"/>
          <w:lang w:eastAsia="en-US"/>
        </w:rPr>
      </w:pPr>
      <w:r w:rsidRPr="00AC4C54">
        <w:rPr>
          <w:rFonts w:ascii="Arial" w:eastAsia="Calibri" w:hAnsi="Arial" w:cs="Arial"/>
          <w:b/>
          <w:sz w:val="20"/>
          <w:szCs w:val="20"/>
          <w:u w:val="single"/>
          <w:lang w:eastAsia="en-US"/>
        </w:rPr>
        <w:t xml:space="preserve">4. </w:t>
      </w:r>
      <w:r w:rsidRPr="00AC4C54">
        <w:rPr>
          <w:rFonts w:ascii="Arial" w:eastAsia="Calibri" w:hAnsi="Arial" w:cs="Arial"/>
          <w:b/>
          <w:sz w:val="20"/>
          <w:szCs w:val="20"/>
          <w:u w:val="single"/>
          <w:lang w:eastAsia="en-US"/>
        </w:rPr>
        <w:tab/>
        <w:t>Suglasnost za zaduživanje društva ČISTOĆA I ZELENILO KONAVLE D.O.O. (nabava komunalnog vozila</w:t>
      </w:r>
      <w:r w:rsidR="00253DDE">
        <w:rPr>
          <w:rFonts w:ascii="Arial" w:eastAsia="Calibri" w:hAnsi="Arial" w:cs="Arial"/>
          <w:b/>
          <w:sz w:val="20"/>
          <w:szCs w:val="20"/>
          <w:u w:val="single"/>
          <w:lang w:eastAsia="en-US"/>
        </w:rPr>
        <w:t>: vozilo s potisnom pločo</w:t>
      </w:r>
      <w:r w:rsidR="0074620F">
        <w:rPr>
          <w:rFonts w:ascii="Arial" w:eastAsia="Calibri" w:hAnsi="Arial" w:cs="Arial"/>
          <w:b/>
          <w:sz w:val="20"/>
          <w:szCs w:val="20"/>
          <w:u w:val="single"/>
          <w:lang w:eastAsia="en-US"/>
        </w:rPr>
        <w:t>m</w:t>
      </w:r>
      <w:r w:rsidR="00253DDE">
        <w:rPr>
          <w:rFonts w:ascii="Arial" w:eastAsia="Calibri" w:hAnsi="Arial" w:cs="Arial"/>
          <w:b/>
          <w:sz w:val="20"/>
          <w:szCs w:val="20"/>
          <w:u w:val="single"/>
          <w:lang w:eastAsia="en-US"/>
        </w:rPr>
        <w:t xml:space="preserve"> 5 m³, IVECO DAILY 35C16H NADOGRADNJA Qube 5 rossi</w:t>
      </w:r>
      <w:r w:rsidR="0074620F">
        <w:rPr>
          <w:rFonts w:ascii="Arial" w:eastAsia="Calibri" w:hAnsi="Arial" w:cs="Arial"/>
          <w:b/>
          <w:sz w:val="20"/>
          <w:szCs w:val="20"/>
          <w:u w:val="single"/>
          <w:lang w:eastAsia="en-US"/>
        </w:rPr>
        <w:t xml:space="preserve"> -</w:t>
      </w:r>
      <w:r w:rsidRPr="00AC4C54">
        <w:rPr>
          <w:rFonts w:ascii="Arial" w:eastAsia="Calibri" w:hAnsi="Arial" w:cs="Arial"/>
          <w:b/>
          <w:sz w:val="20"/>
          <w:szCs w:val="20"/>
          <w:u w:val="single"/>
        </w:rPr>
        <w:t xml:space="preserve"> </w:t>
      </w:r>
      <w:r w:rsidR="00582322" w:rsidRPr="00AC4C54">
        <w:rPr>
          <w:rFonts w:ascii="Arial" w:eastAsia="Calibri" w:hAnsi="Arial" w:cs="Arial"/>
          <w:b/>
          <w:sz w:val="20"/>
          <w:szCs w:val="20"/>
          <w:u w:val="single"/>
          <w:shd w:val="clear" w:color="auto" w:fill="F2F2F2"/>
        </w:rPr>
        <w:t>PBZ</w:t>
      </w:r>
      <w:r w:rsidRPr="00AC4C54">
        <w:rPr>
          <w:rFonts w:ascii="Arial" w:eastAsia="Calibri" w:hAnsi="Arial" w:cs="Arial"/>
          <w:b/>
          <w:sz w:val="20"/>
          <w:szCs w:val="20"/>
          <w:u w:val="single"/>
          <w:shd w:val="clear" w:color="auto" w:fill="F2F2F2"/>
        </w:rPr>
        <w:t xml:space="preserve"> leasing d.o.o.</w:t>
      </w:r>
      <w:r w:rsidRPr="00AC4C54">
        <w:rPr>
          <w:rFonts w:ascii="Arial" w:eastAsia="Calibri" w:hAnsi="Arial" w:cs="Arial"/>
          <w:b/>
          <w:sz w:val="20"/>
          <w:szCs w:val="20"/>
          <w:u w:val="single"/>
        </w:rPr>
        <w:t>)</w:t>
      </w:r>
    </w:p>
    <w:p w14:paraId="28618AC4" w14:textId="77777777" w:rsidR="00593653" w:rsidRPr="00AC4C54" w:rsidRDefault="00593653" w:rsidP="00593653">
      <w:pPr>
        <w:spacing w:after="0" w:line="240" w:lineRule="auto"/>
        <w:jc w:val="both"/>
        <w:rPr>
          <w:rFonts w:ascii="Arial" w:eastAsia="Times New Roman" w:hAnsi="Arial" w:cs="Arial"/>
          <w:bCs/>
          <w:iCs/>
          <w:sz w:val="20"/>
          <w:szCs w:val="20"/>
          <w:lang w:eastAsia="en-US"/>
        </w:rPr>
      </w:pPr>
    </w:p>
    <w:p w14:paraId="56C96392" w14:textId="4F5CE722" w:rsidR="00593653" w:rsidRPr="00AC4C54" w:rsidRDefault="00593653" w:rsidP="00593653">
      <w:pPr>
        <w:spacing w:after="0" w:line="240" w:lineRule="auto"/>
        <w:jc w:val="both"/>
        <w:rPr>
          <w:rFonts w:ascii="Arial" w:eastAsia="Times New Roman" w:hAnsi="Arial" w:cs="Arial"/>
          <w:sz w:val="20"/>
          <w:szCs w:val="20"/>
        </w:rPr>
      </w:pPr>
      <w:r w:rsidRPr="00AC4C54">
        <w:rPr>
          <w:rFonts w:ascii="Arial" w:eastAsia="Times New Roman" w:hAnsi="Arial" w:cs="Arial"/>
          <w:b/>
          <w:sz w:val="20"/>
          <w:szCs w:val="20"/>
        </w:rPr>
        <w:t xml:space="preserve">Općinsko vijeće Općine Konavle je na </w:t>
      </w:r>
      <w:r w:rsidR="004F40C2" w:rsidRPr="00AC4C54">
        <w:rPr>
          <w:rFonts w:ascii="Arial" w:eastAsia="Times New Roman" w:hAnsi="Arial" w:cs="Arial"/>
          <w:b/>
          <w:sz w:val="20"/>
          <w:szCs w:val="20"/>
        </w:rPr>
        <w:t xml:space="preserve">19. </w:t>
      </w:r>
      <w:r w:rsidRPr="00AC4C54">
        <w:rPr>
          <w:rFonts w:ascii="Arial" w:eastAsia="Times New Roman" w:hAnsi="Arial" w:cs="Arial"/>
          <w:b/>
          <w:sz w:val="20"/>
          <w:szCs w:val="20"/>
        </w:rPr>
        <w:t xml:space="preserve">sjednici održanoj </w:t>
      </w:r>
      <w:r w:rsidR="00DE33F6" w:rsidRPr="00AC4C54">
        <w:rPr>
          <w:rFonts w:ascii="Arial" w:eastAsia="Times New Roman" w:hAnsi="Arial" w:cs="Arial"/>
          <w:b/>
          <w:sz w:val="20"/>
          <w:szCs w:val="20"/>
        </w:rPr>
        <w:t xml:space="preserve">25. svibnja </w:t>
      </w:r>
      <w:r w:rsidRPr="00AC4C54">
        <w:rPr>
          <w:rFonts w:ascii="Arial" w:eastAsia="Times New Roman" w:hAnsi="Arial" w:cs="Arial"/>
          <w:b/>
          <w:sz w:val="20"/>
          <w:szCs w:val="20"/>
        </w:rPr>
        <w:t>202</w:t>
      </w:r>
      <w:r w:rsidR="00DE33F6" w:rsidRPr="00AC4C54">
        <w:rPr>
          <w:rFonts w:ascii="Arial" w:eastAsia="Times New Roman" w:hAnsi="Arial" w:cs="Arial"/>
          <w:b/>
          <w:sz w:val="20"/>
          <w:szCs w:val="20"/>
        </w:rPr>
        <w:t>4</w:t>
      </w:r>
      <w:r w:rsidRPr="00AC4C54">
        <w:rPr>
          <w:rFonts w:ascii="Arial" w:eastAsia="Times New Roman" w:hAnsi="Arial" w:cs="Arial"/>
          <w:b/>
          <w:sz w:val="20"/>
          <w:szCs w:val="20"/>
        </w:rPr>
        <w:t xml:space="preserve">., na temelju članka 127. Zakona o proračunu </w:t>
      </w:r>
      <w:r w:rsidRPr="00AC4C54">
        <w:rPr>
          <w:rFonts w:ascii="Arial" w:eastAsia="Calibri" w:hAnsi="Arial" w:cs="Arial"/>
          <w:b/>
          <w:sz w:val="20"/>
          <w:szCs w:val="20"/>
        </w:rPr>
        <w:t xml:space="preserve">(Narodne novine broj 144/21) donijelo Odluku o davanju suglasnosti za kreditno zaduživanje društva Čistoća i zelenilo Konavle d.o.o. Čilipi. </w:t>
      </w:r>
      <w:r w:rsidRPr="00AC4C54">
        <w:rPr>
          <w:rFonts w:ascii="Arial" w:eastAsia="Calibri" w:hAnsi="Arial" w:cs="Arial"/>
          <w:sz w:val="20"/>
          <w:szCs w:val="20"/>
        </w:rPr>
        <w:t xml:space="preserve">(odluka objavljena u Službenom glasniku Općine Konavle </w:t>
      </w:r>
      <w:r w:rsidR="009D0C13" w:rsidRPr="00AC4C54">
        <w:rPr>
          <w:rFonts w:ascii="Arial" w:eastAsia="Calibri" w:hAnsi="Arial" w:cs="Arial"/>
          <w:sz w:val="20"/>
          <w:szCs w:val="20"/>
        </w:rPr>
        <w:t>3</w:t>
      </w:r>
      <w:r w:rsidRPr="00AC4C54">
        <w:rPr>
          <w:rFonts w:ascii="Arial" w:eastAsia="Calibri" w:hAnsi="Arial" w:cs="Arial"/>
          <w:sz w:val="20"/>
          <w:szCs w:val="20"/>
        </w:rPr>
        <w:t>/202</w:t>
      </w:r>
      <w:r w:rsidR="009D0C13" w:rsidRPr="00AC4C54">
        <w:rPr>
          <w:rFonts w:ascii="Arial" w:eastAsia="Calibri" w:hAnsi="Arial" w:cs="Arial"/>
          <w:sz w:val="20"/>
          <w:szCs w:val="20"/>
        </w:rPr>
        <w:t>4</w:t>
      </w:r>
      <w:r w:rsidRPr="00AC4C54">
        <w:rPr>
          <w:rFonts w:ascii="Arial" w:eastAsia="Calibri" w:hAnsi="Arial" w:cs="Arial"/>
          <w:sz w:val="20"/>
          <w:szCs w:val="20"/>
        </w:rPr>
        <w:t xml:space="preserve">). Čistoća i zelenilo Konavle d.o.o. je zaključilo ugovor </w:t>
      </w:r>
      <w:r w:rsidR="009D0C13" w:rsidRPr="00AC4C54">
        <w:rPr>
          <w:rFonts w:ascii="Arial" w:eastAsia="Times New Roman" w:hAnsi="Arial" w:cs="Arial"/>
          <w:sz w:val="20"/>
          <w:szCs w:val="20"/>
        </w:rPr>
        <w:t>6.6.2024</w:t>
      </w:r>
      <w:r w:rsidRPr="00AC4C54">
        <w:rPr>
          <w:rFonts w:ascii="Arial" w:eastAsia="Times New Roman" w:hAnsi="Arial" w:cs="Arial"/>
          <w:sz w:val="20"/>
          <w:szCs w:val="20"/>
        </w:rPr>
        <w:t xml:space="preserve">. godine s </w:t>
      </w:r>
      <w:r w:rsidR="009D0C13" w:rsidRPr="00AC4C54">
        <w:rPr>
          <w:rFonts w:ascii="Arial" w:eastAsia="Times New Roman" w:hAnsi="Arial" w:cs="Arial"/>
          <w:sz w:val="20"/>
          <w:szCs w:val="20"/>
        </w:rPr>
        <w:t>PBZ</w:t>
      </w:r>
      <w:r w:rsidRPr="00AC4C54">
        <w:rPr>
          <w:rFonts w:ascii="Arial" w:eastAsia="Times New Roman" w:hAnsi="Arial" w:cs="Arial"/>
          <w:sz w:val="20"/>
          <w:szCs w:val="20"/>
        </w:rPr>
        <w:t xml:space="preserve"> leasing d.o.o. </w:t>
      </w:r>
      <w:r w:rsidR="00793280" w:rsidRPr="00AC4C54">
        <w:rPr>
          <w:rFonts w:ascii="Arial" w:eastAsia="Times New Roman" w:hAnsi="Arial" w:cs="Arial"/>
          <w:sz w:val="20"/>
          <w:szCs w:val="20"/>
        </w:rPr>
        <w:t>u iznosu 132.505,04 € (</w:t>
      </w:r>
      <w:r w:rsidR="00793280" w:rsidRPr="00253DDE">
        <w:rPr>
          <w:rFonts w:ascii="Arial" w:eastAsia="Times New Roman" w:hAnsi="Arial" w:cs="Arial"/>
          <w:b/>
          <w:bCs/>
          <w:sz w:val="20"/>
          <w:szCs w:val="20"/>
        </w:rPr>
        <w:t>sveukupno glavnica 123.125,00 €</w:t>
      </w:r>
      <w:r w:rsidR="00793280" w:rsidRPr="00AC4C54">
        <w:rPr>
          <w:rFonts w:ascii="Arial" w:eastAsia="Times New Roman" w:hAnsi="Arial" w:cs="Arial"/>
          <w:sz w:val="20"/>
          <w:szCs w:val="20"/>
        </w:rPr>
        <w:t xml:space="preserve">, kamate i naknade). </w:t>
      </w:r>
      <w:r w:rsidRPr="00AC4C54">
        <w:rPr>
          <w:rFonts w:ascii="Arial" w:eastAsia="Times New Roman" w:hAnsi="Arial" w:cs="Arial"/>
          <w:sz w:val="20"/>
          <w:szCs w:val="20"/>
        </w:rPr>
        <w:t>Obračun prvog obroka leasinga počin</w:t>
      </w:r>
      <w:r w:rsidR="002C085C" w:rsidRPr="00AC4C54">
        <w:rPr>
          <w:rFonts w:ascii="Arial" w:eastAsia="Times New Roman" w:hAnsi="Arial" w:cs="Arial"/>
          <w:sz w:val="20"/>
          <w:szCs w:val="20"/>
        </w:rPr>
        <w:t>j</w:t>
      </w:r>
      <w:r w:rsidRPr="00AC4C54">
        <w:rPr>
          <w:rFonts w:ascii="Arial" w:eastAsia="Times New Roman" w:hAnsi="Arial" w:cs="Arial"/>
          <w:sz w:val="20"/>
          <w:szCs w:val="20"/>
        </w:rPr>
        <w:t>e prvi dan u mjesecu koji slijedi mjesecu u kojem je izvršena primopredaja objekta leasinga. Redovna kamatna stopa je fiksna i iznosi 5,</w:t>
      </w:r>
      <w:r w:rsidR="00252D30" w:rsidRPr="00AC4C54">
        <w:rPr>
          <w:rFonts w:ascii="Arial" w:eastAsia="Times New Roman" w:hAnsi="Arial" w:cs="Arial"/>
          <w:sz w:val="20"/>
          <w:szCs w:val="20"/>
        </w:rPr>
        <w:t>95</w:t>
      </w:r>
      <w:r w:rsidRPr="00AC4C54">
        <w:rPr>
          <w:rFonts w:ascii="Arial" w:eastAsia="Times New Roman" w:hAnsi="Arial" w:cs="Arial"/>
          <w:sz w:val="20"/>
          <w:szCs w:val="20"/>
        </w:rPr>
        <w:t xml:space="preserve">% godišnje, a obračunava se i plaća mjesečno. Zatezna kamatna stopa je u visini zakonske zatezne kamate. Nema troška odobravanja kredita. Sredstva osiguranja su 1 zadužnica Korisnika kredita. Otplata je u </w:t>
      </w:r>
      <w:r w:rsidR="005535F3" w:rsidRPr="00AC4C54">
        <w:rPr>
          <w:rFonts w:ascii="Arial" w:eastAsia="Times New Roman" w:hAnsi="Arial" w:cs="Arial"/>
          <w:sz w:val="20"/>
          <w:szCs w:val="20"/>
        </w:rPr>
        <w:t>36</w:t>
      </w:r>
      <w:r w:rsidRPr="00AC4C54">
        <w:rPr>
          <w:rFonts w:ascii="Arial" w:eastAsia="Times New Roman" w:hAnsi="Arial" w:cs="Arial"/>
          <w:sz w:val="20"/>
          <w:szCs w:val="20"/>
        </w:rPr>
        <w:t xml:space="preserve"> redovitih mjesečnih obroka kredita (jednaki obroci). </w:t>
      </w:r>
    </w:p>
    <w:p w14:paraId="502D38EC" w14:textId="6A0E0661" w:rsidR="00593653" w:rsidRPr="00AC4C54" w:rsidRDefault="00593653" w:rsidP="00593653">
      <w:pPr>
        <w:spacing w:after="0" w:line="240" w:lineRule="auto"/>
        <w:jc w:val="both"/>
        <w:rPr>
          <w:rFonts w:ascii="Arial" w:eastAsia="Times New Roman" w:hAnsi="Arial" w:cs="Arial"/>
          <w:sz w:val="20"/>
          <w:szCs w:val="20"/>
        </w:rPr>
      </w:pPr>
      <w:r w:rsidRPr="00AC4C54">
        <w:rPr>
          <w:rFonts w:ascii="Arial" w:eastAsia="Times New Roman" w:hAnsi="Arial" w:cs="Arial"/>
          <w:bCs/>
          <w:iCs/>
          <w:sz w:val="20"/>
          <w:szCs w:val="20"/>
          <w:lang w:eastAsia="en-US"/>
        </w:rPr>
        <w:t xml:space="preserve">Društvo je u </w:t>
      </w:r>
      <w:r w:rsidR="005535F3" w:rsidRPr="00AC4C54">
        <w:rPr>
          <w:rFonts w:ascii="Arial" w:eastAsia="Times New Roman" w:hAnsi="Arial" w:cs="Arial"/>
          <w:bCs/>
          <w:iCs/>
          <w:sz w:val="20"/>
          <w:szCs w:val="20"/>
          <w:lang w:eastAsia="en-US"/>
        </w:rPr>
        <w:t>lipnju</w:t>
      </w:r>
      <w:r w:rsidRPr="00AC4C54">
        <w:rPr>
          <w:rFonts w:ascii="Arial" w:eastAsia="Times New Roman" w:hAnsi="Arial" w:cs="Arial"/>
          <w:bCs/>
          <w:iCs/>
          <w:sz w:val="20"/>
          <w:szCs w:val="20"/>
          <w:lang w:eastAsia="en-US"/>
        </w:rPr>
        <w:t xml:space="preserve"> 2024. podmirilo učešće za kredit u iznosu </w:t>
      </w:r>
      <w:r w:rsidR="005535F3" w:rsidRPr="00AC4C54">
        <w:rPr>
          <w:rFonts w:ascii="Arial" w:eastAsia="Times New Roman" w:hAnsi="Arial" w:cs="Arial"/>
          <w:bCs/>
          <w:iCs/>
          <w:sz w:val="20"/>
          <w:szCs w:val="20"/>
          <w:lang w:eastAsia="en-US"/>
        </w:rPr>
        <w:t>24.625</w:t>
      </w:r>
      <w:r w:rsidRPr="00AC4C54">
        <w:rPr>
          <w:rFonts w:ascii="Arial" w:eastAsia="Times New Roman" w:hAnsi="Arial" w:cs="Arial"/>
          <w:bCs/>
          <w:iCs/>
          <w:sz w:val="20"/>
          <w:szCs w:val="20"/>
          <w:lang w:eastAsia="en-US"/>
        </w:rPr>
        <w:t xml:space="preserve"> €. </w:t>
      </w:r>
      <w:r w:rsidRPr="00AC4C54">
        <w:rPr>
          <w:rFonts w:ascii="Arial" w:eastAsia="Times New Roman" w:hAnsi="Arial" w:cs="Arial"/>
          <w:sz w:val="20"/>
          <w:szCs w:val="20"/>
        </w:rPr>
        <w:t xml:space="preserve">Primopredaja objekta leasinga je bila </w:t>
      </w:r>
      <w:r w:rsidR="00EC5906" w:rsidRPr="00AC4C54">
        <w:rPr>
          <w:rFonts w:ascii="Arial" w:eastAsia="Times New Roman" w:hAnsi="Arial" w:cs="Arial"/>
          <w:sz w:val="20"/>
          <w:szCs w:val="20"/>
        </w:rPr>
        <w:t xml:space="preserve">u lipnju </w:t>
      </w:r>
      <w:r w:rsidRPr="00AC4C54">
        <w:rPr>
          <w:rFonts w:ascii="Arial" w:eastAsia="Times New Roman" w:hAnsi="Arial" w:cs="Arial"/>
          <w:sz w:val="20"/>
          <w:szCs w:val="20"/>
        </w:rPr>
        <w:t>2024.</w:t>
      </w:r>
    </w:p>
    <w:p w14:paraId="4AB82449" w14:textId="235354EC" w:rsidR="00793280" w:rsidRPr="00AC4C54" w:rsidRDefault="00793280" w:rsidP="00793280">
      <w:pPr>
        <w:spacing w:after="0" w:line="240" w:lineRule="auto"/>
        <w:jc w:val="both"/>
        <w:rPr>
          <w:rFonts w:ascii="Arial" w:eastAsia="Times New Roman" w:hAnsi="Arial" w:cs="Arial"/>
          <w:b/>
          <w:iCs/>
          <w:sz w:val="20"/>
          <w:szCs w:val="20"/>
          <w:lang w:eastAsia="en-US"/>
        </w:rPr>
      </w:pPr>
      <w:r w:rsidRPr="00AC4C54">
        <w:rPr>
          <w:rFonts w:ascii="Arial" w:eastAsia="Times New Roman" w:hAnsi="Arial" w:cs="Arial"/>
          <w:bCs/>
          <w:iCs/>
          <w:sz w:val="20"/>
          <w:szCs w:val="20"/>
          <w:lang w:eastAsia="en-US"/>
        </w:rPr>
        <w:t xml:space="preserve">U 2024. društvo je otplatilo glavnicu u iznosu 39.693,66 € (zajedno s učešćem) i kamate u iznosu 2.744,68 €. Koncem 2024. </w:t>
      </w:r>
      <w:r w:rsidRPr="00AC4C54">
        <w:rPr>
          <w:rFonts w:ascii="Arial" w:eastAsia="Times New Roman" w:hAnsi="Arial" w:cs="Arial"/>
          <w:b/>
          <w:iCs/>
          <w:sz w:val="20"/>
          <w:szCs w:val="20"/>
          <w:lang w:eastAsia="en-US"/>
        </w:rPr>
        <w:t>preostala glavnica kredita</w:t>
      </w:r>
      <w:r w:rsidRPr="00AC4C54">
        <w:rPr>
          <w:rFonts w:ascii="Arial" w:eastAsia="Times New Roman" w:hAnsi="Arial" w:cs="Arial"/>
          <w:bCs/>
          <w:iCs/>
          <w:sz w:val="20"/>
          <w:szCs w:val="20"/>
          <w:lang w:eastAsia="en-US"/>
        </w:rPr>
        <w:t xml:space="preserve"> iznosi </w:t>
      </w:r>
      <w:r w:rsidRPr="00AC4C54">
        <w:rPr>
          <w:rFonts w:ascii="Arial" w:eastAsia="Times New Roman" w:hAnsi="Arial" w:cs="Arial"/>
          <w:b/>
          <w:iCs/>
          <w:sz w:val="20"/>
          <w:szCs w:val="20"/>
          <w:lang w:eastAsia="en-US"/>
        </w:rPr>
        <w:t xml:space="preserve">83.431,34 €. </w:t>
      </w:r>
    </w:p>
    <w:p w14:paraId="4E66EB63" w14:textId="368F5B71" w:rsidR="00B11D85" w:rsidRPr="00AC4C54" w:rsidRDefault="00B11D85" w:rsidP="00B11D85">
      <w:pPr>
        <w:spacing w:after="0" w:line="240" w:lineRule="auto"/>
        <w:jc w:val="both"/>
        <w:rPr>
          <w:rFonts w:ascii="Arial" w:eastAsia="Times New Roman" w:hAnsi="Arial" w:cs="Arial"/>
          <w:b/>
          <w:iCs/>
          <w:sz w:val="20"/>
          <w:szCs w:val="20"/>
          <w:lang w:eastAsia="en-US"/>
        </w:rPr>
      </w:pPr>
      <w:r w:rsidRPr="00AC4C54">
        <w:rPr>
          <w:rFonts w:ascii="Arial" w:eastAsia="Times New Roman" w:hAnsi="Arial" w:cs="Arial"/>
          <w:bCs/>
          <w:iCs/>
          <w:sz w:val="20"/>
          <w:szCs w:val="20"/>
          <w:lang w:eastAsia="en-US"/>
        </w:rPr>
        <w:t>U 202</w:t>
      </w:r>
      <w:r>
        <w:rPr>
          <w:rFonts w:ascii="Arial" w:eastAsia="Times New Roman" w:hAnsi="Arial" w:cs="Arial"/>
          <w:bCs/>
          <w:iCs/>
          <w:sz w:val="20"/>
          <w:szCs w:val="20"/>
          <w:lang w:eastAsia="en-US"/>
        </w:rPr>
        <w:t>5</w:t>
      </w:r>
      <w:r w:rsidRPr="00AC4C54">
        <w:rPr>
          <w:rFonts w:ascii="Arial" w:eastAsia="Times New Roman" w:hAnsi="Arial" w:cs="Arial"/>
          <w:bCs/>
          <w:iCs/>
          <w:sz w:val="20"/>
          <w:szCs w:val="20"/>
          <w:lang w:eastAsia="en-US"/>
        </w:rPr>
        <w:t xml:space="preserve">. društvo je otplatilo glavnicu u iznosu </w:t>
      </w:r>
      <w:r>
        <w:rPr>
          <w:rFonts w:ascii="Arial" w:eastAsia="Times New Roman" w:hAnsi="Arial" w:cs="Arial"/>
          <w:bCs/>
          <w:iCs/>
          <w:sz w:val="20"/>
          <w:szCs w:val="20"/>
          <w:lang w:eastAsia="en-US"/>
        </w:rPr>
        <w:t>15.522,56</w:t>
      </w:r>
      <w:r w:rsidRPr="00AC4C54">
        <w:rPr>
          <w:rFonts w:ascii="Arial" w:eastAsia="Times New Roman" w:hAnsi="Arial" w:cs="Arial"/>
          <w:bCs/>
          <w:iCs/>
          <w:sz w:val="20"/>
          <w:szCs w:val="20"/>
          <w:lang w:eastAsia="en-US"/>
        </w:rPr>
        <w:t xml:space="preserve"> € i kamate u iznosu </w:t>
      </w:r>
      <w:r>
        <w:rPr>
          <w:rFonts w:ascii="Arial" w:eastAsia="Times New Roman" w:hAnsi="Arial" w:cs="Arial"/>
          <w:bCs/>
          <w:iCs/>
          <w:sz w:val="20"/>
          <w:szCs w:val="20"/>
          <w:lang w:eastAsia="en-US"/>
        </w:rPr>
        <w:t>2.290,78</w:t>
      </w:r>
      <w:r w:rsidRPr="00AC4C54">
        <w:rPr>
          <w:rFonts w:ascii="Arial" w:eastAsia="Times New Roman" w:hAnsi="Arial" w:cs="Arial"/>
          <w:bCs/>
          <w:iCs/>
          <w:sz w:val="20"/>
          <w:szCs w:val="20"/>
          <w:lang w:eastAsia="en-US"/>
        </w:rPr>
        <w:t xml:space="preserve"> €. Koncem </w:t>
      </w:r>
      <w:r>
        <w:rPr>
          <w:rFonts w:ascii="Arial" w:eastAsia="Times New Roman" w:hAnsi="Arial" w:cs="Arial"/>
          <w:bCs/>
          <w:iCs/>
          <w:sz w:val="20"/>
          <w:szCs w:val="20"/>
          <w:lang w:eastAsia="en-US"/>
        </w:rPr>
        <w:t xml:space="preserve">lipnja </w:t>
      </w:r>
      <w:r w:rsidRPr="00AC4C54">
        <w:rPr>
          <w:rFonts w:ascii="Arial" w:eastAsia="Times New Roman" w:hAnsi="Arial" w:cs="Arial"/>
          <w:bCs/>
          <w:iCs/>
          <w:sz w:val="20"/>
          <w:szCs w:val="20"/>
          <w:lang w:eastAsia="en-US"/>
        </w:rPr>
        <w:t>202</w:t>
      </w:r>
      <w:r>
        <w:rPr>
          <w:rFonts w:ascii="Arial" w:eastAsia="Times New Roman" w:hAnsi="Arial" w:cs="Arial"/>
          <w:bCs/>
          <w:iCs/>
          <w:sz w:val="20"/>
          <w:szCs w:val="20"/>
          <w:lang w:eastAsia="en-US"/>
        </w:rPr>
        <w:t>5</w:t>
      </w:r>
      <w:r w:rsidRPr="00AC4C54">
        <w:rPr>
          <w:rFonts w:ascii="Arial" w:eastAsia="Times New Roman" w:hAnsi="Arial" w:cs="Arial"/>
          <w:bCs/>
          <w:iCs/>
          <w:sz w:val="20"/>
          <w:szCs w:val="20"/>
          <w:lang w:eastAsia="en-US"/>
        </w:rPr>
        <w:t xml:space="preserve">. </w:t>
      </w:r>
      <w:r w:rsidRPr="00AC4C54">
        <w:rPr>
          <w:rFonts w:ascii="Arial" w:eastAsia="Times New Roman" w:hAnsi="Arial" w:cs="Arial"/>
          <w:b/>
          <w:iCs/>
          <w:sz w:val="20"/>
          <w:szCs w:val="20"/>
          <w:lang w:eastAsia="en-US"/>
        </w:rPr>
        <w:t>preostala glavnica kredita</w:t>
      </w:r>
      <w:r w:rsidRPr="00AC4C54">
        <w:rPr>
          <w:rFonts w:ascii="Arial" w:eastAsia="Times New Roman" w:hAnsi="Arial" w:cs="Arial"/>
          <w:bCs/>
          <w:iCs/>
          <w:sz w:val="20"/>
          <w:szCs w:val="20"/>
          <w:lang w:eastAsia="en-US"/>
        </w:rPr>
        <w:t xml:space="preserve"> iznosi </w:t>
      </w:r>
      <w:r>
        <w:rPr>
          <w:rFonts w:ascii="Arial" w:eastAsia="Times New Roman" w:hAnsi="Arial" w:cs="Arial"/>
          <w:b/>
          <w:iCs/>
          <w:sz w:val="20"/>
          <w:szCs w:val="20"/>
          <w:lang w:eastAsia="en-US"/>
        </w:rPr>
        <w:t>67.908,78</w:t>
      </w:r>
      <w:r w:rsidRPr="00AC4C54">
        <w:rPr>
          <w:rFonts w:ascii="Arial" w:eastAsia="Times New Roman" w:hAnsi="Arial" w:cs="Arial"/>
          <w:b/>
          <w:iCs/>
          <w:sz w:val="20"/>
          <w:szCs w:val="20"/>
          <w:lang w:eastAsia="en-US"/>
        </w:rPr>
        <w:t xml:space="preserve"> €. </w:t>
      </w:r>
    </w:p>
    <w:p w14:paraId="14EB7BF5" w14:textId="77777777" w:rsidR="00AB04F5" w:rsidRDefault="00AB04F5" w:rsidP="004C43F1">
      <w:pPr>
        <w:spacing w:after="0" w:line="240" w:lineRule="auto"/>
        <w:jc w:val="both"/>
        <w:rPr>
          <w:rFonts w:ascii="Arial" w:eastAsia="Times New Roman" w:hAnsi="Arial" w:cs="Arial"/>
          <w:sz w:val="20"/>
          <w:szCs w:val="20"/>
        </w:rPr>
      </w:pPr>
    </w:p>
    <w:p w14:paraId="5E30AD77" w14:textId="77777777" w:rsidR="00AB04F5" w:rsidRPr="00AC4C54" w:rsidRDefault="00AB04F5" w:rsidP="004C43F1">
      <w:pPr>
        <w:spacing w:after="0" w:line="240" w:lineRule="auto"/>
        <w:jc w:val="both"/>
        <w:rPr>
          <w:rFonts w:ascii="Arial" w:eastAsia="Times New Roman" w:hAnsi="Arial" w:cs="Arial"/>
          <w:sz w:val="20"/>
          <w:szCs w:val="20"/>
        </w:rPr>
      </w:pPr>
    </w:p>
    <w:p w14:paraId="5BED67D2" w14:textId="5FF0DCB0" w:rsidR="00793280" w:rsidRPr="00AC4C54" w:rsidRDefault="00793280" w:rsidP="00793280">
      <w:pPr>
        <w:shd w:val="clear" w:color="auto" w:fill="F2F2F2"/>
        <w:spacing w:after="0" w:line="240" w:lineRule="auto"/>
        <w:jc w:val="both"/>
        <w:rPr>
          <w:rFonts w:ascii="Arial" w:eastAsia="Calibri" w:hAnsi="Arial" w:cs="Arial"/>
          <w:b/>
          <w:sz w:val="20"/>
          <w:szCs w:val="20"/>
          <w:u w:val="single"/>
          <w:lang w:eastAsia="en-US"/>
        </w:rPr>
      </w:pPr>
      <w:r w:rsidRPr="00AC4C54">
        <w:rPr>
          <w:rFonts w:ascii="Arial" w:eastAsia="Calibri" w:hAnsi="Arial" w:cs="Arial"/>
          <w:b/>
          <w:sz w:val="20"/>
          <w:szCs w:val="20"/>
          <w:u w:val="single"/>
          <w:lang w:eastAsia="en-US"/>
        </w:rPr>
        <w:t xml:space="preserve">5. </w:t>
      </w:r>
      <w:r w:rsidRPr="00AC4C54">
        <w:rPr>
          <w:rFonts w:ascii="Arial" w:eastAsia="Calibri" w:hAnsi="Arial" w:cs="Arial"/>
          <w:b/>
          <w:sz w:val="20"/>
          <w:szCs w:val="20"/>
          <w:u w:val="single"/>
          <w:lang w:eastAsia="en-US"/>
        </w:rPr>
        <w:tab/>
        <w:t>Suglasnost za zaduživanje društva ČISTOĆA I ZELENILO KONAVLE D.O.O. (nabava komunalnog vozila</w:t>
      </w:r>
      <w:r w:rsidR="00253DDE">
        <w:rPr>
          <w:rFonts w:ascii="Arial" w:eastAsia="Calibri" w:hAnsi="Arial" w:cs="Arial"/>
          <w:b/>
          <w:sz w:val="20"/>
          <w:szCs w:val="20"/>
          <w:u w:val="single"/>
          <w:lang w:eastAsia="en-US"/>
        </w:rPr>
        <w:t>: MAN TGM 18.290 4X2 BB CH, VOZILO S KRANOM</w:t>
      </w:r>
      <w:r w:rsidRPr="00AC4C54">
        <w:rPr>
          <w:rFonts w:ascii="Arial" w:eastAsia="Calibri" w:hAnsi="Arial" w:cs="Arial"/>
          <w:b/>
          <w:sz w:val="20"/>
          <w:szCs w:val="20"/>
          <w:u w:val="single"/>
        </w:rPr>
        <w:t xml:space="preserve"> – </w:t>
      </w:r>
      <w:r w:rsidRPr="00AC4C54">
        <w:rPr>
          <w:rFonts w:ascii="Arial" w:eastAsia="Calibri" w:hAnsi="Arial" w:cs="Arial"/>
          <w:b/>
          <w:sz w:val="20"/>
          <w:szCs w:val="20"/>
          <w:u w:val="single"/>
          <w:shd w:val="clear" w:color="auto" w:fill="F2F2F2"/>
        </w:rPr>
        <w:t>PBZ leasing d.o.o.</w:t>
      </w:r>
      <w:r w:rsidRPr="00AC4C54">
        <w:rPr>
          <w:rFonts w:ascii="Arial" w:eastAsia="Calibri" w:hAnsi="Arial" w:cs="Arial"/>
          <w:b/>
          <w:sz w:val="20"/>
          <w:szCs w:val="20"/>
          <w:u w:val="single"/>
        </w:rPr>
        <w:t>)</w:t>
      </w:r>
    </w:p>
    <w:p w14:paraId="3DB4D362" w14:textId="77777777" w:rsidR="00793280" w:rsidRPr="00AC4C54" w:rsidRDefault="00793280" w:rsidP="00793280">
      <w:pPr>
        <w:spacing w:after="0" w:line="240" w:lineRule="auto"/>
        <w:jc w:val="both"/>
        <w:rPr>
          <w:rFonts w:ascii="Arial" w:eastAsia="Times New Roman" w:hAnsi="Arial" w:cs="Arial"/>
          <w:bCs/>
          <w:iCs/>
          <w:sz w:val="20"/>
          <w:szCs w:val="20"/>
          <w:lang w:eastAsia="en-US"/>
        </w:rPr>
      </w:pPr>
    </w:p>
    <w:p w14:paraId="5D1E2640" w14:textId="75D0D880" w:rsidR="00793280" w:rsidRPr="00AC4C54" w:rsidRDefault="00793280" w:rsidP="00793280">
      <w:pPr>
        <w:spacing w:after="0" w:line="240" w:lineRule="auto"/>
        <w:jc w:val="both"/>
        <w:rPr>
          <w:rFonts w:ascii="Arial" w:eastAsia="Times New Roman" w:hAnsi="Arial" w:cs="Arial"/>
          <w:sz w:val="20"/>
          <w:szCs w:val="20"/>
        </w:rPr>
      </w:pPr>
      <w:r w:rsidRPr="00AC4C54">
        <w:rPr>
          <w:rFonts w:ascii="Arial" w:eastAsia="Times New Roman" w:hAnsi="Arial" w:cs="Arial"/>
          <w:b/>
          <w:sz w:val="20"/>
          <w:szCs w:val="20"/>
        </w:rPr>
        <w:t xml:space="preserve">Općinsko vijeće Općine Konavle je na </w:t>
      </w:r>
      <w:r w:rsidR="00BF491F" w:rsidRPr="00AC4C54">
        <w:rPr>
          <w:rFonts w:ascii="Arial" w:eastAsia="Times New Roman" w:hAnsi="Arial" w:cs="Arial"/>
          <w:b/>
          <w:sz w:val="20"/>
          <w:szCs w:val="20"/>
        </w:rPr>
        <w:t>22</w:t>
      </w:r>
      <w:r w:rsidRPr="00AC4C54">
        <w:rPr>
          <w:rFonts w:ascii="Arial" w:eastAsia="Times New Roman" w:hAnsi="Arial" w:cs="Arial"/>
          <w:b/>
          <w:sz w:val="20"/>
          <w:szCs w:val="20"/>
        </w:rPr>
        <w:t>. sjednici održanoj 2</w:t>
      </w:r>
      <w:r w:rsidR="00BF491F" w:rsidRPr="00AC4C54">
        <w:rPr>
          <w:rFonts w:ascii="Arial" w:eastAsia="Times New Roman" w:hAnsi="Arial" w:cs="Arial"/>
          <w:b/>
          <w:sz w:val="20"/>
          <w:szCs w:val="20"/>
        </w:rPr>
        <w:t>0</w:t>
      </w:r>
      <w:r w:rsidRPr="00AC4C54">
        <w:rPr>
          <w:rFonts w:ascii="Arial" w:eastAsia="Times New Roman" w:hAnsi="Arial" w:cs="Arial"/>
          <w:b/>
          <w:sz w:val="20"/>
          <w:szCs w:val="20"/>
        </w:rPr>
        <w:t xml:space="preserve">. </w:t>
      </w:r>
      <w:r w:rsidR="00BF491F" w:rsidRPr="00AC4C54">
        <w:rPr>
          <w:rFonts w:ascii="Arial" w:eastAsia="Times New Roman" w:hAnsi="Arial" w:cs="Arial"/>
          <w:b/>
          <w:sz w:val="20"/>
          <w:szCs w:val="20"/>
        </w:rPr>
        <w:t>rujna</w:t>
      </w:r>
      <w:r w:rsidRPr="00AC4C54">
        <w:rPr>
          <w:rFonts w:ascii="Arial" w:eastAsia="Times New Roman" w:hAnsi="Arial" w:cs="Arial"/>
          <w:b/>
          <w:sz w:val="20"/>
          <w:szCs w:val="20"/>
        </w:rPr>
        <w:t xml:space="preserve"> 2024., na temelju članka 127. Zakona o proračunu </w:t>
      </w:r>
      <w:r w:rsidRPr="00AC4C54">
        <w:rPr>
          <w:rFonts w:ascii="Arial" w:eastAsia="Calibri" w:hAnsi="Arial" w:cs="Arial"/>
          <w:b/>
          <w:sz w:val="20"/>
          <w:szCs w:val="20"/>
        </w:rPr>
        <w:t xml:space="preserve">(Narodne novine broj 144/21) donijelo Odluku o davanju suglasnosti za kreditno zaduživanje društva Čistoća i zelenilo Konavle d.o.o. Čilipi. </w:t>
      </w:r>
      <w:r w:rsidRPr="00AC4C54">
        <w:rPr>
          <w:rFonts w:ascii="Arial" w:eastAsia="Calibri" w:hAnsi="Arial" w:cs="Arial"/>
          <w:sz w:val="20"/>
          <w:szCs w:val="20"/>
        </w:rPr>
        <w:t xml:space="preserve">(odluka objavljena u Službenom glasniku Općine Konavle </w:t>
      </w:r>
      <w:r w:rsidR="00BF491F" w:rsidRPr="00AC4C54">
        <w:rPr>
          <w:rFonts w:ascii="Arial" w:eastAsia="Calibri" w:hAnsi="Arial" w:cs="Arial"/>
          <w:sz w:val="20"/>
          <w:szCs w:val="20"/>
        </w:rPr>
        <w:t>7</w:t>
      </w:r>
      <w:r w:rsidRPr="00AC4C54">
        <w:rPr>
          <w:rFonts w:ascii="Arial" w:eastAsia="Calibri" w:hAnsi="Arial" w:cs="Arial"/>
          <w:sz w:val="20"/>
          <w:szCs w:val="20"/>
        </w:rPr>
        <w:t xml:space="preserve">/2024). Čistoća i zelenilo Konavle d.o.o. je zaključilo ugovor </w:t>
      </w:r>
      <w:r w:rsidR="00BF491F" w:rsidRPr="00AC4C54">
        <w:rPr>
          <w:rFonts w:ascii="Arial" w:eastAsia="Times New Roman" w:hAnsi="Arial" w:cs="Arial"/>
          <w:sz w:val="20"/>
          <w:szCs w:val="20"/>
        </w:rPr>
        <w:t>22.10.</w:t>
      </w:r>
      <w:r w:rsidRPr="00AC4C54">
        <w:rPr>
          <w:rFonts w:ascii="Arial" w:eastAsia="Times New Roman" w:hAnsi="Arial" w:cs="Arial"/>
          <w:sz w:val="20"/>
          <w:szCs w:val="20"/>
        </w:rPr>
        <w:t xml:space="preserve">2024. godine s PBZ leasing d.o.o. u iznosu </w:t>
      </w:r>
      <w:r w:rsidR="00BF491F" w:rsidRPr="00AC4C54">
        <w:rPr>
          <w:rFonts w:ascii="Arial" w:eastAsia="Times New Roman" w:hAnsi="Arial" w:cs="Arial"/>
          <w:sz w:val="20"/>
          <w:szCs w:val="20"/>
        </w:rPr>
        <w:t>305.068,40</w:t>
      </w:r>
      <w:r w:rsidRPr="00AC4C54">
        <w:rPr>
          <w:rFonts w:ascii="Arial" w:eastAsia="Times New Roman" w:hAnsi="Arial" w:cs="Arial"/>
          <w:sz w:val="20"/>
          <w:szCs w:val="20"/>
        </w:rPr>
        <w:t xml:space="preserve"> € (</w:t>
      </w:r>
      <w:r w:rsidRPr="00253DDE">
        <w:rPr>
          <w:rFonts w:ascii="Arial" w:eastAsia="Times New Roman" w:hAnsi="Arial" w:cs="Arial"/>
          <w:b/>
          <w:bCs/>
          <w:sz w:val="20"/>
          <w:szCs w:val="20"/>
        </w:rPr>
        <w:t xml:space="preserve">sveukupno glavnica </w:t>
      </w:r>
      <w:r w:rsidR="00BF491F" w:rsidRPr="00253DDE">
        <w:rPr>
          <w:rFonts w:ascii="Arial" w:eastAsia="Times New Roman" w:hAnsi="Arial" w:cs="Arial"/>
          <w:b/>
          <w:bCs/>
          <w:sz w:val="20"/>
          <w:szCs w:val="20"/>
        </w:rPr>
        <w:t>275.000</w:t>
      </w:r>
      <w:r w:rsidRPr="00AC4C54">
        <w:rPr>
          <w:rFonts w:ascii="Arial" w:eastAsia="Times New Roman" w:hAnsi="Arial" w:cs="Arial"/>
          <w:sz w:val="20"/>
          <w:szCs w:val="20"/>
        </w:rPr>
        <w:t xml:space="preserve"> €, kamate i naknade). Obračun prvog obroka leasinga počinje prvi dan u mjesecu koji slijedi mjesecu u kojem je izvršena primopredaja objekta leasinga. Redovna kamatna stopa je fiksna i iznosi </w:t>
      </w:r>
      <w:r w:rsidR="00BF491F" w:rsidRPr="00AC4C54">
        <w:rPr>
          <w:rFonts w:ascii="Arial" w:eastAsia="Times New Roman" w:hAnsi="Arial" w:cs="Arial"/>
          <w:sz w:val="20"/>
          <w:szCs w:val="20"/>
        </w:rPr>
        <w:t>5,14</w:t>
      </w:r>
      <w:r w:rsidRPr="00AC4C54">
        <w:rPr>
          <w:rFonts w:ascii="Arial" w:eastAsia="Times New Roman" w:hAnsi="Arial" w:cs="Arial"/>
          <w:sz w:val="20"/>
          <w:szCs w:val="20"/>
        </w:rPr>
        <w:t xml:space="preserve">% godišnje, a obračunava se i plaća mjesečno. Zatezna kamatna stopa je u visini zakonske zatezne kamate. Nema troška odobravanja kredita. Sredstva osiguranja su 1 zadužnica Korisnika kredita. Otplata je u </w:t>
      </w:r>
      <w:r w:rsidR="00BF491F" w:rsidRPr="00AC4C54">
        <w:rPr>
          <w:rFonts w:ascii="Arial" w:eastAsia="Times New Roman" w:hAnsi="Arial" w:cs="Arial"/>
          <w:sz w:val="20"/>
          <w:szCs w:val="20"/>
        </w:rPr>
        <w:t>60</w:t>
      </w:r>
      <w:r w:rsidRPr="00AC4C54">
        <w:rPr>
          <w:rFonts w:ascii="Arial" w:eastAsia="Times New Roman" w:hAnsi="Arial" w:cs="Arial"/>
          <w:sz w:val="20"/>
          <w:szCs w:val="20"/>
        </w:rPr>
        <w:t xml:space="preserve"> redovitih mjesečnih obroka kredita (jednaki obroci). </w:t>
      </w:r>
    </w:p>
    <w:p w14:paraId="68AE424F" w14:textId="7C79BD7A" w:rsidR="00793280" w:rsidRPr="00AC4C54" w:rsidRDefault="00793280" w:rsidP="00793280">
      <w:pPr>
        <w:spacing w:after="0" w:line="240" w:lineRule="auto"/>
        <w:jc w:val="both"/>
        <w:rPr>
          <w:rFonts w:ascii="Arial" w:eastAsia="Times New Roman" w:hAnsi="Arial" w:cs="Arial"/>
          <w:sz w:val="20"/>
          <w:szCs w:val="20"/>
        </w:rPr>
      </w:pPr>
      <w:r w:rsidRPr="00AC4C54">
        <w:rPr>
          <w:rFonts w:ascii="Arial" w:eastAsia="Times New Roman" w:hAnsi="Arial" w:cs="Arial"/>
          <w:bCs/>
          <w:iCs/>
          <w:sz w:val="20"/>
          <w:szCs w:val="20"/>
          <w:lang w:eastAsia="en-US"/>
        </w:rPr>
        <w:t xml:space="preserve">Društvo je u </w:t>
      </w:r>
      <w:r w:rsidR="00BF491F" w:rsidRPr="00AC4C54">
        <w:rPr>
          <w:rFonts w:ascii="Arial" w:eastAsia="Times New Roman" w:hAnsi="Arial" w:cs="Arial"/>
          <w:bCs/>
          <w:iCs/>
          <w:sz w:val="20"/>
          <w:szCs w:val="20"/>
          <w:lang w:eastAsia="en-US"/>
        </w:rPr>
        <w:t>prosincu</w:t>
      </w:r>
      <w:r w:rsidRPr="00AC4C54">
        <w:rPr>
          <w:rFonts w:ascii="Arial" w:eastAsia="Times New Roman" w:hAnsi="Arial" w:cs="Arial"/>
          <w:bCs/>
          <w:iCs/>
          <w:sz w:val="20"/>
          <w:szCs w:val="20"/>
          <w:lang w:eastAsia="en-US"/>
        </w:rPr>
        <w:t xml:space="preserve"> 2024. podmirilo učešće za kredit u iznosu </w:t>
      </w:r>
      <w:r w:rsidR="00BF491F" w:rsidRPr="00AC4C54">
        <w:rPr>
          <w:rFonts w:ascii="Arial" w:eastAsia="Times New Roman" w:hAnsi="Arial" w:cs="Arial"/>
          <w:bCs/>
          <w:iCs/>
          <w:sz w:val="20"/>
          <w:szCs w:val="20"/>
          <w:lang w:eastAsia="en-US"/>
        </w:rPr>
        <w:t>55.000</w:t>
      </w:r>
      <w:r w:rsidRPr="00AC4C54">
        <w:rPr>
          <w:rFonts w:ascii="Arial" w:eastAsia="Times New Roman" w:hAnsi="Arial" w:cs="Arial"/>
          <w:bCs/>
          <w:iCs/>
          <w:sz w:val="20"/>
          <w:szCs w:val="20"/>
          <w:lang w:eastAsia="en-US"/>
        </w:rPr>
        <w:t xml:space="preserve"> €. </w:t>
      </w:r>
      <w:r w:rsidRPr="00AC4C54">
        <w:rPr>
          <w:rFonts w:ascii="Arial" w:eastAsia="Times New Roman" w:hAnsi="Arial" w:cs="Arial"/>
          <w:sz w:val="20"/>
          <w:szCs w:val="20"/>
        </w:rPr>
        <w:t xml:space="preserve">Primopredaja objekta leasinga je bila </w:t>
      </w:r>
      <w:r w:rsidR="003C0469" w:rsidRPr="00AC4C54">
        <w:rPr>
          <w:rFonts w:ascii="Arial" w:eastAsia="Times New Roman" w:hAnsi="Arial" w:cs="Arial"/>
          <w:sz w:val="20"/>
          <w:szCs w:val="20"/>
        </w:rPr>
        <w:t xml:space="preserve">u prosincu </w:t>
      </w:r>
      <w:r w:rsidRPr="00AC4C54">
        <w:rPr>
          <w:rFonts w:ascii="Arial" w:eastAsia="Times New Roman" w:hAnsi="Arial" w:cs="Arial"/>
          <w:sz w:val="20"/>
          <w:szCs w:val="20"/>
        </w:rPr>
        <w:t>2024.</w:t>
      </w:r>
    </w:p>
    <w:p w14:paraId="0F4D9E95" w14:textId="0E2FFB7D" w:rsidR="00793280" w:rsidRPr="00AC4C54" w:rsidRDefault="00793280" w:rsidP="00793280">
      <w:pPr>
        <w:spacing w:after="0" w:line="240" w:lineRule="auto"/>
        <w:jc w:val="both"/>
        <w:rPr>
          <w:rFonts w:ascii="Arial" w:eastAsia="Times New Roman" w:hAnsi="Arial" w:cs="Arial"/>
          <w:b/>
          <w:iCs/>
          <w:sz w:val="20"/>
          <w:szCs w:val="20"/>
          <w:lang w:eastAsia="en-US"/>
        </w:rPr>
      </w:pPr>
      <w:r w:rsidRPr="00AC4C54">
        <w:rPr>
          <w:rFonts w:ascii="Arial" w:eastAsia="Times New Roman" w:hAnsi="Arial" w:cs="Arial"/>
          <w:bCs/>
          <w:iCs/>
          <w:sz w:val="20"/>
          <w:szCs w:val="20"/>
          <w:lang w:eastAsia="en-US"/>
        </w:rPr>
        <w:t xml:space="preserve">Koncem 2024. </w:t>
      </w:r>
      <w:r w:rsidRPr="00AC4C54">
        <w:rPr>
          <w:rFonts w:ascii="Arial" w:eastAsia="Times New Roman" w:hAnsi="Arial" w:cs="Arial"/>
          <w:b/>
          <w:iCs/>
          <w:sz w:val="20"/>
          <w:szCs w:val="20"/>
          <w:lang w:eastAsia="en-US"/>
        </w:rPr>
        <w:t>preostala glavnica kredita</w:t>
      </w:r>
      <w:r w:rsidRPr="00AC4C54">
        <w:rPr>
          <w:rFonts w:ascii="Arial" w:eastAsia="Times New Roman" w:hAnsi="Arial" w:cs="Arial"/>
          <w:bCs/>
          <w:iCs/>
          <w:sz w:val="20"/>
          <w:szCs w:val="20"/>
          <w:lang w:eastAsia="en-US"/>
        </w:rPr>
        <w:t xml:space="preserve"> iznosi </w:t>
      </w:r>
      <w:r w:rsidR="003C0469" w:rsidRPr="00AC4C54">
        <w:rPr>
          <w:rFonts w:ascii="Arial" w:eastAsia="Times New Roman" w:hAnsi="Arial" w:cs="Arial"/>
          <w:b/>
          <w:iCs/>
          <w:sz w:val="20"/>
          <w:szCs w:val="20"/>
          <w:lang w:eastAsia="en-US"/>
        </w:rPr>
        <w:t>220.000</w:t>
      </w:r>
      <w:r w:rsidRPr="00AC4C54">
        <w:rPr>
          <w:rFonts w:ascii="Arial" w:eastAsia="Times New Roman" w:hAnsi="Arial" w:cs="Arial"/>
          <w:b/>
          <w:iCs/>
          <w:sz w:val="20"/>
          <w:szCs w:val="20"/>
          <w:lang w:eastAsia="en-US"/>
        </w:rPr>
        <w:t xml:space="preserve"> €. </w:t>
      </w:r>
    </w:p>
    <w:p w14:paraId="0161F40C" w14:textId="77777777" w:rsidR="00593653" w:rsidRPr="00AC4C54" w:rsidRDefault="00593653" w:rsidP="004C43F1">
      <w:pPr>
        <w:spacing w:after="0" w:line="240" w:lineRule="auto"/>
        <w:jc w:val="both"/>
        <w:rPr>
          <w:rFonts w:ascii="Arial" w:eastAsia="Times New Roman" w:hAnsi="Arial" w:cs="Arial"/>
          <w:sz w:val="20"/>
          <w:szCs w:val="20"/>
        </w:rPr>
      </w:pPr>
    </w:p>
    <w:p w14:paraId="378749B2" w14:textId="3284FB77" w:rsidR="00B11D85" w:rsidRPr="00AC4C54" w:rsidRDefault="00B11D85" w:rsidP="00B11D85">
      <w:pPr>
        <w:spacing w:after="0" w:line="240" w:lineRule="auto"/>
        <w:jc w:val="both"/>
        <w:rPr>
          <w:rFonts w:ascii="Arial" w:eastAsia="Times New Roman" w:hAnsi="Arial" w:cs="Arial"/>
          <w:b/>
          <w:iCs/>
          <w:sz w:val="20"/>
          <w:szCs w:val="20"/>
          <w:lang w:eastAsia="en-US"/>
        </w:rPr>
      </w:pPr>
      <w:r w:rsidRPr="00AC4C54">
        <w:rPr>
          <w:rFonts w:ascii="Arial" w:eastAsia="Times New Roman" w:hAnsi="Arial" w:cs="Arial"/>
          <w:bCs/>
          <w:iCs/>
          <w:sz w:val="20"/>
          <w:szCs w:val="20"/>
          <w:lang w:eastAsia="en-US"/>
        </w:rPr>
        <w:t>U 202</w:t>
      </w:r>
      <w:r>
        <w:rPr>
          <w:rFonts w:ascii="Arial" w:eastAsia="Times New Roman" w:hAnsi="Arial" w:cs="Arial"/>
          <w:bCs/>
          <w:iCs/>
          <w:sz w:val="20"/>
          <w:szCs w:val="20"/>
          <w:lang w:eastAsia="en-US"/>
        </w:rPr>
        <w:t>5</w:t>
      </w:r>
      <w:r w:rsidRPr="00AC4C54">
        <w:rPr>
          <w:rFonts w:ascii="Arial" w:eastAsia="Times New Roman" w:hAnsi="Arial" w:cs="Arial"/>
          <w:bCs/>
          <w:iCs/>
          <w:sz w:val="20"/>
          <w:szCs w:val="20"/>
          <w:lang w:eastAsia="en-US"/>
        </w:rPr>
        <w:t xml:space="preserve">. društvo je otplatilo glavnicu u iznosu </w:t>
      </w:r>
      <w:r>
        <w:rPr>
          <w:rFonts w:ascii="Arial" w:eastAsia="Times New Roman" w:hAnsi="Arial" w:cs="Arial"/>
          <w:bCs/>
          <w:iCs/>
          <w:sz w:val="20"/>
          <w:szCs w:val="20"/>
          <w:lang w:eastAsia="en-US"/>
        </w:rPr>
        <w:t>19.460,20</w:t>
      </w:r>
      <w:r w:rsidRPr="00AC4C54">
        <w:rPr>
          <w:rFonts w:ascii="Arial" w:eastAsia="Times New Roman" w:hAnsi="Arial" w:cs="Arial"/>
          <w:bCs/>
          <w:iCs/>
          <w:sz w:val="20"/>
          <w:szCs w:val="20"/>
          <w:lang w:eastAsia="en-US"/>
        </w:rPr>
        <w:t xml:space="preserve"> € i kamate u iznosu </w:t>
      </w:r>
      <w:r>
        <w:rPr>
          <w:rFonts w:ascii="Arial" w:eastAsia="Times New Roman" w:hAnsi="Arial" w:cs="Arial"/>
          <w:bCs/>
          <w:iCs/>
          <w:sz w:val="20"/>
          <w:szCs w:val="20"/>
          <w:lang w:eastAsia="en-US"/>
        </w:rPr>
        <w:t>5.446,64</w:t>
      </w:r>
      <w:r w:rsidRPr="00AC4C54">
        <w:rPr>
          <w:rFonts w:ascii="Arial" w:eastAsia="Times New Roman" w:hAnsi="Arial" w:cs="Arial"/>
          <w:bCs/>
          <w:iCs/>
          <w:sz w:val="20"/>
          <w:szCs w:val="20"/>
          <w:lang w:eastAsia="en-US"/>
        </w:rPr>
        <w:t xml:space="preserve"> €. Koncem </w:t>
      </w:r>
      <w:r>
        <w:rPr>
          <w:rFonts w:ascii="Arial" w:eastAsia="Times New Roman" w:hAnsi="Arial" w:cs="Arial"/>
          <w:bCs/>
          <w:iCs/>
          <w:sz w:val="20"/>
          <w:szCs w:val="20"/>
          <w:lang w:eastAsia="en-US"/>
        </w:rPr>
        <w:t xml:space="preserve">lipnja </w:t>
      </w:r>
      <w:r w:rsidRPr="00AC4C54">
        <w:rPr>
          <w:rFonts w:ascii="Arial" w:eastAsia="Times New Roman" w:hAnsi="Arial" w:cs="Arial"/>
          <w:bCs/>
          <w:iCs/>
          <w:sz w:val="20"/>
          <w:szCs w:val="20"/>
          <w:lang w:eastAsia="en-US"/>
        </w:rPr>
        <w:t>202</w:t>
      </w:r>
      <w:r>
        <w:rPr>
          <w:rFonts w:ascii="Arial" w:eastAsia="Times New Roman" w:hAnsi="Arial" w:cs="Arial"/>
          <w:bCs/>
          <w:iCs/>
          <w:sz w:val="20"/>
          <w:szCs w:val="20"/>
          <w:lang w:eastAsia="en-US"/>
        </w:rPr>
        <w:t>5</w:t>
      </w:r>
      <w:r w:rsidRPr="00AC4C54">
        <w:rPr>
          <w:rFonts w:ascii="Arial" w:eastAsia="Times New Roman" w:hAnsi="Arial" w:cs="Arial"/>
          <w:bCs/>
          <w:iCs/>
          <w:sz w:val="20"/>
          <w:szCs w:val="20"/>
          <w:lang w:eastAsia="en-US"/>
        </w:rPr>
        <w:t xml:space="preserve">. </w:t>
      </w:r>
      <w:r w:rsidRPr="00AC4C54">
        <w:rPr>
          <w:rFonts w:ascii="Arial" w:eastAsia="Times New Roman" w:hAnsi="Arial" w:cs="Arial"/>
          <w:b/>
          <w:iCs/>
          <w:sz w:val="20"/>
          <w:szCs w:val="20"/>
          <w:lang w:eastAsia="en-US"/>
        </w:rPr>
        <w:t>preostala glavnica kredita</w:t>
      </w:r>
      <w:r w:rsidRPr="00AC4C54">
        <w:rPr>
          <w:rFonts w:ascii="Arial" w:eastAsia="Times New Roman" w:hAnsi="Arial" w:cs="Arial"/>
          <w:bCs/>
          <w:iCs/>
          <w:sz w:val="20"/>
          <w:szCs w:val="20"/>
          <w:lang w:eastAsia="en-US"/>
        </w:rPr>
        <w:t xml:space="preserve"> iznosi </w:t>
      </w:r>
      <w:r>
        <w:rPr>
          <w:rFonts w:ascii="Arial" w:eastAsia="Times New Roman" w:hAnsi="Arial" w:cs="Arial"/>
          <w:b/>
          <w:iCs/>
          <w:sz w:val="20"/>
          <w:szCs w:val="20"/>
          <w:lang w:eastAsia="en-US"/>
        </w:rPr>
        <w:t>200.539,80</w:t>
      </w:r>
      <w:r w:rsidRPr="00AC4C54">
        <w:rPr>
          <w:rFonts w:ascii="Arial" w:eastAsia="Times New Roman" w:hAnsi="Arial" w:cs="Arial"/>
          <w:b/>
          <w:iCs/>
          <w:sz w:val="20"/>
          <w:szCs w:val="20"/>
          <w:lang w:eastAsia="en-US"/>
        </w:rPr>
        <w:t xml:space="preserve"> €. </w:t>
      </w:r>
    </w:p>
    <w:p w14:paraId="0D91BD5F" w14:textId="77777777" w:rsidR="00793280" w:rsidRDefault="00793280" w:rsidP="004C43F1">
      <w:pPr>
        <w:spacing w:after="0" w:line="240" w:lineRule="auto"/>
        <w:jc w:val="both"/>
        <w:rPr>
          <w:rFonts w:ascii="Arial" w:eastAsia="Times New Roman" w:hAnsi="Arial" w:cs="Arial"/>
        </w:rPr>
      </w:pPr>
    </w:p>
    <w:p w14:paraId="35F05925" w14:textId="77777777" w:rsidR="00793280" w:rsidRPr="003A2F86" w:rsidRDefault="00793280" w:rsidP="004C43F1">
      <w:pPr>
        <w:spacing w:after="0" w:line="240" w:lineRule="auto"/>
        <w:jc w:val="both"/>
        <w:rPr>
          <w:rFonts w:ascii="Arial" w:eastAsia="Times New Roman" w:hAnsi="Arial" w:cs="Arial"/>
        </w:rPr>
      </w:pPr>
    </w:p>
    <w:p w14:paraId="52A56A1C" w14:textId="77777777" w:rsidR="00A3648D" w:rsidRPr="003A2F86" w:rsidRDefault="00A3648D" w:rsidP="00A3648D">
      <w:pPr>
        <w:spacing w:after="0" w:line="240" w:lineRule="auto"/>
        <w:rPr>
          <w:rFonts w:ascii="Arial" w:eastAsia="Times New Roman" w:hAnsi="Arial" w:cs="Arial"/>
        </w:rPr>
      </w:pPr>
      <w:r w:rsidRPr="003A2F86">
        <w:rPr>
          <w:rFonts w:ascii="Arial" w:eastAsia="Times New Roman" w:hAnsi="Arial" w:cs="Arial"/>
        </w:rPr>
        <w:br w:type="page"/>
      </w:r>
    </w:p>
    <w:p w14:paraId="155FCBC2" w14:textId="77777777" w:rsidR="00EA65B3" w:rsidRPr="00850B5A" w:rsidRDefault="00EA65B3" w:rsidP="00EA65B3">
      <w:pPr>
        <w:spacing w:after="0" w:line="240" w:lineRule="auto"/>
      </w:pPr>
    </w:p>
    <w:p w14:paraId="0A05433E" w14:textId="590028D9" w:rsidR="000650E1" w:rsidRPr="00850B5A" w:rsidRDefault="006D222A" w:rsidP="000650E1">
      <w:pPr>
        <w:pStyle w:val="Naslov1"/>
        <w:rPr>
          <w:rFonts w:ascii="Arial" w:hAnsi="Arial" w:cs="Arial"/>
          <w:sz w:val="22"/>
          <w:lang w:val="hr-HR"/>
        </w:rPr>
      </w:pPr>
      <w:bookmarkStart w:id="453" w:name="_Toc207707500"/>
      <w:r w:rsidRPr="00850B5A">
        <w:rPr>
          <w:rFonts w:ascii="Arial" w:eastAsia="Calibri" w:hAnsi="Arial" w:cs="Arial"/>
          <w:sz w:val="22"/>
          <w:lang w:val="hr-HR"/>
        </w:rPr>
        <w:t>7</w:t>
      </w:r>
      <w:r w:rsidR="000650E1" w:rsidRPr="00850B5A">
        <w:rPr>
          <w:rFonts w:ascii="Arial" w:eastAsia="Calibri" w:hAnsi="Arial" w:cs="Arial"/>
          <w:sz w:val="22"/>
          <w:lang w:val="hr-HR"/>
        </w:rPr>
        <w:t xml:space="preserve">. </w:t>
      </w:r>
      <w:r w:rsidR="000650E1" w:rsidRPr="00850B5A">
        <w:rPr>
          <w:rFonts w:ascii="Arial" w:eastAsia="Calibri" w:hAnsi="Arial" w:cs="Arial"/>
          <w:sz w:val="22"/>
          <w:lang w:val="hr-HR"/>
        </w:rPr>
        <w:tab/>
      </w:r>
      <w:bookmarkStart w:id="454" w:name="Bilanca_razina_22_i_23"/>
      <w:bookmarkEnd w:id="454"/>
      <w:r w:rsidR="000650E1" w:rsidRPr="00850B5A">
        <w:rPr>
          <w:rFonts w:ascii="Arial" w:eastAsia="Calibri" w:hAnsi="Arial" w:cs="Arial"/>
          <w:sz w:val="22"/>
          <w:lang w:val="hr-HR"/>
        </w:rPr>
        <w:t>STANJE IMOVINE I OBVEZA, BILANCA (financijski izvještaji)</w:t>
      </w:r>
      <w:bookmarkEnd w:id="453"/>
    </w:p>
    <w:p w14:paraId="06F1535B" w14:textId="77777777" w:rsidR="000650E1" w:rsidRPr="00781A43" w:rsidRDefault="000650E1" w:rsidP="000650E1">
      <w:pPr>
        <w:autoSpaceDE w:val="0"/>
        <w:autoSpaceDN w:val="0"/>
        <w:adjustRightInd w:val="0"/>
        <w:spacing w:after="0" w:line="240" w:lineRule="auto"/>
        <w:rPr>
          <w:rFonts w:ascii="Arial" w:eastAsia="Times New Roman" w:hAnsi="Arial" w:cs="Arial"/>
          <w:sz w:val="20"/>
          <w:szCs w:val="20"/>
        </w:rPr>
      </w:pPr>
    </w:p>
    <w:p w14:paraId="33710462" w14:textId="77777777" w:rsidR="00F5221E" w:rsidRPr="00AC4C54" w:rsidRDefault="000650E1" w:rsidP="000650E1">
      <w:pPr>
        <w:autoSpaceDE w:val="0"/>
        <w:autoSpaceDN w:val="0"/>
        <w:adjustRightInd w:val="0"/>
        <w:spacing w:after="0" w:line="240" w:lineRule="auto"/>
        <w:jc w:val="both"/>
        <w:rPr>
          <w:rFonts w:ascii="Arial" w:eastAsia="Times New Roman" w:hAnsi="Arial" w:cs="Arial"/>
          <w:sz w:val="20"/>
          <w:szCs w:val="20"/>
        </w:rPr>
      </w:pPr>
      <w:r w:rsidRPr="00AC4C54">
        <w:rPr>
          <w:rFonts w:ascii="Arial" w:eastAsia="Times New Roman" w:hAnsi="Arial" w:cs="Arial"/>
          <w:sz w:val="20"/>
          <w:szCs w:val="20"/>
        </w:rPr>
        <w:t xml:space="preserve">Sukladno Pravilniku o financijskom izvještavanju u proračunskom računovodstvu (Narodne novine 3/15, 93/15, 135/15, 2/17, 28/17, 112/18, 126/19, 145/20) financijski izvještaji proračuna jedinice lokalne i područne (regionalne) samouprave za razdoblje od 1. siječnja do 31. prosinca sastoje se od Izvještaja o prihodima i rashodima, primicima i izdacima; Izvještaja o rashodima prema funkcijskoj klasifikaciji; Izvještaja o obvezama; Izvještaja o promjenama u vrijednosti i obujmu imovine i obveza; Bilance i Bilješki. </w:t>
      </w:r>
    </w:p>
    <w:p w14:paraId="73177584" w14:textId="7B2E1F3B" w:rsidR="000650E1" w:rsidRPr="00AC4C54" w:rsidRDefault="000650E1" w:rsidP="000650E1">
      <w:pPr>
        <w:autoSpaceDE w:val="0"/>
        <w:autoSpaceDN w:val="0"/>
        <w:adjustRightInd w:val="0"/>
        <w:spacing w:after="0" w:line="240" w:lineRule="auto"/>
        <w:jc w:val="both"/>
        <w:rPr>
          <w:rFonts w:ascii="Arial" w:eastAsia="Times New Roman" w:hAnsi="Arial" w:cs="Arial"/>
          <w:sz w:val="20"/>
          <w:szCs w:val="20"/>
        </w:rPr>
      </w:pPr>
      <w:r w:rsidRPr="00AC4C54">
        <w:rPr>
          <w:rFonts w:ascii="Arial" w:eastAsia="Times New Roman" w:hAnsi="Arial" w:cs="Arial"/>
          <w:sz w:val="20"/>
          <w:szCs w:val="20"/>
        </w:rPr>
        <w:t>Za izvještajno razdoblje siječanj – lipanj sastavlja se samo Izvještaj o prihodima i rashodima, primicima i izdacima; Izvještaj o obvezama i Bilješke.</w:t>
      </w:r>
    </w:p>
    <w:p w14:paraId="10D205B4" w14:textId="77777777" w:rsidR="00F5221E" w:rsidRPr="00AC4C54" w:rsidRDefault="00F5221E" w:rsidP="00F5221E">
      <w:pPr>
        <w:autoSpaceDE w:val="0"/>
        <w:autoSpaceDN w:val="0"/>
        <w:adjustRightInd w:val="0"/>
        <w:spacing w:after="0" w:line="240" w:lineRule="auto"/>
        <w:jc w:val="both"/>
        <w:rPr>
          <w:rFonts w:ascii="Arial" w:eastAsia="Times New Roman" w:hAnsi="Arial" w:cs="Arial"/>
          <w:sz w:val="20"/>
          <w:szCs w:val="20"/>
        </w:rPr>
      </w:pPr>
    </w:p>
    <w:p w14:paraId="643182F6" w14:textId="119D52DC" w:rsidR="00F5221E" w:rsidRPr="00AC4C54" w:rsidRDefault="00F5221E" w:rsidP="00F5221E">
      <w:pPr>
        <w:autoSpaceDE w:val="0"/>
        <w:autoSpaceDN w:val="0"/>
        <w:adjustRightInd w:val="0"/>
        <w:spacing w:after="0" w:line="240" w:lineRule="auto"/>
        <w:jc w:val="both"/>
        <w:rPr>
          <w:rFonts w:ascii="Arial" w:eastAsia="Times New Roman" w:hAnsi="Arial" w:cs="Arial"/>
          <w:sz w:val="20"/>
          <w:szCs w:val="20"/>
        </w:rPr>
      </w:pPr>
      <w:r w:rsidRPr="00AC4C54">
        <w:rPr>
          <w:rFonts w:ascii="Arial" w:hAnsi="Arial" w:cs="Arial"/>
          <w:b/>
          <w:bCs/>
          <w:i/>
          <w:iCs/>
          <w:sz w:val="20"/>
          <w:szCs w:val="20"/>
          <w:u w:val="single"/>
        </w:rPr>
        <w:t>* Napomena:</w:t>
      </w:r>
      <w:r w:rsidRPr="00AC4C54">
        <w:rPr>
          <w:rFonts w:ascii="Arial" w:hAnsi="Arial" w:cs="Arial"/>
          <w:b/>
          <w:bCs/>
          <w:i/>
          <w:iCs/>
          <w:sz w:val="20"/>
          <w:szCs w:val="20"/>
        </w:rPr>
        <w:t xml:space="preserve"> dalje u tekstu to</w:t>
      </w:r>
      <w:r w:rsidRPr="00AC4C54">
        <w:rPr>
          <w:rFonts w:ascii="Arial,BoldItalic" w:hAnsi="Arial,BoldItalic" w:cs="Arial,BoldItalic"/>
          <w:b/>
          <w:bCs/>
          <w:i/>
          <w:iCs/>
          <w:sz w:val="20"/>
          <w:szCs w:val="20"/>
        </w:rPr>
        <w:t>č</w:t>
      </w:r>
      <w:r w:rsidRPr="00AC4C54">
        <w:rPr>
          <w:rFonts w:ascii="Arial" w:hAnsi="Arial" w:cs="Arial"/>
          <w:b/>
          <w:bCs/>
          <w:i/>
          <w:iCs/>
          <w:sz w:val="20"/>
          <w:szCs w:val="20"/>
        </w:rPr>
        <w:t>ke 8. navode se podaci iz Bilance (financijskog izvještaja) na dan 31.12.20</w:t>
      </w:r>
      <w:r w:rsidR="00850B5A" w:rsidRPr="00AC4C54">
        <w:rPr>
          <w:rFonts w:ascii="Arial" w:hAnsi="Arial" w:cs="Arial"/>
          <w:b/>
          <w:bCs/>
          <w:i/>
          <w:iCs/>
          <w:sz w:val="20"/>
          <w:szCs w:val="20"/>
        </w:rPr>
        <w:t>24</w:t>
      </w:r>
      <w:r w:rsidRPr="00AC4C54">
        <w:rPr>
          <w:rFonts w:ascii="Arial" w:hAnsi="Arial" w:cs="Arial"/>
          <w:b/>
          <w:bCs/>
          <w:i/>
          <w:iCs/>
          <w:sz w:val="20"/>
          <w:szCs w:val="20"/>
        </w:rPr>
        <w:t>.</w:t>
      </w:r>
      <w:r w:rsidR="00772FA7">
        <w:rPr>
          <w:rFonts w:ascii="Arial" w:hAnsi="Arial" w:cs="Arial"/>
          <w:b/>
          <w:bCs/>
          <w:i/>
          <w:iCs/>
          <w:sz w:val="20"/>
          <w:szCs w:val="20"/>
        </w:rPr>
        <w:t>, a usporedo se daju podaci iz glavne knjige o imovini i obvezama na dan 30.06.2025. jer ne postoji obveza sastavljanja bilance na dan 30.06. tekuće godine.</w:t>
      </w:r>
    </w:p>
    <w:p w14:paraId="72BE1173" w14:textId="77777777" w:rsidR="000650E1" w:rsidRPr="00AC4C54" w:rsidRDefault="000650E1" w:rsidP="000650E1">
      <w:pPr>
        <w:autoSpaceDE w:val="0"/>
        <w:autoSpaceDN w:val="0"/>
        <w:adjustRightInd w:val="0"/>
        <w:spacing w:after="0" w:line="240" w:lineRule="auto"/>
        <w:jc w:val="both"/>
        <w:rPr>
          <w:rFonts w:ascii="Arial" w:eastAsia="Times New Roman" w:hAnsi="Arial" w:cs="Arial"/>
          <w:sz w:val="20"/>
          <w:szCs w:val="20"/>
        </w:rPr>
      </w:pPr>
    </w:p>
    <w:p w14:paraId="00B04FF5" w14:textId="0C880E4F" w:rsidR="000650E1" w:rsidRPr="00850B5A" w:rsidRDefault="006D222A" w:rsidP="000650E1">
      <w:pPr>
        <w:pStyle w:val="Naslov2"/>
        <w:jc w:val="center"/>
        <w:rPr>
          <w:rFonts w:ascii="Arial" w:hAnsi="Arial" w:cs="Arial"/>
          <w:sz w:val="22"/>
          <w:lang w:val="hr-HR"/>
        </w:rPr>
      </w:pPr>
      <w:bookmarkStart w:id="455" w:name="_Toc207707501"/>
      <w:r w:rsidRPr="00850B5A">
        <w:rPr>
          <w:rFonts w:ascii="Arial" w:hAnsi="Arial" w:cs="Arial"/>
          <w:sz w:val="22"/>
          <w:lang w:val="hr-HR"/>
        </w:rPr>
        <w:t>7</w:t>
      </w:r>
      <w:r w:rsidR="000650E1" w:rsidRPr="00850B5A">
        <w:rPr>
          <w:rFonts w:ascii="Arial" w:hAnsi="Arial" w:cs="Arial"/>
          <w:sz w:val="22"/>
          <w:lang w:val="hr-HR"/>
        </w:rPr>
        <w:t>.1.</w:t>
      </w:r>
      <w:r w:rsidR="000650E1" w:rsidRPr="00850B5A">
        <w:rPr>
          <w:rFonts w:ascii="Arial" w:hAnsi="Arial" w:cs="Arial"/>
          <w:sz w:val="22"/>
          <w:lang w:val="hr-HR"/>
        </w:rPr>
        <w:tab/>
        <w:t>STANJE IMOVINE I OBVEZA – OPĆINA, razina 22</w:t>
      </w:r>
      <w:bookmarkEnd w:id="455"/>
    </w:p>
    <w:p w14:paraId="06F82221" w14:textId="77777777" w:rsidR="000650E1" w:rsidRPr="00781A43" w:rsidRDefault="000650E1" w:rsidP="000650E1">
      <w:pPr>
        <w:autoSpaceDE w:val="0"/>
        <w:autoSpaceDN w:val="0"/>
        <w:adjustRightInd w:val="0"/>
        <w:spacing w:after="0" w:line="240" w:lineRule="auto"/>
        <w:jc w:val="both"/>
        <w:rPr>
          <w:rFonts w:ascii="Arial" w:eastAsia="Times New Roman" w:hAnsi="Arial" w:cs="Arial"/>
          <w:sz w:val="20"/>
          <w:szCs w:val="20"/>
        </w:rPr>
      </w:pPr>
    </w:p>
    <w:p w14:paraId="78420156" w14:textId="1D97F9CB" w:rsidR="000650E1" w:rsidRPr="00AC4C54" w:rsidRDefault="000650E1" w:rsidP="000650E1">
      <w:pPr>
        <w:autoSpaceDE w:val="0"/>
        <w:autoSpaceDN w:val="0"/>
        <w:adjustRightInd w:val="0"/>
        <w:spacing w:after="0" w:line="240" w:lineRule="auto"/>
        <w:jc w:val="both"/>
        <w:rPr>
          <w:rFonts w:ascii="Arial" w:eastAsia="Times New Roman" w:hAnsi="Arial" w:cs="Arial"/>
          <w:sz w:val="20"/>
          <w:szCs w:val="20"/>
        </w:rPr>
      </w:pPr>
      <w:r w:rsidRPr="00AC4C54">
        <w:rPr>
          <w:rFonts w:ascii="Arial" w:eastAsia="Times New Roman" w:hAnsi="Arial" w:cs="Arial"/>
          <w:sz w:val="20"/>
          <w:szCs w:val="20"/>
        </w:rPr>
        <w:t>U ovom dijelu imovine i obveza opisuje se stanje imovine i obveza iz bilance Općine (bez pripadajuće imovine i obveza proračunskih korisnika) na dan 31.12.20</w:t>
      </w:r>
      <w:r w:rsidR="00E378E4" w:rsidRPr="00AC4C54">
        <w:rPr>
          <w:rFonts w:ascii="Arial" w:eastAsia="Times New Roman" w:hAnsi="Arial" w:cs="Arial"/>
          <w:sz w:val="20"/>
          <w:szCs w:val="20"/>
        </w:rPr>
        <w:t>2</w:t>
      </w:r>
      <w:r w:rsidR="00772FA7">
        <w:rPr>
          <w:rFonts w:ascii="Arial" w:eastAsia="Times New Roman" w:hAnsi="Arial" w:cs="Arial"/>
          <w:sz w:val="20"/>
          <w:szCs w:val="20"/>
        </w:rPr>
        <w:t>4</w:t>
      </w:r>
      <w:r w:rsidRPr="00AC4C54">
        <w:rPr>
          <w:rFonts w:ascii="Arial" w:eastAsia="Times New Roman" w:hAnsi="Arial" w:cs="Arial"/>
          <w:sz w:val="20"/>
          <w:szCs w:val="20"/>
        </w:rPr>
        <w:t>. (odnosno 1.1.202</w:t>
      </w:r>
      <w:r w:rsidR="00772FA7">
        <w:rPr>
          <w:rFonts w:ascii="Arial" w:eastAsia="Times New Roman" w:hAnsi="Arial" w:cs="Arial"/>
          <w:sz w:val="20"/>
          <w:szCs w:val="20"/>
        </w:rPr>
        <w:t>5</w:t>
      </w:r>
      <w:r w:rsidRPr="00AC4C54">
        <w:rPr>
          <w:rFonts w:ascii="Arial" w:eastAsia="Times New Roman" w:hAnsi="Arial" w:cs="Arial"/>
          <w:sz w:val="20"/>
          <w:szCs w:val="20"/>
        </w:rPr>
        <w:t xml:space="preserve">.) i na dan </w:t>
      </w:r>
      <w:r w:rsidR="00772FA7">
        <w:rPr>
          <w:rFonts w:ascii="Arial" w:eastAsia="Times New Roman" w:hAnsi="Arial" w:cs="Arial"/>
          <w:sz w:val="20"/>
          <w:szCs w:val="20"/>
        </w:rPr>
        <w:t>30.06.2025</w:t>
      </w:r>
      <w:r w:rsidRPr="00AC4C54">
        <w:rPr>
          <w:rFonts w:ascii="Arial" w:eastAsia="Times New Roman" w:hAnsi="Arial" w:cs="Arial"/>
          <w:sz w:val="20"/>
          <w:szCs w:val="20"/>
        </w:rPr>
        <w:t xml:space="preserve">. </w:t>
      </w:r>
    </w:p>
    <w:p w14:paraId="173A322C" w14:textId="77777777" w:rsidR="000650E1" w:rsidRPr="00850B5A" w:rsidRDefault="000650E1" w:rsidP="000650E1">
      <w:pPr>
        <w:spacing w:after="0" w:line="240" w:lineRule="auto"/>
        <w:jc w:val="both"/>
        <w:rPr>
          <w:rFonts w:ascii="Arial" w:eastAsia="Times New Roman" w:hAnsi="Arial" w:cs="Arial"/>
          <w:sz w:val="18"/>
          <w:szCs w:val="16"/>
          <w:lang w:eastAsia="en-US"/>
        </w:rPr>
      </w:pPr>
    </w:p>
    <w:p w14:paraId="2EA38FD6" w14:textId="65F1E398" w:rsidR="000650E1" w:rsidRPr="003A2F86"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Cs w:val="20"/>
          <w:lang w:eastAsia="en-US"/>
        </w:rPr>
      </w:pPr>
      <w:r w:rsidRPr="003A2F86">
        <w:rPr>
          <w:rFonts w:ascii="Arial" w:eastAsia="Times New Roman" w:hAnsi="Arial" w:cs="Arial"/>
          <w:b/>
          <w:szCs w:val="20"/>
          <w:lang w:eastAsia="en-US"/>
        </w:rPr>
        <w:t>1.</w:t>
      </w:r>
      <w:r w:rsidRPr="003A2F86">
        <w:rPr>
          <w:rFonts w:ascii="Arial" w:eastAsia="Times New Roman" w:hAnsi="Arial" w:cs="Arial"/>
          <w:b/>
          <w:szCs w:val="20"/>
          <w:lang w:eastAsia="en-US"/>
        </w:rPr>
        <w:tab/>
        <w:t xml:space="preserve">IMOVINA </w:t>
      </w:r>
      <w:r w:rsidRPr="003A2F86">
        <w:rPr>
          <w:rFonts w:ascii="Arial" w:eastAsia="Times New Roman" w:hAnsi="Arial" w:cs="Arial"/>
          <w:b/>
          <w:szCs w:val="20"/>
          <w:lang w:eastAsia="en-US"/>
        </w:rPr>
        <w:tab/>
      </w:r>
    </w:p>
    <w:p w14:paraId="53D1D404" w14:textId="77777777" w:rsidR="000650E1" w:rsidRPr="003A2F86" w:rsidRDefault="000650E1" w:rsidP="000650E1">
      <w:pPr>
        <w:spacing w:after="0" w:line="240" w:lineRule="auto"/>
        <w:jc w:val="both"/>
        <w:rPr>
          <w:rFonts w:ascii="Arial" w:eastAsia="Times New Roman" w:hAnsi="Arial" w:cs="Arial"/>
          <w:b/>
          <w:iCs/>
          <w:sz w:val="16"/>
          <w:szCs w:val="16"/>
          <w:lang w:eastAsia="en-US"/>
        </w:rPr>
      </w:pPr>
    </w:p>
    <w:p w14:paraId="77159987" w14:textId="10E1CF4B" w:rsidR="00850B5A" w:rsidRPr="00A264B7" w:rsidRDefault="00850B5A" w:rsidP="00850B5A">
      <w:pPr>
        <w:spacing w:after="0" w:line="240" w:lineRule="auto"/>
        <w:jc w:val="both"/>
        <w:rPr>
          <w:rFonts w:ascii="Arial" w:eastAsia="Times New Roman" w:hAnsi="Arial" w:cs="Arial"/>
          <w:bCs/>
          <w:iCs/>
          <w:sz w:val="20"/>
          <w:szCs w:val="20"/>
          <w:lang w:eastAsia="en-US"/>
        </w:rPr>
      </w:pPr>
      <w:r w:rsidRPr="00A264B7">
        <w:rPr>
          <w:rFonts w:ascii="Arial" w:eastAsia="Times New Roman" w:hAnsi="Arial" w:cs="Arial"/>
          <w:b/>
          <w:bCs/>
          <w:iCs/>
          <w:sz w:val="20"/>
          <w:szCs w:val="20"/>
          <w:lang w:eastAsia="en-US"/>
        </w:rPr>
        <w:t>RAZRED 0 i 1</w:t>
      </w:r>
      <w:r w:rsidRPr="00A264B7">
        <w:rPr>
          <w:rFonts w:ascii="Arial" w:eastAsia="Times New Roman" w:hAnsi="Arial" w:cs="Arial"/>
          <w:bCs/>
          <w:iCs/>
          <w:sz w:val="20"/>
          <w:szCs w:val="20"/>
          <w:lang w:eastAsia="en-US"/>
        </w:rPr>
        <w:t>:</w:t>
      </w:r>
      <w:r w:rsidRPr="00A264B7">
        <w:rPr>
          <w:rFonts w:ascii="Arial" w:eastAsia="Times New Roman" w:hAnsi="Arial" w:cs="Arial"/>
          <w:bCs/>
          <w:iCs/>
          <w:sz w:val="20"/>
          <w:szCs w:val="20"/>
          <w:lang w:eastAsia="en-US"/>
        </w:rPr>
        <w:tab/>
        <w:t xml:space="preserve">Ukupna vrijednost imovine koncem </w:t>
      </w:r>
      <w:r w:rsidR="00A264B7" w:rsidRPr="00A264B7">
        <w:rPr>
          <w:rFonts w:ascii="Arial" w:eastAsia="Times New Roman" w:hAnsi="Arial" w:cs="Arial"/>
          <w:bCs/>
          <w:iCs/>
          <w:sz w:val="20"/>
          <w:szCs w:val="20"/>
          <w:lang w:eastAsia="en-US"/>
        </w:rPr>
        <w:t xml:space="preserve">lipnja </w:t>
      </w:r>
      <w:r w:rsidRPr="00A264B7">
        <w:rPr>
          <w:rFonts w:ascii="Arial" w:eastAsia="Times New Roman" w:hAnsi="Arial" w:cs="Arial"/>
          <w:bCs/>
          <w:iCs/>
          <w:sz w:val="20"/>
          <w:szCs w:val="20"/>
          <w:lang w:eastAsia="en-US"/>
        </w:rPr>
        <w:t>202</w:t>
      </w:r>
      <w:r w:rsidR="00A264B7" w:rsidRPr="00A264B7">
        <w:rPr>
          <w:rFonts w:ascii="Arial" w:eastAsia="Times New Roman" w:hAnsi="Arial" w:cs="Arial"/>
          <w:bCs/>
          <w:iCs/>
          <w:sz w:val="20"/>
          <w:szCs w:val="20"/>
          <w:lang w:eastAsia="en-US"/>
        </w:rPr>
        <w:t>5</w:t>
      </w:r>
      <w:r w:rsidRPr="00A264B7">
        <w:rPr>
          <w:rFonts w:ascii="Arial" w:eastAsia="Times New Roman" w:hAnsi="Arial" w:cs="Arial"/>
          <w:bCs/>
          <w:iCs/>
          <w:sz w:val="20"/>
          <w:szCs w:val="20"/>
          <w:lang w:eastAsia="en-US"/>
        </w:rPr>
        <w:t xml:space="preserve">. iznosi </w:t>
      </w:r>
      <w:r w:rsidR="00A264B7" w:rsidRPr="00A264B7">
        <w:rPr>
          <w:rFonts w:ascii="Arial" w:eastAsia="Times New Roman" w:hAnsi="Arial" w:cs="Arial"/>
          <w:bCs/>
          <w:iCs/>
          <w:sz w:val="20"/>
          <w:szCs w:val="20"/>
          <w:lang w:eastAsia="en-US"/>
        </w:rPr>
        <w:t>71.969.709,91</w:t>
      </w:r>
      <w:r w:rsidRPr="00A264B7">
        <w:rPr>
          <w:rFonts w:ascii="Arial" w:eastAsia="Times New Roman" w:hAnsi="Arial" w:cs="Arial"/>
          <w:bCs/>
          <w:iCs/>
          <w:sz w:val="20"/>
          <w:szCs w:val="20"/>
          <w:lang w:eastAsia="en-US"/>
        </w:rPr>
        <w:t xml:space="preserve"> €, a u odnosu na prethodnu godinu povećana je za </w:t>
      </w:r>
      <w:r w:rsidR="00A264B7" w:rsidRPr="00A264B7">
        <w:rPr>
          <w:rFonts w:ascii="Arial" w:eastAsia="Times New Roman" w:hAnsi="Arial" w:cs="Arial"/>
          <w:bCs/>
          <w:iCs/>
          <w:sz w:val="20"/>
          <w:szCs w:val="20"/>
          <w:lang w:eastAsia="en-US"/>
        </w:rPr>
        <w:t>2.679.941,13</w:t>
      </w:r>
      <w:r w:rsidRPr="00A264B7">
        <w:rPr>
          <w:rFonts w:ascii="Arial" w:eastAsia="Times New Roman" w:hAnsi="Arial" w:cs="Arial"/>
          <w:bCs/>
          <w:iCs/>
          <w:sz w:val="20"/>
          <w:szCs w:val="20"/>
          <w:lang w:eastAsia="en-US"/>
        </w:rPr>
        <w:t xml:space="preserve"> € ili </w:t>
      </w:r>
      <w:r w:rsidR="00A264B7" w:rsidRPr="00A264B7">
        <w:rPr>
          <w:rFonts w:ascii="Arial" w:eastAsia="Times New Roman" w:hAnsi="Arial" w:cs="Arial"/>
          <w:bCs/>
          <w:iCs/>
          <w:sz w:val="20"/>
          <w:szCs w:val="20"/>
          <w:lang w:eastAsia="en-US"/>
        </w:rPr>
        <w:t>3,9</w:t>
      </w:r>
      <w:r w:rsidRPr="00A264B7">
        <w:rPr>
          <w:rFonts w:ascii="Arial" w:eastAsia="Times New Roman" w:hAnsi="Arial" w:cs="Arial"/>
          <w:bCs/>
          <w:iCs/>
          <w:sz w:val="20"/>
          <w:szCs w:val="20"/>
          <w:lang w:eastAsia="en-US"/>
        </w:rPr>
        <w:t xml:space="preserve">%. </w:t>
      </w:r>
    </w:p>
    <w:p w14:paraId="4C95D5A5" w14:textId="23C90482" w:rsidR="007127A6" w:rsidRPr="003A2F86" w:rsidRDefault="00772FA7" w:rsidP="007127A6">
      <w:pPr>
        <w:pStyle w:val="Tijeloteksta2"/>
        <w:jc w:val="center"/>
        <w:rPr>
          <w:rFonts w:ascii="Arial" w:hAnsi="Arial" w:cs="Arial"/>
          <w:bCs/>
          <w:iCs/>
          <w:sz w:val="22"/>
          <w:szCs w:val="22"/>
          <w:lang w:val="hr-HR"/>
        </w:rPr>
      </w:pPr>
      <w:r w:rsidRPr="00772FA7">
        <w:rPr>
          <w:noProof/>
        </w:rPr>
        <w:drawing>
          <wp:inline distT="0" distB="0" distL="0" distR="0" wp14:anchorId="4271C775" wp14:editId="7F05FD07">
            <wp:extent cx="6391275" cy="2667000"/>
            <wp:effectExtent l="0" t="0" r="9525" b="0"/>
            <wp:docPr id="952512030"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91275" cy="2667000"/>
                    </a:xfrm>
                    <a:prstGeom prst="rect">
                      <a:avLst/>
                    </a:prstGeom>
                    <a:noFill/>
                    <a:ln>
                      <a:noFill/>
                    </a:ln>
                  </pic:spPr>
                </pic:pic>
              </a:graphicData>
            </a:graphic>
          </wp:inline>
        </w:drawing>
      </w:r>
    </w:p>
    <w:p w14:paraId="38C75477" w14:textId="77777777" w:rsidR="007127A6" w:rsidRPr="00A264B7" w:rsidRDefault="007127A6" w:rsidP="007127A6">
      <w:pPr>
        <w:pStyle w:val="Tijeloteksta2"/>
        <w:rPr>
          <w:rFonts w:ascii="Arial" w:hAnsi="Arial" w:cs="Arial"/>
          <w:bCs/>
          <w:iCs/>
          <w:sz w:val="22"/>
          <w:szCs w:val="22"/>
          <w:lang w:val="hr-HR"/>
        </w:rPr>
      </w:pPr>
    </w:p>
    <w:p w14:paraId="686DE1BA" w14:textId="156A758A" w:rsidR="00850B5A" w:rsidRPr="00A264B7" w:rsidRDefault="00850B5A" w:rsidP="00850B5A">
      <w:pPr>
        <w:spacing w:after="0" w:line="240" w:lineRule="auto"/>
        <w:jc w:val="both"/>
        <w:rPr>
          <w:rFonts w:ascii="Arial" w:eastAsia="Times New Roman" w:hAnsi="Arial" w:cs="Arial"/>
          <w:iCs/>
          <w:sz w:val="20"/>
          <w:szCs w:val="20"/>
          <w:lang w:eastAsia="en-US"/>
        </w:rPr>
      </w:pPr>
      <w:bookmarkStart w:id="456" w:name="_Hlk112760098"/>
      <w:bookmarkStart w:id="457" w:name="_Toc443896179"/>
      <w:r w:rsidRPr="00A264B7">
        <w:rPr>
          <w:rFonts w:ascii="Arial" w:eastAsia="Times New Roman" w:hAnsi="Arial" w:cs="Arial"/>
          <w:b/>
          <w:bCs/>
          <w:iCs/>
          <w:sz w:val="20"/>
          <w:szCs w:val="20"/>
          <w:lang w:eastAsia="en-US"/>
        </w:rPr>
        <w:t>SKUPINA 01</w:t>
      </w:r>
      <w:bookmarkEnd w:id="456"/>
      <w:r w:rsidRPr="00A264B7">
        <w:rPr>
          <w:rFonts w:ascii="Arial" w:eastAsia="Times New Roman" w:hAnsi="Arial" w:cs="Arial"/>
          <w:bCs/>
          <w:iCs/>
          <w:sz w:val="20"/>
          <w:szCs w:val="20"/>
          <w:lang w:eastAsia="en-US"/>
        </w:rPr>
        <w:t>:</w:t>
      </w:r>
      <w:r w:rsidRPr="00A264B7">
        <w:rPr>
          <w:rFonts w:ascii="Arial" w:eastAsia="Times New Roman" w:hAnsi="Arial" w:cs="Arial"/>
          <w:bCs/>
          <w:iCs/>
          <w:sz w:val="20"/>
          <w:szCs w:val="20"/>
          <w:lang w:eastAsia="en-US"/>
        </w:rPr>
        <w:tab/>
        <w:t>Neproizvedena dugotrajna imovina (</w:t>
      </w:r>
      <w:r w:rsidRPr="00A264B7">
        <w:rPr>
          <w:rFonts w:ascii="Arial" w:eastAsia="Times New Roman" w:hAnsi="Arial" w:cs="Arial"/>
          <w:b/>
          <w:bCs/>
          <w:iCs/>
          <w:sz w:val="20"/>
          <w:szCs w:val="20"/>
          <w:lang w:eastAsia="en-US"/>
        </w:rPr>
        <w:t>01</w:t>
      </w:r>
      <w:r w:rsidRPr="00A264B7">
        <w:rPr>
          <w:rFonts w:ascii="Arial" w:eastAsia="Times New Roman" w:hAnsi="Arial" w:cs="Arial"/>
          <w:bCs/>
          <w:iCs/>
          <w:sz w:val="20"/>
          <w:szCs w:val="20"/>
          <w:lang w:eastAsia="en-US"/>
        </w:rPr>
        <w:t xml:space="preserve">) iznosi 20.005.849,56 € </w:t>
      </w:r>
      <w:r w:rsidR="00A264B7" w:rsidRPr="00A264B7">
        <w:rPr>
          <w:rFonts w:ascii="Arial" w:eastAsia="Times New Roman" w:hAnsi="Arial" w:cs="Arial"/>
          <w:bCs/>
          <w:iCs/>
          <w:sz w:val="20"/>
          <w:szCs w:val="20"/>
          <w:lang w:eastAsia="en-US"/>
        </w:rPr>
        <w:t>i vrijednost se nije mijenjala u odnosu na prethodnu godinu</w:t>
      </w:r>
      <w:r w:rsidRPr="00A264B7">
        <w:rPr>
          <w:rFonts w:ascii="Arial" w:eastAsia="Times New Roman" w:hAnsi="Arial" w:cs="Arial"/>
          <w:bCs/>
          <w:iCs/>
          <w:sz w:val="20"/>
          <w:szCs w:val="20"/>
          <w:lang w:eastAsia="en-US"/>
        </w:rPr>
        <w:t xml:space="preserve">. </w:t>
      </w:r>
    </w:p>
    <w:p w14:paraId="5A799521" w14:textId="77777777" w:rsidR="00850B5A" w:rsidRPr="005270C2" w:rsidRDefault="00850B5A" w:rsidP="00850B5A">
      <w:pPr>
        <w:spacing w:after="0" w:line="240" w:lineRule="auto"/>
        <w:jc w:val="both"/>
        <w:rPr>
          <w:rFonts w:ascii="Arial" w:eastAsia="Times New Roman" w:hAnsi="Arial" w:cs="Arial"/>
          <w:iCs/>
          <w:lang w:eastAsia="en-US"/>
        </w:rPr>
      </w:pPr>
    </w:p>
    <w:p w14:paraId="055AF6CC" w14:textId="67449DB5" w:rsidR="00850B5A" w:rsidRPr="002446FB" w:rsidRDefault="00850B5A" w:rsidP="00850B5A">
      <w:pPr>
        <w:spacing w:after="0" w:line="240" w:lineRule="auto"/>
        <w:jc w:val="both"/>
        <w:rPr>
          <w:rFonts w:ascii="Arial" w:eastAsia="Times New Roman" w:hAnsi="Arial" w:cs="Arial"/>
          <w:bCs/>
          <w:iCs/>
          <w:sz w:val="20"/>
          <w:szCs w:val="20"/>
          <w:lang w:eastAsia="en-US"/>
        </w:rPr>
      </w:pPr>
      <w:r w:rsidRPr="005270C2">
        <w:rPr>
          <w:rFonts w:ascii="Arial" w:eastAsia="Times New Roman" w:hAnsi="Arial" w:cs="Arial"/>
          <w:b/>
          <w:bCs/>
          <w:iCs/>
          <w:sz w:val="20"/>
          <w:szCs w:val="20"/>
          <w:lang w:eastAsia="en-US"/>
        </w:rPr>
        <w:t>SKUPINA 02</w:t>
      </w:r>
      <w:r w:rsidRPr="005270C2">
        <w:rPr>
          <w:rFonts w:ascii="Arial" w:eastAsia="Times New Roman" w:hAnsi="Arial" w:cs="Arial"/>
          <w:bCs/>
          <w:iCs/>
          <w:sz w:val="20"/>
          <w:szCs w:val="20"/>
          <w:lang w:eastAsia="en-US"/>
        </w:rPr>
        <w:t>:</w:t>
      </w:r>
      <w:r w:rsidRPr="005270C2">
        <w:rPr>
          <w:rFonts w:ascii="Arial" w:eastAsia="Times New Roman" w:hAnsi="Arial" w:cs="Arial"/>
          <w:bCs/>
          <w:iCs/>
          <w:sz w:val="20"/>
          <w:szCs w:val="20"/>
          <w:lang w:eastAsia="en-US"/>
        </w:rPr>
        <w:tab/>
        <w:t>Proizvedena dugotrajna imovina (</w:t>
      </w:r>
      <w:r w:rsidRPr="005270C2">
        <w:rPr>
          <w:rFonts w:ascii="Arial" w:eastAsia="Times New Roman" w:hAnsi="Arial" w:cs="Arial"/>
          <w:b/>
          <w:bCs/>
          <w:iCs/>
          <w:sz w:val="20"/>
          <w:szCs w:val="20"/>
          <w:lang w:eastAsia="en-US"/>
        </w:rPr>
        <w:t>02</w:t>
      </w:r>
      <w:r w:rsidRPr="005270C2">
        <w:rPr>
          <w:rFonts w:ascii="Arial" w:eastAsia="Times New Roman" w:hAnsi="Arial" w:cs="Arial"/>
          <w:bCs/>
          <w:iCs/>
          <w:sz w:val="20"/>
          <w:szCs w:val="20"/>
          <w:lang w:eastAsia="en-US"/>
        </w:rPr>
        <w:t xml:space="preserve">) koncem </w:t>
      </w:r>
      <w:r w:rsidR="00A264B7" w:rsidRPr="005270C2">
        <w:rPr>
          <w:rFonts w:ascii="Arial" w:eastAsia="Times New Roman" w:hAnsi="Arial" w:cs="Arial"/>
          <w:bCs/>
          <w:iCs/>
          <w:sz w:val="20"/>
          <w:szCs w:val="20"/>
          <w:lang w:eastAsia="en-US"/>
        </w:rPr>
        <w:t xml:space="preserve">lipnja </w:t>
      </w:r>
      <w:r w:rsidRPr="005270C2">
        <w:rPr>
          <w:rFonts w:ascii="Arial" w:eastAsia="Times New Roman" w:hAnsi="Arial" w:cs="Arial"/>
          <w:bCs/>
          <w:iCs/>
          <w:sz w:val="20"/>
          <w:szCs w:val="20"/>
          <w:lang w:eastAsia="en-US"/>
        </w:rPr>
        <w:t>202</w:t>
      </w:r>
      <w:r w:rsidR="00A264B7" w:rsidRPr="005270C2">
        <w:rPr>
          <w:rFonts w:ascii="Arial" w:eastAsia="Times New Roman" w:hAnsi="Arial" w:cs="Arial"/>
          <w:bCs/>
          <w:iCs/>
          <w:sz w:val="20"/>
          <w:szCs w:val="20"/>
          <w:lang w:eastAsia="en-US"/>
        </w:rPr>
        <w:t>5</w:t>
      </w:r>
      <w:r w:rsidRPr="005270C2">
        <w:rPr>
          <w:rFonts w:ascii="Arial" w:eastAsia="Times New Roman" w:hAnsi="Arial" w:cs="Arial"/>
          <w:bCs/>
          <w:iCs/>
          <w:sz w:val="20"/>
          <w:szCs w:val="20"/>
          <w:lang w:eastAsia="en-US"/>
        </w:rPr>
        <w:t xml:space="preserve">. godine iznosi </w:t>
      </w:r>
      <w:r w:rsidR="005270C2" w:rsidRPr="005270C2">
        <w:rPr>
          <w:rFonts w:ascii="Arial" w:eastAsia="Times New Roman" w:hAnsi="Arial" w:cs="Arial"/>
          <w:bCs/>
          <w:iCs/>
          <w:sz w:val="20"/>
          <w:szCs w:val="20"/>
          <w:lang w:eastAsia="en-US"/>
        </w:rPr>
        <w:t>15.730.536,84</w:t>
      </w:r>
      <w:r w:rsidRPr="005270C2">
        <w:rPr>
          <w:rFonts w:ascii="Arial" w:eastAsia="Times New Roman" w:hAnsi="Arial" w:cs="Arial"/>
          <w:bCs/>
          <w:iCs/>
          <w:sz w:val="20"/>
          <w:szCs w:val="20"/>
          <w:lang w:eastAsia="en-US"/>
        </w:rPr>
        <w:t xml:space="preserve"> € što je za </w:t>
      </w:r>
      <w:r w:rsidR="005270C2" w:rsidRPr="005270C2">
        <w:rPr>
          <w:rFonts w:ascii="Arial" w:eastAsia="Times New Roman" w:hAnsi="Arial" w:cs="Arial"/>
          <w:bCs/>
          <w:iCs/>
          <w:sz w:val="20"/>
          <w:szCs w:val="20"/>
          <w:lang w:eastAsia="en-US"/>
        </w:rPr>
        <w:t>927.662,28</w:t>
      </w:r>
      <w:r w:rsidRPr="005270C2">
        <w:rPr>
          <w:rFonts w:ascii="Arial" w:eastAsia="Times New Roman" w:hAnsi="Arial" w:cs="Arial"/>
          <w:bCs/>
          <w:iCs/>
          <w:sz w:val="20"/>
          <w:szCs w:val="20"/>
          <w:lang w:eastAsia="en-US"/>
        </w:rPr>
        <w:t xml:space="preserve"> € ili </w:t>
      </w:r>
      <w:r w:rsidR="005270C2" w:rsidRPr="005270C2">
        <w:rPr>
          <w:rFonts w:ascii="Arial" w:eastAsia="Times New Roman" w:hAnsi="Arial" w:cs="Arial"/>
          <w:bCs/>
          <w:iCs/>
          <w:sz w:val="20"/>
          <w:szCs w:val="20"/>
          <w:lang w:eastAsia="en-US"/>
        </w:rPr>
        <w:t>6,3</w:t>
      </w:r>
      <w:r w:rsidRPr="005270C2">
        <w:rPr>
          <w:rFonts w:ascii="Arial" w:eastAsia="Times New Roman" w:hAnsi="Arial" w:cs="Arial"/>
          <w:bCs/>
          <w:iCs/>
          <w:sz w:val="20"/>
          <w:szCs w:val="20"/>
          <w:lang w:eastAsia="en-US"/>
        </w:rPr>
        <w:t xml:space="preserve">% više u odnosu na prethodnu godinu. </w:t>
      </w:r>
    </w:p>
    <w:p w14:paraId="0DBAA17E" w14:textId="77777777" w:rsidR="00850B5A" w:rsidRPr="002446FB" w:rsidRDefault="00850B5A" w:rsidP="00850B5A">
      <w:pPr>
        <w:spacing w:after="0" w:line="240" w:lineRule="auto"/>
        <w:jc w:val="both"/>
        <w:rPr>
          <w:rFonts w:ascii="Arial" w:eastAsia="Times New Roman" w:hAnsi="Arial" w:cs="Arial"/>
          <w:bCs/>
          <w:iCs/>
          <w:sz w:val="20"/>
          <w:szCs w:val="20"/>
          <w:lang w:eastAsia="en-US"/>
        </w:rPr>
      </w:pPr>
    </w:p>
    <w:p w14:paraId="4BD206C9" w14:textId="5B19763C" w:rsidR="00850B5A" w:rsidRPr="002446FB" w:rsidRDefault="00850B5A" w:rsidP="00850B5A">
      <w:pPr>
        <w:spacing w:after="0" w:line="240" w:lineRule="auto"/>
        <w:jc w:val="both"/>
        <w:rPr>
          <w:rFonts w:ascii="Arial" w:eastAsia="Times New Roman" w:hAnsi="Arial" w:cs="Arial"/>
          <w:bCs/>
          <w:iCs/>
          <w:sz w:val="20"/>
          <w:szCs w:val="20"/>
          <w:lang w:eastAsia="en-US"/>
        </w:rPr>
      </w:pPr>
      <w:r w:rsidRPr="002446FB">
        <w:rPr>
          <w:rFonts w:ascii="Arial" w:eastAsia="Times New Roman" w:hAnsi="Arial" w:cs="Arial"/>
          <w:bCs/>
          <w:iCs/>
          <w:sz w:val="20"/>
          <w:szCs w:val="20"/>
          <w:lang w:eastAsia="en-US"/>
        </w:rPr>
        <w:t>Vrijednosno najznačajnije ulaganje tijekom 202</w:t>
      </w:r>
      <w:r w:rsidR="0022032A" w:rsidRPr="002446FB">
        <w:rPr>
          <w:rFonts w:ascii="Arial" w:eastAsia="Times New Roman" w:hAnsi="Arial" w:cs="Arial"/>
          <w:bCs/>
          <w:iCs/>
          <w:sz w:val="20"/>
          <w:szCs w:val="20"/>
          <w:lang w:eastAsia="en-US"/>
        </w:rPr>
        <w:t>5</w:t>
      </w:r>
      <w:r w:rsidRPr="002446FB">
        <w:rPr>
          <w:rFonts w:ascii="Arial" w:eastAsia="Times New Roman" w:hAnsi="Arial" w:cs="Arial"/>
          <w:bCs/>
          <w:iCs/>
          <w:sz w:val="20"/>
          <w:szCs w:val="20"/>
          <w:lang w:eastAsia="en-US"/>
        </w:rPr>
        <w:t xml:space="preserve">. godine se odnosi na </w:t>
      </w:r>
      <w:r w:rsidR="0022032A" w:rsidRPr="002446FB">
        <w:rPr>
          <w:rFonts w:ascii="Arial" w:eastAsia="Times New Roman" w:hAnsi="Arial" w:cs="Arial"/>
          <w:bCs/>
          <w:iCs/>
          <w:sz w:val="20"/>
          <w:szCs w:val="20"/>
          <w:lang w:eastAsia="en-US"/>
        </w:rPr>
        <w:t xml:space="preserve">nabavu komunalnog vozila 272.333,75 €, proširenje javne rasvjete </w:t>
      </w:r>
      <w:r w:rsidR="002446FB" w:rsidRPr="002446FB">
        <w:rPr>
          <w:rFonts w:ascii="Arial" w:eastAsia="Times New Roman" w:hAnsi="Arial" w:cs="Arial"/>
          <w:bCs/>
          <w:iCs/>
          <w:sz w:val="20"/>
          <w:szCs w:val="20"/>
          <w:lang w:eastAsia="en-US"/>
        </w:rPr>
        <w:t xml:space="preserve">na više lokacija diljem Općine </w:t>
      </w:r>
      <w:r w:rsidR="0022032A" w:rsidRPr="002446FB">
        <w:rPr>
          <w:rFonts w:ascii="Arial" w:eastAsia="Times New Roman" w:hAnsi="Arial" w:cs="Arial"/>
          <w:bCs/>
          <w:iCs/>
          <w:sz w:val="20"/>
          <w:szCs w:val="20"/>
          <w:lang w:eastAsia="en-US"/>
        </w:rPr>
        <w:t>173.344,05 €,</w:t>
      </w:r>
      <w:r w:rsidR="002446FB" w:rsidRPr="002446FB">
        <w:rPr>
          <w:rFonts w:ascii="Arial" w:eastAsia="Times New Roman" w:hAnsi="Arial" w:cs="Arial"/>
          <w:bCs/>
          <w:iCs/>
          <w:sz w:val="20"/>
          <w:szCs w:val="20"/>
          <w:lang w:eastAsia="en-US"/>
        </w:rPr>
        <w:t xml:space="preserve"> izgradnja nogostupa u Čilipima 66.021,62 €, radovi na parkingu Gruda, Tiha i Zvekovica 131.018,30 €, u</w:t>
      </w:r>
      <w:r w:rsidRPr="002446FB">
        <w:rPr>
          <w:rFonts w:ascii="Arial" w:eastAsia="Times New Roman" w:hAnsi="Arial" w:cs="Arial"/>
          <w:bCs/>
          <w:iCs/>
          <w:sz w:val="20"/>
          <w:szCs w:val="20"/>
          <w:lang w:eastAsia="en-US"/>
        </w:rPr>
        <w:t xml:space="preserve">ređenje dječjih igrališta </w:t>
      </w:r>
      <w:r w:rsidR="0022032A" w:rsidRPr="002446FB">
        <w:rPr>
          <w:rFonts w:ascii="Arial" w:eastAsia="Times New Roman" w:hAnsi="Arial" w:cs="Arial"/>
          <w:bCs/>
          <w:iCs/>
          <w:sz w:val="20"/>
          <w:szCs w:val="20"/>
          <w:lang w:eastAsia="en-US"/>
        </w:rPr>
        <w:t>76.934,23</w:t>
      </w:r>
      <w:r w:rsidRPr="002446FB">
        <w:rPr>
          <w:rFonts w:ascii="Arial" w:eastAsia="Times New Roman" w:hAnsi="Arial" w:cs="Arial"/>
          <w:bCs/>
          <w:iCs/>
          <w:sz w:val="20"/>
          <w:szCs w:val="20"/>
          <w:lang w:eastAsia="en-US"/>
        </w:rPr>
        <w:t xml:space="preserve"> €. </w:t>
      </w:r>
    </w:p>
    <w:p w14:paraId="535B26B5" w14:textId="77777777" w:rsidR="00850B5A" w:rsidRPr="0022032A" w:rsidRDefault="00850B5A" w:rsidP="00850B5A">
      <w:pPr>
        <w:spacing w:after="0" w:line="240" w:lineRule="auto"/>
        <w:jc w:val="both"/>
        <w:rPr>
          <w:rFonts w:ascii="Arial" w:eastAsia="Times New Roman" w:hAnsi="Arial" w:cs="Arial"/>
          <w:bCs/>
          <w:iCs/>
          <w:sz w:val="20"/>
          <w:szCs w:val="20"/>
          <w:lang w:eastAsia="en-US"/>
        </w:rPr>
      </w:pPr>
    </w:p>
    <w:p w14:paraId="36A2BD71" w14:textId="2A164459" w:rsidR="00850B5A" w:rsidRPr="0022032A" w:rsidRDefault="00850B5A" w:rsidP="00850B5A">
      <w:pPr>
        <w:spacing w:after="0" w:line="240" w:lineRule="auto"/>
        <w:jc w:val="both"/>
        <w:rPr>
          <w:rFonts w:ascii="Arial" w:eastAsia="Times New Roman" w:hAnsi="Arial" w:cs="Arial"/>
          <w:bCs/>
          <w:iCs/>
          <w:sz w:val="20"/>
          <w:szCs w:val="20"/>
          <w:lang w:eastAsia="en-US"/>
        </w:rPr>
      </w:pPr>
      <w:r w:rsidRPr="0022032A">
        <w:rPr>
          <w:rFonts w:ascii="Arial" w:eastAsia="Times New Roman" w:hAnsi="Arial" w:cs="Arial"/>
          <w:b/>
          <w:bCs/>
          <w:iCs/>
          <w:sz w:val="20"/>
          <w:szCs w:val="20"/>
          <w:lang w:eastAsia="en-US"/>
        </w:rPr>
        <w:t>SKUPINA 05:</w:t>
      </w:r>
      <w:r w:rsidRPr="0022032A">
        <w:rPr>
          <w:rFonts w:ascii="Arial" w:eastAsia="Times New Roman" w:hAnsi="Arial" w:cs="Arial"/>
          <w:b/>
          <w:bCs/>
          <w:iCs/>
          <w:sz w:val="20"/>
          <w:szCs w:val="20"/>
          <w:lang w:eastAsia="en-US"/>
        </w:rPr>
        <w:tab/>
      </w:r>
      <w:r w:rsidRPr="0022032A">
        <w:rPr>
          <w:rFonts w:ascii="Arial" w:eastAsia="Times New Roman" w:hAnsi="Arial" w:cs="Arial"/>
          <w:bCs/>
          <w:iCs/>
          <w:sz w:val="20"/>
          <w:szCs w:val="20"/>
          <w:lang w:eastAsia="en-US"/>
        </w:rPr>
        <w:t>Dugotrajna nefinancijska imovina u pripremi (</w:t>
      </w:r>
      <w:r w:rsidRPr="0022032A">
        <w:rPr>
          <w:rFonts w:ascii="Arial" w:eastAsia="Times New Roman" w:hAnsi="Arial" w:cs="Arial"/>
          <w:b/>
          <w:bCs/>
          <w:iCs/>
          <w:sz w:val="20"/>
          <w:szCs w:val="20"/>
          <w:lang w:eastAsia="en-US"/>
        </w:rPr>
        <w:t>05</w:t>
      </w:r>
      <w:r w:rsidRPr="0022032A">
        <w:rPr>
          <w:rFonts w:ascii="Arial" w:eastAsia="Times New Roman" w:hAnsi="Arial" w:cs="Arial"/>
          <w:bCs/>
          <w:iCs/>
          <w:sz w:val="20"/>
          <w:szCs w:val="20"/>
          <w:lang w:eastAsia="en-US"/>
        </w:rPr>
        <w:t xml:space="preserve">) iznosi </w:t>
      </w:r>
      <w:r w:rsidR="005270C2" w:rsidRPr="0022032A">
        <w:rPr>
          <w:rFonts w:ascii="Arial" w:eastAsia="Times New Roman" w:hAnsi="Arial" w:cs="Arial"/>
          <w:bCs/>
          <w:iCs/>
          <w:sz w:val="20"/>
          <w:szCs w:val="20"/>
          <w:lang w:eastAsia="en-US"/>
        </w:rPr>
        <w:t>2.887.478,23</w:t>
      </w:r>
      <w:r w:rsidRPr="0022032A">
        <w:rPr>
          <w:rFonts w:ascii="Arial" w:eastAsia="Times New Roman" w:hAnsi="Arial" w:cs="Arial"/>
          <w:bCs/>
          <w:iCs/>
          <w:sz w:val="20"/>
          <w:szCs w:val="20"/>
          <w:lang w:eastAsia="en-US"/>
        </w:rPr>
        <w:t xml:space="preserve"> € i veća je za </w:t>
      </w:r>
      <w:r w:rsidR="005270C2" w:rsidRPr="0022032A">
        <w:rPr>
          <w:rFonts w:ascii="Arial" w:eastAsia="Times New Roman" w:hAnsi="Arial" w:cs="Arial"/>
          <w:bCs/>
          <w:iCs/>
          <w:sz w:val="20"/>
          <w:szCs w:val="20"/>
          <w:lang w:eastAsia="en-US"/>
        </w:rPr>
        <w:t>2.480.541,07</w:t>
      </w:r>
      <w:r w:rsidRPr="0022032A">
        <w:rPr>
          <w:rFonts w:ascii="Arial" w:eastAsia="Times New Roman" w:hAnsi="Arial" w:cs="Arial"/>
          <w:bCs/>
          <w:iCs/>
          <w:sz w:val="20"/>
          <w:szCs w:val="20"/>
          <w:lang w:eastAsia="en-US"/>
        </w:rPr>
        <w:t xml:space="preserve"> € u odnosu na prethodnu godinu kada je iznosila </w:t>
      </w:r>
      <w:r w:rsidR="005270C2" w:rsidRPr="0022032A">
        <w:rPr>
          <w:rFonts w:ascii="Arial" w:eastAsia="Times New Roman" w:hAnsi="Arial" w:cs="Arial"/>
          <w:bCs/>
          <w:iCs/>
          <w:sz w:val="20"/>
          <w:szCs w:val="20"/>
          <w:lang w:eastAsia="en-US"/>
        </w:rPr>
        <w:t>406.937,16</w:t>
      </w:r>
      <w:r w:rsidRPr="0022032A">
        <w:rPr>
          <w:rFonts w:ascii="Arial" w:eastAsia="Times New Roman" w:hAnsi="Arial" w:cs="Arial"/>
          <w:bCs/>
          <w:iCs/>
          <w:sz w:val="20"/>
          <w:szCs w:val="20"/>
          <w:lang w:eastAsia="en-US"/>
        </w:rPr>
        <w:t xml:space="preserve"> €. </w:t>
      </w:r>
      <w:r w:rsidR="005270C2" w:rsidRPr="0022032A">
        <w:rPr>
          <w:rFonts w:ascii="Arial" w:eastAsia="Times New Roman" w:hAnsi="Arial" w:cs="Arial"/>
          <w:bCs/>
          <w:iCs/>
          <w:sz w:val="20"/>
          <w:szCs w:val="20"/>
          <w:lang w:eastAsia="en-US"/>
        </w:rPr>
        <w:t>Povećanje vrijednosti se odnosi na izgradnju nove osnovne škole u Cavtatu.</w:t>
      </w:r>
    </w:p>
    <w:p w14:paraId="1C4A79D6" w14:textId="4ABFD99C" w:rsidR="00850B5A" w:rsidRPr="0022032A" w:rsidRDefault="00850B5A" w:rsidP="00850B5A">
      <w:pPr>
        <w:spacing w:after="0" w:line="240" w:lineRule="auto"/>
        <w:jc w:val="both"/>
        <w:rPr>
          <w:rFonts w:ascii="Arial" w:eastAsia="Times New Roman" w:hAnsi="Arial" w:cs="Arial"/>
          <w:bCs/>
          <w:iCs/>
          <w:sz w:val="20"/>
          <w:szCs w:val="20"/>
          <w:lang w:eastAsia="en-US"/>
        </w:rPr>
      </w:pPr>
      <w:r w:rsidRPr="0022032A">
        <w:rPr>
          <w:rFonts w:ascii="Arial" w:eastAsia="Times New Roman" w:hAnsi="Arial" w:cs="Arial"/>
          <w:bCs/>
          <w:iCs/>
          <w:sz w:val="20"/>
          <w:szCs w:val="20"/>
          <w:lang w:eastAsia="en-US"/>
        </w:rPr>
        <w:t>Ostala imovina u pripremi koncem godine se odnosi na sudjelovanje u otkupu zemljišta za izgradnju osnovne škole u Cavtatu u iznosu 67.224,10 € (Ministarstvo državne imovine darovalo zemljište)</w:t>
      </w:r>
      <w:r w:rsidR="005270C2" w:rsidRPr="0022032A">
        <w:rPr>
          <w:rFonts w:ascii="Arial" w:eastAsia="Times New Roman" w:hAnsi="Arial" w:cs="Arial"/>
          <w:bCs/>
          <w:iCs/>
          <w:sz w:val="20"/>
          <w:szCs w:val="20"/>
          <w:lang w:eastAsia="en-US"/>
        </w:rPr>
        <w:t>, uređenje prometnice s odvodnjom u ulici Trumbićev put i dr. Ante Starčevića u iznosu 104.172,90 €, izgradnju nogostupa u Čilipima 16.901,74 €, te priključak na električnu energiju u budućoj poduzetničkoj zoni u iznosu 218.638,42 €.</w:t>
      </w:r>
    </w:p>
    <w:p w14:paraId="7030BBCA" w14:textId="77777777" w:rsidR="00850B5A" w:rsidRPr="0022032A" w:rsidRDefault="00850B5A" w:rsidP="00850B5A">
      <w:pPr>
        <w:spacing w:after="0" w:line="240" w:lineRule="auto"/>
        <w:jc w:val="both"/>
        <w:rPr>
          <w:rFonts w:ascii="Arial" w:eastAsia="Times New Roman" w:hAnsi="Arial" w:cs="Arial"/>
          <w:b/>
          <w:bCs/>
          <w:iCs/>
          <w:sz w:val="20"/>
          <w:szCs w:val="20"/>
          <w:lang w:eastAsia="en-US"/>
        </w:rPr>
      </w:pPr>
    </w:p>
    <w:p w14:paraId="18A1254D" w14:textId="497E43FB" w:rsidR="00850B5A" w:rsidRPr="0022032A" w:rsidRDefault="00850B5A" w:rsidP="00850B5A">
      <w:pPr>
        <w:spacing w:after="0" w:line="240" w:lineRule="auto"/>
        <w:jc w:val="both"/>
        <w:rPr>
          <w:rFonts w:ascii="Arial" w:eastAsia="Times New Roman" w:hAnsi="Arial" w:cs="Arial"/>
          <w:bCs/>
          <w:iCs/>
          <w:sz w:val="20"/>
          <w:szCs w:val="20"/>
          <w:lang w:eastAsia="en-US"/>
        </w:rPr>
      </w:pPr>
      <w:r w:rsidRPr="0022032A">
        <w:rPr>
          <w:rFonts w:ascii="Arial" w:eastAsia="Times New Roman" w:hAnsi="Arial" w:cs="Arial"/>
          <w:b/>
          <w:bCs/>
          <w:iCs/>
          <w:sz w:val="20"/>
          <w:szCs w:val="20"/>
          <w:lang w:eastAsia="en-US"/>
        </w:rPr>
        <w:t>SKUPINA 11:</w:t>
      </w:r>
      <w:r w:rsidRPr="0022032A">
        <w:rPr>
          <w:rFonts w:ascii="Arial" w:eastAsia="Times New Roman" w:hAnsi="Arial" w:cs="Arial"/>
          <w:bCs/>
          <w:iCs/>
          <w:sz w:val="20"/>
          <w:szCs w:val="20"/>
          <w:lang w:eastAsia="en-US"/>
        </w:rPr>
        <w:tab/>
        <w:t>Novac u banci i blagajni (</w:t>
      </w:r>
      <w:r w:rsidRPr="0022032A">
        <w:rPr>
          <w:rFonts w:ascii="Arial" w:eastAsia="Times New Roman" w:hAnsi="Arial" w:cs="Arial"/>
          <w:b/>
          <w:bCs/>
          <w:iCs/>
          <w:sz w:val="20"/>
          <w:szCs w:val="20"/>
          <w:lang w:eastAsia="en-US"/>
        </w:rPr>
        <w:t>11</w:t>
      </w:r>
      <w:r w:rsidRPr="0022032A">
        <w:rPr>
          <w:rFonts w:ascii="Arial" w:eastAsia="Times New Roman" w:hAnsi="Arial" w:cs="Arial"/>
          <w:bCs/>
          <w:iCs/>
          <w:sz w:val="20"/>
          <w:szCs w:val="20"/>
          <w:lang w:eastAsia="en-US"/>
        </w:rPr>
        <w:t xml:space="preserve">) iznosi </w:t>
      </w:r>
      <w:r w:rsidR="0022032A" w:rsidRPr="0022032A">
        <w:rPr>
          <w:rFonts w:ascii="Arial" w:eastAsia="Times New Roman" w:hAnsi="Arial" w:cs="Arial"/>
          <w:bCs/>
          <w:iCs/>
          <w:sz w:val="20"/>
          <w:szCs w:val="20"/>
          <w:lang w:eastAsia="en-US"/>
        </w:rPr>
        <w:t>4.757.571,99</w:t>
      </w:r>
      <w:r w:rsidRPr="0022032A">
        <w:rPr>
          <w:rFonts w:ascii="Arial" w:eastAsia="Times New Roman" w:hAnsi="Arial" w:cs="Arial"/>
          <w:bCs/>
          <w:iCs/>
          <w:sz w:val="20"/>
          <w:szCs w:val="20"/>
          <w:lang w:eastAsia="en-US"/>
        </w:rPr>
        <w:t xml:space="preserve"> € što je za </w:t>
      </w:r>
      <w:r w:rsidR="0022032A" w:rsidRPr="0022032A">
        <w:rPr>
          <w:rFonts w:ascii="Arial" w:eastAsia="Times New Roman" w:hAnsi="Arial" w:cs="Arial"/>
          <w:bCs/>
          <w:iCs/>
          <w:sz w:val="20"/>
          <w:szCs w:val="20"/>
          <w:lang w:eastAsia="en-US"/>
        </w:rPr>
        <w:t>1.258.404,92</w:t>
      </w:r>
      <w:r w:rsidRPr="0022032A">
        <w:rPr>
          <w:rFonts w:ascii="Arial" w:eastAsia="Times New Roman" w:hAnsi="Arial" w:cs="Arial"/>
          <w:bCs/>
          <w:iCs/>
          <w:sz w:val="20"/>
          <w:szCs w:val="20"/>
          <w:lang w:eastAsia="en-US"/>
        </w:rPr>
        <w:t xml:space="preserve"> € ili </w:t>
      </w:r>
      <w:r w:rsidR="0022032A" w:rsidRPr="0022032A">
        <w:rPr>
          <w:rFonts w:ascii="Arial" w:eastAsia="Times New Roman" w:hAnsi="Arial" w:cs="Arial"/>
          <w:bCs/>
          <w:iCs/>
          <w:sz w:val="20"/>
          <w:szCs w:val="20"/>
          <w:lang w:eastAsia="en-US"/>
        </w:rPr>
        <w:t>36</w:t>
      </w:r>
      <w:r w:rsidRPr="0022032A">
        <w:rPr>
          <w:rFonts w:ascii="Arial" w:eastAsia="Times New Roman" w:hAnsi="Arial" w:cs="Arial"/>
          <w:bCs/>
          <w:iCs/>
          <w:sz w:val="20"/>
          <w:szCs w:val="20"/>
          <w:lang w:eastAsia="en-US"/>
        </w:rPr>
        <w:t xml:space="preserve">% </w:t>
      </w:r>
      <w:r w:rsidR="0022032A" w:rsidRPr="0022032A">
        <w:rPr>
          <w:rFonts w:ascii="Arial" w:eastAsia="Times New Roman" w:hAnsi="Arial" w:cs="Arial"/>
          <w:bCs/>
          <w:iCs/>
          <w:sz w:val="20"/>
          <w:szCs w:val="20"/>
          <w:lang w:eastAsia="en-US"/>
        </w:rPr>
        <w:t>više</w:t>
      </w:r>
      <w:r w:rsidRPr="0022032A">
        <w:rPr>
          <w:rFonts w:ascii="Arial" w:eastAsia="Times New Roman" w:hAnsi="Arial" w:cs="Arial"/>
          <w:bCs/>
          <w:iCs/>
          <w:sz w:val="20"/>
          <w:szCs w:val="20"/>
          <w:lang w:eastAsia="en-US"/>
        </w:rPr>
        <w:t xml:space="preserve"> u odnosu na prethodnu godinu. </w:t>
      </w:r>
    </w:p>
    <w:p w14:paraId="7920CA9E" w14:textId="77777777" w:rsidR="00850B5A" w:rsidRPr="002446FB" w:rsidRDefault="00850B5A" w:rsidP="00850B5A">
      <w:pPr>
        <w:spacing w:after="0" w:line="240" w:lineRule="auto"/>
        <w:jc w:val="both"/>
        <w:rPr>
          <w:rFonts w:ascii="Arial" w:eastAsia="Times New Roman" w:hAnsi="Arial" w:cs="Arial"/>
          <w:bCs/>
          <w:iCs/>
          <w:sz w:val="20"/>
          <w:szCs w:val="20"/>
          <w:lang w:eastAsia="en-US"/>
        </w:rPr>
      </w:pPr>
    </w:p>
    <w:p w14:paraId="7A0A12D2" w14:textId="180E303C" w:rsidR="00850B5A" w:rsidRPr="002446FB" w:rsidRDefault="00850B5A" w:rsidP="00850B5A">
      <w:pPr>
        <w:spacing w:after="0" w:line="240" w:lineRule="auto"/>
        <w:jc w:val="both"/>
        <w:rPr>
          <w:rFonts w:ascii="Arial" w:eastAsia="Times New Roman" w:hAnsi="Arial" w:cs="Arial"/>
          <w:bCs/>
          <w:iCs/>
          <w:sz w:val="20"/>
          <w:szCs w:val="20"/>
          <w:lang w:eastAsia="en-US"/>
        </w:rPr>
      </w:pPr>
      <w:r w:rsidRPr="002446FB">
        <w:rPr>
          <w:rFonts w:ascii="Arial" w:eastAsia="Times New Roman" w:hAnsi="Arial" w:cs="Arial"/>
          <w:bCs/>
          <w:iCs/>
          <w:sz w:val="20"/>
          <w:szCs w:val="20"/>
          <w:lang w:eastAsia="en-US"/>
        </w:rPr>
        <w:t xml:space="preserve">Najznačajnije </w:t>
      </w:r>
      <w:r w:rsidR="002446FB" w:rsidRPr="002446FB">
        <w:rPr>
          <w:rFonts w:ascii="Arial" w:eastAsia="Times New Roman" w:hAnsi="Arial" w:cs="Arial"/>
          <w:bCs/>
          <w:iCs/>
          <w:sz w:val="20"/>
          <w:szCs w:val="20"/>
          <w:lang w:eastAsia="en-US"/>
        </w:rPr>
        <w:t>povećanje</w:t>
      </w:r>
      <w:r w:rsidRPr="002446FB">
        <w:rPr>
          <w:rFonts w:ascii="Arial" w:eastAsia="Times New Roman" w:hAnsi="Arial" w:cs="Arial"/>
          <w:bCs/>
          <w:iCs/>
          <w:sz w:val="20"/>
          <w:szCs w:val="20"/>
          <w:lang w:eastAsia="en-US"/>
        </w:rPr>
        <w:t xml:space="preserve"> se odnosi na</w:t>
      </w:r>
      <w:r w:rsidR="002446FB" w:rsidRPr="002446FB">
        <w:rPr>
          <w:rFonts w:ascii="Arial" w:eastAsia="Times New Roman" w:hAnsi="Arial" w:cs="Arial"/>
          <w:bCs/>
          <w:iCs/>
          <w:sz w:val="20"/>
          <w:szCs w:val="20"/>
          <w:lang w:eastAsia="en-US"/>
        </w:rPr>
        <w:t xml:space="preserve"> prijenos oročenih depozitnih sredstava 2.500.000 € sa skupine 12 na skupinu 11 u skladu s novim Pravilnikom o proračunskom računovodstvu i računskom planu</w:t>
      </w:r>
      <w:r w:rsidRPr="002446FB">
        <w:rPr>
          <w:rFonts w:ascii="Arial" w:eastAsia="Times New Roman" w:hAnsi="Arial" w:cs="Arial"/>
          <w:bCs/>
          <w:iCs/>
          <w:sz w:val="20"/>
          <w:szCs w:val="20"/>
          <w:lang w:eastAsia="en-US"/>
        </w:rPr>
        <w:t xml:space="preserve"> sredstva na žiro računu. </w:t>
      </w:r>
    </w:p>
    <w:p w14:paraId="6F80F334" w14:textId="77777777" w:rsidR="00850B5A" w:rsidRPr="002446FB" w:rsidRDefault="00850B5A" w:rsidP="00850B5A">
      <w:pPr>
        <w:spacing w:after="0" w:line="240" w:lineRule="auto"/>
        <w:jc w:val="both"/>
        <w:rPr>
          <w:rFonts w:ascii="Arial" w:eastAsia="Times New Roman" w:hAnsi="Arial" w:cs="Arial"/>
          <w:bCs/>
          <w:iCs/>
          <w:sz w:val="20"/>
          <w:szCs w:val="20"/>
          <w:lang w:eastAsia="en-US"/>
        </w:rPr>
      </w:pPr>
    </w:p>
    <w:p w14:paraId="35142269" w14:textId="34F25D4C" w:rsidR="002446FB" w:rsidRPr="002446FB" w:rsidRDefault="00850B5A" w:rsidP="00850B5A">
      <w:pPr>
        <w:spacing w:after="0" w:line="240" w:lineRule="auto"/>
        <w:jc w:val="both"/>
        <w:rPr>
          <w:rFonts w:ascii="Arial" w:eastAsia="Times New Roman" w:hAnsi="Arial" w:cs="Arial"/>
          <w:bCs/>
          <w:iCs/>
          <w:sz w:val="20"/>
          <w:szCs w:val="20"/>
          <w:lang w:eastAsia="en-US"/>
        </w:rPr>
      </w:pPr>
      <w:r w:rsidRPr="002446FB">
        <w:rPr>
          <w:rFonts w:ascii="Arial" w:eastAsia="Times New Roman" w:hAnsi="Arial" w:cs="Arial"/>
          <w:b/>
          <w:bCs/>
          <w:iCs/>
          <w:sz w:val="20"/>
          <w:szCs w:val="20"/>
          <w:lang w:eastAsia="en-US"/>
        </w:rPr>
        <w:t>SKUPINA 12:</w:t>
      </w:r>
      <w:r w:rsidRPr="002446FB">
        <w:rPr>
          <w:rFonts w:ascii="Arial" w:eastAsia="Times New Roman" w:hAnsi="Arial" w:cs="Arial"/>
          <w:b/>
          <w:bCs/>
          <w:iCs/>
          <w:sz w:val="20"/>
          <w:szCs w:val="20"/>
          <w:lang w:eastAsia="en-US"/>
        </w:rPr>
        <w:tab/>
      </w:r>
      <w:r w:rsidRPr="002446FB">
        <w:rPr>
          <w:rFonts w:ascii="Arial" w:eastAsia="Times New Roman" w:hAnsi="Arial" w:cs="Arial"/>
          <w:bCs/>
          <w:iCs/>
          <w:sz w:val="20"/>
          <w:szCs w:val="20"/>
          <w:lang w:eastAsia="en-US"/>
        </w:rPr>
        <w:t>Depoziti, jamčevine i ostala potraživanja od zaposlenih, te druga potraživanja (</w:t>
      </w:r>
      <w:r w:rsidRPr="002446FB">
        <w:rPr>
          <w:rFonts w:ascii="Arial" w:eastAsia="Times New Roman" w:hAnsi="Arial" w:cs="Arial"/>
          <w:b/>
          <w:bCs/>
          <w:iCs/>
          <w:sz w:val="20"/>
          <w:szCs w:val="20"/>
          <w:lang w:eastAsia="en-US"/>
        </w:rPr>
        <w:t>12</w:t>
      </w:r>
      <w:r w:rsidRPr="002446FB">
        <w:rPr>
          <w:rFonts w:ascii="Arial" w:eastAsia="Times New Roman" w:hAnsi="Arial" w:cs="Arial"/>
          <w:bCs/>
          <w:iCs/>
          <w:sz w:val="20"/>
          <w:szCs w:val="20"/>
          <w:lang w:eastAsia="en-US"/>
        </w:rPr>
        <w:t xml:space="preserve">) iznose </w:t>
      </w:r>
      <w:r w:rsidR="002446FB" w:rsidRPr="002446FB">
        <w:rPr>
          <w:rFonts w:ascii="Arial" w:eastAsia="Times New Roman" w:hAnsi="Arial" w:cs="Arial"/>
          <w:bCs/>
          <w:iCs/>
          <w:sz w:val="20"/>
          <w:szCs w:val="20"/>
          <w:lang w:eastAsia="en-US"/>
        </w:rPr>
        <w:t>95.123,58</w:t>
      </w:r>
      <w:r w:rsidRPr="002446FB">
        <w:rPr>
          <w:rFonts w:ascii="Arial" w:eastAsia="Times New Roman" w:hAnsi="Arial" w:cs="Arial"/>
          <w:bCs/>
          <w:iCs/>
          <w:sz w:val="20"/>
          <w:szCs w:val="20"/>
          <w:lang w:eastAsia="en-US"/>
        </w:rPr>
        <w:t xml:space="preserve"> €. Početkom godine ova potraživanja su iznosila 2.50</w:t>
      </w:r>
      <w:r w:rsidR="002446FB" w:rsidRPr="002446FB">
        <w:rPr>
          <w:rFonts w:ascii="Arial" w:eastAsia="Times New Roman" w:hAnsi="Arial" w:cs="Arial"/>
          <w:bCs/>
          <w:iCs/>
          <w:sz w:val="20"/>
          <w:szCs w:val="20"/>
          <w:lang w:eastAsia="en-US"/>
        </w:rPr>
        <w:t>2</w:t>
      </w:r>
      <w:r w:rsidRPr="002446FB">
        <w:rPr>
          <w:rFonts w:ascii="Arial" w:eastAsia="Times New Roman" w:hAnsi="Arial" w:cs="Arial"/>
          <w:bCs/>
          <w:iCs/>
          <w:sz w:val="20"/>
          <w:szCs w:val="20"/>
          <w:lang w:eastAsia="en-US"/>
        </w:rPr>
        <w:t>.</w:t>
      </w:r>
      <w:r w:rsidR="002446FB" w:rsidRPr="002446FB">
        <w:rPr>
          <w:rFonts w:ascii="Arial" w:eastAsia="Times New Roman" w:hAnsi="Arial" w:cs="Arial"/>
          <w:bCs/>
          <w:iCs/>
          <w:sz w:val="20"/>
          <w:szCs w:val="20"/>
          <w:lang w:eastAsia="en-US"/>
        </w:rPr>
        <w:t>135,53</w:t>
      </w:r>
      <w:r w:rsidRPr="002446FB">
        <w:rPr>
          <w:rFonts w:ascii="Arial" w:eastAsia="Times New Roman" w:hAnsi="Arial" w:cs="Arial"/>
          <w:bCs/>
          <w:iCs/>
          <w:sz w:val="20"/>
          <w:szCs w:val="20"/>
          <w:lang w:eastAsia="en-US"/>
        </w:rPr>
        <w:t xml:space="preserve"> €. </w:t>
      </w:r>
      <w:r w:rsidR="002446FB" w:rsidRPr="002446FB">
        <w:rPr>
          <w:rFonts w:ascii="Arial" w:eastAsia="Times New Roman" w:hAnsi="Arial" w:cs="Arial"/>
          <w:bCs/>
          <w:iCs/>
          <w:sz w:val="20"/>
          <w:szCs w:val="20"/>
          <w:lang w:eastAsia="en-US"/>
        </w:rPr>
        <w:t>Najznačajnije smanjenje se odnosi na prijenos oročenih depozitnih sredstava 2.500.000 € sa skupine 12 na skupinu 11 u skladu s novim Pravilnikom o proračunskom računovodstvu i računskom planu sredstva na žiro računu.</w:t>
      </w:r>
    </w:p>
    <w:p w14:paraId="40FF07E7" w14:textId="29A436EB" w:rsidR="00850B5A" w:rsidRPr="002446FB" w:rsidRDefault="00850B5A" w:rsidP="00850B5A">
      <w:pPr>
        <w:spacing w:after="0" w:line="240" w:lineRule="auto"/>
        <w:jc w:val="both"/>
        <w:rPr>
          <w:rFonts w:ascii="Arial" w:eastAsia="Times New Roman" w:hAnsi="Arial" w:cs="Arial"/>
          <w:bCs/>
          <w:iCs/>
          <w:sz w:val="20"/>
          <w:szCs w:val="20"/>
          <w:lang w:eastAsia="en-US"/>
        </w:rPr>
      </w:pPr>
      <w:r w:rsidRPr="002446FB">
        <w:rPr>
          <w:rFonts w:ascii="Arial" w:eastAsia="Times New Roman" w:hAnsi="Arial" w:cs="Arial"/>
          <w:bCs/>
          <w:iCs/>
          <w:sz w:val="20"/>
          <w:szCs w:val="20"/>
          <w:lang w:eastAsia="en-US"/>
        </w:rPr>
        <w:t xml:space="preserve">Stanje koncem </w:t>
      </w:r>
      <w:r w:rsidR="002446FB" w:rsidRPr="002446FB">
        <w:rPr>
          <w:rFonts w:ascii="Arial" w:eastAsia="Times New Roman" w:hAnsi="Arial" w:cs="Arial"/>
          <w:bCs/>
          <w:iCs/>
          <w:sz w:val="20"/>
          <w:szCs w:val="20"/>
          <w:lang w:eastAsia="en-US"/>
        </w:rPr>
        <w:t>lipnja</w:t>
      </w:r>
      <w:r w:rsidRPr="002446FB">
        <w:rPr>
          <w:rFonts w:ascii="Arial" w:eastAsia="Times New Roman" w:hAnsi="Arial" w:cs="Arial"/>
          <w:bCs/>
          <w:iCs/>
          <w:sz w:val="20"/>
          <w:szCs w:val="20"/>
          <w:lang w:eastAsia="en-US"/>
        </w:rPr>
        <w:t xml:space="preserve"> 202</w:t>
      </w:r>
      <w:r w:rsidR="002446FB" w:rsidRPr="002446FB">
        <w:rPr>
          <w:rFonts w:ascii="Arial" w:eastAsia="Times New Roman" w:hAnsi="Arial" w:cs="Arial"/>
          <w:bCs/>
          <w:iCs/>
          <w:sz w:val="20"/>
          <w:szCs w:val="20"/>
          <w:lang w:eastAsia="en-US"/>
        </w:rPr>
        <w:t>5</w:t>
      </w:r>
      <w:r w:rsidRPr="002446FB">
        <w:rPr>
          <w:rFonts w:ascii="Arial" w:eastAsia="Times New Roman" w:hAnsi="Arial" w:cs="Arial"/>
          <w:bCs/>
          <w:iCs/>
          <w:sz w:val="20"/>
          <w:szCs w:val="20"/>
          <w:lang w:eastAsia="en-US"/>
        </w:rPr>
        <w:t xml:space="preserve">. se odnosi na potraživanja za naknade koje se refundiraju (bolovanja) (1291) u iznosu 309,14 €, te </w:t>
      </w:r>
      <w:r w:rsidR="002446FB" w:rsidRPr="002446FB">
        <w:rPr>
          <w:rFonts w:ascii="Arial" w:eastAsia="Times New Roman" w:hAnsi="Arial" w:cs="Arial"/>
          <w:bCs/>
          <w:iCs/>
          <w:sz w:val="20"/>
          <w:szCs w:val="20"/>
          <w:lang w:eastAsia="en-US"/>
        </w:rPr>
        <w:t xml:space="preserve">potraživanja za više plaćeni porez i doprinos 24,65 €, </w:t>
      </w:r>
      <w:r w:rsidRPr="002446FB">
        <w:rPr>
          <w:rFonts w:ascii="Arial" w:eastAsia="Times New Roman" w:hAnsi="Arial" w:cs="Arial"/>
          <w:bCs/>
          <w:iCs/>
          <w:sz w:val="20"/>
          <w:szCs w:val="20"/>
          <w:lang w:eastAsia="en-US"/>
        </w:rPr>
        <w:t xml:space="preserve">potraživanja za više plaćene dobavljače </w:t>
      </w:r>
      <w:r w:rsidR="002446FB" w:rsidRPr="002446FB">
        <w:rPr>
          <w:rFonts w:ascii="Arial" w:eastAsia="Times New Roman" w:hAnsi="Arial" w:cs="Arial"/>
          <w:bCs/>
          <w:iCs/>
          <w:sz w:val="20"/>
          <w:szCs w:val="20"/>
          <w:lang w:eastAsia="en-US"/>
        </w:rPr>
        <w:t>93.789,79</w:t>
      </w:r>
      <w:r w:rsidRPr="002446FB">
        <w:rPr>
          <w:rFonts w:ascii="Arial" w:eastAsia="Times New Roman" w:hAnsi="Arial" w:cs="Arial"/>
          <w:bCs/>
          <w:iCs/>
          <w:sz w:val="20"/>
          <w:szCs w:val="20"/>
          <w:lang w:eastAsia="en-US"/>
        </w:rPr>
        <w:t xml:space="preserve"> €</w:t>
      </w:r>
      <w:r w:rsidR="002446FB" w:rsidRPr="002446FB">
        <w:rPr>
          <w:rFonts w:ascii="Arial" w:eastAsia="Times New Roman" w:hAnsi="Arial" w:cs="Arial"/>
          <w:bCs/>
          <w:iCs/>
          <w:sz w:val="20"/>
          <w:szCs w:val="20"/>
          <w:lang w:eastAsia="en-US"/>
        </w:rPr>
        <w:t>, potraživanja za dane jamčevne pologe 1.000 €,</w:t>
      </w:r>
      <w:r w:rsidRPr="002446FB">
        <w:rPr>
          <w:rFonts w:ascii="Arial" w:eastAsia="Times New Roman" w:hAnsi="Arial" w:cs="Arial"/>
          <w:bCs/>
          <w:iCs/>
          <w:sz w:val="20"/>
          <w:szCs w:val="20"/>
          <w:lang w:eastAsia="en-US"/>
        </w:rPr>
        <w:t xml:space="preserve"> potraživanja od proračunskog korisnika </w:t>
      </w:r>
      <w:r w:rsidR="002446FB" w:rsidRPr="002446FB">
        <w:rPr>
          <w:rFonts w:ascii="Arial" w:eastAsia="Times New Roman" w:hAnsi="Arial" w:cs="Arial"/>
          <w:bCs/>
          <w:iCs/>
          <w:sz w:val="20"/>
          <w:szCs w:val="20"/>
          <w:lang w:eastAsia="en-US"/>
        </w:rPr>
        <w:t>0</w:t>
      </w:r>
      <w:r w:rsidRPr="002446FB">
        <w:rPr>
          <w:rFonts w:ascii="Arial" w:eastAsia="Times New Roman" w:hAnsi="Arial" w:cs="Arial"/>
          <w:bCs/>
          <w:iCs/>
          <w:sz w:val="20"/>
          <w:szCs w:val="20"/>
          <w:lang w:eastAsia="en-US"/>
        </w:rPr>
        <w:t xml:space="preserve"> €.</w:t>
      </w:r>
    </w:p>
    <w:p w14:paraId="12DF060F" w14:textId="77777777" w:rsidR="00850B5A" w:rsidRPr="002446FB" w:rsidRDefault="00850B5A" w:rsidP="00850B5A">
      <w:pPr>
        <w:spacing w:after="0" w:line="240" w:lineRule="auto"/>
        <w:jc w:val="both"/>
        <w:rPr>
          <w:rFonts w:ascii="Arial" w:eastAsia="Times New Roman" w:hAnsi="Arial" w:cs="Arial"/>
          <w:bCs/>
          <w:iCs/>
          <w:sz w:val="20"/>
          <w:szCs w:val="20"/>
          <w:lang w:eastAsia="en-US"/>
        </w:rPr>
      </w:pPr>
    </w:p>
    <w:p w14:paraId="10F81876" w14:textId="77777777" w:rsidR="00850B5A" w:rsidRPr="002446FB" w:rsidRDefault="00850B5A" w:rsidP="00850B5A">
      <w:pPr>
        <w:spacing w:after="0" w:line="240" w:lineRule="auto"/>
        <w:jc w:val="both"/>
        <w:rPr>
          <w:rFonts w:ascii="Arial" w:eastAsia="Times New Roman" w:hAnsi="Arial" w:cs="Arial"/>
          <w:bCs/>
          <w:iCs/>
          <w:sz w:val="20"/>
          <w:szCs w:val="20"/>
          <w:lang w:eastAsia="en-US"/>
        </w:rPr>
      </w:pPr>
      <w:r w:rsidRPr="002446FB">
        <w:rPr>
          <w:rFonts w:ascii="Arial" w:eastAsia="Times New Roman" w:hAnsi="Arial" w:cs="Arial"/>
          <w:b/>
          <w:bCs/>
          <w:iCs/>
          <w:sz w:val="20"/>
          <w:szCs w:val="20"/>
          <w:lang w:eastAsia="en-US"/>
        </w:rPr>
        <w:t>SKUPINA 13</w:t>
      </w:r>
      <w:r w:rsidRPr="002446FB">
        <w:rPr>
          <w:rFonts w:ascii="Arial" w:eastAsia="Times New Roman" w:hAnsi="Arial" w:cs="Arial"/>
          <w:bCs/>
          <w:iCs/>
          <w:sz w:val="20"/>
          <w:szCs w:val="20"/>
          <w:lang w:eastAsia="en-US"/>
        </w:rPr>
        <w:t>:</w:t>
      </w:r>
      <w:r w:rsidRPr="002446FB">
        <w:rPr>
          <w:rFonts w:ascii="Arial" w:eastAsia="Times New Roman" w:hAnsi="Arial" w:cs="Arial"/>
          <w:bCs/>
          <w:iCs/>
          <w:sz w:val="20"/>
          <w:szCs w:val="20"/>
          <w:lang w:eastAsia="en-US"/>
        </w:rPr>
        <w:tab/>
        <w:t>Potraživanja za dane zajmove (</w:t>
      </w:r>
      <w:r w:rsidRPr="002446FB">
        <w:rPr>
          <w:rFonts w:ascii="Arial" w:eastAsia="Times New Roman" w:hAnsi="Arial" w:cs="Arial"/>
          <w:b/>
          <w:bCs/>
          <w:iCs/>
          <w:sz w:val="20"/>
          <w:szCs w:val="20"/>
          <w:lang w:eastAsia="en-US"/>
        </w:rPr>
        <w:t>13</w:t>
      </w:r>
      <w:r w:rsidRPr="002446FB">
        <w:rPr>
          <w:rFonts w:ascii="Arial" w:eastAsia="Times New Roman" w:hAnsi="Arial" w:cs="Arial"/>
          <w:bCs/>
          <w:iCs/>
          <w:sz w:val="20"/>
          <w:szCs w:val="20"/>
          <w:lang w:eastAsia="en-US"/>
        </w:rPr>
        <w:t>) nema.</w:t>
      </w:r>
    </w:p>
    <w:p w14:paraId="18CF2463" w14:textId="77777777" w:rsidR="00850B5A" w:rsidRPr="002446FB" w:rsidRDefault="00850B5A" w:rsidP="00850B5A">
      <w:pPr>
        <w:spacing w:after="0" w:line="240" w:lineRule="auto"/>
        <w:jc w:val="both"/>
        <w:rPr>
          <w:rFonts w:ascii="Arial" w:eastAsia="Times New Roman" w:hAnsi="Arial" w:cs="Arial"/>
          <w:bCs/>
          <w:iCs/>
          <w:sz w:val="20"/>
          <w:szCs w:val="20"/>
          <w:lang w:eastAsia="en-US"/>
        </w:rPr>
      </w:pPr>
    </w:p>
    <w:p w14:paraId="5DB3A24F" w14:textId="0EE8BC33" w:rsidR="00850B5A" w:rsidRPr="002446FB" w:rsidRDefault="00850B5A" w:rsidP="00850B5A">
      <w:pPr>
        <w:spacing w:after="0" w:line="240" w:lineRule="auto"/>
        <w:jc w:val="both"/>
        <w:rPr>
          <w:rFonts w:ascii="Arial" w:eastAsia="Times New Roman" w:hAnsi="Arial" w:cs="Arial"/>
          <w:bCs/>
          <w:iCs/>
          <w:sz w:val="20"/>
          <w:szCs w:val="20"/>
          <w:lang w:eastAsia="en-US"/>
        </w:rPr>
      </w:pPr>
      <w:r w:rsidRPr="002446FB">
        <w:rPr>
          <w:rFonts w:ascii="Arial" w:eastAsia="Times New Roman" w:hAnsi="Arial" w:cs="Arial"/>
          <w:b/>
          <w:bCs/>
          <w:iCs/>
          <w:sz w:val="20"/>
          <w:szCs w:val="20"/>
          <w:lang w:eastAsia="en-US"/>
        </w:rPr>
        <w:t>SKUPINA 15:</w:t>
      </w:r>
      <w:r w:rsidRPr="002446FB">
        <w:rPr>
          <w:rFonts w:ascii="Arial" w:eastAsia="Times New Roman" w:hAnsi="Arial" w:cs="Arial"/>
          <w:bCs/>
          <w:iCs/>
          <w:sz w:val="20"/>
          <w:szCs w:val="20"/>
          <w:lang w:eastAsia="en-US"/>
        </w:rPr>
        <w:tab/>
        <w:t>Dionice i udjeli u glavnici (</w:t>
      </w:r>
      <w:r w:rsidRPr="002446FB">
        <w:rPr>
          <w:rFonts w:ascii="Arial" w:eastAsia="Times New Roman" w:hAnsi="Arial" w:cs="Arial"/>
          <w:b/>
          <w:bCs/>
          <w:iCs/>
          <w:sz w:val="20"/>
          <w:szCs w:val="20"/>
          <w:lang w:eastAsia="en-US"/>
        </w:rPr>
        <w:t>15</w:t>
      </w:r>
      <w:r w:rsidRPr="002446FB">
        <w:rPr>
          <w:rFonts w:ascii="Arial" w:eastAsia="Times New Roman" w:hAnsi="Arial" w:cs="Arial"/>
          <w:bCs/>
          <w:iCs/>
          <w:sz w:val="20"/>
          <w:szCs w:val="20"/>
          <w:lang w:eastAsia="en-US"/>
        </w:rPr>
        <w:t xml:space="preserve">) iznose </w:t>
      </w:r>
      <w:r w:rsidR="002446FB" w:rsidRPr="002446FB">
        <w:rPr>
          <w:rFonts w:ascii="Arial" w:eastAsia="Times New Roman" w:hAnsi="Arial" w:cs="Arial"/>
          <w:bCs/>
          <w:iCs/>
          <w:sz w:val="20"/>
          <w:szCs w:val="20"/>
          <w:lang w:eastAsia="en-US"/>
        </w:rPr>
        <w:t>26.724.080</w:t>
      </w:r>
      <w:r w:rsidRPr="002446FB">
        <w:rPr>
          <w:rFonts w:ascii="Arial" w:eastAsia="Times New Roman" w:hAnsi="Arial" w:cs="Arial"/>
          <w:bCs/>
          <w:iCs/>
          <w:sz w:val="20"/>
          <w:szCs w:val="20"/>
          <w:lang w:eastAsia="en-US"/>
        </w:rPr>
        <w:t xml:space="preserve"> €, manje nego prethodne proračunske godine za </w:t>
      </w:r>
      <w:r w:rsidR="002446FB" w:rsidRPr="002446FB">
        <w:rPr>
          <w:rFonts w:ascii="Arial" w:eastAsia="Times New Roman" w:hAnsi="Arial" w:cs="Arial"/>
          <w:bCs/>
          <w:iCs/>
          <w:sz w:val="20"/>
          <w:szCs w:val="20"/>
          <w:lang w:eastAsia="en-US"/>
        </w:rPr>
        <w:t>2.654,46</w:t>
      </w:r>
      <w:r w:rsidRPr="002446FB">
        <w:rPr>
          <w:rFonts w:ascii="Arial" w:eastAsia="Times New Roman" w:hAnsi="Arial" w:cs="Arial"/>
          <w:bCs/>
          <w:iCs/>
          <w:sz w:val="20"/>
          <w:szCs w:val="20"/>
          <w:lang w:eastAsia="en-US"/>
        </w:rPr>
        <w:t xml:space="preserve"> € na temelju donesen</w:t>
      </w:r>
      <w:r w:rsidR="002446FB" w:rsidRPr="002446FB">
        <w:rPr>
          <w:rFonts w:ascii="Arial" w:eastAsia="Times New Roman" w:hAnsi="Arial" w:cs="Arial"/>
          <w:bCs/>
          <w:iCs/>
          <w:sz w:val="20"/>
          <w:szCs w:val="20"/>
          <w:lang w:eastAsia="en-US"/>
        </w:rPr>
        <w:t>e odluke o brisanju jednog poslovnog subjekta iz sudskog registra</w:t>
      </w:r>
      <w:r w:rsidRPr="002446FB">
        <w:rPr>
          <w:rFonts w:ascii="Arial" w:eastAsia="Times New Roman" w:hAnsi="Arial" w:cs="Arial"/>
          <w:bCs/>
          <w:iCs/>
          <w:sz w:val="20"/>
          <w:szCs w:val="20"/>
          <w:lang w:eastAsia="en-US"/>
        </w:rPr>
        <w:t>. Općina koncem</w:t>
      </w:r>
      <w:r w:rsidR="002446FB" w:rsidRPr="002446FB">
        <w:rPr>
          <w:rFonts w:ascii="Arial" w:eastAsia="Times New Roman" w:hAnsi="Arial" w:cs="Arial"/>
          <w:bCs/>
          <w:iCs/>
          <w:sz w:val="20"/>
          <w:szCs w:val="20"/>
          <w:lang w:eastAsia="en-US"/>
        </w:rPr>
        <w:t xml:space="preserve"> lipnja</w:t>
      </w:r>
      <w:r w:rsidRPr="002446FB">
        <w:rPr>
          <w:rFonts w:ascii="Arial" w:eastAsia="Times New Roman" w:hAnsi="Arial" w:cs="Arial"/>
          <w:bCs/>
          <w:iCs/>
          <w:sz w:val="20"/>
          <w:szCs w:val="20"/>
          <w:lang w:eastAsia="en-US"/>
        </w:rPr>
        <w:t xml:space="preserve"> 202</w:t>
      </w:r>
      <w:r w:rsidR="002446FB" w:rsidRPr="002446FB">
        <w:rPr>
          <w:rFonts w:ascii="Arial" w:eastAsia="Times New Roman" w:hAnsi="Arial" w:cs="Arial"/>
          <w:bCs/>
          <w:iCs/>
          <w:sz w:val="20"/>
          <w:szCs w:val="20"/>
          <w:lang w:eastAsia="en-US"/>
        </w:rPr>
        <w:t>5</w:t>
      </w:r>
      <w:r w:rsidRPr="002446FB">
        <w:rPr>
          <w:rFonts w:ascii="Arial" w:eastAsia="Times New Roman" w:hAnsi="Arial" w:cs="Arial"/>
          <w:bCs/>
          <w:iCs/>
          <w:sz w:val="20"/>
          <w:szCs w:val="20"/>
          <w:lang w:eastAsia="en-US"/>
        </w:rPr>
        <w:t xml:space="preserve">. ima udjele u </w:t>
      </w:r>
      <w:r w:rsidR="002446FB" w:rsidRPr="002446FB">
        <w:rPr>
          <w:rFonts w:ascii="Arial" w:eastAsia="Times New Roman" w:hAnsi="Arial" w:cs="Arial"/>
          <w:bCs/>
          <w:iCs/>
          <w:sz w:val="20"/>
          <w:szCs w:val="20"/>
          <w:lang w:eastAsia="en-US"/>
        </w:rPr>
        <w:t>dva</w:t>
      </w:r>
      <w:r w:rsidRPr="002446FB">
        <w:rPr>
          <w:rFonts w:ascii="Arial" w:eastAsia="Times New Roman" w:hAnsi="Arial" w:cs="Arial"/>
          <w:bCs/>
          <w:iCs/>
          <w:sz w:val="20"/>
          <w:szCs w:val="20"/>
          <w:lang w:eastAsia="en-US"/>
        </w:rPr>
        <w:t xml:space="preserve"> društva u vlasništvu Općine u iznosu 14.</w:t>
      </w:r>
      <w:r w:rsidR="002446FB" w:rsidRPr="002446FB">
        <w:rPr>
          <w:rFonts w:ascii="Arial" w:eastAsia="Times New Roman" w:hAnsi="Arial" w:cs="Arial"/>
          <w:bCs/>
          <w:iCs/>
          <w:sz w:val="20"/>
          <w:szCs w:val="20"/>
          <w:lang w:eastAsia="en-US"/>
        </w:rPr>
        <w:t>217.550</w:t>
      </w:r>
      <w:r w:rsidRPr="002446FB">
        <w:rPr>
          <w:rFonts w:ascii="Arial" w:eastAsia="Times New Roman" w:hAnsi="Arial" w:cs="Arial"/>
          <w:bCs/>
          <w:iCs/>
          <w:sz w:val="20"/>
          <w:szCs w:val="20"/>
          <w:lang w:eastAsia="en-US"/>
        </w:rPr>
        <w:t xml:space="preserve"> €, te u šest društava u suvlasništvu u ukupnom iznosu 12.506.530 €. </w:t>
      </w:r>
    </w:p>
    <w:p w14:paraId="4F66A151" w14:textId="77777777" w:rsidR="00850B5A" w:rsidRPr="00D54B85" w:rsidRDefault="00850B5A" w:rsidP="00850B5A">
      <w:pPr>
        <w:spacing w:after="0" w:line="240" w:lineRule="auto"/>
        <w:jc w:val="both"/>
        <w:rPr>
          <w:rFonts w:ascii="Arial" w:eastAsia="Times New Roman" w:hAnsi="Arial" w:cs="Arial"/>
          <w:bCs/>
          <w:iCs/>
          <w:sz w:val="20"/>
          <w:szCs w:val="20"/>
          <w:lang w:eastAsia="en-US"/>
        </w:rPr>
      </w:pPr>
    </w:p>
    <w:p w14:paraId="705FFD45" w14:textId="3F68AB6E" w:rsidR="00D54B85" w:rsidRPr="00D54B85" w:rsidRDefault="00850B5A" w:rsidP="00850B5A">
      <w:pPr>
        <w:spacing w:after="0" w:line="240" w:lineRule="auto"/>
        <w:jc w:val="both"/>
        <w:rPr>
          <w:rFonts w:ascii="Arial" w:eastAsia="Times New Roman" w:hAnsi="Arial" w:cs="Arial"/>
          <w:bCs/>
          <w:iCs/>
          <w:sz w:val="20"/>
          <w:szCs w:val="20"/>
          <w:lang w:eastAsia="en-US"/>
        </w:rPr>
      </w:pPr>
      <w:r w:rsidRPr="00D54B85">
        <w:rPr>
          <w:rFonts w:ascii="Arial" w:eastAsia="Times New Roman" w:hAnsi="Arial" w:cs="Arial"/>
          <w:b/>
          <w:bCs/>
          <w:iCs/>
          <w:sz w:val="20"/>
          <w:szCs w:val="20"/>
          <w:lang w:eastAsia="en-US"/>
        </w:rPr>
        <w:t>SKUPINA 16</w:t>
      </w:r>
      <w:r w:rsidRPr="00D54B85">
        <w:rPr>
          <w:rFonts w:ascii="Arial" w:eastAsia="Times New Roman" w:hAnsi="Arial" w:cs="Arial"/>
          <w:bCs/>
          <w:iCs/>
          <w:sz w:val="20"/>
          <w:szCs w:val="20"/>
          <w:lang w:eastAsia="en-US"/>
        </w:rPr>
        <w:t>:</w:t>
      </w:r>
      <w:r w:rsidRPr="00D54B85">
        <w:rPr>
          <w:rFonts w:ascii="Arial" w:eastAsia="Times New Roman" w:hAnsi="Arial" w:cs="Arial"/>
          <w:bCs/>
          <w:iCs/>
          <w:sz w:val="20"/>
          <w:szCs w:val="20"/>
          <w:lang w:eastAsia="en-US"/>
        </w:rPr>
        <w:tab/>
        <w:t>Potraživanja za prihode poslovanja (</w:t>
      </w:r>
      <w:r w:rsidRPr="00D54B85">
        <w:rPr>
          <w:rFonts w:ascii="Arial" w:eastAsia="Times New Roman" w:hAnsi="Arial" w:cs="Arial"/>
          <w:b/>
          <w:bCs/>
          <w:iCs/>
          <w:sz w:val="20"/>
          <w:szCs w:val="20"/>
          <w:lang w:eastAsia="en-US"/>
        </w:rPr>
        <w:t>16</w:t>
      </w:r>
      <w:r w:rsidRPr="00D54B85">
        <w:rPr>
          <w:rFonts w:ascii="Arial" w:eastAsia="Times New Roman" w:hAnsi="Arial" w:cs="Arial"/>
          <w:bCs/>
          <w:iCs/>
          <w:sz w:val="20"/>
          <w:szCs w:val="20"/>
          <w:lang w:eastAsia="en-US"/>
        </w:rPr>
        <w:t xml:space="preserve">) koncem </w:t>
      </w:r>
      <w:r w:rsidR="002446FB" w:rsidRPr="00D54B85">
        <w:rPr>
          <w:rFonts w:ascii="Arial" w:eastAsia="Times New Roman" w:hAnsi="Arial" w:cs="Arial"/>
          <w:bCs/>
          <w:iCs/>
          <w:sz w:val="20"/>
          <w:szCs w:val="20"/>
          <w:lang w:eastAsia="en-US"/>
        </w:rPr>
        <w:t xml:space="preserve">lipnja </w:t>
      </w:r>
      <w:r w:rsidRPr="00D54B85">
        <w:rPr>
          <w:rFonts w:ascii="Arial" w:eastAsia="Times New Roman" w:hAnsi="Arial" w:cs="Arial"/>
          <w:bCs/>
          <w:iCs/>
          <w:sz w:val="20"/>
          <w:szCs w:val="20"/>
          <w:lang w:eastAsia="en-US"/>
        </w:rPr>
        <w:t>202</w:t>
      </w:r>
      <w:r w:rsidR="002446FB" w:rsidRPr="00D54B85">
        <w:rPr>
          <w:rFonts w:ascii="Arial" w:eastAsia="Times New Roman" w:hAnsi="Arial" w:cs="Arial"/>
          <w:bCs/>
          <w:iCs/>
          <w:sz w:val="20"/>
          <w:szCs w:val="20"/>
          <w:lang w:eastAsia="en-US"/>
        </w:rPr>
        <w:t>5</w:t>
      </w:r>
      <w:r w:rsidRPr="00D54B85">
        <w:rPr>
          <w:rFonts w:ascii="Arial" w:eastAsia="Times New Roman" w:hAnsi="Arial" w:cs="Arial"/>
          <w:bCs/>
          <w:iCs/>
          <w:sz w:val="20"/>
          <w:szCs w:val="20"/>
          <w:lang w:eastAsia="en-US"/>
        </w:rPr>
        <w:t xml:space="preserve">. iznose </w:t>
      </w:r>
      <w:r w:rsidR="003B0DC5" w:rsidRPr="00D54B85">
        <w:rPr>
          <w:rFonts w:ascii="Arial" w:eastAsia="Times New Roman" w:hAnsi="Arial" w:cs="Arial"/>
          <w:bCs/>
          <w:iCs/>
          <w:sz w:val="20"/>
          <w:szCs w:val="20"/>
          <w:lang w:eastAsia="en-US"/>
        </w:rPr>
        <w:t>1.733.482,60</w:t>
      </w:r>
      <w:r w:rsidRPr="00D54B85">
        <w:rPr>
          <w:rFonts w:ascii="Arial" w:eastAsia="Times New Roman" w:hAnsi="Arial" w:cs="Arial"/>
          <w:bCs/>
          <w:iCs/>
          <w:sz w:val="20"/>
          <w:szCs w:val="20"/>
          <w:lang w:eastAsia="en-US"/>
        </w:rPr>
        <w:t xml:space="preserve"> € što je </w:t>
      </w:r>
      <w:r w:rsidR="003B0DC5" w:rsidRPr="00D54B85">
        <w:rPr>
          <w:rFonts w:ascii="Arial" w:eastAsia="Times New Roman" w:hAnsi="Arial" w:cs="Arial"/>
          <w:bCs/>
          <w:iCs/>
          <w:sz w:val="20"/>
          <w:szCs w:val="20"/>
          <w:lang w:eastAsia="en-US"/>
        </w:rPr>
        <w:t>436.904,88</w:t>
      </w:r>
      <w:r w:rsidRPr="00D54B85">
        <w:rPr>
          <w:rFonts w:ascii="Arial" w:eastAsia="Times New Roman" w:hAnsi="Arial" w:cs="Arial"/>
          <w:bCs/>
          <w:iCs/>
          <w:sz w:val="20"/>
          <w:szCs w:val="20"/>
          <w:lang w:eastAsia="en-US"/>
        </w:rPr>
        <w:t xml:space="preserve"> € ili </w:t>
      </w:r>
      <w:r w:rsidR="003B0DC5" w:rsidRPr="00D54B85">
        <w:rPr>
          <w:rFonts w:ascii="Arial" w:eastAsia="Times New Roman" w:hAnsi="Arial" w:cs="Arial"/>
          <w:bCs/>
          <w:iCs/>
          <w:sz w:val="20"/>
          <w:szCs w:val="20"/>
          <w:lang w:eastAsia="en-US"/>
        </w:rPr>
        <w:t>33,7</w:t>
      </w:r>
      <w:r w:rsidRPr="00D54B85">
        <w:rPr>
          <w:rFonts w:ascii="Arial" w:eastAsia="Times New Roman" w:hAnsi="Arial" w:cs="Arial"/>
          <w:bCs/>
          <w:iCs/>
          <w:sz w:val="20"/>
          <w:szCs w:val="20"/>
          <w:lang w:eastAsia="en-US"/>
        </w:rPr>
        <w:t xml:space="preserve">% </w:t>
      </w:r>
      <w:r w:rsidR="003B0DC5" w:rsidRPr="00D54B85">
        <w:rPr>
          <w:rFonts w:ascii="Arial" w:eastAsia="Times New Roman" w:hAnsi="Arial" w:cs="Arial"/>
          <w:bCs/>
          <w:iCs/>
          <w:sz w:val="20"/>
          <w:szCs w:val="20"/>
          <w:lang w:eastAsia="en-US"/>
        </w:rPr>
        <w:t>više</w:t>
      </w:r>
      <w:r w:rsidRPr="00D54B85">
        <w:rPr>
          <w:rFonts w:ascii="Arial" w:eastAsia="Times New Roman" w:hAnsi="Arial" w:cs="Arial"/>
          <w:bCs/>
          <w:iCs/>
          <w:sz w:val="20"/>
          <w:szCs w:val="20"/>
          <w:lang w:eastAsia="en-US"/>
        </w:rPr>
        <w:t xml:space="preserve"> u odnosu na početak godine kada su iznosila </w:t>
      </w:r>
      <w:r w:rsidR="003B0DC5" w:rsidRPr="00D54B85">
        <w:rPr>
          <w:rFonts w:ascii="Arial" w:eastAsia="Times New Roman" w:hAnsi="Arial" w:cs="Arial"/>
          <w:bCs/>
          <w:iCs/>
          <w:sz w:val="20"/>
          <w:szCs w:val="20"/>
          <w:lang w:eastAsia="en-US"/>
        </w:rPr>
        <w:t>1.296.577,72</w:t>
      </w:r>
      <w:r w:rsidRPr="00D54B85">
        <w:rPr>
          <w:rFonts w:ascii="Arial" w:eastAsia="Times New Roman" w:hAnsi="Arial" w:cs="Arial"/>
          <w:bCs/>
          <w:iCs/>
          <w:sz w:val="20"/>
          <w:szCs w:val="20"/>
          <w:lang w:eastAsia="en-US"/>
        </w:rPr>
        <w:t xml:space="preserve"> €</w:t>
      </w:r>
      <w:r w:rsidR="00D54B85" w:rsidRPr="00D54B85">
        <w:rPr>
          <w:rFonts w:ascii="Arial" w:eastAsia="Times New Roman" w:hAnsi="Arial" w:cs="Arial"/>
          <w:bCs/>
          <w:iCs/>
          <w:sz w:val="20"/>
          <w:szCs w:val="20"/>
          <w:lang w:eastAsia="en-US"/>
        </w:rPr>
        <w:t xml:space="preserve"> (potraživanje 1.721.331,79 € umanjeno za ispravak vrijednosti potraživanja 424.754,07 €)</w:t>
      </w:r>
      <w:r w:rsidRPr="00D54B85">
        <w:rPr>
          <w:rFonts w:ascii="Arial" w:eastAsia="Times New Roman" w:hAnsi="Arial" w:cs="Arial"/>
          <w:bCs/>
          <w:iCs/>
          <w:sz w:val="20"/>
          <w:szCs w:val="20"/>
          <w:lang w:eastAsia="en-US"/>
        </w:rPr>
        <w:t>. U okviru ovih potraživanja koncem 2024. je obavljen ispravak vrijednosti potraživanja u postocima ovisno o kašnjenju naplate</w:t>
      </w:r>
      <w:r w:rsidR="00D54B85" w:rsidRPr="00D54B85">
        <w:rPr>
          <w:rFonts w:ascii="Arial" w:eastAsia="Times New Roman" w:hAnsi="Arial" w:cs="Arial"/>
          <w:bCs/>
          <w:iCs/>
          <w:sz w:val="20"/>
          <w:szCs w:val="20"/>
          <w:lang w:eastAsia="en-US"/>
        </w:rPr>
        <w:t xml:space="preserve"> u iznosu</w:t>
      </w:r>
      <w:r w:rsidRPr="00D54B85">
        <w:rPr>
          <w:rFonts w:ascii="Arial" w:eastAsia="Times New Roman" w:hAnsi="Arial" w:cs="Arial"/>
          <w:bCs/>
          <w:iCs/>
          <w:sz w:val="20"/>
          <w:szCs w:val="20"/>
          <w:lang w:eastAsia="en-US"/>
        </w:rPr>
        <w:t xml:space="preserve"> 424.754,07 € od čega se najznačajniji udjel odnosi na ispravak potraživanja komunalnog doprinosa u iznosu 175.838,89 € i komunalne naknade u iznosu 78.505,20 €, te ispravak vrijednosti potraživanja za porez na promet nekretnina čija potraživanja vodi Porezna uprava u iznosu 88.101,75 €).</w:t>
      </w:r>
      <w:r w:rsidR="00D54B85" w:rsidRPr="00D54B85">
        <w:rPr>
          <w:rFonts w:ascii="Arial" w:eastAsia="Times New Roman" w:hAnsi="Arial" w:cs="Arial"/>
          <w:bCs/>
          <w:iCs/>
          <w:sz w:val="20"/>
          <w:szCs w:val="20"/>
          <w:lang w:eastAsia="en-US"/>
        </w:rPr>
        <w:t xml:space="preserve"> U prvom polugodištu 2025. nije iskazan ispravak vrijednosti potraživanja.</w:t>
      </w:r>
    </w:p>
    <w:p w14:paraId="6432F3FC" w14:textId="77777777" w:rsidR="00850B5A" w:rsidRPr="00D54B85" w:rsidRDefault="00850B5A" w:rsidP="00850B5A">
      <w:pPr>
        <w:spacing w:after="0" w:line="240" w:lineRule="auto"/>
        <w:jc w:val="both"/>
        <w:rPr>
          <w:rFonts w:ascii="Arial" w:eastAsia="Times New Roman" w:hAnsi="Arial" w:cs="Arial"/>
          <w:bCs/>
          <w:iCs/>
          <w:sz w:val="20"/>
          <w:szCs w:val="20"/>
          <w:lang w:eastAsia="en-US"/>
        </w:rPr>
      </w:pPr>
    </w:p>
    <w:p w14:paraId="11C6FDF1" w14:textId="6EFA8C92" w:rsidR="00850B5A" w:rsidRPr="00D54B85" w:rsidRDefault="00850B5A" w:rsidP="00850B5A">
      <w:pPr>
        <w:spacing w:after="0" w:line="240" w:lineRule="auto"/>
        <w:jc w:val="both"/>
        <w:rPr>
          <w:rFonts w:ascii="Arial" w:eastAsia="Times New Roman" w:hAnsi="Arial" w:cs="Arial"/>
          <w:bCs/>
          <w:iCs/>
          <w:sz w:val="20"/>
          <w:szCs w:val="20"/>
          <w:lang w:eastAsia="en-US"/>
        </w:rPr>
      </w:pPr>
      <w:r w:rsidRPr="00D54B85">
        <w:rPr>
          <w:rFonts w:ascii="Arial" w:eastAsia="Times New Roman" w:hAnsi="Arial" w:cs="Arial"/>
          <w:bCs/>
          <w:iCs/>
          <w:sz w:val="20"/>
          <w:szCs w:val="20"/>
          <w:lang w:eastAsia="en-US"/>
        </w:rPr>
        <w:t xml:space="preserve">Potraživanja za poreze (161) u iznosu </w:t>
      </w:r>
      <w:r w:rsidR="00D54B85" w:rsidRPr="00D54B85">
        <w:rPr>
          <w:rFonts w:ascii="Arial" w:eastAsia="Times New Roman" w:hAnsi="Arial" w:cs="Arial"/>
          <w:bCs/>
          <w:iCs/>
          <w:sz w:val="20"/>
          <w:szCs w:val="20"/>
          <w:lang w:eastAsia="en-US"/>
        </w:rPr>
        <w:t>147.081,02</w:t>
      </w:r>
      <w:r w:rsidRPr="00D54B85">
        <w:rPr>
          <w:rFonts w:ascii="Arial" w:eastAsia="Times New Roman" w:hAnsi="Arial" w:cs="Arial"/>
          <w:bCs/>
          <w:iCs/>
          <w:sz w:val="20"/>
          <w:szCs w:val="20"/>
          <w:lang w:eastAsia="en-US"/>
        </w:rPr>
        <w:t xml:space="preserve"> € uključuju općinske poreze i porez na promet nekretnina. Najznačajnija potraživanja se odnose na porez na nekretnine u iznosu </w:t>
      </w:r>
      <w:r w:rsidR="00D54B85" w:rsidRPr="00D54B85">
        <w:rPr>
          <w:rFonts w:ascii="Arial" w:eastAsia="Times New Roman" w:hAnsi="Arial" w:cs="Arial"/>
          <w:bCs/>
          <w:iCs/>
          <w:sz w:val="20"/>
          <w:szCs w:val="20"/>
          <w:lang w:eastAsia="en-US"/>
        </w:rPr>
        <w:t>77.704,57</w:t>
      </w:r>
      <w:r w:rsidRPr="00D54B85">
        <w:rPr>
          <w:rFonts w:ascii="Arial" w:eastAsia="Times New Roman" w:hAnsi="Arial" w:cs="Arial"/>
          <w:bCs/>
          <w:iCs/>
          <w:sz w:val="20"/>
          <w:szCs w:val="20"/>
          <w:lang w:eastAsia="en-US"/>
        </w:rPr>
        <w:t xml:space="preserve"> € čiju naplatu obavlja Porezna. Ovaj porez od početka 2017. u cijelosti pripada jedinici lokalne samouprave na čijem području je nekretnina.</w:t>
      </w:r>
    </w:p>
    <w:p w14:paraId="1A08AF8A" w14:textId="77777777" w:rsidR="00850B5A" w:rsidRPr="00D54B85" w:rsidRDefault="00850B5A" w:rsidP="00850B5A">
      <w:pPr>
        <w:spacing w:after="0" w:line="240" w:lineRule="auto"/>
        <w:jc w:val="both"/>
        <w:rPr>
          <w:rFonts w:ascii="Arial" w:eastAsia="Times New Roman" w:hAnsi="Arial" w:cs="Arial"/>
          <w:bCs/>
          <w:iCs/>
          <w:sz w:val="20"/>
          <w:szCs w:val="20"/>
          <w:lang w:eastAsia="en-US"/>
        </w:rPr>
      </w:pPr>
    </w:p>
    <w:p w14:paraId="5A430252" w14:textId="05D653AB" w:rsidR="00850B5A" w:rsidRPr="0068711D" w:rsidRDefault="00850B5A" w:rsidP="00850B5A">
      <w:pPr>
        <w:spacing w:after="0" w:line="240" w:lineRule="auto"/>
        <w:jc w:val="both"/>
        <w:rPr>
          <w:rFonts w:ascii="Arial" w:eastAsia="Times New Roman" w:hAnsi="Arial" w:cs="Arial"/>
          <w:bCs/>
          <w:iCs/>
          <w:sz w:val="20"/>
          <w:szCs w:val="20"/>
          <w:lang w:eastAsia="en-US"/>
        </w:rPr>
      </w:pPr>
      <w:r w:rsidRPr="00D54B85">
        <w:rPr>
          <w:rFonts w:ascii="Arial" w:eastAsia="Times New Roman" w:hAnsi="Arial" w:cs="Arial"/>
          <w:bCs/>
          <w:iCs/>
          <w:sz w:val="20"/>
          <w:szCs w:val="20"/>
          <w:lang w:eastAsia="en-US"/>
        </w:rPr>
        <w:lastRenderedPageBreak/>
        <w:t xml:space="preserve">Potraživanja za prihode od imovine (164) iznose </w:t>
      </w:r>
      <w:r w:rsidR="00D54B85" w:rsidRPr="00D54B85">
        <w:rPr>
          <w:rFonts w:ascii="Arial" w:eastAsia="Times New Roman" w:hAnsi="Arial" w:cs="Arial"/>
          <w:bCs/>
          <w:iCs/>
          <w:sz w:val="20"/>
          <w:szCs w:val="20"/>
          <w:lang w:eastAsia="en-US"/>
        </w:rPr>
        <w:t>470.166,70</w:t>
      </w:r>
      <w:r w:rsidRPr="00D54B85">
        <w:rPr>
          <w:rFonts w:ascii="Arial" w:eastAsia="Times New Roman" w:hAnsi="Arial" w:cs="Arial"/>
          <w:bCs/>
          <w:iCs/>
          <w:sz w:val="20"/>
          <w:szCs w:val="20"/>
          <w:lang w:eastAsia="en-US"/>
        </w:rPr>
        <w:t xml:space="preserve"> €. U okviru ovih potraživanja su, između ostalog, potraživanja za najam poslovnog prostora </w:t>
      </w:r>
      <w:r w:rsidR="00D54B85" w:rsidRPr="00D54B85">
        <w:rPr>
          <w:rFonts w:ascii="Arial" w:eastAsia="Times New Roman" w:hAnsi="Arial" w:cs="Arial"/>
          <w:bCs/>
          <w:iCs/>
          <w:sz w:val="20"/>
          <w:szCs w:val="20"/>
          <w:lang w:eastAsia="en-US"/>
        </w:rPr>
        <w:t>203.931,40</w:t>
      </w:r>
      <w:r w:rsidRPr="00D54B85">
        <w:rPr>
          <w:rFonts w:ascii="Arial" w:eastAsia="Times New Roman" w:hAnsi="Arial" w:cs="Arial"/>
          <w:bCs/>
          <w:iCs/>
          <w:sz w:val="20"/>
          <w:szCs w:val="20"/>
          <w:lang w:eastAsia="en-US"/>
        </w:rPr>
        <w:t xml:space="preserve"> </w:t>
      </w:r>
      <w:r w:rsidRPr="0068711D">
        <w:rPr>
          <w:rFonts w:ascii="Arial" w:eastAsia="Times New Roman" w:hAnsi="Arial" w:cs="Arial"/>
          <w:bCs/>
          <w:iCs/>
          <w:sz w:val="20"/>
          <w:szCs w:val="20"/>
          <w:lang w:eastAsia="en-US"/>
        </w:rPr>
        <w:t xml:space="preserve">€ i korištenje javnih površina </w:t>
      </w:r>
      <w:r w:rsidR="00D54B85" w:rsidRPr="0068711D">
        <w:rPr>
          <w:rFonts w:ascii="Arial" w:eastAsia="Times New Roman" w:hAnsi="Arial" w:cs="Arial"/>
          <w:bCs/>
          <w:iCs/>
          <w:sz w:val="20"/>
          <w:szCs w:val="20"/>
          <w:lang w:eastAsia="en-US"/>
        </w:rPr>
        <w:t>198.189,09</w:t>
      </w:r>
      <w:r w:rsidRPr="0068711D">
        <w:rPr>
          <w:rFonts w:ascii="Arial" w:eastAsia="Times New Roman" w:hAnsi="Arial" w:cs="Arial"/>
          <w:bCs/>
          <w:iCs/>
          <w:sz w:val="20"/>
          <w:szCs w:val="20"/>
          <w:lang w:eastAsia="en-US"/>
        </w:rPr>
        <w:t xml:space="preserve"> €.</w:t>
      </w:r>
    </w:p>
    <w:p w14:paraId="57BCDEAD" w14:textId="77777777" w:rsidR="00850B5A" w:rsidRPr="0068711D" w:rsidRDefault="00850B5A" w:rsidP="00850B5A">
      <w:pPr>
        <w:spacing w:after="0" w:line="240" w:lineRule="auto"/>
        <w:jc w:val="both"/>
        <w:rPr>
          <w:rFonts w:ascii="Arial" w:eastAsia="Times New Roman" w:hAnsi="Arial" w:cs="Arial"/>
          <w:bCs/>
          <w:iCs/>
          <w:sz w:val="20"/>
          <w:szCs w:val="20"/>
          <w:lang w:eastAsia="en-US"/>
        </w:rPr>
      </w:pPr>
    </w:p>
    <w:p w14:paraId="03B7795B" w14:textId="36D04191" w:rsidR="00850B5A" w:rsidRPr="0068711D" w:rsidRDefault="00850B5A" w:rsidP="00850B5A">
      <w:pPr>
        <w:spacing w:after="0" w:line="240" w:lineRule="auto"/>
        <w:jc w:val="both"/>
        <w:rPr>
          <w:rFonts w:ascii="Arial" w:eastAsia="Times New Roman" w:hAnsi="Arial" w:cs="Arial"/>
          <w:bCs/>
          <w:iCs/>
          <w:sz w:val="20"/>
          <w:szCs w:val="20"/>
          <w:lang w:eastAsia="en-US"/>
        </w:rPr>
      </w:pPr>
      <w:r w:rsidRPr="0068711D">
        <w:rPr>
          <w:rFonts w:ascii="Arial" w:eastAsia="Times New Roman" w:hAnsi="Arial" w:cs="Arial"/>
          <w:bCs/>
          <w:iCs/>
          <w:sz w:val="20"/>
          <w:szCs w:val="20"/>
          <w:lang w:eastAsia="en-US"/>
        </w:rPr>
        <w:t xml:space="preserve">Potraživanja za upravne i administrativne pristojbe, pristojbe po posebnim propisima i naknade (165) iznose </w:t>
      </w:r>
      <w:r w:rsidR="00D54B85" w:rsidRPr="0068711D">
        <w:rPr>
          <w:rFonts w:ascii="Arial" w:eastAsia="Times New Roman" w:hAnsi="Arial" w:cs="Arial"/>
          <w:bCs/>
          <w:iCs/>
          <w:sz w:val="20"/>
          <w:szCs w:val="20"/>
          <w:lang w:eastAsia="en-US"/>
        </w:rPr>
        <w:t>1.116.076,67</w:t>
      </w:r>
      <w:r w:rsidRPr="0068711D">
        <w:rPr>
          <w:rFonts w:ascii="Arial" w:eastAsia="Times New Roman" w:hAnsi="Arial" w:cs="Arial"/>
          <w:bCs/>
          <w:iCs/>
          <w:sz w:val="20"/>
          <w:szCs w:val="20"/>
          <w:lang w:eastAsia="en-US"/>
        </w:rPr>
        <w:t xml:space="preserve"> €. U okviru ovih potraživanja vrijednosno su najznačajnija potraživanja za komunalnu naknadu i naknadu za uređenje voda u iznosu </w:t>
      </w:r>
      <w:r w:rsidR="00D54B85" w:rsidRPr="0068711D">
        <w:rPr>
          <w:rFonts w:ascii="Arial" w:eastAsia="Times New Roman" w:hAnsi="Arial" w:cs="Arial"/>
          <w:bCs/>
          <w:iCs/>
          <w:sz w:val="20"/>
          <w:szCs w:val="20"/>
          <w:lang w:eastAsia="en-US"/>
        </w:rPr>
        <w:t>302.785,25</w:t>
      </w:r>
      <w:r w:rsidRPr="0068711D">
        <w:rPr>
          <w:rFonts w:ascii="Arial" w:eastAsia="Times New Roman" w:hAnsi="Arial" w:cs="Arial"/>
          <w:bCs/>
          <w:iCs/>
          <w:sz w:val="20"/>
          <w:szCs w:val="20"/>
          <w:lang w:eastAsia="en-US"/>
        </w:rPr>
        <w:t xml:space="preserve"> €</w:t>
      </w:r>
      <w:r w:rsidR="00D54B85" w:rsidRPr="0068711D">
        <w:rPr>
          <w:rFonts w:ascii="Arial" w:eastAsia="Times New Roman" w:hAnsi="Arial" w:cs="Arial"/>
          <w:bCs/>
          <w:iCs/>
          <w:sz w:val="20"/>
          <w:szCs w:val="20"/>
          <w:lang w:eastAsia="en-US"/>
        </w:rPr>
        <w:t xml:space="preserve"> od čega je dospjelo 217.199,64 €.</w:t>
      </w:r>
    </w:p>
    <w:p w14:paraId="30B737C1" w14:textId="16F932FB" w:rsidR="00850B5A" w:rsidRPr="0068711D" w:rsidRDefault="00850B5A" w:rsidP="00850B5A">
      <w:pPr>
        <w:spacing w:after="0" w:line="240" w:lineRule="auto"/>
        <w:jc w:val="both"/>
        <w:rPr>
          <w:rFonts w:ascii="Arial" w:eastAsia="Times New Roman" w:hAnsi="Arial" w:cs="Arial"/>
          <w:bCs/>
          <w:iCs/>
          <w:sz w:val="20"/>
          <w:szCs w:val="20"/>
          <w:lang w:eastAsia="en-US"/>
        </w:rPr>
      </w:pPr>
      <w:r w:rsidRPr="0068711D">
        <w:rPr>
          <w:rFonts w:ascii="Arial" w:eastAsia="Times New Roman" w:hAnsi="Arial" w:cs="Arial"/>
          <w:bCs/>
          <w:iCs/>
          <w:sz w:val="20"/>
          <w:szCs w:val="20"/>
          <w:lang w:eastAsia="en-US"/>
        </w:rPr>
        <w:t xml:space="preserve">Nadalje, potraživanja za komunalni doprinos iznose </w:t>
      </w:r>
      <w:r w:rsidR="00D54B85" w:rsidRPr="0068711D">
        <w:rPr>
          <w:rFonts w:ascii="Arial" w:eastAsia="Times New Roman" w:hAnsi="Arial" w:cs="Arial"/>
          <w:bCs/>
          <w:iCs/>
          <w:sz w:val="20"/>
          <w:szCs w:val="20"/>
          <w:lang w:eastAsia="en-US"/>
        </w:rPr>
        <w:t>517.</w:t>
      </w:r>
      <w:r w:rsidR="0068711D" w:rsidRPr="0068711D">
        <w:rPr>
          <w:rFonts w:ascii="Arial" w:eastAsia="Times New Roman" w:hAnsi="Arial" w:cs="Arial"/>
          <w:bCs/>
          <w:iCs/>
          <w:sz w:val="20"/>
          <w:szCs w:val="20"/>
          <w:lang w:eastAsia="en-US"/>
        </w:rPr>
        <w:t>743,23</w:t>
      </w:r>
      <w:r w:rsidRPr="0068711D">
        <w:rPr>
          <w:rFonts w:ascii="Arial" w:eastAsia="Times New Roman" w:hAnsi="Arial" w:cs="Arial"/>
          <w:bCs/>
          <w:iCs/>
          <w:sz w:val="20"/>
          <w:szCs w:val="20"/>
          <w:lang w:eastAsia="en-US"/>
        </w:rPr>
        <w:t xml:space="preserve"> € od čega je dospjelo </w:t>
      </w:r>
      <w:r w:rsidR="0068711D" w:rsidRPr="0068711D">
        <w:rPr>
          <w:rFonts w:ascii="Arial" w:eastAsia="Times New Roman" w:hAnsi="Arial" w:cs="Arial"/>
          <w:bCs/>
          <w:iCs/>
          <w:sz w:val="20"/>
          <w:szCs w:val="20"/>
          <w:lang w:eastAsia="en-US"/>
        </w:rPr>
        <w:t>412.613,70</w:t>
      </w:r>
      <w:r w:rsidRPr="0068711D">
        <w:rPr>
          <w:rFonts w:ascii="Arial" w:eastAsia="Times New Roman" w:hAnsi="Arial" w:cs="Arial"/>
          <w:bCs/>
          <w:iCs/>
          <w:sz w:val="20"/>
          <w:szCs w:val="20"/>
          <w:lang w:eastAsia="en-US"/>
        </w:rPr>
        <w:t xml:space="preserve"> €. </w:t>
      </w:r>
    </w:p>
    <w:p w14:paraId="7FE2BA94" w14:textId="77777777" w:rsidR="00850B5A" w:rsidRPr="0068711D" w:rsidRDefault="00850B5A" w:rsidP="00850B5A">
      <w:pPr>
        <w:spacing w:after="0" w:line="240" w:lineRule="auto"/>
        <w:jc w:val="both"/>
        <w:rPr>
          <w:rFonts w:ascii="Arial" w:eastAsia="Times New Roman" w:hAnsi="Arial" w:cs="Arial"/>
          <w:bCs/>
          <w:iCs/>
          <w:sz w:val="20"/>
          <w:szCs w:val="20"/>
          <w:lang w:eastAsia="en-US"/>
        </w:rPr>
      </w:pPr>
    </w:p>
    <w:p w14:paraId="381CCD4E" w14:textId="68DAF139" w:rsidR="00850B5A" w:rsidRPr="0068711D" w:rsidRDefault="00850B5A" w:rsidP="00850B5A">
      <w:pPr>
        <w:spacing w:after="0" w:line="240" w:lineRule="auto"/>
        <w:jc w:val="both"/>
        <w:rPr>
          <w:rFonts w:ascii="Arial" w:eastAsia="Times New Roman" w:hAnsi="Arial" w:cs="Arial"/>
          <w:bCs/>
          <w:iCs/>
          <w:sz w:val="20"/>
          <w:szCs w:val="20"/>
          <w:lang w:eastAsia="en-US"/>
        </w:rPr>
      </w:pPr>
      <w:r w:rsidRPr="0068711D">
        <w:rPr>
          <w:rFonts w:ascii="Arial" w:eastAsia="Times New Roman" w:hAnsi="Arial" w:cs="Arial"/>
          <w:bCs/>
          <w:iCs/>
          <w:sz w:val="20"/>
          <w:szCs w:val="20"/>
          <w:lang w:eastAsia="en-US"/>
        </w:rPr>
        <w:t xml:space="preserve">U okviru potraživanja (račun 165), od 2019. godine iskazuju se potraživanja za naplatu namjenske naknade za sanaciju odlagališta otpada (naplatu obavlja društvo u suvlasništvu), a koja koncem </w:t>
      </w:r>
      <w:r w:rsidR="0068711D" w:rsidRPr="0068711D">
        <w:rPr>
          <w:rFonts w:ascii="Arial" w:eastAsia="Times New Roman" w:hAnsi="Arial" w:cs="Arial"/>
          <w:bCs/>
          <w:iCs/>
          <w:sz w:val="20"/>
          <w:szCs w:val="20"/>
          <w:lang w:eastAsia="en-US"/>
        </w:rPr>
        <w:t xml:space="preserve">lipnja </w:t>
      </w:r>
      <w:r w:rsidRPr="0068711D">
        <w:rPr>
          <w:rFonts w:ascii="Arial" w:eastAsia="Times New Roman" w:hAnsi="Arial" w:cs="Arial"/>
          <w:bCs/>
          <w:iCs/>
          <w:sz w:val="20"/>
          <w:szCs w:val="20"/>
          <w:lang w:eastAsia="en-US"/>
        </w:rPr>
        <w:t>202</w:t>
      </w:r>
      <w:r w:rsidR="0068711D" w:rsidRPr="0068711D">
        <w:rPr>
          <w:rFonts w:ascii="Arial" w:eastAsia="Times New Roman" w:hAnsi="Arial" w:cs="Arial"/>
          <w:bCs/>
          <w:iCs/>
          <w:sz w:val="20"/>
          <w:szCs w:val="20"/>
          <w:lang w:eastAsia="en-US"/>
        </w:rPr>
        <w:t>5</w:t>
      </w:r>
      <w:r w:rsidRPr="0068711D">
        <w:rPr>
          <w:rFonts w:ascii="Arial" w:eastAsia="Times New Roman" w:hAnsi="Arial" w:cs="Arial"/>
          <w:bCs/>
          <w:iCs/>
          <w:sz w:val="20"/>
          <w:szCs w:val="20"/>
          <w:lang w:eastAsia="en-US"/>
        </w:rPr>
        <w:t xml:space="preserve">. iznose 293.112,30 € (u cijelosti nedospjela potraživanja). </w:t>
      </w:r>
    </w:p>
    <w:p w14:paraId="43FD07D2" w14:textId="77777777" w:rsidR="00850B5A" w:rsidRPr="0068711D" w:rsidRDefault="00850B5A" w:rsidP="00850B5A">
      <w:pPr>
        <w:spacing w:after="0" w:line="240" w:lineRule="auto"/>
        <w:jc w:val="both"/>
        <w:rPr>
          <w:rFonts w:ascii="Arial" w:eastAsia="Times New Roman" w:hAnsi="Arial" w:cs="Arial"/>
          <w:bCs/>
          <w:iCs/>
          <w:sz w:val="20"/>
          <w:szCs w:val="20"/>
          <w:lang w:eastAsia="en-US"/>
        </w:rPr>
      </w:pPr>
    </w:p>
    <w:p w14:paraId="5D21DF00" w14:textId="374BC72F" w:rsidR="00850B5A" w:rsidRPr="0068711D" w:rsidRDefault="00850B5A" w:rsidP="00850B5A">
      <w:pPr>
        <w:spacing w:after="0" w:line="240" w:lineRule="auto"/>
        <w:jc w:val="both"/>
        <w:rPr>
          <w:rFonts w:ascii="Arial" w:eastAsia="Times New Roman" w:hAnsi="Arial" w:cs="Arial"/>
          <w:bCs/>
          <w:iCs/>
          <w:sz w:val="20"/>
          <w:szCs w:val="20"/>
          <w:lang w:eastAsia="en-US"/>
        </w:rPr>
      </w:pPr>
      <w:r w:rsidRPr="0068711D">
        <w:rPr>
          <w:rFonts w:ascii="Arial" w:eastAsia="Times New Roman" w:hAnsi="Arial" w:cs="Arial"/>
          <w:b/>
          <w:bCs/>
          <w:iCs/>
          <w:sz w:val="20"/>
          <w:szCs w:val="20"/>
          <w:lang w:eastAsia="en-US"/>
        </w:rPr>
        <w:t>SKUPINA 17</w:t>
      </w:r>
      <w:r w:rsidRPr="0068711D">
        <w:rPr>
          <w:rFonts w:ascii="Arial" w:eastAsia="Times New Roman" w:hAnsi="Arial" w:cs="Arial"/>
          <w:bCs/>
          <w:iCs/>
          <w:sz w:val="20"/>
          <w:szCs w:val="20"/>
          <w:lang w:eastAsia="en-US"/>
        </w:rPr>
        <w:t>:</w:t>
      </w:r>
      <w:r w:rsidRPr="0068711D">
        <w:rPr>
          <w:rFonts w:ascii="Arial" w:eastAsia="Times New Roman" w:hAnsi="Arial" w:cs="Arial"/>
          <w:bCs/>
          <w:iCs/>
          <w:sz w:val="20"/>
          <w:szCs w:val="20"/>
          <w:lang w:eastAsia="en-US"/>
        </w:rPr>
        <w:tab/>
        <w:t>Potraživanja od prodaje nefinancijske imovine (</w:t>
      </w:r>
      <w:r w:rsidRPr="0068711D">
        <w:rPr>
          <w:rFonts w:ascii="Arial" w:eastAsia="Times New Roman" w:hAnsi="Arial" w:cs="Arial"/>
          <w:b/>
          <w:bCs/>
          <w:iCs/>
          <w:sz w:val="20"/>
          <w:szCs w:val="20"/>
          <w:lang w:eastAsia="en-US"/>
        </w:rPr>
        <w:t>17</w:t>
      </w:r>
      <w:r w:rsidRPr="0068711D">
        <w:rPr>
          <w:rFonts w:ascii="Arial" w:eastAsia="Times New Roman" w:hAnsi="Arial" w:cs="Arial"/>
          <w:bCs/>
          <w:iCs/>
          <w:sz w:val="20"/>
          <w:szCs w:val="20"/>
          <w:lang w:eastAsia="en-US"/>
        </w:rPr>
        <w:t xml:space="preserve">) iznose </w:t>
      </w:r>
      <w:r w:rsidR="0068711D" w:rsidRPr="0068711D">
        <w:rPr>
          <w:rFonts w:ascii="Arial" w:eastAsia="Times New Roman" w:hAnsi="Arial" w:cs="Arial"/>
          <w:bCs/>
          <w:iCs/>
          <w:sz w:val="20"/>
          <w:szCs w:val="20"/>
          <w:lang w:eastAsia="en-US"/>
        </w:rPr>
        <w:t>29.104,50</w:t>
      </w:r>
      <w:r w:rsidRPr="0068711D">
        <w:rPr>
          <w:rFonts w:ascii="Arial" w:eastAsia="Times New Roman" w:hAnsi="Arial" w:cs="Arial"/>
          <w:bCs/>
          <w:iCs/>
          <w:sz w:val="20"/>
          <w:szCs w:val="20"/>
          <w:lang w:eastAsia="en-US"/>
        </w:rPr>
        <w:t xml:space="preserve"> € (s ispravkom), odnosno </w:t>
      </w:r>
      <w:r w:rsidR="0068711D" w:rsidRPr="0068711D">
        <w:rPr>
          <w:rFonts w:ascii="Arial" w:eastAsia="Times New Roman" w:hAnsi="Arial" w:cs="Arial"/>
          <w:bCs/>
          <w:iCs/>
          <w:sz w:val="20"/>
          <w:szCs w:val="20"/>
          <w:lang w:eastAsia="en-US"/>
        </w:rPr>
        <w:t>35.587,11</w:t>
      </w:r>
      <w:r w:rsidRPr="0068711D">
        <w:rPr>
          <w:rFonts w:ascii="Arial" w:eastAsia="Times New Roman" w:hAnsi="Arial" w:cs="Arial"/>
          <w:bCs/>
          <w:iCs/>
          <w:sz w:val="20"/>
          <w:szCs w:val="20"/>
          <w:lang w:eastAsia="en-US"/>
        </w:rPr>
        <w:t xml:space="preserve"> € bez ispravka vrijednosti. Ova potraživanja se odnose na potraživanja za prodane stanove sa stanarskim pravom na temelju ugovora zaključenih ranijih godina (društva Domouprava) u iznosu </w:t>
      </w:r>
      <w:r w:rsidR="0068711D" w:rsidRPr="0068711D">
        <w:rPr>
          <w:rFonts w:ascii="Arial" w:eastAsia="Times New Roman" w:hAnsi="Arial" w:cs="Arial"/>
          <w:bCs/>
          <w:iCs/>
          <w:sz w:val="20"/>
          <w:szCs w:val="20"/>
          <w:lang w:eastAsia="en-US"/>
        </w:rPr>
        <w:t>982,29</w:t>
      </w:r>
      <w:r w:rsidRPr="0068711D">
        <w:rPr>
          <w:rFonts w:ascii="Arial" w:eastAsia="Times New Roman" w:hAnsi="Arial" w:cs="Arial"/>
          <w:bCs/>
          <w:iCs/>
          <w:sz w:val="20"/>
          <w:szCs w:val="20"/>
          <w:lang w:eastAsia="en-US"/>
        </w:rPr>
        <w:t xml:space="preserve"> €, na potraživanja za stanove sa stanarskim pravom na temelju ugovora zaključenih ranijih godina (putem Općine) u iznosu 7.293,96 €, naknadu na ime troškova za stanove na Zvekovici 20.552,86 €, te potraživanja za prodano zemljište </w:t>
      </w:r>
      <w:r w:rsidR="0068711D" w:rsidRPr="0068711D">
        <w:rPr>
          <w:rFonts w:ascii="Arial" w:eastAsia="Times New Roman" w:hAnsi="Arial" w:cs="Arial"/>
          <w:bCs/>
          <w:iCs/>
          <w:sz w:val="20"/>
          <w:szCs w:val="20"/>
          <w:lang w:eastAsia="en-US"/>
        </w:rPr>
        <w:t>6.758</w:t>
      </w:r>
      <w:r w:rsidRPr="0068711D">
        <w:rPr>
          <w:rFonts w:ascii="Arial" w:eastAsia="Times New Roman" w:hAnsi="Arial" w:cs="Arial"/>
          <w:bCs/>
          <w:iCs/>
          <w:sz w:val="20"/>
          <w:szCs w:val="20"/>
          <w:lang w:eastAsia="en-US"/>
        </w:rPr>
        <w:t xml:space="preserve"> €.</w:t>
      </w:r>
    </w:p>
    <w:p w14:paraId="48818F7F" w14:textId="77777777" w:rsidR="00E827AE" w:rsidRPr="0068711D" w:rsidRDefault="00E827AE" w:rsidP="00E827AE">
      <w:pPr>
        <w:pStyle w:val="Tijeloteksta2"/>
        <w:rPr>
          <w:rFonts w:ascii="Arial" w:hAnsi="Arial" w:cs="Arial"/>
          <w:bCs/>
          <w:iCs/>
          <w:sz w:val="20"/>
          <w:lang w:val="hr-HR"/>
        </w:rPr>
      </w:pPr>
    </w:p>
    <w:p w14:paraId="1E7141BE" w14:textId="229AB281" w:rsidR="000650E1" w:rsidRPr="0068711D"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 w:val="20"/>
          <w:szCs w:val="18"/>
          <w:lang w:eastAsia="en-US"/>
        </w:rPr>
      </w:pPr>
      <w:r w:rsidRPr="0068711D">
        <w:rPr>
          <w:rFonts w:ascii="Arial" w:eastAsia="Times New Roman" w:hAnsi="Arial" w:cs="Arial"/>
          <w:b/>
          <w:sz w:val="20"/>
          <w:szCs w:val="18"/>
          <w:lang w:eastAsia="en-US"/>
        </w:rPr>
        <w:t>2.</w:t>
      </w:r>
      <w:r w:rsidRPr="0068711D">
        <w:rPr>
          <w:rFonts w:ascii="Arial" w:eastAsia="Times New Roman" w:hAnsi="Arial" w:cs="Arial"/>
          <w:b/>
          <w:sz w:val="20"/>
          <w:szCs w:val="18"/>
          <w:lang w:eastAsia="en-US"/>
        </w:rPr>
        <w:tab/>
        <w:t xml:space="preserve">OBVEZE I VLASTITI IZVORI </w:t>
      </w:r>
      <w:bookmarkEnd w:id="457"/>
    </w:p>
    <w:p w14:paraId="79F3DEA9" w14:textId="77777777" w:rsidR="000650E1" w:rsidRPr="0068711D" w:rsidRDefault="000650E1" w:rsidP="000650E1">
      <w:pPr>
        <w:spacing w:after="0" w:line="240" w:lineRule="auto"/>
        <w:jc w:val="both"/>
        <w:rPr>
          <w:rFonts w:ascii="Arial" w:eastAsia="Times New Roman" w:hAnsi="Arial" w:cs="Arial"/>
          <w:iCs/>
          <w:sz w:val="20"/>
          <w:szCs w:val="20"/>
          <w:lang w:eastAsia="en-US"/>
        </w:rPr>
      </w:pPr>
    </w:p>
    <w:p w14:paraId="0B56D189" w14:textId="74654183" w:rsidR="00850B5A" w:rsidRPr="0068711D" w:rsidRDefault="00850B5A" w:rsidP="00850B5A">
      <w:pPr>
        <w:spacing w:after="0" w:line="240" w:lineRule="auto"/>
        <w:jc w:val="both"/>
        <w:rPr>
          <w:rFonts w:ascii="Arial" w:eastAsia="Times New Roman" w:hAnsi="Arial" w:cs="Arial"/>
          <w:iCs/>
          <w:sz w:val="20"/>
          <w:szCs w:val="20"/>
          <w:lang w:eastAsia="en-US"/>
        </w:rPr>
      </w:pPr>
      <w:bookmarkStart w:id="458" w:name="_MON_1423547599"/>
      <w:bookmarkStart w:id="459" w:name="_MON_1423547771"/>
      <w:bookmarkStart w:id="460" w:name="_MON_1423547798"/>
      <w:bookmarkStart w:id="461" w:name="_MON_1423547846"/>
      <w:bookmarkStart w:id="462" w:name="_MON_1423547856"/>
      <w:bookmarkStart w:id="463" w:name="_MON_1423547874"/>
      <w:bookmarkStart w:id="464" w:name="_MON_1423550140"/>
      <w:bookmarkStart w:id="465" w:name="_MON_1423547501"/>
      <w:bookmarkStart w:id="466" w:name="_MON_1423648358"/>
      <w:bookmarkStart w:id="467" w:name="_MON_1423648454"/>
      <w:bookmarkStart w:id="468" w:name="_MON_1423648468"/>
      <w:bookmarkStart w:id="469" w:name="_MON_1423648480"/>
      <w:bookmarkStart w:id="470" w:name="_MON_1423547518"/>
      <w:bookmarkStart w:id="471" w:name="_MON_1423547521"/>
      <w:bookmarkStart w:id="472" w:name="_MON_1423547541"/>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68711D">
        <w:rPr>
          <w:rFonts w:ascii="Arial" w:eastAsia="Times New Roman" w:hAnsi="Arial" w:cs="Arial"/>
          <w:iCs/>
          <w:sz w:val="20"/>
          <w:szCs w:val="20"/>
          <w:lang w:eastAsia="en-US"/>
        </w:rPr>
        <w:t xml:space="preserve">Ukupna vrijednost obveza koncem </w:t>
      </w:r>
      <w:r w:rsidR="0068711D" w:rsidRPr="0068711D">
        <w:rPr>
          <w:rFonts w:ascii="Arial" w:eastAsia="Times New Roman" w:hAnsi="Arial" w:cs="Arial"/>
          <w:iCs/>
          <w:sz w:val="20"/>
          <w:szCs w:val="20"/>
          <w:lang w:eastAsia="en-US"/>
        </w:rPr>
        <w:t xml:space="preserve">lipnja </w:t>
      </w:r>
      <w:r w:rsidRPr="0068711D">
        <w:rPr>
          <w:rFonts w:ascii="Arial" w:eastAsia="Times New Roman" w:hAnsi="Arial" w:cs="Arial"/>
          <w:iCs/>
          <w:sz w:val="20"/>
          <w:szCs w:val="20"/>
          <w:lang w:eastAsia="en-US"/>
        </w:rPr>
        <w:t>202</w:t>
      </w:r>
      <w:r w:rsidR="0068711D" w:rsidRPr="0068711D">
        <w:rPr>
          <w:rFonts w:ascii="Arial" w:eastAsia="Times New Roman" w:hAnsi="Arial" w:cs="Arial"/>
          <w:iCs/>
          <w:sz w:val="20"/>
          <w:szCs w:val="20"/>
          <w:lang w:eastAsia="en-US"/>
        </w:rPr>
        <w:t>5</w:t>
      </w:r>
      <w:r w:rsidRPr="0068711D">
        <w:rPr>
          <w:rFonts w:ascii="Arial" w:eastAsia="Times New Roman" w:hAnsi="Arial" w:cs="Arial"/>
          <w:iCs/>
          <w:sz w:val="20"/>
          <w:szCs w:val="20"/>
          <w:lang w:eastAsia="en-US"/>
        </w:rPr>
        <w:t xml:space="preserve">. iznosi </w:t>
      </w:r>
      <w:r w:rsidR="0068711D" w:rsidRPr="0068711D">
        <w:rPr>
          <w:rFonts w:ascii="Arial" w:eastAsia="Times New Roman" w:hAnsi="Arial" w:cs="Arial"/>
          <w:iCs/>
          <w:sz w:val="20"/>
          <w:szCs w:val="20"/>
          <w:lang w:eastAsia="en-US"/>
        </w:rPr>
        <w:t>5.171.216,00</w:t>
      </w:r>
      <w:r w:rsidRPr="0068711D">
        <w:rPr>
          <w:rFonts w:ascii="Arial" w:eastAsia="Times New Roman" w:hAnsi="Arial" w:cs="Arial"/>
          <w:iCs/>
          <w:sz w:val="20"/>
          <w:szCs w:val="20"/>
          <w:lang w:eastAsia="en-US"/>
        </w:rPr>
        <w:t xml:space="preserve"> € što je za </w:t>
      </w:r>
      <w:r w:rsidR="0068711D" w:rsidRPr="0068711D">
        <w:rPr>
          <w:rFonts w:ascii="Arial" w:eastAsia="Times New Roman" w:hAnsi="Arial" w:cs="Arial"/>
          <w:iCs/>
          <w:sz w:val="20"/>
          <w:szCs w:val="20"/>
          <w:lang w:eastAsia="en-US"/>
        </w:rPr>
        <w:t>705.084,81</w:t>
      </w:r>
      <w:r w:rsidRPr="0068711D">
        <w:rPr>
          <w:rFonts w:ascii="Arial" w:eastAsia="Times New Roman" w:hAnsi="Arial" w:cs="Arial"/>
          <w:iCs/>
          <w:sz w:val="20"/>
          <w:szCs w:val="20"/>
          <w:lang w:eastAsia="en-US"/>
        </w:rPr>
        <w:t xml:space="preserve"> € ili </w:t>
      </w:r>
      <w:r w:rsidR="0068711D" w:rsidRPr="0068711D">
        <w:rPr>
          <w:rFonts w:ascii="Arial" w:eastAsia="Times New Roman" w:hAnsi="Arial" w:cs="Arial"/>
          <w:iCs/>
          <w:sz w:val="20"/>
          <w:szCs w:val="20"/>
          <w:lang w:eastAsia="en-US"/>
        </w:rPr>
        <w:t>15,8</w:t>
      </w:r>
      <w:r w:rsidRPr="0068711D">
        <w:rPr>
          <w:rFonts w:ascii="Arial" w:eastAsia="Times New Roman" w:hAnsi="Arial" w:cs="Arial"/>
          <w:iCs/>
          <w:sz w:val="20"/>
          <w:szCs w:val="20"/>
          <w:lang w:eastAsia="en-US"/>
        </w:rPr>
        <w:t xml:space="preserve">% </w:t>
      </w:r>
      <w:r w:rsidR="0068711D" w:rsidRPr="0068711D">
        <w:rPr>
          <w:rFonts w:ascii="Arial" w:eastAsia="Times New Roman" w:hAnsi="Arial" w:cs="Arial"/>
          <w:iCs/>
          <w:sz w:val="20"/>
          <w:szCs w:val="20"/>
          <w:lang w:eastAsia="en-US"/>
        </w:rPr>
        <w:t>više</w:t>
      </w:r>
      <w:r w:rsidRPr="0068711D">
        <w:rPr>
          <w:rFonts w:ascii="Arial" w:eastAsia="Times New Roman" w:hAnsi="Arial" w:cs="Arial"/>
          <w:iCs/>
          <w:sz w:val="20"/>
          <w:szCs w:val="20"/>
          <w:lang w:eastAsia="en-US"/>
        </w:rPr>
        <w:t xml:space="preserve"> u odnosu na prethodnu proračunsku godinu kada su iznosile </w:t>
      </w:r>
      <w:r w:rsidR="0068711D" w:rsidRPr="0068711D">
        <w:rPr>
          <w:rFonts w:ascii="Arial" w:eastAsia="Times New Roman" w:hAnsi="Arial" w:cs="Arial"/>
          <w:iCs/>
          <w:sz w:val="20"/>
          <w:szCs w:val="20"/>
          <w:lang w:eastAsia="en-US"/>
        </w:rPr>
        <w:t>4.466.131,09</w:t>
      </w:r>
      <w:r w:rsidRPr="0068711D">
        <w:rPr>
          <w:rFonts w:ascii="Arial" w:eastAsia="Times New Roman" w:hAnsi="Arial" w:cs="Arial"/>
          <w:iCs/>
          <w:sz w:val="20"/>
          <w:szCs w:val="20"/>
          <w:lang w:eastAsia="en-US"/>
        </w:rPr>
        <w:t xml:space="preserve"> €. </w:t>
      </w:r>
    </w:p>
    <w:p w14:paraId="55C32F24" w14:textId="0362246A" w:rsidR="00850B5A" w:rsidRPr="0068711D" w:rsidRDefault="00850B5A" w:rsidP="00850B5A">
      <w:pPr>
        <w:spacing w:after="0" w:line="240" w:lineRule="auto"/>
        <w:jc w:val="both"/>
        <w:rPr>
          <w:rFonts w:ascii="Arial" w:eastAsia="Times New Roman" w:hAnsi="Arial" w:cs="Arial"/>
          <w:iCs/>
          <w:sz w:val="20"/>
          <w:szCs w:val="20"/>
          <w:lang w:eastAsia="en-US"/>
        </w:rPr>
      </w:pPr>
      <w:r w:rsidRPr="0068711D">
        <w:rPr>
          <w:rFonts w:ascii="Arial" w:eastAsia="Times New Roman" w:hAnsi="Arial" w:cs="Arial"/>
          <w:iCs/>
          <w:sz w:val="20"/>
          <w:szCs w:val="20"/>
          <w:lang w:eastAsia="en-US"/>
        </w:rPr>
        <w:t xml:space="preserve">Ukupna vrijednost vlastitih izvora koncem </w:t>
      </w:r>
      <w:r w:rsidR="0068711D" w:rsidRPr="0068711D">
        <w:rPr>
          <w:rFonts w:ascii="Arial" w:eastAsia="Times New Roman" w:hAnsi="Arial" w:cs="Arial"/>
          <w:iCs/>
          <w:sz w:val="20"/>
          <w:szCs w:val="20"/>
          <w:lang w:eastAsia="en-US"/>
        </w:rPr>
        <w:t xml:space="preserve">lipnja </w:t>
      </w:r>
      <w:r w:rsidRPr="0068711D">
        <w:rPr>
          <w:rFonts w:ascii="Arial" w:eastAsia="Times New Roman" w:hAnsi="Arial" w:cs="Arial"/>
          <w:iCs/>
          <w:sz w:val="20"/>
          <w:szCs w:val="20"/>
          <w:lang w:eastAsia="en-US"/>
        </w:rPr>
        <w:t>202</w:t>
      </w:r>
      <w:r w:rsidR="0068711D" w:rsidRPr="0068711D">
        <w:rPr>
          <w:rFonts w:ascii="Arial" w:eastAsia="Times New Roman" w:hAnsi="Arial" w:cs="Arial"/>
          <w:iCs/>
          <w:sz w:val="20"/>
          <w:szCs w:val="20"/>
          <w:lang w:eastAsia="en-US"/>
        </w:rPr>
        <w:t>5</w:t>
      </w:r>
      <w:r w:rsidRPr="0068711D">
        <w:rPr>
          <w:rFonts w:ascii="Arial" w:eastAsia="Times New Roman" w:hAnsi="Arial" w:cs="Arial"/>
          <w:iCs/>
          <w:sz w:val="20"/>
          <w:szCs w:val="20"/>
          <w:lang w:eastAsia="en-US"/>
        </w:rPr>
        <w:t xml:space="preserve">. iznosi </w:t>
      </w:r>
      <w:r w:rsidR="0068711D" w:rsidRPr="0068711D">
        <w:rPr>
          <w:rFonts w:ascii="Arial" w:eastAsia="Times New Roman" w:hAnsi="Arial" w:cs="Arial"/>
          <w:iCs/>
          <w:sz w:val="20"/>
          <w:szCs w:val="20"/>
          <w:lang w:eastAsia="en-US"/>
        </w:rPr>
        <w:t>66.798.493,91</w:t>
      </w:r>
      <w:r w:rsidRPr="0068711D">
        <w:rPr>
          <w:rFonts w:ascii="Arial" w:eastAsia="Times New Roman" w:hAnsi="Arial" w:cs="Arial"/>
          <w:iCs/>
          <w:sz w:val="20"/>
          <w:szCs w:val="20"/>
          <w:lang w:eastAsia="en-US"/>
        </w:rPr>
        <w:t xml:space="preserve"> € što je za </w:t>
      </w:r>
      <w:r w:rsidR="0068711D" w:rsidRPr="0068711D">
        <w:rPr>
          <w:rFonts w:ascii="Arial" w:eastAsia="Times New Roman" w:hAnsi="Arial" w:cs="Arial"/>
          <w:iCs/>
          <w:sz w:val="20"/>
          <w:szCs w:val="20"/>
          <w:lang w:eastAsia="en-US"/>
        </w:rPr>
        <w:t>1.974.856,22</w:t>
      </w:r>
      <w:r w:rsidRPr="0068711D">
        <w:rPr>
          <w:rFonts w:ascii="Arial" w:eastAsia="Times New Roman" w:hAnsi="Arial" w:cs="Arial"/>
          <w:iCs/>
          <w:sz w:val="20"/>
          <w:szCs w:val="20"/>
          <w:lang w:eastAsia="en-US"/>
        </w:rPr>
        <w:t xml:space="preserve"> € ili </w:t>
      </w:r>
      <w:r w:rsidR="0068711D" w:rsidRPr="0068711D">
        <w:rPr>
          <w:rFonts w:ascii="Arial" w:eastAsia="Times New Roman" w:hAnsi="Arial" w:cs="Arial"/>
          <w:iCs/>
          <w:sz w:val="20"/>
          <w:szCs w:val="20"/>
          <w:lang w:eastAsia="en-US"/>
        </w:rPr>
        <w:t>3</w:t>
      </w:r>
      <w:r w:rsidRPr="0068711D">
        <w:rPr>
          <w:rFonts w:ascii="Arial" w:eastAsia="Times New Roman" w:hAnsi="Arial" w:cs="Arial"/>
          <w:iCs/>
          <w:sz w:val="20"/>
          <w:szCs w:val="20"/>
          <w:lang w:eastAsia="en-US"/>
        </w:rPr>
        <w:t xml:space="preserve">% više u odnosu na prethodnu proračunsku godinu kada su iznosile </w:t>
      </w:r>
      <w:r w:rsidR="0068711D" w:rsidRPr="0068711D">
        <w:rPr>
          <w:rFonts w:ascii="Arial" w:eastAsia="Times New Roman" w:hAnsi="Arial" w:cs="Arial"/>
          <w:iCs/>
          <w:sz w:val="20"/>
          <w:szCs w:val="20"/>
          <w:lang w:eastAsia="en-US"/>
        </w:rPr>
        <w:t>64.823.637,69</w:t>
      </w:r>
      <w:r w:rsidRPr="0068711D">
        <w:rPr>
          <w:rFonts w:ascii="Arial" w:eastAsia="Times New Roman" w:hAnsi="Arial" w:cs="Arial"/>
          <w:iCs/>
          <w:sz w:val="20"/>
          <w:szCs w:val="20"/>
          <w:lang w:eastAsia="en-US"/>
        </w:rPr>
        <w:t xml:space="preserve"> €. </w:t>
      </w:r>
    </w:p>
    <w:p w14:paraId="1301DD9F" w14:textId="05486030" w:rsidR="002643DD" w:rsidRPr="0068711D" w:rsidRDefault="0068711D" w:rsidP="002643DD">
      <w:pPr>
        <w:pStyle w:val="Tijeloteksta2"/>
        <w:jc w:val="center"/>
        <w:rPr>
          <w:rFonts w:ascii="Arial" w:hAnsi="Arial" w:cs="Arial"/>
          <w:iCs/>
          <w:sz w:val="22"/>
          <w:szCs w:val="22"/>
          <w:lang w:val="hr-HR"/>
        </w:rPr>
      </w:pPr>
      <w:r w:rsidRPr="0068711D">
        <w:rPr>
          <w:noProof/>
        </w:rPr>
        <w:drawing>
          <wp:inline distT="0" distB="0" distL="0" distR="0" wp14:anchorId="2DBE95C0" wp14:editId="1DB6B4F2">
            <wp:extent cx="5819775" cy="2381250"/>
            <wp:effectExtent l="0" t="0" r="9525" b="0"/>
            <wp:docPr id="887574199"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19775" cy="2381250"/>
                    </a:xfrm>
                    <a:prstGeom prst="rect">
                      <a:avLst/>
                    </a:prstGeom>
                    <a:noFill/>
                    <a:ln>
                      <a:noFill/>
                    </a:ln>
                  </pic:spPr>
                </pic:pic>
              </a:graphicData>
            </a:graphic>
          </wp:inline>
        </w:drawing>
      </w:r>
    </w:p>
    <w:p w14:paraId="100BB2DD" w14:textId="77777777" w:rsidR="002643DD" w:rsidRPr="0068711D" w:rsidRDefault="002643DD" w:rsidP="002643DD">
      <w:pPr>
        <w:spacing w:after="0" w:line="240" w:lineRule="auto"/>
        <w:jc w:val="both"/>
        <w:rPr>
          <w:rFonts w:ascii="Arial" w:eastAsia="Times New Roman" w:hAnsi="Arial" w:cs="Arial"/>
          <w:b/>
          <w:bCs/>
          <w:iCs/>
          <w:sz w:val="20"/>
          <w:szCs w:val="20"/>
          <w:lang w:eastAsia="en-US"/>
        </w:rPr>
      </w:pPr>
    </w:p>
    <w:p w14:paraId="2BD97671" w14:textId="2E25B414" w:rsidR="002643DD" w:rsidRPr="0068711D" w:rsidRDefault="002643DD" w:rsidP="002643DD">
      <w:pPr>
        <w:spacing w:after="0" w:line="240" w:lineRule="auto"/>
        <w:jc w:val="both"/>
        <w:rPr>
          <w:rFonts w:ascii="Arial" w:eastAsia="Times New Roman" w:hAnsi="Arial" w:cs="Arial"/>
          <w:bCs/>
          <w:iCs/>
          <w:sz w:val="20"/>
          <w:szCs w:val="20"/>
          <w:lang w:eastAsia="en-US"/>
        </w:rPr>
      </w:pPr>
      <w:r w:rsidRPr="0068711D">
        <w:rPr>
          <w:rFonts w:ascii="Arial" w:eastAsia="Times New Roman" w:hAnsi="Arial" w:cs="Arial"/>
          <w:b/>
          <w:bCs/>
          <w:iCs/>
          <w:sz w:val="20"/>
          <w:szCs w:val="20"/>
          <w:lang w:eastAsia="en-US"/>
        </w:rPr>
        <w:t>SKUPINA 23:</w:t>
      </w:r>
      <w:r w:rsidRPr="0068711D">
        <w:rPr>
          <w:rFonts w:ascii="Arial" w:eastAsia="Times New Roman" w:hAnsi="Arial" w:cs="Arial"/>
          <w:b/>
          <w:bCs/>
          <w:iCs/>
          <w:sz w:val="20"/>
          <w:szCs w:val="20"/>
          <w:lang w:eastAsia="en-US"/>
        </w:rPr>
        <w:tab/>
      </w:r>
      <w:r w:rsidRPr="0068711D">
        <w:rPr>
          <w:rFonts w:ascii="Arial" w:eastAsia="Times New Roman" w:hAnsi="Arial" w:cs="Arial"/>
          <w:bCs/>
          <w:iCs/>
          <w:sz w:val="20"/>
          <w:szCs w:val="20"/>
          <w:lang w:eastAsia="en-US"/>
        </w:rPr>
        <w:t>Obveze za rashode poslovanja (</w:t>
      </w:r>
      <w:r w:rsidRPr="0068711D">
        <w:rPr>
          <w:rFonts w:ascii="Arial" w:eastAsia="Times New Roman" w:hAnsi="Arial" w:cs="Arial"/>
          <w:b/>
          <w:bCs/>
          <w:iCs/>
          <w:sz w:val="20"/>
          <w:szCs w:val="20"/>
          <w:lang w:eastAsia="en-US"/>
        </w:rPr>
        <w:t>23</w:t>
      </w:r>
      <w:r w:rsidRPr="0068711D">
        <w:rPr>
          <w:rFonts w:ascii="Arial" w:eastAsia="Times New Roman" w:hAnsi="Arial" w:cs="Arial"/>
          <w:bCs/>
          <w:iCs/>
          <w:sz w:val="20"/>
          <w:szCs w:val="20"/>
          <w:lang w:eastAsia="en-US"/>
        </w:rPr>
        <w:t xml:space="preserve">) koncem </w:t>
      </w:r>
      <w:r w:rsidR="0068711D" w:rsidRPr="0068711D">
        <w:rPr>
          <w:rFonts w:ascii="Arial" w:eastAsia="Times New Roman" w:hAnsi="Arial" w:cs="Arial"/>
          <w:bCs/>
          <w:iCs/>
          <w:sz w:val="20"/>
          <w:szCs w:val="20"/>
          <w:lang w:eastAsia="en-US"/>
        </w:rPr>
        <w:t xml:space="preserve">lipnja </w:t>
      </w:r>
      <w:r w:rsidRPr="0068711D">
        <w:rPr>
          <w:rFonts w:ascii="Arial" w:eastAsia="Times New Roman" w:hAnsi="Arial" w:cs="Arial"/>
          <w:bCs/>
          <w:iCs/>
          <w:sz w:val="20"/>
          <w:szCs w:val="20"/>
          <w:lang w:eastAsia="en-US"/>
        </w:rPr>
        <w:t>202</w:t>
      </w:r>
      <w:r w:rsidR="0068711D" w:rsidRPr="0068711D">
        <w:rPr>
          <w:rFonts w:ascii="Arial" w:eastAsia="Times New Roman" w:hAnsi="Arial" w:cs="Arial"/>
          <w:bCs/>
          <w:iCs/>
          <w:sz w:val="20"/>
          <w:szCs w:val="20"/>
          <w:lang w:eastAsia="en-US"/>
        </w:rPr>
        <w:t>5</w:t>
      </w:r>
      <w:r w:rsidRPr="0068711D">
        <w:rPr>
          <w:rFonts w:ascii="Arial" w:eastAsia="Times New Roman" w:hAnsi="Arial" w:cs="Arial"/>
          <w:bCs/>
          <w:iCs/>
          <w:sz w:val="20"/>
          <w:szCs w:val="20"/>
          <w:lang w:eastAsia="en-US"/>
        </w:rPr>
        <w:t xml:space="preserve">. iznose </w:t>
      </w:r>
      <w:r w:rsidR="0068711D" w:rsidRPr="0068711D">
        <w:rPr>
          <w:rFonts w:ascii="Arial" w:eastAsia="Times New Roman" w:hAnsi="Arial" w:cs="Arial"/>
          <w:bCs/>
          <w:iCs/>
          <w:sz w:val="20"/>
          <w:szCs w:val="20"/>
          <w:lang w:eastAsia="en-US"/>
        </w:rPr>
        <w:t>1.176.147,41</w:t>
      </w:r>
      <w:r w:rsidRPr="0068711D">
        <w:rPr>
          <w:rFonts w:ascii="Arial" w:eastAsia="Times New Roman" w:hAnsi="Arial" w:cs="Arial"/>
          <w:bCs/>
          <w:iCs/>
          <w:sz w:val="20"/>
          <w:szCs w:val="20"/>
          <w:lang w:eastAsia="en-US"/>
        </w:rPr>
        <w:t xml:space="preserve"> € što je za </w:t>
      </w:r>
      <w:r w:rsidR="0068711D" w:rsidRPr="0068711D">
        <w:rPr>
          <w:rFonts w:ascii="Arial" w:eastAsia="Times New Roman" w:hAnsi="Arial" w:cs="Arial"/>
          <w:bCs/>
          <w:iCs/>
          <w:sz w:val="20"/>
          <w:szCs w:val="20"/>
          <w:lang w:eastAsia="en-US"/>
        </w:rPr>
        <w:t>146.940,46</w:t>
      </w:r>
      <w:r w:rsidRPr="0068711D">
        <w:rPr>
          <w:rFonts w:ascii="Arial" w:eastAsia="Times New Roman" w:hAnsi="Arial" w:cs="Arial"/>
          <w:bCs/>
          <w:iCs/>
          <w:sz w:val="20"/>
          <w:szCs w:val="20"/>
          <w:lang w:eastAsia="en-US"/>
        </w:rPr>
        <w:t xml:space="preserve"> € ili </w:t>
      </w:r>
      <w:r w:rsidR="0068711D" w:rsidRPr="0068711D">
        <w:rPr>
          <w:rFonts w:ascii="Arial" w:eastAsia="Times New Roman" w:hAnsi="Arial" w:cs="Arial"/>
          <w:bCs/>
          <w:iCs/>
          <w:sz w:val="20"/>
          <w:szCs w:val="20"/>
          <w:lang w:eastAsia="en-US"/>
        </w:rPr>
        <w:t>14,3</w:t>
      </w:r>
      <w:r w:rsidRPr="0068711D">
        <w:rPr>
          <w:rFonts w:ascii="Arial" w:eastAsia="Times New Roman" w:hAnsi="Arial" w:cs="Arial"/>
          <w:bCs/>
          <w:iCs/>
          <w:sz w:val="20"/>
          <w:szCs w:val="20"/>
          <w:lang w:eastAsia="en-US"/>
        </w:rPr>
        <w:t xml:space="preserve">% </w:t>
      </w:r>
      <w:r w:rsidR="0068711D" w:rsidRPr="0068711D">
        <w:rPr>
          <w:rFonts w:ascii="Arial" w:eastAsia="Times New Roman" w:hAnsi="Arial" w:cs="Arial"/>
          <w:bCs/>
          <w:iCs/>
          <w:sz w:val="20"/>
          <w:szCs w:val="20"/>
          <w:lang w:eastAsia="en-US"/>
        </w:rPr>
        <w:t>više</w:t>
      </w:r>
      <w:r w:rsidRPr="0068711D">
        <w:rPr>
          <w:rFonts w:ascii="Arial" w:eastAsia="Times New Roman" w:hAnsi="Arial" w:cs="Arial"/>
          <w:bCs/>
          <w:iCs/>
          <w:sz w:val="20"/>
          <w:szCs w:val="20"/>
          <w:lang w:eastAsia="en-US"/>
        </w:rPr>
        <w:t xml:space="preserve"> u odnosu na stanje koncem prethodne godine (kada su iznosile </w:t>
      </w:r>
      <w:r w:rsidR="0068711D" w:rsidRPr="0068711D">
        <w:rPr>
          <w:rFonts w:ascii="Arial" w:eastAsia="Times New Roman" w:hAnsi="Arial" w:cs="Arial"/>
          <w:bCs/>
          <w:iCs/>
          <w:sz w:val="20"/>
          <w:szCs w:val="20"/>
          <w:lang w:eastAsia="en-US"/>
        </w:rPr>
        <w:t>1.029.206,95</w:t>
      </w:r>
      <w:r w:rsidRPr="0068711D">
        <w:rPr>
          <w:rFonts w:ascii="Arial" w:eastAsia="Times New Roman" w:hAnsi="Arial" w:cs="Arial"/>
          <w:bCs/>
          <w:iCs/>
          <w:sz w:val="20"/>
          <w:szCs w:val="20"/>
          <w:lang w:eastAsia="en-US"/>
        </w:rPr>
        <w:t xml:space="preserve"> €). </w:t>
      </w:r>
    </w:p>
    <w:p w14:paraId="50A1A2B1" w14:textId="0961FC85" w:rsidR="002643DD" w:rsidRPr="0068711D" w:rsidRDefault="002643DD" w:rsidP="002643DD">
      <w:pPr>
        <w:spacing w:after="0" w:line="240" w:lineRule="auto"/>
        <w:jc w:val="both"/>
        <w:rPr>
          <w:rFonts w:ascii="Arial" w:eastAsia="Times New Roman" w:hAnsi="Arial" w:cs="Arial"/>
          <w:bCs/>
          <w:iCs/>
          <w:sz w:val="20"/>
          <w:szCs w:val="20"/>
          <w:lang w:eastAsia="en-US"/>
        </w:rPr>
      </w:pPr>
      <w:r w:rsidRPr="0068711D">
        <w:rPr>
          <w:rFonts w:ascii="Arial" w:eastAsia="Times New Roman" w:hAnsi="Arial" w:cs="Arial"/>
          <w:bCs/>
          <w:iCs/>
          <w:sz w:val="20"/>
          <w:szCs w:val="20"/>
          <w:lang w:eastAsia="en-US"/>
        </w:rPr>
        <w:lastRenderedPageBreak/>
        <w:t>Koncem</w:t>
      </w:r>
      <w:r w:rsidR="0068711D" w:rsidRPr="0068711D">
        <w:rPr>
          <w:rFonts w:ascii="Arial" w:eastAsia="Times New Roman" w:hAnsi="Arial" w:cs="Arial"/>
          <w:bCs/>
          <w:iCs/>
          <w:sz w:val="20"/>
          <w:szCs w:val="20"/>
          <w:lang w:eastAsia="en-US"/>
        </w:rPr>
        <w:t xml:space="preserve"> lipnja</w:t>
      </w:r>
      <w:r w:rsidRPr="0068711D">
        <w:rPr>
          <w:rFonts w:ascii="Arial" w:eastAsia="Times New Roman" w:hAnsi="Arial" w:cs="Arial"/>
          <w:bCs/>
          <w:iCs/>
          <w:sz w:val="20"/>
          <w:szCs w:val="20"/>
          <w:lang w:eastAsia="en-US"/>
        </w:rPr>
        <w:t xml:space="preserve"> 202</w:t>
      </w:r>
      <w:r w:rsidR="0068711D" w:rsidRPr="0068711D">
        <w:rPr>
          <w:rFonts w:ascii="Arial" w:eastAsia="Times New Roman" w:hAnsi="Arial" w:cs="Arial"/>
          <w:bCs/>
          <w:iCs/>
          <w:sz w:val="20"/>
          <w:szCs w:val="20"/>
          <w:lang w:eastAsia="en-US"/>
        </w:rPr>
        <w:t>5</w:t>
      </w:r>
      <w:r w:rsidRPr="0068711D">
        <w:rPr>
          <w:rFonts w:ascii="Arial" w:eastAsia="Times New Roman" w:hAnsi="Arial" w:cs="Arial"/>
          <w:bCs/>
          <w:iCs/>
          <w:sz w:val="20"/>
          <w:szCs w:val="20"/>
          <w:lang w:eastAsia="en-US"/>
        </w:rPr>
        <w:t xml:space="preserve">. godine obveze za zaposlene (231) u iznosu </w:t>
      </w:r>
      <w:r w:rsidR="0068711D" w:rsidRPr="0068711D">
        <w:rPr>
          <w:rFonts w:ascii="Arial" w:eastAsia="Times New Roman" w:hAnsi="Arial" w:cs="Arial"/>
          <w:bCs/>
          <w:iCs/>
          <w:sz w:val="20"/>
          <w:szCs w:val="20"/>
          <w:lang w:eastAsia="en-US"/>
        </w:rPr>
        <w:t>76.040,74</w:t>
      </w:r>
      <w:r w:rsidRPr="0068711D">
        <w:rPr>
          <w:rFonts w:ascii="Arial" w:eastAsia="Times New Roman" w:hAnsi="Arial" w:cs="Arial"/>
          <w:bCs/>
          <w:iCs/>
          <w:sz w:val="20"/>
          <w:szCs w:val="20"/>
          <w:lang w:eastAsia="en-US"/>
        </w:rPr>
        <w:t xml:space="preserve"> € se odnose na obveze za plaće zaposlenika za mjesec </w:t>
      </w:r>
      <w:r w:rsidR="0068711D" w:rsidRPr="0068711D">
        <w:rPr>
          <w:rFonts w:ascii="Arial" w:eastAsia="Times New Roman" w:hAnsi="Arial" w:cs="Arial"/>
          <w:bCs/>
          <w:iCs/>
          <w:sz w:val="20"/>
          <w:szCs w:val="20"/>
          <w:lang w:eastAsia="en-US"/>
        </w:rPr>
        <w:t>lipanj</w:t>
      </w:r>
      <w:r w:rsidRPr="0068711D">
        <w:rPr>
          <w:rFonts w:ascii="Arial" w:eastAsia="Times New Roman" w:hAnsi="Arial" w:cs="Arial"/>
          <w:bCs/>
          <w:iCs/>
          <w:sz w:val="20"/>
          <w:szCs w:val="20"/>
          <w:lang w:eastAsia="en-US"/>
        </w:rPr>
        <w:t xml:space="preserve"> 202</w:t>
      </w:r>
      <w:r w:rsidR="0068711D" w:rsidRPr="0068711D">
        <w:rPr>
          <w:rFonts w:ascii="Arial" w:eastAsia="Times New Roman" w:hAnsi="Arial" w:cs="Arial"/>
          <w:bCs/>
          <w:iCs/>
          <w:sz w:val="20"/>
          <w:szCs w:val="20"/>
          <w:lang w:eastAsia="en-US"/>
        </w:rPr>
        <w:t>5</w:t>
      </w:r>
      <w:r w:rsidRPr="0068711D">
        <w:rPr>
          <w:rFonts w:ascii="Arial" w:eastAsia="Times New Roman" w:hAnsi="Arial" w:cs="Arial"/>
          <w:bCs/>
          <w:iCs/>
          <w:sz w:val="20"/>
          <w:szCs w:val="20"/>
          <w:lang w:eastAsia="en-US"/>
        </w:rPr>
        <w:t xml:space="preserve">. godine. </w:t>
      </w:r>
    </w:p>
    <w:p w14:paraId="63EB51BE" w14:textId="39B2CB0D" w:rsidR="002643DD" w:rsidRPr="0014431B" w:rsidRDefault="002643DD" w:rsidP="002643DD">
      <w:pPr>
        <w:spacing w:after="0" w:line="240" w:lineRule="auto"/>
        <w:jc w:val="both"/>
        <w:rPr>
          <w:rFonts w:ascii="Arial" w:eastAsia="Times New Roman" w:hAnsi="Arial" w:cs="Arial"/>
          <w:bCs/>
          <w:iCs/>
          <w:sz w:val="20"/>
          <w:szCs w:val="20"/>
          <w:lang w:eastAsia="en-US"/>
        </w:rPr>
      </w:pPr>
      <w:r w:rsidRPr="0014431B">
        <w:rPr>
          <w:rFonts w:ascii="Arial" w:eastAsia="Times New Roman" w:hAnsi="Arial" w:cs="Arial"/>
          <w:bCs/>
          <w:iCs/>
          <w:sz w:val="20"/>
          <w:szCs w:val="20"/>
          <w:lang w:eastAsia="en-US"/>
        </w:rPr>
        <w:t xml:space="preserve">Vrijednosno značajnije obveze koncem </w:t>
      </w:r>
      <w:r w:rsidR="0068711D" w:rsidRPr="0014431B">
        <w:rPr>
          <w:rFonts w:ascii="Arial" w:eastAsia="Times New Roman" w:hAnsi="Arial" w:cs="Arial"/>
          <w:bCs/>
          <w:iCs/>
          <w:sz w:val="20"/>
          <w:szCs w:val="20"/>
          <w:lang w:eastAsia="en-US"/>
        </w:rPr>
        <w:t xml:space="preserve">lipnja </w:t>
      </w:r>
      <w:r w:rsidRPr="0014431B">
        <w:rPr>
          <w:rFonts w:ascii="Arial" w:eastAsia="Times New Roman" w:hAnsi="Arial" w:cs="Arial"/>
          <w:bCs/>
          <w:iCs/>
          <w:sz w:val="20"/>
          <w:szCs w:val="20"/>
          <w:lang w:eastAsia="en-US"/>
        </w:rPr>
        <w:t>202</w:t>
      </w:r>
      <w:r w:rsidR="0068711D" w:rsidRPr="0014431B">
        <w:rPr>
          <w:rFonts w:ascii="Arial" w:eastAsia="Times New Roman" w:hAnsi="Arial" w:cs="Arial"/>
          <w:bCs/>
          <w:iCs/>
          <w:sz w:val="20"/>
          <w:szCs w:val="20"/>
          <w:lang w:eastAsia="en-US"/>
        </w:rPr>
        <w:t>5</w:t>
      </w:r>
      <w:r w:rsidRPr="0014431B">
        <w:rPr>
          <w:rFonts w:ascii="Arial" w:eastAsia="Times New Roman" w:hAnsi="Arial" w:cs="Arial"/>
          <w:bCs/>
          <w:iCs/>
          <w:sz w:val="20"/>
          <w:szCs w:val="20"/>
          <w:lang w:eastAsia="en-US"/>
        </w:rPr>
        <w:t xml:space="preserve">. se odnose na obveze za </w:t>
      </w:r>
      <w:r w:rsidR="0068711D" w:rsidRPr="0014431B">
        <w:rPr>
          <w:rFonts w:ascii="Arial" w:eastAsia="Times New Roman" w:hAnsi="Arial" w:cs="Arial"/>
          <w:bCs/>
          <w:iCs/>
          <w:sz w:val="20"/>
          <w:szCs w:val="20"/>
          <w:lang w:eastAsia="en-US"/>
        </w:rPr>
        <w:t xml:space="preserve">intelektualne usluge 118.096,00 € i obveze za </w:t>
      </w:r>
      <w:r w:rsidRPr="0014431B">
        <w:rPr>
          <w:rFonts w:ascii="Arial" w:eastAsia="Times New Roman" w:hAnsi="Arial" w:cs="Arial"/>
          <w:bCs/>
          <w:iCs/>
          <w:sz w:val="20"/>
          <w:szCs w:val="20"/>
          <w:lang w:eastAsia="en-US"/>
        </w:rPr>
        <w:t xml:space="preserve">usluge tekućeg i investicijskog održavanja u iznosu </w:t>
      </w:r>
      <w:r w:rsidR="0068711D" w:rsidRPr="0014431B">
        <w:rPr>
          <w:rFonts w:ascii="Arial" w:eastAsia="Times New Roman" w:hAnsi="Arial" w:cs="Arial"/>
          <w:bCs/>
          <w:iCs/>
          <w:sz w:val="20"/>
          <w:szCs w:val="20"/>
          <w:lang w:eastAsia="en-US"/>
        </w:rPr>
        <w:t>89.873,44</w:t>
      </w:r>
      <w:r w:rsidRPr="0014431B">
        <w:rPr>
          <w:rFonts w:ascii="Arial" w:eastAsia="Times New Roman" w:hAnsi="Arial" w:cs="Arial"/>
          <w:bCs/>
          <w:iCs/>
          <w:sz w:val="20"/>
          <w:szCs w:val="20"/>
          <w:lang w:eastAsia="en-US"/>
        </w:rPr>
        <w:t xml:space="preserve"> €. </w:t>
      </w:r>
    </w:p>
    <w:p w14:paraId="55ABC003" w14:textId="77777777" w:rsidR="002643DD" w:rsidRPr="0014431B" w:rsidRDefault="002643DD" w:rsidP="002643DD">
      <w:pPr>
        <w:spacing w:after="0" w:line="240" w:lineRule="auto"/>
        <w:jc w:val="both"/>
        <w:rPr>
          <w:rFonts w:ascii="Arial" w:eastAsia="Times New Roman" w:hAnsi="Arial" w:cs="Arial"/>
          <w:bCs/>
          <w:iCs/>
          <w:sz w:val="20"/>
          <w:szCs w:val="20"/>
          <w:lang w:eastAsia="en-US"/>
        </w:rPr>
      </w:pPr>
    </w:p>
    <w:p w14:paraId="38F212B3" w14:textId="46448810" w:rsidR="002643DD" w:rsidRPr="0014431B" w:rsidRDefault="002643DD" w:rsidP="002643DD">
      <w:pPr>
        <w:spacing w:after="0" w:line="240" w:lineRule="auto"/>
        <w:jc w:val="both"/>
        <w:rPr>
          <w:rFonts w:ascii="Arial" w:eastAsia="Times New Roman" w:hAnsi="Arial" w:cs="Arial"/>
          <w:bCs/>
          <w:iCs/>
          <w:sz w:val="20"/>
          <w:szCs w:val="20"/>
          <w:lang w:eastAsia="en-US"/>
        </w:rPr>
      </w:pPr>
      <w:r w:rsidRPr="0014431B">
        <w:rPr>
          <w:rFonts w:ascii="Arial" w:eastAsia="Times New Roman" w:hAnsi="Arial" w:cs="Arial"/>
          <w:bCs/>
          <w:iCs/>
          <w:sz w:val="20"/>
          <w:szCs w:val="20"/>
          <w:lang w:eastAsia="en-US"/>
        </w:rPr>
        <w:t xml:space="preserve">Obveze za subvencije (235) iznose </w:t>
      </w:r>
      <w:r w:rsidR="0014431B" w:rsidRPr="0014431B">
        <w:rPr>
          <w:rFonts w:ascii="Arial" w:eastAsia="Times New Roman" w:hAnsi="Arial" w:cs="Arial"/>
          <w:bCs/>
          <w:iCs/>
          <w:sz w:val="20"/>
          <w:szCs w:val="20"/>
          <w:lang w:eastAsia="en-US"/>
        </w:rPr>
        <w:t>12.442,16</w:t>
      </w:r>
      <w:r w:rsidRPr="0014431B">
        <w:rPr>
          <w:rFonts w:ascii="Arial" w:eastAsia="Times New Roman" w:hAnsi="Arial" w:cs="Arial"/>
          <w:bCs/>
          <w:iCs/>
          <w:sz w:val="20"/>
          <w:szCs w:val="20"/>
          <w:lang w:eastAsia="en-US"/>
        </w:rPr>
        <w:t xml:space="preserve"> € i u cijelosti se odnose na sufinanciranje nerentabilnih autobusnih linija na području Općine na temelju zaključenog ugovora s društvom za obavljanje prijevoza putnika (Libertas Dubrovnik), te gradom Dubrovnik kao većinskim vlasnikom društva i drugim suvlasnicima.</w:t>
      </w:r>
    </w:p>
    <w:p w14:paraId="39C42E2D" w14:textId="77777777" w:rsidR="002643DD" w:rsidRPr="0014431B" w:rsidRDefault="002643DD" w:rsidP="002643DD">
      <w:pPr>
        <w:spacing w:after="0" w:line="240" w:lineRule="auto"/>
        <w:jc w:val="both"/>
        <w:rPr>
          <w:rFonts w:ascii="Arial" w:eastAsia="Times New Roman" w:hAnsi="Arial" w:cs="Arial"/>
          <w:bCs/>
          <w:iCs/>
          <w:sz w:val="20"/>
          <w:szCs w:val="20"/>
          <w:lang w:eastAsia="en-US"/>
        </w:rPr>
      </w:pPr>
    </w:p>
    <w:p w14:paraId="362C4353" w14:textId="7DBF1DA9" w:rsidR="002643DD" w:rsidRPr="0014431B" w:rsidRDefault="002643DD" w:rsidP="002643DD">
      <w:pPr>
        <w:spacing w:after="0" w:line="240" w:lineRule="auto"/>
        <w:jc w:val="both"/>
        <w:rPr>
          <w:rFonts w:ascii="Arial" w:eastAsia="Times New Roman" w:hAnsi="Arial" w:cs="Arial"/>
          <w:bCs/>
          <w:iCs/>
          <w:sz w:val="20"/>
          <w:szCs w:val="20"/>
          <w:lang w:eastAsia="en-US"/>
        </w:rPr>
      </w:pPr>
      <w:r w:rsidRPr="0014431B">
        <w:rPr>
          <w:rFonts w:ascii="Arial" w:eastAsia="Times New Roman" w:hAnsi="Arial" w:cs="Arial"/>
          <w:bCs/>
          <w:iCs/>
          <w:sz w:val="20"/>
          <w:szCs w:val="20"/>
          <w:lang w:eastAsia="en-US"/>
        </w:rPr>
        <w:t xml:space="preserve">Ostale tekuće obveze (239) iznose </w:t>
      </w:r>
      <w:r w:rsidR="0014431B" w:rsidRPr="0014431B">
        <w:rPr>
          <w:rFonts w:ascii="Arial" w:eastAsia="Times New Roman" w:hAnsi="Arial" w:cs="Arial"/>
          <w:bCs/>
          <w:iCs/>
          <w:sz w:val="20"/>
          <w:szCs w:val="20"/>
          <w:lang w:eastAsia="en-US"/>
        </w:rPr>
        <w:t>729.612,04</w:t>
      </w:r>
      <w:r w:rsidRPr="0014431B">
        <w:rPr>
          <w:rFonts w:ascii="Arial" w:eastAsia="Times New Roman" w:hAnsi="Arial" w:cs="Arial"/>
          <w:bCs/>
          <w:iCs/>
          <w:sz w:val="20"/>
          <w:szCs w:val="20"/>
          <w:lang w:eastAsia="en-US"/>
        </w:rPr>
        <w:t xml:space="preserve"> €. U okviru ovih obveza su iskazane ostale nespomenute obveze (239) i to </w:t>
      </w:r>
      <w:r w:rsidR="0014431B" w:rsidRPr="0014431B">
        <w:rPr>
          <w:rFonts w:ascii="Arial" w:eastAsia="Times New Roman" w:hAnsi="Arial" w:cs="Arial"/>
          <w:bCs/>
          <w:iCs/>
          <w:sz w:val="20"/>
          <w:szCs w:val="20"/>
          <w:lang w:eastAsia="en-US"/>
        </w:rPr>
        <w:t>obveze za nedostajuća sredstva za isplatu poreza na dohodak po godišnjim prijavama 616.306,84 €. Obveze za poreza na dodanu vrijednost iznose 112.535,20 €.</w:t>
      </w:r>
    </w:p>
    <w:p w14:paraId="5B1F8BDC" w14:textId="77777777" w:rsidR="002643DD" w:rsidRPr="0014431B" w:rsidRDefault="002643DD" w:rsidP="002643DD">
      <w:pPr>
        <w:spacing w:after="0" w:line="240" w:lineRule="auto"/>
        <w:jc w:val="both"/>
        <w:rPr>
          <w:rFonts w:ascii="Arial" w:eastAsia="Times New Roman" w:hAnsi="Arial" w:cs="Arial"/>
          <w:bCs/>
          <w:iCs/>
          <w:sz w:val="20"/>
          <w:szCs w:val="20"/>
          <w:lang w:eastAsia="en-US"/>
        </w:rPr>
      </w:pPr>
    </w:p>
    <w:p w14:paraId="6E5352A6" w14:textId="77777777" w:rsidR="0014431B" w:rsidRPr="0014431B" w:rsidRDefault="002643DD" w:rsidP="002643DD">
      <w:pPr>
        <w:spacing w:after="0" w:line="240" w:lineRule="auto"/>
        <w:jc w:val="both"/>
        <w:rPr>
          <w:rFonts w:ascii="Arial" w:eastAsia="Times New Roman" w:hAnsi="Arial" w:cs="Arial"/>
          <w:bCs/>
          <w:iCs/>
          <w:sz w:val="20"/>
          <w:szCs w:val="20"/>
          <w:lang w:eastAsia="en-US"/>
        </w:rPr>
      </w:pPr>
      <w:r w:rsidRPr="0014431B">
        <w:rPr>
          <w:rFonts w:ascii="Arial" w:eastAsia="Times New Roman" w:hAnsi="Arial" w:cs="Arial"/>
          <w:bCs/>
          <w:iCs/>
          <w:sz w:val="20"/>
          <w:szCs w:val="20"/>
          <w:lang w:eastAsia="en-US"/>
        </w:rPr>
        <w:t>Obveze za naplaćene tuđe prihode</w:t>
      </w:r>
      <w:r w:rsidR="0014431B" w:rsidRPr="0014431B">
        <w:rPr>
          <w:rFonts w:ascii="Arial" w:eastAsia="Times New Roman" w:hAnsi="Arial" w:cs="Arial"/>
          <w:bCs/>
          <w:iCs/>
          <w:sz w:val="20"/>
          <w:szCs w:val="20"/>
          <w:lang w:eastAsia="en-US"/>
        </w:rPr>
        <w:t>, kao niti obveze prema proračunskim korisnicima za naplaćena sredstva putem općinske riznice</w:t>
      </w:r>
      <w:r w:rsidRPr="0014431B">
        <w:rPr>
          <w:rFonts w:ascii="Arial" w:eastAsia="Times New Roman" w:hAnsi="Arial" w:cs="Arial"/>
          <w:bCs/>
          <w:iCs/>
          <w:sz w:val="20"/>
          <w:szCs w:val="20"/>
          <w:lang w:eastAsia="en-US"/>
        </w:rPr>
        <w:t xml:space="preserve"> </w:t>
      </w:r>
      <w:r w:rsidR="0014431B" w:rsidRPr="0014431B">
        <w:rPr>
          <w:rFonts w:ascii="Arial" w:eastAsia="Times New Roman" w:hAnsi="Arial" w:cs="Arial"/>
          <w:bCs/>
          <w:iCs/>
          <w:sz w:val="20"/>
          <w:szCs w:val="20"/>
          <w:lang w:eastAsia="en-US"/>
        </w:rPr>
        <w:t>se od 1.1.2025. godine ne iskazuju putem podskupine 239, već podskupine 275.</w:t>
      </w:r>
    </w:p>
    <w:p w14:paraId="5576D523" w14:textId="77777777" w:rsidR="002643DD" w:rsidRPr="0014431B" w:rsidRDefault="002643DD" w:rsidP="002643DD">
      <w:pPr>
        <w:spacing w:after="0" w:line="240" w:lineRule="auto"/>
        <w:jc w:val="both"/>
        <w:rPr>
          <w:rFonts w:ascii="Arial" w:eastAsia="Times New Roman" w:hAnsi="Arial" w:cs="Arial"/>
          <w:bCs/>
          <w:iCs/>
          <w:sz w:val="20"/>
          <w:szCs w:val="20"/>
          <w:lang w:eastAsia="en-US"/>
        </w:rPr>
      </w:pPr>
    </w:p>
    <w:p w14:paraId="0DD0BBFF" w14:textId="366A4458" w:rsidR="0014431B" w:rsidRPr="0014431B" w:rsidRDefault="002643DD" w:rsidP="002643DD">
      <w:pPr>
        <w:spacing w:after="0" w:line="240" w:lineRule="auto"/>
        <w:jc w:val="both"/>
        <w:rPr>
          <w:rFonts w:ascii="Arial" w:eastAsia="Times New Roman" w:hAnsi="Arial" w:cs="Arial"/>
          <w:bCs/>
          <w:iCs/>
          <w:sz w:val="20"/>
          <w:szCs w:val="20"/>
          <w:lang w:eastAsia="en-US"/>
        </w:rPr>
      </w:pPr>
      <w:r w:rsidRPr="0014431B">
        <w:rPr>
          <w:rFonts w:ascii="Arial" w:eastAsia="Times New Roman" w:hAnsi="Arial" w:cs="Arial"/>
          <w:b/>
          <w:bCs/>
          <w:iCs/>
          <w:sz w:val="20"/>
          <w:szCs w:val="20"/>
          <w:lang w:eastAsia="en-US"/>
        </w:rPr>
        <w:t>SKUPINA 24:</w:t>
      </w:r>
      <w:r w:rsidRPr="0014431B">
        <w:rPr>
          <w:rFonts w:ascii="Arial" w:eastAsia="Times New Roman" w:hAnsi="Arial" w:cs="Arial"/>
          <w:b/>
          <w:bCs/>
          <w:iCs/>
          <w:sz w:val="20"/>
          <w:szCs w:val="20"/>
          <w:lang w:eastAsia="en-US"/>
        </w:rPr>
        <w:tab/>
      </w:r>
      <w:r w:rsidRPr="0014431B">
        <w:rPr>
          <w:rFonts w:ascii="Arial" w:eastAsia="Times New Roman" w:hAnsi="Arial" w:cs="Arial"/>
          <w:bCs/>
          <w:iCs/>
          <w:sz w:val="20"/>
          <w:szCs w:val="20"/>
          <w:lang w:eastAsia="en-US"/>
        </w:rPr>
        <w:t>Obveze za nabavu nefinancijske imovine (</w:t>
      </w:r>
      <w:r w:rsidRPr="0014431B">
        <w:rPr>
          <w:rFonts w:ascii="Arial" w:eastAsia="Times New Roman" w:hAnsi="Arial" w:cs="Arial"/>
          <w:b/>
          <w:bCs/>
          <w:iCs/>
          <w:sz w:val="20"/>
          <w:szCs w:val="20"/>
          <w:lang w:eastAsia="en-US"/>
        </w:rPr>
        <w:t>24</w:t>
      </w:r>
      <w:r w:rsidRPr="0014431B">
        <w:rPr>
          <w:rFonts w:ascii="Arial" w:eastAsia="Times New Roman" w:hAnsi="Arial" w:cs="Arial"/>
          <w:bCs/>
          <w:iCs/>
          <w:sz w:val="20"/>
          <w:szCs w:val="20"/>
          <w:lang w:eastAsia="en-US"/>
        </w:rPr>
        <w:t xml:space="preserve">) koncem </w:t>
      </w:r>
      <w:r w:rsidR="0014431B" w:rsidRPr="0014431B">
        <w:rPr>
          <w:rFonts w:ascii="Arial" w:eastAsia="Times New Roman" w:hAnsi="Arial" w:cs="Arial"/>
          <w:bCs/>
          <w:iCs/>
          <w:sz w:val="20"/>
          <w:szCs w:val="20"/>
          <w:lang w:eastAsia="en-US"/>
        </w:rPr>
        <w:t xml:space="preserve">lipnja </w:t>
      </w:r>
      <w:r w:rsidRPr="0014431B">
        <w:rPr>
          <w:rFonts w:ascii="Arial" w:eastAsia="Times New Roman" w:hAnsi="Arial" w:cs="Arial"/>
          <w:bCs/>
          <w:iCs/>
          <w:sz w:val="20"/>
          <w:szCs w:val="20"/>
          <w:lang w:eastAsia="en-US"/>
        </w:rPr>
        <w:t>202</w:t>
      </w:r>
      <w:r w:rsidR="0014431B" w:rsidRPr="0014431B">
        <w:rPr>
          <w:rFonts w:ascii="Arial" w:eastAsia="Times New Roman" w:hAnsi="Arial" w:cs="Arial"/>
          <w:bCs/>
          <w:iCs/>
          <w:sz w:val="20"/>
          <w:szCs w:val="20"/>
          <w:lang w:eastAsia="en-US"/>
        </w:rPr>
        <w:t>5</w:t>
      </w:r>
      <w:r w:rsidRPr="0014431B">
        <w:rPr>
          <w:rFonts w:ascii="Arial" w:eastAsia="Times New Roman" w:hAnsi="Arial" w:cs="Arial"/>
          <w:bCs/>
          <w:iCs/>
          <w:sz w:val="20"/>
          <w:szCs w:val="20"/>
          <w:lang w:eastAsia="en-US"/>
        </w:rPr>
        <w:t xml:space="preserve">. iznose </w:t>
      </w:r>
      <w:r w:rsidR="0014431B" w:rsidRPr="0014431B">
        <w:rPr>
          <w:rFonts w:ascii="Arial" w:eastAsia="Times New Roman" w:hAnsi="Arial" w:cs="Arial"/>
          <w:bCs/>
          <w:iCs/>
          <w:sz w:val="20"/>
          <w:szCs w:val="20"/>
          <w:lang w:eastAsia="en-US"/>
        </w:rPr>
        <w:t>696.113,46</w:t>
      </w:r>
      <w:r w:rsidRPr="0014431B">
        <w:rPr>
          <w:rFonts w:ascii="Arial" w:eastAsia="Times New Roman" w:hAnsi="Arial" w:cs="Arial"/>
          <w:bCs/>
          <w:iCs/>
          <w:sz w:val="20"/>
          <w:szCs w:val="20"/>
          <w:lang w:eastAsia="en-US"/>
        </w:rPr>
        <w:t xml:space="preserve"> € što je za </w:t>
      </w:r>
      <w:r w:rsidR="0014431B" w:rsidRPr="0014431B">
        <w:rPr>
          <w:rFonts w:ascii="Arial" w:eastAsia="Times New Roman" w:hAnsi="Arial" w:cs="Arial"/>
          <w:bCs/>
          <w:iCs/>
          <w:sz w:val="20"/>
          <w:szCs w:val="20"/>
          <w:lang w:eastAsia="en-US"/>
        </w:rPr>
        <w:t>545.590,83</w:t>
      </w:r>
      <w:r w:rsidRPr="0014431B">
        <w:rPr>
          <w:rFonts w:ascii="Arial" w:eastAsia="Times New Roman" w:hAnsi="Arial" w:cs="Arial"/>
          <w:bCs/>
          <w:iCs/>
          <w:sz w:val="20"/>
          <w:szCs w:val="20"/>
          <w:lang w:eastAsia="en-US"/>
        </w:rPr>
        <w:t xml:space="preserve"> € ili </w:t>
      </w:r>
      <w:r w:rsidR="0014431B" w:rsidRPr="0014431B">
        <w:rPr>
          <w:rFonts w:ascii="Arial" w:eastAsia="Times New Roman" w:hAnsi="Arial" w:cs="Arial"/>
          <w:bCs/>
          <w:iCs/>
          <w:sz w:val="20"/>
          <w:szCs w:val="20"/>
          <w:lang w:eastAsia="en-US"/>
        </w:rPr>
        <w:t>362,5</w:t>
      </w:r>
      <w:r w:rsidRPr="0014431B">
        <w:rPr>
          <w:rFonts w:ascii="Arial" w:eastAsia="Times New Roman" w:hAnsi="Arial" w:cs="Arial"/>
          <w:bCs/>
          <w:iCs/>
          <w:sz w:val="20"/>
          <w:szCs w:val="20"/>
          <w:lang w:eastAsia="en-US"/>
        </w:rPr>
        <w:t xml:space="preserve">% više u odnosu na stanje koncem prethodne godine (kada su iznosile </w:t>
      </w:r>
      <w:r w:rsidR="0014431B" w:rsidRPr="0014431B">
        <w:rPr>
          <w:rFonts w:ascii="Arial" w:eastAsia="Times New Roman" w:hAnsi="Arial" w:cs="Arial"/>
          <w:bCs/>
          <w:iCs/>
          <w:sz w:val="20"/>
          <w:szCs w:val="20"/>
          <w:lang w:eastAsia="en-US"/>
        </w:rPr>
        <w:t>150.522,63</w:t>
      </w:r>
      <w:r w:rsidRPr="0014431B">
        <w:rPr>
          <w:rFonts w:ascii="Arial" w:eastAsia="Times New Roman" w:hAnsi="Arial" w:cs="Arial"/>
          <w:bCs/>
          <w:iCs/>
          <w:sz w:val="20"/>
          <w:szCs w:val="20"/>
          <w:lang w:eastAsia="en-US"/>
        </w:rPr>
        <w:t xml:space="preserve"> €). Vrijednosno najznačajnije ove obveze se odnose na obveze za izgradnju </w:t>
      </w:r>
      <w:r w:rsidR="0014431B" w:rsidRPr="0014431B">
        <w:rPr>
          <w:rFonts w:ascii="Arial" w:eastAsia="Times New Roman" w:hAnsi="Arial" w:cs="Arial"/>
          <w:bCs/>
          <w:iCs/>
          <w:sz w:val="20"/>
          <w:szCs w:val="20"/>
          <w:lang w:eastAsia="en-US"/>
        </w:rPr>
        <w:t xml:space="preserve">osnovne škole 399.202,71 €, te nabavu komunalnog vozila 272.333,75 €. </w:t>
      </w:r>
    </w:p>
    <w:p w14:paraId="607FB202" w14:textId="77777777" w:rsidR="002643DD" w:rsidRPr="00EB6E86" w:rsidRDefault="002643DD" w:rsidP="002643DD">
      <w:pPr>
        <w:spacing w:after="0" w:line="240" w:lineRule="auto"/>
        <w:jc w:val="both"/>
        <w:rPr>
          <w:rFonts w:ascii="Arial" w:eastAsia="Times New Roman" w:hAnsi="Arial" w:cs="Arial"/>
          <w:bCs/>
          <w:iCs/>
          <w:sz w:val="20"/>
          <w:szCs w:val="20"/>
          <w:lang w:eastAsia="en-US"/>
        </w:rPr>
      </w:pPr>
    </w:p>
    <w:p w14:paraId="278454A2" w14:textId="77777777" w:rsidR="0014431B" w:rsidRPr="00EB6E86" w:rsidRDefault="002643DD" w:rsidP="002643DD">
      <w:pPr>
        <w:spacing w:after="0" w:line="240" w:lineRule="auto"/>
        <w:jc w:val="both"/>
        <w:rPr>
          <w:rFonts w:ascii="Arial" w:eastAsia="Times New Roman" w:hAnsi="Arial" w:cs="Arial"/>
          <w:bCs/>
          <w:iCs/>
          <w:sz w:val="20"/>
          <w:szCs w:val="20"/>
          <w:lang w:eastAsia="en-US"/>
        </w:rPr>
      </w:pPr>
      <w:r w:rsidRPr="00EB6E86">
        <w:rPr>
          <w:rFonts w:ascii="Arial" w:eastAsia="Times New Roman" w:hAnsi="Arial" w:cs="Arial"/>
          <w:b/>
          <w:bCs/>
          <w:iCs/>
          <w:sz w:val="20"/>
          <w:szCs w:val="20"/>
          <w:lang w:eastAsia="en-US"/>
        </w:rPr>
        <w:t>SKUPINA 26:</w:t>
      </w:r>
      <w:r w:rsidRPr="00EB6E86">
        <w:rPr>
          <w:rFonts w:ascii="Arial" w:eastAsia="Times New Roman" w:hAnsi="Arial" w:cs="Arial"/>
          <w:b/>
          <w:bCs/>
          <w:iCs/>
          <w:sz w:val="20"/>
          <w:szCs w:val="20"/>
          <w:lang w:eastAsia="en-US"/>
        </w:rPr>
        <w:tab/>
      </w:r>
      <w:r w:rsidRPr="00EB6E86">
        <w:rPr>
          <w:rFonts w:ascii="Arial" w:eastAsia="Times New Roman" w:hAnsi="Arial" w:cs="Arial"/>
          <w:bCs/>
          <w:iCs/>
          <w:sz w:val="20"/>
          <w:szCs w:val="20"/>
          <w:lang w:eastAsia="en-US"/>
        </w:rPr>
        <w:t>Obveze za kredite i zajmove (</w:t>
      </w:r>
      <w:r w:rsidRPr="00EB6E86">
        <w:rPr>
          <w:rFonts w:ascii="Arial" w:eastAsia="Times New Roman" w:hAnsi="Arial" w:cs="Arial"/>
          <w:b/>
          <w:bCs/>
          <w:iCs/>
          <w:sz w:val="20"/>
          <w:szCs w:val="20"/>
          <w:lang w:eastAsia="en-US"/>
        </w:rPr>
        <w:t>26</w:t>
      </w:r>
      <w:r w:rsidRPr="00EB6E86">
        <w:rPr>
          <w:rFonts w:ascii="Arial" w:eastAsia="Times New Roman" w:hAnsi="Arial" w:cs="Arial"/>
          <w:bCs/>
          <w:iCs/>
          <w:sz w:val="20"/>
          <w:szCs w:val="20"/>
          <w:lang w:eastAsia="en-US"/>
        </w:rPr>
        <w:t xml:space="preserve">) koncem </w:t>
      </w:r>
      <w:r w:rsidR="0014431B" w:rsidRPr="00EB6E86">
        <w:rPr>
          <w:rFonts w:ascii="Arial" w:eastAsia="Times New Roman" w:hAnsi="Arial" w:cs="Arial"/>
          <w:bCs/>
          <w:iCs/>
          <w:sz w:val="20"/>
          <w:szCs w:val="20"/>
          <w:lang w:eastAsia="en-US"/>
        </w:rPr>
        <w:t>lipnja 2025</w:t>
      </w:r>
      <w:r w:rsidRPr="00EB6E86">
        <w:rPr>
          <w:rFonts w:ascii="Arial" w:eastAsia="Times New Roman" w:hAnsi="Arial" w:cs="Arial"/>
          <w:bCs/>
          <w:iCs/>
          <w:sz w:val="20"/>
          <w:szCs w:val="20"/>
          <w:lang w:eastAsia="en-US"/>
        </w:rPr>
        <w:t xml:space="preserve">. iznose </w:t>
      </w:r>
      <w:r w:rsidR="0014431B" w:rsidRPr="00EB6E86">
        <w:rPr>
          <w:rFonts w:ascii="Arial" w:eastAsia="Times New Roman" w:hAnsi="Arial" w:cs="Arial"/>
          <w:bCs/>
          <w:iCs/>
          <w:sz w:val="20"/>
          <w:szCs w:val="20"/>
          <w:lang w:eastAsia="en-US"/>
        </w:rPr>
        <w:t>2.883.721,68</w:t>
      </w:r>
      <w:r w:rsidRPr="00EB6E86">
        <w:rPr>
          <w:rFonts w:ascii="Arial" w:eastAsia="Times New Roman" w:hAnsi="Arial" w:cs="Arial"/>
          <w:bCs/>
          <w:iCs/>
          <w:sz w:val="20"/>
          <w:szCs w:val="20"/>
          <w:lang w:eastAsia="en-US"/>
        </w:rPr>
        <w:t xml:space="preserve"> € što je za </w:t>
      </w:r>
      <w:r w:rsidR="0014431B" w:rsidRPr="00EB6E86">
        <w:rPr>
          <w:rFonts w:ascii="Arial" w:eastAsia="Times New Roman" w:hAnsi="Arial" w:cs="Arial"/>
          <w:bCs/>
          <w:iCs/>
          <w:sz w:val="20"/>
          <w:szCs w:val="20"/>
          <w:lang w:eastAsia="en-US"/>
        </w:rPr>
        <w:t>380.558,00</w:t>
      </w:r>
      <w:r w:rsidRPr="00EB6E86">
        <w:rPr>
          <w:rFonts w:ascii="Arial" w:eastAsia="Times New Roman" w:hAnsi="Arial" w:cs="Arial"/>
          <w:bCs/>
          <w:iCs/>
          <w:sz w:val="20"/>
          <w:szCs w:val="20"/>
          <w:lang w:eastAsia="en-US"/>
        </w:rPr>
        <w:t xml:space="preserve"> € ili </w:t>
      </w:r>
      <w:r w:rsidR="0014431B" w:rsidRPr="00EB6E86">
        <w:rPr>
          <w:rFonts w:ascii="Arial" w:eastAsia="Times New Roman" w:hAnsi="Arial" w:cs="Arial"/>
          <w:bCs/>
          <w:iCs/>
          <w:sz w:val="20"/>
          <w:szCs w:val="20"/>
          <w:lang w:eastAsia="en-US"/>
        </w:rPr>
        <w:t>11,7</w:t>
      </w:r>
      <w:r w:rsidRPr="00EB6E86">
        <w:rPr>
          <w:rFonts w:ascii="Arial" w:eastAsia="Times New Roman" w:hAnsi="Arial" w:cs="Arial"/>
          <w:bCs/>
          <w:iCs/>
          <w:sz w:val="20"/>
          <w:szCs w:val="20"/>
          <w:lang w:eastAsia="en-US"/>
        </w:rPr>
        <w:t xml:space="preserve">% manje u odnosu na stanje koncem prethodne godine (kada su ove obveze iznosile </w:t>
      </w:r>
      <w:r w:rsidR="0014431B" w:rsidRPr="00EB6E86">
        <w:rPr>
          <w:rFonts w:ascii="Arial" w:eastAsia="Times New Roman" w:hAnsi="Arial" w:cs="Arial"/>
          <w:bCs/>
          <w:iCs/>
          <w:sz w:val="20"/>
          <w:szCs w:val="20"/>
          <w:lang w:eastAsia="en-US"/>
        </w:rPr>
        <w:t>3.264.279,68</w:t>
      </w:r>
      <w:r w:rsidRPr="00EB6E86">
        <w:rPr>
          <w:rFonts w:ascii="Arial" w:eastAsia="Times New Roman" w:hAnsi="Arial" w:cs="Arial"/>
          <w:bCs/>
          <w:iCs/>
          <w:sz w:val="20"/>
          <w:szCs w:val="20"/>
          <w:lang w:eastAsia="en-US"/>
        </w:rPr>
        <w:t xml:space="preserve"> €). Obveze se odnose kredit za izgradnju vatrogasnog doma i nabavu vatrogasnih vozila </w:t>
      </w:r>
      <w:r w:rsidR="0014431B" w:rsidRPr="00EB6E86">
        <w:rPr>
          <w:rFonts w:ascii="Arial" w:eastAsia="Times New Roman" w:hAnsi="Arial" w:cs="Arial"/>
          <w:bCs/>
          <w:iCs/>
          <w:sz w:val="20"/>
          <w:szCs w:val="20"/>
          <w:lang w:eastAsia="en-US"/>
        </w:rPr>
        <w:t>1.003.384,43</w:t>
      </w:r>
      <w:r w:rsidRPr="00EB6E86">
        <w:rPr>
          <w:rFonts w:ascii="Arial" w:eastAsia="Times New Roman" w:hAnsi="Arial" w:cs="Arial"/>
          <w:bCs/>
          <w:iCs/>
          <w:sz w:val="20"/>
          <w:szCs w:val="20"/>
          <w:lang w:eastAsia="en-US"/>
        </w:rPr>
        <w:t xml:space="preserve"> € (kredit iz 2022. godine), kredit za rekonstrukciju javne rasvjete (projekt energetske učinkovitosti) u iznosu </w:t>
      </w:r>
      <w:r w:rsidR="0014431B" w:rsidRPr="00EB6E86">
        <w:rPr>
          <w:rFonts w:ascii="Arial" w:eastAsia="Times New Roman" w:hAnsi="Arial" w:cs="Arial"/>
          <w:bCs/>
          <w:iCs/>
          <w:sz w:val="20"/>
          <w:szCs w:val="20"/>
          <w:lang w:eastAsia="en-US"/>
        </w:rPr>
        <w:t>548.257,72</w:t>
      </w:r>
      <w:r w:rsidRPr="00EB6E86">
        <w:rPr>
          <w:rFonts w:ascii="Arial" w:eastAsia="Times New Roman" w:hAnsi="Arial" w:cs="Arial"/>
          <w:bCs/>
          <w:iCs/>
          <w:sz w:val="20"/>
          <w:szCs w:val="20"/>
          <w:lang w:eastAsia="en-US"/>
        </w:rPr>
        <w:t xml:space="preserve"> €, te beskamatne zajmove Ministarstva financija u ukupnom iznosu 1.332.079,53 €. Glavnica kredita za izgradnju doma za starije i nemoćne osobe je otplaćena </w:t>
      </w:r>
      <w:r w:rsidR="0014431B" w:rsidRPr="00EB6E86">
        <w:rPr>
          <w:rFonts w:ascii="Arial" w:eastAsia="Times New Roman" w:hAnsi="Arial" w:cs="Arial"/>
          <w:bCs/>
          <w:iCs/>
          <w:sz w:val="20"/>
          <w:szCs w:val="20"/>
          <w:lang w:eastAsia="en-US"/>
        </w:rPr>
        <w:t xml:space="preserve">u cijelosti. </w:t>
      </w:r>
    </w:p>
    <w:p w14:paraId="5CCCE8D0" w14:textId="77777777" w:rsidR="0014431B" w:rsidRPr="00EB6E86" w:rsidRDefault="0014431B" w:rsidP="002643DD">
      <w:pPr>
        <w:spacing w:after="0" w:line="240" w:lineRule="auto"/>
        <w:jc w:val="both"/>
        <w:rPr>
          <w:rFonts w:ascii="Arial" w:eastAsia="Times New Roman" w:hAnsi="Arial" w:cs="Arial"/>
          <w:bCs/>
          <w:iCs/>
          <w:sz w:val="20"/>
          <w:szCs w:val="20"/>
          <w:lang w:eastAsia="en-US"/>
        </w:rPr>
      </w:pPr>
    </w:p>
    <w:p w14:paraId="13F247EE" w14:textId="3EAEDDD7" w:rsidR="002643DD" w:rsidRPr="00EB6E86" w:rsidRDefault="002643DD" w:rsidP="002643DD">
      <w:pPr>
        <w:spacing w:after="0" w:line="240" w:lineRule="auto"/>
        <w:jc w:val="both"/>
        <w:rPr>
          <w:rFonts w:ascii="Arial" w:eastAsia="Times New Roman" w:hAnsi="Arial" w:cs="Arial"/>
          <w:bCs/>
          <w:iCs/>
          <w:sz w:val="20"/>
          <w:szCs w:val="20"/>
          <w:lang w:eastAsia="en-US"/>
        </w:rPr>
      </w:pPr>
      <w:r w:rsidRPr="00EB6E86">
        <w:rPr>
          <w:rFonts w:ascii="Arial" w:eastAsia="Times New Roman" w:hAnsi="Arial" w:cs="Arial"/>
          <w:bCs/>
          <w:iCs/>
          <w:sz w:val="20"/>
          <w:szCs w:val="20"/>
          <w:lang w:eastAsia="en-US"/>
        </w:rPr>
        <w:t>Tijekom 202</w:t>
      </w:r>
      <w:r w:rsidR="0014431B" w:rsidRPr="00EB6E86">
        <w:rPr>
          <w:rFonts w:ascii="Arial" w:eastAsia="Times New Roman" w:hAnsi="Arial" w:cs="Arial"/>
          <w:bCs/>
          <w:iCs/>
          <w:sz w:val="20"/>
          <w:szCs w:val="20"/>
          <w:lang w:eastAsia="en-US"/>
        </w:rPr>
        <w:t>5</w:t>
      </w:r>
      <w:r w:rsidRPr="00EB6E86">
        <w:rPr>
          <w:rFonts w:ascii="Arial" w:eastAsia="Times New Roman" w:hAnsi="Arial" w:cs="Arial"/>
          <w:bCs/>
          <w:iCs/>
          <w:sz w:val="20"/>
          <w:szCs w:val="20"/>
          <w:lang w:eastAsia="en-US"/>
        </w:rPr>
        <w:t xml:space="preserve">. nisu otplaćivani beskamatni zajmovi iz državnog proračuna. Koncem godine obveze za beskamatne zajmove iznose 1.332.079,53 € od čega 97.757,41 € beskamatni zajam koji se odnosi na odgođeno plaćanje poreza i prireza na dohodak (odgoda u 2020. godini), te beskamatni zajam u iznosu 451.257,55 € (iz 2020. godine) i u iznosu 783.064,57 € (iz 2021. godine). Rok dospijeća beskamatnih zajmova iz 2020. i 2021. iz državnog proračuna dospijevaju koncem 2027. godine. Nema dospjelih nepodmirenih obveza za kredite i zajmove. </w:t>
      </w:r>
    </w:p>
    <w:p w14:paraId="50BE312E" w14:textId="77777777" w:rsidR="002643DD" w:rsidRPr="00EB6E86" w:rsidRDefault="002643DD" w:rsidP="002643DD">
      <w:pPr>
        <w:spacing w:after="0" w:line="240" w:lineRule="auto"/>
        <w:jc w:val="both"/>
        <w:rPr>
          <w:rFonts w:ascii="Arial" w:eastAsia="Times New Roman" w:hAnsi="Arial" w:cs="Arial"/>
          <w:bCs/>
          <w:iCs/>
          <w:sz w:val="20"/>
          <w:szCs w:val="20"/>
          <w:lang w:eastAsia="en-US"/>
        </w:rPr>
      </w:pPr>
    </w:p>
    <w:p w14:paraId="76187A10" w14:textId="42F690B1" w:rsidR="00EB6E86" w:rsidRPr="00EB6E86" w:rsidRDefault="0014431B" w:rsidP="0014431B">
      <w:pPr>
        <w:spacing w:after="0" w:line="240" w:lineRule="auto"/>
        <w:jc w:val="both"/>
        <w:rPr>
          <w:rFonts w:ascii="Arial" w:eastAsia="Times New Roman" w:hAnsi="Arial" w:cs="Arial"/>
          <w:bCs/>
          <w:iCs/>
          <w:sz w:val="20"/>
          <w:szCs w:val="20"/>
          <w:lang w:eastAsia="en-US"/>
        </w:rPr>
      </w:pPr>
      <w:r w:rsidRPr="00EB6E86">
        <w:rPr>
          <w:rFonts w:ascii="Arial" w:eastAsia="Times New Roman" w:hAnsi="Arial" w:cs="Arial"/>
          <w:b/>
          <w:bCs/>
          <w:iCs/>
          <w:sz w:val="20"/>
          <w:szCs w:val="20"/>
          <w:lang w:eastAsia="en-US"/>
        </w:rPr>
        <w:t>SKUPINA 27:</w:t>
      </w:r>
      <w:r w:rsidRPr="00EB6E86">
        <w:rPr>
          <w:rFonts w:ascii="Arial" w:eastAsia="Times New Roman" w:hAnsi="Arial" w:cs="Arial"/>
          <w:b/>
          <w:bCs/>
          <w:iCs/>
          <w:sz w:val="20"/>
          <w:szCs w:val="20"/>
          <w:lang w:eastAsia="en-US"/>
        </w:rPr>
        <w:tab/>
      </w:r>
      <w:r w:rsidRPr="00EB6E86">
        <w:rPr>
          <w:rFonts w:ascii="Arial" w:eastAsia="Times New Roman" w:hAnsi="Arial" w:cs="Arial"/>
          <w:bCs/>
          <w:iCs/>
          <w:sz w:val="20"/>
          <w:szCs w:val="20"/>
          <w:lang w:eastAsia="en-US"/>
        </w:rPr>
        <w:t>Obveze za predujmove, depozite i jamčevne pologe (</w:t>
      </w:r>
      <w:r w:rsidRPr="00EB6E86">
        <w:rPr>
          <w:rFonts w:ascii="Arial" w:eastAsia="Times New Roman" w:hAnsi="Arial" w:cs="Arial"/>
          <w:b/>
          <w:bCs/>
          <w:iCs/>
          <w:sz w:val="20"/>
          <w:szCs w:val="20"/>
          <w:lang w:eastAsia="en-US"/>
        </w:rPr>
        <w:t>27</w:t>
      </w:r>
      <w:r w:rsidRPr="00EB6E86">
        <w:rPr>
          <w:rFonts w:ascii="Arial" w:eastAsia="Times New Roman" w:hAnsi="Arial" w:cs="Arial"/>
          <w:bCs/>
          <w:iCs/>
          <w:sz w:val="20"/>
          <w:szCs w:val="20"/>
          <w:lang w:eastAsia="en-US"/>
        </w:rPr>
        <w:t xml:space="preserve">) koncem lipnja 2025. iznose </w:t>
      </w:r>
      <w:r w:rsidR="00EB6E86" w:rsidRPr="00EB6E86">
        <w:rPr>
          <w:rFonts w:ascii="Arial" w:eastAsia="Times New Roman" w:hAnsi="Arial" w:cs="Arial"/>
          <w:bCs/>
          <w:iCs/>
          <w:sz w:val="20"/>
          <w:szCs w:val="20"/>
          <w:lang w:eastAsia="en-US"/>
        </w:rPr>
        <w:t>392.326,31</w:t>
      </w:r>
      <w:r w:rsidRPr="00EB6E86">
        <w:rPr>
          <w:rFonts w:ascii="Arial" w:eastAsia="Times New Roman" w:hAnsi="Arial" w:cs="Arial"/>
          <w:bCs/>
          <w:iCs/>
          <w:sz w:val="20"/>
          <w:szCs w:val="20"/>
          <w:lang w:eastAsia="en-US"/>
        </w:rPr>
        <w:t xml:space="preserve"> €</w:t>
      </w:r>
      <w:r w:rsidR="00EB6E86" w:rsidRPr="00EB6E86">
        <w:rPr>
          <w:rFonts w:ascii="Arial" w:eastAsia="Times New Roman" w:hAnsi="Arial" w:cs="Arial"/>
          <w:bCs/>
          <w:iCs/>
          <w:sz w:val="20"/>
          <w:szCs w:val="20"/>
          <w:lang w:eastAsia="en-US"/>
        </w:rPr>
        <w:t>. Ova podskupina računa je u primjeni od početka 1.1.2025. sukladno Pravilniku o proračunskom računovodstvu i računskom planu.</w:t>
      </w:r>
      <w:r w:rsidRPr="00EB6E86">
        <w:rPr>
          <w:rFonts w:ascii="Arial" w:eastAsia="Times New Roman" w:hAnsi="Arial" w:cs="Arial"/>
          <w:bCs/>
          <w:iCs/>
          <w:sz w:val="20"/>
          <w:szCs w:val="20"/>
          <w:lang w:eastAsia="en-US"/>
        </w:rPr>
        <w:t xml:space="preserve"> </w:t>
      </w:r>
    </w:p>
    <w:p w14:paraId="0619B0FC" w14:textId="77777777" w:rsidR="00EB6E86" w:rsidRPr="00EB6E86" w:rsidRDefault="00EB6E86" w:rsidP="0014431B">
      <w:pPr>
        <w:spacing w:after="0" w:line="240" w:lineRule="auto"/>
        <w:jc w:val="both"/>
        <w:rPr>
          <w:rFonts w:ascii="Arial" w:eastAsia="Times New Roman" w:hAnsi="Arial" w:cs="Arial"/>
          <w:bCs/>
          <w:iCs/>
          <w:sz w:val="20"/>
          <w:szCs w:val="20"/>
          <w:lang w:eastAsia="en-US"/>
        </w:rPr>
      </w:pPr>
    </w:p>
    <w:p w14:paraId="681B1643" w14:textId="5E1D8041" w:rsidR="0014431B" w:rsidRPr="00EB6E86" w:rsidRDefault="00EB6E86" w:rsidP="0014431B">
      <w:pPr>
        <w:spacing w:after="0" w:line="240" w:lineRule="auto"/>
        <w:jc w:val="both"/>
        <w:rPr>
          <w:rFonts w:ascii="Arial" w:eastAsia="Times New Roman" w:hAnsi="Arial" w:cs="Arial"/>
          <w:bCs/>
          <w:iCs/>
          <w:sz w:val="20"/>
          <w:szCs w:val="20"/>
          <w:lang w:eastAsia="en-US"/>
        </w:rPr>
      </w:pPr>
      <w:r w:rsidRPr="00EB6E86">
        <w:rPr>
          <w:rFonts w:ascii="Arial" w:eastAsia="Times New Roman" w:hAnsi="Arial" w:cs="Arial"/>
          <w:bCs/>
          <w:iCs/>
          <w:sz w:val="20"/>
          <w:szCs w:val="20"/>
          <w:lang w:eastAsia="en-US"/>
        </w:rPr>
        <w:t>O</w:t>
      </w:r>
      <w:r w:rsidR="0014431B" w:rsidRPr="00EB6E86">
        <w:rPr>
          <w:rFonts w:ascii="Arial" w:eastAsia="Times New Roman" w:hAnsi="Arial" w:cs="Arial"/>
          <w:bCs/>
          <w:iCs/>
          <w:sz w:val="20"/>
          <w:szCs w:val="20"/>
          <w:lang w:eastAsia="en-US"/>
        </w:rPr>
        <w:t>bveze prema proračunskim korisnicima Općine Konavle (</w:t>
      </w:r>
      <w:r w:rsidRPr="00EB6E86">
        <w:rPr>
          <w:rFonts w:ascii="Arial" w:eastAsia="Times New Roman" w:hAnsi="Arial" w:cs="Arial"/>
          <w:bCs/>
          <w:iCs/>
          <w:sz w:val="20"/>
          <w:szCs w:val="20"/>
          <w:lang w:eastAsia="en-US"/>
        </w:rPr>
        <w:t xml:space="preserve">račun 27411, umjesto ranijeg računa </w:t>
      </w:r>
      <w:r w:rsidR="0014431B" w:rsidRPr="00EB6E86">
        <w:rPr>
          <w:rFonts w:ascii="Arial" w:eastAsia="Times New Roman" w:hAnsi="Arial" w:cs="Arial"/>
          <w:bCs/>
          <w:iCs/>
          <w:sz w:val="20"/>
          <w:szCs w:val="20"/>
          <w:lang w:eastAsia="en-US"/>
        </w:rPr>
        <w:t xml:space="preserve">23956) </w:t>
      </w:r>
      <w:r w:rsidRPr="00EB6E86">
        <w:rPr>
          <w:rFonts w:ascii="Arial" w:eastAsia="Times New Roman" w:hAnsi="Arial" w:cs="Arial"/>
          <w:bCs/>
          <w:iCs/>
          <w:sz w:val="20"/>
          <w:szCs w:val="20"/>
          <w:lang w:eastAsia="en-US"/>
        </w:rPr>
        <w:t>iznose 316.459,55</w:t>
      </w:r>
      <w:r w:rsidR="0014431B" w:rsidRPr="00EB6E86">
        <w:rPr>
          <w:rFonts w:ascii="Arial" w:eastAsia="Times New Roman" w:hAnsi="Arial" w:cs="Arial"/>
          <w:bCs/>
          <w:iCs/>
          <w:sz w:val="20"/>
          <w:szCs w:val="20"/>
          <w:lang w:eastAsia="en-US"/>
        </w:rPr>
        <w:t xml:space="preserve"> € na temelju naplaćenih prihoda proračunskih korisnika u 202</w:t>
      </w:r>
      <w:r w:rsidRPr="00EB6E86">
        <w:rPr>
          <w:rFonts w:ascii="Arial" w:eastAsia="Times New Roman" w:hAnsi="Arial" w:cs="Arial"/>
          <w:bCs/>
          <w:iCs/>
          <w:sz w:val="20"/>
          <w:szCs w:val="20"/>
          <w:lang w:eastAsia="en-US"/>
        </w:rPr>
        <w:t>5</w:t>
      </w:r>
      <w:r w:rsidR="0014431B" w:rsidRPr="00EB6E86">
        <w:rPr>
          <w:rFonts w:ascii="Arial" w:eastAsia="Times New Roman" w:hAnsi="Arial" w:cs="Arial"/>
          <w:bCs/>
          <w:iCs/>
          <w:sz w:val="20"/>
          <w:szCs w:val="20"/>
          <w:lang w:eastAsia="en-US"/>
        </w:rPr>
        <w:t xml:space="preserve">. putem sustava općinske riznice. Obveze prema Dječjem vrtiću Konavle iznose </w:t>
      </w:r>
      <w:r w:rsidRPr="00EB6E86">
        <w:rPr>
          <w:rFonts w:ascii="Arial" w:eastAsia="Times New Roman" w:hAnsi="Arial" w:cs="Arial"/>
          <w:bCs/>
          <w:iCs/>
          <w:sz w:val="20"/>
          <w:szCs w:val="20"/>
          <w:lang w:eastAsia="en-US"/>
        </w:rPr>
        <w:t>77.897,98</w:t>
      </w:r>
      <w:r w:rsidR="0014431B" w:rsidRPr="00EB6E86">
        <w:rPr>
          <w:rFonts w:ascii="Arial" w:eastAsia="Times New Roman" w:hAnsi="Arial" w:cs="Arial"/>
          <w:bCs/>
          <w:iCs/>
          <w:sz w:val="20"/>
          <w:szCs w:val="20"/>
          <w:lang w:eastAsia="en-US"/>
        </w:rPr>
        <w:t xml:space="preserve"> €, obveze prema Muzejima i galerijama Konavala iznose </w:t>
      </w:r>
      <w:r w:rsidRPr="00EB6E86">
        <w:rPr>
          <w:rFonts w:ascii="Arial" w:eastAsia="Times New Roman" w:hAnsi="Arial" w:cs="Arial"/>
          <w:bCs/>
          <w:iCs/>
          <w:sz w:val="20"/>
          <w:szCs w:val="20"/>
          <w:lang w:eastAsia="en-US"/>
        </w:rPr>
        <w:t>105.086,81</w:t>
      </w:r>
      <w:r w:rsidR="0014431B" w:rsidRPr="00EB6E86">
        <w:rPr>
          <w:rFonts w:ascii="Arial" w:eastAsia="Times New Roman" w:hAnsi="Arial" w:cs="Arial"/>
          <w:bCs/>
          <w:iCs/>
          <w:sz w:val="20"/>
          <w:szCs w:val="20"/>
          <w:lang w:eastAsia="en-US"/>
        </w:rPr>
        <w:t xml:space="preserve"> €, obveze prema Javnoj vatrogasnoj postrojbi 0 €, te obveze prema Domu za starije i nemoćne osobe iznose </w:t>
      </w:r>
      <w:r w:rsidRPr="00EB6E86">
        <w:rPr>
          <w:rFonts w:ascii="Arial" w:eastAsia="Times New Roman" w:hAnsi="Arial" w:cs="Arial"/>
          <w:bCs/>
          <w:iCs/>
          <w:sz w:val="20"/>
          <w:szCs w:val="20"/>
          <w:lang w:eastAsia="en-US"/>
        </w:rPr>
        <w:t>133.474,76</w:t>
      </w:r>
      <w:r w:rsidR="0014431B" w:rsidRPr="00EB6E86">
        <w:rPr>
          <w:rFonts w:ascii="Arial" w:eastAsia="Times New Roman" w:hAnsi="Arial" w:cs="Arial"/>
          <w:bCs/>
          <w:iCs/>
          <w:sz w:val="20"/>
          <w:szCs w:val="20"/>
          <w:lang w:eastAsia="en-US"/>
        </w:rPr>
        <w:t xml:space="preserve"> €. Koncem prethodne godine ove obveze prema proračunskim korisnicima su iznosile </w:t>
      </w:r>
      <w:r w:rsidRPr="00EB6E86">
        <w:rPr>
          <w:rFonts w:ascii="Arial" w:eastAsia="Times New Roman" w:hAnsi="Arial" w:cs="Arial"/>
          <w:bCs/>
          <w:iCs/>
          <w:sz w:val="20"/>
          <w:szCs w:val="20"/>
          <w:lang w:eastAsia="en-US"/>
        </w:rPr>
        <w:t>186.656,80</w:t>
      </w:r>
      <w:r w:rsidR="0014431B" w:rsidRPr="00EB6E86">
        <w:rPr>
          <w:rFonts w:ascii="Arial" w:eastAsia="Times New Roman" w:hAnsi="Arial" w:cs="Arial"/>
          <w:bCs/>
          <w:iCs/>
          <w:sz w:val="20"/>
          <w:szCs w:val="20"/>
          <w:lang w:eastAsia="en-US"/>
        </w:rPr>
        <w:t xml:space="preserve"> €.</w:t>
      </w:r>
    </w:p>
    <w:p w14:paraId="566B51BC" w14:textId="77777777" w:rsidR="0014431B" w:rsidRPr="00EB6E86" w:rsidRDefault="0014431B" w:rsidP="002643DD">
      <w:pPr>
        <w:spacing w:after="0" w:line="240" w:lineRule="auto"/>
        <w:jc w:val="both"/>
        <w:rPr>
          <w:rFonts w:ascii="Arial" w:eastAsia="Times New Roman" w:hAnsi="Arial" w:cs="Arial"/>
          <w:bCs/>
          <w:iCs/>
          <w:sz w:val="20"/>
          <w:szCs w:val="20"/>
          <w:lang w:eastAsia="en-US"/>
        </w:rPr>
      </w:pPr>
    </w:p>
    <w:p w14:paraId="639762E8" w14:textId="19CB07C8" w:rsidR="0014431B" w:rsidRPr="00EB6E86" w:rsidRDefault="00EB6E86" w:rsidP="0014431B">
      <w:pPr>
        <w:spacing w:after="0" w:line="240" w:lineRule="auto"/>
        <w:jc w:val="both"/>
        <w:rPr>
          <w:rFonts w:ascii="Arial" w:eastAsia="Times New Roman" w:hAnsi="Arial" w:cs="Arial"/>
          <w:bCs/>
          <w:iCs/>
          <w:sz w:val="20"/>
          <w:szCs w:val="20"/>
          <w:lang w:eastAsia="en-US"/>
        </w:rPr>
      </w:pPr>
      <w:r w:rsidRPr="00EB6E86">
        <w:rPr>
          <w:rFonts w:ascii="Arial" w:eastAsia="Times New Roman" w:hAnsi="Arial" w:cs="Arial"/>
          <w:bCs/>
          <w:iCs/>
          <w:sz w:val="20"/>
          <w:szCs w:val="20"/>
          <w:lang w:eastAsia="en-US"/>
        </w:rPr>
        <w:t xml:space="preserve">Obveze prema Hrvatskim vodama za naplaćenu vodnu naknadu zajedno s komunalnom naknadom koncem lipnja iznose31.561,02 € (koncem 2024. godine ove obveze iznosile </w:t>
      </w:r>
      <w:r w:rsidR="0014431B" w:rsidRPr="00EB6E86">
        <w:rPr>
          <w:rFonts w:ascii="Arial" w:eastAsia="Times New Roman" w:hAnsi="Arial" w:cs="Arial"/>
          <w:bCs/>
          <w:iCs/>
          <w:sz w:val="20"/>
          <w:szCs w:val="20"/>
          <w:lang w:eastAsia="en-US"/>
        </w:rPr>
        <w:t xml:space="preserve">41.959,12 € i </w:t>
      </w:r>
      <w:r w:rsidRPr="00EB6E86">
        <w:rPr>
          <w:rFonts w:ascii="Arial" w:eastAsia="Times New Roman" w:hAnsi="Arial" w:cs="Arial"/>
          <w:bCs/>
          <w:iCs/>
          <w:sz w:val="20"/>
          <w:szCs w:val="20"/>
          <w:lang w:eastAsia="en-US"/>
        </w:rPr>
        <w:t>bile su iskazane unutar podskupine 239).</w:t>
      </w:r>
    </w:p>
    <w:p w14:paraId="27997DE9" w14:textId="77777777" w:rsidR="0014431B" w:rsidRDefault="0014431B" w:rsidP="002643DD">
      <w:pPr>
        <w:spacing w:after="0" w:line="240" w:lineRule="auto"/>
        <w:jc w:val="both"/>
        <w:rPr>
          <w:rFonts w:ascii="Arial" w:eastAsia="Times New Roman" w:hAnsi="Arial" w:cs="Arial"/>
          <w:bCs/>
          <w:iCs/>
          <w:sz w:val="20"/>
          <w:szCs w:val="20"/>
          <w:lang w:eastAsia="en-US"/>
        </w:rPr>
      </w:pPr>
    </w:p>
    <w:p w14:paraId="30C9F5B1" w14:textId="63AE3F25" w:rsidR="00EB6E86" w:rsidRDefault="00EB6E86" w:rsidP="002643DD">
      <w:pPr>
        <w:spacing w:after="0" w:line="240" w:lineRule="auto"/>
        <w:jc w:val="both"/>
        <w:rPr>
          <w:rFonts w:ascii="Arial" w:eastAsia="Times New Roman" w:hAnsi="Arial" w:cs="Arial"/>
          <w:bCs/>
          <w:iCs/>
          <w:sz w:val="20"/>
          <w:szCs w:val="20"/>
          <w:lang w:eastAsia="en-US"/>
        </w:rPr>
      </w:pPr>
      <w:r>
        <w:rPr>
          <w:rFonts w:ascii="Arial" w:eastAsia="Times New Roman" w:hAnsi="Arial" w:cs="Arial"/>
          <w:bCs/>
          <w:iCs/>
          <w:sz w:val="20"/>
          <w:szCs w:val="20"/>
          <w:lang w:eastAsia="en-US"/>
        </w:rPr>
        <w:t>Obveze za jamčevne pologe iznose 44.305,74 € (prethodne godine su bile iskazane unutar podskupine 239).</w:t>
      </w:r>
    </w:p>
    <w:p w14:paraId="022F897B" w14:textId="77777777" w:rsidR="00EB6E86" w:rsidRPr="00EB6E86" w:rsidRDefault="00EB6E86" w:rsidP="002643DD">
      <w:pPr>
        <w:spacing w:after="0" w:line="240" w:lineRule="auto"/>
        <w:jc w:val="both"/>
        <w:rPr>
          <w:rFonts w:ascii="Arial" w:eastAsia="Times New Roman" w:hAnsi="Arial" w:cs="Arial"/>
          <w:bCs/>
          <w:iCs/>
          <w:sz w:val="20"/>
          <w:szCs w:val="20"/>
          <w:lang w:eastAsia="en-US"/>
        </w:rPr>
      </w:pPr>
    </w:p>
    <w:p w14:paraId="2B7182A3" w14:textId="3D7E6B13" w:rsidR="002643DD" w:rsidRPr="00EB6E86" w:rsidRDefault="002643DD" w:rsidP="002643DD">
      <w:pPr>
        <w:spacing w:after="0" w:line="240" w:lineRule="auto"/>
        <w:jc w:val="both"/>
        <w:rPr>
          <w:rFonts w:ascii="Arial" w:eastAsia="Times New Roman" w:hAnsi="Arial" w:cs="Arial"/>
          <w:bCs/>
          <w:iCs/>
          <w:sz w:val="20"/>
          <w:szCs w:val="20"/>
          <w:lang w:eastAsia="en-US"/>
        </w:rPr>
      </w:pPr>
      <w:r w:rsidRPr="00EB6E86">
        <w:rPr>
          <w:rFonts w:ascii="Arial" w:eastAsia="Times New Roman" w:hAnsi="Arial" w:cs="Arial"/>
          <w:b/>
          <w:bCs/>
          <w:iCs/>
          <w:sz w:val="20"/>
          <w:szCs w:val="20"/>
          <w:lang w:eastAsia="en-US"/>
        </w:rPr>
        <w:lastRenderedPageBreak/>
        <w:t>PODSKUPINA 292:</w:t>
      </w:r>
      <w:r w:rsidRPr="00EB6E86">
        <w:rPr>
          <w:rFonts w:ascii="Arial" w:eastAsia="Times New Roman" w:hAnsi="Arial" w:cs="Arial"/>
          <w:b/>
          <w:bCs/>
          <w:iCs/>
          <w:sz w:val="20"/>
          <w:szCs w:val="20"/>
          <w:lang w:eastAsia="en-US"/>
        </w:rPr>
        <w:tab/>
      </w:r>
      <w:r w:rsidRPr="00EB6E86">
        <w:rPr>
          <w:rFonts w:ascii="Arial" w:eastAsia="Times New Roman" w:hAnsi="Arial" w:cs="Arial"/>
          <w:bCs/>
          <w:iCs/>
          <w:sz w:val="20"/>
          <w:szCs w:val="20"/>
          <w:lang w:eastAsia="en-US"/>
        </w:rPr>
        <w:t>Naplaćeni prihodi budućih razdoblja (</w:t>
      </w:r>
      <w:r w:rsidRPr="00EB6E86">
        <w:rPr>
          <w:rFonts w:ascii="Arial" w:eastAsia="Times New Roman" w:hAnsi="Arial" w:cs="Arial"/>
          <w:b/>
          <w:bCs/>
          <w:iCs/>
          <w:sz w:val="20"/>
          <w:szCs w:val="20"/>
          <w:lang w:eastAsia="en-US"/>
        </w:rPr>
        <w:t>292</w:t>
      </w:r>
      <w:r w:rsidRPr="00EB6E86">
        <w:rPr>
          <w:rFonts w:ascii="Arial" w:eastAsia="Times New Roman" w:hAnsi="Arial" w:cs="Arial"/>
          <w:bCs/>
          <w:iCs/>
          <w:sz w:val="20"/>
          <w:szCs w:val="20"/>
          <w:lang w:eastAsia="en-US"/>
        </w:rPr>
        <w:t>) koncem 202</w:t>
      </w:r>
      <w:r w:rsidR="00EB6E86" w:rsidRPr="00EB6E86">
        <w:rPr>
          <w:rFonts w:ascii="Arial" w:eastAsia="Times New Roman" w:hAnsi="Arial" w:cs="Arial"/>
          <w:bCs/>
          <w:iCs/>
          <w:sz w:val="20"/>
          <w:szCs w:val="20"/>
          <w:lang w:eastAsia="en-US"/>
        </w:rPr>
        <w:t>4</w:t>
      </w:r>
      <w:r w:rsidRPr="00EB6E86">
        <w:rPr>
          <w:rFonts w:ascii="Arial" w:eastAsia="Times New Roman" w:hAnsi="Arial" w:cs="Arial"/>
          <w:bCs/>
          <w:iCs/>
          <w:sz w:val="20"/>
          <w:szCs w:val="20"/>
          <w:lang w:eastAsia="en-US"/>
        </w:rPr>
        <w:t xml:space="preserve">. su iznosili </w:t>
      </w:r>
      <w:r w:rsidR="00EB6E86" w:rsidRPr="00EB6E86">
        <w:rPr>
          <w:rFonts w:ascii="Arial" w:eastAsia="Times New Roman" w:hAnsi="Arial" w:cs="Arial"/>
          <w:bCs/>
          <w:iCs/>
          <w:sz w:val="20"/>
          <w:szCs w:val="20"/>
          <w:lang w:eastAsia="en-US"/>
        </w:rPr>
        <w:t>22.121,83 €</w:t>
      </w:r>
      <w:r w:rsidRPr="00EB6E86">
        <w:rPr>
          <w:rFonts w:ascii="Arial" w:eastAsia="Times New Roman" w:hAnsi="Arial" w:cs="Arial"/>
          <w:bCs/>
          <w:iCs/>
          <w:sz w:val="20"/>
          <w:szCs w:val="20"/>
          <w:lang w:eastAsia="en-US"/>
        </w:rPr>
        <w:t xml:space="preserve">, a koncem </w:t>
      </w:r>
      <w:r w:rsidR="00EB6E86" w:rsidRPr="00EB6E86">
        <w:rPr>
          <w:rFonts w:ascii="Arial" w:eastAsia="Times New Roman" w:hAnsi="Arial" w:cs="Arial"/>
          <w:bCs/>
          <w:iCs/>
          <w:sz w:val="20"/>
          <w:szCs w:val="20"/>
          <w:lang w:eastAsia="en-US"/>
        </w:rPr>
        <w:t xml:space="preserve">lipnja </w:t>
      </w:r>
      <w:r w:rsidRPr="00EB6E86">
        <w:rPr>
          <w:rFonts w:ascii="Arial" w:eastAsia="Times New Roman" w:hAnsi="Arial" w:cs="Arial"/>
          <w:bCs/>
          <w:iCs/>
          <w:sz w:val="20"/>
          <w:szCs w:val="20"/>
          <w:lang w:eastAsia="en-US"/>
        </w:rPr>
        <w:t>202</w:t>
      </w:r>
      <w:r w:rsidR="00EB6E86" w:rsidRPr="00EB6E86">
        <w:rPr>
          <w:rFonts w:ascii="Arial" w:eastAsia="Times New Roman" w:hAnsi="Arial" w:cs="Arial"/>
          <w:bCs/>
          <w:iCs/>
          <w:sz w:val="20"/>
          <w:szCs w:val="20"/>
          <w:lang w:eastAsia="en-US"/>
        </w:rPr>
        <w:t>5</w:t>
      </w:r>
      <w:r w:rsidRPr="00EB6E86">
        <w:rPr>
          <w:rFonts w:ascii="Arial" w:eastAsia="Times New Roman" w:hAnsi="Arial" w:cs="Arial"/>
          <w:bCs/>
          <w:iCs/>
          <w:sz w:val="20"/>
          <w:szCs w:val="20"/>
          <w:lang w:eastAsia="en-US"/>
        </w:rPr>
        <w:t xml:space="preserve">. iznose </w:t>
      </w:r>
      <w:r w:rsidR="00EB6E86" w:rsidRPr="00EB6E86">
        <w:rPr>
          <w:rFonts w:ascii="Arial" w:eastAsia="Times New Roman" w:hAnsi="Arial" w:cs="Arial"/>
          <w:bCs/>
          <w:iCs/>
          <w:sz w:val="20"/>
          <w:szCs w:val="20"/>
          <w:lang w:eastAsia="en-US"/>
        </w:rPr>
        <w:t>22.907,14</w:t>
      </w:r>
      <w:r w:rsidRPr="00EB6E86">
        <w:rPr>
          <w:rFonts w:ascii="Arial" w:eastAsia="Times New Roman" w:hAnsi="Arial" w:cs="Arial"/>
          <w:bCs/>
          <w:iCs/>
          <w:sz w:val="20"/>
          <w:szCs w:val="20"/>
          <w:lang w:eastAsia="en-US"/>
        </w:rPr>
        <w:t xml:space="preserve"> € i odnose se na unaprijed plaćene prihode od komunalnog doprinosa 11,73 €, unaprijed plaćenu komunalnu naknadu </w:t>
      </w:r>
      <w:r w:rsidR="00EB6E86" w:rsidRPr="00EB6E86">
        <w:rPr>
          <w:rFonts w:ascii="Arial" w:eastAsia="Times New Roman" w:hAnsi="Arial" w:cs="Arial"/>
          <w:bCs/>
          <w:iCs/>
          <w:sz w:val="20"/>
          <w:szCs w:val="20"/>
          <w:lang w:eastAsia="en-US"/>
        </w:rPr>
        <w:t>9.656,11</w:t>
      </w:r>
      <w:r w:rsidRPr="00EB6E86">
        <w:rPr>
          <w:rFonts w:ascii="Arial" w:eastAsia="Times New Roman" w:hAnsi="Arial" w:cs="Arial"/>
          <w:bCs/>
          <w:iCs/>
          <w:sz w:val="20"/>
          <w:szCs w:val="20"/>
          <w:lang w:eastAsia="en-US"/>
        </w:rPr>
        <w:t xml:space="preserve"> €, više plaćene prihoda od poreza na potrošnju 11.388,92 €, više plaćene prihode poreza na kuće za odmor 1.451,48 €, više plaćene prihode naknada za korištenje javnih površina 398,90 €. </w:t>
      </w:r>
    </w:p>
    <w:p w14:paraId="3CAD6149" w14:textId="77777777" w:rsidR="002643DD" w:rsidRPr="00EB6E86" w:rsidRDefault="002643DD" w:rsidP="002643DD">
      <w:pPr>
        <w:spacing w:after="0" w:line="240" w:lineRule="auto"/>
        <w:jc w:val="both"/>
        <w:rPr>
          <w:rFonts w:ascii="Arial" w:eastAsia="Times New Roman" w:hAnsi="Arial" w:cs="Arial"/>
          <w:bCs/>
          <w:iCs/>
          <w:sz w:val="20"/>
          <w:szCs w:val="20"/>
          <w:lang w:eastAsia="en-US"/>
        </w:rPr>
      </w:pPr>
    </w:p>
    <w:p w14:paraId="6279FE97" w14:textId="4563B18D" w:rsidR="002643DD" w:rsidRPr="00EB6E86" w:rsidRDefault="002643DD" w:rsidP="002643DD">
      <w:pPr>
        <w:spacing w:after="0" w:line="240" w:lineRule="auto"/>
        <w:jc w:val="both"/>
        <w:rPr>
          <w:rFonts w:ascii="Arial" w:eastAsia="Times New Roman" w:hAnsi="Arial" w:cs="Arial"/>
          <w:bCs/>
          <w:iCs/>
          <w:sz w:val="20"/>
          <w:szCs w:val="20"/>
          <w:lang w:eastAsia="en-US"/>
        </w:rPr>
      </w:pPr>
      <w:r w:rsidRPr="00EB6E86">
        <w:rPr>
          <w:rFonts w:ascii="Arial" w:eastAsia="Times New Roman" w:hAnsi="Arial" w:cs="Arial"/>
          <w:b/>
          <w:bCs/>
          <w:iCs/>
          <w:sz w:val="20"/>
          <w:szCs w:val="20"/>
          <w:lang w:eastAsia="en-US"/>
        </w:rPr>
        <w:t>PODSKUPINA 922:</w:t>
      </w:r>
      <w:r w:rsidRPr="00EB6E86">
        <w:rPr>
          <w:rFonts w:ascii="Arial" w:eastAsia="Times New Roman" w:hAnsi="Arial" w:cs="Arial"/>
          <w:b/>
          <w:bCs/>
          <w:iCs/>
          <w:sz w:val="20"/>
          <w:szCs w:val="20"/>
          <w:lang w:eastAsia="en-US"/>
        </w:rPr>
        <w:tab/>
      </w:r>
      <w:r w:rsidRPr="00EB6E86">
        <w:rPr>
          <w:rFonts w:ascii="Arial" w:eastAsia="Times New Roman" w:hAnsi="Arial" w:cs="Arial"/>
          <w:bCs/>
          <w:iCs/>
          <w:sz w:val="20"/>
          <w:szCs w:val="20"/>
          <w:lang w:eastAsia="en-US"/>
        </w:rPr>
        <w:t>Višak prihoda (</w:t>
      </w:r>
      <w:r w:rsidRPr="00EB6E86">
        <w:rPr>
          <w:rFonts w:ascii="Arial" w:eastAsia="Times New Roman" w:hAnsi="Arial" w:cs="Arial"/>
          <w:b/>
          <w:bCs/>
          <w:iCs/>
          <w:sz w:val="20"/>
          <w:szCs w:val="20"/>
          <w:lang w:eastAsia="en-US"/>
        </w:rPr>
        <w:t>922</w:t>
      </w:r>
      <w:r w:rsidRPr="00EB6E86">
        <w:rPr>
          <w:rFonts w:ascii="Arial" w:eastAsia="Times New Roman" w:hAnsi="Arial" w:cs="Arial"/>
          <w:bCs/>
          <w:iCs/>
          <w:sz w:val="20"/>
          <w:szCs w:val="20"/>
          <w:lang w:eastAsia="en-US"/>
        </w:rPr>
        <w:t>) koncem 202</w:t>
      </w:r>
      <w:r w:rsidR="00EB6E86" w:rsidRPr="00EB6E86">
        <w:rPr>
          <w:rFonts w:ascii="Arial" w:eastAsia="Times New Roman" w:hAnsi="Arial" w:cs="Arial"/>
          <w:bCs/>
          <w:iCs/>
          <w:sz w:val="20"/>
          <w:szCs w:val="20"/>
          <w:lang w:eastAsia="en-US"/>
        </w:rPr>
        <w:t>4</w:t>
      </w:r>
      <w:r w:rsidRPr="00EB6E86">
        <w:rPr>
          <w:rFonts w:ascii="Arial" w:eastAsia="Times New Roman" w:hAnsi="Arial" w:cs="Arial"/>
          <w:bCs/>
          <w:iCs/>
          <w:sz w:val="20"/>
          <w:szCs w:val="20"/>
          <w:lang w:eastAsia="en-US"/>
        </w:rPr>
        <w:t xml:space="preserve">. je iznosio </w:t>
      </w:r>
      <w:r w:rsidR="00EB6E86" w:rsidRPr="00EB6E86">
        <w:rPr>
          <w:rFonts w:ascii="Arial" w:eastAsia="Times New Roman" w:hAnsi="Arial" w:cs="Arial"/>
          <w:bCs/>
          <w:iCs/>
          <w:sz w:val="20"/>
          <w:szCs w:val="20"/>
          <w:lang w:eastAsia="en-US"/>
        </w:rPr>
        <w:t>2.314.003,03</w:t>
      </w:r>
      <w:r w:rsidRPr="00EB6E86">
        <w:rPr>
          <w:rFonts w:ascii="Arial" w:eastAsia="Times New Roman" w:hAnsi="Arial" w:cs="Arial"/>
          <w:bCs/>
          <w:iCs/>
          <w:sz w:val="20"/>
          <w:szCs w:val="20"/>
          <w:lang w:eastAsia="en-US"/>
        </w:rPr>
        <w:t xml:space="preserve"> €, a koncem </w:t>
      </w:r>
      <w:r w:rsidR="00EB6E86" w:rsidRPr="00EB6E86">
        <w:rPr>
          <w:rFonts w:ascii="Arial" w:eastAsia="Times New Roman" w:hAnsi="Arial" w:cs="Arial"/>
          <w:bCs/>
          <w:iCs/>
          <w:sz w:val="20"/>
          <w:szCs w:val="20"/>
          <w:lang w:eastAsia="en-US"/>
        </w:rPr>
        <w:t xml:space="preserve">lipnja </w:t>
      </w:r>
      <w:r w:rsidRPr="00EB6E86">
        <w:rPr>
          <w:rFonts w:ascii="Arial" w:eastAsia="Times New Roman" w:hAnsi="Arial" w:cs="Arial"/>
          <w:bCs/>
          <w:iCs/>
          <w:sz w:val="20"/>
          <w:szCs w:val="20"/>
          <w:lang w:eastAsia="en-US"/>
        </w:rPr>
        <w:t>202</w:t>
      </w:r>
      <w:r w:rsidR="00EB6E86" w:rsidRPr="00EB6E86">
        <w:rPr>
          <w:rFonts w:ascii="Arial" w:eastAsia="Times New Roman" w:hAnsi="Arial" w:cs="Arial"/>
          <w:bCs/>
          <w:iCs/>
          <w:sz w:val="20"/>
          <w:szCs w:val="20"/>
          <w:lang w:eastAsia="en-US"/>
        </w:rPr>
        <w:t>5</w:t>
      </w:r>
      <w:r w:rsidRPr="00EB6E86">
        <w:rPr>
          <w:rFonts w:ascii="Arial" w:eastAsia="Times New Roman" w:hAnsi="Arial" w:cs="Arial"/>
          <w:bCs/>
          <w:iCs/>
          <w:sz w:val="20"/>
          <w:szCs w:val="20"/>
          <w:lang w:eastAsia="en-US"/>
        </w:rPr>
        <w:t xml:space="preserve">. iznosi </w:t>
      </w:r>
      <w:r w:rsidR="00EB6E86" w:rsidRPr="00EB6E86">
        <w:rPr>
          <w:rFonts w:ascii="Arial" w:eastAsia="Times New Roman" w:hAnsi="Arial" w:cs="Arial"/>
          <w:bCs/>
          <w:iCs/>
          <w:sz w:val="20"/>
          <w:szCs w:val="20"/>
          <w:lang w:eastAsia="en-US"/>
        </w:rPr>
        <w:t>4.813.903,05</w:t>
      </w:r>
      <w:r w:rsidRPr="00EB6E86">
        <w:rPr>
          <w:rFonts w:ascii="Arial" w:eastAsia="Times New Roman" w:hAnsi="Arial" w:cs="Arial"/>
          <w:bCs/>
          <w:iCs/>
          <w:sz w:val="20"/>
          <w:szCs w:val="20"/>
          <w:lang w:eastAsia="en-US"/>
        </w:rPr>
        <w:t xml:space="preserve"> €. Ovaj višak je raspoloživ za korištenje u 2025. proračunskoj godini. </w:t>
      </w:r>
    </w:p>
    <w:p w14:paraId="5CF040CB" w14:textId="3668AB8C" w:rsidR="008E1A87" w:rsidRPr="00EB6E86" w:rsidRDefault="008E1A87" w:rsidP="007127A6">
      <w:pPr>
        <w:pStyle w:val="Tijeloteksta2"/>
        <w:rPr>
          <w:rFonts w:ascii="Arial" w:hAnsi="Arial" w:cs="Arial"/>
          <w:bCs/>
          <w:iCs/>
          <w:sz w:val="22"/>
          <w:szCs w:val="18"/>
          <w:lang w:val="hr-HR"/>
        </w:rPr>
      </w:pPr>
    </w:p>
    <w:p w14:paraId="062A5E0E" w14:textId="27EC1E38" w:rsidR="000650E1" w:rsidRPr="00EB6E86"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 w:val="20"/>
          <w:szCs w:val="18"/>
          <w:lang w:eastAsia="en-US"/>
        </w:rPr>
      </w:pPr>
      <w:r w:rsidRPr="00EB6E86">
        <w:rPr>
          <w:rFonts w:ascii="Arial" w:eastAsia="Times New Roman" w:hAnsi="Arial" w:cs="Arial"/>
          <w:b/>
          <w:sz w:val="20"/>
          <w:szCs w:val="18"/>
          <w:lang w:eastAsia="en-US"/>
        </w:rPr>
        <w:t>3.</w:t>
      </w:r>
      <w:r w:rsidRPr="00EB6E86">
        <w:rPr>
          <w:rFonts w:ascii="Arial" w:eastAsia="Times New Roman" w:hAnsi="Arial" w:cs="Arial"/>
          <w:b/>
          <w:sz w:val="20"/>
          <w:szCs w:val="18"/>
          <w:lang w:eastAsia="en-US"/>
        </w:rPr>
        <w:tab/>
        <w:t xml:space="preserve">IZVANBILANČNI ZAPISI </w:t>
      </w:r>
    </w:p>
    <w:p w14:paraId="2266E6E0" w14:textId="77777777" w:rsidR="000650E1" w:rsidRPr="00054A4A" w:rsidRDefault="000650E1" w:rsidP="000650E1">
      <w:pPr>
        <w:spacing w:after="0" w:line="240" w:lineRule="auto"/>
        <w:jc w:val="both"/>
        <w:rPr>
          <w:rFonts w:ascii="Arial" w:eastAsia="Times New Roman" w:hAnsi="Arial" w:cs="Arial"/>
          <w:bCs/>
          <w:iCs/>
          <w:sz w:val="20"/>
          <w:szCs w:val="20"/>
          <w:lang w:eastAsia="en-US"/>
        </w:rPr>
      </w:pPr>
    </w:p>
    <w:p w14:paraId="352910AE" w14:textId="668873CF" w:rsidR="00054A4A" w:rsidRPr="00054A4A" w:rsidRDefault="002643DD" w:rsidP="00054A4A">
      <w:pPr>
        <w:spacing w:after="0" w:line="240" w:lineRule="auto"/>
        <w:jc w:val="both"/>
        <w:rPr>
          <w:rFonts w:ascii="Arial" w:eastAsia="Times New Roman" w:hAnsi="Arial" w:cs="Arial"/>
          <w:iCs/>
          <w:sz w:val="20"/>
          <w:szCs w:val="20"/>
          <w:lang w:eastAsia="en-US"/>
        </w:rPr>
      </w:pPr>
      <w:r w:rsidRPr="00054A4A">
        <w:rPr>
          <w:rFonts w:ascii="Arial" w:eastAsia="Times New Roman" w:hAnsi="Arial" w:cs="Arial"/>
          <w:bCs/>
          <w:iCs/>
          <w:sz w:val="20"/>
          <w:szCs w:val="20"/>
          <w:lang w:eastAsia="en-US"/>
        </w:rPr>
        <w:t xml:space="preserve">U okviru izvanbilančnih zapisa početkom 2024. je bilo evidentirano ukupno </w:t>
      </w:r>
      <w:r w:rsidR="003E15E1" w:rsidRPr="00054A4A">
        <w:rPr>
          <w:rFonts w:ascii="Arial" w:hAnsi="Arial" w:cs="Arial"/>
          <w:bCs/>
          <w:iCs/>
          <w:sz w:val="20"/>
          <w:szCs w:val="20"/>
        </w:rPr>
        <w:t xml:space="preserve">403.954,83 </w:t>
      </w:r>
      <w:r w:rsidRPr="00054A4A">
        <w:rPr>
          <w:rFonts w:ascii="Arial" w:eastAsia="Times New Roman" w:hAnsi="Arial" w:cs="Arial"/>
          <w:bCs/>
          <w:iCs/>
          <w:sz w:val="20"/>
          <w:szCs w:val="20"/>
          <w:lang w:eastAsia="en-US"/>
        </w:rPr>
        <w:t xml:space="preserve">€ i to jedno jamstvo u iznosu </w:t>
      </w:r>
      <w:r w:rsidR="00054A4A" w:rsidRPr="00054A4A">
        <w:rPr>
          <w:rFonts w:ascii="Arial" w:eastAsia="Times New Roman" w:hAnsi="Arial" w:cs="Arial"/>
          <w:bCs/>
          <w:iCs/>
          <w:sz w:val="20"/>
          <w:szCs w:val="20"/>
          <w:lang w:eastAsia="en-US"/>
        </w:rPr>
        <w:t>340.868,06</w:t>
      </w:r>
      <w:r w:rsidRPr="00054A4A">
        <w:rPr>
          <w:rFonts w:ascii="Arial" w:eastAsia="Times New Roman" w:hAnsi="Arial" w:cs="Arial"/>
          <w:bCs/>
          <w:iCs/>
          <w:sz w:val="20"/>
          <w:szCs w:val="20"/>
          <w:lang w:eastAsia="en-US"/>
        </w:rPr>
        <w:t xml:space="preserve"> €, jedno jamstvo dano društvu u suvlasništvu Općine na temelju Zakona o gospodarenju otpadom u iznosu 366.546,25 €, potencijalne obveze po osnovi sudskih sporova u tijeku u iznosu </w:t>
      </w:r>
      <w:r w:rsidR="00054A4A" w:rsidRPr="00054A4A">
        <w:rPr>
          <w:rFonts w:ascii="Arial" w:eastAsia="Times New Roman" w:hAnsi="Arial" w:cs="Arial"/>
          <w:bCs/>
          <w:iCs/>
          <w:sz w:val="20"/>
          <w:szCs w:val="20"/>
          <w:lang w:eastAsia="en-US"/>
        </w:rPr>
        <w:t>154.091,18</w:t>
      </w:r>
      <w:r w:rsidRPr="00054A4A">
        <w:rPr>
          <w:rFonts w:ascii="Arial" w:eastAsia="Times New Roman" w:hAnsi="Arial" w:cs="Arial"/>
          <w:bCs/>
          <w:iCs/>
          <w:sz w:val="20"/>
          <w:szCs w:val="20"/>
          <w:lang w:eastAsia="en-US"/>
        </w:rPr>
        <w:t xml:space="preserve"> €, tuđa imovina dobivena na korištenje u iznosu </w:t>
      </w:r>
      <w:r w:rsidR="00054A4A" w:rsidRPr="00054A4A">
        <w:rPr>
          <w:rFonts w:ascii="Arial" w:eastAsia="Times New Roman" w:hAnsi="Arial" w:cs="Arial"/>
          <w:bCs/>
          <w:iCs/>
          <w:sz w:val="20"/>
          <w:szCs w:val="20"/>
          <w:lang w:eastAsia="en-US"/>
        </w:rPr>
        <w:t>229.948,60</w:t>
      </w:r>
      <w:r w:rsidRPr="00054A4A">
        <w:rPr>
          <w:rFonts w:ascii="Arial" w:eastAsia="Times New Roman" w:hAnsi="Arial" w:cs="Arial"/>
          <w:bCs/>
          <w:iCs/>
          <w:sz w:val="20"/>
          <w:szCs w:val="20"/>
          <w:lang w:eastAsia="en-US"/>
        </w:rPr>
        <w:t xml:space="preserve"> € (četiri ugovora), dani instrumenti osiguranja plaćanja (zadužnice i garancije) u iznosu </w:t>
      </w:r>
      <w:r w:rsidR="00054A4A" w:rsidRPr="00054A4A">
        <w:rPr>
          <w:rFonts w:ascii="Arial" w:eastAsia="Times New Roman" w:hAnsi="Arial" w:cs="Arial"/>
          <w:bCs/>
          <w:iCs/>
          <w:sz w:val="20"/>
          <w:szCs w:val="20"/>
          <w:lang w:eastAsia="en-US"/>
        </w:rPr>
        <w:t>539.008,57</w:t>
      </w:r>
      <w:r w:rsidRPr="00054A4A">
        <w:rPr>
          <w:rFonts w:ascii="Arial" w:eastAsia="Times New Roman" w:hAnsi="Arial" w:cs="Arial"/>
          <w:bCs/>
          <w:iCs/>
          <w:sz w:val="20"/>
          <w:szCs w:val="20"/>
          <w:lang w:eastAsia="en-US"/>
        </w:rPr>
        <w:t xml:space="preserve"> €, dane suglasnosti za zaduživanje u iznosu </w:t>
      </w:r>
      <w:r w:rsidR="00054A4A" w:rsidRPr="00054A4A">
        <w:rPr>
          <w:rFonts w:ascii="Arial" w:eastAsia="Times New Roman" w:hAnsi="Arial" w:cs="Arial"/>
          <w:bCs/>
          <w:iCs/>
          <w:sz w:val="20"/>
          <w:szCs w:val="20"/>
          <w:lang w:eastAsia="en-US"/>
        </w:rPr>
        <w:t>1.371.067,56</w:t>
      </w:r>
      <w:r w:rsidRPr="00054A4A">
        <w:rPr>
          <w:rFonts w:ascii="Arial" w:eastAsia="Times New Roman" w:hAnsi="Arial" w:cs="Arial"/>
          <w:bCs/>
          <w:iCs/>
          <w:sz w:val="20"/>
          <w:szCs w:val="20"/>
          <w:lang w:eastAsia="en-US"/>
        </w:rPr>
        <w:t xml:space="preserve"> € (nisu jamstva), primljeni instrumenti osiguranja plaćanja (zadužnice) u iznosu </w:t>
      </w:r>
      <w:r w:rsidR="00054A4A" w:rsidRPr="00054A4A">
        <w:rPr>
          <w:rFonts w:ascii="Arial" w:eastAsia="Times New Roman" w:hAnsi="Arial" w:cs="Arial"/>
          <w:bCs/>
          <w:iCs/>
          <w:sz w:val="20"/>
          <w:szCs w:val="20"/>
          <w:lang w:eastAsia="en-US"/>
        </w:rPr>
        <w:t>2.868.992,34</w:t>
      </w:r>
      <w:r w:rsidRPr="00054A4A">
        <w:rPr>
          <w:rFonts w:ascii="Arial" w:eastAsia="Times New Roman" w:hAnsi="Arial" w:cs="Arial"/>
          <w:bCs/>
          <w:iCs/>
          <w:sz w:val="20"/>
          <w:szCs w:val="20"/>
          <w:lang w:eastAsia="en-US"/>
        </w:rPr>
        <w:t xml:space="preserve"> €</w:t>
      </w:r>
      <w:r w:rsidR="00054A4A" w:rsidRPr="00054A4A">
        <w:rPr>
          <w:rFonts w:ascii="Arial" w:eastAsia="Times New Roman" w:hAnsi="Arial" w:cs="Arial"/>
          <w:bCs/>
          <w:iCs/>
          <w:sz w:val="20"/>
          <w:szCs w:val="20"/>
          <w:lang w:eastAsia="en-US"/>
        </w:rPr>
        <w:t xml:space="preserve">, te </w:t>
      </w:r>
      <w:r w:rsidR="00054A4A" w:rsidRPr="00054A4A">
        <w:rPr>
          <w:rFonts w:ascii="Arial" w:eastAsia="Times New Roman" w:hAnsi="Arial" w:cs="Arial"/>
          <w:iCs/>
          <w:sz w:val="20"/>
          <w:szCs w:val="20"/>
          <w:lang w:eastAsia="en-US"/>
        </w:rPr>
        <w:t xml:space="preserve">ostali izvanbilančni zapisi (potencijalne obveze iz poslovnih odnosa) u iznosu 271.416,94 €. </w:t>
      </w:r>
    </w:p>
    <w:p w14:paraId="02BE4F5D" w14:textId="0371BB55" w:rsidR="002643DD" w:rsidRPr="00054A4A" w:rsidRDefault="002643DD" w:rsidP="002643DD">
      <w:pPr>
        <w:spacing w:after="0" w:line="240" w:lineRule="auto"/>
        <w:jc w:val="both"/>
        <w:rPr>
          <w:rFonts w:ascii="Arial" w:eastAsia="Times New Roman" w:hAnsi="Arial" w:cs="Arial"/>
          <w:iCs/>
          <w:sz w:val="20"/>
          <w:szCs w:val="20"/>
          <w:lang w:eastAsia="en-US"/>
        </w:rPr>
      </w:pPr>
    </w:p>
    <w:p w14:paraId="05B1B32F" w14:textId="1B1BFF74" w:rsidR="008F6166" w:rsidRPr="00054A4A" w:rsidRDefault="008F6166" w:rsidP="00376963">
      <w:pPr>
        <w:spacing w:after="0" w:line="240" w:lineRule="auto"/>
        <w:jc w:val="both"/>
        <w:rPr>
          <w:rFonts w:ascii="Arial" w:eastAsia="Times New Roman" w:hAnsi="Arial" w:cs="Arial"/>
          <w:bCs/>
          <w:iCs/>
          <w:sz w:val="20"/>
          <w:szCs w:val="20"/>
          <w:lang w:eastAsia="en-US"/>
        </w:rPr>
      </w:pPr>
      <w:bookmarkStart w:id="473" w:name="_Hlk112766084"/>
      <w:r w:rsidRPr="00054A4A">
        <w:rPr>
          <w:rFonts w:ascii="Arial" w:eastAsia="Times New Roman" w:hAnsi="Arial" w:cs="Arial"/>
          <w:bCs/>
          <w:iCs/>
          <w:sz w:val="20"/>
          <w:szCs w:val="20"/>
          <w:lang w:eastAsia="en-US"/>
        </w:rPr>
        <w:t xml:space="preserve">Koncem </w:t>
      </w:r>
      <w:r w:rsidR="00054A4A" w:rsidRPr="00054A4A">
        <w:rPr>
          <w:rFonts w:ascii="Arial" w:eastAsia="Times New Roman" w:hAnsi="Arial" w:cs="Arial"/>
          <w:bCs/>
          <w:iCs/>
          <w:sz w:val="20"/>
          <w:szCs w:val="20"/>
          <w:lang w:eastAsia="en-US"/>
        </w:rPr>
        <w:t xml:space="preserve">lipnja </w:t>
      </w:r>
      <w:r w:rsidRPr="00054A4A">
        <w:rPr>
          <w:rFonts w:ascii="Arial" w:eastAsia="Times New Roman" w:hAnsi="Arial" w:cs="Arial"/>
          <w:bCs/>
          <w:iCs/>
          <w:sz w:val="20"/>
          <w:szCs w:val="20"/>
          <w:lang w:eastAsia="en-US"/>
        </w:rPr>
        <w:t>202</w:t>
      </w:r>
      <w:r w:rsidR="00054A4A" w:rsidRPr="00054A4A">
        <w:rPr>
          <w:rFonts w:ascii="Arial" w:eastAsia="Times New Roman" w:hAnsi="Arial" w:cs="Arial"/>
          <w:bCs/>
          <w:iCs/>
          <w:sz w:val="20"/>
          <w:szCs w:val="20"/>
          <w:lang w:eastAsia="en-US"/>
        </w:rPr>
        <w:t>5</w:t>
      </w:r>
      <w:r w:rsidRPr="00054A4A">
        <w:rPr>
          <w:rFonts w:ascii="Arial" w:eastAsia="Times New Roman" w:hAnsi="Arial" w:cs="Arial"/>
          <w:bCs/>
          <w:iCs/>
          <w:sz w:val="20"/>
          <w:szCs w:val="20"/>
          <w:lang w:eastAsia="en-US"/>
        </w:rPr>
        <w:t>. godine</w:t>
      </w:r>
      <w:r w:rsidR="00054A4A">
        <w:rPr>
          <w:rFonts w:ascii="Arial" w:eastAsia="Times New Roman" w:hAnsi="Arial" w:cs="Arial"/>
          <w:bCs/>
          <w:iCs/>
          <w:sz w:val="20"/>
          <w:szCs w:val="20"/>
          <w:lang w:eastAsia="en-US"/>
        </w:rPr>
        <w:t xml:space="preserve"> u okviru </w:t>
      </w:r>
      <w:r w:rsidRPr="00054A4A">
        <w:rPr>
          <w:rFonts w:ascii="Arial" w:eastAsia="Times New Roman" w:hAnsi="Arial" w:cs="Arial"/>
          <w:bCs/>
          <w:iCs/>
          <w:sz w:val="20"/>
          <w:szCs w:val="20"/>
          <w:lang w:eastAsia="en-US"/>
        </w:rPr>
        <w:t>izvanbilančni</w:t>
      </w:r>
      <w:r w:rsidR="00054A4A">
        <w:rPr>
          <w:rFonts w:ascii="Arial" w:eastAsia="Times New Roman" w:hAnsi="Arial" w:cs="Arial"/>
          <w:bCs/>
          <w:iCs/>
          <w:sz w:val="20"/>
          <w:szCs w:val="20"/>
          <w:lang w:eastAsia="en-US"/>
        </w:rPr>
        <w:t>h</w:t>
      </w:r>
      <w:r w:rsidRPr="00054A4A">
        <w:rPr>
          <w:rFonts w:ascii="Arial" w:eastAsia="Times New Roman" w:hAnsi="Arial" w:cs="Arial"/>
          <w:bCs/>
          <w:iCs/>
          <w:sz w:val="20"/>
          <w:szCs w:val="20"/>
          <w:lang w:eastAsia="en-US"/>
        </w:rPr>
        <w:t xml:space="preserve"> zapis</w:t>
      </w:r>
      <w:r w:rsidR="00054A4A">
        <w:rPr>
          <w:rFonts w:ascii="Arial" w:eastAsia="Times New Roman" w:hAnsi="Arial" w:cs="Arial"/>
          <w:bCs/>
          <w:iCs/>
          <w:sz w:val="20"/>
          <w:szCs w:val="20"/>
          <w:lang w:eastAsia="en-US"/>
        </w:rPr>
        <w:t>a</w:t>
      </w:r>
      <w:r w:rsidRPr="00054A4A">
        <w:rPr>
          <w:rFonts w:ascii="Arial" w:eastAsia="Times New Roman" w:hAnsi="Arial" w:cs="Arial"/>
          <w:bCs/>
          <w:iCs/>
          <w:sz w:val="20"/>
          <w:szCs w:val="20"/>
          <w:lang w:eastAsia="en-US"/>
        </w:rPr>
        <w:t xml:space="preserve"> </w:t>
      </w:r>
      <w:r w:rsidR="00054A4A">
        <w:rPr>
          <w:rFonts w:ascii="Arial" w:eastAsia="Times New Roman" w:hAnsi="Arial" w:cs="Arial"/>
          <w:bCs/>
          <w:iCs/>
          <w:sz w:val="20"/>
          <w:szCs w:val="20"/>
          <w:lang w:eastAsia="en-US"/>
        </w:rPr>
        <w:t>e</w:t>
      </w:r>
      <w:r w:rsidRPr="00054A4A">
        <w:rPr>
          <w:rFonts w:ascii="Arial" w:eastAsia="Times New Roman" w:hAnsi="Arial" w:cs="Arial"/>
          <w:bCs/>
          <w:iCs/>
          <w:sz w:val="20"/>
          <w:szCs w:val="20"/>
          <w:lang w:eastAsia="en-US"/>
        </w:rPr>
        <w:t>videntirana su:</w:t>
      </w:r>
    </w:p>
    <w:p w14:paraId="0D33B49F" w14:textId="005DAE3F" w:rsidR="008F6166" w:rsidRPr="00054A4A" w:rsidRDefault="008F6166" w:rsidP="008F6166">
      <w:pPr>
        <w:spacing w:after="0" w:line="240" w:lineRule="auto"/>
        <w:jc w:val="both"/>
        <w:rPr>
          <w:rFonts w:ascii="Arial" w:eastAsia="Times New Roman" w:hAnsi="Arial" w:cs="Arial"/>
          <w:bCs/>
          <w:iCs/>
          <w:sz w:val="20"/>
          <w:szCs w:val="20"/>
          <w:lang w:eastAsia="en-US"/>
        </w:rPr>
      </w:pPr>
      <w:r w:rsidRPr="00054A4A">
        <w:rPr>
          <w:rFonts w:ascii="Arial" w:eastAsia="Times New Roman" w:hAnsi="Arial" w:cs="Arial"/>
          <w:b/>
          <w:bCs/>
          <w:iCs/>
          <w:sz w:val="20"/>
          <w:szCs w:val="20"/>
          <w:u w:val="single"/>
          <w:lang w:eastAsia="en-US"/>
        </w:rPr>
        <w:t>-</w:t>
      </w:r>
      <w:r w:rsidRPr="00054A4A">
        <w:rPr>
          <w:rFonts w:ascii="Arial" w:eastAsia="Times New Roman" w:hAnsi="Arial" w:cs="Arial"/>
          <w:b/>
          <w:bCs/>
          <w:iCs/>
          <w:sz w:val="20"/>
          <w:szCs w:val="20"/>
          <w:u w:val="single"/>
          <w:lang w:eastAsia="en-US"/>
        </w:rPr>
        <w:tab/>
        <w:t>dana jamstva</w:t>
      </w:r>
      <w:r w:rsidR="007127A6" w:rsidRPr="00054A4A">
        <w:rPr>
          <w:rFonts w:ascii="Arial" w:eastAsia="Times New Roman" w:hAnsi="Arial" w:cs="Arial"/>
          <w:b/>
          <w:bCs/>
          <w:iCs/>
          <w:sz w:val="20"/>
          <w:szCs w:val="20"/>
          <w:u w:val="single"/>
          <w:lang w:eastAsia="en-US"/>
        </w:rPr>
        <w:t xml:space="preserve"> za zaduživanje</w:t>
      </w:r>
      <w:r w:rsidRPr="00054A4A">
        <w:rPr>
          <w:rFonts w:ascii="Arial" w:eastAsia="Times New Roman" w:hAnsi="Arial" w:cs="Arial"/>
          <w:bCs/>
          <w:iCs/>
          <w:sz w:val="20"/>
          <w:szCs w:val="20"/>
          <w:lang w:eastAsia="en-US"/>
        </w:rPr>
        <w:t xml:space="preserve"> (društvu u vlasništvu Općine) u iznosu </w:t>
      </w:r>
      <w:r w:rsidR="002643DD" w:rsidRPr="00054A4A">
        <w:rPr>
          <w:rFonts w:ascii="Arial" w:eastAsia="Times New Roman" w:hAnsi="Arial" w:cs="Arial"/>
          <w:bCs/>
          <w:iCs/>
          <w:sz w:val="20"/>
          <w:szCs w:val="20"/>
          <w:lang w:eastAsia="en-US"/>
        </w:rPr>
        <w:t>340.868,06</w:t>
      </w:r>
      <w:r w:rsidR="00F1169D" w:rsidRPr="00054A4A">
        <w:rPr>
          <w:rFonts w:ascii="Arial" w:eastAsia="Times New Roman" w:hAnsi="Arial" w:cs="Arial"/>
          <w:bCs/>
          <w:iCs/>
          <w:sz w:val="20"/>
          <w:szCs w:val="20"/>
          <w:lang w:eastAsia="en-US"/>
        </w:rPr>
        <w:t xml:space="preserve"> €</w:t>
      </w:r>
      <w:r w:rsidRPr="00054A4A">
        <w:rPr>
          <w:rFonts w:ascii="Arial" w:eastAsia="Times New Roman" w:hAnsi="Arial" w:cs="Arial"/>
          <w:bCs/>
          <w:iCs/>
          <w:sz w:val="20"/>
          <w:szCs w:val="20"/>
          <w:lang w:eastAsia="en-US"/>
        </w:rPr>
        <w:t xml:space="preserve">: kredit za financiranje izgradnje vodovodnog i kanalizacijskog sustava iz 2014. godine (Erste&amp;Steiermärkische Bank d.d. Rijeka). </w:t>
      </w:r>
    </w:p>
    <w:p w14:paraId="759AD9FB" w14:textId="7E1AB8AD" w:rsidR="007127A6" w:rsidRPr="00054A4A" w:rsidRDefault="007127A6" w:rsidP="007127A6">
      <w:pPr>
        <w:spacing w:after="0" w:line="240" w:lineRule="auto"/>
        <w:jc w:val="both"/>
        <w:rPr>
          <w:rFonts w:ascii="Arial" w:eastAsia="Times New Roman" w:hAnsi="Arial" w:cs="Arial"/>
          <w:bCs/>
          <w:iCs/>
          <w:sz w:val="20"/>
          <w:szCs w:val="20"/>
          <w:lang w:eastAsia="en-US"/>
        </w:rPr>
      </w:pPr>
      <w:r w:rsidRPr="00054A4A">
        <w:rPr>
          <w:rFonts w:ascii="Arial" w:eastAsia="Times New Roman" w:hAnsi="Arial" w:cs="Arial"/>
          <w:b/>
          <w:bCs/>
          <w:iCs/>
          <w:sz w:val="20"/>
          <w:szCs w:val="20"/>
          <w:u w:val="single"/>
          <w:lang w:eastAsia="en-US"/>
        </w:rPr>
        <w:t>-</w:t>
      </w:r>
      <w:r w:rsidRPr="00054A4A">
        <w:rPr>
          <w:rFonts w:ascii="Arial" w:eastAsia="Times New Roman" w:hAnsi="Arial" w:cs="Arial"/>
          <w:b/>
          <w:bCs/>
          <w:iCs/>
          <w:sz w:val="20"/>
          <w:szCs w:val="20"/>
          <w:u w:val="single"/>
          <w:lang w:eastAsia="en-US"/>
        </w:rPr>
        <w:tab/>
        <w:t>dano financijsko jamstvo</w:t>
      </w:r>
      <w:r w:rsidRPr="00054A4A">
        <w:rPr>
          <w:rFonts w:ascii="Arial" w:eastAsia="Times New Roman" w:hAnsi="Arial" w:cs="Arial"/>
          <w:bCs/>
          <w:iCs/>
          <w:sz w:val="20"/>
          <w:szCs w:val="20"/>
          <w:lang w:eastAsia="en-US"/>
        </w:rPr>
        <w:t xml:space="preserve"> društvu u suvlasništvu Općine ) </w:t>
      </w:r>
      <w:r w:rsidRPr="00054A4A">
        <w:rPr>
          <w:rFonts w:ascii="Arial" w:hAnsi="Arial" w:cs="Arial"/>
          <w:bCs/>
          <w:iCs/>
          <w:sz w:val="20"/>
          <w:szCs w:val="20"/>
        </w:rPr>
        <w:t xml:space="preserve">na temelju Zakona o gospodarenju otpadom </w:t>
      </w:r>
      <w:r w:rsidRPr="00054A4A">
        <w:rPr>
          <w:rFonts w:ascii="Arial" w:eastAsia="Times New Roman" w:hAnsi="Arial" w:cs="Arial"/>
          <w:bCs/>
          <w:iCs/>
          <w:sz w:val="20"/>
          <w:szCs w:val="20"/>
          <w:lang w:eastAsia="en-US"/>
        </w:rPr>
        <w:t xml:space="preserve">u iznosu </w:t>
      </w:r>
      <w:r w:rsidRPr="00054A4A">
        <w:rPr>
          <w:rFonts w:ascii="Arial" w:hAnsi="Arial" w:cs="Arial"/>
          <w:bCs/>
          <w:iCs/>
          <w:sz w:val="20"/>
          <w:szCs w:val="20"/>
        </w:rPr>
        <w:t>366.546,25 € (ne ulazi u stupanj zaduženosti Općine)</w:t>
      </w:r>
      <w:r w:rsidRPr="00054A4A">
        <w:rPr>
          <w:rFonts w:ascii="Arial" w:eastAsia="Times New Roman" w:hAnsi="Arial" w:cs="Arial"/>
          <w:bCs/>
          <w:iCs/>
          <w:sz w:val="20"/>
          <w:szCs w:val="20"/>
          <w:lang w:eastAsia="en-US"/>
        </w:rPr>
        <w:t xml:space="preserve">. </w:t>
      </w:r>
    </w:p>
    <w:p w14:paraId="13A4E120" w14:textId="7919D0EB" w:rsidR="008F6166" w:rsidRPr="00054A4A" w:rsidRDefault="008F6166" w:rsidP="008F6166">
      <w:pPr>
        <w:spacing w:after="0" w:line="240" w:lineRule="auto"/>
        <w:jc w:val="both"/>
        <w:rPr>
          <w:rFonts w:ascii="Arial" w:eastAsia="Times New Roman" w:hAnsi="Arial" w:cs="Arial"/>
          <w:bCs/>
          <w:iCs/>
          <w:sz w:val="20"/>
          <w:szCs w:val="20"/>
          <w:lang w:eastAsia="en-US"/>
        </w:rPr>
      </w:pPr>
      <w:r w:rsidRPr="00054A4A">
        <w:rPr>
          <w:rFonts w:ascii="Arial" w:eastAsia="Times New Roman" w:hAnsi="Arial" w:cs="Arial"/>
          <w:b/>
          <w:bCs/>
          <w:iCs/>
          <w:sz w:val="20"/>
          <w:szCs w:val="20"/>
          <w:u w:val="single"/>
          <w:lang w:eastAsia="en-US"/>
        </w:rPr>
        <w:t>-</w:t>
      </w:r>
      <w:r w:rsidRPr="00054A4A">
        <w:rPr>
          <w:rFonts w:ascii="Arial" w:eastAsia="Times New Roman" w:hAnsi="Arial" w:cs="Arial"/>
          <w:b/>
          <w:bCs/>
          <w:iCs/>
          <w:sz w:val="20"/>
          <w:szCs w:val="20"/>
          <w:u w:val="single"/>
          <w:lang w:eastAsia="en-US"/>
        </w:rPr>
        <w:tab/>
        <w:t xml:space="preserve">tuđa imovina dobivena na korištenje </w:t>
      </w:r>
      <w:r w:rsidRPr="00054A4A">
        <w:rPr>
          <w:rFonts w:ascii="Arial" w:eastAsia="Times New Roman" w:hAnsi="Arial" w:cs="Arial"/>
          <w:bCs/>
          <w:iCs/>
          <w:sz w:val="20"/>
          <w:szCs w:val="20"/>
          <w:lang w:eastAsia="en-US"/>
        </w:rPr>
        <w:t xml:space="preserve">u iznosu </w:t>
      </w:r>
      <w:r w:rsidR="002643DD" w:rsidRPr="00054A4A">
        <w:rPr>
          <w:rFonts w:ascii="Arial" w:eastAsia="Times New Roman" w:hAnsi="Arial" w:cs="Arial"/>
          <w:bCs/>
          <w:iCs/>
          <w:sz w:val="20"/>
          <w:szCs w:val="20"/>
          <w:lang w:eastAsia="en-US"/>
        </w:rPr>
        <w:t>229.948,60</w:t>
      </w:r>
      <w:r w:rsidR="00F1169D" w:rsidRPr="00054A4A">
        <w:rPr>
          <w:rFonts w:ascii="Arial" w:eastAsia="Times New Roman" w:hAnsi="Arial" w:cs="Arial"/>
          <w:bCs/>
          <w:iCs/>
          <w:sz w:val="20"/>
          <w:szCs w:val="20"/>
          <w:lang w:eastAsia="en-US"/>
        </w:rPr>
        <w:t xml:space="preserve"> €</w:t>
      </w:r>
      <w:r w:rsidR="00376963" w:rsidRPr="00054A4A">
        <w:rPr>
          <w:rFonts w:ascii="Arial" w:eastAsia="Times New Roman" w:hAnsi="Arial" w:cs="Arial"/>
          <w:bCs/>
          <w:iCs/>
          <w:sz w:val="20"/>
          <w:szCs w:val="20"/>
          <w:lang w:eastAsia="en-US"/>
        </w:rPr>
        <w:t xml:space="preserve"> </w:t>
      </w:r>
      <w:r w:rsidRPr="00054A4A">
        <w:rPr>
          <w:rFonts w:ascii="Arial" w:eastAsia="Times New Roman" w:hAnsi="Arial" w:cs="Arial"/>
          <w:bCs/>
          <w:iCs/>
          <w:sz w:val="20"/>
          <w:szCs w:val="20"/>
          <w:lang w:eastAsia="en-US"/>
        </w:rPr>
        <w:t>(</w:t>
      </w:r>
      <w:r w:rsidR="00376963" w:rsidRPr="00054A4A">
        <w:rPr>
          <w:rFonts w:ascii="Arial" w:eastAsia="Times New Roman" w:hAnsi="Arial" w:cs="Arial"/>
          <w:bCs/>
          <w:iCs/>
          <w:sz w:val="20"/>
          <w:szCs w:val="20"/>
          <w:lang w:eastAsia="en-US"/>
        </w:rPr>
        <w:t>četiri</w:t>
      </w:r>
      <w:r w:rsidRPr="00054A4A">
        <w:rPr>
          <w:rFonts w:ascii="Arial" w:eastAsia="Times New Roman" w:hAnsi="Arial" w:cs="Arial"/>
          <w:bCs/>
          <w:iCs/>
          <w:sz w:val="20"/>
          <w:szCs w:val="20"/>
          <w:lang w:eastAsia="en-US"/>
        </w:rPr>
        <w:t xml:space="preserve"> ugovora):</w:t>
      </w:r>
    </w:p>
    <w:p w14:paraId="375D464B" w14:textId="5C7E66C3" w:rsidR="008F6166" w:rsidRPr="00054A4A" w:rsidRDefault="008F6166">
      <w:pPr>
        <w:numPr>
          <w:ilvl w:val="0"/>
          <w:numId w:val="3"/>
        </w:numPr>
        <w:spacing w:after="0" w:line="240" w:lineRule="auto"/>
        <w:jc w:val="both"/>
        <w:rPr>
          <w:rFonts w:ascii="Arial" w:eastAsia="Times New Roman" w:hAnsi="Arial" w:cs="Arial"/>
          <w:bCs/>
          <w:iCs/>
          <w:sz w:val="20"/>
          <w:szCs w:val="20"/>
          <w:lang w:eastAsia="en-US"/>
        </w:rPr>
      </w:pPr>
      <w:r w:rsidRPr="00054A4A">
        <w:rPr>
          <w:rFonts w:ascii="Arial" w:eastAsia="Times New Roman" w:hAnsi="Arial" w:cs="Arial"/>
          <w:bCs/>
          <w:iCs/>
          <w:sz w:val="20"/>
          <w:szCs w:val="20"/>
          <w:lang w:eastAsia="en-US"/>
        </w:rPr>
        <w:t xml:space="preserve">imovina dobivena od Ministarstva gospodarstva, poduzetništva i obrta u iznosu </w:t>
      </w:r>
      <w:r w:rsidR="00F1169D" w:rsidRPr="00054A4A">
        <w:rPr>
          <w:rFonts w:ascii="Arial" w:eastAsia="Times New Roman" w:hAnsi="Arial" w:cs="Arial"/>
          <w:bCs/>
          <w:iCs/>
          <w:sz w:val="20"/>
          <w:szCs w:val="20"/>
          <w:lang w:eastAsia="en-US"/>
        </w:rPr>
        <w:t>20.120,68 €</w:t>
      </w:r>
      <w:r w:rsidRPr="00054A4A">
        <w:rPr>
          <w:rFonts w:ascii="Arial" w:eastAsia="Times New Roman" w:hAnsi="Arial" w:cs="Arial"/>
          <w:bCs/>
          <w:iCs/>
          <w:sz w:val="20"/>
          <w:szCs w:val="20"/>
          <w:lang w:eastAsia="en-US"/>
        </w:rPr>
        <w:t xml:space="preserve"> na temelju Ugovora,</w:t>
      </w:r>
    </w:p>
    <w:p w14:paraId="105E7188" w14:textId="0B433EE3" w:rsidR="008F6166" w:rsidRPr="00054A4A" w:rsidRDefault="008F6166">
      <w:pPr>
        <w:numPr>
          <w:ilvl w:val="0"/>
          <w:numId w:val="3"/>
        </w:numPr>
        <w:spacing w:after="0" w:line="240" w:lineRule="auto"/>
        <w:jc w:val="both"/>
        <w:rPr>
          <w:rFonts w:ascii="Arial" w:eastAsia="Times New Roman" w:hAnsi="Arial" w:cs="Arial"/>
          <w:bCs/>
          <w:iCs/>
          <w:sz w:val="20"/>
          <w:szCs w:val="20"/>
          <w:lang w:eastAsia="en-US"/>
        </w:rPr>
      </w:pPr>
      <w:r w:rsidRPr="00054A4A">
        <w:rPr>
          <w:rFonts w:ascii="Arial" w:eastAsia="Times New Roman" w:hAnsi="Arial" w:cs="Arial"/>
          <w:bCs/>
          <w:iCs/>
          <w:sz w:val="20"/>
          <w:szCs w:val="20"/>
          <w:lang w:eastAsia="en-US"/>
        </w:rPr>
        <w:t xml:space="preserve">imovina dobivena od Ministarstva državne imovine u iznosu 1,00 kn (imovina iskazana u vrijednosti </w:t>
      </w:r>
      <w:r w:rsidR="00F1169D" w:rsidRPr="00054A4A">
        <w:rPr>
          <w:rFonts w:ascii="Arial" w:eastAsia="Times New Roman" w:hAnsi="Arial" w:cs="Arial"/>
          <w:bCs/>
          <w:iCs/>
          <w:sz w:val="20"/>
          <w:szCs w:val="20"/>
          <w:lang w:eastAsia="en-US"/>
        </w:rPr>
        <w:t>0,13 €</w:t>
      </w:r>
      <w:r w:rsidRPr="00054A4A">
        <w:rPr>
          <w:rFonts w:ascii="Arial" w:eastAsia="Times New Roman" w:hAnsi="Arial" w:cs="Arial"/>
          <w:bCs/>
          <w:iCs/>
          <w:sz w:val="20"/>
          <w:szCs w:val="20"/>
          <w:lang w:eastAsia="en-US"/>
        </w:rPr>
        <w:t xml:space="preserve"> za potrebe (Tvrđava na Prevlaci s okolnim zemljištem,</w:t>
      </w:r>
      <w:r w:rsidRPr="00054A4A">
        <w:rPr>
          <w:rFonts w:ascii="Times New Roman" w:eastAsia="Times New Roman" w:hAnsi="Times New Roman" w:cs="Times New Roman"/>
          <w:szCs w:val="18"/>
          <w:lang w:eastAsia="en-US"/>
        </w:rPr>
        <w:t xml:space="preserve"> </w:t>
      </w:r>
      <w:r w:rsidRPr="00054A4A">
        <w:rPr>
          <w:rFonts w:ascii="Arial" w:eastAsia="Times New Roman" w:hAnsi="Arial" w:cs="Arial"/>
          <w:bCs/>
          <w:iCs/>
          <w:sz w:val="20"/>
          <w:szCs w:val="20"/>
          <w:lang w:eastAsia="en-US"/>
        </w:rPr>
        <w:t>k.o. Vitaljina imovina dodijeljena na korištenje korisniku nekretnina bez naknade, za vrijeme dok postoji potreba za smještajem muzeja i akvarija, odnosno u svrhu obnove i smještaja muzeja, u kojem će se izložiti zbirka austro-ugarskih vojno-pomorskih memorabilija i akvarija,</w:t>
      </w:r>
    </w:p>
    <w:p w14:paraId="1236306C" w14:textId="088B63A3" w:rsidR="008F6166" w:rsidRPr="00054A4A" w:rsidRDefault="008F6166">
      <w:pPr>
        <w:numPr>
          <w:ilvl w:val="0"/>
          <w:numId w:val="3"/>
        </w:numPr>
        <w:spacing w:after="0" w:line="240" w:lineRule="auto"/>
        <w:jc w:val="both"/>
        <w:rPr>
          <w:rFonts w:ascii="Arial" w:eastAsia="Times New Roman" w:hAnsi="Arial" w:cs="Arial"/>
          <w:bCs/>
          <w:iCs/>
          <w:sz w:val="20"/>
          <w:szCs w:val="20"/>
          <w:lang w:eastAsia="en-US"/>
        </w:rPr>
      </w:pPr>
      <w:r w:rsidRPr="00054A4A">
        <w:rPr>
          <w:rFonts w:ascii="Arial" w:eastAsia="Times New Roman" w:hAnsi="Arial" w:cs="Arial"/>
          <w:bCs/>
          <w:iCs/>
          <w:sz w:val="20"/>
          <w:szCs w:val="20"/>
          <w:lang w:eastAsia="en-US"/>
        </w:rPr>
        <w:t xml:space="preserve">imovina dobivena od Ministarstva gospodarstva, poduzetništva i obrta u iznosu </w:t>
      </w:r>
      <w:r w:rsidR="00F1169D" w:rsidRPr="00054A4A">
        <w:rPr>
          <w:rFonts w:ascii="Arial" w:eastAsia="Times New Roman" w:hAnsi="Arial" w:cs="Arial"/>
          <w:bCs/>
          <w:iCs/>
          <w:sz w:val="20"/>
          <w:szCs w:val="20"/>
          <w:lang w:eastAsia="en-US"/>
        </w:rPr>
        <w:t>198.562,95 €</w:t>
      </w:r>
      <w:r w:rsidRPr="00054A4A">
        <w:rPr>
          <w:rFonts w:ascii="Arial" w:eastAsia="Times New Roman" w:hAnsi="Arial" w:cs="Arial"/>
          <w:bCs/>
          <w:iCs/>
          <w:sz w:val="20"/>
          <w:szCs w:val="20"/>
          <w:lang w:eastAsia="en-US"/>
        </w:rPr>
        <w:t xml:space="preserve"> na temelju Ugovora o smještaju, čuvanju i održavanju opreme robnih zaliha (vatrogasna cisterna);</w:t>
      </w:r>
    </w:p>
    <w:p w14:paraId="7497355D" w14:textId="2B1FE8E5" w:rsidR="00376963" w:rsidRPr="00054A4A" w:rsidRDefault="00376963">
      <w:pPr>
        <w:numPr>
          <w:ilvl w:val="0"/>
          <w:numId w:val="3"/>
        </w:numPr>
        <w:spacing w:after="0" w:line="240" w:lineRule="auto"/>
        <w:jc w:val="both"/>
        <w:rPr>
          <w:rFonts w:ascii="Arial" w:eastAsia="Times New Roman" w:hAnsi="Arial" w:cs="Arial"/>
          <w:bCs/>
          <w:iCs/>
          <w:sz w:val="20"/>
          <w:szCs w:val="20"/>
          <w:lang w:eastAsia="en-US"/>
        </w:rPr>
      </w:pPr>
      <w:r w:rsidRPr="00054A4A">
        <w:rPr>
          <w:rFonts w:ascii="Arial" w:eastAsia="Times New Roman" w:hAnsi="Arial" w:cs="Arial"/>
          <w:bCs/>
          <w:iCs/>
          <w:sz w:val="20"/>
          <w:szCs w:val="20"/>
          <w:lang w:eastAsia="en-US"/>
        </w:rPr>
        <w:t xml:space="preserve">imovina dobivena od Dubrovačko-neretvanske županije (akvalifter za invalide) – imovina iskazana u vrijednosti </w:t>
      </w:r>
      <w:r w:rsidR="002643DD" w:rsidRPr="00054A4A">
        <w:rPr>
          <w:rFonts w:ascii="Arial" w:eastAsia="Times New Roman" w:hAnsi="Arial" w:cs="Arial"/>
          <w:bCs/>
          <w:iCs/>
          <w:sz w:val="20"/>
          <w:szCs w:val="20"/>
          <w:lang w:eastAsia="en-US"/>
        </w:rPr>
        <w:t>11.264,85</w:t>
      </w:r>
      <w:r w:rsidR="00F1169D" w:rsidRPr="00054A4A">
        <w:rPr>
          <w:rFonts w:ascii="Arial" w:eastAsia="Times New Roman" w:hAnsi="Arial" w:cs="Arial"/>
          <w:bCs/>
          <w:iCs/>
          <w:sz w:val="20"/>
          <w:szCs w:val="20"/>
          <w:lang w:eastAsia="en-US"/>
        </w:rPr>
        <w:t xml:space="preserve"> €</w:t>
      </w:r>
      <w:r w:rsidRPr="00054A4A">
        <w:rPr>
          <w:rFonts w:ascii="Arial" w:eastAsia="Times New Roman" w:hAnsi="Arial" w:cs="Arial"/>
          <w:bCs/>
          <w:iCs/>
          <w:sz w:val="20"/>
          <w:szCs w:val="20"/>
          <w:lang w:eastAsia="en-US"/>
        </w:rPr>
        <w:t>.</w:t>
      </w:r>
    </w:p>
    <w:p w14:paraId="43EC53AF" w14:textId="2AC67A83" w:rsidR="008F6166" w:rsidRPr="00054A4A" w:rsidRDefault="008F6166" w:rsidP="008F6166">
      <w:pPr>
        <w:spacing w:after="0" w:line="240" w:lineRule="auto"/>
        <w:jc w:val="both"/>
        <w:rPr>
          <w:rFonts w:ascii="Arial" w:eastAsia="Times New Roman" w:hAnsi="Arial" w:cs="Arial"/>
          <w:bCs/>
          <w:iCs/>
          <w:sz w:val="20"/>
          <w:szCs w:val="20"/>
          <w:lang w:eastAsia="en-US"/>
        </w:rPr>
      </w:pPr>
      <w:r w:rsidRPr="00054A4A">
        <w:rPr>
          <w:rFonts w:ascii="Arial" w:eastAsia="Times New Roman" w:hAnsi="Arial" w:cs="Arial"/>
          <w:b/>
          <w:bCs/>
          <w:iCs/>
          <w:sz w:val="20"/>
          <w:szCs w:val="20"/>
          <w:u w:val="single"/>
          <w:lang w:eastAsia="en-US"/>
        </w:rPr>
        <w:t>-</w:t>
      </w:r>
      <w:r w:rsidRPr="00054A4A">
        <w:rPr>
          <w:rFonts w:ascii="Arial" w:eastAsia="Times New Roman" w:hAnsi="Arial" w:cs="Arial"/>
          <w:b/>
          <w:bCs/>
          <w:iCs/>
          <w:sz w:val="20"/>
          <w:szCs w:val="20"/>
          <w:u w:val="single"/>
          <w:lang w:eastAsia="en-US"/>
        </w:rPr>
        <w:tab/>
        <w:t xml:space="preserve">dani instrumenti osiguranja plaćanja </w:t>
      </w:r>
      <w:r w:rsidRPr="00054A4A">
        <w:rPr>
          <w:rFonts w:ascii="Arial" w:eastAsia="Times New Roman" w:hAnsi="Arial" w:cs="Arial"/>
          <w:bCs/>
          <w:iCs/>
          <w:sz w:val="20"/>
          <w:szCs w:val="20"/>
          <w:lang w:eastAsia="en-US"/>
        </w:rPr>
        <w:t>(zadužnice</w:t>
      </w:r>
      <w:r w:rsidR="000E3305" w:rsidRPr="00054A4A">
        <w:rPr>
          <w:rFonts w:ascii="Arial" w:eastAsia="Times New Roman" w:hAnsi="Arial" w:cs="Arial"/>
          <w:bCs/>
          <w:iCs/>
          <w:sz w:val="20"/>
          <w:szCs w:val="20"/>
          <w:lang w:eastAsia="en-US"/>
        </w:rPr>
        <w:t xml:space="preserve"> i garancije</w:t>
      </w:r>
      <w:r w:rsidRPr="00054A4A">
        <w:rPr>
          <w:rFonts w:ascii="Arial" w:eastAsia="Times New Roman" w:hAnsi="Arial" w:cs="Arial"/>
          <w:bCs/>
          <w:iCs/>
          <w:sz w:val="20"/>
          <w:szCs w:val="20"/>
          <w:lang w:eastAsia="en-US"/>
        </w:rPr>
        <w:t xml:space="preserve">) u iznosu </w:t>
      </w:r>
      <w:r w:rsidR="00054A4A" w:rsidRPr="00054A4A">
        <w:rPr>
          <w:rFonts w:ascii="Arial" w:eastAsia="Times New Roman" w:hAnsi="Arial" w:cs="Arial"/>
          <w:bCs/>
          <w:iCs/>
          <w:sz w:val="20"/>
          <w:szCs w:val="20"/>
          <w:lang w:eastAsia="en-US"/>
        </w:rPr>
        <w:t>670.008,57</w:t>
      </w:r>
      <w:r w:rsidR="00F1169D" w:rsidRPr="00054A4A">
        <w:rPr>
          <w:rFonts w:ascii="Arial" w:eastAsia="Times New Roman" w:hAnsi="Arial" w:cs="Arial"/>
          <w:bCs/>
          <w:iCs/>
          <w:sz w:val="20"/>
          <w:szCs w:val="20"/>
          <w:lang w:eastAsia="en-US"/>
        </w:rPr>
        <w:t xml:space="preserve"> €</w:t>
      </w:r>
      <w:r w:rsidRPr="00054A4A">
        <w:rPr>
          <w:rFonts w:ascii="Arial" w:eastAsia="Times New Roman" w:hAnsi="Arial" w:cs="Arial"/>
          <w:bCs/>
          <w:iCs/>
          <w:sz w:val="20"/>
          <w:szCs w:val="20"/>
          <w:lang w:eastAsia="en-US"/>
        </w:rPr>
        <w:t>,</w:t>
      </w:r>
    </w:p>
    <w:p w14:paraId="5C53401B" w14:textId="1354EC7C" w:rsidR="008F6166" w:rsidRPr="00054A4A" w:rsidRDefault="008F6166" w:rsidP="008F6166">
      <w:pPr>
        <w:spacing w:after="0" w:line="240" w:lineRule="auto"/>
        <w:jc w:val="both"/>
        <w:rPr>
          <w:rFonts w:ascii="Arial" w:eastAsia="Times New Roman" w:hAnsi="Arial" w:cs="Arial"/>
          <w:bCs/>
          <w:iCs/>
          <w:sz w:val="20"/>
          <w:szCs w:val="20"/>
          <w:lang w:eastAsia="en-US"/>
        </w:rPr>
      </w:pPr>
      <w:r w:rsidRPr="00054A4A">
        <w:rPr>
          <w:rFonts w:ascii="Arial" w:eastAsia="Times New Roman" w:hAnsi="Arial" w:cs="Arial"/>
          <w:b/>
          <w:bCs/>
          <w:iCs/>
          <w:sz w:val="20"/>
          <w:szCs w:val="20"/>
          <w:u w:val="single"/>
          <w:lang w:eastAsia="en-US"/>
        </w:rPr>
        <w:t>-</w:t>
      </w:r>
      <w:r w:rsidRPr="00054A4A">
        <w:rPr>
          <w:rFonts w:ascii="Arial" w:eastAsia="Times New Roman" w:hAnsi="Arial" w:cs="Arial"/>
          <w:b/>
          <w:bCs/>
          <w:iCs/>
          <w:sz w:val="20"/>
          <w:szCs w:val="20"/>
          <w:u w:val="single"/>
          <w:lang w:eastAsia="en-US"/>
        </w:rPr>
        <w:tab/>
        <w:t xml:space="preserve">primljeni instrumenti osiguranja plaćanja </w:t>
      </w:r>
      <w:r w:rsidRPr="00054A4A">
        <w:rPr>
          <w:rFonts w:ascii="Arial" w:eastAsia="Times New Roman" w:hAnsi="Arial" w:cs="Arial"/>
          <w:bCs/>
          <w:iCs/>
          <w:sz w:val="20"/>
          <w:szCs w:val="20"/>
          <w:lang w:eastAsia="en-US"/>
        </w:rPr>
        <w:t xml:space="preserve">(zadužnice) u iznosu </w:t>
      </w:r>
      <w:r w:rsidR="00054A4A" w:rsidRPr="00054A4A">
        <w:rPr>
          <w:rFonts w:ascii="Arial" w:eastAsia="Times New Roman" w:hAnsi="Arial" w:cs="Arial"/>
          <w:bCs/>
          <w:iCs/>
          <w:sz w:val="20"/>
          <w:szCs w:val="20"/>
          <w:lang w:eastAsia="en-US"/>
        </w:rPr>
        <w:t>1.382.373,31</w:t>
      </w:r>
      <w:r w:rsidR="00F1169D" w:rsidRPr="00054A4A">
        <w:rPr>
          <w:rFonts w:ascii="Arial" w:eastAsia="Times New Roman" w:hAnsi="Arial" w:cs="Arial"/>
          <w:bCs/>
          <w:iCs/>
          <w:sz w:val="20"/>
          <w:szCs w:val="20"/>
          <w:lang w:eastAsia="en-US"/>
        </w:rPr>
        <w:t xml:space="preserve"> €</w:t>
      </w:r>
      <w:r w:rsidRPr="00054A4A">
        <w:rPr>
          <w:rFonts w:ascii="Arial" w:eastAsia="Times New Roman" w:hAnsi="Arial" w:cs="Arial"/>
          <w:bCs/>
          <w:iCs/>
          <w:sz w:val="20"/>
          <w:szCs w:val="20"/>
          <w:lang w:eastAsia="en-US"/>
        </w:rPr>
        <w:t>,</w:t>
      </w:r>
    </w:p>
    <w:p w14:paraId="59951669" w14:textId="2DC124AA" w:rsidR="00054A4A" w:rsidRPr="00054A4A" w:rsidRDefault="00054A4A" w:rsidP="00054A4A">
      <w:pPr>
        <w:spacing w:after="0" w:line="240" w:lineRule="auto"/>
        <w:jc w:val="both"/>
        <w:rPr>
          <w:rFonts w:ascii="Arial" w:eastAsia="Times New Roman" w:hAnsi="Arial" w:cs="Arial"/>
          <w:bCs/>
          <w:iCs/>
          <w:sz w:val="20"/>
          <w:szCs w:val="20"/>
          <w:lang w:eastAsia="en-US"/>
        </w:rPr>
      </w:pPr>
      <w:r w:rsidRPr="00054A4A">
        <w:rPr>
          <w:rFonts w:ascii="Arial" w:eastAsia="Times New Roman" w:hAnsi="Arial" w:cs="Arial"/>
          <w:b/>
          <w:bCs/>
          <w:iCs/>
          <w:sz w:val="20"/>
          <w:szCs w:val="20"/>
          <w:u w:val="single"/>
          <w:lang w:eastAsia="en-US"/>
        </w:rPr>
        <w:t>-</w:t>
      </w:r>
      <w:r w:rsidRPr="00054A4A">
        <w:rPr>
          <w:rFonts w:ascii="Arial" w:eastAsia="Times New Roman" w:hAnsi="Arial" w:cs="Arial"/>
          <w:b/>
          <w:bCs/>
          <w:iCs/>
          <w:sz w:val="20"/>
          <w:szCs w:val="20"/>
          <w:u w:val="single"/>
          <w:lang w:eastAsia="en-US"/>
        </w:rPr>
        <w:tab/>
        <w:t xml:space="preserve">primljeni instrumenti osiguranja plaćanja </w:t>
      </w:r>
      <w:r w:rsidRPr="00054A4A">
        <w:rPr>
          <w:rFonts w:ascii="Arial" w:eastAsia="Times New Roman" w:hAnsi="Arial" w:cs="Arial"/>
          <w:bCs/>
          <w:iCs/>
          <w:sz w:val="20"/>
          <w:szCs w:val="20"/>
          <w:lang w:eastAsia="en-US"/>
        </w:rPr>
        <w:t>(garancije) u iznosu 1.622.316,32 €,</w:t>
      </w:r>
    </w:p>
    <w:p w14:paraId="00CF3C5B" w14:textId="119F1086" w:rsidR="008F6166" w:rsidRPr="00054A4A" w:rsidRDefault="008F6166" w:rsidP="008F6166">
      <w:pPr>
        <w:spacing w:after="0" w:line="240" w:lineRule="auto"/>
        <w:jc w:val="both"/>
        <w:rPr>
          <w:rFonts w:ascii="Arial" w:eastAsia="Times New Roman" w:hAnsi="Arial" w:cs="Arial"/>
          <w:bCs/>
          <w:iCs/>
          <w:sz w:val="20"/>
          <w:szCs w:val="20"/>
          <w:lang w:eastAsia="en-US"/>
        </w:rPr>
      </w:pPr>
      <w:r w:rsidRPr="00054A4A">
        <w:rPr>
          <w:rFonts w:ascii="Arial" w:eastAsia="Times New Roman" w:hAnsi="Arial" w:cs="Arial"/>
          <w:b/>
          <w:bCs/>
          <w:iCs/>
          <w:sz w:val="20"/>
          <w:szCs w:val="20"/>
          <w:u w:val="single"/>
          <w:lang w:eastAsia="en-US"/>
        </w:rPr>
        <w:t>-</w:t>
      </w:r>
      <w:r w:rsidRPr="00054A4A">
        <w:rPr>
          <w:rFonts w:ascii="Arial" w:eastAsia="Times New Roman" w:hAnsi="Arial" w:cs="Arial"/>
          <w:b/>
          <w:bCs/>
          <w:iCs/>
          <w:sz w:val="20"/>
          <w:szCs w:val="20"/>
          <w:u w:val="single"/>
          <w:lang w:eastAsia="en-US"/>
        </w:rPr>
        <w:tab/>
        <w:t>dane suglasnosti za zaduživanje</w:t>
      </w:r>
      <w:r w:rsidRPr="00054A4A">
        <w:rPr>
          <w:rFonts w:ascii="Arial" w:eastAsia="Times New Roman" w:hAnsi="Arial" w:cs="Arial"/>
          <w:bCs/>
          <w:iCs/>
          <w:sz w:val="20"/>
          <w:szCs w:val="20"/>
          <w:lang w:eastAsia="en-US"/>
        </w:rPr>
        <w:t xml:space="preserve"> u iznosu </w:t>
      </w:r>
      <w:r w:rsidR="002643DD" w:rsidRPr="00054A4A">
        <w:rPr>
          <w:rFonts w:ascii="Arial" w:eastAsia="Times New Roman" w:hAnsi="Arial" w:cs="Arial"/>
          <w:bCs/>
          <w:iCs/>
          <w:sz w:val="20"/>
          <w:szCs w:val="20"/>
          <w:lang w:eastAsia="en-US"/>
        </w:rPr>
        <w:t>1.371.067,56</w:t>
      </w:r>
      <w:r w:rsidR="00F1169D" w:rsidRPr="00054A4A">
        <w:rPr>
          <w:rFonts w:ascii="Arial" w:eastAsia="Times New Roman" w:hAnsi="Arial" w:cs="Arial"/>
          <w:bCs/>
          <w:iCs/>
          <w:sz w:val="20"/>
          <w:szCs w:val="20"/>
          <w:lang w:eastAsia="en-US"/>
        </w:rPr>
        <w:t xml:space="preserve"> €</w:t>
      </w:r>
      <w:r w:rsidR="000E3305" w:rsidRPr="00054A4A">
        <w:rPr>
          <w:rFonts w:ascii="Arial" w:eastAsia="Times New Roman" w:hAnsi="Arial" w:cs="Arial"/>
          <w:bCs/>
          <w:iCs/>
          <w:sz w:val="20"/>
          <w:szCs w:val="20"/>
          <w:lang w:eastAsia="en-US"/>
        </w:rPr>
        <w:t xml:space="preserve"> (nisu jamstva)</w:t>
      </w:r>
      <w:r w:rsidRPr="00054A4A">
        <w:rPr>
          <w:rFonts w:ascii="Arial" w:eastAsia="Times New Roman" w:hAnsi="Arial" w:cs="Arial"/>
          <w:bCs/>
          <w:iCs/>
          <w:sz w:val="20"/>
          <w:szCs w:val="20"/>
          <w:lang w:eastAsia="en-US"/>
        </w:rPr>
        <w:t>,</w:t>
      </w:r>
    </w:p>
    <w:p w14:paraId="5B53CB34" w14:textId="7A6C2862" w:rsidR="00E827AE" w:rsidRPr="00054A4A" w:rsidRDefault="008F6166" w:rsidP="008F6166">
      <w:pPr>
        <w:spacing w:after="0" w:line="240" w:lineRule="auto"/>
        <w:jc w:val="both"/>
        <w:rPr>
          <w:rFonts w:ascii="Arial" w:eastAsia="Times New Roman" w:hAnsi="Arial" w:cs="Arial"/>
          <w:bCs/>
          <w:iCs/>
          <w:sz w:val="20"/>
          <w:szCs w:val="20"/>
          <w:lang w:eastAsia="en-US"/>
        </w:rPr>
      </w:pPr>
      <w:r w:rsidRPr="00054A4A">
        <w:rPr>
          <w:rFonts w:ascii="Arial" w:eastAsia="Times New Roman" w:hAnsi="Arial" w:cs="Arial"/>
          <w:b/>
          <w:bCs/>
          <w:iCs/>
          <w:sz w:val="20"/>
          <w:szCs w:val="20"/>
          <w:u w:val="single"/>
          <w:lang w:eastAsia="en-US"/>
        </w:rPr>
        <w:t>-</w:t>
      </w:r>
      <w:r w:rsidRPr="00054A4A">
        <w:rPr>
          <w:rFonts w:ascii="Arial" w:eastAsia="Times New Roman" w:hAnsi="Arial" w:cs="Arial"/>
          <w:b/>
          <w:bCs/>
          <w:iCs/>
          <w:sz w:val="20"/>
          <w:szCs w:val="20"/>
          <w:u w:val="single"/>
          <w:lang w:eastAsia="en-US"/>
        </w:rPr>
        <w:tab/>
        <w:t>potencijalne obveze po osnovi sudskih sporova u tijeku</w:t>
      </w:r>
      <w:r w:rsidRPr="00054A4A">
        <w:rPr>
          <w:rFonts w:ascii="Arial" w:eastAsia="Times New Roman" w:hAnsi="Arial" w:cs="Arial"/>
          <w:bCs/>
          <w:iCs/>
          <w:sz w:val="20"/>
          <w:szCs w:val="20"/>
          <w:lang w:eastAsia="en-US"/>
        </w:rPr>
        <w:t xml:space="preserve"> u iznosu </w:t>
      </w:r>
      <w:r w:rsidR="002643DD" w:rsidRPr="00054A4A">
        <w:rPr>
          <w:rFonts w:ascii="Arial" w:eastAsia="Times New Roman" w:hAnsi="Arial" w:cs="Arial"/>
          <w:bCs/>
          <w:iCs/>
          <w:sz w:val="20"/>
          <w:szCs w:val="20"/>
          <w:lang w:eastAsia="en-US"/>
        </w:rPr>
        <w:t>154.091,18</w:t>
      </w:r>
      <w:r w:rsidR="000D518D" w:rsidRPr="00054A4A">
        <w:rPr>
          <w:rFonts w:ascii="Arial" w:eastAsia="Times New Roman" w:hAnsi="Arial" w:cs="Arial"/>
          <w:bCs/>
          <w:iCs/>
          <w:sz w:val="20"/>
          <w:szCs w:val="20"/>
          <w:lang w:eastAsia="en-US"/>
        </w:rPr>
        <w:t xml:space="preserve"> €</w:t>
      </w:r>
      <w:r w:rsidRPr="00054A4A">
        <w:rPr>
          <w:rFonts w:ascii="Arial" w:eastAsia="Times New Roman" w:hAnsi="Arial" w:cs="Arial"/>
          <w:bCs/>
          <w:iCs/>
          <w:sz w:val="20"/>
          <w:szCs w:val="20"/>
          <w:lang w:eastAsia="en-US"/>
        </w:rPr>
        <w:t xml:space="preserve"> (vrijednosno najznačajnije obveze se odnose na upravne postupke koji su zabilježeni pred Uredom državne uprave u Dubrovačko-neretvanskoj županiji, najvećim dijelom radi utvrđivanja prava vlasništva i naknade za zemljište oduzeto vlasnicima u prethodnom stoljeću)</w:t>
      </w:r>
      <w:bookmarkEnd w:id="473"/>
      <w:r w:rsidR="002643DD" w:rsidRPr="00054A4A">
        <w:rPr>
          <w:rFonts w:ascii="Arial" w:eastAsia="Times New Roman" w:hAnsi="Arial" w:cs="Arial"/>
          <w:bCs/>
          <w:iCs/>
          <w:sz w:val="20"/>
          <w:szCs w:val="20"/>
          <w:lang w:eastAsia="en-US"/>
        </w:rPr>
        <w:t xml:space="preserve">, te </w:t>
      </w:r>
    </w:p>
    <w:p w14:paraId="62511871" w14:textId="1FD1931F" w:rsidR="002643DD" w:rsidRPr="00054A4A" w:rsidRDefault="002643DD" w:rsidP="008F6166">
      <w:pPr>
        <w:spacing w:after="0" w:line="240" w:lineRule="auto"/>
        <w:jc w:val="both"/>
        <w:rPr>
          <w:rFonts w:ascii="Arial" w:eastAsia="Times New Roman" w:hAnsi="Arial" w:cs="Arial"/>
          <w:bCs/>
          <w:iCs/>
          <w:sz w:val="20"/>
          <w:szCs w:val="20"/>
          <w:lang w:eastAsia="en-US"/>
        </w:rPr>
      </w:pPr>
      <w:r w:rsidRPr="00054A4A">
        <w:rPr>
          <w:rFonts w:ascii="Arial" w:eastAsia="Times New Roman" w:hAnsi="Arial" w:cs="Arial"/>
          <w:b/>
          <w:bCs/>
          <w:iCs/>
          <w:sz w:val="20"/>
          <w:szCs w:val="20"/>
          <w:u w:val="single"/>
          <w:lang w:eastAsia="en-US"/>
        </w:rPr>
        <w:t>-</w:t>
      </w:r>
      <w:r w:rsidRPr="00054A4A">
        <w:rPr>
          <w:rFonts w:ascii="Arial" w:eastAsia="Times New Roman" w:hAnsi="Arial" w:cs="Arial"/>
          <w:b/>
          <w:bCs/>
          <w:iCs/>
          <w:sz w:val="20"/>
          <w:szCs w:val="20"/>
          <w:u w:val="single"/>
          <w:lang w:eastAsia="en-US"/>
        </w:rPr>
        <w:tab/>
        <w:t xml:space="preserve">ostali izvanbilančni zapisi (potencijalne obveze iz poslovnih odnosa) u iznosu 271.416,94 €. </w:t>
      </w:r>
    </w:p>
    <w:p w14:paraId="294B1BCB" w14:textId="460EF0AB" w:rsidR="008F6166" w:rsidRPr="00772FA7" w:rsidRDefault="008F6166" w:rsidP="008F6166">
      <w:pPr>
        <w:spacing w:after="0" w:line="240" w:lineRule="auto"/>
        <w:jc w:val="both"/>
        <w:rPr>
          <w:rFonts w:ascii="Arial" w:eastAsia="Times New Roman" w:hAnsi="Arial" w:cs="Arial"/>
          <w:iCs/>
          <w:color w:val="EE0000"/>
          <w:sz w:val="20"/>
          <w:szCs w:val="20"/>
          <w:lang w:eastAsia="en-US"/>
        </w:rPr>
      </w:pPr>
      <w:r w:rsidRPr="00772FA7">
        <w:rPr>
          <w:rFonts w:ascii="Arial" w:eastAsia="Times New Roman" w:hAnsi="Arial" w:cs="Arial"/>
          <w:iCs/>
          <w:color w:val="EE0000"/>
          <w:sz w:val="20"/>
          <w:szCs w:val="20"/>
          <w:lang w:eastAsia="en-US"/>
        </w:rPr>
        <w:br w:type="page"/>
      </w:r>
    </w:p>
    <w:p w14:paraId="3CD31A56" w14:textId="77777777" w:rsidR="000650E1" w:rsidRPr="00FC5064" w:rsidRDefault="000650E1" w:rsidP="000650E1">
      <w:pPr>
        <w:spacing w:after="0" w:line="240" w:lineRule="auto"/>
        <w:jc w:val="both"/>
        <w:rPr>
          <w:rFonts w:ascii="Arial" w:eastAsia="Times New Roman" w:hAnsi="Arial" w:cs="Arial"/>
          <w:iCs/>
          <w:lang w:eastAsia="en-US"/>
        </w:rPr>
      </w:pPr>
    </w:p>
    <w:p w14:paraId="09A627F7" w14:textId="513E400E" w:rsidR="000650E1" w:rsidRPr="00FC5064" w:rsidRDefault="006D222A" w:rsidP="000650E1">
      <w:pPr>
        <w:pStyle w:val="Naslov2"/>
        <w:jc w:val="center"/>
        <w:rPr>
          <w:rFonts w:ascii="Arial" w:hAnsi="Arial" w:cs="Arial"/>
          <w:sz w:val="22"/>
          <w:lang w:val="hr-HR"/>
        </w:rPr>
      </w:pPr>
      <w:bookmarkStart w:id="474" w:name="_Toc449430296"/>
      <w:bookmarkStart w:id="475" w:name="_Toc207707502"/>
      <w:r w:rsidRPr="00FC5064">
        <w:rPr>
          <w:rFonts w:ascii="Arial" w:hAnsi="Arial" w:cs="Arial"/>
          <w:sz w:val="22"/>
          <w:lang w:val="hr-HR"/>
        </w:rPr>
        <w:t>7</w:t>
      </w:r>
      <w:r w:rsidR="000650E1" w:rsidRPr="00FC5064">
        <w:rPr>
          <w:rFonts w:ascii="Arial" w:hAnsi="Arial" w:cs="Arial"/>
          <w:sz w:val="22"/>
          <w:lang w:val="hr-HR"/>
        </w:rPr>
        <w:t>.2.</w:t>
      </w:r>
      <w:r w:rsidR="000650E1" w:rsidRPr="00FC5064">
        <w:rPr>
          <w:rFonts w:ascii="Arial" w:hAnsi="Arial" w:cs="Arial"/>
          <w:sz w:val="22"/>
          <w:lang w:val="hr-HR"/>
        </w:rPr>
        <w:tab/>
        <w:t>STANJE IMOVINE I OBVEZA – OPĆINA I PRORAČUNSKI KORISNICI</w:t>
      </w:r>
      <w:bookmarkEnd w:id="474"/>
      <w:r w:rsidR="000650E1" w:rsidRPr="00FC5064">
        <w:rPr>
          <w:rFonts w:ascii="Arial" w:hAnsi="Arial" w:cs="Arial"/>
          <w:sz w:val="22"/>
          <w:lang w:val="hr-HR"/>
        </w:rPr>
        <w:t>, razina 23</w:t>
      </w:r>
      <w:bookmarkEnd w:id="475"/>
    </w:p>
    <w:p w14:paraId="4657F696" w14:textId="77777777" w:rsidR="000650E1" w:rsidRPr="00FC5064" w:rsidRDefault="000650E1" w:rsidP="000650E1">
      <w:pPr>
        <w:autoSpaceDE w:val="0"/>
        <w:autoSpaceDN w:val="0"/>
        <w:adjustRightInd w:val="0"/>
        <w:spacing w:after="0" w:line="240" w:lineRule="auto"/>
        <w:jc w:val="both"/>
        <w:rPr>
          <w:rFonts w:ascii="Arial" w:eastAsia="Times New Roman" w:hAnsi="Arial" w:cs="Arial"/>
          <w:sz w:val="20"/>
          <w:szCs w:val="20"/>
        </w:rPr>
      </w:pPr>
    </w:p>
    <w:p w14:paraId="379BB9C0" w14:textId="21DAE018" w:rsidR="000650E1" w:rsidRPr="00FC5064" w:rsidRDefault="000650E1" w:rsidP="000650E1">
      <w:pPr>
        <w:spacing w:after="0" w:line="240" w:lineRule="auto"/>
        <w:jc w:val="both"/>
        <w:rPr>
          <w:rFonts w:ascii="Arial" w:eastAsia="Times New Roman" w:hAnsi="Arial" w:cs="Arial"/>
          <w:sz w:val="20"/>
          <w:szCs w:val="20"/>
        </w:rPr>
      </w:pPr>
      <w:r w:rsidRPr="00FC5064">
        <w:rPr>
          <w:rFonts w:ascii="Arial" w:eastAsia="Times New Roman" w:hAnsi="Arial" w:cs="Arial"/>
          <w:sz w:val="20"/>
          <w:szCs w:val="18"/>
          <w:lang w:eastAsia="en-US"/>
        </w:rPr>
        <w:t>U ovom dijelu imovine i obveza opisuje se stanje imovine i obveza iz bilance Općine i njena četiri proračunska korisnika, dakle sa pripadajućom imovinom i obvezama proračunskih korisnika Općine Konavle (Dječji vrtić Konavle, Muzeji i galerije Konavala, Javna vatrogasna postrojba Konavle, Dom za starije i nemoćne osobe Konavle)</w:t>
      </w:r>
      <w:r w:rsidRPr="00FC5064">
        <w:rPr>
          <w:rFonts w:ascii="Arial" w:eastAsia="Times New Roman" w:hAnsi="Arial" w:cs="Arial"/>
          <w:sz w:val="20"/>
          <w:szCs w:val="20"/>
        </w:rPr>
        <w:t xml:space="preserve"> na dan 31.12.202</w:t>
      </w:r>
      <w:r w:rsidR="00FC5064" w:rsidRPr="00FC5064">
        <w:rPr>
          <w:rFonts w:ascii="Arial" w:eastAsia="Times New Roman" w:hAnsi="Arial" w:cs="Arial"/>
          <w:sz w:val="20"/>
          <w:szCs w:val="20"/>
        </w:rPr>
        <w:t>4</w:t>
      </w:r>
      <w:r w:rsidRPr="00FC5064">
        <w:rPr>
          <w:rFonts w:ascii="Arial" w:eastAsia="Times New Roman" w:hAnsi="Arial" w:cs="Arial"/>
          <w:sz w:val="20"/>
          <w:szCs w:val="20"/>
        </w:rPr>
        <w:t xml:space="preserve">. (prema financijskim izvještajima razine 23). i na dan </w:t>
      </w:r>
      <w:r w:rsidR="002643DD" w:rsidRPr="00FC5064">
        <w:rPr>
          <w:rFonts w:ascii="Arial" w:eastAsia="Times New Roman" w:hAnsi="Arial" w:cs="Arial"/>
          <w:sz w:val="20"/>
          <w:szCs w:val="20"/>
        </w:rPr>
        <w:t>31.12.</w:t>
      </w:r>
      <w:r w:rsidR="00C64EF0" w:rsidRPr="00FC5064">
        <w:rPr>
          <w:rFonts w:ascii="Arial" w:eastAsia="Times New Roman" w:hAnsi="Arial" w:cs="Arial"/>
          <w:sz w:val="20"/>
          <w:szCs w:val="20"/>
        </w:rPr>
        <w:t>2024</w:t>
      </w:r>
      <w:r w:rsidRPr="00FC5064">
        <w:rPr>
          <w:rFonts w:ascii="Arial" w:eastAsia="Times New Roman" w:hAnsi="Arial" w:cs="Arial"/>
          <w:sz w:val="20"/>
          <w:szCs w:val="20"/>
        </w:rPr>
        <w:t xml:space="preserve">. prema podacima iskazanim u </w:t>
      </w:r>
      <w:r w:rsidR="005D0164" w:rsidRPr="00FC5064">
        <w:rPr>
          <w:rFonts w:ascii="Arial" w:eastAsia="Times New Roman" w:hAnsi="Arial" w:cs="Arial"/>
          <w:sz w:val="20"/>
          <w:szCs w:val="20"/>
        </w:rPr>
        <w:t>financijskim izvještajima</w:t>
      </w:r>
      <w:r w:rsidRPr="00FC5064">
        <w:rPr>
          <w:rFonts w:ascii="Arial" w:eastAsia="Times New Roman" w:hAnsi="Arial" w:cs="Arial"/>
          <w:sz w:val="20"/>
          <w:szCs w:val="20"/>
        </w:rPr>
        <w:t xml:space="preserve"> (uz napomenu da se </w:t>
      </w:r>
      <w:r w:rsidRPr="00FC5064">
        <w:rPr>
          <w:rFonts w:ascii="Arial" w:eastAsia="Times New Roman" w:hAnsi="Arial" w:cs="Arial"/>
          <w:b/>
          <w:sz w:val="20"/>
          <w:szCs w:val="20"/>
        </w:rPr>
        <w:t>Bilanca ne sastavlja i ne predaje za polugodišnje izvještajno razdoblje</w:t>
      </w:r>
      <w:r w:rsidRPr="00FC5064">
        <w:rPr>
          <w:rFonts w:ascii="Arial" w:eastAsia="Times New Roman" w:hAnsi="Arial" w:cs="Arial"/>
          <w:sz w:val="20"/>
          <w:szCs w:val="20"/>
        </w:rPr>
        <w:t>).</w:t>
      </w:r>
    </w:p>
    <w:p w14:paraId="22F4CD96" w14:textId="77777777" w:rsidR="005D0164" w:rsidRPr="00FC5064" w:rsidRDefault="005D0164" w:rsidP="005D0164">
      <w:pPr>
        <w:autoSpaceDE w:val="0"/>
        <w:autoSpaceDN w:val="0"/>
        <w:adjustRightInd w:val="0"/>
        <w:spacing w:after="0" w:line="240" w:lineRule="auto"/>
        <w:jc w:val="both"/>
        <w:rPr>
          <w:rFonts w:ascii="Arial" w:eastAsia="Times New Roman" w:hAnsi="Arial" w:cs="Arial"/>
          <w:sz w:val="20"/>
          <w:szCs w:val="20"/>
        </w:rPr>
      </w:pPr>
    </w:p>
    <w:p w14:paraId="0D680BF0" w14:textId="7C5BEAFB" w:rsidR="005D0164" w:rsidRPr="00FC5064" w:rsidRDefault="002643DD" w:rsidP="005D0164">
      <w:pPr>
        <w:autoSpaceDE w:val="0"/>
        <w:autoSpaceDN w:val="0"/>
        <w:adjustRightInd w:val="0"/>
        <w:spacing w:after="0" w:line="240" w:lineRule="auto"/>
        <w:jc w:val="both"/>
        <w:rPr>
          <w:rFonts w:ascii="Arial" w:eastAsia="Times New Roman" w:hAnsi="Arial" w:cs="Arial"/>
          <w:sz w:val="20"/>
          <w:szCs w:val="20"/>
        </w:rPr>
      </w:pPr>
      <w:r w:rsidRPr="00FC5064">
        <w:rPr>
          <w:rFonts w:ascii="Arial" w:eastAsia="Times New Roman" w:hAnsi="Arial" w:cs="Arial"/>
          <w:sz w:val="20"/>
          <w:szCs w:val="20"/>
        </w:rPr>
        <w:t>U nastavku se u tablic</w:t>
      </w:r>
      <w:r w:rsidR="00065E3F" w:rsidRPr="00FC5064">
        <w:rPr>
          <w:rFonts w:ascii="Arial" w:eastAsia="Times New Roman" w:hAnsi="Arial" w:cs="Arial"/>
          <w:sz w:val="20"/>
          <w:szCs w:val="20"/>
        </w:rPr>
        <w:t>ama</w:t>
      </w:r>
      <w:r w:rsidRPr="00FC5064">
        <w:rPr>
          <w:rFonts w:ascii="Arial" w:eastAsia="Times New Roman" w:hAnsi="Arial" w:cs="Arial"/>
          <w:sz w:val="20"/>
          <w:szCs w:val="20"/>
        </w:rPr>
        <w:t xml:space="preserve"> </w:t>
      </w:r>
      <w:r w:rsidR="00065E3F" w:rsidRPr="00FC5064">
        <w:rPr>
          <w:rFonts w:ascii="Arial" w:eastAsia="Times New Roman" w:hAnsi="Arial" w:cs="Arial"/>
          <w:sz w:val="20"/>
          <w:szCs w:val="20"/>
        </w:rPr>
        <w:t>prikazuje</w:t>
      </w:r>
      <w:r w:rsidR="005D0164" w:rsidRPr="00FC5064">
        <w:rPr>
          <w:rFonts w:ascii="Arial" w:eastAsia="Times New Roman" w:hAnsi="Arial" w:cs="Arial"/>
          <w:sz w:val="20"/>
          <w:szCs w:val="20"/>
        </w:rPr>
        <w:t xml:space="preserve"> konsolidiran</w:t>
      </w:r>
      <w:r w:rsidR="00065E3F" w:rsidRPr="00FC5064">
        <w:rPr>
          <w:rFonts w:ascii="Arial" w:eastAsia="Times New Roman" w:hAnsi="Arial" w:cs="Arial"/>
          <w:sz w:val="20"/>
          <w:szCs w:val="20"/>
        </w:rPr>
        <w:t>a</w:t>
      </w:r>
      <w:r w:rsidR="005D0164" w:rsidRPr="00FC5064">
        <w:rPr>
          <w:rFonts w:ascii="Arial" w:eastAsia="Times New Roman" w:hAnsi="Arial" w:cs="Arial"/>
          <w:sz w:val="20"/>
          <w:szCs w:val="20"/>
        </w:rPr>
        <w:t xml:space="preserve"> imovin</w:t>
      </w:r>
      <w:r w:rsidR="00065E3F" w:rsidRPr="00FC5064">
        <w:rPr>
          <w:rFonts w:ascii="Arial" w:eastAsia="Times New Roman" w:hAnsi="Arial" w:cs="Arial"/>
          <w:sz w:val="20"/>
          <w:szCs w:val="20"/>
        </w:rPr>
        <w:t>a</w:t>
      </w:r>
      <w:r w:rsidR="005D0164" w:rsidRPr="00FC5064">
        <w:rPr>
          <w:rFonts w:ascii="Arial" w:eastAsia="Times New Roman" w:hAnsi="Arial" w:cs="Arial"/>
          <w:sz w:val="20"/>
          <w:szCs w:val="20"/>
        </w:rPr>
        <w:t xml:space="preserve"> na dan 31.12.202</w:t>
      </w:r>
      <w:r w:rsidR="0012127A" w:rsidRPr="00FC5064">
        <w:rPr>
          <w:rFonts w:ascii="Arial" w:eastAsia="Times New Roman" w:hAnsi="Arial" w:cs="Arial"/>
          <w:sz w:val="20"/>
          <w:szCs w:val="20"/>
        </w:rPr>
        <w:t>3</w:t>
      </w:r>
      <w:r w:rsidR="005D0164" w:rsidRPr="00FC5064">
        <w:rPr>
          <w:rFonts w:ascii="Arial" w:eastAsia="Times New Roman" w:hAnsi="Arial" w:cs="Arial"/>
          <w:sz w:val="20"/>
          <w:szCs w:val="20"/>
        </w:rPr>
        <w:t>.</w:t>
      </w:r>
      <w:r w:rsidR="00EF1EAC" w:rsidRPr="00FC5064">
        <w:rPr>
          <w:rFonts w:ascii="Arial" w:eastAsia="Times New Roman" w:hAnsi="Arial" w:cs="Arial"/>
          <w:sz w:val="20"/>
          <w:szCs w:val="20"/>
        </w:rPr>
        <w:t xml:space="preserve"> (odnosno 1.1.202</w:t>
      </w:r>
      <w:r w:rsidR="00C64EF0" w:rsidRPr="00FC5064">
        <w:rPr>
          <w:rFonts w:ascii="Arial" w:eastAsia="Times New Roman" w:hAnsi="Arial" w:cs="Arial"/>
          <w:sz w:val="20"/>
          <w:szCs w:val="20"/>
        </w:rPr>
        <w:t>4</w:t>
      </w:r>
      <w:r w:rsidR="00EF1EAC" w:rsidRPr="00FC5064">
        <w:rPr>
          <w:rFonts w:ascii="Arial" w:eastAsia="Times New Roman" w:hAnsi="Arial" w:cs="Arial"/>
          <w:sz w:val="20"/>
          <w:szCs w:val="20"/>
        </w:rPr>
        <w:t>.)</w:t>
      </w:r>
      <w:r w:rsidR="005D0164" w:rsidRPr="00FC5064">
        <w:rPr>
          <w:rFonts w:ascii="Arial" w:eastAsia="Times New Roman" w:hAnsi="Arial" w:cs="Arial"/>
          <w:sz w:val="20"/>
          <w:szCs w:val="20"/>
        </w:rPr>
        <w:t xml:space="preserve"> i na dan </w:t>
      </w:r>
      <w:r w:rsidRPr="00FC5064">
        <w:rPr>
          <w:rFonts w:ascii="Arial" w:eastAsia="Times New Roman" w:hAnsi="Arial" w:cs="Arial"/>
          <w:sz w:val="20"/>
          <w:szCs w:val="20"/>
        </w:rPr>
        <w:t>31.12</w:t>
      </w:r>
      <w:r w:rsidR="00C64EF0" w:rsidRPr="00FC5064">
        <w:rPr>
          <w:rFonts w:ascii="Arial" w:eastAsia="Times New Roman" w:hAnsi="Arial" w:cs="Arial"/>
          <w:sz w:val="20"/>
          <w:szCs w:val="20"/>
        </w:rPr>
        <w:t>.2024</w:t>
      </w:r>
      <w:r w:rsidR="005D0164" w:rsidRPr="00FC5064">
        <w:rPr>
          <w:rFonts w:ascii="Arial" w:eastAsia="Times New Roman" w:hAnsi="Arial" w:cs="Arial"/>
          <w:sz w:val="20"/>
          <w:szCs w:val="20"/>
        </w:rPr>
        <w:t xml:space="preserve">., </w:t>
      </w:r>
      <w:r w:rsidR="00065E3F" w:rsidRPr="00FC5064">
        <w:rPr>
          <w:rFonts w:ascii="Arial" w:eastAsia="Times New Roman" w:hAnsi="Arial" w:cs="Arial"/>
          <w:sz w:val="20"/>
          <w:szCs w:val="20"/>
        </w:rPr>
        <w:t>zatim</w:t>
      </w:r>
      <w:r w:rsidR="005D0164" w:rsidRPr="00FC5064">
        <w:rPr>
          <w:rFonts w:ascii="Arial" w:eastAsia="Times New Roman" w:hAnsi="Arial" w:cs="Arial"/>
          <w:sz w:val="20"/>
          <w:szCs w:val="20"/>
        </w:rPr>
        <w:t xml:space="preserve"> konsolidiran</w:t>
      </w:r>
      <w:r w:rsidR="00065E3F" w:rsidRPr="00FC5064">
        <w:rPr>
          <w:rFonts w:ascii="Arial" w:eastAsia="Times New Roman" w:hAnsi="Arial" w:cs="Arial"/>
          <w:sz w:val="20"/>
          <w:szCs w:val="20"/>
        </w:rPr>
        <w:t>e</w:t>
      </w:r>
      <w:r w:rsidR="005D0164" w:rsidRPr="00FC5064">
        <w:rPr>
          <w:rFonts w:ascii="Arial" w:eastAsia="Times New Roman" w:hAnsi="Arial" w:cs="Arial"/>
          <w:sz w:val="20"/>
          <w:szCs w:val="20"/>
        </w:rPr>
        <w:t xml:space="preserve"> obvez</w:t>
      </w:r>
      <w:r w:rsidR="00065E3F" w:rsidRPr="00FC5064">
        <w:rPr>
          <w:rFonts w:ascii="Arial" w:eastAsia="Times New Roman" w:hAnsi="Arial" w:cs="Arial"/>
          <w:sz w:val="20"/>
          <w:szCs w:val="20"/>
        </w:rPr>
        <w:t>e</w:t>
      </w:r>
      <w:r w:rsidR="005D0164" w:rsidRPr="00FC5064">
        <w:rPr>
          <w:rFonts w:ascii="Arial" w:eastAsia="Times New Roman" w:hAnsi="Arial" w:cs="Arial"/>
          <w:sz w:val="20"/>
          <w:szCs w:val="20"/>
        </w:rPr>
        <w:t xml:space="preserve"> i vlastit</w:t>
      </w:r>
      <w:r w:rsidR="00065E3F" w:rsidRPr="00FC5064">
        <w:rPr>
          <w:rFonts w:ascii="Arial" w:eastAsia="Times New Roman" w:hAnsi="Arial" w:cs="Arial"/>
          <w:sz w:val="20"/>
          <w:szCs w:val="20"/>
        </w:rPr>
        <w:t>i</w:t>
      </w:r>
      <w:r w:rsidR="005D0164" w:rsidRPr="00FC5064">
        <w:rPr>
          <w:rFonts w:ascii="Arial" w:eastAsia="Times New Roman" w:hAnsi="Arial" w:cs="Arial"/>
          <w:sz w:val="20"/>
          <w:szCs w:val="20"/>
        </w:rPr>
        <w:t xml:space="preserve"> izvor</w:t>
      </w:r>
      <w:r w:rsidR="00065E3F" w:rsidRPr="00FC5064">
        <w:rPr>
          <w:rFonts w:ascii="Arial" w:eastAsia="Times New Roman" w:hAnsi="Arial" w:cs="Arial"/>
          <w:sz w:val="20"/>
          <w:szCs w:val="20"/>
        </w:rPr>
        <w:t>i</w:t>
      </w:r>
      <w:r w:rsidR="005D0164" w:rsidRPr="00FC5064">
        <w:rPr>
          <w:rFonts w:ascii="Arial" w:eastAsia="Times New Roman" w:hAnsi="Arial" w:cs="Arial"/>
          <w:sz w:val="20"/>
          <w:szCs w:val="20"/>
        </w:rPr>
        <w:t xml:space="preserve"> na dan 31.12.202</w:t>
      </w:r>
      <w:r w:rsidR="00C64EF0" w:rsidRPr="00FC5064">
        <w:rPr>
          <w:rFonts w:ascii="Arial" w:eastAsia="Times New Roman" w:hAnsi="Arial" w:cs="Arial"/>
          <w:sz w:val="20"/>
          <w:szCs w:val="20"/>
        </w:rPr>
        <w:t>3</w:t>
      </w:r>
      <w:r w:rsidR="005D0164" w:rsidRPr="00FC5064">
        <w:rPr>
          <w:rFonts w:ascii="Arial" w:eastAsia="Times New Roman" w:hAnsi="Arial" w:cs="Arial"/>
          <w:sz w:val="20"/>
          <w:szCs w:val="20"/>
        </w:rPr>
        <w:t>.</w:t>
      </w:r>
      <w:r w:rsidR="00EF1EAC" w:rsidRPr="00FC5064">
        <w:rPr>
          <w:rFonts w:ascii="Arial" w:eastAsia="Times New Roman" w:hAnsi="Arial" w:cs="Arial"/>
          <w:sz w:val="20"/>
          <w:szCs w:val="20"/>
        </w:rPr>
        <w:t xml:space="preserve"> (odnosno 1.1.20</w:t>
      </w:r>
      <w:r w:rsidR="00C64EF0" w:rsidRPr="00FC5064">
        <w:rPr>
          <w:rFonts w:ascii="Arial" w:eastAsia="Times New Roman" w:hAnsi="Arial" w:cs="Arial"/>
          <w:sz w:val="20"/>
          <w:szCs w:val="20"/>
        </w:rPr>
        <w:t>2</w:t>
      </w:r>
      <w:r w:rsidR="00FC5064" w:rsidRPr="00FC5064">
        <w:rPr>
          <w:rFonts w:ascii="Arial" w:eastAsia="Times New Roman" w:hAnsi="Arial" w:cs="Arial"/>
          <w:sz w:val="20"/>
          <w:szCs w:val="20"/>
        </w:rPr>
        <w:t>5</w:t>
      </w:r>
      <w:r w:rsidR="00EF1EAC" w:rsidRPr="00FC5064">
        <w:rPr>
          <w:rFonts w:ascii="Arial" w:eastAsia="Times New Roman" w:hAnsi="Arial" w:cs="Arial"/>
          <w:sz w:val="20"/>
          <w:szCs w:val="20"/>
        </w:rPr>
        <w:t>.)</w:t>
      </w:r>
      <w:r w:rsidR="005D0164" w:rsidRPr="00FC5064">
        <w:rPr>
          <w:rFonts w:ascii="Arial" w:eastAsia="Times New Roman" w:hAnsi="Arial" w:cs="Arial"/>
          <w:sz w:val="20"/>
          <w:szCs w:val="20"/>
        </w:rPr>
        <w:t xml:space="preserve"> i na dan </w:t>
      </w:r>
      <w:r w:rsidR="00FC5064" w:rsidRPr="00FC5064">
        <w:rPr>
          <w:rFonts w:ascii="Arial" w:eastAsia="Times New Roman" w:hAnsi="Arial" w:cs="Arial"/>
          <w:sz w:val="20"/>
          <w:szCs w:val="20"/>
        </w:rPr>
        <w:t>30.06.2024</w:t>
      </w:r>
      <w:r w:rsidR="005D0164" w:rsidRPr="00FC5064">
        <w:rPr>
          <w:rFonts w:ascii="Arial" w:eastAsia="Times New Roman" w:hAnsi="Arial" w:cs="Arial"/>
          <w:sz w:val="20"/>
          <w:szCs w:val="20"/>
        </w:rPr>
        <w:t>., te dvije tablice u kojoj se daje usporedni prikaz imovine, te obveza i vlastitih izvora za općinu, ukupno konsolidirano, te razlika iskazanih iznosa koji se odnosi na vrijednost imovine, te obveza i vlastitih izvora sva četiri proračunska korisnika zajedno.</w:t>
      </w:r>
    </w:p>
    <w:p w14:paraId="6F052939" w14:textId="77777777" w:rsidR="000E3305" w:rsidRPr="00FC5064" w:rsidRDefault="000E3305" w:rsidP="000650E1">
      <w:pPr>
        <w:autoSpaceDE w:val="0"/>
        <w:autoSpaceDN w:val="0"/>
        <w:adjustRightInd w:val="0"/>
        <w:spacing w:after="0" w:line="240" w:lineRule="auto"/>
        <w:jc w:val="both"/>
        <w:rPr>
          <w:rFonts w:ascii="Arial" w:eastAsia="Times New Roman" w:hAnsi="Arial" w:cs="Arial"/>
        </w:rPr>
      </w:pPr>
    </w:p>
    <w:p w14:paraId="288462A0" w14:textId="77777777" w:rsidR="000650E1" w:rsidRPr="00AC4C54"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 w:val="20"/>
          <w:szCs w:val="18"/>
          <w:lang w:eastAsia="en-US"/>
        </w:rPr>
      </w:pPr>
      <w:r w:rsidRPr="00AC4C54">
        <w:rPr>
          <w:rFonts w:ascii="Arial" w:eastAsia="Times New Roman" w:hAnsi="Arial" w:cs="Arial"/>
          <w:b/>
          <w:sz w:val="20"/>
          <w:szCs w:val="18"/>
          <w:lang w:eastAsia="en-US"/>
        </w:rPr>
        <w:t>1.</w:t>
      </w:r>
      <w:r w:rsidRPr="00AC4C54">
        <w:rPr>
          <w:rFonts w:ascii="Arial" w:eastAsia="Times New Roman" w:hAnsi="Arial" w:cs="Arial"/>
          <w:b/>
          <w:sz w:val="20"/>
          <w:szCs w:val="18"/>
          <w:lang w:eastAsia="en-US"/>
        </w:rPr>
        <w:tab/>
        <w:t xml:space="preserve">Konsolidirana bilanca - IMOVINA </w:t>
      </w:r>
    </w:p>
    <w:p w14:paraId="29807E45" w14:textId="77777777" w:rsidR="00C327CE" w:rsidRPr="003A2F86" w:rsidRDefault="00C327CE" w:rsidP="000650E1">
      <w:pPr>
        <w:autoSpaceDE w:val="0"/>
        <w:autoSpaceDN w:val="0"/>
        <w:adjustRightInd w:val="0"/>
        <w:spacing w:after="0" w:line="240" w:lineRule="auto"/>
        <w:jc w:val="both"/>
        <w:rPr>
          <w:rFonts w:ascii="Arial" w:eastAsia="Times New Roman" w:hAnsi="Arial" w:cs="Arial"/>
        </w:rPr>
      </w:pPr>
    </w:p>
    <w:p w14:paraId="721509E4" w14:textId="614478A8" w:rsidR="00065E3F" w:rsidRDefault="00FC5064" w:rsidP="00065E3F">
      <w:pPr>
        <w:autoSpaceDE w:val="0"/>
        <w:autoSpaceDN w:val="0"/>
        <w:adjustRightInd w:val="0"/>
        <w:spacing w:after="0" w:line="240" w:lineRule="auto"/>
        <w:jc w:val="center"/>
        <w:rPr>
          <w:rFonts w:ascii="Arial" w:eastAsia="Times New Roman" w:hAnsi="Arial" w:cs="Arial"/>
        </w:rPr>
      </w:pPr>
      <w:r w:rsidRPr="00FC5064">
        <w:rPr>
          <w:noProof/>
        </w:rPr>
        <w:drawing>
          <wp:inline distT="0" distB="0" distL="0" distR="0" wp14:anchorId="706631C8" wp14:editId="455B792C">
            <wp:extent cx="6391275" cy="2686050"/>
            <wp:effectExtent l="0" t="0" r="9525" b="0"/>
            <wp:docPr id="90663056"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91275" cy="2686050"/>
                    </a:xfrm>
                    <a:prstGeom prst="rect">
                      <a:avLst/>
                    </a:prstGeom>
                    <a:noFill/>
                    <a:ln>
                      <a:noFill/>
                    </a:ln>
                  </pic:spPr>
                </pic:pic>
              </a:graphicData>
            </a:graphic>
          </wp:inline>
        </w:drawing>
      </w:r>
    </w:p>
    <w:p w14:paraId="4A06FF49" w14:textId="77777777" w:rsidR="00065E3F" w:rsidRDefault="00065E3F" w:rsidP="00065E3F">
      <w:pPr>
        <w:autoSpaceDE w:val="0"/>
        <w:autoSpaceDN w:val="0"/>
        <w:adjustRightInd w:val="0"/>
        <w:spacing w:after="0" w:line="240" w:lineRule="auto"/>
        <w:jc w:val="center"/>
        <w:rPr>
          <w:rFonts w:ascii="Arial" w:eastAsia="Times New Roman" w:hAnsi="Arial" w:cs="Arial"/>
        </w:rPr>
      </w:pPr>
    </w:p>
    <w:p w14:paraId="1F5E975F" w14:textId="77777777" w:rsidR="00AC4C54" w:rsidRDefault="00AC4C54" w:rsidP="00065E3F">
      <w:pPr>
        <w:autoSpaceDE w:val="0"/>
        <w:autoSpaceDN w:val="0"/>
        <w:adjustRightInd w:val="0"/>
        <w:spacing w:after="0" w:line="240" w:lineRule="auto"/>
        <w:jc w:val="center"/>
        <w:rPr>
          <w:rFonts w:ascii="Arial" w:eastAsia="Times New Roman" w:hAnsi="Arial" w:cs="Arial"/>
        </w:rPr>
      </w:pPr>
    </w:p>
    <w:p w14:paraId="1565A45E" w14:textId="77777777" w:rsidR="00AC4C54" w:rsidRDefault="00AC4C54" w:rsidP="00065E3F">
      <w:pPr>
        <w:autoSpaceDE w:val="0"/>
        <w:autoSpaceDN w:val="0"/>
        <w:adjustRightInd w:val="0"/>
        <w:spacing w:after="0" w:line="240" w:lineRule="auto"/>
        <w:jc w:val="center"/>
        <w:rPr>
          <w:rFonts w:ascii="Arial" w:eastAsia="Times New Roman" w:hAnsi="Arial" w:cs="Arial"/>
        </w:rPr>
      </w:pPr>
    </w:p>
    <w:p w14:paraId="61B3A5FA" w14:textId="77777777" w:rsidR="00FC5064" w:rsidRDefault="00FC5064" w:rsidP="00065E3F">
      <w:pPr>
        <w:autoSpaceDE w:val="0"/>
        <w:autoSpaceDN w:val="0"/>
        <w:adjustRightInd w:val="0"/>
        <w:spacing w:after="0" w:line="240" w:lineRule="auto"/>
        <w:jc w:val="center"/>
        <w:rPr>
          <w:rFonts w:ascii="Arial" w:eastAsia="Times New Roman" w:hAnsi="Arial" w:cs="Arial"/>
        </w:rPr>
      </w:pPr>
    </w:p>
    <w:p w14:paraId="6D5A7D69" w14:textId="77777777" w:rsidR="00FC5064" w:rsidRDefault="00FC5064" w:rsidP="00A264B7">
      <w:pPr>
        <w:autoSpaceDE w:val="0"/>
        <w:autoSpaceDN w:val="0"/>
        <w:adjustRightInd w:val="0"/>
        <w:spacing w:after="0" w:line="240" w:lineRule="auto"/>
        <w:jc w:val="center"/>
        <w:rPr>
          <w:rFonts w:ascii="Arial" w:eastAsia="Times New Roman" w:hAnsi="Arial" w:cs="Arial"/>
        </w:rPr>
      </w:pPr>
    </w:p>
    <w:p w14:paraId="049EDE0E" w14:textId="77777777" w:rsidR="00065E3F" w:rsidRDefault="00065E3F" w:rsidP="00065E3F">
      <w:pPr>
        <w:autoSpaceDE w:val="0"/>
        <w:autoSpaceDN w:val="0"/>
        <w:adjustRightInd w:val="0"/>
        <w:spacing w:after="0" w:line="240" w:lineRule="auto"/>
        <w:jc w:val="center"/>
        <w:rPr>
          <w:rFonts w:ascii="Arial" w:eastAsia="Times New Roman" w:hAnsi="Arial" w:cs="Arial"/>
        </w:rPr>
      </w:pPr>
    </w:p>
    <w:p w14:paraId="2FEB1EC9" w14:textId="77777777" w:rsidR="00065E3F" w:rsidRPr="003A2F86" w:rsidRDefault="00065E3F" w:rsidP="00065E3F">
      <w:pPr>
        <w:autoSpaceDE w:val="0"/>
        <w:autoSpaceDN w:val="0"/>
        <w:adjustRightInd w:val="0"/>
        <w:spacing w:after="0" w:line="240" w:lineRule="auto"/>
        <w:jc w:val="center"/>
        <w:rPr>
          <w:rFonts w:ascii="Arial" w:eastAsia="Times New Roman" w:hAnsi="Arial" w:cs="Arial"/>
        </w:rPr>
      </w:pPr>
    </w:p>
    <w:p w14:paraId="57F074CE" w14:textId="77777777" w:rsidR="000650E1" w:rsidRPr="00AC4C54"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 w:val="20"/>
          <w:szCs w:val="18"/>
          <w:lang w:eastAsia="en-US"/>
        </w:rPr>
      </w:pPr>
      <w:r w:rsidRPr="00AC4C54">
        <w:rPr>
          <w:rFonts w:ascii="Arial" w:eastAsia="Times New Roman" w:hAnsi="Arial" w:cs="Arial"/>
          <w:b/>
          <w:sz w:val="20"/>
          <w:szCs w:val="18"/>
          <w:lang w:eastAsia="en-US"/>
        </w:rPr>
        <w:lastRenderedPageBreak/>
        <w:t>2.</w:t>
      </w:r>
      <w:r w:rsidRPr="00AC4C54">
        <w:rPr>
          <w:rFonts w:ascii="Arial" w:eastAsia="Times New Roman" w:hAnsi="Arial" w:cs="Arial"/>
          <w:b/>
          <w:sz w:val="20"/>
          <w:szCs w:val="18"/>
          <w:lang w:eastAsia="en-US"/>
        </w:rPr>
        <w:tab/>
        <w:t xml:space="preserve">Konsolidirana bilanca - OBVEZE I VLASTITI IZVORI </w:t>
      </w:r>
    </w:p>
    <w:p w14:paraId="5AC657EB" w14:textId="77777777" w:rsidR="00C327CE" w:rsidRDefault="00C327CE" w:rsidP="00C327CE">
      <w:pPr>
        <w:spacing w:after="0" w:line="240" w:lineRule="auto"/>
        <w:jc w:val="both"/>
        <w:rPr>
          <w:rFonts w:ascii="Arial" w:eastAsia="Times New Roman" w:hAnsi="Arial" w:cs="Arial"/>
          <w:iCs/>
          <w:lang w:eastAsia="en-US"/>
        </w:rPr>
      </w:pPr>
    </w:p>
    <w:p w14:paraId="6FA2A361" w14:textId="0B1BFA0A" w:rsidR="00065E3F" w:rsidRDefault="00A264B7" w:rsidP="00065E3F">
      <w:pPr>
        <w:spacing w:after="0" w:line="240" w:lineRule="auto"/>
        <w:jc w:val="center"/>
        <w:rPr>
          <w:rFonts w:ascii="Arial" w:eastAsia="Times New Roman" w:hAnsi="Arial" w:cs="Arial"/>
          <w:iCs/>
          <w:lang w:eastAsia="en-US"/>
        </w:rPr>
      </w:pPr>
      <w:r w:rsidRPr="00A264B7">
        <w:rPr>
          <w:noProof/>
        </w:rPr>
        <w:drawing>
          <wp:inline distT="0" distB="0" distL="0" distR="0" wp14:anchorId="47424087" wp14:editId="3E09700A">
            <wp:extent cx="5819775" cy="2381250"/>
            <wp:effectExtent l="0" t="0" r="9525" b="0"/>
            <wp:docPr id="1014925525"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19775" cy="2381250"/>
                    </a:xfrm>
                    <a:prstGeom prst="rect">
                      <a:avLst/>
                    </a:prstGeom>
                    <a:noFill/>
                    <a:ln>
                      <a:noFill/>
                    </a:ln>
                  </pic:spPr>
                </pic:pic>
              </a:graphicData>
            </a:graphic>
          </wp:inline>
        </w:drawing>
      </w:r>
    </w:p>
    <w:p w14:paraId="5D2D86DF" w14:textId="77777777" w:rsidR="00065E3F" w:rsidRPr="003A2F86" w:rsidRDefault="00065E3F" w:rsidP="00C327CE">
      <w:pPr>
        <w:spacing w:after="0" w:line="240" w:lineRule="auto"/>
        <w:jc w:val="both"/>
        <w:rPr>
          <w:rFonts w:ascii="Arial" w:eastAsia="Times New Roman" w:hAnsi="Arial" w:cs="Arial"/>
          <w:iCs/>
          <w:lang w:eastAsia="en-US"/>
        </w:rPr>
      </w:pPr>
    </w:p>
    <w:p w14:paraId="3FB11B76" w14:textId="77777777" w:rsidR="000650E1" w:rsidRPr="00AC4C54"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 w:val="20"/>
          <w:szCs w:val="18"/>
          <w:lang w:eastAsia="en-US"/>
        </w:rPr>
      </w:pPr>
      <w:r w:rsidRPr="00AC4C54">
        <w:rPr>
          <w:rFonts w:ascii="Arial" w:eastAsia="Times New Roman" w:hAnsi="Arial" w:cs="Arial"/>
          <w:b/>
          <w:sz w:val="20"/>
          <w:szCs w:val="18"/>
          <w:lang w:eastAsia="en-US"/>
        </w:rPr>
        <w:t>3.</w:t>
      </w:r>
      <w:r w:rsidRPr="00AC4C54">
        <w:rPr>
          <w:rFonts w:ascii="Arial" w:eastAsia="Times New Roman" w:hAnsi="Arial" w:cs="Arial"/>
          <w:b/>
          <w:sz w:val="20"/>
          <w:szCs w:val="18"/>
          <w:lang w:eastAsia="en-US"/>
        </w:rPr>
        <w:tab/>
        <w:t xml:space="preserve">IMOVINA – Usporedni prikaz vrijednosti imovine Općine, ukupne vrijednosti imovine iz konsolidirane bilance, te vrijednosti imovine svih proračunskih korisnika </w:t>
      </w:r>
    </w:p>
    <w:p w14:paraId="585BB319" w14:textId="77777777" w:rsidR="00C327CE" w:rsidRDefault="00C327CE" w:rsidP="000650E1">
      <w:pPr>
        <w:spacing w:after="0" w:line="240" w:lineRule="auto"/>
        <w:jc w:val="both"/>
        <w:rPr>
          <w:rFonts w:ascii="Arial" w:eastAsia="Times New Roman" w:hAnsi="Arial" w:cs="Arial"/>
          <w:iCs/>
          <w:lang w:eastAsia="en-US"/>
        </w:rPr>
      </w:pPr>
    </w:p>
    <w:p w14:paraId="04A8888B" w14:textId="16B4F8F1" w:rsidR="00065E3F" w:rsidRDefault="00A264B7" w:rsidP="00065E3F">
      <w:pPr>
        <w:spacing w:after="0" w:line="240" w:lineRule="auto"/>
        <w:jc w:val="center"/>
        <w:rPr>
          <w:rFonts w:ascii="Arial" w:eastAsia="Times New Roman" w:hAnsi="Arial" w:cs="Arial"/>
          <w:iCs/>
          <w:lang w:eastAsia="en-US"/>
        </w:rPr>
      </w:pPr>
      <w:r w:rsidRPr="00A264B7">
        <w:rPr>
          <w:noProof/>
        </w:rPr>
        <w:drawing>
          <wp:inline distT="0" distB="0" distL="0" distR="0" wp14:anchorId="6F9A34F8" wp14:editId="79209775">
            <wp:extent cx="4924425" cy="2335210"/>
            <wp:effectExtent l="0" t="0" r="0" b="8255"/>
            <wp:docPr id="988830628"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29675" cy="2337700"/>
                    </a:xfrm>
                    <a:prstGeom prst="rect">
                      <a:avLst/>
                    </a:prstGeom>
                    <a:noFill/>
                    <a:ln>
                      <a:noFill/>
                    </a:ln>
                  </pic:spPr>
                </pic:pic>
              </a:graphicData>
            </a:graphic>
          </wp:inline>
        </w:drawing>
      </w:r>
    </w:p>
    <w:p w14:paraId="7D3BF417" w14:textId="77777777" w:rsidR="00065E3F" w:rsidRPr="003A2F86" w:rsidRDefault="00065E3F" w:rsidP="000650E1">
      <w:pPr>
        <w:spacing w:after="0" w:line="240" w:lineRule="auto"/>
        <w:jc w:val="both"/>
        <w:rPr>
          <w:rFonts w:ascii="Arial" w:eastAsia="Times New Roman" w:hAnsi="Arial" w:cs="Arial"/>
          <w:iCs/>
          <w:lang w:eastAsia="en-US"/>
        </w:rPr>
      </w:pPr>
    </w:p>
    <w:p w14:paraId="6656DB9D" w14:textId="77777777" w:rsidR="00C327CE" w:rsidRDefault="00C327CE" w:rsidP="000650E1">
      <w:pPr>
        <w:spacing w:after="0" w:line="240" w:lineRule="auto"/>
        <w:jc w:val="both"/>
        <w:rPr>
          <w:rFonts w:ascii="Arial" w:eastAsia="Times New Roman" w:hAnsi="Arial" w:cs="Arial"/>
          <w:iCs/>
          <w:lang w:eastAsia="en-US"/>
        </w:rPr>
      </w:pPr>
    </w:p>
    <w:p w14:paraId="08E87959" w14:textId="77777777" w:rsidR="000650E1" w:rsidRPr="00AC4C54" w:rsidRDefault="000650E1" w:rsidP="000650E1">
      <w:pPr>
        <w:pBdr>
          <w:top w:val="dotted" w:sz="4" w:space="1" w:color="auto"/>
          <w:left w:val="dotted" w:sz="4" w:space="4" w:color="auto"/>
          <w:bottom w:val="dotted" w:sz="4" w:space="1" w:color="auto"/>
          <w:right w:val="dotted" w:sz="4" w:space="4" w:color="auto"/>
        </w:pBdr>
        <w:shd w:val="clear" w:color="auto" w:fill="BFBFBF"/>
        <w:spacing w:after="0" w:line="240" w:lineRule="auto"/>
        <w:jc w:val="both"/>
        <w:rPr>
          <w:rFonts w:ascii="Arial" w:eastAsia="Times New Roman" w:hAnsi="Arial" w:cs="Arial"/>
          <w:b/>
          <w:sz w:val="20"/>
          <w:szCs w:val="18"/>
          <w:lang w:eastAsia="en-US"/>
        </w:rPr>
      </w:pPr>
      <w:r w:rsidRPr="00AC4C54">
        <w:rPr>
          <w:rFonts w:ascii="Arial" w:eastAsia="Times New Roman" w:hAnsi="Arial" w:cs="Arial"/>
          <w:b/>
          <w:sz w:val="20"/>
          <w:szCs w:val="18"/>
          <w:lang w:eastAsia="en-US"/>
        </w:rPr>
        <w:lastRenderedPageBreak/>
        <w:t>4.</w:t>
      </w:r>
      <w:r w:rsidRPr="00AC4C54">
        <w:rPr>
          <w:rFonts w:ascii="Arial" w:eastAsia="Times New Roman" w:hAnsi="Arial" w:cs="Arial"/>
          <w:b/>
          <w:sz w:val="20"/>
          <w:szCs w:val="18"/>
          <w:lang w:eastAsia="en-US"/>
        </w:rPr>
        <w:tab/>
        <w:t xml:space="preserve">OBVEZE I VLASTITI IZVORI – Usporedni prikaz vrijednosti obveza i vlastitih izvora Općine, ukupne vrijednosti obveza i vlastitih izvora iz konsolidirane bilance, te vrijednosti obveza i vlastitih izvora svih proračunskih korisnika </w:t>
      </w:r>
    </w:p>
    <w:p w14:paraId="1F7A6D74" w14:textId="77777777" w:rsidR="00C327CE" w:rsidRDefault="00C327CE" w:rsidP="000650E1">
      <w:pPr>
        <w:autoSpaceDE w:val="0"/>
        <w:autoSpaceDN w:val="0"/>
        <w:adjustRightInd w:val="0"/>
        <w:spacing w:after="0" w:line="240" w:lineRule="auto"/>
        <w:jc w:val="both"/>
        <w:rPr>
          <w:rFonts w:ascii="Arial" w:eastAsia="Times New Roman" w:hAnsi="Arial" w:cs="Arial"/>
        </w:rPr>
      </w:pPr>
    </w:p>
    <w:p w14:paraId="072E04E2" w14:textId="40D73505" w:rsidR="00065E3F" w:rsidRPr="003A2F86" w:rsidRDefault="00A264B7" w:rsidP="00065E3F">
      <w:pPr>
        <w:autoSpaceDE w:val="0"/>
        <w:autoSpaceDN w:val="0"/>
        <w:adjustRightInd w:val="0"/>
        <w:spacing w:after="0" w:line="240" w:lineRule="auto"/>
        <w:jc w:val="center"/>
        <w:rPr>
          <w:rFonts w:ascii="Arial" w:eastAsia="Times New Roman" w:hAnsi="Arial" w:cs="Arial"/>
        </w:rPr>
      </w:pPr>
      <w:r w:rsidRPr="00A264B7">
        <w:rPr>
          <w:noProof/>
        </w:rPr>
        <w:drawing>
          <wp:inline distT="0" distB="0" distL="0" distR="0" wp14:anchorId="7FBC5C04" wp14:editId="7C5415DA">
            <wp:extent cx="5105400" cy="2524125"/>
            <wp:effectExtent l="0" t="0" r="0" b="9525"/>
            <wp:docPr id="976830645"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05400" cy="2524125"/>
                    </a:xfrm>
                    <a:prstGeom prst="rect">
                      <a:avLst/>
                    </a:prstGeom>
                    <a:noFill/>
                    <a:ln>
                      <a:noFill/>
                    </a:ln>
                  </pic:spPr>
                </pic:pic>
              </a:graphicData>
            </a:graphic>
          </wp:inline>
        </w:drawing>
      </w:r>
    </w:p>
    <w:p w14:paraId="7D160E3C" w14:textId="77777777" w:rsidR="000650E1" w:rsidRPr="003A2F86" w:rsidRDefault="000650E1" w:rsidP="000650E1">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br w:type="page"/>
      </w:r>
    </w:p>
    <w:p w14:paraId="05FC7AFF" w14:textId="2870AB56" w:rsidR="00891119" w:rsidRPr="0028236A" w:rsidRDefault="006D222A" w:rsidP="00F02C0B">
      <w:pPr>
        <w:pStyle w:val="Naslov1"/>
        <w:rPr>
          <w:rFonts w:ascii="Arial" w:eastAsia="Calibri" w:hAnsi="Arial" w:cs="Arial"/>
          <w:sz w:val="22"/>
          <w:lang w:val="hr-HR"/>
        </w:rPr>
      </w:pPr>
      <w:bookmarkStart w:id="476" w:name="_8.__IZVADAK"/>
      <w:bookmarkStart w:id="477" w:name="_Toc207707503"/>
      <w:bookmarkEnd w:id="476"/>
      <w:r w:rsidRPr="0028236A">
        <w:rPr>
          <w:rFonts w:ascii="Arial" w:eastAsia="Calibri" w:hAnsi="Arial" w:cs="Arial"/>
          <w:sz w:val="22"/>
          <w:lang w:val="hr-HR"/>
        </w:rPr>
        <w:lastRenderedPageBreak/>
        <w:t>8</w:t>
      </w:r>
      <w:r w:rsidR="00891119" w:rsidRPr="0028236A">
        <w:rPr>
          <w:rFonts w:ascii="Arial" w:eastAsia="Calibri" w:hAnsi="Arial" w:cs="Arial"/>
          <w:sz w:val="22"/>
          <w:lang w:val="hr-HR"/>
        </w:rPr>
        <w:t xml:space="preserve">. </w:t>
      </w:r>
      <w:r w:rsidR="00891119" w:rsidRPr="0028236A">
        <w:rPr>
          <w:rFonts w:ascii="Arial" w:eastAsia="Calibri" w:hAnsi="Arial" w:cs="Arial"/>
          <w:sz w:val="22"/>
          <w:lang w:val="hr-HR"/>
        </w:rPr>
        <w:tab/>
      </w:r>
      <w:bookmarkStart w:id="478" w:name="Izvadak_projekata"/>
      <w:bookmarkEnd w:id="478"/>
      <w:r w:rsidR="005F34BC" w:rsidRPr="0028236A">
        <w:rPr>
          <w:rFonts w:ascii="Arial" w:eastAsia="Calibri" w:hAnsi="Arial" w:cs="Arial"/>
          <w:sz w:val="22"/>
          <w:lang w:val="hr-HR"/>
        </w:rPr>
        <w:t>IZVADAK</w:t>
      </w:r>
      <w:r w:rsidR="00891119" w:rsidRPr="0028236A">
        <w:rPr>
          <w:rFonts w:ascii="Arial" w:eastAsia="Calibri" w:hAnsi="Arial" w:cs="Arial"/>
          <w:sz w:val="22"/>
          <w:lang w:val="hr-HR"/>
        </w:rPr>
        <w:t xml:space="preserve"> </w:t>
      </w:r>
      <w:r w:rsidR="006F6963" w:rsidRPr="0028236A">
        <w:rPr>
          <w:rFonts w:ascii="Arial" w:eastAsia="Calibri" w:hAnsi="Arial" w:cs="Arial"/>
          <w:sz w:val="22"/>
          <w:lang w:val="hr-HR"/>
        </w:rPr>
        <w:t>PROJEKATA IZ</w:t>
      </w:r>
      <w:r w:rsidR="002E41AF" w:rsidRPr="0028236A">
        <w:rPr>
          <w:rFonts w:ascii="Arial" w:eastAsia="Calibri" w:hAnsi="Arial" w:cs="Arial"/>
          <w:sz w:val="22"/>
          <w:lang w:val="hr-HR"/>
        </w:rPr>
        <w:t xml:space="preserve"> STRATEŠKOG PLANA I</w:t>
      </w:r>
      <w:r w:rsidR="006F6963" w:rsidRPr="0028236A">
        <w:rPr>
          <w:rFonts w:ascii="Arial" w:eastAsia="Calibri" w:hAnsi="Arial" w:cs="Arial"/>
          <w:sz w:val="22"/>
          <w:lang w:val="hr-HR"/>
        </w:rPr>
        <w:t xml:space="preserve"> PROVEDBENOG PROGRAMA</w:t>
      </w:r>
      <w:bookmarkEnd w:id="477"/>
      <w:r w:rsidR="00D749EA" w:rsidRPr="0028236A">
        <w:rPr>
          <w:rFonts w:ascii="Arial" w:eastAsia="Calibri" w:hAnsi="Arial" w:cs="Arial"/>
          <w:sz w:val="22"/>
          <w:lang w:val="hr-HR"/>
        </w:rPr>
        <w:t xml:space="preserve"> </w:t>
      </w:r>
      <w:bookmarkEnd w:id="427"/>
    </w:p>
    <w:p w14:paraId="1D9ECB7E" w14:textId="77777777" w:rsidR="00D749EA" w:rsidRPr="0028236A" w:rsidRDefault="00D749EA" w:rsidP="006F6963">
      <w:pPr>
        <w:autoSpaceDE w:val="0"/>
        <w:autoSpaceDN w:val="0"/>
        <w:adjustRightInd w:val="0"/>
        <w:spacing w:after="0" w:line="240" w:lineRule="auto"/>
        <w:jc w:val="both"/>
        <w:rPr>
          <w:rFonts w:ascii="Arial" w:eastAsia="Times New Roman" w:hAnsi="Arial" w:cs="Arial"/>
          <w:b/>
          <w:sz w:val="20"/>
          <w:szCs w:val="20"/>
        </w:rPr>
      </w:pPr>
    </w:p>
    <w:p w14:paraId="1A7B3073" w14:textId="77777777" w:rsidR="006F6963" w:rsidRPr="0028236A" w:rsidRDefault="006F6963" w:rsidP="0086386B">
      <w:pPr>
        <w:autoSpaceDE w:val="0"/>
        <w:autoSpaceDN w:val="0"/>
        <w:adjustRightInd w:val="0"/>
        <w:spacing w:after="0" w:line="240" w:lineRule="auto"/>
        <w:jc w:val="both"/>
        <w:rPr>
          <w:rFonts w:ascii="Arial" w:hAnsi="Arial" w:cs="Arial"/>
          <w:sz w:val="20"/>
          <w:szCs w:val="20"/>
        </w:rPr>
      </w:pPr>
      <w:r w:rsidRPr="0028236A">
        <w:rPr>
          <w:rFonts w:ascii="Arial" w:hAnsi="Arial" w:cs="Arial"/>
          <w:sz w:val="20"/>
          <w:szCs w:val="20"/>
        </w:rPr>
        <w:t>Planom razvojnih programa / strateškim planom Općine Konavle u dosadašnjim proračunskim razdobljima planirali su se kapitalni projekti za koje su Proračunom bila osigurana sredstva u okviru Programa izgradnje komunalne infrastrukture, Programa gradnje komunalnih vodnih građevina i pojedinačnih programa upravljanja imovinom (izgradnja i uređenje objekata javne namjene i to: predškolski odgoj i školstvo, sport, socijalna skrb i zdravstvo, te kultura, turizam i religija). Program gradnje komunalnih vodnih građevina najvećim dijelom se realizira putem društva u vlasništvu Općine registriranog za obavljanje poslova vodoopskrbe i odvodnje u skladu s odredbama Zakona o vodama.</w:t>
      </w:r>
    </w:p>
    <w:p w14:paraId="02FE6028" w14:textId="77777777" w:rsidR="006F6963" w:rsidRPr="0028236A" w:rsidRDefault="006F6963" w:rsidP="0086386B">
      <w:pPr>
        <w:autoSpaceDE w:val="0"/>
        <w:autoSpaceDN w:val="0"/>
        <w:adjustRightInd w:val="0"/>
        <w:spacing w:after="0" w:line="240" w:lineRule="auto"/>
        <w:jc w:val="both"/>
        <w:rPr>
          <w:rFonts w:ascii="Arial" w:hAnsi="Arial" w:cs="Arial"/>
          <w:sz w:val="20"/>
          <w:szCs w:val="20"/>
        </w:rPr>
      </w:pPr>
    </w:p>
    <w:p w14:paraId="73BB90BB" w14:textId="77777777" w:rsidR="006F6963" w:rsidRPr="0028236A" w:rsidRDefault="006F6963" w:rsidP="0086386B">
      <w:pPr>
        <w:autoSpaceDE w:val="0"/>
        <w:autoSpaceDN w:val="0"/>
        <w:adjustRightInd w:val="0"/>
        <w:spacing w:after="0" w:line="240" w:lineRule="auto"/>
        <w:jc w:val="both"/>
        <w:rPr>
          <w:rFonts w:ascii="Arial" w:hAnsi="Arial" w:cs="Arial"/>
          <w:sz w:val="20"/>
          <w:szCs w:val="20"/>
        </w:rPr>
      </w:pPr>
      <w:r w:rsidRPr="0028236A">
        <w:rPr>
          <w:rFonts w:ascii="Arial" w:hAnsi="Arial" w:cs="Arial"/>
          <w:sz w:val="20"/>
          <w:szCs w:val="20"/>
        </w:rPr>
        <w:t xml:space="preserve">Dubrovačko-neretvanska županija je 17. prosinca 2021. donijela je </w:t>
      </w:r>
      <w:r w:rsidRPr="0028236A">
        <w:rPr>
          <w:rFonts w:ascii="Arial" w:hAnsi="Arial" w:cs="Arial"/>
          <w:b/>
          <w:bCs/>
          <w:sz w:val="20"/>
          <w:szCs w:val="20"/>
        </w:rPr>
        <w:t>Plan razvoja Dubrovačko – neretvanske županije do 2027. godine</w:t>
      </w:r>
      <w:r w:rsidRPr="0028236A">
        <w:rPr>
          <w:rFonts w:ascii="Arial" w:hAnsi="Arial" w:cs="Arial"/>
          <w:sz w:val="20"/>
          <w:szCs w:val="20"/>
        </w:rPr>
        <w:t>.</w:t>
      </w:r>
    </w:p>
    <w:p w14:paraId="7DAC4A99" w14:textId="77777777" w:rsidR="006F6963" w:rsidRPr="0028236A" w:rsidRDefault="006F6963" w:rsidP="0086386B">
      <w:pPr>
        <w:autoSpaceDE w:val="0"/>
        <w:autoSpaceDN w:val="0"/>
        <w:adjustRightInd w:val="0"/>
        <w:spacing w:after="0" w:line="240" w:lineRule="auto"/>
        <w:jc w:val="both"/>
        <w:rPr>
          <w:rFonts w:ascii="Arial" w:hAnsi="Arial" w:cs="Arial"/>
          <w:sz w:val="20"/>
          <w:szCs w:val="20"/>
        </w:rPr>
      </w:pPr>
    </w:p>
    <w:p w14:paraId="55B6B94E" w14:textId="77777777" w:rsidR="006F6963" w:rsidRPr="0028236A" w:rsidRDefault="006F6963" w:rsidP="0086386B">
      <w:pPr>
        <w:autoSpaceDE w:val="0"/>
        <w:autoSpaceDN w:val="0"/>
        <w:adjustRightInd w:val="0"/>
        <w:spacing w:after="0" w:line="240" w:lineRule="auto"/>
        <w:jc w:val="both"/>
        <w:rPr>
          <w:rFonts w:ascii="Arial" w:hAnsi="Arial" w:cs="Arial"/>
          <w:bCs/>
          <w:sz w:val="20"/>
          <w:szCs w:val="20"/>
        </w:rPr>
      </w:pPr>
      <w:r w:rsidRPr="0028236A">
        <w:rPr>
          <w:rFonts w:ascii="Arial" w:hAnsi="Arial" w:cs="Arial"/>
          <w:b/>
          <w:bCs/>
          <w:sz w:val="20"/>
          <w:szCs w:val="20"/>
        </w:rPr>
        <w:t>Strateški plan Općine Konavle za razdoblje 2021.-2022.</w:t>
      </w:r>
      <w:r w:rsidRPr="0028236A">
        <w:rPr>
          <w:rFonts w:ascii="Arial" w:hAnsi="Arial" w:cs="Arial"/>
          <w:sz w:val="20"/>
          <w:szCs w:val="20"/>
        </w:rPr>
        <w:t xml:space="preserve"> godine donijelo je </w:t>
      </w:r>
      <w:r w:rsidRPr="0028236A">
        <w:rPr>
          <w:rFonts w:ascii="Arial" w:hAnsi="Arial" w:cs="Arial"/>
          <w:bCs/>
          <w:sz w:val="20"/>
          <w:szCs w:val="20"/>
        </w:rPr>
        <w:t xml:space="preserve">Općinsko vijeće je na sjednici održanoj 8. ožujka 2021. </w:t>
      </w:r>
    </w:p>
    <w:p w14:paraId="533ADF5C" w14:textId="77777777" w:rsidR="006F6963" w:rsidRPr="0028236A" w:rsidRDefault="006F6963" w:rsidP="0086386B">
      <w:pPr>
        <w:autoSpaceDE w:val="0"/>
        <w:autoSpaceDN w:val="0"/>
        <w:adjustRightInd w:val="0"/>
        <w:spacing w:after="0" w:line="240" w:lineRule="auto"/>
        <w:jc w:val="both"/>
        <w:rPr>
          <w:rFonts w:ascii="Arial" w:hAnsi="Arial" w:cs="Arial"/>
          <w:sz w:val="20"/>
          <w:szCs w:val="20"/>
        </w:rPr>
      </w:pPr>
    </w:p>
    <w:p w14:paraId="1497BF97" w14:textId="63A368DB" w:rsidR="006F6963" w:rsidRPr="0028236A" w:rsidRDefault="006F6963" w:rsidP="0086386B">
      <w:pPr>
        <w:autoSpaceDE w:val="0"/>
        <w:autoSpaceDN w:val="0"/>
        <w:adjustRightInd w:val="0"/>
        <w:spacing w:after="0" w:line="240" w:lineRule="auto"/>
        <w:jc w:val="both"/>
        <w:rPr>
          <w:rFonts w:ascii="Arial" w:hAnsi="Arial" w:cs="Arial"/>
          <w:sz w:val="20"/>
          <w:szCs w:val="20"/>
        </w:rPr>
      </w:pPr>
      <w:r w:rsidRPr="0028236A">
        <w:rPr>
          <w:rFonts w:ascii="Arial" w:hAnsi="Arial" w:cs="Arial"/>
          <w:sz w:val="20"/>
          <w:szCs w:val="20"/>
        </w:rPr>
        <w:t>Strateškim planom prikazana je vizija i misija Općine Konavle sa strateškim ciljevima, prioritetima i mjerama koje se prikazuju u nastavku.</w:t>
      </w:r>
      <w:r w:rsidR="00E4441A" w:rsidRPr="0028236A">
        <w:rPr>
          <w:rFonts w:ascii="Arial" w:hAnsi="Arial" w:cs="Arial"/>
          <w:sz w:val="20"/>
          <w:szCs w:val="20"/>
        </w:rPr>
        <w:t xml:space="preserve"> </w:t>
      </w:r>
      <w:bookmarkStart w:id="479" w:name="_Hlk146543268"/>
      <w:r w:rsidR="00E4441A" w:rsidRPr="0028236A">
        <w:rPr>
          <w:rFonts w:ascii="Arial" w:hAnsi="Arial" w:cs="Arial"/>
          <w:sz w:val="20"/>
          <w:szCs w:val="20"/>
        </w:rPr>
        <w:t>Novi strateški plan još nije donesen.</w:t>
      </w:r>
    </w:p>
    <w:bookmarkEnd w:id="479"/>
    <w:p w14:paraId="1C9DBE4D" w14:textId="77777777" w:rsidR="006F6963" w:rsidRPr="0028236A" w:rsidRDefault="006F6963" w:rsidP="0086386B">
      <w:pPr>
        <w:autoSpaceDE w:val="0"/>
        <w:autoSpaceDN w:val="0"/>
        <w:adjustRightInd w:val="0"/>
        <w:spacing w:after="0" w:line="240" w:lineRule="auto"/>
        <w:jc w:val="both"/>
        <w:rPr>
          <w:rFonts w:ascii="Arial" w:hAnsi="Arial" w:cs="Arial"/>
          <w:sz w:val="20"/>
          <w:szCs w:val="20"/>
        </w:rPr>
      </w:pPr>
    </w:p>
    <w:p w14:paraId="6A9A5D85" w14:textId="182CE48B" w:rsidR="006F6963" w:rsidRPr="0028236A" w:rsidRDefault="006F6963" w:rsidP="0086386B">
      <w:pPr>
        <w:autoSpaceDE w:val="0"/>
        <w:autoSpaceDN w:val="0"/>
        <w:adjustRightInd w:val="0"/>
        <w:spacing w:after="0" w:line="240" w:lineRule="auto"/>
        <w:jc w:val="both"/>
        <w:rPr>
          <w:rFonts w:ascii="Arial" w:hAnsi="Arial" w:cs="Arial"/>
          <w:sz w:val="20"/>
          <w:szCs w:val="20"/>
        </w:rPr>
      </w:pPr>
      <w:r w:rsidRPr="0028236A">
        <w:rPr>
          <w:rFonts w:ascii="Arial" w:hAnsi="Arial" w:cs="Arial"/>
          <w:b/>
          <w:bCs/>
          <w:sz w:val="20"/>
          <w:szCs w:val="20"/>
        </w:rPr>
        <w:t>Provedbeni program Općine Konavle za razdoblje 2022.-2025.</w:t>
      </w:r>
      <w:r w:rsidRPr="0028236A">
        <w:rPr>
          <w:rFonts w:ascii="Arial" w:hAnsi="Arial" w:cs="Arial"/>
          <w:sz w:val="20"/>
          <w:szCs w:val="20"/>
        </w:rPr>
        <w:t xml:space="preserve"> iz prosinca 2021. godine objavljen je na mrežnim stranicama Općine </w:t>
      </w:r>
    </w:p>
    <w:p w14:paraId="3F02B772" w14:textId="79A11E47" w:rsidR="006F6963" w:rsidRPr="0028236A" w:rsidRDefault="006F6963" w:rsidP="006F6963">
      <w:pPr>
        <w:autoSpaceDE w:val="0"/>
        <w:autoSpaceDN w:val="0"/>
        <w:adjustRightInd w:val="0"/>
        <w:spacing w:after="0" w:line="240" w:lineRule="auto"/>
        <w:rPr>
          <w:rFonts w:ascii="Arial" w:hAnsi="Arial" w:cs="Arial"/>
          <w:sz w:val="20"/>
          <w:szCs w:val="20"/>
        </w:rPr>
      </w:pPr>
      <w:hyperlink r:id="rId168" w:history="1">
        <w:r w:rsidRPr="0028236A">
          <w:rPr>
            <w:rStyle w:val="Hiperveza"/>
            <w:rFonts w:ascii="Arial" w:hAnsi="Arial" w:cs="Arial"/>
            <w:sz w:val="20"/>
            <w:szCs w:val="20"/>
          </w:rPr>
          <w:t>https://www.opcinakonavle.hr/beta/wp-content/uploads/2017/09/PROVEDBENI-PROGRAM-OPCINA-KONAVLE.pdf</w:t>
        </w:r>
      </w:hyperlink>
    </w:p>
    <w:p w14:paraId="66445B1E" w14:textId="77777777" w:rsidR="006F6963" w:rsidRPr="0028236A" w:rsidRDefault="006F6963" w:rsidP="006F6963">
      <w:pPr>
        <w:autoSpaceDE w:val="0"/>
        <w:autoSpaceDN w:val="0"/>
        <w:adjustRightInd w:val="0"/>
        <w:spacing w:after="0" w:line="240" w:lineRule="auto"/>
        <w:rPr>
          <w:rFonts w:ascii="Arial" w:hAnsi="Arial" w:cs="Arial"/>
          <w:sz w:val="20"/>
          <w:szCs w:val="20"/>
        </w:rPr>
      </w:pPr>
    </w:p>
    <w:p w14:paraId="126C89E3" w14:textId="77777777" w:rsidR="00CB22F6" w:rsidRPr="003A2F86" w:rsidRDefault="00CB22F6" w:rsidP="00CB22F6">
      <w:pPr>
        <w:autoSpaceDE w:val="0"/>
        <w:autoSpaceDN w:val="0"/>
        <w:adjustRightInd w:val="0"/>
        <w:spacing w:after="0" w:line="240" w:lineRule="auto"/>
        <w:jc w:val="both"/>
        <w:rPr>
          <w:rFonts w:ascii="Arial" w:eastAsia="Times New Roman" w:hAnsi="Arial" w:cs="Arial"/>
          <w:b/>
          <w:bCs/>
          <w:sz w:val="20"/>
          <w:szCs w:val="20"/>
        </w:rPr>
      </w:pPr>
      <w:bookmarkStart w:id="480" w:name="_Toc371168506"/>
      <w:r w:rsidRPr="003A2F86">
        <w:rPr>
          <w:rFonts w:ascii="Arial" w:eastAsia="Times New Roman" w:hAnsi="Arial" w:cs="Arial"/>
          <w:b/>
          <w:bCs/>
          <w:sz w:val="20"/>
          <w:szCs w:val="20"/>
        </w:rPr>
        <w:t>VIZIJA Općine Konavle</w:t>
      </w:r>
    </w:p>
    <w:p w14:paraId="68F27FF9" w14:textId="1E99F1DC" w:rsidR="00CB22F6" w:rsidRPr="003A2F86" w:rsidRDefault="00CB22F6" w:rsidP="00CB22F6">
      <w:pPr>
        <w:pBdr>
          <w:bottom w:val="single" w:sz="4" w:space="4" w:color="B83D68"/>
        </w:pBdr>
        <w:spacing w:before="200" w:after="280"/>
        <w:ind w:left="936" w:right="936"/>
        <w:jc w:val="center"/>
        <w:rPr>
          <w:rFonts w:ascii="Arial" w:eastAsia="Times New Roman" w:hAnsi="Arial" w:cs="Arial"/>
          <w:b/>
          <w:bCs/>
          <w:i/>
          <w:iCs/>
          <w:sz w:val="20"/>
          <w:szCs w:val="20"/>
        </w:rPr>
      </w:pPr>
      <w:r w:rsidRPr="003A2F86">
        <w:rPr>
          <w:rFonts w:ascii="Arial" w:eastAsia="Times New Roman" w:hAnsi="Arial" w:cs="Arial"/>
          <w:b/>
          <w:bCs/>
          <w:i/>
          <w:iCs/>
          <w:sz w:val="20"/>
          <w:szCs w:val="20"/>
        </w:rPr>
        <w:t>„Postati jedna od vodećih općina</w:t>
      </w:r>
      <w:r w:rsidR="009F1427" w:rsidRPr="003A2F86">
        <w:rPr>
          <w:rFonts w:ascii="Arial" w:eastAsia="Times New Roman" w:hAnsi="Arial" w:cs="Arial"/>
          <w:b/>
          <w:bCs/>
          <w:i/>
          <w:iCs/>
          <w:sz w:val="20"/>
          <w:szCs w:val="20"/>
        </w:rPr>
        <w:t xml:space="preserve"> po održivom načinu upravljanja javnim dobrima, komunalnim gospodarstvom, te osigurati svim svojim građanima najbolje moguće uvjete podrške u području predškolstva, školstva, zdravstva i socijalne skrbi, te promicanjem poduzetništva, poljoprivrede, turizma i ruralnog turizma, te kulturnim kao i sportsko-rekreativnim sadržajima, ukupno oplemeniti život na području Općine.</w:t>
      </w:r>
      <w:r w:rsidRPr="003A2F86">
        <w:rPr>
          <w:rFonts w:ascii="Arial" w:eastAsia="Times New Roman" w:hAnsi="Arial" w:cs="Arial"/>
          <w:b/>
          <w:bCs/>
          <w:i/>
          <w:iCs/>
          <w:sz w:val="20"/>
          <w:szCs w:val="20"/>
        </w:rPr>
        <w:t>“</w:t>
      </w:r>
    </w:p>
    <w:p w14:paraId="3A2465FC" w14:textId="77777777" w:rsidR="00CB22F6" w:rsidRPr="003A2F86" w:rsidRDefault="00CB22F6" w:rsidP="00CB22F6">
      <w:pPr>
        <w:autoSpaceDE w:val="0"/>
        <w:autoSpaceDN w:val="0"/>
        <w:adjustRightInd w:val="0"/>
        <w:spacing w:after="0" w:line="240" w:lineRule="auto"/>
        <w:jc w:val="both"/>
        <w:rPr>
          <w:rFonts w:ascii="Arial" w:eastAsia="Times New Roman" w:hAnsi="Arial" w:cs="Arial"/>
          <w:b/>
          <w:bCs/>
          <w:sz w:val="20"/>
          <w:szCs w:val="20"/>
        </w:rPr>
      </w:pPr>
      <w:r w:rsidRPr="003A2F86">
        <w:rPr>
          <w:rFonts w:ascii="Arial" w:eastAsia="Times New Roman" w:hAnsi="Arial" w:cs="Arial"/>
          <w:b/>
          <w:bCs/>
          <w:sz w:val="20"/>
          <w:szCs w:val="20"/>
        </w:rPr>
        <w:t>MISIJA</w:t>
      </w:r>
    </w:p>
    <w:p w14:paraId="216953B5" w14:textId="77777777" w:rsidR="00CB22F6" w:rsidRPr="003A2F86" w:rsidRDefault="00CB22F6" w:rsidP="00CB22F6">
      <w:pPr>
        <w:autoSpaceDE w:val="0"/>
        <w:autoSpaceDN w:val="0"/>
        <w:adjustRightInd w:val="0"/>
        <w:spacing w:after="0" w:line="240" w:lineRule="auto"/>
        <w:jc w:val="both"/>
        <w:rPr>
          <w:rFonts w:ascii="Arial" w:eastAsia="Times New Roman" w:hAnsi="Arial" w:cs="Arial"/>
          <w:sz w:val="20"/>
          <w:szCs w:val="20"/>
        </w:rPr>
      </w:pPr>
    </w:p>
    <w:p w14:paraId="60BD1474" w14:textId="77777777" w:rsidR="00CB22F6" w:rsidRPr="003A2F86" w:rsidRDefault="00CB22F6" w:rsidP="00CB22F6">
      <w:pPr>
        <w:pBdr>
          <w:bottom w:val="single" w:sz="4" w:space="4" w:color="4F81BD"/>
        </w:pBdr>
        <w:spacing w:before="200" w:after="280"/>
        <w:ind w:left="936" w:right="936"/>
        <w:jc w:val="center"/>
        <w:rPr>
          <w:rFonts w:ascii="Arial" w:eastAsia="Times New Roman" w:hAnsi="Arial" w:cs="Arial"/>
          <w:b/>
          <w:bCs/>
          <w:i/>
          <w:iCs/>
          <w:sz w:val="20"/>
          <w:szCs w:val="20"/>
        </w:rPr>
      </w:pPr>
      <w:r w:rsidRPr="003A2F86">
        <w:rPr>
          <w:rFonts w:ascii="Arial" w:eastAsia="Times New Roman" w:hAnsi="Arial" w:cs="Arial"/>
          <w:b/>
          <w:bCs/>
          <w:i/>
          <w:iCs/>
          <w:sz w:val="20"/>
          <w:szCs w:val="20"/>
        </w:rPr>
        <w:t>Misija Općine Konavle je efikasno, pravodobno, kvalitetno i odgovorno izvršavanje funkcija i zadataka sukladno odredbama Zakona o lokalnoj i područnoj (regionalnoj) samoupravi i druge zakonske regulative. Kontinuirano putem svojih aktivnosti i usluga biti u službi svojih građana i unapređivati kvalitetu života i rada.</w:t>
      </w:r>
    </w:p>
    <w:p w14:paraId="50C68DD7" w14:textId="0E3867F7" w:rsidR="00CB22F6" w:rsidRDefault="00CB22F6" w:rsidP="00CB22F6">
      <w:pPr>
        <w:spacing w:after="0" w:line="240" w:lineRule="auto"/>
        <w:jc w:val="both"/>
        <w:rPr>
          <w:rFonts w:ascii="Times New Roman" w:eastAsia="Times New Roman" w:hAnsi="Times New Roman" w:cs="Times New Roman"/>
          <w:sz w:val="20"/>
          <w:szCs w:val="20"/>
          <w:lang w:eastAsia="en-US"/>
        </w:rPr>
      </w:pPr>
    </w:p>
    <w:p w14:paraId="2B2821FC" w14:textId="77777777" w:rsidR="0028236A" w:rsidRDefault="0028236A" w:rsidP="00CB22F6">
      <w:pPr>
        <w:spacing w:after="0" w:line="240" w:lineRule="auto"/>
        <w:jc w:val="both"/>
        <w:rPr>
          <w:rFonts w:ascii="Times New Roman" w:eastAsia="Times New Roman" w:hAnsi="Times New Roman" w:cs="Times New Roman"/>
          <w:sz w:val="20"/>
          <w:szCs w:val="20"/>
          <w:lang w:eastAsia="en-US"/>
        </w:rPr>
      </w:pPr>
    </w:p>
    <w:p w14:paraId="1CC37228" w14:textId="77777777" w:rsidR="0028236A" w:rsidRDefault="0028236A" w:rsidP="00CB22F6">
      <w:pPr>
        <w:spacing w:after="0" w:line="240" w:lineRule="auto"/>
        <w:jc w:val="both"/>
        <w:rPr>
          <w:rFonts w:ascii="Times New Roman" w:eastAsia="Times New Roman" w:hAnsi="Times New Roman" w:cs="Times New Roman"/>
          <w:sz w:val="20"/>
          <w:szCs w:val="20"/>
          <w:lang w:eastAsia="en-US"/>
        </w:rPr>
      </w:pPr>
    </w:p>
    <w:p w14:paraId="6E21886A" w14:textId="77777777" w:rsidR="0028236A" w:rsidRDefault="0028236A" w:rsidP="00CB22F6">
      <w:pPr>
        <w:spacing w:after="0" w:line="240" w:lineRule="auto"/>
        <w:jc w:val="both"/>
        <w:rPr>
          <w:rFonts w:ascii="Times New Roman" w:eastAsia="Times New Roman" w:hAnsi="Times New Roman" w:cs="Times New Roman"/>
          <w:sz w:val="20"/>
          <w:szCs w:val="20"/>
          <w:lang w:eastAsia="en-US"/>
        </w:rPr>
      </w:pPr>
    </w:p>
    <w:p w14:paraId="372B4CF5" w14:textId="77777777" w:rsidR="0028236A" w:rsidRDefault="0028236A" w:rsidP="00CB22F6">
      <w:pPr>
        <w:spacing w:after="0" w:line="240" w:lineRule="auto"/>
        <w:jc w:val="both"/>
        <w:rPr>
          <w:rFonts w:ascii="Times New Roman" w:eastAsia="Times New Roman" w:hAnsi="Times New Roman" w:cs="Times New Roman"/>
          <w:sz w:val="20"/>
          <w:szCs w:val="20"/>
          <w:lang w:eastAsia="en-US"/>
        </w:rPr>
      </w:pPr>
    </w:p>
    <w:p w14:paraId="6281EB78" w14:textId="77777777" w:rsidR="0028236A" w:rsidRDefault="0028236A" w:rsidP="00CB22F6">
      <w:pPr>
        <w:spacing w:after="0" w:line="240" w:lineRule="auto"/>
        <w:jc w:val="both"/>
        <w:rPr>
          <w:rFonts w:ascii="Times New Roman" w:eastAsia="Times New Roman" w:hAnsi="Times New Roman" w:cs="Times New Roman"/>
          <w:sz w:val="20"/>
          <w:szCs w:val="20"/>
          <w:lang w:eastAsia="en-US"/>
        </w:rPr>
      </w:pPr>
    </w:p>
    <w:p w14:paraId="5ECE0FD9" w14:textId="77777777" w:rsidR="0028236A" w:rsidRPr="003A2F86" w:rsidRDefault="0028236A" w:rsidP="00CB22F6">
      <w:pPr>
        <w:spacing w:after="0" w:line="240" w:lineRule="auto"/>
        <w:jc w:val="both"/>
        <w:rPr>
          <w:rFonts w:ascii="Times New Roman" w:eastAsia="Times New Roman" w:hAnsi="Times New Roman" w:cs="Times New Roman"/>
          <w:sz w:val="20"/>
          <w:szCs w:val="20"/>
          <w:lang w:eastAsia="en-US"/>
        </w:rPr>
      </w:pPr>
    </w:p>
    <w:p w14:paraId="29A37E0A" w14:textId="3E643ED7" w:rsidR="003D4E85" w:rsidRPr="003A2F86" w:rsidRDefault="003D4E85" w:rsidP="003D4E85">
      <w:pPr>
        <w:spacing w:after="0" w:line="240" w:lineRule="auto"/>
        <w:jc w:val="both"/>
        <w:rPr>
          <w:rFonts w:ascii="Arial" w:eastAsia="Times New Roman" w:hAnsi="Arial" w:cs="Arial"/>
          <w:b/>
          <w:bCs/>
          <w:color w:val="0070C0"/>
          <w:sz w:val="20"/>
          <w:szCs w:val="20"/>
          <w:u w:val="single"/>
          <w:lang w:eastAsia="en-US"/>
        </w:rPr>
      </w:pPr>
      <w:bookmarkStart w:id="481" w:name="_Hlk146543343"/>
      <w:r w:rsidRPr="003A2F86">
        <w:rPr>
          <w:rFonts w:ascii="Arial" w:eastAsia="Times New Roman" w:hAnsi="Arial" w:cs="Arial"/>
          <w:b/>
          <w:bCs/>
          <w:color w:val="0070C0"/>
          <w:sz w:val="20"/>
          <w:szCs w:val="20"/>
          <w:u w:val="single"/>
          <w:lang w:eastAsia="en-US"/>
        </w:rPr>
        <w:lastRenderedPageBreak/>
        <w:t>U nastavku se daje prikaz strateških ciljeva i prioriteta prikazanih u usvojenom Strateški plan Općine Konavle za razdoblje 2021.-2022. godine donijelo je Općinsko vijeće je na sjednici održanoj 8. ožujka 2021.:</w:t>
      </w:r>
    </w:p>
    <w:p w14:paraId="7B7E9D92" w14:textId="77777777" w:rsidR="003D4E85" w:rsidRPr="003A2F86" w:rsidRDefault="003D4E85" w:rsidP="003D4E85">
      <w:pPr>
        <w:spacing w:after="0" w:line="240" w:lineRule="auto"/>
        <w:jc w:val="center"/>
        <w:rPr>
          <w:rFonts w:ascii="Arial" w:eastAsia="Times New Roman" w:hAnsi="Arial" w:cs="Arial"/>
          <w:b/>
          <w:bCs/>
          <w:sz w:val="20"/>
          <w:szCs w:val="20"/>
          <w:lang w:eastAsia="en-US"/>
        </w:rPr>
      </w:pPr>
      <w:r w:rsidRPr="003A2F86">
        <w:rPr>
          <w:rFonts w:ascii="Arial" w:eastAsia="Times New Roman" w:hAnsi="Arial" w:cs="Arial"/>
          <w:b/>
          <w:bCs/>
          <w:sz w:val="20"/>
          <w:szCs w:val="20"/>
          <w:highlight w:val="yellow"/>
          <w:lang w:eastAsia="en-US"/>
        </w:rPr>
        <w:t>STRATEŠKI CILJEVI, PRIORITETI</w:t>
      </w:r>
      <w:r w:rsidRPr="003A2F86">
        <w:rPr>
          <w:rFonts w:ascii="Arial" w:eastAsia="Times New Roman" w:hAnsi="Arial" w:cs="Arial"/>
          <w:b/>
          <w:bCs/>
          <w:sz w:val="20"/>
          <w:szCs w:val="20"/>
          <w:lang w:eastAsia="en-US"/>
        </w:rPr>
        <w:t xml:space="preserve"> </w:t>
      </w:r>
    </w:p>
    <w:p w14:paraId="436FD616" w14:textId="77777777" w:rsidR="003D4E85" w:rsidRPr="003A2F86" w:rsidRDefault="003D4E85" w:rsidP="003D4E85">
      <w:pPr>
        <w:spacing w:after="0" w:line="240" w:lineRule="auto"/>
        <w:ind w:firstLine="567"/>
        <w:jc w:val="both"/>
        <w:rPr>
          <w:rFonts w:ascii="Arial" w:eastAsia="Times New Roman" w:hAnsi="Arial" w:cs="Times New Roman"/>
          <w:b/>
          <w:bCs/>
          <w:sz w:val="20"/>
          <w:szCs w:val="20"/>
          <w:lang w:eastAsia="en-US"/>
        </w:rPr>
      </w:pPr>
      <w:r w:rsidRPr="003A2F86">
        <w:rPr>
          <w:rFonts w:ascii="Arial" w:eastAsia="Times New Roman" w:hAnsi="Arial" w:cs="Times New Roman"/>
          <w:b/>
          <w:bCs/>
          <w:sz w:val="20"/>
          <w:szCs w:val="20"/>
          <w:lang w:eastAsia="en-US"/>
        </w:rPr>
        <w:t>Strateški ciljevi:</w:t>
      </w:r>
    </w:p>
    <w:p w14:paraId="3474E123" w14:textId="77777777" w:rsidR="003D4E85" w:rsidRPr="003A2F86" w:rsidRDefault="003D4E85" w:rsidP="003D4E85">
      <w:pPr>
        <w:spacing w:after="0" w:line="240" w:lineRule="auto"/>
        <w:jc w:val="both"/>
        <w:rPr>
          <w:rFonts w:ascii="Arial" w:eastAsia="Times New Roman" w:hAnsi="Arial" w:cs="Times New Roman"/>
          <w:sz w:val="20"/>
          <w:szCs w:val="20"/>
          <w:lang w:eastAsia="en-US"/>
        </w:rPr>
      </w:pPr>
    </w:p>
    <w:p w14:paraId="02EDB8B6" w14:textId="77777777" w:rsidR="003D4E85" w:rsidRPr="003A2F86" w:rsidRDefault="003D4E85" w:rsidP="003D4E85">
      <w:pPr>
        <w:spacing w:after="0" w:line="240" w:lineRule="auto"/>
        <w:jc w:val="both"/>
        <w:rPr>
          <w:rFonts w:ascii="Arial" w:eastAsia="Times New Roman" w:hAnsi="Arial" w:cs="Times New Roman"/>
          <w:sz w:val="20"/>
          <w:szCs w:val="20"/>
          <w:lang w:eastAsia="en-US"/>
        </w:rPr>
      </w:pPr>
      <w:r w:rsidRPr="003A2F86">
        <w:rPr>
          <w:rFonts w:ascii="Arial" w:eastAsia="Times New Roman" w:hAnsi="Arial" w:cs="Times New Roman"/>
          <w:sz w:val="20"/>
          <w:szCs w:val="20"/>
          <w:lang w:eastAsia="en-US"/>
        </w:rPr>
        <w:t>1. KONKURENTNO I ODRŽIVO GOSPODARSTVO</w:t>
      </w:r>
    </w:p>
    <w:p w14:paraId="74D3CC0C" w14:textId="77777777" w:rsidR="003D4E85" w:rsidRPr="003A2F86" w:rsidRDefault="003D4E85" w:rsidP="003D4E85">
      <w:pPr>
        <w:spacing w:after="0" w:line="240" w:lineRule="auto"/>
        <w:jc w:val="both"/>
        <w:rPr>
          <w:rFonts w:ascii="Arial" w:eastAsia="Times New Roman" w:hAnsi="Arial" w:cs="Times New Roman"/>
          <w:sz w:val="20"/>
          <w:szCs w:val="20"/>
          <w:lang w:eastAsia="en-US"/>
        </w:rPr>
      </w:pPr>
      <w:r w:rsidRPr="003A2F86">
        <w:rPr>
          <w:rFonts w:ascii="Arial" w:eastAsia="Times New Roman" w:hAnsi="Arial" w:cs="Times New Roman"/>
          <w:sz w:val="20"/>
          <w:szCs w:val="20"/>
          <w:lang w:eastAsia="en-US"/>
        </w:rPr>
        <w:t>2. UNAPRJEĐENJE INFRASTRUKTURE</w:t>
      </w:r>
    </w:p>
    <w:p w14:paraId="7C47CF76" w14:textId="77777777" w:rsidR="003D4E85" w:rsidRPr="003A2F86" w:rsidRDefault="003D4E85" w:rsidP="003D4E85">
      <w:pPr>
        <w:spacing w:after="0" w:line="240" w:lineRule="auto"/>
        <w:jc w:val="both"/>
        <w:rPr>
          <w:rFonts w:ascii="Arial" w:eastAsia="Times New Roman" w:hAnsi="Arial" w:cs="Times New Roman"/>
          <w:sz w:val="20"/>
          <w:szCs w:val="20"/>
          <w:lang w:eastAsia="en-US"/>
        </w:rPr>
      </w:pPr>
      <w:r w:rsidRPr="003A2F86">
        <w:rPr>
          <w:rFonts w:ascii="Arial" w:eastAsia="Times New Roman" w:hAnsi="Arial" w:cs="Times New Roman"/>
          <w:sz w:val="20"/>
          <w:szCs w:val="20"/>
          <w:lang w:eastAsia="en-US"/>
        </w:rPr>
        <w:t>3. UNAPRJEĐENJE KVALITETE ŽIVOTA I RAZVOJ DRUŠTVENE ZAJEDNICE NA NAČELIMA KOHEZIJE I UKLJUČIVOSTI</w:t>
      </w:r>
    </w:p>
    <w:p w14:paraId="69EED062" w14:textId="77777777" w:rsidR="003D4E85" w:rsidRPr="003A2F86" w:rsidRDefault="003D4E85" w:rsidP="003D4E85">
      <w:pPr>
        <w:spacing w:after="0" w:line="240" w:lineRule="auto"/>
        <w:jc w:val="both"/>
        <w:rPr>
          <w:rFonts w:ascii="Arial" w:eastAsia="Times New Roman" w:hAnsi="Arial" w:cs="Times New Roman"/>
          <w:sz w:val="20"/>
          <w:szCs w:val="20"/>
          <w:lang w:eastAsia="en-US"/>
        </w:rPr>
      </w:pPr>
    </w:p>
    <w:p w14:paraId="3BD298AE" w14:textId="77777777" w:rsidR="003D4E85" w:rsidRPr="003A2F86" w:rsidRDefault="003D4E85">
      <w:pPr>
        <w:numPr>
          <w:ilvl w:val="0"/>
          <w:numId w:val="24"/>
        </w:numPr>
        <w:shd w:val="clear" w:color="auto" w:fill="DAEEF3"/>
        <w:autoSpaceDE w:val="0"/>
        <w:autoSpaceDN w:val="0"/>
        <w:adjustRightInd w:val="0"/>
        <w:spacing w:after="0" w:line="240" w:lineRule="auto"/>
        <w:contextualSpacing/>
        <w:rPr>
          <w:rFonts w:ascii="Arial" w:eastAsia="Times New Roman" w:hAnsi="Arial" w:cs="Arial"/>
          <w:b/>
          <w:bCs/>
          <w:i/>
          <w:iCs/>
          <w:sz w:val="20"/>
          <w:szCs w:val="20"/>
          <w:lang w:eastAsia="en-US"/>
        </w:rPr>
      </w:pPr>
      <w:r w:rsidRPr="003A2F86">
        <w:rPr>
          <w:rFonts w:ascii="Arial" w:eastAsia="Times New Roman" w:hAnsi="Arial" w:cs="Times New Roman"/>
          <w:b/>
          <w:sz w:val="20"/>
          <w:szCs w:val="20"/>
          <w:lang w:eastAsia="en-US"/>
        </w:rPr>
        <w:t>STRATEŠKI CILJ 1. – KONKURENTNO I ODRŽIVO GOSPODARSTVO</w:t>
      </w:r>
    </w:p>
    <w:p w14:paraId="19382FFE"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p>
    <w:p w14:paraId="1B95E284"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Strateški cilj 1. ostvarit će se kroz četiri prioriteta:</w:t>
      </w:r>
    </w:p>
    <w:p w14:paraId="601FA11E"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p>
    <w:p w14:paraId="3874DA75"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ab/>
        <w:t>1.1. Potpora razvoju gospodarstva i poduzetništva</w:t>
      </w:r>
    </w:p>
    <w:p w14:paraId="75ED9D2E"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ab/>
        <w:t>1.2. Održivi ruralni razvoj i poljoprivreda</w:t>
      </w:r>
    </w:p>
    <w:p w14:paraId="37B3F662"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ab/>
        <w:t>1.3. Unaprjeđenje turizma</w:t>
      </w:r>
    </w:p>
    <w:p w14:paraId="0DFFCD12"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ab/>
        <w:t>1.4. Pametan razvoj i zelena tranzicija</w:t>
      </w:r>
    </w:p>
    <w:p w14:paraId="296AD93F"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p>
    <w:p w14:paraId="031D1816" w14:textId="77777777" w:rsidR="003D4E85" w:rsidRPr="003A2F86" w:rsidRDefault="003D4E85">
      <w:pPr>
        <w:numPr>
          <w:ilvl w:val="0"/>
          <w:numId w:val="24"/>
        </w:numPr>
        <w:shd w:val="clear" w:color="auto" w:fill="DAEEF3"/>
        <w:autoSpaceDE w:val="0"/>
        <w:autoSpaceDN w:val="0"/>
        <w:adjustRightInd w:val="0"/>
        <w:spacing w:after="0" w:line="240" w:lineRule="auto"/>
        <w:contextualSpacing/>
        <w:rPr>
          <w:rFonts w:ascii="Arial" w:eastAsia="Calibri" w:hAnsi="Arial" w:cs="Arial"/>
          <w:b/>
          <w:bCs/>
          <w:i/>
          <w:iCs/>
          <w:sz w:val="20"/>
          <w:szCs w:val="20"/>
          <w:lang w:eastAsia="en-US"/>
        </w:rPr>
      </w:pPr>
      <w:r w:rsidRPr="003A2F86">
        <w:rPr>
          <w:rFonts w:ascii="Arial" w:eastAsia="Calibri" w:hAnsi="Arial" w:cs="Times New Roman"/>
          <w:b/>
          <w:sz w:val="20"/>
          <w:szCs w:val="20"/>
          <w:lang w:eastAsia="en-US"/>
        </w:rPr>
        <w:t>STRATEŠKI CILJ 2. – UNAPRJEĐENJE INFRASTRUKTURE</w:t>
      </w:r>
    </w:p>
    <w:p w14:paraId="0E31C170"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p>
    <w:p w14:paraId="25D69712"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 xml:space="preserve">Unaprjeđenje infrastrukture ostvarit će se kroz 7 prioriteta: </w:t>
      </w:r>
    </w:p>
    <w:p w14:paraId="346E4C8E"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p>
    <w:p w14:paraId="067BB436"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2.1. Unaprjeđenje prometne infrastrukture</w:t>
      </w:r>
    </w:p>
    <w:p w14:paraId="52BD402D"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2.2. Unaprjeđenje prostornog uređenja i komunalne infrastrukture</w:t>
      </w:r>
    </w:p>
    <w:p w14:paraId="4153DFE8"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2.3. Unaprjeđenje društvene, kulturne i turističke infrastrukture</w:t>
      </w:r>
    </w:p>
    <w:p w14:paraId="49C18DCA"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2.4. Razvoj stambene infrastrukture</w:t>
      </w:r>
    </w:p>
    <w:p w14:paraId="2169554D"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2.5. Unaprjeđenje poljoprivredne infrastrukture</w:t>
      </w:r>
    </w:p>
    <w:p w14:paraId="60FA396C"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2.6. Zaštita okoliša</w:t>
      </w:r>
    </w:p>
    <w:p w14:paraId="7A79C4E3"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2.7. Odgovorno i učinkovito upravljanje imovinom u vlasništvu Općine Konavle</w:t>
      </w:r>
    </w:p>
    <w:p w14:paraId="2C8344CF"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p>
    <w:p w14:paraId="42F374EB" w14:textId="77777777" w:rsidR="003D4E85" w:rsidRPr="003A2F86" w:rsidRDefault="003D4E85">
      <w:pPr>
        <w:numPr>
          <w:ilvl w:val="0"/>
          <w:numId w:val="24"/>
        </w:numPr>
        <w:shd w:val="clear" w:color="auto" w:fill="DAEEF3"/>
        <w:autoSpaceDE w:val="0"/>
        <w:autoSpaceDN w:val="0"/>
        <w:adjustRightInd w:val="0"/>
        <w:spacing w:after="0" w:line="240" w:lineRule="auto"/>
        <w:contextualSpacing/>
        <w:rPr>
          <w:rFonts w:ascii="Arial" w:eastAsia="Calibri" w:hAnsi="Arial" w:cs="Arial"/>
          <w:b/>
          <w:bCs/>
          <w:i/>
          <w:iCs/>
          <w:sz w:val="20"/>
          <w:szCs w:val="20"/>
          <w:lang w:eastAsia="en-US"/>
        </w:rPr>
      </w:pPr>
      <w:r w:rsidRPr="003A2F86">
        <w:rPr>
          <w:rFonts w:ascii="Arial" w:eastAsia="Calibri" w:hAnsi="Arial" w:cs="Times New Roman"/>
          <w:b/>
          <w:sz w:val="20"/>
          <w:szCs w:val="20"/>
          <w:lang w:eastAsia="en-US"/>
        </w:rPr>
        <w:t>STRATEŠKI CILJ 3. – UNAPRJEĐENJE KVALITETE ŽIVOTA I RAZVOJ DRUŠTVENE ZAJEDNICE NA NAČELIMA KOHEZIJE I UKLJUČIVOSTI</w:t>
      </w:r>
    </w:p>
    <w:p w14:paraId="10D92C4C" w14:textId="77777777" w:rsidR="003D4E85" w:rsidRPr="003A2F86" w:rsidRDefault="003D4E85" w:rsidP="003D4E85">
      <w:pPr>
        <w:autoSpaceDE w:val="0"/>
        <w:autoSpaceDN w:val="0"/>
        <w:adjustRightInd w:val="0"/>
        <w:spacing w:after="0" w:line="240" w:lineRule="auto"/>
        <w:jc w:val="both"/>
        <w:rPr>
          <w:rFonts w:ascii="Arial" w:eastAsia="Times New Roman" w:hAnsi="Arial" w:cs="Arial"/>
          <w:sz w:val="20"/>
          <w:szCs w:val="20"/>
        </w:rPr>
      </w:pPr>
    </w:p>
    <w:p w14:paraId="768519AD" w14:textId="77777777" w:rsidR="003D4E85" w:rsidRPr="003A2F86" w:rsidRDefault="003D4E85" w:rsidP="003D4E85">
      <w:pPr>
        <w:spacing w:after="0" w:line="240" w:lineRule="auto"/>
        <w:jc w:val="both"/>
        <w:rPr>
          <w:rFonts w:ascii="Arial" w:eastAsia="Calibri" w:hAnsi="Arial" w:cs="Times New Roman"/>
          <w:bCs/>
          <w:sz w:val="20"/>
          <w:szCs w:val="20"/>
          <w:lang w:eastAsia="en-US"/>
        </w:rPr>
      </w:pPr>
      <w:r w:rsidRPr="003A2F86">
        <w:rPr>
          <w:rFonts w:ascii="Arial" w:eastAsia="Calibri" w:hAnsi="Arial" w:cs="Times New Roman"/>
          <w:bCs/>
          <w:sz w:val="20"/>
          <w:szCs w:val="20"/>
          <w:lang w:eastAsia="en-US"/>
        </w:rPr>
        <w:t xml:space="preserve">Unaprjeđenje kvalitete života i razvoj društvene zajednice na načelima kohezije i uključivosti ostvarit će se kroz 6 prioriteta: </w:t>
      </w:r>
    </w:p>
    <w:p w14:paraId="6B36F948" w14:textId="77777777" w:rsidR="003D4E85" w:rsidRPr="003A2F86" w:rsidRDefault="003D4E85" w:rsidP="003D4E85">
      <w:pPr>
        <w:spacing w:after="0" w:line="240" w:lineRule="auto"/>
        <w:jc w:val="both"/>
        <w:rPr>
          <w:rFonts w:ascii="Arial" w:eastAsia="Calibri" w:hAnsi="Arial" w:cs="Times New Roman"/>
          <w:bCs/>
          <w:sz w:val="20"/>
          <w:szCs w:val="20"/>
          <w:lang w:eastAsia="en-US"/>
        </w:rPr>
      </w:pPr>
    </w:p>
    <w:p w14:paraId="37062DAD" w14:textId="77777777" w:rsidR="003D4E85" w:rsidRPr="003A2F86" w:rsidRDefault="003D4E85" w:rsidP="003D4E85">
      <w:pPr>
        <w:spacing w:after="0" w:line="240" w:lineRule="auto"/>
        <w:ind w:firstLine="708"/>
        <w:jc w:val="both"/>
        <w:rPr>
          <w:rFonts w:ascii="Arial" w:eastAsia="Calibri" w:hAnsi="Arial" w:cs="Times New Roman"/>
          <w:bCs/>
          <w:sz w:val="20"/>
          <w:szCs w:val="20"/>
          <w:lang w:eastAsia="en-US"/>
        </w:rPr>
      </w:pPr>
      <w:r w:rsidRPr="003A2F86">
        <w:rPr>
          <w:rFonts w:ascii="Arial" w:eastAsia="Calibri" w:hAnsi="Arial" w:cs="Times New Roman"/>
          <w:bCs/>
          <w:sz w:val="20"/>
          <w:szCs w:val="20"/>
          <w:lang w:eastAsia="en-US"/>
        </w:rPr>
        <w:t>3.1. Razvoj zdravstvene i socijalne zaštite</w:t>
      </w:r>
    </w:p>
    <w:p w14:paraId="03131CB2" w14:textId="77777777" w:rsidR="003D4E85" w:rsidRPr="003A2F86" w:rsidRDefault="003D4E85" w:rsidP="003D4E85">
      <w:pPr>
        <w:spacing w:after="0" w:line="240" w:lineRule="auto"/>
        <w:ind w:firstLine="708"/>
        <w:jc w:val="both"/>
        <w:rPr>
          <w:rFonts w:ascii="Arial" w:eastAsia="Calibri" w:hAnsi="Arial" w:cs="Times New Roman"/>
          <w:bCs/>
          <w:sz w:val="20"/>
          <w:szCs w:val="20"/>
          <w:lang w:eastAsia="en-US"/>
        </w:rPr>
      </w:pPr>
      <w:r w:rsidRPr="003A2F86">
        <w:rPr>
          <w:rFonts w:ascii="Arial" w:eastAsia="Calibri" w:hAnsi="Arial" w:cs="Times New Roman"/>
          <w:bCs/>
          <w:sz w:val="20"/>
          <w:szCs w:val="20"/>
          <w:lang w:eastAsia="en-US"/>
        </w:rPr>
        <w:t>3.2. Unaprjeđenje predškolskog odgoja i sustava obrazovanja</w:t>
      </w:r>
    </w:p>
    <w:p w14:paraId="0F4079C9" w14:textId="77777777" w:rsidR="003D4E85" w:rsidRPr="003A2F86" w:rsidRDefault="003D4E85" w:rsidP="003D4E85">
      <w:pPr>
        <w:spacing w:after="0" w:line="240" w:lineRule="auto"/>
        <w:ind w:firstLine="708"/>
        <w:jc w:val="both"/>
        <w:rPr>
          <w:rFonts w:ascii="Arial" w:eastAsia="Calibri" w:hAnsi="Arial" w:cs="Arial"/>
          <w:bCs/>
          <w:sz w:val="20"/>
          <w:szCs w:val="20"/>
          <w:lang w:eastAsia="en-US"/>
        </w:rPr>
      </w:pPr>
      <w:r w:rsidRPr="003A2F86">
        <w:rPr>
          <w:rFonts w:ascii="Arial" w:eastAsia="Calibri" w:hAnsi="Arial" w:cs="Arial"/>
          <w:bCs/>
          <w:sz w:val="20"/>
          <w:szCs w:val="20"/>
          <w:lang w:eastAsia="en-US"/>
        </w:rPr>
        <w:t>3.3. Razvoj sportskih i rekreativnih programa, poticanje aktivne uloge mladih i civilnih inicijativa u lokalnoj zajednici</w:t>
      </w:r>
    </w:p>
    <w:p w14:paraId="378CD270" w14:textId="77777777" w:rsidR="003D4E85" w:rsidRPr="003A2F86" w:rsidRDefault="003D4E85" w:rsidP="003D4E85">
      <w:pPr>
        <w:spacing w:after="0" w:line="240" w:lineRule="auto"/>
        <w:ind w:firstLine="708"/>
        <w:jc w:val="both"/>
        <w:rPr>
          <w:rFonts w:ascii="Arial" w:eastAsia="Calibri" w:hAnsi="Arial" w:cs="Arial"/>
          <w:bCs/>
          <w:sz w:val="20"/>
          <w:szCs w:val="20"/>
          <w:lang w:eastAsia="en-US"/>
        </w:rPr>
      </w:pPr>
      <w:r w:rsidRPr="003A2F86">
        <w:rPr>
          <w:rFonts w:ascii="Arial" w:eastAsia="Calibri" w:hAnsi="Arial" w:cs="Arial"/>
          <w:bCs/>
          <w:sz w:val="20"/>
          <w:szCs w:val="20"/>
          <w:lang w:eastAsia="en-US"/>
        </w:rPr>
        <w:t>3.4. Očuvanje i razvoj kulturno-povijesne baštine te kulturnih i turističkih sadržaja</w:t>
      </w:r>
    </w:p>
    <w:p w14:paraId="3071E8EE" w14:textId="77777777" w:rsidR="003D4E85" w:rsidRPr="003A2F86" w:rsidRDefault="003D4E85" w:rsidP="003D4E85">
      <w:pPr>
        <w:spacing w:after="0" w:line="240" w:lineRule="auto"/>
        <w:ind w:firstLine="708"/>
        <w:jc w:val="both"/>
        <w:rPr>
          <w:rFonts w:ascii="Arial" w:eastAsia="Calibri" w:hAnsi="Arial" w:cs="Arial"/>
          <w:bCs/>
          <w:sz w:val="20"/>
          <w:szCs w:val="20"/>
          <w:lang w:eastAsia="en-US"/>
        </w:rPr>
      </w:pPr>
      <w:r w:rsidRPr="003A2F86">
        <w:rPr>
          <w:rFonts w:ascii="Arial" w:eastAsia="Calibri" w:hAnsi="Arial" w:cs="Arial"/>
          <w:bCs/>
          <w:sz w:val="20"/>
          <w:szCs w:val="20"/>
          <w:lang w:eastAsia="en-US"/>
        </w:rPr>
        <w:t>3.5. Jačanje ljudskih potencijala, povećanje stručne kompetentnosti u javnim uslugama, poticanje zapošljivosti i provedba demografskih mjera</w:t>
      </w:r>
    </w:p>
    <w:p w14:paraId="1D01CEED" w14:textId="77777777" w:rsidR="003D4E85" w:rsidRPr="003A2F86" w:rsidRDefault="003D4E85" w:rsidP="003D4E85">
      <w:pPr>
        <w:spacing w:after="0" w:line="240" w:lineRule="auto"/>
        <w:ind w:firstLine="708"/>
        <w:jc w:val="both"/>
        <w:rPr>
          <w:rFonts w:ascii="Arial" w:eastAsia="Calibri" w:hAnsi="Arial" w:cs="Arial"/>
          <w:bCs/>
          <w:sz w:val="20"/>
          <w:szCs w:val="20"/>
          <w:lang w:eastAsia="en-US"/>
        </w:rPr>
      </w:pPr>
      <w:r w:rsidRPr="003A2F86">
        <w:rPr>
          <w:rFonts w:ascii="Arial" w:eastAsia="Calibri" w:hAnsi="Arial" w:cs="Arial"/>
          <w:bCs/>
          <w:sz w:val="20"/>
          <w:szCs w:val="20"/>
          <w:lang w:eastAsia="en-US"/>
        </w:rPr>
        <w:t>3.6. Unaprjeđenje sustava sigurnosti</w:t>
      </w:r>
    </w:p>
    <w:p w14:paraId="696C131E" w14:textId="77777777" w:rsidR="003D4E85" w:rsidRPr="003A2F86" w:rsidRDefault="003D4E85" w:rsidP="003D4E85">
      <w:pPr>
        <w:autoSpaceDE w:val="0"/>
        <w:autoSpaceDN w:val="0"/>
        <w:adjustRightInd w:val="0"/>
        <w:spacing w:after="0" w:line="240" w:lineRule="auto"/>
        <w:jc w:val="both"/>
        <w:rPr>
          <w:rFonts w:ascii="Arial" w:eastAsia="Times New Roman" w:hAnsi="Arial" w:cs="Arial"/>
        </w:rPr>
      </w:pPr>
    </w:p>
    <w:p w14:paraId="72264880" w14:textId="77777777" w:rsidR="003D4E85" w:rsidRPr="0028236A" w:rsidRDefault="003D4E85" w:rsidP="003D4E85">
      <w:pPr>
        <w:autoSpaceDE w:val="0"/>
        <w:autoSpaceDN w:val="0"/>
        <w:adjustRightInd w:val="0"/>
        <w:spacing w:after="0" w:line="240" w:lineRule="auto"/>
        <w:jc w:val="both"/>
        <w:rPr>
          <w:rFonts w:ascii="Arial" w:eastAsia="Times New Roman" w:hAnsi="Arial" w:cs="Arial"/>
          <w:sz w:val="20"/>
          <w:szCs w:val="20"/>
        </w:rPr>
      </w:pPr>
      <w:r w:rsidRPr="0028236A">
        <w:rPr>
          <w:rFonts w:ascii="Arial" w:eastAsia="Times New Roman" w:hAnsi="Arial" w:cs="Arial"/>
          <w:sz w:val="20"/>
          <w:szCs w:val="20"/>
        </w:rPr>
        <w:lastRenderedPageBreak/>
        <w:t xml:space="preserve">Projekti se najvećim dijelom realiziraju kroz </w:t>
      </w:r>
      <w:r w:rsidRPr="0028236A">
        <w:rPr>
          <w:rFonts w:ascii="Arial" w:eastAsia="Times New Roman" w:hAnsi="Arial" w:cs="Arial"/>
          <w:b/>
          <w:sz w:val="20"/>
          <w:szCs w:val="20"/>
        </w:rPr>
        <w:t>razdjel 030</w:t>
      </w:r>
      <w:r w:rsidRPr="0028236A">
        <w:rPr>
          <w:rFonts w:ascii="Arial" w:eastAsia="Times New Roman" w:hAnsi="Arial" w:cs="Arial"/>
          <w:sz w:val="20"/>
          <w:szCs w:val="20"/>
        </w:rPr>
        <w:t xml:space="preserve"> –Upravni odjel za komunalni sustav i gospodarenje nekretninama u suradnji s </w:t>
      </w:r>
      <w:r w:rsidRPr="0028236A">
        <w:rPr>
          <w:rFonts w:ascii="Arial" w:eastAsia="Times New Roman" w:hAnsi="Arial" w:cs="Arial"/>
          <w:b/>
          <w:bCs/>
          <w:sz w:val="20"/>
          <w:szCs w:val="20"/>
        </w:rPr>
        <w:t>razdjelom</w:t>
      </w:r>
      <w:r w:rsidRPr="0028236A">
        <w:rPr>
          <w:rFonts w:ascii="Arial" w:eastAsia="Times New Roman" w:hAnsi="Arial" w:cs="Arial"/>
          <w:sz w:val="20"/>
          <w:szCs w:val="20"/>
        </w:rPr>
        <w:t xml:space="preserve"> </w:t>
      </w:r>
      <w:r w:rsidRPr="0028236A">
        <w:rPr>
          <w:rFonts w:ascii="Arial" w:eastAsia="Times New Roman" w:hAnsi="Arial" w:cs="Arial"/>
          <w:b/>
          <w:bCs/>
          <w:sz w:val="20"/>
          <w:szCs w:val="20"/>
        </w:rPr>
        <w:t>040</w:t>
      </w:r>
      <w:r w:rsidRPr="0028236A">
        <w:rPr>
          <w:rFonts w:ascii="Arial" w:eastAsia="Times New Roman" w:hAnsi="Arial" w:cs="Arial"/>
          <w:sz w:val="20"/>
          <w:szCs w:val="20"/>
        </w:rPr>
        <w:t xml:space="preserve"> – Upravni odjel za ruralni razvoj, gospodarstvo i EU fondove. </w:t>
      </w:r>
    </w:p>
    <w:p w14:paraId="41B85833" w14:textId="77777777" w:rsidR="003D4E85" w:rsidRPr="0028236A" w:rsidRDefault="003D4E85" w:rsidP="003D4E85">
      <w:pPr>
        <w:autoSpaceDE w:val="0"/>
        <w:autoSpaceDN w:val="0"/>
        <w:adjustRightInd w:val="0"/>
        <w:spacing w:after="0" w:line="240" w:lineRule="auto"/>
        <w:jc w:val="both"/>
        <w:rPr>
          <w:rFonts w:ascii="Arial" w:eastAsia="Times New Roman" w:hAnsi="Arial" w:cs="Arial"/>
          <w:sz w:val="20"/>
          <w:szCs w:val="20"/>
        </w:rPr>
      </w:pPr>
    </w:p>
    <w:p w14:paraId="581C868D" w14:textId="77777777" w:rsidR="003D4E85" w:rsidRPr="0028236A" w:rsidRDefault="003D4E85" w:rsidP="003D4E85">
      <w:pPr>
        <w:autoSpaceDE w:val="0"/>
        <w:autoSpaceDN w:val="0"/>
        <w:adjustRightInd w:val="0"/>
        <w:spacing w:after="0" w:line="240" w:lineRule="auto"/>
        <w:jc w:val="both"/>
        <w:rPr>
          <w:rFonts w:ascii="Arial" w:eastAsia="Times New Roman" w:hAnsi="Arial" w:cs="Arial"/>
          <w:b/>
          <w:sz w:val="20"/>
          <w:szCs w:val="20"/>
        </w:rPr>
      </w:pPr>
      <w:r w:rsidRPr="0028236A">
        <w:rPr>
          <w:rFonts w:ascii="Arial" w:eastAsia="Times New Roman" w:hAnsi="Arial" w:cs="Arial"/>
          <w:b/>
          <w:sz w:val="20"/>
          <w:szCs w:val="20"/>
        </w:rPr>
        <w:t xml:space="preserve">RAZDJEL 030: </w:t>
      </w:r>
    </w:p>
    <w:p w14:paraId="5962A9E2" w14:textId="77777777" w:rsidR="003D4E85" w:rsidRPr="0028236A" w:rsidRDefault="003D4E85" w:rsidP="003D4E85">
      <w:pPr>
        <w:autoSpaceDE w:val="0"/>
        <w:autoSpaceDN w:val="0"/>
        <w:adjustRightInd w:val="0"/>
        <w:spacing w:after="0" w:line="240" w:lineRule="auto"/>
        <w:jc w:val="both"/>
        <w:rPr>
          <w:rFonts w:ascii="Arial" w:eastAsia="Times New Roman" w:hAnsi="Arial" w:cs="Arial"/>
          <w:sz w:val="20"/>
          <w:szCs w:val="20"/>
        </w:rPr>
      </w:pPr>
      <w:r w:rsidRPr="0028236A">
        <w:rPr>
          <w:rFonts w:ascii="Arial" w:eastAsia="Times New Roman" w:hAnsi="Arial" w:cs="Arial"/>
          <w:b/>
          <w:sz w:val="20"/>
          <w:szCs w:val="20"/>
        </w:rPr>
        <w:t>Glava 01</w:t>
      </w:r>
      <w:r w:rsidRPr="0028236A">
        <w:rPr>
          <w:rFonts w:ascii="Arial" w:eastAsia="Times New Roman" w:hAnsi="Arial" w:cs="Arial"/>
          <w:sz w:val="20"/>
          <w:szCs w:val="20"/>
        </w:rPr>
        <w:t xml:space="preserve"> – Upravni odjel za komunalni sustav i gospodarenje nekretninama </w:t>
      </w:r>
    </w:p>
    <w:p w14:paraId="391C3B10" w14:textId="77777777" w:rsidR="003D4E85" w:rsidRPr="0028236A" w:rsidRDefault="003D4E85" w:rsidP="003D4E85">
      <w:pPr>
        <w:autoSpaceDE w:val="0"/>
        <w:autoSpaceDN w:val="0"/>
        <w:adjustRightInd w:val="0"/>
        <w:spacing w:after="0" w:line="240" w:lineRule="auto"/>
        <w:jc w:val="both"/>
        <w:rPr>
          <w:rFonts w:ascii="Arial" w:eastAsia="Times New Roman" w:hAnsi="Arial" w:cs="Arial"/>
          <w:sz w:val="20"/>
          <w:szCs w:val="20"/>
        </w:rPr>
      </w:pPr>
      <w:r w:rsidRPr="0028236A">
        <w:rPr>
          <w:rFonts w:ascii="Arial" w:eastAsia="Times New Roman" w:hAnsi="Arial" w:cs="Arial"/>
          <w:sz w:val="20"/>
          <w:szCs w:val="20"/>
        </w:rPr>
        <w:t>- PROGRAM 2092 Gradnja komunalne infrastrukture</w:t>
      </w:r>
    </w:p>
    <w:p w14:paraId="0B12A73D" w14:textId="77777777" w:rsidR="003D4E85" w:rsidRPr="0028236A" w:rsidRDefault="003D4E85" w:rsidP="003D4E85">
      <w:pPr>
        <w:autoSpaceDE w:val="0"/>
        <w:autoSpaceDN w:val="0"/>
        <w:adjustRightInd w:val="0"/>
        <w:spacing w:after="0" w:line="240" w:lineRule="auto"/>
        <w:jc w:val="both"/>
        <w:rPr>
          <w:rFonts w:ascii="Arial" w:eastAsia="Times New Roman" w:hAnsi="Arial" w:cs="Arial"/>
          <w:sz w:val="20"/>
          <w:szCs w:val="20"/>
        </w:rPr>
      </w:pPr>
      <w:r w:rsidRPr="0028236A">
        <w:rPr>
          <w:rFonts w:ascii="Arial" w:eastAsia="Times New Roman" w:hAnsi="Arial" w:cs="Arial"/>
          <w:sz w:val="20"/>
          <w:szCs w:val="20"/>
        </w:rPr>
        <w:t>- PROGRAM 2093 Izgradnja objekata i uređaja, te nabava opreme za prijevoz putnika, održavanje čistoće i odlaganje komunalnog otpada i tržnice</w:t>
      </w:r>
    </w:p>
    <w:p w14:paraId="65A67B24" w14:textId="77777777" w:rsidR="003D4E85" w:rsidRPr="0028236A" w:rsidRDefault="003D4E85" w:rsidP="003D4E85">
      <w:pPr>
        <w:autoSpaceDE w:val="0"/>
        <w:autoSpaceDN w:val="0"/>
        <w:adjustRightInd w:val="0"/>
        <w:spacing w:after="0" w:line="240" w:lineRule="auto"/>
        <w:jc w:val="both"/>
        <w:rPr>
          <w:rFonts w:ascii="Arial" w:eastAsia="Times New Roman" w:hAnsi="Arial" w:cs="Arial"/>
          <w:sz w:val="20"/>
          <w:szCs w:val="20"/>
        </w:rPr>
      </w:pPr>
      <w:r w:rsidRPr="0028236A">
        <w:rPr>
          <w:rFonts w:ascii="Arial" w:eastAsia="Times New Roman" w:hAnsi="Arial" w:cs="Arial"/>
          <w:sz w:val="20"/>
          <w:szCs w:val="20"/>
        </w:rPr>
        <w:t>- PROGRAM 2094 Plan gradnje komunalnih vodnih građevina</w:t>
      </w:r>
    </w:p>
    <w:p w14:paraId="3ECF05D2" w14:textId="77777777" w:rsidR="003D4E85" w:rsidRPr="0028236A" w:rsidRDefault="003D4E85" w:rsidP="003D4E85">
      <w:pPr>
        <w:autoSpaceDE w:val="0"/>
        <w:autoSpaceDN w:val="0"/>
        <w:adjustRightInd w:val="0"/>
        <w:spacing w:after="0" w:line="240" w:lineRule="auto"/>
        <w:jc w:val="both"/>
        <w:rPr>
          <w:rFonts w:ascii="Arial" w:eastAsia="Times New Roman" w:hAnsi="Arial" w:cs="Arial"/>
          <w:sz w:val="20"/>
          <w:szCs w:val="20"/>
        </w:rPr>
      </w:pPr>
      <w:r w:rsidRPr="0028236A">
        <w:rPr>
          <w:rFonts w:ascii="Arial" w:eastAsia="Times New Roman" w:hAnsi="Arial" w:cs="Arial"/>
          <w:sz w:val="20"/>
          <w:szCs w:val="20"/>
        </w:rPr>
        <w:t>- PROGRAM 2096 Program gradnje građevina za gospodarenje komunalnim otpadom</w:t>
      </w:r>
    </w:p>
    <w:p w14:paraId="271F18CA" w14:textId="77777777" w:rsidR="003D4E85" w:rsidRPr="0028236A" w:rsidRDefault="003D4E85" w:rsidP="003D4E85">
      <w:pPr>
        <w:autoSpaceDE w:val="0"/>
        <w:autoSpaceDN w:val="0"/>
        <w:adjustRightInd w:val="0"/>
        <w:spacing w:after="0" w:line="240" w:lineRule="auto"/>
        <w:jc w:val="both"/>
        <w:rPr>
          <w:rFonts w:ascii="Arial" w:eastAsia="Times New Roman" w:hAnsi="Arial" w:cs="Arial"/>
          <w:sz w:val="20"/>
          <w:szCs w:val="20"/>
        </w:rPr>
      </w:pPr>
      <w:r w:rsidRPr="0028236A">
        <w:rPr>
          <w:rFonts w:ascii="Arial" w:eastAsia="Times New Roman" w:hAnsi="Arial" w:cs="Arial"/>
          <w:sz w:val="20"/>
          <w:szCs w:val="20"/>
        </w:rPr>
        <w:t>- PROGRAM 2073 Pripremne aktivnosti u protupožarnoj zaštiti, te zaštita i spašavanje</w:t>
      </w:r>
    </w:p>
    <w:p w14:paraId="6F06CC81" w14:textId="77777777" w:rsidR="003D4E85" w:rsidRPr="0028236A" w:rsidRDefault="003D4E85" w:rsidP="003D4E85">
      <w:pPr>
        <w:autoSpaceDE w:val="0"/>
        <w:autoSpaceDN w:val="0"/>
        <w:adjustRightInd w:val="0"/>
        <w:spacing w:after="0" w:line="240" w:lineRule="auto"/>
        <w:jc w:val="both"/>
        <w:rPr>
          <w:rFonts w:ascii="Arial" w:eastAsia="Times New Roman" w:hAnsi="Arial" w:cs="Arial"/>
          <w:sz w:val="20"/>
          <w:szCs w:val="20"/>
        </w:rPr>
      </w:pPr>
      <w:r w:rsidRPr="0028236A">
        <w:rPr>
          <w:rFonts w:ascii="Arial" w:eastAsia="Times New Roman" w:hAnsi="Arial" w:cs="Arial"/>
          <w:sz w:val="20"/>
          <w:szCs w:val="20"/>
        </w:rPr>
        <w:t>- PROGRAM 2101 Izgradnja i uređenje objekata javne namjene – predškolski odgoj i školstvo</w:t>
      </w:r>
    </w:p>
    <w:p w14:paraId="72E069DF" w14:textId="77777777" w:rsidR="003D4E85" w:rsidRPr="0028236A" w:rsidRDefault="003D4E85" w:rsidP="003D4E85">
      <w:pPr>
        <w:autoSpaceDE w:val="0"/>
        <w:autoSpaceDN w:val="0"/>
        <w:adjustRightInd w:val="0"/>
        <w:spacing w:after="0" w:line="240" w:lineRule="auto"/>
        <w:jc w:val="both"/>
        <w:rPr>
          <w:rFonts w:ascii="Arial" w:eastAsia="Times New Roman" w:hAnsi="Arial" w:cs="Arial"/>
          <w:sz w:val="20"/>
          <w:szCs w:val="20"/>
        </w:rPr>
      </w:pPr>
      <w:r w:rsidRPr="0028236A">
        <w:rPr>
          <w:rFonts w:ascii="Arial" w:eastAsia="Times New Roman" w:hAnsi="Arial" w:cs="Arial"/>
          <w:sz w:val="20"/>
          <w:szCs w:val="20"/>
        </w:rPr>
        <w:t>- PROGRAM 2102 Izgradnja i uređenje objekata javne namjene – sport</w:t>
      </w:r>
    </w:p>
    <w:bookmarkEnd w:id="481"/>
    <w:p w14:paraId="465A3CC6" w14:textId="0EDA6555" w:rsidR="00C047C7" w:rsidRPr="0028236A" w:rsidRDefault="00C047C7" w:rsidP="00CB22F6">
      <w:pPr>
        <w:spacing w:after="0" w:line="240" w:lineRule="auto"/>
        <w:jc w:val="both"/>
        <w:rPr>
          <w:rFonts w:ascii="Arial" w:eastAsia="Times New Roman" w:hAnsi="Arial" w:cs="Arial"/>
          <w:sz w:val="18"/>
          <w:szCs w:val="18"/>
          <w:lang w:eastAsia="en-US"/>
        </w:rPr>
      </w:pPr>
    </w:p>
    <w:p w14:paraId="6C1DCA3F" w14:textId="35454727" w:rsidR="003D4E85" w:rsidRPr="003A2F86" w:rsidRDefault="003D4E85" w:rsidP="00CB22F6">
      <w:pPr>
        <w:spacing w:after="0" w:line="240" w:lineRule="auto"/>
        <w:jc w:val="both"/>
        <w:rPr>
          <w:rFonts w:ascii="Arial" w:eastAsia="Times New Roman" w:hAnsi="Arial" w:cs="Arial"/>
          <w:b/>
          <w:bCs/>
          <w:color w:val="0070C0"/>
          <w:sz w:val="20"/>
          <w:szCs w:val="20"/>
          <w:u w:val="single"/>
          <w:lang w:eastAsia="en-US"/>
        </w:rPr>
      </w:pPr>
      <w:bookmarkStart w:id="482" w:name="_Hlk146543365"/>
      <w:r w:rsidRPr="003A2F86">
        <w:rPr>
          <w:rFonts w:ascii="Arial" w:eastAsia="Times New Roman" w:hAnsi="Arial" w:cs="Arial"/>
          <w:b/>
          <w:bCs/>
          <w:color w:val="0070C0"/>
          <w:sz w:val="20"/>
          <w:szCs w:val="20"/>
          <w:u w:val="single"/>
          <w:lang w:eastAsia="en-US"/>
        </w:rPr>
        <w:t>U nastavku se daje pregled prioriteta i ciljeva prikazanih u Provedbenom programu Općine Konavle za razdoblje 2022.-2025. iz prosinca 2021. godine objavljen je na mrežnim stranicama Općine (</w:t>
      </w:r>
      <w:r w:rsidRPr="003A2F86">
        <w:rPr>
          <w:rFonts w:ascii="Arial" w:eastAsia="Times New Roman" w:hAnsi="Arial" w:cs="Arial"/>
          <w:color w:val="0070C0"/>
          <w:sz w:val="20"/>
          <w:szCs w:val="20"/>
          <w:lang w:eastAsia="en-US"/>
        </w:rPr>
        <w:t>usklađeni s prioritetima Dubrovačko-neretvanske županije iskazanim u Planu razvoja Dubrovačko-neretvanske županije za razdoblje 2021.-2027. godine):</w:t>
      </w:r>
    </w:p>
    <w:p w14:paraId="79A5FB60" w14:textId="77777777" w:rsidR="00C047C7" w:rsidRPr="003A2F86" w:rsidRDefault="00C047C7" w:rsidP="00CB22F6">
      <w:pPr>
        <w:spacing w:after="0" w:line="240" w:lineRule="auto"/>
        <w:jc w:val="both"/>
        <w:rPr>
          <w:rFonts w:ascii="Times New Roman" w:eastAsia="Times New Roman" w:hAnsi="Times New Roman" w:cs="Times New Roman"/>
          <w:sz w:val="20"/>
          <w:szCs w:val="20"/>
          <w:lang w:eastAsia="en-US"/>
        </w:rPr>
      </w:pPr>
    </w:p>
    <w:p w14:paraId="6C3C59EE" w14:textId="4CCDE333" w:rsidR="00CB22F6" w:rsidRPr="003A2F86" w:rsidRDefault="00CB22F6" w:rsidP="00CB22F6">
      <w:pPr>
        <w:spacing w:after="0" w:line="240" w:lineRule="auto"/>
        <w:jc w:val="center"/>
        <w:rPr>
          <w:rFonts w:ascii="Arial" w:eastAsia="Times New Roman" w:hAnsi="Arial" w:cs="Arial"/>
          <w:b/>
          <w:bCs/>
          <w:sz w:val="20"/>
          <w:szCs w:val="20"/>
          <w:lang w:eastAsia="en-US"/>
        </w:rPr>
      </w:pPr>
      <w:r w:rsidRPr="003A2F86">
        <w:rPr>
          <w:rFonts w:ascii="Arial" w:eastAsia="Times New Roman" w:hAnsi="Arial" w:cs="Arial"/>
          <w:b/>
          <w:bCs/>
          <w:sz w:val="20"/>
          <w:szCs w:val="20"/>
          <w:highlight w:val="yellow"/>
          <w:lang w:eastAsia="en-US"/>
        </w:rPr>
        <w:t>CILJEVI</w:t>
      </w:r>
      <w:r w:rsidR="003D4E85" w:rsidRPr="003A2F86">
        <w:rPr>
          <w:rFonts w:ascii="Arial" w:eastAsia="Times New Roman" w:hAnsi="Arial" w:cs="Arial"/>
          <w:b/>
          <w:bCs/>
          <w:sz w:val="20"/>
          <w:szCs w:val="20"/>
          <w:highlight w:val="yellow"/>
          <w:lang w:eastAsia="en-US"/>
        </w:rPr>
        <w:t xml:space="preserve"> I</w:t>
      </w:r>
      <w:r w:rsidRPr="003A2F86">
        <w:rPr>
          <w:rFonts w:ascii="Arial" w:eastAsia="Times New Roman" w:hAnsi="Arial" w:cs="Arial"/>
          <w:b/>
          <w:bCs/>
          <w:sz w:val="20"/>
          <w:szCs w:val="20"/>
          <w:highlight w:val="yellow"/>
          <w:lang w:eastAsia="en-US"/>
        </w:rPr>
        <w:t xml:space="preserve"> PRIORITETI</w:t>
      </w:r>
      <w:r w:rsidRPr="003A2F86">
        <w:rPr>
          <w:rFonts w:ascii="Arial" w:eastAsia="Times New Roman" w:hAnsi="Arial" w:cs="Arial"/>
          <w:b/>
          <w:bCs/>
          <w:sz w:val="20"/>
          <w:szCs w:val="20"/>
          <w:lang w:eastAsia="en-US"/>
        </w:rPr>
        <w:t xml:space="preserve"> </w:t>
      </w:r>
    </w:p>
    <w:p w14:paraId="6252DDB8" w14:textId="034F77EA" w:rsidR="00CB22F6" w:rsidRPr="003A2F86" w:rsidRDefault="003D4E85" w:rsidP="00CB22F6">
      <w:pPr>
        <w:spacing w:after="0" w:line="240" w:lineRule="auto"/>
        <w:ind w:firstLine="567"/>
        <w:jc w:val="both"/>
        <w:rPr>
          <w:rFonts w:ascii="Arial" w:eastAsia="Times New Roman" w:hAnsi="Arial" w:cs="Times New Roman"/>
          <w:b/>
          <w:bCs/>
          <w:sz w:val="20"/>
          <w:szCs w:val="20"/>
          <w:lang w:eastAsia="en-US"/>
        </w:rPr>
      </w:pPr>
      <w:r w:rsidRPr="003A2F86">
        <w:rPr>
          <w:rFonts w:ascii="Arial" w:eastAsia="Times New Roman" w:hAnsi="Arial" w:cs="Times New Roman"/>
          <w:b/>
          <w:bCs/>
          <w:sz w:val="20"/>
          <w:szCs w:val="20"/>
          <w:lang w:eastAsia="en-US"/>
        </w:rPr>
        <w:t>Prioriteti</w:t>
      </w:r>
      <w:r w:rsidR="00CB22F6" w:rsidRPr="003A2F86">
        <w:rPr>
          <w:rFonts w:ascii="Arial" w:eastAsia="Times New Roman" w:hAnsi="Arial" w:cs="Times New Roman"/>
          <w:b/>
          <w:bCs/>
          <w:sz w:val="20"/>
          <w:szCs w:val="20"/>
          <w:lang w:eastAsia="en-US"/>
        </w:rPr>
        <w:t>:</w:t>
      </w:r>
    </w:p>
    <w:p w14:paraId="2010C92B" w14:textId="77777777" w:rsidR="00CB22F6" w:rsidRPr="003A2F86" w:rsidRDefault="00CB22F6" w:rsidP="00CB22F6">
      <w:pPr>
        <w:spacing w:after="0" w:line="240" w:lineRule="auto"/>
        <w:jc w:val="both"/>
        <w:rPr>
          <w:rFonts w:ascii="Arial" w:eastAsia="Times New Roman" w:hAnsi="Arial" w:cs="Times New Roman"/>
          <w:sz w:val="20"/>
          <w:szCs w:val="20"/>
          <w:lang w:eastAsia="en-US"/>
        </w:rPr>
      </w:pPr>
    </w:p>
    <w:p w14:paraId="3F022A9F" w14:textId="1F182569" w:rsidR="00CB22F6" w:rsidRPr="003A2F86" w:rsidRDefault="00CB22F6" w:rsidP="00CB22F6">
      <w:pPr>
        <w:spacing w:after="0" w:line="240" w:lineRule="auto"/>
        <w:jc w:val="both"/>
        <w:rPr>
          <w:rFonts w:ascii="Arial" w:eastAsia="Times New Roman" w:hAnsi="Arial" w:cs="Times New Roman"/>
          <w:sz w:val="20"/>
          <w:szCs w:val="20"/>
          <w:lang w:eastAsia="en-US"/>
        </w:rPr>
      </w:pPr>
      <w:r w:rsidRPr="003A2F86">
        <w:rPr>
          <w:rFonts w:ascii="Arial" w:eastAsia="Times New Roman" w:hAnsi="Arial" w:cs="Times New Roman"/>
          <w:sz w:val="20"/>
          <w:szCs w:val="20"/>
          <w:lang w:eastAsia="en-US"/>
        </w:rPr>
        <w:t xml:space="preserve">1. </w:t>
      </w:r>
      <w:r w:rsidR="003D4E85" w:rsidRPr="003A2F86">
        <w:rPr>
          <w:rFonts w:ascii="Arial" w:eastAsia="Times New Roman" w:hAnsi="Arial" w:cs="Times New Roman"/>
          <w:sz w:val="20"/>
          <w:szCs w:val="20"/>
          <w:lang w:eastAsia="en-US"/>
        </w:rPr>
        <w:t>JAČANJE OTPORNOSTI GOSPODARSTVA I POVEĆANJE I POVEĆANJEULAGANJA U ODRŽIVO I DIGITALNO GOSPODARSTVO</w:t>
      </w:r>
    </w:p>
    <w:p w14:paraId="5D576D1D" w14:textId="0AFFD1C7" w:rsidR="003D4E85" w:rsidRPr="003A2F86" w:rsidRDefault="003D4E85" w:rsidP="00CB22F6">
      <w:pPr>
        <w:spacing w:after="0" w:line="240" w:lineRule="auto"/>
        <w:jc w:val="both"/>
        <w:rPr>
          <w:rFonts w:ascii="Arial" w:eastAsia="Times New Roman" w:hAnsi="Arial" w:cs="Times New Roman"/>
          <w:sz w:val="20"/>
          <w:szCs w:val="20"/>
          <w:lang w:eastAsia="en-US"/>
        </w:rPr>
      </w:pPr>
      <w:r w:rsidRPr="003A2F86">
        <w:rPr>
          <w:rFonts w:ascii="Arial" w:eastAsia="Times New Roman" w:hAnsi="Arial" w:cs="Times New Roman"/>
          <w:sz w:val="20"/>
          <w:szCs w:val="20"/>
          <w:lang w:eastAsia="en-US"/>
        </w:rPr>
        <w:t>2. POBOLJŠANJE KVALITETE ŽIVOTA TE UNAPREĐENJE LJUDSKOG KAPITALA</w:t>
      </w:r>
    </w:p>
    <w:p w14:paraId="5129F1D9" w14:textId="257DB338" w:rsidR="00CB22F6" w:rsidRPr="003A2F86" w:rsidRDefault="00CB22F6" w:rsidP="00CB22F6">
      <w:pPr>
        <w:spacing w:after="0" w:line="240" w:lineRule="auto"/>
        <w:jc w:val="both"/>
        <w:rPr>
          <w:rFonts w:ascii="Arial" w:eastAsia="Times New Roman" w:hAnsi="Arial" w:cs="Times New Roman"/>
          <w:sz w:val="20"/>
          <w:szCs w:val="20"/>
          <w:lang w:eastAsia="en-US"/>
        </w:rPr>
      </w:pPr>
      <w:r w:rsidRPr="003A2F86">
        <w:rPr>
          <w:rFonts w:ascii="Arial" w:eastAsia="Times New Roman" w:hAnsi="Arial" w:cs="Times New Roman"/>
          <w:sz w:val="20"/>
          <w:szCs w:val="20"/>
          <w:lang w:eastAsia="en-US"/>
        </w:rPr>
        <w:t xml:space="preserve">2. </w:t>
      </w:r>
      <w:r w:rsidR="003D4E85" w:rsidRPr="003A2F86">
        <w:rPr>
          <w:rFonts w:ascii="Arial" w:eastAsia="Times New Roman" w:hAnsi="Arial" w:cs="Times New Roman"/>
          <w:sz w:val="20"/>
          <w:szCs w:val="20"/>
          <w:lang w:eastAsia="en-US"/>
        </w:rPr>
        <w:t>OČUVANJE OKOLIŠA, POBOLJŠANJE POVEZIVOSTI I ODRŽIVO KORIŠTENJE BAŠTINE</w:t>
      </w:r>
    </w:p>
    <w:p w14:paraId="512FF4BD" w14:textId="12C87511" w:rsidR="00CB22F6" w:rsidRPr="003A2F86" w:rsidRDefault="00CB22F6" w:rsidP="00CB22F6">
      <w:pPr>
        <w:spacing w:after="0" w:line="240" w:lineRule="auto"/>
        <w:jc w:val="both"/>
        <w:rPr>
          <w:rFonts w:ascii="Arial" w:eastAsia="Times New Roman" w:hAnsi="Arial" w:cs="Times New Roman"/>
          <w:sz w:val="20"/>
          <w:szCs w:val="20"/>
          <w:lang w:eastAsia="en-US"/>
        </w:rPr>
      </w:pPr>
      <w:r w:rsidRPr="003A2F86">
        <w:rPr>
          <w:rFonts w:ascii="Arial" w:eastAsia="Times New Roman" w:hAnsi="Arial" w:cs="Times New Roman"/>
          <w:sz w:val="20"/>
          <w:szCs w:val="20"/>
          <w:lang w:eastAsia="en-US"/>
        </w:rPr>
        <w:t xml:space="preserve">3. </w:t>
      </w:r>
      <w:r w:rsidR="003D4E85" w:rsidRPr="003A2F86">
        <w:rPr>
          <w:rFonts w:ascii="Arial" w:eastAsia="Times New Roman" w:hAnsi="Arial" w:cs="Times New Roman"/>
          <w:sz w:val="20"/>
          <w:szCs w:val="20"/>
          <w:lang w:eastAsia="en-US"/>
        </w:rPr>
        <w:t>UNAPREĐENJE UPRAVLJANJA RAZVOJEM</w:t>
      </w:r>
    </w:p>
    <w:p w14:paraId="37CCC782" w14:textId="49B40AB1" w:rsidR="00CB22F6" w:rsidRPr="003A2F86" w:rsidRDefault="00CB22F6" w:rsidP="00CB22F6">
      <w:pPr>
        <w:spacing w:after="0" w:line="240" w:lineRule="auto"/>
        <w:jc w:val="both"/>
        <w:rPr>
          <w:rFonts w:ascii="Arial" w:eastAsia="Times New Roman" w:hAnsi="Arial" w:cs="Times New Roman"/>
          <w:sz w:val="20"/>
          <w:szCs w:val="20"/>
          <w:lang w:eastAsia="en-US"/>
        </w:rPr>
      </w:pPr>
    </w:p>
    <w:p w14:paraId="460E9FB1" w14:textId="42E1D6C3" w:rsidR="00CB22F6" w:rsidRPr="003A2F86" w:rsidRDefault="003D4E85">
      <w:pPr>
        <w:numPr>
          <w:ilvl w:val="0"/>
          <w:numId w:val="24"/>
        </w:numPr>
        <w:shd w:val="clear" w:color="auto" w:fill="DAEEF3"/>
        <w:autoSpaceDE w:val="0"/>
        <w:autoSpaceDN w:val="0"/>
        <w:adjustRightInd w:val="0"/>
        <w:spacing w:after="0" w:line="240" w:lineRule="auto"/>
        <w:contextualSpacing/>
        <w:rPr>
          <w:rFonts w:ascii="Arial" w:eastAsia="Times New Roman" w:hAnsi="Arial" w:cs="Arial"/>
          <w:b/>
          <w:bCs/>
          <w:i/>
          <w:iCs/>
          <w:sz w:val="20"/>
          <w:szCs w:val="20"/>
          <w:lang w:eastAsia="en-US"/>
        </w:rPr>
      </w:pPr>
      <w:r w:rsidRPr="003A2F86">
        <w:rPr>
          <w:rFonts w:ascii="Arial" w:eastAsia="Times New Roman" w:hAnsi="Arial" w:cs="Times New Roman"/>
          <w:b/>
          <w:sz w:val="20"/>
          <w:szCs w:val="20"/>
          <w:lang w:eastAsia="en-US"/>
        </w:rPr>
        <w:t>Prioritet</w:t>
      </w:r>
      <w:r w:rsidR="00CB22F6" w:rsidRPr="003A2F86">
        <w:rPr>
          <w:rFonts w:ascii="Arial" w:eastAsia="Times New Roman" w:hAnsi="Arial" w:cs="Times New Roman"/>
          <w:b/>
          <w:sz w:val="20"/>
          <w:szCs w:val="20"/>
          <w:lang w:eastAsia="en-US"/>
        </w:rPr>
        <w:t xml:space="preserve"> 1. – </w:t>
      </w:r>
      <w:r w:rsidRPr="003A2F86">
        <w:rPr>
          <w:rFonts w:ascii="Arial" w:eastAsia="Times New Roman" w:hAnsi="Arial" w:cs="Times New Roman"/>
          <w:b/>
          <w:sz w:val="20"/>
          <w:szCs w:val="20"/>
          <w:lang w:eastAsia="en-US"/>
        </w:rPr>
        <w:t>JAČANJE OTPORNOSTI GOSPODARSTVA I POVEĆANJE I POVEĆANJEULAGANJA U ODRŽIVO I DIGITALNO GOSPODARSTVO</w:t>
      </w:r>
    </w:p>
    <w:p w14:paraId="3A111E7F" w14:textId="77777777" w:rsidR="00CB22F6" w:rsidRPr="003A2F86" w:rsidRDefault="00CB22F6" w:rsidP="00CB22F6">
      <w:pPr>
        <w:autoSpaceDE w:val="0"/>
        <w:autoSpaceDN w:val="0"/>
        <w:adjustRightInd w:val="0"/>
        <w:spacing w:after="0" w:line="240" w:lineRule="auto"/>
        <w:jc w:val="both"/>
        <w:rPr>
          <w:rFonts w:ascii="Arial" w:eastAsia="Times New Roman" w:hAnsi="Arial" w:cs="Arial"/>
          <w:sz w:val="20"/>
          <w:szCs w:val="20"/>
        </w:rPr>
      </w:pPr>
    </w:p>
    <w:p w14:paraId="3DCBB5C5" w14:textId="445E9206" w:rsidR="00CB22F6" w:rsidRPr="003A2F86" w:rsidRDefault="003D4E85" w:rsidP="00CB22F6">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Prioritet</w:t>
      </w:r>
      <w:r w:rsidR="00CB22F6" w:rsidRPr="003A2F86">
        <w:rPr>
          <w:rFonts w:ascii="Arial" w:eastAsia="Times New Roman" w:hAnsi="Arial" w:cs="Arial"/>
          <w:sz w:val="20"/>
          <w:szCs w:val="20"/>
        </w:rPr>
        <w:t xml:space="preserve"> 1. ostvarit će se kroz </w:t>
      </w:r>
      <w:r w:rsidRPr="003A2F86">
        <w:rPr>
          <w:rFonts w:ascii="Arial" w:eastAsia="Times New Roman" w:hAnsi="Arial" w:cs="Arial"/>
          <w:sz w:val="20"/>
          <w:szCs w:val="20"/>
        </w:rPr>
        <w:t>tri posebna cilja</w:t>
      </w:r>
      <w:r w:rsidR="00CB22F6" w:rsidRPr="003A2F86">
        <w:rPr>
          <w:rFonts w:ascii="Arial" w:eastAsia="Times New Roman" w:hAnsi="Arial" w:cs="Arial"/>
          <w:sz w:val="20"/>
          <w:szCs w:val="20"/>
        </w:rPr>
        <w:t>:</w:t>
      </w:r>
    </w:p>
    <w:p w14:paraId="4B0912EB" w14:textId="77777777" w:rsidR="00CB22F6" w:rsidRPr="003A2F86" w:rsidRDefault="00CB22F6" w:rsidP="00CB22F6">
      <w:pPr>
        <w:autoSpaceDE w:val="0"/>
        <w:autoSpaceDN w:val="0"/>
        <w:adjustRightInd w:val="0"/>
        <w:spacing w:after="0" w:line="240" w:lineRule="auto"/>
        <w:jc w:val="both"/>
        <w:rPr>
          <w:rFonts w:ascii="Arial" w:eastAsia="Times New Roman" w:hAnsi="Arial" w:cs="Arial"/>
          <w:sz w:val="20"/>
          <w:szCs w:val="20"/>
        </w:rPr>
      </w:pPr>
    </w:p>
    <w:p w14:paraId="06E3EF41" w14:textId="0F5DA4AE" w:rsidR="003D4E85" w:rsidRPr="003A2F86" w:rsidRDefault="00CB22F6" w:rsidP="00CB22F6">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ab/>
        <w:t xml:space="preserve">1.1. </w:t>
      </w:r>
      <w:r w:rsidR="003D4E85" w:rsidRPr="003A2F86">
        <w:rPr>
          <w:rFonts w:ascii="Arial" w:eastAsia="Times New Roman" w:hAnsi="Arial" w:cs="Arial"/>
          <w:sz w:val="20"/>
          <w:szCs w:val="20"/>
        </w:rPr>
        <w:t>Unapređenje poslovnog okruženja</w:t>
      </w:r>
    </w:p>
    <w:p w14:paraId="29015236" w14:textId="690BBA42" w:rsidR="00CB22F6" w:rsidRPr="003A2F86" w:rsidRDefault="00CB22F6" w:rsidP="00CB22F6">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ab/>
        <w:t xml:space="preserve">1.2. </w:t>
      </w:r>
      <w:r w:rsidR="003F1C89" w:rsidRPr="003A2F86">
        <w:rPr>
          <w:rFonts w:ascii="Arial" w:eastAsia="Times New Roman" w:hAnsi="Arial" w:cs="Arial"/>
          <w:sz w:val="20"/>
          <w:szCs w:val="20"/>
        </w:rPr>
        <w:t>Poticanje održivosti, digitalizacije i inovacija u gospodarstvu</w:t>
      </w:r>
    </w:p>
    <w:p w14:paraId="32BBB922" w14:textId="74930374" w:rsidR="00CB22F6" w:rsidRPr="003A2F86" w:rsidRDefault="00CB22F6" w:rsidP="00CB22F6">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ab/>
        <w:t xml:space="preserve">1.3. </w:t>
      </w:r>
      <w:r w:rsidR="003F1C89" w:rsidRPr="003A2F86">
        <w:rPr>
          <w:rFonts w:ascii="Arial" w:eastAsia="Times New Roman" w:hAnsi="Arial" w:cs="Arial"/>
          <w:sz w:val="20"/>
          <w:szCs w:val="20"/>
        </w:rPr>
        <w:t>Poboljšanje konkurentnosti u</w:t>
      </w:r>
      <w:r w:rsidRPr="003A2F86">
        <w:rPr>
          <w:rFonts w:ascii="Arial" w:eastAsia="Times New Roman" w:hAnsi="Arial" w:cs="Arial"/>
          <w:sz w:val="20"/>
          <w:szCs w:val="20"/>
        </w:rPr>
        <w:t xml:space="preserve"> turizm</w:t>
      </w:r>
      <w:r w:rsidR="003F1C89" w:rsidRPr="003A2F86">
        <w:rPr>
          <w:rFonts w:ascii="Arial" w:eastAsia="Times New Roman" w:hAnsi="Arial" w:cs="Arial"/>
          <w:sz w:val="20"/>
          <w:szCs w:val="20"/>
        </w:rPr>
        <w:t>u, poljoprivredi, akvakulturi i ribarstvu</w:t>
      </w:r>
    </w:p>
    <w:p w14:paraId="0F644A21" w14:textId="77777777" w:rsidR="00CB22F6" w:rsidRPr="003A2F86" w:rsidRDefault="00CB22F6" w:rsidP="00CB22F6">
      <w:pPr>
        <w:autoSpaceDE w:val="0"/>
        <w:autoSpaceDN w:val="0"/>
        <w:adjustRightInd w:val="0"/>
        <w:spacing w:after="0" w:line="240" w:lineRule="auto"/>
        <w:jc w:val="both"/>
        <w:rPr>
          <w:rFonts w:ascii="Arial" w:eastAsia="Times New Roman" w:hAnsi="Arial" w:cs="Arial"/>
          <w:sz w:val="20"/>
          <w:szCs w:val="20"/>
        </w:rPr>
      </w:pPr>
    </w:p>
    <w:p w14:paraId="157C969A" w14:textId="632C3F36" w:rsidR="00CB22F6" w:rsidRPr="003A2F86" w:rsidRDefault="003F1C89">
      <w:pPr>
        <w:numPr>
          <w:ilvl w:val="0"/>
          <w:numId w:val="24"/>
        </w:numPr>
        <w:shd w:val="clear" w:color="auto" w:fill="DAEEF3"/>
        <w:autoSpaceDE w:val="0"/>
        <w:autoSpaceDN w:val="0"/>
        <w:adjustRightInd w:val="0"/>
        <w:spacing w:after="0" w:line="240" w:lineRule="auto"/>
        <w:contextualSpacing/>
        <w:rPr>
          <w:rFonts w:ascii="Arial" w:eastAsia="Calibri" w:hAnsi="Arial" w:cs="Arial"/>
          <w:b/>
          <w:bCs/>
          <w:i/>
          <w:iCs/>
          <w:sz w:val="20"/>
          <w:szCs w:val="20"/>
          <w:lang w:eastAsia="en-US"/>
        </w:rPr>
      </w:pPr>
      <w:r w:rsidRPr="003A2F86">
        <w:rPr>
          <w:rFonts w:ascii="Arial" w:eastAsia="Calibri" w:hAnsi="Arial" w:cs="Times New Roman"/>
          <w:b/>
          <w:sz w:val="20"/>
          <w:szCs w:val="20"/>
          <w:lang w:eastAsia="en-US"/>
        </w:rPr>
        <w:t>Prioritet</w:t>
      </w:r>
      <w:r w:rsidR="00CB22F6" w:rsidRPr="003A2F86">
        <w:rPr>
          <w:rFonts w:ascii="Arial" w:eastAsia="Calibri" w:hAnsi="Arial" w:cs="Times New Roman"/>
          <w:b/>
          <w:sz w:val="20"/>
          <w:szCs w:val="20"/>
          <w:lang w:eastAsia="en-US"/>
        </w:rPr>
        <w:t xml:space="preserve"> 2. – </w:t>
      </w:r>
      <w:r w:rsidRPr="003A2F86">
        <w:rPr>
          <w:rFonts w:ascii="Arial" w:eastAsia="Calibri" w:hAnsi="Arial" w:cs="Times New Roman"/>
          <w:b/>
          <w:sz w:val="20"/>
          <w:szCs w:val="20"/>
          <w:lang w:eastAsia="en-US"/>
        </w:rPr>
        <w:t>POBOLJŠANJE KVALITETE ŽIVOTA TE UNAPREĐENJE LJUDSKOG KAPITALA</w:t>
      </w:r>
    </w:p>
    <w:p w14:paraId="67AA57C7" w14:textId="77777777" w:rsidR="00CB22F6" w:rsidRPr="003A2F86" w:rsidRDefault="00CB22F6" w:rsidP="00CB22F6">
      <w:pPr>
        <w:autoSpaceDE w:val="0"/>
        <w:autoSpaceDN w:val="0"/>
        <w:adjustRightInd w:val="0"/>
        <w:spacing w:after="0" w:line="240" w:lineRule="auto"/>
        <w:jc w:val="both"/>
        <w:rPr>
          <w:rFonts w:ascii="Arial" w:eastAsia="Times New Roman" w:hAnsi="Arial" w:cs="Arial"/>
          <w:sz w:val="20"/>
          <w:szCs w:val="20"/>
        </w:rPr>
      </w:pPr>
    </w:p>
    <w:p w14:paraId="0CF6523A" w14:textId="1D3E1AC7" w:rsidR="00CB22F6" w:rsidRPr="003A2F86" w:rsidRDefault="003F1C89" w:rsidP="00CB22F6">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Prioritet 2</w:t>
      </w:r>
      <w:r w:rsidR="00CB22F6" w:rsidRPr="003A2F86">
        <w:rPr>
          <w:rFonts w:ascii="Arial" w:eastAsia="Times New Roman" w:hAnsi="Arial" w:cs="Arial"/>
          <w:sz w:val="20"/>
          <w:szCs w:val="20"/>
        </w:rPr>
        <w:t xml:space="preserve"> ostvarit će se kroz </w:t>
      </w:r>
      <w:r w:rsidRPr="003A2F86">
        <w:rPr>
          <w:rFonts w:ascii="Arial" w:eastAsia="Times New Roman" w:hAnsi="Arial" w:cs="Arial"/>
          <w:sz w:val="20"/>
          <w:szCs w:val="20"/>
        </w:rPr>
        <w:t>dva posebna cilja</w:t>
      </w:r>
      <w:r w:rsidR="00CB22F6" w:rsidRPr="003A2F86">
        <w:rPr>
          <w:rFonts w:ascii="Arial" w:eastAsia="Times New Roman" w:hAnsi="Arial" w:cs="Arial"/>
          <w:sz w:val="20"/>
          <w:szCs w:val="20"/>
        </w:rPr>
        <w:t xml:space="preserve">: </w:t>
      </w:r>
    </w:p>
    <w:p w14:paraId="60BD21E2" w14:textId="77777777" w:rsidR="00CB22F6" w:rsidRPr="003A2F86" w:rsidRDefault="00CB22F6" w:rsidP="00CB22F6">
      <w:pPr>
        <w:autoSpaceDE w:val="0"/>
        <w:autoSpaceDN w:val="0"/>
        <w:adjustRightInd w:val="0"/>
        <w:spacing w:after="0" w:line="240" w:lineRule="auto"/>
        <w:jc w:val="both"/>
        <w:rPr>
          <w:rFonts w:ascii="Arial" w:eastAsia="Times New Roman" w:hAnsi="Arial" w:cs="Arial"/>
          <w:sz w:val="20"/>
          <w:szCs w:val="20"/>
        </w:rPr>
      </w:pPr>
    </w:p>
    <w:p w14:paraId="52C9B863" w14:textId="4F220353" w:rsidR="00CB22F6" w:rsidRPr="003A2F86" w:rsidRDefault="00CB22F6" w:rsidP="00CB22F6">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 xml:space="preserve">2.1. Unaprjeđenje </w:t>
      </w:r>
      <w:r w:rsidR="003F1C89" w:rsidRPr="003A2F86">
        <w:rPr>
          <w:rFonts w:ascii="Arial" w:eastAsia="Times New Roman" w:hAnsi="Arial" w:cs="Arial"/>
          <w:sz w:val="20"/>
          <w:szCs w:val="20"/>
        </w:rPr>
        <w:t>kvalitete i dostupnosti društvenih usluga</w:t>
      </w:r>
    </w:p>
    <w:p w14:paraId="4F790AE3" w14:textId="24654D13" w:rsidR="00CB22F6" w:rsidRPr="003A2F86" w:rsidRDefault="00CB22F6" w:rsidP="003F1C89">
      <w:pPr>
        <w:autoSpaceDE w:val="0"/>
        <w:autoSpaceDN w:val="0"/>
        <w:adjustRightInd w:val="0"/>
        <w:spacing w:after="0" w:line="240" w:lineRule="auto"/>
        <w:jc w:val="both"/>
        <w:rPr>
          <w:rFonts w:ascii="Arial" w:eastAsia="Times New Roman" w:hAnsi="Arial" w:cs="Arial"/>
          <w:sz w:val="20"/>
          <w:szCs w:val="20"/>
        </w:rPr>
      </w:pPr>
      <w:r w:rsidRPr="003A2F86">
        <w:rPr>
          <w:rFonts w:ascii="Arial" w:eastAsia="Times New Roman" w:hAnsi="Arial" w:cs="Arial"/>
          <w:sz w:val="20"/>
          <w:szCs w:val="20"/>
        </w:rPr>
        <w:t xml:space="preserve">2.2. </w:t>
      </w:r>
      <w:r w:rsidR="003F1C89" w:rsidRPr="003A2F86">
        <w:rPr>
          <w:rFonts w:ascii="Arial" w:eastAsia="Times New Roman" w:hAnsi="Arial" w:cs="Arial"/>
          <w:sz w:val="20"/>
          <w:szCs w:val="20"/>
        </w:rPr>
        <w:t>Poticanje demografskog razvoja</w:t>
      </w:r>
    </w:p>
    <w:p w14:paraId="71A376A3" w14:textId="77777777" w:rsidR="00CB22F6" w:rsidRDefault="00CB22F6" w:rsidP="00CB22F6">
      <w:pPr>
        <w:autoSpaceDE w:val="0"/>
        <w:autoSpaceDN w:val="0"/>
        <w:adjustRightInd w:val="0"/>
        <w:spacing w:after="0" w:line="240" w:lineRule="auto"/>
        <w:jc w:val="both"/>
        <w:rPr>
          <w:rFonts w:ascii="Arial" w:eastAsia="Times New Roman" w:hAnsi="Arial" w:cs="Arial"/>
          <w:sz w:val="20"/>
          <w:szCs w:val="20"/>
        </w:rPr>
      </w:pPr>
    </w:p>
    <w:p w14:paraId="5464ACC8" w14:textId="77777777" w:rsidR="0028236A" w:rsidRPr="003A2F86" w:rsidRDefault="0028236A" w:rsidP="00CB22F6">
      <w:pPr>
        <w:autoSpaceDE w:val="0"/>
        <w:autoSpaceDN w:val="0"/>
        <w:adjustRightInd w:val="0"/>
        <w:spacing w:after="0" w:line="240" w:lineRule="auto"/>
        <w:jc w:val="both"/>
        <w:rPr>
          <w:rFonts w:ascii="Arial" w:eastAsia="Times New Roman" w:hAnsi="Arial" w:cs="Arial"/>
          <w:sz w:val="20"/>
          <w:szCs w:val="20"/>
        </w:rPr>
      </w:pPr>
    </w:p>
    <w:p w14:paraId="476953AB" w14:textId="5CDF616C" w:rsidR="00CB22F6" w:rsidRPr="003A2F86" w:rsidRDefault="003F1C89">
      <w:pPr>
        <w:numPr>
          <w:ilvl w:val="0"/>
          <w:numId w:val="24"/>
        </w:numPr>
        <w:shd w:val="clear" w:color="auto" w:fill="DAEEF3"/>
        <w:autoSpaceDE w:val="0"/>
        <w:autoSpaceDN w:val="0"/>
        <w:adjustRightInd w:val="0"/>
        <w:spacing w:after="0" w:line="240" w:lineRule="auto"/>
        <w:contextualSpacing/>
        <w:jc w:val="both"/>
        <w:rPr>
          <w:rFonts w:ascii="Arial" w:eastAsia="Calibri" w:hAnsi="Arial" w:cs="Times New Roman"/>
          <w:bCs/>
          <w:sz w:val="20"/>
          <w:szCs w:val="20"/>
          <w:lang w:eastAsia="en-US"/>
        </w:rPr>
      </w:pPr>
      <w:r w:rsidRPr="003A2F86">
        <w:rPr>
          <w:rFonts w:ascii="Arial" w:eastAsia="Calibri" w:hAnsi="Arial" w:cs="Times New Roman"/>
          <w:b/>
          <w:sz w:val="20"/>
          <w:szCs w:val="20"/>
          <w:lang w:eastAsia="en-US"/>
        </w:rPr>
        <w:lastRenderedPageBreak/>
        <w:t>Prioritet</w:t>
      </w:r>
      <w:r w:rsidR="00CB22F6" w:rsidRPr="003A2F86">
        <w:rPr>
          <w:rFonts w:ascii="Arial" w:eastAsia="Calibri" w:hAnsi="Arial" w:cs="Times New Roman"/>
          <w:b/>
          <w:sz w:val="20"/>
          <w:szCs w:val="20"/>
          <w:lang w:eastAsia="en-US"/>
        </w:rPr>
        <w:t xml:space="preserve"> 3. – </w:t>
      </w:r>
      <w:r w:rsidRPr="003A2F86">
        <w:rPr>
          <w:rFonts w:ascii="Arial" w:eastAsia="Calibri" w:hAnsi="Arial" w:cs="Times New Roman"/>
          <w:b/>
          <w:sz w:val="20"/>
          <w:szCs w:val="20"/>
          <w:lang w:eastAsia="en-US"/>
        </w:rPr>
        <w:t xml:space="preserve">OČUVANJE OKOLIŠA, POBOLJŠANJE POVEZIVOSTI I ODRŽIVO KORIŠTENJE BAŠTINE </w:t>
      </w:r>
    </w:p>
    <w:p w14:paraId="781BF280" w14:textId="77777777" w:rsidR="003F1C89" w:rsidRPr="003A2F86" w:rsidRDefault="003F1C89" w:rsidP="003F1C89">
      <w:pPr>
        <w:spacing w:after="0" w:line="240" w:lineRule="auto"/>
        <w:jc w:val="both"/>
        <w:rPr>
          <w:rFonts w:ascii="Arial" w:eastAsia="Calibri" w:hAnsi="Arial" w:cs="Times New Roman"/>
          <w:bCs/>
          <w:sz w:val="20"/>
          <w:szCs w:val="20"/>
          <w:lang w:eastAsia="en-US"/>
        </w:rPr>
      </w:pPr>
    </w:p>
    <w:p w14:paraId="24F88507" w14:textId="00183A97" w:rsidR="003F1C89" w:rsidRPr="003A2F86" w:rsidRDefault="003F1C89" w:rsidP="003F1C89">
      <w:pPr>
        <w:spacing w:after="0" w:line="240" w:lineRule="auto"/>
        <w:jc w:val="both"/>
        <w:rPr>
          <w:rFonts w:ascii="Arial" w:eastAsia="Calibri" w:hAnsi="Arial" w:cs="Times New Roman"/>
          <w:bCs/>
          <w:sz w:val="20"/>
          <w:szCs w:val="20"/>
          <w:lang w:eastAsia="en-US"/>
        </w:rPr>
      </w:pPr>
      <w:r w:rsidRPr="003A2F86">
        <w:rPr>
          <w:rFonts w:ascii="Arial" w:eastAsia="Calibri" w:hAnsi="Arial" w:cs="Times New Roman"/>
          <w:bCs/>
          <w:sz w:val="20"/>
          <w:szCs w:val="20"/>
          <w:lang w:eastAsia="en-US"/>
        </w:rPr>
        <w:t>Prioritet 3 ostvarit će se kroz tri posebna cilja:</w:t>
      </w:r>
    </w:p>
    <w:p w14:paraId="2EBB9E7D" w14:textId="2CFECC58" w:rsidR="00CB22F6" w:rsidRPr="003A2F86" w:rsidRDefault="00CB22F6" w:rsidP="00CB22F6">
      <w:pPr>
        <w:spacing w:after="0" w:line="240" w:lineRule="auto"/>
        <w:ind w:firstLine="708"/>
        <w:jc w:val="both"/>
        <w:rPr>
          <w:rFonts w:ascii="Arial" w:eastAsia="Calibri" w:hAnsi="Arial" w:cs="Times New Roman"/>
          <w:bCs/>
          <w:sz w:val="20"/>
          <w:szCs w:val="20"/>
          <w:lang w:eastAsia="en-US"/>
        </w:rPr>
      </w:pPr>
      <w:r w:rsidRPr="003A2F86">
        <w:rPr>
          <w:rFonts w:ascii="Arial" w:eastAsia="Calibri" w:hAnsi="Arial" w:cs="Times New Roman"/>
          <w:bCs/>
          <w:sz w:val="20"/>
          <w:szCs w:val="20"/>
          <w:lang w:eastAsia="en-US"/>
        </w:rPr>
        <w:t xml:space="preserve">3.1. </w:t>
      </w:r>
      <w:r w:rsidR="003F1C89" w:rsidRPr="003A2F86">
        <w:rPr>
          <w:rFonts w:ascii="Arial" w:eastAsia="Calibri" w:hAnsi="Arial" w:cs="Times New Roman"/>
          <w:bCs/>
          <w:sz w:val="20"/>
          <w:szCs w:val="20"/>
          <w:lang w:eastAsia="en-US"/>
        </w:rPr>
        <w:t>Očuvanje okoliša i energetska tranzicija na što veću dobrobit zajednice</w:t>
      </w:r>
    </w:p>
    <w:p w14:paraId="6EBBF34E" w14:textId="062A31FE" w:rsidR="00CB22F6" w:rsidRPr="003A2F86" w:rsidRDefault="00CB22F6" w:rsidP="00CB22F6">
      <w:pPr>
        <w:spacing w:after="0" w:line="240" w:lineRule="auto"/>
        <w:ind w:firstLine="708"/>
        <w:jc w:val="both"/>
        <w:rPr>
          <w:rFonts w:ascii="Arial" w:eastAsia="Calibri" w:hAnsi="Arial" w:cs="Times New Roman"/>
          <w:bCs/>
          <w:sz w:val="20"/>
          <w:szCs w:val="20"/>
          <w:lang w:eastAsia="en-US"/>
        </w:rPr>
      </w:pPr>
      <w:r w:rsidRPr="003A2F86">
        <w:rPr>
          <w:rFonts w:ascii="Arial" w:eastAsia="Calibri" w:hAnsi="Arial" w:cs="Times New Roman"/>
          <w:bCs/>
          <w:sz w:val="20"/>
          <w:szCs w:val="20"/>
          <w:lang w:eastAsia="en-US"/>
        </w:rPr>
        <w:t xml:space="preserve">3.2. </w:t>
      </w:r>
      <w:r w:rsidR="003F1C89" w:rsidRPr="003A2F86">
        <w:rPr>
          <w:rFonts w:ascii="Arial" w:eastAsia="Calibri" w:hAnsi="Arial" w:cs="Times New Roman"/>
          <w:bCs/>
          <w:sz w:val="20"/>
          <w:szCs w:val="20"/>
          <w:lang w:eastAsia="en-US"/>
        </w:rPr>
        <w:t>Poboljšanje unutarnje i vanjske povezanosti te zelene mobilnosti</w:t>
      </w:r>
    </w:p>
    <w:p w14:paraId="3B71E5A2" w14:textId="432A51B4" w:rsidR="00CB22F6" w:rsidRPr="003A2F86" w:rsidRDefault="00CB22F6" w:rsidP="00CB22F6">
      <w:pPr>
        <w:spacing w:after="0" w:line="240" w:lineRule="auto"/>
        <w:ind w:firstLine="708"/>
        <w:jc w:val="both"/>
        <w:rPr>
          <w:rFonts w:ascii="Arial" w:eastAsia="Calibri" w:hAnsi="Arial" w:cs="Arial"/>
          <w:bCs/>
          <w:sz w:val="20"/>
          <w:szCs w:val="20"/>
          <w:lang w:eastAsia="en-US"/>
        </w:rPr>
      </w:pPr>
      <w:r w:rsidRPr="003A2F86">
        <w:rPr>
          <w:rFonts w:ascii="Arial" w:eastAsia="Calibri" w:hAnsi="Arial" w:cs="Arial"/>
          <w:bCs/>
          <w:sz w:val="20"/>
          <w:szCs w:val="20"/>
          <w:lang w:eastAsia="en-US"/>
        </w:rPr>
        <w:t xml:space="preserve">3.3. </w:t>
      </w:r>
      <w:r w:rsidR="003F1C89" w:rsidRPr="003A2F86">
        <w:rPr>
          <w:rFonts w:ascii="Arial" w:eastAsia="Calibri" w:hAnsi="Arial" w:cs="Arial"/>
          <w:bCs/>
          <w:sz w:val="20"/>
          <w:szCs w:val="20"/>
          <w:lang w:eastAsia="en-US"/>
        </w:rPr>
        <w:t>Očuvanje, valorizacija i održivo korištenje prirodne i kulturne baštine</w:t>
      </w:r>
    </w:p>
    <w:bookmarkEnd w:id="480"/>
    <w:p w14:paraId="3967A1B2" w14:textId="77777777" w:rsidR="003F1C89" w:rsidRPr="003A2F86" w:rsidRDefault="003F1C89" w:rsidP="003F1C89">
      <w:pPr>
        <w:autoSpaceDE w:val="0"/>
        <w:autoSpaceDN w:val="0"/>
        <w:adjustRightInd w:val="0"/>
        <w:spacing w:after="0" w:line="240" w:lineRule="auto"/>
        <w:jc w:val="both"/>
        <w:rPr>
          <w:rFonts w:ascii="Arial" w:eastAsia="Times New Roman" w:hAnsi="Arial" w:cs="Arial"/>
          <w:sz w:val="20"/>
          <w:szCs w:val="20"/>
        </w:rPr>
      </w:pPr>
    </w:p>
    <w:p w14:paraId="0B12CC99" w14:textId="47C65855" w:rsidR="003F1C89" w:rsidRPr="003A2F86" w:rsidRDefault="003F1C89">
      <w:pPr>
        <w:numPr>
          <w:ilvl w:val="0"/>
          <w:numId w:val="24"/>
        </w:numPr>
        <w:shd w:val="clear" w:color="auto" w:fill="DAEEF3"/>
        <w:autoSpaceDE w:val="0"/>
        <w:autoSpaceDN w:val="0"/>
        <w:adjustRightInd w:val="0"/>
        <w:spacing w:after="0" w:line="240" w:lineRule="auto"/>
        <w:contextualSpacing/>
        <w:jc w:val="both"/>
        <w:rPr>
          <w:rFonts w:ascii="Arial" w:eastAsia="Calibri" w:hAnsi="Arial" w:cs="Times New Roman"/>
          <w:bCs/>
          <w:sz w:val="20"/>
          <w:szCs w:val="20"/>
          <w:lang w:eastAsia="en-US"/>
        </w:rPr>
      </w:pPr>
      <w:r w:rsidRPr="003A2F86">
        <w:rPr>
          <w:rFonts w:ascii="Arial" w:eastAsia="Calibri" w:hAnsi="Arial" w:cs="Times New Roman"/>
          <w:b/>
          <w:sz w:val="20"/>
          <w:szCs w:val="20"/>
          <w:lang w:eastAsia="en-US"/>
        </w:rPr>
        <w:t xml:space="preserve">Prioritet 4. – UNAPREĐENJE UPRAVLJANJA RAZVOJEM </w:t>
      </w:r>
    </w:p>
    <w:p w14:paraId="29FC9888" w14:textId="77777777" w:rsidR="003F1C89" w:rsidRPr="003A2F86" w:rsidRDefault="003F1C89" w:rsidP="003F1C89">
      <w:pPr>
        <w:spacing w:after="0" w:line="240" w:lineRule="auto"/>
        <w:ind w:firstLine="708"/>
        <w:jc w:val="both"/>
        <w:rPr>
          <w:rFonts w:ascii="Arial" w:eastAsia="Calibri" w:hAnsi="Arial" w:cs="Times New Roman"/>
          <w:bCs/>
          <w:sz w:val="20"/>
          <w:szCs w:val="20"/>
          <w:lang w:eastAsia="en-US"/>
        </w:rPr>
      </w:pPr>
    </w:p>
    <w:p w14:paraId="45FDE922" w14:textId="77777777" w:rsidR="003F1C89" w:rsidRPr="003A2F86" w:rsidRDefault="003F1C89" w:rsidP="003F1C89">
      <w:pPr>
        <w:spacing w:after="0" w:line="240" w:lineRule="auto"/>
        <w:jc w:val="both"/>
        <w:rPr>
          <w:rFonts w:ascii="Arial" w:eastAsia="Calibri" w:hAnsi="Arial" w:cs="Times New Roman"/>
          <w:bCs/>
          <w:sz w:val="20"/>
          <w:szCs w:val="20"/>
          <w:lang w:eastAsia="en-US"/>
        </w:rPr>
      </w:pPr>
      <w:r w:rsidRPr="003A2F86">
        <w:rPr>
          <w:rFonts w:ascii="Arial" w:eastAsia="Calibri" w:hAnsi="Arial" w:cs="Times New Roman"/>
          <w:bCs/>
          <w:sz w:val="20"/>
          <w:szCs w:val="20"/>
          <w:lang w:eastAsia="en-US"/>
        </w:rPr>
        <w:t>Prioritet 4 ostvarit će se kroz 3 posebna cilja:</w:t>
      </w:r>
    </w:p>
    <w:p w14:paraId="6B3FB9D5" w14:textId="646A4919" w:rsidR="003F1C89" w:rsidRPr="003A2F86" w:rsidRDefault="003F1C89" w:rsidP="003F1C89">
      <w:pPr>
        <w:spacing w:after="0" w:line="240" w:lineRule="auto"/>
        <w:ind w:firstLine="708"/>
        <w:jc w:val="both"/>
        <w:rPr>
          <w:rFonts w:ascii="Arial" w:eastAsia="Calibri" w:hAnsi="Arial" w:cs="Times New Roman"/>
          <w:bCs/>
          <w:sz w:val="20"/>
          <w:szCs w:val="20"/>
          <w:lang w:eastAsia="en-US"/>
        </w:rPr>
      </w:pPr>
      <w:r w:rsidRPr="003A2F86">
        <w:rPr>
          <w:rFonts w:ascii="Arial" w:eastAsia="Calibri" w:hAnsi="Arial" w:cs="Times New Roman"/>
          <w:bCs/>
          <w:sz w:val="20"/>
          <w:szCs w:val="20"/>
          <w:lang w:eastAsia="en-US"/>
        </w:rPr>
        <w:t>4.1. Razvoj sustava prostornog planiranja i upravljanja imovinom te jačanje kvalitete institucija u javnom sektoru zdravstvene i socijalne zaštite</w:t>
      </w:r>
    </w:p>
    <w:p w14:paraId="06C91FB0" w14:textId="77F00FB1" w:rsidR="003F1C89" w:rsidRPr="003A2F86" w:rsidRDefault="003F1C89" w:rsidP="003F1C89">
      <w:pPr>
        <w:spacing w:after="0" w:line="240" w:lineRule="auto"/>
        <w:ind w:firstLine="708"/>
        <w:jc w:val="both"/>
        <w:rPr>
          <w:rFonts w:ascii="Arial" w:eastAsia="Calibri" w:hAnsi="Arial" w:cs="Times New Roman"/>
          <w:bCs/>
          <w:sz w:val="20"/>
          <w:szCs w:val="20"/>
          <w:lang w:eastAsia="en-US"/>
        </w:rPr>
      </w:pPr>
      <w:r w:rsidRPr="003A2F86">
        <w:rPr>
          <w:rFonts w:ascii="Arial" w:eastAsia="Calibri" w:hAnsi="Arial" w:cs="Times New Roman"/>
          <w:bCs/>
          <w:sz w:val="20"/>
          <w:szCs w:val="20"/>
          <w:lang w:eastAsia="en-US"/>
        </w:rPr>
        <w:t>4.2. Povećanje sposobnosti institucija u pogledu odgovora na krizne situacije</w:t>
      </w:r>
    </w:p>
    <w:p w14:paraId="6CD1476D" w14:textId="14708B70" w:rsidR="003F1C89" w:rsidRPr="003A2F86" w:rsidRDefault="003F1C89" w:rsidP="003F1C89">
      <w:pPr>
        <w:spacing w:after="0" w:line="240" w:lineRule="auto"/>
        <w:ind w:firstLine="708"/>
        <w:jc w:val="both"/>
        <w:rPr>
          <w:rFonts w:ascii="Arial" w:eastAsia="Calibri" w:hAnsi="Arial" w:cs="Arial"/>
          <w:bCs/>
          <w:sz w:val="20"/>
          <w:szCs w:val="20"/>
          <w:lang w:eastAsia="en-US"/>
        </w:rPr>
      </w:pPr>
      <w:r w:rsidRPr="003A2F86">
        <w:rPr>
          <w:rFonts w:ascii="Arial" w:eastAsia="Calibri" w:hAnsi="Arial" w:cs="Arial"/>
          <w:bCs/>
          <w:sz w:val="20"/>
          <w:szCs w:val="20"/>
          <w:lang w:eastAsia="en-US"/>
        </w:rPr>
        <w:t>4.3. Razvoj ostalih područja s razvojnim posebnostima.</w:t>
      </w:r>
    </w:p>
    <w:p w14:paraId="37CAEF76" w14:textId="77777777" w:rsidR="00D94520" w:rsidRPr="00FF3C31" w:rsidRDefault="00D94520" w:rsidP="00D94520">
      <w:pPr>
        <w:autoSpaceDE w:val="0"/>
        <w:autoSpaceDN w:val="0"/>
        <w:adjustRightInd w:val="0"/>
        <w:spacing w:after="0" w:line="240" w:lineRule="auto"/>
        <w:jc w:val="both"/>
        <w:rPr>
          <w:rFonts w:ascii="Arial" w:eastAsia="Times New Roman" w:hAnsi="Arial" w:cs="Arial"/>
          <w:sz w:val="20"/>
          <w:szCs w:val="20"/>
        </w:rPr>
      </w:pPr>
    </w:p>
    <w:p w14:paraId="7F515F4D" w14:textId="20E85A7E" w:rsidR="00D94520" w:rsidRPr="00FF3C31" w:rsidRDefault="00686E08" w:rsidP="00D94520">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Projekti se najvećim dijelom </w:t>
      </w:r>
      <w:r w:rsidR="00D94520" w:rsidRPr="00FF3C31">
        <w:rPr>
          <w:rFonts w:ascii="Arial" w:eastAsia="Times New Roman" w:hAnsi="Arial" w:cs="Arial"/>
          <w:sz w:val="20"/>
          <w:szCs w:val="20"/>
        </w:rPr>
        <w:t xml:space="preserve">realiziraju kroz </w:t>
      </w:r>
      <w:r w:rsidR="00D94520" w:rsidRPr="00FF3C31">
        <w:rPr>
          <w:rFonts w:ascii="Arial" w:eastAsia="Times New Roman" w:hAnsi="Arial" w:cs="Arial"/>
          <w:b/>
          <w:sz w:val="20"/>
          <w:szCs w:val="20"/>
        </w:rPr>
        <w:t>razdjel 030</w:t>
      </w:r>
      <w:r w:rsidR="00D94520" w:rsidRPr="00FF3C31">
        <w:rPr>
          <w:rFonts w:ascii="Arial" w:eastAsia="Times New Roman" w:hAnsi="Arial" w:cs="Arial"/>
          <w:sz w:val="20"/>
          <w:szCs w:val="20"/>
        </w:rPr>
        <w:t xml:space="preserve"> –Upravni odjel za komunalni sustav i gospodarenje nekretninama</w:t>
      </w:r>
      <w:r w:rsidRPr="00FF3C31">
        <w:rPr>
          <w:rFonts w:ascii="Arial" w:eastAsia="Times New Roman" w:hAnsi="Arial" w:cs="Arial"/>
          <w:sz w:val="20"/>
          <w:szCs w:val="20"/>
        </w:rPr>
        <w:t xml:space="preserve"> u suradnji s </w:t>
      </w:r>
      <w:r w:rsidRPr="00FF3C31">
        <w:rPr>
          <w:rFonts w:ascii="Arial" w:eastAsia="Times New Roman" w:hAnsi="Arial" w:cs="Arial"/>
          <w:b/>
          <w:bCs/>
          <w:sz w:val="20"/>
          <w:szCs w:val="20"/>
        </w:rPr>
        <w:t>razdjelom</w:t>
      </w:r>
      <w:r w:rsidRPr="00FF3C31">
        <w:rPr>
          <w:rFonts w:ascii="Arial" w:eastAsia="Times New Roman" w:hAnsi="Arial" w:cs="Arial"/>
          <w:sz w:val="20"/>
          <w:szCs w:val="20"/>
        </w:rPr>
        <w:t xml:space="preserve"> </w:t>
      </w:r>
      <w:r w:rsidRPr="00FF3C31">
        <w:rPr>
          <w:rFonts w:ascii="Arial" w:eastAsia="Times New Roman" w:hAnsi="Arial" w:cs="Arial"/>
          <w:b/>
          <w:bCs/>
          <w:sz w:val="20"/>
          <w:szCs w:val="20"/>
        </w:rPr>
        <w:t>040</w:t>
      </w:r>
      <w:r w:rsidRPr="00FF3C31">
        <w:rPr>
          <w:rFonts w:ascii="Arial" w:eastAsia="Times New Roman" w:hAnsi="Arial" w:cs="Arial"/>
          <w:sz w:val="20"/>
          <w:szCs w:val="20"/>
        </w:rPr>
        <w:t xml:space="preserve"> – Upravni odjel za ruralni razvoj, gospodarstvo i EU fondove. </w:t>
      </w:r>
    </w:p>
    <w:p w14:paraId="405FED5F" w14:textId="77777777" w:rsidR="00240903" w:rsidRPr="00FF3C31" w:rsidRDefault="00240903" w:rsidP="00D94520">
      <w:pPr>
        <w:autoSpaceDE w:val="0"/>
        <w:autoSpaceDN w:val="0"/>
        <w:adjustRightInd w:val="0"/>
        <w:spacing w:after="0" w:line="240" w:lineRule="auto"/>
        <w:jc w:val="both"/>
        <w:rPr>
          <w:rFonts w:ascii="Arial" w:eastAsia="Times New Roman" w:hAnsi="Arial" w:cs="Arial"/>
          <w:sz w:val="20"/>
          <w:szCs w:val="20"/>
        </w:rPr>
      </w:pPr>
    </w:p>
    <w:bookmarkEnd w:id="482"/>
    <w:p w14:paraId="7FA909E3" w14:textId="77777777" w:rsidR="00D94520" w:rsidRPr="00FF3C31" w:rsidRDefault="00D94520" w:rsidP="00D94520">
      <w:pP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 xml:space="preserve">RAZDJEL 030: </w:t>
      </w:r>
    </w:p>
    <w:p w14:paraId="12ED37B0" w14:textId="77777777" w:rsidR="00D94520" w:rsidRPr="00FF3C31" w:rsidRDefault="00D94520" w:rsidP="00D94520">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b/>
          <w:sz w:val="20"/>
          <w:szCs w:val="20"/>
        </w:rPr>
        <w:t>Glava 01</w:t>
      </w:r>
      <w:r w:rsidRPr="00FF3C31">
        <w:rPr>
          <w:rFonts w:ascii="Arial" w:eastAsia="Times New Roman" w:hAnsi="Arial" w:cs="Arial"/>
          <w:sz w:val="20"/>
          <w:szCs w:val="20"/>
        </w:rPr>
        <w:t xml:space="preserve"> – Upravni odjel za komunalni sustav i gospodarenje nekretninama </w:t>
      </w:r>
    </w:p>
    <w:p w14:paraId="317E15E8" w14:textId="77777777" w:rsidR="00D94520" w:rsidRPr="00FF3C31" w:rsidRDefault="00D94520" w:rsidP="00D94520">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PROGRAM 2092 Gradnja komunalne infrastrukture</w:t>
      </w:r>
    </w:p>
    <w:p w14:paraId="4D1B3D3F" w14:textId="77777777" w:rsidR="00D94520" w:rsidRPr="00FF3C31" w:rsidRDefault="00D94520" w:rsidP="00D94520">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PROGRAM 2093 Izgradnja objekata i uređaja, te nabava opreme za prijevoz putnika, održavanje čistoće i odlaganje komunalnog otpada i tržnice</w:t>
      </w:r>
    </w:p>
    <w:p w14:paraId="29097D2B" w14:textId="77777777" w:rsidR="00D94520" w:rsidRPr="00FF3C31" w:rsidRDefault="00D94520" w:rsidP="00D94520">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PROGRAM 2094 Plan gradnje komunalnih vodnih građevina</w:t>
      </w:r>
    </w:p>
    <w:p w14:paraId="6C13A7F2" w14:textId="77777777" w:rsidR="00D94520" w:rsidRPr="00FF3C31" w:rsidRDefault="00D94520" w:rsidP="00D94520">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PROGRAM 2096 Program gradnje građevina za gospodarenje komunalnim otpadom</w:t>
      </w:r>
    </w:p>
    <w:p w14:paraId="491EDA23" w14:textId="77777777" w:rsidR="00D94520" w:rsidRPr="00FF3C31" w:rsidRDefault="00D94520" w:rsidP="00D94520">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PROGRAM 2073 Pripremne aktivnosti u protupožarnoj zaštiti, te zaštita i spašavanje</w:t>
      </w:r>
    </w:p>
    <w:p w14:paraId="3FA347DB" w14:textId="77777777" w:rsidR="00D94520" w:rsidRPr="00FF3C31" w:rsidRDefault="00D94520" w:rsidP="00D94520">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PROGRAM 2101 Izgradnja i uređenje objekata javne namjene – predškolski odgoj i školstvo</w:t>
      </w:r>
    </w:p>
    <w:p w14:paraId="76087FE9" w14:textId="77777777" w:rsidR="00D94520" w:rsidRPr="00FF3C31" w:rsidRDefault="00D94520" w:rsidP="00D94520">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PROGRAM 2102 Izgradnja i uređenje objekata javne namjene – sport</w:t>
      </w:r>
    </w:p>
    <w:p w14:paraId="5F78067A" w14:textId="77777777" w:rsidR="00210811" w:rsidRPr="00FF3C31" w:rsidRDefault="00210811" w:rsidP="00BB1E7A">
      <w:pPr>
        <w:autoSpaceDE w:val="0"/>
        <w:autoSpaceDN w:val="0"/>
        <w:adjustRightInd w:val="0"/>
        <w:spacing w:after="0" w:line="240" w:lineRule="auto"/>
        <w:jc w:val="both"/>
        <w:rPr>
          <w:rFonts w:ascii="Arial" w:eastAsia="Times New Roman" w:hAnsi="Arial" w:cs="Arial"/>
          <w:sz w:val="20"/>
          <w:szCs w:val="20"/>
        </w:rPr>
      </w:pPr>
    </w:p>
    <w:p w14:paraId="22EA861C" w14:textId="77777777" w:rsidR="00210811" w:rsidRPr="00FF3C31" w:rsidRDefault="00210811" w:rsidP="00BB1E7A">
      <w:pPr>
        <w:autoSpaceDE w:val="0"/>
        <w:autoSpaceDN w:val="0"/>
        <w:adjustRightInd w:val="0"/>
        <w:spacing w:after="0" w:line="240" w:lineRule="auto"/>
        <w:jc w:val="both"/>
        <w:rPr>
          <w:rFonts w:ascii="Arial" w:eastAsia="Times New Roman" w:hAnsi="Arial" w:cs="Arial"/>
          <w:sz w:val="20"/>
          <w:szCs w:val="20"/>
        </w:rPr>
      </w:pPr>
    </w:p>
    <w:p w14:paraId="31D334F6" w14:textId="7F600713" w:rsidR="00992554" w:rsidRPr="00FF3C31" w:rsidRDefault="00992554" w:rsidP="00BB1E7A">
      <w:pPr>
        <w:autoSpaceDE w:val="0"/>
        <w:autoSpaceDN w:val="0"/>
        <w:adjustRightInd w:val="0"/>
        <w:spacing w:after="0" w:line="240" w:lineRule="auto"/>
        <w:jc w:val="both"/>
        <w:rPr>
          <w:rFonts w:ascii="Arial" w:eastAsia="Times New Roman" w:hAnsi="Arial" w:cs="Arial"/>
          <w:color w:val="0070C0"/>
          <w:sz w:val="20"/>
          <w:szCs w:val="20"/>
        </w:rPr>
      </w:pPr>
      <w:r w:rsidRPr="00FF3C31">
        <w:rPr>
          <w:rFonts w:ascii="Arial" w:eastAsia="Times New Roman" w:hAnsi="Arial" w:cs="Arial"/>
          <w:color w:val="0070C0"/>
          <w:sz w:val="20"/>
          <w:szCs w:val="20"/>
        </w:rPr>
        <w:t>U nastavku teksta daje se pregled ostvarenja strateških ciljeva i prioriteta iz provedbe Strateškog plana Općine Konavle s poveznicom na Provedbeni program</w:t>
      </w:r>
      <w:r w:rsidR="00FF2258" w:rsidRPr="00FF3C31">
        <w:rPr>
          <w:rFonts w:ascii="Arial" w:eastAsia="Times New Roman" w:hAnsi="Arial" w:cs="Arial"/>
          <w:color w:val="0070C0"/>
          <w:sz w:val="20"/>
          <w:szCs w:val="20"/>
        </w:rPr>
        <w:t xml:space="preserve"> ako se radi o značajnom kapitalnom/tekućem projektu kojim se obavlja ulaganja u imovinu Općine i/ili društava u vlasništvu Općine.</w:t>
      </w:r>
    </w:p>
    <w:p w14:paraId="34B71B3D" w14:textId="77777777" w:rsidR="00992554" w:rsidRPr="00FF3C31" w:rsidRDefault="00992554" w:rsidP="00BB1E7A">
      <w:pPr>
        <w:autoSpaceDE w:val="0"/>
        <w:autoSpaceDN w:val="0"/>
        <w:adjustRightInd w:val="0"/>
        <w:spacing w:after="0" w:line="240" w:lineRule="auto"/>
        <w:jc w:val="both"/>
        <w:rPr>
          <w:rFonts w:ascii="Arial" w:eastAsia="Times New Roman" w:hAnsi="Arial" w:cs="Arial"/>
          <w:sz w:val="20"/>
          <w:szCs w:val="20"/>
        </w:rPr>
      </w:pPr>
    </w:p>
    <w:p w14:paraId="24A5DC45" w14:textId="4704EF8C" w:rsidR="00BB1E7A" w:rsidRPr="00FF3C31" w:rsidRDefault="00992554" w:rsidP="00BB1E7A">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Strateški c</w:t>
      </w:r>
      <w:r w:rsidR="00BB1E7A" w:rsidRPr="00FF3C31">
        <w:rPr>
          <w:rFonts w:ascii="Arial" w:eastAsia="Times New Roman" w:hAnsi="Arial" w:cs="Arial"/>
          <w:b/>
          <w:sz w:val="20"/>
          <w:szCs w:val="20"/>
        </w:rPr>
        <w:t xml:space="preserve">ilj </w:t>
      </w:r>
      <w:r w:rsidR="00C047C7" w:rsidRPr="00FF3C31">
        <w:rPr>
          <w:rFonts w:ascii="Arial" w:eastAsia="Times New Roman" w:hAnsi="Arial" w:cs="Arial"/>
          <w:b/>
          <w:sz w:val="20"/>
          <w:szCs w:val="20"/>
        </w:rPr>
        <w:t>2</w:t>
      </w:r>
      <w:r w:rsidR="00BB1E7A" w:rsidRPr="00FF3C31">
        <w:rPr>
          <w:rFonts w:ascii="Arial" w:eastAsia="Times New Roman" w:hAnsi="Arial" w:cs="Arial"/>
          <w:b/>
          <w:sz w:val="20"/>
          <w:szCs w:val="20"/>
        </w:rPr>
        <w:t xml:space="preserve">: </w:t>
      </w:r>
      <w:r w:rsidR="00437C71" w:rsidRPr="00FF3C31">
        <w:rPr>
          <w:rFonts w:ascii="Arial" w:eastAsia="Times New Roman" w:hAnsi="Arial" w:cs="Arial"/>
          <w:b/>
          <w:sz w:val="20"/>
          <w:szCs w:val="20"/>
        </w:rPr>
        <w:t>Unaprjeđenje infrastrukture</w:t>
      </w:r>
    </w:p>
    <w:p w14:paraId="09FFF9D8" w14:textId="77777777" w:rsidR="00BB1E7A" w:rsidRPr="00FF3C31" w:rsidRDefault="00BB1E7A" w:rsidP="00BB1E7A">
      <w:pPr>
        <w:autoSpaceDE w:val="0"/>
        <w:autoSpaceDN w:val="0"/>
        <w:adjustRightInd w:val="0"/>
        <w:spacing w:after="0" w:line="240" w:lineRule="auto"/>
        <w:jc w:val="both"/>
        <w:rPr>
          <w:rFonts w:ascii="Arial" w:eastAsia="Times New Roman" w:hAnsi="Arial" w:cs="Arial"/>
          <w:b/>
          <w:sz w:val="20"/>
          <w:szCs w:val="20"/>
          <w:u w:val="single"/>
        </w:rPr>
      </w:pPr>
    </w:p>
    <w:p w14:paraId="3C207E7A" w14:textId="352A20B7" w:rsidR="00BB1E7A" w:rsidRPr="00FF3C31" w:rsidRDefault="000804B7" w:rsidP="00BB1E7A">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Prio</w:t>
      </w:r>
      <w:r w:rsidR="00FF2258" w:rsidRPr="00FF3C31">
        <w:rPr>
          <w:rFonts w:ascii="Arial" w:eastAsia="Times New Roman" w:hAnsi="Arial" w:cs="Arial"/>
          <w:b/>
          <w:sz w:val="20"/>
          <w:szCs w:val="20"/>
        </w:rPr>
        <w:t>r</w:t>
      </w:r>
      <w:r w:rsidRPr="00FF3C31">
        <w:rPr>
          <w:rFonts w:ascii="Arial" w:eastAsia="Times New Roman" w:hAnsi="Arial" w:cs="Arial"/>
          <w:b/>
          <w:sz w:val="20"/>
          <w:szCs w:val="20"/>
        </w:rPr>
        <w:t>itet</w:t>
      </w:r>
      <w:r w:rsidR="00BB1E7A" w:rsidRPr="00FF3C31">
        <w:rPr>
          <w:rFonts w:ascii="Arial" w:eastAsia="Times New Roman" w:hAnsi="Arial" w:cs="Arial"/>
          <w:b/>
          <w:sz w:val="20"/>
          <w:szCs w:val="20"/>
        </w:rPr>
        <w:t xml:space="preserve"> </w:t>
      </w:r>
      <w:r w:rsidR="00437C71" w:rsidRPr="00FF3C31">
        <w:rPr>
          <w:rFonts w:ascii="Arial" w:eastAsia="Times New Roman" w:hAnsi="Arial" w:cs="Arial"/>
          <w:b/>
          <w:sz w:val="20"/>
          <w:szCs w:val="20"/>
        </w:rPr>
        <w:t>2.1.</w:t>
      </w:r>
      <w:r w:rsidR="00BB1E7A" w:rsidRPr="00FF3C31">
        <w:rPr>
          <w:rFonts w:ascii="Arial" w:eastAsia="Times New Roman" w:hAnsi="Arial" w:cs="Arial"/>
          <w:b/>
          <w:sz w:val="20"/>
          <w:szCs w:val="20"/>
        </w:rPr>
        <w:t xml:space="preserve"> </w:t>
      </w:r>
      <w:r w:rsidR="00437C71" w:rsidRPr="00FF3C31">
        <w:rPr>
          <w:rFonts w:ascii="Arial" w:eastAsia="Times New Roman" w:hAnsi="Arial" w:cs="Arial"/>
          <w:b/>
          <w:sz w:val="20"/>
          <w:szCs w:val="20"/>
        </w:rPr>
        <w:t xml:space="preserve">Unaprjeđenje prometne </w:t>
      </w:r>
      <w:r w:rsidR="00BB1E7A" w:rsidRPr="00FF3C31">
        <w:rPr>
          <w:rFonts w:ascii="Arial" w:eastAsia="Times New Roman" w:hAnsi="Arial" w:cs="Arial"/>
          <w:b/>
          <w:sz w:val="20"/>
          <w:szCs w:val="20"/>
        </w:rPr>
        <w:t>infrastrukture</w:t>
      </w:r>
    </w:p>
    <w:p w14:paraId="763982F0" w14:textId="77777777" w:rsidR="00437C71" w:rsidRPr="00FF3C31" w:rsidRDefault="00437C71" w:rsidP="00BB1E7A">
      <w:pPr>
        <w:autoSpaceDE w:val="0"/>
        <w:autoSpaceDN w:val="0"/>
        <w:adjustRightInd w:val="0"/>
        <w:spacing w:after="0" w:line="240" w:lineRule="auto"/>
        <w:jc w:val="both"/>
        <w:rPr>
          <w:rFonts w:ascii="Arial" w:eastAsia="Times New Roman" w:hAnsi="Arial" w:cs="Arial"/>
          <w:sz w:val="20"/>
          <w:szCs w:val="20"/>
        </w:rPr>
      </w:pPr>
    </w:p>
    <w:p w14:paraId="4A786D3D" w14:textId="3E4076AD" w:rsidR="00BB1E7A" w:rsidRPr="00FF3C31" w:rsidRDefault="00BB1E7A" w:rsidP="00BB1E7A">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Ova</w:t>
      </w:r>
      <w:r w:rsidR="000804B7" w:rsidRPr="00FF3C31">
        <w:rPr>
          <w:rFonts w:ascii="Arial" w:eastAsia="Times New Roman" w:hAnsi="Arial" w:cs="Arial"/>
          <w:sz w:val="20"/>
          <w:szCs w:val="20"/>
        </w:rPr>
        <w:t>j</w:t>
      </w:r>
      <w:r w:rsidRPr="00FF3C31">
        <w:rPr>
          <w:rFonts w:ascii="Arial" w:eastAsia="Times New Roman" w:hAnsi="Arial" w:cs="Arial"/>
          <w:sz w:val="20"/>
          <w:szCs w:val="20"/>
        </w:rPr>
        <w:t xml:space="preserve"> </w:t>
      </w:r>
      <w:r w:rsidR="000804B7" w:rsidRPr="00FF3C31">
        <w:rPr>
          <w:rFonts w:ascii="Arial" w:eastAsia="Times New Roman" w:hAnsi="Arial" w:cs="Arial"/>
          <w:sz w:val="20"/>
          <w:szCs w:val="20"/>
        </w:rPr>
        <w:t>prioritet</w:t>
      </w:r>
      <w:r w:rsidRPr="00FF3C31">
        <w:rPr>
          <w:rFonts w:ascii="Arial" w:eastAsia="Times New Roman" w:hAnsi="Arial" w:cs="Arial"/>
          <w:sz w:val="20"/>
          <w:szCs w:val="20"/>
        </w:rPr>
        <w:t xml:space="preserve"> se ostvaruje kroz:</w:t>
      </w:r>
    </w:p>
    <w:p w14:paraId="0903876B" w14:textId="77777777" w:rsidR="00BB1E7A" w:rsidRPr="00FF3C31" w:rsidRDefault="00BB1E7A" w:rsidP="00BB1E7A">
      <w:pPr>
        <w:autoSpaceDE w:val="0"/>
        <w:autoSpaceDN w:val="0"/>
        <w:adjustRightInd w:val="0"/>
        <w:spacing w:after="0" w:line="240" w:lineRule="auto"/>
        <w:jc w:val="both"/>
        <w:rPr>
          <w:rFonts w:ascii="Arial" w:eastAsia="Times New Roman" w:hAnsi="Arial" w:cs="Arial"/>
          <w:b/>
          <w:sz w:val="20"/>
          <w:szCs w:val="20"/>
        </w:rPr>
      </w:pPr>
    </w:p>
    <w:p w14:paraId="676EC792" w14:textId="245B0E87" w:rsidR="00BB1E7A" w:rsidRPr="00FF3C31" w:rsidRDefault="000804B7" w:rsidP="00BB1E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2</w:t>
      </w:r>
      <w:r w:rsidR="00BB1E7A" w:rsidRPr="00FF3C31">
        <w:rPr>
          <w:rFonts w:ascii="Arial" w:eastAsia="Times New Roman" w:hAnsi="Arial" w:cs="Arial"/>
          <w:b/>
          <w:sz w:val="20"/>
          <w:szCs w:val="20"/>
        </w:rPr>
        <w:t>.1. a)</w:t>
      </w:r>
      <w:r w:rsidR="00BB1E7A" w:rsidRPr="00FF3C31">
        <w:rPr>
          <w:rFonts w:ascii="Arial" w:eastAsia="Times New Roman" w:hAnsi="Arial" w:cs="Arial"/>
          <w:b/>
          <w:sz w:val="20"/>
          <w:szCs w:val="20"/>
        </w:rPr>
        <w:tab/>
        <w:t xml:space="preserve">Program (2092) – Gradnja komunalne infrastrukture </w:t>
      </w:r>
    </w:p>
    <w:p w14:paraId="1FEB129E" w14:textId="77777777" w:rsidR="00BB1E7A" w:rsidRPr="00FF3C31" w:rsidRDefault="00BB1E7A" w:rsidP="00BB1E7A">
      <w:pPr>
        <w:autoSpaceDE w:val="0"/>
        <w:autoSpaceDN w:val="0"/>
        <w:adjustRightInd w:val="0"/>
        <w:spacing w:after="0" w:line="240" w:lineRule="auto"/>
        <w:jc w:val="both"/>
        <w:rPr>
          <w:rFonts w:ascii="Arial" w:eastAsia="Times New Roman" w:hAnsi="Arial" w:cs="Arial"/>
          <w:sz w:val="20"/>
          <w:szCs w:val="20"/>
        </w:rPr>
      </w:pPr>
    </w:p>
    <w:p w14:paraId="1836046D" w14:textId="77777777" w:rsidR="00BB1E7A" w:rsidRPr="00FF3C31" w:rsidRDefault="00BB1E7A" w:rsidP="00BB1E7A">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a1)</w:t>
      </w:r>
      <w:r w:rsidRPr="00FF3C31">
        <w:rPr>
          <w:rFonts w:ascii="Arial" w:eastAsia="Times New Roman" w:hAnsi="Arial" w:cs="Arial"/>
          <w:sz w:val="20"/>
          <w:szCs w:val="20"/>
        </w:rPr>
        <w:tab/>
        <w:t>Tekući projekt (T209209) Izgradnja, uređenje, opremanje parkinga</w:t>
      </w:r>
    </w:p>
    <w:p w14:paraId="6B5498F2" w14:textId="77777777" w:rsidR="00BB1E7A" w:rsidRPr="00FF3C31" w:rsidRDefault="00BB1E7A" w:rsidP="00BB1E7A">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lastRenderedPageBreak/>
        <w:t>a2)</w:t>
      </w:r>
      <w:r w:rsidRPr="00FF3C31">
        <w:rPr>
          <w:rFonts w:ascii="Arial" w:eastAsia="Times New Roman" w:hAnsi="Arial" w:cs="Arial"/>
          <w:sz w:val="20"/>
          <w:szCs w:val="20"/>
        </w:rPr>
        <w:tab/>
        <w:t>Tekući projekt (T209211) Izgradnja nogostupa, Poluganje</w:t>
      </w:r>
    </w:p>
    <w:p w14:paraId="277C6378" w14:textId="77777777" w:rsidR="00BB1E7A" w:rsidRPr="00FF3C31" w:rsidRDefault="00BB1E7A" w:rsidP="00BB1E7A">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a3)</w:t>
      </w:r>
      <w:r w:rsidRPr="00FF3C31">
        <w:rPr>
          <w:rFonts w:ascii="Arial" w:eastAsia="Times New Roman" w:hAnsi="Arial" w:cs="Arial"/>
          <w:sz w:val="20"/>
          <w:szCs w:val="20"/>
        </w:rPr>
        <w:tab/>
        <w:t>Kapitalni projekt (T209214) Nogostup uz D8 Gruda - Tušići</w:t>
      </w:r>
    </w:p>
    <w:p w14:paraId="6A00A744" w14:textId="77777777" w:rsidR="00BB1E7A" w:rsidRPr="00FF3C31" w:rsidRDefault="00BB1E7A" w:rsidP="00BB1E7A">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a4)</w:t>
      </w:r>
      <w:r w:rsidRPr="00FF3C31">
        <w:rPr>
          <w:rFonts w:ascii="Arial" w:eastAsia="Times New Roman" w:hAnsi="Arial" w:cs="Arial"/>
          <w:sz w:val="20"/>
          <w:szCs w:val="20"/>
        </w:rPr>
        <w:tab/>
        <w:t>Kapitalni projekt (K209215) Nogostup naselje Zvekovica</w:t>
      </w:r>
    </w:p>
    <w:p w14:paraId="361DD025" w14:textId="77777777" w:rsidR="00BB1E7A" w:rsidRPr="00FF3C31" w:rsidRDefault="00BB1E7A" w:rsidP="00BB1E7A">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a5)</w:t>
      </w:r>
      <w:r w:rsidRPr="00FF3C31">
        <w:rPr>
          <w:rFonts w:ascii="Arial" w:eastAsia="Times New Roman" w:hAnsi="Arial" w:cs="Arial"/>
          <w:sz w:val="20"/>
          <w:szCs w:val="20"/>
        </w:rPr>
        <w:tab/>
        <w:t>Kapitalni projekt (K209216) Nogostup naselje Čilipi</w:t>
      </w:r>
    </w:p>
    <w:p w14:paraId="30C6D942" w14:textId="77777777" w:rsidR="00BB1E7A" w:rsidRPr="00FF3C31" w:rsidRDefault="00BB1E7A" w:rsidP="00BB1E7A">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a6)</w:t>
      </w:r>
      <w:r w:rsidRPr="00FF3C31">
        <w:rPr>
          <w:rFonts w:ascii="Arial" w:eastAsia="Times New Roman" w:hAnsi="Arial" w:cs="Arial"/>
          <w:sz w:val="20"/>
          <w:szCs w:val="20"/>
        </w:rPr>
        <w:tab/>
        <w:t>Kapitalni projekt (K209218) Nogostup naselje Gruda</w:t>
      </w:r>
    </w:p>
    <w:p w14:paraId="57898D32" w14:textId="77777777" w:rsidR="00BB1E7A" w:rsidRPr="00FF3C31" w:rsidRDefault="00BB1E7A" w:rsidP="00BB1E7A">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a7)</w:t>
      </w:r>
      <w:r w:rsidRPr="00FF3C31">
        <w:rPr>
          <w:rFonts w:ascii="Arial" w:eastAsia="Times New Roman" w:hAnsi="Arial" w:cs="Arial"/>
          <w:sz w:val="20"/>
          <w:szCs w:val="20"/>
        </w:rPr>
        <w:tab/>
        <w:t>Kapitalni projekt (K209219) Cesta Pridvorje – Knežev dvor</w:t>
      </w:r>
    </w:p>
    <w:p w14:paraId="52FA974C" w14:textId="77777777" w:rsidR="00BB1E7A" w:rsidRPr="00FF3C31" w:rsidRDefault="00BB1E7A" w:rsidP="00BB1E7A">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a8)</w:t>
      </w:r>
      <w:r w:rsidRPr="00FF3C31">
        <w:rPr>
          <w:rFonts w:ascii="Arial" w:eastAsia="Times New Roman" w:hAnsi="Arial" w:cs="Arial"/>
          <w:sz w:val="20"/>
          <w:szCs w:val="20"/>
        </w:rPr>
        <w:tab/>
        <w:t>Kapitalni projekt (K209220) Nogostup Čilipi - Zvekovica</w:t>
      </w:r>
    </w:p>
    <w:p w14:paraId="46E29240" w14:textId="77777777" w:rsidR="00BB1E7A" w:rsidRPr="00FF3C31" w:rsidRDefault="00BB1E7A" w:rsidP="00686E08">
      <w:pPr>
        <w:autoSpaceDE w:val="0"/>
        <w:autoSpaceDN w:val="0"/>
        <w:adjustRightInd w:val="0"/>
        <w:spacing w:after="0" w:line="240" w:lineRule="auto"/>
        <w:jc w:val="both"/>
        <w:rPr>
          <w:rFonts w:ascii="Arial" w:eastAsia="Times New Roman" w:hAnsi="Arial" w:cs="Arial"/>
          <w:sz w:val="20"/>
          <w:szCs w:val="20"/>
        </w:rPr>
      </w:pPr>
    </w:p>
    <w:p w14:paraId="32F31A9B" w14:textId="77777777" w:rsidR="00686E08" w:rsidRPr="00FF3C31" w:rsidRDefault="00686E08" w:rsidP="00686E08">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T209209: Izgradnja, uređenje, opremanje parkinga</w:t>
      </w:r>
    </w:p>
    <w:p w14:paraId="33508087" w14:textId="77777777" w:rsidR="00686E08" w:rsidRPr="00FF3C31" w:rsidRDefault="00686E08" w:rsidP="00686E08">
      <w:pPr>
        <w:autoSpaceDE w:val="0"/>
        <w:autoSpaceDN w:val="0"/>
        <w:adjustRightInd w:val="0"/>
        <w:spacing w:after="0" w:line="240" w:lineRule="auto"/>
        <w:jc w:val="both"/>
        <w:rPr>
          <w:rFonts w:ascii="Arial" w:eastAsia="Times New Roman" w:hAnsi="Arial" w:cs="Arial"/>
          <w:sz w:val="20"/>
          <w:szCs w:val="20"/>
        </w:rPr>
      </w:pPr>
    </w:p>
    <w:p w14:paraId="784E579D" w14:textId="77777777" w:rsidR="00B83B91" w:rsidRPr="00B83B91" w:rsidRDefault="00B83B91" w:rsidP="00B83B91">
      <w:pPr>
        <w:autoSpaceDE w:val="0"/>
        <w:autoSpaceDN w:val="0"/>
        <w:adjustRightInd w:val="0"/>
        <w:spacing w:after="0" w:line="240" w:lineRule="auto"/>
        <w:rPr>
          <w:rFonts w:ascii="Arial" w:hAnsi="Arial" w:cs="Arial"/>
          <w:sz w:val="18"/>
          <w:szCs w:val="18"/>
        </w:rPr>
      </w:pPr>
      <w:r w:rsidRPr="00B83B91">
        <w:rPr>
          <w:rFonts w:ascii="Arial" w:hAnsi="Arial" w:cs="Arial"/>
          <w:sz w:val="18"/>
          <w:szCs w:val="18"/>
        </w:rPr>
        <w:t>Pokazatelj rezultata je: postotak dovršenosti otkupa, uređenja i opremanja parkinga u Cavtatu i parkinga na Grudi</w:t>
      </w:r>
    </w:p>
    <w:p w14:paraId="70842C0D" w14:textId="77777777" w:rsidR="00B83B91" w:rsidRPr="00B83B91" w:rsidRDefault="00B83B91" w:rsidP="00B83B91">
      <w:pPr>
        <w:autoSpaceDE w:val="0"/>
        <w:autoSpaceDN w:val="0"/>
        <w:adjustRightInd w:val="0"/>
        <w:spacing w:after="0" w:line="240" w:lineRule="auto"/>
        <w:rPr>
          <w:rFonts w:ascii="Arial" w:hAnsi="Arial" w:cs="Arial"/>
          <w:sz w:val="18"/>
          <w:szCs w:val="18"/>
        </w:rPr>
      </w:pPr>
      <w:r w:rsidRPr="00B83B91">
        <w:rPr>
          <w:rFonts w:ascii="Arial" w:hAnsi="Arial" w:cs="Arial"/>
          <w:sz w:val="18"/>
          <w:szCs w:val="18"/>
        </w:rPr>
        <w:t>Polazna vrijednost 5%, ciljna vrijednost za 2025. = 10%, za 2026. = 17%, 2027. = 25%</w:t>
      </w:r>
    </w:p>
    <w:p w14:paraId="21840B23" w14:textId="77777777" w:rsidR="00686E08" w:rsidRPr="00FF3C31" w:rsidRDefault="00686E08" w:rsidP="00686E08">
      <w:pPr>
        <w:autoSpaceDE w:val="0"/>
        <w:autoSpaceDN w:val="0"/>
        <w:adjustRightInd w:val="0"/>
        <w:spacing w:after="0" w:line="240" w:lineRule="auto"/>
        <w:jc w:val="both"/>
        <w:rPr>
          <w:rFonts w:ascii="Arial" w:eastAsia="Times New Roman" w:hAnsi="Arial" w:cs="Arial"/>
          <w:sz w:val="20"/>
          <w:szCs w:val="20"/>
        </w:rPr>
      </w:pPr>
    </w:p>
    <w:p w14:paraId="61AC050B" w14:textId="57A5CB63" w:rsidR="00686E08" w:rsidRPr="00720A0C" w:rsidRDefault="00686E08" w:rsidP="00686E08">
      <w:pPr>
        <w:autoSpaceDE w:val="0"/>
        <w:autoSpaceDN w:val="0"/>
        <w:adjustRightInd w:val="0"/>
        <w:spacing w:after="0" w:line="240" w:lineRule="auto"/>
        <w:jc w:val="both"/>
        <w:rPr>
          <w:rFonts w:ascii="Arial" w:eastAsia="Calibri" w:hAnsi="Arial" w:cs="Arial"/>
          <w:sz w:val="18"/>
          <w:szCs w:val="18"/>
        </w:rPr>
      </w:pPr>
      <w:r w:rsidRPr="00720A0C">
        <w:rPr>
          <w:rFonts w:ascii="Arial" w:eastAsia="Times New Roman" w:hAnsi="Arial" w:cs="Arial"/>
          <w:sz w:val="18"/>
          <w:szCs w:val="18"/>
        </w:rPr>
        <w:t xml:space="preserve">U 2018. izvršeni su rashodi u iznosu 251.750 kn </w:t>
      </w:r>
      <w:r w:rsidR="00060B4C" w:rsidRPr="00720A0C">
        <w:rPr>
          <w:rFonts w:ascii="Arial" w:eastAsia="Times New Roman" w:hAnsi="Arial" w:cs="Arial"/>
          <w:sz w:val="18"/>
          <w:szCs w:val="18"/>
        </w:rPr>
        <w:t xml:space="preserve">/ 33.412,97 € </w:t>
      </w:r>
      <w:r w:rsidRPr="00720A0C">
        <w:rPr>
          <w:rFonts w:ascii="Arial" w:eastAsia="Times New Roman" w:hAnsi="Arial" w:cs="Arial"/>
          <w:sz w:val="18"/>
          <w:szCs w:val="18"/>
        </w:rPr>
        <w:t xml:space="preserve">koji se odnose </w:t>
      </w:r>
      <w:r w:rsidRPr="00720A0C">
        <w:rPr>
          <w:rFonts w:ascii="Arial" w:eastAsia="Calibri" w:hAnsi="Arial" w:cs="Arial"/>
          <w:sz w:val="18"/>
          <w:szCs w:val="18"/>
        </w:rPr>
        <w:t>na izradu idejnog rješenja parkirališta kod ambulante u Cavtatu u iznosu 8.750 kn</w:t>
      </w:r>
      <w:r w:rsidR="00060B4C" w:rsidRPr="00720A0C">
        <w:rPr>
          <w:rFonts w:ascii="Arial" w:eastAsia="Calibri" w:hAnsi="Arial" w:cs="Arial"/>
          <w:sz w:val="18"/>
          <w:szCs w:val="18"/>
        </w:rPr>
        <w:t xml:space="preserve"> / 1.161,32 €</w:t>
      </w:r>
      <w:r w:rsidRPr="00720A0C">
        <w:rPr>
          <w:rFonts w:ascii="Arial" w:eastAsia="Calibri" w:hAnsi="Arial" w:cs="Arial"/>
          <w:sz w:val="18"/>
          <w:szCs w:val="18"/>
        </w:rPr>
        <w:t>, te otkup zemljišta za uređenje parkinga u iznosu 243.000 kn</w:t>
      </w:r>
      <w:r w:rsidR="00060B4C" w:rsidRPr="00720A0C">
        <w:rPr>
          <w:rFonts w:ascii="Arial" w:eastAsia="Calibri" w:hAnsi="Arial" w:cs="Arial"/>
          <w:sz w:val="18"/>
          <w:szCs w:val="18"/>
        </w:rPr>
        <w:t xml:space="preserve"> / 32.251,64 €</w:t>
      </w:r>
      <w:r w:rsidRPr="00720A0C">
        <w:rPr>
          <w:rFonts w:ascii="Arial" w:eastAsia="Calibri" w:hAnsi="Arial" w:cs="Arial"/>
          <w:sz w:val="18"/>
          <w:szCs w:val="18"/>
        </w:rPr>
        <w:t>. Otkupljeno je 243 m² u Cavtatu od tri fizičke osobe. Procjenu zemljišta obavio je ovlašteni vještak za graditeljstvo i procjenu nekretnina.</w:t>
      </w:r>
    </w:p>
    <w:p w14:paraId="1F4A7434" w14:textId="77777777" w:rsidR="00686E08" w:rsidRPr="00720A0C" w:rsidRDefault="00686E08" w:rsidP="00686E08">
      <w:pPr>
        <w:autoSpaceDE w:val="0"/>
        <w:autoSpaceDN w:val="0"/>
        <w:adjustRightInd w:val="0"/>
        <w:spacing w:after="0" w:line="240" w:lineRule="auto"/>
        <w:jc w:val="both"/>
        <w:rPr>
          <w:rFonts w:ascii="Arial" w:eastAsia="Times New Roman" w:hAnsi="Arial" w:cs="Arial"/>
          <w:sz w:val="18"/>
          <w:szCs w:val="18"/>
        </w:rPr>
      </w:pPr>
    </w:p>
    <w:p w14:paraId="0658B660" w14:textId="307B5F6A" w:rsidR="00686E08" w:rsidRPr="00720A0C" w:rsidRDefault="00686E08" w:rsidP="00686E08">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U 2019. su izvršeni rashodi u iznosu 1.182.749,73 kn </w:t>
      </w:r>
      <w:r w:rsidR="00060B4C" w:rsidRPr="00720A0C">
        <w:rPr>
          <w:rFonts w:ascii="Arial" w:eastAsia="Times New Roman" w:hAnsi="Arial" w:cs="Arial"/>
          <w:sz w:val="18"/>
          <w:szCs w:val="18"/>
        </w:rPr>
        <w:t xml:space="preserve">/ 156.977,87 € </w:t>
      </w:r>
      <w:r w:rsidRPr="00720A0C">
        <w:rPr>
          <w:rFonts w:ascii="Arial" w:eastAsia="Times New Roman" w:hAnsi="Arial" w:cs="Arial"/>
          <w:sz w:val="18"/>
          <w:szCs w:val="18"/>
        </w:rPr>
        <w:t>i odnosili su se na:</w:t>
      </w:r>
    </w:p>
    <w:p w14:paraId="14593F4B" w14:textId="0C59137A" w:rsidR="00686E08" w:rsidRPr="00720A0C" w:rsidRDefault="00686E08" w:rsidP="00686E08">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 kapitalnu pomoć društvu u vlasništvu Općine (Čistoća i zelenilo Konavle d.o.o.) za nadogradnju sustava parkinga u Cavtatu u iznosu 496.182,77 kn </w:t>
      </w:r>
      <w:r w:rsidR="00060B4C" w:rsidRPr="00720A0C">
        <w:rPr>
          <w:rFonts w:ascii="Arial" w:eastAsia="Times New Roman" w:hAnsi="Arial" w:cs="Arial"/>
          <w:sz w:val="18"/>
          <w:szCs w:val="18"/>
        </w:rPr>
        <w:t xml:space="preserve">/ 65.854,77 € </w:t>
      </w:r>
      <w:r w:rsidRPr="00720A0C">
        <w:rPr>
          <w:rFonts w:ascii="Arial" w:eastAsia="Times New Roman" w:hAnsi="Arial" w:cs="Arial"/>
          <w:sz w:val="18"/>
          <w:szCs w:val="18"/>
        </w:rPr>
        <w:t>(nabava sustava i opreme za nadogradnju sustava kontrole parkiranja u Cavtatu u iznosu 151.626,57 kn</w:t>
      </w:r>
      <w:r w:rsidR="00060B4C" w:rsidRPr="00720A0C">
        <w:rPr>
          <w:rFonts w:ascii="Arial" w:eastAsia="Times New Roman" w:hAnsi="Arial" w:cs="Arial"/>
          <w:sz w:val="18"/>
          <w:szCs w:val="18"/>
        </w:rPr>
        <w:t xml:space="preserve"> / 20.124,30 €</w:t>
      </w:r>
      <w:r w:rsidRPr="00720A0C">
        <w:rPr>
          <w:rFonts w:ascii="Arial" w:eastAsia="Times New Roman" w:hAnsi="Arial" w:cs="Arial"/>
          <w:sz w:val="18"/>
          <w:szCs w:val="18"/>
        </w:rPr>
        <w:t>, nadogradnja proširenja sustava prepoznavanja registarskih oznaka u iznosu 138.609,85 kn</w:t>
      </w:r>
      <w:r w:rsidR="00060B4C" w:rsidRPr="00720A0C">
        <w:rPr>
          <w:rFonts w:ascii="Arial" w:eastAsia="Times New Roman" w:hAnsi="Arial" w:cs="Arial"/>
          <w:sz w:val="18"/>
          <w:szCs w:val="18"/>
        </w:rPr>
        <w:t xml:space="preserve"> / 18.396,69 €</w:t>
      </w:r>
      <w:r w:rsidRPr="00720A0C">
        <w:rPr>
          <w:rFonts w:ascii="Arial" w:eastAsia="Times New Roman" w:hAnsi="Arial" w:cs="Arial"/>
          <w:sz w:val="18"/>
          <w:szCs w:val="18"/>
        </w:rPr>
        <w:t>, proširenje sustava naplate s mogućnošću plaćanja kroz različite kanale plaćanja u iznosu 171.446,35 kn</w:t>
      </w:r>
      <w:r w:rsidR="00060B4C" w:rsidRPr="00720A0C">
        <w:rPr>
          <w:rFonts w:ascii="Arial" w:eastAsia="Times New Roman" w:hAnsi="Arial" w:cs="Arial"/>
          <w:sz w:val="18"/>
          <w:szCs w:val="18"/>
        </w:rPr>
        <w:t xml:space="preserve"> / 22.754,84 €</w:t>
      </w:r>
      <w:r w:rsidRPr="00720A0C">
        <w:rPr>
          <w:rFonts w:ascii="Arial" w:eastAsia="Times New Roman" w:hAnsi="Arial" w:cs="Arial"/>
          <w:sz w:val="18"/>
          <w:szCs w:val="18"/>
        </w:rPr>
        <w:t>, te građevinsko obrtnički radovi – prilagodba za upravljanje novim sustavom parkiranja u iznosu 34.500 kn</w:t>
      </w:r>
      <w:r w:rsidR="00060B4C" w:rsidRPr="00720A0C">
        <w:rPr>
          <w:rFonts w:ascii="Arial" w:eastAsia="Times New Roman" w:hAnsi="Arial" w:cs="Arial"/>
          <w:sz w:val="18"/>
          <w:szCs w:val="18"/>
        </w:rPr>
        <w:t xml:space="preserve"> / 4.578,94 €</w:t>
      </w:r>
      <w:r w:rsidRPr="00720A0C">
        <w:rPr>
          <w:rFonts w:ascii="Arial" w:eastAsia="Times New Roman" w:hAnsi="Arial" w:cs="Arial"/>
          <w:sz w:val="18"/>
          <w:szCs w:val="18"/>
        </w:rPr>
        <w:t xml:space="preserve">, </w:t>
      </w:r>
    </w:p>
    <w:p w14:paraId="3EDDDF7C" w14:textId="64DB606D" w:rsidR="00686E08" w:rsidRPr="00720A0C" w:rsidRDefault="00686E08" w:rsidP="00686E08">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 izgradnju parkinga na Grudi u iznosu 686.566,96 kn </w:t>
      </w:r>
      <w:r w:rsidR="00060B4C" w:rsidRPr="00720A0C">
        <w:rPr>
          <w:rFonts w:ascii="Arial" w:eastAsia="Times New Roman" w:hAnsi="Arial" w:cs="Arial"/>
          <w:sz w:val="18"/>
          <w:szCs w:val="18"/>
        </w:rPr>
        <w:t xml:space="preserve">/ 91.123,10 € </w:t>
      </w:r>
      <w:r w:rsidRPr="00720A0C">
        <w:rPr>
          <w:rFonts w:ascii="Arial" w:eastAsia="Times New Roman" w:hAnsi="Arial" w:cs="Arial"/>
          <w:sz w:val="18"/>
          <w:szCs w:val="18"/>
        </w:rPr>
        <w:t xml:space="preserve">(otkup zemljišta za izgradnju u iznosu 292.411,74 kn </w:t>
      </w:r>
      <w:r w:rsidR="00060B4C" w:rsidRPr="00720A0C">
        <w:rPr>
          <w:rFonts w:ascii="Arial" w:eastAsia="Times New Roman" w:hAnsi="Arial" w:cs="Arial"/>
          <w:sz w:val="18"/>
          <w:szCs w:val="18"/>
        </w:rPr>
        <w:t xml:space="preserve">/ 38.809,71 € </w:t>
      </w:r>
      <w:r w:rsidRPr="00720A0C">
        <w:rPr>
          <w:rFonts w:ascii="Arial" w:eastAsia="Times New Roman" w:hAnsi="Arial" w:cs="Arial"/>
          <w:sz w:val="18"/>
          <w:szCs w:val="18"/>
        </w:rPr>
        <w:t xml:space="preserve">od fizičke osobe (743 m²), građevinski radovi u vrijednosti 382.773,68 kn </w:t>
      </w:r>
      <w:r w:rsidR="00060B4C" w:rsidRPr="00720A0C">
        <w:rPr>
          <w:rFonts w:ascii="Arial" w:eastAsia="Times New Roman" w:hAnsi="Arial" w:cs="Arial"/>
          <w:sz w:val="18"/>
          <w:szCs w:val="18"/>
        </w:rPr>
        <w:t xml:space="preserve">/ 50.802,80 € </w:t>
      </w:r>
      <w:r w:rsidRPr="00720A0C">
        <w:rPr>
          <w:rFonts w:ascii="Arial" w:eastAsia="Times New Roman" w:hAnsi="Arial" w:cs="Arial"/>
          <w:sz w:val="18"/>
          <w:szCs w:val="18"/>
        </w:rPr>
        <w:t>i usluge nadzora nad radovima u iznosu 11.381,54 kn</w:t>
      </w:r>
      <w:r w:rsidR="00060B4C" w:rsidRPr="00720A0C">
        <w:rPr>
          <w:rFonts w:ascii="Arial" w:eastAsia="Times New Roman" w:hAnsi="Arial" w:cs="Arial"/>
          <w:sz w:val="18"/>
          <w:szCs w:val="18"/>
        </w:rPr>
        <w:t xml:space="preserve"> / 1.510,59 €</w:t>
      </w:r>
      <w:r w:rsidRPr="00720A0C">
        <w:rPr>
          <w:rFonts w:ascii="Arial" w:eastAsia="Times New Roman" w:hAnsi="Arial" w:cs="Arial"/>
          <w:sz w:val="18"/>
          <w:szCs w:val="18"/>
        </w:rPr>
        <w:t>).</w:t>
      </w:r>
    </w:p>
    <w:p w14:paraId="60D37D93" w14:textId="77777777" w:rsidR="00686E08" w:rsidRPr="00720A0C" w:rsidRDefault="00686E08" w:rsidP="00686E08">
      <w:pPr>
        <w:autoSpaceDE w:val="0"/>
        <w:autoSpaceDN w:val="0"/>
        <w:adjustRightInd w:val="0"/>
        <w:spacing w:after="0" w:line="240" w:lineRule="auto"/>
        <w:jc w:val="both"/>
        <w:rPr>
          <w:rFonts w:ascii="Arial" w:eastAsia="Times New Roman" w:hAnsi="Arial" w:cs="Arial"/>
          <w:sz w:val="18"/>
          <w:szCs w:val="18"/>
        </w:rPr>
      </w:pPr>
    </w:p>
    <w:p w14:paraId="2C854EF7" w14:textId="44661145" w:rsidR="00686E08" w:rsidRPr="00720A0C" w:rsidRDefault="00686E08" w:rsidP="00686E08">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Na temelju provedenog postupka nabave, zaključen je u kolovozu 2019. s odabranim izvoditeljem (Texo molior d.o.o.) ugovor za radove uređenja parkirališta u naselju Gruda u iznosu 609.563,75 kn</w:t>
      </w:r>
      <w:r w:rsidR="00060B4C" w:rsidRPr="00720A0C">
        <w:rPr>
          <w:rFonts w:ascii="Arial" w:eastAsia="Times New Roman" w:hAnsi="Arial" w:cs="Arial"/>
          <w:sz w:val="18"/>
          <w:szCs w:val="18"/>
        </w:rPr>
        <w:t xml:space="preserve"> s PDV-om / 80.903,02 €</w:t>
      </w:r>
      <w:r w:rsidRPr="00720A0C">
        <w:rPr>
          <w:rFonts w:ascii="Arial" w:eastAsia="Times New Roman" w:hAnsi="Arial" w:cs="Arial"/>
          <w:sz w:val="18"/>
          <w:szCs w:val="18"/>
        </w:rPr>
        <w:t xml:space="preserve">. Izvođač je u 2019. ispostavio dvije privremene u ukupnom iznosu 382.773,68 kn s </w:t>
      </w:r>
      <w:r w:rsidR="00060B4C" w:rsidRPr="00720A0C">
        <w:rPr>
          <w:rFonts w:ascii="Arial" w:eastAsia="Times New Roman" w:hAnsi="Arial" w:cs="Arial"/>
          <w:sz w:val="18"/>
          <w:szCs w:val="18"/>
        </w:rPr>
        <w:t>PDV-om / 50.802,80 €</w:t>
      </w:r>
      <w:r w:rsidRPr="00720A0C">
        <w:rPr>
          <w:rFonts w:ascii="Arial" w:eastAsia="Times New Roman" w:hAnsi="Arial" w:cs="Arial"/>
          <w:sz w:val="18"/>
          <w:szCs w:val="18"/>
        </w:rPr>
        <w:t>. Radovi nadzora nad radovima ugovoreni su u vrijednosti 18.125 kn</w:t>
      </w:r>
      <w:r w:rsidR="00060B4C" w:rsidRPr="00720A0C">
        <w:rPr>
          <w:rFonts w:ascii="Arial" w:eastAsia="Times New Roman" w:hAnsi="Arial" w:cs="Arial"/>
          <w:sz w:val="18"/>
          <w:szCs w:val="18"/>
        </w:rPr>
        <w:t xml:space="preserve"> / 2.405,60 €</w:t>
      </w:r>
      <w:r w:rsidRPr="00720A0C">
        <w:rPr>
          <w:rFonts w:ascii="Arial" w:eastAsia="Times New Roman" w:hAnsi="Arial" w:cs="Arial"/>
          <w:sz w:val="18"/>
          <w:szCs w:val="18"/>
        </w:rPr>
        <w:t>, a izvršeni su u vrijednosti 11.381,54 kn</w:t>
      </w:r>
      <w:r w:rsidR="00060B4C" w:rsidRPr="00720A0C">
        <w:rPr>
          <w:rFonts w:ascii="Arial" w:eastAsia="Times New Roman" w:hAnsi="Arial" w:cs="Arial"/>
          <w:sz w:val="18"/>
          <w:szCs w:val="18"/>
        </w:rPr>
        <w:t xml:space="preserve"> / 1.510,59 €</w:t>
      </w:r>
      <w:r w:rsidRPr="00720A0C">
        <w:rPr>
          <w:rFonts w:ascii="Arial" w:eastAsia="Times New Roman" w:hAnsi="Arial" w:cs="Arial"/>
          <w:sz w:val="18"/>
          <w:szCs w:val="18"/>
        </w:rPr>
        <w:t>.</w:t>
      </w:r>
    </w:p>
    <w:p w14:paraId="1133160D" w14:textId="77777777" w:rsidR="00686E08" w:rsidRPr="00720A0C" w:rsidRDefault="00686E08" w:rsidP="00686E08">
      <w:pPr>
        <w:autoSpaceDE w:val="0"/>
        <w:autoSpaceDN w:val="0"/>
        <w:adjustRightInd w:val="0"/>
        <w:spacing w:after="0" w:line="240" w:lineRule="auto"/>
        <w:jc w:val="both"/>
        <w:rPr>
          <w:rFonts w:ascii="Arial" w:eastAsia="Times New Roman" w:hAnsi="Arial" w:cs="Arial"/>
          <w:sz w:val="18"/>
          <w:szCs w:val="18"/>
        </w:rPr>
      </w:pPr>
    </w:p>
    <w:p w14:paraId="6FE1ACAA" w14:textId="100FD3F5" w:rsidR="00686E08" w:rsidRPr="00720A0C" w:rsidRDefault="00686E08" w:rsidP="00686E08">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U 2020. su izvršeni rashodi u iznosu 510.481,79 kn </w:t>
      </w:r>
      <w:r w:rsidR="00060B4C" w:rsidRPr="00720A0C">
        <w:rPr>
          <w:rFonts w:ascii="Arial" w:eastAsia="Times New Roman" w:hAnsi="Arial" w:cs="Arial"/>
          <w:sz w:val="18"/>
          <w:szCs w:val="18"/>
        </w:rPr>
        <w:t xml:space="preserve">/ 67.752,58 € </w:t>
      </w:r>
      <w:r w:rsidRPr="00720A0C">
        <w:rPr>
          <w:rFonts w:ascii="Arial" w:eastAsia="Times New Roman" w:hAnsi="Arial" w:cs="Arial"/>
          <w:sz w:val="18"/>
          <w:szCs w:val="18"/>
        </w:rPr>
        <w:t>koji se odnose na otkup 251</w:t>
      </w:r>
      <w:r w:rsidR="00060B4C" w:rsidRPr="00720A0C">
        <w:rPr>
          <w:rFonts w:ascii="Arial" w:eastAsia="Times New Roman" w:hAnsi="Arial" w:cs="Arial"/>
          <w:sz w:val="18"/>
          <w:szCs w:val="18"/>
        </w:rPr>
        <w:t xml:space="preserve"> </w:t>
      </w:r>
      <w:r w:rsidRPr="00720A0C">
        <w:rPr>
          <w:rFonts w:ascii="Arial" w:eastAsia="Times New Roman" w:hAnsi="Arial" w:cs="Arial"/>
          <w:sz w:val="18"/>
          <w:szCs w:val="18"/>
        </w:rPr>
        <w:t xml:space="preserve">m² zemljišta za proširenje parkinga, dok su u 2021. izvršeni rashodi u obliku kapitalne pomoći društvu koje upravlja parkingom u iznosu 19.016,56 kn </w:t>
      </w:r>
      <w:r w:rsidR="00060B4C" w:rsidRPr="00720A0C">
        <w:rPr>
          <w:rFonts w:ascii="Arial" w:eastAsia="Times New Roman" w:hAnsi="Arial" w:cs="Arial"/>
          <w:sz w:val="18"/>
          <w:szCs w:val="18"/>
        </w:rPr>
        <w:t xml:space="preserve">/ 2.523,93 € </w:t>
      </w:r>
      <w:r w:rsidRPr="00720A0C">
        <w:rPr>
          <w:rFonts w:ascii="Arial" w:eastAsia="Times New Roman" w:hAnsi="Arial" w:cs="Arial"/>
          <w:sz w:val="18"/>
          <w:szCs w:val="18"/>
        </w:rPr>
        <w:t>a za potrebe nabave opreme za nadzorni sustav parkinga i javnih površina.</w:t>
      </w:r>
    </w:p>
    <w:p w14:paraId="3FA9DB96" w14:textId="77777777" w:rsidR="00686E08" w:rsidRPr="00720A0C" w:rsidRDefault="00686E08" w:rsidP="00686E08">
      <w:pPr>
        <w:autoSpaceDE w:val="0"/>
        <w:autoSpaceDN w:val="0"/>
        <w:adjustRightInd w:val="0"/>
        <w:spacing w:after="0" w:line="240" w:lineRule="auto"/>
        <w:jc w:val="both"/>
        <w:rPr>
          <w:rFonts w:ascii="Arial" w:eastAsia="Times New Roman" w:hAnsi="Arial" w:cs="Arial"/>
          <w:sz w:val="18"/>
          <w:szCs w:val="18"/>
        </w:rPr>
      </w:pPr>
    </w:p>
    <w:p w14:paraId="2346D51D" w14:textId="2ABCD37F" w:rsidR="008D50C0" w:rsidRPr="00720A0C" w:rsidRDefault="008D50C0" w:rsidP="00686E08">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U 2023. su izvršeni rashodi u iznosu </w:t>
      </w:r>
      <w:r w:rsidR="00B33A2D" w:rsidRPr="00720A0C">
        <w:rPr>
          <w:rFonts w:ascii="Arial" w:eastAsia="Times New Roman" w:hAnsi="Arial" w:cs="Arial"/>
          <w:sz w:val="18"/>
          <w:szCs w:val="18"/>
        </w:rPr>
        <w:t>102.673,13</w:t>
      </w:r>
      <w:r w:rsidRPr="00720A0C">
        <w:rPr>
          <w:rFonts w:ascii="Arial" w:eastAsia="Times New Roman" w:hAnsi="Arial" w:cs="Arial"/>
          <w:sz w:val="18"/>
          <w:szCs w:val="18"/>
        </w:rPr>
        <w:t xml:space="preserve"> € za parkinge i to:</w:t>
      </w:r>
    </w:p>
    <w:p w14:paraId="14D28989" w14:textId="4355E67F" w:rsidR="00D471AD" w:rsidRPr="00720A0C" w:rsidRDefault="008D50C0" w:rsidP="00D471AD">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 prijenosi sredstava kapitalne pomoći u iznosu </w:t>
      </w:r>
      <w:r w:rsidR="00B33A2D" w:rsidRPr="00720A0C">
        <w:rPr>
          <w:rFonts w:ascii="Arial" w:eastAsia="Times New Roman" w:hAnsi="Arial" w:cs="Arial"/>
          <w:sz w:val="18"/>
          <w:szCs w:val="18"/>
        </w:rPr>
        <w:t>72.688,10</w:t>
      </w:r>
      <w:r w:rsidRPr="00720A0C">
        <w:rPr>
          <w:rFonts w:ascii="Arial" w:eastAsia="Times New Roman" w:hAnsi="Arial" w:cs="Arial"/>
          <w:sz w:val="18"/>
          <w:szCs w:val="18"/>
        </w:rPr>
        <w:t xml:space="preserve"> € društvu u vlasništvu Općine (društvo Čistoća i zelenilo Konavle d.o.o.) koje upravlja parkingom u Cavtatu i to za proširenje parkinga u Cavtatu </w:t>
      </w:r>
      <w:r w:rsidR="00D471AD" w:rsidRPr="00720A0C">
        <w:rPr>
          <w:rFonts w:ascii="Arial" w:eastAsia="Times New Roman" w:hAnsi="Arial" w:cs="Arial"/>
          <w:sz w:val="18"/>
          <w:szCs w:val="18"/>
        </w:rPr>
        <w:t xml:space="preserve">s postavljanjem javne rasvjete </w:t>
      </w:r>
      <w:r w:rsidRPr="00720A0C">
        <w:rPr>
          <w:rFonts w:ascii="Arial" w:eastAsia="Times New Roman" w:hAnsi="Arial" w:cs="Arial"/>
          <w:sz w:val="18"/>
          <w:szCs w:val="18"/>
        </w:rPr>
        <w:t xml:space="preserve">(zemljište otkupljeno 2020. godine) u iznosu </w:t>
      </w:r>
      <w:r w:rsidR="00D471AD" w:rsidRPr="00720A0C">
        <w:rPr>
          <w:rFonts w:ascii="Arial" w:eastAsia="Times New Roman" w:hAnsi="Arial" w:cs="Arial"/>
          <w:sz w:val="18"/>
          <w:szCs w:val="18"/>
        </w:rPr>
        <w:t>23.274,27 €, za nabavu spremnika za novčanice, jedinica za kodiranje karata i video nadzor parking u iznosu 5.653,43 €,</w:t>
      </w:r>
      <w:r w:rsidR="00B33A2D" w:rsidRPr="00720A0C">
        <w:rPr>
          <w:rFonts w:ascii="Arial" w:eastAsia="Times New Roman" w:hAnsi="Arial" w:cs="Arial"/>
          <w:sz w:val="18"/>
          <w:szCs w:val="18"/>
        </w:rPr>
        <w:t xml:space="preserve"> te naplatni uređaj na parkingu 43.760,40 €,</w:t>
      </w:r>
    </w:p>
    <w:p w14:paraId="2B65D0DD" w14:textId="61D351B0" w:rsidR="008D50C0" w:rsidRPr="00720A0C" w:rsidRDefault="00D471AD" w:rsidP="00D471AD">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za potrebe proširenja parkinga u ulici Tiha obavljena je sječa gustog raslinja u iznosu 4.650 €,</w:t>
      </w:r>
    </w:p>
    <w:p w14:paraId="13C30320" w14:textId="1245328C" w:rsidR="00B33A2D" w:rsidRPr="00720A0C" w:rsidRDefault="00B33A2D" w:rsidP="00D471AD">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obavljeno je tam</w:t>
      </w:r>
      <w:r w:rsidR="00090C07" w:rsidRPr="00720A0C">
        <w:rPr>
          <w:rFonts w:ascii="Arial" w:eastAsia="Times New Roman" w:hAnsi="Arial" w:cs="Arial"/>
          <w:sz w:val="18"/>
          <w:szCs w:val="18"/>
        </w:rPr>
        <w:t>po</w:t>
      </w:r>
      <w:r w:rsidRPr="00720A0C">
        <w:rPr>
          <w:rFonts w:ascii="Arial" w:eastAsia="Times New Roman" w:hAnsi="Arial" w:cs="Arial"/>
          <w:sz w:val="18"/>
          <w:szCs w:val="18"/>
        </w:rPr>
        <w:t>n</w:t>
      </w:r>
      <w:r w:rsidR="00090C07" w:rsidRPr="00720A0C">
        <w:rPr>
          <w:rFonts w:ascii="Arial" w:eastAsia="Times New Roman" w:hAnsi="Arial" w:cs="Arial"/>
          <w:sz w:val="18"/>
          <w:szCs w:val="18"/>
        </w:rPr>
        <w:t>i</w:t>
      </w:r>
      <w:r w:rsidRPr="00720A0C">
        <w:rPr>
          <w:rFonts w:ascii="Arial" w:eastAsia="Times New Roman" w:hAnsi="Arial" w:cs="Arial"/>
          <w:sz w:val="18"/>
          <w:szCs w:val="18"/>
        </w:rPr>
        <w:t>ranje dijela parkinga uz cestu prema hotelu Albatros u iznosu 5.125 €,</w:t>
      </w:r>
    </w:p>
    <w:p w14:paraId="0C080CED" w14:textId="1C003B54" w:rsidR="00D471AD" w:rsidRPr="00720A0C" w:rsidRDefault="00D471AD" w:rsidP="00D471AD">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 izrađen je izvedbeni projekt proširenja parkinga u Tihoj u iznosu 5.972,53 €, </w:t>
      </w:r>
    </w:p>
    <w:p w14:paraId="43F5D379" w14:textId="6DAE0033" w:rsidR="00D471AD" w:rsidRPr="00720A0C" w:rsidRDefault="00D471AD" w:rsidP="00D471AD">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 izrađeno idejno rješenje parkirališta uz groblje Sveta Nedjelja u Čilipima u iznosu 750 </w:t>
      </w:r>
      <w:r w:rsidR="00BB0987" w:rsidRPr="00720A0C">
        <w:rPr>
          <w:rFonts w:ascii="Arial" w:eastAsia="Times New Roman" w:hAnsi="Arial" w:cs="Arial"/>
          <w:sz w:val="18"/>
          <w:szCs w:val="18"/>
        </w:rPr>
        <w:t>€</w:t>
      </w:r>
      <w:r w:rsidR="00B33A2D" w:rsidRPr="00720A0C">
        <w:rPr>
          <w:rFonts w:ascii="Arial" w:eastAsia="Times New Roman" w:hAnsi="Arial" w:cs="Arial"/>
          <w:sz w:val="18"/>
          <w:szCs w:val="18"/>
        </w:rPr>
        <w:t xml:space="preserve">, te </w:t>
      </w:r>
    </w:p>
    <w:p w14:paraId="553F5FAE" w14:textId="7B3197D7" w:rsidR="00B33A2D" w:rsidRPr="00720A0C" w:rsidRDefault="00B33A2D" w:rsidP="00D471AD">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pokrenut postupak postavljanja videonadzora sustava parkiranja u blizini zračne luke (nabava kamera i komunikacijske opreme) u iznosu 13.487,50 €.</w:t>
      </w:r>
    </w:p>
    <w:p w14:paraId="4C6749A0" w14:textId="77777777" w:rsidR="00D471AD" w:rsidRPr="00FF3C31" w:rsidRDefault="00D471AD" w:rsidP="00D471AD">
      <w:pPr>
        <w:autoSpaceDE w:val="0"/>
        <w:autoSpaceDN w:val="0"/>
        <w:adjustRightInd w:val="0"/>
        <w:spacing w:after="0" w:line="240" w:lineRule="auto"/>
        <w:jc w:val="both"/>
        <w:rPr>
          <w:rFonts w:ascii="Arial" w:eastAsia="Times New Roman" w:hAnsi="Arial" w:cs="Arial"/>
          <w:sz w:val="20"/>
          <w:szCs w:val="20"/>
        </w:rPr>
      </w:pPr>
    </w:p>
    <w:p w14:paraId="64437BC8" w14:textId="20728505" w:rsidR="00FA511A" w:rsidRPr="00FF3C31" w:rsidRDefault="00FA511A" w:rsidP="00D471AD">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U 2024. godini </w:t>
      </w:r>
      <w:r w:rsidR="00E87377" w:rsidRPr="00FF3C31">
        <w:rPr>
          <w:rFonts w:ascii="Arial" w:eastAsia="Times New Roman" w:hAnsi="Arial" w:cs="Arial"/>
          <w:sz w:val="20"/>
          <w:szCs w:val="20"/>
        </w:rPr>
        <w:t>izvršeni su rashodi za uređenje parkinga u iznosu 127.814,18 € i to:</w:t>
      </w:r>
    </w:p>
    <w:p w14:paraId="2FDD5AC6" w14:textId="0DBD3692" w:rsidR="00E87377" w:rsidRPr="00FF3C31" w:rsidRDefault="00E87377" w:rsidP="00E87377">
      <w:pPr>
        <w:pStyle w:val="Odlomakpopisa"/>
        <w:numPr>
          <w:ilvl w:val="0"/>
          <w:numId w:val="9"/>
        </w:numPr>
        <w:autoSpaceDE w:val="0"/>
        <w:autoSpaceDN w:val="0"/>
        <w:adjustRightInd w:val="0"/>
        <w:rPr>
          <w:rFonts w:ascii="Arial" w:hAnsi="Arial" w:cs="Arial"/>
        </w:rPr>
      </w:pPr>
      <w:r w:rsidRPr="00FF3C31">
        <w:rPr>
          <w:rFonts w:ascii="Arial" w:hAnsi="Arial" w:cs="Arial"/>
        </w:rPr>
        <w:t>radovi uređenja parkinga u Tihoj 116.566,25 €,</w:t>
      </w:r>
    </w:p>
    <w:p w14:paraId="15C59067" w14:textId="38510A8D" w:rsidR="00E87377" w:rsidRPr="00FF3C31" w:rsidRDefault="00E87377" w:rsidP="00E87377">
      <w:pPr>
        <w:pStyle w:val="Odlomakpopisa"/>
        <w:numPr>
          <w:ilvl w:val="0"/>
          <w:numId w:val="9"/>
        </w:numPr>
        <w:autoSpaceDE w:val="0"/>
        <w:autoSpaceDN w:val="0"/>
        <w:adjustRightInd w:val="0"/>
        <w:rPr>
          <w:rFonts w:ascii="Arial" w:hAnsi="Arial" w:cs="Arial"/>
        </w:rPr>
      </w:pPr>
      <w:r w:rsidRPr="00FF3C31">
        <w:rPr>
          <w:rFonts w:ascii="Arial" w:hAnsi="Arial" w:cs="Arial"/>
        </w:rPr>
        <w:lastRenderedPageBreak/>
        <w:t>nadzor radova u Tihoj 1.875 €,</w:t>
      </w:r>
    </w:p>
    <w:p w14:paraId="00C6A1DB" w14:textId="2B06414C" w:rsidR="00E87377" w:rsidRPr="00FF3C31" w:rsidRDefault="00E87377" w:rsidP="00E87377">
      <w:pPr>
        <w:pStyle w:val="Odlomakpopisa"/>
        <w:numPr>
          <w:ilvl w:val="0"/>
          <w:numId w:val="9"/>
        </w:numPr>
        <w:autoSpaceDE w:val="0"/>
        <w:autoSpaceDN w:val="0"/>
        <w:adjustRightInd w:val="0"/>
        <w:rPr>
          <w:rFonts w:ascii="Arial" w:hAnsi="Arial" w:cs="Arial"/>
        </w:rPr>
      </w:pPr>
      <w:r w:rsidRPr="00FF3C31">
        <w:rPr>
          <w:rFonts w:ascii="Arial" w:hAnsi="Arial" w:cs="Arial"/>
        </w:rPr>
        <w:t>uređenje parkinga u Cavtatu 7.055,30 €,</w:t>
      </w:r>
    </w:p>
    <w:p w14:paraId="6DC40345" w14:textId="0DD3C163" w:rsidR="00E87377" w:rsidRPr="00FF3C31" w:rsidRDefault="00E87377" w:rsidP="00E87377">
      <w:pPr>
        <w:pStyle w:val="Odlomakpopisa"/>
        <w:numPr>
          <w:ilvl w:val="0"/>
          <w:numId w:val="9"/>
        </w:numPr>
        <w:autoSpaceDE w:val="0"/>
        <w:autoSpaceDN w:val="0"/>
        <w:adjustRightInd w:val="0"/>
        <w:rPr>
          <w:rFonts w:ascii="Arial" w:hAnsi="Arial" w:cs="Arial"/>
        </w:rPr>
      </w:pPr>
      <w:r w:rsidRPr="00FF3C31">
        <w:rPr>
          <w:rFonts w:ascii="Arial" w:hAnsi="Arial" w:cs="Arial"/>
        </w:rPr>
        <w:t>prijenosi sredstava kapitalne pomoći u iznosu 2.317,63 € društvu u vlasništvu Općine (društvo Čistoća i zelenilo Konavle d.o.o.) koje upravlja parkingom u Cavtatu za nabavu opreme.</w:t>
      </w:r>
    </w:p>
    <w:p w14:paraId="555126B4" w14:textId="77777777" w:rsidR="0016632C" w:rsidRDefault="0016632C" w:rsidP="00B20566">
      <w:pPr>
        <w:autoSpaceDE w:val="0"/>
        <w:autoSpaceDN w:val="0"/>
        <w:adjustRightInd w:val="0"/>
        <w:spacing w:after="0" w:line="240" w:lineRule="auto"/>
        <w:jc w:val="both"/>
        <w:rPr>
          <w:rFonts w:ascii="Arial" w:eastAsia="Times New Roman" w:hAnsi="Arial" w:cs="Arial"/>
          <w:sz w:val="20"/>
          <w:szCs w:val="20"/>
        </w:rPr>
      </w:pPr>
    </w:p>
    <w:p w14:paraId="2AFF357F" w14:textId="313F27FF" w:rsidR="00D22BBF" w:rsidRPr="00FF3C31" w:rsidRDefault="00D22BBF" w:rsidP="00D22BB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U 202</w:t>
      </w:r>
      <w:r>
        <w:rPr>
          <w:rFonts w:ascii="Arial" w:eastAsia="Times New Roman" w:hAnsi="Arial" w:cs="Arial"/>
          <w:sz w:val="20"/>
          <w:szCs w:val="20"/>
        </w:rPr>
        <w:t>5</w:t>
      </w:r>
      <w:r w:rsidRPr="00FF3C31">
        <w:rPr>
          <w:rFonts w:ascii="Arial" w:eastAsia="Times New Roman" w:hAnsi="Arial" w:cs="Arial"/>
          <w:sz w:val="20"/>
          <w:szCs w:val="20"/>
        </w:rPr>
        <w:t xml:space="preserve">. godini izvršeni su rashodi za uređenje parkinga u iznosu </w:t>
      </w:r>
      <w:r>
        <w:rPr>
          <w:rFonts w:ascii="Arial" w:eastAsia="Times New Roman" w:hAnsi="Arial" w:cs="Arial"/>
          <w:sz w:val="20"/>
          <w:szCs w:val="20"/>
        </w:rPr>
        <w:t xml:space="preserve">163.893,30 </w:t>
      </w:r>
      <w:r w:rsidRPr="00FF3C31">
        <w:rPr>
          <w:rFonts w:ascii="Arial" w:eastAsia="Times New Roman" w:hAnsi="Arial" w:cs="Arial"/>
          <w:sz w:val="20"/>
          <w:szCs w:val="20"/>
        </w:rPr>
        <w:t>€ i to:</w:t>
      </w:r>
    </w:p>
    <w:p w14:paraId="1BB412B8" w14:textId="7BB33124" w:rsidR="00D22BBF" w:rsidRPr="00FF3C31" w:rsidRDefault="00D22BBF" w:rsidP="00D22BBF">
      <w:pPr>
        <w:pStyle w:val="Odlomakpopisa"/>
        <w:numPr>
          <w:ilvl w:val="0"/>
          <w:numId w:val="9"/>
        </w:numPr>
        <w:autoSpaceDE w:val="0"/>
        <w:autoSpaceDN w:val="0"/>
        <w:adjustRightInd w:val="0"/>
        <w:rPr>
          <w:rFonts w:ascii="Arial" w:hAnsi="Arial" w:cs="Arial"/>
        </w:rPr>
      </w:pPr>
      <w:r>
        <w:rPr>
          <w:rFonts w:ascii="Arial" w:hAnsi="Arial" w:cs="Arial"/>
        </w:rPr>
        <w:t xml:space="preserve">izrada i montaža ograde na </w:t>
      </w:r>
      <w:r w:rsidRPr="00FF3C31">
        <w:rPr>
          <w:rFonts w:ascii="Arial" w:hAnsi="Arial" w:cs="Arial"/>
        </w:rPr>
        <w:t>parking</w:t>
      </w:r>
      <w:r>
        <w:rPr>
          <w:rFonts w:ascii="Arial" w:hAnsi="Arial" w:cs="Arial"/>
        </w:rPr>
        <w:t>u</w:t>
      </w:r>
      <w:r w:rsidRPr="00FF3C31">
        <w:rPr>
          <w:rFonts w:ascii="Arial" w:hAnsi="Arial" w:cs="Arial"/>
        </w:rPr>
        <w:t xml:space="preserve"> u Tihoj </w:t>
      </w:r>
      <w:r>
        <w:rPr>
          <w:rFonts w:ascii="Arial" w:hAnsi="Arial" w:cs="Arial"/>
        </w:rPr>
        <w:t>15.180</w:t>
      </w:r>
      <w:r w:rsidRPr="00FF3C31">
        <w:rPr>
          <w:rFonts w:ascii="Arial" w:hAnsi="Arial" w:cs="Arial"/>
        </w:rPr>
        <w:t xml:space="preserve"> €,</w:t>
      </w:r>
    </w:p>
    <w:p w14:paraId="663EDE8E" w14:textId="2C091573" w:rsidR="00D22BBF" w:rsidRPr="00FF3C31" w:rsidRDefault="00D22BBF" w:rsidP="00D22BBF">
      <w:pPr>
        <w:pStyle w:val="Odlomakpopisa"/>
        <w:numPr>
          <w:ilvl w:val="0"/>
          <w:numId w:val="9"/>
        </w:numPr>
        <w:autoSpaceDE w:val="0"/>
        <w:autoSpaceDN w:val="0"/>
        <w:adjustRightInd w:val="0"/>
        <w:rPr>
          <w:rFonts w:ascii="Arial" w:hAnsi="Arial" w:cs="Arial"/>
        </w:rPr>
      </w:pPr>
      <w:r w:rsidRPr="00FF3C31">
        <w:rPr>
          <w:rFonts w:ascii="Arial" w:hAnsi="Arial" w:cs="Arial"/>
        </w:rPr>
        <w:t xml:space="preserve">nadzor radova u Tihoj </w:t>
      </w:r>
      <w:r>
        <w:rPr>
          <w:rFonts w:ascii="Arial" w:hAnsi="Arial" w:cs="Arial"/>
        </w:rPr>
        <w:t>3.250</w:t>
      </w:r>
      <w:r w:rsidRPr="00FF3C31">
        <w:rPr>
          <w:rFonts w:ascii="Arial" w:hAnsi="Arial" w:cs="Arial"/>
        </w:rPr>
        <w:t xml:space="preserve"> €,</w:t>
      </w:r>
    </w:p>
    <w:p w14:paraId="14ECD2E4" w14:textId="3B4E3B39" w:rsidR="00D22BBF" w:rsidRPr="00FF3C31" w:rsidRDefault="00D22BBF" w:rsidP="00D22BBF">
      <w:pPr>
        <w:pStyle w:val="Odlomakpopisa"/>
        <w:numPr>
          <w:ilvl w:val="0"/>
          <w:numId w:val="9"/>
        </w:numPr>
        <w:autoSpaceDE w:val="0"/>
        <w:autoSpaceDN w:val="0"/>
        <w:adjustRightInd w:val="0"/>
        <w:rPr>
          <w:rFonts w:ascii="Arial" w:hAnsi="Arial" w:cs="Arial"/>
        </w:rPr>
      </w:pPr>
      <w:r>
        <w:rPr>
          <w:rFonts w:ascii="Arial" w:hAnsi="Arial" w:cs="Arial"/>
        </w:rPr>
        <w:t xml:space="preserve">radovi na uređenju </w:t>
      </w:r>
      <w:r w:rsidRPr="00FF3C31">
        <w:rPr>
          <w:rFonts w:ascii="Arial" w:hAnsi="Arial" w:cs="Arial"/>
        </w:rPr>
        <w:t>parking</w:t>
      </w:r>
      <w:r>
        <w:rPr>
          <w:rFonts w:ascii="Arial" w:hAnsi="Arial" w:cs="Arial"/>
        </w:rPr>
        <w:t>a</w:t>
      </w:r>
      <w:r w:rsidRPr="00FF3C31">
        <w:rPr>
          <w:rFonts w:ascii="Arial" w:hAnsi="Arial" w:cs="Arial"/>
        </w:rPr>
        <w:t xml:space="preserve"> </w:t>
      </w:r>
      <w:r>
        <w:rPr>
          <w:rFonts w:ascii="Arial" w:hAnsi="Arial" w:cs="Arial"/>
        </w:rPr>
        <w:t>na Zvekovici (kod pekarnice)</w:t>
      </w:r>
      <w:r w:rsidRPr="00FF3C31">
        <w:rPr>
          <w:rFonts w:ascii="Arial" w:hAnsi="Arial" w:cs="Arial"/>
        </w:rPr>
        <w:t xml:space="preserve"> </w:t>
      </w:r>
      <w:r>
        <w:rPr>
          <w:rFonts w:ascii="Arial" w:hAnsi="Arial" w:cs="Arial"/>
        </w:rPr>
        <w:t xml:space="preserve">31.025,80 i nadzor nad radovima 1.250 </w:t>
      </w:r>
      <w:r w:rsidRPr="00FF3C31">
        <w:rPr>
          <w:rFonts w:ascii="Arial" w:hAnsi="Arial" w:cs="Arial"/>
        </w:rPr>
        <w:t>€,</w:t>
      </w:r>
    </w:p>
    <w:p w14:paraId="5C633E7B" w14:textId="7DC78798" w:rsidR="00D22BBF" w:rsidRPr="00FF3C31" w:rsidRDefault="00D22BBF" w:rsidP="00D22BBF">
      <w:pPr>
        <w:pStyle w:val="Odlomakpopisa"/>
        <w:numPr>
          <w:ilvl w:val="0"/>
          <w:numId w:val="9"/>
        </w:numPr>
        <w:autoSpaceDE w:val="0"/>
        <w:autoSpaceDN w:val="0"/>
        <w:adjustRightInd w:val="0"/>
        <w:rPr>
          <w:rFonts w:ascii="Arial" w:hAnsi="Arial" w:cs="Arial"/>
        </w:rPr>
      </w:pPr>
      <w:r>
        <w:rPr>
          <w:rFonts w:ascii="Arial" w:hAnsi="Arial" w:cs="Arial"/>
        </w:rPr>
        <w:t>građevinski radovi uređenja parkinga na Grudi (središte Grude) 80.312,50 €</w:t>
      </w:r>
      <w:r w:rsidRPr="00FF3C31">
        <w:rPr>
          <w:rFonts w:ascii="Arial" w:hAnsi="Arial" w:cs="Arial"/>
        </w:rPr>
        <w:t>.</w:t>
      </w:r>
    </w:p>
    <w:p w14:paraId="2AA3B6BC" w14:textId="77777777" w:rsidR="00D22BBF" w:rsidRDefault="00D22BBF" w:rsidP="00B20566">
      <w:pPr>
        <w:autoSpaceDE w:val="0"/>
        <w:autoSpaceDN w:val="0"/>
        <w:adjustRightInd w:val="0"/>
        <w:spacing w:after="0" w:line="240" w:lineRule="auto"/>
        <w:jc w:val="both"/>
        <w:rPr>
          <w:rFonts w:ascii="Arial" w:eastAsia="Times New Roman" w:hAnsi="Arial" w:cs="Arial"/>
          <w:sz w:val="20"/>
          <w:szCs w:val="20"/>
        </w:rPr>
      </w:pPr>
    </w:p>
    <w:p w14:paraId="2D081AF7" w14:textId="77777777" w:rsidR="00D22BBF" w:rsidRPr="00FF3C31" w:rsidRDefault="00D22BBF" w:rsidP="00B20566">
      <w:pPr>
        <w:autoSpaceDE w:val="0"/>
        <w:autoSpaceDN w:val="0"/>
        <w:adjustRightInd w:val="0"/>
        <w:spacing w:after="0" w:line="240" w:lineRule="auto"/>
        <w:jc w:val="both"/>
        <w:rPr>
          <w:rFonts w:ascii="Arial" w:eastAsia="Times New Roman" w:hAnsi="Arial" w:cs="Arial"/>
          <w:sz w:val="20"/>
          <w:szCs w:val="20"/>
        </w:rPr>
      </w:pPr>
    </w:p>
    <w:p w14:paraId="30377EE0" w14:textId="77777777" w:rsidR="00B20566" w:rsidRPr="00FF3C31"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T209211: Izgradnja nogostupa, Poluganje</w:t>
      </w:r>
    </w:p>
    <w:p w14:paraId="267B806E" w14:textId="77777777" w:rsidR="00D471AD" w:rsidRPr="00FF3C31" w:rsidRDefault="00D471AD" w:rsidP="00B20566">
      <w:pPr>
        <w:autoSpaceDE w:val="0"/>
        <w:autoSpaceDN w:val="0"/>
        <w:adjustRightInd w:val="0"/>
        <w:spacing w:after="0" w:line="240" w:lineRule="auto"/>
        <w:jc w:val="both"/>
        <w:rPr>
          <w:rFonts w:ascii="Arial" w:eastAsia="Times New Roman" w:hAnsi="Arial" w:cs="Arial"/>
          <w:sz w:val="20"/>
          <w:szCs w:val="20"/>
        </w:rPr>
      </w:pPr>
    </w:p>
    <w:p w14:paraId="5C0B3555" w14:textId="43457765" w:rsidR="00B20566" w:rsidRPr="00FF3C31" w:rsidRDefault="00D471AD"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Procijenjena vrijednost investicije ranijih godina je bila 300.000 kn</w:t>
      </w:r>
      <w:r w:rsidR="00285C6F" w:rsidRPr="00FF3C31">
        <w:rPr>
          <w:rFonts w:ascii="Arial" w:eastAsia="Times New Roman" w:hAnsi="Arial" w:cs="Arial"/>
          <w:sz w:val="20"/>
          <w:szCs w:val="20"/>
        </w:rPr>
        <w:t xml:space="preserve"> (39.816,84 €)</w:t>
      </w:r>
      <w:r w:rsidRPr="00FF3C31">
        <w:rPr>
          <w:rFonts w:ascii="Arial" w:eastAsia="Times New Roman" w:hAnsi="Arial" w:cs="Arial"/>
          <w:sz w:val="20"/>
          <w:szCs w:val="20"/>
        </w:rPr>
        <w:t>.</w:t>
      </w:r>
    </w:p>
    <w:p w14:paraId="3509F58A"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Pokazatelj rezultata je: postotak dovršenosti planiranog nogostupa. </w:t>
      </w:r>
    </w:p>
    <w:p w14:paraId="5A1D8C0B" w14:textId="4DE8C0BE"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0% (nula), ciljna vrijednost za 202</w:t>
      </w:r>
      <w:r w:rsidR="00D22BBF">
        <w:rPr>
          <w:rFonts w:ascii="Arial" w:eastAsia="Times New Roman" w:hAnsi="Arial" w:cs="Arial"/>
          <w:sz w:val="20"/>
          <w:szCs w:val="20"/>
        </w:rPr>
        <w:t>5</w:t>
      </w:r>
      <w:r w:rsidRPr="00FF3C31">
        <w:rPr>
          <w:rFonts w:ascii="Arial" w:eastAsia="Times New Roman" w:hAnsi="Arial" w:cs="Arial"/>
          <w:sz w:val="20"/>
          <w:szCs w:val="20"/>
        </w:rPr>
        <w:t xml:space="preserve">. = </w:t>
      </w:r>
      <w:r w:rsidR="00D22BBF">
        <w:rPr>
          <w:rFonts w:ascii="Arial" w:eastAsia="Times New Roman" w:hAnsi="Arial" w:cs="Arial"/>
          <w:sz w:val="20"/>
          <w:szCs w:val="20"/>
        </w:rPr>
        <w:t>10</w:t>
      </w:r>
      <w:r w:rsidRPr="00FF3C31">
        <w:rPr>
          <w:rFonts w:ascii="Arial" w:eastAsia="Times New Roman" w:hAnsi="Arial" w:cs="Arial"/>
          <w:sz w:val="20"/>
          <w:szCs w:val="20"/>
        </w:rPr>
        <w:t>0%, za 202</w:t>
      </w:r>
      <w:r w:rsidR="00D22BBF">
        <w:rPr>
          <w:rFonts w:ascii="Arial" w:eastAsia="Times New Roman" w:hAnsi="Arial" w:cs="Arial"/>
          <w:sz w:val="20"/>
          <w:szCs w:val="20"/>
        </w:rPr>
        <w:t>6</w:t>
      </w:r>
      <w:r w:rsidRPr="00FF3C31">
        <w:rPr>
          <w:rFonts w:ascii="Arial" w:eastAsia="Times New Roman" w:hAnsi="Arial" w:cs="Arial"/>
          <w:sz w:val="20"/>
          <w:szCs w:val="20"/>
        </w:rPr>
        <w:t>. = 100%, 202</w:t>
      </w:r>
      <w:r w:rsidR="00D22BBF">
        <w:rPr>
          <w:rFonts w:ascii="Arial" w:eastAsia="Times New Roman" w:hAnsi="Arial" w:cs="Arial"/>
          <w:sz w:val="20"/>
          <w:szCs w:val="20"/>
        </w:rPr>
        <w:t>7</w:t>
      </w:r>
      <w:r w:rsidRPr="00FF3C31">
        <w:rPr>
          <w:rFonts w:ascii="Arial" w:eastAsia="Times New Roman" w:hAnsi="Arial" w:cs="Arial"/>
          <w:sz w:val="20"/>
          <w:szCs w:val="20"/>
        </w:rPr>
        <w:t>. = 100%</w:t>
      </w:r>
      <w:r w:rsidR="00D471AD" w:rsidRPr="00FF3C31">
        <w:rPr>
          <w:rFonts w:ascii="Arial" w:eastAsia="Times New Roman" w:hAnsi="Arial" w:cs="Arial"/>
          <w:sz w:val="20"/>
          <w:szCs w:val="20"/>
        </w:rPr>
        <w:t xml:space="preserve">. </w:t>
      </w:r>
    </w:p>
    <w:p w14:paraId="3A9264D4"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1D32E2E6" w14:textId="3316DF16" w:rsidR="00B20566" w:rsidRPr="00720A0C" w:rsidRDefault="00B20566" w:rsidP="00B20566">
      <w:pPr>
        <w:autoSpaceDE w:val="0"/>
        <w:autoSpaceDN w:val="0"/>
        <w:adjustRightInd w:val="0"/>
        <w:spacing w:after="0" w:line="240" w:lineRule="auto"/>
        <w:jc w:val="both"/>
        <w:rPr>
          <w:rFonts w:ascii="Arial" w:eastAsia="Calibri" w:hAnsi="Arial" w:cs="Arial"/>
          <w:sz w:val="18"/>
          <w:szCs w:val="18"/>
        </w:rPr>
      </w:pPr>
      <w:r w:rsidRPr="00720A0C">
        <w:rPr>
          <w:rFonts w:ascii="Arial" w:eastAsia="Times New Roman" w:hAnsi="Arial" w:cs="Arial"/>
          <w:sz w:val="18"/>
          <w:szCs w:val="18"/>
        </w:rPr>
        <w:t>U 2018. r</w:t>
      </w:r>
      <w:r w:rsidRPr="00720A0C">
        <w:rPr>
          <w:rFonts w:ascii="Arial" w:eastAsia="Calibri" w:hAnsi="Arial" w:cs="Arial"/>
          <w:sz w:val="18"/>
          <w:szCs w:val="18"/>
        </w:rPr>
        <w:t xml:space="preserve">ashodi su izvršeni u iznosu 18.750 kn </w:t>
      </w:r>
      <w:r w:rsidR="00060B4C" w:rsidRPr="00720A0C">
        <w:rPr>
          <w:rFonts w:ascii="Arial" w:eastAsia="Calibri" w:hAnsi="Arial" w:cs="Arial"/>
          <w:sz w:val="18"/>
          <w:szCs w:val="18"/>
        </w:rPr>
        <w:t xml:space="preserve">/ 2.488,55 € </w:t>
      </w:r>
      <w:r w:rsidRPr="00720A0C">
        <w:rPr>
          <w:rFonts w:ascii="Arial" w:eastAsia="Calibri" w:hAnsi="Arial" w:cs="Arial"/>
          <w:sz w:val="18"/>
          <w:szCs w:val="18"/>
        </w:rPr>
        <w:t>i odnose se na izradu izvedbenog projekta nogostupa uz lokalnu cestu u naselju.</w:t>
      </w:r>
    </w:p>
    <w:p w14:paraId="17EFCF1D" w14:textId="10BDC231"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U razdoblju 2019.-202</w:t>
      </w:r>
      <w:r w:rsidR="00D22BBF">
        <w:rPr>
          <w:rFonts w:ascii="Arial" w:eastAsia="Times New Roman" w:hAnsi="Arial" w:cs="Arial"/>
          <w:sz w:val="18"/>
          <w:szCs w:val="18"/>
        </w:rPr>
        <w:t>5</w:t>
      </w:r>
      <w:r w:rsidRPr="00720A0C">
        <w:rPr>
          <w:rFonts w:ascii="Arial" w:eastAsia="Times New Roman" w:hAnsi="Arial" w:cs="Arial"/>
          <w:sz w:val="18"/>
          <w:szCs w:val="18"/>
        </w:rPr>
        <w:t>. nije bilo rashoda</w:t>
      </w:r>
      <w:r w:rsidR="00D471AD" w:rsidRPr="00720A0C">
        <w:rPr>
          <w:rFonts w:ascii="Arial" w:eastAsia="Times New Roman" w:hAnsi="Arial" w:cs="Arial"/>
          <w:sz w:val="18"/>
          <w:szCs w:val="18"/>
        </w:rPr>
        <w:t>.</w:t>
      </w:r>
    </w:p>
    <w:p w14:paraId="65E956B0"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3EA3F2AE" w14:textId="77777777" w:rsidR="00B20566" w:rsidRPr="00FF3C31"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K209214: Nogostup uz D8 Gruda - Tušići</w:t>
      </w:r>
    </w:p>
    <w:p w14:paraId="32A1CEBC"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40DDB388" w14:textId="4D3F7E37" w:rsidR="00D471AD" w:rsidRPr="00FF3C31" w:rsidRDefault="00D471AD"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Procijenjena vrijednost investicije ranijih godina je bila 850.000 kn</w:t>
      </w:r>
      <w:r w:rsidR="00285C6F" w:rsidRPr="00FF3C31">
        <w:rPr>
          <w:rFonts w:ascii="Arial" w:eastAsia="Times New Roman" w:hAnsi="Arial" w:cs="Arial"/>
          <w:sz w:val="20"/>
          <w:szCs w:val="20"/>
        </w:rPr>
        <w:t xml:space="preserve"> (112.814,39 €)</w:t>
      </w:r>
      <w:r w:rsidRPr="00FF3C31">
        <w:rPr>
          <w:rFonts w:ascii="Arial" w:eastAsia="Times New Roman" w:hAnsi="Arial" w:cs="Arial"/>
          <w:sz w:val="20"/>
          <w:szCs w:val="20"/>
        </w:rPr>
        <w:t>.</w:t>
      </w:r>
    </w:p>
    <w:p w14:paraId="0484CDC1" w14:textId="47E54039"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Pokazatelj rezultata je: postotak izgrađenosti planiranog nogostupa duljine 900 m. Radovi će se izvoditi u fazama.</w:t>
      </w:r>
    </w:p>
    <w:p w14:paraId="75D61537" w14:textId="5C719BDB"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0% (nula), ciljna vrijednost za 202</w:t>
      </w:r>
      <w:r w:rsidR="00D22BBF">
        <w:rPr>
          <w:rFonts w:ascii="Arial" w:eastAsia="Times New Roman" w:hAnsi="Arial" w:cs="Arial"/>
          <w:sz w:val="20"/>
          <w:szCs w:val="20"/>
        </w:rPr>
        <w:t>5</w:t>
      </w:r>
      <w:r w:rsidRPr="00FF3C31">
        <w:rPr>
          <w:rFonts w:ascii="Arial" w:eastAsia="Times New Roman" w:hAnsi="Arial" w:cs="Arial"/>
          <w:sz w:val="20"/>
          <w:szCs w:val="20"/>
        </w:rPr>
        <w:t>. = 0%, za 202</w:t>
      </w:r>
      <w:r w:rsidR="00D22BBF">
        <w:rPr>
          <w:rFonts w:ascii="Arial" w:eastAsia="Times New Roman" w:hAnsi="Arial" w:cs="Arial"/>
          <w:sz w:val="20"/>
          <w:szCs w:val="20"/>
        </w:rPr>
        <w:t>6</w:t>
      </w:r>
      <w:r w:rsidRPr="00FF3C31">
        <w:rPr>
          <w:rFonts w:ascii="Arial" w:eastAsia="Times New Roman" w:hAnsi="Arial" w:cs="Arial"/>
          <w:sz w:val="20"/>
          <w:szCs w:val="20"/>
        </w:rPr>
        <w:t>. = 0%, 202</w:t>
      </w:r>
      <w:r w:rsidR="00D22BBF">
        <w:rPr>
          <w:rFonts w:ascii="Arial" w:eastAsia="Times New Roman" w:hAnsi="Arial" w:cs="Arial"/>
          <w:sz w:val="20"/>
          <w:szCs w:val="20"/>
        </w:rPr>
        <w:t>7</w:t>
      </w:r>
      <w:r w:rsidRPr="00FF3C31">
        <w:rPr>
          <w:rFonts w:ascii="Arial" w:eastAsia="Times New Roman" w:hAnsi="Arial" w:cs="Arial"/>
          <w:sz w:val="20"/>
          <w:szCs w:val="20"/>
        </w:rPr>
        <w:t>. = 20%</w:t>
      </w:r>
    </w:p>
    <w:p w14:paraId="545DB96D" w14:textId="0751FC08"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Nisu započeti radovi. </w:t>
      </w:r>
    </w:p>
    <w:p w14:paraId="2A9F754C"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4263B143" w14:textId="27DD579E" w:rsidR="00B20566" w:rsidRPr="00FF3C31"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 xml:space="preserve">K209215: Nogostup naselje Zvekovica </w:t>
      </w:r>
      <w:r w:rsidR="00D22BBF">
        <w:rPr>
          <w:rFonts w:ascii="Arial" w:eastAsia="Times New Roman" w:hAnsi="Arial" w:cs="Arial"/>
          <w:b/>
          <w:sz w:val="20"/>
          <w:szCs w:val="20"/>
        </w:rPr>
        <w:t>– Obod s javnom rasvjetom</w:t>
      </w:r>
    </w:p>
    <w:p w14:paraId="2F229F2F" w14:textId="77777777" w:rsidR="00D471AD" w:rsidRPr="00FF3C31" w:rsidRDefault="00D471AD" w:rsidP="00B20566">
      <w:pPr>
        <w:autoSpaceDE w:val="0"/>
        <w:autoSpaceDN w:val="0"/>
        <w:adjustRightInd w:val="0"/>
        <w:spacing w:after="0" w:line="240" w:lineRule="auto"/>
        <w:jc w:val="both"/>
        <w:rPr>
          <w:rFonts w:ascii="Arial" w:eastAsia="Times New Roman" w:hAnsi="Arial" w:cs="Arial"/>
          <w:sz w:val="20"/>
          <w:szCs w:val="20"/>
        </w:rPr>
      </w:pPr>
    </w:p>
    <w:p w14:paraId="05942A37" w14:textId="166B9A79" w:rsidR="00B20566" w:rsidRPr="00FF3C31" w:rsidRDefault="00D471AD"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Procijenjena vrijednost investicije ranijih godina je bila 200.000 kn</w:t>
      </w:r>
      <w:r w:rsidR="00285C6F" w:rsidRPr="00FF3C31">
        <w:rPr>
          <w:rFonts w:ascii="Arial" w:eastAsia="Times New Roman" w:hAnsi="Arial" w:cs="Arial"/>
          <w:sz w:val="20"/>
          <w:szCs w:val="20"/>
        </w:rPr>
        <w:t xml:space="preserve"> (26.544,56 €)</w:t>
      </w:r>
      <w:r w:rsidRPr="00FF3C31">
        <w:rPr>
          <w:rFonts w:ascii="Arial" w:eastAsia="Times New Roman" w:hAnsi="Arial" w:cs="Arial"/>
          <w:sz w:val="20"/>
          <w:szCs w:val="20"/>
        </w:rPr>
        <w:t>.</w:t>
      </w:r>
    </w:p>
    <w:p w14:paraId="20242F6A"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Pokazatelj rezultata je: postotak dovršenosti radova</w:t>
      </w:r>
    </w:p>
    <w:p w14:paraId="273BA829" w14:textId="7EFC164E"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0 (nula), a ciljna vrijednost 202</w:t>
      </w:r>
      <w:r w:rsidR="00D22BBF">
        <w:rPr>
          <w:rFonts w:ascii="Arial" w:eastAsia="Times New Roman" w:hAnsi="Arial" w:cs="Arial"/>
          <w:sz w:val="20"/>
          <w:szCs w:val="20"/>
        </w:rPr>
        <w:t>5</w:t>
      </w:r>
      <w:r w:rsidRPr="00FF3C31">
        <w:rPr>
          <w:rFonts w:ascii="Arial" w:eastAsia="Times New Roman" w:hAnsi="Arial" w:cs="Arial"/>
          <w:sz w:val="20"/>
          <w:szCs w:val="20"/>
        </w:rPr>
        <w:t xml:space="preserve">. = </w:t>
      </w:r>
      <w:r w:rsidR="0029154A" w:rsidRPr="00FF3C31">
        <w:rPr>
          <w:rFonts w:ascii="Arial" w:eastAsia="Times New Roman" w:hAnsi="Arial" w:cs="Arial"/>
          <w:sz w:val="20"/>
          <w:szCs w:val="20"/>
        </w:rPr>
        <w:t>100</w:t>
      </w:r>
      <w:r w:rsidRPr="00FF3C31">
        <w:rPr>
          <w:rFonts w:ascii="Arial" w:eastAsia="Times New Roman" w:hAnsi="Arial" w:cs="Arial"/>
          <w:sz w:val="20"/>
          <w:szCs w:val="20"/>
        </w:rPr>
        <w:t>%, 202</w:t>
      </w:r>
      <w:r w:rsidR="00D22BBF">
        <w:rPr>
          <w:rFonts w:ascii="Arial" w:eastAsia="Times New Roman" w:hAnsi="Arial" w:cs="Arial"/>
          <w:sz w:val="20"/>
          <w:szCs w:val="20"/>
        </w:rPr>
        <w:t>6</w:t>
      </w:r>
      <w:r w:rsidRPr="00FF3C31">
        <w:rPr>
          <w:rFonts w:ascii="Arial" w:eastAsia="Times New Roman" w:hAnsi="Arial" w:cs="Arial"/>
          <w:sz w:val="20"/>
          <w:szCs w:val="20"/>
        </w:rPr>
        <w:t>. = 100%, 202</w:t>
      </w:r>
      <w:r w:rsidR="00D22BBF">
        <w:rPr>
          <w:rFonts w:ascii="Arial" w:eastAsia="Times New Roman" w:hAnsi="Arial" w:cs="Arial"/>
          <w:sz w:val="20"/>
          <w:szCs w:val="20"/>
        </w:rPr>
        <w:t>7</w:t>
      </w:r>
      <w:r w:rsidRPr="00FF3C31">
        <w:rPr>
          <w:rFonts w:ascii="Arial" w:eastAsia="Times New Roman" w:hAnsi="Arial" w:cs="Arial"/>
          <w:sz w:val="20"/>
          <w:szCs w:val="20"/>
        </w:rPr>
        <w:t xml:space="preserve">. = 100% </w:t>
      </w:r>
    </w:p>
    <w:p w14:paraId="174C8AC4" w14:textId="77777777" w:rsidR="00D471AD" w:rsidRPr="00FF3C31" w:rsidRDefault="00D471AD" w:rsidP="00B20566">
      <w:pPr>
        <w:autoSpaceDE w:val="0"/>
        <w:autoSpaceDN w:val="0"/>
        <w:adjustRightInd w:val="0"/>
        <w:spacing w:after="0" w:line="240" w:lineRule="auto"/>
        <w:jc w:val="both"/>
        <w:rPr>
          <w:rFonts w:ascii="Arial" w:eastAsia="Times New Roman" w:hAnsi="Arial" w:cs="Arial"/>
          <w:sz w:val="20"/>
          <w:szCs w:val="20"/>
        </w:rPr>
      </w:pPr>
    </w:p>
    <w:p w14:paraId="71812C2A" w14:textId="77777777" w:rsidR="00D22BBF" w:rsidRDefault="00B20566" w:rsidP="00285C6F">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U 202</w:t>
      </w:r>
      <w:r w:rsidR="00D22BBF">
        <w:rPr>
          <w:rFonts w:ascii="Arial" w:eastAsia="Times New Roman" w:hAnsi="Arial" w:cs="Arial"/>
          <w:sz w:val="18"/>
          <w:szCs w:val="18"/>
        </w:rPr>
        <w:t>5</w:t>
      </w:r>
      <w:r w:rsidRPr="00720A0C">
        <w:rPr>
          <w:rFonts w:ascii="Arial" w:eastAsia="Times New Roman" w:hAnsi="Arial" w:cs="Arial"/>
          <w:sz w:val="18"/>
          <w:szCs w:val="18"/>
        </w:rPr>
        <w:t xml:space="preserve">. je </w:t>
      </w:r>
      <w:r w:rsidR="00285C6F" w:rsidRPr="00720A0C">
        <w:rPr>
          <w:rFonts w:ascii="Arial" w:eastAsia="Times New Roman" w:hAnsi="Arial" w:cs="Arial"/>
          <w:sz w:val="18"/>
          <w:szCs w:val="18"/>
        </w:rPr>
        <w:t xml:space="preserve">bilo </w:t>
      </w:r>
      <w:r w:rsidRPr="00720A0C">
        <w:rPr>
          <w:rFonts w:ascii="Arial" w:eastAsia="Times New Roman" w:hAnsi="Arial" w:cs="Arial"/>
          <w:sz w:val="18"/>
          <w:szCs w:val="18"/>
        </w:rPr>
        <w:t>planirano urediti 160 metara nogostupa.</w:t>
      </w:r>
      <w:r w:rsidR="00060B4C" w:rsidRPr="00720A0C">
        <w:rPr>
          <w:rFonts w:ascii="Arial" w:eastAsia="Times New Roman" w:hAnsi="Arial" w:cs="Arial"/>
          <w:sz w:val="18"/>
          <w:szCs w:val="18"/>
        </w:rPr>
        <w:t xml:space="preserve"> </w:t>
      </w:r>
    </w:p>
    <w:p w14:paraId="1B9DC8E6" w14:textId="77777777" w:rsidR="00D22BBF" w:rsidRDefault="00D22BBF" w:rsidP="00285C6F">
      <w:pPr>
        <w:autoSpaceDE w:val="0"/>
        <w:autoSpaceDN w:val="0"/>
        <w:adjustRightInd w:val="0"/>
        <w:spacing w:after="0" w:line="240" w:lineRule="auto"/>
        <w:jc w:val="both"/>
        <w:rPr>
          <w:rFonts w:ascii="Arial" w:eastAsia="Times New Roman" w:hAnsi="Arial" w:cs="Arial"/>
          <w:sz w:val="18"/>
          <w:szCs w:val="18"/>
        </w:rPr>
      </w:pPr>
    </w:p>
    <w:p w14:paraId="3C4C0578" w14:textId="03883675" w:rsidR="00060B4C" w:rsidRPr="00720A0C" w:rsidRDefault="00B20566" w:rsidP="00285C6F">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Nisu započeti radovi</w:t>
      </w:r>
      <w:r w:rsidR="00285C6F" w:rsidRPr="00720A0C">
        <w:rPr>
          <w:rFonts w:ascii="Arial" w:eastAsia="Times New Roman" w:hAnsi="Arial" w:cs="Arial"/>
          <w:sz w:val="18"/>
          <w:szCs w:val="18"/>
        </w:rPr>
        <w:t>, a izvršeni su rashodi</w:t>
      </w:r>
      <w:r w:rsidR="00E87377" w:rsidRPr="00720A0C">
        <w:rPr>
          <w:rFonts w:ascii="Arial" w:eastAsia="Times New Roman" w:hAnsi="Arial" w:cs="Arial"/>
          <w:sz w:val="18"/>
          <w:szCs w:val="18"/>
        </w:rPr>
        <w:t xml:space="preserve"> 2023. godine</w:t>
      </w:r>
      <w:r w:rsidR="00285C6F" w:rsidRPr="00720A0C">
        <w:rPr>
          <w:rFonts w:ascii="Arial" w:eastAsia="Times New Roman" w:hAnsi="Arial" w:cs="Arial"/>
          <w:sz w:val="18"/>
          <w:szCs w:val="18"/>
        </w:rPr>
        <w:t xml:space="preserve"> u ukupnom iznosu 1.125 € (ovlašteni inženjer građevinarstva – kontrolna ispitivanja troškovnika, izrada troškovnika komunalne infrastrukture vode i odvodnje Pješačke staze D8 od vijadukta Obod do raskrižja Zvekovica).</w:t>
      </w:r>
      <w:r w:rsidR="00E87377" w:rsidRPr="00720A0C">
        <w:rPr>
          <w:rFonts w:ascii="Arial" w:eastAsia="Times New Roman" w:hAnsi="Arial" w:cs="Arial"/>
          <w:sz w:val="18"/>
          <w:szCs w:val="18"/>
        </w:rPr>
        <w:t xml:space="preserve"> </w:t>
      </w:r>
    </w:p>
    <w:p w14:paraId="3961583E" w14:textId="77777777" w:rsidR="00060B4C" w:rsidRDefault="00060B4C" w:rsidP="00285C6F">
      <w:pPr>
        <w:autoSpaceDE w:val="0"/>
        <w:autoSpaceDN w:val="0"/>
        <w:adjustRightInd w:val="0"/>
        <w:spacing w:after="0" w:line="240" w:lineRule="auto"/>
        <w:jc w:val="both"/>
        <w:rPr>
          <w:rFonts w:ascii="Arial" w:eastAsia="Times New Roman" w:hAnsi="Arial" w:cs="Arial"/>
          <w:sz w:val="20"/>
          <w:szCs w:val="20"/>
        </w:rPr>
      </w:pPr>
    </w:p>
    <w:p w14:paraId="29C8F64B" w14:textId="4B7A998B" w:rsidR="00B20566" w:rsidRPr="00FF3C31" w:rsidRDefault="00E87377" w:rsidP="00285C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U 2024. godini su izvršeni rashodi u iznosu 2.937,50 € (projektna dokumentacija nogostupa).</w:t>
      </w:r>
    </w:p>
    <w:p w14:paraId="1D9D6773"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3A967634" w14:textId="6320A67B" w:rsidR="00B20566" w:rsidRPr="00FF3C31"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lastRenderedPageBreak/>
        <w:t>K209216: Nogostup naselje Čilipi</w:t>
      </w:r>
      <w:r w:rsidR="00D05310">
        <w:rPr>
          <w:rFonts w:ascii="Arial" w:eastAsia="Times New Roman" w:hAnsi="Arial" w:cs="Arial"/>
          <w:b/>
          <w:sz w:val="20"/>
          <w:szCs w:val="20"/>
        </w:rPr>
        <w:t xml:space="preserve"> s javnom rasvjetom</w:t>
      </w:r>
    </w:p>
    <w:p w14:paraId="3941710C"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11098CF0" w14:textId="32562A0A" w:rsidR="00D471AD" w:rsidRPr="00FF3C31" w:rsidRDefault="00D471AD" w:rsidP="00B20566">
      <w:pPr>
        <w:autoSpaceDE w:val="0"/>
        <w:autoSpaceDN w:val="0"/>
        <w:adjustRightInd w:val="0"/>
        <w:spacing w:after="0" w:line="240" w:lineRule="auto"/>
        <w:jc w:val="both"/>
        <w:rPr>
          <w:rFonts w:ascii="Arial" w:eastAsia="Calibri" w:hAnsi="Arial" w:cs="Arial"/>
          <w:sz w:val="20"/>
          <w:szCs w:val="20"/>
        </w:rPr>
      </w:pPr>
      <w:r w:rsidRPr="00FF3C31">
        <w:rPr>
          <w:rFonts w:ascii="Arial" w:eastAsia="Calibri" w:hAnsi="Arial" w:cs="Arial"/>
          <w:sz w:val="20"/>
          <w:szCs w:val="20"/>
        </w:rPr>
        <w:t xml:space="preserve">Planirano je urediti oko 2.500 metara nogostupa. </w:t>
      </w:r>
      <w:r w:rsidRPr="00FF3C31">
        <w:rPr>
          <w:rFonts w:ascii="Arial" w:eastAsia="Times New Roman" w:hAnsi="Arial" w:cs="Arial"/>
          <w:sz w:val="20"/>
          <w:szCs w:val="20"/>
        </w:rPr>
        <w:t xml:space="preserve">Procijenjena vrijednost investicije ranijih godina je bila </w:t>
      </w:r>
      <w:r w:rsidRPr="00FF3C31">
        <w:rPr>
          <w:rFonts w:ascii="Arial" w:eastAsia="Calibri" w:hAnsi="Arial" w:cs="Arial"/>
          <w:sz w:val="20"/>
          <w:szCs w:val="20"/>
        </w:rPr>
        <w:t>1.200.000 kn</w:t>
      </w:r>
      <w:r w:rsidR="00285C6F" w:rsidRPr="00FF3C31">
        <w:rPr>
          <w:rFonts w:ascii="Arial" w:eastAsia="Calibri" w:hAnsi="Arial" w:cs="Arial"/>
          <w:sz w:val="20"/>
          <w:szCs w:val="20"/>
        </w:rPr>
        <w:t xml:space="preserve"> (159.267,37 €)</w:t>
      </w:r>
      <w:r w:rsidRPr="00FF3C31">
        <w:rPr>
          <w:rFonts w:ascii="Arial" w:eastAsia="Calibri" w:hAnsi="Arial" w:cs="Arial"/>
          <w:sz w:val="20"/>
          <w:szCs w:val="20"/>
        </w:rPr>
        <w:t>.</w:t>
      </w:r>
    </w:p>
    <w:p w14:paraId="1E9AB021" w14:textId="6753B311"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Pokazatelj rezultata je: postotak dovršenosti planiranog nogostupa. </w:t>
      </w:r>
    </w:p>
    <w:p w14:paraId="2F63A281" w14:textId="340F9909"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0% (nula), ciljna vrijednost za 202</w:t>
      </w:r>
      <w:r w:rsidR="00D22BBF">
        <w:rPr>
          <w:rFonts w:ascii="Arial" w:eastAsia="Times New Roman" w:hAnsi="Arial" w:cs="Arial"/>
          <w:sz w:val="20"/>
          <w:szCs w:val="20"/>
        </w:rPr>
        <w:t>5</w:t>
      </w:r>
      <w:r w:rsidRPr="00FF3C31">
        <w:rPr>
          <w:rFonts w:ascii="Arial" w:eastAsia="Times New Roman" w:hAnsi="Arial" w:cs="Arial"/>
          <w:sz w:val="20"/>
          <w:szCs w:val="20"/>
        </w:rPr>
        <w:t xml:space="preserve">. = </w:t>
      </w:r>
      <w:r w:rsidR="00D22BBF">
        <w:rPr>
          <w:rFonts w:ascii="Arial" w:eastAsia="Times New Roman" w:hAnsi="Arial" w:cs="Arial"/>
          <w:sz w:val="20"/>
          <w:szCs w:val="20"/>
        </w:rPr>
        <w:t>5</w:t>
      </w:r>
      <w:r w:rsidR="0029154A" w:rsidRPr="00FF3C31">
        <w:rPr>
          <w:rFonts w:ascii="Arial" w:eastAsia="Times New Roman" w:hAnsi="Arial" w:cs="Arial"/>
          <w:sz w:val="20"/>
          <w:szCs w:val="20"/>
        </w:rPr>
        <w:t>0</w:t>
      </w:r>
      <w:r w:rsidRPr="00FF3C31">
        <w:rPr>
          <w:rFonts w:ascii="Arial" w:eastAsia="Times New Roman" w:hAnsi="Arial" w:cs="Arial"/>
          <w:sz w:val="20"/>
          <w:szCs w:val="20"/>
        </w:rPr>
        <w:t>%, za 202</w:t>
      </w:r>
      <w:r w:rsidR="00D22BBF">
        <w:rPr>
          <w:rFonts w:ascii="Arial" w:eastAsia="Times New Roman" w:hAnsi="Arial" w:cs="Arial"/>
          <w:sz w:val="20"/>
          <w:szCs w:val="20"/>
        </w:rPr>
        <w:t>6</w:t>
      </w:r>
      <w:r w:rsidRPr="00FF3C31">
        <w:rPr>
          <w:rFonts w:ascii="Arial" w:eastAsia="Times New Roman" w:hAnsi="Arial" w:cs="Arial"/>
          <w:sz w:val="20"/>
          <w:szCs w:val="20"/>
        </w:rPr>
        <w:t xml:space="preserve">. = </w:t>
      </w:r>
      <w:r w:rsidR="00D22BBF">
        <w:rPr>
          <w:rFonts w:ascii="Arial" w:eastAsia="Times New Roman" w:hAnsi="Arial" w:cs="Arial"/>
          <w:sz w:val="20"/>
          <w:szCs w:val="20"/>
        </w:rPr>
        <w:t>8</w:t>
      </w:r>
      <w:r w:rsidRPr="00FF3C31">
        <w:rPr>
          <w:rFonts w:ascii="Arial" w:eastAsia="Times New Roman" w:hAnsi="Arial" w:cs="Arial"/>
          <w:sz w:val="20"/>
          <w:szCs w:val="20"/>
        </w:rPr>
        <w:t>0%, 202</w:t>
      </w:r>
      <w:r w:rsidR="00D22BBF">
        <w:rPr>
          <w:rFonts w:ascii="Arial" w:eastAsia="Times New Roman" w:hAnsi="Arial" w:cs="Arial"/>
          <w:sz w:val="20"/>
          <w:szCs w:val="20"/>
        </w:rPr>
        <w:t>7</w:t>
      </w:r>
      <w:r w:rsidRPr="00FF3C31">
        <w:rPr>
          <w:rFonts w:ascii="Arial" w:eastAsia="Times New Roman" w:hAnsi="Arial" w:cs="Arial"/>
          <w:sz w:val="20"/>
          <w:szCs w:val="20"/>
        </w:rPr>
        <w:t xml:space="preserve">. = </w:t>
      </w:r>
      <w:r w:rsidR="00D22BBF">
        <w:rPr>
          <w:rFonts w:ascii="Arial" w:eastAsia="Times New Roman" w:hAnsi="Arial" w:cs="Arial"/>
          <w:sz w:val="20"/>
          <w:szCs w:val="20"/>
        </w:rPr>
        <w:t>10</w:t>
      </w:r>
      <w:r w:rsidRPr="00FF3C31">
        <w:rPr>
          <w:rFonts w:ascii="Arial" w:eastAsia="Times New Roman" w:hAnsi="Arial" w:cs="Arial"/>
          <w:sz w:val="20"/>
          <w:szCs w:val="20"/>
        </w:rPr>
        <w:t>0%</w:t>
      </w:r>
    </w:p>
    <w:p w14:paraId="1C5DF167"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5B02BB48" w14:textId="6920CD0C" w:rsidR="00B20566" w:rsidRPr="00FF3C31" w:rsidRDefault="00E87377" w:rsidP="00B20566">
      <w:pPr>
        <w:autoSpaceDE w:val="0"/>
        <w:autoSpaceDN w:val="0"/>
        <w:adjustRightInd w:val="0"/>
        <w:spacing w:after="0"/>
        <w:rPr>
          <w:rFonts w:ascii="Arial" w:eastAsia="Times New Roman" w:hAnsi="Arial" w:cs="Arial"/>
          <w:sz w:val="20"/>
          <w:szCs w:val="20"/>
        </w:rPr>
      </w:pPr>
      <w:r w:rsidRPr="00FF3C31">
        <w:rPr>
          <w:rFonts w:ascii="Arial" w:eastAsia="Times New Roman" w:hAnsi="Arial" w:cs="Arial"/>
          <w:sz w:val="20"/>
          <w:szCs w:val="20"/>
        </w:rPr>
        <w:t>U 2024. godini je započet dio radova ispred ulaza u zračnu luku</w:t>
      </w:r>
      <w:r w:rsidR="009A4F57" w:rsidRPr="00FF3C31">
        <w:rPr>
          <w:rFonts w:ascii="Arial" w:eastAsia="Times New Roman" w:hAnsi="Arial" w:cs="Arial"/>
          <w:sz w:val="20"/>
          <w:szCs w:val="20"/>
        </w:rPr>
        <w:t xml:space="preserve">. </w:t>
      </w:r>
      <w:r w:rsidRPr="00FF3C31">
        <w:rPr>
          <w:rFonts w:ascii="Arial" w:eastAsia="Times New Roman" w:hAnsi="Arial" w:cs="Arial"/>
          <w:sz w:val="20"/>
          <w:szCs w:val="20"/>
        </w:rPr>
        <w:t>Rashodi su izvršni u iznosu 73.833,75 €, a odnose se na</w:t>
      </w:r>
      <w:r w:rsidR="009A4F57" w:rsidRPr="00FF3C31">
        <w:rPr>
          <w:rFonts w:ascii="Arial" w:eastAsia="Times New Roman" w:hAnsi="Arial" w:cs="Arial"/>
          <w:sz w:val="20"/>
          <w:szCs w:val="20"/>
        </w:rPr>
        <w:t>:</w:t>
      </w:r>
    </w:p>
    <w:p w14:paraId="296F2707" w14:textId="003E22BB" w:rsidR="009A4F57" w:rsidRPr="00FF3C31" w:rsidRDefault="009A4F57" w:rsidP="009A4F57">
      <w:pPr>
        <w:pStyle w:val="Odlomakpopisa"/>
        <w:numPr>
          <w:ilvl w:val="0"/>
          <w:numId w:val="9"/>
        </w:numPr>
        <w:autoSpaceDE w:val="0"/>
        <w:autoSpaceDN w:val="0"/>
        <w:adjustRightInd w:val="0"/>
        <w:rPr>
          <w:rFonts w:ascii="Arial" w:eastAsia="Calibri" w:hAnsi="Arial" w:cs="Arial"/>
        </w:rPr>
      </w:pPr>
      <w:r w:rsidRPr="00FF3C31">
        <w:rPr>
          <w:rFonts w:ascii="Arial" w:eastAsia="Calibri" w:hAnsi="Arial" w:cs="Arial"/>
        </w:rPr>
        <w:t>izradu projektne dokumentacije nogostupa uz županijsku cestu D8 do ulice Masješi u iznosu 6.625 €</w:t>
      </w:r>
    </w:p>
    <w:p w14:paraId="7057CACD" w14:textId="27FEC9D3" w:rsidR="009A4F57" w:rsidRPr="00FF3C31" w:rsidRDefault="009A4F57" w:rsidP="009A4F57">
      <w:pPr>
        <w:pStyle w:val="Odlomakpopisa"/>
        <w:numPr>
          <w:ilvl w:val="0"/>
          <w:numId w:val="9"/>
        </w:numPr>
        <w:autoSpaceDE w:val="0"/>
        <w:autoSpaceDN w:val="0"/>
        <w:adjustRightInd w:val="0"/>
        <w:rPr>
          <w:rFonts w:ascii="Arial" w:eastAsia="Calibri" w:hAnsi="Arial" w:cs="Arial"/>
        </w:rPr>
      </w:pPr>
      <w:r w:rsidRPr="00FF3C31">
        <w:rPr>
          <w:rFonts w:ascii="Arial" w:eastAsia="Calibri" w:hAnsi="Arial" w:cs="Arial"/>
        </w:rPr>
        <w:t>prva privremena situacija izrade nogostupa 37.942,06 €,</w:t>
      </w:r>
    </w:p>
    <w:p w14:paraId="0A2C831C" w14:textId="510E91C6" w:rsidR="009A4F57" w:rsidRPr="00FF3C31" w:rsidRDefault="009A4F57" w:rsidP="009A4F57">
      <w:pPr>
        <w:pStyle w:val="Odlomakpopisa"/>
        <w:numPr>
          <w:ilvl w:val="0"/>
          <w:numId w:val="9"/>
        </w:numPr>
        <w:autoSpaceDE w:val="0"/>
        <w:autoSpaceDN w:val="0"/>
        <w:adjustRightInd w:val="0"/>
        <w:rPr>
          <w:rFonts w:ascii="Arial" w:eastAsia="Calibri" w:hAnsi="Arial" w:cs="Arial"/>
        </w:rPr>
      </w:pPr>
      <w:r w:rsidRPr="00FF3C31">
        <w:rPr>
          <w:rFonts w:ascii="Arial" w:eastAsia="Calibri" w:hAnsi="Arial" w:cs="Arial"/>
        </w:rPr>
        <w:t>postavljanje javne rasvjete 23.016,69 €,</w:t>
      </w:r>
    </w:p>
    <w:p w14:paraId="5CEEABB6" w14:textId="3E9348B1" w:rsidR="009A4F57" w:rsidRPr="00FF3C31" w:rsidRDefault="009A4F57" w:rsidP="009A4F57">
      <w:pPr>
        <w:pStyle w:val="Odlomakpopisa"/>
        <w:numPr>
          <w:ilvl w:val="0"/>
          <w:numId w:val="9"/>
        </w:numPr>
        <w:autoSpaceDE w:val="0"/>
        <w:autoSpaceDN w:val="0"/>
        <w:adjustRightInd w:val="0"/>
        <w:rPr>
          <w:rFonts w:ascii="Arial" w:eastAsia="Calibri" w:hAnsi="Arial" w:cs="Arial"/>
        </w:rPr>
      </w:pPr>
      <w:r w:rsidRPr="00FF3C31">
        <w:rPr>
          <w:rFonts w:ascii="Arial" w:eastAsia="Calibri" w:hAnsi="Arial" w:cs="Arial"/>
        </w:rPr>
        <w:t>nabava čekaonice 6.250 €.</w:t>
      </w:r>
    </w:p>
    <w:p w14:paraId="521D41FC" w14:textId="77777777" w:rsidR="00B20566" w:rsidRPr="00D05310" w:rsidRDefault="00B20566" w:rsidP="00B20566">
      <w:pPr>
        <w:autoSpaceDE w:val="0"/>
        <w:autoSpaceDN w:val="0"/>
        <w:adjustRightInd w:val="0"/>
        <w:spacing w:after="0" w:line="240" w:lineRule="auto"/>
        <w:jc w:val="both"/>
        <w:rPr>
          <w:rFonts w:ascii="Arial" w:eastAsia="Times New Roman" w:hAnsi="Arial" w:cs="Arial"/>
          <w:sz w:val="20"/>
          <w:szCs w:val="20"/>
        </w:rPr>
      </w:pPr>
    </w:p>
    <w:p w14:paraId="102CC197" w14:textId="2233B1CF" w:rsidR="00D22BBF" w:rsidRPr="00D05310" w:rsidRDefault="00D22BBF" w:rsidP="00D22BBF">
      <w:pPr>
        <w:autoSpaceDE w:val="0"/>
        <w:autoSpaceDN w:val="0"/>
        <w:adjustRightInd w:val="0"/>
        <w:spacing w:after="0"/>
        <w:rPr>
          <w:rFonts w:ascii="Arial" w:eastAsia="Times New Roman" w:hAnsi="Arial" w:cs="Arial"/>
          <w:sz w:val="20"/>
          <w:szCs w:val="20"/>
        </w:rPr>
      </w:pPr>
      <w:r w:rsidRPr="00D05310">
        <w:rPr>
          <w:rFonts w:ascii="Arial" w:eastAsia="Times New Roman" w:hAnsi="Arial" w:cs="Arial"/>
          <w:sz w:val="20"/>
          <w:szCs w:val="20"/>
        </w:rPr>
        <w:t>U 202</w:t>
      </w:r>
      <w:r w:rsidR="00D05310" w:rsidRPr="00D05310">
        <w:rPr>
          <w:rFonts w:ascii="Arial" w:eastAsia="Times New Roman" w:hAnsi="Arial" w:cs="Arial"/>
          <w:sz w:val="20"/>
          <w:szCs w:val="20"/>
        </w:rPr>
        <w:t>5</w:t>
      </w:r>
      <w:r w:rsidRPr="00D05310">
        <w:rPr>
          <w:rFonts w:ascii="Arial" w:eastAsia="Times New Roman" w:hAnsi="Arial" w:cs="Arial"/>
          <w:sz w:val="20"/>
          <w:szCs w:val="20"/>
        </w:rPr>
        <w:t xml:space="preserve">. godini </w:t>
      </w:r>
      <w:r w:rsidR="00D05310" w:rsidRPr="00D05310">
        <w:rPr>
          <w:rFonts w:ascii="Arial" w:eastAsia="Times New Roman" w:hAnsi="Arial" w:cs="Arial"/>
          <w:sz w:val="20"/>
          <w:szCs w:val="20"/>
        </w:rPr>
        <w:t>r</w:t>
      </w:r>
      <w:r w:rsidRPr="00D05310">
        <w:rPr>
          <w:rFonts w:ascii="Arial" w:eastAsia="Times New Roman" w:hAnsi="Arial" w:cs="Arial"/>
          <w:sz w:val="20"/>
          <w:szCs w:val="20"/>
        </w:rPr>
        <w:t xml:space="preserve">ashodi su izvršni u iznosu </w:t>
      </w:r>
      <w:r w:rsidR="00D05310" w:rsidRPr="00D05310">
        <w:rPr>
          <w:rFonts w:ascii="Arial" w:eastAsia="Times New Roman" w:hAnsi="Arial" w:cs="Arial"/>
          <w:sz w:val="20"/>
          <w:szCs w:val="20"/>
        </w:rPr>
        <w:t>171.242,19</w:t>
      </w:r>
      <w:r w:rsidRPr="00D05310">
        <w:rPr>
          <w:rFonts w:ascii="Arial" w:eastAsia="Times New Roman" w:hAnsi="Arial" w:cs="Arial"/>
          <w:sz w:val="20"/>
          <w:szCs w:val="20"/>
        </w:rPr>
        <w:t xml:space="preserve"> €, a odnose se na:</w:t>
      </w:r>
    </w:p>
    <w:p w14:paraId="57D05BE1" w14:textId="68A251D8" w:rsidR="00D05310" w:rsidRPr="0050112A" w:rsidRDefault="00D05310" w:rsidP="00D05310">
      <w:pPr>
        <w:pStyle w:val="Odlomakpopisa"/>
        <w:numPr>
          <w:ilvl w:val="0"/>
          <w:numId w:val="9"/>
        </w:numPr>
        <w:autoSpaceDE w:val="0"/>
        <w:autoSpaceDN w:val="0"/>
        <w:adjustRightInd w:val="0"/>
        <w:rPr>
          <w:rFonts w:ascii="Arial" w:eastAsia="Calibri" w:hAnsi="Arial" w:cs="Arial"/>
        </w:rPr>
      </w:pPr>
      <w:r w:rsidRPr="0050112A">
        <w:rPr>
          <w:rFonts w:ascii="Arial" w:eastAsia="Calibri" w:hAnsi="Arial" w:cs="Arial"/>
        </w:rPr>
        <w:t>snimanje mikrolokacije postojećih vodova i izrada geodetskih podloga</w:t>
      </w:r>
      <w:r w:rsidR="0050112A" w:rsidRPr="0050112A">
        <w:rPr>
          <w:rFonts w:ascii="Arial" w:eastAsia="Calibri" w:hAnsi="Arial" w:cs="Arial"/>
        </w:rPr>
        <w:t xml:space="preserve"> u sklopu izrade projektne dokumentacije uz ŽC</w:t>
      </w:r>
      <w:r w:rsidRPr="0050112A">
        <w:rPr>
          <w:rFonts w:ascii="Arial" w:eastAsia="Calibri" w:hAnsi="Arial" w:cs="Arial"/>
        </w:rPr>
        <w:t xml:space="preserve"> 2.829,06 €,</w:t>
      </w:r>
    </w:p>
    <w:p w14:paraId="71FC1C11" w14:textId="0BB34D61" w:rsidR="00D22BBF" w:rsidRPr="0050112A" w:rsidRDefault="00D05310" w:rsidP="00D22BBF">
      <w:pPr>
        <w:pStyle w:val="Odlomakpopisa"/>
        <w:numPr>
          <w:ilvl w:val="0"/>
          <w:numId w:val="9"/>
        </w:numPr>
        <w:autoSpaceDE w:val="0"/>
        <w:autoSpaceDN w:val="0"/>
        <w:adjustRightInd w:val="0"/>
        <w:rPr>
          <w:rFonts w:ascii="Arial" w:eastAsia="Calibri" w:hAnsi="Arial" w:cs="Arial"/>
        </w:rPr>
      </w:pPr>
      <w:r w:rsidRPr="0050112A">
        <w:rPr>
          <w:rFonts w:ascii="Arial" w:eastAsia="Calibri" w:hAnsi="Arial" w:cs="Arial"/>
        </w:rPr>
        <w:t xml:space="preserve">druga i okončana </w:t>
      </w:r>
      <w:r w:rsidR="00D22BBF" w:rsidRPr="0050112A">
        <w:rPr>
          <w:rFonts w:ascii="Arial" w:eastAsia="Calibri" w:hAnsi="Arial" w:cs="Arial"/>
        </w:rPr>
        <w:t xml:space="preserve">situacija izrade nogostupa </w:t>
      </w:r>
      <w:r w:rsidRPr="0050112A">
        <w:rPr>
          <w:rFonts w:ascii="Arial" w:eastAsia="Calibri" w:hAnsi="Arial" w:cs="Arial"/>
        </w:rPr>
        <w:t>– ispred ulaza u zračnu luku 66.021,62</w:t>
      </w:r>
      <w:r w:rsidR="00D22BBF" w:rsidRPr="0050112A">
        <w:rPr>
          <w:rFonts w:ascii="Arial" w:eastAsia="Calibri" w:hAnsi="Arial" w:cs="Arial"/>
        </w:rPr>
        <w:t xml:space="preserve"> €,</w:t>
      </w:r>
    </w:p>
    <w:p w14:paraId="124E43DB" w14:textId="5F8DEBC5" w:rsidR="0050112A" w:rsidRPr="0050112A" w:rsidRDefault="00D22BBF" w:rsidP="00D22BBF">
      <w:pPr>
        <w:pStyle w:val="Odlomakpopisa"/>
        <w:numPr>
          <w:ilvl w:val="0"/>
          <w:numId w:val="9"/>
        </w:numPr>
        <w:autoSpaceDE w:val="0"/>
        <w:autoSpaceDN w:val="0"/>
        <w:adjustRightInd w:val="0"/>
        <w:rPr>
          <w:rFonts w:ascii="Arial" w:eastAsia="Calibri" w:hAnsi="Arial" w:cs="Arial"/>
        </w:rPr>
      </w:pPr>
      <w:r w:rsidRPr="0050112A">
        <w:rPr>
          <w:rFonts w:ascii="Arial" w:eastAsia="Calibri" w:hAnsi="Arial" w:cs="Arial"/>
        </w:rPr>
        <w:t xml:space="preserve">postavljanje javne rasvjete </w:t>
      </w:r>
      <w:r w:rsidR="0050112A" w:rsidRPr="0050112A">
        <w:rPr>
          <w:rFonts w:ascii="Arial" w:eastAsia="Calibri" w:hAnsi="Arial" w:cs="Arial"/>
        </w:rPr>
        <w:t>nogostup Čilipi – Radovčići – Đurinići 82.591,51 €,</w:t>
      </w:r>
    </w:p>
    <w:p w14:paraId="6FCDA20C" w14:textId="19082E5B" w:rsidR="00D22BBF" w:rsidRPr="0050112A" w:rsidRDefault="0050112A" w:rsidP="00D22BBF">
      <w:pPr>
        <w:pStyle w:val="Odlomakpopisa"/>
        <w:numPr>
          <w:ilvl w:val="0"/>
          <w:numId w:val="9"/>
        </w:numPr>
        <w:autoSpaceDE w:val="0"/>
        <w:autoSpaceDN w:val="0"/>
        <w:adjustRightInd w:val="0"/>
        <w:rPr>
          <w:rFonts w:ascii="Arial" w:eastAsia="Calibri" w:hAnsi="Arial" w:cs="Arial"/>
        </w:rPr>
      </w:pPr>
      <w:r w:rsidRPr="0050112A">
        <w:rPr>
          <w:rFonts w:ascii="Arial" w:eastAsia="Calibri" w:hAnsi="Arial" w:cs="Arial"/>
        </w:rPr>
        <w:t>usluge stručnog nadzora uređenja nogostupa kod zračne luke 4.625 €</w:t>
      </w:r>
      <w:r w:rsidR="00D22BBF" w:rsidRPr="0050112A">
        <w:rPr>
          <w:rFonts w:ascii="Arial" w:eastAsia="Calibri" w:hAnsi="Arial" w:cs="Arial"/>
        </w:rPr>
        <w:t>,</w:t>
      </w:r>
    </w:p>
    <w:p w14:paraId="3B268A1A" w14:textId="6573D31D" w:rsidR="0050112A" w:rsidRPr="0050112A" w:rsidRDefault="0050112A" w:rsidP="0050112A">
      <w:pPr>
        <w:pStyle w:val="Odlomakpopisa"/>
        <w:numPr>
          <w:ilvl w:val="0"/>
          <w:numId w:val="9"/>
        </w:numPr>
        <w:autoSpaceDE w:val="0"/>
        <w:autoSpaceDN w:val="0"/>
        <w:adjustRightInd w:val="0"/>
        <w:rPr>
          <w:rFonts w:ascii="Arial" w:eastAsia="Calibri" w:hAnsi="Arial" w:cs="Arial"/>
        </w:rPr>
      </w:pPr>
      <w:r w:rsidRPr="0050112A">
        <w:rPr>
          <w:rFonts w:ascii="Arial" w:eastAsia="Calibri" w:hAnsi="Arial" w:cs="Arial"/>
        </w:rPr>
        <w:t>izradu projektne dokumentacije nogostupa uz županijsku cestu D8 do ulice Masješi, okončana situacija u iznosu 15.175 €</w:t>
      </w:r>
      <w:r>
        <w:rPr>
          <w:rFonts w:ascii="Arial" w:eastAsia="Calibri" w:hAnsi="Arial" w:cs="Arial"/>
        </w:rPr>
        <w:t>.</w:t>
      </w:r>
    </w:p>
    <w:p w14:paraId="2C56DD86" w14:textId="77777777" w:rsidR="00D22BBF" w:rsidRDefault="00D22BBF" w:rsidP="00B20566">
      <w:pPr>
        <w:autoSpaceDE w:val="0"/>
        <w:autoSpaceDN w:val="0"/>
        <w:adjustRightInd w:val="0"/>
        <w:spacing w:after="0" w:line="240" w:lineRule="auto"/>
        <w:jc w:val="both"/>
        <w:rPr>
          <w:rFonts w:ascii="Arial" w:eastAsia="Times New Roman" w:hAnsi="Arial" w:cs="Arial"/>
          <w:sz w:val="20"/>
          <w:szCs w:val="20"/>
        </w:rPr>
      </w:pPr>
    </w:p>
    <w:p w14:paraId="2AAB7ED0" w14:textId="77777777" w:rsidR="00D22BBF" w:rsidRPr="00FF3C31" w:rsidRDefault="00D22BBF" w:rsidP="00B20566">
      <w:pPr>
        <w:autoSpaceDE w:val="0"/>
        <w:autoSpaceDN w:val="0"/>
        <w:adjustRightInd w:val="0"/>
        <w:spacing w:after="0" w:line="240" w:lineRule="auto"/>
        <w:jc w:val="both"/>
        <w:rPr>
          <w:rFonts w:ascii="Arial" w:eastAsia="Times New Roman" w:hAnsi="Arial" w:cs="Arial"/>
          <w:sz w:val="20"/>
          <w:szCs w:val="20"/>
        </w:rPr>
      </w:pPr>
    </w:p>
    <w:p w14:paraId="47794ADF" w14:textId="77777777" w:rsidR="00B20566" w:rsidRPr="00FF3C31"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K209219: Cesta Pridvorje – Knežev dvor</w:t>
      </w:r>
    </w:p>
    <w:p w14:paraId="133A1D30"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303C1E45" w14:textId="3BAFF277" w:rsidR="00D471AD" w:rsidRPr="00FF3C31" w:rsidRDefault="00D471AD" w:rsidP="00D471AD">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Procijenjena vrijednost investicije ranijih godina je bila 4.000.000 kn</w:t>
      </w:r>
      <w:r w:rsidR="00285C6F" w:rsidRPr="00FF3C31">
        <w:rPr>
          <w:rFonts w:ascii="Arial" w:eastAsia="Times New Roman" w:hAnsi="Arial" w:cs="Arial"/>
          <w:sz w:val="20"/>
          <w:szCs w:val="20"/>
        </w:rPr>
        <w:t xml:space="preserve"> (530.891,23 €)</w:t>
      </w:r>
      <w:r w:rsidRPr="00FF3C31">
        <w:rPr>
          <w:rFonts w:ascii="Arial" w:eastAsia="Times New Roman" w:hAnsi="Arial" w:cs="Arial"/>
          <w:sz w:val="20"/>
          <w:szCs w:val="20"/>
        </w:rPr>
        <w:t>.</w:t>
      </w:r>
    </w:p>
    <w:p w14:paraId="02CDE760" w14:textId="77777777" w:rsidR="00D471AD" w:rsidRPr="00FF3C31" w:rsidRDefault="00D471AD" w:rsidP="00D471AD">
      <w:pPr>
        <w:autoSpaceDE w:val="0"/>
        <w:autoSpaceDN w:val="0"/>
        <w:adjustRightInd w:val="0"/>
        <w:spacing w:after="0" w:line="240" w:lineRule="auto"/>
        <w:jc w:val="both"/>
        <w:rPr>
          <w:rFonts w:ascii="Arial" w:eastAsia="Times New Roman" w:hAnsi="Arial" w:cs="Arial"/>
          <w:sz w:val="20"/>
          <w:szCs w:val="20"/>
        </w:rPr>
      </w:pPr>
    </w:p>
    <w:p w14:paraId="377E7B8D"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Pokazatelj rezultata je: postotak dovršenosti radova</w:t>
      </w:r>
    </w:p>
    <w:p w14:paraId="0A56A425" w14:textId="3FDCD7AC"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0 (nula), a ciljna vrijednost 202</w:t>
      </w:r>
      <w:r w:rsidR="0050112A">
        <w:rPr>
          <w:rFonts w:ascii="Arial" w:eastAsia="Times New Roman" w:hAnsi="Arial" w:cs="Arial"/>
          <w:sz w:val="20"/>
          <w:szCs w:val="20"/>
        </w:rPr>
        <w:t>5</w:t>
      </w:r>
      <w:r w:rsidRPr="00FF3C31">
        <w:rPr>
          <w:rFonts w:ascii="Arial" w:eastAsia="Times New Roman" w:hAnsi="Arial" w:cs="Arial"/>
          <w:sz w:val="20"/>
          <w:szCs w:val="20"/>
        </w:rPr>
        <w:t>. = 30%, 202</w:t>
      </w:r>
      <w:r w:rsidR="0050112A">
        <w:rPr>
          <w:rFonts w:ascii="Arial" w:eastAsia="Times New Roman" w:hAnsi="Arial" w:cs="Arial"/>
          <w:sz w:val="20"/>
          <w:szCs w:val="20"/>
        </w:rPr>
        <w:t>6</w:t>
      </w:r>
      <w:r w:rsidRPr="00FF3C31">
        <w:rPr>
          <w:rFonts w:ascii="Arial" w:eastAsia="Times New Roman" w:hAnsi="Arial" w:cs="Arial"/>
          <w:sz w:val="20"/>
          <w:szCs w:val="20"/>
        </w:rPr>
        <w:t>. = 45%, 202</w:t>
      </w:r>
      <w:r w:rsidR="0050112A">
        <w:rPr>
          <w:rFonts w:ascii="Arial" w:eastAsia="Times New Roman" w:hAnsi="Arial" w:cs="Arial"/>
          <w:sz w:val="20"/>
          <w:szCs w:val="20"/>
        </w:rPr>
        <w:t>7</w:t>
      </w:r>
      <w:r w:rsidRPr="00FF3C31">
        <w:rPr>
          <w:rFonts w:ascii="Arial" w:eastAsia="Times New Roman" w:hAnsi="Arial" w:cs="Arial"/>
          <w:sz w:val="20"/>
          <w:szCs w:val="20"/>
        </w:rPr>
        <w:t xml:space="preserve">. = 80% </w:t>
      </w:r>
    </w:p>
    <w:p w14:paraId="38E3E3B4"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Planirano je izgraditi cestu ukupne duljine oko 2000 metara ceste.</w:t>
      </w:r>
    </w:p>
    <w:p w14:paraId="2FB00CF8" w14:textId="77777777" w:rsidR="00720A0C" w:rsidRDefault="00720A0C" w:rsidP="00B20566">
      <w:pPr>
        <w:autoSpaceDE w:val="0"/>
        <w:autoSpaceDN w:val="0"/>
        <w:adjustRightInd w:val="0"/>
        <w:spacing w:after="0" w:line="240" w:lineRule="auto"/>
        <w:jc w:val="both"/>
        <w:rPr>
          <w:rFonts w:ascii="Arial" w:eastAsia="Times New Roman" w:hAnsi="Arial" w:cs="Arial"/>
          <w:sz w:val="20"/>
          <w:szCs w:val="20"/>
        </w:rPr>
      </w:pPr>
    </w:p>
    <w:p w14:paraId="19A33614" w14:textId="1EEAC5B9" w:rsidR="00B20566" w:rsidRPr="00720A0C" w:rsidRDefault="00B20566" w:rsidP="00B20566">
      <w:pPr>
        <w:autoSpaceDE w:val="0"/>
        <w:autoSpaceDN w:val="0"/>
        <w:adjustRightInd w:val="0"/>
        <w:spacing w:after="0" w:line="240" w:lineRule="auto"/>
        <w:jc w:val="both"/>
        <w:rPr>
          <w:rFonts w:ascii="Arial" w:eastAsia="Calibri" w:hAnsi="Arial" w:cs="Arial"/>
          <w:sz w:val="18"/>
          <w:szCs w:val="18"/>
        </w:rPr>
      </w:pPr>
      <w:r w:rsidRPr="00720A0C">
        <w:rPr>
          <w:rFonts w:ascii="Arial" w:eastAsia="Times New Roman" w:hAnsi="Arial" w:cs="Arial"/>
          <w:sz w:val="18"/>
          <w:szCs w:val="18"/>
        </w:rPr>
        <w:t>U 2018. r</w:t>
      </w:r>
      <w:r w:rsidRPr="00720A0C">
        <w:rPr>
          <w:rFonts w:ascii="Arial" w:eastAsia="Calibri" w:hAnsi="Arial" w:cs="Arial"/>
          <w:sz w:val="18"/>
          <w:szCs w:val="18"/>
        </w:rPr>
        <w:t xml:space="preserve">ashodi su izvršeni u iznosu 29.550 kn </w:t>
      </w:r>
      <w:r w:rsidR="00060B4C" w:rsidRPr="00720A0C">
        <w:rPr>
          <w:rFonts w:ascii="Arial" w:eastAsia="Calibri" w:hAnsi="Arial" w:cs="Arial"/>
          <w:sz w:val="18"/>
          <w:szCs w:val="18"/>
        </w:rPr>
        <w:t xml:space="preserve">/ 3.921,96 € </w:t>
      </w:r>
      <w:r w:rsidRPr="00720A0C">
        <w:rPr>
          <w:rFonts w:ascii="Arial" w:eastAsia="Calibri" w:hAnsi="Arial" w:cs="Arial"/>
          <w:sz w:val="18"/>
          <w:szCs w:val="18"/>
        </w:rPr>
        <w:t xml:space="preserve">i odnose se na usluge </w:t>
      </w:r>
      <w:r w:rsidR="00E9062F" w:rsidRPr="00720A0C">
        <w:rPr>
          <w:rFonts w:ascii="Arial" w:eastAsia="Calibri" w:hAnsi="Arial" w:cs="Arial"/>
          <w:sz w:val="18"/>
          <w:szCs w:val="18"/>
        </w:rPr>
        <w:t>raščišćavanja</w:t>
      </w:r>
      <w:r w:rsidRPr="00720A0C">
        <w:rPr>
          <w:rFonts w:ascii="Arial" w:eastAsia="Calibri" w:hAnsi="Arial" w:cs="Arial"/>
          <w:sz w:val="18"/>
          <w:szCs w:val="18"/>
        </w:rPr>
        <w:t xml:space="preserve"> pristupnog puta od Kneževa dvora prema Samostanu u Pridvorju (sječa stabala, raslinja). </w:t>
      </w:r>
    </w:p>
    <w:p w14:paraId="255E4DE5" w14:textId="4BA49F98"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U 2019. je su izvršeni rashodi u iznosu 56.782 kn</w:t>
      </w:r>
      <w:r w:rsidR="00060B4C" w:rsidRPr="00720A0C">
        <w:rPr>
          <w:rFonts w:ascii="Arial" w:eastAsia="Times New Roman" w:hAnsi="Arial" w:cs="Arial"/>
          <w:sz w:val="18"/>
          <w:szCs w:val="18"/>
        </w:rPr>
        <w:t xml:space="preserve"> / 7.536,27 €</w:t>
      </w:r>
      <w:r w:rsidRPr="00720A0C">
        <w:rPr>
          <w:rFonts w:ascii="Arial" w:eastAsia="Times New Roman" w:hAnsi="Arial" w:cs="Arial"/>
          <w:sz w:val="18"/>
          <w:szCs w:val="18"/>
        </w:rPr>
        <w:t>. Izrađena je snimka situacije terena (projektantske podloge) za obilaznicu Kneževa dvora u Pridvorju u iznosu 9.282 kn</w:t>
      </w:r>
      <w:r w:rsidR="00060B4C" w:rsidRPr="00720A0C">
        <w:rPr>
          <w:rFonts w:ascii="Arial" w:eastAsia="Times New Roman" w:hAnsi="Arial" w:cs="Arial"/>
          <w:sz w:val="18"/>
          <w:szCs w:val="18"/>
        </w:rPr>
        <w:t xml:space="preserve"> / 1.231,93 €</w:t>
      </w:r>
      <w:r w:rsidRPr="00720A0C">
        <w:rPr>
          <w:rFonts w:ascii="Arial" w:eastAsia="Times New Roman" w:hAnsi="Arial" w:cs="Arial"/>
          <w:sz w:val="18"/>
          <w:szCs w:val="18"/>
        </w:rPr>
        <w:t xml:space="preserve">, te izmjena i dopuna trase glavnog projekta u duljini cca 300 metara u iznosu 47.500 kn </w:t>
      </w:r>
      <w:r w:rsidR="00060B4C" w:rsidRPr="00720A0C">
        <w:rPr>
          <w:rFonts w:ascii="Arial" w:eastAsia="Times New Roman" w:hAnsi="Arial" w:cs="Arial"/>
          <w:sz w:val="18"/>
          <w:szCs w:val="18"/>
        </w:rPr>
        <w:t xml:space="preserve">/ 6.304,33 € </w:t>
      </w:r>
      <w:r w:rsidRPr="00720A0C">
        <w:rPr>
          <w:rFonts w:ascii="Arial" w:eastAsia="Times New Roman" w:hAnsi="Arial" w:cs="Arial"/>
          <w:sz w:val="18"/>
          <w:szCs w:val="18"/>
        </w:rPr>
        <w:t xml:space="preserve">(Geoproming). </w:t>
      </w:r>
    </w:p>
    <w:p w14:paraId="2DDF1F9C"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5FB0B3CB" w14:textId="456CF4F8"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U 2020. su izvršeni rashodi na uređenju zaobilaznice puta do Kneževa dvora. Glavna planirana cesta nije građena. U 2020. su izvršeni rashodi u iznosu 170.202,84 kn</w:t>
      </w:r>
      <w:r w:rsidR="00CC06CD" w:rsidRPr="00720A0C">
        <w:rPr>
          <w:rFonts w:ascii="Arial" w:eastAsia="Times New Roman" w:hAnsi="Arial" w:cs="Arial"/>
          <w:sz w:val="18"/>
          <w:szCs w:val="18"/>
        </w:rPr>
        <w:t xml:space="preserve"> 22.589,80 €</w:t>
      </w:r>
      <w:r w:rsidRPr="00720A0C">
        <w:rPr>
          <w:rFonts w:ascii="Arial" w:eastAsia="Times New Roman" w:hAnsi="Arial" w:cs="Arial"/>
          <w:sz w:val="18"/>
          <w:szCs w:val="18"/>
        </w:rPr>
        <w:t>, od čega iskolčenje trase sa izradom elaborata iskolčenja, te geod</w:t>
      </w:r>
      <w:r w:rsidR="00090C07" w:rsidRPr="00720A0C">
        <w:rPr>
          <w:rFonts w:ascii="Arial" w:eastAsia="Times New Roman" w:hAnsi="Arial" w:cs="Arial"/>
          <w:sz w:val="18"/>
          <w:szCs w:val="18"/>
        </w:rPr>
        <w:t>etsko</w:t>
      </w:r>
      <w:r w:rsidRPr="00720A0C">
        <w:rPr>
          <w:rFonts w:ascii="Arial" w:eastAsia="Times New Roman" w:hAnsi="Arial" w:cs="Arial"/>
          <w:sz w:val="18"/>
          <w:szCs w:val="18"/>
        </w:rPr>
        <w:t xml:space="preserve"> snimanje izvedenog stanja obilaznice Pridvorje u iznosu 12.109,09 kn</w:t>
      </w:r>
      <w:r w:rsidR="00CC06CD" w:rsidRPr="00720A0C">
        <w:rPr>
          <w:rFonts w:ascii="Arial" w:eastAsia="Times New Roman" w:hAnsi="Arial" w:cs="Arial"/>
          <w:sz w:val="18"/>
          <w:szCs w:val="18"/>
        </w:rPr>
        <w:t xml:space="preserve"> / 1.607,15 €</w:t>
      </w:r>
      <w:r w:rsidRPr="00720A0C">
        <w:rPr>
          <w:rFonts w:ascii="Arial" w:eastAsia="Times New Roman" w:hAnsi="Arial" w:cs="Arial"/>
          <w:sz w:val="18"/>
          <w:szCs w:val="18"/>
        </w:rPr>
        <w:t>, izrada projektne dokumentacije prilaza na parking pokraj Kneževog dvora u Pridvorju 8.000 kn</w:t>
      </w:r>
      <w:r w:rsidR="00CC06CD" w:rsidRPr="00720A0C">
        <w:rPr>
          <w:rFonts w:ascii="Arial" w:eastAsia="Times New Roman" w:hAnsi="Arial" w:cs="Arial"/>
          <w:sz w:val="18"/>
          <w:szCs w:val="18"/>
        </w:rPr>
        <w:t xml:space="preserve"> / 1.061,78 €</w:t>
      </w:r>
      <w:r w:rsidRPr="00720A0C">
        <w:rPr>
          <w:rFonts w:ascii="Arial" w:eastAsia="Times New Roman" w:hAnsi="Arial" w:cs="Arial"/>
          <w:sz w:val="18"/>
          <w:szCs w:val="18"/>
        </w:rPr>
        <w:t xml:space="preserve">, te izvođenje radova na uređenju zaobilaznice puta oko Kneževa dvora u iznosu 103.750 kn </w:t>
      </w:r>
      <w:r w:rsidR="00CC06CD" w:rsidRPr="00720A0C">
        <w:rPr>
          <w:rFonts w:ascii="Arial" w:eastAsia="Times New Roman" w:hAnsi="Arial" w:cs="Arial"/>
          <w:sz w:val="18"/>
          <w:szCs w:val="18"/>
        </w:rPr>
        <w:t xml:space="preserve">/ 13.769,99 € </w:t>
      </w:r>
      <w:r w:rsidRPr="00720A0C">
        <w:rPr>
          <w:rFonts w:ascii="Arial" w:eastAsia="Times New Roman" w:hAnsi="Arial" w:cs="Arial"/>
          <w:sz w:val="18"/>
          <w:szCs w:val="18"/>
        </w:rPr>
        <w:t>i radova oborinske odvodnje uz zaobilaznicu 46.343,75 kn</w:t>
      </w:r>
      <w:r w:rsidR="00CC06CD" w:rsidRPr="00720A0C">
        <w:rPr>
          <w:rFonts w:ascii="Arial" w:eastAsia="Times New Roman" w:hAnsi="Arial" w:cs="Arial"/>
          <w:sz w:val="18"/>
          <w:szCs w:val="18"/>
        </w:rPr>
        <w:t xml:space="preserve"> / 6.150,87 €</w:t>
      </w:r>
      <w:r w:rsidRPr="00720A0C">
        <w:rPr>
          <w:rFonts w:ascii="Arial" w:eastAsia="Times New Roman" w:hAnsi="Arial" w:cs="Arial"/>
          <w:sz w:val="18"/>
          <w:szCs w:val="18"/>
        </w:rPr>
        <w:t xml:space="preserve">. </w:t>
      </w:r>
    </w:p>
    <w:p w14:paraId="18EE4E76"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0944C4EF" w14:textId="475FE4BE"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U 202</w:t>
      </w:r>
      <w:r w:rsidR="00656004" w:rsidRPr="00720A0C">
        <w:rPr>
          <w:rFonts w:ascii="Arial" w:eastAsia="Times New Roman" w:hAnsi="Arial" w:cs="Arial"/>
          <w:sz w:val="18"/>
          <w:szCs w:val="18"/>
        </w:rPr>
        <w:t>2</w:t>
      </w:r>
      <w:r w:rsidRPr="00720A0C">
        <w:rPr>
          <w:rFonts w:ascii="Arial" w:eastAsia="Times New Roman" w:hAnsi="Arial" w:cs="Arial"/>
          <w:sz w:val="18"/>
          <w:szCs w:val="18"/>
        </w:rPr>
        <w:t xml:space="preserve">. </w:t>
      </w:r>
      <w:r w:rsidR="00656004" w:rsidRPr="00720A0C">
        <w:rPr>
          <w:rFonts w:ascii="Arial" w:eastAsia="Times New Roman" w:hAnsi="Arial" w:cs="Arial"/>
          <w:sz w:val="18"/>
          <w:szCs w:val="18"/>
        </w:rPr>
        <w:t xml:space="preserve">su izvršeni rashodi u iznosu </w:t>
      </w:r>
      <w:r w:rsidR="00240903" w:rsidRPr="00720A0C">
        <w:rPr>
          <w:rFonts w:ascii="Arial" w:eastAsia="Times New Roman" w:hAnsi="Arial" w:cs="Arial"/>
          <w:sz w:val="18"/>
          <w:szCs w:val="18"/>
        </w:rPr>
        <w:t>92.505,75 kn</w:t>
      </w:r>
      <w:r w:rsidR="00CC06CD" w:rsidRPr="00720A0C">
        <w:rPr>
          <w:rFonts w:ascii="Arial" w:eastAsia="Times New Roman" w:hAnsi="Arial" w:cs="Arial"/>
          <w:sz w:val="18"/>
          <w:szCs w:val="18"/>
        </w:rPr>
        <w:t xml:space="preserve"> / 12.277,62 €</w:t>
      </w:r>
      <w:r w:rsidR="00FC5CB9" w:rsidRPr="00720A0C">
        <w:rPr>
          <w:rFonts w:ascii="Arial" w:eastAsia="Times New Roman" w:hAnsi="Arial" w:cs="Arial"/>
          <w:sz w:val="18"/>
          <w:szCs w:val="18"/>
        </w:rPr>
        <w:t xml:space="preserve"> (betoniranje prilaznog puta 67.005,75 kn</w:t>
      </w:r>
      <w:r w:rsidR="00CC06CD" w:rsidRPr="00720A0C">
        <w:rPr>
          <w:rFonts w:ascii="Arial" w:eastAsia="Times New Roman" w:hAnsi="Arial" w:cs="Arial"/>
          <w:sz w:val="18"/>
          <w:szCs w:val="18"/>
        </w:rPr>
        <w:t xml:space="preserve"> / 8.893,19 €</w:t>
      </w:r>
      <w:r w:rsidR="00FC5CB9" w:rsidRPr="00720A0C">
        <w:rPr>
          <w:rFonts w:ascii="Arial" w:eastAsia="Times New Roman" w:hAnsi="Arial" w:cs="Arial"/>
          <w:sz w:val="18"/>
          <w:szCs w:val="18"/>
        </w:rPr>
        <w:t>, radovi proširenja puta 21.250 kn</w:t>
      </w:r>
      <w:r w:rsidR="00CC06CD" w:rsidRPr="00720A0C">
        <w:rPr>
          <w:rFonts w:ascii="Arial" w:eastAsia="Times New Roman" w:hAnsi="Arial" w:cs="Arial"/>
          <w:sz w:val="18"/>
          <w:szCs w:val="18"/>
        </w:rPr>
        <w:t xml:space="preserve"> / 2.820,36 €</w:t>
      </w:r>
      <w:r w:rsidR="00FC5CB9" w:rsidRPr="00720A0C">
        <w:rPr>
          <w:rFonts w:ascii="Arial" w:eastAsia="Times New Roman" w:hAnsi="Arial" w:cs="Arial"/>
          <w:sz w:val="18"/>
          <w:szCs w:val="18"/>
        </w:rPr>
        <w:t>, te idejni troškovnik i stručni nadzor 4.250 kn</w:t>
      </w:r>
      <w:r w:rsidR="00CC06CD" w:rsidRPr="00720A0C">
        <w:rPr>
          <w:rFonts w:ascii="Arial" w:eastAsia="Times New Roman" w:hAnsi="Arial" w:cs="Arial"/>
          <w:sz w:val="18"/>
          <w:szCs w:val="18"/>
        </w:rPr>
        <w:t xml:space="preserve"> / 564,07 €</w:t>
      </w:r>
      <w:r w:rsidR="00FC5CB9" w:rsidRPr="00720A0C">
        <w:rPr>
          <w:rFonts w:ascii="Arial" w:eastAsia="Times New Roman" w:hAnsi="Arial" w:cs="Arial"/>
          <w:sz w:val="18"/>
          <w:szCs w:val="18"/>
        </w:rPr>
        <w:t>).</w:t>
      </w:r>
    </w:p>
    <w:p w14:paraId="5209EFB6" w14:textId="49AC255B" w:rsidR="00285C6F" w:rsidRPr="00720A0C" w:rsidRDefault="00285C6F"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U 2023.</w:t>
      </w:r>
      <w:r w:rsidR="0050112A">
        <w:rPr>
          <w:rFonts w:ascii="Arial" w:eastAsia="Times New Roman" w:hAnsi="Arial" w:cs="Arial"/>
          <w:sz w:val="18"/>
          <w:szCs w:val="18"/>
        </w:rPr>
        <w:t>-2025</w:t>
      </w:r>
      <w:r w:rsidR="009A4F57" w:rsidRPr="00720A0C">
        <w:rPr>
          <w:rFonts w:ascii="Arial" w:eastAsia="Times New Roman" w:hAnsi="Arial" w:cs="Arial"/>
          <w:sz w:val="18"/>
          <w:szCs w:val="18"/>
        </w:rPr>
        <w:t>.</w:t>
      </w:r>
      <w:r w:rsidRPr="00720A0C">
        <w:rPr>
          <w:rFonts w:ascii="Arial" w:eastAsia="Times New Roman" w:hAnsi="Arial" w:cs="Arial"/>
          <w:sz w:val="18"/>
          <w:szCs w:val="18"/>
        </w:rPr>
        <w:t xml:space="preserve"> godini nije bilo rashoda.</w:t>
      </w:r>
    </w:p>
    <w:p w14:paraId="2E43C3EA"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78BFBF99" w14:textId="77777777" w:rsidR="00B20566" w:rsidRPr="00FF3C31" w:rsidRDefault="00B20566" w:rsidP="00B20566">
      <w:pPr>
        <w:pBdr>
          <w:top w:val="dotted" w:sz="4" w:space="8"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 xml:space="preserve">K209220: Nogostup Čilipi - Zvekovica </w:t>
      </w:r>
    </w:p>
    <w:p w14:paraId="0A97F6D9" w14:textId="77777777" w:rsidR="00D471AD" w:rsidRPr="00FF3C31" w:rsidRDefault="00D471AD" w:rsidP="00D471AD">
      <w:pPr>
        <w:autoSpaceDE w:val="0"/>
        <w:autoSpaceDN w:val="0"/>
        <w:adjustRightInd w:val="0"/>
        <w:spacing w:after="0" w:line="240" w:lineRule="auto"/>
        <w:jc w:val="both"/>
        <w:rPr>
          <w:rFonts w:ascii="Arial" w:eastAsia="Times New Roman" w:hAnsi="Arial" w:cs="Arial"/>
          <w:sz w:val="20"/>
          <w:szCs w:val="20"/>
        </w:rPr>
      </w:pPr>
    </w:p>
    <w:p w14:paraId="17A04D53" w14:textId="7BC33367" w:rsidR="00D471AD" w:rsidRPr="00FF3C31" w:rsidRDefault="00D471AD" w:rsidP="00D471AD">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Planirano je urediti nogostup ukupne duljine oko 3 000 metara nogostupa.</w:t>
      </w:r>
    </w:p>
    <w:p w14:paraId="6F263762"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28278C89"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Pokazatelj rezultata je: postotak dovršenosti radova</w:t>
      </w:r>
    </w:p>
    <w:p w14:paraId="104726D5" w14:textId="3986C59B"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0 (nula), a ciljna vrijednost 202</w:t>
      </w:r>
      <w:r w:rsidR="0050112A">
        <w:rPr>
          <w:rFonts w:ascii="Arial" w:eastAsia="Times New Roman" w:hAnsi="Arial" w:cs="Arial"/>
          <w:sz w:val="20"/>
          <w:szCs w:val="20"/>
        </w:rPr>
        <w:t>5</w:t>
      </w:r>
      <w:r w:rsidRPr="00FF3C31">
        <w:rPr>
          <w:rFonts w:ascii="Arial" w:eastAsia="Times New Roman" w:hAnsi="Arial" w:cs="Arial"/>
          <w:sz w:val="20"/>
          <w:szCs w:val="20"/>
        </w:rPr>
        <w:t xml:space="preserve">. = </w:t>
      </w:r>
      <w:r w:rsidR="0050112A">
        <w:rPr>
          <w:rFonts w:ascii="Arial" w:eastAsia="Times New Roman" w:hAnsi="Arial" w:cs="Arial"/>
          <w:sz w:val="20"/>
          <w:szCs w:val="20"/>
        </w:rPr>
        <w:t>3</w:t>
      </w:r>
      <w:r w:rsidRPr="00FF3C31">
        <w:rPr>
          <w:rFonts w:ascii="Arial" w:eastAsia="Times New Roman" w:hAnsi="Arial" w:cs="Arial"/>
          <w:sz w:val="20"/>
          <w:szCs w:val="20"/>
        </w:rPr>
        <w:t>0%, 202</w:t>
      </w:r>
      <w:r w:rsidR="0050112A">
        <w:rPr>
          <w:rFonts w:ascii="Arial" w:eastAsia="Times New Roman" w:hAnsi="Arial" w:cs="Arial"/>
          <w:sz w:val="20"/>
          <w:szCs w:val="20"/>
        </w:rPr>
        <w:t>6</w:t>
      </w:r>
      <w:r w:rsidRPr="00FF3C31">
        <w:rPr>
          <w:rFonts w:ascii="Arial" w:eastAsia="Times New Roman" w:hAnsi="Arial" w:cs="Arial"/>
          <w:sz w:val="20"/>
          <w:szCs w:val="20"/>
        </w:rPr>
        <w:t xml:space="preserve">. = </w:t>
      </w:r>
      <w:r w:rsidR="0050112A">
        <w:rPr>
          <w:rFonts w:ascii="Arial" w:eastAsia="Times New Roman" w:hAnsi="Arial" w:cs="Arial"/>
          <w:sz w:val="20"/>
          <w:szCs w:val="20"/>
        </w:rPr>
        <w:t>6</w:t>
      </w:r>
      <w:r w:rsidRPr="00FF3C31">
        <w:rPr>
          <w:rFonts w:ascii="Arial" w:eastAsia="Times New Roman" w:hAnsi="Arial" w:cs="Arial"/>
          <w:sz w:val="20"/>
          <w:szCs w:val="20"/>
        </w:rPr>
        <w:t>0%, 202</w:t>
      </w:r>
      <w:r w:rsidR="0050112A">
        <w:rPr>
          <w:rFonts w:ascii="Arial" w:eastAsia="Times New Roman" w:hAnsi="Arial" w:cs="Arial"/>
          <w:sz w:val="20"/>
          <w:szCs w:val="20"/>
        </w:rPr>
        <w:t>7</w:t>
      </w:r>
      <w:r w:rsidRPr="00FF3C31">
        <w:rPr>
          <w:rFonts w:ascii="Arial" w:eastAsia="Times New Roman" w:hAnsi="Arial" w:cs="Arial"/>
          <w:sz w:val="20"/>
          <w:szCs w:val="20"/>
        </w:rPr>
        <w:t xml:space="preserve">. = </w:t>
      </w:r>
      <w:r w:rsidR="0050112A">
        <w:rPr>
          <w:rFonts w:ascii="Arial" w:eastAsia="Times New Roman" w:hAnsi="Arial" w:cs="Arial"/>
          <w:sz w:val="20"/>
          <w:szCs w:val="20"/>
        </w:rPr>
        <w:t>8</w:t>
      </w:r>
      <w:r w:rsidRPr="00FF3C31">
        <w:rPr>
          <w:rFonts w:ascii="Arial" w:eastAsia="Times New Roman" w:hAnsi="Arial" w:cs="Arial"/>
          <w:sz w:val="20"/>
          <w:szCs w:val="20"/>
        </w:rPr>
        <w:t xml:space="preserve">0% </w:t>
      </w:r>
    </w:p>
    <w:p w14:paraId="46065999"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7CA81201" w14:textId="76F8BC1D" w:rsidR="00B20566" w:rsidRPr="00720A0C" w:rsidRDefault="00B20566" w:rsidP="00B20566">
      <w:pPr>
        <w:autoSpaceDE w:val="0"/>
        <w:autoSpaceDN w:val="0"/>
        <w:adjustRightInd w:val="0"/>
        <w:spacing w:after="0" w:line="240" w:lineRule="auto"/>
        <w:jc w:val="both"/>
        <w:rPr>
          <w:rFonts w:ascii="Arial" w:eastAsia="Calibri" w:hAnsi="Arial" w:cs="Arial"/>
          <w:sz w:val="18"/>
          <w:szCs w:val="18"/>
        </w:rPr>
      </w:pPr>
      <w:r w:rsidRPr="00720A0C">
        <w:rPr>
          <w:rFonts w:ascii="Arial" w:eastAsia="Times New Roman" w:hAnsi="Arial" w:cs="Arial"/>
          <w:sz w:val="18"/>
          <w:szCs w:val="18"/>
        </w:rPr>
        <w:t xml:space="preserve">Nisu započeti radovi. </w:t>
      </w:r>
      <w:r w:rsidRPr="00720A0C">
        <w:rPr>
          <w:rFonts w:ascii="Arial" w:eastAsia="Calibri" w:hAnsi="Arial" w:cs="Arial"/>
          <w:sz w:val="18"/>
          <w:szCs w:val="18"/>
        </w:rPr>
        <w:t xml:space="preserve">Procijenjena vrijednost investicije </w:t>
      </w:r>
      <w:r w:rsidR="00D471AD" w:rsidRPr="00720A0C">
        <w:rPr>
          <w:rFonts w:ascii="Arial" w:eastAsia="Calibri" w:hAnsi="Arial" w:cs="Arial"/>
          <w:sz w:val="18"/>
          <w:szCs w:val="18"/>
        </w:rPr>
        <w:t>ranijih godina je bila</w:t>
      </w:r>
      <w:r w:rsidRPr="00720A0C">
        <w:rPr>
          <w:rFonts w:ascii="Arial" w:eastAsia="Calibri" w:hAnsi="Arial" w:cs="Arial"/>
          <w:sz w:val="18"/>
          <w:szCs w:val="18"/>
        </w:rPr>
        <w:t xml:space="preserve"> 6.000.000 kn</w:t>
      </w:r>
      <w:r w:rsidR="00285C6F" w:rsidRPr="00720A0C">
        <w:rPr>
          <w:rFonts w:ascii="Arial" w:eastAsia="Calibri" w:hAnsi="Arial" w:cs="Arial"/>
          <w:sz w:val="18"/>
          <w:szCs w:val="18"/>
        </w:rPr>
        <w:t xml:space="preserve"> (796.336,85 €)</w:t>
      </w:r>
      <w:r w:rsidRPr="00720A0C">
        <w:rPr>
          <w:rFonts w:ascii="Arial" w:eastAsia="Calibri" w:hAnsi="Arial" w:cs="Arial"/>
          <w:sz w:val="18"/>
          <w:szCs w:val="18"/>
        </w:rPr>
        <w:t>, a provodila bi se u suradnji s Hrvatskim cestama.</w:t>
      </w:r>
    </w:p>
    <w:p w14:paraId="56C79EE2" w14:textId="31E1075A" w:rsidR="00B20566" w:rsidRPr="00720A0C" w:rsidRDefault="00B20566" w:rsidP="00B20566">
      <w:pPr>
        <w:autoSpaceDE w:val="0"/>
        <w:autoSpaceDN w:val="0"/>
        <w:adjustRightInd w:val="0"/>
        <w:spacing w:after="0" w:line="240" w:lineRule="auto"/>
        <w:rPr>
          <w:rFonts w:ascii="Arial" w:hAnsi="Arial" w:cs="Arial"/>
          <w:sz w:val="18"/>
          <w:szCs w:val="18"/>
        </w:rPr>
      </w:pPr>
      <w:r w:rsidRPr="00720A0C">
        <w:rPr>
          <w:rFonts w:ascii="Arial" w:hAnsi="Arial" w:cs="Arial"/>
          <w:sz w:val="18"/>
          <w:szCs w:val="18"/>
        </w:rPr>
        <w:t>Obzirom na postojeću situaciju izazvanu manjkom proračunskih prihoda, provedba ove investicije se odgađa za slijedeća proračunska razdoblja.</w:t>
      </w:r>
    </w:p>
    <w:p w14:paraId="43271AF2" w14:textId="0897F2B5"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12BA4AA4" w14:textId="77777777" w:rsidR="0042412F" w:rsidRPr="00FF3C31" w:rsidRDefault="0042412F" w:rsidP="0042412F">
      <w:pPr>
        <w:autoSpaceDE w:val="0"/>
        <w:autoSpaceDN w:val="0"/>
        <w:adjustRightInd w:val="0"/>
        <w:spacing w:after="0" w:line="240" w:lineRule="auto"/>
        <w:jc w:val="both"/>
        <w:rPr>
          <w:rFonts w:ascii="Arial" w:eastAsia="Times New Roman" w:hAnsi="Arial" w:cs="Arial"/>
          <w:sz w:val="20"/>
          <w:szCs w:val="20"/>
        </w:rPr>
      </w:pPr>
    </w:p>
    <w:p w14:paraId="0FCE2FE0" w14:textId="153A5DFB" w:rsidR="0042412F" w:rsidRPr="00FF3C31" w:rsidRDefault="00992554" w:rsidP="0042412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Strateški c</w:t>
      </w:r>
      <w:r w:rsidR="0042412F" w:rsidRPr="00FF3C31">
        <w:rPr>
          <w:rFonts w:ascii="Arial" w:eastAsia="Times New Roman" w:hAnsi="Arial" w:cs="Arial"/>
          <w:b/>
          <w:sz w:val="20"/>
          <w:szCs w:val="20"/>
        </w:rPr>
        <w:t>ilj 2: Unaprjeđenje infrastrukture</w:t>
      </w:r>
    </w:p>
    <w:p w14:paraId="740F63FC" w14:textId="77777777" w:rsidR="0042412F" w:rsidRPr="00FF3C31" w:rsidRDefault="0042412F" w:rsidP="0042412F">
      <w:pPr>
        <w:autoSpaceDE w:val="0"/>
        <w:autoSpaceDN w:val="0"/>
        <w:adjustRightInd w:val="0"/>
        <w:spacing w:after="0" w:line="240" w:lineRule="auto"/>
        <w:jc w:val="both"/>
        <w:rPr>
          <w:rFonts w:ascii="Arial" w:eastAsia="Times New Roman" w:hAnsi="Arial" w:cs="Arial"/>
          <w:b/>
          <w:sz w:val="20"/>
          <w:szCs w:val="20"/>
          <w:u w:val="single"/>
        </w:rPr>
      </w:pPr>
    </w:p>
    <w:p w14:paraId="7C4EB1DA" w14:textId="37E926AF" w:rsidR="00437C71" w:rsidRPr="00FF3C31" w:rsidRDefault="000804B7" w:rsidP="00437C71">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Prioritet</w:t>
      </w:r>
      <w:r w:rsidR="00437C71" w:rsidRPr="00FF3C31">
        <w:rPr>
          <w:rFonts w:ascii="Arial" w:eastAsia="Times New Roman" w:hAnsi="Arial" w:cs="Arial"/>
          <w:b/>
          <w:sz w:val="20"/>
          <w:szCs w:val="20"/>
        </w:rPr>
        <w:t xml:space="preserve"> 2.2. Unaprjeđenje prostornog uređenja i komunalne infrastrukture</w:t>
      </w:r>
    </w:p>
    <w:p w14:paraId="7209ED4E" w14:textId="77777777" w:rsidR="00437C71" w:rsidRPr="00FF3C31" w:rsidRDefault="00437C71" w:rsidP="00437C71">
      <w:pPr>
        <w:autoSpaceDE w:val="0"/>
        <w:autoSpaceDN w:val="0"/>
        <w:adjustRightInd w:val="0"/>
        <w:spacing w:after="0" w:line="240" w:lineRule="auto"/>
        <w:jc w:val="both"/>
        <w:rPr>
          <w:rFonts w:ascii="Arial" w:eastAsia="Times New Roman" w:hAnsi="Arial" w:cs="Arial"/>
          <w:sz w:val="20"/>
          <w:szCs w:val="20"/>
        </w:rPr>
      </w:pPr>
    </w:p>
    <w:p w14:paraId="07B98B5C" w14:textId="06A5BAF4" w:rsidR="000804B7" w:rsidRPr="00FF3C31" w:rsidRDefault="000804B7" w:rsidP="000804B7">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Ovaj prioritet se ostvaruje kroz:</w:t>
      </w:r>
    </w:p>
    <w:p w14:paraId="4E417D65"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41747078" w14:textId="0A9DBD6A" w:rsidR="00B20566" w:rsidRPr="00FF3C31" w:rsidRDefault="000804B7" w:rsidP="00B2056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sz w:val="20"/>
          <w:szCs w:val="20"/>
        </w:rPr>
        <w:t>2</w:t>
      </w:r>
      <w:r w:rsidR="00B20566" w:rsidRPr="00FF3C31">
        <w:rPr>
          <w:rFonts w:ascii="Arial" w:eastAsia="Times New Roman" w:hAnsi="Arial" w:cs="Arial"/>
          <w:sz w:val="20"/>
          <w:szCs w:val="20"/>
        </w:rPr>
        <w:t>.</w:t>
      </w:r>
      <w:r w:rsidRPr="00FF3C31">
        <w:rPr>
          <w:rFonts w:ascii="Arial" w:eastAsia="Times New Roman" w:hAnsi="Arial" w:cs="Arial"/>
          <w:sz w:val="20"/>
          <w:szCs w:val="20"/>
        </w:rPr>
        <w:t>2</w:t>
      </w:r>
      <w:r w:rsidR="00B20566" w:rsidRPr="00FF3C31">
        <w:rPr>
          <w:rFonts w:ascii="Arial" w:eastAsia="Times New Roman" w:hAnsi="Arial" w:cs="Arial"/>
          <w:sz w:val="20"/>
          <w:szCs w:val="20"/>
        </w:rPr>
        <w:t>.</w:t>
      </w:r>
      <w:r w:rsidRPr="00FF3C31">
        <w:rPr>
          <w:rFonts w:ascii="Arial" w:eastAsia="Times New Roman" w:hAnsi="Arial" w:cs="Arial"/>
          <w:sz w:val="20"/>
          <w:szCs w:val="20"/>
        </w:rPr>
        <w:t>a</w:t>
      </w:r>
      <w:r w:rsidR="00B20566" w:rsidRPr="00FF3C31">
        <w:rPr>
          <w:rFonts w:ascii="Arial" w:eastAsia="Times New Roman" w:hAnsi="Arial" w:cs="Arial"/>
          <w:sz w:val="20"/>
          <w:szCs w:val="20"/>
        </w:rPr>
        <w:t>)</w:t>
      </w:r>
      <w:r w:rsidR="00B20566" w:rsidRPr="00FF3C31">
        <w:rPr>
          <w:rFonts w:ascii="Arial" w:eastAsia="Times New Roman" w:hAnsi="Arial" w:cs="Arial"/>
          <w:sz w:val="20"/>
          <w:szCs w:val="20"/>
        </w:rPr>
        <w:tab/>
      </w:r>
      <w:r w:rsidR="00B20566" w:rsidRPr="00FF3C31">
        <w:rPr>
          <w:rFonts w:ascii="Arial" w:eastAsia="Times New Roman" w:hAnsi="Arial" w:cs="Arial"/>
          <w:b/>
          <w:sz w:val="20"/>
          <w:szCs w:val="20"/>
        </w:rPr>
        <w:t>Program (2094) – Plan gradnje komunalnih vodnih građevina</w:t>
      </w:r>
    </w:p>
    <w:p w14:paraId="2B0B9133"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75CE10B0"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b1) </w:t>
      </w:r>
      <w:r w:rsidRPr="00FF3C31">
        <w:rPr>
          <w:rFonts w:ascii="Arial" w:eastAsia="Times New Roman" w:hAnsi="Arial" w:cs="Arial"/>
          <w:sz w:val="20"/>
          <w:szCs w:val="20"/>
        </w:rPr>
        <w:tab/>
        <w:t>Kapitalni projekt (K09416) Rekonstrukcija crpne stanice i upravljačkog sistema Prahivac</w:t>
      </w:r>
    </w:p>
    <w:p w14:paraId="7D6334DB" w14:textId="58E03CA5"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b2) </w:t>
      </w:r>
      <w:r w:rsidRPr="00FF3C31">
        <w:rPr>
          <w:rFonts w:ascii="Arial" w:eastAsia="Times New Roman" w:hAnsi="Arial" w:cs="Arial"/>
          <w:sz w:val="20"/>
          <w:szCs w:val="20"/>
        </w:rPr>
        <w:tab/>
        <w:t xml:space="preserve">Kapitalni projekt (K09421) Izgradnja </w:t>
      </w:r>
      <w:r w:rsidR="00285C6F" w:rsidRPr="00FF3C31">
        <w:rPr>
          <w:rFonts w:ascii="Arial" w:eastAsia="Times New Roman" w:hAnsi="Arial" w:cs="Arial"/>
          <w:sz w:val="20"/>
          <w:szCs w:val="20"/>
        </w:rPr>
        <w:t xml:space="preserve">vodovodne i kanalizacijske mreže </w:t>
      </w:r>
      <w:r w:rsidRPr="00FF3C31">
        <w:rPr>
          <w:rFonts w:ascii="Arial" w:eastAsia="Times New Roman" w:hAnsi="Arial" w:cs="Arial"/>
          <w:sz w:val="20"/>
          <w:szCs w:val="20"/>
        </w:rPr>
        <w:t>Molunat</w:t>
      </w:r>
    </w:p>
    <w:p w14:paraId="61EFBEC0"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b3) </w:t>
      </w:r>
      <w:r w:rsidRPr="00FF3C31">
        <w:rPr>
          <w:rFonts w:ascii="Arial" w:eastAsia="Times New Roman" w:hAnsi="Arial" w:cs="Arial"/>
          <w:sz w:val="20"/>
          <w:szCs w:val="20"/>
        </w:rPr>
        <w:tab/>
        <w:t>Kapitalni projekt (K09424) Kanalizacijski sustav Zvekovica</w:t>
      </w:r>
    </w:p>
    <w:p w14:paraId="4575BC11"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b4) </w:t>
      </w:r>
      <w:r w:rsidRPr="00FF3C31">
        <w:rPr>
          <w:rFonts w:ascii="Arial" w:eastAsia="Times New Roman" w:hAnsi="Arial" w:cs="Arial"/>
          <w:sz w:val="20"/>
          <w:szCs w:val="20"/>
        </w:rPr>
        <w:tab/>
        <w:t>Kapitalni projekt (K09426) Projektiranje i izgradnja kanalizacije s nogostupom: Izvor Ljuta - Gruda</w:t>
      </w:r>
    </w:p>
    <w:p w14:paraId="50BCBCBB"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b5) </w:t>
      </w:r>
      <w:r w:rsidRPr="00FF3C31">
        <w:rPr>
          <w:rFonts w:ascii="Arial" w:eastAsia="Times New Roman" w:hAnsi="Arial" w:cs="Arial"/>
          <w:sz w:val="20"/>
          <w:szCs w:val="20"/>
        </w:rPr>
        <w:tab/>
        <w:t>Kapitalni projekt (K09427) Izgradnja kanalizacije Ulica Frana Laureana Cavtat</w:t>
      </w:r>
    </w:p>
    <w:p w14:paraId="73A122A1"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b6) </w:t>
      </w:r>
      <w:r w:rsidRPr="00FF3C31">
        <w:rPr>
          <w:rFonts w:ascii="Arial" w:eastAsia="Times New Roman" w:hAnsi="Arial" w:cs="Arial"/>
          <w:sz w:val="20"/>
          <w:szCs w:val="20"/>
        </w:rPr>
        <w:tab/>
        <w:t>Kapitalni projekt (K09428) Izgradnja kanalizacije Ulica Silvija Strahimira Kranjčevića Cavtat</w:t>
      </w:r>
    </w:p>
    <w:p w14:paraId="07BA6C62"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b7)</w:t>
      </w:r>
      <w:r w:rsidRPr="00FF3C31">
        <w:rPr>
          <w:rFonts w:ascii="Arial" w:eastAsia="Times New Roman" w:hAnsi="Arial" w:cs="Arial"/>
          <w:sz w:val="20"/>
          <w:szCs w:val="20"/>
        </w:rPr>
        <w:tab/>
        <w:t>kapitalni projekt (K209429) Izgradnja vodoopskrbnog sustava Palje brdo</w:t>
      </w:r>
    </w:p>
    <w:p w14:paraId="15DCA2AD"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4C598DBB" w14:textId="77777777" w:rsidR="00B20566" w:rsidRPr="00FF3C31"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b/>
          <w:sz w:val="20"/>
          <w:szCs w:val="20"/>
        </w:rPr>
        <w:t>K209416: Rekonstrukcija crpne stanice i upravljačkog sistema Prahivac</w:t>
      </w:r>
    </w:p>
    <w:p w14:paraId="229F1255"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4B8F00B9"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Pokazatelj rezultata je: postotak dovršenosti radova, odnosno povećanje kapaciteta i energetske učinkovitosti. Naime, potrebno je obnoviti zastarjelu tehnologiju crpne stanice. </w:t>
      </w:r>
    </w:p>
    <w:p w14:paraId="481B9BBD" w14:textId="64F444D9"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 0%</w:t>
      </w:r>
    </w:p>
    <w:p w14:paraId="66327607" w14:textId="0CC7150A"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Ciljna vrijednost za 202</w:t>
      </w:r>
      <w:r w:rsidR="0050112A">
        <w:rPr>
          <w:rFonts w:ascii="Arial" w:eastAsia="Times New Roman" w:hAnsi="Arial" w:cs="Arial"/>
          <w:sz w:val="20"/>
          <w:szCs w:val="20"/>
        </w:rPr>
        <w:t>5</w:t>
      </w:r>
      <w:r w:rsidRPr="00FF3C31">
        <w:rPr>
          <w:rFonts w:ascii="Arial" w:eastAsia="Times New Roman" w:hAnsi="Arial" w:cs="Arial"/>
          <w:sz w:val="20"/>
          <w:szCs w:val="20"/>
        </w:rPr>
        <w:t xml:space="preserve">. = </w:t>
      </w:r>
      <w:r w:rsidR="0050112A">
        <w:rPr>
          <w:rFonts w:ascii="Arial" w:eastAsia="Times New Roman" w:hAnsi="Arial" w:cs="Arial"/>
          <w:sz w:val="20"/>
          <w:szCs w:val="20"/>
        </w:rPr>
        <w:t>1</w:t>
      </w:r>
      <w:r w:rsidRPr="00FF3C31">
        <w:rPr>
          <w:rFonts w:ascii="Arial" w:eastAsia="Times New Roman" w:hAnsi="Arial" w:cs="Arial"/>
          <w:sz w:val="20"/>
          <w:szCs w:val="20"/>
        </w:rPr>
        <w:t>0%, za 20</w:t>
      </w:r>
      <w:r w:rsidR="00CC06CD">
        <w:rPr>
          <w:rFonts w:ascii="Arial" w:eastAsia="Times New Roman" w:hAnsi="Arial" w:cs="Arial"/>
          <w:sz w:val="20"/>
          <w:szCs w:val="20"/>
        </w:rPr>
        <w:t>2</w:t>
      </w:r>
      <w:r w:rsidR="0050112A">
        <w:rPr>
          <w:rFonts w:ascii="Arial" w:eastAsia="Times New Roman" w:hAnsi="Arial" w:cs="Arial"/>
          <w:sz w:val="20"/>
          <w:szCs w:val="20"/>
        </w:rPr>
        <w:t>6</w:t>
      </w:r>
      <w:r w:rsidRPr="00FF3C31">
        <w:rPr>
          <w:rFonts w:ascii="Arial" w:eastAsia="Times New Roman" w:hAnsi="Arial" w:cs="Arial"/>
          <w:sz w:val="20"/>
          <w:szCs w:val="20"/>
        </w:rPr>
        <w:t xml:space="preserve">. = </w:t>
      </w:r>
      <w:r w:rsidR="0050112A">
        <w:rPr>
          <w:rFonts w:ascii="Arial" w:eastAsia="Times New Roman" w:hAnsi="Arial" w:cs="Arial"/>
          <w:sz w:val="20"/>
          <w:szCs w:val="20"/>
        </w:rPr>
        <w:t>5</w:t>
      </w:r>
      <w:r w:rsidRPr="00FF3C31">
        <w:rPr>
          <w:rFonts w:ascii="Arial" w:eastAsia="Times New Roman" w:hAnsi="Arial" w:cs="Arial"/>
          <w:sz w:val="20"/>
          <w:szCs w:val="20"/>
        </w:rPr>
        <w:t>0%, za 20</w:t>
      </w:r>
      <w:r w:rsidR="00CC06CD">
        <w:rPr>
          <w:rFonts w:ascii="Arial" w:eastAsia="Times New Roman" w:hAnsi="Arial" w:cs="Arial"/>
          <w:sz w:val="20"/>
          <w:szCs w:val="20"/>
        </w:rPr>
        <w:t>2</w:t>
      </w:r>
      <w:r w:rsidR="0050112A">
        <w:rPr>
          <w:rFonts w:ascii="Arial" w:eastAsia="Times New Roman" w:hAnsi="Arial" w:cs="Arial"/>
          <w:sz w:val="20"/>
          <w:szCs w:val="20"/>
        </w:rPr>
        <w:t>7</w:t>
      </w:r>
      <w:r w:rsidRPr="00FF3C31">
        <w:rPr>
          <w:rFonts w:ascii="Arial" w:eastAsia="Times New Roman" w:hAnsi="Arial" w:cs="Arial"/>
          <w:sz w:val="20"/>
          <w:szCs w:val="20"/>
        </w:rPr>
        <w:t>. = 1</w:t>
      </w:r>
      <w:r w:rsidR="0050112A">
        <w:rPr>
          <w:rFonts w:ascii="Arial" w:eastAsia="Times New Roman" w:hAnsi="Arial" w:cs="Arial"/>
          <w:sz w:val="20"/>
          <w:szCs w:val="20"/>
        </w:rPr>
        <w:t>0</w:t>
      </w:r>
      <w:r w:rsidR="0029154A" w:rsidRPr="00FF3C31">
        <w:rPr>
          <w:rFonts w:ascii="Arial" w:eastAsia="Times New Roman" w:hAnsi="Arial" w:cs="Arial"/>
          <w:sz w:val="20"/>
          <w:szCs w:val="20"/>
        </w:rPr>
        <w:t>0</w:t>
      </w:r>
      <w:r w:rsidRPr="00FF3C31">
        <w:rPr>
          <w:rFonts w:ascii="Arial" w:eastAsia="Times New Roman" w:hAnsi="Arial" w:cs="Arial"/>
          <w:sz w:val="20"/>
          <w:szCs w:val="20"/>
        </w:rPr>
        <w:t>%</w:t>
      </w:r>
    </w:p>
    <w:p w14:paraId="38E6D89D"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0B10D25C"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Planirani nositelj projekta je društvo u vlasništvu Općine, Konavosko komunalno društvo d.o.o. Međutim, navedeno bi se sufinanciralo iz sredstava javnog isporučitelja (Konavosko komunalno društvo d.o.o.), sufinanciranjem Hrvatskih voda 80% i sredstvima Općine do 20%. </w:t>
      </w:r>
    </w:p>
    <w:p w14:paraId="1F62C64D"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2B5E3843" w14:textId="121FE115"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Procijenjena vrijednost ukupne investicije </w:t>
      </w:r>
      <w:r w:rsidR="00D471AD" w:rsidRPr="00720A0C">
        <w:rPr>
          <w:rFonts w:ascii="Arial" w:eastAsia="Times New Roman" w:hAnsi="Arial" w:cs="Arial"/>
          <w:sz w:val="18"/>
          <w:szCs w:val="18"/>
        </w:rPr>
        <w:t>ranijih godina je bila</w:t>
      </w:r>
      <w:r w:rsidRPr="00720A0C">
        <w:rPr>
          <w:rFonts w:ascii="Arial" w:eastAsia="Times New Roman" w:hAnsi="Arial" w:cs="Arial"/>
          <w:sz w:val="18"/>
          <w:szCs w:val="18"/>
        </w:rPr>
        <w:t xml:space="preserve"> 10.000.000 kn</w:t>
      </w:r>
      <w:r w:rsidR="00CC06CD" w:rsidRPr="00720A0C">
        <w:rPr>
          <w:rFonts w:ascii="Arial" w:eastAsia="Times New Roman" w:hAnsi="Arial" w:cs="Arial"/>
          <w:sz w:val="18"/>
          <w:szCs w:val="18"/>
        </w:rPr>
        <w:t xml:space="preserve"> / 1.327.228,08 €</w:t>
      </w:r>
      <w:r w:rsidR="00240903" w:rsidRPr="00720A0C">
        <w:rPr>
          <w:rFonts w:ascii="Arial" w:eastAsia="Times New Roman" w:hAnsi="Arial" w:cs="Arial"/>
          <w:sz w:val="18"/>
          <w:szCs w:val="18"/>
        </w:rPr>
        <w:t>.</w:t>
      </w:r>
      <w:r w:rsidRPr="00720A0C">
        <w:rPr>
          <w:rFonts w:ascii="Arial" w:eastAsia="Times New Roman" w:hAnsi="Arial" w:cs="Arial"/>
          <w:sz w:val="18"/>
          <w:szCs w:val="18"/>
        </w:rPr>
        <w:t xml:space="preserve"> </w:t>
      </w:r>
      <w:r w:rsidR="00240903" w:rsidRPr="00720A0C">
        <w:rPr>
          <w:rFonts w:ascii="Arial" w:eastAsia="Times New Roman" w:hAnsi="Arial" w:cs="Arial"/>
          <w:sz w:val="18"/>
          <w:szCs w:val="18"/>
        </w:rPr>
        <w:t>U proračunu Općine će se iskazivati samo dio</w:t>
      </w:r>
      <w:r w:rsidRPr="00720A0C">
        <w:rPr>
          <w:rFonts w:ascii="Arial" w:eastAsia="Times New Roman" w:hAnsi="Arial" w:cs="Arial"/>
          <w:sz w:val="18"/>
          <w:szCs w:val="18"/>
        </w:rPr>
        <w:t xml:space="preserve"> investicije </w:t>
      </w:r>
      <w:r w:rsidR="00240903" w:rsidRPr="00720A0C">
        <w:rPr>
          <w:rFonts w:ascii="Arial" w:eastAsia="Times New Roman" w:hAnsi="Arial" w:cs="Arial"/>
          <w:sz w:val="18"/>
          <w:szCs w:val="18"/>
        </w:rPr>
        <w:t>koji s</w:t>
      </w:r>
      <w:r w:rsidRPr="00720A0C">
        <w:rPr>
          <w:rFonts w:ascii="Arial" w:eastAsia="Times New Roman" w:hAnsi="Arial" w:cs="Arial"/>
          <w:sz w:val="18"/>
          <w:szCs w:val="18"/>
        </w:rPr>
        <w:t xml:space="preserve">e sufinancira sredstvima iz proračuna, dok se sredstva Hrvatskih voda isplaćuju nositelju projekta, sukladno zaključenim godišnjim ugovorima. </w:t>
      </w:r>
    </w:p>
    <w:p w14:paraId="58A13655"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28B87F85" w14:textId="0C0655E5"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bookmarkStart w:id="483" w:name="_Hlk66359738"/>
    </w:p>
    <w:p w14:paraId="42EB5379" w14:textId="3A366B90" w:rsidR="00B20566" w:rsidRPr="00FF3C31"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sz w:val="20"/>
          <w:szCs w:val="20"/>
        </w:rPr>
      </w:pPr>
      <w:bookmarkStart w:id="484" w:name="_Hlk66359542"/>
      <w:bookmarkEnd w:id="483"/>
      <w:r w:rsidRPr="00FF3C31">
        <w:rPr>
          <w:rFonts w:ascii="Arial" w:eastAsia="Times New Roman" w:hAnsi="Arial" w:cs="Arial"/>
          <w:b/>
          <w:sz w:val="20"/>
          <w:szCs w:val="20"/>
        </w:rPr>
        <w:t xml:space="preserve">K209421: Izgradnja </w:t>
      </w:r>
      <w:r w:rsidR="006D251D" w:rsidRPr="00FF3C31">
        <w:rPr>
          <w:rFonts w:ascii="Arial" w:eastAsia="Times New Roman" w:hAnsi="Arial" w:cs="Arial"/>
          <w:b/>
          <w:sz w:val="20"/>
          <w:szCs w:val="20"/>
        </w:rPr>
        <w:t>vodovodne i kanalizacijske mreže M</w:t>
      </w:r>
      <w:r w:rsidRPr="00FF3C31">
        <w:rPr>
          <w:rFonts w:ascii="Arial" w:eastAsia="Times New Roman" w:hAnsi="Arial" w:cs="Arial"/>
          <w:b/>
          <w:sz w:val="20"/>
          <w:szCs w:val="20"/>
        </w:rPr>
        <w:t>olunat</w:t>
      </w:r>
      <w:r w:rsidRPr="00FF3C31">
        <w:rPr>
          <w:rFonts w:ascii="Arial" w:eastAsia="Times New Roman" w:hAnsi="Arial" w:cs="Arial"/>
          <w:sz w:val="20"/>
          <w:szCs w:val="20"/>
        </w:rPr>
        <w:t xml:space="preserve"> </w:t>
      </w:r>
    </w:p>
    <w:p w14:paraId="58EE10E3"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bookmarkEnd w:id="484"/>
    <w:p w14:paraId="400ABCB1"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Pokazatelj rezultata je: postotak dovršenosti izgradnje kanalizacijske mreže i rekonstrukcije vodoopskrbne mreže što će omogućiti spajanje oko 200 objekata.</w:t>
      </w:r>
    </w:p>
    <w:p w14:paraId="76F59F2D"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47E86920" w14:textId="03177890"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w:t>
      </w:r>
      <w:r w:rsidR="00FD7876" w:rsidRPr="00FF3C31">
        <w:rPr>
          <w:rFonts w:ascii="Arial" w:eastAsia="Times New Roman" w:hAnsi="Arial" w:cs="Arial"/>
          <w:sz w:val="20"/>
          <w:szCs w:val="20"/>
        </w:rPr>
        <w:t>67</w:t>
      </w:r>
      <w:r w:rsidRPr="00FF3C31">
        <w:rPr>
          <w:rFonts w:ascii="Arial" w:eastAsia="Times New Roman" w:hAnsi="Arial" w:cs="Arial"/>
          <w:sz w:val="20"/>
          <w:szCs w:val="20"/>
        </w:rPr>
        <w:t>%</w:t>
      </w:r>
    </w:p>
    <w:p w14:paraId="3A15BA21" w14:textId="6F35A319"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Ciljna vrijednost za 202</w:t>
      </w:r>
      <w:r w:rsidR="0050112A">
        <w:rPr>
          <w:rFonts w:ascii="Arial" w:eastAsia="Times New Roman" w:hAnsi="Arial" w:cs="Arial"/>
          <w:sz w:val="20"/>
          <w:szCs w:val="20"/>
        </w:rPr>
        <w:t>5</w:t>
      </w:r>
      <w:r w:rsidRPr="00FF3C31">
        <w:rPr>
          <w:rFonts w:ascii="Arial" w:eastAsia="Times New Roman" w:hAnsi="Arial" w:cs="Arial"/>
          <w:sz w:val="20"/>
          <w:szCs w:val="20"/>
        </w:rPr>
        <w:t xml:space="preserve">. = </w:t>
      </w:r>
      <w:r w:rsidR="009A4F57" w:rsidRPr="00FF3C31">
        <w:rPr>
          <w:rFonts w:ascii="Arial" w:eastAsia="Times New Roman" w:hAnsi="Arial" w:cs="Arial"/>
          <w:sz w:val="20"/>
          <w:szCs w:val="20"/>
        </w:rPr>
        <w:t>100</w:t>
      </w:r>
      <w:r w:rsidRPr="00FF3C31">
        <w:rPr>
          <w:rFonts w:ascii="Arial" w:eastAsia="Times New Roman" w:hAnsi="Arial" w:cs="Arial"/>
          <w:sz w:val="20"/>
          <w:szCs w:val="20"/>
        </w:rPr>
        <w:t>%, za 202</w:t>
      </w:r>
      <w:r w:rsidR="0050112A">
        <w:rPr>
          <w:rFonts w:ascii="Arial" w:eastAsia="Times New Roman" w:hAnsi="Arial" w:cs="Arial"/>
          <w:sz w:val="20"/>
          <w:szCs w:val="20"/>
        </w:rPr>
        <w:t>6</w:t>
      </w:r>
      <w:r w:rsidRPr="00FF3C31">
        <w:rPr>
          <w:rFonts w:ascii="Arial" w:eastAsia="Times New Roman" w:hAnsi="Arial" w:cs="Arial"/>
          <w:sz w:val="20"/>
          <w:szCs w:val="20"/>
        </w:rPr>
        <w:t xml:space="preserve">. = </w:t>
      </w:r>
      <w:r w:rsidR="0029154A" w:rsidRPr="00FF3C31">
        <w:rPr>
          <w:rFonts w:ascii="Arial" w:eastAsia="Times New Roman" w:hAnsi="Arial" w:cs="Arial"/>
          <w:sz w:val="20"/>
          <w:szCs w:val="20"/>
        </w:rPr>
        <w:t>100</w:t>
      </w:r>
      <w:r w:rsidRPr="00FF3C31">
        <w:rPr>
          <w:rFonts w:ascii="Arial" w:eastAsia="Times New Roman" w:hAnsi="Arial" w:cs="Arial"/>
          <w:sz w:val="20"/>
          <w:szCs w:val="20"/>
        </w:rPr>
        <w:t>%, za 202</w:t>
      </w:r>
      <w:r w:rsidR="0050112A">
        <w:rPr>
          <w:rFonts w:ascii="Arial" w:eastAsia="Times New Roman" w:hAnsi="Arial" w:cs="Arial"/>
          <w:sz w:val="20"/>
          <w:szCs w:val="20"/>
        </w:rPr>
        <w:t>7</w:t>
      </w:r>
      <w:r w:rsidRPr="00FF3C31">
        <w:rPr>
          <w:rFonts w:ascii="Arial" w:eastAsia="Times New Roman" w:hAnsi="Arial" w:cs="Arial"/>
          <w:sz w:val="20"/>
          <w:szCs w:val="20"/>
        </w:rPr>
        <w:t>. = 100%</w:t>
      </w:r>
    </w:p>
    <w:p w14:paraId="6E926518"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013D3326" w14:textId="4AFA7D57" w:rsidR="00B20566" w:rsidRPr="00720A0C" w:rsidRDefault="00FD787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N</w:t>
      </w:r>
      <w:r w:rsidR="00B20566" w:rsidRPr="00720A0C">
        <w:rPr>
          <w:rFonts w:ascii="Arial" w:eastAsia="Times New Roman" w:hAnsi="Arial" w:cs="Arial"/>
          <w:sz w:val="18"/>
          <w:szCs w:val="18"/>
        </w:rPr>
        <w:t xml:space="preserve">ositelj projekta je društvo u vlasništvu Općine, Konavosko komunalno društvo d.o.o. Međutim, navedeno bi se sufinanciralo iz sredstava javnog isporučitelja (Konavosko komunalno društvo d.o.o.), sufinanciranjem Hrvatskih voda, sredstvima Općine do 20%. </w:t>
      </w:r>
    </w:p>
    <w:p w14:paraId="23DFDBCC"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78D36411" w14:textId="5BED579B" w:rsidR="00F051A5" w:rsidRPr="00720A0C" w:rsidRDefault="00B20566" w:rsidP="00F051A5">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Procijenjena vrijednost ukupne investicije </w:t>
      </w:r>
      <w:r w:rsidR="00D471AD" w:rsidRPr="00720A0C">
        <w:rPr>
          <w:rFonts w:ascii="Arial" w:eastAsia="Times New Roman" w:hAnsi="Arial" w:cs="Arial"/>
          <w:sz w:val="18"/>
          <w:szCs w:val="18"/>
        </w:rPr>
        <w:t>ranijih godina je bila</w:t>
      </w:r>
      <w:r w:rsidRPr="00720A0C">
        <w:rPr>
          <w:rFonts w:ascii="Arial" w:eastAsia="Times New Roman" w:hAnsi="Arial" w:cs="Arial"/>
          <w:sz w:val="18"/>
          <w:szCs w:val="18"/>
        </w:rPr>
        <w:t xml:space="preserve"> 15.000.000 kn</w:t>
      </w:r>
      <w:r w:rsidR="00CC06CD" w:rsidRPr="00720A0C">
        <w:rPr>
          <w:rFonts w:ascii="Arial" w:eastAsia="Times New Roman" w:hAnsi="Arial" w:cs="Arial"/>
          <w:sz w:val="18"/>
          <w:szCs w:val="18"/>
        </w:rPr>
        <w:t xml:space="preserve"> / 1.990.842,13 €</w:t>
      </w:r>
      <w:r w:rsidRPr="00720A0C">
        <w:rPr>
          <w:rFonts w:ascii="Arial" w:eastAsia="Times New Roman" w:hAnsi="Arial" w:cs="Arial"/>
          <w:sz w:val="18"/>
          <w:szCs w:val="18"/>
        </w:rPr>
        <w:t xml:space="preserve">. </w:t>
      </w:r>
      <w:r w:rsidR="00F051A5" w:rsidRPr="00720A0C">
        <w:rPr>
          <w:rFonts w:ascii="Arial" w:eastAsia="Times New Roman" w:hAnsi="Arial" w:cs="Arial"/>
          <w:sz w:val="18"/>
          <w:szCs w:val="18"/>
        </w:rPr>
        <w:t xml:space="preserve">U proračunu Općine će se iskazivati samo dio investicije koji se sufinancira sredstvima iz proračuna, dok se sredstva Hrvatskih voda isplaćuju nositelju projekta, sukladno zaključenim godišnjim ugovorima. </w:t>
      </w:r>
    </w:p>
    <w:p w14:paraId="5DFFF448" w14:textId="60B2E95E"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45A16895" w14:textId="77777777" w:rsidR="00B20566" w:rsidRPr="00720A0C" w:rsidRDefault="00B20566">
      <w:pPr>
        <w:numPr>
          <w:ilvl w:val="0"/>
          <w:numId w:val="8"/>
        </w:num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b/>
          <w:sz w:val="18"/>
          <w:szCs w:val="18"/>
          <w:u w:val="single"/>
        </w:rPr>
        <w:t>Lokacijska dozvola</w:t>
      </w:r>
      <w:r w:rsidRPr="00720A0C">
        <w:rPr>
          <w:rFonts w:ascii="Arial" w:eastAsia="Times New Roman" w:hAnsi="Arial" w:cs="Arial"/>
          <w:sz w:val="18"/>
          <w:szCs w:val="18"/>
        </w:rPr>
        <w:t xml:space="preserve"> za Molunat; KLASA: UP/I-350-05/15-01/000034; URBROJ:2117/1-23/1-2-17-11, Dubrovnik, 10.03.2017. PRAVOMOĆNA 17.11.2017.</w:t>
      </w:r>
    </w:p>
    <w:p w14:paraId="5C360673" w14:textId="77777777" w:rsidR="00B20566" w:rsidRPr="00720A0C" w:rsidRDefault="00B20566">
      <w:pPr>
        <w:numPr>
          <w:ilvl w:val="0"/>
          <w:numId w:val="5"/>
        </w:num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b/>
          <w:sz w:val="18"/>
          <w:szCs w:val="18"/>
          <w:u w:val="single"/>
        </w:rPr>
        <w:t>Građevinska dozvola</w:t>
      </w:r>
      <w:r w:rsidRPr="00720A0C">
        <w:rPr>
          <w:rFonts w:ascii="Arial" w:eastAsia="Times New Roman" w:hAnsi="Arial" w:cs="Arial"/>
          <w:sz w:val="18"/>
          <w:szCs w:val="18"/>
        </w:rPr>
        <w:t xml:space="preserve">, KLASA: UP/I-361-03/18-01/000081, URBROJ:2117/1-23/1-2-18-0006, Dubrovnik, 5.7.2018. PRAVOMOĆNA 2.8.2018. Dubrovačko-neretvanska županija, Upravni odjel za prostorno uređenje i gradnju izdalo je: građevinsku dozvolu za fazno građenje građevine infrastrukturne namjene, sustav odvodnje otpadnih voda i vodoopskrbnog sustava, sve u trupu javnih prometnica kroz naselje Molunat. </w:t>
      </w:r>
    </w:p>
    <w:p w14:paraId="1FA26051"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3355C48A" w14:textId="05D05A82" w:rsidR="00B20566" w:rsidRPr="00720A0C" w:rsidRDefault="00B20566" w:rsidP="00B20566">
      <w:pPr>
        <w:spacing w:after="0" w:line="240" w:lineRule="auto"/>
        <w:jc w:val="both"/>
        <w:rPr>
          <w:rFonts w:ascii="Arial" w:eastAsia="Calibri" w:hAnsi="Arial" w:cs="Arial"/>
          <w:sz w:val="18"/>
          <w:szCs w:val="18"/>
        </w:rPr>
      </w:pPr>
      <w:r w:rsidRPr="00720A0C">
        <w:rPr>
          <w:rFonts w:ascii="Arial" w:eastAsia="Calibri" w:hAnsi="Arial" w:cs="Arial"/>
          <w:sz w:val="18"/>
          <w:szCs w:val="18"/>
        </w:rPr>
        <w:t>Tijekom 2018. rashodi su izvršeni u iznosu 117.430,08 kn</w:t>
      </w:r>
      <w:r w:rsidR="00CC06CD" w:rsidRPr="00720A0C">
        <w:rPr>
          <w:rFonts w:ascii="Arial" w:eastAsia="Calibri" w:hAnsi="Arial" w:cs="Arial"/>
          <w:sz w:val="18"/>
          <w:szCs w:val="18"/>
        </w:rPr>
        <w:t xml:space="preserve"> / 15.585,65 €</w:t>
      </w:r>
      <w:r w:rsidRPr="00720A0C">
        <w:rPr>
          <w:rFonts w:ascii="Arial" w:eastAsia="Calibri" w:hAnsi="Arial" w:cs="Arial"/>
          <w:sz w:val="18"/>
          <w:szCs w:val="18"/>
        </w:rPr>
        <w:t>. Ovi rashodi se odnose na prijenose komunalnom društvu u vlasništvu u obliku izdataka za udjele u glavnici i to za:</w:t>
      </w:r>
    </w:p>
    <w:p w14:paraId="7C61B60D" w14:textId="325FDE8F" w:rsidR="00B20566" w:rsidRPr="00720A0C" w:rsidRDefault="00B20566" w:rsidP="00B20566">
      <w:pPr>
        <w:spacing w:after="0" w:line="240" w:lineRule="auto"/>
        <w:jc w:val="both"/>
        <w:rPr>
          <w:rFonts w:ascii="Arial" w:eastAsia="Calibri" w:hAnsi="Arial" w:cs="Arial"/>
          <w:sz w:val="18"/>
          <w:szCs w:val="18"/>
        </w:rPr>
      </w:pPr>
      <w:r w:rsidRPr="00720A0C">
        <w:rPr>
          <w:rFonts w:ascii="Arial" w:eastAsia="Calibri" w:hAnsi="Arial" w:cs="Arial"/>
          <w:sz w:val="18"/>
          <w:szCs w:val="18"/>
        </w:rPr>
        <w:t>- otkup dijela čestice zemljišta od 9 fizičkih osoba za potrebe izgradnje kanalizacijskog sustava u k.o. Đurinići (7,51 EUR/m²) u iznosu 8.751,66 kn</w:t>
      </w:r>
      <w:r w:rsidR="00CC06CD" w:rsidRPr="00720A0C">
        <w:rPr>
          <w:rFonts w:ascii="Arial" w:eastAsia="Calibri" w:hAnsi="Arial" w:cs="Arial"/>
          <w:sz w:val="18"/>
          <w:szCs w:val="18"/>
        </w:rPr>
        <w:t xml:space="preserve"> / 1.161,54 €</w:t>
      </w:r>
      <w:r w:rsidRPr="00720A0C">
        <w:rPr>
          <w:rFonts w:ascii="Arial" w:eastAsia="Calibri" w:hAnsi="Arial" w:cs="Arial"/>
          <w:sz w:val="18"/>
          <w:szCs w:val="18"/>
        </w:rPr>
        <w:t>, a na temelju zahtjeva i ovjerenih kupoprodajnih ugovora, te procjene vrijednosti nekretnine;</w:t>
      </w:r>
    </w:p>
    <w:p w14:paraId="4B91FB58" w14:textId="082C54B7" w:rsidR="00B20566" w:rsidRPr="00720A0C" w:rsidRDefault="00B20566" w:rsidP="00B20566">
      <w:pPr>
        <w:spacing w:after="0" w:line="240" w:lineRule="auto"/>
        <w:jc w:val="both"/>
        <w:rPr>
          <w:rFonts w:ascii="Arial" w:eastAsia="Calibri" w:hAnsi="Arial" w:cs="Arial"/>
          <w:sz w:val="18"/>
          <w:szCs w:val="18"/>
        </w:rPr>
      </w:pPr>
      <w:r w:rsidRPr="00720A0C">
        <w:rPr>
          <w:rFonts w:ascii="Arial" w:eastAsia="Calibri" w:hAnsi="Arial" w:cs="Arial"/>
          <w:sz w:val="18"/>
          <w:szCs w:val="18"/>
        </w:rPr>
        <w:t xml:space="preserve">- rashode u iznosu 50.221,08 kn </w:t>
      </w:r>
      <w:r w:rsidR="00CC06CD" w:rsidRPr="00720A0C">
        <w:rPr>
          <w:rFonts w:ascii="Arial" w:eastAsia="Calibri" w:hAnsi="Arial" w:cs="Arial"/>
          <w:sz w:val="18"/>
          <w:szCs w:val="18"/>
        </w:rPr>
        <w:t xml:space="preserve">/ 6.665,48 € </w:t>
      </w:r>
      <w:r w:rsidRPr="00720A0C">
        <w:rPr>
          <w:rFonts w:ascii="Arial" w:eastAsia="Calibri" w:hAnsi="Arial" w:cs="Arial"/>
          <w:sz w:val="18"/>
          <w:szCs w:val="18"/>
        </w:rPr>
        <w:t>za priključenje tri fekalne crpne stanice u Moluntu na distribucijsku mrežu a temeljem prethodne elektroenergetske suglasnosti na temelju ugovora o priključenju, zahtjeva društva i odluke načelnika,</w:t>
      </w:r>
    </w:p>
    <w:p w14:paraId="3A644B17" w14:textId="58062F2E" w:rsidR="00B20566" w:rsidRPr="00720A0C" w:rsidRDefault="00B20566" w:rsidP="00B20566">
      <w:pPr>
        <w:spacing w:after="0" w:line="240" w:lineRule="auto"/>
        <w:jc w:val="both"/>
        <w:rPr>
          <w:rFonts w:ascii="Arial" w:eastAsia="Calibri" w:hAnsi="Arial" w:cs="Arial"/>
          <w:sz w:val="18"/>
          <w:szCs w:val="18"/>
        </w:rPr>
      </w:pPr>
      <w:r w:rsidRPr="00720A0C">
        <w:rPr>
          <w:rFonts w:ascii="Arial" w:eastAsia="Calibri" w:hAnsi="Arial" w:cs="Arial"/>
          <w:sz w:val="18"/>
          <w:szCs w:val="18"/>
        </w:rPr>
        <w:t>- rashode na temelju prve privremene situacije o obavljenim radovima u iznosu 54.957,34 kn</w:t>
      </w:r>
      <w:r w:rsidR="00CC06CD" w:rsidRPr="00720A0C">
        <w:rPr>
          <w:rFonts w:ascii="Arial" w:eastAsia="Calibri" w:hAnsi="Arial" w:cs="Arial"/>
          <w:sz w:val="18"/>
          <w:szCs w:val="18"/>
        </w:rPr>
        <w:t xml:space="preserve"> / 7.294,09 €</w:t>
      </w:r>
      <w:r w:rsidRPr="00720A0C">
        <w:rPr>
          <w:rFonts w:ascii="Arial" w:eastAsia="Calibri" w:hAnsi="Arial" w:cs="Arial"/>
          <w:sz w:val="18"/>
          <w:szCs w:val="18"/>
        </w:rPr>
        <w:t xml:space="preserve">, </w:t>
      </w:r>
    </w:p>
    <w:p w14:paraId="34A18F51" w14:textId="35AB2EC7" w:rsidR="00B20566" w:rsidRPr="00720A0C" w:rsidRDefault="00B20566" w:rsidP="00B20566">
      <w:pPr>
        <w:spacing w:after="0" w:line="240" w:lineRule="auto"/>
        <w:jc w:val="both"/>
        <w:rPr>
          <w:rFonts w:ascii="Arial" w:eastAsia="Calibri" w:hAnsi="Arial" w:cs="Arial"/>
          <w:sz w:val="18"/>
          <w:szCs w:val="18"/>
        </w:rPr>
      </w:pPr>
      <w:r w:rsidRPr="00720A0C">
        <w:rPr>
          <w:rFonts w:ascii="Arial" w:eastAsia="Calibri" w:hAnsi="Arial" w:cs="Arial"/>
          <w:sz w:val="18"/>
          <w:szCs w:val="18"/>
        </w:rPr>
        <w:t>- te za usluge koordinatora zaštite na radu u iznosu 3.500 kn</w:t>
      </w:r>
      <w:r w:rsidR="00CC06CD" w:rsidRPr="00720A0C">
        <w:rPr>
          <w:rFonts w:ascii="Arial" w:eastAsia="Calibri" w:hAnsi="Arial" w:cs="Arial"/>
          <w:sz w:val="18"/>
          <w:szCs w:val="18"/>
        </w:rPr>
        <w:t xml:space="preserve"> / 464,53 €</w:t>
      </w:r>
      <w:r w:rsidRPr="00720A0C">
        <w:rPr>
          <w:rFonts w:ascii="Arial" w:eastAsia="Calibri" w:hAnsi="Arial" w:cs="Arial"/>
          <w:sz w:val="18"/>
          <w:szCs w:val="18"/>
        </w:rPr>
        <w:t xml:space="preserve">. </w:t>
      </w:r>
    </w:p>
    <w:p w14:paraId="3503E7B9" w14:textId="5FDCF416" w:rsidR="00B20566" w:rsidRPr="00720A0C" w:rsidRDefault="00B20566" w:rsidP="00B20566">
      <w:pPr>
        <w:spacing w:after="0" w:line="240" w:lineRule="auto"/>
        <w:jc w:val="both"/>
        <w:rPr>
          <w:rFonts w:ascii="Arial" w:eastAsia="Calibri" w:hAnsi="Arial" w:cs="Arial"/>
          <w:sz w:val="18"/>
          <w:szCs w:val="18"/>
        </w:rPr>
      </w:pPr>
    </w:p>
    <w:p w14:paraId="71DD811E" w14:textId="3FEC1029"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Početkom kolovoza 2018. je objavljen otvoreni postupak javne nabave za izgradnju kanalizacijskog i vodovodnog sustava Molunat. Procijenjena vrijednost nabave je </w:t>
      </w:r>
      <w:r w:rsidR="00D471AD" w:rsidRPr="00720A0C">
        <w:rPr>
          <w:rFonts w:ascii="Arial" w:eastAsia="Times New Roman" w:hAnsi="Arial" w:cs="Arial"/>
          <w:sz w:val="18"/>
          <w:szCs w:val="18"/>
        </w:rPr>
        <w:t xml:space="preserve">bila </w:t>
      </w:r>
      <w:r w:rsidRPr="00720A0C">
        <w:rPr>
          <w:rFonts w:ascii="Arial" w:eastAsia="Times New Roman" w:hAnsi="Arial" w:cs="Arial"/>
          <w:sz w:val="18"/>
          <w:szCs w:val="18"/>
        </w:rPr>
        <w:t>13.200.000 kn, bez poreza na dodanu vrijednost</w:t>
      </w:r>
      <w:r w:rsidR="00CC06CD" w:rsidRPr="00720A0C">
        <w:rPr>
          <w:rFonts w:ascii="Arial" w:eastAsia="Times New Roman" w:hAnsi="Arial" w:cs="Arial"/>
          <w:sz w:val="18"/>
          <w:szCs w:val="18"/>
        </w:rPr>
        <w:t xml:space="preserve"> / 1.751.941,07 €</w:t>
      </w:r>
      <w:r w:rsidRPr="00720A0C">
        <w:rPr>
          <w:rFonts w:ascii="Arial" w:eastAsia="Times New Roman" w:hAnsi="Arial" w:cs="Arial"/>
          <w:sz w:val="18"/>
          <w:szCs w:val="18"/>
        </w:rPr>
        <w:t xml:space="preserve">. Pretpostavljeno je da se radovi sufinanciraju 80% Hrvatske vode i 20% Općina Konavle. </w:t>
      </w:r>
    </w:p>
    <w:p w14:paraId="59AF3EBA"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330655E4" w14:textId="20691CD4"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b/>
          <w:sz w:val="18"/>
          <w:szCs w:val="18"/>
        </w:rPr>
        <w:t>Ugovor o izvođenju radova na izgradnji cjevovoda za vodoopskrbu i odvodnju u naselju Molunat u i</w:t>
      </w:r>
      <w:r w:rsidRPr="00720A0C">
        <w:rPr>
          <w:rFonts w:ascii="Arial" w:eastAsia="Times New Roman" w:hAnsi="Arial" w:cs="Arial"/>
          <w:sz w:val="18"/>
          <w:szCs w:val="18"/>
        </w:rPr>
        <w:t xml:space="preserve">znosu od </w:t>
      </w:r>
      <w:r w:rsidRPr="00720A0C">
        <w:rPr>
          <w:rFonts w:ascii="Arial" w:eastAsia="Times New Roman" w:hAnsi="Arial" w:cs="Arial"/>
          <w:b/>
          <w:sz w:val="18"/>
          <w:szCs w:val="18"/>
        </w:rPr>
        <w:t>12.198.240,78 kn</w:t>
      </w:r>
      <w:r w:rsidRPr="00720A0C">
        <w:rPr>
          <w:rFonts w:ascii="Arial" w:eastAsia="Times New Roman" w:hAnsi="Arial" w:cs="Arial"/>
          <w:sz w:val="18"/>
          <w:szCs w:val="18"/>
        </w:rPr>
        <w:t xml:space="preserve">, bez poreza na dodanu vrijednost </w:t>
      </w:r>
      <w:r w:rsidR="00CC06CD" w:rsidRPr="00720A0C">
        <w:rPr>
          <w:rFonts w:ascii="Arial" w:eastAsia="Times New Roman" w:hAnsi="Arial" w:cs="Arial"/>
          <w:sz w:val="18"/>
          <w:szCs w:val="18"/>
        </w:rPr>
        <w:t xml:space="preserve">/ 1.618.984,77 €, </w:t>
      </w:r>
      <w:r w:rsidRPr="00720A0C">
        <w:rPr>
          <w:rFonts w:ascii="Arial" w:eastAsia="Times New Roman" w:hAnsi="Arial" w:cs="Arial"/>
          <w:sz w:val="18"/>
          <w:szCs w:val="18"/>
        </w:rPr>
        <w:t xml:space="preserve">zaključen je 24. listopada 2018. </w:t>
      </w:r>
    </w:p>
    <w:p w14:paraId="1519CA06"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1967F284" w14:textId="06B9C9C6"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Dakle, komunalno društvo je u listopadu 2018., na temelju provedenog otvorenog postupka javne nabave i odluke o odabiru najpovoljnije ponude zaključilo ugovor sa izvođačem Dubrovnik ceste d.d. </w:t>
      </w:r>
      <w:bookmarkStart w:id="485" w:name="_Hlk79496678"/>
      <w:r w:rsidRPr="00720A0C">
        <w:rPr>
          <w:rFonts w:ascii="Arial" w:eastAsia="Times New Roman" w:hAnsi="Arial" w:cs="Arial"/>
          <w:sz w:val="18"/>
          <w:szCs w:val="18"/>
        </w:rPr>
        <w:t xml:space="preserve">(nositelj radova izvođenja, a ugovorom je utvrđeno još 5 podizvoditelja za pojedine vrste poslova: Geomodus d.o.o. Dubrovnik, Mani-co d.o.o. Dubrovnik, G.P.P. Mikić d.o.o. Omišalj, Elmap d.o.o. Podstrana, Pomak control d.o.o. Split) u iznosu 12.198.240,78 kn </w:t>
      </w:r>
      <w:r w:rsidR="00CC06CD" w:rsidRPr="00720A0C">
        <w:rPr>
          <w:rFonts w:ascii="Arial" w:eastAsia="Times New Roman" w:hAnsi="Arial" w:cs="Arial"/>
          <w:sz w:val="18"/>
          <w:szCs w:val="18"/>
        </w:rPr>
        <w:t xml:space="preserve">/ 1.618.984,77 € </w:t>
      </w:r>
      <w:r w:rsidRPr="00720A0C">
        <w:rPr>
          <w:rFonts w:ascii="Arial" w:eastAsia="Times New Roman" w:hAnsi="Arial" w:cs="Arial"/>
          <w:sz w:val="18"/>
          <w:szCs w:val="18"/>
        </w:rPr>
        <w:t>što s PDV-om čini 15.247.800,98 kn</w:t>
      </w:r>
      <w:r w:rsidR="00CC06CD" w:rsidRPr="00720A0C">
        <w:rPr>
          <w:rFonts w:ascii="Arial" w:eastAsia="Times New Roman" w:hAnsi="Arial" w:cs="Arial"/>
          <w:sz w:val="18"/>
          <w:szCs w:val="18"/>
        </w:rPr>
        <w:t xml:space="preserve"> / 2.023.730,97 €</w:t>
      </w:r>
      <w:r w:rsidRPr="00720A0C">
        <w:rPr>
          <w:rFonts w:ascii="Arial" w:eastAsia="Times New Roman" w:hAnsi="Arial" w:cs="Arial"/>
          <w:sz w:val="18"/>
          <w:szCs w:val="18"/>
        </w:rPr>
        <w:t>. Ugovorom je utvrđen iznos radova svakog podizvoditelja, s time da najznačajniji udjel radova ima podizvoditelj Mani-co d.o.o. Dubrovnik za 70,3% pripremnih, zemljanih, betonskih, kanalizacijskih, vodovodnih, bravarskih i završnih radova u vrijednosti 8.575.151,52 kn bez PDV-a</w:t>
      </w:r>
      <w:r w:rsidR="00CC06CD" w:rsidRPr="00720A0C">
        <w:rPr>
          <w:rFonts w:ascii="Arial" w:eastAsia="Times New Roman" w:hAnsi="Arial" w:cs="Arial"/>
          <w:sz w:val="18"/>
          <w:szCs w:val="18"/>
        </w:rPr>
        <w:t xml:space="preserve"> / 1.138.118,19 €</w:t>
      </w:r>
      <w:r w:rsidRPr="00720A0C">
        <w:rPr>
          <w:rFonts w:ascii="Arial" w:eastAsia="Times New Roman" w:hAnsi="Arial" w:cs="Arial"/>
          <w:sz w:val="18"/>
          <w:szCs w:val="18"/>
        </w:rPr>
        <w:t>.</w:t>
      </w:r>
    </w:p>
    <w:bookmarkEnd w:id="485"/>
    <w:p w14:paraId="43CF7D7B"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0A0DB51F"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Ugovoreno je izvođenje radova unutar 36 mjeseci,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dvogodišnjem roku od trenutka zapisničke </w:t>
      </w:r>
      <w:r w:rsidRPr="00720A0C">
        <w:rPr>
          <w:rFonts w:ascii="Arial" w:eastAsia="Times New Roman" w:hAnsi="Arial" w:cs="Arial"/>
          <w:sz w:val="18"/>
          <w:szCs w:val="18"/>
        </w:rPr>
        <w:lastRenderedPageBreak/>
        <w:t>primopredaje građevine. Za solidnost sanacije postojećih konstrukcija i solidnost novoizgrađene građevine daje se jamstveni rok 10 godina. Izvođač je obvezan društvu (naručitelju) dostaviti jamstvo za otklanjanje nedostataka u jamstvenom roku na period od dvije godine u obliku bankarske garancije na iznos od 5% ugovorenog iznosa PDV-a. Kazna za svaki dan kašnjenja u izvođenju radove prema detaljnom dinamičkom planu je 5 promila s time da je maksimalni iznos ugovorene kazne 10% ugovorene kazne ne može prijeći 10% ugovorene vrijednosti radova s PDV-om.</w:t>
      </w:r>
    </w:p>
    <w:p w14:paraId="4AEA2D25" w14:textId="32B43B82" w:rsidR="00B20566" w:rsidRPr="00720A0C" w:rsidRDefault="00B20566" w:rsidP="00B20566">
      <w:pPr>
        <w:autoSpaceDE w:val="0"/>
        <w:autoSpaceDN w:val="0"/>
        <w:adjustRightInd w:val="0"/>
        <w:spacing w:after="0" w:line="240" w:lineRule="auto"/>
        <w:jc w:val="both"/>
        <w:rPr>
          <w:rFonts w:ascii="Arial" w:eastAsia="Calibri" w:hAnsi="Arial" w:cs="Arial"/>
          <w:sz w:val="18"/>
          <w:szCs w:val="18"/>
        </w:rPr>
      </w:pPr>
      <w:r w:rsidRPr="00720A0C">
        <w:rPr>
          <w:rFonts w:ascii="Arial" w:eastAsia="Times New Roman" w:hAnsi="Arial" w:cs="Arial"/>
          <w:sz w:val="18"/>
          <w:szCs w:val="18"/>
        </w:rPr>
        <w:t xml:space="preserve">Prema ugovoru od 15. studenoga 2018. </w:t>
      </w:r>
      <w:r w:rsidRPr="00720A0C">
        <w:rPr>
          <w:rFonts w:ascii="Arial" w:eastAsia="Times New Roman" w:hAnsi="Arial" w:cs="Arial"/>
          <w:b/>
          <w:sz w:val="18"/>
          <w:szCs w:val="18"/>
        </w:rPr>
        <w:t>stručni nadzor</w:t>
      </w:r>
      <w:r w:rsidRPr="00720A0C">
        <w:rPr>
          <w:rFonts w:ascii="Arial" w:eastAsia="Times New Roman" w:hAnsi="Arial" w:cs="Arial"/>
          <w:sz w:val="18"/>
          <w:szCs w:val="18"/>
        </w:rPr>
        <w:t xml:space="preserve"> je ured ovlaštenog inženjera građevinarstva Ivana Mucić u iznosu 195.000 kn</w:t>
      </w:r>
      <w:r w:rsidR="00CC06CD" w:rsidRPr="00720A0C">
        <w:rPr>
          <w:rFonts w:ascii="Arial" w:eastAsia="Times New Roman" w:hAnsi="Arial" w:cs="Arial"/>
          <w:sz w:val="18"/>
          <w:szCs w:val="18"/>
        </w:rPr>
        <w:t xml:space="preserve"> / 25.880,95 €</w:t>
      </w:r>
      <w:r w:rsidRPr="00720A0C">
        <w:rPr>
          <w:rFonts w:ascii="Arial" w:eastAsia="Times New Roman" w:hAnsi="Arial" w:cs="Arial"/>
          <w:sz w:val="18"/>
          <w:szCs w:val="18"/>
        </w:rPr>
        <w:t>, bez poreza na dodanu vrijednost (243.750 kn s PDV-om</w:t>
      </w:r>
      <w:r w:rsidR="00CC06CD" w:rsidRPr="00720A0C">
        <w:rPr>
          <w:rFonts w:ascii="Arial" w:eastAsia="Times New Roman" w:hAnsi="Arial" w:cs="Arial"/>
          <w:sz w:val="18"/>
          <w:szCs w:val="18"/>
        </w:rPr>
        <w:t xml:space="preserve"> / 32.351,18 €</w:t>
      </w:r>
      <w:r w:rsidRPr="00720A0C">
        <w:rPr>
          <w:rFonts w:ascii="Arial" w:eastAsia="Times New Roman" w:hAnsi="Arial" w:cs="Arial"/>
          <w:sz w:val="18"/>
          <w:szCs w:val="18"/>
        </w:rPr>
        <w:t xml:space="preserve">). </w:t>
      </w:r>
      <w:r w:rsidRPr="00720A0C">
        <w:rPr>
          <w:rFonts w:ascii="Arial" w:eastAsia="Calibri" w:hAnsi="Arial" w:cs="Arial"/>
          <w:sz w:val="18"/>
          <w:szCs w:val="18"/>
        </w:rPr>
        <w:t xml:space="preserve">Usluge </w:t>
      </w:r>
      <w:r w:rsidRPr="00720A0C">
        <w:rPr>
          <w:rFonts w:ascii="Arial" w:eastAsia="Calibri" w:hAnsi="Arial" w:cs="Arial"/>
          <w:b/>
          <w:sz w:val="18"/>
          <w:szCs w:val="18"/>
        </w:rPr>
        <w:t>koordinatora zaštite na radu</w:t>
      </w:r>
      <w:r w:rsidRPr="00720A0C">
        <w:rPr>
          <w:rFonts w:ascii="Arial" w:eastAsia="Calibri" w:hAnsi="Arial" w:cs="Arial"/>
          <w:sz w:val="18"/>
          <w:szCs w:val="18"/>
        </w:rPr>
        <w:t xml:space="preserve"> su utvrđene u iznosu 3.500 kn, mjesečno, bez PDV-a</w:t>
      </w:r>
      <w:r w:rsidR="00CC06CD" w:rsidRPr="00720A0C">
        <w:rPr>
          <w:rFonts w:ascii="Arial" w:eastAsia="Calibri" w:hAnsi="Arial" w:cs="Arial"/>
          <w:sz w:val="18"/>
          <w:szCs w:val="18"/>
        </w:rPr>
        <w:t xml:space="preserve"> / 464,53 €</w:t>
      </w:r>
      <w:r w:rsidRPr="00720A0C">
        <w:rPr>
          <w:rFonts w:ascii="Arial" w:eastAsia="Calibri" w:hAnsi="Arial" w:cs="Arial"/>
          <w:sz w:val="18"/>
          <w:szCs w:val="18"/>
        </w:rPr>
        <w:t xml:space="preserve">. </w:t>
      </w:r>
    </w:p>
    <w:p w14:paraId="14D2B7D7"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72E36CF3"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Izvoditelj je uveden u posao te su </w:t>
      </w:r>
      <w:r w:rsidRPr="00720A0C">
        <w:rPr>
          <w:rFonts w:ascii="Arial" w:eastAsia="Times New Roman" w:hAnsi="Arial" w:cs="Arial"/>
          <w:b/>
          <w:sz w:val="18"/>
          <w:szCs w:val="18"/>
        </w:rPr>
        <w:t>radovi započeli 5.11.2018.</w:t>
      </w:r>
      <w:r w:rsidRPr="00720A0C">
        <w:rPr>
          <w:rFonts w:ascii="Arial" w:eastAsia="Times New Roman" w:hAnsi="Arial" w:cs="Arial"/>
          <w:sz w:val="18"/>
          <w:szCs w:val="18"/>
        </w:rPr>
        <w:t xml:space="preserve"> što je upisano u građevinski dnevnik.</w:t>
      </w:r>
    </w:p>
    <w:p w14:paraId="19D788D0"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7CA841A4" w14:textId="6458B33A"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Izvoditelj je koncem studenoga 2018. ispostavio </w:t>
      </w:r>
      <w:r w:rsidRPr="00720A0C">
        <w:rPr>
          <w:rFonts w:ascii="Arial" w:eastAsia="Times New Roman" w:hAnsi="Arial" w:cs="Arial"/>
          <w:b/>
          <w:sz w:val="18"/>
          <w:szCs w:val="18"/>
        </w:rPr>
        <w:t>prvu</w:t>
      </w:r>
      <w:r w:rsidRPr="00720A0C">
        <w:rPr>
          <w:rFonts w:ascii="Arial" w:eastAsia="Times New Roman" w:hAnsi="Arial" w:cs="Arial"/>
          <w:sz w:val="18"/>
          <w:szCs w:val="18"/>
        </w:rPr>
        <w:t xml:space="preserve"> privremenu situaciju u iznosu 250.945,74 kn, bez poreza na dodanu vrijednost</w:t>
      </w:r>
      <w:r w:rsidR="00CC06CD" w:rsidRPr="00720A0C">
        <w:rPr>
          <w:rFonts w:ascii="Arial" w:eastAsia="Times New Roman" w:hAnsi="Arial" w:cs="Arial"/>
          <w:sz w:val="18"/>
          <w:szCs w:val="18"/>
        </w:rPr>
        <w:t xml:space="preserve"> / 33.306,22 €</w:t>
      </w:r>
      <w:r w:rsidRPr="00720A0C">
        <w:rPr>
          <w:rFonts w:ascii="Arial" w:eastAsia="Times New Roman" w:hAnsi="Arial" w:cs="Arial"/>
          <w:sz w:val="18"/>
          <w:szCs w:val="18"/>
        </w:rPr>
        <w:t>. Za obavljanje stručnog nadzora nad izvođenjem radova ispostavljen je račun u iznosu 4.011,60 kn</w:t>
      </w:r>
      <w:r w:rsidR="00CC06CD" w:rsidRPr="00720A0C">
        <w:rPr>
          <w:rFonts w:ascii="Arial" w:eastAsia="Times New Roman" w:hAnsi="Arial" w:cs="Arial"/>
          <w:sz w:val="18"/>
          <w:szCs w:val="18"/>
        </w:rPr>
        <w:t xml:space="preserve"> / 532,43 €</w:t>
      </w:r>
      <w:r w:rsidRPr="00720A0C">
        <w:rPr>
          <w:rFonts w:ascii="Arial" w:eastAsia="Times New Roman" w:hAnsi="Arial" w:cs="Arial"/>
          <w:sz w:val="18"/>
          <w:szCs w:val="18"/>
        </w:rPr>
        <w:t>, bez poreza na dodanu vrijednost. Na temelju ovjerene prve privremene situacije o izvedenim radovima i računa za nadzor, zahtjeva za odobrenje sredstava i odluke općinskog načelnika, Općina je društvu u prosincu 2018. doznačila sredstva u iznosu 54.957,34 kn</w:t>
      </w:r>
      <w:r w:rsidR="00CC06CD" w:rsidRPr="00720A0C">
        <w:rPr>
          <w:rFonts w:ascii="Arial" w:eastAsia="Times New Roman" w:hAnsi="Arial" w:cs="Arial"/>
          <w:sz w:val="18"/>
          <w:szCs w:val="18"/>
        </w:rPr>
        <w:t xml:space="preserve"> / 7.294,09 €</w:t>
      </w:r>
      <w:r w:rsidRPr="00720A0C">
        <w:rPr>
          <w:rFonts w:ascii="Arial" w:eastAsia="Times New Roman" w:hAnsi="Arial" w:cs="Arial"/>
          <w:sz w:val="18"/>
          <w:szCs w:val="18"/>
        </w:rPr>
        <w:t>, odnosno u visini 20% izvedenih radova i izvršenih usluga. Preostala sredstva za izvedene radove (80%) komunalno društvo je potraživalo od Hrvatskih voda sukladno zaključenim ugovorima o sufinanciranju. Sredstva u iznosu 200.000 kn</w:t>
      </w:r>
      <w:r w:rsidR="00CC06CD" w:rsidRPr="00720A0C">
        <w:rPr>
          <w:rFonts w:ascii="Arial" w:eastAsia="Times New Roman" w:hAnsi="Arial" w:cs="Arial"/>
          <w:sz w:val="18"/>
          <w:szCs w:val="18"/>
        </w:rPr>
        <w:t xml:space="preserve"> / 26.544,56 €</w:t>
      </w:r>
      <w:r w:rsidRPr="00720A0C">
        <w:rPr>
          <w:rFonts w:ascii="Arial" w:eastAsia="Times New Roman" w:hAnsi="Arial" w:cs="Arial"/>
          <w:sz w:val="18"/>
          <w:szCs w:val="18"/>
        </w:rPr>
        <w:t xml:space="preserve"> Hrvatske vode su doznačile za radove na kanalizaciji u prosincu 2018. (na temelju ugovora o sufinanciranju od 24.10.2018. u ukupnom iznosu 250.000 kn </w:t>
      </w:r>
      <w:r w:rsidR="00CC06CD" w:rsidRPr="00720A0C">
        <w:rPr>
          <w:rFonts w:ascii="Arial" w:eastAsia="Times New Roman" w:hAnsi="Arial" w:cs="Arial"/>
          <w:sz w:val="18"/>
          <w:szCs w:val="18"/>
        </w:rPr>
        <w:t xml:space="preserve">/ 33.180,70 € </w:t>
      </w:r>
      <w:r w:rsidRPr="00720A0C">
        <w:rPr>
          <w:rFonts w:ascii="Arial" w:eastAsia="Times New Roman" w:hAnsi="Arial" w:cs="Arial"/>
          <w:sz w:val="18"/>
          <w:szCs w:val="18"/>
        </w:rPr>
        <w:t>od čega je obveza Hrvatskih voda 200.000 kn</w:t>
      </w:r>
      <w:r w:rsidR="00CC06CD" w:rsidRPr="00720A0C">
        <w:rPr>
          <w:rFonts w:ascii="Arial" w:eastAsia="Times New Roman" w:hAnsi="Arial" w:cs="Arial"/>
          <w:sz w:val="18"/>
          <w:szCs w:val="18"/>
        </w:rPr>
        <w:t xml:space="preserve"> / 26.544,56 €</w:t>
      </w:r>
      <w:r w:rsidRPr="00720A0C">
        <w:rPr>
          <w:rFonts w:ascii="Arial" w:eastAsia="Times New Roman" w:hAnsi="Arial" w:cs="Arial"/>
          <w:sz w:val="18"/>
          <w:szCs w:val="18"/>
        </w:rPr>
        <w:t>).</w:t>
      </w:r>
    </w:p>
    <w:p w14:paraId="5DEB259D"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6FDB9513" w14:textId="434E704B"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U 2019. društvu u vlasništvu Općine su </w:t>
      </w:r>
      <w:r w:rsidRPr="00720A0C">
        <w:rPr>
          <w:rFonts w:ascii="Arial" w:eastAsia="Times New Roman" w:hAnsi="Arial" w:cs="Arial"/>
          <w:b/>
          <w:sz w:val="18"/>
          <w:szCs w:val="18"/>
        </w:rPr>
        <w:t>doznačena</w:t>
      </w:r>
      <w:r w:rsidRPr="00720A0C">
        <w:rPr>
          <w:rFonts w:ascii="Arial" w:eastAsia="Times New Roman" w:hAnsi="Arial" w:cs="Arial"/>
          <w:sz w:val="18"/>
          <w:szCs w:val="18"/>
        </w:rPr>
        <w:t xml:space="preserve"> sredstva u iznosu 396.640,81 kn </w:t>
      </w:r>
      <w:r w:rsidR="00EF57EA" w:rsidRPr="00720A0C">
        <w:rPr>
          <w:rFonts w:ascii="Arial" w:eastAsia="Times New Roman" w:hAnsi="Arial" w:cs="Arial"/>
          <w:sz w:val="18"/>
          <w:szCs w:val="18"/>
        </w:rPr>
        <w:t xml:space="preserve">/ 52.643,28 € </w:t>
      </w:r>
      <w:r w:rsidRPr="00720A0C">
        <w:rPr>
          <w:rFonts w:ascii="Arial" w:eastAsia="Times New Roman" w:hAnsi="Arial" w:cs="Arial"/>
          <w:sz w:val="18"/>
          <w:szCs w:val="18"/>
        </w:rPr>
        <w:t>koja se odnose na sredstva za radove na kanalizaciji 180.347,98 kn</w:t>
      </w:r>
      <w:r w:rsidR="00EF57EA" w:rsidRPr="00720A0C">
        <w:rPr>
          <w:rFonts w:ascii="Arial" w:eastAsia="Times New Roman" w:hAnsi="Arial" w:cs="Arial"/>
          <w:sz w:val="18"/>
          <w:szCs w:val="18"/>
        </w:rPr>
        <w:t xml:space="preserve"> / 23.936,29 €</w:t>
      </w:r>
      <w:r w:rsidRPr="00720A0C">
        <w:rPr>
          <w:rFonts w:ascii="Arial" w:eastAsia="Times New Roman" w:hAnsi="Arial" w:cs="Arial"/>
          <w:sz w:val="18"/>
          <w:szCs w:val="18"/>
        </w:rPr>
        <w:t xml:space="preserve"> i radove na vodovodu u iznosu 216.292,83 kn </w:t>
      </w:r>
      <w:r w:rsidR="00EF57EA" w:rsidRPr="00720A0C">
        <w:rPr>
          <w:rFonts w:ascii="Arial" w:eastAsia="Times New Roman" w:hAnsi="Arial" w:cs="Arial"/>
          <w:sz w:val="18"/>
          <w:szCs w:val="18"/>
        </w:rPr>
        <w:t xml:space="preserve">/ 28.706,99 € </w:t>
      </w:r>
      <w:r w:rsidRPr="00720A0C">
        <w:rPr>
          <w:rFonts w:ascii="Arial" w:eastAsia="Times New Roman" w:hAnsi="Arial" w:cs="Arial"/>
          <w:sz w:val="18"/>
          <w:szCs w:val="18"/>
        </w:rPr>
        <w:t>(udio izvedenih radova na temelju druge, treće i četvrte privremene situacije koje su iznosile 1.934.774,83 kn</w:t>
      </w:r>
      <w:r w:rsidR="00EF57EA" w:rsidRPr="00720A0C">
        <w:rPr>
          <w:rFonts w:ascii="Arial" w:eastAsia="Times New Roman" w:hAnsi="Arial" w:cs="Arial"/>
          <w:sz w:val="18"/>
          <w:szCs w:val="18"/>
        </w:rPr>
        <w:t xml:space="preserve"> / 256.788,75 €</w:t>
      </w:r>
      <w:r w:rsidRPr="00720A0C">
        <w:rPr>
          <w:rFonts w:ascii="Arial" w:eastAsia="Times New Roman" w:hAnsi="Arial" w:cs="Arial"/>
          <w:sz w:val="18"/>
          <w:szCs w:val="18"/>
        </w:rPr>
        <w:t>)</w:t>
      </w:r>
      <w:r w:rsidR="00EF57EA" w:rsidRPr="00720A0C">
        <w:rPr>
          <w:rFonts w:ascii="Arial" w:eastAsia="Times New Roman" w:hAnsi="Arial" w:cs="Arial"/>
          <w:sz w:val="18"/>
          <w:szCs w:val="18"/>
        </w:rPr>
        <w:t>.</w:t>
      </w:r>
      <w:r w:rsidRPr="00720A0C">
        <w:rPr>
          <w:rFonts w:ascii="Arial" w:eastAsia="Times New Roman" w:hAnsi="Arial" w:cs="Arial"/>
          <w:sz w:val="18"/>
          <w:szCs w:val="18"/>
        </w:rPr>
        <w:t xml:space="preserve"> U okviru radova na kanalizaciji uključeni su rashodi za usluge zaštite na radu u iznosu 3.500 kn </w:t>
      </w:r>
      <w:r w:rsidR="00EF57EA" w:rsidRPr="00720A0C">
        <w:rPr>
          <w:rFonts w:ascii="Arial" w:eastAsia="Times New Roman" w:hAnsi="Arial" w:cs="Arial"/>
          <w:sz w:val="18"/>
          <w:szCs w:val="18"/>
        </w:rPr>
        <w:t xml:space="preserve">/ 464,53 € </w:t>
      </w:r>
      <w:r w:rsidRPr="00720A0C">
        <w:rPr>
          <w:rFonts w:ascii="Arial" w:eastAsia="Times New Roman" w:hAnsi="Arial" w:cs="Arial"/>
          <w:sz w:val="18"/>
          <w:szCs w:val="18"/>
        </w:rPr>
        <w:t xml:space="preserve">i usluge nadzora 6.185,83 kn </w:t>
      </w:r>
      <w:r w:rsidR="00EF57EA" w:rsidRPr="00720A0C">
        <w:rPr>
          <w:rFonts w:ascii="Arial" w:eastAsia="Times New Roman" w:hAnsi="Arial" w:cs="Arial"/>
          <w:sz w:val="18"/>
          <w:szCs w:val="18"/>
        </w:rPr>
        <w:t xml:space="preserve">/ 821,00 € </w:t>
      </w:r>
      <w:r w:rsidRPr="00720A0C">
        <w:rPr>
          <w:rFonts w:ascii="Arial" w:eastAsia="Times New Roman" w:hAnsi="Arial" w:cs="Arial"/>
          <w:sz w:val="18"/>
          <w:szCs w:val="18"/>
        </w:rPr>
        <w:t>(udio Općine u uslugama nadzora koje ukupno u 2019. iznose 30.929,14 kn</w:t>
      </w:r>
      <w:r w:rsidR="00EF57EA" w:rsidRPr="00720A0C">
        <w:rPr>
          <w:rFonts w:ascii="Arial" w:eastAsia="Times New Roman" w:hAnsi="Arial" w:cs="Arial"/>
          <w:sz w:val="18"/>
          <w:szCs w:val="18"/>
        </w:rPr>
        <w:t xml:space="preserve"> / 4.105,00 €)</w:t>
      </w:r>
      <w:r w:rsidRPr="00720A0C">
        <w:rPr>
          <w:rFonts w:ascii="Arial" w:eastAsia="Times New Roman" w:hAnsi="Arial" w:cs="Arial"/>
          <w:sz w:val="18"/>
          <w:szCs w:val="18"/>
        </w:rPr>
        <w:t xml:space="preserve">. </w:t>
      </w:r>
    </w:p>
    <w:p w14:paraId="55F2E067"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6197BBD6" w14:textId="3159C50F"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Sveukupno izvedeni radovi, na temelju četiri ispostavljene privremene situacije iznose 2.185.720,58 kn</w:t>
      </w:r>
      <w:r w:rsidR="00EF57EA" w:rsidRPr="00720A0C">
        <w:rPr>
          <w:rFonts w:ascii="Arial" w:eastAsia="Times New Roman" w:hAnsi="Arial" w:cs="Arial"/>
          <w:sz w:val="18"/>
          <w:szCs w:val="18"/>
        </w:rPr>
        <w:t xml:space="preserve"> / 290.094,97 €</w:t>
      </w:r>
      <w:r w:rsidRPr="00720A0C">
        <w:rPr>
          <w:rFonts w:ascii="Arial" w:eastAsia="Times New Roman" w:hAnsi="Arial" w:cs="Arial"/>
          <w:sz w:val="18"/>
          <w:szCs w:val="18"/>
        </w:rPr>
        <w:t>, bez PDV-a (odnosno 2.732.150,73 kn s PDV-om</w:t>
      </w:r>
      <w:r w:rsidR="00EF57EA" w:rsidRPr="00720A0C">
        <w:rPr>
          <w:rFonts w:ascii="Arial" w:eastAsia="Times New Roman" w:hAnsi="Arial" w:cs="Arial"/>
          <w:sz w:val="18"/>
          <w:szCs w:val="18"/>
        </w:rPr>
        <w:t xml:space="preserve"> / 362.618,72 €</w:t>
      </w:r>
      <w:r w:rsidRPr="00720A0C">
        <w:rPr>
          <w:rFonts w:ascii="Arial" w:eastAsia="Times New Roman" w:hAnsi="Arial" w:cs="Arial"/>
          <w:sz w:val="18"/>
          <w:szCs w:val="18"/>
        </w:rPr>
        <w:t xml:space="preserve">), radovi </w:t>
      </w:r>
      <w:r w:rsidRPr="00720A0C">
        <w:rPr>
          <w:rFonts w:ascii="Arial" w:eastAsia="Times New Roman" w:hAnsi="Arial" w:cs="Arial"/>
          <w:b/>
          <w:sz w:val="18"/>
          <w:szCs w:val="18"/>
        </w:rPr>
        <w:t>izvedeni do 30.6.2019.</w:t>
      </w:r>
    </w:p>
    <w:p w14:paraId="150DFA94"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5452C094" w14:textId="43319C3E"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Komunalno društvo je 7.2.2019. zaključilo s Hrvatskim vodama ugovor u vrijednosti 1.875.000 kn </w:t>
      </w:r>
      <w:r w:rsidR="00EF57EA" w:rsidRPr="00720A0C">
        <w:rPr>
          <w:rFonts w:ascii="Arial" w:eastAsia="Times New Roman" w:hAnsi="Arial" w:cs="Arial"/>
          <w:sz w:val="18"/>
          <w:szCs w:val="18"/>
        </w:rPr>
        <w:t xml:space="preserve">/ 248.855,27 € </w:t>
      </w:r>
      <w:r w:rsidRPr="00720A0C">
        <w:rPr>
          <w:rFonts w:ascii="Arial" w:eastAsia="Times New Roman" w:hAnsi="Arial" w:cs="Arial"/>
          <w:sz w:val="18"/>
          <w:szCs w:val="18"/>
        </w:rPr>
        <w:t xml:space="preserve">kojim su se Hrvatske vode obvezale sufinancirati 1.500.000 kn </w:t>
      </w:r>
      <w:r w:rsidR="00EF57EA" w:rsidRPr="00720A0C">
        <w:rPr>
          <w:rFonts w:ascii="Arial" w:eastAsia="Times New Roman" w:hAnsi="Arial" w:cs="Arial"/>
          <w:sz w:val="18"/>
          <w:szCs w:val="18"/>
        </w:rPr>
        <w:t xml:space="preserve">/ 199.084,21 € </w:t>
      </w:r>
      <w:r w:rsidRPr="00720A0C">
        <w:rPr>
          <w:rFonts w:ascii="Arial" w:eastAsia="Times New Roman" w:hAnsi="Arial" w:cs="Arial"/>
          <w:sz w:val="18"/>
          <w:szCs w:val="18"/>
        </w:rPr>
        <w:t>radove izgradnje vodnih građevina na području aglomeracije Molunat (i dodatak 10.12.2019. prema kojem se može sufinancirati projektna dokumentacija). Također, prema ugovoru od 22.2.2019. u vrijednosti 1.000.000 kn</w:t>
      </w:r>
      <w:r w:rsidR="00EF57EA" w:rsidRPr="00720A0C">
        <w:rPr>
          <w:rFonts w:ascii="Arial" w:eastAsia="Times New Roman" w:hAnsi="Arial" w:cs="Arial"/>
          <w:sz w:val="18"/>
          <w:szCs w:val="18"/>
        </w:rPr>
        <w:t xml:space="preserve"> / 132.722,81 €</w:t>
      </w:r>
      <w:r w:rsidRPr="00720A0C">
        <w:rPr>
          <w:rFonts w:ascii="Arial" w:eastAsia="Times New Roman" w:hAnsi="Arial" w:cs="Arial"/>
          <w:sz w:val="18"/>
          <w:szCs w:val="18"/>
        </w:rPr>
        <w:t>, Hrvatske vode su se obvezale sufinancirati radove izgradnje vodnih građevina u iznosu 800.000 kn</w:t>
      </w:r>
      <w:r w:rsidR="00EF57EA" w:rsidRPr="00720A0C">
        <w:rPr>
          <w:rFonts w:ascii="Arial" w:eastAsia="Times New Roman" w:hAnsi="Arial" w:cs="Arial"/>
          <w:sz w:val="18"/>
          <w:szCs w:val="18"/>
        </w:rPr>
        <w:t xml:space="preserve"> / 106.178,25 €</w:t>
      </w:r>
      <w:r w:rsidRPr="00720A0C">
        <w:rPr>
          <w:rFonts w:ascii="Arial" w:eastAsia="Times New Roman" w:hAnsi="Arial" w:cs="Arial"/>
          <w:sz w:val="18"/>
          <w:szCs w:val="18"/>
        </w:rPr>
        <w:t>.</w:t>
      </w:r>
    </w:p>
    <w:p w14:paraId="05B2CC2E"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374FAF18" w14:textId="323AAF93"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Izvoditelj je za radove do konca 2019. godine </w:t>
      </w:r>
      <w:r w:rsidRPr="00720A0C">
        <w:rPr>
          <w:rFonts w:ascii="Arial" w:eastAsia="Times New Roman" w:hAnsi="Arial" w:cs="Arial"/>
          <w:b/>
          <w:sz w:val="18"/>
          <w:szCs w:val="18"/>
        </w:rPr>
        <w:t>ispostavio komunalnom društvu</w:t>
      </w:r>
      <w:r w:rsidRPr="00720A0C">
        <w:rPr>
          <w:rFonts w:ascii="Arial" w:eastAsia="Times New Roman" w:hAnsi="Arial" w:cs="Arial"/>
          <w:sz w:val="18"/>
          <w:szCs w:val="18"/>
        </w:rPr>
        <w:t xml:space="preserve"> zaključno sedam privremenih situacija (od druge do sedme, tj. pored onih koje je Općina sufinancirala još petu, šestu i sedmu po kojima komunalnom društvu nisu u 2019. doznačavana sredstva). Dakle </w:t>
      </w:r>
      <w:r w:rsidRPr="00720A0C">
        <w:rPr>
          <w:rFonts w:ascii="Arial" w:eastAsia="Times New Roman" w:hAnsi="Arial" w:cs="Arial"/>
          <w:b/>
          <w:sz w:val="18"/>
          <w:szCs w:val="18"/>
        </w:rPr>
        <w:t>u 2019. godini ispostavljene su privremene situacije</w:t>
      </w:r>
      <w:r w:rsidRPr="00720A0C">
        <w:rPr>
          <w:rFonts w:ascii="Arial" w:eastAsia="Times New Roman" w:hAnsi="Arial" w:cs="Arial"/>
          <w:sz w:val="18"/>
          <w:szCs w:val="18"/>
        </w:rPr>
        <w:t xml:space="preserve"> po kojima su radovi izvedeni u vrijednosti 3.128.301,50 kn bez PDV-a</w:t>
      </w:r>
      <w:r w:rsidR="00776939" w:rsidRPr="00720A0C">
        <w:rPr>
          <w:rFonts w:ascii="Arial" w:eastAsia="Times New Roman" w:hAnsi="Arial" w:cs="Arial"/>
          <w:sz w:val="18"/>
          <w:szCs w:val="18"/>
        </w:rPr>
        <w:t xml:space="preserve"> / 415.196,96 €</w:t>
      </w:r>
      <w:r w:rsidRPr="00720A0C">
        <w:rPr>
          <w:rFonts w:ascii="Arial" w:eastAsia="Times New Roman" w:hAnsi="Arial" w:cs="Arial"/>
          <w:sz w:val="18"/>
          <w:szCs w:val="18"/>
        </w:rPr>
        <w:t xml:space="preserve">. </w:t>
      </w:r>
      <w:r w:rsidRPr="00720A0C">
        <w:rPr>
          <w:rFonts w:ascii="Arial" w:eastAsia="Times New Roman" w:hAnsi="Arial" w:cs="Arial"/>
          <w:b/>
          <w:sz w:val="18"/>
          <w:szCs w:val="18"/>
        </w:rPr>
        <w:t xml:space="preserve">Sveukupno su izvedeni radovi do konca 2019. u vrijednosti 3.379.247,25 kn bez PDV-a </w:t>
      </w:r>
      <w:r w:rsidR="00776939" w:rsidRPr="00720A0C">
        <w:rPr>
          <w:rFonts w:ascii="Arial" w:eastAsia="Times New Roman" w:hAnsi="Arial" w:cs="Arial"/>
          <w:b/>
          <w:sz w:val="18"/>
          <w:szCs w:val="18"/>
        </w:rPr>
        <w:t xml:space="preserve">/ 448.503,19 € </w:t>
      </w:r>
      <w:r w:rsidRPr="00720A0C">
        <w:rPr>
          <w:rFonts w:ascii="Arial" w:eastAsia="Times New Roman" w:hAnsi="Arial" w:cs="Arial"/>
          <w:sz w:val="18"/>
          <w:szCs w:val="18"/>
        </w:rPr>
        <w:t>(odnosno 4.224.059,06 kn s PDV-om</w:t>
      </w:r>
      <w:r w:rsidR="00776939" w:rsidRPr="00720A0C">
        <w:rPr>
          <w:rFonts w:ascii="Arial" w:eastAsia="Times New Roman" w:hAnsi="Arial" w:cs="Arial"/>
          <w:sz w:val="18"/>
          <w:szCs w:val="18"/>
        </w:rPr>
        <w:t xml:space="preserve"> / 560.628,98 €</w:t>
      </w:r>
      <w:r w:rsidRPr="00720A0C">
        <w:rPr>
          <w:rFonts w:ascii="Arial" w:eastAsia="Times New Roman" w:hAnsi="Arial" w:cs="Arial"/>
          <w:sz w:val="18"/>
          <w:szCs w:val="18"/>
        </w:rPr>
        <w:t>). Od izvedenih radova, prema izvješću nadzornog inženjera, na radove izgradnje vodovoda se odnosi 1.386.266,44 kn</w:t>
      </w:r>
      <w:r w:rsidR="00776939" w:rsidRPr="00720A0C">
        <w:rPr>
          <w:rFonts w:ascii="Arial" w:eastAsia="Times New Roman" w:hAnsi="Arial" w:cs="Arial"/>
          <w:sz w:val="18"/>
          <w:szCs w:val="18"/>
        </w:rPr>
        <w:t xml:space="preserve"> / 183.989,18 €</w:t>
      </w:r>
      <w:r w:rsidRPr="00720A0C">
        <w:rPr>
          <w:rFonts w:ascii="Arial" w:eastAsia="Times New Roman" w:hAnsi="Arial" w:cs="Arial"/>
          <w:sz w:val="18"/>
          <w:szCs w:val="18"/>
        </w:rPr>
        <w:t>, a na kanalizaciju 1.992.980,80 kn bez PDV-a</w:t>
      </w:r>
      <w:r w:rsidR="00776939" w:rsidRPr="00720A0C">
        <w:rPr>
          <w:rFonts w:ascii="Arial" w:eastAsia="Times New Roman" w:hAnsi="Arial" w:cs="Arial"/>
          <w:sz w:val="18"/>
          <w:szCs w:val="18"/>
        </w:rPr>
        <w:t xml:space="preserve"> / 264.514,01 €</w:t>
      </w:r>
      <w:r w:rsidRPr="00720A0C">
        <w:rPr>
          <w:rFonts w:ascii="Arial" w:eastAsia="Times New Roman" w:hAnsi="Arial" w:cs="Arial"/>
          <w:sz w:val="18"/>
          <w:szCs w:val="18"/>
        </w:rPr>
        <w:t>.</w:t>
      </w:r>
    </w:p>
    <w:p w14:paraId="06FCEFE8"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308C55FF" w14:textId="3DD8BD4C"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Prema podacima društva u vlasništvu, Hrvatske vode su u 2019. godine doznačile društvu preostala sredstva za sufinanciranje investicije 2.292.504,08 kn </w:t>
      </w:r>
      <w:r w:rsidR="00776939" w:rsidRPr="00720A0C">
        <w:rPr>
          <w:rFonts w:ascii="Arial" w:eastAsia="Times New Roman" w:hAnsi="Arial" w:cs="Arial"/>
          <w:sz w:val="18"/>
          <w:szCs w:val="18"/>
        </w:rPr>
        <w:t xml:space="preserve">/ 304.267,58 € </w:t>
      </w:r>
      <w:r w:rsidRPr="00720A0C">
        <w:rPr>
          <w:rFonts w:ascii="Arial" w:eastAsia="Times New Roman" w:hAnsi="Arial" w:cs="Arial"/>
          <w:sz w:val="18"/>
          <w:szCs w:val="18"/>
        </w:rPr>
        <w:t>(od čega za kanalizaciju 1.492.504,08 kn</w:t>
      </w:r>
      <w:r w:rsidR="00776939" w:rsidRPr="00720A0C">
        <w:rPr>
          <w:rFonts w:ascii="Arial" w:eastAsia="Times New Roman" w:hAnsi="Arial" w:cs="Arial"/>
          <w:sz w:val="18"/>
          <w:szCs w:val="18"/>
        </w:rPr>
        <w:t xml:space="preserve"> / 198.089,33 €</w:t>
      </w:r>
      <w:r w:rsidRPr="00720A0C">
        <w:rPr>
          <w:rFonts w:ascii="Arial" w:eastAsia="Times New Roman" w:hAnsi="Arial" w:cs="Arial"/>
          <w:sz w:val="18"/>
          <w:szCs w:val="18"/>
        </w:rPr>
        <w:t>, a za vodovod 800.000 kn</w:t>
      </w:r>
      <w:r w:rsidR="00776939" w:rsidRPr="00720A0C">
        <w:rPr>
          <w:rFonts w:ascii="Arial" w:eastAsia="Times New Roman" w:hAnsi="Arial" w:cs="Arial"/>
          <w:sz w:val="18"/>
          <w:szCs w:val="18"/>
        </w:rPr>
        <w:t xml:space="preserve"> / 106.178,25 €</w:t>
      </w:r>
      <w:r w:rsidRPr="00720A0C">
        <w:rPr>
          <w:rFonts w:ascii="Arial" w:eastAsia="Times New Roman" w:hAnsi="Arial" w:cs="Arial"/>
          <w:sz w:val="18"/>
          <w:szCs w:val="18"/>
        </w:rPr>
        <w:t>).</w:t>
      </w:r>
    </w:p>
    <w:p w14:paraId="12CBF2C1"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352C84CB" w14:textId="77777777" w:rsidR="00B20566" w:rsidRPr="00720A0C" w:rsidRDefault="00B20566" w:rsidP="00B20566">
      <w:pPr>
        <w:autoSpaceDE w:val="0"/>
        <w:autoSpaceDN w:val="0"/>
        <w:adjustRightInd w:val="0"/>
        <w:spacing w:after="0" w:line="240" w:lineRule="auto"/>
        <w:jc w:val="both"/>
        <w:rPr>
          <w:rFonts w:ascii="Arial" w:eastAsia="Times New Roman" w:hAnsi="Arial" w:cs="Arial"/>
          <w:b/>
          <w:sz w:val="18"/>
          <w:szCs w:val="18"/>
        </w:rPr>
      </w:pPr>
      <w:r w:rsidRPr="00720A0C">
        <w:rPr>
          <w:rFonts w:ascii="Arial" w:eastAsia="Times New Roman" w:hAnsi="Arial" w:cs="Arial"/>
          <w:sz w:val="18"/>
          <w:szCs w:val="18"/>
        </w:rPr>
        <w:t xml:space="preserve">Postotak izvedenih radova (u odnosu na radove utvrđene osnovnim ugovorom) koncem 2019. godine iznose </w:t>
      </w:r>
      <w:r w:rsidRPr="00720A0C">
        <w:rPr>
          <w:rFonts w:ascii="Arial" w:eastAsia="Times New Roman" w:hAnsi="Arial" w:cs="Arial"/>
          <w:b/>
          <w:sz w:val="18"/>
          <w:szCs w:val="18"/>
        </w:rPr>
        <w:t>27,7%.</w:t>
      </w:r>
    </w:p>
    <w:p w14:paraId="07EF3FCF"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006F966F" w14:textId="7DF4BB8F"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Pored navedenih radova, komunalno društvo je ugovorilo te su izvedene usluge izrade glavnog projekta za UPOV i podmorski ispust sustava odvodnje otpadnih voda naselja Molunat (HIDROPROJEKT ING, ugovor od 20.3.2019. u iznosu 198.000 kn, bez PDV-a</w:t>
      </w:r>
      <w:r w:rsidR="00776939" w:rsidRPr="00720A0C">
        <w:rPr>
          <w:rFonts w:ascii="Arial" w:eastAsia="Times New Roman" w:hAnsi="Arial" w:cs="Arial"/>
          <w:sz w:val="18"/>
          <w:szCs w:val="18"/>
        </w:rPr>
        <w:t xml:space="preserve"> / 26.279,12 €</w:t>
      </w:r>
      <w:r w:rsidRPr="00720A0C">
        <w:rPr>
          <w:rFonts w:ascii="Arial" w:eastAsia="Times New Roman" w:hAnsi="Arial" w:cs="Arial"/>
          <w:sz w:val="18"/>
          <w:szCs w:val="18"/>
        </w:rPr>
        <w:t>). Hrvatske vode su također sufinancirale izradu projekta.</w:t>
      </w:r>
    </w:p>
    <w:p w14:paraId="53EAD692"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73368C5C" w14:textId="47E223CE"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Izvoditelj je za radove do konca 2020. godine </w:t>
      </w:r>
      <w:r w:rsidRPr="00720A0C">
        <w:rPr>
          <w:rFonts w:ascii="Arial" w:eastAsia="Times New Roman" w:hAnsi="Arial" w:cs="Arial"/>
          <w:b/>
          <w:sz w:val="18"/>
          <w:szCs w:val="18"/>
        </w:rPr>
        <w:t>ispostavio komunalnom društvu</w:t>
      </w:r>
      <w:r w:rsidRPr="00720A0C">
        <w:rPr>
          <w:rFonts w:ascii="Arial" w:eastAsia="Times New Roman" w:hAnsi="Arial" w:cs="Arial"/>
          <w:sz w:val="18"/>
          <w:szCs w:val="18"/>
        </w:rPr>
        <w:t xml:space="preserve"> zaključno 14 privremenih situacija (od osme do četrnaeste, Općina nije sufinancirala situacije niti u 2020. doznačavala sredstva društvu). Dakle </w:t>
      </w:r>
      <w:r w:rsidRPr="00720A0C">
        <w:rPr>
          <w:rFonts w:ascii="Arial" w:eastAsia="Times New Roman" w:hAnsi="Arial" w:cs="Arial"/>
          <w:b/>
          <w:sz w:val="18"/>
          <w:szCs w:val="18"/>
        </w:rPr>
        <w:t>u 2020. godini ispostavljene su privremene situacije</w:t>
      </w:r>
      <w:r w:rsidRPr="00720A0C">
        <w:rPr>
          <w:rFonts w:ascii="Arial" w:eastAsia="Times New Roman" w:hAnsi="Arial" w:cs="Arial"/>
          <w:sz w:val="18"/>
          <w:szCs w:val="18"/>
        </w:rPr>
        <w:t xml:space="preserve"> po kojima su radovi izvedeni u vrijednosti 2.910.569,44 kn bez PDV-a</w:t>
      </w:r>
      <w:r w:rsidR="00776939" w:rsidRPr="00720A0C">
        <w:rPr>
          <w:rFonts w:ascii="Arial" w:eastAsia="Times New Roman" w:hAnsi="Arial" w:cs="Arial"/>
          <w:sz w:val="18"/>
          <w:szCs w:val="18"/>
        </w:rPr>
        <w:t xml:space="preserve"> / 386.298,95 €</w:t>
      </w:r>
      <w:r w:rsidRPr="00720A0C">
        <w:rPr>
          <w:rFonts w:ascii="Arial" w:eastAsia="Times New Roman" w:hAnsi="Arial" w:cs="Arial"/>
          <w:sz w:val="18"/>
          <w:szCs w:val="18"/>
        </w:rPr>
        <w:t xml:space="preserve">. Dakle, </w:t>
      </w:r>
      <w:r w:rsidRPr="00720A0C">
        <w:rPr>
          <w:rFonts w:ascii="Arial" w:eastAsia="Times New Roman" w:hAnsi="Arial" w:cs="Arial"/>
          <w:b/>
          <w:sz w:val="18"/>
          <w:szCs w:val="18"/>
        </w:rPr>
        <w:t xml:space="preserve">sveukupno su izvedeni radovi do konca 2020. u vrijednosti 6.289.816,69 kn bez PDV-a </w:t>
      </w:r>
      <w:r w:rsidR="00776939" w:rsidRPr="00720A0C">
        <w:rPr>
          <w:rFonts w:ascii="Arial" w:eastAsia="Times New Roman" w:hAnsi="Arial" w:cs="Arial"/>
          <w:b/>
          <w:sz w:val="18"/>
          <w:szCs w:val="18"/>
        </w:rPr>
        <w:t xml:space="preserve">/ 834.802,14 € </w:t>
      </w:r>
      <w:r w:rsidRPr="00720A0C">
        <w:rPr>
          <w:rFonts w:ascii="Arial" w:eastAsia="Times New Roman" w:hAnsi="Arial" w:cs="Arial"/>
          <w:sz w:val="18"/>
          <w:szCs w:val="18"/>
        </w:rPr>
        <w:t>(odnosno 7.862.270,86 kn s PDV-om</w:t>
      </w:r>
      <w:r w:rsidR="00776939" w:rsidRPr="00720A0C">
        <w:rPr>
          <w:rFonts w:ascii="Arial" w:eastAsia="Times New Roman" w:hAnsi="Arial" w:cs="Arial"/>
          <w:sz w:val="18"/>
          <w:szCs w:val="18"/>
        </w:rPr>
        <w:t xml:space="preserve"> / 1.043.502,67 €</w:t>
      </w:r>
      <w:r w:rsidRPr="00720A0C">
        <w:rPr>
          <w:rFonts w:ascii="Arial" w:eastAsia="Times New Roman" w:hAnsi="Arial" w:cs="Arial"/>
          <w:sz w:val="18"/>
          <w:szCs w:val="18"/>
        </w:rPr>
        <w:t xml:space="preserve">). Od </w:t>
      </w:r>
      <w:r w:rsidRPr="00720A0C">
        <w:rPr>
          <w:rFonts w:ascii="Arial" w:eastAsia="Times New Roman" w:hAnsi="Arial" w:cs="Arial"/>
          <w:sz w:val="18"/>
          <w:szCs w:val="18"/>
        </w:rPr>
        <w:lastRenderedPageBreak/>
        <w:t>izvedenih radova, prema izvješću nadzornog inženjera, na radove izgradnje vodovoda se odnosi 2.266.025,28 kn</w:t>
      </w:r>
      <w:r w:rsidR="00776939" w:rsidRPr="00720A0C">
        <w:rPr>
          <w:rFonts w:ascii="Arial" w:eastAsia="Times New Roman" w:hAnsi="Arial" w:cs="Arial"/>
          <w:sz w:val="18"/>
          <w:szCs w:val="18"/>
        </w:rPr>
        <w:t xml:space="preserve"> / 300.753,24 €</w:t>
      </w:r>
      <w:r w:rsidRPr="00720A0C">
        <w:rPr>
          <w:rFonts w:ascii="Arial" w:eastAsia="Times New Roman" w:hAnsi="Arial" w:cs="Arial"/>
          <w:sz w:val="18"/>
          <w:szCs w:val="18"/>
        </w:rPr>
        <w:t xml:space="preserve">, a na kanalizaciju 4.023.791,41 kn </w:t>
      </w:r>
      <w:r w:rsidR="00776939" w:rsidRPr="00720A0C">
        <w:rPr>
          <w:rFonts w:ascii="Arial" w:eastAsia="Times New Roman" w:hAnsi="Arial" w:cs="Arial"/>
          <w:sz w:val="18"/>
          <w:szCs w:val="18"/>
        </w:rPr>
        <w:t xml:space="preserve">/ 534.048,90 € </w:t>
      </w:r>
      <w:r w:rsidRPr="00720A0C">
        <w:rPr>
          <w:rFonts w:ascii="Arial" w:eastAsia="Times New Roman" w:hAnsi="Arial" w:cs="Arial"/>
          <w:sz w:val="18"/>
          <w:szCs w:val="18"/>
        </w:rPr>
        <w:t>bez PDV-a.</w:t>
      </w:r>
    </w:p>
    <w:p w14:paraId="0EB38B41"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bookmarkStart w:id="486" w:name="_Hlk66359597"/>
    </w:p>
    <w:p w14:paraId="18F1EA66" w14:textId="6AFF0BBE"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U 2020. godini, komunalno društvo je 4.2.2020. zaključilo s Hrvatskim vodama ugovor u vrijednosti 1.875.000 kn </w:t>
      </w:r>
      <w:r w:rsidR="00776939" w:rsidRPr="00720A0C">
        <w:rPr>
          <w:rFonts w:ascii="Arial" w:eastAsia="Times New Roman" w:hAnsi="Arial" w:cs="Arial"/>
          <w:sz w:val="18"/>
          <w:szCs w:val="18"/>
        </w:rPr>
        <w:t xml:space="preserve">/ 248.855,27 € </w:t>
      </w:r>
      <w:r w:rsidRPr="00720A0C">
        <w:rPr>
          <w:rFonts w:ascii="Arial" w:eastAsia="Times New Roman" w:hAnsi="Arial" w:cs="Arial"/>
          <w:sz w:val="18"/>
          <w:szCs w:val="18"/>
        </w:rPr>
        <w:t xml:space="preserve">kojim su se Hrvatske vode obvezale sufinancirati 1.500.000 kn </w:t>
      </w:r>
      <w:r w:rsidR="00776939" w:rsidRPr="00720A0C">
        <w:rPr>
          <w:rFonts w:ascii="Arial" w:eastAsia="Times New Roman" w:hAnsi="Arial" w:cs="Arial"/>
          <w:sz w:val="18"/>
          <w:szCs w:val="18"/>
        </w:rPr>
        <w:t xml:space="preserve">/ 199.084,21 € </w:t>
      </w:r>
      <w:r w:rsidRPr="00720A0C">
        <w:rPr>
          <w:rFonts w:ascii="Arial" w:eastAsia="Times New Roman" w:hAnsi="Arial" w:cs="Arial"/>
          <w:sz w:val="18"/>
          <w:szCs w:val="18"/>
        </w:rPr>
        <w:t>izradu projektne dokumentacije i radove izgradnje vodnih građevina na području aglomeracije Molunat.</w:t>
      </w:r>
    </w:p>
    <w:bookmarkEnd w:id="486"/>
    <w:p w14:paraId="13B9FDDC" w14:textId="6EB6EA88"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U studenome 2020. zaključen je dodatak ugovoru prema kojemu su se Hrvatske vode obvezale još dodatno sufinancirati 200.000 kn</w:t>
      </w:r>
      <w:r w:rsidR="00776939" w:rsidRPr="00720A0C">
        <w:rPr>
          <w:rFonts w:ascii="Arial" w:eastAsia="Times New Roman" w:hAnsi="Arial" w:cs="Arial"/>
          <w:sz w:val="18"/>
          <w:szCs w:val="18"/>
        </w:rPr>
        <w:t xml:space="preserve"> / 26.544,56 €</w:t>
      </w:r>
      <w:r w:rsidRPr="00720A0C">
        <w:rPr>
          <w:rFonts w:ascii="Arial" w:eastAsia="Times New Roman" w:hAnsi="Arial" w:cs="Arial"/>
          <w:sz w:val="18"/>
          <w:szCs w:val="18"/>
        </w:rPr>
        <w:t xml:space="preserve">, odnosno sveukupno je za 2020. ugovoreno 2.125.000 kn </w:t>
      </w:r>
      <w:r w:rsidR="004F4365" w:rsidRPr="00720A0C">
        <w:rPr>
          <w:rFonts w:ascii="Arial" w:eastAsia="Times New Roman" w:hAnsi="Arial" w:cs="Arial"/>
          <w:sz w:val="18"/>
          <w:szCs w:val="18"/>
        </w:rPr>
        <w:t>/ 282.035,97 €</w:t>
      </w:r>
      <w:r w:rsidRPr="00720A0C">
        <w:rPr>
          <w:rFonts w:ascii="Arial" w:eastAsia="Times New Roman" w:hAnsi="Arial" w:cs="Arial"/>
          <w:sz w:val="18"/>
          <w:szCs w:val="18"/>
        </w:rPr>
        <w:t>(Hrvatske vode 1.700.000 kn</w:t>
      </w:r>
      <w:r w:rsidR="004F4365" w:rsidRPr="00720A0C">
        <w:rPr>
          <w:rFonts w:ascii="Arial" w:eastAsia="Times New Roman" w:hAnsi="Arial" w:cs="Arial"/>
          <w:sz w:val="18"/>
          <w:szCs w:val="18"/>
        </w:rPr>
        <w:t xml:space="preserve"> / 225.628,77 €</w:t>
      </w:r>
      <w:r w:rsidRPr="00720A0C">
        <w:rPr>
          <w:rFonts w:ascii="Arial" w:eastAsia="Times New Roman" w:hAnsi="Arial" w:cs="Arial"/>
          <w:sz w:val="18"/>
          <w:szCs w:val="18"/>
        </w:rPr>
        <w:t>, a investitor 425.000 kn</w:t>
      </w:r>
      <w:r w:rsidR="004F4365" w:rsidRPr="00720A0C">
        <w:rPr>
          <w:rFonts w:ascii="Arial" w:eastAsia="Times New Roman" w:hAnsi="Arial" w:cs="Arial"/>
          <w:sz w:val="18"/>
          <w:szCs w:val="18"/>
        </w:rPr>
        <w:t xml:space="preserve"> / 56.407,19 €</w:t>
      </w:r>
      <w:r w:rsidRPr="00720A0C">
        <w:rPr>
          <w:rFonts w:ascii="Arial" w:eastAsia="Times New Roman" w:hAnsi="Arial" w:cs="Arial"/>
          <w:sz w:val="18"/>
          <w:szCs w:val="18"/>
        </w:rPr>
        <w:t>).</w:t>
      </w:r>
    </w:p>
    <w:p w14:paraId="614C9A3E"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52C614A3" w14:textId="3595DB55"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Prema podacima društva u vlasništvu, Hrvatske vode su u 2020. godine doznačile društvu sredstva za sufinanciranje investicije 2.616.173,29 kn</w:t>
      </w:r>
      <w:r w:rsidR="004F4365" w:rsidRPr="00720A0C">
        <w:rPr>
          <w:rFonts w:ascii="Arial" w:eastAsia="Times New Roman" w:hAnsi="Arial" w:cs="Arial"/>
          <w:sz w:val="18"/>
          <w:szCs w:val="18"/>
        </w:rPr>
        <w:t xml:space="preserve"> / 347.225,87 €</w:t>
      </w:r>
      <w:r w:rsidRPr="00720A0C">
        <w:rPr>
          <w:rFonts w:ascii="Arial" w:eastAsia="Times New Roman" w:hAnsi="Arial" w:cs="Arial"/>
          <w:sz w:val="18"/>
          <w:szCs w:val="18"/>
        </w:rPr>
        <w:t>, od čega za izgradnju vodovoda 435.058,96 kn</w:t>
      </w:r>
      <w:r w:rsidR="004F4365" w:rsidRPr="00720A0C">
        <w:rPr>
          <w:rFonts w:ascii="Arial" w:eastAsia="Times New Roman" w:hAnsi="Arial" w:cs="Arial"/>
          <w:sz w:val="18"/>
          <w:szCs w:val="18"/>
        </w:rPr>
        <w:t xml:space="preserve"> / 57.742,25 €</w:t>
      </w:r>
      <w:r w:rsidRPr="00720A0C">
        <w:rPr>
          <w:rFonts w:ascii="Arial" w:eastAsia="Times New Roman" w:hAnsi="Arial" w:cs="Arial"/>
          <w:sz w:val="18"/>
          <w:szCs w:val="18"/>
        </w:rPr>
        <w:t>, a za radove na kanalizaciji 2.181.114,33 kn</w:t>
      </w:r>
      <w:r w:rsidR="004F4365" w:rsidRPr="00720A0C">
        <w:rPr>
          <w:rFonts w:ascii="Arial" w:eastAsia="Times New Roman" w:hAnsi="Arial" w:cs="Arial"/>
          <w:sz w:val="18"/>
          <w:szCs w:val="18"/>
        </w:rPr>
        <w:t xml:space="preserve"> / 289.483,62 €</w:t>
      </w:r>
      <w:r w:rsidRPr="00720A0C">
        <w:rPr>
          <w:rFonts w:ascii="Arial" w:eastAsia="Times New Roman" w:hAnsi="Arial" w:cs="Arial"/>
          <w:sz w:val="18"/>
          <w:szCs w:val="18"/>
        </w:rPr>
        <w:t>.</w:t>
      </w:r>
    </w:p>
    <w:p w14:paraId="1412A26F"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34501EC1" w14:textId="178E08F6"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bookmarkStart w:id="487" w:name="_Hlk79498446"/>
      <w:r w:rsidRPr="00720A0C">
        <w:rPr>
          <w:rFonts w:ascii="Arial" w:eastAsia="Times New Roman" w:hAnsi="Arial" w:cs="Arial"/>
          <w:sz w:val="18"/>
          <w:szCs w:val="18"/>
        </w:rPr>
        <w:t xml:space="preserve">Postotak izvedenih radova koncem 2020. godine </w:t>
      </w:r>
      <w:r w:rsidR="007C4B2D" w:rsidRPr="00720A0C">
        <w:rPr>
          <w:rFonts w:ascii="Arial" w:eastAsia="Times New Roman" w:hAnsi="Arial" w:cs="Arial"/>
          <w:sz w:val="18"/>
          <w:szCs w:val="18"/>
        </w:rPr>
        <w:t xml:space="preserve">je iznosio </w:t>
      </w:r>
      <w:r w:rsidRPr="00720A0C">
        <w:rPr>
          <w:rFonts w:ascii="Arial" w:eastAsia="Times New Roman" w:hAnsi="Arial" w:cs="Arial"/>
          <w:b/>
          <w:sz w:val="18"/>
          <w:szCs w:val="18"/>
        </w:rPr>
        <w:t>51,5%.</w:t>
      </w:r>
      <w:r w:rsidR="007C4B2D" w:rsidRPr="00720A0C">
        <w:rPr>
          <w:rFonts w:ascii="Arial" w:eastAsia="Times New Roman" w:hAnsi="Arial" w:cs="Arial"/>
          <w:b/>
          <w:sz w:val="18"/>
          <w:szCs w:val="18"/>
        </w:rPr>
        <w:t xml:space="preserve"> </w:t>
      </w:r>
      <w:bookmarkEnd w:id="487"/>
      <w:r w:rsidRPr="00720A0C">
        <w:rPr>
          <w:rFonts w:ascii="Arial" w:eastAsia="Times New Roman" w:hAnsi="Arial" w:cs="Arial"/>
          <w:sz w:val="18"/>
          <w:szCs w:val="18"/>
        </w:rPr>
        <w:t xml:space="preserve">Ugovoreni radovi su se odvijali smanjenom dinamikom koja je uzrokovana pandemijom bolesti COVID 19. </w:t>
      </w:r>
    </w:p>
    <w:p w14:paraId="00B8A224"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4630F241" w14:textId="41F6C084"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bookmarkStart w:id="488" w:name="_Hlk80785951"/>
      <w:r w:rsidRPr="00720A0C">
        <w:rPr>
          <w:rFonts w:ascii="Arial" w:eastAsia="Times New Roman" w:hAnsi="Arial" w:cs="Arial"/>
          <w:sz w:val="18"/>
          <w:szCs w:val="18"/>
        </w:rPr>
        <w:t xml:space="preserve">Izvoditelj je za radove do konca 2021. godine </w:t>
      </w:r>
      <w:r w:rsidRPr="00720A0C">
        <w:rPr>
          <w:rFonts w:ascii="Arial" w:eastAsia="Times New Roman" w:hAnsi="Arial" w:cs="Arial"/>
          <w:b/>
          <w:sz w:val="18"/>
          <w:szCs w:val="18"/>
        </w:rPr>
        <w:t>ispostavio komunalnom društvu</w:t>
      </w:r>
      <w:r w:rsidRPr="00720A0C">
        <w:rPr>
          <w:rFonts w:ascii="Arial" w:eastAsia="Times New Roman" w:hAnsi="Arial" w:cs="Arial"/>
          <w:sz w:val="18"/>
          <w:szCs w:val="18"/>
        </w:rPr>
        <w:t xml:space="preserve"> zaključno </w:t>
      </w:r>
      <w:r w:rsidR="00C353B5" w:rsidRPr="00720A0C">
        <w:rPr>
          <w:rFonts w:ascii="Arial" w:eastAsia="Times New Roman" w:hAnsi="Arial" w:cs="Arial"/>
          <w:sz w:val="18"/>
          <w:szCs w:val="18"/>
        </w:rPr>
        <w:t>21</w:t>
      </w:r>
      <w:r w:rsidRPr="00720A0C">
        <w:rPr>
          <w:rFonts w:ascii="Arial" w:eastAsia="Times New Roman" w:hAnsi="Arial" w:cs="Arial"/>
          <w:sz w:val="18"/>
          <w:szCs w:val="18"/>
        </w:rPr>
        <w:t xml:space="preserve"> privremen</w:t>
      </w:r>
      <w:r w:rsidR="00C353B5" w:rsidRPr="00720A0C">
        <w:rPr>
          <w:rFonts w:ascii="Arial" w:eastAsia="Times New Roman" w:hAnsi="Arial" w:cs="Arial"/>
          <w:sz w:val="18"/>
          <w:szCs w:val="18"/>
        </w:rPr>
        <w:t>u</w:t>
      </w:r>
      <w:r w:rsidRPr="00720A0C">
        <w:rPr>
          <w:rFonts w:ascii="Arial" w:eastAsia="Times New Roman" w:hAnsi="Arial" w:cs="Arial"/>
          <w:sz w:val="18"/>
          <w:szCs w:val="18"/>
        </w:rPr>
        <w:t xml:space="preserve"> situacij</w:t>
      </w:r>
      <w:r w:rsidR="00C353B5" w:rsidRPr="00720A0C">
        <w:rPr>
          <w:rFonts w:ascii="Arial" w:eastAsia="Times New Roman" w:hAnsi="Arial" w:cs="Arial"/>
          <w:sz w:val="18"/>
          <w:szCs w:val="18"/>
        </w:rPr>
        <w:t>u</w:t>
      </w:r>
      <w:r w:rsidRPr="00720A0C">
        <w:rPr>
          <w:rFonts w:ascii="Arial" w:eastAsia="Times New Roman" w:hAnsi="Arial" w:cs="Arial"/>
          <w:sz w:val="18"/>
          <w:szCs w:val="18"/>
        </w:rPr>
        <w:t xml:space="preserve"> (od čega u 2021. od 15. do </w:t>
      </w:r>
      <w:r w:rsidR="00C353B5" w:rsidRPr="00720A0C">
        <w:rPr>
          <w:rFonts w:ascii="Arial" w:eastAsia="Times New Roman" w:hAnsi="Arial" w:cs="Arial"/>
          <w:sz w:val="18"/>
          <w:szCs w:val="18"/>
        </w:rPr>
        <w:t>21</w:t>
      </w:r>
      <w:r w:rsidRPr="00720A0C">
        <w:rPr>
          <w:rFonts w:ascii="Arial" w:eastAsia="Times New Roman" w:hAnsi="Arial" w:cs="Arial"/>
          <w:sz w:val="18"/>
          <w:szCs w:val="18"/>
        </w:rPr>
        <w:t xml:space="preserve">.), Općina nije sufinancirala situacije niti u 2021. doznačavala sredstva društvu). Dakle </w:t>
      </w:r>
      <w:r w:rsidRPr="00720A0C">
        <w:rPr>
          <w:rFonts w:ascii="Arial" w:eastAsia="Times New Roman" w:hAnsi="Arial" w:cs="Arial"/>
          <w:b/>
          <w:sz w:val="18"/>
          <w:szCs w:val="18"/>
        </w:rPr>
        <w:t>u 2021. godini ispostavljene su privremene situacije</w:t>
      </w:r>
      <w:r w:rsidRPr="00720A0C">
        <w:rPr>
          <w:rFonts w:ascii="Arial" w:eastAsia="Times New Roman" w:hAnsi="Arial" w:cs="Arial"/>
          <w:sz w:val="18"/>
          <w:szCs w:val="18"/>
        </w:rPr>
        <w:t xml:space="preserve"> po kojima su radovi izvedeni u vrijednosti </w:t>
      </w:r>
      <w:r w:rsidR="008B486B" w:rsidRPr="00720A0C">
        <w:rPr>
          <w:rFonts w:ascii="Arial" w:eastAsia="Times New Roman" w:hAnsi="Arial" w:cs="Arial"/>
          <w:sz w:val="18"/>
          <w:szCs w:val="18"/>
        </w:rPr>
        <w:t>2.260.944,98</w:t>
      </w:r>
      <w:r w:rsidRPr="00720A0C">
        <w:rPr>
          <w:rFonts w:ascii="Arial" w:eastAsia="Times New Roman" w:hAnsi="Arial" w:cs="Arial"/>
          <w:sz w:val="18"/>
          <w:szCs w:val="18"/>
        </w:rPr>
        <w:t xml:space="preserve"> kn </w:t>
      </w:r>
      <w:r w:rsidR="004F4365" w:rsidRPr="00720A0C">
        <w:rPr>
          <w:rFonts w:ascii="Arial" w:eastAsia="Times New Roman" w:hAnsi="Arial" w:cs="Arial"/>
          <w:sz w:val="18"/>
          <w:szCs w:val="18"/>
        </w:rPr>
        <w:t xml:space="preserve">/ 300.078,97 € </w:t>
      </w:r>
      <w:r w:rsidRPr="00720A0C">
        <w:rPr>
          <w:rFonts w:ascii="Arial" w:eastAsia="Times New Roman" w:hAnsi="Arial" w:cs="Arial"/>
          <w:sz w:val="18"/>
          <w:szCs w:val="18"/>
        </w:rPr>
        <w:t xml:space="preserve">bez PDV-a. Dakle, </w:t>
      </w:r>
      <w:r w:rsidRPr="00720A0C">
        <w:rPr>
          <w:rFonts w:ascii="Arial" w:eastAsia="Times New Roman" w:hAnsi="Arial" w:cs="Arial"/>
          <w:b/>
          <w:sz w:val="18"/>
          <w:szCs w:val="18"/>
        </w:rPr>
        <w:t xml:space="preserve">sveukupno su izvedeni radovi do konca 2021. u vrijednosti </w:t>
      </w:r>
      <w:r w:rsidR="008B486B" w:rsidRPr="00720A0C">
        <w:rPr>
          <w:rFonts w:ascii="Arial" w:eastAsia="Times New Roman" w:hAnsi="Arial" w:cs="Arial"/>
          <w:b/>
          <w:sz w:val="18"/>
          <w:szCs w:val="18"/>
        </w:rPr>
        <w:t>8.550.761,67</w:t>
      </w:r>
      <w:r w:rsidRPr="00720A0C">
        <w:rPr>
          <w:rFonts w:ascii="Arial" w:eastAsia="Times New Roman" w:hAnsi="Arial" w:cs="Arial"/>
          <w:b/>
          <w:sz w:val="18"/>
          <w:szCs w:val="18"/>
        </w:rPr>
        <w:t xml:space="preserve"> kn </w:t>
      </w:r>
      <w:r w:rsidR="004F4365" w:rsidRPr="00720A0C">
        <w:rPr>
          <w:rFonts w:ascii="Arial" w:eastAsia="Times New Roman" w:hAnsi="Arial" w:cs="Arial"/>
          <w:b/>
          <w:sz w:val="18"/>
          <w:szCs w:val="18"/>
        </w:rPr>
        <w:t xml:space="preserve">/ 1.134.881,10 € </w:t>
      </w:r>
      <w:r w:rsidRPr="00720A0C">
        <w:rPr>
          <w:rFonts w:ascii="Arial" w:eastAsia="Times New Roman" w:hAnsi="Arial" w:cs="Arial"/>
          <w:b/>
          <w:sz w:val="18"/>
          <w:szCs w:val="18"/>
        </w:rPr>
        <w:t xml:space="preserve">bez PDV-a </w:t>
      </w:r>
      <w:r w:rsidRPr="00720A0C">
        <w:rPr>
          <w:rFonts w:ascii="Arial" w:eastAsia="Times New Roman" w:hAnsi="Arial" w:cs="Arial"/>
          <w:sz w:val="18"/>
          <w:szCs w:val="18"/>
        </w:rPr>
        <w:t xml:space="preserve">(odnosno </w:t>
      </w:r>
      <w:r w:rsidR="008B486B" w:rsidRPr="00720A0C">
        <w:rPr>
          <w:rFonts w:ascii="Arial" w:eastAsia="Times New Roman" w:hAnsi="Arial" w:cs="Arial"/>
          <w:sz w:val="18"/>
          <w:szCs w:val="18"/>
        </w:rPr>
        <w:t>10.688.452,09</w:t>
      </w:r>
      <w:r w:rsidRPr="00720A0C">
        <w:rPr>
          <w:rFonts w:ascii="Arial" w:eastAsia="Times New Roman" w:hAnsi="Arial" w:cs="Arial"/>
          <w:sz w:val="18"/>
          <w:szCs w:val="18"/>
        </w:rPr>
        <w:t xml:space="preserve"> kn </w:t>
      </w:r>
      <w:r w:rsidR="004F4365" w:rsidRPr="00720A0C">
        <w:rPr>
          <w:rFonts w:ascii="Arial" w:eastAsia="Times New Roman" w:hAnsi="Arial" w:cs="Arial"/>
          <w:sz w:val="18"/>
          <w:szCs w:val="18"/>
        </w:rPr>
        <w:t xml:space="preserve">/ 1.418.601,38 € </w:t>
      </w:r>
      <w:r w:rsidRPr="00720A0C">
        <w:rPr>
          <w:rFonts w:ascii="Arial" w:eastAsia="Times New Roman" w:hAnsi="Arial" w:cs="Arial"/>
          <w:sz w:val="18"/>
          <w:szCs w:val="18"/>
        </w:rPr>
        <w:t xml:space="preserve">s PDV-om). Od izvedenih radova, prema izvješću nadzornog inženjera, na radove izgradnje vodovoda se odnosi </w:t>
      </w:r>
      <w:r w:rsidR="008B486B" w:rsidRPr="00720A0C">
        <w:rPr>
          <w:rFonts w:ascii="Arial" w:eastAsia="Times New Roman" w:hAnsi="Arial" w:cs="Arial"/>
          <w:sz w:val="18"/>
          <w:szCs w:val="18"/>
        </w:rPr>
        <w:t>3.529.752,00</w:t>
      </w:r>
      <w:r w:rsidRPr="00720A0C">
        <w:rPr>
          <w:rFonts w:ascii="Arial" w:eastAsia="Times New Roman" w:hAnsi="Arial" w:cs="Arial"/>
          <w:sz w:val="18"/>
          <w:szCs w:val="18"/>
        </w:rPr>
        <w:t xml:space="preserve"> kn</w:t>
      </w:r>
      <w:r w:rsidR="00A07A0A" w:rsidRPr="00720A0C">
        <w:rPr>
          <w:rFonts w:ascii="Arial" w:eastAsia="Times New Roman" w:hAnsi="Arial" w:cs="Arial"/>
          <w:sz w:val="18"/>
          <w:szCs w:val="18"/>
        </w:rPr>
        <w:t xml:space="preserve"> / 468.478,60 €</w:t>
      </w:r>
      <w:r w:rsidRPr="00720A0C">
        <w:rPr>
          <w:rFonts w:ascii="Arial" w:eastAsia="Times New Roman" w:hAnsi="Arial" w:cs="Arial"/>
          <w:sz w:val="18"/>
          <w:szCs w:val="18"/>
        </w:rPr>
        <w:t xml:space="preserve">, a na kanalizaciju </w:t>
      </w:r>
      <w:r w:rsidR="008B486B" w:rsidRPr="00720A0C">
        <w:rPr>
          <w:rFonts w:ascii="Arial" w:eastAsia="Times New Roman" w:hAnsi="Arial" w:cs="Arial"/>
          <w:sz w:val="18"/>
          <w:szCs w:val="18"/>
        </w:rPr>
        <w:t>5.021.009,67</w:t>
      </w:r>
      <w:r w:rsidRPr="00720A0C">
        <w:rPr>
          <w:rFonts w:ascii="Arial" w:eastAsia="Times New Roman" w:hAnsi="Arial" w:cs="Arial"/>
          <w:sz w:val="18"/>
          <w:szCs w:val="18"/>
        </w:rPr>
        <w:t xml:space="preserve"> kn bez PDV-a</w:t>
      </w:r>
      <w:r w:rsidR="00A07A0A" w:rsidRPr="00720A0C">
        <w:rPr>
          <w:rFonts w:ascii="Arial" w:eastAsia="Times New Roman" w:hAnsi="Arial" w:cs="Arial"/>
          <w:sz w:val="18"/>
          <w:szCs w:val="18"/>
        </w:rPr>
        <w:t xml:space="preserve"> / 666.402,50 €</w:t>
      </w:r>
      <w:r w:rsidRPr="00720A0C">
        <w:rPr>
          <w:rFonts w:ascii="Arial" w:eastAsia="Times New Roman" w:hAnsi="Arial" w:cs="Arial"/>
          <w:sz w:val="18"/>
          <w:szCs w:val="18"/>
        </w:rPr>
        <w:t>.</w:t>
      </w:r>
    </w:p>
    <w:p w14:paraId="5ECA83C6"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1A2E3845" w14:textId="36FCB396"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Dana 6.9.2019. komunalno društvo je s izvođačem radova bilo zaključilo dodatak ugovoru kojim su zbog promijenjene tehnologije iskopa, uz suglasnost nadzornog inženjere, smanjili radovi za 7.139,22 kn</w:t>
      </w:r>
      <w:r w:rsidR="00A07A0A" w:rsidRPr="00720A0C">
        <w:rPr>
          <w:rFonts w:ascii="Arial" w:eastAsia="Times New Roman" w:hAnsi="Arial" w:cs="Arial"/>
          <w:sz w:val="18"/>
          <w:szCs w:val="18"/>
        </w:rPr>
        <w:t xml:space="preserve"> / 947,54 €</w:t>
      </w:r>
      <w:r w:rsidRPr="00720A0C">
        <w:rPr>
          <w:rFonts w:ascii="Arial" w:eastAsia="Times New Roman" w:hAnsi="Arial" w:cs="Arial"/>
          <w:sz w:val="18"/>
          <w:szCs w:val="18"/>
        </w:rPr>
        <w:t xml:space="preserve"> bez PDV-a.</w:t>
      </w:r>
    </w:p>
    <w:p w14:paraId="7A3173C6" w14:textId="4D131C31"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Dana 30.6.2021. komunalno društvo je s izvođačem radova zaključilo dodatak ugovoru kojim se utvrđuju dodatni vantroškovnički radovi na izgradnji sustava vodovoda i odvodnje u naselju Molunat u iznosu 399.964,84 kn</w:t>
      </w:r>
      <w:r w:rsidR="00A07A0A" w:rsidRPr="00720A0C">
        <w:rPr>
          <w:rFonts w:ascii="Arial" w:eastAsia="Times New Roman" w:hAnsi="Arial" w:cs="Arial"/>
          <w:sz w:val="18"/>
          <w:szCs w:val="18"/>
        </w:rPr>
        <w:t xml:space="preserve"> / 53.084,46 €</w:t>
      </w:r>
      <w:r w:rsidRPr="00720A0C">
        <w:rPr>
          <w:rFonts w:ascii="Arial" w:eastAsia="Times New Roman" w:hAnsi="Arial" w:cs="Arial"/>
          <w:sz w:val="18"/>
          <w:szCs w:val="18"/>
        </w:rPr>
        <w:t xml:space="preserve"> što s porezom na dodanu vrijednost čini 499.956,05 kn</w:t>
      </w:r>
      <w:r w:rsidR="00A07A0A" w:rsidRPr="00720A0C">
        <w:rPr>
          <w:rFonts w:ascii="Arial" w:eastAsia="Times New Roman" w:hAnsi="Arial" w:cs="Arial"/>
          <w:sz w:val="18"/>
          <w:szCs w:val="18"/>
        </w:rPr>
        <w:t xml:space="preserve"> / 66.355,57 €</w:t>
      </w:r>
      <w:r w:rsidRPr="00720A0C">
        <w:rPr>
          <w:rFonts w:ascii="Arial" w:eastAsia="Times New Roman" w:hAnsi="Arial" w:cs="Arial"/>
          <w:sz w:val="18"/>
          <w:szCs w:val="18"/>
        </w:rPr>
        <w:t xml:space="preserve">. </w:t>
      </w:r>
    </w:p>
    <w:p w14:paraId="5633626C" w14:textId="5C282990"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Dakle, sveukupno ugovoreni radovi izgradnje sustava vodovoda i odvodnje u naselju Molunat iznose </w:t>
      </w:r>
      <w:r w:rsidRPr="00720A0C">
        <w:rPr>
          <w:rFonts w:ascii="Arial" w:eastAsia="Times New Roman" w:hAnsi="Arial" w:cs="Arial"/>
          <w:b/>
          <w:bCs/>
          <w:sz w:val="18"/>
          <w:szCs w:val="18"/>
        </w:rPr>
        <w:t xml:space="preserve">12.591.066,40 kn </w:t>
      </w:r>
      <w:r w:rsidR="00A07A0A" w:rsidRPr="00720A0C">
        <w:rPr>
          <w:rFonts w:ascii="Arial" w:eastAsia="Times New Roman" w:hAnsi="Arial" w:cs="Arial"/>
          <w:b/>
          <w:bCs/>
          <w:sz w:val="18"/>
          <w:szCs w:val="18"/>
        </w:rPr>
        <w:t xml:space="preserve">/ 1.671.121,69 € </w:t>
      </w:r>
      <w:r w:rsidRPr="00720A0C">
        <w:rPr>
          <w:rFonts w:ascii="Arial" w:eastAsia="Times New Roman" w:hAnsi="Arial" w:cs="Arial"/>
          <w:b/>
          <w:bCs/>
          <w:sz w:val="18"/>
          <w:szCs w:val="18"/>
        </w:rPr>
        <w:t>što s porezom na dodanu vrijednost čini 15.738.833 kn</w:t>
      </w:r>
      <w:r w:rsidR="00A07A0A" w:rsidRPr="00720A0C">
        <w:rPr>
          <w:rFonts w:ascii="Arial" w:eastAsia="Times New Roman" w:hAnsi="Arial" w:cs="Arial"/>
          <w:b/>
          <w:bCs/>
          <w:sz w:val="18"/>
          <w:szCs w:val="18"/>
        </w:rPr>
        <w:t xml:space="preserve"> / 2.088.902,12 €</w:t>
      </w:r>
      <w:r w:rsidRPr="00720A0C">
        <w:rPr>
          <w:rFonts w:ascii="Arial" w:eastAsia="Times New Roman" w:hAnsi="Arial" w:cs="Arial"/>
          <w:sz w:val="18"/>
          <w:szCs w:val="18"/>
        </w:rPr>
        <w:t>.</w:t>
      </w:r>
    </w:p>
    <w:p w14:paraId="2D84D7B4" w14:textId="5C53D01B" w:rsidR="006D251D" w:rsidRPr="00720A0C" w:rsidRDefault="006D251D" w:rsidP="00B20566">
      <w:pPr>
        <w:autoSpaceDE w:val="0"/>
        <w:autoSpaceDN w:val="0"/>
        <w:adjustRightInd w:val="0"/>
        <w:spacing w:after="0" w:line="240" w:lineRule="auto"/>
        <w:jc w:val="both"/>
        <w:rPr>
          <w:rFonts w:ascii="Arial" w:eastAsia="Times New Roman" w:hAnsi="Arial" w:cs="Arial"/>
          <w:sz w:val="18"/>
          <w:szCs w:val="18"/>
        </w:rPr>
      </w:pPr>
    </w:p>
    <w:p w14:paraId="050EE028" w14:textId="6AAD7A03" w:rsidR="006D251D" w:rsidRPr="00720A0C" w:rsidRDefault="006D251D" w:rsidP="006D251D">
      <w:pPr>
        <w:autoSpaceDE w:val="0"/>
        <w:autoSpaceDN w:val="0"/>
        <w:adjustRightInd w:val="0"/>
        <w:spacing w:after="0" w:line="240" w:lineRule="auto"/>
        <w:jc w:val="both"/>
        <w:rPr>
          <w:rFonts w:ascii="Arial" w:eastAsia="Times New Roman" w:hAnsi="Arial" w:cs="Arial"/>
          <w:b/>
          <w:sz w:val="18"/>
          <w:szCs w:val="18"/>
        </w:rPr>
      </w:pPr>
      <w:r w:rsidRPr="00720A0C">
        <w:rPr>
          <w:rFonts w:ascii="Arial" w:eastAsia="Times New Roman" w:hAnsi="Arial" w:cs="Arial"/>
          <w:sz w:val="18"/>
          <w:szCs w:val="18"/>
        </w:rPr>
        <w:t xml:space="preserve">Postotak izvedenih radova koncem 2021. godine iznosi </w:t>
      </w:r>
      <w:r w:rsidRPr="00720A0C">
        <w:rPr>
          <w:rFonts w:ascii="Arial" w:eastAsia="Times New Roman" w:hAnsi="Arial" w:cs="Arial"/>
          <w:b/>
          <w:sz w:val="18"/>
          <w:szCs w:val="18"/>
        </w:rPr>
        <w:t>67,9%.</w:t>
      </w:r>
    </w:p>
    <w:p w14:paraId="1C2EB197" w14:textId="465FA1EE" w:rsidR="001A72B9" w:rsidRPr="00720A0C" w:rsidRDefault="001A72B9" w:rsidP="006D251D">
      <w:pPr>
        <w:autoSpaceDE w:val="0"/>
        <w:autoSpaceDN w:val="0"/>
        <w:adjustRightInd w:val="0"/>
        <w:spacing w:after="0" w:line="240" w:lineRule="auto"/>
        <w:jc w:val="both"/>
        <w:rPr>
          <w:rFonts w:ascii="Arial" w:eastAsia="Times New Roman" w:hAnsi="Arial" w:cs="Arial"/>
          <w:bCs/>
          <w:sz w:val="18"/>
          <w:szCs w:val="18"/>
        </w:rPr>
      </w:pPr>
    </w:p>
    <w:p w14:paraId="5DD40A84" w14:textId="58451814" w:rsidR="001A72B9" w:rsidRPr="00720A0C" w:rsidRDefault="001A72B9" w:rsidP="006D251D">
      <w:pPr>
        <w:autoSpaceDE w:val="0"/>
        <w:autoSpaceDN w:val="0"/>
        <w:adjustRightInd w:val="0"/>
        <w:spacing w:after="0" w:line="240" w:lineRule="auto"/>
        <w:jc w:val="both"/>
        <w:rPr>
          <w:rFonts w:ascii="Arial" w:eastAsia="Times New Roman" w:hAnsi="Arial" w:cs="Arial"/>
          <w:bCs/>
          <w:sz w:val="18"/>
          <w:szCs w:val="18"/>
        </w:rPr>
      </w:pPr>
      <w:r w:rsidRPr="00720A0C">
        <w:rPr>
          <w:rFonts w:ascii="Arial" w:eastAsia="Times New Roman" w:hAnsi="Arial" w:cs="Arial"/>
          <w:bCs/>
          <w:sz w:val="18"/>
          <w:szCs w:val="18"/>
        </w:rPr>
        <w:t xml:space="preserve">U 2022. izvoditelj je ispostavio </w:t>
      </w:r>
      <w:r w:rsidR="0081290C" w:rsidRPr="00720A0C">
        <w:rPr>
          <w:rFonts w:ascii="Arial" w:eastAsia="Times New Roman" w:hAnsi="Arial" w:cs="Arial"/>
          <w:bCs/>
          <w:sz w:val="18"/>
          <w:szCs w:val="18"/>
        </w:rPr>
        <w:t>tri privremene (od 22. do 24.) i okončanu situaciju za radove u vrijednosti 3.801.054,12 kn</w:t>
      </w:r>
      <w:r w:rsidR="00E174C7" w:rsidRPr="00720A0C">
        <w:rPr>
          <w:rFonts w:ascii="Arial" w:eastAsia="Times New Roman" w:hAnsi="Arial" w:cs="Arial"/>
          <w:bCs/>
          <w:sz w:val="18"/>
          <w:szCs w:val="18"/>
        </w:rPr>
        <w:t xml:space="preserve"> / 504.486,58 € </w:t>
      </w:r>
      <w:r w:rsidR="0081290C" w:rsidRPr="00720A0C">
        <w:rPr>
          <w:rFonts w:ascii="Arial" w:eastAsia="Times New Roman" w:hAnsi="Arial" w:cs="Arial"/>
          <w:bCs/>
          <w:sz w:val="18"/>
          <w:szCs w:val="18"/>
        </w:rPr>
        <w:t>što s PDV-om iznosi 4.751.317,65 kn</w:t>
      </w:r>
      <w:r w:rsidR="00E174C7" w:rsidRPr="00720A0C">
        <w:rPr>
          <w:rFonts w:ascii="Arial" w:eastAsia="Times New Roman" w:hAnsi="Arial" w:cs="Arial"/>
          <w:bCs/>
          <w:sz w:val="18"/>
          <w:szCs w:val="18"/>
        </w:rPr>
        <w:t xml:space="preserve"> / 630.608,22 €</w:t>
      </w:r>
      <w:r w:rsidR="0081290C" w:rsidRPr="00720A0C">
        <w:rPr>
          <w:rFonts w:ascii="Arial" w:eastAsia="Times New Roman" w:hAnsi="Arial" w:cs="Arial"/>
          <w:bCs/>
          <w:sz w:val="18"/>
          <w:szCs w:val="18"/>
        </w:rPr>
        <w:t xml:space="preserve">. Sveukupno izvedeni radovi iznose </w:t>
      </w:r>
      <w:r w:rsidR="00CA44A2" w:rsidRPr="00720A0C">
        <w:rPr>
          <w:rFonts w:ascii="Arial" w:eastAsia="Times New Roman" w:hAnsi="Arial" w:cs="Arial"/>
          <w:bCs/>
          <w:sz w:val="18"/>
          <w:szCs w:val="18"/>
        </w:rPr>
        <w:t xml:space="preserve">12.351.815,79 kn </w:t>
      </w:r>
      <w:r w:rsidR="00E174C7" w:rsidRPr="00720A0C">
        <w:rPr>
          <w:rFonts w:ascii="Arial" w:eastAsia="Times New Roman" w:hAnsi="Arial" w:cs="Arial"/>
          <w:bCs/>
          <w:sz w:val="18"/>
          <w:szCs w:val="18"/>
        </w:rPr>
        <w:t xml:space="preserve">/ 1.639.367,68 € </w:t>
      </w:r>
      <w:r w:rsidR="00CA44A2" w:rsidRPr="00720A0C">
        <w:rPr>
          <w:rFonts w:ascii="Arial" w:eastAsia="Times New Roman" w:hAnsi="Arial" w:cs="Arial"/>
          <w:bCs/>
          <w:sz w:val="18"/>
          <w:szCs w:val="18"/>
        </w:rPr>
        <w:t>što s PDV-om iznosi 15.439.769,74 kn</w:t>
      </w:r>
      <w:r w:rsidR="00E174C7" w:rsidRPr="00720A0C">
        <w:rPr>
          <w:rFonts w:ascii="Arial" w:eastAsia="Times New Roman" w:hAnsi="Arial" w:cs="Arial"/>
          <w:bCs/>
          <w:sz w:val="18"/>
          <w:szCs w:val="18"/>
        </w:rPr>
        <w:t xml:space="preserve"> / 2.049.209,60 €</w:t>
      </w:r>
      <w:r w:rsidR="00CA44A2" w:rsidRPr="00720A0C">
        <w:rPr>
          <w:rFonts w:ascii="Arial" w:eastAsia="Times New Roman" w:hAnsi="Arial" w:cs="Arial"/>
          <w:bCs/>
          <w:sz w:val="18"/>
          <w:szCs w:val="18"/>
        </w:rPr>
        <w:t xml:space="preserve">. </w:t>
      </w:r>
    </w:p>
    <w:p w14:paraId="1CA46919" w14:textId="5AD7B72A" w:rsidR="00CA44A2" w:rsidRPr="00720A0C" w:rsidRDefault="00CA44A2" w:rsidP="006D251D">
      <w:pPr>
        <w:autoSpaceDE w:val="0"/>
        <w:autoSpaceDN w:val="0"/>
        <w:adjustRightInd w:val="0"/>
        <w:spacing w:after="0" w:line="240" w:lineRule="auto"/>
        <w:jc w:val="both"/>
        <w:rPr>
          <w:rFonts w:ascii="Arial" w:eastAsia="Times New Roman" w:hAnsi="Arial" w:cs="Arial"/>
          <w:bCs/>
          <w:sz w:val="18"/>
          <w:szCs w:val="18"/>
        </w:rPr>
      </w:pPr>
      <w:r w:rsidRPr="00720A0C">
        <w:rPr>
          <w:rFonts w:ascii="Arial" w:eastAsia="Times New Roman" w:hAnsi="Arial" w:cs="Arial"/>
          <w:bCs/>
          <w:sz w:val="18"/>
          <w:szCs w:val="18"/>
        </w:rPr>
        <w:t>Prema izvješću nadzornog inženjera, na radove izgradnje vodovoda odnosi se 4.960.846,14 kn</w:t>
      </w:r>
      <w:r w:rsidR="00E174C7" w:rsidRPr="00720A0C">
        <w:rPr>
          <w:rFonts w:ascii="Arial" w:eastAsia="Times New Roman" w:hAnsi="Arial" w:cs="Arial"/>
          <w:bCs/>
          <w:sz w:val="18"/>
          <w:szCs w:val="18"/>
        </w:rPr>
        <w:t xml:space="preserve"> / 658.417,43 €</w:t>
      </w:r>
      <w:r w:rsidRPr="00720A0C">
        <w:rPr>
          <w:rFonts w:ascii="Arial" w:eastAsia="Times New Roman" w:hAnsi="Arial" w:cs="Arial"/>
          <w:bCs/>
          <w:sz w:val="18"/>
          <w:szCs w:val="18"/>
        </w:rPr>
        <w:t xml:space="preserve">, a na kanalizaciju 7.390.969,65 kn </w:t>
      </w:r>
      <w:r w:rsidR="00E174C7" w:rsidRPr="00720A0C">
        <w:rPr>
          <w:rFonts w:ascii="Arial" w:eastAsia="Times New Roman" w:hAnsi="Arial" w:cs="Arial"/>
          <w:bCs/>
          <w:sz w:val="18"/>
          <w:szCs w:val="18"/>
        </w:rPr>
        <w:t xml:space="preserve">/ 980.950,25 € </w:t>
      </w:r>
      <w:r w:rsidRPr="00720A0C">
        <w:rPr>
          <w:rFonts w:ascii="Arial" w:eastAsia="Times New Roman" w:hAnsi="Arial" w:cs="Arial"/>
          <w:bCs/>
          <w:sz w:val="18"/>
          <w:szCs w:val="18"/>
        </w:rPr>
        <w:t>bez PDV-a.</w:t>
      </w:r>
    </w:p>
    <w:p w14:paraId="78485B0D" w14:textId="77777777" w:rsidR="00CA44A2" w:rsidRPr="00720A0C" w:rsidRDefault="00CA44A2" w:rsidP="006D251D">
      <w:pPr>
        <w:autoSpaceDE w:val="0"/>
        <w:autoSpaceDN w:val="0"/>
        <w:adjustRightInd w:val="0"/>
        <w:spacing w:after="0" w:line="240" w:lineRule="auto"/>
        <w:jc w:val="both"/>
        <w:rPr>
          <w:rFonts w:ascii="Arial" w:eastAsia="Times New Roman" w:hAnsi="Arial" w:cs="Arial"/>
          <w:bCs/>
          <w:sz w:val="18"/>
          <w:szCs w:val="18"/>
        </w:rPr>
      </w:pPr>
    </w:p>
    <w:p w14:paraId="7B874BE1" w14:textId="185EE4A9" w:rsidR="001A72B9" w:rsidRPr="00720A0C" w:rsidRDefault="00F65DA9" w:rsidP="006D251D">
      <w:pPr>
        <w:autoSpaceDE w:val="0"/>
        <w:autoSpaceDN w:val="0"/>
        <w:adjustRightInd w:val="0"/>
        <w:spacing w:after="0" w:line="240" w:lineRule="auto"/>
        <w:jc w:val="both"/>
        <w:rPr>
          <w:rFonts w:ascii="Arial" w:eastAsia="Times New Roman" w:hAnsi="Arial" w:cs="Arial"/>
          <w:bCs/>
          <w:sz w:val="18"/>
          <w:szCs w:val="18"/>
        </w:rPr>
      </w:pPr>
      <w:r w:rsidRPr="00720A0C">
        <w:rPr>
          <w:rFonts w:ascii="Arial" w:eastAsia="Times New Roman" w:hAnsi="Arial" w:cs="Arial"/>
          <w:bCs/>
          <w:sz w:val="18"/>
          <w:szCs w:val="18"/>
        </w:rPr>
        <w:t>Primopredaja izvršenih radova obavljena je tijekom lipnja 2022.</w:t>
      </w:r>
      <w:r w:rsidR="003A099E" w:rsidRPr="00720A0C">
        <w:rPr>
          <w:rFonts w:ascii="Arial" w:eastAsia="Times New Roman" w:hAnsi="Arial" w:cs="Arial"/>
          <w:bCs/>
          <w:sz w:val="18"/>
          <w:szCs w:val="18"/>
        </w:rPr>
        <w:t xml:space="preserve"> Pokretanje postupka dobivanja uporabne dozvole je </w:t>
      </w:r>
      <w:r w:rsidR="000C61D2" w:rsidRPr="00720A0C">
        <w:rPr>
          <w:rFonts w:ascii="Arial" w:eastAsia="Times New Roman" w:hAnsi="Arial" w:cs="Arial"/>
          <w:bCs/>
          <w:sz w:val="18"/>
          <w:szCs w:val="18"/>
        </w:rPr>
        <w:t xml:space="preserve">bilo </w:t>
      </w:r>
      <w:r w:rsidR="003A099E" w:rsidRPr="00720A0C">
        <w:rPr>
          <w:rFonts w:ascii="Arial" w:eastAsia="Times New Roman" w:hAnsi="Arial" w:cs="Arial"/>
          <w:bCs/>
          <w:sz w:val="18"/>
          <w:szCs w:val="18"/>
        </w:rPr>
        <w:t>uvjetovano završetkom izgradnje uređaja za pročišćavanje otpadnih voda i podmorskog ispusta.</w:t>
      </w:r>
      <w:r w:rsidRPr="00720A0C">
        <w:rPr>
          <w:rFonts w:ascii="Arial" w:eastAsia="Times New Roman" w:hAnsi="Arial" w:cs="Arial"/>
          <w:bCs/>
          <w:sz w:val="18"/>
          <w:szCs w:val="18"/>
        </w:rPr>
        <w:t xml:space="preserve"> </w:t>
      </w:r>
    </w:p>
    <w:p w14:paraId="16639319" w14:textId="77777777" w:rsidR="006D251D" w:rsidRPr="00720A0C" w:rsidRDefault="006D251D" w:rsidP="00B20566">
      <w:pPr>
        <w:autoSpaceDE w:val="0"/>
        <w:autoSpaceDN w:val="0"/>
        <w:adjustRightInd w:val="0"/>
        <w:spacing w:after="0" w:line="240" w:lineRule="auto"/>
        <w:jc w:val="both"/>
        <w:rPr>
          <w:rFonts w:ascii="Arial" w:eastAsia="Times New Roman" w:hAnsi="Arial" w:cs="Arial"/>
          <w:bCs/>
          <w:sz w:val="18"/>
          <w:szCs w:val="18"/>
        </w:rPr>
      </w:pPr>
    </w:p>
    <w:p w14:paraId="60FBCAC0" w14:textId="77777777" w:rsidR="00664006" w:rsidRPr="00720A0C" w:rsidRDefault="00664006" w:rsidP="0066400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Dubrovačko-neretvanska županija, Upravni odjel za prostorno uređenje i gradnju izdalo je:</w:t>
      </w:r>
    </w:p>
    <w:p w14:paraId="369E1931" w14:textId="32600EC6" w:rsidR="00664006" w:rsidRPr="00720A0C" w:rsidRDefault="00664006" w:rsidP="00664006">
      <w:pPr>
        <w:numPr>
          <w:ilvl w:val="0"/>
          <w:numId w:val="5"/>
        </w:num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b/>
          <w:sz w:val="18"/>
          <w:szCs w:val="18"/>
          <w:u w:val="single"/>
        </w:rPr>
        <w:t>Uporabnu dozvolu</w:t>
      </w:r>
      <w:r w:rsidRPr="00720A0C">
        <w:rPr>
          <w:rFonts w:ascii="Arial" w:eastAsia="Times New Roman" w:hAnsi="Arial" w:cs="Arial"/>
          <w:sz w:val="18"/>
          <w:szCs w:val="18"/>
        </w:rPr>
        <w:t xml:space="preserve"> za izgrađene faze 2, 3, i 4. zahvata u prostoru infrastrukturne namjene vodno-gospodarskog sustava naselja Molunat (građevina u sustavu odvodnje otpadnih voda i vodoopskrbe: gravitacijski i tlačni cjevovod i tri crpne stanice, te vodoopskrbni cjevovod s nadzemnim hidrantima; KLASA: UP/I-361-05/22-01/000131; URBROJ:2117-23-6/1-23-0010, Gruda, 1.12.2023. PRAVOMOĆNA 19.12.2023.</w:t>
      </w:r>
    </w:p>
    <w:p w14:paraId="38E5BFCC" w14:textId="77777777" w:rsidR="00664006" w:rsidRPr="00720A0C" w:rsidRDefault="00664006" w:rsidP="00B20566">
      <w:pPr>
        <w:autoSpaceDE w:val="0"/>
        <w:autoSpaceDN w:val="0"/>
        <w:adjustRightInd w:val="0"/>
        <w:spacing w:after="0" w:line="240" w:lineRule="auto"/>
        <w:jc w:val="both"/>
        <w:rPr>
          <w:rFonts w:ascii="Arial" w:eastAsia="Times New Roman" w:hAnsi="Arial" w:cs="Arial"/>
          <w:bCs/>
          <w:sz w:val="18"/>
          <w:szCs w:val="18"/>
        </w:rPr>
      </w:pPr>
    </w:p>
    <w:p w14:paraId="507EF9D4" w14:textId="2042D285" w:rsidR="008B486B" w:rsidRPr="00FF3C31" w:rsidRDefault="008B486B">
      <w:pPr>
        <w:pStyle w:val="Odlomakpopisa"/>
        <w:numPr>
          <w:ilvl w:val="0"/>
          <w:numId w:val="22"/>
        </w:num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bCs/>
        </w:rPr>
      </w:pPr>
      <w:r w:rsidRPr="00FF3C31">
        <w:rPr>
          <w:rFonts w:ascii="Arial" w:hAnsi="Arial" w:cs="Arial"/>
          <w:b/>
          <w:bCs/>
        </w:rPr>
        <w:t>Izgradnja uređaja za pročišćavanje otpadnih voda i podmorskog ispusta - Molunat</w:t>
      </w:r>
    </w:p>
    <w:p w14:paraId="278FA66C" w14:textId="77777777" w:rsidR="008B486B" w:rsidRPr="00720A0C" w:rsidRDefault="008B486B" w:rsidP="008B486B">
      <w:pPr>
        <w:pStyle w:val="Odlomakpopisa"/>
        <w:autoSpaceDE w:val="0"/>
        <w:autoSpaceDN w:val="0"/>
        <w:adjustRightInd w:val="0"/>
        <w:ind w:left="720"/>
        <w:rPr>
          <w:rFonts w:ascii="Arial" w:hAnsi="Arial" w:cs="Arial"/>
          <w:sz w:val="18"/>
          <w:szCs w:val="18"/>
        </w:rPr>
      </w:pPr>
    </w:p>
    <w:p w14:paraId="0141CEF5" w14:textId="4D6F74EA"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Pored </w:t>
      </w:r>
      <w:r w:rsidR="006D251D" w:rsidRPr="00720A0C">
        <w:rPr>
          <w:rFonts w:ascii="Arial" w:eastAsia="Times New Roman" w:hAnsi="Arial" w:cs="Arial"/>
          <w:sz w:val="18"/>
          <w:szCs w:val="18"/>
        </w:rPr>
        <w:t>prethodno navedenih</w:t>
      </w:r>
      <w:r w:rsidRPr="00720A0C">
        <w:rPr>
          <w:rFonts w:ascii="Arial" w:eastAsia="Times New Roman" w:hAnsi="Arial" w:cs="Arial"/>
          <w:sz w:val="18"/>
          <w:szCs w:val="18"/>
        </w:rPr>
        <w:t xml:space="preserve"> radova</w:t>
      </w:r>
      <w:r w:rsidR="006D251D" w:rsidRPr="00720A0C">
        <w:rPr>
          <w:rFonts w:ascii="Arial" w:eastAsia="Times New Roman" w:hAnsi="Arial" w:cs="Arial"/>
          <w:sz w:val="18"/>
          <w:szCs w:val="18"/>
        </w:rPr>
        <w:t xml:space="preserve"> izgradnje sustava vodovoda i odvodnje u naselju Molunat</w:t>
      </w:r>
      <w:r w:rsidRPr="00720A0C">
        <w:rPr>
          <w:rFonts w:ascii="Arial" w:eastAsia="Times New Roman" w:hAnsi="Arial" w:cs="Arial"/>
          <w:sz w:val="18"/>
          <w:szCs w:val="18"/>
        </w:rPr>
        <w:t xml:space="preserve">, u 2021. su započeti i radovi izgradnje uređaja za pročišćavanje otpadnih voda i podmorskog ispusta. </w:t>
      </w:r>
    </w:p>
    <w:p w14:paraId="12CC602D" w14:textId="6A3CDE4A"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lastRenderedPageBreak/>
        <w:t xml:space="preserve">Naime, nakon provedenog postupka javne nabave, komunalno društvo je 7.5.2021. zaključilo ugovor o izvođenju radovi izgradnje uređaja za pročišćavanje otpadnih voda i podmorskog ispusta iznosu </w:t>
      </w:r>
      <w:r w:rsidRPr="00720A0C">
        <w:rPr>
          <w:rFonts w:ascii="Arial" w:eastAsia="Times New Roman" w:hAnsi="Arial" w:cs="Arial"/>
          <w:b/>
          <w:sz w:val="18"/>
          <w:szCs w:val="18"/>
        </w:rPr>
        <w:t>8.612.799 kn</w:t>
      </w:r>
      <w:r w:rsidR="00272F3A" w:rsidRPr="00720A0C">
        <w:rPr>
          <w:rFonts w:ascii="Arial" w:eastAsia="Times New Roman" w:hAnsi="Arial" w:cs="Arial"/>
          <w:b/>
          <w:sz w:val="18"/>
          <w:szCs w:val="18"/>
        </w:rPr>
        <w:t xml:space="preserve"> (1.143.114,87 €)</w:t>
      </w:r>
      <w:r w:rsidRPr="00720A0C">
        <w:rPr>
          <w:rFonts w:ascii="Arial" w:eastAsia="Times New Roman" w:hAnsi="Arial" w:cs="Arial"/>
          <w:sz w:val="18"/>
          <w:szCs w:val="18"/>
        </w:rPr>
        <w:t xml:space="preserve">, bez poreza na dodanu vrijednost, odnosno s porezom 10.765.998,75 kn </w:t>
      </w:r>
      <w:r w:rsidR="00272F3A" w:rsidRPr="00720A0C">
        <w:rPr>
          <w:rFonts w:ascii="Arial" w:eastAsia="Times New Roman" w:hAnsi="Arial" w:cs="Arial"/>
          <w:sz w:val="18"/>
          <w:szCs w:val="18"/>
        </w:rPr>
        <w:t xml:space="preserve">(1.428.893,59 €) </w:t>
      </w:r>
      <w:r w:rsidRPr="00720A0C">
        <w:rPr>
          <w:rFonts w:ascii="Arial" w:eastAsia="Times New Roman" w:hAnsi="Arial" w:cs="Arial"/>
          <w:sz w:val="18"/>
          <w:szCs w:val="18"/>
        </w:rPr>
        <w:t>(nositelj radova izvođenja, a ugovorom je utvrđeno još 2 podizvoditelja za pojedine vrste poslova: Proton d.o.o. Gornji Kneginec za 16,81 % elektroinstalaterskih radova, Jadranski ronilački servis d.o.o. Šibenik za 37,36% radova podmorskog ispusta). Najznačajniji udjel radova ima Texo gradnja za 45,83% radova.</w:t>
      </w:r>
    </w:p>
    <w:p w14:paraId="459246CF"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Ugovor je zaključen sa izvođačem Texo gradnja d.o.o. Mlini. Ugovoreno je izvođenje radova unutar 24 mjeseca (18 mjeseci rok izvođenja radova i 6 mjeseci priključenje na kanalizaciju i ishođenje uporabne dozvole),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dvogodišnjem roku od trenutka zapisničke primopredaje građevine. Za solidnost sanacije postojećih konstrukcija i solidnost novoizgrađene građevine daje se jamstveni rok 10 godina. Izvođač je obvezan društvu (naručitelju) dostaviti jamstvo za otklanjanje nedostataka u jamstvenom roku na period od dvije godine u obliku bankarske garancije na iznos od 5% ugovorenog iznosa PDV-a. Kazna za svaki dan kašnjenja u izvođenju radove prema detaljnom dinamičkom planu je 5 promila s time da je maksimalni iznos ugovorene kazne 10% ugovorene kazne ne može prijeći 10% ugovorene vrijednosti radova s PDV-om.</w:t>
      </w:r>
    </w:p>
    <w:p w14:paraId="17B35056"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551DC49D"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Izvođač je započeo radove 11.05.2021, upisom u građevinski dnevnik.</w:t>
      </w:r>
    </w:p>
    <w:p w14:paraId="720C9EE9"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693955B7" w14:textId="2870744D" w:rsidR="00B20566" w:rsidRPr="00720A0C" w:rsidRDefault="00B20566" w:rsidP="00B20566">
      <w:pPr>
        <w:autoSpaceDE w:val="0"/>
        <w:autoSpaceDN w:val="0"/>
        <w:adjustRightInd w:val="0"/>
        <w:spacing w:after="0" w:line="240" w:lineRule="auto"/>
        <w:jc w:val="both"/>
        <w:rPr>
          <w:rFonts w:ascii="Arial" w:eastAsia="Calibri" w:hAnsi="Arial" w:cs="Arial"/>
          <w:sz w:val="18"/>
          <w:szCs w:val="18"/>
        </w:rPr>
      </w:pPr>
      <w:r w:rsidRPr="00720A0C">
        <w:rPr>
          <w:rFonts w:ascii="Arial" w:eastAsia="Times New Roman" w:hAnsi="Arial" w:cs="Arial"/>
          <w:sz w:val="18"/>
          <w:szCs w:val="18"/>
        </w:rPr>
        <w:t xml:space="preserve">Prema ugovoru od 6.5.2021. </w:t>
      </w:r>
      <w:r w:rsidRPr="00720A0C">
        <w:rPr>
          <w:rFonts w:ascii="Arial" w:eastAsia="Times New Roman" w:hAnsi="Arial" w:cs="Arial"/>
          <w:b/>
          <w:sz w:val="18"/>
          <w:szCs w:val="18"/>
        </w:rPr>
        <w:t>stručni nadzor</w:t>
      </w:r>
      <w:r w:rsidRPr="00720A0C">
        <w:rPr>
          <w:rFonts w:ascii="Arial" w:eastAsia="Times New Roman" w:hAnsi="Arial" w:cs="Arial"/>
          <w:sz w:val="18"/>
          <w:szCs w:val="18"/>
        </w:rPr>
        <w:t xml:space="preserve"> je ured ovlaštenog inženjera građevinarstva Ivana Mucić u iznosu 194.000</w:t>
      </w:r>
      <w:r w:rsidR="00272F3A" w:rsidRPr="00720A0C">
        <w:rPr>
          <w:rFonts w:ascii="Arial" w:eastAsia="Times New Roman" w:hAnsi="Arial" w:cs="Arial"/>
          <w:sz w:val="18"/>
          <w:szCs w:val="18"/>
        </w:rPr>
        <w:t xml:space="preserve"> </w:t>
      </w:r>
      <w:r w:rsidRPr="00720A0C">
        <w:rPr>
          <w:rFonts w:ascii="Arial" w:eastAsia="Times New Roman" w:hAnsi="Arial" w:cs="Arial"/>
          <w:sz w:val="18"/>
          <w:szCs w:val="18"/>
        </w:rPr>
        <w:t>kn</w:t>
      </w:r>
      <w:r w:rsidR="00272F3A" w:rsidRPr="00720A0C">
        <w:rPr>
          <w:rFonts w:ascii="Arial" w:eastAsia="Times New Roman" w:hAnsi="Arial" w:cs="Arial"/>
          <w:sz w:val="18"/>
          <w:szCs w:val="18"/>
        </w:rPr>
        <w:t xml:space="preserve"> (25.748,22 €)</w:t>
      </w:r>
      <w:r w:rsidRPr="00720A0C">
        <w:rPr>
          <w:rFonts w:ascii="Arial" w:eastAsia="Times New Roman" w:hAnsi="Arial" w:cs="Arial"/>
          <w:sz w:val="18"/>
          <w:szCs w:val="18"/>
        </w:rPr>
        <w:t>, bez poreza na dodanu vrijednost (242.500 kn s PDV-om)</w:t>
      </w:r>
      <w:r w:rsidR="00272F3A" w:rsidRPr="00720A0C">
        <w:rPr>
          <w:rFonts w:ascii="Arial" w:eastAsia="Times New Roman" w:hAnsi="Arial" w:cs="Arial"/>
          <w:sz w:val="18"/>
          <w:szCs w:val="18"/>
        </w:rPr>
        <w:t xml:space="preserve"> (32.185,28 €)</w:t>
      </w:r>
      <w:r w:rsidRPr="00720A0C">
        <w:rPr>
          <w:rFonts w:ascii="Arial" w:eastAsia="Times New Roman" w:hAnsi="Arial" w:cs="Arial"/>
          <w:sz w:val="18"/>
          <w:szCs w:val="18"/>
        </w:rPr>
        <w:t xml:space="preserve">. </w:t>
      </w:r>
    </w:p>
    <w:p w14:paraId="579A3E19"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534D1F25" w14:textId="33A07680"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Izvoditelj je za radove do konca </w:t>
      </w:r>
      <w:r w:rsidR="006D251D" w:rsidRPr="00720A0C">
        <w:rPr>
          <w:rFonts w:ascii="Arial" w:eastAsia="Times New Roman" w:hAnsi="Arial" w:cs="Arial"/>
          <w:sz w:val="18"/>
          <w:szCs w:val="18"/>
        </w:rPr>
        <w:t>prosinca</w:t>
      </w:r>
      <w:r w:rsidRPr="00720A0C">
        <w:rPr>
          <w:rFonts w:ascii="Arial" w:eastAsia="Times New Roman" w:hAnsi="Arial" w:cs="Arial"/>
          <w:sz w:val="18"/>
          <w:szCs w:val="18"/>
        </w:rPr>
        <w:t xml:space="preserve"> 2021. godine </w:t>
      </w:r>
      <w:r w:rsidRPr="00720A0C">
        <w:rPr>
          <w:rFonts w:ascii="Arial" w:eastAsia="Times New Roman" w:hAnsi="Arial" w:cs="Arial"/>
          <w:b/>
          <w:sz w:val="18"/>
          <w:szCs w:val="18"/>
        </w:rPr>
        <w:t>ispostavio komunalnom društvu</w:t>
      </w:r>
      <w:r w:rsidRPr="00720A0C">
        <w:rPr>
          <w:rFonts w:ascii="Arial" w:eastAsia="Times New Roman" w:hAnsi="Arial" w:cs="Arial"/>
          <w:sz w:val="18"/>
          <w:szCs w:val="18"/>
        </w:rPr>
        <w:t xml:space="preserve"> zaključno </w:t>
      </w:r>
      <w:r w:rsidR="006D251D" w:rsidRPr="00720A0C">
        <w:rPr>
          <w:rFonts w:ascii="Arial" w:eastAsia="Times New Roman" w:hAnsi="Arial" w:cs="Arial"/>
          <w:sz w:val="18"/>
          <w:szCs w:val="18"/>
        </w:rPr>
        <w:t>8</w:t>
      </w:r>
      <w:r w:rsidRPr="00720A0C">
        <w:rPr>
          <w:rFonts w:ascii="Arial" w:eastAsia="Times New Roman" w:hAnsi="Arial" w:cs="Arial"/>
          <w:sz w:val="18"/>
          <w:szCs w:val="18"/>
        </w:rPr>
        <w:t xml:space="preserve"> privremen</w:t>
      </w:r>
      <w:r w:rsidR="006D251D" w:rsidRPr="00720A0C">
        <w:rPr>
          <w:rFonts w:ascii="Arial" w:eastAsia="Times New Roman" w:hAnsi="Arial" w:cs="Arial"/>
          <w:sz w:val="18"/>
          <w:szCs w:val="18"/>
        </w:rPr>
        <w:t>ih</w:t>
      </w:r>
      <w:r w:rsidRPr="00720A0C">
        <w:rPr>
          <w:rFonts w:ascii="Arial" w:eastAsia="Times New Roman" w:hAnsi="Arial" w:cs="Arial"/>
          <w:sz w:val="18"/>
          <w:szCs w:val="18"/>
        </w:rPr>
        <w:t xml:space="preserve"> situacij</w:t>
      </w:r>
      <w:r w:rsidR="006D251D" w:rsidRPr="00720A0C">
        <w:rPr>
          <w:rFonts w:ascii="Arial" w:eastAsia="Times New Roman" w:hAnsi="Arial" w:cs="Arial"/>
          <w:sz w:val="18"/>
          <w:szCs w:val="18"/>
        </w:rPr>
        <w:t>a</w:t>
      </w:r>
      <w:r w:rsidRPr="00720A0C">
        <w:rPr>
          <w:rFonts w:ascii="Arial" w:eastAsia="Times New Roman" w:hAnsi="Arial" w:cs="Arial"/>
          <w:sz w:val="18"/>
          <w:szCs w:val="18"/>
        </w:rPr>
        <w:t xml:space="preserve"> po kojima su radovi izvedeni u vrijednosti </w:t>
      </w:r>
      <w:r w:rsidR="006D251D" w:rsidRPr="00720A0C">
        <w:rPr>
          <w:rFonts w:ascii="Arial" w:eastAsia="Times New Roman" w:hAnsi="Arial" w:cs="Arial"/>
          <w:sz w:val="18"/>
          <w:szCs w:val="18"/>
        </w:rPr>
        <w:t>2.020.565,68</w:t>
      </w:r>
      <w:r w:rsidRPr="00720A0C">
        <w:rPr>
          <w:rFonts w:ascii="Arial" w:eastAsia="Times New Roman" w:hAnsi="Arial" w:cs="Arial"/>
          <w:sz w:val="18"/>
          <w:szCs w:val="18"/>
        </w:rPr>
        <w:t xml:space="preserve"> kn bez PDV-a (odnosno </w:t>
      </w:r>
      <w:r w:rsidR="006D251D" w:rsidRPr="00720A0C">
        <w:rPr>
          <w:rFonts w:ascii="Arial" w:eastAsia="Times New Roman" w:hAnsi="Arial" w:cs="Arial"/>
          <w:sz w:val="18"/>
          <w:szCs w:val="18"/>
        </w:rPr>
        <w:t>2.525.707,10</w:t>
      </w:r>
      <w:r w:rsidRPr="00720A0C">
        <w:rPr>
          <w:rFonts w:ascii="Arial" w:eastAsia="Times New Roman" w:hAnsi="Arial" w:cs="Arial"/>
          <w:sz w:val="18"/>
          <w:szCs w:val="18"/>
        </w:rPr>
        <w:t xml:space="preserve"> kn s PDV-om)</w:t>
      </w:r>
      <w:r w:rsidR="00272F3A" w:rsidRPr="00720A0C">
        <w:rPr>
          <w:rFonts w:ascii="Arial" w:eastAsia="Times New Roman" w:hAnsi="Arial" w:cs="Arial"/>
          <w:sz w:val="18"/>
          <w:szCs w:val="18"/>
        </w:rPr>
        <w:t xml:space="preserve"> (335.218,94 €)</w:t>
      </w:r>
      <w:r w:rsidRPr="00720A0C">
        <w:rPr>
          <w:rFonts w:ascii="Arial" w:eastAsia="Times New Roman" w:hAnsi="Arial" w:cs="Arial"/>
          <w:sz w:val="18"/>
          <w:szCs w:val="18"/>
        </w:rPr>
        <w:t xml:space="preserve">. </w:t>
      </w:r>
    </w:p>
    <w:p w14:paraId="50B0B504" w14:textId="459EF945"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74F123DB" w14:textId="3A50E40A" w:rsidR="006D251D" w:rsidRPr="00720A0C" w:rsidRDefault="006D251D" w:rsidP="006D251D">
      <w:pPr>
        <w:autoSpaceDE w:val="0"/>
        <w:autoSpaceDN w:val="0"/>
        <w:adjustRightInd w:val="0"/>
        <w:spacing w:after="0" w:line="240" w:lineRule="auto"/>
        <w:jc w:val="both"/>
        <w:rPr>
          <w:rFonts w:ascii="Arial" w:eastAsia="Times New Roman" w:hAnsi="Arial" w:cs="Arial"/>
          <w:bCs/>
          <w:sz w:val="18"/>
          <w:szCs w:val="18"/>
        </w:rPr>
      </w:pPr>
      <w:r w:rsidRPr="00720A0C">
        <w:rPr>
          <w:rFonts w:ascii="Arial" w:eastAsia="Times New Roman" w:hAnsi="Arial" w:cs="Arial"/>
          <w:sz w:val="18"/>
          <w:szCs w:val="18"/>
        </w:rPr>
        <w:t xml:space="preserve">Koncem 2021. godine postotak izvedenih radova izgradnje uređaja za pročišćavanje otpadnih voda i podmorskog ispusta iznose </w:t>
      </w:r>
      <w:r w:rsidRPr="00720A0C">
        <w:rPr>
          <w:rFonts w:ascii="Arial" w:eastAsia="Times New Roman" w:hAnsi="Arial" w:cs="Arial"/>
          <w:b/>
          <w:sz w:val="18"/>
          <w:szCs w:val="18"/>
        </w:rPr>
        <w:t>23,5%.</w:t>
      </w:r>
    </w:p>
    <w:p w14:paraId="7ECDB6FC" w14:textId="1FCF9FF6" w:rsidR="006D251D" w:rsidRPr="00720A0C" w:rsidRDefault="006D251D" w:rsidP="00B20566">
      <w:pPr>
        <w:autoSpaceDE w:val="0"/>
        <w:autoSpaceDN w:val="0"/>
        <w:adjustRightInd w:val="0"/>
        <w:spacing w:after="0" w:line="240" w:lineRule="auto"/>
        <w:jc w:val="both"/>
        <w:rPr>
          <w:rFonts w:ascii="Arial" w:eastAsia="Times New Roman" w:hAnsi="Arial" w:cs="Arial"/>
          <w:sz w:val="18"/>
          <w:szCs w:val="18"/>
        </w:rPr>
      </w:pPr>
    </w:p>
    <w:p w14:paraId="4261FD1B" w14:textId="64CDD089" w:rsidR="003A099E" w:rsidRPr="00720A0C" w:rsidRDefault="003A099E"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U listopadu 2022. zaključen je dodatak ugovora s izvođačem radova u vrijednosti 897.581 kn, bez poreza na dodanu vrijednost. Izmjene su uvjetovane zbog promjene tehnologije izrade podmorskog ispusta. Nakon ovih izmjena ukupna vrijednost ugovora iznosi 9.510.380 kn što s porezom na dodanu vrijednost čini 11.887.975 kn</w:t>
      </w:r>
      <w:r w:rsidR="00737335" w:rsidRPr="00720A0C">
        <w:rPr>
          <w:rFonts w:ascii="Arial" w:eastAsia="Times New Roman" w:hAnsi="Arial" w:cs="Arial"/>
          <w:sz w:val="18"/>
          <w:szCs w:val="18"/>
        </w:rPr>
        <w:t xml:space="preserve"> (odnosno 1.262.244,34 EUR ili 1.577.805,43 EUR s PDV-om). Rok izvođenja radova je utvrđen do 1. listopada 2023.</w:t>
      </w:r>
    </w:p>
    <w:p w14:paraId="2E21AF68" w14:textId="77777777" w:rsidR="003A099E" w:rsidRPr="00720A0C" w:rsidRDefault="003A099E" w:rsidP="00B20566">
      <w:pPr>
        <w:autoSpaceDE w:val="0"/>
        <w:autoSpaceDN w:val="0"/>
        <w:adjustRightInd w:val="0"/>
        <w:spacing w:after="0" w:line="240" w:lineRule="auto"/>
        <w:jc w:val="both"/>
        <w:rPr>
          <w:rFonts w:ascii="Arial" w:eastAsia="Times New Roman" w:hAnsi="Arial" w:cs="Arial"/>
          <w:sz w:val="18"/>
          <w:szCs w:val="18"/>
        </w:rPr>
      </w:pPr>
    </w:p>
    <w:p w14:paraId="7B3862FA" w14:textId="460911DE" w:rsidR="00F65DA9" w:rsidRPr="00720A0C" w:rsidRDefault="00F65DA9"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U 2022. izvoditelj je ispostavio </w:t>
      </w:r>
      <w:r w:rsidR="003A099E" w:rsidRPr="00720A0C">
        <w:rPr>
          <w:rFonts w:ascii="Arial" w:eastAsia="Times New Roman" w:hAnsi="Arial" w:cs="Arial"/>
          <w:sz w:val="18"/>
          <w:szCs w:val="18"/>
        </w:rPr>
        <w:t>tri</w:t>
      </w:r>
      <w:r w:rsidRPr="00720A0C">
        <w:rPr>
          <w:rFonts w:ascii="Arial" w:eastAsia="Times New Roman" w:hAnsi="Arial" w:cs="Arial"/>
          <w:sz w:val="18"/>
          <w:szCs w:val="18"/>
        </w:rPr>
        <w:t xml:space="preserve"> privremen</w:t>
      </w:r>
      <w:r w:rsidR="003A099E" w:rsidRPr="00720A0C">
        <w:rPr>
          <w:rFonts w:ascii="Arial" w:eastAsia="Times New Roman" w:hAnsi="Arial" w:cs="Arial"/>
          <w:sz w:val="18"/>
          <w:szCs w:val="18"/>
        </w:rPr>
        <w:t>e</w:t>
      </w:r>
      <w:r w:rsidRPr="00720A0C">
        <w:rPr>
          <w:rFonts w:ascii="Arial" w:eastAsia="Times New Roman" w:hAnsi="Arial" w:cs="Arial"/>
          <w:sz w:val="18"/>
          <w:szCs w:val="18"/>
        </w:rPr>
        <w:t xml:space="preserve"> situacij</w:t>
      </w:r>
      <w:r w:rsidR="003A099E" w:rsidRPr="00720A0C">
        <w:rPr>
          <w:rFonts w:ascii="Arial" w:eastAsia="Times New Roman" w:hAnsi="Arial" w:cs="Arial"/>
          <w:sz w:val="18"/>
          <w:szCs w:val="18"/>
        </w:rPr>
        <w:t>e</w:t>
      </w:r>
      <w:r w:rsidRPr="00720A0C">
        <w:rPr>
          <w:rFonts w:ascii="Arial" w:eastAsia="Times New Roman" w:hAnsi="Arial" w:cs="Arial"/>
          <w:sz w:val="18"/>
          <w:szCs w:val="18"/>
        </w:rPr>
        <w:t xml:space="preserve"> (9</w:t>
      </w:r>
      <w:r w:rsidR="003A099E" w:rsidRPr="00720A0C">
        <w:rPr>
          <w:rFonts w:ascii="Arial" w:eastAsia="Times New Roman" w:hAnsi="Arial" w:cs="Arial"/>
          <w:sz w:val="18"/>
          <w:szCs w:val="18"/>
        </w:rPr>
        <w:t>-11</w:t>
      </w:r>
      <w:r w:rsidRPr="00720A0C">
        <w:rPr>
          <w:rFonts w:ascii="Arial" w:eastAsia="Times New Roman" w:hAnsi="Arial" w:cs="Arial"/>
          <w:sz w:val="18"/>
          <w:szCs w:val="18"/>
        </w:rPr>
        <w:t xml:space="preserve">.priv.sit.) u iznosu </w:t>
      </w:r>
      <w:r w:rsidR="003A099E" w:rsidRPr="00720A0C">
        <w:rPr>
          <w:rFonts w:ascii="Arial" w:eastAsia="Times New Roman" w:hAnsi="Arial" w:cs="Arial"/>
          <w:sz w:val="18"/>
          <w:szCs w:val="18"/>
        </w:rPr>
        <w:t>699.285,70</w:t>
      </w:r>
      <w:r w:rsidRPr="00720A0C">
        <w:rPr>
          <w:rFonts w:ascii="Arial" w:eastAsia="Times New Roman" w:hAnsi="Arial" w:cs="Arial"/>
          <w:sz w:val="18"/>
          <w:szCs w:val="18"/>
        </w:rPr>
        <w:t xml:space="preserve"> kn što s PDV-om čini </w:t>
      </w:r>
      <w:r w:rsidR="003A099E" w:rsidRPr="00720A0C">
        <w:rPr>
          <w:rFonts w:ascii="Arial" w:eastAsia="Times New Roman" w:hAnsi="Arial" w:cs="Arial"/>
          <w:sz w:val="18"/>
          <w:szCs w:val="18"/>
        </w:rPr>
        <w:t>874.107,13</w:t>
      </w:r>
      <w:r w:rsidRPr="00720A0C">
        <w:rPr>
          <w:rFonts w:ascii="Arial" w:eastAsia="Times New Roman" w:hAnsi="Arial" w:cs="Arial"/>
          <w:sz w:val="18"/>
          <w:szCs w:val="18"/>
        </w:rPr>
        <w:t xml:space="preserve"> kn, te sveukupno izvedeni radovi iznose </w:t>
      </w:r>
      <w:r w:rsidR="003A099E" w:rsidRPr="00720A0C">
        <w:rPr>
          <w:rFonts w:ascii="Arial" w:eastAsia="Times New Roman" w:hAnsi="Arial" w:cs="Arial"/>
          <w:sz w:val="18"/>
          <w:szCs w:val="18"/>
        </w:rPr>
        <w:t>2.719.851,38</w:t>
      </w:r>
      <w:r w:rsidR="00F82A8E" w:rsidRPr="00720A0C">
        <w:rPr>
          <w:rFonts w:ascii="Arial" w:eastAsia="Times New Roman" w:hAnsi="Arial" w:cs="Arial"/>
          <w:sz w:val="18"/>
          <w:szCs w:val="18"/>
        </w:rPr>
        <w:t xml:space="preserve"> kn (</w:t>
      </w:r>
      <w:r w:rsidR="003A099E" w:rsidRPr="00720A0C">
        <w:rPr>
          <w:rFonts w:ascii="Arial" w:eastAsia="Times New Roman" w:hAnsi="Arial" w:cs="Arial"/>
          <w:sz w:val="18"/>
          <w:szCs w:val="18"/>
        </w:rPr>
        <w:t xml:space="preserve">3.399.814,23 </w:t>
      </w:r>
      <w:r w:rsidR="00F82A8E" w:rsidRPr="00720A0C">
        <w:rPr>
          <w:rFonts w:ascii="Arial" w:eastAsia="Times New Roman" w:hAnsi="Arial" w:cs="Arial"/>
          <w:sz w:val="18"/>
          <w:szCs w:val="18"/>
        </w:rPr>
        <w:t>kn s PDV-om)</w:t>
      </w:r>
      <w:r w:rsidR="003A099E" w:rsidRPr="00720A0C">
        <w:rPr>
          <w:rFonts w:ascii="Arial" w:eastAsia="Times New Roman" w:hAnsi="Arial" w:cs="Arial"/>
          <w:sz w:val="18"/>
          <w:szCs w:val="18"/>
        </w:rPr>
        <w:t xml:space="preserve"> odnosno 360.986,31 EUR (451.232,89 EUR s PDV-om).</w:t>
      </w:r>
    </w:p>
    <w:p w14:paraId="44F69ABB" w14:textId="77777777" w:rsidR="00F65DA9" w:rsidRPr="00720A0C" w:rsidRDefault="00F65DA9" w:rsidP="00B20566">
      <w:pPr>
        <w:autoSpaceDE w:val="0"/>
        <w:autoSpaceDN w:val="0"/>
        <w:adjustRightInd w:val="0"/>
        <w:spacing w:after="0" w:line="240" w:lineRule="auto"/>
        <w:jc w:val="both"/>
        <w:rPr>
          <w:rFonts w:ascii="Arial" w:eastAsia="Times New Roman" w:hAnsi="Arial" w:cs="Arial"/>
          <w:sz w:val="18"/>
          <w:szCs w:val="18"/>
        </w:rPr>
      </w:pPr>
    </w:p>
    <w:p w14:paraId="6F243431" w14:textId="4B04D481" w:rsidR="00737335" w:rsidRPr="00720A0C" w:rsidRDefault="00737335" w:rsidP="00737335">
      <w:pPr>
        <w:autoSpaceDE w:val="0"/>
        <w:autoSpaceDN w:val="0"/>
        <w:adjustRightInd w:val="0"/>
        <w:spacing w:after="0" w:line="240" w:lineRule="auto"/>
        <w:jc w:val="both"/>
        <w:rPr>
          <w:rFonts w:ascii="Arial" w:eastAsia="Times New Roman" w:hAnsi="Arial" w:cs="Arial"/>
          <w:bCs/>
          <w:sz w:val="18"/>
          <w:szCs w:val="18"/>
        </w:rPr>
      </w:pPr>
      <w:r w:rsidRPr="00720A0C">
        <w:rPr>
          <w:rFonts w:ascii="Arial" w:eastAsia="Times New Roman" w:hAnsi="Arial" w:cs="Arial"/>
          <w:sz w:val="18"/>
          <w:szCs w:val="18"/>
        </w:rPr>
        <w:t xml:space="preserve">Koncem 2022. godine postotak izvedenih radova izgradnje uređaja za pročišćavanje otpadnih voda i podmorskog ispusta iznose </w:t>
      </w:r>
      <w:r w:rsidRPr="00720A0C">
        <w:rPr>
          <w:rFonts w:ascii="Arial" w:eastAsia="Times New Roman" w:hAnsi="Arial" w:cs="Arial"/>
          <w:b/>
          <w:sz w:val="18"/>
          <w:szCs w:val="18"/>
        </w:rPr>
        <w:t>28,6%.</w:t>
      </w:r>
    </w:p>
    <w:p w14:paraId="33A8E4FF" w14:textId="77777777" w:rsidR="00737335" w:rsidRPr="00720A0C" w:rsidRDefault="00737335" w:rsidP="00737335">
      <w:pPr>
        <w:autoSpaceDE w:val="0"/>
        <w:autoSpaceDN w:val="0"/>
        <w:adjustRightInd w:val="0"/>
        <w:spacing w:after="0" w:line="240" w:lineRule="auto"/>
        <w:jc w:val="both"/>
        <w:rPr>
          <w:rFonts w:ascii="Arial" w:eastAsia="Times New Roman" w:hAnsi="Arial" w:cs="Arial"/>
          <w:sz w:val="18"/>
          <w:szCs w:val="18"/>
        </w:rPr>
      </w:pPr>
    </w:p>
    <w:p w14:paraId="119969F4" w14:textId="77777777" w:rsidR="00737335" w:rsidRPr="00720A0C" w:rsidRDefault="00737335" w:rsidP="00737335">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U ožujku 2023. je zaključen drugi dodatak ugovora s izvođačem radova u vrijednosti 38.677,20 EUR, bez poreza na dodanu vrijednost (revidiran ugovoreni troškovnik). Nakon ovih izmjena ukupna vrijednost ugovora iznosi 1.300.921,54 EUR što s porezom na dodanu vrijednost čini 1.626.151,93 EUR. Rok izvođenja radova je utvrđen do 1. veljače 2024.</w:t>
      </w:r>
    </w:p>
    <w:p w14:paraId="0D5D0D00" w14:textId="5DB2E39E" w:rsidR="00737335" w:rsidRPr="00720A0C" w:rsidRDefault="00737335" w:rsidP="00737335">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U 2023. izvoditelj je ispostavio </w:t>
      </w:r>
      <w:r w:rsidR="000C61D2" w:rsidRPr="00720A0C">
        <w:rPr>
          <w:rFonts w:ascii="Arial" w:eastAsia="Times New Roman" w:hAnsi="Arial" w:cs="Arial"/>
          <w:sz w:val="18"/>
          <w:szCs w:val="18"/>
        </w:rPr>
        <w:t>šest</w:t>
      </w:r>
      <w:r w:rsidRPr="00720A0C">
        <w:rPr>
          <w:rFonts w:ascii="Arial" w:eastAsia="Times New Roman" w:hAnsi="Arial" w:cs="Arial"/>
          <w:sz w:val="18"/>
          <w:szCs w:val="18"/>
        </w:rPr>
        <w:t xml:space="preserve"> privremen</w:t>
      </w:r>
      <w:r w:rsidR="000C61D2" w:rsidRPr="00720A0C">
        <w:rPr>
          <w:rFonts w:ascii="Arial" w:eastAsia="Times New Roman" w:hAnsi="Arial" w:cs="Arial"/>
          <w:sz w:val="18"/>
          <w:szCs w:val="18"/>
        </w:rPr>
        <w:t>ih</w:t>
      </w:r>
      <w:r w:rsidRPr="00720A0C">
        <w:rPr>
          <w:rFonts w:ascii="Arial" w:eastAsia="Times New Roman" w:hAnsi="Arial" w:cs="Arial"/>
          <w:sz w:val="18"/>
          <w:szCs w:val="18"/>
        </w:rPr>
        <w:t xml:space="preserve"> situacij</w:t>
      </w:r>
      <w:r w:rsidR="000C61D2" w:rsidRPr="00720A0C">
        <w:rPr>
          <w:rFonts w:ascii="Arial" w:eastAsia="Times New Roman" w:hAnsi="Arial" w:cs="Arial"/>
          <w:sz w:val="18"/>
          <w:szCs w:val="18"/>
        </w:rPr>
        <w:t>a</w:t>
      </w:r>
      <w:r w:rsidRPr="00720A0C">
        <w:rPr>
          <w:rFonts w:ascii="Arial" w:eastAsia="Times New Roman" w:hAnsi="Arial" w:cs="Arial"/>
          <w:sz w:val="18"/>
          <w:szCs w:val="18"/>
        </w:rPr>
        <w:t xml:space="preserve"> (12-1</w:t>
      </w:r>
      <w:r w:rsidR="001343D4" w:rsidRPr="00720A0C">
        <w:rPr>
          <w:rFonts w:ascii="Arial" w:eastAsia="Times New Roman" w:hAnsi="Arial" w:cs="Arial"/>
          <w:sz w:val="18"/>
          <w:szCs w:val="18"/>
        </w:rPr>
        <w:t>7</w:t>
      </w:r>
      <w:r w:rsidRPr="00720A0C">
        <w:rPr>
          <w:rFonts w:ascii="Arial" w:eastAsia="Times New Roman" w:hAnsi="Arial" w:cs="Arial"/>
          <w:sz w:val="18"/>
          <w:szCs w:val="18"/>
        </w:rPr>
        <w:t xml:space="preserve">.priv.sit.) u iznosu </w:t>
      </w:r>
      <w:r w:rsidR="001343D4" w:rsidRPr="00720A0C">
        <w:rPr>
          <w:rFonts w:ascii="Arial" w:eastAsia="Times New Roman" w:hAnsi="Arial" w:cs="Arial"/>
          <w:sz w:val="18"/>
          <w:szCs w:val="18"/>
        </w:rPr>
        <w:t xml:space="preserve">858.701,85 </w:t>
      </w:r>
      <w:r w:rsidRPr="00720A0C">
        <w:rPr>
          <w:rFonts w:ascii="Arial" w:eastAsia="Times New Roman" w:hAnsi="Arial" w:cs="Arial"/>
          <w:sz w:val="18"/>
          <w:szCs w:val="18"/>
        </w:rPr>
        <w:t xml:space="preserve">EUR </w:t>
      </w:r>
      <w:r w:rsidR="001343D4" w:rsidRPr="00720A0C">
        <w:rPr>
          <w:rFonts w:ascii="Arial" w:eastAsia="Times New Roman" w:hAnsi="Arial" w:cs="Arial"/>
          <w:sz w:val="18"/>
          <w:szCs w:val="18"/>
        </w:rPr>
        <w:t>bez</w:t>
      </w:r>
      <w:r w:rsidRPr="00720A0C">
        <w:rPr>
          <w:rFonts w:ascii="Arial" w:eastAsia="Times New Roman" w:hAnsi="Arial" w:cs="Arial"/>
          <w:sz w:val="18"/>
          <w:szCs w:val="18"/>
        </w:rPr>
        <w:t xml:space="preserve"> PDV-</w:t>
      </w:r>
      <w:r w:rsidR="001343D4" w:rsidRPr="00720A0C">
        <w:rPr>
          <w:rFonts w:ascii="Arial" w:eastAsia="Times New Roman" w:hAnsi="Arial" w:cs="Arial"/>
          <w:sz w:val="18"/>
          <w:szCs w:val="18"/>
        </w:rPr>
        <w:t>a</w:t>
      </w:r>
      <w:r w:rsidRPr="00720A0C">
        <w:rPr>
          <w:rFonts w:ascii="Arial" w:eastAsia="Times New Roman" w:hAnsi="Arial" w:cs="Arial"/>
          <w:sz w:val="18"/>
          <w:szCs w:val="18"/>
        </w:rPr>
        <w:t xml:space="preserve">, te sveukupno izvedeni radovi iznose </w:t>
      </w:r>
      <w:r w:rsidR="001343D4" w:rsidRPr="00720A0C">
        <w:rPr>
          <w:rFonts w:ascii="Arial" w:eastAsia="Times New Roman" w:hAnsi="Arial" w:cs="Arial"/>
          <w:sz w:val="18"/>
          <w:szCs w:val="18"/>
        </w:rPr>
        <w:t>1.219.688,16</w:t>
      </w:r>
      <w:r w:rsidRPr="00720A0C">
        <w:rPr>
          <w:rFonts w:ascii="Arial" w:eastAsia="Times New Roman" w:hAnsi="Arial" w:cs="Arial"/>
          <w:sz w:val="18"/>
          <w:szCs w:val="18"/>
        </w:rPr>
        <w:t xml:space="preserve"> EUR (</w:t>
      </w:r>
      <w:r w:rsidR="001343D4" w:rsidRPr="00720A0C">
        <w:rPr>
          <w:rFonts w:ascii="Arial" w:eastAsia="Times New Roman" w:hAnsi="Arial" w:cs="Arial"/>
          <w:sz w:val="18"/>
          <w:szCs w:val="18"/>
        </w:rPr>
        <w:t>1.524.610,20</w:t>
      </w:r>
      <w:r w:rsidRPr="00720A0C">
        <w:rPr>
          <w:rFonts w:ascii="Arial" w:eastAsia="Times New Roman" w:hAnsi="Arial" w:cs="Arial"/>
          <w:sz w:val="18"/>
          <w:szCs w:val="18"/>
        </w:rPr>
        <w:t xml:space="preserve"> EUR s PDV-om).</w:t>
      </w:r>
    </w:p>
    <w:p w14:paraId="74977B5D" w14:textId="77777777" w:rsidR="00737335" w:rsidRPr="00720A0C" w:rsidRDefault="00737335" w:rsidP="00B20566">
      <w:pPr>
        <w:autoSpaceDE w:val="0"/>
        <w:autoSpaceDN w:val="0"/>
        <w:adjustRightInd w:val="0"/>
        <w:spacing w:after="0" w:line="240" w:lineRule="auto"/>
        <w:jc w:val="both"/>
        <w:rPr>
          <w:rFonts w:ascii="Arial" w:eastAsia="Times New Roman" w:hAnsi="Arial" w:cs="Arial"/>
          <w:sz w:val="18"/>
          <w:szCs w:val="18"/>
        </w:rPr>
      </w:pPr>
    </w:p>
    <w:p w14:paraId="0E79AF87" w14:textId="1F64DBE7" w:rsidR="00737335" w:rsidRPr="00720A0C" w:rsidRDefault="00737335" w:rsidP="00737335">
      <w:pPr>
        <w:autoSpaceDE w:val="0"/>
        <w:autoSpaceDN w:val="0"/>
        <w:adjustRightInd w:val="0"/>
        <w:spacing w:after="0" w:line="240" w:lineRule="auto"/>
        <w:jc w:val="both"/>
        <w:rPr>
          <w:rFonts w:ascii="Arial" w:eastAsia="Times New Roman" w:hAnsi="Arial" w:cs="Arial"/>
          <w:b/>
          <w:sz w:val="18"/>
          <w:szCs w:val="18"/>
        </w:rPr>
      </w:pPr>
      <w:r w:rsidRPr="00720A0C">
        <w:rPr>
          <w:rFonts w:ascii="Arial" w:eastAsia="Times New Roman" w:hAnsi="Arial" w:cs="Arial"/>
          <w:sz w:val="18"/>
          <w:szCs w:val="18"/>
        </w:rPr>
        <w:t xml:space="preserve">Koncem 2023. godine postotak izvedenih radova izgradnje uređaja za pročišćavanje otpadnih voda i podmorskog ispusta iznose </w:t>
      </w:r>
      <w:r w:rsidR="00605E2E" w:rsidRPr="00720A0C">
        <w:rPr>
          <w:rFonts w:ascii="Arial" w:eastAsia="Times New Roman" w:hAnsi="Arial" w:cs="Arial"/>
          <w:b/>
          <w:sz w:val="18"/>
          <w:szCs w:val="18"/>
        </w:rPr>
        <w:t>99,9</w:t>
      </w:r>
      <w:r w:rsidRPr="00720A0C">
        <w:rPr>
          <w:rFonts w:ascii="Arial" w:eastAsia="Times New Roman" w:hAnsi="Arial" w:cs="Arial"/>
          <w:b/>
          <w:sz w:val="18"/>
          <w:szCs w:val="18"/>
        </w:rPr>
        <w:t>%.</w:t>
      </w:r>
    </w:p>
    <w:p w14:paraId="300A2F30" w14:textId="77777777" w:rsidR="00ED651F" w:rsidRPr="00720A0C" w:rsidRDefault="00ED651F" w:rsidP="00737335">
      <w:pPr>
        <w:autoSpaceDE w:val="0"/>
        <w:autoSpaceDN w:val="0"/>
        <w:adjustRightInd w:val="0"/>
        <w:spacing w:after="0" w:line="240" w:lineRule="auto"/>
        <w:jc w:val="both"/>
        <w:rPr>
          <w:rFonts w:ascii="Arial" w:eastAsia="Times New Roman" w:hAnsi="Arial" w:cs="Arial"/>
          <w:b/>
          <w:sz w:val="18"/>
          <w:szCs w:val="18"/>
        </w:rPr>
      </w:pPr>
    </w:p>
    <w:p w14:paraId="4EFF5664" w14:textId="4DCE537E" w:rsidR="00605E2E" w:rsidRPr="00FF3C31" w:rsidRDefault="00605E2E" w:rsidP="00593945">
      <w:pPr>
        <w:shd w:val="clear" w:color="auto" w:fill="FFFFFF"/>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Izvođač radova će ispostaviti okončanu situaciju nakon što Hrvatske vode priznaju izvođaču zahtjev za povećanjem cijena (razlika u cijeni između ugovorenih radova i stvarno izvedenih radova radi povećanja cijena na tržištu).</w:t>
      </w:r>
      <w:r w:rsidR="00593945" w:rsidRPr="00FF3C31">
        <w:rPr>
          <w:rFonts w:ascii="Arial" w:eastAsia="Times New Roman" w:hAnsi="Arial" w:cs="Arial"/>
          <w:sz w:val="20"/>
          <w:szCs w:val="20"/>
        </w:rPr>
        <w:t xml:space="preserve"> </w:t>
      </w:r>
      <w:bookmarkStart w:id="489" w:name="_Hlk176167775"/>
      <w:r w:rsidR="00593945" w:rsidRPr="00FF3C31">
        <w:rPr>
          <w:rFonts w:ascii="Arial" w:eastAsia="Times New Roman" w:hAnsi="Arial" w:cs="Arial"/>
          <w:sz w:val="20"/>
          <w:szCs w:val="20"/>
        </w:rPr>
        <w:t>Eventualno priznavanje razlike u cijeni radova bi trebalo ići kao okončana situacij</w:t>
      </w:r>
      <w:r w:rsidR="00720A0C">
        <w:rPr>
          <w:rFonts w:ascii="Arial" w:eastAsia="Times New Roman" w:hAnsi="Arial" w:cs="Arial"/>
          <w:sz w:val="20"/>
          <w:szCs w:val="20"/>
        </w:rPr>
        <w:t>a</w:t>
      </w:r>
      <w:r w:rsidR="00593945" w:rsidRPr="00FF3C31">
        <w:rPr>
          <w:rFonts w:ascii="Arial" w:eastAsia="Times New Roman" w:hAnsi="Arial" w:cs="Arial"/>
          <w:sz w:val="20"/>
          <w:szCs w:val="20"/>
        </w:rPr>
        <w:t xml:space="preserve"> (do konca kolovoza 2024. nije odlučeno o zahtjevu izvođača radova).</w:t>
      </w:r>
    </w:p>
    <w:bookmarkEnd w:id="489"/>
    <w:p w14:paraId="2E45D839" w14:textId="77777777" w:rsidR="00605E2E" w:rsidRPr="00720A0C" w:rsidRDefault="00605E2E" w:rsidP="00737335">
      <w:pPr>
        <w:autoSpaceDE w:val="0"/>
        <w:autoSpaceDN w:val="0"/>
        <w:adjustRightInd w:val="0"/>
        <w:spacing w:after="0" w:line="240" w:lineRule="auto"/>
        <w:jc w:val="both"/>
        <w:rPr>
          <w:rFonts w:ascii="Arial" w:eastAsia="Times New Roman" w:hAnsi="Arial" w:cs="Arial"/>
          <w:bCs/>
          <w:sz w:val="18"/>
          <w:szCs w:val="18"/>
        </w:rPr>
      </w:pPr>
    </w:p>
    <w:p w14:paraId="270F1BB9" w14:textId="77777777" w:rsidR="00664006" w:rsidRPr="00720A0C" w:rsidRDefault="00664006" w:rsidP="0066400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Dubrovačko-neretvanska županija, Upravni odjel za prostorno uređenje i gradnju izdalo je:</w:t>
      </w:r>
    </w:p>
    <w:p w14:paraId="09A75889" w14:textId="4D1F794E" w:rsidR="00664006" w:rsidRPr="00720A0C" w:rsidRDefault="00664006" w:rsidP="00664006">
      <w:pPr>
        <w:numPr>
          <w:ilvl w:val="0"/>
          <w:numId w:val="5"/>
        </w:num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b/>
          <w:sz w:val="18"/>
          <w:szCs w:val="18"/>
          <w:u w:val="single"/>
        </w:rPr>
        <w:lastRenderedPageBreak/>
        <w:t>Uporabnu dozvolu</w:t>
      </w:r>
      <w:r w:rsidRPr="00720A0C">
        <w:rPr>
          <w:rFonts w:ascii="Arial" w:eastAsia="Times New Roman" w:hAnsi="Arial" w:cs="Arial"/>
          <w:sz w:val="18"/>
          <w:szCs w:val="18"/>
        </w:rPr>
        <w:t xml:space="preserve"> za izgrađene faze 1. zahvata u prostoru infrastrukturne namjene vodno-gospodarskog sustava naselja Molunat (građevina u sustavu odvodnje otpadnih voda – uređaj za pročišćavanje sa podmorskim ispustom duljine 1000 m i priključkom na cjevovod fekalne kanalizacije i vodoopskrbni cjevovod s nadzemnim hidrantom; KLASA: UP/I-361-05/23-01/000111; URBROJ:2117-23-6/1-23-0012, Gruda, 15.11.2023. PRAVOMOĆNA 22.11.2023.</w:t>
      </w:r>
    </w:p>
    <w:p w14:paraId="5AF77486" w14:textId="77777777" w:rsidR="00664006" w:rsidRPr="00FF3C31" w:rsidRDefault="00664006" w:rsidP="00B20566">
      <w:pPr>
        <w:autoSpaceDE w:val="0"/>
        <w:autoSpaceDN w:val="0"/>
        <w:adjustRightInd w:val="0"/>
        <w:spacing w:after="0" w:line="240" w:lineRule="auto"/>
        <w:jc w:val="both"/>
        <w:rPr>
          <w:rFonts w:ascii="Arial" w:eastAsia="Times New Roman" w:hAnsi="Arial" w:cs="Arial"/>
          <w:sz w:val="20"/>
          <w:szCs w:val="20"/>
        </w:rPr>
      </w:pPr>
    </w:p>
    <w:p w14:paraId="3F966740" w14:textId="1079473D" w:rsidR="006D251D" w:rsidRPr="00720A0C" w:rsidRDefault="006D251D">
      <w:pPr>
        <w:pStyle w:val="Odlomakpopisa"/>
        <w:numPr>
          <w:ilvl w:val="0"/>
          <w:numId w:val="22"/>
        </w:numPr>
        <w:autoSpaceDE w:val="0"/>
        <w:autoSpaceDN w:val="0"/>
        <w:adjustRightInd w:val="0"/>
        <w:rPr>
          <w:rFonts w:ascii="Arial" w:hAnsi="Arial" w:cs="Arial"/>
          <w:sz w:val="18"/>
          <w:szCs w:val="18"/>
        </w:rPr>
      </w:pPr>
      <w:r w:rsidRPr="00720A0C">
        <w:rPr>
          <w:rFonts w:ascii="Arial" w:hAnsi="Arial" w:cs="Arial"/>
          <w:sz w:val="18"/>
          <w:szCs w:val="18"/>
        </w:rPr>
        <w:t>Financiranje</w:t>
      </w:r>
      <w:r w:rsidR="007C4B2D" w:rsidRPr="00720A0C">
        <w:rPr>
          <w:rFonts w:ascii="Arial" w:hAnsi="Arial" w:cs="Arial"/>
          <w:sz w:val="18"/>
          <w:szCs w:val="18"/>
        </w:rPr>
        <w:t xml:space="preserve"> </w:t>
      </w:r>
      <w:r w:rsidR="00D471AD" w:rsidRPr="00720A0C">
        <w:rPr>
          <w:rFonts w:ascii="Arial" w:hAnsi="Arial" w:cs="Arial"/>
          <w:sz w:val="18"/>
          <w:szCs w:val="18"/>
        </w:rPr>
        <w:t xml:space="preserve">u razdoblju </w:t>
      </w:r>
      <w:r w:rsidR="007C4B2D" w:rsidRPr="00720A0C">
        <w:rPr>
          <w:rFonts w:ascii="Arial" w:hAnsi="Arial" w:cs="Arial"/>
          <w:sz w:val="18"/>
          <w:szCs w:val="18"/>
        </w:rPr>
        <w:t>2021.</w:t>
      </w:r>
      <w:r w:rsidR="00D471AD" w:rsidRPr="00720A0C">
        <w:rPr>
          <w:rFonts w:ascii="Arial" w:hAnsi="Arial" w:cs="Arial"/>
          <w:sz w:val="18"/>
          <w:szCs w:val="18"/>
        </w:rPr>
        <w:t xml:space="preserve"> -</w:t>
      </w:r>
      <w:r w:rsidR="00F82A8E" w:rsidRPr="00720A0C">
        <w:rPr>
          <w:rFonts w:ascii="Arial" w:hAnsi="Arial" w:cs="Arial"/>
          <w:sz w:val="18"/>
          <w:szCs w:val="18"/>
        </w:rPr>
        <w:t xml:space="preserve"> 202</w:t>
      </w:r>
      <w:r w:rsidR="00D471AD" w:rsidRPr="00720A0C">
        <w:rPr>
          <w:rFonts w:ascii="Arial" w:hAnsi="Arial" w:cs="Arial"/>
          <w:sz w:val="18"/>
          <w:szCs w:val="18"/>
        </w:rPr>
        <w:t>3</w:t>
      </w:r>
      <w:r w:rsidR="00F82A8E" w:rsidRPr="00720A0C">
        <w:rPr>
          <w:rFonts w:ascii="Arial" w:hAnsi="Arial" w:cs="Arial"/>
          <w:sz w:val="18"/>
          <w:szCs w:val="18"/>
        </w:rPr>
        <w:t xml:space="preserve">. </w:t>
      </w:r>
    </w:p>
    <w:p w14:paraId="18C5BD05" w14:textId="77777777" w:rsidR="006D251D" w:rsidRPr="00720A0C" w:rsidRDefault="006D251D" w:rsidP="00B20566">
      <w:pPr>
        <w:autoSpaceDE w:val="0"/>
        <w:autoSpaceDN w:val="0"/>
        <w:adjustRightInd w:val="0"/>
        <w:spacing w:after="0" w:line="240" w:lineRule="auto"/>
        <w:jc w:val="both"/>
        <w:rPr>
          <w:rFonts w:ascii="Arial" w:eastAsia="Times New Roman" w:hAnsi="Arial" w:cs="Arial"/>
          <w:sz w:val="18"/>
          <w:szCs w:val="18"/>
        </w:rPr>
      </w:pPr>
    </w:p>
    <w:p w14:paraId="261D4DD8" w14:textId="72717C82"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U 2021. godini, komunalno društvo je 12.01.2021. zaključilo s Hrvatskim vodama ugovor u vrijednosti 1.125.000 kn kojim su se Hrvatske vode obvezale sufinancirati 900.000 kn radove izgradnje vodnih građevina na području aglomeracije Molunat – izgradnja sustav odvodnje otpadnih voda, izgradnja uređaja za pročišćavanje otpadnih voda, uključujući usluge stručnog nadzora. U srpnju 2021. zaključen je dodatak ugovoru u vrijednosti 1.756.250 </w:t>
      </w:r>
      <w:r w:rsidR="000A785B" w:rsidRPr="00720A0C">
        <w:rPr>
          <w:rFonts w:ascii="Arial" w:eastAsia="Times New Roman" w:hAnsi="Arial" w:cs="Arial"/>
          <w:sz w:val="18"/>
          <w:szCs w:val="18"/>
        </w:rPr>
        <w:t xml:space="preserve">kn / 233.094,43 € </w:t>
      </w:r>
      <w:r w:rsidRPr="00720A0C">
        <w:rPr>
          <w:rFonts w:ascii="Arial" w:eastAsia="Times New Roman" w:hAnsi="Arial" w:cs="Arial"/>
          <w:sz w:val="18"/>
          <w:szCs w:val="18"/>
        </w:rPr>
        <w:t>kojem su se Hrvatske vode obvezale još dodatno sufinancirati 1.405.250 kn</w:t>
      </w:r>
      <w:r w:rsidR="00621E95" w:rsidRPr="00720A0C">
        <w:rPr>
          <w:rFonts w:ascii="Arial" w:eastAsia="Times New Roman" w:hAnsi="Arial" w:cs="Arial"/>
          <w:sz w:val="18"/>
          <w:szCs w:val="18"/>
        </w:rPr>
        <w:t xml:space="preserve"> / 186.508,73 €</w:t>
      </w:r>
      <w:r w:rsidRPr="00720A0C">
        <w:rPr>
          <w:rFonts w:ascii="Arial" w:eastAsia="Times New Roman" w:hAnsi="Arial" w:cs="Arial"/>
          <w:sz w:val="18"/>
          <w:szCs w:val="18"/>
        </w:rPr>
        <w:t xml:space="preserve">, odnosno sveukupno je za 2021. ugovoreno 2.881.250 kn </w:t>
      </w:r>
      <w:r w:rsidR="00621E95" w:rsidRPr="00720A0C">
        <w:rPr>
          <w:rFonts w:ascii="Arial" w:eastAsia="Times New Roman" w:hAnsi="Arial" w:cs="Arial"/>
          <w:sz w:val="18"/>
          <w:szCs w:val="18"/>
        </w:rPr>
        <w:t xml:space="preserve">/ 382.407,59 € </w:t>
      </w:r>
      <w:r w:rsidRPr="00720A0C">
        <w:rPr>
          <w:rFonts w:ascii="Arial" w:eastAsia="Times New Roman" w:hAnsi="Arial" w:cs="Arial"/>
          <w:sz w:val="18"/>
          <w:szCs w:val="18"/>
        </w:rPr>
        <w:t>za sufinanciranje kanalizacije (Hrvatske vode 2.305.000 kn</w:t>
      </w:r>
      <w:r w:rsidR="00621E95" w:rsidRPr="00720A0C">
        <w:rPr>
          <w:rFonts w:ascii="Arial" w:eastAsia="Times New Roman" w:hAnsi="Arial" w:cs="Arial"/>
          <w:sz w:val="18"/>
          <w:szCs w:val="18"/>
        </w:rPr>
        <w:t xml:space="preserve"> / 305.926,07 €</w:t>
      </w:r>
      <w:r w:rsidRPr="00720A0C">
        <w:rPr>
          <w:rFonts w:ascii="Arial" w:eastAsia="Times New Roman" w:hAnsi="Arial" w:cs="Arial"/>
          <w:sz w:val="18"/>
          <w:szCs w:val="18"/>
        </w:rPr>
        <w:t>, a investitor 576.250 kn</w:t>
      </w:r>
      <w:r w:rsidR="00621E95" w:rsidRPr="00720A0C">
        <w:rPr>
          <w:rFonts w:ascii="Arial" w:eastAsia="Times New Roman" w:hAnsi="Arial" w:cs="Arial"/>
          <w:sz w:val="18"/>
          <w:szCs w:val="18"/>
        </w:rPr>
        <w:t xml:space="preserve"> / 76.481,52 €</w:t>
      </w:r>
      <w:r w:rsidRPr="00720A0C">
        <w:rPr>
          <w:rFonts w:ascii="Arial" w:eastAsia="Times New Roman" w:hAnsi="Arial" w:cs="Arial"/>
          <w:sz w:val="18"/>
          <w:szCs w:val="18"/>
        </w:rPr>
        <w:t>).</w:t>
      </w:r>
    </w:p>
    <w:p w14:paraId="311E077A" w14:textId="67F9B10E"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Pored navedenog, komunalno društvo je 12.01.2021. zaključilo s Hrvatskim vodama ugovor u vrijednosti 1.000.000 kn </w:t>
      </w:r>
      <w:r w:rsidR="00621E95" w:rsidRPr="00720A0C">
        <w:rPr>
          <w:rFonts w:ascii="Arial" w:eastAsia="Times New Roman" w:hAnsi="Arial" w:cs="Arial"/>
          <w:sz w:val="18"/>
          <w:szCs w:val="18"/>
        </w:rPr>
        <w:t xml:space="preserve">/ 132.722,81 € </w:t>
      </w:r>
      <w:r w:rsidRPr="00720A0C">
        <w:rPr>
          <w:rFonts w:ascii="Arial" w:eastAsia="Times New Roman" w:hAnsi="Arial" w:cs="Arial"/>
          <w:sz w:val="18"/>
          <w:szCs w:val="18"/>
        </w:rPr>
        <w:t xml:space="preserve">kojim su se Hrvatske vode obvezale sufinancirati 800.000 kn </w:t>
      </w:r>
      <w:r w:rsidR="00621E95" w:rsidRPr="00720A0C">
        <w:rPr>
          <w:rFonts w:ascii="Arial" w:eastAsia="Times New Roman" w:hAnsi="Arial" w:cs="Arial"/>
          <w:sz w:val="18"/>
          <w:szCs w:val="18"/>
        </w:rPr>
        <w:t xml:space="preserve">/ 106.178,25 € </w:t>
      </w:r>
      <w:r w:rsidRPr="00720A0C">
        <w:rPr>
          <w:rFonts w:ascii="Arial" w:eastAsia="Times New Roman" w:hAnsi="Arial" w:cs="Arial"/>
          <w:sz w:val="18"/>
          <w:szCs w:val="18"/>
        </w:rPr>
        <w:t>radove izgradnje vodoopskrbnog sustava, uključujući usluge stručnog nadzora.</w:t>
      </w:r>
    </w:p>
    <w:p w14:paraId="6811AE35" w14:textId="46A95EF2"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6AAC4D57" w14:textId="10657F7F" w:rsidR="006D251D" w:rsidRPr="00720A0C" w:rsidRDefault="006D251D"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Također, </w:t>
      </w:r>
      <w:r w:rsidR="00AE159F" w:rsidRPr="00720A0C">
        <w:rPr>
          <w:rFonts w:ascii="Arial" w:eastAsia="Times New Roman" w:hAnsi="Arial" w:cs="Arial"/>
          <w:sz w:val="18"/>
          <w:szCs w:val="18"/>
        </w:rPr>
        <w:t xml:space="preserve">Konavosko komunalno društvo d.o.o. je dana 23.12.2021. s Ministarstvom gospodarstva i održivog razvoja, te Hrvatskim vodama (provedbeno tijelo) zaključilo ugovor o </w:t>
      </w:r>
      <w:r w:rsidR="00E9062F" w:rsidRPr="00720A0C">
        <w:rPr>
          <w:rFonts w:ascii="Arial" w:eastAsia="Times New Roman" w:hAnsi="Arial" w:cs="Arial"/>
          <w:sz w:val="18"/>
          <w:szCs w:val="18"/>
        </w:rPr>
        <w:t>korištenju</w:t>
      </w:r>
      <w:r w:rsidR="00AE159F" w:rsidRPr="00720A0C">
        <w:rPr>
          <w:rFonts w:ascii="Arial" w:eastAsia="Times New Roman" w:hAnsi="Arial" w:cs="Arial"/>
          <w:sz w:val="18"/>
          <w:szCs w:val="18"/>
        </w:rPr>
        <w:t xml:space="preserve"> bespovratnih sredstava za projekte koji se financiranju iz nacionalnog plana za oporavak i </w:t>
      </w:r>
      <w:r w:rsidR="00E9062F" w:rsidRPr="00720A0C">
        <w:rPr>
          <w:rFonts w:ascii="Arial" w:eastAsia="Times New Roman" w:hAnsi="Arial" w:cs="Arial"/>
          <w:sz w:val="18"/>
          <w:szCs w:val="18"/>
        </w:rPr>
        <w:t>otpornost</w:t>
      </w:r>
      <w:r w:rsidR="00AE159F" w:rsidRPr="00720A0C">
        <w:rPr>
          <w:rFonts w:ascii="Arial" w:eastAsia="Times New Roman" w:hAnsi="Arial" w:cs="Arial"/>
          <w:sz w:val="18"/>
          <w:szCs w:val="18"/>
        </w:rPr>
        <w:t xml:space="preserve"> 2021.-2026. Ugovorena je provedba projekta pod nazivom „Razvoj </w:t>
      </w:r>
      <w:r w:rsidR="00E9062F" w:rsidRPr="00720A0C">
        <w:rPr>
          <w:rFonts w:ascii="Arial" w:eastAsia="Times New Roman" w:hAnsi="Arial" w:cs="Arial"/>
          <w:sz w:val="18"/>
          <w:szCs w:val="18"/>
        </w:rPr>
        <w:t>javne</w:t>
      </w:r>
      <w:r w:rsidR="00AE159F" w:rsidRPr="00720A0C">
        <w:rPr>
          <w:rFonts w:ascii="Arial" w:eastAsia="Times New Roman" w:hAnsi="Arial" w:cs="Arial"/>
          <w:sz w:val="18"/>
          <w:szCs w:val="18"/>
        </w:rPr>
        <w:t xml:space="preserve"> vodoopskrbe i javne odvodnje otpadnih voda u Općini Konavle“. Razdoblje prihvatljivosti projekta je od 1.2.2020. do 31.12.2025., a ukupna vrijednost </w:t>
      </w:r>
      <w:r w:rsidR="00E9062F" w:rsidRPr="00720A0C">
        <w:rPr>
          <w:rFonts w:ascii="Arial" w:eastAsia="Times New Roman" w:hAnsi="Arial" w:cs="Arial"/>
          <w:sz w:val="18"/>
          <w:szCs w:val="18"/>
        </w:rPr>
        <w:t>projekta</w:t>
      </w:r>
      <w:r w:rsidR="00AE159F" w:rsidRPr="00720A0C">
        <w:rPr>
          <w:rFonts w:ascii="Arial" w:eastAsia="Times New Roman" w:hAnsi="Arial" w:cs="Arial"/>
          <w:sz w:val="18"/>
          <w:szCs w:val="18"/>
        </w:rPr>
        <w:t xml:space="preserve"> je 28.144.931,75 kn</w:t>
      </w:r>
      <w:r w:rsidR="00D873AE" w:rsidRPr="00720A0C">
        <w:rPr>
          <w:rFonts w:ascii="Arial" w:eastAsia="Times New Roman" w:hAnsi="Arial" w:cs="Arial"/>
          <w:sz w:val="18"/>
          <w:szCs w:val="18"/>
        </w:rPr>
        <w:t xml:space="preserve"> / 3.735.474,38 €</w:t>
      </w:r>
      <w:r w:rsidR="00AE159F" w:rsidRPr="00720A0C">
        <w:rPr>
          <w:rFonts w:ascii="Arial" w:eastAsia="Times New Roman" w:hAnsi="Arial" w:cs="Arial"/>
          <w:sz w:val="18"/>
          <w:szCs w:val="18"/>
        </w:rPr>
        <w:t xml:space="preserve"> od čega prihvatljivi troškovi projekta iznose 19.174.679,91 kn</w:t>
      </w:r>
      <w:r w:rsidR="00D873AE" w:rsidRPr="00720A0C">
        <w:rPr>
          <w:rFonts w:ascii="Arial" w:eastAsia="Times New Roman" w:hAnsi="Arial" w:cs="Arial"/>
          <w:sz w:val="18"/>
          <w:szCs w:val="18"/>
        </w:rPr>
        <w:t xml:space="preserve"> / 2.544.917,37 €</w:t>
      </w:r>
      <w:r w:rsidR="00AE159F" w:rsidRPr="00720A0C">
        <w:rPr>
          <w:rFonts w:ascii="Arial" w:eastAsia="Times New Roman" w:hAnsi="Arial" w:cs="Arial"/>
          <w:sz w:val="18"/>
          <w:szCs w:val="18"/>
        </w:rPr>
        <w:t xml:space="preserve">, dok </w:t>
      </w:r>
      <w:r w:rsidR="00AE159F" w:rsidRPr="00720A0C">
        <w:rPr>
          <w:rFonts w:ascii="Arial" w:eastAsia="Times New Roman" w:hAnsi="Arial" w:cs="Arial"/>
          <w:b/>
          <w:bCs/>
          <w:sz w:val="18"/>
          <w:szCs w:val="18"/>
        </w:rPr>
        <w:t>najveći mogući iznos bespovratnih sredstava iznosi 15.339.743,93 kn</w:t>
      </w:r>
      <w:r w:rsidR="00D873AE" w:rsidRPr="00720A0C">
        <w:rPr>
          <w:rFonts w:ascii="Arial" w:eastAsia="Times New Roman" w:hAnsi="Arial" w:cs="Arial"/>
          <w:b/>
          <w:bCs/>
          <w:sz w:val="18"/>
          <w:szCs w:val="18"/>
        </w:rPr>
        <w:t xml:space="preserve"> / 2.035.933,89 €</w:t>
      </w:r>
      <w:r w:rsidR="00AE159F" w:rsidRPr="00720A0C">
        <w:rPr>
          <w:rFonts w:ascii="Arial" w:eastAsia="Times New Roman" w:hAnsi="Arial" w:cs="Arial"/>
          <w:b/>
          <w:bCs/>
          <w:sz w:val="18"/>
          <w:szCs w:val="18"/>
        </w:rPr>
        <w:t>.</w:t>
      </w:r>
      <w:r w:rsidR="00AE159F" w:rsidRPr="00720A0C">
        <w:rPr>
          <w:rFonts w:ascii="Arial" w:eastAsia="Times New Roman" w:hAnsi="Arial" w:cs="Arial"/>
          <w:sz w:val="18"/>
          <w:szCs w:val="18"/>
        </w:rPr>
        <w:t xml:space="preserve"> </w:t>
      </w:r>
    </w:p>
    <w:p w14:paraId="3A4F2E6A" w14:textId="77777777" w:rsidR="006D251D" w:rsidRPr="00720A0C" w:rsidRDefault="006D251D" w:rsidP="00B20566">
      <w:pPr>
        <w:autoSpaceDE w:val="0"/>
        <w:autoSpaceDN w:val="0"/>
        <w:adjustRightInd w:val="0"/>
        <w:spacing w:after="0" w:line="240" w:lineRule="auto"/>
        <w:jc w:val="both"/>
        <w:rPr>
          <w:rFonts w:ascii="Arial" w:eastAsia="Times New Roman" w:hAnsi="Arial" w:cs="Arial"/>
          <w:sz w:val="18"/>
          <w:szCs w:val="18"/>
        </w:rPr>
      </w:pPr>
    </w:p>
    <w:p w14:paraId="09550DC2" w14:textId="28BE57EE"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Prema podacima društva u vlasništvu, Hrvatske vode su u 2021. godine doznačile društvu sredstva za sufinanciranje investicije </w:t>
      </w:r>
      <w:r w:rsidR="0000001A" w:rsidRPr="00720A0C">
        <w:rPr>
          <w:rFonts w:ascii="Arial" w:eastAsia="Times New Roman" w:hAnsi="Arial" w:cs="Arial"/>
          <w:sz w:val="18"/>
          <w:szCs w:val="18"/>
        </w:rPr>
        <w:t xml:space="preserve">3.105.000,03 </w:t>
      </w:r>
      <w:r w:rsidRPr="00720A0C">
        <w:rPr>
          <w:rFonts w:ascii="Arial" w:eastAsia="Times New Roman" w:hAnsi="Arial" w:cs="Arial"/>
          <w:sz w:val="18"/>
          <w:szCs w:val="18"/>
        </w:rPr>
        <w:t>kn</w:t>
      </w:r>
      <w:r w:rsidR="00D873AE" w:rsidRPr="00720A0C">
        <w:rPr>
          <w:rFonts w:ascii="Arial" w:eastAsia="Times New Roman" w:hAnsi="Arial" w:cs="Arial"/>
          <w:sz w:val="18"/>
          <w:szCs w:val="18"/>
        </w:rPr>
        <w:t xml:space="preserve"> / 412.104,32 €</w:t>
      </w:r>
      <w:r w:rsidRPr="00720A0C">
        <w:rPr>
          <w:rFonts w:ascii="Arial" w:eastAsia="Times New Roman" w:hAnsi="Arial" w:cs="Arial"/>
          <w:sz w:val="18"/>
          <w:szCs w:val="18"/>
        </w:rPr>
        <w:t xml:space="preserve">, od čega za izgradnju vodovoda </w:t>
      </w:r>
      <w:r w:rsidR="008A352A" w:rsidRPr="00720A0C">
        <w:rPr>
          <w:rFonts w:ascii="Arial" w:eastAsia="Times New Roman" w:hAnsi="Arial" w:cs="Arial"/>
          <w:sz w:val="18"/>
          <w:szCs w:val="18"/>
        </w:rPr>
        <w:t xml:space="preserve">Molunat </w:t>
      </w:r>
      <w:r w:rsidR="0000001A" w:rsidRPr="00720A0C">
        <w:rPr>
          <w:rFonts w:ascii="Arial" w:eastAsia="Times New Roman" w:hAnsi="Arial" w:cs="Arial"/>
          <w:sz w:val="18"/>
          <w:szCs w:val="18"/>
        </w:rPr>
        <w:t>554.948,49</w:t>
      </w:r>
      <w:r w:rsidRPr="00720A0C">
        <w:rPr>
          <w:rFonts w:ascii="Arial" w:eastAsia="Times New Roman" w:hAnsi="Arial" w:cs="Arial"/>
          <w:sz w:val="18"/>
          <w:szCs w:val="18"/>
        </w:rPr>
        <w:t xml:space="preserve"> kn</w:t>
      </w:r>
      <w:r w:rsidR="00D873AE" w:rsidRPr="00720A0C">
        <w:rPr>
          <w:rFonts w:ascii="Arial" w:eastAsia="Times New Roman" w:hAnsi="Arial" w:cs="Arial"/>
          <w:sz w:val="18"/>
          <w:szCs w:val="18"/>
        </w:rPr>
        <w:t xml:space="preserve"> / 73.654,32 €</w:t>
      </w:r>
      <w:r w:rsidRPr="00720A0C">
        <w:rPr>
          <w:rFonts w:ascii="Arial" w:eastAsia="Times New Roman" w:hAnsi="Arial" w:cs="Arial"/>
          <w:sz w:val="18"/>
          <w:szCs w:val="18"/>
        </w:rPr>
        <w:t xml:space="preserve">, za radove na kanalizaciji </w:t>
      </w:r>
      <w:r w:rsidR="008A352A" w:rsidRPr="00720A0C">
        <w:rPr>
          <w:rFonts w:ascii="Arial" w:eastAsia="Times New Roman" w:hAnsi="Arial" w:cs="Arial"/>
          <w:sz w:val="18"/>
          <w:szCs w:val="18"/>
        </w:rPr>
        <w:t xml:space="preserve">Molunat </w:t>
      </w:r>
      <w:r w:rsidR="0000001A" w:rsidRPr="00720A0C">
        <w:rPr>
          <w:rFonts w:ascii="Arial" w:eastAsia="Times New Roman" w:hAnsi="Arial" w:cs="Arial"/>
          <w:sz w:val="18"/>
          <w:szCs w:val="18"/>
        </w:rPr>
        <w:t>1.146.997,08</w:t>
      </w:r>
      <w:r w:rsidRPr="00720A0C">
        <w:rPr>
          <w:rFonts w:ascii="Arial" w:eastAsia="Times New Roman" w:hAnsi="Arial" w:cs="Arial"/>
          <w:sz w:val="18"/>
          <w:szCs w:val="18"/>
        </w:rPr>
        <w:t xml:space="preserve"> kn</w:t>
      </w:r>
      <w:r w:rsidR="00D873AE" w:rsidRPr="00720A0C">
        <w:rPr>
          <w:rFonts w:ascii="Arial" w:eastAsia="Times New Roman" w:hAnsi="Arial" w:cs="Arial"/>
          <w:sz w:val="18"/>
          <w:szCs w:val="18"/>
        </w:rPr>
        <w:t xml:space="preserve"> / 152.232,67 €</w:t>
      </w:r>
      <w:r w:rsidR="008A352A" w:rsidRPr="00720A0C">
        <w:rPr>
          <w:rFonts w:ascii="Arial" w:eastAsia="Times New Roman" w:hAnsi="Arial" w:cs="Arial"/>
          <w:sz w:val="18"/>
          <w:szCs w:val="18"/>
        </w:rPr>
        <w:t xml:space="preserve">, te još za pročišćivač Molunat </w:t>
      </w:r>
      <w:r w:rsidR="00710C43" w:rsidRPr="00720A0C">
        <w:rPr>
          <w:rFonts w:ascii="Arial" w:eastAsia="Times New Roman" w:hAnsi="Arial" w:cs="Arial"/>
          <w:sz w:val="18"/>
          <w:szCs w:val="18"/>
        </w:rPr>
        <w:t>1.403.054,46</w:t>
      </w:r>
      <w:r w:rsidR="008A352A" w:rsidRPr="00720A0C">
        <w:rPr>
          <w:rFonts w:ascii="Arial" w:eastAsia="Times New Roman" w:hAnsi="Arial" w:cs="Arial"/>
          <w:sz w:val="18"/>
          <w:szCs w:val="18"/>
        </w:rPr>
        <w:t xml:space="preserve"> kn</w:t>
      </w:r>
      <w:r w:rsidR="00D873AE" w:rsidRPr="00720A0C">
        <w:rPr>
          <w:rFonts w:ascii="Arial" w:eastAsia="Times New Roman" w:hAnsi="Arial" w:cs="Arial"/>
          <w:sz w:val="18"/>
          <w:szCs w:val="18"/>
        </w:rPr>
        <w:t xml:space="preserve"> / 186.217,33 €</w:t>
      </w:r>
      <w:r w:rsidR="008A352A" w:rsidRPr="00720A0C">
        <w:rPr>
          <w:rFonts w:ascii="Arial" w:eastAsia="Times New Roman" w:hAnsi="Arial" w:cs="Arial"/>
          <w:sz w:val="18"/>
          <w:szCs w:val="18"/>
        </w:rPr>
        <w:t>.</w:t>
      </w:r>
    </w:p>
    <w:p w14:paraId="36CA9370" w14:textId="3A291656" w:rsidR="00D27FE7" w:rsidRPr="00720A0C" w:rsidRDefault="00D27FE7" w:rsidP="00B20566">
      <w:pPr>
        <w:autoSpaceDE w:val="0"/>
        <w:autoSpaceDN w:val="0"/>
        <w:adjustRightInd w:val="0"/>
        <w:spacing w:after="0" w:line="240" w:lineRule="auto"/>
        <w:jc w:val="both"/>
        <w:rPr>
          <w:rFonts w:ascii="Arial" w:eastAsia="Times New Roman" w:hAnsi="Arial" w:cs="Arial"/>
          <w:b/>
          <w:bCs/>
          <w:sz w:val="18"/>
          <w:szCs w:val="18"/>
        </w:rPr>
      </w:pPr>
      <w:r w:rsidRPr="00720A0C">
        <w:rPr>
          <w:rFonts w:ascii="Arial" w:eastAsia="Times New Roman" w:hAnsi="Arial" w:cs="Arial"/>
          <w:b/>
          <w:bCs/>
          <w:sz w:val="18"/>
          <w:szCs w:val="18"/>
        </w:rPr>
        <w:t xml:space="preserve">Prema </w:t>
      </w:r>
      <w:r w:rsidRPr="00720A0C">
        <w:rPr>
          <w:rFonts w:ascii="Arial" w:eastAsia="Times New Roman" w:hAnsi="Arial" w:cs="Arial"/>
          <w:b/>
          <w:bCs/>
          <w:sz w:val="18"/>
          <w:szCs w:val="18"/>
          <w:u w:val="single"/>
        </w:rPr>
        <w:t xml:space="preserve">zahtjevu za nadoknadom sredstva broj 1 </w:t>
      </w:r>
      <w:r w:rsidRPr="00720A0C">
        <w:rPr>
          <w:rFonts w:ascii="Arial" w:eastAsia="Times New Roman" w:hAnsi="Arial" w:cs="Arial"/>
          <w:b/>
          <w:bCs/>
          <w:sz w:val="18"/>
          <w:szCs w:val="18"/>
        </w:rPr>
        <w:t xml:space="preserve">i izvještajem o napretku projekta broj 1. komunalnom društvu je doznačeno 580.667,61 kn </w:t>
      </w:r>
      <w:r w:rsidR="00962DD2" w:rsidRPr="00720A0C">
        <w:rPr>
          <w:rFonts w:ascii="Arial" w:eastAsia="Times New Roman" w:hAnsi="Arial" w:cs="Arial"/>
          <w:b/>
          <w:bCs/>
          <w:sz w:val="18"/>
          <w:szCs w:val="18"/>
        </w:rPr>
        <w:t xml:space="preserve">(77.067,84 €) </w:t>
      </w:r>
      <w:r w:rsidRPr="00720A0C">
        <w:rPr>
          <w:rFonts w:ascii="Arial" w:eastAsia="Times New Roman" w:hAnsi="Arial" w:cs="Arial"/>
          <w:b/>
          <w:bCs/>
          <w:sz w:val="18"/>
          <w:szCs w:val="18"/>
        </w:rPr>
        <w:t xml:space="preserve">što se odnosi na 10% prihvatljivih troškova za prethodno izvedene radove. </w:t>
      </w:r>
    </w:p>
    <w:bookmarkEnd w:id="488"/>
    <w:p w14:paraId="415908A7" w14:textId="42C2D2C6"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471CCB59" w14:textId="2CECA850" w:rsidR="00E77875" w:rsidRPr="00720A0C" w:rsidRDefault="00E77875"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Općina je komunalnom društvu u 2021. doznačila novčana sredstva za sufinanciranje izgradnje vodovodne mreže u Moluntu u iznosu 104.392,68 kn</w:t>
      </w:r>
      <w:r w:rsidR="00621E95" w:rsidRPr="00720A0C">
        <w:rPr>
          <w:rFonts w:ascii="Arial" w:eastAsia="Times New Roman" w:hAnsi="Arial" w:cs="Arial"/>
          <w:sz w:val="18"/>
          <w:szCs w:val="18"/>
        </w:rPr>
        <w:t xml:space="preserve"> / 13.855,29 €</w:t>
      </w:r>
      <w:r w:rsidR="00987FF2" w:rsidRPr="00720A0C">
        <w:rPr>
          <w:rFonts w:ascii="Arial" w:eastAsia="Times New Roman" w:hAnsi="Arial" w:cs="Arial"/>
          <w:sz w:val="18"/>
          <w:szCs w:val="18"/>
        </w:rPr>
        <w:t>, te kanalizacijske mreže u Moluntu u iznosu 121.523,15 kn</w:t>
      </w:r>
      <w:r w:rsidR="00621E95" w:rsidRPr="00720A0C">
        <w:rPr>
          <w:rFonts w:ascii="Arial" w:eastAsia="Times New Roman" w:hAnsi="Arial" w:cs="Arial"/>
          <w:sz w:val="18"/>
          <w:szCs w:val="18"/>
        </w:rPr>
        <w:t xml:space="preserve"> / 16.128,87 €</w:t>
      </w:r>
      <w:r w:rsidR="00987FF2" w:rsidRPr="00720A0C">
        <w:rPr>
          <w:rFonts w:ascii="Arial" w:eastAsia="Times New Roman" w:hAnsi="Arial" w:cs="Arial"/>
          <w:sz w:val="18"/>
          <w:szCs w:val="18"/>
        </w:rPr>
        <w:t xml:space="preserve"> </w:t>
      </w:r>
      <w:r w:rsidR="007C4B2D" w:rsidRPr="00720A0C">
        <w:rPr>
          <w:rFonts w:ascii="Arial" w:eastAsia="Times New Roman" w:hAnsi="Arial" w:cs="Arial"/>
          <w:sz w:val="18"/>
          <w:szCs w:val="18"/>
        </w:rPr>
        <w:t>odnosno</w:t>
      </w:r>
      <w:r w:rsidR="00987FF2" w:rsidRPr="00720A0C">
        <w:rPr>
          <w:rFonts w:ascii="Arial" w:eastAsia="Times New Roman" w:hAnsi="Arial" w:cs="Arial"/>
          <w:sz w:val="18"/>
          <w:szCs w:val="18"/>
        </w:rPr>
        <w:t xml:space="preserve"> sveukupno 225.915,83 kn</w:t>
      </w:r>
      <w:r w:rsidRPr="00720A0C">
        <w:rPr>
          <w:rFonts w:ascii="Arial" w:eastAsia="Times New Roman" w:hAnsi="Arial" w:cs="Arial"/>
          <w:sz w:val="18"/>
          <w:szCs w:val="18"/>
        </w:rPr>
        <w:t xml:space="preserve"> </w:t>
      </w:r>
      <w:r w:rsidR="00621E95" w:rsidRPr="00720A0C">
        <w:rPr>
          <w:rFonts w:ascii="Arial" w:eastAsia="Times New Roman" w:hAnsi="Arial" w:cs="Arial"/>
          <w:sz w:val="18"/>
          <w:szCs w:val="18"/>
        </w:rPr>
        <w:t xml:space="preserve">/ 29.984,18 € </w:t>
      </w:r>
      <w:r w:rsidRPr="00720A0C">
        <w:rPr>
          <w:rFonts w:ascii="Arial" w:eastAsia="Times New Roman" w:hAnsi="Arial" w:cs="Arial"/>
          <w:sz w:val="18"/>
          <w:szCs w:val="18"/>
        </w:rPr>
        <w:t>(n</w:t>
      </w:r>
      <w:r w:rsidR="00987FF2" w:rsidRPr="00720A0C">
        <w:rPr>
          <w:rFonts w:ascii="Arial" w:eastAsia="Times New Roman" w:hAnsi="Arial" w:cs="Arial"/>
          <w:sz w:val="18"/>
          <w:szCs w:val="18"/>
        </w:rPr>
        <w:t>a temelju 14. i 15. privremene situacije s nadzorom).</w:t>
      </w:r>
    </w:p>
    <w:p w14:paraId="6AB569BE" w14:textId="022D6C4D" w:rsidR="00F82A8E" w:rsidRPr="00720A0C" w:rsidRDefault="00F82A8E" w:rsidP="00B20566">
      <w:pPr>
        <w:autoSpaceDE w:val="0"/>
        <w:autoSpaceDN w:val="0"/>
        <w:adjustRightInd w:val="0"/>
        <w:spacing w:after="0" w:line="240" w:lineRule="auto"/>
        <w:jc w:val="both"/>
        <w:rPr>
          <w:rFonts w:ascii="Arial" w:eastAsia="Times New Roman" w:hAnsi="Arial" w:cs="Arial"/>
          <w:sz w:val="18"/>
          <w:szCs w:val="18"/>
        </w:rPr>
      </w:pPr>
    </w:p>
    <w:p w14:paraId="1AF4BE51" w14:textId="01B4C199" w:rsidR="00962DD2" w:rsidRPr="00720A0C" w:rsidRDefault="00BD0BF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Prema podacima društva u vlasništvu,</w:t>
      </w:r>
      <w:r w:rsidR="000022FA" w:rsidRPr="00720A0C">
        <w:rPr>
          <w:rFonts w:ascii="Arial" w:eastAsia="Times New Roman" w:hAnsi="Arial" w:cs="Arial"/>
          <w:sz w:val="18"/>
          <w:szCs w:val="18"/>
        </w:rPr>
        <w:t xml:space="preserve"> </w:t>
      </w:r>
      <w:r w:rsidRPr="00720A0C">
        <w:rPr>
          <w:rFonts w:ascii="Arial" w:eastAsia="Times New Roman" w:hAnsi="Arial" w:cs="Arial"/>
          <w:sz w:val="18"/>
          <w:szCs w:val="18"/>
        </w:rPr>
        <w:t>u 2022. godine</w:t>
      </w:r>
      <w:r w:rsidR="00962DD2" w:rsidRPr="00720A0C">
        <w:rPr>
          <w:rFonts w:ascii="Arial" w:eastAsia="Times New Roman" w:hAnsi="Arial" w:cs="Arial"/>
          <w:sz w:val="18"/>
          <w:szCs w:val="18"/>
        </w:rPr>
        <w:t xml:space="preserve">, </w:t>
      </w:r>
      <w:r w:rsidR="00962DD2" w:rsidRPr="00720A0C">
        <w:rPr>
          <w:rFonts w:ascii="Arial" w:eastAsia="Times New Roman" w:hAnsi="Arial" w:cs="Arial"/>
          <w:b/>
          <w:bCs/>
          <w:sz w:val="18"/>
          <w:szCs w:val="18"/>
          <w:u w:val="single"/>
        </w:rPr>
        <w:t>na temelju zahtjeva za nadoknadom sredstava od broja 2 do 5</w:t>
      </w:r>
      <w:r w:rsidR="00962DD2" w:rsidRPr="00720A0C">
        <w:rPr>
          <w:rFonts w:ascii="Arial" w:eastAsia="Times New Roman" w:hAnsi="Arial" w:cs="Arial"/>
          <w:b/>
          <w:bCs/>
          <w:sz w:val="18"/>
          <w:szCs w:val="18"/>
        </w:rPr>
        <w:t xml:space="preserve"> ukupno odobreni radovi iznose 6.078.258,27 kn</w:t>
      </w:r>
      <w:r w:rsidR="00D873AE" w:rsidRPr="00720A0C">
        <w:rPr>
          <w:rFonts w:ascii="Arial" w:eastAsia="Times New Roman" w:hAnsi="Arial" w:cs="Arial"/>
          <w:sz w:val="18"/>
          <w:szCs w:val="18"/>
        </w:rPr>
        <w:t xml:space="preserve"> / 806.723,51 €</w:t>
      </w:r>
      <w:r w:rsidR="00962DD2" w:rsidRPr="00720A0C">
        <w:rPr>
          <w:rFonts w:ascii="Arial" w:eastAsia="Times New Roman" w:hAnsi="Arial" w:cs="Arial"/>
          <w:sz w:val="18"/>
          <w:szCs w:val="18"/>
        </w:rPr>
        <w:t xml:space="preserve">. Društvu je u 2022. ukupno doznačeno na temelju ovih </w:t>
      </w:r>
      <w:r w:rsidR="00D17339" w:rsidRPr="00720A0C">
        <w:rPr>
          <w:rFonts w:ascii="Arial" w:eastAsia="Times New Roman" w:hAnsi="Arial" w:cs="Arial"/>
          <w:sz w:val="18"/>
          <w:szCs w:val="18"/>
        </w:rPr>
        <w:t>ova četiri</w:t>
      </w:r>
      <w:r w:rsidR="00962DD2" w:rsidRPr="00720A0C">
        <w:rPr>
          <w:rFonts w:ascii="Arial" w:eastAsia="Times New Roman" w:hAnsi="Arial" w:cs="Arial"/>
          <w:sz w:val="18"/>
          <w:szCs w:val="18"/>
        </w:rPr>
        <w:t xml:space="preserve"> zahtjeva 4.683.336,20 kn</w:t>
      </w:r>
      <w:r w:rsidR="00D17339" w:rsidRPr="00720A0C">
        <w:rPr>
          <w:rFonts w:ascii="Arial" w:eastAsia="Times New Roman" w:hAnsi="Arial" w:cs="Arial"/>
          <w:sz w:val="18"/>
          <w:szCs w:val="18"/>
        </w:rPr>
        <w:t xml:space="preserve"> / 621.585,53 €</w:t>
      </w:r>
      <w:r w:rsidR="00962DD2" w:rsidRPr="00720A0C">
        <w:rPr>
          <w:rFonts w:ascii="Arial" w:eastAsia="Times New Roman" w:hAnsi="Arial" w:cs="Arial"/>
          <w:sz w:val="18"/>
          <w:szCs w:val="18"/>
        </w:rPr>
        <w:t xml:space="preserve"> (dio je kompenziran s Hrvatskim vodama, te je manje doznačeno). Sufinancira se 90 % odobrenih radova što, na temelju zahtjeva od 2 do 5 čini 4.862.446,62 kn</w:t>
      </w:r>
      <w:r w:rsidR="00D873AE" w:rsidRPr="00720A0C">
        <w:rPr>
          <w:rFonts w:ascii="Arial" w:eastAsia="Times New Roman" w:hAnsi="Arial" w:cs="Arial"/>
          <w:sz w:val="18"/>
          <w:szCs w:val="18"/>
        </w:rPr>
        <w:t xml:space="preserve"> (645.357,57 €)</w:t>
      </w:r>
      <w:r w:rsidR="00962DD2" w:rsidRPr="00720A0C">
        <w:rPr>
          <w:rFonts w:ascii="Arial" w:eastAsia="Times New Roman" w:hAnsi="Arial" w:cs="Arial"/>
          <w:sz w:val="18"/>
          <w:szCs w:val="18"/>
        </w:rPr>
        <w:t>.</w:t>
      </w:r>
    </w:p>
    <w:p w14:paraId="5BEA4DD2" w14:textId="75911929" w:rsidR="00F82A8E" w:rsidRPr="00720A0C" w:rsidRDefault="000A4F34"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Naime, Konavosko komunalno društvo d.o.o. (kao korisnik sredstava) je s Ministarstvom gospodarstva i održivog razvoja i Hrvatskim vodama u prosincu 2021. zaključilo </w:t>
      </w:r>
      <w:r w:rsidRPr="00720A0C">
        <w:rPr>
          <w:rFonts w:ascii="Arial" w:eastAsia="Times New Roman" w:hAnsi="Arial" w:cs="Arial"/>
          <w:b/>
          <w:bCs/>
          <w:sz w:val="18"/>
          <w:szCs w:val="18"/>
        </w:rPr>
        <w:t>ugovor o dodjeli bespovratnih sredstava za projekte koji se sufinanciraju iz nacionalnog plana za oporavak i otpornost 2021.-2026</w:t>
      </w:r>
      <w:r w:rsidR="00DE4932" w:rsidRPr="00720A0C">
        <w:rPr>
          <w:rFonts w:ascii="Arial" w:eastAsia="Times New Roman" w:hAnsi="Arial" w:cs="Arial"/>
          <w:b/>
          <w:bCs/>
          <w:sz w:val="18"/>
          <w:szCs w:val="18"/>
        </w:rPr>
        <w:t>.</w:t>
      </w:r>
      <w:r w:rsidRPr="00720A0C">
        <w:rPr>
          <w:rFonts w:ascii="Arial" w:eastAsia="Times New Roman" w:hAnsi="Arial" w:cs="Arial"/>
          <w:b/>
          <w:bCs/>
          <w:sz w:val="18"/>
          <w:szCs w:val="18"/>
        </w:rPr>
        <w:t xml:space="preserve"> (razvoj javne vodoopskrbe i javne odvodnje otpadnih voda u Općini Konavle).</w:t>
      </w:r>
      <w:r w:rsidRPr="00720A0C">
        <w:rPr>
          <w:rFonts w:ascii="Arial" w:eastAsia="Times New Roman" w:hAnsi="Arial" w:cs="Arial"/>
          <w:sz w:val="18"/>
          <w:szCs w:val="18"/>
        </w:rPr>
        <w:t xml:space="preserve"> </w:t>
      </w:r>
      <w:r w:rsidR="00D27238" w:rsidRPr="00720A0C">
        <w:rPr>
          <w:rFonts w:ascii="Arial" w:eastAsia="Times New Roman" w:hAnsi="Arial" w:cs="Arial"/>
          <w:sz w:val="18"/>
          <w:szCs w:val="18"/>
        </w:rPr>
        <w:t xml:space="preserve">Ukupna vrijednost projekta, prema zaključenom ugovoru, iznosi 28.144.931,75 kn </w:t>
      </w:r>
      <w:r w:rsidR="00191D73" w:rsidRPr="00720A0C">
        <w:rPr>
          <w:rFonts w:ascii="Arial" w:eastAsia="Times New Roman" w:hAnsi="Arial" w:cs="Arial"/>
          <w:sz w:val="18"/>
          <w:szCs w:val="18"/>
        </w:rPr>
        <w:t xml:space="preserve">(3.735.474,38 €) </w:t>
      </w:r>
      <w:r w:rsidR="00D27238" w:rsidRPr="00720A0C">
        <w:rPr>
          <w:rFonts w:ascii="Arial" w:eastAsia="Times New Roman" w:hAnsi="Arial" w:cs="Arial"/>
          <w:sz w:val="18"/>
          <w:szCs w:val="18"/>
        </w:rPr>
        <w:t>od čega prihvatljivi troškovi iznose 19.174.679,91 kn</w:t>
      </w:r>
      <w:r w:rsidR="00191D73" w:rsidRPr="00720A0C">
        <w:rPr>
          <w:rFonts w:ascii="Arial" w:eastAsia="Times New Roman" w:hAnsi="Arial" w:cs="Arial"/>
          <w:sz w:val="18"/>
          <w:szCs w:val="18"/>
        </w:rPr>
        <w:t xml:space="preserve"> (2.544.917,37 €)</w:t>
      </w:r>
      <w:r w:rsidR="00D27238" w:rsidRPr="00720A0C">
        <w:rPr>
          <w:rFonts w:ascii="Arial" w:eastAsia="Times New Roman" w:hAnsi="Arial" w:cs="Arial"/>
          <w:sz w:val="18"/>
          <w:szCs w:val="18"/>
        </w:rPr>
        <w:t xml:space="preserve">, a najveći mogući iznos koji se može doznačiti je 15.339.743,93 kn </w:t>
      </w:r>
      <w:r w:rsidR="00191D73" w:rsidRPr="00720A0C">
        <w:rPr>
          <w:rFonts w:ascii="Arial" w:eastAsia="Times New Roman" w:hAnsi="Arial" w:cs="Arial"/>
          <w:sz w:val="18"/>
          <w:szCs w:val="18"/>
        </w:rPr>
        <w:t>(</w:t>
      </w:r>
      <w:r w:rsidR="00191D73" w:rsidRPr="00720A0C">
        <w:rPr>
          <w:rFonts w:ascii="Arial" w:eastAsia="Times New Roman" w:hAnsi="Arial" w:cs="Arial"/>
          <w:b/>
          <w:bCs/>
          <w:sz w:val="18"/>
          <w:szCs w:val="18"/>
        </w:rPr>
        <w:t>2.035.933,89 €)</w:t>
      </w:r>
      <w:r w:rsidR="00191D73" w:rsidRPr="00720A0C">
        <w:rPr>
          <w:rFonts w:ascii="Arial" w:eastAsia="Times New Roman" w:hAnsi="Arial" w:cs="Arial"/>
          <w:sz w:val="18"/>
          <w:szCs w:val="18"/>
        </w:rPr>
        <w:t xml:space="preserve"> </w:t>
      </w:r>
      <w:r w:rsidR="00D27238" w:rsidRPr="00720A0C">
        <w:rPr>
          <w:rFonts w:ascii="Arial" w:eastAsia="Times New Roman" w:hAnsi="Arial" w:cs="Arial"/>
          <w:sz w:val="18"/>
          <w:szCs w:val="18"/>
        </w:rPr>
        <w:t>(80% prihvatljivog troška).</w:t>
      </w:r>
    </w:p>
    <w:p w14:paraId="5EF38A40" w14:textId="77777777" w:rsidR="00666291" w:rsidRPr="00720A0C" w:rsidRDefault="00666291" w:rsidP="00B20566">
      <w:pPr>
        <w:autoSpaceDE w:val="0"/>
        <w:autoSpaceDN w:val="0"/>
        <w:adjustRightInd w:val="0"/>
        <w:spacing w:after="0" w:line="240" w:lineRule="auto"/>
        <w:jc w:val="both"/>
        <w:rPr>
          <w:rFonts w:ascii="Arial" w:eastAsia="Times New Roman" w:hAnsi="Arial" w:cs="Arial"/>
          <w:sz w:val="18"/>
          <w:szCs w:val="18"/>
        </w:rPr>
      </w:pPr>
    </w:p>
    <w:p w14:paraId="0E22B27B" w14:textId="30684611" w:rsidR="00E71BC2" w:rsidRPr="00720A0C" w:rsidRDefault="00E71BC2" w:rsidP="00E71BC2">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Općina nije u </w:t>
      </w:r>
      <w:r w:rsidR="009A4F57" w:rsidRPr="00720A0C">
        <w:rPr>
          <w:rFonts w:ascii="Arial" w:eastAsia="Times New Roman" w:hAnsi="Arial" w:cs="Arial"/>
          <w:sz w:val="18"/>
          <w:szCs w:val="18"/>
        </w:rPr>
        <w:t xml:space="preserve">razdoblju </w:t>
      </w:r>
      <w:r w:rsidRPr="00720A0C">
        <w:rPr>
          <w:rFonts w:ascii="Arial" w:eastAsia="Times New Roman" w:hAnsi="Arial" w:cs="Arial"/>
          <w:sz w:val="18"/>
          <w:szCs w:val="18"/>
        </w:rPr>
        <w:t>2022.</w:t>
      </w:r>
      <w:r w:rsidR="009A4F57" w:rsidRPr="00720A0C">
        <w:rPr>
          <w:rFonts w:ascii="Arial" w:eastAsia="Times New Roman" w:hAnsi="Arial" w:cs="Arial"/>
          <w:sz w:val="18"/>
          <w:szCs w:val="18"/>
        </w:rPr>
        <w:t>- 2024</w:t>
      </w:r>
      <w:r w:rsidR="00191D73" w:rsidRPr="00720A0C">
        <w:rPr>
          <w:rFonts w:ascii="Arial" w:eastAsia="Times New Roman" w:hAnsi="Arial" w:cs="Arial"/>
          <w:sz w:val="18"/>
          <w:szCs w:val="18"/>
        </w:rPr>
        <w:t xml:space="preserve">. </w:t>
      </w:r>
      <w:r w:rsidRPr="00720A0C">
        <w:rPr>
          <w:rFonts w:ascii="Arial" w:eastAsia="Times New Roman" w:hAnsi="Arial" w:cs="Arial"/>
          <w:sz w:val="18"/>
          <w:szCs w:val="18"/>
        </w:rPr>
        <w:t>godini doznačavala sredstva komunalnom društvu za sufinanciranje izgradnje vodovodne i kanalizacijske mreže u Moluntu.</w:t>
      </w:r>
    </w:p>
    <w:p w14:paraId="62C64A05" w14:textId="77777777" w:rsidR="00ED651F" w:rsidRPr="00720A0C" w:rsidRDefault="00ED651F" w:rsidP="00E71BC2">
      <w:pPr>
        <w:autoSpaceDE w:val="0"/>
        <w:autoSpaceDN w:val="0"/>
        <w:adjustRightInd w:val="0"/>
        <w:spacing w:after="0" w:line="240" w:lineRule="auto"/>
        <w:jc w:val="both"/>
        <w:rPr>
          <w:rFonts w:ascii="Arial" w:eastAsia="Times New Roman" w:hAnsi="Arial" w:cs="Arial"/>
          <w:sz w:val="18"/>
          <w:szCs w:val="18"/>
        </w:rPr>
      </w:pPr>
    </w:p>
    <w:p w14:paraId="1DED78E2" w14:textId="596C0FB1" w:rsidR="00ED651F" w:rsidRPr="00720A0C" w:rsidRDefault="00ED651F" w:rsidP="00E71BC2">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Prema podacima društva u vlasništvu, u 2023. godine, </w:t>
      </w:r>
      <w:r w:rsidRPr="00720A0C">
        <w:rPr>
          <w:rFonts w:ascii="Arial" w:eastAsia="Times New Roman" w:hAnsi="Arial" w:cs="Arial"/>
          <w:b/>
          <w:bCs/>
          <w:sz w:val="18"/>
          <w:szCs w:val="18"/>
          <w:u w:val="single"/>
        </w:rPr>
        <w:t>na temelju zahtjeva za nadoknadom sredstava od broja</w:t>
      </w:r>
      <w:r w:rsidR="00DE4932" w:rsidRPr="00720A0C">
        <w:rPr>
          <w:rFonts w:ascii="Arial" w:eastAsia="Times New Roman" w:hAnsi="Arial" w:cs="Arial"/>
          <w:b/>
          <w:bCs/>
          <w:sz w:val="18"/>
          <w:szCs w:val="18"/>
          <w:u w:val="single"/>
        </w:rPr>
        <w:t xml:space="preserve"> 6 do </w:t>
      </w:r>
      <w:r w:rsidR="00FE1B95" w:rsidRPr="00720A0C">
        <w:rPr>
          <w:rFonts w:ascii="Arial" w:eastAsia="Times New Roman" w:hAnsi="Arial" w:cs="Arial"/>
          <w:b/>
          <w:bCs/>
          <w:sz w:val="18"/>
          <w:szCs w:val="18"/>
          <w:u w:val="single"/>
        </w:rPr>
        <w:t>10</w:t>
      </w:r>
      <w:r w:rsidR="00FE1B95" w:rsidRPr="00720A0C">
        <w:rPr>
          <w:rFonts w:ascii="Arial" w:eastAsia="Times New Roman" w:hAnsi="Arial" w:cs="Arial"/>
          <w:b/>
          <w:bCs/>
          <w:sz w:val="18"/>
          <w:szCs w:val="18"/>
        </w:rPr>
        <w:t xml:space="preserve"> </w:t>
      </w:r>
      <w:r w:rsidR="00DE4932" w:rsidRPr="00720A0C">
        <w:rPr>
          <w:rFonts w:ascii="Arial" w:eastAsia="Times New Roman" w:hAnsi="Arial" w:cs="Arial"/>
          <w:b/>
          <w:bCs/>
          <w:sz w:val="18"/>
          <w:szCs w:val="18"/>
        </w:rPr>
        <w:t>ukupno odobreni radovi iznose</w:t>
      </w:r>
      <w:r w:rsidR="00FE1B95" w:rsidRPr="00720A0C">
        <w:rPr>
          <w:rFonts w:ascii="Arial" w:eastAsia="Times New Roman" w:hAnsi="Arial" w:cs="Arial"/>
          <w:b/>
          <w:bCs/>
          <w:sz w:val="18"/>
          <w:szCs w:val="18"/>
        </w:rPr>
        <w:t xml:space="preserve"> </w:t>
      </w:r>
      <w:r w:rsidR="00C84106" w:rsidRPr="00720A0C">
        <w:rPr>
          <w:rFonts w:ascii="Arial" w:eastAsia="Times New Roman" w:hAnsi="Arial" w:cs="Arial"/>
          <w:b/>
          <w:bCs/>
          <w:sz w:val="18"/>
          <w:szCs w:val="18"/>
        </w:rPr>
        <w:t>876.319</w:t>
      </w:r>
      <w:r w:rsidR="00FE1B95" w:rsidRPr="00720A0C">
        <w:rPr>
          <w:rFonts w:ascii="Arial" w:eastAsia="Times New Roman" w:hAnsi="Arial" w:cs="Arial"/>
          <w:b/>
          <w:bCs/>
          <w:sz w:val="18"/>
          <w:szCs w:val="18"/>
        </w:rPr>
        <w:t xml:space="preserve"> €</w:t>
      </w:r>
      <w:r w:rsidR="00DE4932" w:rsidRPr="00720A0C">
        <w:rPr>
          <w:rFonts w:ascii="Arial" w:eastAsia="Times New Roman" w:hAnsi="Arial" w:cs="Arial"/>
          <w:b/>
          <w:bCs/>
          <w:sz w:val="18"/>
          <w:szCs w:val="18"/>
        </w:rPr>
        <w:t xml:space="preserve"> </w:t>
      </w:r>
      <w:r w:rsidR="00FE1B95" w:rsidRPr="00720A0C">
        <w:rPr>
          <w:rFonts w:ascii="Arial" w:eastAsia="Times New Roman" w:hAnsi="Arial" w:cs="Arial"/>
          <w:b/>
          <w:bCs/>
          <w:sz w:val="18"/>
          <w:szCs w:val="18"/>
        </w:rPr>
        <w:t>(sveukupno 1.</w:t>
      </w:r>
      <w:r w:rsidR="00C84106" w:rsidRPr="00720A0C">
        <w:rPr>
          <w:rFonts w:ascii="Arial" w:eastAsia="Times New Roman" w:hAnsi="Arial" w:cs="Arial"/>
          <w:b/>
          <w:bCs/>
          <w:sz w:val="18"/>
          <w:szCs w:val="18"/>
        </w:rPr>
        <w:t>760.083,80</w:t>
      </w:r>
      <w:r w:rsidR="00FE1B95" w:rsidRPr="00720A0C">
        <w:rPr>
          <w:rFonts w:ascii="Arial" w:eastAsia="Times New Roman" w:hAnsi="Arial" w:cs="Arial"/>
          <w:b/>
          <w:bCs/>
          <w:sz w:val="18"/>
          <w:szCs w:val="18"/>
        </w:rPr>
        <w:t xml:space="preserve"> €).</w:t>
      </w:r>
      <w:r w:rsidR="00FE1B95" w:rsidRPr="00720A0C">
        <w:rPr>
          <w:rFonts w:ascii="Arial" w:eastAsia="Times New Roman" w:hAnsi="Arial" w:cs="Arial"/>
          <w:sz w:val="18"/>
          <w:szCs w:val="18"/>
        </w:rPr>
        <w:t xml:space="preserve"> </w:t>
      </w:r>
      <w:r w:rsidR="00DE4932" w:rsidRPr="00720A0C">
        <w:rPr>
          <w:rFonts w:ascii="Arial" w:eastAsia="Times New Roman" w:hAnsi="Arial" w:cs="Arial"/>
          <w:sz w:val="18"/>
          <w:szCs w:val="18"/>
        </w:rPr>
        <w:t>Društvu</w:t>
      </w:r>
      <w:r w:rsidR="00D873AE" w:rsidRPr="00720A0C">
        <w:rPr>
          <w:rFonts w:ascii="Arial" w:eastAsia="Times New Roman" w:hAnsi="Arial" w:cs="Arial"/>
          <w:sz w:val="18"/>
          <w:szCs w:val="18"/>
        </w:rPr>
        <w:t xml:space="preserve"> su u</w:t>
      </w:r>
      <w:r w:rsidR="004926AF" w:rsidRPr="00720A0C">
        <w:rPr>
          <w:rFonts w:ascii="Arial" w:eastAsia="Times New Roman" w:hAnsi="Arial" w:cs="Arial"/>
          <w:sz w:val="18"/>
          <w:szCs w:val="18"/>
        </w:rPr>
        <w:t xml:space="preserve"> </w:t>
      </w:r>
      <w:r w:rsidR="00DE4932" w:rsidRPr="00720A0C">
        <w:rPr>
          <w:rFonts w:ascii="Arial" w:eastAsia="Times New Roman" w:hAnsi="Arial" w:cs="Arial"/>
          <w:sz w:val="18"/>
          <w:szCs w:val="18"/>
        </w:rPr>
        <w:t>2023. doznačen</w:t>
      </w:r>
      <w:r w:rsidR="00D873AE" w:rsidRPr="00720A0C">
        <w:rPr>
          <w:rFonts w:ascii="Arial" w:eastAsia="Times New Roman" w:hAnsi="Arial" w:cs="Arial"/>
          <w:sz w:val="18"/>
          <w:szCs w:val="18"/>
        </w:rPr>
        <w:t xml:space="preserve">a odobrena sredstva. </w:t>
      </w:r>
      <w:r w:rsidR="00DE4932" w:rsidRPr="00720A0C">
        <w:rPr>
          <w:rFonts w:ascii="Arial" w:eastAsia="Times New Roman" w:hAnsi="Arial" w:cs="Arial"/>
          <w:sz w:val="18"/>
          <w:szCs w:val="18"/>
        </w:rPr>
        <w:t xml:space="preserve">Sufinancira se 90% odobrenih radova što, na temelju zahtjeva od </w:t>
      </w:r>
      <w:r w:rsidR="00D873AE" w:rsidRPr="00720A0C">
        <w:rPr>
          <w:rFonts w:ascii="Arial" w:eastAsia="Times New Roman" w:hAnsi="Arial" w:cs="Arial"/>
          <w:sz w:val="18"/>
          <w:szCs w:val="18"/>
        </w:rPr>
        <w:t>6</w:t>
      </w:r>
      <w:r w:rsidR="00DE4932" w:rsidRPr="00720A0C">
        <w:rPr>
          <w:rFonts w:ascii="Arial" w:eastAsia="Times New Roman" w:hAnsi="Arial" w:cs="Arial"/>
          <w:sz w:val="18"/>
          <w:szCs w:val="18"/>
        </w:rPr>
        <w:t xml:space="preserve"> do </w:t>
      </w:r>
      <w:r w:rsidR="00D873AE" w:rsidRPr="00720A0C">
        <w:rPr>
          <w:rFonts w:ascii="Arial" w:eastAsia="Times New Roman" w:hAnsi="Arial" w:cs="Arial"/>
          <w:sz w:val="18"/>
          <w:szCs w:val="18"/>
        </w:rPr>
        <w:t>10</w:t>
      </w:r>
      <w:r w:rsidR="00DE4932" w:rsidRPr="00720A0C">
        <w:rPr>
          <w:rFonts w:ascii="Arial" w:eastAsia="Times New Roman" w:hAnsi="Arial" w:cs="Arial"/>
          <w:sz w:val="18"/>
          <w:szCs w:val="18"/>
        </w:rPr>
        <w:t xml:space="preserve"> čini </w:t>
      </w:r>
      <w:r w:rsidR="00D873AE" w:rsidRPr="00720A0C">
        <w:rPr>
          <w:rFonts w:ascii="Arial" w:eastAsia="Times New Roman" w:hAnsi="Arial" w:cs="Arial"/>
          <w:sz w:val="18"/>
          <w:szCs w:val="18"/>
        </w:rPr>
        <w:t>788.687,10</w:t>
      </w:r>
      <w:r w:rsidR="00FE1B95" w:rsidRPr="00720A0C">
        <w:rPr>
          <w:rFonts w:ascii="Arial" w:eastAsia="Times New Roman" w:hAnsi="Arial" w:cs="Arial"/>
          <w:sz w:val="18"/>
          <w:szCs w:val="18"/>
        </w:rPr>
        <w:t xml:space="preserve"> €</w:t>
      </w:r>
      <w:r w:rsidR="00D873AE" w:rsidRPr="00720A0C">
        <w:rPr>
          <w:rFonts w:ascii="Arial" w:eastAsia="Times New Roman" w:hAnsi="Arial" w:cs="Arial"/>
          <w:sz w:val="18"/>
          <w:szCs w:val="18"/>
        </w:rPr>
        <w:t xml:space="preserve"> (sveukupno sufinanciranje po odobrenim zahtjevima za nadoknadu sredstava 1.514.714,37 €)</w:t>
      </w:r>
      <w:r w:rsidR="00DE4932" w:rsidRPr="00720A0C">
        <w:rPr>
          <w:rFonts w:ascii="Arial" w:eastAsia="Times New Roman" w:hAnsi="Arial" w:cs="Arial"/>
          <w:sz w:val="18"/>
          <w:szCs w:val="18"/>
        </w:rPr>
        <w:t>.</w:t>
      </w:r>
    </w:p>
    <w:p w14:paraId="419E3666" w14:textId="77777777" w:rsidR="00ED651F" w:rsidRPr="00720A0C" w:rsidRDefault="00ED651F" w:rsidP="00E71BC2">
      <w:pPr>
        <w:autoSpaceDE w:val="0"/>
        <w:autoSpaceDN w:val="0"/>
        <w:adjustRightInd w:val="0"/>
        <w:spacing w:after="0" w:line="240" w:lineRule="auto"/>
        <w:jc w:val="both"/>
        <w:rPr>
          <w:rFonts w:ascii="Arial" w:eastAsia="Times New Roman" w:hAnsi="Arial" w:cs="Arial"/>
          <w:sz w:val="18"/>
          <w:szCs w:val="18"/>
        </w:rPr>
      </w:pPr>
    </w:p>
    <w:p w14:paraId="2807D325" w14:textId="77777777" w:rsidR="00D27FE7" w:rsidRDefault="00D27FE7" w:rsidP="00B20566">
      <w:pPr>
        <w:autoSpaceDE w:val="0"/>
        <w:autoSpaceDN w:val="0"/>
        <w:adjustRightInd w:val="0"/>
        <w:spacing w:after="0" w:line="240" w:lineRule="auto"/>
        <w:jc w:val="both"/>
        <w:rPr>
          <w:rFonts w:ascii="Arial" w:eastAsia="Times New Roman" w:hAnsi="Arial" w:cs="Arial"/>
          <w:sz w:val="20"/>
          <w:szCs w:val="20"/>
        </w:rPr>
      </w:pPr>
    </w:p>
    <w:p w14:paraId="5B201A3E" w14:textId="77777777" w:rsidR="00F43851" w:rsidRDefault="00F43851" w:rsidP="00B20566">
      <w:pPr>
        <w:autoSpaceDE w:val="0"/>
        <w:autoSpaceDN w:val="0"/>
        <w:adjustRightInd w:val="0"/>
        <w:spacing w:after="0" w:line="240" w:lineRule="auto"/>
        <w:jc w:val="both"/>
        <w:rPr>
          <w:rFonts w:ascii="Arial" w:eastAsia="Times New Roman" w:hAnsi="Arial" w:cs="Arial"/>
          <w:sz w:val="20"/>
          <w:szCs w:val="20"/>
        </w:rPr>
      </w:pPr>
    </w:p>
    <w:p w14:paraId="415F5907" w14:textId="77777777" w:rsidR="00F43851" w:rsidRPr="00FF3C31" w:rsidRDefault="00F43851" w:rsidP="00B20566">
      <w:pPr>
        <w:autoSpaceDE w:val="0"/>
        <w:autoSpaceDN w:val="0"/>
        <w:adjustRightInd w:val="0"/>
        <w:spacing w:after="0" w:line="240" w:lineRule="auto"/>
        <w:jc w:val="both"/>
        <w:rPr>
          <w:rFonts w:ascii="Arial" w:eastAsia="Times New Roman" w:hAnsi="Arial" w:cs="Arial"/>
          <w:sz w:val="20"/>
          <w:szCs w:val="20"/>
        </w:rPr>
      </w:pPr>
    </w:p>
    <w:p w14:paraId="0FADCEEB" w14:textId="77777777" w:rsidR="00B20566" w:rsidRPr="00FF3C31"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b/>
          <w:sz w:val="20"/>
          <w:szCs w:val="20"/>
        </w:rPr>
        <w:lastRenderedPageBreak/>
        <w:t xml:space="preserve">K209424: Kanalizacijski sustav Zvekovica </w:t>
      </w:r>
    </w:p>
    <w:p w14:paraId="19E7B9E2"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69D2C287"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Pokazatelj rezultata je: postotak dovršenosti radova, odnosno izgradnja cca 800 m mreže i spajanje 50-ak priključaka</w:t>
      </w:r>
    </w:p>
    <w:p w14:paraId="557DB46C"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527F64FB" w14:textId="57534CDD"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 9</w:t>
      </w:r>
      <w:r w:rsidR="00E71BC2" w:rsidRPr="00FF3C31">
        <w:rPr>
          <w:rFonts w:ascii="Arial" w:eastAsia="Times New Roman" w:hAnsi="Arial" w:cs="Arial"/>
          <w:sz w:val="20"/>
          <w:szCs w:val="20"/>
        </w:rPr>
        <w:t>2</w:t>
      </w:r>
      <w:r w:rsidRPr="00FF3C31">
        <w:rPr>
          <w:rFonts w:ascii="Arial" w:eastAsia="Times New Roman" w:hAnsi="Arial" w:cs="Arial"/>
          <w:sz w:val="20"/>
          <w:szCs w:val="20"/>
        </w:rPr>
        <w:t>%</w:t>
      </w:r>
    </w:p>
    <w:p w14:paraId="7C51D18A" w14:textId="4D64F495"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Ciljna vrijednost za 202</w:t>
      </w:r>
      <w:r w:rsidR="00A33D0B">
        <w:rPr>
          <w:rFonts w:ascii="Arial" w:eastAsia="Times New Roman" w:hAnsi="Arial" w:cs="Arial"/>
          <w:sz w:val="20"/>
          <w:szCs w:val="20"/>
        </w:rPr>
        <w:t>5</w:t>
      </w:r>
      <w:r w:rsidRPr="00FF3C31">
        <w:rPr>
          <w:rFonts w:ascii="Arial" w:eastAsia="Times New Roman" w:hAnsi="Arial" w:cs="Arial"/>
          <w:sz w:val="20"/>
          <w:szCs w:val="20"/>
        </w:rPr>
        <w:t xml:space="preserve">. = </w:t>
      </w:r>
      <w:r w:rsidR="0029154A" w:rsidRPr="00FF3C31">
        <w:rPr>
          <w:rFonts w:ascii="Arial" w:eastAsia="Times New Roman" w:hAnsi="Arial" w:cs="Arial"/>
          <w:sz w:val="20"/>
          <w:szCs w:val="20"/>
        </w:rPr>
        <w:t>96</w:t>
      </w:r>
      <w:r w:rsidRPr="00FF3C31">
        <w:rPr>
          <w:rFonts w:ascii="Arial" w:eastAsia="Times New Roman" w:hAnsi="Arial" w:cs="Arial"/>
          <w:sz w:val="20"/>
          <w:szCs w:val="20"/>
        </w:rPr>
        <w:t>%, za 202</w:t>
      </w:r>
      <w:r w:rsidR="00A33D0B">
        <w:rPr>
          <w:rFonts w:ascii="Arial" w:eastAsia="Times New Roman" w:hAnsi="Arial" w:cs="Arial"/>
          <w:sz w:val="20"/>
          <w:szCs w:val="20"/>
        </w:rPr>
        <w:t>6</w:t>
      </w:r>
      <w:r w:rsidRPr="00FF3C31">
        <w:rPr>
          <w:rFonts w:ascii="Arial" w:eastAsia="Times New Roman" w:hAnsi="Arial" w:cs="Arial"/>
          <w:sz w:val="20"/>
          <w:szCs w:val="20"/>
        </w:rPr>
        <w:t>. = 9</w:t>
      </w:r>
      <w:r w:rsidR="00E71BC2" w:rsidRPr="00FF3C31">
        <w:rPr>
          <w:rFonts w:ascii="Arial" w:eastAsia="Times New Roman" w:hAnsi="Arial" w:cs="Arial"/>
          <w:sz w:val="20"/>
          <w:szCs w:val="20"/>
        </w:rPr>
        <w:t>6</w:t>
      </w:r>
      <w:r w:rsidRPr="00FF3C31">
        <w:rPr>
          <w:rFonts w:ascii="Arial" w:eastAsia="Times New Roman" w:hAnsi="Arial" w:cs="Arial"/>
          <w:sz w:val="20"/>
          <w:szCs w:val="20"/>
        </w:rPr>
        <w:t>%, za 202</w:t>
      </w:r>
      <w:r w:rsidR="00A33D0B">
        <w:rPr>
          <w:rFonts w:ascii="Arial" w:eastAsia="Times New Roman" w:hAnsi="Arial" w:cs="Arial"/>
          <w:sz w:val="20"/>
          <w:szCs w:val="20"/>
        </w:rPr>
        <w:t>7</w:t>
      </w:r>
      <w:r w:rsidRPr="00FF3C31">
        <w:rPr>
          <w:rFonts w:ascii="Arial" w:eastAsia="Times New Roman" w:hAnsi="Arial" w:cs="Arial"/>
          <w:sz w:val="20"/>
          <w:szCs w:val="20"/>
        </w:rPr>
        <w:t>. = 9</w:t>
      </w:r>
      <w:r w:rsidR="0029154A" w:rsidRPr="00FF3C31">
        <w:rPr>
          <w:rFonts w:ascii="Arial" w:eastAsia="Times New Roman" w:hAnsi="Arial" w:cs="Arial"/>
          <w:sz w:val="20"/>
          <w:szCs w:val="20"/>
        </w:rPr>
        <w:t>6</w:t>
      </w:r>
      <w:r w:rsidRPr="00FF3C31">
        <w:rPr>
          <w:rFonts w:ascii="Arial" w:eastAsia="Times New Roman" w:hAnsi="Arial" w:cs="Arial"/>
          <w:sz w:val="20"/>
          <w:szCs w:val="20"/>
        </w:rPr>
        <w:t>%</w:t>
      </w:r>
    </w:p>
    <w:p w14:paraId="69E08B99" w14:textId="77777777" w:rsidR="00B20566" w:rsidRPr="00FF3C31" w:rsidRDefault="00B20566" w:rsidP="00B20566">
      <w:pPr>
        <w:autoSpaceDE w:val="0"/>
        <w:autoSpaceDN w:val="0"/>
        <w:adjustRightInd w:val="0"/>
        <w:spacing w:after="0" w:line="240" w:lineRule="auto"/>
        <w:jc w:val="both"/>
        <w:rPr>
          <w:rFonts w:ascii="Arial" w:eastAsia="Calibri" w:hAnsi="Arial" w:cs="Arial"/>
          <w:sz w:val="20"/>
          <w:szCs w:val="20"/>
        </w:rPr>
      </w:pPr>
    </w:p>
    <w:p w14:paraId="66585F25" w14:textId="7EACC91A"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Općina je u </w:t>
      </w:r>
      <w:r w:rsidRPr="00720A0C">
        <w:rPr>
          <w:rFonts w:ascii="Arial" w:eastAsia="Times New Roman" w:hAnsi="Arial" w:cs="Arial"/>
          <w:b/>
          <w:sz w:val="18"/>
          <w:szCs w:val="18"/>
        </w:rPr>
        <w:t>2017.</w:t>
      </w:r>
      <w:r w:rsidRPr="00720A0C">
        <w:rPr>
          <w:rFonts w:ascii="Arial" w:eastAsia="Times New Roman" w:hAnsi="Arial" w:cs="Arial"/>
          <w:sz w:val="18"/>
          <w:szCs w:val="18"/>
        </w:rPr>
        <w:t xml:space="preserve"> ukupno financirala 493.332,88 kn </w:t>
      </w:r>
      <w:r w:rsidR="00621E95" w:rsidRPr="00720A0C">
        <w:rPr>
          <w:rFonts w:ascii="Arial" w:eastAsia="Times New Roman" w:hAnsi="Arial" w:cs="Arial"/>
          <w:sz w:val="18"/>
          <w:szCs w:val="18"/>
        </w:rPr>
        <w:t xml:space="preserve">/ 65.476,53 € </w:t>
      </w:r>
      <w:r w:rsidRPr="00720A0C">
        <w:rPr>
          <w:rFonts w:ascii="Arial" w:eastAsia="Times New Roman" w:hAnsi="Arial" w:cs="Arial"/>
          <w:sz w:val="18"/>
          <w:szCs w:val="18"/>
        </w:rPr>
        <w:t xml:space="preserve">za projekt radova na kanalizacijskom sustavu na Zvekovici. </w:t>
      </w:r>
    </w:p>
    <w:p w14:paraId="6747043A" w14:textId="351279C3"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Nositelj projekta je društvo u vlasništvu Općine, Konavosko komunalno društvo. Projekt bi se sufinancirao sredstvima javnog isporučitelja (Konavosko komunalno društvo d.o.o.), sredstvima Općine i sufinanciranjem Hrvatskih voda. Procijenjena vrijednost investicije 600.000,00 kn</w:t>
      </w:r>
      <w:r w:rsidR="00621E95" w:rsidRPr="00720A0C">
        <w:rPr>
          <w:rFonts w:ascii="Arial" w:eastAsia="Times New Roman" w:hAnsi="Arial" w:cs="Arial"/>
          <w:sz w:val="18"/>
          <w:szCs w:val="18"/>
        </w:rPr>
        <w:t xml:space="preserve"> / 79.633,69 €</w:t>
      </w:r>
      <w:r w:rsidRPr="00720A0C">
        <w:rPr>
          <w:rFonts w:ascii="Arial" w:eastAsia="Times New Roman" w:hAnsi="Arial" w:cs="Arial"/>
          <w:sz w:val="18"/>
          <w:szCs w:val="18"/>
        </w:rPr>
        <w:t>.</w:t>
      </w:r>
    </w:p>
    <w:p w14:paraId="2A7A1397"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284E5EA0" w14:textId="48315240"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b/>
          <w:sz w:val="18"/>
          <w:szCs w:val="18"/>
        </w:rPr>
        <w:t>Ugovor o izvođenju radova na izgradnji dijela sekundarne kanalizacijske mreže u naseljima Cavtat i Zvekovica u i</w:t>
      </w:r>
      <w:r w:rsidRPr="00720A0C">
        <w:rPr>
          <w:rFonts w:ascii="Arial" w:eastAsia="Times New Roman" w:hAnsi="Arial" w:cs="Arial"/>
          <w:sz w:val="18"/>
          <w:szCs w:val="18"/>
        </w:rPr>
        <w:t xml:space="preserve">znosu od </w:t>
      </w:r>
      <w:r w:rsidRPr="00720A0C">
        <w:rPr>
          <w:rFonts w:ascii="Arial" w:eastAsia="Times New Roman" w:hAnsi="Arial" w:cs="Arial"/>
          <w:b/>
          <w:sz w:val="18"/>
          <w:szCs w:val="18"/>
        </w:rPr>
        <w:t>671.330 kn</w:t>
      </w:r>
      <w:r w:rsidR="00621E95" w:rsidRPr="00720A0C">
        <w:rPr>
          <w:rFonts w:ascii="Arial" w:eastAsia="Times New Roman" w:hAnsi="Arial" w:cs="Arial"/>
          <w:b/>
          <w:sz w:val="18"/>
          <w:szCs w:val="18"/>
        </w:rPr>
        <w:t xml:space="preserve"> / 89.100,80 €</w:t>
      </w:r>
      <w:r w:rsidRPr="00720A0C">
        <w:rPr>
          <w:rFonts w:ascii="Arial" w:eastAsia="Times New Roman" w:hAnsi="Arial" w:cs="Arial"/>
          <w:sz w:val="18"/>
          <w:szCs w:val="18"/>
        </w:rPr>
        <w:t xml:space="preserve">, bez poreza na dodanu vrijednost zaključen je 29. studenoga 2018. Radovi se odnose na izgradnju sekundarne kanalizacijske mreže Zvekovica u iznosu 539.300 kn </w:t>
      </w:r>
      <w:r w:rsidR="00621E95" w:rsidRPr="00720A0C">
        <w:rPr>
          <w:rFonts w:ascii="Arial" w:eastAsia="Times New Roman" w:hAnsi="Arial" w:cs="Arial"/>
          <w:sz w:val="18"/>
          <w:szCs w:val="18"/>
        </w:rPr>
        <w:t xml:space="preserve">/ 71.577,41 € </w:t>
      </w:r>
      <w:r w:rsidRPr="00720A0C">
        <w:rPr>
          <w:rFonts w:ascii="Arial" w:eastAsia="Times New Roman" w:hAnsi="Arial" w:cs="Arial"/>
          <w:sz w:val="18"/>
          <w:szCs w:val="18"/>
        </w:rPr>
        <w:t xml:space="preserve">i radove na kanalizaciji u Cavtatu (Zorina, dio Bukovčeve i dio Epidaurusa) u iznosu 132.030 kn </w:t>
      </w:r>
      <w:r w:rsidR="00621E95" w:rsidRPr="00720A0C">
        <w:rPr>
          <w:rFonts w:ascii="Arial" w:eastAsia="Times New Roman" w:hAnsi="Arial" w:cs="Arial"/>
          <w:sz w:val="18"/>
          <w:szCs w:val="18"/>
        </w:rPr>
        <w:t xml:space="preserve">/ 17.523,39 € </w:t>
      </w:r>
      <w:r w:rsidRPr="00720A0C">
        <w:rPr>
          <w:rFonts w:ascii="Arial" w:eastAsia="Times New Roman" w:hAnsi="Arial" w:cs="Arial"/>
          <w:sz w:val="18"/>
          <w:szCs w:val="18"/>
        </w:rPr>
        <w:t xml:space="preserve">(sveukupno 671.330 kn </w:t>
      </w:r>
      <w:r w:rsidR="00621E95" w:rsidRPr="00720A0C">
        <w:rPr>
          <w:rFonts w:ascii="Arial" w:eastAsia="Times New Roman" w:hAnsi="Arial" w:cs="Arial"/>
          <w:sz w:val="18"/>
          <w:szCs w:val="18"/>
        </w:rPr>
        <w:t xml:space="preserve">/ 89.100,80 € </w:t>
      </w:r>
      <w:r w:rsidRPr="00720A0C">
        <w:rPr>
          <w:rFonts w:ascii="Arial" w:eastAsia="Times New Roman" w:hAnsi="Arial" w:cs="Arial"/>
          <w:sz w:val="18"/>
          <w:szCs w:val="18"/>
        </w:rPr>
        <w:t>bez poreza).</w:t>
      </w:r>
    </w:p>
    <w:p w14:paraId="6190E0A3"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Dakle, komunalno društvo je u 2018., na temelju provedenog postupka javne nabave i odluke o odabiru najpovoljnije ponude zaključilo ugovor sa izvođačem Texo gradnja d.o.o. Ugovoreno je izvođenje radova unutar 6 mjeseci,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dvogodišnjem roku od trenutka zapisničke primopredaje građevine. Za solidnost sanacije postojećih konstrukcija i solidnost novoizgrađene građevine daje se jamstveni rok 10 godina. Izvođač je obvezan društvu (naručitelju) dostaviti jamstvo za otklanjanje nedostataka u jamstvenom roku na period od dvije godine u obliku bankarske garancije na iznos od 5% ugovorenog iznosa PDV-a. Kazna za svaki dan kašnjenja u izvođenju radove prema detaljnom dinamičkom planu je 5 promila s time da je maksimalni iznos ugovorene kazne 10% ugovorene kazne ne može prijeći 10% ugovorene vrijednosti radova s PDV-om.</w:t>
      </w:r>
    </w:p>
    <w:p w14:paraId="0E06B61E" w14:textId="3BA7C18C"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Dodatak ugovoru za izvođenje radova, zaključen je 11.6.2019. u iznosu 48.993,76 kn </w:t>
      </w:r>
      <w:r w:rsidR="00EB4CA8" w:rsidRPr="00720A0C">
        <w:rPr>
          <w:rFonts w:ascii="Arial" w:eastAsia="Times New Roman" w:hAnsi="Arial" w:cs="Arial"/>
          <w:sz w:val="18"/>
          <w:szCs w:val="18"/>
        </w:rPr>
        <w:t xml:space="preserve">/ 6.502,59 € </w:t>
      </w:r>
      <w:r w:rsidRPr="00720A0C">
        <w:rPr>
          <w:rFonts w:ascii="Arial" w:eastAsia="Times New Roman" w:hAnsi="Arial" w:cs="Arial"/>
          <w:sz w:val="18"/>
          <w:szCs w:val="18"/>
        </w:rPr>
        <w:t>što s porezom čini 61.242,20 kn</w:t>
      </w:r>
      <w:r w:rsidR="00EB4CA8" w:rsidRPr="00720A0C">
        <w:rPr>
          <w:rFonts w:ascii="Arial" w:eastAsia="Times New Roman" w:hAnsi="Arial" w:cs="Arial"/>
          <w:sz w:val="18"/>
          <w:szCs w:val="18"/>
        </w:rPr>
        <w:t xml:space="preserve"> / 8.128,24 €</w:t>
      </w:r>
      <w:r w:rsidRPr="00720A0C">
        <w:rPr>
          <w:rFonts w:ascii="Arial" w:eastAsia="Times New Roman" w:hAnsi="Arial" w:cs="Arial"/>
          <w:sz w:val="18"/>
          <w:szCs w:val="18"/>
        </w:rPr>
        <w:t xml:space="preserve"> ili sveukupno s osnovnim ugovorom iz studenog 2018. iznosi 720.323,76 kn </w:t>
      </w:r>
      <w:r w:rsidR="00EB4CA8" w:rsidRPr="00720A0C">
        <w:rPr>
          <w:rFonts w:ascii="Arial" w:eastAsia="Times New Roman" w:hAnsi="Arial" w:cs="Arial"/>
          <w:sz w:val="18"/>
          <w:szCs w:val="18"/>
        </w:rPr>
        <w:t xml:space="preserve">/ 95.603,39 € </w:t>
      </w:r>
      <w:r w:rsidRPr="00720A0C">
        <w:rPr>
          <w:rFonts w:ascii="Arial" w:eastAsia="Times New Roman" w:hAnsi="Arial" w:cs="Arial"/>
          <w:sz w:val="18"/>
          <w:szCs w:val="18"/>
        </w:rPr>
        <w:t>s porezom 900.404,70 kn</w:t>
      </w:r>
      <w:r w:rsidR="00EB4CA8" w:rsidRPr="00720A0C">
        <w:rPr>
          <w:rFonts w:ascii="Arial" w:eastAsia="Times New Roman" w:hAnsi="Arial" w:cs="Arial"/>
          <w:sz w:val="18"/>
          <w:szCs w:val="18"/>
        </w:rPr>
        <w:t xml:space="preserve"> / 119.504,24 €</w:t>
      </w:r>
      <w:r w:rsidRPr="00720A0C">
        <w:rPr>
          <w:rFonts w:ascii="Arial" w:eastAsia="Times New Roman" w:hAnsi="Arial" w:cs="Arial"/>
          <w:sz w:val="18"/>
          <w:szCs w:val="18"/>
        </w:rPr>
        <w:t>.</w:t>
      </w:r>
    </w:p>
    <w:p w14:paraId="32855BC4"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411E30E4" w14:textId="23F29202"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b/>
          <w:sz w:val="18"/>
          <w:szCs w:val="18"/>
        </w:rPr>
        <w:t>Stručni nadzor</w:t>
      </w:r>
      <w:r w:rsidRPr="00720A0C">
        <w:rPr>
          <w:rFonts w:ascii="Arial" w:eastAsia="Times New Roman" w:hAnsi="Arial" w:cs="Arial"/>
          <w:sz w:val="18"/>
          <w:szCs w:val="18"/>
        </w:rPr>
        <w:t xml:space="preserve"> je Astra gradnja d.o.o., a ugovor je zaključen 20.11.2018. u iznosu 18.500</w:t>
      </w:r>
      <w:r w:rsidR="00EB4CA8" w:rsidRPr="00720A0C">
        <w:rPr>
          <w:rFonts w:ascii="Arial" w:eastAsia="Times New Roman" w:hAnsi="Arial" w:cs="Arial"/>
          <w:sz w:val="18"/>
          <w:szCs w:val="18"/>
        </w:rPr>
        <w:t xml:space="preserve"> </w:t>
      </w:r>
      <w:r w:rsidRPr="00720A0C">
        <w:rPr>
          <w:rFonts w:ascii="Arial" w:eastAsia="Times New Roman" w:hAnsi="Arial" w:cs="Arial"/>
          <w:sz w:val="18"/>
          <w:szCs w:val="18"/>
        </w:rPr>
        <w:t>kn</w:t>
      </w:r>
      <w:r w:rsidR="00EB4CA8" w:rsidRPr="00720A0C">
        <w:rPr>
          <w:rFonts w:ascii="Arial" w:eastAsia="Times New Roman" w:hAnsi="Arial" w:cs="Arial"/>
          <w:sz w:val="18"/>
          <w:szCs w:val="18"/>
        </w:rPr>
        <w:t xml:space="preserve"> / 2.455,37 €</w:t>
      </w:r>
      <w:r w:rsidRPr="00720A0C">
        <w:rPr>
          <w:rFonts w:ascii="Arial" w:eastAsia="Times New Roman" w:hAnsi="Arial" w:cs="Arial"/>
          <w:sz w:val="18"/>
          <w:szCs w:val="18"/>
        </w:rPr>
        <w:t xml:space="preserve">, bez poreza na dodanu vrijednost. </w:t>
      </w:r>
    </w:p>
    <w:p w14:paraId="3E4667A1"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2E026C4C" w14:textId="3AB148FE"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U </w:t>
      </w:r>
      <w:r w:rsidRPr="00720A0C">
        <w:rPr>
          <w:rFonts w:ascii="Arial" w:eastAsia="Times New Roman" w:hAnsi="Arial" w:cs="Arial"/>
          <w:b/>
          <w:sz w:val="18"/>
          <w:szCs w:val="18"/>
        </w:rPr>
        <w:t>2019.</w:t>
      </w:r>
      <w:r w:rsidRPr="00720A0C">
        <w:rPr>
          <w:rFonts w:ascii="Arial" w:eastAsia="Times New Roman" w:hAnsi="Arial" w:cs="Arial"/>
          <w:sz w:val="18"/>
          <w:szCs w:val="18"/>
        </w:rPr>
        <w:t xml:space="preserve"> godine Općina je društvu u vlasništvu Općine doznačila sredstva u iznosu 615.385,71 kn </w:t>
      </w:r>
      <w:r w:rsidR="00EB4CA8" w:rsidRPr="00720A0C">
        <w:rPr>
          <w:rFonts w:ascii="Arial" w:eastAsia="Times New Roman" w:hAnsi="Arial" w:cs="Arial"/>
          <w:sz w:val="18"/>
          <w:szCs w:val="18"/>
        </w:rPr>
        <w:t xml:space="preserve">/ 81.675,72 € </w:t>
      </w:r>
      <w:r w:rsidRPr="00720A0C">
        <w:rPr>
          <w:rFonts w:ascii="Arial" w:eastAsia="Times New Roman" w:hAnsi="Arial" w:cs="Arial"/>
          <w:sz w:val="18"/>
          <w:szCs w:val="18"/>
        </w:rPr>
        <w:t>koja se odnose na:</w:t>
      </w:r>
    </w:p>
    <w:p w14:paraId="2E016D29" w14:textId="5271F614"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radove na kanalizacijskoj mreži u naselju Zvekovica (sukladno zaključenom ugovoru s Texo gradnja d.o.o.) na temelju četiri ispostavljene privremene situacije, odnosno pete i okončane situacije u ukupnom iznosu 573.575,58 kn</w:t>
      </w:r>
      <w:r w:rsidR="00EB4CA8" w:rsidRPr="00720A0C">
        <w:rPr>
          <w:rFonts w:ascii="Arial" w:eastAsia="Times New Roman" w:hAnsi="Arial" w:cs="Arial"/>
          <w:sz w:val="18"/>
          <w:szCs w:val="18"/>
        </w:rPr>
        <w:t xml:space="preserve"> / 76.126,56 €</w:t>
      </w:r>
      <w:r w:rsidRPr="00720A0C">
        <w:rPr>
          <w:rFonts w:ascii="Arial" w:eastAsia="Times New Roman" w:hAnsi="Arial" w:cs="Arial"/>
          <w:sz w:val="18"/>
          <w:szCs w:val="18"/>
        </w:rPr>
        <w:t xml:space="preserve">, </w:t>
      </w:r>
    </w:p>
    <w:p w14:paraId="07C597AA" w14:textId="153E7C5E"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 na usluge nadzora nad izvođenjem radova u iznosu 3.910,13 kn </w:t>
      </w:r>
      <w:r w:rsidR="00403170" w:rsidRPr="00720A0C">
        <w:rPr>
          <w:rFonts w:ascii="Arial" w:eastAsia="Times New Roman" w:hAnsi="Arial" w:cs="Arial"/>
          <w:sz w:val="18"/>
          <w:szCs w:val="18"/>
        </w:rPr>
        <w:t xml:space="preserve">/ 518,96 € </w:t>
      </w:r>
      <w:r w:rsidRPr="00720A0C">
        <w:rPr>
          <w:rFonts w:ascii="Arial" w:eastAsia="Times New Roman" w:hAnsi="Arial" w:cs="Arial"/>
          <w:sz w:val="18"/>
          <w:szCs w:val="18"/>
        </w:rPr>
        <w:t xml:space="preserve">i </w:t>
      </w:r>
    </w:p>
    <w:p w14:paraId="4257F919" w14:textId="17313D8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izradu projektne dokumentacije za CS i VS na području Općine u iznosu 37.900 kn</w:t>
      </w:r>
      <w:r w:rsidR="00403170" w:rsidRPr="00720A0C">
        <w:rPr>
          <w:rFonts w:ascii="Arial" w:eastAsia="Times New Roman" w:hAnsi="Arial" w:cs="Arial"/>
          <w:sz w:val="18"/>
          <w:szCs w:val="18"/>
        </w:rPr>
        <w:t xml:space="preserve"> / 5.030,19 €</w:t>
      </w:r>
      <w:r w:rsidRPr="00720A0C">
        <w:rPr>
          <w:rFonts w:ascii="Arial" w:eastAsia="Times New Roman" w:hAnsi="Arial" w:cs="Arial"/>
          <w:sz w:val="18"/>
          <w:szCs w:val="18"/>
        </w:rPr>
        <w:t>. Rashodi su izvršeni na temelju dostavljenih ugovora, situacija o izvedenim radovima i zahtjeva za financiranje investicije, te odluke općinskog načelnika.</w:t>
      </w:r>
    </w:p>
    <w:p w14:paraId="43FC1198"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383BC212" w14:textId="36CB0D79"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Konavosko komunalno društvo je u 2018. zaključilo ugovor za izvođenje radova s odabranim ponuditeljem za izradu projektne dokumentacije za CS i VS na području općine Konavle u vrijednosti 137.900 kn</w:t>
      </w:r>
      <w:r w:rsidR="00403170" w:rsidRPr="00720A0C">
        <w:rPr>
          <w:rFonts w:ascii="Arial" w:eastAsia="Times New Roman" w:hAnsi="Arial" w:cs="Arial"/>
          <w:sz w:val="18"/>
          <w:szCs w:val="18"/>
        </w:rPr>
        <w:t xml:space="preserve"> / 18.302,48 €</w:t>
      </w:r>
      <w:r w:rsidRPr="00720A0C">
        <w:rPr>
          <w:rFonts w:ascii="Arial" w:eastAsia="Times New Roman" w:hAnsi="Arial" w:cs="Arial"/>
          <w:sz w:val="18"/>
          <w:szCs w:val="18"/>
        </w:rPr>
        <w:t xml:space="preserve">, bez poreza na dodanu vrijednost. Dio radova u vrijednosti 100.000 kn </w:t>
      </w:r>
      <w:r w:rsidR="00403170" w:rsidRPr="00720A0C">
        <w:rPr>
          <w:rFonts w:ascii="Arial" w:eastAsia="Times New Roman" w:hAnsi="Arial" w:cs="Arial"/>
          <w:sz w:val="18"/>
          <w:szCs w:val="18"/>
        </w:rPr>
        <w:t xml:space="preserve">/ 13.272,28 € </w:t>
      </w:r>
      <w:r w:rsidRPr="00720A0C">
        <w:rPr>
          <w:rFonts w:ascii="Arial" w:eastAsia="Times New Roman" w:hAnsi="Arial" w:cs="Arial"/>
          <w:sz w:val="18"/>
          <w:szCs w:val="18"/>
        </w:rPr>
        <w:t xml:space="preserve">su financirale Hrvatske vode u 2018 .godini, a preostali dio Općina u 2019. godini. Dakle, doznačena sredstva u iznosu 37.900 kn </w:t>
      </w:r>
      <w:r w:rsidR="00403170" w:rsidRPr="00720A0C">
        <w:rPr>
          <w:rFonts w:ascii="Arial" w:eastAsia="Times New Roman" w:hAnsi="Arial" w:cs="Arial"/>
          <w:sz w:val="18"/>
          <w:szCs w:val="18"/>
        </w:rPr>
        <w:t xml:space="preserve">/ 5.030,19 € </w:t>
      </w:r>
      <w:r w:rsidRPr="00720A0C">
        <w:rPr>
          <w:rFonts w:ascii="Arial" w:eastAsia="Times New Roman" w:hAnsi="Arial" w:cs="Arial"/>
          <w:sz w:val="18"/>
          <w:szCs w:val="18"/>
        </w:rPr>
        <w:t>se odnose na sredstva za izradu projektne dokumentacije koja je izvršena u iznosu 137.900 kn</w:t>
      </w:r>
      <w:r w:rsidR="00403170" w:rsidRPr="00720A0C">
        <w:rPr>
          <w:rFonts w:ascii="Arial" w:eastAsia="Times New Roman" w:hAnsi="Arial" w:cs="Arial"/>
          <w:sz w:val="18"/>
          <w:szCs w:val="18"/>
        </w:rPr>
        <w:t xml:space="preserve"> / 18.302,48 €</w:t>
      </w:r>
      <w:r w:rsidRPr="00720A0C">
        <w:rPr>
          <w:rFonts w:ascii="Arial" w:eastAsia="Times New Roman" w:hAnsi="Arial" w:cs="Arial"/>
          <w:sz w:val="18"/>
          <w:szCs w:val="18"/>
        </w:rPr>
        <w:t xml:space="preserve"> (Strilam d.o.o., od čega su Hrvatske vode sufinancirale 100.000 kn</w:t>
      </w:r>
      <w:r w:rsidR="00403170" w:rsidRPr="00720A0C">
        <w:rPr>
          <w:rFonts w:ascii="Arial" w:eastAsia="Times New Roman" w:hAnsi="Arial" w:cs="Arial"/>
          <w:sz w:val="18"/>
          <w:szCs w:val="18"/>
        </w:rPr>
        <w:t xml:space="preserve"> / 13.272,28 €</w:t>
      </w:r>
      <w:r w:rsidRPr="00720A0C">
        <w:rPr>
          <w:rFonts w:ascii="Arial" w:eastAsia="Times New Roman" w:hAnsi="Arial" w:cs="Arial"/>
          <w:sz w:val="18"/>
          <w:szCs w:val="18"/>
        </w:rPr>
        <w:t xml:space="preserve"> u 2018.).</w:t>
      </w:r>
    </w:p>
    <w:p w14:paraId="6790FBD0"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40193B25" w14:textId="3F71EC5B"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Izvoditelj radova izgradnje kanalizacijske mreže u naselju Zvekovica i Cavtatu ispostavio je okončanu situaciju za izvršene radove u ukupnom iznosu 720.323,76 kn</w:t>
      </w:r>
      <w:r w:rsidR="00403170" w:rsidRPr="00720A0C">
        <w:rPr>
          <w:rFonts w:ascii="Arial" w:eastAsia="Times New Roman" w:hAnsi="Arial" w:cs="Arial"/>
          <w:sz w:val="18"/>
          <w:szCs w:val="18"/>
        </w:rPr>
        <w:t xml:space="preserve"> / 95.603,39 €</w:t>
      </w:r>
      <w:r w:rsidRPr="00720A0C">
        <w:rPr>
          <w:rFonts w:ascii="Arial" w:eastAsia="Times New Roman" w:hAnsi="Arial" w:cs="Arial"/>
          <w:sz w:val="18"/>
          <w:szCs w:val="18"/>
        </w:rPr>
        <w:t>. Izvedeni radovi se odnose na:</w:t>
      </w:r>
    </w:p>
    <w:p w14:paraId="22FED974" w14:textId="3C08BA92"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radove na Zvekovici u iznosu 573.575,58 kn</w:t>
      </w:r>
      <w:r w:rsidR="00403170" w:rsidRPr="00720A0C">
        <w:rPr>
          <w:rFonts w:ascii="Arial" w:eastAsia="Times New Roman" w:hAnsi="Arial" w:cs="Arial"/>
          <w:sz w:val="18"/>
          <w:szCs w:val="18"/>
        </w:rPr>
        <w:t xml:space="preserve"> / 76.126,56 €</w:t>
      </w:r>
      <w:r w:rsidRPr="00720A0C">
        <w:rPr>
          <w:rFonts w:ascii="Arial" w:eastAsia="Times New Roman" w:hAnsi="Arial" w:cs="Arial"/>
          <w:sz w:val="18"/>
          <w:szCs w:val="18"/>
        </w:rPr>
        <w:t>, bez PDV-a (</w:t>
      </w:r>
      <w:r w:rsidRPr="00720A0C">
        <w:rPr>
          <w:rFonts w:ascii="Arial" w:eastAsia="Times New Roman" w:hAnsi="Arial" w:cs="Arial"/>
          <w:b/>
          <w:sz w:val="18"/>
          <w:szCs w:val="18"/>
        </w:rPr>
        <w:t>T209424</w:t>
      </w:r>
      <w:r w:rsidRPr="00720A0C">
        <w:rPr>
          <w:rFonts w:ascii="Arial" w:eastAsia="Times New Roman" w:hAnsi="Arial" w:cs="Arial"/>
          <w:sz w:val="18"/>
          <w:szCs w:val="18"/>
        </w:rPr>
        <w:t xml:space="preserve">) i </w:t>
      </w:r>
    </w:p>
    <w:p w14:paraId="25E8F6E8" w14:textId="316C2250"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 radove u Cavtatu u iznosu 146.748,18 kn </w:t>
      </w:r>
      <w:r w:rsidR="00403170" w:rsidRPr="00720A0C">
        <w:rPr>
          <w:rFonts w:ascii="Arial" w:eastAsia="Times New Roman" w:hAnsi="Arial" w:cs="Arial"/>
          <w:sz w:val="18"/>
          <w:szCs w:val="18"/>
        </w:rPr>
        <w:t xml:space="preserve">/ 19.476,83 € </w:t>
      </w:r>
      <w:r w:rsidRPr="00720A0C">
        <w:rPr>
          <w:rFonts w:ascii="Arial" w:eastAsia="Times New Roman" w:hAnsi="Arial" w:cs="Arial"/>
          <w:sz w:val="18"/>
          <w:szCs w:val="18"/>
        </w:rPr>
        <w:t xml:space="preserve">(iskazuje se kroz projekt </w:t>
      </w:r>
      <w:r w:rsidRPr="00720A0C">
        <w:rPr>
          <w:rFonts w:ascii="Arial" w:eastAsia="Times New Roman" w:hAnsi="Arial" w:cs="Arial"/>
          <w:b/>
          <w:sz w:val="18"/>
          <w:szCs w:val="18"/>
        </w:rPr>
        <w:t>K209422</w:t>
      </w:r>
      <w:r w:rsidRPr="00720A0C">
        <w:rPr>
          <w:rFonts w:ascii="Arial" w:eastAsia="Times New Roman" w:hAnsi="Arial" w:cs="Arial"/>
          <w:sz w:val="18"/>
          <w:szCs w:val="18"/>
        </w:rPr>
        <w:t xml:space="preserve">). </w:t>
      </w:r>
    </w:p>
    <w:p w14:paraId="7554EBDC"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55E93EFF"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Postotak izvršenosti planiranog projekta (Zvekovica) </w:t>
      </w:r>
      <w:r w:rsidRPr="00720A0C">
        <w:rPr>
          <w:rFonts w:ascii="Arial" w:eastAsia="Times New Roman" w:hAnsi="Arial" w:cs="Arial"/>
          <w:b/>
          <w:sz w:val="18"/>
          <w:szCs w:val="18"/>
        </w:rPr>
        <w:t>koncem 2019.</w:t>
      </w:r>
      <w:r w:rsidRPr="00720A0C">
        <w:rPr>
          <w:rFonts w:ascii="Arial" w:eastAsia="Times New Roman" w:hAnsi="Arial" w:cs="Arial"/>
          <w:sz w:val="18"/>
          <w:szCs w:val="18"/>
        </w:rPr>
        <w:t xml:space="preserve"> je bio 90% (svi ugovoreni radovi su u cijelosti izvršeni).</w:t>
      </w:r>
    </w:p>
    <w:p w14:paraId="7022A203"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7BAE4413"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Naime, s obzirom da se naselje Zvekovica neprestano širi, sekundarna kanalizacijska mreža se obavlja kada se skupi dovoljan broj objekata za obavljanje sveobuhvatnih radova izgradnje mreže. Prema procjeni, naselje Zvekovica za sada 10% nije pokriveno sekundarnom kanalizacijskom mrežom.</w:t>
      </w:r>
    </w:p>
    <w:p w14:paraId="46DFBB49" w14:textId="3DAECD0A"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Rashodi nisu izvršavani u </w:t>
      </w:r>
      <w:r w:rsidR="003D787D" w:rsidRPr="00720A0C">
        <w:rPr>
          <w:rFonts w:ascii="Arial" w:eastAsia="Times New Roman" w:hAnsi="Arial" w:cs="Arial"/>
          <w:sz w:val="18"/>
          <w:szCs w:val="18"/>
        </w:rPr>
        <w:t xml:space="preserve">razdoblju </w:t>
      </w:r>
      <w:r w:rsidRPr="00720A0C">
        <w:rPr>
          <w:rFonts w:ascii="Arial" w:eastAsia="Times New Roman" w:hAnsi="Arial" w:cs="Arial"/>
          <w:sz w:val="18"/>
          <w:szCs w:val="18"/>
        </w:rPr>
        <w:t>2021.</w:t>
      </w:r>
      <w:r w:rsidR="003D787D" w:rsidRPr="00720A0C">
        <w:rPr>
          <w:rFonts w:ascii="Arial" w:eastAsia="Times New Roman" w:hAnsi="Arial" w:cs="Arial"/>
          <w:sz w:val="18"/>
          <w:szCs w:val="18"/>
        </w:rPr>
        <w:t>-</w:t>
      </w:r>
      <w:r w:rsidR="00E71BC2" w:rsidRPr="00720A0C">
        <w:rPr>
          <w:rFonts w:ascii="Arial" w:eastAsia="Times New Roman" w:hAnsi="Arial" w:cs="Arial"/>
          <w:sz w:val="18"/>
          <w:szCs w:val="18"/>
        </w:rPr>
        <w:t xml:space="preserve"> 202</w:t>
      </w:r>
      <w:r w:rsidR="007C1F75" w:rsidRPr="00720A0C">
        <w:rPr>
          <w:rFonts w:ascii="Arial" w:eastAsia="Times New Roman" w:hAnsi="Arial" w:cs="Arial"/>
          <w:sz w:val="18"/>
          <w:szCs w:val="18"/>
        </w:rPr>
        <w:t>4</w:t>
      </w:r>
      <w:r w:rsidR="00E71BC2" w:rsidRPr="00720A0C">
        <w:rPr>
          <w:rFonts w:ascii="Arial" w:eastAsia="Times New Roman" w:hAnsi="Arial" w:cs="Arial"/>
          <w:sz w:val="18"/>
          <w:szCs w:val="18"/>
        </w:rPr>
        <w:t>.</w:t>
      </w:r>
    </w:p>
    <w:p w14:paraId="1020AD00" w14:textId="3EFA7DA4"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305D2EFD" w14:textId="77777777" w:rsidR="007C4B2D" w:rsidRPr="00FF3C31" w:rsidRDefault="007C4B2D" w:rsidP="00B20566">
      <w:pPr>
        <w:autoSpaceDE w:val="0"/>
        <w:autoSpaceDN w:val="0"/>
        <w:adjustRightInd w:val="0"/>
        <w:spacing w:after="0" w:line="240" w:lineRule="auto"/>
        <w:jc w:val="both"/>
        <w:rPr>
          <w:rFonts w:ascii="Arial" w:eastAsia="Times New Roman" w:hAnsi="Arial" w:cs="Arial"/>
          <w:sz w:val="20"/>
          <w:szCs w:val="20"/>
        </w:rPr>
      </w:pPr>
    </w:p>
    <w:p w14:paraId="5099856F" w14:textId="77777777" w:rsidR="00B20566" w:rsidRPr="00FF3C31"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K209426: Projektiranje i izgradnja kanalizacije s nogostupom: Izvor Ljuta - Gruda</w:t>
      </w:r>
    </w:p>
    <w:p w14:paraId="2CA0C226"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2E4508F1"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Pokazatelj rezultata je: postotak dovršenosti projekta, a zatim i izvođenja radova, a u konačnosti prvenstveno sigurno korištenje prometnice za pješake na dužini 2 kilometra. </w:t>
      </w:r>
    </w:p>
    <w:p w14:paraId="2974D6ED"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0265FF9E" w14:textId="7F205DC1"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u 20</w:t>
      </w:r>
      <w:r w:rsidR="0029154A" w:rsidRPr="00FF3C31">
        <w:rPr>
          <w:rFonts w:ascii="Arial" w:eastAsia="Times New Roman" w:hAnsi="Arial" w:cs="Arial"/>
          <w:sz w:val="20"/>
          <w:szCs w:val="20"/>
        </w:rPr>
        <w:t>2</w:t>
      </w:r>
      <w:r w:rsidR="007C1F75" w:rsidRPr="00FF3C31">
        <w:rPr>
          <w:rFonts w:ascii="Arial" w:eastAsia="Times New Roman" w:hAnsi="Arial" w:cs="Arial"/>
          <w:sz w:val="20"/>
          <w:szCs w:val="20"/>
        </w:rPr>
        <w:t>4</w:t>
      </w:r>
      <w:r w:rsidRPr="00FF3C31">
        <w:rPr>
          <w:rFonts w:ascii="Arial" w:eastAsia="Times New Roman" w:hAnsi="Arial" w:cs="Arial"/>
          <w:sz w:val="20"/>
          <w:szCs w:val="20"/>
        </w:rPr>
        <w:t>. = 0%/0% (postotak dovršenosti projektne dokumentacije, ishođenje građevinske dozvole, te postotak dovršenosti izgradnje nogostupa i kanalizacijske mreže)</w:t>
      </w:r>
    </w:p>
    <w:p w14:paraId="1E0C08BF" w14:textId="3029C15E"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Ciljna vrijednost za 202</w:t>
      </w:r>
      <w:r w:rsidR="00A33D0B">
        <w:rPr>
          <w:rFonts w:ascii="Arial" w:eastAsia="Times New Roman" w:hAnsi="Arial" w:cs="Arial"/>
          <w:sz w:val="20"/>
          <w:szCs w:val="20"/>
        </w:rPr>
        <w:t>5</w:t>
      </w:r>
      <w:r w:rsidRPr="00FF3C31">
        <w:rPr>
          <w:rFonts w:ascii="Arial" w:eastAsia="Times New Roman" w:hAnsi="Arial" w:cs="Arial"/>
          <w:sz w:val="20"/>
          <w:szCs w:val="20"/>
        </w:rPr>
        <w:t xml:space="preserve">. = </w:t>
      </w:r>
      <w:r w:rsidR="00A33D0B">
        <w:rPr>
          <w:rFonts w:ascii="Arial" w:eastAsia="Times New Roman" w:hAnsi="Arial" w:cs="Arial"/>
          <w:sz w:val="20"/>
          <w:szCs w:val="20"/>
        </w:rPr>
        <w:t>10</w:t>
      </w:r>
      <w:r w:rsidR="00390542" w:rsidRPr="00FF3C31">
        <w:rPr>
          <w:rFonts w:ascii="Arial" w:eastAsia="Times New Roman" w:hAnsi="Arial" w:cs="Arial"/>
          <w:sz w:val="20"/>
          <w:szCs w:val="20"/>
        </w:rPr>
        <w:t>0</w:t>
      </w:r>
      <w:r w:rsidRPr="00FF3C31">
        <w:rPr>
          <w:rFonts w:ascii="Arial" w:eastAsia="Times New Roman" w:hAnsi="Arial" w:cs="Arial"/>
          <w:sz w:val="20"/>
          <w:szCs w:val="20"/>
        </w:rPr>
        <w:t>%/0%, za 20</w:t>
      </w:r>
      <w:r w:rsidR="00403170">
        <w:rPr>
          <w:rFonts w:ascii="Arial" w:eastAsia="Times New Roman" w:hAnsi="Arial" w:cs="Arial"/>
          <w:sz w:val="20"/>
          <w:szCs w:val="20"/>
        </w:rPr>
        <w:t>2</w:t>
      </w:r>
      <w:r w:rsidR="00A33D0B">
        <w:rPr>
          <w:rFonts w:ascii="Arial" w:eastAsia="Times New Roman" w:hAnsi="Arial" w:cs="Arial"/>
          <w:sz w:val="20"/>
          <w:szCs w:val="20"/>
        </w:rPr>
        <w:t>6</w:t>
      </w:r>
      <w:r w:rsidRPr="00FF3C31">
        <w:rPr>
          <w:rFonts w:ascii="Arial" w:eastAsia="Times New Roman" w:hAnsi="Arial" w:cs="Arial"/>
          <w:sz w:val="20"/>
          <w:szCs w:val="20"/>
        </w:rPr>
        <w:t>. = 100%/</w:t>
      </w:r>
      <w:r w:rsidR="00A33D0B">
        <w:rPr>
          <w:rFonts w:ascii="Arial" w:eastAsia="Times New Roman" w:hAnsi="Arial" w:cs="Arial"/>
          <w:sz w:val="20"/>
          <w:szCs w:val="20"/>
        </w:rPr>
        <w:t>1</w:t>
      </w:r>
      <w:r w:rsidR="00390542" w:rsidRPr="00FF3C31">
        <w:rPr>
          <w:rFonts w:ascii="Arial" w:eastAsia="Times New Roman" w:hAnsi="Arial" w:cs="Arial"/>
          <w:sz w:val="20"/>
          <w:szCs w:val="20"/>
        </w:rPr>
        <w:t>0</w:t>
      </w:r>
      <w:r w:rsidRPr="00FF3C31">
        <w:rPr>
          <w:rFonts w:ascii="Arial" w:eastAsia="Times New Roman" w:hAnsi="Arial" w:cs="Arial"/>
          <w:sz w:val="20"/>
          <w:szCs w:val="20"/>
        </w:rPr>
        <w:t>%, za 20</w:t>
      </w:r>
      <w:r w:rsidR="00403170">
        <w:rPr>
          <w:rFonts w:ascii="Arial" w:eastAsia="Times New Roman" w:hAnsi="Arial" w:cs="Arial"/>
          <w:sz w:val="20"/>
          <w:szCs w:val="20"/>
        </w:rPr>
        <w:t>2</w:t>
      </w:r>
      <w:r w:rsidR="00A33D0B">
        <w:rPr>
          <w:rFonts w:ascii="Arial" w:eastAsia="Times New Roman" w:hAnsi="Arial" w:cs="Arial"/>
          <w:sz w:val="20"/>
          <w:szCs w:val="20"/>
        </w:rPr>
        <w:t>7</w:t>
      </w:r>
      <w:r w:rsidRPr="00FF3C31">
        <w:rPr>
          <w:rFonts w:ascii="Arial" w:eastAsia="Times New Roman" w:hAnsi="Arial" w:cs="Arial"/>
          <w:sz w:val="20"/>
          <w:szCs w:val="20"/>
        </w:rPr>
        <w:t>. = 100%/</w:t>
      </w:r>
      <w:r w:rsidR="00A33D0B">
        <w:rPr>
          <w:rFonts w:ascii="Arial" w:eastAsia="Times New Roman" w:hAnsi="Arial" w:cs="Arial"/>
          <w:sz w:val="20"/>
          <w:szCs w:val="20"/>
        </w:rPr>
        <w:t>10</w:t>
      </w:r>
      <w:r w:rsidR="00390542" w:rsidRPr="00FF3C31">
        <w:rPr>
          <w:rFonts w:ascii="Arial" w:eastAsia="Times New Roman" w:hAnsi="Arial" w:cs="Arial"/>
          <w:sz w:val="20"/>
          <w:szCs w:val="20"/>
        </w:rPr>
        <w:t>0</w:t>
      </w:r>
      <w:r w:rsidRPr="00FF3C31">
        <w:rPr>
          <w:rFonts w:ascii="Arial" w:eastAsia="Times New Roman" w:hAnsi="Arial" w:cs="Arial"/>
          <w:sz w:val="20"/>
          <w:szCs w:val="20"/>
        </w:rPr>
        <w:t>%</w:t>
      </w:r>
    </w:p>
    <w:p w14:paraId="4EB851A4"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1020F1A6"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Planirani nositelj projekta je društvo u vlasništvu Općine, Konavosko komunalno društvo d.o.o. Međutim, navedeno bi se sufinanciralo iz sredstava javnog isporučitelja (Konavosko komunalno društvo d.o.o.), sufinanciranjem Hrvatskih voda 80% i sredstvima Općine do 20%. </w:t>
      </w:r>
    </w:p>
    <w:p w14:paraId="5AE32473" w14:textId="1919E8AA"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Procijenjena vrijednost izrade projekta </w:t>
      </w:r>
      <w:r w:rsidR="003D787D" w:rsidRPr="00720A0C">
        <w:rPr>
          <w:rFonts w:ascii="Arial" w:eastAsia="Times New Roman" w:hAnsi="Arial" w:cs="Arial"/>
          <w:sz w:val="18"/>
          <w:szCs w:val="18"/>
        </w:rPr>
        <w:t>ranijih godina je bila 4</w:t>
      </w:r>
      <w:r w:rsidRPr="00720A0C">
        <w:rPr>
          <w:rFonts w:ascii="Arial" w:eastAsia="Times New Roman" w:hAnsi="Arial" w:cs="Arial"/>
          <w:sz w:val="18"/>
          <w:szCs w:val="18"/>
        </w:rPr>
        <w:t>50.000 kn (planirano obaviti tijekom 20</w:t>
      </w:r>
      <w:r w:rsidR="00390542" w:rsidRPr="00720A0C">
        <w:rPr>
          <w:rFonts w:ascii="Arial" w:eastAsia="Times New Roman" w:hAnsi="Arial" w:cs="Arial"/>
          <w:sz w:val="18"/>
          <w:szCs w:val="18"/>
        </w:rPr>
        <w:t>2</w:t>
      </w:r>
      <w:r w:rsidR="007C1F75" w:rsidRPr="00720A0C">
        <w:rPr>
          <w:rFonts w:ascii="Arial" w:eastAsia="Times New Roman" w:hAnsi="Arial" w:cs="Arial"/>
          <w:sz w:val="18"/>
          <w:szCs w:val="18"/>
        </w:rPr>
        <w:t>4</w:t>
      </w:r>
      <w:r w:rsidRPr="00720A0C">
        <w:rPr>
          <w:rFonts w:ascii="Arial" w:eastAsia="Times New Roman" w:hAnsi="Arial" w:cs="Arial"/>
          <w:sz w:val="18"/>
          <w:szCs w:val="18"/>
        </w:rPr>
        <w:t xml:space="preserve">.), a procijenjena vrijednost radova </w:t>
      </w:r>
      <w:r w:rsidR="003D787D" w:rsidRPr="00720A0C">
        <w:rPr>
          <w:rFonts w:ascii="Arial" w:eastAsia="Times New Roman" w:hAnsi="Arial" w:cs="Arial"/>
          <w:sz w:val="18"/>
          <w:szCs w:val="18"/>
        </w:rPr>
        <w:t xml:space="preserve">je bila </w:t>
      </w:r>
      <w:r w:rsidRPr="00720A0C">
        <w:rPr>
          <w:rFonts w:ascii="Arial" w:eastAsia="Times New Roman" w:hAnsi="Arial" w:cs="Arial"/>
          <w:sz w:val="18"/>
          <w:szCs w:val="18"/>
        </w:rPr>
        <w:t xml:space="preserve">3.500.000 kn </w:t>
      </w:r>
      <w:r w:rsidR="00976D7A" w:rsidRPr="00720A0C">
        <w:rPr>
          <w:rFonts w:ascii="Arial" w:eastAsia="Times New Roman" w:hAnsi="Arial" w:cs="Arial"/>
          <w:sz w:val="18"/>
          <w:szCs w:val="18"/>
        </w:rPr>
        <w:t xml:space="preserve">(464.529,83 €) </w:t>
      </w:r>
      <w:r w:rsidRPr="00720A0C">
        <w:rPr>
          <w:rFonts w:ascii="Arial" w:eastAsia="Times New Roman" w:hAnsi="Arial" w:cs="Arial"/>
          <w:sz w:val="18"/>
          <w:szCs w:val="18"/>
        </w:rPr>
        <w:t>(planirano izvođenje radova 202</w:t>
      </w:r>
      <w:r w:rsidR="007C1F75" w:rsidRPr="00720A0C">
        <w:rPr>
          <w:rFonts w:ascii="Arial" w:eastAsia="Times New Roman" w:hAnsi="Arial" w:cs="Arial"/>
          <w:sz w:val="18"/>
          <w:szCs w:val="18"/>
        </w:rPr>
        <w:t>5</w:t>
      </w:r>
      <w:r w:rsidRPr="00720A0C">
        <w:rPr>
          <w:rFonts w:ascii="Arial" w:eastAsia="Times New Roman" w:hAnsi="Arial" w:cs="Arial"/>
          <w:sz w:val="18"/>
          <w:szCs w:val="18"/>
        </w:rPr>
        <w:t>-202</w:t>
      </w:r>
      <w:r w:rsidR="007C1F75" w:rsidRPr="00720A0C">
        <w:rPr>
          <w:rFonts w:ascii="Arial" w:eastAsia="Times New Roman" w:hAnsi="Arial" w:cs="Arial"/>
          <w:sz w:val="18"/>
          <w:szCs w:val="18"/>
        </w:rPr>
        <w:t>6</w:t>
      </w:r>
      <w:r w:rsidRPr="00720A0C">
        <w:rPr>
          <w:rFonts w:ascii="Arial" w:eastAsia="Times New Roman" w:hAnsi="Arial" w:cs="Arial"/>
          <w:sz w:val="18"/>
          <w:szCs w:val="18"/>
        </w:rPr>
        <w:t>.).</w:t>
      </w:r>
    </w:p>
    <w:p w14:paraId="56FA43FD"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p>
    <w:p w14:paraId="37BBC310" w14:textId="1143E7BB" w:rsidR="00B20566" w:rsidRPr="00720A0C" w:rsidRDefault="00390542"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U proračunu Općine će se iskazivati samo dio investicije koji se sufinancira sredstvima iz proračuna, dok se sredstva Hrvatskih voda isplaćuju nositelju projekta, sukladno zaključenim godišnjim ugovorima. </w:t>
      </w:r>
      <w:r w:rsidR="00B20566" w:rsidRPr="00720A0C">
        <w:rPr>
          <w:rFonts w:ascii="Arial" w:eastAsia="Times New Roman" w:hAnsi="Arial" w:cs="Arial"/>
          <w:sz w:val="18"/>
          <w:szCs w:val="18"/>
        </w:rPr>
        <w:t xml:space="preserve">Izrada projekta nije započeta. </w:t>
      </w:r>
    </w:p>
    <w:p w14:paraId="751DA9F3" w14:textId="77777777" w:rsidR="00390542" w:rsidRPr="00720A0C" w:rsidRDefault="00390542" w:rsidP="00B20566">
      <w:pPr>
        <w:autoSpaceDE w:val="0"/>
        <w:autoSpaceDN w:val="0"/>
        <w:adjustRightInd w:val="0"/>
        <w:spacing w:after="0" w:line="240" w:lineRule="auto"/>
        <w:jc w:val="both"/>
        <w:rPr>
          <w:rFonts w:ascii="Arial" w:eastAsia="Times New Roman" w:hAnsi="Arial" w:cs="Arial"/>
          <w:sz w:val="18"/>
          <w:szCs w:val="18"/>
        </w:rPr>
      </w:pPr>
    </w:p>
    <w:p w14:paraId="037965ED" w14:textId="77777777" w:rsidR="005930DF" w:rsidRPr="00720A0C" w:rsidRDefault="005930DF" w:rsidP="005930DF">
      <w:pPr>
        <w:numPr>
          <w:ilvl w:val="0"/>
          <w:numId w:val="5"/>
        </w:num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b/>
          <w:sz w:val="18"/>
          <w:szCs w:val="18"/>
          <w:u w:val="single"/>
        </w:rPr>
        <w:t>Građevinska dozvola</w:t>
      </w:r>
      <w:r w:rsidRPr="00720A0C">
        <w:rPr>
          <w:rFonts w:ascii="Arial" w:eastAsia="Times New Roman" w:hAnsi="Arial" w:cs="Arial"/>
          <w:sz w:val="18"/>
          <w:szCs w:val="18"/>
        </w:rPr>
        <w:t>, KLASA: UP/I-361-03/24-01/000566, URBROJ:2117-23-6/1-25-0020, Gruda, 22.4.2025. Dubrovačko-neretvanska županija, Upravni odjel za prostorno uređenje i gradnju izdalo je: građevinsku dozvolu za:</w:t>
      </w:r>
    </w:p>
    <w:p w14:paraId="09E59DB8" w14:textId="77777777" w:rsidR="005930DF" w:rsidRPr="00720A0C" w:rsidRDefault="005930DF" w:rsidP="005930DF">
      <w:pPr>
        <w:numPr>
          <w:ilvl w:val="1"/>
          <w:numId w:val="5"/>
        </w:num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 građenje građevne infrastrukturne namjene vodno-gospodarskog sustava (cjevovod odvodnje otpadnih voda), gravitacijskog cjevovoda duljine 3.749,07 m i tlačnog cjevovoda duljine 699,17 m s pripadajuće tri crpne stanice, te </w:t>
      </w:r>
    </w:p>
    <w:p w14:paraId="114CFFCA" w14:textId="3FAACE71" w:rsidR="005930DF" w:rsidRPr="00720A0C" w:rsidRDefault="005930DF" w:rsidP="005930DF">
      <w:pPr>
        <w:numPr>
          <w:ilvl w:val="1"/>
          <w:numId w:val="5"/>
        </w:num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građenje građevine infrastrukturne namjene vodno-gospodarskog sustava (vodovodni cjevovod) dužine 460,33 m </w:t>
      </w:r>
    </w:p>
    <w:p w14:paraId="2B1BB468" w14:textId="60C39794" w:rsidR="005930DF" w:rsidRPr="00720A0C" w:rsidRDefault="005930DF" w:rsidP="005930DF">
      <w:pPr>
        <w:autoSpaceDE w:val="0"/>
        <w:autoSpaceDN w:val="0"/>
        <w:adjustRightInd w:val="0"/>
        <w:spacing w:after="0" w:line="240" w:lineRule="auto"/>
        <w:ind w:left="1080"/>
        <w:jc w:val="both"/>
        <w:rPr>
          <w:rFonts w:ascii="Arial" w:eastAsia="Times New Roman" w:hAnsi="Arial" w:cs="Arial"/>
          <w:sz w:val="18"/>
          <w:szCs w:val="18"/>
        </w:rPr>
      </w:pPr>
      <w:r w:rsidRPr="00720A0C">
        <w:rPr>
          <w:rFonts w:ascii="Arial" w:eastAsia="Times New Roman" w:hAnsi="Arial" w:cs="Arial"/>
          <w:sz w:val="18"/>
          <w:szCs w:val="18"/>
        </w:rPr>
        <w:t>na katastarskim česticama k.č. 2402 i drugi k.o. Gruda, k.č. 1369/1 i drugi k.o. Ljuta</w:t>
      </w:r>
    </w:p>
    <w:p w14:paraId="2C7458A1" w14:textId="77777777" w:rsidR="005930DF" w:rsidRDefault="005930DF" w:rsidP="00B20566">
      <w:pPr>
        <w:autoSpaceDE w:val="0"/>
        <w:autoSpaceDN w:val="0"/>
        <w:adjustRightInd w:val="0"/>
        <w:spacing w:after="0" w:line="240" w:lineRule="auto"/>
        <w:jc w:val="both"/>
        <w:rPr>
          <w:rFonts w:ascii="Arial" w:eastAsia="Times New Roman" w:hAnsi="Arial" w:cs="Arial"/>
          <w:sz w:val="20"/>
          <w:szCs w:val="20"/>
        </w:rPr>
      </w:pPr>
    </w:p>
    <w:p w14:paraId="2FAFAF0C" w14:textId="77777777" w:rsidR="00B20566" w:rsidRPr="00FF3C31"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K209427: Izgradnja kanalizacije Ulica Frana Laureana Cavtat</w:t>
      </w:r>
    </w:p>
    <w:p w14:paraId="01DB1E4E"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4E2639A0"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Pokazatelj rezultata je: postotak dovršenosti – radova, odnosno izgradnja 450 metara mreže. Po izgradnji može biti spojeno oko 30-ak domaćinstava.</w:t>
      </w:r>
    </w:p>
    <w:p w14:paraId="0D29CFCF" w14:textId="307B0284"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u 202</w:t>
      </w:r>
      <w:r w:rsidR="00A33D0B">
        <w:rPr>
          <w:rFonts w:ascii="Arial" w:eastAsia="Times New Roman" w:hAnsi="Arial" w:cs="Arial"/>
          <w:sz w:val="20"/>
          <w:szCs w:val="20"/>
        </w:rPr>
        <w:t>4</w:t>
      </w:r>
      <w:r w:rsidRPr="00FF3C31">
        <w:rPr>
          <w:rFonts w:ascii="Arial" w:eastAsia="Times New Roman" w:hAnsi="Arial" w:cs="Arial"/>
          <w:sz w:val="20"/>
          <w:szCs w:val="20"/>
        </w:rPr>
        <w:t xml:space="preserve">. = </w:t>
      </w:r>
      <w:r w:rsidR="00A33D0B">
        <w:rPr>
          <w:rFonts w:ascii="Arial" w:eastAsia="Times New Roman" w:hAnsi="Arial" w:cs="Arial"/>
          <w:sz w:val="20"/>
          <w:szCs w:val="20"/>
        </w:rPr>
        <w:t>5</w:t>
      </w:r>
      <w:r w:rsidRPr="00FF3C31">
        <w:rPr>
          <w:rFonts w:ascii="Arial" w:eastAsia="Times New Roman" w:hAnsi="Arial" w:cs="Arial"/>
          <w:sz w:val="20"/>
          <w:szCs w:val="20"/>
        </w:rPr>
        <w:t>0%</w:t>
      </w:r>
    </w:p>
    <w:p w14:paraId="1815F92A" w14:textId="1701FDBF"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Ciljna vrijednost za 202</w:t>
      </w:r>
      <w:r w:rsidR="00A33D0B">
        <w:rPr>
          <w:rFonts w:ascii="Arial" w:eastAsia="Times New Roman" w:hAnsi="Arial" w:cs="Arial"/>
          <w:sz w:val="20"/>
          <w:szCs w:val="20"/>
        </w:rPr>
        <w:t>5</w:t>
      </w:r>
      <w:r w:rsidRPr="00FF3C31">
        <w:rPr>
          <w:rFonts w:ascii="Arial" w:eastAsia="Times New Roman" w:hAnsi="Arial" w:cs="Arial"/>
          <w:sz w:val="20"/>
          <w:szCs w:val="20"/>
        </w:rPr>
        <w:t xml:space="preserve">. = </w:t>
      </w:r>
      <w:r w:rsidR="00A33D0B">
        <w:rPr>
          <w:rFonts w:ascii="Arial" w:eastAsia="Times New Roman" w:hAnsi="Arial" w:cs="Arial"/>
          <w:sz w:val="20"/>
          <w:szCs w:val="20"/>
        </w:rPr>
        <w:t>10</w:t>
      </w:r>
      <w:r w:rsidR="00390542" w:rsidRPr="00FF3C31">
        <w:rPr>
          <w:rFonts w:ascii="Arial" w:eastAsia="Times New Roman" w:hAnsi="Arial" w:cs="Arial"/>
          <w:sz w:val="20"/>
          <w:szCs w:val="20"/>
        </w:rPr>
        <w:t>0</w:t>
      </w:r>
      <w:r w:rsidRPr="00FF3C31">
        <w:rPr>
          <w:rFonts w:ascii="Arial" w:eastAsia="Times New Roman" w:hAnsi="Arial" w:cs="Arial"/>
          <w:sz w:val="20"/>
          <w:szCs w:val="20"/>
        </w:rPr>
        <w:t>%, za 202</w:t>
      </w:r>
      <w:r w:rsidR="00A33D0B">
        <w:rPr>
          <w:rFonts w:ascii="Arial" w:eastAsia="Times New Roman" w:hAnsi="Arial" w:cs="Arial"/>
          <w:sz w:val="20"/>
          <w:szCs w:val="20"/>
        </w:rPr>
        <w:t>6</w:t>
      </w:r>
      <w:r w:rsidRPr="00FF3C31">
        <w:rPr>
          <w:rFonts w:ascii="Arial" w:eastAsia="Times New Roman" w:hAnsi="Arial" w:cs="Arial"/>
          <w:sz w:val="20"/>
          <w:szCs w:val="20"/>
        </w:rPr>
        <w:t>. = 100%, za 202</w:t>
      </w:r>
      <w:r w:rsidR="00A33D0B">
        <w:rPr>
          <w:rFonts w:ascii="Arial" w:eastAsia="Times New Roman" w:hAnsi="Arial" w:cs="Arial"/>
          <w:sz w:val="20"/>
          <w:szCs w:val="20"/>
        </w:rPr>
        <w:t>7</w:t>
      </w:r>
      <w:r w:rsidRPr="00FF3C31">
        <w:rPr>
          <w:rFonts w:ascii="Arial" w:eastAsia="Times New Roman" w:hAnsi="Arial" w:cs="Arial"/>
          <w:sz w:val="20"/>
          <w:szCs w:val="20"/>
        </w:rPr>
        <w:t>. = 100%</w:t>
      </w:r>
    </w:p>
    <w:p w14:paraId="1E04863E"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2E9EC507"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Planirani nositelj projekta je društvo u vlasništvu Općine, Konavosko komunalno društvo d.o.o. Međutim, navedeno bi se sufinanciralo iz sredstava javnog isporučitelja (Konavosko komunalno društvo d.o.o.), sufinanciranjem Hrvatskih voda 80% i sredstvima Općine do 20%. </w:t>
      </w:r>
    </w:p>
    <w:p w14:paraId="4943C05B" w14:textId="22031EE2"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Procijenjena vrijednost ukupne investicije </w:t>
      </w:r>
      <w:r w:rsidR="003D787D" w:rsidRPr="00720A0C">
        <w:rPr>
          <w:rFonts w:ascii="Arial" w:eastAsia="Times New Roman" w:hAnsi="Arial" w:cs="Arial"/>
          <w:sz w:val="18"/>
          <w:szCs w:val="18"/>
        </w:rPr>
        <w:t>ranijih godina je bila</w:t>
      </w:r>
      <w:r w:rsidRPr="00720A0C">
        <w:rPr>
          <w:rFonts w:ascii="Arial" w:eastAsia="Times New Roman" w:hAnsi="Arial" w:cs="Arial"/>
          <w:sz w:val="18"/>
          <w:szCs w:val="18"/>
        </w:rPr>
        <w:t xml:space="preserve"> 1.000.000 kn. </w:t>
      </w:r>
      <w:r w:rsidR="00390542" w:rsidRPr="00720A0C">
        <w:rPr>
          <w:rFonts w:ascii="Arial" w:eastAsia="Times New Roman" w:hAnsi="Arial" w:cs="Arial"/>
          <w:sz w:val="18"/>
          <w:szCs w:val="18"/>
        </w:rPr>
        <w:t>U proračunu Općine će se iskazivati samo dio investicije koji se sufinancira sredstvima iz proračuna, dok se sredstva Hrvatskih voda isplaćuju nositelju projekta, sukladno zaključenim godišnjim ugovorima.</w:t>
      </w:r>
    </w:p>
    <w:p w14:paraId="1FE38446" w14:textId="77777777" w:rsidR="00390542" w:rsidRPr="00720A0C" w:rsidRDefault="00390542" w:rsidP="00B20566">
      <w:pPr>
        <w:autoSpaceDE w:val="0"/>
        <w:autoSpaceDN w:val="0"/>
        <w:adjustRightInd w:val="0"/>
        <w:spacing w:after="0" w:line="240" w:lineRule="auto"/>
        <w:jc w:val="both"/>
        <w:rPr>
          <w:rFonts w:ascii="Arial" w:eastAsia="Times New Roman" w:hAnsi="Arial" w:cs="Arial"/>
          <w:sz w:val="18"/>
          <w:szCs w:val="18"/>
        </w:rPr>
      </w:pPr>
    </w:p>
    <w:p w14:paraId="47373B53" w14:textId="77777777" w:rsidR="00B20566" w:rsidRPr="00720A0C" w:rsidRDefault="00B20566" w:rsidP="00B20566">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Dubrovačko-neretvanska županija, Upravni odjel za prostorno uređenje i gradnju izdalo je:</w:t>
      </w:r>
    </w:p>
    <w:p w14:paraId="2CEBB7F2" w14:textId="77777777" w:rsidR="00B20566" w:rsidRPr="00720A0C" w:rsidRDefault="00B20566">
      <w:pPr>
        <w:numPr>
          <w:ilvl w:val="0"/>
          <w:numId w:val="5"/>
        </w:num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b/>
          <w:sz w:val="18"/>
          <w:szCs w:val="18"/>
          <w:u w:val="single"/>
        </w:rPr>
        <w:lastRenderedPageBreak/>
        <w:t>Lokacijska dozvola</w:t>
      </w:r>
      <w:r w:rsidRPr="00720A0C">
        <w:rPr>
          <w:rFonts w:ascii="Arial" w:eastAsia="Times New Roman" w:hAnsi="Arial" w:cs="Arial"/>
          <w:sz w:val="18"/>
          <w:szCs w:val="18"/>
        </w:rPr>
        <w:t xml:space="preserve"> za Frana Laureana i Jurja Dalmatinca; KLASA: UP/I-350-05/17-01/000057; URBROJ:2117/1-23/1-6-17-0007, Dubrovnik, 24.10.2017. PRAVOMOĆNA 28.11.2017.</w:t>
      </w:r>
    </w:p>
    <w:p w14:paraId="69FC7BC1" w14:textId="77777777" w:rsidR="00B20566" w:rsidRPr="00720A0C" w:rsidRDefault="00B20566">
      <w:pPr>
        <w:numPr>
          <w:ilvl w:val="0"/>
          <w:numId w:val="5"/>
        </w:num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b/>
          <w:sz w:val="18"/>
          <w:szCs w:val="18"/>
          <w:u w:val="single"/>
        </w:rPr>
        <w:t>Građevinska dozvola</w:t>
      </w:r>
      <w:r w:rsidRPr="00720A0C">
        <w:rPr>
          <w:rFonts w:ascii="Arial" w:eastAsia="Times New Roman" w:hAnsi="Arial" w:cs="Arial"/>
          <w:sz w:val="18"/>
          <w:szCs w:val="18"/>
        </w:rPr>
        <w:t xml:space="preserve"> za Frana Laureana i Jurja Dalmatinca; KLASA: UP/I-361-03/18-01/000046; URBROJ:2117/1-23/1-6-18-0009, Dubrovnik, 13.04.2018. (PRAVOMOĆNA 23.svibnja 2018.).</w:t>
      </w:r>
    </w:p>
    <w:p w14:paraId="162487D6" w14:textId="3900A5B0" w:rsidR="00B20566" w:rsidRPr="00720A0C" w:rsidRDefault="00AD20A1" w:rsidP="00AD20A1">
      <w:pPr>
        <w:autoSpaceDE w:val="0"/>
        <w:autoSpaceDN w:val="0"/>
        <w:adjustRightInd w:val="0"/>
        <w:spacing w:after="0" w:line="240" w:lineRule="auto"/>
        <w:ind w:left="709"/>
        <w:jc w:val="both"/>
        <w:rPr>
          <w:rFonts w:ascii="Arial" w:eastAsia="Times New Roman" w:hAnsi="Arial" w:cs="Arial"/>
          <w:sz w:val="18"/>
          <w:szCs w:val="18"/>
        </w:rPr>
      </w:pPr>
      <w:r w:rsidRPr="00720A0C">
        <w:rPr>
          <w:rFonts w:ascii="Arial" w:eastAsia="Times New Roman" w:hAnsi="Arial" w:cs="Arial"/>
          <w:sz w:val="18"/>
          <w:szCs w:val="18"/>
        </w:rPr>
        <w:t>Za produženje važenja građevinske dozvole ispostavljeno je rješenje KLASA: UP/I-361-03/21-01/000082; URBROJ:2117/1-23/6-1-21-0003 od 9.3.2021.</w:t>
      </w:r>
    </w:p>
    <w:p w14:paraId="11099CD3" w14:textId="77777777" w:rsidR="002E41AF" w:rsidRPr="00720A0C" w:rsidRDefault="002E41AF" w:rsidP="00B20566">
      <w:pPr>
        <w:autoSpaceDE w:val="0"/>
        <w:autoSpaceDN w:val="0"/>
        <w:adjustRightInd w:val="0"/>
        <w:spacing w:after="0" w:line="240" w:lineRule="auto"/>
        <w:jc w:val="both"/>
        <w:rPr>
          <w:rFonts w:ascii="Arial" w:eastAsia="Times New Roman" w:hAnsi="Arial" w:cs="Arial"/>
          <w:sz w:val="18"/>
          <w:szCs w:val="18"/>
        </w:rPr>
      </w:pPr>
    </w:p>
    <w:p w14:paraId="3C2C3FF1" w14:textId="42D076DB" w:rsidR="007C4B2D" w:rsidRPr="00720A0C" w:rsidRDefault="007B4CC4" w:rsidP="007C4B2D">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Nakon provedenog postupka javne nabave, komunalno društvo je 1.12.2021. zaključilo s izvođačem </w:t>
      </w:r>
      <w:r w:rsidR="00660412" w:rsidRPr="00720A0C">
        <w:rPr>
          <w:rFonts w:ascii="Arial" w:eastAsia="Times New Roman" w:hAnsi="Arial" w:cs="Arial"/>
          <w:sz w:val="18"/>
          <w:szCs w:val="18"/>
        </w:rPr>
        <w:t xml:space="preserve">(Texo gradnja d.o.o.) </w:t>
      </w:r>
      <w:r w:rsidR="00660412" w:rsidRPr="00720A0C">
        <w:rPr>
          <w:rFonts w:ascii="Arial" w:eastAsia="Times New Roman" w:hAnsi="Arial" w:cs="Arial"/>
          <w:b/>
          <w:sz w:val="18"/>
          <w:szCs w:val="18"/>
        </w:rPr>
        <w:t xml:space="preserve"> </w:t>
      </w:r>
      <w:r w:rsidR="007C4B2D" w:rsidRPr="00720A0C">
        <w:rPr>
          <w:rFonts w:ascii="Arial" w:eastAsia="Times New Roman" w:hAnsi="Arial" w:cs="Arial"/>
          <w:b/>
          <w:sz w:val="18"/>
          <w:szCs w:val="18"/>
        </w:rPr>
        <w:t xml:space="preserve">Ugovor o izvođenju radova na izgradnji </w:t>
      </w:r>
      <w:r w:rsidRPr="00720A0C">
        <w:rPr>
          <w:rFonts w:ascii="Arial" w:eastAsia="Times New Roman" w:hAnsi="Arial" w:cs="Arial"/>
          <w:b/>
          <w:sz w:val="18"/>
          <w:szCs w:val="18"/>
        </w:rPr>
        <w:t xml:space="preserve">kanalizacijske mreže u ulicama Frana Laureana i Jurja Dalmatinca u </w:t>
      </w:r>
      <w:r w:rsidR="008A76EE" w:rsidRPr="00720A0C">
        <w:rPr>
          <w:rFonts w:ascii="Arial" w:eastAsia="Times New Roman" w:hAnsi="Arial" w:cs="Arial"/>
          <w:b/>
          <w:sz w:val="18"/>
          <w:szCs w:val="18"/>
        </w:rPr>
        <w:t>Cavtatu</w:t>
      </w:r>
      <w:r w:rsidR="007C4B2D" w:rsidRPr="00720A0C">
        <w:rPr>
          <w:rFonts w:ascii="Arial" w:eastAsia="Times New Roman" w:hAnsi="Arial" w:cs="Arial"/>
          <w:b/>
          <w:sz w:val="18"/>
          <w:szCs w:val="18"/>
        </w:rPr>
        <w:t xml:space="preserve"> u i</w:t>
      </w:r>
      <w:r w:rsidR="007C4B2D" w:rsidRPr="00720A0C">
        <w:rPr>
          <w:rFonts w:ascii="Arial" w:eastAsia="Times New Roman" w:hAnsi="Arial" w:cs="Arial"/>
          <w:sz w:val="18"/>
          <w:szCs w:val="18"/>
        </w:rPr>
        <w:t xml:space="preserve">znosu od </w:t>
      </w:r>
      <w:r w:rsidRPr="00720A0C">
        <w:rPr>
          <w:rFonts w:ascii="Arial" w:eastAsia="Times New Roman" w:hAnsi="Arial" w:cs="Arial"/>
          <w:b/>
          <w:sz w:val="18"/>
          <w:szCs w:val="18"/>
        </w:rPr>
        <w:t>1.533.586,25</w:t>
      </w:r>
      <w:r w:rsidR="007C4B2D" w:rsidRPr="00720A0C">
        <w:rPr>
          <w:rFonts w:ascii="Arial" w:eastAsia="Times New Roman" w:hAnsi="Arial" w:cs="Arial"/>
          <w:b/>
          <w:sz w:val="18"/>
          <w:szCs w:val="18"/>
        </w:rPr>
        <w:t xml:space="preserve"> kn</w:t>
      </w:r>
      <w:r w:rsidR="005D3329" w:rsidRPr="00720A0C">
        <w:rPr>
          <w:rFonts w:ascii="Arial" w:eastAsia="Times New Roman" w:hAnsi="Arial" w:cs="Arial"/>
          <w:b/>
          <w:sz w:val="18"/>
          <w:szCs w:val="18"/>
        </w:rPr>
        <w:t xml:space="preserve"> / 203.541,87 €</w:t>
      </w:r>
      <w:r w:rsidR="007C4B2D" w:rsidRPr="00720A0C">
        <w:rPr>
          <w:rFonts w:ascii="Arial" w:eastAsia="Times New Roman" w:hAnsi="Arial" w:cs="Arial"/>
          <w:sz w:val="18"/>
          <w:szCs w:val="18"/>
        </w:rPr>
        <w:t xml:space="preserve">, bez poreza na dodanu vrijednost </w:t>
      </w:r>
      <w:r w:rsidR="00660412" w:rsidRPr="00720A0C">
        <w:rPr>
          <w:rFonts w:ascii="Arial" w:eastAsia="Times New Roman" w:hAnsi="Arial" w:cs="Arial"/>
          <w:sz w:val="18"/>
          <w:szCs w:val="18"/>
        </w:rPr>
        <w:t xml:space="preserve">odnosno 1.916.982,81 kn </w:t>
      </w:r>
      <w:r w:rsidR="005D3329" w:rsidRPr="00720A0C">
        <w:rPr>
          <w:rFonts w:ascii="Arial" w:eastAsia="Times New Roman" w:hAnsi="Arial" w:cs="Arial"/>
          <w:sz w:val="18"/>
          <w:szCs w:val="18"/>
        </w:rPr>
        <w:t xml:space="preserve">/ 254.427,34 € </w:t>
      </w:r>
      <w:r w:rsidR="00660412" w:rsidRPr="00720A0C">
        <w:rPr>
          <w:rFonts w:ascii="Arial" w:eastAsia="Times New Roman" w:hAnsi="Arial" w:cs="Arial"/>
          <w:sz w:val="18"/>
          <w:szCs w:val="18"/>
        </w:rPr>
        <w:t>s PDV-om.</w:t>
      </w:r>
    </w:p>
    <w:p w14:paraId="089DCB42" w14:textId="77777777" w:rsidR="007C4B2D" w:rsidRPr="00720A0C" w:rsidRDefault="007C4B2D" w:rsidP="007C4B2D">
      <w:pPr>
        <w:autoSpaceDE w:val="0"/>
        <w:autoSpaceDN w:val="0"/>
        <w:adjustRightInd w:val="0"/>
        <w:spacing w:after="0" w:line="240" w:lineRule="auto"/>
        <w:jc w:val="both"/>
        <w:rPr>
          <w:rFonts w:ascii="Arial" w:eastAsia="Times New Roman" w:hAnsi="Arial" w:cs="Arial"/>
          <w:sz w:val="18"/>
          <w:szCs w:val="18"/>
        </w:rPr>
      </w:pPr>
    </w:p>
    <w:p w14:paraId="6A155698" w14:textId="3B3F8B97" w:rsidR="007C4B2D" w:rsidRPr="00720A0C" w:rsidRDefault="007C4B2D" w:rsidP="007C4B2D">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Ugovoreno je izvođenje radova unutar </w:t>
      </w:r>
      <w:r w:rsidR="00660412" w:rsidRPr="00720A0C">
        <w:rPr>
          <w:rFonts w:ascii="Arial" w:eastAsia="Times New Roman" w:hAnsi="Arial" w:cs="Arial"/>
          <w:sz w:val="18"/>
          <w:szCs w:val="18"/>
        </w:rPr>
        <w:t>24</w:t>
      </w:r>
      <w:r w:rsidRPr="00720A0C">
        <w:rPr>
          <w:rFonts w:ascii="Arial" w:eastAsia="Times New Roman" w:hAnsi="Arial" w:cs="Arial"/>
          <w:sz w:val="18"/>
          <w:szCs w:val="18"/>
        </w:rPr>
        <w:t xml:space="preserve"> mjesec</w:t>
      </w:r>
      <w:r w:rsidR="00660412" w:rsidRPr="00720A0C">
        <w:rPr>
          <w:rFonts w:ascii="Arial" w:eastAsia="Times New Roman" w:hAnsi="Arial" w:cs="Arial"/>
          <w:sz w:val="18"/>
          <w:szCs w:val="18"/>
        </w:rPr>
        <w:t>a</w:t>
      </w:r>
      <w:r w:rsidRPr="00720A0C">
        <w:rPr>
          <w:rFonts w:ascii="Arial" w:eastAsia="Times New Roman" w:hAnsi="Arial" w:cs="Arial"/>
          <w:sz w:val="18"/>
          <w:szCs w:val="18"/>
        </w:rPr>
        <w:t xml:space="preserve">,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w:t>
      </w:r>
      <w:r w:rsidR="00660412" w:rsidRPr="00720A0C">
        <w:rPr>
          <w:rFonts w:ascii="Arial" w:eastAsia="Times New Roman" w:hAnsi="Arial" w:cs="Arial"/>
          <w:sz w:val="18"/>
          <w:szCs w:val="18"/>
        </w:rPr>
        <w:t>peto</w:t>
      </w:r>
      <w:r w:rsidRPr="00720A0C">
        <w:rPr>
          <w:rFonts w:ascii="Arial" w:eastAsia="Times New Roman" w:hAnsi="Arial" w:cs="Arial"/>
          <w:sz w:val="18"/>
          <w:szCs w:val="18"/>
        </w:rPr>
        <w:t>godišnjem roku od trenutka zapisničke primopredaje građevine. Za solidnost sanacije postojećih konstrukcija i solidnost novoizgrađene građevine daje se jamstveni rok 10 godina.</w:t>
      </w:r>
      <w:r w:rsidR="000246FE" w:rsidRPr="00720A0C">
        <w:rPr>
          <w:rFonts w:ascii="Arial" w:eastAsia="Times New Roman" w:hAnsi="Arial" w:cs="Arial"/>
          <w:sz w:val="18"/>
          <w:szCs w:val="18"/>
        </w:rPr>
        <w:t xml:space="preserve"> Za ugrađeni materijal izvođač daje naručitelju jamstvo prema uputama proizvođača tog materijala, ali ne manje od dvije godine a koje se dokazuje jamstvenim listom proizvođača. </w:t>
      </w:r>
      <w:r w:rsidRPr="00720A0C">
        <w:rPr>
          <w:rFonts w:ascii="Arial" w:eastAsia="Times New Roman" w:hAnsi="Arial" w:cs="Arial"/>
          <w:sz w:val="18"/>
          <w:szCs w:val="18"/>
        </w:rPr>
        <w:t xml:space="preserve">Izvođač je obvezan društvu (naručitelju) dostaviti jamstvo za otklanjanje nedostataka u jamstvenom roku na period od </w:t>
      </w:r>
      <w:r w:rsidR="000246FE" w:rsidRPr="00720A0C">
        <w:rPr>
          <w:rFonts w:ascii="Arial" w:eastAsia="Times New Roman" w:hAnsi="Arial" w:cs="Arial"/>
          <w:sz w:val="18"/>
          <w:szCs w:val="18"/>
        </w:rPr>
        <w:t>pet godina</w:t>
      </w:r>
      <w:r w:rsidRPr="00720A0C">
        <w:rPr>
          <w:rFonts w:ascii="Arial" w:eastAsia="Times New Roman" w:hAnsi="Arial" w:cs="Arial"/>
          <w:sz w:val="18"/>
          <w:szCs w:val="18"/>
        </w:rPr>
        <w:t xml:space="preserve"> u obliku bankarske garancije na iznos od 5% ugovorenog iznosa PDV-a. Kazna za svaki dan kašnjenja u izvođenju radove prema detaljnom dinamičkom planu je </w:t>
      </w:r>
      <w:r w:rsidR="000246FE" w:rsidRPr="00720A0C">
        <w:rPr>
          <w:rFonts w:ascii="Arial" w:eastAsia="Times New Roman" w:hAnsi="Arial" w:cs="Arial"/>
          <w:sz w:val="18"/>
          <w:szCs w:val="18"/>
        </w:rPr>
        <w:t>3</w:t>
      </w:r>
      <w:r w:rsidRPr="00720A0C">
        <w:rPr>
          <w:rFonts w:ascii="Arial" w:eastAsia="Times New Roman" w:hAnsi="Arial" w:cs="Arial"/>
          <w:sz w:val="18"/>
          <w:szCs w:val="18"/>
        </w:rPr>
        <w:t xml:space="preserve"> promila s time da je maksimalni iznos ugovorene kazne ne može prijeći 10% ugovorene vrijednosti radova s PDV-om.</w:t>
      </w:r>
    </w:p>
    <w:p w14:paraId="4FA7E5CD" w14:textId="45630030" w:rsidR="007C4B2D" w:rsidRPr="00720A0C" w:rsidRDefault="007C4B2D" w:rsidP="007C4B2D">
      <w:pPr>
        <w:autoSpaceDE w:val="0"/>
        <w:autoSpaceDN w:val="0"/>
        <w:adjustRightInd w:val="0"/>
        <w:spacing w:after="0" w:line="240" w:lineRule="auto"/>
        <w:jc w:val="both"/>
        <w:rPr>
          <w:rFonts w:ascii="Arial" w:eastAsia="Calibri" w:hAnsi="Arial" w:cs="Arial"/>
          <w:sz w:val="18"/>
          <w:szCs w:val="18"/>
        </w:rPr>
      </w:pPr>
      <w:r w:rsidRPr="00720A0C">
        <w:rPr>
          <w:rFonts w:ascii="Arial" w:eastAsia="Times New Roman" w:hAnsi="Arial" w:cs="Arial"/>
          <w:sz w:val="18"/>
          <w:szCs w:val="18"/>
        </w:rPr>
        <w:t xml:space="preserve">Prema ugovoru od </w:t>
      </w:r>
      <w:r w:rsidR="000246FE" w:rsidRPr="00720A0C">
        <w:rPr>
          <w:rFonts w:ascii="Arial" w:eastAsia="Times New Roman" w:hAnsi="Arial" w:cs="Arial"/>
          <w:sz w:val="18"/>
          <w:szCs w:val="18"/>
        </w:rPr>
        <w:t>22</w:t>
      </w:r>
      <w:r w:rsidRPr="00720A0C">
        <w:rPr>
          <w:rFonts w:ascii="Arial" w:eastAsia="Times New Roman" w:hAnsi="Arial" w:cs="Arial"/>
          <w:sz w:val="18"/>
          <w:szCs w:val="18"/>
        </w:rPr>
        <w:t>. studenoga 20</w:t>
      </w:r>
      <w:r w:rsidR="000246FE" w:rsidRPr="00720A0C">
        <w:rPr>
          <w:rFonts w:ascii="Arial" w:eastAsia="Times New Roman" w:hAnsi="Arial" w:cs="Arial"/>
          <w:sz w:val="18"/>
          <w:szCs w:val="18"/>
        </w:rPr>
        <w:t>21</w:t>
      </w:r>
      <w:r w:rsidRPr="00720A0C">
        <w:rPr>
          <w:rFonts w:ascii="Arial" w:eastAsia="Times New Roman" w:hAnsi="Arial" w:cs="Arial"/>
          <w:sz w:val="18"/>
          <w:szCs w:val="18"/>
        </w:rPr>
        <w:t xml:space="preserve">. </w:t>
      </w:r>
      <w:r w:rsidRPr="00720A0C">
        <w:rPr>
          <w:rFonts w:ascii="Arial" w:eastAsia="Times New Roman" w:hAnsi="Arial" w:cs="Arial"/>
          <w:b/>
          <w:sz w:val="18"/>
          <w:szCs w:val="18"/>
        </w:rPr>
        <w:t xml:space="preserve">stručni </w:t>
      </w:r>
      <w:r w:rsidR="000246FE" w:rsidRPr="00720A0C">
        <w:rPr>
          <w:rFonts w:ascii="Arial" w:eastAsia="Times New Roman" w:hAnsi="Arial" w:cs="Arial"/>
          <w:b/>
          <w:sz w:val="18"/>
          <w:szCs w:val="18"/>
        </w:rPr>
        <w:t xml:space="preserve">i obračunski nadzor nad izvođenjem radova </w:t>
      </w:r>
      <w:r w:rsidRPr="00720A0C">
        <w:rPr>
          <w:rFonts w:ascii="Arial" w:eastAsia="Times New Roman" w:hAnsi="Arial" w:cs="Arial"/>
          <w:sz w:val="18"/>
          <w:szCs w:val="18"/>
        </w:rPr>
        <w:t xml:space="preserve">je </w:t>
      </w:r>
      <w:r w:rsidR="000246FE" w:rsidRPr="00720A0C">
        <w:rPr>
          <w:rFonts w:ascii="Arial" w:eastAsia="Times New Roman" w:hAnsi="Arial" w:cs="Arial"/>
          <w:sz w:val="18"/>
          <w:szCs w:val="18"/>
        </w:rPr>
        <w:t xml:space="preserve">Deltagrad d.o.o. </w:t>
      </w:r>
      <w:r w:rsidRPr="00720A0C">
        <w:rPr>
          <w:rFonts w:ascii="Arial" w:eastAsia="Times New Roman" w:hAnsi="Arial" w:cs="Arial"/>
          <w:sz w:val="18"/>
          <w:szCs w:val="18"/>
        </w:rPr>
        <w:t xml:space="preserve">u iznosu </w:t>
      </w:r>
      <w:r w:rsidR="000246FE" w:rsidRPr="00720A0C">
        <w:rPr>
          <w:rFonts w:ascii="Arial" w:eastAsia="Times New Roman" w:hAnsi="Arial" w:cs="Arial"/>
          <w:sz w:val="18"/>
          <w:szCs w:val="18"/>
        </w:rPr>
        <w:t>35</w:t>
      </w:r>
      <w:r w:rsidRPr="00720A0C">
        <w:rPr>
          <w:rFonts w:ascii="Arial" w:eastAsia="Times New Roman" w:hAnsi="Arial" w:cs="Arial"/>
          <w:sz w:val="18"/>
          <w:szCs w:val="18"/>
        </w:rPr>
        <w:t>.000 kn</w:t>
      </w:r>
      <w:r w:rsidR="005D3329" w:rsidRPr="00720A0C">
        <w:rPr>
          <w:rFonts w:ascii="Arial" w:eastAsia="Times New Roman" w:hAnsi="Arial" w:cs="Arial"/>
          <w:sz w:val="18"/>
          <w:szCs w:val="18"/>
        </w:rPr>
        <w:t xml:space="preserve"> / 4.645,30 €</w:t>
      </w:r>
      <w:r w:rsidRPr="00720A0C">
        <w:rPr>
          <w:rFonts w:ascii="Arial" w:eastAsia="Times New Roman" w:hAnsi="Arial" w:cs="Arial"/>
          <w:sz w:val="18"/>
          <w:szCs w:val="18"/>
        </w:rPr>
        <w:t xml:space="preserve">, bez poreza na dodanu vrijednost (43.750 kn </w:t>
      </w:r>
      <w:r w:rsidR="005D3329" w:rsidRPr="00720A0C">
        <w:rPr>
          <w:rFonts w:ascii="Arial" w:eastAsia="Times New Roman" w:hAnsi="Arial" w:cs="Arial"/>
          <w:sz w:val="18"/>
          <w:szCs w:val="18"/>
        </w:rPr>
        <w:t xml:space="preserve">/ 5.806,62 € </w:t>
      </w:r>
      <w:r w:rsidRPr="00720A0C">
        <w:rPr>
          <w:rFonts w:ascii="Arial" w:eastAsia="Times New Roman" w:hAnsi="Arial" w:cs="Arial"/>
          <w:sz w:val="18"/>
          <w:szCs w:val="18"/>
        </w:rPr>
        <w:t xml:space="preserve">s PDV-om). </w:t>
      </w:r>
      <w:r w:rsidRPr="00720A0C">
        <w:rPr>
          <w:rFonts w:ascii="Arial" w:eastAsia="Calibri" w:hAnsi="Arial" w:cs="Arial"/>
          <w:sz w:val="18"/>
          <w:szCs w:val="18"/>
        </w:rPr>
        <w:t xml:space="preserve">Usluge </w:t>
      </w:r>
      <w:r w:rsidRPr="00720A0C">
        <w:rPr>
          <w:rFonts w:ascii="Arial" w:eastAsia="Calibri" w:hAnsi="Arial" w:cs="Arial"/>
          <w:b/>
          <w:sz w:val="18"/>
          <w:szCs w:val="18"/>
        </w:rPr>
        <w:t>koordinatora zaštite na radu</w:t>
      </w:r>
      <w:r w:rsidRPr="00720A0C">
        <w:rPr>
          <w:rFonts w:ascii="Arial" w:eastAsia="Calibri" w:hAnsi="Arial" w:cs="Arial"/>
          <w:sz w:val="18"/>
          <w:szCs w:val="18"/>
        </w:rPr>
        <w:t xml:space="preserve"> su utvrđene u iznosu 3.500 kn</w:t>
      </w:r>
      <w:r w:rsidR="005D3329" w:rsidRPr="00720A0C">
        <w:rPr>
          <w:rFonts w:ascii="Arial" w:eastAsia="Calibri" w:hAnsi="Arial" w:cs="Arial"/>
          <w:sz w:val="18"/>
          <w:szCs w:val="18"/>
        </w:rPr>
        <w:t xml:space="preserve"> / 464,53 €</w:t>
      </w:r>
      <w:r w:rsidRPr="00720A0C">
        <w:rPr>
          <w:rFonts w:ascii="Arial" w:eastAsia="Calibri" w:hAnsi="Arial" w:cs="Arial"/>
          <w:sz w:val="18"/>
          <w:szCs w:val="18"/>
        </w:rPr>
        <w:t xml:space="preserve">, mjesečno, bez PDV-a. </w:t>
      </w:r>
    </w:p>
    <w:p w14:paraId="7727C87B" w14:textId="77777777" w:rsidR="007C4B2D" w:rsidRPr="00720A0C" w:rsidRDefault="007C4B2D" w:rsidP="007C4B2D">
      <w:pPr>
        <w:autoSpaceDE w:val="0"/>
        <w:autoSpaceDN w:val="0"/>
        <w:adjustRightInd w:val="0"/>
        <w:spacing w:after="0" w:line="240" w:lineRule="auto"/>
        <w:jc w:val="both"/>
        <w:rPr>
          <w:rFonts w:ascii="Arial" w:eastAsia="Times New Roman" w:hAnsi="Arial" w:cs="Arial"/>
          <w:sz w:val="18"/>
          <w:szCs w:val="18"/>
        </w:rPr>
      </w:pPr>
    </w:p>
    <w:p w14:paraId="4C42FCCF" w14:textId="36287E14" w:rsidR="007C4B2D" w:rsidRPr="00720A0C" w:rsidRDefault="00F33501" w:rsidP="007C4B2D">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Gradilište je prijavljeno 2.12.2021. </w:t>
      </w:r>
      <w:r w:rsidR="007C4B2D" w:rsidRPr="00720A0C">
        <w:rPr>
          <w:rFonts w:ascii="Arial" w:eastAsia="Times New Roman" w:hAnsi="Arial" w:cs="Arial"/>
          <w:sz w:val="18"/>
          <w:szCs w:val="18"/>
        </w:rPr>
        <w:t xml:space="preserve">Izvoditelj je uveden u posao te su </w:t>
      </w:r>
      <w:r w:rsidR="007C4B2D" w:rsidRPr="00720A0C">
        <w:rPr>
          <w:rFonts w:ascii="Arial" w:eastAsia="Times New Roman" w:hAnsi="Arial" w:cs="Arial"/>
          <w:b/>
          <w:sz w:val="18"/>
          <w:szCs w:val="18"/>
        </w:rPr>
        <w:t xml:space="preserve">radovi započeli </w:t>
      </w:r>
      <w:r w:rsidRPr="00720A0C">
        <w:rPr>
          <w:rFonts w:ascii="Arial" w:eastAsia="Times New Roman" w:hAnsi="Arial" w:cs="Arial"/>
          <w:b/>
          <w:sz w:val="18"/>
          <w:szCs w:val="18"/>
        </w:rPr>
        <w:t>10.1.2022</w:t>
      </w:r>
      <w:r w:rsidR="007C4B2D" w:rsidRPr="00720A0C">
        <w:rPr>
          <w:rFonts w:ascii="Arial" w:eastAsia="Times New Roman" w:hAnsi="Arial" w:cs="Arial"/>
          <w:b/>
          <w:sz w:val="18"/>
          <w:szCs w:val="18"/>
        </w:rPr>
        <w:t>.</w:t>
      </w:r>
      <w:r w:rsidR="007C4B2D" w:rsidRPr="00720A0C">
        <w:rPr>
          <w:rFonts w:ascii="Arial" w:eastAsia="Times New Roman" w:hAnsi="Arial" w:cs="Arial"/>
          <w:sz w:val="18"/>
          <w:szCs w:val="18"/>
        </w:rPr>
        <w:t xml:space="preserve"> što je upisano u građevinski dnevnik.</w:t>
      </w:r>
    </w:p>
    <w:p w14:paraId="40E98138" w14:textId="77777777" w:rsidR="007C4B2D" w:rsidRPr="00720A0C" w:rsidRDefault="007C4B2D" w:rsidP="007C4B2D">
      <w:pPr>
        <w:autoSpaceDE w:val="0"/>
        <w:autoSpaceDN w:val="0"/>
        <w:adjustRightInd w:val="0"/>
        <w:spacing w:after="0" w:line="240" w:lineRule="auto"/>
        <w:jc w:val="both"/>
        <w:rPr>
          <w:rFonts w:ascii="Arial" w:eastAsia="Times New Roman" w:hAnsi="Arial" w:cs="Arial"/>
          <w:sz w:val="18"/>
          <w:szCs w:val="18"/>
        </w:rPr>
      </w:pPr>
    </w:p>
    <w:p w14:paraId="590F0A06" w14:textId="4BDFDC7E" w:rsidR="007C4B2D" w:rsidRPr="00720A0C" w:rsidRDefault="007C4B2D" w:rsidP="007C4B2D">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Izvoditelj je </w:t>
      </w:r>
      <w:r w:rsidR="00826239">
        <w:rPr>
          <w:rFonts w:ascii="Arial" w:eastAsia="Times New Roman" w:hAnsi="Arial" w:cs="Arial"/>
          <w:sz w:val="18"/>
          <w:szCs w:val="18"/>
        </w:rPr>
        <w:t>u 2022. godini</w:t>
      </w:r>
      <w:r w:rsidR="00314F53" w:rsidRPr="00720A0C">
        <w:rPr>
          <w:rFonts w:ascii="Arial" w:eastAsia="Times New Roman" w:hAnsi="Arial" w:cs="Arial"/>
          <w:sz w:val="18"/>
          <w:szCs w:val="18"/>
        </w:rPr>
        <w:t xml:space="preserve"> ispostavio </w:t>
      </w:r>
      <w:r w:rsidR="008B2DE5" w:rsidRPr="00720A0C">
        <w:rPr>
          <w:rFonts w:ascii="Arial" w:eastAsia="Times New Roman" w:hAnsi="Arial" w:cs="Arial"/>
          <w:sz w:val="18"/>
          <w:szCs w:val="18"/>
        </w:rPr>
        <w:t>četiri</w:t>
      </w:r>
      <w:r w:rsidR="00314F53" w:rsidRPr="00720A0C">
        <w:rPr>
          <w:rFonts w:ascii="Arial" w:eastAsia="Times New Roman" w:hAnsi="Arial" w:cs="Arial"/>
          <w:sz w:val="18"/>
          <w:szCs w:val="18"/>
        </w:rPr>
        <w:t xml:space="preserve"> privremene situacije u ukupnom iznosu </w:t>
      </w:r>
      <w:r w:rsidR="008B2DE5" w:rsidRPr="00720A0C">
        <w:rPr>
          <w:rFonts w:ascii="Arial" w:eastAsia="Times New Roman" w:hAnsi="Arial" w:cs="Arial"/>
          <w:sz w:val="18"/>
          <w:szCs w:val="18"/>
        </w:rPr>
        <w:t>708.808,10</w:t>
      </w:r>
      <w:r w:rsidRPr="00720A0C">
        <w:rPr>
          <w:rFonts w:ascii="Arial" w:eastAsia="Times New Roman" w:hAnsi="Arial" w:cs="Arial"/>
          <w:sz w:val="18"/>
          <w:szCs w:val="18"/>
        </w:rPr>
        <w:t xml:space="preserve"> kn</w:t>
      </w:r>
      <w:r w:rsidR="00FE3A3E" w:rsidRPr="00720A0C">
        <w:rPr>
          <w:rFonts w:ascii="Arial" w:eastAsia="Times New Roman" w:hAnsi="Arial" w:cs="Arial"/>
          <w:sz w:val="18"/>
          <w:szCs w:val="18"/>
        </w:rPr>
        <w:t xml:space="preserve"> (94.075,00 €)</w:t>
      </w:r>
      <w:r w:rsidRPr="00720A0C">
        <w:rPr>
          <w:rFonts w:ascii="Arial" w:eastAsia="Times New Roman" w:hAnsi="Arial" w:cs="Arial"/>
          <w:sz w:val="18"/>
          <w:szCs w:val="18"/>
        </w:rPr>
        <w:t>, bez poreza na dodanu vrijednost</w:t>
      </w:r>
      <w:r w:rsidR="008B2DE5" w:rsidRPr="00720A0C">
        <w:rPr>
          <w:rFonts w:ascii="Arial" w:eastAsia="Times New Roman" w:hAnsi="Arial" w:cs="Arial"/>
          <w:sz w:val="18"/>
          <w:szCs w:val="18"/>
        </w:rPr>
        <w:t xml:space="preserve"> (886.010,13 kn s PDV-om)</w:t>
      </w:r>
      <w:r w:rsidR="00FE3A3E" w:rsidRPr="00720A0C">
        <w:rPr>
          <w:rFonts w:ascii="Arial" w:eastAsia="Times New Roman" w:hAnsi="Arial" w:cs="Arial"/>
          <w:sz w:val="18"/>
          <w:szCs w:val="18"/>
        </w:rPr>
        <w:t xml:space="preserve"> (117.593,75 €)</w:t>
      </w:r>
      <w:r w:rsidRPr="00720A0C">
        <w:rPr>
          <w:rFonts w:ascii="Arial" w:eastAsia="Times New Roman" w:hAnsi="Arial" w:cs="Arial"/>
          <w:sz w:val="18"/>
          <w:szCs w:val="18"/>
        </w:rPr>
        <w:t xml:space="preserve">. Za obavljanje stručnog nadzora nad izvođenjem radova </w:t>
      </w:r>
      <w:r w:rsidR="00314F53" w:rsidRPr="00720A0C">
        <w:rPr>
          <w:rFonts w:ascii="Arial" w:eastAsia="Times New Roman" w:hAnsi="Arial" w:cs="Arial"/>
          <w:sz w:val="18"/>
          <w:szCs w:val="18"/>
        </w:rPr>
        <w:t xml:space="preserve">su ispostavljeni računi </w:t>
      </w:r>
      <w:r w:rsidRPr="00720A0C">
        <w:rPr>
          <w:rFonts w:ascii="Arial" w:eastAsia="Times New Roman" w:hAnsi="Arial" w:cs="Arial"/>
          <w:sz w:val="18"/>
          <w:szCs w:val="18"/>
        </w:rPr>
        <w:t xml:space="preserve">u </w:t>
      </w:r>
      <w:r w:rsidR="00314F53" w:rsidRPr="00720A0C">
        <w:rPr>
          <w:rFonts w:ascii="Arial" w:eastAsia="Times New Roman" w:hAnsi="Arial" w:cs="Arial"/>
          <w:sz w:val="18"/>
          <w:szCs w:val="18"/>
        </w:rPr>
        <w:t xml:space="preserve">ukupnom </w:t>
      </w:r>
      <w:r w:rsidRPr="00720A0C">
        <w:rPr>
          <w:rFonts w:ascii="Arial" w:eastAsia="Times New Roman" w:hAnsi="Arial" w:cs="Arial"/>
          <w:sz w:val="18"/>
          <w:szCs w:val="18"/>
        </w:rPr>
        <w:t xml:space="preserve">iznosu </w:t>
      </w:r>
      <w:r w:rsidR="00314F53" w:rsidRPr="00720A0C">
        <w:rPr>
          <w:rFonts w:ascii="Arial" w:eastAsia="Times New Roman" w:hAnsi="Arial" w:cs="Arial"/>
          <w:sz w:val="18"/>
          <w:szCs w:val="18"/>
        </w:rPr>
        <w:t>5.075</w:t>
      </w:r>
      <w:r w:rsidRPr="00720A0C">
        <w:rPr>
          <w:rFonts w:ascii="Arial" w:eastAsia="Times New Roman" w:hAnsi="Arial" w:cs="Arial"/>
          <w:sz w:val="18"/>
          <w:szCs w:val="18"/>
        </w:rPr>
        <w:t xml:space="preserve"> kn</w:t>
      </w:r>
      <w:r w:rsidR="00FE3A3E" w:rsidRPr="00720A0C">
        <w:rPr>
          <w:rFonts w:ascii="Arial" w:eastAsia="Times New Roman" w:hAnsi="Arial" w:cs="Arial"/>
          <w:sz w:val="18"/>
          <w:szCs w:val="18"/>
        </w:rPr>
        <w:t xml:space="preserve"> (673,57 €)</w:t>
      </w:r>
      <w:r w:rsidRPr="00720A0C">
        <w:rPr>
          <w:rFonts w:ascii="Arial" w:eastAsia="Times New Roman" w:hAnsi="Arial" w:cs="Arial"/>
          <w:sz w:val="18"/>
          <w:szCs w:val="18"/>
        </w:rPr>
        <w:t xml:space="preserve">, bez poreza na dodanu vrijednost. </w:t>
      </w:r>
      <w:r w:rsidR="00826239">
        <w:rPr>
          <w:rFonts w:ascii="Arial" w:eastAsia="Times New Roman" w:hAnsi="Arial" w:cs="Arial"/>
          <w:sz w:val="18"/>
          <w:szCs w:val="18"/>
        </w:rPr>
        <w:t>U 2023. godini nije bilo radova.</w:t>
      </w:r>
    </w:p>
    <w:p w14:paraId="2EDC2491" w14:textId="77777777" w:rsidR="008851E8" w:rsidRPr="00FF3C31" w:rsidRDefault="008851E8" w:rsidP="008851E8">
      <w:pPr>
        <w:autoSpaceDE w:val="0"/>
        <w:autoSpaceDN w:val="0"/>
        <w:adjustRightInd w:val="0"/>
        <w:spacing w:after="0" w:line="240" w:lineRule="auto"/>
        <w:jc w:val="both"/>
        <w:rPr>
          <w:rFonts w:ascii="Arial" w:eastAsia="Times New Roman" w:hAnsi="Arial" w:cs="Arial"/>
          <w:sz w:val="20"/>
          <w:szCs w:val="20"/>
        </w:rPr>
      </w:pPr>
    </w:p>
    <w:p w14:paraId="0B5A6195" w14:textId="091E68CB" w:rsidR="008851E8" w:rsidRPr="00FF3C31" w:rsidRDefault="008851E8" w:rsidP="008851E8">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Izvođač </w:t>
      </w:r>
      <w:r w:rsidR="00720A0C">
        <w:rPr>
          <w:rFonts w:ascii="Arial" w:eastAsia="Times New Roman" w:hAnsi="Arial" w:cs="Arial"/>
          <w:sz w:val="20"/>
          <w:szCs w:val="20"/>
        </w:rPr>
        <w:t>s</w:t>
      </w:r>
      <w:r w:rsidRPr="00FF3C31">
        <w:rPr>
          <w:rFonts w:ascii="Arial" w:eastAsia="Times New Roman" w:hAnsi="Arial" w:cs="Arial"/>
          <w:sz w:val="20"/>
          <w:szCs w:val="20"/>
        </w:rPr>
        <w:t xml:space="preserve">e ugovorenim </w:t>
      </w:r>
      <w:r w:rsidR="00521847">
        <w:rPr>
          <w:rFonts w:ascii="Arial" w:eastAsia="Times New Roman" w:hAnsi="Arial" w:cs="Arial"/>
          <w:sz w:val="20"/>
          <w:szCs w:val="20"/>
        </w:rPr>
        <w:t>dodatkom</w:t>
      </w:r>
      <w:r w:rsidRPr="00FF3C31">
        <w:rPr>
          <w:rFonts w:ascii="Arial" w:eastAsia="Times New Roman" w:hAnsi="Arial" w:cs="Arial"/>
          <w:sz w:val="20"/>
          <w:szCs w:val="20"/>
        </w:rPr>
        <w:t xml:space="preserve"> I obavezao navedene radove izvesti do konca 2024 godine</w:t>
      </w:r>
      <w:r w:rsidR="00521847">
        <w:rPr>
          <w:rFonts w:ascii="Arial" w:eastAsia="Times New Roman" w:hAnsi="Arial" w:cs="Arial"/>
          <w:sz w:val="20"/>
          <w:szCs w:val="20"/>
        </w:rPr>
        <w:t>, odnosno dodatkom II iz prosinca 2024. se obvezao izvesti radove do konca 2025. godine.</w:t>
      </w:r>
    </w:p>
    <w:p w14:paraId="3100695D" w14:textId="77777777" w:rsidR="007C4B2D" w:rsidRPr="00FF3C31" w:rsidRDefault="007C4B2D" w:rsidP="007C4B2D">
      <w:pPr>
        <w:autoSpaceDE w:val="0"/>
        <w:autoSpaceDN w:val="0"/>
        <w:adjustRightInd w:val="0"/>
        <w:spacing w:after="0" w:line="240" w:lineRule="auto"/>
        <w:jc w:val="both"/>
        <w:rPr>
          <w:rFonts w:ascii="Arial" w:eastAsia="Times New Roman" w:hAnsi="Arial" w:cs="Arial"/>
          <w:sz w:val="20"/>
          <w:szCs w:val="20"/>
        </w:rPr>
      </w:pPr>
    </w:p>
    <w:p w14:paraId="127BE5BA" w14:textId="2B763890" w:rsidR="00B20566"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Postotak izvršenosti radova </w:t>
      </w:r>
      <w:r w:rsidR="008B2DE5" w:rsidRPr="00FF3C31">
        <w:rPr>
          <w:rFonts w:ascii="Arial" w:eastAsia="Times New Roman" w:hAnsi="Arial" w:cs="Arial"/>
          <w:sz w:val="20"/>
          <w:szCs w:val="20"/>
        </w:rPr>
        <w:t xml:space="preserve">koncem </w:t>
      </w:r>
      <w:r w:rsidR="00314F53" w:rsidRPr="00FF3C31">
        <w:rPr>
          <w:rFonts w:ascii="Arial" w:eastAsia="Times New Roman" w:hAnsi="Arial" w:cs="Arial"/>
          <w:b/>
          <w:bCs/>
          <w:sz w:val="20"/>
          <w:szCs w:val="20"/>
        </w:rPr>
        <w:t>202</w:t>
      </w:r>
      <w:r w:rsidR="00FE3A3E" w:rsidRPr="00FF3C31">
        <w:rPr>
          <w:rFonts w:ascii="Arial" w:eastAsia="Times New Roman" w:hAnsi="Arial" w:cs="Arial"/>
          <w:b/>
          <w:bCs/>
          <w:sz w:val="20"/>
          <w:szCs w:val="20"/>
        </w:rPr>
        <w:t>3</w:t>
      </w:r>
      <w:r w:rsidR="00314F53" w:rsidRPr="00FF3C31">
        <w:rPr>
          <w:rFonts w:ascii="Arial" w:eastAsia="Times New Roman" w:hAnsi="Arial" w:cs="Arial"/>
          <w:b/>
          <w:bCs/>
          <w:sz w:val="20"/>
          <w:szCs w:val="20"/>
        </w:rPr>
        <w:t>.</w:t>
      </w:r>
      <w:r w:rsidR="00314F53" w:rsidRPr="00FF3C31">
        <w:rPr>
          <w:rFonts w:ascii="Arial" w:eastAsia="Times New Roman" w:hAnsi="Arial" w:cs="Arial"/>
          <w:sz w:val="20"/>
          <w:szCs w:val="20"/>
        </w:rPr>
        <w:t xml:space="preserve"> je</w:t>
      </w:r>
      <w:r w:rsidR="00720A0C">
        <w:rPr>
          <w:rFonts w:ascii="Arial" w:eastAsia="Times New Roman" w:hAnsi="Arial" w:cs="Arial"/>
          <w:sz w:val="20"/>
          <w:szCs w:val="20"/>
        </w:rPr>
        <w:t xml:space="preserve"> bio</w:t>
      </w:r>
      <w:r w:rsidR="00314F53" w:rsidRPr="00FF3C31">
        <w:rPr>
          <w:rFonts w:ascii="Arial" w:eastAsia="Times New Roman" w:hAnsi="Arial" w:cs="Arial"/>
          <w:sz w:val="20"/>
          <w:szCs w:val="20"/>
        </w:rPr>
        <w:t xml:space="preserve"> </w:t>
      </w:r>
      <w:r w:rsidR="008B2DE5" w:rsidRPr="00FF3C31">
        <w:rPr>
          <w:rFonts w:ascii="Arial" w:eastAsia="Times New Roman" w:hAnsi="Arial" w:cs="Arial"/>
          <w:b/>
          <w:bCs/>
          <w:sz w:val="20"/>
          <w:szCs w:val="20"/>
        </w:rPr>
        <w:t>46</w:t>
      </w:r>
      <w:r w:rsidR="00314F53" w:rsidRPr="00FF3C31">
        <w:rPr>
          <w:rFonts w:ascii="Arial" w:eastAsia="Times New Roman" w:hAnsi="Arial" w:cs="Arial"/>
          <w:b/>
          <w:bCs/>
          <w:sz w:val="20"/>
          <w:szCs w:val="20"/>
        </w:rPr>
        <w:t>%</w:t>
      </w:r>
      <w:r w:rsidR="00AD7E6E" w:rsidRPr="00FF3C31">
        <w:rPr>
          <w:rFonts w:ascii="Arial" w:eastAsia="Times New Roman" w:hAnsi="Arial" w:cs="Arial"/>
          <w:sz w:val="20"/>
          <w:szCs w:val="20"/>
        </w:rPr>
        <w:t xml:space="preserve"> </w:t>
      </w:r>
      <w:bookmarkStart w:id="490" w:name="_Hlk176169079"/>
    </w:p>
    <w:p w14:paraId="38A21EA5" w14:textId="77777777" w:rsidR="00521847" w:rsidRDefault="00521847" w:rsidP="00B20566">
      <w:pPr>
        <w:autoSpaceDE w:val="0"/>
        <w:autoSpaceDN w:val="0"/>
        <w:adjustRightInd w:val="0"/>
        <w:spacing w:after="0" w:line="240" w:lineRule="auto"/>
        <w:jc w:val="both"/>
        <w:rPr>
          <w:rFonts w:ascii="Arial" w:eastAsia="Times New Roman" w:hAnsi="Arial" w:cs="Arial"/>
          <w:sz w:val="20"/>
          <w:szCs w:val="20"/>
        </w:rPr>
      </w:pPr>
    </w:p>
    <w:p w14:paraId="6B079D29" w14:textId="3F9A344B" w:rsidR="00521847" w:rsidRDefault="00521847" w:rsidP="00B20566">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Izvođač je 2024. godini ispostavio tri privremene situacije ukupne vrijednosti </w:t>
      </w:r>
      <w:r w:rsidR="00BA626C">
        <w:rPr>
          <w:rFonts w:ascii="Arial" w:eastAsia="Times New Roman" w:hAnsi="Arial" w:cs="Arial"/>
          <w:sz w:val="20"/>
          <w:szCs w:val="20"/>
        </w:rPr>
        <w:t>65.558,05 € (bez PFV-a), te s</w:t>
      </w:r>
      <w:r w:rsidR="00720A0C">
        <w:rPr>
          <w:rFonts w:ascii="Arial" w:eastAsia="Times New Roman" w:hAnsi="Arial" w:cs="Arial"/>
          <w:sz w:val="20"/>
          <w:szCs w:val="20"/>
        </w:rPr>
        <w:t>u</w:t>
      </w:r>
      <w:r w:rsidR="00BA626C">
        <w:rPr>
          <w:rFonts w:ascii="Arial" w:eastAsia="Times New Roman" w:hAnsi="Arial" w:cs="Arial"/>
          <w:sz w:val="20"/>
          <w:szCs w:val="20"/>
        </w:rPr>
        <w:t xml:space="preserve"> sveukupno izvedeni radovi koncem 2024. iznosili 159.635,18 € bez PDV-a (odnosno 199.543,98 € s PDV-om). Nadzorni inženjer je u 2024. godini ispostavio račune u vrijednosti 1.925,41 € bez PDV-a.</w:t>
      </w:r>
    </w:p>
    <w:p w14:paraId="279743F8" w14:textId="77777777" w:rsidR="00826239" w:rsidRDefault="00826239" w:rsidP="00BA626C">
      <w:pPr>
        <w:autoSpaceDE w:val="0"/>
        <w:autoSpaceDN w:val="0"/>
        <w:adjustRightInd w:val="0"/>
        <w:spacing w:after="0" w:line="240" w:lineRule="auto"/>
        <w:jc w:val="both"/>
        <w:rPr>
          <w:rFonts w:ascii="Arial" w:eastAsia="Times New Roman" w:hAnsi="Arial" w:cs="Arial"/>
          <w:sz w:val="20"/>
          <w:szCs w:val="20"/>
        </w:rPr>
      </w:pPr>
    </w:p>
    <w:p w14:paraId="3BA7F0D3" w14:textId="661AA776" w:rsidR="00BA626C" w:rsidRDefault="00BA626C" w:rsidP="00BA626C">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Postotak izvršenosti radova koncem </w:t>
      </w:r>
      <w:r w:rsidRPr="00FF3C31">
        <w:rPr>
          <w:rFonts w:ascii="Arial" w:eastAsia="Times New Roman" w:hAnsi="Arial" w:cs="Arial"/>
          <w:b/>
          <w:bCs/>
          <w:sz w:val="20"/>
          <w:szCs w:val="20"/>
        </w:rPr>
        <w:t>202</w:t>
      </w:r>
      <w:r>
        <w:rPr>
          <w:rFonts w:ascii="Arial" w:eastAsia="Times New Roman" w:hAnsi="Arial" w:cs="Arial"/>
          <w:b/>
          <w:bCs/>
          <w:sz w:val="20"/>
          <w:szCs w:val="20"/>
        </w:rPr>
        <w:t>4</w:t>
      </w:r>
      <w:r w:rsidRPr="00FF3C31">
        <w:rPr>
          <w:rFonts w:ascii="Arial" w:eastAsia="Times New Roman" w:hAnsi="Arial" w:cs="Arial"/>
          <w:b/>
          <w:bCs/>
          <w:sz w:val="20"/>
          <w:szCs w:val="20"/>
        </w:rPr>
        <w:t>.</w:t>
      </w:r>
      <w:r w:rsidRPr="00FF3C31">
        <w:rPr>
          <w:rFonts w:ascii="Arial" w:eastAsia="Times New Roman" w:hAnsi="Arial" w:cs="Arial"/>
          <w:sz w:val="20"/>
          <w:szCs w:val="20"/>
        </w:rPr>
        <w:t xml:space="preserve"> je </w:t>
      </w:r>
      <w:r>
        <w:rPr>
          <w:rFonts w:ascii="Arial" w:eastAsia="Times New Roman" w:hAnsi="Arial" w:cs="Arial"/>
          <w:b/>
          <w:bCs/>
          <w:sz w:val="20"/>
          <w:szCs w:val="20"/>
        </w:rPr>
        <w:t>78,4</w:t>
      </w:r>
      <w:r w:rsidRPr="00FF3C31">
        <w:rPr>
          <w:rFonts w:ascii="Arial" w:eastAsia="Times New Roman" w:hAnsi="Arial" w:cs="Arial"/>
          <w:b/>
          <w:bCs/>
          <w:sz w:val="20"/>
          <w:szCs w:val="20"/>
        </w:rPr>
        <w:t>%</w:t>
      </w:r>
      <w:r w:rsidRPr="00FF3C31">
        <w:rPr>
          <w:rFonts w:ascii="Arial" w:eastAsia="Times New Roman" w:hAnsi="Arial" w:cs="Arial"/>
          <w:sz w:val="20"/>
          <w:szCs w:val="20"/>
        </w:rPr>
        <w:t xml:space="preserve"> </w:t>
      </w:r>
    </w:p>
    <w:p w14:paraId="4C40BF57" w14:textId="5EBC9FF0" w:rsidR="00BA626C" w:rsidRDefault="00BA626C" w:rsidP="00B20566">
      <w:pPr>
        <w:autoSpaceDE w:val="0"/>
        <w:autoSpaceDN w:val="0"/>
        <w:adjustRightInd w:val="0"/>
        <w:spacing w:after="0" w:line="240" w:lineRule="auto"/>
        <w:jc w:val="both"/>
        <w:rPr>
          <w:rFonts w:ascii="Arial" w:eastAsia="Times New Roman" w:hAnsi="Arial" w:cs="Arial"/>
          <w:sz w:val="20"/>
          <w:szCs w:val="20"/>
        </w:rPr>
      </w:pPr>
    </w:p>
    <w:p w14:paraId="3EE8659D" w14:textId="7FB65C82" w:rsidR="00BA626C" w:rsidRPr="00FF3C31" w:rsidRDefault="00BA626C" w:rsidP="00B20566">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Do konca ožujka 2025. godine izvoditelj je ispostavio još dvije privremene situacije u vrijednosti 9.949,84 € (bez PDV-a), te sveukupno izvedeni radovi koncem ožujka 2025 godine iznose 169.585,02 € što s PDV-om iznosi 211.981,28 €.</w:t>
      </w:r>
      <w:r w:rsidRPr="00BA626C">
        <w:rPr>
          <w:rFonts w:ascii="Arial" w:eastAsia="Times New Roman" w:hAnsi="Arial" w:cs="Arial"/>
          <w:sz w:val="20"/>
          <w:szCs w:val="20"/>
        </w:rPr>
        <w:t xml:space="preserve"> </w:t>
      </w:r>
      <w:r>
        <w:rPr>
          <w:rFonts w:ascii="Arial" w:eastAsia="Times New Roman" w:hAnsi="Arial" w:cs="Arial"/>
          <w:sz w:val="20"/>
          <w:szCs w:val="20"/>
        </w:rPr>
        <w:t>Nadzorni inženjer je u 2025. godini ispostavio račune u vrijednosti 344,22 € bez PDV-a (sveukupno usluge nadzora po ugovoru izvršene u iznosu 4.136,39 €.</w:t>
      </w:r>
    </w:p>
    <w:bookmarkEnd w:id="490"/>
    <w:p w14:paraId="04269A08" w14:textId="282E50CF" w:rsidR="00BA626C" w:rsidRDefault="00BA626C" w:rsidP="00BA626C">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Postotak izvršenosti radova koncem </w:t>
      </w:r>
      <w:r>
        <w:rPr>
          <w:rFonts w:ascii="Arial" w:eastAsia="Times New Roman" w:hAnsi="Arial" w:cs="Arial"/>
          <w:sz w:val="20"/>
          <w:szCs w:val="20"/>
        </w:rPr>
        <w:t xml:space="preserve">ožujka </w:t>
      </w:r>
      <w:r w:rsidRPr="00FF3C31">
        <w:rPr>
          <w:rFonts w:ascii="Arial" w:eastAsia="Times New Roman" w:hAnsi="Arial" w:cs="Arial"/>
          <w:b/>
          <w:bCs/>
          <w:sz w:val="20"/>
          <w:szCs w:val="20"/>
        </w:rPr>
        <w:t>202</w:t>
      </w:r>
      <w:r>
        <w:rPr>
          <w:rFonts w:ascii="Arial" w:eastAsia="Times New Roman" w:hAnsi="Arial" w:cs="Arial"/>
          <w:b/>
          <w:bCs/>
          <w:sz w:val="20"/>
          <w:szCs w:val="20"/>
        </w:rPr>
        <w:t>5</w:t>
      </w:r>
      <w:r w:rsidRPr="00FF3C31">
        <w:rPr>
          <w:rFonts w:ascii="Arial" w:eastAsia="Times New Roman" w:hAnsi="Arial" w:cs="Arial"/>
          <w:b/>
          <w:bCs/>
          <w:sz w:val="20"/>
          <w:szCs w:val="20"/>
        </w:rPr>
        <w:t>.</w:t>
      </w:r>
      <w:r w:rsidRPr="00FF3C31">
        <w:rPr>
          <w:rFonts w:ascii="Arial" w:eastAsia="Times New Roman" w:hAnsi="Arial" w:cs="Arial"/>
          <w:sz w:val="20"/>
          <w:szCs w:val="20"/>
        </w:rPr>
        <w:t xml:space="preserve"> je </w:t>
      </w:r>
      <w:r>
        <w:rPr>
          <w:rFonts w:ascii="Arial" w:eastAsia="Times New Roman" w:hAnsi="Arial" w:cs="Arial"/>
          <w:b/>
          <w:bCs/>
          <w:sz w:val="20"/>
          <w:szCs w:val="20"/>
        </w:rPr>
        <w:t>83,3</w:t>
      </w:r>
      <w:r w:rsidRPr="00FF3C31">
        <w:rPr>
          <w:rFonts w:ascii="Arial" w:eastAsia="Times New Roman" w:hAnsi="Arial" w:cs="Arial"/>
          <w:b/>
          <w:bCs/>
          <w:sz w:val="20"/>
          <w:szCs w:val="20"/>
        </w:rPr>
        <w:t>%</w:t>
      </w:r>
      <w:r w:rsidRPr="00FF3C31">
        <w:rPr>
          <w:rFonts w:ascii="Arial" w:eastAsia="Times New Roman" w:hAnsi="Arial" w:cs="Arial"/>
          <w:sz w:val="20"/>
          <w:szCs w:val="20"/>
        </w:rPr>
        <w:t xml:space="preserve"> </w:t>
      </w:r>
    </w:p>
    <w:p w14:paraId="647D0517" w14:textId="77777777" w:rsidR="008851E8" w:rsidRDefault="008851E8" w:rsidP="008851E8">
      <w:pPr>
        <w:autoSpaceDE w:val="0"/>
        <w:autoSpaceDN w:val="0"/>
        <w:adjustRightInd w:val="0"/>
        <w:spacing w:after="0" w:line="240" w:lineRule="auto"/>
        <w:jc w:val="both"/>
        <w:rPr>
          <w:rFonts w:ascii="Arial" w:eastAsia="Times New Roman" w:hAnsi="Arial" w:cs="Arial"/>
          <w:sz w:val="20"/>
          <w:szCs w:val="20"/>
        </w:rPr>
      </w:pPr>
    </w:p>
    <w:p w14:paraId="546E76E5" w14:textId="3D652C19" w:rsidR="00BA626C" w:rsidRDefault="00BA626C" w:rsidP="008851E8">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Radovi se obavljaju usporenim tokom jer je odlučeno usporedo obavljati postavljanje cijevi za oborinsku odvodnju te javn</w:t>
      </w:r>
      <w:r w:rsidR="00720A0C">
        <w:rPr>
          <w:rFonts w:ascii="Arial" w:eastAsia="Times New Roman" w:hAnsi="Arial" w:cs="Arial"/>
          <w:sz w:val="20"/>
          <w:szCs w:val="20"/>
        </w:rPr>
        <w:t>u</w:t>
      </w:r>
      <w:r>
        <w:rPr>
          <w:rFonts w:ascii="Arial" w:eastAsia="Times New Roman" w:hAnsi="Arial" w:cs="Arial"/>
          <w:sz w:val="20"/>
          <w:szCs w:val="20"/>
        </w:rPr>
        <w:t xml:space="preserve"> rasvjet</w:t>
      </w:r>
      <w:r w:rsidR="00720A0C">
        <w:rPr>
          <w:rFonts w:ascii="Arial" w:eastAsia="Times New Roman" w:hAnsi="Arial" w:cs="Arial"/>
          <w:sz w:val="20"/>
          <w:szCs w:val="20"/>
        </w:rPr>
        <w:t>u</w:t>
      </w:r>
      <w:r>
        <w:rPr>
          <w:rFonts w:ascii="Arial" w:eastAsia="Times New Roman" w:hAnsi="Arial" w:cs="Arial"/>
          <w:sz w:val="20"/>
          <w:szCs w:val="20"/>
        </w:rPr>
        <w:t xml:space="preserve"> na dijelu obuhvata ulice Frana Laureana.</w:t>
      </w:r>
    </w:p>
    <w:p w14:paraId="42CD46C8" w14:textId="77777777" w:rsidR="00BA626C" w:rsidRPr="00FF3C31" w:rsidRDefault="00BA626C" w:rsidP="008851E8">
      <w:pPr>
        <w:autoSpaceDE w:val="0"/>
        <w:autoSpaceDN w:val="0"/>
        <w:adjustRightInd w:val="0"/>
        <w:spacing w:after="0" w:line="240" w:lineRule="auto"/>
        <w:jc w:val="both"/>
        <w:rPr>
          <w:rFonts w:ascii="Arial" w:eastAsia="Times New Roman" w:hAnsi="Arial" w:cs="Arial"/>
          <w:sz w:val="20"/>
          <w:szCs w:val="20"/>
        </w:rPr>
      </w:pPr>
    </w:p>
    <w:p w14:paraId="2C88E286" w14:textId="7AFE2CB5" w:rsidR="00B34FCE" w:rsidRPr="00FF3C31" w:rsidRDefault="00B34FCE">
      <w:pPr>
        <w:pStyle w:val="Odlomakpopisa"/>
        <w:numPr>
          <w:ilvl w:val="0"/>
          <w:numId w:val="22"/>
        </w:numPr>
        <w:autoSpaceDE w:val="0"/>
        <w:autoSpaceDN w:val="0"/>
        <w:adjustRightInd w:val="0"/>
        <w:rPr>
          <w:rFonts w:ascii="Arial" w:hAnsi="Arial" w:cs="Arial"/>
        </w:rPr>
      </w:pPr>
      <w:r w:rsidRPr="00FF3C31">
        <w:rPr>
          <w:rFonts w:ascii="Arial" w:hAnsi="Arial" w:cs="Arial"/>
        </w:rPr>
        <w:t xml:space="preserve">Financiranje u razdoblju 2023. </w:t>
      </w:r>
      <w:r w:rsidR="00AD7E6E" w:rsidRPr="00FF3C31">
        <w:rPr>
          <w:rFonts w:ascii="Arial" w:hAnsi="Arial" w:cs="Arial"/>
        </w:rPr>
        <w:t>i 2024.</w:t>
      </w:r>
    </w:p>
    <w:p w14:paraId="6BC67A4F" w14:textId="7844FFCF" w:rsidR="00FE3A3E" w:rsidRPr="00FF3C31" w:rsidRDefault="00FE3A3E" w:rsidP="00390542">
      <w:pPr>
        <w:autoSpaceDE w:val="0"/>
        <w:autoSpaceDN w:val="0"/>
        <w:adjustRightInd w:val="0"/>
        <w:spacing w:after="0" w:line="240" w:lineRule="auto"/>
        <w:jc w:val="both"/>
        <w:rPr>
          <w:rFonts w:ascii="Arial" w:eastAsia="Times New Roman" w:hAnsi="Arial" w:cs="Arial"/>
          <w:sz w:val="20"/>
          <w:szCs w:val="20"/>
        </w:rPr>
      </w:pPr>
    </w:p>
    <w:p w14:paraId="5A8146C2" w14:textId="488AAF78" w:rsidR="00B34FCE" w:rsidRPr="00720A0C" w:rsidRDefault="00B34FCE" w:rsidP="00B34FCE">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 xml:space="preserve">Konavosko komunalno društvo d.o.o. je dana 21.7.2023. s Ministarstvom gospodarstva i održivog razvoja, te Hrvatskim vodama (provedbeno tijelo) zaključilo </w:t>
      </w:r>
      <w:r w:rsidR="0090733E" w:rsidRPr="00720A0C">
        <w:rPr>
          <w:rFonts w:ascii="Arial" w:eastAsia="Times New Roman" w:hAnsi="Arial" w:cs="Arial"/>
          <w:sz w:val="18"/>
          <w:szCs w:val="18"/>
        </w:rPr>
        <w:t xml:space="preserve">Ugovor o sufinanciranju projekta, te </w:t>
      </w:r>
      <w:r w:rsidRPr="00720A0C">
        <w:rPr>
          <w:rFonts w:ascii="Arial" w:eastAsia="Times New Roman" w:hAnsi="Arial" w:cs="Arial"/>
          <w:sz w:val="18"/>
          <w:szCs w:val="18"/>
        </w:rPr>
        <w:t xml:space="preserve">ugovor o dodjeli bespovratnih sredstava za projekte koji se financiranju iz nacionalnog plana za oporavak i otpornost 2021.-2026. Ugovorena je provedba </w:t>
      </w:r>
      <w:r w:rsidRPr="00720A0C">
        <w:rPr>
          <w:rFonts w:ascii="Arial" w:eastAsia="Times New Roman" w:hAnsi="Arial" w:cs="Arial"/>
          <w:b/>
          <w:bCs/>
          <w:sz w:val="18"/>
          <w:szCs w:val="18"/>
        </w:rPr>
        <w:t>projekta pod nazivom „Dogradnja kanalizacijske mreže u ulicama Frana Laureana i Jurja Dalmatinca, te u ulici S.S. Kranjčevića u Cavtatu“</w:t>
      </w:r>
      <w:r w:rsidRPr="00720A0C">
        <w:rPr>
          <w:rFonts w:ascii="Arial" w:eastAsia="Times New Roman" w:hAnsi="Arial" w:cs="Arial"/>
          <w:sz w:val="18"/>
          <w:szCs w:val="18"/>
        </w:rPr>
        <w:t>. Ukupna vrijednost projekta je 1.406.408,11 € (10.596.581,90 kn) od čega prihvatljivi troškovi projekta iznose 1.125.126,49 € (8.477.265,54 kn)</w:t>
      </w:r>
      <w:r w:rsidR="0090733E" w:rsidRPr="00720A0C">
        <w:rPr>
          <w:rFonts w:ascii="Arial" w:eastAsia="Times New Roman" w:hAnsi="Arial" w:cs="Arial"/>
          <w:sz w:val="18"/>
          <w:szCs w:val="18"/>
        </w:rPr>
        <w:t xml:space="preserve">. Iz Nacionalnog programa otpornosti i oporavka sufinancirati će se 80% ili 900.101,19 € (6.781.812,42 kn), dok 20% sredstava za sufinanciranje prihvatljivih troškova iznosi 225.025,30 € (od čega će 112.512,65 € doznačiti Hrvatske vode). </w:t>
      </w:r>
    </w:p>
    <w:p w14:paraId="4BBF2742" w14:textId="77777777" w:rsidR="00FE3A3E" w:rsidRPr="00720A0C" w:rsidRDefault="00FE3A3E" w:rsidP="00390542">
      <w:pPr>
        <w:autoSpaceDE w:val="0"/>
        <w:autoSpaceDN w:val="0"/>
        <w:adjustRightInd w:val="0"/>
        <w:spacing w:after="0" w:line="240" w:lineRule="auto"/>
        <w:jc w:val="both"/>
        <w:rPr>
          <w:rFonts w:ascii="Arial" w:eastAsia="Times New Roman" w:hAnsi="Arial" w:cs="Arial"/>
          <w:sz w:val="18"/>
          <w:szCs w:val="18"/>
        </w:rPr>
      </w:pPr>
    </w:p>
    <w:p w14:paraId="0EC31BEB" w14:textId="615001D2" w:rsidR="00AD7E6E" w:rsidRDefault="00AD7E6E" w:rsidP="00AD7E6E">
      <w:pPr>
        <w:autoSpaceDE w:val="0"/>
        <w:autoSpaceDN w:val="0"/>
        <w:adjustRightInd w:val="0"/>
        <w:spacing w:after="0" w:line="240" w:lineRule="auto"/>
        <w:jc w:val="both"/>
        <w:rPr>
          <w:rFonts w:ascii="Arial" w:eastAsia="Times New Roman" w:hAnsi="Arial" w:cs="Arial"/>
          <w:sz w:val="18"/>
          <w:szCs w:val="18"/>
        </w:rPr>
      </w:pPr>
      <w:r w:rsidRPr="00720A0C">
        <w:rPr>
          <w:rFonts w:ascii="Arial" w:eastAsia="Times New Roman" w:hAnsi="Arial" w:cs="Arial"/>
          <w:sz w:val="18"/>
          <w:szCs w:val="18"/>
        </w:rPr>
        <w:t>U 202</w:t>
      </w:r>
      <w:r w:rsidR="00713703" w:rsidRPr="00720A0C">
        <w:rPr>
          <w:rFonts w:ascii="Arial" w:eastAsia="Times New Roman" w:hAnsi="Arial" w:cs="Arial"/>
          <w:sz w:val="18"/>
          <w:szCs w:val="18"/>
        </w:rPr>
        <w:t>3</w:t>
      </w:r>
      <w:r w:rsidRPr="00720A0C">
        <w:rPr>
          <w:rFonts w:ascii="Arial" w:eastAsia="Times New Roman" w:hAnsi="Arial" w:cs="Arial"/>
          <w:sz w:val="18"/>
          <w:szCs w:val="18"/>
        </w:rPr>
        <w:t>. nije bilo sufinanciranja.</w:t>
      </w:r>
    </w:p>
    <w:p w14:paraId="7D4943AF" w14:textId="77777777" w:rsidR="007A23FC" w:rsidRDefault="007A23FC" w:rsidP="00AD7E6E">
      <w:pPr>
        <w:autoSpaceDE w:val="0"/>
        <w:autoSpaceDN w:val="0"/>
        <w:adjustRightInd w:val="0"/>
        <w:spacing w:after="0" w:line="240" w:lineRule="auto"/>
        <w:jc w:val="both"/>
        <w:rPr>
          <w:rFonts w:ascii="Arial" w:eastAsia="Times New Roman" w:hAnsi="Arial" w:cs="Arial"/>
          <w:sz w:val="18"/>
          <w:szCs w:val="18"/>
        </w:rPr>
      </w:pPr>
    </w:p>
    <w:p w14:paraId="3A8CCEAE" w14:textId="2093C19A" w:rsidR="007A23FC" w:rsidRPr="00720A0C" w:rsidRDefault="00826239" w:rsidP="00AD7E6E">
      <w:pPr>
        <w:autoSpaceDE w:val="0"/>
        <w:autoSpaceDN w:val="0"/>
        <w:adjustRightInd w:val="0"/>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Do konca </w:t>
      </w:r>
      <w:r w:rsidR="007A23FC">
        <w:rPr>
          <w:rFonts w:ascii="Arial" w:eastAsia="Times New Roman" w:hAnsi="Arial" w:cs="Arial"/>
          <w:sz w:val="18"/>
          <w:szCs w:val="18"/>
        </w:rPr>
        <w:t>2024.godin</w:t>
      </w:r>
      <w:r>
        <w:rPr>
          <w:rFonts w:ascii="Arial" w:eastAsia="Times New Roman" w:hAnsi="Arial" w:cs="Arial"/>
          <w:sz w:val="18"/>
          <w:szCs w:val="18"/>
        </w:rPr>
        <w:t>e</w:t>
      </w:r>
      <w:r w:rsidR="007A23FC">
        <w:rPr>
          <w:rFonts w:ascii="Arial" w:eastAsia="Times New Roman" w:hAnsi="Arial" w:cs="Arial"/>
          <w:sz w:val="18"/>
          <w:szCs w:val="18"/>
        </w:rPr>
        <w:t xml:space="preserve"> odobrena su sredstva za sufinanciranje prihvatljivih troškova u iznosu </w:t>
      </w:r>
      <w:r w:rsidR="00C47FC4">
        <w:rPr>
          <w:rFonts w:ascii="Arial" w:eastAsia="Times New Roman" w:hAnsi="Arial" w:cs="Arial"/>
          <w:sz w:val="18"/>
          <w:szCs w:val="18"/>
        </w:rPr>
        <w:t>78.624,80</w:t>
      </w:r>
      <w:r w:rsidR="00425CCB">
        <w:rPr>
          <w:rFonts w:ascii="Arial" w:eastAsia="Times New Roman" w:hAnsi="Arial" w:cs="Arial"/>
          <w:sz w:val="18"/>
          <w:szCs w:val="18"/>
        </w:rPr>
        <w:t xml:space="preserve"> €</w:t>
      </w:r>
      <w:r w:rsidR="00D667BD">
        <w:rPr>
          <w:rFonts w:ascii="Arial" w:eastAsia="Times New Roman" w:hAnsi="Arial" w:cs="Arial"/>
          <w:sz w:val="18"/>
          <w:szCs w:val="18"/>
        </w:rPr>
        <w:t xml:space="preserve"> (80 % EU sredstava i 10% sredstva Hrvatske vode) na temelju 11 zahtjeva za nadoknadom sredstava.</w:t>
      </w:r>
    </w:p>
    <w:p w14:paraId="46191455" w14:textId="77777777" w:rsidR="00713703" w:rsidRDefault="00713703" w:rsidP="00AD7E6E">
      <w:pPr>
        <w:autoSpaceDE w:val="0"/>
        <w:autoSpaceDN w:val="0"/>
        <w:adjustRightInd w:val="0"/>
        <w:spacing w:after="0" w:line="240" w:lineRule="auto"/>
        <w:jc w:val="both"/>
        <w:rPr>
          <w:rFonts w:ascii="Arial" w:eastAsia="Times New Roman" w:hAnsi="Arial" w:cs="Arial"/>
          <w:sz w:val="20"/>
          <w:szCs w:val="20"/>
        </w:rPr>
      </w:pPr>
    </w:p>
    <w:p w14:paraId="397D12E5" w14:textId="77777777" w:rsidR="00713703" w:rsidRPr="00FF3C31" w:rsidRDefault="00713703" w:rsidP="00AD7E6E">
      <w:pPr>
        <w:autoSpaceDE w:val="0"/>
        <w:autoSpaceDN w:val="0"/>
        <w:adjustRightInd w:val="0"/>
        <w:spacing w:after="0" w:line="240" w:lineRule="auto"/>
        <w:jc w:val="both"/>
        <w:rPr>
          <w:rFonts w:ascii="Arial" w:eastAsia="Times New Roman" w:hAnsi="Arial" w:cs="Arial"/>
          <w:sz w:val="20"/>
          <w:szCs w:val="20"/>
        </w:rPr>
      </w:pPr>
    </w:p>
    <w:p w14:paraId="5F30693E" w14:textId="1B4C88AC" w:rsidR="002E41AF" w:rsidRPr="00FF3C31" w:rsidRDefault="002E41AF" w:rsidP="002E41A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K209428: Izgradnja kanalizacije Ulica Silvija Strahimira Kranjčevića. Cavtat</w:t>
      </w:r>
    </w:p>
    <w:p w14:paraId="5F426A08" w14:textId="77777777" w:rsidR="002E41AF" w:rsidRPr="00FF3C31" w:rsidRDefault="002E41AF" w:rsidP="002E41AF">
      <w:pPr>
        <w:autoSpaceDE w:val="0"/>
        <w:autoSpaceDN w:val="0"/>
        <w:adjustRightInd w:val="0"/>
        <w:spacing w:after="0" w:line="240" w:lineRule="auto"/>
        <w:jc w:val="both"/>
        <w:rPr>
          <w:rFonts w:ascii="Arial" w:eastAsia="Times New Roman" w:hAnsi="Arial" w:cs="Arial"/>
          <w:sz w:val="20"/>
          <w:szCs w:val="20"/>
        </w:rPr>
      </w:pPr>
    </w:p>
    <w:p w14:paraId="70EFAB8A" w14:textId="03B92570" w:rsidR="002E41AF" w:rsidRPr="00FF3C31" w:rsidRDefault="002E41AF" w:rsidP="002E41A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Planirani nositelj projekta je društvo u vlasništvu Općine, Konavosko komunalno društvo d.o.o. Međutim, navedeno bi se sufinanciralo iz sredstava javnog isporučitelja (Konavosko komunalno društvo d.o.o.), sufinanciranjem Hrvatskih voda, te korištenjem sredstava Europske unije. </w:t>
      </w:r>
    </w:p>
    <w:p w14:paraId="2493FC3C" w14:textId="77777777" w:rsidR="002E41AF" w:rsidRPr="00FF3C31" w:rsidRDefault="002E41AF" w:rsidP="002E41AF">
      <w:pPr>
        <w:autoSpaceDE w:val="0"/>
        <w:autoSpaceDN w:val="0"/>
        <w:adjustRightInd w:val="0"/>
        <w:spacing w:after="0" w:line="240" w:lineRule="auto"/>
        <w:jc w:val="both"/>
        <w:rPr>
          <w:rFonts w:ascii="Arial" w:eastAsia="Times New Roman" w:hAnsi="Arial" w:cs="Arial"/>
          <w:sz w:val="20"/>
          <w:szCs w:val="20"/>
        </w:rPr>
      </w:pPr>
    </w:p>
    <w:p w14:paraId="5C40582C" w14:textId="77777777" w:rsidR="002E41AF" w:rsidRPr="00FF3C31" w:rsidRDefault="002E41AF" w:rsidP="002E41A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Dubrovačko-neretvanska županija, Upravni odjel za prostorno uređenje i gradnju izdalo je:</w:t>
      </w:r>
    </w:p>
    <w:p w14:paraId="44D25DA2" w14:textId="77777777" w:rsidR="002E41AF" w:rsidRPr="00FF3C31" w:rsidRDefault="002E41AF">
      <w:pPr>
        <w:numPr>
          <w:ilvl w:val="0"/>
          <w:numId w:val="5"/>
        </w:num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b/>
          <w:sz w:val="20"/>
          <w:szCs w:val="20"/>
          <w:u w:val="single"/>
        </w:rPr>
        <w:t>Građevinska dozvola</w:t>
      </w:r>
      <w:r w:rsidRPr="00FF3C31">
        <w:rPr>
          <w:rFonts w:ascii="Arial" w:eastAsia="Times New Roman" w:hAnsi="Arial" w:cs="Arial"/>
          <w:sz w:val="20"/>
          <w:szCs w:val="20"/>
        </w:rPr>
        <w:t xml:space="preserve"> za ulicu S.S. Kranjčevića; KLASA: UP/I-361-03/18-01/000080; URBROJ:2117/1-23/1-6-18-0008, Dubrovnik, 12.04.2018. (PRAVOMOĆNA 23.svibnja 2018.). </w:t>
      </w:r>
    </w:p>
    <w:p w14:paraId="6B79D595" w14:textId="21C85F3E" w:rsidR="002E41AF" w:rsidRPr="00FF3C31" w:rsidRDefault="002E41AF" w:rsidP="002E41AF">
      <w:pPr>
        <w:autoSpaceDE w:val="0"/>
        <w:autoSpaceDN w:val="0"/>
        <w:adjustRightInd w:val="0"/>
        <w:spacing w:after="0" w:line="240" w:lineRule="auto"/>
        <w:ind w:left="720"/>
        <w:jc w:val="both"/>
        <w:rPr>
          <w:rFonts w:ascii="Arial" w:eastAsia="Times New Roman" w:hAnsi="Arial" w:cs="Arial"/>
          <w:sz w:val="20"/>
          <w:szCs w:val="20"/>
        </w:rPr>
      </w:pPr>
      <w:bookmarkStart w:id="491" w:name="_Hlk144383946"/>
      <w:r w:rsidRPr="00FF3C31">
        <w:rPr>
          <w:rFonts w:ascii="Arial" w:eastAsia="Times New Roman" w:hAnsi="Arial" w:cs="Arial"/>
          <w:sz w:val="20"/>
          <w:szCs w:val="20"/>
        </w:rPr>
        <w:t>Za produženje važenja građevinske dozvole ispostavljeno je rješenje KLASA: UP/I-361-03/21-01/000083; URBROJ:2117/1-23/6-1-21-0004 o</w:t>
      </w:r>
      <w:r w:rsidR="00AD20A1" w:rsidRPr="00FF3C31">
        <w:rPr>
          <w:rFonts w:ascii="Arial" w:eastAsia="Times New Roman" w:hAnsi="Arial" w:cs="Arial"/>
          <w:sz w:val="20"/>
          <w:szCs w:val="20"/>
        </w:rPr>
        <w:t>d</w:t>
      </w:r>
      <w:r w:rsidRPr="00FF3C31">
        <w:rPr>
          <w:rFonts w:ascii="Arial" w:eastAsia="Times New Roman" w:hAnsi="Arial" w:cs="Arial"/>
          <w:sz w:val="20"/>
          <w:szCs w:val="20"/>
        </w:rPr>
        <w:t xml:space="preserve"> 16.3.2021.</w:t>
      </w:r>
    </w:p>
    <w:bookmarkEnd w:id="491"/>
    <w:p w14:paraId="45051BFB" w14:textId="77777777" w:rsidR="00B24DCA" w:rsidRPr="00FF3C31" w:rsidRDefault="00B24DCA" w:rsidP="00B24DCA">
      <w:pPr>
        <w:autoSpaceDE w:val="0"/>
        <w:autoSpaceDN w:val="0"/>
        <w:adjustRightInd w:val="0"/>
        <w:spacing w:after="0" w:line="240" w:lineRule="auto"/>
        <w:jc w:val="both"/>
        <w:rPr>
          <w:rFonts w:ascii="Arial" w:eastAsia="Times New Roman" w:hAnsi="Arial" w:cs="Arial"/>
          <w:sz w:val="20"/>
          <w:szCs w:val="20"/>
        </w:rPr>
      </w:pPr>
    </w:p>
    <w:p w14:paraId="700F4379" w14:textId="335712A0" w:rsidR="00B24DCA" w:rsidRPr="00FF3C31" w:rsidRDefault="00B24DCA" w:rsidP="00B24DCA">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Nakon provedenog postupka javne nabave, komunalno društvo je 15.1.2024. zaključilo sa zajednicom ponuditelja (Texo gradnja d.o.o. i Dubrovnik ceste d.d.) </w:t>
      </w:r>
      <w:r w:rsidRPr="00FF3C31">
        <w:rPr>
          <w:rFonts w:ascii="Arial" w:eastAsia="Times New Roman" w:hAnsi="Arial" w:cs="Arial"/>
          <w:b/>
          <w:sz w:val="20"/>
          <w:szCs w:val="20"/>
        </w:rPr>
        <w:t>Ugovor o izvođenju radova na dogradnji kanalizacijskog sustava Cavtata – izgradnja kanalizacije u ulici Silvija Strahimira Kranjčevića u Cavtatu u i</w:t>
      </w:r>
      <w:r w:rsidRPr="00FF3C31">
        <w:rPr>
          <w:rFonts w:ascii="Arial" w:eastAsia="Times New Roman" w:hAnsi="Arial" w:cs="Arial"/>
          <w:sz w:val="20"/>
          <w:szCs w:val="20"/>
        </w:rPr>
        <w:t>znosu 649.024,87 €, bez poreza na dodanu vrijednost odnosno 811.281,09 € s PDV-om.</w:t>
      </w:r>
    </w:p>
    <w:p w14:paraId="149C6A40" w14:textId="77777777" w:rsidR="00B24DCA" w:rsidRPr="00FF3C31" w:rsidRDefault="00B24DCA" w:rsidP="00B24DCA">
      <w:pPr>
        <w:autoSpaceDE w:val="0"/>
        <w:autoSpaceDN w:val="0"/>
        <w:adjustRightInd w:val="0"/>
        <w:spacing w:after="0" w:line="240" w:lineRule="auto"/>
        <w:jc w:val="both"/>
        <w:rPr>
          <w:rFonts w:ascii="Arial" w:eastAsia="Times New Roman" w:hAnsi="Arial" w:cs="Arial"/>
          <w:sz w:val="20"/>
          <w:szCs w:val="20"/>
        </w:rPr>
      </w:pPr>
    </w:p>
    <w:p w14:paraId="4FA4E54D" w14:textId="706F8DBC" w:rsidR="00B24DCA" w:rsidRPr="00FF3C31" w:rsidRDefault="00B24DCA" w:rsidP="00B24DCA">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Ugovoreno je izvođenje radova unutar 24 mjeseca,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petogodišnjem roku od trenutka zapisničke primopredaje građevine. Za solidnost sanacije postojećih konstrukcija i solidnost novoizgrađene građevine daje se jamstveni rok 10 godina. Za ugrađeni materijal izvođač daje naručitelju jamstvo prema uputama proizvođača tog materijala, ali ne manje od dvije godine a koje se dokazuje jamstvenim listom proizvođača. Izvođač je obvezan društvu (naručitelju) dostaviti jamstvo za otklanjanje nedostataka u jamstvenom roku na period od pet godina u obliku bankarske garancije na iznos od 5% ugovorenog iznosa PDV-a. Kazna za svaki dan kašnjenja u izvođenju radove prema detaljnom dinamičkom planu je 2 promila s time da je maksimalni iznos ugovorene kazne ne može prijeći 10% ugovorene vrijednosti radova s PDV-om.</w:t>
      </w:r>
    </w:p>
    <w:p w14:paraId="03FDA2D4" w14:textId="02B64F47" w:rsidR="00B24DCA" w:rsidRPr="00FF3C31" w:rsidRDefault="00B24DCA" w:rsidP="00B24DCA">
      <w:pPr>
        <w:autoSpaceDE w:val="0"/>
        <w:autoSpaceDN w:val="0"/>
        <w:adjustRightInd w:val="0"/>
        <w:spacing w:after="0" w:line="240" w:lineRule="auto"/>
        <w:jc w:val="both"/>
        <w:rPr>
          <w:rFonts w:ascii="Arial" w:eastAsia="Calibri" w:hAnsi="Arial" w:cs="Arial"/>
          <w:sz w:val="20"/>
          <w:szCs w:val="20"/>
        </w:rPr>
      </w:pPr>
      <w:r w:rsidRPr="00FF3C31">
        <w:rPr>
          <w:rFonts w:ascii="Arial" w:eastAsia="Times New Roman" w:hAnsi="Arial" w:cs="Arial"/>
          <w:sz w:val="20"/>
          <w:szCs w:val="20"/>
        </w:rPr>
        <w:t xml:space="preserve">Prema ugovoru od 12. siječnja 2024. </w:t>
      </w:r>
      <w:r w:rsidRPr="00FF3C31">
        <w:rPr>
          <w:rFonts w:ascii="Arial" w:eastAsia="Times New Roman" w:hAnsi="Arial" w:cs="Arial"/>
          <w:b/>
          <w:sz w:val="20"/>
          <w:szCs w:val="20"/>
        </w:rPr>
        <w:t xml:space="preserve">stručni i obračunski nadzor nad izvođenjem radova </w:t>
      </w:r>
      <w:r w:rsidRPr="00FF3C31">
        <w:rPr>
          <w:rFonts w:ascii="Arial" w:eastAsia="Times New Roman" w:hAnsi="Arial" w:cs="Arial"/>
          <w:sz w:val="20"/>
          <w:szCs w:val="20"/>
        </w:rPr>
        <w:t xml:space="preserve">je Astra international građenje i projektiranje d.o.o. u iznosu 19.080 €, bez poreza na dodanu vrijednost (23.850 € s PDV-om). </w:t>
      </w:r>
    </w:p>
    <w:p w14:paraId="345C490D" w14:textId="77777777" w:rsidR="00B24DCA" w:rsidRPr="00FF3C31" w:rsidRDefault="00B24DCA" w:rsidP="00B24DCA">
      <w:pPr>
        <w:autoSpaceDE w:val="0"/>
        <w:autoSpaceDN w:val="0"/>
        <w:adjustRightInd w:val="0"/>
        <w:spacing w:after="0" w:line="240" w:lineRule="auto"/>
        <w:jc w:val="both"/>
        <w:rPr>
          <w:rFonts w:ascii="Arial" w:eastAsia="Times New Roman" w:hAnsi="Arial" w:cs="Arial"/>
          <w:sz w:val="20"/>
          <w:szCs w:val="20"/>
        </w:rPr>
      </w:pPr>
    </w:p>
    <w:p w14:paraId="481720A7" w14:textId="4811A1BD" w:rsidR="00B91FC9" w:rsidRPr="00FF3C31" w:rsidRDefault="00B24DCA" w:rsidP="00390542">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Izvoditelj je uveden u posao te su </w:t>
      </w:r>
      <w:r w:rsidRPr="00FF3C31">
        <w:rPr>
          <w:rFonts w:ascii="Arial" w:eastAsia="Times New Roman" w:hAnsi="Arial" w:cs="Arial"/>
          <w:b/>
          <w:sz w:val="20"/>
          <w:szCs w:val="20"/>
        </w:rPr>
        <w:t>radovi započeli u siječnju 2024.</w:t>
      </w:r>
    </w:p>
    <w:p w14:paraId="501D507B" w14:textId="305E3D34" w:rsidR="00B24DCA" w:rsidRPr="00FF3C31" w:rsidRDefault="00B24DCA" w:rsidP="00B24DCA">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lastRenderedPageBreak/>
        <w:t xml:space="preserve">Izvoditelj je do konca 2024. ispostavio </w:t>
      </w:r>
      <w:r w:rsidR="00713703">
        <w:rPr>
          <w:rFonts w:ascii="Arial" w:eastAsia="Times New Roman" w:hAnsi="Arial" w:cs="Arial"/>
          <w:sz w:val="20"/>
          <w:szCs w:val="20"/>
        </w:rPr>
        <w:t>12</w:t>
      </w:r>
      <w:r w:rsidRPr="00FF3C31">
        <w:rPr>
          <w:rFonts w:ascii="Arial" w:eastAsia="Times New Roman" w:hAnsi="Arial" w:cs="Arial"/>
          <w:sz w:val="20"/>
          <w:szCs w:val="20"/>
        </w:rPr>
        <w:t xml:space="preserve"> privremen</w:t>
      </w:r>
      <w:r w:rsidR="00713703">
        <w:rPr>
          <w:rFonts w:ascii="Arial" w:eastAsia="Times New Roman" w:hAnsi="Arial" w:cs="Arial"/>
          <w:sz w:val="20"/>
          <w:szCs w:val="20"/>
        </w:rPr>
        <w:t>ih</w:t>
      </w:r>
      <w:r w:rsidRPr="00FF3C31">
        <w:rPr>
          <w:rFonts w:ascii="Arial" w:eastAsia="Times New Roman" w:hAnsi="Arial" w:cs="Arial"/>
          <w:sz w:val="20"/>
          <w:szCs w:val="20"/>
        </w:rPr>
        <w:t xml:space="preserve"> situacij</w:t>
      </w:r>
      <w:r w:rsidR="00713703">
        <w:rPr>
          <w:rFonts w:ascii="Arial" w:eastAsia="Times New Roman" w:hAnsi="Arial" w:cs="Arial"/>
          <w:sz w:val="20"/>
          <w:szCs w:val="20"/>
        </w:rPr>
        <w:t>a</w:t>
      </w:r>
      <w:r w:rsidRPr="00FF3C31">
        <w:rPr>
          <w:rFonts w:ascii="Arial" w:eastAsia="Times New Roman" w:hAnsi="Arial" w:cs="Arial"/>
          <w:sz w:val="20"/>
          <w:szCs w:val="20"/>
        </w:rPr>
        <w:t xml:space="preserve"> u ukupnom iznosu </w:t>
      </w:r>
      <w:r w:rsidR="00713703">
        <w:rPr>
          <w:rFonts w:ascii="Arial" w:eastAsia="Times New Roman" w:hAnsi="Arial" w:cs="Arial"/>
          <w:sz w:val="20"/>
          <w:szCs w:val="20"/>
        </w:rPr>
        <w:t>369.988,50</w:t>
      </w:r>
      <w:r w:rsidRPr="00FF3C31">
        <w:rPr>
          <w:rFonts w:ascii="Arial" w:eastAsia="Times New Roman" w:hAnsi="Arial" w:cs="Arial"/>
          <w:sz w:val="20"/>
          <w:szCs w:val="20"/>
        </w:rPr>
        <w:t xml:space="preserve"> €, bez poreza na dodanu vrijednost (</w:t>
      </w:r>
      <w:r w:rsidR="00713703">
        <w:rPr>
          <w:rFonts w:ascii="Arial" w:eastAsia="Times New Roman" w:hAnsi="Arial" w:cs="Arial"/>
          <w:sz w:val="20"/>
          <w:szCs w:val="20"/>
        </w:rPr>
        <w:t>462.485,63</w:t>
      </w:r>
      <w:r w:rsidRPr="00FF3C31">
        <w:rPr>
          <w:rFonts w:ascii="Arial" w:eastAsia="Times New Roman" w:hAnsi="Arial" w:cs="Arial"/>
          <w:sz w:val="20"/>
          <w:szCs w:val="20"/>
        </w:rPr>
        <w:t xml:space="preserve"> € s PDV-om). Za obavljanje stručnog nadzora nad izvođenjem radova su ispostavljeni računi u ukupnom iznosu </w:t>
      </w:r>
      <w:r w:rsidR="00713703">
        <w:rPr>
          <w:rFonts w:ascii="Arial" w:eastAsia="Times New Roman" w:hAnsi="Arial" w:cs="Arial"/>
          <w:sz w:val="20"/>
          <w:szCs w:val="20"/>
        </w:rPr>
        <w:t>10.876,90</w:t>
      </w:r>
      <w:r w:rsidRPr="00FF3C31">
        <w:rPr>
          <w:rFonts w:ascii="Arial" w:eastAsia="Times New Roman" w:hAnsi="Arial" w:cs="Arial"/>
          <w:sz w:val="20"/>
          <w:szCs w:val="20"/>
        </w:rPr>
        <w:t xml:space="preserve"> €, bez poreza na dodanu vrijednost</w:t>
      </w:r>
      <w:r w:rsidR="00713703">
        <w:rPr>
          <w:rFonts w:ascii="Arial" w:eastAsia="Times New Roman" w:hAnsi="Arial" w:cs="Arial"/>
          <w:sz w:val="20"/>
          <w:szCs w:val="20"/>
        </w:rPr>
        <w:t>, odnosno 13.596,13 s PDV-om.</w:t>
      </w:r>
      <w:r w:rsidRPr="00FF3C31">
        <w:rPr>
          <w:rFonts w:ascii="Arial" w:eastAsia="Times New Roman" w:hAnsi="Arial" w:cs="Arial"/>
          <w:sz w:val="20"/>
          <w:szCs w:val="20"/>
        </w:rPr>
        <w:t xml:space="preserve"> </w:t>
      </w:r>
    </w:p>
    <w:p w14:paraId="3EBDD0BD" w14:textId="77777777" w:rsidR="00B91FC9" w:rsidRPr="00FF3C31" w:rsidRDefault="00B91FC9" w:rsidP="00390542">
      <w:pPr>
        <w:autoSpaceDE w:val="0"/>
        <w:autoSpaceDN w:val="0"/>
        <w:adjustRightInd w:val="0"/>
        <w:spacing w:after="0" w:line="240" w:lineRule="auto"/>
        <w:jc w:val="both"/>
        <w:rPr>
          <w:rFonts w:ascii="Arial" w:eastAsia="Times New Roman" w:hAnsi="Arial" w:cs="Arial"/>
          <w:sz w:val="20"/>
          <w:szCs w:val="20"/>
        </w:rPr>
      </w:pPr>
    </w:p>
    <w:p w14:paraId="25284C05" w14:textId="320E7BB6" w:rsidR="008B3BA2" w:rsidRPr="00FF3C31" w:rsidRDefault="008B3BA2" w:rsidP="008B3BA2">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Postotak izvršenosti radova koncem </w:t>
      </w:r>
      <w:r w:rsidRPr="00FF3C31">
        <w:rPr>
          <w:rFonts w:ascii="Arial" w:eastAsia="Times New Roman" w:hAnsi="Arial" w:cs="Arial"/>
          <w:b/>
          <w:bCs/>
          <w:sz w:val="20"/>
          <w:szCs w:val="20"/>
        </w:rPr>
        <w:t>2024.</w:t>
      </w:r>
      <w:r w:rsidRPr="00FF3C31">
        <w:rPr>
          <w:rFonts w:ascii="Arial" w:eastAsia="Times New Roman" w:hAnsi="Arial" w:cs="Arial"/>
          <w:sz w:val="20"/>
          <w:szCs w:val="20"/>
        </w:rPr>
        <w:t xml:space="preserve"> je </w:t>
      </w:r>
      <w:r w:rsidR="007D4E38">
        <w:rPr>
          <w:rFonts w:ascii="Arial" w:eastAsia="Times New Roman" w:hAnsi="Arial" w:cs="Arial"/>
          <w:sz w:val="20"/>
          <w:szCs w:val="20"/>
        </w:rPr>
        <w:t>57</w:t>
      </w:r>
      <w:r w:rsidRPr="00FF3C31">
        <w:rPr>
          <w:rFonts w:ascii="Arial" w:eastAsia="Times New Roman" w:hAnsi="Arial" w:cs="Arial"/>
          <w:b/>
          <w:bCs/>
          <w:sz w:val="20"/>
          <w:szCs w:val="20"/>
        </w:rPr>
        <w:t>%</w:t>
      </w:r>
      <w:r w:rsidRPr="00FF3C31">
        <w:rPr>
          <w:rFonts w:ascii="Arial" w:eastAsia="Times New Roman" w:hAnsi="Arial" w:cs="Arial"/>
          <w:sz w:val="20"/>
          <w:szCs w:val="20"/>
        </w:rPr>
        <w:t>.</w:t>
      </w:r>
    </w:p>
    <w:p w14:paraId="0AC998C6" w14:textId="77777777" w:rsidR="008B3BA2" w:rsidRDefault="008B3BA2" w:rsidP="008B3BA2">
      <w:pPr>
        <w:autoSpaceDE w:val="0"/>
        <w:autoSpaceDN w:val="0"/>
        <w:adjustRightInd w:val="0"/>
        <w:spacing w:after="0" w:line="240" w:lineRule="auto"/>
        <w:jc w:val="both"/>
        <w:rPr>
          <w:rFonts w:ascii="Arial" w:eastAsia="Times New Roman" w:hAnsi="Arial" w:cs="Arial"/>
          <w:sz w:val="20"/>
          <w:szCs w:val="20"/>
        </w:rPr>
      </w:pPr>
    </w:p>
    <w:p w14:paraId="303EC22B" w14:textId="07014641" w:rsidR="007D4E38" w:rsidRDefault="007D4E38" w:rsidP="008B3BA2">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Do konca ožujka 2025. godine ispostavljeno je još 3 privremene situacije (sveukupno 15) u iznosu 76.447,72 € bez PDV-a, te sveukupno izvedeni radovi koncem ožujka 2025. godine iznose 446.436,22 € odnosno 558.045,28 € s PDV-om. Za obavljanje stručnog nadzora nad izvođenjem radova u 2025. godini ispostavljeni su računi u iznosu 2.247,41 € bez PDV-a, te sveukupno izvršene usluge nadzora do konca ožujka 2025. iznose 13.124,31 € bez PDV-a odnosno 16.405,39 s PDV-om.</w:t>
      </w:r>
    </w:p>
    <w:p w14:paraId="3D14AE15" w14:textId="77777777" w:rsidR="007D4E38" w:rsidRDefault="007D4E38" w:rsidP="007D4E38">
      <w:pPr>
        <w:autoSpaceDE w:val="0"/>
        <w:autoSpaceDN w:val="0"/>
        <w:adjustRightInd w:val="0"/>
        <w:spacing w:after="0" w:line="240" w:lineRule="auto"/>
        <w:jc w:val="both"/>
        <w:rPr>
          <w:rFonts w:ascii="Arial" w:eastAsia="Times New Roman" w:hAnsi="Arial" w:cs="Arial"/>
          <w:sz w:val="20"/>
          <w:szCs w:val="20"/>
        </w:rPr>
      </w:pPr>
    </w:p>
    <w:p w14:paraId="0A15D209" w14:textId="5180E4EF" w:rsidR="007D4E38" w:rsidRPr="00FF3C31" w:rsidRDefault="007D4E38" w:rsidP="007D4E38">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Postotak izvršenosti radova koncem </w:t>
      </w:r>
      <w:r>
        <w:rPr>
          <w:rFonts w:ascii="Arial" w:eastAsia="Times New Roman" w:hAnsi="Arial" w:cs="Arial"/>
          <w:sz w:val="20"/>
          <w:szCs w:val="20"/>
        </w:rPr>
        <w:t xml:space="preserve">ožujka </w:t>
      </w:r>
      <w:r w:rsidRPr="00FF3C31">
        <w:rPr>
          <w:rFonts w:ascii="Arial" w:eastAsia="Times New Roman" w:hAnsi="Arial" w:cs="Arial"/>
          <w:b/>
          <w:bCs/>
          <w:sz w:val="20"/>
          <w:szCs w:val="20"/>
        </w:rPr>
        <w:t>202</w:t>
      </w:r>
      <w:r>
        <w:rPr>
          <w:rFonts w:ascii="Arial" w:eastAsia="Times New Roman" w:hAnsi="Arial" w:cs="Arial"/>
          <w:b/>
          <w:bCs/>
          <w:sz w:val="20"/>
          <w:szCs w:val="20"/>
        </w:rPr>
        <w:t>5</w:t>
      </w:r>
      <w:r w:rsidRPr="00FF3C31">
        <w:rPr>
          <w:rFonts w:ascii="Arial" w:eastAsia="Times New Roman" w:hAnsi="Arial" w:cs="Arial"/>
          <w:b/>
          <w:bCs/>
          <w:sz w:val="20"/>
          <w:szCs w:val="20"/>
        </w:rPr>
        <w:t>.</w:t>
      </w:r>
      <w:r w:rsidRPr="00FF3C31">
        <w:rPr>
          <w:rFonts w:ascii="Arial" w:eastAsia="Times New Roman" w:hAnsi="Arial" w:cs="Arial"/>
          <w:sz w:val="20"/>
          <w:szCs w:val="20"/>
        </w:rPr>
        <w:t xml:space="preserve"> je </w:t>
      </w:r>
      <w:r>
        <w:rPr>
          <w:rFonts w:ascii="Arial" w:eastAsia="Times New Roman" w:hAnsi="Arial" w:cs="Arial"/>
          <w:sz w:val="20"/>
          <w:szCs w:val="20"/>
        </w:rPr>
        <w:t>68,8</w:t>
      </w:r>
      <w:r w:rsidRPr="00FF3C31">
        <w:rPr>
          <w:rFonts w:ascii="Arial" w:eastAsia="Times New Roman" w:hAnsi="Arial" w:cs="Arial"/>
          <w:b/>
          <w:bCs/>
          <w:sz w:val="20"/>
          <w:szCs w:val="20"/>
        </w:rPr>
        <w:t>%</w:t>
      </w:r>
      <w:r w:rsidRPr="00FF3C31">
        <w:rPr>
          <w:rFonts w:ascii="Arial" w:eastAsia="Times New Roman" w:hAnsi="Arial" w:cs="Arial"/>
          <w:sz w:val="20"/>
          <w:szCs w:val="20"/>
        </w:rPr>
        <w:t>.</w:t>
      </w:r>
    </w:p>
    <w:p w14:paraId="422218C8" w14:textId="77777777" w:rsidR="007D4E38" w:rsidRPr="00FF3C31" w:rsidRDefault="007D4E38" w:rsidP="008B3BA2">
      <w:pPr>
        <w:autoSpaceDE w:val="0"/>
        <w:autoSpaceDN w:val="0"/>
        <w:adjustRightInd w:val="0"/>
        <w:spacing w:after="0" w:line="240" w:lineRule="auto"/>
        <w:jc w:val="both"/>
        <w:rPr>
          <w:rFonts w:ascii="Arial" w:eastAsia="Times New Roman" w:hAnsi="Arial" w:cs="Arial"/>
          <w:sz w:val="20"/>
          <w:szCs w:val="20"/>
        </w:rPr>
      </w:pPr>
    </w:p>
    <w:p w14:paraId="72F69C46" w14:textId="3D80B362" w:rsidR="008B3BA2" w:rsidRPr="00FF3C31" w:rsidRDefault="008B3BA2">
      <w:pPr>
        <w:pStyle w:val="Odlomakpopisa"/>
        <w:numPr>
          <w:ilvl w:val="0"/>
          <w:numId w:val="22"/>
        </w:numPr>
        <w:autoSpaceDE w:val="0"/>
        <w:autoSpaceDN w:val="0"/>
        <w:adjustRightInd w:val="0"/>
        <w:rPr>
          <w:rFonts w:ascii="Arial" w:hAnsi="Arial" w:cs="Arial"/>
        </w:rPr>
      </w:pPr>
      <w:r w:rsidRPr="00FF3C31">
        <w:rPr>
          <w:rFonts w:ascii="Arial" w:hAnsi="Arial" w:cs="Arial"/>
        </w:rPr>
        <w:t xml:space="preserve">Financiranje </w:t>
      </w:r>
    </w:p>
    <w:p w14:paraId="79D61A0B" w14:textId="77777777" w:rsidR="008B3BA2" w:rsidRPr="00FF3C31" w:rsidRDefault="008B3BA2" w:rsidP="008B3BA2">
      <w:pPr>
        <w:autoSpaceDE w:val="0"/>
        <w:autoSpaceDN w:val="0"/>
        <w:adjustRightInd w:val="0"/>
        <w:spacing w:after="0" w:line="240" w:lineRule="auto"/>
        <w:jc w:val="both"/>
        <w:rPr>
          <w:rFonts w:ascii="Arial" w:eastAsia="Times New Roman" w:hAnsi="Arial" w:cs="Arial"/>
          <w:sz w:val="20"/>
          <w:szCs w:val="20"/>
        </w:rPr>
      </w:pPr>
    </w:p>
    <w:p w14:paraId="25B21880" w14:textId="0D6E9829" w:rsidR="008B3BA2" w:rsidRPr="00FF3C31" w:rsidRDefault="008B3BA2" w:rsidP="008B3BA2">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Konavosko komunalno društvo d.o.o. je dana 21.7.2023. s Ministarstvom gospodarstva i održivog razvoja, te Hrvatskim vodama (provedbeno tijelo) zaključilo Ugovor o sufinanciranju projekta, te ugovor o dodjeli bespovratnih sredstava za projekte koji se financiranju iz nacionalnog plana za oporavak i otpornost 2021.-2026. Ugovorena je provedba </w:t>
      </w:r>
      <w:r w:rsidRPr="00FF3C31">
        <w:rPr>
          <w:rFonts w:ascii="Arial" w:eastAsia="Times New Roman" w:hAnsi="Arial" w:cs="Arial"/>
          <w:b/>
          <w:bCs/>
          <w:sz w:val="20"/>
          <w:szCs w:val="20"/>
        </w:rPr>
        <w:t>projekta pod nazivom „Dogradnja kanalizacijske mreže u ulicama Frana Laureana i Jurja Dalmatinca, te u ulici S.S. Kranjčevića u Cavtatu“</w:t>
      </w:r>
      <w:r w:rsidRPr="00FF3C31">
        <w:rPr>
          <w:rFonts w:ascii="Arial" w:eastAsia="Times New Roman" w:hAnsi="Arial" w:cs="Arial"/>
          <w:sz w:val="20"/>
          <w:szCs w:val="20"/>
        </w:rPr>
        <w:t xml:space="preserve">. </w:t>
      </w:r>
    </w:p>
    <w:p w14:paraId="3C62ADC2" w14:textId="77777777" w:rsidR="008B3BA2" w:rsidRPr="00FF3C31" w:rsidRDefault="008B3BA2" w:rsidP="008B3BA2">
      <w:pPr>
        <w:autoSpaceDE w:val="0"/>
        <w:autoSpaceDN w:val="0"/>
        <w:adjustRightInd w:val="0"/>
        <w:spacing w:after="0" w:line="240" w:lineRule="auto"/>
        <w:jc w:val="both"/>
        <w:rPr>
          <w:rFonts w:ascii="Arial" w:eastAsia="Times New Roman" w:hAnsi="Arial" w:cs="Arial"/>
          <w:sz w:val="20"/>
          <w:szCs w:val="20"/>
        </w:rPr>
      </w:pPr>
    </w:p>
    <w:p w14:paraId="370D1FA6" w14:textId="77777777" w:rsidR="00D667BD" w:rsidRDefault="00D667BD" w:rsidP="00D667BD">
      <w:pPr>
        <w:autoSpaceDE w:val="0"/>
        <w:autoSpaceDN w:val="0"/>
        <w:adjustRightInd w:val="0"/>
        <w:spacing w:after="0" w:line="240" w:lineRule="auto"/>
        <w:jc w:val="both"/>
        <w:rPr>
          <w:rFonts w:ascii="Arial" w:eastAsia="Times New Roman" w:hAnsi="Arial" w:cs="Arial"/>
          <w:sz w:val="18"/>
          <w:szCs w:val="18"/>
        </w:rPr>
      </w:pPr>
    </w:p>
    <w:p w14:paraId="0D840457" w14:textId="6B5CF5AD" w:rsidR="00D667BD" w:rsidRPr="00720A0C" w:rsidRDefault="00D667BD" w:rsidP="00D667BD">
      <w:pPr>
        <w:autoSpaceDE w:val="0"/>
        <w:autoSpaceDN w:val="0"/>
        <w:adjustRightInd w:val="0"/>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Do konca 2024.godine odobrena su sredstva za sufinanciranje prihvatljivih troškova u iznosu </w:t>
      </w:r>
      <w:r w:rsidR="00C47FC4">
        <w:rPr>
          <w:rFonts w:ascii="Arial" w:eastAsia="Times New Roman" w:hAnsi="Arial" w:cs="Arial"/>
          <w:sz w:val="18"/>
          <w:szCs w:val="18"/>
        </w:rPr>
        <w:t>343.484,99</w:t>
      </w:r>
      <w:r>
        <w:rPr>
          <w:rFonts w:ascii="Arial" w:eastAsia="Times New Roman" w:hAnsi="Arial" w:cs="Arial"/>
          <w:sz w:val="18"/>
          <w:szCs w:val="18"/>
        </w:rPr>
        <w:t xml:space="preserve"> € (80 % EU sredstava i 10% sredstva Hrvatske vode) na temelju 11 zahtjeva za nadoknadom sredstava.</w:t>
      </w:r>
    </w:p>
    <w:p w14:paraId="61278626" w14:textId="77777777" w:rsidR="000B3888" w:rsidRDefault="000B3888" w:rsidP="000B3888">
      <w:pPr>
        <w:autoSpaceDE w:val="0"/>
        <w:autoSpaceDN w:val="0"/>
        <w:adjustRightInd w:val="0"/>
        <w:spacing w:after="0" w:line="240" w:lineRule="auto"/>
        <w:jc w:val="both"/>
        <w:rPr>
          <w:rFonts w:ascii="Arial" w:eastAsia="Times New Roman" w:hAnsi="Arial" w:cs="Arial"/>
          <w:sz w:val="20"/>
          <w:szCs w:val="20"/>
        </w:rPr>
      </w:pPr>
    </w:p>
    <w:p w14:paraId="290B717A" w14:textId="77777777" w:rsidR="00D667BD" w:rsidRPr="00FF3C31" w:rsidRDefault="00D667BD" w:rsidP="000B3888">
      <w:pPr>
        <w:autoSpaceDE w:val="0"/>
        <w:autoSpaceDN w:val="0"/>
        <w:adjustRightInd w:val="0"/>
        <w:spacing w:after="0" w:line="240" w:lineRule="auto"/>
        <w:jc w:val="both"/>
        <w:rPr>
          <w:rFonts w:ascii="Arial" w:eastAsia="Times New Roman" w:hAnsi="Arial" w:cs="Arial"/>
          <w:sz w:val="20"/>
          <w:szCs w:val="20"/>
        </w:rPr>
      </w:pPr>
    </w:p>
    <w:p w14:paraId="445241BC" w14:textId="0D618F60" w:rsidR="000B3888" w:rsidRPr="00FF3C31" w:rsidRDefault="000B3888" w:rsidP="000B3888">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b/>
          <w:sz w:val="20"/>
          <w:szCs w:val="20"/>
        </w:rPr>
        <w:t>K209429: Izgradnja / sanacija vodovodne mreže Palje Brdo</w:t>
      </w:r>
      <w:r w:rsidRPr="00FF3C31">
        <w:rPr>
          <w:rFonts w:ascii="Arial" w:eastAsia="Times New Roman" w:hAnsi="Arial" w:cs="Arial"/>
          <w:sz w:val="20"/>
          <w:szCs w:val="20"/>
        </w:rPr>
        <w:t xml:space="preserve"> </w:t>
      </w:r>
    </w:p>
    <w:p w14:paraId="22B0B2A6" w14:textId="77777777" w:rsidR="000B3888" w:rsidRPr="00FF3C31" w:rsidRDefault="000B3888" w:rsidP="000B3888">
      <w:pPr>
        <w:autoSpaceDE w:val="0"/>
        <w:autoSpaceDN w:val="0"/>
        <w:adjustRightInd w:val="0"/>
        <w:spacing w:after="0" w:line="240" w:lineRule="auto"/>
        <w:jc w:val="both"/>
        <w:rPr>
          <w:rFonts w:ascii="Arial" w:eastAsia="Times New Roman" w:hAnsi="Arial" w:cs="Arial"/>
          <w:sz w:val="20"/>
          <w:szCs w:val="20"/>
        </w:rPr>
      </w:pPr>
    </w:p>
    <w:p w14:paraId="0C0219BA" w14:textId="74001642" w:rsidR="000B3888" w:rsidRPr="00FF3C31" w:rsidRDefault="000B3888" w:rsidP="000B3888">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Pokazatelj rezultata je: postotak dovršenosti izgradnje vodoopskrbne mreže </w:t>
      </w:r>
    </w:p>
    <w:p w14:paraId="47A19D42" w14:textId="66639244" w:rsidR="000B3888" w:rsidRPr="00FF3C31" w:rsidRDefault="000B3888" w:rsidP="000B3888">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=0%</w:t>
      </w:r>
    </w:p>
    <w:p w14:paraId="1E1AB8A8" w14:textId="36D39D8D" w:rsidR="000B3888" w:rsidRPr="00FF3C31" w:rsidRDefault="000B3888" w:rsidP="000B3888">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Ciljna vrijednost za 2023. = 0%, za 2024. = 100%, za 2025. = 100%</w:t>
      </w:r>
    </w:p>
    <w:p w14:paraId="022ACA0B" w14:textId="77777777" w:rsidR="000B3888" w:rsidRPr="00FF3C31" w:rsidRDefault="000B3888" w:rsidP="000B3888">
      <w:pPr>
        <w:autoSpaceDE w:val="0"/>
        <w:autoSpaceDN w:val="0"/>
        <w:adjustRightInd w:val="0"/>
        <w:spacing w:after="0" w:line="240" w:lineRule="auto"/>
        <w:jc w:val="both"/>
        <w:rPr>
          <w:rFonts w:ascii="Arial" w:eastAsia="Times New Roman" w:hAnsi="Arial" w:cs="Arial"/>
          <w:sz w:val="20"/>
          <w:szCs w:val="20"/>
        </w:rPr>
      </w:pPr>
    </w:p>
    <w:p w14:paraId="3E95C6A3" w14:textId="77777777" w:rsidR="000B3888" w:rsidRPr="00FF3C31" w:rsidRDefault="000B3888" w:rsidP="000B3888">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Nositelj projekta je društvo u vlasništvu Općine, Konavosko komunalno društvo d.o.o. Međutim, navedeno bi se sufinanciralo iz sredstava javnog isporučitelja (Konavosko komunalno društvo d.o.o.), sufinanciranjem Hrvatskih voda, sredstvima Općine do 20%. </w:t>
      </w:r>
    </w:p>
    <w:p w14:paraId="12F22F5D" w14:textId="77777777" w:rsidR="000B3888" w:rsidRPr="00FF3C31" w:rsidRDefault="000B3888" w:rsidP="000B3888">
      <w:pPr>
        <w:autoSpaceDE w:val="0"/>
        <w:autoSpaceDN w:val="0"/>
        <w:adjustRightInd w:val="0"/>
        <w:spacing w:after="0" w:line="240" w:lineRule="auto"/>
        <w:jc w:val="both"/>
        <w:rPr>
          <w:rFonts w:ascii="Arial" w:eastAsia="Times New Roman" w:hAnsi="Arial" w:cs="Arial"/>
          <w:sz w:val="20"/>
          <w:szCs w:val="20"/>
        </w:rPr>
      </w:pPr>
    </w:p>
    <w:p w14:paraId="51F0291F" w14:textId="55388D49" w:rsidR="000B3888" w:rsidRPr="00FF3C31" w:rsidRDefault="000B3888" w:rsidP="008B3BA2">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Isporučitelj usluga je </w:t>
      </w:r>
      <w:r w:rsidR="00DE4932" w:rsidRPr="00FF3C31">
        <w:rPr>
          <w:rFonts w:ascii="Arial" w:eastAsia="Times New Roman" w:hAnsi="Arial" w:cs="Arial"/>
          <w:sz w:val="20"/>
          <w:szCs w:val="20"/>
        </w:rPr>
        <w:t xml:space="preserve">s izvoditeljem (Miletić d.o.o.) </w:t>
      </w:r>
      <w:r w:rsidRPr="00FF3C31">
        <w:rPr>
          <w:rFonts w:ascii="Arial" w:eastAsia="Times New Roman" w:hAnsi="Arial" w:cs="Arial"/>
          <w:sz w:val="20"/>
          <w:szCs w:val="20"/>
        </w:rPr>
        <w:t>zaključio ugovor o obavljanju radova sanacije cjevovoda za vodoopskrbu Pavlje Brdo u travnju 202</w:t>
      </w:r>
      <w:r w:rsidR="00DE4932" w:rsidRPr="00FF3C31">
        <w:rPr>
          <w:rFonts w:ascii="Arial" w:eastAsia="Times New Roman" w:hAnsi="Arial" w:cs="Arial"/>
          <w:sz w:val="20"/>
          <w:szCs w:val="20"/>
        </w:rPr>
        <w:t>4</w:t>
      </w:r>
      <w:r w:rsidRPr="00FF3C31">
        <w:rPr>
          <w:rFonts w:ascii="Arial" w:eastAsia="Times New Roman" w:hAnsi="Arial" w:cs="Arial"/>
          <w:sz w:val="20"/>
          <w:szCs w:val="20"/>
        </w:rPr>
        <w:t xml:space="preserve">. godine u iznosu 55.960 € što s porezom na dodanu vrijednost čini 69.950 €. Ugovoreni rok izvedbe radova je 6 mjeseci od dana uvođenja u posao. </w:t>
      </w:r>
      <w:r w:rsidR="00DE4932" w:rsidRPr="00FF3C31">
        <w:rPr>
          <w:rFonts w:ascii="Arial" w:eastAsia="Times New Roman" w:hAnsi="Arial" w:cs="Arial"/>
          <w:sz w:val="20"/>
          <w:szCs w:val="20"/>
        </w:rPr>
        <w:t>Nadzor nad izvođenjem radova (Ured ovlaštenje inženjerke građevinarstva, Ivana Rustan Franić) ugovoren je u travnju 2024. godine u iznosu 1.700 € što s porezom na dodanu vrijednost čini 2.125 €.</w:t>
      </w:r>
    </w:p>
    <w:p w14:paraId="4462E7E2" w14:textId="77777777" w:rsidR="000B3888" w:rsidRPr="00FF3C31" w:rsidRDefault="000B3888" w:rsidP="008B3BA2">
      <w:pPr>
        <w:autoSpaceDE w:val="0"/>
        <w:autoSpaceDN w:val="0"/>
        <w:adjustRightInd w:val="0"/>
        <w:spacing w:after="0" w:line="240" w:lineRule="auto"/>
        <w:jc w:val="both"/>
        <w:rPr>
          <w:rFonts w:ascii="Arial" w:eastAsia="Times New Roman" w:hAnsi="Arial" w:cs="Arial"/>
          <w:sz w:val="20"/>
          <w:szCs w:val="20"/>
        </w:rPr>
      </w:pPr>
    </w:p>
    <w:p w14:paraId="2898A8A0" w14:textId="759DA310" w:rsidR="006A2B71" w:rsidRPr="00FF3C31" w:rsidRDefault="006A2B71" w:rsidP="006A2B71">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Izvoditelj je </w:t>
      </w:r>
      <w:r w:rsidR="007D4E38">
        <w:rPr>
          <w:rFonts w:ascii="Arial" w:eastAsia="Times New Roman" w:hAnsi="Arial" w:cs="Arial"/>
          <w:sz w:val="20"/>
          <w:szCs w:val="20"/>
        </w:rPr>
        <w:t xml:space="preserve">u </w:t>
      </w:r>
      <w:r w:rsidRPr="00FF3C31">
        <w:rPr>
          <w:rFonts w:ascii="Arial" w:eastAsia="Times New Roman" w:hAnsi="Arial" w:cs="Arial"/>
          <w:sz w:val="20"/>
          <w:szCs w:val="20"/>
        </w:rPr>
        <w:t xml:space="preserve">2024. ispostavio </w:t>
      </w:r>
      <w:r w:rsidR="007D4E38">
        <w:rPr>
          <w:rFonts w:ascii="Arial" w:eastAsia="Times New Roman" w:hAnsi="Arial" w:cs="Arial"/>
          <w:sz w:val="20"/>
          <w:szCs w:val="20"/>
        </w:rPr>
        <w:t>4</w:t>
      </w:r>
      <w:r w:rsidRPr="00FF3C31">
        <w:rPr>
          <w:rFonts w:ascii="Arial" w:eastAsia="Times New Roman" w:hAnsi="Arial" w:cs="Arial"/>
          <w:sz w:val="20"/>
          <w:szCs w:val="20"/>
        </w:rPr>
        <w:t xml:space="preserve"> privremene </w:t>
      </w:r>
      <w:r w:rsidR="007D4E38">
        <w:rPr>
          <w:rFonts w:ascii="Arial" w:eastAsia="Times New Roman" w:hAnsi="Arial" w:cs="Arial"/>
          <w:sz w:val="20"/>
          <w:szCs w:val="20"/>
        </w:rPr>
        <w:t xml:space="preserve">i okončanu </w:t>
      </w:r>
      <w:r w:rsidRPr="00FF3C31">
        <w:rPr>
          <w:rFonts w:ascii="Arial" w:eastAsia="Times New Roman" w:hAnsi="Arial" w:cs="Arial"/>
          <w:sz w:val="20"/>
          <w:szCs w:val="20"/>
        </w:rPr>
        <w:t>situacij</w:t>
      </w:r>
      <w:r w:rsidR="007D4E38">
        <w:rPr>
          <w:rFonts w:ascii="Arial" w:eastAsia="Times New Roman" w:hAnsi="Arial" w:cs="Arial"/>
          <w:sz w:val="20"/>
          <w:szCs w:val="20"/>
        </w:rPr>
        <w:t>u</w:t>
      </w:r>
      <w:r w:rsidRPr="00FF3C31">
        <w:rPr>
          <w:rFonts w:ascii="Arial" w:eastAsia="Times New Roman" w:hAnsi="Arial" w:cs="Arial"/>
          <w:sz w:val="20"/>
          <w:szCs w:val="20"/>
        </w:rPr>
        <w:t xml:space="preserve"> u ukupnom iznosu </w:t>
      </w:r>
      <w:r w:rsidR="007D4E38">
        <w:rPr>
          <w:rFonts w:ascii="Arial" w:eastAsia="Times New Roman" w:hAnsi="Arial" w:cs="Arial"/>
          <w:sz w:val="20"/>
          <w:szCs w:val="20"/>
        </w:rPr>
        <w:t>55.575,19</w:t>
      </w:r>
      <w:r w:rsidRPr="00FF3C31">
        <w:rPr>
          <w:rFonts w:ascii="Arial" w:eastAsia="Times New Roman" w:hAnsi="Arial" w:cs="Arial"/>
          <w:sz w:val="20"/>
          <w:szCs w:val="20"/>
        </w:rPr>
        <w:t xml:space="preserve"> €, bez poreza na dodanu vrijednost (</w:t>
      </w:r>
      <w:r w:rsidR="007D4E38">
        <w:rPr>
          <w:rFonts w:ascii="Arial" w:eastAsia="Times New Roman" w:hAnsi="Arial" w:cs="Arial"/>
          <w:sz w:val="20"/>
          <w:szCs w:val="20"/>
        </w:rPr>
        <w:t>69.468,99</w:t>
      </w:r>
      <w:r w:rsidRPr="00FF3C31">
        <w:rPr>
          <w:rFonts w:ascii="Arial" w:eastAsia="Times New Roman" w:hAnsi="Arial" w:cs="Arial"/>
          <w:sz w:val="20"/>
          <w:szCs w:val="20"/>
        </w:rPr>
        <w:t xml:space="preserve"> € s PDV-om). Za obavljanje stručnog nadzora nad izvođenjem radova su ispostavljeni računi u ukupnom iznosu </w:t>
      </w:r>
      <w:r w:rsidR="007D4E38">
        <w:rPr>
          <w:rFonts w:ascii="Arial" w:eastAsia="Times New Roman" w:hAnsi="Arial" w:cs="Arial"/>
          <w:sz w:val="20"/>
          <w:szCs w:val="20"/>
        </w:rPr>
        <w:t>1.666,25</w:t>
      </w:r>
      <w:r w:rsidRPr="00FF3C31">
        <w:rPr>
          <w:rFonts w:ascii="Arial" w:eastAsia="Times New Roman" w:hAnsi="Arial" w:cs="Arial"/>
          <w:sz w:val="20"/>
          <w:szCs w:val="20"/>
        </w:rPr>
        <w:t xml:space="preserve"> €, bez poreza na dodanu vrijednost odnosno </w:t>
      </w:r>
      <w:r w:rsidR="007D4E38">
        <w:rPr>
          <w:rFonts w:ascii="Arial" w:eastAsia="Times New Roman" w:hAnsi="Arial" w:cs="Arial"/>
          <w:sz w:val="20"/>
          <w:szCs w:val="20"/>
        </w:rPr>
        <w:t>2.082,81</w:t>
      </w:r>
      <w:r w:rsidRPr="00FF3C31">
        <w:rPr>
          <w:rFonts w:ascii="Arial" w:eastAsia="Times New Roman" w:hAnsi="Arial" w:cs="Arial"/>
          <w:sz w:val="20"/>
          <w:szCs w:val="20"/>
        </w:rPr>
        <w:t xml:space="preserve"> € s </w:t>
      </w:r>
      <w:r w:rsidRPr="00FF3C31">
        <w:rPr>
          <w:rFonts w:ascii="Arial" w:eastAsia="Times New Roman" w:hAnsi="Arial" w:cs="Arial"/>
          <w:sz w:val="20"/>
          <w:szCs w:val="20"/>
        </w:rPr>
        <w:lastRenderedPageBreak/>
        <w:t xml:space="preserve">PDV-om. </w:t>
      </w:r>
      <w:r w:rsidR="00E304B1">
        <w:rPr>
          <w:rFonts w:ascii="Arial" w:eastAsia="Times New Roman" w:hAnsi="Arial" w:cs="Arial"/>
          <w:sz w:val="20"/>
          <w:szCs w:val="20"/>
        </w:rPr>
        <w:t>Okončana situacija je ispostavljena u iznosu 2.136,04 €</w:t>
      </w:r>
      <w:r w:rsidR="00E304B1" w:rsidRPr="00E304B1">
        <w:rPr>
          <w:rFonts w:ascii="Arial" w:eastAsia="Times New Roman" w:hAnsi="Arial" w:cs="Arial"/>
          <w:sz w:val="20"/>
          <w:szCs w:val="20"/>
        </w:rPr>
        <w:t xml:space="preserve"> </w:t>
      </w:r>
      <w:r w:rsidR="00E304B1" w:rsidRPr="00FF3C31">
        <w:rPr>
          <w:rFonts w:ascii="Arial" w:eastAsia="Times New Roman" w:hAnsi="Arial" w:cs="Arial"/>
          <w:sz w:val="20"/>
          <w:szCs w:val="20"/>
        </w:rPr>
        <w:t>bez poreza na dodanu vrijednost</w:t>
      </w:r>
      <w:r w:rsidR="00E304B1">
        <w:rPr>
          <w:rFonts w:ascii="Arial" w:eastAsia="Times New Roman" w:hAnsi="Arial" w:cs="Arial"/>
          <w:sz w:val="20"/>
          <w:szCs w:val="20"/>
        </w:rPr>
        <w:t>, odnosno sveukupno 55.575,19 €, bez poreza na dodanu vrijednost. Okončana situacija za usluge nadzora ispostavljena je u iznosu 64 €, bez poreza na dodanu vrijednost.</w:t>
      </w:r>
    </w:p>
    <w:p w14:paraId="79F13393" w14:textId="77777777" w:rsidR="006A2B71" w:rsidRPr="00FF3C31" w:rsidRDefault="006A2B71" w:rsidP="008B3BA2">
      <w:pPr>
        <w:autoSpaceDE w:val="0"/>
        <w:autoSpaceDN w:val="0"/>
        <w:adjustRightInd w:val="0"/>
        <w:spacing w:after="0" w:line="240" w:lineRule="auto"/>
        <w:jc w:val="both"/>
        <w:rPr>
          <w:rFonts w:ascii="Arial" w:eastAsia="Times New Roman" w:hAnsi="Arial" w:cs="Arial"/>
          <w:sz w:val="20"/>
          <w:szCs w:val="20"/>
        </w:rPr>
      </w:pPr>
    </w:p>
    <w:p w14:paraId="7B43552C" w14:textId="3E96878E" w:rsidR="000B3888" w:rsidRDefault="007D4E38" w:rsidP="008B3BA2">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Općina je u 2024. godini doznačila društvu sredstva za izgradnju vodovodne mreže u iznosu 55.041,40 €</w:t>
      </w:r>
      <w:r w:rsidR="00DF47F2">
        <w:rPr>
          <w:rFonts w:ascii="Arial" w:eastAsia="Times New Roman" w:hAnsi="Arial" w:cs="Arial"/>
          <w:sz w:val="20"/>
          <w:szCs w:val="20"/>
        </w:rPr>
        <w:t>.</w:t>
      </w:r>
    </w:p>
    <w:p w14:paraId="061CCBA3" w14:textId="4D64D1D4" w:rsidR="00E304B1" w:rsidRDefault="00E304B1" w:rsidP="00E304B1">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Općina je u 2025 godini doznačila društvu sredstva za izgradnju vodovodne mreže u iznosu 2.200,04 €.</w:t>
      </w:r>
    </w:p>
    <w:p w14:paraId="68D614BA" w14:textId="77777777" w:rsidR="007D4E38" w:rsidRDefault="007D4E38" w:rsidP="008B3BA2">
      <w:pPr>
        <w:autoSpaceDE w:val="0"/>
        <w:autoSpaceDN w:val="0"/>
        <w:adjustRightInd w:val="0"/>
        <w:spacing w:after="0" w:line="240" w:lineRule="auto"/>
        <w:jc w:val="both"/>
        <w:rPr>
          <w:rFonts w:ascii="Arial" w:eastAsia="Times New Roman" w:hAnsi="Arial" w:cs="Arial"/>
          <w:sz w:val="20"/>
          <w:szCs w:val="20"/>
        </w:rPr>
      </w:pPr>
    </w:p>
    <w:p w14:paraId="4F903BC9" w14:textId="77777777" w:rsidR="007D4E38" w:rsidRPr="00FF3C31" w:rsidRDefault="007D4E38" w:rsidP="008B3BA2">
      <w:pPr>
        <w:autoSpaceDE w:val="0"/>
        <w:autoSpaceDN w:val="0"/>
        <w:adjustRightInd w:val="0"/>
        <w:spacing w:after="0" w:line="240" w:lineRule="auto"/>
        <w:jc w:val="both"/>
        <w:rPr>
          <w:rFonts w:ascii="Arial" w:eastAsia="Times New Roman" w:hAnsi="Arial" w:cs="Arial"/>
          <w:sz w:val="20"/>
          <w:szCs w:val="20"/>
        </w:rPr>
      </w:pPr>
    </w:p>
    <w:p w14:paraId="79561F36" w14:textId="61E8B04B" w:rsidR="0042412F" w:rsidRPr="00FF3C31" w:rsidRDefault="00992554" w:rsidP="0042412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Strateški c</w:t>
      </w:r>
      <w:r w:rsidR="0042412F" w:rsidRPr="00FF3C31">
        <w:rPr>
          <w:rFonts w:ascii="Arial" w:eastAsia="Times New Roman" w:hAnsi="Arial" w:cs="Arial"/>
          <w:b/>
          <w:sz w:val="20"/>
          <w:szCs w:val="20"/>
        </w:rPr>
        <w:t>ilj 2: Unaprjeđenje infrastrukture</w:t>
      </w:r>
    </w:p>
    <w:p w14:paraId="316AD05F" w14:textId="77777777" w:rsidR="0042412F" w:rsidRPr="00FF3C31" w:rsidRDefault="0042412F" w:rsidP="0042412F">
      <w:pPr>
        <w:autoSpaceDE w:val="0"/>
        <w:autoSpaceDN w:val="0"/>
        <w:adjustRightInd w:val="0"/>
        <w:spacing w:after="0" w:line="240" w:lineRule="auto"/>
        <w:jc w:val="both"/>
        <w:rPr>
          <w:rFonts w:ascii="Arial" w:eastAsia="Times New Roman" w:hAnsi="Arial" w:cs="Arial"/>
          <w:b/>
          <w:sz w:val="20"/>
          <w:szCs w:val="20"/>
          <w:u w:val="single"/>
        </w:rPr>
      </w:pPr>
    </w:p>
    <w:p w14:paraId="69C8AC58" w14:textId="77777777" w:rsidR="0042412F" w:rsidRPr="00FF3C31" w:rsidRDefault="0042412F" w:rsidP="0042412F">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Prioritet 2.2. Unaprjeđenje prostornog uređenja i komunalne infrastrukture</w:t>
      </w:r>
    </w:p>
    <w:p w14:paraId="60045612" w14:textId="77777777" w:rsidR="001314C1" w:rsidRPr="00FF3C31" w:rsidRDefault="001314C1" w:rsidP="0042412F">
      <w:pPr>
        <w:autoSpaceDE w:val="0"/>
        <w:autoSpaceDN w:val="0"/>
        <w:adjustRightInd w:val="0"/>
        <w:spacing w:after="0" w:line="240" w:lineRule="auto"/>
        <w:jc w:val="both"/>
        <w:rPr>
          <w:rFonts w:ascii="Arial" w:eastAsia="Times New Roman" w:hAnsi="Arial" w:cs="Arial"/>
          <w:sz w:val="20"/>
          <w:szCs w:val="20"/>
        </w:rPr>
      </w:pPr>
    </w:p>
    <w:p w14:paraId="5C56B2CA" w14:textId="77777777" w:rsidR="0042412F" w:rsidRPr="00FF3C31" w:rsidRDefault="0042412F" w:rsidP="0042412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Ovaj prioritet se ostvaruje kroz:</w:t>
      </w:r>
    </w:p>
    <w:p w14:paraId="0515DB95" w14:textId="77777777" w:rsidR="0042412F" w:rsidRPr="00FF3C31" w:rsidRDefault="0042412F" w:rsidP="0042412F">
      <w:pPr>
        <w:autoSpaceDE w:val="0"/>
        <w:autoSpaceDN w:val="0"/>
        <w:adjustRightInd w:val="0"/>
        <w:spacing w:after="0" w:line="240" w:lineRule="auto"/>
        <w:jc w:val="both"/>
        <w:rPr>
          <w:rFonts w:ascii="Arial" w:eastAsia="Times New Roman" w:hAnsi="Arial" w:cs="Arial"/>
          <w:sz w:val="20"/>
          <w:szCs w:val="20"/>
        </w:rPr>
      </w:pPr>
    </w:p>
    <w:p w14:paraId="50A1AD36" w14:textId="3C84DA0E" w:rsidR="001314C1" w:rsidRPr="00FF3C31" w:rsidRDefault="00A6652B" w:rsidP="003D787D">
      <w:pPr>
        <w:shd w:val="clear" w:color="auto" w:fill="BFBFBF" w:themeFill="background1" w:themeFillShade="BF"/>
        <w:autoSpaceDE w:val="0"/>
        <w:autoSpaceDN w:val="0"/>
        <w:adjustRightInd w:val="0"/>
        <w:ind w:left="360"/>
        <w:rPr>
          <w:rFonts w:ascii="Arial" w:hAnsi="Arial" w:cs="Arial"/>
          <w:b/>
          <w:bCs/>
          <w:sz w:val="20"/>
          <w:szCs w:val="20"/>
        </w:rPr>
      </w:pPr>
      <w:r w:rsidRPr="00FF3C31">
        <w:rPr>
          <w:rFonts w:ascii="Arial" w:hAnsi="Arial" w:cs="Arial"/>
          <w:b/>
          <w:bCs/>
          <w:sz w:val="20"/>
          <w:szCs w:val="20"/>
        </w:rPr>
        <w:t xml:space="preserve">2.2.1. </w:t>
      </w:r>
      <w:r w:rsidR="001314C1" w:rsidRPr="00FF3C31">
        <w:rPr>
          <w:rFonts w:ascii="Arial" w:hAnsi="Arial" w:cs="Arial"/>
          <w:b/>
          <w:bCs/>
          <w:sz w:val="20"/>
          <w:szCs w:val="20"/>
        </w:rPr>
        <w:t>Unaprjeđenje sustava gospodarenja otpadom</w:t>
      </w:r>
    </w:p>
    <w:p w14:paraId="0A3D3F7E" w14:textId="77777777" w:rsidR="0042412F" w:rsidRPr="00FF3C31" w:rsidRDefault="0042412F" w:rsidP="0042412F">
      <w:pPr>
        <w:autoSpaceDE w:val="0"/>
        <w:autoSpaceDN w:val="0"/>
        <w:adjustRightInd w:val="0"/>
        <w:spacing w:after="0" w:line="240" w:lineRule="auto"/>
        <w:jc w:val="both"/>
        <w:rPr>
          <w:rFonts w:ascii="Arial" w:eastAsia="Times New Roman" w:hAnsi="Arial" w:cs="Arial"/>
          <w:sz w:val="20"/>
          <w:szCs w:val="20"/>
        </w:rPr>
      </w:pPr>
    </w:p>
    <w:p w14:paraId="5F69E8BF" w14:textId="7F7FE603" w:rsidR="0042412F" w:rsidRPr="00FF3C31" w:rsidRDefault="0042412F" w:rsidP="004241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jc w:val="both"/>
        <w:rPr>
          <w:rFonts w:ascii="Arial" w:eastAsia="Times New Roman" w:hAnsi="Arial" w:cs="Arial"/>
          <w:sz w:val="20"/>
          <w:szCs w:val="20"/>
        </w:rPr>
      </w:pPr>
      <w:r w:rsidRPr="00FF3C31">
        <w:rPr>
          <w:rFonts w:ascii="Arial" w:eastAsia="Times New Roman" w:hAnsi="Arial" w:cs="Arial"/>
          <w:b/>
          <w:sz w:val="20"/>
          <w:szCs w:val="20"/>
        </w:rPr>
        <w:t>2.</w:t>
      </w:r>
      <w:r w:rsidR="001314C1" w:rsidRPr="00FF3C31">
        <w:rPr>
          <w:rFonts w:ascii="Arial" w:eastAsia="Times New Roman" w:hAnsi="Arial" w:cs="Arial"/>
          <w:b/>
          <w:sz w:val="20"/>
          <w:szCs w:val="20"/>
        </w:rPr>
        <w:t>2</w:t>
      </w:r>
      <w:r w:rsidRPr="00FF3C31">
        <w:rPr>
          <w:rFonts w:ascii="Arial" w:eastAsia="Times New Roman" w:hAnsi="Arial" w:cs="Arial"/>
          <w:b/>
          <w:sz w:val="20"/>
          <w:szCs w:val="20"/>
        </w:rPr>
        <w:t>.b)</w:t>
      </w:r>
      <w:r w:rsidRPr="00FF3C31">
        <w:rPr>
          <w:rFonts w:ascii="Arial" w:eastAsia="Times New Roman" w:hAnsi="Arial" w:cs="Arial"/>
          <w:b/>
          <w:sz w:val="20"/>
          <w:szCs w:val="20"/>
        </w:rPr>
        <w:tab/>
        <w:t>Program (2096) – Program gradnje građevina za gospodarenje komunalnim otpadom</w:t>
      </w:r>
    </w:p>
    <w:p w14:paraId="5720967C" w14:textId="77777777" w:rsidR="0042412F" w:rsidRPr="00FF3C31" w:rsidRDefault="0042412F" w:rsidP="0042412F">
      <w:pPr>
        <w:autoSpaceDE w:val="0"/>
        <w:autoSpaceDN w:val="0"/>
        <w:adjustRightInd w:val="0"/>
        <w:spacing w:after="0" w:line="240" w:lineRule="auto"/>
        <w:jc w:val="both"/>
        <w:rPr>
          <w:rFonts w:ascii="Arial" w:hAnsi="Arial" w:cs="Arial"/>
          <w:sz w:val="20"/>
          <w:szCs w:val="20"/>
        </w:rPr>
      </w:pPr>
    </w:p>
    <w:p w14:paraId="183A089D" w14:textId="77777777" w:rsidR="0042412F" w:rsidRPr="00FF3C31" w:rsidRDefault="0042412F" w:rsidP="0042412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hAnsi="Arial" w:cs="Arial"/>
          <w:sz w:val="20"/>
          <w:szCs w:val="20"/>
        </w:rPr>
      </w:pPr>
      <w:r w:rsidRPr="00FF3C31">
        <w:rPr>
          <w:rFonts w:ascii="Arial" w:hAnsi="Arial" w:cs="Arial"/>
          <w:b/>
          <w:sz w:val="20"/>
          <w:szCs w:val="20"/>
        </w:rPr>
        <w:t>T209604: Projektiranje, izgradnja i opremanje reciklažnog dvorišta za građevinski otpad</w:t>
      </w:r>
    </w:p>
    <w:p w14:paraId="0569224A" w14:textId="77777777" w:rsidR="0042412F" w:rsidRPr="00FF3C31" w:rsidRDefault="0042412F" w:rsidP="0042412F">
      <w:pPr>
        <w:autoSpaceDE w:val="0"/>
        <w:autoSpaceDN w:val="0"/>
        <w:adjustRightInd w:val="0"/>
        <w:spacing w:after="0" w:line="240" w:lineRule="auto"/>
        <w:jc w:val="both"/>
        <w:rPr>
          <w:rFonts w:ascii="Arial" w:hAnsi="Arial" w:cs="Arial"/>
          <w:sz w:val="20"/>
          <w:szCs w:val="20"/>
        </w:rPr>
      </w:pPr>
    </w:p>
    <w:p w14:paraId="2D552DA7" w14:textId="77777777" w:rsidR="0042412F" w:rsidRPr="00FF3C31" w:rsidRDefault="0042412F" w:rsidP="0042412F">
      <w:pPr>
        <w:autoSpaceDE w:val="0"/>
        <w:autoSpaceDN w:val="0"/>
        <w:adjustRightInd w:val="0"/>
        <w:spacing w:after="0" w:line="240" w:lineRule="auto"/>
        <w:jc w:val="both"/>
        <w:rPr>
          <w:rFonts w:ascii="Arial" w:hAnsi="Arial" w:cs="Arial"/>
          <w:sz w:val="20"/>
          <w:szCs w:val="20"/>
        </w:rPr>
      </w:pPr>
      <w:r w:rsidRPr="00FF3C31">
        <w:rPr>
          <w:rFonts w:ascii="Arial" w:hAnsi="Arial" w:cs="Arial"/>
          <w:sz w:val="20"/>
          <w:szCs w:val="20"/>
        </w:rPr>
        <w:t xml:space="preserve">Pokazatelj rezultata je: postotak izrađenosti projekta i postotak izgrađenosti i opremanja objekta </w:t>
      </w:r>
    </w:p>
    <w:p w14:paraId="37C51F0F" w14:textId="77777777" w:rsidR="0042412F" w:rsidRPr="00FF3C31" w:rsidRDefault="0042412F" w:rsidP="0042412F">
      <w:pPr>
        <w:autoSpaceDE w:val="0"/>
        <w:autoSpaceDN w:val="0"/>
        <w:adjustRightInd w:val="0"/>
        <w:spacing w:after="0" w:line="240" w:lineRule="auto"/>
        <w:jc w:val="both"/>
        <w:rPr>
          <w:rFonts w:ascii="Arial" w:hAnsi="Arial" w:cs="Arial"/>
          <w:sz w:val="20"/>
          <w:szCs w:val="20"/>
        </w:rPr>
      </w:pPr>
    </w:p>
    <w:p w14:paraId="20454F8D" w14:textId="77777777" w:rsidR="0042412F" w:rsidRPr="00FF3C31" w:rsidRDefault="0042412F" w:rsidP="0042412F">
      <w:pPr>
        <w:autoSpaceDE w:val="0"/>
        <w:autoSpaceDN w:val="0"/>
        <w:adjustRightInd w:val="0"/>
        <w:spacing w:after="0" w:line="240" w:lineRule="auto"/>
        <w:jc w:val="both"/>
        <w:rPr>
          <w:rFonts w:ascii="Arial" w:hAnsi="Arial" w:cs="Arial"/>
          <w:sz w:val="20"/>
          <w:szCs w:val="20"/>
        </w:rPr>
      </w:pPr>
      <w:r w:rsidRPr="00FF3C31">
        <w:rPr>
          <w:rFonts w:ascii="Arial" w:hAnsi="Arial" w:cs="Arial"/>
          <w:sz w:val="20"/>
          <w:szCs w:val="20"/>
        </w:rPr>
        <w:t>Polazna vrijednost 0% postotak dovršenosti projekta i 0% radova izgrađenosti i opremanja.</w:t>
      </w:r>
    </w:p>
    <w:p w14:paraId="1E09AA8B" w14:textId="2A9B35BE" w:rsidR="0042412F" w:rsidRPr="00FF3C31" w:rsidRDefault="0042412F" w:rsidP="0042412F">
      <w:pPr>
        <w:autoSpaceDE w:val="0"/>
        <w:autoSpaceDN w:val="0"/>
        <w:adjustRightInd w:val="0"/>
        <w:spacing w:after="0" w:line="240" w:lineRule="auto"/>
        <w:rPr>
          <w:rFonts w:ascii="Arial" w:eastAsia="Calibri" w:hAnsi="Arial" w:cs="Arial"/>
          <w:sz w:val="20"/>
          <w:szCs w:val="20"/>
        </w:rPr>
      </w:pPr>
      <w:r w:rsidRPr="00FF3C31">
        <w:rPr>
          <w:rFonts w:ascii="Arial" w:eastAsia="Calibri" w:hAnsi="Arial" w:cs="Arial"/>
          <w:sz w:val="20"/>
          <w:szCs w:val="20"/>
        </w:rPr>
        <w:t>Ciljna vrijednost za 202</w:t>
      </w:r>
      <w:r w:rsidR="00E5738B">
        <w:rPr>
          <w:rFonts w:ascii="Arial" w:eastAsia="Calibri" w:hAnsi="Arial" w:cs="Arial"/>
          <w:sz w:val="20"/>
          <w:szCs w:val="20"/>
        </w:rPr>
        <w:t>5</w:t>
      </w:r>
      <w:r w:rsidRPr="00FF3C31">
        <w:rPr>
          <w:rFonts w:ascii="Arial" w:eastAsia="Calibri" w:hAnsi="Arial" w:cs="Arial"/>
          <w:sz w:val="20"/>
          <w:szCs w:val="20"/>
        </w:rPr>
        <w:t xml:space="preserve">. = </w:t>
      </w:r>
      <w:r w:rsidR="003A3D59">
        <w:rPr>
          <w:rFonts w:ascii="Arial" w:eastAsia="Calibri" w:hAnsi="Arial" w:cs="Arial"/>
          <w:sz w:val="20"/>
          <w:szCs w:val="20"/>
        </w:rPr>
        <w:t>0</w:t>
      </w:r>
      <w:r w:rsidRPr="00FF3C31">
        <w:rPr>
          <w:rFonts w:ascii="Arial" w:eastAsia="Calibri" w:hAnsi="Arial" w:cs="Arial"/>
          <w:sz w:val="20"/>
          <w:szCs w:val="20"/>
        </w:rPr>
        <w:t xml:space="preserve">% dovršenosti projekta i 0% dovršenosti radova izgradnje i opremanja, </w:t>
      </w:r>
    </w:p>
    <w:p w14:paraId="73E0538F" w14:textId="7E8BE474" w:rsidR="0042412F" w:rsidRPr="00FF3C31" w:rsidRDefault="0042412F" w:rsidP="0042412F">
      <w:pPr>
        <w:autoSpaceDE w:val="0"/>
        <w:autoSpaceDN w:val="0"/>
        <w:adjustRightInd w:val="0"/>
        <w:spacing w:after="0" w:line="240" w:lineRule="auto"/>
        <w:rPr>
          <w:rFonts w:ascii="Arial" w:eastAsia="Calibri" w:hAnsi="Arial" w:cs="Arial"/>
          <w:sz w:val="20"/>
          <w:szCs w:val="20"/>
        </w:rPr>
      </w:pPr>
      <w:r w:rsidRPr="00FF3C31">
        <w:rPr>
          <w:rFonts w:ascii="Arial" w:eastAsia="Calibri" w:hAnsi="Arial" w:cs="Arial"/>
          <w:sz w:val="20"/>
          <w:szCs w:val="20"/>
        </w:rPr>
        <w:t>za 202</w:t>
      </w:r>
      <w:r w:rsidR="00E5738B">
        <w:rPr>
          <w:rFonts w:ascii="Arial" w:eastAsia="Calibri" w:hAnsi="Arial" w:cs="Arial"/>
          <w:sz w:val="20"/>
          <w:szCs w:val="20"/>
        </w:rPr>
        <w:t>6</w:t>
      </w:r>
      <w:r w:rsidRPr="00FF3C31">
        <w:rPr>
          <w:rFonts w:ascii="Arial" w:eastAsia="Calibri" w:hAnsi="Arial" w:cs="Arial"/>
          <w:sz w:val="20"/>
          <w:szCs w:val="20"/>
        </w:rPr>
        <w:t xml:space="preserve">. = </w:t>
      </w:r>
      <w:r w:rsidR="003A3D59">
        <w:rPr>
          <w:rFonts w:ascii="Arial" w:eastAsia="Calibri" w:hAnsi="Arial" w:cs="Arial"/>
          <w:sz w:val="20"/>
          <w:szCs w:val="20"/>
        </w:rPr>
        <w:t>0</w:t>
      </w:r>
      <w:r w:rsidRPr="00FF3C31">
        <w:rPr>
          <w:rFonts w:ascii="Arial" w:eastAsia="Calibri" w:hAnsi="Arial" w:cs="Arial"/>
          <w:sz w:val="20"/>
          <w:szCs w:val="20"/>
        </w:rPr>
        <w:t>%/</w:t>
      </w:r>
      <w:r w:rsidR="00E5738B">
        <w:rPr>
          <w:rFonts w:ascii="Arial" w:eastAsia="Calibri" w:hAnsi="Arial" w:cs="Arial"/>
          <w:sz w:val="20"/>
          <w:szCs w:val="20"/>
        </w:rPr>
        <w:t>6</w:t>
      </w:r>
      <w:r w:rsidRPr="00FF3C31">
        <w:rPr>
          <w:rFonts w:ascii="Arial" w:eastAsia="Calibri" w:hAnsi="Arial" w:cs="Arial"/>
          <w:sz w:val="20"/>
          <w:szCs w:val="20"/>
        </w:rPr>
        <w:t>0%, za 202</w:t>
      </w:r>
      <w:r w:rsidR="00E5738B">
        <w:rPr>
          <w:rFonts w:ascii="Arial" w:eastAsia="Calibri" w:hAnsi="Arial" w:cs="Arial"/>
          <w:sz w:val="20"/>
          <w:szCs w:val="20"/>
        </w:rPr>
        <w:t>7</w:t>
      </w:r>
      <w:r w:rsidRPr="00FF3C31">
        <w:rPr>
          <w:rFonts w:ascii="Arial" w:eastAsia="Calibri" w:hAnsi="Arial" w:cs="Arial"/>
          <w:sz w:val="20"/>
          <w:szCs w:val="20"/>
        </w:rPr>
        <w:t>. = 100%/</w:t>
      </w:r>
      <w:r w:rsidR="00E5738B">
        <w:rPr>
          <w:rFonts w:ascii="Arial" w:eastAsia="Calibri" w:hAnsi="Arial" w:cs="Arial"/>
          <w:sz w:val="20"/>
          <w:szCs w:val="20"/>
        </w:rPr>
        <w:t>1</w:t>
      </w:r>
      <w:r w:rsidR="003A3D59">
        <w:rPr>
          <w:rFonts w:ascii="Arial" w:eastAsia="Calibri" w:hAnsi="Arial" w:cs="Arial"/>
          <w:sz w:val="20"/>
          <w:szCs w:val="20"/>
        </w:rPr>
        <w:t>0</w:t>
      </w:r>
      <w:r w:rsidRPr="00FF3C31">
        <w:rPr>
          <w:rFonts w:ascii="Arial" w:eastAsia="Calibri" w:hAnsi="Arial" w:cs="Arial"/>
          <w:sz w:val="20"/>
          <w:szCs w:val="20"/>
        </w:rPr>
        <w:t>0%.</w:t>
      </w:r>
    </w:p>
    <w:p w14:paraId="7FF29692" w14:textId="4F7A9063" w:rsidR="0042412F" w:rsidRPr="00FF3C31" w:rsidRDefault="0042412F" w:rsidP="0042412F">
      <w:pPr>
        <w:autoSpaceDE w:val="0"/>
        <w:autoSpaceDN w:val="0"/>
        <w:adjustRightInd w:val="0"/>
        <w:spacing w:after="0" w:line="240" w:lineRule="auto"/>
        <w:jc w:val="both"/>
        <w:rPr>
          <w:rFonts w:ascii="Arial" w:hAnsi="Arial" w:cs="Arial"/>
          <w:sz w:val="20"/>
          <w:szCs w:val="20"/>
        </w:rPr>
      </w:pPr>
    </w:p>
    <w:p w14:paraId="18876889" w14:textId="29A634BF" w:rsidR="0042412F" w:rsidRPr="00EE21BE" w:rsidRDefault="0042412F" w:rsidP="0042412F">
      <w:pPr>
        <w:autoSpaceDE w:val="0"/>
        <w:autoSpaceDN w:val="0"/>
        <w:adjustRightInd w:val="0"/>
        <w:spacing w:after="0" w:line="240" w:lineRule="auto"/>
        <w:jc w:val="both"/>
        <w:rPr>
          <w:rFonts w:ascii="Arial" w:hAnsi="Arial" w:cs="Arial"/>
          <w:sz w:val="18"/>
          <w:szCs w:val="18"/>
        </w:rPr>
      </w:pPr>
      <w:r w:rsidRPr="00EE21BE">
        <w:rPr>
          <w:rFonts w:ascii="Arial" w:hAnsi="Arial" w:cs="Arial"/>
          <w:sz w:val="18"/>
          <w:szCs w:val="18"/>
        </w:rPr>
        <w:t>Nositelj projekta je Općina u suradnji s društvom u vlasništvu Općine (Čistoća i zelenilo Konavle). Planirana vrijednost investicije</w:t>
      </w:r>
      <w:r w:rsidR="003A3D59" w:rsidRPr="00EE21BE">
        <w:rPr>
          <w:rFonts w:ascii="Arial" w:hAnsi="Arial" w:cs="Arial"/>
          <w:sz w:val="18"/>
          <w:szCs w:val="18"/>
        </w:rPr>
        <w:t xml:space="preserve"> (ranijih godina)</w:t>
      </w:r>
      <w:r w:rsidRPr="00EE21BE">
        <w:rPr>
          <w:rFonts w:ascii="Arial" w:hAnsi="Arial" w:cs="Arial"/>
          <w:sz w:val="18"/>
          <w:szCs w:val="18"/>
        </w:rPr>
        <w:t xml:space="preserve"> je</w:t>
      </w:r>
      <w:r w:rsidR="003A3D59" w:rsidRPr="00EE21BE">
        <w:rPr>
          <w:rFonts w:ascii="Arial" w:hAnsi="Arial" w:cs="Arial"/>
          <w:sz w:val="18"/>
          <w:szCs w:val="18"/>
        </w:rPr>
        <w:t xml:space="preserve"> bila</w:t>
      </w:r>
      <w:r w:rsidRPr="00EE21BE">
        <w:rPr>
          <w:rFonts w:ascii="Arial" w:hAnsi="Arial" w:cs="Arial"/>
          <w:sz w:val="18"/>
          <w:szCs w:val="18"/>
        </w:rPr>
        <w:t xml:space="preserve"> 7.500.000 kn</w:t>
      </w:r>
      <w:r w:rsidR="00806E22" w:rsidRPr="00EE21BE">
        <w:rPr>
          <w:rFonts w:ascii="Arial" w:hAnsi="Arial" w:cs="Arial"/>
          <w:sz w:val="18"/>
          <w:szCs w:val="18"/>
        </w:rPr>
        <w:t xml:space="preserve"> (995.421,06 €)</w:t>
      </w:r>
      <w:r w:rsidRPr="00EE21BE">
        <w:rPr>
          <w:rFonts w:ascii="Arial" w:hAnsi="Arial" w:cs="Arial"/>
          <w:sz w:val="18"/>
          <w:szCs w:val="18"/>
        </w:rPr>
        <w:t xml:space="preserve">. Ovi rashodi se planiraju izvršavati slijedećih godina, a sufinanciranje je pretpostavljeno putem Fonda za zaštitu okoliša i energetsku učinkovitost i putem EU fondova. </w:t>
      </w:r>
    </w:p>
    <w:p w14:paraId="1DC20F3C" w14:textId="77777777" w:rsidR="0042412F" w:rsidRPr="00FF3C31" w:rsidRDefault="0042412F" w:rsidP="0042412F">
      <w:pPr>
        <w:autoSpaceDE w:val="0"/>
        <w:autoSpaceDN w:val="0"/>
        <w:adjustRightInd w:val="0"/>
        <w:spacing w:after="0" w:line="240" w:lineRule="auto"/>
        <w:jc w:val="both"/>
        <w:rPr>
          <w:rFonts w:ascii="Arial" w:eastAsia="Times New Roman" w:hAnsi="Arial" w:cs="Arial"/>
          <w:sz w:val="20"/>
          <w:szCs w:val="20"/>
        </w:rPr>
      </w:pPr>
    </w:p>
    <w:p w14:paraId="38CF44DE" w14:textId="525EAA01" w:rsidR="0042412F" w:rsidRPr="00FF3C31" w:rsidRDefault="0042412F" w:rsidP="0042412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U 202</w:t>
      </w:r>
      <w:r w:rsidR="003A3D59">
        <w:rPr>
          <w:rFonts w:ascii="Arial" w:eastAsia="Times New Roman" w:hAnsi="Arial" w:cs="Arial"/>
          <w:sz w:val="20"/>
          <w:szCs w:val="20"/>
        </w:rPr>
        <w:t>4</w:t>
      </w:r>
      <w:r w:rsidRPr="00FF3C31">
        <w:rPr>
          <w:rFonts w:ascii="Arial" w:eastAsia="Times New Roman" w:hAnsi="Arial" w:cs="Arial"/>
          <w:sz w:val="20"/>
          <w:szCs w:val="20"/>
        </w:rPr>
        <w:t>. nisu izvršavani rashodi u svezi reciklažnog dvorišta za građevinski otpad.</w:t>
      </w:r>
    </w:p>
    <w:p w14:paraId="0291CAD9" w14:textId="77777777" w:rsidR="0042412F" w:rsidRPr="00FF3C31" w:rsidRDefault="0042412F" w:rsidP="0042412F">
      <w:pPr>
        <w:autoSpaceDE w:val="0"/>
        <w:autoSpaceDN w:val="0"/>
        <w:adjustRightInd w:val="0"/>
        <w:spacing w:after="0" w:line="240" w:lineRule="auto"/>
        <w:rPr>
          <w:rFonts w:ascii="Arial" w:eastAsia="Calibri" w:hAnsi="Arial" w:cs="Arial"/>
          <w:sz w:val="20"/>
          <w:szCs w:val="20"/>
        </w:rPr>
      </w:pPr>
    </w:p>
    <w:p w14:paraId="2C887CEA" w14:textId="77777777" w:rsidR="00B91FC9" w:rsidRPr="00FF3C31" w:rsidRDefault="00B91FC9" w:rsidP="0042412F">
      <w:pPr>
        <w:autoSpaceDE w:val="0"/>
        <w:autoSpaceDN w:val="0"/>
        <w:adjustRightInd w:val="0"/>
        <w:spacing w:after="0" w:line="240" w:lineRule="auto"/>
        <w:rPr>
          <w:rFonts w:ascii="Arial" w:eastAsia="Calibri" w:hAnsi="Arial" w:cs="Arial"/>
          <w:sz w:val="20"/>
          <w:szCs w:val="20"/>
        </w:rPr>
      </w:pPr>
    </w:p>
    <w:p w14:paraId="6D9B32D2" w14:textId="540FBA83" w:rsidR="00B20566" w:rsidRPr="00FF3C31" w:rsidRDefault="00992554" w:rsidP="00B20566">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Strateški c</w:t>
      </w:r>
      <w:r w:rsidR="00B20566" w:rsidRPr="00FF3C31">
        <w:rPr>
          <w:rFonts w:ascii="Arial" w:eastAsia="Times New Roman" w:hAnsi="Arial" w:cs="Arial"/>
          <w:b/>
          <w:sz w:val="20"/>
          <w:szCs w:val="20"/>
        </w:rPr>
        <w:t xml:space="preserve">ilj </w:t>
      </w:r>
      <w:r w:rsidR="007F2ECE" w:rsidRPr="00FF3C31">
        <w:rPr>
          <w:rFonts w:ascii="Arial" w:eastAsia="Times New Roman" w:hAnsi="Arial" w:cs="Arial"/>
          <w:b/>
          <w:sz w:val="20"/>
          <w:szCs w:val="20"/>
        </w:rPr>
        <w:t>2</w:t>
      </w:r>
      <w:r w:rsidR="00B20566" w:rsidRPr="00FF3C31">
        <w:rPr>
          <w:rFonts w:ascii="Arial" w:eastAsia="Times New Roman" w:hAnsi="Arial" w:cs="Arial"/>
          <w:b/>
          <w:sz w:val="20"/>
          <w:szCs w:val="20"/>
        </w:rPr>
        <w:t xml:space="preserve">: </w:t>
      </w:r>
      <w:r w:rsidR="007F2ECE" w:rsidRPr="00FF3C31">
        <w:rPr>
          <w:rFonts w:ascii="Arial" w:eastAsia="Times New Roman" w:hAnsi="Arial" w:cs="Arial"/>
          <w:b/>
          <w:sz w:val="20"/>
          <w:szCs w:val="20"/>
        </w:rPr>
        <w:t>Unapređenje infrastrukture</w:t>
      </w:r>
    </w:p>
    <w:p w14:paraId="75F9A3B0" w14:textId="77777777" w:rsidR="00B20566" w:rsidRPr="00FF3C31" w:rsidRDefault="00B20566" w:rsidP="00B20566">
      <w:pPr>
        <w:autoSpaceDE w:val="0"/>
        <w:autoSpaceDN w:val="0"/>
        <w:adjustRightInd w:val="0"/>
        <w:spacing w:after="0" w:line="240" w:lineRule="auto"/>
        <w:jc w:val="both"/>
        <w:rPr>
          <w:rFonts w:ascii="Arial" w:eastAsia="Times New Roman" w:hAnsi="Arial" w:cs="Arial"/>
          <w:b/>
          <w:sz w:val="20"/>
          <w:szCs w:val="20"/>
          <w:u w:val="single"/>
        </w:rPr>
      </w:pPr>
    </w:p>
    <w:p w14:paraId="05098B74" w14:textId="1E3541D2" w:rsidR="00B20566" w:rsidRPr="00FF3C31" w:rsidRDefault="007F2ECE" w:rsidP="00B20566">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Prioritet</w:t>
      </w:r>
      <w:r w:rsidR="00B20566" w:rsidRPr="00FF3C31">
        <w:rPr>
          <w:rFonts w:ascii="Arial" w:eastAsia="Times New Roman" w:hAnsi="Arial" w:cs="Arial"/>
          <w:b/>
          <w:sz w:val="20"/>
          <w:szCs w:val="20"/>
        </w:rPr>
        <w:t xml:space="preserve"> </w:t>
      </w:r>
      <w:r w:rsidRPr="00FF3C31">
        <w:rPr>
          <w:rFonts w:ascii="Arial" w:eastAsia="Times New Roman" w:hAnsi="Arial" w:cs="Arial"/>
          <w:b/>
          <w:sz w:val="20"/>
          <w:szCs w:val="20"/>
        </w:rPr>
        <w:t>2.3.</w:t>
      </w:r>
      <w:r w:rsidR="00B20566" w:rsidRPr="00FF3C31">
        <w:rPr>
          <w:rFonts w:ascii="Arial" w:eastAsia="Times New Roman" w:hAnsi="Arial" w:cs="Arial"/>
          <w:b/>
          <w:sz w:val="20"/>
          <w:szCs w:val="20"/>
        </w:rPr>
        <w:t xml:space="preserve"> </w:t>
      </w:r>
      <w:r w:rsidRPr="00FF3C31">
        <w:rPr>
          <w:rFonts w:ascii="Arial" w:eastAsia="Times New Roman" w:hAnsi="Arial" w:cs="Arial"/>
          <w:b/>
          <w:sz w:val="20"/>
          <w:szCs w:val="20"/>
        </w:rPr>
        <w:t>Unapređenje društvene, kulturne i turističke infrastrukture</w:t>
      </w:r>
    </w:p>
    <w:p w14:paraId="23E82512" w14:textId="5DCDAE3E"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Ova</w:t>
      </w:r>
      <w:r w:rsidR="007F2ECE" w:rsidRPr="00FF3C31">
        <w:rPr>
          <w:rFonts w:ascii="Arial" w:eastAsia="Times New Roman" w:hAnsi="Arial" w:cs="Arial"/>
          <w:sz w:val="20"/>
          <w:szCs w:val="20"/>
        </w:rPr>
        <w:t>j prioritet</w:t>
      </w:r>
      <w:r w:rsidRPr="00FF3C31">
        <w:rPr>
          <w:rFonts w:ascii="Arial" w:eastAsia="Times New Roman" w:hAnsi="Arial" w:cs="Arial"/>
          <w:sz w:val="20"/>
          <w:szCs w:val="20"/>
        </w:rPr>
        <w:t xml:space="preserve"> se ostvaruje kroz:</w:t>
      </w:r>
    </w:p>
    <w:p w14:paraId="1BE2D991"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68C141BA" w14:textId="7A07816B" w:rsidR="00B20566" w:rsidRPr="00FF3C31" w:rsidRDefault="0004156F" w:rsidP="00B2056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2.3.</w:t>
      </w:r>
      <w:r w:rsidR="00B20566" w:rsidRPr="00FF3C31">
        <w:rPr>
          <w:rFonts w:ascii="Arial" w:eastAsia="Times New Roman" w:hAnsi="Arial" w:cs="Arial"/>
          <w:b/>
          <w:sz w:val="20"/>
          <w:szCs w:val="20"/>
        </w:rPr>
        <w:t xml:space="preserve"> a)</w:t>
      </w:r>
      <w:r w:rsidR="00B20566" w:rsidRPr="00FF3C31">
        <w:rPr>
          <w:rFonts w:ascii="Arial" w:eastAsia="Times New Roman" w:hAnsi="Arial" w:cs="Arial"/>
          <w:b/>
          <w:sz w:val="20"/>
          <w:szCs w:val="20"/>
        </w:rPr>
        <w:tab/>
        <w:t>Program (2073) – Pripremne aktivnosti u protupožarnoj zaštiti, te zaštita i spašavanje</w:t>
      </w:r>
    </w:p>
    <w:p w14:paraId="5903634C" w14:textId="77777777" w:rsidR="00B20566" w:rsidRPr="00FF3C31" w:rsidRDefault="00B20566" w:rsidP="00B20566">
      <w:pPr>
        <w:autoSpaceDE w:val="0"/>
        <w:autoSpaceDN w:val="0"/>
        <w:adjustRightInd w:val="0"/>
        <w:spacing w:after="0" w:line="240" w:lineRule="auto"/>
        <w:jc w:val="both"/>
        <w:rPr>
          <w:rFonts w:ascii="Arial" w:eastAsia="Times New Roman" w:hAnsi="Arial" w:cs="Arial"/>
          <w:b/>
          <w:sz w:val="20"/>
          <w:szCs w:val="20"/>
        </w:rPr>
      </w:pPr>
    </w:p>
    <w:p w14:paraId="72053592" w14:textId="47DFE53B"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lastRenderedPageBreak/>
        <w:t>a1)</w:t>
      </w:r>
      <w:r w:rsidRPr="00FF3C31">
        <w:rPr>
          <w:rFonts w:ascii="Arial" w:eastAsia="Times New Roman" w:hAnsi="Arial" w:cs="Arial"/>
          <w:sz w:val="20"/>
          <w:szCs w:val="20"/>
        </w:rPr>
        <w:tab/>
        <w:t>Kapitalni projekt (</w:t>
      </w:r>
      <w:r w:rsidR="001E6A71" w:rsidRPr="00FF3C31">
        <w:rPr>
          <w:rFonts w:ascii="Arial" w:eastAsia="Times New Roman" w:hAnsi="Arial" w:cs="Arial"/>
          <w:sz w:val="20"/>
          <w:szCs w:val="20"/>
        </w:rPr>
        <w:t>K207307</w:t>
      </w:r>
      <w:r w:rsidRPr="00FF3C31">
        <w:rPr>
          <w:rFonts w:ascii="Arial" w:eastAsia="Times New Roman" w:hAnsi="Arial" w:cs="Arial"/>
          <w:sz w:val="20"/>
          <w:szCs w:val="20"/>
        </w:rPr>
        <w:t>) Projektiranje i izgradnja Vatrogasnog edukacijskog centra</w:t>
      </w:r>
    </w:p>
    <w:p w14:paraId="4CE50F82" w14:textId="20E3106B"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41F999AF" w14:textId="016759BE" w:rsidR="007F2ECE" w:rsidRPr="00FF3C31" w:rsidRDefault="007F2ECE"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Također, kroz ovaj projekt </w:t>
      </w:r>
      <w:r w:rsidRPr="00FF3C31">
        <w:rPr>
          <w:rFonts w:ascii="Arial" w:eastAsia="Times New Roman" w:hAnsi="Arial" w:cs="Arial"/>
          <w:b/>
          <w:bCs/>
          <w:sz w:val="20"/>
          <w:szCs w:val="20"/>
        </w:rPr>
        <w:t xml:space="preserve">K207307 </w:t>
      </w:r>
      <w:r w:rsidRPr="00FF3C31">
        <w:rPr>
          <w:rFonts w:ascii="Arial" w:eastAsia="Times New Roman" w:hAnsi="Arial" w:cs="Arial"/>
          <w:sz w:val="20"/>
          <w:szCs w:val="20"/>
        </w:rPr>
        <w:t xml:space="preserve">ostvaruje se još jedan </w:t>
      </w:r>
      <w:r w:rsidR="002C794B" w:rsidRPr="00FF3C31">
        <w:rPr>
          <w:rFonts w:ascii="Arial" w:eastAsia="Times New Roman" w:hAnsi="Arial" w:cs="Arial"/>
          <w:sz w:val="20"/>
          <w:szCs w:val="20"/>
        </w:rPr>
        <w:t xml:space="preserve">još jedan cilj, odnosno prioritet: </w:t>
      </w:r>
    </w:p>
    <w:p w14:paraId="52328162" w14:textId="77777777" w:rsidR="002C794B" w:rsidRPr="00FF3C31" w:rsidRDefault="002C794B" w:rsidP="002C794B">
      <w:pPr>
        <w:autoSpaceDE w:val="0"/>
        <w:autoSpaceDN w:val="0"/>
        <w:adjustRightInd w:val="0"/>
        <w:spacing w:after="0" w:line="240" w:lineRule="auto"/>
        <w:jc w:val="both"/>
        <w:rPr>
          <w:rFonts w:ascii="Arial" w:eastAsia="Times New Roman" w:hAnsi="Arial" w:cs="Arial"/>
          <w:sz w:val="20"/>
          <w:szCs w:val="20"/>
        </w:rPr>
      </w:pPr>
    </w:p>
    <w:p w14:paraId="769A5AF9" w14:textId="179F5625" w:rsidR="002C794B" w:rsidRPr="00FF3C31" w:rsidRDefault="00992554" w:rsidP="002C794B">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Strateški c</w:t>
      </w:r>
      <w:r w:rsidR="002C794B" w:rsidRPr="00FF3C31">
        <w:rPr>
          <w:rFonts w:ascii="Arial" w:eastAsia="Times New Roman" w:hAnsi="Arial" w:cs="Arial"/>
          <w:b/>
          <w:sz w:val="20"/>
          <w:szCs w:val="20"/>
        </w:rPr>
        <w:t>ilj 3: Unapređenje kvalitete života i razvoj društvene zajednice na načelima kohezije i uključivosti</w:t>
      </w:r>
    </w:p>
    <w:p w14:paraId="1AA10283" w14:textId="77777777" w:rsidR="002C794B" w:rsidRPr="00FF3C31" w:rsidRDefault="002C794B" w:rsidP="002C794B">
      <w:pPr>
        <w:autoSpaceDE w:val="0"/>
        <w:autoSpaceDN w:val="0"/>
        <w:adjustRightInd w:val="0"/>
        <w:spacing w:after="0" w:line="240" w:lineRule="auto"/>
        <w:jc w:val="both"/>
        <w:rPr>
          <w:rFonts w:ascii="Arial" w:eastAsia="Times New Roman" w:hAnsi="Arial" w:cs="Arial"/>
          <w:b/>
          <w:sz w:val="20"/>
          <w:szCs w:val="20"/>
          <w:u w:val="single"/>
        </w:rPr>
      </w:pPr>
    </w:p>
    <w:p w14:paraId="2DEA1F67" w14:textId="27CB4131" w:rsidR="002C794B" w:rsidRPr="00FF3C31" w:rsidRDefault="002C794B" w:rsidP="002C794B">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Prioritet 3.6. Unapređenje sustava sigurnosti</w:t>
      </w:r>
    </w:p>
    <w:p w14:paraId="09C374A9" w14:textId="77777777" w:rsidR="002C794B" w:rsidRPr="00FF3C31" w:rsidRDefault="002C794B" w:rsidP="002C794B">
      <w:pPr>
        <w:autoSpaceDE w:val="0"/>
        <w:autoSpaceDN w:val="0"/>
        <w:adjustRightInd w:val="0"/>
        <w:spacing w:after="0" w:line="240" w:lineRule="auto"/>
        <w:jc w:val="both"/>
        <w:rPr>
          <w:rFonts w:ascii="Arial" w:eastAsia="Times New Roman" w:hAnsi="Arial" w:cs="Arial"/>
          <w:sz w:val="20"/>
          <w:szCs w:val="20"/>
        </w:rPr>
      </w:pPr>
    </w:p>
    <w:p w14:paraId="1534BA68" w14:textId="3DAA3657" w:rsidR="00EA624A" w:rsidRPr="00FF3C31" w:rsidRDefault="002C794B" w:rsidP="002C794B">
      <w:pPr>
        <w:shd w:val="clear" w:color="auto" w:fill="BFBFBF" w:themeFill="background1" w:themeFillShade="BF"/>
        <w:autoSpaceDE w:val="0"/>
        <w:autoSpaceDN w:val="0"/>
        <w:adjustRightInd w:val="0"/>
        <w:spacing w:after="0" w:line="240" w:lineRule="auto"/>
        <w:jc w:val="both"/>
        <w:rPr>
          <w:rFonts w:ascii="Arial" w:eastAsia="Times New Roman" w:hAnsi="Arial" w:cs="Arial"/>
          <w:b/>
          <w:bCs/>
          <w:sz w:val="20"/>
          <w:szCs w:val="20"/>
        </w:rPr>
      </w:pPr>
      <w:r w:rsidRPr="00FF3C31">
        <w:rPr>
          <w:rFonts w:ascii="Arial" w:eastAsia="Times New Roman" w:hAnsi="Arial" w:cs="Arial"/>
          <w:b/>
          <w:bCs/>
          <w:sz w:val="20"/>
          <w:szCs w:val="20"/>
        </w:rPr>
        <w:t>Mjera 3.6.2. Unaprjeđenje sustava protupožarne zaštite i vatrogastva</w:t>
      </w:r>
    </w:p>
    <w:p w14:paraId="39240B7D" w14:textId="36D9966C" w:rsidR="002C794B" w:rsidRPr="00FF3C31" w:rsidRDefault="002C794B" w:rsidP="00B20566">
      <w:pPr>
        <w:autoSpaceDE w:val="0"/>
        <w:autoSpaceDN w:val="0"/>
        <w:adjustRightInd w:val="0"/>
        <w:spacing w:after="0" w:line="240" w:lineRule="auto"/>
        <w:jc w:val="both"/>
        <w:rPr>
          <w:rFonts w:ascii="Arial" w:eastAsia="Times New Roman" w:hAnsi="Arial" w:cs="Arial"/>
          <w:sz w:val="20"/>
          <w:szCs w:val="20"/>
        </w:rPr>
      </w:pPr>
    </w:p>
    <w:p w14:paraId="3E95DA50" w14:textId="77777777" w:rsidR="00156E6C" w:rsidRPr="00FF3C31" w:rsidRDefault="00156E6C" w:rsidP="00156E6C">
      <w:pPr>
        <w:autoSpaceDE w:val="0"/>
        <w:autoSpaceDN w:val="0"/>
        <w:adjustRightInd w:val="0"/>
        <w:spacing w:after="0" w:line="240" w:lineRule="auto"/>
        <w:jc w:val="both"/>
        <w:rPr>
          <w:rFonts w:ascii="Arial" w:hAnsi="Arial" w:cs="Arial"/>
          <w:color w:val="0070C0"/>
          <w:sz w:val="20"/>
          <w:szCs w:val="20"/>
        </w:rPr>
      </w:pPr>
      <w:r w:rsidRPr="00FF3C31">
        <w:rPr>
          <w:rFonts w:ascii="Arial" w:hAnsi="Arial" w:cs="Arial"/>
          <w:color w:val="0070C0"/>
          <w:sz w:val="20"/>
          <w:szCs w:val="20"/>
        </w:rPr>
        <w:t>Provedba cilja i prioriteta iz ovog dijela je povezana s provedbom mjera i posebnih ciljeva iz Provedbenog programa pod točkom:</w:t>
      </w:r>
    </w:p>
    <w:p w14:paraId="15E4F4D3" w14:textId="77777777" w:rsidR="00156E6C" w:rsidRPr="00FF3C31" w:rsidRDefault="00156E6C" w:rsidP="00156E6C">
      <w:pPr>
        <w:autoSpaceDE w:val="0"/>
        <w:autoSpaceDN w:val="0"/>
        <w:adjustRightInd w:val="0"/>
        <w:spacing w:after="0" w:line="240" w:lineRule="auto"/>
        <w:ind w:firstLine="709"/>
        <w:jc w:val="both"/>
        <w:rPr>
          <w:rFonts w:ascii="Arial" w:hAnsi="Arial" w:cs="Arial"/>
          <w:color w:val="0070C0"/>
          <w:sz w:val="20"/>
          <w:szCs w:val="20"/>
        </w:rPr>
      </w:pPr>
      <w:r w:rsidRPr="00FF3C31">
        <w:rPr>
          <w:rFonts w:ascii="Arial" w:hAnsi="Arial" w:cs="Arial"/>
          <w:color w:val="0070C0"/>
          <w:sz w:val="20"/>
          <w:szCs w:val="20"/>
        </w:rPr>
        <w:t xml:space="preserve">- Prioriteta 4. Unapređenje upravljanja razvojem, </w:t>
      </w:r>
    </w:p>
    <w:p w14:paraId="0B90FA41" w14:textId="77777777" w:rsidR="00156E6C" w:rsidRPr="00FF3C31" w:rsidRDefault="00156E6C" w:rsidP="00156E6C">
      <w:pPr>
        <w:autoSpaceDE w:val="0"/>
        <w:autoSpaceDN w:val="0"/>
        <w:adjustRightInd w:val="0"/>
        <w:spacing w:after="0" w:line="240" w:lineRule="auto"/>
        <w:ind w:left="1418" w:firstLine="709"/>
        <w:jc w:val="both"/>
        <w:rPr>
          <w:rFonts w:ascii="Arial" w:hAnsi="Arial" w:cs="Arial"/>
          <w:color w:val="0070C0"/>
          <w:sz w:val="20"/>
          <w:szCs w:val="20"/>
        </w:rPr>
      </w:pPr>
      <w:r w:rsidRPr="00FF3C31">
        <w:rPr>
          <w:rFonts w:ascii="Arial" w:hAnsi="Arial" w:cs="Arial"/>
          <w:color w:val="0070C0"/>
          <w:sz w:val="20"/>
          <w:szCs w:val="20"/>
        </w:rPr>
        <w:t>-</w:t>
      </w:r>
      <w:r w:rsidRPr="00FF3C31">
        <w:rPr>
          <w:rFonts w:ascii="Arial" w:hAnsi="Arial" w:cs="Arial"/>
          <w:color w:val="0070C0"/>
          <w:sz w:val="20"/>
          <w:szCs w:val="20"/>
        </w:rPr>
        <w:tab/>
        <w:t xml:space="preserve">posebnim ciljem 4.2. Povećanje sposobnosti institucija u pogledu odgovora na krizne situacije, </w:t>
      </w:r>
    </w:p>
    <w:p w14:paraId="53DD3A8C" w14:textId="77777777" w:rsidR="00156E6C" w:rsidRPr="00FF3C31" w:rsidRDefault="00156E6C" w:rsidP="00156E6C">
      <w:pPr>
        <w:autoSpaceDE w:val="0"/>
        <w:autoSpaceDN w:val="0"/>
        <w:adjustRightInd w:val="0"/>
        <w:spacing w:after="0" w:line="240" w:lineRule="auto"/>
        <w:ind w:left="2836" w:firstLine="709"/>
        <w:jc w:val="both"/>
        <w:rPr>
          <w:rFonts w:ascii="Arial" w:hAnsi="Arial" w:cs="Arial"/>
          <w:color w:val="0070C0"/>
          <w:sz w:val="20"/>
          <w:szCs w:val="20"/>
        </w:rPr>
      </w:pPr>
      <w:r w:rsidRPr="00FF3C31">
        <w:rPr>
          <w:rFonts w:ascii="Arial" w:hAnsi="Arial" w:cs="Arial"/>
          <w:color w:val="0070C0"/>
          <w:sz w:val="20"/>
          <w:szCs w:val="20"/>
        </w:rPr>
        <w:t xml:space="preserve">mjerom 4.2.1. Poboljšanje sustava vatrogastva. </w:t>
      </w:r>
    </w:p>
    <w:p w14:paraId="15D24460" w14:textId="77777777" w:rsidR="00156E6C" w:rsidRPr="00FF3C31" w:rsidRDefault="00156E6C" w:rsidP="00B20566">
      <w:pPr>
        <w:autoSpaceDE w:val="0"/>
        <w:autoSpaceDN w:val="0"/>
        <w:adjustRightInd w:val="0"/>
        <w:spacing w:after="0" w:line="240" w:lineRule="auto"/>
        <w:jc w:val="both"/>
        <w:rPr>
          <w:rFonts w:ascii="Arial" w:eastAsia="Times New Roman" w:hAnsi="Arial" w:cs="Arial"/>
          <w:sz w:val="20"/>
          <w:szCs w:val="20"/>
        </w:rPr>
      </w:pPr>
    </w:p>
    <w:p w14:paraId="546C892C" w14:textId="77777777" w:rsidR="002C794B" w:rsidRPr="00FF3C31" w:rsidRDefault="002C794B" w:rsidP="00B20566">
      <w:pPr>
        <w:autoSpaceDE w:val="0"/>
        <w:autoSpaceDN w:val="0"/>
        <w:adjustRightInd w:val="0"/>
        <w:spacing w:after="0" w:line="240" w:lineRule="auto"/>
        <w:jc w:val="both"/>
        <w:rPr>
          <w:rFonts w:ascii="Arial" w:eastAsia="Times New Roman" w:hAnsi="Arial" w:cs="Arial"/>
          <w:sz w:val="20"/>
          <w:szCs w:val="20"/>
        </w:rPr>
      </w:pPr>
    </w:p>
    <w:p w14:paraId="0A90D69B" w14:textId="163B0B19" w:rsidR="00B20566" w:rsidRPr="00FF3C31" w:rsidRDefault="00B20566" w:rsidP="00B20566">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 xml:space="preserve">K207307 Projektiranje i izgradnja </w:t>
      </w:r>
      <w:r w:rsidR="003D787D" w:rsidRPr="00FF3C31">
        <w:rPr>
          <w:rFonts w:ascii="Arial" w:eastAsia="Times New Roman" w:hAnsi="Arial" w:cs="Arial"/>
          <w:b/>
          <w:sz w:val="20"/>
          <w:szCs w:val="20"/>
        </w:rPr>
        <w:t>zajedničkog vatrogasnog doma i spremišta – Vatrogasni dom Gruda</w:t>
      </w:r>
    </w:p>
    <w:p w14:paraId="7185ACC1"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30416E03"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Pokazatelj rezultata je: postotak dovršenosti centra s vježbalištem – poligon za vatrogasce i heliodrom.</w:t>
      </w:r>
    </w:p>
    <w:p w14:paraId="59263358"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100% završenost projekta i 0% završenost izgradnje</w:t>
      </w:r>
    </w:p>
    <w:p w14:paraId="298C9109" w14:textId="4EC4998D" w:rsidR="00B20566" w:rsidRPr="00FF3C31" w:rsidRDefault="006F5B42" w:rsidP="00B20566">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C</w:t>
      </w:r>
      <w:r w:rsidR="00B20566" w:rsidRPr="00FF3C31">
        <w:rPr>
          <w:rFonts w:ascii="Arial" w:eastAsia="Times New Roman" w:hAnsi="Arial" w:cs="Arial"/>
          <w:sz w:val="20"/>
          <w:szCs w:val="20"/>
        </w:rPr>
        <w:t>iljna vrijednost 202</w:t>
      </w:r>
      <w:r w:rsidR="00E5738B">
        <w:rPr>
          <w:rFonts w:ascii="Arial" w:eastAsia="Times New Roman" w:hAnsi="Arial" w:cs="Arial"/>
          <w:sz w:val="20"/>
          <w:szCs w:val="20"/>
        </w:rPr>
        <w:t>5</w:t>
      </w:r>
      <w:r w:rsidR="00B20566" w:rsidRPr="00FF3C31">
        <w:rPr>
          <w:rFonts w:ascii="Arial" w:eastAsia="Times New Roman" w:hAnsi="Arial" w:cs="Arial"/>
          <w:sz w:val="20"/>
          <w:szCs w:val="20"/>
        </w:rPr>
        <w:t xml:space="preserve">. = </w:t>
      </w:r>
      <w:r w:rsidRPr="00FF3C31">
        <w:rPr>
          <w:rFonts w:ascii="Arial" w:eastAsia="Times New Roman" w:hAnsi="Arial" w:cs="Arial"/>
          <w:sz w:val="20"/>
          <w:szCs w:val="20"/>
        </w:rPr>
        <w:t>100</w:t>
      </w:r>
      <w:r w:rsidR="00B20566" w:rsidRPr="00FF3C31">
        <w:rPr>
          <w:rFonts w:ascii="Arial" w:eastAsia="Times New Roman" w:hAnsi="Arial" w:cs="Arial"/>
          <w:sz w:val="20"/>
          <w:szCs w:val="20"/>
        </w:rPr>
        <w:t xml:space="preserve"> % završenost izgradnje, za 202</w:t>
      </w:r>
      <w:r w:rsidR="00E5738B">
        <w:rPr>
          <w:rFonts w:ascii="Arial" w:eastAsia="Times New Roman" w:hAnsi="Arial" w:cs="Arial"/>
          <w:sz w:val="20"/>
          <w:szCs w:val="20"/>
        </w:rPr>
        <w:t>6</w:t>
      </w:r>
      <w:r w:rsidR="00B20566" w:rsidRPr="00FF3C31">
        <w:rPr>
          <w:rFonts w:ascii="Arial" w:eastAsia="Times New Roman" w:hAnsi="Arial" w:cs="Arial"/>
          <w:sz w:val="20"/>
          <w:szCs w:val="20"/>
        </w:rPr>
        <w:t>. = 100%, 202</w:t>
      </w:r>
      <w:r w:rsidR="00E5738B">
        <w:rPr>
          <w:rFonts w:ascii="Arial" w:eastAsia="Times New Roman" w:hAnsi="Arial" w:cs="Arial"/>
          <w:sz w:val="20"/>
          <w:szCs w:val="20"/>
        </w:rPr>
        <w:t>7</w:t>
      </w:r>
      <w:r w:rsidR="00B20566" w:rsidRPr="00FF3C31">
        <w:rPr>
          <w:rFonts w:ascii="Arial" w:eastAsia="Times New Roman" w:hAnsi="Arial" w:cs="Arial"/>
          <w:sz w:val="20"/>
          <w:szCs w:val="20"/>
        </w:rPr>
        <w:t>. = 100%</w:t>
      </w:r>
    </w:p>
    <w:p w14:paraId="10A4C67C" w14:textId="77777777" w:rsidR="00B20566" w:rsidRPr="00FF3C31" w:rsidRDefault="00B20566" w:rsidP="00B20566">
      <w:pPr>
        <w:autoSpaceDE w:val="0"/>
        <w:autoSpaceDN w:val="0"/>
        <w:adjustRightInd w:val="0"/>
        <w:spacing w:after="0" w:line="240" w:lineRule="auto"/>
        <w:jc w:val="both"/>
        <w:rPr>
          <w:rFonts w:ascii="Arial" w:eastAsia="Times New Roman" w:hAnsi="Arial" w:cs="Arial"/>
          <w:sz w:val="20"/>
          <w:szCs w:val="20"/>
        </w:rPr>
      </w:pPr>
    </w:p>
    <w:p w14:paraId="1C5F5013" w14:textId="700ED54B"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U 2016. su započeti poslovi izrade projekta. Procijenjena vrijednost investicije: 4.270.000 kn</w:t>
      </w:r>
      <w:r w:rsidR="003A3D59" w:rsidRPr="00EE21BE">
        <w:rPr>
          <w:rFonts w:ascii="Arial" w:eastAsia="Times New Roman" w:hAnsi="Arial" w:cs="Arial"/>
          <w:sz w:val="18"/>
          <w:szCs w:val="18"/>
        </w:rPr>
        <w:t xml:space="preserve"> / 566.726,39 €</w:t>
      </w:r>
      <w:r w:rsidRPr="00EE21BE">
        <w:rPr>
          <w:rFonts w:ascii="Arial" w:eastAsia="Times New Roman" w:hAnsi="Arial" w:cs="Arial"/>
          <w:sz w:val="18"/>
          <w:szCs w:val="18"/>
        </w:rPr>
        <w:t>.</w:t>
      </w:r>
    </w:p>
    <w:p w14:paraId="179C56CE" w14:textId="77777777"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p>
    <w:p w14:paraId="63BAD15C" w14:textId="5F4A62E0"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U </w:t>
      </w:r>
      <w:r w:rsidRPr="00EE21BE">
        <w:rPr>
          <w:rFonts w:ascii="Arial" w:eastAsia="Times New Roman" w:hAnsi="Arial" w:cs="Arial"/>
          <w:b/>
          <w:sz w:val="18"/>
          <w:szCs w:val="18"/>
        </w:rPr>
        <w:t>2017.</w:t>
      </w:r>
      <w:r w:rsidRPr="00EE21BE">
        <w:rPr>
          <w:rFonts w:ascii="Arial" w:eastAsia="Times New Roman" w:hAnsi="Arial" w:cs="Arial"/>
          <w:sz w:val="18"/>
          <w:szCs w:val="18"/>
        </w:rPr>
        <w:t xml:space="preserve"> ukupno izvršeni rashodi za ovaj projekt iznose 670.109,17 kn</w:t>
      </w:r>
      <w:r w:rsidR="003A3D59" w:rsidRPr="00EE21BE">
        <w:rPr>
          <w:rFonts w:ascii="Arial" w:eastAsia="Times New Roman" w:hAnsi="Arial" w:cs="Arial"/>
          <w:sz w:val="18"/>
          <w:szCs w:val="18"/>
        </w:rPr>
        <w:t xml:space="preserve"> / 88.938,77 €</w:t>
      </w:r>
      <w:r w:rsidRPr="00EE21BE">
        <w:rPr>
          <w:rFonts w:ascii="Arial" w:eastAsia="Times New Roman" w:hAnsi="Arial" w:cs="Arial"/>
          <w:sz w:val="18"/>
          <w:szCs w:val="18"/>
        </w:rPr>
        <w:t>. Dakle, tijekom 2017. je plaćena suglasnost za priključenja doma na elektroenergetsku mrežu u iznosu 101.250 kn. U 2017. je otkupljen dio zemljišta (dio č.zem. 1255 z.ul. 867 k.o. Gruda 1.492,59 m²) od fizičke osobe za izgradnju doma u ukupnom iznosu 120.109,17 kn</w:t>
      </w:r>
      <w:r w:rsidR="003A3D59" w:rsidRPr="00EE21BE">
        <w:rPr>
          <w:rFonts w:ascii="Arial" w:eastAsia="Times New Roman" w:hAnsi="Arial" w:cs="Arial"/>
          <w:sz w:val="18"/>
          <w:szCs w:val="18"/>
        </w:rPr>
        <w:t xml:space="preserve"> / 15.941,23 €</w:t>
      </w:r>
      <w:r w:rsidRPr="00EE21BE">
        <w:rPr>
          <w:rFonts w:ascii="Arial" w:eastAsia="Times New Roman" w:hAnsi="Arial" w:cs="Arial"/>
          <w:sz w:val="18"/>
          <w:szCs w:val="18"/>
        </w:rPr>
        <w:t>. Također, izrađena je projektno tehnička dokumentacija za vatrogasni centar u iznosu 248.750 kn</w:t>
      </w:r>
      <w:r w:rsidR="003A3D59" w:rsidRPr="00EE21BE">
        <w:rPr>
          <w:rFonts w:ascii="Arial" w:eastAsia="Times New Roman" w:hAnsi="Arial" w:cs="Arial"/>
          <w:sz w:val="18"/>
          <w:szCs w:val="18"/>
        </w:rPr>
        <w:t xml:space="preserve"> / 33.014,80 €</w:t>
      </w:r>
      <w:r w:rsidRPr="00EE21BE">
        <w:rPr>
          <w:rFonts w:ascii="Arial" w:eastAsia="Times New Roman" w:hAnsi="Arial" w:cs="Arial"/>
          <w:sz w:val="18"/>
          <w:szCs w:val="18"/>
        </w:rPr>
        <w:t>, s porezom na dodanu vrijednost i projektno tehnička dokumentacija za pristupnu prometnicu do centra u iznosu 200.000 kn</w:t>
      </w:r>
      <w:r w:rsidR="003A3D59" w:rsidRPr="00EE21BE">
        <w:rPr>
          <w:rFonts w:ascii="Arial" w:eastAsia="Times New Roman" w:hAnsi="Arial" w:cs="Arial"/>
          <w:sz w:val="18"/>
          <w:szCs w:val="18"/>
        </w:rPr>
        <w:t xml:space="preserve"> / 26.544,56 €</w:t>
      </w:r>
      <w:r w:rsidRPr="00EE21BE">
        <w:rPr>
          <w:rFonts w:ascii="Arial" w:eastAsia="Times New Roman" w:hAnsi="Arial" w:cs="Arial"/>
          <w:sz w:val="18"/>
          <w:szCs w:val="18"/>
        </w:rPr>
        <w:t>, s porezom na dodanu vrijednost.</w:t>
      </w:r>
    </w:p>
    <w:p w14:paraId="10FE9CED" w14:textId="77777777"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p>
    <w:p w14:paraId="12D6F629" w14:textId="77777777"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Dubrovačko-neretvanska županija, Upravni odjel za prostorno uređenje i gradnju izdala je 18.9.2017.godine </w:t>
      </w:r>
      <w:r w:rsidRPr="00EE21BE">
        <w:rPr>
          <w:rFonts w:ascii="Arial" w:eastAsia="Times New Roman" w:hAnsi="Arial" w:cs="Arial"/>
          <w:b/>
          <w:sz w:val="18"/>
          <w:szCs w:val="18"/>
          <w:u w:val="single"/>
        </w:rPr>
        <w:t>građevinsku dozvolu</w:t>
      </w:r>
      <w:r w:rsidRPr="00EE21BE">
        <w:rPr>
          <w:rFonts w:ascii="Arial" w:eastAsia="Times New Roman" w:hAnsi="Arial" w:cs="Arial"/>
          <w:sz w:val="18"/>
          <w:szCs w:val="18"/>
        </w:rPr>
        <w:t xml:space="preserve"> za izgradnju vatrogasnog edukacijskog centra Gruda. Predmet izgradnje je izgradnja vatrogasnog doma i prilazne prometnice sa parkiralištem, na građevnoj čestici 1264/1 k.o. Gruda. Zgrada vatrogasnog edukacijskog centra je ukupne katnosti podrum, prizemlje i kat površine 1.632 m². </w:t>
      </w:r>
    </w:p>
    <w:p w14:paraId="7919426C" w14:textId="77777777" w:rsidR="003A3D59" w:rsidRPr="00EE21BE" w:rsidRDefault="003A3D59" w:rsidP="00B20566">
      <w:pPr>
        <w:autoSpaceDE w:val="0"/>
        <w:autoSpaceDN w:val="0"/>
        <w:adjustRightInd w:val="0"/>
        <w:spacing w:after="0" w:line="240" w:lineRule="auto"/>
        <w:jc w:val="both"/>
        <w:rPr>
          <w:rFonts w:ascii="Arial" w:eastAsia="Times New Roman" w:hAnsi="Arial" w:cs="Arial"/>
          <w:sz w:val="18"/>
          <w:szCs w:val="18"/>
        </w:rPr>
      </w:pPr>
    </w:p>
    <w:p w14:paraId="60DBDFFF" w14:textId="35318AE4" w:rsidR="00571566" w:rsidRPr="00EE21BE" w:rsidRDefault="00B20566" w:rsidP="003A3D59">
      <w:pPr>
        <w:pStyle w:val="Odlomakpopisa"/>
        <w:numPr>
          <w:ilvl w:val="0"/>
          <w:numId w:val="5"/>
        </w:numPr>
        <w:autoSpaceDE w:val="0"/>
        <w:autoSpaceDN w:val="0"/>
        <w:adjustRightInd w:val="0"/>
        <w:rPr>
          <w:rFonts w:ascii="Arial" w:hAnsi="Arial" w:cs="Arial"/>
          <w:sz w:val="18"/>
          <w:szCs w:val="18"/>
        </w:rPr>
      </w:pPr>
      <w:r w:rsidRPr="00EE21BE">
        <w:rPr>
          <w:rFonts w:ascii="Arial" w:hAnsi="Arial" w:cs="Arial"/>
          <w:b/>
          <w:sz w:val="18"/>
          <w:szCs w:val="18"/>
          <w:u w:val="single"/>
        </w:rPr>
        <w:t>Građevinska dozvola</w:t>
      </w:r>
      <w:r w:rsidRPr="00EE21BE">
        <w:rPr>
          <w:rFonts w:ascii="Arial" w:hAnsi="Arial" w:cs="Arial"/>
          <w:sz w:val="18"/>
          <w:szCs w:val="18"/>
        </w:rPr>
        <w:t xml:space="preserve"> za izgradnju vatrogasnog doma; KLASA: UP/I-361-03/17-01/000175; URBROJ:2117/1-23/1-2-17-7, Konavle, 18.9.2017. (PRAVOMOĆNA 13. listopada 2017.).</w:t>
      </w:r>
      <w:r w:rsidR="00571566" w:rsidRPr="00EE21BE">
        <w:rPr>
          <w:rFonts w:ascii="Arial" w:hAnsi="Arial" w:cs="Arial"/>
          <w:sz w:val="18"/>
          <w:szCs w:val="18"/>
        </w:rPr>
        <w:t xml:space="preserve"> Rješenje o produženju važenja građevinske dozvole izdano je 8.9.2020. (pravomoćno 6.10.2020.).</w:t>
      </w:r>
    </w:p>
    <w:p w14:paraId="533CB663" w14:textId="77777777" w:rsidR="00571566" w:rsidRPr="00EE21BE" w:rsidRDefault="00571566" w:rsidP="00B20566">
      <w:pPr>
        <w:autoSpaceDE w:val="0"/>
        <w:autoSpaceDN w:val="0"/>
        <w:adjustRightInd w:val="0"/>
        <w:spacing w:after="0" w:line="240" w:lineRule="auto"/>
        <w:jc w:val="both"/>
        <w:rPr>
          <w:rFonts w:ascii="Arial" w:eastAsia="Times New Roman" w:hAnsi="Arial" w:cs="Arial"/>
          <w:sz w:val="18"/>
          <w:szCs w:val="18"/>
        </w:rPr>
      </w:pPr>
    </w:p>
    <w:p w14:paraId="3E4137C2" w14:textId="7C41AA7A"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U 2018. godini su izvršeni rashodi u iznosu 10.202,83 kn </w:t>
      </w:r>
      <w:r w:rsidR="003A3D59" w:rsidRPr="00EE21BE">
        <w:rPr>
          <w:rFonts w:ascii="Arial" w:eastAsia="Times New Roman" w:hAnsi="Arial" w:cs="Arial"/>
          <w:sz w:val="18"/>
          <w:szCs w:val="18"/>
        </w:rPr>
        <w:t xml:space="preserve">/ 1.354,15 € </w:t>
      </w:r>
      <w:r w:rsidRPr="00EE21BE">
        <w:rPr>
          <w:rFonts w:ascii="Arial" w:eastAsia="Times New Roman" w:hAnsi="Arial" w:cs="Arial"/>
          <w:sz w:val="18"/>
          <w:szCs w:val="18"/>
        </w:rPr>
        <w:t xml:space="preserve">koji se odnose na plaćanje troškova vodnog doprinosa u iznosu 7.265,60 kn </w:t>
      </w:r>
      <w:r w:rsidR="003A3D59" w:rsidRPr="00EE21BE">
        <w:rPr>
          <w:rFonts w:ascii="Arial" w:eastAsia="Times New Roman" w:hAnsi="Arial" w:cs="Arial"/>
          <w:sz w:val="18"/>
          <w:szCs w:val="18"/>
        </w:rPr>
        <w:t xml:space="preserve">/ 964,31 € </w:t>
      </w:r>
      <w:r w:rsidRPr="00EE21BE">
        <w:rPr>
          <w:rFonts w:ascii="Arial" w:eastAsia="Times New Roman" w:hAnsi="Arial" w:cs="Arial"/>
          <w:sz w:val="18"/>
          <w:szCs w:val="18"/>
        </w:rPr>
        <w:t>i troškovi priključka električne energije i izdavanja elektroenergetske suglasnosti u iznosu 2.937,23 kn</w:t>
      </w:r>
      <w:r w:rsidR="003A3D59" w:rsidRPr="00EE21BE">
        <w:rPr>
          <w:rFonts w:ascii="Arial" w:eastAsia="Times New Roman" w:hAnsi="Arial" w:cs="Arial"/>
          <w:sz w:val="18"/>
          <w:szCs w:val="18"/>
        </w:rPr>
        <w:t xml:space="preserve"> / 389.84 €</w:t>
      </w:r>
      <w:r w:rsidRPr="00EE21BE">
        <w:rPr>
          <w:rFonts w:ascii="Arial" w:eastAsia="Times New Roman" w:hAnsi="Arial" w:cs="Arial"/>
          <w:sz w:val="18"/>
          <w:szCs w:val="18"/>
        </w:rPr>
        <w:t>.</w:t>
      </w:r>
    </w:p>
    <w:p w14:paraId="6704E238" w14:textId="77777777"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p>
    <w:p w14:paraId="416768E4" w14:textId="2E82938B"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Općini Konavle odobrena su EU sredstva za projekt izgradnje Vatrogasnog doma na Grudi. Ukupna vrijednost projekta je 12.097.345,98 kuna</w:t>
      </w:r>
      <w:r w:rsidR="003A3D59" w:rsidRPr="00EE21BE">
        <w:rPr>
          <w:rFonts w:ascii="Arial" w:eastAsia="Times New Roman" w:hAnsi="Arial" w:cs="Arial"/>
          <w:sz w:val="18"/>
          <w:szCs w:val="18"/>
        </w:rPr>
        <w:t xml:space="preserve"> / 1.605.593,73 €</w:t>
      </w:r>
      <w:r w:rsidRPr="00EE21BE">
        <w:rPr>
          <w:rFonts w:ascii="Arial" w:eastAsia="Times New Roman" w:hAnsi="Arial" w:cs="Arial"/>
          <w:sz w:val="18"/>
          <w:szCs w:val="18"/>
        </w:rPr>
        <w:t>, a intenzitet potpore 80 posto ukupnih prihvatljivih troškova odnosno 9.109.402,70 kuna</w:t>
      </w:r>
      <w:r w:rsidR="003A3D59" w:rsidRPr="00EE21BE">
        <w:rPr>
          <w:rFonts w:ascii="Arial" w:eastAsia="Times New Roman" w:hAnsi="Arial" w:cs="Arial"/>
          <w:sz w:val="18"/>
          <w:szCs w:val="18"/>
        </w:rPr>
        <w:t xml:space="preserve"> / 1.209.025,51 €</w:t>
      </w:r>
      <w:r w:rsidRPr="00EE21BE">
        <w:rPr>
          <w:rFonts w:ascii="Arial" w:eastAsia="Times New Roman" w:hAnsi="Arial" w:cs="Arial"/>
          <w:sz w:val="18"/>
          <w:szCs w:val="18"/>
        </w:rPr>
        <w:t xml:space="preserve"> bespovratnih sredstava EU. Projekt se financira iz Programa ruralnog razvija RH, M07 </w:t>
      </w:r>
      <w:r w:rsidR="00EE21BE">
        <w:rPr>
          <w:rFonts w:ascii="Arial" w:eastAsia="Times New Roman" w:hAnsi="Arial" w:cs="Arial"/>
          <w:sz w:val="18"/>
          <w:szCs w:val="18"/>
        </w:rPr>
        <w:t>–</w:t>
      </w:r>
      <w:r w:rsidRPr="00EE21BE">
        <w:rPr>
          <w:rFonts w:ascii="Arial" w:eastAsia="Times New Roman" w:hAnsi="Arial" w:cs="Arial"/>
          <w:sz w:val="18"/>
          <w:szCs w:val="18"/>
        </w:rPr>
        <w:t xml:space="preserve"> Temeljne usluge i obnova sela u ruralnim područjima, Sektor “Zajednički vatrogasni domovi”, kao zajednički projekt Općine Konavle i Općine Župa dubrovačka. U zgradi vatrogasnog doma je </w:t>
      </w:r>
      <w:r w:rsidRPr="00EE21BE">
        <w:rPr>
          <w:rFonts w:ascii="Arial" w:eastAsia="Times New Roman" w:hAnsi="Arial" w:cs="Arial"/>
          <w:sz w:val="18"/>
          <w:szCs w:val="18"/>
        </w:rPr>
        <w:lastRenderedPageBreak/>
        <w:t>prostor za smještaj i boravak vatrogasaca te drugih interventnih i sigurnosnih službi, kao i smještaj te skladištenje odgovarajućih sredstava zaštite, vodeći pritom računa da je osigurana njihova stalna spremnost za brzu i efikasnu reakciju u slučaju nesreće.</w:t>
      </w:r>
    </w:p>
    <w:p w14:paraId="372FD7E8" w14:textId="243B2A2D" w:rsidR="00B20566" w:rsidRPr="00EE21BE" w:rsidRDefault="003A3D59"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G</w:t>
      </w:r>
      <w:r w:rsidR="00B20566" w:rsidRPr="00EE21BE">
        <w:rPr>
          <w:rFonts w:ascii="Arial" w:eastAsia="Times New Roman" w:hAnsi="Arial" w:cs="Arial"/>
          <w:sz w:val="18"/>
          <w:szCs w:val="18"/>
        </w:rPr>
        <w:t xml:space="preserve">araža </w:t>
      </w:r>
      <w:r w:rsidRPr="00EE21BE">
        <w:rPr>
          <w:rFonts w:ascii="Arial" w:eastAsia="Times New Roman" w:hAnsi="Arial" w:cs="Arial"/>
          <w:sz w:val="18"/>
          <w:szCs w:val="18"/>
        </w:rPr>
        <w:t xml:space="preserve">je </w:t>
      </w:r>
      <w:r w:rsidR="00B20566" w:rsidRPr="00EE21BE">
        <w:rPr>
          <w:rFonts w:ascii="Arial" w:eastAsia="Times New Roman" w:hAnsi="Arial" w:cs="Arial"/>
          <w:sz w:val="18"/>
          <w:szCs w:val="18"/>
        </w:rPr>
        <w:t>kapaciteta za sedam vatrogasnih vozila, od kojih je jedno parkirno mjesto predviđeno i za servisiranje i održavanje vozila. Izgradnjom vatrogasnog doma na Grudi osigura</w:t>
      </w:r>
      <w:r w:rsidRPr="00EE21BE">
        <w:rPr>
          <w:rFonts w:ascii="Arial" w:eastAsia="Times New Roman" w:hAnsi="Arial" w:cs="Arial"/>
          <w:sz w:val="18"/>
          <w:szCs w:val="18"/>
        </w:rPr>
        <w:t>va</w:t>
      </w:r>
      <w:r w:rsidR="00B20566" w:rsidRPr="00EE21BE">
        <w:rPr>
          <w:rFonts w:ascii="Arial" w:eastAsia="Times New Roman" w:hAnsi="Arial" w:cs="Arial"/>
          <w:sz w:val="18"/>
          <w:szCs w:val="18"/>
        </w:rPr>
        <w:t xml:space="preserve"> se kvalitetan prostor za obuku vatrogasnih i interventnih snaga koje sudjeluju u akcijama zaštite i spašavanja te borbe protiv požara. Također, maksimalno </w:t>
      </w:r>
      <w:r w:rsidRPr="00EE21BE">
        <w:rPr>
          <w:rFonts w:ascii="Arial" w:eastAsia="Times New Roman" w:hAnsi="Arial" w:cs="Arial"/>
          <w:sz w:val="18"/>
          <w:szCs w:val="18"/>
        </w:rPr>
        <w:t>se podiže</w:t>
      </w:r>
      <w:r w:rsidR="00B20566" w:rsidRPr="00EE21BE">
        <w:rPr>
          <w:rFonts w:ascii="Arial" w:eastAsia="Times New Roman" w:hAnsi="Arial" w:cs="Arial"/>
          <w:sz w:val="18"/>
          <w:szCs w:val="18"/>
        </w:rPr>
        <w:t xml:space="preserve"> operativna spremnost vatrogasnih snaga cijelog područja, jer se osigura</w:t>
      </w:r>
      <w:r w:rsidRPr="00EE21BE">
        <w:rPr>
          <w:rFonts w:ascii="Arial" w:eastAsia="Times New Roman" w:hAnsi="Arial" w:cs="Arial"/>
          <w:sz w:val="18"/>
          <w:szCs w:val="18"/>
        </w:rPr>
        <w:t>va</w:t>
      </w:r>
      <w:r w:rsidR="00B20566" w:rsidRPr="00EE21BE">
        <w:rPr>
          <w:rFonts w:ascii="Arial" w:eastAsia="Times New Roman" w:hAnsi="Arial" w:cs="Arial"/>
          <w:sz w:val="18"/>
          <w:szCs w:val="18"/>
        </w:rPr>
        <w:t xml:space="preserve"> kvalitetan prostor za obuku i edukaciju.</w:t>
      </w:r>
    </w:p>
    <w:p w14:paraId="417ABA65" w14:textId="77777777" w:rsidR="00B20566" w:rsidRPr="00EE21BE" w:rsidRDefault="00B20566" w:rsidP="00B20566">
      <w:pPr>
        <w:autoSpaceDE w:val="0"/>
        <w:autoSpaceDN w:val="0"/>
        <w:adjustRightInd w:val="0"/>
        <w:spacing w:after="0" w:line="240" w:lineRule="auto"/>
        <w:jc w:val="both"/>
        <w:rPr>
          <w:rFonts w:ascii="Arial" w:eastAsia="Times New Roman" w:hAnsi="Arial" w:cs="Arial"/>
          <w:bCs/>
          <w:sz w:val="18"/>
          <w:szCs w:val="18"/>
        </w:rPr>
      </w:pPr>
    </w:p>
    <w:p w14:paraId="1C4D89BD" w14:textId="77777777" w:rsidR="00B20566" w:rsidRPr="00EE21BE" w:rsidRDefault="00B20566" w:rsidP="00B20566">
      <w:pPr>
        <w:autoSpaceDE w:val="0"/>
        <w:autoSpaceDN w:val="0"/>
        <w:adjustRightInd w:val="0"/>
        <w:spacing w:after="0" w:line="240" w:lineRule="auto"/>
        <w:jc w:val="both"/>
        <w:rPr>
          <w:rFonts w:ascii="Arial" w:eastAsia="Times New Roman" w:hAnsi="Arial" w:cs="Arial"/>
          <w:bCs/>
          <w:sz w:val="18"/>
          <w:szCs w:val="18"/>
        </w:rPr>
      </w:pPr>
      <w:r w:rsidRPr="00EE21BE">
        <w:rPr>
          <w:rFonts w:ascii="Arial" w:eastAsia="Times New Roman" w:hAnsi="Arial" w:cs="Arial"/>
          <w:bCs/>
          <w:sz w:val="18"/>
          <w:szCs w:val="18"/>
        </w:rPr>
        <w:t>Ugovor o financiranju projekta izgradnje zajedničkog vatrogasnog doma i spremišta – Vatrogasni dom Gruda zaključen je 15.4.2019. s Agencijom za plaćanje u poljoprivredi, ribarstvu i ruralnom razvoju. Intenzitet potpore je 80% ukupno prihvatljivih troškova utvrđenih planom nabave, a procijenjeni iznos potpore je 9.109.402,70 kn.</w:t>
      </w:r>
    </w:p>
    <w:p w14:paraId="65A9D15A" w14:textId="77777777" w:rsidR="00B20566" w:rsidRPr="00EE21BE" w:rsidRDefault="00B20566" w:rsidP="00B20566">
      <w:pPr>
        <w:autoSpaceDE w:val="0"/>
        <w:autoSpaceDN w:val="0"/>
        <w:adjustRightInd w:val="0"/>
        <w:spacing w:after="0" w:line="240" w:lineRule="auto"/>
        <w:jc w:val="both"/>
        <w:rPr>
          <w:rFonts w:ascii="Arial" w:eastAsia="Times New Roman" w:hAnsi="Arial" w:cs="Arial"/>
          <w:bCs/>
          <w:sz w:val="18"/>
          <w:szCs w:val="18"/>
        </w:rPr>
      </w:pPr>
    </w:p>
    <w:p w14:paraId="020F3749" w14:textId="26E7382C" w:rsidR="00B20566" w:rsidRPr="00EE21BE" w:rsidRDefault="00B20566" w:rsidP="00B20566">
      <w:pPr>
        <w:autoSpaceDE w:val="0"/>
        <w:autoSpaceDN w:val="0"/>
        <w:adjustRightInd w:val="0"/>
        <w:spacing w:after="0" w:line="240" w:lineRule="auto"/>
        <w:jc w:val="both"/>
        <w:rPr>
          <w:rFonts w:ascii="Arial" w:eastAsia="Times New Roman" w:hAnsi="Arial" w:cs="Arial"/>
          <w:b/>
          <w:bCs/>
          <w:sz w:val="18"/>
          <w:szCs w:val="18"/>
        </w:rPr>
      </w:pPr>
      <w:r w:rsidRPr="00EE21BE">
        <w:rPr>
          <w:rFonts w:ascii="Arial" w:eastAsia="Times New Roman" w:hAnsi="Arial" w:cs="Arial"/>
          <w:sz w:val="18"/>
          <w:szCs w:val="18"/>
        </w:rPr>
        <w:t>Postupak javne nabave za odabir izvoditelja radova je poništen u ožujku 2020. Novi postupak nabave</w:t>
      </w:r>
      <w:r w:rsidRPr="00EE21BE">
        <w:rPr>
          <w:rFonts w:ascii="Arial" w:eastAsia="Times New Roman" w:hAnsi="Arial" w:cs="Arial"/>
          <w:bCs/>
          <w:sz w:val="18"/>
          <w:szCs w:val="18"/>
        </w:rPr>
        <w:t xml:space="preserve"> </w:t>
      </w:r>
      <w:r w:rsidRPr="00EE21BE">
        <w:rPr>
          <w:rFonts w:ascii="Arial" w:eastAsia="Times New Roman" w:hAnsi="Arial" w:cs="Arial"/>
          <w:b/>
          <w:sz w:val="18"/>
          <w:szCs w:val="18"/>
        </w:rPr>
        <w:t>izgradnje i opremanja zajedničkog vatrogasnog doma i spremišta</w:t>
      </w:r>
      <w:r w:rsidRPr="00EE21BE">
        <w:rPr>
          <w:rFonts w:ascii="Arial" w:eastAsia="Times New Roman" w:hAnsi="Arial" w:cs="Arial"/>
          <w:sz w:val="18"/>
          <w:szCs w:val="18"/>
        </w:rPr>
        <w:t xml:space="preserve"> je započeo u studenom 2020., a ugovor o izvođenju radova s odabranim izvoditeljem (zajednica ponuditelja Magnum supra d.o.o. Dubrovnik i Elektrocentar Petek d.o.o. Ivanić grad) je zaključen 12.2.2021. </w:t>
      </w:r>
      <w:r w:rsidRPr="00EE21BE">
        <w:rPr>
          <w:rFonts w:ascii="Arial" w:eastAsia="Times New Roman" w:hAnsi="Arial" w:cs="Arial"/>
          <w:b/>
          <w:bCs/>
          <w:sz w:val="18"/>
          <w:szCs w:val="18"/>
        </w:rPr>
        <w:t xml:space="preserve">u vrijednosti 11.320.642,60 kn </w:t>
      </w:r>
      <w:r w:rsidR="003A3D59" w:rsidRPr="00EE21BE">
        <w:rPr>
          <w:rFonts w:ascii="Arial" w:eastAsia="Times New Roman" w:hAnsi="Arial" w:cs="Arial"/>
          <w:b/>
          <w:bCs/>
          <w:sz w:val="18"/>
          <w:szCs w:val="18"/>
        </w:rPr>
        <w:t xml:space="preserve">/ 1.502.507,48 € </w:t>
      </w:r>
      <w:r w:rsidRPr="00EE21BE">
        <w:rPr>
          <w:rFonts w:ascii="Arial" w:eastAsia="Times New Roman" w:hAnsi="Arial" w:cs="Arial"/>
          <w:b/>
          <w:bCs/>
          <w:sz w:val="18"/>
          <w:szCs w:val="18"/>
        </w:rPr>
        <w:t>što s porezom na dodanu vrijednost čini 14.150.803,25 kn</w:t>
      </w:r>
      <w:r w:rsidR="00806E22" w:rsidRPr="00EE21BE">
        <w:rPr>
          <w:rFonts w:ascii="Arial" w:eastAsia="Times New Roman" w:hAnsi="Arial" w:cs="Arial"/>
          <w:b/>
          <w:bCs/>
          <w:sz w:val="18"/>
          <w:szCs w:val="18"/>
        </w:rPr>
        <w:t xml:space="preserve"> (1.878.134,35 €)</w:t>
      </w:r>
      <w:r w:rsidRPr="00EE21BE">
        <w:rPr>
          <w:rFonts w:ascii="Arial" w:eastAsia="Times New Roman" w:hAnsi="Arial" w:cs="Arial"/>
          <w:b/>
          <w:bCs/>
          <w:sz w:val="18"/>
          <w:szCs w:val="18"/>
        </w:rPr>
        <w:t>.</w:t>
      </w:r>
    </w:p>
    <w:p w14:paraId="1CC88C1E" w14:textId="77777777"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p>
    <w:p w14:paraId="1AAC80A6" w14:textId="5CFDB564"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Stvarno nabavljena količina predmeta nabave može biti veća ili manja od predviđene količine. Obračun i plaćanje radova se vrši prema principu „ključ u ruke“. Rok za izvođenje radova je 12 mjeseci od dana uvođenja u posao. Ukoliko Naručitelj produži rok dovršetka to </w:t>
      </w:r>
      <w:r w:rsidR="00227DCD" w:rsidRPr="00EE21BE">
        <w:rPr>
          <w:rFonts w:ascii="Arial" w:eastAsia="Times New Roman" w:hAnsi="Arial" w:cs="Arial"/>
          <w:sz w:val="18"/>
          <w:szCs w:val="18"/>
        </w:rPr>
        <w:t>ne</w:t>
      </w:r>
      <w:r w:rsidRPr="00EE21BE">
        <w:rPr>
          <w:rFonts w:ascii="Arial" w:eastAsia="Times New Roman" w:hAnsi="Arial" w:cs="Arial"/>
          <w:sz w:val="18"/>
          <w:szCs w:val="18"/>
        </w:rPr>
        <w:t xml:space="preserve"> utje</w:t>
      </w:r>
      <w:r w:rsidR="00227DCD" w:rsidRPr="00EE21BE">
        <w:rPr>
          <w:rFonts w:ascii="Arial" w:eastAsia="Times New Roman" w:hAnsi="Arial" w:cs="Arial"/>
          <w:sz w:val="18"/>
          <w:szCs w:val="18"/>
        </w:rPr>
        <w:t>če</w:t>
      </w:r>
      <w:r w:rsidRPr="00EE21BE">
        <w:rPr>
          <w:rFonts w:ascii="Arial" w:eastAsia="Times New Roman" w:hAnsi="Arial" w:cs="Arial"/>
          <w:sz w:val="18"/>
          <w:szCs w:val="18"/>
        </w:rPr>
        <w:t xml:space="preserve"> na ugovorenu cijenu.</w:t>
      </w:r>
    </w:p>
    <w:p w14:paraId="66D013C7" w14:textId="77777777"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Jamstvo za dobro izvršenje ugovora je bankarska garancija 10% (10 posto) od vrijednosti ugovora bez PDV-a s klauzulom „plativo na prvi poziv“ odnosno „bez prava prigovora“, mora biti bezuvjetno i s rokom važenja 60 dana dužim od isteka ugovorenog roka za ispunjenje ugovora.</w:t>
      </w:r>
    </w:p>
    <w:p w14:paraId="5793B154" w14:textId="77777777"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Za otklanjanje nedostataka koji bi se eventualno mogli pojaviti u jamstvenom roku, a za slučaj da se ne ispuni obveza otklanjanja nedostataka ili se ne naknadi nastala šteta, odabrani ponuditelj se obvezuje da će Naručitelju na dan izvršenja primopredaje predati jamstvo za otklanjanje nedostataka u jamstvenom roku u obliku zadužnice ovjerene od strane javnog bilježnika u visini od 10% vrijednosti ugovora bez PDV-a. </w:t>
      </w:r>
    </w:p>
    <w:p w14:paraId="5806BCE7" w14:textId="77777777"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Ako izvođač ne izvrši svoje obveze koje su predmet Ugovora u ugovorenim rokovima, Naručitelj ima pravo naplatiti od Izvođača ugovornu kaznu u visini od 1‰ (jednog promila) dnevno od ugovorene cijene i to za svaki dan zakašnjenja, a maksimalno do 10% (deset posto) ugovorene cijene s PDV-om.</w:t>
      </w:r>
    </w:p>
    <w:p w14:paraId="1589DE82" w14:textId="77777777"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p>
    <w:p w14:paraId="6529ECFA" w14:textId="6D52DF5D"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Usluge stručnog nadzora nad izgradnjom i opremanjem su ugovorene u iznosu 126.600 kn</w:t>
      </w:r>
      <w:r w:rsidR="00227DCD" w:rsidRPr="00EE21BE">
        <w:rPr>
          <w:rFonts w:ascii="Arial" w:eastAsia="Times New Roman" w:hAnsi="Arial" w:cs="Arial"/>
          <w:sz w:val="18"/>
          <w:szCs w:val="18"/>
        </w:rPr>
        <w:t xml:space="preserve"> / 16.802,71 €</w:t>
      </w:r>
      <w:r w:rsidRPr="00EE21BE">
        <w:rPr>
          <w:rFonts w:ascii="Arial" w:eastAsia="Times New Roman" w:hAnsi="Arial" w:cs="Arial"/>
          <w:sz w:val="18"/>
          <w:szCs w:val="18"/>
        </w:rPr>
        <w:t>, bez poreza na dodanu vrijednost (158.250 kn s PDV-om</w:t>
      </w:r>
      <w:r w:rsidR="00806E22" w:rsidRPr="00EE21BE">
        <w:rPr>
          <w:rFonts w:ascii="Arial" w:eastAsia="Times New Roman" w:hAnsi="Arial" w:cs="Arial"/>
          <w:sz w:val="18"/>
          <w:szCs w:val="18"/>
        </w:rPr>
        <w:t xml:space="preserve"> / 21.003,38 €</w:t>
      </w:r>
      <w:r w:rsidRPr="00EE21BE">
        <w:rPr>
          <w:rFonts w:ascii="Arial" w:eastAsia="Times New Roman" w:hAnsi="Arial" w:cs="Arial"/>
          <w:sz w:val="18"/>
          <w:szCs w:val="18"/>
        </w:rPr>
        <w:t xml:space="preserve">) prema ugovoru od 13.4.2021. (Deltagrad d.o.o. Dubrovnik). </w:t>
      </w:r>
    </w:p>
    <w:p w14:paraId="1475252A" w14:textId="77777777"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p>
    <w:p w14:paraId="6D1F76C6" w14:textId="77777777"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Prema izvještaju o stanju radova iz lipnja 2021., </w:t>
      </w:r>
      <w:r w:rsidRPr="00EE21BE">
        <w:rPr>
          <w:rFonts w:ascii="Arial" w:eastAsia="Times New Roman" w:hAnsi="Arial" w:cs="Arial"/>
          <w:b/>
          <w:bCs/>
          <w:sz w:val="18"/>
          <w:szCs w:val="18"/>
        </w:rPr>
        <w:t>službeni početak radova je 18.5.2021</w:t>
      </w:r>
      <w:r w:rsidRPr="00EE21BE">
        <w:rPr>
          <w:rFonts w:ascii="Arial" w:eastAsia="Times New Roman" w:hAnsi="Arial" w:cs="Arial"/>
          <w:sz w:val="18"/>
          <w:szCs w:val="18"/>
        </w:rPr>
        <w:t>. što je upisano u građevinski dnevnik.</w:t>
      </w:r>
    </w:p>
    <w:p w14:paraId="6B1C84CF" w14:textId="09B08884"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p>
    <w:p w14:paraId="5471D4D1" w14:textId="788184B1" w:rsidR="00F32985" w:rsidRPr="00EE21BE" w:rsidRDefault="00F32985"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U 2021. su izvršeni rashodi u iznosu 4.349.082,94 kn</w:t>
      </w:r>
      <w:r w:rsidR="00227DCD" w:rsidRPr="00EE21BE">
        <w:rPr>
          <w:rFonts w:ascii="Arial" w:eastAsia="Times New Roman" w:hAnsi="Arial" w:cs="Arial"/>
          <w:sz w:val="18"/>
          <w:szCs w:val="18"/>
        </w:rPr>
        <w:t xml:space="preserve"> / 577.222,50 €</w:t>
      </w:r>
      <w:r w:rsidRPr="00EE21BE">
        <w:rPr>
          <w:rFonts w:ascii="Arial" w:eastAsia="Times New Roman" w:hAnsi="Arial" w:cs="Arial"/>
          <w:sz w:val="18"/>
          <w:szCs w:val="18"/>
        </w:rPr>
        <w:t>, a odnose se na:</w:t>
      </w:r>
    </w:p>
    <w:p w14:paraId="39FF799C" w14:textId="041E772E" w:rsidR="00F32985" w:rsidRPr="00EE21BE" w:rsidRDefault="00F32985">
      <w:pPr>
        <w:pStyle w:val="Odlomakpopisa"/>
        <w:numPr>
          <w:ilvl w:val="0"/>
          <w:numId w:val="9"/>
        </w:numPr>
        <w:autoSpaceDE w:val="0"/>
        <w:autoSpaceDN w:val="0"/>
        <w:adjustRightInd w:val="0"/>
        <w:rPr>
          <w:rFonts w:ascii="Arial" w:hAnsi="Arial" w:cs="Arial"/>
          <w:sz w:val="18"/>
          <w:szCs w:val="18"/>
        </w:rPr>
      </w:pPr>
      <w:r w:rsidRPr="00EE21BE">
        <w:rPr>
          <w:rFonts w:ascii="Arial" w:hAnsi="Arial" w:cs="Arial"/>
          <w:sz w:val="18"/>
          <w:szCs w:val="18"/>
        </w:rPr>
        <w:t>8.privremenih situacija za izvedene radove u ukupnom iznosu 4.245.832,94 kn</w:t>
      </w:r>
      <w:r w:rsidR="00227DCD" w:rsidRPr="00EE21BE">
        <w:rPr>
          <w:rFonts w:ascii="Arial" w:hAnsi="Arial" w:cs="Arial"/>
          <w:sz w:val="18"/>
          <w:szCs w:val="18"/>
        </w:rPr>
        <w:t xml:space="preserve"> / 563.518,87 €</w:t>
      </w:r>
      <w:r w:rsidRPr="00EE21BE">
        <w:rPr>
          <w:rFonts w:ascii="Arial" w:hAnsi="Arial" w:cs="Arial"/>
          <w:sz w:val="18"/>
          <w:szCs w:val="18"/>
        </w:rPr>
        <w:t>,</w:t>
      </w:r>
    </w:p>
    <w:p w14:paraId="263F63EB" w14:textId="5A0076E3" w:rsidR="00F32985" w:rsidRPr="00EE21BE" w:rsidRDefault="00F32985">
      <w:pPr>
        <w:pStyle w:val="Odlomakpopisa"/>
        <w:numPr>
          <w:ilvl w:val="0"/>
          <w:numId w:val="9"/>
        </w:numPr>
        <w:autoSpaceDE w:val="0"/>
        <w:autoSpaceDN w:val="0"/>
        <w:adjustRightInd w:val="0"/>
        <w:rPr>
          <w:rFonts w:ascii="Arial" w:hAnsi="Arial" w:cs="Arial"/>
          <w:sz w:val="18"/>
          <w:szCs w:val="18"/>
        </w:rPr>
      </w:pPr>
      <w:r w:rsidRPr="00EE21BE">
        <w:rPr>
          <w:rFonts w:ascii="Arial" w:hAnsi="Arial" w:cs="Arial"/>
          <w:sz w:val="18"/>
          <w:szCs w:val="18"/>
        </w:rPr>
        <w:t>stručni i obračunski nadzor nad izvođenjem radova u iznosu 98.000 kn</w:t>
      </w:r>
      <w:r w:rsidR="00227DCD" w:rsidRPr="00EE21BE">
        <w:rPr>
          <w:rFonts w:ascii="Arial" w:hAnsi="Arial" w:cs="Arial"/>
          <w:sz w:val="18"/>
          <w:szCs w:val="18"/>
        </w:rPr>
        <w:t xml:space="preserve"> / 13.006,84 €</w:t>
      </w:r>
      <w:r w:rsidRPr="00EE21BE">
        <w:rPr>
          <w:rFonts w:ascii="Arial" w:hAnsi="Arial" w:cs="Arial"/>
          <w:sz w:val="18"/>
          <w:szCs w:val="18"/>
        </w:rPr>
        <w:t xml:space="preserve">, te </w:t>
      </w:r>
    </w:p>
    <w:p w14:paraId="127862F7" w14:textId="601C99E0" w:rsidR="00F32985" w:rsidRPr="00EE21BE" w:rsidRDefault="00F32985">
      <w:pPr>
        <w:pStyle w:val="Odlomakpopisa"/>
        <w:numPr>
          <w:ilvl w:val="0"/>
          <w:numId w:val="9"/>
        </w:numPr>
        <w:autoSpaceDE w:val="0"/>
        <w:autoSpaceDN w:val="0"/>
        <w:adjustRightInd w:val="0"/>
        <w:rPr>
          <w:rFonts w:ascii="Arial" w:hAnsi="Arial" w:cs="Arial"/>
          <w:sz w:val="18"/>
          <w:szCs w:val="18"/>
        </w:rPr>
      </w:pPr>
      <w:r w:rsidRPr="00EE21BE">
        <w:rPr>
          <w:rFonts w:ascii="Arial" w:hAnsi="Arial" w:cs="Arial"/>
          <w:sz w:val="18"/>
          <w:szCs w:val="18"/>
        </w:rPr>
        <w:t>izradu geodetskog elaborata za izdvajanje u novu građevinsku česticu č.zem. 299/1 k.o. Gruda u iznosu 5.250 kn</w:t>
      </w:r>
      <w:r w:rsidR="00227DCD" w:rsidRPr="00EE21BE">
        <w:rPr>
          <w:rFonts w:ascii="Arial" w:hAnsi="Arial" w:cs="Arial"/>
          <w:sz w:val="18"/>
          <w:szCs w:val="18"/>
        </w:rPr>
        <w:t xml:space="preserve"> / 696,79 €</w:t>
      </w:r>
      <w:r w:rsidRPr="00EE21BE">
        <w:rPr>
          <w:rFonts w:ascii="Arial" w:hAnsi="Arial" w:cs="Arial"/>
          <w:sz w:val="18"/>
          <w:szCs w:val="18"/>
        </w:rPr>
        <w:t>.</w:t>
      </w:r>
    </w:p>
    <w:p w14:paraId="0D97AB91" w14:textId="77777777" w:rsidR="00F32985" w:rsidRPr="00EE21BE" w:rsidRDefault="00F32985" w:rsidP="00B20566">
      <w:pPr>
        <w:autoSpaceDE w:val="0"/>
        <w:autoSpaceDN w:val="0"/>
        <w:adjustRightInd w:val="0"/>
        <w:spacing w:after="0" w:line="240" w:lineRule="auto"/>
        <w:jc w:val="both"/>
        <w:rPr>
          <w:rFonts w:ascii="Arial" w:eastAsia="Times New Roman" w:hAnsi="Arial" w:cs="Arial"/>
          <w:sz w:val="18"/>
          <w:szCs w:val="18"/>
        </w:rPr>
      </w:pPr>
    </w:p>
    <w:p w14:paraId="401FF535" w14:textId="2019013A"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Do konca 2021. izvoditelj je ispostavio </w:t>
      </w:r>
      <w:r w:rsidR="00F32985" w:rsidRPr="00EE21BE">
        <w:rPr>
          <w:rFonts w:ascii="Arial" w:eastAsia="Times New Roman" w:hAnsi="Arial" w:cs="Arial"/>
          <w:sz w:val="18"/>
          <w:szCs w:val="18"/>
        </w:rPr>
        <w:t>osam privremenih situacija</w:t>
      </w:r>
      <w:r w:rsidRPr="00EE21BE">
        <w:rPr>
          <w:rFonts w:ascii="Arial" w:eastAsia="Times New Roman" w:hAnsi="Arial" w:cs="Arial"/>
          <w:sz w:val="18"/>
          <w:szCs w:val="18"/>
        </w:rPr>
        <w:t xml:space="preserve"> u iznosu </w:t>
      </w:r>
      <w:r w:rsidR="00F32985" w:rsidRPr="00EE21BE">
        <w:rPr>
          <w:rFonts w:ascii="Arial" w:eastAsia="Times New Roman" w:hAnsi="Arial" w:cs="Arial"/>
          <w:sz w:val="18"/>
          <w:szCs w:val="18"/>
        </w:rPr>
        <w:t>3.396.666,35</w:t>
      </w:r>
      <w:r w:rsidRPr="00EE21BE">
        <w:rPr>
          <w:rFonts w:ascii="Arial" w:eastAsia="Times New Roman" w:hAnsi="Arial" w:cs="Arial"/>
          <w:sz w:val="18"/>
          <w:szCs w:val="18"/>
        </w:rPr>
        <w:t xml:space="preserve"> kn</w:t>
      </w:r>
      <w:r w:rsidR="00227DCD" w:rsidRPr="00EE21BE">
        <w:rPr>
          <w:rFonts w:ascii="Arial" w:eastAsia="Times New Roman" w:hAnsi="Arial" w:cs="Arial"/>
          <w:sz w:val="18"/>
          <w:szCs w:val="18"/>
        </w:rPr>
        <w:t xml:space="preserve"> / 450.815,10 €</w:t>
      </w:r>
      <w:r w:rsidRPr="00EE21BE">
        <w:rPr>
          <w:rFonts w:ascii="Arial" w:eastAsia="Times New Roman" w:hAnsi="Arial" w:cs="Arial"/>
          <w:sz w:val="18"/>
          <w:szCs w:val="18"/>
        </w:rPr>
        <w:t xml:space="preserve">, bez poreza na dodanu vrijednost (odnosno </w:t>
      </w:r>
      <w:r w:rsidR="00F32985" w:rsidRPr="00EE21BE">
        <w:rPr>
          <w:rFonts w:ascii="Arial" w:eastAsia="Times New Roman" w:hAnsi="Arial" w:cs="Arial"/>
          <w:sz w:val="18"/>
          <w:szCs w:val="18"/>
        </w:rPr>
        <w:t>4.245.832,94</w:t>
      </w:r>
      <w:r w:rsidRPr="00EE21BE">
        <w:rPr>
          <w:rFonts w:ascii="Arial" w:eastAsia="Times New Roman" w:hAnsi="Arial" w:cs="Arial"/>
          <w:sz w:val="18"/>
          <w:szCs w:val="18"/>
        </w:rPr>
        <w:t xml:space="preserve"> kn</w:t>
      </w:r>
      <w:r w:rsidR="00227DCD" w:rsidRPr="00EE21BE">
        <w:rPr>
          <w:rFonts w:ascii="Arial" w:eastAsia="Times New Roman" w:hAnsi="Arial" w:cs="Arial"/>
          <w:sz w:val="18"/>
          <w:szCs w:val="18"/>
        </w:rPr>
        <w:t xml:space="preserve"> / 563.518,87 €</w:t>
      </w:r>
      <w:r w:rsidRPr="00EE21BE">
        <w:rPr>
          <w:rFonts w:ascii="Arial" w:eastAsia="Times New Roman" w:hAnsi="Arial" w:cs="Arial"/>
          <w:sz w:val="18"/>
          <w:szCs w:val="18"/>
        </w:rPr>
        <w:t xml:space="preserve"> s PDV-om). </w:t>
      </w:r>
      <w:r w:rsidR="00F32985" w:rsidRPr="00EE21BE">
        <w:rPr>
          <w:rFonts w:ascii="Arial" w:eastAsia="Times New Roman" w:hAnsi="Arial" w:cs="Arial"/>
          <w:sz w:val="18"/>
          <w:szCs w:val="18"/>
        </w:rPr>
        <w:t>Do konca prosinca 2021. ispostavljeni su računi za obavljanje nadzora stručnog i obračunskog nadzora u iznosu 98.000 kn, s PDV-om.</w:t>
      </w:r>
    </w:p>
    <w:p w14:paraId="250EBD69" w14:textId="77777777"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lang w:eastAsia="en-US"/>
        </w:rPr>
      </w:pPr>
    </w:p>
    <w:p w14:paraId="41851FBD" w14:textId="700E7467" w:rsidR="00B20566" w:rsidRPr="00EE21BE" w:rsidRDefault="00B20566" w:rsidP="00B20566">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Postotak dovršenosti radova </w:t>
      </w:r>
      <w:r w:rsidRPr="00EE21BE">
        <w:rPr>
          <w:rFonts w:ascii="Arial" w:eastAsia="Times New Roman" w:hAnsi="Arial" w:cs="Arial"/>
          <w:b/>
          <w:sz w:val="18"/>
          <w:szCs w:val="18"/>
        </w:rPr>
        <w:t>koncem 2021.</w:t>
      </w:r>
      <w:r w:rsidRPr="00EE21BE">
        <w:rPr>
          <w:rFonts w:ascii="Arial" w:eastAsia="Times New Roman" w:hAnsi="Arial" w:cs="Arial"/>
          <w:bCs/>
          <w:sz w:val="18"/>
          <w:szCs w:val="18"/>
        </w:rPr>
        <w:t xml:space="preserve"> je</w:t>
      </w:r>
      <w:r w:rsidRPr="00EE21BE">
        <w:rPr>
          <w:rFonts w:ascii="Arial" w:eastAsia="Times New Roman" w:hAnsi="Arial" w:cs="Arial"/>
          <w:sz w:val="18"/>
          <w:szCs w:val="18"/>
        </w:rPr>
        <w:t xml:space="preserve"> </w:t>
      </w:r>
      <w:r w:rsidR="00EA715F" w:rsidRPr="00EE21BE">
        <w:rPr>
          <w:rFonts w:ascii="Arial" w:eastAsia="Times New Roman" w:hAnsi="Arial" w:cs="Arial"/>
          <w:sz w:val="18"/>
          <w:szCs w:val="18"/>
        </w:rPr>
        <w:t>30</w:t>
      </w:r>
      <w:r w:rsidRPr="00EE21BE">
        <w:rPr>
          <w:rFonts w:ascii="Arial" w:eastAsia="Times New Roman" w:hAnsi="Arial" w:cs="Arial"/>
          <w:sz w:val="18"/>
          <w:szCs w:val="18"/>
        </w:rPr>
        <w:t>%.</w:t>
      </w:r>
    </w:p>
    <w:p w14:paraId="34DCE687" w14:textId="77777777" w:rsidR="00C00AC8" w:rsidRPr="00EE21BE" w:rsidRDefault="00C00AC8" w:rsidP="006F5B42">
      <w:pPr>
        <w:autoSpaceDE w:val="0"/>
        <w:autoSpaceDN w:val="0"/>
        <w:adjustRightInd w:val="0"/>
        <w:spacing w:after="0" w:line="240" w:lineRule="auto"/>
        <w:jc w:val="both"/>
        <w:rPr>
          <w:rFonts w:ascii="Arial" w:eastAsia="Calibri" w:hAnsi="Arial" w:cs="Arial"/>
          <w:sz w:val="18"/>
          <w:szCs w:val="18"/>
        </w:rPr>
      </w:pPr>
    </w:p>
    <w:p w14:paraId="0FBA31AA" w14:textId="3976893A" w:rsidR="00C00AC8" w:rsidRPr="00EE21BE" w:rsidRDefault="00C00AC8" w:rsidP="006F5B42">
      <w:pPr>
        <w:autoSpaceDE w:val="0"/>
        <w:autoSpaceDN w:val="0"/>
        <w:adjustRightInd w:val="0"/>
        <w:spacing w:after="0" w:line="240" w:lineRule="auto"/>
        <w:jc w:val="both"/>
        <w:rPr>
          <w:rFonts w:ascii="Arial" w:eastAsia="Calibri" w:hAnsi="Arial" w:cs="Arial"/>
          <w:sz w:val="18"/>
          <w:szCs w:val="18"/>
        </w:rPr>
      </w:pPr>
      <w:r w:rsidRPr="00EE21BE">
        <w:rPr>
          <w:rFonts w:ascii="Arial" w:eastAsia="Calibri" w:hAnsi="Arial" w:cs="Arial"/>
          <w:sz w:val="18"/>
          <w:szCs w:val="18"/>
        </w:rPr>
        <w:t>Za izgradnju tlačnog kolektora otpadne odvodnje i javnog vodoopskrbnog cjevovoda potrebnog za spajanje vatrogasnog doma zaključen je</w:t>
      </w:r>
      <w:r w:rsidR="0051643C" w:rsidRPr="00EE21BE">
        <w:rPr>
          <w:rFonts w:ascii="Arial" w:eastAsia="Calibri" w:hAnsi="Arial" w:cs="Arial"/>
          <w:sz w:val="18"/>
          <w:szCs w:val="18"/>
        </w:rPr>
        <w:t xml:space="preserve"> u travnju 2022.</w:t>
      </w:r>
      <w:r w:rsidRPr="00EE21BE">
        <w:rPr>
          <w:rFonts w:ascii="Arial" w:eastAsia="Calibri" w:hAnsi="Arial" w:cs="Arial"/>
          <w:sz w:val="18"/>
          <w:szCs w:val="18"/>
        </w:rPr>
        <w:t xml:space="preserve"> ugovor </w:t>
      </w:r>
      <w:r w:rsidR="0051643C" w:rsidRPr="00EE21BE">
        <w:rPr>
          <w:rFonts w:ascii="Arial" w:eastAsia="Calibri" w:hAnsi="Arial" w:cs="Arial"/>
          <w:sz w:val="18"/>
          <w:szCs w:val="18"/>
        </w:rPr>
        <w:t xml:space="preserve">s izvođačem u vrijednosti 459.586,06 kn </w:t>
      </w:r>
      <w:r w:rsidR="00227DCD" w:rsidRPr="00EE21BE">
        <w:rPr>
          <w:rFonts w:ascii="Arial" w:eastAsia="Calibri" w:hAnsi="Arial" w:cs="Arial"/>
          <w:sz w:val="18"/>
          <w:szCs w:val="18"/>
        </w:rPr>
        <w:t xml:space="preserve">/ 60.997,55 € </w:t>
      </w:r>
      <w:r w:rsidR="0051643C" w:rsidRPr="00EE21BE">
        <w:rPr>
          <w:rFonts w:ascii="Arial" w:eastAsia="Calibri" w:hAnsi="Arial" w:cs="Arial"/>
          <w:sz w:val="18"/>
          <w:szCs w:val="18"/>
        </w:rPr>
        <w:t xml:space="preserve">s PDV-om. </w:t>
      </w:r>
    </w:p>
    <w:p w14:paraId="693B0D5E" w14:textId="77777777" w:rsidR="0051643C" w:rsidRPr="00EE21BE" w:rsidRDefault="0051643C" w:rsidP="0051643C">
      <w:pPr>
        <w:autoSpaceDE w:val="0"/>
        <w:autoSpaceDN w:val="0"/>
        <w:adjustRightInd w:val="0"/>
        <w:spacing w:after="0" w:line="240" w:lineRule="auto"/>
        <w:jc w:val="both"/>
        <w:rPr>
          <w:rFonts w:ascii="Arial" w:eastAsia="Calibri" w:hAnsi="Arial" w:cs="Arial"/>
          <w:sz w:val="18"/>
          <w:szCs w:val="18"/>
        </w:rPr>
      </w:pPr>
    </w:p>
    <w:p w14:paraId="24241728" w14:textId="05B931F5" w:rsidR="0051643C" w:rsidRPr="00EE21BE" w:rsidRDefault="0051643C" w:rsidP="0051643C">
      <w:pPr>
        <w:autoSpaceDE w:val="0"/>
        <w:autoSpaceDN w:val="0"/>
        <w:adjustRightInd w:val="0"/>
        <w:spacing w:after="0" w:line="240" w:lineRule="auto"/>
        <w:jc w:val="both"/>
        <w:rPr>
          <w:rFonts w:ascii="Arial" w:eastAsia="Calibri" w:hAnsi="Arial" w:cs="Arial"/>
          <w:b/>
          <w:bCs/>
          <w:sz w:val="18"/>
          <w:szCs w:val="18"/>
        </w:rPr>
      </w:pPr>
      <w:r w:rsidRPr="00EE21BE">
        <w:rPr>
          <w:rFonts w:ascii="Arial" w:eastAsia="Calibri" w:hAnsi="Arial" w:cs="Arial"/>
          <w:sz w:val="18"/>
          <w:szCs w:val="18"/>
        </w:rPr>
        <w:t>U 2022. je ispostavljeno devet privremenih situacija za izvođenje radova ukupne vrijednosti 9.904.970,32 kn</w:t>
      </w:r>
      <w:r w:rsidR="00227DCD" w:rsidRPr="00EE21BE">
        <w:rPr>
          <w:rFonts w:ascii="Arial" w:eastAsia="Calibri" w:hAnsi="Arial" w:cs="Arial"/>
          <w:sz w:val="18"/>
          <w:szCs w:val="18"/>
        </w:rPr>
        <w:t xml:space="preserve"> / 1.314.615,48 €</w:t>
      </w:r>
      <w:r w:rsidRPr="00EE21BE">
        <w:rPr>
          <w:rFonts w:ascii="Arial" w:eastAsia="Calibri" w:hAnsi="Arial" w:cs="Arial"/>
          <w:sz w:val="18"/>
          <w:szCs w:val="18"/>
        </w:rPr>
        <w:t>. Izgradnja vatrogasnog doma je u 2022. godini financirana iz sredstava kredita u iznosu 6.600.000 kn</w:t>
      </w:r>
      <w:r w:rsidR="00227DCD" w:rsidRPr="00EE21BE">
        <w:rPr>
          <w:rFonts w:ascii="Arial" w:eastAsia="Calibri" w:hAnsi="Arial" w:cs="Arial"/>
          <w:sz w:val="18"/>
          <w:szCs w:val="18"/>
        </w:rPr>
        <w:t xml:space="preserve"> / 875.970,54 €</w:t>
      </w:r>
      <w:r w:rsidRPr="00EE21BE">
        <w:rPr>
          <w:rFonts w:ascii="Arial" w:eastAsia="Calibri" w:hAnsi="Arial" w:cs="Arial"/>
          <w:sz w:val="18"/>
          <w:szCs w:val="18"/>
        </w:rPr>
        <w:t xml:space="preserve">, te iz ostalih proračunskih sredstava. Pomoći će se refundirati nakon završetka projekta. </w:t>
      </w:r>
    </w:p>
    <w:p w14:paraId="041BDDA6" w14:textId="77777777" w:rsidR="00C00AC8" w:rsidRPr="00EE21BE" w:rsidRDefault="00C00AC8" w:rsidP="006F5B42">
      <w:pPr>
        <w:autoSpaceDE w:val="0"/>
        <w:autoSpaceDN w:val="0"/>
        <w:adjustRightInd w:val="0"/>
        <w:spacing w:after="0" w:line="240" w:lineRule="auto"/>
        <w:jc w:val="both"/>
        <w:rPr>
          <w:rFonts w:ascii="Arial" w:eastAsia="Calibri" w:hAnsi="Arial" w:cs="Arial"/>
          <w:sz w:val="18"/>
          <w:szCs w:val="18"/>
        </w:rPr>
      </w:pPr>
    </w:p>
    <w:p w14:paraId="5C4ACCA9" w14:textId="1DD0B6DF" w:rsidR="006F5B42" w:rsidRPr="00EE21BE" w:rsidRDefault="0051643C" w:rsidP="006F5B42">
      <w:pPr>
        <w:autoSpaceDE w:val="0"/>
        <w:autoSpaceDN w:val="0"/>
        <w:adjustRightInd w:val="0"/>
        <w:spacing w:after="0" w:line="240" w:lineRule="auto"/>
        <w:jc w:val="both"/>
        <w:rPr>
          <w:rFonts w:ascii="Arial" w:eastAsia="Calibri" w:hAnsi="Arial" w:cs="Arial"/>
          <w:sz w:val="18"/>
          <w:szCs w:val="18"/>
        </w:rPr>
      </w:pPr>
      <w:r w:rsidRPr="00EE21BE">
        <w:rPr>
          <w:rFonts w:ascii="Arial" w:eastAsia="Calibri" w:hAnsi="Arial" w:cs="Arial"/>
          <w:sz w:val="18"/>
          <w:szCs w:val="18"/>
        </w:rPr>
        <w:t>Sveukupno, u</w:t>
      </w:r>
      <w:r w:rsidR="006F5B42" w:rsidRPr="00EE21BE">
        <w:rPr>
          <w:rFonts w:ascii="Arial" w:eastAsia="Calibri" w:hAnsi="Arial" w:cs="Arial"/>
          <w:sz w:val="18"/>
          <w:szCs w:val="18"/>
        </w:rPr>
        <w:t xml:space="preserve"> 2022. su izvršeni rashodi</w:t>
      </w:r>
      <w:r w:rsidRPr="00EE21BE">
        <w:rPr>
          <w:rFonts w:ascii="Arial" w:eastAsia="Calibri" w:hAnsi="Arial" w:cs="Arial"/>
          <w:sz w:val="18"/>
          <w:szCs w:val="18"/>
        </w:rPr>
        <w:t xml:space="preserve"> povezani s izgradnjom vatrogasnog doma</w:t>
      </w:r>
      <w:r w:rsidR="006F5B42" w:rsidRPr="00EE21BE">
        <w:rPr>
          <w:rFonts w:ascii="Arial" w:eastAsia="Calibri" w:hAnsi="Arial" w:cs="Arial"/>
          <w:sz w:val="18"/>
          <w:szCs w:val="18"/>
        </w:rPr>
        <w:t xml:space="preserve"> u iznosu </w:t>
      </w:r>
      <w:r w:rsidR="00C00AC8" w:rsidRPr="00EE21BE">
        <w:rPr>
          <w:rFonts w:ascii="Arial" w:eastAsia="Calibri" w:hAnsi="Arial" w:cs="Arial"/>
          <w:sz w:val="18"/>
          <w:szCs w:val="18"/>
        </w:rPr>
        <w:t>10.430.352,91</w:t>
      </w:r>
      <w:r w:rsidR="006F5B42" w:rsidRPr="00EE21BE">
        <w:rPr>
          <w:rFonts w:ascii="Arial" w:eastAsia="Calibri" w:hAnsi="Arial" w:cs="Arial"/>
          <w:sz w:val="18"/>
          <w:szCs w:val="18"/>
        </w:rPr>
        <w:t xml:space="preserve"> kn </w:t>
      </w:r>
      <w:r w:rsidR="00227DCD" w:rsidRPr="00EE21BE">
        <w:rPr>
          <w:rFonts w:ascii="Arial" w:eastAsia="Calibri" w:hAnsi="Arial" w:cs="Arial"/>
          <w:sz w:val="18"/>
          <w:szCs w:val="18"/>
        </w:rPr>
        <w:t xml:space="preserve">/ 1.384.345,73 € </w:t>
      </w:r>
      <w:r w:rsidR="006F5B42" w:rsidRPr="00EE21BE">
        <w:rPr>
          <w:rFonts w:ascii="Arial" w:eastAsia="Calibri" w:hAnsi="Arial" w:cs="Arial"/>
          <w:sz w:val="18"/>
          <w:szCs w:val="18"/>
        </w:rPr>
        <w:t xml:space="preserve">(izvedeni radovi </w:t>
      </w:r>
      <w:r w:rsidR="00C00AC8" w:rsidRPr="00EE21BE">
        <w:rPr>
          <w:rFonts w:ascii="Arial" w:eastAsia="Calibri" w:hAnsi="Arial" w:cs="Arial"/>
          <w:sz w:val="18"/>
          <w:szCs w:val="18"/>
        </w:rPr>
        <w:t xml:space="preserve">izgradnje </w:t>
      </w:r>
      <w:r w:rsidRPr="00EE21BE">
        <w:rPr>
          <w:rFonts w:ascii="Arial" w:eastAsia="Calibri" w:hAnsi="Arial" w:cs="Arial"/>
          <w:sz w:val="18"/>
          <w:szCs w:val="18"/>
        </w:rPr>
        <w:t xml:space="preserve">vatrogasnog </w:t>
      </w:r>
      <w:r w:rsidR="00C00AC8" w:rsidRPr="00EE21BE">
        <w:rPr>
          <w:rFonts w:ascii="Arial" w:eastAsia="Calibri" w:hAnsi="Arial" w:cs="Arial"/>
          <w:sz w:val="18"/>
          <w:szCs w:val="18"/>
        </w:rPr>
        <w:t>doma</w:t>
      </w:r>
      <w:r w:rsidRPr="00EE21BE">
        <w:rPr>
          <w:rFonts w:ascii="Arial" w:eastAsia="Calibri" w:hAnsi="Arial" w:cs="Arial"/>
          <w:sz w:val="18"/>
          <w:szCs w:val="18"/>
        </w:rPr>
        <w:t xml:space="preserve"> na temelju ugovora iz 2021.godine</w:t>
      </w:r>
      <w:r w:rsidR="00C00AC8" w:rsidRPr="00EE21BE">
        <w:rPr>
          <w:rFonts w:ascii="Arial" w:eastAsia="Calibri" w:hAnsi="Arial" w:cs="Arial"/>
          <w:sz w:val="18"/>
          <w:szCs w:val="18"/>
        </w:rPr>
        <w:t xml:space="preserve"> 9.904.970,32</w:t>
      </w:r>
      <w:r w:rsidR="006F5B42" w:rsidRPr="00EE21BE">
        <w:rPr>
          <w:rFonts w:ascii="Arial" w:eastAsia="Calibri" w:hAnsi="Arial" w:cs="Arial"/>
          <w:sz w:val="18"/>
          <w:szCs w:val="18"/>
        </w:rPr>
        <w:t xml:space="preserve"> kn</w:t>
      </w:r>
      <w:r w:rsidR="00227DCD" w:rsidRPr="00EE21BE">
        <w:rPr>
          <w:rFonts w:ascii="Arial" w:eastAsia="Calibri" w:hAnsi="Arial" w:cs="Arial"/>
          <w:sz w:val="18"/>
          <w:szCs w:val="18"/>
        </w:rPr>
        <w:t xml:space="preserve"> / 1.314.615,48 €</w:t>
      </w:r>
      <w:r w:rsidR="006F5B42" w:rsidRPr="00EE21BE">
        <w:rPr>
          <w:rFonts w:ascii="Arial" w:eastAsia="Calibri" w:hAnsi="Arial" w:cs="Arial"/>
          <w:sz w:val="18"/>
          <w:szCs w:val="18"/>
        </w:rPr>
        <w:t xml:space="preserve">, </w:t>
      </w:r>
      <w:r w:rsidR="00C00AC8" w:rsidRPr="00EE21BE">
        <w:rPr>
          <w:rFonts w:ascii="Arial" w:eastAsia="Calibri" w:hAnsi="Arial" w:cs="Arial"/>
          <w:sz w:val="18"/>
          <w:szCs w:val="18"/>
        </w:rPr>
        <w:t>izgradnja tlačnog kolektora 453.882,59 kn</w:t>
      </w:r>
      <w:r w:rsidR="00227DCD" w:rsidRPr="00EE21BE">
        <w:rPr>
          <w:rFonts w:ascii="Arial" w:eastAsia="Calibri" w:hAnsi="Arial" w:cs="Arial"/>
          <w:sz w:val="18"/>
          <w:szCs w:val="18"/>
        </w:rPr>
        <w:t xml:space="preserve"> / 60.240,57 €</w:t>
      </w:r>
      <w:r w:rsidR="00C00AC8" w:rsidRPr="00EE21BE">
        <w:rPr>
          <w:rFonts w:ascii="Arial" w:eastAsia="Calibri" w:hAnsi="Arial" w:cs="Arial"/>
          <w:sz w:val="18"/>
          <w:szCs w:val="18"/>
        </w:rPr>
        <w:t xml:space="preserve">, </w:t>
      </w:r>
      <w:r w:rsidR="006F5B42" w:rsidRPr="00EE21BE">
        <w:rPr>
          <w:rFonts w:ascii="Arial" w:eastAsia="Calibri" w:hAnsi="Arial" w:cs="Arial"/>
          <w:sz w:val="18"/>
          <w:szCs w:val="18"/>
        </w:rPr>
        <w:t xml:space="preserve">usluge nadzora </w:t>
      </w:r>
      <w:r w:rsidR="00C00AC8" w:rsidRPr="00EE21BE">
        <w:rPr>
          <w:rFonts w:ascii="Arial" w:eastAsia="Calibri" w:hAnsi="Arial" w:cs="Arial"/>
          <w:sz w:val="18"/>
          <w:szCs w:val="18"/>
        </w:rPr>
        <w:t>71.500</w:t>
      </w:r>
      <w:r w:rsidR="006F5B42" w:rsidRPr="00EE21BE">
        <w:rPr>
          <w:rFonts w:ascii="Arial" w:eastAsia="Calibri" w:hAnsi="Arial" w:cs="Arial"/>
          <w:sz w:val="18"/>
          <w:szCs w:val="18"/>
        </w:rPr>
        <w:t xml:space="preserve"> kn</w:t>
      </w:r>
      <w:r w:rsidR="00227DCD" w:rsidRPr="00EE21BE">
        <w:rPr>
          <w:rFonts w:ascii="Arial" w:eastAsia="Calibri" w:hAnsi="Arial" w:cs="Arial"/>
          <w:sz w:val="18"/>
          <w:szCs w:val="18"/>
        </w:rPr>
        <w:t xml:space="preserve"> / 9.489,68 €</w:t>
      </w:r>
      <w:r w:rsidR="006F5B42" w:rsidRPr="00EE21BE">
        <w:rPr>
          <w:rFonts w:ascii="Arial" w:eastAsia="Calibri" w:hAnsi="Arial" w:cs="Arial"/>
          <w:sz w:val="18"/>
          <w:szCs w:val="18"/>
        </w:rPr>
        <w:t xml:space="preserve">). </w:t>
      </w:r>
    </w:p>
    <w:p w14:paraId="51A6A9D8" w14:textId="77777777" w:rsidR="006F5B42" w:rsidRPr="00EE21BE" w:rsidRDefault="006F5B42" w:rsidP="006F5B42">
      <w:pPr>
        <w:autoSpaceDE w:val="0"/>
        <w:autoSpaceDN w:val="0"/>
        <w:adjustRightInd w:val="0"/>
        <w:spacing w:after="0" w:line="240" w:lineRule="auto"/>
        <w:jc w:val="both"/>
        <w:rPr>
          <w:rFonts w:ascii="Arial" w:eastAsia="Times New Roman" w:hAnsi="Arial" w:cs="Arial"/>
          <w:sz w:val="18"/>
          <w:szCs w:val="18"/>
        </w:rPr>
      </w:pPr>
    </w:p>
    <w:p w14:paraId="6FD0A039" w14:textId="190F5198" w:rsidR="006F5B42" w:rsidRPr="00EE21BE" w:rsidRDefault="006F5B42" w:rsidP="006F5B42">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Postotak dovršenosti radova </w:t>
      </w:r>
      <w:r w:rsidRPr="00EE21BE">
        <w:rPr>
          <w:rFonts w:ascii="Arial" w:eastAsia="Times New Roman" w:hAnsi="Arial" w:cs="Arial"/>
          <w:b/>
          <w:sz w:val="18"/>
          <w:szCs w:val="18"/>
        </w:rPr>
        <w:t>koncem 2022.</w:t>
      </w:r>
      <w:r w:rsidRPr="00EE21BE">
        <w:rPr>
          <w:rFonts w:ascii="Arial" w:eastAsia="Times New Roman" w:hAnsi="Arial" w:cs="Arial"/>
          <w:bCs/>
          <w:sz w:val="18"/>
          <w:szCs w:val="18"/>
        </w:rPr>
        <w:t xml:space="preserve"> je</w:t>
      </w:r>
      <w:r w:rsidRPr="00EE21BE">
        <w:rPr>
          <w:rFonts w:ascii="Arial" w:eastAsia="Times New Roman" w:hAnsi="Arial" w:cs="Arial"/>
          <w:sz w:val="18"/>
          <w:szCs w:val="18"/>
        </w:rPr>
        <w:t xml:space="preserve"> </w:t>
      </w:r>
      <w:r w:rsidR="0051643C" w:rsidRPr="00EE21BE">
        <w:rPr>
          <w:rFonts w:ascii="Arial" w:eastAsia="Times New Roman" w:hAnsi="Arial" w:cs="Arial"/>
          <w:sz w:val="18"/>
          <w:szCs w:val="18"/>
        </w:rPr>
        <w:t>100</w:t>
      </w:r>
      <w:r w:rsidRPr="00EE21BE">
        <w:rPr>
          <w:rFonts w:ascii="Arial" w:eastAsia="Times New Roman" w:hAnsi="Arial" w:cs="Arial"/>
          <w:sz w:val="18"/>
          <w:szCs w:val="18"/>
        </w:rPr>
        <w:t>%.</w:t>
      </w:r>
    </w:p>
    <w:p w14:paraId="1E653529" w14:textId="77777777" w:rsidR="00806E22" w:rsidRPr="00EE21BE" w:rsidRDefault="00806E22" w:rsidP="006F5B42">
      <w:pPr>
        <w:autoSpaceDE w:val="0"/>
        <w:autoSpaceDN w:val="0"/>
        <w:adjustRightInd w:val="0"/>
        <w:spacing w:after="0" w:line="240" w:lineRule="auto"/>
        <w:jc w:val="both"/>
        <w:rPr>
          <w:rFonts w:ascii="Arial" w:eastAsia="Times New Roman" w:hAnsi="Arial" w:cs="Arial"/>
          <w:sz w:val="18"/>
          <w:szCs w:val="18"/>
        </w:rPr>
      </w:pPr>
    </w:p>
    <w:p w14:paraId="5F6CCE3B" w14:textId="151E7E67" w:rsidR="00806E22" w:rsidRPr="00EE21BE" w:rsidRDefault="00806E22" w:rsidP="006F5B42">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Prema okončanoj situaciji iz siječnja 2023. godine (ispostavljena s iznosom 0,00 €) sveukupno izvedeni radovi prema ugovoru iznose 1.878.134,35 € (s porezom na dodanu vrijednost). Ovaj obračun se odnosi na nesporne radove i preduvjet je ishođenja uporabne dozvole. Dio vrijednosti investicije u iznosu 1.635.992,76 kn bez PDV-a ili 2.044.990,956 kn (271.416,94 €) izvoditelj potražuje na temelju nepredvidivih okolnosti, troškova globalnog poremećaja cijena na tržištu građevinskim materijala i proizvoda, te će biti pokrenut postupak sporovi / arbitraža sukladno č</w:t>
      </w:r>
      <w:r w:rsidR="002F346A" w:rsidRPr="00EE21BE">
        <w:rPr>
          <w:rFonts w:ascii="Arial" w:eastAsia="Times New Roman" w:hAnsi="Arial" w:cs="Arial"/>
          <w:sz w:val="18"/>
          <w:szCs w:val="18"/>
        </w:rPr>
        <w:t>lanku posebnih uvjeta zaključenog Ugovora.</w:t>
      </w:r>
    </w:p>
    <w:p w14:paraId="4283CD51" w14:textId="77777777" w:rsidR="00E4338D" w:rsidRPr="00EE21BE" w:rsidRDefault="00E4338D" w:rsidP="00E4338D">
      <w:pPr>
        <w:autoSpaceDE w:val="0"/>
        <w:autoSpaceDN w:val="0"/>
        <w:adjustRightInd w:val="0"/>
        <w:spacing w:after="0" w:line="240" w:lineRule="auto"/>
        <w:rPr>
          <w:rFonts w:ascii="Arial" w:hAnsi="Arial" w:cs="Arial"/>
          <w:sz w:val="18"/>
          <w:szCs w:val="18"/>
        </w:rPr>
      </w:pPr>
    </w:p>
    <w:p w14:paraId="60B6E97C" w14:textId="6035D875" w:rsidR="005A6EFC" w:rsidRPr="00EE21BE" w:rsidRDefault="005A6EFC" w:rsidP="005A6EFC">
      <w:pPr>
        <w:autoSpaceDE w:val="0"/>
        <w:autoSpaceDN w:val="0"/>
        <w:adjustRightInd w:val="0"/>
        <w:spacing w:after="0" w:line="240" w:lineRule="auto"/>
        <w:jc w:val="both"/>
        <w:rPr>
          <w:rFonts w:ascii="Arial" w:eastAsia="Calibri" w:hAnsi="Arial" w:cs="Arial"/>
          <w:sz w:val="18"/>
          <w:szCs w:val="18"/>
        </w:rPr>
      </w:pPr>
      <w:r w:rsidRPr="00EE21BE">
        <w:rPr>
          <w:rFonts w:ascii="Arial" w:eastAsia="Calibri" w:hAnsi="Arial" w:cs="Arial"/>
          <w:sz w:val="18"/>
          <w:szCs w:val="18"/>
        </w:rPr>
        <w:t xml:space="preserve">Primopredaja radova je obavljena u 2023. </w:t>
      </w:r>
      <w:r w:rsidR="002F346A" w:rsidRPr="00EE21BE">
        <w:rPr>
          <w:rFonts w:ascii="Arial" w:eastAsia="Calibri" w:hAnsi="Arial" w:cs="Arial"/>
          <w:sz w:val="18"/>
          <w:szCs w:val="18"/>
        </w:rPr>
        <w:t>Nadležni Upravni odjel županije, ispostavio je:</w:t>
      </w:r>
    </w:p>
    <w:p w14:paraId="78D79B4C" w14:textId="29CF5D2F" w:rsidR="002F346A" w:rsidRPr="00EE21BE" w:rsidRDefault="002F346A" w:rsidP="002F346A">
      <w:pPr>
        <w:pStyle w:val="Odlomakpopisa"/>
        <w:numPr>
          <w:ilvl w:val="0"/>
          <w:numId w:val="8"/>
        </w:numPr>
        <w:autoSpaceDE w:val="0"/>
        <w:autoSpaceDN w:val="0"/>
        <w:adjustRightInd w:val="0"/>
        <w:rPr>
          <w:rFonts w:ascii="Arial" w:hAnsi="Arial" w:cs="Arial"/>
          <w:sz w:val="18"/>
          <w:szCs w:val="18"/>
        </w:rPr>
      </w:pPr>
      <w:r w:rsidRPr="00EE21BE">
        <w:rPr>
          <w:rFonts w:ascii="Arial" w:hAnsi="Arial" w:cs="Arial"/>
          <w:b/>
          <w:sz w:val="18"/>
          <w:szCs w:val="18"/>
          <w:u w:val="single"/>
        </w:rPr>
        <w:t xml:space="preserve">Uporabnu dozvolu; </w:t>
      </w:r>
      <w:r w:rsidRPr="00EE21BE">
        <w:rPr>
          <w:rFonts w:ascii="Arial" w:hAnsi="Arial" w:cs="Arial"/>
          <w:bCs/>
          <w:sz w:val="18"/>
          <w:szCs w:val="18"/>
        </w:rPr>
        <w:t>KLASA: UP/I-361-05/23-01/000053; URBROJ:2117-23-6/1-23-0017, Gruda od 19.12.2023., Dubrovačko-</w:t>
      </w:r>
      <w:r w:rsidRPr="00EE21BE">
        <w:rPr>
          <w:rFonts w:ascii="Arial" w:hAnsi="Arial" w:cs="Arial"/>
          <w:sz w:val="18"/>
          <w:szCs w:val="18"/>
        </w:rPr>
        <w:t>neretvanska županija, Upravni odjel za prostorno uređenje i gradnju, Ispostava u Grudi. Dozvola je pravomoćna 20.12.2023.</w:t>
      </w:r>
    </w:p>
    <w:p w14:paraId="7E71BBD6" w14:textId="77777777" w:rsidR="002F5822" w:rsidRPr="00FF3C31" w:rsidRDefault="002F5822" w:rsidP="00E4338D">
      <w:pPr>
        <w:autoSpaceDE w:val="0"/>
        <w:autoSpaceDN w:val="0"/>
        <w:adjustRightInd w:val="0"/>
        <w:spacing w:after="0" w:line="240" w:lineRule="auto"/>
        <w:rPr>
          <w:rFonts w:ascii="Arial" w:hAnsi="Arial" w:cs="Arial"/>
          <w:sz w:val="20"/>
          <w:szCs w:val="20"/>
        </w:rPr>
      </w:pPr>
    </w:p>
    <w:p w14:paraId="18175954"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p>
    <w:p w14:paraId="52CABD09" w14:textId="7F0D9289" w:rsidR="0004156F" w:rsidRPr="00FF3C31" w:rsidRDefault="00992554" w:rsidP="0004156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Strateški c</w:t>
      </w:r>
      <w:r w:rsidR="0004156F" w:rsidRPr="00FF3C31">
        <w:rPr>
          <w:rFonts w:ascii="Arial" w:eastAsia="Times New Roman" w:hAnsi="Arial" w:cs="Arial"/>
          <w:b/>
          <w:sz w:val="20"/>
          <w:szCs w:val="20"/>
        </w:rPr>
        <w:t>ilj 2: Unapređenje infrastrukture</w:t>
      </w:r>
    </w:p>
    <w:p w14:paraId="46C2F416" w14:textId="77777777" w:rsidR="0004156F" w:rsidRPr="00FF3C31" w:rsidRDefault="0004156F" w:rsidP="0004156F">
      <w:pPr>
        <w:autoSpaceDE w:val="0"/>
        <w:autoSpaceDN w:val="0"/>
        <w:adjustRightInd w:val="0"/>
        <w:spacing w:after="0" w:line="240" w:lineRule="auto"/>
        <w:jc w:val="both"/>
        <w:rPr>
          <w:rFonts w:ascii="Arial" w:eastAsia="Times New Roman" w:hAnsi="Arial" w:cs="Arial"/>
          <w:b/>
          <w:sz w:val="20"/>
          <w:szCs w:val="20"/>
          <w:u w:val="single"/>
        </w:rPr>
      </w:pPr>
    </w:p>
    <w:p w14:paraId="401AC676" w14:textId="77777777" w:rsidR="0004156F" w:rsidRPr="00FF3C31" w:rsidRDefault="0004156F" w:rsidP="0004156F">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Prioritet 2.3. Unapređenje društvene, kulturne i turističke infrastrukture</w:t>
      </w:r>
    </w:p>
    <w:p w14:paraId="5E3C67DE"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p>
    <w:p w14:paraId="525C781F" w14:textId="77777777" w:rsidR="002F0351" w:rsidRPr="00FF3C31" w:rsidRDefault="002F0351" w:rsidP="002F0351">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Ovaj prioritet se ostvaruje kroz:</w:t>
      </w:r>
    </w:p>
    <w:p w14:paraId="104AB986" w14:textId="1DBC0925" w:rsidR="0004156F" w:rsidRPr="00FF3C31" w:rsidRDefault="0004156F" w:rsidP="00B20566">
      <w:pPr>
        <w:autoSpaceDE w:val="0"/>
        <w:autoSpaceDN w:val="0"/>
        <w:adjustRightInd w:val="0"/>
        <w:spacing w:after="0" w:line="240" w:lineRule="auto"/>
        <w:jc w:val="both"/>
        <w:rPr>
          <w:rFonts w:ascii="Arial" w:eastAsia="Times New Roman" w:hAnsi="Arial" w:cs="Arial"/>
          <w:sz w:val="20"/>
          <w:szCs w:val="20"/>
        </w:rPr>
      </w:pPr>
    </w:p>
    <w:p w14:paraId="14301D45" w14:textId="50D7280E" w:rsidR="0004156F" w:rsidRPr="00FF3C31" w:rsidRDefault="002F0351" w:rsidP="0004156F">
      <w:pPr>
        <w:pBdr>
          <w:top w:val="single" w:sz="4" w:space="1" w:color="auto"/>
          <w:left w:val="single" w:sz="4" w:space="3" w:color="auto"/>
          <w:bottom w:val="single" w:sz="4" w:space="1" w:color="auto"/>
          <w:right w:val="single" w:sz="4" w:space="4" w:color="auto"/>
        </w:pBdr>
        <w:autoSpaceDE w:val="0"/>
        <w:autoSpaceDN w:val="0"/>
        <w:adjustRightInd w:val="0"/>
        <w:spacing w:after="0" w:line="240" w:lineRule="auto"/>
        <w:ind w:left="720" w:hanging="720"/>
        <w:rPr>
          <w:rFonts w:ascii="Arial" w:hAnsi="Arial" w:cs="Arial"/>
          <w:b/>
          <w:sz w:val="20"/>
          <w:szCs w:val="20"/>
        </w:rPr>
      </w:pPr>
      <w:r w:rsidRPr="00FF3C31">
        <w:rPr>
          <w:rFonts w:ascii="Arial" w:hAnsi="Arial" w:cs="Arial"/>
          <w:b/>
          <w:sz w:val="20"/>
          <w:szCs w:val="20"/>
        </w:rPr>
        <w:t>2.3</w:t>
      </w:r>
      <w:r w:rsidR="0004156F" w:rsidRPr="00FF3C31">
        <w:rPr>
          <w:rFonts w:ascii="Arial" w:hAnsi="Arial" w:cs="Arial"/>
          <w:b/>
          <w:sz w:val="20"/>
          <w:szCs w:val="20"/>
        </w:rPr>
        <w:t>. b)</w:t>
      </w:r>
      <w:r w:rsidR="0004156F" w:rsidRPr="00FF3C31">
        <w:rPr>
          <w:rFonts w:ascii="Arial" w:hAnsi="Arial" w:cs="Arial"/>
          <w:sz w:val="20"/>
          <w:szCs w:val="20"/>
        </w:rPr>
        <w:tab/>
      </w:r>
      <w:r w:rsidR="0004156F" w:rsidRPr="00FF3C31">
        <w:rPr>
          <w:rFonts w:ascii="Arial" w:hAnsi="Arial" w:cs="Arial"/>
          <w:b/>
          <w:sz w:val="20"/>
          <w:szCs w:val="20"/>
        </w:rPr>
        <w:t xml:space="preserve">Program (2101) – Izgradnja i uređenje objekata javne namjene – predškolski odgoj i školstvo </w:t>
      </w:r>
    </w:p>
    <w:p w14:paraId="14DF9D70" w14:textId="77777777" w:rsidR="0004156F" w:rsidRPr="00FF3C31" w:rsidRDefault="0004156F" w:rsidP="0004156F">
      <w:pPr>
        <w:autoSpaceDE w:val="0"/>
        <w:autoSpaceDN w:val="0"/>
        <w:adjustRightInd w:val="0"/>
        <w:spacing w:after="0" w:line="240" w:lineRule="auto"/>
        <w:rPr>
          <w:rFonts w:ascii="Arial" w:hAnsi="Arial" w:cs="Arial"/>
          <w:sz w:val="20"/>
          <w:szCs w:val="20"/>
        </w:rPr>
      </w:pPr>
    </w:p>
    <w:p w14:paraId="61A77C18" w14:textId="77777777" w:rsidR="0004156F" w:rsidRPr="00FF3C31" w:rsidRDefault="0004156F" w:rsidP="0004156F">
      <w:pPr>
        <w:autoSpaceDE w:val="0"/>
        <w:autoSpaceDN w:val="0"/>
        <w:adjustRightInd w:val="0"/>
        <w:spacing w:after="0" w:line="240" w:lineRule="auto"/>
        <w:rPr>
          <w:rFonts w:ascii="Arial" w:hAnsi="Arial" w:cs="Arial"/>
          <w:sz w:val="20"/>
          <w:szCs w:val="20"/>
        </w:rPr>
      </w:pPr>
      <w:r w:rsidRPr="00FF3C31">
        <w:rPr>
          <w:rFonts w:ascii="Arial" w:hAnsi="Arial" w:cs="Arial"/>
          <w:sz w:val="20"/>
          <w:szCs w:val="20"/>
        </w:rPr>
        <w:t xml:space="preserve">b1) </w:t>
      </w:r>
      <w:r w:rsidRPr="00FF3C31">
        <w:rPr>
          <w:rFonts w:ascii="Arial" w:hAnsi="Arial" w:cs="Arial"/>
          <w:sz w:val="20"/>
          <w:szCs w:val="20"/>
        </w:rPr>
        <w:tab/>
        <w:t>Kapitalni projekt (K210101) Proširenje dječjeg vrtića na Grudi</w:t>
      </w:r>
    </w:p>
    <w:p w14:paraId="71509D93" w14:textId="77777777" w:rsidR="0004156F" w:rsidRPr="00FF3C31" w:rsidRDefault="0004156F" w:rsidP="0004156F">
      <w:pPr>
        <w:autoSpaceDE w:val="0"/>
        <w:autoSpaceDN w:val="0"/>
        <w:adjustRightInd w:val="0"/>
        <w:spacing w:after="0" w:line="240" w:lineRule="auto"/>
        <w:rPr>
          <w:rFonts w:ascii="Arial" w:hAnsi="Arial" w:cs="Arial"/>
          <w:sz w:val="20"/>
          <w:szCs w:val="20"/>
        </w:rPr>
      </w:pPr>
      <w:r w:rsidRPr="00FF3C31">
        <w:rPr>
          <w:rFonts w:ascii="Arial" w:hAnsi="Arial" w:cs="Arial"/>
          <w:sz w:val="20"/>
          <w:szCs w:val="20"/>
        </w:rPr>
        <w:t xml:space="preserve">b2) </w:t>
      </w:r>
      <w:r w:rsidRPr="00FF3C31">
        <w:rPr>
          <w:rFonts w:ascii="Arial" w:hAnsi="Arial" w:cs="Arial"/>
          <w:sz w:val="20"/>
          <w:szCs w:val="20"/>
        </w:rPr>
        <w:tab/>
        <w:t>Kapitalni projekt (K210102) Izgradnja novog dječjeg vrtića u Cavtatu</w:t>
      </w:r>
    </w:p>
    <w:p w14:paraId="3CBA1015" w14:textId="77777777" w:rsidR="0004156F" w:rsidRPr="00FF3C31" w:rsidRDefault="0004156F" w:rsidP="0004156F">
      <w:pPr>
        <w:autoSpaceDE w:val="0"/>
        <w:autoSpaceDN w:val="0"/>
        <w:adjustRightInd w:val="0"/>
        <w:spacing w:after="0" w:line="240" w:lineRule="auto"/>
        <w:rPr>
          <w:rFonts w:ascii="Arial" w:eastAsia="Calibri" w:hAnsi="Arial" w:cs="Arial"/>
          <w:sz w:val="20"/>
          <w:szCs w:val="20"/>
        </w:rPr>
      </w:pPr>
      <w:r w:rsidRPr="00FF3C31">
        <w:rPr>
          <w:rFonts w:ascii="Arial" w:eastAsia="Calibri" w:hAnsi="Arial" w:cs="Arial"/>
          <w:sz w:val="20"/>
          <w:szCs w:val="20"/>
        </w:rPr>
        <w:t xml:space="preserve">b3) </w:t>
      </w:r>
      <w:r w:rsidRPr="00FF3C31">
        <w:rPr>
          <w:rFonts w:ascii="Arial" w:eastAsia="Calibri" w:hAnsi="Arial" w:cs="Arial"/>
          <w:sz w:val="20"/>
          <w:szCs w:val="20"/>
        </w:rPr>
        <w:tab/>
        <w:t>Kapitalni projekt (K210103) Izgradnja nove osnovne škole u Cavtatu</w:t>
      </w:r>
    </w:p>
    <w:p w14:paraId="4907BCE3" w14:textId="77777777" w:rsidR="0004156F" w:rsidRPr="00FF3C31" w:rsidRDefault="0004156F" w:rsidP="0004156F">
      <w:pPr>
        <w:autoSpaceDE w:val="0"/>
        <w:autoSpaceDN w:val="0"/>
        <w:adjustRightInd w:val="0"/>
        <w:spacing w:after="0" w:line="240" w:lineRule="auto"/>
        <w:rPr>
          <w:rFonts w:ascii="Arial" w:eastAsia="Calibri" w:hAnsi="Arial" w:cs="Arial"/>
          <w:sz w:val="20"/>
          <w:szCs w:val="20"/>
        </w:rPr>
      </w:pPr>
      <w:r w:rsidRPr="00FF3C31">
        <w:rPr>
          <w:rFonts w:ascii="Arial" w:eastAsia="Calibri" w:hAnsi="Arial" w:cs="Arial"/>
          <w:sz w:val="20"/>
          <w:szCs w:val="20"/>
        </w:rPr>
        <w:t xml:space="preserve">b4) </w:t>
      </w:r>
      <w:r w:rsidRPr="00FF3C31">
        <w:rPr>
          <w:rFonts w:ascii="Arial" w:eastAsia="Calibri" w:hAnsi="Arial" w:cs="Arial"/>
          <w:sz w:val="20"/>
          <w:szCs w:val="20"/>
        </w:rPr>
        <w:tab/>
        <w:t>Kapitalni projekt (K210105) Pripremne radnje, projektiranje i izgradnja dječjeg vrtića u Čilipima</w:t>
      </w:r>
    </w:p>
    <w:p w14:paraId="091E41A0" w14:textId="6CF20461" w:rsidR="003E30B1" w:rsidRPr="00FF3C31" w:rsidRDefault="003E30B1" w:rsidP="003E30B1">
      <w:pPr>
        <w:autoSpaceDE w:val="0"/>
        <w:autoSpaceDN w:val="0"/>
        <w:adjustRightInd w:val="0"/>
        <w:spacing w:after="0" w:line="240" w:lineRule="auto"/>
        <w:ind w:left="2836" w:firstLine="709"/>
        <w:jc w:val="both"/>
        <w:rPr>
          <w:rFonts w:ascii="Arial" w:hAnsi="Arial" w:cs="Arial"/>
          <w:sz w:val="20"/>
          <w:szCs w:val="20"/>
        </w:rPr>
      </w:pPr>
    </w:p>
    <w:p w14:paraId="54AA3787" w14:textId="77777777" w:rsidR="00156E6C" w:rsidRPr="00FF3C31" w:rsidRDefault="00156E6C" w:rsidP="00156E6C">
      <w:pPr>
        <w:autoSpaceDE w:val="0"/>
        <w:autoSpaceDN w:val="0"/>
        <w:adjustRightInd w:val="0"/>
        <w:spacing w:after="0" w:line="240" w:lineRule="auto"/>
        <w:jc w:val="both"/>
        <w:rPr>
          <w:rFonts w:ascii="Arial" w:hAnsi="Arial" w:cs="Arial"/>
          <w:color w:val="0070C0"/>
          <w:sz w:val="20"/>
          <w:szCs w:val="20"/>
        </w:rPr>
      </w:pPr>
      <w:r w:rsidRPr="00FF3C31">
        <w:rPr>
          <w:rFonts w:ascii="Arial" w:hAnsi="Arial" w:cs="Arial"/>
          <w:color w:val="0070C0"/>
          <w:sz w:val="20"/>
          <w:szCs w:val="20"/>
        </w:rPr>
        <w:t>Provedba cilja i prioriteta iz ovog dijela je povezana s provedbom mjera i posebnih ciljeva iz Provedbenog programa pod točkom:</w:t>
      </w:r>
    </w:p>
    <w:p w14:paraId="212122B1" w14:textId="77777777" w:rsidR="00156E6C" w:rsidRPr="00FF3C31" w:rsidRDefault="00156E6C" w:rsidP="00156E6C">
      <w:pPr>
        <w:autoSpaceDE w:val="0"/>
        <w:autoSpaceDN w:val="0"/>
        <w:adjustRightInd w:val="0"/>
        <w:spacing w:after="0" w:line="240" w:lineRule="auto"/>
        <w:ind w:firstLine="709"/>
        <w:jc w:val="both"/>
        <w:rPr>
          <w:rFonts w:ascii="Arial" w:hAnsi="Arial" w:cs="Arial"/>
          <w:color w:val="0070C0"/>
          <w:sz w:val="20"/>
          <w:szCs w:val="20"/>
        </w:rPr>
      </w:pPr>
      <w:r w:rsidRPr="00FF3C31">
        <w:rPr>
          <w:rFonts w:ascii="Arial" w:hAnsi="Arial" w:cs="Arial"/>
          <w:color w:val="0070C0"/>
          <w:sz w:val="20"/>
          <w:szCs w:val="20"/>
        </w:rPr>
        <w:t xml:space="preserve">- Prioriteta 2. Poboljšanje kvalitete života, te unapređenje ljudskog kapitala, </w:t>
      </w:r>
    </w:p>
    <w:p w14:paraId="0F3CA251" w14:textId="77777777" w:rsidR="00156E6C" w:rsidRPr="00FF3C31" w:rsidRDefault="00156E6C" w:rsidP="00156E6C">
      <w:pPr>
        <w:autoSpaceDE w:val="0"/>
        <w:autoSpaceDN w:val="0"/>
        <w:adjustRightInd w:val="0"/>
        <w:spacing w:after="0" w:line="240" w:lineRule="auto"/>
        <w:ind w:left="1418" w:firstLine="709"/>
        <w:jc w:val="both"/>
        <w:rPr>
          <w:rFonts w:ascii="Arial" w:hAnsi="Arial" w:cs="Arial"/>
          <w:color w:val="0070C0"/>
          <w:sz w:val="20"/>
          <w:szCs w:val="20"/>
        </w:rPr>
      </w:pPr>
      <w:r w:rsidRPr="00FF3C31">
        <w:rPr>
          <w:rFonts w:ascii="Arial" w:hAnsi="Arial" w:cs="Arial"/>
          <w:color w:val="0070C0"/>
          <w:sz w:val="20"/>
          <w:szCs w:val="20"/>
        </w:rPr>
        <w:t>-</w:t>
      </w:r>
      <w:r w:rsidRPr="00FF3C31">
        <w:rPr>
          <w:rFonts w:ascii="Arial" w:hAnsi="Arial" w:cs="Arial"/>
          <w:color w:val="0070C0"/>
          <w:sz w:val="20"/>
          <w:szCs w:val="20"/>
        </w:rPr>
        <w:tab/>
        <w:t xml:space="preserve">posebnim ciljem 2.1. Unapređenje kvalitete i dostupnosti društvenih usluga, </w:t>
      </w:r>
    </w:p>
    <w:p w14:paraId="242BB1E1" w14:textId="3A1AD014" w:rsidR="00156E6C" w:rsidRPr="00FF3C31" w:rsidRDefault="00156E6C" w:rsidP="00156E6C">
      <w:pPr>
        <w:autoSpaceDE w:val="0"/>
        <w:autoSpaceDN w:val="0"/>
        <w:adjustRightInd w:val="0"/>
        <w:spacing w:after="0" w:line="240" w:lineRule="auto"/>
        <w:ind w:left="2836" w:firstLine="709"/>
        <w:jc w:val="both"/>
        <w:rPr>
          <w:rFonts w:ascii="Arial" w:hAnsi="Arial" w:cs="Arial"/>
          <w:color w:val="0070C0"/>
          <w:sz w:val="20"/>
          <w:szCs w:val="20"/>
        </w:rPr>
      </w:pPr>
      <w:r w:rsidRPr="00FF3C31">
        <w:rPr>
          <w:rFonts w:ascii="Arial" w:hAnsi="Arial" w:cs="Arial"/>
          <w:color w:val="0070C0"/>
          <w:sz w:val="20"/>
          <w:szCs w:val="20"/>
        </w:rPr>
        <w:t xml:space="preserve">mjerom 2.1.1. Unapređenje obrazovne infrastrukture, kvalitete programa i ljudskih resursa u obrazovanju </w:t>
      </w:r>
    </w:p>
    <w:p w14:paraId="3B7490F4" w14:textId="77777777" w:rsidR="006354FC" w:rsidRPr="00FF3C31" w:rsidRDefault="006354FC" w:rsidP="0004156F">
      <w:pPr>
        <w:autoSpaceDE w:val="0"/>
        <w:autoSpaceDN w:val="0"/>
        <w:adjustRightInd w:val="0"/>
        <w:spacing w:after="0" w:line="240" w:lineRule="auto"/>
        <w:rPr>
          <w:rFonts w:ascii="Arial" w:hAnsi="Arial" w:cs="Arial"/>
          <w:sz w:val="20"/>
          <w:szCs w:val="20"/>
        </w:rPr>
      </w:pPr>
    </w:p>
    <w:p w14:paraId="2F17302B" w14:textId="77777777" w:rsidR="00E5738B" w:rsidRPr="004D6232" w:rsidRDefault="0004156F" w:rsidP="00E5738B">
      <w:pPr>
        <w:pBdr>
          <w:top w:val="dotted" w:sz="4" w:space="1" w:color="auto"/>
          <w:left w:val="dotted" w:sz="4" w:space="4" w:color="auto"/>
          <w:bottom w:val="dotted" w:sz="4" w:space="1" w:color="auto"/>
          <w:right w:val="dotted" w:sz="4" w:space="4" w:color="auto"/>
        </w:pBdr>
        <w:autoSpaceDE w:val="0"/>
        <w:autoSpaceDN w:val="0"/>
        <w:adjustRightInd w:val="0"/>
        <w:rPr>
          <w:rFonts w:ascii="Arial" w:eastAsia="Calibri" w:hAnsi="Arial" w:cs="Arial"/>
          <w:b/>
        </w:rPr>
      </w:pPr>
      <w:r w:rsidRPr="00FF3C31">
        <w:rPr>
          <w:rFonts w:ascii="Arial" w:hAnsi="Arial" w:cs="Arial"/>
          <w:b/>
          <w:sz w:val="20"/>
          <w:szCs w:val="20"/>
        </w:rPr>
        <w:t xml:space="preserve">K210101: Proširenje dječjeg vrtića na Grudi </w:t>
      </w:r>
      <w:r w:rsidR="00E5738B">
        <w:rPr>
          <w:rFonts w:ascii="Arial" w:eastAsia="Calibri" w:hAnsi="Arial" w:cs="Arial"/>
          <w:b/>
        </w:rPr>
        <w:t>/ Izgradnja novog vrtića na Grudi</w:t>
      </w:r>
    </w:p>
    <w:p w14:paraId="4B6456A8" w14:textId="77777777" w:rsidR="0004156F" w:rsidRPr="00FF3C31" w:rsidRDefault="0004156F" w:rsidP="0004156F">
      <w:pPr>
        <w:autoSpaceDE w:val="0"/>
        <w:autoSpaceDN w:val="0"/>
        <w:adjustRightInd w:val="0"/>
        <w:spacing w:after="0" w:line="240" w:lineRule="auto"/>
        <w:rPr>
          <w:rFonts w:ascii="Arial" w:hAnsi="Arial" w:cs="Arial"/>
          <w:sz w:val="20"/>
          <w:szCs w:val="20"/>
        </w:rPr>
      </w:pPr>
    </w:p>
    <w:p w14:paraId="635D5427" w14:textId="77777777" w:rsidR="0004156F" w:rsidRPr="00FF3C31" w:rsidRDefault="0004156F" w:rsidP="0004156F">
      <w:pPr>
        <w:autoSpaceDE w:val="0"/>
        <w:autoSpaceDN w:val="0"/>
        <w:adjustRightInd w:val="0"/>
        <w:spacing w:after="0" w:line="240" w:lineRule="auto"/>
        <w:rPr>
          <w:rFonts w:ascii="Arial" w:hAnsi="Arial" w:cs="Arial"/>
          <w:sz w:val="20"/>
          <w:szCs w:val="20"/>
        </w:rPr>
      </w:pPr>
      <w:r w:rsidRPr="00FF3C31">
        <w:rPr>
          <w:rFonts w:ascii="Arial" w:hAnsi="Arial" w:cs="Arial"/>
          <w:sz w:val="20"/>
          <w:szCs w:val="20"/>
        </w:rPr>
        <w:t xml:space="preserve">Pokazatelj rezultata je: povećanje broja mjesta u vrtiću do 122, te postotak dovršenosti proširenja vrtića – dvije prostorije za ranu dob (1-3 godine), jedna prostorija za predškolsku dob (3-7 godina), višenamjenska dvorana i proširenje kuhinje. </w:t>
      </w:r>
    </w:p>
    <w:p w14:paraId="0E72564E" w14:textId="77777777" w:rsidR="0004156F" w:rsidRPr="00FF3C31" w:rsidRDefault="0004156F" w:rsidP="0004156F">
      <w:pPr>
        <w:autoSpaceDE w:val="0"/>
        <w:autoSpaceDN w:val="0"/>
        <w:adjustRightInd w:val="0"/>
        <w:spacing w:after="0" w:line="240" w:lineRule="auto"/>
        <w:rPr>
          <w:rFonts w:ascii="Arial" w:hAnsi="Arial" w:cs="Arial"/>
          <w:sz w:val="20"/>
          <w:szCs w:val="20"/>
        </w:rPr>
      </w:pPr>
    </w:p>
    <w:p w14:paraId="5365A4A8" w14:textId="77777777" w:rsidR="0004156F" w:rsidRPr="00EE21BE" w:rsidRDefault="0004156F" w:rsidP="0004156F">
      <w:pPr>
        <w:autoSpaceDE w:val="0"/>
        <w:autoSpaceDN w:val="0"/>
        <w:adjustRightInd w:val="0"/>
        <w:spacing w:after="0" w:line="240" w:lineRule="auto"/>
        <w:rPr>
          <w:rFonts w:ascii="Arial" w:hAnsi="Arial" w:cs="Arial"/>
          <w:sz w:val="18"/>
          <w:szCs w:val="18"/>
        </w:rPr>
      </w:pPr>
      <w:r w:rsidRPr="00EE21BE">
        <w:rPr>
          <w:rFonts w:ascii="Arial" w:hAnsi="Arial" w:cs="Arial"/>
          <w:sz w:val="18"/>
          <w:szCs w:val="18"/>
        </w:rPr>
        <w:t>Dubrovačko-neretvanska županija, Upravni odjel za prostorno uređenje, gradnju i zaštitu okoliša izdalo je:</w:t>
      </w:r>
    </w:p>
    <w:p w14:paraId="7D6AB551" w14:textId="0069B2C5" w:rsidR="0004156F" w:rsidRPr="00EE21BE" w:rsidRDefault="0004156F" w:rsidP="0004156F">
      <w:pPr>
        <w:autoSpaceDE w:val="0"/>
        <w:autoSpaceDN w:val="0"/>
        <w:adjustRightInd w:val="0"/>
        <w:spacing w:after="0" w:line="240" w:lineRule="auto"/>
        <w:rPr>
          <w:rFonts w:ascii="Arial" w:hAnsi="Arial" w:cs="Arial"/>
          <w:sz w:val="18"/>
          <w:szCs w:val="18"/>
        </w:rPr>
      </w:pPr>
      <w:r w:rsidRPr="00EE21BE">
        <w:rPr>
          <w:rFonts w:ascii="Arial" w:hAnsi="Arial" w:cs="Arial"/>
          <w:b/>
          <w:sz w:val="18"/>
          <w:szCs w:val="18"/>
          <w:u w:val="single"/>
        </w:rPr>
        <w:t>Rješenje za građenje</w:t>
      </w:r>
      <w:r w:rsidRPr="00EE21BE">
        <w:rPr>
          <w:rFonts w:ascii="Arial" w:hAnsi="Arial" w:cs="Arial"/>
          <w:sz w:val="18"/>
          <w:szCs w:val="18"/>
        </w:rPr>
        <w:t xml:space="preserve"> za izgradnju-rekonstrukciju dječjeg vrtića na Grudi u skladu sa glavnim projektom; KLASA: UP/I-361-03/10-03/14; URBROJ:</w:t>
      </w:r>
      <w:r w:rsidR="002F0351" w:rsidRPr="00EE21BE">
        <w:rPr>
          <w:rFonts w:ascii="Arial" w:hAnsi="Arial" w:cs="Arial"/>
          <w:sz w:val="18"/>
          <w:szCs w:val="18"/>
        </w:rPr>
        <w:t xml:space="preserve"> </w:t>
      </w:r>
      <w:r w:rsidRPr="00EE21BE">
        <w:rPr>
          <w:rFonts w:ascii="Arial" w:hAnsi="Arial" w:cs="Arial"/>
          <w:sz w:val="18"/>
          <w:szCs w:val="18"/>
        </w:rPr>
        <w:t>2117/1-23/1-2-11-12, Dubrovnik, 12.07.2011. (PRAVOMOĆNA 28.</w:t>
      </w:r>
      <w:r w:rsidR="002F0351" w:rsidRPr="00EE21BE">
        <w:rPr>
          <w:rFonts w:ascii="Arial" w:hAnsi="Arial" w:cs="Arial"/>
          <w:sz w:val="18"/>
          <w:szCs w:val="18"/>
        </w:rPr>
        <w:t xml:space="preserve"> </w:t>
      </w:r>
      <w:r w:rsidRPr="00EE21BE">
        <w:rPr>
          <w:rFonts w:ascii="Arial" w:hAnsi="Arial" w:cs="Arial"/>
          <w:sz w:val="18"/>
          <w:szCs w:val="18"/>
        </w:rPr>
        <w:t>svibnja 2011.).</w:t>
      </w:r>
    </w:p>
    <w:p w14:paraId="01BAE109" w14:textId="77777777" w:rsidR="0004156F" w:rsidRPr="00EE21BE" w:rsidRDefault="0004156F" w:rsidP="0004156F">
      <w:pPr>
        <w:autoSpaceDE w:val="0"/>
        <w:autoSpaceDN w:val="0"/>
        <w:adjustRightInd w:val="0"/>
        <w:spacing w:after="0" w:line="240" w:lineRule="auto"/>
        <w:rPr>
          <w:rFonts w:ascii="Arial" w:hAnsi="Arial" w:cs="Arial"/>
          <w:sz w:val="18"/>
          <w:szCs w:val="18"/>
        </w:rPr>
      </w:pPr>
    </w:p>
    <w:p w14:paraId="7957CC71" w14:textId="0A220F6E" w:rsidR="0004156F" w:rsidRPr="00EE21BE" w:rsidRDefault="0004156F" w:rsidP="007D695C">
      <w:pPr>
        <w:spacing w:after="0" w:line="240" w:lineRule="auto"/>
        <w:jc w:val="both"/>
        <w:rPr>
          <w:rFonts w:ascii="Arial" w:eastAsia="Calibri" w:hAnsi="Arial" w:cs="Arial"/>
          <w:sz w:val="18"/>
          <w:szCs w:val="18"/>
        </w:rPr>
      </w:pPr>
      <w:r w:rsidRPr="00EE21BE">
        <w:rPr>
          <w:rFonts w:ascii="Arial" w:eastAsia="Calibri" w:hAnsi="Arial" w:cs="Arial"/>
          <w:sz w:val="18"/>
          <w:szCs w:val="18"/>
        </w:rPr>
        <w:lastRenderedPageBreak/>
        <w:t xml:space="preserve">Općina Konavle je koncem prosinca 2018. godine sa Agencijom za plaćanja u poljoprivredi, ribarstvu i ruralnom razvoju zaključila </w:t>
      </w:r>
      <w:r w:rsidRPr="00EE21BE">
        <w:rPr>
          <w:rFonts w:ascii="Arial" w:eastAsia="Calibri" w:hAnsi="Arial" w:cs="Arial"/>
          <w:b/>
          <w:sz w:val="18"/>
          <w:szCs w:val="18"/>
        </w:rPr>
        <w:t>ugovor o korištenju bespovratnih sredstava procijenjenog iznosa 6.213.042,21 kn</w:t>
      </w:r>
      <w:r w:rsidR="00227DCD" w:rsidRPr="00EE21BE">
        <w:rPr>
          <w:rFonts w:ascii="Arial" w:eastAsia="Calibri" w:hAnsi="Arial" w:cs="Arial"/>
          <w:b/>
          <w:sz w:val="18"/>
          <w:szCs w:val="18"/>
        </w:rPr>
        <w:t xml:space="preserve"> / 824.612,41 €</w:t>
      </w:r>
      <w:r w:rsidRPr="00EE21BE">
        <w:rPr>
          <w:rFonts w:ascii="Arial" w:eastAsia="Calibri" w:hAnsi="Arial" w:cs="Arial"/>
          <w:sz w:val="18"/>
          <w:szCs w:val="18"/>
        </w:rPr>
        <w:t>. Ugovorom je utvrđeno sa se realizacijom projekta moraju stvoriti tri nova radna mjesta na puno radno vrijeme. Intenzitet potpore je 80% od ukupno prihvatljivih troškova utvrđenih planom nabave. Ukupan iznos prihvatljivih troškova je 7.898.752,76 kn</w:t>
      </w:r>
      <w:r w:rsidR="00227DCD" w:rsidRPr="00EE21BE">
        <w:rPr>
          <w:rFonts w:ascii="Arial" w:eastAsia="Calibri" w:hAnsi="Arial" w:cs="Arial"/>
          <w:sz w:val="18"/>
          <w:szCs w:val="18"/>
        </w:rPr>
        <w:t xml:space="preserve"> / 1.048.344,65 €</w:t>
      </w:r>
      <w:r w:rsidRPr="00EE21BE">
        <w:rPr>
          <w:rFonts w:ascii="Arial" w:eastAsia="Calibri" w:hAnsi="Arial" w:cs="Arial"/>
          <w:sz w:val="18"/>
          <w:szCs w:val="18"/>
        </w:rPr>
        <w:t xml:space="preserve"> (izgradnja i opremanje), pored toga ukupan iznos prihvatljivih općih troškova iznosi do 148.800 kn </w:t>
      </w:r>
      <w:r w:rsidR="00227DCD" w:rsidRPr="00EE21BE">
        <w:rPr>
          <w:rFonts w:ascii="Arial" w:eastAsia="Calibri" w:hAnsi="Arial" w:cs="Arial"/>
          <w:sz w:val="18"/>
          <w:szCs w:val="18"/>
        </w:rPr>
        <w:t xml:space="preserve">/ 19.749,15 € </w:t>
      </w:r>
      <w:r w:rsidRPr="00EE21BE">
        <w:rPr>
          <w:rFonts w:ascii="Arial" w:eastAsia="Calibri" w:hAnsi="Arial" w:cs="Arial"/>
          <w:sz w:val="18"/>
          <w:szCs w:val="18"/>
        </w:rPr>
        <w:t>(konzultantske usluge, troškovi pripreme projekta i vođenje projekta) ili sveukupno 8.047.552,76 kn</w:t>
      </w:r>
      <w:r w:rsidR="00227DCD" w:rsidRPr="00EE21BE">
        <w:rPr>
          <w:rFonts w:ascii="Arial" w:eastAsia="Calibri" w:hAnsi="Arial" w:cs="Arial"/>
          <w:sz w:val="18"/>
          <w:szCs w:val="18"/>
        </w:rPr>
        <w:t xml:space="preserve"> / 1.068.093,80 €</w:t>
      </w:r>
      <w:r w:rsidRPr="00EE21BE">
        <w:rPr>
          <w:rFonts w:ascii="Arial" w:eastAsia="Calibri" w:hAnsi="Arial" w:cs="Arial"/>
          <w:sz w:val="18"/>
          <w:szCs w:val="18"/>
        </w:rPr>
        <w:t>.</w:t>
      </w:r>
    </w:p>
    <w:p w14:paraId="384AF168" w14:textId="77777777" w:rsidR="0004156F" w:rsidRPr="00EE21BE" w:rsidRDefault="0004156F" w:rsidP="007D695C">
      <w:pPr>
        <w:spacing w:after="0" w:line="240" w:lineRule="auto"/>
        <w:jc w:val="both"/>
        <w:rPr>
          <w:rFonts w:ascii="Arial" w:eastAsia="Calibri" w:hAnsi="Arial" w:cs="Arial"/>
          <w:sz w:val="18"/>
          <w:szCs w:val="18"/>
        </w:rPr>
      </w:pPr>
    </w:p>
    <w:p w14:paraId="011F03CD" w14:textId="79F757EE" w:rsidR="0004156F" w:rsidRPr="00EE21BE" w:rsidRDefault="0004156F" w:rsidP="0004156F">
      <w:pPr>
        <w:autoSpaceDE w:val="0"/>
        <w:autoSpaceDN w:val="0"/>
        <w:adjustRightInd w:val="0"/>
        <w:spacing w:after="0" w:line="240" w:lineRule="auto"/>
        <w:rPr>
          <w:rFonts w:ascii="Arial" w:hAnsi="Arial" w:cs="Arial"/>
          <w:sz w:val="18"/>
          <w:szCs w:val="18"/>
        </w:rPr>
      </w:pPr>
      <w:r w:rsidRPr="00EE21BE">
        <w:rPr>
          <w:rFonts w:ascii="Arial" w:hAnsi="Arial" w:cs="Arial"/>
          <w:sz w:val="18"/>
          <w:szCs w:val="18"/>
        </w:rPr>
        <w:t xml:space="preserve">Za izradu dokumentacije o nabavi i vođenje postupka javne nabave projekta dogradnje/rekonstrukcije i opremanja dječjeg vrtića i jaslica na Grudi zaključen je ugovor u travnju 2019. u vrijednosti 55.000 kn </w:t>
      </w:r>
      <w:r w:rsidR="00227DCD" w:rsidRPr="00EE21BE">
        <w:rPr>
          <w:rFonts w:ascii="Arial" w:hAnsi="Arial" w:cs="Arial"/>
          <w:sz w:val="18"/>
          <w:szCs w:val="18"/>
        </w:rPr>
        <w:t xml:space="preserve">/ 7.299,75 € </w:t>
      </w:r>
      <w:r w:rsidRPr="00EE21BE">
        <w:rPr>
          <w:rFonts w:ascii="Arial" w:hAnsi="Arial" w:cs="Arial"/>
          <w:sz w:val="18"/>
          <w:szCs w:val="18"/>
        </w:rPr>
        <w:t>što s porezom na dodanu vrijednost čini 68.750 kn</w:t>
      </w:r>
      <w:r w:rsidR="00E273A9" w:rsidRPr="00EE21BE">
        <w:rPr>
          <w:rFonts w:ascii="Arial" w:hAnsi="Arial" w:cs="Arial"/>
          <w:sz w:val="18"/>
          <w:szCs w:val="18"/>
        </w:rPr>
        <w:t xml:space="preserve"> / 9.124,69 €</w:t>
      </w:r>
      <w:r w:rsidRPr="00EE21BE">
        <w:rPr>
          <w:rFonts w:ascii="Arial" w:hAnsi="Arial" w:cs="Arial"/>
          <w:sz w:val="18"/>
          <w:szCs w:val="18"/>
        </w:rPr>
        <w:t xml:space="preserve">. </w:t>
      </w:r>
    </w:p>
    <w:p w14:paraId="70CDE5E9" w14:textId="77777777"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Postupak javne nabave za odabir izvoditelja radova je poništen u ožujku 2020. Novi postupak nabave je započet u studenom 2020., ali je i ovaj postupak poništen.</w:t>
      </w:r>
    </w:p>
    <w:p w14:paraId="25FA1A9D" w14:textId="77777777"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p>
    <w:p w14:paraId="06DBB7C1" w14:textId="0D0B71AA"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Zbog značajnog porasta vrijednosti investicije odustalo se od korištenja bespovratnih sredstava </w:t>
      </w:r>
      <w:r w:rsidRPr="00EE21BE">
        <w:rPr>
          <w:rFonts w:ascii="Arial" w:eastAsia="Calibri" w:hAnsi="Arial" w:cs="Arial"/>
          <w:b/>
          <w:sz w:val="18"/>
          <w:szCs w:val="18"/>
        </w:rPr>
        <w:t>procijenjenog iznosa 6.213.042,21 kn</w:t>
      </w:r>
      <w:r w:rsidR="002F346A" w:rsidRPr="00EE21BE">
        <w:rPr>
          <w:rFonts w:ascii="Arial" w:eastAsia="Calibri" w:hAnsi="Arial" w:cs="Arial"/>
          <w:b/>
          <w:sz w:val="18"/>
          <w:szCs w:val="18"/>
        </w:rPr>
        <w:t xml:space="preserve"> (824.612,41 €)</w:t>
      </w:r>
      <w:r w:rsidRPr="00EE21BE">
        <w:rPr>
          <w:rFonts w:ascii="Arial" w:eastAsia="Times New Roman" w:hAnsi="Arial" w:cs="Arial"/>
          <w:sz w:val="18"/>
          <w:szCs w:val="18"/>
        </w:rPr>
        <w:t xml:space="preserve">, te će se ovaj projekt nastojati ponovno prijaviti kroz neki novi program korištenja EU sredstava. </w:t>
      </w:r>
    </w:p>
    <w:p w14:paraId="27C498C3" w14:textId="77777777" w:rsidR="00962DD2" w:rsidRPr="00FF3C31" w:rsidRDefault="00962DD2" w:rsidP="0004156F">
      <w:pPr>
        <w:autoSpaceDE w:val="0"/>
        <w:autoSpaceDN w:val="0"/>
        <w:adjustRightInd w:val="0"/>
        <w:spacing w:after="0" w:line="240" w:lineRule="auto"/>
        <w:rPr>
          <w:rFonts w:ascii="Arial" w:hAnsi="Arial" w:cs="Arial"/>
          <w:sz w:val="20"/>
          <w:szCs w:val="20"/>
        </w:rPr>
      </w:pPr>
    </w:p>
    <w:p w14:paraId="48AAC254" w14:textId="77777777" w:rsidR="0004156F" w:rsidRPr="00FF3C31" w:rsidRDefault="0004156F" w:rsidP="0004156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rPr>
          <w:rFonts w:ascii="Arial" w:hAnsi="Arial" w:cs="Arial"/>
          <w:b/>
          <w:sz w:val="20"/>
          <w:szCs w:val="20"/>
        </w:rPr>
      </w:pPr>
      <w:r w:rsidRPr="00FF3C31">
        <w:rPr>
          <w:rFonts w:ascii="Arial" w:hAnsi="Arial" w:cs="Arial"/>
          <w:b/>
          <w:sz w:val="20"/>
          <w:szCs w:val="20"/>
        </w:rPr>
        <w:t>K210102: Izgradnja novog dječjeg vrtića u Cavtatu</w:t>
      </w:r>
    </w:p>
    <w:p w14:paraId="59EDF093"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p>
    <w:p w14:paraId="18330C00" w14:textId="77777777" w:rsidR="0004156F" w:rsidRPr="00FF3C31" w:rsidRDefault="0004156F" w:rsidP="0004156F">
      <w:pPr>
        <w:autoSpaceDE w:val="0"/>
        <w:autoSpaceDN w:val="0"/>
        <w:adjustRightInd w:val="0"/>
        <w:spacing w:after="0" w:line="240" w:lineRule="auto"/>
        <w:rPr>
          <w:rFonts w:ascii="Arial" w:hAnsi="Arial" w:cs="Arial"/>
          <w:sz w:val="20"/>
          <w:szCs w:val="20"/>
        </w:rPr>
      </w:pPr>
      <w:r w:rsidRPr="00FF3C31">
        <w:rPr>
          <w:rFonts w:ascii="Arial" w:hAnsi="Arial" w:cs="Arial"/>
          <w:sz w:val="20"/>
          <w:szCs w:val="20"/>
        </w:rPr>
        <w:t xml:space="preserve">Pokazatelj rezultata je: postotak dovršenosti projekta </w:t>
      </w:r>
    </w:p>
    <w:p w14:paraId="7960123F" w14:textId="0BA99E5E" w:rsidR="0004156F" w:rsidRPr="00FF3C31" w:rsidRDefault="0004156F" w:rsidP="0004156F">
      <w:pPr>
        <w:autoSpaceDE w:val="0"/>
        <w:autoSpaceDN w:val="0"/>
        <w:adjustRightInd w:val="0"/>
        <w:spacing w:after="0" w:line="240" w:lineRule="auto"/>
        <w:rPr>
          <w:rFonts w:ascii="Arial" w:hAnsi="Arial" w:cs="Arial"/>
          <w:sz w:val="20"/>
          <w:szCs w:val="20"/>
        </w:rPr>
      </w:pPr>
      <w:r w:rsidRPr="00FF3C31">
        <w:rPr>
          <w:rFonts w:ascii="Arial" w:hAnsi="Arial" w:cs="Arial"/>
          <w:sz w:val="20"/>
          <w:szCs w:val="20"/>
        </w:rPr>
        <w:t>Polazna vrijednost 202</w:t>
      </w:r>
      <w:r w:rsidR="00E5738B">
        <w:rPr>
          <w:rFonts w:ascii="Arial" w:hAnsi="Arial" w:cs="Arial"/>
          <w:sz w:val="20"/>
          <w:szCs w:val="20"/>
        </w:rPr>
        <w:t>4</w:t>
      </w:r>
      <w:r w:rsidRPr="00FF3C31">
        <w:rPr>
          <w:rFonts w:ascii="Arial" w:hAnsi="Arial" w:cs="Arial"/>
          <w:sz w:val="20"/>
          <w:szCs w:val="20"/>
        </w:rPr>
        <w:t>. = 0% (nula) postotak dovršenosti radova, a 60% izrađenosti projekta.</w:t>
      </w:r>
    </w:p>
    <w:p w14:paraId="75A8E834" w14:textId="0628729D" w:rsidR="0004156F" w:rsidRPr="00FF3C31" w:rsidRDefault="0004156F" w:rsidP="0004156F">
      <w:pPr>
        <w:autoSpaceDE w:val="0"/>
        <w:autoSpaceDN w:val="0"/>
        <w:adjustRightInd w:val="0"/>
        <w:spacing w:after="0" w:line="240" w:lineRule="auto"/>
        <w:rPr>
          <w:rFonts w:ascii="Arial" w:hAnsi="Arial" w:cs="Arial"/>
          <w:sz w:val="20"/>
          <w:szCs w:val="20"/>
        </w:rPr>
      </w:pPr>
      <w:r w:rsidRPr="00FF3C31">
        <w:rPr>
          <w:rFonts w:ascii="Arial" w:hAnsi="Arial" w:cs="Arial"/>
          <w:sz w:val="20"/>
          <w:szCs w:val="20"/>
        </w:rPr>
        <w:t>Ciljna vrijednost za 202</w:t>
      </w:r>
      <w:r w:rsidR="00E5738B">
        <w:rPr>
          <w:rFonts w:ascii="Arial" w:hAnsi="Arial" w:cs="Arial"/>
          <w:sz w:val="20"/>
          <w:szCs w:val="20"/>
        </w:rPr>
        <w:t>5</w:t>
      </w:r>
      <w:r w:rsidRPr="00FF3C31">
        <w:rPr>
          <w:rFonts w:ascii="Arial" w:hAnsi="Arial" w:cs="Arial"/>
          <w:sz w:val="20"/>
          <w:szCs w:val="20"/>
        </w:rPr>
        <w:t xml:space="preserve">. = </w:t>
      </w:r>
      <w:r w:rsidR="00E5738B">
        <w:rPr>
          <w:rFonts w:ascii="Arial" w:hAnsi="Arial" w:cs="Arial"/>
          <w:sz w:val="20"/>
          <w:szCs w:val="20"/>
        </w:rPr>
        <w:t>6</w:t>
      </w:r>
      <w:r w:rsidRPr="00FF3C31">
        <w:rPr>
          <w:rFonts w:ascii="Arial" w:hAnsi="Arial" w:cs="Arial"/>
          <w:sz w:val="20"/>
          <w:szCs w:val="20"/>
        </w:rPr>
        <w:t>0% završenosti projekta i 0% završenosti radova</w:t>
      </w:r>
    </w:p>
    <w:p w14:paraId="6BE113B1" w14:textId="3B5C744C" w:rsidR="0004156F" w:rsidRPr="00FF3C31" w:rsidRDefault="0004156F" w:rsidP="0004156F">
      <w:pPr>
        <w:autoSpaceDE w:val="0"/>
        <w:autoSpaceDN w:val="0"/>
        <w:adjustRightInd w:val="0"/>
        <w:spacing w:after="0" w:line="240" w:lineRule="auto"/>
        <w:rPr>
          <w:rFonts w:ascii="Arial" w:hAnsi="Arial" w:cs="Arial"/>
          <w:sz w:val="20"/>
          <w:szCs w:val="20"/>
        </w:rPr>
      </w:pPr>
      <w:r w:rsidRPr="00FF3C31">
        <w:rPr>
          <w:rFonts w:ascii="Arial" w:hAnsi="Arial" w:cs="Arial"/>
          <w:sz w:val="20"/>
          <w:szCs w:val="20"/>
        </w:rPr>
        <w:t>za 202</w:t>
      </w:r>
      <w:r w:rsidR="00E5738B">
        <w:rPr>
          <w:rFonts w:ascii="Arial" w:hAnsi="Arial" w:cs="Arial"/>
          <w:sz w:val="20"/>
          <w:szCs w:val="20"/>
        </w:rPr>
        <w:t>6</w:t>
      </w:r>
      <w:r w:rsidRPr="00FF3C31">
        <w:rPr>
          <w:rFonts w:ascii="Arial" w:hAnsi="Arial" w:cs="Arial"/>
          <w:sz w:val="20"/>
          <w:szCs w:val="20"/>
        </w:rPr>
        <w:t xml:space="preserve">. = 100% završenost projekta i </w:t>
      </w:r>
      <w:r w:rsidR="006F20F9" w:rsidRPr="00FF3C31">
        <w:rPr>
          <w:rFonts w:ascii="Arial" w:hAnsi="Arial" w:cs="Arial"/>
          <w:sz w:val="20"/>
          <w:szCs w:val="20"/>
        </w:rPr>
        <w:t>0</w:t>
      </w:r>
      <w:r w:rsidRPr="00FF3C31">
        <w:rPr>
          <w:rFonts w:ascii="Arial" w:hAnsi="Arial" w:cs="Arial"/>
          <w:sz w:val="20"/>
          <w:szCs w:val="20"/>
        </w:rPr>
        <w:t>% završenosti radova, za 202</w:t>
      </w:r>
      <w:r w:rsidR="00E5738B">
        <w:rPr>
          <w:rFonts w:ascii="Arial" w:hAnsi="Arial" w:cs="Arial"/>
          <w:sz w:val="20"/>
          <w:szCs w:val="20"/>
        </w:rPr>
        <w:t>7</w:t>
      </w:r>
      <w:r w:rsidRPr="00FF3C31">
        <w:rPr>
          <w:rFonts w:ascii="Arial" w:hAnsi="Arial" w:cs="Arial"/>
          <w:sz w:val="20"/>
          <w:szCs w:val="20"/>
        </w:rPr>
        <w:t xml:space="preserve">. = 100% završenost projekta i </w:t>
      </w:r>
      <w:r w:rsidR="006F20F9" w:rsidRPr="00FF3C31">
        <w:rPr>
          <w:rFonts w:ascii="Arial" w:hAnsi="Arial" w:cs="Arial"/>
          <w:sz w:val="20"/>
          <w:szCs w:val="20"/>
        </w:rPr>
        <w:t>10</w:t>
      </w:r>
      <w:r w:rsidRPr="00FF3C31">
        <w:rPr>
          <w:rFonts w:ascii="Arial" w:hAnsi="Arial" w:cs="Arial"/>
          <w:sz w:val="20"/>
          <w:szCs w:val="20"/>
        </w:rPr>
        <w:t>% završenosti radova</w:t>
      </w:r>
    </w:p>
    <w:p w14:paraId="34BD506F" w14:textId="77777777" w:rsidR="0004156F" w:rsidRPr="00EE21BE" w:rsidRDefault="0004156F" w:rsidP="0004156F">
      <w:pPr>
        <w:autoSpaceDE w:val="0"/>
        <w:autoSpaceDN w:val="0"/>
        <w:adjustRightInd w:val="0"/>
        <w:spacing w:after="0" w:line="240" w:lineRule="auto"/>
        <w:rPr>
          <w:rFonts w:ascii="Arial" w:hAnsi="Arial" w:cs="Arial"/>
          <w:sz w:val="18"/>
          <w:szCs w:val="18"/>
        </w:rPr>
      </w:pPr>
    </w:p>
    <w:p w14:paraId="5DC371C9" w14:textId="00C291A9" w:rsidR="0004156F" w:rsidRPr="00EE21BE" w:rsidRDefault="0004156F" w:rsidP="0004156F">
      <w:pPr>
        <w:autoSpaceDE w:val="0"/>
        <w:autoSpaceDN w:val="0"/>
        <w:adjustRightInd w:val="0"/>
        <w:spacing w:after="0" w:line="240" w:lineRule="auto"/>
        <w:rPr>
          <w:rFonts w:ascii="Arial" w:hAnsi="Arial" w:cs="Arial"/>
          <w:sz w:val="18"/>
          <w:szCs w:val="18"/>
        </w:rPr>
      </w:pPr>
      <w:r w:rsidRPr="00EE21BE">
        <w:rPr>
          <w:rFonts w:ascii="Arial" w:hAnsi="Arial" w:cs="Arial"/>
          <w:sz w:val="18"/>
          <w:szCs w:val="18"/>
        </w:rPr>
        <w:t xml:space="preserve">Izrađena je projektno tehnička dokumentacija za potrebe izrade glavnog projekta izgradnje dječjeg vrtića u iznosu 213.750 kn </w:t>
      </w:r>
      <w:r w:rsidR="002F346A" w:rsidRPr="00EE21BE">
        <w:rPr>
          <w:rFonts w:ascii="Arial" w:hAnsi="Arial" w:cs="Arial"/>
          <w:sz w:val="18"/>
          <w:szCs w:val="18"/>
        </w:rPr>
        <w:t xml:space="preserve">/ 28.369,50 € </w:t>
      </w:r>
      <w:r w:rsidRPr="00EE21BE">
        <w:rPr>
          <w:rFonts w:ascii="Arial" w:hAnsi="Arial" w:cs="Arial"/>
          <w:sz w:val="18"/>
          <w:szCs w:val="18"/>
        </w:rPr>
        <w:t>prema ugovoru iz prosinca 2016.</w:t>
      </w:r>
      <w:r w:rsidR="002F0351" w:rsidRPr="00EE21BE">
        <w:rPr>
          <w:rFonts w:ascii="Arial" w:hAnsi="Arial" w:cs="Arial"/>
          <w:sz w:val="18"/>
          <w:szCs w:val="18"/>
        </w:rPr>
        <w:t xml:space="preserve"> </w:t>
      </w:r>
      <w:r w:rsidRPr="00EE21BE">
        <w:rPr>
          <w:rFonts w:ascii="Arial" w:hAnsi="Arial" w:cs="Arial"/>
          <w:sz w:val="18"/>
          <w:szCs w:val="18"/>
        </w:rPr>
        <w:t>godine.</w:t>
      </w:r>
    </w:p>
    <w:p w14:paraId="2DF12674" w14:textId="77777777" w:rsidR="0004156F" w:rsidRPr="00EE21BE" w:rsidRDefault="0004156F" w:rsidP="0004156F">
      <w:pPr>
        <w:autoSpaceDE w:val="0"/>
        <w:autoSpaceDN w:val="0"/>
        <w:adjustRightInd w:val="0"/>
        <w:spacing w:after="0" w:line="240" w:lineRule="auto"/>
        <w:rPr>
          <w:rFonts w:ascii="Arial" w:hAnsi="Arial" w:cs="Arial"/>
          <w:sz w:val="18"/>
          <w:szCs w:val="18"/>
        </w:rPr>
      </w:pPr>
      <w:r w:rsidRPr="00EE21BE">
        <w:rPr>
          <w:rFonts w:ascii="Arial" w:hAnsi="Arial" w:cs="Arial"/>
          <w:sz w:val="18"/>
          <w:szCs w:val="18"/>
        </w:rPr>
        <w:t>Postotak izvršenosti projekta koncem lipnja 2019. je bio 60%. Početak izgradnje novog vrtića ovisi o lokaciji i početku izgradnje nove osnovne škole u Cavtatu (osnivač škole je Dubrovačko-neretvanska županija).</w:t>
      </w:r>
    </w:p>
    <w:p w14:paraId="175D0257" w14:textId="77777777" w:rsidR="0004156F" w:rsidRPr="00EE21BE" w:rsidRDefault="0004156F" w:rsidP="0004156F">
      <w:pPr>
        <w:autoSpaceDE w:val="0"/>
        <w:autoSpaceDN w:val="0"/>
        <w:adjustRightInd w:val="0"/>
        <w:spacing w:after="0" w:line="240" w:lineRule="auto"/>
        <w:rPr>
          <w:rFonts w:ascii="Arial" w:hAnsi="Arial" w:cs="Arial"/>
          <w:sz w:val="18"/>
          <w:szCs w:val="18"/>
        </w:rPr>
      </w:pPr>
    </w:p>
    <w:p w14:paraId="662F810B" w14:textId="77777777" w:rsidR="0004156F" w:rsidRPr="00EE21BE" w:rsidRDefault="0004156F" w:rsidP="0004156F">
      <w:pPr>
        <w:autoSpaceDE w:val="0"/>
        <w:autoSpaceDN w:val="0"/>
        <w:adjustRightInd w:val="0"/>
        <w:spacing w:after="0" w:line="240" w:lineRule="auto"/>
        <w:rPr>
          <w:rFonts w:ascii="Arial" w:hAnsi="Arial" w:cs="Arial"/>
          <w:sz w:val="18"/>
          <w:szCs w:val="18"/>
        </w:rPr>
      </w:pPr>
      <w:r w:rsidRPr="00EE21BE">
        <w:rPr>
          <w:rFonts w:ascii="Arial" w:hAnsi="Arial" w:cs="Arial"/>
          <w:sz w:val="18"/>
          <w:szCs w:val="18"/>
        </w:rPr>
        <w:t>Rashodi nisu izvršavani.</w:t>
      </w:r>
    </w:p>
    <w:p w14:paraId="4776811A" w14:textId="77777777" w:rsidR="0004156F" w:rsidRDefault="0004156F" w:rsidP="0004156F">
      <w:pPr>
        <w:autoSpaceDE w:val="0"/>
        <w:autoSpaceDN w:val="0"/>
        <w:adjustRightInd w:val="0"/>
        <w:spacing w:after="0" w:line="240" w:lineRule="auto"/>
        <w:jc w:val="both"/>
        <w:rPr>
          <w:rFonts w:ascii="Arial" w:eastAsia="Times New Roman" w:hAnsi="Arial" w:cs="Arial"/>
          <w:sz w:val="20"/>
          <w:szCs w:val="20"/>
        </w:rPr>
      </w:pPr>
    </w:p>
    <w:p w14:paraId="0C27F87C" w14:textId="77777777" w:rsidR="00EE21BE" w:rsidRPr="00FF3C31" w:rsidRDefault="00EE21BE" w:rsidP="0004156F">
      <w:pPr>
        <w:autoSpaceDE w:val="0"/>
        <w:autoSpaceDN w:val="0"/>
        <w:adjustRightInd w:val="0"/>
        <w:spacing w:after="0" w:line="240" w:lineRule="auto"/>
        <w:jc w:val="both"/>
        <w:rPr>
          <w:rFonts w:ascii="Arial" w:eastAsia="Times New Roman" w:hAnsi="Arial" w:cs="Arial"/>
          <w:sz w:val="20"/>
          <w:szCs w:val="20"/>
        </w:rPr>
      </w:pPr>
    </w:p>
    <w:p w14:paraId="284390D2" w14:textId="567677F0" w:rsidR="0004156F" w:rsidRPr="00FF3C31" w:rsidRDefault="0004156F" w:rsidP="0004156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rPr>
          <w:rFonts w:ascii="Arial" w:eastAsia="Calibri" w:hAnsi="Arial" w:cs="Arial"/>
          <w:b/>
          <w:sz w:val="20"/>
          <w:szCs w:val="20"/>
        </w:rPr>
      </w:pPr>
      <w:r w:rsidRPr="00FF3C31">
        <w:rPr>
          <w:rFonts w:ascii="Arial" w:eastAsia="Calibri" w:hAnsi="Arial" w:cs="Arial"/>
          <w:b/>
          <w:sz w:val="20"/>
          <w:szCs w:val="20"/>
        </w:rPr>
        <w:t>K210103: Izgradnja nove osnovne škole u Cavtatu</w:t>
      </w:r>
      <w:r w:rsidR="007636D1">
        <w:rPr>
          <w:rFonts w:ascii="Arial" w:eastAsia="Calibri" w:hAnsi="Arial" w:cs="Arial"/>
          <w:b/>
          <w:sz w:val="20"/>
          <w:szCs w:val="20"/>
        </w:rPr>
        <w:t xml:space="preserve"> s trodijelnom dvoranom i cestom u okviru škole</w:t>
      </w:r>
    </w:p>
    <w:p w14:paraId="4317A1FA" w14:textId="77777777" w:rsidR="0004156F" w:rsidRPr="00FF3C31" w:rsidRDefault="0004156F" w:rsidP="0004156F">
      <w:pPr>
        <w:autoSpaceDE w:val="0"/>
        <w:autoSpaceDN w:val="0"/>
        <w:adjustRightInd w:val="0"/>
        <w:spacing w:after="0" w:line="240" w:lineRule="auto"/>
        <w:rPr>
          <w:rFonts w:ascii="Arial" w:eastAsia="Calibri" w:hAnsi="Arial" w:cs="Arial"/>
          <w:sz w:val="20"/>
          <w:szCs w:val="20"/>
        </w:rPr>
      </w:pPr>
    </w:p>
    <w:p w14:paraId="7CADDDEA" w14:textId="77777777" w:rsidR="0004156F" w:rsidRPr="00FF3C31" w:rsidRDefault="0004156F" w:rsidP="0004156F">
      <w:pPr>
        <w:autoSpaceDE w:val="0"/>
        <w:autoSpaceDN w:val="0"/>
        <w:adjustRightInd w:val="0"/>
        <w:spacing w:after="0" w:line="240" w:lineRule="auto"/>
        <w:rPr>
          <w:rFonts w:ascii="Arial" w:eastAsia="Calibri" w:hAnsi="Arial" w:cs="Arial"/>
          <w:sz w:val="20"/>
          <w:szCs w:val="20"/>
        </w:rPr>
      </w:pPr>
      <w:r w:rsidRPr="00FF3C31">
        <w:rPr>
          <w:rFonts w:ascii="Arial" w:eastAsia="Calibri" w:hAnsi="Arial" w:cs="Arial"/>
          <w:sz w:val="20"/>
          <w:szCs w:val="20"/>
        </w:rPr>
        <w:t>Pokazatelj rezultata je: postotak dovršenosti projekta i dovršenosti izgradnje škole</w:t>
      </w:r>
    </w:p>
    <w:p w14:paraId="35276201" w14:textId="4926DF62" w:rsidR="0004156F" w:rsidRPr="00FF3C31" w:rsidRDefault="0004156F" w:rsidP="0004156F">
      <w:pPr>
        <w:autoSpaceDE w:val="0"/>
        <w:autoSpaceDN w:val="0"/>
        <w:adjustRightInd w:val="0"/>
        <w:spacing w:after="0" w:line="240" w:lineRule="auto"/>
        <w:rPr>
          <w:rFonts w:ascii="Arial" w:eastAsia="Calibri" w:hAnsi="Arial" w:cs="Arial"/>
          <w:sz w:val="20"/>
          <w:szCs w:val="20"/>
        </w:rPr>
      </w:pPr>
      <w:r w:rsidRPr="00FF3C31">
        <w:rPr>
          <w:rFonts w:ascii="Arial" w:eastAsia="Calibri" w:hAnsi="Arial" w:cs="Arial"/>
          <w:sz w:val="20"/>
          <w:szCs w:val="20"/>
        </w:rPr>
        <w:t>Polazna vrijednost 202</w:t>
      </w:r>
      <w:r w:rsidR="00E5738B">
        <w:rPr>
          <w:rFonts w:ascii="Arial" w:eastAsia="Calibri" w:hAnsi="Arial" w:cs="Arial"/>
          <w:sz w:val="20"/>
          <w:szCs w:val="20"/>
        </w:rPr>
        <w:t>4</w:t>
      </w:r>
      <w:r w:rsidRPr="00FF3C31">
        <w:rPr>
          <w:rFonts w:ascii="Arial" w:eastAsia="Calibri" w:hAnsi="Arial" w:cs="Arial"/>
          <w:sz w:val="20"/>
          <w:szCs w:val="20"/>
        </w:rPr>
        <w:t xml:space="preserve">. = 0% (nula) postotak dovršenosti radova, a </w:t>
      </w:r>
      <w:r w:rsidR="00E5738B">
        <w:rPr>
          <w:rFonts w:ascii="Arial" w:eastAsia="Calibri" w:hAnsi="Arial" w:cs="Arial"/>
          <w:sz w:val="20"/>
          <w:szCs w:val="20"/>
        </w:rPr>
        <w:t>9</w:t>
      </w:r>
      <w:r w:rsidR="000821A5" w:rsidRPr="00FF3C31">
        <w:rPr>
          <w:rFonts w:ascii="Arial" w:eastAsia="Calibri" w:hAnsi="Arial" w:cs="Arial"/>
          <w:sz w:val="20"/>
          <w:szCs w:val="20"/>
        </w:rPr>
        <w:t>0</w:t>
      </w:r>
      <w:r w:rsidRPr="00FF3C31">
        <w:rPr>
          <w:rFonts w:ascii="Arial" w:eastAsia="Calibri" w:hAnsi="Arial" w:cs="Arial"/>
          <w:sz w:val="20"/>
          <w:szCs w:val="20"/>
        </w:rPr>
        <w:t>% izrađenosti projekta.</w:t>
      </w:r>
    </w:p>
    <w:p w14:paraId="42E78DEA" w14:textId="1153D028" w:rsidR="0004156F" w:rsidRPr="00FF3C31" w:rsidRDefault="0004156F" w:rsidP="0004156F">
      <w:pPr>
        <w:autoSpaceDE w:val="0"/>
        <w:autoSpaceDN w:val="0"/>
        <w:adjustRightInd w:val="0"/>
        <w:spacing w:after="0" w:line="240" w:lineRule="auto"/>
        <w:rPr>
          <w:rFonts w:ascii="Arial" w:eastAsia="Calibri" w:hAnsi="Arial" w:cs="Arial"/>
          <w:sz w:val="20"/>
          <w:szCs w:val="20"/>
        </w:rPr>
      </w:pPr>
      <w:r w:rsidRPr="00FF3C31">
        <w:rPr>
          <w:rFonts w:ascii="Arial" w:eastAsia="Calibri" w:hAnsi="Arial" w:cs="Arial"/>
          <w:sz w:val="20"/>
          <w:szCs w:val="20"/>
        </w:rPr>
        <w:t>Ciljna vrijednost za 202</w:t>
      </w:r>
      <w:r w:rsidR="00E5738B">
        <w:rPr>
          <w:rFonts w:ascii="Arial" w:eastAsia="Calibri" w:hAnsi="Arial" w:cs="Arial"/>
          <w:sz w:val="20"/>
          <w:szCs w:val="20"/>
        </w:rPr>
        <w:t>5</w:t>
      </w:r>
      <w:r w:rsidRPr="00FF3C31">
        <w:rPr>
          <w:rFonts w:ascii="Arial" w:eastAsia="Calibri" w:hAnsi="Arial" w:cs="Arial"/>
          <w:sz w:val="20"/>
          <w:szCs w:val="20"/>
        </w:rPr>
        <w:t xml:space="preserve">. = 100% završenosti projekta i </w:t>
      </w:r>
      <w:r w:rsidR="00E5738B">
        <w:rPr>
          <w:rFonts w:ascii="Arial" w:eastAsia="Calibri" w:hAnsi="Arial" w:cs="Arial"/>
          <w:sz w:val="20"/>
          <w:szCs w:val="20"/>
        </w:rPr>
        <w:t>3</w:t>
      </w:r>
      <w:r w:rsidR="006F20F9" w:rsidRPr="00FF3C31">
        <w:rPr>
          <w:rFonts w:ascii="Arial" w:eastAsia="Calibri" w:hAnsi="Arial" w:cs="Arial"/>
          <w:sz w:val="20"/>
          <w:szCs w:val="20"/>
        </w:rPr>
        <w:t>0</w:t>
      </w:r>
      <w:r w:rsidRPr="00FF3C31">
        <w:rPr>
          <w:rFonts w:ascii="Arial" w:eastAsia="Calibri" w:hAnsi="Arial" w:cs="Arial"/>
          <w:sz w:val="20"/>
          <w:szCs w:val="20"/>
        </w:rPr>
        <w:t>% završenosti radova</w:t>
      </w:r>
    </w:p>
    <w:p w14:paraId="483C23C6" w14:textId="4E4DCEDB" w:rsidR="0004156F" w:rsidRPr="00FF3C31" w:rsidRDefault="0004156F" w:rsidP="0004156F">
      <w:pPr>
        <w:autoSpaceDE w:val="0"/>
        <w:autoSpaceDN w:val="0"/>
        <w:adjustRightInd w:val="0"/>
        <w:spacing w:after="0" w:line="240" w:lineRule="auto"/>
        <w:rPr>
          <w:rFonts w:ascii="Arial" w:eastAsia="Calibri" w:hAnsi="Arial" w:cs="Arial"/>
          <w:sz w:val="20"/>
          <w:szCs w:val="20"/>
        </w:rPr>
      </w:pPr>
      <w:r w:rsidRPr="00FF3C31">
        <w:rPr>
          <w:rFonts w:ascii="Arial" w:eastAsia="Calibri" w:hAnsi="Arial" w:cs="Arial"/>
          <w:sz w:val="20"/>
          <w:szCs w:val="20"/>
        </w:rPr>
        <w:t>za 202</w:t>
      </w:r>
      <w:r w:rsidR="00E5738B">
        <w:rPr>
          <w:rFonts w:ascii="Arial" w:eastAsia="Calibri" w:hAnsi="Arial" w:cs="Arial"/>
          <w:sz w:val="20"/>
          <w:szCs w:val="20"/>
        </w:rPr>
        <w:t>6</w:t>
      </w:r>
      <w:r w:rsidRPr="00FF3C31">
        <w:rPr>
          <w:rFonts w:ascii="Arial" w:eastAsia="Calibri" w:hAnsi="Arial" w:cs="Arial"/>
          <w:sz w:val="20"/>
          <w:szCs w:val="20"/>
        </w:rPr>
        <w:t xml:space="preserve">. = 100% završenost projekta i </w:t>
      </w:r>
      <w:r w:rsidR="00E5738B">
        <w:rPr>
          <w:rFonts w:ascii="Arial" w:eastAsia="Calibri" w:hAnsi="Arial" w:cs="Arial"/>
          <w:sz w:val="20"/>
          <w:szCs w:val="20"/>
        </w:rPr>
        <w:t>95</w:t>
      </w:r>
      <w:r w:rsidRPr="00FF3C31">
        <w:rPr>
          <w:rFonts w:ascii="Arial" w:eastAsia="Calibri" w:hAnsi="Arial" w:cs="Arial"/>
          <w:sz w:val="20"/>
          <w:szCs w:val="20"/>
        </w:rPr>
        <w:t>% završenosti radova, za 202</w:t>
      </w:r>
      <w:r w:rsidR="00E5738B">
        <w:rPr>
          <w:rFonts w:ascii="Arial" w:eastAsia="Calibri" w:hAnsi="Arial" w:cs="Arial"/>
          <w:sz w:val="20"/>
          <w:szCs w:val="20"/>
        </w:rPr>
        <w:t>7</w:t>
      </w:r>
      <w:r w:rsidRPr="00FF3C31">
        <w:rPr>
          <w:rFonts w:ascii="Arial" w:eastAsia="Calibri" w:hAnsi="Arial" w:cs="Arial"/>
          <w:sz w:val="20"/>
          <w:szCs w:val="20"/>
        </w:rPr>
        <w:t xml:space="preserve">. = 100% završenost projekta i </w:t>
      </w:r>
      <w:r w:rsidR="000821A5" w:rsidRPr="00FF3C31">
        <w:rPr>
          <w:rFonts w:ascii="Arial" w:eastAsia="Calibri" w:hAnsi="Arial" w:cs="Arial"/>
          <w:sz w:val="20"/>
          <w:szCs w:val="20"/>
        </w:rPr>
        <w:t>10</w:t>
      </w:r>
      <w:r w:rsidRPr="00FF3C31">
        <w:rPr>
          <w:rFonts w:ascii="Arial" w:eastAsia="Calibri" w:hAnsi="Arial" w:cs="Arial"/>
          <w:sz w:val="20"/>
          <w:szCs w:val="20"/>
        </w:rPr>
        <w:t>0% završenosti radova</w:t>
      </w:r>
    </w:p>
    <w:p w14:paraId="46352DA2" w14:textId="77777777" w:rsidR="0004156F" w:rsidRPr="00FF3C31" w:rsidRDefault="0004156F" w:rsidP="0004156F">
      <w:pPr>
        <w:autoSpaceDE w:val="0"/>
        <w:autoSpaceDN w:val="0"/>
        <w:adjustRightInd w:val="0"/>
        <w:spacing w:after="0" w:line="240" w:lineRule="auto"/>
        <w:rPr>
          <w:rFonts w:ascii="Arial" w:eastAsia="Calibri" w:hAnsi="Arial" w:cs="Arial"/>
          <w:sz w:val="20"/>
          <w:szCs w:val="20"/>
        </w:rPr>
      </w:pPr>
    </w:p>
    <w:p w14:paraId="01247D5E" w14:textId="77777777" w:rsidR="0004156F" w:rsidRPr="00EE21BE" w:rsidRDefault="0004156F" w:rsidP="0004156F">
      <w:pPr>
        <w:autoSpaceDE w:val="0"/>
        <w:autoSpaceDN w:val="0"/>
        <w:adjustRightInd w:val="0"/>
        <w:spacing w:after="0" w:line="240" w:lineRule="auto"/>
        <w:jc w:val="both"/>
        <w:rPr>
          <w:rFonts w:ascii="Arial" w:hAnsi="Arial" w:cs="Arial"/>
          <w:sz w:val="18"/>
          <w:szCs w:val="18"/>
        </w:rPr>
      </w:pPr>
      <w:r w:rsidRPr="00EE21BE">
        <w:rPr>
          <w:rFonts w:ascii="Arial" w:hAnsi="Arial" w:cs="Arial"/>
          <w:sz w:val="18"/>
          <w:szCs w:val="18"/>
        </w:rPr>
        <w:t xml:space="preserve">U 2015. je izrađena idejna projektna dokumentacija novog objekta OŠ Cavtat i vrtića. Budući kapacitet vrtića i škole ne zadovoljava prostorne i tehničke standarde, Županija i Općina su nakon realizacije svih preduvjeta, odnosno donošenja UPU Cavtat-Zvekovica počele još u 2014. godini sa investiranjem u izradu projektne dokumentacije. Navedeni objekt škole bi za više od 500 učenika osigurao jednosmjensku nastavu. </w:t>
      </w:r>
    </w:p>
    <w:p w14:paraId="6FEA26A2" w14:textId="77777777" w:rsidR="0004156F" w:rsidRPr="00EE21BE" w:rsidRDefault="0004156F" w:rsidP="0004156F">
      <w:pPr>
        <w:autoSpaceDE w:val="0"/>
        <w:autoSpaceDN w:val="0"/>
        <w:adjustRightInd w:val="0"/>
        <w:spacing w:after="0" w:line="240" w:lineRule="auto"/>
        <w:jc w:val="both"/>
        <w:rPr>
          <w:rFonts w:ascii="Arial" w:hAnsi="Arial" w:cs="Arial"/>
          <w:sz w:val="18"/>
          <w:szCs w:val="18"/>
        </w:rPr>
      </w:pPr>
    </w:p>
    <w:p w14:paraId="04D90A7E" w14:textId="57A8E07D" w:rsidR="0004156F" w:rsidRPr="00EE21BE" w:rsidRDefault="0004156F" w:rsidP="0004156F">
      <w:pPr>
        <w:autoSpaceDE w:val="0"/>
        <w:autoSpaceDN w:val="0"/>
        <w:adjustRightInd w:val="0"/>
        <w:spacing w:after="0" w:line="240" w:lineRule="auto"/>
        <w:jc w:val="both"/>
        <w:rPr>
          <w:rFonts w:ascii="Arial" w:hAnsi="Arial" w:cs="Arial"/>
          <w:sz w:val="18"/>
          <w:szCs w:val="18"/>
        </w:rPr>
      </w:pPr>
      <w:r w:rsidRPr="00EE21BE">
        <w:rPr>
          <w:rFonts w:ascii="Arial" w:hAnsi="Arial" w:cs="Arial"/>
          <w:sz w:val="18"/>
          <w:szCs w:val="18"/>
        </w:rPr>
        <w:t>U 2019. rashodi su izvršeni u iznosu 109.625 kn</w:t>
      </w:r>
      <w:r w:rsidR="00B319AE" w:rsidRPr="00EE21BE">
        <w:rPr>
          <w:rFonts w:ascii="Arial" w:hAnsi="Arial" w:cs="Arial"/>
          <w:sz w:val="18"/>
          <w:szCs w:val="18"/>
        </w:rPr>
        <w:t xml:space="preserve"> / 14.549,74 €</w:t>
      </w:r>
      <w:r w:rsidRPr="00EE21BE">
        <w:rPr>
          <w:rFonts w:ascii="Arial" w:hAnsi="Arial" w:cs="Arial"/>
          <w:sz w:val="18"/>
          <w:szCs w:val="18"/>
        </w:rPr>
        <w:t>, a odnosili su se na učešće u nabavi zemljišta za izgradnju osnovne škole u Cavtatu. Naime, Ministarstvo državne imovine je, na temelju ugovora o darovanju od 24.10.2019., Općini dodijelilo zemljište površine 18.118 m² k.č. 501, zk.ul. 1214 k.o. Cavtat odnosno k.č. 534/2 k.o. Cavtat, vrijednosti 10.910.000 kn</w:t>
      </w:r>
      <w:r w:rsidR="00B319AE" w:rsidRPr="00EE21BE">
        <w:rPr>
          <w:rFonts w:ascii="Arial" w:hAnsi="Arial" w:cs="Arial"/>
          <w:sz w:val="18"/>
          <w:szCs w:val="18"/>
        </w:rPr>
        <w:t xml:space="preserve"> / 1.448.005,84 €</w:t>
      </w:r>
      <w:r w:rsidRPr="00EE21BE">
        <w:rPr>
          <w:rFonts w:ascii="Arial" w:hAnsi="Arial" w:cs="Arial"/>
          <w:sz w:val="18"/>
          <w:szCs w:val="18"/>
        </w:rPr>
        <w:t xml:space="preserve"> na kojem bi trebao biti novi objekt osnovne škole (sukladno idejnom rješenju i arhitektonskom projektu iz lipnja 2019.), uz obvezu da se plate troškovi procjene zemljišta i razvrgnuća suvlasničke zajednice s fizičkim osobama. Također, ugovorom o darovanju je utvrđena obveza Općine da darovanu nekretninu privede utvrđenoj namjeni u roku pet godina od dana zaključivanja ugovora i dostavi nadležnom ministarstvu izvršnu uporabnu dozvolu za građevinu za koju je nekretnina darovana.</w:t>
      </w:r>
    </w:p>
    <w:p w14:paraId="15744989" w14:textId="77777777" w:rsidR="0004156F" w:rsidRPr="00EE21BE" w:rsidRDefault="0004156F" w:rsidP="0004156F">
      <w:pPr>
        <w:autoSpaceDE w:val="0"/>
        <w:autoSpaceDN w:val="0"/>
        <w:adjustRightInd w:val="0"/>
        <w:spacing w:after="0" w:line="240" w:lineRule="auto"/>
        <w:jc w:val="both"/>
        <w:rPr>
          <w:rFonts w:ascii="Arial" w:hAnsi="Arial" w:cs="Arial"/>
          <w:sz w:val="18"/>
          <w:szCs w:val="18"/>
        </w:rPr>
      </w:pPr>
    </w:p>
    <w:p w14:paraId="2935C45E" w14:textId="77777777" w:rsidR="0004156F" w:rsidRPr="00EE21BE" w:rsidRDefault="0004156F" w:rsidP="0004156F">
      <w:pPr>
        <w:autoSpaceDE w:val="0"/>
        <w:autoSpaceDN w:val="0"/>
        <w:adjustRightInd w:val="0"/>
        <w:spacing w:after="0" w:line="240" w:lineRule="auto"/>
        <w:jc w:val="both"/>
        <w:rPr>
          <w:rFonts w:ascii="Arial" w:hAnsi="Arial" w:cs="Arial"/>
          <w:sz w:val="18"/>
          <w:szCs w:val="18"/>
        </w:rPr>
      </w:pPr>
      <w:r w:rsidRPr="00EE21BE">
        <w:rPr>
          <w:rFonts w:ascii="Arial" w:hAnsi="Arial" w:cs="Arial"/>
          <w:sz w:val="18"/>
          <w:szCs w:val="18"/>
        </w:rPr>
        <w:t>Prema idejnom projektu izgradnje škole pretpostavljena površina zahvata na izgradnji građevine je oko 8.000 m² (građevina u svrhu izvođenja nastave oko 5.500 m², građevina za tjelesno zdravstvenu kulturu oko 2.500 m², te vanjsko uređenje (asfaltiran tereni, atletska staza, popločene površine, cesta i parking, zelene površine).</w:t>
      </w:r>
    </w:p>
    <w:p w14:paraId="0EBB1B73" w14:textId="77777777"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p>
    <w:p w14:paraId="3B18C153" w14:textId="5D13033F" w:rsidR="0004156F" w:rsidRPr="00EE21BE" w:rsidRDefault="0004156F" w:rsidP="00962DD2">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Otvoreni postupak javne nabave za izradu projektno tehničke dokumentacije za izgradnju osnovne škole u Cavtatu je objavljen 24.11.2020. Odluka o odabiru najpovoljnije ponude donesena je 9.6.2021. </w:t>
      </w:r>
      <w:r w:rsidR="00A712A4" w:rsidRPr="00EE21BE">
        <w:rPr>
          <w:rFonts w:ascii="Arial" w:eastAsia="Times New Roman" w:hAnsi="Arial" w:cs="Arial"/>
          <w:sz w:val="18"/>
          <w:szCs w:val="18"/>
        </w:rPr>
        <w:t xml:space="preserve">na temelju čega je </w:t>
      </w:r>
      <w:r w:rsidR="00C93D0C" w:rsidRPr="00EE21BE">
        <w:rPr>
          <w:rFonts w:ascii="Arial" w:eastAsia="Times New Roman" w:hAnsi="Arial" w:cs="Arial"/>
          <w:sz w:val="18"/>
          <w:szCs w:val="18"/>
        </w:rPr>
        <w:t>u rujnu 2021. zaključen ugovor</w:t>
      </w:r>
      <w:r w:rsidRPr="00EE21BE">
        <w:rPr>
          <w:rFonts w:ascii="Arial" w:eastAsia="Times New Roman" w:hAnsi="Arial" w:cs="Arial"/>
          <w:sz w:val="18"/>
          <w:szCs w:val="18"/>
        </w:rPr>
        <w:t xml:space="preserve"> u vrijednosti 1.740.296,27 kn</w:t>
      </w:r>
      <w:r w:rsidR="00B319AE" w:rsidRPr="00EE21BE">
        <w:rPr>
          <w:rFonts w:ascii="Arial" w:eastAsia="Times New Roman" w:hAnsi="Arial" w:cs="Arial"/>
          <w:sz w:val="18"/>
          <w:szCs w:val="18"/>
        </w:rPr>
        <w:t xml:space="preserve"> / 230.977,01 €</w:t>
      </w:r>
      <w:r w:rsidRPr="00EE21BE">
        <w:rPr>
          <w:rFonts w:ascii="Arial" w:eastAsia="Times New Roman" w:hAnsi="Arial" w:cs="Arial"/>
          <w:sz w:val="18"/>
          <w:szCs w:val="18"/>
        </w:rPr>
        <w:t xml:space="preserve"> što s porezom na dodanu vrijednost čini 2.175.370,34 kn </w:t>
      </w:r>
      <w:r w:rsidR="002F346A" w:rsidRPr="00EE21BE">
        <w:rPr>
          <w:rFonts w:ascii="Arial" w:eastAsia="Times New Roman" w:hAnsi="Arial" w:cs="Arial"/>
          <w:sz w:val="18"/>
          <w:szCs w:val="18"/>
        </w:rPr>
        <w:t xml:space="preserve">(288.721,26 €) </w:t>
      </w:r>
      <w:r w:rsidRPr="00EE21BE">
        <w:rPr>
          <w:rFonts w:ascii="Arial" w:eastAsia="Times New Roman" w:hAnsi="Arial" w:cs="Arial"/>
          <w:sz w:val="18"/>
          <w:szCs w:val="18"/>
        </w:rPr>
        <w:t xml:space="preserve">(Trames d.o.o. Dubrovnik). </w:t>
      </w:r>
      <w:r w:rsidR="00962DD2" w:rsidRPr="00EE21BE">
        <w:rPr>
          <w:rFonts w:ascii="Arial" w:eastAsia="Times New Roman" w:hAnsi="Arial" w:cs="Arial"/>
          <w:sz w:val="18"/>
          <w:szCs w:val="18"/>
        </w:rPr>
        <w:t>Projektant nije u 2021. ispostavljao situacije za obavljene usluge</w:t>
      </w:r>
      <w:r w:rsidR="00C93D0C" w:rsidRPr="00EE21BE">
        <w:rPr>
          <w:rFonts w:ascii="Arial" w:eastAsia="Times New Roman" w:hAnsi="Arial" w:cs="Arial"/>
          <w:sz w:val="18"/>
          <w:szCs w:val="18"/>
        </w:rPr>
        <w:t>.</w:t>
      </w:r>
    </w:p>
    <w:p w14:paraId="3517932F" w14:textId="5D5E2F9E"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U 2021. su izvršeni rashodi u iznosu 62.500 kn</w:t>
      </w:r>
      <w:r w:rsidR="002F0351" w:rsidRPr="00EE21BE">
        <w:rPr>
          <w:rFonts w:ascii="Arial" w:eastAsia="Times New Roman" w:hAnsi="Arial" w:cs="Arial"/>
          <w:sz w:val="18"/>
          <w:szCs w:val="18"/>
        </w:rPr>
        <w:t xml:space="preserve"> </w:t>
      </w:r>
      <w:r w:rsidR="00C93D0C" w:rsidRPr="00EE21BE">
        <w:rPr>
          <w:rFonts w:ascii="Arial" w:eastAsia="Times New Roman" w:hAnsi="Arial" w:cs="Arial"/>
          <w:sz w:val="18"/>
          <w:szCs w:val="18"/>
        </w:rPr>
        <w:t xml:space="preserve">(8.295,18 €) </w:t>
      </w:r>
      <w:r w:rsidR="002F0351" w:rsidRPr="00EE21BE">
        <w:rPr>
          <w:rFonts w:ascii="Arial" w:eastAsia="Times New Roman" w:hAnsi="Arial" w:cs="Arial"/>
          <w:sz w:val="18"/>
          <w:szCs w:val="18"/>
        </w:rPr>
        <w:t xml:space="preserve">koji se </w:t>
      </w:r>
      <w:r w:rsidRPr="00EE21BE">
        <w:rPr>
          <w:rFonts w:ascii="Arial" w:eastAsia="Times New Roman" w:hAnsi="Arial" w:cs="Arial"/>
          <w:sz w:val="18"/>
          <w:szCs w:val="18"/>
        </w:rPr>
        <w:t>odnose na:</w:t>
      </w:r>
    </w:p>
    <w:p w14:paraId="647646E4" w14:textId="286C6A5B" w:rsidR="0004156F" w:rsidRPr="00EE21BE" w:rsidRDefault="0004156F">
      <w:pPr>
        <w:pStyle w:val="Odlomakpopisa"/>
        <w:numPr>
          <w:ilvl w:val="0"/>
          <w:numId w:val="9"/>
        </w:numPr>
        <w:autoSpaceDE w:val="0"/>
        <w:autoSpaceDN w:val="0"/>
        <w:adjustRightInd w:val="0"/>
        <w:ind w:left="567" w:hanging="567"/>
        <w:rPr>
          <w:rFonts w:ascii="Arial" w:hAnsi="Arial" w:cs="Arial"/>
          <w:sz w:val="18"/>
          <w:szCs w:val="18"/>
        </w:rPr>
      </w:pPr>
      <w:r w:rsidRPr="00EE21BE">
        <w:rPr>
          <w:rFonts w:ascii="Arial" w:hAnsi="Arial" w:cs="Arial"/>
          <w:sz w:val="18"/>
          <w:szCs w:val="18"/>
        </w:rPr>
        <w:t>izradu elaborata optimalnog tehničkog rješenja priključenja građevine na niskonaponsku distribucijsku elektroenergetsku mrežu 25.000 kn</w:t>
      </w:r>
      <w:r w:rsidR="007C09FC" w:rsidRPr="00EE21BE">
        <w:rPr>
          <w:rFonts w:ascii="Arial" w:hAnsi="Arial" w:cs="Arial"/>
          <w:sz w:val="18"/>
          <w:szCs w:val="18"/>
        </w:rPr>
        <w:t xml:space="preserve"> (3.318,07 €)</w:t>
      </w:r>
      <w:r w:rsidRPr="00EE21BE">
        <w:rPr>
          <w:rFonts w:ascii="Arial" w:hAnsi="Arial" w:cs="Arial"/>
          <w:sz w:val="18"/>
          <w:szCs w:val="18"/>
        </w:rPr>
        <w:t>, te</w:t>
      </w:r>
    </w:p>
    <w:p w14:paraId="288A8A59" w14:textId="5BFC10A8" w:rsidR="0004156F" w:rsidRPr="00EE21BE" w:rsidRDefault="0004156F">
      <w:pPr>
        <w:pStyle w:val="Odlomakpopisa"/>
        <w:numPr>
          <w:ilvl w:val="0"/>
          <w:numId w:val="9"/>
        </w:numPr>
        <w:autoSpaceDE w:val="0"/>
        <w:autoSpaceDN w:val="0"/>
        <w:adjustRightInd w:val="0"/>
        <w:ind w:left="567" w:hanging="567"/>
        <w:rPr>
          <w:rFonts w:ascii="Arial" w:hAnsi="Arial" w:cs="Arial"/>
          <w:sz w:val="18"/>
          <w:szCs w:val="18"/>
        </w:rPr>
      </w:pPr>
      <w:r w:rsidRPr="00EE21BE">
        <w:rPr>
          <w:rFonts w:ascii="Arial" w:hAnsi="Arial" w:cs="Arial"/>
          <w:sz w:val="18"/>
          <w:szCs w:val="18"/>
        </w:rPr>
        <w:t>usluge košenja, odnosno raščišćavanja terena na parceli buduće osnovne škole 37.500 kn</w:t>
      </w:r>
      <w:r w:rsidR="007C09FC" w:rsidRPr="00EE21BE">
        <w:rPr>
          <w:rFonts w:ascii="Arial" w:hAnsi="Arial" w:cs="Arial"/>
          <w:sz w:val="18"/>
          <w:szCs w:val="18"/>
        </w:rPr>
        <w:t xml:space="preserve"> (4.977.11 €)</w:t>
      </w:r>
      <w:r w:rsidRPr="00EE21BE">
        <w:rPr>
          <w:rFonts w:ascii="Arial" w:hAnsi="Arial" w:cs="Arial"/>
          <w:sz w:val="18"/>
          <w:szCs w:val="18"/>
        </w:rPr>
        <w:t>.</w:t>
      </w:r>
    </w:p>
    <w:p w14:paraId="65EA32ED" w14:textId="77777777" w:rsidR="0004156F" w:rsidRPr="00EE21BE" w:rsidRDefault="0004156F" w:rsidP="002F0351">
      <w:pPr>
        <w:autoSpaceDE w:val="0"/>
        <w:autoSpaceDN w:val="0"/>
        <w:adjustRightInd w:val="0"/>
        <w:spacing w:after="0" w:line="240" w:lineRule="auto"/>
        <w:ind w:left="567" w:hanging="567"/>
        <w:rPr>
          <w:rFonts w:ascii="Arial" w:hAnsi="Arial" w:cs="Arial"/>
          <w:sz w:val="18"/>
          <w:szCs w:val="18"/>
        </w:rPr>
      </w:pPr>
    </w:p>
    <w:p w14:paraId="64B08995" w14:textId="3A28F58C"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Koncem 2021. s HEP-om je započeo dogovor oko izrade dokumentacije za izmještanje dalekovoda koji se sada nalazi na zemljištu predviđenom za izgradnju škole. Ugovor o priključenju buduće građevine na elektroenergetsku mrežu </w:t>
      </w:r>
      <w:r w:rsidR="00C93D0C" w:rsidRPr="00EE21BE">
        <w:rPr>
          <w:rFonts w:ascii="Arial" w:eastAsia="Times New Roman" w:hAnsi="Arial" w:cs="Arial"/>
          <w:sz w:val="18"/>
          <w:szCs w:val="18"/>
        </w:rPr>
        <w:t xml:space="preserve">je </w:t>
      </w:r>
      <w:r w:rsidRPr="00EE21BE">
        <w:rPr>
          <w:rFonts w:ascii="Arial" w:eastAsia="Times New Roman" w:hAnsi="Arial" w:cs="Arial"/>
          <w:sz w:val="18"/>
          <w:szCs w:val="18"/>
        </w:rPr>
        <w:t xml:space="preserve">zaključen, a troškovi priključenja </w:t>
      </w:r>
      <w:r w:rsidR="007C09FC" w:rsidRPr="00EE21BE">
        <w:rPr>
          <w:rFonts w:ascii="Arial" w:eastAsia="Times New Roman" w:hAnsi="Arial" w:cs="Arial"/>
          <w:sz w:val="18"/>
          <w:szCs w:val="18"/>
        </w:rPr>
        <w:t xml:space="preserve">iznose </w:t>
      </w:r>
      <w:r w:rsidRPr="00EE21BE">
        <w:rPr>
          <w:rFonts w:ascii="Arial" w:eastAsia="Times New Roman" w:hAnsi="Arial" w:cs="Arial"/>
          <w:sz w:val="18"/>
          <w:szCs w:val="18"/>
        </w:rPr>
        <w:t>396.875,00 kn</w:t>
      </w:r>
      <w:r w:rsidR="007C09FC" w:rsidRPr="00EE21BE">
        <w:rPr>
          <w:rFonts w:ascii="Arial" w:eastAsia="Times New Roman" w:hAnsi="Arial" w:cs="Arial"/>
          <w:sz w:val="18"/>
          <w:szCs w:val="18"/>
        </w:rPr>
        <w:t xml:space="preserve"> (52.674,36 €)</w:t>
      </w:r>
      <w:r w:rsidR="00C93D0C" w:rsidRPr="00EE21BE">
        <w:rPr>
          <w:rFonts w:ascii="Arial" w:eastAsia="Times New Roman" w:hAnsi="Arial" w:cs="Arial"/>
          <w:sz w:val="18"/>
          <w:szCs w:val="18"/>
        </w:rPr>
        <w:t>.</w:t>
      </w:r>
    </w:p>
    <w:p w14:paraId="639B1103" w14:textId="77777777" w:rsidR="0004156F" w:rsidRPr="00EE21BE" w:rsidRDefault="0004156F" w:rsidP="0004156F">
      <w:pPr>
        <w:autoSpaceDE w:val="0"/>
        <w:autoSpaceDN w:val="0"/>
        <w:adjustRightInd w:val="0"/>
        <w:spacing w:after="0" w:line="240" w:lineRule="auto"/>
        <w:rPr>
          <w:rFonts w:ascii="Arial" w:hAnsi="Arial" w:cs="Arial"/>
          <w:sz w:val="18"/>
          <w:szCs w:val="18"/>
        </w:rPr>
      </w:pPr>
    </w:p>
    <w:p w14:paraId="4EE891E8" w14:textId="4ABD1949" w:rsidR="0004156F" w:rsidRPr="00EE21BE" w:rsidRDefault="0004156F" w:rsidP="0004156F">
      <w:pPr>
        <w:spacing w:after="0" w:line="240" w:lineRule="auto"/>
        <w:jc w:val="both"/>
        <w:rPr>
          <w:rFonts w:ascii="Arial" w:eastAsia="Calibri" w:hAnsi="Arial" w:cs="Arial"/>
          <w:sz w:val="18"/>
          <w:szCs w:val="18"/>
        </w:rPr>
      </w:pPr>
      <w:r w:rsidRPr="00EE21BE">
        <w:rPr>
          <w:rFonts w:ascii="Arial" w:eastAsia="Calibri" w:hAnsi="Arial" w:cs="Arial"/>
          <w:sz w:val="18"/>
          <w:szCs w:val="18"/>
        </w:rPr>
        <w:t>Izvršeni rashodi u 2022. godini u iznosu 1.</w:t>
      </w:r>
      <w:r w:rsidR="00FF66D4" w:rsidRPr="00EE21BE">
        <w:rPr>
          <w:rFonts w:ascii="Arial" w:eastAsia="Calibri" w:hAnsi="Arial" w:cs="Arial"/>
          <w:sz w:val="18"/>
          <w:szCs w:val="18"/>
        </w:rPr>
        <w:t>169.920,84</w:t>
      </w:r>
      <w:r w:rsidRPr="00EE21BE">
        <w:rPr>
          <w:rFonts w:ascii="Arial" w:eastAsia="Calibri" w:hAnsi="Arial" w:cs="Arial"/>
          <w:sz w:val="18"/>
          <w:szCs w:val="18"/>
        </w:rPr>
        <w:t xml:space="preserve"> kn </w:t>
      </w:r>
      <w:r w:rsidR="00C93D0C" w:rsidRPr="00EE21BE">
        <w:rPr>
          <w:rFonts w:ascii="Arial" w:eastAsia="Calibri" w:hAnsi="Arial" w:cs="Arial"/>
          <w:sz w:val="18"/>
          <w:szCs w:val="18"/>
        </w:rPr>
        <w:t xml:space="preserve">(155.275,18 €) </w:t>
      </w:r>
      <w:r w:rsidRPr="00EE21BE">
        <w:rPr>
          <w:rFonts w:ascii="Arial" w:eastAsia="Calibri" w:hAnsi="Arial" w:cs="Arial"/>
          <w:sz w:val="18"/>
          <w:szCs w:val="18"/>
        </w:rPr>
        <w:t>se odnose na plaćanje upravne pristojbe za izdavanje lokacijske dozvole u iznosu 10.000 kn, troškove</w:t>
      </w:r>
      <w:r w:rsidRPr="00EE21BE">
        <w:rPr>
          <w:sz w:val="18"/>
          <w:szCs w:val="18"/>
        </w:rPr>
        <w:t xml:space="preserve"> </w:t>
      </w:r>
      <w:r w:rsidRPr="00EE21BE">
        <w:rPr>
          <w:rFonts w:ascii="Arial" w:eastAsia="Calibri" w:hAnsi="Arial" w:cs="Arial"/>
          <w:sz w:val="18"/>
          <w:szCs w:val="18"/>
        </w:rPr>
        <w:t>za elektroenergetski priključak za zgradu buduće škole 396.875 kn</w:t>
      </w:r>
      <w:r w:rsidR="00C93D0C" w:rsidRPr="00EE21BE">
        <w:rPr>
          <w:rFonts w:ascii="Arial" w:eastAsia="Calibri" w:hAnsi="Arial" w:cs="Arial"/>
          <w:sz w:val="18"/>
          <w:szCs w:val="18"/>
        </w:rPr>
        <w:t xml:space="preserve"> (52.674,36 €)</w:t>
      </w:r>
      <w:r w:rsidRPr="00EE21BE">
        <w:rPr>
          <w:rFonts w:ascii="Arial" w:eastAsia="Calibri" w:hAnsi="Arial" w:cs="Arial"/>
          <w:sz w:val="18"/>
          <w:szCs w:val="18"/>
        </w:rPr>
        <w:t>,</w:t>
      </w:r>
      <w:r w:rsidR="00FF66D4" w:rsidRPr="00EE21BE">
        <w:rPr>
          <w:rFonts w:ascii="Arial" w:eastAsia="Calibri" w:hAnsi="Arial" w:cs="Arial"/>
          <w:sz w:val="18"/>
          <w:szCs w:val="18"/>
        </w:rPr>
        <w:t xml:space="preserve"> troškove revizije glavnog projekta čelične konstrukcije i troškove kontrole glavnog projekta u ukupnom iznosu 19.200 kn</w:t>
      </w:r>
      <w:r w:rsidR="00C93D0C" w:rsidRPr="00EE21BE">
        <w:rPr>
          <w:rFonts w:ascii="Arial" w:eastAsia="Calibri" w:hAnsi="Arial" w:cs="Arial"/>
          <w:sz w:val="18"/>
          <w:szCs w:val="18"/>
        </w:rPr>
        <w:t xml:space="preserve"> (2.548,28 €)</w:t>
      </w:r>
      <w:r w:rsidR="00FF66D4" w:rsidRPr="00EE21BE">
        <w:rPr>
          <w:rFonts w:ascii="Arial" w:eastAsia="Calibri" w:hAnsi="Arial" w:cs="Arial"/>
          <w:sz w:val="18"/>
          <w:szCs w:val="18"/>
        </w:rPr>
        <w:t>,</w:t>
      </w:r>
      <w:r w:rsidRPr="00EE21BE">
        <w:rPr>
          <w:rFonts w:ascii="Arial" w:eastAsia="Calibri" w:hAnsi="Arial" w:cs="Arial"/>
          <w:sz w:val="18"/>
          <w:szCs w:val="18"/>
        </w:rPr>
        <w:t xml:space="preserve"> </w:t>
      </w:r>
      <w:r w:rsidR="00FF66D4" w:rsidRPr="00EE21BE">
        <w:rPr>
          <w:rFonts w:ascii="Arial" w:eastAsia="Calibri" w:hAnsi="Arial" w:cs="Arial"/>
          <w:sz w:val="18"/>
          <w:szCs w:val="18"/>
        </w:rPr>
        <w:t>usluge košenja i pripreme terena u iznosu 75.812,50 kn</w:t>
      </w:r>
      <w:r w:rsidR="00C93D0C" w:rsidRPr="00EE21BE">
        <w:rPr>
          <w:rFonts w:ascii="Arial" w:eastAsia="Calibri" w:hAnsi="Arial" w:cs="Arial"/>
          <w:sz w:val="18"/>
          <w:szCs w:val="18"/>
        </w:rPr>
        <w:t xml:space="preserve"> (10.062,05 €)</w:t>
      </w:r>
      <w:r w:rsidR="00FF66D4" w:rsidRPr="00EE21BE">
        <w:rPr>
          <w:rFonts w:ascii="Arial" w:eastAsia="Calibri" w:hAnsi="Arial" w:cs="Arial"/>
          <w:sz w:val="18"/>
          <w:szCs w:val="18"/>
        </w:rPr>
        <w:t xml:space="preserve">, </w:t>
      </w:r>
      <w:r w:rsidRPr="00EE21BE">
        <w:rPr>
          <w:rFonts w:ascii="Arial" w:eastAsia="Calibri" w:hAnsi="Arial" w:cs="Arial"/>
          <w:sz w:val="18"/>
          <w:szCs w:val="18"/>
        </w:rPr>
        <w:t>te projektno tehničku dokumentaciju za izgradnju buduće osnovne škole 668.033,34 kn (dvije privremene situacije</w:t>
      </w:r>
      <w:r w:rsidR="00C93D0C" w:rsidRPr="00EE21BE">
        <w:rPr>
          <w:rFonts w:ascii="Arial" w:eastAsia="Calibri" w:hAnsi="Arial" w:cs="Arial"/>
          <w:sz w:val="18"/>
          <w:szCs w:val="18"/>
        </w:rPr>
        <w:t>, 88.663,26 €</w:t>
      </w:r>
      <w:r w:rsidR="00FF66D4" w:rsidRPr="00EE21BE">
        <w:rPr>
          <w:rFonts w:ascii="Arial" w:eastAsia="Calibri" w:hAnsi="Arial" w:cs="Arial"/>
          <w:sz w:val="18"/>
          <w:szCs w:val="18"/>
        </w:rPr>
        <w:t>).</w:t>
      </w:r>
    </w:p>
    <w:p w14:paraId="02AFB851" w14:textId="77777777" w:rsidR="00FF66D4" w:rsidRPr="00EE21BE" w:rsidRDefault="00FF66D4" w:rsidP="0004156F">
      <w:pPr>
        <w:spacing w:after="0" w:line="240" w:lineRule="auto"/>
        <w:jc w:val="both"/>
        <w:rPr>
          <w:rFonts w:ascii="Arial" w:eastAsia="Calibri" w:hAnsi="Arial" w:cs="Arial"/>
          <w:sz w:val="18"/>
          <w:szCs w:val="18"/>
        </w:rPr>
      </w:pPr>
    </w:p>
    <w:p w14:paraId="62F75BC0" w14:textId="77777777" w:rsidR="0004156F" w:rsidRPr="00EE21BE" w:rsidRDefault="0004156F">
      <w:pPr>
        <w:numPr>
          <w:ilvl w:val="0"/>
          <w:numId w:val="8"/>
        </w:num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b/>
          <w:sz w:val="18"/>
          <w:szCs w:val="18"/>
          <w:u w:val="single"/>
        </w:rPr>
        <w:t>Lokacijska dozvola</w:t>
      </w:r>
      <w:r w:rsidRPr="00EE21BE">
        <w:rPr>
          <w:rFonts w:ascii="Arial" w:eastAsia="Times New Roman" w:hAnsi="Arial" w:cs="Arial"/>
          <w:sz w:val="18"/>
          <w:szCs w:val="18"/>
        </w:rPr>
        <w:t>; KLASA: UP/I-350-05/22-01/000006; URBROJ:2117-23-6/1-22-0008, Konavle od 19.05.2022., PRAVOMOĆNA, Dubrovačko-neretvanska županija, Upravni odjel za prostorno uređenje i gradnju, Ispostava u Konavlima, izdalo je: lokacijsku dozvolu za ETAPU 1 - građenje građevine infrastrukturne namjene prometnog sustava (cestovni promet), kolno pješačka prometnica, građenje potpornih zidova, te polaganje instalacija vodoopskrbe i oborinske odvodnje, distributivne telekomunikacije, elektroinstalacije i javne rasvjete, te ETAPA 2 – građenje građevine javne i društvene namjene (osnovnoškolska ustanova) – Osnovna škola Cavtat s pripadajućim otvorenim sportskim terenima, parkiralištem i internom prometnicom na građevnoj čestici k.č. 534/2 (č.zem. 501/1 s.i.) k.o.Cavtat, površine 17120 m².</w:t>
      </w:r>
    </w:p>
    <w:p w14:paraId="793AC765" w14:textId="77777777"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p>
    <w:p w14:paraId="49262A0F" w14:textId="71307E99" w:rsidR="00385C62" w:rsidRPr="00EE21BE" w:rsidRDefault="00B243FC">
      <w:pPr>
        <w:pStyle w:val="Odlomakpopisa"/>
        <w:numPr>
          <w:ilvl w:val="0"/>
          <w:numId w:val="8"/>
        </w:numPr>
        <w:autoSpaceDE w:val="0"/>
        <w:autoSpaceDN w:val="0"/>
        <w:adjustRightInd w:val="0"/>
        <w:rPr>
          <w:rFonts w:ascii="Arial" w:hAnsi="Arial" w:cs="Arial"/>
          <w:sz w:val="18"/>
          <w:szCs w:val="18"/>
        </w:rPr>
      </w:pPr>
      <w:r w:rsidRPr="00EE21BE">
        <w:rPr>
          <w:rFonts w:ascii="Arial" w:hAnsi="Arial" w:cs="Arial"/>
          <w:b/>
          <w:sz w:val="18"/>
          <w:szCs w:val="18"/>
          <w:u w:val="single"/>
        </w:rPr>
        <w:t>Gr</w:t>
      </w:r>
      <w:r w:rsidR="003E30B1" w:rsidRPr="00EE21BE">
        <w:rPr>
          <w:rFonts w:ascii="Arial" w:hAnsi="Arial" w:cs="Arial"/>
          <w:b/>
          <w:sz w:val="18"/>
          <w:szCs w:val="18"/>
          <w:u w:val="single"/>
        </w:rPr>
        <w:t>a</w:t>
      </w:r>
      <w:r w:rsidRPr="00EE21BE">
        <w:rPr>
          <w:rFonts w:ascii="Arial" w:hAnsi="Arial" w:cs="Arial"/>
          <w:b/>
          <w:sz w:val="18"/>
          <w:szCs w:val="18"/>
          <w:u w:val="single"/>
        </w:rPr>
        <w:t xml:space="preserve">đevinska dozvola; </w:t>
      </w:r>
      <w:r w:rsidRPr="00EE21BE">
        <w:rPr>
          <w:rFonts w:ascii="Arial" w:hAnsi="Arial" w:cs="Arial"/>
          <w:bCs/>
          <w:sz w:val="18"/>
          <w:szCs w:val="18"/>
        </w:rPr>
        <w:t>KLASA: UP/I-361-03/22-01/000408; URBROJ:2117-23-6/1-23-0018, Gruda od 7.7.2023., Dubrovačko-</w:t>
      </w:r>
      <w:r w:rsidRPr="00EE21BE">
        <w:rPr>
          <w:rFonts w:ascii="Arial" w:hAnsi="Arial" w:cs="Arial"/>
          <w:sz w:val="18"/>
          <w:szCs w:val="18"/>
        </w:rPr>
        <w:t xml:space="preserve">neretvanska županija, Upravni odjel za prostorno uređenje i gradnju, Ispostava u </w:t>
      </w:r>
      <w:r w:rsidR="003E30B1" w:rsidRPr="00EE21BE">
        <w:rPr>
          <w:rFonts w:ascii="Arial" w:hAnsi="Arial" w:cs="Arial"/>
          <w:sz w:val="18"/>
          <w:szCs w:val="18"/>
        </w:rPr>
        <w:t>Grudi,</w:t>
      </w:r>
      <w:r w:rsidRPr="00EE21BE">
        <w:rPr>
          <w:rFonts w:ascii="Arial" w:hAnsi="Arial" w:cs="Arial"/>
          <w:sz w:val="18"/>
          <w:szCs w:val="18"/>
        </w:rPr>
        <w:t xml:space="preserve"> izdalo je: </w:t>
      </w:r>
      <w:r w:rsidR="003E30B1" w:rsidRPr="00EE21BE">
        <w:rPr>
          <w:rFonts w:ascii="Arial" w:hAnsi="Arial" w:cs="Arial"/>
          <w:sz w:val="18"/>
          <w:szCs w:val="18"/>
        </w:rPr>
        <w:t xml:space="preserve">građevinsku </w:t>
      </w:r>
      <w:r w:rsidRPr="00EE21BE">
        <w:rPr>
          <w:rFonts w:ascii="Arial" w:hAnsi="Arial" w:cs="Arial"/>
          <w:sz w:val="18"/>
          <w:szCs w:val="18"/>
        </w:rPr>
        <w:t>dozvolu za</w:t>
      </w:r>
      <w:r w:rsidR="003E30B1" w:rsidRPr="00EE21BE">
        <w:rPr>
          <w:rFonts w:ascii="Arial" w:hAnsi="Arial" w:cs="Arial"/>
          <w:sz w:val="18"/>
          <w:szCs w:val="18"/>
        </w:rPr>
        <w:t xml:space="preserve"> etapno građenje – etapa 2, koja uključuje izgradnju škole s pripadajućim otvorenim sportskim terenima, parkiralištem i internom prometnicom.</w:t>
      </w:r>
    </w:p>
    <w:p w14:paraId="14DC387B" w14:textId="77777777" w:rsidR="00B243FC" w:rsidRPr="00EE21BE" w:rsidRDefault="00B243FC" w:rsidP="0004156F">
      <w:pPr>
        <w:autoSpaceDE w:val="0"/>
        <w:autoSpaceDN w:val="0"/>
        <w:adjustRightInd w:val="0"/>
        <w:spacing w:after="0" w:line="240" w:lineRule="auto"/>
        <w:jc w:val="both"/>
        <w:rPr>
          <w:rFonts w:ascii="Arial" w:eastAsia="Times New Roman" w:hAnsi="Arial" w:cs="Arial"/>
          <w:sz w:val="18"/>
          <w:szCs w:val="18"/>
        </w:rPr>
      </w:pPr>
    </w:p>
    <w:p w14:paraId="00F49E77" w14:textId="77777777" w:rsidR="00C93D0C" w:rsidRPr="00EE21BE" w:rsidRDefault="00C93D0C" w:rsidP="0004156F">
      <w:pPr>
        <w:autoSpaceDE w:val="0"/>
        <w:autoSpaceDN w:val="0"/>
        <w:adjustRightInd w:val="0"/>
        <w:spacing w:after="0" w:line="240" w:lineRule="auto"/>
        <w:jc w:val="both"/>
        <w:rPr>
          <w:rFonts w:ascii="Arial" w:eastAsia="Calibri" w:hAnsi="Arial" w:cs="Arial"/>
          <w:sz w:val="18"/>
          <w:szCs w:val="18"/>
        </w:rPr>
      </w:pPr>
      <w:r w:rsidRPr="00EE21BE">
        <w:rPr>
          <w:rFonts w:ascii="Arial" w:eastAsia="Calibri" w:hAnsi="Arial" w:cs="Arial"/>
          <w:sz w:val="18"/>
          <w:szCs w:val="18"/>
        </w:rPr>
        <w:t>Izvršeni rashodi u 2023. godini iznose 134.331,44 €, a odnose se na:</w:t>
      </w:r>
    </w:p>
    <w:p w14:paraId="6E2101A4" w14:textId="17DE8C76" w:rsidR="00C93D0C" w:rsidRPr="00EE21BE" w:rsidRDefault="00C93D0C" w:rsidP="00C93D0C">
      <w:pPr>
        <w:pStyle w:val="Odlomakpopisa"/>
        <w:numPr>
          <w:ilvl w:val="0"/>
          <w:numId w:val="9"/>
        </w:numPr>
        <w:autoSpaceDE w:val="0"/>
        <w:autoSpaceDN w:val="0"/>
        <w:adjustRightInd w:val="0"/>
        <w:rPr>
          <w:rFonts w:ascii="Arial" w:hAnsi="Arial" w:cs="Arial"/>
          <w:sz w:val="18"/>
          <w:szCs w:val="18"/>
        </w:rPr>
      </w:pPr>
      <w:r w:rsidRPr="00EE21BE">
        <w:rPr>
          <w:rFonts w:ascii="Arial" w:eastAsia="Calibri" w:hAnsi="Arial" w:cs="Arial"/>
          <w:sz w:val="18"/>
          <w:szCs w:val="18"/>
        </w:rPr>
        <w:t>vodni doprinos za građevinu – zgradu javne namjene – buduća osnovna škola u iznosu 1.940,43 €,</w:t>
      </w:r>
    </w:p>
    <w:p w14:paraId="79A486A9" w14:textId="73A13A06" w:rsidR="00C93D0C" w:rsidRPr="00EE21BE" w:rsidRDefault="00C93D0C" w:rsidP="00C93D0C">
      <w:pPr>
        <w:pStyle w:val="Odlomakpopisa"/>
        <w:numPr>
          <w:ilvl w:val="0"/>
          <w:numId w:val="9"/>
        </w:numPr>
        <w:autoSpaceDE w:val="0"/>
        <w:autoSpaceDN w:val="0"/>
        <w:adjustRightInd w:val="0"/>
        <w:rPr>
          <w:rFonts w:ascii="Arial" w:hAnsi="Arial" w:cs="Arial"/>
          <w:sz w:val="18"/>
          <w:szCs w:val="18"/>
        </w:rPr>
      </w:pPr>
      <w:r w:rsidRPr="00EE21BE">
        <w:rPr>
          <w:rFonts w:ascii="Arial" w:eastAsia="Calibri" w:hAnsi="Arial" w:cs="Arial"/>
          <w:sz w:val="18"/>
          <w:szCs w:val="18"/>
        </w:rPr>
        <w:t>projektno tehničku dokumentaciju za izgradnju buduće osnovne škole, treća privremena situacija u iznosu 132.391,01 € (sveukupno izvršeno po ugovoru iz rujna 2021. godine 221.054,27 €</w:t>
      </w:r>
      <w:r w:rsidR="006B1C46" w:rsidRPr="00EE21BE">
        <w:rPr>
          <w:rFonts w:ascii="Arial" w:eastAsia="Calibri" w:hAnsi="Arial" w:cs="Arial"/>
          <w:sz w:val="18"/>
          <w:szCs w:val="18"/>
        </w:rPr>
        <w:t xml:space="preserve"> ili 76,6% ugovorene vrijednosti).</w:t>
      </w:r>
    </w:p>
    <w:p w14:paraId="35ADF300" w14:textId="77777777" w:rsidR="000821A5" w:rsidRPr="00EE21BE" w:rsidRDefault="000821A5" w:rsidP="000821A5">
      <w:pPr>
        <w:autoSpaceDE w:val="0"/>
        <w:autoSpaceDN w:val="0"/>
        <w:adjustRightInd w:val="0"/>
        <w:spacing w:after="0" w:line="240" w:lineRule="auto"/>
        <w:jc w:val="both"/>
        <w:rPr>
          <w:rFonts w:ascii="Arial" w:eastAsia="Times New Roman" w:hAnsi="Arial" w:cs="Arial"/>
          <w:sz w:val="18"/>
          <w:szCs w:val="18"/>
        </w:rPr>
      </w:pPr>
    </w:p>
    <w:p w14:paraId="0378A2CA" w14:textId="1269D091" w:rsidR="00C65494" w:rsidRPr="00EE21BE" w:rsidRDefault="00C65494" w:rsidP="000821A5">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Dodatkom ugovoru iz prosinca 2023. godine s projektantom (Trames d.o.o.) je ugovoreno povećanje vrijednosti usluge za konzultantske usluge</w:t>
      </w:r>
      <w:r w:rsidR="00A712A4" w:rsidRPr="00EE21BE">
        <w:rPr>
          <w:rFonts w:ascii="Arial" w:eastAsia="Times New Roman" w:hAnsi="Arial" w:cs="Arial"/>
          <w:sz w:val="18"/>
          <w:szCs w:val="18"/>
        </w:rPr>
        <w:t xml:space="preserve"> (osnovni ugovor iz rujna 2021.)</w:t>
      </w:r>
      <w:r w:rsidRPr="00EE21BE">
        <w:rPr>
          <w:rFonts w:ascii="Arial" w:eastAsia="Times New Roman" w:hAnsi="Arial" w:cs="Arial"/>
          <w:sz w:val="18"/>
          <w:szCs w:val="18"/>
        </w:rPr>
        <w:t>, te nova vrijednost ugovora iznosi 243.125,51 € što s porezom na dodanu vrijednost iznosi 303.906,89 €.</w:t>
      </w:r>
    </w:p>
    <w:p w14:paraId="5413DF7A" w14:textId="77777777" w:rsidR="00C65494" w:rsidRPr="00FF3C31" w:rsidRDefault="00C65494" w:rsidP="000821A5">
      <w:pPr>
        <w:autoSpaceDE w:val="0"/>
        <w:autoSpaceDN w:val="0"/>
        <w:adjustRightInd w:val="0"/>
        <w:spacing w:after="0" w:line="240" w:lineRule="auto"/>
        <w:jc w:val="both"/>
        <w:rPr>
          <w:rFonts w:ascii="Arial" w:eastAsia="Times New Roman" w:hAnsi="Arial" w:cs="Arial"/>
          <w:sz w:val="20"/>
          <w:szCs w:val="20"/>
        </w:rPr>
      </w:pPr>
    </w:p>
    <w:p w14:paraId="6D500C75" w14:textId="75B179BD" w:rsidR="000821A5" w:rsidRPr="00FF3C31" w:rsidRDefault="000821A5" w:rsidP="000821A5">
      <w:pPr>
        <w:autoSpaceDE w:val="0"/>
        <w:autoSpaceDN w:val="0"/>
        <w:adjustRightInd w:val="0"/>
        <w:spacing w:after="0" w:line="240" w:lineRule="auto"/>
        <w:jc w:val="both"/>
        <w:rPr>
          <w:rFonts w:ascii="Arial" w:eastAsia="Calibri" w:hAnsi="Arial" w:cs="Arial"/>
          <w:sz w:val="20"/>
          <w:szCs w:val="20"/>
        </w:rPr>
      </w:pPr>
      <w:r w:rsidRPr="00FF3C31">
        <w:rPr>
          <w:rFonts w:ascii="Arial" w:eastAsia="Calibri" w:hAnsi="Arial" w:cs="Arial"/>
          <w:sz w:val="20"/>
          <w:szCs w:val="20"/>
        </w:rPr>
        <w:t xml:space="preserve">Izvršeni rashodi u 2024. godini iznose </w:t>
      </w:r>
      <w:r w:rsidR="00B319AE">
        <w:rPr>
          <w:rFonts w:ascii="Arial" w:eastAsia="Calibri" w:hAnsi="Arial" w:cs="Arial"/>
          <w:sz w:val="20"/>
          <w:szCs w:val="20"/>
        </w:rPr>
        <w:t>252.495,30</w:t>
      </w:r>
      <w:r w:rsidRPr="00FF3C31">
        <w:rPr>
          <w:rFonts w:ascii="Arial" w:eastAsia="Calibri" w:hAnsi="Arial" w:cs="Arial"/>
          <w:sz w:val="20"/>
          <w:szCs w:val="20"/>
        </w:rPr>
        <w:t xml:space="preserve"> €, a odnose se na:</w:t>
      </w:r>
    </w:p>
    <w:p w14:paraId="32FACCF5" w14:textId="0A83610D" w:rsidR="000821A5" w:rsidRPr="00FF3C31" w:rsidRDefault="000821A5" w:rsidP="000821A5">
      <w:pPr>
        <w:pStyle w:val="Odlomakpopisa"/>
        <w:numPr>
          <w:ilvl w:val="0"/>
          <w:numId w:val="9"/>
        </w:numPr>
        <w:autoSpaceDE w:val="0"/>
        <w:autoSpaceDN w:val="0"/>
        <w:adjustRightInd w:val="0"/>
        <w:rPr>
          <w:rFonts w:ascii="Arial" w:hAnsi="Arial" w:cs="Arial"/>
        </w:rPr>
      </w:pPr>
      <w:r w:rsidRPr="00FF3C31">
        <w:rPr>
          <w:rFonts w:ascii="Arial" w:eastAsia="Calibri" w:hAnsi="Arial" w:cs="Arial"/>
        </w:rPr>
        <w:t xml:space="preserve">predujam za poslove izmještanja dalekovoda </w:t>
      </w:r>
      <w:r w:rsidR="00A712A4">
        <w:rPr>
          <w:rFonts w:ascii="Arial" w:eastAsia="Calibri" w:hAnsi="Arial" w:cs="Arial"/>
        </w:rPr>
        <w:t>prema</w:t>
      </w:r>
      <w:r w:rsidRPr="00FF3C31">
        <w:rPr>
          <w:rFonts w:ascii="Arial" w:eastAsia="Calibri" w:hAnsi="Arial" w:cs="Arial"/>
        </w:rPr>
        <w:t xml:space="preserve"> ugovoru s Hrvatskom elektroprivredom (projekt izgradnje buduće osnovne škole) u iznosu 186.516,37 €,</w:t>
      </w:r>
    </w:p>
    <w:p w14:paraId="5A958E92" w14:textId="2F6E060E" w:rsidR="000821A5" w:rsidRPr="00FF3C31" w:rsidRDefault="000821A5" w:rsidP="000821A5">
      <w:pPr>
        <w:pStyle w:val="Odlomakpopisa"/>
        <w:numPr>
          <w:ilvl w:val="0"/>
          <w:numId w:val="9"/>
        </w:numPr>
        <w:autoSpaceDE w:val="0"/>
        <w:autoSpaceDN w:val="0"/>
        <w:adjustRightInd w:val="0"/>
        <w:rPr>
          <w:rFonts w:ascii="Arial" w:hAnsi="Arial" w:cs="Arial"/>
        </w:rPr>
      </w:pPr>
      <w:r w:rsidRPr="00FF3C31">
        <w:rPr>
          <w:rFonts w:ascii="Arial" w:eastAsia="Calibri" w:hAnsi="Arial" w:cs="Arial"/>
        </w:rPr>
        <w:t xml:space="preserve">projektno tehničku dokumentaciju za izgradnju buduće osnovne škole, četvrta </w:t>
      </w:r>
      <w:r w:rsidR="00B319AE">
        <w:rPr>
          <w:rFonts w:ascii="Arial" w:eastAsia="Calibri" w:hAnsi="Arial" w:cs="Arial"/>
        </w:rPr>
        <w:t xml:space="preserve">i peta </w:t>
      </w:r>
      <w:r w:rsidRPr="00FF3C31">
        <w:rPr>
          <w:rFonts w:ascii="Arial" w:eastAsia="Calibri" w:hAnsi="Arial" w:cs="Arial"/>
        </w:rPr>
        <w:t xml:space="preserve">privremena situacija u iznosu </w:t>
      </w:r>
      <w:r w:rsidR="00B319AE">
        <w:rPr>
          <w:rFonts w:ascii="Arial" w:eastAsia="Calibri" w:hAnsi="Arial" w:cs="Arial"/>
        </w:rPr>
        <w:t>62.853,93</w:t>
      </w:r>
      <w:r w:rsidRPr="00FF3C31">
        <w:rPr>
          <w:rFonts w:ascii="Arial" w:eastAsia="Calibri" w:hAnsi="Arial" w:cs="Arial"/>
        </w:rPr>
        <w:t xml:space="preserve"> € (sveukupno izvršeno po ugovoru iz rujna 2021. godine </w:t>
      </w:r>
      <w:r w:rsidR="00377976">
        <w:rPr>
          <w:rFonts w:ascii="Arial" w:eastAsia="Calibri" w:hAnsi="Arial" w:cs="Arial"/>
        </w:rPr>
        <w:t>283.908,19</w:t>
      </w:r>
      <w:r w:rsidRPr="00FF3C31">
        <w:rPr>
          <w:rFonts w:ascii="Arial" w:eastAsia="Calibri" w:hAnsi="Arial" w:cs="Arial"/>
        </w:rPr>
        <w:t xml:space="preserve"> € ili </w:t>
      </w:r>
      <w:r w:rsidR="00C65494">
        <w:rPr>
          <w:rFonts w:ascii="Arial" w:eastAsia="Calibri" w:hAnsi="Arial" w:cs="Arial"/>
        </w:rPr>
        <w:t>93,4</w:t>
      </w:r>
      <w:r w:rsidRPr="00FF3C31">
        <w:rPr>
          <w:rFonts w:ascii="Arial" w:eastAsia="Calibri" w:hAnsi="Arial" w:cs="Arial"/>
        </w:rPr>
        <w:t>% ugovorene vrijednosti),</w:t>
      </w:r>
    </w:p>
    <w:p w14:paraId="49FC0587" w14:textId="35F21F85" w:rsidR="000821A5" w:rsidRPr="00FF3C31" w:rsidRDefault="000821A5" w:rsidP="000821A5">
      <w:pPr>
        <w:pStyle w:val="Odlomakpopisa"/>
        <w:numPr>
          <w:ilvl w:val="0"/>
          <w:numId w:val="9"/>
        </w:numPr>
        <w:autoSpaceDE w:val="0"/>
        <w:autoSpaceDN w:val="0"/>
        <w:adjustRightInd w:val="0"/>
        <w:rPr>
          <w:rFonts w:ascii="Arial" w:hAnsi="Arial" w:cs="Arial"/>
        </w:rPr>
      </w:pPr>
      <w:r w:rsidRPr="00FF3C31">
        <w:rPr>
          <w:rFonts w:ascii="Arial" w:eastAsia="Calibri" w:hAnsi="Arial" w:cs="Arial"/>
        </w:rPr>
        <w:t>odvjetničke usluge u postupku pravnog i tehničkog savjetovanja za postupak javne nabave 3.125 €.</w:t>
      </w:r>
    </w:p>
    <w:p w14:paraId="70102024" w14:textId="77777777" w:rsidR="000821A5" w:rsidRDefault="000821A5" w:rsidP="0004156F">
      <w:pPr>
        <w:autoSpaceDE w:val="0"/>
        <w:autoSpaceDN w:val="0"/>
        <w:adjustRightInd w:val="0"/>
        <w:spacing w:after="0" w:line="240" w:lineRule="auto"/>
        <w:jc w:val="both"/>
        <w:rPr>
          <w:rFonts w:ascii="Arial" w:eastAsia="Times New Roman" w:hAnsi="Arial" w:cs="Arial"/>
          <w:sz w:val="20"/>
          <w:szCs w:val="20"/>
        </w:rPr>
      </w:pPr>
    </w:p>
    <w:p w14:paraId="5CD0B8A9" w14:textId="066FD8FA" w:rsidR="007636D1" w:rsidRDefault="007636D1" w:rsidP="007636D1">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U 2025. godini započela je izgradnja osnovne škole u Cavtatu.</w:t>
      </w:r>
    </w:p>
    <w:p w14:paraId="3820A069" w14:textId="77777777" w:rsidR="007636D1" w:rsidRDefault="007636D1" w:rsidP="007636D1">
      <w:pPr>
        <w:autoSpaceDE w:val="0"/>
        <w:autoSpaceDN w:val="0"/>
        <w:adjustRightInd w:val="0"/>
        <w:spacing w:after="0" w:line="240" w:lineRule="auto"/>
        <w:jc w:val="both"/>
        <w:rPr>
          <w:rFonts w:ascii="Arial" w:eastAsia="Calibri" w:hAnsi="Arial" w:cs="Arial"/>
          <w:sz w:val="20"/>
          <w:szCs w:val="20"/>
        </w:rPr>
      </w:pPr>
    </w:p>
    <w:p w14:paraId="03147679" w14:textId="77777777" w:rsidR="007636D1" w:rsidRDefault="007636D1" w:rsidP="007636D1">
      <w:pPr>
        <w:spacing w:after="0" w:line="240" w:lineRule="auto"/>
        <w:jc w:val="both"/>
        <w:rPr>
          <w:rFonts w:ascii="Arial" w:eastAsia="Calibri" w:hAnsi="Arial" w:cs="Arial"/>
          <w:sz w:val="20"/>
          <w:szCs w:val="20"/>
          <w:lang w:eastAsia="en-US"/>
        </w:rPr>
      </w:pPr>
      <w:r>
        <w:rPr>
          <w:rFonts w:ascii="Arial" w:eastAsia="Calibri" w:hAnsi="Arial" w:cs="Arial"/>
          <w:sz w:val="20"/>
          <w:szCs w:val="20"/>
          <w:lang w:eastAsia="en-US"/>
        </w:rPr>
        <w:lastRenderedPageBreak/>
        <w:t>Za potrebe izmještanja dalekovoda u 2022. godini je zaključen ugovor o uređenju međusobnih odnosa. Ovim ugovorom je procijenjena vrijednost troškova u iznosu 2.248.491,98 kn / 298.426,17 € (bez PDV-a), odnosno u iznosu 373.032,71 € s PDV-om. HEP-u kao obvezniku izvođenja radova izmještanja dalekovoda su doznačena sredstva u iznosu 186.516,37 € (s PDV-om). Ugovorom je utvrđeno da će preostali iznos Općina doznačiti HEP-u nakon konačnog obračuna izvođenja radova izmještanja dalekovoda. Prema dostavljenom obračunu u travnju 2025. godine, preostala obveza za troškove izmještanja dalekovoda iznosi 129.944,65 € (te sveukupno izvršeni radovi izmještanja dalekovoda iznose 316.461,02 €).</w:t>
      </w:r>
    </w:p>
    <w:p w14:paraId="74B9F381" w14:textId="77777777" w:rsidR="007636D1" w:rsidRDefault="007636D1" w:rsidP="007636D1">
      <w:pPr>
        <w:autoSpaceDE w:val="0"/>
        <w:autoSpaceDN w:val="0"/>
        <w:adjustRightInd w:val="0"/>
        <w:spacing w:after="0" w:line="240" w:lineRule="auto"/>
        <w:jc w:val="both"/>
        <w:rPr>
          <w:rFonts w:ascii="Arial" w:eastAsia="Calibri" w:hAnsi="Arial" w:cs="Arial"/>
          <w:sz w:val="20"/>
          <w:szCs w:val="20"/>
        </w:rPr>
      </w:pPr>
    </w:p>
    <w:p w14:paraId="3FAC83CA" w14:textId="44AAB83B" w:rsidR="007636D1" w:rsidRDefault="007636D1" w:rsidP="007636D1">
      <w:pPr>
        <w:autoSpaceDE w:val="0"/>
        <w:autoSpaceDN w:val="0"/>
        <w:adjustRightInd w:val="0"/>
        <w:spacing w:after="0" w:line="240" w:lineRule="auto"/>
        <w:jc w:val="both"/>
        <w:rPr>
          <w:rFonts w:ascii="Arial" w:eastAsia="Calibri" w:hAnsi="Arial" w:cs="Arial"/>
          <w:sz w:val="20"/>
          <w:szCs w:val="20"/>
        </w:rPr>
      </w:pPr>
      <w:r w:rsidRPr="00FF3C31">
        <w:rPr>
          <w:rFonts w:ascii="Arial" w:eastAsia="Calibri" w:hAnsi="Arial" w:cs="Arial"/>
          <w:sz w:val="20"/>
          <w:szCs w:val="20"/>
        </w:rPr>
        <w:t>Izvršeni rashodi u 202</w:t>
      </w:r>
      <w:r>
        <w:rPr>
          <w:rFonts w:ascii="Arial" w:eastAsia="Calibri" w:hAnsi="Arial" w:cs="Arial"/>
          <w:sz w:val="20"/>
          <w:szCs w:val="20"/>
        </w:rPr>
        <w:t>5</w:t>
      </w:r>
      <w:r w:rsidRPr="00FF3C31">
        <w:rPr>
          <w:rFonts w:ascii="Arial" w:eastAsia="Calibri" w:hAnsi="Arial" w:cs="Arial"/>
          <w:sz w:val="20"/>
          <w:szCs w:val="20"/>
        </w:rPr>
        <w:t xml:space="preserve">. godini iznose </w:t>
      </w:r>
      <w:r>
        <w:rPr>
          <w:rFonts w:ascii="Arial" w:eastAsia="Calibri" w:hAnsi="Arial" w:cs="Arial"/>
          <w:sz w:val="20"/>
          <w:szCs w:val="20"/>
        </w:rPr>
        <w:t>2.667.860,72</w:t>
      </w:r>
      <w:r w:rsidRPr="00FF3C31">
        <w:rPr>
          <w:rFonts w:ascii="Arial" w:eastAsia="Calibri" w:hAnsi="Arial" w:cs="Arial"/>
          <w:sz w:val="20"/>
          <w:szCs w:val="20"/>
        </w:rPr>
        <w:t xml:space="preserve"> €, a odnose se na:</w:t>
      </w:r>
    </w:p>
    <w:p w14:paraId="63DF4E18" w14:textId="772DDE4A" w:rsidR="007636D1" w:rsidRDefault="007636D1" w:rsidP="007636D1">
      <w:pPr>
        <w:pStyle w:val="Odlomakpopisa"/>
        <w:numPr>
          <w:ilvl w:val="0"/>
          <w:numId w:val="9"/>
        </w:numPr>
        <w:autoSpaceDE w:val="0"/>
        <w:autoSpaceDN w:val="0"/>
        <w:adjustRightInd w:val="0"/>
        <w:rPr>
          <w:rFonts w:ascii="Arial" w:eastAsia="Calibri" w:hAnsi="Arial" w:cs="Arial"/>
        </w:rPr>
      </w:pPr>
      <w:r>
        <w:rPr>
          <w:rFonts w:ascii="Arial" w:eastAsia="Calibri" w:hAnsi="Arial" w:cs="Arial"/>
        </w:rPr>
        <w:t>izmještanje dalekovoda 129.944,65 € (okončani zahtjev HEP-a),</w:t>
      </w:r>
    </w:p>
    <w:p w14:paraId="1785ADC8" w14:textId="360CE1AB" w:rsidR="007636D1" w:rsidRDefault="007636D1" w:rsidP="007636D1">
      <w:pPr>
        <w:pStyle w:val="Odlomakpopisa"/>
        <w:numPr>
          <w:ilvl w:val="0"/>
          <w:numId w:val="9"/>
        </w:numPr>
        <w:autoSpaceDE w:val="0"/>
        <w:autoSpaceDN w:val="0"/>
        <w:adjustRightInd w:val="0"/>
        <w:rPr>
          <w:rFonts w:ascii="Arial" w:eastAsia="Calibri" w:hAnsi="Arial" w:cs="Arial"/>
        </w:rPr>
      </w:pPr>
      <w:r>
        <w:rPr>
          <w:rFonts w:ascii="Arial" w:eastAsia="Calibri" w:hAnsi="Arial" w:cs="Arial"/>
        </w:rPr>
        <w:t xml:space="preserve">priprema terena za odlaganje iskopa na izgradnji osnovne škole 11.500 € i geodetski snimak za deponiranje viška iskopa 875,00 €, </w:t>
      </w:r>
    </w:p>
    <w:p w14:paraId="121EDE1D" w14:textId="2AE9B8E8" w:rsidR="007636D1" w:rsidRDefault="007636D1" w:rsidP="007636D1">
      <w:pPr>
        <w:pStyle w:val="Odlomakpopisa"/>
        <w:numPr>
          <w:ilvl w:val="0"/>
          <w:numId w:val="9"/>
        </w:numPr>
        <w:autoSpaceDE w:val="0"/>
        <w:autoSpaceDN w:val="0"/>
        <w:adjustRightInd w:val="0"/>
        <w:rPr>
          <w:rFonts w:ascii="Arial" w:eastAsia="Calibri" w:hAnsi="Arial" w:cs="Arial"/>
        </w:rPr>
      </w:pPr>
      <w:r>
        <w:rPr>
          <w:rFonts w:ascii="Arial" w:eastAsia="Calibri" w:hAnsi="Arial" w:cs="Arial"/>
        </w:rPr>
        <w:t xml:space="preserve">usluge voditelja projekta izgradnje osnovne škole 45.000 €, </w:t>
      </w:r>
    </w:p>
    <w:p w14:paraId="001624A3" w14:textId="0840E90E" w:rsidR="007636D1" w:rsidRDefault="007636D1" w:rsidP="007636D1">
      <w:pPr>
        <w:pStyle w:val="Odlomakpopisa"/>
        <w:numPr>
          <w:ilvl w:val="0"/>
          <w:numId w:val="9"/>
        </w:numPr>
        <w:autoSpaceDE w:val="0"/>
        <w:autoSpaceDN w:val="0"/>
        <w:adjustRightInd w:val="0"/>
        <w:rPr>
          <w:rFonts w:ascii="Arial" w:eastAsia="Calibri" w:hAnsi="Arial" w:cs="Arial"/>
        </w:rPr>
      </w:pPr>
      <w:r>
        <w:rPr>
          <w:rFonts w:ascii="Arial" w:eastAsia="Calibri" w:hAnsi="Arial" w:cs="Arial"/>
        </w:rPr>
        <w:t>radovi izgradnje osnovne škole (5. privremenih situacija) 2.473.509,82 €,</w:t>
      </w:r>
    </w:p>
    <w:p w14:paraId="5D28B11E" w14:textId="58ABEF32" w:rsidR="007636D1" w:rsidRDefault="007636D1" w:rsidP="007636D1">
      <w:pPr>
        <w:pStyle w:val="Odlomakpopisa"/>
        <w:numPr>
          <w:ilvl w:val="0"/>
          <w:numId w:val="9"/>
        </w:numPr>
        <w:autoSpaceDE w:val="0"/>
        <w:autoSpaceDN w:val="0"/>
        <w:adjustRightInd w:val="0"/>
        <w:rPr>
          <w:rFonts w:ascii="Arial" w:eastAsia="Calibri" w:hAnsi="Arial" w:cs="Arial"/>
        </w:rPr>
      </w:pPr>
      <w:r>
        <w:rPr>
          <w:rFonts w:ascii="Arial" w:eastAsia="Calibri" w:hAnsi="Arial" w:cs="Arial"/>
        </w:rPr>
        <w:t>usluge koordinatora zaštite na radu 7.031,25 €.</w:t>
      </w:r>
    </w:p>
    <w:p w14:paraId="55575E05" w14:textId="77777777" w:rsidR="007636D1" w:rsidRPr="003E771A" w:rsidRDefault="007636D1" w:rsidP="007636D1">
      <w:pPr>
        <w:autoSpaceDE w:val="0"/>
        <w:autoSpaceDN w:val="0"/>
        <w:adjustRightInd w:val="0"/>
        <w:spacing w:after="0" w:line="240" w:lineRule="auto"/>
        <w:rPr>
          <w:rFonts w:ascii="Arial" w:eastAsia="Calibri" w:hAnsi="Arial" w:cs="Arial"/>
          <w:sz w:val="20"/>
          <w:szCs w:val="20"/>
        </w:rPr>
      </w:pPr>
    </w:p>
    <w:p w14:paraId="445A7369" w14:textId="41E06B5A" w:rsidR="007636D1" w:rsidRDefault="00DC7688" w:rsidP="007636D1">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Na temelju provedenog otvorenog postupka</w:t>
      </w:r>
      <w:r w:rsidR="007636D1" w:rsidRPr="007636D1">
        <w:rPr>
          <w:rFonts w:ascii="Arial" w:eastAsia="Times New Roman" w:hAnsi="Arial" w:cs="Arial"/>
          <w:sz w:val="20"/>
          <w:szCs w:val="20"/>
        </w:rPr>
        <w:t xml:space="preserve"> javne nabave za </w:t>
      </w:r>
      <w:r>
        <w:rPr>
          <w:rFonts w:ascii="Arial" w:eastAsia="Times New Roman" w:hAnsi="Arial" w:cs="Arial"/>
          <w:sz w:val="20"/>
          <w:szCs w:val="20"/>
        </w:rPr>
        <w:t xml:space="preserve">odabir izvođača na izgradnji i opremanju škole u </w:t>
      </w:r>
      <w:r w:rsidR="007636D1" w:rsidRPr="007636D1">
        <w:rPr>
          <w:rFonts w:ascii="Arial" w:eastAsia="Times New Roman" w:hAnsi="Arial" w:cs="Arial"/>
          <w:sz w:val="20"/>
          <w:szCs w:val="20"/>
        </w:rPr>
        <w:t>Cavtatu</w:t>
      </w:r>
      <w:r>
        <w:rPr>
          <w:rFonts w:ascii="Arial" w:eastAsia="Times New Roman" w:hAnsi="Arial" w:cs="Arial"/>
          <w:sz w:val="20"/>
          <w:szCs w:val="20"/>
        </w:rPr>
        <w:t xml:space="preserve"> u lipnju 2024. godine je donesena odluka o odabiru izvoditelja. Dana 30.9.2024. je zaključen </w:t>
      </w:r>
      <w:r w:rsidR="007636D1" w:rsidRPr="007636D1">
        <w:rPr>
          <w:rFonts w:ascii="Arial" w:eastAsia="Times New Roman" w:hAnsi="Arial" w:cs="Arial"/>
          <w:sz w:val="20"/>
          <w:szCs w:val="20"/>
        </w:rPr>
        <w:t xml:space="preserve">ugovor u vrijednosti </w:t>
      </w:r>
      <w:bookmarkStart w:id="492" w:name="_Hlk207636675"/>
      <w:r>
        <w:rPr>
          <w:rFonts w:ascii="Arial" w:eastAsia="Times New Roman" w:hAnsi="Arial" w:cs="Arial"/>
          <w:sz w:val="20"/>
          <w:szCs w:val="20"/>
        </w:rPr>
        <w:t>15.285.922,09 €</w:t>
      </w:r>
      <w:r w:rsidR="007636D1" w:rsidRPr="007636D1">
        <w:rPr>
          <w:rFonts w:ascii="Arial" w:eastAsia="Times New Roman" w:hAnsi="Arial" w:cs="Arial"/>
          <w:sz w:val="20"/>
          <w:szCs w:val="20"/>
        </w:rPr>
        <w:t xml:space="preserve"> što s porezom na dodanu vrijednost čini </w:t>
      </w:r>
      <w:r>
        <w:rPr>
          <w:rFonts w:ascii="Arial" w:eastAsia="Times New Roman" w:hAnsi="Arial" w:cs="Arial"/>
          <w:sz w:val="20"/>
          <w:szCs w:val="20"/>
        </w:rPr>
        <w:t>19.107.402,61</w:t>
      </w:r>
      <w:r w:rsidR="007636D1" w:rsidRPr="007636D1">
        <w:rPr>
          <w:rFonts w:ascii="Arial" w:eastAsia="Times New Roman" w:hAnsi="Arial" w:cs="Arial"/>
          <w:sz w:val="20"/>
          <w:szCs w:val="20"/>
        </w:rPr>
        <w:t xml:space="preserve"> € </w:t>
      </w:r>
      <w:bookmarkEnd w:id="492"/>
      <w:r w:rsidR="007636D1" w:rsidRPr="007636D1">
        <w:rPr>
          <w:rFonts w:ascii="Arial" w:eastAsia="Times New Roman" w:hAnsi="Arial" w:cs="Arial"/>
          <w:sz w:val="20"/>
          <w:szCs w:val="20"/>
        </w:rPr>
        <w:t>(</w:t>
      </w:r>
      <w:r>
        <w:rPr>
          <w:rFonts w:ascii="Arial" w:eastAsia="Times New Roman" w:hAnsi="Arial" w:cs="Arial"/>
          <w:sz w:val="20"/>
          <w:szCs w:val="20"/>
        </w:rPr>
        <w:t xml:space="preserve">Strabag </w:t>
      </w:r>
      <w:r w:rsidR="007636D1" w:rsidRPr="007636D1">
        <w:rPr>
          <w:rFonts w:ascii="Arial" w:eastAsia="Times New Roman" w:hAnsi="Arial" w:cs="Arial"/>
          <w:sz w:val="20"/>
          <w:szCs w:val="20"/>
        </w:rPr>
        <w:t xml:space="preserve">d.o.o. </w:t>
      </w:r>
      <w:r>
        <w:rPr>
          <w:rFonts w:ascii="Arial" w:eastAsia="Times New Roman" w:hAnsi="Arial" w:cs="Arial"/>
          <w:sz w:val="20"/>
          <w:szCs w:val="20"/>
        </w:rPr>
        <w:t>Zagreb</w:t>
      </w:r>
      <w:r w:rsidR="007636D1" w:rsidRPr="007636D1">
        <w:rPr>
          <w:rFonts w:ascii="Arial" w:eastAsia="Times New Roman" w:hAnsi="Arial" w:cs="Arial"/>
          <w:sz w:val="20"/>
          <w:szCs w:val="20"/>
        </w:rPr>
        <w:t xml:space="preserve">). </w:t>
      </w:r>
      <w:r>
        <w:rPr>
          <w:rFonts w:ascii="Arial" w:eastAsia="Times New Roman" w:hAnsi="Arial" w:cs="Arial"/>
          <w:sz w:val="20"/>
          <w:szCs w:val="20"/>
        </w:rPr>
        <w:t>Izvođač je dostavio bankarsku garanciju u visini 10% vrijednosti ugovora (bez PDV-a) kao jamstvo za uredno izvršenje ugovora.</w:t>
      </w:r>
    </w:p>
    <w:p w14:paraId="698AB370" w14:textId="77777777" w:rsidR="00DC7688" w:rsidRDefault="00DC7688" w:rsidP="007636D1">
      <w:pPr>
        <w:autoSpaceDE w:val="0"/>
        <w:autoSpaceDN w:val="0"/>
        <w:adjustRightInd w:val="0"/>
        <w:spacing w:after="0" w:line="240" w:lineRule="auto"/>
        <w:jc w:val="both"/>
        <w:rPr>
          <w:rFonts w:ascii="Arial" w:eastAsia="Times New Roman" w:hAnsi="Arial" w:cs="Arial"/>
          <w:sz w:val="20"/>
          <w:szCs w:val="20"/>
        </w:rPr>
      </w:pPr>
    </w:p>
    <w:p w14:paraId="2FE104F8" w14:textId="34B977E5" w:rsidR="00DC7688" w:rsidRDefault="00DC7688" w:rsidP="007636D1">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Ugovor s koordinatorom zaštite na radu </w:t>
      </w:r>
      <w:r w:rsidR="002D3F08">
        <w:rPr>
          <w:rFonts w:ascii="Arial" w:eastAsia="Times New Roman" w:hAnsi="Arial" w:cs="Arial"/>
          <w:sz w:val="20"/>
          <w:szCs w:val="20"/>
        </w:rPr>
        <w:t xml:space="preserve">(Deltagrad d.o.o.) </w:t>
      </w:r>
      <w:r>
        <w:rPr>
          <w:rFonts w:ascii="Arial" w:eastAsia="Times New Roman" w:hAnsi="Arial" w:cs="Arial"/>
          <w:sz w:val="20"/>
          <w:szCs w:val="20"/>
        </w:rPr>
        <w:t>je zaključen u srpnju 2024. godine u iznosu 17.500 € što s porezom na dodanu vrijednost čini 21.875 €.</w:t>
      </w:r>
    </w:p>
    <w:p w14:paraId="21B3E8B7" w14:textId="4EA1756F" w:rsidR="00DC7688" w:rsidRDefault="00DC7688" w:rsidP="007636D1">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Ugovor za nadzor nad izvođenjem radova zaključila je Dubrovačko neretvanska županija (kao korisnik bespovratnih sredstava i osnivač osnovnih škola).</w:t>
      </w:r>
    </w:p>
    <w:p w14:paraId="12A44B6C" w14:textId="77777777" w:rsidR="00DC7688" w:rsidRDefault="00DC7688" w:rsidP="007636D1">
      <w:pPr>
        <w:autoSpaceDE w:val="0"/>
        <w:autoSpaceDN w:val="0"/>
        <w:adjustRightInd w:val="0"/>
        <w:spacing w:after="0" w:line="240" w:lineRule="auto"/>
        <w:jc w:val="both"/>
        <w:rPr>
          <w:rFonts w:ascii="Arial" w:eastAsia="Times New Roman" w:hAnsi="Arial" w:cs="Arial"/>
          <w:sz w:val="20"/>
          <w:szCs w:val="20"/>
        </w:rPr>
      </w:pPr>
    </w:p>
    <w:p w14:paraId="0FF25141" w14:textId="6B4ECB69" w:rsidR="00732C3E" w:rsidRDefault="00732C3E" w:rsidP="007636D1">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Ugovor o pružanju usluga voditelja projekta izgradnje osnovne škole (Trames d.o.o.) je zaključen 30.9.2024. godine u iznosu 115.200 € što s porezom na dodanu vrijednost iznosi 144.000 €. </w:t>
      </w:r>
    </w:p>
    <w:p w14:paraId="157D4D24" w14:textId="77777777" w:rsidR="00732C3E" w:rsidRDefault="00732C3E" w:rsidP="007636D1">
      <w:pPr>
        <w:autoSpaceDE w:val="0"/>
        <w:autoSpaceDN w:val="0"/>
        <w:adjustRightInd w:val="0"/>
        <w:spacing w:after="0" w:line="240" w:lineRule="auto"/>
        <w:jc w:val="both"/>
        <w:rPr>
          <w:rFonts w:ascii="Arial" w:eastAsia="Times New Roman" w:hAnsi="Arial" w:cs="Arial"/>
          <w:sz w:val="20"/>
          <w:szCs w:val="20"/>
        </w:rPr>
      </w:pPr>
    </w:p>
    <w:p w14:paraId="6FC6966D" w14:textId="2C3F27CD" w:rsidR="007636D1" w:rsidRDefault="002D3F08" w:rsidP="0004156F">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Za potrebe provedbe projekta, Dubrovačko neretvanska županija i Općina Konavle su u veljači 2025. godine zaključili sporazum o suradnji kojim je utvrđen način financiranja i partnerstvo u projektu.</w:t>
      </w:r>
    </w:p>
    <w:p w14:paraId="147F8FF0" w14:textId="3B9531D8" w:rsidR="002D3F08" w:rsidRDefault="002D3F08" w:rsidP="0004156F">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Ugovor o dodjeli bespovratnih sredstava za projekte koji se financiraju iz mehanizma za oporavak i otpornost, Ministarstvo znanosti, obrazovanja i mladih, te Središnja agencija za financiranje i ugovaranje programa i projekata Europske unije, te Dubrovačko neretvanska županija (kao korisnik sredstava) su zaključili 3.3.2025. godine. Ugovorom je utvrđen maksimalni iznos sredstava u iznosu 18.056.689,10 €, a ukupna vrijednost projekta je utvrđena u iznosu 23.152.748,87 €. Općina je partner </w:t>
      </w:r>
      <w:r w:rsidR="00732C3E">
        <w:rPr>
          <w:rFonts w:ascii="Arial" w:eastAsia="Times New Roman" w:hAnsi="Arial" w:cs="Arial"/>
          <w:sz w:val="20"/>
          <w:szCs w:val="20"/>
        </w:rPr>
        <w:t>na projektu</w:t>
      </w:r>
      <w:r>
        <w:rPr>
          <w:rFonts w:ascii="Arial" w:eastAsia="Times New Roman" w:hAnsi="Arial" w:cs="Arial"/>
          <w:sz w:val="20"/>
          <w:szCs w:val="20"/>
        </w:rPr>
        <w:t>.</w:t>
      </w:r>
    </w:p>
    <w:p w14:paraId="16D68B59" w14:textId="7E1EC9E7" w:rsidR="007636D1" w:rsidRDefault="007636D1" w:rsidP="0004156F">
      <w:pPr>
        <w:autoSpaceDE w:val="0"/>
        <w:autoSpaceDN w:val="0"/>
        <w:adjustRightInd w:val="0"/>
        <w:spacing w:after="0" w:line="240" w:lineRule="auto"/>
        <w:jc w:val="both"/>
        <w:rPr>
          <w:rFonts w:ascii="Arial" w:eastAsia="Times New Roman" w:hAnsi="Arial" w:cs="Arial"/>
          <w:sz w:val="20"/>
          <w:szCs w:val="20"/>
        </w:rPr>
      </w:pPr>
    </w:p>
    <w:p w14:paraId="2BFCF6B8" w14:textId="2CF641E4" w:rsidR="00732C3E" w:rsidRDefault="00732C3E" w:rsidP="0004156F">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Početak građenja je Upravnom odjelu za prostorno uređenje i gradnju prijavljen 17.12.2024. godine.</w:t>
      </w:r>
    </w:p>
    <w:p w14:paraId="45CFBDA9" w14:textId="77777777" w:rsidR="00B40BA7" w:rsidRDefault="00B40BA7" w:rsidP="0004156F">
      <w:pPr>
        <w:autoSpaceDE w:val="0"/>
        <w:autoSpaceDN w:val="0"/>
        <w:adjustRightInd w:val="0"/>
        <w:spacing w:after="0" w:line="240" w:lineRule="auto"/>
        <w:jc w:val="both"/>
        <w:rPr>
          <w:rFonts w:ascii="Arial" w:eastAsia="Times New Roman" w:hAnsi="Arial" w:cs="Arial"/>
          <w:sz w:val="20"/>
          <w:szCs w:val="20"/>
        </w:rPr>
      </w:pPr>
    </w:p>
    <w:p w14:paraId="529D209C" w14:textId="16A7B8AB" w:rsidR="00B40BA7" w:rsidRDefault="00B40BA7" w:rsidP="0004156F">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Planirani rok završetka projekta je 30.6.2026. </w:t>
      </w:r>
    </w:p>
    <w:p w14:paraId="10AF32CE" w14:textId="77777777" w:rsidR="00B40BA7" w:rsidRDefault="00B40BA7" w:rsidP="0004156F">
      <w:pPr>
        <w:autoSpaceDE w:val="0"/>
        <w:autoSpaceDN w:val="0"/>
        <w:adjustRightInd w:val="0"/>
        <w:spacing w:after="0" w:line="240" w:lineRule="auto"/>
        <w:jc w:val="both"/>
        <w:rPr>
          <w:rFonts w:ascii="Arial" w:eastAsia="Times New Roman" w:hAnsi="Arial" w:cs="Arial"/>
          <w:sz w:val="20"/>
          <w:szCs w:val="20"/>
        </w:rPr>
      </w:pPr>
    </w:p>
    <w:p w14:paraId="3075E1B8" w14:textId="6B853C3C" w:rsidR="00B40BA7" w:rsidRDefault="00B40BA7" w:rsidP="0004156F">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Izvoditelj je u prvom polugodištu 2025. godine ispostavio pet privremenih situacija u ukupnom iznosu 2.473.509,82 € (s PDV-om).</w:t>
      </w:r>
    </w:p>
    <w:p w14:paraId="3F9B36B8" w14:textId="36A2F8A0" w:rsidR="00B40BA7" w:rsidRDefault="00B40BA7" w:rsidP="0004156F">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Koordinator zaštite na radu je ispostavio pet privremenih situacija u ukupnom iznosu 7.031,25 € (s PDV-om).</w:t>
      </w:r>
    </w:p>
    <w:p w14:paraId="2D4D5BC6" w14:textId="269DC718" w:rsidR="00B40BA7" w:rsidRDefault="00B40BA7" w:rsidP="0004156F">
      <w:pPr>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sz w:val="20"/>
          <w:szCs w:val="20"/>
        </w:rPr>
        <w:t>Za usluge voditelja projekta gradnje ispostavljeno je pet privremenih situacija u ukupnom iznosu 45.000 € (s PDV-om).</w:t>
      </w:r>
    </w:p>
    <w:p w14:paraId="4E306C36" w14:textId="1D2AE214" w:rsidR="00732C3E" w:rsidRPr="00FF3C31" w:rsidRDefault="00732C3E" w:rsidP="0004156F">
      <w:pPr>
        <w:autoSpaceDE w:val="0"/>
        <w:autoSpaceDN w:val="0"/>
        <w:adjustRightInd w:val="0"/>
        <w:spacing w:after="0" w:line="240" w:lineRule="auto"/>
        <w:jc w:val="both"/>
        <w:rPr>
          <w:rFonts w:ascii="Arial" w:eastAsia="Times New Roman" w:hAnsi="Arial" w:cs="Arial"/>
          <w:sz w:val="20"/>
          <w:szCs w:val="20"/>
        </w:rPr>
      </w:pPr>
    </w:p>
    <w:p w14:paraId="5F006247" w14:textId="77777777" w:rsidR="0004156F" w:rsidRPr="00FF3C31" w:rsidRDefault="0004156F" w:rsidP="0004156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K210105: Pripremne radnje, projektiranje i izgradnja dječjeg vrtića u Čilipima</w:t>
      </w:r>
    </w:p>
    <w:p w14:paraId="2CC72FE9"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p>
    <w:p w14:paraId="7085C99F"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Pokazatelj rezultata je: postotak dovršenosti projekta </w:t>
      </w:r>
    </w:p>
    <w:p w14:paraId="5794B9A5" w14:textId="2713514A"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lastRenderedPageBreak/>
        <w:t>Polazna vrijednost 202</w:t>
      </w:r>
      <w:r w:rsidR="00B40BA7">
        <w:rPr>
          <w:rFonts w:ascii="Arial" w:eastAsia="Times New Roman" w:hAnsi="Arial" w:cs="Arial"/>
          <w:sz w:val="20"/>
          <w:szCs w:val="20"/>
        </w:rPr>
        <w:t>4</w:t>
      </w:r>
      <w:r w:rsidRPr="00FF3C31">
        <w:rPr>
          <w:rFonts w:ascii="Arial" w:eastAsia="Times New Roman" w:hAnsi="Arial" w:cs="Arial"/>
          <w:sz w:val="20"/>
          <w:szCs w:val="20"/>
        </w:rPr>
        <w:t xml:space="preserve">. = 0% (nula) postotak projekta i radova </w:t>
      </w:r>
    </w:p>
    <w:p w14:paraId="7FA2C388" w14:textId="5BC3A9CE"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Ciljna vrijednost za 202</w:t>
      </w:r>
      <w:r w:rsidR="00B40BA7">
        <w:rPr>
          <w:rFonts w:ascii="Arial" w:eastAsia="Times New Roman" w:hAnsi="Arial" w:cs="Arial"/>
          <w:sz w:val="20"/>
          <w:szCs w:val="20"/>
        </w:rPr>
        <w:t>5</w:t>
      </w:r>
      <w:r w:rsidR="000821A5" w:rsidRPr="00FF3C31">
        <w:rPr>
          <w:rFonts w:ascii="Arial" w:eastAsia="Times New Roman" w:hAnsi="Arial" w:cs="Arial"/>
          <w:sz w:val="20"/>
          <w:szCs w:val="20"/>
        </w:rPr>
        <w:t>.</w:t>
      </w:r>
      <w:r w:rsidRPr="00FF3C31">
        <w:rPr>
          <w:rFonts w:ascii="Arial" w:eastAsia="Times New Roman" w:hAnsi="Arial" w:cs="Arial"/>
          <w:sz w:val="20"/>
          <w:szCs w:val="20"/>
        </w:rPr>
        <w:t xml:space="preserve"> = 0% završenosti projekta i 0% završenosti radova</w:t>
      </w:r>
    </w:p>
    <w:p w14:paraId="22343B62" w14:textId="472E7929"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za 202</w:t>
      </w:r>
      <w:r w:rsidR="00B40BA7">
        <w:rPr>
          <w:rFonts w:ascii="Arial" w:eastAsia="Times New Roman" w:hAnsi="Arial" w:cs="Arial"/>
          <w:sz w:val="20"/>
          <w:szCs w:val="20"/>
        </w:rPr>
        <w:t>6</w:t>
      </w:r>
      <w:r w:rsidRPr="00FF3C31">
        <w:rPr>
          <w:rFonts w:ascii="Arial" w:eastAsia="Times New Roman" w:hAnsi="Arial" w:cs="Arial"/>
          <w:sz w:val="20"/>
          <w:szCs w:val="20"/>
        </w:rPr>
        <w:t>. = 50% završenost projekta i 0% završenosti radova, za 202</w:t>
      </w:r>
      <w:r w:rsidR="00B40BA7">
        <w:rPr>
          <w:rFonts w:ascii="Arial" w:eastAsia="Times New Roman" w:hAnsi="Arial" w:cs="Arial"/>
          <w:sz w:val="20"/>
          <w:szCs w:val="20"/>
        </w:rPr>
        <w:t>7</w:t>
      </w:r>
      <w:r w:rsidRPr="00FF3C31">
        <w:rPr>
          <w:rFonts w:ascii="Arial" w:eastAsia="Times New Roman" w:hAnsi="Arial" w:cs="Arial"/>
          <w:sz w:val="20"/>
          <w:szCs w:val="20"/>
        </w:rPr>
        <w:t>. = 100% završenost projekta i 0% završenosti radova</w:t>
      </w:r>
    </w:p>
    <w:p w14:paraId="48D6E58F"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p>
    <w:p w14:paraId="7731794F" w14:textId="77777777"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Radi se o projektu koji tek treba započeti. Dakle, za početak je potrebno izdvojiti rashode za izradu potrebnih elaborata i projektne dokumentacije. Nakon što projekt bude visoko pripremljen trebalo bi iznaći načine sufinanciranja sredstvima EU i drugih fondova.</w:t>
      </w:r>
    </w:p>
    <w:p w14:paraId="4007CE26" w14:textId="77777777"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p>
    <w:p w14:paraId="067C6ACA" w14:textId="4D42F301"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Ugovor za izradu urbanističko arhitektonske analize te izrade projektne dokumentacije za izgradnju dječjeg vrtića na dijelu č.zem. 909 k.o. Čilipi zaključen je 4. lipnja 2019. (Alfaplan d.o.o.) u iznosu 47.800 kn </w:t>
      </w:r>
      <w:r w:rsidR="006B1C46" w:rsidRPr="00EE21BE">
        <w:rPr>
          <w:rFonts w:ascii="Arial" w:eastAsia="Times New Roman" w:hAnsi="Arial" w:cs="Arial"/>
          <w:sz w:val="18"/>
          <w:szCs w:val="18"/>
        </w:rPr>
        <w:t xml:space="preserve">(6.344,15 €) </w:t>
      </w:r>
      <w:r w:rsidRPr="00EE21BE">
        <w:rPr>
          <w:rFonts w:ascii="Arial" w:eastAsia="Times New Roman" w:hAnsi="Arial" w:cs="Arial"/>
          <w:sz w:val="18"/>
          <w:szCs w:val="18"/>
        </w:rPr>
        <w:t>što s porezom na dodanu vrijednost čini 59.750 kn</w:t>
      </w:r>
      <w:r w:rsidR="006B1C46" w:rsidRPr="00EE21BE">
        <w:rPr>
          <w:rFonts w:ascii="Arial" w:eastAsia="Times New Roman" w:hAnsi="Arial" w:cs="Arial"/>
          <w:sz w:val="18"/>
          <w:szCs w:val="18"/>
        </w:rPr>
        <w:t xml:space="preserve"> (7.930,19 €)</w:t>
      </w:r>
      <w:r w:rsidRPr="00EE21BE">
        <w:rPr>
          <w:rFonts w:ascii="Arial" w:eastAsia="Times New Roman" w:hAnsi="Arial" w:cs="Arial"/>
          <w:sz w:val="18"/>
          <w:szCs w:val="18"/>
        </w:rPr>
        <w:t>. Površina predmetne zone sukladno popisu posjedovnog lista iznosi 5.960 m². Društvo se, između ostalog, obvezalo izraditi 3D vizualizaciju predloženog rješenja te izraditi prezentacijski materijal. Rashodi u 2019. za izradu projektne dokumentacije su izvršeni o u iznosu 59.750 kn</w:t>
      </w:r>
      <w:r w:rsidR="006B1C46" w:rsidRPr="00EE21BE">
        <w:rPr>
          <w:rFonts w:ascii="Arial" w:eastAsia="Times New Roman" w:hAnsi="Arial" w:cs="Arial"/>
          <w:sz w:val="18"/>
          <w:szCs w:val="18"/>
        </w:rPr>
        <w:t xml:space="preserve"> (7.930,19 €)</w:t>
      </w:r>
      <w:r w:rsidRPr="00EE21BE">
        <w:rPr>
          <w:rFonts w:ascii="Arial" w:eastAsia="Times New Roman" w:hAnsi="Arial" w:cs="Arial"/>
          <w:sz w:val="18"/>
          <w:szCs w:val="18"/>
        </w:rPr>
        <w:t>.</w:t>
      </w:r>
    </w:p>
    <w:p w14:paraId="6E1978D5" w14:textId="77777777"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p>
    <w:p w14:paraId="623D7F15" w14:textId="77777777"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Rashodi nisu izvršavani.</w:t>
      </w:r>
    </w:p>
    <w:p w14:paraId="4C65C969" w14:textId="77777777" w:rsidR="002F0351" w:rsidRPr="00FF3C31" w:rsidRDefault="002F0351" w:rsidP="002F0351">
      <w:pPr>
        <w:autoSpaceDE w:val="0"/>
        <w:autoSpaceDN w:val="0"/>
        <w:adjustRightInd w:val="0"/>
        <w:spacing w:after="0" w:line="240" w:lineRule="auto"/>
        <w:jc w:val="both"/>
        <w:rPr>
          <w:rFonts w:ascii="Arial" w:eastAsia="Times New Roman" w:hAnsi="Arial" w:cs="Arial"/>
          <w:sz w:val="20"/>
          <w:szCs w:val="20"/>
        </w:rPr>
      </w:pPr>
    </w:p>
    <w:p w14:paraId="77EC9AE8" w14:textId="2F47E85D" w:rsidR="002F0351" w:rsidRPr="00FF3C31" w:rsidRDefault="00992554" w:rsidP="002F0351">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Strateški c</w:t>
      </w:r>
      <w:r w:rsidR="002F0351" w:rsidRPr="00FF3C31">
        <w:rPr>
          <w:rFonts w:ascii="Arial" w:eastAsia="Times New Roman" w:hAnsi="Arial" w:cs="Arial"/>
          <w:b/>
          <w:sz w:val="20"/>
          <w:szCs w:val="20"/>
        </w:rPr>
        <w:t>ilj 2: Unapređenje infrastrukture</w:t>
      </w:r>
    </w:p>
    <w:p w14:paraId="4AFFA759" w14:textId="77777777" w:rsidR="002F0351" w:rsidRPr="00FF3C31" w:rsidRDefault="002F0351" w:rsidP="002F0351">
      <w:pPr>
        <w:autoSpaceDE w:val="0"/>
        <w:autoSpaceDN w:val="0"/>
        <w:adjustRightInd w:val="0"/>
        <w:spacing w:after="0" w:line="240" w:lineRule="auto"/>
        <w:jc w:val="both"/>
        <w:rPr>
          <w:rFonts w:ascii="Arial" w:eastAsia="Times New Roman" w:hAnsi="Arial" w:cs="Arial"/>
          <w:b/>
          <w:sz w:val="20"/>
          <w:szCs w:val="20"/>
          <w:u w:val="single"/>
        </w:rPr>
      </w:pPr>
    </w:p>
    <w:p w14:paraId="4CC3DEEB" w14:textId="77777777" w:rsidR="002F0351" w:rsidRPr="00FF3C31" w:rsidRDefault="002F0351" w:rsidP="002F0351">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Prioritet 2.3. Unapređenje društvene, kulturne i turističke infrastrukture</w:t>
      </w:r>
    </w:p>
    <w:p w14:paraId="114BB231" w14:textId="77777777" w:rsidR="002F0351" w:rsidRPr="00FF3C31" w:rsidRDefault="002F0351" w:rsidP="002F0351">
      <w:pPr>
        <w:autoSpaceDE w:val="0"/>
        <w:autoSpaceDN w:val="0"/>
        <w:adjustRightInd w:val="0"/>
        <w:spacing w:after="0" w:line="240" w:lineRule="auto"/>
        <w:jc w:val="both"/>
        <w:rPr>
          <w:rFonts w:ascii="Arial" w:eastAsia="Times New Roman" w:hAnsi="Arial" w:cs="Arial"/>
          <w:sz w:val="20"/>
          <w:szCs w:val="20"/>
        </w:rPr>
      </w:pPr>
    </w:p>
    <w:p w14:paraId="33668D99" w14:textId="77777777" w:rsidR="002F0351" w:rsidRPr="00FF3C31" w:rsidRDefault="002F0351" w:rsidP="002F0351">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Ovaj prioritet se ostvaruje kroz:</w:t>
      </w:r>
    </w:p>
    <w:p w14:paraId="7401C2B0" w14:textId="0296DDE4" w:rsidR="002F0351" w:rsidRPr="00FF3C31" w:rsidRDefault="002F0351" w:rsidP="0004156F">
      <w:pPr>
        <w:autoSpaceDE w:val="0"/>
        <w:autoSpaceDN w:val="0"/>
        <w:adjustRightInd w:val="0"/>
        <w:spacing w:after="0" w:line="240" w:lineRule="auto"/>
        <w:jc w:val="both"/>
        <w:rPr>
          <w:rFonts w:ascii="Arial" w:eastAsia="Calibri" w:hAnsi="Arial" w:cs="Arial"/>
          <w:sz w:val="20"/>
          <w:szCs w:val="20"/>
        </w:rPr>
      </w:pPr>
    </w:p>
    <w:p w14:paraId="685FD362" w14:textId="61B3908C" w:rsidR="0004156F" w:rsidRPr="00FF3C31" w:rsidRDefault="002F0351" w:rsidP="0004156F">
      <w:pPr>
        <w:pBdr>
          <w:top w:val="single" w:sz="4" w:space="1" w:color="auto"/>
          <w:left w:val="single" w:sz="4" w:space="3" w:color="auto"/>
          <w:bottom w:val="single" w:sz="4" w:space="1" w:color="auto"/>
          <w:right w:val="single" w:sz="4" w:space="4" w:color="auto"/>
        </w:pBdr>
        <w:autoSpaceDE w:val="0"/>
        <w:autoSpaceDN w:val="0"/>
        <w:adjustRightInd w:val="0"/>
        <w:spacing w:after="0" w:line="240" w:lineRule="auto"/>
        <w:ind w:left="720" w:hanging="720"/>
        <w:jc w:val="both"/>
        <w:rPr>
          <w:rFonts w:ascii="Arial" w:eastAsia="Times New Roman" w:hAnsi="Arial" w:cs="Arial"/>
          <w:b/>
          <w:sz w:val="20"/>
          <w:szCs w:val="20"/>
        </w:rPr>
      </w:pPr>
      <w:r w:rsidRPr="00FF3C31">
        <w:rPr>
          <w:rFonts w:ascii="Arial" w:eastAsia="Times New Roman" w:hAnsi="Arial" w:cs="Arial"/>
          <w:b/>
          <w:sz w:val="20"/>
          <w:szCs w:val="20"/>
        </w:rPr>
        <w:t>2.3</w:t>
      </w:r>
      <w:r w:rsidR="0004156F" w:rsidRPr="00FF3C31">
        <w:rPr>
          <w:rFonts w:ascii="Arial" w:eastAsia="Times New Roman" w:hAnsi="Arial" w:cs="Arial"/>
          <w:b/>
          <w:sz w:val="20"/>
          <w:szCs w:val="20"/>
        </w:rPr>
        <w:t>. c)</w:t>
      </w:r>
      <w:r w:rsidR="0004156F" w:rsidRPr="00FF3C31">
        <w:rPr>
          <w:rFonts w:ascii="Arial" w:eastAsia="Times New Roman" w:hAnsi="Arial" w:cs="Arial"/>
          <w:sz w:val="20"/>
          <w:szCs w:val="20"/>
        </w:rPr>
        <w:tab/>
      </w:r>
      <w:r w:rsidR="0004156F" w:rsidRPr="00FF3C31">
        <w:rPr>
          <w:rFonts w:ascii="Arial" w:eastAsia="Times New Roman" w:hAnsi="Arial" w:cs="Arial"/>
          <w:b/>
          <w:sz w:val="20"/>
          <w:szCs w:val="20"/>
        </w:rPr>
        <w:t xml:space="preserve">Program (2102) – Izgradnja i uređenje objekata javne namjene – sport </w:t>
      </w:r>
    </w:p>
    <w:p w14:paraId="3F3D4426"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p>
    <w:p w14:paraId="2C6C2EB6"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c1) </w:t>
      </w:r>
      <w:r w:rsidRPr="00FF3C31">
        <w:rPr>
          <w:rFonts w:ascii="Arial" w:eastAsia="Times New Roman" w:hAnsi="Arial" w:cs="Arial"/>
          <w:sz w:val="20"/>
          <w:szCs w:val="20"/>
        </w:rPr>
        <w:tab/>
        <w:t>Kapitalni projekt (K210202) Izgradnja sportskih igrališta / objekata – Boćarski dom Dubravka</w:t>
      </w:r>
    </w:p>
    <w:p w14:paraId="4D48CBD7"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c2) </w:t>
      </w:r>
      <w:r w:rsidRPr="00FF3C31">
        <w:rPr>
          <w:rFonts w:ascii="Arial" w:eastAsia="Times New Roman" w:hAnsi="Arial" w:cs="Arial"/>
          <w:sz w:val="20"/>
          <w:szCs w:val="20"/>
        </w:rPr>
        <w:tab/>
        <w:t>Kapitalni projekt (K210204) Pripremne radnje, projektiranje i izgradnja bazena i malonogometnog igrališta Čilipi</w:t>
      </w:r>
    </w:p>
    <w:p w14:paraId="0DA39400"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p>
    <w:p w14:paraId="72968C18" w14:textId="77777777" w:rsidR="003E30B1" w:rsidRPr="00FF3C31" w:rsidRDefault="003E30B1" w:rsidP="003E30B1">
      <w:pPr>
        <w:autoSpaceDE w:val="0"/>
        <w:autoSpaceDN w:val="0"/>
        <w:adjustRightInd w:val="0"/>
        <w:spacing w:after="0" w:line="240" w:lineRule="auto"/>
        <w:jc w:val="both"/>
        <w:rPr>
          <w:rFonts w:ascii="Arial" w:hAnsi="Arial" w:cs="Arial"/>
          <w:color w:val="0070C0"/>
          <w:sz w:val="20"/>
          <w:szCs w:val="20"/>
        </w:rPr>
      </w:pPr>
      <w:r w:rsidRPr="00FF3C31">
        <w:rPr>
          <w:rFonts w:ascii="Arial" w:hAnsi="Arial" w:cs="Arial"/>
          <w:color w:val="0070C0"/>
          <w:sz w:val="20"/>
          <w:szCs w:val="20"/>
        </w:rPr>
        <w:t>Provedba cilja i prioriteta iz ovog dijela je povezana s provedbom mjera i posebnih ciljeva iz Provedbenog programa pod točkom:</w:t>
      </w:r>
    </w:p>
    <w:p w14:paraId="148956F4" w14:textId="1CC6334C" w:rsidR="003E30B1" w:rsidRPr="00FF3C31" w:rsidRDefault="003E30B1" w:rsidP="003E30B1">
      <w:pPr>
        <w:autoSpaceDE w:val="0"/>
        <w:autoSpaceDN w:val="0"/>
        <w:adjustRightInd w:val="0"/>
        <w:spacing w:after="0" w:line="240" w:lineRule="auto"/>
        <w:ind w:firstLine="709"/>
        <w:jc w:val="both"/>
        <w:rPr>
          <w:rFonts w:ascii="Arial" w:hAnsi="Arial" w:cs="Arial"/>
          <w:color w:val="0070C0"/>
          <w:sz w:val="20"/>
          <w:szCs w:val="20"/>
        </w:rPr>
      </w:pPr>
      <w:r w:rsidRPr="00FF3C31">
        <w:rPr>
          <w:rFonts w:ascii="Arial" w:hAnsi="Arial" w:cs="Arial"/>
          <w:color w:val="0070C0"/>
          <w:sz w:val="20"/>
          <w:szCs w:val="20"/>
        </w:rPr>
        <w:t xml:space="preserve">- Prioriteta 2. Poboljšanje kvalitete života, te unapređenje ljudskog kapitala, </w:t>
      </w:r>
    </w:p>
    <w:p w14:paraId="73D98735" w14:textId="02005B52" w:rsidR="003E30B1" w:rsidRPr="00FF3C31" w:rsidRDefault="003E30B1" w:rsidP="003E30B1">
      <w:pPr>
        <w:autoSpaceDE w:val="0"/>
        <w:autoSpaceDN w:val="0"/>
        <w:adjustRightInd w:val="0"/>
        <w:spacing w:after="0" w:line="240" w:lineRule="auto"/>
        <w:ind w:left="1418" w:firstLine="709"/>
        <w:jc w:val="both"/>
        <w:rPr>
          <w:rFonts w:ascii="Arial" w:hAnsi="Arial" w:cs="Arial"/>
          <w:color w:val="0070C0"/>
          <w:sz w:val="20"/>
          <w:szCs w:val="20"/>
        </w:rPr>
      </w:pPr>
      <w:r w:rsidRPr="00FF3C31">
        <w:rPr>
          <w:rFonts w:ascii="Arial" w:hAnsi="Arial" w:cs="Arial"/>
          <w:color w:val="0070C0"/>
          <w:sz w:val="20"/>
          <w:szCs w:val="20"/>
        </w:rPr>
        <w:t>-</w:t>
      </w:r>
      <w:r w:rsidRPr="00FF3C31">
        <w:rPr>
          <w:rFonts w:ascii="Arial" w:hAnsi="Arial" w:cs="Arial"/>
          <w:color w:val="0070C0"/>
          <w:sz w:val="20"/>
          <w:szCs w:val="20"/>
        </w:rPr>
        <w:tab/>
      </w:r>
      <w:r w:rsidR="00156E6C" w:rsidRPr="00FF3C31">
        <w:rPr>
          <w:rFonts w:ascii="Arial" w:hAnsi="Arial" w:cs="Arial"/>
          <w:color w:val="0070C0"/>
          <w:sz w:val="20"/>
          <w:szCs w:val="20"/>
        </w:rPr>
        <w:t xml:space="preserve">posebnim ciljem </w:t>
      </w:r>
      <w:r w:rsidRPr="00FF3C31">
        <w:rPr>
          <w:rFonts w:ascii="Arial" w:hAnsi="Arial" w:cs="Arial"/>
          <w:color w:val="0070C0"/>
          <w:sz w:val="20"/>
          <w:szCs w:val="20"/>
        </w:rPr>
        <w:t xml:space="preserve">2.1. Unapređenje kvalitete i dostupnosti društvenih usluga, </w:t>
      </w:r>
    </w:p>
    <w:p w14:paraId="55C1FD24" w14:textId="4C17C304" w:rsidR="003E30B1" w:rsidRPr="00FF3C31" w:rsidRDefault="00156E6C" w:rsidP="003E30B1">
      <w:pPr>
        <w:autoSpaceDE w:val="0"/>
        <w:autoSpaceDN w:val="0"/>
        <w:adjustRightInd w:val="0"/>
        <w:spacing w:after="0" w:line="240" w:lineRule="auto"/>
        <w:ind w:left="2836" w:firstLine="709"/>
        <w:jc w:val="both"/>
        <w:rPr>
          <w:rFonts w:ascii="Arial" w:hAnsi="Arial" w:cs="Arial"/>
          <w:color w:val="0070C0"/>
          <w:sz w:val="20"/>
          <w:szCs w:val="20"/>
        </w:rPr>
      </w:pPr>
      <w:r w:rsidRPr="00FF3C31">
        <w:rPr>
          <w:rFonts w:ascii="Arial" w:hAnsi="Arial" w:cs="Arial"/>
          <w:color w:val="0070C0"/>
          <w:sz w:val="20"/>
          <w:szCs w:val="20"/>
        </w:rPr>
        <w:t xml:space="preserve">mjerom </w:t>
      </w:r>
      <w:r w:rsidR="003E30B1" w:rsidRPr="00FF3C31">
        <w:rPr>
          <w:rFonts w:ascii="Arial" w:hAnsi="Arial" w:cs="Arial"/>
          <w:color w:val="0070C0"/>
          <w:sz w:val="20"/>
          <w:szCs w:val="20"/>
        </w:rPr>
        <w:t xml:space="preserve">2.1.5. Unapređenje sportske i rekreacijske infrastrukture </w:t>
      </w:r>
    </w:p>
    <w:p w14:paraId="3EFFB383" w14:textId="77777777" w:rsidR="003E30B1" w:rsidRPr="00FF3C31" w:rsidRDefault="003E30B1" w:rsidP="0004156F">
      <w:pPr>
        <w:autoSpaceDE w:val="0"/>
        <w:autoSpaceDN w:val="0"/>
        <w:adjustRightInd w:val="0"/>
        <w:spacing w:after="0" w:line="240" w:lineRule="auto"/>
        <w:jc w:val="both"/>
        <w:rPr>
          <w:rFonts w:ascii="Arial" w:eastAsia="Times New Roman" w:hAnsi="Arial" w:cs="Arial"/>
          <w:sz w:val="20"/>
          <w:szCs w:val="20"/>
        </w:rPr>
      </w:pPr>
    </w:p>
    <w:p w14:paraId="57718629" w14:textId="77777777" w:rsidR="0004156F" w:rsidRPr="00FF3C31" w:rsidRDefault="0004156F" w:rsidP="0004156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 xml:space="preserve">T210202: Izgradnja sportskih igrališta – Boćarski dom </w:t>
      </w:r>
    </w:p>
    <w:p w14:paraId="3934BBA5"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p>
    <w:p w14:paraId="370F803C"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Pokazatelj rezultata je: postotak dovršenosti projekta i izgradnje Boćarskog doma (društvene namjene). </w:t>
      </w:r>
    </w:p>
    <w:p w14:paraId="68B748B9"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p>
    <w:p w14:paraId="5A6DD39F" w14:textId="3AF197DA"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202</w:t>
      </w:r>
      <w:r w:rsidR="00B40BA7">
        <w:rPr>
          <w:rFonts w:ascii="Arial" w:eastAsia="Times New Roman" w:hAnsi="Arial" w:cs="Arial"/>
          <w:sz w:val="20"/>
          <w:szCs w:val="20"/>
        </w:rPr>
        <w:t>4</w:t>
      </w:r>
      <w:r w:rsidRPr="00FF3C31">
        <w:rPr>
          <w:rFonts w:ascii="Arial" w:eastAsia="Times New Roman" w:hAnsi="Arial" w:cs="Arial"/>
          <w:sz w:val="20"/>
          <w:szCs w:val="20"/>
        </w:rPr>
        <w:t>. = 0% postotak dovršenosti projekta i 0% (nula) postotak dovršenosti izgradnje</w:t>
      </w:r>
    </w:p>
    <w:p w14:paraId="425C629D" w14:textId="079D20AC"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Ciljna vrijednost za 202</w:t>
      </w:r>
      <w:r w:rsidR="00B40BA7">
        <w:rPr>
          <w:rFonts w:ascii="Arial" w:eastAsia="Times New Roman" w:hAnsi="Arial" w:cs="Arial"/>
          <w:sz w:val="20"/>
          <w:szCs w:val="20"/>
        </w:rPr>
        <w:t>5</w:t>
      </w:r>
      <w:r w:rsidRPr="00FF3C31">
        <w:rPr>
          <w:rFonts w:ascii="Arial" w:eastAsia="Times New Roman" w:hAnsi="Arial" w:cs="Arial"/>
          <w:sz w:val="20"/>
          <w:szCs w:val="20"/>
        </w:rPr>
        <w:t xml:space="preserve">. = 100% dovršenosti projekta i </w:t>
      </w:r>
      <w:r w:rsidR="006F20F9" w:rsidRPr="00FF3C31">
        <w:rPr>
          <w:rFonts w:ascii="Arial" w:eastAsia="Times New Roman" w:hAnsi="Arial" w:cs="Arial"/>
          <w:sz w:val="20"/>
          <w:szCs w:val="20"/>
        </w:rPr>
        <w:t>60</w:t>
      </w:r>
      <w:r w:rsidRPr="00FF3C31">
        <w:rPr>
          <w:rFonts w:ascii="Arial" w:eastAsia="Times New Roman" w:hAnsi="Arial" w:cs="Arial"/>
          <w:sz w:val="20"/>
          <w:szCs w:val="20"/>
        </w:rPr>
        <w:t xml:space="preserve">% dovršenosti radova </w:t>
      </w:r>
    </w:p>
    <w:p w14:paraId="6D3FF16E" w14:textId="36D59F2D"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za 20</w:t>
      </w:r>
      <w:r w:rsidR="00B40BA7">
        <w:rPr>
          <w:rFonts w:ascii="Arial" w:eastAsia="Times New Roman" w:hAnsi="Arial" w:cs="Arial"/>
          <w:sz w:val="20"/>
          <w:szCs w:val="20"/>
        </w:rPr>
        <w:t>26</w:t>
      </w:r>
      <w:r w:rsidRPr="00FF3C31">
        <w:rPr>
          <w:rFonts w:ascii="Arial" w:eastAsia="Times New Roman" w:hAnsi="Arial" w:cs="Arial"/>
          <w:sz w:val="20"/>
          <w:szCs w:val="20"/>
        </w:rPr>
        <w:t xml:space="preserve">. = 100% završenost projekta i </w:t>
      </w:r>
      <w:r w:rsidR="006F20F9" w:rsidRPr="00FF3C31">
        <w:rPr>
          <w:rFonts w:ascii="Arial" w:eastAsia="Times New Roman" w:hAnsi="Arial" w:cs="Arial"/>
          <w:sz w:val="20"/>
          <w:szCs w:val="20"/>
        </w:rPr>
        <w:t>100</w:t>
      </w:r>
      <w:r w:rsidRPr="00FF3C31">
        <w:rPr>
          <w:rFonts w:ascii="Arial" w:eastAsia="Times New Roman" w:hAnsi="Arial" w:cs="Arial"/>
          <w:sz w:val="20"/>
          <w:szCs w:val="20"/>
        </w:rPr>
        <w:t xml:space="preserve">% završenosti radova za </w:t>
      </w:r>
      <w:r w:rsidR="006F20F9" w:rsidRPr="00FF3C31">
        <w:rPr>
          <w:rFonts w:ascii="Arial" w:eastAsia="Times New Roman" w:hAnsi="Arial" w:cs="Arial"/>
          <w:sz w:val="20"/>
          <w:szCs w:val="20"/>
        </w:rPr>
        <w:t>202</w:t>
      </w:r>
      <w:r w:rsidR="00B40BA7">
        <w:rPr>
          <w:rFonts w:ascii="Arial" w:eastAsia="Times New Roman" w:hAnsi="Arial" w:cs="Arial"/>
          <w:sz w:val="20"/>
          <w:szCs w:val="20"/>
        </w:rPr>
        <w:t>7</w:t>
      </w:r>
      <w:r w:rsidR="006F20F9" w:rsidRPr="00FF3C31">
        <w:rPr>
          <w:rFonts w:ascii="Arial" w:eastAsia="Times New Roman" w:hAnsi="Arial" w:cs="Arial"/>
          <w:sz w:val="20"/>
          <w:szCs w:val="20"/>
        </w:rPr>
        <w:t>.</w:t>
      </w:r>
      <w:r w:rsidRPr="00FF3C31">
        <w:rPr>
          <w:rFonts w:ascii="Arial" w:eastAsia="Times New Roman" w:hAnsi="Arial" w:cs="Arial"/>
          <w:sz w:val="20"/>
          <w:szCs w:val="20"/>
        </w:rPr>
        <w:t xml:space="preserve"> = 100% završenost projekta i radova.</w:t>
      </w:r>
    </w:p>
    <w:p w14:paraId="491E0557"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p>
    <w:p w14:paraId="1FBFC887" w14:textId="1C71445C"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Radi se o projektu koji tek treba započeti. Dakle, za početak je potrebno izdvojiti rashode za izradu potrebnih elaborata i projektne dokumentacije. </w:t>
      </w:r>
    </w:p>
    <w:p w14:paraId="1B7CA86E" w14:textId="6D2EE778"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 xml:space="preserve">Ugovor za projektno-tehničke dokumentacije za izgradnju boćarskog doma u Dubravci zaključen je 6. ožujka 2019. (Trames d.o.o.) u iznosu 115.000 kn </w:t>
      </w:r>
      <w:r w:rsidR="00C65494" w:rsidRPr="00EE21BE">
        <w:rPr>
          <w:rFonts w:ascii="Arial" w:eastAsia="Times New Roman" w:hAnsi="Arial" w:cs="Arial"/>
          <w:sz w:val="18"/>
          <w:szCs w:val="18"/>
        </w:rPr>
        <w:t xml:space="preserve">/ 15.263,12 € </w:t>
      </w:r>
      <w:r w:rsidRPr="00EE21BE">
        <w:rPr>
          <w:rFonts w:ascii="Arial" w:eastAsia="Times New Roman" w:hAnsi="Arial" w:cs="Arial"/>
          <w:sz w:val="18"/>
          <w:szCs w:val="18"/>
        </w:rPr>
        <w:t>što s porezom na dodanu vrijednost čini 143.750 kn</w:t>
      </w:r>
      <w:r w:rsidR="006B1C46" w:rsidRPr="00EE21BE">
        <w:rPr>
          <w:rFonts w:ascii="Arial" w:eastAsia="Times New Roman" w:hAnsi="Arial" w:cs="Arial"/>
          <w:sz w:val="18"/>
          <w:szCs w:val="18"/>
        </w:rPr>
        <w:t xml:space="preserve"> (19.078,90 €)</w:t>
      </w:r>
      <w:r w:rsidRPr="00EE21BE">
        <w:rPr>
          <w:rFonts w:ascii="Arial" w:eastAsia="Times New Roman" w:hAnsi="Arial" w:cs="Arial"/>
          <w:sz w:val="18"/>
          <w:szCs w:val="18"/>
        </w:rPr>
        <w:t xml:space="preserve">. Društvo se obvezalo izraditi idejno rješenje, glavni projekt, troškovnik i dokumentaciju za nabavu. Građevinska bruto površina predmetne </w:t>
      </w:r>
      <w:r w:rsidRPr="00EE21BE">
        <w:rPr>
          <w:rFonts w:ascii="Arial" w:eastAsia="Times New Roman" w:hAnsi="Arial" w:cs="Arial"/>
          <w:sz w:val="18"/>
          <w:szCs w:val="18"/>
        </w:rPr>
        <w:lastRenderedPageBreak/>
        <w:t>dvorane iznosi oko 800 m². Prema projektnom zadatku, unutrašnje karakteristike dvorane su: dio s četiri boćarske staze minimalnih dimenzija 27,50(d)*16,5(Š)*5,5(v), te minimalno tri svlačionice (za minimalno 13 ljudi) sa zasebnim sanitarijama i kupaonicama s tuševima, društvena prostorija / ugostiteljski objekt s kuhinjom i skladišnim prostorom te minimalno 150 gledališnih mjesta, a po mogućnosti jedan višenamjenski prostor i jedna soba za sastanke. Dakle, uz jedan glavni ulaz, prateći sadržaji trebaju imati još jedan sanitarni čvor.</w:t>
      </w:r>
    </w:p>
    <w:p w14:paraId="18563F15" w14:textId="77777777"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p>
    <w:p w14:paraId="3FBEC82B" w14:textId="55A06786"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U 2020. su izvršeni rashodi u iznosu 13.500 kn</w:t>
      </w:r>
      <w:r w:rsidR="006B1C46" w:rsidRPr="00EE21BE">
        <w:rPr>
          <w:rFonts w:ascii="Arial" w:eastAsia="Times New Roman" w:hAnsi="Arial" w:cs="Arial"/>
          <w:sz w:val="18"/>
          <w:szCs w:val="18"/>
        </w:rPr>
        <w:t xml:space="preserve"> (1.791,76 €)</w:t>
      </w:r>
      <w:r w:rsidRPr="00EE21BE">
        <w:rPr>
          <w:rFonts w:ascii="Arial" w:eastAsia="Times New Roman" w:hAnsi="Arial" w:cs="Arial"/>
          <w:sz w:val="18"/>
          <w:szCs w:val="18"/>
        </w:rPr>
        <w:t>. Odnose se na troškove izdavanja potvrde o usklađenosti projekta s propozicijama (HRVATSKI BOĆARSKI SAVEZ) u iznosu 1.000 kn</w:t>
      </w:r>
      <w:r w:rsidR="006B1C46" w:rsidRPr="00EE21BE">
        <w:rPr>
          <w:rFonts w:ascii="Arial" w:eastAsia="Times New Roman" w:hAnsi="Arial" w:cs="Arial"/>
          <w:sz w:val="18"/>
          <w:szCs w:val="18"/>
        </w:rPr>
        <w:t xml:space="preserve"> (132,72 €)</w:t>
      </w:r>
      <w:r w:rsidRPr="00EE21BE">
        <w:rPr>
          <w:rFonts w:ascii="Arial" w:eastAsia="Times New Roman" w:hAnsi="Arial" w:cs="Arial"/>
          <w:sz w:val="18"/>
          <w:szCs w:val="18"/>
        </w:rPr>
        <w:t>, te izradu statike za boćarsku dvoranu 18m*33m/4m u iznosu 12.500 kn</w:t>
      </w:r>
      <w:r w:rsidR="006B1C46" w:rsidRPr="00EE21BE">
        <w:rPr>
          <w:rFonts w:ascii="Arial" w:eastAsia="Times New Roman" w:hAnsi="Arial" w:cs="Arial"/>
          <w:sz w:val="18"/>
          <w:szCs w:val="18"/>
        </w:rPr>
        <w:t xml:space="preserve"> (1.659,04 €)</w:t>
      </w:r>
      <w:r w:rsidRPr="00EE21BE">
        <w:rPr>
          <w:rFonts w:ascii="Arial" w:eastAsia="Times New Roman" w:hAnsi="Arial" w:cs="Arial"/>
          <w:sz w:val="18"/>
          <w:szCs w:val="18"/>
        </w:rPr>
        <w:t>.</w:t>
      </w:r>
    </w:p>
    <w:p w14:paraId="1511F4A9" w14:textId="77777777"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p>
    <w:p w14:paraId="6CE3C578" w14:textId="77777777"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Rashodi nisu izvršavani u 2021. i 2022. zbog nedostatka proračunskih sredstava.</w:t>
      </w:r>
    </w:p>
    <w:p w14:paraId="5B809CCE" w14:textId="77777777" w:rsidR="006B1C46" w:rsidRPr="00EE21BE" w:rsidRDefault="006B1C46" w:rsidP="0004156F">
      <w:pPr>
        <w:autoSpaceDE w:val="0"/>
        <w:autoSpaceDN w:val="0"/>
        <w:adjustRightInd w:val="0"/>
        <w:spacing w:after="0" w:line="240" w:lineRule="auto"/>
        <w:jc w:val="both"/>
        <w:rPr>
          <w:rFonts w:ascii="Arial" w:eastAsia="Times New Roman" w:hAnsi="Arial" w:cs="Arial"/>
          <w:sz w:val="18"/>
          <w:szCs w:val="18"/>
        </w:rPr>
      </w:pPr>
    </w:p>
    <w:p w14:paraId="25EC791E" w14:textId="2F9523DA" w:rsidR="006B1C46" w:rsidRPr="00EE21BE" w:rsidRDefault="006B1C46"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Za provedbu ovog projekta osigurana su financijska sredstva kroz projekt ITU mehanizam.</w:t>
      </w:r>
    </w:p>
    <w:p w14:paraId="2CC2303A" w14:textId="77777777"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p>
    <w:p w14:paraId="6D8FA385" w14:textId="6CD2D71C" w:rsidR="000821A5" w:rsidRPr="00FF3C31" w:rsidRDefault="000821A5"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U 2024. godini su izvršeni rashodi u iznosu 25.000 € i odnose se na otkup dijela zemljišta potrebnog za izgradnju boćarskog doma.</w:t>
      </w:r>
    </w:p>
    <w:p w14:paraId="0694DC22" w14:textId="77777777" w:rsidR="000821A5" w:rsidRDefault="000821A5" w:rsidP="0004156F">
      <w:pPr>
        <w:autoSpaceDE w:val="0"/>
        <w:autoSpaceDN w:val="0"/>
        <w:adjustRightInd w:val="0"/>
        <w:spacing w:after="0" w:line="240" w:lineRule="auto"/>
        <w:jc w:val="both"/>
        <w:rPr>
          <w:rFonts w:ascii="Arial" w:eastAsia="Times New Roman" w:hAnsi="Arial" w:cs="Arial"/>
          <w:sz w:val="20"/>
          <w:szCs w:val="20"/>
        </w:rPr>
      </w:pPr>
    </w:p>
    <w:p w14:paraId="7A6D2879" w14:textId="160E16F1" w:rsidR="00B40BA7" w:rsidRDefault="00B40BA7"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U 202</w:t>
      </w:r>
      <w:r>
        <w:rPr>
          <w:rFonts w:ascii="Arial" w:eastAsia="Times New Roman" w:hAnsi="Arial" w:cs="Arial"/>
          <w:sz w:val="20"/>
          <w:szCs w:val="20"/>
        </w:rPr>
        <w:t>5</w:t>
      </w:r>
      <w:r w:rsidRPr="00FF3C31">
        <w:rPr>
          <w:rFonts w:ascii="Arial" w:eastAsia="Times New Roman" w:hAnsi="Arial" w:cs="Arial"/>
          <w:sz w:val="20"/>
          <w:szCs w:val="20"/>
        </w:rPr>
        <w:t xml:space="preserve">. godini su izvršeni rashodi u iznosu </w:t>
      </w:r>
      <w:r>
        <w:rPr>
          <w:rFonts w:ascii="Arial" w:eastAsia="Times New Roman" w:hAnsi="Arial" w:cs="Arial"/>
          <w:sz w:val="20"/>
          <w:szCs w:val="20"/>
        </w:rPr>
        <w:t>1.875</w:t>
      </w:r>
      <w:r w:rsidRPr="00FF3C31">
        <w:rPr>
          <w:rFonts w:ascii="Arial" w:eastAsia="Times New Roman" w:hAnsi="Arial" w:cs="Arial"/>
          <w:sz w:val="20"/>
          <w:szCs w:val="20"/>
        </w:rPr>
        <w:t xml:space="preserve"> € i odnose se na </w:t>
      </w:r>
      <w:r>
        <w:rPr>
          <w:rFonts w:ascii="Arial" w:eastAsia="Times New Roman" w:hAnsi="Arial" w:cs="Arial"/>
          <w:sz w:val="20"/>
          <w:szCs w:val="20"/>
        </w:rPr>
        <w:t>usluge revizije projekta izgradnje boćarske dvorane (za metalne spregnute konstrukcije).</w:t>
      </w:r>
    </w:p>
    <w:p w14:paraId="20889137" w14:textId="77777777" w:rsidR="00B40BA7" w:rsidRPr="00FF3C31" w:rsidRDefault="00B40BA7" w:rsidP="0004156F">
      <w:pPr>
        <w:autoSpaceDE w:val="0"/>
        <w:autoSpaceDN w:val="0"/>
        <w:adjustRightInd w:val="0"/>
        <w:spacing w:after="0" w:line="240" w:lineRule="auto"/>
        <w:jc w:val="both"/>
        <w:rPr>
          <w:rFonts w:ascii="Arial" w:eastAsia="Times New Roman" w:hAnsi="Arial" w:cs="Arial"/>
          <w:sz w:val="20"/>
          <w:szCs w:val="20"/>
        </w:rPr>
      </w:pPr>
    </w:p>
    <w:p w14:paraId="30C0E1E2" w14:textId="77777777" w:rsidR="0004156F" w:rsidRPr="00FF3C31" w:rsidRDefault="0004156F" w:rsidP="0004156F">
      <w:pPr>
        <w:pBdr>
          <w:top w:val="dotted" w:sz="4" w:space="1" w:color="auto"/>
          <w:left w:val="dotted" w:sz="4" w:space="4" w:color="auto"/>
          <w:bottom w:val="dotted" w:sz="4" w:space="1" w:color="auto"/>
          <w:right w:val="dotted" w:sz="4" w:space="4" w:color="auto"/>
        </w:pBdr>
        <w:autoSpaceDE w:val="0"/>
        <w:autoSpaceDN w:val="0"/>
        <w:adjustRightInd w:val="0"/>
        <w:spacing w:after="0" w:line="240" w:lineRule="auto"/>
        <w:jc w:val="both"/>
        <w:rPr>
          <w:rFonts w:ascii="Arial" w:eastAsia="Times New Roman" w:hAnsi="Arial" w:cs="Arial"/>
          <w:b/>
          <w:sz w:val="20"/>
          <w:szCs w:val="20"/>
        </w:rPr>
      </w:pPr>
      <w:r w:rsidRPr="00FF3C31">
        <w:rPr>
          <w:rFonts w:ascii="Arial" w:eastAsia="Times New Roman" w:hAnsi="Arial" w:cs="Arial"/>
          <w:b/>
          <w:sz w:val="20"/>
          <w:szCs w:val="20"/>
        </w:rPr>
        <w:t>K210204: Pripremne radnje, projektiranje i izgradnja bazena i malonogometnog igrališta Čilipi</w:t>
      </w:r>
    </w:p>
    <w:p w14:paraId="72A67982"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p>
    <w:p w14:paraId="77906B55" w14:textId="7777777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 xml:space="preserve">Pokazatelj rezultata je: postotak dovršenosti projekta </w:t>
      </w:r>
    </w:p>
    <w:p w14:paraId="7A728680" w14:textId="60616012"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Polazna vrijednost 202</w:t>
      </w:r>
      <w:r w:rsidR="00B40BA7">
        <w:rPr>
          <w:rFonts w:ascii="Arial" w:eastAsia="Times New Roman" w:hAnsi="Arial" w:cs="Arial"/>
          <w:sz w:val="20"/>
          <w:szCs w:val="20"/>
        </w:rPr>
        <w:t>4</w:t>
      </w:r>
      <w:r w:rsidRPr="00FF3C31">
        <w:rPr>
          <w:rFonts w:ascii="Arial" w:eastAsia="Times New Roman" w:hAnsi="Arial" w:cs="Arial"/>
          <w:sz w:val="20"/>
          <w:szCs w:val="20"/>
        </w:rPr>
        <w:t xml:space="preserve">. = 0% postotak projekta i radova </w:t>
      </w:r>
    </w:p>
    <w:p w14:paraId="169EC8A0" w14:textId="6FD4CBC9"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Ciljna vrijednost za 202</w:t>
      </w:r>
      <w:r w:rsidR="00B40BA7">
        <w:rPr>
          <w:rFonts w:ascii="Arial" w:eastAsia="Times New Roman" w:hAnsi="Arial" w:cs="Arial"/>
          <w:sz w:val="20"/>
          <w:szCs w:val="20"/>
        </w:rPr>
        <w:t>5</w:t>
      </w:r>
      <w:r w:rsidRPr="00FF3C31">
        <w:rPr>
          <w:rFonts w:ascii="Arial" w:eastAsia="Times New Roman" w:hAnsi="Arial" w:cs="Arial"/>
          <w:sz w:val="20"/>
          <w:szCs w:val="20"/>
        </w:rPr>
        <w:t>. = 0% završenosti projekta i 0% završenosti radova</w:t>
      </w:r>
    </w:p>
    <w:p w14:paraId="648359CB" w14:textId="08E96AA7" w:rsidR="0004156F" w:rsidRPr="00FF3C31" w:rsidRDefault="0004156F" w:rsidP="0004156F">
      <w:pPr>
        <w:autoSpaceDE w:val="0"/>
        <w:autoSpaceDN w:val="0"/>
        <w:adjustRightInd w:val="0"/>
        <w:spacing w:after="0" w:line="240" w:lineRule="auto"/>
        <w:jc w:val="both"/>
        <w:rPr>
          <w:rFonts w:ascii="Arial" w:eastAsia="Times New Roman" w:hAnsi="Arial" w:cs="Arial"/>
          <w:sz w:val="20"/>
          <w:szCs w:val="20"/>
        </w:rPr>
      </w:pPr>
      <w:r w:rsidRPr="00FF3C31">
        <w:rPr>
          <w:rFonts w:ascii="Arial" w:eastAsia="Times New Roman" w:hAnsi="Arial" w:cs="Arial"/>
          <w:sz w:val="20"/>
          <w:szCs w:val="20"/>
        </w:rPr>
        <w:t>za 202</w:t>
      </w:r>
      <w:r w:rsidR="00B40BA7">
        <w:rPr>
          <w:rFonts w:ascii="Arial" w:eastAsia="Times New Roman" w:hAnsi="Arial" w:cs="Arial"/>
          <w:sz w:val="20"/>
          <w:szCs w:val="20"/>
        </w:rPr>
        <w:t>6</w:t>
      </w:r>
      <w:r w:rsidRPr="00FF3C31">
        <w:rPr>
          <w:rFonts w:ascii="Arial" w:eastAsia="Times New Roman" w:hAnsi="Arial" w:cs="Arial"/>
          <w:sz w:val="20"/>
          <w:szCs w:val="20"/>
        </w:rPr>
        <w:t>. = 100% završenost projekta i 0% završenosti radova, za 202</w:t>
      </w:r>
      <w:r w:rsidR="00B40BA7">
        <w:rPr>
          <w:rFonts w:ascii="Arial" w:eastAsia="Times New Roman" w:hAnsi="Arial" w:cs="Arial"/>
          <w:sz w:val="20"/>
          <w:szCs w:val="20"/>
        </w:rPr>
        <w:t>7</w:t>
      </w:r>
      <w:r w:rsidRPr="00FF3C31">
        <w:rPr>
          <w:rFonts w:ascii="Arial" w:eastAsia="Times New Roman" w:hAnsi="Arial" w:cs="Arial"/>
          <w:sz w:val="20"/>
          <w:szCs w:val="20"/>
        </w:rPr>
        <w:t>. = 100% završenost projekta i 10% završenosti radova</w:t>
      </w:r>
    </w:p>
    <w:p w14:paraId="3318F93E" w14:textId="77777777" w:rsidR="007D695C" w:rsidRPr="00FF3C31" w:rsidRDefault="007D695C" w:rsidP="0004156F">
      <w:pPr>
        <w:autoSpaceDE w:val="0"/>
        <w:autoSpaceDN w:val="0"/>
        <w:adjustRightInd w:val="0"/>
        <w:spacing w:after="0" w:line="240" w:lineRule="auto"/>
        <w:jc w:val="both"/>
        <w:rPr>
          <w:rFonts w:ascii="Arial" w:eastAsia="Times New Roman" w:hAnsi="Arial" w:cs="Arial"/>
          <w:sz w:val="20"/>
          <w:szCs w:val="20"/>
        </w:rPr>
      </w:pPr>
    </w:p>
    <w:p w14:paraId="1E18BF61" w14:textId="48279F59"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Radi se o projektu koji tek treba započeti. Za početak je potrebno izdvojiti rashode za izradu potrebnih elaborata i projektne dokumentacije. Nakon što projekt bude visoko pripremljen trebalo bi iznaći načine sufinanciranja sredstvima EU i drugih fondova.</w:t>
      </w:r>
    </w:p>
    <w:p w14:paraId="36729EAA" w14:textId="54C7861D" w:rsidR="0004156F" w:rsidRPr="00EE21BE" w:rsidRDefault="0004156F" w:rsidP="0004156F">
      <w:pPr>
        <w:autoSpaceDE w:val="0"/>
        <w:autoSpaceDN w:val="0"/>
        <w:adjustRightInd w:val="0"/>
        <w:spacing w:after="0" w:line="240" w:lineRule="auto"/>
        <w:jc w:val="both"/>
        <w:rPr>
          <w:rFonts w:ascii="Arial" w:eastAsia="Calibri" w:hAnsi="Arial" w:cs="Arial"/>
          <w:sz w:val="18"/>
          <w:szCs w:val="18"/>
        </w:rPr>
      </w:pPr>
      <w:r w:rsidRPr="00EE21BE">
        <w:rPr>
          <w:rFonts w:ascii="Arial" w:eastAsia="Times New Roman" w:hAnsi="Arial" w:cs="Arial"/>
          <w:sz w:val="18"/>
          <w:szCs w:val="18"/>
        </w:rPr>
        <w:t xml:space="preserve">Ugovor za izradu urbanističko arhitektonske analize te izrade projektne dokumentacije za izgradnju zgrade sportsko rekreacijskog sadržaja s unutarnjim bazenom na dijelu č.zem. 909 k.o. Čilipi zaključen je 4. lipnja 2019. (Alfaplan d.o.o.) u iznosu 69.800 kn </w:t>
      </w:r>
      <w:r w:rsidR="00C65494" w:rsidRPr="00EE21BE">
        <w:rPr>
          <w:rFonts w:ascii="Arial" w:eastAsia="Times New Roman" w:hAnsi="Arial" w:cs="Arial"/>
          <w:sz w:val="18"/>
          <w:szCs w:val="18"/>
        </w:rPr>
        <w:t xml:space="preserve">/ 9.264,05 € </w:t>
      </w:r>
      <w:r w:rsidRPr="00EE21BE">
        <w:rPr>
          <w:rFonts w:ascii="Arial" w:eastAsia="Times New Roman" w:hAnsi="Arial" w:cs="Arial"/>
          <w:sz w:val="18"/>
          <w:szCs w:val="18"/>
        </w:rPr>
        <w:t>što s porezom na dodanu vrijednost čini 87.250 kn</w:t>
      </w:r>
      <w:r w:rsidR="006B1C46" w:rsidRPr="00EE21BE">
        <w:rPr>
          <w:rFonts w:ascii="Arial" w:eastAsia="Times New Roman" w:hAnsi="Arial" w:cs="Arial"/>
          <w:sz w:val="18"/>
          <w:szCs w:val="18"/>
        </w:rPr>
        <w:t xml:space="preserve"> (11.580,07 €)</w:t>
      </w:r>
      <w:r w:rsidRPr="00EE21BE">
        <w:rPr>
          <w:rFonts w:ascii="Arial" w:eastAsia="Times New Roman" w:hAnsi="Arial" w:cs="Arial"/>
          <w:sz w:val="18"/>
          <w:szCs w:val="18"/>
        </w:rPr>
        <w:t>. Površina predmetne zone sukladno popisu posjedovnog lista iznosi 10.945 m². Društvo se, između ostalog, obvezalo izraditi 3D vizualizaciju predloženog rješenja te izraditi prezentacijski materijal. Rashodi za izradu projektne dokumentacije u 2019. su izvršeni u iznosu 87.250 kn</w:t>
      </w:r>
      <w:r w:rsidR="006B1C46" w:rsidRPr="00EE21BE">
        <w:rPr>
          <w:rFonts w:ascii="Arial" w:eastAsia="Times New Roman" w:hAnsi="Arial" w:cs="Arial"/>
          <w:sz w:val="18"/>
          <w:szCs w:val="18"/>
        </w:rPr>
        <w:t xml:space="preserve"> (11.580,07 €)</w:t>
      </w:r>
      <w:r w:rsidRPr="00EE21BE">
        <w:rPr>
          <w:rFonts w:ascii="Arial" w:eastAsia="Times New Roman" w:hAnsi="Arial" w:cs="Arial"/>
          <w:sz w:val="18"/>
          <w:szCs w:val="18"/>
        </w:rPr>
        <w:t xml:space="preserve">. </w:t>
      </w:r>
    </w:p>
    <w:p w14:paraId="663DC2F6" w14:textId="4E50EE3D" w:rsidR="0004156F" w:rsidRPr="00EE21BE" w:rsidRDefault="0004156F" w:rsidP="0004156F">
      <w:pPr>
        <w:autoSpaceDE w:val="0"/>
        <w:autoSpaceDN w:val="0"/>
        <w:adjustRightInd w:val="0"/>
        <w:spacing w:after="0" w:line="240" w:lineRule="auto"/>
        <w:jc w:val="both"/>
        <w:rPr>
          <w:rFonts w:ascii="Arial" w:eastAsia="Times New Roman" w:hAnsi="Arial" w:cs="Arial"/>
          <w:sz w:val="18"/>
          <w:szCs w:val="18"/>
        </w:rPr>
      </w:pPr>
      <w:r w:rsidRPr="00EE21BE">
        <w:rPr>
          <w:rFonts w:ascii="Arial" w:eastAsia="Times New Roman" w:hAnsi="Arial" w:cs="Arial"/>
          <w:sz w:val="18"/>
          <w:szCs w:val="18"/>
        </w:rPr>
        <w:t>Rashodi nisu izvršavani.</w:t>
      </w:r>
    </w:p>
    <w:p w14:paraId="06180D52" w14:textId="77777777" w:rsidR="005B7839" w:rsidRPr="00FF3C31" w:rsidRDefault="005B7839" w:rsidP="006F6963">
      <w:pPr>
        <w:autoSpaceDE w:val="0"/>
        <w:autoSpaceDN w:val="0"/>
        <w:adjustRightInd w:val="0"/>
        <w:spacing w:after="0" w:line="240" w:lineRule="auto"/>
        <w:rPr>
          <w:rFonts w:ascii="Arial" w:hAnsi="Arial" w:cs="Arial"/>
          <w:sz w:val="20"/>
          <w:szCs w:val="20"/>
        </w:rPr>
      </w:pPr>
    </w:p>
    <w:p w14:paraId="0C3600D5" w14:textId="615CB16E" w:rsidR="006F6963" w:rsidRPr="00FF3C31" w:rsidRDefault="00992554" w:rsidP="006F6963">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0" w:line="240" w:lineRule="auto"/>
        <w:rPr>
          <w:rFonts w:ascii="Arial" w:hAnsi="Arial" w:cs="Arial"/>
          <w:b/>
          <w:sz w:val="20"/>
          <w:szCs w:val="20"/>
        </w:rPr>
      </w:pPr>
      <w:r w:rsidRPr="00FF3C31">
        <w:rPr>
          <w:rFonts w:ascii="Arial" w:hAnsi="Arial" w:cs="Arial"/>
          <w:b/>
          <w:sz w:val="20"/>
          <w:szCs w:val="20"/>
        </w:rPr>
        <w:t>Strateški c</w:t>
      </w:r>
      <w:r w:rsidR="006F6963" w:rsidRPr="00FF3C31">
        <w:rPr>
          <w:rFonts w:ascii="Arial" w:hAnsi="Arial" w:cs="Arial"/>
          <w:b/>
          <w:sz w:val="20"/>
          <w:szCs w:val="20"/>
        </w:rPr>
        <w:t>ilj 3: Unapređenje kvalitete života i razvoj društvene zajednice na načelima kohezije i uključivosti</w:t>
      </w:r>
    </w:p>
    <w:p w14:paraId="0ECAB2A4" w14:textId="77777777" w:rsidR="006F6963" w:rsidRPr="00FF3C31" w:rsidRDefault="006F6963" w:rsidP="006F6963">
      <w:pPr>
        <w:autoSpaceDE w:val="0"/>
        <w:autoSpaceDN w:val="0"/>
        <w:adjustRightInd w:val="0"/>
        <w:spacing w:after="0" w:line="240" w:lineRule="auto"/>
        <w:rPr>
          <w:rFonts w:ascii="Arial" w:hAnsi="Arial" w:cs="Arial"/>
          <w:sz w:val="20"/>
          <w:szCs w:val="20"/>
        </w:rPr>
      </w:pPr>
    </w:p>
    <w:p w14:paraId="405DF5A6" w14:textId="20727462" w:rsidR="00385C62" w:rsidRPr="00FF3C31" w:rsidRDefault="00385C62" w:rsidP="00385C6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rPr>
          <w:rFonts w:ascii="Arial" w:hAnsi="Arial" w:cs="Arial"/>
          <w:b/>
          <w:sz w:val="20"/>
          <w:szCs w:val="20"/>
        </w:rPr>
      </w:pPr>
      <w:r w:rsidRPr="00FF3C31">
        <w:rPr>
          <w:rFonts w:ascii="Arial" w:hAnsi="Arial" w:cs="Arial"/>
          <w:b/>
          <w:sz w:val="20"/>
          <w:szCs w:val="20"/>
        </w:rPr>
        <w:t xml:space="preserve">Prioritet 3.2. Unapređenje predškolskog odgoja i sustava obrazovanja </w:t>
      </w:r>
    </w:p>
    <w:p w14:paraId="6FA5AE8E" w14:textId="77777777" w:rsidR="00385C62" w:rsidRPr="00FF3C31" w:rsidRDefault="00385C62" w:rsidP="00385C62">
      <w:pPr>
        <w:autoSpaceDE w:val="0"/>
        <w:autoSpaceDN w:val="0"/>
        <w:adjustRightInd w:val="0"/>
        <w:spacing w:after="0" w:line="240" w:lineRule="auto"/>
        <w:rPr>
          <w:rFonts w:ascii="Arial" w:hAnsi="Arial" w:cs="Arial"/>
          <w:sz w:val="20"/>
          <w:szCs w:val="20"/>
        </w:rPr>
      </w:pPr>
    </w:p>
    <w:p w14:paraId="422661D7" w14:textId="677B04A9" w:rsidR="00385C62" w:rsidRPr="00FF3C31" w:rsidRDefault="00385C62" w:rsidP="00385C62">
      <w:pPr>
        <w:shd w:val="clear" w:color="auto" w:fill="BFBFBF" w:themeFill="background1" w:themeFillShade="BF"/>
        <w:autoSpaceDE w:val="0"/>
        <w:autoSpaceDN w:val="0"/>
        <w:adjustRightInd w:val="0"/>
        <w:spacing w:after="0" w:line="240" w:lineRule="auto"/>
        <w:rPr>
          <w:rFonts w:ascii="Arial" w:hAnsi="Arial" w:cs="Arial"/>
          <w:b/>
          <w:bCs/>
          <w:sz w:val="20"/>
          <w:szCs w:val="20"/>
        </w:rPr>
      </w:pPr>
      <w:r w:rsidRPr="00FF3C31">
        <w:rPr>
          <w:rFonts w:ascii="Arial" w:hAnsi="Arial" w:cs="Arial"/>
          <w:b/>
          <w:bCs/>
          <w:sz w:val="20"/>
          <w:szCs w:val="20"/>
        </w:rPr>
        <w:t>Mjera 3.2.1. Provođenje programa usmjerenih na poboljšanje predškolskog odgoja i</w:t>
      </w:r>
      <w:r w:rsidR="003E30B1" w:rsidRPr="00FF3C31">
        <w:rPr>
          <w:rFonts w:ascii="Arial" w:hAnsi="Arial" w:cs="Arial"/>
          <w:b/>
          <w:bCs/>
          <w:sz w:val="20"/>
          <w:szCs w:val="20"/>
        </w:rPr>
        <w:t xml:space="preserve"> </w:t>
      </w:r>
      <w:r w:rsidRPr="00FF3C31">
        <w:rPr>
          <w:rFonts w:ascii="Arial" w:hAnsi="Arial" w:cs="Arial"/>
          <w:b/>
          <w:bCs/>
          <w:sz w:val="20"/>
          <w:szCs w:val="20"/>
        </w:rPr>
        <w:t>obrazovanja</w:t>
      </w:r>
    </w:p>
    <w:p w14:paraId="5879F120" w14:textId="77777777" w:rsidR="00385C62" w:rsidRPr="00FF3C31" w:rsidRDefault="00385C62" w:rsidP="006F6963">
      <w:pPr>
        <w:autoSpaceDE w:val="0"/>
        <w:autoSpaceDN w:val="0"/>
        <w:adjustRightInd w:val="0"/>
        <w:spacing w:after="0" w:line="240" w:lineRule="auto"/>
        <w:rPr>
          <w:rFonts w:ascii="Arial" w:hAnsi="Arial" w:cs="Arial"/>
          <w:sz w:val="20"/>
          <w:szCs w:val="20"/>
        </w:rPr>
      </w:pPr>
    </w:p>
    <w:p w14:paraId="4656C729" w14:textId="177FA5A8" w:rsidR="003E30B1" w:rsidRPr="00FF3C31" w:rsidRDefault="003E30B1" w:rsidP="006F6963">
      <w:pPr>
        <w:autoSpaceDE w:val="0"/>
        <w:autoSpaceDN w:val="0"/>
        <w:adjustRightInd w:val="0"/>
        <w:spacing w:after="0" w:line="240" w:lineRule="auto"/>
        <w:rPr>
          <w:rFonts w:ascii="Arial" w:hAnsi="Arial" w:cs="Arial"/>
          <w:sz w:val="20"/>
          <w:szCs w:val="20"/>
        </w:rPr>
      </w:pPr>
      <w:r w:rsidRPr="00FF3C31">
        <w:rPr>
          <w:rFonts w:ascii="Arial" w:hAnsi="Arial" w:cs="Arial"/>
          <w:sz w:val="20"/>
          <w:szCs w:val="20"/>
        </w:rPr>
        <w:t>Ovaj strateški cilj, prioritet i mjere se iskazuju i kroz strateški cilj 2, prioritet 2.3., te se ovdje ne ponavlja.</w:t>
      </w:r>
    </w:p>
    <w:p w14:paraId="03731E6B" w14:textId="77777777" w:rsidR="00385C62" w:rsidRDefault="00385C62" w:rsidP="006F6963">
      <w:pPr>
        <w:autoSpaceDE w:val="0"/>
        <w:autoSpaceDN w:val="0"/>
        <w:adjustRightInd w:val="0"/>
        <w:spacing w:after="0" w:line="240" w:lineRule="auto"/>
        <w:rPr>
          <w:rFonts w:ascii="Arial" w:hAnsi="Arial" w:cs="Arial"/>
          <w:sz w:val="20"/>
          <w:szCs w:val="20"/>
        </w:rPr>
      </w:pPr>
    </w:p>
    <w:p w14:paraId="34B945F5" w14:textId="77777777" w:rsidR="00C560F8" w:rsidRDefault="00C560F8" w:rsidP="006F6963">
      <w:pPr>
        <w:autoSpaceDE w:val="0"/>
        <w:autoSpaceDN w:val="0"/>
        <w:adjustRightInd w:val="0"/>
        <w:spacing w:after="0" w:line="240" w:lineRule="auto"/>
        <w:rPr>
          <w:rFonts w:ascii="Arial" w:hAnsi="Arial" w:cs="Arial"/>
          <w:sz w:val="20"/>
          <w:szCs w:val="20"/>
        </w:rPr>
      </w:pPr>
    </w:p>
    <w:p w14:paraId="02B08F8A" w14:textId="77777777" w:rsidR="003E771A" w:rsidRDefault="003E771A" w:rsidP="006F6963">
      <w:pPr>
        <w:autoSpaceDE w:val="0"/>
        <w:autoSpaceDN w:val="0"/>
        <w:adjustRightInd w:val="0"/>
        <w:spacing w:after="0" w:line="240" w:lineRule="auto"/>
        <w:rPr>
          <w:rFonts w:ascii="Arial" w:hAnsi="Arial" w:cs="Arial"/>
          <w:sz w:val="20"/>
          <w:szCs w:val="20"/>
        </w:rPr>
      </w:pPr>
    </w:p>
    <w:p w14:paraId="7F86922E" w14:textId="77777777" w:rsidR="00C560F8" w:rsidRPr="00FF3C31" w:rsidRDefault="00C560F8" w:rsidP="006F6963">
      <w:pPr>
        <w:autoSpaceDE w:val="0"/>
        <w:autoSpaceDN w:val="0"/>
        <w:adjustRightInd w:val="0"/>
        <w:spacing w:after="0" w:line="240" w:lineRule="auto"/>
        <w:rPr>
          <w:rFonts w:ascii="Arial" w:hAnsi="Arial" w:cs="Arial"/>
          <w:sz w:val="20"/>
          <w:szCs w:val="20"/>
        </w:rPr>
      </w:pPr>
    </w:p>
    <w:p w14:paraId="4EA18EFE" w14:textId="77777777" w:rsidR="00385C62" w:rsidRPr="00FF3C31" w:rsidRDefault="00385C62" w:rsidP="006F6963">
      <w:pPr>
        <w:autoSpaceDE w:val="0"/>
        <w:autoSpaceDN w:val="0"/>
        <w:adjustRightInd w:val="0"/>
        <w:spacing w:after="0" w:line="240" w:lineRule="auto"/>
        <w:rPr>
          <w:rFonts w:ascii="Arial" w:hAnsi="Arial" w:cs="Arial"/>
          <w:sz w:val="20"/>
          <w:szCs w:val="20"/>
        </w:rPr>
      </w:pPr>
    </w:p>
    <w:p w14:paraId="1133E717" w14:textId="77777777" w:rsidR="006F6963" w:rsidRPr="00FF3C31" w:rsidRDefault="006F6963" w:rsidP="006F6963">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after="0" w:line="240" w:lineRule="auto"/>
        <w:rPr>
          <w:rFonts w:ascii="Arial" w:hAnsi="Arial" w:cs="Arial"/>
          <w:b/>
          <w:sz w:val="20"/>
          <w:szCs w:val="20"/>
        </w:rPr>
      </w:pPr>
      <w:r w:rsidRPr="00FF3C31">
        <w:rPr>
          <w:rFonts w:ascii="Arial" w:hAnsi="Arial" w:cs="Arial"/>
          <w:b/>
          <w:sz w:val="20"/>
          <w:szCs w:val="20"/>
        </w:rPr>
        <w:lastRenderedPageBreak/>
        <w:t>Prioritet 3.6. Unapređenje sustava sigurnosti</w:t>
      </w:r>
    </w:p>
    <w:p w14:paraId="0F3528F6" w14:textId="77777777" w:rsidR="006F6963" w:rsidRPr="00FF3C31" w:rsidRDefault="006F6963" w:rsidP="006F6963">
      <w:pPr>
        <w:autoSpaceDE w:val="0"/>
        <w:autoSpaceDN w:val="0"/>
        <w:adjustRightInd w:val="0"/>
        <w:spacing w:after="0" w:line="240" w:lineRule="auto"/>
        <w:rPr>
          <w:rFonts w:ascii="Arial" w:hAnsi="Arial" w:cs="Arial"/>
          <w:sz w:val="20"/>
          <w:szCs w:val="20"/>
        </w:rPr>
      </w:pPr>
    </w:p>
    <w:p w14:paraId="05712369" w14:textId="77777777" w:rsidR="006F6963" w:rsidRPr="00FF3C31" w:rsidRDefault="006F6963" w:rsidP="006F6963">
      <w:pPr>
        <w:shd w:val="clear" w:color="auto" w:fill="BFBFBF" w:themeFill="background1" w:themeFillShade="BF"/>
        <w:autoSpaceDE w:val="0"/>
        <w:autoSpaceDN w:val="0"/>
        <w:adjustRightInd w:val="0"/>
        <w:spacing w:after="0" w:line="240" w:lineRule="auto"/>
        <w:rPr>
          <w:rFonts w:ascii="Arial" w:hAnsi="Arial" w:cs="Arial"/>
          <w:b/>
          <w:bCs/>
          <w:sz w:val="20"/>
          <w:szCs w:val="20"/>
        </w:rPr>
      </w:pPr>
      <w:r w:rsidRPr="00FF3C31">
        <w:rPr>
          <w:rFonts w:ascii="Arial" w:hAnsi="Arial" w:cs="Arial"/>
          <w:b/>
          <w:bCs/>
          <w:sz w:val="20"/>
          <w:szCs w:val="20"/>
        </w:rPr>
        <w:t>Mjera 3.6.2. Unaprjeđenje sustava protupožarne zaštite i vatrogastva</w:t>
      </w:r>
    </w:p>
    <w:p w14:paraId="606835E7" w14:textId="77777777" w:rsidR="006F6963" w:rsidRPr="00FF3C31" w:rsidRDefault="006F6963" w:rsidP="006F6963">
      <w:pPr>
        <w:autoSpaceDE w:val="0"/>
        <w:autoSpaceDN w:val="0"/>
        <w:adjustRightInd w:val="0"/>
        <w:spacing w:after="0" w:line="240" w:lineRule="auto"/>
        <w:rPr>
          <w:rFonts w:ascii="Arial" w:hAnsi="Arial" w:cs="Arial"/>
          <w:sz w:val="20"/>
          <w:szCs w:val="20"/>
        </w:rPr>
      </w:pPr>
    </w:p>
    <w:p w14:paraId="00D6665B" w14:textId="5C470663" w:rsidR="006F6963" w:rsidRPr="00FF3C31" w:rsidRDefault="006F6963" w:rsidP="006F6963">
      <w:pPr>
        <w:autoSpaceDE w:val="0"/>
        <w:autoSpaceDN w:val="0"/>
        <w:adjustRightInd w:val="0"/>
        <w:spacing w:after="0" w:line="240" w:lineRule="auto"/>
        <w:jc w:val="both"/>
        <w:rPr>
          <w:rFonts w:ascii="Arial" w:eastAsia="Times New Roman" w:hAnsi="Arial" w:cs="Arial"/>
          <w:sz w:val="20"/>
          <w:szCs w:val="20"/>
        </w:rPr>
      </w:pPr>
      <w:r w:rsidRPr="00FF3C31">
        <w:rPr>
          <w:rFonts w:ascii="Arial" w:hAnsi="Arial" w:cs="Arial"/>
          <w:sz w:val="20"/>
          <w:szCs w:val="20"/>
        </w:rPr>
        <w:t xml:space="preserve">Kapitalni projekt (K207307) </w:t>
      </w:r>
      <w:r w:rsidR="003E30B1" w:rsidRPr="00FF3C31">
        <w:rPr>
          <w:rFonts w:ascii="Arial" w:hAnsi="Arial" w:cs="Arial"/>
          <w:sz w:val="20"/>
          <w:szCs w:val="20"/>
        </w:rPr>
        <w:t>Izgradnja zajedničkog vatrogasnog doma i spremišta – Vatrogasni dom Gruda</w:t>
      </w:r>
    </w:p>
    <w:p w14:paraId="533DC5FC" w14:textId="77777777" w:rsidR="00156E6C" w:rsidRPr="00FF3C31" w:rsidRDefault="00156E6C" w:rsidP="00156E6C">
      <w:pPr>
        <w:autoSpaceDE w:val="0"/>
        <w:autoSpaceDN w:val="0"/>
        <w:adjustRightInd w:val="0"/>
        <w:spacing w:after="0" w:line="240" w:lineRule="auto"/>
        <w:rPr>
          <w:rFonts w:ascii="Arial" w:hAnsi="Arial" w:cs="Arial"/>
          <w:sz w:val="20"/>
          <w:szCs w:val="20"/>
        </w:rPr>
      </w:pPr>
    </w:p>
    <w:p w14:paraId="662AED4E" w14:textId="17DEA3C7" w:rsidR="00156E6C" w:rsidRPr="00FF3C31" w:rsidRDefault="00156E6C" w:rsidP="00156E6C">
      <w:pPr>
        <w:autoSpaceDE w:val="0"/>
        <w:autoSpaceDN w:val="0"/>
        <w:adjustRightInd w:val="0"/>
        <w:spacing w:after="0" w:line="240" w:lineRule="auto"/>
        <w:rPr>
          <w:rFonts w:ascii="Arial" w:hAnsi="Arial" w:cs="Arial"/>
          <w:sz w:val="20"/>
          <w:szCs w:val="20"/>
        </w:rPr>
      </w:pPr>
      <w:r w:rsidRPr="00FF3C31">
        <w:rPr>
          <w:rFonts w:ascii="Arial" w:hAnsi="Arial" w:cs="Arial"/>
          <w:sz w:val="20"/>
          <w:szCs w:val="20"/>
        </w:rPr>
        <w:t>Ovaj strateški cilj, prioritet i mjere se iskazuju i kroz strateški cilj 2, prioritet 2.3., te se ovdje ne ponavlja.</w:t>
      </w:r>
    </w:p>
    <w:p w14:paraId="6B0A57F7" w14:textId="77777777" w:rsidR="00156E6C" w:rsidRPr="00FF3C31" w:rsidRDefault="00156E6C" w:rsidP="00156E6C">
      <w:pPr>
        <w:autoSpaceDE w:val="0"/>
        <w:autoSpaceDN w:val="0"/>
        <w:adjustRightInd w:val="0"/>
        <w:spacing w:after="0" w:line="240" w:lineRule="auto"/>
        <w:rPr>
          <w:rFonts w:ascii="Arial" w:hAnsi="Arial" w:cs="Arial"/>
          <w:sz w:val="20"/>
          <w:szCs w:val="20"/>
        </w:rPr>
      </w:pPr>
    </w:p>
    <w:p w14:paraId="06DD805E" w14:textId="77777777" w:rsidR="00156E6C" w:rsidRPr="00FF3C31" w:rsidRDefault="00156E6C" w:rsidP="00156E6C">
      <w:pPr>
        <w:autoSpaceDE w:val="0"/>
        <w:autoSpaceDN w:val="0"/>
        <w:adjustRightInd w:val="0"/>
        <w:spacing w:after="0" w:line="240" w:lineRule="auto"/>
        <w:jc w:val="both"/>
        <w:rPr>
          <w:rFonts w:ascii="Arial" w:hAnsi="Arial" w:cs="Arial"/>
          <w:color w:val="0070C0"/>
          <w:sz w:val="20"/>
          <w:szCs w:val="20"/>
        </w:rPr>
      </w:pPr>
      <w:r w:rsidRPr="00FF3C31">
        <w:rPr>
          <w:rFonts w:ascii="Arial" w:hAnsi="Arial" w:cs="Arial"/>
          <w:color w:val="0070C0"/>
          <w:sz w:val="20"/>
          <w:szCs w:val="20"/>
        </w:rPr>
        <w:t>Provedba cilja i prioriteta iz ovog dijela je povezana s provedbom mjera i posebnih ciljeva iz Provedbenog programa pod točkom:</w:t>
      </w:r>
    </w:p>
    <w:p w14:paraId="7A923D55" w14:textId="77777777" w:rsidR="00156E6C" w:rsidRPr="00FF3C31" w:rsidRDefault="00156E6C" w:rsidP="00156E6C">
      <w:pPr>
        <w:autoSpaceDE w:val="0"/>
        <w:autoSpaceDN w:val="0"/>
        <w:adjustRightInd w:val="0"/>
        <w:spacing w:after="0" w:line="240" w:lineRule="auto"/>
        <w:ind w:firstLine="709"/>
        <w:jc w:val="both"/>
        <w:rPr>
          <w:rFonts w:ascii="Arial" w:hAnsi="Arial" w:cs="Arial"/>
          <w:color w:val="0070C0"/>
          <w:sz w:val="20"/>
          <w:szCs w:val="20"/>
        </w:rPr>
      </w:pPr>
      <w:r w:rsidRPr="00FF3C31">
        <w:rPr>
          <w:rFonts w:ascii="Arial" w:hAnsi="Arial" w:cs="Arial"/>
          <w:color w:val="0070C0"/>
          <w:sz w:val="20"/>
          <w:szCs w:val="20"/>
        </w:rPr>
        <w:t xml:space="preserve">- Prioriteta 4. Unapređenje upravljanja razvojem, </w:t>
      </w:r>
    </w:p>
    <w:p w14:paraId="5747E601" w14:textId="77777777" w:rsidR="00156E6C" w:rsidRPr="00FF3C31" w:rsidRDefault="00156E6C" w:rsidP="00156E6C">
      <w:pPr>
        <w:autoSpaceDE w:val="0"/>
        <w:autoSpaceDN w:val="0"/>
        <w:adjustRightInd w:val="0"/>
        <w:spacing w:after="0" w:line="240" w:lineRule="auto"/>
        <w:ind w:left="1418" w:firstLine="709"/>
        <w:jc w:val="both"/>
        <w:rPr>
          <w:rFonts w:ascii="Arial" w:hAnsi="Arial" w:cs="Arial"/>
          <w:color w:val="0070C0"/>
          <w:sz w:val="20"/>
          <w:szCs w:val="20"/>
        </w:rPr>
      </w:pPr>
      <w:r w:rsidRPr="00FF3C31">
        <w:rPr>
          <w:rFonts w:ascii="Arial" w:hAnsi="Arial" w:cs="Arial"/>
          <w:color w:val="0070C0"/>
          <w:sz w:val="20"/>
          <w:szCs w:val="20"/>
        </w:rPr>
        <w:t>-</w:t>
      </w:r>
      <w:r w:rsidRPr="00FF3C31">
        <w:rPr>
          <w:rFonts w:ascii="Arial" w:hAnsi="Arial" w:cs="Arial"/>
          <w:color w:val="0070C0"/>
          <w:sz w:val="20"/>
          <w:szCs w:val="20"/>
        </w:rPr>
        <w:tab/>
        <w:t xml:space="preserve">posebnim ciljem 4.2. Povećanje sposobnosti institucija u pogledu odgovora na krizne situacije, </w:t>
      </w:r>
    </w:p>
    <w:p w14:paraId="7C4FA594" w14:textId="77777777" w:rsidR="00156E6C" w:rsidRPr="00FF3C31" w:rsidRDefault="00156E6C" w:rsidP="00156E6C">
      <w:pPr>
        <w:autoSpaceDE w:val="0"/>
        <w:autoSpaceDN w:val="0"/>
        <w:adjustRightInd w:val="0"/>
        <w:spacing w:after="0" w:line="240" w:lineRule="auto"/>
        <w:ind w:left="2836" w:firstLine="709"/>
        <w:jc w:val="both"/>
        <w:rPr>
          <w:rFonts w:ascii="Arial" w:hAnsi="Arial" w:cs="Arial"/>
          <w:color w:val="0070C0"/>
          <w:sz w:val="20"/>
          <w:szCs w:val="20"/>
        </w:rPr>
      </w:pPr>
      <w:r w:rsidRPr="00FF3C31">
        <w:rPr>
          <w:rFonts w:ascii="Arial" w:hAnsi="Arial" w:cs="Arial"/>
          <w:color w:val="0070C0"/>
          <w:sz w:val="20"/>
          <w:szCs w:val="20"/>
        </w:rPr>
        <w:t xml:space="preserve">mjerom 4.2.1. Poboljšanje sustava vatrogastva. </w:t>
      </w:r>
    </w:p>
    <w:p w14:paraId="68AD46D8" w14:textId="77777777" w:rsidR="006F6963" w:rsidRPr="00FF3C31" w:rsidRDefault="006F6963" w:rsidP="006F6963">
      <w:pPr>
        <w:autoSpaceDE w:val="0"/>
        <w:autoSpaceDN w:val="0"/>
        <w:adjustRightInd w:val="0"/>
        <w:spacing w:after="0" w:line="240" w:lineRule="auto"/>
        <w:jc w:val="both"/>
        <w:rPr>
          <w:rFonts w:ascii="Arial" w:eastAsia="Times New Roman" w:hAnsi="Arial" w:cs="Arial"/>
          <w:sz w:val="20"/>
          <w:szCs w:val="20"/>
        </w:rPr>
      </w:pPr>
    </w:p>
    <w:p w14:paraId="115C41D1" w14:textId="41DAB807" w:rsidR="00404077" w:rsidRPr="00FF3C31" w:rsidRDefault="00404077">
      <w:pPr>
        <w:rPr>
          <w:rFonts w:ascii="Arial" w:hAnsi="Arial" w:cs="Arial"/>
          <w:sz w:val="20"/>
          <w:szCs w:val="20"/>
        </w:rPr>
      </w:pPr>
      <w:r w:rsidRPr="00FF3C31">
        <w:rPr>
          <w:rFonts w:ascii="Arial" w:hAnsi="Arial" w:cs="Arial"/>
          <w:sz w:val="20"/>
          <w:szCs w:val="20"/>
        </w:rPr>
        <w:br w:type="page"/>
      </w:r>
    </w:p>
    <w:p w14:paraId="7274E3CB" w14:textId="77777777" w:rsidR="00A01116" w:rsidRPr="003A2F86" w:rsidRDefault="00A01116" w:rsidP="00A01116">
      <w:pPr>
        <w:framePr w:w="1230" w:h="210" w:hRule="exact" w:wrap="auto" w:vAnchor="page" w:hAnchor="page" w:x="14697" w:y="1322"/>
        <w:widowControl w:val="0"/>
        <w:autoSpaceDE w:val="0"/>
        <w:autoSpaceDN w:val="0"/>
        <w:adjustRightInd w:val="0"/>
        <w:spacing w:after="0" w:line="240" w:lineRule="auto"/>
        <w:jc w:val="right"/>
        <w:rPr>
          <w:rFonts w:ascii="Arial" w:eastAsia="Times New Roman" w:hAnsi="Arial" w:cs="Arial"/>
          <w:color w:val="FF0000"/>
          <w:sz w:val="16"/>
          <w:szCs w:val="16"/>
        </w:rPr>
      </w:pPr>
    </w:p>
    <w:p w14:paraId="78D2FAF7" w14:textId="5D7429CB" w:rsidR="00891119" w:rsidRPr="00786EA7" w:rsidRDefault="006D222A" w:rsidP="00F02C0B">
      <w:pPr>
        <w:pStyle w:val="Naslov1"/>
        <w:rPr>
          <w:rFonts w:ascii="Arial" w:hAnsi="Arial" w:cs="Arial"/>
          <w:sz w:val="22"/>
          <w:lang w:val="hr-HR"/>
        </w:rPr>
      </w:pPr>
      <w:bookmarkStart w:id="493" w:name="_Toc207707504"/>
      <w:r w:rsidRPr="00786EA7">
        <w:rPr>
          <w:rFonts w:ascii="Arial" w:eastAsia="Calibri" w:hAnsi="Arial" w:cs="Arial"/>
          <w:sz w:val="22"/>
          <w:lang w:val="hr-HR"/>
        </w:rPr>
        <w:t>9</w:t>
      </w:r>
      <w:r w:rsidR="00891119" w:rsidRPr="00786EA7">
        <w:rPr>
          <w:rFonts w:ascii="Arial" w:eastAsia="Calibri" w:hAnsi="Arial" w:cs="Arial"/>
          <w:sz w:val="22"/>
          <w:lang w:val="hr-HR"/>
        </w:rPr>
        <w:t xml:space="preserve">. </w:t>
      </w:r>
      <w:r w:rsidR="00891119" w:rsidRPr="00786EA7">
        <w:rPr>
          <w:rFonts w:ascii="Arial" w:eastAsia="Calibri" w:hAnsi="Arial" w:cs="Arial"/>
          <w:sz w:val="22"/>
          <w:lang w:val="hr-HR"/>
        </w:rPr>
        <w:tab/>
      </w:r>
      <w:bookmarkStart w:id="494" w:name="Zaključak"/>
      <w:bookmarkEnd w:id="494"/>
      <w:r w:rsidR="00891119" w:rsidRPr="00786EA7">
        <w:rPr>
          <w:rFonts w:ascii="Arial" w:eastAsia="Calibri" w:hAnsi="Arial" w:cs="Arial"/>
          <w:sz w:val="22"/>
          <w:lang w:val="hr-HR"/>
        </w:rPr>
        <w:t>ZAKLJUČAK</w:t>
      </w:r>
      <w:bookmarkEnd w:id="493"/>
    </w:p>
    <w:p w14:paraId="032EFAAE" w14:textId="77777777" w:rsidR="009047AD" w:rsidRPr="00786EA7" w:rsidRDefault="009047AD" w:rsidP="00891119">
      <w:pPr>
        <w:autoSpaceDE w:val="0"/>
        <w:autoSpaceDN w:val="0"/>
        <w:adjustRightInd w:val="0"/>
        <w:spacing w:after="0" w:line="240" w:lineRule="auto"/>
        <w:jc w:val="both"/>
        <w:rPr>
          <w:rFonts w:ascii="Arial" w:eastAsia="Times New Roman" w:hAnsi="Arial" w:cs="Arial"/>
          <w:sz w:val="20"/>
          <w:szCs w:val="20"/>
        </w:rPr>
      </w:pPr>
    </w:p>
    <w:p w14:paraId="5584EF23" w14:textId="294233CC" w:rsidR="00786EA7" w:rsidRPr="00786EA7" w:rsidRDefault="00786EA7" w:rsidP="00786EA7">
      <w:pPr>
        <w:spacing w:after="0" w:line="240" w:lineRule="auto"/>
        <w:jc w:val="both"/>
        <w:rPr>
          <w:rFonts w:ascii="Arial" w:eastAsia="Times New Roman" w:hAnsi="Arial" w:cs="Arial"/>
          <w:iCs/>
          <w:lang w:eastAsia="en-US"/>
        </w:rPr>
      </w:pPr>
      <w:r w:rsidRPr="00786EA7">
        <w:rPr>
          <w:rFonts w:ascii="Arial" w:eastAsia="Times New Roman" w:hAnsi="Arial" w:cs="Arial"/>
          <w:b/>
          <w:bCs/>
          <w:iCs/>
          <w:lang w:eastAsia="en-US"/>
        </w:rPr>
        <w:t>Ukupni prihodi i primici</w:t>
      </w:r>
      <w:r w:rsidRPr="00786EA7">
        <w:rPr>
          <w:rFonts w:ascii="Arial" w:eastAsia="Times New Roman" w:hAnsi="Arial" w:cs="Arial"/>
          <w:iCs/>
          <w:lang w:eastAsia="en-US"/>
        </w:rPr>
        <w:t xml:space="preserve"> za razdoblje siječanj – lipanj 2025. ostvareni su u iznosu 8.250.742,06 € što je za 2.955.938,16 € ili 55,8% više u odnosu na izvještajno razdoblje prethodne godine. U prvom polugodištu 2025. godine nije bilo primitaka od zaduživanja.</w:t>
      </w:r>
      <w:r w:rsidRPr="00786EA7">
        <w:rPr>
          <w:rFonts w:ascii="Arial" w:hAnsi="Arial" w:cs="Arial"/>
          <w:iCs/>
        </w:rPr>
        <w:t xml:space="preserve"> Ukupni prihodi i primici proračuna dijele se na prihode i primitke Općine u iznosu 7.438.784,88 € i vlastite prihode četiri proračunska korisnika u iznosu 811.957,18 €.</w:t>
      </w:r>
    </w:p>
    <w:p w14:paraId="41E87950" w14:textId="77777777" w:rsidR="00786EA7" w:rsidRPr="003A2F86" w:rsidRDefault="00786EA7" w:rsidP="00786EA7">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Planirani prihodi i primici zajedno s prihodima proračunskih korisnika iznose </w:t>
      </w:r>
      <w:r>
        <w:rPr>
          <w:rFonts w:ascii="Arial" w:eastAsia="Times New Roman" w:hAnsi="Arial" w:cs="Arial"/>
          <w:iCs/>
          <w:lang w:eastAsia="en-US"/>
        </w:rPr>
        <w:t>35.638.660</w:t>
      </w:r>
      <w:r w:rsidRPr="003A2F86">
        <w:rPr>
          <w:rFonts w:ascii="Arial" w:eastAsia="Times New Roman" w:hAnsi="Arial" w:cs="Arial"/>
          <w:iCs/>
          <w:lang w:eastAsia="en-US"/>
        </w:rPr>
        <w:t xml:space="preserve"> € što s planiranim prenesenim viškom prihoda </w:t>
      </w:r>
      <w:r>
        <w:rPr>
          <w:rFonts w:ascii="Arial" w:eastAsia="Times New Roman" w:hAnsi="Arial" w:cs="Arial"/>
          <w:iCs/>
          <w:lang w:eastAsia="en-US"/>
        </w:rPr>
        <w:t>4.341.340</w:t>
      </w:r>
      <w:r w:rsidRPr="003A2F86">
        <w:rPr>
          <w:rFonts w:ascii="Arial" w:eastAsia="Times New Roman" w:hAnsi="Arial" w:cs="Arial"/>
          <w:iCs/>
          <w:lang w:eastAsia="en-US"/>
        </w:rPr>
        <w:t xml:space="preserve"> € (višak Općine iz ranijih godina </w:t>
      </w:r>
      <w:r>
        <w:rPr>
          <w:rFonts w:ascii="Arial" w:eastAsia="Times New Roman" w:hAnsi="Arial" w:cs="Arial"/>
          <w:iCs/>
          <w:lang w:eastAsia="en-US"/>
        </w:rPr>
        <w:t>4.464.340</w:t>
      </w:r>
      <w:r w:rsidRPr="003A2F86">
        <w:rPr>
          <w:rFonts w:ascii="Arial" w:eastAsia="Times New Roman" w:hAnsi="Arial" w:cs="Arial"/>
          <w:iCs/>
          <w:lang w:eastAsia="en-US"/>
        </w:rPr>
        <w:t xml:space="preserve"> € i viškovima/ manjkovima proračunskih korisnika u iznosu -</w:t>
      </w:r>
      <w:r>
        <w:rPr>
          <w:rFonts w:ascii="Arial" w:eastAsia="Times New Roman" w:hAnsi="Arial" w:cs="Arial"/>
          <w:iCs/>
          <w:lang w:eastAsia="en-US"/>
        </w:rPr>
        <w:t>123.000</w:t>
      </w:r>
      <w:r w:rsidRPr="003A2F86">
        <w:rPr>
          <w:rFonts w:ascii="Arial" w:eastAsia="Times New Roman" w:hAnsi="Arial" w:cs="Arial"/>
          <w:iCs/>
          <w:lang w:eastAsia="en-US"/>
        </w:rPr>
        <w:t xml:space="preserve"> €) iznosi </w:t>
      </w:r>
      <w:r>
        <w:rPr>
          <w:rFonts w:ascii="Arial" w:eastAsia="Times New Roman" w:hAnsi="Arial" w:cs="Arial"/>
          <w:iCs/>
          <w:lang w:eastAsia="en-US"/>
        </w:rPr>
        <w:t>39.980</w:t>
      </w:r>
      <w:r w:rsidRPr="003A2F86">
        <w:rPr>
          <w:rFonts w:ascii="Arial" w:eastAsia="Times New Roman" w:hAnsi="Arial" w:cs="Arial"/>
          <w:iCs/>
          <w:lang w:eastAsia="en-US"/>
        </w:rPr>
        <w:t xml:space="preserve">.000 €. </w:t>
      </w:r>
    </w:p>
    <w:p w14:paraId="2B5E38CB" w14:textId="77777777" w:rsidR="003552D2" w:rsidRPr="003552D2" w:rsidRDefault="003552D2" w:rsidP="003552D2">
      <w:pPr>
        <w:spacing w:after="0" w:line="240" w:lineRule="auto"/>
        <w:jc w:val="both"/>
        <w:rPr>
          <w:rFonts w:ascii="Arial" w:eastAsia="Times New Roman" w:hAnsi="Arial" w:cs="Arial"/>
          <w:iCs/>
          <w:lang w:eastAsia="en-US"/>
        </w:rPr>
      </w:pPr>
      <w:r w:rsidRPr="003552D2">
        <w:rPr>
          <w:rFonts w:ascii="Arial" w:eastAsia="Times New Roman" w:hAnsi="Arial" w:cs="Arial"/>
          <w:iCs/>
          <w:lang w:eastAsia="en-US"/>
        </w:rPr>
        <w:t xml:space="preserve">Najznačajniji udjel u ostvarenim prihodima i primicima za 2025. imaju prihodi od poreza (61) u iznosu 3.267.384,10 € ili 39,6%, prihodi od pomoći (63) u iznosu 2.703.614,20 € ili 32,8%, prihodi od upravnih i administrativnih pristojbi, </w:t>
      </w:r>
      <w:r>
        <w:rPr>
          <w:rFonts w:ascii="Arial" w:eastAsia="Times New Roman" w:hAnsi="Arial" w:cs="Arial"/>
          <w:iCs/>
          <w:lang w:eastAsia="en-US"/>
        </w:rPr>
        <w:t xml:space="preserve">te </w:t>
      </w:r>
      <w:r w:rsidRPr="003552D2">
        <w:rPr>
          <w:rFonts w:ascii="Arial" w:eastAsia="Times New Roman" w:hAnsi="Arial" w:cs="Arial"/>
          <w:iCs/>
          <w:lang w:eastAsia="en-US"/>
        </w:rPr>
        <w:t>pristojbi po posebnim propisima i naknade (65) u iznosu 1.635.925,76 € ili 19,8</w:t>
      </w:r>
      <w:r>
        <w:rPr>
          <w:rFonts w:ascii="Arial" w:eastAsia="Times New Roman" w:hAnsi="Arial" w:cs="Arial"/>
          <w:iCs/>
          <w:lang w:eastAsia="en-US"/>
        </w:rPr>
        <w:t>% ukupno ostvarenih prihoda i primitaka</w:t>
      </w:r>
    </w:p>
    <w:p w14:paraId="63FB36BA" w14:textId="02A41730" w:rsidR="003552D2" w:rsidRPr="003552D2" w:rsidRDefault="003552D2" w:rsidP="003552D2">
      <w:pPr>
        <w:spacing w:after="0" w:line="240" w:lineRule="auto"/>
        <w:jc w:val="both"/>
        <w:rPr>
          <w:rFonts w:ascii="Arial" w:eastAsia="Times New Roman" w:hAnsi="Arial" w:cs="Arial"/>
          <w:bCs/>
          <w:lang w:eastAsia="en-US"/>
        </w:rPr>
      </w:pPr>
      <w:bookmarkStart w:id="495" w:name="_Hlk207640634"/>
      <w:r w:rsidRPr="003552D2">
        <w:rPr>
          <w:rFonts w:ascii="Arial" w:eastAsia="Times New Roman" w:hAnsi="Arial" w:cs="Arial"/>
          <w:b/>
          <w:bCs/>
          <w:iCs/>
          <w:lang w:eastAsia="en-US"/>
        </w:rPr>
        <w:t>Prihodi poslovanja</w:t>
      </w:r>
      <w:r w:rsidRPr="003552D2">
        <w:rPr>
          <w:rFonts w:ascii="Arial" w:eastAsia="Times New Roman" w:hAnsi="Arial" w:cs="Arial"/>
          <w:bCs/>
          <w:iCs/>
          <w:lang w:eastAsia="en-US"/>
        </w:rPr>
        <w:t xml:space="preserve"> (6) ostvareni su u iznosu 8.183.053,84 € što je za 3.100.513,54 € ili 61% više u odnosu u na ostvarene prihode poslovanja u izvještajnom razdoblju prethodne godine. Vrijednosno najveće povećanje prihoda se odnosi na prihode od pomoći (za sufinanciranje izgradnje osnovne škole).</w:t>
      </w:r>
      <w:r w:rsidRPr="003552D2">
        <w:rPr>
          <w:rFonts w:ascii="Arial" w:eastAsia="Times New Roman" w:hAnsi="Arial" w:cs="Arial"/>
          <w:bCs/>
          <w:lang w:eastAsia="en-US"/>
        </w:rPr>
        <w:t xml:space="preserve">Ukupni </w:t>
      </w:r>
      <w:r w:rsidRPr="003552D2">
        <w:rPr>
          <w:rFonts w:ascii="Arial" w:eastAsia="Times New Roman" w:hAnsi="Arial" w:cs="Arial"/>
          <w:b/>
          <w:bCs/>
          <w:lang w:eastAsia="en-US"/>
        </w:rPr>
        <w:t>prihodi poslovanja</w:t>
      </w:r>
      <w:r w:rsidRPr="003552D2">
        <w:rPr>
          <w:rFonts w:ascii="Arial" w:eastAsia="Times New Roman" w:hAnsi="Arial" w:cs="Arial"/>
          <w:bCs/>
          <w:lang w:eastAsia="en-US"/>
        </w:rPr>
        <w:t xml:space="preserve"> Općine iznose 7.438.784,88 €, a prihodi proračunskih korisnika 811.957,18 € što ukupno iznosi 8.250.742,06 €.</w:t>
      </w:r>
    </w:p>
    <w:p w14:paraId="04818C6B" w14:textId="61AB502A" w:rsidR="005E13BF" w:rsidRPr="003552D2" w:rsidRDefault="005E13BF" w:rsidP="005E13B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spacing w:after="0" w:line="240" w:lineRule="auto"/>
        <w:jc w:val="both"/>
        <w:rPr>
          <w:rFonts w:ascii="Arial" w:eastAsia="Calibri" w:hAnsi="Arial" w:cs="Arial"/>
          <w:iCs/>
        </w:rPr>
      </w:pPr>
      <w:r w:rsidRPr="003552D2">
        <w:rPr>
          <w:rFonts w:ascii="Arial" w:hAnsi="Arial" w:cs="Arial"/>
          <w:b/>
          <w:iCs/>
        </w:rPr>
        <w:t xml:space="preserve">Prihodi od prodaje nefinancijske imovine </w:t>
      </w:r>
      <w:r w:rsidRPr="003552D2">
        <w:rPr>
          <w:rFonts w:ascii="Arial" w:hAnsi="Arial" w:cs="Arial"/>
          <w:bCs/>
          <w:iCs/>
        </w:rPr>
        <w:t xml:space="preserve">(7) iznose </w:t>
      </w:r>
      <w:r w:rsidR="003552D2" w:rsidRPr="003552D2">
        <w:rPr>
          <w:rFonts w:ascii="Arial" w:hAnsi="Arial" w:cs="Arial"/>
          <w:iCs/>
        </w:rPr>
        <w:t>67.688,22</w:t>
      </w:r>
      <w:r w:rsidRPr="003552D2">
        <w:rPr>
          <w:rFonts w:ascii="Arial" w:hAnsi="Arial" w:cs="Arial"/>
          <w:iCs/>
        </w:rPr>
        <w:t xml:space="preserve"> € </w:t>
      </w:r>
      <w:r w:rsidRPr="003552D2">
        <w:rPr>
          <w:rFonts w:ascii="Arial" w:eastAsia="Calibri" w:hAnsi="Arial" w:cs="Arial"/>
          <w:iCs/>
        </w:rPr>
        <w:t xml:space="preserve">što je za </w:t>
      </w:r>
      <w:r w:rsidR="003552D2" w:rsidRPr="003552D2">
        <w:rPr>
          <w:rFonts w:ascii="Arial" w:eastAsia="Calibri" w:hAnsi="Arial" w:cs="Arial"/>
          <w:iCs/>
        </w:rPr>
        <w:t>144.575,38</w:t>
      </w:r>
      <w:r w:rsidRPr="003552D2">
        <w:rPr>
          <w:rFonts w:ascii="Arial" w:eastAsia="Calibri" w:hAnsi="Arial" w:cs="Arial"/>
          <w:iCs/>
        </w:rPr>
        <w:t xml:space="preserve"> € manje u odnosu na prethodnu godinu kada su iznosili </w:t>
      </w:r>
      <w:r w:rsidR="003552D2" w:rsidRPr="003552D2">
        <w:rPr>
          <w:rFonts w:ascii="Arial" w:eastAsia="Calibri" w:hAnsi="Arial" w:cs="Arial"/>
          <w:iCs/>
        </w:rPr>
        <w:t>212.263,60</w:t>
      </w:r>
      <w:r w:rsidRPr="003552D2">
        <w:rPr>
          <w:rFonts w:ascii="Arial" w:eastAsia="Calibri" w:hAnsi="Arial" w:cs="Arial"/>
          <w:iCs/>
        </w:rPr>
        <w:t xml:space="preserve"> €. </w:t>
      </w:r>
      <w:r w:rsidR="003552D2" w:rsidRPr="003552D2">
        <w:rPr>
          <w:rFonts w:ascii="Arial" w:eastAsia="Calibri" w:hAnsi="Arial" w:cs="Arial"/>
          <w:iCs/>
        </w:rPr>
        <w:t>P</w:t>
      </w:r>
      <w:r w:rsidRPr="003552D2">
        <w:rPr>
          <w:rFonts w:ascii="Arial" w:eastAsia="Calibri" w:hAnsi="Arial" w:cs="Arial"/>
          <w:iCs/>
          <w:lang w:eastAsia="en-US"/>
        </w:rPr>
        <w:t>rihod</w:t>
      </w:r>
      <w:r w:rsidR="003552D2" w:rsidRPr="003552D2">
        <w:rPr>
          <w:rFonts w:ascii="Arial" w:eastAsia="Calibri" w:hAnsi="Arial" w:cs="Arial"/>
          <w:iCs/>
          <w:lang w:eastAsia="en-US"/>
        </w:rPr>
        <w:t>i</w:t>
      </w:r>
      <w:r w:rsidRPr="003552D2">
        <w:rPr>
          <w:rFonts w:ascii="Arial" w:eastAsia="Calibri" w:hAnsi="Arial" w:cs="Arial"/>
          <w:iCs/>
          <w:lang w:eastAsia="en-US"/>
        </w:rPr>
        <w:t xml:space="preserve"> Općine</w:t>
      </w:r>
      <w:r w:rsidR="003552D2" w:rsidRPr="003552D2">
        <w:rPr>
          <w:rFonts w:ascii="Arial" w:eastAsia="Calibri" w:hAnsi="Arial" w:cs="Arial"/>
          <w:iCs/>
          <w:lang w:eastAsia="en-US"/>
        </w:rPr>
        <w:t xml:space="preserve"> iznose 67.638,22 €, a prihodi proračunskog korisnika 50 €.</w:t>
      </w:r>
    </w:p>
    <w:bookmarkEnd w:id="495"/>
    <w:p w14:paraId="450D3173" w14:textId="77777777" w:rsidR="00821EFD" w:rsidRDefault="00821EFD" w:rsidP="00B16A41">
      <w:pPr>
        <w:spacing w:after="0" w:line="240" w:lineRule="auto"/>
        <w:jc w:val="both"/>
        <w:rPr>
          <w:rFonts w:ascii="Arial" w:eastAsia="Times New Roman" w:hAnsi="Arial" w:cs="Arial"/>
          <w:iCs/>
          <w:lang w:eastAsia="en-US"/>
        </w:rPr>
      </w:pPr>
    </w:p>
    <w:p w14:paraId="71CF4103" w14:textId="2985E0B1" w:rsidR="00821EFD" w:rsidRDefault="00821EFD" w:rsidP="00821EFD">
      <w:pPr>
        <w:spacing w:after="0" w:line="240" w:lineRule="auto"/>
        <w:jc w:val="center"/>
        <w:rPr>
          <w:rFonts w:ascii="Arial" w:eastAsia="Times New Roman" w:hAnsi="Arial" w:cs="Arial"/>
          <w:iCs/>
          <w:lang w:eastAsia="en-US"/>
        </w:rPr>
      </w:pPr>
      <w:r w:rsidRPr="00821EFD">
        <w:rPr>
          <w:noProof/>
        </w:rPr>
        <w:drawing>
          <wp:inline distT="0" distB="0" distL="0" distR="0" wp14:anchorId="0EEB5872" wp14:editId="6554184C">
            <wp:extent cx="7829818" cy="3469455"/>
            <wp:effectExtent l="0" t="0" r="0" b="0"/>
            <wp:docPr id="41802140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842600" cy="3475119"/>
                    </a:xfrm>
                    <a:prstGeom prst="rect">
                      <a:avLst/>
                    </a:prstGeom>
                    <a:noFill/>
                    <a:ln>
                      <a:noFill/>
                    </a:ln>
                  </pic:spPr>
                </pic:pic>
              </a:graphicData>
            </a:graphic>
          </wp:inline>
        </w:drawing>
      </w:r>
    </w:p>
    <w:p w14:paraId="5C405F5E" w14:textId="1DDD5B59" w:rsidR="00B16A41" w:rsidRPr="002122DE" w:rsidRDefault="00B16A41" w:rsidP="00B16A41">
      <w:pPr>
        <w:spacing w:after="0" w:line="240" w:lineRule="auto"/>
        <w:jc w:val="both"/>
        <w:rPr>
          <w:rFonts w:ascii="Arial" w:hAnsi="Arial" w:cs="Arial"/>
          <w:iCs/>
        </w:rPr>
      </w:pPr>
      <w:r w:rsidRPr="003552D2">
        <w:rPr>
          <w:rFonts w:ascii="Arial" w:eastAsia="Times New Roman" w:hAnsi="Arial" w:cs="Arial"/>
          <w:b/>
          <w:bCs/>
          <w:iCs/>
          <w:lang w:eastAsia="en-US"/>
        </w:rPr>
        <w:lastRenderedPageBreak/>
        <w:t>Ukupni rashodi i izdaci</w:t>
      </w:r>
      <w:r w:rsidRPr="003A2F86">
        <w:rPr>
          <w:rFonts w:ascii="Arial" w:eastAsia="Times New Roman" w:hAnsi="Arial" w:cs="Arial"/>
          <w:iCs/>
          <w:lang w:eastAsia="en-US"/>
        </w:rPr>
        <w:t xml:space="preserve"> za razdoblje siječanj – </w:t>
      </w:r>
      <w:r>
        <w:rPr>
          <w:rFonts w:ascii="Arial" w:eastAsia="Times New Roman" w:hAnsi="Arial" w:cs="Arial"/>
          <w:iCs/>
          <w:lang w:eastAsia="en-US"/>
        </w:rPr>
        <w:t>lipanj</w:t>
      </w:r>
      <w:r w:rsidRPr="003A2F86">
        <w:rPr>
          <w:rFonts w:ascii="Arial" w:eastAsia="Times New Roman" w:hAnsi="Arial" w:cs="Arial"/>
          <w:iCs/>
          <w:lang w:eastAsia="en-US"/>
        </w:rPr>
        <w:t xml:space="preserve"> 202</w:t>
      </w:r>
      <w:r>
        <w:rPr>
          <w:rFonts w:ascii="Arial" w:eastAsia="Times New Roman" w:hAnsi="Arial" w:cs="Arial"/>
          <w:iCs/>
          <w:lang w:eastAsia="en-US"/>
        </w:rPr>
        <w:t>5</w:t>
      </w:r>
      <w:r w:rsidRPr="003A2F86">
        <w:rPr>
          <w:rFonts w:ascii="Arial" w:eastAsia="Times New Roman" w:hAnsi="Arial" w:cs="Arial"/>
          <w:iCs/>
          <w:lang w:eastAsia="en-US"/>
        </w:rPr>
        <w:t>. izvršeni</w:t>
      </w:r>
      <w:r w:rsidRPr="002122DE">
        <w:rPr>
          <w:rFonts w:ascii="Arial" w:hAnsi="Arial" w:cs="Arial"/>
          <w:iCs/>
        </w:rPr>
        <w:t xml:space="preserve"> su u iznosu </w:t>
      </w:r>
      <w:r>
        <w:rPr>
          <w:rFonts w:ascii="Arial" w:hAnsi="Arial" w:cs="Arial"/>
          <w:iCs/>
        </w:rPr>
        <w:t>10.341.887,93</w:t>
      </w:r>
      <w:r w:rsidRPr="002122DE">
        <w:rPr>
          <w:rFonts w:ascii="Arial" w:hAnsi="Arial" w:cs="Arial"/>
          <w:iCs/>
        </w:rPr>
        <w:t xml:space="preserve"> € što je za </w:t>
      </w:r>
      <w:r>
        <w:rPr>
          <w:rFonts w:ascii="Arial" w:hAnsi="Arial" w:cs="Arial"/>
          <w:iCs/>
        </w:rPr>
        <w:t>3.608.930,58</w:t>
      </w:r>
      <w:r w:rsidRPr="002122DE">
        <w:rPr>
          <w:rFonts w:ascii="Arial" w:hAnsi="Arial" w:cs="Arial"/>
          <w:iCs/>
        </w:rPr>
        <w:t xml:space="preserve"> € ili </w:t>
      </w:r>
      <w:r>
        <w:rPr>
          <w:rFonts w:ascii="Arial" w:hAnsi="Arial" w:cs="Arial"/>
          <w:iCs/>
        </w:rPr>
        <w:t>53,6</w:t>
      </w:r>
      <w:r w:rsidRPr="002122DE">
        <w:rPr>
          <w:rFonts w:ascii="Arial" w:hAnsi="Arial" w:cs="Arial"/>
          <w:iCs/>
        </w:rPr>
        <w:t xml:space="preserve">% više u odnosu na izvještajno razdoblje prethodne godine. </w:t>
      </w:r>
    </w:p>
    <w:p w14:paraId="07CEC3E0" w14:textId="78280930" w:rsidR="003552D2" w:rsidRPr="003552D2" w:rsidRDefault="003552D2" w:rsidP="003552D2">
      <w:pPr>
        <w:spacing w:after="0" w:line="240" w:lineRule="auto"/>
        <w:jc w:val="both"/>
        <w:rPr>
          <w:rFonts w:ascii="Arial" w:eastAsia="Times New Roman" w:hAnsi="Arial" w:cs="Arial"/>
          <w:iCs/>
          <w:lang w:eastAsia="en-US"/>
        </w:rPr>
      </w:pPr>
      <w:r w:rsidRPr="003552D2">
        <w:rPr>
          <w:rFonts w:ascii="Arial" w:eastAsia="Times New Roman" w:hAnsi="Arial" w:cs="Arial"/>
          <w:iCs/>
          <w:lang w:eastAsia="en-US"/>
        </w:rPr>
        <w:t xml:space="preserve">Dijele se na rashode i izdatke upravnih odjela općinskog proračuna </w:t>
      </w:r>
      <w:r w:rsidRPr="003552D2">
        <w:rPr>
          <w:rFonts w:ascii="Arial" w:eastAsia="Times New Roman" w:hAnsi="Arial" w:cs="Arial"/>
          <w:bCs/>
          <w:iCs/>
          <w:lang w:eastAsia="en-US"/>
        </w:rPr>
        <w:t>7.358.017,81 €</w:t>
      </w:r>
      <w:r w:rsidRPr="003552D2">
        <w:rPr>
          <w:rFonts w:ascii="Arial" w:eastAsia="Times New Roman" w:hAnsi="Arial" w:cs="Arial"/>
          <w:iCs/>
          <w:lang w:eastAsia="en-US"/>
        </w:rPr>
        <w:t xml:space="preserve">  i rashode proračunskih korisnika </w:t>
      </w:r>
      <w:r w:rsidRPr="003552D2">
        <w:rPr>
          <w:rFonts w:ascii="Arial" w:eastAsia="Times New Roman" w:hAnsi="Arial" w:cs="Arial"/>
          <w:bCs/>
          <w:iCs/>
          <w:lang w:eastAsia="en-US"/>
        </w:rPr>
        <w:t>2.983.870,12 €</w:t>
      </w:r>
      <w:r>
        <w:rPr>
          <w:rFonts w:ascii="Arial" w:eastAsia="Times New Roman" w:hAnsi="Arial" w:cs="Arial"/>
          <w:iCs/>
          <w:lang w:eastAsia="en-US"/>
        </w:rPr>
        <w:t xml:space="preserve">. </w:t>
      </w:r>
    </w:p>
    <w:p w14:paraId="48542EE5" w14:textId="77777777" w:rsidR="00B16A41" w:rsidRPr="003A2F86" w:rsidRDefault="00B16A41" w:rsidP="00B16A41">
      <w:pPr>
        <w:spacing w:after="0" w:line="240" w:lineRule="auto"/>
        <w:jc w:val="both"/>
        <w:rPr>
          <w:rFonts w:ascii="Arial" w:eastAsia="Times New Roman" w:hAnsi="Arial" w:cs="Arial"/>
          <w:iCs/>
          <w:lang w:eastAsia="en-US"/>
        </w:rPr>
      </w:pPr>
      <w:r w:rsidRPr="003A2F86">
        <w:rPr>
          <w:rFonts w:ascii="Arial" w:eastAsia="Times New Roman" w:hAnsi="Arial" w:cs="Arial"/>
          <w:iCs/>
          <w:lang w:eastAsia="en-US"/>
        </w:rPr>
        <w:t xml:space="preserve">Planirani rashodi zajedno s rashodima proračunskih korisnika iznose </w:t>
      </w:r>
      <w:r>
        <w:rPr>
          <w:rFonts w:ascii="Arial" w:eastAsia="Times New Roman" w:hAnsi="Arial" w:cs="Arial"/>
          <w:iCs/>
          <w:lang w:eastAsia="en-US"/>
        </w:rPr>
        <w:t>38.616.558</w:t>
      </w:r>
      <w:r w:rsidRPr="003A2F86">
        <w:rPr>
          <w:rFonts w:ascii="Arial" w:eastAsia="Times New Roman" w:hAnsi="Arial" w:cs="Arial"/>
          <w:iCs/>
          <w:lang w:eastAsia="en-US"/>
        </w:rPr>
        <w:t xml:space="preserve"> €, a izdaci u iznosu </w:t>
      </w:r>
      <w:r>
        <w:rPr>
          <w:rFonts w:ascii="Arial" w:eastAsia="Times New Roman" w:hAnsi="Arial" w:cs="Arial"/>
          <w:iCs/>
          <w:lang w:eastAsia="en-US"/>
        </w:rPr>
        <w:t>1.363.442</w:t>
      </w:r>
      <w:r w:rsidRPr="003A2F86">
        <w:rPr>
          <w:rFonts w:ascii="Arial" w:eastAsia="Times New Roman" w:hAnsi="Arial" w:cs="Arial"/>
          <w:iCs/>
          <w:lang w:eastAsia="en-US"/>
        </w:rPr>
        <w:t xml:space="preserve"> €, sveukupno </w:t>
      </w:r>
      <w:r>
        <w:rPr>
          <w:rFonts w:ascii="Arial" w:eastAsia="Times New Roman" w:hAnsi="Arial" w:cs="Arial"/>
          <w:iCs/>
          <w:lang w:eastAsia="en-US"/>
        </w:rPr>
        <w:t>39.980</w:t>
      </w:r>
      <w:r w:rsidRPr="003A2F86">
        <w:rPr>
          <w:rFonts w:ascii="Arial" w:eastAsia="Times New Roman" w:hAnsi="Arial" w:cs="Arial"/>
          <w:iCs/>
          <w:lang w:eastAsia="en-US"/>
        </w:rPr>
        <w:t xml:space="preserve">.000 €. </w:t>
      </w:r>
    </w:p>
    <w:p w14:paraId="40CAB750" w14:textId="184A6F7E" w:rsidR="00821EFD" w:rsidRPr="00821EFD" w:rsidRDefault="00821EFD" w:rsidP="00821EFD">
      <w:pPr>
        <w:spacing w:after="0" w:line="240" w:lineRule="auto"/>
        <w:jc w:val="both"/>
        <w:rPr>
          <w:rFonts w:ascii="Arial" w:eastAsia="Times New Roman" w:hAnsi="Arial" w:cs="Arial"/>
          <w:bCs/>
          <w:iCs/>
          <w:lang w:eastAsia="en-US"/>
        </w:rPr>
      </w:pPr>
      <w:r w:rsidRPr="00821EFD">
        <w:rPr>
          <w:rFonts w:ascii="Arial" w:eastAsia="Times New Roman" w:hAnsi="Arial" w:cs="Arial"/>
          <w:bCs/>
          <w:iCs/>
          <w:lang w:eastAsia="en-US"/>
        </w:rPr>
        <w:t xml:space="preserve">Ukupno izvršeni rashodi i izdaci se dijele na </w:t>
      </w:r>
      <w:r w:rsidRPr="00227A0F">
        <w:rPr>
          <w:rFonts w:ascii="Arial" w:eastAsia="Times New Roman" w:hAnsi="Arial" w:cs="Arial"/>
          <w:b/>
          <w:iCs/>
          <w:lang w:eastAsia="en-US"/>
        </w:rPr>
        <w:t>rashode i izdatke upravnih tijela Općine</w:t>
      </w:r>
      <w:r w:rsidRPr="00821EFD">
        <w:rPr>
          <w:rFonts w:ascii="Arial" w:eastAsia="Times New Roman" w:hAnsi="Arial" w:cs="Arial"/>
          <w:bCs/>
          <w:iCs/>
          <w:lang w:eastAsia="en-US"/>
        </w:rPr>
        <w:t xml:space="preserve"> </w:t>
      </w:r>
      <w:r>
        <w:rPr>
          <w:rFonts w:ascii="Arial" w:eastAsia="Times New Roman" w:hAnsi="Arial" w:cs="Arial"/>
          <w:bCs/>
          <w:iCs/>
          <w:lang w:eastAsia="en-US"/>
        </w:rPr>
        <w:t>7.358.017,81</w:t>
      </w:r>
      <w:r w:rsidRPr="00821EFD">
        <w:rPr>
          <w:rFonts w:ascii="Arial" w:eastAsia="Times New Roman" w:hAnsi="Arial" w:cs="Arial"/>
          <w:bCs/>
          <w:iCs/>
          <w:lang w:eastAsia="en-US"/>
        </w:rPr>
        <w:t xml:space="preserve"> € (iznos bez izvršenih prijenosa proračunskim korisnicima putem računa 367 za financiranje rashoda poslovanja u iznosu </w:t>
      </w:r>
      <w:r>
        <w:rPr>
          <w:rFonts w:ascii="Arial" w:eastAsia="Times New Roman" w:hAnsi="Arial" w:cs="Arial"/>
          <w:bCs/>
          <w:iCs/>
          <w:lang w:eastAsia="en-US"/>
        </w:rPr>
        <w:t>2.280.770,24</w:t>
      </w:r>
      <w:r w:rsidRPr="00821EFD">
        <w:rPr>
          <w:rFonts w:ascii="Arial" w:eastAsia="Times New Roman" w:hAnsi="Arial" w:cs="Arial"/>
          <w:bCs/>
          <w:iCs/>
          <w:lang w:eastAsia="en-US"/>
        </w:rPr>
        <w:t xml:space="preserve"> €, odnosno evidentirani rashodi Općine razina 22 u iznosu </w:t>
      </w:r>
      <w:r>
        <w:rPr>
          <w:rFonts w:ascii="Arial" w:eastAsia="Times New Roman" w:hAnsi="Arial" w:cs="Arial"/>
          <w:bCs/>
          <w:iCs/>
          <w:lang w:eastAsia="en-US"/>
        </w:rPr>
        <w:t>9.638.788,05</w:t>
      </w:r>
      <w:r w:rsidRPr="00821EFD">
        <w:rPr>
          <w:rFonts w:ascii="Arial" w:eastAsia="Times New Roman" w:hAnsi="Arial" w:cs="Arial"/>
          <w:bCs/>
          <w:iCs/>
          <w:lang w:eastAsia="en-US"/>
        </w:rPr>
        <w:t xml:space="preserve"> € umanjeno za iznos rashode u iznosu </w:t>
      </w:r>
      <w:r>
        <w:rPr>
          <w:rFonts w:ascii="Arial" w:eastAsia="Times New Roman" w:hAnsi="Arial" w:cs="Arial"/>
          <w:bCs/>
          <w:iCs/>
          <w:lang w:eastAsia="en-US"/>
        </w:rPr>
        <w:t>2.280.770,24</w:t>
      </w:r>
      <w:r w:rsidRPr="00821EFD">
        <w:rPr>
          <w:rFonts w:ascii="Arial" w:eastAsia="Times New Roman" w:hAnsi="Arial" w:cs="Arial"/>
          <w:bCs/>
          <w:iCs/>
          <w:lang w:eastAsia="en-US"/>
        </w:rPr>
        <w:t xml:space="preserve"> € koje je Općina financirala kako bi proračunski korisnici mogli podmiriti svoje rashode) i </w:t>
      </w:r>
      <w:r w:rsidRPr="00227A0F">
        <w:rPr>
          <w:rFonts w:ascii="Arial" w:eastAsia="Times New Roman" w:hAnsi="Arial" w:cs="Arial"/>
          <w:b/>
          <w:iCs/>
          <w:lang w:eastAsia="en-US"/>
        </w:rPr>
        <w:t>rashode proračunskih korisnika</w:t>
      </w:r>
      <w:r w:rsidRPr="00821EFD">
        <w:rPr>
          <w:rFonts w:ascii="Arial" w:eastAsia="Times New Roman" w:hAnsi="Arial" w:cs="Arial"/>
          <w:bCs/>
          <w:iCs/>
          <w:lang w:eastAsia="en-US"/>
        </w:rPr>
        <w:t xml:space="preserve"> </w:t>
      </w:r>
      <w:r w:rsidR="00227A0F">
        <w:rPr>
          <w:rFonts w:ascii="Arial" w:eastAsia="Times New Roman" w:hAnsi="Arial" w:cs="Arial"/>
          <w:bCs/>
          <w:iCs/>
          <w:lang w:eastAsia="en-US"/>
        </w:rPr>
        <w:t>2.983.870,12</w:t>
      </w:r>
      <w:r w:rsidRPr="00821EFD">
        <w:rPr>
          <w:rFonts w:ascii="Arial" w:eastAsia="Times New Roman" w:hAnsi="Arial" w:cs="Arial"/>
          <w:bCs/>
          <w:iCs/>
          <w:lang w:eastAsia="en-US"/>
        </w:rPr>
        <w:t xml:space="preserve"> € (izvor financiranja</w:t>
      </w:r>
      <w:r w:rsidR="00227A0F">
        <w:rPr>
          <w:rFonts w:ascii="Arial" w:eastAsia="Times New Roman" w:hAnsi="Arial" w:cs="Arial"/>
          <w:bCs/>
          <w:iCs/>
          <w:lang w:eastAsia="en-US"/>
        </w:rPr>
        <w:t xml:space="preserve"> ovih rashoda su vlastiti prihodi proračunskih korisnika i prihodi</w:t>
      </w:r>
      <w:r w:rsidRPr="00821EFD">
        <w:rPr>
          <w:rFonts w:ascii="Arial" w:eastAsia="Times New Roman" w:hAnsi="Arial" w:cs="Arial"/>
          <w:bCs/>
          <w:iCs/>
          <w:lang w:eastAsia="en-US"/>
        </w:rPr>
        <w:t xml:space="preserve"> Općin</w:t>
      </w:r>
      <w:r w:rsidR="00227A0F">
        <w:rPr>
          <w:rFonts w:ascii="Arial" w:eastAsia="Times New Roman" w:hAnsi="Arial" w:cs="Arial"/>
          <w:bCs/>
          <w:iCs/>
          <w:lang w:eastAsia="en-US"/>
        </w:rPr>
        <w:t>e</w:t>
      </w:r>
      <w:r w:rsidRPr="00821EFD">
        <w:rPr>
          <w:rFonts w:ascii="Arial" w:eastAsia="Times New Roman" w:hAnsi="Arial" w:cs="Arial"/>
          <w:bCs/>
          <w:iCs/>
          <w:lang w:eastAsia="en-US"/>
        </w:rPr>
        <w:t>).</w:t>
      </w:r>
    </w:p>
    <w:p w14:paraId="1581D671" w14:textId="7AA403F8" w:rsidR="00821EFD" w:rsidRPr="00821EFD" w:rsidRDefault="00821EFD" w:rsidP="00821EFD">
      <w:pPr>
        <w:spacing w:after="0" w:line="240" w:lineRule="auto"/>
        <w:jc w:val="both"/>
        <w:rPr>
          <w:rFonts w:ascii="Arial" w:eastAsia="Times New Roman" w:hAnsi="Arial" w:cs="Arial"/>
          <w:bCs/>
          <w:iCs/>
          <w:lang w:eastAsia="en-US"/>
        </w:rPr>
      </w:pPr>
      <w:r w:rsidRPr="00821EFD">
        <w:rPr>
          <w:rFonts w:ascii="Arial" w:eastAsia="Times New Roman" w:hAnsi="Arial" w:cs="Arial"/>
          <w:b/>
          <w:iCs/>
          <w:lang w:eastAsia="en-US"/>
        </w:rPr>
        <w:t>Rashodi poslovanja</w:t>
      </w:r>
      <w:r w:rsidRPr="00821EFD">
        <w:rPr>
          <w:rFonts w:ascii="Arial" w:eastAsia="Times New Roman" w:hAnsi="Arial" w:cs="Arial"/>
          <w:bCs/>
          <w:iCs/>
          <w:lang w:eastAsia="en-US"/>
        </w:rPr>
        <w:t xml:space="preserve"> (3) izvršeni su u iznosu 6.517.682,58 € što je za 1.595.413,74 € ili 32,4% više u odnosu na izvršene rashode poslovanja u izvještajnom razdoblju prethodne godine. </w:t>
      </w:r>
    </w:p>
    <w:p w14:paraId="5532F09F" w14:textId="7D8609D8" w:rsidR="00821EFD" w:rsidRPr="00821EFD" w:rsidRDefault="00821EFD" w:rsidP="00821EFD">
      <w:pPr>
        <w:spacing w:after="0" w:line="240" w:lineRule="auto"/>
        <w:jc w:val="both"/>
        <w:rPr>
          <w:rFonts w:ascii="Arial" w:eastAsia="Times New Roman" w:hAnsi="Arial" w:cs="Arial"/>
          <w:iCs/>
          <w:lang w:eastAsia="en-US"/>
        </w:rPr>
      </w:pPr>
      <w:r w:rsidRPr="00821EFD">
        <w:rPr>
          <w:rFonts w:ascii="Arial" w:eastAsia="Times New Roman" w:hAnsi="Arial" w:cs="Arial"/>
          <w:b/>
          <w:iCs/>
          <w:lang w:eastAsia="en-US"/>
        </w:rPr>
        <w:t>Rashodi za nabavu nefinancijske imovne</w:t>
      </w:r>
      <w:r w:rsidRPr="00821EFD">
        <w:rPr>
          <w:rFonts w:ascii="Arial" w:eastAsia="Times New Roman" w:hAnsi="Arial" w:cs="Arial"/>
          <w:iCs/>
          <w:lang w:eastAsia="en-US"/>
        </w:rPr>
        <w:t xml:space="preserve"> (4) su izvršeni u iznosu 3.443.649,35 € što je za 1.779.113,67 € ili 106,9% više u odnosu na izvještajno razdoblje prethodne godine. Ukupni rashodi za nabavu nefinancijske imovine Općine iznose 3.408.203,35 €, a rashodi za nabavu nefinancijske imovine proračunskih korisnika iznose 35.446,00 €.</w:t>
      </w:r>
    </w:p>
    <w:p w14:paraId="1DE352F6" w14:textId="77777777" w:rsidR="00821EFD" w:rsidRDefault="00821EFD" w:rsidP="00B16A41">
      <w:pPr>
        <w:spacing w:after="0" w:line="240" w:lineRule="auto"/>
        <w:jc w:val="both"/>
        <w:rPr>
          <w:rFonts w:ascii="Arial" w:eastAsia="Times New Roman" w:hAnsi="Arial" w:cs="Arial"/>
          <w:iCs/>
          <w:lang w:eastAsia="en-US"/>
        </w:rPr>
      </w:pPr>
    </w:p>
    <w:p w14:paraId="53E0FC1E" w14:textId="0472B5DE" w:rsidR="00821EFD" w:rsidRDefault="00821EFD" w:rsidP="00821EFD">
      <w:pPr>
        <w:spacing w:after="0" w:line="240" w:lineRule="auto"/>
        <w:jc w:val="center"/>
        <w:rPr>
          <w:rFonts w:ascii="Arial" w:eastAsia="Times New Roman" w:hAnsi="Arial" w:cs="Arial"/>
          <w:iCs/>
          <w:lang w:eastAsia="en-US"/>
        </w:rPr>
      </w:pPr>
      <w:r w:rsidRPr="00821EFD">
        <w:rPr>
          <w:noProof/>
        </w:rPr>
        <w:drawing>
          <wp:inline distT="0" distB="0" distL="0" distR="0" wp14:anchorId="40B89161" wp14:editId="0100DCBD">
            <wp:extent cx="8197481" cy="3636743"/>
            <wp:effectExtent l="0" t="0" r="0" b="1905"/>
            <wp:docPr id="115164457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201201" cy="3638393"/>
                    </a:xfrm>
                    <a:prstGeom prst="rect">
                      <a:avLst/>
                    </a:prstGeom>
                    <a:noFill/>
                    <a:ln>
                      <a:noFill/>
                    </a:ln>
                  </pic:spPr>
                </pic:pic>
              </a:graphicData>
            </a:graphic>
          </wp:inline>
        </w:drawing>
      </w:r>
    </w:p>
    <w:p w14:paraId="7F8DDD6E" w14:textId="77777777" w:rsidR="00821EFD" w:rsidRDefault="00821EFD" w:rsidP="00B16A41">
      <w:pPr>
        <w:spacing w:after="0" w:line="240" w:lineRule="auto"/>
        <w:jc w:val="both"/>
        <w:rPr>
          <w:rFonts w:ascii="Arial" w:eastAsia="Times New Roman" w:hAnsi="Arial" w:cs="Arial"/>
          <w:iCs/>
          <w:lang w:eastAsia="en-US"/>
        </w:rPr>
      </w:pPr>
    </w:p>
    <w:p w14:paraId="3A647E09" w14:textId="0CF6B0F8" w:rsidR="00227A0F" w:rsidRDefault="00227A0F" w:rsidP="00B16A41">
      <w:pPr>
        <w:spacing w:after="0" w:line="240" w:lineRule="auto"/>
        <w:jc w:val="both"/>
        <w:rPr>
          <w:rFonts w:ascii="Arial" w:eastAsia="Times New Roman" w:hAnsi="Arial" w:cs="Arial"/>
          <w:b/>
          <w:bCs/>
          <w:iCs/>
          <w:lang w:eastAsia="en-US"/>
        </w:rPr>
      </w:pPr>
      <w:r w:rsidRPr="00227A0F">
        <w:rPr>
          <w:rFonts w:ascii="Arial" w:eastAsia="Times New Roman" w:hAnsi="Arial" w:cs="Arial"/>
          <w:iCs/>
          <w:lang w:eastAsia="en-US"/>
        </w:rPr>
        <w:lastRenderedPageBreak/>
        <w:tab/>
        <w:t xml:space="preserve">Vrijednosno najznačajniji je udjel rashoda za nabavu nefinancijske imovine (4) u iznosu 3.443.649,35 € ili 33,3% ukupnih rashoda i izdataka. Potom slijede rashodi za zaposlene (31) u iznosu 2.811.493,95 € ili 27,2%, materijalni rashodi (32) u iznosu 2.515.521,61 € ili 24,3% ukupno izvršenih rashoda i izdataka. Ostali rashodi (38) iznose 435.086,74 € ili 4,2%, izdaci za financijsku imovinu i otplate zajmova iznose 380.556,00 € ili 3,7%, naknade građanima i kućanstvima iznose 335.806,94 € ili 3,2%, a subvencije 312.210,80 € ili 3% ukupnih rashoda i izdataka. </w:t>
      </w:r>
    </w:p>
    <w:p w14:paraId="1708F53A" w14:textId="77777777" w:rsidR="00227A0F" w:rsidRDefault="00227A0F" w:rsidP="00B16A41">
      <w:pPr>
        <w:spacing w:after="0" w:line="240" w:lineRule="auto"/>
        <w:jc w:val="both"/>
        <w:rPr>
          <w:rFonts w:ascii="Arial" w:eastAsia="Times New Roman" w:hAnsi="Arial" w:cs="Arial"/>
          <w:b/>
          <w:bCs/>
          <w:iCs/>
          <w:lang w:eastAsia="en-US"/>
        </w:rPr>
      </w:pPr>
    </w:p>
    <w:p w14:paraId="3C0893F1" w14:textId="41CA8196" w:rsidR="00B16A41" w:rsidRPr="00CC1381" w:rsidRDefault="00B16A41" w:rsidP="00B16A41">
      <w:pPr>
        <w:spacing w:after="0" w:line="240" w:lineRule="auto"/>
        <w:jc w:val="both"/>
        <w:rPr>
          <w:rFonts w:ascii="Arial" w:eastAsia="Times New Roman" w:hAnsi="Arial" w:cs="Arial"/>
          <w:iCs/>
          <w:lang w:eastAsia="en-US"/>
        </w:rPr>
      </w:pPr>
      <w:r w:rsidRPr="00CC1381">
        <w:rPr>
          <w:rFonts w:ascii="Arial" w:eastAsia="Times New Roman" w:hAnsi="Arial" w:cs="Arial"/>
          <w:b/>
          <w:bCs/>
          <w:iCs/>
          <w:lang w:eastAsia="en-US"/>
        </w:rPr>
        <w:t>Manjak</w:t>
      </w:r>
      <w:r w:rsidRPr="00CC1381">
        <w:rPr>
          <w:rFonts w:ascii="Arial" w:eastAsia="Times New Roman" w:hAnsi="Arial" w:cs="Arial"/>
          <w:iCs/>
          <w:lang w:eastAsia="en-US"/>
        </w:rPr>
        <w:t xml:space="preserve"> prihoda i primitaka nad rashodima i izdacima </w:t>
      </w:r>
      <w:r w:rsidRPr="00CC1381">
        <w:rPr>
          <w:rFonts w:ascii="Arial" w:eastAsia="Times New Roman" w:hAnsi="Arial" w:cs="Arial"/>
          <w:b/>
          <w:bCs/>
          <w:iCs/>
          <w:lang w:eastAsia="en-US"/>
        </w:rPr>
        <w:t>tekuće godine</w:t>
      </w:r>
      <w:r w:rsidRPr="00CC1381">
        <w:rPr>
          <w:rFonts w:ascii="Arial" w:eastAsia="Times New Roman" w:hAnsi="Arial" w:cs="Arial"/>
          <w:iCs/>
          <w:lang w:eastAsia="en-US"/>
        </w:rPr>
        <w:t xml:space="preserve">, odnosno za razdoblje siječanj – </w:t>
      </w:r>
      <w:r>
        <w:rPr>
          <w:rFonts w:ascii="Arial" w:eastAsia="Times New Roman" w:hAnsi="Arial" w:cs="Arial"/>
          <w:iCs/>
          <w:lang w:eastAsia="en-US"/>
        </w:rPr>
        <w:t>lipanj</w:t>
      </w:r>
      <w:r w:rsidRPr="00CC1381">
        <w:rPr>
          <w:rFonts w:ascii="Arial" w:eastAsia="Times New Roman" w:hAnsi="Arial" w:cs="Arial"/>
          <w:iCs/>
          <w:lang w:eastAsia="en-US"/>
        </w:rPr>
        <w:t xml:space="preserve"> 202</w:t>
      </w:r>
      <w:r>
        <w:rPr>
          <w:rFonts w:ascii="Arial" w:eastAsia="Times New Roman" w:hAnsi="Arial" w:cs="Arial"/>
          <w:iCs/>
          <w:lang w:eastAsia="en-US"/>
        </w:rPr>
        <w:t>5</w:t>
      </w:r>
      <w:r w:rsidRPr="00CC1381">
        <w:rPr>
          <w:rFonts w:ascii="Arial" w:eastAsia="Times New Roman" w:hAnsi="Arial" w:cs="Arial"/>
          <w:iCs/>
          <w:lang w:eastAsia="en-US"/>
        </w:rPr>
        <w:t xml:space="preserve">. iznosi </w:t>
      </w:r>
      <w:r>
        <w:rPr>
          <w:rFonts w:ascii="Arial" w:eastAsia="Times New Roman" w:hAnsi="Arial" w:cs="Arial"/>
          <w:iCs/>
          <w:lang w:eastAsia="en-US"/>
        </w:rPr>
        <w:t>-2.091.145,87</w:t>
      </w:r>
      <w:r w:rsidRPr="00CC1381">
        <w:rPr>
          <w:rFonts w:ascii="Arial" w:eastAsia="Times New Roman" w:hAnsi="Arial" w:cs="Arial"/>
          <w:iCs/>
          <w:lang w:eastAsia="en-US"/>
        </w:rPr>
        <w:t xml:space="preserve"> € (manjak Općine </w:t>
      </w:r>
      <w:r>
        <w:rPr>
          <w:rFonts w:ascii="Arial" w:eastAsia="Times New Roman" w:hAnsi="Arial" w:cs="Arial"/>
          <w:iCs/>
          <w:lang w:eastAsia="en-US"/>
        </w:rPr>
        <w:t>2.200.003,17</w:t>
      </w:r>
      <w:r w:rsidRPr="00CC1381">
        <w:rPr>
          <w:rFonts w:ascii="Arial" w:eastAsia="Times New Roman" w:hAnsi="Arial" w:cs="Arial"/>
          <w:iCs/>
          <w:lang w:eastAsia="en-US"/>
        </w:rPr>
        <w:t xml:space="preserve"> €, zbrojni </w:t>
      </w:r>
      <w:r>
        <w:rPr>
          <w:rFonts w:ascii="Arial" w:eastAsia="Times New Roman" w:hAnsi="Arial" w:cs="Arial"/>
          <w:iCs/>
          <w:lang w:eastAsia="en-US"/>
        </w:rPr>
        <w:t>višak</w:t>
      </w:r>
      <w:r w:rsidRPr="00CC1381">
        <w:rPr>
          <w:rFonts w:ascii="Arial" w:eastAsia="Times New Roman" w:hAnsi="Arial" w:cs="Arial"/>
          <w:iCs/>
          <w:lang w:eastAsia="en-US"/>
        </w:rPr>
        <w:t xml:space="preserve"> proračunskih korisnika </w:t>
      </w:r>
      <w:r>
        <w:rPr>
          <w:rFonts w:ascii="Arial" w:eastAsia="Times New Roman" w:hAnsi="Arial" w:cs="Arial"/>
          <w:iCs/>
          <w:lang w:eastAsia="en-US"/>
        </w:rPr>
        <w:t>108.857,30</w:t>
      </w:r>
      <w:r w:rsidRPr="00CC1381">
        <w:rPr>
          <w:rFonts w:ascii="Arial" w:eastAsia="Times New Roman" w:hAnsi="Arial" w:cs="Arial"/>
          <w:iCs/>
          <w:lang w:eastAsia="en-US"/>
        </w:rPr>
        <w:t xml:space="preserve"> €).</w:t>
      </w:r>
    </w:p>
    <w:p w14:paraId="302067AF" w14:textId="77777777" w:rsidR="00B16A41" w:rsidRPr="00CC1381" w:rsidRDefault="00B16A41" w:rsidP="00B16A41">
      <w:pPr>
        <w:spacing w:after="0" w:line="240" w:lineRule="auto"/>
        <w:jc w:val="both"/>
        <w:rPr>
          <w:rFonts w:ascii="Arial" w:eastAsia="Times New Roman" w:hAnsi="Arial" w:cs="Arial"/>
          <w:iCs/>
          <w:lang w:eastAsia="en-US"/>
        </w:rPr>
      </w:pPr>
    </w:p>
    <w:p w14:paraId="4FA5C7D5" w14:textId="5926CEC2" w:rsidR="00B16A41" w:rsidRPr="00CC1381" w:rsidRDefault="00B16A41" w:rsidP="00B16A41">
      <w:pPr>
        <w:spacing w:after="0" w:line="240" w:lineRule="auto"/>
        <w:jc w:val="both"/>
        <w:rPr>
          <w:rFonts w:ascii="Arial" w:eastAsia="Times New Roman" w:hAnsi="Arial" w:cs="Arial"/>
          <w:iCs/>
          <w:lang w:eastAsia="en-US"/>
        </w:rPr>
      </w:pPr>
      <w:r w:rsidRPr="00CC1381">
        <w:rPr>
          <w:rFonts w:ascii="Arial" w:eastAsia="Times New Roman" w:hAnsi="Arial" w:cs="Arial"/>
          <w:b/>
          <w:bCs/>
          <w:iCs/>
          <w:lang w:eastAsia="en-US"/>
        </w:rPr>
        <w:t>Višak</w:t>
      </w:r>
      <w:r w:rsidRPr="00CC1381">
        <w:rPr>
          <w:rFonts w:ascii="Arial" w:eastAsia="Times New Roman" w:hAnsi="Arial" w:cs="Arial"/>
          <w:iCs/>
          <w:lang w:eastAsia="en-US"/>
        </w:rPr>
        <w:t xml:space="preserve"> </w:t>
      </w:r>
      <w:r w:rsidRPr="00CC1381">
        <w:rPr>
          <w:rFonts w:ascii="Arial" w:eastAsia="Times New Roman" w:hAnsi="Arial" w:cs="Arial"/>
          <w:b/>
          <w:bCs/>
          <w:iCs/>
          <w:lang w:eastAsia="en-US"/>
        </w:rPr>
        <w:t>prihoda i primitaka iz prethodnih godina</w:t>
      </w:r>
      <w:r w:rsidRPr="00CC1381">
        <w:rPr>
          <w:rFonts w:ascii="Arial" w:eastAsia="Times New Roman" w:hAnsi="Arial" w:cs="Arial"/>
          <w:iCs/>
          <w:lang w:eastAsia="en-US"/>
        </w:rPr>
        <w:t xml:space="preserve"> iznosi </w:t>
      </w:r>
      <w:r>
        <w:rPr>
          <w:rFonts w:ascii="Arial" w:eastAsia="Times New Roman" w:hAnsi="Arial" w:cs="Arial"/>
          <w:iCs/>
          <w:lang w:eastAsia="en-US"/>
        </w:rPr>
        <w:t>2.314.003,03</w:t>
      </w:r>
      <w:r w:rsidRPr="00CC1381">
        <w:rPr>
          <w:rFonts w:ascii="Arial" w:eastAsia="Times New Roman" w:hAnsi="Arial" w:cs="Arial"/>
          <w:iCs/>
          <w:lang w:eastAsia="en-US"/>
        </w:rPr>
        <w:t xml:space="preserve"> € U tekućoj godini obavljen je ispravak vrijednosti rezultata iz prethodnog razdoblja</w:t>
      </w:r>
      <w:r w:rsidR="00592912">
        <w:rPr>
          <w:rFonts w:ascii="Arial" w:eastAsia="Times New Roman" w:hAnsi="Arial" w:cs="Arial"/>
          <w:iCs/>
          <w:lang w:eastAsia="en-US"/>
        </w:rPr>
        <w:t xml:space="preserve"> u iznosu</w:t>
      </w:r>
      <w:r>
        <w:rPr>
          <w:rFonts w:ascii="Arial" w:eastAsia="Times New Roman" w:hAnsi="Arial" w:cs="Arial"/>
          <w:iCs/>
          <w:lang w:eastAsia="en-US"/>
        </w:rPr>
        <w:t xml:space="preserve"> </w:t>
      </w:r>
      <w:r w:rsidR="00592912">
        <w:rPr>
          <w:rFonts w:ascii="Arial" w:eastAsia="Times New Roman" w:hAnsi="Arial" w:cs="Arial"/>
          <w:iCs/>
          <w:lang w:eastAsia="en-US"/>
        </w:rPr>
        <w:t xml:space="preserve">2.502.025,98 €. </w:t>
      </w:r>
      <w:bookmarkStart w:id="496" w:name="_Hlk207641031"/>
      <w:r>
        <w:rPr>
          <w:rFonts w:ascii="Arial" w:eastAsia="Times New Roman" w:hAnsi="Arial" w:cs="Arial"/>
          <w:iCs/>
          <w:lang w:eastAsia="en-US"/>
        </w:rPr>
        <w:t xml:space="preserve">Konačan </w:t>
      </w:r>
      <w:r w:rsidRPr="00CC1381">
        <w:rPr>
          <w:rFonts w:ascii="Arial" w:eastAsia="Times New Roman" w:hAnsi="Arial" w:cs="Arial"/>
          <w:iCs/>
          <w:lang w:eastAsia="en-US"/>
        </w:rPr>
        <w:t>višak prihoda i primitaka iz prethodnog razdoblja (</w:t>
      </w:r>
      <w:r w:rsidRPr="00CC1381">
        <w:rPr>
          <w:rFonts w:ascii="Arial" w:eastAsia="Times New Roman" w:hAnsi="Arial" w:cs="Arial"/>
          <w:b/>
          <w:iCs/>
          <w:lang w:eastAsia="en-US"/>
        </w:rPr>
        <w:t>9221-9222</w:t>
      </w:r>
      <w:r w:rsidRPr="00CC1381">
        <w:rPr>
          <w:rFonts w:ascii="Arial" w:eastAsia="Times New Roman" w:hAnsi="Arial" w:cs="Arial"/>
          <w:iCs/>
          <w:lang w:eastAsia="en-US"/>
        </w:rPr>
        <w:t xml:space="preserve">) iznosi </w:t>
      </w:r>
      <w:r>
        <w:rPr>
          <w:rFonts w:ascii="Arial" w:eastAsia="Times New Roman" w:hAnsi="Arial" w:cs="Arial"/>
          <w:iCs/>
          <w:lang w:eastAsia="en-US"/>
        </w:rPr>
        <w:t>4.570.185,70</w:t>
      </w:r>
      <w:r w:rsidRPr="00CC1381">
        <w:rPr>
          <w:rFonts w:ascii="Arial" w:eastAsia="Times New Roman" w:hAnsi="Arial" w:cs="Arial"/>
          <w:iCs/>
          <w:lang w:eastAsia="en-US"/>
        </w:rPr>
        <w:t xml:space="preserve"> € (višak Općine </w:t>
      </w:r>
      <w:r>
        <w:rPr>
          <w:rFonts w:ascii="Arial" w:eastAsia="Times New Roman" w:hAnsi="Arial" w:cs="Arial"/>
          <w:iCs/>
          <w:lang w:eastAsia="en-US"/>
        </w:rPr>
        <w:t>4.813.903,05</w:t>
      </w:r>
      <w:r w:rsidRPr="00CC1381">
        <w:rPr>
          <w:rFonts w:ascii="Arial" w:eastAsia="Times New Roman" w:hAnsi="Arial" w:cs="Arial"/>
          <w:iCs/>
          <w:lang w:eastAsia="en-US"/>
        </w:rPr>
        <w:t xml:space="preserve"> € i zbirni manjak proračunskih korisnika </w:t>
      </w:r>
      <w:r>
        <w:rPr>
          <w:rFonts w:ascii="Arial" w:eastAsia="Times New Roman" w:hAnsi="Arial" w:cs="Arial"/>
          <w:iCs/>
          <w:lang w:eastAsia="en-US"/>
        </w:rPr>
        <w:t>-243.717,35</w:t>
      </w:r>
      <w:r w:rsidRPr="00CC1381">
        <w:rPr>
          <w:rFonts w:ascii="Arial" w:eastAsia="Times New Roman" w:hAnsi="Arial" w:cs="Arial"/>
          <w:iCs/>
          <w:lang w:eastAsia="en-US"/>
        </w:rPr>
        <w:t xml:space="preserve"> €).</w:t>
      </w:r>
    </w:p>
    <w:bookmarkEnd w:id="496"/>
    <w:p w14:paraId="25F00CB3" w14:textId="77777777" w:rsidR="00B16A41" w:rsidRPr="00CC1381" w:rsidRDefault="00B16A41" w:rsidP="00B16A41">
      <w:pPr>
        <w:spacing w:after="0" w:line="240" w:lineRule="auto"/>
        <w:jc w:val="both"/>
        <w:rPr>
          <w:rFonts w:ascii="Arial" w:eastAsia="Times New Roman" w:hAnsi="Arial" w:cs="Arial"/>
          <w:iCs/>
          <w:lang w:eastAsia="en-US"/>
        </w:rPr>
      </w:pPr>
    </w:p>
    <w:p w14:paraId="0523EC19" w14:textId="77777777" w:rsidR="00B16A41" w:rsidRDefault="00B16A41" w:rsidP="00B16A41">
      <w:pPr>
        <w:spacing w:after="0" w:line="240" w:lineRule="auto"/>
        <w:jc w:val="both"/>
        <w:rPr>
          <w:rFonts w:ascii="Arial" w:eastAsia="Times New Roman" w:hAnsi="Arial" w:cs="Arial"/>
          <w:iCs/>
          <w:lang w:eastAsia="en-US"/>
        </w:rPr>
      </w:pPr>
      <w:r w:rsidRPr="00CC1381">
        <w:rPr>
          <w:rFonts w:ascii="Arial" w:eastAsia="Times New Roman" w:hAnsi="Arial" w:cs="Arial"/>
          <w:b/>
          <w:bCs/>
          <w:iCs/>
          <w:lang w:eastAsia="en-US"/>
        </w:rPr>
        <w:t>Višak prihoda i primitaka raspoloživ u slijedećem razdoblju</w:t>
      </w:r>
      <w:r w:rsidRPr="00CC1381">
        <w:rPr>
          <w:rFonts w:ascii="Arial" w:eastAsia="Times New Roman" w:hAnsi="Arial" w:cs="Arial"/>
          <w:iCs/>
          <w:lang w:eastAsia="en-US"/>
        </w:rPr>
        <w:t xml:space="preserve"> iznosi </w:t>
      </w:r>
      <w:r>
        <w:rPr>
          <w:rFonts w:ascii="Arial" w:eastAsia="Times New Roman" w:hAnsi="Arial" w:cs="Arial"/>
          <w:iCs/>
          <w:lang w:eastAsia="en-US"/>
        </w:rPr>
        <w:t>2.479.039,83</w:t>
      </w:r>
      <w:r w:rsidRPr="00CC1381">
        <w:rPr>
          <w:rFonts w:ascii="Arial" w:eastAsia="Times New Roman" w:hAnsi="Arial" w:cs="Arial"/>
          <w:iCs/>
          <w:lang w:eastAsia="en-US"/>
        </w:rPr>
        <w:t xml:space="preserve"> €, od čega se na višak Općine odnosi </w:t>
      </w:r>
      <w:r>
        <w:rPr>
          <w:rFonts w:ascii="Arial" w:eastAsia="Times New Roman" w:hAnsi="Arial" w:cs="Arial"/>
          <w:iCs/>
          <w:lang w:eastAsia="en-US"/>
        </w:rPr>
        <w:t>2.613.899,88</w:t>
      </w:r>
      <w:r w:rsidRPr="00CC1381">
        <w:rPr>
          <w:rFonts w:ascii="Arial" w:eastAsia="Times New Roman" w:hAnsi="Arial" w:cs="Arial"/>
          <w:iCs/>
          <w:lang w:eastAsia="en-US"/>
        </w:rPr>
        <w:t xml:space="preserve"> €, a na zbirne manjkove proračunskih korisnika </w:t>
      </w:r>
      <w:r>
        <w:rPr>
          <w:rFonts w:ascii="Arial" w:eastAsia="Times New Roman" w:hAnsi="Arial" w:cs="Arial"/>
          <w:iCs/>
          <w:lang w:eastAsia="en-US"/>
        </w:rPr>
        <w:t>-134.860,05</w:t>
      </w:r>
      <w:r w:rsidRPr="00CC1381">
        <w:rPr>
          <w:rFonts w:ascii="Arial" w:eastAsia="Times New Roman" w:hAnsi="Arial" w:cs="Arial"/>
          <w:iCs/>
          <w:lang w:eastAsia="en-US"/>
        </w:rPr>
        <w:t xml:space="preserve"> €.</w:t>
      </w:r>
    </w:p>
    <w:p w14:paraId="38270A8B" w14:textId="77777777" w:rsidR="00227A0F" w:rsidRPr="00CC1381" w:rsidRDefault="00227A0F" w:rsidP="00B16A41">
      <w:pPr>
        <w:spacing w:after="0" w:line="240" w:lineRule="auto"/>
        <w:jc w:val="both"/>
        <w:rPr>
          <w:rFonts w:ascii="Arial" w:eastAsia="Times New Roman" w:hAnsi="Arial" w:cs="Arial"/>
          <w:iCs/>
          <w:lang w:eastAsia="en-US"/>
        </w:rPr>
      </w:pPr>
    </w:p>
    <w:p w14:paraId="4E252FFB" w14:textId="0366E39E" w:rsidR="00B16A41" w:rsidRPr="00CC1381" w:rsidRDefault="00227A0F" w:rsidP="00B16A41">
      <w:pPr>
        <w:spacing w:after="0" w:line="240" w:lineRule="auto"/>
        <w:jc w:val="both"/>
        <w:rPr>
          <w:rFonts w:ascii="Arial" w:eastAsia="Times New Roman" w:hAnsi="Arial" w:cs="Arial"/>
          <w:iCs/>
          <w:lang w:eastAsia="en-US"/>
        </w:rPr>
      </w:pPr>
      <w:r w:rsidRPr="00227A0F">
        <w:rPr>
          <w:noProof/>
        </w:rPr>
        <w:drawing>
          <wp:inline distT="0" distB="0" distL="0" distR="0" wp14:anchorId="2BAEE4F9" wp14:editId="3C184C03">
            <wp:extent cx="8856759" cy="3320284"/>
            <wp:effectExtent l="0" t="0" r="1905" b="0"/>
            <wp:docPr id="54751176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858808" cy="3321052"/>
                    </a:xfrm>
                    <a:prstGeom prst="rect">
                      <a:avLst/>
                    </a:prstGeom>
                    <a:noFill/>
                    <a:ln>
                      <a:noFill/>
                    </a:ln>
                  </pic:spPr>
                </pic:pic>
              </a:graphicData>
            </a:graphic>
          </wp:inline>
        </w:drawing>
      </w:r>
    </w:p>
    <w:p w14:paraId="5494AC07" w14:textId="77777777" w:rsidR="00227A0F" w:rsidRDefault="00227A0F" w:rsidP="00B16A41">
      <w:pPr>
        <w:spacing w:after="0" w:line="240" w:lineRule="auto"/>
        <w:jc w:val="both"/>
        <w:rPr>
          <w:rFonts w:ascii="Arial" w:eastAsia="Times New Roman" w:hAnsi="Arial" w:cs="Arial"/>
          <w:iCs/>
          <w:lang w:eastAsia="en-US"/>
        </w:rPr>
      </w:pPr>
    </w:p>
    <w:p w14:paraId="7E6AC220" w14:textId="77777777" w:rsidR="00227A0F" w:rsidRDefault="00227A0F" w:rsidP="00B16A41">
      <w:pPr>
        <w:spacing w:after="0" w:line="240" w:lineRule="auto"/>
        <w:jc w:val="both"/>
        <w:rPr>
          <w:rFonts w:ascii="Arial" w:eastAsia="Times New Roman" w:hAnsi="Arial" w:cs="Arial"/>
          <w:iCs/>
          <w:lang w:eastAsia="en-US"/>
        </w:rPr>
      </w:pPr>
    </w:p>
    <w:p w14:paraId="03AE932B" w14:textId="66985E69" w:rsidR="00B16A41" w:rsidRPr="00CC1381" w:rsidRDefault="00B16A41" w:rsidP="00B16A41">
      <w:pPr>
        <w:spacing w:after="0" w:line="240" w:lineRule="auto"/>
        <w:jc w:val="both"/>
        <w:rPr>
          <w:rFonts w:ascii="Arial" w:eastAsia="Times New Roman" w:hAnsi="Arial" w:cs="Arial"/>
          <w:iCs/>
          <w:lang w:eastAsia="en-US"/>
        </w:rPr>
      </w:pPr>
      <w:r w:rsidRPr="00CC1381">
        <w:rPr>
          <w:rFonts w:ascii="Arial" w:eastAsia="Times New Roman" w:hAnsi="Arial" w:cs="Arial"/>
          <w:iCs/>
          <w:lang w:eastAsia="en-US"/>
        </w:rPr>
        <w:lastRenderedPageBreak/>
        <w:t xml:space="preserve">Ukupan </w:t>
      </w:r>
      <w:r w:rsidRPr="00CC1381">
        <w:rPr>
          <w:rFonts w:ascii="Arial" w:eastAsia="Times New Roman" w:hAnsi="Arial" w:cs="Arial"/>
          <w:b/>
          <w:bCs/>
          <w:iCs/>
          <w:lang w:eastAsia="en-US"/>
        </w:rPr>
        <w:t>manjak prihoda proračunskih korisnika</w:t>
      </w:r>
      <w:r w:rsidRPr="00CC1381">
        <w:rPr>
          <w:rFonts w:ascii="Arial" w:eastAsia="Times New Roman" w:hAnsi="Arial" w:cs="Arial"/>
          <w:iCs/>
          <w:lang w:eastAsia="en-US"/>
        </w:rPr>
        <w:t xml:space="preserve"> u iznosu </w:t>
      </w:r>
      <w:r>
        <w:rPr>
          <w:rFonts w:ascii="Arial" w:eastAsia="Times New Roman" w:hAnsi="Arial" w:cs="Arial"/>
          <w:iCs/>
          <w:lang w:eastAsia="en-US"/>
        </w:rPr>
        <w:t>-134.860,05</w:t>
      </w:r>
      <w:r w:rsidRPr="00CC1381">
        <w:rPr>
          <w:rFonts w:ascii="Arial" w:eastAsia="Times New Roman" w:hAnsi="Arial" w:cs="Arial"/>
          <w:iCs/>
          <w:lang w:eastAsia="en-US"/>
        </w:rPr>
        <w:t xml:space="preserve"> € se dijeli na slijedeći način:</w:t>
      </w:r>
    </w:p>
    <w:p w14:paraId="5B508A13" w14:textId="77777777" w:rsidR="00B16A41" w:rsidRPr="00CC1381" w:rsidRDefault="00B16A41" w:rsidP="00B16A41">
      <w:pPr>
        <w:spacing w:after="0" w:line="240" w:lineRule="auto"/>
        <w:jc w:val="both"/>
        <w:rPr>
          <w:rFonts w:ascii="Arial" w:eastAsia="Times New Roman" w:hAnsi="Arial" w:cs="Arial"/>
          <w:iCs/>
          <w:lang w:eastAsia="en-US"/>
        </w:rPr>
      </w:pPr>
      <w:r w:rsidRPr="00CC1381">
        <w:rPr>
          <w:rFonts w:ascii="Arial" w:eastAsia="Times New Roman" w:hAnsi="Arial" w:cs="Arial"/>
          <w:iCs/>
          <w:lang w:eastAsia="en-US"/>
        </w:rPr>
        <w:t>- Dječji vrtić Konavle</w:t>
      </w:r>
      <w:r w:rsidRPr="00CC1381">
        <w:rPr>
          <w:rFonts w:ascii="Arial" w:eastAsia="Times New Roman" w:hAnsi="Arial" w:cs="Arial"/>
          <w:iCs/>
          <w:lang w:eastAsia="en-US"/>
        </w:rPr>
        <w:tab/>
      </w:r>
      <w:r w:rsidRPr="00CC1381">
        <w:rPr>
          <w:rFonts w:ascii="Arial" w:eastAsia="Times New Roman" w:hAnsi="Arial" w:cs="Arial"/>
          <w:iCs/>
          <w:lang w:eastAsia="en-US"/>
        </w:rPr>
        <w:tab/>
      </w:r>
      <w:r w:rsidRPr="00CC1381">
        <w:rPr>
          <w:rFonts w:ascii="Arial" w:eastAsia="Times New Roman" w:hAnsi="Arial" w:cs="Arial"/>
          <w:iCs/>
          <w:lang w:eastAsia="en-US"/>
        </w:rPr>
        <w:tab/>
      </w:r>
      <w:r w:rsidRPr="00CC1381">
        <w:rPr>
          <w:rFonts w:ascii="Arial" w:eastAsia="Times New Roman" w:hAnsi="Arial" w:cs="Arial"/>
          <w:iCs/>
          <w:lang w:eastAsia="en-US"/>
        </w:rPr>
        <w:tab/>
        <w:t>-</w:t>
      </w:r>
      <w:r w:rsidRPr="00CC1381">
        <w:rPr>
          <w:rFonts w:ascii="Arial" w:eastAsia="Times New Roman" w:hAnsi="Arial" w:cs="Arial"/>
          <w:iCs/>
          <w:lang w:eastAsia="en-US"/>
        </w:rPr>
        <w:tab/>
        <w:t xml:space="preserve">manjak </w:t>
      </w:r>
      <w:r>
        <w:rPr>
          <w:rFonts w:ascii="Arial" w:eastAsia="Times New Roman" w:hAnsi="Arial" w:cs="Arial"/>
          <w:iCs/>
          <w:lang w:eastAsia="en-US"/>
        </w:rPr>
        <w:tab/>
      </w:r>
      <w:r w:rsidRPr="00CC1381">
        <w:rPr>
          <w:rFonts w:ascii="Arial" w:eastAsia="Times New Roman" w:hAnsi="Arial" w:cs="Arial"/>
          <w:iCs/>
          <w:lang w:eastAsia="en-US"/>
        </w:rPr>
        <w:tab/>
        <w:t xml:space="preserve">-  </w:t>
      </w:r>
      <w:r>
        <w:rPr>
          <w:rFonts w:ascii="Arial" w:eastAsia="Times New Roman" w:hAnsi="Arial" w:cs="Arial"/>
          <w:iCs/>
          <w:lang w:eastAsia="en-US"/>
        </w:rPr>
        <w:t>164.287,48</w:t>
      </w:r>
      <w:r w:rsidRPr="00CC1381">
        <w:rPr>
          <w:rFonts w:ascii="Arial" w:eastAsia="Times New Roman" w:hAnsi="Arial" w:cs="Arial"/>
          <w:iCs/>
          <w:lang w:eastAsia="en-US"/>
        </w:rPr>
        <w:t xml:space="preserve"> €</w:t>
      </w:r>
    </w:p>
    <w:p w14:paraId="3BCDD03F" w14:textId="77777777" w:rsidR="00B16A41" w:rsidRPr="00CC1381" w:rsidRDefault="00B16A41" w:rsidP="00B16A41">
      <w:pPr>
        <w:spacing w:after="0" w:line="240" w:lineRule="auto"/>
        <w:jc w:val="both"/>
        <w:rPr>
          <w:rFonts w:ascii="Arial" w:eastAsia="Times New Roman" w:hAnsi="Arial" w:cs="Arial"/>
          <w:iCs/>
          <w:lang w:eastAsia="en-US"/>
        </w:rPr>
      </w:pPr>
      <w:r w:rsidRPr="00CC1381">
        <w:rPr>
          <w:rFonts w:ascii="Arial" w:eastAsia="Times New Roman" w:hAnsi="Arial" w:cs="Arial"/>
          <w:iCs/>
          <w:lang w:eastAsia="en-US"/>
        </w:rPr>
        <w:t>- Muzeji i galerije Konavala</w:t>
      </w:r>
      <w:r w:rsidRPr="00CC1381">
        <w:rPr>
          <w:rFonts w:ascii="Arial" w:eastAsia="Times New Roman" w:hAnsi="Arial" w:cs="Arial"/>
          <w:iCs/>
          <w:lang w:eastAsia="en-US"/>
        </w:rPr>
        <w:tab/>
      </w:r>
      <w:r w:rsidRPr="00CC1381">
        <w:rPr>
          <w:rFonts w:ascii="Arial" w:eastAsia="Times New Roman" w:hAnsi="Arial" w:cs="Arial"/>
          <w:iCs/>
          <w:lang w:eastAsia="en-US"/>
        </w:rPr>
        <w:tab/>
      </w:r>
      <w:r w:rsidRPr="00CC1381">
        <w:rPr>
          <w:rFonts w:ascii="Arial" w:eastAsia="Times New Roman" w:hAnsi="Arial" w:cs="Arial"/>
          <w:iCs/>
          <w:lang w:eastAsia="en-US"/>
        </w:rPr>
        <w:tab/>
        <w:t>-</w:t>
      </w:r>
      <w:r w:rsidRPr="00CC1381">
        <w:rPr>
          <w:rFonts w:ascii="Arial" w:eastAsia="Times New Roman" w:hAnsi="Arial" w:cs="Arial"/>
          <w:iCs/>
          <w:lang w:eastAsia="en-US"/>
        </w:rPr>
        <w:tab/>
        <w:t>višak</w:t>
      </w:r>
      <w:r w:rsidRPr="00CC1381">
        <w:rPr>
          <w:rFonts w:ascii="Arial" w:eastAsia="Times New Roman" w:hAnsi="Arial" w:cs="Arial"/>
          <w:iCs/>
          <w:lang w:eastAsia="en-US"/>
        </w:rPr>
        <w:tab/>
      </w:r>
      <w:r>
        <w:rPr>
          <w:rFonts w:ascii="Arial" w:eastAsia="Times New Roman" w:hAnsi="Arial" w:cs="Arial"/>
          <w:iCs/>
          <w:lang w:eastAsia="en-US"/>
        </w:rPr>
        <w:tab/>
      </w:r>
      <w:r w:rsidRPr="00CC1381">
        <w:rPr>
          <w:rFonts w:ascii="Arial" w:eastAsia="Times New Roman" w:hAnsi="Arial" w:cs="Arial"/>
          <w:iCs/>
          <w:lang w:eastAsia="en-US"/>
        </w:rPr>
        <w:tab/>
        <w:t xml:space="preserve">+   </w:t>
      </w:r>
      <w:r>
        <w:rPr>
          <w:rFonts w:ascii="Arial" w:eastAsia="Times New Roman" w:hAnsi="Arial" w:cs="Arial"/>
          <w:iCs/>
          <w:lang w:eastAsia="en-US"/>
        </w:rPr>
        <w:t>62.528,31</w:t>
      </w:r>
      <w:r w:rsidRPr="00CC1381">
        <w:rPr>
          <w:rFonts w:ascii="Arial" w:eastAsia="Times New Roman" w:hAnsi="Arial" w:cs="Arial"/>
          <w:iCs/>
          <w:lang w:eastAsia="en-US"/>
        </w:rPr>
        <w:t xml:space="preserve"> €</w:t>
      </w:r>
    </w:p>
    <w:p w14:paraId="61BAD674" w14:textId="77777777" w:rsidR="00B16A41" w:rsidRPr="00CC1381" w:rsidRDefault="00B16A41" w:rsidP="00B16A41">
      <w:pPr>
        <w:spacing w:after="0" w:line="240" w:lineRule="auto"/>
        <w:jc w:val="both"/>
        <w:rPr>
          <w:rFonts w:ascii="Arial" w:eastAsia="Times New Roman" w:hAnsi="Arial" w:cs="Arial"/>
          <w:iCs/>
          <w:lang w:eastAsia="en-US"/>
        </w:rPr>
      </w:pPr>
      <w:r w:rsidRPr="00CC1381">
        <w:rPr>
          <w:rFonts w:ascii="Arial" w:eastAsia="Times New Roman" w:hAnsi="Arial" w:cs="Arial"/>
          <w:iCs/>
          <w:lang w:eastAsia="en-US"/>
        </w:rPr>
        <w:t>- Javna vatrogasna postrojba Konavle</w:t>
      </w:r>
      <w:r w:rsidRPr="00CC1381">
        <w:rPr>
          <w:rFonts w:ascii="Arial" w:eastAsia="Times New Roman" w:hAnsi="Arial" w:cs="Arial"/>
          <w:iCs/>
          <w:lang w:eastAsia="en-US"/>
        </w:rPr>
        <w:tab/>
        <w:t>-</w:t>
      </w:r>
      <w:r w:rsidRPr="00CC1381">
        <w:rPr>
          <w:rFonts w:ascii="Arial" w:eastAsia="Times New Roman" w:hAnsi="Arial" w:cs="Arial"/>
          <w:iCs/>
          <w:lang w:eastAsia="en-US"/>
        </w:rPr>
        <w:tab/>
        <w:t>manjak</w:t>
      </w:r>
      <w:r w:rsidRPr="00CC1381">
        <w:rPr>
          <w:rFonts w:ascii="Arial" w:eastAsia="Times New Roman" w:hAnsi="Arial" w:cs="Arial"/>
          <w:iCs/>
          <w:lang w:eastAsia="en-US"/>
        </w:rPr>
        <w:tab/>
      </w:r>
      <w:r w:rsidRPr="00CC1381">
        <w:rPr>
          <w:rFonts w:ascii="Arial" w:eastAsia="Times New Roman" w:hAnsi="Arial" w:cs="Arial"/>
          <w:iCs/>
          <w:lang w:eastAsia="en-US"/>
        </w:rPr>
        <w:tab/>
        <w:t xml:space="preserve">-    </w:t>
      </w:r>
      <w:r>
        <w:rPr>
          <w:rFonts w:ascii="Arial" w:eastAsia="Times New Roman" w:hAnsi="Arial" w:cs="Arial"/>
          <w:iCs/>
          <w:lang w:eastAsia="en-US"/>
        </w:rPr>
        <w:t>61.380,38</w:t>
      </w:r>
      <w:r w:rsidRPr="00CC1381">
        <w:rPr>
          <w:rFonts w:ascii="Arial" w:eastAsia="Times New Roman" w:hAnsi="Arial" w:cs="Arial"/>
          <w:iCs/>
          <w:lang w:eastAsia="en-US"/>
        </w:rPr>
        <w:t xml:space="preserve"> €</w:t>
      </w:r>
    </w:p>
    <w:p w14:paraId="57C20A9D" w14:textId="77777777" w:rsidR="00B16A41" w:rsidRPr="00CC1381" w:rsidRDefault="00B16A41" w:rsidP="00B16A41">
      <w:pPr>
        <w:spacing w:after="0" w:line="240" w:lineRule="auto"/>
        <w:jc w:val="both"/>
        <w:rPr>
          <w:rFonts w:ascii="Arial" w:eastAsia="Times New Roman" w:hAnsi="Arial" w:cs="Arial"/>
          <w:iCs/>
          <w:lang w:eastAsia="en-US"/>
        </w:rPr>
      </w:pPr>
      <w:r w:rsidRPr="00CC1381">
        <w:rPr>
          <w:rFonts w:ascii="Arial" w:eastAsia="Times New Roman" w:hAnsi="Arial" w:cs="Arial"/>
          <w:iCs/>
          <w:lang w:eastAsia="en-US"/>
        </w:rPr>
        <w:t xml:space="preserve">- Dom za starije i nemoćne osobe Konavle </w:t>
      </w:r>
      <w:r w:rsidRPr="00CC1381">
        <w:rPr>
          <w:rFonts w:ascii="Arial" w:eastAsia="Times New Roman" w:hAnsi="Arial" w:cs="Arial"/>
          <w:iCs/>
          <w:lang w:eastAsia="en-US"/>
        </w:rPr>
        <w:tab/>
        <w:t xml:space="preserve">- </w:t>
      </w:r>
      <w:r w:rsidRPr="00CC1381">
        <w:rPr>
          <w:rFonts w:ascii="Arial" w:eastAsia="Times New Roman" w:hAnsi="Arial" w:cs="Arial"/>
          <w:iCs/>
          <w:lang w:eastAsia="en-US"/>
        </w:rPr>
        <w:tab/>
      </w:r>
      <w:r>
        <w:rPr>
          <w:rFonts w:ascii="Arial" w:eastAsia="Times New Roman" w:hAnsi="Arial" w:cs="Arial"/>
          <w:iCs/>
          <w:lang w:eastAsia="en-US"/>
        </w:rPr>
        <w:t>višak</w:t>
      </w:r>
      <w:r w:rsidRPr="00CC1381">
        <w:rPr>
          <w:rFonts w:ascii="Arial" w:eastAsia="Times New Roman" w:hAnsi="Arial" w:cs="Arial"/>
          <w:iCs/>
          <w:lang w:eastAsia="en-US"/>
        </w:rPr>
        <w:tab/>
      </w:r>
      <w:r>
        <w:rPr>
          <w:rFonts w:ascii="Arial" w:eastAsia="Times New Roman" w:hAnsi="Arial" w:cs="Arial"/>
          <w:iCs/>
          <w:lang w:eastAsia="en-US"/>
        </w:rPr>
        <w:tab/>
      </w:r>
      <w:r w:rsidRPr="00CC1381">
        <w:rPr>
          <w:rFonts w:ascii="Arial" w:eastAsia="Times New Roman" w:hAnsi="Arial" w:cs="Arial"/>
          <w:iCs/>
          <w:lang w:eastAsia="en-US"/>
        </w:rPr>
        <w:tab/>
      </w:r>
      <w:r>
        <w:rPr>
          <w:rFonts w:ascii="Arial" w:eastAsia="Times New Roman" w:hAnsi="Arial" w:cs="Arial"/>
          <w:iCs/>
          <w:lang w:eastAsia="en-US"/>
        </w:rPr>
        <w:t>+</w:t>
      </w:r>
      <w:r w:rsidRPr="00CC1381">
        <w:rPr>
          <w:rFonts w:ascii="Arial" w:eastAsia="Times New Roman" w:hAnsi="Arial" w:cs="Arial"/>
          <w:iCs/>
          <w:lang w:eastAsia="en-US"/>
        </w:rPr>
        <w:t xml:space="preserve">   </w:t>
      </w:r>
      <w:r>
        <w:rPr>
          <w:rFonts w:ascii="Arial" w:eastAsia="Times New Roman" w:hAnsi="Arial" w:cs="Arial"/>
          <w:iCs/>
          <w:lang w:eastAsia="en-US"/>
        </w:rPr>
        <w:t>28.279,50</w:t>
      </w:r>
      <w:r w:rsidRPr="00CC1381">
        <w:rPr>
          <w:rFonts w:ascii="Arial" w:eastAsia="Times New Roman" w:hAnsi="Arial" w:cs="Arial"/>
          <w:iCs/>
          <w:lang w:eastAsia="en-US"/>
        </w:rPr>
        <w:t xml:space="preserve"> €.</w:t>
      </w:r>
    </w:p>
    <w:p w14:paraId="4A1E0725" w14:textId="77777777" w:rsidR="00B16A41" w:rsidRPr="00CC1381" w:rsidRDefault="00B16A41" w:rsidP="00B16A41">
      <w:pPr>
        <w:spacing w:after="0" w:line="240" w:lineRule="auto"/>
        <w:jc w:val="both"/>
        <w:rPr>
          <w:rFonts w:ascii="Arial" w:eastAsia="Times New Roman" w:hAnsi="Arial" w:cs="Arial"/>
          <w:iCs/>
          <w:lang w:eastAsia="en-US"/>
        </w:rPr>
      </w:pPr>
    </w:p>
    <w:p w14:paraId="7D04F5AC" w14:textId="40D6C1A4" w:rsidR="00B16A41" w:rsidRPr="003A2F86" w:rsidRDefault="00B16A41" w:rsidP="00B16A41">
      <w:pPr>
        <w:spacing w:after="0" w:line="240" w:lineRule="auto"/>
        <w:jc w:val="both"/>
        <w:rPr>
          <w:rFonts w:ascii="Arial" w:eastAsia="Times New Roman" w:hAnsi="Arial" w:cs="Arial"/>
          <w:iCs/>
          <w:lang w:eastAsia="en-US"/>
        </w:rPr>
      </w:pPr>
      <w:r w:rsidRPr="00CC1381">
        <w:rPr>
          <w:rFonts w:ascii="Arial" w:eastAsia="Times New Roman" w:hAnsi="Arial" w:cs="Arial"/>
          <w:iCs/>
          <w:lang w:eastAsia="en-US"/>
        </w:rPr>
        <w:t xml:space="preserve">Manjkovi proračunskih korisnika se najvećim dijelom odnose na izvršene rashode za plaće za mjesec </w:t>
      </w:r>
      <w:r>
        <w:rPr>
          <w:rFonts w:ascii="Arial" w:eastAsia="Times New Roman" w:hAnsi="Arial" w:cs="Arial"/>
          <w:iCs/>
          <w:lang w:eastAsia="en-US"/>
        </w:rPr>
        <w:t>lipanj</w:t>
      </w:r>
      <w:r w:rsidRPr="00CC1381">
        <w:rPr>
          <w:rFonts w:ascii="Arial" w:eastAsia="Times New Roman" w:hAnsi="Arial" w:cs="Arial"/>
          <w:iCs/>
          <w:lang w:eastAsia="en-US"/>
        </w:rPr>
        <w:t xml:space="preserve"> 202</w:t>
      </w:r>
      <w:r>
        <w:rPr>
          <w:rFonts w:ascii="Arial" w:eastAsia="Times New Roman" w:hAnsi="Arial" w:cs="Arial"/>
          <w:iCs/>
          <w:lang w:eastAsia="en-US"/>
        </w:rPr>
        <w:t>5</w:t>
      </w:r>
      <w:r w:rsidRPr="00CC1381">
        <w:rPr>
          <w:rFonts w:ascii="Arial" w:eastAsia="Times New Roman" w:hAnsi="Arial" w:cs="Arial"/>
          <w:iCs/>
          <w:lang w:eastAsia="en-US"/>
        </w:rPr>
        <w:t xml:space="preserve">. godine za koje Općina doznačuje sredstva proračunskim korisnicima u </w:t>
      </w:r>
      <w:r>
        <w:rPr>
          <w:rFonts w:ascii="Arial" w:eastAsia="Times New Roman" w:hAnsi="Arial" w:cs="Arial"/>
          <w:iCs/>
          <w:lang w:eastAsia="en-US"/>
        </w:rPr>
        <w:t>srpnju</w:t>
      </w:r>
      <w:r w:rsidRPr="00CC1381">
        <w:rPr>
          <w:rFonts w:ascii="Arial" w:eastAsia="Times New Roman" w:hAnsi="Arial" w:cs="Arial"/>
          <w:iCs/>
          <w:lang w:eastAsia="en-US"/>
        </w:rPr>
        <w:t xml:space="preserve"> 2025. godine.</w:t>
      </w:r>
      <w:r w:rsidRPr="003A2F86">
        <w:rPr>
          <w:rFonts w:ascii="Arial" w:eastAsia="Times New Roman" w:hAnsi="Arial" w:cs="Arial"/>
          <w:iCs/>
          <w:lang w:eastAsia="en-US"/>
        </w:rPr>
        <w:t xml:space="preserve"> </w:t>
      </w:r>
    </w:p>
    <w:p w14:paraId="00457827" w14:textId="77777777" w:rsidR="00227A0F" w:rsidRPr="00762AA7" w:rsidRDefault="00227A0F" w:rsidP="00643C92">
      <w:pPr>
        <w:spacing w:after="0" w:line="240" w:lineRule="auto"/>
        <w:jc w:val="both"/>
        <w:rPr>
          <w:rFonts w:ascii="Arial" w:hAnsi="Arial" w:cs="Arial"/>
          <w:b/>
          <w:bCs/>
          <w:iCs/>
        </w:rPr>
      </w:pPr>
      <w:bookmarkStart w:id="497" w:name="_Hlk133419964"/>
    </w:p>
    <w:p w14:paraId="705D8FFE" w14:textId="77777777" w:rsidR="00AE5067" w:rsidRPr="00762AA7" w:rsidRDefault="00AE5067" w:rsidP="00643C92">
      <w:pPr>
        <w:spacing w:after="0" w:line="240" w:lineRule="auto"/>
        <w:jc w:val="both"/>
        <w:rPr>
          <w:rFonts w:ascii="Arial" w:hAnsi="Arial" w:cs="Arial"/>
          <w:iCs/>
        </w:rPr>
      </w:pPr>
    </w:p>
    <w:p w14:paraId="7DD8EF2B" w14:textId="276C270A" w:rsidR="0032451E" w:rsidRPr="00762AA7" w:rsidRDefault="00E720C8" w:rsidP="00891119">
      <w:pPr>
        <w:autoSpaceDE w:val="0"/>
        <w:autoSpaceDN w:val="0"/>
        <w:adjustRightInd w:val="0"/>
        <w:spacing w:after="0" w:line="240" w:lineRule="auto"/>
        <w:jc w:val="both"/>
        <w:rPr>
          <w:rFonts w:ascii="Arial" w:eastAsia="Times New Roman" w:hAnsi="Arial" w:cs="Arial"/>
        </w:rPr>
      </w:pPr>
      <w:bookmarkStart w:id="498" w:name="_Hlk166582165"/>
      <w:bookmarkStart w:id="499" w:name="_Hlk114823025"/>
      <w:bookmarkEnd w:id="497"/>
      <w:r w:rsidRPr="00762AA7">
        <w:rPr>
          <w:rFonts w:ascii="Arial" w:eastAsia="Times New Roman" w:hAnsi="Arial" w:cs="Arial"/>
        </w:rPr>
        <w:t xml:space="preserve">Zahvaljujući </w:t>
      </w:r>
      <w:r w:rsidR="00C51055" w:rsidRPr="00762AA7">
        <w:rPr>
          <w:rFonts w:ascii="Arial" w:eastAsia="Times New Roman" w:hAnsi="Arial" w:cs="Arial"/>
        </w:rPr>
        <w:t>štednji i racionalnom korištenju proračunskih sredstava</w:t>
      </w:r>
      <w:r w:rsidR="00D53964" w:rsidRPr="00762AA7">
        <w:rPr>
          <w:rFonts w:ascii="Arial" w:eastAsia="Times New Roman" w:hAnsi="Arial" w:cs="Arial"/>
        </w:rPr>
        <w:t xml:space="preserve"> tijekom 20</w:t>
      </w:r>
      <w:r w:rsidR="004D6A82" w:rsidRPr="00762AA7">
        <w:rPr>
          <w:rFonts w:ascii="Arial" w:eastAsia="Times New Roman" w:hAnsi="Arial" w:cs="Arial"/>
        </w:rPr>
        <w:t>2</w:t>
      </w:r>
      <w:r w:rsidR="00227A0F" w:rsidRPr="00762AA7">
        <w:rPr>
          <w:rFonts w:ascii="Arial" w:eastAsia="Times New Roman" w:hAnsi="Arial" w:cs="Arial"/>
        </w:rPr>
        <w:t>4</w:t>
      </w:r>
      <w:r w:rsidR="00D53964" w:rsidRPr="00762AA7">
        <w:rPr>
          <w:rFonts w:ascii="Arial" w:eastAsia="Times New Roman" w:hAnsi="Arial" w:cs="Arial"/>
        </w:rPr>
        <w:t>.</w:t>
      </w:r>
      <w:r w:rsidRPr="00762AA7">
        <w:rPr>
          <w:rFonts w:ascii="Arial" w:eastAsia="Times New Roman" w:hAnsi="Arial" w:cs="Arial"/>
        </w:rPr>
        <w:t xml:space="preserve">, </w:t>
      </w:r>
      <w:r w:rsidR="00891119" w:rsidRPr="00762AA7">
        <w:rPr>
          <w:rFonts w:ascii="Arial" w:eastAsia="Times New Roman" w:hAnsi="Arial" w:cs="Arial"/>
        </w:rPr>
        <w:t xml:space="preserve">Općina </w:t>
      </w:r>
      <w:r w:rsidR="00634BDF" w:rsidRPr="00762AA7">
        <w:rPr>
          <w:rFonts w:ascii="Arial" w:eastAsia="Times New Roman" w:hAnsi="Arial" w:cs="Arial"/>
        </w:rPr>
        <w:t xml:space="preserve">je </w:t>
      </w:r>
      <w:r w:rsidR="001E141B" w:rsidRPr="00762AA7">
        <w:rPr>
          <w:rFonts w:ascii="Arial" w:eastAsia="Times New Roman" w:hAnsi="Arial" w:cs="Arial"/>
        </w:rPr>
        <w:t>u</w:t>
      </w:r>
      <w:r w:rsidR="004A0F69" w:rsidRPr="00762AA7">
        <w:rPr>
          <w:rFonts w:ascii="Arial" w:eastAsia="Times New Roman" w:hAnsi="Arial" w:cs="Arial"/>
        </w:rPr>
        <w:t xml:space="preserve"> 202</w:t>
      </w:r>
      <w:r w:rsidR="00227A0F" w:rsidRPr="00762AA7">
        <w:rPr>
          <w:rFonts w:ascii="Arial" w:eastAsia="Times New Roman" w:hAnsi="Arial" w:cs="Arial"/>
        </w:rPr>
        <w:t>5</w:t>
      </w:r>
      <w:r w:rsidR="004A0F69" w:rsidRPr="00762AA7">
        <w:rPr>
          <w:rFonts w:ascii="Arial" w:eastAsia="Times New Roman" w:hAnsi="Arial" w:cs="Arial"/>
        </w:rPr>
        <w:t xml:space="preserve">. godinu prenijela značajan </w:t>
      </w:r>
      <w:r w:rsidR="00634BDF" w:rsidRPr="00762AA7">
        <w:rPr>
          <w:rFonts w:ascii="Arial" w:eastAsia="Times New Roman" w:hAnsi="Arial" w:cs="Arial"/>
        </w:rPr>
        <w:t>višak prihoda</w:t>
      </w:r>
      <w:r w:rsidR="00DC7E2F" w:rsidRPr="00762AA7">
        <w:rPr>
          <w:rFonts w:ascii="Arial" w:eastAsia="Times New Roman" w:hAnsi="Arial" w:cs="Arial"/>
        </w:rPr>
        <w:t>. Ov</w:t>
      </w:r>
      <w:r w:rsidR="00634BDF" w:rsidRPr="00762AA7">
        <w:rPr>
          <w:rFonts w:ascii="Arial" w:eastAsia="Times New Roman" w:hAnsi="Arial" w:cs="Arial"/>
        </w:rPr>
        <w:t xml:space="preserve">aj višak je </w:t>
      </w:r>
      <w:r w:rsidR="004A0F69" w:rsidRPr="00762AA7">
        <w:rPr>
          <w:rFonts w:ascii="Arial" w:eastAsia="Times New Roman" w:hAnsi="Arial" w:cs="Arial"/>
        </w:rPr>
        <w:t xml:space="preserve">bio </w:t>
      </w:r>
      <w:r w:rsidR="00634BDF" w:rsidRPr="00762AA7">
        <w:rPr>
          <w:rFonts w:ascii="Arial" w:eastAsia="Times New Roman" w:hAnsi="Arial" w:cs="Arial"/>
        </w:rPr>
        <w:t xml:space="preserve">rezultat </w:t>
      </w:r>
      <w:r w:rsidR="00DC7E2F" w:rsidRPr="00762AA7">
        <w:rPr>
          <w:rFonts w:ascii="Arial" w:eastAsia="Times New Roman" w:hAnsi="Arial" w:cs="Arial"/>
        </w:rPr>
        <w:t>refundacije EU pomoći za projekte koji su završili</w:t>
      </w:r>
      <w:r w:rsidR="0032451E" w:rsidRPr="00762AA7">
        <w:rPr>
          <w:rFonts w:ascii="Arial" w:eastAsia="Times New Roman" w:hAnsi="Arial" w:cs="Arial"/>
        </w:rPr>
        <w:t xml:space="preserve">, </w:t>
      </w:r>
      <w:r w:rsidR="00762AA7" w:rsidRPr="00762AA7">
        <w:rPr>
          <w:rFonts w:ascii="Arial" w:eastAsia="Times New Roman" w:hAnsi="Arial" w:cs="Arial"/>
        </w:rPr>
        <w:t>t</w:t>
      </w:r>
      <w:r w:rsidR="0032451E" w:rsidRPr="00762AA7">
        <w:rPr>
          <w:rFonts w:ascii="Arial" w:eastAsia="Times New Roman" w:hAnsi="Arial" w:cs="Arial"/>
        </w:rPr>
        <w:t>e prihoda od prodaje zemljišta u budućoj poduzetničkoj zoni.</w:t>
      </w:r>
    </w:p>
    <w:bookmarkEnd w:id="498"/>
    <w:p w14:paraId="1D548E17" w14:textId="77777777" w:rsidR="0032451E" w:rsidRPr="00762AA7" w:rsidRDefault="0032451E" w:rsidP="00891119">
      <w:pPr>
        <w:autoSpaceDE w:val="0"/>
        <w:autoSpaceDN w:val="0"/>
        <w:adjustRightInd w:val="0"/>
        <w:spacing w:after="0" w:line="240" w:lineRule="auto"/>
        <w:jc w:val="both"/>
        <w:rPr>
          <w:rFonts w:ascii="Arial" w:eastAsia="Times New Roman" w:hAnsi="Arial" w:cs="Arial"/>
        </w:rPr>
      </w:pPr>
    </w:p>
    <w:p w14:paraId="20D41FEB" w14:textId="5D02C1D6" w:rsidR="00B92B8C" w:rsidRPr="00762AA7" w:rsidRDefault="00660AA6" w:rsidP="003E3555">
      <w:pPr>
        <w:autoSpaceDE w:val="0"/>
        <w:autoSpaceDN w:val="0"/>
        <w:adjustRightInd w:val="0"/>
        <w:spacing w:after="0" w:line="240" w:lineRule="auto"/>
        <w:jc w:val="both"/>
        <w:rPr>
          <w:rFonts w:ascii="Arial" w:eastAsia="Times New Roman" w:hAnsi="Arial" w:cs="Arial"/>
        </w:rPr>
      </w:pPr>
      <w:bookmarkStart w:id="500" w:name="_Hlk176516834"/>
      <w:r w:rsidRPr="00762AA7">
        <w:rPr>
          <w:rFonts w:ascii="Arial" w:eastAsia="Times New Roman" w:hAnsi="Arial" w:cs="Arial"/>
        </w:rPr>
        <w:t xml:space="preserve">Općina nije otplatila </w:t>
      </w:r>
      <w:r w:rsidR="00634BDF" w:rsidRPr="00762AA7">
        <w:rPr>
          <w:rFonts w:ascii="Arial" w:eastAsia="Times New Roman" w:hAnsi="Arial" w:cs="Arial"/>
        </w:rPr>
        <w:t>beskamatn</w:t>
      </w:r>
      <w:r w:rsidR="0032451E" w:rsidRPr="00762AA7">
        <w:rPr>
          <w:rFonts w:ascii="Arial" w:eastAsia="Times New Roman" w:hAnsi="Arial" w:cs="Arial"/>
        </w:rPr>
        <w:t>e</w:t>
      </w:r>
      <w:r w:rsidR="00634BDF" w:rsidRPr="00762AA7">
        <w:rPr>
          <w:rFonts w:ascii="Arial" w:eastAsia="Times New Roman" w:hAnsi="Arial" w:cs="Arial"/>
        </w:rPr>
        <w:t xml:space="preserve"> zaj</w:t>
      </w:r>
      <w:r w:rsidR="0032451E" w:rsidRPr="00762AA7">
        <w:rPr>
          <w:rFonts w:ascii="Arial" w:eastAsia="Times New Roman" w:hAnsi="Arial" w:cs="Arial"/>
        </w:rPr>
        <w:t>move</w:t>
      </w:r>
      <w:r w:rsidR="002D0C6D" w:rsidRPr="00762AA7">
        <w:rPr>
          <w:rFonts w:ascii="Arial" w:eastAsia="Times New Roman" w:hAnsi="Arial" w:cs="Arial"/>
        </w:rPr>
        <w:t xml:space="preserve"> iz državnog proračuna iz 2020. i 2021. godine u sveukupnom iznosu 1.332.079,53 €, a rok njihove otplate je do konca 2027. godine.</w:t>
      </w:r>
      <w:r w:rsidR="003E3555" w:rsidRPr="00762AA7">
        <w:rPr>
          <w:rFonts w:ascii="Arial" w:eastAsia="Times New Roman" w:hAnsi="Arial" w:cs="Arial"/>
        </w:rPr>
        <w:t xml:space="preserve"> Beskamatni zajmovi iz državnog proračuna (na ime pada prihoda iz 2020. i 2021. godine, te odgode plaćanja poreza na dohodak) su omogućili da Općina tijekom 2020. i 2021., kao i u 2022., uz mjere štednje, posluje uredno bez da se ugrozi likvidnost Proračuna.</w:t>
      </w:r>
      <w:r w:rsidR="00762AA7" w:rsidRPr="00762AA7">
        <w:rPr>
          <w:rFonts w:ascii="Arial" w:eastAsia="Times New Roman" w:hAnsi="Arial" w:cs="Arial"/>
        </w:rPr>
        <w:t xml:space="preserve"> Općina je bila obvezna spomenuti dug planirati u razdoblju 2025-2027. i otplatiti ga u jednakim godišnjim iznosima (</w:t>
      </w:r>
      <w:r w:rsidR="006E15CC" w:rsidRPr="00762AA7">
        <w:rPr>
          <w:rFonts w:ascii="Arial" w:eastAsia="Times New Roman" w:hAnsi="Arial" w:cs="Arial"/>
        </w:rPr>
        <w:t xml:space="preserve">cca </w:t>
      </w:r>
      <w:r w:rsidR="00C560F8" w:rsidRPr="00762AA7">
        <w:rPr>
          <w:rFonts w:ascii="Arial" w:eastAsia="Times New Roman" w:hAnsi="Arial" w:cs="Arial"/>
        </w:rPr>
        <w:t>444.000</w:t>
      </w:r>
      <w:r w:rsidR="006E15CC" w:rsidRPr="00762AA7">
        <w:rPr>
          <w:rFonts w:ascii="Arial" w:eastAsia="Times New Roman" w:hAnsi="Arial" w:cs="Arial"/>
        </w:rPr>
        <w:t xml:space="preserve"> €</w:t>
      </w:r>
      <w:r w:rsidR="00762AA7" w:rsidRPr="00762AA7">
        <w:rPr>
          <w:rFonts w:ascii="Arial" w:eastAsia="Times New Roman" w:hAnsi="Arial" w:cs="Arial"/>
        </w:rPr>
        <w:t>)</w:t>
      </w:r>
      <w:r w:rsidR="006E15CC" w:rsidRPr="00762AA7">
        <w:rPr>
          <w:rFonts w:ascii="Arial" w:eastAsia="Times New Roman" w:hAnsi="Arial" w:cs="Arial"/>
        </w:rPr>
        <w:t xml:space="preserve">. Općina bi trebala podmiriti obveze prema državnom proračunu na ime povrata beskamatnih zajmova bez ugrožavanja likvidnosti u narednom razdoblju. </w:t>
      </w:r>
    </w:p>
    <w:p w14:paraId="1E024A00" w14:textId="77777777" w:rsidR="00B92B8C" w:rsidRPr="00762AA7" w:rsidRDefault="00B92B8C" w:rsidP="003E3555">
      <w:pPr>
        <w:autoSpaceDE w:val="0"/>
        <w:autoSpaceDN w:val="0"/>
        <w:adjustRightInd w:val="0"/>
        <w:spacing w:after="0" w:line="240" w:lineRule="auto"/>
        <w:jc w:val="both"/>
        <w:rPr>
          <w:rFonts w:ascii="Arial" w:eastAsia="Times New Roman" w:hAnsi="Arial" w:cs="Arial"/>
        </w:rPr>
      </w:pPr>
    </w:p>
    <w:p w14:paraId="4A5D32A3" w14:textId="3335D12E" w:rsidR="003E3555" w:rsidRPr="00762AA7" w:rsidRDefault="003E3555" w:rsidP="003E3555">
      <w:pPr>
        <w:autoSpaceDE w:val="0"/>
        <w:autoSpaceDN w:val="0"/>
        <w:adjustRightInd w:val="0"/>
        <w:spacing w:after="0" w:line="240" w:lineRule="auto"/>
        <w:jc w:val="both"/>
        <w:rPr>
          <w:rFonts w:ascii="Arial" w:eastAsia="Times New Roman" w:hAnsi="Arial" w:cs="Arial"/>
        </w:rPr>
      </w:pPr>
      <w:r w:rsidRPr="00762AA7">
        <w:rPr>
          <w:rFonts w:ascii="Arial" w:eastAsia="Times New Roman" w:hAnsi="Arial" w:cs="Arial"/>
        </w:rPr>
        <w:t>Prema važećim zakonskim propisima, od ukupnih prihoda poreza na dohodak Općini se raspodjeljuje 74 % (preostalih 20% pripada Županiji, a 6% je za decentralizirane funkcije), te je na temelju toga Općina u</w:t>
      </w:r>
      <w:r w:rsidR="004A0F69" w:rsidRPr="00762AA7">
        <w:rPr>
          <w:rFonts w:ascii="Arial" w:eastAsia="Times New Roman" w:hAnsi="Arial" w:cs="Arial"/>
        </w:rPr>
        <w:t xml:space="preserve"> </w:t>
      </w:r>
      <w:r w:rsidRPr="00762AA7">
        <w:rPr>
          <w:rFonts w:ascii="Arial" w:eastAsia="Times New Roman" w:hAnsi="Arial" w:cs="Arial"/>
        </w:rPr>
        <w:t>202</w:t>
      </w:r>
      <w:r w:rsidR="00762AA7" w:rsidRPr="00762AA7">
        <w:rPr>
          <w:rFonts w:ascii="Arial" w:eastAsia="Times New Roman" w:hAnsi="Arial" w:cs="Arial"/>
        </w:rPr>
        <w:t>5</w:t>
      </w:r>
      <w:r w:rsidRPr="00762AA7">
        <w:rPr>
          <w:rFonts w:ascii="Arial" w:eastAsia="Times New Roman" w:hAnsi="Arial" w:cs="Arial"/>
        </w:rPr>
        <w:t xml:space="preserve">. godini ostvarila cca </w:t>
      </w:r>
      <w:r w:rsidR="00762AA7" w:rsidRPr="00762AA7">
        <w:rPr>
          <w:rFonts w:ascii="Arial" w:eastAsia="Times New Roman" w:hAnsi="Arial" w:cs="Arial"/>
        </w:rPr>
        <w:t>2.800.000</w:t>
      </w:r>
      <w:r w:rsidRPr="00762AA7">
        <w:rPr>
          <w:rFonts w:ascii="Arial" w:eastAsia="Times New Roman" w:hAnsi="Arial" w:cs="Arial"/>
        </w:rPr>
        <w:t xml:space="preserve"> € prihoda od poreza na dohodak. </w:t>
      </w:r>
      <w:bookmarkEnd w:id="500"/>
    </w:p>
    <w:p w14:paraId="650B9055" w14:textId="77777777" w:rsidR="002D0C6D" w:rsidRPr="00CB26DA" w:rsidRDefault="002D0C6D" w:rsidP="00891119">
      <w:pPr>
        <w:autoSpaceDE w:val="0"/>
        <w:autoSpaceDN w:val="0"/>
        <w:adjustRightInd w:val="0"/>
        <w:spacing w:after="0" w:line="240" w:lineRule="auto"/>
        <w:jc w:val="both"/>
        <w:rPr>
          <w:rFonts w:ascii="Arial" w:eastAsia="Times New Roman" w:hAnsi="Arial" w:cs="Arial"/>
        </w:rPr>
      </w:pPr>
      <w:bookmarkStart w:id="501" w:name="_Hlk166582508"/>
    </w:p>
    <w:p w14:paraId="06D575D7" w14:textId="2CBB2A3C" w:rsidR="006949AC" w:rsidRPr="00CB26DA" w:rsidRDefault="006949AC" w:rsidP="006949AC">
      <w:pPr>
        <w:autoSpaceDE w:val="0"/>
        <w:autoSpaceDN w:val="0"/>
        <w:adjustRightInd w:val="0"/>
        <w:spacing w:after="0" w:line="240" w:lineRule="auto"/>
        <w:jc w:val="both"/>
        <w:rPr>
          <w:rFonts w:ascii="Arial" w:eastAsia="Times New Roman" w:hAnsi="Arial" w:cs="Arial"/>
        </w:rPr>
      </w:pPr>
      <w:r w:rsidRPr="00CB26DA">
        <w:rPr>
          <w:rFonts w:ascii="Arial" w:eastAsia="Times New Roman" w:hAnsi="Arial" w:cs="Arial"/>
        </w:rPr>
        <w:t xml:space="preserve">Rast ekonomske aktivnosti u Općini prati rast ekonomskih aktivnosti na razini Republike Hrvatske. Naime, prema procjenama Državnog zavoda za statistiku, bruto domaći proizvod (BDP) </w:t>
      </w:r>
      <w:r w:rsidR="00762AA7" w:rsidRPr="00CB26DA">
        <w:rPr>
          <w:rFonts w:ascii="Arial" w:eastAsia="Times New Roman" w:hAnsi="Arial" w:cs="Arial"/>
        </w:rPr>
        <w:t xml:space="preserve">u </w:t>
      </w:r>
      <w:r w:rsidR="00DC77B2" w:rsidRPr="00CB26DA">
        <w:rPr>
          <w:rFonts w:ascii="Arial" w:eastAsia="Times New Roman" w:hAnsi="Arial" w:cs="Arial"/>
        </w:rPr>
        <w:t>drugom</w:t>
      </w:r>
      <w:r w:rsidR="00762AA7" w:rsidRPr="00CB26DA">
        <w:rPr>
          <w:rFonts w:ascii="Arial" w:eastAsia="Times New Roman" w:hAnsi="Arial" w:cs="Arial"/>
        </w:rPr>
        <w:t xml:space="preserve"> </w:t>
      </w:r>
      <w:r w:rsidR="00DC77B2" w:rsidRPr="00CB26DA">
        <w:rPr>
          <w:rFonts w:ascii="Arial" w:eastAsia="Times New Roman" w:hAnsi="Arial" w:cs="Arial"/>
        </w:rPr>
        <w:t>tromjesečju</w:t>
      </w:r>
      <w:r w:rsidR="00762AA7" w:rsidRPr="00CB26DA">
        <w:rPr>
          <w:rFonts w:ascii="Arial" w:eastAsia="Times New Roman" w:hAnsi="Arial" w:cs="Arial"/>
        </w:rPr>
        <w:t xml:space="preserve"> 2025. godine je </w:t>
      </w:r>
      <w:r w:rsidRPr="00CB26DA">
        <w:rPr>
          <w:rFonts w:ascii="Arial" w:eastAsia="Times New Roman" w:hAnsi="Arial" w:cs="Arial"/>
        </w:rPr>
        <w:t>veći za 3</w:t>
      </w:r>
      <w:r w:rsidR="00453E81" w:rsidRPr="00CB26DA">
        <w:rPr>
          <w:rFonts w:ascii="Arial" w:eastAsia="Times New Roman" w:hAnsi="Arial" w:cs="Arial"/>
        </w:rPr>
        <w:t>,</w:t>
      </w:r>
      <w:r w:rsidR="00762AA7" w:rsidRPr="00CB26DA">
        <w:rPr>
          <w:rFonts w:ascii="Arial" w:eastAsia="Times New Roman" w:hAnsi="Arial" w:cs="Arial"/>
        </w:rPr>
        <w:t>4</w:t>
      </w:r>
      <w:r w:rsidRPr="00CB26DA">
        <w:rPr>
          <w:rFonts w:ascii="Arial" w:eastAsia="Times New Roman" w:hAnsi="Arial" w:cs="Arial"/>
        </w:rPr>
        <w:t>%</w:t>
      </w:r>
      <w:r w:rsidR="00762AA7" w:rsidRPr="00CB26DA">
        <w:rPr>
          <w:rFonts w:ascii="Arial" w:eastAsia="Times New Roman" w:hAnsi="Arial" w:cs="Arial"/>
        </w:rPr>
        <w:t xml:space="preserve"> u odnosu na isto razdoblje prethodne godine</w:t>
      </w:r>
      <w:r w:rsidRPr="00CB26DA">
        <w:rPr>
          <w:rFonts w:ascii="Arial" w:eastAsia="Times New Roman" w:hAnsi="Arial" w:cs="Arial"/>
        </w:rPr>
        <w:t>.</w:t>
      </w:r>
      <w:r w:rsidR="001E141B" w:rsidRPr="00CB26DA">
        <w:rPr>
          <w:rFonts w:ascii="Arial" w:eastAsia="Times New Roman" w:hAnsi="Arial" w:cs="Arial"/>
        </w:rPr>
        <w:t xml:space="preserve"> </w:t>
      </w:r>
      <w:r w:rsidRPr="00CB26DA">
        <w:rPr>
          <w:rFonts w:ascii="Arial" w:eastAsia="Times New Roman" w:hAnsi="Arial" w:cs="Arial"/>
        </w:rPr>
        <w:t xml:space="preserve">Prema podacima Državnog zavoda za statistiku, </w:t>
      </w:r>
      <w:r w:rsidR="00DC77B2" w:rsidRPr="00CB26DA">
        <w:rPr>
          <w:rFonts w:ascii="Arial" w:eastAsia="Times New Roman" w:hAnsi="Arial" w:cs="Arial"/>
        </w:rPr>
        <w:t>na tromjesečni rast</w:t>
      </w:r>
      <w:r w:rsidRPr="00CB26DA">
        <w:rPr>
          <w:rFonts w:ascii="Arial" w:eastAsia="Times New Roman" w:hAnsi="Arial" w:cs="Arial"/>
        </w:rPr>
        <w:t xml:space="preserve"> su najviše utjecale trgovina na veliko i malo, prijevoz i skladištenje, smještaj, priprema i usluživanje hrane. Potrošnja kućanstava realno je porasla za </w:t>
      </w:r>
      <w:r w:rsidR="00CB26DA" w:rsidRPr="00CB26DA">
        <w:rPr>
          <w:rFonts w:ascii="Arial" w:eastAsia="Times New Roman" w:hAnsi="Arial" w:cs="Arial"/>
        </w:rPr>
        <w:t>4</w:t>
      </w:r>
      <w:r w:rsidRPr="00CB26DA">
        <w:rPr>
          <w:rFonts w:ascii="Arial" w:eastAsia="Times New Roman" w:hAnsi="Arial" w:cs="Arial"/>
        </w:rPr>
        <w:t xml:space="preserve">%, a potrošnja države je porasla za </w:t>
      </w:r>
      <w:r w:rsidR="00CB26DA" w:rsidRPr="00CB26DA">
        <w:rPr>
          <w:rFonts w:ascii="Arial" w:eastAsia="Times New Roman" w:hAnsi="Arial" w:cs="Arial"/>
        </w:rPr>
        <w:t>2,4</w:t>
      </w:r>
      <w:r w:rsidRPr="00CB26DA">
        <w:rPr>
          <w:rFonts w:ascii="Arial" w:eastAsia="Times New Roman" w:hAnsi="Arial" w:cs="Arial"/>
        </w:rPr>
        <w:t>% u odnosu na isto razdoblje prethodne godine. Nadalje, izvo</w:t>
      </w:r>
      <w:r w:rsidR="003F1D37" w:rsidRPr="00CB26DA">
        <w:rPr>
          <w:rFonts w:ascii="Arial" w:eastAsia="Times New Roman" w:hAnsi="Arial" w:cs="Arial"/>
        </w:rPr>
        <w:t>z</w:t>
      </w:r>
      <w:r w:rsidRPr="00CB26DA">
        <w:rPr>
          <w:rFonts w:ascii="Arial" w:eastAsia="Times New Roman" w:hAnsi="Arial" w:cs="Arial"/>
        </w:rPr>
        <w:t xml:space="preserve"> roba </w:t>
      </w:r>
      <w:r w:rsidR="003F1D37" w:rsidRPr="00CB26DA">
        <w:rPr>
          <w:rFonts w:ascii="Arial" w:eastAsia="Times New Roman" w:hAnsi="Arial" w:cs="Arial"/>
        </w:rPr>
        <w:t>i</w:t>
      </w:r>
      <w:r w:rsidRPr="00CB26DA">
        <w:rPr>
          <w:rFonts w:ascii="Arial" w:eastAsia="Times New Roman" w:hAnsi="Arial" w:cs="Arial"/>
        </w:rPr>
        <w:t xml:space="preserve"> usluga je </w:t>
      </w:r>
      <w:r w:rsidR="00455863" w:rsidRPr="00CB26DA">
        <w:rPr>
          <w:rFonts w:ascii="Arial" w:eastAsia="Times New Roman" w:hAnsi="Arial" w:cs="Arial"/>
        </w:rPr>
        <w:t>u</w:t>
      </w:r>
      <w:r w:rsidRPr="00CB26DA">
        <w:rPr>
          <w:rFonts w:ascii="Arial" w:eastAsia="Times New Roman" w:hAnsi="Arial" w:cs="Arial"/>
        </w:rPr>
        <w:t xml:space="preserve"> </w:t>
      </w:r>
      <w:r w:rsidR="00CB26DA" w:rsidRPr="00CB26DA">
        <w:rPr>
          <w:rFonts w:ascii="Arial" w:eastAsia="Times New Roman" w:hAnsi="Arial" w:cs="Arial"/>
        </w:rPr>
        <w:t xml:space="preserve">drugom tromjesečju </w:t>
      </w:r>
      <w:r w:rsidRPr="00CB26DA">
        <w:rPr>
          <w:rFonts w:ascii="Arial" w:eastAsia="Times New Roman" w:hAnsi="Arial" w:cs="Arial"/>
        </w:rPr>
        <w:t>202</w:t>
      </w:r>
      <w:r w:rsidR="00CB26DA" w:rsidRPr="00CB26DA">
        <w:rPr>
          <w:rFonts w:ascii="Arial" w:eastAsia="Times New Roman" w:hAnsi="Arial" w:cs="Arial"/>
        </w:rPr>
        <w:t>5</w:t>
      </w:r>
      <w:r w:rsidRPr="00CB26DA">
        <w:rPr>
          <w:rFonts w:ascii="Arial" w:eastAsia="Times New Roman" w:hAnsi="Arial" w:cs="Arial"/>
        </w:rPr>
        <w:t xml:space="preserve">. </w:t>
      </w:r>
      <w:r w:rsidR="003F1D37" w:rsidRPr="00CB26DA">
        <w:rPr>
          <w:rFonts w:ascii="Arial" w:eastAsia="Times New Roman" w:hAnsi="Arial" w:cs="Arial"/>
        </w:rPr>
        <w:t xml:space="preserve">ostvario realni </w:t>
      </w:r>
      <w:r w:rsidR="00455863" w:rsidRPr="00CB26DA">
        <w:rPr>
          <w:rFonts w:ascii="Arial" w:eastAsia="Times New Roman" w:hAnsi="Arial" w:cs="Arial"/>
        </w:rPr>
        <w:t xml:space="preserve">rast </w:t>
      </w:r>
      <w:r w:rsidR="003F1D37" w:rsidRPr="00CB26DA">
        <w:rPr>
          <w:rFonts w:ascii="Arial" w:eastAsia="Times New Roman" w:hAnsi="Arial" w:cs="Arial"/>
        </w:rPr>
        <w:t xml:space="preserve">za </w:t>
      </w:r>
      <w:r w:rsidR="00CB26DA" w:rsidRPr="00CB26DA">
        <w:rPr>
          <w:rFonts w:ascii="Arial" w:eastAsia="Times New Roman" w:hAnsi="Arial" w:cs="Arial"/>
        </w:rPr>
        <w:t>1,6</w:t>
      </w:r>
      <w:r w:rsidR="003F1D37" w:rsidRPr="00CB26DA">
        <w:rPr>
          <w:rFonts w:ascii="Arial" w:eastAsia="Times New Roman" w:hAnsi="Arial" w:cs="Arial"/>
        </w:rPr>
        <w:t xml:space="preserve">%, a uvoz roba i usluga je ostvario realni rast za </w:t>
      </w:r>
      <w:r w:rsidR="00CB26DA" w:rsidRPr="00CB26DA">
        <w:rPr>
          <w:rFonts w:ascii="Arial" w:eastAsia="Times New Roman" w:hAnsi="Arial" w:cs="Arial"/>
        </w:rPr>
        <w:t>3,3</w:t>
      </w:r>
      <w:r w:rsidR="003F1D37" w:rsidRPr="00CB26DA">
        <w:rPr>
          <w:rFonts w:ascii="Arial" w:eastAsia="Times New Roman" w:hAnsi="Arial" w:cs="Arial"/>
        </w:rPr>
        <w:t>%.</w:t>
      </w:r>
    </w:p>
    <w:p w14:paraId="6B371F03" w14:textId="77777777" w:rsidR="003F1D37" w:rsidRPr="00CB26DA" w:rsidRDefault="003F1D37" w:rsidP="006949AC">
      <w:pPr>
        <w:autoSpaceDE w:val="0"/>
        <w:autoSpaceDN w:val="0"/>
        <w:adjustRightInd w:val="0"/>
        <w:spacing w:after="0" w:line="240" w:lineRule="auto"/>
        <w:jc w:val="both"/>
        <w:rPr>
          <w:rFonts w:ascii="Arial" w:eastAsia="Times New Roman" w:hAnsi="Arial" w:cs="Arial"/>
        </w:rPr>
      </w:pPr>
    </w:p>
    <w:p w14:paraId="4312CCAE" w14:textId="714464F6" w:rsidR="00A864D2" w:rsidRPr="00CB26DA" w:rsidRDefault="00A864D2" w:rsidP="00A864D2">
      <w:pPr>
        <w:autoSpaceDE w:val="0"/>
        <w:autoSpaceDN w:val="0"/>
        <w:adjustRightInd w:val="0"/>
        <w:spacing w:after="0" w:line="240" w:lineRule="auto"/>
        <w:jc w:val="both"/>
        <w:rPr>
          <w:rFonts w:ascii="Arial" w:eastAsia="Times New Roman" w:hAnsi="Arial" w:cs="Arial"/>
        </w:rPr>
      </w:pPr>
      <w:bookmarkStart w:id="502" w:name="_Hlk176516861"/>
      <w:r w:rsidRPr="00CB26DA">
        <w:rPr>
          <w:rFonts w:ascii="Arial" w:eastAsia="Times New Roman" w:hAnsi="Arial" w:cs="Arial"/>
        </w:rPr>
        <w:t>U 202</w:t>
      </w:r>
      <w:r w:rsidR="00CB26DA" w:rsidRPr="00CB26DA">
        <w:rPr>
          <w:rFonts w:ascii="Arial" w:eastAsia="Times New Roman" w:hAnsi="Arial" w:cs="Arial"/>
        </w:rPr>
        <w:t>5</w:t>
      </w:r>
      <w:r w:rsidRPr="00CB26DA">
        <w:rPr>
          <w:rFonts w:ascii="Arial" w:eastAsia="Times New Roman" w:hAnsi="Arial" w:cs="Arial"/>
        </w:rPr>
        <w:t xml:space="preserve">. godini </w:t>
      </w:r>
      <w:r w:rsidR="003F1D37" w:rsidRPr="00CB26DA">
        <w:rPr>
          <w:rFonts w:ascii="Arial" w:eastAsia="Times New Roman" w:hAnsi="Arial" w:cs="Arial"/>
        </w:rPr>
        <w:t xml:space="preserve">u Općini </w:t>
      </w:r>
      <w:r w:rsidRPr="00CB26DA">
        <w:rPr>
          <w:rFonts w:ascii="Arial" w:eastAsia="Times New Roman" w:hAnsi="Arial" w:cs="Arial"/>
        </w:rPr>
        <w:t xml:space="preserve">je nastavljen </w:t>
      </w:r>
      <w:r w:rsidR="00113AEC" w:rsidRPr="00CB26DA">
        <w:rPr>
          <w:rFonts w:ascii="Arial" w:eastAsia="Times New Roman" w:hAnsi="Arial" w:cs="Arial"/>
        </w:rPr>
        <w:t xml:space="preserve">rast </w:t>
      </w:r>
      <w:r w:rsidRPr="00CB26DA">
        <w:rPr>
          <w:rFonts w:ascii="Arial" w:eastAsia="Times New Roman" w:hAnsi="Arial" w:cs="Arial"/>
        </w:rPr>
        <w:t>turi</w:t>
      </w:r>
      <w:r w:rsidR="00113AEC" w:rsidRPr="00CB26DA">
        <w:rPr>
          <w:rFonts w:ascii="Arial" w:eastAsia="Times New Roman" w:hAnsi="Arial" w:cs="Arial"/>
        </w:rPr>
        <w:t>stičkog prometa</w:t>
      </w:r>
      <w:r w:rsidRPr="00CB26DA">
        <w:rPr>
          <w:rFonts w:ascii="Arial" w:eastAsia="Times New Roman" w:hAnsi="Arial" w:cs="Arial"/>
        </w:rPr>
        <w:t>. U 202</w:t>
      </w:r>
      <w:r w:rsidR="00CB26DA" w:rsidRPr="00CB26DA">
        <w:rPr>
          <w:rFonts w:ascii="Arial" w:eastAsia="Times New Roman" w:hAnsi="Arial" w:cs="Arial"/>
        </w:rPr>
        <w:t>5</w:t>
      </w:r>
      <w:r w:rsidRPr="00CB26DA">
        <w:rPr>
          <w:rFonts w:ascii="Arial" w:eastAsia="Times New Roman" w:hAnsi="Arial" w:cs="Arial"/>
        </w:rPr>
        <w:t xml:space="preserve">. godine ostvareno je </w:t>
      </w:r>
      <w:r w:rsidR="00CB26DA" w:rsidRPr="00CB26DA">
        <w:rPr>
          <w:rFonts w:ascii="Arial" w:eastAsia="Times New Roman" w:hAnsi="Arial" w:cs="Arial"/>
        </w:rPr>
        <w:t>7,6</w:t>
      </w:r>
      <w:r w:rsidRPr="00CB26DA">
        <w:rPr>
          <w:rFonts w:ascii="Arial" w:eastAsia="Times New Roman" w:hAnsi="Arial" w:cs="Arial"/>
        </w:rPr>
        <w:t xml:space="preserve">% </w:t>
      </w:r>
      <w:r w:rsidR="002A4CF7" w:rsidRPr="00CB26DA">
        <w:rPr>
          <w:rFonts w:ascii="Arial" w:eastAsia="Times New Roman" w:hAnsi="Arial" w:cs="Arial"/>
        </w:rPr>
        <w:t xml:space="preserve">više </w:t>
      </w:r>
      <w:r w:rsidRPr="00CB26DA">
        <w:rPr>
          <w:rFonts w:ascii="Arial" w:eastAsia="Times New Roman" w:hAnsi="Arial" w:cs="Arial"/>
        </w:rPr>
        <w:t xml:space="preserve">turističkih dolazaka u odnosu na </w:t>
      </w:r>
      <w:r w:rsidR="00113AEC" w:rsidRPr="00CB26DA">
        <w:rPr>
          <w:rFonts w:ascii="Arial" w:eastAsia="Times New Roman" w:hAnsi="Arial" w:cs="Arial"/>
        </w:rPr>
        <w:t>isto razdoblje 202</w:t>
      </w:r>
      <w:r w:rsidR="00CB26DA" w:rsidRPr="00CB26DA">
        <w:rPr>
          <w:rFonts w:ascii="Arial" w:eastAsia="Times New Roman" w:hAnsi="Arial" w:cs="Arial"/>
        </w:rPr>
        <w:t>4</w:t>
      </w:r>
      <w:r w:rsidR="00113AEC" w:rsidRPr="00CB26DA">
        <w:rPr>
          <w:rFonts w:ascii="Arial" w:eastAsia="Times New Roman" w:hAnsi="Arial" w:cs="Arial"/>
        </w:rPr>
        <w:t xml:space="preserve">. godine, odnosno </w:t>
      </w:r>
      <w:r w:rsidR="00CB26DA" w:rsidRPr="00CB26DA">
        <w:rPr>
          <w:rFonts w:ascii="Arial" w:eastAsia="Times New Roman" w:hAnsi="Arial" w:cs="Arial"/>
        </w:rPr>
        <w:t>8,9%</w:t>
      </w:r>
      <w:r w:rsidR="00113AEC" w:rsidRPr="00CB26DA">
        <w:rPr>
          <w:rFonts w:ascii="Arial" w:eastAsia="Times New Roman" w:hAnsi="Arial" w:cs="Arial"/>
        </w:rPr>
        <w:t xml:space="preserve"> više</w:t>
      </w:r>
      <w:r w:rsidR="002A4CF7" w:rsidRPr="00CB26DA">
        <w:rPr>
          <w:rFonts w:ascii="Arial" w:eastAsia="Times New Roman" w:hAnsi="Arial" w:cs="Arial"/>
        </w:rPr>
        <w:t xml:space="preserve"> </w:t>
      </w:r>
      <w:r w:rsidRPr="00CB26DA">
        <w:rPr>
          <w:rFonts w:ascii="Arial" w:eastAsia="Times New Roman" w:hAnsi="Arial" w:cs="Arial"/>
        </w:rPr>
        <w:t xml:space="preserve">turističkih dolazaka u odnosu na </w:t>
      </w:r>
      <w:r w:rsidR="00113AEC" w:rsidRPr="00CB26DA">
        <w:rPr>
          <w:rFonts w:ascii="Arial" w:eastAsia="Times New Roman" w:hAnsi="Arial" w:cs="Arial"/>
        </w:rPr>
        <w:t>izvještajno razdoblje</w:t>
      </w:r>
      <w:r w:rsidRPr="00CB26DA">
        <w:rPr>
          <w:rFonts w:ascii="Arial" w:eastAsia="Times New Roman" w:hAnsi="Arial" w:cs="Arial"/>
        </w:rPr>
        <w:t xml:space="preserve"> 2019. godin</w:t>
      </w:r>
      <w:r w:rsidR="00113AEC" w:rsidRPr="00CB26DA">
        <w:rPr>
          <w:rFonts w:ascii="Arial" w:eastAsia="Times New Roman" w:hAnsi="Arial" w:cs="Arial"/>
        </w:rPr>
        <w:t>e</w:t>
      </w:r>
      <w:r w:rsidRPr="00CB26DA">
        <w:rPr>
          <w:rFonts w:ascii="Arial" w:eastAsia="Times New Roman" w:hAnsi="Arial" w:cs="Arial"/>
        </w:rPr>
        <w:t>.</w:t>
      </w:r>
    </w:p>
    <w:p w14:paraId="1A2059C2" w14:textId="77777777" w:rsidR="00113AEC" w:rsidRPr="00CB26DA" w:rsidRDefault="00113AEC" w:rsidP="00A864D2">
      <w:pPr>
        <w:autoSpaceDE w:val="0"/>
        <w:autoSpaceDN w:val="0"/>
        <w:adjustRightInd w:val="0"/>
        <w:spacing w:after="0" w:line="240" w:lineRule="auto"/>
        <w:jc w:val="both"/>
        <w:rPr>
          <w:rFonts w:ascii="Arial" w:eastAsia="Times New Roman" w:hAnsi="Arial" w:cs="Arial"/>
        </w:rPr>
      </w:pPr>
    </w:p>
    <w:p w14:paraId="43430B00" w14:textId="62D04B88" w:rsidR="00A864D2" w:rsidRPr="00CB26DA" w:rsidRDefault="00A864D2" w:rsidP="00A864D2">
      <w:pPr>
        <w:autoSpaceDE w:val="0"/>
        <w:autoSpaceDN w:val="0"/>
        <w:adjustRightInd w:val="0"/>
        <w:spacing w:after="0" w:line="240" w:lineRule="auto"/>
        <w:jc w:val="both"/>
        <w:rPr>
          <w:rFonts w:ascii="Arial" w:eastAsia="Times New Roman" w:hAnsi="Arial" w:cs="Arial"/>
        </w:rPr>
      </w:pPr>
      <w:r w:rsidRPr="00CB26DA">
        <w:rPr>
          <w:rFonts w:ascii="Arial" w:eastAsia="Times New Roman" w:hAnsi="Arial" w:cs="Arial"/>
        </w:rPr>
        <w:t>U 202</w:t>
      </w:r>
      <w:r w:rsidR="00CB26DA" w:rsidRPr="00CB26DA">
        <w:rPr>
          <w:rFonts w:ascii="Arial" w:eastAsia="Times New Roman" w:hAnsi="Arial" w:cs="Arial"/>
        </w:rPr>
        <w:t>5</w:t>
      </w:r>
      <w:r w:rsidRPr="00CB26DA">
        <w:rPr>
          <w:rFonts w:ascii="Arial" w:eastAsia="Times New Roman" w:hAnsi="Arial" w:cs="Arial"/>
        </w:rPr>
        <w:t xml:space="preserve">. godine ostvareno je </w:t>
      </w:r>
      <w:r w:rsidR="00CB26DA" w:rsidRPr="00CB26DA">
        <w:rPr>
          <w:rFonts w:ascii="Arial" w:eastAsia="Times New Roman" w:hAnsi="Arial" w:cs="Arial"/>
        </w:rPr>
        <w:t>1,3</w:t>
      </w:r>
      <w:r w:rsidRPr="00CB26DA">
        <w:rPr>
          <w:rFonts w:ascii="Arial" w:eastAsia="Times New Roman" w:hAnsi="Arial" w:cs="Arial"/>
        </w:rPr>
        <w:t xml:space="preserve">% </w:t>
      </w:r>
      <w:r w:rsidR="002A4CF7" w:rsidRPr="00CB26DA">
        <w:rPr>
          <w:rFonts w:ascii="Arial" w:eastAsia="Times New Roman" w:hAnsi="Arial" w:cs="Arial"/>
        </w:rPr>
        <w:t xml:space="preserve">više </w:t>
      </w:r>
      <w:r w:rsidRPr="00CB26DA">
        <w:rPr>
          <w:rFonts w:ascii="Arial" w:eastAsia="Times New Roman" w:hAnsi="Arial" w:cs="Arial"/>
        </w:rPr>
        <w:t xml:space="preserve">turističkih noćenja u odnosu na </w:t>
      </w:r>
      <w:r w:rsidR="00113AEC" w:rsidRPr="00CB26DA">
        <w:rPr>
          <w:rFonts w:ascii="Arial" w:eastAsia="Times New Roman" w:hAnsi="Arial" w:cs="Arial"/>
        </w:rPr>
        <w:t>isto razdoblje prethodne 202</w:t>
      </w:r>
      <w:r w:rsidR="00CB26DA" w:rsidRPr="00CB26DA">
        <w:rPr>
          <w:rFonts w:ascii="Arial" w:eastAsia="Times New Roman" w:hAnsi="Arial" w:cs="Arial"/>
        </w:rPr>
        <w:t>4</w:t>
      </w:r>
      <w:r w:rsidR="00113AEC" w:rsidRPr="00CB26DA">
        <w:rPr>
          <w:rFonts w:ascii="Arial" w:eastAsia="Times New Roman" w:hAnsi="Arial" w:cs="Arial"/>
        </w:rPr>
        <w:t xml:space="preserve">. </w:t>
      </w:r>
      <w:r w:rsidRPr="00CB26DA">
        <w:rPr>
          <w:rFonts w:ascii="Arial" w:eastAsia="Times New Roman" w:hAnsi="Arial" w:cs="Arial"/>
        </w:rPr>
        <w:t xml:space="preserve">godine, odnosno </w:t>
      </w:r>
      <w:r w:rsidR="00CB26DA" w:rsidRPr="00CB26DA">
        <w:rPr>
          <w:rFonts w:ascii="Arial" w:eastAsia="Times New Roman" w:hAnsi="Arial" w:cs="Arial"/>
        </w:rPr>
        <w:t>6,4</w:t>
      </w:r>
      <w:r w:rsidRPr="00CB26DA">
        <w:rPr>
          <w:rFonts w:ascii="Arial" w:eastAsia="Times New Roman" w:hAnsi="Arial" w:cs="Arial"/>
        </w:rPr>
        <w:t xml:space="preserve">% </w:t>
      </w:r>
      <w:r w:rsidR="00113AEC" w:rsidRPr="00CB26DA">
        <w:rPr>
          <w:rFonts w:ascii="Arial" w:eastAsia="Times New Roman" w:hAnsi="Arial" w:cs="Arial"/>
        </w:rPr>
        <w:t>više</w:t>
      </w:r>
      <w:r w:rsidR="002A4CF7" w:rsidRPr="00CB26DA">
        <w:rPr>
          <w:rFonts w:ascii="Arial" w:eastAsia="Times New Roman" w:hAnsi="Arial" w:cs="Arial"/>
        </w:rPr>
        <w:t xml:space="preserve"> </w:t>
      </w:r>
      <w:r w:rsidRPr="00CB26DA">
        <w:rPr>
          <w:rFonts w:ascii="Arial" w:eastAsia="Times New Roman" w:hAnsi="Arial" w:cs="Arial"/>
        </w:rPr>
        <w:t xml:space="preserve">noćenja u </w:t>
      </w:r>
      <w:r w:rsidR="00113AEC" w:rsidRPr="00CB26DA">
        <w:rPr>
          <w:rFonts w:ascii="Arial" w:eastAsia="Times New Roman" w:hAnsi="Arial" w:cs="Arial"/>
        </w:rPr>
        <w:t>odnosu na izvještajno razdoblje 2019. godine</w:t>
      </w:r>
      <w:bookmarkEnd w:id="501"/>
      <w:r w:rsidR="00113AEC" w:rsidRPr="00CB26DA">
        <w:rPr>
          <w:rFonts w:ascii="Arial" w:eastAsia="Times New Roman" w:hAnsi="Arial" w:cs="Arial"/>
        </w:rPr>
        <w:t>.</w:t>
      </w:r>
    </w:p>
    <w:bookmarkEnd w:id="502"/>
    <w:p w14:paraId="2096BD6E" w14:textId="77777777" w:rsidR="006D41BC" w:rsidRPr="00CB26DA" w:rsidRDefault="006D41BC" w:rsidP="004D6A82">
      <w:pPr>
        <w:autoSpaceDE w:val="0"/>
        <w:autoSpaceDN w:val="0"/>
        <w:adjustRightInd w:val="0"/>
        <w:spacing w:after="0" w:line="240" w:lineRule="auto"/>
        <w:jc w:val="both"/>
        <w:rPr>
          <w:rFonts w:ascii="Arial" w:eastAsia="Times New Roman" w:hAnsi="Arial" w:cs="Arial"/>
        </w:rPr>
      </w:pPr>
    </w:p>
    <w:p w14:paraId="49F3E535" w14:textId="39C6AB8B" w:rsidR="00CB26DA" w:rsidRPr="00CB26DA" w:rsidRDefault="003E3555" w:rsidP="004D6A82">
      <w:pPr>
        <w:autoSpaceDE w:val="0"/>
        <w:autoSpaceDN w:val="0"/>
        <w:adjustRightInd w:val="0"/>
        <w:spacing w:after="0" w:line="240" w:lineRule="auto"/>
        <w:jc w:val="both"/>
        <w:rPr>
          <w:rFonts w:ascii="Arial" w:eastAsia="Times New Roman" w:hAnsi="Arial" w:cs="Arial"/>
        </w:rPr>
      </w:pPr>
      <w:bookmarkStart w:id="503" w:name="_Hlk166582579"/>
      <w:bookmarkStart w:id="504" w:name="_Hlk176516960"/>
      <w:r w:rsidRPr="00CB26DA">
        <w:rPr>
          <w:rFonts w:ascii="Arial" w:eastAsia="Times New Roman" w:hAnsi="Arial" w:cs="Arial"/>
        </w:rPr>
        <w:t>Tekući / f</w:t>
      </w:r>
      <w:r w:rsidR="006D41BC" w:rsidRPr="00CB26DA">
        <w:rPr>
          <w:rFonts w:ascii="Arial" w:eastAsia="Times New Roman" w:hAnsi="Arial" w:cs="Arial"/>
        </w:rPr>
        <w:t>iksni rashodi Općine</w:t>
      </w:r>
      <w:r w:rsidR="00CB26DA" w:rsidRPr="00CB26DA">
        <w:rPr>
          <w:rFonts w:ascii="Arial" w:eastAsia="Times New Roman" w:hAnsi="Arial" w:cs="Arial"/>
        </w:rPr>
        <w:t xml:space="preserve"> značajno rastu svako sljedeće proračunsko razdoblje, među kojima su i rashodi za zaposlene</w:t>
      </w:r>
      <w:r w:rsidR="006D41BC" w:rsidRPr="00CB26DA">
        <w:rPr>
          <w:rFonts w:ascii="Arial" w:eastAsia="Times New Roman" w:hAnsi="Arial" w:cs="Arial"/>
        </w:rPr>
        <w:t xml:space="preserve">. </w:t>
      </w:r>
      <w:r w:rsidR="00EB4365" w:rsidRPr="00CB26DA">
        <w:rPr>
          <w:rFonts w:ascii="Arial" w:eastAsia="Times New Roman" w:hAnsi="Arial" w:cs="Arial"/>
        </w:rPr>
        <w:t xml:space="preserve">Iz navedenog razloga </w:t>
      </w:r>
      <w:r w:rsidR="00DD3530" w:rsidRPr="00CB26DA">
        <w:rPr>
          <w:rFonts w:ascii="Arial" w:eastAsia="Times New Roman" w:hAnsi="Arial" w:cs="Arial"/>
        </w:rPr>
        <w:t xml:space="preserve">potrebno je nastaviti </w:t>
      </w:r>
      <w:r w:rsidR="004D6A82" w:rsidRPr="00CB26DA">
        <w:rPr>
          <w:rFonts w:ascii="Arial" w:eastAsia="Times New Roman" w:hAnsi="Arial" w:cs="Arial"/>
        </w:rPr>
        <w:t>s racionalnim korištenjem postojećih proračunskih sredstava</w:t>
      </w:r>
      <w:r w:rsidRPr="00CB26DA">
        <w:rPr>
          <w:rFonts w:ascii="Arial" w:eastAsia="Times New Roman" w:hAnsi="Arial" w:cs="Arial"/>
        </w:rPr>
        <w:t xml:space="preserve">. </w:t>
      </w:r>
      <w:r w:rsidR="007A7379" w:rsidRPr="00CB26DA">
        <w:rPr>
          <w:rFonts w:ascii="Arial" w:eastAsia="Times New Roman" w:hAnsi="Arial" w:cs="Arial"/>
        </w:rPr>
        <w:t>Sve ovo su zaista mjere koje su nužne</w:t>
      </w:r>
      <w:r w:rsidR="006E15CC" w:rsidRPr="00CB26DA">
        <w:rPr>
          <w:rFonts w:ascii="Arial" w:eastAsia="Times New Roman" w:hAnsi="Arial" w:cs="Arial"/>
        </w:rPr>
        <w:t xml:space="preserve"> ukoliko se želi održati likvidnost proračuna</w:t>
      </w:r>
      <w:r w:rsidR="007A7379" w:rsidRPr="00CB26DA">
        <w:rPr>
          <w:rFonts w:ascii="Arial" w:eastAsia="Times New Roman" w:hAnsi="Arial" w:cs="Arial"/>
        </w:rPr>
        <w:t>. Naime, određene namjenske prihode nije moguće koristiti za isplatu plaća (primjerice komunalnu naknadu i komunalni doprinos).</w:t>
      </w:r>
    </w:p>
    <w:p w14:paraId="43F19E33" w14:textId="15AFB463" w:rsidR="001D00A6" w:rsidRPr="00CB26DA" w:rsidRDefault="00AE4B27" w:rsidP="004D6A82">
      <w:pPr>
        <w:autoSpaceDE w:val="0"/>
        <w:autoSpaceDN w:val="0"/>
        <w:adjustRightInd w:val="0"/>
        <w:spacing w:after="0" w:line="240" w:lineRule="auto"/>
        <w:jc w:val="both"/>
        <w:rPr>
          <w:rFonts w:ascii="Arial" w:eastAsia="Times New Roman" w:hAnsi="Arial" w:cs="Arial"/>
        </w:rPr>
      </w:pPr>
      <w:r w:rsidRPr="00CB26DA">
        <w:rPr>
          <w:rFonts w:ascii="Arial" w:eastAsia="Times New Roman" w:hAnsi="Arial" w:cs="Arial"/>
        </w:rPr>
        <w:lastRenderedPageBreak/>
        <w:t>Naime, c</w:t>
      </w:r>
      <w:r w:rsidR="000E5634" w:rsidRPr="00CB26DA">
        <w:rPr>
          <w:rFonts w:ascii="Arial" w:eastAsia="Times New Roman" w:hAnsi="Arial" w:cs="Arial"/>
        </w:rPr>
        <w:t>ilj je,</w:t>
      </w:r>
      <w:r w:rsidR="003E3555" w:rsidRPr="00CB26DA">
        <w:rPr>
          <w:rFonts w:ascii="Arial" w:eastAsia="Times New Roman" w:hAnsi="Arial" w:cs="Arial"/>
        </w:rPr>
        <w:t xml:space="preserve"> </w:t>
      </w:r>
      <w:r w:rsidR="000E5634" w:rsidRPr="00CB26DA">
        <w:rPr>
          <w:rFonts w:ascii="Arial" w:eastAsia="Times New Roman" w:hAnsi="Arial" w:cs="Arial"/>
        </w:rPr>
        <w:t>sukladno</w:t>
      </w:r>
      <w:r w:rsidR="003E3555" w:rsidRPr="00CB26DA">
        <w:rPr>
          <w:rFonts w:ascii="Arial" w:eastAsia="Times New Roman" w:hAnsi="Arial" w:cs="Arial"/>
        </w:rPr>
        <w:t xml:space="preserve"> mogućnosti</w:t>
      </w:r>
      <w:r w:rsidR="000E5634" w:rsidRPr="00CB26DA">
        <w:rPr>
          <w:rFonts w:ascii="Arial" w:eastAsia="Times New Roman" w:hAnsi="Arial" w:cs="Arial"/>
        </w:rPr>
        <w:t>ma,</w:t>
      </w:r>
      <w:r w:rsidR="003E3555" w:rsidRPr="00CB26DA">
        <w:rPr>
          <w:rFonts w:ascii="Arial" w:eastAsia="Times New Roman" w:hAnsi="Arial" w:cs="Arial"/>
        </w:rPr>
        <w:t xml:space="preserve"> pratiti rast plaća državnih službenika i namještenika s obzirom na stalni porast životnih troškova</w:t>
      </w:r>
      <w:r w:rsidR="000E5634" w:rsidRPr="00CB26DA">
        <w:rPr>
          <w:rFonts w:ascii="Arial" w:eastAsia="Times New Roman" w:hAnsi="Arial" w:cs="Arial"/>
        </w:rPr>
        <w:t xml:space="preserve">. U ovom pogledu, </w:t>
      </w:r>
      <w:r w:rsidR="006E15CC" w:rsidRPr="00CB26DA">
        <w:rPr>
          <w:rFonts w:ascii="Arial" w:eastAsia="Times New Roman" w:hAnsi="Arial" w:cs="Arial"/>
        </w:rPr>
        <w:t xml:space="preserve">Općina </w:t>
      </w:r>
      <w:r w:rsidR="000E5634" w:rsidRPr="00CB26DA">
        <w:rPr>
          <w:rFonts w:ascii="Arial" w:eastAsia="Times New Roman" w:hAnsi="Arial" w:cs="Arial"/>
        </w:rPr>
        <w:t xml:space="preserve">je </w:t>
      </w:r>
      <w:r w:rsidR="006E15CC" w:rsidRPr="00CB26DA">
        <w:rPr>
          <w:rFonts w:ascii="Arial" w:eastAsia="Times New Roman" w:hAnsi="Arial" w:cs="Arial"/>
        </w:rPr>
        <w:t xml:space="preserve">svjesna </w:t>
      </w:r>
      <w:r w:rsidR="000E5634" w:rsidRPr="00CB26DA">
        <w:rPr>
          <w:rFonts w:ascii="Arial" w:eastAsia="Times New Roman" w:hAnsi="Arial" w:cs="Arial"/>
        </w:rPr>
        <w:t>izazova uz unaprijed utvrđene prihode koje ima na raspolaganju.</w:t>
      </w:r>
    </w:p>
    <w:p w14:paraId="388E428D" w14:textId="77777777" w:rsidR="002A12BC" w:rsidRPr="00CB26DA" w:rsidRDefault="002A12BC" w:rsidP="004D6A82">
      <w:pPr>
        <w:autoSpaceDE w:val="0"/>
        <w:autoSpaceDN w:val="0"/>
        <w:adjustRightInd w:val="0"/>
        <w:spacing w:after="0" w:line="240" w:lineRule="auto"/>
        <w:jc w:val="both"/>
        <w:rPr>
          <w:rFonts w:ascii="Arial" w:eastAsia="Times New Roman" w:hAnsi="Arial" w:cs="Arial"/>
        </w:rPr>
      </w:pPr>
    </w:p>
    <w:bookmarkEnd w:id="503"/>
    <w:p w14:paraId="3E6BCA1A" w14:textId="13BAADDF" w:rsidR="00243D9D" w:rsidRPr="00CB26DA" w:rsidRDefault="003B1A41" w:rsidP="003B1A41">
      <w:pPr>
        <w:autoSpaceDE w:val="0"/>
        <w:autoSpaceDN w:val="0"/>
        <w:adjustRightInd w:val="0"/>
        <w:spacing w:after="0" w:line="240" w:lineRule="auto"/>
        <w:jc w:val="both"/>
        <w:rPr>
          <w:rFonts w:ascii="Arial" w:eastAsia="Times New Roman" w:hAnsi="Arial" w:cs="Arial"/>
          <w:bCs/>
        </w:rPr>
      </w:pPr>
      <w:r w:rsidRPr="00CB26DA">
        <w:rPr>
          <w:rFonts w:ascii="Arial" w:eastAsia="Times New Roman" w:hAnsi="Arial" w:cs="Arial"/>
          <w:bCs/>
        </w:rPr>
        <w:t>A</w:t>
      </w:r>
      <w:r w:rsidR="001D00A6" w:rsidRPr="00CB26DA">
        <w:rPr>
          <w:rFonts w:ascii="Arial" w:eastAsia="Times New Roman" w:hAnsi="Arial" w:cs="Arial"/>
          <w:bCs/>
        </w:rPr>
        <w:t xml:space="preserve">ktualni </w:t>
      </w:r>
      <w:r w:rsidR="00C02461" w:rsidRPr="00CB26DA">
        <w:rPr>
          <w:rFonts w:ascii="Arial" w:eastAsia="Times New Roman" w:hAnsi="Arial" w:cs="Arial"/>
          <w:bCs/>
        </w:rPr>
        <w:t>geopolitički događaji</w:t>
      </w:r>
      <w:r w:rsidR="001D00A6" w:rsidRPr="00CB26DA">
        <w:rPr>
          <w:rFonts w:ascii="Arial" w:eastAsia="Times New Roman" w:hAnsi="Arial" w:cs="Arial"/>
          <w:bCs/>
        </w:rPr>
        <w:t xml:space="preserve">, kao i rast inflacije </w:t>
      </w:r>
      <w:r w:rsidR="00485F06" w:rsidRPr="00CB26DA">
        <w:rPr>
          <w:rFonts w:ascii="Arial" w:eastAsia="Times New Roman" w:hAnsi="Arial" w:cs="Arial"/>
          <w:bCs/>
        </w:rPr>
        <w:t xml:space="preserve">utječu na </w:t>
      </w:r>
      <w:r w:rsidR="006D41BC" w:rsidRPr="00CB26DA">
        <w:rPr>
          <w:rFonts w:ascii="Arial" w:eastAsia="Times New Roman" w:hAnsi="Arial" w:cs="Arial"/>
          <w:bCs/>
        </w:rPr>
        <w:t>umjereni</w:t>
      </w:r>
      <w:r w:rsidR="00167986" w:rsidRPr="00CB26DA">
        <w:rPr>
          <w:rFonts w:ascii="Arial" w:eastAsia="Times New Roman" w:hAnsi="Arial" w:cs="Arial"/>
          <w:bCs/>
        </w:rPr>
        <w:t xml:space="preserve"> </w:t>
      </w:r>
      <w:r w:rsidR="00485F06" w:rsidRPr="00CB26DA">
        <w:rPr>
          <w:rFonts w:ascii="Arial" w:eastAsia="Times New Roman" w:hAnsi="Arial" w:cs="Arial"/>
          <w:bCs/>
        </w:rPr>
        <w:t>optimiz</w:t>
      </w:r>
      <w:r w:rsidR="006D41BC" w:rsidRPr="00CB26DA">
        <w:rPr>
          <w:rFonts w:ascii="Arial" w:eastAsia="Times New Roman" w:hAnsi="Arial" w:cs="Arial"/>
          <w:bCs/>
        </w:rPr>
        <w:t>am</w:t>
      </w:r>
      <w:r w:rsidR="00041E5E" w:rsidRPr="00CB26DA">
        <w:rPr>
          <w:rFonts w:ascii="Arial" w:eastAsia="Times New Roman" w:hAnsi="Arial" w:cs="Arial"/>
          <w:bCs/>
        </w:rPr>
        <w:t>.</w:t>
      </w:r>
      <w:r w:rsidRPr="00CB26DA">
        <w:rPr>
          <w:rFonts w:ascii="Arial" w:eastAsia="Times New Roman" w:hAnsi="Arial" w:cs="Arial"/>
          <w:bCs/>
        </w:rPr>
        <w:t xml:space="preserve"> </w:t>
      </w:r>
      <w:r w:rsidR="006D41BC" w:rsidRPr="00CB26DA">
        <w:rPr>
          <w:rFonts w:ascii="Arial" w:eastAsia="Times New Roman" w:hAnsi="Arial" w:cs="Arial"/>
          <w:bCs/>
        </w:rPr>
        <w:t>Stalni r</w:t>
      </w:r>
      <w:r w:rsidR="00243D9D" w:rsidRPr="00CB26DA">
        <w:rPr>
          <w:rFonts w:ascii="Arial" w:eastAsia="Times New Roman" w:hAnsi="Arial" w:cs="Arial"/>
          <w:bCs/>
        </w:rPr>
        <w:t xml:space="preserve">ast svih troškova života i rada, moguće nestašice pojedinih materijala u građevinarstvu, </w:t>
      </w:r>
      <w:r w:rsidR="00CB26DA" w:rsidRPr="00CB26DA">
        <w:rPr>
          <w:rFonts w:ascii="Arial" w:eastAsia="Times New Roman" w:hAnsi="Arial" w:cs="Arial"/>
          <w:bCs/>
        </w:rPr>
        <w:t xml:space="preserve">rast cijena materijala u građevinarstvu uvjetovan većim carinama, </w:t>
      </w:r>
      <w:r w:rsidR="00243D9D" w:rsidRPr="00CB26DA">
        <w:rPr>
          <w:rFonts w:ascii="Arial" w:eastAsia="Times New Roman" w:hAnsi="Arial" w:cs="Arial"/>
          <w:bCs/>
        </w:rPr>
        <w:t xml:space="preserve">kao i opći rast inflacije postavlja pred Općinu </w:t>
      </w:r>
      <w:r w:rsidR="006D41BC" w:rsidRPr="00CB26DA">
        <w:rPr>
          <w:rFonts w:ascii="Arial" w:eastAsia="Times New Roman" w:hAnsi="Arial" w:cs="Arial"/>
          <w:bCs/>
        </w:rPr>
        <w:t>veliki izazov</w:t>
      </w:r>
      <w:r w:rsidR="001E141B" w:rsidRPr="00CB26DA">
        <w:rPr>
          <w:rFonts w:ascii="Arial" w:eastAsia="Times New Roman" w:hAnsi="Arial" w:cs="Arial"/>
          <w:bCs/>
        </w:rPr>
        <w:t xml:space="preserve"> u budućem razdoblju</w:t>
      </w:r>
      <w:r w:rsidR="00243D9D" w:rsidRPr="00CB26DA">
        <w:rPr>
          <w:rFonts w:ascii="Arial" w:eastAsia="Times New Roman" w:hAnsi="Arial" w:cs="Arial"/>
          <w:bCs/>
        </w:rPr>
        <w:t xml:space="preserve">. </w:t>
      </w:r>
    </w:p>
    <w:bookmarkEnd w:id="504"/>
    <w:p w14:paraId="4C5644F4" w14:textId="77777777" w:rsidR="006D41BC" w:rsidRPr="00CB26DA" w:rsidRDefault="006D41BC" w:rsidP="006D41BC">
      <w:pPr>
        <w:autoSpaceDE w:val="0"/>
        <w:autoSpaceDN w:val="0"/>
        <w:adjustRightInd w:val="0"/>
        <w:spacing w:after="0" w:line="240" w:lineRule="auto"/>
        <w:jc w:val="both"/>
        <w:rPr>
          <w:rFonts w:ascii="Arial" w:eastAsia="Times New Roman" w:hAnsi="Arial" w:cs="Arial"/>
          <w:bCs/>
        </w:rPr>
      </w:pPr>
    </w:p>
    <w:p w14:paraId="1FB8E441" w14:textId="0086FC86" w:rsidR="006D41BC" w:rsidRPr="00CB26DA" w:rsidRDefault="006F4406" w:rsidP="006F4406">
      <w:pPr>
        <w:autoSpaceDE w:val="0"/>
        <w:autoSpaceDN w:val="0"/>
        <w:adjustRightInd w:val="0"/>
        <w:spacing w:after="0" w:line="240" w:lineRule="auto"/>
        <w:ind w:firstLine="567"/>
        <w:jc w:val="both"/>
        <w:rPr>
          <w:rFonts w:ascii="Arial" w:eastAsia="Times New Roman" w:hAnsi="Arial" w:cs="Arial"/>
        </w:rPr>
      </w:pPr>
      <w:bookmarkStart w:id="505" w:name="_Hlk176517027"/>
      <w:bookmarkStart w:id="506" w:name="_Hlk176517078"/>
      <w:r w:rsidRPr="00CB26DA">
        <w:rPr>
          <w:rFonts w:ascii="Arial" w:eastAsia="Times New Roman" w:hAnsi="Arial" w:cs="Arial"/>
          <w:b/>
        </w:rPr>
        <w:t>Jedino</w:t>
      </w:r>
      <w:r w:rsidRPr="00CB26DA">
        <w:rPr>
          <w:rFonts w:ascii="Arial" w:eastAsia="Times New Roman" w:hAnsi="Arial" w:cs="Arial"/>
        </w:rPr>
        <w:t xml:space="preserve"> </w:t>
      </w:r>
      <w:r w:rsidRPr="00CB26DA">
        <w:rPr>
          <w:rFonts w:ascii="Arial" w:eastAsia="Times New Roman" w:hAnsi="Arial" w:cs="Arial"/>
          <w:b/>
        </w:rPr>
        <w:t>racionalnim korištenjem sredstava</w:t>
      </w:r>
      <w:r w:rsidRPr="00CB26DA">
        <w:rPr>
          <w:rFonts w:ascii="Arial" w:eastAsia="Times New Roman" w:hAnsi="Arial" w:cs="Arial"/>
        </w:rPr>
        <w:t xml:space="preserve"> </w:t>
      </w:r>
      <w:r w:rsidRPr="00CB26DA">
        <w:rPr>
          <w:rFonts w:ascii="Arial" w:eastAsia="Times New Roman" w:hAnsi="Arial" w:cs="Arial"/>
          <w:b/>
        </w:rPr>
        <w:t>može se</w:t>
      </w:r>
      <w:r w:rsidRPr="00CB26DA">
        <w:rPr>
          <w:rFonts w:ascii="Arial" w:eastAsia="Times New Roman" w:hAnsi="Arial" w:cs="Arial"/>
        </w:rPr>
        <w:t xml:space="preserve"> omogućiti obavljanje zakonom propisanih obveza i ispunjavanje osnovne svrhe postojanja Općine kao jedinice lokalne samouprave. </w:t>
      </w:r>
      <w:r w:rsidR="006D41BC" w:rsidRPr="00CB26DA">
        <w:rPr>
          <w:rFonts w:ascii="Arial" w:eastAsia="Times New Roman" w:hAnsi="Arial" w:cs="Arial"/>
        </w:rPr>
        <w:t>S obzirom da je fiksni udio rashoda u ukupnim rashodima proračuna vrijednosno vrlo značajan i nema tendenciju pada, smatramo potrebnim upozoriti na činjenicu da se od svih korisnika proračunskih sredstava očekuju stalni napori u poduzimanju koraka s ciljem ostvarenja većeg pokrića rashoda vlastitim prihodima. Budući su financijska sredstva Proračuna ograničena fiskalnim mogućnostima, mogući opsezi financijskih planova proračunskih korisnika financiranih iz Proračuna su limitirani, te ne postoji mogućnost značajnijih povećanja</w:t>
      </w:r>
      <w:bookmarkEnd w:id="505"/>
      <w:r w:rsidR="006D41BC" w:rsidRPr="00CB26DA">
        <w:rPr>
          <w:rFonts w:ascii="Arial" w:eastAsia="Times New Roman" w:hAnsi="Arial" w:cs="Arial"/>
        </w:rPr>
        <w:t xml:space="preserve">. </w:t>
      </w:r>
    </w:p>
    <w:p w14:paraId="4B5CB673" w14:textId="0FFC73FE" w:rsidR="006D41BC" w:rsidRPr="00CB26DA" w:rsidRDefault="006D41BC" w:rsidP="006F4406">
      <w:pPr>
        <w:autoSpaceDE w:val="0"/>
        <w:autoSpaceDN w:val="0"/>
        <w:adjustRightInd w:val="0"/>
        <w:spacing w:after="0" w:line="240" w:lineRule="auto"/>
        <w:ind w:firstLine="567"/>
        <w:jc w:val="both"/>
        <w:rPr>
          <w:rFonts w:ascii="Arial" w:eastAsia="Times New Roman" w:hAnsi="Arial" w:cs="Arial"/>
        </w:rPr>
      </w:pPr>
      <w:r w:rsidRPr="00CB26DA">
        <w:rPr>
          <w:rFonts w:ascii="Arial" w:eastAsia="Times New Roman" w:hAnsi="Arial" w:cs="Arial"/>
        </w:rPr>
        <w:t>U budućnosti će trebati poduzeti korake u učinkovitijem ostvarivanju vlastitih prihoda na koje Općina može i treba utjecati jer se ne smije ograničiti na sadašnji nivo. S obzirom da Općina kao jedinica lokalne samouprave treba održati i razvijati status javnog servisa, da mora biti pokretač razvoja i osiguravati pretpostavke za razvoj, neophodno je pronalaženje dodatnih resursa za financiranje rashodovne strane proračuna usmjerene kako u socijalnom tako i u razvojnom smjeru. Iz navedenog razloga dužnost i obveza predstavničkog i izvršnog tijela Općine je poduzimanje potrebnih aktivnosti kojima bi se dijelom nadomjestili prihodi koji se više ne ostvaruju. Jedan od mogućih izvora ostvarenja prihoda u budućem razdoblju su prihodi od korištenja nefinancijske imovine (zakupi imovine, eventualna prodaja manjeg dijela imovine od koje Općina ili zbog više suvlasničkih dijelova ili zbog smještaja ne može imati prihoda u budućnosti).</w:t>
      </w:r>
    </w:p>
    <w:p w14:paraId="270A4E6C" w14:textId="31B68D95" w:rsidR="006D41BC" w:rsidRPr="00CB26DA" w:rsidRDefault="006D41BC" w:rsidP="006D41BC">
      <w:pPr>
        <w:autoSpaceDE w:val="0"/>
        <w:autoSpaceDN w:val="0"/>
        <w:adjustRightInd w:val="0"/>
        <w:spacing w:after="0" w:line="240" w:lineRule="auto"/>
        <w:ind w:firstLine="567"/>
        <w:jc w:val="both"/>
        <w:rPr>
          <w:rFonts w:ascii="Arial" w:eastAsia="Times New Roman" w:hAnsi="Arial" w:cs="Arial"/>
        </w:rPr>
      </w:pPr>
      <w:r w:rsidRPr="00CB26DA">
        <w:rPr>
          <w:rFonts w:ascii="Arial" w:eastAsia="Times New Roman" w:hAnsi="Arial" w:cs="Arial"/>
        </w:rPr>
        <w:t xml:space="preserve">Jedan od mogućih izvora prihoda u Proračunu je uključivanje Općine u projekte sufinancirane EU sredstvima, ali i veće uključivanje korisnika proračunskih sredstava u zajedničke projekte koji bi se mogli sufinancirati. </w:t>
      </w:r>
    </w:p>
    <w:p w14:paraId="342FC0A9" w14:textId="7E091E71" w:rsidR="006D41BC" w:rsidRPr="00CB26DA" w:rsidRDefault="006D41BC" w:rsidP="006D41BC">
      <w:pPr>
        <w:autoSpaceDE w:val="0"/>
        <w:autoSpaceDN w:val="0"/>
        <w:adjustRightInd w:val="0"/>
        <w:spacing w:after="0" w:line="240" w:lineRule="auto"/>
        <w:ind w:firstLine="567"/>
        <w:jc w:val="both"/>
        <w:rPr>
          <w:rFonts w:ascii="Arial" w:eastAsia="Times New Roman" w:hAnsi="Arial" w:cs="Arial"/>
        </w:rPr>
      </w:pPr>
      <w:r w:rsidRPr="00CB26DA">
        <w:rPr>
          <w:rFonts w:ascii="Arial" w:eastAsia="Times New Roman" w:hAnsi="Arial" w:cs="Arial"/>
        </w:rPr>
        <w:t>Republika Hrvatska je darovala Općini zemljište za izgradnju i aktiviranje poduzetničke zone. Slijedećih godina očekuju se rashodi kako bi se ista zona aktivirala i stavila u funkciju</w:t>
      </w:r>
      <w:r w:rsidR="00455863" w:rsidRPr="00CB26DA">
        <w:rPr>
          <w:rFonts w:ascii="Arial" w:eastAsia="Times New Roman" w:hAnsi="Arial" w:cs="Arial"/>
        </w:rPr>
        <w:t xml:space="preserve">. </w:t>
      </w:r>
      <w:r w:rsidRPr="00CB26DA">
        <w:rPr>
          <w:rFonts w:ascii="Arial" w:eastAsia="Times New Roman" w:hAnsi="Arial" w:cs="Arial"/>
        </w:rPr>
        <w:t>Darovano zemljište za poduzetničku zonu ne znači da je time odmah osigurano i ostvarivanje dugoročnih prihoda</w:t>
      </w:r>
      <w:r w:rsidR="00455863" w:rsidRPr="00CB26DA">
        <w:rPr>
          <w:rFonts w:ascii="Arial" w:eastAsia="Times New Roman" w:hAnsi="Arial" w:cs="Arial"/>
        </w:rPr>
        <w:t xml:space="preserve"> već je potrebno </w:t>
      </w:r>
      <w:r w:rsidR="00734EFB" w:rsidRPr="00CB26DA">
        <w:rPr>
          <w:rFonts w:ascii="Arial" w:eastAsia="Times New Roman" w:hAnsi="Arial" w:cs="Arial"/>
        </w:rPr>
        <w:t>stvoriti pretpostavke za razvoj poduzetničke zone (energetska, komunalna, prometna infrastruktura).</w:t>
      </w:r>
    </w:p>
    <w:p w14:paraId="26FED6FB" w14:textId="77777777" w:rsidR="006D41BC" w:rsidRPr="00CB26DA" w:rsidRDefault="006D41BC" w:rsidP="006D41BC">
      <w:pPr>
        <w:autoSpaceDE w:val="0"/>
        <w:autoSpaceDN w:val="0"/>
        <w:adjustRightInd w:val="0"/>
        <w:spacing w:after="0" w:line="240" w:lineRule="auto"/>
        <w:ind w:firstLine="567"/>
        <w:jc w:val="both"/>
        <w:rPr>
          <w:rFonts w:ascii="Arial" w:eastAsia="Times New Roman" w:hAnsi="Arial" w:cs="Arial"/>
        </w:rPr>
      </w:pPr>
    </w:p>
    <w:p w14:paraId="14D807EE" w14:textId="240A3AF8" w:rsidR="006F4406" w:rsidRPr="00CB26DA" w:rsidRDefault="006D41BC" w:rsidP="006F4406">
      <w:pPr>
        <w:autoSpaceDE w:val="0"/>
        <w:autoSpaceDN w:val="0"/>
        <w:adjustRightInd w:val="0"/>
        <w:spacing w:after="0" w:line="240" w:lineRule="auto"/>
        <w:ind w:firstLine="567"/>
        <w:jc w:val="both"/>
        <w:rPr>
          <w:rFonts w:ascii="Arial" w:eastAsia="Times New Roman" w:hAnsi="Arial" w:cs="Arial"/>
        </w:rPr>
      </w:pPr>
      <w:r w:rsidRPr="00CB26DA">
        <w:rPr>
          <w:rFonts w:ascii="Arial" w:eastAsia="Times New Roman" w:hAnsi="Arial" w:cs="Arial"/>
        </w:rPr>
        <w:t>Veoma je izazovno</w:t>
      </w:r>
      <w:r w:rsidR="006F4406" w:rsidRPr="00CB26DA">
        <w:rPr>
          <w:rFonts w:ascii="Arial" w:eastAsia="Times New Roman" w:hAnsi="Arial" w:cs="Arial"/>
        </w:rPr>
        <w:t xml:space="preserve">, </w:t>
      </w:r>
      <w:r w:rsidRPr="00CB26DA">
        <w:rPr>
          <w:rFonts w:ascii="Arial" w:eastAsia="Times New Roman" w:hAnsi="Arial" w:cs="Arial"/>
        </w:rPr>
        <w:t xml:space="preserve">te </w:t>
      </w:r>
      <w:r w:rsidR="006F4406" w:rsidRPr="00CB26DA">
        <w:rPr>
          <w:rFonts w:ascii="Arial" w:eastAsia="Times New Roman" w:hAnsi="Arial" w:cs="Arial"/>
        </w:rPr>
        <w:t>iznimno važno voditi računa da se održ</w:t>
      </w:r>
      <w:r w:rsidRPr="00CB26DA">
        <w:rPr>
          <w:rFonts w:ascii="Arial" w:eastAsia="Times New Roman" w:hAnsi="Arial" w:cs="Arial"/>
        </w:rPr>
        <w:t>ava</w:t>
      </w:r>
      <w:r w:rsidR="006F4406" w:rsidRPr="00CB26DA">
        <w:rPr>
          <w:rFonts w:ascii="Arial" w:eastAsia="Times New Roman" w:hAnsi="Arial" w:cs="Arial"/>
        </w:rPr>
        <w:t xml:space="preserve"> </w:t>
      </w:r>
      <w:r w:rsidR="006F4406" w:rsidRPr="00CB26DA">
        <w:rPr>
          <w:rFonts w:ascii="Arial" w:eastAsia="Times New Roman" w:hAnsi="Arial" w:cs="Arial"/>
          <w:b/>
        </w:rPr>
        <w:t xml:space="preserve">redovita likvidnost </w:t>
      </w:r>
      <w:r w:rsidRPr="00CB26DA">
        <w:rPr>
          <w:rFonts w:ascii="Arial" w:eastAsia="Times New Roman" w:hAnsi="Arial" w:cs="Arial"/>
          <w:b/>
        </w:rPr>
        <w:t xml:space="preserve">Proračuna </w:t>
      </w:r>
      <w:r w:rsidR="006F4406" w:rsidRPr="00CB26DA">
        <w:rPr>
          <w:rFonts w:ascii="Arial" w:eastAsia="Times New Roman" w:hAnsi="Arial" w:cs="Arial"/>
          <w:b/>
        </w:rPr>
        <w:t>odnosno priljev sredstava potrebnih za obavljanje najnužnije funkcije općine i njenih proračunskih korisnika kao javnih servisa</w:t>
      </w:r>
      <w:bookmarkEnd w:id="506"/>
      <w:r w:rsidR="006F4406" w:rsidRPr="00CB26DA">
        <w:rPr>
          <w:rFonts w:ascii="Arial" w:eastAsia="Times New Roman" w:hAnsi="Arial" w:cs="Arial"/>
          <w:b/>
        </w:rPr>
        <w:t>.</w:t>
      </w:r>
    </w:p>
    <w:bookmarkEnd w:id="499"/>
    <w:p w14:paraId="3EB4F23A" w14:textId="77777777" w:rsidR="006F4406" w:rsidRPr="00CB26DA" w:rsidRDefault="006F4406" w:rsidP="006F4406">
      <w:pPr>
        <w:autoSpaceDE w:val="0"/>
        <w:autoSpaceDN w:val="0"/>
        <w:adjustRightInd w:val="0"/>
        <w:spacing w:after="0" w:line="240" w:lineRule="auto"/>
        <w:jc w:val="both"/>
        <w:rPr>
          <w:rFonts w:ascii="Arial" w:eastAsia="Times New Roman" w:hAnsi="Arial" w:cs="Arial"/>
        </w:rPr>
      </w:pPr>
    </w:p>
    <w:p w14:paraId="020FA306" w14:textId="480E763C" w:rsidR="00891119" w:rsidRPr="003A2F86" w:rsidRDefault="00891119" w:rsidP="00891119">
      <w:pPr>
        <w:autoSpaceDE w:val="0"/>
        <w:autoSpaceDN w:val="0"/>
        <w:adjustRightInd w:val="0"/>
        <w:spacing w:after="0" w:line="240" w:lineRule="auto"/>
        <w:jc w:val="both"/>
        <w:rPr>
          <w:rFonts w:ascii="Arial" w:eastAsia="Times New Roman" w:hAnsi="Arial" w:cs="Arial"/>
        </w:rPr>
      </w:pPr>
      <w:r w:rsidRPr="003A2F86">
        <w:rPr>
          <w:rFonts w:ascii="Arial" w:eastAsia="Times New Roman" w:hAnsi="Arial" w:cs="Arial"/>
        </w:rPr>
        <w:t xml:space="preserve">Ovaj </w:t>
      </w:r>
      <w:r w:rsidR="008A3F1B">
        <w:rPr>
          <w:rFonts w:ascii="Arial" w:eastAsia="Times New Roman" w:hAnsi="Arial" w:cs="Arial"/>
        </w:rPr>
        <w:t>Polug</w:t>
      </w:r>
      <w:r w:rsidR="00AE5067" w:rsidRPr="003A2F86">
        <w:rPr>
          <w:rFonts w:ascii="Arial" w:eastAsia="Times New Roman" w:hAnsi="Arial" w:cs="Arial"/>
        </w:rPr>
        <w:t>odišnji</w:t>
      </w:r>
      <w:r w:rsidRPr="003A2F86">
        <w:rPr>
          <w:rFonts w:ascii="Arial" w:eastAsia="Times New Roman" w:hAnsi="Arial" w:cs="Arial"/>
        </w:rPr>
        <w:t xml:space="preserve"> izvještaj o izvršenju Proračuna Općine Konavle za 20</w:t>
      </w:r>
      <w:r w:rsidR="00DB222B" w:rsidRPr="003A2F86">
        <w:rPr>
          <w:rFonts w:ascii="Arial" w:eastAsia="Times New Roman" w:hAnsi="Arial" w:cs="Arial"/>
        </w:rPr>
        <w:t>2</w:t>
      </w:r>
      <w:r w:rsidR="008A3F1B">
        <w:rPr>
          <w:rFonts w:ascii="Arial" w:eastAsia="Times New Roman" w:hAnsi="Arial" w:cs="Arial"/>
        </w:rPr>
        <w:t>5</w:t>
      </w:r>
      <w:r w:rsidRPr="003A2F86">
        <w:rPr>
          <w:rFonts w:ascii="Arial" w:eastAsia="Times New Roman" w:hAnsi="Arial" w:cs="Arial"/>
        </w:rPr>
        <w:t xml:space="preserve">. objavljuje se na </w:t>
      </w:r>
      <w:r w:rsidR="008171C3" w:rsidRPr="003A2F86">
        <w:rPr>
          <w:rFonts w:ascii="Arial" w:eastAsia="Times New Roman" w:hAnsi="Arial" w:cs="Arial"/>
        </w:rPr>
        <w:t>mrežnoj</w:t>
      </w:r>
      <w:r w:rsidRPr="003A2F86">
        <w:rPr>
          <w:rFonts w:ascii="Arial" w:eastAsia="Times New Roman" w:hAnsi="Arial" w:cs="Arial"/>
        </w:rPr>
        <w:t xml:space="preserve"> stranicama Općine Konavle </w:t>
      </w:r>
      <w:hyperlink r:id="rId172" w:history="1">
        <w:r w:rsidR="00123A51" w:rsidRPr="003A2F86">
          <w:rPr>
            <w:rStyle w:val="Hiperveza"/>
          </w:rPr>
          <w:t>https://www.opcinakonavle.hr/proracun-izvjestaji/</w:t>
        </w:r>
      </w:hyperlink>
      <w:r w:rsidR="00123A51" w:rsidRPr="003A2F86">
        <w:t xml:space="preserve"> </w:t>
      </w:r>
      <w:r w:rsidRPr="003A2F86">
        <w:rPr>
          <w:rFonts w:ascii="Arial" w:eastAsia="Times New Roman" w:hAnsi="Arial" w:cs="Arial"/>
        </w:rPr>
        <w:t xml:space="preserve">i </w:t>
      </w:r>
      <w:r w:rsidR="008171C3" w:rsidRPr="003A2F86">
        <w:rPr>
          <w:rFonts w:ascii="Arial" w:eastAsia="Times New Roman" w:hAnsi="Arial" w:cs="Arial"/>
        </w:rPr>
        <w:t>mrežnoj</w:t>
      </w:r>
      <w:r w:rsidRPr="003A2F86">
        <w:rPr>
          <w:rFonts w:ascii="Arial" w:eastAsia="Times New Roman" w:hAnsi="Arial" w:cs="Arial"/>
        </w:rPr>
        <w:t xml:space="preserve"> stranici</w:t>
      </w:r>
      <w:r w:rsidR="00442FE6" w:rsidRPr="003A2F86">
        <w:t xml:space="preserve"> </w:t>
      </w:r>
      <w:hyperlink r:id="rId173" w:history="1">
        <w:r w:rsidR="00AE5067" w:rsidRPr="003A2F86">
          <w:rPr>
            <w:rStyle w:val="Hiperveza"/>
          </w:rPr>
          <w:t>Proračun (proracun.hr)</w:t>
        </w:r>
      </w:hyperlink>
      <w:r w:rsidR="00AE5067" w:rsidRPr="003A2F86">
        <w:t xml:space="preserve"> </w:t>
      </w:r>
      <w:r w:rsidR="00442FE6" w:rsidRPr="003A2F86">
        <w:rPr>
          <w:rFonts w:ascii="Arial" w:eastAsia="Times New Roman" w:hAnsi="Arial" w:cs="Arial"/>
        </w:rPr>
        <w:t>.</w:t>
      </w:r>
    </w:p>
    <w:p w14:paraId="2CEDC292" w14:textId="77777777" w:rsidR="00442FE6" w:rsidRPr="003A2F86" w:rsidRDefault="00442FE6" w:rsidP="00891119">
      <w:pPr>
        <w:autoSpaceDE w:val="0"/>
        <w:autoSpaceDN w:val="0"/>
        <w:adjustRightInd w:val="0"/>
        <w:spacing w:after="0" w:line="240" w:lineRule="auto"/>
        <w:jc w:val="both"/>
        <w:rPr>
          <w:rFonts w:ascii="Arial" w:eastAsia="Times New Roman" w:hAnsi="Arial" w:cs="Arial"/>
        </w:rPr>
      </w:pPr>
    </w:p>
    <w:p w14:paraId="73B5210E" w14:textId="6CA62733" w:rsidR="00891119" w:rsidRPr="00EB21CF" w:rsidRDefault="00272C7C" w:rsidP="00891119">
      <w:pPr>
        <w:widowControl w:val="0"/>
        <w:autoSpaceDE w:val="0"/>
        <w:autoSpaceDN w:val="0"/>
        <w:adjustRightInd w:val="0"/>
        <w:spacing w:after="0" w:line="144" w:lineRule="atLeast"/>
        <w:rPr>
          <w:rFonts w:ascii="Arial" w:eastAsia="Calibri" w:hAnsi="Arial" w:cs="Arial"/>
        </w:rPr>
      </w:pPr>
      <w:r w:rsidRPr="00EB21CF">
        <w:rPr>
          <w:rFonts w:ascii="Arial" w:eastAsia="Calibri" w:hAnsi="Arial" w:cs="Arial"/>
        </w:rPr>
        <w:t>KLASA:</w:t>
      </w:r>
      <w:r w:rsidR="00EA4B10" w:rsidRPr="00EB21CF">
        <w:rPr>
          <w:rFonts w:ascii="Arial" w:eastAsia="Calibri" w:hAnsi="Arial" w:cs="Arial"/>
        </w:rPr>
        <w:t xml:space="preserve"> </w:t>
      </w:r>
      <w:r w:rsidR="00EB21CF" w:rsidRPr="00EB21CF">
        <w:rPr>
          <w:rFonts w:ascii="Arial" w:hAnsi="Arial" w:cs="Arial"/>
          <w:color w:val="000000"/>
        </w:rPr>
        <w:t>024-02/25-01/15</w:t>
      </w:r>
    </w:p>
    <w:p w14:paraId="0804836F" w14:textId="761F5BD5" w:rsidR="00D42BC8" w:rsidRPr="00EB21CF" w:rsidRDefault="00891119" w:rsidP="00D42BC8">
      <w:pPr>
        <w:widowControl w:val="0"/>
        <w:autoSpaceDE w:val="0"/>
        <w:autoSpaceDN w:val="0"/>
        <w:adjustRightInd w:val="0"/>
        <w:spacing w:after="0" w:line="144" w:lineRule="atLeast"/>
        <w:rPr>
          <w:rFonts w:ascii="Arial" w:eastAsia="Calibri" w:hAnsi="Arial" w:cs="Arial"/>
        </w:rPr>
      </w:pPr>
      <w:r w:rsidRPr="00EB21CF">
        <w:rPr>
          <w:rFonts w:ascii="Arial" w:eastAsia="Calibri" w:hAnsi="Arial" w:cs="Arial"/>
        </w:rPr>
        <w:t xml:space="preserve">URBROJ: </w:t>
      </w:r>
      <w:r w:rsidR="00EB21CF" w:rsidRPr="00EB21CF">
        <w:rPr>
          <w:rFonts w:ascii="Arial" w:hAnsi="Arial" w:cs="Arial"/>
          <w:color w:val="000000"/>
        </w:rPr>
        <w:t>2117-02/01-25-1</w:t>
      </w:r>
    </w:p>
    <w:p w14:paraId="06C212EC" w14:textId="3032F51E" w:rsidR="00891119" w:rsidRPr="00180216" w:rsidRDefault="00891119" w:rsidP="00891119">
      <w:pPr>
        <w:widowControl w:val="0"/>
        <w:autoSpaceDE w:val="0"/>
        <w:autoSpaceDN w:val="0"/>
        <w:adjustRightInd w:val="0"/>
        <w:spacing w:after="0" w:line="144" w:lineRule="atLeast"/>
        <w:rPr>
          <w:rFonts w:ascii="Arial" w:eastAsia="Calibri" w:hAnsi="Arial" w:cs="Arial"/>
        </w:rPr>
      </w:pPr>
    </w:p>
    <w:p w14:paraId="5E5C8C86" w14:textId="75D7BB8A" w:rsidR="00891119" w:rsidRPr="00180216" w:rsidRDefault="00891119" w:rsidP="00891119">
      <w:pPr>
        <w:widowControl w:val="0"/>
        <w:autoSpaceDE w:val="0"/>
        <w:autoSpaceDN w:val="0"/>
        <w:adjustRightInd w:val="0"/>
        <w:spacing w:after="0" w:line="144" w:lineRule="atLeast"/>
        <w:rPr>
          <w:rFonts w:ascii="Arial" w:eastAsia="Calibri" w:hAnsi="Arial" w:cs="Arial"/>
        </w:rPr>
      </w:pPr>
      <w:r w:rsidRPr="00180216">
        <w:rPr>
          <w:rFonts w:ascii="Arial" w:eastAsia="Calibri" w:hAnsi="Arial" w:cs="Arial"/>
        </w:rPr>
        <w:t>Cavtat</w:t>
      </w:r>
      <w:r w:rsidR="00180216" w:rsidRPr="00180216">
        <w:rPr>
          <w:rFonts w:ascii="Arial" w:eastAsia="Calibri" w:hAnsi="Arial" w:cs="Arial"/>
        </w:rPr>
        <w:t xml:space="preserve">, </w:t>
      </w:r>
      <w:r w:rsidR="00EB21CF">
        <w:rPr>
          <w:rFonts w:ascii="Arial" w:eastAsia="Calibri" w:hAnsi="Arial" w:cs="Arial"/>
        </w:rPr>
        <w:t xml:space="preserve">23. rujna </w:t>
      </w:r>
      <w:r w:rsidR="00180216" w:rsidRPr="00180216">
        <w:rPr>
          <w:rFonts w:ascii="Arial" w:hAnsi="Arial" w:cs="Arial"/>
          <w:color w:val="000000"/>
        </w:rPr>
        <w:t>20</w:t>
      </w:r>
      <w:r w:rsidR="00E2232B" w:rsidRPr="00180216">
        <w:rPr>
          <w:rFonts w:ascii="Arial" w:eastAsia="Calibri" w:hAnsi="Arial" w:cs="Arial"/>
        </w:rPr>
        <w:t>2</w:t>
      </w:r>
      <w:r w:rsidR="00AD52CA" w:rsidRPr="00180216">
        <w:rPr>
          <w:rFonts w:ascii="Arial" w:eastAsia="Calibri" w:hAnsi="Arial" w:cs="Arial"/>
        </w:rPr>
        <w:t>5</w:t>
      </w:r>
      <w:r w:rsidR="00E2232B" w:rsidRPr="00180216">
        <w:rPr>
          <w:rFonts w:ascii="Arial" w:eastAsia="Calibri" w:hAnsi="Arial" w:cs="Arial"/>
        </w:rPr>
        <w:t>.g.</w:t>
      </w:r>
    </w:p>
    <w:p w14:paraId="76530BE9" w14:textId="18A8B389" w:rsidR="00891119" w:rsidRDefault="00C51008" w:rsidP="00891119">
      <w:pPr>
        <w:widowControl w:val="0"/>
        <w:autoSpaceDE w:val="0"/>
        <w:autoSpaceDN w:val="0"/>
        <w:adjustRightInd w:val="0"/>
        <w:spacing w:after="0" w:line="144" w:lineRule="atLeast"/>
        <w:rPr>
          <w:rFonts w:ascii="Arial" w:eastAsia="Calibri" w:hAnsi="Arial" w:cs="Arial"/>
        </w:rPr>
      </w:pPr>
      <w:r w:rsidRPr="00180216">
        <w:rPr>
          <w:rFonts w:ascii="Arial" w:eastAsia="Calibri" w:hAnsi="Arial" w:cs="Arial"/>
        </w:rPr>
        <w:tab/>
      </w:r>
      <w:r w:rsidRPr="00180216">
        <w:rPr>
          <w:rFonts w:ascii="Arial" w:eastAsia="Calibri" w:hAnsi="Arial" w:cs="Arial"/>
        </w:rPr>
        <w:tab/>
      </w:r>
      <w:r w:rsidRPr="00180216">
        <w:rPr>
          <w:rFonts w:ascii="Arial" w:eastAsia="Calibri" w:hAnsi="Arial" w:cs="Arial"/>
        </w:rPr>
        <w:tab/>
      </w:r>
      <w:r w:rsidRPr="00180216">
        <w:rPr>
          <w:rFonts w:ascii="Arial" w:eastAsia="Calibri" w:hAnsi="Arial" w:cs="Arial"/>
        </w:rPr>
        <w:tab/>
      </w:r>
      <w:r w:rsidRPr="00180216">
        <w:rPr>
          <w:rFonts w:ascii="Arial" w:eastAsia="Calibri" w:hAnsi="Arial" w:cs="Arial"/>
        </w:rPr>
        <w:tab/>
      </w:r>
      <w:r w:rsidRPr="00180216">
        <w:rPr>
          <w:rFonts w:ascii="Arial" w:eastAsia="Calibri" w:hAnsi="Arial" w:cs="Arial"/>
        </w:rPr>
        <w:tab/>
      </w:r>
      <w:r w:rsidRPr="00180216">
        <w:rPr>
          <w:rFonts w:ascii="Arial" w:eastAsia="Calibri" w:hAnsi="Arial" w:cs="Arial"/>
        </w:rPr>
        <w:tab/>
      </w:r>
      <w:r w:rsidRPr="00180216">
        <w:rPr>
          <w:rFonts w:ascii="Arial" w:eastAsia="Calibri" w:hAnsi="Arial" w:cs="Arial"/>
        </w:rPr>
        <w:tab/>
      </w:r>
      <w:r w:rsidRPr="00180216">
        <w:rPr>
          <w:rFonts w:ascii="Arial" w:eastAsia="Calibri" w:hAnsi="Arial" w:cs="Arial"/>
        </w:rPr>
        <w:tab/>
      </w:r>
      <w:r w:rsidRPr="00180216">
        <w:rPr>
          <w:rFonts w:ascii="Arial" w:eastAsia="Calibri" w:hAnsi="Arial" w:cs="Arial"/>
        </w:rPr>
        <w:tab/>
      </w:r>
      <w:r w:rsidRPr="00180216">
        <w:rPr>
          <w:rFonts w:ascii="Arial" w:eastAsia="Calibri" w:hAnsi="Arial" w:cs="Arial"/>
        </w:rPr>
        <w:tab/>
      </w:r>
      <w:r w:rsidRPr="00180216">
        <w:rPr>
          <w:rFonts w:ascii="Arial" w:eastAsia="Calibri" w:hAnsi="Arial" w:cs="Arial"/>
        </w:rPr>
        <w:tab/>
        <w:t>Predsjednik Općinskog vijeća</w:t>
      </w:r>
    </w:p>
    <w:p w14:paraId="017C146A" w14:textId="48C664B2" w:rsidR="005E6B4F" w:rsidRPr="003A2F86" w:rsidRDefault="00180216" w:rsidP="003E771A">
      <w:pPr>
        <w:widowControl w:val="0"/>
        <w:autoSpaceDE w:val="0"/>
        <w:autoSpaceDN w:val="0"/>
        <w:adjustRightInd w:val="0"/>
        <w:spacing w:after="0" w:line="144" w:lineRule="atLeast"/>
        <w:rPr>
          <w:rFonts w:ascii="Arial" w:eastAsia="Times New Roman" w:hAnsi="Arial" w:cs="Arial"/>
        </w:rPr>
      </w:pP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Ivo Simović</w:t>
      </w:r>
      <w:r w:rsidR="008226C7">
        <w:rPr>
          <w:rFonts w:ascii="Arial" w:eastAsia="Calibri" w:hAnsi="Arial" w:cs="Arial"/>
        </w:rPr>
        <w:t>, v.r.</w:t>
      </w:r>
      <w:r w:rsidR="005E6B4F" w:rsidRPr="003A2F86">
        <w:rPr>
          <w:rFonts w:ascii="Arial" w:eastAsia="Times New Roman" w:hAnsi="Arial" w:cs="Arial"/>
        </w:rPr>
        <w:br w:type="page"/>
      </w:r>
    </w:p>
    <w:p w14:paraId="1027D232" w14:textId="0430D919" w:rsidR="00FD0018" w:rsidRPr="003A2F86" w:rsidRDefault="006D222A" w:rsidP="006D222A">
      <w:pPr>
        <w:pStyle w:val="Naslov1"/>
        <w:ind w:left="360"/>
        <w:rPr>
          <w:rFonts w:ascii="Arial" w:eastAsia="Calibri" w:hAnsi="Arial" w:cs="Arial"/>
          <w:sz w:val="22"/>
          <w:lang w:val="hr-HR"/>
        </w:rPr>
      </w:pPr>
      <w:bookmarkStart w:id="507" w:name="_Toc207707505"/>
      <w:r w:rsidRPr="003A2F86">
        <w:rPr>
          <w:rFonts w:ascii="Arial" w:eastAsia="Calibri" w:hAnsi="Arial" w:cs="Arial"/>
          <w:sz w:val="22"/>
          <w:lang w:val="hr-HR"/>
        </w:rPr>
        <w:lastRenderedPageBreak/>
        <w:t xml:space="preserve">10. </w:t>
      </w:r>
      <w:r w:rsidR="00FD0018" w:rsidRPr="003A2F86">
        <w:rPr>
          <w:rFonts w:ascii="Arial" w:eastAsia="Calibri" w:hAnsi="Arial" w:cs="Arial"/>
          <w:sz w:val="22"/>
          <w:lang w:val="hr-HR"/>
        </w:rPr>
        <w:t>DODACI</w:t>
      </w:r>
      <w:bookmarkEnd w:id="507"/>
    </w:p>
    <w:p w14:paraId="62B777AB" w14:textId="77777777" w:rsidR="00FD0018" w:rsidRPr="003A2F86" w:rsidRDefault="00FD0018" w:rsidP="00A44ECA">
      <w:pPr>
        <w:spacing w:after="0" w:line="240" w:lineRule="auto"/>
        <w:rPr>
          <w:sz w:val="14"/>
          <w:szCs w:val="14"/>
          <w:lang w:eastAsia="en-US"/>
        </w:rPr>
      </w:pPr>
    </w:p>
    <w:p w14:paraId="3376C69B" w14:textId="77777777" w:rsidR="00FD0018" w:rsidRPr="003A2F86" w:rsidRDefault="000B5489">
      <w:pPr>
        <w:pStyle w:val="Naslov2"/>
        <w:numPr>
          <w:ilvl w:val="1"/>
          <w:numId w:val="26"/>
        </w:numPr>
        <w:jc w:val="center"/>
        <w:rPr>
          <w:rFonts w:ascii="Arial" w:hAnsi="Arial" w:cs="Arial"/>
          <w:sz w:val="22"/>
          <w:lang w:val="hr-HR"/>
        </w:rPr>
      </w:pPr>
      <w:bookmarkStart w:id="508" w:name="_Toc207707506"/>
      <w:r w:rsidRPr="003A2F86">
        <w:rPr>
          <w:rFonts w:ascii="Arial" w:hAnsi="Arial" w:cs="Arial"/>
          <w:sz w:val="22"/>
          <w:lang w:val="hr-HR"/>
        </w:rPr>
        <w:t>POPIS TABLICA</w:t>
      </w:r>
      <w:bookmarkEnd w:id="508"/>
    </w:p>
    <w:p w14:paraId="6EAE049E" w14:textId="77777777" w:rsidR="000B5489" w:rsidRPr="00A27624" w:rsidRDefault="000B5489" w:rsidP="00A44ECA">
      <w:pPr>
        <w:spacing w:after="0" w:line="240" w:lineRule="auto"/>
        <w:rPr>
          <w:sz w:val="12"/>
          <w:szCs w:val="12"/>
          <w:lang w:eastAsia="en-US"/>
        </w:rPr>
      </w:pPr>
    </w:p>
    <w:p w14:paraId="5799F99A" w14:textId="7527D8E2" w:rsidR="00DF62B7" w:rsidRDefault="004C330F">
      <w:pPr>
        <w:pStyle w:val="Tablicaslika"/>
        <w:rPr>
          <w:rFonts w:asciiTheme="minorHAnsi" w:eastAsiaTheme="minorEastAsia" w:hAnsiTheme="minorHAnsi" w:cstheme="minorBidi"/>
          <w:kern w:val="2"/>
          <w:sz w:val="24"/>
          <w:szCs w:val="24"/>
          <w:lang w:eastAsia="hr-HR"/>
          <w14:ligatures w14:val="standardContextual"/>
        </w:rPr>
      </w:pPr>
      <w:r w:rsidRPr="00A27624">
        <w:rPr>
          <w:sz w:val="20"/>
          <w:szCs w:val="18"/>
        </w:rPr>
        <w:fldChar w:fldCharType="begin"/>
      </w:r>
      <w:r w:rsidRPr="00A27624">
        <w:rPr>
          <w:sz w:val="20"/>
          <w:szCs w:val="18"/>
        </w:rPr>
        <w:instrText xml:space="preserve"> TOC \h \z \c "Tablica" </w:instrText>
      </w:r>
      <w:r w:rsidRPr="00A27624">
        <w:rPr>
          <w:sz w:val="20"/>
          <w:szCs w:val="18"/>
        </w:rPr>
        <w:fldChar w:fldCharType="separate"/>
      </w:r>
      <w:hyperlink w:anchor="_Toc207706965" w:history="1">
        <w:r w:rsidR="00DF62B7" w:rsidRPr="003B3CFB">
          <w:rPr>
            <w:rStyle w:val="Hiperveza"/>
          </w:rPr>
          <w:t xml:space="preserve">Tablica 1.: </w:t>
        </w:r>
        <w:r w:rsidR="00DF62B7" w:rsidRPr="003B3CFB">
          <w:rPr>
            <w:rStyle w:val="Hiperveza"/>
            <w:rFonts w:ascii="Arial" w:eastAsia="Calibri" w:hAnsi="Arial" w:cs="Arial"/>
          </w:rPr>
          <w:t>Broj dolazaka i turističkih noćenja u razdoblju 2019.-2024. i 1-6/2025.</w:t>
        </w:r>
        <w:r w:rsidR="00DF62B7">
          <w:rPr>
            <w:webHidden/>
          </w:rPr>
          <w:tab/>
        </w:r>
        <w:r w:rsidR="00DF62B7">
          <w:rPr>
            <w:webHidden/>
          </w:rPr>
          <w:fldChar w:fldCharType="begin"/>
        </w:r>
        <w:r w:rsidR="00DF62B7">
          <w:rPr>
            <w:webHidden/>
          </w:rPr>
          <w:instrText xml:space="preserve"> PAGEREF _Toc207706965 \h </w:instrText>
        </w:r>
        <w:r w:rsidR="00DF62B7">
          <w:rPr>
            <w:webHidden/>
          </w:rPr>
        </w:r>
        <w:r w:rsidR="00DF62B7">
          <w:rPr>
            <w:webHidden/>
          </w:rPr>
          <w:fldChar w:fldCharType="separate"/>
        </w:r>
        <w:r w:rsidR="00910987">
          <w:rPr>
            <w:webHidden/>
          </w:rPr>
          <w:t>10</w:t>
        </w:r>
        <w:r w:rsidR="00DF62B7">
          <w:rPr>
            <w:webHidden/>
          </w:rPr>
          <w:fldChar w:fldCharType="end"/>
        </w:r>
      </w:hyperlink>
    </w:p>
    <w:p w14:paraId="49096389" w14:textId="7C753B4B"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66" w:history="1">
        <w:r w:rsidRPr="003B3CFB">
          <w:rPr>
            <w:rStyle w:val="Hiperveza"/>
          </w:rPr>
          <w:t xml:space="preserve">Tablica 2.: </w:t>
        </w:r>
        <w:r w:rsidRPr="003B3CFB">
          <w:rPr>
            <w:rStyle w:val="Hiperveza"/>
            <w:rFonts w:ascii="Arial" w:eastAsia="Calibri" w:hAnsi="Arial" w:cs="Arial"/>
          </w:rPr>
          <w:t>Države s većim brojem ostvarenih noćenja i dolazaka u razdoblju 2019.– 2024. i 1-6/2025.</w:t>
        </w:r>
        <w:r>
          <w:rPr>
            <w:webHidden/>
          </w:rPr>
          <w:tab/>
        </w:r>
        <w:r>
          <w:rPr>
            <w:webHidden/>
          </w:rPr>
          <w:fldChar w:fldCharType="begin"/>
        </w:r>
        <w:r>
          <w:rPr>
            <w:webHidden/>
          </w:rPr>
          <w:instrText xml:space="preserve"> PAGEREF _Toc207706966 \h </w:instrText>
        </w:r>
        <w:r>
          <w:rPr>
            <w:webHidden/>
          </w:rPr>
        </w:r>
        <w:r>
          <w:rPr>
            <w:webHidden/>
          </w:rPr>
          <w:fldChar w:fldCharType="separate"/>
        </w:r>
        <w:r w:rsidR="00910987">
          <w:rPr>
            <w:webHidden/>
          </w:rPr>
          <w:t>11</w:t>
        </w:r>
        <w:r>
          <w:rPr>
            <w:webHidden/>
          </w:rPr>
          <w:fldChar w:fldCharType="end"/>
        </w:r>
      </w:hyperlink>
    </w:p>
    <w:p w14:paraId="083C4967" w14:textId="5397C07D"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67" w:history="1">
        <w:r w:rsidRPr="003B3CFB">
          <w:rPr>
            <w:rStyle w:val="Hiperveza"/>
          </w:rPr>
          <w:t>Tablica 3</w:t>
        </w:r>
        <w:r w:rsidRPr="003B3CFB">
          <w:rPr>
            <w:rStyle w:val="Hiperveza"/>
            <w:rFonts w:ascii="Arial" w:hAnsi="Arial" w:cs="Arial"/>
          </w:rPr>
          <w:t>. Pregled ostvarenja proračuna za razdoblje 2015.-2024. i 1-6/2025. s projekcijama 2026.-2027.(€) – ukupno Općina i proračunski korisnici</w:t>
        </w:r>
        <w:r>
          <w:rPr>
            <w:webHidden/>
          </w:rPr>
          <w:tab/>
        </w:r>
        <w:r>
          <w:rPr>
            <w:webHidden/>
          </w:rPr>
          <w:fldChar w:fldCharType="begin"/>
        </w:r>
        <w:r>
          <w:rPr>
            <w:webHidden/>
          </w:rPr>
          <w:instrText xml:space="preserve"> PAGEREF _Toc207706967 \h </w:instrText>
        </w:r>
        <w:r>
          <w:rPr>
            <w:webHidden/>
          </w:rPr>
        </w:r>
        <w:r>
          <w:rPr>
            <w:webHidden/>
          </w:rPr>
          <w:fldChar w:fldCharType="separate"/>
        </w:r>
        <w:r w:rsidR="00910987">
          <w:rPr>
            <w:webHidden/>
          </w:rPr>
          <w:t>13</w:t>
        </w:r>
        <w:r>
          <w:rPr>
            <w:webHidden/>
          </w:rPr>
          <w:fldChar w:fldCharType="end"/>
        </w:r>
      </w:hyperlink>
    </w:p>
    <w:p w14:paraId="0BD8A49A" w14:textId="12ACD1BE"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68" w:history="1">
        <w:r w:rsidRPr="003B3CFB">
          <w:rPr>
            <w:rStyle w:val="Hiperveza"/>
          </w:rPr>
          <w:t xml:space="preserve">Tablica 4.: </w:t>
        </w:r>
        <w:r w:rsidRPr="003B3CFB">
          <w:rPr>
            <w:rStyle w:val="Hiperveza"/>
            <w:rFonts w:ascii="Arial" w:eastAsia="Calibri" w:hAnsi="Arial" w:cs="Arial"/>
          </w:rPr>
          <w:t>Pregled sveukupno ostvarenih prihoda i primitaka na razini skupine u razdoblju 2019.-2024. i 1-6/2025. s prikazom povećanja / smanjenja (€)</w:t>
        </w:r>
        <w:r>
          <w:rPr>
            <w:webHidden/>
          </w:rPr>
          <w:tab/>
        </w:r>
        <w:r>
          <w:rPr>
            <w:webHidden/>
          </w:rPr>
          <w:fldChar w:fldCharType="begin"/>
        </w:r>
        <w:r>
          <w:rPr>
            <w:webHidden/>
          </w:rPr>
          <w:instrText xml:space="preserve"> PAGEREF _Toc207706968 \h </w:instrText>
        </w:r>
        <w:r>
          <w:rPr>
            <w:webHidden/>
          </w:rPr>
        </w:r>
        <w:r>
          <w:rPr>
            <w:webHidden/>
          </w:rPr>
          <w:fldChar w:fldCharType="separate"/>
        </w:r>
        <w:r w:rsidR="00910987">
          <w:rPr>
            <w:webHidden/>
          </w:rPr>
          <w:t>15</w:t>
        </w:r>
        <w:r>
          <w:rPr>
            <w:webHidden/>
          </w:rPr>
          <w:fldChar w:fldCharType="end"/>
        </w:r>
      </w:hyperlink>
    </w:p>
    <w:p w14:paraId="112F538F" w14:textId="440A5BA3"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69" w:history="1">
        <w:r w:rsidRPr="003B3CFB">
          <w:rPr>
            <w:rStyle w:val="Hiperveza"/>
          </w:rPr>
          <w:t xml:space="preserve">Tablica 5.: </w:t>
        </w:r>
        <w:r w:rsidRPr="003B3CFB">
          <w:rPr>
            <w:rStyle w:val="Hiperveza"/>
            <w:rFonts w:ascii="Arial" w:eastAsia="Calibri" w:hAnsi="Arial" w:cs="Arial"/>
          </w:rPr>
          <w:t>Pregled sveukupno izvršenih rashoda i izdataka na razini skupine u razdoblju 2019.-2024. i 1-6/2025. s prikazom povećanja / smanjenja (€)</w:t>
        </w:r>
        <w:r>
          <w:rPr>
            <w:webHidden/>
          </w:rPr>
          <w:tab/>
        </w:r>
        <w:r>
          <w:rPr>
            <w:webHidden/>
          </w:rPr>
          <w:fldChar w:fldCharType="begin"/>
        </w:r>
        <w:r>
          <w:rPr>
            <w:webHidden/>
          </w:rPr>
          <w:instrText xml:space="preserve"> PAGEREF _Toc207706969 \h </w:instrText>
        </w:r>
        <w:r>
          <w:rPr>
            <w:webHidden/>
          </w:rPr>
        </w:r>
        <w:r>
          <w:rPr>
            <w:webHidden/>
          </w:rPr>
          <w:fldChar w:fldCharType="separate"/>
        </w:r>
        <w:r w:rsidR="00910987">
          <w:rPr>
            <w:webHidden/>
          </w:rPr>
          <w:t>16</w:t>
        </w:r>
        <w:r>
          <w:rPr>
            <w:webHidden/>
          </w:rPr>
          <w:fldChar w:fldCharType="end"/>
        </w:r>
      </w:hyperlink>
    </w:p>
    <w:p w14:paraId="5FA53D7C" w14:textId="788510F5"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70" w:history="1">
        <w:r w:rsidRPr="003B3CFB">
          <w:rPr>
            <w:rStyle w:val="Hiperveza"/>
          </w:rPr>
          <w:t xml:space="preserve">Tablica 6.: </w:t>
        </w:r>
        <w:r w:rsidRPr="003B3CFB">
          <w:rPr>
            <w:rStyle w:val="Hiperveza"/>
            <w:rFonts w:ascii="Arial" w:eastAsia="Calibri" w:hAnsi="Arial" w:cs="Arial"/>
          </w:rPr>
          <w:t xml:space="preserve">Pregled ostvarenih prihoda i primitaka na razini podskupine u polugodišnjim izvještajnim razdobljima 2019. do 2025. (€) </w:t>
        </w:r>
        <w:r w:rsidRPr="003B3CFB">
          <w:rPr>
            <w:rStyle w:val="Hiperveza"/>
            <w:rFonts w:ascii="Arial" w:eastAsia="Calibri" w:hAnsi="Arial" w:cs="Arial"/>
            <w:i/>
            <w:iCs/>
          </w:rPr>
          <w:t>(razina 22 i razina 23)</w:t>
        </w:r>
        <w:r>
          <w:rPr>
            <w:webHidden/>
          </w:rPr>
          <w:tab/>
        </w:r>
        <w:r>
          <w:rPr>
            <w:webHidden/>
          </w:rPr>
          <w:fldChar w:fldCharType="begin"/>
        </w:r>
        <w:r>
          <w:rPr>
            <w:webHidden/>
          </w:rPr>
          <w:instrText xml:space="preserve"> PAGEREF _Toc207706970 \h </w:instrText>
        </w:r>
        <w:r>
          <w:rPr>
            <w:webHidden/>
          </w:rPr>
        </w:r>
        <w:r>
          <w:rPr>
            <w:webHidden/>
          </w:rPr>
          <w:fldChar w:fldCharType="separate"/>
        </w:r>
        <w:r w:rsidR="00910987">
          <w:rPr>
            <w:webHidden/>
          </w:rPr>
          <w:t>17</w:t>
        </w:r>
        <w:r>
          <w:rPr>
            <w:webHidden/>
          </w:rPr>
          <w:fldChar w:fldCharType="end"/>
        </w:r>
      </w:hyperlink>
    </w:p>
    <w:p w14:paraId="6134A226" w14:textId="2BDF7F42"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71" w:history="1">
        <w:r w:rsidRPr="003B3CFB">
          <w:rPr>
            <w:rStyle w:val="Hiperveza"/>
          </w:rPr>
          <w:t xml:space="preserve">Tablica 7.: </w:t>
        </w:r>
        <w:r w:rsidRPr="003B3CFB">
          <w:rPr>
            <w:rStyle w:val="Hiperveza"/>
            <w:rFonts w:ascii="Arial" w:eastAsia="Calibri" w:hAnsi="Arial" w:cs="Arial"/>
          </w:rPr>
          <w:t>Pregled izvršenih rashoda i izdataka na razini podskupine u polugodišnjim izvještajnim razdobljima 2019. do 2025. (€)</w:t>
        </w:r>
        <w:r w:rsidRPr="003B3CFB">
          <w:rPr>
            <w:rStyle w:val="Hiperveza"/>
            <w:rFonts w:ascii="Arial" w:eastAsia="Calibri" w:hAnsi="Arial" w:cs="Arial"/>
            <w:i/>
            <w:iCs/>
          </w:rPr>
          <w:t>(razina 22 i razina 23)</w:t>
        </w:r>
        <w:r>
          <w:rPr>
            <w:webHidden/>
          </w:rPr>
          <w:tab/>
        </w:r>
        <w:r>
          <w:rPr>
            <w:webHidden/>
          </w:rPr>
          <w:fldChar w:fldCharType="begin"/>
        </w:r>
        <w:r>
          <w:rPr>
            <w:webHidden/>
          </w:rPr>
          <w:instrText xml:space="preserve"> PAGEREF _Toc207706971 \h </w:instrText>
        </w:r>
        <w:r>
          <w:rPr>
            <w:webHidden/>
          </w:rPr>
        </w:r>
        <w:r>
          <w:rPr>
            <w:webHidden/>
          </w:rPr>
          <w:fldChar w:fldCharType="separate"/>
        </w:r>
        <w:r w:rsidR="00910987">
          <w:rPr>
            <w:webHidden/>
          </w:rPr>
          <w:t>19</w:t>
        </w:r>
        <w:r>
          <w:rPr>
            <w:webHidden/>
          </w:rPr>
          <w:fldChar w:fldCharType="end"/>
        </w:r>
      </w:hyperlink>
    </w:p>
    <w:p w14:paraId="3B3D7F6B" w14:textId="064A68A5"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72" w:history="1">
        <w:r w:rsidRPr="003B3CFB">
          <w:rPr>
            <w:rStyle w:val="Hiperveza"/>
          </w:rPr>
          <w:t>Tablica 8</w:t>
        </w:r>
        <w:r w:rsidRPr="003B3CFB">
          <w:rPr>
            <w:rStyle w:val="Hiperveza"/>
            <w:rFonts w:ascii="Arial" w:hAnsi="Arial" w:cs="Arial"/>
          </w:rPr>
          <w:t>.: Pregled prihoda i rashoda proračunskih korisnika u ukupnom Proračunu u razdoblju 2019.-2024. i 1-6/2025. (€)</w:t>
        </w:r>
        <w:r>
          <w:rPr>
            <w:webHidden/>
          </w:rPr>
          <w:tab/>
        </w:r>
        <w:r>
          <w:rPr>
            <w:webHidden/>
          </w:rPr>
          <w:fldChar w:fldCharType="begin"/>
        </w:r>
        <w:r>
          <w:rPr>
            <w:webHidden/>
          </w:rPr>
          <w:instrText xml:space="preserve"> PAGEREF _Toc207706972 \h </w:instrText>
        </w:r>
        <w:r>
          <w:rPr>
            <w:webHidden/>
          </w:rPr>
        </w:r>
        <w:r>
          <w:rPr>
            <w:webHidden/>
          </w:rPr>
          <w:fldChar w:fldCharType="separate"/>
        </w:r>
        <w:r w:rsidR="00910987">
          <w:rPr>
            <w:webHidden/>
          </w:rPr>
          <w:t>21</w:t>
        </w:r>
        <w:r>
          <w:rPr>
            <w:webHidden/>
          </w:rPr>
          <w:fldChar w:fldCharType="end"/>
        </w:r>
      </w:hyperlink>
    </w:p>
    <w:p w14:paraId="414E1020" w14:textId="7E1CAFC5"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73" w:history="1">
        <w:r w:rsidRPr="003B3CFB">
          <w:rPr>
            <w:rStyle w:val="Hiperveza"/>
          </w:rPr>
          <w:t>Tablica 9</w:t>
        </w:r>
        <w:r w:rsidRPr="003B3CFB">
          <w:rPr>
            <w:rStyle w:val="Hiperveza"/>
            <w:rFonts w:ascii="Arial" w:hAnsi="Arial" w:cs="Arial"/>
          </w:rPr>
          <w:t>.: Pregled plana i udjela izvršenja proračuna za 1-6/2025.– Općina i zbirno proračunski korisnici (€)</w:t>
        </w:r>
        <w:r>
          <w:rPr>
            <w:webHidden/>
          </w:rPr>
          <w:tab/>
        </w:r>
        <w:r>
          <w:rPr>
            <w:webHidden/>
          </w:rPr>
          <w:fldChar w:fldCharType="begin"/>
        </w:r>
        <w:r>
          <w:rPr>
            <w:webHidden/>
          </w:rPr>
          <w:instrText xml:space="preserve"> PAGEREF _Toc207706973 \h </w:instrText>
        </w:r>
        <w:r>
          <w:rPr>
            <w:webHidden/>
          </w:rPr>
        </w:r>
        <w:r>
          <w:rPr>
            <w:webHidden/>
          </w:rPr>
          <w:fldChar w:fldCharType="separate"/>
        </w:r>
        <w:r w:rsidR="00910987">
          <w:rPr>
            <w:webHidden/>
          </w:rPr>
          <w:t>22</w:t>
        </w:r>
        <w:r>
          <w:rPr>
            <w:webHidden/>
          </w:rPr>
          <w:fldChar w:fldCharType="end"/>
        </w:r>
      </w:hyperlink>
    </w:p>
    <w:p w14:paraId="6ACD76CF" w14:textId="0D4F4117"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74" w:history="1">
        <w:r w:rsidRPr="003B3CFB">
          <w:rPr>
            <w:rStyle w:val="Hiperveza"/>
          </w:rPr>
          <w:t>Tablica 10</w:t>
        </w:r>
        <w:r w:rsidRPr="003B3CFB">
          <w:rPr>
            <w:rStyle w:val="Hiperveza"/>
            <w:rFonts w:ascii="Arial" w:hAnsi="Arial" w:cs="Arial"/>
          </w:rPr>
          <w:t>: Pregled planiranih i ostvarenih prihoda za 1-6/2025. - proračunski korisnici (pojedinačno) (€)</w:t>
        </w:r>
        <w:r>
          <w:rPr>
            <w:webHidden/>
          </w:rPr>
          <w:tab/>
        </w:r>
        <w:r>
          <w:rPr>
            <w:webHidden/>
          </w:rPr>
          <w:fldChar w:fldCharType="begin"/>
        </w:r>
        <w:r>
          <w:rPr>
            <w:webHidden/>
          </w:rPr>
          <w:instrText xml:space="preserve"> PAGEREF _Toc207706974 \h </w:instrText>
        </w:r>
        <w:r>
          <w:rPr>
            <w:webHidden/>
          </w:rPr>
        </w:r>
        <w:r>
          <w:rPr>
            <w:webHidden/>
          </w:rPr>
          <w:fldChar w:fldCharType="separate"/>
        </w:r>
        <w:r w:rsidR="00910987">
          <w:rPr>
            <w:webHidden/>
          </w:rPr>
          <w:t>23</w:t>
        </w:r>
        <w:r>
          <w:rPr>
            <w:webHidden/>
          </w:rPr>
          <w:fldChar w:fldCharType="end"/>
        </w:r>
      </w:hyperlink>
    </w:p>
    <w:p w14:paraId="6753E593" w14:textId="4CC77FA4"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75" w:history="1">
        <w:r w:rsidRPr="003B3CFB">
          <w:rPr>
            <w:rStyle w:val="Hiperveza"/>
          </w:rPr>
          <w:t>Tablica 11. :</w:t>
        </w:r>
        <w:r w:rsidRPr="003B3CFB">
          <w:rPr>
            <w:rStyle w:val="Hiperveza"/>
            <w:rFonts w:ascii="Arial" w:eastAsia="Calibri" w:hAnsi="Arial" w:cs="Arial"/>
          </w:rPr>
          <w:t xml:space="preserve">Pregled ostvarenih prihoda i primitaka u 1-6/2025.: proračunski korisnici </w:t>
        </w:r>
        <w:r w:rsidRPr="003B3CFB">
          <w:rPr>
            <w:rStyle w:val="Hiperveza"/>
            <w:rFonts w:ascii="Arial" w:hAnsi="Arial" w:cs="Arial"/>
          </w:rPr>
          <w:t>(pojedinačno), Općina (razina 22) i sveukupno (razina 23) (€)</w:t>
        </w:r>
        <w:r>
          <w:rPr>
            <w:webHidden/>
          </w:rPr>
          <w:tab/>
        </w:r>
        <w:r>
          <w:rPr>
            <w:webHidden/>
          </w:rPr>
          <w:fldChar w:fldCharType="begin"/>
        </w:r>
        <w:r>
          <w:rPr>
            <w:webHidden/>
          </w:rPr>
          <w:instrText xml:space="preserve"> PAGEREF _Toc207706975 \h </w:instrText>
        </w:r>
        <w:r>
          <w:rPr>
            <w:webHidden/>
          </w:rPr>
        </w:r>
        <w:r>
          <w:rPr>
            <w:webHidden/>
          </w:rPr>
          <w:fldChar w:fldCharType="separate"/>
        </w:r>
        <w:r w:rsidR="00910987">
          <w:rPr>
            <w:webHidden/>
          </w:rPr>
          <w:t>24</w:t>
        </w:r>
        <w:r>
          <w:rPr>
            <w:webHidden/>
          </w:rPr>
          <w:fldChar w:fldCharType="end"/>
        </w:r>
      </w:hyperlink>
    </w:p>
    <w:p w14:paraId="189B1458" w14:textId="5B6B2676"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76" w:history="1">
        <w:r w:rsidRPr="003B3CFB">
          <w:rPr>
            <w:rStyle w:val="Hiperveza"/>
          </w:rPr>
          <w:t xml:space="preserve">Tablica 12.: </w:t>
        </w:r>
        <w:r w:rsidRPr="003B3CFB">
          <w:rPr>
            <w:rStyle w:val="Hiperveza"/>
            <w:rFonts w:ascii="Arial" w:hAnsi="Arial" w:cs="Arial"/>
          </w:rPr>
          <w:t>Pregled planiranih i izvršenih rashoda u 1-6/2025. (€)- proračunski korisnici (pojedinačno)</w:t>
        </w:r>
        <w:r>
          <w:rPr>
            <w:webHidden/>
          </w:rPr>
          <w:tab/>
        </w:r>
        <w:r>
          <w:rPr>
            <w:webHidden/>
          </w:rPr>
          <w:fldChar w:fldCharType="begin"/>
        </w:r>
        <w:r>
          <w:rPr>
            <w:webHidden/>
          </w:rPr>
          <w:instrText xml:space="preserve"> PAGEREF _Toc207706976 \h </w:instrText>
        </w:r>
        <w:r>
          <w:rPr>
            <w:webHidden/>
          </w:rPr>
        </w:r>
        <w:r>
          <w:rPr>
            <w:webHidden/>
          </w:rPr>
          <w:fldChar w:fldCharType="separate"/>
        </w:r>
        <w:r w:rsidR="00910987">
          <w:rPr>
            <w:webHidden/>
          </w:rPr>
          <w:t>27</w:t>
        </w:r>
        <w:r>
          <w:rPr>
            <w:webHidden/>
          </w:rPr>
          <w:fldChar w:fldCharType="end"/>
        </w:r>
      </w:hyperlink>
    </w:p>
    <w:p w14:paraId="10682294" w14:textId="39B80E43"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77" w:history="1">
        <w:r w:rsidRPr="003B3CFB">
          <w:rPr>
            <w:rStyle w:val="Hiperveza"/>
          </w:rPr>
          <w:t xml:space="preserve">Tablica 13.: </w:t>
        </w:r>
        <w:r w:rsidRPr="003B3CFB">
          <w:rPr>
            <w:rStyle w:val="Hiperveza"/>
            <w:rFonts w:ascii="Arial" w:eastAsia="Calibri" w:hAnsi="Arial" w:cs="Arial"/>
          </w:rPr>
          <w:t>Pregled izvršenih rashoda i izdataka u 1-6/2025. (€): proračunski korisnici (pojedinačno), Općina (razina 22) i sveukupno (razina 23)</w:t>
        </w:r>
        <w:r>
          <w:rPr>
            <w:webHidden/>
          </w:rPr>
          <w:tab/>
        </w:r>
        <w:r>
          <w:rPr>
            <w:webHidden/>
          </w:rPr>
          <w:fldChar w:fldCharType="begin"/>
        </w:r>
        <w:r>
          <w:rPr>
            <w:webHidden/>
          </w:rPr>
          <w:instrText xml:space="preserve"> PAGEREF _Toc207706977 \h </w:instrText>
        </w:r>
        <w:r>
          <w:rPr>
            <w:webHidden/>
          </w:rPr>
        </w:r>
        <w:r>
          <w:rPr>
            <w:webHidden/>
          </w:rPr>
          <w:fldChar w:fldCharType="separate"/>
        </w:r>
        <w:r w:rsidR="00910987">
          <w:rPr>
            <w:webHidden/>
          </w:rPr>
          <w:t>28</w:t>
        </w:r>
        <w:r>
          <w:rPr>
            <w:webHidden/>
          </w:rPr>
          <w:fldChar w:fldCharType="end"/>
        </w:r>
      </w:hyperlink>
    </w:p>
    <w:p w14:paraId="06033A7F" w14:textId="7E3526F5"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78" w:history="1">
        <w:r w:rsidRPr="003B3CFB">
          <w:rPr>
            <w:rStyle w:val="Hiperveza"/>
          </w:rPr>
          <w:t xml:space="preserve">Tablica 14.: </w:t>
        </w:r>
        <w:r w:rsidRPr="003B3CFB">
          <w:rPr>
            <w:rStyle w:val="Hiperveza"/>
            <w:rFonts w:ascii="Arial" w:eastAsia="Calibri" w:hAnsi="Arial" w:cs="Arial"/>
          </w:rPr>
          <w:t>Rekapitulacija prihoda proračunskih korisnika u 1-6/2025. po izvorima financiranja (€) – prihodi iz općinskog proračuna i vlastiti prihodi</w:t>
        </w:r>
        <w:r>
          <w:rPr>
            <w:webHidden/>
          </w:rPr>
          <w:tab/>
        </w:r>
        <w:r>
          <w:rPr>
            <w:webHidden/>
          </w:rPr>
          <w:fldChar w:fldCharType="begin"/>
        </w:r>
        <w:r>
          <w:rPr>
            <w:webHidden/>
          </w:rPr>
          <w:instrText xml:space="preserve"> PAGEREF _Toc207706978 \h </w:instrText>
        </w:r>
        <w:r>
          <w:rPr>
            <w:webHidden/>
          </w:rPr>
        </w:r>
        <w:r>
          <w:rPr>
            <w:webHidden/>
          </w:rPr>
          <w:fldChar w:fldCharType="separate"/>
        </w:r>
        <w:r w:rsidR="00910987">
          <w:rPr>
            <w:webHidden/>
          </w:rPr>
          <w:t>33</w:t>
        </w:r>
        <w:r>
          <w:rPr>
            <w:webHidden/>
          </w:rPr>
          <w:fldChar w:fldCharType="end"/>
        </w:r>
      </w:hyperlink>
    </w:p>
    <w:p w14:paraId="44E7CC7D" w14:textId="0AFA80BC"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79" w:history="1">
        <w:r w:rsidRPr="003B3CFB">
          <w:rPr>
            <w:rStyle w:val="Hiperveza"/>
          </w:rPr>
          <w:t xml:space="preserve">Tablica 15.: </w:t>
        </w:r>
        <w:r w:rsidRPr="003B3CFB">
          <w:rPr>
            <w:rStyle w:val="Hiperveza"/>
            <w:rFonts w:ascii="Arial" w:hAnsi="Arial" w:cs="Arial"/>
            <w:iCs/>
          </w:rPr>
          <w:t>Pregled ostvarenih prihoda i primitaka u 1-6/2025. (€) te usporedba s ostvarenjem 1-6/2024. (razina 22 i razina 23) i planom za 2025.</w:t>
        </w:r>
        <w:r>
          <w:rPr>
            <w:webHidden/>
          </w:rPr>
          <w:tab/>
        </w:r>
        <w:r>
          <w:rPr>
            <w:webHidden/>
          </w:rPr>
          <w:fldChar w:fldCharType="begin"/>
        </w:r>
        <w:r>
          <w:rPr>
            <w:webHidden/>
          </w:rPr>
          <w:instrText xml:space="preserve"> PAGEREF _Toc207706979 \h </w:instrText>
        </w:r>
        <w:r>
          <w:rPr>
            <w:webHidden/>
          </w:rPr>
        </w:r>
        <w:r>
          <w:rPr>
            <w:webHidden/>
          </w:rPr>
          <w:fldChar w:fldCharType="separate"/>
        </w:r>
        <w:r w:rsidR="00910987">
          <w:rPr>
            <w:webHidden/>
          </w:rPr>
          <w:t>35</w:t>
        </w:r>
        <w:r>
          <w:rPr>
            <w:webHidden/>
          </w:rPr>
          <w:fldChar w:fldCharType="end"/>
        </w:r>
      </w:hyperlink>
    </w:p>
    <w:p w14:paraId="0B9CB3A7" w14:textId="17213990"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80" w:history="1">
        <w:r w:rsidRPr="003B3CFB">
          <w:rPr>
            <w:rStyle w:val="Hiperveza"/>
          </w:rPr>
          <w:t xml:space="preserve">Tablica 16.: </w:t>
        </w:r>
        <w:r w:rsidRPr="003B3CFB">
          <w:rPr>
            <w:rStyle w:val="Hiperveza"/>
            <w:rFonts w:ascii="Arial" w:hAnsi="Arial" w:cs="Arial"/>
            <w:iCs/>
          </w:rPr>
          <w:t>Pregled ostvarenih prihoda i primitaka za 1-6/2025. na razini razreda i skupine: Općina, zbirno proračunski korisnici i sveukupno Proračun (€)</w:t>
        </w:r>
        <w:r>
          <w:rPr>
            <w:webHidden/>
          </w:rPr>
          <w:tab/>
        </w:r>
        <w:r>
          <w:rPr>
            <w:webHidden/>
          </w:rPr>
          <w:fldChar w:fldCharType="begin"/>
        </w:r>
        <w:r>
          <w:rPr>
            <w:webHidden/>
          </w:rPr>
          <w:instrText xml:space="preserve"> PAGEREF _Toc207706980 \h </w:instrText>
        </w:r>
        <w:r>
          <w:rPr>
            <w:webHidden/>
          </w:rPr>
        </w:r>
        <w:r>
          <w:rPr>
            <w:webHidden/>
          </w:rPr>
          <w:fldChar w:fldCharType="separate"/>
        </w:r>
        <w:r w:rsidR="00910987">
          <w:rPr>
            <w:webHidden/>
          </w:rPr>
          <w:t>38</w:t>
        </w:r>
        <w:r>
          <w:rPr>
            <w:webHidden/>
          </w:rPr>
          <w:fldChar w:fldCharType="end"/>
        </w:r>
      </w:hyperlink>
    </w:p>
    <w:p w14:paraId="15A4B1C9" w14:textId="48785355"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81" w:history="1">
        <w:r w:rsidRPr="003B3CFB">
          <w:rPr>
            <w:rStyle w:val="Hiperveza"/>
          </w:rPr>
          <w:t xml:space="preserve">Tablica 17.: </w:t>
        </w:r>
        <w:r w:rsidRPr="003B3CFB">
          <w:rPr>
            <w:rStyle w:val="Hiperveza"/>
            <w:rFonts w:ascii="Arial" w:eastAsia="Calibri" w:hAnsi="Arial" w:cs="Arial"/>
          </w:rPr>
          <w:t>Rekapitulacija rashoda proračunskih korisnika u 1-6/2025. po izvorima financiranja (€)</w:t>
        </w:r>
        <w:r>
          <w:rPr>
            <w:webHidden/>
          </w:rPr>
          <w:tab/>
        </w:r>
        <w:r>
          <w:rPr>
            <w:webHidden/>
          </w:rPr>
          <w:fldChar w:fldCharType="begin"/>
        </w:r>
        <w:r>
          <w:rPr>
            <w:webHidden/>
          </w:rPr>
          <w:instrText xml:space="preserve"> PAGEREF _Toc207706981 \h </w:instrText>
        </w:r>
        <w:r>
          <w:rPr>
            <w:webHidden/>
          </w:rPr>
        </w:r>
        <w:r>
          <w:rPr>
            <w:webHidden/>
          </w:rPr>
          <w:fldChar w:fldCharType="separate"/>
        </w:r>
        <w:r w:rsidR="00910987">
          <w:rPr>
            <w:webHidden/>
          </w:rPr>
          <w:t>41</w:t>
        </w:r>
        <w:r>
          <w:rPr>
            <w:webHidden/>
          </w:rPr>
          <w:fldChar w:fldCharType="end"/>
        </w:r>
      </w:hyperlink>
    </w:p>
    <w:p w14:paraId="6A45349F" w14:textId="6A7D763C"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82" w:history="1">
        <w:r w:rsidRPr="003B3CFB">
          <w:rPr>
            <w:rStyle w:val="Hiperveza"/>
          </w:rPr>
          <w:t xml:space="preserve">Tablica 18.: </w:t>
        </w:r>
        <w:r w:rsidRPr="003B3CFB">
          <w:rPr>
            <w:rStyle w:val="Hiperveza"/>
            <w:rFonts w:ascii="Arial" w:hAnsi="Arial" w:cs="Arial"/>
            <w:iCs/>
          </w:rPr>
          <w:t>Pregled izvršenih rashoda i izdataka za 1-6/2025. te usporedba s izvršenjem za 1-6/2024. (razina 22 i razina 23) i planom za 2025. (€)</w:t>
        </w:r>
        <w:r>
          <w:rPr>
            <w:webHidden/>
          </w:rPr>
          <w:tab/>
        </w:r>
        <w:r>
          <w:rPr>
            <w:webHidden/>
          </w:rPr>
          <w:fldChar w:fldCharType="begin"/>
        </w:r>
        <w:r>
          <w:rPr>
            <w:webHidden/>
          </w:rPr>
          <w:instrText xml:space="preserve"> PAGEREF _Toc207706982 \h </w:instrText>
        </w:r>
        <w:r>
          <w:rPr>
            <w:webHidden/>
          </w:rPr>
        </w:r>
        <w:r>
          <w:rPr>
            <w:webHidden/>
          </w:rPr>
          <w:fldChar w:fldCharType="separate"/>
        </w:r>
        <w:r w:rsidR="00910987">
          <w:rPr>
            <w:webHidden/>
          </w:rPr>
          <w:t>44</w:t>
        </w:r>
        <w:r>
          <w:rPr>
            <w:webHidden/>
          </w:rPr>
          <w:fldChar w:fldCharType="end"/>
        </w:r>
      </w:hyperlink>
    </w:p>
    <w:p w14:paraId="7C00B856" w14:textId="7A5E14B0"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83" w:history="1">
        <w:r w:rsidRPr="003B3CFB">
          <w:rPr>
            <w:rStyle w:val="Hiperveza"/>
          </w:rPr>
          <w:t xml:space="preserve">Tablica 19.: </w:t>
        </w:r>
        <w:r w:rsidRPr="003B3CFB">
          <w:rPr>
            <w:rStyle w:val="Hiperveza"/>
            <w:rFonts w:ascii="Arial" w:hAnsi="Arial" w:cs="Arial"/>
            <w:iCs/>
          </w:rPr>
          <w:t>Pregled izvršenih rashoda i izdataka za 2024. na razini razreda i skupine (€): Općina, zbirno proračunski korisnici i sveukupno Proračun</w:t>
        </w:r>
        <w:r>
          <w:rPr>
            <w:webHidden/>
          </w:rPr>
          <w:tab/>
        </w:r>
        <w:r>
          <w:rPr>
            <w:webHidden/>
          </w:rPr>
          <w:fldChar w:fldCharType="begin"/>
        </w:r>
        <w:r>
          <w:rPr>
            <w:webHidden/>
          </w:rPr>
          <w:instrText xml:space="preserve"> PAGEREF _Toc207706983 \h </w:instrText>
        </w:r>
        <w:r>
          <w:rPr>
            <w:webHidden/>
          </w:rPr>
        </w:r>
        <w:r>
          <w:rPr>
            <w:webHidden/>
          </w:rPr>
          <w:fldChar w:fldCharType="separate"/>
        </w:r>
        <w:r w:rsidR="00910987">
          <w:rPr>
            <w:webHidden/>
          </w:rPr>
          <w:t>47</w:t>
        </w:r>
        <w:r>
          <w:rPr>
            <w:webHidden/>
          </w:rPr>
          <w:fldChar w:fldCharType="end"/>
        </w:r>
      </w:hyperlink>
    </w:p>
    <w:p w14:paraId="42ACAFC1" w14:textId="45E2C395"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84" w:history="1">
        <w:r w:rsidRPr="003B3CFB">
          <w:rPr>
            <w:rStyle w:val="Hiperveza"/>
          </w:rPr>
          <w:t xml:space="preserve">Tablica 20.: </w:t>
        </w:r>
        <w:r w:rsidRPr="003B3CFB">
          <w:rPr>
            <w:rStyle w:val="Hiperveza"/>
            <w:rFonts w:ascii="Arial" w:hAnsi="Arial" w:cs="Arial"/>
          </w:rPr>
          <w:t>Analitički prikaz računa financiranja za 1-6/2025.</w:t>
        </w:r>
        <w:r>
          <w:rPr>
            <w:webHidden/>
          </w:rPr>
          <w:tab/>
        </w:r>
        <w:r>
          <w:rPr>
            <w:webHidden/>
          </w:rPr>
          <w:fldChar w:fldCharType="begin"/>
        </w:r>
        <w:r>
          <w:rPr>
            <w:webHidden/>
          </w:rPr>
          <w:instrText xml:space="preserve"> PAGEREF _Toc207706984 \h </w:instrText>
        </w:r>
        <w:r>
          <w:rPr>
            <w:webHidden/>
          </w:rPr>
        </w:r>
        <w:r>
          <w:rPr>
            <w:webHidden/>
          </w:rPr>
          <w:fldChar w:fldCharType="separate"/>
        </w:r>
        <w:r w:rsidR="00910987">
          <w:rPr>
            <w:webHidden/>
          </w:rPr>
          <w:t>114</w:t>
        </w:r>
        <w:r>
          <w:rPr>
            <w:webHidden/>
          </w:rPr>
          <w:fldChar w:fldCharType="end"/>
        </w:r>
      </w:hyperlink>
    </w:p>
    <w:p w14:paraId="75DF6A55" w14:textId="768C858C"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85" w:history="1">
        <w:r w:rsidRPr="003B3CFB">
          <w:rPr>
            <w:rStyle w:val="Hiperveza"/>
          </w:rPr>
          <w:t xml:space="preserve">Tablica 21.: </w:t>
        </w:r>
        <w:r w:rsidRPr="003B3CFB">
          <w:rPr>
            <w:rStyle w:val="Hiperveza"/>
            <w:rFonts w:ascii="Arial" w:eastAsia="Calibri" w:hAnsi="Arial" w:cs="Arial"/>
          </w:rPr>
          <w:t>Pregled ostvarenih viškova i manjkova Općine i proračunskih korisnika u 1-6/2025.</w:t>
        </w:r>
        <w:r>
          <w:rPr>
            <w:webHidden/>
          </w:rPr>
          <w:tab/>
        </w:r>
        <w:r>
          <w:rPr>
            <w:webHidden/>
          </w:rPr>
          <w:fldChar w:fldCharType="begin"/>
        </w:r>
        <w:r>
          <w:rPr>
            <w:webHidden/>
          </w:rPr>
          <w:instrText xml:space="preserve"> PAGEREF _Toc207706985 \h </w:instrText>
        </w:r>
        <w:r>
          <w:rPr>
            <w:webHidden/>
          </w:rPr>
        </w:r>
        <w:r>
          <w:rPr>
            <w:webHidden/>
          </w:rPr>
          <w:fldChar w:fldCharType="separate"/>
        </w:r>
        <w:r w:rsidR="00910987">
          <w:rPr>
            <w:webHidden/>
          </w:rPr>
          <w:t>116</w:t>
        </w:r>
        <w:r>
          <w:rPr>
            <w:webHidden/>
          </w:rPr>
          <w:fldChar w:fldCharType="end"/>
        </w:r>
      </w:hyperlink>
    </w:p>
    <w:p w14:paraId="16FF3C50" w14:textId="0C51D477"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86" w:history="1">
        <w:r w:rsidRPr="003B3CFB">
          <w:rPr>
            <w:rStyle w:val="Hiperveza"/>
          </w:rPr>
          <w:t xml:space="preserve">Tablica 22.: </w:t>
        </w:r>
        <w:r w:rsidRPr="003B3CFB">
          <w:rPr>
            <w:rStyle w:val="Hiperveza"/>
            <w:rFonts w:ascii="Arial" w:hAnsi="Arial" w:cs="Arial"/>
          </w:rPr>
          <w:t>Proračun za razdoblje siječanj – lipanj 2025. po izvorima financiranja</w:t>
        </w:r>
        <w:r>
          <w:rPr>
            <w:webHidden/>
          </w:rPr>
          <w:tab/>
        </w:r>
        <w:r>
          <w:rPr>
            <w:webHidden/>
          </w:rPr>
          <w:fldChar w:fldCharType="begin"/>
        </w:r>
        <w:r>
          <w:rPr>
            <w:webHidden/>
          </w:rPr>
          <w:instrText xml:space="preserve"> PAGEREF _Toc207706986 \h </w:instrText>
        </w:r>
        <w:r>
          <w:rPr>
            <w:webHidden/>
          </w:rPr>
        </w:r>
        <w:r>
          <w:rPr>
            <w:webHidden/>
          </w:rPr>
          <w:fldChar w:fldCharType="separate"/>
        </w:r>
        <w:r w:rsidR="00910987">
          <w:rPr>
            <w:webHidden/>
          </w:rPr>
          <w:t>118</w:t>
        </w:r>
        <w:r>
          <w:rPr>
            <w:webHidden/>
          </w:rPr>
          <w:fldChar w:fldCharType="end"/>
        </w:r>
      </w:hyperlink>
    </w:p>
    <w:p w14:paraId="58B97F3C" w14:textId="41635435"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87" w:history="1">
        <w:r w:rsidRPr="003B3CFB">
          <w:rPr>
            <w:rStyle w:val="Hiperveza"/>
          </w:rPr>
          <w:t xml:space="preserve">Tablica 23.: </w:t>
        </w:r>
        <w:r w:rsidRPr="003B3CFB">
          <w:rPr>
            <w:rStyle w:val="Hiperveza"/>
            <w:rFonts w:ascii="Arial" w:hAnsi="Arial" w:cs="Arial"/>
          </w:rPr>
          <w:t>Izvršenje proračuna za razdoblje siječanj – lipanj 2025. po funkcijskoj klasifikaciji</w:t>
        </w:r>
        <w:r>
          <w:rPr>
            <w:webHidden/>
          </w:rPr>
          <w:tab/>
        </w:r>
        <w:r>
          <w:rPr>
            <w:webHidden/>
          </w:rPr>
          <w:fldChar w:fldCharType="begin"/>
        </w:r>
        <w:r>
          <w:rPr>
            <w:webHidden/>
          </w:rPr>
          <w:instrText xml:space="preserve"> PAGEREF _Toc207706987 \h </w:instrText>
        </w:r>
        <w:r>
          <w:rPr>
            <w:webHidden/>
          </w:rPr>
        </w:r>
        <w:r>
          <w:rPr>
            <w:webHidden/>
          </w:rPr>
          <w:fldChar w:fldCharType="separate"/>
        </w:r>
        <w:r w:rsidR="00910987">
          <w:rPr>
            <w:webHidden/>
          </w:rPr>
          <w:t>119</w:t>
        </w:r>
        <w:r>
          <w:rPr>
            <w:webHidden/>
          </w:rPr>
          <w:fldChar w:fldCharType="end"/>
        </w:r>
      </w:hyperlink>
    </w:p>
    <w:p w14:paraId="5F530726" w14:textId="5FFD7AAC"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88" w:history="1">
        <w:r w:rsidRPr="003B3CFB">
          <w:rPr>
            <w:rStyle w:val="Hiperveza"/>
          </w:rPr>
          <w:t xml:space="preserve">Tablica 24.: </w:t>
        </w:r>
        <w:r w:rsidRPr="003B3CFB">
          <w:rPr>
            <w:rStyle w:val="Hiperveza"/>
            <w:rFonts w:ascii="Arial" w:hAnsi="Arial" w:cs="Arial"/>
          </w:rPr>
          <w:t>Stanje novčanih sredstava na dan 30.06.2025.</w:t>
        </w:r>
        <w:r>
          <w:rPr>
            <w:webHidden/>
          </w:rPr>
          <w:tab/>
        </w:r>
        <w:r>
          <w:rPr>
            <w:webHidden/>
          </w:rPr>
          <w:fldChar w:fldCharType="begin"/>
        </w:r>
        <w:r>
          <w:rPr>
            <w:webHidden/>
          </w:rPr>
          <w:instrText xml:space="preserve"> PAGEREF _Toc207706988 \h </w:instrText>
        </w:r>
        <w:r>
          <w:rPr>
            <w:webHidden/>
          </w:rPr>
        </w:r>
        <w:r>
          <w:rPr>
            <w:webHidden/>
          </w:rPr>
          <w:fldChar w:fldCharType="separate"/>
        </w:r>
        <w:r w:rsidR="00910987">
          <w:rPr>
            <w:webHidden/>
          </w:rPr>
          <w:t>121</w:t>
        </w:r>
        <w:r>
          <w:rPr>
            <w:webHidden/>
          </w:rPr>
          <w:fldChar w:fldCharType="end"/>
        </w:r>
      </w:hyperlink>
    </w:p>
    <w:p w14:paraId="0F461B4B" w14:textId="3F2E1B54"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89" w:history="1">
        <w:r w:rsidRPr="003B3CFB">
          <w:rPr>
            <w:rStyle w:val="Hiperveza"/>
          </w:rPr>
          <w:t xml:space="preserve">Tablica 25.: </w:t>
        </w:r>
        <w:r w:rsidRPr="003B3CFB">
          <w:rPr>
            <w:rStyle w:val="Hiperveza"/>
            <w:rFonts w:ascii="Arial" w:hAnsi="Arial" w:cs="Arial"/>
          </w:rPr>
          <w:t>Prikaz utroška sredstava komunalne naknade i komunalnog doprinosa u 1-6/2025.</w:t>
        </w:r>
        <w:r>
          <w:rPr>
            <w:webHidden/>
          </w:rPr>
          <w:tab/>
        </w:r>
        <w:r>
          <w:rPr>
            <w:webHidden/>
          </w:rPr>
          <w:fldChar w:fldCharType="begin"/>
        </w:r>
        <w:r>
          <w:rPr>
            <w:webHidden/>
          </w:rPr>
          <w:instrText xml:space="preserve"> PAGEREF _Toc207706989 \h </w:instrText>
        </w:r>
        <w:r>
          <w:rPr>
            <w:webHidden/>
          </w:rPr>
        </w:r>
        <w:r>
          <w:rPr>
            <w:webHidden/>
          </w:rPr>
          <w:fldChar w:fldCharType="separate"/>
        </w:r>
        <w:r w:rsidR="00910987">
          <w:rPr>
            <w:webHidden/>
          </w:rPr>
          <w:t>123</w:t>
        </w:r>
        <w:r>
          <w:rPr>
            <w:webHidden/>
          </w:rPr>
          <w:fldChar w:fldCharType="end"/>
        </w:r>
      </w:hyperlink>
    </w:p>
    <w:p w14:paraId="0F91C199" w14:textId="02684B43"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90" w:history="1">
        <w:r w:rsidRPr="003B3CFB">
          <w:rPr>
            <w:rStyle w:val="Hiperveza"/>
          </w:rPr>
          <w:t xml:space="preserve">Tablica 26.: </w:t>
        </w:r>
        <w:r w:rsidRPr="003B3CFB">
          <w:rPr>
            <w:rStyle w:val="Hiperveza"/>
            <w:rFonts w:ascii="Arial" w:hAnsi="Arial" w:cs="Arial"/>
            <w:iCs/>
          </w:rPr>
          <w:t>Pregled primljenih dugoročnih kredita od kreditnih institucija</w:t>
        </w:r>
        <w:r>
          <w:rPr>
            <w:webHidden/>
          </w:rPr>
          <w:tab/>
        </w:r>
        <w:r>
          <w:rPr>
            <w:webHidden/>
          </w:rPr>
          <w:fldChar w:fldCharType="begin"/>
        </w:r>
        <w:r>
          <w:rPr>
            <w:webHidden/>
          </w:rPr>
          <w:instrText xml:space="preserve"> PAGEREF _Toc207706990 \h </w:instrText>
        </w:r>
        <w:r>
          <w:rPr>
            <w:webHidden/>
          </w:rPr>
        </w:r>
        <w:r>
          <w:rPr>
            <w:webHidden/>
          </w:rPr>
          <w:fldChar w:fldCharType="separate"/>
        </w:r>
        <w:r w:rsidR="00910987">
          <w:rPr>
            <w:webHidden/>
          </w:rPr>
          <w:t>216</w:t>
        </w:r>
        <w:r>
          <w:rPr>
            <w:webHidden/>
          </w:rPr>
          <w:fldChar w:fldCharType="end"/>
        </w:r>
      </w:hyperlink>
    </w:p>
    <w:p w14:paraId="65BCCAA5" w14:textId="2BF241C3"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91" w:history="1">
        <w:r w:rsidRPr="003B3CFB">
          <w:rPr>
            <w:rStyle w:val="Hiperveza"/>
          </w:rPr>
          <w:t>Tablica 27.:</w:t>
        </w:r>
        <w:r w:rsidRPr="003B3CFB">
          <w:rPr>
            <w:rStyle w:val="Hiperveza"/>
            <w:rFonts w:ascii="Arial" w:hAnsi="Arial" w:cs="Arial"/>
            <w:iCs/>
          </w:rPr>
          <w:t xml:space="preserve"> Pregled obveza po primljenim kreditima od financijskih institucija</w:t>
        </w:r>
        <w:r>
          <w:rPr>
            <w:webHidden/>
          </w:rPr>
          <w:tab/>
        </w:r>
        <w:r>
          <w:rPr>
            <w:webHidden/>
          </w:rPr>
          <w:fldChar w:fldCharType="begin"/>
        </w:r>
        <w:r>
          <w:rPr>
            <w:webHidden/>
          </w:rPr>
          <w:instrText xml:space="preserve"> PAGEREF _Toc207706991 \h </w:instrText>
        </w:r>
        <w:r>
          <w:rPr>
            <w:webHidden/>
          </w:rPr>
        </w:r>
        <w:r>
          <w:rPr>
            <w:webHidden/>
          </w:rPr>
          <w:fldChar w:fldCharType="separate"/>
        </w:r>
        <w:r w:rsidR="00910987">
          <w:rPr>
            <w:webHidden/>
          </w:rPr>
          <w:t>221</w:t>
        </w:r>
        <w:r>
          <w:rPr>
            <w:webHidden/>
          </w:rPr>
          <w:fldChar w:fldCharType="end"/>
        </w:r>
      </w:hyperlink>
    </w:p>
    <w:p w14:paraId="16B70166" w14:textId="12D771AE"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92" w:history="1">
        <w:r w:rsidRPr="003B3CFB">
          <w:rPr>
            <w:rStyle w:val="Hiperveza"/>
          </w:rPr>
          <w:t xml:space="preserve">Tablica 28.: </w:t>
        </w:r>
        <w:r w:rsidRPr="003B3CFB">
          <w:rPr>
            <w:rStyle w:val="Hiperveza"/>
            <w:rFonts w:ascii="Arial" w:hAnsi="Arial" w:cs="Arial"/>
            <w:iCs/>
          </w:rPr>
          <w:t>Pregled stanja obveza za kredite od financijskih institucija i iznosa otplata kredita u tekućoj i narednim godinama</w:t>
        </w:r>
        <w:r>
          <w:rPr>
            <w:webHidden/>
          </w:rPr>
          <w:tab/>
        </w:r>
        <w:r>
          <w:rPr>
            <w:webHidden/>
          </w:rPr>
          <w:fldChar w:fldCharType="begin"/>
        </w:r>
        <w:r>
          <w:rPr>
            <w:webHidden/>
          </w:rPr>
          <w:instrText xml:space="preserve"> PAGEREF _Toc207706992 \h </w:instrText>
        </w:r>
        <w:r>
          <w:rPr>
            <w:webHidden/>
          </w:rPr>
        </w:r>
        <w:r>
          <w:rPr>
            <w:webHidden/>
          </w:rPr>
          <w:fldChar w:fldCharType="separate"/>
        </w:r>
        <w:r w:rsidR="00910987">
          <w:rPr>
            <w:webHidden/>
          </w:rPr>
          <w:t>222</w:t>
        </w:r>
        <w:r>
          <w:rPr>
            <w:webHidden/>
          </w:rPr>
          <w:fldChar w:fldCharType="end"/>
        </w:r>
      </w:hyperlink>
    </w:p>
    <w:p w14:paraId="05BD5749" w14:textId="613EA3BB"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93" w:history="1">
        <w:r w:rsidRPr="003B3CFB">
          <w:rPr>
            <w:rStyle w:val="Hiperveza"/>
          </w:rPr>
          <w:t xml:space="preserve">Tablica 29: </w:t>
        </w:r>
        <w:r w:rsidRPr="003B3CFB">
          <w:rPr>
            <w:rStyle w:val="Hiperveza"/>
            <w:rFonts w:ascii="Arial" w:hAnsi="Arial" w:cs="Arial"/>
            <w:iCs/>
          </w:rPr>
          <w:t>Pregled obveza za beskamatne zajmove Općini iz državnog proračuna na dan 30.06.2025.</w:t>
        </w:r>
        <w:r>
          <w:rPr>
            <w:webHidden/>
          </w:rPr>
          <w:tab/>
        </w:r>
        <w:r>
          <w:rPr>
            <w:webHidden/>
          </w:rPr>
          <w:fldChar w:fldCharType="begin"/>
        </w:r>
        <w:r>
          <w:rPr>
            <w:webHidden/>
          </w:rPr>
          <w:instrText xml:space="preserve"> PAGEREF _Toc207706993 \h </w:instrText>
        </w:r>
        <w:r>
          <w:rPr>
            <w:webHidden/>
          </w:rPr>
        </w:r>
        <w:r>
          <w:rPr>
            <w:webHidden/>
          </w:rPr>
          <w:fldChar w:fldCharType="separate"/>
        </w:r>
        <w:r w:rsidR="00910987">
          <w:rPr>
            <w:webHidden/>
          </w:rPr>
          <w:t>224</w:t>
        </w:r>
        <w:r>
          <w:rPr>
            <w:webHidden/>
          </w:rPr>
          <w:fldChar w:fldCharType="end"/>
        </w:r>
      </w:hyperlink>
    </w:p>
    <w:p w14:paraId="4BCA4BF5" w14:textId="40EFEC9A"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94" w:history="1">
        <w:r w:rsidRPr="003B3CFB">
          <w:rPr>
            <w:rStyle w:val="Hiperveza"/>
          </w:rPr>
          <w:t xml:space="preserve">Tablica 30.: </w:t>
        </w:r>
        <w:r w:rsidRPr="003B3CFB">
          <w:rPr>
            <w:rStyle w:val="Hiperveza"/>
            <w:rFonts w:ascii="Arial" w:hAnsi="Arial" w:cs="Arial"/>
            <w:iCs/>
          </w:rPr>
          <w:t>Pregled obveza za beskamatne zajmove i iznos otplata zajmova u narednim godinama</w:t>
        </w:r>
        <w:r>
          <w:rPr>
            <w:webHidden/>
          </w:rPr>
          <w:tab/>
        </w:r>
        <w:r>
          <w:rPr>
            <w:webHidden/>
          </w:rPr>
          <w:fldChar w:fldCharType="begin"/>
        </w:r>
        <w:r>
          <w:rPr>
            <w:webHidden/>
          </w:rPr>
          <w:instrText xml:space="preserve"> PAGEREF _Toc207706994 \h </w:instrText>
        </w:r>
        <w:r>
          <w:rPr>
            <w:webHidden/>
          </w:rPr>
        </w:r>
        <w:r>
          <w:rPr>
            <w:webHidden/>
          </w:rPr>
          <w:fldChar w:fldCharType="separate"/>
        </w:r>
        <w:r w:rsidR="00910987">
          <w:rPr>
            <w:webHidden/>
          </w:rPr>
          <w:t>224</w:t>
        </w:r>
        <w:r>
          <w:rPr>
            <w:webHidden/>
          </w:rPr>
          <w:fldChar w:fldCharType="end"/>
        </w:r>
      </w:hyperlink>
    </w:p>
    <w:p w14:paraId="2AD0D7F0" w14:textId="7B4AB4FC"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95" w:history="1">
        <w:r w:rsidRPr="003B3CFB">
          <w:rPr>
            <w:rStyle w:val="Hiperveza"/>
          </w:rPr>
          <w:t xml:space="preserve">Tablica 31.: </w:t>
        </w:r>
        <w:r w:rsidRPr="003B3CFB">
          <w:rPr>
            <w:rStyle w:val="Hiperveza"/>
            <w:rFonts w:ascii="Arial" w:hAnsi="Arial" w:cs="Arial"/>
            <w:iCs/>
          </w:rPr>
          <w:t>Pregled izdanih jamstava u 2025.</w:t>
        </w:r>
        <w:r>
          <w:rPr>
            <w:webHidden/>
          </w:rPr>
          <w:tab/>
        </w:r>
        <w:r>
          <w:rPr>
            <w:webHidden/>
          </w:rPr>
          <w:fldChar w:fldCharType="begin"/>
        </w:r>
        <w:r>
          <w:rPr>
            <w:webHidden/>
          </w:rPr>
          <w:instrText xml:space="preserve"> PAGEREF _Toc207706995 \h </w:instrText>
        </w:r>
        <w:r>
          <w:rPr>
            <w:webHidden/>
          </w:rPr>
        </w:r>
        <w:r>
          <w:rPr>
            <w:webHidden/>
          </w:rPr>
          <w:fldChar w:fldCharType="separate"/>
        </w:r>
        <w:r w:rsidR="00910987">
          <w:rPr>
            <w:webHidden/>
          </w:rPr>
          <w:t>225</w:t>
        </w:r>
        <w:r>
          <w:rPr>
            <w:webHidden/>
          </w:rPr>
          <w:fldChar w:fldCharType="end"/>
        </w:r>
      </w:hyperlink>
    </w:p>
    <w:p w14:paraId="28F8D52D" w14:textId="4600C388"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96" w:history="1">
        <w:r w:rsidRPr="003B3CFB">
          <w:rPr>
            <w:rStyle w:val="Hiperveza"/>
          </w:rPr>
          <w:t xml:space="preserve">Tablica 32.: </w:t>
        </w:r>
        <w:r w:rsidRPr="003B3CFB">
          <w:rPr>
            <w:rStyle w:val="Hiperveza"/>
            <w:rFonts w:ascii="Arial" w:hAnsi="Arial" w:cs="Arial"/>
            <w:iCs/>
          </w:rPr>
          <w:t>Pregled aktivnih jamstava</w:t>
        </w:r>
        <w:r>
          <w:rPr>
            <w:webHidden/>
          </w:rPr>
          <w:tab/>
        </w:r>
        <w:r>
          <w:rPr>
            <w:webHidden/>
          </w:rPr>
          <w:fldChar w:fldCharType="begin"/>
        </w:r>
        <w:r>
          <w:rPr>
            <w:webHidden/>
          </w:rPr>
          <w:instrText xml:space="preserve"> PAGEREF _Toc207706996 \h </w:instrText>
        </w:r>
        <w:r>
          <w:rPr>
            <w:webHidden/>
          </w:rPr>
        </w:r>
        <w:r>
          <w:rPr>
            <w:webHidden/>
          </w:rPr>
          <w:fldChar w:fldCharType="separate"/>
        </w:r>
        <w:r w:rsidR="00910987">
          <w:rPr>
            <w:webHidden/>
          </w:rPr>
          <w:t>226</w:t>
        </w:r>
        <w:r>
          <w:rPr>
            <w:webHidden/>
          </w:rPr>
          <w:fldChar w:fldCharType="end"/>
        </w:r>
      </w:hyperlink>
    </w:p>
    <w:p w14:paraId="6D16E1A8" w14:textId="68A8CA7D"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97" w:history="1">
        <w:r w:rsidRPr="003B3CFB">
          <w:rPr>
            <w:rStyle w:val="Hiperveza"/>
          </w:rPr>
          <w:t xml:space="preserve">Tablica 33.: </w:t>
        </w:r>
        <w:r w:rsidRPr="003B3CFB">
          <w:rPr>
            <w:rStyle w:val="Hiperveza"/>
            <w:rFonts w:ascii="Arial" w:hAnsi="Arial" w:cs="Arial"/>
            <w:iCs/>
          </w:rPr>
          <w:t>Pregled protestiranih jamstava u 2025.</w:t>
        </w:r>
        <w:r>
          <w:rPr>
            <w:webHidden/>
          </w:rPr>
          <w:tab/>
        </w:r>
        <w:r>
          <w:rPr>
            <w:webHidden/>
          </w:rPr>
          <w:fldChar w:fldCharType="begin"/>
        </w:r>
        <w:r>
          <w:rPr>
            <w:webHidden/>
          </w:rPr>
          <w:instrText xml:space="preserve"> PAGEREF _Toc207706997 \h </w:instrText>
        </w:r>
        <w:r>
          <w:rPr>
            <w:webHidden/>
          </w:rPr>
        </w:r>
        <w:r>
          <w:rPr>
            <w:webHidden/>
          </w:rPr>
          <w:fldChar w:fldCharType="separate"/>
        </w:r>
        <w:r w:rsidR="00910987">
          <w:rPr>
            <w:webHidden/>
          </w:rPr>
          <w:t>227</w:t>
        </w:r>
        <w:r>
          <w:rPr>
            <w:webHidden/>
          </w:rPr>
          <w:fldChar w:fldCharType="end"/>
        </w:r>
      </w:hyperlink>
    </w:p>
    <w:p w14:paraId="21DBE0B8" w14:textId="26E2D214"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98" w:history="1">
        <w:r w:rsidRPr="003B3CFB">
          <w:rPr>
            <w:rStyle w:val="Hiperveza"/>
          </w:rPr>
          <w:t>Tablica 34</w:t>
        </w:r>
        <w:r w:rsidRPr="003B3CFB">
          <w:rPr>
            <w:rStyle w:val="Hiperveza"/>
            <w:rFonts w:ascii="T3Font_4" w:hAnsi="T3Font_4" w:cs="T3Font_4"/>
          </w:rPr>
          <w:t xml:space="preserve">.: </w:t>
        </w:r>
        <w:r w:rsidRPr="003B3CFB">
          <w:rPr>
            <w:rStyle w:val="Hiperveza"/>
          </w:rPr>
          <w:t>Pregled projekta sufinanciranih pomoćima EU, te uplate, prihodi i rashodi u 2025.</w:t>
        </w:r>
        <w:r>
          <w:rPr>
            <w:webHidden/>
          </w:rPr>
          <w:tab/>
        </w:r>
        <w:r>
          <w:rPr>
            <w:webHidden/>
          </w:rPr>
          <w:fldChar w:fldCharType="begin"/>
        </w:r>
        <w:r>
          <w:rPr>
            <w:webHidden/>
          </w:rPr>
          <w:instrText xml:space="preserve"> PAGEREF _Toc207706998 \h </w:instrText>
        </w:r>
        <w:r>
          <w:rPr>
            <w:webHidden/>
          </w:rPr>
        </w:r>
        <w:r>
          <w:rPr>
            <w:webHidden/>
          </w:rPr>
          <w:fldChar w:fldCharType="separate"/>
        </w:r>
        <w:r w:rsidR="00910987">
          <w:rPr>
            <w:webHidden/>
          </w:rPr>
          <w:t>234</w:t>
        </w:r>
        <w:r>
          <w:rPr>
            <w:webHidden/>
          </w:rPr>
          <w:fldChar w:fldCharType="end"/>
        </w:r>
      </w:hyperlink>
    </w:p>
    <w:p w14:paraId="0B48C1E6" w14:textId="705B4BD4"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6999" w:history="1">
        <w:r w:rsidRPr="003B3CFB">
          <w:rPr>
            <w:rStyle w:val="Hiperveza"/>
          </w:rPr>
          <w:t>Tablica 35</w:t>
        </w:r>
        <w:r w:rsidRPr="003B3CFB">
          <w:rPr>
            <w:rStyle w:val="Hiperveza"/>
            <w:rFonts w:ascii="T3Font_4" w:hAnsi="T3Font_4" w:cs="T3Font_4"/>
          </w:rPr>
          <w:t xml:space="preserve">.: </w:t>
        </w:r>
        <w:r w:rsidRPr="003B3CFB">
          <w:rPr>
            <w:rStyle w:val="Hiperveza"/>
          </w:rPr>
          <w:t>Pregled projekta sufinanciranih pomoćima EU, ugovoreno i uplaćeno ukupno od početka projekta do 30.06.2025.</w:t>
        </w:r>
        <w:r>
          <w:rPr>
            <w:webHidden/>
          </w:rPr>
          <w:tab/>
        </w:r>
        <w:r>
          <w:rPr>
            <w:webHidden/>
          </w:rPr>
          <w:fldChar w:fldCharType="begin"/>
        </w:r>
        <w:r>
          <w:rPr>
            <w:webHidden/>
          </w:rPr>
          <w:instrText xml:space="preserve"> PAGEREF _Toc207706999 \h </w:instrText>
        </w:r>
        <w:r>
          <w:rPr>
            <w:webHidden/>
          </w:rPr>
        </w:r>
        <w:r>
          <w:rPr>
            <w:webHidden/>
          </w:rPr>
          <w:fldChar w:fldCharType="separate"/>
        </w:r>
        <w:r w:rsidR="00910987">
          <w:rPr>
            <w:webHidden/>
          </w:rPr>
          <w:t>237</w:t>
        </w:r>
        <w:r>
          <w:rPr>
            <w:webHidden/>
          </w:rPr>
          <w:fldChar w:fldCharType="end"/>
        </w:r>
      </w:hyperlink>
    </w:p>
    <w:p w14:paraId="014339E0" w14:textId="326FEC6B"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00" w:history="1">
        <w:r w:rsidRPr="003B3CFB">
          <w:rPr>
            <w:rStyle w:val="Hiperveza"/>
          </w:rPr>
          <w:t xml:space="preserve">Tablica 36.: </w:t>
        </w:r>
        <w:r w:rsidRPr="003B3CFB">
          <w:rPr>
            <w:rStyle w:val="Hiperveza"/>
            <w:rFonts w:ascii="Arial" w:hAnsi="Arial" w:cs="Arial"/>
            <w:iCs/>
          </w:rPr>
          <w:t>Pregled potraživanja na dan 30.06.2025. – Općina i proračunski korisnici</w:t>
        </w:r>
        <w:r>
          <w:rPr>
            <w:webHidden/>
          </w:rPr>
          <w:tab/>
        </w:r>
        <w:r>
          <w:rPr>
            <w:webHidden/>
          </w:rPr>
          <w:fldChar w:fldCharType="begin"/>
        </w:r>
        <w:r>
          <w:rPr>
            <w:webHidden/>
          </w:rPr>
          <w:instrText xml:space="preserve"> PAGEREF _Toc207707000 \h </w:instrText>
        </w:r>
        <w:r>
          <w:rPr>
            <w:webHidden/>
          </w:rPr>
        </w:r>
        <w:r>
          <w:rPr>
            <w:webHidden/>
          </w:rPr>
          <w:fldChar w:fldCharType="separate"/>
        </w:r>
        <w:r w:rsidR="00910987">
          <w:rPr>
            <w:webHidden/>
          </w:rPr>
          <w:t>242</w:t>
        </w:r>
        <w:r>
          <w:rPr>
            <w:webHidden/>
          </w:rPr>
          <w:fldChar w:fldCharType="end"/>
        </w:r>
      </w:hyperlink>
    </w:p>
    <w:p w14:paraId="0B0FE506" w14:textId="0DE9B6CF"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01" w:history="1">
        <w:r w:rsidRPr="003B3CFB">
          <w:rPr>
            <w:rStyle w:val="Hiperveza"/>
          </w:rPr>
          <w:t xml:space="preserve">Tablica 37.: </w:t>
        </w:r>
        <w:r w:rsidRPr="003B3CFB">
          <w:rPr>
            <w:rStyle w:val="Hiperveza"/>
            <w:rFonts w:ascii="Arial" w:hAnsi="Arial" w:cs="Arial"/>
            <w:iCs/>
          </w:rPr>
          <w:t>Pregled stanja ukupnih obveza Općine i proračunskih korisnika, te nepodmirenih dospjelih obveza na dan 30.06.2025.</w:t>
        </w:r>
        <w:r>
          <w:rPr>
            <w:webHidden/>
          </w:rPr>
          <w:tab/>
        </w:r>
        <w:r>
          <w:rPr>
            <w:webHidden/>
          </w:rPr>
          <w:fldChar w:fldCharType="begin"/>
        </w:r>
        <w:r>
          <w:rPr>
            <w:webHidden/>
          </w:rPr>
          <w:instrText xml:space="preserve"> PAGEREF _Toc207707001 \h </w:instrText>
        </w:r>
        <w:r>
          <w:rPr>
            <w:webHidden/>
          </w:rPr>
        </w:r>
        <w:r>
          <w:rPr>
            <w:webHidden/>
          </w:rPr>
          <w:fldChar w:fldCharType="separate"/>
        </w:r>
        <w:r w:rsidR="00910987">
          <w:rPr>
            <w:webHidden/>
          </w:rPr>
          <w:t>246</w:t>
        </w:r>
        <w:r>
          <w:rPr>
            <w:webHidden/>
          </w:rPr>
          <w:fldChar w:fldCharType="end"/>
        </w:r>
      </w:hyperlink>
    </w:p>
    <w:p w14:paraId="7BD1D5D1" w14:textId="3A4A701B"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02" w:history="1">
        <w:r w:rsidRPr="003B3CFB">
          <w:rPr>
            <w:rStyle w:val="Hiperveza"/>
          </w:rPr>
          <w:t xml:space="preserve">Tablica 38.: </w:t>
        </w:r>
        <w:r w:rsidRPr="003B3CFB">
          <w:rPr>
            <w:rStyle w:val="Hiperveza"/>
            <w:rFonts w:ascii="Arial" w:hAnsi="Arial" w:cs="Arial"/>
            <w:iCs/>
          </w:rPr>
          <w:t>Pregled obveza proračunskih korisnika po dospjelosti na dan 30.06.2025.</w:t>
        </w:r>
        <w:r>
          <w:rPr>
            <w:webHidden/>
          </w:rPr>
          <w:tab/>
        </w:r>
        <w:r>
          <w:rPr>
            <w:webHidden/>
          </w:rPr>
          <w:fldChar w:fldCharType="begin"/>
        </w:r>
        <w:r>
          <w:rPr>
            <w:webHidden/>
          </w:rPr>
          <w:instrText xml:space="preserve"> PAGEREF _Toc207707002 \h </w:instrText>
        </w:r>
        <w:r>
          <w:rPr>
            <w:webHidden/>
          </w:rPr>
        </w:r>
        <w:r>
          <w:rPr>
            <w:webHidden/>
          </w:rPr>
          <w:fldChar w:fldCharType="separate"/>
        </w:r>
        <w:r w:rsidR="00910987">
          <w:rPr>
            <w:webHidden/>
          </w:rPr>
          <w:t>248</w:t>
        </w:r>
        <w:r>
          <w:rPr>
            <w:webHidden/>
          </w:rPr>
          <w:fldChar w:fldCharType="end"/>
        </w:r>
      </w:hyperlink>
    </w:p>
    <w:p w14:paraId="3C04B8F0" w14:textId="398BA872"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03" w:history="1">
        <w:r w:rsidRPr="003B3CFB">
          <w:rPr>
            <w:rStyle w:val="Hiperveza"/>
          </w:rPr>
          <w:t xml:space="preserve">Tablica 39.: </w:t>
        </w:r>
        <w:r w:rsidRPr="003B3CFB">
          <w:rPr>
            <w:rStyle w:val="Hiperveza"/>
            <w:rFonts w:ascii="Arial" w:hAnsi="Arial" w:cs="Arial"/>
            <w:iCs/>
          </w:rPr>
          <w:t>Pregled potencijalnih obveza Općine na dan 1.1.2025. (na temelju sudskih postupaka i upravnih postupaka)</w:t>
        </w:r>
        <w:r>
          <w:rPr>
            <w:webHidden/>
          </w:rPr>
          <w:tab/>
        </w:r>
        <w:r>
          <w:rPr>
            <w:webHidden/>
          </w:rPr>
          <w:fldChar w:fldCharType="begin"/>
        </w:r>
        <w:r>
          <w:rPr>
            <w:webHidden/>
          </w:rPr>
          <w:instrText xml:space="preserve"> PAGEREF _Toc207707003 \h </w:instrText>
        </w:r>
        <w:r>
          <w:rPr>
            <w:webHidden/>
          </w:rPr>
        </w:r>
        <w:r>
          <w:rPr>
            <w:webHidden/>
          </w:rPr>
          <w:fldChar w:fldCharType="separate"/>
        </w:r>
        <w:r w:rsidR="00910987">
          <w:rPr>
            <w:webHidden/>
          </w:rPr>
          <w:t>250</w:t>
        </w:r>
        <w:r>
          <w:rPr>
            <w:webHidden/>
          </w:rPr>
          <w:fldChar w:fldCharType="end"/>
        </w:r>
      </w:hyperlink>
    </w:p>
    <w:p w14:paraId="1C3790C1" w14:textId="0716D630"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04" w:history="1">
        <w:r w:rsidRPr="003B3CFB">
          <w:rPr>
            <w:rStyle w:val="Hiperveza"/>
          </w:rPr>
          <w:t xml:space="preserve">Tablica 40.: </w:t>
        </w:r>
        <w:r w:rsidRPr="003B3CFB">
          <w:rPr>
            <w:rStyle w:val="Hiperveza"/>
            <w:rFonts w:ascii="Arial" w:hAnsi="Arial" w:cs="Arial"/>
            <w:iCs/>
          </w:rPr>
          <w:t>Preraspodjele sredstava u proračunu za 2025.</w:t>
        </w:r>
        <w:r>
          <w:rPr>
            <w:webHidden/>
          </w:rPr>
          <w:tab/>
        </w:r>
        <w:r>
          <w:rPr>
            <w:webHidden/>
          </w:rPr>
          <w:fldChar w:fldCharType="begin"/>
        </w:r>
        <w:r>
          <w:rPr>
            <w:webHidden/>
          </w:rPr>
          <w:instrText xml:space="preserve"> PAGEREF _Toc207707004 \h </w:instrText>
        </w:r>
        <w:r>
          <w:rPr>
            <w:webHidden/>
          </w:rPr>
        </w:r>
        <w:r>
          <w:rPr>
            <w:webHidden/>
          </w:rPr>
          <w:fldChar w:fldCharType="separate"/>
        </w:r>
        <w:r w:rsidR="00910987">
          <w:rPr>
            <w:webHidden/>
          </w:rPr>
          <w:t>255</w:t>
        </w:r>
        <w:r>
          <w:rPr>
            <w:webHidden/>
          </w:rPr>
          <w:fldChar w:fldCharType="end"/>
        </w:r>
      </w:hyperlink>
    </w:p>
    <w:p w14:paraId="1AB8ED1E" w14:textId="7B700536"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05" w:history="1">
        <w:r w:rsidRPr="003B3CFB">
          <w:rPr>
            <w:rStyle w:val="Hiperveza"/>
          </w:rPr>
          <w:t xml:space="preserve">Tablica 41.: </w:t>
        </w:r>
        <w:r w:rsidRPr="003B3CFB">
          <w:rPr>
            <w:rStyle w:val="Hiperveza"/>
            <w:rFonts w:ascii="Arial" w:hAnsi="Arial" w:cs="Arial"/>
            <w:iCs/>
          </w:rPr>
          <w:t>Pregled danih suglasnosti za zaduživanje</w:t>
        </w:r>
        <w:r>
          <w:rPr>
            <w:webHidden/>
          </w:rPr>
          <w:tab/>
        </w:r>
        <w:r>
          <w:rPr>
            <w:webHidden/>
          </w:rPr>
          <w:fldChar w:fldCharType="begin"/>
        </w:r>
        <w:r>
          <w:rPr>
            <w:webHidden/>
          </w:rPr>
          <w:instrText xml:space="preserve"> PAGEREF _Toc207707005 \h </w:instrText>
        </w:r>
        <w:r>
          <w:rPr>
            <w:webHidden/>
          </w:rPr>
        </w:r>
        <w:r>
          <w:rPr>
            <w:webHidden/>
          </w:rPr>
          <w:fldChar w:fldCharType="separate"/>
        </w:r>
        <w:r w:rsidR="00910987">
          <w:rPr>
            <w:webHidden/>
          </w:rPr>
          <w:t>260</w:t>
        </w:r>
        <w:r>
          <w:rPr>
            <w:webHidden/>
          </w:rPr>
          <w:fldChar w:fldCharType="end"/>
        </w:r>
      </w:hyperlink>
    </w:p>
    <w:p w14:paraId="19843F61" w14:textId="436D69CC" w:rsidR="000B5489" w:rsidRPr="003A2F86" w:rsidRDefault="004C330F" w:rsidP="000B5489">
      <w:pPr>
        <w:rPr>
          <w:lang w:eastAsia="en-US"/>
        </w:rPr>
      </w:pPr>
      <w:r w:rsidRPr="00A27624">
        <w:rPr>
          <w:sz w:val="20"/>
          <w:szCs w:val="20"/>
          <w:lang w:eastAsia="en-US"/>
        </w:rPr>
        <w:fldChar w:fldCharType="end"/>
      </w:r>
    </w:p>
    <w:p w14:paraId="01803081" w14:textId="77777777" w:rsidR="000B5489" w:rsidRPr="003A2F86" w:rsidRDefault="000B5489">
      <w:pPr>
        <w:pStyle w:val="Naslov2"/>
        <w:numPr>
          <w:ilvl w:val="1"/>
          <w:numId w:val="26"/>
        </w:numPr>
        <w:jc w:val="center"/>
        <w:rPr>
          <w:rFonts w:ascii="Arial" w:hAnsi="Arial" w:cs="Arial"/>
          <w:sz w:val="22"/>
          <w:lang w:val="hr-HR"/>
        </w:rPr>
      </w:pPr>
      <w:bookmarkStart w:id="509" w:name="_Toc207707507"/>
      <w:r w:rsidRPr="003A2F86">
        <w:rPr>
          <w:rFonts w:ascii="Arial" w:hAnsi="Arial" w:cs="Arial"/>
          <w:sz w:val="22"/>
          <w:lang w:val="hr-HR"/>
        </w:rPr>
        <w:t>POPIS GRAFOVA</w:t>
      </w:r>
      <w:bookmarkEnd w:id="509"/>
    </w:p>
    <w:p w14:paraId="2DD16FB0" w14:textId="77777777" w:rsidR="000B5489" w:rsidRPr="003A2F86" w:rsidRDefault="000B5489" w:rsidP="00891119">
      <w:pPr>
        <w:widowControl w:val="0"/>
        <w:autoSpaceDE w:val="0"/>
        <w:autoSpaceDN w:val="0"/>
        <w:adjustRightInd w:val="0"/>
        <w:spacing w:after="0" w:line="144" w:lineRule="atLeast"/>
        <w:rPr>
          <w:rFonts w:ascii="Arial" w:eastAsia="Calibri" w:hAnsi="Arial" w:cs="Arial"/>
        </w:rPr>
      </w:pPr>
    </w:p>
    <w:p w14:paraId="0DD93152" w14:textId="6D578CDC" w:rsidR="00DF62B7" w:rsidRDefault="008456D6">
      <w:pPr>
        <w:pStyle w:val="Tablicaslika"/>
        <w:rPr>
          <w:rFonts w:asciiTheme="minorHAnsi" w:eastAsiaTheme="minorEastAsia" w:hAnsiTheme="minorHAnsi" w:cstheme="minorBidi"/>
          <w:kern w:val="2"/>
          <w:sz w:val="24"/>
          <w:szCs w:val="24"/>
          <w:lang w:eastAsia="hr-HR"/>
          <w14:ligatures w14:val="standardContextual"/>
        </w:rPr>
      </w:pPr>
      <w:r w:rsidRPr="00A27624">
        <w:rPr>
          <w:rFonts w:eastAsia="Calibri" w:cs="Arial"/>
          <w:sz w:val="20"/>
          <w:szCs w:val="18"/>
        </w:rPr>
        <w:fldChar w:fldCharType="begin"/>
      </w:r>
      <w:r w:rsidRPr="00A27624">
        <w:rPr>
          <w:rFonts w:eastAsia="Calibri" w:cs="Arial"/>
          <w:sz w:val="20"/>
          <w:szCs w:val="18"/>
        </w:rPr>
        <w:instrText xml:space="preserve"> TOC \h \z \c "Graf" </w:instrText>
      </w:r>
      <w:r w:rsidRPr="00A27624">
        <w:rPr>
          <w:rFonts w:eastAsia="Calibri" w:cs="Arial"/>
          <w:sz w:val="20"/>
          <w:szCs w:val="18"/>
        </w:rPr>
        <w:fldChar w:fldCharType="separate"/>
      </w:r>
      <w:hyperlink w:anchor="_Toc207707006" w:history="1">
        <w:r w:rsidR="00DF62B7" w:rsidRPr="00DF41EF">
          <w:rPr>
            <w:rStyle w:val="Hiperveza"/>
          </w:rPr>
          <w:t>Graf 1.:</w:t>
        </w:r>
        <w:r w:rsidR="00DF62B7" w:rsidRPr="00DF41EF">
          <w:rPr>
            <w:rStyle w:val="Hiperveza"/>
            <w:rFonts w:ascii="Arial" w:hAnsi="Arial" w:cs="Arial"/>
          </w:rPr>
          <w:t>Struktura ostvarenih prihoda i primitaka proračuna u razdoblju 2015.-2024. i 1-6/2025.: Općina i zbirno proračunski korisnici Općine (PK)</w:t>
        </w:r>
        <w:r w:rsidR="00DF62B7">
          <w:rPr>
            <w:webHidden/>
          </w:rPr>
          <w:tab/>
        </w:r>
        <w:r w:rsidR="00DF62B7">
          <w:rPr>
            <w:webHidden/>
          </w:rPr>
          <w:fldChar w:fldCharType="begin"/>
        </w:r>
        <w:r w:rsidR="00DF62B7">
          <w:rPr>
            <w:webHidden/>
          </w:rPr>
          <w:instrText xml:space="preserve"> PAGEREF _Toc207707006 \h </w:instrText>
        </w:r>
        <w:r w:rsidR="00DF62B7">
          <w:rPr>
            <w:webHidden/>
          </w:rPr>
        </w:r>
        <w:r w:rsidR="00DF62B7">
          <w:rPr>
            <w:webHidden/>
          </w:rPr>
          <w:fldChar w:fldCharType="separate"/>
        </w:r>
        <w:r w:rsidR="00910987">
          <w:rPr>
            <w:webHidden/>
          </w:rPr>
          <w:t>14</w:t>
        </w:r>
        <w:r w:rsidR="00DF62B7">
          <w:rPr>
            <w:webHidden/>
          </w:rPr>
          <w:fldChar w:fldCharType="end"/>
        </w:r>
      </w:hyperlink>
    </w:p>
    <w:p w14:paraId="6045C265" w14:textId="3CF2C9DA"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07" w:history="1">
        <w:r w:rsidRPr="00DF41EF">
          <w:rPr>
            <w:rStyle w:val="Hiperveza"/>
          </w:rPr>
          <w:t xml:space="preserve">Graf 2.: </w:t>
        </w:r>
        <w:r w:rsidRPr="00DF41EF">
          <w:rPr>
            <w:rStyle w:val="Hiperveza"/>
            <w:rFonts w:ascii="Arial" w:hAnsi="Arial" w:cs="Arial"/>
          </w:rPr>
          <w:t>Struktura izvršenih rashoda i izdataka proračuna u razdoblju 2015.-2024. i 6/2025.: Općina i zbirno proračunski korisnici Općine (PK)</w:t>
        </w:r>
        <w:r>
          <w:rPr>
            <w:webHidden/>
          </w:rPr>
          <w:tab/>
        </w:r>
        <w:r>
          <w:rPr>
            <w:webHidden/>
          </w:rPr>
          <w:fldChar w:fldCharType="begin"/>
        </w:r>
        <w:r>
          <w:rPr>
            <w:webHidden/>
          </w:rPr>
          <w:instrText xml:space="preserve"> PAGEREF _Toc207707007 \h </w:instrText>
        </w:r>
        <w:r>
          <w:rPr>
            <w:webHidden/>
          </w:rPr>
        </w:r>
        <w:r>
          <w:rPr>
            <w:webHidden/>
          </w:rPr>
          <w:fldChar w:fldCharType="separate"/>
        </w:r>
        <w:r w:rsidR="00910987">
          <w:rPr>
            <w:webHidden/>
          </w:rPr>
          <w:t>14</w:t>
        </w:r>
        <w:r>
          <w:rPr>
            <w:webHidden/>
          </w:rPr>
          <w:fldChar w:fldCharType="end"/>
        </w:r>
      </w:hyperlink>
    </w:p>
    <w:p w14:paraId="6F3F91F4" w14:textId="4E45D6D3"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08" w:history="1">
        <w:r w:rsidRPr="00DF41EF">
          <w:rPr>
            <w:rStyle w:val="Hiperveza"/>
          </w:rPr>
          <w:t>Graf 3.: Struktura ostvarenih vlastitih prihoda i primitaka Proračuna u 1-6/2025. (€)– Općina i pojedinačno proračunski korisnici</w:t>
        </w:r>
        <w:r>
          <w:rPr>
            <w:webHidden/>
          </w:rPr>
          <w:tab/>
        </w:r>
        <w:r>
          <w:rPr>
            <w:webHidden/>
          </w:rPr>
          <w:fldChar w:fldCharType="begin"/>
        </w:r>
        <w:r>
          <w:rPr>
            <w:webHidden/>
          </w:rPr>
          <w:instrText xml:space="preserve"> PAGEREF _Toc207707008 \h </w:instrText>
        </w:r>
        <w:r>
          <w:rPr>
            <w:webHidden/>
          </w:rPr>
        </w:r>
        <w:r>
          <w:rPr>
            <w:webHidden/>
          </w:rPr>
          <w:fldChar w:fldCharType="separate"/>
        </w:r>
        <w:r w:rsidR="00910987">
          <w:rPr>
            <w:webHidden/>
          </w:rPr>
          <w:t>26</w:t>
        </w:r>
        <w:r>
          <w:rPr>
            <w:webHidden/>
          </w:rPr>
          <w:fldChar w:fldCharType="end"/>
        </w:r>
      </w:hyperlink>
    </w:p>
    <w:p w14:paraId="74CF21BE" w14:textId="45798873"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09" w:history="1">
        <w:r w:rsidRPr="00DF41EF">
          <w:rPr>
            <w:rStyle w:val="Hiperveza"/>
          </w:rPr>
          <w:t xml:space="preserve">Graf 4.: </w:t>
        </w:r>
        <w:r w:rsidRPr="00DF41EF">
          <w:rPr>
            <w:rStyle w:val="Hiperveza"/>
            <w:rFonts w:ascii="Arial" w:hAnsi="Arial" w:cs="Arial"/>
          </w:rPr>
          <w:t>Struktura izvršenih rashoda i izdataka Proračuna u 1-6/2025. – Općina i pojedinačno proračunski korisnici</w:t>
        </w:r>
        <w:r>
          <w:rPr>
            <w:webHidden/>
          </w:rPr>
          <w:tab/>
        </w:r>
        <w:r>
          <w:rPr>
            <w:webHidden/>
          </w:rPr>
          <w:fldChar w:fldCharType="begin"/>
        </w:r>
        <w:r>
          <w:rPr>
            <w:webHidden/>
          </w:rPr>
          <w:instrText xml:space="preserve"> PAGEREF _Toc207707009 \h </w:instrText>
        </w:r>
        <w:r>
          <w:rPr>
            <w:webHidden/>
          </w:rPr>
        </w:r>
        <w:r>
          <w:rPr>
            <w:webHidden/>
          </w:rPr>
          <w:fldChar w:fldCharType="separate"/>
        </w:r>
        <w:r w:rsidR="00910987">
          <w:rPr>
            <w:webHidden/>
          </w:rPr>
          <w:t>29</w:t>
        </w:r>
        <w:r>
          <w:rPr>
            <w:webHidden/>
          </w:rPr>
          <w:fldChar w:fldCharType="end"/>
        </w:r>
      </w:hyperlink>
    </w:p>
    <w:p w14:paraId="494E69A3" w14:textId="29A50C57"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10" w:history="1">
        <w:r w:rsidRPr="00DF41EF">
          <w:rPr>
            <w:rStyle w:val="Hiperveza"/>
            <w:rFonts w:ascii="Arial" w:hAnsi="Arial" w:cs="Arial"/>
          </w:rPr>
          <w:t>Graf 5.:</w:t>
        </w:r>
        <w:r w:rsidRPr="00DF41EF">
          <w:rPr>
            <w:rStyle w:val="Hiperveza"/>
          </w:rPr>
          <w:t xml:space="preserve"> </w:t>
        </w:r>
        <w:r w:rsidRPr="00DF41EF">
          <w:rPr>
            <w:rStyle w:val="Hiperveza"/>
            <w:rFonts w:ascii="Arial" w:hAnsi="Arial" w:cs="Arial"/>
          </w:rPr>
          <w:t>Struktura ostvarenih prihoda i primitaka Proračuna u 1-6/2025.</w:t>
        </w:r>
        <w:r w:rsidRPr="00DF41EF">
          <w:rPr>
            <w:rStyle w:val="Hiperveza"/>
            <w:rFonts w:eastAsiaTheme="minorHAnsi"/>
            <w:lang w:eastAsia="hr-HR"/>
          </w:rPr>
          <w:t xml:space="preserve"> </w:t>
        </w:r>
        <w:r w:rsidRPr="00DF41EF">
          <w:rPr>
            <w:rStyle w:val="Hiperveza"/>
            <w:rFonts w:ascii="Arial" w:hAnsi="Arial" w:cs="Arial"/>
          </w:rPr>
          <w:t>po korisnicima (€): Općina, te proračunski korisnici zbirno i pojedinačno</w:t>
        </w:r>
        <w:r>
          <w:rPr>
            <w:webHidden/>
          </w:rPr>
          <w:tab/>
        </w:r>
        <w:r>
          <w:rPr>
            <w:webHidden/>
          </w:rPr>
          <w:fldChar w:fldCharType="begin"/>
        </w:r>
        <w:r>
          <w:rPr>
            <w:webHidden/>
          </w:rPr>
          <w:instrText xml:space="preserve"> PAGEREF _Toc207707010 \h </w:instrText>
        </w:r>
        <w:r>
          <w:rPr>
            <w:webHidden/>
          </w:rPr>
        </w:r>
        <w:r>
          <w:rPr>
            <w:webHidden/>
          </w:rPr>
          <w:fldChar w:fldCharType="separate"/>
        </w:r>
        <w:r w:rsidR="00910987">
          <w:rPr>
            <w:webHidden/>
          </w:rPr>
          <w:t>32</w:t>
        </w:r>
        <w:r>
          <w:rPr>
            <w:webHidden/>
          </w:rPr>
          <w:fldChar w:fldCharType="end"/>
        </w:r>
      </w:hyperlink>
    </w:p>
    <w:p w14:paraId="6037768B" w14:textId="48FAC8FF"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11" w:history="1">
        <w:r w:rsidRPr="00DF41EF">
          <w:rPr>
            <w:rStyle w:val="Hiperveza"/>
          </w:rPr>
          <w:t xml:space="preserve">Graf 6.: </w:t>
        </w:r>
        <w:r w:rsidRPr="00DF41EF">
          <w:rPr>
            <w:rStyle w:val="Hiperveza"/>
            <w:rFonts w:ascii="Arial" w:hAnsi="Arial" w:cs="Arial"/>
          </w:rPr>
          <w:t>Struktura ostvarenih prihoda i primitaka Proračuna u 1-6/2025. po ekonomskoj klasifikaciji (€): sveukupno Općina i proračunski korisnici</w:t>
        </w:r>
        <w:r>
          <w:rPr>
            <w:webHidden/>
          </w:rPr>
          <w:tab/>
        </w:r>
        <w:r>
          <w:rPr>
            <w:webHidden/>
          </w:rPr>
          <w:fldChar w:fldCharType="begin"/>
        </w:r>
        <w:r>
          <w:rPr>
            <w:webHidden/>
          </w:rPr>
          <w:instrText xml:space="preserve"> PAGEREF _Toc207707011 \h </w:instrText>
        </w:r>
        <w:r>
          <w:rPr>
            <w:webHidden/>
          </w:rPr>
        </w:r>
        <w:r>
          <w:rPr>
            <w:webHidden/>
          </w:rPr>
          <w:fldChar w:fldCharType="separate"/>
        </w:r>
        <w:r w:rsidR="00910987">
          <w:rPr>
            <w:webHidden/>
          </w:rPr>
          <w:t>37</w:t>
        </w:r>
        <w:r>
          <w:rPr>
            <w:webHidden/>
          </w:rPr>
          <w:fldChar w:fldCharType="end"/>
        </w:r>
      </w:hyperlink>
    </w:p>
    <w:p w14:paraId="4ACB94A7" w14:textId="39A9A85E"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12" w:history="1">
        <w:r w:rsidRPr="00DF41EF">
          <w:rPr>
            <w:rStyle w:val="Hiperveza"/>
          </w:rPr>
          <w:t xml:space="preserve">Graf 7.: </w:t>
        </w:r>
        <w:r w:rsidRPr="00DF41EF">
          <w:rPr>
            <w:rStyle w:val="Hiperveza"/>
            <w:rFonts w:ascii="Arial" w:hAnsi="Arial" w:cs="Arial"/>
          </w:rPr>
          <w:t>Struktura izvršenih rashoda i izdataka Proračuna u 1-6/2025. po korisnicima (€): Općina, te proračunski korisnici zbirno i pojedinačno</w:t>
        </w:r>
        <w:r>
          <w:rPr>
            <w:webHidden/>
          </w:rPr>
          <w:tab/>
        </w:r>
        <w:r>
          <w:rPr>
            <w:webHidden/>
          </w:rPr>
          <w:fldChar w:fldCharType="begin"/>
        </w:r>
        <w:r>
          <w:rPr>
            <w:webHidden/>
          </w:rPr>
          <w:instrText xml:space="preserve"> PAGEREF _Toc207707012 \h </w:instrText>
        </w:r>
        <w:r>
          <w:rPr>
            <w:webHidden/>
          </w:rPr>
        </w:r>
        <w:r>
          <w:rPr>
            <w:webHidden/>
          </w:rPr>
          <w:fldChar w:fldCharType="separate"/>
        </w:r>
        <w:r w:rsidR="00910987">
          <w:rPr>
            <w:webHidden/>
          </w:rPr>
          <w:t>40</w:t>
        </w:r>
        <w:r>
          <w:rPr>
            <w:webHidden/>
          </w:rPr>
          <w:fldChar w:fldCharType="end"/>
        </w:r>
      </w:hyperlink>
    </w:p>
    <w:p w14:paraId="7F12A28E" w14:textId="503CF2E7"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13" w:history="1">
        <w:r w:rsidRPr="00DF41EF">
          <w:rPr>
            <w:rStyle w:val="Hiperveza"/>
          </w:rPr>
          <w:t>Graf 8.: Struktura izvršenih rashoda i izdataka Proračuna u 1-6/2025. po ekonomskoj klasifikaciji (€) : sveukupno Općina i proračunski korisnici</w:t>
        </w:r>
        <w:r>
          <w:rPr>
            <w:webHidden/>
          </w:rPr>
          <w:tab/>
        </w:r>
        <w:r>
          <w:rPr>
            <w:webHidden/>
          </w:rPr>
          <w:fldChar w:fldCharType="begin"/>
        </w:r>
        <w:r>
          <w:rPr>
            <w:webHidden/>
          </w:rPr>
          <w:instrText xml:space="preserve"> PAGEREF _Toc207707013 \h </w:instrText>
        </w:r>
        <w:r>
          <w:rPr>
            <w:webHidden/>
          </w:rPr>
        </w:r>
        <w:r>
          <w:rPr>
            <w:webHidden/>
          </w:rPr>
          <w:fldChar w:fldCharType="separate"/>
        </w:r>
        <w:r w:rsidR="00910987">
          <w:rPr>
            <w:webHidden/>
          </w:rPr>
          <w:t>42</w:t>
        </w:r>
        <w:r>
          <w:rPr>
            <w:webHidden/>
          </w:rPr>
          <w:fldChar w:fldCharType="end"/>
        </w:r>
      </w:hyperlink>
    </w:p>
    <w:p w14:paraId="08F32444" w14:textId="168A1F23"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14" w:history="1">
        <w:r w:rsidRPr="00DF41EF">
          <w:rPr>
            <w:rStyle w:val="Hiperveza"/>
          </w:rPr>
          <w:t xml:space="preserve">Graf 9.: </w:t>
        </w:r>
        <w:r w:rsidRPr="00DF41EF">
          <w:rPr>
            <w:rStyle w:val="Hiperveza"/>
            <w:rFonts w:ascii="Arial" w:hAnsi="Arial" w:cs="Arial"/>
          </w:rPr>
          <w:t>Usporedni prikaz ostvarenih prihoda poslovanja (6) u razdoblju 2010.-2024. i 1-6/2025. (€), Općina bez prihoda proračunskih korisnika</w:t>
        </w:r>
        <w:r>
          <w:rPr>
            <w:webHidden/>
          </w:rPr>
          <w:tab/>
        </w:r>
        <w:r>
          <w:rPr>
            <w:webHidden/>
          </w:rPr>
          <w:fldChar w:fldCharType="begin"/>
        </w:r>
        <w:r>
          <w:rPr>
            <w:webHidden/>
          </w:rPr>
          <w:instrText xml:space="preserve"> PAGEREF _Toc207707014 \h </w:instrText>
        </w:r>
        <w:r>
          <w:rPr>
            <w:webHidden/>
          </w:rPr>
        </w:r>
        <w:r>
          <w:rPr>
            <w:webHidden/>
          </w:rPr>
          <w:fldChar w:fldCharType="separate"/>
        </w:r>
        <w:r w:rsidR="00910987">
          <w:rPr>
            <w:webHidden/>
          </w:rPr>
          <w:t>50</w:t>
        </w:r>
        <w:r>
          <w:rPr>
            <w:webHidden/>
          </w:rPr>
          <w:fldChar w:fldCharType="end"/>
        </w:r>
      </w:hyperlink>
    </w:p>
    <w:p w14:paraId="72C2EFC9" w14:textId="6B1619B7"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15" w:history="1">
        <w:r w:rsidRPr="00DF41EF">
          <w:rPr>
            <w:rStyle w:val="Hiperveza"/>
          </w:rPr>
          <w:t xml:space="preserve">Graf 10.: </w:t>
        </w:r>
        <w:r w:rsidRPr="00DF41EF">
          <w:rPr>
            <w:rStyle w:val="Hiperveza"/>
            <w:rFonts w:ascii="Arial" w:hAnsi="Arial" w:cs="Arial"/>
          </w:rPr>
          <w:t>Struktura ostvarenih prihoda od poreza (61) u 1-6/2025. (€)</w:t>
        </w:r>
        <w:r>
          <w:rPr>
            <w:webHidden/>
          </w:rPr>
          <w:tab/>
        </w:r>
        <w:r>
          <w:rPr>
            <w:webHidden/>
          </w:rPr>
          <w:fldChar w:fldCharType="begin"/>
        </w:r>
        <w:r>
          <w:rPr>
            <w:webHidden/>
          </w:rPr>
          <w:instrText xml:space="preserve"> PAGEREF _Toc207707015 \h </w:instrText>
        </w:r>
        <w:r>
          <w:rPr>
            <w:webHidden/>
          </w:rPr>
        </w:r>
        <w:r>
          <w:rPr>
            <w:webHidden/>
          </w:rPr>
          <w:fldChar w:fldCharType="separate"/>
        </w:r>
        <w:r w:rsidR="00910987">
          <w:rPr>
            <w:webHidden/>
          </w:rPr>
          <w:t>51</w:t>
        </w:r>
        <w:r>
          <w:rPr>
            <w:webHidden/>
          </w:rPr>
          <w:fldChar w:fldCharType="end"/>
        </w:r>
      </w:hyperlink>
    </w:p>
    <w:p w14:paraId="3B75DCDE" w14:textId="01BEAA27"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16" w:history="1">
        <w:r w:rsidRPr="00DF41EF">
          <w:rPr>
            <w:rStyle w:val="Hiperveza"/>
          </w:rPr>
          <w:t xml:space="preserve">Graf 11.: </w:t>
        </w:r>
        <w:r w:rsidRPr="00DF41EF">
          <w:rPr>
            <w:rStyle w:val="Hiperveza"/>
            <w:rFonts w:ascii="Arial" w:hAnsi="Arial" w:cs="Arial"/>
          </w:rPr>
          <w:t>Prihodi od poreza i prireza na dohodak (611) u razdoblju 2010.-2024. i 1-6/2025. (€)</w:t>
        </w:r>
        <w:r>
          <w:rPr>
            <w:webHidden/>
          </w:rPr>
          <w:tab/>
        </w:r>
        <w:r>
          <w:rPr>
            <w:webHidden/>
          </w:rPr>
          <w:fldChar w:fldCharType="begin"/>
        </w:r>
        <w:r>
          <w:rPr>
            <w:webHidden/>
          </w:rPr>
          <w:instrText xml:space="preserve"> PAGEREF _Toc207707016 \h </w:instrText>
        </w:r>
        <w:r>
          <w:rPr>
            <w:webHidden/>
          </w:rPr>
        </w:r>
        <w:r>
          <w:rPr>
            <w:webHidden/>
          </w:rPr>
          <w:fldChar w:fldCharType="separate"/>
        </w:r>
        <w:r w:rsidR="00910987">
          <w:rPr>
            <w:webHidden/>
          </w:rPr>
          <w:t>52</w:t>
        </w:r>
        <w:r>
          <w:rPr>
            <w:webHidden/>
          </w:rPr>
          <w:fldChar w:fldCharType="end"/>
        </w:r>
      </w:hyperlink>
    </w:p>
    <w:p w14:paraId="33A70B63" w14:textId="2BF58AE2"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17" w:history="1">
        <w:r w:rsidRPr="00DF41EF">
          <w:rPr>
            <w:rStyle w:val="Hiperveza"/>
          </w:rPr>
          <w:t xml:space="preserve">Graf 12.: </w:t>
        </w:r>
        <w:r w:rsidRPr="00DF41EF">
          <w:rPr>
            <w:rStyle w:val="Hiperveza"/>
            <w:rFonts w:ascii="Arial" w:hAnsi="Arial" w:cs="Arial"/>
          </w:rPr>
          <w:t>Struktura izvršenih rashoda poslovanja (3) u razdoblju 2015.-2024. i 1-6/2025. (€): Općina i zbirno proračunski korisnici Općine (PK)</w:t>
        </w:r>
        <w:r>
          <w:rPr>
            <w:webHidden/>
          </w:rPr>
          <w:tab/>
        </w:r>
        <w:r>
          <w:rPr>
            <w:webHidden/>
          </w:rPr>
          <w:fldChar w:fldCharType="begin"/>
        </w:r>
        <w:r>
          <w:rPr>
            <w:webHidden/>
          </w:rPr>
          <w:instrText xml:space="preserve"> PAGEREF _Toc207707017 \h </w:instrText>
        </w:r>
        <w:r>
          <w:rPr>
            <w:webHidden/>
          </w:rPr>
        </w:r>
        <w:r>
          <w:rPr>
            <w:webHidden/>
          </w:rPr>
          <w:fldChar w:fldCharType="separate"/>
        </w:r>
        <w:r w:rsidR="00910987">
          <w:rPr>
            <w:webHidden/>
          </w:rPr>
          <w:t>91</w:t>
        </w:r>
        <w:r>
          <w:rPr>
            <w:webHidden/>
          </w:rPr>
          <w:fldChar w:fldCharType="end"/>
        </w:r>
      </w:hyperlink>
    </w:p>
    <w:p w14:paraId="2A6CAD88" w14:textId="26751C7F"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18" w:history="1">
        <w:r w:rsidRPr="00DF41EF">
          <w:rPr>
            <w:rStyle w:val="Hiperveza"/>
          </w:rPr>
          <w:t xml:space="preserve">Graf 13.: </w:t>
        </w:r>
        <w:r w:rsidRPr="00DF41EF">
          <w:rPr>
            <w:rStyle w:val="Hiperveza"/>
            <w:rFonts w:ascii="Arial" w:hAnsi="Arial" w:cs="Arial"/>
          </w:rPr>
          <w:t>Struktura izvršenih rashoda za zaposlene (31) u razdoblju 2015.-2024. i 1-6/2025. (€): Općina i zbirno proračunski korisnici Općine (PK)</w:t>
        </w:r>
        <w:r>
          <w:rPr>
            <w:webHidden/>
          </w:rPr>
          <w:tab/>
        </w:r>
        <w:r>
          <w:rPr>
            <w:webHidden/>
          </w:rPr>
          <w:fldChar w:fldCharType="begin"/>
        </w:r>
        <w:r>
          <w:rPr>
            <w:webHidden/>
          </w:rPr>
          <w:instrText xml:space="preserve"> PAGEREF _Toc207707018 \h </w:instrText>
        </w:r>
        <w:r>
          <w:rPr>
            <w:webHidden/>
          </w:rPr>
        </w:r>
        <w:r>
          <w:rPr>
            <w:webHidden/>
          </w:rPr>
          <w:fldChar w:fldCharType="separate"/>
        </w:r>
        <w:r w:rsidR="00910987">
          <w:rPr>
            <w:webHidden/>
          </w:rPr>
          <w:t>93</w:t>
        </w:r>
        <w:r>
          <w:rPr>
            <w:webHidden/>
          </w:rPr>
          <w:fldChar w:fldCharType="end"/>
        </w:r>
      </w:hyperlink>
    </w:p>
    <w:p w14:paraId="264A08B5" w14:textId="3C5A769A"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19" w:history="1">
        <w:r w:rsidRPr="00DF41EF">
          <w:rPr>
            <w:rStyle w:val="Hiperveza"/>
          </w:rPr>
          <w:t xml:space="preserve">Graf 14.: </w:t>
        </w:r>
        <w:r w:rsidRPr="00DF41EF">
          <w:rPr>
            <w:rStyle w:val="Hiperveza"/>
            <w:rFonts w:ascii="Arial" w:hAnsi="Arial" w:cs="Arial"/>
          </w:rPr>
          <w:t>Struktura izvršenih rashoda za zaposlene (31) u 1-6/2025. po korisnicima – Općina i proračunski korisnici zbirno i pojedinačno</w:t>
        </w:r>
        <w:r>
          <w:rPr>
            <w:webHidden/>
          </w:rPr>
          <w:tab/>
        </w:r>
        <w:r>
          <w:rPr>
            <w:webHidden/>
          </w:rPr>
          <w:fldChar w:fldCharType="begin"/>
        </w:r>
        <w:r>
          <w:rPr>
            <w:webHidden/>
          </w:rPr>
          <w:instrText xml:space="preserve"> PAGEREF _Toc207707019 \h </w:instrText>
        </w:r>
        <w:r>
          <w:rPr>
            <w:webHidden/>
          </w:rPr>
        </w:r>
        <w:r>
          <w:rPr>
            <w:webHidden/>
          </w:rPr>
          <w:fldChar w:fldCharType="separate"/>
        </w:r>
        <w:r w:rsidR="00910987">
          <w:rPr>
            <w:webHidden/>
          </w:rPr>
          <w:t>93</w:t>
        </w:r>
        <w:r>
          <w:rPr>
            <w:webHidden/>
          </w:rPr>
          <w:fldChar w:fldCharType="end"/>
        </w:r>
      </w:hyperlink>
    </w:p>
    <w:p w14:paraId="013CDA7B" w14:textId="0103C149"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20" w:history="1">
        <w:r w:rsidRPr="00DF41EF">
          <w:rPr>
            <w:rStyle w:val="Hiperveza"/>
          </w:rPr>
          <w:t xml:space="preserve">Graf 15.: </w:t>
        </w:r>
        <w:r w:rsidRPr="00DF41EF">
          <w:rPr>
            <w:rStyle w:val="Hiperveza"/>
            <w:rFonts w:ascii="Arial" w:hAnsi="Arial" w:cs="Arial"/>
          </w:rPr>
          <w:t>Struktura izvršenih materijalnih rashoda (32) u razdoblju 2015.-2024. i 1-6/2025. (€): Općina i zbirno proračunski korisnici Općine (PK)</w:t>
        </w:r>
        <w:r>
          <w:rPr>
            <w:webHidden/>
          </w:rPr>
          <w:tab/>
        </w:r>
        <w:r>
          <w:rPr>
            <w:webHidden/>
          </w:rPr>
          <w:fldChar w:fldCharType="begin"/>
        </w:r>
        <w:r>
          <w:rPr>
            <w:webHidden/>
          </w:rPr>
          <w:instrText xml:space="preserve"> PAGEREF _Toc207707020 \h </w:instrText>
        </w:r>
        <w:r>
          <w:rPr>
            <w:webHidden/>
          </w:rPr>
        </w:r>
        <w:r>
          <w:rPr>
            <w:webHidden/>
          </w:rPr>
          <w:fldChar w:fldCharType="separate"/>
        </w:r>
        <w:r w:rsidR="00910987">
          <w:rPr>
            <w:webHidden/>
          </w:rPr>
          <w:t>94</w:t>
        </w:r>
        <w:r>
          <w:rPr>
            <w:webHidden/>
          </w:rPr>
          <w:fldChar w:fldCharType="end"/>
        </w:r>
      </w:hyperlink>
    </w:p>
    <w:p w14:paraId="1696422E" w14:textId="032062B2"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21" w:history="1">
        <w:r w:rsidRPr="00DF41EF">
          <w:rPr>
            <w:rStyle w:val="Hiperveza"/>
          </w:rPr>
          <w:t xml:space="preserve">Graf 16.: </w:t>
        </w:r>
        <w:r w:rsidRPr="00DF41EF">
          <w:rPr>
            <w:rStyle w:val="Hiperveza"/>
            <w:rFonts w:ascii="Arial" w:hAnsi="Arial" w:cs="Arial"/>
          </w:rPr>
          <w:t>Struktura izvršenih rashoda za nabavu nefinancijske imovine (4) u razdoblju 2015.-2024. i 1-6/2025. (€): Općina i zbirno proračunski korisnici Općine</w:t>
        </w:r>
        <w:r>
          <w:rPr>
            <w:webHidden/>
          </w:rPr>
          <w:tab/>
        </w:r>
        <w:r>
          <w:rPr>
            <w:webHidden/>
          </w:rPr>
          <w:fldChar w:fldCharType="begin"/>
        </w:r>
        <w:r>
          <w:rPr>
            <w:webHidden/>
          </w:rPr>
          <w:instrText xml:space="preserve"> PAGEREF _Toc207707021 \h </w:instrText>
        </w:r>
        <w:r>
          <w:rPr>
            <w:webHidden/>
          </w:rPr>
        </w:r>
        <w:r>
          <w:rPr>
            <w:webHidden/>
          </w:rPr>
          <w:fldChar w:fldCharType="separate"/>
        </w:r>
        <w:r w:rsidR="00910987">
          <w:rPr>
            <w:webHidden/>
          </w:rPr>
          <w:t>105</w:t>
        </w:r>
        <w:r>
          <w:rPr>
            <w:webHidden/>
          </w:rPr>
          <w:fldChar w:fldCharType="end"/>
        </w:r>
      </w:hyperlink>
    </w:p>
    <w:p w14:paraId="1D75999C" w14:textId="4C908B5E"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22" w:history="1">
        <w:r w:rsidRPr="00DF41EF">
          <w:rPr>
            <w:rStyle w:val="Hiperveza"/>
          </w:rPr>
          <w:t xml:space="preserve">Graf 17.: </w:t>
        </w:r>
        <w:r w:rsidRPr="00DF41EF">
          <w:rPr>
            <w:rStyle w:val="Hiperveza"/>
            <w:rFonts w:ascii="Arial" w:hAnsi="Arial" w:cs="Arial"/>
          </w:rPr>
          <w:t>Struktura izvršenih izdataka (5) u razdoblju 2015.-2024. i 1-6/2025. (€): Općina</w:t>
        </w:r>
        <w:r>
          <w:rPr>
            <w:webHidden/>
          </w:rPr>
          <w:tab/>
        </w:r>
        <w:r>
          <w:rPr>
            <w:webHidden/>
          </w:rPr>
          <w:fldChar w:fldCharType="begin"/>
        </w:r>
        <w:r>
          <w:rPr>
            <w:webHidden/>
          </w:rPr>
          <w:instrText xml:space="preserve"> PAGEREF _Toc207707022 \h </w:instrText>
        </w:r>
        <w:r>
          <w:rPr>
            <w:webHidden/>
          </w:rPr>
        </w:r>
        <w:r>
          <w:rPr>
            <w:webHidden/>
          </w:rPr>
          <w:fldChar w:fldCharType="separate"/>
        </w:r>
        <w:r w:rsidR="00910987">
          <w:rPr>
            <w:webHidden/>
          </w:rPr>
          <w:t>111</w:t>
        </w:r>
        <w:r>
          <w:rPr>
            <w:webHidden/>
          </w:rPr>
          <w:fldChar w:fldCharType="end"/>
        </w:r>
      </w:hyperlink>
    </w:p>
    <w:p w14:paraId="4392ABCF" w14:textId="7C64C79C" w:rsidR="00DF62B7" w:rsidRDefault="00DF62B7">
      <w:pPr>
        <w:pStyle w:val="Tablicaslika"/>
        <w:rPr>
          <w:rFonts w:asciiTheme="minorHAnsi" w:eastAsiaTheme="minorEastAsia" w:hAnsiTheme="minorHAnsi" w:cstheme="minorBidi"/>
          <w:kern w:val="2"/>
          <w:sz w:val="24"/>
          <w:szCs w:val="24"/>
          <w:lang w:eastAsia="hr-HR"/>
          <w14:ligatures w14:val="standardContextual"/>
        </w:rPr>
      </w:pPr>
      <w:hyperlink w:anchor="_Toc207707023" w:history="1">
        <w:r w:rsidRPr="00DF41EF">
          <w:rPr>
            <w:rStyle w:val="Hiperveza"/>
          </w:rPr>
          <w:t xml:space="preserve">Graf 18.: </w:t>
        </w:r>
        <w:r w:rsidRPr="00DF41EF">
          <w:rPr>
            <w:rStyle w:val="Hiperveza"/>
            <w:rFonts w:ascii="Arial" w:hAnsi="Arial" w:cs="Arial"/>
          </w:rPr>
          <w:t>Struktura izvršenih rashoda Proračuna u 2025. po funkcijskoj klasifikaciji (€): sveukupno Općina i proračunski korisnici</w:t>
        </w:r>
        <w:r>
          <w:rPr>
            <w:webHidden/>
          </w:rPr>
          <w:tab/>
        </w:r>
        <w:r>
          <w:rPr>
            <w:webHidden/>
          </w:rPr>
          <w:fldChar w:fldCharType="begin"/>
        </w:r>
        <w:r>
          <w:rPr>
            <w:webHidden/>
          </w:rPr>
          <w:instrText xml:space="preserve"> PAGEREF _Toc207707023 \h </w:instrText>
        </w:r>
        <w:r>
          <w:rPr>
            <w:webHidden/>
          </w:rPr>
        </w:r>
        <w:r>
          <w:rPr>
            <w:webHidden/>
          </w:rPr>
          <w:fldChar w:fldCharType="separate"/>
        </w:r>
        <w:r w:rsidR="00910987">
          <w:rPr>
            <w:webHidden/>
          </w:rPr>
          <w:t>120</w:t>
        </w:r>
        <w:r>
          <w:rPr>
            <w:webHidden/>
          </w:rPr>
          <w:fldChar w:fldCharType="end"/>
        </w:r>
      </w:hyperlink>
    </w:p>
    <w:p w14:paraId="145069EA" w14:textId="6CD5F3E2" w:rsidR="006161AE" w:rsidRPr="003A2F86" w:rsidRDefault="008456D6" w:rsidP="006161AE">
      <w:pPr>
        <w:widowControl w:val="0"/>
        <w:autoSpaceDE w:val="0"/>
        <w:autoSpaceDN w:val="0"/>
        <w:adjustRightInd w:val="0"/>
        <w:spacing w:after="0" w:line="144" w:lineRule="atLeast"/>
        <w:rPr>
          <w:rFonts w:ascii="Arial" w:eastAsia="Calibri" w:hAnsi="Arial" w:cs="Arial"/>
        </w:rPr>
      </w:pPr>
      <w:r w:rsidRPr="00A27624">
        <w:rPr>
          <w:rFonts w:ascii="Arial" w:eastAsia="Calibri" w:hAnsi="Arial" w:cs="Arial"/>
          <w:sz w:val="20"/>
          <w:szCs w:val="20"/>
        </w:rPr>
        <w:fldChar w:fldCharType="end"/>
      </w:r>
      <w:r w:rsidR="006161AE" w:rsidRPr="003A2F86">
        <w:rPr>
          <w:rFonts w:ascii="Arial" w:eastAsia="Calibri" w:hAnsi="Arial" w:cs="Arial"/>
        </w:rPr>
        <w:br w:type="page"/>
      </w:r>
    </w:p>
    <w:p w14:paraId="17A6843D" w14:textId="38B7DD0D" w:rsidR="00B05373" w:rsidRPr="003A2F86" w:rsidRDefault="00B05373" w:rsidP="00891119">
      <w:pPr>
        <w:widowControl w:val="0"/>
        <w:autoSpaceDE w:val="0"/>
        <w:autoSpaceDN w:val="0"/>
        <w:adjustRightInd w:val="0"/>
        <w:spacing w:after="0" w:line="144" w:lineRule="atLeast"/>
        <w:rPr>
          <w:rFonts w:ascii="Arial" w:eastAsia="Calibri" w:hAnsi="Arial" w:cs="Arial"/>
        </w:rPr>
      </w:pPr>
    </w:p>
    <w:p w14:paraId="00A7FDE3" w14:textId="47C3AFDA" w:rsidR="006161AE" w:rsidRPr="003A2F86" w:rsidRDefault="006161AE" w:rsidP="00891119">
      <w:pPr>
        <w:widowControl w:val="0"/>
        <w:autoSpaceDE w:val="0"/>
        <w:autoSpaceDN w:val="0"/>
        <w:adjustRightInd w:val="0"/>
        <w:spacing w:after="0" w:line="144" w:lineRule="atLeast"/>
        <w:rPr>
          <w:rFonts w:ascii="Arial" w:eastAsia="Calibri" w:hAnsi="Arial" w:cs="Arial"/>
        </w:rPr>
      </w:pPr>
    </w:p>
    <w:p w14:paraId="393E157D" w14:textId="1DCB32CE" w:rsidR="006161AE" w:rsidRPr="003A2F86" w:rsidRDefault="006161AE" w:rsidP="00891119">
      <w:pPr>
        <w:widowControl w:val="0"/>
        <w:autoSpaceDE w:val="0"/>
        <w:autoSpaceDN w:val="0"/>
        <w:adjustRightInd w:val="0"/>
        <w:spacing w:after="0" w:line="144" w:lineRule="atLeast"/>
        <w:rPr>
          <w:rFonts w:ascii="Arial" w:eastAsia="Calibri" w:hAnsi="Arial" w:cs="Arial"/>
        </w:rPr>
      </w:pPr>
    </w:p>
    <w:p w14:paraId="1768CCE0" w14:textId="2A885E28" w:rsidR="006161AE" w:rsidRPr="003A2F86" w:rsidRDefault="006161AE" w:rsidP="00891119">
      <w:pPr>
        <w:widowControl w:val="0"/>
        <w:autoSpaceDE w:val="0"/>
        <w:autoSpaceDN w:val="0"/>
        <w:adjustRightInd w:val="0"/>
        <w:spacing w:after="0" w:line="144" w:lineRule="atLeast"/>
        <w:rPr>
          <w:rFonts w:ascii="Arial" w:eastAsia="Calibri" w:hAnsi="Arial" w:cs="Arial"/>
        </w:rPr>
      </w:pPr>
    </w:p>
    <w:p w14:paraId="4C90E186" w14:textId="77777777" w:rsidR="006161AE" w:rsidRPr="003A2F86" w:rsidRDefault="006161AE" w:rsidP="00891119">
      <w:pPr>
        <w:widowControl w:val="0"/>
        <w:autoSpaceDE w:val="0"/>
        <w:autoSpaceDN w:val="0"/>
        <w:adjustRightInd w:val="0"/>
        <w:spacing w:after="0" w:line="144" w:lineRule="atLeast"/>
        <w:rPr>
          <w:rFonts w:ascii="Arial" w:eastAsia="Calibri" w:hAnsi="Arial" w:cs="Arial"/>
        </w:rPr>
      </w:pPr>
    </w:p>
    <w:p w14:paraId="6A2BCBDC" w14:textId="77777777" w:rsidR="00B05373" w:rsidRPr="003A2F86" w:rsidRDefault="00B05373" w:rsidP="00891119">
      <w:pPr>
        <w:widowControl w:val="0"/>
        <w:autoSpaceDE w:val="0"/>
        <w:autoSpaceDN w:val="0"/>
        <w:adjustRightInd w:val="0"/>
        <w:spacing w:after="0" w:line="144" w:lineRule="atLeast"/>
        <w:rPr>
          <w:rFonts w:ascii="Arial" w:eastAsia="Calibri" w:hAnsi="Arial" w:cs="Arial"/>
        </w:rPr>
      </w:pPr>
    </w:p>
    <w:p w14:paraId="2D389D80" w14:textId="77777777" w:rsidR="00B05373" w:rsidRPr="003A2F86" w:rsidRDefault="00B05373" w:rsidP="00891119">
      <w:pPr>
        <w:widowControl w:val="0"/>
        <w:autoSpaceDE w:val="0"/>
        <w:autoSpaceDN w:val="0"/>
        <w:adjustRightInd w:val="0"/>
        <w:spacing w:after="0" w:line="144" w:lineRule="atLeast"/>
        <w:rPr>
          <w:rFonts w:ascii="Arial" w:eastAsia="Calibri" w:hAnsi="Arial" w:cs="Arial"/>
        </w:rPr>
      </w:pPr>
    </w:p>
    <w:p w14:paraId="6FFF0486" w14:textId="43CEBFC8" w:rsidR="00B05373" w:rsidRPr="003A2F86" w:rsidRDefault="00B05373" w:rsidP="00B05373">
      <w:pPr>
        <w:pStyle w:val="Naslov1"/>
        <w:rPr>
          <w:rFonts w:ascii="Arial" w:eastAsia="Calibri" w:hAnsi="Arial" w:cs="Arial"/>
          <w:sz w:val="22"/>
          <w:lang w:val="hr-HR"/>
        </w:rPr>
      </w:pPr>
      <w:bookmarkStart w:id="510" w:name="_11._PRIVITAK:_OPĆI"/>
      <w:bookmarkStart w:id="511" w:name="_Toc207707508"/>
      <w:bookmarkEnd w:id="510"/>
      <w:r w:rsidRPr="003A2F86">
        <w:rPr>
          <w:rFonts w:ascii="Arial" w:eastAsia="Calibri" w:hAnsi="Arial" w:cs="Arial"/>
          <w:sz w:val="22"/>
          <w:lang w:val="hr-HR"/>
        </w:rPr>
        <w:t>1</w:t>
      </w:r>
      <w:r w:rsidR="006D222A" w:rsidRPr="003A2F86">
        <w:rPr>
          <w:rFonts w:ascii="Arial" w:eastAsia="Calibri" w:hAnsi="Arial" w:cs="Arial"/>
          <w:sz w:val="22"/>
          <w:lang w:val="hr-HR"/>
        </w:rPr>
        <w:t>1</w:t>
      </w:r>
      <w:r w:rsidRPr="003A2F86">
        <w:rPr>
          <w:rFonts w:ascii="Arial" w:eastAsia="Calibri" w:hAnsi="Arial" w:cs="Arial"/>
          <w:sz w:val="22"/>
          <w:lang w:val="hr-HR"/>
        </w:rPr>
        <w:t xml:space="preserve">. PRIVITAK: OPĆI I POSEBNI DIO PRORAČUNA (financijski dio, sastavni dio </w:t>
      </w:r>
      <w:r w:rsidR="00DF62B7">
        <w:rPr>
          <w:rFonts w:ascii="Arial" w:eastAsia="Calibri" w:hAnsi="Arial" w:cs="Arial"/>
          <w:sz w:val="22"/>
          <w:lang w:val="hr-HR"/>
        </w:rPr>
        <w:t>POLU</w:t>
      </w:r>
      <w:r w:rsidR="00C50076" w:rsidRPr="003A2F86">
        <w:rPr>
          <w:rFonts w:ascii="Arial" w:eastAsia="Calibri" w:hAnsi="Arial" w:cs="Arial"/>
          <w:sz w:val="22"/>
          <w:lang w:val="hr-HR"/>
        </w:rPr>
        <w:t>G</w:t>
      </w:r>
      <w:r w:rsidRPr="003A2F86">
        <w:rPr>
          <w:rFonts w:ascii="Arial" w:eastAsia="Calibri" w:hAnsi="Arial" w:cs="Arial"/>
          <w:sz w:val="22"/>
          <w:lang w:val="hr-HR"/>
        </w:rPr>
        <w:t>ODIŠNJEG IZVJEŠTAJA O IZVRŠENJU PRORAČUNA OPĆINE KONAVLE ZA 20</w:t>
      </w:r>
      <w:r w:rsidR="00B70990" w:rsidRPr="003A2F86">
        <w:rPr>
          <w:rFonts w:ascii="Arial" w:eastAsia="Calibri" w:hAnsi="Arial" w:cs="Arial"/>
          <w:sz w:val="22"/>
          <w:lang w:val="hr-HR"/>
        </w:rPr>
        <w:t>2</w:t>
      </w:r>
      <w:r w:rsidR="00DF62B7">
        <w:rPr>
          <w:rFonts w:ascii="Arial" w:eastAsia="Calibri" w:hAnsi="Arial" w:cs="Arial"/>
          <w:sz w:val="22"/>
          <w:lang w:val="hr-HR"/>
        </w:rPr>
        <w:t>5</w:t>
      </w:r>
      <w:r w:rsidRPr="003A2F86">
        <w:rPr>
          <w:rFonts w:ascii="Arial" w:eastAsia="Calibri" w:hAnsi="Arial" w:cs="Arial"/>
          <w:sz w:val="22"/>
          <w:lang w:val="hr-HR"/>
        </w:rPr>
        <w:t>. GODINU)</w:t>
      </w:r>
      <w:bookmarkEnd w:id="511"/>
      <w:r w:rsidRPr="003A2F86">
        <w:rPr>
          <w:rFonts w:ascii="Arial" w:eastAsia="Calibri" w:hAnsi="Arial" w:cs="Arial"/>
          <w:sz w:val="22"/>
          <w:lang w:val="hr-HR"/>
        </w:rPr>
        <w:t xml:space="preserve"> </w:t>
      </w:r>
    </w:p>
    <w:p w14:paraId="255D7E65" w14:textId="77777777" w:rsidR="00B05373" w:rsidRPr="003A2F86" w:rsidRDefault="00B05373" w:rsidP="00B05373">
      <w:pPr>
        <w:widowControl w:val="0"/>
        <w:autoSpaceDE w:val="0"/>
        <w:autoSpaceDN w:val="0"/>
        <w:adjustRightInd w:val="0"/>
        <w:spacing w:after="0" w:line="144" w:lineRule="atLeast"/>
        <w:rPr>
          <w:rFonts w:ascii="Arial" w:eastAsia="Calibri" w:hAnsi="Arial" w:cs="Arial"/>
        </w:rPr>
      </w:pPr>
    </w:p>
    <w:p w14:paraId="0EC6A9F5" w14:textId="2775E622" w:rsidR="00B05373" w:rsidRPr="003A2F86" w:rsidRDefault="00A6593A" w:rsidP="00891119">
      <w:pPr>
        <w:widowControl w:val="0"/>
        <w:autoSpaceDE w:val="0"/>
        <w:autoSpaceDN w:val="0"/>
        <w:adjustRightInd w:val="0"/>
        <w:spacing w:after="0" w:line="144" w:lineRule="atLeast"/>
        <w:rPr>
          <w:rFonts w:ascii="Arial" w:eastAsia="Calibri" w:hAnsi="Arial" w:cs="Arial"/>
        </w:rPr>
      </w:pPr>
      <w:r w:rsidRPr="003A2F86">
        <w:rPr>
          <w:rFonts w:ascii="Arial" w:eastAsia="Calibri" w:hAnsi="Arial" w:cs="Arial"/>
        </w:rPr>
        <w:tab/>
        <w:t xml:space="preserve">Ovaj dio izvještaja </w:t>
      </w:r>
      <w:r w:rsidR="00101E5D" w:rsidRPr="003A2F86">
        <w:rPr>
          <w:rFonts w:ascii="Arial" w:eastAsia="Calibri" w:hAnsi="Arial" w:cs="Arial"/>
        </w:rPr>
        <w:t xml:space="preserve">o izvršenju proračuna </w:t>
      </w:r>
      <w:r w:rsidRPr="003A2F86">
        <w:rPr>
          <w:rFonts w:ascii="Arial" w:eastAsia="Calibri" w:hAnsi="Arial" w:cs="Arial"/>
        </w:rPr>
        <w:t>(financijski dio izvještaja) se objavljuje u Službenom glasniku Općine Konavle.</w:t>
      </w:r>
    </w:p>
    <w:p w14:paraId="7672D77E" w14:textId="7299944F" w:rsidR="00B05373" w:rsidRPr="003A2F86" w:rsidRDefault="00C21D33" w:rsidP="00303C0D">
      <w:pPr>
        <w:widowControl w:val="0"/>
        <w:autoSpaceDE w:val="0"/>
        <w:autoSpaceDN w:val="0"/>
        <w:adjustRightInd w:val="0"/>
        <w:spacing w:after="0" w:line="144" w:lineRule="atLeast"/>
        <w:jc w:val="center"/>
        <w:rPr>
          <w:rFonts w:ascii="Arial" w:eastAsia="Calibri" w:hAnsi="Arial" w:cs="Arial"/>
        </w:rPr>
      </w:pPr>
      <w:r>
        <w:object w:dxaOrig="1539" w:dyaOrig="997" w14:anchorId="2F693817">
          <v:shape id="_x0000_i1026" type="#_x0000_t75" style="width:77.25pt;height:49.5pt" o:ole="">
            <v:imagedata r:id="rId174" o:title=""/>
          </v:shape>
          <o:OLEObject Type="Embed" ProgID="Acrobat.Document.DC" ShapeID="_x0000_i1026" DrawAspect="Icon" ObjectID="_1820144176" r:id="rId175"/>
        </w:object>
      </w:r>
    </w:p>
    <w:p w14:paraId="2EC20585" w14:textId="77777777" w:rsidR="00B05373" w:rsidRPr="003A2F86" w:rsidRDefault="00B05373" w:rsidP="00891119">
      <w:pPr>
        <w:widowControl w:val="0"/>
        <w:autoSpaceDE w:val="0"/>
        <w:autoSpaceDN w:val="0"/>
        <w:adjustRightInd w:val="0"/>
        <w:spacing w:after="0" w:line="144" w:lineRule="atLeast"/>
        <w:rPr>
          <w:rFonts w:ascii="Arial" w:eastAsia="Calibri" w:hAnsi="Arial" w:cs="Arial"/>
        </w:rPr>
      </w:pPr>
    </w:p>
    <w:p w14:paraId="645A85D2" w14:textId="577CF2BE" w:rsidR="00A655B6" w:rsidRPr="003A2F86" w:rsidRDefault="00A655B6">
      <w:pPr>
        <w:rPr>
          <w:rFonts w:ascii="Arial" w:eastAsia="Calibri" w:hAnsi="Arial" w:cs="Arial"/>
        </w:rPr>
      </w:pPr>
      <w:r w:rsidRPr="003A2F86">
        <w:rPr>
          <w:rFonts w:ascii="Arial" w:eastAsia="Calibri" w:hAnsi="Arial" w:cs="Arial"/>
        </w:rPr>
        <w:br w:type="page"/>
      </w:r>
    </w:p>
    <w:p w14:paraId="1FB149DD" w14:textId="77777777" w:rsidR="00A655B6" w:rsidRPr="003A2F86" w:rsidRDefault="00A655B6" w:rsidP="00891119">
      <w:pPr>
        <w:widowControl w:val="0"/>
        <w:autoSpaceDE w:val="0"/>
        <w:autoSpaceDN w:val="0"/>
        <w:adjustRightInd w:val="0"/>
        <w:spacing w:after="0" w:line="144" w:lineRule="atLeast"/>
        <w:rPr>
          <w:rFonts w:ascii="Arial" w:eastAsia="Calibri" w:hAnsi="Arial" w:cs="Arial"/>
        </w:rPr>
        <w:sectPr w:rsidR="00A655B6" w:rsidRPr="003A2F86" w:rsidSect="00673312">
          <w:pgSz w:w="16838" w:h="11906" w:orient="landscape" w:code="9"/>
          <w:pgMar w:top="1134" w:right="1134" w:bottom="1134" w:left="1134" w:header="720" w:footer="720" w:gutter="0"/>
          <w:pgNumType w:chapStyle="1"/>
          <w:cols w:space="720"/>
          <w:titlePg/>
          <w:docGrid w:linePitch="272"/>
        </w:sectPr>
      </w:pPr>
    </w:p>
    <w:p w14:paraId="5CA8A524" w14:textId="77777777" w:rsidR="00B05373" w:rsidRPr="003A2F86" w:rsidRDefault="00B05373" w:rsidP="00B05373">
      <w:pPr>
        <w:framePr w:w="5000" w:h="1" w:hRule="exact" w:wrap="notBeside" w:vAnchor="page" w:hAnchor="page" w:x="1" w:y="1"/>
        <w:widowControl w:val="0"/>
        <w:autoSpaceDE w:val="0"/>
        <w:autoSpaceDN w:val="0"/>
        <w:adjustRightInd w:val="0"/>
        <w:spacing w:after="0" w:line="240" w:lineRule="auto"/>
        <w:rPr>
          <w:rFonts w:ascii="Times New Roman" w:eastAsiaTheme="minorEastAsia" w:hAnsi="Times New Roman" w:cs="Times New Roman"/>
          <w:sz w:val="24"/>
          <w:szCs w:val="24"/>
        </w:rPr>
      </w:pPr>
      <w:r w:rsidRPr="003A2F86">
        <w:rPr>
          <w:rFonts w:ascii="Times New Roman" w:eastAsiaTheme="minorEastAsia" w:hAnsi="Times New Roman" w:cs="Times New Roman"/>
          <w:sz w:val="24"/>
          <w:szCs w:val="24"/>
        </w:rPr>
        <w:lastRenderedPageBreak/>
        <w:t xml:space="preserve">         Ova datoteka je stvorena od Oracle Reports-a. Molim vas pregledajte ovaj dokument na nanačin Straničnog razmještaja.</w:t>
      </w:r>
    </w:p>
    <w:p w14:paraId="49013BBD" w14:textId="77777777" w:rsidR="00891119" w:rsidRPr="003A2F86" w:rsidRDefault="00891119" w:rsidP="00891119">
      <w:pPr>
        <w:framePr w:w="5000" w:h="1" w:hRule="exact" w:wrap="notBeside" w:vAnchor="page" w:hAnchor="page" w:x="1" w:y="1"/>
        <w:widowControl w:val="0"/>
        <w:autoSpaceDE w:val="0"/>
        <w:autoSpaceDN w:val="0"/>
        <w:adjustRightInd w:val="0"/>
        <w:spacing w:after="0" w:line="240" w:lineRule="auto"/>
        <w:rPr>
          <w:rFonts w:ascii="Times New Roman" w:eastAsia="Times New Roman" w:hAnsi="Times New Roman" w:cs="Times New Roman"/>
          <w:color w:val="FF0000"/>
          <w:sz w:val="24"/>
          <w:szCs w:val="24"/>
          <w:lang w:eastAsia="en-US"/>
        </w:rPr>
      </w:pPr>
      <w:r w:rsidRPr="003A2F86">
        <w:rPr>
          <w:rFonts w:ascii="Times New Roman" w:eastAsia="Times New Roman" w:hAnsi="Times New Roman" w:cs="Times New Roman"/>
          <w:color w:val="FF0000"/>
          <w:sz w:val="24"/>
          <w:szCs w:val="24"/>
          <w:lang w:eastAsia="en-US"/>
        </w:rPr>
        <w:t xml:space="preserve">         Molim vas pregledajte ovaj dokument na nanačin Straničnog razmještaja.</w:t>
      </w:r>
    </w:p>
    <w:p w14:paraId="4F5DAD8E" w14:textId="77777777" w:rsidR="00726D83" w:rsidRPr="003A2F86" w:rsidRDefault="00726D83" w:rsidP="00726D83">
      <w:pPr>
        <w:framePr w:w="5000" w:h="1" w:hRule="exact" w:wrap="notBeside" w:vAnchor="page" w:hAnchor="page" w:x="1" w:y="1"/>
        <w:widowControl w:val="0"/>
        <w:autoSpaceDE w:val="0"/>
        <w:autoSpaceDN w:val="0"/>
        <w:adjustRightInd w:val="0"/>
        <w:spacing w:after="0" w:line="240" w:lineRule="auto"/>
        <w:rPr>
          <w:rFonts w:ascii="Times New Roman" w:hAnsi="Times New Roman"/>
          <w:sz w:val="24"/>
          <w:szCs w:val="24"/>
        </w:rPr>
      </w:pPr>
      <w:r w:rsidRPr="003A2F86">
        <w:rPr>
          <w:rFonts w:ascii="Times New Roman" w:hAnsi="Times New Roman"/>
          <w:sz w:val="24"/>
          <w:szCs w:val="24"/>
        </w:rPr>
        <w:t xml:space="preserve">         Ova datoteka je stvorena od Oracle Reports-a. Molim vas pregledajte ovaj dokument na nanačin Straničnog razmještaja.</w:t>
      </w:r>
    </w:p>
    <w:p w14:paraId="57D81001" w14:textId="201F8789" w:rsidR="00661A44" w:rsidRPr="003A2F86" w:rsidRDefault="00661A44" w:rsidP="0009242C">
      <w:pPr>
        <w:framePr w:w="1236" w:h="279" w:hRule="exact" w:wrap="auto" w:vAnchor="page" w:hAnchor="page" w:x="5949" w:y="10498"/>
        <w:widowControl w:val="0"/>
        <w:autoSpaceDE w:val="0"/>
        <w:autoSpaceDN w:val="0"/>
        <w:adjustRightInd w:val="0"/>
        <w:spacing w:after="0" w:line="240" w:lineRule="auto"/>
        <w:jc w:val="right"/>
        <w:rPr>
          <w:color w:val="FF0000"/>
        </w:rPr>
      </w:pPr>
    </w:p>
    <w:p w14:paraId="7DBE6BA6" w14:textId="32C61DAA" w:rsidR="007B3EC3" w:rsidRPr="003A2F86" w:rsidRDefault="007B3EC3">
      <w:pPr>
        <w:framePr w:w="1236" w:h="279" w:hRule="exact" w:wrap="auto" w:vAnchor="page" w:hAnchor="page" w:x="5949" w:y="10498"/>
        <w:widowControl w:val="0"/>
        <w:autoSpaceDE w:val="0"/>
        <w:autoSpaceDN w:val="0"/>
        <w:adjustRightInd w:val="0"/>
        <w:spacing w:after="0" w:line="240" w:lineRule="auto"/>
        <w:jc w:val="right"/>
        <w:rPr>
          <w:color w:val="FF0000"/>
        </w:rPr>
      </w:pPr>
    </w:p>
    <w:p w14:paraId="1F16E69B" w14:textId="051133CB" w:rsidR="00B53164" w:rsidRPr="003A2F86" w:rsidRDefault="00B53164">
      <w:pPr>
        <w:framePr w:w="1236" w:h="279" w:hRule="exact" w:wrap="auto" w:vAnchor="page" w:hAnchor="page" w:x="5949" w:y="10498"/>
        <w:widowControl w:val="0"/>
        <w:autoSpaceDE w:val="0"/>
        <w:autoSpaceDN w:val="0"/>
        <w:adjustRightInd w:val="0"/>
        <w:spacing w:after="0" w:line="240" w:lineRule="auto"/>
        <w:jc w:val="right"/>
        <w:rPr>
          <w:color w:val="FF0000"/>
        </w:rPr>
      </w:pPr>
    </w:p>
    <w:sectPr w:rsidR="00B53164" w:rsidRPr="003A2F86" w:rsidSect="00673312">
      <w:footerReference w:type="default" r:id="rId176"/>
      <w:pgSz w:w="11906" w:h="16838" w:code="9"/>
      <w:pgMar w:top="1134" w:right="851" w:bottom="1134" w:left="851"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D5F0E" w14:textId="77777777" w:rsidR="00FD4E24" w:rsidRDefault="00FD4E24" w:rsidP="00891119">
      <w:pPr>
        <w:spacing w:after="0" w:line="240" w:lineRule="auto"/>
      </w:pPr>
      <w:r>
        <w:separator/>
      </w:r>
    </w:p>
  </w:endnote>
  <w:endnote w:type="continuationSeparator" w:id="0">
    <w:p w14:paraId="312A374A" w14:textId="77777777" w:rsidR="00FD4E24" w:rsidRDefault="00FD4E24" w:rsidP="00891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Calibri"/>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SimSun">
    <w:altName w:val="??ˇ¦|||||||||||||||||||||||||||"/>
    <w:panose1 w:val="02010600030101010101"/>
    <w:charset w:val="86"/>
    <w:family w:val="auto"/>
    <w:pitch w:val="variable"/>
    <w:sig w:usb0="00000203" w:usb1="288F0000" w:usb2="00000016" w:usb3="00000000" w:csb0="00040001" w:csb1="00000000"/>
  </w:font>
  <w:font w:name="Arial,Bold">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5" w:usb1="08070000" w:usb2="00000010" w:usb3="00000000" w:csb0="00020002" w:csb1="00000000"/>
  </w:font>
  <w:font w:name="T3Font_4">
    <w:altName w:val="Calibri"/>
    <w:panose1 w:val="00000000000000000000"/>
    <w:charset w:val="EE"/>
    <w:family w:val="swiss"/>
    <w:notTrueType/>
    <w:pitch w:val="default"/>
    <w:sig w:usb0="00000005" w:usb1="00000000" w:usb2="00000000" w:usb3="00000000" w:csb0="00000002" w:csb1="00000000"/>
  </w:font>
  <w:font w:name="Arial,BoldItalic">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8591836"/>
      <w:docPartObj>
        <w:docPartGallery w:val="Page Numbers (Bottom of Page)"/>
        <w:docPartUnique/>
      </w:docPartObj>
    </w:sdtPr>
    <w:sdtContent>
      <w:p w14:paraId="13B61837" w14:textId="5C49B543" w:rsidR="00935424" w:rsidRDefault="00935424">
        <w:pPr>
          <w:pStyle w:val="Podnoje"/>
          <w:jc w:val="right"/>
        </w:pPr>
        <w:r>
          <w:fldChar w:fldCharType="begin"/>
        </w:r>
        <w:r>
          <w:instrText>PAGE   \* MERGEFORMAT</w:instrText>
        </w:r>
        <w:r>
          <w:fldChar w:fldCharType="separate"/>
        </w:r>
        <w:r>
          <w:rPr>
            <w:lang w:val="hr-HR"/>
          </w:rPr>
          <w:t>2</w:t>
        </w:r>
        <w:r>
          <w:fldChar w:fldCharType="end"/>
        </w:r>
      </w:p>
    </w:sdtContent>
  </w:sdt>
  <w:p w14:paraId="536B7976" w14:textId="77777777" w:rsidR="00935424" w:rsidRDefault="00935424">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7F378" w14:textId="77777777" w:rsidR="009C7037" w:rsidRDefault="009C7037">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103193"/>
      <w:docPartObj>
        <w:docPartGallery w:val="Page Numbers (Bottom of Page)"/>
        <w:docPartUnique/>
      </w:docPartObj>
    </w:sdtPr>
    <w:sdtContent>
      <w:p w14:paraId="3296A53A" w14:textId="77777777" w:rsidR="009C7037" w:rsidRDefault="009C7037">
        <w:pPr>
          <w:pStyle w:val="Podnoje"/>
          <w:jc w:val="right"/>
        </w:pPr>
        <w:r>
          <w:fldChar w:fldCharType="begin"/>
        </w:r>
        <w:r>
          <w:instrText>PAGE   \* MERGEFORMAT</w:instrText>
        </w:r>
        <w:r>
          <w:fldChar w:fldCharType="separate"/>
        </w:r>
        <w:r w:rsidRPr="008879AF">
          <w:rPr>
            <w:noProof/>
            <w:lang w:val="hr-HR"/>
          </w:rPr>
          <w:t>286</w:t>
        </w:r>
        <w:r>
          <w:rPr>
            <w:noProof/>
            <w:lang w:val="hr-HR"/>
          </w:rPr>
          <w:fldChar w:fldCharType="end"/>
        </w:r>
      </w:p>
    </w:sdtContent>
  </w:sdt>
  <w:p w14:paraId="584D7264" w14:textId="77777777" w:rsidR="009C7037" w:rsidRDefault="009C7037">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2917416"/>
      <w:docPartObj>
        <w:docPartGallery w:val="Page Numbers (Bottom of Page)"/>
        <w:docPartUnique/>
      </w:docPartObj>
    </w:sdtPr>
    <w:sdtContent>
      <w:p w14:paraId="2A0E53B4" w14:textId="1BF5C5A3" w:rsidR="009C7037" w:rsidRDefault="0047518F">
        <w:pPr>
          <w:pStyle w:val="Podnoje"/>
        </w:pPr>
        <w:r>
          <w:rPr>
            <w:noProof/>
          </w:rPr>
          <mc:AlternateContent>
            <mc:Choice Requires="wps">
              <w:drawing>
                <wp:anchor distT="0" distB="0" distL="114300" distR="114300" simplePos="0" relativeHeight="251659264" behindDoc="0" locked="0" layoutInCell="1" allowOverlap="1" wp14:anchorId="0B9B328A" wp14:editId="445214D3">
                  <wp:simplePos x="0" y="0"/>
                  <wp:positionH relativeFrom="rightMargin">
                    <wp:align>center</wp:align>
                  </wp:positionH>
                  <wp:positionV relativeFrom="bottomMargin">
                    <wp:align>center</wp:align>
                  </wp:positionV>
                  <wp:extent cx="565785" cy="191770"/>
                  <wp:effectExtent l="0" t="0" r="0" b="0"/>
                  <wp:wrapNone/>
                  <wp:docPr id="1779677055" name="Pravoku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wps:spPr>
                        <wps:txbx>
                          <w:txbxContent>
                            <w:p w14:paraId="4B0631A5" w14:textId="77777777" w:rsidR="009C7037" w:rsidRPr="002A38DD" w:rsidRDefault="009C7037">
                              <w:pPr>
                                <w:pBdr>
                                  <w:top w:val="single" w:sz="4" w:space="1" w:color="7F7F7F" w:themeColor="background1" w:themeShade="7F"/>
                                </w:pBdr>
                                <w:jc w:val="center"/>
                              </w:pPr>
                              <w:r>
                                <w:fldChar w:fldCharType="begin"/>
                              </w:r>
                              <w:r>
                                <w:instrText>PAGE   \* MERGEFORMAT</w:instrText>
                              </w:r>
                              <w:r>
                                <w:fldChar w:fldCharType="separate"/>
                              </w:r>
                              <w:r>
                                <w:rPr>
                                  <w:noProof/>
                                </w:rPr>
                                <w:t>381</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B9B328A" id="Pravokutni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" filled="f" stroked="f">
                  <v:textbox inset=",0,,0">
                    <w:txbxContent>
                      <w:p w14:paraId="4B0631A5" w14:textId="77777777" w:rsidR="009C7037" w:rsidRPr="002A38DD" w:rsidRDefault="009C7037">
                        <w:pPr>
                          <w:pBdr>
                            <w:top w:val="single" w:sz="4" w:space="1" w:color="7F7F7F" w:themeColor="background1" w:themeShade="7F"/>
                          </w:pBdr>
                          <w:jc w:val="center"/>
                        </w:pPr>
                        <w:r>
                          <w:fldChar w:fldCharType="begin"/>
                        </w:r>
                        <w:r>
                          <w:instrText>PAGE   \* MERGEFORMAT</w:instrText>
                        </w:r>
                        <w:r>
                          <w:fldChar w:fldCharType="separate"/>
                        </w:r>
                        <w:r>
                          <w:rPr>
                            <w:noProof/>
                          </w:rPr>
                          <w:t>381</w:t>
                        </w:r>
                        <w:r>
                          <w:rPr>
                            <w:noProof/>
                          </w:rPr>
                          <w:fldChar w:fldCharType="end"/>
                        </w:r>
                      </w:p>
                    </w:txbxContent>
                  </v:textbox>
                  <w10:wrap anchorx="margin" anchory="margin"/>
                </v:rect>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65F0E" w14:textId="77777777" w:rsidR="009C7037" w:rsidRDefault="009C7037" w:rsidP="000B3DD3">
    <w:pPr>
      <w:pStyle w:val="Podnoj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230A2" w14:textId="77777777" w:rsidR="00FD4E24" w:rsidRDefault="00FD4E24" w:rsidP="00891119">
      <w:pPr>
        <w:spacing w:after="0" w:line="240" w:lineRule="auto"/>
      </w:pPr>
      <w:r>
        <w:separator/>
      </w:r>
    </w:p>
  </w:footnote>
  <w:footnote w:type="continuationSeparator" w:id="0">
    <w:p w14:paraId="0BEC201B" w14:textId="77777777" w:rsidR="00FD4E24" w:rsidRDefault="00FD4E24" w:rsidP="00891119">
      <w:pPr>
        <w:spacing w:after="0" w:line="240" w:lineRule="auto"/>
      </w:pPr>
      <w:r>
        <w:continuationSeparator/>
      </w:r>
    </w:p>
  </w:footnote>
  <w:footnote w:id="1">
    <w:p w14:paraId="09095536" w14:textId="77777777" w:rsidR="009C7037" w:rsidRDefault="009C7037" w:rsidP="00891119">
      <w:pPr>
        <w:pStyle w:val="Tekstfusnote"/>
      </w:pPr>
      <w:r w:rsidRPr="00E26DE9">
        <w:rPr>
          <w:rStyle w:val="Referencafusnote"/>
          <w:u w:val="single"/>
        </w:rPr>
        <w:footnoteRef/>
      </w:r>
      <w:r w:rsidRPr="00E26DE9">
        <w:rPr>
          <w:u w:val="single"/>
        </w:rPr>
        <w:t xml:space="preserve"> </w:t>
      </w:r>
      <w:r w:rsidRPr="00E26DE9">
        <w:rPr>
          <w:b/>
          <w:i/>
          <w:u w:val="single"/>
        </w:rPr>
        <w:t>Napomena:</w:t>
      </w:r>
      <w:r>
        <w:t xml:space="preserve"> </w:t>
      </w:r>
    </w:p>
    <w:p w14:paraId="4616B71B" w14:textId="77777777" w:rsidR="009C7037" w:rsidRDefault="009C7037" w:rsidP="00891119">
      <w:pPr>
        <w:pStyle w:val="Tekstfusnote"/>
      </w:pPr>
      <w:r>
        <w:t xml:space="preserve">   Dalje u tekstu kratica </w:t>
      </w:r>
      <w:r w:rsidRPr="00E26DE9">
        <w:rPr>
          <w:b/>
        </w:rPr>
        <w:t>PK</w:t>
      </w:r>
      <w:r>
        <w:t xml:space="preserve"> predstavlja skraćeni naziv za </w:t>
      </w:r>
      <w:r w:rsidRPr="00E26DE9">
        <w:rPr>
          <w:i/>
        </w:rPr>
        <w:t>proračunski korisnik</w:t>
      </w:r>
      <w:r>
        <w:rPr>
          <w:i/>
        </w:rPr>
        <w:t xml:space="preserve"> </w:t>
      </w:r>
      <w:r>
        <w:t xml:space="preserve">Općine Konavle. </w:t>
      </w:r>
    </w:p>
  </w:footnote>
  <w:footnote w:id="2">
    <w:p w14:paraId="22848257" w14:textId="52AA5E5A" w:rsidR="00A61327" w:rsidRDefault="00A61327">
      <w:pPr>
        <w:pStyle w:val="Tekstfusnote"/>
      </w:pPr>
      <w:r>
        <w:rPr>
          <w:rStyle w:val="Referencafusnote"/>
        </w:rPr>
        <w:footnoteRef/>
      </w:r>
      <w:r>
        <w:t xml:space="preserve"> </w:t>
      </w:r>
      <w:r w:rsidRPr="00F715E2">
        <w:rPr>
          <w:b/>
          <w:bCs/>
          <w:color w:val="1F497D" w:themeColor="text2"/>
        </w:rPr>
        <w:t>Razina 22</w:t>
      </w:r>
      <w:r w:rsidRPr="00F715E2">
        <w:rPr>
          <w:color w:val="1F497D" w:themeColor="text2"/>
        </w:rPr>
        <w:t xml:space="preserve"> </w:t>
      </w:r>
      <w:r>
        <w:t xml:space="preserve">–  </w:t>
      </w:r>
      <w:r w:rsidR="00A60260">
        <w:t xml:space="preserve">oznaka za financijske izvještaje </w:t>
      </w:r>
      <w:r>
        <w:t>Općine Konavle</w:t>
      </w:r>
    </w:p>
  </w:footnote>
  <w:footnote w:id="3">
    <w:p w14:paraId="64D20917" w14:textId="77777777" w:rsidR="00A60260" w:rsidRDefault="00A60260">
      <w:pPr>
        <w:pStyle w:val="Tekstfusnote"/>
      </w:pPr>
      <w:r>
        <w:rPr>
          <w:rStyle w:val="Referencafusnote"/>
        </w:rPr>
        <w:footnoteRef/>
      </w:r>
      <w:r>
        <w:t xml:space="preserve"> </w:t>
      </w:r>
      <w:r w:rsidRPr="00F715E2">
        <w:rPr>
          <w:b/>
          <w:bCs/>
          <w:color w:val="7030A0"/>
        </w:rPr>
        <w:t>Razina 23</w:t>
      </w:r>
      <w:r w:rsidRPr="00F715E2">
        <w:rPr>
          <w:color w:val="7030A0"/>
        </w:rPr>
        <w:t xml:space="preserve"> </w:t>
      </w:r>
      <w:r>
        <w:t xml:space="preserve">– oznaka za konsolidirani financijski izvještaj, dakle izvještaje Općine i izvještaje svih njenih proračunskih korisnika. </w:t>
      </w:r>
    </w:p>
    <w:p w14:paraId="2F8BEF54" w14:textId="7E5913A9" w:rsidR="00A60260" w:rsidRDefault="00A60260">
      <w:pPr>
        <w:pStyle w:val="Tekstfusnote"/>
      </w:pPr>
      <w:r>
        <w:t xml:space="preserve">                       </w:t>
      </w:r>
      <w:r w:rsidRPr="00425F00">
        <w:rPr>
          <w:b/>
          <w:bCs/>
        </w:rPr>
        <w:t>Proračun</w:t>
      </w:r>
      <w:r>
        <w:t xml:space="preserve"> kao i </w:t>
      </w:r>
      <w:r w:rsidRPr="00425F00">
        <w:rPr>
          <w:b/>
          <w:bCs/>
        </w:rPr>
        <w:t>Izvještaj o izvršenju proračuna</w:t>
      </w:r>
      <w:r>
        <w:t xml:space="preserve"> </w:t>
      </w:r>
      <w:r w:rsidR="00425F00">
        <w:t>prikazuju se (</w:t>
      </w:r>
      <w:r>
        <w:t>planiraju</w:t>
      </w:r>
      <w:r w:rsidR="00425F00">
        <w:t xml:space="preserve"> i </w:t>
      </w:r>
      <w:r>
        <w:t>izvršavaju</w:t>
      </w:r>
      <w:r w:rsidR="00425F00">
        <w:t>) kao zbroj svih prihoda i rashoda Općine i njenih proračunskih korisnika.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0E9C2" w14:textId="4430FDD6" w:rsidR="00935424" w:rsidRDefault="00935424">
    <w:pPr>
      <w:pStyle w:val="Zaglavlje"/>
      <w:jc w:val="right"/>
    </w:pPr>
  </w:p>
  <w:p w14:paraId="3C3CA74F" w14:textId="77777777" w:rsidR="00935424" w:rsidRDefault="00935424">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visibility:visible;mso-wrap-style:square" o:bullet="t">
        <v:imagedata r:id="rId1" o:title=""/>
      </v:shape>
    </w:pict>
  </w:numPicBullet>
  <w:abstractNum w:abstractNumId="0" w15:restartNumberingAfterBreak="0">
    <w:nsid w:val="03741B6B"/>
    <w:multiLevelType w:val="hybridMultilevel"/>
    <w:tmpl w:val="7154250A"/>
    <w:lvl w:ilvl="0" w:tplc="041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64576B"/>
    <w:multiLevelType w:val="hybridMultilevel"/>
    <w:tmpl w:val="1400AB04"/>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A133307"/>
    <w:multiLevelType w:val="hybridMultilevel"/>
    <w:tmpl w:val="2E721796"/>
    <w:lvl w:ilvl="0" w:tplc="5F56C932">
      <w:start w:val="3"/>
      <w:numFmt w:val="bullet"/>
      <w:lvlText w:val="-"/>
      <w:lvlJc w:val="left"/>
      <w:pPr>
        <w:ind w:left="1494" w:hanging="360"/>
      </w:pPr>
      <w:rPr>
        <w:rFonts w:ascii="Arial Narrow" w:eastAsia="Times New Roman" w:hAnsi="Arial Narrow" w:cs="Times New Roman" w:hint="default"/>
      </w:rPr>
    </w:lvl>
    <w:lvl w:ilvl="1" w:tplc="041A0003" w:tentative="1">
      <w:start w:val="1"/>
      <w:numFmt w:val="bullet"/>
      <w:lvlText w:val="o"/>
      <w:lvlJc w:val="left"/>
      <w:pPr>
        <w:ind w:left="2214" w:hanging="360"/>
      </w:pPr>
      <w:rPr>
        <w:rFonts w:ascii="Courier New" w:hAnsi="Courier New" w:cs="Courier New" w:hint="default"/>
      </w:rPr>
    </w:lvl>
    <w:lvl w:ilvl="2" w:tplc="041A0005" w:tentative="1">
      <w:start w:val="1"/>
      <w:numFmt w:val="bullet"/>
      <w:lvlText w:val=""/>
      <w:lvlJc w:val="left"/>
      <w:pPr>
        <w:ind w:left="2934" w:hanging="360"/>
      </w:pPr>
      <w:rPr>
        <w:rFonts w:ascii="Wingdings" w:hAnsi="Wingdings" w:hint="default"/>
      </w:rPr>
    </w:lvl>
    <w:lvl w:ilvl="3" w:tplc="041A0001" w:tentative="1">
      <w:start w:val="1"/>
      <w:numFmt w:val="bullet"/>
      <w:lvlText w:val=""/>
      <w:lvlJc w:val="left"/>
      <w:pPr>
        <w:ind w:left="3654" w:hanging="360"/>
      </w:pPr>
      <w:rPr>
        <w:rFonts w:ascii="Symbol" w:hAnsi="Symbol" w:hint="default"/>
      </w:rPr>
    </w:lvl>
    <w:lvl w:ilvl="4" w:tplc="041A0003" w:tentative="1">
      <w:start w:val="1"/>
      <w:numFmt w:val="bullet"/>
      <w:lvlText w:val="o"/>
      <w:lvlJc w:val="left"/>
      <w:pPr>
        <w:ind w:left="4374" w:hanging="360"/>
      </w:pPr>
      <w:rPr>
        <w:rFonts w:ascii="Courier New" w:hAnsi="Courier New" w:cs="Courier New" w:hint="default"/>
      </w:rPr>
    </w:lvl>
    <w:lvl w:ilvl="5" w:tplc="041A0005" w:tentative="1">
      <w:start w:val="1"/>
      <w:numFmt w:val="bullet"/>
      <w:lvlText w:val=""/>
      <w:lvlJc w:val="left"/>
      <w:pPr>
        <w:ind w:left="5094" w:hanging="360"/>
      </w:pPr>
      <w:rPr>
        <w:rFonts w:ascii="Wingdings" w:hAnsi="Wingdings" w:hint="default"/>
      </w:rPr>
    </w:lvl>
    <w:lvl w:ilvl="6" w:tplc="041A0001" w:tentative="1">
      <w:start w:val="1"/>
      <w:numFmt w:val="bullet"/>
      <w:lvlText w:val=""/>
      <w:lvlJc w:val="left"/>
      <w:pPr>
        <w:ind w:left="5814" w:hanging="360"/>
      </w:pPr>
      <w:rPr>
        <w:rFonts w:ascii="Symbol" w:hAnsi="Symbol" w:hint="default"/>
      </w:rPr>
    </w:lvl>
    <w:lvl w:ilvl="7" w:tplc="041A0003" w:tentative="1">
      <w:start w:val="1"/>
      <w:numFmt w:val="bullet"/>
      <w:lvlText w:val="o"/>
      <w:lvlJc w:val="left"/>
      <w:pPr>
        <w:ind w:left="6534" w:hanging="360"/>
      </w:pPr>
      <w:rPr>
        <w:rFonts w:ascii="Courier New" w:hAnsi="Courier New" w:cs="Courier New" w:hint="default"/>
      </w:rPr>
    </w:lvl>
    <w:lvl w:ilvl="8" w:tplc="041A0005" w:tentative="1">
      <w:start w:val="1"/>
      <w:numFmt w:val="bullet"/>
      <w:lvlText w:val=""/>
      <w:lvlJc w:val="left"/>
      <w:pPr>
        <w:ind w:left="7254" w:hanging="360"/>
      </w:pPr>
      <w:rPr>
        <w:rFonts w:ascii="Wingdings" w:hAnsi="Wingdings" w:hint="default"/>
      </w:rPr>
    </w:lvl>
  </w:abstractNum>
  <w:abstractNum w:abstractNumId="3" w15:restartNumberingAfterBreak="0">
    <w:nsid w:val="0E726CC2"/>
    <w:multiLevelType w:val="hybridMultilevel"/>
    <w:tmpl w:val="349CA4FC"/>
    <w:lvl w:ilvl="0" w:tplc="041A0009">
      <w:start w:val="1"/>
      <w:numFmt w:val="bullet"/>
      <w:lvlText w:val=""/>
      <w:lvlJc w:val="left"/>
      <w:pPr>
        <w:ind w:left="4689" w:hanging="360"/>
      </w:pPr>
      <w:rPr>
        <w:rFonts w:ascii="Wingdings" w:hAnsi="Wingdings" w:hint="default"/>
      </w:rPr>
    </w:lvl>
    <w:lvl w:ilvl="1" w:tplc="041A0003" w:tentative="1">
      <w:start w:val="1"/>
      <w:numFmt w:val="bullet"/>
      <w:lvlText w:val="o"/>
      <w:lvlJc w:val="left"/>
      <w:pPr>
        <w:ind w:left="5409" w:hanging="360"/>
      </w:pPr>
      <w:rPr>
        <w:rFonts w:ascii="Courier New" w:hAnsi="Courier New" w:cs="Courier New" w:hint="default"/>
      </w:rPr>
    </w:lvl>
    <w:lvl w:ilvl="2" w:tplc="041A0005" w:tentative="1">
      <w:start w:val="1"/>
      <w:numFmt w:val="bullet"/>
      <w:lvlText w:val=""/>
      <w:lvlJc w:val="left"/>
      <w:pPr>
        <w:ind w:left="6129" w:hanging="360"/>
      </w:pPr>
      <w:rPr>
        <w:rFonts w:ascii="Wingdings" w:hAnsi="Wingdings" w:hint="default"/>
      </w:rPr>
    </w:lvl>
    <w:lvl w:ilvl="3" w:tplc="041A0001" w:tentative="1">
      <w:start w:val="1"/>
      <w:numFmt w:val="bullet"/>
      <w:lvlText w:val=""/>
      <w:lvlJc w:val="left"/>
      <w:pPr>
        <w:ind w:left="6849" w:hanging="360"/>
      </w:pPr>
      <w:rPr>
        <w:rFonts w:ascii="Symbol" w:hAnsi="Symbol" w:hint="default"/>
      </w:rPr>
    </w:lvl>
    <w:lvl w:ilvl="4" w:tplc="041A0003" w:tentative="1">
      <w:start w:val="1"/>
      <w:numFmt w:val="bullet"/>
      <w:lvlText w:val="o"/>
      <w:lvlJc w:val="left"/>
      <w:pPr>
        <w:ind w:left="7569" w:hanging="360"/>
      </w:pPr>
      <w:rPr>
        <w:rFonts w:ascii="Courier New" w:hAnsi="Courier New" w:cs="Courier New" w:hint="default"/>
      </w:rPr>
    </w:lvl>
    <w:lvl w:ilvl="5" w:tplc="041A0005" w:tentative="1">
      <w:start w:val="1"/>
      <w:numFmt w:val="bullet"/>
      <w:lvlText w:val=""/>
      <w:lvlJc w:val="left"/>
      <w:pPr>
        <w:ind w:left="8289" w:hanging="360"/>
      </w:pPr>
      <w:rPr>
        <w:rFonts w:ascii="Wingdings" w:hAnsi="Wingdings" w:hint="default"/>
      </w:rPr>
    </w:lvl>
    <w:lvl w:ilvl="6" w:tplc="041A0001" w:tentative="1">
      <w:start w:val="1"/>
      <w:numFmt w:val="bullet"/>
      <w:lvlText w:val=""/>
      <w:lvlJc w:val="left"/>
      <w:pPr>
        <w:ind w:left="9009" w:hanging="360"/>
      </w:pPr>
      <w:rPr>
        <w:rFonts w:ascii="Symbol" w:hAnsi="Symbol" w:hint="default"/>
      </w:rPr>
    </w:lvl>
    <w:lvl w:ilvl="7" w:tplc="041A0003" w:tentative="1">
      <w:start w:val="1"/>
      <w:numFmt w:val="bullet"/>
      <w:lvlText w:val="o"/>
      <w:lvlJc w:val="left"/>
      <w:pPr>
        <w:ind w:left="9729" w:hanging="360"/>
      </w:pPr>
      <w:rPr>
        <w:rFonts w:ascii="Courier New" w:hAnsi="Courier New" w:cs="Courier New" w:hint="default"/>
      </w:rPr>
    </w:lvl>
    <w:lvl w:ilvl="8" w:tplc="041A0005" w:tentative="1">
      <w:start w:val="1"/>
      <w:numFmt w:val="bullet"/>
      <w:lvlText w:val=""/>
      <w:lvlJc w:val="left"/>
      <w:pPr>
        <w:ind w:left="10449" w:hanging="360"/>
      </w:pPr>
      <w:rPr>
        <w:rFonts w:ascii="Wingdings" w:hAnsi="Wingdings" w:hint="default"/>
      </w:rPr>
    </w:lvl>
  </w:abstractNum>
  <w:abstractNum w:abstractNumId="4" w15:restartNumberingAfterBreak="0">
    <w:nsid w:val="0EAC19B6"/>
    <w:multiLevelType w:val="hybridMultilevel"/>
    <w:tmpl w:val="453A1044"/>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 w15:restartNumberingAfterBreak="0">
    <w:nsid w:val="103203B9"/>
    <w:multiLevelType w:val="hybridMultilevel"/>
    <w:tmpl w:val="09EC0D70"/>
    <w:lvl w:ilvl="0" w:tplc="CDA27E06">
      <w:start w:val="1"/>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08204CF"/>
    <w:multiLevelType w:val="hybridMultilevel"/>
    <w:tmpl w:val="6BE0F89C"/>
    <w:lvl w:ilvl="0" w:tplc="9CD08082">
      <w:start w:val="1"/>
      <w:numFmt w:val="decimal"/>
      <w:lvlText w:val="%1."/>
      <w:lvlJc w:val="left"/>
      <w:pPr>
        <w:ind w:left="720" w:hanging="360"/>
      </w:pPr>
      <w:rPr>
        <w:rFonts w:ascii="Arial" w:eastAsia="Calibri"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17B6218"/>
    <w:multiLevelType w:val="hybridMultilevel"/>
    <w:tmpl w:val="1482099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2446D25"/>
    <w:multiLevelType w:val="hybridMultilevel"/>
    <w:tmpl w:val="1F78BE04"/>
    <w:lvl w:ilvl="0" w:tplc="AE463EFE">
      <w:numFmt w:val="bullet"/>
      <w:lvlText w:val="-"/>
      <w:lvlJc w:val="left"/>
      <w:pPr>
        <w:ind w:left="1004" w:hanging="360"/>
      </w:pPr>
      <w:rPr>
        <w:rFonts w:ascii="Times New Roman" w:eastAsiaTheme="minorHAnsi" w:hAnsi="Times New Roman" w:cs="Times New Roman" w:hint="default"/>
      </w:rPr>
    </w:lvl>
    <w:lvl w:ilvl="1" w:tplc="041A0003">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9" w15:restartNumberingAfterBreak="0">
    <w:nsid w:val="124A43AD"/>
    <w:multiLevelType w:val="hybridMultilevel"/>
    <w:tmpl w:val="089ED59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39E5614"/>
    <w:multiLevelType w:val="hybridMultilevel"/>
    <w:tmpl w:val="EEF27CE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48D0EE7"/>
    <w:multiLevelType w:val="multilevel"/>
    <w:tmpl w:val="C9FC7266"/>
    <w:styleLink w:val="Stil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97080B"/>
    <w:multiLevelType w:val="hybridMultilevel"/>
    <w:tmpl w:val="6BE48598"/>
    <w:lvl w:ilvl="0" w:tplc="080ABB78">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A1F4E9A"/>
    <w:multiLevelType w:val="hybridMultilevel"/>
    <w:tmpl w:val="2CA07D2E"/>
    <w:lvl w:ilvl="0" w:tplc="C7046466">
      <w:start w:val="1"/>
      <w:numFmt w:val="decimal"/>
      <w:lvlText w:val="%1."/>
      <w:lvlJc w:val="left"/>
      <w:pPr>
        <w:ind w:left="720" w:hanging="360"/>
      </w:pPr>
      <w:rPr>
        <w:rFonts w:hint="default"/>
        <w:b/>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B7F1E22"/>
    <w:multiLevelType w:val="hybridMultilevel"/>
    <w:tmpl w:val="5C7EE20E"/>
    <w:lvl w:ilvl="0" w:tplc="041A0007">
      <w:start w:val="1"/>
      <w:numFmt w:val="bullet"/>
      <w:lvlText w:val=""/>
      <w:lvlPicBulletId w:val="0"/>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5" w15:restartNumberingAfterBreak="0">
    <w:nsid w:val="1CCC6F42"/>
    <w:multiLevelType w:val="hybridMultilevel"/>
    <w:tmpl w:val="E7E61F04"/>
    <w:lvl w:ilvl="0" w:tplc="DD3A957A">
      <w:start w:val="3"/>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1EC82840"/>
    <w:multiLevelType w:val="hybridMultilevel"/>
    <w:tmpl w:val="C8AE7070"/>
    <w:lvl w:ilvl="0" w:tplc="39142B8E">
      <w:start w:val="1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0761542"/>
    <w:multiLevelType w:val="hybridMultilevel"/>
    <w:tmpl w:val="69CE5EF2"/>
    <w:lvl w:ilvl="0" w:tplc="041A0007">
      <w:start w:val="1"/>
      <w:numFmt w:val="bullet"/>
      <w:lvlText w:val=""/>
      <w:lvlPicBulletId w:val="0"/>
      <w:lvlJc w:val="left"/>
      <w:pPr>
        <w:ind w:left="780" w:hanging="360"/>
      </w:pPr>
      <w:rPr>
        <w:rFonts w:ascii="Symbol" w:hAnsi="Symbol" w:hint="default"/>
      </w:rPr>
    </w:lvl>
    <w:lvl w:ilvl="1" w:tplc="041A0003">
      <w:start w:val="1"/>
      <w:numFmt w:val="bullet"/>
      <w:lvlText w:val="o"/>
      <w:lvlJc w:val="left"/>
      <w:pPr>
        <w:ind w:left="1500" w:hanging="360"/>
      </w:pPr>
      <w:rPr>
        <w:rFonts w:ascii="Courier New" w:hAnsi="Courier New" w:cs="Courier New" w:hint="default"/>
      </w:rPr>
    </w:lvl>
    <w:lvl w:ilvl="2" w:tplc="041A0005">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8" w15:restartNumberingAfterBreak="0">
    <w:nsid w:val="21987352"/>
    <w:multiLevelType w:val="hybridMultilevel"/>
    <w:tmpl w:val="B1D2362C"/>
    <w:lvl w:ilvl="0" w:tplc="7ADCC7A8">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36352FA"/>
    <w:multiLevelType w:val="hybridMultilevel"/>
    <w:tmpl w:val="F10E2FF4"/>
    <w:lvl w:ilvl="0" w:tplc="1196203C">
      <w:numFmt w:val="bullet"/>
      <w:lvlText w:val="-"/>
      <w:lvlJc w:val="left"/>
      <w:pPr>
        <w:ind w:left="1428" w:hanging="360"/>
      </w:pPr>
      <w:rPr>
        <w:rFonts w:ascii="Arial" w:eastAsia="Calibri" w:hAnsi="Arial" w:cs="Aria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0" w15:restartNumberingAfterBreak="0">
    <w:nsid w:val="280B5A18"/>
    <w:multiLevelType w:val="hybridMultilevel"/>
    <w:tmpl w:val="D2324BCE"/>
    <w:lvl w:ilvl="0" w:tplc="D8DAA6CE">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1" w15:restartNumberingAfterBreak="0">
    <w:nsid w:val="28575236"/>
    <w:multiLevelType w:val="hybridMultilevel"/>
    <w:tmpl w:val="B69E82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A2169D5"/>
    <w:multiLevelType w:val="hybridMultilevel"/>
    <w:tmpl w:val="ED6E1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861749"/>
    <w:multiLevelType w:val="hybridMultilevel"/>
    <w:tmpl w:val="FFFFFFFF"/>
    <w:lvl w:ilvl="0" w:tplc="5F689646">
      <w:start w:val="1"/>
      <w:numFmt w:val="bullet"/>
      <w:lvlText w:val="-"/>
      <w:lvlJc w:val="left"/>
      <w:pPr>
        <w:ind w:left="927" w:hanging="360"/>
      </w:pPr>
      <w:rPr>
        <w:rFonts w:ascii="Arial" w:eastAsia="Times New Roman" w:hAnsi="Arial" w:hint="default"/>
      </w:rPr>
    </w:lvl>
    <w:lvl w:ilvl="1" w:tplc="041A0003" w:tentative="1">
      <w:start w:val="1"/>
      <w:numFmt w:val="bullet"/>
      <w:lvlText w:val="o"/>
      <w:lvlJc w:val="left"/>
      <w:pPr>
        <w:ind w:left="1647" w:hanging="360"/>
      </w:pPr>
      <w:rPr>
        <w:rFonts w:ascii="Courier New" w:hAnsi="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24" w15:restartNumberingAfterBreak="0">
    <w:nsid w:val="2C4B6AF3"/>
    <w:multiLevelType w:val="hybridMultilevel"/>
    <w:tmpl w:val="5E32329E"/>
    <w:lvl w:ilvl="0" w:tplc="041A0007">
      <w:start w:val="1"/>
      <w:numFmt w:val="bullet"/>
      <w:lvlText w:val=""/>
      <w:lvlPicBulletId w:val="0"/>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25" w15:restartNumberingAfterBreak="0">
    <w:nsid w:val="30014533"/>
    <w:multiLevelType w:val="hybridMultilevel"/>
    <w:tmpl w:val="7C38E81C"/>
    <w:lvl w:ilvl="0" w:tplc="9E86074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2744FA0"/>
    <w:multiLevelType w:val="hybridMultilevel"/>
    <w:tmpl w:val="8D022AD4"/>
    <w:lvl w:ilvl="0" w:tplc="66ECF6AC">
      <w:start w:val="19"/>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7F6A22"/>
    <w:multiLevelType w:val="hybridMultilevel"/>
    <w:tmpl w:val="7242D8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33D24813"/>
    <w:multiLevelType w:val="hybridMultilevel"/>
    <w:tmpl w:val="920AF038"/>
    <w:lvl w:ilvl="0" w:tplc="041A0003">
      <w:start w:val="1"/>
      <w:numFmt w:val="bullet"/>
      <w:lvlText w:val="o"/>
      <w:lvlJc w:val="left"/>
      <w:pPr>
        <w:ind w:left="1429" w:hanging="360"/>
      </w:pPr>
      <w:rPr>
        <w:rFonts w:ascii="Courier New" w:hAnsi="Courier New" w:cs="Courier New"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9" w15:restartNumberingAfterBreak="0">
    <w:nsid w:val="35623264"/>
    <w:multiLevelType w:val="hybridMultilevel"/>
    <w:tmpl w:val="EDC8AB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39286035"/>
    <w:multiLevelType w:val="hybridMultilevel"/>
    <w:tmpl w:val="54968B2E"/>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396B0F39"/>
    <w:multiLevelType w:val="multilevel"/>
    <w:tmpl w:val="68AC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D6C1CBB"/>
    <w:multiLevelType w:val="hybridMultilevel"/>
    <w:tmpl w:val="DDC8BCF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474E39"/>
    <w:multiLevelType w:val="hybridMultilevel"/>
    <w:tmpl w:val="FCDC360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FFC6027"/>
    <w:multiLevelType w:val="hybridMultilevel"/>
    <w:tmpl w:val="8826935E"/>
    <w:lvl w:ilvl="0" w:tplc="0E309250">
      <w:start w:val="600"/>
      <w:numFmt w:val="bullet"/>
      <w:lvlText w:val=""/>
      <w:lvlJc w:val="left"/>
      <w:pPr>
        <w:ind w:left="720" w:hanging="360"/>
      </w:pPr>
      <w:rPr>
        <w:rFonts w:ascii="Symbol" w:eastAsiaTheme="minorHAnsi"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17F6BE7"/>
    <w:multiLevelType w:val="hybridMultilevel"/>
    <w:tmpl w:val="92D2F48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50E7CC4"/>
    <w:multiLevelType w:val="hybridMultilevel"/>
    <w:tmpl w:val="B5620F36"/>
    <w:lvl w:ilvl="0" w:tplc="5802B894">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F55235C"/>
    <w:multiLevelType w:val="multilevel"/>
    <w:tmpl w:val="5C384B7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528A4684"/>
    <w:multiLevelType w:val="hybridMultilevel"/>
    <w:tmpl w:val="C14AE0CE"/>
    <w:lvl w:ilvl="0" w:tplc="E4006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6E618D"/>
    <w:multiLevelType w:val="hybridMultilevel"/>
    <w:tmpl w:val="4B3EDD5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53E12F55"/>
    <w:multiLevelType w:val="hybridMultilevel"/>
    <w:tmpl w:val="8AAA29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4A92E2C"/>
    <w:multiLevelType w:val="hybridMultilevel"/>
    <w:tmpl w:val="3E0A9782"/>
    <w:lvl w:ilvl="0" w:tplc="DDE8BCA2">
      <w:start w:val="1"/>
      <w:numFmt w:val="decimal"/>
      <w:lvlText w:val="%1)"/>
      <w:lvlJc w:val="left"/>
      <w:pPr>
        <w:ind w:left="1131" w:hanging="564"/>
      </w:pPr>
      <w:rPr>
        <w:rFonts w:hint="default"/>
      </w:rPr>
    </w:lvl>
    <w:lvl w:ilvl="1" w:tplc="041A0019" w:tentative="1">
      <w:start w:val="1"/>
      <w:numFmt w:val="lowerLetter"/>
      <w:lvlText w:val="%2."/>
      <w:lvlJc w:val="left"/>
      <w:pPr>
        <w:ind w:left="1647" w:hanging="360"/>
      </w:pPr>
    </w:lvl>
    <w:lvl w:ilvl="2" w:tplc="9BEA0B2C">
      <w:start w:val="2"/>
      <w:numFmt w:val="bullet"/>
      <w:lvlText w:val="-"/>
      <w:lvlJc w:val="left"/>
      <w:pPr>
        <w:ind w:left="2547" w:hanging="360"/>
      </w:pPr>
      <w:rPr>
        <w:rFonts w:ascii="Arial" w:eastAsia="Times New Roman" w:hAnsi="Arial" w:cs="Arial" w:hint="default"/>
        <w:color w:val="auto"/>
      </w:r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42" w15:restartNumberingAfterBreak="0">
    <w:nsid w:val="57DE302D"/>
    <w:multiLevelType w:val="hybridMultilevel"/>
    <w:tmpl w:val="85C67FEE"/>
    <w:lvl w:ilvl="0" w:tplc="FB6C0F2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3" w15:restartNumberingAfterBreak="0">
    <w:nsid w:val="5A523408"/>
    <w:multiLevelType w:val="hybridMultilevel"/>
    <w:tmpl w:val="ABE2A6B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4" w15:restartNumberingAfterBreak="0">
    <w:nsid w:val="5D2802BF"/>
    <w:multiLevelType w:val="hybridMultilevel"/>
    <w:tmpl w:val="6B4C9E5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D4B5DD0"/>
    <w:multiLevelType w:val="hybridMultilevel"/>
    <w:tmpl w:val="6090DBE2"/>
    <w:lvl w:ilvl="0" w:tplc="041A000F">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5DE73DC9"/>
    <w:multiLevelType w:val="multilevel"/>
    <w:tmpl w:val="09045A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5E053657"/>
    <w:multiLevelType w:val="hybridMultilevel"/>
    <w:tmpl w:val="745C6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5E9956A9"/>
    <w:multiLevelType w:val="multilevel"/>
    <w:tmpl w:val="936C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FF45FC8"/>
    <w:multiLevelType w:val="hybridMultilevel"/>
    <w:tmpl w:val="B2F85B52"/>
    <w:lvl w:ilvl="0" w:tplc="FF98F688">
      <w:start w:val="1"/>
      <w:numFmt w:val="decimal"/>
      <w:lvlText w:val="%1."/>
      <w:lvlJc w:val="left"/>
      <w:pPr>
        <w:ind w:left="720" w:hanging="360"/>
      </w:pPr>
      <w:rPr>
        <w:rFonts w:ascii="Arial" w:eastAsia="Calibri"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615F394B"/>
    <w:multiLevelType w:val="hybridMultilevel"/>
    <w:tmpl w:val="444EF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28F491E"/>
    <w:multiLevelType w:val="hybridMultilevel"/>
    <w:tmpl w:val="E348FDBC"/>
    <w:lvl w:ilvl="0" w:tplc="0DC46292">
      <w:start w:val="45"/>
      <w:numFmt w:val="bullet"/>
      <w:lvlText w:val=""/>
      <w:lvlJc w:val="left"/>
      <w:pPr>
        <w:ind w:left="720" w:hanging="360"/>
      </w:pPr>
      <w:rPr>
        <w:rFonts w:ascii="Symbol" w:eastAsia="Calibri" w:hAnsi="Symbol" w:cstheme="minorHAnsi" w:hint="default"/>
        <w:b/>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6542726D"/>
    <w:multiLevelType w:val="multilevel"/>
    <w:tmpl w:val="D7380452"/>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53" w15:restartNumberingAfterBreak="0">
    <w:nsid w:val="65F1228A"/>
    <w:multiLevelType w:val="hybridMultilevel"/>
    <w:tmpl w:val="54968B2E"/>
    <w:lvl w:ilvl="0" w:tplc="00DC5E4C">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54" w15:restartNumberingAfterBreak="0">
    <w:nsid w:val="67BA0919"/>
    <w:multiLevelType w:val="hybridMultilevel"/>
    <w:tmpl w:val="17FED3E4"/>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5" w15:restartNumberingAfterBreak="0">
    <w:nsid w:val="69F06E1B"/>
    <w:multiLevelType w:val="multilevel"/>
    <w:tmpl w:val="C9FC7266"/>
    <w:numStyleLink w:val="Stil1"/>
  </w:abstractNum>
  <w:abstractNum w:abstractNumId="56" w15:restartNumberingAfterBreak="0">
    <w:nsid w:val="6A0D503A"/>
    <w:multiLevelType w:val="multilevel"/>
    <w:tmpl w:val="28F8091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659012D"/>
    <w:multiLevelType w:val="hybridMultilevel"/>
    <w:tmpl w:val="402657B0"/>
    <w:lvl w:ilvl="0" w:tplc="672A55FC">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78F04EE0"/>
    <w:multiLevelType w:val="hybridMultilevel"/>
    <w:tmpl w:val="E1F299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9" w15:restartNumberingAfterBreak="0">
    <w:nsid w:val="7EFE305A"/>
    <w:multiLevelType w:val="hybridMultilevel"/>
    <w:tmpl w:val="447EF22A"/>
    <w:lvl w:ilvl="0" w:tplc="041A0009">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16cid:durableId="470054652">
    <w:abstractNumId w:val="46"/>
  </w:num>
  <w:num w:numId="2" w16cid:durableId="119225546">
    <w:abstractNumId w:val="56"/>
  </w:num>
  <w:num w:numId="3" w16cid:durableId="568079697">
    <w:abstractNumId w:val="52"/>
  </w:num>
  <w:num w:numId="4" w16cid:durableId="1314480497">
    <w:abstractNumId w:val="8"/>
  </w:num>
  <w:num w:numId="5" w16cid:durableId="1133173">
    <w:abstractNumId w:val="35"/>
  </w:num>
  <w:num w:numId="6" w16cid:durableId="1969126303">
    <w:abstractNumId w:val="15"/>
  </w:num>
  <w:num w:numId="7" w16cid:durableId="1651903409">
    <w:abstractNumId w:val="17"/>
  </w:num>
  <w:num w:numId="8" w16cid:durableId="33120640">
    <w:abstractNumId w:val="21"/>
  </w:num>
  <w:num w:numId="9" w16cid:durableId="1802502148">
    <w:abstractNumId w:val="57"/>
  </w:num>
  <w:num w:numId="10" w16cid:durableId="1653673966">
    <w:abstractNumId w:val="32"/>
  </w:num>
  <w:num w:numId="11" w16cid:durableId="1496992525">
    <w:abstractNumId w:val="14"/>
  </w:num>
  <w:num w:numId="12" w16cid:durableId="672535511">
    <w:abstractNumId w:val="55"/>
    <w:lvlOverride w:ilvl="0">
      <w:lvl w:ilvl="0">
        <w:start w:val="1"/>
        <w:numFmt w:val="upperLetter"/>
        <w:lvlText w:val="%1)"/>
        <w:lvlJc w:val="left"/>
        <w:pPr>
          <w:ind w:left="720" w:hanging="360"/>
        </w:pPr>
        <w:rPr>
          <w:rFonts w:hint="default"/>
          <w:b/>
          <w:bCs/>
          <w:color w:val="auto"/>
        </w:rPr>
      </w:lvl>
    </w:lvlOverride>
  </w:num>
  <w:num w:numId="13" w16cid:durableId="1739284762">
    <w:abstractNumId w:val="18"/>
  </w:num>
  <w:num w:numId="14" w16cid:durableId="2070615556">
    <w:abstractNumId w:val="29"/>
  </w:num>
  <w:num w:numId="15" w16cid:durableId="851915816">
    <w:abstractNumId w:val="36"/>
  </w:num>
  <w:num w:numId="16" w16cid:durableId="1260068046">
    <w:abstractNumId w:val="26"/>
  </w:num>
  <w:num w:numId="17" w16cid:durableId="1258251137">
    <w:abstractNumId w:val="41"/>
  </w:num>
  <w:num w:numId="18" w16cid:durableId="921455703">
    <w:abstractNumId w:val="11"/>
  </w:num>
  <w:num w:numId="19" w16cid:durableId="170529016">
    <w:abstractNumId w:val="0"/>
  </w:num>
  <w:num w:numId="20" w16cid:durableId="1383485633">
    <w:abstractNumId w:val="33"/>
  </w:num>
  <w:num w:numId="21" w16cid:durableId="1250776427">
    <w:abstractNumId w:val="24"/>
  </w:num>
  <w:num w:numId="22" w16cid:durableId="861210764">
    <w:abstractNumId w:val="10"/>
  </w:num>
  <w:num w:numId="23" w16cid:durableId="341784816">
    <w:abstractNumId w:val="58"/>
  </w:num>
  <w:num w:numId="24" w16cid:durableId="592936476">
    <w:abstractNumId w:val="59"/>
  </w:num>
  <w:num w:numId="25" w16cid:durableId="953635873">
    <w:abstractNumId w:val="49"/>
  </w:num>
  <w:num w:numId="26" w16cid:durableId="569966959">
    <w:abstractNumId w:val="16"/>
  </w:num>
  <w:num w:numId="27" w16cid:durableId="557210786">
    <w:abstractNumId w:val="42"/>
  </w:num>
  <w:num w:numId="28" w16cid:durableId="1492140375">
    <w:abstractNumId w:val="39"/>
  </w:num>
  <w:num w:numId="29" w16cid:durableId="944386242">
    <w:abstractNumId w:val="28"/>
  </w:num>
  <w:num w:numId="30" w16cid:durableId="364209083">
    <w:abstractNumId w:val="40"/>
  </w:num>
  <w:num w:numId="31" w16cid:durableId="2022202271">
    <w:abstractNumId w:val="53"/>
  </w:num>
  <w:num w:numId="32" w16cid:durableId="13286364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96123673">
    <w:abstractNumId w:val="20"/>
  </w:num>
  <w:num w:numId="34" w16cid:durableId="540636033">
    <w:abstractNumId w:val="5"/>
  </w:num>
  <w:num w:numId="35" w16cid:durableId="1796095668">
    <w:abstractNumId w:val="45"/>
  </w:num>
  <w:num w:numId="36" w16cid:durableId="889460661">
    <w:abstractNumId w:val="6"/>
  </w:num>
  <w:num w:numId="37" w16cid:durableId="1532452059">
    <w:abstractNumId w:val="3"/>
  </w:num>
  <w:num w:numId="38" w16cid:durableId="2038775831">
    <w:abstractNumId w:val="50"/>
  </w:num>
  <w:num w:numId="39" w16cid:durableId="1694726852">
    <w:abstractNumId w:val="22"/>
  </w:num>
  <w:num w:numId="40" w16cid:durableId="1915505170">
    <w:abstractNumId w:val="25"/>
  </w:num>
  <w:num w:numId="41" w16cid:durableId="1476878144">
    <w:abstractNumId w:val="34"/>
  </w:num>
  <w:num w:numId="42" w16cid:durableId="916860866">
    <w:abstractNumId w:val="47"/>
  </w:num>
  <w:num w:numId="43" w16cid:durableId="1378703979">
    <w:abstractNumId w:val="12"/>
  </w:num>
  <w:num w:numId="44" w16cid:durableId="1606500879">
    <w:abstractNumId w:val="1"/>
  </w:num>
  <w:num w:numId="45" w16cid:durableId="1039278388">
    <w:abstractNumId w:val="9"/>
  </w:num>
  <w:num w:numId="46" w16cid:durableId="2036540047">
    <w:abstractNumId w:val="2"/>
  </w:num>
  <w:num w:numId="47" w16cid:durableId="210967446">
    <w:abstractNumId w:val="13"/>
  </w:num>
  <w:num w:numId="48" w16cid:durableId="279185144">
    <w:abstractNumId w:val="27"/>
  </w:num>
  <w:num w:numId="49" w16cid:durableId="1556043253">
    <w:abstractNumId w:val="38"/>
  </w:num>
  <w:num w:numId="50" w16cid:durableId="362094766">
    <w:abstractNumId w:val="44"/>
  </w:num>
  <w:num w:numId="51" w16cid:durableId="2061321254">
    <w:abstractNumId w:val="19"/>
  </w:num>
  <w:num w:numId="52" w16cid:durableId="801728974">
    <w:abstractNumId w:val="54"/>
  </w:num>
  <w:num w:numId="53" w16cid:durableId="598831172">
    <w:abstractNumId w:val="37"/>
  </w:num>
  <w:num w:numId="54" w16cid:durableId="393049073">
    <w:abstractNumId w:val="31"/>
  </w:num>
  <w:num w:numId="55" w16cid:durableId="996961511">
    <w:abstractNumId w:val="48"/>
  </w:num>
  <w:num w:numId="56" w16cid:durableId="779181652">
    <w:abstractNumId w:val="7"/>
  </w:num>
  <w:num w:numId="57" w16cid:durableId="692656204">
    <w:abstractNumId w:val="43"/>
  </w:num>
  <w:num w:numId="58" w16cid:durableId="84308155">
    <w:abstractNumId w:val="4"/>
  </w:num>
  <w:num w:numId="59" w16cid:durableId="334698030">
    <w:abstractNumId w:val="23"/>
  </w:num>
  <w:num w:numId="60" w16cid:durableId="222564619">
    <w:abstractNumId w:val="51"/>
  </w:num>
  <w:num w:numId="61" w16cid:durableId="293096763">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035"/>
    <w:rsid w:val="0000001A"/>
    <w:rsid w:val="00000475"/>
    <w:rsid w:val="000004E9"/>
    <w:rsid w:val="00000571"/>
    <w:rsid w:val="0000077B"/>
    <w:rsid w:val="00000787"/>
    <w:rsid w:val="00000850"/>
    <w:rsid w:val="000009B0"/>
    <w:rsid w:val="00000AB8"/>
    <w:rsid w:val="00000BAB"/>
    <w:rsid w:val="00000DDD"/>
    <w:rsid w:val="00001050"/>
    <w:rsid w:val="00001209"/>
    <w:rsid w:val="000014B0"/>
    <w:rsid w:val="00001A25"/>
    <w:rsid w:val="00001D9F"/>
    <w:rsid w:val="00001DF5"/>
    <w:rsid w:val="00001DF7"/>
    <w:rsid w:val="00001F43"/>
    <w:rsid w:val="00002233"/>
    <w:rsid w:val="000022FA"/>
    <w:rsid w:val="000025CE"/>
    <w:rsid w:val="000026A7"/>
    <w:rsid w:val="000027F3"/>
    <w:rsid w:val="0000284C"/>
    <w:rsid w:val="000031D8"/>
    <w:rsid w:val="00003300"/>
    <w:rsid w:val="00003456"/>
    <w:rsid w:val="000038F1"/>
    <w:rsid w:val="00003B5B"/>
    <w:rsid w:val="00003D5F"/>
    <w:rsid w:val="000042AA"/>
    <w:rsid w:val="000044BA"/>
    <w:rsid w:val="00004B4F"/>
    <w:rsid w:val="00004F0B"/>
    <w:rsid w:val="00005025"/>
    <w:rsid w:val="0000514C"/>
    <w:rsid w:val="0000515F"/>
    <w:rsid w:val="0000527F"/>
    <w:rsid w:val="00005362"/>
    <w:rsid w:val="00005584"/>
    <w:rsid w:val="000056DF"/>
    <w:rsid w:val="000058D7"/>
    <w:rsid w:val="000059DA"/>
    <w:rsid w:val="00005BAB"/>
    <w:rsid w:val="00005DDE"/>
    <w:rsid w:val="00006244"/>
    <w:rsid w:val="000062E8"/>
    <w:rsid w:val="0000631F"/>
    <w:rsid w:val="00006651"/>
    <w:rsid w:val="000067A0"/>
    <w:rsid w:val="000068A1"/>
    <w:rsid w:val="0000779C"/>
    <w:rsid w:val="000077E4"/>
    <w:rsid w:val="000078C2"/>
    <w:rsid w:val="00007B6C"/>
    <w:rsid w:val="00010109"/>
    <w:rsid w:val="00010372"/>
    <w:rsid w:val="0001045B"/>
    <w:rsid w:val="000107C1"/>
    <w:rsid w:val="00010A93"/>
    <w:rsid w:val="00010B6A"/>
    <w:rsid w:val="00010E86"/>
    <w:rsid w:val="00011719"/>
    <w:rsid w:val="000121D5"/>
    <w:rsid w:val="0001252D"/>
    <w:rsid w:val="00012822"/>
    <w:rsid w:val="000128EA"/>
    <w:rsid w:val="00012F0B"/>
    <w:rsid w:val="000130B5"/>
    <w:rsid w:val="00013151"/>
    <w:rsid w:val="0001315B"/>
    <w:rsid w:val="00013162"/>
    <w:rsid w:val="000133D0"/>
    <w:rsid w:val="000134C1"/>
    <w:rsid w:val="00013C54"/>
    <w:rsid w:val="0001401B"/>
    <w:rsid w:val="0001404F"/>
    <w:rsid w:val="00014158"/>
    <w:rsid w:val="0001494A"/>
    <w:rsid w:val="00014A5E"/>
    <w:rsid w:val="00014BB6"/>
    <w:rsid w:val="00014BDD"/>
    <w:rsid w:val="00014D13"/>
    <w:rsid w:val="00014EF9"/>
    <w:rsid w:val="00015053"/>
    <w:rsid w:val="00015198"/>
    <w:rsid w:val="00015621"/>
    <w:rsid w:val="00015681"/>
    <w:rsid w:val="00015E7F"/>
    <w:rsid w:val="00015F9B"/>
    <w:rsid w:val="000166CC"/>
    <w:rsid w:val="00016D71"/>
    <w:rsid w:val="0001700A"/>
    <w:rsid w:val="0001734D"/>
    <w:rsid w:val="0001746C"/>
    <w:rsid w:val="00017A7D"/>
    <w:rsid w:val="00017B18"/>
    <w:rsid w:val="00017BCE"/>
    <w:rsid w:val="00017DA7"/>
    <w:rsid w:val="000204FB"/>
    <w:rsid w:val="00020558"/>
    <w:rsid w:val="00020931"/>
    <w:rsid w:val="0002126E"/>
    <w:rsid w:val="000217C8"/>
    <w:rsid w:val="00021924"/>
    <w:rsid w:val="00021B32"/>
    <w:rsid w:val="00021BE7"/>
    <w:rsid w:val="00022052"/>
    <w:rsid w:val="00022082"/>
    <w:rsid w:val="000221EB"/>
    <w:rsid w:val="00022550"/>
    <w:rsid w:val="00022BEA"/>
    <w:rsid w:val="00022F2E"/>
    <w:rsid w:val="00023227"/>
    <w:rsid w:val="00023378"/>
    <w:rsid w:val="0002348B"/>
    <w:rsid w:val="000234F5"/>
    <w:rsid w:val="000238EE"/>
    <w:rsid w:val="00023D71"/>
    <w:rsid w:val="00023EDA"/>
    <w:rsid w:val="00023F91"/>
    <w:rsid w:val="0002408B"/>
    <w:rsid w:val="00024118"/>
    <w:rsid w:val="00024191"/>
    <w:rsid w:val="000242E7"/>
    <w:rsid w:val="0002452B"/>
    <w:rsid w:val="000246FE"/>
    <w:rsid w:val="00024907"/>
    <w:rsid w:val="00024FC6"/>
    <w:rsid w:val="000251C8"/>
    <w:rsid w:val="0002520A"/>
    <w:rsid w:val="000257B5"/>
    <w:rsid w:val="00025AA1"/>
    <w:rsid w:val="00025BE3"/>
    <w:rsid w:val="00026730"/>
    <w:rsid w:val="00026A58"/>
    <w:rsid w:val="00026C1C"/>
    <w:rsid w:val="00026D16"/>
    <w:rsid w:val="00026F05"/>
    <w:rsid w:val="0002705A"/>
    <w:rsid w:val="000273F2"/>
    <w:rsid w:val="000274CD"/>
    <w:rsid w:val="00027796"/>
    <w:rsid w:val="00027958"/>
    <w:rsid w:val="000279E7"/>
    <w:rsid w:val="00027E8D"/>
    <w:rsid w:val="00027F4C"/>
    <w:rsid w:val="00027F95"/>
    <w:rsid w:val="000302F5"/>
    <w:rsid w:val="000303F3"/>
    <w:rsid w:val="000304D9"/>
    <w:rsid w:val="00030CE4"/>
    <w:rsid w:val="00030ECD"/>
    <w:rsid w:val="0003100C"/>
    <w:rsid w:val="00031106"/>
    <w:rsid w:val="000312DA"/>
    <w:rsid w:val="00032087"/>
    <w:rsid w:val="0003237F"/>
    <w:rsid w:val="00032403"/>
    <w:rsid w:val="00032656"/>
    <w:rsid w:val="000326A1"/>
    <w:rsid w:val="000327A6"/>
    <w:rsid w:val="00032922"/>
    <w:rsid w:val="00032A82"/>
    <w:rsid w:val="00032AB3"/>
    <w:rsid w:val="00032AE0"/>
    <w:rsid w:val="00032C7B"/>
    <w:rsid w:val="00032DAC"/>
    <w:rsid w:val="0003335A"/>
    <w:rsid w:val="000334D7"/>
    <w:rsid w:val="0003364E"/>
    <w:rsid w:val="000337F1"/>
    <w:rsid w:val="00033AED"/>
    <w:rsid w:val="00033D98"/>
    <w:rsid w:val="00034073"/>
    <w:rsid w:val="00034290"/>
    <w:rsid w:val="00034C98"/>
    <w:rsid w:val="00034D08"/>
    <w:rsid w:val="00034DBC"/>
    <w:rsid w:val="00034DBF"/>
    <w:rsid w:val="00034FF6"/>
    <w:rsid w:val="00035367"/>
    <w:rsid w:val="00035400"/>
    <w:rsid w:val="00035487"/>
    <w:rsid w:val="00035527"/>
    <w:rsid w:val="0003566F"/>
    <w:rsid w:val="00035AA9"/>
    <w:rsid w:val="0003624E"/>
    <w:rsid w:val="00036316"/>
    <w:rsid w:val="000363B3"/>
    <w:rsid w:val="00036455"/>
    <w:rsid w:val="000366E0"/>
    <w:rsid w:val="00036E95"/>
    <w:rsid w:val="0003711D"/>
    <w:rsid w:val="000371AF"/>
    <w:rsid w:val="00037244"/>
    <w:rsid w:val="0003728F"/>
    <w:rsid w:val="00037358"/>
    <w:rsid w:val="00037BAF"/>
    <w:rsid w:val="00037C6A"/>
    <w:rsid w:val="00037D34"/>
    <w:rsid w:val="00037E59"/>
    <w:rsid w:val="00037F69"/>
    <w:rsid w:val="00037F8B"/>
    <w:rsid w:val="0004074C"/>
    <w:rsid w:val="000409E5"/>
    <w:rsid w:val="00040BFB"/>
    <w:rsid w:val="00040C59"/>
    <w:rsid w:val="00040C75"/>
    <w:rsid w:val="00041255"/>
    <w:rsid w:val="0004156F"/>
    <w:rsid w:val="00041D6E"/>
    <w:rsid w:val="00041DD2"/>
    <w:rsid w:val="00041E5E"/>
    <w:rsid w:val="0004202B"/>
    <w:rsid w:val="0004209C"/>
    <w:rsid w:val="0004222B"/>
    <w:rsid w:val="000422AA"/>
    <w:rsid w:val="0004293C"/>
    <w:rsid w:val="0004295E"/>
    <w:rsid w:val="00042BBE"/>
    <w:rsid w:val="00042DA9"/>
    <w:rsid w:val="00042FFC"/>
    <w:rsid w:val="00043249"/>
    <w:rsid w:val="000433AD"/>
    <w:rsid w:val="00043609"/>
    <w:rsid w:val="00043DCD"/>
    <w:rsid w:val="00043F21"/>
    <w:rsid w:val="000445FD"/>
    <w:rsid w:val="0004464E"/>
    <w:rsid w:val="0004498C"/>
    <w:rsid w:val="00044B42"/>
    <w:rsid w:val="00045079"/>
    <w:rsid w:val="0004511D"/>
    <w:rsid w:val="000452F9"/>
    <w:rsid w:val="000456C9"/>
    <w:rsid w:val="00045F04"/>
    <w:rsid w:val="000463D9"/>
    <w:rsid w:val="00046828"/>
    <w:rsid w:val="00046A91"/>
    <w:rsid w:val="00046D35"/>
    <w:rsid w:val="00046F5C"/>
    <w:rsid w:val="00047363"/>
    <w:rsid w:val="0004794C"/>
    <w:rsid w:val="00047A72"/>
    <w:rsid w:val="00047CB7"/>
    <w:rsid w:val="00047EAA"/>
    <w:rsid w:val="00047EB5"/>
    <w:rsid w:val="00047EE3"/>
    <w:rsid w:val="00047F9F"/>
    <w:rsid w:val="0005008F"/>
    <w:rsid w:val="0005065B"/>
    <w:rsid w:val="0005083B"/>
    <w:rsid w:val="000509B0"/>
    <w:rsid w:val="00050A1C"/>
    <w:rsid w:val="00050C3C"/>
    <w:rsid w:val="000511A4"/>
    <w:rsid w:val="00051219"/>
    <w:rsid w:val="00051437"/>
    <w:rsid w:val="000521FC"/>
    <w:rsid w:val="0005227E"/>
    <w:rsid w:val="000524B2"/>
    <w:rsid w:val="0005262A"/>
    <w:rsid w:val="000528CF"/>
    <w:rsid w:val="00052A62"/>
    <w:rsid w:val="00052AE4"/>
    <w:rsid w:val="00052BB5"/>
    <w:rsid w:val="00053082"/>
    <w:rsid w:val="000536E1"/>
    <w:rsid w:val="00053CE5"/>
    <w:rsid w:val="00053D75"/>
    <w:rsid w:val="000545C3"/>
    <w:rsid w:val="000545CD"/>
    <w:rsid w:val="00054868"/>
    <w:rsid w:val="00054A4A"/>
    <w:rsid w:val="00054B20"/>
    <w:rsid w:val="00054B51"/>
    <w:rsid w:val="00054CE7"/>
    <w:rsid w:val="00054FCD"/>
    <w:rsid w:val="00055176"/>
    <w:rsid w:val="00055300"/>
    <w:rsid w:val="000554BE"/>
    <w:rsid w:val="000555DD"/>
    <w:rsid w:val="00055611"/>
    <w:rsid w:val="00055640"/>
    <w:rsid w:val="000558CD"/>
    <w:rsid w:val="000558D4"/>
    <w:rsid w:val="00055B4E"/>
    <w:rsid w:val="00055BAD"/>
    <w:rsid w:val="00055CA1"/>
    <w:rsid w:val="00055E8A"/>
    <w:rsid w:val="0005651E"/>
    <w:rsid w:val="000565D9"/>
    <w:rsid w:val="00056F68"/>
    <w:rsid w:val="00057309"/>
    <w:rsid w:val="000577F4"/>
    <w:rsid w:val="00057AAA"/>
    <w:rsid w:val="00057C24"/>
    <w:rsid w:val="00057DED"/>
    <w:rsid w:val="00057F77"/>
    <w:rsid w:val="000601E7"/>
    <w:rsid w:val="000602E5"/>
    <w:rsid w:val="000603F8"/>
    <w:rsid w:val="00060651"/>
    <w:rsid w:val="0006065D"/>
    <w:rsid w:val="00060B4C"/>
    <w:rsid w:val="0006109D"/>
    <w:rsid w:val="0006110D"/>
    <w:rsid w:val="00061358"/>
    <w:rsid w:val="000614B3"/>
    <w:rsid w:val="00061B51"/>
    <w:rsid w:val="00061C80"/>
    <w:rsid w:val="00061E12"/>
    <w:rsid w:val="000623EA"/>
    <w:rsid w:val="00062440"/>
    <w:rsid w:val="00062552"/>
    <w:rsid w:val="00062BBA"/>
    <w:rsid w:val="0006315E"/>
    <w:rsid w:val="00063235"/>
    <w:rsid w:val="000639BB"/>
    <w:rsid w:val="00063A65"/>
    <w:rsid w:val="00063B92"/>
    <w:rsid w:val="00063C04"/>
    <w:rsid w:val="00063FA1"/>
    <w:rsid w:val="000640FB"/>
    <w:rsid w:val="0006411C"/>
    <w:rsid w:val="000642B4"/>
    <w:rsid w:val="00064815"/>
    <w:rsid w:val="000649EC"/>
    <w:rsid w:val="00064DFA"/>
    <w:rsid w:val="00064EF1"/>
    <w:rsid w:val="0006509B"/>
    <w:rsid w:val="000650E1"/>
    <w:rsid w:val="0006533E"/>
    <w:rsid w:val="0006569B"/>
    <w:rsid w:val="00065B02"/>
    <w:rsid w:val="00065E3F"/>
    <w:rsid w:val="00065FEC"/>
    <w:rsid w:val="000662CC"/>
    <w:rsid w:val="00066986"/>
    <w:rsid w:val="00067036"/>
    <w:rsid w:val="00067116"/>
    <w:rsid w:val="000673A1"/>
    <w:rsid w:val="00067547"/>
    <w:rsid w:val="000704A1"/>
    <w:rsid w:val="00070C5D"/>
    <w:rsid w:val="00070FBF"/>
    <w:rsid w:val="00071138"/>
    <w:rsid w:val="00071845"/>
    <w:rsid w:val="0007199B"/>
    <w:rsid w:val="00071BFE"/>
    <w:rsid w:val="00071CF5"/>
    <w:rsid w:val="00071D12"/>
    <w:rsid w:val="00071DBE"/>
    <w:rsid w:val="00071EE4"/>
    <w:rsid w:val="0007202F"/>
    <w:rsid w:val="000722D9"/>
    <w:rsid w:val="000727AD"/>
    <w:rsid w:val="00073035"/>
    <w:rsid w:val="00073040"/>
    <w:rsid w:val="00073071"/>
    <w:rsid w:val="0007326F"/>
    <w:rsid w:val="000738CA"/>
    <w:rsid w:val="00073E35"/>
    <w:rsid w:val="000742FD"/>
    <w:rsid w:val="000743F0"/>
    <w:rsid w:val="000745C3"/>
    <w:rsid w:val="000747E1"/>
    <w:rsid w:val="00074CC4"/>
    <w:rsid w:val="0007565F"/>
    <w:rsid w:val="00075B15"/>
    <w:rsid w:val="0007659A"/>
    <w:rsid w:val="00076712"/>
    <w:rsid w:val="00076830"/>
    <w:rsid w:val="0007683F"/>
    <w:rsid w:val="000768AA"/>
    <w:rsid w:val="00076AE8"/>
    <w:rsid w:val="00077575"/>
    <w:rsid w:val="000776A5"/>
    <w:rsid w:val="00077745"/>
    <w:rsid w:val="000777F4"/>
    <w:rsid w:val="000804B7"/>
    <w:rsid w:val="00080510"/>
    <w:rsid w:val="00080511"/>
    <w:rsid w:val="00080548"/>
    <w:rsid w:val="0008074D"/>
    <w:rsid w:val="00080E4B"/>
    <w:rsid w:val="000812B4"/>
    <w:rsid w:val="0008145D"/>
    <w:rsid w:val="0008145E"/>
    <w:rsid w:val="0008170B"/>
    <w:rsid w:val="00081C28"/>
    <w:rsid w:val="00081CEB"/>
    <w:rsid w:val="00081E11"/>
    <w:rsid w:val="000821A5"/>
    <w:rsid w:val="00082213"/>
    <w:rsid w:val="000827C9"/>
    <w:rsid w:val="00082B02"/>
    <w:rsid w:val="00082FC6"/>
    <w:rsid w:val="00083559"/>
    <w:rsid w:val="00083828"/>
    <w:rsid w:val="00083BF2"/>
    <w:rsid w:val="00083CCF"/>
    <w:rsid w:val="0008419D"/>
    <w:rsid w:val="000841EE"/>
    <w:rsid w:val="00084204"/>
    <w:rsid w:val="00084621"/>
    <w:rsid w:val="00084710"/>
    <w:rsid w:val="000847C3"/>
    <w:rsid w:val="00084D81"/>
    <w:rsid w:val="00084F55"/>
    <w:rsid w:val="000852F2"/>
    <w:rsid w:val="000853FD"/>
    <w:rsid w:val="0008542E"/>
    <w:rsid w:val="000857CF"/>
    <w:rsid w:val="00085DF8"/>
    <w:rsid w:val="00085FD6"/>
    <w:rsid w:val="00086371"/>
    <w:rsid w:val="00086B6B"/>
    <w:rsid w:val="00086C32"/>
    <w:rsid w:val="00086E56"/>
    <w:rsid w:val="00086E95"/>
    <w:rsid w:val="000870E1"/>
    <w:rsid w:val="00087226"/>
    <w:rsid w:val="00087502"/>
    <w:rsid w:val="0008772F"/>
    <w:rsid w:val="00087824"/>
    <w:rsid w:val="000878E3"/>
    <w:rsid w:val="000879CE"/>
    <w:rsid w:val="00087A50"/>
    <w:rsid w:val="00087ADF"/>
    <w:rsid w:val="00087FBA"/>
    <w:rsid w:val="00090AEE"/>
    <w:rsid w:val="00090B79"/>
    <w:rsid w:val="00090C07"/>
    <w:rsid w:val="000910A2"/>
    <w:rsid w:val="0009147B"/>
    <w:rsid w:val="00091ADA"/>
    <w:rsid w:val="00091BB3"/>
    <w:rsid w:val="00091D90"/>
    <w:rsid w:val="000920B3"/>
    <w:rsid w:val="0009242C"/>
    <w:rsid w:val="00092482"/>
    <w:rsid w:val="0009256C"/>
    <w:rsid w:val="0009274F"/>
    <w:rsid w:val="000928CC"/>
    <w:rsid w:val="00092A27"/>
    <w:rsid w:val="00092B46"/>
    <w:rsid w:val="0009354E"/>
    <w:rsid w:val="00093722"/>
    <w:rsid w:val="0009402B"/>
    <w:rsid w:val="00094284"/>
    <w:rsid w:val="000948CD"/>
    <w:rsid w:val="00094BFA"/>
    <w:rsid w:val="0009500C"/>
    <w:rsid w:val="00095379"/>
    <w:rsid w:val="00095670"/>
    <w:rsid w:val="000956DF"/>
    <w:rsid w:val="00095775"/>
    <w:rsid w:val="00095B52"/>
    <w:rsid w:val="00095D62"/>
    <w:rsid w:val="0009628D"/>
    <w:rsid w:val="00096316"/>
    <w:rsid w:val="0009639F"/>
    <w:rsid w:val="00096618"/>
    <w:rsid w:val="00096743"/>
    <w:rsid w:val="00096775"/>
    <w:rsid w:val="00096840"/>
    <w:rsid w:val="000969E3"/>
    <w:rsid w:val="00096A40"/>
    <w:rsid w:val="00096AE7"/>
    <w:rsid w:val="00096C58"/>
    <w:rsid w:val="00096EE4"/>
    <w:rsid w:val="0009707F"/>
    <w:rsid w:val="000971C3"/>
    <w:rsid w:val="000974D7"/>
    <w:rsid w:val="000977A2"/>
    <w:rsid w:val="000977FE"/>
    <w:rsid w:val="000979DF"/>
    <w:rsid w:val="00097F82"/>
    <w:rsid w:val="000A0295"/>
    <w:rsid w:val="000A0333"/>
    <w:rsid w:val="000A045A"/>
    <w:rsid w:val="000A0604"/>
    <w:rsid w:val="000A064F"/>
    <w:rsid w:val="000A068E"/>
    <w:rsid w:val="000A095C"/>
    <w:rsid w:val="000A0973"/>
    <w:rsid w:val="000A0A41"/>
    <w:rsid w:val="000A0DF7"/>
    <w:rsid w:val="000A124E"/>
    <w:rsid w:val="000A125F"/>
    <w:rsid w:val="000A13EA"/>
    <w:rsid w:val="000A1581"/>
    <w:rsid w:val="000A1B58"/>
    <w:rsid w:val="000A1D9C"/>
    <w:rsid w:val="000A2460"/>
    <w:rsid w:val="000A272F"/>
    <w:rsid w:val="000A283C"/>
    <w:rsid w:val="000A2A28"/>
    <w:rsid w:val="000A2BA8"/>
    <w:rsid w:val="000A2E64"/>
    <w:rsid w:val="000A2FA3"/>
    <w:rsid w:val="000A3051"/>
    <w:rsid w:val="000A35D9"/>
    <w:rsid w:val="000A380B"/>
    <w:rsid w:val="000A3810"/>
    <w:rsid w:val="000A3C16"/>
    <w:rsid w:val="000A4654"/>
    <w:rsid w:val="000A4B29"/>
    <w:rsid w:val="000A4F34"/>
    <w:rsid w:val="000A5163"/>
    <w:rsid w:val="000A540B"/>
    <w:rsid w:val="000A5720"/>
    <w:rsid w:val="000A5780"/>
    <w:rsid w:val="000A5DA8"/>
    <w:rsid w:val="000A6044"/>
    <w:rsid w:val="000A6236"/>
    <w:rsid w:val="000A631D"/>
    <w:rsid w:val="000A6332"/>
    <w:rsid w:val="000A6427"/>
    <w:rsid w:val="000A6835"/>
    <w:rsid w:val="000A6C6D"/>
    <w:rsid w:val="000A7090"/>
    <w:rsid w:val="000A724E"/>
    <w:rsid w:val="000A73F6"/>
    <w:rsid w:val="000A7777"/>
    <w:rsid w:val="000A785B"/>
    <w:rsid w:val="000A7AB1"/>
    <w:rsid w:val="000A7B0B"/>
    <w:rsid w:val="000A7B11"/>
    <w:rsid w:val="000A7FA6"/>
    <w:rsid w:val="000B057F"/>
    <w:rsid w:val="000B0C13"/>
    <w:rsid w:val="000B14F3"/>
    <w:rsid w:val="000B160A"/>
    <w:rsid w:val="000B171B"/>
    <w:rsid w:val="000B1939"/>
    <w:rsid w:val="000B1C68"/>
    <w:rsid w:val="000B1E6A"/>
    <w:rsid w:val="000B1FCF"/>
    <w:rsid w:val="000B2088"/>
    <w:rsid w:val="000B23D5"/>
    <w:rsid w:val="000B23F5"/>
    <w:rsid w:val="000B2988"/>
    <w:rsid w:val="000B2BBA"/>
    <w:rsid w:val="000B2D6E"/>
    <w:rsid w:val="000B2E25"/>
    <w:rsid w:val="000B325D"/>
    <w:rsid w:val="000B375B"/>
    <w:rsid w:val="000B3787"/>
    <w:rsid w:val="000B3888"/>
    <w:rsid w:val="000B38FD"/>
    <w:rsid w:val="000B3A69"/>
    <w:rsid w:val="000B3C06"/>
    <w:rsid w:val="000B3DD3"/>
    <w:rsid w:val="000B3FAB"/>
    <w:rsid w:val="000B4235"/>
    <w:rsid w:val="000B4589"/>
    <w:rsid w:val="000B49CF"/>
    <w:rsid w:val="000B4A24"/>
    <w:rsid w:val="000B5489"/>
    <w:rsid w:val="000B54B6"/>
    <w:rsid w:val="000B5A60"/>
    <w:rsid w:val="000B5B1A"/>
    <w:rsid w:val="000B5C80"/>
    <w:rsid w:val="000B5D9C"/>
    <w:rsid w:val="000B5F00"/>
    <w:rsid w:val="000B6890"/>
    <w:rsid w:val="000B6A06"/>
    <w:rsid w:val="000B6B68"/>
    <w:rsid w:val="000B6BD3"/>
    <w:rsid w:val="000B6DCB"/>
    <w:rsid w:val="000B6EC6"/>
    <w:rsid w:val="000B71B7"/>
    <w:rsid w:val="000B71D5"/>
    <w:rsid w:val="000B7311"/>
    <w:rsid w:val="000B75AE"/>
    <w:rsid w:val="000B7AAC"/>
    <w:rsid w:val="000B7CFF"/>
    <w:rsid w:val="000C0282"/>
    <w:rsid w:val="000C093A"/>
    <w:rsid w:val="000C093F"/>
    <w:rsid w:val="000C09C6"/>
    <w:rsid w:val="000C0A7C"/>
    <w:rsid w:val="000C0CD8"/>
    <w:rsid w:val="000C0E40"/>
    <w:rsid w:val="000C1373"/>
    <w:rsid w:val="000C15BB"/>
    <w:rsid w:val="000C19A8"/>
    <w:rsid w:val="000C1E18"/>
    <w:rsid w:val="000C2061"/>
    <w:rsid w:val="000C21B3"/>
    <w:rsid w:val="000C268F"/>
    <w:rsid w:val="000C271A"/>
    <w:rsid w:val="000C27AF"/>
    <w:rsid w:val="000C28D0"/>
    <w:rsid w:val="000C28EE"/>
    <w:rsid w:val="000C2987"/>
    <w:rsid w:val="000C2E52"/>
    <w:rsid w:val="000C3139"/>
    <w:rsid w:val="000C3163"/>
    <w:rsid w:val="000C3BB0"/>
    <w:rsid w:val="000C3F42"/>
    <w:rsid w:val="000C3F54"/>
    <w:rsid w:val="000C42ED"/>
    <w:rsid w:val="000C4323"/>
    <w:rsid w:val="000C4743"/>
    <w:rsid w:val="000C4BCF"/>
    <w:rsid w:val="000C4D76"/>
    <w:rsid w:val="000C5365"/>
    <w:rsid w:val="000C5A59"/>
    <w:rsid w:val="000C5AD9"/>
    <w:rsid w:val="000C5DE6"/>
    <w:rsid w:val="000C61D2"/>
    <w:rsid w:val="000C62B8"/>
    <w:rsid w:val="000C6511"/>
    <w:rsid w:val="000C658C"/>
    <w:rsid w:val="000C6BF5"/>
    <w:rsid w:val="000C71D9"/>
    <w:rsid w:val="000C749D"/>
    <w:rsid w:val="000C77BB"/>
    <w:rsid w:val="000C78E9"/>
    <w:rsid w:val="000D00F1"/>
    <w:rsid w:val="000D0267"/>
    <w:rsid w:val="000D02A0"/>
    <w:rsid w:val="000D065F"/>
    <w:rsid w:val="000D170E"/>
    <w:rsid w:val="000D2499"/>
    <w:rsid w:val="000D25DB"/>
    <w:rsid w:val="000D28A3"/>
    <w:rsid w:val="000D3052"/>
    <w:rsid w:val="000D34AF"/>
    <w:rsid w:val="000D34DF"/>
    <w:rsid w:val="000D3667"/>
    <w:rsid w:val="000D37E4"/>
    <w:rsid w:val="000D390F"/>
    <w:rsid w:val="000D39E4"/>
    <w:rsid w:val="000D3A68"/>
    <w:rsid w:val="000D3EA5"/>
    <w:rsid w:val="000D43BC"/>
    <w:rsid w:val="000D4AAF"/>
    <w:rsid w:val="000D4AE8"/>
    <w:rsid w:val="000D5046"/>
    <w:rsid w:val="000D518D"/>
    <w:rsid w:val="000D554B"/>
    <w:rsid w:val="000D56FC"/>
    <w:rsid w:val="000D5B8D"/>
    <w:rsid w:val="000D5C74"/>
    <w:rsid w:val="000D5DAB"/>
    <w:rsid w:val="000D5E4C"/>
    <w:rsid w:val="000D688D"/>
    <w:rsid w:val="000D697D"/>
    <w:rsid w:val="000D6EF9"/>
    <w:rsid w:val="000D752C"/>
    <w:rsid w:val="000D7652"/>
    <w:rsid w:val="000D786A"/>
    <w:rsid w:val="000D79DB"/>
    <w:rsid w:val="000D7B95"/>
    <w:rsid w:val="000D7C48"/>
    <w:rsid w:val="000D7C5B"/>
    <w:rsid w:val="000E0D60"/>
    <w:rsid w:val="000E0D94"/>
    <w:rsid w:val="000E1978"/>
    <w:rsid w:val="000E1B68"/>
    <w:rsid w:val="000E1C0C"/>
    <w:rsid w:val="000E2430"/>
    <w:rsid w:val="000E2930"/>
    <w:rsid w:val="000E293E"/>
    <w:rsid w:val="000E2ACE"/>
    <w:rsid w:val="000E2E6A"/>
    <w:rsid w:val="000E2EB0"/>
    <w:rsid w:val="000E3305"/>
    <w:rsid w:val="000E335A"/>
    <w:rsid w:val="000E3924"/>
    <w:rsid w:val="000E3CD5"/>
    <w:rsid w:val="000E3D97"/>
    <w:rsid w:val="000E3EA8"/>
    <w:rsid w:val="000E3F08"/>
    <w:rsid w:val="000E3F46"/>
    <w:rsid w:val="000E40DF"/>
    <w:rsid w:val="000E436D"/>
    <w:rsid w:val="000E44C6"/>
    <w:rsid w:val="000E4677"/>
    <w:rsid w:val="000E46EB"/>
    <w:rsid w:val="000E4877"/>
    <w:rsid w:val="000E4E20"/>
    <w:rsid w:val="000E4E46"/>
    <w:rsid w:val="000E504F"/>
    <w:rsid w:val="000E5270"/>
    <w:rsid w:val="000E540F"/>
    <w:rsid w:val="000E5434"/>
    <w:rsid w:val="000E554E"/>
    <w:rsid w:val="000E5634"/>
    <w:rsid w:val="000E5C40"/>
    <w:rsid w:val="000E6267"/>
    <w:rsid w:val="000E6C7E"/>
    <w:rsid w:val="000E76C9"/>
    <w:rsid w:val="000E78AC"/>
    <w:rsid w:val="000E7AC2"/>
    <w:rsid w:val="000E7D29"/>
    <w:rsid w:val="000E7D8D"/>
    <w:rsid w:val="000F01A0"/>
    <w:rsid w:val="000F07E1"/>
    <w:rsid w:val="000F08E0"/>
    <w:rsid w:val="000F0916"/>
    <w:rsid w:val="000F0EB1"/>
    <w:rsid w:val="000F0EE6"/>
    <w:rsid w:val="000F0F63"/>
    <w:rsid w:val="000F12DA"/>
    <w:rsid w:val="000F142F"/>
    <w:rsid w:val="000F1432"/>
    <w:rsid w:val="000F1619"/>
    <w:rsid w:val="000F18F7"/>
    <w:rsid w:val="000F1BCA"/>
    <w:rsid w:val="000F213C"/>
    <w:rsid w:val="000F22E8"/>
    <w:rsid w:val="000F269C"/>
    <w:rsid w:val="000F2CE5"/>
    <w:rsid w:val="000F3096"/>
    <w:rsid w:val="000F30A4"/>
    <w:rsid w:val="000F337F"/>
    <w:rsid w:val="000F35AB"/>
    <w:rsid w:val="000F36DA"/>
    <w:rsid w:val="000F3BB3"/>
    <w:rsid w:val="000F3C11"/>
    <w:rsid w:val="000F3CA9"/>
    <w:rsid w:val="000F3D70"/>
    <w:rsid w:val="000F4481"/>
    <w:rsid w:val="000F4973"/>
    <w:rsid w:val="000F4B98"/>
    <w:rsid w:val="000F4CB2"/>
    <w:rsid w:val="000F56EA"/>
    <w:rsid w:val="000F5CE5"/>
    <w:rsid w:val="000F5E9D"/>
    <w:rsid w:val="000F60C6"/>
    <w:rsid w:val="000F6316"/>
    <w:rsid w:val="000F632C"/>
    <w:rsid w:val="000F655F"/>
    <w:rsid w:val="000F6791"/>
    <w:rsid w:val="000F697D"/>
    <w:rsid w:val="000F6A07"/>
    <w:rsid w:val="000F701C"/>
    <w:rsid w:val="000F714C"/>
    <w:rsid w:val="000F72B5"/>
    <w:rsid w:val="000F737D"/>
    <w:rsid w:val="000F79E9"/>
    <w:rsid w:val="000F7BA9"/>
    <w:rsid w:val="000F7D50"/>
    <w:rsid w:val="000F7EC5"/>
    <w:rsid w:val="000F7F9A"/>
    <w:rsid w:val="000F7FD0"/>
    <w:rsid w:val="0010002C"/>
    <w:rsid w:val="0010008C"/>
    <w:rsid w:val="001000ED"/>
    <w:rsid w:val="0010045C"/>
    <w:rsid w:val="001005F3"/>
    <w:rsid w:val="00100813"/>
    <w:rsid w:val="00100A82"/>
    <w:rsid w:val="00100B0D"/>
    <w:rsid w:val="00100DE9"/>
    <w:rsid w:val="00100EDB"/>
    <w:rsid w:val="00101064"/>
    <w:rsid w:val="00101128"/>
    <w:rsid w:val="00101575"/>
    <w:rsid w:val="001016DB"/>
    <w:rsid w:val="00101923"/>
    <w:rsid w:val="0010196B"/>
    <w:rsid w:val="00101E5D"/>
    <w:rsid w:val="0010253B"/>
    <w:rsid w:val="0010260D"/>
    <w:rsid w:val="0010292A"/>
    <w:rsid w:val="00102C3D"/>
    <w:rsid w:val="00102C43"/>
    <w:rsid w:val="00102CA3"/>
    <w:rsid w:val="00102DCD"/>
    <w:rsid w:val="0010306F"/>
    <w:rsid w:val="0010316D"/>
    <w:rsid w:val="00103437"/>
    <w:rsid w:val="001034B1"/>
    <w:rsid w:val="0010369B"/>
    <w:rsid w:val="00103862"/>
    <w:rsid w:val="00103D2E"/>
    <w:rsid w:val="00104006"/>
    <w:rsid w:val="001044EC"/>
    <w:rsid w:val="001049AC"/>
    <w:rsid w:val="00104D65"/>
    <w:rsid w:val="0010509D"/>
    <w:rsid w:val="001050BC"/>
    <w:rsid w:val="00105475"/>
    <w:rsid w:val="00105ADF"/>
    <w:rsid w:val="00105EFD"/>
    <w:rsid w:val="00105F5B"/>
    <w:rsid w:val="00105FC7"/>
    <w:rsid w:val="001061CF"/>
    <w:rsid w:val="00106280"/>
    <w:rsid w:val="00106622"/>
    <w:rsid w:val="00106A2D"/>
    <w:rsid w:val="00106D44"/>
    <w:rsid w:val="001070E7"/>
    <w:rsid w:val="00107203"/>
    <w:rsid w:val="00107832"/>
    <w:rsid w:val="001079DF"/>
    <w:rsid w:val="00107C7B"/>
    <w:rsid w:val="00107DCC"/>
    <w:rsid w:val="0011021F"/>
    <w:rsid w:val="0011024A"/>
    <w:rsid w:val="001102A6"/>
    <w:rsid w:val="001102F5"/>
    <w:rsid w:val="001106AA"/>
    <w:rsid w:val="001109F4"/>
    <w:rsid w:val="00110C35"/>
    <w:rsid w:val="00110D89"/>
    <w:rsid w:val="00110E41"/>
    <w:rsid w:val="00111106"/>
    <w:rsid w:val="00111283"/>
    <w:rsid w:val="00111432"/>
    <w:rsid w:val="00111452"/>
    <w:rsid w:val="0011159B"/>
    <w:rsid w:val="001115C9"/>
    <w:rsid w:val="0011166C"/>
    <w:rsid w:val="00111701"/>
    <w:rsid w:val="00111748"/>
    <w:rsid w:val="001118B3"/>
    <w:rsid w:val="00111C59"/>
    <w:rsid w:val="00111C94"/>
    <w:rsid w:val="00111D49"/>
    <w:rsid w:val="00111ECA"/>
    <w:rsid w:val="0011265E"/>
    <w:rsid w:val="0011271E"/>
    <w:rsid w:val="001128E0"/>
    <w:rsid w:val="001128ED"/>
    <w:rsid w:val="00112B02"/>
    <w:rsid w:val="00112EB7"/>
    <w:rsid w:val="0011302A"/>
    <w:rsid w:val="0011311C"/>
    <w:rsid w:val="0011368E"/>
    <w:rsid w:val="00113868"/>
    <w:rsid w:val="001138DE"/>
    <w:rsid w:val="00113AEC"/>
    <w:rsid w:val="00114077"/>
    <w:rsid w:val="001140D5"/>
    <w:rsid w:val="001144FE"/>
    <w:rsid w:val="0011478E"/>
    <w:rsid w:val="0011498B"/>
    <w:rsid w:val="00114EBC"/>
    <w:rsid w:val="00114F7C"/>
    <w:rsid w:val="00115147"/>
    <w:rsid w:val="0011539E"/>
    <w:rsid w:val="00115427"/>
    <w:rsid w:val="001158F1"/>
    <w:rsid w:val="00115A76"/>
    <w:rsid w:val="001160B7"/>
    <w:rsid w:val="001162FE"/>
    <w:rsid w:val="0011638F"/>
    <w:rsid w:val="001168F2"/>
    <w:rsid w:val="00116BF0"/>
    <w:rsid w:val="001172CB"/>
    <w:rsid w:val="001172CF"/>
    <w:rsid w:val="001175AD"/>
    <w:rsid w:val="0011788C"/>
    <w:rsid w:val="00120952"/>
    <w:rsid w:val="001209F4"/>
    <w:rsid w:val="00120ADE"/>
    <w:rsid w:val="00121025"/>
    <w:rsid w:val="0012127A"/>
    <w:rsid w:val="0012128A"/>
    <w:rsid w:val="00121610"/>
    <w:rsid w:val="00121AE8"/>
    <w:rsid w:val="001220A3"/>
    <w:rsid w:val="0012210D"/>
    <w:rsid w:val="001222F3"/>
    <w:rsid w:val="001224E3"/>
    <w:rsid w:val="00122FAA"/>
    <w:rsid w:val="00123001"/>
    <w:rsid w:val="00123183"/>
    <w:rsid w:val="0012332E"/>
    <w:rsid w:val="00123810"/>
    <w:rsid w:val="00123986"/>
    <w:rsid w:val="00123A44"/>
    <w:rsid w:val="00123A51"/>
    <w:rsid w:val="00123AB8"/>
    <w:rsid w:val="00123E67"/>
    <w:rsid w:val="0012478F"/>
    <w:rsid w:val="001248C7"/>
    <w:rsid w:val="001249C8"/>
    <w:rsid w:val="00124B57"/>
    <w:rsid w:val="00124D9B"/>
    <w:rsid w:val="00125031"/>
    <w:rsid w:val="0012595B"/>
    <w:rsid w:val="00125BF8"/>
    <w:rsid w:val="00125EC4"/>
    <w:rsid w:val="001263F6"/>
    <w:rsid w:val="00126407"/>
    <w:rsid w:val="001264E6"/>
    <w:rsid w:val="00126560"/>
    <w:rsid w:val="001266DB"/>
    <w:rsid w:val="00126758"/>
    <w:rsid w:val="001268F0"/>
    <w:rsid w:val="001269B3"/>
    <w:rsid w:val="00126F51"/>
    <w:rsid w:val="0012722B"/>
    <w:rsid w:val="00127303"/>
    <w:rsid w:val="001275BB"/>
    <w:rsid w:val="001304F8"/>
    <w:rsid w:val="00130515"/>
    <w:rsid w:val="0013084D"/>
    <w:rsid w:val="00130E80"/>
    <w:rsid w:val="001314C1"/>
    <w:rsid w:val="001320B7"/>
    <w:rsid w:val="0013237E"/>
    <w:rsid w:val="001324B3"/>
    <w:rsid w:val="0013260A"/>
    <w:rsid w:val="00132A37"/>
    <w:rsid w:val="0013313B"/>
    <w:rsid w:val="00133489"/>
    <w:rsid w:val="0013369B"/>
    <w:rsid w:val="00133D43"/>
    <w:rsid w:val="00133D44"/>
    <w:rsid w:val="00133E09"/>
    <w:rsid w:val="00133EE5"/>
    <w:rsid w:val="0013401E"/>
    <w:rsid w:val="001342ED"/>
    <w:rsid w:val="001343D4"/>
    <w:rsid w:val="0013496D"/>
    <w:rsid w:val="00134A2C"/>
    <w:rsid w:val="00134AEF"/>
    <w:rsid w:val="00134BAE"/>
    <w:rsid w:val="00135129"/>
    <w:rsid w:val="00135527"/>
    <w:rsid w:val="001358F7"/>
    <w:rsid w:val="00135AE2"/>
    <w:rsid w:val="00135AEE"/>
    <w:rsid w:val="00135B64"/>
    <w:rsid w:val="00135DCA"/>
    <w:rsid w:val="001363BA"/>
    <w:rsid w:val="0013697E"/>
    <w:rsid w:val="00136A91"/>
    <w:rsid w:val="00136C9F"/>
    <w:rsid w:val="001375B1"/>
    <w:rsid w:val="00137890"/>
    <w:rsid w:val="00137C45"/>
    <w:rsid w:val="00137D9A"/>
    <w:rsid w:val="00137EC7"/>
    <w:rsid w:val="00140204"/>
    <w:rsid w:val="001402B0"/>
    <w:rsid w:val="001403E1"/>
    <w:rsid w:val="0014067C"/>
    <w:rsid w:val="00140A33"/>
    <w:rsid w:val="00140BCD"/>
    <w:rsid w:val="00140FDE"/>
    <w:rsid w:val="00141301"/>
    <w:rsid w:val="00141305"/>
    <w:rsid w:val="00141549"/>
    <w:rsid w:val="0014160C"/>
    <w:rsid w:val="001417DD"/>
    <w:rsid w:val="0014198C"/>
    <w:rsid w:val="00141EC4"/>
    <w:rsid w:val="00142151"/>
    <w:rsid w:val="001422F9"/>
    <w:rsid w:val="001429B0"/>
    <w:rsid w:val="001429ED"/>
    <w:rsid w:val="001429FF"/>
    <w:rsid w:val="00142AAC"/>
    <w:rsid w:val="00142BE7"/>
    <w:rsid w:val="001434B9"/>
    <w:rsid w:val="00143861"/>
    <w:rsid w:val="00143D5D"/>
    <w:rsid w:val="00144214"/>
    <w:rsid w:val="0014431B"/>
    <w:rsid w:val="00144521"/>
    <w:rsid w:val="0014454D"/>
    <w:rsid w:val="00144A4F"/>
    <w:rsid w:val="00144EB6"/>
    <w:rsid w:val="00145068"/>
    <w:rsid w:val="0014539F"/>
    <w:rsid w:val="00145B10"/>
    <w:rsid w:val="00145CF8"/>
    <w:rsid w:val="00145D24"/>
    <w:rsid w:val="00145F74"/>
    <w:rsid w:val="0014679D"/>
    <w:rsid w:val="0014703A"/>
    <w:rsid w:val="00147623"/>
    <w:rsid w:val="00147B1D"/>
    <w:rsid w:val="00147B93"/>
    <w:rsid w:val="00150A0A"/>
    <w:rsid w:val="00150A4F"/>
    <w:rsid w:val="00150B1D"/>
    <w:rsid w:val="00150E65"/>
    <w:rsid w:val="001510A8"/>
    <w:rsid w:val="00151995"/>
    <w:rsid w:val="00152732"/>
    <w:rsid w:val="00152756"/>
    <w:rsid w:val="00152A1C"/>
    <w:rsid w:val="00152F00"/>
    <w:rsid w:val="001534F0"/>
    <w:rsid w:val="00153505"/>
    <w:rsid w:val="00153691"/>
    <w:rsid w:val="001539CE"/>
    <w:rsid w:val="00153A74"/>
    <w:rsid w:val="00153BBC"/>
    <w:rsid w:val="00153D94"/>
    <w:rsid w:val="00153DE2"/>
    <w:rsid w:val="0015438A"/>
    <w:rsid w:val="00154587"/>
    <w:rsid w:val="0015480C"/>
    <w:rsid w:val="00154FCA"/>
    <w:rsid w:val="001552AB"/>
    <w:rsid w:val="00155711"/>
    <w:rsid w:val="00155886"/>
    <w:rsid w:val="001559F9"/>
    <w:rsid w:val="00155A53"/>
    <w:rsid w:val="00155C45"/>
    <w:rsid w:val="0015637F"/>
    <w:rsid w:val="001566B7"/>
    <w:rsid w:val="0015676D"/>
    <w:rsid w:val="0015691E"/>
    <w:rsid w:val="00156985"/>
    <w:rsid w:val="00156AEC"/>
    <w:rsid w:val="00156E6C"/>
    <w:rsid w:val="00156EE6"/>
    <w:rsid w:val="0015708F"/>
    <w:rsid w:val="001572D3"/>
    <w:rsid w:val="001572F5"/>
    <w:rsid w:val="001578EF"/>
    <w:rsid w:val="001579DC"/>
    <w:rsid w:val="00157E04"/>
    <w:rsid w:val="0016029F"/>
    <w:rsid w:val="001604C8"/>
    <w:rsid w:val="0016096C"/>
    <w:rsid w:val="00160CA2"/>
    <w:rsid w:val="00160D30"/>
    <w:rsid w:val="00160EF0"/>
    <w:rsid w:val="001611B9"/>
    <w:rsid w:val="00161419"/>
    <w:rsid w:val="00161960"/>
    <w:rsid w:val="001619A4"/>
    <w:rsid w:val="00161A96"/>
    <w:rsid w:val="00161E80"/>
    <w:rsid w:val="00161F44"/>
    <w:rsid w:val="00161F5E"/>
    <w:rsid w:val="00162136"/>
    <w:rsid w:val="00162165"/>
    <w:rsid w:val="00162169"/>
    <w:rsid w:val="001622CF"/>
    <w:rsid w:val="001627DE"/>
    <w:rsid w:val="001629B3"/>
    <w:rsid w:val="00162B60"/>
    <w:rsid w:val="00162C66"/>
    <w:rsid w:val="00162C6F"/>
    <w:rsid w:val="00163183"/>
    <w:rsid w:val="00163351"/>
    <w:rsid w:val="001637A1"/>
    <w:rsid w:val="00163AF7"/>
    <w:rsid w:val="00164015"/>
    <w:rsid w:val="001646ED"/>
    <w:rsid w:val="001649CD"/>
    <w:rsid w:val="001652D7"/>
    <w:rsid w:val="00165351"/>
    <w:rsid w:val="00165454"/>
    <w:rsid w:val="001656DA"/>
    <w:rsid w:val="00165AB9"/>
    <w:rsid w:val="00165D48"/>
    <w:rsid w:val="0016632C"/>
    <w:rsid w:val="00166421"/>
    <w:rsid w:val="0016674F"/>
    <w:rsid w:val="0016702C"/>
    <w:rsid w:val="00167939"/>
    <w:rsid w:val="00167986"/>
    <w:rsid w:val="00167AC4"/>
    <w:rsid w:val="00167E54"/>
    <w:rsid w:val="00167F8D"/>
    <w:rsid w:val="001701A2"/>
    <w:rsid w:val="001701AD"/>
    <w:rsid w:val="001708C1"/>
    <w:rsid w:val="00170D0B"/>
    <w:rsid w:val="0017104F"/>
    <w:rsid w:val="001711EF"/>
    <w:rsid w:val="001715D2"/>
    <w:rsid w:val="0017178A"/>
    <w:rsid w:val="00171B32"/>
    <w:rsid w:val="00171F66"/>
    <w:rsid w:val="0017288C"/>
    <w:rsid w:val="00172CDF"/>
    <w:rsid w:val="00172D3B"/>
    <w:rsid w:val="00172FEA"/>
    <w:rsid w:val="0017315C"/>
    <w:rsid w:val="001737EC"/>
    <w:rsid w:val="00173DC9"/>
    <w:rsid w:val="001740D2"/>
    <w:rsid w:val="0017441B"/>
    <w:rsid w:val="00174799"/>
    <w:rsid w:val="00174C36"/>
    <w:rsid w:val="00174D56"/>
    <w:rsid w:val="00174F1A"/>
    <w:rsid w:val="00174F66"/>
    <w:rsid w:val="0017542D"/>
    <w:rsid w:val="001754F6"/>
    <w:rsid w:val="00175664"/>
    <w:rsid w:val="00175923"/>
    <w:rsid w:val="00175A7E"/>
    <w:rsid w:val="00175AB5"/>
    <w:rsid w:val="00175CF1"/>
    <w:rsid w:val="00175DBE"/>
    <w:rsid w:val="00175DF8"/>
    <w:rsid w:val="00175E28"/>
    <w:rsid w:val="00176298"/>
    <w:rsid w:val="00176313"/>
    <w:rsid w:val="001768E7"/>
    <w:rsid w:val="00176C48"/>
    <w:rsid w:val="0017713A"/>
    <w:rsid w:val="0017752A"/>
    <w:rsid w:val="00177694"/>
    <w:rsid w:val="00177F1C"/>
    <w:rsid w:val="001800EB"/>
    <w:rsid w:val="001801BB"/>
    <w:rsid w:val="00180216"/>
    <w:rsid w:val="0018025B"/>
    <w:rsid w:val="001808CC"/>
    <w:rsid w:val="00180B89"/>
    <w:rsid w:val="00180CF6"/>
    <w:rsid w:val="00180F99"/>
    <w:rsid w:val="001811D4"/>
    <w:rsid w:val="0018134F"/>
    <w:rsid w:val="00181480"/>
    <w:rsid w:val="001814EB"/>
    <w:rsid w:val="00181739"/>
    <w:rsid w:val="00181BC8"/>
    <w:rsid w:val="00181BFB"/>
    <w:rsid w:val="00181CA9"/>
    <w:rsid w:val="00181D09"/>
    <w:rsid w:val="00182019"/>
    <w:rsid w:val="0018204E"/>
    <w:rsid w:val="001822F6"/>
    <w:rsid w:val="0018270F"/>
    <w:rsid w:val="001828E3"/>
    <w:rsid w:val="00182E23"/>
    <w:rsid w:val="00183187"/>
    <w:rsid w:val="001832A6"/>
    <w:rsid w:val="0018392E"/>
    <w:rsid w:val="00183C00"/>
    <w:rsid w:val="00183E2D"/>
    <w:rsid w:val="00183FBD"/>
    <w:rsid w:val="00184125"/>
    <w:rsid w:val="001841CA"/>
    <w:rsid w:val="00184426"/>
    <w:rsid w:val="00184A10"/>
    <w:rsid w:val="00184A3B"/>
    <w:rsid w:val="0018512B"/>
    <w:rsid w:val="00185165"/>
    <w:rsid w:val="001855C7"/>
    <w:rsid w:val="00185B4E"/>
    <w:rsid w:val="00185E95"/>
    <w:rsid w:val="00186253"/>
    <w:rsid w:val="001865D8"/>
    <w:rsid w:val="001865FB"/>
    <w:rsid w:val="00186882"/>
    <w:rsid w:val="00186A80"/>
    <w:rsid w:val="00186DD1"/>
    <w:rsid w:val="001875BA"/>
    <w:rsid w:val="001876FB"/>
    <w:rsid w:val="00187AB7"/>
    <w:rsid w:val="00187BBA"/>
    <w:rsid w:val="0019009E"/>
    <w:rsid w:val="0019037E"/>
    <w:rsid w:val="00190565"/>
    <w:rsid w:val="0019056D"/>
    <w:rsid w:val="00190760"/>
    <w:rsid w:val="0019079E"/>
    <w:rsid w:val="00190B0A"/>
    <w:rsid w:val="00190B6C"/>
    <w:rsid w:val="00190BAE"/>
    <w:rsid w:val="00190CB5"/>
    <w:rsid w:val="00190D1F"/>
    <w:rsid w:val="00190D9D"/>
    <w:rsid w:val="00191013"/>
    <w:rsid w:val="00191709"/>
    <w:rsid w:val="00191979"/>
    <w:rsid w:val="00191A61"/>
    <w:rsid w:val="00191D4E"/>
    <w:rsid w:val="00191D73"/>
    <w:rsid w:val="001927DB"/>
    <w:rsid w:val="00192974"/>
    <w:rsid w:val="001930F3"/>
    <w:rsid w:val="00193247"/>
    <w:rsid w:val="00193257"/>
    <w:rsid w:val="00193677"/>
    <w:rsid w:val="00193A17"/>
    <w:rsid w:val="00193A26"/>
    <w:rsid w:val="00193D79"/>
    <w:rsid w:val="00194369"/>
    <w:rsid w:val="001945FB"/>
    <w:rsid w:val="001949E5"/>
    <w:rsid w:val="00194DC7"/>
    <w:rsid w:val="00195619"/>
    <w:rsid w:val="0019564D"/>
    <w:rsid w:val="001957BF"/>
    <w:rsid w:val="0019647E"/>
    <w:rsid w:val="00196EB6"/>
    <w:rsid w:val="001973A3"/>
    <w:rsid w:val="00197500"/>
    <w:rsid w:val="00197561"/>
    <w:rsid w:val="00197EFA"/>
    <w:rsid w:val="00197F84"/>
    <w:rsid w:val="001A064B"/>
    <w:rsid w:val="001A07C8"/>
    <w:rsid w:val="001A08A8"/>
    <w:rsid w:val="001A0917"/>
    <w:rsid w:val="001A0918"/>
    <w:rsid w:val="001A0FBA"/>
    <w:rsid w:val="001A1335"/>
    <w:rsid w:val="001A17FB"/>
    <w:rsid w:val="001A1860"/>
    <w:rsid w:val="001A1B9B"/>
    <w:rsid w:val="001A1EBF"/>
    <w:rsid w:val="001A1FA9"/>
    <w:rsid w:val="001A1FED"/>
    <w:rsid w:val="001A2069"/>
    <w:rsid w:val="001A2AC1"/>
    <w:rsid w:val="001A2C0E"/>
    <w:rsid w:val="001A2CE0"/>
    <w:rsid w:val="001A2CFC"/>
    <w:rsid w:val="001A3093"/>
    <w:rsid w:val="001A39C3"/>
    <w:rsid w:val="001A3B6B"/>
    <w:rsid w:val="001A4501"/>
    <w:rsid w:val="001A45D0"/>
    <w:rsid w:val="001A4609"/>
    <w:rsid w:val="001A471C"/>
    <w:rsid w:val="001A4906"/>
    <w:rsid w:val="001A49A3"/>
    <w:rsid w:val="001A49BF"/>
    <w:rsid w:val="001A4BC3"/>
    <w:rsid w:val="001A4C83"/>
    <w:rsid w:val="001A4CDD"/>
    <w:rsid w:val="001A51A2"/>
    <w:rsid w:val="001A5383"/>
    <w:rsid w:val="001A5A05"/>
    <w:rsid w:val="001A5FA9"/>
    <w:rsid w:val="001A6434"/>
    <w:rsid w:val="001A660C"/>
    <w:rsid w:val="001A6931"/>
    <w:rsid w:val="001A6CFB"/>
    <w:rsid w:val="001A72B9"/>
    <w:rsid w:val="001A7454"/>
    <w:rsid w:val="001A7959"/>
    <w:rsid w:val="001A79C5"/>
    <w:rsid w:val="001A79D4"/>
    <w:rsid w:val="001A7A50"/>
    <w:rsid w:val="001A7B38"/>
    <w:rsid w:val="001A7B89"/>
    <w:rsid w:val="001B0155"/>
    <w:rsid w:val="001B028C"/>
    <w:rsid w:val="001B0DED"/>
    <w:rsid w:val="001B15E6"/>
    <w:rsid w:val="001B1C3F"/>
    <w:rsid w:val="001B1E85"/>
    <w:rsid w:val="001B23A8"/>
    <w:rsid w:val="001B2AC5"/>
    <w:rsid w:val="001B2E2A"/>
    <w:rsid w:val="001B3297"/>
    <w:rsid w:val="001B399A"/>
    <w:rsid w:val="001B3AD7"/>
    <w:rsid w:val="001B3C96"/>
    <w:rsid w:val="001B41EC"/>
    <w:rsid w:val="001B4293"/>
    <w:rsid w:val="001B460F"/>
    <w:rsid w:val="001B4916"/>
    <w:rsid w:val="001B4970"/>
    <w:rsid w:val="001B49F6"/>
    <w:rsid w:val="001B4DCA"/>
    <w:rsid w:val="001B4ED7"/>
    <w:rsid w:val="001B4F4E"/>
    <w:rsid w:val="001B52D5"/>
    <w:rsid w:val="001B54A0"/>
    <w:rsid w:val="001B57B7"/>
    <w:rsid w:val="001B5AC4"/>
    <w:rsid w:val="001B5FB4"/>
    <w:rsid w:val="001B629D"/>
    <w:rsid w:val="001B6553"/>
    <w:rsid w:val="001B6AD1"/>
    <w:rsid w:val="001B6B0A"/>
    <w:rsid w:val="001B6CEA"/>
    <w:rsid w:val="001B6E8A"/>
    <w:rsid w:val="001B76D5"/>
    <w:rsid w:val="001B784A"/>
    <w:rsid w:val="001B7F02"/>
    <w:rsid w:val="001C0298"/>
    <w:rsid w:val="001C030F"/>
    <w:rsid w:val="001C09E9"/>
    <w:rsid w:val="001C0C94"/>
    <w:rsid w:val="001C171F"/>
    <w:rsid w:val="001C1769"/>
    <w:rsid w:val="001C1BB7"/>
    <w:rsid w:val="001C1D36"/>
    <w:rsid w:val="001C1F5E"/>
    <w:rsid w:val="001C2029"/>
    <w:rsid w:val="001C2398"/>
    <w:rsid w:val="001C2419"/>
    <w:rsid w:val="001C255F"/>
    <w:rsid w:val="001C26AD"/>
    <w:rsid w:val="001C274F"/>
    <w:rsid w:val="001C2901"/>
    <w:rsid w:val="001C2DFB"/>
    <w:rsid w:val="001C2F65"/>
    <w:rsid w:val="001C314D"/>
    <w:rsid w:val="001C336B"/>
    <w:rsid w:val="001C35BF"/>
    <w:rsid w:val="001C37FF"/>
    <w:rsid w:val="001C3B74"/>
    <w:rsid w:val="001C3CBC"/>
    <w:rsid w:val="001C3D95"/>
    <w:rsid w:val="001C401B"/>
    <w:rsid w:val="001C444A"/>
    <w:rsid w:val="001C44EA"/>
    <w:rsid w:val="001C45AE"/>
    <w:rsid w:val="001C45E9"/>
    <w:rsid w:val="001C4657"/>
    <w:rsid w:val="001C4FA8"/>
    <w:rsid w:val="001C54A0"/>
    <w:rsid w:val="001C56DA"/>
    <w:rsid w:val="001C57E9"/>
    <w:rsid w:val="001C5948"/>
    <w:rsid w:val="001C6255"/>
    <w:rsid w:val="001C6541"/>
    <w:rsid w:val="001C65F4"/>
    <w:rsid w:val="001C66B7"/>
    <w:rsid w:val="001C67E0"/>
    <w:rsid w:val="001C6900"/>
    <w:rsid w:val="001C6955"/>
    <w:rsid w:val="001C6A4F"/>
    <w:rsid w:val="001C6C5F"/>
    <w:rsid w:val="001C6CAB"/>
    <w:rsid w:val="001C6DA5"/>
    <w:rsid w:val="001C6E23"/>
    <w:rsid w:val="001C7068"/>
    <w:rsid w:val="001C72C8"/>
    <w:rsid w:val="001C730E"/>
    <w:rsid w:val="001C73C4"/>
    <w:rsid w:val="001C78D8"/>
    <w:rsid w:val="001C7CC5"/>
    <w:rsid w:val="001C7D7D"/>
    <w:rsid w:val="001D00A6"/>
    <w:rsid w:val="001D01F9"/>
    <w:rsid w:val="001D08B0"/>
    <w:rsid w:val="001D0920"/>
    <w:rsid w:val="001D11FC"/>
    <w:rsid w:val="001D148D"/>
    <w:rsid w:val="001D15A4"/>
    <w:rsid w:val="001D1BB2"/>
    <w:rsid w:val="001D1CC8"/>
    <w:rsid w:val="001D221A"/>
    <w:rsid w:val="001D274B"/>
    <w:rsid w:val="001D2B86"/>
    <w:rsid w:val="001D2CD8"/>
    <w:rsid w:val="001D3140"/>
    <w:rsid w:val="001D33BE"/>
    <w:rsid w:val="001D3512"/>
    <w:rsid w:val="001D37BF"/>
    <w:rsid w:val="001D38A0"/>
    <w:rsid w:val="001D3A08"/>
    <w:rsid w:val="001D4115"/>
    <w:rsid w:val="001D4387"/>
    <w:rsid w:val="001D4787"/>
    <w:rsid w:val="001D482D"/>
    <w:rsid w:val="001D4C07"/>
    <w:rsid w:val="001D4EF4"/>
    <w:rsid w:val="001D5520"/>
    <w:rsid w:val="001D5AD2"/>
    <w:rsid w:val="001D5BE5"/>
    <w:rsid w:val="001D5C0A"/>
    <w:rsid w:val="001D5C9A"/>
    <w:rsid w:val="001D5E19"/>
    <w:rsid w:val="001D60C5"/>
    <w:rsid w:val="001D62C1"/>
    <w:rsid w:val="001D6371"/>
    <w:rsid w:val="001D64C8"/>
    <w:rsid w:val="001D650E"/>
    <w:rsid w:val="001D6685"/>
    <w:rsid w:val="001D69B9"/>
    <w:rsid w:val="001D6CF5"/>
    <w:rsid w:val="001D7698"/>
    <w:rsid w:val="001D7A54"/>
    <w:rsid w:val="001D7AA8"/>
    <w:rsid w:val="001D7C75"/>
    <w:rsid w:val="001D7E6A"/>
    <w:rsid w:val="001E00EA"/>
    <w:rsid w:val="001E0197"/>
    <w:rsid w:val="001E078C"/>
    <w:rsid w:val="001E07B6"/>
    <w:rsid w:val="001E08BA"/>
    <w:rsid w:val="001E0E22"/>
    <w:rsid w:val="001E1408"/>
    <w:rsid w:val="001E141B"/>
    <w:rsid w:val="001E1430"/>
    <w:rsid w:val="001E15A7"/>
    <w:rsid w:val="001E17AD"/>
    <w:rsid w:val="001E193A"/>
    <w:rsid w:val="001E1C1F"/>
    <w:rsid w:val="001E1DC4"/>
    <w:rsid w:val="001E2077"/>
    <w:rsid w:val="001E210D"/>
    <w:rsid w:val="001E2160"/>
    <w:rsid w:val="001E2163"/>
    <w:rsid w:val="001E2265"/>
    <w:rsid w:val="001E23FA"/>
    <w:rsid w:val="001E241B"/>
    <w:rsid w:val="001E297D"/>
    <w:rsid w:val="001E2A25"/>
    <w:rsid w:val="001E2D4E"/>
    <w:rsid w:val="001E2D9C"/>
    <w:rsid w:val="001E2EAF"/>
    <w:rsid w:val="001E325C"/>
    <w:rsid w:val="001E345F"/>
    <w:rsid w:val="001E3834"/>
    <w:rsid w:val="001E4314"/>
    <w:rsid w:val="001E4591"/>
    <w:rsid w:val="001E474F"/>
    <w:rsid w:val="001E4A3A"/>
    <w:rsid w:val="001E4B37"/>
    <w:rsid w:val="001E53A1"/>
    <w:rsid w:val="001E54AE"/>
    <w:rsid w:val="001E5504"/>
    <w:rsid w:val="001E5A79"/>
    <w:rsid w:val="001E5FBC"/>
    <w:rsid w:val="001E604A"/>
    <w:rsid w:val="001E61E9"/>
    <w:rsid w:val="001E663D"/>
    <w:rsid w:val="001E6729"/>
    <w:rsid w:val="001E683F"/>
    <w:rsid w:val="001E6932"/>
    <w:rsid w:val="001E6A71"/>
    <w:rsid w:val="001E6A93"/>
    <w:rsid w:val="001E6C95"/>
    <w:rsid w:val="001E6F11"/>
    <w:rsid w:val="001E7134"/>
    <w:rsid w:val="001E731E"/>
    <w:rsid w:val="001E73FF"/>
    <w:rsid w:val="001E7F23"/>
    <w:rsid w:val="001F0689"/>
    <w:rsid w:val="001F07A0"/>
    <w:rsid w:val="001F0877"/>
    <w:rsid w:val="001F11DA"/>
    <w:rsid w:val="001F131F"/>
    <w:rsid w:val="001F1375"/>
    <w:rsid w:val="001F15BA"/>
    <w:rsid w:val="001F1CD6"/>
    <w:rsid w:val="001F2265"/>
    <w:rsid w:val="001F2761"/>
    <w:rsid w:val="001F27A0"/>
    <w:rsid w:val="001F2C53"/>
    <w:rsid w:val="001F31C3"/>
    <w:rsid w:val="001F35CD"/>
    <w:rsid w:val="001F3A50"/>
    <w:rsid w:val="001F3FEA"/>
    <w:rsid w:val="001F41DD"/>
    <w:rsid w:val="001F42D7"/>
    <w:rsid w:val="001F4546"/>
    <w:rsid w:val="001F4B05"/>
    <w:rsid w:val="001F4CDD"/>
    <w:rsid w:val="001F58C6"/>
    <w:rsid w:val="001F5B3D"/>
    <w:rsid w:val="001F5E4E"/>
    <w:rsid w:val="001F6595"/>
    <w:rsid w:val="001F65A3"/>
    <w:rsid w:val="001F6813"/>
    <w:rsid w:val="001F69DE"/>
    <w:rsid w:val="001F6AB4"/>
    <w:rsid w:val="001F6D57"/>
    <w:rsid w:val="001F6D66"/>
    <w:rsid w:val="001F6FE3"/>
    <w:rsid w:val="001F771A"/>
    <w:rsid w:val="001F784A"/>
    <w:rsid w:val="001F79DC"/>
    <w:rsid w:val="001F7FC1"/>
    <w:rsid w:val="00200438"/>
    <w:rsid w:val="00200519"/>
    <w:rsid w:val="002007BB"/>
    <w:rsid w:val="00200850"/>
    <w:rsid w:val="002009C2"/>
    <w:rsid w:val="00201287"/>
    <w:rsid w:val="0020154E"/>
    <w:rsid w:val="0020163C"/>
    <w:rsid w:val="00201C5D"/>
    <w:rsid w:val="00201D36"/>
    <w:rsid w:val="00202074"/>
    <w:rsid w:val="00202449"/>
    <w:rsid w:val="00202682"/>
    <w:rsid w:val="00202C4E"/>
    <w:rsid w:val="00202EEE"/>
    <w:rsid w:val="00202EF8"/>
    <w:rsid w:val="00203019"/>
    <w:rsid w:val="002030E0"/>
    <w:rsid w:val="002031CE"/>
    <w:rsid w:val="002031D5"/>
    <w:rsid w:val="002032C8"/>
    <w:rsid w:val="00203B51"/>
    <w:rsid w:val="00203D1B"/>
    <w:rsid w:val="00203EED"/>
    <w:rsid w:val="00203F27"/>
    <w:rsid w:val="00204010"/>
    <w:rsid w:val="0020409A"/>
    <w:rsid w:val="002047C6"/>
    <w:rsid w:val="00204CC1"/>
    <w:rsid w:val="0020502D"/>
    <w:rsid w:val="002056E9"/>
    <w:rsid w:val="002056FA"/>
    <w:rsid w:val="00205C7C"/>
    <w:rsid w:val="002060ED"/>
    <w:rsid w:val="0020619B"/>
    <w:rsid w:val="0020637B"/>
    <w:rsid w:val="002066F4"/>
    <w:rsid w:val="00207266"/>
    <w:rsid w:val="00207360"/>
    <w:rsid w:val="0020760D"/>
    <w:rsid w:val="00207D13"/>
    <w:rsid w:val="00207D58"/>
    <w:rsid w:val="00207F88"/>
    <w:rsid w:val="00210170"/>
    <w:rsid w:val="0021031F"/>
    <w:rsid w:val="002104B5"/>
    <w:rsid w:val="00210811"/>
    <w:rsid w:val="002109AB"/>
    <w:rsid w:val="00210A2D"/>
    <w:rsid w:val="00210AE5"/>
    <w:rsid w:val="00210CBC"/>
    <w:rsid w:val="0021122B"/>
    <w:rsid w:val="002115E4"/>
    <w:rsid w:val="002120E5"/>
    <w:rsid w:val="002121B3"/>
    <w:rsid w:val="002123CC"/>
    <w:rsid w:val="002126FE"/>
    <w:rsid w:val="002127FB"/>
    <w:rsid w:val="00212D5B"/>
    <w:rsid w:val="00212FCF"/>
    <w:rsid w:val="002137AC"/>
    <w:rsid w:val="002137E8"/>
    <w:rsid w:val="002139B7"/>
    <w:rsid w:val="00213AD1"/>
    <w:rsid w:val="00213BB9"/>
    <w:rsid w:val="00213D00"/>
    <w:rsid w:val="00213FC1"/>
    <w:rsid w:val="0021411A"/>
    <w:rsid w:val="002144A7"/>
    <w:rsid w:val="00214616"/>
    <w:rsid w:val="00214617"/>
    <w:rsid w:val="002147D2"/>
    <w:rsid w:val="0021498C"/>
    <w:rsid w:val="00214B2E"/>
    <w:rsid w:val="00214D99"/>
    <w:rsid w:val="00214EAA"/>
    <w:rsid w:val="002150FA"/>
    <w:rsid w:val="002153DC"/>
    <w:rsid w:val="00215669"/>
    <w:rsid w:val="00215D8D"/>
    <w:rsid w:val="00215DF4"/>
    <w:rsid w:val="00215E1F"/>
    <w:rsid w:val="0021689D"/>
    <w:rsid w:val="0021703E"/>
    <w:rsid w:val="00217044"/>
    <w:rsid w:val="002171BD"/>
    <w:rsid w:val="00217565"/>
    <w:rsid w:val="0021777A"/>
    <w:rsid w:val="00217D64"/>
    <w:rsid w:val="0022031B"/>
    <w:rsid w:val="0022032A"/>
    <w:rsid w:val="002205D1"/>
    <w:rsid w:val="002213E4"/>
    <w:rsid w:val="00221580"/>
    <w:rsid w:val="002215A4"/>
    <w:rsid w:val="002222F0"/>
    <w:rsid w:val="002225FA"/>
    <w:rsid w:val="00222CA8"/>
    <w:rsid w:val="0022316C"/>
    <w:rsid w:val="00223391"/>
    <w:rsid w:val="0022395F"/>
    <w:rsid w:val="00223F60"/>
    <w:rsid w:val="00224118"/>
    <w:rsid w:val="002244BB"/>
    <w:rsid w:val="00224881"/>
    <w:rsid w:val="00224E27"/>
    <w:rsid w:val="00224E44"/>
    <w:rsid w:val="00224E93"/>
    <w:rsid w:val="0022525C"/>
    <w:rsid w:val="002253EE"/>
    <w:rsid w:val="0022553E"/>
    <w:rsid w:val="00225858"/>
    <w:rsid w:val="00225CF8"/>
    <w:rsid w:val="00226525"/>
    <w:rsid w:val="002268F4"/>
    <w:rsid w:val="00226C5C"/>
    <w:rsid w:val="00226E43"/>
    <w:rsid w:val="002279F1"/>
    <w:rsid w:val="00227A0F"/>
    <w:rsid w:val="00227A32"/>
    <w:rsid w:val="00227DCD"/>
    <w:rsid w:val="00227F4B"/>
    <w:rsid w:val="002305BD"/>
    <w:rsid w:val="002306B5"/>
    <w:rsid w:val="002309D2"/>
    <w:rsid w:val="00230DF1"/>
    <w:rsid w:val="002310E6"/>
    <w:rsid w:val="00231446"/>
    <w:rsid w:val="00231B71"/>
    <w:rsid w:val="00231BC4"/>
    <w:rsid w:val="00231C96"/>
    <w:rsid w:val="00231CE5"/>
    <w:rsid w:val="00231FF0"/>
    <w:rsid w:val="0023223F"/>
    <w:rsid w:val="0023262A"/>
    <w:rsid w:val="002326E8"/>
    <w:rsid w:val="00232910"/>
    <w:rsid w:val="00232AD5"/>
    <w:rsid w:val="00232BCA"/>
    <w:rsid w:val="00232D19"/>
    <w:rsid w:val="00233D5B"/>
    <w:rsid w:val="002340D1"/>
    <w:rsid w:val="002345D8"/>
    <w:rsid w:val="0023481B"/>
    <w:rsid w:val="00234B22"/>
    <w:rsid w:val="00234BD9"/>
    <w:rsid w:val="00234F42"/>
    <w:rsid w:val="0023512A"/>
    <w:rsid w:val="0023623D"/>
    <w:rsid w:val="0023626E"/>
    <w:rsid w:val="002364B7"/>
    <w:rsid w:val="002365A5"/>
    <w:rsid w:val="002365DC"/>
    <w:rsid w:val="00237215"/>
    <w:rsid w:val="00237359"/>
    <w:rsid w:val="00237B23"/>
    <w:rsid w:val="00237BF4"/>
    <w:rsid w:val="00237DC4"/>
    <w:rsid w:val="00237E07"/>
    <w:rsid w:val="00237F2F"/>
    <w:rsid w:val="00240127"/>
    <w:rsid w:val="0024044C"/>
    <w:rsid w:val="00240903"/>
    <w:rsid w:val="00240A9B"/>
    <w:rsid w:val="00241503"/>
    <w:rsid w:val="00241CFA"/>
    <w:rsid w:val="00241EEC"/>
    <w:rsid w:val="002421B7"/>
    <w:rsid w:val="00242394"/>
    <w:rsid w:val="0024241A"/>
    <w:rsid w:val="0024267E"/>
    <w:rsid w:val="00242CC2"/>
    <w:rsid w:val="00242F6C"/>
    <w:rsid w:val="0024326B"/>
    <w:rsid w:val="002432B3"/>
    <w:rsid w:val="00243329"/>
    <w:rsid w:val="00243C0F"/>
    <w:rsid w:val="00243D9D"/>
    <w:rsid w:val="002440E8"/>
    <w:rsid w:val="002444F9"/>
    <w:rsid w:val="0024455F"/>
    <w:rsid w:val="002446FB"/>
    <w:rsid w:val="00244954"/>
    <w:rsid w:val="00244A75"/>
    <w:rsid w:val="00244A90"/>
    <w:rsid w:val="00244CE6"/>
    <w:rsid w:val="00245228"/>
    <w:rsid w:val="002453F9"/>
    <w:rsid w:val="002456E4"/>
    <w:rsid w:val="0024598C"/>
    <w:rsid w:val="00245BFE"/>
    <w:rsid w:val="00245CC1"/>
    <w:rsid w:val="00245E2B"/>
    <w:rsid w:val="00245EA5"/>
    <w:rsid w:val="002460B9"/>
    <w:rsid w:val="002462B7"/>
    <w:rsid w:val="00246465"/>
    <w:rsid w:val="002467CE"/>
    <w:rsid w:val="00246A0B"/>
    <w:rsid w:val="00246DCC"/>
    <w:rsid w:val="00246E32"/>
    <w:rsid w:val="00246E7B"/>
    <w:rsid w:val="00246F16"/>
    <w:rsid w:val="00246FA6"/>
    <w:rsid w:val="0024723A"/>
    <w:rsid w:val="002472AD"/>
    <w:rsid w:val="00247320"/>
    <w:rsid w:val="0024743F"/>
    <w:rsid w:val="00247627"/>
    <w:rsid w:val="0024762B"/>
    <w:rsid w:val="00247722"/>
    <w:rsid w:val="00247759"/>
    <w:rsid w:val="00247842"/>
    <w:rsid w:val="002478AA"/>
    <w:rsid w:val="002501B6"/>
    <w:rsid w:val="00250472"/>
    <w:rsid w:val="002505EA"/>
    <w:rsid w:val="002507E9"/>
    <w:rsid w:val="00250906"/>
    <w:rsid w:val="00250964"/>
    <w:rsid w:val="00250B3C"/>
    <w:rsid w:val="00250D51"/>
    <w:rsid w:val="00251008"/>
    <w:rsid w:val="00251104"/>
    <w:rsid w:val="00251491"/>
    <w:rsid w:val="002516EC"/>
    <w:rsid w:val="00251EEB"/>
    <w:rsid w:val="002524B7"/>
    <w:rsid w:val="00252898"/>
    <w:rsid w:val="002529F1"/>
    <w:rsid w:val="00252A9B"/>
    <w:rsid w:val="00252B3E"/>
    <w:rsid w:val="00252D30"/>
    <w:rsid w:val="00252E38"/>
    <w:rsid w:val="00252EE2"/>
    <w:rsid w:val="0025370C"/>
    <w:rsid w:val="00253DDE"/>
    <w:rsid w:val="00253E71"/>
    <w:rsid w:val="00254255"/>
    <w:rsid w:val="002544C9"/>
    <w:rsid w:val="002544DC"/>
    <w:rsid w:val="002545E9"/>
    <w:rsid w:val="00254766"/>
    <w:rsid w:val="00254BD2"/>
    <w:rsid w:val="002550E5"/>
    <w:rsid w:val="002552AD"/>
    <w:rsid w:val="002556E8"/>
    <w:rsid w:val="002557C8"/>
    <w:rsid w:val="002557F2"/>
    <w:rsid w:val="002558EC"/>
    <w:rsid w:val="00255901"/>
    <w:rsid w:val="00255C30"/>
    <w:rsid w:val="00255E87"/>
    <w:rsid w:val="00256327"/>
    <w:rsid w:val="002566B6"/>
    <w:rsid w:val="00256A30"/>
    <w:rsid w:val="00256D1F"/>
    <w:rsid w:val="00256E44"/>
    <w:rsid w:val="00257945"/>
    <w:rsid w:val="00257C78"/>
    <w:rsid w:val="00257CD6"/>
    <w:rsid w:val="00257F6E"/>
    <w:rsid w:val="00260069"/>
    <w:rsid w:val="002603C1"/>
    <w:rsid w:val="002605AF"/>
    <w:rsid w:val="00260628"/>
    <w:rsid w:val="00260A44"/>
    <w:rsid w:val="00260BE5"/>
    <w:rsid w:val="00261245"/>
    <w:rsid w:val="002613EC"/>
    <w:rsid w:val="0026158A"/>
    <w:rsid w:val="002615C4"/>
    <w:rsid w:val="002617FC"/>
    <w:rsid w:val="00261F64"/>
    <w:rsid w:val="00261F7E"/>
    <w:rsid w:val="00262127"/>
    <w:rsid w:val="002625C3"/>
    <w:rsid w:val="00262662"/>
    <w:rsid w:val="00262953"/>
    <w:rsid w:val="00262AF7"/>
    <w:rsid w:val="00262B1A"/>
    <w:rsid w:val="00262FC8"/>
    <w:rsid w:val="00263174"/>
    <w:rsid w:val="00263525"/>
    <w:rsid w:val="0026356B"/>
    <w:rsid w:val="00263C22"/>
    <w:rsid w:val="00263C47"/>
    <w:rsid w:val="00263DD7"/>
    <w:rsid w:val="00263F91"/>
    <w:rsid w:val="002643DD"/>
    <w:rsid w:val="002645AA"/>
    <w:rsid w:val="00264A80"/>
    <w:rsid w:val="00264AB5"/>
    <w:rsid w:val="00264D08"/>
    <w:rsid w:val="00264ED9"/>
    <w:rsid w:val="00264F60"/>
    <w:rsid w:val="00265227"/>
    <w:rsid w:val="002654DB"/>
    <w:rsid w:val="00265686"/>
    <w:rsid w:val="00265745"/>
    <w:rsid w:val="002657AA"/>
    <w:rsid w:val="0026589E"/>
    <w:rsid w:val="002659BB"/>
    <w:rsid w:val="00265C8D"/>
    <w:rsid w:val="00265F43"/>
    <w:rsid w:val="00265F85"/>
    <w:rsid w:val="0026609B"/>
    <w:rsid w:val="0026610E"/>
    <w:rsid w:val="0026650A"/>
    <w:rsid w:val="00266A02"/>
    <w:rsid w:val="00266CFE"/>
    <w:rsid w:val="00266D06"/>
    <w:rsid w:val="002670E0"/>
    <w:rsid w:val="002671CE"/>
    <w:rsid w:val="002671DB"/>
    <w:rsid w:val="00267BCA"/>
    <w:rsid w:val="00267C25"/>
    <w:rsid w:val="00267CDE"/>
    <w:rsid w:val="00267DBA"/>
    <w:rsid w:val="0027047E"/>
    <w:rsid w:val="00270B77"/>
    <w:rsid w:val="00270BF9"/>
    <w:rsid w:val="0027110C"/>
    <w:rsid w:val="00271121"/>
    <w:rsid w:val="00271451"/>
    <w:rsid w:val="00271716"/>
    <w:rsid w:val="00271CA8"/>
    <w:rsid w:val="00271D11"/>
    <w:rsid w:val="00271E72"/>
    <w:rsid w:val="00271F52"/>
    <w:rsid w:val="0027214E"/>
    <w:rsid w:val="002723A0"/>
    <w:rsid w:val="002723C3"/>
    <w:rsid w:val="00272685"/>
    <w:rsid w:val="002727BA"/>
    <w:rsid w:val="002729D2"/>
    <w:rsid w:val="00272C7C"/>
    <w:rsid w:val="00272D54"/>
    <w:rsid w:val="00272F3A"/>
    <w:rsid w:val="00273145"/>
    <w:rsid w:val="00273153"/>
    <w:rsid w:val="002739DC"/>
    <w:rsid w:val="00273A00"/>
    <w:rsid w:val="00273B01"/>
    <w:rsid w:val="00273BED"/>
    <w:rsid w:val="00273C4B"/>
    <w:rsid w:val="00273ECF"/>
    <w:rsid w:val="00273EF1"/>
    <w:rsid w:val="002745EF"/>
    <w:rsid w:val="0027464E"/>
    <w:rsid w:val="002749DC"/>
    <w:rsid w:val="00274F63"/>
    <w:rsid w:val="002752EA"/>
    <w:rsid w:val="00275310"/>
    <w:rsid w:val="00275389"/>
    <w:rsid w:val="002753B5"/>
    <w:rsid w:val="00275850"/>
    <w:rsid w:val="00275AB6"/>
    <w:rsid w:val="00275D63"/>
    <w:rsid w:val="00275F25"/>
    <w:rsid w:val="002761C2"/>
    <w:rsid w:val="00276270"/>
    <w:rsid w:val="00276996"/>
    <w:rsid w:val="00276A17"/>
    <w:rsid w:val="0027703C"/>
    <w:rsid w:val="00277540"/>
    <w:rsid w:val="002777C4"/>
    <w:rsid w:val="00277861"/>
    <w:rsid w:val="0027791F"/>
    <w:rsid w:val="002779CD"/>
    <w:rsid w:val="002802BE"/>
    <w:rsid w:val="00280552"/>
    <w:rsid w:val="00280AA8"/>
    <w:rsid w:val="00280B28"/>
    <w:rsid w:val="00280F49"/>
    <w:rsid w:val="002814A4"/>
    <w:rsid w:val="002814AD"/>
    <w:rsid w:val="00281AA3"/>
    <w:rsid w:val="00281E75"/>
    <w:rsid w:val="00281FBD"/>
    <w:rsid w:val="0028236A"/>
    <w:rsid w:val="002826F5"/>
    <w:rsid w:val="00282981"/>
    <w:rsid w:val="0028298F"/>
    <w:rsid w:val="00282C14"/>
    <w:rsid w:val="00282C97"/>
    <w:rsid w:val="00282FE6"/>
    <w:rsid w:val="00283853"/>
    <w:rsid w:val="00283FFF"/>
    <w:rsid w:val="0028425E"/>
    <w:rsid w:val="00284C25"/>
    <w:rsid w:val="002851D7"/>
    <w:rsid w:val="00285C6F"/>
    <w:rsid w:val="00285D04"/>
    <w:rsid w:val="0028601B"/>
    <w:rsid w:val="00286066"/>
    <w:rsid w:val="002862D1"/>
    <w:rsid w:val="0028678E"/>
    <w:rsid w:val="00286A52"/>
    <w:rsid w:val="0028740D"/>
    <w:rsid w:val="00287733"/>
    <w:rsid w:val="002879E5"/>
    <w:rsid w:val="00287C34"/>
    <w:rsid w:val="00287D82"/>
    <w:rsid w:val="0029006B"/>
    <w:rsid w:val="002903E3"/>
    <w:rsid w:val="0029047C"/>
    <w:rsid w:val="002905AE"/>
    <w:rsid w:val="0029075D"/>
    <w:rsid w:val="0029080B"/>
    <w:rsid w:val="00290822"/>
    <w:rsid w:val="0029086F"/>
    <w:rsid w:val="0029134F"/>
    <w:rsid w:val="00291489"/>
    <w:rsid w:val="0029154A"/>
    <w:rsid w:val="002916E9"/>
    <w:rsid w:val="002927C4"/>
    <w:rsid w:val="00292A5E"/>
    <w:rsid w:val="00292C08"/>
    <w:rsid w:val="00292C7C"/>
    <w:rsid w:val="00292C87"/>
    <w:rsid w:val="002935FB"/>
    <w:rsid w:val="00293947"/>
    <w:rsid w:val="0029410F"/>
    <w:rsid w:val="002942F9"/>
    <w:rsid w:val="002944CC"/>
    <w:rsid w:val="002946FF"/>
    <w:rsid w:val="0029472A"/>
    <w:rsid w:val="00294886"/>
    <w:rsid w:val="00294ABA"/>
    <w:rsid w:val="00294EB9"/>
    <w:rsid w:val="00294FF2"/>
    <w:rsid w:val="00295112"/>
    <w:rsid w:val="002951D4"/>
    <w:rsid w:val="00295664"/>
    <w:rsid w:val="0029585A"/>
    <w:rsid w:val="00295924"/>
    <w:rsid w:val="00295C8B"/>
    <w:rsid w:val="00295D2B"/>
    <w:rsid w:val="00295E3A"/>
    <w:rsid w:val="00296028"/>
    <w:rsid w:val="0029612D"/>
    <w:rsid w:val="0029647C"/>
    <w:rsid w:val="00296940"/>
    <w:rsid w:val="00297233"/>
    <w:rsid w:val="00297592"/>
    <w:rsid w:val="00297A87"/>
    <w:rsid w:val="00297C54"/>
    <w:rsid w:val="00297E70"/>
    <w:rsid w:val="002A0505"/>
    <w:rsid w:val="002A0B4D"/>
    <w:rsid w:val="002A0D40"/>
    <w:rsid w:val="002A1115"/>
    <w:rsid w:val="002A12BC"/>
    <w:rsid w:val="002A13DA"/>
    <w:rsid w:val="002A16F0"/>
    <w:rsid w:val="002A1E7F"/>
    <w:rsid w:val="002A2482"/>
    <w:rsid w:val="002A2648"/>
    <w:rsid w:val="002A280D"/>
    <w:rsid w:val="002A28F8"/>
    <w:rsid w:val="002A2F06"/>
    <w:rsid w:val="002A317E"/>
    <w:rsid w:val="002A323F"/>
    <w:rsid w:val="002A3717"/>
    <w:rsid w:val="002A37D9"/>
    <w:rsid w:val="002A3DE2"/>
    <w:rsid w:val="002A3E41"/>
    <w:rsid w:val="002A43CD"/>
    <w:rsid w:val="002A4531"/>
    <w:rsid w:val="002A4B5E"/>
    <w:rsid w:val="002A4C8D"/>
    <w:rsid w:val="002A4CAC"/>
    <w:rsid w:val="002A4CF7"/>
    <w:rsid w:val="002A506D"/>
    <w:rsid w:val="002A5271"/>
    <w:rsid w:val="002A531C"/>
    <w:rsid w:val="002A559C"/>
    <w:rsid w:val="002A573D"/>
    <w:rsid w:val="002A57C1"/>
    <w:rsid w:val="002A59D1"/>
    <w:rsid w:val="002A6217"/>
    <w:rsid w:val="002A658D"/>
    <w:rsid w:val="002A65C8"/>
    <w:rsid w:val="002A66C5"/>
    <w:rsid w:val="002A6BA5"/>
    <w:rsid w:val="002A6BA6"/>
    <w:rsid w:val="002A724C"/>
    <w:rsid w:val="002A736E"/>
    <w:rsid w:val="002A73BE"/>
    <w:rsid w:val="002A7480"/>
    <w:rsid w:val="002A76C5"/>
    <w:rsid w:val="002A7E6B"/>
    <w:rsid w:val="002B00EE"/>
    <w:rsid w:val="002B0B7A"/>
    <w:rsid w:val="002B0D30"/>
    <w:rsid w:val="002B110D"/>
    <w:rsid w:val="002B18EF"/>
    <w:rsid w:val="002B1C95"/>
    <w:rsid w:val="002B1CD9"/>
    <w:rsid w:val="002B1D33"/>
    <w:rsid w:val="002B1E7F"/>
    <w:rsid w:val="002B215D"/>
    <w:rsid w:val="002B2168"/>
    <w:rsid w:val="002B2274"/>
    <w:rsid w:val="002B2390"/>
    <w:rsid w:val="002B254A"/>
    <w:rsid w:val="002B2AA3"/>
    <w:rsid w:val="002B2B90"/>
    <w:rsid w:val="002B30EE"/>
    <w:rsid w:val="002B31BC"/>
    <w:rsid w:val="002B33AA"/>
    <w:rsid w:val="002B351B"/>
    <w:rsid w:val="002B3D83"/>
    <w:rsid w:val="002B4220"/>
    <w:rsid w:val="002B427B"/>
    <w:rsid w:val="002B45CF"/>
    <w:rsid w:val="002B4802"/>
    <w:rsid w:val="002B50AD"/>
    <w:rsid w:val="002B550E"/>
    <w:rsid w:val="002B551A"/>
    <w:rsid w:val="002B5604"/>
    <w:rsid w:val="002B5A36"/>
    <w:rsid w:val="002B5BC1"/>
    <w:rsid w:val="002B5E3E"/>
    <w:rsid w:val="002B62F1"/>
    <w:rsid w:val="002B649A"/>
    <w:rsid w:val="002B6734"/>
    <w:rsid w:val="002B6862"/>
    <w:rsid w:val="002B6B74"/>
    <w:rsid w:val="002B6F08"/>
    <w:rsid w:val="002B7100"/>
    <w:rsid w:val="002B71E7"/>
    <w:rsid w:val="002B737E"/>
    <w:rsid w:val="002B759C"/>
    <w:rsid w:val="002B7896"/>
    <w:rsid w:val="002B7BBC"/>
    <w:rsid w:val="002B7F64"/>
    <w:rsid w:val="002C014D"/>
    <w:rsid w:val="002C02D8"/>
    <w:rsid w:val="002C0343"/>
    <w:rsid w:val="002C0456"/>
    <w:rsid w:val="002C0698"/>
    <w:rsid w:val="002C07F3"/>
    <w:rsid w:val="002C085C"/>
    <w:rsid w:val="002C0A83"/>
    <w:rsid w:val="002C0BC6"/>
    <w:rsid w:val="002C0EFA"/>
    <w:rsid w:val="002C12B0"/>
    <w:rsid w:val="002C1344"/>
    <w:rsid w:val="002C1B32"/>
    <w:rsid w:val="002C1B85"/>
    <w:rsid w:val="002C1B90"/>
    <w:rsid w:val="002C1CBF"/>
    <w:rsid w:val="002C210A"/>
    <w:rsid w:val="002C210C"/>
    <w:rsid w:val="002C23AE"/>
    <w:rsid w:val="002C24A6"/>
    <w:rsid w:val="002C2639"/>
    <w:rsid w:val="002C29DE"/>
    <w:rsid w:val="002C2C7D"/>
    <w:rsid w:val="002C2CEA"/>
    <w:rsid w:val="002C2FD8"/>
    <w:rsid w:val="002C34E9"/>
    <w:rsid w:val="002C36B7"/>
    <w:rsid w:val="002C3893"/>
    <w:rsid w:val="002C3D38"/>
    <w:rsid w:val="002C3F31"/>
    <w:rsid w:val="002C4086"/>
    <w:rsid w:val="002C41DA"/>
    <w:rsid w:val="002C4283"/>
    <w:rsid w:val="002C4315"/>
    <w:rsid w:val="002C459A"/>
    <w:rsid w:val="002C5474"/>
    <w:rsid w:val="002C54DC"/>
    <w:rsid w:val="002C573F"/>
    <w:rsid w:val="002C6069"/>
    <w:rsid w:val="002C61FC"/>
    <w:rsid w:val="002C668C"/>
    <w:rsid w:val="002C6759"/>
    <w:rsid w:val="002C6B3F"/>
    <w:rsid w:val="002C6E2E"/>
    <w:rsid w:val="002C794B"/>
    <w:rsid w:val="002C7E41"/>
    <w:rsid w:val="002D002F"/>
    <w:rsid w:val="002D00C7"/>
    <w:rsid w:val="002D04C5"/>
    <w:rsid w:val="002D0635"/>
    <w:rsid w:val="002D064D"/>
    <w:rsid w:val="002D06CF"/>
    <w:rsid w:val="002D0951"/>
    <w:rsid w:val="002D0A6B"/>
    <w:rsid w:val="002D0C6D"/>
    <w:rsid w:val="002D0C81"/>
    <w:rsid w:val="002D136A"/>
    <w:rsid w:val="002D176F"/>
    <w:rsid w:val="002D19DB"/>
    <w:rsid w:val="002D1C85"/>
    <w:rsid w:val="002D1D17"/>
    <w:rsid w:val="002D205C"/>
    <w:rsid w:val="002D2128"/>
    <w:rsid w:val="002D21C9"/>
    <w:rsid w:val="002D2669"/>
    <w:rsid w:val="002D2845"/>
    <w:rsid w:val="002D29F3"/>
    <w:rsid w:val="002D2D88"/>
    <w:rsid w:val="002D3049"/>
    <w:rsid w:val="002D348D"/>
    <w:rsid w:val="002D37BE"/>
    <w:rsid w:val="002D38F7"/>
    <w:rsid w:val="002D395B"/>
    <w:rsid w:val="002D3961"/>
    <w:rsid w:val="002D3C6F"/>
    <w:rsid w:val="002D3E9B"/>
    <w:rsid w:val="002D3F08"/>
    <w:rsid w:val="002D3F5F"/>
    <w:rsid w:val="002D3FE7"/>
    <w:rsid w:val="002D42AB"/>
    <w:rsid w:val="002D42CD"/>
    <w:rsid w:val="002D444B"/>
    <w:rsid w:val="002D5456"/>
    <w:rsid w:val="002D588C"/>
    <w:rsid w:val="002D59EF"/>
    <w:rsid w:val="002D5B8A"/>
    <w:rsid w:val="002D6141"/>
    <w:rsid w:val="002D6622"/>
    <w:rsid w:val="002D6691"/>
    <w:rsid w:val="002D66C2"/>
    <w:rsid w:val="002D681C"/>
    <w:rsid w:val="002D6EF6"/>
    <w:rsid w:val="002D6F6F"/>
    <w:rsid w:val="002D70A2"/>
    <w:rsid w:val="002D7528"/>
    <w:rsid w:val="002D754E"/>
    <w:rsid w:val="002D7C4F"/>
    <w:rsid w:val="002D7E62"/>
    <w:rsid w:val="002E007B"/>
    <w:rsid w:val="002E0451"/>
    <w:rsid w:val="002E0731"/>
    <w:rsid w:val="002E0995"/>
    <w:rsid w:val="002E124F"/>
    <w:rsid w:val="002E1341"/>
    <w:rsid w:val="002E143F"/>
    <w:rsid w:val="002E1639"/>
    <w:rsid w:val="002E1909"/>
    <w:rsid w:val="002E2110"/>
    <w:rsid w:val="002E2236"/>
    <w:rsid w:val="002E2280"/>
    <w:rsid w:val="002E2366"/>
    <w:rsid w:val="002E241F"/>
    <w:rsid w:val="002E2A87"/>
    <w:rsid w:val="002E2B1E"/>
    <w:rsid w:val="002E2D7C"/>
    <w:rsid w:val="002E2E2B"/>
    <w:rsid w:val="002E2FE4"/>
    <w:rsid w:val="002E3009"/>
    <w:rsid w:val="002E304B"/>
    <w:rsid w:val="002E3897"/>
    <w:rsid w:val="002E390A"/>
    <w:rsid w:val="002E413B"/>
    <w:rsid w:val="002E41AF"/>
    <w:rsid w:val="002E4246"/>
    <w:rsid w:val="002E42A9"/>
    <w:rsid w:val="002E4392"/>
    <w:rsid w:val="002E44D9"/>
    <w:rsid w:val="002E44E9"/>
    <w:rsid w:val="002E4AC3"/>
    <w:rsid w:val="002E4D5E"/>
    <w:rsid w:val="002E508C"/>
    <w:rsid w:val="002E5210"/>
    <w:rsid w:val="002E5844"/>
    <w:rsid w:val="002E5B52"/>
    <w:rsid w:val="002E5D2C"/>
    <w:rsid w:val="002E6534"/>
    <w:rsid w:val="002E6568"/>
    <w:rsid w:val="002E65CA"/>
    <w:rsid w:val="002E6638"/>
    <w:rsid w:val="002E6652"/>
    <w:rsid w:val="002E6A18"/>
    <w:rsid w:val="002E6D0C"/>
    <w:rsid w:val="002E6DE1"/>
    <w:rsid w:val="002E6F7C"/>
    <w:rsid w:val="002E7126"/>
    <w:rsid w:val="002E769C"/>
    <w:rsid w:val="002E78BA"/>
    <w:rsid w:val="002E790E"/>
    <w:rsid w:val="002E7C21"/>
    <w:rsid w:val="002E7EC0"/>
    <w:rsid w:val="002F0130"/>
    <w:rsid w:val="002F0351"/>
    <w:rsid w:val="002F04F1"/>
    <w:rsid w:val="002F05E5"/>
    <w:rsid w:val="002F0639"/>
    <w:rsid w:val="002F0829"/>
    <w:rsid w:val="002F08DE"/>
    <w:rsid w:val="002F0FA6"/>
    <w:rsid w:val="002F1643"/>
    <w:rsid w:val="002F16DC"/>
    <w:rsid w:val="002F16F2"/>
    <w:rsid w:val="002F1818"/>
    <w:rsid w:val="002F1B06"/>
    <w:rsid w:val="002F1F4F"/>
    <w:rsid w:val="002F1FCE"/>
    <w:rsid w:val="002F21E3"/>
    <w:rsid w:val="002F2248"/>
    <w:rsid w:val="002F313B"/>
    <w:rsid w:val="002F3437"/>
    <w:rsid w:val="002F346A"/>
    <w:rsid w:val="002F34BF"/>
    <w:rsid w:val="002F37D0"/>
    <w:rsid w:val="002F3AC2"/>
    <w:rsid w:val="002F3B95"/>
    <w:rsid w:val="002F3CF1"/>
    <w:rsid w:val="002F3F1A"/>
    <w:rsid w:val="002F4132"/>
    <w:rsid w:val="002F41EC"/>
    <w:rsid w:val="002F4731"/>
    <w:rsid w:val="002F49B3"/>
    <w:rsid w:val="002F4DB1"/>
    <w:rsid w:val="002F4DBE"/>
    <w:rsid w:val="002F4E15"/>
    <w:rsid w:val="002F4F66"/>
    <w:rsid w:val="002F52DB"/>
    <w:rsid w:val="002F55BF"/>
    <w:rsid w:val="002F5822"/>
    <w:rsid w:val="002F5A22"/>
    <w:rsid w:val="002F5C1D"/>
    <w:rsid w:val="002F5FDE"/>
    <w:rsid w:val="002F60FF"/>
    <w:rsid w:val="002F6D6C"/>
    <w:rsid w:val="002F77F7"/>
    <w:rsid w:val="002F782C"/>
    <w:rsid w:val="002F7C43"/>
    <w:rsid w:val="002F7D9C"/>
    <w:rsid w:val="00300100"/>
    <w:rsid w:val="0030013F"/>
    <w:rsid w:val="003004B9"/>
    <w:rsid w:val="003004CF"/>
    <w:rsid w:val="003005DC"/>
    <w:rsid w:val="0030073B"/>
    <w:rsid w:val="00300D11"/>
    <w:rsid w:val="00300D2A"/>
    <w:rsid w:val="00301286"/>
    <w:rsid w:val="003012B3"/>
    <w:rsid w:val="0030139E"/>
    <w:rsid w:val="0030149B"/>
    <w:rsid w:val="003014AD"/>
    <w:rsid w:val="00301559"/>
    <w:rsid w:val="0030167A"/>
    <w:rsid w:val="00301C60"/>
    <w:rsid w:val="00301F42"/>
    <w:rsid w:val="00302372"/>
    <w:rsid w:val="003023A4"/>
    <w:rsid w:val="0030256E"/>
    <w:rsid w:val="003029F8"/>
    <w:rsid w:val="00303303"/>
    <w:rsid w:val="003037ED"/>
    <w:rsid w:val="003039FE"/>
    <w:rsid w:val="00303C0D"/>
    <w:rsid w:val="00304646"/>
    <w:rsid w:val="003046D3"/>
    <w:rsid w:val="003049D1"/>
    <w:rsid w:val="00304D4B"/>
    <w:rsid w:val="00304D7C"/>
    <w:rsid w:val="00304ED4"/>
    <w:rsid w:val="00304F70"/>
    <w:rsid w:val="00305317"/>
    <w:rsid w:val="003053F2"/>
    <w:rsid w:val="00305BD1"/>
    <w:rsid w:val="00305EA7"/>
    <w:rsid w:val="00305F4F"/>
    <w:rsid w:val="00306778"/>
    <w:rsid w:val="00306826"/>
    <w:rsid w:val="003075DF"/>
    <w:rsid w:val="00307649"/>
    <w:rsid w:val="00307885"/>
    <w:rsid w:val="00307B03"/>
    <w:rsid w:val="00307D54"/>
    <w:rsid w:val="00307E1E"/>
    <w:rsid w:val="00307E59"/>
    <w:rsid w:val="00311248"/>
    <w:rsid w:val="00311329"/>
    <w:rsid w:val="0031166A"/>
    <w:rsid w:val="003119A5"/>
    <w:rsid w:val="003120A1"/>
    <w:rsid w:val="003120FB"/>
    <w:rsid w:val="0031213C"/>
    <w:rsid w:val="0031213D"/>
    <w:rsid w:val="0031235F"/>
    <w:rsid w:val="00312548"/>
    <w:rsid w:val="00312588"/>
    <w:rsid w:val="00312EFF"/>
    <w:rsid w:val="00312F7D"/>
    <w:rsid w:val="003130D7"/>
    <w:rsid w:val="00313763"/>
    <w:rsid w:val="00313B06"/>
    <w:rsid w:val="00313B10"/>
    <w:rsid w:val="003140B0"/>
    <w:rsid w:val="003144D2"/>
    <w:rsid w:val="0031459A"/>
    <w:rsid w:val="00314745"/>
    <w:rsid w:val="003148E1"/>
    <w:rsid w:val="00314954"/>
    <w:rsid w:val="00314F53"/>
    <w:rsid w:val="00315057"/>
    <w:rsid w:val="003154C5"/>
    <w:rsid w:val="0031557F"/>
    <w:rsid w:val="003155AA"/>
    <w:rsid w:val="00315799"/>
    <w:rsid w:val="003157B0"/>
    <w:rsid w:val="00315BDB"/>
    <w:rsid w:val="00315EA4"/>
    <w:rsid w:val="00315ED5"/>
    <w:rsid w:val="003160FA"/>
    <w:rsid w:val="003166B4"/>
    <w:rsid w:val="00316704"/>
    <w:rsid w:val="00316788"/>
    <w:rsid w:val="0031687D"/>
    <w:rsid w:val="00316A48"/>
    <w:rsid w:val="00316BA2"/>
    <w:rsid w:val="00316CD3"/>
    <w:rsid w:val="00316EE9"/>
    <w:rsid w:val="003172C6"/>
    <w:rsid w:val="003172CB"/>
    <w:rsid w:val="0031789C"/>
    <w:rsid w:val="00317BCD"/>
    <w:rsid w:val="00317E72"/>
    <w:rsid w:val="00317ED8"/>
    <w:rsid w:val="00320052"/>
    <w:rsid w:val="0032026B"/>
    <w:rsid w:val="003202E8"/>
    <w:rsid w:val="00320A89"/>
    <w:rsid w:val="00320C6B"/>
    <w:rsid w:val="00321AEE"/>
    <w:rsid w:val="00321E36"/>
    <w:rsid w:val="0032204B"/>
    <w:rsid w:val="0032210A"/>
    <w:rsid w:val="00322845"/>
    <w:rsid w:val="003229F6"/>
    <w:rsid w:val="0032316F"/>
    <w:rsid w:val="0032374E"/>
    <w:rsid w:val="0032392B"/>
    <w:rsid w:val="0032398C"/>
    <w:rsid w:val="00323A8A"/>
    <w:rsid w:val="00323CD1"/>
    <w:rsid w:val="00323E9D"/>
    <w:rsid w:val="0032401D"/>
    <w:rsid w:val="00324198"/>
    <w:rsid w:val="0032441D"/>
    <w:rsid w:val="0032451E"/>
    <w:rsid w:val="003248DE"/>
    <w:rsid w:val="00325191"/>
    <w:rsid w:val="00325878"/>
    <w:rsid w:val="00325A10"/>
    <w:rsid w:val="00325EDF"/>
    <w:rsid w:val="00325F26"/>
    <w:rsid w:val="0032665E"/>
    <w:rsid w:val="00326673"/>
    <w:rsid w:val="00326B3C"/>
    <w:rsid w:val="00326CBF"/>
    <w:rsid w:val="003276CA"/>
    <w:rsid w:val="00327855"/>
    <w:rsid w:val="0032798B"/>
    <w:rsid w:val="00327E62"/>
    <w:rsid w:val="003304BF"/>
    <w:rsid w:val="003306EF"/>
    <w:rsid w:val="00330748"/>
    <w:rsid w:val="003308DB"/>
    <w:rsid w:val="00330933"/>
    <w:rsid w:val="00330E84"/>
    <w:rsid w:val="003313AE"/>
    <w:rsid w:val="0033173F"/>
    <w:rsid w:val="00331A64"/>
    <w:rsid w:val="00331A94"/>
    <w:rsid w:val="00331B99"/>
    <w:rsid w:val="00331BF5"/>
    <w:rsid w:val="003320E4"/>
    <w:rsid w:val="00332824"/>
    <w:rsid w:val="00332B42"/>
    <w:rsid w:val="003330F4"/>
    <w:rsid w:val="003332AB"/>
    <w:rsid w:val="00333FBA"/>
    <w:rsid w:val="00334146"/>
    <w:rsid w:val="003344E5"/>
    <w:rsid w:val="00334583"/>
    <w:rsid w:val="00334672"/>
    <w:rsid w:val="003346AE"/>
    <w:rsid w:val="0033485A"/>
    <w:rsid w:val="00334BA7"/>
    <w:rsid w:val="00334DA5"/>
    <w:rsid w:val="00334E4A"/>
    <w:rsid w:val="00334E73"/>
    <w:rsid w:val="00334FC7"/>
    <w:rsid w:val="003351E5"/>
    <w:rsid w:val="00335363"/>
    <w:rsid w:val="00336019"/>
    <w:rsid w:val="003361D7"/>
    <w:rsid w:val="00336396"/>
    <w:rsid w:val="003367A9"/>
    <w:rsid w:val="00336AA0"/>
    <w:rsid w:val="00336B3A"/>
    <w:rsid w:val="00337246"/>
    <w:rsid w:val="0033744B"/>
    <w:rsid w:val="00337534"/>
    <w:rsid w:val="003375A8"/>
    <w:rsid w:val="00337618"/>
    <w:rsid w:val="0033780F"/>
    <w:rsid w:val="00337D8A"/>
    <w:rsid w:val="003405D9"/>
    <w:rsid w:val="003406F4"/>
    <w:rsid w:val="003407D4"/>
    <w:rsid w:val="00340821"/>
    <w:rsid w:val="003408A8"/>
    <w:rsid w:val="003408D2"/>
    <w:rsid w:val="00340A7A"/>
    <w:rsid w:val="00340A7D"/>
    <w:rsid w:val="00340EC4"/>
    <w:rsid w:val="00340F86"/>
    <w:rsid w:val="00341598"/>
    <w:rsid w:val="003417BB"/>
    <w:rsid w:val="00341A78"/>
    <w:rsid w:val="00342027"/>
    <w:rsid w:val="0034205F"/>
    <w:rsid w:val="00342372"/>
    <w:rsid w:val="0034248B"/>
    <w:rsid w:val="00342627"/>
    <w:rsid w:val="003426F9"/>
    <w:rsid w:val="00342726"/>
    <w:rsid w:val="00342ADE"/>
    <w:rsid w:val="00343138"/>
    <w:rsid w:val="00343204"/>
    <w:rsid w:val="003432D8"/>
    <w:rsid w:val="00343470"/>
    <w:rsid w:val="003437DF"/>
    <w:rsid w:val="00343988"/>
    <w:rsid w:val="003439B1"/>
    <w:rsid w:val="00343B13"/>
    <w:rsid w:val="00343C2F"/>
    <w:rsid w:val="00343DA4"/>
    <w:rsid w:val="00344128"/>
    <w:rsid w:val="003448B1"/>
    <w:rsid w:val="003448E3"/>
    <w:rsid w:val="00344DB6"/>
    <w:rsid w:val="00345277"/>
    <w:rsid w:val="003455A1"/>
    <w:rsid w:val="00345927"/>
    <w:rsid w:val="0034599F"/>
    <w:rsid w:val="00345AD1"/>
    <w:rsid w:val="00345CD5"/>
    <w:rsid w:val="00345E6E"/>
    <w:rsid w:val="00345FDB"/>
    <w:rsid w:val="003463FD"/>
    <w:rsid w:val="003468F8"/>
    <w:rsid w:val="00346925"/>
    <w:rsid w:val="00347001"/>
    <w:rsid w:val="00347616"/>
    <w:rsid w:val="00347729"/>
    <w:rsid w:val="00347A41"/>
    <w:rsid w:val="00347FE1"/>
    <w:rsid w:val="00350474"/>
    <w:rsid w:val="00350675"/>
    <w:rsid w:val="00350AD6"/>
    <w:rsid w:val="00350ADB"/>
    <w:rsid w:val="00350AE0"/>
    <w:rsid w:val="00350C15"/>
    <w:rsid w:val="00350CF3"/>
    <w:rsid w:val="00350DC3"/>
    <w:rsid w:val="00351167"/>
    <w:rsid w:val="003511AB"/>
    <w:rsid w:val="003514AE"/>
    <w:rsid w:val="00351DB6"/>
    <w:rsid w:val="0035232D"/>
    <w:rsid w:val="00352474"/>
    <w:rsid w:val="00352AB9"/>
    <w:rsid w:val="00352AF4"/>
    <w:rsid w:val="00352EDB"/>
    <w:rsid w:val="0035395F"/>
    <w:rsid w:val="0035404E"/>
    <w:rsid w:val="00354130"/>
    <w:rsid w:val="00354A42"/>
    <w:rsid w:val="00354F58"/>
    <w:rsid w:val="003550A2"/>
    <w:rsid w:val="003550E4"/>
    <w:rsid w:val="003552D2"/>
    <w:rsid w:val="0035554F"/>
    <w:rsid w:val="00355632"/>
    <w:rsid w:val="00355798"/>
    <w:rsid w:val="003557E8"/>
    <w:rsid w:val="003559CB"/>
    <w:rsid w:val="00356503"/>
    <w:rsid w:val="00356820"/>
    <w:rsid w:val="00356AF4"/>
    <w:rsid w:val="00356B34"/>
    <w:rsid w:val="00356E84"/>
    <w:rsid w:val="00356F35"/>
    <w:rsid w:val="00356FF0"/>
    <w:rsid w:val="00357093"/>
    <w:rsid w:val="0035709F"/>
    <w:rsid w:val="003573DA"/>
    <w:rsid w:val="003576BF"/>
    <w:rsid w:val="003577B3"/>
    <w:rsid w:val="003602FE"/>
    <w:rsid w:val="003605FB"/>
    <w:rsid w:val="00360B5D"/>
    <w:rsid w:val="00360CCA"/>
    <w:rsid w:val="00361011"/>
    <w:rsid w:val="00361123"/>
    <w:rsid w:val="003613E2"/>
    <w:rsid w:val="00361455"/>
    <w:rsid w:val="0036153B"/>
    <w:rsid w:val="003616A9"/>
    <w:rsid w:val="00361828"/>
    <w:rsid w:val="00361BB2"/>
    <w:rsid w:val="00361F3C"/>
    <w:rsid w:val="0036216A"/>
    <w:rsid w:val="0036268F"/>
    <w:rsid w:val="00363C5F"/>
    <w:rsid w:val="0036426F"/>
    <w:rsid w:val="003642AE"/>
    <w:rsid w:val="0036430A"/>
    <w:rsid w:val="003649F5"/>
    <w:rsid w:val="00364A80"/>
    <w:rsid w:val="00364C58"/>
    <w:rsid w:val="0036525B"/>
    <w:rsid w:val="00365384"/>
    <w:rsid w:val="0036569B"/>
    <w:rsid w:val="00366042"/>
    <w:rsid w:val="00366100"/>
    <w:rsid w:val="003664D6"/>
    <w:rsid w:val="003666BC"/>
    <w:rsid w:val="00366BFC"/>
    <w:rsid w:val="00366DB9"/>
    <w:rsid w:val="003671E8"/>
    <w:rsid w:val="003676BE"/>
    <w:rsid w:val="003677E8"/>
    <w:rsid w:val="00367B37"/>
    <w:rsid w:val="00367D3E"/>
    <w:rsid w:val="003702C2"/>
    <w:rsid w:val="003702E0"/>
    <w:rsid w:val="0037067F"/>
    <w:rsid w:val="00370A7B"/>
    <w:rsid w:val="00370AD8"/>
    <w:rsid w:val="00370BF0"/>
    <w:rsid w:val="00370E3D"/>
    <w:rsid w:val="00370E6F"/>
    <w:rsid w:val="00371289"/>
    <w:rsid w:val="00371301"/>
    <w:rsid w:val="0037147F"/>
    <w:rsid w:val="003714DD"/>
    <w:rsid w:val="00371A22"/>
    <w:rsid w:val="00371CC1"/>
    <w:rsid w:val="00371ED5"/>
    <w:rsid w:val="0037208A"/>
    <w:rsid w:val="003722F0"/>
    <w:rsid w:val="0037268F"/>
    <w:rsid w:val="00373139"/>
    <w:rsid w:val="003731D5"/>
    <w:rsid w:val="003731FC"/>
    <w:rsid w:val="0037327C"/>
    <w:rsid w:val="00373623"/>
    <w:rsid w:val="003740CA"/>
    <w:rsid w:val="0037434E"/>
    <w:rsid w:val="00374836"/>
    <w:rsid w:val="00374D5F"/>
    <w:rsid w:val="00374DB9"/>
    <w:rsid w:val="00374E17"/>
    <w:rsid w:val="00374F2A"/>
    <w:rsid w:val="0037520E"/>
    <w:rsid w:val="003752B9"/>
    <w:rsid w:val="00375537"/>
    <w:rsid w:val="0037564A"/>
    <w:rsid w:val="00375A8A"/>
    <w:rsid w:val="00375FAF"/>
    <w:rsid w:val="003761FA"/>
    <w:rsid w:val="003762CA"/>
    <w:rsid w:val="003765E0"/>
    <w:rsid w:val="00376634"/>
    <w:rsid w:val="00376963"/>
    <w:rsid w:val="00376C3C"/>
    <w:rsid w:val="0037709E"/>
    <w:rsid w:val="0037725B"/>
    <w:rsid w:val="00377307"/>
    <w:rsid w:val="00377478"/>
    <w:rsid w:val="0037771A"/>
    <w:rsid w:val="003777C3"/>
    <w:rsid w:val="00377976"/>
    <w:rsid w:val="0037799D"/>
    <w:rsid w:val="003779F6"/>
    <w:rsid w:val="00377A72"/>
    <w:rsid w:val="00377FA3"/>
    <w:rsid w:val="0038006B"/>
    <w:rsid w:val="00380279"/>
    <w:rsid w:val="003803A4"/>
    <w:rsid w:val="00380AA2"/>
    <w:rsid w:val="00380B8B"/>
    <w:rsid w:val="00381443"/>
    <w:rsid w:val="00381460"/>
    <w:rsid w:val="003815DB"/>
    <w:rsid w:val="00381728"/>
    <w:rsid w:val="003818AB"/>
    <w:rsid w:val="003819AC"/>
    <w:rsid w:val="00381DDA"/>
    <w:rsid w:val="00381E66"/>
    <w:rsid w:val="00381ECA"/>
    <w:rsid w:val="003823C8"/>
    <w:rsid w:val="003825BD"/>
    <w:rsid w:val="00382987"/>
    <w:rsid w:val="00382B7F"/>
    <w:rsid w:val="00382C70"/>
    <w:rsid w:val="00382C98"/>
    <w:rsid w:val="00382CB2"/>
    <w:rsid w:val="00382CD0"/>
    <w:rsid w:val="00383448"/>
    <w:rsid w:val="003836C1"/>
    <w:rsid w:val="003836F1"/>
    <w:rsid w:val="00383792"/>
    <w:rsid w:val="00383830"/>
    <w:rsid w:val="00383D0D"/>
    <w:rsid w:val="003840BF"/>
    <w:rsid w:val="0038427B"/>
    <w:rsid w:val="003846DB"/>
    <w:rsid w:val="00384953"/>
    <w:rsid w:val="00384A20"/>
    <w:rsid w:val="00384A70"/>
    <w:rsid w:val="00384F5C"/>
    <w:rsid w:val="00384F8D"/>
    <w:rsid w:val="003850B0"/>
    <w:rsid w:val="00385535"/>
    <w:rsid w:val="003855B6"/>
    <w:rsid w:val="00385608"/>
    <w:rsid w:val="00385ABF"/>
    <w:rsid w:val="00385C62"/>
    <w:rsid w:val="00385D29"/>
    <w:rsid w:val="0038613A"/>
    <w:rsid w:val="003863DD"/>
    <w:rsid w:val="003866F4"/>
    <w:rsid w:val="003868B9"/>
    <w:rsid w:val="003868FD"/>
    <w:rsid w:val="00386903"/>
    <w:rsid w:val="00386B1B"/>
    <w:rsid w:val="00386B4E"/>
    <w:rsid w:val="00386C0F"/>
    <w:rsid w:val="00386EBA"/>
    <w:rsid w:val="00387048"/>
    <w:rsid w:val="003875F2"/>
    <w:rsid w:val="00387A6B"/>
    <w:rsid w:val="00387F81"/>
    <w:rsid w:val="00387F84"/>
    <w:rsid w:val="00390130"/>
    <w:rsid w:val="00390186"/>
    <w:rsid w:val="00390190"/>
    <w:rsid w:val="003901ED"/>
    <w:rsid w:val="00390542"/>
    <w:rsid w:val="0039081A"/>
    <w:rsid w:val="00390B6A"/>
    <w:rsid w:val="00391340"/>
    <w:rsid w:val="0039179C"/>
    <w:rsid w:val="00391A1A"/>
    <w:rsid w:val="00391AB6"/>
    <w:rsid w:val="00391C16"/>
    <w:rsid w:val="00391FF8"/>
    <w:rsid w:val="00392141"/>
    <w:rsid w:val="00392B92"/>
    <w:rsid w:val="00392D75"/>
    <w:rsid w:val="00393179"/>
    <w:rsid w:val="00393833"/>
    <w:rsid w:val="00393911"/>
    <w:rsid w:val="00393CBB"/>
    <w:rsid w:val="00393D89"/>
    <w:rsid w:val="003943B3"/>
    <w:rsid w:val="00394450"/>
    <w:rsid w:val="00394651"/>
    <w:rsid w:val="00394A3F"/>
    <w:rsid w:val="00394E6E"/>
    <w:rsid w:val="0039512D"/>
    <w:rsid w:val="00395340"/>
    <w:rsid w:val="00396029"/>
    <w:rsid w:val="00396050"/>
    <w:rsid w:val="003962C5"/>
    <w:rsid w:val="0039648D"/>
    <w:rsid w:val="00397173"/>
    <w:rsid w:val="00397270"/>
    <w:rsid w:val="003978EF"/>
    <w:rsid w:val="00397C84"/>
    <w:rsid w:val="00397C8E"/>
    <w:rsid w:val="00397CCF"/>
    <w:rsid w:val="003A0387"/>
    <w:rsid w:val="003A0764"/>
    <w:rsid w:val="003A0771"/>
    <w:rsid w:val="003A07A0"/>
    <w:rsid w:val="003A07F5"/>
    <w:rsid w:val="003A099E"/>
    <w:rsid w:val="003A09C0"/>
    <w:rsid w:val="003A0D27"/>
    <w:rsid w:val="003A0F59"/>
    <w:rsid w:val="003A11AF"/>
    <w:rsid w:val="003A12FB"/>
    <w:rsid w:val="003A1449"/>
    <w:rsid w:val="003A1556"/>
    <w:rsid w:val="003A169E"/>
    <w:rsid w:val="003A1D42"/>
    <w:rsid w:val="003A1E6A"/>
    <w:rsid w:val="003A1EA0"/>
    <w:rsid w:val="003A2156"/>
    <w:rsid w:val="003A2165"/>
    <w:rsid w:val="003A22C9"/>
    <w:rsid w:val="003A24E1"/>
    <w:rsid w:val="003A25AE"/>
    <w:rsid w:val="003A2D43"/>
    <w:rsid w:val="003A2D6F"/>
    <w:rsid w:val="003A2F44"/>
    <w:rsid w:val="003A2F86"/>
    <w:rsid w:val="003A3066"/>
    <w:rsid w:val="003A30DC"/>
    <w:rsid w:val="003A3113"/>
    <w:rsid w:val="003A32F9"/>
    <w:rsid w:val="003A3D59"/>
    <w:rsid w:val="003A4048"/>
    <w:rsid w:val="003A4150"/>
    <w:rsid w:val="003A44C9"/>
    <w:rsid w:val="003A45CA"/>
    <w:rsid w:val="003A48AB"/>
    <w:rsid w:val="003A494E"/>
    <w:rsid w:val="003A4B46"/>
    <w:rsid w:val="003A4EC4"/>
    <w:rsid w:val="003A4F93"/>
    <w:rsid w:val="003A50B5"/>
    <w:rsid w:val="003A52FA"/>
    <w:rsid w:val="003A546F"/>
    <w:rsid w:val="003A54B4"/>
    <w:rsid w:val="003A56D2"/>
    <w:rsid w:val="003A5A2A"/>
    <w:rsid w:val="003A62BF"/>
    <w:rsid w:val="003A69ED"/>
    <w:rsid w:val="003A6D7E"/>
    <w:rsid w:val="003A6E29"/>
    <w:rsid w:val="003A6E98"/>
    <w:rsid w:val="003A6EE1"/>
    <w:rsid w:val="003A6F8B"/>
    <w:rsid w:val="003A7116"/>
    <w:rsid w:val="003A72EC"/>
    <w:rsid w:val="003A7361"/>
    <w:rsid w:val="003A77EB"/>
    <w:rsid w:val="003A7808"/>
    <w:rsid w:val="003A78F6"/>
    <w:rsid w:val="003A7D21"/>
    <w:rsid w:val="003A7F16"/>
    <w:rsid w:val="003A7FEB"/>
    <w:rsid w:val="003B0170"/>
    <w:rsid w:val="003B017C"/>
    <w:rsid w:val="003B039C"/>
    <w:rsid w:val="003B05EA"/>
    <w:rsid w:val="003B060C"/>
    <w:rsid w:val="003B0614"/>
    <w:rsid w:val="003B061E"/>
    <w:rsid w:val="003B0648"/>
    <w:rsid w:val="003B07C6"/>
    <w:rsid w:val="003B08C8"/>
    <w:rsid w:val="003B0AA2"/>
    <w:rsid w:val="003B0DC5"/>
    <w:rsid w:val="003B0EDA"/>
    <w:rsid w:val="003B173D"/>
    <w:rsid w:val="003B1946"/>
    <w:rsid w:val="003B1A41"/>
    <w:rsid w:val="003B1A5C"/>
    <w:rsid w:val="003B22CE"/>
    <w:rsid w:val="003B2967"/>
    <w:rsid w:val="003B31DE"/>
    <w:rsid w:val="003B3569"/>
    <w:rsid w:val="003B3781"/>
    <w:rsid w:val="003B3914"/>
    <w:rsid w:val="003B4099"/>
    <w:rsid w:val="003B4453"/>
    <w:rsid w:val="003B4F4E"/>
    <w:rsid w:val="003B542A"/>
    <w:rsid w:val="003B5B15"/>
    <w:rsid w:val="003B5D35"/>
    <w:rsid w:val="003B5E63"/>
    <w:rsid w:val="003B6001"/>
    <w:rsid w:val="003B67F2"/>
    <w:rsid w:val="003B6AE9"/>
    <w:rsid w:val="003B6C70"/>
    <w:rsid w:val="003B6E33"/>
    <w:rsid w:val="003B7535"/>
    <w:rsid w:val="003B7715"/>
    <w:rsid w:val="003B7FA4"/>
    <w:rsid w:val="003C009B"/>
    <w:rsid w:val="003C00AC"/>
    <w:rsid w:val="003C011F"/>
    <w:rsid w:val="003C032D"/>
    <w:rsid w:val="003C039D"/>
    <w:rsid w:val="003C0469"/>
    <w:rsid w:val="003C066D"/>
    <w:rsid w:val="003C0CAC"/>
    <w:rsid w:val="003C171A"/>
    <w:rsid w:val="003C18D3"/>
    <w:rsid w:val="003C196D"/>
    <w:rsid w:val="003C2C49"/>
    <w:rsid w:val="003C2EE6"/>
    <w:rsid w:val="003C302E"/>
    <w:rsid w:val="003C319C"/>
    <w:rsid w:val="003C34DB"/>
    <w:rsid w:val="003C3555"/>
    <w:rsid w:val="003C384C"/>
    <w:rsid w:val="003C3AEE"/>
    <w:rsid w:val="003C3FBA"/>
    <w:rsid w:val="003C4311"/>
    <w:rsid w:val="003C4467"/>
    <w:rsid w:val="003C452D"/>
    <w:rsid w:val="003C459C"/>
    <w:rsid w:val="003C4737"/>
    <w:rsid w:val="003C47F3"/>
    <w:rsid w:val="003C493A"/>
    <w:rsid w:val="003C4B59"/>
    <w:rsid w:val="003C50B5"/>
    <w:rsid w:val="003C5171"/>
    <w:rsid w:val="003C5173"/>
    <w:rsid w:val="003C5587"/>
    <w:rsid w:val="003C5F36"/>
    <w:rsid w:val="003C5FAD"/>
    <w:rsid w:val="003C6A3D"/>
    <w:rsid w:val="003C6E79"/>
    <w:rsid w:val="003C7027"/>
    <w:rsid w:val="003C70FA"/>
    <w:rsid w:val="003C724B"/>
    <w:rsid w:val="003C7321"/>
    <w:rsid w:val="003D0155"/>
    <w:rsid w:val="003D02AB"/>
    <w:rsid w:val="003D0629"/>
    <w:rsid w:val="003D073F"/>
    <w:rsid w:val="003D07AB"/>
    <w:rsid w:val="003D07CF"/>
    <w:rsid w:val="003D0A60"/>
    <w:rsid w:val="003D0C24"/>
    <w:rsid w:val="003D0D28"/>
    <w:rsid w:val="003D12A6"/>
    <w:rsid w:val="003D141A"/>
    <w:rsid w:val="003D15C8"/>
    <w:rsid w:val="003D18D4"/>
    <w:rsid w:val="003D19ED"/>
    <w:rsid w:val="003D1F6F"/>
    <w:rsid w:val="003D21E1"/>
    <w:rsid w:val="003D225D"/>
    <w:rsid w:val="003D22CC"/>
    <w:rsid w:val="003D2430"/>
    <w:rsid w:val="003D2546"/>
    <w:rsid w:val="003D26B5"/>
    <w:rsid w:val="003D275A"/>
    <w:rsid w:val="003D2A64"/>
    <w:rsid w:val="003D2C3A"/>
    <w:rsid w:val="003D2D7A"/>
    <w:rsid w:val="003D31CD"/>
    <w:rsid w:val="003D37B6"/>
    <w:rsid w:val="003D3A7A"/>
    <w:rsid w:val="003D3E99"/>
    <w:rsid w:val="003D409D"/>
    <w:rsid w:val="003D433B"/>
    <w:rsid w:val="003D46EB"/>
    <w:rsid w:val="003D4AF3"/>
    <w:rsid w:val="003D4B1B"/>
    <w:rsid w:val="003D4E85"/>
    <w:rsid w:val="003D50EA"/>
    <w:rsid w:val="003D5137"/>
    <w:rsid w:val="003D568C"/>
    <w:rsid w:val="003D5F07"/>
    <w:rsid w:val="003D609B"/>
    <w:rsid w:val="003D6404"/>
    <w:rsid w:val="003D6583"/>
    <w:rsid w:val="003D6588"/>
    <w:rsid w:val="003D6A46"/>
    <w:rsid w:val="003D6AD8"/>
    <w:rsid w:val="003D6DB8"/>
    <w:rsid w:val="003D6E60"/>
    <w:rsid w:val="003D70B1"/>
    <w:rsid w:val="003D7373"/>
    <w:rsid w:val="003D7870"/>
    <w:rsid w:val="003D787D"/>
    <w:rsid w:val="003D7B7D"/>
    <w:rsid w:val="003E0004"/>
    <w:rsid w:val="003E001C"/>
    <w:rsid w:val="003E02DB"/>
    <w:rsid w:val="003E05BD"/>
    <w:rsid w:val="003E066B"/>
    <w:rsid w:val="003E1131"/>
    <w:rsid w:val="003E14B7"/>
    <w:rsid w:val="003E15E1"/>
    <w:rsid w:val="003E1866"/>
    <w:rsid w:val="003E1F8C"/>
    <w:rsid w:val="003E221A"/>
    <w:rsid w:val="003E2398"/>
    <w:rsid w:val="003E30B1"/>
    <w:rsid w:val="003E3261"/>
    <w:rsid w:val="003E3343"/>
    <w:rsid w:val="003E3411"/>
    <w:rsid w:val="003E3492"/>
    <w:rsid w:val="003E34C5"/>
    <w:rsid w:val="003E3555"/>
    <w:rsid w:val="003E357C"/>
    <w:rsid w:val="003E357D"/>
    <w:rsid w:val="003E3848"/>
    <w:rsid w:val="003E3987"/>
    <w:rsid w:val="003E3A37"/>
    <w:rsid w:val="003E3C3E"/>
    <w:rsid w:val="003E3F3D"/>
    <w:rsid w:val="003E4169"/>
    <w:rsid w:val="003E4231"/>
    <w:rsid w:val="003E44B0"/>
    <w:rsid w:val="003E46C3"/>
    <w:rsid w:val="003E481A"/>
    <w:rsid w:val="003E4869"/>
    <w:rsid w:val="003E4F8C"/>
    <w:rsid w:val="003E52E1"/>
    <w:rsid w:val="003E5405"/>
    <w:rsid w:val="003E5A44"/>
    <w:rsid w:val="003E5D67"/>
    <w:rsid w:val="003E5F58"/>
    <w:rsid w:val="003E611F"/>
    <w:rsid w:val="003E653C"/>
    <w:rsid w:val="003E66AD"/>
    <w:rsid w:val="003E6815"/>
    <w:rsid w:val="003E6BE5"/>
    <w:rsid w:val="003E6C48"/>
    <w:rsid w:val="003E6EC9"/>
    <w:rsid w:val="003E7004"/>
    <w:rsid w:val="003E7689"/>
    <w:rsid w:val="003E771A"/>
    <w:rsid w:val="003E7C24"/>
    <w:rsid w:val="003E7C4F"/>
    <w:rsid w:val="003E7E7B"/>
    <w:rsid w:val="003F096F"/>
    <w:rsid w:val="003F0BDA"/>
    <w:rsid w:val="003F1389"/>
    <w:rsid w:val="003F1842"/>
    <w:rsid w:val="003F1B45"/>
    <w:rsid w:val="003F1C89"/>
    <w:rsid w:val="003F1C8C"/>
    <w:rsid w:val="003F1D37"/>
    <w:rsid w:val="003F213F"/>
    <w:rsid w:val="003F2191"/>
    <w:rsid w:val="003F2486"/>
    <w:rsid w:val="003F25A2"/>
    <w:rsid w:val="003F29A9"/>
    <w:rsid w:val="003F2BEF"/>
    <w:rsid w:val="003F2C22"/>
    <w:rsid w:val="003F37D9"/>
    <w:rsid w:val="003F3D40"/>
    <w:rsid w:val="003F3DEC"/>
    <w:rsid w:val="003F4360"/>
    <w:rsid w:val="003F4376"/>
    <w:rsid w:val="003F4751"/>
    <w:rsid w:val="003F47C8"/>
    <w:rsid w:val="003F4943"/>
    <w:rsid w:val="003F4B57"/>
    <w:rsid w:val="003F540A"/>
    <w:rsid w:val="003F5539"/>
    <w:rsid w:val="003F58DA"/>
    <w:rsid w:val="003F5BBF"/>
    <w:rsid w:val="003F5E8C"/>
    <w:rsid w:val="003F6170"/>
    <w:rsid w:val="003F65F6"/>
    <w:rsid w:val="003F683A"/>
    <w:rsid w:val="003F69B7"/>
    <w:rsid w:val="003F6BF2"/>
    <w:rsid w:val="003F6F63"/>
    <w:rsid w:val="003F6FA4"/>
    <w:rsid w:val="003F73F3"/>
    <w:rsid w:val="003F750B"/>
    <w:rsid w:val="003F76EE"/>
    <w:rsid w:val="003F7852"/>
    <w:rsid w:val="003F7930"/>
    <w:rsid w:val="003F7C58"/>
    <w:rsid w:val="003F7F1D"/>
    <w:rsid w:val="004001D5"/>
    <w:rsid w:val="0040020F"/>
    <w:rsid w:val="004007E2"/>
    <w:rsid w:val="0040147F"/>
    <w:rsid w:val="00401496"/>
    <w:rsid w:val="004019B1"/>
    <w:rsid w:val="00401B71"/>
    <w:rsid w:val="00401DE7"/>
    <w:rsid w:val="004020E1"/>
    <w:rsid w:val="004024B7"/>
    <w:rsid w:val="00402693"/>
    <w:rsid w:val="00402732"/>
    <w:rsid w:val="0040285B"/>
    <w:rsid w:val="00402C9E"/>
    <w:rsid w:val="00402DD5"/>
    <w:rsid w:val="00403170"/>
    <w:rsid w:val="004032EB"/>
    <w:rsid w:val="004033F3"/>
    <w:rsid w:val="004035D7"/>
    <w:rsid w:val="00403924"/>
    <w:rsid w:val="004039AA"/>
    <w:rsid w:val="00403B21"/>
    <w:rsid w:val="00403F09"/>
    <w:rsid w:val="00403F1E"/>
    <w:rsid w:val="00404077"/>
    <w:rsid w:val="0040454E"/>
    <w:rsid w:val="0040465E"/>
    <w:rsid w:val="00404949"/>
    <w:rsid w:val="00404C98"/>
    <w:rsid w:val="00404CAE"/>
    <w:rsid w:val="00404F26"/>
    <w:rsid w:val="00405246"/>
    <w:rsid w:val="0040528C"/>
    <w:rsid w:val="004058D9"/>
    <w:rsid w:val="00405A22"/>
    <w:rsid w:val="00405C13"/>
    <w:rsid w:val="00405ECD"/>
    <w:rsid w:val="00406055"/>
    <w:rsid w:val="00406456"/>
    <w:rsid w:val="0040675F"/>
    <w:rsid w:val="00406B1E"/>
    <w:rsid w:val="00406E98"/>
    <w:rsid w:val="0040708D"/>
    <w:rsid w:val="00407096"/>
    <w:rsid w:val="0040788C"/>
    <w:rsid w:val="004079EC"/>
    <w:rsid w:val="00407A28"/>
    <w:rsid w:val="00407C8E"/>
    <w:rsid w:val="00410253"/>
    <w:rsid w:val="00410382"/>
    <w:rsid w:val="004104E0"/>
    <w:rsid w:val="00411035"/>
    <w:rsid w:val="004111BB"/>
    <w:rsid w:val="004113C9"/>
    <w:rsid w:val="0041145E"/>
    <w:rsid w:val="004114D6"/>
    <w:rsid w:val="00411726"/>
    <w:rsid w:val="0041186A"/>
    <w:rsid w:val="0041193B"/>
    <w:rsid w:val="00411FFA"/>
    <w:rsid w:val="00412A29"/>
    <w:rsid w:val="00412E6F"/>
    <w:rsid w:val="00413612"/>
    <w:rsid w:val="00413658"/>
    <w:rsid w:val="00413980"/>
    <w:rsid w:val="00413E2E"/>
    <w:rsid w:val="00414423"/>
    <w:rsid w:val="004147A4"/>
    <w:rsid w:val="00414A2D"/>
    <w:rsid w:val="00414C74"/>
    <w:rsid w:val="004150CC"/>
    <w:rsid w:val="0041532A"/>
    <w:rsid w:val="0041569B"/>
    <w:rsid w:val="0041577A"/>
    <w:rsid w:val="0041580A"/>
    <w:rsid w:val="00415A92"/>
    <w:rsid w:val="00415B24"/>
    <w:rsid w:val="00415FD1"/>
    <w:rsid w:val="004161BB"/>
    <w:rsid w:val="00416229"/>
    <w:rsid w:val="004162C7"/>
    <w:rsid w:val="00416844"/>
    <w:rsid w:val="00416BEE"/>
    <w:rsid w:val="0041713F"/>
    <w:rsid w:val="00417338"/>
    <w:rsid w:val="00417675"/>
    <w:rsid w:val="004176BC"/>
    <w:rsid w:val="00417C6C"/>
    <w:rsid w:val="00417D95"/>
    <w:rsid w:val="004200DC"/>
    <w:rsid w:val="00420735"/>
    <w:rsid w:val="00420A7D"/>
    <w:rsid w:val="00420B72"/>
    <w:rsid w:val="0042108D"/>
    <w:rsid w:val="004211DD"/>
    <w:rsid w:val="0042125D"/>
    <w:rsid w:val="00421770"/>
    <w:rsid w:val="0042180E"/>
    <w:rsid w:val="004219D6"/>
    <w:rsid w:val="00421CEB"/>
    <w:rsid w:val="00421F43"/>
    <w:rsid w:val="00422125"/>
    <w:rsid w:val="004224D9"/>
    <w:rsid w:val="0042261F"/>
    <w:rsid w:val="0042290E"/>
    <w:rsid w:val="0042292E"/>
    <w:rsid w:val="00422B83"/>
    <w:rsid w:val="00422EE5"/>
    <w:rsid w:val="00422F6C"/>
    <w:rsid w:val="0042330D"/>
    <w:rsid w:val="0042331A"/>
    <w:rsid w:val="0042340E"/>
    <w:rsid w:val="004239DB"/>
    <w:rsid w:val="00423B19"/>
    <w:rsid w:val="00423C4D"/>
    <w:rsid w:val="00423CD6"/>
    <w:rsid w:val="00423E55"/>
    <w:rsid w:val="0042412F"/>
    <w:rsid w:val="0042413E"/>
    <w:rsid w:val="004241F2"/>
    <w:rsid w:val="004249F1"/>
    <w:rsid w:val="00424A9B"/>
    <w:rsid w:val="00424CEC"/>
    <w:rsid w:val="0042505B"/>
    <w:rsid w:val="004252CE"/>
    <w:rsid w:val="0042545E"/>
    <w:rsid w:val="00425561"/>
    <w:rsid w:val="00425716"/>
    <w:rsid w:val="00425B85"/>
    <w:rsid w:val="00425CCB"/>
    <w:rsid w:val="00425F00"/>
    <w:rsid w:val="00426716"/>
    <w:rsid w:val="00426865"/>
    <w:rsid w:val="00426D7F"/>
    <w:rsid w:val="00426E7C"/>
    <w:rsid w:val="00426F45"/>
    <w:rsid w:val="00426F64"/>
    <w:rsid w:val="00427131"/>
    <w:rsid w:val="004279C7"/>
    <w:rsid w:val="00427A1F"/>
    <w:rsid w:val="00427D46"/>
    <w:rsid w:val="004304AF"/>
    <w:rsid w:val="004309F8"/>
    <w:rsid w:val="00430C1F"/>
    <w:rsid w:val="004313F4"/>
    <w:rsid w:val="004315CA"/>
    <w:rsid w:val="00431AE7"/>
    <w:rsid w:val="00431C91"/>
    <w:rsid w:val="004320BB"/>
    <w:rsid w:val="00432438"/>
    <w:rsid w:val="00432A90"/>
    <w:rsid w:val="00432EB5"/>
    <w:rsid w:val="004331CA"/>
    <w:rsid w:val="00433841"/>
    <w:rsid w:val="004339DD"/>
    <w:rsid w:val="00433CD1"/>
    <w:rsid w:val="00433DF7"/>
    <w:rsid w:val="00433F30"/>
    <w:rsid w:val="00433FCA"/>
    <w:rsid w:val="0043415A"/>
    <w:rsid w:val="0043423D"/>
    <w:rsid w:val="00434402"/>
    <w:rsid w:val="004346E5"/>
    <w:rsid w:val="00434AD4"/>
    <w:rsid w:val="00435121"/>
    <w:rsid w:val="0043569F"/>
    <w:rsid w:val="00435972"/>
    <w:rsid w:val="004359DB"/>
    <w:rsid w:val="00435B7B"/>
    <w:rsid w:val="00435D30"/>
    <w:rsid w:val="00435E44"/>
    <w:rsid w:val="00436855"/>
    <w:rsid w:val="004373F4"/>
    <w:rsid w:val="004375F4"/>
    <w:rsid w:val="0043761A"/>
    <w:rsid w:val="00437910"/>
    <w:rsid w:val="00437B4A"/>
    <w:rsid w:val="00437C71"/>
    <w:rsid w:val="00437D2C"/>
    <w:rsid w:val="00440264"/>
    <w:rsid w:val="00440490"/>
    <w:rsid w:val="004404A0"/>
    <w:rsid w:val="004404F9"/>
    <w:rsid w:val="004406FE"/>
    <w:rsid w:val="00440872"/>
    <w:rsid w:val="0044099F"/>
    <w:rsid w:val="00440C26"/>
    <w:rsid w:val="00441337"/>
    <w:rsid w:val="00441377"/>
    <w:rsid w:val="004413B5"/>
    <w:rsid w:val="00441657"/>
    <w:rsid w:val="004417AB"/>
    <w:rsid w:val="0044186F"/>
    <w:rsid w:val="00441BF3"/>
    <w:rsid w:val="00441F7A"/>
    <w:rsid w:val="0044214E"/>
    <w:rsid w:val="004423E3"/>
    <w:rsid w:val="00442443"/>
    <w:rsid w:val="00442E9A"/>
    <w:rsid w:val="00442FE6"/>
    <w:rsid w:val="00443452"/>
    <w:rsid w:val="00443851"/>
    <w:rsid w:val="00443B80"/>
    <w:rsid w:val="00443BE6"/>
    <w:rsid w:val="00443CE8"/>
    <w:rsid w:val="00443EDA"/>
    <w:rsid w:val="004443EE"/>
    <w:rsid w:val="00444460"/>
    <w:rsid w:val="00444472"/>
    <w:rsid w:val="0044460F"/>
    <w:rsid w:val="00444B62"/>
    <w:rsid w:val="00444FD4"/>
    <w:rsid w:val="0044515E"/>
    <w:rsid w:val="004455B6"/>
    <w:rsid w:val="004456F7"/>
    <w:rsid w:val="00445762"/>
    <w:rsid w:val="004457F4"/>
    <w:rsid w:val="004457FC"/>
    <w:rsid w:val="00445C54"/>
    <w:rsid w:val="00445C79"/>
    <w:rsid w:val="00445E92"/>
    <w:rsid w:val="0044602A"/>
    <w:rsid w:val="00446158"/>
    <w:rsid w:val="0044620C"/>
    <w:rsid w:val="0044622D"/>
    <w:rsid w:val="004462D9"/>
    <w:rsid w:val="00446A18"/>
    <w:rsid w:val="00446C74"/>
    <w:rsid w:val="00446D1E"/>
    <w:rsid w:val="0044763F"/>
    <w:rsid w:val="004479DA"/>
    <w:rsid w:val="00447AD5"/>
    <w:rsid w:val="00447DA5"/>
    <w:rsid w:val="00447DCE"/>
    <w:rsid w:val="00450090"/>
    <w:rsid w:val="00450798"/>
    <w:rsid w:val="00450BF6"/>
    <w:rsid w:val="00450DE1"/>
    <w:rsid w:val="00450ECF"/>
    <w:rsid w:val="00450F3A"/>
    <w:rsid w:val="00450F87"/>
    <w:rsid w:val="00451845"/>
    <w:rsid w:val="00451868"/>
    <w:rsid w:val="00451A2B"/>
    <w:rsid w:val="00451C40"/>
    <w:rsid w:val="00451CBC"/>
    <w:rsid w:val="004521B5"/>
    <w:rsid w:val="00452566"/>
    <w:rsid w:val="00452874"/>
    <w:rsid w:val="004528D0"/>
    <w:rsid w:val="004528ED"/>
    <w:rsid w:val="0045299F"/>
    <w:rsid w:val="004529F9"/>
    <w:rsid w:val="00452A3B"/>
    <w:rsid w:val="00452B7A"/>
    <w:rsid w:val="00452C16"/>
    <w:rsid w:val="00452C32"/>
    <w:rsid w:val="00452E89"/>
    <w:rsid w:val="0045330C"/>
    <w:rsid w:val="0045356B"/>
    <w:rsid w:val="00453D79"/>
    <w:rsid w:val="00453E81"/>
    <w:rsid w:val="00453FBB"/>
    <w:rsid w:val="004540BE"/>
    <w:rsid w:val="00454280"/>
    <w:rsid w:val="00454B3B"/>
    <w:rsid w:val="00454DEF"/>
    <w:rsid w:val="00455049"/>
    <w:rsid w:val="0045519D"/>
    <w:rsid w:val="00455539"/>
    <w:rsid w:val="004557E1"/>
    <w:rsid w:val="00455863"/>
    <w:rsid w:val="00455D6C"/>
    <w:rsid w:val="00455E3E"/>
    <w:rsid w:val="004561A3"/>
    <w:rsid w:val="00456229"/>
    <w:rsid w:val="00456489"/>
    <w:rsid w:val="004564BB"/>
    <w:rsid w:val="0045656A"/>
    <w:rsid w:val="004565D1"/>
    <w:rsid w:val="0045668C"/>
    <w:rsid w:val="004567C6"/>
    <w:rsid w:val="00456A84"/>
    <w:rsid w:val="00456AE7"/>
    <w:rsid w:val="00456D5C"/>
    <w:rsid w:val="00457324"/>
    <w:rsid w:val="00457457"/>
    <w:rsid w:val="00457C2A"/>
    <w:rsid w:val="004604AA"/>
    <w:rsid w:val="00460586"/>
    <w:rsid w:val="004605EF"/>
    <w:rsid w:val="00460817"/>
    <w:rsid w:val="00461162"/>
    <w:rsid w:val="00461275"/>
    <w:rsid w:val="004612B0"/>
    <w:rsid w:val="00461405"/>
    <w:rsid w:val="00461988"/>
    <w:rsid w:val="00461D70"/>
    <w:rsid w:val="00462179"/>
    <w:rsid w:val="00462856"/>
    <w:rsid w:val="004628C7"/>
    <w:rsid w:val="00462D0B"/>
    <w:rsid w:val="0046305B"/>
    <w:rsid w:val="004631F2"/>
    <w:rsid w:val="00463C67"/>
    <w:rsid w:val="00463CFE"/>
    <w:rsid w:val="0046437E"/>
    <w:rsid w:val="004643E7"/>
    <w:rsid w:val="0046470B"/>
    <w:rsid w:val="00464968"/>
    <w:rsid w:val="00464BF0"/>
    <w:rsid w:val="00464C5F"/>
    <w:rsid w:val="004653F0"/>
    <w:rsid w:val="00465588"/>
    <w:rsid w:val="00465751"/>
    <w:rsid w:val="00465D24"/>
    <w:rsid w:val="00465D4F"/>
    <w:rsid w:val="00465FD4"/>
    <w:rsid w:val="0046607E"/>
    <w:rsid w:val="00466183"/>
    <w:rsid w:val="004662A1"/>
    <w:rsid w:val="0046653D"/>
    <w:rsid w:val="004665B2"/>
    <w:rsid w:val="004667C3"/>
    <w:rsid w:val="00467C1F"/>
    <w:rsid w:val="00467D15"/>
    <w:rsid w:val="004703DC"/>
    <w:rsid w:val="0047063F"/>
    <w:rsid w:val="00470C08"/>
    <w:rsid w:val="00471452"/>
    <w:rsid w:val="004719D2"/>
    <w:rsid w:val="00471B9E"/>
    <w:rsid w:val="004722EB"/>
    <w:rsid w:val="00472628"/>
    <w:rsid w:val="004728A1"/>
    <w:rsid w:val="00472971"/>
    <w:rsid w:val="00472C1C"/>
    <w:rsid w:val="00472D73"/>
    <w:rsid w:val="00472DB0"/>
    <w:rsid w:val="00472DE9"/>
    <w:rsid w:val="00472EE2"/>
    <w:rsid w:val="004733CE"/>
    <w:rsid w:val="00473ACA"/>
    <w:rsid w:val="0047499A"/>
    <w:rsid w:val="00474A7A"/>
    <w:rsid w:val="00474C74"/>
    <w:rsid w:val="0047518F"/>
    <w:rsid w:val="004752A6"/>
    <w:rsid w:val="00475453"/>
    <w:rsid w:val="00475EC4"/>
    <w:rsid w:val="00475F00"/>
    <w:rsid w:val="004762F6"/>
    <w:rsid w:val="00476924"/>
    <w:rsid w:val="00476CE0"/>
    <w:rsid w:val="00476D4C"/>
    <w:rsid w:val="00476F64"/>
    <w:rsid w:val="00477030"/>
    <w:rsid w:val="00477AC8"/>
    <w:rsid w:val="00477B00"/>
    <w:rsid w:val="00477DFA"/>
    <w:rsid w:val="00477EC4"/>
    <w:rsid w:val="00480345"/>
    <w:rsid w:val="0048046E"/>
    <w:rsid w:val="004804EA"/>
    <w:rsid w:val="004807FD"/>
    <w:rsid w:val="00480D4F"/>
    <w:rsid w:val="004811A1"/>
    <w:rsid w:val="0048126C"/>
    <w:rsid w:val="004812B6"/>
    <w:rsid w:val="004813C5"/>
    <w:rsid w:val="00481442"/>
    <w:rsid w:val="0048164F"/>
    <w:rsid w:val="004819B1"/>
    <w:rsid w:val="00481BCF"/>
    <w:rsid w:val="00481CF5"/>
    <w:rsid w:val="00481FB7"/>
    <w:rsid w:val="00482185"/>
    <w:rsid w:val="004826DB"/>
    <w:rsid w:val="00482948"/>
    <w:rsid w:val="00482B99"/>
    <w:rsid w:val="00483035"/>
    <w:rsid w:val="004830DB"/>
    <w:rsid w:val="00483694"/>
    <w:rsid w:val="0048395E"/>
    <w:rsid w:val="00483F71"/>
    <w:rsid w:val="00484449"/>
    <w:rsid w:val="0048465D"/>
    <w:rsid w:val="004846C9"/>
    <w:rsid w:val="00484ABE"/>
    <w:rsid w:val="00484CD7"/>
    <w:rsid w:val="00484E82"/>
    <w:rsid w:val="004850A5"/>
    <w:rsid w:val="004850ED"/>
    <w:rsid w:val="00485F06"/>
    <w:rsid w:val="00485F08"/>
    <w:rsid w:val="00486391"/>
    <w:rsid w:val="00486845"/>
    <w:rsid w:val="00486913"/>
    <w:rsid w:val="00486A6F"/>
    <w:rsid w:val="00486AD7"/>
    <w:rsid w:val="00486AFA"/>
    <w:rsid w:val="00487641"/>
    <w:rsid w:val="004877BB"/>
    <w:rsid w:val="004877C7"/>
    <w:rsid w:val="00487C49"/>
    <w:rsid w:val="00487E69"/>
    <w:rsid w:val="00487F1B"/>
    <w:rsid w:val="00487F50"/>
    <w:rsid w:val="004900BD"/>
    <w:rsid w:val="004907EF"/>
    <w:rsid w:val="004910B9"/>
    <w:rsid w:val="004913A5"/>
    <w:rsid w:val="004913A6"/>
    <w:rsid w:val="004913D8"/>
    <w:rsid w:val="00491420"/>
    <w:rsid w:val="0049190B"/>
    <w:rsid w:val="00491BBC"/>
    <w:rsid w:val="00491F2E"/>
    <w:rsid w:val="004920C6"/>
    <w:rsid w:val="004922A9"/>
    <w:rsid w:val="00492691"/>
    <w:rsid w:val="004926AF"/>
    <w:rsid w:val="0049273C"/>
    <w:rsid w:val="0049274D"/>
    <w:rsid w:val="0049288C"/>
    <w:rsid w:val="00492896"/>
    <w:rsid w:val="00492B35"/>
    <w:rsid w:val="00493165"/>
    <w:rsid w:val="004935BB"/>
    <w:rsid w:val="00493843"/>
    <w:rsid w:val="00493EC7"/>
    <w:rsid w:val="00494168"/>
    <w:rsid w:val="0049473B"/>
    <w:rsid w:val="004947B8"/>
    <w:rsid w:val="004948B1"/>
    <w:rsid w:val="00494997"/>
    <w:rsid w:val="004952D7"/>
    <w:rsid w:val="004952FC"/>
    <w:rsid w:val="0049544B"/>
    <w:rsid w:val="00495458"/>
    <w:rsid w:val="00495519"/>
    <w:rsid w:val="004956D1"/>
    <w:rsid w:val="00495844"/>
    <w:rsid w:val="00495FC7"/>
    <w:rsid w:val="004960B1"/>
    <w:rsid w:val="0049657F"/>
    <w:rsid w:val="00496BA9"/>
    <w:rsid w:val="00496CEC"/>
    <w:rsid w:val="00496D91"/>
    <w:rsid w:val="00497088"/>
    <w:rsid w:val="004971B4"/>
    <w:rsid w:val="0049786D"/>
    <w:rsid w:val="00497CBF"/>
    <w:rsid w:val="00497D9E"/>
    <w:rsid w:val="004A0138"/>
    <w:rsid w:val="004A01C9"/>
    <w:rsid w:val="004A042B"/>
    <w:rsid w:val="004A0584"/>
    <w:rsid w:val="004A0779"/>
    <w:rsid w:val="004A0BEF"/>
    <w:rsid w:val="004A0CCE"/>
    <w:rsid w:val="004A0F69"/>
    <w:rsid w:val="004A1175"/>
    <w:rsid w:val="004A16EE"/>
    <w:rsid w:val="004A1D78"/>
    <w:rsid w:val="004A1DC3"/>
    <w:rsid w:val="004A208E"/>
    <w:rsid w:val="004A248B"/>
    <w:rsid w:val="004A29A1"/>
    <w:rsid w:val="004A29EF"/>
    <w:rsid w:val="004A2AA6"/>
    <w:rsid w:val="004A2CC6"/>
    <w:rsid w:val="004A3A42"/>
    <w:rsid w:val="004A3D0A"/>
    <w:rsid w:val="004A4567"/>
    <w:rsid w:val="004A47E6"/>
    <w:rsid w:val="004A4828"/>
    <w:rsid w:val="004A4F99"/>
    <w:rsid w:val="004A5452"/>
    <w:rsid w:val="004A546B"/>
    <w:rsid w:val="004A5BDF"/>
    <w:rsid w:val="004A5C4A"/>
    <w:rsid w:val="004A617E"/>
    <w:rsid w:val="004A648A"/>
    <w:rsid w:val="004A64D4"/>
    <w:rsid w:val="004A66C2"/>
    <w:rsid w:val="004A76A1"/>
    <w:rsid w:val="004A76A8"/>
    <w:rsid w:val="004A775B"/>
    <w:rsid w:val="004A781F"/>
    <w:rsid w:val="004A7B3A"/>
    <w:rsid w:val="004A7D1E"/>
    <w:rsid w:val="004B0241"/>
    <w:rsid w:val="004B0379"/>
    <w:rsid w:val="004B0399"/>
    <w:rsid w:val="004B0524"/>
    <w:rsid w:val="004B0717"/>
    <w:rsid w:val="004B07C9"/>
    <w:rsid w:val="004B1380"/>
    <w:rsid w:val="004B1529"/>
    <w:rsid w:val="004B1546"/>
    <w:rsid w:val="004B167D"/>
    <w:rsid w:val="004B194D"/>
    <w:rsid w:val="004B1B3D"/>
    <w:rsid w:val="004B1BF5"/>
    <w:rsid w:val="004B1FB8"/>
    <w:rsid w:val="004B2181"/>
    <w:rsid w:val="004B254F"/>
    <w:rsid w:val="004B3022"/>
    <w:rsid w:val="004B325E"/>
    <w:rsid w:val="004B3A09"/>
    <w:rsid w:val="004B3E52"/>
    <w:rsid w:val="004B401A"/>
    <w:rsid w:val="004B452C"/>
    <w:rsid w:val="004B472B"/>
    <w:rsid w:val="004B498C"/>
    <w:rsid w:val="004B4AAD"/>
    <w:rsid w:val="004B4BF4"/>
    <w:rsid w:val="004B4C79"/>
    <w:rsid w:val="004B4EF3"/>
    <w:rsid w:val="004B4F41"/>
    <w:rsid w:val="004B4F7A"/>
    <w:rsid w:val="004B4FB1"/>
    <w:rsid w:val="004B4FB7"/>
    <w:rsid w:val="004B52F8"/>
    <w:rsid w:val="004B5388"/>
    <w:rsid w:val="004B5A63"/>
    <w:rsid w:val="004B5D87"/>
    <w:rsid w:val="004B5F95"/>
    <w:rsid w:val="004B5F97"/>
    <w:rsid w:val="004B6736"/>
    <w:rsid w:val="004B68F6"/>
    <w:rsid w:val="004B6B71"/>
    <w:rsid w:val="004B6CE0"/>
    <w:rsid w:val="004B7644"/>
    <w:rsid w:val="004B7BC0"/>
    <w:rsid w:val="004C0150"/>
    <w:rsid w:val="004C0222"/>
    <w:rsid w:val="004C032B"/>
    <w:rsid w:val="004C0690"/>
    <w:rsid w:val="004C0721"/>
    <w:rsid w:val="004C084C"/>
    <w:rsid w:val="004C0882"/>
    <w:rsid w:val="004C0B60"/>
    <w:rsid w:val="004C0B73"/>
    <w:rsid w:val="004C0D17"/>
    <w:rsid w:val="004C1333"/>
    <w:rsid w:val="004C1602"/>
    <w:rsid w:val="004C16D0"/>
    <w:rsid w:val="004C17CF"/>
    <w:rsid w:val="004C195D"/>
    <w:rsid w:val="004C1C9F"/>
    <w:rsid w:val="004C1E39"/>
    <w:rsid w:val="004C1EC1"/>
    <w:rsid w:val="004C22AC"/>
    <w:rsid w:val="004C22B6"/>
    <w:rsid w:val="004C2BF4"/>
    <w:rsid w:val="004C2DCC"/>
    <w:rsid w:val="004C2EEE"/>
    <w:rsid w:val="004C317A"/>
    <w:rsid w:val="004C330F"/>
    <w:rsid w:val="004C3725"/>
    <w:rsid w:val="004C37E6"/>
    <w:rsid w:val="004C38B7"/>
    <w:rsid w:val="004C3B8C"/>
    <w:rsid w:val="004C3BBF"/>
    <w:rsid w:val="004C3D5B"/>
    <w:rsid w:val="004C43AD"/>
    <w:rsid w:val="004C43F1"/>
    <w:rsid w:val="004C49FD"/>
    <w:rsid w:val="004C4B55"/>
    <w:rsid w:val="004C4D68"/>
    <w:rsid w:val="004C4ECD"/>
    <w:rsid w:val="004C5156"/>
    <w:rsid w:val="004C5355"/>
    <w:rsid w:val="004C54FC"/>
    <w:rsid w:val="004C560E"/>
    <w:rsid w:val="004C5653"/>
    <w:rsid w:val="004C595F"/>
    <w:rsid w:val="004C5AED"/>
    <w:rsid w:val="004C5D0C"/>
    <w:rsid w:val="004C5F70"/>
    <w:rsid w:val="004C61DC"/>
    <w:rsid w:val="004C6611"/>
    <w:rsid w:val="004C67B8"/>
    <w:rsid w:val="004C6C31"/>
    <w:rsid w:val="004C6D4A"/>
    <w:rsid w:val="004C71C8"/>
    <w:rsid w:val="004C71D5"/>
    <w:rsid w:val="004C723A"/>
    <w:rsid w:val="004C73BD"/>
    <w:rsid w:val="004C746C"/>
    <w:rsid w:val="004C74AA"/>
    <w:rsid w:val="004C77C8"/>
    <w:rsid w:val="004C7916"/>
    <w:rsid w:val="004C7E92"/>
    <w:rsid w:val="004D05E7"/>
    <w:rsid w:val="004D0C66"/>
    <w:rsid w:val="004D0E85"/>
    <w:rsid w:val="004D0F93"/>
    <w:rsid w:val="004D126F"/>
    <w:rsid w:val="004D12F0"/>
    <w:rsid w:val="004D13DB"/>
    <w:rsid w:val="004D16F4"/>
    <w:rsid w:val="004D1B14"/>
    <w:rsid w:val="004D21C2"/>
    <w:rsid w:val="004D23BF"/>
    <w:rsid w:val="004D27D1"/>
    <w:rsid w:val="004D2806"/>
    <w:rsid w:val="004D2B2F"/>
    <w:rsid w:val="004D2BD8"/>
    <w:rsid w:val="004D2D91"/>
    <w:rsid w:val="004D2DE0"/>
    <w:rsid w:val="004D3145"/>
    <w:rsid w:val="004D33F8"/>
    <w:rsid w:val="004D3753"/>
    <w:rsid w:val="004D38CB"/>
    <w:rsid w:val="004D3A5D"/>
    <w:rsid w:val="004D3BD0"/>
    <w:rsid w:val="004D3C12"/>
    <w:rsid w:val="004D3EDA"/>
    <w:rsid w:val="004D4076"/>
    <w:rsid w:val="004D424C"/>
    <w:rsid w:val="004D432B"/>
    <w:rsid w:val="004D4572"/>
    <w:rsid w:val="004D4898"/>
    <w:rsid w:val="004D5C20"/>
    <w:rsid w:val="004D5E40"/>
    <w:rsid w:val="004D5E58"/>
    <w:rsid w:val="004D614D"/>
    <w:rsid w:val="004D6784"/>
    <w:rsid w:val="004D6A82"/>
    <w:rsid w:val="004D6F1C"/>
    <w:rsid w:val="004D7245"/>
    <w:rsid w:val="004D7274"/>
    <w:rsid w:val="004D72B4"/>
    <w:rsid w:val="004D74C9"/>
    <w:rsid w:val="004D76DE"/>
    <w:rsid w:val="004D77A0"/>
    <w:rsid w:val="004D7AA8"/>
    <w:rsid w:val="004D7B6F"/>
    <w:rsid w:val="004D7C41"/>
    <w:rsid w:val="004E0789"/>
    <w:rsid w:val="004E0A13"/>
    <w:rsid w:val="004E0A80"/>
    <w:rsid w:val="004E0B11"/>
    <w:rsid w:val="004E0B96"/>
    <w:rsid w:val="004E1190"/>
    <w:rsid w:val="004E14F1"/>
    <w:rsid w:val="004E18E4"/>
    <w:rsid w:val="004E191E"/>
    <w:rsid w:val="004E1951"/>
    <w:rsid w:val="004E1A3C"/>
    <w:rsid w:val="004E1A53"/>
    <w:rsid w:val="004E1C56"/>
    <w:rsid w:val="004E1EA0"/>
    <w:rsid w:val="004E1F56"/>
    <w:rsid w:val="004E2234"/>
    <w:rsid w:val="004E22B1"/>
    <w:rsid w:val="004E241C"/>
    <w:rsid w:val="004E24AA"/>
    <w:rsid w:val="004E25D7"/>
    <w:rsid w:val="004E26F2"/>
    <w:rsid w:val="004E2882"/>
    <w:rsid w:val="004E2892"/>
    <w:rsid w:val="004E3440"/>
    <w:rsid w:val="004E35B9"/>
    <w:rsid w:val="004E3845"/>
    <w:rsid w:val="004E39A0"/>
    <w:rsid w:val="004E3DA8"/>
    <w:rsid w:val="004E3E83"/>
    <w:rsid w:val="004E415C"/>
    <w:rsid w:val="004E4504"/>
    <w:rsid w:val="004E4792"/>
    <w:rsid w:val="004E51FF"/>
    <w:rsid w:val="004E5212"/>
    <w:rsid w:val="004E52BB"/>
    <w:rsid w:val="004E539B"/>
    <w:rsid w:val="004E5404"/>
    <w:rsid w:val="004E57C9"/>
    <w:rsid w:val="004E581C"/>
    <w:rsid w:val="004E5900"/>
    <w:rsid w:val="004E59A0"/>
    <w:rsid w:val="004E5A9D"/>
    <w:rsid w:val="004E5AF3"/>
    <w:rsid w:val="004E5AF6"/>
    <w:rsid w:val="004E5E23"/>
    <w:rsid w:val="004E6824"/>
    <w:rsid w:val="004E6DCC"/>
    <w:rsid w:val="004E6F2C"/>
    <w:rsid w:val="004E7A17"/>
    <w:rsid w:val="004E7A79"/>
    <w:rsid w:val="004E7BB3"/>
    <w:rsid w:val="004E7F2D"/>
    <w:rsid w:val="004F006A"/>
    <w:rsid w:val="004F0434"/>
    <w:rsid w:val="004F0442"/>
    <w:rsid w:val="004F06D2"/>
    <w:rsid w:val="004F07D1"/>
    <w:rsid w:val="004F09B6"/>
    <w:rsid w:val="004F0BE0"/>
    <w:rsid w:val="004F100C"/>
    <w:rsid w:val="004F12E0"/>
    <w:rsid w:val="004F1303"/>
    <w:rsid w:val="004F1B0A"/>
    <w:rsid w:val="004F1C88"/>
    <w:rsid w:val="004F1C9D"/>
    <w:rsid w:val="004F1DAF"/>
    <w:rsid w:val="004F2276"/>
    <w:rsid w:val="004F2598"/>
    <w:rsid w:val="004F263F"/>
    <w:rsid w:val="004F3360"/>
    <w:rsid w:val="004F38E6"/>
    <w:rsid w:val="004F398A"/>
    <w:rsid w:val="004F3AB5"/>
    <w:rsid w:val="004F3BBE"/>
    <w:rsid w:val="004F3EA4"/>
    <w:rsid w:val="004F40C2"/>
    <w:rsid w:val="004F41CD"/>
    <w:rsid w:val="004F42F3"/>
    <w:rsid w:val="004F4365"/>
    <w:rsid w:val="004F4565"/>
    <w:rsid w:val="004F4581"/>
    <w:rsid w:val="004F48AE"/>
    <w:rsid w:val="004F49AF"/>
    <w:rsid w:val="004F49EF"/>
    <w:rsid w:val="004F4B1A"/>
    <w:rsid w:val="004F51C3"/>
    <w:rsid w:val="004F537C"/>
    <w:rsid w:val="004F5633"/>
    <w:rsid w:val="004F57C9"/>
    <w:rsid w:val="004F5B82"/>
    <w:rsid w:val="004F5C29"/>
    <w:rsid w:val="004F5C8E"/>
    <w:rsid w:val="004F5CAD"/>
    <w:rsid w:val="004F619F"/>
    <w:rsid w:val="004F6578"/>
    <w:rsid w:val="004F6788"/>
    <w:rsid w:val="004F6DDA"/>
    <w:rsid w:val="004F7111"/>
    <w:rsid w:val="004F75CD"/>
    <w:rsid w:val="00500149"/>
    <w:rsid w:val="005001B6"/>
    <w:rsid w:val="005005D3"/>
    <w:rsid w:val="00500696"/>
    <w:rsid w:val="005006BE"/>
    <w:rsid w:val="005008D0"/>
    <w:rsid w:val="00500B12"/>
    <w:rsid w:val="00500BE9"/>
    <w:rsid w:val="00500CA9"/>
    <w:rsid w:val="00500CF2"/>
    <w:rsid w:val="00500D60"/>
    <w:rsid w:val="00500D73"/>
    <w:rsid w:val="00500E42"/>
    <w:rsid w:val="0050109B"/>
    <w:rsid w:val="0050112A"/>
    <w:rsid w:val="005012F2"/>
    <w:rsid w:val="00501627"/>
    <w:rsid w:val="00501674"/>
    <w:rsid w:val="005016B1"/>
    <w:rsid w:val="005017A2"/>
    <w:rsid w:val="00502095"/>
    <w:rsid w:val="005022AA"/>
    <w:rsid w:val="0050264F"/>
    <w:rsid w:val="005027CB"/>
    <w:rsid w:val="00502844"/>
    <w:rsid w:val="00502868"/>
    <w:rsid w:val="00502B78"/>
    <w:rsid w:val="00502E4C"/>
    <w:rsid w:val="00503081"/>
    <w:rsid w:val="00503397"/>
    <w:rsid w:val="005033F7"/>
    <w:rsid w:val="00503885"/>
    <w:rsid w:val="00503F35"/>
    <w:rsid w:val="005044FE"/>
    <w:rsid w:val="00504CAB"/>
    <w:rsid w:val="00504DDF"/>
    <w:rsid w:val="00504F71"/>
    <w:rsid w:val="00505060"/>
    <w:rsid w:val="005051EB"/>
    <w:rsid w:val="005056BD"/>
    <w:rsid w:val="00505966"/>
    <w:rsid w:val="00505982"/>
    <w:rsid w:val="00505A5E"/>
    <w:rsid w:val="00506329"/>
    <w:rsid w:val="005064E5"/>
    <w:rsid w:val="00506EBA"/>
    <w:rsid w:val="005070EC"/>
    <w:rsid w:val="005073A1"/>
    <w:rsid w:val="005076B8"/>
    <w:rsid w:val="00507C6E"/>
    <w:rsid w:val="00507C79"/>
    <w:rsid w:val="00507DAA"/>
    <w:rsid w:val="00510154"/>
    <w:rsid w:val="00510165"/>
    <w:rsid w:val="005102BB"/>
    <w:rsid w:val="0051035C"/>
    <w:rsid w:val="0051060D"/>
    <w:rsid w:val="005107D9"/>
    <w:rsid w:val="00510963"/>
    <w:rsid w:val="00510C2E"/>
    <w:rsid w:val="00510C48"/>
    <w:rsid w:val="00510C5D"/>
    <w:rsid w:val="00511920"/>
    <w:rsid w:val="00511A3D"/>
    <w:rsid w:val="00511B5B"/>
    <w:rsid w:val="00512132"/>
    <w:rsid w:val="0051251D"/>
    <w:rsid w:val="00512F65"/>
    <w:rsid w:val="00513167"/>
    <w:rsid w:val="005131D8"/>
    <w:rsid w:val="0051329B"/>
    <w:rsid w:val="00513728"/>
    <w:rsid w:val="00513840"/>
    <w:rsid w:val="00513CC3"/>
    <w:rsid w:val="00513DB5"/>
    <w:rsid w:val="00513EB4"/>
    <w:rsid w:val="005145ED"/>
    <w:rsid w:val="0051499C"/>
    <w:rsid w:val="005149E0"/>
    <w:rsid w:val="00514CAC"/>
    <w:rsid w:val="00514D22"/>
    <w:rsid w:val="00514F34"/>
    <w:rsid w:val="00515561"/>
    <w:rsid w:val="00515633"/>
    <w:rsid w:val="00515AAE"/>
    <w:rsid w:val="00515C08"/>
    <w:rsid w:val="0051612F"/>
    <w:rsid w:val="00516340"/>
    <w:rsid w:val="0051643C"/>
    <w:rsid w:val="00516645"/>
    <w:rsid w:val="00516703"/>
    <w:rsid w:val="0051672E"/>
    <w:rsid w:val="00516E62"/>
    <w:rsid w:val="00517381"/>
    <w:rsid w:val="0051760F"/>
    <w:rsid w:val="0051776F"/>
    <w:rsid w:val="005178AD"/>
    <w:rsid w:val="00517903"/>
    <w:rsid w:val="00517A4B"/>
    <w:rsid w:val="0052045C"/>
    <w:rsid w:val="005210B7"/>
    <w:rsid w:val="0052118B"/>
    <w:rsid w:val="005211AF"/>
    <w:rsid w:val="00521469"/>
    <w:rsid w:val="0052176B"/>
    <w:rsid w:val="005217D1"/>
    <w:rsid w:val="00521847"/>
    <w:rsid w:val="00521AE6"/>
    <w:rsid w:val="00521CE4"/>
    <w:rsid w:val="00521D07"/>
    <w:rsid w:val="00521FD0"/>
    <w:rsid w:val="00521FE7"/>
    <w:rsid w:val="00522083"/>
    <w:rsid w:val="00522174"/>
    <w:rsid w:val="0052226F"/>
    <w:rsid w:val="005223A9"/>
    <w:rsid w:val="005226BB"/>
    <w:rsid w:val="00522833"/>
    <w:rsid w:val="00522CC6"/>
    <w:rsid w:val="00522EAA"/>
    <w:rsid w:val="00522ED9"/>
    <w:rsid w:val="00523231"/>
    <w:rsid w:val="005236B6"/>
    <w:rsid w:val="00523A4B"/>
    <w:rsid w:val="00523BD7"/>
    <w:rsid w:val="00523C83"/>
    <w:rsid w:val="00523D5C"/>
    <w:rsid w:val="00524676"/>
    <w:rsid w:val="00524BA8"/>
    <w:rsid w:val="00524FE4"/>
    <w:rsid w:val="0052507D"/>
    <w:rsid w:val="005254B7"/>
    <w:rsid w:val="005256EF"/>
    <w:rsid w:val="00525932"/>
    <w:rsid w:val="00525B4C"/>
    <w:rsid w:val="00525C62"/>
    <w:rsid w:val="00525CDE"/>
    <w:rsid w:val="00525F1D"/>
    <w:rsid w:val="00526BDB"/>
    <w:rsid w:val="00526C1B"/>
    <w:rsid w:val="00526CC3"/>
    <w:rsid w:val="005270C2"/>
    <w:rsid w:val="0052772C"/>
    <w:rsid w:val="005278D0"/>
    <w:rsid w:val="00530106"/>
    <w:rsid w:val="00530288"/>
    <w:rsid w:val="0053028F"/>
    <w:rsid w:val="005303C6"/>
    <w:rsid w:val="005306B8"/>
    <w:rsid w:val="00530A7A"/>
    <w:rsid w:val="00530A92"/>
    <w:rsid w:val="00530D4F"/>
    <w:rsid w:val="005310D1"/>
    <w:rsid w:val="005317BD"/>
    <w:rsid w:val="00531CA3"/>
    <w:rsid w:val="005328F2"/>
    <w:rsid w:val="0053297A"/>
    <w:rsid w:val="00532B55"/>
    <w:rsid w:val="00532D30"/>
    <w:rsid w:val="005334A2"/>
    <w:rsid w:val="00533A19"/>
    <w:rsid w:val="00533C87"/>
    <w:rsid w:val="00534078"/>
    <w:rsid w:val="00534165"/>
    <w:rsid w:val="0053441B"/>
    <w:rsid w:val="005348FF"/>
    <w:rsid w:val="00534A48"/>
    <w:rsid w:val="00535023"/>
    <w:rsid w:val="005354D1"/>
    <w:rsid w:val="005355B8"/>
    <w:rsid w:val="00535642"/>
    <w:rsid w:val="00535A3A"/>
    <w:rsid w:val="00535BBB"/>
    <w:rsid w:val="00535F47"/>
    <w:rsid w:val="00535F9E"/>
    <w:rsid w:val="0053618C"/>
    <w:rsid w:val="00536B3B"/>
    <w:rsid w:val="00536BDC"/>
    <w:rsid w:val="0053715A"/>
    <w:rsid w:val="0053720D"/>
    <w:rsid w:val="0053772F"/>
    <w:rsid w:val="005377C2"/>
    <w:rsid w:val="00537A61"/>
    <w:rsid w:val="00537CEF"/>
    <w:rsid w:val="005400AE"/>
    <w:rsid w:val="005400DC"/>
    <w:rsid w:val="005403E6"/>
    <w:rsid w:val="00540505"/>
    <w:rsid w:val="005407DA"/>
    <w:rsid w:val="00541075"/>
    <w:rsid w:val="00541625"/>
    <w:rsid w:val="0054162D"/>
    <w:rsid w:val="00541C3C"/>
    <w:rsid w:val="00541DE9"/>
    <w:rsid w:val="00542288"/>
    <w:rsid w:val="00542894"/>
    <w:rsid w:val="00542951"/>
    <w:rsid w:val="005429DC"/>
    <w:rsid w:val="00542BAF"/>
    <w:rsid w:val="00542DF3"/>
    <w:rsid w:val="005431FD"/>
    <w:rsid w:val="00543227"/>
    <w:rsid w:val="00543244"/>
    <w:rsid w:val="00543429"/>
    <w:rsid w:val="00543580"/>
    <w:rsid w:val="005435C4"/>
    <w:rsid w:val="005436D3"/>
    <w:rsid w:val="00543756"/>
    <w:rsid w:val="00544437"/>
    <w:rsid w:val="00544CEC"/>
    <w:rsid w:val="00544D6C"/>
    <w:rsid w:val="00544E7C"/>
    <w:rsid w:val="00544F7C"/>
    <w:rsid w:val="00544FA7"/>
    <w:rsid w:val="00544FD8"/>
    <w:rsid w:val="0054525C"/>
    <w:rsid w:val="00545CC6"/>
    <w:rsid w:val="0054615D"/>
    <w:rsid w:val="00546245"/>
    <w:rsid w:val="005464F3"/>
    <w:rsid w:val="005465CD"/>
    <w:rsid w:val="00546686"/>
    <w:rsid w:val="005466FB"/>
    <w:rsid w:val="00546C2C"/>
    <w:rsid w:val="0054741D"/>
    <w:rsid w:val="0055020B"/>
    <w:rsid w:val="005505E7"/>
    <w:rsid w:val="00550B03"/>
    <w:rsid w:val="00551237"/>
    <w:rsid w:val="00551255"/>
    <w:rsid w:val="00551327"/>
    <w:rsid w:val="00551700"/>
    <w:rsid w:val="00551738"/>
    <w:rsid w:val="005517C0"/>
    <w:rsid w:val="00551A9E"/>
    <w:rsid w:val="00551DC7"/>
    <w:rsid w:val="00552410"/>
    <w:rsid w:val="00552569"/>
    <w:rsid w:val="005526EE"/>
    <w:rsid w:val="0055274F"/>
    <w:rsid w:val="00552B80"/>
    <w:rsid w:val="00552CBF"/>
    <w:rsid w:val="00552D50"/>
    <w:rsid w:val="005530FA"/>
    <w:rsid w:val="005532FF"/>
    <w:rsid w:val="005533D6"/>
    <w:rsid w:val="005534AC"/>
    <w:rsid w:val="0055358B"/>
    <w:rsid w:val="005535F3"/>
    <w:rsid w:val="0055400A"/>
    <w:rsid w:val="005544A7"/>
    <w:rsid w:val="00554623"/>
    <w:rsid w:val="005547C4"/>
    <w:rsid w:val="00554878"/>
    <w:rsid w:val="00554B26"/>
    <w:rsid w:val="00554F46"/>
    <w:rsid w:val="005551CD"/>
    <w:rsid w:val="0055551A"/>
    <w:rsid w:val="0055574F"/>
    <w:rsid w:val="00555AFA"/>
    <w:rsid w:val="00555E26"/>
    <w:rsid w:val="00556219"/>
    <w:rsid w:val="005566F3"/>
    <w:rsid w:val="00556859"/>
    <w:rsid w:val="00556A27"/>
    <w:rsid w:val="00556E68"/>
    <w:rsid w:val="00556F61"/>
    <w:rsid w:val="005572FB"/>
    <w:rsid w:val="00557307"/>
    <w:rsid w:val="00557608"/>
    <w:rsid w:val="00557720"/>
    <w:rsid w:val="005577B5"/>
    <w:rsid w:val="00557861"/>
    <w:rsid w:val="00557A53"/>
    <w:rsid w:val="00557C5E"/>
    <w:rsid w:val="00557FB4"/>
    <w:rsid w:val="0056006F"/>
    <w:rsid w:val="00560355"/>
    <w:rsid w:val="00560479"/>
    <w:rsid w:val="00560544"/>
    <w:rsid w:val="00560576"/>
    <w:rsid w:val="00560711"/>
    <w:rsid w:val="00560934"/>
    <w:rsid w:val="005609F4"/>
    <w:rsid w:val="00560B98"/>
    <w:rsid w:val="00560EB3"/>
    <w:rsid w:val="005616A3"/>
    <w:rsid w:val="00561793"/>
    <w:rsid w:val="00561E3B"/>
    <w:rsid w:val="00561F5C"/>
    <w:rsid w:val="00562EA4"/>
    <w:rsid w:val="005634CE"/>
    <w:rsid w:val="00563624"/>
    <w:rsid w:val="005639DE"/>
    <w:rsid w:val="00563B5A"/>
    <w:rsid w:val="00563D90"/>
    <w:rsid w:val="005640DD"/>
    <w:rsid w:val="005641D9"/>
    <w:rsid w:val="00564342"/>
    <w:rsid w:val="0056454B"/>
    <w:rsid w:val="005647C5"/>
    <w:rsid w:val="00564B43"/>
    <w:rsid w:val="00564FE0"/>
    <w:rsid w:val="00565350"/>
    <w:rsid w:val="00565446"/>
    <w:rsid w:val="005655FA"/>
    <w:rsid w:val="00565714"/>
    <w:rsid w:val="0056590B"/>
    <w:rsid w:val="0056593A"/>
    <w:rsid w:val="00565A97"/>
    <w:rsid w:val="005661AA"/>
    <w:rsid w:val="00566729"/>
    <w:rsid w:val="00566735"/>
    <w:rsid w:val="0056695A"/>
    <w:rsid w:val="00566C89"/>
    <w:rsid w:val="00566D19"/>
    <w:rsid w:val="00567125"/>
    <w:rsid w:val="005671FD"/>
    <w:rsid w:val="005675C3"/>
    <w:rsid w:val="005676AA"/>
    <w:rsid w:val="00567A66"/>
    <w:rsid w:val="00567C4B"/>
    <w:rsid w:val="005703C4"/>
    <w:rsid w:val="00570D05"/>
    <w:rsid w:val="00570F9C"/>
    <w:rsid w:val="0057148D"/>
    <w:rsid w:val="00571566"/>
    <w:rsid w:val="00571693"/>
    <w:rsid w:val="00571ACA"/>
    <w:rsid w:val="00571B78"/>
    <w:rsid w:val="00571DBD"/>
    <w:rsid w:val="00572173"/>
    <w:rsid w:val="0057227E"/>
    <w:rsid w:val="00572437"/>
    <w:rsid w:val="00572550"/>
    <w:rsid w:val="0057263C"/>
    <w:rsid w:val="005727ED"/>
    <w:rsid w:val="00572A17"/>
    <w:rsid w:val="00572D92"/>
    <w:rsid w:val="00573685"/>
    <w:rsid w:val="00573A6F"/>
    <w:rsid w:val="00573C14"/>
    <w:rsid w:val="00573E0D"/>
    <w:rsid w:val="0057400D"/>
    <w:rsid w:val="005740C0"/>
    <w:rsid w:val="005745F2"/>
    <w:rsid w:val="00574C31"/>
    <w:rsid w:val="00574CA8"/>
    <w:rsid w:val="00574DD4"/>
    <w:rsid w:val="00574FEB"/>
    <w:rsid w:val="005751D3"/>
    <w:rsid w:val="0057522A"/>
    <w:rsid w:val="00575CCD"/>
    <w:rsid w:val="005765C0"/>
    <w:rsid w:val="00576E4E"/>
    <w:rsid w:val="00577532"/>
    <w:rsid w:val="005775D8"/>
    <w:rsid w:val="00577681"/>
    <w:rsid w:val="00577D2D"/>
    <w:rsid w:val="005803FF"/>
    <w:rsid w:val="00580552"/>
    <w:rsid w:val="00580602"/>
    <w:rsid w:val="005806AC"/>
    <w:rsid w:val="00580968"/>
    <w:rsid w:val="00580C99"/>
    <w:rsid w:val="00581092"/>
    <w:rsid w:val="00581316"/>
    <w:rsid w:val="00581335"/>
    <w:rsid w:val="0058140B"/>
    <w:rsid w:val="00581A30"/>
    <w:rsid w:val="00582151"/>
    <w:rsid w:val="00582251"/>
    <w:rsid w:val="00582322"/>
    <w:rsid w:val="0058264B"/>
    <w:rsid w:val="005826DC"/>
    <w:rsid w:val="005828BD"/>
    <w:rsid w:val="00582B92"/>
    <w:rsid w:val="005832B6"/>
    <w:rsid w:val="00583813"/>
    <w:rsid w:val="00583B45"/>
    <w:rsid w:val="00583ED9"/>
    <w:rsid w:val="0058420A"/>
    <w:rsid w:val="0058428A"/>
    <w:rsid w:val="005849B1"/>
    <w:rsid w:val="00584DC0"/>
    <w:rsid w:val="00585032"/>
    <w:rsid w:val="005853ED"/>
    <w:rsid w:val="0058559A"/>
    <w:rsid w:val="00585AC0"/>
    <w:rsid w:val="00585D32"/>
    <w:rsid w:val="00585E93"/>
    <w:rsid w:val="0058601B"/>
    <w:rsid w:val="005862A7"/>
    <w:rsid w:val="0058631F"/>
    <w:rsid w:val="005864A0"/>
    <w:rsid w:val="00586795"/>
    <w:rsid w:val="00586B13"/>
    <w:rsid w:val="00586B5E"/>
    <w:rsid w:val="00586BE0"/>
    <w:rsid w:val="00586CA2"/>
    <w:rsid w:val="00586F37"/>
    <w:rsid w:val="005871E3"/>
    <w:rsid w:val="00587515"/>
    <w:rsid w:val="0058786E"/>
    <w:rsid w:val="00587874"/>
    <w:rsid w:val="00587910"/>
    <w:rsid w:val="005901D9"/>
    <w:rsid w:val="0059062F"/>
    <w:rsid w:val="00590717"/>
    <w:rsid w:val="0059090E"/>
    <w:rsid w:val="005915E6"/>
    <w:rsid w:val="0059168F"/>
    <w:rsid w:val="00591761"/>
    <w:rsid w:val="00591A76"/>
    <w:rsid w:val="00591C0F"/>
    <w:rsid w:val="00591C63"/>
    <w:rsid w:val="00591E59"/>
    <w:rsid w:val="00592534"/>
    <w:rsid w:val="0059259F"/>
    <w:rsid w:val="00592912"/>
    <w:rsid w:val="0059291C"/>
    <w:rsid w:val="0059297A"/>
    <w:rsid w:val="00592DCD"/>
    <w:rsid w:val="005930DF"/>
    <w:rsid w:val="005932BC"/>
    <w:rsid w:val="00593545"/>
    <w:rsid w:val="0059358F"/>
    <w:rsid w:val="00593653"/>
    <w:rsid w:val="0059369D"/>
    <w:rsid w:val="00593894"/>
    <w:rsid w:val="00593939"/>
    <w:rsid w:val="00593945"/>
    <w:rsid w:val="00593AC4"/>
    <w:rsid w:val="00593D0E"/>
    <w:rsid w:val="00593DCB"/>
    <w:rsid w:val="00593F3D"/>
    <w:rsid w:val="005941DA"/>
    <w:rsid w:val="005943FC"/>
    <w:rsid w:val="005944BD"/>
    <w:rsid w:val="005944DF"/>
    <w:rsid w:val="005947F6"/>
    <w:rsid w:val="00594863"/>
    <w:rsid w:val="00594A16"/>
    <w:rsid w:val="00594A9F"/>
    <w:rsid w:val="0059503D"/>
    <w:rsid w:val="00595117"/>
    <w:rsid w:val="00595820"/>
    <w:rsid w:val="00595CDA"/>
    <w:rsid w:val="00595DA0"/>
    <w:rsid w:val="00595EF8"/>
    <w:rsid w:val="00595F3D"/>
    <w:rsid w:val="0059620A"/>
    <w:rsid w:val="00596424"/>
    <w:rsid w:val="005969A6"/>
    <w:rsid w:val="00596A41"/>
    <w:rsid w:val="00596E8D"/>
    <w:rsid w:val="00597084"/>
    <w:rsid w:val="00597899"/>
    <w:rsid w:val="00597A79"/>
    <w:rsid w:val="00597CAB"/>
    <w:rsid w:val="005A092D"/>
    <w:rsid w:val="005A0C7B"/>
    <w:rsid w:val="005A19C7"/>
    <w:rsid w:val="005A1D8B"/>
    <w:rsid w:val="005A2261"/>
    <w:rsid w:val="005A22B7"/>
    <w:rsid w:val="005A247C"/>
    <w:rsid w:val="005A2490"/>
    <w:rsid w:val="005A28EA"/>
    <w:rsid w:val="005A2EFB"/>
    <w:rsid w:val="005A3053"/>
    <w:rsid w:val="005A3072"/>
    <w:rsid w:val="005A308D"/>
    <w:rsid w:val="005A33E1"/>
    <w:rsid w:val="005A3562"/>
    <w:rsid w:val="005A3755"/>
    <w:rsid w:val="005A37D9"/>
    <w:rsid w:val="005A3A26"/>
    <w:rsid w:val="005A3D0B"/>
    <w:rsid w:val="005A3F89"/>
    <w:rsid w:val="005A412C"/>
    <w:rsid w:val="005A41CB"/>
    <w:rsid w:val="005A4290"/>
    <w:rsid w:val="005A43AC"/>
    <w:rsid w:val="005A448F"/>
    <w:rsid w:val="005A4512"/>
    <w:rsid w:val="005A454F"/>
    <w:rsid w:val="005A47F3"/>
    <w:rsid w:val="005A48A2"/>
    <w:rsid w:val="005A4C16"/>
    <w:rsid w:val="005A503D"/>
    <w:rsid w:val="005A516D"/>
    <w:rsid w:val="005A5AFB"/>
    <w:rsid w:val="005A5D92"/>
    <w:rsid w:val="005A62FE"/>
    <w:rsid w:val="005A68D6"/>
    <w:rsid w:val="005A6BB0"/>
    <w:rsid w:val="005A6E9F"/>
    <w:rsid w:val="005A6EFC"/>
    <w:rsid w:val="005A700B"/>
    <w:rsid w:val="005A7105"/>
    <w:rsid w:val="005A77A9"/>
    <w:rsid w:val="005A7AC6"/>
    <w:rsid w:val="005A7E88"/>
    <w:rsid w:val="005B0BEE"/>
    <w:rsid w:val="005B1309"/>
    <w:rsid w:val="005B15F2"/>
    <w:rsid w:val="005B169E"/>
    <w:rsid w:val="005B19A0"/>
    <w:rsid w:val="005B1EFE"/>
    <w:rsid w:val="005B289F"/>
    <w:rsid w:val="005B2BC4"/>
    <w:rsid w:val="005B312D"/>
    <w:rsid w:val="005B3214"/>
    <w:rsid w:val="005B3283"/>
    <w:rsid w:val="005B33F4"/>
    <w:rsid w:val="005B3421"/>
    <w:rsid w:val="005B41C8"/>
    <w:rsid w:val="005B44E7"/>
    <w:rsid w:val="005B4798"/>
    <w:rsid w:val="005B4A51"/>
    <w:rsid w:val="005B4B75"/>
    <w:rsid w:val="005B4CB0"/>
    <w:rsid w:val="005B4E84"/>
    <w:rsid w:val="005B51F4"/>
    <w:rsid w:val="005B521F"/>
    <w:rsid w:val="005B55CC"/>
    <w:rsid w:val="005B5629"/>
    <w:rsid w:val="005B5B73"/>
    <w:rsid w:val="005B5C1E"/>
    <w:rsid w:val="005B6C32"/>
    <w:rsid w:val="005B6D21"/>
    <w:rsid w:val="005B6DE2"/>
    <w:rsid w:val="005B7050"/>
    <w:rsid w:val="005B77F7"/>
    <w:rsid w:val="005B7839"/>
    <w:rsid w:val="005B7928"/>
    <w:rsid w:val="005B7FAE"/>
    <w:rsid w:val="005C01E1"/>
    <w:rsid w:val="005C021C"/>
    <w:rsid w:val="005C02DD"/>
    <w:rsid w:val="005C0618"/>
    <w:rsid w:val="005C0909"/>
    <w:rsid w:val="005C0B16"/>
    <w:rsid w:val="005C0E37"/>
    <w:rsid w:val="005C0F8F"/>
    <w:rsid w:val="005C10A4"/>
    <w:rsid w:val="005C1717"/>
    <w:rsid w:val="005C1756"/>
    <w:rsid w:val="005C2192"/>
    <w:rsid w:val="005C25E4"/>
    <w:rsid w:val="005C26BB"/>
    <w:rsid w:val="005C2E8C"/>
    <w:rsid w:val="005C3323"/>
    <w:rsid w:val="005C3382"/>
    <w:rsid w:val="005C3462"/>
    <w:rsid w:val="005C349C"/>
    <w:rsid w:val="005C39FD"/>
    <w:rsid w:val="005C4002"/>
    <w:rsid w:val="005C405D"/>
    <w:rsid w:val="005C412A"/>
    <w:rsid w:val="005C4620"/>
    <w:rsid w:val="005C469B"/>
    <w:rsid w:val="005C493E"/>
    <w:rsid w:val="005C49E6"/>
    <w:rsid w:val="005C49F9"/>
    <w:rsid w:val="005C4A14"/>
    <w:rsid w:val="005C4CD4"/>
    <w:rsid w:val="005C5057"/>
    <w:rsid w:val="005C583A"/>
    <w:rsid w:val="005C5914"/>
    <w:rsid w:val="005C5C6C"/>
    <w:rsid w:val="005C5CE1"/>
    <w:rsid w:val="005C5F1B"/>
    <w:rsid w:val="005C6076"/>
    <w:rsid w:val="005C612A"/>
    <w:rsid w:val="005C642F"/>
    <w:rsid w:val="005C662C"/>
    <w:rsid w:val="005C662E"/>
    <w:rsid w:val="005C67FD"/>
    <w:rsid w:val="005C6A9D"/>
    <w:rsid w:val="005C7C1F"/>
    <w:rsid w:val="005C7C74"/>
    <w:rsid w:val="005C7CBC"/>
    <w:rsid w:val="005D0164"/>
    <w:rsid w:val="005D01C9"/>
    <w:rsid w:val="005D0289"/>
    <w:rsid w:val="005D02DE"/>
    <w:rsid w:val="005D0562"/>
    <w:rsid w:val="005D0A97"/>
    <w:rsid w:val="005D0AAD"/>
    <w:rsid w:val="005D0BFA"/>
    <w:rsid w:val="005D10BC"/>
    <w:rsid w:val="005D1511"/>
    <w:rsid w:val="005D1939"/>
    <w:rsid w:val="005D19C1"/>
    <w:rsid w:val="005D1A35"/>
    <w:rsid w:val="005D1B11"/>
    <w:rsid w:val="005D1BE1"/>
    <w:rsid w:val="005D205A"/>
    <w:rsid w:val="005D21E6"/>
    <w:rsid w:val="005D2250"/>
    <w:rsid w:val="005D24C1"/>
    <w:rsid w:val="005D2C2D"/>
    <w:rsid w:val="005D2C89"/>
    <w:rsid w:val="005D2DAF"/>
    <w:rsid w:val="005D2EC0"/>
    <w:rsid w:val="005D2FDC"/>
    <w:rsid w:val="005D309F"/>
    <w:rsid w:val="005D3329"/>
    <w:rsid w:val="005D36E1"/>
    <w:rsid w:val="005D37D8"/>
    <w:rsid w:val="005D3A34"/>
    <w:rsid w:val="005D3B34"/>
    <w:rsid w:val="005D3CF3"/>
    <w:rsid w:val="005D412F"/>
    <w:rsid w:val="005D4153"/>
    <w:rsid w:val="005D44A1"/>
    <w:rsid w:val="005D459C"/>
    <w:rsid w:val="005D4A8A"/>
    <w:rsid w:val="005D4BEF"/>
    <w:rsid w:val="005D5395"/>
    <w:rsid w:val="005D6248"/>
    <w:rsid w:val="005D6309"/>
    <w:rsid w:val="005D631E"/>
    <w:rsid w:val="005D660C"/>
    <w:rsid w:val="005D670F"/>
    <w:rsid w:val="005D6742"/>
    <w:rsid w:val="005D69D7"/>
    <w:rsid w:val="005D6B17"/>
    <w:rsid w:val="005D6CDA"/>
    <w:rsid w:val="005D6DBC"/>
    <w:rsid w:val="005D7719"/>
    <w:rsid w:val="005D7D84"/>
    <w:rsid w:val="005E009A"/>
    <w:rsid w:val="005E01E0"/>
    <w:rsid w:val="005E0B7A"/>
    <w:rsid w:val="005E0C76"/>
    <w:rsid w:val="005E0D1A"/>
    <w:rsid w:val="005E0E4C"/>
    <w:rsid w:val="005E13BF"/>
    <w:rsid w:val="005E15FB"/>
    <w:rsid w:val="005E217D"/>
    <w:rsid w:val="005E2386"/>
    <w:rsid w:val="005E24CE"/>
    <w:rsid w:val="005E2726"/>
    <w:rsid w:val="005E2EED"/>
    <w:rsid w:val="005E2FBD"/>
    <w:rsid w:val="005E3453"/>
    <w:rsid w:val="005E3586"/>
    <w:rsid w:val="005E3DA4"/>
    <w:rsid w:val="005E3F34"/>
    <w:rsid w:val="005E407A"/>
    <w:rsid w:val="005E40A1"/>
    <w:rsid w:val="005E40AD"/>
    <w:rsid w:val="005E4218"/>
    <w:rsid w:val="005E4264"/>
    <w:rsid w:val="005E46F4"/>
    <w:rsid w:val="005E4D91"/>
    <w:rsid w:val="005E5271"/>
    <w:rsid w:val="005E52D8"/>
    <w:rsid w:val="005E5776"/>
    <w:rsid w:val="005E5B7C"/>
    <w:rsid w:val="005E6A1F"/>
    <w:rsid w:val="005E6B4F"/>
    <w:rsid w:val="005E6F0D"/>
    <w:rsid w:val="005E739B"/>
    <w:rsid w:val="005E7466"/>
    <w:rsid w:val="005E746F"/>
    <w:rsid w:val="005E7995"/>
    <w:rsid w:val="005E7B84"/>
    <w:rsid w:val="005E7E38"/>
    <w:rsid w:val="005F0270"/>
    <w:rsid w:val="005F0315"/>
    <w:rsid w:val="005F0762"/>
    <w:rsid w:val="005F082E"/>
    <w:rsid w:val="005F08B9"/>
    <w:rsid w:val="005F0A3B"/>
    <w:rsid w:val="005F0B53"/>
    <w:rsid w:val="005F0BCA"/>
    <w:rsid w:val="005F16F6"/>
    <w:rsid w:val="005F18CE"/>
    <w:rsid w:val="005F1AAB"/>
    <w:rsid w:val="005F1B8D"/>
    <w:rsid w:val="005F222A"/>
    <w:rsid w:val="005F2512"/>
    <w:rsid w:val="005F2537"/>
    <w:rsid w:val="005F2592"/>
    <w:rsid w:val="005F278C"/>
    <w:rsid w:val="005F28E8"/>
    <w:rsid w:val="005F28FE"/>
    <w:rsid w:val="005F2C9A"/>
    <w:rsid w:val="005F2CE6"/>
    <w:rsid w:val="005F2D4F"/>
    <w:rsid w:val="005F33F7"/>
    <w:rsid w:val="005F344F"/>
    <w:rsid w:val="005F34BC"/>
    <w:rsid w:val="005F34E0"/>
    <w:rsid w:val="005F35D0"/>
    <w:rsid w:val="005F37C0"/>
    <w:rsid w:val="005F3AC5"/>
    <w:rsid w:val="005F3C42"/>
    <w:rsid w:val="005F3DCD"/>
    <w:rsid w:val="005F42B2"/>
    <w:rsid w:val="005F42B3"/>
    <w:rsid w:val="005F4716"/>
    <w:rsid w:val="005F4F74"/>
    <w:rsid w:val="005F5082"/>
    <w:rsid w:val="005F547C"/>
    <w:rsid w:val="005F5E16"/>
    <w:rsid w:val="005F5E25"/>
    <w:rsid w:val="005F6152"/>
    <w:rsid w:val="005F633B"/>
    <w:rsid w:val="005F6CF2"/>
    <w:rsid w:val="005F6D6A"/>
    <w:rsid w:val="005F7259"/>
    <w:rsid w:val="005F76A5"/>
    <w:rsid w:val="005F7797"/>
    <w:rsid w:val="005F7FD0"/>
    <w:rsid w:val="00600226"/>
    <w:rsid w:val="00600636"/>
    <w:rsid w:val="0060063E"/>
    <w:rsid w:val="006006EF"/>
    <w:rsid w:val="00600FFF"/>
    <w:rsid w:val="0060119F"/>
    <w:rsid w:val="00601520"/>
    <w:rsid w:val="006015A5"/>
    <w:rsid w:val="00601645"/>
    <w:rsid w:val="006017A0"/>
    <w:rsid w:val="00601985"/>
    <w:rsid w:val="006019F7"/>
    <w:rsid w:val="00601E56"/>
    <w:rsid w:val="00602031"/>
    <w:rsid w:val="0060223B"/>
    <w:rsid w:val="006027F5"/>
    <w:rsid w:val="0060280B"/>
    <w:rsid w:val="0060298F"/>
    <w:rsid w:val="006029C3"/>
    <w:rsid w:val="00602C55"/>
    <w:rsid w:val="00602E49"/>
    <w:rsid w:val="00603127"/>
    <w:rsid w:val="006032DC"/>
    <w:rsid w:val="00603369"/>
    <w:rsid w:val="0060356D"/>
    <w:rsid w:val="00603666"/>
    <w:rsid w:val="00603904"/>
    <w:rsid w:val="006041F1"/>
    <w:rsid w:val="00604828"/>
    <w:rsid w:val="00604873"/>
    <w:rsid w:val="00604B13"/>
    <w:rsid w:val="00604DF6"/>
    <w:rsid w:val="0060568C"/>
    <w:rsid w:val="00605733"/>
    <w:rsid w:val="00605D77"/>
    <w:rsid w:val="00605E28"/>
    <w:rsid w:val="00605E2E"/>
    <w:rsid w:val="00606127"/>
    <w:rsid w:val="00606C4A"/>
    <w:rsid w:val="00607050"/>
    <w:rsid w:val="0060709E"/>
    <w:rsid w:val="006070BA"/>
    <w:rsid w:val="00607155"/>
    <w:rsid w:val="0060745F"/>
    <w:rsid w:val="0060752F"/>
    <w:rsid w:val="006078D4"/>
    <w:rsid w:val="006106DE"/>
    <w:rsid w:val="00610703"/>
    <w:rsid w:val="00610833"/>
    <w:rsid w:val="0061083C"/>
    <w:rsid w:val="00611207"/>
    <w:rsid w:val="0061154C"/>
    <w:rsid w:val="0061197D"/>
    <w:rsid w:val="00611ABD"/>
    <w:rsid w:val="00611D66"/>
    <w:rsid w:val="00611D6F"/>
    <w:rsid w:val="00612004"/>
    <w:rsid w:val="00612131"/>
    <w:rsid w:val="00612183"/>
    <w:rsid w:val="006126B6"/>
    <w:rsid w:val="0061271C"/>
    <w:rsid w:val="00612A30"/>
    <w:rsid w:val="00612DE8"/>
    <w:rsid w:val="00613838"/>
    <w:rsid w:val="00613ADB"/>
    <w:rsid w:val="00613B5C"/>
    <w:rsid w:val="00613C99"/>
    <w:rsid w:val="00613F77"/>
    <w:rsid w:val="00613FD8"/>
    <w:rsid w:val="0061400C"/>
    <w:rsid w:val="006142B4"/>
    <w:rsid w:val="0061468C"/>
    <w:rsid w:val="00614767"/>
    <w:rsid w:val="00614F00"/>
    <w:rsid w:val="00614F46"/>
    <w:rsid w:val="00615323"/>
    <w:rsid w:val="0061561D"/>
    <w:rsid w:val="0061571D"/>
    <w:rsid w:val="0061572D"/>
    <w:rsid w:val="00615EBD"/>
    <w:rsid w:val="00615FED"/>
    <w:rsid w:val="00616039"/>
    <w:rsid w:val="006160AA"/>
    <w:rsid w:val="006160DB"/>
    <w:rsid w:val="006161AE"/>
    <w:rsid w:val="0061644C"/>
    <w:rsid w:val="0061667B"/>
    <w:rsid w:val="00616A69"/>
    <w:rsid w:val="00616BAC"/>
    <w:rsid w:val="00616BAF"/>
    <w:rsid w:val="00616F75"/>
    <w:rsid w:val="00617716"/>
    <w:rsid w:val="0061773E"/>
    <w:rsid w:val="006179DF"/>
    <w:rsid w:val="00617D0A"/>
    <w:rsid w:val="00617FCF"/>
    <w:rsid w:val="0062007B"/>
    <w:rsid w:val="0062015D"/>
    <w:rsid w:val="00620597"/>
    <w:rsid w:val="0062068B"/>
    <w:rsid w:val="0062076B"/>
    <w:rsid w:val="00620D17"/>
    <w:rsid w:val="00620DCC"/>
    <w:rsid w:val="00621026"/>
    <w:rsid w:val="006210FA"/>
    <w:rsid w:val="006213EF"/>
    <w:rsid w:val="006217C7"/>
    <w:rsid w:val="00621897"/>
    <w:rsid w:val="00621E95"/>
    <w:rsid w:val="00621EED"/>
    <w:rsid w:val="006221A5"/>
    <w:rsid w:val="006222A2"/>
    <w:rsid w:val="0062235C"/>
    <w:rsid w:val="00622488"/>
    <w:rsid w:val="0062248B"/>
    <w:rsid w:val="00622B00"/>
    <w:rsid w:val="00622F26"/>
    <w:rsid w:val="00622FC4"/>
    <w:rsid w:val="006230F8"/>
    <w:rsid w:val="00623214"/>
    <w:rsid w:val="00623257"/>
    <w:rsid w:val="0062348A"/>
    <w:rsid w:val="00623793"/>
    <w:rsid w:val="00623881"/>
    <w:rsid w:val="00623A58"/>
    <w:rsid w:val="0062411F"/>
    <w:rsid w:val="0062442C"/>
    <w:rsid w:val="006245F6"/>
    <w:rsid w:val="00624B58"/>
    <w:rsid w:val="00624C0F"/>
    <w:rsid w:val="00624DF7"/>
    <w:rsid w:val="00624EA5"/>
    <w:rsid w:val="00624F74"/>
    <w:rsid w:val="00625155"/>
    <w:rsid w:val="00625DE5"/>
    <w:rsid w:val="00625EF6"/>
    <w:rsid w:val="00626230"/>
    <w:rsid w:val="006263BB"/>
    <w:rsid w:val="00626454"/>
    <w:rsid w:val="006264D9"/>
    <w:rsid w:val="0062658B"/>
    <w:rsid w:val="00626690"/>
    <w:rsid w:val="00626756"/>
    <w:rsid w:val="00626C2A"/>
    <w:rsid w:val="00626D8B"/>
    <w:rsid w:val="00626F9C"/>
    <w:rsid w:val="006271A9"/>
    <w:rsid w:val="00627384"/>
    <w:rsid w:val="0062799A"/>
    <w:rsid w:val="00627A8C"/>
    <w:rsid w:val="00627BD6"/>
    <w:rsid w:val="00627CCC"/>
    <w:rsid w:val="00627F84"/>
    <w:rsid w:val="0063009A"/>
    <w:rsid w:val="00630102"/>
    <w:rsid w:val="00630420"/>
    <w:rsid w:val="006308B5"/>
    <w:rsid w:val="006308C8"/>
    <w:rsid w:val="00630907"/>
    <w:rsid w:val="00630AE2"/>
    <w:rsid w:val="00630C3E"/>
    <w:rsid w:val="00630D29"/>
    <w:rsid w:val="00630ECB"/>
    <w:rsid w:val="00631424"/>
    <w:rsid w:val="00631AE7"/>
    <w:rsid w:val="0063238B"/>
    <w:rsid w:val="0063299F"/>
    <w:rsid w:val="006329CE"/>
    <w:rsid w:val="00632CF6"/>
    <w:rsid w:val="00632ED9"/>
    <w:rsid w:val="006331E1"/>
    <w:rsid w:val="00633432"/>
    <w:rsid w:val="00633867"/>
    <w:rsid w:val="00633C9D"/>
    <w:rsid w:val="00633E28"/>
    <w:rsid w:val="00634077"/>
    <w:rsid w:val="00634206"/>
    <w:rsid w:val="00634AB9"/>
    <w:rsid w:val="00634BDF"/>
    <w:rsid w:val="006354FC"/>
    <w:rsid w:val="00635674"/>
    <w:rsid w:val="00635B2E"/>
    <w:rsid w:val="00635BDA"/>
    <w:rsid w:val="00635C77"/>
    <w:rsid w:val="00636182"/>
    <w:rsid w:val="006363E0"/>
    <w:rsid w:val="00636F19"/>
    <w:rsid w:val="00637135"/>
    <w:rsid w:val="00637385"/>
    <w:rsid w:val="00637C60"/>
    <w:rsid w:val="00637F34"/>
    <w:rsid w:val="00640319"/>
    <w:rsid w:val="006405F7"/>
    <w:rsid w:val="00640804"/>
    <w:rsid w:val="006409DB"/>
    <w:rsid w:val="00640A23"/>
    <w:rsid w:val="00640C1D"/>
    <w:rsid w:val="00640C22"/>
    <w:rsid w:val="00640CA1"/>
    <w:rsid w:val="00640EEF"/>
    <w:rsid w:val="00641471"/>
    <w:rsid w:val="006415A5"/>
    <w:rsid w:val="006419BA"/>
    <w:rsid w:val="00641BA9"/>
    <w:rsid w:val="00642202"/>
    <w:rsid w:val="00642208"/>
    <w:rsid w:val="00642667"/>
    <w:rsid w:val="006426AC"/>
    <w:rsid w:val="00642E1F"/>
    <w:rsid w:val="00642F73"/>
    <w:rsid w:val="00642FE1"/>
    <w:rsid w:val="00643954"/>
    <w:rsid w:val="00643C92"/>
    <w:rsid w:val="00643EE1"/>
    <w:rsid w:val="00644908"/>
    <w:rsid w:val="00644947"/>
    <w:rsid w:val="00644CAF"/>
    <w:rsid w:val="006454FC"/>
    <w:rsid w:val="006456E6"/>
    <w:rsid w:val="00645CAA"/>
    <w:rsid w:val="00645CBB"/>
    <w:rsid w:val="00645EFF"/>
    <w:rsid w:val="006461B9"/>
    <w:rsid w:val="00646265"/>
    <w:rsid w:val="00646600"/>
    <w:rsid w:val="00646D83"/>
    <w:rsid w:val="0064740A"/>
    <w:rsid w:val="00647614"/>
    <w:rsid w:val="0064780B"/>
    <w:rsid w:val="0064784F"/>
    <w:rsid w:val="00647EC0"/>
    <w:rsid w:val="00647FA8"/>
    <w:rsid w:val="00647FE0"/>
    <w:rsid w:val="00650148"/>
    <w:rsid w:val="00650254"/>
    <w:rsid w:val="00650708"/>
    <w:rsid w:val="00650813"/>
    <w:rsid w:val="006508B4"/>
    <w:rsid w:val="006509A0"/>
    <w:rsid w:val="006509D9"/>
    <w:rsid w:val="00650B43"/>
    <w:rsid w:val="00650D88"/>
    <w:rsid w:val="00650E03"/>
    <w:rsid w:val="00650E60"/>
    <w:rsid w:val="00650F9F"/>
    <w:rsid w:val="00651105"/>
    <w:rsid w:val="00651272"/>
    <w:rsid w:val="006515A7"/>
    <w:rsid w:val="0065183E"/>
    <w:rsid w:val="00651B9A"/>
    <w:rsid w:val="00651D42"/>
    <w:rsid w:val="00651D6F"/>
    <w:rsid w:val="00651E10"/>
    <w:rsid w:val="00651F2B"/>
    <w:rsid w:val="006527E3"/>
    <w:rsid w:val="00652843"/>
    <w:rsid w:val="00652B5E"/>
    <w:rsid w:val="00652E2A"/>
    <w:rsid w:val="00652F99"/>
    <w:rsid w:val="00652FD7"/>
    <w:rsid w:val="0065325D"/>
    <w:rsid w:val="00653296"/>
    <w:rsid w:val="006532F4"/>
    <w:rsid w:val="0065337C"/>
    <w:rsid w:val="006539A6"/>
    <w:rsid w:val="00653DE8"/>
    <w:rsid w:val="00653E99"/>
    <w:rsid w:val="00653FD8"/>
    <w:rsid w:val="0065429F"/>
    <w:rsid w:val="006544D1"/>
    <w:rsid w:val="00654560"/>
    <w:rsid w:val="00654BBC"/>
    <w:rsid w:val="00654C62"/>
    <w:rsid w:val="00654DA7"/>
    <w:rsid w:val="006550C4"/>
    <w:rsid w:val="0065579C"/>
    <w:rsid w:val="00655A4E"/>
    <w:rsid w:val="00655AC6"/>
    <w:rsid w:val="00655F9C"/>
    <w:rsid w:val="00656004"/>
    <w:rsid w:val="00656286"/>
    <w:rsid w:val="00656363"/>
    <w:rsid w:val="00656392"/>
    <w:rsid w:val="00656643"/>
    <w:rsid w:val="00656BF1"/>
    <w:rsid w:val="00657130"/>
    <w:rsid w:val="006577CA"/>
    <w:rsid w:val="00657828"/>
    <w:rsid w:val="0065795D"/>
    <w:rsid w:val="00657AEC"/>
    <w:rsid w:val="00657E47"/>
    <w:rsid w:val="006600DF"/>
    <w:rsid w:val="00660193"/>
    <w:rsid w:val="00660412"/>
    <w:rsid w:val="00660AA6"/>
    <w:rsid w:val="00660C39"/>
    <w:rsid w:val="00661073"/>
    <w:rsid w:val="00661094"/>
    <w:rsid w:val="006612A3"/>
    <w:rsid w:val="006618A9"/>
    <w:rsid w:val="00661A44"/>
    <w:rsid w:val="00661B32"/>
    <w:rsid w:val="00662056"/>
    <w:rsid w:val="006620DB"/>
    <w:rsid w:val="006625D0"/>
    <w:rsid w:val="0066275B"/>
    <w:rsid w:val="00662BA1"/>
    <w:rsid w:val="00662BDB"/>
    <w:rsid w:val="0066305F"/>
    <w:rsid w:val="0066325B"/>
    <w:rsid w:val="00663875"/>
    <w:rsid w:val="00663C40"/>
    <w:rsid w:val="00664006"/>
    <w:rsid w:val="00664026"/>
    <w:rsid w:val="006642AB"/>
    <w:rsid w:val="00664410"/>
    <w:rsid w:val="00664654"/>
    <w:rsid w:val="0066496F"/>
    <w:rsid w:val="00664F82"/>
    <w:rsid w:val="00665073"/>
    <w:rsid w:val="0066510B"/>
    <w:rsid w:val="006651B6"/>
    <w:rsid w:val="00665277"/>
    <w:rsid w:val="0066555A"/>
    <w:rsid w:val="00665F41"/>
    <w:rsid w:val="00666291"/>
    <w:rsid w:val="006664C9"/>
    <w:rsid w:val="00666599"/>
    <w:rsid w:val="006670A7"/>
    <w:rsid w:val="0066762F"/>
    <w:rsid w:val="00667DB2"/>
    <w:rsid w:val="00670283"/>
    <w:rsid w:val="006707D7"/>
    <w:rsid w:val="00670D7E"/>
    <w:rsid w:val="0067118B"/>
    <w:rsid w:val="0067127F"/>
    <w:rsid w:val="006714A0"/>
    <w:rsid w:val="00671A0A"/>
    <w:rsid w:val="00671E3A"/>
    <w:rsid w:val="006722D0"/>
    <w:rsid w:val="00672308"/>
    <w:rsid w:val="00672364"/>
    <w:rsid w:val="0067263C"/>
    <w:rsid w:val="0067288C"/>
    <w:rsid w:val="00672C09"/>
    <w:rsid w:val="00672F65"/>
    <w:rsid w:val="00672FAD"/>
    <w:rsid w:val="00673312"/>
    <w:rsid w:val="0067353D"/>
    <w:rsid w:val="006736AE"/>
    <w:rsid w:val="00673D3A"/>
    <w:rsid w:val="00673F7D"/>
    <w:rsid w:val="00673FFF"/>
    <w:rsid w:val="00674203"/>
    <w:rsid w:val="0067468E"/>
    <w:rsid w:val="00674D57"/>
    <w:rsid w:val="00674FA3"/>
    <w:rsid w:val="0067509F"/>
    <w:rsid w:val="006752A1"/>
    <w:rsid w:val="0067556A"/>
    <w:rsid w:val="00675EF2"/>
    <w:rsid w:val="006760C7"/>
    <w:rsid w:val="00676198"/>
    <w:rsid w:val="0067643F"/>
    <w:rsid w:val="00676BCF"/>
    <w:rsid w:val="00676C36"/>
    <w:rsid w:val="00676CFF"/>
    <w:rsid w:val="00676DB0"/>
    <w:rsid w:val="00677071"/>
    <w:rsid w:val="00677355"/>
    <w:rsid w:val="00677390"/>
    <w:rsid w:val="006778BE"/>
    <w:rsid w:val="006778CB"/>
    <w:rsid w:val="00677B9A"/>
    <w:rsid w:val="00677E73"/>
    <w:rsid w:val="006803E2"/>
    <w:rsid w:val="0068064F"/>
    <w:rsid w:val="00680CC7"/>
    <w:rsid w:val="006810D8"/>
    <w:rsid w:val="0068120B"/>
    <w:rsid w:val="00681213"/>
    <w:rsid w:val="0068124F"/>
    <w:rsid w:val="006812F7"/>
    <w:rsid w:val="00681971"/>
    <w:rsid w:val="00681994"/>
    <w:rsid w:val="00681AE2"/>
    <w:rsid w:val="00681DE8"/>
    <w:rsid w:val="00681E59"/>
    <w:rsid w:val="00682005"/>
    <w:rsid w:val="00682A0D"/>
    <w:rsid w:val="00682B11"/>
    <w:rsid w:val="00682DC7"/>
    <w:rsid w:val="0068313E"/>
    <w:rsid w:val="00683706"/>
    <w:rsid w:val="00683886"/>
    <w:rsid w:val="0068398E"/>
    <w:rsid w:val="00683DF3"/>
    <w:rsid w:val="00683E61"/>
    <w:rsid w:val="006844A8"/>
    <w:rsid w:val="006844C7"/>
    <w:rsid w:val="00684552"/>
    <w:rsid w:val="00684582"/>
    <w:rsid w:val="00684628"/>
    <w:rsid w:val="006846BF"/>
    <w:rsid w:val="00684817"/>
    <w:rsid w:val="00684AD8"/>
    <w:rsid w:val="00684ADD"/>
    <w:rsid w:val="0068521D"/>
    <w:rsid w:val="00685399"/>
    <w:rsid w:val="00685B3C"/>
    <w:rsid w:val="00685E7E"/>
    <w:rsid w:val="00685E83"/>
    <w:rsid w:val="00685F1A"/>
    <w:rsid w:val="00686394"/>
    <w:rsid w:val="0068639C"/>
    <w:rsid w:val="006863D3"/>
    <w:rsid w:val="00686474"/>
    <w:rsid w:val="006865B7"/>
    <w:rsid w:val="006867EC"/>
    <w:rsid w:val="00686BD8"/>
    <w:rsid w:val="00686E08"/>
    <w:rsid w:val="00687069"/>
    <w:rsid w:val="0068711D"/>
    <w:rsid w:val="00687120"/>
    <w:rsid w:val="00687152"/>
    <w:rsid w:val="006879CE"/>
    <w:rsid w:val="00687A5E"/>
    <w:rsid w:val="00687CF3"/>
    <w:rsid w:val="00687DAD"/>
    <w:rsid w:val="00690126"/>
    <w:rsid w:val="0069020A"/>
    <w:rsid w:val="00690220"/>
    <w:rsid w:val="00690D0D"/>
    <w:rsid w:val="00690D6B"/>
    <w:rsid w:val="0069114A"/>
    <w:rsid w:val="00691210"/>
    <w:rsid w:val="006912CF"/>
    <w:rsid w:val="0069140A"/>
    <w:rsid w:val="006917A2"/>
    <w:rsid w:val="006918CC"/>
    <w:rsid w:val="00691CE2"/>
    <w:rsid w:val="00691DBD"/>
    <w:rsid w:val="00691F6B"/>
    <w:rsid w:val="006922C2"/>
    <w:rsid w:val="006922CD"/>
    <w:rsid w:val="006924DE"/>
    <w:rsid w:val="00692686"/>
    <w:rsid w:val="006926C3"/>
    <w:rsid w:val="00692723"/>
    <w:rsid w:val="006927EB"/>
    <w:rsid w:val="0069298B"/>
    <w:rsid w:val="00692A7A"/>
    <w:rsid w:val="0069305F"/>
    <w:rsid w:val="006931A2"/>
    <w:rsid w:val="006933A6"/>
    <w:rsid w:val="006934C9"/>
    <w:rsid w:val="0069389B"/>
    <w:rsid w:val="00693A74"/>
    <w:rsid w:val="00693CD7"/>
    <w:rsid w:val="00693E78"/>
    <w:rsid w:val="0069431E"/>
    <w:rsid w:val="00694536"/>
    <w:rsid w:val="00694847"/>
    <w:rsid w:val="006949AC"/>
    <w:rsid w:val="006949F7"/>
    <w:rsid w:val="00694AA7"/>
    <w:rsid w:val="00694E34"/>
    <w:rsid w:val="00695440"/>
    <w:rsid w:val="0069591F"/>
    <w:rsid w:val="00695B14"/>
    <w:rsid w:val="00695C82"/>
    <w:rsid w:val="00695CD5"/>
    <w:rsid w:val="00695D08"/>
    <w:rsid w:val="00695E5B"/>
    <w:rsid w:val="00696B6D"/>
    <w:rsid w:val="00696C89"/>
    <w:rsid w:val="00696CB4"/>
    <w:rsid w:val="00696E31"/>
    <w:rsid w:val="006971F2"/>
    <w:rsid w:val="006973B8"/>
    <w:rsid w:val="00697496"/>
    <w:rsid w:val="00697509"/>
    <w:rsid w:val="00697511"/>
    <w:rsid w:val="006977A1"/>
    <w:rsid w:val="006978B3"/>
    <w:rsid w:val="006A00A1"/>
    <w:rsid w:val="006A0602"/>
    <w:rsid w:val="006A0F20"/>
    <w:rsid w:val="006A1054"/>
    <w:rsid w:val="006A119F"/>
    <w:rsid w:val="006A1242"/>
    <w:rsid w:val="006A1511"/>
    <w:rsid w:val="006A1CCB"/>
    <w:rsid w:val="006A1F86"/>
    <w:rsid w:val="006A1FD7"/>
    <w:rsid w:val="006A2061"/>
    <w:rsid w:val="006A212A"/>
    <w:rsid w:val="006A2168"/>
    <w:rsid w:val="006A2547"/>
    <w:rsid w:val="006A262D"/>
    <w:rsid w:val="006A2B71"/>
    <w:rsid w:val="006A2DBA"/>
    <w:rsid w:val="006A3537"/>
    <w:rsid w:val="006A36AC"/>
    <w:rsid w:val="006A38DA"/>
    <w:rsid w:val="006A3908"/>
    <w:rsid w:val="006A3938"/>
    <w:rsid w:val="006A3A26"/>
    <w:rsid w:val="006A3C41"/>
    <w:rsid w:val="006A3FE6"/>
    <w:rsid w:val="006A400F"/>
    <w:rsid w:val="006A40A8"/>
    <w:rsid w:val="006A45F1"/>
    <w:rsid w:val="006A4AAB"/>
    <w:rsid w:val="006A4D4A"/>
    <w:rsid w:val="006A4D5F"/>
    <w:rsid w:val="006A4E1F"/>
    <w:rsid w:val="006A5B6C"/>
    <w:rsid w:val="006A5C5A"/>
    <w:rsid w:val="006A6095"/>
    <w:rsid w:val="006A6166"/>
    <w:rsid w:val="006A6227"/>
    <w:rsid w:val="006A6609"/>
    <w:rsid w:val="006A6A49"/>
    <w:rsid w:val="006A6D4E"/>
    <w:rsid w:val="006A6D70"/>
    <w:rsid w:val="006A7086"/>
    <w:rsid w:val="006A72F8"/>
    <w:rsid w:val="006A7734"/>
    <w:rsid w:val="006A7774"/>
    <w:rsid w:val="006A7B7F"/>
    <w:rsid w:val="006B063D"/>
    <w:rsid w:val="006B08D6"/>
    <w:rsid w:val="006B0B72"/>
    <w:rsid w:val="006B0C1F"/>
    <w:rsid w:val="006B0F94"/>
    <w:rsid w:val="006B100B"/>
    <w:rsid w:val="006B1388"/>
    <w:rsid w:val="006B14B3"/>
    <w:rsid w:val="006B14F3"/>
    <w:rsid w:val="006B1740"/>
    <w:rsid w:val="006B1908"/>
    <w:rsid w:val="006B19B6"/>
    <w:rsid w:val="006B1C46"/>
    <w:rsid w:val="006B1D01"/>
    <w:rsid w:val="006B2153"/>
    <w:rsid w:val="006B2323"/>
    <w:rsid w:val="006B23B8"/>
    <w:rsid w:val="006B2506"/>
    <w:rsid w:val="006B2821"/>
    <w:rsid w:val="006B2881"/>
    <w:rsid w:val="006B28CE"/>
    <w:rsid w:val="006B2BC6"/>
    <w:rsid w:val="006B2CAB"/>
    <w:rsid w:val="006B329E"/>
    <w:rsid w:val="006B33F2"/>
    <w:rsid w:val="006B341E"/>
    <w:rsid w:val="006B349D"/>
    <w:rsid w:val="006B45C1"/>
    <w:rsid w:val="006B469A"/>
    <w:rsid w:val="006B4792"/>
    <w:rsid w:val="006B4A03"/>
    <w:rsid w:val="006B4A2C"/>
    <w:rsid w:val="006B4A2F"/>
    <w:rsid w:val="006B4C02"/>
    <w:rsid w:val="006B4C65"/>
    <w:rsid w:val="006B5005"/>
    <w:rsid w:val="006B502B"/>
    <w:rsid w:val="006B52BE"/>
    <w:rsid w:val="006B569A"/>
    <w:rsid w:val="006B5A02"/>
    <w:rsid w:val="006B5BCD"/>
    <w:rsid w:val="006B5F44"/>
    <w:rsid w:val="006B60DC"/>
    <w:rsid w:val="006B6141"/>
    <w:rsid w:val="006B62F7"/>
    <w:rsid w:val="006B6437"/>
    <w:rsid w:val="006B6551"/>
    <w:rsid w:val="006B665E"/>
    <w:rsid w:val="006B678F"/>
    <w:rsid w:val="006B694B"/>
    <w:rsid w:val="006B69B9"/>
    <w:rsid w:val="006B6F38"/>
    <w:rsid w:val="006B7326"/>
    <w:rsid w:val="006B7397"/>
    <w:rsid w:val="006B73FC"/>
    <w:rsid w:val="006B7570"/>
    <w:rsid w:val="006B7807"/>
    <w:rsid w:val="006C0172"/>
    <w:rsid w:val="006C0398"/>
    <w:rsid w:val="006C047D"/>
    <w:rsid w:val="006C04BF"/>
    <w:rsid w:val="006C04EA"/>
    <w:rsid w:val="006C11EF"/>
    <w:rsid w:val="006C140A"/>
    <w:rsid w:val="006C1470"/>
    <w:rsid w:val="006C1502"/>
    <w:rsid w:val="006C1692"/>
    <w:rsid w:val="006C17A5"/>
    <w:rsid w:val="006C1969"/>
    <w:rsid w:val="006C19D3"/>
    <w:rsid w:val="006C1C30"/>
    <w:rsid w:val="006C1CF8"/>
    <w:rsid w:val="006C228F"/>
    <w:rsid w:val="006C22C6"/>
    <w:rsid w:val="006C22D5"/>
    <w:rsid w:val="006C2A8D"/>
    <w:rsid w:val="006C3007"/>
    <w:rsid w:val="006C357E"/>
    <w:rsid w:val="006C35BB"/>
    <w:rsid w:val="006C3671"/>
    <w:rsid w:val="006C3747"/>
    <w:rsid w:val="006C3F03"/>
    <w:rsid w:val="006C4109"/>
    <w:rsid w:val="006C4169"/>
    <w:rsid w:val="006C4361"/>
    <w:rsid w:val="006C46AB"/>
    <w:rsid w:val="006C4803"/>
    <w:rsid w:val="006C4A24"/>
    <w:rsid w:val="006C5137"/>
    <w:rsid w:val="006C533A"/>
    <w:rsid w:val="006C53A1"/>
    <w:rsid w:val="006C544E"/>
    <w:rsid w:val="006C554C"/>
    <w:rsid w:val="006C5BC0"/>
    <w:rsid w:val="006C6458"/>
    <w:rsid w:val="006C6706"/>
    <w:rsid w:val="006C6A49"/>
    <w:rsid w:val="006C6D6A"/>
    <w:rsid w:val="006C6E47"/>
    <w:rsid w:val="006C6F8B"/>
    <w:rsid w:val="006C7171"/>
    <w:rsid w:val="006C761A"/>
    <w:rsid w:val="006C792F"/>
    <w:rsid w:val="006C7B46"/>
    <w:rsid w:val="006C7BD5"/>
    <w:rsid w:val="006D00F2"/>
    <w:rsid w:val="006D04D5"/>
    <w:rsid w:val="006D0795"/>
    <w:rsid w:val="006D0BF1"/>
    <w:rsid w:val="006D0EC1"/>
    <w:rsid w:val="006D0F27"/>
    <w:rsid w:val="006D120F"/>
    <w:rsid w:val="006D1419"/>
    <w:rsid w:val="006D157E"/>
    <w:rsid w:val="006D1F06"/>
    <w:rsid w:val="006D2154"/>
    <w:rsid w:val="006D2159"/>
    <w:rsid w:val="006D222A"/>
    <w:rsid w:val="006D251D"/>
    <w:rsid w:val="006D283D"/>
    <w:rsid w:val="006D29FA"/>
    <w:rsid w:val="006D307D"/>
    <w:rsid w:val="006D3146"/>
    <w:rsid w:val="006D3160"/>
    <w:rsid w:val="006D334A"/>
    <w:rsid w:val="006D3AE8"/>
    <w:rsid w:val="006D3B51"/>
    <w:rsid w:val="006D3DBA"/>
    <w:rsid w:val="006D418E"/>
    <w:rsid w:val="006D41BC"/>
    <w:rsid w:val="006D44D5"/>
    <w:rsid w:val="006D47A8"/>
    <w:rsid w:val="006D4EF2"/>
    <w:rsid w:val="006D5160"/>
    <w:rsid w:val="006D54E1"/>
    <w:rsid w:val="006D57C9"/>
    <w:rsid w:val="006D58F8"/>
    <w:rsid w:val="006D597A"/>
    <w:rsid w:val="006D597E"/>
    <w:rsid w:val="006D6055"/>
    <w:rsid w:val="006D6064"/>
    <w:rsid w:val="006D62D3"/>
    <w:rsid w:val="006D630F"/>
    <w:rsid w:val="006D63FD"/>
    <w:rsid w:val="006D647D"/>
    <w:rsid w:val="006D6DCF"/>
    <w:rsid w:val="006D6DFA"/>
    <w:rsid w:val="006D7207"/>
    <w:rsid w:val="006D7582"/>
    <w:rsid w:val="006D7615"/>
    <w:rsid w:val="006D76CF"/>
    <w:rsid w:val="006D7864"/>
    <w:rsid w:val="006D7995"/>
    <w:rsid w:val="006E0132"/>
    <w:rsid w:val="006E0657"/>
    <w:rsid w:val="006E0979"/>
    <w:rsid w:val="006E0C92"/>
    <w:rsid w:val="006E0E59"/>
    <w:rsid w:val="006E11AD"/>
    <w:rsid w:val="006E1383"/>
    <w:rsid w:val="006E157D"/>
    <w:rsid w:val="006E15B3"/>
    <w:rsid w:val="006E15CC"/>
    <w:rsid w:val="006E1825"/>
    <w:rsid w:val="006E1D0D"/>
    <w:rsid w:val="006E1D23"/>
    <w:rsid w:val="006E2064"/>
    <w:rsid w:val="006E22E0"/>
    <w:rsid w:val="006E2623"/>
    <w:rsid w:val="006E269D"/>
    <w:rsid w:val="006E2BB4"/>
    <w:rsid w:val="006E304C"/>
    <w:rsid w:val="006E30F1"/>
    <w:rsid w:val="006E3660"/>
    <w:rsid w:val="006E372A"/>
    <w:rsid w:val="006E37C3"/>
    <w:rsid w:val="006E3D44"/>
    <w:rsid w:val="006E44F6"/>
    <w:rsid w:val="006E47B9"/>
    <w:rsid w:val="006E4815"/>
    <w:rsid w:val="006E4FC7"/>
    <w:rsid w:val="006E525E"/>
    <w:rsid w:val="006E537C"/>
    <w:rsid w:val="006E53B9"/>
    <w:rsid w:val="006E553D"/>
    <w:rsid w:val="006E581E"/>
    <w:rsid w:val="006E5D66"/>
    <w:rsid w:val="006E5F43"/>
    <w:rsid w:val="006E60C3"/>
    <w:rsid w:val="006E6427"/>
    <w:rsid w:val="006E67C4"/>
    <w:rsid w:val="006E6C4A"/>
    <w:rsid w:val="006E6C96"/>
    <w:rsid w:val="006E6E51"/>
    <w:rsid w:val="006E6F2D"/>
    <w:rsid w:val="006E712D"/>
    <w:rsid w:val="006E7B39"/>
    <w:rsid w:val="006E7B80"/>
    <w:rsid w:val="006E7BFC"/>
    <w:rsid w:val="006F0242"/>
    <w:rsid w:val="006F0A7C"/>
    <w:rsid w:val="006F0AE0"/>
    <w:rsid w:val="006F0F83"/>
    <w:rsid w:val="006F1B47"/>
    <w:rsid w:val="006F1D74"/>
    <w:rsid w:val="006F1DAB"/>
    <w:rsid w:val="006F20EF"/>
    <w:rsid w:val="006F20F9"/>
    <w:rsid w:val="006F228B"/>
    <w:rsid w:val="006F2B07"/>
    <w:rsid w:val="006F2FE3"/>
    <w:rsid w:val="006F345B"/>
    <w:rsid w:val="006F3984"/>
    <w:rsid w:val="006F39DB"/>
    <w:rsid w:val="006F3E39"/>
    <w:rsid w:val="006F4406"/>
    <w:rsid w:val="006F457B"/>
    <w:rsid w:val="006F45AD"/>
    <w:rsid w:val="006F4BCA"/>
    <w:rsid w:val="006F4BEE"/>
    <w:rsid w:val="006F4C4B"/>
    <w:rsid w:val="006F4D4B"/>
    <w:rsid w:val="006F4E17"/>
    <w:rsid w:val="006F50B0"/>
    <w:rsid w:val="006F55D8"/>
    <w:rsid w:val="006F5640"/>
    <w:rsid w:val="006F5775"/>
    <w:rsid w:val="006F57F2"/>
    <w:rsid w:val="006F59C4"/>
    <w:rsid w:val="006F5B42"/>
    <w:rsid w:val="006F617C"/>
    <w:rsid w:val="006F6963"/>
    <w:rsid w:val="006F6C47"/>
    <w:rsid w:val="006F708D"/>
    <w:rsid w:val="006F7378"/>
    <w:rsid w:val="006F738A"/>
    <w:rsid w:val="006F73F7"/>
    <w:rsid w:val="006F7408"/>
    <w:rsid w:val="006F75BA"/>
    <w:rsid w:val="007001F8"/>
    <w:rsid w:val="0070028D"/>
    <w:rsid w:val="0070057F"/>
    <w:rsid w:val="007008E0"/>
    <w:rsid w:val="00700CEF"/>
    <w:rsid w:val="00700D26"/>
    <w:rsid w:val="00700E2E"/>
    <w:rsid w:val="007011EE"/>
    <w:rsid w:val="00701349"/>
    <w:rsid w:val="007013C0"/>
    <w:rsid w:val="00701420"/>
    <w:rsid w:val="00701701"/>
    <w:rsid w:val="007017A5"/>
    <w:rsid w:val="00701854"/>
    <w:rsid w:val="00702656"/>
    <w:rsid w:val="007028B3"/>
    <w:rsid w:val="00702939"/>
    <w:rsid w:val="00702D74"/>
    <w:rsid w:val="00702E39"/>
    <w:rsid w:val="00703323"/>
    <w:rsid w:val="00703370"/>
    <w:rsid w:val="007033EA"/>
    <w:rsid w:val="00703E28"/>
    <w:rsid w:val="00704498"/>
    <w:rsid w:val="007047DA"/>
    <w:rsid w:val="00704893"/>
    <w:rsid w:val="00704898"/>
    <w:rsid w:val="00704B45"/>
    <w:rsid w:val="00704C0C"/>
    <w:rsid w:val="00704E4C"/>
    <w:rsid w:val="00704FA4"/>
    <w:rsid w:val="00704FE5"/>
    <w:rsid w:val="00705424"/>
    <w:rsid w:val="007056C3"/>
    <w:rsid w:val="00705A83"/>
    <w:rsid w:val="00705AA9"/>
    <w:rsid w:val="00705BD9"/>
    <w:rsid w:val="00705BF9"/>
    <w:rsid w:val="007061DC"/>
    <w:rsid w:val="00706321"/>
    <w:rsid w:val="00706384"/>
    <w:rsid w:val="007064D6"/>
    <w:rsid w:val="00706B15"/>
    <w:rsid w:val="00706DA0"/>
    <w:rsid w:val="00707064"/>
    <w:rsid w:val="007071A1"/>
    <w:rsid w:val="0070720D"/>
    <w:rsid w:val="0070768E"/>
    <w:rsid w:val="007079D8"/>
    <w:rsid w:val="00707BD8"/>
    <w:rsid w:val="00707D6D"/>
    <w:rsid w:val="00707EF5"/>
    <w:rsid w:val="0071004F"/>
    <w:rsid w:val="00710130"/>
    <w:rsid w:val="007103FC"/>
    <w:rsid w:val="0071045E"/>
    <w:rsid w:val="007106D1"/>
    <w:rsid w:val="0071097B"/>
    <w:rsid w:val="00710C43"/>
    <w:rsid w:val="00710DC1"/>
    <w:rsid w:val="00711386"/>
    <w:rsid w:val="0071185A"/>
    <w:rsid w:val="00711D3D"/>
    <w:rsid w:val="00711FB9"/>
    <w:rsid w:val="00711FCC"/>
    <w:rsid w:val="00712279"/>
    <w:rsid w:val="00712484"/>
    <w:rsid w:val="00712772"/>
    <w:rsid w:val="007127A6"/>
    <w:rsid w:val="0071284B"/>
    <w:rsid w:val="0071293A"/>
    <w:rsid w:val="007133CB"/>
    <w:rsid w:val="0071345F"/>
    <w:rsid w:val="00713591"/>
    <w:rsid w:val="00713703"/>
    <w:rsid w:val="00713A8E"/>
    <w:rsid w:val="00713AD2"/>
    <w:rsid w:val="00713C56"/>
    <w:rsid w:val="00713F4E"/>
    <w:rsid w:val="00713FB5"/>
    <w:rsid w:val="007142FC"/>
    <w:rsid w:val="00714313"/>
    <w:rsid w:val="007143EA"/>
    <w:rsid w:val="007143F4"/>
    <w:rsid w:val="00714EA0"/>
    <w:rsid w:val="007155EB"/>
    <w:rsid w:val="0071588D"/>
    <w:rsid w:val="00716069"/>
    <w:rsid w:val="007160E6"/>
    <w:rsid w:val="007169C7"/>
    <w:rsid w:val="00716B70"/>
    <w:rsid w:val="00716B7B"/>
    <w:rsid w:val="00716D33"/>
    <w:rsid w:val="00716FC5"/>
    <w:rsid w:val="00716FD1"/>
    <w:rsid w:val="00716FEB"/>
    <w:rsid w:val="00717012"/>
    <w:rsid w:val="0071747B"/>
    <w:rsid w:val="007175D2"/>
    <w:rsid w:val="0071763F"/>
    <w:rsid w:val="00717966"/>
    <w:rsid w:val="00717B72"/>
    <w:rsid w:val="00717D8D"/>
    <w:rsid w:val="007201F9"/>
    <w:rsid w:val="00720419"/>
    <w:rsid w:val="00720588"/>
    <w:rsid w:val="00720A0C"/>
    <w:rsid w:val="00720B5A"/>
    <w:rsid w:val="00720C96"/>
    <w:rsid w:val="007215AE"/>
    <w:rsid w:val="007215D0"/>
    <w:rsid w:val="00721A40"/>
    <w:rsid w:val="00721AB1"/>
    <w:rsid w:val="00721AD2"/>
    <w:rsid w:val="00721B71"/>
    <w:rsid w:val="00721FD7"/>
    <w:rsid w:val="007221D2"/>
    <w:rsid w:val="007222C1"/>
    <w:rsid w:val="00722540"/>
    <w:rsid w:val="007228B9"/>
    <w:rsid w:val="00722963"/>
    <w:rsid w:val="007230E8"/>
    <w:rsid w:val="0072316C"/>
    <w:rsid w:val="00723226"/>
    <w:rsid w:val="007235A4"/>
    <w:rsid w:val="0072370A"/>
    <w:rsid w:val="00723A01"/>
    <w:rsid w:val="0072416A"/>
    <w:rsid w:val="00724331"/>
    <w:rsid w:val="00724743"/>
    <w:rsid w:val="007249C1"/>
    <w:rsid w:val="00724ACB"/>
    <w:rsid w:val="00725247"/>
    <w:rsid w:val="007254F2"/>
    <w:rsid w:val="007259C5"/>
    <w:rsid w:val="00725A1F"/>
    <w:rsid w:val="0072606D"/>
    <w:rsid w:val="007267EF"/>
    <w:rsid w:val="00726967"/>
    <w:rsid w:val="00726D83"/>
    <w:rsid w:val="00726E8A"/>
    <w:rsid w:val="00727074"/>
    <w:rsid w:val="00727120"/>
    <w:rsid w:val="00727ABD"/>
    <w:rsid w:val="00727D68"/>
    <w:rsid w:val="0073077A"/>
    <w:rsid w:val="007308AE"/>
    <w:rsid w:val="00730B0F"/>
    <w:rsid w:val="00730B5D"/>
    <w:rsid w:val="00730DB9"/>
    <w:rsid w:val="007312C3"/>
    <w:rsid w:val="007313A4"/>
    <w:rsid w:val="0073161D"/>
    <w:rsid w:val="007317EE"/>
    <w:rsid w:val="007318A9"/>
    <w:rsid w:val="007318FE"/>
    <w:rsid w:val="00731C74"/>
    <w:rsid w:val="00731E7F"/>
    <w:rsid w:val="007320E5"/>
    <w:rsid w:val="007320FD"/>
    <w:rsid w:val="0073226B"/>
    <w:rsid w:val="00732770"/>
    <w:rsid w:val="00732893"/>
    <w:rsid w:val="007329B1"/>
    <w:rsid w:val="00732AB9"/>
    <w:rsid w:val="00732C3E"/>
    <w:rsid w:val="00732D39"/>
    <w:rsid w:val="0073338E"/>
    <w:rsid w:val="007336A4"/>
    <w:rsid w:val="007336BD"/>
    <w:rsid w:val="007338A9"/>
    <w:rsid w:val="007344FD"/>
    <w:rsid w:val="007347D8"/>
    <w:rsid w:val="007348BE"/>
    <w:rsid w:val="00734AA4"/>
    <w:rsid w:val="00734B74"/>
    <w:rsid w:val="00734EFB"/>
    <w:rsid w:val="00735002"/>
    <w:rsid w:val="007354AC"/>
    <w:rsid w:val="007354E5"/>
    <w:rsid w:val="00735A74"/>
    <w:rsid w:val="00735CDE"/>
    <w:rsid w:val="00735E19"/>
    <w:rsid w:val="00735E99"/>
    <w:rsid w:val="00735ED1"/>
    <w:rsid w:val="00736556"/>
    <w:rsid w:val="00736848"/>
    <w:rsid w:val="00736B9D"/>
    <w:rsid w:val="00736F0C"/>
    <w:rsid w:val="00737335"/>
    <w:rsid w:val="00737416"/>
    <w:rsid w:val="00737857"/>
    <w:rsid w:val="007379ED"/>
    <w:rsid w:val="00740180"/>
    <w:rsid w:val="007401D6"/>
    <w:rsid w:val="007402EA"/>
    <w:rsid w:val="00740C89"/>
    <w:rsid w:val="00741066"/>
    <w:rsid w:val="0074106B"/>
    <w:rsid w:val="007414D7"/>
    <w:rsid w:val="007417C3"/>
    <w:rsid w:val="00741824"/>
    <w:rsid w:val="0074188E"/>
    <w:rsid w:val="00741C11"/>
    <w:rsid w:val="00742300"/>
    <w:rsid w:val="00743590"/>
    <w:rsid w:val="00743AE3"/>
    <w:rsid w:val="00743C42"/>
    <w:rsid w:val="0074431A"/>
    <w:rsid w:val="007445D6"/>
    <w:rsid w:val="0074471E"/>
    <w:rsid w:val="00744D0C"/>
    <w:rsid w:val="00744D8B"/>
    <w:rsid w:val="007452BA"/>
    <w:rsid w:val="00745618"/>
    <w:rsid w:val="007456EA"/>
    <w:rsid w:val="0074583D"/>
    <w:rsid w:val="00745B88"/>
    <w:rsid w:val="0074620F"/>
    <w:rsid w:val="00746378"/>
    <w:rsid w:val="007469A9"/>
    <w:rsid w:val="00746A4A"/>
    <w:rsid w:val="00747E4C"/>
    <w:rsid w:val="00747EBE"/>
    <w:rsid w:val="00747F59"/>
    <w:rsid w:val="007505F8"/>
    <w:rsid w:val="007508D6"/>
    <w:rsid w:val="00750966"/>
    <w:rsid w:val="007509BA"/>
    <w:rsid w:val="00750F10"/>
    <w:rsid w:val="00751093"/>
    <w:rsid w:val="007513CF"/>
    <w:rsid w:val="007515C0"/>
    <w:rsid w:val="007517F5"/>
    <w:rsid w:val="00751891"/>
    <w:rsid w:val="00751F15"/>
    <w:rsid w:val="00752138"/>
    <w:rsid w:val="007524EA"/>
    <w:rsid w:val="0075251D"/>
    <w:rsid w:val="007525CE"/>
    <w:rsid w:val="007527B2"/>
    <w:rsid w:val="007527E8"/>
    <w:rsid w:val="0075304F"/>
    <w:rsid w:val="007530A1"/>
    <w:rsid w:val="0075324C"/>
    <w:rsid w:val="007532FD"/>
    <w:rsid w:val="00753D8E"/>
    <w:rsid w:val="00753E0D"/>
    <w:rsid w:val="00753E3B"/>
    <w:rsid w:val="0075420E"/>
    <w:rsid w:val="007547A5"/>
    <w:rsid w:val="0075494A"/>
    <w:rsid w:val="00754C25"/>
    <w:rsid w:val="00754CB6"/>
    <w:rsid w:val="007550D7"/>
    <w:rsid w:val="00755120"/>
    <w:rsid w:val="0075571D"/>
    <w:rsid w:val="0075577D"/>
    <w:rsid w:val="007557C2"/>
    <w:rsid w:val="007559AC"/>
    <w:rsid w:val="00755C9A"/>
    <w:rsid w:val="00755D25"/>
    <w:rsid w:val="0075628B"/>
    <w:rsid w:val="00756360"/>
    <w:rsid w:val="0075664C"/>
    <w:rsid w:val="0075699D"/>
    <w:rsid w:val="00756EB8"/>
    <w:rsid w:val="0075718A"/>
    <w:rsid w:val="007572A7"/>
    <w:rsid w:val="0075731E"/>
    <w:rsid w:val="007573DE"/>
    <w:rsid w:val="0075794D"/>
    <w:rsid w:val="00757A65"/>
    <w:rsid w:val="00757D8B"/>
    <w:rsid w:val="00757EC7"/>
    <w:rsid w:val="0076012E"/>
    <w:rsid w:val="0076016E"/>
    <w:rsid w:val="00760378"/>
    <w:rsid w:val="007603FA"/>
    <w:rsid w:val="00760661"/>
    <w:rsid w:val="00760885"/>
    <w:rsid w:val="00760B62"/>
    <w:rsid w:val="00760D69"/>
    <w:rsid w:val="00761551"/>
    <w:rsid w:val="00761755"/>
    <w:rsid w:val="0076191C"/>
    <w:rsid w:val="00761AF1"/>
    <w:rsid w:val="00761D6E"/>
    <w:rsid w:val="00761DB3"/>
    <w:rsid w:val="00761F30"/>
    <w:rsid w:val="007621AD"/>
    <w:rsid w:val="00762413"/>
    <w:rsid w:val="00762470"/>
    <w:rsid w:val="007624F2"/>
    <w:rsid w:val="00762722"/>
    <w:rsid w:val="007627AD"/>
    <w:rsid w:val="00762883"/>
    <w:rsid w:val="00762AA7"/>
    <w:rsid w:val="00762B67"/>
    <w:rsid w:val="007630E3"/>
    <w:rsid w:val="007636D1"/>
    <w:rsid w:val="00763F41"/>
    <w:rsid w:val="007644D2"/>
    <w:rsid w:val="00764659"/>
    <w:rsid w:val="00764707"/>
    <w:rsid w:val="0076480B"/>
    <w:rsid w:val="00764DBF"/>
    <w:rsid w:val="007650A2"/>
    <w:rsid w:val="0076553F"/>
    <w:rsid w:val="007655BE"/>
    <w:rsid w:val="0076586E"/>
    <w:rsid w:val="00765920"/>
    <w:rsid w:val="00765942"/>
    <w:rsid w:val="00765A15"/>
    <w:rsid w:val="00765C07"/>
    <w:rsid w:val="00765F0E"/>
    <w:rsid w:val="00766194"/>
    <w:rsid w:val="00766747"/>
    <w:rsid w:val="00766990"/>
    <w:rsid w:val="00766EA7"/>
    <w:rsid w:val="00767244"/>
    <w:rsid w:val="00767321"/>
    <w:rsid w:val="00767477"/>
    <w:rsid w:val="00767933"/>
    <w:rsid w:val="007679A9"/>
    <w:rsid w:val="00767CEE"/>
    <w:rsid w:val="00767D57"/>
    <w:rsid w:val="00767D7B"/>
    <w:rsid w:val="00767DB2"/>
    <w:rsid w:val="00770090"/>
    <w:rsid w:val="00770095"/>
    <w:rsid w:val="007703EE"/>
    <w:rsid w:val="0077044A"/>
    <w:rsid w:val="00770527"/>
    <w:rsid w:val="00770AB9"/>
    <w:rsid w:val="00770C41"/>
    <w:rsid w:val="00770CDF"/>
    <w:rsid w:val="00770E8A"/>
    <w:rsid w:val="00770F90"/>
    <w:rsid w:val="00771059"/>
    <w:rsid w:val="00771119"/>
    <w:rsid w:val="007711FA"/>
    <w:rsid w:val="007713E9"/>
    <w:rsid w:val="007718DF"/>
    <w:rsid w:val="007719A1"/>
    <w:rsid w:val="00771A95"/>
    <w:rsid w:val="00772161"/>
    <w:rsid w:val="007722F4"/>
    <w:rsid w:val="0077277F"/>
    <w:rsid w:val="00772817"/>
    <w:rsid w:val="00772960"/>
    <w:rsid w:val="00772A93"/>
    <w:rsid w:val="00772F30"/>
    <w:rsid w:val="00772FA7"/>
    <w:rsid w:val="00773061"/>
    <w:rsid w:val="0077313D"/>
    <w:rsid w:val="00773282"/>
    <w:rsid w:val="007732E0"/>
    <w:rsid w:val="007735B0"/>
    <w:rsid w:val="00773859"/>
    <w:rsid w:val="0077397A"/>
    <w:rsid w:val="00773981"/>
    <w:rsid w:val="00773EC4"/>
    <w:rsid w:val="007746DB"/>
    <w:rsid w:val="00774A5F"/>
    <w:rsid w:val="00774C90"/>
    <w:rsid w:val="00774EF6"/>
    <w:rsid w:val="00775171"/>
    <w:rsid w:val="007751D2"/>
    <w:rsid w:val="0077545B"/>
    <w:rsid w:val="007759F6"/>
    <w:rsid w:val="00775A9C"/>
    <w:rsid w:val="00775AFF"/>
    <w:rsid w:val="00776032"/>
    <w:rsid w:val="007764DE"/>
    <w:rsid w:val="0077686B"/>
    <w:rsid w:val="00776939"/>
    <w:rsid w:val="0077758E"/>
    <w:rsid w:val="00777A00"/>
    <w:rsid w:val="00777BDE"/>
    <w:rsid w:val="00777BDF"/>
    <w:rsid w:val="00777D33"/>
    <w:rsid w:val="00777D85"/>
    <w:rsid w:val="00777F95"/>
    <w:rsid w:val="00777FF7"/>
    <w:rsid w:val="00780140"/>
    <w:rsid w:val="0078017A"/>
    <w:rsid w:val="007801BE"/>
    <w:rsid w:val="007803D3"/>
    <w:rsid w:val="00780842"/>
    <w:rsid w:val="0078086D"/>
    <w:rsid w:val="00780AE1"/>
    <w:rsid w:val="00780F3F"/>
    <w:rsid w:val="0078102D"/>
    <w:rsid w:val="00781224"/>
    <w:rsid w:val="0078123D"/>
    <w:rsid w:val="0078150E"/>
    <w:rsid w:val="007816E8"/>
    <w:rsid w:val="00781721"/>
    <w:rsid w:val="00781744"/>
    <w:rsid w:val="00781753"/>
    <w:rsid w:val="00781A43"/>
    <w:rsid w:val="00781ADF"/>
    <w:rsid w:val="00781EA4"/>
    <w:rsid w:val="00781F6A"/>
    <w:rsid w:val="007825D4"/>
    <w:rsid w:val="00782AEB"/>
    <w:rsid w:val="0078326A"/>
    <w:rsid w:val="00783271"/>
    <w:rsid w:val="007833DB"/>
    <w:rsid w:val="007833EF"/>
    <w:rsid w:val="007833FE"/>
    <w:rsid w:val="007835A2"/>
    <w:rsid w:val="00783786"/>
    <w:rsid w:val="00783A17"/>
    <w:rsid w:val="00783A2E"/>
    <w:rsid w:val="00783AD8"/>
    <w:rsid w:val="00783C8D"/>
    <w:rsid w:val="00783CE2"/>
    <w:rsid w:val="00783D9C"/>
    <w:rsid w:val="0078414A"/>
    <w:rsid w:val="00784570"/>
    <w:rsid w:val="007845C9"/>
    <w:rsid w:val="00784740"/>
    <w:rsid w:val="007847C1"/>
    <w:rsid w:val="00784938"/>
    <w:rsid w:val="00784B81"/>
    <w:rsid w:val="00784CF8"/>
    <w:rsid w:val="007857BA"/>
    <w:rsid w:val="0078597D"/>
    <w:rsid w:val="00785A4B"/>
    <w:rsid w:val="00785C66"/>
    <w:rsid w:val="00785D05"/>
    <w:rsid w:val="00785D29"/>
    <w:rsid w:val="00785D6B"/>
    <w:rsid w:val="00785DE8"/>
    <w:rsid w:val="007861B7"/>
    <w:rsid w:val="007865B5"/>
    <w:rsid w:val="007865FF"/>
    <w:rsid w:val="00786738"/>
    <w:rsid w:val="00786B6D"/>
    <w:rsid w:val="00786EA7"/>
    <w:rsid w:val="00786F47"/>
    <w:rsid w:val="00786FC6"/>
    <w:rsid w:val="007875BE"/>
    <w:rsid w:val="007875D9"/>
    <w:rsid w:val="0078774B"/>
    <w:rsid w:val="00787A15"/>
    <w:rsid w:val="00787CA8"/>
    <w:rsid w:val="00790182"/>
    <w:rsid w:val="00790232"/>
    <w:rsid w:val="00790259"/>
    <w:rsid w:val="0079086E"/>
    <w:rsid w:val="00790C2C"/>
    <w:rsid w:val="00790C6D"/>
    <w:rsid w:val="00790DA7"/>
    <w:rsid w:val="007910EB"/>
    <w:rsid w:val="00791269"/>
    <w:rsid w:val="00791563"/>
    <w:rsid w:val="00791881"/>
    <w:rsid w:val="007918F7"/>
    <w:rsid w:val="00791952"/>
    <w:rsid w:val="00791958"/>
    <w:rsid w:val="00791B01"/>
    <w:rsid w:val="00791FA6"/>
    <w:rsid w:val="00792C2A"/>
    <w:rsid w:val="00792CA6"/>
    <w:rsid w:val="00792CB9"/>
    <w:rsid w:val="00792D46"/>
    <w:rsid w:val="007930D0"/>
    <w:rsid w:val="0079317C"/>
    <w:rsid w:val="00793280"/>
    <w:rsid w:val="007932F6"/>
    <w:rsid w:val="0079346C"/>
    <w:rsid w:val="00793730"/>
    <w:rsid w:val="007937DF"/>
    <w:rsid w:val="00793F4F"/>
    <w:rsid w:val="00794016"/>
    <w:rsid w:val="007941FC"/>
    <w:rsid w:val="007945A5"/>
    <w:rsid w:val="007946FD"/>
    <w:rsid w:val="00794BDE"/>
    <w:rsid w:val="00794CC4"/>
    <w:rsid w:val="007952FC"/>
    <w:rsid w:val="00795304"/>
    <w:rsid w:val="00795374"/>
    <w:rsid w:val="0079548E"/>
    <w:rsid w:val="0079581D"/>
    <w:rsid w:val="00795826"/>
    <w:rsid w:val="0079592E"/>
    <w:rsid w:val="00795AFA"/>
    <w:rsid w:val="00795CD9"/>
    <w:rsid w:val="00795FE4"/>
    <w:rsid w:val="00796170"/>
    <w:rsid w:val="007963E6"/>
    <w:rsid w:val="00796564"/>
    <w:rsid w:val="00796669"/>
    <w:rsid w:val="007966D3"/>
    <w:rsid w:val="0079691F"/>
    <w:rsid w:val="00796AA6"/>
    <w:rsid w:val="00796D4A"/>
    <w:rsid w:val="00796FC6"/>
    <w:rsid w:val="007973FB"/>
    <w:rsid w:val="00797866"/>
    <w:rsid w:val="007978CC"/>
    <w:rsid w:val="00797A49"/>
    <w:rsid w:val="00797B02"/>
    <w:rsid w:val="00797BD7"/>
    <w:rsid w:val="00797DDC"/>
    <w:rsid w:val="007A04A3"/>
    <w:rsid w:val="007A06A6"/>
    <w:rsid w:val="007A0707"/>
    <w:rsid w:val="007A09E5"/>
    <w:rsid w:val="007A0FF6"/>
    <w:rsid w:val="007A1135"/>
    <w:rsid w:val="007A12C5"/>
    <w:rsid w:val="007A1497"/>
    <w:rsid w:val="007A163C"/>
    <w:rsid w:val="007A1652"/>
    <w:rsid w:val="007A16BA"/>
    <w:rsid w:val="007A1B2C"/>
    <w:rsid w:val="007A1CD3"/>
    <w:rsid w:val="007A1CF0"/>
    <w:rsid w:val="007A1E17"/>
    <w:rsid w:val="007A2014"/>
    <w:rsid w:val="007A204D"/>
    <w:rsid w:val="007A20DC"/>
    <w:rsid w:val="007A2394"/>
    <w:rsid w:val="007A23FC"/>
    <w:rsid w:val="007A2657"/>
    <w:rsid w:val="007A28BE"/>
    <w:rsid w:val="007A2A65"/>
    <w:rsid w:val="007A2DB7"/>
    <w:rsid w:val="007A367C"/>
    <w:rsid w:val="007A37BE"/>
    <w:rsid w:val="007A3B44"/>
    <w:rsid w:val="007A3D74"/>
    <w:rsid w:val="007A4550"/>
    <w:rsid w:val="007A468D"/>
    <w:rsid w:val="007A4A71"/>
    <w:rsid w:val="007A4C13"/>
    <w:rsid w:val="007A4D90"/>
    <w:rsid w:val="007A50D1"/>
    <w:rsid w:val="007A5260"/>
    <w:rsid w:val="007A5571"/>
    <w:rsid w:val="007A5C70"/>
    <w:rsid w:val="007A6BE2"/>
    <w:rsid w:val="007A7031"/>
    <w:rsid w:val="007A7379"/>
    <w:rsid w:val="007A7463"/>
    <w:rsid w:val="007A7B40"/>
    <w:rsid w:val="007A7C70"/>
    <w:rsid w:val="007B04D0"/>
    <w:rsid w:val="007B0B11"/>
    <w:rsid w:val="007B0E23"/>
    <w:rsid w:val="007B0F59"/>
    <w:rsid w:val="007B111A"/>
    <w:rsid w:val="007B11EC"/>
    <w:rsid w:val="007B1460"/>
    <w:rsid w:val="007B185A"/>
    <w:rsid w:val="007B1CF3"/>
    <w:rsid w:val="007B1D94"/>
    <w:rsid w:val="007B2348"/>
    <w:rsid w:val="007B23C7"/>
    <w:rsid w:val="007B27F2"/>
    <w:rsid w:val="007B281A"/>
    <w:rsid w:val="007B2C0E"/>
    <w:rsid w:val="007B2C9B"/>
    <w:rsid w:val="007B2CBA"/>
    <w:rsid w:val="007B304F"/>
    <w:rsid w:val="007B3B67"/>
    <w:rsid w:val="007B3C09"/>
    <w:rsid w:val="007B3EC3"/>
    <w:rsid w:val="007B3F1D"/>
    <w:rsid w:val="007B3F43"/>
    <w:rsid w:val="007B4174"/>
    <w:rsid w:val="007B4373"/>
    <w:rsid w:val="007B469E"/>
    <w:rsid w:val="007B48AC"/>
    <w:rsid w:val="007B4909"/>
    <w:rsid w:val="007B4ABD"/>
    <w:rsid w:val="007B4B1B"/>
    <w:rsid w:val="007B4CC4"/>
    <w:rsid w:val="007B51EA"/>
    <w:rsid w:val="007B56FE"/>
    <w:rsid w:val="007B5738"/>
    <w:rsid w:val="007B5AC4"/>
    <w:rsid w:val="007B5B0C"/>
    <w:rsid w:val="007B5BAC"/>
    <w:rsid w:val="007B5D74"/>
    <w:rsid w:val="007B5EE9"/>
    <w:rsid w:val="007B60CA"/>
    <w:rsid w:val="007B6B39"/>
    <w:rsid w:val="007B7533"/>
    <w:rsid w:val="007B75F4"/>
    <w:rsid w:val="007B760F"/>
    <w:rsid w:val="007B7814"/>
    <w:rsid w:val="007B7A5A"/>
    <w:rsid w:val="007B7C9B"/>
    <w:rsid w:val="007C0084"/>
    <w:rsid w:val="007C035A"/>
    <w:rsid w:val="007C0441"/>
    <w:rsid w:val="007C0444"/>
    <w:rsid w:val="007C0535"/>
    <w:rsid w:val="007C06BA"/>
    <w:rsid w:val="007C0736"/>
    <w:rsid w:val="007C09FC"/>
    <w:rsid w:val="007C1062"/>
    <w:rsid w:val="007C109E"/>
    <w:rsid w:val="007C1688"/>
    <w:rsid w:val="007C176C"/>
    <w:rsid w:val="007C17EA"/>
    <w:rsid w:val="007C1888"/>
    <w:rsid w:val="007C1D3D"/>
    <w:rsid w:val="007C1F75"/>
    <w:rsid w:val="007C20C5"/>
    <w:rsid w:val="007C246B"/>
    <w:rsid w:val="007C3016"/>
    <w:rsid w:val="007C306C"/>
    <w:rsid w:val="007C30CB"/>
    <w:rsid w:val="007C343A"/>
    <w:rsid w:val="007C386D"/>
    <w:rsid w:val="007C3C0B"/>
    <w:rsid w:val="007C400E"/>
    <w:rsid w:val="007C4129"/>
    <w:rsid w:val="007C44F8"/>
    <w:rsid w:val="007C4722"/>
    <w:rsid w:val="007C4B2D"/>
    <w:rsid w:val="007C4BE6"/>
    <w:rsid w:val="007C4BF1"/>
    <w:rsid w:val="007C50B2"/>
    <w:rsid w:val="007C53DD"/>
    <w:rsid w:val="007C55F3"/>
    <w:rsid w:val="007C5858"/>
    <w:rsid w:val="007C5DB8"/>
    <w:rsid w:val="007C5E8F"/>
    <w:rsid w:val="007C5FD1"/>
    <w:rsid w:val="007C63C7"/>
    <w:rsid w:val="007C6B6B"/>
    <w:rsid w:val="007C6D78"/>
    <w:rsid w:val="007C711C"/>
    <w:rsid w:val="007C725F"/>
    <w:rsid w:val="007C7344"/>
    <w:rsid w:val="007C7373"/>
    <w:rsid w:val="007C7615"/>
    <w:rsid w:val="007C7AF3"/>
    <w:rsid w:val="007C7D65"/>
    <w:rsid w:val="007D013F"/>
    <w:rsid w:val="007D03C5"/>
    <w:rsid w:val="007D0D58"/>
    <w:rsid w:val="007D0E65"/>
    <w:rsid w:val="007D0EDE"/>
    <w:rsid w:val="007D0F83"/>
    <w:rsid w:val="007D132C"/>
    <w:rsid w:val="007D133C"/>
    <w:rsid w:val="007D1CB7"/>
    <w:rsid w:val="007D1F67"/>
    <w:rsid w:val="007D21D4"/>
    <w:rsid w:val="007D23EB"/>
    <w:rsid w:val="007D256B"/>
    <w:rsid w:val="007D2A2C"/>
    <w:rsid w:val="007D2C28"/>
    <w:rsid w:val="007D2E36"/>
    <w:rsid w:val="007D3038"/>
    <w:rsid w:val="007D31BE"/>
    <w:rsid w:val="007D31E1"/>
    <w:rsid w:val="007D335E"/>
    <w:rsid w:val="007D3363"/>
    <w:rsid w:val="007D3639"/>
    <w:rsid w:val="007D3662"/>
    <w:rsid w:val="007D3888"/>
    <w:rsid w:val="007D3B81"/>
    <w:rsid w:val="007D45A7"/>
    <w:rsid w:val="007D4D92"/>
    <w:rsid w:val="007D4E38"/>
    <w:rsid w:val="007D4EDB"/>
    <w:rsid w:val="007D5468"/>
    <w:rsid w:val="007D5617"/>
    <w:rsid w:val="007D5749"/>
    <w:rsid w:val="007D6421"/>
    <w:rsid w:val="007D67BC"/>
    <w:rsid w:val="007D695C"/>
    <w:rsid w:val="007D6998"/>
    <w:rsid w:val="007D7077"/>
    <w:rsid w:val="007D7135"/>
    <w:rsid w:val="007D71B2"/>
    <w:rsid w:val="007D765A"/>
    <w:rsid w:val="007D7801"/>
    <w:rsid w:val="007D7BCC"/>
    <w:rsid w:val="007D7E23"/>
    <w:rsid w:val="007D7E65"/>
    <w:rsid w:val="007D7FFC"/>
    <w:rsid w:val="007E0333"/>
    <w:rsid w:val="007E04C7"/>
    <w:rsid w:val="007E04EA"/>
    <w:rsid w:val="007E065C"/>
    <w:rsid w:val="007E0B52"/>
    <w:rsid w:val="007E0B77"/>
    <w:rsid w:val="007E0EA5"/>
    <w:rsid w:val="007E1763"/>
    <w:rsid w:val="007E1765"/>
    <w:rsid w:val="007E179E"/>
    <w:rsid w:val="007E185C"/>
    <w:rsid w:val="007E1D8F"/>
    <w:rsid w:val="007E1DD5"/>
    <w:rsid w:val="007E1F25"/>
    <w:rsid w:val="007E2143"/>
    <w:rsid w:val="007E358F"/>
    <w:rsid w:val="007E3FA4"/>
    <w:rsid w:val="007E4013"/>
    <w:rsid w:val="007E40B3"/>
    <w:rsid w:val="007E42A5"/>
    <w:rsid w:val="007E4571"/>
    <w:rsid w:val="007E47B3"/>
    <w:rsid w:val="007E4882"/>
    <w:rsid w:val="007E4D76"/>
    <w:rsid w:val="007E4DBA"/>
    <w:rsid w:val="007E4FEE"/>
    <w:rsid w:val="007E4FFC"/>
    <w:rsid w:val="007E50BA"/>
    <w:rsid w:val="007E54D5"/>
    <w:rsid w:val="007E5976"/>
    <w:rsid w:val="007E60EE"/>
    <w:rsid w:val="007E61EC"/>
    <w:rsid w:val="007E6287"/>
    <w:rsid w:val="007E66A7"/>
    <w:rsid w:val="007E68CB"/>
    <w:rsid w:val="007E6A90"/>
    <w:rsid w:val="007E6E5D"/>
    <w:rsid w:val="007E751D"/>
    <w:rsid w:val="007E78D9"/>
    <w:rsid w:val="007E796C"/>
    <w:rsid w:val="007E7AB9"/>
    <w:rsid w:val="007E7FDB"/>
    <w:rsid w:val="007F0687"/>
    <w:rsid w:val="007F0698"/>
    <w:rsid w:val="007F07A8"/>
    <w:rsid w:val="007F09CC"/>
    <w:rsid w:val="007F0CEB"/>
    <w:rsid w:val="007F1184"/>
    <w:rsid w:val="007F1381"/>
    <w:rsid w:val="007F1517"/>
    <w:rsid w:val="007F1AF7"/>
    <w:rsid w:val="007F1E17"/>
    <w:rsid w:val="007F20B6"/>
    <w:rsid w:val="007F2395"/>
    <w:rsid w:val="007F280D"/>
    <w:rsid w:val="007F28B4"/>
    <w:rsid w:val="007F2D70"/>
    <w:rsid w:val="007F2ECE"/>
    <w:rsid w:val="007F3118"/>
    <w:rsid w:val="007F34F8"/>
    <w:rsid w:val="007F3914"/>
    <w:rsid w:val="007F3B79"/>
    <w:rsid w:val="007F3BCB"/>
    <w:rsid w:val="007F3F0B"/>
    <w:rsid w:val="007F438E"/>
    <w:rsid w:val="007F45FA"/>
    <w:rsid w:val="007F46FA"/>
    <w:rsid w:val="007F5B80"/>
    <w:rsid w:val="007F5DB2"/>
    <w:rsid w:val="007F6308"/>
    <w:rsid w:val="007F65A8"/>
    <w:rsid w:val="007F65BB"/>
    <w:rsid w:val="007F68B8"/>
    <w:rsid w:val="007F68F9"/>
    <w:rsid w:val="007F6CE9"/>
    <w:rsid w:val="007F6F57"/>
    <w:rsid w:val="007F7106"/>
    <w:rsid w:val="007F7570"/>
    <w:rsid w:val="007F778C"/>
    <w:rsid w:val="007F7880"/>
    <w:rsid w:val="007F7CDB"/>
    <w:rsid w:val="007F7DFD"/>
    <w:rsid w:val="00801238"/>
    <w:rsid w:val="008012CE"/>
    <w:rsid w:val="00801927"/>
    <w:rsid w:val="00801E82"/>
    <w:rsid w:val="0080244F"/>
    <w:rsid w:val="008024D2"/>
    <w:rsid w:val="008029E8"/>
    <w:rsid w:val="008029FD"/>
    <w:rsid w:val="00802C1A"/>
    <w:rsid w:val="00802E37"/>
    <w:rsid w:val="00802FC8"/>
    <w:rsid w:val="008035CA"/>
    <w:rsid w:val="008035F6"/>
    <w:rsid w:val="0080391F"/>
    <w:rsid w:val="00803971"/>
    <w:rsid w:val="00803A00"/>
    <w:rsid w:val="00803A7C"/>
    <w:rsid w:val="00803C14"/>
    <w:rsid w:val="00803F89"/>
    <w:rsid w:val="008040FA"/>
    <w:rsid w:val="00804101"/>
    <w:rsid w:val="008044EA"/>
    <w:rsid w:val="00804847"/>
    <w:rsid w:val="00804888"/>
    <w:rsid w:val="00804D13"/>
    <w:rsid w:val="00805EAD"/>
    <w:rsid w:val="00805ED7"/>
    <w:rsid w:val="00805F46"/>
    <w:rsid w:val="00806931"/>
    <w:rsid w:val="00806E22"/>
    <w:rsid w:val="00806E90"/>
    <w:rsid w:val="008075AC"/>
    <w:rsid w:val="0080764C"/>
    <w:rsid w:val="00807950"/>
    <w:rsid w:val="008079A8"/>
    <w:rsid w:val="00807B2F"/>
    <w:rsid w:val="00807BEA"/>
    <w:rsid w:val="00807D7B"/>
    <w:rsid w:val="00807F43"/>
    <w:rsid w:val="0081009E"/>
    <w:rsid w:val="0081033E"/>
    <w:rsid w:val="008106F6"/>
    <w:rsid w:val="00810935"/>
    <w:rsid w:val="008109FA"/>
    <w:rsid w:val="00810ABF"/>
    <w:rsid w:val="00810D13"/>
    <w:rsid w:val="00811425"/>
    <w:rsid w:val="00811550"/>
    <w:rsid w:val="00811556"/>
    <w:rsid w:val="008115E8"/>
    <w:rsid w:val="008116DD"/>
    <w:rsid w:val="008118F9"/>
    <w:rsid w:val="00811ADC"/>
    <w:rsid w:val="00811D24"/>
    <w:rsid w:val="008121C4"/>
    <w:rsid w:val="008125E5"/>
    <w:rsid w:val="00812868"/>
    <w:rsid w:val="0081290C"/>
    <w:rsid w:val="008132CF"/>
    <w:rsid w:val="008138B9"/>
    <w:rsid w:val="00813C91"/>
    <w:rsid w:val="00813F06"/>
    <w:rsid w:val="008140AE"/>
    <w:rsid w:val="00814334"/>
    <w:rsid w:val="0081434C"/>
    <w:rsid w:val="00814421"/>
    <w:rsid w:val="00814654"/>
    <w:rsid w:val="008147DA"/>
    <w:rsid w:val="00814D1B"/>
    <w:rsid w:val="00814D38"/>
    <w:rsid w:val="00814E85"/>
    <w:rsid w:val="00814F5A"/>
    <w:rsid w:val="0081559B"/>
    <w:rsid w:val="00815748"/>
    <w:rsid w:val="00815891"/>
    <w:rsid w:val="00815DAD"/>
    <w:rsid w:val="00815E54"/>
    <w:rsid w:val="00815F6C"/>
    <w:rsid w:val="00815FC4"/>
    <w:rsid w:val="00816015"/>
    <w:rsid w:val="0081620C"/>
    <w:rsid w:val="00816C82"/>
    <w:rsid w:val="00816FE6"/>
    <w:rsid w:val="00817073"/>
    <w:rsid w:val="008170E6"/>
    <w:rsid w:val="008171C3"/>
    <w:rsid w:val="008174C4"/>
    <w:rsid w:val="00817649"/>
    <w:rsid w:val="00817DF6"/>
    <w:rsid w:val="00817E14"/>
    <w:rsid w:val="008208E2"/>
    <w:rsid w:val="00820E39"/>
    <w:rsid w:val="008213F8"/>
    <w:rsid w:val="008217C8"/>
    <w:rsid w:val="00821856"/>
    <w:rsid w:val="0082185D"/>
    <w:rsid w:val="00821CC0"/>
    <w:rsid w:val="00821E43"/>
    <w:rsid w:val="00821EFD"/>
    <w:rsid w:val="008223CD"/>
    <w:rsid w:val="008226C7"/>
    <w:rsid w:val="00822A2A"/>
    <w:rsid w:val="00822AEE"/>
    <w:rsid w:val="00822B9F"/>
    <w:rsid w:val="00822BB0"/>
    <w:rsid w:val="00822C81"/>
    <w:rsid w:val="00822F2E"/>
    <w:rsid w:val="00823002"/>
    <w:rsid w:val="0082306F"/>
    <w:rsid w:val="0082342E"/>
    <w:rsid w:val="00823627"/>
    <w:rsid w:val="00823C9E"/>
    <w:rsid w:val="00823F6F"/>
    <w:rsid w:val="0082455C"/>
    <w:rsid w:val="008245DA"/>
    <w:rsid w:val="00824720"/>
    <w:rsid w:val="00824800"/>
    <w:rsid w:val="008249F5"/>
    <w:rsid w:val="00824C03"/>
    <w:rsid w:val="00824EF6"/>
    <w:rsid w:val="00825029"/>
    <w:rsid w:val="00825846"/>
    <w:rsid w:val="00825A86"/>
    <w:rsid w:val="00825DE4"/>
    <w:rsid w:val="00825EA0"/>
    <w:rsid w:val="00825F2A"/>
    <w:rsid w:val="0082604B"/>
    <w:rsid w:val="00826239"/>
    <w:rsid w:val="00826492"/>
    <w:rsid w:val="008266E9"/>
    <w:rsid w:val="008268A2"/>
    <w:rsid w:val="00826A87"/>
    <w:rsid w:val="00826D7F"/>
    <w:rsid w:val="00826E6F"/>
    <w:rsid w:val="00826EDE"/>
    <w:rsid w:val="00826F89"/>
    <w:rsid w:val="00827276"/>
    <w:rsid w:val="008272C3"/>
    <w:rsid w:val="00827389"/>
    <w:rsid w:val="0082757D"/>
    <w:rsid w:val="008275EB"/>
    <w:rsid w:val="0082768B"/>
    <w:rsid w:val="00827A01"/>
    <w:rsid w:val="00827B26"/>
    <w:rsid w:val="00827FC2"/>
    <w:rsid w:val="00827FDF"/>
    <w:rsid w:val="0083004A"/>
    <w:rsid w:val="008300ED"/>
    <w:rsid w:val="0083010D"/>
    <w:rsid w:val="00830544"/>
    <w:rsid w:val="00830A8B"/>
    <w:rsid w:val="008312C5"/>
    <w:rsid w:val="00831453"/>
    <w:rsid w:val="0083170B"/>
    <w:rsid w:val="00831784"/>
    <w:rsid w:val="00831B65"/>
    <w:rsid w:val="00831FC6"/>
    <w:rsid w:val="00832352"/>
    <w:rsid w:val="00832836"/>
    <w:rsid w:val="00832A1D"/>
    <w:rsid w:val="00832EA6"/>
    <w:rsid w:val="0083309C"/>
    <w:rsid w:val="0083309E"/>
    <w:rsid w:val="0083321E"/>
    <w:rsid w:val="008335F3"/>
    <w:rsid w:val="00833B24"/>
    <w:rsid w:val="00833E14"/>
    <w:rsid w:val="00834114"/>
    <w:rsid w:val="0083444A"/>
    <w:rsid w:val="00834AB9"/>
    <w:rsid w:val="00834ACE"/>
    <w:rsid w:val="00834C23"/>
    <w:rsid w:val="00834D98"/>
    <w:rsid w:val="00835055"/>
    <w:rsid w:val="0083532C"/>
    <w:rsid w:val="008357DE"/>
    <w:rsid w:val="008358FE"/>
    <w:rsid w:val="00835B26"/>
    <w:rsid w:val="008363DC"/>
    <w:rsid w:val="008363E8"/>
    <w:rsid w:val="00836488"/>
    <w:rsid w:val="008365CD"/>
    <w:rsid w:val="008365FE"/>
    <w:rsid w:val="00836680"/>
    <w:rsid w:val="008366FA"/>
    <w:rsid w:val="00836976"/>
    <w:rsid w:val="00836F1E"/>
    <w:rsid w:val="00836FBC"/>
    <w:rsid w:val="0083704A"/>
    <w:rsid w:val="00837114"/>
    <w:rsid w:val="0083771E"/>
    <w:rsid w:val="008377A3"/>
    <w:rsid w:val="0083783C"/>
    <w:rsid w:val="00837CF2"/>
    <w:rsid w:val="00837E35"/>
    <w:rsid w:val="00837ECF"/>
    <w:rsid w:val="0084000B"/>
    <w:rsid w:val="00840544"/>
    <w:rsid w:val="00840573"/>
    <w:rsid w:val="00840581"/>
    <w:rsid w:val="008406BA"/>
    <w:rsid w:val="008407BB"/>
    <w:rsid w:val="008412DD"/>
    <w:rsid w:val="00841439"/>
    <w:rsid w:val="00841520"/>
    <w:rsid w:val="008420F6"/>
    <w:rsid w:val="00842157"/>
    <w:rsid w:val="0084249E"/>
    <w:rsid w:val="0084250F"/>
    <w:rsid w:val="0084269B"/>
    <w:rsid w:val="0084292E"/>
    <w:rsid w:val="00842A25"/>
    <w:rsid w:val="00842B06"/>
    <w:rsid w:val="00842BBD"/>
    <w:rsid w:val="00842F9A"/>
    <w:rsid w:val="00842FC4"/>
    <w:rsid w:val="0084311C"/>
    <w:rsid w:val="008431C8"/>
    <w:rsid w:val="008436F9"/>
    <w:rsid w:val="00843C9B"/>
    <w:rsid w:val="00843D05"/>
    <w:rsid w:val="00843D17"/>
    <w:rsid w:val="008440C8"/>
    <w:rsid w:val="00844278"/>
    <w:rsid w:val="008443E8"/>
    <w:rsid w:val="0084457E"/>
    <w:rsid w:val="00844673"/>
    <w:rsid w:val="00844F38"/>
    <w:rsid w:val="00845098"/>
    <w:rsid w:val="00845228"/>
    <w:rsid w:val="0084549A"/>
    <w:rsid w:val="008456D6"/>
    <w:rsid w:val="00845CE6"/>
    <w:rsid w:val="00845D77"/>
    <w:rsid w:val="00845F5F"/>
    <w:rsid w:val="00846002"/>
    <w:rsid w:val="008460E8"/>
    <w:rsid w:val="00846197"/>
    <w:rsid w:val="008463BB"/>
    <w:rsid w:val="008467A2"/>
    <w:rsid w:val="008471C1"/>
    <w:rsid w:val="00847308"/>
    <w:rsid w:val="008474B9"/>
    <w:rsid w:val="0084780C"/>
    <w:rsid w:val="008478D0"/>
    <w:rsid w:val="00847A41"/>
    <w:rsid w:val="0085001D"/>
    <w:rsid w:val="00850B5A"/>
    <w:rsid w:val="00850C5F"/>
    <w:rsid w:val="00850F5B"/>
    <w:rsid w:val="00851261"/>
    <w:rsid w:val="00851554"/>
    <w:rsid w:val="0085195C"/>
    <w:rsid w:val="00851965"/>
    <w:rsid w:val="008519DF"/>
    <w:rsid w:val="00851A24"/>
    <w:rsid w:val="00852144"/>
    <w:rsid w:val="0085229F"/>
    <w:rsid w:val="00852425"/>
    <w:rsid w:val="008526B4"/>
    <w:rsid w:val="00853011"/>
    <w:rsid w:val="008533CE"/>
    <w:rsid w:val="00853412"/>
    <w:rsid w:val="0085356B"/>
    <w:rsid w:val="008535A5"/>
    <w:rsid w:val="00853870"/>
    <w:rsid w:val="00853A35"/>
    <w:rsid w:val="008540EF"/>
    <w:rsid w:val="008546B1"/>
    <w:rsid w:val="00854739"/>
    <w:rsid w:val="00854D37"/>
    <w:rsid w:val="00854F14"/>
    <w:rsid w:val="00855188"/>
    <w:rsid w:val="00855320"/>
    <w:rsid w:val="008557D5"/>
    <w:rsid w:val="00855995"/>
    <w:rsid w:val="00855CAD"/>
    <w:rsid w:val="00856469"/>
    <w:rsid w:val="008564B3"/>
    <w:rsid w:val="00856864"/>
    <w:rsid w:val="008569C2"/>
    <w:rsid w:val="008569EC"/>
    <w:rsid w:val="00856AD4"/>
    <w:rsid w:val="00856E32"/>
    <w:rsid w:val="0085716C"/>
    <w:rsid w:val="008573B2"/>
    <w:rsid w:val="00857594"/>
    <w:rsid w:val="00857A15"/>
    <w:rsid w:val="00857AEF"/>
    <w:rsid w:val="00857BE6"/>
    <w:rsid w:val="00857DD6"/>
    <w:rsid w:val="00857EB8"/>
    <w:rsid w:val="00857F9A"/>
    <w:rsid w:val="0086018B"/>
    <w:rsid w:val="00860872"/>
    <w:rsid w:val="0086089B"/>
    <w:rsid w:val="00860924"/>
    <w:rsid w:val="008609D1"/>
    <w:rsid w:val="008613B7"/>
    <w:rsid w:val="0086154B"/>
    <w:rsid w:val="008620D1"/>
    <w:rsid w:val="008622B4"/>
    <w:rsid w:val="00862309"/>
    <w:rsid w:val="00862557"/>
    <w:rsid w:val="0086266A"/>
    <w:rsid w:val="008629EA"/>
    <w:rsid w:val="00862C34"/>
    <w:rsid w:val="008630E1"/>
    <w:rsid w:val="008635BF"/>
    <w:rsid w:val="008635E2"/>
    <w:rsid w:val="0086386B"/>
    <w:rsid w:val="008639BC"/>
    <w:rsid w:val="00863B47"/>
    <w:rsid w:val="00864600"/>
    <w:rsid w:val="00864A67"/>
    <w:rsid w:val="00864C08"/>
    <w:rsid w:val="008652E3"/>
    <w:rsid w:val="00865348"/>
    <w:rsid w:val="008658C8"/>
    <w:rsid w:val="00865DD3"/>
    <w:rsid w:val="00866342"/>
    <w:rsid w:val="008664AC"/>
    <w:rsid w:val="00866564"/>
    <w:rsid w:val="00866598"/>
    <w:rsid w:val="008665F0"/>
    <w:rsid w:val="00867198"/>
    <w:rsid w:val="008671F1"/>
    <w:rsid w:val="00867243"/>
    <w:rsid w:val="008672E2"/>
    <w:rsid w:val="00867335"/>
    <w:rsid w:val="0086779E"/>
    <w:rsid w:val="0086799D"/>
    <w:rsid w:val="00867D19"/>
    <w:rsid w:val="00867D86"/>
    <w:rsid w:val="0087001F"/>
    <w:rsid w:val="008705F9"/>
    <w:rsid w:val="00870920"/>
    <w:rsid w:val="00870FCA"/>
    <w:rsid w:val="008712C5"/>
    <w:rsid w:val="00871319"/>
    <w:rsid w:val="008713EE"/>
    <w:rsid w:val="00871418"/>
    <w:rsid w:val="00871834"/>
    <w:rsid w:val="00871860"/>
    <w:rsid w:val="00871887"/>
    <w:rsid w:val="008718D4"/>
    <w:rsid w:val="00871952"/>
    <w:rsid w:val="00871C1B"/>
    <w:rsid w:val="00871C28"/>
    <w:rsid w:val="00871D15"/>
    <w:rsid w:val="00871D8A"/>
    <w:rsid w:val="00872EA2"/>
    <w:rsid w:val="00873613"/>
    <w:rsid w:val="00873681"/>
    <w:rsid w:val="008738A5"/>
    <w:rsid w:val="00873F04"/>
    <w:rsid w:val="008747AB"/>
    <w:rsid w:val="00874836"/>
    <w:rsid w:val="00874DEF"/>
    <w:rsid w:val="00874E59"/>
    <w:rsid w:val="00874F48"/>
    <w:rsid w:val="0087500F"/>
    <w:rsid w:val="008750D8"/>
    <w:rsid w:val="00875329"/>
    <w:rsid w:val="00875337"/>
    <w:rsid w:val="008753A2"/>
    <w:rsid w:val="0087648E"/>
    <w:rsid w:val="0087655B"/>
    <w:rsid w:val="00876C2C"/>
    <w:rsid w:val="00876FE8"/>
    <w:rsid w:val="0087739D"/>
    <w:rsid w:val="008776D9"/>
    <w:rsid w:val="008779F0"/>
    <w:rsid w:val="00877AFB"/>
    <w:rsid w:val="00877B13"/>
    <w:rsid w:val="00877B7F"/>
    <w:rsid w:val="00877D18"/>
    <w:rsid w:val="0088003F"/>
    <w:rsid w:val="008804FC"/>
    <w:rsid w:val="0088054B"/>
    <w:rsid w:val="00880700"/>
    <w:rsid w:val="00880765"/>
    <w:rsid w:val="00880769"/>
    <w:rsid w:val="008809F9"/>
    <w:rsid w:val="00880C56"/>
    <w:rsid w:val="00880DFE"/>
    <w:rsid w:val="008811DF"/>
    <w:rsid w:val="00881BFF"/>
    <w:rsid w:val="00882057"/>
    <w:rsid w:val="00882461"/>
    <w:rsid w:val="008829D5"/>
    <w:rsid w:val="00882AE5"/>
    <w:rsid w:val="00883440"/>
    <w:rsid w:val="0088348F"/>
    <w:rsid w:val="008834EB"/>
    <w:rsid w:val="008834F6"/>
    <w:rsid w:val="00883A08"/>
    <w:rsid w:val="00883D11"/>
    <w:rsid w:val="00883DE2"/>
    <w:rsid w:val="00883E54"/>
    <w:rsid w:val="00883FC9"/>
    <w:rsid w:val="00884382"/>
    <w:rsid w:val="008846A7"/>
    <w:rsid w:val="00884AA4"/>
    <w:rsid w:val="00884DC0"/>
    <w:rsid w:val="00885134"/>
    <w:rsid w:val="00885162"/>
    <w:rsid w:val="008851A6"/>
    <w:rsid w:val="008851E8"/>
    <w:rsid w:val="0088543C"/>
    <w:rsid w:val="00885A2D"/>
    <w:rsid w:val="00885CED"/>
    <w:rsid w:val="00885F26"/>
    <w:rsid w:val="00885F7A"/>
    <w:rsid w:val="0088601A"/>
    <w:rsid w:val="00886099"/>
    <w:rsid w:val="008861A1"/>
    <w:rsid w:val="00886489"/>
    <w:rsid w:val="008866EA"/>
    <w:rsid w:val="00886707"/>
    <w:rsid w:val="00886BFF"/>
    <w:rsid w:val="008876BF"/>
    <w:rsid w:val="00887937"/>
    <w:rsid w:val="008879AF"/>
    <w:rsid w:val="00887A51"/>
    <w:rsid w:val="00887B93"/>
    <w:rsid w:val="00887DD6"/>
    <w:rsid w:val="00887ED0"/>
    <w:rsid w:val="0089013E"/>
    <w:rsid w:val="008905C9"/>
    <w:rsid w:val="00890659"/>
    <w:rsid w:val="00890D5D"/>
    <w:rsid w:val="00890F40"/>
    <w:rsid w:val="00891119"/>
    <w:rsid w:val="0089113F"/>
    <w:rsid w:val="0089133E"/>
    <w:rsid w:val="008918BF"/>
    <w:rsid w:val="00891EB1"/>
    <w:rsid w:val="008925DF"/>
    <w:rsid w:val="00892B2C"/>
    <w:rsid w:val="00892FF2"/>
    <w:rsid w:val="00893265"/>
    <w:rsid w:val="00893271"/>
    <w:rsid w:val="008932DB"/>
    <w:rsid w:val="00893583"/>
    <w:rsid w:val="008935D5"/>
    <w:rsid w:val="008938D0"/>
    <w:rsid w:val="0089394D"/>
    <w:rsid w:val="00893AFB"/>
    <w:rsid w:val="0089478E"/>
    <w:rsid w:val="0089499D"/>
    <w:rsid w:val="00894EB4"/>
    <w:rsid w:val="00894F94"/>
    <w:rsid w:val="00895246"/>
    <w:rsid w:val="00895542"/>
    <w:rsid w:val="0089555D"/>
    <w:rsid w:val="008956C8"/>
    <w:rsid w:val="0089578D"/>
    <w:rsid w:val="00895896"/>
    <w:rsid w:val="00895D0C"/>
    <w:rsid w:val="00895D91"/>
    <w:rsid w:val="00896102"/>
    <w:rsid w:val="0089641B"/>
    <w:rsid w:val="0089654F"/>
    <w:rsid w:val="008967FF"/>
    <w:rsid w:val="0089680F"/>
    <w:rsid w:val="00896947"/>
    <w:rsid w:val="00896A33"/>
    <w:rsid w:val="00896BB0"/>
    <w:rsid w:val="00896F62"/>
    <w:rsid w:val="00897149"/>
    <w:rsid w:val="008976D7"/>
    <w:rsid w:val="008977F8"/>
    <w:rsid w:val="008978D5"/>
    <w:rsid w:val="00897989"/>
    <w:rsid w:val="00897D7F"/>
    <w:rsid w:val="008A00A2"/>
    <w:rsid w:val="008A00CD"/>
    <w:rsid w:val="008A056B"/>
    <w:rsid w:val="008A05C0"/>
    <w:rsid w:val="008A06D6"/>
    <w:rsid w:val="008A07B4"/>
    <w:rsid w:val="008A0DB5"/>
    <w:rsid w:val="008A0FF4"/>
    <w:rsid w:val="008A1111"/>
    <w:rsid w:val="008A128F"/>
    <w:rsid w:val="008A14FC"/>
    <w:rsid w:val="008A1B9C"/>
    <w:rsid w:val="008A1FB3"/>
    <w:rsid w:val="008A1FDD"/>
    <w:rsid w:val="008A24F3"/>
    <w:rsid w:val="008A25AB"/>
    <w:rsid w:val="008A2860"/>
    <w:rsid w:val="008A294C"/>
    <w:rsid w:val="008A2C16"/>
    <w:rsid w:val="008A2CE5"/>
    <w:rsid w:val="008A334E"/>
    <w:rsid w:val="008A352A"/>
    <w:rsid w:val="008A38B9"/>
    <w:rsid w:val="008A3F1B"/>
    <w:rsid w:val="008A3FCE"/>
    <w:rsid w:val="008A41A7"/>
    <w:rsid w:val="008A4210"/>
    <w:rsid w:val="008A42F6"/>
    <w:rsid w:val="008A443E"/>
    <w:rsid w:val="008A45BF"/>
    <w:rsid w:val="008A47C4"/>
    <w:rsid w:val="008A4AB3"/>
    <w:rsid w:val="008A4B00"/>
    <w:rsid w:val="008A4C69"/>
    <w:rsid w:val="008A4CCA"/>
    <w:rsid w:val="008A4FEC"/>
    <w:rsid w:val="008A524D"/>
    <w:rsid w:val="008A52E6"/>
    <w:rsid w:val="008A53F8"/>
    <w:rsid w:val="008A5623"/>
    <w:rsid w:val="008A591F"/>
    <w:rsid w:val="008A5ACD"/>
    <w:rsid w:val="008A5E82"/>
    <w:rsid w:val="008A5EDA"/>
    <w:rsid w:val="008A611C"/>
    <w:rsid w:val="008A63AE"/>
    <w:rsid w:val="008A673F"/>
    <w:rsid w:val="008A697A"/>
    <w:rsid w:val="008A6A04"/>
    <w:rsid w:val="008A6CEA"/>
    <w:rsid w:val="008A6ED3"/>
    <w:rsid w:val="008A7046"/>
    <w:rsid w:val="008A768F"/>
    <w:rsid w:val="008A76EE"/>
    <w:rsid w:val="008A78F1"/>
    <w:rsid w:val="008A7CC3"/>
    <w:rsid w:val="008A7D3A"/>
    <w:rsid w:val="008A7F14"/>
    <w:rsid w:val="008A7F38"/>
    <w:rsid w:val="008B0249"/>
    <w:rsid w:val="008B0497"/>
    <w:rsid w:val="008B04A9"/>
    <w:rsid w:val="008B0521"/>
    <w:rsid w:val="008B0571"/>
    <w:rsid w:val="008B072D"/>
    <w:rsid w:val="008B0AF1"/>
    <w:rsid w:val="008B0E05"/>
    <w:rsid w:val="008B0F61"/>
    <w:rsid w:val="008B12ED"/>
    <w:rsid w:val="008B15D2"/>
    <w:rsid w:val="008B176C"/>
    <w:rsid w:val="008B17E4"/>
    <w:rsid w:val="008B1962"/>
    <w:rsid w:val="008B19E1"/>
    <w:rsid w:val="008B19EE"/>
    <w:rsid w:val="008B21E2"/>
    <w:rsid w:val="008B2368"/>
    <w:rsid w:val="008B285B"/>
    <w:rsid w:val="008B2C5D"/>
    <w:rsid w:val="008B2DE5"/>
    <w:rsid w:val="008B2F9C"/>
    <w:rsid w:val="008B3654"/>
    <w:rsid w:val="008B3BA2"/>
    <w:rsid w:val="008B3D8F"/>
    <w:rsid w:val="008B4173"/>
    <w:rsid w:val="008B436E"/>
    <w:rsid w:val="008B47FC"/>
    <w:rsid w:val="008B486B"/>
    <w:rsid w:val="008B4B1E"/>
    <w:rsid w:val="008B4BB3"/>
    <w:rsid w:val="008B4FB9"/>
    <w:rsid w:val="008B51C5"/>
    <w:rsid w:val="008B535C"/>
    <w:rsid w:val="008B548B"/>
    <w:rsid w:val="008B5541"/>
    <w:rsid w:val="008B560A"/>
    <w:rsid w:val="008B56EA"/>
    <w:rsid w:val="008B5D1F"/>
    <w:rsid w:val="008B5D2B"/>
    <w:rsid w:val="008B5DEF"/>
    <w:rsid w:val="008B5E65"/>
    <w:rsid w:val="008B6239"/>
    <w:rsid w:val="008B6866"/>
    <w:rsid w:val="008B69F6"/>
    <w:rsid w:val="008B6B2C"/>
    <w:rsid w:val="008B6B5D"/>
    <w:rsid w:val="008B6CDA"/>
    <w:rsid w:val="008B6E34"/>
    <w:rsid w:val="008B71C8"/>
    <w:rsid w:val="008B738F"/>
    <w:rsid w:val="008B740D"/>
    <w:rsid w:val="008C001A"/>
    <w:rsid w:val="008C003F"/>
    <w:rsid w:val="008C00EB"/>
    <w:rsid w:val="008C0FAD"/>
    <w:rsid w:val="008C1063"/>
    <w:rsid w:val="008C1478"/>
    <w:rsid w:val="008C19D0"/>
    <w:rsid w:val="008C1A65"/>
    <w:rsid w:val="008C221A"/>
    <w:rsid w:val="008C2243"/>
    <w:rsid w:val="008C2699"/>
    <w:rsid w:val="008C2763"/>
    <w:rsid w:val="008C2AF4"/>
    <w:rsid w:val="008C2BF2"/>
    <w:rsid w:val="008C2D64"/>
    <w:rsid w:val="008C2DB6"/>
    <w:rsid w:val="008C2E05"/>
    <w:rsid w:val="008C3363"/>
    <w:rsid w:val="008C3617"/>
    <w:rsid w:val="008C3775"/>
    <w:rsid w:val="008C38DA"/>
    <w:rsid w:val="008C39E1"/>
    <w:rsid w:val="008C3DCA"/>
    <w:rsid w:val="008C3E97"/>
    <w:rsid w:val="008C3FE5"/>
    <w:rsid w:val="008C476A"/>
    <w:rsid w:val="008C4DD5"/>
    <w:rsid w:val="008C4FC0"/>
    <w:rsid w:val="008C5692"/>
    <w:rsid w:val="008C5760"/>
    <w:rsid w:val="008C587D"/>
    <w:rsid w:val="008C5C75"/>
    <w:rsid w:val="008C5EB9"/>
    <w:rsid w:val="008C6036"/>
    <w:rsid w:val="008C6289"/>
    <w:rsid w:val="008C68A8"/>
    <w:rsid w:val="008C6B67"/>
    <w:rsid w:val="008C6EEE"/>
    <w:rsid w:val="008C717C"/>
    <w:rsid w:val="008C73A1"/>
    <w:rsid w:val="008C74A1"/>
    <w:rsid w:val="008C74AA"/>
    <w:rsid w:val="008C74D4"/>
    <w:rsid w:val="008C76A6"/>
    <w:rsid w:val="008C7E91"/>
    <w:rsid w:val="008D0459"/>
    <w:rsid w:val="008D04DC"/>
    <w:rsid w:val="008D0557"/>
    <w:rsid w:val="008D1268"/>
    <w:rsid w:val="008D12A6"/>
    <w:rsid w:val="008D131A"/>
    <w:rsid w:val="008D165E"/>
    <w:rsid w:val="008D1ACC"/>
    <w:rsid w:val="008D1E2B"/>
    <w:rsid w:val="008D2344"/>
    <w:rsid w:val="008D2BAD"/>
    <w:rsid w:val="008D2EFE"/>
    <w:rsid w:val="008D306F"/>
    <w:rsid w:val="008D3E91"/>
    <w:rsid w:val="008D43A9"/>
    <w:rsid w:val="008D457B"/>
    <w:rsid w:val="008D47B9"/>
    <w:rsid w:val="008D4C15"/>
    <w:rsid w:val="008D4D42"/>
    <w:rsid w:val="008D4DE4"/>
    <w:rsid w:val="008D509F"/>
    <w:rsid w:val="008D50C0"/>
    <w:rsid w:val="008D548F"/>
    <w:rsid w:val="008D557B"/>
    <w:rsid w:val="008D565B"/>
    <w:rsid w:val="008D595E"/>
    <w:rsid w:val="008D609B"/>
    <w:rsid w:val="008D691F"/>
    <w:rsid w:val="008D6B1C"/>
    <w:rsid w:val="008D7011"/>
    <w:rsid w:val="008D769B"/>
    <w:rsid w:val="008D7A60"/>
    <w:rsid w:val="008D7DA6"/>
    <w:rsid w:val="008D7FD5"/>
    <w:rsid w:val="008E02D0"/>
    <w:rsid w:val="008E0358"/>
    <w:rsid w:val="008E0773"/>
    <w:rsid w:val="008E0D97"/>
    <w:rsid w:val="008E0F67"/>
    <w:rsid w:val="008E10F0"/>
    <w:rsid w:val="008E133B"/>
    <w:rsid w:val="008E154C"/>
    <w:rsid w:val="008E1A87"/>
    <w:rsid w:val="008E1EBE"/>
    <w:rsid w:val="008E1F60"/>
    <w:rsid w:val="008E25ED"/>
    <w:rsid w:val="008E281F"/>
    <w:rsid w:val="008E2893"/>
    <w:rsid w:val="008E2EF5"/>
    <w:rsid w:val="008E2F1B"/>
    <w:rsid w:val="008E311E"/>
    <w:rsid w:val="008E35C2"/>
    <w:rsid w:val="008E3CF8"/>
    <w:rsid w:val="008E3EAA"/>
    <w:rsid w:val="008E43EA"/>
    <w:rsid w:val="008E4856"/>
    <w:rsid w:val="008E4FA9"/>
    <w:rsid w:val="008E4FEF"/>
    <w:rsid w:val="008E5048"/>
    <w:rsid w:val="008E5169"/>
    <w:rsid w:val="008E5261"/>
    <w:rsid w:val="008E556C"/>
    <w:rsid w:val="008E5A88"/>
    <w:rsid w:val="008E64F0"/>
    <w:rsid w:val="008E6516"/>
    <w:rsid w:val="008E65D7"/>
    <w:rsid w:val="008E66AC"/>
    <w:rsid w:val="008E6953"/>
    <w:rsid w:val="008E6B02"/>
    <w:rsid w:val="008E6CE2"/>
    <w:rsid w:val="008E71DA"/>
    <w:rsid w:val="008E71FF"/>
    <w:rsid w:val="008E74D1"/>
    <w:rsid w:val="008E786D"/>
    <w:rsid w:val="008E79BC"/>
    <w:rsid w:val="008E7B50"/>
    <w:rsid w:val="008E7BB4"/>
    <w:rsid w:val="008F00A8"/>
    <w:rsid w:val="008F02EE"/>
    <w:rsid w:val="008F0388"/>
    <w:rsid w:val="008F05E4"/>
    <w:rsid w:val="008F0F18"/>
    <w:rsid w:val="008F1155"/>
    <w:rsid w:val="008F115E"/>
    <w:rsid w:val="008F1175"/>
    <w:rsid w:val="008F1505"/>
    <w:rsid w:val="008F1970"/>
    <w:rsid w:val="008F1C95"/>
    <w:rsid w:val="008F2122"/>
    <w:rsid w:val="008F23B7"/>
    <w:rsid w:val="008F27A7"/>
    <w:rsid w:val="008F2B83"/>
    <w:rsid w:val="008F2BF6"/>
    <w:rsid w:val="008F2DE0"/>
    <w:rsid w:val="008F3560"/>
    <w:rsid w:val="008F3C46"/>
    <w:rsid w:val="008F3D85"/>
    <w:rsid w:val="008F4A48"/>
    <w:rsid w:val="008F5311"/>
    <w:rsid w:val="008F53D6"/>
    <w:rsid w:val="008F5664"/>
    <w:rsid w:val="008F5A71"/>
    <w:rsid w:val="008F6166"/>
    <w:rsid w:val="008F61C5"/>
    <w:rsid w:val="008F6454"/>
    <w:rsid w:val="008F6AC3"/>
    <w:rsid w:val="008F711F"/>
    <w:rsid w:val="008F72CC"/>
    <w:rsid w:val="008F7382"/>
    <w:rsid w:val="008F7AF2"/>
    <w:rsid w:val="008F7BA2"/>
    <w:rsid w:val="008F7C92"/>
    <w:rsid w:val="008F7CF9"/>
    <w:rsid w:val="008F7D82"/>
    <w:rsid w:val="009000D8"/>
    <w:rsid w:val="00900187"/>
    <w:rsid w:val="00900213"/>
    <w:rsid w:val="0090025A"/>
    <w:rsid w:val="009005D5"/>
    <w:rsid w:val="009008F9"/>
    <w:rsid w:val="00900AFF"/>
    <w:rsid w:val="00900D0E"/>
    <w:rsid w:val="00900F8D"/>
    <w:rsid w:val="009010C0"/>
    <w:rsid w:val="00901525"/>
    <w:rsid w:val="009015C8"/>
    <w:rsid w:val="009016D1"/>
    <w:rsid w:val="00901B67"/>
    <w:rsid w:val="00901C13"/>
    <w:rsid w:val="00901C17"/>
    <w:rsid w:val="00902073"/>
    <w:rsid w:val="009020A8"/>
    <w:rsid w:val="009027D5"/>
    <w:rsid w:val="00902866"/>
    <w:rsid w:val="009029D9"/>
    <w:rsid w:val="009029F6"/>
    <w:rsid w:val="00902AB4"/>
    <w:rsid w:val="00902C5D"/>
    <w:rsid w:val="00902D5F"/>
    <w:rsid w:val="00902F72"/>
    <w:rsid w:val="00902F74"/>
    <w:rsid w:val="00902FC4"/>
    <w:rsid w:val="00903154"/>
    <w:rsid w:val="00903333"/>
    <w:rsid w:val="00903E17"/>
    <w:rsid w:val="00903E54"/>
    <w:rsid w:val="00903F97"/>
    <w:rsid w:val="00904053"/>
    <w:rsid w:val="009043BE"/>
    <w:rsid w:val="009043C2"/>
    <w:rsid w:val="00904690"/>
    <w:rsid w:val="0090469A"/>
    <w:rsid w:val="009047AD"/>
    <w:rsid w:val="00904876"/>
    <w:rsid w:val="00904AE3"/>
    <w:rsid w:val="00904C4C"/>
    <w:rsid w:val="00904CA2"/>
    <w:rsid w:val="00904CBF"/>
    <w:rsid w:val="00904F9F"/>
    <w:rsid w:val="00905068"/>
    <w:rsid w:val="00905263"/>
    <w:rsid w:val="00905468"/>
    <w:rsid w:val="0090570E"/>
    <w:rsid w:val="00905754"/>
    <w:rsid w:val="00905CBE"/>
    <w:rsid w:val="00905E33"/>
    <w:rsid w:val="00906791"/>
    <w:rsid w:val="00906A75"/>
    <w:rsid w:val="00906C3A"/>
    <w:rsid w:val="00906D3D"/>
    <w:rsid w:val="00907256"/>
    <w:rsid w:val="00907321"/>
    <w:rsid w:val="00907329"/>
    <w:rsid w:val="0090733E"/>
    <w:rsid w:val="00907765"/>
    <w:rsid w:val="00907D81"/>
    <w:rsid w:val="00907D9A"/>
    <w:rsid w:val="00907E7E"/>
    <w:rsid w:val="00907ECB"/>
    <w:rsid w:val="00907EE6"/>
    <w:rsid w:val="00907F87"/>
    <w:rsid w:val="00907FE3"/>
    <w:rsid w:val="00910258"/>
    <w:rsid w:val="0091030E"/>
    <w:rsid w:val="009107D8"/>
    <w:rsid w:val="00910987"/>
    <w:rsid w:val="00910AC5"/>
    <w:rsid w:val="009112B4"/>
    <w:rsid w:val="009112E2"/>
    <w:rsid w:val="0091159C"/>
    <w:rsid w:val="00911904"/>
    <w:rsid w:val="00911AF5"/>
    <w:rsid w:val="00911F33"/>
    <w:rsid w:val="0091218F"/>
    <w:rsid w:val="00912249"/>
    <w:rsid w:val="0091262B"/>
    <w:rsid w:val="009127BD"/>
    <w:rsid w:val="00912998"/>
    <w:rsid w:val="00912A0C"/>
    <w:rsid w:val="00912AC3"/>
    <w:rsid w:val="00912BF4"/>
    <w:rsid w:val="00912C2B"/>
    <w:rsid w:val="00912D94"/>
    <w:rsid w:val="00912DD6"/>
    <w:rsid w:val="00913223"/>
    <w:rsid w:val="009132E7"/>
    <w:rsid w:val="009135F4"/>
    <w:rsid w:val="00913680"/>
    <w:rsid w:val="00913762"/>
    <w:rsid w:val="009138CF"/>
    <w:rsid w:val="009138DD"/>
    <w:rsid w:val="00913D8B"/>
    <w:rsid w:val="00913DD9"/>
    <w:rsid w:val="00913E3A"/>
    <w:rsid w:val="00913E43"/>
    <w:rsid w:val="00913ECC"/>
    <w:rsid w:val="009140A7"/>
    <w:rsid w:val="00914CCD"/>
    <w:rsid w:val="00914DD2"/>
    <w:rsid w:val="00915101"/>
    <w:rsid w:val="009156E3"/>
    <w:rsid w:val="0091582E"/>
    <w:rsid w:val="00915A2F"/>
    <w:rsid w:val="00915B39"/>
    <w:rsid w:val="00915D1E"/>
    <w:rsid w:val="009160D7"/>
    <w:rsid w:val="009165C7"/>
    <w:rsid w:val="00916704"/>
    <w:rsid w:val="00917947"/>
    <w:rsid w:val="00917AE0"/>
    <w:rsid w:val="00917E83"/>
    <w:rsid w:val="009201B0"/>
    <w:rsid w:val="009203E8"/>
    <w:rsid w:val="00920AD4"/>
    <w:rsid w:val="00920CD7"/>
    <w:rsid w:val="00920FE2"/>
    <w:rsid w:val="00921067"/>
    <w:rsid w:val="009212E8"/>
    <w:rsid w:val="009215D8"/>
    <w:rsid w:val="00921FEF"/>
    <w:rsid w:val="009221B5"/>
    <w:rsid w:val="009221DC"/>
    <w:rsid w:val="009222BE"/>
    <w:rsid w:val="009224C3"/>
    <w:rsid w:val="00922720"/>
    <w:rsid w:val="0092275A"/>
    <w:rsid w:val="00922ACC"/>
    <w:rsid w:val="00923521"/>
    <w:rsid w:val="0092368C"/>
    <w:rsid w:val="009238E8"/>
    <w:rsid w:val="00923D43"/>
    <w:rsid w:val="00923D6E"/>
    <w:rsid w:val="00923DED"/>
    <w:rsid w:val="00923EAB"/>
    <w:rsid w:val="00923EB7"/>
    <w:rsid w:val="00923EDE"/>
    <w:rsid w:val="00924578"/>
    <w:rsid w:val="00924646"/>
    <w:rsid w:val="00924921"/>
    <w:rsid w:val="00925082"/>
    <w:rsid w:val="00925147"/>
    <w:rsid w:val="00925172"/>
    <w:rsid w:val="00925528"/>
    <w:rsid w:val="009256A7"/>
    <w:rsid w:val="009256BD"/>
    <w:rsid w:val="00925A23"/>
    <w:rsid w:val="00925AD8"/>
    <w:rsid w:val="00925E4B"/>
    <w:rsid w:val="00925F8E"/>
    <w:rsid w:val="00925FEE"/>
    <w:rsid w:val="00926084"/>
    <w:rsid w:val="0092690C"/>
    <w:rsid w:val="00926980"/>
    <w:rsid w:val="00926C50"/>
    <w:rsid w:val="00927568"/>
    <w:rsid w:val="0092778B"/>
    <w:rsid w:val="00927A72"/>
    <w:rsid w:val="00930CD2"/>
    <w:rsid w:val="00930F93"/>
    <w:rsid w:val="0093106F"/>
    <w:rsid w:val="0093113F"/>
    <w:rsid w:val="00931184"/>
    <w:rsid w:val="00931206"/>
    <w:rsid w:val="009312B6"/>
    <w:rsid w:val="00931635"/>
    <w:rsid w:val="00931A2F"/>
    <w:rsid w:val="00931CC6"/>
    <w:rsid w:val="00931E82"/>
    <w:rsid w:val="00931F56"/>
    <w:rsid w:val="00931FF1"/>
    <w:rsid w:val="0093215D"/>
    <w:rsid w:val="0093250E"/>
    <w:rsid w:val="00932E11"/>
    <w:rsid w:val="00932F0A"/>
    <w:rsid w:val="009334ED"/>
    <w:rsid w:val="0093381B"/>
    <w:rsid w:val="00933C60"/>
    <w:rsid w:val="00933D19"/>
    <w:rsid w:val="00933E28"/>
    <w:rsid w:val="00934095"/>
    <w:rsid w:val="0093420B"/>
    <w:rsid w:val="0093429E"/>
    <w:rsid w:val="009346FD"/>
    <w:rsid w:val="00934753"/>
    <w:rsid w:val="00934967"/>
    <w:rsid w:val="00934D72"/>
    <w:rsid w:val="00935094"/>
    <w:rsid w:val="00935424"/>
    <w:rsid w:val="009355E1"/>
    <w:rsid w:val="0093584D"/>
    <w:rsid w:val="009358A4"/>
    <w:rsid w:val="009363DA"/>
    <w:rsid w:val="00936629"/>
    <w:rsid w:val="0093684E"/>
    <w:rsid w:val="009368D8"/>
    <w:rsid w:val="00936A8A"/>
    <w:rsid w:val="00936B24"/>
    <w:rsid w:val="00936B4D"/>
    <w:rsid w:val="00936C5F"/>
    <w:rsid w:val="00936CE9"/>
    <w:rsid w:val="00936E4E"/>
    <w:rsid w:val="00936F31"/>
    <w:rsid w:val="00937246"/>
    <w:rsid w:val="009373DB"/>
    <w:rsid w:val="009374AE"/>
    <w:rsid w:val="00937582"/>
    <w:rsid w:val="00937789"/>
    <w:rsid w:val="00937B0F"/>
    <w:rsid w:val="00937DFE"/>
    <w:rsid w:val="00940107"/>
    <w:rsid w:val="00940231"/>
    <w:rsid w:val="0094040E"/>
    <w:rsid w:val="009406C4"/>
    <w:rsid w:val="009409D1"/>
    <w:rsid w:val="00940D3B"/>
    <w:rsid w:val="00940DB0"/>
    <w:rsid w:val="00941216"/>
    <w:rsid w:val="009412F8"/>
    <w:rsid w:val="00941343"/>
    <w:rsid w:val="0094134C"/>
    <w:rsid w:val="00941355"/>
    <w:rsid w:val="0094152C"/>
    <w:rsid w:val="00941662"/>
    <w:rsid w:val="00941AF7"/>
    <w:rsid w:val="00941DE6"/>
    <w:rsid w:val="00941E63"/>
    <w:rsid w:val="00942057"/>
    <w:rsid w:val="009420C4"/>
    <w:rsid w:val="00942266"/>
    <w:rsid w:val="009424EF"/>
    <w:rsid w:val="0094285B"/>
    <w:rsid w:val="00942B3F"/>
    <w:rsid w:val="00942B95"/>
    <w:rsid w:val="00942CC7"/>
    <w:rsid w:val="00943092"/>
    <w:rsid w:val="00943155"/>
    <w:rsid w:val="009434A2"/>
    <w:rsid w:val="00943763"/>
    <w:rsid w:val="009440D3"/>
    <w:rsid w:val="0094439F"/>
    <w:rsid w:val="0094447A"/>
    <w:rsid w:val="0094492B"/>
    <w:rsid w:val="00944A88"/>
    <w:rsid w:val="00944C14"/>
    <w:rsid w:val="00944EF7"/>
    <w:rsid w:val="00945257"/>
    <w:rsid w:val="00945271"/>
    <w:rsid w:val="00945324"/>
    <w:rsid w:val="009454D2"/>
    <w:rsid w:val="00945645"/>
    <w:rsid w:val="00945FC1"/>
    <w:rsid w:val="009463E8"/>
    <w:rsid w:val="00946549"/>
    <w:rsid w:val="00946AFC"/>
    <w:rsid w:val="00946C01"/>
    <w:rsid w:val="00946DD0"/>
    <w:rsid w:val="009475EA"/>
    <w:rsid w:val="00947839"/>
    <w:rsid w:val="009478C7"/>
    <w:rsid w:val="00947CC5"/>
    <w:rsid w:val="00947DD2"/>
    <w:rsid w:val="009503B5"/>
    <w:rsid w:val="009506BE"/>
    <w:rsid w:val="009507AB"/>
    <w:rsid w:val="00951B5D"/>
    <w:rsid w:val="00951B98"/>
    <w:rsid w:val="00951EB1"/>
    <w:rsid w:val="009527A2"/>
    <w:rsid w:val="00952842"/>
    <w:rsid w:val="009532E3"/>
    <w:rsid w:val="00953653"/>
    <w:rsid w:val="009538B1"/>
    <w:rsid w:val="00953A3A"/>
    <w:rsid w:val="00953CCF"/>
    <w:rsid w:val="00953E82"/>
    <w:rsid w:val="00953F1E"/>
    <w:rsid w:val="00953FBC"/>
    <w:rsid w:val="0095465F"/>
    <w:rsid w:val="00954723"/>
    <w:rsid w:val="00954804"/>
    <w:rsid w:val="009549A1"/>
    <w:rsid w:val="00954C74"/>
    <w:rsid w:val="00955091"/>
    <w:rsid w:val="009550D6"/>
    <w:rsid w:val="009552DE"/>
    <w:rsid w:val="00955557"/>
    <w:rsid w:val="009555CD"/>
    <w:rsid w:val="00955BD2"/>
    <w:rsid w:val="00955F19"/>
    <w:rsid w:val="00956475"/>
    <w:rsid w:val="00956594"/>
    <w:rsid w:val="00956623"/>
    <w:rsid w:val="0095672B"/>
    <w:rsid w:val="0095677B"/>
    <w:rsid w:val="009568B8"/>
    <w:rsid w:val="00956B31"/>
    <w:rsid w:val="00956B3F"/>
    <w:rsid w:val="00957008"/>
    <w:rsid w:val="00957090"/>
    <w:rsid w:val="0095714C"/>
    <w:rsid w:val="009574DC"/>
    <w:rsid w:val="009574FC"/>
    <w:rsid w:val="009575E8"/>
    <w:rsid w:val="00957601"/>
    <w:rsid w:val="009577B9"/>
    <w:rsid w:val="00957816"/>
    <w:rsid w:val="0095794B"/>
    <w:rsid w:val="00957A4C"/>
    <w:rsid w:val="00957D83"/>
    <w:rsid w:val="00957DE7"/>
    <w:rsid w:val="009604A9"/>
    <w:rsid w:val="00960BC4"/>
    <w:rsid w:val="00960E0D"/>
    <w:rsid w:val="00960F27"/>
    <w:rsid w:val="00960FAE"/>
    <w:rsid w:val="009613BA"/>
    <w:rsid w:val="009614CE"/>
    <w:rsid w:val="00961875"/>
    <w:rsid w:val="009619B4"/>
    <w:rsid w:val="00961A93"/>
    <w:rsid w:val="00961DE9"/>
    <w:rsid w:val="00961E10"/>
    <w:rsid w:val="00961E5A"/>
    <w:rsid w:val="009622CA"/>
    <w:rsid w:val="009623AD"/>
    <w:rsid w:val="00962C4B"/>
    <w:rsid w:val="00962DD2"/>
    <w:rsid w:val="0096307A"/>
    <w:rsid w:val="009630D2"/>
    <w:rsid w:val="00963385"/>
    <w:rsid w:val="009633A8"/>
    <w:rsid w:val="009635C9"/>
    <w:rsid w:val="009636DE"/>
    <w:rsid w:val="00963C2A"/>
    <w:rsid w:val="00963E8A"/>
    <w:rsid w:val="0096418E"/>
    <w:rsid w:val="009641A5"/>
    <w:rsid w:val="00964265"/>
    <w:rsid w:val="009642D2"/>
    <w:rsid w:val="00964692"/>
    <w:rsid w:val="00964A6A"/>
    <w:rsid w:val="00964B32"/>
    <w:rsid w:val="00964B72"/>
    <w:rsid w:val="00964C35"/>
    <w:rsid w:val="00964F55"/>
    <w:rsid w:val="00965531"/>
    <w:rsid w:val="00965AFE"/>
    <w:rsid w:val="00965B31"/>
    <w:rsid w:val="00966607"/>
    <w:rsid w:val="00966A13"/>
    <w:rsid w:val="009673E5"/>
    <w:rsid w:val="0096789B"/>
    <w:rsid w:val="00967BA5"/>
    <w:rsid w:val="009700B5"/>
    <w:rsid w:val="009700D8"/>
    <w:rsid w:val="00970346"/>
    <w:rsid w:val="00970537"/>
    <w:rsid w:val="00970591"/>
    <w:rsid w:val="00970797"/>
    <w:rsid w:val="00970BE3"/>
    <w:rsid w:val="00971028"/>
    <w:rsid w:val="0097119D"/>
    <w:rsid w:val="00971239"/>
    <w:rsid w:val="0097154D"/>
    <w:rsid w:val="009717D4"/>
    <w:rsid w:val="00971804"/>
    <w:rsid w:val="00971B9F"/>
    <w:rsid w:val="00971D12"/>
    <w:rsid w:val="00971E92"/>
    <w:rsid w:val="0097243E"/>
    <w:rsid w:val="00972B7F"/>
    <w:rsid w:val="00972CF9"/>
    <w:rsid w:val="00972DA7"/>
    <w:rsid w:val="00972F19"/>
    <w:rsid w:val="009733CA"/>
    <w:rsid w:val="009735E2"/>
    <w:rsid w:val="0097362A"/>
    <w:rsid w:val="00973B01"/>
    <w:rsid w:val="00973DBF"/>
    <w:rsid w:val="0097426F"/>
    <w:rsid w:val="0097437D"/>
    <w:rsid w:val="00974613"/>
    <w:rsid w:val="009747AB"/>
    <w:rsid w:val="00974C13"/>
    <w:rsid w:val="009750CE"/>
    <w:rsid w:val="00975166"/>
    <w:rsid w:val="009752B4"/>
    <w:rsid w:val="00975716"/>
    <w:rsid w:val="009757B5"/>
    <w:rsid w:val="00975956"/>
    <w:rsid w:val="0097596B"/>
    <w:rsid w:val="00975D2F"/>
    <w:rsid w:val="00976588"/>
    <w:rsid w:val="0097685E"/>
    <w:rsid w:val="00976D7A"/>
    <w:rsid w:val="00976DC7"/>
    <w:rsid w:val="00976E91"/>
    <w:rsid w:val="00977053"/>
    <w:rsid w:val="009772A6"/>
    <w:rsid w:val="009775B8"/>
    <w:rsid w:val="009775E3"/>
    <w:rsid w:val="009775E7"/>
    <w:rsid w:val="00977740"/>
    <w:rsid w:val="0097775A"/>
    <w:rsid w:val="00977DBC"/>
    <w:rsid w:val="00977EBD"/>
    <w:rsid w:val="009803A9"/>
    <w:rsid w:val="0098054A"/>
    <w:rsid w:val="0098055F"/>
    <w:rsid w:val="009809E9"/>
    <w:rsid w:val="00980B2F"/>
    <w:rsid w:val="00980BA3"/>
    <w:rsid w:val="00981073"/>
    <w:rsid w:val="009812B5"/>
    <w:rsid w:val="00981A50"/>
    <w:rsid w:val="00981F7F"/>
    <w:rsid w:val="00982F97"/>
    <w:rsid w:val="00982FCF"/>
    <w:rsid w:val="00983151"/>
    <w:rsid w:val="009836CF"/>
    <w:rsid w:val="00983755"/>
    <w:rsid w:val="009837C0"/>
    <w:rsid w:val="00983CF0"/>
    <w:rsid w:val="00983EC3"/>
    <w:rsid w:val="0098415A"/>
    <w:rsid w:val="009841C7"/>
    <w:rsid w:val="0098445B"/>
    <w:rsid w:val="00984586"/>
    <w:rsid w:val="009846DC"/>
    <w:rsid w:val="0098486A"/>
    <w:rsid w:val="00984893"/>
    <w:rsid w:val="00984ED7"/>
    <w:rsid w:val="00985215"/>
    <w:rsid w:val="009853D2"/>
    <w:rsid w:val="00985755"/>
    <w:rsid w:val="009857B2"/>
    <w:rsid w:val="00985C28"/>
    <w:rsid w:val="00985DB7"/>
    <w:rsid w:val="00986993"/>
    <w:rsid w:val="0098699F"/>
    <w:rsid w:val="00986BD0"/>
    <w:rsid w:val="00987AE1"/>
    <w:rsid w:val="00987CE6"/>
    <w:rsid w:val="00987FF2"/>
    <w:rsid w:val="009900F7"/>
    <w:rsid w:val="009902E6"/>
    <w:rsid w:val="0099061D"/>
    <w:rsid w:val="00990BB5"/>
    <w:rsid w:val="00990C49"/>
    <w:rsid w:val="00991585"/>
    <w:rsid w:val="009919BD"/>
    <w:rsid w:val="00992157"/>
    <w:rsid w:val="00992310"/>
    <w:rsid w:val="009923F0"/>
    <w:rsid w:val="00992554"/>
    <w:rsid w:val="009927E6"/>
    <w:rsid w:val="0099305E"/>
    <w:rsid w:val="00993256"/>
    <w:rsid w:val="00993398"/>
    <w:rsid w:val="009933F0"/>
    <w:rsid w:val="00993A86"/>
    <w:rsid w:val="00993C17"/>
    <w:rsid w:val="00993D8D"/>
    <w:rsid w:val="009940FC"/>
    <w:rsid w:val="0099436F"/>
    <w:rsid w:val="00994898"/>
    <w:rsid w:val="0099514B"/>
    <w:rsid w:val="00995262"/>
    <w:rsid w:val="0099533E"/>
    <w:rsid w:val="0099587F"/>
    <w:rsid w:val="00995BE4"/>
    <w:rsid w:val="00995EFA"/>
    <w:rsid w:val="0099619C"/>
    <w:rsid w:val="00996463"/>
    <w:rsid w:val="0099676F"/>
    <w:rsid w:val="00996A65"/>
    <w:rsid w:val="00996CFB"/>
    <w:rsid w:val="00996D16"/>
    <w:rsid w:val="00996D45"/>
    <w:rsid w:val="009973F9"/>
    <w:rsid w:val="009975CB"/>
    <w:rsid w:val="009978F2"/>
    <w:rsid w:val="00997A61"/>
    <w:rsid w:val="00997D22"/>
    <w:rsid w:val="009A0244"/>
    <w:rsid w:val="009A0378"/>
    <w:rsid w:val="009A0718"/>
    <w:rsid w:val="009A0B36"/>
    <w:rsid w:val="009A0DF2"/>
    <w:rsid w:val="009A0EDB"/>
    <w:rsid w:val="009A0FD2"/>
    <w:rsid w:val="009A11B5"/>
    <w:rsid w:val="009A12C4"/>
    <w:rsid w:val="009A1A0C"/>
    <w:rsid w:val="009A1CE0"/>
    <w:rsid w:val="009A1DCB"/>
    <w:rsid w:val="009A241F"/>
    <w:rsid w:val="009A2438"/>
    <w:rsid w:val="009A252D"/>
    <w:rsid w:val="009A2A97"/>
    <w:rsid w:val="009A2C32"/>
    <w:rsid w:val="009A2C5F"/>
    <w:rsid w:val="009A2E3E"/>
    <w:rsid w:val="009A2E53"/>
    <w:rsid w:val="009A3045"/>
    <w:rsid w:val="009A3132"/>
    <w:rsid w:val="009A3355"/>
    <w:rsid w:val="009A359F"/>
    <w:rsid w:val="009A3677"/>
    <w:rsid w:val="009A378E"/>
    <w:rsid w:val="009A37F9"/>
    <w:rsid w:val="009A3805"/>
    <w:rsid w:val="009A38F2"/>
    <w:rsid w:val="009A39C4"/>
    <w:rsid w:val="009A3C76"/>
    <w:rsid w:val="009A3E9D"/>
    <w:rsid w:val="009A41D3"/>
    <w:rsid w:val="009A42AB"/>
    <w:rsid w:val="009A44A1"/>
    <w:rsid w:val="009A451B"/>
    <w:rsid w:val="009A45DD"/>
    <w:rsid w:val="009A4753"/>
    <w:rsid w:val="009A4907"/>
    <w:rsid w:val="009A4F57"/>
    <w:rsid w:val="009A502B"/>
    <w:rsid w:val="009A5305"/>
    <w:rsid w:val="009A546A"/>
    <w:rsid w:val="009A5686"/>
    <w:rsid w:val="009A57D3"/>
    <w:rsid w:val="009A583C"/>
    <w:rsid w:val="009A6097"/>
    <w:rsid w:val="009A6388"/>
    <w:rsid w:val="009A65C1"/>
    <w:rsid w:val="009A678D"/>
    <w:rsid w:val="009A6B93"/>
    <w:rsid w:val="009A6D56"/>
    <w:rsid w:val="009A6F37"/>
    <w:rsid w:val="009A6F83"/>
    <w:rsid w:val="009A71B1"/>
    <w:rsid w:val="009A7435"/>
    <w:rsid w:val="009A7588"/>
    <w:rsid w:val="009B00AC"/>
    <w:rsid w:val="009B04E3"/>
    <w:rsid w:val="009B05CD"/>
    <w:rsid w:val="009B0C1E"/>
    <w:rsid w:val="009B1328"/>
    <w:rsid w:val="009B17B0"/>
    <w:rsid w:val="009B1811"/>
    <w:rsid w:val="009B1959"/>
    <w:rsid w:val="009B19B6"/>
    <w:rsid w:val="009B2048"/>
    <w:rsid w:val="009B228C"/>
    <w:rsid w:val="009B2419"/>
    <w:rsid w:val="009B2692"/>
    <w:rsid w:val="009B2956"/>
    <w:rsid w:val="009B2D4E"/>
    <w:rsid w:val="009B2E5F"/>
    <w:rsid w:val="009B2FEB"/>
    <w:rsid w:val="009B316E"/>
    <w:rsid w:val="009B31A0"/>
    <w:rsid w:val="009B3277"/>
    <w:rsid w:val="009B356B"/>
    <w:rsid w:val="009B388C"/>
    <w:rsid w:val="009B38E8"/>
    <w:rsid w:val="009B3A99"/>
    <w:rsid w:val="009B3CA1"/>
    <w:rsid w:val="009B3CA4"/>
    <w:rsid w:val="009B3F7A"/>
    <w:rsid w:val="009B4006"/>
    <w:rsid w:val="009B4037"/>
    <w:rsid w:val="009B46BF"/>
    <w:rsid w:val="009B477D"/>
    <w:rsid w:val="009B4824"/>
    <w:rsid w:val="009B483C"/>
    <w:rsid w:val="009B50A6"/>
    <w:rsid w:val="009B51E4"/>
    <w:rsid w:val="009B52A9"/>
    <w:rsid w:val="009B54ED"/>
    <w:rsid w:val="009B557B"/>
    <w:rsid w:val="009B5F04"/>
    <w:rsid w:val="009B5FDE"/>
    <w:rsid w:val="009B6015"/>
    <w:rsid w:val="009B635A"/>
    <w:rsid w:val="009B64B9"/>
    <w:rsid w:val="009B6770"/>
    <w:rsid w:val="009B6837"/>
    <w:rsid w:val="009B6921"/>
    <w:rsid w:val="009B6D1E"/>
    <w:rsid w:val="009B6F72"/>
    <w:rsid w:val="009B708F"/>
    <w:rsid w:val="009B710A"/>
    <w:rsid w:val="009B7391"/>
    <w:rsid w:val="009B78C2"/>
    <w:rsid w:val="009B7BB8"/>
    <w:rsid w:val="009B7E9B"/>
    <w:rsid w:val="009B7F6A"/>
    <w:rsid w:val="009C0571"/>
    <w:rsid w:val="009C067E"/>
    <w:rsid w:val="009C0B82"/>
    <w:rsid w:val="009C0D25"/>
    <w:rsid w:val="009C0E93"/>
    <w:rsid w:val="009C109A"/>
    <w:rsid w:val="009C1AA0"/>
    <w:rsid w:val="009C1DBA"/>
    <w:rsid w:val="009C1DD5"/>
    <w:rsid w:val="009C21DE"/>
    <w:rsid w:val="009C2E19"/>
    <w:rsid w:val="009C302C"/>
    <w:rsid w:val="009C324B"/>
    <w:rsid w:val="009C357D"/>
    <w:rsid w:val="009C39E4"/>
    <w:rsid w:val="009C3C5D"/>
    <w:rsid w:val="009C3EFD"/>
    <w:rsid w:val="009C40C3"/>
    <w:rsid w:val="009C4750"/>
    <w:rsid w:val="009C4959"/>
    <w:rsid w:val="009C4C0A"/>
    <w:rsid w:val="009C4E44"/>
    <w:rsid w:val="009C5119"/>
    <w:rsid w:val="009C5214"/>
    <w:rsid w:val="009C53D1"/>
    <w:rsid w:val="009C5AD3"/>
    <w:rsid w:val="009C5AFB"/>
    <w:rsid w:val="009C5DA3"/>
    <w:rsid w:val="009C5E62"/>
    <w:rsid w:val="009C5F62"/>
    <w:rsid w:val="009C5F75"/>
    <w:rsid w:val="009C6BF7"/>
    <w:rsid w:val="009C6E7A"/>
    <w:rsid w:val="009C7037"/>
    <w:rsid w:val="009C70D5"/>
    <w:rsid w:val="009C715B"/>
    <w:rsid w:val="009C7544"/>
    <w:rsid w:val="009C764D"/>
    <w:rsid w:val="009C795A"/>
    <w:rsid w:val="009C7BAE"/>
    <w:rsid w:val="009C7C67"/>
    <w:rsid w:val="009C7FFD"/>
    <w:rsid w:val="009D0041"/>
    <w:rsid w:val="009D00B4"/>
    <w:rsid w:val="009D00C8"/>
    <w:rsid w:val="009D074C"/>
    <w:rsid w:val="009D07F7"/>
    <w:rsid w:val="009D0C13"/>
    <w:rsid w:val="009D0C43"/>
    <w:rsid w:val="009D0E36"/>
    <w:rsid w:val="009D0E7D"/>
    <w:rsid w:val="009D0F0A"/>
    <w:rsid w:val="009D1028"/>
    <w:rsid w:val="009D134C"/>
    <w:rsid w:val="009D192C"/>
    <w:rsid w:val="009D1E7F"/>
    <w:rsid w:val="009D2091"/>
    <w:rsid w:val="009D2341"/>
    <w:rsid w:val="009D2DE7"/>
    <w:rsid w:val="009D2E67"/>
    <w:rsid w:val="009D3237"/>
    <w:rsid w:val="009D37FB"/>
    <w:rsid w:val="009D3835"/>
    <w:rsid w:val="009D3884"/>
    <w:rsid w:val="009D388B"/>
    <w:rsid w:val="009D3CA1"/>
    <w:rsid w:val="009D4190"/>
    <w:rsid w:val="009D428C"/>
    <w:rsid w:val="009D42E5"/>
    <w:rsid w:val="009D4303"/>
    <w:rsid w:val="009D45B7"/>
    <w:rsid w:val="009D462B"/>
    <w:rsid w:val="009D4760"/>
    <w:rsid w:val="009D483B"/>
    <w:rsid w:val="009D4D24"/>
    <w:rsid w:val="009D506A"/>
    <w:rsid w:val="009D5150"/>
    <w:rsid w:val="009D539E"/>
    <w:rsid w:val="009D5467"/>
    <w:rsid w:val="009D5607"/>
    <w:rsid w:val="009D58EE"/>
    <w:rsid w:val="009D5938"/>
    <w:rsid w:val="009D59EE"/>
    <w:rsid w:val="009D6732"/>
    <w:rsid w:val="009D676E"/>
    <w:rsid w:val="009D6AD6"/>
    <w:rsid w:val="009D6D75"/>
    <w:rsid w:val="009D6FCA"/>
    <w:rsid w:val="009D7395"/>
    <w:rsid w:val="009D740F"/>
    <w:rsid w:val="009D74BE"/>
    <w:rsid w:val="009D76C5"/>
    <w:rsid w:val="009D7A70"/>
    <w:rsid w:val="009D7BC4"/>
    <w:rsid w:val="009D7C45"/>
    <w:rsid w:val="009E0626"/>
    <w:rsid w:val="009E084F"/>
    <w:rsid w:val="009E089C"/>
    <w:rsid w:val="009E0BD7"/>
    <w:rsid w:val="009E1772"/>
    <w:rsid w:val="009E1808"/>
    <w:rsid w:val="009E1BB4"/>
    <w:rsid w:val="009E1E76"/>
    <w:rsid w:val="009E1FAB"/>
    <w:rsid w:val="009E2045"/>
    <w:rsid w:val="009E2063"/>
    <w:rsid w:val="009E273A"/>
    <w:rsid w:val="009E2CF1"/>
    <w:rsid w:val="009E2D84"/>
    <w:rsid w:val="009E3100"/>
    <w:rsid w:val="009E3249"/>
    <w:rsid w:val="009E331F"/>
    <w:rsid w:val="009E344C"/>
    <w:rsid w:val="009E3484"/>
    <w:rsid w:val="009E3E72"/>
    <w:rsid w:val="009E425F"/>
    <w:rsid w:val="009E44CB"/>
    <w:rsid w:val="009E4591"/>
    <w:rsid w:val="009E4944"/>
    <w:rsid w:val="009E4AF4"/>
    <w:rsid w:val="009E4E5C"/>
    <w:rsid w:val="009E5002"/>
    <w:rsid w:val="009E5521"/>
    <w:rsid w:val="009E569D"/>
    <w:rsid w:val="009E5759"/>
    <w:rsid w:val="009E579F"/>
    <w:rsid w:val="009E598C"/>
    <w:rsid w:val="009E5BF0"/>
    <w:rsid w:val="009E5D1B"/>
    <w:rsid w:val="009E5E83"/>
    <w:rsid w:val="009E608D"/>
    <w:rsid w:val="009E6123"/>
    <w:rsid w:val="009E612D"/>
    <w:rsid w:val="009E646B"/>
    <w:rsid w:val="009E67BB"/>
    <w:rsid w:val="009E6EF8"/>
    <w:rsid w:val="009E7048"/>
    <w:rsid w:val="009E73AF"/>
    <w:rsid w:val="009E7A0C"/>
    <w:rsid w:val="009E7CA9"/>
    <w:rsid w:val="009F024D"/>
    <w:rsid w:val="009F0337"/>
    <w:rsid w:val="009F07E0"/>
    <w:rsid w:val="009F0C1D"/>
    <w:rsid w:val="009F0FBB"/>
    <w:rsid w:val="009F10DA"/>
    <w:rsid w:val="009F1427"/>
    <w:rsid w:val="009F1716"/>
    <w:rsid w:val="009F1DDE"/>
    <w:rsid w:val="009F1DE4"/>
    <w:rsid w:val="009F2127"/>
    <w:rsid w:val="009F2297"/>
    <w:rsid w:val="009F24B4"/>
    <w:rsid w:val="009F267D"/>
    <w:rsid w:val="009F270C"/>
    <w:rsid w:val="009F29CC"/>
    <w:rsid w:val="009F2B41"/>
    <w:rsid w:val="009F2B73"/>
    <w:rsid w:val="009F311E"/>
    <w:rsid w:val="009F39EE"/>
    <w:rsid w:val="009F445F"/>
    <w:rsid w:val="009F4D3A"/>
    <w:rsid w:val="009F4F72"/>
    <w:rsid w:val="009F52EE"/>
    <w:rsid w:val="009F532E"/>
    <w:rsid w:val="009F5721"/>
    <w:rsid w:val="009F5BBF"/>
    <w:rsid w:val="009F5C8B"/>
    <w:rsid w:val="009F5E61"/>
    <w:rsid w:val="009F5F32"/>
    <w:rsid w:val="009F63CE"/>
    <w:rsid w:val="009F6528"/>
    <w:rsid w:val="009F666D"/>
    <w:rsid w:val="009F66F2"/>
    <w:rsid w:val="009F69A4"/>
    <w:rsid w:val="009F6AF8"/>
    <w:rsid w:val="009F6CFF"/>
    <w:rsid w:val="009F6EB5"/>
    <w:rsid w:val="009F6FC5"/>
    <w:rsid w:val="009F726D"/>
    <w:rsid w:val="009F7314"/>
    <w:rsid w:val="009F7505"/>
    <w:rsid w:val="009F75C9"/>
    <w:rsid w:val="009F7778"/>
    <w:rsid w:val="009F79F5"/>
    <w:rsid w:val="009F7CD9"/>
    <w:rsid w:val="009F7D61"/>
    <w:rsid w:val="009F7E1D"/>
    <w:rsid w:val="00A0044D"/>
    <w:rsid w:val="00A006CB"/>
    <w:rsid w:val="00A0095B"/>
    <w:rsid w:val="00A00A42"/>
    <w:rsid w:val="00A00C7B"/>
    <w:rsid w:val="00A00E2B"/>
    <w:rsid w:val="00A00F28"/>
    <w:rsid w:val="00A01045"/>
    <w:rsid w:val="00A01116"/>
    <w:rsid w:val="00A011AB"/>
    <w:rsid w:val="00A013CF"/>
    <w:rsid w:val="00A0165A"/>
    <w:rsid w:val="00A017FA"/>
    <w:rsid w:val="00A018C4"/>
    <w:rsid w:val="00A0191C"/>
    <w:rsid w:val="00A0198A"/>
    <w:rsid w:val="00A01B10"/>
    <w:rsid w:val="00A020B2"/>
    <w:rsid w:val="00A0243B"/>
    <w:rsid w:val="00A02A57"/>
    <w:rsid w:val="00A02C25"/>
    <w:rsid w:val="00A032C1"/>
    <w:rsid w:val="00A0350B"/>
    <w:rsid w:val="00A039EF"/>
    <w:rsid w:val="00A04410"/>
    <w:rsid w:val="00A047AE"/>
    <w:rsid w:val="00A047FE"/>
    <w:rsid w:val="00A04BAF"/>
    <w:rsid w:val="00A0526E"/>
    <w:rsid w:val="00A0529B"/>
    <w:rsid w:val="00A0549F"/>
    <w:rsid w:val="00A054C9"/>
    <w:rsid w:val="00A05612"/>
    <w:rsid w:val="00A056E2"/>
    <w:rsid w:val="00A05B7B"/>
    <w:rsid w:val="00A05BD1"/>
    <w:rsid w:val="00A06025"/>
    <w:rsid w:val="00A0639C"/>
    <w:rsid w:val="00A06940"/>
    <w:rsid w:val="00A06C76"/>
    <w:rsid w:val="00A06C94"/>
    <w:rsid w:val="00A06DE2"/>
    <w:rsid w:val="00A06F51"/>
    <w:rsid w:val="00A075C4"/>
    <w:rsid w:val="00A0763B"/>
    <w:rsid w:val="00A07A0A"/>
    <w:rsid w:val="00A07F56"/>
    <w:rsid w:val="00A1014E"/>
    <w:rsid w:val="00A1025A"/>
    <w:rsid w:val="00A10402"/>
    <w:rsid w:val="00A1078E"/>
    <w:rsid w:val="00A1086B"/>
    <w:rsid w:val="00A10E1F"/>
    <w:rsid w:val="00A10FC1"/>
    <w:rsid w:val="00A11301"/>
    <w:rsid w:val="00A11727"/>
    <w:rsid w:val="00A11B6F"/>
    <w:rsid w:val="00A122F9"/>
    <w:rsid w:val="00A123DD"/>
    <w:rsid w:val="00A12AB8"/>
    <w:rsid w:val="00A12C88"/>
    <w:rsid w:val="00A13176"/>
    <w:rsid w:val="00A1375E"/>
    <w:rsid w:val="00A13D02"/>
    <w:rsid w:val="00A13E95"/>
    <w:rsid w:val="00A13F59"/>
    <w:rsid w:val="00A13FE2"/>
    <w:rsid w:val="00A14176"/>
    <w:rsid w:val="00A143C9"/>
    <w:rsid w:val="00A1458C"/>
    <w:rsid w:val="00A145C1"/>
    <w:rsid w:val="00A14B4D"/>
    <w:rsid w:val="00A15092"/>
    <w:rsid w:val="00A15588"/>
    <w:rsid w:val="00A15655"/>
    <w:rsid w:val="00A15AA9"/>
    <w:rsid w:val="00A161F6"/>
    <w:rsid w:val="00A16334"/>
    <w:rsid w:val="00A16565"/>
    <w:rsid w:val="00A16A43"/>
    <w:rsid w:val="00A16BE5"/>
    <w:rsid w:val="00A16EBB"/>
    <w:rsid w:val="00A16ECD"/>
    <w:rsid w:val="00A16F78"/>
    <w:rsid w:val="00A17116"/>
    <w:rsid w:val="00A17204"/>
    <w:rsid w:val="00A17234"/>
    <w:rsid w:val="00A1780A"/>
    <w:rsid w:val="00A17B76"/>
    <w:rsid w:val="00A17C08"/>
    <w:rsid w:val="00A17E61"/>
    <w:rsid w:val="00A17F53"/>
    <w:rsid w:val="00A17F87"/>
    <w:rsid w:val="00A17FDB"/>
    <w:rsid w:val="00A201E1"/>
    <w:rsid w:val="00A201FC"/>
    <w:rsid w:val="00A205D7"/>
    <w:rsid w:val="00A2066D"/>
    <w:rsid w:val="00A20710"/>
    <w:rsid w:val="00A20C2A"/>
    <w:rsid w:val="00A20D55"/>
    <w:rsid w:val="00A20F3B"/>
    <w:rsid w:val="00A2106B"/>
    <w:rsid w:val="00A21718"/>
    <w:rsid w:val="00A21975"/>
    <w:rsid w:val="00A21C74"/>
    <w:rsid w:val="00A21CF6"/>
    <w:rsid w:val="00A22385"/>
    <w:rsid w:val="00A223CB"/>
    <w:rsid w:val="00A22446"/>
    <w:rsid w:val="00A224B5"/>
    <w:rsid w:val="00A22866"/>
    <w:rsid w:val="00A228B8"/>
    <w:rsid w:val="00A22969"/>
    <w:rsid w:val="00A22BA5"/>
    <w:rsid w:val="00A22CFC"/>
    <w:rsid w:val="00A22D40"/>
    <w:rsid w:val="00A230CD"/>
    <w:rsid w:val="00A2310C"/>
    <w:rsid w:val="00A2324A"/>
    <w:rsid w:val="00A232C5"/>
    <w:rsid w:val="00A23547"/>
    <w:rsid w:val="00A2385E"/>
    <w:rsid w:val="00A23BB0"/>
    <w:rsid w:val="00A2416C"/>
    <w:rsid w:val="00A2429F"/>
    <w:rsid w:val="00A243E2"/>
    <w:rsid w:val="00A245EF"/>
    <w:rsid w:val="00A248BC"/>
    <w:rsid w:val="00A248E0"/>
    <w:rsid w:val="00A24A52"/>
    <w:rsid w:val="00A25129"/>
    <w:rsid w:val="00A2546A"/>
    <w:rsid w:val="00A259FE"/>
    <w:rsid w:val="00A25A59"/>
    <w:rsid w:val="00A26366"/>
    <w:rsid w:val="00A264B7"/>
    <w:rsid w:val="00A264FB"/>
    <w:rsid w:val="00A26935"/>
    <w:rsid w:val="00A26E32"/>
    <w:rsid w:val="00A275A6"/>
    <w:rsid w:val="00A27624"/>
    <w:rsid w:val="00A27770"/>
    <w:rsid w:val="00A27971"/>
    <w:rsid w:val="00A27C17"/>
    <w:rsid w:val="00A27E35"/>
    <w:rsid w:val="00A302D6"/>
    <w:rsid w:val="00A30589"/>
    <w:rsid w:val="00A306DD"/>
    <w:rsid w:val="00A309A4"/>
    <w:rsid w:val="00A30B1C"/>
    <w:rsid w:val="00A30B8A"/>
    <w:rsid w:val="00A30C40"/>
    <w:rsid w:val="00A312DA"/>
    <w:rsid w:val="00A3137F"/>
    <w:rsid w:val="00A31381"/>
    <w:rsid w:val="00A314C4"/>
    <w:rsid w:val="00A3192F"/>
    <w:rsid w:val="00A31940"/>
    <w:rsid w:val="00A31B0E"/>
    <w:rsid w:val="00A32152"/>
    <w:rsid w:val="00A3218C"/>
    <w:rsid w:val="00A324BD"/>
    <w:rsid w:val="00A32673"/>
    <w:rsid w:val="00A32AC6"/>
    <w:rsid w:val="00A3302A"/>
    <w:rsid w:val="00A33375"/>
    <w:rsid w:val="00A33384"/>
    <w:rsid w:val="00A3385B"/>
    <w:rsid w:val="00A33921"/>
    <w:rsid w:val="00A33A2A"/>
    <w:rsid w:val="00A33AA3"/>
    <w:rsid w:val="00A33BE2"/>
    <w:rsid w:val="00A33CE5"/>
    <w:rsid w:val="00A33D0B"/>
    <w:rsid w:val="00A33FBE"/>
    <w:rsid w:val="00A340CB"/>
    <w:rsid w:val="00A34118"/>
    <w:rsid w:val="00A34501"/>
    <w:rsid w:val="00A34685"/>
    <w:rsid w:val="00A3480B"/>
    <w:rsid w:val="00A34B63"/>
    <w:rsid w:val="00A34BB8"/>
    <w:rsid w:val="00A34CEB"/>
    <w:rsid w:val="00A34EE3"/>
    <w:rsid w:val="00A353D9"/>
    <w:rsid w:val="00A35617"/>
    <w:rsid w:val="00A35A32"/>
    <w:rsid w:val="00A35C52"/>
    <w:rsid w:val="00A35EA7"/>
    <w:rsid w:val="00A35EB4"/>
    <w:rsid w:val="00A35FE0"/>
    <w:rsid w:val="00A35FE9"/>
    <w:rsid w:val="00A362EA"/>
    <w:rsid w:val="00A36336"/>
    <w:rsid w:val="00A36438"/>
    <w:rsid w:val="00A3648D"/>
    <w:rsid w:val="00A36734"/>
    <w:rsid w:val="00A3696B"/>
    <w:rsid w:val="00A369F0"/>
    <w:rsid w:val="00A36CE0"/>
    <w:rsid w:val="00A36CF6"/>
    <w:rsid w:val="00A36E69"/>
    <w:rsid w:val="00A378F3"/>
    <w:rsid w:val="00A37F87"/>
    <w:rsid w:val="00A402D9"/>
    <w:rsid w:val="00A4059D"/>
    <w:rsid w:val="00A405C5"/>
    <w:rsid w:val="00A4088E"/>
    <w:rsid w:val="00A4090C"/>
    <w:rsid w:val="00A40C60"/>
    <w:rsid w:val="00A4152B"/>
    <w:rsid w:val="00A41776"/>
    <w:rsid w:val="00A41B7E"/>
    <w:rsid w:val="00A41C77"/>
    <w:rsid w:val="00A41F2E"/>
    <w:rsid w:val="00A41F69"/>
    <w:rsid w:val="00A42579"/>
    <w:rsid w:val="00A42672"/>
    <w:rsid w:val="00A427D0"/>
    <w:rsid w:val="00A42A22"/>
    <w:rsid w:val="00A42C55"/>
    <w:rsid w:val="00A42F69"/>
    <w:rsid w:val="00A43597"/>
    <w:rsid w:val="00A436AA"/>
    <w:rsid w:val="00A43988"/>
    <w:rsid w:val="00A43A81"/>
    <w:rsid w:val="00A43AC4"/>
    <w:rsid w:val="00A43AD2"/>
    <w:rsid w:val="00A43BDE"/>
    <w:rsid w:val="00A43C21"/>
    <w:rsid w:val="00A43D4B"/>
    <w:rsid w:val="00A43E5F"/>
    <w:rsid w:val="00A43EDF"/>
    <w:rsid w:val="00A440B0"/>
    <w:rsid w:val="00A4423F"/>
    <w:rsid w:val="00A447E2"/>
    <w:rsid w:val="00A448CE"/>
    <w:rsid w:val="00A44AEB"/>
    <w:rsid w:val="00A44ECA"/>
    <w:rsid w:val="00A44F7C"/>
    <w:rsid w:val="00A450E0"/>
    <w:rsid w:val="00A45583"/>
    <w:rsid w:val="00A45912"/>
    <w:rsid w:val="00A45AC3"/>
    <w:rsid w:val="00A45D88"/>
    <w:rsid w:val="00A45EC9"/>
    <w:rsid w:val="00A46730"/>
    <w:rsid w:val="00A46F3F"/>
    <w:rsid w:val="00A46FA5"/>
    <w:rsid w:val="00A47444"/>
    <w:rsid w:val="00A47491"/>
    <w:rsid w:val="00A47B3E"/>
    <w:rsid w:val="00A47D51"/>
    <w:rsid w:val="00A47E0D"/>
    <w:rsid w:val="00A50272"/>
    <w:rsid w:val="00A502D6"/>
    <w:rsid w:val="00A50328"/>
    <w:rsid w:val="00A514E6"/>
    <w:rsid w:val="00A5195C"/>
    <w:rsid w:val="00A52065"/>
    <w:rsid w:val="00A520F8"/>
    <w:rsid w:val="00A5243C"/>
    <w:rsid w:val="00A52982"/>
    <w:rsid w:val="00A52DA4"/>
    <w:rsid w:val="00A52EA4"/>
    <w:rsid w:val="00A52FC5"/>
    <w:rsid w:val="00A5363B"/>
    <w:rsid w:val="00A5388F"/>
    <w:rsid w:val="00A53D7C"/>
    <w:rsid w:val="00A53DCF"/>
    <w:rsid w:val="00A5415D"/>
    <w:rsid w:val="00A5422A"/>
    <w:rsid w:val="00A542A2"/>
    <w:rsid w:val="00A5448B"/>
    <w:rsid w:val="00A54FD8"/>
    <w:rsid w:val="00A55013"/>
    <w:rsid w:val="00A552BD"/>
    <w:rsid w:val="00A5535F"/>
    <w:rsid w:val="00A555AF"/>
    <w:rsid w:val="00A5568B"/>
    <w:rsid w:val="00A55B19"/>
    <w:rsid w:val="00A55BAE"/>
    <w:rsid w:val="00A55F8A"/>
    <w:rsid w:val="00A56047"/>
    <w:rsid w:val="00A562BA"/>
    <w:rsid w:val="00A565C9"/>
    <w:rsid w:val="00A56871"/>
    <w:rsid w:val="00A568C1"/>
    <w:rsid w:val="00A577F0"/>
    <w:rsid w:val="00A57951"/>
    <w:rsid w:val="00A57E94"/>
    <w:rsid w:val="00A600D4"/>
    <w:rsid w:val="00A60104"/>
    <w:rsid w:val="00A60260"/>
    <w:rsid w:val="00A60648"/>
    <w:rsid w:val="00A60C1C"/>
    <w:rsid w:val="00A611C4"/>
    <w:rsid w:val="00A61229"/>
    <w:rsid w:val="00A6125B"/>
    <w:rsid w:val="00A61327"/>
    <w:rsid w:val="00A61350"/>
    <w:rsid w:val="00A615FD"/>
    <w:rsid w:val="00A617F3"/>
    <w:rsid w:val="00A61940"/>
    <w:rsid w:val="00A61A88"/>
    <w:rsid w:val="00A61B27"/>
    <w:rsid w:val="00A61C59"/>
    <w:rsid w:val="00A61E3F"/>
    <w:rsid w:val="00A620B7"/>
    <w:rsid w:val="00A620EE"/>
    <w:rsid w:val="00A6218F"/>
    <w:rsid w:val="00A621C7"/>
    <w:rsid w:val="00A6234F"/>
    <w:rsid w:val="00A624A9"/>
    <w:rsid w:val="00A62754"/>
    <w:rsid w:val="00A62777"/>
    <w:rsid w:val="00A62CDD"/>
    <w:rsid w:val="00A63B44"/>
    <w:rsid w:val="00A63BE4"/>
    <w:rsid w:val="00A63D0C"/>
    <w:rsid w:val="00A642A1"/>
    <w:rsid w:val="00A6443B"/>
    <w:rsid w:val="00A64914"/>
    <w:rsid w:val="00A64A7E"/>
    <w:rsid w:val="00A64AB9"/>
    <w:rsid w:val="00A64C24"/>
    <w:rsid w:val="00A64D81"/>
    <w:rsid w:val="00A65108"/>
    <w:rsid w:val="00A6510C"/>
    <w:rsid w:val="00A654BC"/>
    <w:rsid w:val="00A655B6"/>
    <w:rsid w:val="00A6563A"/>
    <w:rsid w:val="00A65691"/>
    <w:rsid w:val="00A6593A"/>
    <w:rsid w:val="00A65E32"/>
    <w:rsid w:val="00A6652B"/>
    <w:rsid w:val="00A66782"/>
    <w:rsid w:val="00A6681A"/>
    <w:rsid w:val="00A670CE"/>
    <w:rsid w:val="00A67129"/>
    <w:rsid w:val="00A6718F"/>
    <w:rsid w:val="00A6755B"/>
    <w:rsid w:val="00A676B9"/>
    <w:rsid w:val="00A67BB3"/>
    <w:rsid w:val="00A70096"/>
    <w:rsid w:val="00A70250"/>
    <w:rsid w:val="00A70C09"/>
    <w:rsid w:val="00A70CBC"/>
    <w:rsid w:val="00A70D31"/>
    <w:rsid w:val="00A70E05"/>
    <w:rsid w:val="00A711F3"/>
    <w:rsid w:val="00A712A4"/>
    <w:rsid w:val="00A714F9"/>
    <w:rsid w:val="00A71599"/>
    <w:rsid w:val="00A7174A"/>
    <w:rsid w:val="00A7176E"/>
    <w:rsid w:val="00A71829"/>
    <w:rsid w:val="00A7185C"/>
    <w:rsid w:val="00A71CCF"/>
    <w:rsid w:val="00A7207B"/>
    <w:rsid w:val="00A7223A"/>
    <w:rsid w:val="00A726DC"/>
    <w:rsid w:val="00A72BF6"/>
    <w:rsid w:val="00A736D9"/>
    <w:rsid w:val="00A73AC8"/>
    <w:rsid w:val="00A73B2E"/>
    <w:rsid w:val="00A73D4A"/>
    <w:rsid w:val="00A73E9C"/>
    <w:rsid w:val="00A74310"/>
    <w:rsid w:val="00A74337"/>
    <w:rsid w:val="00A74526"/>
    <w:rsid w:val="00A74650"/>
    <w:rsid w:val="00A7469C"/>
    <w:rsid w:val="00A74C15"/>
    <w:rsid w:val="00A74C37"/>
    <w:rsid w:val="00A74CFB"/>
    <w:rsid w:val="00A75579"/>
    <w:rsid w:val="00A756E5"/>
    <w:rsid w:val="00A75AEA"/>
    <w:rsid w:val="00A75D42"/>
    <w:rsid w:val="00A75E94"/>
    <w:rsid w:val="00A76042"/>
    <w:rsid w:val="00A7604F"/>
    <w:rsid w:val="00A762AC"/>
    <w:rsid w:val="00A76325"/>
    <w:rsid w:val="00A76648"/>
    <w:rsid w:val="00A7672C"/>
    <w:rsid w:val="00A767F0"/>
    <w:rsid w:val="00A768D3"/>
    <w:rsid w:val="00A76933"/>
    <w:rsid w:val="00A7699D"/>
    <w:rsid w:val="00A76B8D"/>
    <w:rsid w:val="00A76E3C"/>
    <w:rsid w:val="00A76EC8"/>
    <w:rsid w:val="00A770EB"/>
    <w:rsid w:val="00A7758C"/>
    <w:rsid w:val="00A803AF"/>
    <w:rsid w:val="00A8043E"/>
    <w:rsid w:val="00A8048F"/>
    <w:rsid w:val="00A8052C"/>
    <w:rsid w:val="00A805D5"/>
    <w:rsid w:val="00A8066C"/>
    <w:rsid w:val="00A806EF"/>
    <w:rsid w:val="00A80C5E"/>
    <w:rsid w:val="00A80DBE"/>
    <w:rsid w:val="00A80E39"/>
    <w:rsid w:val="00A811A8"/>
    <w:rsid w:val="00A81540"/>
    <w:rsid w:val="00A81586"/>
    <w:rsid w:val="00A815E7"/>
    <w:rsid w:val="00A81D07"/>
    <w:rsid w:val="00A823E9"/>
    <w:rsid w:val="00A82518"/>
    <w:rsid w:val="00A82809"/>
    <w:rsid w:val="00A82D10"/>
    <w:rsid w:val="00A82DAF"/>
    <w:rsid w:val="00A837B9"/>
    <w:rsid w:val="00A83B94"/>
    <w:rsid w:val="00A83BD4"/>
    <w:rsid w:val="00A83C5F"/>
    <w:rsid w:val="00A83D52"/>
    <w:rsid w:val="00A83E1D"/>
    <w:rsid w:val="00A840CD"/>
    <w:rsid w:val="00A84141"/>
    <w:rsid w:val="00A84264"/>
    <w:rsid w:val="00A8440C"/>
    <w:rsid w:val="00A844BF"/>
    <w:rsid w:val="00A8453F"/>
    <w:rsid w:val="00A8479F"/>
    <w:rsid w:val="00A847F6"/>
    <w:rsid w:val="00A84C90"/>
    <w:rsid w:val="00A84F7C"/>
    <w:rsid w:val="00A85167"/>
    <w:rsid w:val="00A85362"/>
    <w:rsid w:val="00A854AB"/>
    <w:rsid w:val="00A85A33"/>
    <w:rsid w:val="00A85B4F"/>
    <w:rsid w:val="00A85C80"/>
    <w:rsid w:val="00A8610E"/>
    <w:rsid w:val="00A86197"/>
    <w:rsid w:val="00A8623C"/>
    <w:rsid w:val="00A862D5"/>
    <w:rsid w:val="00A864D2"/>
    <w:rsid w:val="00A867A3"/>
    <w:rsid w:val="00A869AC"/>
    <w:rsid w:val="00A86A83"/>
    <w:rsid w:val="00A86BD8"/>
    <w:rsid w:val="00A86FE3"/>
    <w:rsid w:val="00A8729C"/>
    <w:rsid w:val="00A87323"/>
    <w:rsid w:val="00A875CD"/>
    <w:rsid w:val="00A8760E"/>
    <w:rsid w:val="00A87833"/>
    <w:rsid w:val="00A87865"/>
    <w:rsid w:val="00A87971"/>
    <w:rsid w:val="00A879BF"/>
    <w:rsid w:val="00A879CA"/>
    <w:rsid w:val="00A87A78"/>
    <w:rsid w:val="00A87D83"/>
    <w:rsid w:val="00A87EED"/>
    <w:rsid w:val="00A87EF8"/>
    <w:rsid w:val="00A87F98"/>
    <w:rsid w:val="00A9009B"/>
    <w:rsid w:val="00A900B8"/>
    <w:rsid w:val="00A9010D"/>
    <w:rsid w:val="00A90235"/>
    <w:rsid w:val="00A9024F"/>
    <w:rsid w:val="00A90769"/>
    <w:rsid w:val="00A90B2E"/>
    <w:rsid w:val="00A90FC1"/>
    <w:rsid w:val="00A91607"/>
    <w:rsid w:val="00A91708"/>
    <w:rsid w:val="00A91D62"/>
    <w:rsid w:val="00A92074"/>
    <w:rsid w:val="00A92189"/>
    <w:rsid w:val="00A923FF"/>
    <w:rsid w:val="00A9248A"/>
    <w:rsid w:val="00A92711"/>
    <w:rsid w:val="00A92A24"/>
    <w:rsid w:val="00A936E1"/>
    <w:rsid w:val="00A9387C"/>
    <w:rsid w:val="00A939AE"/>
    <w:rsid w:val="00A93A11"/>
    <w:rsid w:val="00A93FB9"/>
    <w:rsid w:val="00A9404E"/>
    <w:rsid w:val="00A940E7"/>
    <w:rsid w:val="00A947F1"/>
    <w:rsid w:val="00A94ACD"/>
    <w:rsid w:val="00A94B9B"/>
    <w:rsid w:val="00A94CF5"/>
    <w:rsid w:val="00A9552A"/>
    <w:rsid w:val="00A9558A"/>
    <w:rsid w:val="00A95697"/>
    <w:rsid w:val="00A957EF"/>
    <w:rsid w:val="00A959B0"/>
    <w:rsid w:val="00A95E28"/>
    <w:rsid w:val="00A95FAC"/>
    <w:rsid w:val="00A96076"/>
    <w:rsid w:val="00A96159"/>
    <w:rsid w:val="00A9656A"/>
    <w:rsid w:val="00A96E6F"/>
    <w:rsid w:val="00A96FA2"/>
    <w:rsid w:val="00A96FB9"/>
    <w:rsid w:val="00A970DF"/>
    <w:rsid w:val="00A971BA"/>
    <w:rsid w:val="00A9727F"/>
    <w:rsid w:val="00A9731F"/>
    <w:rsid w:val="00A97547"/>
    <w:rsid w:val="00A97755"/>
    <w:rsid w:val="00A978F6"/>
    <w:rsid w:val="00A97B0A"/>
    <w:rsid w:val="00A97EB3"/>
    <w:rsid w:val="00AA0103"/>
    <w:rsid w:val="00AA02AB"/>
    <w:rsid w:val="00AA02FB"/>
    <w:rsid w:val="00AA0D47"/>
    <w:rsid w:val="00AA113A"/>
    <w:rsid w:val="00AA16A7"/>
    <w:rsid w:val="00AA1890"/>
    <w:rsid w:val="00AA19EB"/>
    <w:rsid w:val="00AA2192"/>
    <w:rsid w:val="00AA23FA"/>
    <w:rsid w:val="00AA294C"/>
    <w:rsid w:val="00AA29F9"/>
    <w:rsid w:val="00AA2BCB"/>
    <w:rsid w:val="00AA33D1"/>
    <w:rsid w:val="00AA3938"/>
    <w:rsid w:val="00AA3988"/>
    <w:rsid w:val="00AA39B5"/>
    <w:rsid w:val="00AA3C09"/>
    <w:rsid w:val="00AA3ED8"/>
    <w:rsid w:val="00AA3EFF"/>
    <w:rsid w:val="00AA4336"/>
    <w:rsid w:val="00AA433D"/>
    <w:rsid w:val="00AA471D"/>
    <w:rsid w:val="00AA4813"/>
    <w:rsid w:val="00AA48E5"/>
    <w:rsid w:val="00AA49B0"/>
    <w:rsid w:val="00AA4AD1"/>
    <w:rsid w:val="00AA5B79"/>
    <w:rsid w:val="00AA6031"/>
    <w:rsid w:val="00AA61EC"/>
    <w:rsid w:val="00AA66B1"/>
    <w:rsid w:val="00AA6729"/>
    <w:rsid w:val="00AA68F8"/>
    <w:rsid w:val="00AA74F2"/>
    <w:rsid w:val="00AA7572"/>
    <w:rsid w:val="00AA761C"/>
    <w:rsid w:val="00AA7A02"/>
    <w:rsid w:val="00AA7F7C"/>
    <w:rsid w:val="00AB007F"/>
    <w:rsid w:val="00AB02DE"/>
    <w:rsid w:val="00AB02E3"/>
    <w:rsid w:val="00AB04F5"/>
    <w:rsid w:val="00AB060F"/>
    <w:rsid w:val="00AB06B2"/>
    <w:rsid w:val="00AB0738"/>
    <w:rsid w:val="00AB076F"/>
    <w:rsid w:val="00AB08E3"/>
    <w:rsid w:val="00AB0CEC"/>
    <w:rsid w:val="00AB0F9F"/>
    <w:rsid w:val="00AB1707"/>
    <w:rsid w:val="00AB1A3F"/>
    <w:rsid w:val="00AB2126"/>
    <w:rsid w:val="00AB21BB"/>
    <w:rsid w:val="00AB27F3"/>
    <w:rsid w:val="00AB288D"/>
    <w:rsid w:val="00AB28F5"/>
    <w:rsid w:val="00AB2A1A"/>
    <w:rsid w:val="00AB2A6E"/>
    <w:rsid w:val="00AB3212"/>
    <w:rsid w:val="00AB37B2"/>
    <w:rsid w:val="00AB3936"/>
    <w:rsid w:val="00AB3AC5"/>
    <w:rsid w:val="00AB3C25"/>
    <w:rsid w:val="00AB3E73"/>
    <w:rsid w:val="00AB3EC8"/>
    <w:rsid w:val="00AB446D"/>
    <w:rsid w:val="00AB4510"/>
    <w:rsid w:val="00AB479D"/>
    <w:rsid w:val="00AB4BDE"/>
    <w:rsid w:val="00AB528B"/>
    <w:rsid w:val="00AB531D"/>
    <w:rsid w:val="00AB568F"/>
    <w:rsid w:val="00AB5F4A"/>
    <w:rsid w:val="00AB6115"/>
    <w:rsid w:val="00AB6279"/>
    <w:rsid w:val="00AB67A3"/>
    <w:rsid w:val="00AB6BF1"/>
    <w:rsid w:val="00AB6BFF"/>
    <w:rsid w:val="00AB70B7"/>
    <w:rsid w:val="00AB7385"/>
    <w:rsid w:val="00AB76B9"/>
    <w:rsid w:val="00AC016B"/>
    <w:rsid w:val="00AC04C6"/>
    <w:rsid w:val="00AC0507"/>
    <w:rsid w:val="00AC079F"/>
    <w:rsid w:val="00AC0C0A"/>
    <w:rsid w:val="00AC0D2F"/>
    <w:rsid w:val="00AC102C"/>
    <w:rsid w:val="00AC10E0"/>
    <w:rsid w:val="00AC1151"/>
    <w:rsid w:val="00AC1CAE"/>
    <w:rsid w:val="00AC208C"/>
    <w:rsid w:val="00AC2612"/>
    <w:rsid w:val="00AC26CA"/>
    <w:rsid w:val="00AC27AE"/>
    <w:rsid w:val="00AC3249"/>
    <w:rsid w:val="00AC346D"/>
    <w:rsid w:val="00AC3524"/>
    <w:rsid w:val="00AC36B6"/>
    <w:rsid w:val="00AC3A9A"/>
    <w:rsid w:val="00AC3B55"/>
    <w:rsid w:val="00AC3C54"/>
    <w:rsid w:val="00AC3D0F"/>
    <w:rsid w:val="00AC3D63"/>
    <w:rsid w:val="00AC3F65"/>
    <w:rsid w:val="00AC4174"/>
    <w:rsid w:val="00AC4417"/>
    <w:rsid w:val="00AC45C1"/>
    <w:rsid w:val="00AC46DA"/>
    <w:rsid w:val="00AC4BB2"/>
    <w:rsid w:val="00AC4C13"/>
    <w:rsid w:val="00AC4C54"/>
    <w:rsid w:val="00AC4EAF"/>
    <w:rsid w:val="00AC586D"/>
    <w:rsid w:val="00AC5A93"/>
    <w:rsid w:val="00AC5B6F"/>
    <w:rsid w:val="00AC5BF6"/>
    <w:rsid w:val="00AC64C7"/>
    <w:rsid w:val="00AC6571"/>
    <w:rsid w:val="00AC6893"/>
    <w:rsid w:val="00AC69C5"/>
    <w:rsid w:val="00AC6B29"/>
    <w:rsid w:val="00AC6B64"/>
    <w:rsid w:val="00AC6C05"/>
    <w:rsid w:val="00AC6CCB"/>
    <w:rsid w:val="00AC6E0E"/>
    <w:rsid w:val="00AC76A0"/>
    <w:rsid w:val="00AC797E"/>
    <w:rsid w:val="00AC79F2"/>
    <w:rsid w:val="00AC7A18"/>
    <w:rsid w:val="00AC7A4D"/>
    <w:rsid w:val="00AC7B11"/>
    <w:rsid w:val="00AC7B53"/>
    <w:rsid w:val="00AC7D42"/>
    <w:rsid w:val="00AD0212"/>
    <w:rsid w:val="00AD0B4F"/>
    <w:rsid w:val="00AD1580"/>
    <w:rsid w:val="00AD168B"/>
    <w:rsid w:val="00AD17E3"/>
    <w:rsid w:val="00AD1852"/>
    <w:rsid w:val="00AD1C2D"/>
    <w:rsid w:val="00AD1CE4"/>
    <w:rsid w:val="00AD20A1"/>
    <w:rsid w:val="00AD2440"/>
    <w:rsid w:val="00AD25BB"/>
    <w:rsid w:val="00AD25BD"/>
    <w:rsid w:val="00AD2D31"/>
    <w:rsid w:val="00AD2D6F"/>
    <w:rsid w:val="00AD2DD3"/>
    <w:rsid w:val="00AD304A"/>
    <w:rsid w:val="00AD33FF"/>
    <w:rsid w:val="00AD35A6"/>
    <w:rsid w:val="00AD4604"/>
    <w:rsid w:val="00AD486A"/>
    <w:rsid w:val="00AD4B9D"/>
    <w:rsid w:val="00AD509F"/>
    <w:rsid w:val="00AD52CA"/>
    <w:rsid w:val="00AD55EB"/>
    <w:rsid w:val="00AD56EA"/>
    <w:rsid w:val="00AD57E1"/>
    <w:rsid w:val="00AD5851"/>
    <w:rsid w:val="00AD5D4E"/>
    <w:rsid w:val="00AD5D99"/>
    <w:rsid w:val="00AD5FA0"/>
    <w:rsid w:val="00AD6012"/>
    <w:rsid w:val="00AD6192"/>
    <w:rsid w:val="00AD663F"/>
    <w:rsid w:val="00AD6767"/>
    <w:rsid w:val="00AD7083"/>
    <w:rsid w:val="00AD7533"/>
    <w:rsid w:val="00AD7BDD"/>
    <w:rsid w:val="00AD7CFE"/>
    <w:rsid w:val="00AD7D05"/>
    <w:rsid w:val="00AD7D29"/>
    <w:rsid w:val="00AD7D35"/>
    <w:rsid w:val="00AD7E6E"/>
    <w:rsid w:val="00AD7FC2"/>
    <w:rsid w:val="00AE014B"/>
    <w:rsid w:val="00AE074C"/>
    <w:rsid w:val="00AE0984"/>
    <w:rsid w:val="00AE0BE4"/>
    <w:rsid w:val="00AE0E1F"/>
    <w:rsid w:val="00AE0F32"/>
    <w:rsid w:val="00AE0F83"/>
    <w:rsid w:val="00AE159F"/>
    <w:rsid w:val="00AE20F8"/>
    <w:rsid w:val="00AE2164"/>
    <w:rsid w:val="00AE234E"/>
    <w:rsid w:val="00AE23F9"/>
    <w:rsid w:val="00AE25B5"/>
    <w:rsid w:val="00AE2811"/>
    <w:rsid w:val="00AE29CF"/>
    <w:rsid w:val="00AE2B12"/>
    <w:rsid w:val="00AE2BD5"/>
    <w:rsid w:val="00AE3054"/>
    <w:rsid w:val="00AE3616"/>
    <w:rsid w:val="00AE3720"/>
    <w:rsid w:val="00AE3B1B"/>
    <w:rsid w:val="00AE3CBE"/>
    <w:rsid w:val="00AE45F7"/>
    <w:rsid w:val="00AE487D"/>
    <w:rsid w:val="00AE4B27"/>
    <w:rsid w:val="00AE4B76"/>
    <w:rsid w:val="00AE5067"/>
    <w:rsid w:val="00AE51DB"/>
    <w:rsid w:val="00AE54C0"/>
    <w:rsid w:val="00AE5560"/>
    <w:rsid w:val="00AE59BF"/>
    <w:rsid w:val="00AE5D3F"/>
    <w:rsid w:val="00AE5EFD"/>
    <w:rsid w:val="00AE5F79"/>
    <w:rsid w:val="00AE60B2"/>
    <w:rsid w:val="00AE6336"/>
    <w:rsid w:val="00AE63A0"/>
    <w:rsid w:val="00AE63B5"/>
    <w:rsid w:val="00AE6543"/>
    <w:rsid w:val="00AE65FB"/>
    <w:rsid w:val="00AE663F"/>
    <w:rsid w:val="00AE68BE"/>
    <w:rsid w:val="00AE6C53"/>
    <w:rsid w:val="00AE6CCB"/>
    <w:rsid w:val="00AE6DF2"/>
    <w:rsid w:val="00AE758F"/>
    <w:rsid w:val="00AE77EC"/>
    <w:rsid w:val="00AE78C4"/>
    <w:rsid w:val="00AE7989"/>
    <w:rsid w:val="00AE798A"/>
    <w:rsid w:val="00AE7B42"/>
    <w:rsid w:val="00AE7D03"/>
    <w:rsid w:val="00AE7F01"/>
    <w:rsid w:val="00AF04F1"/>
    <w:rsid w:val="00AF050E"/>
    <w:rsid w:val="00AF0696"/>
    <w:rsid w:val="00AF0770"/>
    <w:rsid w:val="00AF1158"/>
    <w:rsid w:val="00AF11D3"/>
    <w:rsid w:val="00AF14D3"/>
    <w:rsid w:val="00AF1828"/>
    <w:rsid w:val="00AF1BBB"/>
    <w:rsid w:val="00AF1FF2"/>
    <w:rsid w:val="00AF2103"/>
    <w:rsid w:val="00AF23E5"/>
    <w:rsid w:val="00AF240F"/>
    <w:rsid w:val="00AF2836"/>
    <w:rsid w:val="00AF2A4B"/>
    <w:rsid w:val="00AF2E00"/>
    <w:rsid w:val="00AF34DE"/>
    <w:rsid w:val="00AF4385"/>
    <w:rsid w:val="00AF48BE"/>
    <w:rsid w:val="00AF4902"/>
    <w:rsid w:val="00AF5704"/>
    <w:rsid w:val="00AF57B6"/>
    <w:rsid w:val="00AF5A79"/>
    <w:rsid w:val="00AF5BE5"/>
    <w:rsid w:val="00AF5ECA"/>
    <w:rsid w:val="00AF6058"/>
    <w:rsid w:val="00AF60D5"/>
    <w:rsid w:val="00AF691C"/>
    <w:rsid w:val="00AF69C6"/>
    <w:rsid w:val="00AF6E1A"/>
    <w:rsid w:val="00AF6E99"/>
    <w:rsid w:val="00AF70AF"/>
    <w:rsid w:val="00AF7137"/>
    <w:rsid w:val="00AF729A"/>
    <w:rsid w:val="00AF78C0"/>
    <w:rsid w:val="00AF7AE8"/>
    <w:rsid w:val="00AF7CBB"/>
    <w:rsid w:val="00AF7D92"/>
    <w:rsid w:val="00AF7DB8"/>
    <w:rsid w:val="00B004AF"/>
    <w:rsid w:val="00B004CC"/>
    <w:rsid w:val="00B009D5"/>
    <w:rsid w:val="00B00D04"/>
    <w:rsid w:val="00B01110"/>
    <w:rsid w:val="00B01553"/>
    <w:rsid w:val="00B0157B"/>
    <w:rsid w:val="00B01E5D"/>
    <w:rsid w:val="00B01ECF"/>
    <w:rsid w:val="00B0217B"/>
    <w:rsid w:val="00B0243B"/>
    <w:rsid w:val="00B02568"/>
    <w:rsid w:val="00B026C2"/>
    <w:rsid w:val="00B02720"/>
    <w:rsid w:val="00B02AB7"/>
    <w:rsid w:val="00B02ED8"/>
    <w:rsid w:val="00B03010"/>
    <w:rsid w:val="00B0323A"/>
    <w:rsid w:val="00B03264"/>
    <w:rsid w:val="00B034A7"/>
    <w:rsid w:val="00B0380B"/>
    <w:rsid w:val="00B03A8B"/>
    <w:rsid w:val="00B03E89"/>
    <w:rsid w:val="00B04665"/>
    <w:rsid w:val="00B04687"/>
    <w:rsid w:val="00B04B82"/>
    <w:rsid w:val="00B04D9B"/>
    <w:rsid w:val="00B05287"/>
    <w:rsid w:val="00B05373"/>
    <w:rsid w:val="00B05CD2"/>
    <w:rsid w:val="00B05D6F"/>
    <w:rsid w:val="00B06268"/>
    <w:rsid w:val="00B06499"/>
    <w:rsid w:val="00B064EA"/>
    <w:rsid w:val="00B06653"/>
    <w:rsid w:val="00B06BB5"/>
    <w:rsid w:val="00B06C53"/>
    <w:rsid w:val="00B071E6"/>
    <w:rsid w:val="00B07229"/>
    <w:rsid w:val="00B07266"/>
    <w:rsid w:val="00B0730D"/>
    <w:rsid w:val="00B0756D"/>
    <w:rsid w:val="00B07620"/>
    <w:rsid w:val="00B0782B"/>
    <w:rsid w:val="00B078AF"/>
    <w:rsid w:val="00B0794B"/>
    <w:rsid w:val="00B07FD6"/>
    <w:rsid w:val="00B105E1"/>
    <w:rsid w:val="00B1116F"/>
    <w:rsid w:val="00B11323"/>
    <w:rsid w:val="00B114A8"/>
    <w:rsid w:val="00B11AE3"/>
    <w:rsid w:val="00B11B93"/>
    <w:rsid w:val="00B11D85"/>
    <w:rsid w:val="00B11EB8"/>
    <w:rsid w:val="00B1251E"/>
    <w:rsid w:val="00B12BEC"/>
    <w:rsid w:val="00B12C46"/>
    <w:rsid w:val="00B12D7F"/>
    <w:rsid w:val="00B13159"/>
    <w:rsid w:val="00B1399F"/>
    <w:rsid w:val="00B13B66"/>
    <w:rsid w:val="00B13DC9"/>
    <w:rsid w:val="00B13F63"/>
    <w:rsid w:val="00B147B3"/>
    <w:rsid w:val="00B14E6F"/>
    <w:rsid w:val="00B15038"/>
    <w:rsid w:val="00B153FC"/>
    <w:rsid w:val="00B155CF"/>
    <w:rsid w:val="00B1584B"/>
    <w:rsid w:val="00B15877"/>
    <w:rsid w:val="00B15B5B"/>
    <w:rsid w:val="00B15CAA"/>
    <w:rsid w:val="00B160E3"/>
    <w:rsid w:val="00B162A0"/>
    <w:rsid w:val="00B16666"/>
    <w:rsid w:val="00B16903"/>
    <w:rsid w:val="00B16A41"/>
    <w:rsid w:val="00B16A81"/>
    <w:rsid w:val="00B16C73"/>
    <w:rsid w:val="00B16E53"/>
    <w:rsid w:val="00B16F66"/>
    <w:rsid w:val="00B1733A"/>
    <w:rsid w:val="00B175DE"/>
    <w:rsid w:val="00B176D3"/>
    <w:rsid w:val="00B179CD"/>
    <w:rsid w:val="00B17A1B"/>
    <w:rsid w:val="00B17C98"/>
    <w:rsid w:val="00B20566"/>
    <w:rsid w:val="00B2067A"/>
    <w:rsid w:val="00B206AB"/>
    <w:rsid w:val="00B2086C"/>
    <w:rsid w:val="00B20A3A"/>
    <w:rsid w:val="00B20DB0"/>
    <w:rsid w:val="00B20E72"/>
    <w:rsid w:val="00B210FE"/>
    <w:rsid w:val="00B216D7"/>
    <w:rsid w:val="00B21AE7"/>
    <w:rsid w:val="00B21C26"/>
    <w:rsid w:val="00B21CA6"/>
    <w:rsid w:val="00B21FBA"/>
    <w:rsid w:val="00B2218C"/>
    <w:rsid w:val="00B22323"/>
    <w:rsid w:val="00B223BA"/>
    <w:rsid w:val="00B22572"/>
    <w:rsid w:val="00B2278C"/>
    <w:rsid w:val="00B227B2"/>
    <w:rsid w:val="00B2313F"/>
    <w:rsid w:val="00B2344F"/>
    <w:rsid w:val="00B240C0"/>
    <w:rsid w:val="00B243D2"/>
    <w:rsid w:val="00B243FC"/>
    <w:rsid w:val="00B245CB"/>
    <w:rsid w:val="00B247B2"/>
    <w:rsid w:val="00B24A1F"/>
    <w:rsid w:val="00B24A9E"/>
    <w:rsid w:val="00B24C58"/>
    <w:rsid w:val="00B24DCA"/>
    <w:rsid w:val="00B24E2E"/>
    <w:rsid w:val="00B2545D"/>
    <w:rsid w:val="00B25649"/>
    <w:rsid w:val="00B2567A"/>
    <w:rsid w:val="00B25A67"/>
    <w:rsid w:val="00B25B0F"/>
    <w:rsid w:val="00B2609A"/>
    <w:rsid w:val="00B260E3"/>
    <w:rsid w:val="00B262B8"/>
    <w:rsid w:val="00B265BC"/>
    <w:rsid w:val="00B269D5"/>
    <w:rsid w:val="00B26A95"/>
    <w:rsid w:val="00B272B2"/>
    <w:rsid w:val="00B2731B"/>
    <w:rsid w:val="00B275B6"/>
    <w:rsid w:val="00B27745"/>
    <w:rsid w:val="00B27C77"/>
    <w:rsid w:val="00B27FAC"/>
    <w:rsid w:val="00B3065A"/>
    <w:rsid w:val="00B30876"/>
    <w:rsid w:val="00B30C6F"/>
    <w:rsid w:val="00B30E47"/>
    <w:rsid w:val="00B31128"/>
    <w:rsid w:val="00B31151"/>
    <w:rsid w:val="00B31355"/>
    <w:rsid w:val="00B3145F"/>
    <w:rsid w:val="00B31659"/>
    <w:rsid w:val="00B3168E"/>
    <w:rsid w:val="00B318B7"/>
    <w:rsid w:val="00B319AE"/>
    <w:rsid w:val="00B32353"/>
    <w:rsid w:val="00B3247A"/>
    <w:rsid w:val="00B325DF"/>
    <w:rsid w:val="00B3260B"/>
    <w:rsid w:val="00B32641"/>
    <w:rsid w:val="00B3282F"/>
    <w:rsid w:val="00B32844"/>
    <w:rsid w:val="00B328B9"/>
    <w:rsid w:val="00B32A03"/>
    <w:rsid w:val="00B32A18"/>
    <w:rsid w:val="00B32A6A"/>
    <w:rsid w:val="00B32AE4"/>
    <w:rsid w:val="00B32C23"/>
    <w:rsid w:val="00B32CDB"/>
    <w:rsid w:val="00B32D47"/>
    <w:rsid w:val="00B32E03"/>
    <w:rsid w:val="00B33255"/>
    <w:rsid w:val="00B3325F"/>
    <w:rsid w:val="00B33699"/>
    <w:rsid w:val="00B3382C"/>
    <w:rsid w:val="00B3390D"/>
    <w:rsid w:val="00B33A2D"/>
    <w:rsid w:val="00B33F4C"/>
    <w:rsid w:val="00B340F2"/>
    <w:rsid w:val="00B344E9"/>
    <w:rsid w:val="00B34A88"/>
    <w:rsid w:val="00B34B78"/>
    <w:rsid w:val="00B34D6A"/>
    <w:rsid w:val="00B34FCE"/>
    <w:rsid w:val="00B35217"/>
    <w:rsid w:val="00B35259"/>
    <w:rsid w:val="00B3527D"/>
    <w:rsid w:val="00B3557A"/>
    <w:rsid w:val="00B356F8"/>
    <w:rsid w:val="00B358E3"/>
    <w:rsid w:val="00B35917"/>
    <w:rsid w:val="00B35AD1"/>
    <w:rsid w:val="00B35AD3"/>
    <w:rsid w:val="00B35CDB"/>
    <w:rsid w:val="00B35D2A"/>
    <w:rsid w:val="00B36220"/>
    <w:rsid w:val="00B3656B"/>
    <w:rsid w:val="00B3695E"/>
    <w:rsid w:val="00B36BEE"/>
    <w:rsid w:val="00B370AA"/>
    <w:rsid w:val="00B3770B"/>
    <w:rsid w:val="00B37E46"/>
    <w:rsid w:val="00B37FEF"/>
    <w:rsid w:val="00B40163"/>
    <w:rsid w:val="00B402B5"/>
    <w:rsid w:val="00B403F8"/>
    <w:rsid w:val="00B404C8"/>
    <w:rsid w:val="00B40680"/>
    <w:rsid w:val="00B406B3"/>
    <w:rsid w:val="00B40774"/>
    <w:rsid w:val="00B40BA7"/>
    <w:rsid w:val="00B40E08"/>
    <w:rsid w:val="00B40EE3"/>
    <w:rsid w:val="00B40FAB"/>
    <w:rsid w:val="00B418EB"/>
    <w:rsid w:val="00B4191B"/>
    <w:rsid w:val="00B41CCA"/>
    <w:rsid w:val="00B4210F"/>
    <w:rsid w:val="00B42227"/>
    <w:rsid w:val="00B423A7"/>
    <w:rsid w:val="00B424E8"/>
    <w:rsid w:val="00B4279A"/>
    <w:rsid w:val="00B42B6D"/>
    <w:rsid w:val="00B42E2F"/>
    <w:rsid w:val="00B430B0"/>
    <w:rsid w:val="00B434A0"/>
    <w:rsid w:val="00B4350D"/>
    <w:rsid w:val="00B435BD"/>
    <w:rsid w:val="00B43922"/>
    <w:rsid w:val="00B43A7B"/>
    <w:rsid w:val="00B43CE3"/>
    <w:rsid w:val="00B444B1"/>
    <w:rsid w:val="00B445DF"/>
    <w:rsid w:val="00B44B8F"/>
    <w:rsid w:val="00B44CB3"/>
    <w:rsid w:val="00B45263"/>
    <w:rsid w:val="00B456FC"/>
    <w:rsid w:val="00B45785"/>
    <w:rsid w:val="00B45E81"/>
    <w:rsid w:val="00B46217"/>
    <w:rsid w:val="00B46595"/>
    <w:rsid w:val="00B4695C"/>
    <w:rsid w:val="00B46B1F"/>
    <w:rsid w:val="00B46B28"/>
    <w:rsid w:val="00B46C1E"/>
    <w:rsid w:val="00B46E6B"/>
    <w:rsid w:val="00B46F5B"/>
    <w:rsid w:val="00B46FA1"/>
    <w:rsid w:val="00B470E9"/>
    <w:rsid w:val="00B47149"/>
    <w:rsid w:val="00B47575"/>
    <w:rsid w:val="00B47788"/>
    <w:rsid w:val="00B47CBE"/>
    <w:rsid w:val="00B47DC8"/>
    <w:rsid w:val="00B50145"/>
    <w:rsid w:val="00B50537"/>
    <w:rsid w:val="00B505EF"/>
    <w:rsid w:val="00B5075F"/>
    <w:rsid w:val="00B50BA4"/>
    <w:rsid w:val="00B50BBC"/>
    <w:rsid w:val="00B50C13"/>
    <w:rsid w:val="00B50EF1"/>
    <w:rsid w:val="00B50F7C"/>
    <w:rsid w:val="00B5125B"/>
    <w:rsid w:val="00B51888"/>
    <w:rsid w:val="00B5188D"/>
    <w:rsid w:val="00B5219B"/>
    <w:rsid w:val="00B522E3"/>
    <w:rsid w:val="00B52725"/>
    <w:rsid w:val="00B52CEB"/>
    <w:rsid w:val="00B52D56"/>
    <w:rsid w:val="00B53092"/>
    <w:rsid w:val="00B53164"/>
    <w:rsid w:val="00B53973"/>
    <w:rsid w:val="00B539D1"/>
    <w:rsid w:val="00B53D95"/>
    <w:rsid w:val="00B54695"/>
    <w:rsid w:val="00B547F1"/>
    <w:rsid w:val="00B5484A"/>
    <w:rsid w:val="00B549B9"/>
    <w:rsid w:val="00B54A75"/>
    <w:rsid w:val="00B54BCA"/>
    <w:rsid w:val="00B54EC9"/>
    <w:rsid w:val="00B54FE6"/>
    <w:rsid w:val="00B54FEA"/>
    <w:rsid w:val="00B5572C"/>
    <w:rsid w:val="00B55D8F"/>
    <w:rsid w:val="00B55F3C"/>
    <w:rsid w:val="00B55F70"/>
    <w:rsid w:val="00B56078"/>
    <w:rsid w:val="00B563F7"/>
    <w:rsid w:val="00B566D1"/>
    <w:rsid w:val="00B566F9"/>
    <w:rsid w:val="00B56B75"/>
    <w:rsid w:val="00B56C07"/>
    <w:rsid w:val="00B56C60"/>
    <w:rsid w:val="00B56E25"/>
    <w:rsid w:val="00B56ED2"/>
    <w:rsid w:val="00B57693"/>
    <w:rsid w:val="00B602DC"/>
    <w:rsid w:val="00B60529"/>
    <w:rsid w:val="00B60540"/>
    <w:rsid w:val="00B605C7"/>
    <w:rsid w:val="00B60EE2"/>
    <w:rsid w:val="00B60FF2"/>
    <w:rsid w:val="00B61383"/>
    <w:rsid w:val="00B61A70"/>
    <w:rsid w:val="00B61E6F"/>
    <w:rsid w:val="00B62347"/>
    <w:rsid w:val="00B6260E"/>
    <w:rsid w:val="00B62638"/>
    <w:rsid w:val="00B62A2A"/>
    <w:rsid w:val="00B62A4A"/>
    <w:rsid w:val="00B62A83"/>
    <w:rsid w:val="00B62FB6"/>
    <w:rsid w:val="00B633D1"/>
    <w:rsid w:val="00B636A6"/>
    <w:rsid w:val="00B6392A"/>
    <w:rsid w:val="00B63ADD"/>
    <w:rsid w:val="00B63F58"/>
    <w:rsid w:val="00B64049"/>
    <w:rsid w:val="00B6413A"/>
    <w:rsid w:val="00B64366"/>
    <w:rsid w:val="00B643AC"/>
    <w:rsid w:val="00B64436"/>
    <w:rsid w:val="00B64733"/>
    <w:rsid w:val="00B64A02"/>
    <w:rsid w:val="00B64AA2"/>
    <w:rsid w:val="00B64BD2"/>
    <w:rsid w:val="00B64CEC"/>
    <w:rsid w:val="00B65584"/>
    <w:rsid w:val="00B655F3"/>
    <w:rsid w:val="00B656D0"/>
    <w:rsid w:val="00B656E1"/>
    <w:rsid w:val="00B65A03"/>
    <w:rsid w:val="00B65AF1"/>
    <w:rsid w:val="00B65B1E"/>
    <w:rsid w:val="00B65C50"/>
    <w:rsid w:val="00B66050"/>
    <w:rsid w:val="00B66291"/>
    <w:rsid w:val="00B663F1"/>
    <w:rsid w:val="00B66515"/>
    <w:rsid w:val="00B66643"/>
    <w:rsid w:val="00B66971"/>
    <w:rsid w:val="00B66C0F"/>
    <w:rsid w:val="00B6707A"/>
    <w:rsid w:val="00B67395"/>
    <w:rsid w:val="00B674AA"/>
    <w:rsid w:val="00B6762E"/>
    <w:rsid w:val="00B6771A"/>
    <w:rsid w:val="00B678C7"/>
    <w:rsid w:val="00B6796F"/>
    <w:rsid w:val="00B67A1C"/>
    <w:rsid w:val="00B67B5E"/>
    <w:rsid w:val="00B67E7E"/>
    <w:rsid w:val="00B700D3"/>
    <w:rsid w:val="00B70269"/>
    <w:rsid w:val="00B70766"/>
    <w:rsid w:val="00B70990"/>
    <w:rsid w:val="00B70DFF"/>
    <w:rsid w:val="00B70EAA"/>
    <w:rsid w:val="00B70ED2"/>
    <w:rsid w:val="00B71044"/>
    <w:rsid w:val="00B7143A"/>
    <w:rsid w:val="00B714BC"/>
    <w:rsid w:val="00B71711"/>
    <w:rsid w:val="00B71848"/>
    <w:rsid w:val="00B718BB"/>
    <w:rsid w:val="00B71CE4"/>
    <w:rsid w:val="00B71F28"/>
    <w:rsid w:val="00B7207D"/>
    <w:rsid w:val="00B722E7"/>
    <w:rsid w:val="00B72317"/>
    <w:rsid w:val="00B726DF"/>
    <w:rsid w:val="00B7274E"/>
    <w:rsid w:val="00B7277B"/>
    <w:rsid w:val="00B727AA"/>
    <w:rsid w:val="00B72FC0"/>
    <w:rsid w:val="00B732E7"/>
    <w:rsid w:val="00B7336E"/>
    <w:rsid w:val="00B73764"/>
    <w:rsid w:val="00B73816"/>
    <w:rsid w:val="00B7392C"/>
    <w:rsid w:val="00B73B9C"/>
    <w:rsid w:val="00B73C9F"/>
    <w:rsid w:val="00B73E65"/>
    <w:rsid w:val="00B73F8F"/>
    <w:rsid w:val="00B745E9"/>
    <w:rsid w:val="00B74648"/>
    <w:rsid w:val="00B746DD"/>
    <w:rsid w:val="00B74B97"/>
    <w:rsid w:val="00B74BFA"/>
    <w:rsid w:val="00B74DE0"/>
    <w:rsid w:val="00B75C6D"/>
    <w:rsid w:val="00B75C84"/>
    <w:rsid w:val="00B75C9E"/>
    <w:rsid w:val="00B75EA6"/>
    <w:rsid w:val="00B762C7"/>
    <w:rsid w:val="00B762EE"/>
    <w:rsid w:val="00B763B2"/>
    <w:rsid w:val="00B76439"/>
    <w:rsid w:val="00B76573"/>
    <w:rsid w:val="00B7665C"/>
    <w:rsid w:val="00B766E6"/>
    <w:rsid w:val="00B76828"/>
    <w:rsid w:val="00B76B66"/>
    <w:rsid w:val="00B76E63"/>
    <w:rsid w:val="00B76FFF"/>
    <w:rsid w:val="00B773CB"/>
    <w:rsid w:val="00B77420"/>
    <w:rsid w:val="00B77470"/>
    <w:rsid w:val="00B774CD"/>
    <w:rsid w:val="00B7763B"/>
    <w:rsid w:val="00B7764A"/>
    <w:rsid w:val="00B77755"/>
    <w:rsid w:val="00B77BC4"/>
    <w:rsid w:val="00B8009E"/>
    <w:rsid w:val="00B80778"/>
    <w:rsid w:val="00B8093D"/>
    <w:rsid w:val="00B809BB"/>
    <w:rsid w:val="00B80AEE"/>
    <w:rsid w:val="00B80AFF"/>
    <w:rsid w:val="00B80C44"/>
    <w:rsid w:val="00B80ED6"/>
    <w:rsid w:val="00B814ED"/>
    <w:rsid w:val="00B8155B"/>
    <w:rsid w:val="00B81B09"/>
    <w:rsid w:val="00B81E4B"/>
    <w:rsid w:val="00B81F0D"/>
    <w:rsid w:val="00B8214F"/>
    <w:rsid w:val="00B822D5"/>
    <w:rsid w:val="00B82481"/>
    <w:rsid w:val="00B824DF"/>
    <w:rsid w:val="00B824F7"/>
    <w:rsid w:val="00B8267B"/>
    <w:rsid w:val="00B82702"/>
    <w:rsid w:val="00B829AC"/>
    <w:rsid w:val="00B82AED"/>
    <w:rsid w:val="00B82D68"/>
    <w:rsid w:val="00B830F7"/>
    <w:rsid w:val="00B832E8"/>
    <w:rsid w:val="00B83A47"/>
    <w:rsid w:val="00B83AF3"/>
    <w:rsid w:val="00B83B91"/>
    <w:rsid w:val="00B83CC6"/>
    <w:rsid w:val="00B83D3F"/>
    <w:rsid w:val="00B8433A"/>
    <w:rsid w:val="00B845F7"/>
    <w:rsid w:val="00B8475B"/>
    <w:rsid w:val="00B84A0C"/>
    <w:rsid w:val="00B84A72"/>
    <w:rsid w:val="00B84BB0"/>
    <w:rsid w:val="00B84BEB"/>
    <w:rsid w:val="00B85134"/>
    <w:rsid w:val="00B851FB"/>
    <w:rsid w:val="00B85295"/>
    <w:rsid w:val="00B8530F"/>
    <w:rsid w:val="00B853D5"/>
    <w:rsid w:val="00B85602"/>
    <w:rsid w:val="00B85BCE"/>
    <w:rsid w:val="00B8622C"/>
    <w:rsid w:val="00B866DC"/>
    <w:rsid w:val="00B86ABA"/>
    <w:rsid w:val="00B86E39"/>
    <w:rsid w:val="00B86FD3"/>
    <w:rsid w:val="00B8733F"/>
    <w:rsid w:val="00B87513"/>
    <w:rsid w:val="00B87805"/>
    <w:rsid w:val="00B878D6"/>
    <w:rsid w:val="00B87C01"/>
    <w:rsid w:val="00B87FA5"/>
    <w:rsid w:val="00B902D0"/>
    <w:rsid w:val="00B9063A"/>
    <w:rsid w:val="00B90658"/>
    <w:rsid w:val="00B908CF"/>
    <w:rsid w:val="00B90C5F"/>
    <w:rsid w:val="00B90C91"/>
    <w:rsid w:val="00B910FF"/>
    <w:rsid w:val="00B9111A"/>
    <w:rsid w:val="00B91591"/>
    <w:rsid w:val="00B917E2"/>
    <w:rsid w:val="00B91C3A"/>
    <w:rsid w:val="00B91CA1"/>
    <w:rsid w:val="00B91FC9"/>
    <w:rsid w:val="00B9244C"/>
    <w:rsid w:val="00B928BF"/>
    <w:rsid w:val="00B928D5"/>
    <w:rsid w:val="00B9291D"/>
    <w:rsid w:val="00B92B7B"/>
    <w:rsid w:val="00B92B8C"/>
    <w:rsid w:val="00B92D01"/>
    <w:rsid w:val="00B92E21"/>
    <w:rsid w:val="00B92E64"/>
    <w:rsid w:val="00B93320"/>
    <w:rsid w:val="00B9376B"/>
    <w:rsid w:val="00B93851"/>
    <w:rsid w:val="00B93E75"/>
    <w:rsid w:val="00B942DC"/>
    <w:rsid w:val="00B94428"/>
    <w:rsid w:val="00B945C4"/>
    <w:rsid w:val="00B94862"/>
    <w:rsid w:val="00B94942"/>
    <w:rsid w:val="00B94B54"/>
    <w:rsid w:val="00B94C54"/>
    <w:rsid w:val="00B94C9B"/>
    <w:rsid w:val="00B95174"/>
    <w:rsid w:val="00B952DB"/>
    <w:rsid w:val="00B9544C"/>
    <w:rsid w:val="00B954E8"/>
    <w:rsid w:val="00B95528"/>
    <w:rsid w:val="00B95A2A"/>
    <w:rsid w:val="00B95A51"/>
    <w:rsid w:val="00B95A8E"/>
    <w:rsid w:val="00B95E98"/>
    <w:rsid w:val="00B95ECD"/>
    <w:rsid w:val="00B96281"/>
    <w:rsid w:val="00B963B7"/>
    <w:rsid w:val="00B96472"/>
    <w:rsid w:val="00B96721"/>
    <w:rsid w:val="00B96741"/>
    <w:rsid w:val="00B96847"/>
    <w:rsid w:val="00B9689B"/>
    <w:rsid w:val="00B968B8"/>
    <w:rsid w:val="00B96F4F"/>
    <w:rsid w:val="00B974EB"/>
    <w:rsid w:val="00B978D4"/>
    <w:rsid w:val="00B9791D"/>
    <w:rsid w:val="00B97DD7"/>
    <w:rsid w:val="00BA0253"/>
    <w:rsid w:val="00BA03BC"/>
    <w:rsid w:val="00BA05AD"/>
    <w:rsid w:val="00BA060F"/>
    <w:rsid w:val="00BA097C"/>
    <w:rsid w:val="00BA0B8F"/>
    <w:rsid w:val="00BA0C91"/>
    <w:rsid w:val="00BA0D06"/>
    <w:rsid w:val="00BA0DBB"/>
    <w:rsid w:val="00BA0DF9"/>
    <w:rsid w:val="00BA10FD"/>
    <w:rsid w:val="00BA116F"/>
    <w:rsid w:val="00BA12B6"/>
    <w:rsid w:val="00BA1495"/>
    <w:rsid w:val="00BA14F3"/>
    <w:rsid w:val="00BA1541"/>
    <w:rsid w:val="00BA15DB"/>
    <w:rsid w:val="00BA169B"/>
    <w:rsid w:val="00BA1767"/>
    <w:rsid w:val="00BA1863"/>
    <w:rsid w:val="00BA189C"/>
    <w:rsid w:val="00BA1D48"/>
    <w:rsid w:val="00BA1F30"/>
    <w:rsid w:val="00BA2060"/>
    <w:rsid w:val="00BA20C0"/>
    <w:rsid w:val="00BA2121"/>
    <w:rsid w:val="00BA28C2"/>
    <w:rsid w:val="00BA2A99"/>
    <w:rsid w:val="00BA2B04"/>
    <w:rsid w:val="00BA2DE4"/>
    <w:rsid w:val="00BA2F78"/>
    <w:rsid w:val="00BA2FCA"/>
    <w:rsid w:val="00BA31DA"/>
    <w:rsid w:val="00BA355F"/>
    <w:rsid w:val="00BA3CC1"/>
    <w:rsid w:val="00BA46C3"/>
    <w:rsid w:val="00BA4868"/>
    <w:rsid w:val="00BA49FB"/>
    <w:rsid w:val="00BA4D8D"/>
    <w:rsid w:val="00BA536E"/>
    <w:rsid w:val="00BA5CDB"/>
    <w:rsid w:val="00BA5E65"/>
    <w:rsid w:val="00BA61FC"/>
    <w:rsid w:val="00BA623B"/>
    <w:rsid w:val="00BA626C"/>
    <w:rsid w:val="00BA631B"/>
    <w:rsid w:val="00BA6592"/>
    <w:rsid w:val="00BA6688"/>
    <w:rsid w:val="00BA6959"/>
    <w:rsid w:val="00BA69AA"/>
    <w:rsid w:val="00BA6B08"/>
    <w:rsid w:val="00BA6B62"/>
    <w:rsid w:val="00BA6D7B"/>
    <w:rsid w:val="00BA6F2B"/>
    <w:rsid w:val="00BA73AF"/>
    <w:rsid w:val="00BA761F"/>
    <w:rsid w:val="00BA7B20"/>
    <w:rsid w:val="00BA7E6A"/>
    <w:rsid w:val="00BA7F8E"/>
    <w:rsid w:val="00BB01CB"/>
    <w:rsid w:val="00BB050A"/>
    <w:rsid w:val="00BB0558"/>
    <w:rsid w:val="00BB06A0"/>
    <w:rsid w:val="00BB0756"/>
    <w:rsid w:val="00BB0987"/>
    <w:rsid w:val="00BB0BBD"/>
    <w:rsid w:val="00BB0BCF"/>
    <w:rsid w:val="00BB0E1D"/>
    <w:rsid w:val="00BB1544"/>
    <w:rsid w:val="00BB165F"/>
    <w:rsid w:val="00BB17AE"/>
    <w:rsid w:val="00BB1967"/>
    <w:rsid w:val="00BB1B1A"/>
    <w:rsid w:val="00BB1E2E"/>
    <w:rsid w:val="00BB1E7A"/>
    <w:rsid w:val="00BB1FAE"/>
    <w:rsid w:val="00BB1FD3"/>
    <w:rsid w:val="00BB233B"/>
    <w:rsid w:val="00BB2610"/>
    <w:rsid w:val="00BB279D"/>
    <w:rsid w:val="00BB2E7A"/>
    <w:rsid w:val="00BB3216"/>
    <w:rsid w:val="00BB3C39"/>
    <w:rsid w:val="00BB3D9F"/>
    <w:rsid w:val="00BB3F8C"/>
    <w:rsid w:val="00BB41E1"/>
    <w:rsid w:val="00BB41EC"/>
    <w:rsid w:val="00BB4367"/>
    <w:rsid w:val="00BB4A48"/>
    <w:rsid w:val="00BB511B"/>
    <w:rsid w:val="00BB53B4"/>
    <w:rsid w:val="00BB5508"/>
    <w:rsid w:val="00BB5656"/>
    <w:rsid w:val="00BB5EDB"/>
    <w:rsid w:val="00BB6398"/>
    <w:rsid w:val="00BB64BA"/>
    <w:rsid w:val="00BB6615"/>
    <w:rsid w:val="00BB68FB"/>
    <w:rsid w:val="00BB6902"/>
    <w:rsid w:val="00BB6911"/>
    <w:rsid w:val="00BB6C12"/>
    <w:rsid w:val="00BB6D6C"/>
    <w:rsid w:val="00BB6E79"/>
    <w:rsid w:val="00BB7506"/>
    <w:rsid w:val="00BB7558"/>
    <w:rsid w:val="00BB77D7"/>
    <w:rsid w:val="00BB78AD"/>
    <w:rsid w:val="00BB79E3"/>
    <w:rsid w:val="00BC0376"/>
    <w:rsid w:val="00BC045C"/>
    <w:rsid w:val="00BC051B"/>
    <w:rsid w:val="00BC0C10"/>
    <w:rsid w:val="00BC0ED2"/>
    <w:rsid w:val="00BC1501"/>
    <w:rsid w:val="00BC189E"/>
    <w:rsid w:val="00BC1978"/>
    <w:rsid w:val="00BC1A27"/>
    <w:rsid w:val="00BC1CC4"/>
    <w:rsid w:val="00BC1DED"/>
    <w:rsid w:val="00BC1F4C"/>
    <w:rsid w:val="00BC217C"/>
    <w:rsid w:val="00BC235A"/>
    <w:rsid w:val="00BC2493"/>
    <w:rsid w:val="00BC2597"/>
    <w:rsid w:val="00BC2FCA"/>
    <w:rsid w:val="00BC3434"/>
    <w:rsid w:val="00BC361A"/>
    <w:rsid w:val="00BC3650"/>
    <w:rsid w:val="00BC36DE"/>
    <w:rsid w:val="00BC3772"/>
    <w:rsid w:val="00BC3775"/>
    <w:rsid w:val="00BC3D46"/>
    <w:rsid w:val="00BC3DD7"/>
    <w:rsid w:val="00BC4290"/>
    <w:rsid w:val="00BC441E"/>
    <w:rsid w:val="00BC4E60"/>
    <w:rsid w:val="00BC5343"/>
    <w:rsid w:val="00BC556D"/>
    <w:rsid w:val="00BC55B6"/>
    <w:rsid w:val="00BC5731"/>
    <w:rsid w:val="00BC58E1"/>
    <w:rsid w:val="00BC5AEC"/>
    <w:rsid w:val="00BC5CD7"/>
    <w:rsid w:val="00BC5F0A"/>
    <w:rsid w:val="00BC679A"/>
    <w:rsid w:val="00BC67CF"/>
    <w:rsid w:val="00BC6B77"/>
    <w:rsid w:val="00BC6C1F"/>
    <w:rsid w:val="00BC6E36"/>
    <w:rsid w:val="00BC70E4"/>
    <w:rsid w:val="00BC7294"/>
    <w:rsid w:val="00BC74D1"/>
    <w:rsid w:val="00BC75DC"/>
    <w:rsid w:val="00BC7E2A"/>
    <w:rsid w:val="00BC7ECA"/>
    <w:rsid w:val="00BD00E7"/>
    <w:rsid w:val="00BD01DA"/>
    <w:rsid w:val="00BD04E6"/>
    <w:rsid w:val="00BD08C9"/>
    <w:rsid w:val="00BD09AC"/>
    <w:rsid w:val="00BD0BF6"/>
    <w:rsid w:val="00BD0C22"/>
    <w:rsid w:val="00BD159E"/>
    <w:rsid w:val="00BD16AE"/>
    <w:rsid w:val="00BD1821"/>
    <w:rsid w:val="00BD1A29"/>
    <w:rsid w:val="00BD1C07"/>
    <w:rsid w:val="00BD1EAD"/>
    <w:rsid w:val="00BD22F1"/>
    <w:rsid w:val="00BD2748"/>
    <w:rsid w:val="00BD27BF"/>
    <w:rsid w:val="00BD2A79"/>
    <w:rsid w:val="00BD2DA1"/>
    <w:rsid w:val="00BD3037"/>
    <w:rsid w:val="00BD30D5"/>
    <w:rsid w:val="00BD3329"/>
    <w:rsid w:val="00BD33F3"/>
    <w:rsid w:val="00BD3717"/>
    <w:rsid w:val="00BD37C2"/>
    <w:rsid w:val="00BD38F4"/>
    <w:rsid w:val="00BD3B5F"/>
    <w:rsid w:val="00BD3BAE"/>
    <w:rsid w:val="00BD3E89"/>
    <w:rsid w:val="00BD4547"/>
    <w:rsid w:val="00BD494E"/>
    <w:rsid w:val="00BD4A7D"/>
    <w:rsid w:val="00BD56C4"/>
    <w:rsid w:val="00BD5F84"/>
    <w:rsid w:val="00BD6009"/>
    <w:rsid w:val="00BD6719"/>
    <w:rsid w:val="00BD6AC6"/>
    <w:rsid w:val="00BD6E80"/>
    <w:rsid w:val="00BD7097"/>
    <w:rsid w:val="00BD7172"/>
    <w:rsid w:val="00BD740D"/>
    <w:rsid w:val="00BD782C"/>
    <w:rsid w:val="00BD79E7"/>
    <w:rsid w:val="00BD7D17"/>
    <w:rsid w:val="00BD7F65"/>
    <w:rsid w:val="00BE0004"/>
    <w:rsid w:val="00BE0561"/>
    <w:rsid w:val="00BE0581"/>
    <w:rsid w:val="00BE05B1"/>
    <w:rsid w:val="00BE05F8"/>
    <w:rsid w:val="00BE0826"/>
    <w:rsid w:val="00BE0A53"/>
    <w:rsid w:val="00BE0C6A"/>
    <w:rsid w:val="00BE0EF7"/>
    <w:rsid w:val="00BE0F5F"/>
    <w:rsid w:val="00BE1586"/>
    <w:rsid w:val="00BE15EE"/>
    <w:rsid w:val="00BE16E8"/>
    <w:rsid w:val="00BE18D9"/>
    <w:rsid w:val="00BE1A96"/>
    <w:rsid w:val="00BE1D92"/>
    <w:rsid w:val="00BE1DB7"/>
    <w:rsid w:val="00BE1E6C"/>
    <w:rsid w:val="00BE208B"/>
    <w:rsid w:val="00BE2379"/>
    <w:rsid w:val="00BE2BC0"/>
    <w:rsid w:val="00BE2C9F"/>
    <w:rsid w:val="00BE2FC6"/>
    <w:rsid w:val="00BE31A9"/>
    <w:rsid w:val="00BE3384"/>
    <w:rsid w:val="00BE3C30"/>
    <w:rsid w:val="00BE3EF1"/>
    <w:rsid w:val="00BE3F0C"/>
    <w:rsid w:val="00BE41A8"/>
    <w:rsid w:val="00BE45BC"/>
    <w:rsid w:val="00BE4642"/>
    <w:rsid w:val="00BE48F9"/>
    <w:rsid w:val="00BE4F9B"/>
    <w:rsid w:val="00BE52B4"/>
    <w:rsid w:val="00BE5586"/>
    <w:rsid w:val="00BE5708"/>
    <w:rsid w:val="00BE58B8"/>
    <w:rsid w:val="00BE592F"/>
    <w:rsid w:val="00BE6256"/>
    <w:rsid w:val="00BE635B"/>
    <w:rsid w:val="00BE6456"/>
    <w:rsid w:val="00BE67BB"/>
    <w:rsid w:val="00BE6BC1"/>
    <w:rsid w:val="00BE6BEC"/>
    <w:rsid w:val="00BE6BF8"/>
    <w:rsid w:val="00BE6C26"/>
    <w:rsid w:val="00BE6CDF"/>
    <w:rsid w:val="00BE6D03"/>
    <w:rsid w:val="00BE6DCD"/>
    <w:rsid w:val="00BE6E15"/>
    <w:rsid w:val="00BE75C1"/>
    <w:rsid w:val="00BE77E2"/>
    <w:rsid w:val="00BE79FF"/>
    <w:rsid w:val="00BE7CF4"/>
    <w:rsid w:val="00BE7D94"/>
    <w:rsid w:val="00BE7ECB"/>
    <w:rsid w:val="00BF0055"/>
    <w:rsid w:val="00BF02F6"/>
    <w:rsid w:val="00BF03B4"/>
    <w:rsid w:val="00BF068B"/>
    <w:rsid w:val="00BF0EA9"/>
    <w:rsid w:val="00BF0FDE"/>
    <w:rsid w:val="00BF10EB"/>
    <w:rsid w:val="00BF1232"/>
    <w:rsid w:val="00BF12F2"/>
    <w:rsid w:val="00BF1881"/>
    <w:rsid w:val="00BF1BC8"/>
    <w:rsid w:val="00BF1DF5"/>
    <w:rsid w:val="00BF1E2B"/>
    <w:rsid w:val="00BF1FA2"/>
    <w:rsid w:val="00BF2325"/>
    <w:rsid w:val="00BF2507"/>
    <w:rsid w:val="00BF2B6A"/>
    <w:rsid w:val="00BF2CC1"/>
    <w:rsid w:val="00BF2D39"/>
    <w:rsid w:val="00BF311E"/>
    <w:rsid w:val="00BF3A80"/>
    <w:rsid w:val="00BF3AA4"/>
    <w:rsid w:val="00BF41C6"/>
    <w:rsid w:val="00BF42D2"/>
    <w:rsid w:val="00BF4528"/>
    <w:rsid w:val="00BF4737"/>
    <w:rsid w:val="00BF491F"/>
    <w:rsid w:val="00BF49A7"/>
    <w:rsid w:val="00BF552D"/>
    <w:rsid w:val="00BF5648"/>
    <w:rsid w:val="00BF56F2"/>
    <w:rsid w:val="00BF58B1"/>
    <w:rsid w:val="00BF5C1D"/>
    <w:rsid w:val="00BF5CC9"/>
    <w:rsid w:val="00BF5D1D"/>
    <w:rsid w:val="00BF5E3C"/>
    <w:rsid w:val="00BF6331"/>
    <w:rsid w:val="00BF63BC"/>
    <w:rsid w:val="00BF6756"/>
    <w:rsid w:val="00BF68E7"/>
    <w:rsid w:val="00BF6C40"/>
    <w:rsid w:val="00BF6E33"/>
    <w:rsid w:val="00BF7403"/>
    <w:rsid w:val="00BF768E"/>
    <w:rsid w:val="00BF7732"/>
    <w:rsid w:val="00BF792C"/>
    <w:rsid w:val="00BF798A"/>
    <w:rsid w:val="00BF7B75"/>
    <w:rsid w:val="00BF7C39"/>
    <w:rsid w:val="00BF7F3E"/>
    <w:rsid w:val="00BF7F9E"/>
    <w:rsid w:val="00C0008E"/>
    <w:rsid w:val="00C00099"/>
    <w:rsid w:val="00C0012E"/>
    <w:rsid w:val="00C00140"/>
    <w:rsid w:val="00C004B5"/>
    <w:rsid w:val="00C00955"/>
    <w:rsid w:val="00C00AC8"/>
    <w:rsid w:val="00C01446"/>
    <w:rsid w:val="00C01A29"/>
    <w:rsid w:val="00C02461"/>
    <w:rsid w:val="00C02AD0"/>
    <w:rsid w:val="00C02AFA"/>
    <w:rsid w:val="00C02FBD"/>
    <w:rsid w:val="00C034F2"/>
    <w:rsid w:val="00C037C1"/>
    <w:rsid w:val="00C03907"/>
    <w:rsid w:val="00C03ED1"/>
    <w:rsid w:val="00C03F80"/>
    <w:rsid w:val="00C04122"/>
    <w:rsid w:val="00C043F1"/>
    <w:rsid w:val="00C0451B"/>
    <w:rsid w:val="00C047C7"/>
    <w:rsid w:val="00C048A5"/>
    <w:rsid w:val="00C04A43"/>
    <w:rsid w:val="00C04ABE"/>
    <w:rsid w:val="00C04BA1"/>
    <w:rsid w:val="00C051F5"/>
    <w:rsid w:val="00C0520F"/>
    <w:rsid w:val="00C0550D"/>
    <w:rsid w:val="00C056ED"/>
    <w:rsid w:val="00C05901"/>
    <w:rsid w:val="00C05B1B"/>
    <w:rsid w:val="00C06055"/>
    <w:rsid w:val="00C0605E"/>
    <w:rsid w:val="00C0622E"/>
    <w:rsid w:val="00C06492"/>
    <w:rsid w:val="00C064F2"/>
    <w:rsid w:val="00C0677D"/>
    <w:rsid w:val="00C06A86"/>
    <w:rsid w:val="00C06AEE"/>
    <w:rsid w:val="00C0719E"/>
    <w:rsid w:val="00C072ED"/>
    <w:rsid w:val="00C07369"/>
    <w:rsid w:val="00C07883"/>
    <w:rsid w:val="00C07967"/>
    <w:rsid w:val="00C07A95"/>
    <w:rsid w:val="00C07EC4"/>
    <w:rsid w:val="00C10052"/>
    <w:rsid w:val="00C100CC"/>
    <w:rsid w:val="00C102F8"/>
    <w:rsid w:val="00C103D6"/>
    <w:rsid w:val="00C106EF"/>
    <w:rsid w:val="00C10B09"/>
    <w:rsid w:val="00C10C2B"/>
    <w:rsid w:val="00C10CF6"/>
    <w:rsid w:val="00C10CFB"/>
    <w:rsid w:val="00C10FF3"/>
    <w:rsid w:val="00C11557"/>
    <w:rsid w:val="00C116E0"/>
    <w:rsid w:val="00C117FE"/>
    <w:rsid w:val="00C11D75"/>
    <w:rsid w:val="00C11F72"/>
    <w:rsid w:val="00C1201F"/>
    <w:rsid w:val="00C12094"/>
    <w:rsid w:val="00C120C9"/>
    <w:rsid w:val="00C1218C"/>
    <w:rsid w:val="00C122B4"/>
    <w:rsid w:val="00C12313"/>
    <w:rsid w:val="00C12599"/>
    <w:rsid w:val="00C1278F"/>
    <w:rsid w:val="00C12904"/>
    <w:rsid w:val="00C1294A"/>
    <w:rsid w:val="00C12C74"/>
    <w:rsid w:val="00C1328D"/>
    <w:rsid w:val="00C133D3"/>
    <w:rsid w:val="00C1358B"/>
    <w:rsid w:val="00C1368C"/>
    <w:rsid w:val="00C1384D"/>
    <w:rsid w:val="00C13923"/>
    <w:rsid w:val="00C1396C"/>
    <w:rsid w:val="00C13C7A"/>
    <w:rsid w:val="00C13DF1"/>
    <w:rsid w:val="00C146CE"/>
    <w:rsid w:val="00C14B64"/>
    <w:rsid w:val="00C14F1F"/>
    <w:rsid w:val="00C152B4"/>
    <w:rsid w:val="00C15731"/>
    <w:rsid w:val="00C15A52"/>
    <w:rsid w:val="00C15D51"/>
    <w:rsid w:val="00C15E68"/>
    <w:rsid w:val="00C160D8"/>
    <w:rsid w:val="00C16115"/>
    <w:rsid w:val="00C1619D"/>
    <w:rsid w:val="00C1639D"/>
    <w:rsid w:val="00C164A4"/>
    <w:rsid w:val="00C16550"/>
    <w:rsid w:val="00C1675B"/>
    <w:rsid w:val="00C16A62"/>
    <w:rsid w:val="00C16B09"/>
    <w:rsid w:val="00C16B30"/>
    <w:rsid w:val="00C16EAC"/>
    <w:rsid w:val="00C16EED"/>
    <w:rsid w:val="00C17564"/>
    <w:rsid w:val="00C17584"/>
    <w:rsid w:val="00C175AC"/>
    <w:rsid w:val="00C17672"/>
    <w:rsid w:val="00C179C4"/>
    <w:rsid w:val="00C17A5A"/>
    <w:rsid w:val="00C17A76"/>
    <w:rsid w:val="00C17BB1"/>
    <w:rsid w:val="00C17EE5"/>
    <w:rsid w:val="00C203D9"/>
    <w:rsid w:val="00C2058C"/>
    <w:rsid w:val="00C208D0"/>
    <w:rsid w:val="00C20BAB"/>
    <w:rsid w:val="00C20C97"/>
    <w:rsid w:val="00C20D80"/>
    <w:rsid w:val="00C21610"/>
    <w:rsid w:val="00C21894"/>
    <w:rsid w:val="00C21D33"/>
    <w:rsid w:val="00C21E02"/>
    <w:rsid w:val="00C22139"/>
    <w:rsid w:val="00C223DD"/>
    <w:rsid w:val="00C224DE"/>
    <w:rsid w:val="00C22587"/>
    <w:rsid w:val="00C22B84"/>
    <w:rsid w:val="00C22C43"/>
    <w:rsid w:val="00C2301E"/>
    <w:rsid w:val="00C23137"/>
    <w:rsid w:val="00C236DA"/>
    <w:rsid w:val="00C23737"/>
    <w:rsid w:val="00C23A5A"/>
    <w:rsid w:val="00C23A64"/>
    <w:rsid w:val="00C24265"/>
    <w:rsid w:val="00C24AE8"/>
    <w:rsid w:val="00C24DEB"/>
    <w:rsid w:val="00C2530C"/>
    <w:rsid w:val="00C25712"/>
    <w:rsid w:val="00C25717"/>
    <w:rsid w:val="00C257FA"/>
    <w:rsid w:val="00C259FB"/>
    <w:rsid w:val="00C25B25"/>
    <w:rsid w:val="00C25D03"/>
    <w:rsid w:val="00C26344"/>
    <w:rsid w:val="00C26482"/>
    <w:rsid w:val="00C26502"/>
    <w:rsid w:val="00C2668F"/>
    <w:rsid w:val="00C26826"/>
    <w:rsid w:val="00C26829"/>
    <w:rsid w:val="00C268EB"/>
    <w:rsid w:val="00C26E4B"/>
    <w:rsid w:val="00C26E79"/>
    <w:rsid w:val="00C26F7A"/>
    <w:rsid w:val="00C273B9"/>
    <w:rsid w:val="00C2747F"/>
    <w:rsid w:val="00C27C82"/>
    <w:rsid w:val="00C27EF3"/>
    <w:rsid w:val="00C27FBC"/>
    <w:rsid w:val="00C302A9"/>
    <w:rsid w:val="00C3089C"/>
    <w:rsid w:val="00C30C24"/>
    <w:rsid w:val="00C31194"/>
    <w:rsid w:val="00C3127A"/>
    <w:rsid w:val="00C312A9"/>
    <w:rsid w:val="00C31484"/>
    <w:rsid w:val="00C31654"/>
    <w:rsid w:val="00C31CF3"/>
    <w:rsid w:val="00C31E09"/>
    <w:rsid w:val="00C32565"/>
    <w:rsid w:val="00C327AE"/>
    <w:rsid w:val="00C327CE"/>
    <w:rsid w:val="00C32D77"/>
    <w:rsid w:val="00C334D2"/>
    <w:rsid w:val="00C33A9F"/>
    <w:rsid w:val="00C33BDF"/>
    <w:rsid w:val="00C33D47"/>
    <w:rsid w:val="00C34C54"/>
    <w:rsid w:val="00C34D16"/>
    <w:rsid w:val="00C34E2B"/>
    <w:rsid w:val="00C34EC5"/>
    <w:rsid w:val="00C34FB6"/>
    <w:rsid w:val="00C34FC7"/>
    <w:rsid w:val="00C3507C"/>
    <w:rsid w:val="00C351C6"/>
    <w:rsid w:val="00C353B5"/>
    <w:rsid w:val="00C353EF"/>
    <w:rsid w:val="00C35676"/>
    <w:rsid w:val="00C358C5"/>
    <w:rsid w:val="00C3590E"/>
    <w:rsid w:val="00C3660F"/>
    <w:rsid w:val="00C36AB8"/>
    <w:rsid w:val="00C37C77"/>
    <w:rsid w:val="00C37D13"/>
    <w:rsid w:val="00C37D75"/>
    <w:rsid w:val="00C37D80"/>
    <w:rsid w:val="00C37FE0"/>
    <w:rsid w:val="00C402AF"/>
    <w:rsid w:val="00C40571"/>
    <w:rsid w:val="00C406CE"/>
    <w:rsid w:val="00C40770"/>
    <w:rsid w:val="00C408CC"/>
    <w:rsid w:val="00C40CB4"/>
    <w:rsid w:val="00C41369"/>
    <w:rsid w:val="00C41527"/>
    <w:rsid w:val="00C415DB"/>
    <w:rsid w:val="00C41BAD"/>
    <w:rsid w:val="00C41CF6"/>
    <w:rsid w:val="00C4297E"/>
    <w:rsid w:val="00C42981"/>
    <w:rsid w:val="00C42B37"/>
    <w:rsid w:val="00C42DED"/>
    <w:rsid w:val="00C433C6"/>
    <w:rsid w:val="00C43459"/>
    <w:rsid w:val="00C43482"/>
    <w:rsid w:val="00C436B9"/>
    <w:rsid w:val="00C438BD"/>
    <w:rsid w:val="00C43A13"/>
    <w:rsid w:val="00C43B94"/>
    <w:rsid w:val="00C43DE3"/>
    <w:rsid w:val="00C43EF1"/>
    <w:rsid w:val="00C44076"/>
    <w:rsid w:val="00C4427B"/>
    <w:rsid w:val="00C444E2"/>
    <w:rsid w:val="00C44D4D"/>
    <w:rsid w:val="00C44E25"/>
    <w:rsid w:val="00C44FEA"/>
    <w:rsid w:val="00C45C4B"/>
    <w:rsid w:val="00C45CE3"/>
    <w:rsid w:val="00C45CF7"/>
    <w:rsid w:val="00C45E81"/>
    <w:rsid w:val="00C45FC8"/>
    <w:rsid w:val="00C45FF7"/>
    <w:rsid w:val="00C46495"/>
    <w:rsid w:val="00C4681F"/>
    <w:rsid w:val="00C46AC6"/>
    <w:rsid w:val="00C46B94"/>
    <w:rsid w:val="00C46C05"/>
    <w:rsid w:val="00C46D2F"/>
    <w:rsid w:val="00C46E75"/>
    <w:rsid w:val="00C47166"/>
    <w:rsid w:val="00C4796F"/>
    <w:rsid w:val="00C47BEB"/>
    <w:rsid w:val="00C47E87"/>
    <w:rsid w:val="00C47F03"/>
    <w:rsid w:val="00C47FC4"/>
    <w:rsid w:val="00C47FD4"/>
    <w:rsid w:val="00C50076"/>
    <w:rsid w:val="00C504B6"/>
    <w:rsid w:val="00C50A9B"/>
    <w:rsid w:val="00C50AE8"/>
    <w:rsid w:val="00C50BED"/>
    <w:rsid w:val="00C50CE4"/>
    <w:rsid w:val="00C51008"/>
    <w:rsid w:val="00C51055"/>
    <w:rsid w:val="00C51671"/>
    <w:rsid w:val="00C51C58"/>
    <w:rsid w:val="00C51FCD"/>
    <w:rsid w:val="00C5211B"/>
    <w:rsid w:val="00C522EA"/>
    <w:rsid w:val="00C52701"/>
    <w:rsid w:val="00C52875"/>
    <w:rsid w:val="00C52CB0"/>
    <w:rsid w:val="00C52DB5"/>
    <w:rsid w:val="00C52DB6"/>
    <w:rsid w:val="00C53306"/>
    <w:rsid w:val="00C53449"/>
    <w:rsid w:val="00C53630"/>
    <w:rsid w:val="00C537C1"/>
    <w:rsid w:val="00C53908"/>
    <w:rsid w:val="00C53971"/>
    <w:rsid w:val="00C53DEA"/>
    <w:rsid w:val="00C53F5C"/>
    <w:rsid w:val="00C53F82"/>
    <w:rsid w:val="00C53FFF"/>
    <w:rsid w:val="00C543AF"/>
    <w:rsid w:val="00C54BEA"/>
    <w:rsid w:val="00C55045"/>
    <w:rsid w:val="00C556BD"/>
    <w:rsid w:val="00C556CC"/>
    <w:rsid w:val="00C558FA"/>
    <w:rsid w:val="00C55A8E"/>
    <w:rsid w:val="00C560F8"/>
    <w:rsid w:val="00C5619F"/>
    <w:rsid w:val="00C561DB"/>
    <w:rsid w:val="00C56D06"/>
    <w:rsid w:val="00C56DCD"/>
    <w:rsid w:val="00C56FBB"/>
    <w:rsid w:val="00C573B4"/>
    <w:rsid w:val="00C57629"/>
    <w:rsid w:val="00C578DC"/>
    <w:rsid w:val="00C57CFB"/>
    <w:rsid w:val="00C57E65"/>
    <w:rsid w:val="00C6003E"/>
    <w:rsid w:val="00C6029C"/>
    <w:rsid w:val="00C60383"/>
    <w:rsid w:val="00C606EB"/>
    <w:rsid w:val="00C6075C"/>
    <w:rsid w:val="00C60A08"/>
    <w:rsid w:val="00C60C64"/>
    <w:rsid w:val="00C60CCA"/>
    <w:rsid w:val="00C60D0B"/>
    <w:rsid w:val="00C60F99"/>
    <w:rsid w:val="00C611EC"/>
    <w:rsid w:val="00C61434"/>
    <w:rsid w:val="00C6163F"/>
    <w:rsid w:val="00C61944"/>
    <w:rsid w:val="00C619B9"/>
    <w:rsid w:val="00C61B52"/>
    <w:rsid w:val="00C61C5B"/>
    <w:rsid w:val="00C62139"/>
    <w:rsid w:val="00C6228B"/>
    <w:rsid w:val="00C62439"/>
    <w:rsid w:val="00C624C7"/>
    <w:rsid w:val="00C626C2"/>
    <w:rsid w:val="00C62BA0"/>
    <w:rsid w:val="00C63097"/>
    <w:rsid w:val="00C634AC"/>
    <w:rsid w:val="00C639C9"/>
    <w:rsid w:val="00C63A08"/>
    <w:rsid w:val="00C63EC6"/>
    <w:rsid w:val="00C64D09"/>
    <w:rsid w:val="00C64D26"/>
    <w:rsid w:val="00C64DF9"/>
    <w:rsid w:val="00C64EF0"/>
    <w:rsid w:val="00C64FDD"/>
    <w:rsid w:val="00C65196"/>
    <w:rsid w:val="00C65494"/>
    <w:rsid w:val="00C657AE"/>
    <w:rsid w:val="00C65DB7"/>
    <w:rsid w:val="00C65EA1"/>
    <w:rsid w:val="00C66246"/>
    <w:rsid w:val="00C66790"/>
    <w:rsid w:val="00C668A2"/>
    <w:rsid w:val="00C66C05"/>
    <w:rsid w:val="00C66F89"/>
    <w:rsid w:val="00C67068"/>
    <w:rsid w:val="00C67730"/>
    <w:rsid w:val="00C67998"/>
    <w:rsid w:val="00C67B53"/>
    <w:rsid w:val="00C67D67"/>
    <w:rsid w:val="00C67E7D"/>
    <w:rsid w:val="00C67F7C"/>
    <w:rsid w:val="00C70553"/>
    <w:rsid w:val="00C70637"/>
    <w:rsid w:val="00C7073C"/>
    <w:rsid w:val="00C708A6"/>
    <w:rsid w:val="00C70A93"/>
    <w:rsid w:val="00C717D0"/>
    <w:rsid w:val="00C71A71"/>
    <w:rsid w:val="00C71FC5"/>
    <w:rsid w:val="00C7209C"/>
    <w:rsid w:val="00C720BE"/>
    <w:rsid w:val="00C720E8"/>
    <w:rsid w:val="00C73621"/>
    <w:rsid w:val="00C739DA"/>
    <w:rsid w:val="00C73D1C"/>
    <w:rsid w:val="00C73DF4"/>
    <w:rsid w:val="00C7421F"/>
    <w:rsid w:val="00C74247"/>
    <w:rsid w:val="00C74379"/>
    <w:rsid w:val="00C74877"/>
    <w:rsid w:val="00C749FA"/>
    <w:rsid w:val="00C74A24"/>
    <w:rsid w:val="00C74C3B"/>
    <w:rsid w:val="00C75137"/>
    <w:rsid w:val="00C7529F"/>
    <w:rsid w:val="00C759B8"/>
    <w:rsid w:val="00C75C25"/>
    <w:rsid w:val="00C75FDD"/>
    <w:rsid w:val="00C7606F"/>
    <w:rsid w:val="00C76420"/>
    <w:rsid w:val="00C76689"/>
    <w:rsid w:val="00C76790"/>
    <w:rsid w:val="00C76888"/>
    <w:rsid w:val="00C77029"/>
    <w:rsid w:val="00C770D9"/>
    <w:rsid w:val="00C77237"/>
    <w:rsid w:val="00C77681"/>
    <w:rsid w:val="00C77AB0"/>
    <w:rsid w:val="00C80223"/>
    <w:rsid w:val="00C80520"/>
    <w:rsid w:val="00C80892"/>
    <w:rsid w:val="00C8097D"/>
    <w:rsid w:val="00C80B6A"/>
    <w:rsid w:val="00C80E07"/>
    <w:rsid w:val="00C811A3"/>
    <w:rsid w:val="00C813C0"/>
    <w:rsid w:val="00C8196A"/>
    <w:rsid w:val="00C81AFC"/>
    <w:rsid w:val="00C81EA3"/>
    <w:rsid w:val="00C81F2F"/>
    <w:rsid w:val="00C8235B"/>
    <w:rsid w:val="00C82445"/>
    <w:rsid w:val="00C82744"/>
    <w:rsid w:val="00C8299F"/>
    <w:rsid w:val="00C82E4C"/>
    <w:rsid w:val="00C831A5"/>
    <w:rsid w:val="00C834E0"/>
    <w:rsid w:val="00C8398B"/>
    <w:rsid w:val="00C83B0A"/>
    <w:rsid w:val="00C83B75"/>
    <w:rsid w:val="00C83C85"/>
    <w:rsid w:val="00C83CB1"/>
    <w:rsid w:val="00C83DB1"/>
    <w:rsid w:val="00C83EFB"/>
    <w:rsid w:val="00C8408C"/>
    <w:rsid w:val="00C84106"/>
    <w:rsid w:val="00C841BB"/>
    <w:rsid w:val="00C841E2"/>
    <w:rsid w:val="00C8425A"/>
    <w:rsid w:val="00C84B6F"/>
    <w:rsid w:val="00C84DC9"/>
    <w:rsid w:val="00C850BC"/>
    <w:rsid w:val="00C850F8"/>
    <w:rsid w:val="00C85681"/>
    <w:rsid w:val="00C85923"/>
    <w:rsid w:val="00C86108"/>
    <w:rsid w:val="00C863C6"/>
    <w:rsid w:val="00C8658B"/>
    <w:rsid w:val="00C8689A"/>
    <w:rsid w:val="00C86B85"/>
    <w:rsid w:val="00C86C5F"/>
    <w:rsid w:val="00C8716F"/>
    <w:rsid w:val="00C871C0"/>
    <w:rsid w:val="00C873D7"/>
    <w:rsid w:val="00C87556"/>
    <w:rsid w:val="00C8791A"/>
    <w:rsid w:val="00C87B7B"/>
    <w:rsid w:val="00C87E75"/>
    <w:rsid w:val="00C9007E"/>
    <w:rsid w:val="00C90299"/>
    <w:rsid w:val="00C90D33"/>
    <w:rsid w:val="00C9131B"/>
    <w:rsid w:val="00C9150C"/>
    <w:rsid w:val="00C91830"/>
    <w:rsid w:val="00C9192E"/>
    <w:rsid w:val="00C91A17"/>
    <w:rsid w:val="00C91C8C"/>
    <w:rsid w:val="00C91DF2"/>
    <w:rsid w:val="00C92189"/>
    <w:rsid w:val="00C92BD2"/>
    <w:rsid w:val="00C93AD9"/>
    <w:rsid w:val="00C93AED"/>
    <w:rsid w:val="00C93D0C"/>
    <w:rsid w:val="00C94092"/>
    <w:rsid w:val="00C9485A"/>
    <w:rsid w:val="00C94A82"/>
    <w:rsid w:val="00C94BF7"/>
    <w:rsid w:val="00C94FAF"/>
    <w:rsid w:val="00C9544C"/>
    <w:rsid w:val="00C9570B"/>
    <w:rsid w:val="00C95BCB"/>
    <w:rsid w:val="00C95C33"/>
    <w:rsid w:val="00C9641D"/>
    <w:rsid w:val="00C966A2"/>
    <w:rsid w:val="00C96739"/>
    <w:rsid w:val="00C96FD0"/>
    <w:rsid w:val="00C972C2"/>
    <w:rsid w:val="00C97D42"/>
    <w:rsid w:val="00C97D86"/>
    <w:rsid w:val="00C97EC8"/>
    <w:rsid w:val="00CA008A"/>
    <w:rsid w:val="00CA01B3"/>
    <w:rsid w:val="00CA02F9"/>
    <w:rsid w:val="00CA05E5"/>
    <w:rsid w:val="00CA06A2"/>
    <w:rsid w:val="00CA06F4"/>
    <w:rsid w:val="00CA0990"/>
    <w:rsid w:val="00CA0993"/>
    <w:rsid w:val="00CA0C18"/>
    <w:rsid w:val="00CA0D20"/>
    <w:rsid w:val="00CA1503"/>
    <w:rsid w:val="00CA1539"/>
    <w:rsid w:val="00CA1C19"/>
    <w:rsid w:val="00CA1DCC"/>
    <w:rsid w:val="00CA245F"/>
    <w:rsid w:val="00CA29C4"/>
    <w:rsid w:val="00CA3194"/>
    <w:rsid w:val="00CA34EE"/>
    <w:rsid w:val="00CA3590"/>
    <w:rsid w:val="00CA3730"/>
    <w:rsid w:val="00CA3781"/>
    <w:rsid w:val="00CA3AFE"/>
    <w:rsid w:val="00CA3E2C"/>
    <w:rsid w:val="00CA4125"/>
    <w:rsid w:val="00CA44A2"/>
    <w:rsid w:val="00CA4554"/>
    <w:rsid w:val="00CA49E0"/>
    <w:rsid w:val="00CA4AC7"/>
    <w:rsid w:val="00CA4C01"/>
    <w:rsid w:val="00CA51E5"/>
    <w:rsid w:val="00CA55E6"/>
    <w:rsid w:val="00CA5C45"/>
    <w:rsid w:val="00CA5DCC"/>
    <w:rsid w:val="00CA5E19"/>
    <w:rsid w:val="00CA60A9"/>
    <w:rsid w:val="00CA60E0"/>
    <w:rsid w:val="00CA6260"/>
    <w:rsid w:val="00CA69D2"/>
    <w:rsid w:val="00CA6BFF"/>
    <w:rsid w:val="00CA75F1"/>
    <w:rsid w:val="00CA78F0"/>
    <w:rsid w:val="00CA7A06"/>
    <w:rsid w:val="00CA7F09"/>
    <w:rsid w:val="00CB07CA"/>
    <w:rsid w:val="00CB0C48"/>
    <w:rsid w:val="00CB0D39"/>
    <w:rsid w:val="00CB0E44"/>
    <w:rsid w:val="00CB10A5"/>
    <w:rsid w:val="00CB1701"/>
    <w:rsid w:val="00CB1864"/>
    <w:rsid w:val="00CB1B0F"/>
    <w:rsid w:val="00CB1B81"/>
    <w:rsid w:val="00CB1FC0"/>
    <w:rsid w:val="00CB212C"/>
    <w:rsid w:val="00CB22F6"/>
    <w:rsid w:val="00CB2504"/>
    <w:rsid w:val="00CB26DA"/>
    <w:rsid w:val="00CB2787"/>
    <w:rsid w:val="00CB27D9"/>
    <w:rsid w:val="00CB27FB"/>
    <w:rsid w:val="00CB2975"/>
    <w:rsid w:val="00CB2A88"/>
    <w:rsid w:val="00CB32DD"/>
    <w:rsid w:val="00CB33AD"/>
    <w:rsid w:val="00CB350D"/>
    <w:rsid w:val="00CB379E"/>
    <w:rsid w:val="00CB39D1"/>
    <w:rsid w:val="00CB40AD"/>
    <w:rsid w:val="00CB40B8"/>
    <w:rsid w:val="00CB4572"/>
    <w:rsid w:val="00CB4A20"/>
    <w:rsid w:val="00CB4B8E"/>
    <w:rsid w:val="00CB4F90"/>
    <w:rsid w:val="00CB5074"/>
    <w:rsid w:val="00CB542D"/>
    <w:rsid w:val="00CB5436"/>
    <w:rsid w:val="00CB5483"/>
    <w:rsid w:val="00CB54B7"/>
    <w:rsid w:val="00CB5580"/>
    <w:rsid w:val="00CB5A58"/>
    <w:rsid w:val="00CB5B6B"/>
    <w:rsid w:val="00CB5D30"/>
    <w:rsid w:val="00CB613A"/>
    <w:rsid w:val="00CB63C9"/>
    <w:rsid w:val="00CB649F"/>
    <w:rsid w:val="00CB668B"/>
    <w:rsid w:val="00CB6B6B"/>
    <w:rsid w:val="00CB73BB"/>
    <w:rsid w:val="00CB74AC"/>
    <w:rsid w:val="00CB7885"/>
    <w:rsid w:val="00CB7B58"/>
    <w:rsid w:val="00CB7E97"/>
    <w:rsid w:val="00CB7E9C"/>
    <w:rsid w:val="00CB7F2B"/>
    <w:rsid w:val="00CB7FBE"/>
    <w:rsid w:val="00CC0004"/>
    <w:rsid w:val="00CC01E3"/>
    <w:rsid w:val="00CC0257"/>
    <w:rsid w:val="00CC05F3"/>
    <w:rsid w:val="00CC0680"/>
    <w:rsid w:val="00CC06CD"/>
    <w:rsid w:val="00CC06DE"/>
    <w:rsid w:val="00CC07B7"/>
    <w:rsid w:val="00CC0AA0"/>
    <w:rsid w:val="00CC0BAE"/>
    <w:rsid w:val="00CC1381"/>
    <w:rsid w:val="00CC1424"/>
    <w:rsid w:val="00CC1602"/>
    <w:rsid w:val="00CC1679"/>
    <w:rsid w:val="00CC1909"/>
    <w:rsid w:val="00CC19B3"/>
    <w:rsid w:val="00CC1B4D"/>
    <w:rsid w:val="00CC1D3E"/>
    <w:rsid w:val="00CC1EEB"/>
    <w:rsid w:val="00CC25F5"/>
    <w:rsid w:val="00CC2B4D"/>
    <w:rsid w:val="00CC3109"/>
    <w:rsid w:val="00CC33AC"/>
    <w:rsid w:val="00CC3555"/>
    <w:rsid w:val="00CC3981"/>
    <w:rsid w:val="00CC3B8C"/>
    <w:rsid w:val="00CC3C01"/>
    <w:rsid w:val="00CC3C95"/>
    <w:rsid w:val="00CC408D"/>
    <w:rsid w:val="00CC42DA"/>
    <w:rsid w:val="00CC4343"/>
    <w:rsid w:val="00CC451E"/>
    <w:rsid w:val="00CC4A0F"/>
    <w:rsid w:val="00CC4EAA"/>
    <w:rsid w:val="00CC50AA"/>
    <w:rsid w:val="00CC5233"/>
    <w:rsid w:val="00CC535F"/>
    <w:rsid w:val="00CC5502"/>
    <w:rsid w:val="00CC58C5"/>
    <w:rsid w:val="00CC5AE9"/>
    <w:rsid w:val="00CC5C39"/>
    <w:rsid w:val="00CC60DA"/>
    <w:rsid w:val="00CC612F"/>
    <w:rsid w:val="00CC628A"/>
    <w:rsid w:val="00CC68AE"/>
    <w:rsid w:val="00CC6B2D"/>
    <w:rsid w:val="00CC701A"/>
    <w:rsid w:val="00CC7502"/>
    <w:rsid w:val="00CC7BC4"/>
    <w:rsid w:val="00CD00EC"/>
    <w:rsid w:val="00CD02AF"/>
    <w:rsid w:val="00CD07B5"/>
    <w:rsid w:val="00CD07D1"/>
    <w:rsid w:val="00CD080C"/>
    <w:rsid w:val="00CD0D21"/>
    <w:rsid w:val="00CD0D3E"/>
    <w:rsid w:val="00CD1218"/>
    <w:rsid w:val="00CD163F"/>
    <w:rsid w:val="00CD191D"/>
    <w:rsid w:val="00CD1AC1"/>
    <w:rsid w:val="00CD1D4E"/>
    <w:rsid w:val="00CD1E3F"/>
    <w:rsid w:val="00CD221A"/>
    <w:rsid w:val="00CD23D7"/>
    <w:rsid w:val="00CD2492"/>
    <w:rsid w:val="00CD25E5"/>
    <w:rsid w:val="00CD2DAC"/>
    <w:rsid w:val="00CD30AB"/>
    <w:rsid w:val="00CD346B"/>
    <w:rsid w:val="00CD3480"/>
    <w:rsid w:val="00CD3E7F"/>
    <w:rsid w:val="00CD4038"/>
    <w:rsid w:val="00CD40CB"/>
    <w:rsid w:val="00CD415A"/>
    <w:rsid w:val="00CD418E"/>
    <w:rsid w:val="00CD47FD"/>
    <w:rsid w:val="00CD48A0"/>
    <w:rsid w:val="00CD4F37"/>
    <w:rsid w:val="00CD54FE"/>
    <w:rsid w:val="00CD5881"/>
    <w:rsid w:val="00CD5B46"/>
    <w:rsid w:val="00CD5C1C"/>
    <w:rsid w:val="00CD5E99"/>
    <w:rsid w:val="00CD60FC"/>
    <w:rsid w:val="00CD6200"/>
    <w:rsid w:val="00CD6215"/>
    <w:rsid w:val="00CD6366"/>
    <w:rsid w:val="00CD638F"/>
    <w:rsid w:val="00CD6570"/>
    <w:rsid w:val="00CD66EA"/>
    <w:rsid w:val="00CD6769"/>
    <w:rsid w:val="00CD692B"/>
    <w:rsid w:val="00CD69F2"/>
    <w:rsid w:val="00CD6C7F"/>
    <w:rsid w:val="00CD6F12"/>
    <w:rsid w:val="00CD6FBC"/>
    <w:rsid w:val="00CD774E"/>
    <w:rsid w:val="00CD7922"/>
    <w:rsid w:val="00CD7AD3"/>
    <w:rsid w:val="00CD7E96"/>
    <w:rsid w:val="00CE018F"/>
    <w:rsid w:val="00CE04C7"/>
    <w:rsid w:val="00CE0ACB"/>
    <w:rsid w:val="00CE0EAA"/>
    <w:rsid w:val="00CE1194"/>
    <w:rsid w:val="00CE14D1"/>
    <w:rsid w:val="00CE17A2"/>
    <w:rsid w:val="00CE1CE2"/>
    <w:rsid w:val="00CE1FCC"/>
    <w:rsid w:val="00CE2380"/>
    <w:rsid w:val="00CE242C"/>
    <w:rsid w:val="00CE26A6"/>
    <w:rsid w:val="00CE2900"/>
    <w:rsid w:val="00CE29B6"/>
    <w:rsid w:val="00CE2A47"/>
    <w:rsid w:val="00CE2A5F"/>
    <w:rsid w:val="00CE2F68"/>
    <w:rsid w:val="00CE314F"/>
    <w:rsid w:val="00CE38CE"/>
    <w:rsid w:val="00CE3A6E"/>
    <w:rsid w:val="00CE3C1F"/>
    <w:rsid w:val="00CE3E23"/>
    <w:rsid w:val="00CE3FAE"/>
    <w:rsid w:val="00CE40BC"/>
    <w:rsid w:val="00CE4C0E"/>
    <w:rsid w:val="00CE4DDF"/>
    <w:rsid w:val="00CE5366"/>
    <w:rsid w:val="00CE5BEB"/>
    <w:rsid w:val="00CE5E29"/>
    <w:rsid w:val="00CE604D"/>
    <w:rsid w:val="00CE6411"/>
    <w:rsid w:val="00CE652B"/>
    <w:rsid w:val="00CE6A99"/>
    <w:rsid w:val="00CE6E5F"/>
    <w:rsid w:val="00CE6FE0"/>
    <w:rsid w:val="00CE7A7D"/>
    <w:rsid w:val="00CE7CE8"/>
    <w:rsid w:val="00CE7ED3"/>
    <w:rsid w:val="00CE7ED8"/>
    <w:rsid w:val="00CF0454"/>
    <w:rsid w:val="00CF081D"/>
    <w:rsid w:val="00CF0BC2"/>
    <w:rsid w:val="00CF0C01"/>
    <w:rsid w:val="00CF0F33"/>
    <w:rsid w:val="00CF11A8"/>
    <w:rsid w:val="00CF17BE"/>
    <w:rsid w:val="00CF17E0"/>
    <w:rsid w:val="00CF1A54"/>
    <w:rsid w:val="00CF1BD7"/>
    <w:rsid w:val="00CF2181"/>
    <w:rsid w:val="00CF234B"/>
    <w:rsid w:val="00CF2761"/>
    <w:rsid w:val="00CF2A94"/>
    <w:rsid w:val="00CF2E4E"/>
    <w:rsid w:val="00CF30ED"/>
    <w:rsid w:val="00CF32E8"/>
    <w:rsid w:val="00CF3326"/>
    <w:rsid w:val="00CF349D"/>
    <w:rsid w:val="00CF359B"/>
    <w:rsid w:val="00CF368C"/>
    <w:rsid w:val="00CF3BD9"/>
    <w:rsid w:val="00CF3CDA"/>
    <w:rsid w:val="00CF3CFA"/>
    <w:rsid w:val="00CF3D21"/>
    <w:rsid w:val="00CF3DEF"/>
    <w:rsid w:val="00CF3EDD"/>
    <w:rsid w:val="00CF3FDD"/>
    <w:rsid w:val="00CF4470"/>
    <w:rsid w:val="00CF4741"/>
    <w:rsid w:val="00CF4821"/>
    <w:rsid w:val="00CF4E0D"/>
    <w:rsid w:val="00CF5028"/>
    <w:rsid w:val="00CF50B8"/>
    <w:rsid w:val="00CF575F"/>
    <w:rsid w:val="00CF57BC"/>
    <w:rsid w:val="00CF58E8"/>
    <w:rsid w:val="00CF5998"/>
    <w:rsid w:val="00CF5C91"/>
    <w:rsid w:val="00CF5F58"/>
    <w:rsid w:val="00CF60D7"/>
    <w:rsid w:val="00CF61CC"/>
    <w:rsid w:val="00CF66E3"/>
    <w:rsid w:val="00CF7035"/>
    <w:rsid w:val="00CF7299"/>
    <w:rsid w:val="00CF7381"/>
    <w:rsid w:val="00CF7547"/>
    <w:rsid w:val="00CF79E3"/>
    <w:rsid w:val="00CF7F7C"/>
    <w:rsid w:val="00D004DD"/>
    <w:rsid w:val="00D00516"/>
    <w:rsid w:val="00D00666"/>
    <w:rsid w:val="00D00853"/>
    <w:rsid w:val="00D00B02"/>
    <w:rsid w:val="00D01042"/>
    <w:rsid w:val="00D011A8"/>
    <w:rsid w:val="00D011B4"/>
    <w:rsid w:val="00D0131C"/>
    <w:rsid w:val="00D014C6"/>
    <w:rsid w:val="00D015EF"/>
    <w:rsid w:val="00D01C54"/>
    <w:rsid w:val="00D01D98"/>
    <w:rsid w:val="00D0200E"/>
    <w:rsid w:val="00D020D5"/>
    <w:rsid w:val="00D02240"/>
    <w:rsid w:val="00D02287"/>
    <w:rsid w:val="00D024B0"/>
    <w:rsid w:val="00D025C7"/>
    <w:rsid w:val="00D02FEE"/>
    <w:rsid w:val="00D03042"/>
    <w:rsid w:val="00D0351C"/>
    <w:rsid w:val="00D039EE"/>
    <w:rsid w:val="00D03A4A"/>
    <w:rsid w:val="00D03B28"/>
    <w:rsid w:val="00D03C5B"/>
    <w:rsid w:val="00D04104"/>
    <w:rsid w:val="00D04149"/>
    <w:rsid w:val="00D04481"/>
    <w:rsid w:val="00D044B2"/>
    <w:rsid w:val="00D046CE"/>
    <w:rsid w:val="00D0488C"/>
    <w:rsid w:val="00D04955"/>
    <w:rsid w:val="00D04BF2"/>
    <w:rsid w:val="00D04BFF"/>
    <w:rsid w:val="00D05310"/>
    <w:rsid w:val="00D054FE"/>
    <w:rsid w:val="00D05AF7"/>
    <w:rsid w:val="00D05FF3"/>
    <w:rsid w:val="00D06194"/>
    <w:rsid w:val="00D0648D"/>
    <w:rsid w:val="00D065E2"/>
    <w:rsid w:val="00D067D0"/>
    <w:rsid w:val="00D06F9C"/>
    <w:rsid w:val="00D0719B"/>
    <w:rsid w:val="00D073AA"/>
    <w:rsid w:val="00D074B8"/>
    <w:rsid w:val="00D07558"/>
    <w:rsid w:val="00D101A8"/>
    <w:rsid w:val="00D104AF"/>
    <w:rsid w:val="00D10F06"/>
    <w:rsid w:val="00D110ED"/>
    <w:rsid w:val="00D1149B"/>
    <w:rsid w:val="00D11680"/>
    <w:rsid w:val="00D11860"/>
    <w:rsid w:val="00D11979"/>
    <w:rsid w:val="00D11CFF"/>
    <w:rsid w:val="00D11D32"/>
    <w:rsid w:val="00D120F0"/>
    <w:rsid w:val="00D120F6"/>
    <w:rsid w:val="00D12693"/>
    <w:rsid w:val="00D12A0C"/>
    <w:rsid w:val="00D12B3D"/>
    <w:rsid w:val="00D12DEF"/>
    <w:rsid w:val="00D12F94"/>
    <w:rsid w:val="00D135E2"/>
    <w:rsid w:val="00D13699"/>
    <w:rsid w:val="00D137D6"/>
    <w:rsid w:val="00D138B6"/>
    <w:rsid w:val="00D14389"/>
    <w:rsid w:val="00D14443"/>
    <w:rsid w:val="00D14455"/>
    <w:rsid w:val="00D14910"/>
    <w:rsid w:val="00D14A3A"/>
    <w:rsid w:val="00D14D9B"/>
    <w:rsid w:val="00D1569E"/>
    <w:rsid w:val="00D156D5"/>
    <w:rsid w:val="00D15FE0"/>
    <w:rsid w:val="00D16199"/>
    <w:rsid w:val="00D162A4"/>
    <w:rsid w:val="00D162B4"/>
    <w:rsid w:val="00D16367"/>
    <w:rsid w:val="00D16A4D"/>
    <w:rsid w:val="00D16BB5"/>
    <w:rsid w:val="00D16CD3"/>
    <w:rsid w:val="00D16F9F"/>
    <w:rsid w:val="00D16FAE"/>
    <w:rsid w:val="00D17339"/>
    <w:rsid w:val="00D1736B"/>
    <w:rsid w:val="00D17790"/>
    <w:rsid w:val="00D1787B"/>
    <w:rsid w:val="00D178CA"/>
    <w:rsid w:val="00D17BEB"/>
    <w:rsid w:val="00D20330"/>
    <w:rsid w:val="00D20362"/>
    <w:rsid w:val="00D20523"/>
    <w:rsid w:val="00D2054C"/>
    <w:rsid w:val="00D2086A"/>
    <w:rsid w:val="00D217ED"/>
    <w:rsid w:val="00D21868"/>
    <w:rsid w:val="00D21B52"/>
    <w:rsid w:val="00D21DE1"/>
    <w:rsid w:val="00D22147"/>
    <w:rsid w:val="00D2224D"/>
    <w:rsid w:val="00D223CB"/>
    <w:rsid w:val="00D2250B"/>
    <w:rsid w:val="00D22725"/>
    <w:rsid w:val="00D22770"/>
    <w:rsid w:val="00D22A3E"/>
    <w:rsid w:val="00D22BBF"/>
    <w:rsid w:val="00D22E63"/>
    <w:rsid w:val="00D22E92"/>
    <w:rsid w:val="00D230F4"/>
    <w:rsid w:val="00D231C6"/>
    <w:rsid w:val="00D23251"/>
    <w:rsid w:val="00D2326A"/>
    <w:rsid w:val="00D2370E"/>
    <w:rsid w:val="00D23DED"/>
    <w:rsid w:val="00D23F75"/>
    <w:rsid w:val="00D23FEF"/>
    <w:rsid w:val="00D242AD"/>
    <w:rsid w:val="00D24376"/>
    <w:rsid w:val="00D24D48"/>
    <w:rsid w:val="00D25AE5"/>
    <w:rsid w:val="00D25E97"/>
    <w:rsid w:val="00D25EFB"/>
    <w:rsid w:val="00D25F2E"/>
    <w:rsid w:val="00D2660D"/>
    <w:rsid w:val="00D266DB"/>
    <w:rsid w:val="00D2697A"/>
    <w:rsid w:val="00D26A04"/>
    <w:rsid w:val="00D26B62"/>
    <w:rsid w:val="00D26E3D"/>
    <w:rsid w:val="00D2709E"/>
    <w:rsid w:val="00D27238"/>
    <w:rsid w:val="00D27275"/>
    <w:rsid w:val="00D27347"/>
    <w:rsid w:val="00D27ADD"/>
    <w:rsid w:val="00D27D10"/>
    <w:rsid w:val="00D27D79"/>
    <w:rsid w:val="00D27FE7"/>
    <w:rsid w:val="00D3005C"/>
    <w:rsid w:val="00D3020E"/>
    <w:rsid w:val="00D3032C"/>
    <w:rsid w:val="00D3062B"/>
    <w:rsid w:val="00D30B0F"/>
    <w:rsid w:val="00D30DED"/>
    <w:rsid w:val="00D30FB9"/>
    <w:rsid w:val="00D31194"/>
    <w:rsid w:val="00D3148D"/>
    <w:rsid w:val="00D3179A"/>
    <w:rsid w:val="00D31BFE"/>
    <w:rsid w:val="00D32181"/>
    <w:rsid w:val="00D322EA"/>
    <w:rsid w:val="00D32737"/>
    <w:rsid w:val="00D327F1"/>
    <w:rsid w:val="00D3297A"/>
    <w:rsid w:val="00D32A4D"/>
    <w:rsid w:val="00D32B5E"/>
    <w:rsid w:val="00D32E0D"/>
    <w:rsid w:val="00D32E4E"/>
    <w:rsid w:val="00D33028"/>
    <w:rsid w:val="00D33050"/>
    <w:rsid w:val="00D3344F"/>
    <w:rsid w:val="00D33486"/>
    <w:rsid w:val="00D33559"/>
    <w:rsid w:val="00D3373C"/>
    <w:rsid w:val="00D33884"/>
    <w:rsid w:val="00D339B5"/>
    <w:rsid w:val="00D33C1A"/>
    <w:rsid w:val="00D33DCC"/>
    <w:rsid w:val="00D33F8B"/>
    <w:rsid w:val="00D3435A"/>
    <w:rsid w:val="00D344E9"/>
    <w:rsid w:val="00D34634"/>
    <w:rsid w:val="00D34B6C"/>
    <w:rsid w:val="00D34C0B"/>
    <w:rsid w:val="00D34C5F"/>
    <w:rsid w:val="00D352C3"/>
    <w:rsid w:val="00D35370"/>
    <w:rsid w:val="00D354F4"/>
    <w:rsid w:val="00D357FF"/>
    <w:rsid w:val="00D359C5"/>
    <w:rsid w:val="00D35B22"/>
    <w:rsid w:val="00D35C91"/>
    <w:rsid w:val="00D35E99"/>
    <w:rsid w:val="00D35EA9"/>
    <w:rsid w:val="00D35F9A"/>
    <w:rsid w:val="00D361DF"/>
    <w:rsid w:val="00D36647"/>
    <w:rsid w:val="00D36C2F"/>
    <w:rsid w:val="00D37194"/>
    <w:rsid w:val="00D37237"/>
    <w:rsid w:val="00D37268"/>
    <w:rsid w:val="00D374EC"/>
    <w:rsid w:val="00D37C44"/>
    <w:rsid w:val="00D37CFF"/>
    <w:rsid w:val="00D37E22"/>
    <w:rsid w:val="00D37E8D"/>
    <w:rsid w:val="00D402B4"/>
    <w:rsid w:val="00D402E9"/>
    <w:rsid w:val="00D40401"/>
    <w:rsid w:val="00D40920"/>
    <w:rsid w:val="00D409EC"/>
    <w:rsid w:val="00D40A08"/>
    <w:rsid w:val="00D40A28"/>
    <w:rsid w:val="00D41020"/>
    <w:rsid w:val="00D410C5"/>
    <w:rsid w:val="00D4189B"/>
    <w:rsid w:val="00D41989"/>
    <w:rsid w:val="00D419E5"/>
    <w:rsid w:val="00D41A3B"/>
    <w:rsid w:val="00D41E3D"/>
    <w:rsid w:val="00D420E4"/>
    <w:rsid w:val="00D42348"/>
    <w:rsid w:val="00D4258C"/>
    <w:rsid w:val="00D428F8"/>
    <w:rsid w:val="00D42946"/>
    <w:rsid w:val="00D4297E"/>
    <w:rsid w:val="00D42BC8"/>
    <w:rsid w:val="00D42F82"/>
    <w:rsid w:val="00D43480"/>
    <w:rsid w:val="00D43542"/>
    <w:rsid w:val="00D435DA"/>
    <w:rsid w:val="00D43D65"/>
    <w:rsid w:val="00D43DC6"/>
    <w:rsid w:val="00D443C5"/>
    <w:rsid w:val="00D44452"/>
    <w:rsid w:val="00D4459B"/>
    <w:rsid w:val="00D44658"/>
    <w:rsid w:val="00D4476E"/>
    <w:rsid w:val="00D44AB6"/>
    <w:rsid w:val="00D4550F"/>
    <w:rsid w:val="00D455A8"/>
    <w:rsid w:val="00D456C4"/>
    <w:rsid w:val="00D459E4"/>
    <w:rsid w:val="00D45A37"/>
    <w:rsid w:val="00D45D8D"/>
    <w:rsid w:val="00D464AC"/>
    <w:rsid w:val="00D464EF"/>
    <w:rsid w:val="00D46C70"/>
    <w:rsid w:val="00D471AD"/>
    <w:rsid w:val="00D471DB"/>
    <w:rsid w:val="00D474E9"/>
    <w:rsid w:val="00D474F8"/>
    <w:rsid w:val="00D47AE3"/>
    <w:rsid w:val="00D47EFB"/>
    <w:rsid w:val="00D47F8F"/>
    <w:rsid w:val="00D50380"/>
    <w:rsid w:val="00D50570"/>
    <w:rsid w:val="00D50D9C"/>
    <w:rsid w:val="00D50EED"/>
    <w:rsid w:val="00D5181A"/>
    <w:rsid w:val="00D51927"/>
    <w:rsid w:val="00D51934"/>
    <w:rsid w:val="00D51B36"/>
    <w:rsid w:val="00D51D42"/>
    <w:rsid w:val="00D52266"/>
    <w:rsid w:val="00D523A8"/>
    <w:rsid w:val="00D5240D"/>
    <w:rsid w:val="00D52703"/>
    <w:rsid w:val="00D52CAB"/>
    <w:rsid w:val="00D52E04"/>
    <w:rsid w:val="00D5318A"/>
    <w:rsid w:val="00D536ED"/>
    <w:rsid w:val="00D537C9"/>
    <w:rsid w:val="00D53964"/>
    <w:rsid w:val="00D5398C"/>
    <w:rsid w:val="00D53C43"/>
    <w:rsid w:val="00D53FDE"/>
    <w:rsid w:val="00D54194"/>
    <w:rsid w:val="00D54595"/>
    <w:rsid w:val="00D54AFC"/>
    <w:rsid w:val="00D54B85"/>
    <w:rsid w:val="00D54C35"/>
    <w:rsid w:val="00D54D6F"/>
    <w:rsid w:val="00D54ED5"/>
    <w:rsid w:val="00D54F2B"/>
    <w:rsid w:val="00D550B3"/>
    <w:rsid w:val="00D550EB"/>
    <w:rsid w:val="00D55B16"/>
    <w:rsid w:val="00D55F13"/>
    <w:rsid w:val="00D56130"/>
    <w:rsid w:val="00D5656D"/>
    <w:rsid w:val="00D565B2"/>
    <w:rsid w:val="00D56CF1"/>
    <w:rsid w:val="00D56D89"/>
    <w:rsid w:val="00D56F00"/>
    <w:rsid w:val="00D574B0"/>
    <w:rsid w:val="00D57879"/>
    <w:rsid w:val="00D579AF"/>
    <w:rsid w:val="00D57D97"/>
    <w:rsid w:val="00D602D4"/>
    <w:rsid w:val="00D6034F"/>
    <w:rsid w:val="00D60555"/>
    <w:rsid w:val="00D60635"/>
    <w:rsid w:val="00D60D7E"/>
    <w:rsid w:val="00D610C7"/>
    <w:rsid w:val="00D61239"/>
    <w:rsid w:val="00D6181A"/>
    <w:rsid w:val="00D61B11"/>
    <w:rsid w:val="00D61DE7"/>
    <w:rsid w:val="00D61E7A"/>
    <w:rsid w:val="00D61FDB"/>
    <w:rsid w:val="00D62148"/>
    <w:rsid w:val="00D62184"/>
    <w:rsid w:val="00D627A2"/>
    <w:rsid w:val="00D6295E"/>
    <w:rsid w:val="00D62BA1"/>
    <w:rsid w:val="00D62BE0"/>
    <w:rsid w:val="00D62DFE"/>
    <w:rsid w:val="00D62E70"/>
    <w:rsid w:val="00D62F59"/>
    <w:rsid w:val="00D6328B"/>
    <w:rsid w:val="00D63746"/>
    <w:rsid w:val="00D63A51"/>
    <w:rsid w:val="00D63C6B"/>
    <w:rsid w:val="00D63E04"/>
    <w:rsid w:val="00D643E8"/>
    <w:rsid w:val="00D64586"/>
    <w:rsid w:val="00D64664"/>
    <w:rsid w:val="00D64A71"/>
    <w:rsid w:val="00D64BED"/>
    <w:rsid w:val="00D64CF9"/>
    <w:rsid w:val="00D64FE9"/>
    <w:rsid w:val="00D6508D"/>
    <w:rsid w:val="00D651F0"/>
    <w:rsid w:val="00D6545B"/>
    <w:rsid w:val="00D65641"/>
    <w:rsid w:val="00D6591E"/>
    <w:rsid w:val="00D65C42"/>
    <w:rsid w:val="00D65C57"/>
    <w:rsid w:val="00D65D5F"/>
    <w:rsid w:val="00D65F8B"/>
    <w:rsid w:val="00D66134"/>
    <w:rsid w:val="00D66155"/>
    <w:rsid w:val="00D66177"/>
    <w:rsid w:val="00D665A4"/>
    <w:rsid w:val="00D667BD"/>
    <w:rsid w:val="00D66E2E"/>
    <w:rsid w:val="00D66E98"/>
    <w:rsid w:val="00D66F1C"/>
    <w:rsid w:val="00D674EF"/>
    <w:rsid w:val="00D6761D"/>
    <w:rsid w:val="00D67792"/>
    <w:rsid w:val="00D67B8D"/>
    <w:rsid w:val="00D67C71"/>
    <w:rsid w:val="00D67D96"/>
    <w:rsid w:val="00D67E7E"/>
    <w:rsid w:val="00D67F72"/>
    <w:rsid w:val="00D701F7"/>
    <w:rsid w:val="00D702F6"/>
    <w:rsid w:val="00D70BC7"/>
    <w:rsid w:val="00D70F4B"/>
    <w:rsid w:val="00D7116D"/>
    <w:rsid w:val="00D717A5"/>
    <w:rsid w:val="00D71EC9"/>
    <w:rsid w:val="00D72264"/>
    <w:rsid w:val="00D727C5"/>
    <w:rsid w:val="00D72A19"/>
    <w:rsid w:val="00D72BC8"/>
    <w:rsid w:val="00D72C52"/>
    <w:rsid w:val="00D72D0D"/>
    <w:rsid w:val="00D72E36"/>
    <w:rsid w:val="00D7321A"/>
    <w:rsid w:val="00D733B0"/>
    <w:rsid w:val="00D7349C"/>
    <w:rsid w:val="00D7362D"/>
    <w:rsid w:val="00D73C78"/>
    <w:rsid w:val="00D73E96"/>
    <w:rsid w:val="00D73F5D"/>
    <w:rsid w:val="00D740A3"/>
    <w:rsid w:val="00D74142"/>
    <w:rsid w:val="00D741C7"/>
    <w:rsid w:val="00D742CD"/>
    <w:rsid w:val="00D743F8"/>
    <w:rsid w:val="00D74407"/>
    <w:rsid w:val="00D74864"/>
    <w:rsid w:val="00D749EA"/>
    <w:rsid w:val="00D74C73"/>
    <w:rsid w:val="00D74DD3"/>
    <w:rsid w:val="00D74DE9"/>
    <w:rsid w:val="00D74E85"/>
    <w:rsid w:val="00D75032"/>
    <w:rsid w:val="00D756A4"/>
    <w:rsid w:val="00D763E0"/>
    <w:rsid w:val="00D76D3F"/>
    <w:rsid w:val="00D77134"/>
    <w:rsid w:val="00D7728A"/>
    <w:rsid w:val="00D772FD"/>
    <w:rsid w:val="00D77682"/>
    <w:rsid w:val="00D777AD"/>
    <w:rsid w:val="00D777D0"/>
    <w:rsid w:val="00D777DA"/>
    <w:rsid w:val="00D778D1"/>
    <w:rsid w:val="00D77997"/>
    <w:rsid w:val="00D77A2E"/>
    <w:rsid w:val="00D77AB0"/>
    <w:rsid w:val="00D80020"/>
    <w:rsid w:val="00D80044"/>
    <w:rsid w:val="00D8021A"/>
    <w:rsid w:val="00D80415"/>
    <w:rsid w:val="00D806A9"/>
    <w:rsid w:val="00D80701"/>
    <w:rsid w:val="00D80708"/>
    <w:rsid w:val="00D80B8A"/>
    <w:rsid w:val="00D80CA7"/>
    <w:rsid w:val="00D81293"/>
    <w:rsid w:val="00D8137A"/>
    <w:rsid w:val="00D81460"/>
    <w:rsid w:val="00D815AF"/>
    <w:rsid w:val="00D81782"/>
    <w:rsid w:val="00D819EC"/>
    <w:rsid w:val="00D81A4F"/>
    <w:rsid w:val="00D81EF2"/>
    <w:rsid w:val="00D8238D"/>
    <w:rsid w:val="00D82789"/>
    <w:rsid w:val="00D82DF1"/>
    <w:rsid w:val="00D8324B"/>
    <w:rsid w:val="00D836B0"/>
    <w:rsid w:val="00D83763"/>
    <w:rsid w:val="00D843C5"/>
    <w:rsid w:val="00D84724"/>
    <w:rsid w:val="00D84765"/>
    <w:rsid w:val="00D84ABF"/>
    <w:rsid w:val="00D84D10"/>
    <w:rsid w:val="00D85369"/>
    <w:rsid w:val="00D8540E"/>
    <w:rsid w:val="00D8544E"/>
    <w:rsid w:val="00D85548"/>
    <w:rsid w:val="00D8590C"/>
    <w:rsid w:val="00D85BF2"/>
    <w:rsid w:val="00D85CE8"/>
    <w:rsid w:val="00D85F25"/>
    <w:rsid w:val="00D86091"/>
    <w:rsid w:val="00D86863"/>
    <w:rsid w:val="00D86AC8"/>
    <w:rsid w:val="00D86C93"/>
    <w:rsid w:val="00D87197"/>
    <w:rsid w:val="00D87204"/>
    <w:rsid w:val="00D873AE"/>
    <w:rsid w:val="00D873F4"/>
    <w:rsid w:val="00D874AE"/>
    <w:rsid w:val="00D877B5"/>
    <w:rsid w:val="00D879D4"/>
    <w:rsid w:val="00D87CA8"/>
    <w:rsid w:val="00D9038E"/>
    <w:rsid w:val="00D9069D"/>
    <w:rsid w:val="00D906C5"/>
    <w:rsid w:val="00D906E5"/>
    <w:rsid w:val="00D90909"/>
    <w:rsid w:val="00D90A55"/>
    <w:rsid w:val="00D90CF5"/>
    <w:rsid w:val="00D90E7A"/>
    <w:rsid w:val="00D90FC4"/>
    <w:rsid w:val="00D91261"/>
    <w:rsid w:val="00D915E3"/>
    <w:rsid w:val="00D91A7C"/>
    <w:rsid w:val="00D91B35"/>
    <w:rsid w:val="00D92166"/>
    <w:rsid w:val="00D9220F"/>
    <w:rsid w:val="00D92358"/>
    <w:rsid w:val="00D924A3"/>
    <w:rsid w:val="00D92793"/>
    <w:rsid w:val="00D92D0C"/>
    <w:rsid w:val="00D93585"/>
    <w:rsid w:val="00D93702"/>
    <w:rsid w:val="00D9426C"/>
    <w:rsid w:val="00D94411"/>
    <w:rsid w:val="00D94510"/>
    <w:rsid w:val="00D94520"/>
    <w:rsid w:val="00D947DC"/>
    <w:rsid w:val="00D94893"/>
    <w:rsid w:val="00D94A3F"/>
    <w:rsid w:val="00D94CD3"/>
    <w:rsid w:val="00D94D9F"/>
    <w:rsid w:val="00D94F1B"/>
    <w:rsid w:val="00D954AB"/>
    <w:rsid w:val="00D95FEA"/>
    <w:rsid w:val="00D9622D"/>
    <w:rsid w:val="00D964AC"/>
    <w:rsid w:val="00D96593"/>
    <w:rsid w:val="00D968E2"/>
    <w:rsid w:val="00D96F8F"/>
    <w:rsid w:val="00D97030"/>
    <w:rsid w:val="00D9705D"/>
    <w:rsid w:val="00D97683"/>
    <w:rsid w:val="00D97901"/>
    <w:rsid w:val="00D97ADE"/>
    <w:rsid w:val="00D97E57"/>
    <w:rsid w:val="00DA03FB"/>
    <w:rsid w:val="00DA05D9"/>
    <w:rsid w:val="00DA08C1"/>
    <w:rsid w:val="00DA0B60"/>
    <w:rsid w:val="00DA0CE2"/>
    <w:rsid w:val="00DA0D80"/>
    <w:rsid w:val="00DA13CB"/>
    <w:rsid w:val="00DA17B5"/>
    <w:rsid w:val="00DA1994"/>
    <w:rsid w:val="00DA1BFE"/>
    <w:rsid w:val="00DA1D82"/>
    <w:rsid w:val="00DA27BA"/>
    <w:rsid w:val="00DA2966"/>
    <w:rsid w:val="00DA29B4"/>
    <w:rsid w:val="00DA29C0"/>
    <w:rsid w:val="00DA2A34"/>
    <w:rsid w:val="00DA2A7C"/>
    <w:rsid w:val="00DA2B3E"/>
    <w:rsid w:val="00DA2CBA"/>
    <w:rsid w:val="00DA2E72"/>
    <w:rsid w:val="00DA308D"/>
    <w:rsid w:val="00DA3898"/>
    <w:rsid w:val="00DA3FBE"/>
    <w:rsid w:val="00DA3FD3"/>
    <w:rsid w:val="00DA4256"/>
    <w:rsid w:val="00DA46B2"/>
    <w:rsid w:val="00DA4C46"/>
    <w:rsid w:val="00DA4F62"/>
    <w:rsid w:val="00DA561F"/>
    <w:rsid w:val="00DA5895"/>
    <w:rsid w:val="00DA5998"/>
    <w:rsid w:val="00DA5F37"/>
    <w:rsid w:val="00DA653B"/>
    <w:rsid w:val="00DA675C"/>
    <w:rsid w:val="00DA693C"/>
    <w:rsid w:val="00DA6A7B"/>
    <w:rsid w:val="00DA6DC5"/>
    <w:rsid w:val="00DA70FB"/>
    <w:rsid w:val="00DA714B"/>
    <w:rsid w:val="00DA73AE"/>
    <w:rsid w:val="00DA73EF"/>
    <w:rsid w:val="00DA7850"/>
    <w:rsid w:val="00DA7B45"/>
    <w:rsid w:val="00DA7D53"/>
    <w:rsid w:val="00DB0163"/>
    <w:rsid w:val="00DB0966"/>
    <w:rsid w:val="00DB0E11"/>
    <w:rsid w:val="00DB141A"/>
    <w:rsid w:val="00DB1C61"/>
    <w:rsid w:val="00DB1C76"/>
    <w:rsid w:val="00DB1CCF"/>
    <w:rsid w:val="00DB1CD9"/>
    <w:rsid w:val="00DB1D31"/>
    <w:rsid w:val="00DB20D7"/>
    <w:rsid w:val="00DB222B"/>
    <w:rsid w:val="00DB2293"/>
    <w:rsid w:val="00DB2301"/>
    <w:rsid w:val="00DB250D"/>
    <w:rsid w:val="00DB2710"/>
    <w:rsid w:val="00DB2BD0"/>
    <w:rsid w:val="00DB2BDC"/>
    <w:rsid w:val="00DB2C0A"/>
    <w:rsid w:val="00DB2E52"/>
    <w:rsid w:val="00DB2F84"/>
    <w:rsid w:val="00DB320E"/>
    <w:rsid w:val="00DB3365"/>
    <w:rsid w:val="00DB338D"/>
    <w:rsid w:val="00DB39F0"/>
    <w:rsid w:val="00DB3A7C"/>
    <w:rsid w:val="00DB3E60"/>
    <w:rsid w:val="00DB405F"/>
    <w:rsid w:val="00DB460A"/>
    <w:rsid w:val="00DB48B6"/>
    <w:rsid w:val="00DB4D5F"/>
    <w:rsid w:val="00DB5043"/>
    <w:rsid w:val="00DB518C"/>
    <w:rsid w:val="00DB5259"/>
    <w:rsid w:val="00DB59D3"/>
    <w:rsid w:val="00DB5BFC"/>
    <w:rsid w:val="00DB5C4D"/>
    <w:rsid w:val="00DB660C"/>
    <w:rsid w:val="00DB6626"/>
    <w:rsid w:val="00DB6D4B"/>
    <w:rsid w:val="00DB7291"/>
    <w:rsid w:val="00DB7366"/>
    <w:rsid w:val="00DB7434"/>
    <w:rsid w:val="00DB7722"/>
    <w:rsid w:val="00DB7E87"/>
    <w:rsid w:val="00DB7EE8"/>
    <w:rsid w:val="00DB7F30"/>
    <w:rsid w:val="00DB7FF0"/>
    <w:rsid w:val="00DC00EE"/>
    <w:rsid w:val="00DC0207"/>
    <w:rsid w:val="00DC03FB"/>
    <w:rsid w:val="00DC06F6"/>
    <w:rsid w:val="00DC097E"/>
    <w:rsid w:val="00DC0DAC"/>
    <w:rsid w:val="00DC1256"/>
    <w:rsid w:val="00DC13C0"/>
    <w:rsid w:val="00DC1406"/>
    <w:rsid w:val="00DC1488"/>
    <w:rsid w:val="00DC190C"/>
    <w:rsid w:val="00DC2020"/>
    <w:rsid w:val="00DC2135"/>
    <w:rsid w:val="00DC216D"/>
    <w:rsid w:val="00DC2189"/>
    <w:rsid w:val="00DC2201"/>
    <w:rsid w:val="00DC2317"/>
    <w:rsid w:val="00DC231A"/>
    <w:rsid w:val="00DC2826"/>
    <w:rsid w:val="00DC31FC"/>
    <w:rsid w:val="00DC38BC"/>
    <w:rsid w:val="00DC3997"/>
    <w:rsid w:val="00DC3D2F"/>
    <w:rsid w:val="00DC4364"/>
    <w:rsid w:val="00DC4874"/>
    <w:rsid w:val="00DC49B3"/>
    <w:rsid w:val="00DC4CE7"/>
    <w:rsid w:val="00DC4EA2"/>
    <w:rsid w:val="00DC546E"/>
    <w:rsid w:val="00DC5632"/>
    <w:rsid w:val="00DC5DA9"/>
    <w:rsid w:val="00DC6552"/>
    <w:rsid w:val="00DC6886"/>
    <w:rsid w:val="00DC6B30"/>
    <w:rsid w:val="00DC6C37"/>
    <w:rsid w:val="00DC6EF7"/>
    <w:rsid w:val="00DC7015"/>
    <w:rsid w:val="00DC71AC"/>
    <w:rsid w:val="00DC7641"/>
    <w:rsid w:val="00DC7688"/>
    <w:rsid w:val="00DC77B2"/>
    <w:rsid w:val="00DC7BB7"/>
    <w:rsid w:val="00DC7E2F"/>
    <w:rsid w:val="00DC7E30"/>
    <w:rsid w:val="00DD0A49"/>
    <w:rsid w:val="00DD158D"/>
    <w:rsid w:val="00DD1DB6"/>
    <w:rsid w:val="00DD2458"/>
    <w:rsid w:val="00DD265B"/>
    <w:rsid w:val="00DD2681"/>
    <w:rsid w:val="00DD26D9"/>
    <w:rsid w:val="00DD28BC"/>
    <w:rsid w:val="00DD32A5"/>
    <w:rsid w:val="00DD33EC"/>
    <w:rsid w:val="00DD34B4"/>
    <w:rsid w:val="00DD3523"/>
    <w:rsid w:val="00DD3530"/>
    <w:rsid w:val="00DD3633"/>
    <w:rsid w:val="00DD36C6"/>
    <w:rsid w:val="00DD380B"/>
    <w:rsid w:val="00DD3941"/>
    <w:rsid w:val="00DD3C90"/>
    <w:rsid w:val="00DD41C8"/>
    <w:rsid w:val="00DD4272"/>
    <w:rsid w:val="00DD4361"/>
    <w:rsid w:val="00DD4857"/>
    <w:rsid w:val="00DD5654"/>
    <w:rsid w:val="00DD56E3"/>
    <w:rsid w:val="00DD6609"/>
    <w:rsid w:val="00DD6656"/>
    <w:rsid w:val="00DD67F4"/>
    <w:rsid w:val="00DD6C03"/>
    <w:rsid w:val="00DD6E91"/>
    <w:rsid w:val="00DD6F06"/>
    <w:rsid w:val="00DD7643"/>
    <w:rsid w:val="00DD7709"/>
    <w:rsid w:val="00DD7DA3"/>
    <w:rsid w:val="00DD7E7F"/>
    <w:rsid w:val="00DE0031"/>
    <w:rsid w:val="00DE0496"/>
    <w:rsid w:val="00DE05C8"/>
    <w:rsid w:val="00DE0820"/>
    <w:rsid w:val="00DE0AA9"/>
    <w:rsid w:val="00DE14E3"/>
    <w:rsid w:val="00DE205F"/>
    <w:rsid w:val="00DE207E"/>
    <w:rsid w:val="00DE2CF6"/>
    <w:rsid w:val="00DE2DBD"/>
    <w:rsid w:val="00DE33AE"/>
    <w:rsid w:val="00DE33F6"/>
    <w:rsid w:val="00DE3D4C"/>
    <w:rsid w:val="00DE3F04"/>
    <w:rsid w:val="00DE4131"/>
    <w:rsid w:val="00DE413D"/>
    <w:rsid w:val="00DE4564"/>
    <w:rsid w:val="00DE4809"/>
    <w:rsid w:val="00DE4810"/>
    <w:rsid w:val="00DE4834"/>
    <w:rsid w:val="00DE4868"/>
    <w:rsid w:val="00DE4932"/>
    <w:rsid w:val="00DE4972"/>
    <w:rsid w:val="00DE4A36"/>
    <w:rsid w:val="00DE4F9E"/>
    <w:rsid w:val="00DE4FBB"/>
    <w:rsid w:val="00DE5653"/>
    <w:rsid w:val="00DE58FE"/>
    <w:rsid w:val="00DE5AC9"/>
    <w:rsid w:val="00DE5E6B"/>
    <w:rsid w:val="00DE6246"/>
    <w:rsid w:val="00DE6293"/>
    <w:rsid w:val="00DE6745"/>
    <w:rsid w:val="00DE67FC"/>
    <w:rsid w:val="00DE6A04"/>
    <w:rsid w:val="00DE6B6C"/>
    <w:rsid w:val="00DE6B8E"/>
    <w:rsid w:val="00DE6C41"/>
    <w:rsid w:val="00DE6C9A"/>
    <w:rsid w:val="00DE6FC9"/>
    <w:rsid w:val="00DE6FCE"/>
    <w:rsid w:val="00DE73EE"/>
    <w:rsid w:val="00DE7459"/>
    <w:rsid w:val="00DE772E"/>
    <w:rsid w:val="00DE7911"/>
    <w:rsid w:val="00DE7BAD"/>
    <w:rsid w:val="00DE7BE2"/>
    <w:rsid w:val="00DF049A"/>
    <w:rsid w:val="00DF0936"/>
    <w:rsid w:val="00DF0946"/>
    <w:rsid w:val="00DF0B95"/>
    <w:rsid w:val="00DF0C0E"/>
    <w:rsid w:val="00DF0E9E"/>
    <w:rsid w:val="00DF117E"/>
    <w:rsid w:val="00DF1441"/>
    <w:rsid w:val="00DF1591"/>
    <w:rsid w:val="00DF1806"/>
    <w:rsid w:val="00DF1F5F"/>
    <w:rsid w:val="00DF20D6"/>
    <w:rsid w:val="00DF2409"/>
    <w:rsid w:val="00DF2850"/>
    <w:rsid w:val="00DF3001"/>
    <w:rsid w:val="00DF316E"/>
    <w:rsid w:val="00DF3734"/>
    <w:rsid w:val="00DF3EE0"/>
    <w:rsid w:val="00DF462B"/>
    <w:rsid w:val="00DF47F2"/>
    <w:rsid w:val="00DF4972"/>
    <w:rsid w:val="00DF49B4"/>
    <w:rsid w:val="00DF4DF8"/>
    <w:rsid w:val="00DF520D"/>
    <w:rsid w:val="00DF551E"/>
    <w:rsid w:val="00DF555C"/>
    <w:rsid w:val="00DF58A1"/>
    <w:rsid w:val="00DF59F0"/>
    <w:rsid w:val="00DF5DCF"/>
    <w:rsid w:val="00DF5F1C"/>
    <w:rsid w:val="00DF5FF8"/>
    <w:rsid w:val="00DF6129"/>
    <w:rsid w:val="00DF612C"/>
    <w:rsid w:val="00DF62B7"/>
    <w:rsid w:val="00DF6658"/>
    <w:rsid w:val="00DF6AC9"/>
    <w:rsid w:val="00DF6B2B"/>
    <w:rsid w:val="00DF6FAA"/>
    <w:rsid w:val="00DF72A9"/>
    <w:rsid w:val="00DF7776"/>
    <w:rsid w:val="00DF789C"/>
    <w:rsid w:val="00DF7C4D"/>
    <w:rsid w:val="00DF7CAD"/>
    <w:rsid w:val="00E0000E"/>
    <w:rsid w:val="00E001F7"/>
    <w:rsid w:val="00E00526"/>
    <w:rsid w:val="00E00592"/>
    <w:rsid w:val="00E005B1"/>
    <w:rsid w:val="00E009F0"/>
    <w:rsid w:val="00E00F85"/>
    <w:rsid w:val="00E01067"/>
    <w:rsid w:val="00E01417"/>
    <w:rsid w:val="00E01430"/>
    <w:rsid w:val="00E0152D"/>
    <w:rsid w:val="00E01C81"/>
    <w:rsid w:val="00E01E79"/>
    <w:rsid w:val="00E021D8"/>
    <w:rsid w:val="00E0265D"/>
    <w:rsid w:val="00E026B3"/>
    <w:rsid w:val="00E02944"/>
    <w:rsid w:val="00E02D00"/>
    <w:rsid w:val="00E02EE9"/>
    <w:rsid w:val="00E02F75"/>
    <w:rsid w:val="00E03202"/>
    <w:rsid w:val="00E0352D"/>
    <w:rsid w:val="00E0371D"/>
    <w:rsid w:val="00E037EF"/>
    <w:rsid w:val="00E03831"/>
    <w:rsid w:val="00E038C7"/>
    <w:rsid w:val="00E03B65"/>
    <w:rsid w:val="00E040F5"/>
    <w:rsid w:val="00E043B8"/>
    <w:rsid w:val="00E04859"/>
    <w:rsid w:val="00E04E8F"/>
    <w:rsid w:val="00E05389"/>
    <w:rsid w:val="00E0568A"/>
    <w:rsid w:val="00E0576B"/>
    <w:rsid w:val="00E05F32"/>
    <w:rsid w:val="00E0617F"/>
    <w:rsid w:val="00E0672B"/>
    <w:rsid w:val="00E0687C"/>
    <w:rsid w:val="00E0704C"/>
    <w:rsid w:val="00E071FF"/>
    <w:rsid w:val="00E07404"/>
    <w:rsid w:val="00E07A79"/>
    <w:rsid w:val="00E07B1F"/>
    <w:rsid w:val="00E10746"/>
    <w:rsid w:val="00E10967"/>
    <w:rsid w:val="00E10DEA"/>
    <w:rsid w:val="00E10E5A"/>
    <w:rsid w:val="00E110F3"/>
    <w:rsid w:val="00E1166B"/>
    <w:rsid w:val="00E1180F"/>
    <w:rsid w:val="00E11912"/>
    <w:rsid w:val="00E11AEC"/>
    <w:rsid w:val="00E11E42"/>
    <w:rsid w:val="00E11F08"/>
    <w:rsid w:val="00E1205C"/>
    <w:rsid w:val="00E12387"/>
    <w:rsid w:val="00E1279C"/>
    <w:rsid w:val="00E13027"/>
    <w:rsid w:val="00E1376B"/>
    <w:rsid w:val="00E137C1"/>
    <w:rsid w:val="00E13880"/>
    <w:rsid w:val="00E13A6D"/>
    <w:rsid w:val="00E13A9D"/>
    <w:rsid w:val="00E13E5C"/>
    <w:rsid w:val="00E143BE"/>
    <w:rsid w:val="00E147E9"/>
    <w:rsid w:val="00E14CE6"/>
    <w:rsid w:val="00E14E45"/>
    <w:rsid w:val="00E14E55"/>
    <w:rsid w:val="00E14E80"/>
    <w:rsid w:val="00E14EE6"/>
    <w:rsid w:val="00E1576C"/>
    <w:rsid w:val="00E159DB"/>
    <w:rsid w:val="00E15AD6"/>
    <w:rsid w:val="00E15C29"/>
    <w:rsid w:val="00E15DF1"/>
    <w:rsid w:val="00E15F6F"/>
    <w:rsid w:val="00E16153"/>
    <w:rsid w:val="00E1631E"/>
    <w:rsid w:val="00E165C6"/>
    <w:rsid w:val="00E16C73"/>
    <w:rsid w:val="00E17310"/>
    <w:rsid w:val="00E17360"/>
    <w:rsid w:val="00E174C7"/>
    <w:rsid w:val="00E178F7"/>
    <w:rsid w:val="00E17900"/>
    <w:rsid w:val="00E17F01"/>
    <w:rsid w:val="00E2008E"/>
    <w:rsid w:val="00E20A33"/>
    <w:rsid w:val="00E20B5C"/>
    <w:rsid w:val="00E20E6B"/>
    <w:rsid w:val="00E20FC6"/>
    <w:rsid w:val="00E2142C"/>
    <w:rsid w:val="00E21496"/>
    <w:rsid w:val="00E217E9"/>
    <w:rsid w:val="00E21B57"/>
    <w:rsid w:val="00E21D23"/>
    <w:rsid w:val="00E2232B"/>
    <w:rsid w:val="00E22A30"/>
    <w:rsid w:val="00E23054"/>
    <w:rsid w:val="00E235C2"/>
    <w:rsid w:val="00E239BE"/>
    <w:rsid w:val="00E23CCB"/>
    <w:rsid w:val="00E249DF"/>
    <w:rsid w:val="00E24A06"/>
    <w:rsid w:val="00E24E92"/>
    <w:rsid w:val="00E25457"/>
    <w:rsid w:val="00E25512"/>
    <w:rsid w:val="00E25AA4"/>
    <w:rsid w:val="00E25E2C"/>
    <w:rsid w:val="00E26229"/>
    <w:rsid w:val="00E26231"/>
    <w:rsid w:val="00E263BB"/>
    <w:rsid w:val="00E268C1"/>
    <w:rsid w:val="00E26A29"/>
    <w:rsid w:val="00E26DDB"/>
    <w:rsid w:val="00E26EFD"/>
    <w:rsid w:val="00E2724D"/>
    <w:rsid w:val="00E273A9"/>
    <w:rsid w:val="00E27970"/>
    <w:rsid w:val="00E304B1"/>
    <w:rsid w:val="00E3097B"/>
    <w:rsid w:val="00E30A1F"/>
    <w:rsid w:val="00E30A51"/>
    <w:rsid w:val="00E30B9C"/>
    <w:rsid w:val="00E30BE2"/>
    <w:rsid w:val="00E30FBE"/>
    <w:rsid w:val="00E31997"/>
    <w:rsid w:val="00E31E51"/>
    <w:rsid w:val="00E32306"/>
    <w:rsid w:val="00E32C11"/>
    <w:rsid w:val="00E32E8D"/>
    <w:rsid w:val="00E33088"/>
    <w:rsid w:val="00E33686"/>
    <w:rsid w:val="00E33C55"/>
    <w:rsid w:val="00E343BD"/>
    <w:rsid w:val="00E344E7"/>
    <w:rsid w:val="00E3459C"/>
    <w:rsid w:val="00E34C4F"/>
    <w:rsid w:val="00E34F3B"/>
    <w:rsid w:val="00E34F43"/>
    <w:rsid w:val="00E34F54"/>
    <w:rsid w:val="00E350AB"/>
    <w:rsid w:val="00E352CE"/>
    <w:rsid w:val="00E354A3"/>
    <w:rsid w:val="00E3599D"/>
    <w:rsid w:val="00E35BA6"/>
    <w:rsid w:val="00E35EF2"/>
    <w:rsid w:val="00E35FDC"/>
    <w:rsid w:val="00E36024"/>
    <w:rsid w:val="00E3624A"/>
    <w:rsid w:val="00E364D7"/>
    <w:rsid w:val="00E36520"/>
    <w:rsid w:val="00E36B7E"/>
    <w:rsid w:val="00E36BBE"/>
    <w:rsid w:val="00E36E32"/>
    <w:rsid w:val="00E3700F"/>
    <w:rsid w:val="00E3711F"/>
    <w:rsid w:val="00E3714D"/>
    <w:rsid w:val="00E37505"/>
    <w:rsid w:val="00E37777"/>
    <w:rsid w:val="00E378E4"/>
    <w:rsid w:val="00E37A1E"/>
    <w:rsid w:val="00E37C5F"/>
    <w:rsid w:val="00E37D1E"/>
    <w:rsid w:val="00E40044"/>
    <w:rsid w:val="00E40184"/>
    <w:rsid w:val="00E40679"/>
    <w:rsid w:val="00E40B31"/>
    <w:rsid w:val="00E40C01"/>
    <w:rsid w:val="00E41537"/>
    <w:rsid w:val="00E41589"/>
    <w:rsid w:val="00E41601"/>
    <w:rsid w:val="00E416EA"/>
    <w:rsid w:val="00E416FA"/>
    <w:rsid w:val="00E41B77"/>
    <w:rsid w:val="00E41C70"/>
    <w:rsid w:val="00E41DB6"/>
    <w:rsid w:val="00E42177"/>
    <w:rsid w:val="00E4217B"/>
    <w:rsid w:val="00E4253B"/>
    <w:rsid w:val="00E428E7"/>
    <w:rsid w:val="00E429B1"/>
    <w:rsid w:val="00E43264"/>
    <w:rsid w:val="00E4338D"/>
    <w:rsid w:val="00E4358B"/>
    <w:rsid w:val="00E43700"/>
    <w:rsid w:val="00E43BC0"/>
    <w:rsid w:val="00E43CC7"/>
    <w:rsid w:val="00E43F80"/>
    <w:rsid w:val="00E441A8"/>
    <w:rsid w:val="00E44413"/>
    <w:rsid w:val="00E4441A"/>
    <w:rsid w:val="00E448AD"/>
    <w:rsid w:val="00E449A2"/>
    <w:rsid w:val="00E44C33"/>
    <w:rsid w:val="00E451D4"/>
    <w:rsid w:val="00E45952"/>
    <w:rsid w:val="00E45B6B"/>
    <w:rsid w:val="00E46225"/>
    <w:rsid w:val="00E46893"/>
    <w:rsid w:val="00E46B4A"/>
    <w:rsid w:val="00E46F90"/>
    <w:rsid w:val="00E46FAA"/>
    <w:rsid w:val="00E47230"/>
    <w:rsid w:val="00E472FE"/>
    <w:rsid w:val="00E47BF9"/>
    <w:rsid w:val="00E47CCF"/>
    <w:rsid w:val="00E50060"/>
    <w:rsid w:val="00E50087"/>
    <w:rsid w:val="00E503A7"/>
    <w:rsid w:val="00E50767"/>
    <w:rsid w:val="00E5093D"/>
    <w:rsid w:val="00E50B9D"/>
    <w:rsid w:val="00E510BB"/>
    <w:rsid w:val="00E511B3"/>
    <w:rsid w:val="00E512CE"/>
    <w:rsid w:val="00E51476"/>
    <w:rsid w:val="00E5151C"/>
    <w:rsid w:val="00E51900"/>
    <w:rsid w:val="00E51A92"/>
    <w:rsid w:val="00E5205C"/>
    <w:rsid w:val="00E52508"/>
    <w:rsid w:val="00E5283A"/>
    <w:rsid w:val="00E52B53"/>
    <w:rsid w:val="00E52B81"/>
    <w:rsid w:val="00E52E6A"/>
    <w:rsid w:val="00E5306D"/>
    <w:rsid w:val="00E5328D"/>
    <w:rsid w:val="00E53B1F"/>
    <w:rsid w:val="00E53CCD"/>
    <w:rsid w:val="00E53CFD"/>
    <w:rsid w:val="00E53E4E"/>
    <w:rsid w:val="00E53EA3"/>
    <w:rsid w:val="00E541AC"/>
    <w:rsid w:val="00E545EC"/>
    <w:rsid w:val="00E54A03"/>
    <w:rsid w:val="00E54D66"/>
    <w:rsid w:val="00E54D8D"/>
    <w:rsid w:val="00E552A2"/>
    <w:rsid w:val="00E552CB"/>
    <w:rsid w:val="00E559F0"/>
    <w:rsid w:val="00E55EAE"/>
    <w:rsid w:val="00E55F97"/>
    <w:rsid w:val="00E5601F"/>
    <w:rsid w:val="00E560C0"/>
    <w:rsid w:val="00E560E6"/>
    <w:rsid w:val="00E5617A"/>
    <w:rsid w:val="00E56513"/>
    <w:rsid w:val="00E56887"/>
    <w:rsid w:val="00E56932"/>
    <w:rsid w:val="00E56A23"/>
    <w:rsid w:val="00E56A76"/>
    <w:rsid w:val="00E56C59"/>
    <w:rsid w:val="00E56CE0"/>
    <w:rsid w:val="00E56CEB"/>
    <w:rsid w:val="00E56DAB"/>
    <w:rsid w:val="00E57268"/>
    <w:rsid w:val="00E5738B"/>
    <w:rsid w:val="00E5744A"/>
    <w:rsid w:val="00E5761E"/>
    <w:rsid w:val="00E57952"/>
    <w:rsid w:val="00E57B48"/>
    <w:rsid w:val="00E57DF0"/>
    <w:rsid w:val="00E6006D"/>
    <w:rsid w:val="00E60237"/>
    <w:rsid w:val="00E60337"/>
    <w:rsid w:val="00E60916"/>
    <w:rsid w:val="00E60FEF"/>
    <w:rsid w:val="00E6103C"/>
    <w:rsid w:val="00E610A3"/>
    <w:rsid w:val="00E61250"/>
    <w:rsid w:val="00E61A57"/>
    <w:rsid w:val="00E61AD6"/>
    <w:rsid w:val="00E61D7D"/>
    <w:rsid w:val="00E62238"/>
    <w:rsid w:val="00E62291"/>
    <w:rsid w:val="00E62691"/>
    <w:rsid w:val="00E62A39"/>
    <w:rsid w:val="00E62C09"/>
    <w:rsid w:val="00E62E2C"/>
    <w:rsid w:val="00E62EEA"/>
    <w:rsid w:val="00E6317D"/>
    <w:rsid w:val="00E63468"/>
    <w:rsid w:val="00E634A6"/>
    <w:rsid w:val="00E6359C"/>
    <w:rsid w:val="00E637EF"/>
    <w:rsid w:val="00E63871"/>
    <w:rsid w:val="00E63925"/>
    <w:rsid w:val="00E63AB0"/>
    <w:rsid w:val="00E63BD6"/>
    <w:rsid w:val="00E63F48"/>
    <w:rsid w:val="00E64147"/>
    <w:rsid w:val="00E6445D"/>
    <w:rsid w:val="00E649E6"/>
    <w:rsid w:val="00E64C75"/>
    <w:rsid w:val="00E65130"/>
    <w:rsid w:val="00E65198"/>
    <w:rsid w:val="00E658C6"/>
    <w:rsid w:val="00E659E1"/>
    <w:rsid w:val="00E65E27"/>
    <w:rsid w:val="00E65FD1"/>
    <w:rsid w:val="00E660AA"/>
    <w:rsid w:val="00E66706"/>
    <w:rsid w:val="00E668E5"/>
    <w:rsid w:val="00E66927"/>
    <w:rsid w:val="00E67178"/>
    <w:rsid w:val="00E6737E"/>
    <w:rsid w:val="00E6771A"/>
    <w:rsid w:val="00E67C33"/>
    <w:rsid w:val="00E67F33"/>
    <w:rsid w:val="00E702C1"/>
    <w:rsid w:val="00E70C36"/>
    <w:rsid w:val="00E70FC0"/>
    <w:rsid w:val="00E71175"/>
    <w:rsid w:val="00E713A4"/>
    <w:rsid w:val="00E71456"/>
    <w:rsid w:val="00E7168E"/>
    <w:rsid w:val="00E718CF"/>
    <w:rsid w:val="00E718FA"/>
    <w:rsid w:val="00E71A06"/>
    <w:rsid w:val="00E71AC5"/>
    <w:rsid w:val="00E71BC2"/>
    <w:rsid w:val="00E720C8"/>
    <w:rsid w:val="00E722F9"/>
    <w:rsid w:val="00E72639"/>
    <w:rsid w:val="00E729CF"/>
    <w:rsid w:val="00E72CA3"/>
    <w:rsid w:val="00E72DCC"/>
    <w:rsid w:val="00E7370C"/>
    <w:rsid w:val="00E738C0"/>
    <w:rsid w:val="00E73AE4"/>
    <w:rsid w:val="00E73FEA"/>
    <w:rsid w:val="00E747B5"/>
    <w:rsid w:val="00E749B1"/>
    <w:rsid w:val="00E74BD2"/>
    <w:rsid w:val="00E74E84"/>
    <w:rsid w:val="00E75472"/>
    <w:rsid w:val="00E755D4"/>
    <w:rsid w:val="00E75712"/>
    <w:rsid w:val="00E75813"/>
    <w:rsid w:val="00E7594C"/>
    <w:rsid w:val="00E75BCB"/>
    <w:rsid w:val="00E75E78"/>
    <w:rsid w:val="00E76112"/>
    <w:rsid w:val="00E761D6"/>
    <w:rsid w:val="00E76823"/>
    <w:rsid w:val="00E7688A"/>
    <w:rsid w:val="00E76B5F"/>
    <w:rsid w:val="00E770B0"/>
    <w:rsid w:val="00E77875"/>
    <w:rsid w:val="00E77910"/>
    <w:rsid w:val="00E77DA9"/>
    <w:rsid w:val="00E77EE4"/>
    <w:rsid w:val="00E77FAD"/>
    <w:rsid w:val="00E80324"/>
    <w:rsid w:val="00E815D6"/>
    <w:rsid w:val="00E81B88"/>
    <w:rsid w:val="00E81E6D"/>
    <w:rsid w:val="00E8258C"/>
    <w:rsid w:val="00E8265D"/>
    <w:rsid w:val="00E827AE"/>
    <w:rsid w:val="00E828CA"/>
    <w:rsid w:val="00E828DC"/>
    <w:rsid w:val="00E82C7A"/>
    <w:rsid w:val="00E8319F"/>
    <w:rsid w:val="00E83278"/>
    <w:rsid w:val="00E8353E"/>
    <w:rsid w:val="00E8368D"/>
    <w:rsid w:val="00E83743"/>
    <w:rsid w:val="00E837B5"/>
    <w:rsid w:val="00E83CCE"/>
    <w:rsid w:val="00E84ACD"/>
    <w:rsid w:val="00E84B76"/>
    <w:rsid w:val="00E84F4B"/>
    <w:rsid w:val="00E85086"/>
    <w:rsid w:val="00E8541B"/>
    <w:rsid w:val="00E85A22"/>
    <w:rsid w:val="00E85AB9"/>
    <w:rsid w:val="00E85C0B"/>
    <w:rsid w:val="00E86585"/>
    <w:rsid w:val="00E86775"/>
    <w:rsid w:val="00E86CBB"/>
    <w:rsid w:val="00E86E80"/>
    <w:rsid w:val="00E86E9D"/>
    <w:rsid w:val="00E8715C"/>
    <w:rsid w:val="00E87377"/>
    <w:rsid w:val="00E87838"/>
    <w:rsid w:val="00E87B67"/>
    <w:rsid w:val="00E87B74"/>
    <w:rsid w:val="00E9025A"/>
    <w:rsid w:val="00E9062F"/>
    <w:rsid w:val="00E90D54"/>
    <w:rsid w:val="00E90DD6"/>
    <w:rsid w:val="00E90E41"/>
    <w:rsid w:val="00E9125E"/>
    <w:rsid w:val="00E915CB"/>
    <w:rsid w:val="00E91779"/>
    <w:rsid w:val="00E91935"/>
    <w:rsid w:val="00E91A91"/>
    <w:rsid w:val="00E91B60"/>
    <w:rsid w:val="00E91D9E"/>
    <w:rsid w:val="00E91EBB"/>
    <w:rsid w:val="00E922C6"/>
    <w:rsid w:val="00E924F8"/>
    <w:rsid w:val="00E9251F"/>
    <w:rsid w:val="00E9256A"/>
    <w:rsid w:val="00E92D16"/>
    <w:rsid w:val="00E92D6E"/>
    <w:rsid w:val="00E92FAC"/>
    <w:rsid w:val="00E931CE"/>
    <w:rsid w:val="00E938E6"/>
    <w:rsid w:val="00E939F1"/>
    <w:rsid w:val="00E93AEB"/>
    <w:rsid w:val="00E93D50"/>
    <w:rsid w:val="00E94095"/>
    <w:rsid w:val="00E94365"/>
    <w:rsid w:val="00E94381"/>
    <w:rsid w:val="00E943E9"/>
    <w:rsid w:val="00E94459"/>
    <w:rsid w:val="00E945D8"/>
    <w:rsid w:val="00E9476B"/>
    <w:rsid w:val="00E947A3"/>
    <w:rsid w:val="00E94E51"/>
    <w:rsid w:val="00E95106"/>
    <w:rsid w:val="00E95217"/>
    <w:rsid w:val="00E95253"/>
    <w:rsid w:val="00E9527B"/>
    <w:rsid w:val="00E95332"/>
    <w:rsid w:val="00E954D0"/>
    <w:rsid w:val="00E96134"/>
    <w:rsid w:val="00E96711"/>
    <w:rsid w:val="00E96922"/>
    <w:rsid w:val="00E97058"/>
    <w:rsid w:val="00E97231"/>
    <w:rsid w:val="00E97E53"/>
    <w:rsid w:val="00E97FF5"/>
    <w:rsid w:val="00EA0014"/>
    <w:rsid w:val="00EA0553"/>
    <w:rsid w:val="00EA08D7"/>
    <w:rsid w:val="00EA096E"/>
    <w:rsid w:val="00EA1119"/>
    <w:rsid w:val="00EA1123"/>
    <w:rsid w:val="00EA138B"/>
    <w:rsid w:val="00EA169D"/>
    <w:rsid w:val="00EA1B63"/>
    <w:rsid w:val="00EA1F52"/>
    <w:rsid w:val="00EA23DA"/>
    <w:rsid w:val="00EA2438"/>
    <w:rsid w:val="00EA2461"/>
    <w:rsid w:val="00EA2D1B"/>
    <w:rsid w:val="00EA3460"/>
    <w:rsid w:val="00EA39F9"/>
    <w:rsid w:val="00EA3FB3"/>
    <w:rsid w:val="00EA4469"/>
    <w:rsid w:val="00EA4564"/>
    <w:rsid w:val="00EA4B04"/>
    <w:rsid w:val="00EA4B10"/>
    <w:rsid w:val="00EA4CC8"/>
    <w:rsid w:val="00EA4D29"/>
    <w:rsid w:val="00EA4D62"/>
    <w:rsid w:val="00EA5138"/>
    <w:rsid w:val="00EA56FD"/>
    <w:rsid w:val="00EA57C6"/>
    <w:rsid w:val="00EA587B"/>
    <w:rsid w:val="00EA5907"/>
    <w:rsid w:val="00EA5A5C"/>
    <w:rsid w:val="00EA5B32"/>
    <w:rsid w:val="00EA606C"/>
    <w:rsid w:val="00EA6149"/>
    <w:rsid w:val="00EA61E2"/>
    <w:rsid w:val="00EA624A"/>
    <w:rsid w:val="00EA659E"/>
    <w:rsid w:val="00EA65B3"/>
    <w:rsid w:val="00EA6E5B"/>
    <w:rsid w:val="00EA715F"/>
    <w:rsid w:val="00EA71FA"/>
    <w:rsid w:val="00EA72E1"/>
    <w:rsid w:val="00EA730F"/>
    <w:rsid w:val="00EA73E1"/>
    <w:rsid w:val="00EA7575"/>
    <w:rsid w:val="00EA791C"/>
    <w:rsid w:val="00EA79CE"/>
    <w:rsid w:val="00EA7A1D"/>
    <w:rsid w:val="00EA7A57"/>
    <w:rsid w:val="00EA7D0A"/>
    <w:rsid w:val="00EA7DDD"/>
    <w:rsid w:val="00EA7FD2"/>
    <w:rsid w:val="00EB018B"/>
    <w:rsid w:val="00EB0361"/>
    <w:rsid w:val="00EB105B"/>
    <w:rsid w:val="00EB14FC"/>
    <w:rsid w:val="00EB1609"/>
    <w:rsid w:val="00EB19EB"/>
    <w:rsid w:val="00EB1F51"/>
    <w:rsid w:val="00EB21CF"/>
    <w:rsid w:val="00EB244A"/>
    <w:rsid w:val="00EB2587"/>
    <w:rsid w:val="00EB25EC"/>
    <w:rsid w:val="00EB2817"/>
    <w:rsid w:val="00EB2A2E"/>
    <w:rsid w:val="00EB2AC9"/>
    <w:rsid w:val="00EB2B49"/>
    <w:rsid w:val="00EB2BAA"/>
    <w:rsid w:val="00EB2DCA"/>
    <w:rsid w:val="00EB2E24"/>
    <w:rsid w:val="00EB312C"/>
    <w:rsid w:val="00EB353E"/>
    <w:rsid w:val="00EB3C8B"/>
    <w:rsid w:val="00EB4185"/>
    <w:rsid w:val="00EB4365"/>
    <w:rsid w:val="00EB437F"/>
    <w:rsid w:val="00EB4463"/>
    <w:rsid w:val="00EB45A7"/>
    <w:rsid w:val="00EB4700"/>
    <w:rsid w:val="00EB4739"/>
    <w:rsid w:val="00EB4CA8"/>
    <w:rsid w:val="00EB5387"/>
    <w:rsid w:val="00EB56AC"/>
    <w:rsid w:val="00EB60BC"/>
    <w:rsid w:val="00EB64F2"/>
    <w:rsid w:val="00EB650B"/>
    <w:rsid w:val="00EB6C59"/>
    <w:rsid w:val="00EB6E86"/>
    <w:rsid w:val="00EB6F38"/>
    <w:rsid w:val="00EB70DC"/>
    <w:rsid w:val="00EB7362"/>
    <w:rsid w:val="00EB743A"/>
    <w:rsid w:val="00EB77FF"/>
    <w:rsid w:val="00EB7C6F"/>
    <w:rsid w:val="00EC0091"/>
    <w:rsid w:val="00EC00A4"/>
    <w:rsid w:val="00EC0112"/>
    <w:rsid w:val="00EC01B9"/>
    <w:rsid w:val="00EC068B"/>
    <w:rsid w:val="00EC17E1"/>
    <w:rsid w:val="00EC1C82"/>
    <w:rsid w:val="00EC1DF4"/>
    <w:rsid w:val="00EC1E53"/>
    <w:rsid w:val="00EC2107"/>
    <w:rsid w:val="00EC22E5"/>
    <w:rsid w:val="00EC270F"/>
    <w:rsid w:val="00EC2C3C"/>
    <w:rsid w:val="00EC3949"/>
    <w:rsid w:val="00EC3A82"/>
    <w:rsid w:val="00EC47CB"/>
    <w:rsid w:val="00EC4A9E"/>
    <w:rsid w:val="00EC4D84"/>
    <w:rsid w:val="00EC4DA9"/>
    <w:rsid w:val="00EC4FFB"/>
    <w:rsid w:val="00EC510F"/>
    <w:rsid w:val="00EC535C"/>
    <w:rsid w:val="00EC54B4"/>
    <w:rsid w:val="00EC5906"/>
    <w:rsid w:val="00EC5C78"/>
    <w:rsid w:val="00EC5CE0"/>
    <w:rsid w:val="00EC60BC"/>
    <w:rsid w:val="00EC63FE"/>
    <w:rsid w:val="00EC6863"/>
    <w:rsid w:val="00EC69AF"/>
    <w:rsid w:val="00EC6C0E"/>
    <w:rsid w:val="00EC6C6F"/>
    <w:rsid w:val="00EC6D91"/>
    <w:rsid w:val="00EC6DB3"/>
    <w:rsid w:val="00EC76E4"/>
    <w:rsid w:val="00EC7D31"/>
    <w:rsid w:val="00EC7ED6"/>
    <w:rsid w:val="00ED01B4"/>
    <w:rsid w:val="00ED0429"/>
    <w:rsid w:val="00ED0B02"/>
    <w:rsid w:val="00ED0CF9"/>
    <w:rsid w:val="00ED0D10"/>
    <w:rsid w:val="00ED1180"/>
    <w:rsid w:val="00ED148F"/>
    <w:rsid w:val="00ED2043"/>
    <w:rsid w:val="00ED22EC"/>
    <w:rsid w:val="00ED2936"/>
    <w:rsid w:val="00ED2CA5"/>
    <w:rsid w:val="00ED2F96"/>
    <w:rsid w:val="00ED3185"/>
    <w:rsid w:val="00ED322F"/>
    <w:rsid w:val="00ED352C"/>
    <w:rsid w:val="00ED37DD"/>
    <w:rsid w:val="00ED39AC"/>
    <w:rsid w:val="00ED3A36"/>
    <w:rsid w:val="00ED3A87"/>
    <w:rsid w:val="00ED3F65"/>
    <w:rsid w:val="00ED40E9"/>
    <w:rsid w:val="00ED441A"/>
    <w:rsid w:val="00ED475E"/>
    <w:rsid w:val="00ED52B9"/>
    <w:rsid w:val="00ED5AE5"/>
    <w:rsid w:val="00ED60D0"/>
    <w:rsid w:val="00ED651F"/>
    <w:rsid w:val="00ED657E"/>
    <w:rsid w:val="00ED661F"/>
    <w:rsid w:val="00ED6879"/>
    <w:rsid w:val="00ED6929"/>
    <w:rsid w:val="00ED74C1"/>
    <w:rsid w:val="00ED7527"/>
    <w:rsid w:val="00ED75AC"/>
    <w:rsid w:val="00ED7A4C"/>
    <w:rsid w:val="00ED7B39"/>
    <w:rsid w:val="00ED7B55"/>
    <w:rsid w:val="00ED7EE6"/>
    <w:rsid w:val="00EE0500"/>
    <w:rsid w:val="00EE0ACD"/>
    <w:rsid w:val="00EE0B3A"/>
    <w:rsid w:val="00EE0BE7"/>
    <w:rsid w:val="00EE0CFB"/>
    <w:rsid w:val="00EE10E2"/>
    <w:rsid w:val="00EE115E"/>
    <w:rsid w:val="00EE118F"/>
    <w:rsid w:val="00EE1A39"/>
    <w:rsid w:val="00EE1B9D"/>
    <w:rsid w:val="00EE1D19"/>
    <w:rsid w:val="00EE218D"/>
    <w:rsid w:val="00EE21BE"/>
    <w:rsid w:val="00EE24F2"/>
    <w:rsid w:val="00EE2985"/>
    <w:rsid w:val="00EE2A5B"/>
    <w:rsid w:val="00EE2B8C"/>
    <w:rsid w:val="00EE2CA0"/>
    <w:rsid w:val="00EE2CC7"/>
    <w:rsid w:val="00EE2D93"/>
    <w:rsid w:val="00EE2DCD"/>
    <w:rsid w:val="00EE2ECA"/>
    <w:rsid w:val="00EE30B5"/>
    <w:rsid w:val="00EE37D6"/>
    <w:rsid w:val="00EE3AA4"/>
    <w:rsid w:val="00EE3B57"/>
    <w:rsid w:val="00EE4120"/>
    <w:rsid w:val="00EE4147"/>
    <w:rsid w:val="00EE4B91"/>
    <w:rsid w:val="00EE4C0F"/>
    <w:rsid w:val="00EE4F6E"/>
    <w:rsid w:val="00EE5199"/>
    <w:rsid w:val="00EE5313"/>
    <w:rsid w:val="00EE5330"/>
    <w:rsid w:val="00EE546B"/>
    <w:rsid w:val="00EE55D5"/>
    <w:rsid w:val="00EE5657"/>
    <w:rsid w:val="00EE580D"/>
    <w:rsid w:val="00EE5A5B"/>
    <w:rsid w:val="00EE5BF4"/>
    <w:rsid w:val="00EE5E71"/>
    <w:rsid w:val="00EE5F3F"/>
    <w:rsid w:val="00EE61E2"/>
    <w:rsid w:val="00EE6556"/>
    <w:rsid w:val="00EE6839"/>
    <w:rsid w:val="00EE685D"/>
    <w:rsid w:val="00EE69A8"/>
    <w:rsid w:val="00EE6ADD"/>
    <w:rsid w:val="00EE6E36"/>
    <w:rsid w:val="00EE6F8B"/>
    <w:rsid w:val="00EE6FF6"/>
    <w:rsid w:val="00EE7233"/>
    <w:rsid w:val="00EE72FE"/>
    <w:rsid w:val="00EE7D2D"/>
    <w:rsid w:val="00EE7D5D"/>
    <w:rsid w:val="00EE7E04"/>
    <w:rsid w:val="00EE7E75"/>
    <w:rsid w:val="00EE7F82"/>
    <w:rsid w:val="00EF0052"/>
    <w:rsid w:val="00EF01FB"/>
    <w:rsid w:val="00EF0312"/>
    <w:rsid w:val="00EF0D05"/>
    <w:rsid w:val="00EF11EE"/>
    <w:rsid w:val="00EF1211"/>
    <w:rsid w:val="00EF137F"/>
    <w:rsid w:val="00EF145A"/>
    <w:rsid w:val="00EF18AE"/>
    <w:rsid w:val="00EF1BBB"/>
    <w:rsid w:val="00EF1CF4"/>
    <w:rsid w:val="00EF1EAC"/>
    <w:rsid w:val="00EF1F5C"/>
    <w:rsid w:val="00EF22BD"/>
    <w:rsid w:val="00EF22E0"/>
    <w:rsid w:val="00EF2340"/>
    <w:rsid w:val="00EF255E"/>
    <w:rsid w:val="00EF272E"/>
    <w:rsid w:val="00EF2844"/>
    <w:rsid w:val="00EF2B38"/>
    <w:rsid w:val="00EF3187"/>
    <w:rsid w:val="00EF32D1"/>
    <w:rsid w:val="00EF33D2"/>
    <w:rsid w:val="00EF35EC"/>
    <w:rsid w:val="00EF36B5"/>
    <w:rsid w:val="00EF3920"/>
    <w:rsid w:val="00EF3A28"/>
    <w:rsid w:val="00EF3B11"/>
    <w:rsid w:val="00EF3F17"/>
    <w:rsid w:val="00EF45FB"/>
    <w:rsid w:val="00EF4686"/>
    <w:rsid w:val="00EF4A1A"/>
    <w:rsid w:val="00EF4BC8"/>
    <w:rsid w:val="00EF4EDD"/>
    <w:rsid w:val="00EF57EA"/>
    <w:rsid w:val="00EF59C2"/>
    <w:rsid w:val="00EF5A0A"/>
    <w:rsid w:val="00EF5E92"/>
    <w:rsid w:val="00EF62DC"/>
    <w:rsid w:val="00EF65D0"/>
    <w:rsid w:val="00EF6811"/>
    <w:rsid w:val="00EF6936"/>
    <w:rsid w:val="00EF6942"/>
    <w:rsid w:val="00EF69DE"/>
    <w:rsid w:val="00EF6C60"/>
    <w:rsid w:val="00EF6CFC"/>
    <w:rsid w:val="00EF733F"/>
    <w:rsid w:val="00EF74AE"/>
    <w:rsid w:val="00EF7530"/>
    <w:rsid w:val="00EF76DC"/>
    <w:rsid w:val="00EF76E8"/>
    <w:rsid w:val="00EF7719"/>
    <w:rsid w:val="00EF7C70"/>
    <w:rsid w:val="00EF7FBB"/>
    <w:rsid w:val="00F00841"/>
    <w:rsid w:val="00F00D43"/>
    <w:rsid w:val="00F011AC"/>
    <w:rsid w:val="00F011D4"/>
    <w:rsid w:val="00F012FF"/>
    <w:rsid w:val="00F0177A"/>
    <w:rsid w:val="00F019CF"/>
    <w:rsid w:val="00F01F85"/>
    <w:rsid w:val="00F02B39"/>
    <w:rsid w:val="00F02C0B"/>
    <w:rsid w:val="00F03055"/>
    <w:rsid w:val="00F0319E"/>
    <w:rsid w:val="00F03233"/>
    <w:rsid w:val="00F03346"/>
    <w:rsid w:val="00F0334A"/>
    <w:rsid w:val="00F033F4"/>
    <w:rsid w:val="00F0348F"/>
    <w:rsid w:val="00F03C4F"/>
    <w:rsid w:val="00F04218"/>
    <w:rsid w:val="00F042A6"/>
    <w:rsid w:val="00F044B5"/>
    <w:rsid w:val="00F046BA"/>
    <w:rsid w:val="00F04765"/>
    <w:rsid w:val="00F04ABA"/>
    <w:rsid w:val="00F04D38"/>
    <w:rsid w:val="00F04F18"/>
    <w:rsid w:val="00F04F70"/>
    <w:rsid w:val="00F051A5"/>
    <w:rsid w:val="00F051BC"/>
    <w:rsid w:val="00F0520F"/>
    <w:rsid w:val="00F057D2"/>
    <w:rsid w:val="00F059A1"/>
    <w:rsid w:val="00F059F1"/>
    <w:rsid w:val="00F05A52"/>
    <w:rsid w:val="00F05EE4"/>
    <w:rsid w:val="00F0618F"/>
    <w:rsid w:val="00F062A7"/>
    <w:rsid w:val="00F063EA"/>
    <w:rsid w:val="00F06C2F"/>
    <w:rsid w:val="00F0769E"/>
    <w:rsid w:val="00F07891"/>
    <w:rsid w:val="00F07DAB"/>
    <w:rsid w:val="00F102E7"/>
    <w:rsid w:val="00F10593"/>
    <w:rsid w:val="00F105D0"/>
    <w:rsid w:val="00F105E4"/>
    <w:rsid w:val="00F1100F"/>
    <w:rsid w:val="00F1106A"/>
    <w:rsid w:val="00F1168D"/>
    <w:rsid w:val="00F1169D"/>
    <w:rsid w:val="00F117AE"/>
    <w:rsid w:val="00F11C81"/>
    <w:rsid w:val="00F11D1C"/>
    <w:rsid w:val="00F11E49"/>
    <w:rsid w:val="00F11F8F"/>
    <w:rsid w:val="00F11FFA"/>
    <w:rsid w:val="00F12535"/>
    <w:rsid w:val="00F12598"/>
    <w:rsid w:val="00F1280F"/>
    <w:rsid w:val="00F12A37"/>
    <w:rsid w:val="00F12D4C"/>
    <w:rsid w:val="00F12DCA"/>
    <w:rsid w:val="00F13059"/>
    <w:rsid w:val="00F132F0"/>
    <w:rsid w:val="00F133EE"/>
    <w:rsid w:val="00F134B1"/>
    <w:rsid w:val="00F137DC"/>
    <w:rsid w:val="00F13B6B"/>
    <w:rsid w:val="00F13E2F"/>
    <w:rsid w:val="00F1405A"/>
    <w:rsid w:val="00F1420E"/>
    <w:rsid w:val="00F1444A"/>
    <w:rsid w:val="00F1491C"/>
    <w:rsid w:val="00F14A2F"/>
    <w:rsid w:val="00F14DB7"/>
    <w:rsid w:val="00F15103"/>
    <w:rsid w:val="00F15306"/>
    <w:rsid w:val="00F155C3"/>
    <w:rsid w:val="00F159AB"/>
    <w:rsid w:val="00F15C78"/>
    <w:rsid w:val="00F15F24"/>
    <w:rsid w:val="00F15F81"/>
    <w:rsid w:val="00F165DD"/>
    <w:rsid w:val="00F16614"/>
    <w:rsid w:val="00F16651"/>
    <w:rsid w:val="00F169C2"/>
    <w:rsid w:val="00F17C05"/>
    <w:rsid w:val="00F17C73"/>
    <w:rsid w:val="00F17D38"/>
    <w:rsid w:val="00F20AE0"/>
    <w:rsid w:val="00F20AEF"/>
    <w:rsid w:val="00F20B7C"/>
    <w:rsid w:val="00F20C3C"/>
    <w:rsid w:val="00F20D83"/>
    <w:rsid w:val="00F210F2"/>
    <w:rsid w:val="00F21318"/>
    <w:rsid w:val="00F2197C"/>
    <w:rsid w:val="00F22001"/>
    <w:rsid w:val="00F22145"/>
    <w:rsid w:val="00F221CF"/>
    <w:rsid w:val="00F223F2"/>
    <w:rsid w:val="00F226CF"/>
    <w:rsid w:val="00F22810"/>
    <w:rsid w:val="00F22DA1"/>
    <w:rsid w:val="00F23158"/>
    <w:rsid w:val="00F23256"/>
    <w:rsid w:val="00F232BF"/>
    <w:rsid w:val="00F2347A"/>
    <w:rsid w:val="00F2348E"/>
    <w:rsid w:val="00F236E0"/>
    <w:rsid w:val="00F23774"/>
    <w:rsid w:val="00F2391F"/>
    <w:rsid w:val="00F2398A"/>
    <w:rsid w:val="00F23C8B"/>
    <w:rsid w:val="00F23D42"/>
    <w:rsid w:val="00F2408B"/>
    <w:rsid w:val="00F24440"/>
    <w:rsid w:val="00F2444D"/>
    <w:rsid w:val="00F24483"/>
    <w:rsid w:val="00F244C1"/>
    <w:rsid w:val="00F24558"/>
    <w:rsid w:val="00F24595"/>
    <w:rsid w:val="00F24752"/>
    <w:rsid w:val="00F249BB"/>
    <w:rsid w:val="00F24E08"/>
    <w:rsid w:val="00F251C7"/>
    <w:rsid w:val="00F2521B"/>
    <w:rsid w:val="00F253AB"/>
    <w:rsid w:val="00F258BA"/>
    <w:rsid w:val="00F25A99"/>
    <w:rsid w:val="00F25C10"/>
    <w:rsid w:val="00F26636"/>
    <w:rsid w:val="00F26861"/>
    <w:rsid w:val="00F269D3"/>
    <w:rsid w:val="00F26E88"/>
    <w:rsid w:val="00F26FAA"/>
    <w:rsid w:val="00F27127"/>
    <w:rsid w:val="00F274C3"/>
    <w:rsid w:val="00F27CA3"/>
    <w:rsid w:val="00F30029"/>
    <w:rsid w:val="00F301E1"/>
    <w:rsid w:val="00F30219"/>
    <w:rsid w:val="00F3024F"/>
    <w:rsid w:val="00F3029D"/>
    <w:rsid w:val="00F306A0"/>
    <w:rsid w:val="00F308D8"/>
    <w:rsid w:val="00F30934"/>
    <w:rsid w:val="00F30C81"/>
    <w:rsid w:val="00F3117B"/>
    <w:rsid w:val="00F313CB"/>
    <w:rsid w:val="00F3155D"/>
    <w:rsid w:val="00F31575"/>
    <w:rsid w:val="00F319C3"/>
    <w:rsid w:val="00F319D1"/>
    <w:rsid w:val="00F31E68"/>
    <w:rsid w:val="00F31F39"/>
    <w:rsid w:val="00F320AE"/>
    <w:rsid w:val="00F32479"/>
    <w:rsid w:val="00F3271A"/>
    <w:rsid w:val="00F32728"/>
    <w:rsid w:val="00F328EF"/>
    <w:rsid w:val="00F32985"/>
    <w:rsid w:val="00F32CED"/>
    <w:rsid w:val="00F32DF6"/>
    <w:rsid w:val="00F32E45"/>
    <w:rsid w:val="00F33501"/>
    <w:rsid w:val="00F33D44"/>
    <w:rsid w:val="00F33DFB"/>
    <w:rsid w:val="00F34558"/>
    <w:rsid w:val="00F3469E"/>
    <w:rsid w:val="00F34731"/>
    <w:rsid w:val="00F349AA"/>
    <w:rsid w:val="00F34F33"/>
    <w:rsid w:val="00F35057"/>
    <w:rsid w:val="00F35091"/>
    <w:rsid w:val="00F350A1"/>
    <w:rsid w:val="00F3550E"/>
    <w:rsid w:val="00F35860"/>
    <w:rsid w:val="00F35BF3"/>
    <w:rsid w:val="00F35EF4"/>
    <w:rsid w:val="00F36217"/>
    <w:rsid w:val="00F362B8"/>
    <w:rsid w:val="00F363B8"/>
    <w:rsid w:val="00F36AAB"/>
    <w:rsid w:val="00F36C41"/>
    <w:rsid w:val="00F36CF0"/>
    <w:rsid w:val="00F36FF4"/>
    <w:rsid w:val="00F36FF9"/>
    <w:rsid w:val="00F37238"/>
    <w:rsid w:val="00F3737B"/>
    <w:rsid w:val="00F4016F"/>
    <w:rsid w:val="00F403A8"/>
    <w:rsid w:val="00F404A1"/>
    <w:rsid w:val="00F40540"/>
    <w:rsid w:val="00F40720"/>
    <w:rsid w:val="00F40743"/>
    <w:rsid w:val="00F40A97"/>
    <w:rsid w:val="00F40C71"/>
    <w:rsid w:val="00F410AB"/>
    <w:rsid w:val="00F41293"/>
    <w:rsid w:val="00F4141C"/>
    <w:rsid w:val="00F41969"/>
    <w:rsid w:val="00F41988"/>
    <w:rsid w:val="00F41C4A"/>
    <w:rsid w:val="00F41C57"/>
    <w:rsid w:val="00F41E07"/>
    <w:rsid w:val="00F42200"/>
    <w:rsid w:val="00F4256F"/>
    <w:rsid w:val="00F427D2"/>
    <w:rsid w:val="00F428C3"/>
    <w:rsid w:val="00F42944"/>
    <w:rsid w:val="00F42CF8"/>
    <w:rsid w:val="00F431A9"/>
    <w:rsid w:val="00F43517"/>
    <w:rsid w:val="00F43702"/>
    <w:rsid w:val="00F43851"/>
    <w:rsid w:val="00F43E37"/>
    <w:rsid w:val="00F43FA4"/>
    <w:rsid w:val="00F44598"/>
    <w:rsid w:val="00F4474B"/>
    <w:rsid w:val="00F44989"/>
    <w:rsid w:val="00F44A15"/>
    <w:rsid w:val="00F450CE"/>
    <w:rsid w:val="00F4538A"/>
    <w:rsid w:val="00F45536"/>
    <w:rsid w:val="00F459B3"/>
    <w:rsid w:val="00F45EC1"/>
    <w:rsid w:val="00F461AC"/>
    <w:rsid w:val="00F4631C"/>
    <w:rsid w:val="00F464DA"/>
    <w:rsid w:val="00F46A55"/>
    <w:rsid w:val="00F46BC5"/>
    <w:rsid w:val="00F46D24"/>
    <w:rsid w:val="00F47981"/>
    <w:rsid w:val="00F50277"/>
    <w:rsid w:val="00F503B9"/>
    <w:rsid w:val="00F50536"/>
    <w:rsid w:val="00F50877"/>
    <w:rsid w:val="00F50966"/>
    <w:rsid w:val="00F50A8D"/>
    <w:rsid w:val="00F50D6B"/>
    <w:rsid w:val="00F51461"/>
    <w:rsid w:val="00F51822"/>
    <w:rsid w:val="00F51D7C"/>
    <w:rsid w:val="00F5221E"/>
    <w:rsid w:val="00F52456"/>
    <w:rsid w:val="00F524FD"/>
    <w:rsid w:val="00F5279F"/>
    <w:rsid w:val="00F5285A"/>
    <w:rsid w:val="00F52A10"/>
    <w:rsid w:val="00F52D73"/>
    <w:rsid w:val="00F5305A"/>
    <w:rsid w:val="00F534B7"/>
    <w:rsid w:val="00F536FA"/>
    <w:rsid w:val="00F53B62"/>
    <w:rsid w:val="00F53EB0"/>
    <w:rsid w:val="00F54583"/>
    <w:rsid w:val="00F55637"/>
    <w:rsid w:val="00F55B17"/>
    <w:rsid w:val="00F55BC4"/>
    <w:rsid w:val="00F55C0E"/>
    <w:rsid w:val="00F5603C"/>
    <w:rsid w:val="00F5630F"/>
    <w:rsid w:val="00F569A1"/>
    <w:rsid w:val="00F56C32"/>
    <w:rsid w:val="00F56F1F"/>
    <w:rsid w:val="00F5731F"/>
    <w:rsid w:val="00F575AB"/>
    <w:rsid w:val="00F57AFF"/>
    <w:rsid w:val="00F57B50"/>
    <w:rsid w:val="00F604E4"/>
    <w:rsid w:val="00F60779"/>
    <w:rsid w:val="00F608AC"/>
    <w:rsid w:val="00F60CA1"/>
    <w:rsid w:val="00F610E8"/>
    <w:rsid w:val="00F618D8"/>
    <w:rsid w:val="00F61AF5"/>
    <w:rsid w:val="00F628CA"/>
    <w:rsid w:val="00F62E09"/>
    <w:rsid w:val="00F62F6A"/>
    <w:rsid w:val="00F6312D"/>
    <w:rsid w:val="00F63403"/>
    <w:rsid w:val="00F63556"/>
    <w:rsid w:val="00F63581"/>
    <w:rsid w:val="00F63702"/>
    <w:rsid w:val="00F63785"/>
    <w:rsid w:val="00F637A3"/>
    <w:rsid w:val="00F63823"/>
    <w:rsid w:val="00F63B4D"/>
    <w:rsid w:val="00F63B74"/>
    <w:rsid w:val="00F63F55"/>
    <w:rsid w:val="00F6422A"/>
    <w:rsid w:val="00F6439D"/>
    <w:rsid w:val="00F645B5"/>
    <w:rsid w:val="00F64C97"/>
    <w:rsid w:val="00F64CA2"/>
    <w:rsid w:val="00F64E69"/>
    <w:rsid w:val="00F64EFC"/>
    <w:rsid w:val="00F650B4"/>
    <w:rsid w:val="00F6542A"/>
    <w:rsid w:val="00F65507"/>
    <w:rsid w:val="00F65642"/>
    <w:rsid w:val="00F65937"/>
    <w:rsid w:val="00F65CAC"/>
    <w:rsid w:val="00F65D31"/>
    <w:rsid w:val="00F65DA9"/>
    <w:rsid w:val="00F65E36"/>
    <w:rsid w:val="00F660F8"/>
    <w:rsid w:val="00F6617A"/>
    <w:rsid w:val="00F66355"/>
    <w:rsid w:val="00F666C0"/>
    <w:rsid w:val="00F666E5"/>
    <w:rsid w:val="00F6684C"/>
    <w:rsid w:val="00F6697E"/>
    <w:rsid w:val="00F66D17"/>
    <w:rsid w:val="00F66F69"/>
    <w:rsid w:val="00F67580"/>
    <w:rsid w:val="00F70236"/>
    <w:rsid w:val="00F7027E"/>
    <w:rsid w:val="00F70689"/>
    <w:rsid w:val="00F70939"/>
    <w:rsid w:val="00F70946"/>
    <w:rsid w:val="00F70BFD"/>
    <w:rsid w:val="00F70C4C"/>
    <w:rsid w:val="00F70C96"/>
    <w:rsid w:val="00F70E60"/>
    <w:rsid w:val="00F70E7D"/>
    <w:rsid w:val="00F711A8"/>
    <w:rsid w:val="00F712F3"/>
    <w:rsid w:val="00F713D6"/>
    <w:rsid w:val="00F7142E"/>
    <w:rsid w:val="00F714D3"/>
    <w:rsid w:val="00F715E2"/>
    <w:rsid w:val="00F716A0"/>
    <w:rsid w:val="00F717F7"/>
    <w:rsid w:val="00F71A1E"/>
    <w:rsid w:val="00F71C19"/>
    <w:rsid w:val="00F71D80"/>
    <w:rsid w:val="00F7200B"/>
    <w:rsid w:val="00F72456"/>
    <w:rsid w:val="00F7255D"/>
    <w:rsid w:val="00F7268D"/>
    <w:rsid w:val="00F72A6E"/>
    <w:rsid w:val="00F72E75"/>
    <w:rsid w:val="00F72E8B"/>
    <w:rsid w:val="00F73249"/>
    <w:rsid w:val="00F734ED"/>
    <w:rsid w:val="00F73914"/>
    <w:rsid w:val="00F73AD0"/>
    <w:rsid w:val="00F73CC3"/>
    <w:rsid w:val="00F73CF7"/>
    <w:rsid w:val="00F73DB6"/>
    <w:rsid w:val="00F74335"/>
    <w:rsid w:val="00F74515"/>
    <w:rsid w:val="00F74589"/>
    <w:rsid w:val="00F74B04"/>
    <w:rsid w:val="00F74C3C"/>
    <w:rsid w:val="00F74DDB"/>
    <w:rsid w:val="00F74E0B"/>
    <w:rsid w:val="00F7607D"/>
    <w:rsid w:val="00F76153"/>
    <w:rsid w:val="00F7663B"/>
    <w:rsid w:val="00F766FB"/>
    <w:rsid w:val="00F76733"/>
    <w:rsid w:val="00F76800"/>
    <w:rsid w:val="00F76B41"/>
    <w:rsid w:val="00F76BD6"/>
    <w:rsid w:val="00F76DAD"/>
    <w:rsid w:val="00F77524"/>
    <w:rsid w:val="00F77C92"/>
    <w:rsid w:val="00F77FA7"/>
    <w:rsid w:val="00F80B28"/>
    <w:rsid w:val="00F80D7E"/>
    <w:rsid w:val="00F80E5F"/>
    <w:rsid w:val="00F80FFA"/>
    <w:rsid w:val="00F8143F"/>
    <w:rsid w:val="00F81630"/>
    <w:rsid w:val="00F817B9"/>
    <w:rsid w:val="00F821E0"/>
    <w:rsid w:val="00F8280D"/>
    <w:rsid w:val="00F829AF"/>
    <w:rsid w:val="00F82A8E"/>
    <w:rsid w:val="00F82CD9"/>
    <w:rsid w:val="00F82D29"/>
    <w:rsid w:val="00F83570"/>
    <w:rsid w:val="00F83785"/>
    <w:rsid w:val="00F8381C"/>
    <w:rsid w:val="00F8394B"/>
    <w:rsid w:val="00F83CE2"/>
    <w:rsid w:val="00F84503"/>
    <w:rsid w:val="00F84598"/>
    <w:rsid w:val="00F847F2"/>
    <w:rsid w:val="00F84804"/>
    <w:rsid w:val="00F84887"/>
    <w:rsid w:val="00F84C77"/>
    <w:rsid w:val="00F84DD2"/>
    <w:rsid w:val="00F85335"/>
    <w:rsid w:val="00F8574F"/>
    <w:rsid w:val="00F85A4F"/>
    <w:rsid w:val="00F85ADA"/>
    <w:rsid w:val="00F861F2"/>
    <w:rsid w:val="00F863B0"/>
    <w:rsid w:val="00F864CB"/>
    <w:rsid w:val="00F8681C"/>
    <w:rsid w:val="00F869DF"/>
    <w:rsid w:val="00F86BFF"/>
    <w:rsid w:val="00F86CCB"/>
    <w:rsid w:val="00F86CE9"/>
    <w:rsid w:val="00F86D41"/>
    <w:rsid w:val="00F871FE"/>
    <w:rsid w:val="00F87B3E"/>
    <w:rsid w:val="00F87D25"/>
    <w:rsid w:val="00F87D61"/>
    <w:rsid w:val="00F902AB"/>
    <w:rsid w:val="00F902BE"/>
    <w:rsid w:val="00F904EC"/>
    <w:rsid w:val="00F9094F"/>
    <w:rsid w:val="00F90AF5"/>
    <w:rsid w:val="00F90CEF"/>
    <w:rsid w:val="00F914F2"/>
    <w:rsid w:val="00F91AE6"/>
    <w:rsid w:val="00F91B2B"/>
    <w:rsid w:val="00F91E8C"/>
    <w:rsid w:val="00F923C1"/>
    <w:rsid w:val="00F9261D"/>
    <w:rsid w:val="00F926E1"/>
    <w:rsid w:val="00F92CCC"/>
    <w:rsid w:val="00F9325E"/>
    <w:rsid w:val="00F93410"/>
    <w:rsid w:val="00F93604"/>
    <w:rsid w:val="00F93AE4"/>
    <w:rsid w:val="00F93D76"/>
    <w:rsid w:val="00F93E31"/>
    <w:rsid w:val="00F940EF"/>
    <w:rsid w:val="00F94198"/>
    <w:rsid w:val="00F941F4"/>
    <w:rsid w:val="00F94253"/>
    <w:rsid w:val="00F946DE"/>
    <w:rsid w:val="00F94E24"/>
    <w:rsid w:val="00F94E36"/>
    <w:rsid w:val="00F9504C"/>
    <w:rsid w:val="00F950E3"/>
    <w:rsid w:val="00F952A1"/>
    <w:rsid w:val="00F952FD"/>
    <w:rsid w:val="00F95436"/>
    <w:rsid w:val="00F955D1"/>
    <w:rsid w:val="00F9562E"/>
    <w:rsid w:val="00F9580D"/>
    <w:rsid w:val="00F95CC3"/>
    <w:rsid w:val="00F95EAF"/>
    <w:rsid w:val="00F95FE1"/>
    <w:rsid w:val="00F960B7"/>
    <w:rsid w:val="00F961D9"/>
    <w:rsid w:val="00F962DA"/>
    <w:rsid w:val="00F96844"/>
    <w:rsid w:val="00F96A4E"/>
    <w:rsid w:val="00F9719A"/>
    <w:rsid w:val="00F97422"/>
    <w:rsid w:val="00F978D1"/>
    <w:rsid w:val="00F979C1"/>
    <w:rsid w:val="00F97B35"/>
    <w:rsid w:val="00F97BBC"/>
    <w:rsid w:val="00F97CF9"/>
    <w:rsid w:val="00F97D82"/>
    <w:rsid w:val="00F97FC2"/>
    <w:rsid w:val="00FA012E"/>
    <w:rsid w:val="00FA04D1"/>
    <w:rsid w:val="00FA0597"/>
    <w:rsid w:val="00FA0845"/>
    <w:rsid w:val="00FA0D3B"/>
    <w:rsid w:val="00FA1272"/>
    <w:rsid w:val="00FA151A"/>
    <w:rsid w:val="00FA1646"/>
    <w:rsid w:val="00FA16C4"/>
    <w:rsid w:val="00FA19B5"/>
    <w:rsid w:val="00FA1DE2"/>
    <w:rsid w:val="00FA2405"/>
    <w:rsid w:val="00FA2970"/>
    <w:rsid w:val="00FA2A6C"/>
    <w:rsid w:val="00FA2D2A"/>
    <w:rsid w:val="00FA2DE2"/>
    <w:rsid w:val="00FA3086"/>
    <w:rsid w:val="00FA30C2"/>
    <w:rsid w:val="00FA3663"/>
    <w:rsid w:val="00FA36D6"/>
    <w:rsid w:val="00FA3AEB"/>
    <w:rsid w:val="00FA3FC7"/>
    <w:rsid w:val="00FA3FF8"/>
    <w:rsid w:val="00FA43E6"/>
    <w:rsid w:val="00FA43EE"/>
    <w:rsid w:val="00FA4926"/>
    <w:rsid w:val="00FA4A72"/>
    <w:rsid w:val="00FA4D78"/>
    <w:rsid w:val="00FA4F2A"/>
    <w:rsid w:val="00FA511A"/>
    <w:rsid w:val="00FA5220"/>
    <w:rsid w:val="00FA56F5"/>
    <w:rsid w:val="00FA5911"/>
    <w:rsid w:val="00FA66DF"/>
    <w:rsid w:val="00FA6EC4"/>
    <w:rsid w:val="00FA7030"/>
    <w:rsid w:val="00FA70F0"/>
    <w:rsid w:val="00FA7407"/>
    <w:rsid w:val="00FA7630"/>
    <w:rsid w:val="00FA76C0"/>
    <w:rsid w:val="00FA7739"/>
    <w:rsid w:val="00FA788F"/>
    <w:rsid w:val="00FA7932"/>
    <w:rsid w:val="00FA7A1A"/>
    <w:rsid w:val="00FA7C7F"/>
    <w:rsid w:val="00FA7F82"/>
    <w:rsid w:val="00FB00F7"/>
    <w:rsid w:val="00FB0182"/>
    <w:rsid w:val="00FB0372"/>
    <w:rsid w:val="00FB0658"/>
    <w:rsid w:val="00FB088B"/>
    <w:rsid w:val="00FB0A44"/>
    <w:rsid w:val="00FB0C65"/>
    <w:rsid w:val="00FB0CBB"/>
    <w:rsid w:val="00FB0F41"/>
    <w:rsid w:val="00FB0F8A"/>
    <w:rsid w:val="00FB13EC"/>
    <w:rsid w:val="00FB1E17"/>
    <w:rsid w:val="00FB23D8"/>
    <w:rsid w:val="00FB24F7"/>
    <w:rsid w:val="00FB255A"/>
    <w:rsid w:val="00FB259A"/>
    <w:rsid w:val="00FB25C7"/>
    <w:rsid w:val="00FB2837"/>
    <w:rsid w:val="00FB2F2B"/>
    <w:rsid w:val="00FB2F9A"/>
    <w:rsid w:val="00FB3177"/>
    <w:rsid w:val="00FB327C"/>
    <w:rsid w:val="00FB332B"/>
    <w:rsid w:val="00FB3357"/>
    <w:rsid w:val="00FB34EA"/>
    <w:rsid w:val="00FB3ED6"/>
    <w:rsid w:val="00FB438A"/>
    <w:rsid w:val="00FB461E"/>
    <w:rsid w:val="00FB47AC"/>
    <w:rsid w:val="00FB4803"/>
    <w:rsid w:val="00FB4A0F"/>
    <w:rsid w:val="00FB4B56"/>
    <w:rsid w:val="00FB4E02"/>
    <w:rsid w:val="00FB4F23"/>
    <w:rsid w:val="00FB5028"/>
    <w:rsid w:val="00FB50A2"/>
    <w:rsid w:val="00FB51CA"/>
    <w:rsid w:val="00FB51CD"/>
    <w:rsid w:val="00FB54E2"/>
    <w:rsid w:val="00FB5672"/>
    <w:rsid w:val="00FB5846"/>
    <w:rsid w:val="00FB5AED"/>
    <w:rsid w:val="00FB5C59"/>
    <w:rsid w:val="00FB5F08"/>
    <w:rsid w:val="00FB6F9B"/>
    <w:rsid w:val="00FB73DE"/>
    <w:rsid w:val="00FB7AB2"/>
    <w:rsid w:val="00FB7F63"/>
    <w:rsid w:val="00FB7FEB"/>
    <w:rsid w:val="00FC010A"/>
    <w:rsid w:val="00FC0241"/>
    <w:rsid w:val="00FC02C5"/>
    <w:rsid w:val="00FC03BD"/>
    <w:rsid w:val="00FC0509"/>
    <w:rsid w:val="00FC06B5"/>
    <w:rsid w:val="00FC095A"/>
    <w:rsid w:val="00FC0E29"/>
    <w:rsid w:val="00FC0E36"/>
    <w:rsid w:val="00FC0E6E"/>
    <w:rsid w:val="00FC1608"/>
    <w:rsid w:val="00FC1A3E"/>
    <w:rsid w:val="00FC1A75"/>
    <w:rsid w:val="00FC1B9A"/>
    <w:rsid w:val="00FC1F1E"/>
    <w:rsid w:val="00FC2207"/>
    <w:rsid w:val="00FC23DF"/>
    <w:rsid w:val="00FC2551"/>
    <w:rsid w:val="00FC25AA"/>
    <w:rsid w:val="00FC2609"/>
    <w:rsid w:val="00FC264D"/>
    <w:rsid w:val="00FC27D6"/>
    <w:rsid w:val="00FC28B7"/>
    <w:rsid w:val="00FC2FBA"/>
    <w:rsid w:val="00FC365E"/>
    <w:rsid w:val="00FC36DC"/>
    <w:rsid w:val="00FC3890"/>
    <w:rsid w:val="00FC3E68"/>
    <w:rsid w:val="00FC4111"/>
    <w:rsid w:val="00FC4153"/>
    <w:rsid w:val="00FC4236"/>
    <w:rsid w:val="00FC4530"/>
    <w:rsid w:val="00FC4AA5"/>
    <w:rsid w:val="00FC4F4E"/>
    <w:rsid w:val="00FC5064"/>
    <w:rsid w:val="00FC5862"/>
    <w:rsid w:val="00FC5AA6"/>
    <w:rsid w:val="00FC5CB9"/>
    <w:rsid w:val="00FC5EFA"/>
    <w:rsid w:val="00FC600C"/>
    <w:rsid w:val="00FC6137"/>
    <w:rsid w:val="00FC64AB"/>
    <w:rsid w:val="00FC64D6"/>
    <w:rsid w:val="00FC65FB"/>
    <w:rsid w:val="00FC6704"/>
    <w:rsid w:val="00FC6BAB"/>
    <w:rsid w:val="00FC70DB"/>
    <w:rsid w:val="00FC726D"/>
    <w:rsid w:val="00FC72A2"/>
    <w:rsid w:val="00FC73F7"/>
    <w:rsid w:val="00FC753C"/>
    <w:rsid w:val="00FC76DD"/>
    <w:rsid w:val="00FC783A"/>
    <w:rsid w:val="00FC7972"/>
    <w:rsid w:val="00FC7BF5"/>
    <w:rsid w:val="00FC7FEC"/>
    <w:rsid w:val="00FD0018"/>
    <w:rsid w:val="00FD02CA"/>
    <w:rsid w:val="00FD069C"/>
    <w:rsid w:val="00FD0CE8"/>
    <w:rsid w:val="00FD0D12"/>
    <w:rsid w:val="00FD0F25"/>
    <w:rsid w:val="00FD0F8C"/>
    <w:rsid w:val="00FD1062"/>
    <w:rsid w:val="00FD1162"/>
    <w:rsid w:val="00FD1737"/>
    <w:rsid w:val="00FD1B3B"/>
    <w:rsid w:val="00FD1C70"/>
    <w:rsid w:val="00FD1DF9"/>
    <w:rsid w:val="00FD1EF8"/>
    <w:rsid w:val="00FD203D"/>
    <w:rsid w:val="00FD205B"/>
    <w:rsid w:val="00FD20E4"/>
    <w:rsid w:val="00FD22A4"/>
    <w:rsid w:val="00FD2315"/>
    <w:rsid w:val="00FD24FA"/>
    <w:rsid w:val="00FD251B"/>
    <w:rsid w:val="00FD2722"/>
    <w:rsid w:val="00FD2728"/>
    <w:rsid w:val="00FD2879"/>
    <w:rsid w:val="00FD2A1E"/>
    <w:rsid w:val="00FD2B93"/>
    <w:rsid w:val="00FD2C15"/>
    <w:rsid w:val="00FD2C4D"/>
    <w:rsid w:val="00FD2D62"/>
    <w:rsid w:val="00FD2DBC"/>
    <w:rsid w:val="00FD2EF7"/>
    <w:rsid w:val="00FD30BF"/>
    <w:rsid w:val="00FD31DB"/>
    <w:rsid w:val="00FD32BF"/>
    <w:rsid w:val="00FD3867"/>
    <w:rsid w:val="00FD39D9"/>
    <w:rsid w:val="00FD3A0C"/>
    <w:rsid w:val="00FD46BE"/>
    <w:rsid w:val="00FD482B"/>
    <w:rsid w:val="00FD4CFC"/>
    <w:rsid w:val="00FD4E24"/>
    <w:rsid w:val="00FD50CE"/>
    <w:rsid w:val="00FD520A"/>
    <w:rsid w:val="00FD5390"/>
    <w:rsid w:val="00FD554B"/>
    <w:rsid w:val="00FD5B0B"/>
    <w:rsid w:val="00FD5C81"/>
    <w:rsid w:val="00FD5D10"/>
    <w:rsid w:val="00FD6017"/>
    <w:rsid w:val="00FD60D6"/>
    <w:rsid w:val="00FD67DB"/>
    <w:rsid w:val="00FD6BEA"/>
    <w:rsid w:val="00FD700B"/>
    <w:rsid w:val="00FD704A"/>
    <w:rsid w:val="00FD724F"/>
    <w:rsid w:val="00FD7544"/>
    <w:rsid w:val="00FD7876"/>
    <w:rsid w:val="00FE0073"/>
    <w:rsid w:val="00FE018D"/>
    <w:rsid w:val="00FE0800"/>
    <w:rsid w:val="00FE0895"/>
    <w:rsid w:val="00FE08E6"/>
    <w:rsid w:val="00FE0B98"/>
    <w:rsid w:val="00FE0C27"/>
    <w:rsid w:val="00FE0DA2"/>
    <w:rsid w:val="00FE0DC1"/>
    <w:rsid w:val="00FE0FF5"/>
    <w:rsid w:val="00FE107C"/>
    <w:rsid w:val="00FE1202"/>
    <w:rsid w:val="00FE13D7"/>
    <w:rsid w:val="00FE1504"/>
    <w:rsid w:val="00FE151C"/>
    <w:rsid w:val="00FE1672"/>
    <w:rsid w:val="00FE18DC"/>
    <w:rsid w:val="00FE1B95"/>
    <w:rsid w:val="00FE1D2E"/>
    <w:rsid w:val="00FE1E09"/>
    <w:rsid w:val="00FE1E1B"/>
    <w:rsid w:val="00FE1E85"/>
    <w:rsid w:val="00FE1F26"/>
    <w:rsid w:val="00FE24AC"/>
    <w:rsid w:val="00FE2C56"/>
    <w:rsid w:val="00FE2E3F"/>
    <w:rsid w:val="00FE3015"/>
    <w:rsid w:val="00FE319A"/>
    <w:rsid w:val="00FE3357"/>
    <w:rsid w:val="00FE33E2"/>
    <w:rsid w:val="00FE370E"/>
    <w:rsid w:val="00FE37CF"/>
    <w:rsid w:val="00FE384D"/>
    <w:rsid w:val="00FE3A08"/>
    <w:rsid w:val="00FE3A3E"/>
    <w:rsid w:val="00FE3B4C"/>
    <w:rsid w:val="00FE3C03"/>
    <w:rsid w:val="00FE409B"/>
    <w:rsid w:val="00FE4154"/>
    <w:rsid w:val="00FE416C"/>
    <w:rsid w:val="00FE41A8"/>
    <w:rsid w:val="00FE41D9"/>
    <w:rsid w:val="00FE45F6"/>
    <w:rsid w:val="00FE4686"/>
    <w:rsid w:val="00FE46D5"/>
    <w:rsid w:val="00FE47C2"/>
    <w:rsid w:val="00FE490E"/>
    <w:rsid w:val="00FE4CFE"/>
    <w:rsid w:val="00FE50B3"/>
    <w:rsid w:val="00FE51BB"/>
    <w:rsid w:val="00FE5BC5"/>
    <w:rsid w:val="00FE5BCE"/>
    <w:rsid w:val="00FE5C0C"/>
    <w:rsid w:val="00FE5EBB"/>
    <w:rsid w:val="00FE61D0"/>
    <w:rsid w:val="00FE66CA"/>
    <w:rsid w:val="00FE67A1"/>
    <w:rsid w:val="00FE6EA4"/>
    <w:rsid w:val="00FE6F3F"/>
    <w:rsid w:val="00FE709D"/>
    <w:rsid w:val="00FE733D"/>
    <w:rsid w:val="00FE7378"/>
    <w:rsid w:val="00FE7BC4"/>
    <w:rsid w:val="00FE7D16"/>
    <w:rsid w:val="00FE7D71"/>
    <w:rsid w:val="00FE7F94"/>
    <w:rsid w:val="00FF035A"/>
    <w:rsid w:val="00FF04A5"/>
    <w:rsid w:val="00FF0928"/>
    <w:rsid w:val="00FF0C50"/>
    <w:rsid w:val="00FF0D64"/>
    <w:rsid w:val="00FF1067"/>
    <w:rsid w:val="00FF135B"/>
    <w:rsid w:val="00FF15A0"/>
    <w:rsid w:val="00FF1F24"/>
    <w:rsid w:val="00FF2119"/>
    <w:rsid w:val="00FF211B"/>
    <w:rsid w:val="00FF2258"/>
    <w:rsid w:val="00FF22D8"/>
    <w:rsid w:val="00FF2323"/>
    <w:rsid w:val="00FF26AB"/>
    <w:rsid w:val="00FF2720"/>
    <w:rsid w:val="00FF2D61"/>
    <w:rsid w:val="00FF2D90"/>
    <w:rsid w:val="00FF2E30"/>
    <w:rsid w:val="00FF30D7"/>
    <w:rsid w:val="00FF3335"/>
    <w:rsid w:val="00FF347E"/>
    <w:rsid w:val="00FF35B5"/>
    <w:rsid w:val="00FF3C31"/>
    <w:rsid w:val="00FF43B2"/>
    <w:rsid w:val="00FF4586"/>
    <w:rsid w:val="00FF5384"/>
    <w:rsid w:val="00FF5408"/>
    <w:rsid w:val="00FF54D5"/>
    <w:rsid w:val="00FF551F"/>
    <w:rsid w:val="00FF64C3"/>
    <w:rsid w:val="00FF6659"/>
    <w:rsid w:val="00FF66D4"/>
    <w:rsid w:val="00FF6A73"/>
    <w:rsid w:val="00FF70F5"/>
    <w:rsid w:val="00FF71D4"/>
    <w:rsid w:val="00FF71E4"/>
    <w:rsid w:val="00FF77D6"/>
    <w:rsid w:val="00FF79BF"/>
    <w:rsid w:val="00FF79FD"/>
    <w:rsid w:val="00FF7B9D"/>
    <w:rsid w:val="00FF7D8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DC7A6"/>
  <w15:docId w15:val="{D36BDA54-32E7-4A36-AABF-C644F40CE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F97"/>
  </w:style>
  <w:style w:type="paragraph" w:styleId="Naslov1">
    <w:name w:val="heading 1"/>
    <w:basedOn w:val="Normal"/>
    <w:next w:val="Normal"/>
    <w:link w:val="Naslov1Char"/>
    <w:qFormat/>
    <w:rsid w:val="00891119"/>
    <w:pPr>
      <w:keepNext/>
      <w:spacing w:after="0" w:line="240" w:lineRule="auto"/>
      <w:jc w:val="center"/>
      <w:outlineLvl w:val="0"/>
    </w:pPr>
    <w:rPr>
      <w:rFonts w:ascii="Times New Roman" w:eastAsia="Times New Roman" w:hAnsi="Times New Roman" w:cs="Times New Roman"/>
      <w:b/>
      <w:sz w:val="20"/>
      <w:szCs w:val="20"/>
      <w:lang w:val="en-AU" w:eastAsia="en-US"/>
    </w:rPr>
  </w:style>
  <w:style w:type="paragraph" w:styleId="Naslov2">
    <w:name w:val="heading 2"/>
    <w:basedOn w:val="Normal"/>
    <w:next w:val="Normal"/>
    <w:link w:val="Naslov2Char"/>
    <w:uiPriority w:val="9"/>
    <w:qFormat/>
    <w:rsid w:val="00891119"/>
    <w:pPr>
      <w:keepNext/>
      <w:spacing w:after="0" w:line="240" w:lineRule="auto"/>
      <w:outlineLvl w:val="1"/>
    </w:pPr>
    <w:rPr>
      <w:rFonts w:ascii="Times New Roman" w:eastAsia="Times New Roman" w:hAnsi="Times New Roman" w:cs="Times New Roman"/>
      <w:b/>
      <w:sz w:val="24"/>
      <w:szCs w:val="20"/>
      <w:lang w:val="en-AU" w:eastAsia="en-US"/>
    </w:rPr>
  </w:style>
  <w:style w:type="paragraph" w:styleId="Naslov3">
    <w:name w:val="heading 3"/>
    <w:basedOn w:val="Normal"/>
    <w:next w:val="Normal"/>
    <w:link w:val="Naslov3Char"/>
    <w:qFormat/>
    <w:rsid w:val="00891119"/>
    <w:pPr>
      <w:keepNext/>
      <w:spacing w:after="0" w:line="240" w:lineRule="auto"/>
      <w:jc w:val="both"/>
      <w:outlineLvl w:val="2"/>
    </w:pPr>
    <w:rPr>
      <w:rFonts w:ascii="Times New Roman" w:eastAsia="Times New Roman" w:hAnsi="Times New Roman" w:cs="Times New Roman"/>
      <w:b/>
      <w:sz w:val="24"/>
      <w:szCs w:val="20"/>
      <w:lang w:val="en-AU" w:eastAsia="en-US"/>
    </w:rPr>
  </w:style>
  <w:style w:type="paragraph" w:styleId="Naslov4">
    <w:name w:val="heading 4"/>
    <w:basedOn w:val="Normal"/>
    <w:next w:val="Normal"/>
    <w:link w:val="Naslov4Char"/>
    <w:qFormat/>
    <w:rsid w:val="00891119"/>
    <w:pPr>
      <w:keepNext/>
      <w:spacing w:after="0" w:line="240" w:lineRule="auto"/>
      <w:jc w:val="center"/>
      <w:outlineLvl w:val="3"/>
    </w:pPr>
    <w:rPr>
      <w:rFonts w:ascii="Times New Roman" w:eastAsia="Times New Roman" w:hAnsi="Times New Roman" w:cs="Times New Roman"/>
      <w:b/>
      <w:szCs w:val="20"/>
      <w:lang w:val="en-AU" w:eastAsia="en-US"/>
    </w:rPr>
  </w:style>
  <w:style w:type="paragraph" w:styleId="Naslov5">
    <w:name w:val="heading 5"/>
    <w:basedOn w:val="Normal"/>
    <w:next w:val="Normal"/>
    <w:link w:val="Naslov5Char"/>
    <w:qFormat/>
    <w:rsid w:val="00891119"/>
    <w:pPr>
      <w:keepNext/>
      <w:spacing w:after="0" w:line="240" w:lineRule="auto"/>
      <w:outlineLvl w:val="4"/>
    </w:pPr>
    <w:rPr>
      <w:rFonts w:ascii="Times New Roman" w:eastAsia="Times New Roman" w:hAnsi="Times New Roman" w:cs="Times New Roman"/>
      <w:b/>
      <w:bCs/>
      <w:i/>
      <w:iCs/>
      <w:sz w:val="20"/>
      <w:szCs w:val="18"/>
      <w:u w:val="single"/>
      <w:lang w:val="en-AU" w:eastAsia="en-US"/>
    </w:rPr>
  </w:style>
  <w:style w:type="paragraph" w:styleId="Naslov6">
    <w:name w:val="heading 6"/>
    <w:basedOn w:val="Normal"/>
    <w:next w:val="Normal"/>
    <w:link w:val="Naslov6Char"/>
    <w:uiPriority w:val="9"/>
    <w:qFormat/>
    <w:rsid w:val="00891119"/>
    <w:pPr>
      <w:keepNext/>
      <w:spacing w:after="0" w:line="240" w:lineRule="auto"/>
      <w:jc w:val="center"/>
      <w:outlineLvl w:val="5"/>
    </w:pPr>
    <w:rPr>
      <w:rFonts w:ascii="Times New Roman" w:eastAsia="Times New Roman" w:hAnsi="Times New Roman" w:cs="Times New Roman"/>
      <w:b/>
      <w:bCs/>
      <w:i/>
      <w:iCs/>
      <w:sz w:val="20"/>
      <w:szCs w:val="18"/>
      <w:u w:val="single"/>
      <w:lang w:eastAsia="en-US"/>
    </w:rPr>
  </w:style>
  <w:style w:type="paragraph" w:styleId="Naslov7">
    <w:name w:val="heading 7"/>
    <w:basedOn w:val="Normal"/>
    <w:next w:val="Normal"/>
    <w:link w:val="Naslov7Char"/>
    <w:uiPriority w:val="9"/>
    <w:semiHidden/>
    <w:unhideWhenUsed/>
    <w:qFormat/>
    <w:rsid w:val="00426865"/>
    <w:pPr>
      <w:keepNext/>
      <w:keepLines/>
      <w:spacing w:before="40" w:after="0"/>
      <w:outlineLvl w:val="6"/>
    </w:pPr>
    <w:rPr>
      <w:rFonts w:ascii="Cambria" w:eastAsia="Times New Roman" w:hAnsi="Cambria" w:cs="Times New Roman"/>
      <w:i/>
      <w:iCs/>
      <w:color w:val="243F60"/>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891119"/>
    <w:rPr>
      <w:rFonts w:ascii="Times New Roman" w:eastAsia="Times New Roman" w:hAnsi="Times New Roman" w:cs="Times New Roman"/>
      <w:b/>
      <w:sz w:val="20"/>
      <w:szCs w:val="20"/>
      <w:lang w:val="en-AU" w:eastAsia="en-US"/>
    </w:rPr>
  </w:style>
  <w:style w:type="character" w:customStyle="1" w:styleId="Naslov2Char">
    <w:name w:val="Naslov 2 Char"/>
    <w:basedOn w:val="Zadanifontodlomka"/>
    <w:link w:val="Naslov2"/>
    <w:uiPriority w:val="9"/>
    <w:rsid w:val="00891119"/>
    <w:rPr>
      <w:rFonts w:ascii="Times New Roman" w:eastAsia="Times New Roman" w:hAnsi="Times New Roman" w:cs="Times New Roman"/>
      <w:b/>
      <w:sz w:val="24"/>
      <w:szCs w:val="20"/>
      <w:lang w:val="en-AU" w:eastAsia="en-US"/>
    </w:rPr>
  </w:style>
  <w:style w:type="character" w:customStyle="1" w:styleId="Naslov3Char">
    <w:name w:val="Naslov 3 Char"/>
    <w:basedOn w:val="Zadanifontodlomka"/>
    <w:link w:val="Naslov3"/>
    <w:rsid w:val="00891119"/>
    <w:rPr>
      <w:rFonts w:ascii="Times New Roman" w:eastAsia="Times New Roman" w:hAnsi="Times New Roman" w:cs="Times New Roman"/>
      <w:b/>
      <w:sz w:val="24"/>
      <w:szCs w:val="20"/>
      <w:lang w:val="en-AU" w:eastAsia="en-US"/>
    </w:rPr>
  </w:style>
  <w:style w:type="character" w:customStyle="1" w:styleId="Naslov4Char">
    <w:name w:val="Naslov 4 Char"/>
    <w:basedOn w:val="Zadanifontodlomka"/>
    <w:link w:val="Naslov4"/>
    <w:rsid w:val="00891119"/>
    <w:rPr>
      <w:rFonts w:ascii="Times New Roman" w:eastAsia="Times New Roman" w:hAnsi="Times New Roman" w:cs="Times New Roman"/>
      <w:b/>
      <w:szCs w:val="20"/>
      <w:lang w:val="en-AU" w:eastAsia="en-US"/>
    </w:rPr>
  </w:style>
  <w:style w:type="character" w:customStyle="1" w:styleId="Naslov5Char">
    <w:name w:val="Naslov 5 Char"/>
    <w:basedOn w:val="Zadanifontodlomka"/>
    <w:link w:val="Naslov5"/>
    <w:rsid w:val="00891119"/>
    <w:rPr>
      <w:rFonts w:ascii="Times New Roman" w:eastAsia="Times New Roman" w:hAnsi="Times New Roman" w:cs="Times New Roman"/>
      <w:b/>
      <w:bCs/>
      <w:i/>
      <w:iCs/>
      <w:sz w:val="20"/>
      <w:szCs w:val="18"/>
      <w:u w:val="single"/>
      <w:lang w:val="en-AU" w:eastAsia="en-US"/>
    </w:rPr>
  </w:style>
  <w:style w:type="character" w:customStyle="1" w:styleId="Naslov6Char">
    <w:name w:val="Naslov 6 Char"/>
    <w:basedOn w:val="Zadanifontodlomka"/>
    <w:link w:val="Naslov6"/>
    <w:uiPriority w:val="9"/>
    <w:rsid w:val="00891119"/>
    <w:rPr>
      <w:rFonts w:ascii="Times New Roman" w:eastAsia="Times New Roman" w:hAnsi="Times New Roman" w:cs="Times New Roman"/>
      <w:b/>
      <w:bCs/>
      <w:i/>
      <w:iCs/>
      <w:sz w:val="20"/>
      <w:szCs w:val="18"/>
      <w:u w:val="single"/>
      <w:lang w:eastAsia="en-US"/>
    </w:rPr>
  </w:style>
  <w:style w:type="paragraph" w:styleId="Naslov">
    <w:name w:val="Title"/>
    <w:basedOn w:val="Normal"/>
    <w:link w:val="NaslovChar"/>
    <w:qFormat/>
    <w:rsid w:val="00891119"/>
    <w:pPr>
      <w:spacing w:after="0" w:line="240" w:lineRule="auto"/>
      <w:jc w:val="center"/>
    </w:pPr>
    <w:rPr>
      <w:rFonts w:ascii="Times New Roman" w:eastAsia="Times New Roman" w:hAnsi="Times New Roman" w:cs="Times New Roman"/>
      <w:b/>
      <w:sz w:val="24"/>
      <w:szCs w:val="20"/>
      <w:lang w:eastAsia="en-US"/>
    </w:rPr>
  </w:style>
  <w:style w:type="character" w:customStyle="1" w:styleId="NaslovChar">
    <w:name w:val="Naslov Char"/>
    <w:basedOn w:val="Zadanifontodlomka"/>
    <w:link w:val="Naslov"/>
    <w:rsid w:val="00891119"/>
    <w:rPr>
      <w:rFonts w:ascii="Times New Roman" w:eastAsia="Times New Roman" w:hAnsi="Times New Roman" w:cs="Times New Roman"/>
      <w:b/>
      <w:sz w:val="24"/>
      <w:szCs w:val="20"/>
      <w:lang w:eastAsia="en-US"/>
    </w:rPr>
  </w:style>
  <w:style w:type="paragraph" w:styleId="Tijeloteksta">
    <w:name w:val="Body Text"/>
    <w:basedOn w:val="Normal"/>
    <w:link w:val="TijelotekstaChar"/>
    <w:rsid w:val="00891119"/>
    <w:pPr>
      <w:spacing w:after="0" w:line="240" w:lineRule="auto"/>
    </w:pPr>
    <w:rPr>
      <w:rFonts w:ascii="Times New Roman" w:eastAsia="Times New Roman" w:hAnsi="Times New Roman" w:cs="Times New Roman"/>
      <w:sz w:val="24"/>
      <w:szCs w:val="20"/>
      <w:lang w:val="en-AU" w:eastAsia="en-US"/>
    </w:rPr>
  </w:style>
  <w:style w:type="character" w:customStyle="1" w:styleId="TijelotekstaChar">
    <w:name w:val="Tijelo teksta Char"/>
    <w:basedOn w:val="Zadanifontodlomka"/>
    <w:link w:val="Tijeloteksta"/>
    <w:rsid w:val="00891119"/>
    <w:rPr>
      <w:rFonts w:ascii="Times New Roman" w:eastAsia="Times New Roman" w:hAnsi="Times New Roman" w:cs="Times New Roman"/>
      <w:sz w:val="24"/>
      <w:szCs w:val="20"/>
      <w:lang w:val="en-AU" w:eastAsia="en-US"/>
    </w:rPr>
  </w:style>
  <w:style w:type="paragraph" w:styleId="Tijeloteksta2">
    <w:name w:val="Body Text 2"/>
    <w:basedOn w:val="Normal"/>
    <w:link w:val="Tijeloteksta2Char"/>
    <w:rsid w:val="00891119"/>
    <w:pPr>
      <w:spacing w:after="0" w:line="240" w:lineRule="auto"/>
      <w:jc w:val="both"/>
    </w:pPr>
    <w:rPr>
      <w:rFonts w:ascii="Times New Roman" w:eastAsia="Times New Roman" w:hAnsi="Times New Roman" w:cs="Times New Roman"/>
      <w:sz w:val="24"/>
      <w:szCs w:val="20"/>
      <w:lang w:val="en-AU" w:eastAsia="en-US"/>
    </w:rPr>
  </w:style>
  <w:style w:type="character" w:customStyle="1" w:styleId="Tijeloteksta2Char">
    <w:name w:val="Tijelo teksta 2 Char"/>
    <w:basedOn w:val="Zadanifontodlomka"/>
    <w:link w:val="Tijeloteksta2"/>
    <w:rsid w:val="00891119"/>
    <w:rPr>
      <w:rFonts w:ascii="Times New Roman" w:eastAsia="Times New Roman" w:hAnsi="Times New Roman" w:cs="Times New Roman"/>
      <w:sz w:val="24"/>
      <w:szCs w:val="20"/>
      <w:lang w:val="en-AU" w:eastAsia="en-US"/>
    </w:rPr>
  </w:style>
  <w:style w:type="paragraph" w:styleId="Zaglavlje">
    <w:name w:val="header"/>
    <w:basedOn w:val="Normal"/>
    <w:link w:val="ZaglavljeChar"/>
    <w:uiPriority w:val="99"/>
    <w:rsid w:val="00891119"/>
    <w:pPr>
      <w:tabs>
        <w:tab w:val="center" w:pos="4153"/>
        <w:tab w:val="right" w:pos="8306"/>
      </w:tabs>
      <w:spacing w:after="0" w:line="240" w:lineRule="auto"/>
    </w:pPr>
    <w:rPr>
      <w:rFonts w:ascii="Times New Roman" w:eastAsia="Times New Roman" w:hAnsi="Times New Roman" w:cs="Times New Roman"/>
      <w:sz w:val="20"/>
      <w:szCs w:val="20"/>
      <w:lang w:val="en-AU" w:eastAsia="en-US"/>
    </w:rPr>
  </w:style>
  <w:style w:type="character" w:customStyle="1" w:styleId="ZaglavljeChar">
    <w:name w:val="Zaglavlje Char"/>
    <w:basedOn w:val="Zadanifontodlomka"/>
    <w:link w:val="Zaglavlje"/>
    <w:uiPriority w:val="99"/>
    <w:rsid w:val="00891119"/>
    <w:rPr>
      <w:rFonts w:ascii="Times New Roman" w:eastAsia="Times New Roman" w:hAnsi="Times New Roman" w:cs="Times New Roman"/>
      <w:sz w:val="20"/>
      <w:szCs w:val="20"/>
      <w:lang w:val="en-AU" w:eastAsia="en-US"/>
    </w:rPr>
  </w:style>
  <w:style w:type="paragraph" w:styleId="Podnoje">
    <w:name w:val="footer"/>
    <w:basedOn w:val="Normal"/>
    <w:link w:val="PodnojeChar"/>
    <w:uiPriority w:val="99"/>
    <w:rsid w:val="00891119"/>
    <w:pPr>
      <w:tabs>
        <w:tab w:val="center" w:pos="4153"/>
        <w:tab w:val="right" w:pos="8306"/>
      </w:tabs>
      <w:spacing w:after="0" w:line="240" w:lineRule="auto"/>
    </w:pPr>
    <w:rPr>
      <w:rFonts w:ascii="Times New Roman" w:eastAsia="Times New Roman" w:hAnsi="Times New Roman" w:cs="Times New Roman"/>
      <w:sz w:val="20"/>
      <w:szCs w:val="20"/>
      <w:lang w:val="en-AU" w:eastAsia="en-US"/>
    </w:rPr>
  </w:style>
  <w:style w:type="character" w:customStyle="1" w:styleId="PodnojeChar">
    <w:name w:val="Podnožje Char"/>
    <w:basedOn w:val="Zadanifontodlomka"/>
    <w:link w:val="Podnoje"/>
    <w:uiPriority w:val="99"/>
    <w:rsid w:val="00891119"/>
    <w:rPr>
      <w:rFonts w:ascii="Times New Roman" w:eastAsia="Times New Roman" w:hAnsi="Times New Roman" w:cs="Times New Roman"/>
      <w:sz w:val="20"/>
      <w:szCs w:val="20"/>
      <w:lang w:val="en-AU" w:eastAsia="en-US"/>
    </w:rPr>
  </w:style>
  <w:style w:type="paragraph" w:styleId="Tekstbalonia">
    <w:name w:val="Balloon Text"/>
    <w:basedOn w:val="Normal"/>
    <w:link w:val="TekstbaloniaChar"/>
    <w:uiPriority w:val="99"/>
    <w:semiHidden/>
    <w:rsid w:val="00891119"/>
    <w:pPr>
      <w:spacing w:after="0" w:line="240" w:lineRule="auto"/>
    </w:pPr>
    <w:rPr>
      <w:rFonts w:ascii="Tahoma" w:eastAsia="Times New Roman" w:hAnsi="Tahoma" w:cs="Times New Roman"/>
      <w:sz w:val="16"/>
      <w:szCs w:val="16"/>
      <w:lang w:val="en-AU" w:eastAsia="en-US"/>
    </w:rPr>
  </w:style>
  <w:style w:type="character" w:customStyle="1" w:styleId="TekstbaloniaChar">
    <w:name w:val="Tekst balončića Char"/>
    <w:basedOn w:val="Zadanifontodlomka"/>
    <w:link w:val="Tekstbalonia"/>
    <w:uiPriority w:val="99"/>
    <w:semiHidden/>
    <w:rsid w:val="00891119"/>
    <w:rPr>
      <w:rFonts w:ascii="Tahoma" w:eastAsia="Times New Roman" w:hAnsi="Tahoma" w:cs="Times New Roman"/>
      <w:sz w:val="16"/>
      <w:szCs w:val="16"/>
      <w:lang w:val="en-AU" w:eastAsia="en-US"/>
    </w:rPr>
  </w:style>
  <w:style w:type="paragraph" w:styleId="Bezproreda">
    <w:name w:val="No Spacing"/>
    <w:link w:val="BezproredaChar"/>
    <w:uiPriority w:val="1"/>
    <w:qFormat/>
    <w:rsid w:val="00891119"/>
    <w:pPr>
      <w:spacing w:after="0" w:line="240" w:lineRule="auto"/>
    </w:pPr>
    <w:rPr>
      <w:rFonts w:ascii="Calibri" w:eastAsia="Times New Roman" w:hAnsi="Calibri" w:cs="Times New Roman"/>
      <w:lang w:val="en-US" w:eastAsia="en-US"/>
    </w:rPr>
  </w:style>
  <w:style w:type="character" w:customStyle="1" w:styleId="BezproredaChar">
    <w:name w:val="Bez proreda Char"/>
    <w:link w:val="Bezproreda"/>
    <w:uiPriority w:val="1"/>
    <w:rsid w:val="00891119"/>
    <w:rPr>
      <w:rFonts w:ascii="Calibri" w:eastAsia="Times New Roman" w:hAnsi="Calibri" w:cs="Times New Roman"/>
      <w:lang w:val="en-US" w:eastAsia="en-US"/>
    </w:rPr>
  </w:style>
  <w:style w:type="paragraph" w:styleId="TOCNaslov">
    <w:name w:val="TOC Heading"/>
    <w:basedOn w:val="Naslov1"/>
    <w:next w:val="Normal"/>
    <w:uiPriority w:val="39"/>
    <w:unhideWhenUsed/>
    <w:qFormat/>
    <w:rsid w:val="00891119"/>
    <w:pPr>
      <w:keepLines/>
      <w:spacing w:before="480" w:line="276" w:lineRule="auto"/>
      <w:jc w:val="left"/>
      <w:outlineLvl w:val="9"/>
    </w:pPr>
    <w:rPr>
      <w:rFonts w:ascii="Cambria" w:hAnsi="Cambria"/>
      <w:bCs/>
      <w:color w:val="365F91"/>
      <w:sz w:val="28"/>
      <w:szCs w:val="28"/>
      <w:lang w:val="en-US"/>
    </w:rPr>
  </w:style>
  <w:style w:type="paragraph" w:styleId="Sadraj1">
    <w:name w:val="toc 1"/>
    <w:basedOn w:val="Normal"/>
    <w:next w:val="Normal"/>
    <w:autoRedefine/>
    <w:uiPriority w:val="39"/>
    <w:unhideWhenUsed/>
    <w:qFormat/>
    <w:rsid w:val="00FA1272"/>
    <w:pPr>
      <w:tabs>
        <w:tab w:val="left" w:pos="660"/>
        <w:tab w:val="right" w:leader="dot" w:pos="14560"/>
      </w:tabs>
      <w:spacing w:before="120" w:after="120"/>
    </w:pPr>
    <w:rPr>
      <w:rFonts w:ascii="Arial" w:eastAsia="Calibri" w:hAnsi="Arial" w:cs="Arial"/>
      <w:b/>
      <w:bCs/>
      <w:caps/>
      <w:noProof/>
      <w:sz w:val="20"/>
      <w:szCs w:val="20"/>
    </w:rPr>
  </w:style>
  <w:style w:type="character" w:styleId="Hiperveza">
    <w:name w:val="Hyperlink"/>
    <w:uiPriority w:val="99"/>
    <w:unhideWhenUsed/>
    <w:rsid w:val="00891119"/>
    <w:rPr>
      <w:color w:val="0000FF"/>
      <w:u w:val="single"/>
    </w:rPr>
  </w:style>
  <w:style w:type="paragraph" w:styleId="Sadraj2">
    <w:name w:val="toc 2"/>
    <w:basedOn w:val="Normal"/>
    <w:next w:val="Normal"/>
    <w:autoRedefine/>
    <w:uiPriority w:val="39"/>
    <w:unhideWhenUsed/>
    <w:qFormat/>
    <w:rsid w:val="003F7F1D"/>
    <w:pPr>
      <w:tabs>
        <w:tab w:val="left" w:pos="880"/>
        <w:tab w:val="right" w:leader="dot" w:pos="14560"/>
      </w:tabs>
      <w:spacing w:after="0"/>
      <w:ind w:left="220"/>
    </w:pPr>
    <w:rPr>
      <w:rFonts w:ascii="Arial" w:hAnsi="Arial" w:cs="Arial"/>
      <w:i/>
      <w:iCs/>
      <w:smallCaps/>
      <w:noProof/>
      <w:sz w:val="20"/>
      <w:szCs w:val="20"/>
    </w:rPr>
  </w:style>
  <w:style w:type="paragraph" w:styleId="Sadraj3">
    <w:name w:val="toc 3"/>
    <w:basedOn w:val="Normal"/>
    <w:next w:val="Normal"/>
    <w:autoRedefine/>
    <w:uiPriority w:val="39"/>
    <w:unhideWhenUsed/>
    <w:qFormat/>
    <w:rsid w:val="00891119"/>
    <w:pPr>
      <w:spacing w:after="0"/>
      <w:ind w:left="440"/>
    </w:pPr>
    <w:rPr>
      <w:i/>
      <w:iCs/>
      <w:sz w:val="20"/>
      <w:szCs w:val="20"/>
    </w:rPr>
  </w:style>
  <w:style w:type="paragraph" w:customStyle="1" w:styleId="t-9-8">
    <w:name w:val="t-9-8"/>
    <w:basedOn w:val="Normal"/>
    <w:rsid w:val="00891119"/>
    <w:pPr>
      <w:spacing w:before="100" w:beforeAutospacing="1" w:after="100" w:afterAutospacing="1" w:line="240" w:lineRule="auto"/>
    </w:pPr>
    <w:rPr>
      <w:rFonts w:ascii="Times New Roman" w:eastAsia="Times New Roman" w:hAnsi="Times New Roman" w:cs="Times New Roman"/>
      <w:sz w:val="24"/>
      <w:szCs w:val="24"/>
    </w:rPr>
  </w:style>
  <w:style w:type="table" w:styleId="Reetkatablice">
    <w:name w:val="Table Grid"/>
    <w:basedOn w:val="Obinatablica"/>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basedOn w:val="Normal"/>
    <w:uiPriority w:val="34"/>
    <w:qFormat/>
    <w:rsid w:val="00891119"/>
    <w:pPr>
      <w:spacing w:after="0" w:line="240" w:lineRule="auto"/>
      <w:ind w:left="708"/>
      <w:jc w:val="both"/>
    </w:pPr>
    <w:rPr>
      <w:rFonts w:ascii="Times New Roman" w:eastAsia="Times New Roman" w:hAnsi="Times New Roman" w:cs="Times New Roman"/>
      <w:sz w:val="20"/>
      <w:szCs w:val="20"/>
      <w:lang w:eastAsia="en-US"/>
    </w:rPr>
  </w:style>
  <w:style w:type="table" w:customStyle="1" w:styleId="Reetkatablice1">
    <w:name w:val="Rešetka tablice1"/>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basedOn w:val="Normal"/>
    <w:link w:val="TekstfusnoteChar"/>
    <w:uiPriority w:val="99"/>
    <w:rsid w:val="00891119"/>
    <w:pPr>
      <w:spacing w:after="0" w:line="240" w:lineRule="auto"/>
      <w:jc w:val="both"/>
    </w:pPr>
    <w:rPr>
      <w:rFonts w:ascii="Times New Roman" w:eastAsia="Times New Roman" w:hAnsi="Times New Roman" w:cs="Times New Roman"/>
      <w:color w:val="000000"/>
      <w:sz w:val="20"/>
      <w:szCs w:val="20"/>
      <w:lang w:eastAsia="en-US"/>
    </w:rPr>
  </w:style>
  <w:style w:type="character" w:customStyle="1" w:styleId="TekstfusnoteChar">
    <w:name w:val="Tekst fusnote Char"/>
    <w:basedOn w:val="Zadanifontodlomka"/>
    <w:link w:val="Tekstfusnote"/>
    <w:uiPriority w:val="99"/>
    <w:rsid w:val="00891119"/>
    <w:rPr>
      <w:rFonts w:ascii="Times New Roman" w:eastAsia="Times New Roman" w:hAnsi="Times New Roman" w:cs="Times New Roman"/>
      <w:color w:val="000000"/>
      <w:sz w:val="20"/>
      <w:szCs w:val="20"/>
      <w:lang w:eastAsia="en-US"/>
    </w:rPr>
  </w:style>
  <w:style w:type="character" w:styleId="Referencafusnote">
    <w:name w:val="footnote reference"/>
    <w:uiPriority w:val="99"/>
    <w:semiHidden/>
    <w:rsid w:val="00891119"/>
    <w:rPr>
      <w:vertAlign w:val="superscript"/>
    </w:rPr>
  </w:style>
  <w:style w:type="paragraph" w:styleId="Tijeloteksta-uvlaka2">
    <w:name w:val="Body Text Indent 2"/>
    <w:basedOn w:val="Normal"/>
    <w:link w:val="Tijeloteksta-uvlaka2Char"/>
    <w:uiPriority w:val="99"/>
    <w:semiHidden/>
    <w:unhideWhenUsed/>
    <w:rsid w:val="00891119"/>
    <w:pPr>
      <w:spacing w:after="120" w:line="480" w:lineRule="auto"/>
      <w:ind w:left="283"/>
      <w:jc w:val="both"/>
    </w:pPr>
    <w:rPr>
      <w:rFonts w:ascii="Times New Roman" w:eastAsia="Times New Roman" w:hAnsi="Times New Roman" w:cs="Times New Roman"/>
      <w:sz w:val="20"/>
      <w:szCs w:val="20"/>
      <w:lang w:eastAsia="en-US"/>
    </w:rPr>
  </w:style>
  <w:style w:type="character" w:customStyle="1" w:styleId="Tijeloteksta-uvlaka2Char">
    <w:name w:val="Tijelo teksta - uvlaka 2 Char"/>
    <w:basedOn w:val="Zadanifontodlomka"/>
    <w:link w:val="Tijeloteksta-uvlaka2"/>
    <w:uiPriority w:val="99"/>
    <w:semiHidden/>
    <w:rsid w:val="00891119"/>
    <w:rPr>
      <w:rFonts w:ascii="Times New Roman" w:eastAsia="Times New Roman" w:hAnsi="Times New Roman" w:cs="Times New Roman"/>
      <w:sz w:val="20"/>
      <w:szCs w:val="20"/>
      <w:lang w:eastAsia="en-US"/>
    </w:rPr>
  </w:style>
  <w:style w:type="paragraph" w:styleId="Tijeloteksta-uvlaka3">
    <w:name w:val="Body Text Indent 3"/>
    <w:basedOn w:val="Normal"/>
    <w:link w:val="Tijeloteksta-uvlaka3Char"/>
    <w:uiPriority w:val="99"/>
    <w:semiHidden/>
    <w:unhideWhenUsed/>
    <w:rsid w:val="00891119"/>
    <w:pPr>
      <w:spacing w:after="120" w:line="240" w:lineRule="auto"/>
      <w:ind w:left="283"/>
      <w:jc w:val="both"/>
    </w:pPr>
    <w:rPr>
      <w:rFonts w:ascii="Times New Roman" w:eastAsia="Times New Roman" w:hAnsi="Times New Roman" w:cs="Times New Roman"/>
      <w:sz w:val="16"/>
      <w:szCs w:val="16"/>
      <w:lang w:eastAsia="en-US"/>
    </w:rPr>
  </w:style>
  <w:style w:type="character" w:customStyle="1" w:styleId="Tijeloteksta-uvlaka3Char">
    <w:name w:val="Tijelo teksta - uvlaka 3 Char"/>
    <w:basedOn w:val="Zadanifontodlomka"/>
    <w:link w:val="Tijeloteksta-uvlaka3"/>
    <w:uiPriority w:val="99"/>
    <w:semiHidden/>
    <w:rsid w:val="00891119"/>
    <w:rPr>
      <w:rFonts w:ascii="Times New Roman" w:eastAsia="Times New Roman" w:hAnsi="Times New Roman" w:cs="Times New Roman"/>
      <w:sz w:val="16"/>
      <w:szCs w:val="16"/>
      <w:lang w:eastAsia="en-US"/>
    </w:rPr>
  </w:style>
  <w:style w:type="paragraph" w:styleId="Odlomakpopisa">
    <w:name w:val="List Paragraph"/>
    <w:basedOn w:val="Normal"/>
    <w:uiPriority w:val="34"/>
    <w:qFormat/>
    <w:rsid w:val="00891119"/>
    <w:pPr>
      <w:spacing w:after="0" w:line="240" w:lineRule="auto"/>
      <w:ind w:left="708"/>
      <w:jc w:val="both"/>
    </w:pPr>
    <w:rPr>
      <w:rFonts w:ascii="Times New Roman" w:eastAsia="Times New Roman" w:hAnsi="Times New Roman" w:cs="Times New Roman"/>
      <w:sz w:val="20"/>
      <w:szCs w:val="20"/>
      <w:lang w:eastAsia="en-US"/>
    </w:rPr>
  </w:style>
  <w:style w:type="paragraph" w:customStyle="1" w:styleId="Default">
    <w:name w:val="Default"/>
    <w:rsid w:val="00891119"/>
    <w:pPr>
      <w:autoSpaceDE w:val="0"/>
      <w:autoSpaceDN w:val="0"/>
      <w:adjustRightInd w:val="0"/>
      <w:spacing w:after="0" w:line="240" w:lineRule="auto"/>
      <w:ind w:firstLine="357"/>
      <w:jc w:val="both"/>
    </w:pPr>
    <w:rPr>
      <w:rFonts w:ascii="Times New Roman" w:eastAsia="Calibri" w:hAnsi="Times New Roman" w:cs="Times New Roman"/>
      <w:color w:val="000000"/>
      <w:sz w:val="24"/>
      <w:szCs w:val="24"/>
    </w:rPr>
  </w:style>
  <w:style w:type="character" w:styleId="Naglaeno">
    <w:name w:val="Strong"/>
    <w:uiPriority w:val="22"/>
    <w:qFormat/>
    <w:rsid w:val="00891119"/>
    <w:rPr>
      <w:b/>
      <w:bCs/>
    </w:rPr>
  </w:style>
  <w:style w:type="paragraph" w:styleId="StandardWeb">
    <w:name w:val="Normal (Web)"/>
    <w:basedOn w:val="Normal"/>
    <w:uiPriority w:val="99"/>
    <w:unhideWhenUsed/>
    <w:rsid w:val="00891119"/>
    <w:pPr>
      <w:spacing w:before="125" w:after="188" w:line="240" w:lineRule="auto"/>
    </w:pPr>
    <w:rPr>
      <w:rFonts w:ascii="Times New Roman" w:eastAsia="Times New Roman" w:hAnsi="Times New Roman" w:cs="Times New Roman"/>
      <w:sz w:val="24"/>
      <w:szCs w:val="24"/>
    </w:rPr>
  </w:style>
  <w:style w:type="character" w:styleId="Istaknuto">
    <w:name w:val="Emphasis"/>
    <w:uiPriority w:val="20"/>
    <w:qFormat/>
    <w:rsid w:val="00891119"/>
    <w:rPr>
      <w:i/>
      <w:iCs/>
    </w:rPr>
  </w:style>
  <w:style w:type="character" w:styleId="Tekstrezerviranogmjesta">
    <w:name w:val="Placeholder Text"/>
    <w:uiPriority w:val="99"/>
    <w:semiHidden/>
    <w:rsid w:val="00891119"/>
    <w:rPr>
      <w:color w:val="808080"/>
    </w:rPr>
  </w:style>
  <w:style w:type="character" w:customStyle="1" w:styleId="apple-converted-space">
    <w:name w:val="apple-converted-space"/>
    <w:basedOn w:val="Zadanifontodlomka"/>
    <w:rsid w:val="00891119"/>
  </w:style>
  <w:style w:type="character" w:styleId="SlijeenaHiperveza">
    <w:name w:val="FollowedHyperlink"/>
    <w:uiPriority w:val="99"/>
    <w:semiHidden/>
    <w:unhideWhenUsed/>
    <w:rsid w:val="00891119"/>
    <w:rPr>
      <w:color w:val="800080"/>
      <w:u w:val="single"/>
    </w:rPr>
  </w:style>
  <w:style w:type="table" w:customStyle="1" w:styleId="TableGrid1">
    <w:name w:val="Table Grid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rsid w:val="00891119"/>
    <w:pPr>
      <w:autoSpaceDE w:val="0"/>
      <w:autoSpaceDN w:val="0"/>
      <w:adjustRightInd w:val="0"/>
      <w:spacing w:after="0" w:line="241" w:lineRule="atLeast"/>
    </w:pPr>
    <w:rPr>
      <w:rFonts w:ascii="Times New Roman" w:eastAsia="Times New Roman" w:hAnsi="Times New Roman" w:cs="Times New Roman"/>
      <w:sz w:val="24"/>
      <w:szCs w:val="24"/>
    </w:rPr>
  </w:style>
  <w:style w:type="character" w:customStyle="1" w:styleId="kurziv">
    <w:name w:val="kurziv"/>
    <w:basedOn w:val="Zadanifontodlomka"/>
    <w:rsid w:val="00891119"/>
  </w:style>
  <w:style w:type="paragraph" w:customStyle="1" w:styleId="t-10-9-kurz-s">
    <w:name w:val="t-10-9-kurz-s"/>
    <w:basedOn w:val="Normal"/>
    <w:rsid w:val="008911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ak-">
    <w:name w:val="clanak-"/>
    <w:basedOn w:val="Normal"/>
    <w:rsid w:val="00891119"/>
    <w:pPr>
      <w:spacing w:before="100" w:beforeAutospacing="1" w:after="100" w:afterAutospacing="1" w:line="240" w:lineRule="auto"/>
    </w:pPr>
    <w:rPr>
      <w:rFonts w:ascii="Times New Roman" w:eastAsia="Times New Roman" w:hAnsi="Times New Roman" w:cs="Times New Roman"/>
      <w:sz w:val="24"/>
      <w:szCs w:val="24"/>
    </w:rPr>
  </w:style>
  <w:style w:type="paragraph" w:styleId="Sadraj4">
    <w:name w:val="toc 4"/>
    <w:basedOn w:val="Normal"/>
    <w:next w:val="Normal"/>
    <w:autoRedefine/>
    <w:uiPriority w:val="39"/>
    <w:unhideWhenUsed/>
    <w:rsid w:val="00891119"/>
    <w:pPr>
      <w:spacing w:after="0"/>
      <w:ind w:left="660"/>
    </w:pPr>
    <w:rPr>
      <w:sz w:val="18"/>
      <w:szCs w:val="18"/>
    </w:rPr>
  </w:style>
  <w:style w:type="paragraph" w:styleId="Sadraj5">
    <w:name w:val="toc 5"/>
    <w:basedOn w:val="Normal"/>
    <w:next w:val="Normal"/>
    <w:autoRedefine/>
    <w:uiPriority w:val="39"/>
    <w:unhideWhenUsed/>
    <w:rsid w:val="00891119"/>
    <w:pPr>
      <w:spacing w:after="0"/>
      <w:ind w:left="880"/>
    </w:pPr>
    <w:rPr>
      <w:sz w:val="18"/>
      <w:szCs w:val="18"/>
    </w:rPr>
  </w:style>
  <w:style w:type="paragraph" w:styleId="Sadraj6">
    <w:name w:val="toc 6"/>
    <w:basedOn w:val="Normal"/>
    <w:next w:val="Normal"/>
    <w:autoRedefine/>
    <w:uiPriority w:val="39"/>
    <w:unhideWhenUsed/>
    <w:rsid w:val="00891119"/>
    <w:pPr>
      <w:spacing w:after="0"/>
      <w:ind w:left="1100"/>
    </w:pPr>
    <w:rPr>
      <w:sz w:val="18"/>
      <w:szCs w:val="18"/>
    </w:rPr>
  </w:style>
  <w:style w:type="paragraph" w:styleId="Opisslike">
    <w:name w:val="caption"/>
    <w:basedOn w:val="Normal"/>
    <w:next w:val="Normal"/>
    <w:uiPriority w:val="35"/>
    <w:unhideWhenUsed/>
    <w:qFormat/>
    <w:rsid w:val="00891119"/>
    <w:pPr>
      <w:spacing w:after="0" w:line="240" w:lineRule="auto"/>
    </w:pPr>
    <w:rPr>
      <w:rFonts w:ascii="Times New Roman" w:eastAsia="Times New Roman" w:hAnsi="Times New Roman" w:cs="Times New Roman"/>
      <w:b/>
      <w:bCs/>
      <w:sz w:val="20"/>
      <w:szCs w:val="20"/>
      <w:lang w:eastAsia="en-US"/>
    </w:rPr>
  </w:style>
  <w:style w:type="paragraph" w:styleId="Tablicaslika">
    <w:name w:val="table of figures"/>
    <w:aliases w:val="Tablice u tekstu"/>
    <w:basedOn w:val="Normal"/>
    <w:next w:val="Normal"/>
    <w:autoRedefine/>
    <w:uiPriority w:val="99"/>
    <w:unhideWhenUsed/>
    <w:rsid w:val="00791563"/>
    <w:pPr>
      <w:tabs>
        <w:tab w:val="right" w:leader="dot" w:pos="14560"/>
      </w:tabs>
      <w:spacing w:after="0" w:line="240" w:lineRule="auto"/>
    </w:pPr>
    <w:rPr>
      <w:rFonts w:ascii="Times New Roman" w:eastAsia="Times New Roman" w:hAnsi="Times New Roman" w:cs="Times New Roman"/>
      <w:noProof/>
      <w:szCs w:val="20"/>
      <w:lang w:eastAsia="en-US"/>
    </w:rPr>
  </w:style>
  <w:style w:type="paragraph" w:customStyle="1" w:styleId="clanak">
    <w:name w:val="clanak"/>
    <w:basedOn w:val="Normal"/>
    <w:rsid w:val="008911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um1">
    <w:name w:val="Datum1"/>
    <w:basedOn w:val="Zadanifontodlomka"/>
    <w:rsid w:val="00891119"/>
  </w:style>
  <w:style w:type="paragraph" w:styleId="Obinitekst">
    <w:name w:val="Plain Text"/>
    <w:basedOn w:val="Normal"/>
    <w:link w:val="ObinitekstChar"/>
    <w:uiPriority w:val="99"/>
    <w:unhideWhenUsed/>
    <w:rsid w:val="00891119"/>
    <w:pPr>
      <w:spacing w:after="0" w:line="240" w:lineRule="auto"/>
    </w:pPr>
    <w:rPr>
      <w:rFonts w:ascii="Consolas" w:eastAsia="Times New Roman" w:hAnsi="Consolas" w:cs="Consolas"/>
      <w:sz w:val="21"/>
      <w:szCs w:val="21"/>
      <w:lang w:eastAsia="en-US"/>
    </w:rPr>
  </w:style>
  <w:style w:type="character" w:customStyle="1" w:styleId="ObinitekstChar">
    <w:name w:val="Obični tekst Char"/>
    <w:basedOn w:val="Zadanifontodlomka"/>
    <w:link w:val="Obinitekst"/>
    <w:uiPriority w:val="99"/>
    <w:rsid w:val="00891119"/>
    <w:rPr>
      <w:rFonts w:ascii="Consolas" w:eastAsia="Times New Roman" w:hAnsi="Consolas" w:cs="Consolas"/>
      <w:sz w:val="21"/>
      <w:szCs w:val="21"/>
      <w:lang w:eastAsia="en-US"/>
    </w:rPr>
  </w:style>
  <w:style w:type="table" w:customStyle="1" w:styleId="Reetkatablice2">
    <w:name w:val="Rešetka tablice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
    <w:name w:val="Rešetka tablice12"/>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Obinatablica"/>
    <w:uiPriority w:val="41"/>
    <w:rsid w:val="00891119"/>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
    <w:name w:val="Rešetka tablice3"/>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
    <w:name w:val="Rešetka tablice13"/>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
    <w:name w:val="Rešetka tablice121"/>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
    <w:name w:val="Rešetka tablice1111"/>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Obinatablica"/>
    <w:uiPriority w:val="41"/>
    <w:rsid w:val="00891119"/>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
    <w:name w:val="Rešetka tablice31"/>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erencakomentara">
    <w:name w:val="annotation reference"/>
    <w:basedOn w:val="Zadanifontodlomka"/>
    <w:uiPriority w:val="99"/>
    <w:semiHidden/>
    <w:unhideWhenUsed/>
    <w:rsid w:val="00891119"/>
    <w:rPr>
      <w:sz w:val="16"/>
      <w:szCs w:val="16"/>
    </w:rPr>
  </w:style>
  <w:style w:type="paragraph" w:styleId="Tekstkomentara">
    <w:name w:val="annotation text"/>
    <w:basedOn w:val="Normal"/>
    <w:link w:val="TekstkomentaraChar"/>
    <w:uiPriority w:val="99"/>
    <w:semiHidden/>
    <w:unhideWhenUsed/>
    <w:rsid w:val="00891119"/>
    <w:pPr>
      <w:spacing w:after="0" w:line="240" w:lineRule="auto"/>
    </w:pPr>
    <w:rPr>
      <w:rFonts w:ascii="Times New Roman" w:eastAsia="Times New Roman" w:hAnsi="Times New Roman" w:cs="Times New Roman"/>
      <w:sz w:val="20"/>
      <w:szCs w:val="20"/>
      <w:lang w:eastAsia="en-US"/>
    </w:rPr>
  </w:style>
  <w:style w:type="character" w:customStyle="1" w:styleId="TekstkomentaraChar">
    <w:name w:val="Tekst komentara Char"/>
    <w:basedOn w:val="Zadanifontodlomka"/>
    <w:link w:val="Tekstkomentara"/>
    <w:uiPriority w:val="99"/>
    <w:semiHidden/>
    <w:rsid w:val="00891119"/>
    <w:rPr>
      <w:rFonts w:ascii="Times New Roman" w:eastAsia="Times New Roman" w:hAnsi="Times New Roman" w:cs="Times New Roman"/>
      <w:sz w:val="20"/>
      <w:szCs w:val="20"/>
      <w:lang w:eastAsia="en-US"/>
    </w:rPr>
  </w:style>
  <w:style w:type="paragraph" w:styleId="Predmetkomentara">
    <w:name w:val="annotation subject"/>
    <w:basedOn w:val="Tekstkomentara"/>
    <w:next w:val="Tekstkomentara"/>
    <w:link w:val="PredmetkomentaraChar"/>
    <w:uiPriority w:val="99"/>
    <w:semiHidden/>
    <w:unhideWhenUsed/>
    <w:rsid w:val="00891119"/>
    <w:rPr>
      <w:b/>
      <w:bCs/>
    </w:rPr>
  </w:style>
  <w:style w:type="character" w:customStyle="1" w:styleId="PredmetkomentaraChar">
    <w:name w:val="Predmet komentara Char"/>
    <w:basedOn w:val="TekstkomentaraChar"/>
    <w:link w:val="Predmetkomentara"/>
    <w:uiPriority w:val="99"/>
    <w:semiHidden/>
    <w:rsid w:val="00891119"/>
    <w:rPr>
      <w:rFonts w:ascii="Times New Roman" w:eastAsia="Times New Roman" w:hAnsi="Times New Roman" w:cs="Times New Roman"/>
      <w:b/>
      <w:bCs/>
      <w:sz w:val="20"/>
      <w:szCs w:val="20"/>
      <w:lang w:eastAsia="en-US"/>
    </w:rPr>
  </w:style>
  <w:style w:type="table" w:customStyle="1" w:styleId="Reetkatablice6">
    <w:name w:val="Rešetka tablice6"/>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
    <w:name w:val="Rešetka tablice14"/>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
    <w:name w:val="Rešetka tablice113"/>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2">
    <w:name w:val="Rešetka tablice122"/>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2">
    <w:name w:val="Rešetka tablice1112"/>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Obinatablica"/>
    <w:uiPriority w:val="41"/>
    <w:rsid w:val="00891119"/>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2">
    <w:name w:val="Rešetka tablice32"/>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1">
    <w:name w:val="Rešetka tablice131"/>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
    <w:name w:val="Rešetka tablice1121"/>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
    <w:name w:val="Rešetka tablice21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1">
    <w:name w:val="Rešetka tablice1211"/>
    <w:basedOn w:val="Obinatablica"/>
    <w:next w:val="Reetkatablice"/>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
    <w:name w:val="Rešetka tablice11111"/>
    <w:basedOn w:val="Obinatablica"/>
    <w:next w:val="Reetkatablice"/>
    <w:rsid w:val="00891119"/>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
    <w:name w:val="Plain Table 1111"/>
    <w:basedOn w:val="Obinatablica"/>
    <w:uiPriority w:val="41"/>
    <w:rsid w:val="00891119"/>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1">
    <w:name w:val="Rešetka tablice311"/>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
    <w:name w:val="Rešetka tablice22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
    <w:name w:val="Rešetka tablice5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
    <w:name w:val="Rešetka tablice7"/>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
    <w:name w:val="Rešetka tablice53"/>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
    <w:name w:val="Rešetka tablice54"/>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
    <w:name w:val="Rešetka tablice55"/>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
    <w:name w:val="Rešetka tablice56"/>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
    <w:name w:val="Rešetka tablice57"/>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8">
    <w:name w:val="Rešetka tablice58"/>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9">
    <w:name w:val="Rešetka tablice59"/>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0">
    <w:name w:val="Rešetka tablice510"/>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
    <w:name w:val="Rešetka tablice51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2">
    <w:name w:val="Rešetka tablice51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
    <w:name w:val="Rešetka tablice8"/>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
    <w:name w:val="Rešetka tablice33"/>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
    <w:name w:val="Rešetka tablice513"/>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4">
    <w:name w:val="Rešetka tablice514"/>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5">
    <w:name w:val="Rešetka tablice515"/>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6">
    <w:name w:val="Rešetka tablice516"/>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
    <w:name w:val="Rešetka tablice34"/>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7">
    <w:name w:val="Rešetka tablice517"/>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8">
    <w:name w:val="Rešetka tablice518"/>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9">
    <w:name w:val="Rešetka tablice519"/>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0">
    <w:name w:val="Rešetka tablice520"/>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1">
    <w:name w:val="Rešetka tablice521"/>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2">
    <w:name w:val="Rešetka tablice522"/>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3">
    <w:name w:val="Rešetka tablice523"/>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4">
    <w:name w:val="Rešetka tablice524"/>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5">
    <w:name w:val="Rešetka tablice525"/>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6">
    <w:name w:val="Rešetka tablice526"/>
    <w:basedOn w:val="Obinatablica"/>
    <w:next w:val="Reetkatablice"/>
    <w:uiPriority w:val="59"/>
    <w:rsid w:val="0089111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
    <w:name w:val="Rešetka tablice35"/>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
    <w:name w:val="Rešetka tablice37"/>
    <w:basedOn w:val="Obinatablica"/>
    <w:next w:val="Reetkatablice"/>
    <w:uiPriority w:val="59"/>
    <w:rsid w:val="008911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8">
    <w:name w:val="Rešetka tablice38"/>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0">
    <w:name w:val="Rešetka tablice110"/>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4">
    <w:name w:val="Rešetka tablice114"/>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
    <w:name w:val="Rešetka tablice210"/>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3">
    <w:name w:val="Rešetka tablice123"/>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3">
    <w:name w:val="Rešetka tablice1113"/>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
    <w:name w:val="Plain Table 113"/>
    <w:basedOn w:val="Obinatablica"/>
    <w:uiPriority w:val="41"/>
    <w:rsid w:val="0076553F"/>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9">
    <w:name w:val="Rešetka tablice39"/>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7">
    <w:name w:val="Rešetka tablice527"/>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2">
    <w:name w:val="Rešetka tablice132"/>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2">
    <w:name w:val="Rešetka tablice1122"/>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2">
    <w:name w:val="Rešetka tablice212"/>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2">
    <w:name w:val="Rešetka tablice1212"/>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2">
    <w:name w:val="Rešetka tablice11112"/>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
    <w:name w:val="Plain Table 1112"/>
    <w:basedOn w:val="Obinatablica"/>
    <w:uiPriority w:val="41"/>
    <w:rsid w:val="0076553F"/>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2">
    <w:name w:val="Rešetka tablice312"/>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2">
    <w:name w:val="Rešetka tablice222"/>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1">
    <w:name w:val="Rešetka tablice6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1">
    <w:name w:val="Rešetka tablice141"/>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1">
    <w:name w:val="Rešetka tablice1131"/>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
    <w:name w:val="Rešetka tablice23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21">
    <w:name w:val="Rešetka tablice1221"/>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21">
    <w:name w:val="Rešetka tablice11121"/>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1">
    <w:name w:val="Plain Table 1121"/>
    <w:basedOn w:val="Obinatablica"/>
    <w:uiPriority w:val="41"/>
    <w:rsid w:val="0076553F"/>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21">
    <w:name w:val="Rešetka tablice32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0">
    <w:name w:val="Rešetka tablice5110"/>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11">
    <w:name w:val="Rešetka tablice1311"/>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1">
    <w:name w:val="Rešetka tablice11211"/>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1">
    <w:name w:val="Rešetka tablice211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11">
    <w:name w:val="Rešetka tablice12111"/>
    <w:basedOn w:val="Obinatablica"/>
    <w:next w:val="Reetkatablice"/>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1">
    <w:name w:val="Rešetka tablice111111"/>
    <w:basedOn w:val="Obinatablica"/>
    <w:next w:val="Reetkatablice"/>
    <w:rsid w:val="0076553F"/>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
    <w:name w:val="Plain Table 11111"/>
    <w:basedOn w:val="Obinatablica"/>
    <w:uiPriority w:val="41"/>
    <w:rsid w:val="0076553F"/>
    <w:pPr>
      <w:spacing w:after="0" w:line="240" w:lineRule="auto"/>
    </w:pPr>
    <w:rPr>
      <w:rFonts w:ascii="Calibri" w:eastAsia="Calibri" w:hAnsi="Calibri"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11">
    <w:name w:val="Rešetka tablice311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1">
    <w:name w:val="Rešetka tablice221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8">
    <w:name w:val="Rešetka tablice528"/>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1">
    <w:name w:val="Rešetka tablice7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
    <w:name w:val="Rešetka tablice241"/>
    <w:basedOn w:val="Obinatablica"/>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1">
    <w:name w:val="Rešetka tablice53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1">
    <w:name w:val="Rešetka tablice54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1">
    <w:name w:val="Rešetka tablice55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1">
    <w:name w:val="Rešetka tablice56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1">
    <w:name w:val="Rešetka tablice57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81">
    <w:name w:val="Rešetka tablice58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91">
    <w:name w:val="Rešetka tablice59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01">
    <w:name w:val="Rešetka tablice510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1">
    <w:name w:val="Rešetka tablice511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21">
    <w:name w:val="Rešetka tablice512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1">
    <w:name w:val="Rešetka tablice8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
    <w:name w:val="Rešetka tablice15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
    <w:name w:val="Rešetka tablice19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
    <w:name w:val="Rešetka tablice20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
    <w:name w:val="Rešetka tablice25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
    <w:name w:val="Rešetka tablice26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
    <w:name w:val="Rešetka tablice27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
    <w:name w:val="Rešetka tablice28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
    <w:name w:val="Rešetka tablice29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
    <w:name w:val="Rešetka tablice30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
    <w:name w:val="Rešetka tablice33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1">
    <w:name w:val="Rešetka tablice513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41">
    <w:name w:val="Rešetka tablice514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51">
    <w:name w:val="Rešetka tablice515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61">
    <w:name w:val="Rešetka tablice516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
    <w:name w:val="Rešetka tablice34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71">
    <w:name w:val="Rešetka tablice517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81">
    <w:name w:val="Rešetka tablice518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91">
    <w:name w:val="Rešetka tablice519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01">
    <w:name w:val="Rešetka tablice520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11">
    <w:name w:val="Rešetka tablice521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21">
    <w:name w:val="Rešetka tablice522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31">
    <w:name w:val="Rešetka tablice523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41">
    <w:name w:val="Rešetka tablice524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51">
    <w:name w:val="Rešetka tablice525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61">
    <w:name w:val="Rešetka tablice5261"/>
    <w:basedOn w:val="Obinatablica"/>
    <w:next w:val="Reetkatablice"/>
    <w:uiPriority w:val="59"/>
    <w:rsid w:val="007655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1">
    <w:name w:val="Rešetka tablice35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1">
    <w:name w:val="Rešetka tablice36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1">
    <w:name w:val="Rešetka tablice371"/>
    <w:basedOn w:val="Obinatablica"/>
    <w:next w:val="Reetkatablice"/>
    <w:uiPriority w:val="59"/>
    <w:rsid w:val="0076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181B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59"/>
    <w:rsid w:val="000372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59"/>
    <w:rsid w:val="000372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59"/>
    <w:rsid w:val="00493E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uiPriority w:val="59"/>
    <w:rsid w:val="00493E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Obinatablica"/>
    <w:next w:val="Reetkatablice"/>
    <w:uiPriority w:val="59"/>
    <w:rsid w:val="00493E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36">
    <w:name w:val="Rešetka tablice536"/>
    <w:basedOn w:val="Obinatablica"/>
    <w:next w:val="Reetkatablice"/>
    <w:uiPriority w:val="59"/>
    <w:rsid w:val="00E828D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draj7">
    <w:name w:val="toc 7"/>
    <w:basedOn w:val="Normal"/>
    <w:next w:val="Normal"/>
    <w:autoRedefine/>
    <w:uiPriority w:val="39"/>
    <w:unhideWhenUsed/>
    <w:rsid w:val="0081009E"/>
    <w:pPr>
      <w:spacing w:after="0"/>
      <w:ind w:left="1320"/>
    </w:pPr>
    <w:rPr>
      <w:sz w:val="18"/>
      <w:szCs w:val="18"/>
    </w:rPr>
  </w:style>
  <w:style w:type="paragraph" w:styleId="Sadraj8">
    <w:name w:val="toc 8"/>
    <w:basedOn w:val="Normal"/>
    <w:next w:val="Normal"/>
    <w:autoRedefine/>
    <w:uiPriority w:val="39"/>
    <w:unhideWhenUsed/>
    <w:rsid w:val="0081009E"/>
    <w:pPr>
      <w:spacing w:after="0"/>
      <w:ind w:left="1540"/>
    </w:pPr>
    <w:rPr>
      <w:sz w:val="18"/>
      <w:szCs w:val="18"/>
    </w:rPr>
  </w:style>
  <w:style w:type="paragraph" w:styleId="Sadraj9">
    <w:name w:val="toc 9"/>
    <w:basedOn w:val="Normal"/>
    <w:next w:val="Normal"/>
    <w:autoRedefine/>
    <w:uiPriority w:val="39"/>
    <w:unhideWhenUsed/>
    <w:rsid w:val="0081009E"/>
    <w:pPr>
      <w:spacing w:after="0"/>
      <w:ind w:left="1760"/>
    </w:pPr>
    <w:rPr>
      <w:sz w:val="18"/>
      <w:szCs w:val="18"/>
    </w:rPr>
  </w:style>
  <w:style w:type="table" w:customStyle="1" w:styleId="Reetkatablice5361">
    <w:name w:val="Rešetka tablice5361"/>
    <w:basedOn w:val="Obinatablica"/>
    <w:next w:val="Reetkatablice"/>
    <w:uiPriority w:val="59"/>
    <w:rsid w:val="0025047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2">
    <w:name w:val="Rešetka tablice5362"/>
    <w:basedOn w:val="Obinatablica"/>
    <w:next w:val="Reetkatablice"/>
    <w:uiPriority w:val="59"/>
    <w:rsid w:val="00BD782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3">
    <w:name w:val="Rešetka tablice5363"/>
    <w:basedOn w:val="Obinatablica"/>
    <w:next w:val="Reetkatablice"/>
    <w:uiPriority w:val="59"/>
    <w:rsid w:val="0083783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4">
    <w:name w:val="Rešetka tablice5364"/>
    <w:basedOn w:val="Obinatablica"/>
    <w:next w:val="Reetkatablice"/>
    <w:uiPriority w:val="59"/>
    <w:rsid w:val="00CD657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5">
    <w:name w:val="Rešetka tablice5365"/>
    <w:basedOn w:val="Obinatablica"/>
    <w:next w:val="Reetkatablice"/>
    <w:uiPriority w:val="59"/>
    <w:rsid w:val="00A33BE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9">
    <w:name w:val="Rešetka tablice529"/>
    <w:basedOn w:val="Obinatablica"/>
    <w:next w:val="Reetkatablice"/>
    <w:uiPriority w:val="59"/>
    <w:rsid w:val="0003364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0">
    <w:name w:val="Rešetka tablice530"/>
    <w:basedOn w:val="Obinatablica"/>
    <w:next w:val="Reetkatablice"/>
    <w:uiPriority w:val="59"/>
    <w:rsid w:val="0003364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2">
    <w:name w:val="Rešetka tablice532"/>
    <w:basedOn w:val="Obinatablica"/>
    <w:next w:val="Reetkatablice"/>
    <w:uiPriority w:val="59"/>
    <w:rsid w:val="0041145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3">
    <w:name w:val="Rešetka tablice533"/>
    <w:basedOn w:val="Obinatablica"/>
    <w:next w:val="Reetkatablice"/>
    <w:uiPriority w:val="59"/>
    <w:rsid w:val="009633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4">
    <w:name w:val="Rešetka tablice534"/>
    <w:basedOn w:val="Obinatablica"/>
    <w:next w:val="Reetkatablice"/>
    <w:uiPriority w:val="59"/>
    <w:rsid w:val="009633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5">
    <w:name w:val="Rešetka tablice535"/>
    <w:basedOn w:val="Obinatablica"/>
    <w:next w:val="Reetkatablice"/>
    <w:uiPriority w:val="59"/>
    <w:rsid w:val="009633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7">
    <w:name w:val="Rešetka tablice537"/>
    <w:basedOn w:val="Obinatablica"/>
    <w:next w:val="Reetkatablice"/>
    <w:uiPriority w:val="59"/>
    <w:rsid w:val="009633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8">
    <w:name w:val="Rešetka tablice538"/>
    <w:basedOn w:val="Obinatablica"/>
    <w:next w:val="Reetkatablice"/>
    <w:uiPriority w:val="59"/>
    <w:rsid w:val="0015273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9">
    <w:name w:val="Rešetka tablice539"/>
    <w:basedOn w:val="Obinatablica"/>
    <w:next w:val="Reetkatablice"/>
    <w:uiPriority w:val="59"/>
    <w:rsid w:val="0015273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0">
    <w:name w:val="Rešetka tablice540"/>
    <w:basedOn w:val="Obinatablica"/>
    <w:next w:val="Reetkatablice"/>
    <w:uiPriority w:val="59"/>
    <w:rsid w:val="0015273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Obinatablica"/>
    <w:next w:val="Reetkatablice"/>
    <w:uiPriority w:val="59"/>
    <w:rsid w:val="00AE23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Obinatablica"/>
    <w:next w:val="Reetkatablice"/>
    <w:uiPriority w:val="59"/>
    <w:rsid w:val="00AE23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Obinatablica"/>
    <w:next w:val="Reetkatablice"/>
    <w:uiPriority w:val="59"/>
    <w:rsid w:val="00AE23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Obinatablica"/>
    <w:next w:val="Reetkatablice"/>
    <w:uiPriority w:val="59"/>
    <w:rsid w:val="00AE23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Obinatablica"/>
    <w:next w:val="Reetkatablice"/>
    <w:uiPriority w:val="59"/>
    <w:rsid w:val="00AE23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Obinatablica"/>
    <w:next w:val="Reetkatablice"/>
    <w:uiPriority w:val="59"/>
    <w:rsid w:val="007525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Obinatablica"/>
    <w:next w:val="Reetkatablice"/>
    <w:uiPriority w:val="59"/>
    <w:rsid w:val="007525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Obinatablica"/>
    <w:next w:val="Reetkatablice"/>
    <w:uiPriority w:val="59"/>
    <w:rsid w:val="007525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Obinatablica"/>
    <w:next w:val="Reetkatablice"/>
    <w:uiPriority w:val="59"/>
    <w:rsid w:val="007525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3">
    <w:name w:val="Rešetka tablice213"/>
    <w:basedOn w:val="Obinatablica"/>
    <w:uiPriority w:val="59"/>
    <w:rsid w:val="007624F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4">
    <w:name w:val="Rešetka tablice214"/>
    <w:basedOn w:val="Obinatablica"/>
    <w:uiPriority w:val="59"/>
    <w:rsid w:val="007624F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5">
    <w:name w:val="Rešetka tablice215"/>
    <w:basedOn w:val="Obinatablica"/>
    <w:uiPriority w:val="59"/>
    <w:rsid w:val="008932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6">
    <w:name w:val="Rešetka tablice216"/>
    <w:basedOn w:val="Obinatablica"/>
    <w:uiPriority w:val="59"/>
    <w:rsid w:val="008932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7">
    <w:name w:val="Rešetka tablice217"/>
    <w:basedOn w:val="Obinatablica"/>
    <w:uiPriority w:val="59"/>
    <w:rsid w:val="008932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8">
    <w:name w:val="Rešetka tablice218"/>
    <w:basedOn w:val="Obinatablica"/>
    <w:uiPriority w:val="59"/>
    <w:rsid w:val="008932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6">
    <w:name w:val="Rešetka tablice5366"/>
    <w:basedOn w:val="Obinatablica"/>
    <w:next w:val="Reetkatablice"/>
    <w:uiPriority w:val="59"/>
    <w:rsid w:val="00A013C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7">
    <w:name w:val="Rešetka tablice5367"/>
    <w:basedOn w:val="Obinatablica"/>
    <w:next w:val="Reetkatablice"/>
    <w:uiPriority w:val="59"/>
    <w:rsid w:val="002558E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8">
    <w:name w:val="Rešetka tablice5368"/>
    <w:basedOn w:val="Obinatablica"/>
    <w:next w:val="Reetkatablice"/>
    <w:uiPriority w:val="59"/>
    <w:rsid w:val="009C7B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2">
    <w:name w:val="Rešetka tablice542"/>
    <w:basedOn w:val="Obinatablica"/>
    <w:next w:val="Reetkatablice"/>
    <w:uiPriority w:val="59"/>
    <w:rsid w:val="005222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9">
    <w:name w:val="Rešetka tablice5369"/>
    <w:basedOn w:val="Obinatablica"/>
    <w:next w:val="Reetkatablice"/>
    <w:uiPriority w:val="59"/>
    <w:rsid w:val="007D4ED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
    <w:name w:val="Rešetka tablice40"/>
    <w:basedOn w:val="Obinatablica"/>
    <w:next w:val="Reetkatablice"/>
    <w:uiPriority w:val="59"/>
    <w:rsid w:val="00C748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
    <w:name w:val="Rešetka tablice43"/>
    <w:basedOn w:val="Obinatablica"/>
    <w:next w:val="Reetkatablice"/>
    <w:uiPriority w:val="59"/>
    <w:rsid w:val="004B25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
    <w:name w:val="Rešetka tablice44"/>
    <w:basedOn w:val="Obinatablica"/>
    <w:next w:val="Reetkatablice"/>
    <w:uiPriority w:val="59"/>
    <w:rsid w:val="004B25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8021">
    <w:name w:val="box_458021"/>
    <w:basedOn w:val="Normal"/>
    <w:rsid w:val="00087AD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1">
    <w:name w:val="Table Grid21"/>
    <w:basedOn w:val="Obinatablica"/>
    <w:next w:val="Reetkatablice"/>
    <w:uiPriority w:val="59"/>
    <w:rsid w:val="00D606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Obinatablica"/>
    <w:next w:val="Reetkatablice"/>
    <w:uiPriority w:val="59"/>
    <w:rsid w:val="00D606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Obinatablica"/>
    <w:next w:val="Reetkatablice"/>
    <w:uiPriority w:val="59"/>
    <w:rsid w:val="00D606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9">
    <w:name w:val="Rešetka tablice219"/>
    <w:basedOn w:val="Obinatablica"/>
    <w:uiPriority w:val="59"/>
    <w:rsid w:val="002D348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1">
    <w:name w:val="Stil1"/>
    <w:uiPriority w:val="99"/>
    <w:rsid w:val="007A20DC"/>
    <w:pPr>
      <w:numPr>
        <w:numId w:val="18"/>
      </w:numPr>
    </w:pPr>
  </w:style>
  <w:style w:type="table" w:customStyle="1" w:styleId="Reetkatablice543">
    <w:name w:val="Rešetka tablice543"/>
    <w:basedOn w:val="Obinatablica"/>
    <w:next w:val="Reetkatablice"/>
    <w:uiPriority w:val="59"/>
    <w:rsid w:val="00BA7E6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5">
    <w:name w:val="Rešetka tablice45"/>
    <w:basedOn w:val="Obinatablica"/>
    <w:next w:val="Reetkatablice"/>
    <w:uiPriority w:val="59"/>
    <w:rsid w:val="007B5B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31">
    <w:name w:val="Rešetka tablice2131"/>
    <w:basedOn w:val="Obinatablica"/>
    <w:next w:val="Reetkatablice"/>
    <w:uiPriority w:val="59"/>
    <w:rsid w:val="006736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rijeenospominjanje">
    <w:name w:val="Unresolved Mention"/>
    <w:basedOn w:val="Zadanifontodlomka"/>
    <w:uiPriority w:val="99"/>
    <w:semiHidden/>
    <w:unhideWhenUsed/>
    <w:rsid w:val="00A41F2E"/>
    <w:rPr>
      <w:color w:val="605E5C"/>
      <w:shd w:val="clear" w:color="auto" w:fill="E1DFDD"/>
    </w:rPr>
  </w:style>
  <w:style w:type="table" w:customStyle="1" w:styleId="Reetkatablice544">
    <w:name w:val="Rešetka tablice544"/>
    <w:basedOn w:val="Obinatablica"/>
    <w:next w:val="Reetkatablice"/>
    <w:uiPriority w:val="59"/>
    <w:rsid w:val="004A648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5">
    <w:name w:val="Rešetka tablice545"/>
    <w:basedOn w:val="Obinatablica"/>
    <w:next w:val="Reetkatablice"/>
    <w:uiPriority w:val="59"/>
    <w:rsid w:val="00A0763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6">
    <w:name w:val="Rešetka tablice546"/>
    <w:basedOn w:val="Obinatablica"/>
    <w:next w:val="Reetkatablice"/>
    <w:uiPriority w:val="59"/>
    <w:rsid w:val="00DF15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7">
    <w:name w:val="Rešetka tablice547"/>
    <w:basedOn w:val="Obinatablica"/>
    <w:next w:val="Reetkatablice"/>
    <w:uiPriority w:val="59"/>
    <w:rsid w:val="00DF15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8">
    <w:name w:val="Rešetka tablice548"/>
    <w:basedOn w:val="Obinatablica"/>
    <w:next w:val="Reetkatablice"/>
    <w:uiPriority w:val="59"/>
    <w:rsid w:val="00DF15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9">
    <w:name w:val="Rešetka tablice549"/>
    <w:basedOn w:val="Obinatablica"/>
    <w:next w:val="Reetkatablice"/>
    <w:uiPriority w:val="59"/>
    <w:rsid w:val="00315EA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2">
    <w:name w:val="Rešetka tablice5112"/>
    <w:basedOn w:val="Obinatablica"/>
    <w:next w:val="Reetkatablice"/>
    <w:uiPriority w:val="59"/>
    <w:rsid w:val="00315EA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6">
    <w:name w:val="Rešetka tablice46"/>
    <w:basedOn w:val="Obinatablica"/>
    <w:next w:val="Reetkatablice"/>
    <w:uiPriority w:val="59"/>
    <w:rsid w:val="000E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
    <w:name w:val="Rešetka tablice47"/>
    <w:basedOn w:val="Obinatablica"/>
    <w:next w:val="Reetkatablice"/>
    <w:uiPriority w:val="59"/>
    <w:rsid w:val="000E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
    <w:name w:val="Rešetka tablice48"/>
    <w:basedOn w:val="Obinatablica"/>
    <w:next w:val="Reetkatablice"/>
    <w:uiPriority w:val="59"/>
    <w:rsid w:val="000E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
    <w:name w:val="Rešetka tablice49"/>
    <w:basedOn w:val="Obinatablica"/>
    <w:next w:val="Reetkatablice"/>
    <w:uiPriority w:val="59"/>
    <w:rsid w:val="000E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Obinatablica"/>
    <w:next w:val="Reetkatablice"/>
    <w:uiPriority w:val="59"/>
    <w:rsid w:val="00A977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aj11">
    <w:name w:val="Sadržaj 11"/>
    <w:basedOn w:val="Normal"/>
    <w:next w:val="Normal"/>
    <w:autoRedefine/>
    <w:uiPriority w:val="39"/>
    <w:unhideWhenUsed/>
    <w:qFormat/>
    <w:rsid w:val="00697496"/>
    <w:pPr>
      <w:spacing w:before="120" w:after="120"/>
    </w:pPr>
    <w:rPr>
      <w:b/>
      <w:bCs/>
      <w:caps/>
      <w:sz w:val="20"/>
      <w:szCs w:val="20"/>
    </w:rPr>
  </w:style>
  <w:style w:type="paragraph" w:customStyle="1" w:styleId="Sadraj21">
    <w:name w:val="Sadržaj 21"/>
    <w:basedOn w:val="Normal"/>
    <w:next w:val="Normal"/>
    <w:autoRedefine/>
    <w:uiPriority w:val="39"/>
    <w:unhideWhenUsed/>
    <w:qFormat/>
    <w:rsid w:val="00697496"/>
    <w:pPr>
      <w:spacing w:after="0"/>
      <w:ind w:left="220"/>
    </w:pPr>
    <w:rPr>
      <w:smallCaps/>
      <w:sz w:val="20"/>
      <w:szCs w:val="20"/>
    </w:rPr>
  </w:style>
  <w:style w:type="paragraph" w:customStyle="1" w:styleId="Sadraj31">
    <w:name w:val="Sadržaj 31"/>
    <w:basedOn w:val="Normal"/>
    <w:next w:val="Normal"/>
    <w:autoRedefine/>
    <w:uiPriority w:val="39"/>
    <w:unhideWhenUsed/>
    <w:qFormat/>
    <w:rsid w:val="00697496"/>
    <w:pPr>
      <w:spacing w:after="0"/>
      <w:ind w:left="440"/>
    </w:pPr>
    <w:rPr>
      <w:i/>
      <w:iCs/>
      <w:sz w:val="20"/>
      <w:szCs w:val="20"/>
    </w:rPr>
  </w:style>
  <w:style w:type="paragraph" w:customStyle="1" w:styleId="Sadraj41">
    <w:name w:val="Sadržaj 41"/>
    <w:basedOn w:val="Normal"/>
    <w:next w:val="Normal"/>
    <w:autoRedefine/>
    <w:uiPriority w:val="39"/>
    <w:unhideWhenUsed/>
    <w:rsid w:val="00697496"/>
    <w:pPr>
      <w:spacing w:after="0"/>
      <w:ind w:left="660"/>
    </w:pPr>
    <w:rPr>
      <w:sz w:val="18"/>
      <w:szCs w:val="18"/>
    </w:rPr>
  </w:style>
  <w:style w:type="paragraph" w:customStyle="1" w:styleId="Sadraj51">
    <w:name w:val="Sadržaj 51"/>
    <w:basedOn w:val="Normal"/>
    <w:next w:val="Normal"/>
    <w:autoRedefine/>
    <w:uiPriority w:val="39"/>
    <w:unhideWhenUsed/>
    <w:rsid w:val="00697496"/>
    <w:pPr>
      <w:spacing w:after="0"/>
      <w:ind w:left="880"/>
    </w:pPr>
    <w:rPr>
      <w:sz w:val="18"/>
      <w:szCs w:val="18"/>
    </w:rPr>
  </w:style>
  <w:style w:type="paragraph" w:customStyle="1" w:styleId="Sadraj61">
    <w:name w:val="Sadržaj 61"/>
    <w:basedOn w:val="Normal"/>
    <w:next w:val="Normal"/>
    <w:autoRedefine/>
    <w:uiPriority w:val="39"/>
    <w:unhideWhenUsed/>
    <w:rsid w:val="00697496"/>
    <w:pPr>
      <w:spacing w:after="0"/>
      <w:ind w:left="1100"/>
    </w:pPr>
    <w:rPr>
      <w:sz w:val="18"/>
      <w:szCs w:val="18"/>
    </w:rPr>
  </w:style>
  <w:style w:type="paragraph" w:customStyle="1" w:styleId="Sadraj71">
    <w:name w:val="Sadržaj 71"/>
    <w:basedOn w:val="Normal"/>
    <w:next w:val="Normal"/>
    <w:autoRedefine/>
    <w:uiPriority w:val="39"/>
    <w:unhideWhenUsed/>
    <w:rsid w:val="00697496"/>
    <w:pPr>
      <w:spacing w:after="0"/>
      <w:ind w:left="1320"/>
    </w:pPr>
    <w:rPr>
      <w:sz w:val="18"/>
      <w:szCs w:val="18"/>
    </w:rPr>
  </w:style>
  <w:style w:type="paragraph" w:customStyle="1" w:styleId="Sadraj81">
    <w:name w:val="Sadržaj 81"/>
    <w:basedOn w:val="Normal"/>
    <w:next w:val="Normal"/>
    <w:autoRedefine/>
    <w:uiPriority w:val="39"/>
    <w:unhideWhenUsed/>
    <w:rsid w:val="00697496"/>
    <w:pPr>
      <w:spacing w:after="0"/>
      <w:ind w:left="1540"/>
    </w:pPr>
    <w:rPr>
      <w:sz w:val="18"/>
      <w:szCs w:val="18"/>
    </w:rPr>
  </w:style>
  <w:style w:type="paragraph" w:customStyle="1" w:styleId="Sadraj91">
    <w:name w:val="Sadržaj 91"/>
    <w:basedOn w:val="Normal"/>
    <w:next w:val="Normal"/>
    <w:autoRedefine/>
    <w:uiPriority w:val="39"/>
    <w:unhideWhenUsed/>
    <w:rsid w:val="00697496"/>
    <w:pPr>
      <w:spacing w:after="0"/>
      <w:ind w:left="1760"/>
    </w:pPr>
    <w:rPr>
      <w:sz w:val="18"/>
      <w:szCs w:val="18"/>
    </w:rPr>
  </w:style>
  <w:style w:type="character" w:customStyle="1" w:styleId="Nerijeenospominjanje1">
    <w:name w:val="Neriješeno spominjanje1"/>
    <w:basedOn w:val="Zadanifontodlomka"/>
    <w:uiPriority w:val="99"/>
    <w:semiHidden/>
    <w:unhideWhenUsed/>
    <w:rsid w:val="00697496"/>
    <w:rPr>
      <w:color w:val="605E5C"/>
      <w:shd w:val="clear" w:color="auto" w:fill="E1DFDD"/>
    </w:rPr>
  </w:style>
  <w:style w:type="paragraph" w:customStyle="1" w:styleId="gmail-msolistparagraph">
    <w:name w:val="gmail-msolistparagraph"/>
    <w:basedOn w:val="Normal"/>
    <w:rsid w:val="00942B3F"/>
    <w:pPr>
      <w:spacing w:before="100" w:beforeAutospacing="1" w:after="100" w:afterAutospacing="1" w:line="240" w:lineRule="auto"/>
    </w:pPr>
    <w:rPr>
      <w:rFonts w:ascii="Times New Roman" w:eastAsia="Times New Roman" w:hAnsi="Times New Roman" w:cs="Times New Roman"/>
      <w:sz w:val="24"/>
      <w:szCs w:val="24"/>
    </w:rPr>
  </w:style>
  <w:style w:type="paragraph" w:styleId="Tekstkrajnjebiljeke">
    <w:name w:val="endnote text"/>
    <w:basedOn w:val="Normal"/>
    <w:link w:val="TekstkrajnjebiljekeChar"/>
    <w:uiPriority w:val="99"/>
    <w:semiHidden/>
    <w:unhideWhenUsed/>
    <w:rsid w:val="001930F3"/>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1930F3"/>
    <w:rPr>
      <w:sz w:val="20"/>
      <w:szCs w:val="20"/>
    </w:rPr>
  </w:style>
  <w:style w:type="character" w:styleId="Referencakrajnjebiljeke">
    <w:name w:val="endnote reference"/>
    <w:basedOn w:val="Zadanifontodlomka"/>
    <w:uiPriority w:val="99"/>
    <w:semiHidden/>
    <w:unhideWhenUsed/>
    <w:rsid w:val="001930F3"/>
    <w:rPr>
      <w:vertAlign w:val="superscript"/>
    </w:rPr>
  </w:style>
  <w:style w:type="numbering" w:customStyle="1" w:styleId="Stil11">
    <w:name w:val="Stil11"/>
    <w:uiPriority w:val="99"/>
    <w:rsid w:val="002B6F08"/>
  </w:style>
  <w:style w:type="numbering" w:customStyle="1" w:styleId="Stil12">
    <w:name w:val="Stil12"/>
    <w:uiPriority w:val="99"/>
    <w:rsid w:val="00F2348E"/>
  </w:style>
  <w:style w:type="numbering" w:customStyle="1" w:styleId="Stil13">
    <w:name w:val="Stil13"/>
    <w:uiPriority w:val="99"/>
    <w:rsid w:val="0052045C"/>
  </w:style>
  <w:style w:type="table" w:customStyle="1" w:styleId="Reetkatablice50">
    <w:name w:val="Rešetka tablice50"/>
    <w:basedOn w:val="Obinatablica"/>
    <w:next w:val="Reetkatablice"/>
    <w:uiPriority w:val="59"/>
    <w:rsid w:val="00307B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0">
    <w:name w:val="Rešetka tablice60"/>
    <w:basedOn w:val="Obinatablica"/>
    <w:next w:val="Reetkatablice"/>
    <w:uiPriority w:val="59"/>
    <w:rsid w:val="00B078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
    <w:name w:val="Rešetka tablice62"/>
    <w:basedOn w:val="Obinatablica"/>
    <w:next w:val="Reetkatablice"/>
    <w:uiPriority w:val="59"/>
    <w:rsid w:val="002657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
    <w:name w:val="Rešetka tablice63"/>
    <w:basedOn w:val="Obinatablica"/>
    <w:next w:val="Reetkatablice"/>
    <w:uiPriority w:val="59"/>
    <w:rsid w:val="00783A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4">
    <w:name w:val="Rešetka tablice64"/>
    <w:basedOn w:val="Obinatablica"/>
    <w:next w:val="Reetkatablice"/>
    <w:uiPriority w:val="59"/>
    <w:rsid w:val="005C46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5">
    <w:name w:val="Rešetka tablice65"/>
    <w:basedOn w:val="Obinatablica"/>
    <w:next w:val="Reetkatablice"/>
    <w:uiPriority w:val="59"/>
    <w:rsid w:val="005C46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6">
    <w:name w:val="Rešetka tablice66"/>
    <w:basedOn w:val="Obinatablica"/>
    <w:next w:val="Reetkatablice"/>
    <w:uiPriority w:val="59"/>
    <w:rsid w:val="001862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7">
    <w:name w:val="Rešetka tablice67"/>
    <w:basedOn w:val="Obinatablica"/>
    <w:next w:val="Reetkatablice"/>
    <w:uiPriority w:val="59"/>
    <w:rsid w:val="001250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8">
    <w:name w:val="Rešetka tablice68"/>
    <w:basedOn w:val="Obinatablica"/>
    <w:next w:val="Reetkatablice"/>
    <w:uiPriority w:val="59"/>
    <w:rsid w:val="00A17F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9">
    <w:name w:val="Rešetka tablice69"/>
    <w:basedOn w:val="Obinatablica"/>
    <w:next w:val="Reetkatablice"/>
    <w:uiPriority w:val="59"/>
    <w:rsid w:val="005B6D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0">
    <w:name w:val="Rešetka tablice70"/>
    <w:basedOn w:val="Obinatablica"/>
    <w:next w:val="Reetkatablice"/>
    <w:uiPriority w:val="59"/>
    <w:rsid w:val="005D63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71">
    <w:name w:val="Naslov 71"/>
    <w:basedOn w:val="Normal"/>
    <w:next w:val="Normal"/>
    <w:uiPriority w:val="9"/>
    <w:unhideWhenUsed/>
    <w:qFormat/>
    <w:rsid w:val="00426865"/>
    <w:pPr>
      <w:keepNext/>
      <w:keepLines/>
      <w:spacing w:before="40" w:after="0" w:line="240" w:lineRule="auto"/>
      <w:jc w:val="both"/>
      <w:outlineLvl w:val="6"/>
    </w:pPr>
    <w:rPr>
      <w:rFonts w:ascii="Cambria" w:eastAsia="Times New Roman" w:hAnsi="Cambria" w:cs="Times New Roman"/>
      <w:i/>
      <w:iCs/>
      <w:color w:val="243F60"/>
      <w:sz w:val="20"/>
      <w:szCs w:val="20"/>
      <w:lang w:eastAsia="en-US"/>
    </w:rPr>
  </w:style>
  <w:style w:type="numbering" w:customStyle="1" w:styleId="Bezpopisa1">
    <w:name w:val="Bez popisa1"/>
    <w:next w:val="Bezpopisa"/>
    <w:uiPriority w:val="99"/>
    <w:semiHidden/>
    <w:unhideWhenUsed/>
    <w:rsid w:val="00426865"/>
  </w:style>
  <w:style w:type="character" w:customStyle="1" w:styleId="Naslov7Char">
    <w:name w:val="Naslov 7 Char"/>
    <w:basedOn w:val="Zadanifontodlomka"/>
    <w:link w:val="Naslov7"/>
    <w:uiPriority w:val="9"/>
    <w:rsid w:val="00426865"/>
    <w:rPr>
      <w:rFonts w:ascii="Cambria" w:eastAsia="Times New Roman" w:hAnsi="Cambria" w:cs="Times New Roman"/>
      <w:i/>
      <w:iCs/>
      <w:color w:val="243F60"/>
      <w:lang w:eastAsia="en-US"/>
    </w:rPr>
  </w:style>
  <w:style w:type="table" w:customStyle="1" w:styleId="Reetkatablice72">
    <w:name w:val="Rešetka tablice72"/>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5">
    <w:name w:val="Rešetka tablice115"/>
    <w:basedOn w:val="Obinatablica"/>
    <w:next w:val="Reetkatablice"/>
    <w:rsid w:val="00426865"/>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jelotaksta">
    <w:name w:val="tijelo taksta"/>
    <w:basedOn w:val="Normal"/>
    <w:link w:val="tijelotakstaChar"/>
    <w:qFormat/>
    <w:rsid w:val="00426865"/>
    <w:pPr>
      <w:spacing w:after="0" w:line="240" w:lineRule="auto"/>
      <w:jc w:val="both"/>
    </w:pPr>
    <w:rPr>
      <w:rFonts w:ascii="Calibri" w:eastAsia="Times New Roman" w:hAnsi="Calibri" w:cs="Times New Roman"/>
      <w:sz w:val="24"/>
      <w:szCs w:val="24"/>
    </w:rPr>
  </w:style>
  <w:style w:type="character" w:customStyle="1" w:styleId="tijelotakstaChar">
    <w:name w:val="tijelo taksta Char"/>
    <w:basedOn w:val="Zadanifontodlomka"/>
    <w:link w:val="tijelotaksta"/>
    <w:rsid w:val="00426865"/>
    <w:rPr>
      <w:rFonts w:ascii="Calibri" w:eastAsia="Times New Roman" w:hAnsi="Calibri" w:cs="Times New Roman"/>
      <w:sz w:val="24"/>
      <w:szCs w:val="24"/>
    </w:rPr>
  </w:style>
  <w:style w:type="table" w:customStyle="1" w:styleId="Reetkatablice220">
    <w:name w:val="Rešetka tablice220"/>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0">
    <w:name w:val="Rešetka tablice410"/>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6">
    <w:name w:val="Rešetka tablice116"/>
    <w:basedOn w:val="Obinatablica"/>
    <w:next w:val="Reetkatablice"/>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1">
    <w:name w:val="Rešetka tablice40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11">
    <w:name w:val="Rešetka tablice401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
    <w:name w:val="Rešetka tablice45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1">
    <w:name w:val="Rešetka tablice46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1">
    <w:name w:val="Rešetka tablice47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1">
    <w:name w:val="Rešetka tablice48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1">
    <w:name w:val="Rešetka tablice44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2">
    <w:name w:val="Rešetka tablice442"/>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1">
    <w:name w:val="Rešetka tablice49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3">
    <w:name w:val="Rešetka tablice443"/>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01">
    <w:name w:val="Rešetka tablice50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4">
    <w:name w:val="Rešetka tablice444"/>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5">
    <w:name w:val="Rešetka tablice445"/>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01">
    <w:name w:val="Rešetka tablice601"/>
    <w:basedOn w:val="Obinatablica"/>
    <w:next w:val="Reetkatablice"/>
    <w:uiPriority w:val="39"/>
    <w:rsid w:val="0042686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21">
    <w:name w:val="Rešetka tablice621"/>
    <w:basedOn w:val="Obinatablica"/>
    <w:next w:val="Reetkatablice"/>
    <w:uiPriority w:val="59"/>
    <w:rsid w:val="00426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1">
    <w:name w:val="Rešetka tablice451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2">
    <w:name w:val="Rešetka tablice452"/>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3">
    <w:name w:val="Rešetka tablice453"/>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4">
    <w:name w:val="Rešetka tablice454"/>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5">
    <w:name w:val="Rešetka tablice455"/>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1">
    <w:name w:val="Rešetka tablice631"/>
    <w:basedOn w:val="Obinatablica"/>
    <w:next w:val="Reetkatablice"/>
    <w:uiPriority w:val="39"/>
    <w:rsid w:val="0042686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laencitat1">
    <w:name w:val="Naglašen citat1"/>
    <w:basedOn w:val="Normal"/>
    <w:next w:val="Normal"/>
    <w:uiPriority w:val="30"/>
    <w:qFormat/>
    <w:rsid w:val="00426865"/>
    <w:pPr>
      <w:pBdr>
        <w:bottom w:val="single" w:sz="4" w:space="4" w:color="B83D68"/>
      </w:pBdr>
      <w:spacing w:before="200" w:after="280"/>
      <w:ind w:left="936" w:right="936"/>
    </w:pPr>
    <w:rPr>
      <w:rFonts w:ascii="Calibri" w:eastAsia="Times New Roman" w:hAnsi="Calibri" w:cs="Times New Roman"/>
      <w:b/>
      <w:bCs/>
      <w:i/>
      <w:iCs/>
      <w:color w:val="B83D68"/>
    </w:rPr>
  </w:style>
  <w:style w:type="character" w:customStyle="1" w:styleId="NaglaencitatChar">
    <w:name w:val="Naglašen citat Char"/>
    <w:link w:val="Naglaencitat"/>
    <w:uiPriority w:val="30"/>
    <w:rsid w:val="00426865"/>
    <w:rPr>
      <w:rFonts w:eastAsia="Times New Roman"/>
      <w:b/>
      <w:bCs/>
      <w:i/>
      <w:iCs/>
      <w:color w:val="B83D68"/>
    </w:rPr>
  </w:style>
  <w:style w:type="paragraph" w:styleId="Naglaencitat">
    <w:name w:val="Intense Quote"/>
    <w:basedOn w:val="Normal"/>
    <w:next w:val="Normal"/>
    <w:link w:val="NaglaencitatChar"/>
    <w:uiPriority w:val="30"/>
    <w:qFormat/>
    <w:rsid w:val="00426865"/>
    <w:pPr>
      <w:pBdr>
        <w:bottom w:val="single" w:sz="4" w:space="4" w:color="4F81BD"/>
      </w:pBdr>
      <w:spacing w:before="200" w:after="280"/>
      <w:ind w:left="936" w:right="936"/>
    </w:pPr>
    <w:rPr>
      <w:rFonts w:eastAsia="Times New Roman"/>
      <w:b/>
      <w:bCs/>
      <w:i/>
      <w:iCs/>
      <w:color w:val="B83D68"/>
    </w:rPr>
  </w:style>
  <w:style w:type="character" w:customStyle="1" w:styleId="NaglaencitatChar1">
    <w:name w:val="Naglašen citat Char1"/>
    <w:basedOn w:val="Zadanifontodlomka"/>
    <w:uiPriority w:val="30"/>
    <w:rsid w:val="00426865"/>
    <w:rPr>
      <w:i/>
      <w:iCs/>
      <w:color w:val="4F81BD" w:themeColor="accent1"/>
    </w:rPr>
  </w:style>
  <w:style w:type="numbering" w:customStyle="1" w:styleId="Stil14">
    <w:name w:val="Stil14"/>
    <w:uiPriority w:val="99"/>
    <w:rsid w:val="00426865"/>
  </w:style>
  <w:style w:type="table" w:customStyle="1" w:styleId="Svijetlipopis1">
    <w:name w:val="Svijetli popis1"/>
    <w:basedOn w:val="Obinatablica"/>
    <w:next w:val="Svijetlipopis"/>
    <w:uiPriority w:val="61"/>
    <w:rsid w:val="00426865"/>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etkatablice641">
    <w:name w:val="Rešetka tablice64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51">
    <w:name w:val="Rešetka tablice651"/>
    <w:basedOn w:val="Obinatablica"/>
    <w:next w:val="Reetkatablice"/>
    <w:uiPriority w:val="59"/>
    <w:rsid w:val="0042686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7Char1">
    <w:name w:val="Naslov 7 Char1"/>
    <w:basedOn w:val="Zadanifontodlomka"/>
    <w:uiPriority w:val="9"/>
    <w:semiHidden/>
    <w:rsid w:val="00426865"/>
    <w:rPr>
      <w:rFonts w:asciiTheme="majorHAnsi" w:eastAsiaTheme="majorEastAsia" w:hAnsiTheme="majorHAnsi" w:cstheme="majorBidi"/>
      <w:i/>
      <w:iCs/>
      <w:color w:val="243F60" w:themeColor="accent1" w:themeShade="7F"/>
    </w:rPr>
  </w:style>
  <w:style w:type="table" w:styleId="Svijetlipopis">
    <w:name w:val="Light List"/>
    <w:basedOn w:val="Obinatablica"/>
    <w:uiPriority w:val="61"/>
    <w:semiHidden/>
    <w:unhideWhenUsed/>
    <w:rsid w:val="0042686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xtbody">
    <w:name w:val="Text body"/>
    <w:basedOn w:val="Normal"/>
    <w:rsid w:val="00C92189"/>
    <w:pPr>
      <w:widowControl w:val="0"/>
      <w:suppressAutoHyphens/>
      <w:autoSpaceDN w:val="0"/>
      <w:spacing w:after="120" w:line="240" w:lineRule="auto"/>
    </w:pPr>
    <w:rPr>
      <w:rFonts w:ascii="Times New Roman" w:eastAsia="SimSun" w:hAnsi="Times New Roman" w:cs="Arial"/>
      <w:kern w:val="3"/>
      <w:sz w:val="24"/>
      <w:szCs w:val="24"/>
      <w:lang w:eastAsia="zh-CN" w:bidi="hi-IN"/>
    </w:rPr>
  </w:style>
  <w:style w:type="numbering" w:customStyle="1" w:styleId="Stil15">
    <w:name w:val="Stil15"/>
    <w:uiPriority w:val="99"/>
    <w:rsid w:val="004E241C"/>
  </w:style>
  <w:style w:type="numbering" w:customStyle="1" w:styleId="Stil16">
    <w:name w:val="Stil16"/>
    <w:uiPriority w:val="99"/>
    <w:rsid w:val="00A80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31">
      <w:bodyDiv w:val="1"/>
      <w:marLeft w:val="0"/>
      <w:marRight w:val="0"/>
      <w:marTop w:val="0"/>
      <w:marBottom w:val="0"/>
      <w:divBdr>
        <w:top w:val="none" w:sz="0" w:space="0" w:color="auto"/>
        <w:left w:val="none" w:sz="0" w:space="0" w:color="auto"/>
        <w:bottom w:val="none" w:sz="0" w:space="0" w:color="auto"/>
        <w:right w:val="none" w:sz="0" w:space="0" w:color="auto"/>
      </w:divBdr>
    </w:div>
    <w:div w:id="209523">
      <w:bodyDiv w:val="1"/>
      <w:marLeft w:val="0"/>
      <w:marRight w:val="0"/>
      <w:marTop w:val="0"/>
      <w:marBottom w:val="0"/>
      <w:divBdr>
        <w:top w:val="none" w:sz="0" w:space="0" w:color="auto"/>
        <w:left w:val="none" w:sz="0" w:space="0" w:color="auto"/>
        <w:bottom w:val="none" w:sz="0" w:space="0" w:color="auto"/>
        <w:right w:val="none" w:sz="0" w:space="0" w:color="auto"/>
      </w:divBdr>
    </w:div>
    <w:div w:id="2361884">
      <w:bodyDiv w:val="1"/>
      <w:marLeft w:val="0"/>
      <w:marRight w:val="0"/>
      <w:marTop w:val="0"/>
      <w:marBottom w:val="0"/>
      <w:divBdr>
        <w:top w:val="none" w:sz="0" w:space="0" w:color="auto"/>
        <w:left w:val="none" w:sz="0" w:space="0" w:color="auto"/>
        <w:bottom w:val="none" w:sz="0" w:space="0" w:color="auto"/>
        <w:right w:val="none" w:sz="0" w:space="0" w:color="auto"/>
      </w:divBdr>
    </w:div>
    <w:div w:id="6642223">
      <w:bodyDiv w:val="1"/>
      <w:marLeft w:val="0"/>
      <w:marRight w:val="0"/>
      <w:marTop w:val="0"/>
      <w:marBottom w:val="0"/>
      <w:divBdr>
        <w:top w:val="none" w:sz="0" w:space="0" w:color="auto"/>
        <w:left w:val="none" w:sz="0" w:space="0" w:color="auto"/>
        <w:bottom w:val="none" w:sz="0" w:space="0" w:color="auto"/>
        <w:right w:val="none" w:sz="0" w:space="0" w:color="auto"/>
      </w:divBdr>
    </w:div>
    <w:div w:id="8219898">
      <w:bodyDiv w:val="1"/>
      <w:marLeft w:val="0"/>
      <w:marRight w:val="0"/>
      <w:marTop w:val="0"/>
      <w:marBottom w:val="0"/>
      <w:divBdr>
        <w:top w:val="none" w:sz="0" w:space="0" w:color="auto"/>
        <w:left w:val="none" w:sz="0" w:space="0" w:color="auto"/>
        <w:bottom w:val="none" w:sz="0" w:space="0" w:color="auto"/>
        <w:right w:val="none" w:sz="0" w:space="0" w:color="auto"/>
      </w:divBdr>
    </w:div>
    <w:div w:id="10692392">
      <w:bodyDiv w:val="1"/>
      <w:marLeft w:val="0"/>
      <w:marRight w:val="0"/>
      <w:marTop w:val="0"/>
      <w:marBottom w:val="0"/>
      <w:divBdr>
        <w:top w:val="none" w:sz="0" w:space="0" w:color="auto"/>
        <w:left w:val="none" w:sz="0" w:space="0" w:color="auto"/>
        <w:bottom w:val="none" w:sz="0" w:space="0" w:color="auto"/>
        <w:right w:val="none" w:sz="0" w:space="0" w:color="auto"/>
      </w:divBdr>
    </w:div>
    <w:div w:id="11493803">
      <w:bodyDiv w:val="1"/>
      <w:marLeft w:val="0"/>
      <w:marRight w:val="0"/>
      <w:marTop w:val="0"/>
      <w:marBottom w:val="0"/>
      <w:divBdr>
        <w:top w:val="none" w:sz="0" w:space="0" w:color="auto"/>
        <w:left w:val="none" w:sz="0" w:space="0" w:color="auto"/>
        <w:bottom w:val="none" w:sz="0" w:space="0" w:color="auto"/>
        <w:right w:val="none" w:sz="0" w:space="0" w:color="auto"/>
      </w:divBdr>
    </w:div>
    <w:div w:id="15272440">
      <w:bodyDiv w:val="1"/>
      <w:marLeft w:val="0"/>
      <w:marRight w:val="0"/>
      <w:marTop w:val="0"/>
      <w:marBottom w:val="0"/>
      <w:divBdr>
        <w:top w:val="none" w:sz="0" w:space="0" w:color="auto"/>
        <w:left w:val="none" w:sz="0" w:space="0" w:color="auto"/>
        <w:bottom w:val="none" w:sz="0" w:space="0" w:color="auto"/>
        <w:right w:val="none" w:sz="0" w:space="0" w:color="auto"/>
      </w:divBdr>
    </w:div>
    <w:div w:id="19285656">
      <w:bodyDiv w:val="1"/>
      <w:marLeft w:val="0"/>
      <w:marRight w:val="0"/>
      <w:marTop w:val="0"/>
      <w:marBottom w:val="0"/>
      <w:divBdr>
        <w:top w:val="none" w:sz="0" w:space="0" w:color="auto"/>
        <w:left w:val="none" w:sz="0" w:space="0" w:color="auto"/>
        <w:bottom w:val="none" w:sz="0" w:space="0" w:color="auto"/>
        <w:right w:val="none" w:sz="0" w:space="0" w:color="auto"/>
      </w:divBdr>
    </w:div>
    <w:div w:id="25644809">
      <w:bodyDiv w:val="1"/>
      <w:marLeft w:val="0"/>
      <w:marRight w:val="0"/>
      <w:marTop w:val="0"/>
      <w:marBottom w:val="0"/>
      <w:divBdr>
        <w:top w:val="none" w:sz="0" w:space="0" w:color="auto"/>
        <w:left w:val="none" w:sz="0" w:space="0" w:color="auto"/>
        <w:bottom w:val="none" w:sz="0" w:space="0" w:color="auto"/>
        <w:right w:val="none" w:sz="0" w:space="0" w:color="auto"/>
      </w:divBdr>
    </w:div>
    <w:div w:id="28574973">
      <w:bodyDiv w:val="1"/>
      <w:marLeft w:val="0"/>
      <w:marRight w:val="0"/>
      <w:marTop w:val="0"/>
      <w:marBottom w:val="0"/>
      <w:divBdr>
        <w:top w:val="none" w:sz="0" w:space="0" w:color="auto"/>
        <w:left w:val="none" w:sz="0" w:space="0" w:color="auto"/>
        <w:bottom w:val="none" w:sz="0" w:space="0" w:color="auto"/>
        <w:right w:val="none" w:sz="0" w:space="0" w:color="auto"/>
      </w:divBdr>
    </w:div>
    <w:div w:id="30304517">
      <w:bodyDiv w:val="1"/>
      <w:marLeft w:val="0"/>
      <w:marRight w:val="0"/>
      <w:marTop w:val="0"/>
      <w:marBottom w:val="0"/>
      <w:divBdr>
        <w:top w:val="none" w:sz="0" w:space="0" w:color="auto"/>
        <w:left w:val="none" w:sz="0" w:space="0" w:color="auto"/>
        <w:bottom w:val="none" w:sz="0" w:space="0" w:color="auto"/>
        <w:right w:val="none" w:sz="0" w:space="0" w:color="auto"/>
      </w:divBdr>
    </w:div>
    <w:div w:id="31001338">
      <w:bodyDiv w:val="1"/>
      <w:marLeft w:val="0"/>
      <w:marRight w:val="0"/>
      <w:marTop w:val="0"/>
      <w:marBottom w:val="0"/>
      <w:divBdr>
        <w:top w:val="none" w:sz="0" w:space="0" w:color="auto"/>
        <w:left w:val="none" w:sz="0" w:space="0" w:color="auto"/>
        <w:bottom w:val="none" w:sz="0" w:space="0" w:color="auto"/>
        <w:right w:val="none" w:sz="0" w:space="0" w:color="auto"/>
      </w:divBdr>
    </w:div>
    <w:div w:id="35279569">
      <w:bodyDiv w:val="1"/>
      <w:marLeft w:val="0"/>
      <w:marRight w:val="0"/>
      <w:marTop w:val="0"/>
      <w:marBottom w:val="0"/>
      <w:divBdr>
        <w:top w:val="none" w:sz="0" w:space="0" w:color="auto"/>
        <w:left w:val="none" w:sz="0" w:space="0" w:color="auto"/>
        <w:bottom w:val="none" w:sz="0" w:space="0" w:color="auto"/>
        <w:right w:val="none" w:sz="0" w:space="0" w:color="auto"/>
      </w:divBdr>
    </w:div>
    <w:div w:id="35391774">
      <w:bodyDiv w:val="1"/>
      <w:marLeft w:val="0"/>
      <w:marRight w:val="0"/>
      <w:marTop w:val="0"/>
      <w:marBottom w:val="0"/>
      <w:divBdr>
        <w:top w:val="none" w:sz="0" w:space="0" w:color="auto"/>
        <w:left w:val="none" w:sz="0" w:space="0" w:color="auto"/>
        <w:bottom w:val="none" w:sz="0" w:space="0" w:color="auto"/>
        <w:right w:val="none" w:sz="0" w:space="0" w:color="auto"/>
      </w:divBdr>
    </w:div>
    <w:div w:id="36662758">
      <w:bodyDiv w:val="1"/>
      <w:marLeft w:val="0"/>
      <w:marRight w:val="0"/>
      <w:marTop w:val="0"/>
      <w:marBottom w:val="0"/>
      <w:divBdr>
        <w:top w:val="none" w:sz="0" w:space="0" w:color="auto"/>
        <w:left w:val="none" w:sz="0" w:space="0" w:color="auto"/>
        <w:bottom w:val="none" w:sz="0" w:space="0" w:color="auto"/>
        <w:right w:val="none" w:sz="0" w:space="0" w:color="auto"/>
      </w:divBdr>
    </w:div>
    <w:div w:id="37826607">
      <w:bodyDiv w:val="1"/>
      <w:marLeft w:val="0"/>
      <w:marRight w:val="0"/>
      <w:marTop w:val="0"/>
      <w:marBottom w:val="0"/>
      <w:divBdr>
        <w:top w:val="none" w:sz="0" w:space="0" w:color="auto"/>
        <w:left w:val="none" w:sz="0" w:space="0" w:color="auto"/>
        <w:bottom w:val="none" w:sz="0" w:space="0" w:color="auto"/>
        <w:right w:val="none" w:sz="0" w:space="0" w:color="auto"/>
      </w:divBdr>
    </w:div>
    <w:div w:id="39286354">
      <w:bodyDiv w:val="1"/>
      <w:marLeft w:val="0"/>
      <w:marRight w:val="0"/>
      <w:marTop w:val="0"/>
      <w:marBottom w:val="0"/>
      <w:divBdr>
        <w:top w:val="none" w:sz="0" w:space="0" w:color="auto"/>
        <w:left w:val="none" w:sz="0" w:space="0" w:color="auto"/>
        <w:bottom w:val="none" w:sz="0" w:space="0" w:color="auto"/>
        <w:right w:val="none" w:sz="0" w:space="0" w:color="auto"/>
      </w:divBdr>
    </w:div>
    <w:div w:id="45833386">
      <w:bodyDiv w:val="1"/>
      <w:marLeft w:val="0"/>
      <w:marRight w:val="0"/>
      <w:marTop w:val="0"/>
      <w:marBottom w:val="0"/>
      <w:divBdr>
        <w:top w:val="none" w:sz="0" w:space="0" w:color="auto"/>
        <w:left w:val="none" w:sz="0" w:space="0" w:color="auto"/>
        <w:bottom w:val="none" w:sz="0" w:space="0" w:color="auto"/>
        <w:right w:val="none" w:sz="0" w:space="0" w:color="auto"/>
      </w:divBdr>
    </w:div>
    <w:div w:id="45960155">
      <w:bodyDiv w:val="1"/>
      <w:marLeft w:val="0"/>
      <w:marRight w:val="0"/>
      <w:marTop w:val="0"/>
      <w:marBottom w:val="0"/>
      <w:divBdr>
        <w:top w:val="none" w:sz="0" w:space="0" w:color="auto"/>
        <w:left w:val="none" w:sz="0" w:space="0" w:color="auto"/>
        <w:bottom w:val="none" w:sz="0" w:space="0" w:color="auto"/>
        <w:right w:val="none" w:sz="0" w:space="0" w:color="auto"/>
      </w:divBdr>
    </w:div>
    <w:div w:id="46340714">
      <w:bodyDiv w:val="1"/>
      <w:marLeft w:val="0"/>
      <w:marRight w:val="0"/>
      <w:marTop w:val="0"/>
      <w:marBottom w:val="0"/>
      <w:divBdr>
        <w:top w:val="none" w:sz="0" w:space="0" w:color="auto"/>
        <w:left w:val="none" w:sz="0" w:space="0" w:color="auto"/>
        <w:bottom w:val="none" w:sz="0" w:space="0" w:color="auto"/>
        <w:right w:val="none" w:sz="0" w:space="0" w:color="auto"/>
      </w:divBdr>
    </w:div>
    <w:div w:id="51586458">
      <w:bodyDiv w:val="1"/>
      <w:marLeft w:val="0"/>
      <w:marRight w:val="0"/>
      <w:marTop w:val="0"/>
      <w:marBottom w:val="0"/>
      <w:divBdr>
        <w:top w:val="none" w:sz="0" w:space="0" w:color="auto"/>
        <w:left w:val="none" w:sz="0" w:space="0" w:color="auto"/>
        <w:bottom w:val="none" w:sz="0" w:space="0" w:color="auto"/>
        <w:right w:val="none" w:sz="0" w:space="0" w:color="auto"/>
      </w:divBdr>
    </w:div>
    <w:div w:id="56712290">
      <w:bodyDiv w:val="1"/>
      <w:marLeft w:val="0"/>
      <w:marRight w:val="0"/>
      <w:marTop w:val="0"/>
      <w:marBottom w:val="0"/>
      <w:divBdr>
        <w:top w:val="none" w:sz="0" w:space="0" w:color="auto"/>
        <w:left w:val="none" w:sz="0" w:space="0" w:color="auto"/>
        <w:bottom w:val="none" w:sz="0" w:space="0" w:color="auto"/>
        <w:right w:val="none" w:sz="0" w:space="0" w:color="auto"/>
      </w:divBdr>
    </w:div>
    <w:div w:id="61753905">
      <w:bodyDiv w:val="1"/>
      <w:marLeft w:val="0"/>
      <w:marRight w:val="0"/>
      <w:marTop w:val="0"/>
      <w:marBottom w:val="0"/>
      <w:divBdr>
        <w:top w:val="none" w:sz="0" w:space="0" w:color="auto"/>
        <w:left w:val="none" w:sz="0" w:space="0" w:color="auto"/>
        <w:bottom w:val="none" w:sz="0" w:space="0" w:color="auto"/>
        <w:right w:val="none" w:sz="0" w:space="0" w:color="auto"/>
      </w:divBdr>
    </w:div>
    <w:div w:id="62535135">
      <w:bodyDiv w:val="1"/>
      <w:marLeft w:val="0"/>
      <w:marRight w:val="0"/>
      <w:marTop w:val="0"/>
      <w:marBottom w:val="0"/>
      <w:divBdr>
        <w:top w:val="none" w:sz="0" w:space="0" w:color="auto"/>
        <w:left w:val="none" w:sz="0" w:space="0" w:color="auto"/>
        <w:bottom w:val="none" w:sz="0" w:space="0" w:color="auto"/>
        <w:right w:val="none" w:sz="0" w:space="0" w:color="auto"/>
      </w:divBdr>
    </w:div>
    <w:div w:id="64572903">
      <w:bodyDiv w:val="1"/>
      <w:marLeft w:val="0"/>
      <w:marRight w:val="0"/>
      <w:marTop w:val="0"/>
      <w:marBottom w:val="0"/>
      <w:divBdr>
        <w:top w:val="none" w:sz="0" w:space="0" w:color="auto"/>
        <w:left w:val="none" w:sz="0" w:space="0" w:color="auto"/>
        <w:bottom w:val="none" w:sz="0" w:space="0" w:color="auto"/>
        <w:right w:val="none" w:sz="0" w:space="0" w:color="auto"/>
      </w:divBdr>
    </w:div>
    <w:div w:id="68550842">
      <w:bodyDiv w:val="1"/>
      <w:marLeft w:val="0"/>
      <w:marRight w:val="0"/>
      <w:marTop w:val="0"/>
      <w:marBottom w:val="0"/>
      <w:divBdr>
        <w:top w:val="none" w:sz="0" w:space="0" w:color="auto"/>
        <w:left w:val="none" w:sz="0" w:space="0" w:color="auto"/>
        <w:bottom w:val="none" w:sz="0" w:space="0" w:color="auto"/>
        <w:right w:val="none" w:sz="0" w:space="0" w:color="auto"/>
      </w:divBdr>
    </w:div>
    <w:div w:id="72817707">
      <w:bodyDiv w:val="1"/>
      <w:marLeft w:val="0"/>
      <w:marRight w:val="0"/>
      <w:marTop w:val="0"/>
      <w:marBottom w:val="0"/>
      <w:divBdr>
        <w:top w:val="none" w:sz="0" w:space="0" w:color="auto"/>
        <w:left w:val="none" w:sz="0" w:space="0" w:color="auto"/>
        <w:bottom w:val="none" w:sz="0" w:space="0" w:color="auto"/>
        <w:right w:val="none" w:sz="0" w:space="0" w:color="auto"/>
      </w:divBdr>
    </w:div>
    <w:div w:id="77333180">
      <w:bodyDiv w:val="1"/>
      <w:marLeft w:val="0"/>
      <w:marRight w:val="0"/>
      <w:marTop w:val="0"/>
      <w:marBottom w:val="0"/>
      <w:divBdr>
        <w:top w:val="none" w:sz="0" w:space="0" w:color="auto"/>
        <w:left w:val="none" w:sz="0" w:space="0" w:color="auto"/>
        <w:bottom w:val="none" w:sz="0" w:space="0" w:color="auto"/>
        <w:right w:val="none" w:sz="0" w:space="0" w:color="auto"/>
      </w:divBdr>
    </w:div>
    <w:div w:id="81224024">
      <w:bodyDiv w:val="1"/>
      <w:marLeft w:val="0"/>
      <w:marRight w:val="0"/>
      <w:marTop w:val="0"/>
      <w:marBottom w:val="0"/>
      <w:divBdr>
        <w:top w:val="none" w:sz="0" w:space="0" w:color="auto"/>
        <w:left w:val="none" w:sz="0" w:space="0" w:color="auto"/>
        <w:bottom w:val="none" w:sz="0" w:space="0" w:color="auto"/>
        <w:right w:val="none" w:sz="0" w:space="0" w:color="auto"/>
      </w:divBdr>
    </w:div>
    <w:div w:id="85271555">
      <w:bodyDiv w:val="1"/>
      <w:marLeft w:val="0"/>
      <w:marRight w:val="0"/>
      <w:marTop w:val="0"/>
      <w:marBottom w:val="0"/>
      <w:divBdr>
        <w:top w:val="none" w:sz="0" w:space="0" w:color="auto"/>
        <w:left w:val="none" w:sz="0" w:space="0" w:color="auto"/>
        <w:bottom w:val="none" w:sz="0" w:space="0" w:color="auto"/>
        <w:right w:val="none" w:sz="0" w:space="0" w:color="auto"/>
      </w:divBdr>
    </w:div>
    <w:div w:id="86193890">
      <w:bodyDiv w:val="1"/>
      <w:marLeft w:val="0"/>
      <w:marRight w:val="0"/>
      <w:marTop w:val="0"/>
      <w:marBottom w:val="0"/>
      <w:divBdr>
        <w:top w:val="none" w:sz="0" w:space="0" w:color="auto"/>
        <w:left w:val="none" w:sz="0" w:space="0" w:color="auto"/>
        <w:bottom w:val="none" w:sz="0" w:space="0" w:color="auto"/>
        <w:right w:val="none" w:sz="0" w:space="0" w:color="auto"/>
      </w:divBdr>
    </w:div>
    <w:div w:id="86315540">
      <w:bodyDiv w:val="1"/>
      <w:marLeft w:val="0"/>
      <w:marRight w:val="0"/>
      <w:marTop w:val="0"/>
      <w:marBottom w:val="0"/>
      <w:divBdr>
        <w:top w:val="none" w:sz="0" w:space="0" w:color="auto"/>
        <w:left w:val="none" w:sz="0" w:space="0" w:color="auto"/>
        <w:bottom w:val="none" w:sz="0" w:space="0" w:color="auto"/>
        <w:right w:val="none" w:sz="0" w:space="0" w:color="auto"/>
      </w:divBdr>
    </w:div>
    <w:div w:id="88044866">
      <w:bodyDiv w:val="1"/>
      <w:marLeft w:val="0"/>
      <w:marRight w:val="0"/>
      <w:marTop w:val="0"/>
      <w:marBottom w:val="0"/>
      <w:divBdr>
        <w:top w:val="none" w:sz="0" w:space="0" w:color="auto"/>
        <w:left w:val="none" w:sz="0" w:space="0" w:color="auto"/>
        <w:bottom w:val="none" w:sz="0" w:space="0" w:color="auto"/>
        <w:right w:val="none" w:sz="0" w:space="0" w:color="auto"/>
      </w:divBdr>
    </w:div>
    <w:div w:id="90586213">
      <w:bodyDiv w:val="1"/>
      <w:marLeft w:val="0"/>
      <w:marRight w:val="0"/>
      <w:marTop w:val="0"/>
      <w:marBottom w:val="0"/>
      <w:divBdr>
        <w:top w:val="none" w:sz="0" w:space="0" w:color="auto"/>
        <w:left w:val="none" w:sz="0" w:space="0" w:color="auto"/>
        <w:bottom w:val="none" w:sz="0" w:space="0" w:color="auto"/>
        <w:right w:val="none" w:sz="0" w:space="0" w:color="auto"/>
      </w:divBdr>
    </w:div>
    <w:div w:id="96217447">
      <w:bodyDiv w:val="1"/>
      <w:marLeft w:val="0"/>
      <w:marRight w:val="0"/>
      <w:marTop w:val="0"/>
      <w:marBottom w:val="0"/>
      <w:divBdr>
        <w:top w:val="none" w:sz="0" w:space="0" w:color="auto"/>
        <w:left w:val="none" w:sz="0" w:space="0" w:color="auto"/>
        <w:bottom w:val="none" w:sz="0" w:space="0" w:color="auto"/>
        <w:right w:val="none" w:sz="0" w:space="0" w:color="auto"/>
      </w:divBdr>
    </w:div>
    <w:div w:id="108857899">
      <w:bodyDiv w:val="1"/>
      <w:marLeft w:val="0"/>
      <w:marRight w:val="0"/>
      <w:marTop w:val="0"/>
      <w:marBottom w:val="0"/>
      <w:divBdr>
        <w:top w:val="none" w:sz="0" w:space="0" w:color="auto"/>
        <w:left w:val="none" w:sz="0" w:space="0" w:color="auto"/>
        <w:bottom w:val="none" w:sz="0" w:space="0" w:color="auto"/>
        <w:right w:val="none" w:sz="0" w:space="0" w:color="auto"/>
      </w:divBdr>
    </w:div>
    <w:div w:id="115175278">
      <w:bodyDiv w:val="1"/>
      <w:marLeft w:val="0"/>
      <w:marRight w:val="0"/>
      <w:marTop w:val="0"/>
      <w:marBottom w:val="0"/>
      <w:divBdr>
        <w:top w:val="none" w:sz="0" w:space="0" w:color="auto"/>
        <w:left w:val="none" w:sz="0" w:space="0" w:color="auto"/>
        <w:bottom w:val="none" w:sz="0" w:space="0" w:color="auto"/>
        <w:right w:val="none" w:sz="0" w:space="0" w:color="auto"/>
      </w:divBdr>
    </w:div>
    <w:div w:id="120803888">
      <w:bodyDiv w:val="1"/>
      <w:marLeft w:val="0"/>
      <w:marRight w:val="0"/>
      <w:marTop w:val="0"/>
      <w:marBottom w:val="0"/>
      <w:divBdr>
        <w:top w:val="none" w:sz="0" w:space="0" w:color="auto"/>
        <w:left w:val="none" w:sz="0" w:space="0" w:color="auto"/>
        <w:bottom w:val="none" w:sz="0" w:space="0" w:color="auto"/>
        <w:right w:val="none" w:sz="0" w:space="0" w:color="auto"/>
      </w:divBdr>
    </w:div>
    <w:div w:id="123080671">
      <w:bodyDiv w:val="1"/>
      <w:marLeft w:val="0"/>
      <w:marRight w:val="0"/>
      <w:marTop w:val="0"/>
      <w:marBottom w:val="0"/>
      <w:divBdr>
        <w:top w:val="none" w:sz="0" w:space="0" w:color="auto"/>
        <w:left w:val="none" w:sz="0" w:space="0" w:color="auto"/>
        <w:bottom w:val="none" w:sz="0" w:space="0" w:color="auto"/>
        <w:right w:val="none" w:sz="0" w:space="0" w:color="auto"/>
      </w:divBdr>
    </w:div>
    <w:div w:id="126969535">
      <w:bodyDiv w:val="1"/>
      <w:marLeft w:val="0"/>
      <w:marRight w:val="0"/>
      <w:marTop w:val="0"/>
      <w:marBottom w:val="0"/>
      <w:divBdr>
        <w:top w:val="none" w:sz="0" w:space="0" w:color="auto"/>
        <w:left w:val="none" w:sz="0" w:space="0" w:color="auto"/>
        <w:bottom w:val="none" w:sz="0" w:space="0" w:color="auto"/>
        <w:right w:val="none" w:sz="0" w:space="0" w:color="auto"/>
      </w:divBdr>
    </w:div>
    <w:div w:id="140119991">
      <w:bodyDiv w:val="1"/>
      <w:marLeft w:val="0"/>
      <w:marRight w:val="0"/>
      <w:marTop w:val="0"/>
      <w:marBottom w:val="0"/>
      <w:divBdr>
        <w:top w:val="none" w:sz="0" w:space="0" w:color="auto"/>
        <w:left w:val="none" w:sz="0" w:space="0" w:color="auto"/>
        <w:bottom w:val="none" w:sz="0" w:space="0" w:color="auto"/>
        <w:right w:val="none" w:sz="0" w:space="0" w:color="auto"/>
      </w:divBdr>
    </w:div>
    <w:div w:id="140738212">
      <w:bodyDiv w:val="1"/>
      <w:marLeft w:val="0"/>
      <w:marRight w:val="0"/>
      <w:marTop w:val="0"/>
      <w:marBottom w:val="0"/>
      <w:divBdr>
        <w:top w:val="none" w:sz="0" w:space="0" w:color="auto"/>
        <w:left w:val="none" w:sz="0" w:space="0" w:color="auto"/>
        <w:bottom w:val="none" w:sz="0" w:space="0" w:color="auto"/>
        <w:right w:val="none" w:sz="0" w:space="0" w:color="auto"/>
      </w:divBdr>
    </w:div>
    <w:div w:id="142284163">
      <w:bodyDiv w:val="1"/>
      <w:marLeft w:val="0"/>
      <w:marRight w:val="0"/>
      <w:marTop w:val="0"/>
      <w:marBottom w:val="0"/>
      <w:divBdr>
        <w:top w:val="none" w:sz="0" w:space="0" w:color="auto"/>
        <w:left w:val="none" w:sz="0" w:space="0" w:color="auto"/>
        <w:bottom w:val="none" w:sz="0" w:space="0" w:color="auto"/>
        <w:right w:val="none" w:sz="0" w:space="0" w:color="auto"/>
      </w:divBdr>
    </w:div>
    <w:div w:id="143358111">
      <w:bodyDiv w:val="1"/>
      <w:marLeft w:val="0"/>
      <w:marRight w:val="0"/>
      <w:marTop w:val="0"/>
      <w:marBottom w:val="0"/>
      <w:divBdr>
        <w:top w:val="none" w:sz="0" w:space="0" w:color="auto"/>
        <w:left w:val="none" w:sz="0" w:space="0" w:color="auto"/>
        <w:bottom w:val="none" w:sz="0" w:space="0" w:color="auto"/>
        <w:right w:val="none" w:sz="0" w:space="0" w:color="auto"/>
      </w:divBdr>
    </w:div>
    <w:div w:id="144670506">
      <w:bodyDiv w:val="1"/>
      <w:marLeft w:val="0"/>
      <w:marRight w:val="0"/>
      <w:marTop w:val="0"/>
      <w:marBottom w:val="0"/>
      <w:divBdr>
        <w:top w:val="none" w:sz="0" w:space="0" w:color="auto"/>
        <w:left w:val="none" w:sz="0" w:space="0" w:color="auto"/>
        <w:bottom w:val="none" w:sz="0" w:space="0" w:color="auto"/>
        <w:right w:val="none" w:sz="0" w:space="0" w:color="auto"/>
      </w:divBdr>
    </w:div>
    <w:div w:id="152373623">
      <w:bodyDiv w:val="1"/>
      <w:marLeft w:val="0"/>
      <w:marRight w:val="0"/>
      <w:marTop w:val="0"/>
      <w:marBottom w:val="0"/>
      <w:divBdr>
        <w:top w:val="none" w:sz="0" w:space="0" w:color="auto"/>
        <w:left w:val="none" w:sz="0" w:space="0" w:color="auto"/>
        <w:bottom w:val="none" w:sz="0" w:space="0" w:color="auto"/>
        <w:right w:val="none" w:sz="0" w:space="0" w:color="auto"/>
      </w:divBdr>
    </w:div>
    <w:div w:id="157234025">
      <w:bodyDiv w:val="1"/>
      <w:marLeft w:val="0"/>
      <w:marRight w:val="0"/>
      <w:marTop w:val="0"/>
      <w:marBottom w:val="0"/>
      <w:divBdr>
        <w:top w:val="none" w:sz="0" w:space="0" w:color="auto"/>
        <w:left w:val="none" w:sz="0" w:space="0" w:color="auto"/>
        <w:bottom w:val="none" w:sz="0" w:space="0" w:color="auto"/>
        <w:right w:val="none" w:sz="0" w:space="0" w:color="auto"/>
      </w:divBdr>
    </w:div>
    <w:div w:id="159198997">
      <w:bodyDiv w:val="1"/>
      <w:marLeft w:val="0"/>
      <w:marRight w:val="0"/>
      <w:marTop w:val="0"/>
      <w:marBottom w:val="0"/>
      <w:divBdr>
        <w:top w:val="none" w:sz="0" w:space="0" w:color="auto"/>
        <w:left w:val="none" w:sz="0" w:space="0" w:color="auto"/>
        <w:bottom w:val="none" w:sz="0" w:space="0" w:color="auto"/>
        <w:right w:val="none" w:sz="0" w:space="0" w:color="auto"/>
      </w:divBdr>
    </w:div>
    <w:div w:id="159662803">
      <w:bodyDiv w:val="1"/>
      <w:marLeft w:val="0"/>
      <w:marRight w:val="0"/>
      <w:marTop w:val="0"/>
      <w:marBottom w:val="0"/>
      <w:divBdr>
        <w:top w:val="none" w:sz="0" w:space="0" w:color="auto"/>
        <w:left w:val="none" w:sz="0" w:space="0" w:color="auto"/>
        <w:bottom w:val="none" w:sz="0" w:space="0" w:color="auto"/>
        <w:right w:val="none" w:sz="0" w:space="0" w:color="auto"/>
      </w:divBdr>
    </w:div>
    <w:div w:id="165021939">
      <w:bodyDiv w:val="1"/>
      <w:marLeft w:val="0"/>
      <w:marRight w:val="0"/>
      <w:marTop w:val="0"/>
      <w:marBottom w:val="0"/>
      <w:divBdr>
        <w:top w:val="none" w:sz="0" w:space="0" w:color="auto"/>
        <w:left w:val="none" w:sz="0" w:space="0" w:color="auto"/>
        <w:bottom w:val="none" w:sz="0" w:space="0" w:color="auto"/>
        <w:right w:val="none" w:sz="0" w:space="0" w:color="auto"/>
      </w:divBdr>
    </w:div>
    <w:div w:id="169612443">
      <w:bodyDiv w:val="1"/>
      <w:marLeft w:val="0"/>
      <w:marRight w:val="0"/>
      <w:marTop w:val="0"/>
      <w:marBottom w:val="0"/>
      <w:divBdr>
        <w:top w:val="none" w:sz="0" w:space="0" w:color="auto"/>
        <w:left w:val="none" w:sz="0" w:space="0" w:color="auto"/>
        <w:bottom w:val="none" w:sz="0" w:space="0" w:color="auto"/>
        <w:right w:val="none" w:sz="0" w:space="0" w:color="auto"/>
      </w:divBdr>
    </w:div>
    <w:div w:id="180516717">
      <w:bodyDiv w:val="1"/>
      <w:marLeft w:val="0"/>
      <w:marRight w:val="0"/>
      <w:marTop w:val="0"/>
      <w:marBottom w:val="0"/>
      <w:divBdr>
        <w:top w:val="none" w:sz="0" w:space="0" w:color="auto"/>
        <w:left w:val="none" w:sz="0" w:space="0" w:color="auto"/>
        <w:bottom w:val="none" w:sz="0" w:space="0" w:color="auto"/>
        <w:right w:val="none" w:sz="0" w:space="0" w:color="auto"/>
      </w:divBdr>
    </w:div>
    <w:div w:id="182670186">
      <w:bodyDiv w:val="1"/>
      <w:marLeft w:val="0"/>
      <w:marRight w:val="0"/>
      <w:marTop w:val="0"/>
      <w:marBottom w:val="0"/>
      <w:divBdr>
        <w:top w:val="none" w:sz="0" w:space="0" w:color="auto"/>
        <w:left w:val="none" w:sz="0" w:space="0" w:color="auto"/>
        <w:bottom w:val="none" w:sz="0" w:space="0" w:color="auto"/>
        <w:right w:val="none" w:sz="0" w:space="0" w:color="auto"/>
      </w:divBdr>
    </w:div>
    <w:div w:id="189074968">
      <w:bodyDiv w:val="1"/>
      <w:marLeft w:val="0"/>
      <w:marRight w:val="0"/>
      <w:marTop w:val="0"/>
      <w:marBottom w:val="0"/>
      <w:divBdr>
        <w:top w:val="none" w:sz="0" w:space="0" w:color="auto"/>
        <w:left w:val="none" w:sz="0" w:space="0" w:color="auto"/>
        <w:bottom w:val="none" w:sz="0" w:space="0" w:color="auto"/>
        <w:right w:val="none" w:sz="0" w:space="0" w:color="auto"/>
      </w:divBdr>
    </w:div>
    <w:div w:id="192768922">
      <w:bodyDiv w:val="1"/>
      <w:marLeft w:val="0"/>
      <w:marRight w:val="0"/>
      <w:marTop w:val="0"/>
      <w:marBottom w:val="0"/>
      <w:divBdr>
        <w:top w:val="none" w:sz="0" w:space="0" w:color="auto"/>
        <w:left w:val="none" w:sz="0" w:space="0" w:color="auto"/>
        <w:bottom w:val="none" w:sz="0" w:space="0" w:color="auto"/>
        <w:right w:val="none" w:sz="0" w:space="0" w:color="auto"/>
      </w:divBdr>
    </w:div>
    <w:div w:id="200091989">
      <w:bodyDiv w:val="1"/>
      <w:marLeft w:val="0"/>
      <w:marRight w:val="0"/>
      <w:marTop w:val="0"/>
      <w:marBottom w:val="0"/>
      <w:divBdr>
        <w:top w:val="none" w:sz="0" w:space="0" w:color="auto"/>
        <w:left w:val="none" w:sz="0" w:space="0" w:color="auto"/>
        <w:bottom w:val="none" w:sz="0" w:space="0" w:color="auto"/>
        <w:right w:val="none" w:sz="0" w:space="0" w:color="auto"/>
      </w:divBdr>
    </w:div>
    <w:div w:id="201330447">
      <w:bodyDiv w:val="1"/>
      <w:marLeft w:val="0"/>
      <w:marRight w:val="0"/>
      <w:marTop w:val="0"/>
      <w:marBottom w:val="0"/>
      <w:divBdr>
        <w:top w:val="none" w:sz="0" w:space="0" w:color="auto"/>
        <w:left w:val="none" w:sz="0" w:space="0" w:color="auto"/>
        <w:bottom w:val="none" w:sz="0" w:space="0" w:color="auto"/>
        <w:right w:val="none" w:sz="0" w:space="0" w:color="auto"/>
      </w:divBdr>
    </w:div>
    <w:div w:id="201939145">
      <w:bodyDiv w:val="1"/>
      <w:marLeft w:val="0"/>
      <w:marRight w:val="0"/>
      <w:marTop w:val="0"/>
      <w:marBottom w:val="0"/>
      <w:divBdr>
        <w:top w:val="none" w:sz="0" w:space="0" w:color="auto"/>
        <w:left w:val="none" w:sz="0" w:space="0" w:color="auto"/>
        <w:bottom w:val="none" w:sz="0" w:space="0" w:color="auto"/>
        <w:right w:val="none" w:sz="0" w:space="0" w:color="auto"/>
      </w:divBdr>
    </w:div>
    <w:div w:id="206842688">
      <w:bodyDiv w:val="1"/>
      <w:marLeft w:val="0"/>
      <w:marRight w:val="0"/>
      <w:marTop w:val="0"/>
      <w:marBottom w:val="0"/>
      <w:divBdr>
        <w:top w:val="none" w:sz="0" w:space="0" w:color="auto"/>
        <w:left w:val="none" w:sz="0" w:space="0" w:color="auto"/>
        <w:bottom w:val="none" w:sz="0" w:space="0" w:color="auto"/>
        <w:right w:val="none" w:sz="0" w:space="0" w:color="auto"/>
      </w:divBdr>
    </w:div>
    <w:div w:id="207037991">
      <w:bodyDiv w:val="1"/>
      <w:marLeft w:val="0"/>
      <w:marRight w:val="0"/>
      <w:marTop w:val="0"/>
      <w:marBottom w:val="0"/>
      <w:divBdr>
        <w:top w:val="none" w:sz="0" w:space="0" w:color="auto"/>
        <w:left w:val="none" w:sz="0" w:space="0" w:color="auto"/>
        <w:bottom w:val="none" w:sz="0" w:space="0" w:color="auto"/>
        <w:right w:val="none" w:sz="0" w:space="0" w:color="auto"/>
      </w:divBdr>
    </w:div>
    <w:div w:id="207572790">
      <w:bodyDiv w:val="1"/>
      <w:marLeft w:val="0"/>
      <w:marRight w:val="0"/>
      <w:marTop w:val="0"/>
      <w:marBottom w:val="0"/>
      <w:divBdr>
        <w:top w:val="none" w:sz="0" w:space="0" w:color="auto"/>
        <w:left w:val="none" w:sz="0" w:space="0" w:color="auto"/>
        <w:bottom w:val="none" w:sz="0" w:space="0" w:color="auto"/>
        <w:right w:val="none" w:sz="0" w:space="0" w:color="auto"/>
      </w:divBdr>
    </w:div>
    <w:div w:id="212231304">
      <w:bodyDiv w:val="1"/>
      <w:marLeft w:val="0"/>
      <w:marRight w:val="0"/>
      <w:marTop w:val="0"/>
      <w:marBottom w:val="0"/>
      <w:divBdr>
        <w:top w:val="none" w:sz="0" w:space="0" w:color="auto"/>
        <w:left w:val="none" w:sz="0" w:space="0" w:color="auto"/>
        <w:bottom w:val="none" w:sz="0" w:space="0" w:color="auto"/>
        <w:right w:val="none" w:sz="0" w:space="0" w:color="auto"/>
      </w:divBdr>
    </w:div>
    <w:div w:id="229275479">
      <w:bodyDiv w:val="1"/>
      <w:marLeft w:val="0"/>
      <w:marRight w:val="0"/>
      <w:marTop w:val="0"/>
      <w:marBottom w:val="0"/>
      <w:divBdr>
        <w:top w:val="none" w:sz="0" w:space="0" w:color="auto"/>
        <w:left w:val="none" w:sz="0" w:space="0" w:color="auto"/>
        <w:bottom w:val="none" w:sz="0" w:space="0" w:color="auto"/>
        <w:right w:val="none" w:sz="0" w:space="0" w:color="auto"/>
      </w:divBdr>
    </w:div>
    <w:div w:id="235088251">
      <w:bodyDiv w:val="1"/>
      <w:marLeft w:val="0"/>
      <w:marRight w:val="0"/>
      <w:marTop w:val="0"/>
      <w:marBottom w:val="0"/>
      <w:divBdr>
        <w:top w:val="none" w:sz="0" w:space="0" w:color="auto"/>
        <w:left w:val="none" w:sz="0" w:space="0" w:color="auto"/>
        <w:bottom w:val="none" w:sz="0" w:space="0" w:color="auto"/>
        <w:right w:val="none" w:sz="0" w:space="0" w:color="auto"/>
      </w:divBdr>
    </w:div>
    <w:div w:id="237836086">
      <w:bodyDiv w:val="1"/>
      <w:marLeft w:val="0"/>
      <w:marRight w:val="0"/>
      <w:marTop w:val="0"/>
      <w:marBottom w:val="0"/>
      <w:divBdr>
        <w:top w:val="none" w:sz="0" w:space="0" w:color="auto"/>
        <w:left w:val="none" w:sz="0" w:space="0" w:color="auto"/>
        <w:bottom w:val="none" w:sz="0" w:space="0" w:color="auto"/>
        <w:right w:val="none" w:sz="0" w:space="0" w:color="auto"/>
      </w:divBdr>
    </w:div>
    <w:div w:id="240337663">
      <w:bodyDiv w:val="1"/>
      <w:marLeft w:val="0"/>
      <w:marRight w:val="0"/>
      <w:marTop w:val="0"/>
      <w:marBottom w:val="0"/>
      <w:divBdr>
        <w:top w:val="none" w:sz="0" w:space="0" w:color="auto"/>
        <w:left w:val="none" w:sz="0" w:space="0" w:color="auto"/>
        <w:bottom w:val="none" w:sz="0" w:space="0" w:color="auto"/>
        <w:right w:val="none" w:sz="0" w:space="0" w:color="auto"/>
      </w:divBdr>
    </w:div>
    <w:div w:id="240919239">
      <w:bodyDiv w:val="1"/>
      <w:marLeft w:val="0"/>
      <w:marRight w:val="0"/>
      <w:marTop w:val="0"/>
      <w:marBottom w:val="0"/>
      <w:divBdr>
        <w:top w:val="none" w:sz="0" w:space="0" w:color="auto"/>
        <w:left w:val="none" w:sz="0" w:space="0" w:color="auto"/>
        <w:bottom w:val="none" w:sz="0" w:space="0" w:color="auto"/>
        <w:right w:val="none" w:sz="0" w:space="0" w:color="auto"/>
      </w:divBdr>
    </w:div>
    <w:div w:id="242179152">
      <w:bodyDiv w:val="1"/>
      <w:marLeft w:val="0"/>
      <w:marRight w:val="0"/>
      <w:marTop w:val="0"/>
      <w:marBottom w:val="0"/>
      <w:divBdr>
        <w:top w:val="none" w:sz="0" w:space="0" w:color="auto"/>
        <w:left w:val="none" w:sz="0" w:space="0" w:color="auto"/>
        <w:bottom w:val="none" w:sz="0" w:space="0" w:color="auto"/>
        <w:right w:val="none" w:sz="0" w:space="0" w:color="auto"/>
      </w:divBdr>
    </w:div>
    <w:div w:id="247084501">
      <w:bodyDiv w:val="1"/>
      <w:marLeft w:val="0"/>
      <w:marRight w:val="0"/>
      <w:marTop w:val="0"/>
      <w:marBottom w:val="0"/>
      <w:divBdr>
        <w:top w:val="none" w:sz="0" w:space="0" w:color="auto"/>
        <w:left w:val="none" w:sz="0" w:space="0" w:color="auto"/>
        <w:bottom w:val="none" w:sz="0" w:space="0" w:color="auto"/>
        <w:right w:val="none" w:sz="0" w:space="0" w:color="auto"/>
      </w:divBdr>
    </w:div>
    <w:div w:id="253786784">
      <w:bodyDiv w:val="1"/>
      <w:marLeft w:val="0"/>
      <w:marRight w:val="0"/>
      <w:marTop w:val="0"/>
      <w:marBottom w:val="0"/>
      <w:divBdr>
        <w:top w:val="none" w:sz="0" w:space="0" w:color="auto"/>
        <w:left w:val="none" w:sz="0" w:space="0" w:color="auto"/>
        <w:bottom w:val="none" w:sz="0" w:space="0" w:color="auto"/>
        <w:right w:val="none" w:sz="0" w:space="0" w:color="auto"/>
      </w:divBdr>
    </w:div>
    <w:div w:id="257103194">
      <w:bodyDiv w:val="1"/>
      <w:marLeft w:val="0"/>
      <w:marRight w:val="0"/>
      <w:marTop w:val="0"/>
      <w:marBottom w:val="0"/>
      <w:divBdr>
        <w:top w:val="none" w:sz="0" w:space="0" w:color="auto"/>
        <w:left w:val="none" w:sz="0" w:space="0" w:color="auto"/>
        <w:bottom w:val="none" w:sz="0" w:space="0" w:color="auto"/>
        <w:right w:val="none" w:sz="0" w:space="0" w:color="auto"/>
      </w:divBdr>
    </w:div>
    <w:div w:id="257565147">
      <w:bodyDiv w:val="1"/>
      <w:marLeft w:val="0"/>
      <w:marRight w:val="0"/>
      <w:marTop w:val="0"/>
      <w:marBottom w:val="0"/>
      <w:divBdr>
        <w:top w:val="none" w:sz="0" w:space="0" w:color="auto"/>
        <w:left w:val="none" w:sz="0" w:space="0" w:color="auto"/>
        <w:bottom w:val="none" w:sz="0" w:space="0" w:color="auto"/>
        <w:right w:val="none" w:sz="0" w:space="0" w:color="auto"/>
      </w:divBdr>
    </w:div>
    <w:div w:id="263659358">
      <w:bodyDiv w:val="1"/>
      <w:marLeft w:val="0"/>
      <w:marRight w:val="0"/>
      <w:marTop w:val="0"/>
      <w:marBottom w:val="0"/>
      <w:divBdr>
        <w:top w:val="none" w:sz="0" w:space="0" w:color="auto"/>
        <w:left w:val="none" w:sz="0" w:space="0" w:color="auto"/>
        <w:bottom w:val="none" w:sz="0" w:space="0" w:color="auto"/>
        <w:right w:val="none" w:sz="0" w:space="0" w:color="auto"/>
      </w:divBdr>
    </w:div>
    <w:div w:id="267321575">
      <w:bodyDiv w:val="1"/>
      <w:marLeft w:val="0"/>
      <w:marRight w:val="0"/>
      <w:marTop w:val="0"/>
      <w:marBottom w:val="0"/>
      <w:divBdr>
        <w:top w:val="none" w:sz="0" w:space="0" w:color="auto"/>
        <w:left w:val="none" w:sz="0" w:space="0" w:color="auto"/>
        <w:bottom w:val="none" w:sz="0" w:space="0" w:color="auto"/>
        <w:right w:val="none" w:sz="0" w:space="0" w:color="auto"/>
      </w:divBdr>
    </w:div>
    <w:div w:id="270476999">
      <w:bodyDiv w:val="1"/>
      <w:marLeft w:val="0"/>
      <w:marRight w:val="0"/>
      <w:marTop w:val="0"/>
      <w:marBottom w:val="0"/>
      <w:divBdr>
        <w:top w:val="none" w:sz="0" w:space="0" w:color="auto"/>
        <w:left w:val="none" w:sz="0" w:space="0" w:color="auto"/>
        <w:bottom w:val="none" w:sz="0" w:space="0" w:color="auto"/>
        <w:right w:val="none" w:sz="0" w:space="0" w:color="auto"/>
      </w:divBdr>
    </w:div>
    <w:div w:id="270555308">
      <w:bodyDiv w:val="1"/>
      <w:marLeft w:val="0"/>
      <w:marRight w:val="0"/>
      <w:marTop w:val="0"/>
      <w:marBottom w:val="0"/>
      <w:divBdr>
        <w:top w:val="none" w:sz="0" w:space="0" w:color="auto"/>
        <w:left w:val="none" w:sz="0" w:space="0" w:color="auto"/>
        <w:bottom w:val="none" w:sz="0" w:space="0" w:color="auto"/>
        <w:right w:val="none" w:sz="0" w:space="0" w:color="auto"/>
      </w:divBdr>
    </w:div>
    <w:div w:id="272635648">
      <w:bodyDiv w:val="1"/>
      <w:marLeft w:val="0"/>
      <w:marRight w:val="0"/>
      <w:marTop w:val="0"/>
      <w:marBottom w:val="0"/>
      <w:divBdr>
        <w:top w:val="none" w:sz="0" w:space="0" w:color="auto"/>
        <w:left w:val="none" w:sz="0" w:space="0" w:color="auto"/>
        <w:bottom w:val="none" w:sz="0" w:space="0" w:color="auto"/>
        <w:right w:val="none" w:sz="0" w:space="0" w:color="auto"/>
      </w:divBdr>
    </w:div>
    <w:div w:id="280383234">
      <w:bodyDiv w:val="1"/>
      <w:marLeft w:val="0"/>
      <w:marRight w:val="0"/>
      <w:marTop w:val="0"/>
      <w:marBottom w:val="0"/>
      <w:divBdr>
        <w:top w:val="none" w:sz="0" w:space="0" w:color="auto"/>
        <w:left w:val="none" w:sz="0" w:space="0" w:color="auto"/>
        <w:bottom w:val="none" w:sz="0" w:space="0" w:color="auto"/>
        <w:right w:val="none" w:sz="0" w:space="0" w:color="auto"/>
      </w:divBdr>
    </w:div>
    <w:div w:id="283005477">
      <w:bodyDiv w:val="1"/>
      <w:marLeft w:val="0"/>
      <w:marRight w:val="0"/>
      <w:marTop w:val="0"/>
      <w:marBottom w:val="0"/>
      <w:divBdr>
        <w:top w:val="none" w:sz="0" w:space="0" w:color="auto"/>
        <w:left w:val="none" w:sz="0" w:space="0" w:color="auto"/>
        <w:bottom w:val="none" w:sz="0" w:space="0" w:color="auto"/>
        <w:right w:val="none" w:sz="0" w:space="0" w:color="auto"/>
      </w:divBdr>
    </w:div>
    <w:div w:id="285700121">
      <w:bodyDiv w:val="1"/>
      <w:marLeft w:val="0"/>
      <w:marRight w:val="0"/>
      <w:marTop w:val="0"/>
      <w:marBottom w:val="0"/>
      <w:divBdr>
        <w:top w:val="none" w:sz="0" w:space="0" w:color="auto"/>
        <w:left w:val="none" w:sz="0" w:space="0" w:color="auto"/>
        <w:bottom w:val="none" w:sz="0" w:space="0" w:color="auto"/>
        <w:right w:val="none" w:sz="0" w:space="0" w:color="auto"/>
      </w:divBdr>
    </w:div>
    <w:div w:id="288318644">
      <w:bodyDiv w:val="1"/>
      <w:marLeft w:val="0"/>
      <w:marRight w:val="0"/>
      <w:marTop w:val="0"/>
      <w:marBottom w:val="0"/>
      <w:divBdr>
        <w:top w:val="none" w:sz="0" w:space="0" w:color="auto"/>
        <w:left w:val="none" w:sz="0" w:space="0" w:color="auto"/>
        <w:bottom w:val="none" w:sz="0" w:space="0" w:color="auto"/>
        <w:right w:val="none" w:sz="0" w:space="0" w:color="auto"/>
      </w:divBdr>
    </w:div>
    <w:div w:id="291906921">
      <w:bodyDiv w:val="1"/>
      <w:marLeft w:val="0"/>
      <w:marRight w:val="0"/>
      <w:marTop w:val="0"/>
      <w:marBottom w:val="0"/>
      <w:divBdr>
        <w:top w:val="none" w:sz="0" w:space="0" w:color="auto"/>
        <w:left w:val="none" w:sz="0" w:space="0" w:color="auto"/>
        <w:bottom w:val="none" w:sz="0" w:space="0" w:color="auto"/>
        <w:right w:val="none" w:sz="0" w:space="0" w:color="auto"/>
      </w:divBdr>
    </w:div>
    <w:div w:id="304894500">
      <w:bodyDiv w:val="1"/>
      <w:marLeft w:val="0"/>
      <w:marRight w:val="0"/>
      <w:marTop w:val="0"/>
      <w:marBottom w:val="0"/>
      <w:divBdr>
        <w:top w:val="none" w:sz="0" w:space="0" w:color="auto"/>
        <w:left w:val="none" w:sz="0" w:space="0" w:color="auto"/>
        <w:bottom w:val="none" w:sz="0" w:space="0" w:color="auto"/>
        <w:right w:val="none" w:sz="0" w:space="0" w:color="auto"/>
      </w:divBdr>
    </w:div>
    <w:div w:id="305403227">
      <w:bodyDiv w:val="1"/>
      <w:marLeft w:val="0"/>
      <w:marRight w:val="0"/>
      <w:marTop w:val="0"/>
      <w:marBottom w:val="0"/>
      <w:divBdr>
        <w:top w:val="none" w:sz="0" w:space="0" w:color="auto"/>
        <w:left w:val="none" w:sz="0" w:space="0" w:color="auto"/>
        <w:bottom w:val="none" w:sz="0" w:space="0" w:color="auto"/>
        <w:right w:val="none" w:sz="0" w:space="0" w:color="auto"/>
      </w:divBdr>
    </w:div>
    <w:div w:id="315572452">
      <w:bodyDiv w:val="1"/>
      <w:marLeft w:val="0"/>
      <w:marRight w:val="0"/>
      <w:marTop w:val="0"/>
      <w:marBottom w:val="0"/>
      <w:divBdr>
        <w:top w:val="none" w:sz="0" w:space="0" w:color="auto"/>
        <w:left w:val="none" w:sz="0" w:space="0" w:color="auto"/>
        <w:bottom w:val="none" w:sz="0" w:space="0" w:color="auto"/>
        <w:right w:val="none" w:sz="0" w:space="0" w:color="auto"/>
      </w:divBdr>
    </w:div>
    <w:div w:id="322782620">
      <w:bodyDiv w:val="1"/>
      <w:marLeft w:val="0"/>
      <w:marRight w:val="0"/>
      <w:marTop w:val="0"/>
      <w:marBottom w:val="0"/>
      <w:divBdr>
        <w:top w:val="none" w:sz="0" w:space="0" w:color="auto"/>
        <w:left w:val="none" w:sz="0" w:space="0" w:color="auto"/>
        <w:bottom w:val="none" w:sz="0" w:space="0" w:color="auto"/>
        <w:right w:val="none" w:sz="0" w:space="0" w:color="auto"/>
      </w:divBdr>
    </w:div>
    <w:div w:id="324549291">
      <w:bodyDiv w:val="1"/>
      <w:marLeft w:val="0"/>
      <w:marRight w:val="0"/>
      <w:marTop w:val="0"/>
      <w:marBottom w:val="0"/>
      <w:divBdr>
        <w:top w:val="none" w:sz="0" w:space="0" w:color="auto"/>
        <w:left w:val="none" w:sz="0" w:space="0" w:color="auto"/>
        <w:bottom w:val="none" w:sz="0" w:space="0" w:color="auto"/>
        <w:right w:val="none" w:sz="0" w:space="0" w:color="auto"/>
      </w:divBdr>
    </w:div>
    <w:div w:id="325086598">
      <w:bodyDiv w:val="1"/>
      <w:marLeft w:val="0"/>
      <w:marRight w:val="0"/>
      <w:marTop w:val="0"/>
      <w:marBottom w:val="0"/>
      <w:divBdr>
        <w:top w:val="none" w:sz="0" w:space="0" w:color="auto"/>
        <w:left w:val="none" w:sz="0" w:space="0" w:color="auto"/>
        <w:bottom w:val="none" w:sz="0" w:space="0" w:color="auto"/>
        <w:right w:val="none" w:sz="0" w:space="0" w:color="auto"/>
      </w:divBdr>
    </w:div>
    <w:div w:id="328876159">
      <w:bodyDiv w:val="1"/>
      <w:marLeft w:val="0"/>
      <w:marRight w:val="0"/>
      <w:marTop w:val="0"/>
      <w:marBottom w:val="0"/>
      <w:divBdr>
        <w:top w:val="none" w:sz="0" w:space="0" w:color="auto"/>
        <w:left w:val="none" w:sz="0" w:space="0" w:color="auto"/>
        <w:bottom w:val="none" w:sz="0" w:space="0" w:color="auto"/>
        <w:right w:val="none" w:sz="0" w:space="0" w:color="auto"/>
      </w:divBdr>
    </w:div>
    <w:div w:id="332269413">
      <w:bodyDiv w:val="1"/>
      <w:marLeft w:val="0"/>
      <w:marRight w:val="0"/>
      <w:marTop w:val="0"/>
      <w:marBottom w:val="0"/>
      <w:divBdr>
        <w:top w:val="none" w:sz="0" w:space="0" w:color="auto"/>
        <w:left w:val="none" w:sz="0" w:space="0" w:color="auto"/>
        <w:bottom w:val="none" w:sz="0" w:space="0" w:color="auto"/>
        <w:right w:val="none" w:sz="0" w:space="0" w:color="auto"/>
      </w:divBdr>
    </w:div>
    <w:div w:id="332413784">
      <w:bodyDiv w:val="1"/>
      <w:marLeft w:val="0"/>
      <w:marRight w:val="0"/>
      <w:marTop w:val="0"/>
      <w:marBottom w:val="0"/>
      <w:divBdr>
        <w:top w:val="none" w:sz="0" w:space="0" w:color="auto"/>
        <w:left w:val="none" w:sz="0" w:space="0" w:color="auto"/>
        <w:bottom w:val="none" w:sz="0" w:space="0" w:color="auto"/>
        <w:right w:val="none" w:sz="0" w:space="0" w:color="auto"/>
      </w:divBdr>
    </w:div>
    <w:div w:id="340936085">
      <w:bodyDiv w:val="1"/>
      <w:marLeft w:val="0"/>
      <w:marRight w:val="0"/>
      <w:marTop w:val="0"/>
      <w:marBottom w:val="0"/>
      <w:divBdr>
        <w:top w:val="none" w:sz="0" w:space="0" w:color="auto"/>
        <w:left w:val="none" w:sz="0" w:space="0" w:color="auto"/>
        <w:bottom w:val="none" w:sz="0" w:space="0" w:color="auto"/>
        <w:right w:val="none" w:sz="0" w:space="0" w:color="auto"/>
      </w:divBdr>
    </w:div>
    <w:div w:id="349642189">
      <w:bodyDiv w:val="1"/>
      <w:marLeft w:val="0"/>
      <w:marRight w:val="0"/>
      <w:marTop w:val="0"/>
      <w:marBottom w:val="0"/>
      <w:divBdr>
        <w:top w:val="none" w:sz="0" w:space="0" w:color="auto"/>
        <w:left w:val="none" w:sz="0" w:space="0" w:color="auto"/>
        <w:bottom w:val="none" w:sz="0" w:space="0" w:color="auto"/>
        <w:right w:val="none" w:sz="0" w:space="0" w:color="auto"/>
      </w:divBdr>
    </w:div>
    <w:div w:id="350112609">
      <w:bodyDiv w:val="1"/>
      <w:marLeft w:val="0"/>
      <w:marRight w:val="0"/>
      <w:marTop w:val="0"/>
      <w:marBottom w:val="0"/>
      <w:divBdr>
        <w:top w:val="none" w:sz="0" w:space="0" w:color="auto"/>
        <w:left w:val="none" w:sz="0" w:space="0" w:color="auto"/>
        <w:bottom w:val="none" w:sz="0" w:space="0" w:color="auto"/>
        <w:right w:val="none" w:sz="0" w:space="0" w:color="auto"/>
      </w:divBdr>
    </w:div>
    <w:div w:id="362904409">
      <w:bodyDiv w:val="1"/>
      <w:marLeft w:val="0"/>
      <w:marRight w:val="0"/>
      <w:marTop w:val="0"/>
      <w:marBottom w:val="0"/>
      <w:divBdr>
        <w:top w:val="none" w:sz="0" w:space="0" w:color="auto"/>
        <w:left w:val="none" w:sz="0" w:space="0" w:color="auto"/>
        <w:bottom w:val="none" w:sz="0" w:space="0" w:color="auto"/>
        <w:right w:val="none" w:sz="0" w:space="0" w:color="auto"/>
      </w:divBdr>
    </w:div>
    <w:div w:id="363798028">
      <w:bodyDiv w:val="1"/>
      <w:marLeft w:val="0"/>
      <w:marRight w:val="0"/>
      <w:marTop w:val="0"/>
      <w:marBottom w:val="0"/>
      <w:divBdr>
        <w:top w:val="none" w:sz="0" w:space="0" w:color="auto"/>
        <w:left w:val="none" w:sz="0" w:space="0" w:color="auto"/>
        <w:bottom w:val="none" w:sz="0" w:space="0" w:color="auto"/>
        <w:right w:val="none" w:sz="0" w:space="0" w:color="auto"/>
      </w:divBdr>
    </w:div>
    <w:div w:id="368067140">
      <w:bodyDiv w:val="1"/>
      <w:marLeft w:val="0"/>
      <w:marRight w:val="0"/>
      <w:marTop w:val="0"/>
      <w:marBottom w:val="0"/>
      <w:divBdr>
        <w:top w:val="none" w:sz="0" w:space="0" w:color="auto"/>
        <w:left w:val="none" w:sz="0" w:space="0" w:color="auto"/>
        <w:bottom w:val="none" w:sz="0" w:space="0" w:color="auto"/>
        <w:right w:val="none" w:sz="0" w:space="0" w:color="auto"/>
      </w:divBdr>
    </w:div>
    <w:div w:id="371421218">
      <w:bodyDiv w:val="1"/>
      <w:marLeft w:val="0"/>
      <w:marRight w:val="0"/>
      <w:marTop w:val="0"/>
      <w:marBottom w:val="0"/>
      <w:divBdr>
        <w:top w:val="none" w:sz="0" w:space="0" w:color="auto"/>
        <w:left w:val="none" w:sz="0" w:space="0" w:color="auto"/>
        <w:bottom w:val="none" w:sz="0" w:space="0" w:color="auto"/>
        <w:right w:val="none" w:sz="0" w:space="0" w:color="auto"/>
      </w:divBdr>
    </w:div>
    <w:div w:id="374544960">
      <w:bodyDiv w:val="1"/>
      <w:marLeft w:val="0"/>
      <w:marRight w:val="0"/>
      <w:marTop w:val="0"/>
      <w:marBottom w:val="0"/>
      <w:divBdr>
        <w:top w:val="none" w:sz="0" w:space="0" w:color="auto"/>
        <w:left w:val="none" w:sz="0" w:space="0" w:color="auto"/>
        <w:bottom w:val="none" w:sz="0" w:space="0" w:color="auto"/>
        <w:right w:val="none" w:sz="0" w:space="0" w:color="auto"/>
      </w:divBdr>
    </w:div>
    <w:div w:id="379211129">
      <w:bodyDiv w:val="1"/>
      <w:marLeft w:val="0"/>
      <w:marRight w:val="0"/>
      <w:marTop w:val="0"/>
      <w:marBottom w:val="0"/>
      <w:divBdr>
        <w:top w:val="none" w:sz="0" w:space="0" w:color="auto"/>
        <w:left w:val="none" w:sz="0" w:space="0" w:color="auto"/>
        <w:bottom w:val="none" w:sz="0" w:space="0" w:color="auto"/>
        <w:right w:val="none" w:sz="0" w:space="0" w:color="auto"/>
      </w:divBdr>
    </w:div>
    <w:div w:id="381250687">
      <w:bodyDiv w:val="1"/>
      <w:marLeft w:val="0"/>
      <w:marRight w:val="0"/>
      <w:marTop w:val="0"/>
      <w:marBottom w:val="0"/>
      <w:divBdr>
        <w:top w:val="none" w:sz="0" w:space="0" w:color="auto"/>
        <w:left w:val="none" w:sz="0" w:space="0" w:color="auto"/>
        <w:bottom w:val="none" w:sz="0" w:space="0" w:color="auto"/>
        <w:right w:val="none" w:sz="0" w:space="0" w:color="auto"/>
      </w:divBdr>
    </w:div>
    <w:div w:id="385180770">
      <w:bodyDiv w:val="1"/>
      <w:marLeft w:val="0"/>
      <w:marRight w:val="0"/>
      <w:marTop w:val="0"/>
      <w:marBottom w:val="0"/>
      <w:divBdr>
        <w:top w:val="none" w:sz="0" w:space="0" w:color="auto"/>
        <w:left w:val="none" w:sz="0" w:space="0" w:color="auto"/>
        <w:bottom w:val="none" w:sz="0" w:space="0" w:color="auto"/>
        <w:right w:val="none" w:sz="0" w:space="0" w:color="auto"/>
      </w:divBdr>
    </w:div>
    <w:div w:id="389229478">
      <w:bodyDiv w:val="1"/>
      <w:marLeft w:val="0"/>
      <w:marRight w:val="0"/>
      <w:marTop w:val="0"/>
      <w:marBottom w:val="0"/>
      <w:divBdr>
        <w:top w:val="none" w:sz="0" w:space="0" w:color="auto"/>
        <w:left w:val="none" w:sz="0" w:space="0" w:color="auto"/>
        <w:bottom w:val="none" w:sz="0" w:space="0" w:color="auto"/>
        <w:right w:val="none" w:sz="0" w:space="0" w:color="auto"/>
      </w:divBdr>
    </w:div>
    <w:div w:id="391655001">
      <w:bodyDiv w:val="1"/>
      <w:marLeft w:val="0"/>
      <w:marRight w:val="0"/>
      <w:marTop w:val="0"/>
      <w:marBottom w:val="0"/>
      <w:divBdr>
        <w:top w:val="none" w:sz="0" w:space="0" w:color="auto"/>
        <w:left w:val="none" w:sz="0" w:space="0" w:color="auto"/>
        <w:bottom w:val="none" w:sz="0" w:space="0" w:color="auto"/>
        <w:right w:val="none" w:sz="0" w:space="0" w:color="auto"/>
      </w:divBdr>
    </w:div>
    <w:div w:id="396974433">
      <w:bodyDiv w:val="1"/>
      <w:marLeft w:val="0"/>
      <w:marRight w:val="0"/>
      <w:marTop w:val="0"/>
      <w:marBottom w:val="0"/>
      <w:divBdr>
        <w:top w:val="none" w:sz="0" w:space="0" w:color="auto"/>
        <w:left w:val="none" w:sz="0" w:space="0" w:color="auto"/>
        <w:bottom w:val="none" w:sz="0" w:space="0" w:color="auto"/>
        <w:right w:val="none" w:sz="0" w:space="0" w:color="auto"/>
      </w:divBdr>
    </w:div>
    <w:div w:id="397636655">
      <w:bodyDiv w:val="1"/>
      <w:marLeft w:val="0"/>
      <w:marRight w:val="0"/>
      <w:marTop w:val="0"/>
      <w:marBottom w:val="0"/>
      <w:divBdr>
        <w:top w:val="none" w:sz="0" w:space="0" w:color="auto"/>
        <w:left w:val="none" w:sz="0" w:space="0" w:color="auto"/>
        <w:bottom w:val="none" w:sz="0" w:space="0" w:color="auto"/>
        <w:right w:val="none" w:sz="0" w:space="0" w:color="auto"/>
      </w:divBdr>
    </w:div>
    <w:div w:id="400717723">
      <w:bodyDiv w:val="1"/>
      <w:marLeft w:val="0"/>
      <w:marRight w:val="0"/>
      <w:marTop w:val="0"/>
      <w:marBottom w:val="0"/>
      <w:divBdr>
        <w:top w:val="none" w:sz="0" w:space="0" w:color="auto"/>
        <w:left w:val="none" w:sz="0" w:space="0" w:color="auto"/>
        <w:bottom w:val="none" w:sz="0" w:space="0" w:color="auto"/>
        <w:right w:val="none" w:sz="0" w:space="0" w:color="auto"/>
      </w:divBdr>
    </w:div>
    <w:div w:id="401756287">
      <w:bodyDiv w:val="1"/>
      <w:marLeft w:val="0"/>
      <w:marRight w:val="0"/>
      <w:marTop w:val="0"/>
      <w:marBottom w:val="0"/>
      <w:divBdr>
        <w:top w:val="none" w:sz="0" w:space="0" w:color="auto"/>
        <w:left w:val="none" w:sz="0" w:space="0" w:color="auto"/>
        <w:bottom w:val="none" w:sz="0" w:space="0" w:color="auto"/>
        <w:right w:val="none" w:sz="0" w:space="0" w:color="auto"/>
      </w:divBdr>
    </w:div>
    <w:div w:id="402070565">
      <w:bodyDiv w:val="1"/>
      <w:marLeft w:val="0"/>
      <w:marRight w:val="0"/>
      <w:marTop w:val="0"/>
      <w:marBottom w:val="0"/>
      <w:divBdr>
        <w:top w:val="none" w:sz="0" w:space="0" w:color="auto"/>
        <w:left w:val="none" w:sz="0" w:space="0" w:color="auto"/>
        <w:bottom w:val="none" w:sz="0" w:space="0" w:color="auto"/>
        <w:right w:val="none" w:sz="0" w:space="0" w:color="auto"/>
      </w:divBdr>
    </w:div>
    <w:div w:id="406002321">
      <w:bodyDiv w:val="1"/>
      <w:marLeft w:val="0"/>
      <w:marRight w:val="0"/>
      <w:marTop w:val="0"/>
      <w:marBottom w:val="0"/>
      <w:divBdr>
        <w:top w:val="none" w:sz="0" w:space="0" w:color="auto"/>
        <w:left w:val="none" w:sz="0" w:space="0" w:color="auto"/>
        <w:bottom w:val="none" w:sz="0" w:space="0" w:color="auto"/>
        <w:right w:val="none" w:sz="0" w:space="0" w:color="auto"/>
      </w:divBdr>
    </w:div>
    <w:div w:id="413936212">
      <w:bodyDiv w:val="1"/>
      <w:marLeft w:val="0"/>
      <w:marRight w:val="0"/>
      <w:marTop w:val="0"/>
      <w:marBottom w:val="0"/>
      <w:divBdr>
        <w:top w:val="none" w:sz="0" w:space="0" w:color="auto"/>
        <w:left w:val="none" w:sz="0" w:space="0" w:color="auto"/>
        <w:bottom w:val="none" w:sz="0" w:space="0" w:color="auto"/>
        <w:right w:val="none" w:sz="0" w:space="0" w:color="auto"/>
      </w:divBdr>
    </w:div>
    <w:div w:id="418020304">
      <w:bodyDiv w:val="1"/>
      <w:marLeft w:val="0"/>
      <w:marRight w:val="0"/>
      <w:marTop w:val="0"/>
      <w:marBottom w:val="0"/>
      <w:divBdr>
        <w:top w:val="none" w:sz="0" w:space="0" w:color="auto"/>
        <w:left w:val="none" w:sz="0" w:space="0" w:color="auto"/>
        <w:bottom w:val="none" w:sz="0" w:space="0" w:color="auto"/>
        <w:right w:val="none" w:sz="0" w:space="0" w:color="auto"/>
      </w:divBdr>
    </w:div>
    <w:div w:id="430666025">
      <w:bodyDiv w:val="1"/>
      <w:marLeft w:val="0"/>
      <w:marRight w:val="0"/>
      <w:marTop w:val="0"/>
      <w:marBottom w:val="0"/>
      <w:divBdr>
        <w:top w:val="none" w:sz="0" w:space="0" w:color="auto"/>
        <w:left w:val="none" w:sz="0" w:space="0" w:color="auto"/>
        <w:bottom w:val="none" w:sz="0" w:space="0" w:color="auto"/>
        <w:right w:val="none" w:sz="0" w:space="0" w:color="auto"/>
      </w:divBdr>
    </w:div>
    <w:div w:id="436826915">
      <w:bodyDiv w:val="1"/>
      <w:marLeft w:val="0"/>
      <w:marRight w:val="0"/>
      <w:marTop w:val="0"/>
      <w:marBottom w:val="0"/>
      <w:divBdr>
        <w:top w:val="none" w:sz="0" w:space="0" w:color="auto"/>
        <w:left w:val="none" w:sz="0" w:space="0" w:color="auto"/>
        <w:bottom w:val="none" w:sz="0" w:space="0" w:color="auto"/>
        <w:right w:val="none" w:sz="0" w:space="0" w:color="auto"/>
      </w:divBdr>
    </w:div>
    <w:div w:id="438261471">
      <w:bodyDiv w:val="1"/>
      <w:marLeft w:val="0"/>
      <w:marRight w:val="0"/>
      <w:marTop w:val="0"/>
      <w:marBottom w:val="0"/>
      <w:divBdr>
        <w:top w:val="none" w:sz="0" w:space="0" w:color="auto"/>
        <w:left w:val="none" w:sz="0" w:space="0" w:color="auto"/>
        <w:bottom w:val="none" w:sz="0" w:space="0" w:color="auto"/>
        <w:right w:val="none" w:sz="0" w:space="0" w:color="auto"/>
      </w:divBdr>
    </w:div>
    <w:div w:id="439616282">
      <w:bodyDiv w:val="1"/>
      <w:marLeft w:val="0"/>
      <w:marRight w:val="0"/>
      <w:marTop w:val="0"/>
      <w:marBottom w:val="0"/>
      <w:divBdr>
        <w:top w:val="none" w:sz="0" w:space="0" w:color="auto"/>
        <w:left w:val="none" w:sz="0" w:space="0" w:color="auto"/>
        <w:bottom w:val="none" w:sz="0" w:space="0" w:color="auto"/>
        <w:right w:val="none" w:sz="0" w:space="0" w:color="auto"/>
      </w:divBdr>
    </w:div>
    <w:div w:id="446898953">
      <w:bodyDiv w:val="1"/>
      <w:marLeft w:val="0"/>
      <w:marRight w:val="0"/>
      <w:marTop w:val="0"/>
      <w:marBottom w:val="0"/>
      <w:divBdr>
        <w:top w:val="none" w:sz="0" w:space="0" w:color="auto"/>
        <w:left w:val="none" w:sz="0" w:space="0" w:color="auto"/>
        <w:bottom w:val="none" w:sz="0" w:space="0" w:color="auto"/>
        <w:right w:val="none" w:sz="0" w:space="0" w:color="auto"/>
      </w:divBdr>
    </w:div>
    <w:div w:id="457066679">
      <w:bodyDiv w:val="1"/>
      <w:marLeft w:val="0"/>
      <w:marRight w:val="0"/>
      <w:marTop w:val="0"/>
      <w:marBottom w:val="0"/>
      <w:divBdr>
        <w:top w:val="none" w:sz="0" w:space="0" w:color="auto"/>
        <w:left w:val="none" w:sz="0" w:space="0" w:color="auto"/>
        <w:bottom w:val="none" w:sz="0" w:space="0" w:color="auto"/>
        <w:right w:val="none" w:sz="0" w:space="0" w:color="auto"/>
      </w:divBdr>
    </w:div>
    <w:div w:id="457527339">
      <w:bodyDiv w:val="1"/>
      <w:marLeft w:val="0"/>
      <w:marRight w:val="0"/>
      <w:marTop w:val="0"/>
      <w:marBottom w:val="0"/>
      <w:divBdr>
        <w:top w:val="none" w:sz="0" w:space="0" w:color="auto"/>
        <w:left w:val="none" w:sz="0" w:space="0" w:color="auto"/>
        <w:bottom w:val="none" w:sz="0" w:space="0" w:color="auto"/>
        <w:right w:val="none" w:sz="0" w:space="0" w:color="auto"/>
      </w:divBdr>
    </w:div>
    <w:div w:id="458959676">
      <w:bodyDiv w:val="1"/>
      <w:marLeft w:val="0"/>
      <w:marRight w:val="0"/>
      <w:marTop w:val="0"/>
      <w:marBottom w:val="0"/>
      <w:divBdr>
        <w:top w:val="none" w:sz="0" w:space="0" w:color="auto"/>
        <w:left w:val="none" w:sz="0" w:space="0" w:color="auto"/>
        <w:bottom w:val="none" w:sz="0" w:space="0" w:color="auto"/>
        <w:right w:val="none" w:sz="0" w:space="0" w:color="auto"/>
      </w:divBdr>
    </w:div>
    <w:div w:id="463280816">
      <w:bodyDiv w:val="1"/>
      <w:marLeft w:val="0"/>
      <w:marRight w:val="0"/>
      <w:marTop w:val="0"/>
      <w:marBottom w:val="0"/>
      <w:divBdr>
        <w:top w:val="none" w:sz="0" w:space="0" w:color="auto"/>
        <w:left w:val="none" w:sz="0" w:space="0" w:color="auto"/>
        <w:bottom w:val="none" w:sz="0" w:space="0" w:color="auto"/>
        <w:right w:val="none" w:sz="0" w:space="0" w:color="auto"/>
      </w:divBdr>
    </w:div>
    <w:div w:id="470296434">
      <w:bodyDiv w:val="1"/>
      <w:marLeft w:val="0"/>
      <w:marRight w:val="0"/>
      <w:marTop w:val="0"/>
      <w:marBottom w:val="0"/>
      <w:divBdr>
        <w:top w:val="none" w:sz="0" w:space="0" w:color="auto"/>
        <w:left w:val="none" w:sz="0" w:space="0" w:color="auto"/>
        <w:bottom w:val="none" w:sz="0" w:space="0" w:color="auto"/>
        <w:right w:val="none" w:sz="0" w:space="0" w:color="auto"/>
      </w:divBdr>
    </w:div>
    <w:div w:id="471794237">
      <w:bodyDiv w:val="1"/>
      <w:marLeft w:val="0"/>
      <w:marRight w:val="0"/>
      <w:marTop w:val="0"/>
      <w:marBottom w:val="0"/>
      <w:divBdr>
        <w:top w:val="none" w:sz="0" w:space="0" w:color="auto"/>
        <w:left w:val="none" w:sz="0" w:space="0" w:color="auto"/>
        <w:bottom w:val="none" w:sz="0" w:space="0" w:color="auto"/>
        <w:right w:val="none" w:sz="0" w:space="0" w:color="auto"/>
      </w:divBdr>
    </w:div>
    <w:div w:id="472020497">
      <w:bodyDiv w:val="1"/>
      <w:marLeft w:val="0"/>
      <w:marRight w:val="0"/>
      <w:marTop w:val="0"/>
      <w:marBottom w:val="0"/>
      <w:divBdr>
        <w:top w:val="none" w:sz="0" w:space="0" w:color="auto"/>
        <w:left w:val="none" w:sz="0" w:space="0" w:color="auto"/>
        <w:bottom w:val="none" w:sz="0" w:space="0" w:color="auto"/>
        <w:right w:val="none" w:sz="0" w:space="0" w:color="auto"/>
      </w:divBdr>
    </w:div>
    <w:div w:id="473647062">
      <w:bodyDiv w:val="1"/>
      <w:marLeft w:val="0"/>
      <w:marRight w:val="0"/>
      <w:marTop w:val="0"/>
      <w:marBottom w:val="0"/>
      <w:divBdr>
        <w:top w:val="none" w:sz="0" w:space="0" w:color="auto"/>
        <w:left w:val="none" w:sz="0" w:space="0" w:color="auto"/>
        <w:bottom w:val="none" w:sz="0" w:space="0" w:color="auto"/>
        <w:right w:val="none" w:sz="0" w:space="0" w:color="auto"/>
      </w:divBdr>
    </w:div>
    <w:div w:id="474033992">
      <w:bodyDiv w:val="1"/>
      <w:marLeft w:val="0"/>
      <w:marRight w:val="0"/>
      <w:marTop w:val="0"/>
      <w:marBottom w:val="0"/>
      <w:divBdr>
        <w:top w:val="none" w:sz="0" w:space="0" w:color="auto"/>
        <w:left w:val="none" w:sz="0" w:space="0" w:color="auto"/>
        <w:bottom w:val="none" w:sz="0" w:space="0" w:color="auto"/>
        <w:right w:val="none" w:sz="0" w:space="0" w:color="auto"/>
      </w:divBdr>
    </w:div>
    <w:div w:id="474378275">
      <w:bodyDiv w:val="1"/>
      <w:marLeft w:val="0"/>
      <w:marRight w:val="0"/>
      <w:marTop w:val="0"/>
      <w:marBottom w:val="0"/>
      <w:divBdr>
        <w:top w:val="none" w:sz="0" w:space="0" w:color="auto"/>
        <w:left w:val="none" w:sz="0" w:space="0" w:color="auto"/>
        <w:bottom w:val="none" w:sz="0" w:space="0" w:color="auto"/>
        <w:right w:val="none" w:sz="0" w:space="0" w:color="auto"/>
      </w:divBdr>
    </w:div>
    <w:div w:id="476839964">
      <w:bodyDiv w:val="1"/>
      <w:marLeft w:val="0"/>
      <w:marRight w:val="0"/>
      <w:marTop w:val="0"/>
      <w:marBottom w:val="0"/>
      <w:divBdr>
        <w:top w:val="none" w:sz="0" w:space="0" w:color="auto"/>
        <w:left w:val="none" w:sz="0" w:space="0" w:color="auto"/>
        <w:bottom w:val="none" w:sz="0" w:space="0" w:color="auto"/>
        <w:right w:val="none" w:sz="0" w:space="0" w:color="auto"/>
      </w:divBdr>
    </w:div>
    <w:div w:id="477263396">
      <w:bodyDiv w:val="1"/>
      <w:marLeft w:val="0"/>
      <w:marRight w:val="0"/>
      <w:marTop w:val="0"/>
      <w:marBottom w:val="0"/>
      <w:divBdr>
        <w:top w:val="none" w:sz="0" w:space="0" w:color="auto"/>
        <w:left w:val="none" w:sz="0" w:space="0" w:color="auto"/>
        <w:bottom w:val="none" w:sz="0" w:space="0" w:color="auto"/>
        <w:right w:val="none" w:sz="0" w:space="0" w:color="auto"/>
      </w:divBdr>
    </w:div>
    <w:div w:id="480777283">
      <w:bodyDiv w:val="1"/>
      <w:marLeft w:val="0"/>
      <w:marRight w:val="0"/>
      <w:marTop w:val="0"/>
      <w:marBottom w:val="0"/>
      <w:divBdr>
        <w:top w:val="none" w:sz="0" w:space="0" w:color="auto"/>
        <w:left w:val="none" w:sz="0" w:space="0" w:color="auto"/>
        <w:bottom w:val="none" w:sz="0" w:space="0" w:color="auto"/>
        <w:right w:val="none" w:sz="0" w:space="0" w:color="auto"/>
      </w:divBdr>
    </w:div>
    <w:div w:id="484513048">
      <w:bodyDiv w:val="1"/>
      <w:marLeft w:val="0"/>
      <w:marRight w:val="0"/>
      <w:marTop w:val="0"/>
      <w:marBottom w:val="0"/>
      <w:divBdr>
        <w:top w:val="none" w:sz="0" w:space="0" w:color="auto"/>
        <w:left w:val="none" w:sz="0" w:space="0" w:color="auto"/>
        <w:bottom w:val="none" w:sz="0" w:space="0" w:color="auto"/>
        <w:right w:val="none" w:sz="0" w:space="0" w:color="auto"/>
      </w:divBdr>
    </w:div>
    <w:div w:id="484780904">
      <w:bodyDiv w:val="1"/>
      <w:marLeft w:val="0"/>
      <w:marRight w:val="0"/>
      <w:marTop w:val="0"/>
      <w:marBottom w:val="0"/>
      <w:divBdr>
        <w:top w:val="none" w:sz="0" w:space="0" w:color="auto"/>
        <w:left w:val="none" w:sz="0" w:space="0" w:color="auto"/>
        <w:bottom w:val="none" w:sz="0" w:space="0" w:color="auto"/>
        <w:right w:val="none" w:sz="0" w:space="0" w:color="auto"/>
      </w:divBdr>
    </w:div>
    <w:div w:id="494151958">
      <w:bodyDiv w:val="1"/>
      <w:marLeft w:val="0"/>
      <w:marRight w:val="0"/>
      <w:marTop w:val="0"/>
      <w:marBottom w:val="0"/>
      <w:divBdr>
        <w:top w:val="none" w:sz="0" w:space="0" w:color="auto"/>
        <w:left w:val="none" w:sz="0" w:space="0" w:color="auto"/>
        <w:bottom w:val="none" w:sz="0" w:space="0" w:color="auto"/>
        <w:right w:val="none" w:sz="0" w:space="0" w:color="auto"/>
      </w:divBdr>
    </w:div>
    <w:div w:id="496381093">
      <w:bodyDiv w:val="1"/>
      <w:marLeft w:val="0"/>
      <w:marRight w:val="0"/>
      <w:marTop w:val="0"/>
      <w:marBottom w:val="0"/>
      <w:divBdr>
        <w:top w:val="none" w:sz="0" w:space="0" w:color="auto"/>
        <w:left w:val="none" w:sz="0" w:space="0" w:color="auto"/>
        <w:bottom w:val="none" w:sz="0" w:space="0" w:color="auto"/>
        <w:right w:val="none" w:sz="0" w:space="0" w:color="auto"/>
      </w:divBdr>
    </w:div>
    <w:div w:id="503129881">
      <w:bodyDiv w:val="1"/>
      <w:marLeft w:val="0"/>
      <w:marRight w:val="0"/>
      <w:marTop w:val="0"/>
      <w:marBottom w:val="0"/>
      <w:divBdr>
        <w:top w:val="none" w:sz="0" w:space="0" w:color="auto"/>
        <w:left w:val="none" w:sz="0" w:space="0" w:color="auto"/>
        <w:bottom w:val="none" w:sz="0" w:space="0" w:color="auto"/>
        <w:right w:val="none" w:sz="0" w:space="0" w:color="auto"/>
      </w:divBdr>
    </w:div>
    <w:div w:id="505176246">
      <w:bodyDiv w:val="1"/>
      <w:marLeft w:val="0"/>
      <w:marRight w:val="0"/>
      <w:marTop w:val="0"/>
      <w:marBottom w:val="0"/>
      <w:divBdr>
        <w:top w:val="none" w:sz="0" w:space="0" w:color="auto"/>
        <w:left w:val="none" w:sz="0" w:space="0" w:color="auto"/>
        <w:bottom w:val="none" w:sz="0" w:space="0" w:color="auto"/>
        <w:right w:val="none" w:sz="0" w:space="0" w:color="auto"/>
      </w:divBdr>
    </w:div>
    <w:div w:id="506217193">
      <w:bodyDiv w:val="1"/>
      <w:marLeft w:val="0"/>
      <w:marRight w:val="0"/>
      <w:marTop w:val="0"/>
      <w:marBottom w:val="0"/>
      <w:divBdr>
        <w:top w:val="none" w:sz="0" w:space="0" w:color="auto"/>
        <w:left w:val="none" w:sz="0" w:space="0" w:color="auto"/>
        <w:bottom w:val="none" w:sz="0" w:space="0" w:color="auto"/>
        <w:right w:val="none" w:sz="0" w:space="0" w:color="auto"/>
      </w:divBdr>
    </w:div>
    <w:div w:id="507796569">
      <w:bodyDiv w:val="1"/>
      <w:marLeft w:val="0"/>
      <w:marRight w:val="0"/>
      <w:marTop w:val="0"/>
      <w:marBottom w:val="0"/>
      <w:divBdr>
        <w:top w:val="none" w:sz="0" w:space="0" w:color="auto"/>
        <w:left w:val="none" w:sz="0" w:space="0" w:color="auto"/>
        <w:bottom w:val="none" w:sz="0" w:space="0" w:color="auto"/>
        <w:right w:val="none" w:sz="0" w:space="0" w:color="auto"/>
      </w:divBdr>
    </w:div>
    <w:div w:id="513155036">
      <w:bodyDiv w:val="1"/>
      <w:marLeft w:val="0"/>
      <w:marRight w:val="0"/>
      <w:marTop w:val="0"/>
      <w:marBottom w:val="0"/>
      <w:divBdr>
        <w:top w:val="none" w:sz="0" w:space="0" w:color="auto"/>
        <w:left w:val="none" w:sz="0" w:space="0" w:color="auto"/>
        <w:bottom w:val="none" w:sz="0" w:space="0" w:color="auto"/>
        <w:right w:val="none" w:sz="0" w:space="0" w:color="auto"/>
      </w:divBdr>
    </w:div>
    <w:div w:id="513420621">
      <w:bodyDiv w:val="1"/>
      <w:marLeft w:val="0"/>
      <w:marRight w:val="0"/>
      <w:marTop w:val="0"/>
      <w:marBottom w:val="0"/>
      <w:divBdr>
        <w:top w:val="none" w:sz="0" w:space="0" w:color="auto"/>
        <w:left w:val="none" w:sz="0" w:space="0" w:color="auto"/>
        <w:bottom w:val="none" w:sz="0" w:space="0" w:color="auto"/>
        <w:right w:val="none" w:sz="0" w:space="0" w:color="auto"/>
      </w:divBdr>
    </w:div>
    <w:div w:id="524906213">
      <w:bodyDiv w:val="1"/>
      <w:marLeft w:val="0"/>
      <w:marRight w:val="0"/>
      <w:marTop w:val="0"/>
      <w:marBottom w:val="0"/>
      <w:divBdr>
        <w:top w:val="none" w:sz="0" w:space="0" w:color="auto"/>
        <w:left w:val="none" w:sz="0" w:space="0" w:color="auto"/>
        <w:bottom w:val="none" w:sz="0" w:space="0" w:color="auto"/>
        <w:right w:val="none" w:sz="0" w:space="0" w:color="auto"/>
      </w:divBdr>
    </w:div>
    <w:div w:id="528027532">
      <w:bodyDiv w:val="1"/>
      <w:marLeft w:val="0"/>
      <w:marRight w:val="0"/>
      <w:marTop w:val="0"/>
      <w:marBottom w:val="0"/>
      <w:divBdr>
        <w:top w:val="none" w:sz="0" w:space="0" w:color="auto"/>
        <w:left w:val="none" w:sz="0" w:space="0" w:color="auto"/>
        <w:bottom w:val="none" w:sz="0" w:space="0" w:color="auto"/>
        <w:right w:val="none" w:sz="0" w:space="0" w:color="auto"/>
      </w:divBdr>
    </w:div>
    <w:div w:id="528761028">
      <w:bodyDiv w:val="1"/>
      <w:marLeft w:val="0"/>
      <w:marRight w:val="0"/>
      <w:marTop w:val="0"/>
      <w:marBottom w:val="0"/>
      <w:divBdr>
        <w:top w:val="none" w:sz="0" w:space="0" w:color="auto"/>
        <w:left w:val="none" w:sz="0" w:space="0" w:color="auto"/>
        <w:bottom w:val="none" w:sz="0" w:space="0" w:color="auto"/>
        <w:right w:val="none" w:sz="0" w:space="0" w:color="auto"/>
      </w:divBdr>
    </w:div>
    <w:div w:id="534730548">
      <w:bodyDiv w:val="1"/>
      <w:marLeft w:val="0"/>
      <w:marRight w:val="0"/>
      <w:marTop w:val="0"/>
      <w:marBottom w:val="0"/>
      <w:divBdr>
        <w:top w:val="none" w:sz="0" w:space="0" w:color="auto"/>
        <w:left w:val="none" w:sz="0" w:space="0" w:color="auto"/>
        <w:bottom w:val="none" w:sz="0" w:space="0" w:color="auto"/>
        <w:right w:val="none" w:sz="0" w:space="0" w:color="auto"/>
      </w:divBdr>
    </w:div>
    <w:div w:id="537282065">
      <w:bodyDiv w:val="1"/>
      <w:marLeft w:val="0"/>
      <w:marRight w:val="0"/>
      <w:marTop w:val="0"/>
      <w:marBottom w:val="0"/>
      <w:divBdr>
        <w:top w:val="none" w:sz="0" w:space="0" w:color="auto"/>
        <w:left w:val="none" w:sz="0" w:space="0" w:color="auto"/>
        <w:bottom w:val="none" w:sz="0" w:space="0" w:color="auto"/>
        <w:right w:val="none" w:sz="0" w:space="0" w:color="auto"/>
      </w:divBdr>
    </w:div>
    <w:div w:id="538401007">
      <w:bodyDiv w:val="1"/>
      <w:marLeft w:val="0"/>
      <w:marRight w:val="0"/>
      <w:marTop w:val="0"/>
      <w:marBottom w:val="0"/>
      <w:divBdr>
        <w:top w:val="none" w:sz="0" w:space="0" w:color="auto"/>
        <w:left w:val="none" w:sz="0" w:space="0" w:color="auto"/>
        <w:bottom w:val="none" w:sz="0" w:space="0" w:color="auto"/>
        <w:right w:val="none" w:sz="0" w:space="0" w:color="auto"/>
      </w:divBdr>
    </w:div>
    <w:div w:id="538973356">
      <w:bodyDiv w:val="1"/>
      <w:marLeft w:val="0"/>
      <w:marRight w:val="0"/>
      <w:marTop w:val="0"/>
      <w:marBottom w:val="0"/>
      <w:divBdr>
        <w:top w:val="none" w:sz="0" w:space="0" w:color="auto"/>
        <w:left w:val="none" w:sz="0" w:space="0" w:color="auto"/>
        <w:bottom w:val="none" w:sz="0" w:space="0" w:color="auto"/>
        <w:right w:val="none" w:sz="0" w:space="0" w:color="auto"/>
      </w:divBdr>
    </w:div>
    <w:div w:id="543248140">
      <w:bodyDiv w:val="1"/>
      <w:marLeft w:val="0"/>
      <w:marRight w:val="0"/>
      <w:marTop w:val="0"/>
      <w:marBottom w:val="0"/>
      <w:divBdr>
        <w:top w:val="none" w:sz="0" w:space="0" w:color="auto"/>
        <w:left w:val="none" w:sz="0" w:space="0" w:color="auto"/>
        <w:bottom w:val="none" w:sz="0" w:space="0" w:color="auto"/>
        <w:right w:val="none" w:sz="0" w:space="0" w:color="auto"/>
      </w:divBdr>
    </w:div>
    <w:div w:id="543324606">
      <w:bodyDiv w:val="1"/>
      <w:marLeft w:val="0"/>
      <w:marRight w:val="0"/>
      <w:marTop w:val="0"/>
      <w:marBottom w:val="0"/>
      <w:divBdr>
        <w:top w:val="none" w:sz="0" w:space="0" w:color="auto"/>
        <w:left w:val="none" w:sz="0" w:space="0" w:color="auto"/>
        <w:bottom w:val="none" w:sz="0" w:space="0" w:color="auto"/>
        <w:right w:val="none" w:sz="0" w:space="0" w:color="auto"/>
      </w:divBdr>
    </w:div>
    <w:div w:id="547913102">
      <w:bodyDiv w:val="1"/>
      <w:marLeft w:val="0"/>
      <w:marRight w:val="0"/>
      <w:marTop w:val="0"/>
      <w:marBottom w:val="0"/>
      <w:divBdr>
        <w:top w:val="none" w:sz="0" w:space="0" w:color="auto"/>
        <w:left w:val="none" w:sz="0" w:space="0" w:color="auto"/>
        <w:bottom w:val="none" w:sz="0" w:space="0" w:color="auto"/>
        <w:right w:val="none" w:sz="0" w:space="0" w:color="auto"/>
      </w:divBdr>
    </w:div>
    <w:div w:id="548029449">
      <w:bodyDiv w:val="1"/>
      <w:marLeft w:val="0"/>
      <w:marRight w:val="0"/>
      <w:marTop w:val="0"/>
      <w:marBottom w:val="0"/>
      <w:divBdr>
        <w:top w:val="none" w:sz="0" w:space="0" w:color="auto"/>
        <w:left w:val="none" w:sz="0" w:space="0" w:color="auto"/>
        <w:bottom w:val="none" w:sz="0" w:space="0" w:color="auto"/>
        <w:right w:val="none" w:sz="0" w:space="0" w:color="auto"/>
      </w:divBdr>
    </w:div>
    <w:div w:id="549536216">
      <w:bodyDiv w:val="1"/>
      <w:marLeft w:val="0"/>
      <w:marRight w:val="0"/>
      <w:marTop w:val="0"/>
      <w:marBottom w:val="0"/>
      <w:divBdr>
        <w:top w:val="none" w:sz="0" w:space="0" w:color="auto"/>
        <w:left w:val="none" w:sz="0" w:space="0" w:color="auto"/>
        <w:bottom w:val="none" w:sz="0" w:space="0" w:color="auto"/>
        <w:right w:val="none" w:sz="0" w:space="0" w:color="auto"/>
      </w:divBdr>
    </w:div>
    <w:div w:id="562299597">
      <w:bodyDiv w:val="1"/>
      <w:marLeft w:val="0"/>
      <w:marRight w:val="0"/>
      <w:marTop w:val="0"/>
      <w:marBottom w:val="0"/>
      <w:divBdr>
        <w:top w:val="none" w:sz="0" w:space="0" w:color="auto"/>
        <w:left w:val="none" w:sz="0" w:space="0" w:color="auto"/>
        <w:bottom w:val="none" w:sz="0" w:space="0" w:color="auto"/>
        <w:right w:val="none" w:sz="0" w:space="0" w:color="auto"/>
      </w:divBdr>
    </w:div>
    <w:div w:id="563296530">
      <w:bodyDiv w:val="1"/>
      <w:marLeft w:val="0"/>
      <w:marRight w:val="0"/>
      <w:marTop w:val="0"/>
      <w:marBottom w:val="0"/>
      <w:divBdr>
        <w:top w:val="none" w:sz="0" w:space="0" w:color="auto"/>
        <w:left w:val="none" w:sz="0" w:space="0" w:color="auto"/>
        <w:bottom w:val="none" w:sz="0" w:space="0" w:color="auto"/>
        <w:right w:val="none" w:sz="0" w:space="0" w:color="auto"/>
      </w:divBdr>
    </w:div>
    <w:div w:id="570191391">
      <w:bodyDiv w:val="1"/>
      <w:marLeft w:val="0"/>
      <w:marRight w:val="0"/>
      <w:marTop w:val="0"/>
      <w:marBottom w:val="0"/>
      <w:divBdr>
        <w:top w:val="none" w:sz="0" w:space="0" w:color="auto"/>
        <w:left w:val="none" w:sz="0" w:space="0" w:color="auto"/>
        <w:bottom w:val="none" w:sz="0" w:space="0" w:color="auto"/>
        <w:right w:val="none" w:sz="0" w:space="0" w:color="auto"/>
      </w:divBdr>
    </w:div>
    <w:div w:id="577978432">
      <w:bodyDiv w:val="1"/>
      <w:marLeft w:val="0"/>
      <w:marRight w:val="0"/>
      <w:marTop w:val="0"/>
      <w:marBottom w:val="0"/>
      <w:divBdr>
        <w:top w:val="none" w:sz="0" w:space="0" w:color="auto"/>
        <w:left w:val="none" w:sz="0" w:space="0" w:color="auto"/>
        <w:bottom w:val="none" w:sz="0" w:space="0" w:color="auto"/>
        <w:right w:val="none" w:sz="0" w:space="0" w:color="auto"/>
      </w:divBdr>
    </w:div>
    <w:div w:id="579680707">
      <w:bodyDiv w:val="1"/>
      <w:marLeft w:val="0"/>
      <w:marRight w:val="0"/>
      <w:marTop w:val="0"/>
      <w:marBottom w:val="0"/>
      <w:divBdr>
        <w:top w:val="none" w:sz="0" w:space="0" w:color="auto"/>
        <w:left w:val="none" w:sz="0" w:space="0" w:color="auto"/>
        <w:bottom w:val="none" w:sz="0" w:space="0" w:color="auto"/>
        <w:right w:val="none" w:sz="0" w:space="0" w:color="auto"/>
      </w:divBdr>
    </w:div>
    <w:div w:id="583683719">
      <w:bodyDiv w:val="1"/>
      <w:marLeft w:val="0"/>
      <w:marRight w:val="0"/>
      <w:marTop w:val="0"/>
      <w:marBottom w:val="0"/>
      <w:divBdr>
        <w:top w:val="none" w:sz="0" w:space="0" w:color="auto"/>
        <w:left w:val="none" w:sz="0" w:space="0" w:color="auto"/>
        <w:bottom w:val="none" w:sz="0" w:space="0" w:color="auto"/>
        <w:right w:val="none" w:sz="0" w:space="0" w:color="auto"/>
      </w:divBdr>
    </w:div>
    <w:div w:id="586496792">
      <w:bodyDiv w:val="1"/>
      <w:marLeft w:val="0"/>
      <w:marRight w:val="0"/>
      <w:marTop w:val="0"/>
      <w:marBottom w:val="0"/>
      <w:divBdr>
        <w:top w:val="none" w:sz="0" w:space="0" w:color="auto"/>
        <w:left w:val="none" w:sz="0" w:space="0" w:color="auto"/>
        <w:bottom w:val="none" w:sz="0" w:space="0" w:color="auto"/>
        <w:right w:val="none" w:sz="0" w:space="0" w:color="auto"/>
      </w:divBdr>
    </w:div>
    <w:div w:id="591012956">
      <w:bodyDiv w:val="1"/>
      <w:marLeft w:val="0"/>
      <w:marRight w:val="0"/>
      <w:marTop w:val="0"/>
      <w:marBottom w:val="0"/>
      <w:divBdr>
        <w:top w:val="none" w:sz="0" w:space="0" w:color="auto"/>
        <w:left w:val="none" w:sz="0" w:space="0" w:color="auto"/>
        <w:bottom w:val="none" w:sz="0" w:space="0" w:color="auto"/>
        <w:right w:val="none" w:sz="0" w:space="0" w:color="auto"/>
      </w:divBdr>
    </w:div>
    <w:div w:id="596137761">
      <w:bodyDiv w:val="1"/>
      <w:marLeft w:val="0"/>
      <w:marRight w:val="0"/>
      <w:marTop w:val="0"/>
      <w:marBottom w:val="0"/>
      <w:divBdr>
        <w:top w:val="none" w:sz="0" w:space="0" w:color="auto"/>
        <w:left w:val="none" w:sz="0" w:space="0" w:color="auto"/>
        <w:bottom w:val="none" w:sz="0" w:space="0" w:color="auto"/>
        <w:right w:val="none" w:sz="0" w:space="0" w:color="auto"/>
      </w:divBdr>
    </w:div>
    <w:div w:id="596329255">
      <w:bodyDiv w:val="1"/>
      <w:marLeft w:val="0"/>
      <w:marRight w:val="0"/>
      <w:marTop w:val="0"/>
      <w:marBottom w:val="0"/>
      <w:divBdr>
        <w:top w:val="none" w:sz="0" w:space="0" w:color="auto"/>
        <w:left w:val="none" w:sz="0" w:space="0" w:color="auto"/>
        <w:bottom w:val="none" w:sz="0" w:space="0" w:color="auto"/>
        <w:right w:val="none" w:sz="0" w:space="0" w:color="auto"/>
      </w:divBdr>
    </w:div>
    <w:div w:id="596447484">
      <w:bodyDiv w:val="1"/>
      <w:marLeft w:val="0"/>
      <w:marRight w:val="0"/>
      <w:marTop w:val="0"/>
      <w:marBottom w:val="0"/>
      <w:divBdr>
        <w:top w:val="none" w:sz="0" w:space="0" w:color="auto"/>
        <w:left w:val="none" w:sz="0" w:space="0" w:color="auto"/>
        <w:bottom w:val="none" w:sz="0" w:space="0" w:color="auto"/>
        <w:right w:val="none" w:sz="0" w:space="0" w:color="auto"/>
      </w:divBdr>
    </w:div>
    <w:div w:id="599292872">
      <w:bodyDiv w:val="1"/>
      <w:marLeft w:val="0"/>
      <w:marRight w:val="0"/>
      <w:marTop w:val="0"/>
      <w:marBottom w:val="0"/>
      <w:divBdr>
        <w:top w:val="none" w:sz="0" w:space="0" w:color="auto"/>
        <w:left w:val="none" w:sz="0" w:space="0" w:color="auto"/>
        <w:bottom w:val="none" w:sz="0" w:space="0" w:color="auto"/>
        <w:right w:val="none" w:sz="0" w:space="0" w:color="auto"/>
      </w:divBdr>
    </w:div>
    <w:div w:id="606501385">
      <w:bodyDiv w:val="1"/>
      <w:marLeft w:val="0"/>
      <w:marRight w:val="0"/>
      <w:marTop w:val="0"/>
      <w:marBottom w:val="0"/>
      <w:divBdr>
        <w:top w:val="none" w:sz="0" w:space="0" w:color="auto"/>
        <w:left w:val="none" w:sz="0" w:space="0" w:color="auto"/>
        <w:bottom w:val="none" w:sz="0" w:space="0" w:color="auto"/>
        <w:right w:val="none" w:sz="0" w:space="0" w:color="auto"/>
      </w:divBdr>
    </w:div>
    <w:div w:id="615528493">
      <w:bodyDiv w:val="1"/>
      <w:marLeft w:val="0"/>
      <w:marRight w:val="0"/>
      <w:marTop w:val="0"/>
      <w:marBottom w:val="0"/>
      <w:divBdr>
        <w:top w:val="none" w:sz="0" w:space="0" w:color="auto"/>
        <w:left w:val="none" w:sz="0" w:space="0" w:color="auto"/>
        <w:bottom w:val="none" w:sz="0" w:space="0" w:color="auto"/>
        <w:right w:val="none" w:sz="0" w:space="0" w:color="auto"/>
      </w:divBdr>
    </w:div>
    <w:div w:id="626351675">
      <w:bodyDiv w:val="1"/>
      <w:marLeft w:val="0"/>
      <w:marRight w:val="0"/>
      <w:marTop w:val="0"/>
      <w:marBottom w:val="0"/>
      <w:divBdr>
        <w:top w:val="none" w:sz="0" w:space="0" w:color="auto"/>
        <w:left w:val="none" w:sz="0" w:space="0" w:color="auto"/>
        <w:bottom w:val="none" w:sz="0" w:space="0" w:color="auto"/>
        <w:right w:val="none" w:sz="0" w:space="0" w:color="auto"/>
      </w:divBdr>
    </w:div>
    <w:div w:id="627785151">
      <w:bodyDiv w:val="1"/>
      <w:marLeft w:val="0"/>
      <w:marRight w:val="0"/>
      <w:marTop w:val="0"/>
      <w:marBottom w:val="0"/>
      <w:divBdr>
        <w:top w:val="none" w:sz="0" w:space="0" w:color="auto"/>
        <w:left w:val="none" w:sz="0" w:space="0" w:color="auto"/>
        <w:bottom w:val="none" w:sz="0" w:space="0" w:color="auto"/>
        <w:right w:val="none" w:sz="0" w:space="0" w:color="auto"/>
      </w:divBdr>
    </w:div>
    <w:div w:id="636682885">
      <w:bodyDiv w:val="1"/>
      <w:marLeft w:val="0"/>
      <w:marRight w:val="0"/>
      <w:marTop w:val="0"/>
      <w:marBottom w:val="0"/>
      <w:divBdr>
        <w:top w:val="none" w:sz="0" w:space="0" w:color="auto"/>
        <w:left w:val="none" w:sz="0" w:space="0" w:color="auto"/>
        <w:bottom w:val="none" w:sz="0" w:space="0" w:color="auto"/>
        <w:right w:val="none" w:sz="0" w:space="0" w:color="auto"/>
      </w:divBdr>
    </w:div>
    <w:div w:id="645549641">
      <w:bodyDiv w:val="1"/>
      <w:marLeft w:val="0"/>
      <w:marRight w:val="0"/>
      <w:marTop w:val="0"/>
      <w:marBottom w:val="0"/>
      <w:divBdr>
        <w:top w:val="none" w:sz="0" w:space="0" w:color="auto"/>
        <w:left w:val="none" w:sz="0" w:space="0" w:color="auto"/>
        <w:bottom w:val="none" w:sz="0" w:space="0" w:color="auto"/>
        <w:right w:val="none" w:sz="0" w:space="0" w:color="auto"/>
      </w:divBdr>
    </w:div>
    <w:div w:id="647562888">
      <w:bodyDiv w:val="1"/>
      <w:marLeft w:val="0"/>
      <w:marRight w:val="0"/>
      <w:marTop w:val="0"/>
      <w:marBottom w:val="0"/>
      <w:divBdr>
        <w:top w:val="none" w:sz="0" w:space="0" w:color="auto"/>
        <w:left w:val="none" w:sz="0" w:space="0" w:color="auto"/>
        <w:bottom w:val="none" w:sz="0" w:space="0" w:color="auto"/>
        <w:right w:val="none" w:sz="0" w:space="0" w:color="auto"/>
      </w:divBdr>
    </w:div>
    <w:div w:id="652946907">
      <w:bodyDiv w:val="1"/>
      <w:marLeft w:val="0"/>
      <w:marRight w:val="0"/>
      <w:marTop w:val="0"/>
      <w:marBottom w:val="0"/>
      <w:divBdr>
        <w:top w:val="none" w:sz="0" w:space="0" w:color="auto"/>
        <w:left w:val="none" w:sz="0" w:space="0" w:color="auto"/>
        <w:bottom w:val="none" w:sz="0" w:space="0" w:color="auto"/>
        <w:right w:val="none" w:sz="0" w:space="0" w:color="auto"/>
      </w:divBdr>
      <w:divsChild>
        <w:div w:id="719786623">
          <w:marLeft w:val="0"/>
          <w:marRight w:val="0"/>
          <w:marTop w:val="0"/>
          <w:marBottom w:val="0"/>
          <w:divBdr>
            <w:top w:val="none" w:sz="0" w:space="0" w:color="auto"/>
            <w:left w:val="none" w:sz="0" w:space="0" w:color="auto"/>
            <w:bottom w:val="none" w:sz="0" w:space="0" w:color="auto"/>
            <w:right w:val="none" w:sz="0" w:space="0" w:color="auto"/>
          </w:divBdr>
          <w:divsChild>
            <w:div w:id="1991056140">
              <w:marLeft w:val="0"/>
              <w:marRight w:val="0"/>
              <w:marTop w:val="0"/>
              <w:marBottom w:val="0"/>
              <w:divBdr>
                <w:top w:val="none" w:sz="0" w:space="0" w:color="auto"/>
                <w:left w:val="none" w:sz="0" w:space="0" w:color="auto"/>
                <w:bottom w:val="none" w:sz="0" w:space="0" w:color="auto"/>
                <w:right w:val="none" w:sz="0" w:space="0" w:color="auto"/>
              </w:divBdr>
              <w:divsChild>
                <w:div w:id="568805220">
                  <w:marLeft w:val="0"/>
                  <w:marRight w:val="0"/>
                  <w:marTop w:val="0"/>
                  <w:marBottom w:val="0"/>
                  <w:divBdr>
                    <w:top w:val="none" w:sz="0" w:space="0" w:color="auto"/>
                    <w:left w:val="none" w:sz="0" w:space="0" w:color="auto"/>
                    <w:bottom w:val="none" w:sz="0" w:space="0" w:color="auto"/>
                    <w:right w:val="none" w:sz="0" w:space="0" w:color="auto"/>
                  </w:divBdr>
                  <w:divsChild>
                    <w:div w:id="1949653926">
                      <w:marLeft w:val="0"/>
                      <w:marRight w:val="0"/>
                      <w:marTop w:val="690"/>
                      <w:marBottom w:val="0"/>
                      <w:divBdr>
                        <w:top w:val="none" w:sz="0" w:space="0" w:color="auto"/>
                        <w:left w:val="none" w:sz="0" w:space="0" w:color="auto"/>
                        <w:bottom w:val="none" w:sz="0" w:space="0" w:color="auto"/>
                        <w:right w:val="none" w:sz="0" w:space="0" w:color="auto"/>
                      </w:divBdr>
                      <w:divsChild>
                        <w:div w:id="455409967">
                          <w:marLeft w:val="0"/>
                          <w:marRight w:val="0"/>
                          <w:marTop w:val="225"/>
                          <w:marBottom w:val="0"/>
                          <w:divBdr>
                            <w:top w:val="none" w:sz="0" w:space="0" w:color="auto"/>
                            <w:left w:val="none" w:sz="0" w:space="0" w:color="auto"/>
                            <w:bottom w:val="none" w:sz="0" w:space="0" w:color="auto"/>
                            <w:right w:val="none" w:sz="0" w:space="0" w:color="auto"/>
                          </w:divBdr>
                          <w:divsChild>
                            <w:div w:id="446315298">
                              <w:marLeft w:val="0"/>
                              <w:marRight w:val="0"/>
                              <w:marTop w:val="0"/>
                              <w:marBottom w:val="0"/>
                              <w:divBdr>
                                <w:top w:val="none" w:sz="0" w:space="0" w:color="auto"/>
                                <w:left w:val="none" w:sz="0" w:space="0" w:color="auto"/>
                                <w:bottom w:val="none" w:sz="0" w:space="0" w:color="auto"/>
                                <w:right w:val="none" w:sz="0" w:space="0" w:color="auto"/>
                              </w:divBdr>
                              <w:divsChild>
                                <w:div w:id="17182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455488">
      <w:bodyDiv w:val="1"/>
      <w:marLeft w:val="0"/>
      <w:marRight w:val="0"/>
      <w:marTop w:val="0"/>
      <w:marBottom w:val="0"/>
      <w:divBdr>
        <w:top w:val="none" w:sz="0" w:space="0" w:color="auto"/>
        <w:left w:val="none" w:sz="0" w:space="0" w:color="auto"/>
        <w:bottom w:val="none" w:sz="0" w:space="0" w:color="auto"/>
        <w:right w:val="none" w:sz="0" w:space="0" w:color="auto"/>
      </w:divBdr>
    </w:div>
    <w:div w:id="657226260">
      <w:bodyDiv w:val="1"/>
      <w:marLeft w:val="0"/>
      <w:marRight w:val="0"/>
      <w:marTop w:val="0"/>
      <w:marBottom w:val="0"/>
      <w:divBdr>
        <w:top w:val="none" w:sz="0" w:space="0" w:color="auto"/>
        <w:left w:val="none" w:sz="0" w:space="0" w:color="auto"/>
        <w:bottom w:val="none" w:sz="0" w:space="0" w:color="auto"/>
        <w:right w:val="none" w:sz="0" w:space="0" w:color="auto"/>
      </w:divBdr>
    </w:div>
    <w:div w:id="658852328">
      <w:bodyDiv w:val="1"/>
      <w:marLeft w:val="0"/>
      <w:marRight w:val="0"/>
      <w:marTop w:val="0"/>
      <w:marBottom w:val="0"/>
      <w:divBdr>
        <w:top w:val="none" w:sz="0" w:space="0" w:color="auto"/>
        <w:left w:val="none" w:sz="0" w:space="0" w:color="auto"/>
        <w:bottom w:val="none" w:sz="0" w:space="0" w:color="auto"/>
        <w:right w:val="none" w:sz="0" w:space="0" w:color="auto"/>
      </w:divBdr>
    </w:div>
    <w:div w:id="665129320">
      <w:bodyDiv w:val="1"/>
      <w:marLeft w:val="0"/>
      <w:marRight w:val="0"/>
      <w:marTop w:val="0"/>
      <w:marBottom w:val="0"/>
      <w:divBdr>
        <w:top w:val="none" w:sz="0" w:space="0" w:color="auto"/>
        <w:left w:val="none" w:sz="0" w:space="0" w:color="auto"/>
        <w:bottom w:val="none" w:sz="0" w:space="0" w:color="auto"/>
        <w:right w:val="none" w:sz="0" w:space="0" w:color="auto"/>
      </w:divBdr>
    </w:div>
    <w:div w:id="667171398">
      <w:bodyDiv w:val="1"/>
      <w:marLeft w:val="0"/>
      <w:marRight w:val="0"/>
      <w:marTop w:val="0"/>
      <w:marBottom w:val="0"/>
      <w:divBdr>
        <w:top w:val="none" w:sz="0" w:space="0" w:color="auto"/>
        <w:left w:val="none" w:sz="0" w:space="0" w:color="auto"/>
        <w:bottom w:val="none" w:sz="0" w:space="0" w:color="auto"/>
        <w:right w:val="none" w:sz="0" w:space="0" w:color="auto"/>
      </w:divBdr>
    </w:div>
    <w:div w:id="670135494">
      <w:bodyDiv w:val="1"/>
      <w:marLeft w:val="0"/>
      <w:marRight w:val="0"/>
      <w:marTop w:val="0"/>
      <w:marBottom w:val="0"/>
      <w:divBdr>
        <w:top w:val="none" w:sz="0" w:space="0" w:color="auto"/>
        <w:left w:val="none" w:sz="0" w:space="0" w:color="auto"/>
        <w:bottom w:val="none" w:sz="0" w:space="0" w:color="auto"/>
        <w:right w:val="none" w:sz="0" w:space="0" w:color="auto"/>
      </w:divBdr>
    </w:div>
    <w:div w:id="670714963">
      <w:bodyDiv w:val="1"/>
      <w:marLeft w:val="0"/>
      <w:marRight w:val="0"/>
      <w:marTop w:val="0"/>
      <w:marBottom w:val="0"/>
      <w:divBdr>
        <w:top w:val="none" w:sz="0" w:space="0" w:color="auto"/>
        <w:left w:val="none" w:sz="0" w:space="0" w:color="auto"/>
        <w:bottom w:val="none" w:sz="0" w:space="0" w:color="auto"/>
        <w:right w:val="none" w:sz="0" w:space="0" w:color="auto"/>
      </w:divBdr>
    </w:div>
    <w:div w:id="673721949">
      <w:bodyDiv w:val="1"/>
      <w:marLeft w:val="0"/>
      <w:marRight w:val="0"/>
      <w:marTop w:val="0"/>
      <w:marBottom w:val="0"/>
      <w:divBdr>
        <w:top w:val="none" w:sz="0" w:space="0" w:color="auto"/>
        <w:left w:val="none" w:sz="0" w:space="0" w:color="auto"/>
        <w:bottom w:val="none" w:sz="0" w:space="0" w:color="auto"/>
        <w:right w:val="none" w:sz="0" w:space="0" w:color="auto"/>
      </w:divBdr>
    </w:div>
    <w:div w:id="678507822">
      <w:bodyDiv w:val="1"/>
      <w:marLeft w:val="0"/>
      <w:marRight w:val="0"/>
      <w:marTop w:val="0"/>
      <w:marBottom w:val="0"/>
      <w:divBdr>
        <w:top w:val="none" w:sz="0" w:space="0" w:color="auto"/>
        <w:left w:val="none" w:sz="0" w:space="0" w:color="auto"/>
        <w:bottom w:val="none" w:sz="0" w:space="0" w:color="auto"/>
        <w:right w:val="none" w:sz="0" w:space="0" w:color="auto"/>
      </w:divBdr>
    </w:div>
    <w:div w:id="682367437">
      <w:bodyDiv w:val="1"/>
      <w:marLeft w:val="0"/>
      <w:marRight w:val="0"/>
      <w:marTop w:val="0"/>
      <w:marBottom w:val="0"/>
      <w:divBdr>
        <w:top w:val="none" w:sz="0" w:space="0" w:color="auto"/>
        <w:left w:val="none" w:sz="0" w:space="0" w:color="auto"/>
        <w:bottom w:val="none" w:sz="0" w:space="0" w:color="auto"/>
        <w:right w:val="none" w:sz="0" w:space="0" w:color="auto"/>
      </w:divBdr>
    </w:div>
    <w:div w:id="686639782">
      <w:bodyDiv w:val="1"/>
      <w:marLeft w:val="0"/>
      <w:marRight w:val="0"/>
      <w:marTop w:val="0"/>
      <w:marBottom w:val="0"/>
      <w:divBdr>
        <w:top w:val="none" w:sz="0" w:space="0" w:color="auto"/>
        <w:left w:val="none" w:sz="0" w:space="0" w:color="auto"/>
        <w:bottom w:val="none" w:sz="0" w:space="0" w:color="auto"/>
        <w:right w:val="none" w:sz="0" w:space="0" w:color="auto"/>
      </w:divBdr>
    </w:div>
    <w:div w:id="694692853">
      <w:bodyDiv w:val="1"/>
      <w:marLeft w:val="0"/>
      <w:marRight w:val="0"/>
      <w:marTop w:val="0"/>
      <w:marBottom w:val="0"/>
      <w:divBdr>
        <w:top w:val="none" w:sz="0" w:space="0" w:color="auto"/>
        <w:left w:val="none" w:sz="0" w:space="0" w:color="auto"/>
        <w:bottom w:val="none" w:sz="0" w:space="0" w:color="auto"/>
        <w:right w:val="none" w:sz="0" w:space="0" w:color="auto"/>
      </w:divBdr>
    </w:div>
    <w:div w:id="700516094">
      <w:bodyDiv w:val="1"/>
      <w:marLeft w:val="0"/>
      <w:marRight w:val="0"/>
      <w:marTop w:val="0"/>
      <w:marBottom w:val="0"/>
      <w:divBdr>
        <w:top w:val="none" w:sz="0" w:space="0" w:color="auto"/>
        <w:left w:val="none" w:sz="0" w:space="0" w:color="auto"/>
        <w:bottom w:val="none" w:sz="0" w:space="0" w:color="auto"/>
        <w:right w:val="none" w:sz="0" w:space="0" w:color="auto"/>
      </w:divBdr>
    </w:div>
    <w:div w:id="700936306">
      <w:bodyDiv w:val="1"/>
      <w:marLeft w:val="0"/>
      <w:marRight w:val="0"/>
      <w:marTop w:val="0"/>
      <w:marBottom w:val="0"/>
      <w:divBdr>
        <w:top w:val="none" w:sz="0" w:space="0" w:color="auto"/>
        <w:left w:val="none" w:sz="0" w:space="0" w:color="auto"/>
        <w:bottom w:val="none" w:sz="0" w:space="0" w:color="auto"/>
        <w:right w:val="none" w:sz="0" w:space="0" w:color="auto"/>
      </w:divBdr>
    </w:div>
    <w:div w:id="704720954">
      <w:bodyDiv w:val="1"/>
      <w:marLeft w:val="0"/>
      <w:marRight w:val="0"/>
      <w:marTop w:val="0"/>
      <w:marBottom w:val="0"/>
      <w:divBdr>
        <w:top w:val="none" w:sz="0" w:space="0" w:color="auto"/>
        <w:left w:val="none" w:sz="0" w:space="0" w:color="auto"/>
        <w:bottom w:val="none" w:sz="0" w:space="0" w:color="auto"/>
        <w:right w:val="none" w:sz="0" w:space="0" w:color="auto"/>
      </w:divBdr>
    </w:div>
    <w:div w:id="707609513">
      <w:bodyDiv w:val="1"/>
      <w:marLeft w:val="0"/>
      <w:marRight w:val="0"/>
      <w:marTop w:val="0"/>
      <w:marBottom w:val="0"/>
      <w:divBdr>
        <w:top w:val="none" w:sz="0" w:space="0" w:color="auto"/>
        <w:left w:val="none" w:sz="0" w:space="0" w:color="auto"/>
        <w:bottom w:val="none" w:sz="0" w:space="0" w:color="auto"/>
        <w:right w:val="none" w:sz="0" w:space="0" w:color="auto"/>
      </w:divBdr>
    </w:div>
    <w:div w:id="709915153">
      <w:bodyDiv w:val="1"/>
      <w:marLeft w:val="0"/>
      <w:marRight w:val="0"/>
      <w:marTop w:val="0"/>
      <w:marBottom w:val="0"/>
      <w:divBdr>
        <w:top w:val="none" w:sz="0" w:space="0" w:color="auto"/>
        <w:left w:val="none" w:sz="0" w:space="0" w:color="auto"/>
        <w:bottom w:val="none" w:sz="0" w:space="0" w:color="auto"/>
        <w:right w:val="none" w:sz="0" w:space="0" w:color="auto"/>
      </w:divBdr>
    </w:div>
    <w:div w:id="712732951">
      <w:bodyDiv w:val="1"/>
      <w:marLeft w:val="0"/>
      <w:marRight w:val="0"/>
      <w:marTop w:val="0"/>
      <w:marBottom w:val="0"/>
      <w:divBdr>
        <w:top w:val="none" w:sz="0" w:space="0" w:color="auto"/>
        <w:left w:val="none" w:sz="0" w:space="0" w:color="auto"/>
        <w:bottom w:val="none" w:sz="0" w:space="0" w:color="auto"/>
        <w:right w:val="none" w:sz="0" w:space="0" w:color="auto"/>
      </w:divBdr>
    </w:div>
    <w:div w:id="715280963">
      <w:bodyDiv w:val="1"/>
      <w:marLeft w:val="0"/>
      <w:marRight w:val="0"/>
      <w:marTop w:val="0"/>
      <w:marBottom w:val="0"/>
      <w:divBdr>
        <w:top w:val="none" w:sz="0" w:space="0" w:color="auto"/>
        <w:left w:val="none" w:sz="0" w:space="0" w:color="auto"/>
        <w:bottom w:val="none" w:sz="0" w:space="0" w:color="auto"/>
        <w:right w:val="none" w:sz="0" w:space="0" w:color="auto"/>
      </w:divBdr>
    </w:div>
    <w:div w:id="722943141">
      <w:bodyDiv w:val="1"/>
      <w:marLeft w:val="0"/>
      <w:marRight w:val="0"/>
      <w:marTop w:val="0"/>
      <w:marBottom w:val="0"/>
      <w:divBdr>
        <w:top w:val="none" w:sz="0" w:space="0" w:color="auto"/>
        <w:left w:val="none" w:sz="0" w:space="0" w:color="auto"/>
        <w:bottom w:val="none" w:sz="0" w:space="0" w:color="auto"/>
        <w:right w:val="none" w:sz="0" w:space="0" w:color="auto"/>
      </w:divBdr>
    </w:div>
    <w:div w:id="727532926">
      <w:bodyDiv w:val="1"/>
      <w:marLeft w:val="0"/>
      <w:marRight w:val="0"/>
      <w:marTop w:val="0"/>
      <w:marBottom w:val="0"/>
      <w:divBdr>
        <w:top w:val="none" w:sz="0" w:space="0" w:color="auto"/>
        <w:left w:val="none" w:sz="0" w:space="0" w:color="auto"/>
        <w:bottom w:val="none" w:sz="0" w:space="0" w:color="auto"/>
        <w:right w:val="none" w:sz="0" w:space="0" w:color="auto"/>
      </w:divBdr>
    </w:div>
    <w:div w:id="727650764">
      <w:bodyDiv w:val="1"/>
      <w:marLeft w:val="0"/>
      <w:marRight w:val="0"/>
      <w:marTop w:val="0"/>
      <w:marBottom w:val="0"/>
      <w:divBdr>
        <w:top w:val="none" w:sz="0" w:space="0" w:color="auto"/>
        <w:left w:val="none" w:sz="0" w:space="0" w:color="auto"/>
        <w:bottom w:val="none" w:sz="0" w:space="0" w:color="auto"/>
        <w:right w:val="none" w:sz="0" w:space="0" w:color="auto"/>
      </w:divBdr>
    </w:div>
    <w:div w:id="732392135">
      <w:bodyDiv w:val="1"/>
      <w:marLeft w:val="0"/>
      <w:marRight w:val="0"/>
      <w:marTop w:val="0"/>
      <w:marBottom w:val="0"/>
      <w:divBdr>
        <w:top w:val="none" w:sz="0" w:space="0" w:color="auto"/>
        <w:left w:val="none" w:sz="0" w:space="0" w:color="auto"/>
        <w:bottom w:val="none" w:sz="0" w:space="0" w:color="auto"/>
        <w:right w:val="none" w:sz="0" w:space="0" w:color="auto"/>
      </w:divBdr>
    </w:div>
    <w:div w:id="734398690">
      <w:bodyDiv w:val="1"/>
      <w:marLeft w:val="0"/>
      <w:marRight w:val="0"/>
      <w:marTop w:val="0"/>
      <w:marBottom w:val="0"/>
      <w:divBdr>
        <w:top w:val="none" w:sz="0" w:space="0" w:color="auto"/>
        <w:left w:val="none" w:sz="0" w:space="0" w:color="auto"/>
        <w:bottom w:val="none" w:sz="0" w:space="0" w:color="auto"/>
        <w:right w:val="none" w:sz="0" w:space="0" w:color="auto"/>
      </w:divBdr>
    </w:div>
    <w:div w:id="734594828">
      <w:bodyDiv w:val="1"/>
      <w:marLeft w:val="0"/>
      <w:marRight w:val="0"/>
      <w:marTop w:val="0"/>
      <w:marBottom w:val="0"/>
      <w:divBdr>
        <w:top w:val="none" w:sz="0" w:space="0" w:color="auto"/>
        <w:left w:val="none" w:sz="0" w:space="0" w:color="auto"/>
        <w:bottom w:val="none" w:sz="0" w:space="0" w:color="auto"/>
        <w:right w:val="none" w:sz="0" w:space="0" w:color="auto"/>
      </w:divBdr>
    </w:div>
    <w:div w:id="735123943">
      <w:bodyDiv w:val="1"/>
      <w:marLeft w:val="0"/>
      <w:marRight w:val="0"/>
      <w:marTop w:val="0"/>
      <w:marBottom w:val="0"/>
      <w:divBdr>
        <w:top w:val="none" w:sz="0" w:space="0" w:color="auto"/>
        <w:left w:val="none" w:sz="0" w:space="0" w:color="auto"/>
        <w:bottom w:val="none" w:sz="0" w:space="0" w:color="auto"/>
        <w:right w:val="none" w:sz="0" w:space="0" w:color="auto"/>
      </w:divBdr>
    </w:div>
    <w:div w:id="739257642">
      <w:bodyDiv w:val="1"/>
      <w:marLeft w:val="0"/>
      <w:marRight w:val="0"/>
      <w:marTop w:val="0"/>
      <w:marBottom w:val="0"/>
      <w:divBdr>
        <w:top w:val="none" w:sz="0" w:space="0" w:color="auto"/>
        <w:left w:val="none" w:sz="0" w:space="0" w:color="auto"/>
        <w:bottom w:val="none" w:sz="0" w:space="0" w:color="auto"/>
        <w:right w:val="none" w:sz="0" w:space="0" w:color="auto"/>
      </w:divBdr>
    </w:div>
    <w:div w:id="745495052">
      <w:bodyDiv w:val="1"/>
      <w:marLeft w:val="0"/>
      <w:marRight w:val="0"/>
      <w:marTop w:val="0"/>
      <w:marBottom w:val="0"/>
      <w:divBdr>
        <w:top w:val="none" w:sz="0" w:space="0" w:color="auto"/>
        <w:left w:val="none" w:sz="0" w:space="0" w:color="auto"/>
        <w:bottom w:val="none" w:sz="0" w:space="0" w:color="auto"/>
        <w:right w:val="none" w:sz="0" w:space="0" w:color="auto"/>
      </w:divBdr>
    </w:div>
    <w:div w:id="746734418">
      <w:bodyDiv w:val="1"/>
      <w:marLeft w:val="0"/>
      <w:marRight w:val="0"/>
      <w:marTop w:val="0"/>
      <w:marBottom w:val="0"/>
      <w:divBdr>
        <w:top w:val="none" w:sz="0" w:space="0" w:color="auto"/>
        <w:left w:val="none" w:sz="0" w:space="0" w:color="auto"/>
        <w:bottom w:val="none" w:sz="0" w:space="0" w:color="auto"/>
        <w:right w:val="none" w:sz="0" w:space="0" w:color="auto"/>
      </w:divBdr>
    </w:div>
    <w:div w:id="750469544">
      <w:bodyDiv w:val="1"/>
      <w:marLeft w:val="0"/>
      <w:marRight w:val="0"/>
      <w:marTop w:val="0"/>
      <w:marBottom w:val="0"/>
      <w:divBdr>
        <w:top w:val="none" w:sz="0" w:space="0" w:color="auto"/>
        <w:left w:val="none" w:sz="0" w:space="0" w:color="auto"/>
        <w:bottom w:val="none" w:sz="0" w:space="0" w:color="auto"/>
        <w:right w:val="none" w:sz="0" w:space="0" w:color="auto"/>
      </w:divBdr>
    </w:div>
    <w:div w:id="756246357">
      <w:bodyDiv w:val="1"/>
      <w:marLeft w:val="0"/>
      <w:marRight w:val="0"/>
      <w:marTop w:val="0"/>
      <w:marBottom w:val="0"/>
      <w:divBdr>
        <w:top w:val="none" w:sz="0" w:space="0" w:color="auto"/>
        <w:left w:val="none" w:sz="0" w:space="0" w:color="auto"/>
        <w:bottom w:val="none" w:sz="0" w:space="0" w:color="auto"/>
        <w:right w:val="none" w:sz="0" w:space="0" w:color="auto"/>
      </w:divBdr>
    </w:div>
    <w:div w:id="763572297">
      <w:bodyDiv w:val="1"/>
      <w:marLeft w:val="0"/>
      <w:marRight w:val="0"/>
      <w:marTop w:val="0"/>
      <w:marBottom w:val="0"/>
      <w:divBdr>
        <w:top w:val="none" w:sz="0" w:space="0" w:color="auto"/>
        <w:left w:val="none" w:sz="0" w:space="0" w:color="auto"/>
        <w:bottom w:val="none" w:sz="0" w:space="0" w:color="auto"/>
        <w:right w:val="none" w:sz="0" w:space="0" w:color="auto"/>
      </w:divBdr>
    </w:div>
    <w:div w:id="764805485">
      <w:bodyDiv w:val="1"/>
      <w:marLeft w:val="0"/>
      <w:marRight w:val="0"/>
      <w:marTop w:val="0"/>
      <w:marBottom w:val="0"/>
      <w:divBdr>
        <w:top w:val="none" w:sz="0" w:space="0" w:color="auto"/>
        <w:left w:val="none" w:sz="0" w:space="0" w:color="auto"/>
        <w:bottom w:val="none" w:sz="0" w:space="0" w:color="auto"/>
        <w:right w:val="none" w:sz="0" w:space="0" w:color="auto"/>
      </w:divBdr>
    </w:div>
    <w:div w:id="767038870">
      <w:bodyDiv w:val="1"/>
      <w:marLeft w:val="0"/>
      <w:marRight w:val="0"/>
      <w:marTop w:val="0"/>
      <w:marBottom w:val="0"/>
      <w:divBdr>
        <w:top w:val="none" w:sz="0" w:space="0" w:color="auto"/>
        <w:left w:val="none" w:sz="0" w:space="0" w:color="auto"/>
        <w:bottom w:val="none" w:sz="0" w:space="0" w:color="auto"/>
        <w:right w:val="none" w:sz="0" w:space="0" w:color="auto"/>
      </w:divBdr>
    </w:div>
    <w:div w:id="774863086">
      <w:bodyDiv w:val="1"/>
      <w:marLeft w:val="0"/>
      <w:marRight w:val="0"/>
      <w:marTop w:val="0"/>
      <w:marBottom w:val="0"/>
      <w:divBdr>
        <w:top w:val="none" w:sz="0" w:space="0" w:color="auto"/>
        <w:left w:val="none" w:sz="0" w:space="0" w:color="auto"/>
        <w:bottom w:val="none" w:sz="0" w:space="0" w:color="auto"/>
        <w:right w:val="none" w:sz="0" w:space="0" w:color="auto"/>
      </w:divBdr>
    </w:div>
    <w:div w:id="775365469">
      <w:bodyDiv w:val="1"/>
      <w:marLeft w:val="0"/>
      <w:marRight w:val="0"/>
      <w:marTop w:val="0"/>
      <w:marBottom w:val="0"/>
      <w:divBdr>
        <w:top w:val="none" w:sz="0" w:space="0" w:color="auto"/>
        <w:left w:val="none" w:sz="0" w:space="0" w:color="auto"/>
        <w:bottom w:val="none" w:sz="0" w:space="0" w:color="auto"/>
        <w:right w:val="none" w:sz="0" w:space="0" w:color="auto"/>
      </w:divBdr>
    </w:div>
    <w:div w:id="777217327">
      <w:bodyDiv w:val="1"/>
      <w:marLeft w:val="0"/>
      <w:marRight w:val="0"/>
      <w:marTop w:val="0"/>
      <w:marBottom w:val="0"/>
      <w:divBdr>
        <w:top w:val="none" w:sz="0" w:space="0" w:color="auto"/>
        <w:left w:val="none" w:sz="0" w:space="0" w:color="auto"/>
        <w:bottom w:val="none" w:sz="0" w:space="0" w:color="auto"/>
        <w:right w:val="none" w:sz="0" w:space="0" w:color="auto"/>
      </w:divBdr>
    </w:div>
    <w:div w:id="779954314">
      <w:bodyDiv w:val="1"/>
      <w:marLeft w:val="0"/>
      <w:marRight w:val="0"/>
      <w:marTop w:val="0"/>
      <w:marBottom w:val="0"/>
      <w:divBdr>
        <w:top w:val="none" w:sz="0" w:space="0" w:color="auto"/>
        <w:left w:val="none" w:sz="0" w:space="0" w:color="auto"/>
        <w:bottom w:val="none" w:sz="0" w:space="0" w:color="auto"/>
        <w:right w:val="none" w:sz="0" w:space="0" w:color="auto"/>
      </w:divBdr>
    </w:div>
    <w:div w:id="783112877">
      <w:bodyDiv w:val="1"/>
      <w:marLeft w:val="0"/>
      <w:marRight w:val="0"/>
      <w:marTop w:val="0"/>
      <w:marBottom w:val="0"/>
      <w:divBdr>
        <w:top w:val="none" w:sz="0" w:space="0" w:color="auto"/>
        <w:left w:val="none" w:sz="0" w:space="0" w:color="auto"/>
        <w:bottom w:val="none" w:sz="0" w:space="0" w:color="auto"/>
        <w:right w:val="none" w:sz="0" w:space="0" w:color="auto"/>
      </w:divBdr>
    </w:div>
    <w:div w:id="784930371">
      <w:bodyDiv w:val="1"/>
      <w:marLeft w:val="0"/>
      <w:marRight w:val="0"/>
      <w:marTop w:val="0"/>
      <w:marBottom w:val="0"/>
      <w:divBdr>
        <w:top w:val="none" w:sz="0" w:space="0" w:color="auto"/>
        <w:left w:val="none" w:sz="0" w:space="0" w:color="auto"/>
        <w:bottom w:val="none" w:sz="0" w:space="0" w:color="auto"/>
        <w:right w:val="none" w:sz="0" w:space="0" w:color="auto"/>
      </w:divBdr>
    </w:div>
    <w:div w:id="786779235">
      <w:bodyDiv w:val="1"/>
      <w:marLeft w:val="0"/>
      <w:marRight w:val="0"/>
      <w:marTop w:val="0"/>
      <w:marBottom w:val="0"/>
      <w:divBdr>
        <w:top w:val="none" w:sz="0" w:space="0" w:color="auto"/>
        <w:left w:val="none" w:sz="0" w:space="0" w:color="auto"/>
        <w:bottom w:val="none" w:sz="0" w:space="0" w:color="auto"/>
        <w:right w:val="none" w:sz="0" w:space="0" w:color="auto"/>
      </w:divBdr>
    </w:div>
    <w:div w:id="787821298">
      <w:bodyDiv w:val="1"/>
      <w:marLeft w:val="0"/>
      <w:marRight w:val="0"/>
      <w:marTop w:val="0"/>
      <w:marBottom w:val="0"/>
      <w:divBdr>
        <w:top w:val="none" w:sz="0" w:space="0" w:color="auto"/>
        <w:left w:val="none" w:sz="0" w:space="0" w:color="auto"/>
        <w:bottom w:val="none" w:sz="0" w:space="0" w:color="auto"/>
        <w:right w:val="none" w:sz="0" w:space="0" w:color="auto"/>
      </w:divBdr>
    </w:div>
    <w:div w:id="801388489">
      <w:bodyDiv w:val="1"/>
      <w:marLeft w:val="0"/>
      <w:marRight w:val="0"/>
      <w:marTop w:val="0"/>
      <w:marBottom w:val="0"/>
      <w:divBdr>
        <w:top w:val="none" w:sz="0" w:space="0" w:color="auto"/>
        <w:left w:val="none" w:sz="0" w:space="0" w:color="auto"/>
        <w:bottom w:val="none" w:sz="0" w:space="0" w:color="auto"/>
        <w:right w:val="none" w:sz="0" w:space="0" w:color="auto"/>
      </w:divBdr>
    </w:div>
    <w:div w:id="802698377">
      <w:bodyDiv w:val="1"/>
      <w:marLeft w:val="0"/>
      <w:marRight w:val="0"/>
      <w:marTop w:val="0"/>
      <w:marBottom w:val="0"/>
      <w:divBdr>
        <w:top w:val="none" w:sz="0" w:space="0" w:color="auto"/>
        <w:left w:val="none" w:sz="0" w:space="0" w:color="auto"/>
        <w:bottom w:val="none" w:sz="0" w:space="0" w:color="auto"/>
        <w:right w:val="none" w:sz="0" w:space="0" w:color="auto"/>
      </w:divBdr>
    </w:div>
    <w:div w:id="803087062">
      <w:bodyDiv w:val="1"/>
      <w:marLeft w:val="0"/>
      <w:marRight w:val="0"/>
      <w:marTop w:val="0"/>
      <w:marBottom w:val="0"/>
      <w:divBdr>
        <w:top w:val="none" w:sz="0" w:space="0" w:color="auto"/>
        <w:left w:val="none" w:sz="0" w:space="0" w:color="auto"/>
        <w:bottom w:val="none" w:sz="0" w:space="0" w:color="auto"/>
        <w:right w:val="none" w:sz="0" w:space="0" w:color="auto"/>
      </w:divBdr>
    </w:div>
    <w:div w:id="805511718">
      <w:bodyDiv w:val="1"/>
      <w:marLeft w:val="0"/>
      <w:marRight w:val="0"/>
      <w:marTop w:val="0"/>
      <w:marBottom w:val="0"/>
      <w:divBdr>
        <w:top w:val="none" w:sz="0" w:space="0" w:color="auto"/>
        <w:left w:val="none" w:sz="0" w:space="0" w:color="auto"/>
        <w:bottom w:val="none" w:sz="0" w:space="0" w:color="auto"/>
        <w:right w:val="none" w:sz="0" w:space="0" w:color="auto"/>
      </w:divBdr>
    </w:div>
    <w:div w:id="808211766">
      <w:bodyDiv w:val="1"/>
      <w:marLeft w:val="0"/>
      <w:marRight w:val="0"/>
      <w:marTop w:val="0"/>
      <w:marBottom w:val="0"/>
      <w:divBdr>
        <w:top w:val="none" w:sz="0" w:space="0" w:color="auto"/>
        <w:left w:val="none" w:sz="0" w:space="0" w:color="auto"/>
        <w:bottom w:val="none" w:sz="0" w:space="0" w:color="auto"/>
        <w:right w:val="none" w:sz="0" w:space="0" w:color="auto"/>
      </w:divBdr>
    </w:div>
    <w:div w:id="819687596">
      <w:bodyDiv w:val="1"/>
      <w:marLeft w:val="0"/>
      <w:marRight w:val="0"/>
      <w:marTop w:val="0"/>
      <w:marBottom w:val="0"/>
      <w:divBdr>
        <w:top w:val="none" w:sz="0" w:space="0" w:color="auto"/>
        <w:left w:val="none" w:sz="0" w:space="0" w:color="auto"/>
        <w:bottom w:val="none" w:sz="0" w:space="0" w:color="auto"/>
        <w:right w:val="none" w:sz="0" w:space="0" w:color="auto"/>
      </w:divBdr>
    </w:div>
    <w:div w:id="823594648">
      <w:bodyDiv w:val="1"/>
      <w:marLeft w:val="0"/>
      <w:marRight w:val="0"/>
      <w:marTop w:val="0"/>
      <w:marBottom w:val="0"/>
      <w:divBdr>
        <w:top w:val="none" w:sz="0" w:space="0" w:color="auto"/>
        <w:left w:val="none" w:sz="0" w:space="0" w:color="auto"/>
        <w:bottom w:val="none" w:sz="0" w:space="0" w:color="auto"/>
        <w:right w:val="none" w:sz="0" w:space="0" w:color="auto"/>
      </w:divBdr>
    </w:div>
    <w:div w:id="823863110">
      <w:bodyDiv w:val="1"/>
      <w:marLeft w:val="0"/>
      <w:marRight w:val="0"/>
      <w:marTop w:val="0"/>
      <w:marBottom w:val="0"/>
      <w:divBdr>
        <w:top w:val="none" w:sz="0" w:space="0" w:color="auto"/>
        <w:left w:val="none" w:sz="0" w:space="0" w:color="auto"/>
        <w:bottom w:val="none" w:sz="0" w:space="0" w:color="auto"/>
        <w:right w:val="none" w:sz="0" w:space="0" w:color="auto"/>
      </w:divBdr>
    </w:div>
    <w:div w:id="828904901">
      <w:bodyDiv w:val="1"/>
      <w:marLeft w:val="0"/>
      <w:marRight w:val="0"/>
      <w:marTop w:val="0"/>
      <w:marBottom w:val="0"/>
      <w:divBdr>
        <w:top w:val="none" w:sz="0" w:space="0" w:color="auto"/>
        <w:left w:val="none" w:sz="0" w:space="0" w:color="auto"/>
        <w:bottom w:val="none" w:sz="0" w:space="0" w:color="auto"/>
        <w:right w:val="none" w:sz="0" w:space="0" w:color="auto"/>
      </w:divBdr>
    </w:div>
    <w:div w:id="829903469">
      <w:bodyDiv w:val="1"/>
      <w:marLeft w:val="0"/>
      <w:marRight w:val="0"/>
      <w:marTop w:val="0"/>
      <w:marBottom w:val="0"/>
      <w:divBdr>
        <w:top w:val="none" w:sz="0" w:space="0" w:color="auto"/>
        <w:left w:val="none" w:sz="0" w:space="0" w:color="auto"/>
        <w:bottom w:val="none" w:sz="0" w:space="0" w:color="auto"/>
        <w:right w:val="none" w:sz="0" w:space="0" w:color="auto"/>
      </w:divBdr>
    </w:div>
    <w:div w:id="839547075">
      <w:bodyDiv w:val="1"/>
      <w:marLeft w:val="0"/>
      <w:marRight w:val="0"/>
      <w:marTop w:val="0"/>
      <w:marBottom w:val="0"/>
      <w:divBdr>
        <w:top w:val="none" w:sz="0" w:space="0" w:color="auto"/>
        <w:left w:val="none" w:sz="0" w:space="0" w:color="auto"/>
        <w:bottom w:val="none" w:sz="0" w:space="0" w:color="auto"/>
        <w:right w:val="none" w:sz="0" w:space="0" w:color="auto"/>
      </w:divBdr>
    </w:div>
    <w:div w:id="840894161">
      <w:bodyDiv w:val="1"/>
      <w:marLeft w:val="0"/>
      <w:marRight w:val="0"/>
      <w:marTop w:val="0"/>
      <w:marBottom w:val="0"/>
      <w:divBdr>
        <w:top w:val="none" w:sz="0" w:space="0" w:color="auto"/>
        <w:left w:val="none" w:sz="0" w:space="0" w:color="auto"/>
        <w:bottom w:val="none" w:sz="0" w:space="0" w:color="auto"/>
        <w:right w:val="none" w:sz="0" w:space="0" w:color="auto"/>
      </w:divBdr>
    </w:div>
    <w:div w:id="841972819">
      <w:bodyDiv w:val="1"/>
      <w:marLeft w:val="0"/>
      <w:marRight w:val="0"/>
      <w:marTop w:val="0"/>
      <w:marBottom w:val="0"/>
      <w:divBdr>
        <w:top w:val="none" w:sz="0" w:space="0" w:color="auto"/>
        <w:left w:val="none" w:sz="0" w:space="0" w:color="auto"/>
        <w:bottom w:val="none" w:sz="0" w:space="0" w:color="auto"/>
        <w:right w:val="none" w:sz="0" w:space="0" w:color="auto"/>
      </w:divBdr>
    </w:div>
    <w:div w:id="842550749">
      <w:bodyDiv w:val="1"/>
      <w:marLeft w:val="0"/>
      <w:marRight w:val="0"/>
      <w:marTop w:val="0"/>
      <w:marBottom w:val="0"/>
      <w:divBdr>
        <w:top w:val="none" w:sz="0" w:space="0" w:color="auto"/>
        <w:left w:val="none" w:sz="0" w:space="0" w:color="auto"/>
        <w:bottom w:val="none" w:sz="0" w:space="0" w:color="auto"/>
        <w:right w:val="none" w:sz="0" w:space="0" w:color="auto"/>
      </w:divBdr>
    </w:div>
    <w:div w:id="844514638">
      <w:bodyDiv w:val="1"/>
      <w:marLeft w:val="0"/>
      <w:marRight w:val="0"/>
      <w:marTop w:val="0"/>
      <w:marBottom w:val="0"/>
      <w:divBdr>
        <w:top w:val="none" w:sz="0" w:space="0" w:color="auto"/>
        <w:left w:val="none" w:sz="0" w:space="0" w:color="auto"/>
        <w:bottom w:val="none" w:sz="0" w:space="0" w:color="auto"/>
        <w:right w:val="none" w:sz="0" w:space="0" w:color="auto"/>
      </w:divBdr>
    </w:div>
    <w:div w:id="847410213">
      <w:bodyDiv w:val="1"/>
      <w:marLeft w:val="0"/>
      <w:marRight w:val="0"/>
      <w:marTop w:val="0"/>
      <w:marBottom w:val="0"/>
      <w:divBdr>
        <w:top w:val="none" w:sz="0" w:space="0" w:color="auto"/>
        <w:left w:val="none" w:sz="0" w:space="0" w:color="auto"/>
        <w:bottom w:val="none" w:sz="0" w:space="0" w:color="auto"/>
        <w:right w:val="none" w:sz="0" w:space="0" w:color="auto"/>
      </w:divBdr>
    </w:div>
    <w:div w:id="850677752">
      <w:bodyDiv w:val="1"/>
      <w:marLeft w:val="0"/>
      <w:marRight w:val="0"/>
      <w:marTop w:val="0"/>
      <w:marBottom w:val="0"/>
      <w:divBdr>
        <w:top w:val="none" w:sz="0" w:space="0" w:color="auto"/>
        <w:left w:val="none" w:sz="0" w:space="0" w:color="auto"/>
        <w:bottom w:val="none" w:sz="0" w:space="0" w:color="auto"/>
        <w:right w:val="none" w:sz="0" w:space="0" w:color="auto"/>
      </w:divBdr>
    </w:div>
    <w:div w:id="852035266">
      <w:bodyDiv w:val="1"/>
      <w:marLeft w:val="0"/>
      <w:marRight w:val="0"/>
      <w:marTop w:val="0"/>
      <w:marBottom w:val="0"/>
      <w:divBdr>
        <w:top w:val="none" w:sz="0" w:space="0" w:color="auto"/>
        <w:left w:val="none" w:sz="0" w:space="0" w:color="auto"/>
        <w:bottom w:val="none" w:sz="0" w:space="0" w:color="auto"/>
        <w:right w:val="none" w:sz="0" w:space="0" w:color="auto"/>
      </w:divBdr>
    </w:div>
    <w:div w:id="854153086">
      <w:bodyDiv w:val="1"/>
      <w:marLeft w:val="0"/>
      <w:marRight w:val="0"/>
      <w:marTop w:val="0"/>
      <w:marBottom w:val="0"/>
      <w:divBdr>
        <w:top w:val="none" w:sz="0" w:space="0" w:color="auto"/>
        <w:left w:val="none" w:sz="0" w:space="0" w:color="auto"/>
        <w:bottom w:val="none" w:sz="0" w:space="0" w:color="auto"/>
        <w:right w:val="none" w:sz="0" w:space="0" w:color="auto"/>
      </w:divBdr>
    </w:div>
    <w:div w:id="854349798">
      <w:bodyDiv w:val="1"/>
      <w:marLeft w:val="0"/>
      <w:marRight w:val="0"/>
      <w:marTop w:val="0"/>
      <w:marBottom w:val="0"/>
      <w:divBdr>
        <w:top w:val="none" w:sz="0" w:space="0" w:color="auto"/>
        <w:left w:val="none" w:sz="0" w:space="0" w:color="auto"/>
        <w:bottom w:val="none" w:sz="0" w:space="0" w:color="auto"/>
        <w:right w:val="none" w:sz="0" w:space="0" w:color="auto"/>
      </w:divBdr>
    </w:div>
    <w:div w:id="866452330">
      <w:bodyDiv w:val="1"/>
      <w:marLeft w:val="0"/>
      <w:marRight w:val="0"/>
      <w:marTop w:val="0"/>
      <w:marBottom w:val="0"/>
      <w:divBdr>
        <w:top w:val="none" w:sz="0" w:space="0" w:color="auto"/>
        <w:left w:val="none" w:sz="0" w:space="0" w:color="auto"/>
        <w:bottom w:val="none" w:sz="0" w:space="0" w:color="auto"/>
        <w:right w:val="none" w:sz="0" w:space="0" w:color="auto"/>
      </w:divBdr>
    </w:div>
    <w:div w:id="868303327">
      <w:bodyDiv w:val="1"/>
      <w:marLeft w:val="0"/>
      <w:marRight w:val="0"/>
      <w:marTop w:val="0"/>
      <w:marBottom w:val="0"/>
      <w:divBdr>
        <w:top w:val="none" w:sz="0" w:space="0" w:color="auto"/>
        <w:left w:val="none" w:sz="0" w:space="0" w:color="auto"/>
        <w:bottom w:val="none" w:sz="0" w:space="0" w:color="auto"/>
        <w:right w:val="none" w:sz="0" w:space="0" w:color="auto"/>
      </w:divBdr>
    </w:div>
    <w:div w:id="869336099">
      <w:bodyDiv w:val="1"/>
      <w:marLeft w:val="0"/>
      <w:marRight w:val="0"/>
      <w:marTop w:val="0"/>
      <w:marBottom w:val="0"/>
      <w:divBdr>
        <w:top w:val="none" w:sz="0" w:space="0" w:color="auto"/>
        <w:left w:val="none" w:sz="0" w:space="0" w:color="auto"/>
        <w:bottom w:val="none" w:sz="0" w:space="0" w:color="auto"/>
        <w:right w:val="none" w:sz="0" w:space="0" w:color="auto"/>
      </w:divBdr>
    </w:div>
    <w:div w:id="870916125">
      <w:bodyDiv w:val="1"/>
      <w:marLeft w:val="0"/>
      <w:marRight w:val="0"/>
      <w:marTop w:val="0"/>
      <w:marBottom w:val="0"/>
      <w:divBdr>
        <w:top w:val="none" w:sz="0" w:space="0" w:color="auto"/>
        <w:left w:val="none" w:sz="0" w:space="0" w:color="auto"/>
        <w:bottom w:val="none" w:sz="0" w:space="0" w:color="auto"/>
        <w:right w:val="none" w:sz="0" w:space="0" w:color="auto"/>
      </w:divBdr>
    </w:div>
    <w:div w:id="871654174">
      <w:bodyDiv w:val="1"/>
      <w:marLeft w:val="0"/>
      <w:marRight w:val="0"/>
      <w:marTop w:val="0"/>
      <w:marBottom w:val="0"/>
      <w:divBdr>
        <w:top w:val="none" w:sz="0" w:space="0" w:color="auto"/>
        <w:left w:val="none" w:sz="0" w:space="0" w:color="auto"/>
        <w:bottom w:val="none" w:sz="0" w:space="0" w:color="auto"/>
        <w:right w:val="none" w:sz="0" w:space="0" w:color="auto"/>
      </w:divBdr>
    </w:div>
    <w:div w:id="880173799">
      <w:bodyDiv w:val="1"/>
      <w:marLeft w:val="0"/>
      <w:marRight w:val="0"/>
      <w:marTop w:val="0"/>
      <w:marBottom w:val="0"/>
      <w:divBdr>
        <w:top w:val="none" w:sz="0" w:space="0" w:color="auto"/>
        <w:left w:val="none" w:sz="0" w:space="0" w:color="auto"/>
        <w:bottom w:val="none" w:sz="0" w:space="0" w:color="auto"/>
        <w:right w:val="none" w:sz="0" w:space="0" w:color="auto"/>
      </w:divBdr>
    </w:div>
    <w:div w:id="887303971">
      <w:bodyDiv w:val="1"/>
      <w:marLeft w:val="0"/>
      <w:marRight w:val="0"/>
      <w:marTop w:val="0"/>
      <w:marBottom w:val="0"/>
      <w:divBdr>
        <w:top w:val="none" w:sz="0" w:space="0" w:color="auto"/>
        <w:left w:val="none" w:sz="0" w:space="0" w:color="auto"/>
        <w:bottom w:val="none" w:sz="0" w:space="0" w:color="auto"/>
        <w:right w:val="none" w:sz="0" w:space="0" w:color="auto"/>
      </w:divBdr>
    </w:div>
    <w:div w:id="888106106">
      <w:bodyDiv w:val="1"/>
      <w:marLeft w:val="0"/>
      <w:marRight w:val="0"/>
      <w:marTop w:val="0"/>
      <w:marBottom w:val="0"/>
      <w:divBdr>
        <w:top w:val="none" w:sz="0" w:space="0" w:color="auto"/>
        <w:left w:val="none" w:sz="0" w:space="0" w:color="auto"/>
        <w:bottom w:val="none" w:sz="0" w:space="0" w:color="auto"/>
        <w:right w:val="none" w:sz="0" w:space="0" w:color="auto"/>
      </w:divBdr>
    </w:div>
    <w:div w:id="891306192">
      <w:bodyDiv w:val="1"/>
      <w:marLeft w:val="0"/>
      <w:marRight w:val="0"/>
      <w:marTop w:val="0"/>
      <w:marBottom w:val="0"/>
      <w:divBdr>
        <w:top w:val="none" w:sz="0" w:space="0" w:color="auto"/>
        <w:left w:val="none" w:sz="0" w:space="0" w:color="auto"/>
        <w:bottom w:val="none" w:sz="0" w:space="0" w:color="auto"/>
        <w:right w:val="none" w:sz="0" w:space="0" w:color="auto"/>
      </w:divBdr>
    </w:div>
    <w:div w:id="892230785">
      <w:bodyDiv w:val="1"/>
      <w:marLeft w:val="0"/>
      <w:marRight w:val="0"/>
      <w:marTop w:val="0"/>
      <w:marBottom w:val="0"/>
      <w:divBdr>
        <w:top w:val="none" w:sz="0" w:space="0" w:color="auto"/>
        <w:left w:val="none" w:sz="0" w:space="0" w:color="auto"/>
        <w:bottom w:val="none" w:sz="0" w:space="0" w:color="auto"/>
        <w:right w:val="none" w:sz="0" w:space="0" w:color="auto"/>
      </w:divBdr>
    </w:div>
    <w:div w:id="903565035">
      <w:bodyDiv w:val="1"/>
      <w:marLeft w:val="0"/>
      <w:marRight w:val="0"/>
      <w:marTop w:val="0"/>
      <w:marBottom w:val="0"/>
      <w:divBdr>
        <w:top w:val="none" w:sz="0" w:space="0" w:color="auto"/>
        <w:left w:val="none" w:sz="0" w:space="0" w:color="auto"/>
        <w:bottom w:val="none" w:sz="0" w:space="0" w:color="auto"/>
        <w:right w:val="none" w:sz="0" w:space="0" w:color="auto"/>
      </w:divBdr>
    </w:div>
    <w:div w:id="905605124">
      <w:bodyDiv w:val="1"/>
      <w:marLeft w:val="0"/>
      <w:marRight w:val="0"/>
      <w:marTop w:val="0"/>
      <w:marBottom w:val="0"/>
      <w:divBdr>
        <w:top w:val="none" w:sz="0" w:space="0" w:color="auto"/>
        <w:left w:val="none" w:sz="0" w:space="0" w:color="auto"/>
        <w:bottom w:val="none" w:sz="0" w:space="0" w:color="auto"/>
        <w:right w:val="none" w:sz="0" w:space="0" w:color="auto"/>
      </w:divBdr>
    </w:div>
    <w:div w:id="906112372">
      <w:bodyDiv w:val="1"/>
      <w:marLeft w:val="0"/>
      <w:marRight w:val="0"/>
      <w:marTop w:val="0"/>
      <w:marBottom w:val="0"/>
      <w:divBdr>
        <w:top w:val="none" w:sz="0" w:space="0" w:color="auto"/>
        <w:left w:val="none" w:sz="0" w:space="0" w:color="auto"/>
        <w:bottom w:val="none" w:sz="0" w:space="0" w:color="auto"/>
        <w:right w:val="none" w:sz="0" w:space="0" w:color="auto"/>
      </w:divBdr>
    </w:div>
    <w:div w:id="906649522">
      <w:bodyDiv w:val="1"/>
      <w:marLeft w:val="0"/>
      <w:marRight w:val="0"/>
      <w:marTop w:val="0"/>
      <w:marBottom w:val="0"/>
      <w:divBdr>
        <w:top w:val="none" w:sz="0" w:space="0" w:color="auto"/>
        <w:left w:val="none" w:sz="0" w:space="0" w:color="auto"/>
        <w:bottom w:val="none" w:sz="0" w:space="0" w:color="auto"/>
        <w:right w:val="none" w:sz="0" w:space="0" w:color="auto"/>
      </w:divBdr>
    </w:div>
    <w:div w:id="911355908">
      <w:bodyDiv w:val="1"/>
      <w:marLeft w:val="0"/>
      <w:marRight w:val="0"/>
      <w:marTop w:val="0"/>
      <w:marBottom w:val="0"/>
      <w:divBdr>
        <w:top w:val="none" w:sz="0" w:space="0" w:color="auto"/>
        <w:left w:val="none" w:sz="0" w:space="0" w:color="auto"/>
        <w:bottom w:val="none" w:sz="0" w:space="0" w:color="auto"/>
        <w:right w:val="none" w:sz="0" w:space="0" w:color="auto"/>
      </w:divBdr>
    </w:div>
    <w:div w:id="929004076">
      <w:bodyDiv w:val="1"/>
      <w:marLeft w:val="0"/>
      <w:marRight w:val="0"/>
      <w:marTop w:val="0"/>
      <w:marBottom w:val="0"/>
      <w:divBdr>
        <w:top w:val="none" w:sz="0" w:space="0" w:color="auto"/>
        <w:left w:val="none" w:sz="0" w:space="0" w:color="auto"/>
        <w:bottom w:val="none" w:sz="0" w:space="0" w:color="auto"/>
        <w:right w:val="none" w:sz="0" w:space="0" w:color="auto"/>
      </w:divBdr>
    </w:div>
    <w:div w:id="930351782">
      <w:bodyDiv w:val="1"/>
      <w:marLeft w:val="0"/>
      <w:marRight w:val="0"/>
      <w:marTop w:val="0"/>
      <w:marBottom w:val="0"/>
      <w:divBdr>
        <w:top w:val="none" w:sz="0" w:space="0" w:color="auto"/>
        <w:left w:val="none" w:sz="0" w:space="0" w:color="auto"/>
        <w:bottom w:val="none" w:sz="0" w:space="0" w:color="auto"/>
        <w:right w:val="none" w:sz="0" w:space="0" w:color="auto"/>
      </w:divBdr>
    </w:div>
    <w:div w:id="936863642">
      <w:bodyDiv w:val="1"/>
      <w:marLeft w:val="0"/>
      <w:marRight w:val="0"/>
      <w:marTop w:val="0"/>
      <w:marBottom w:val="0"/>
      <w:divBdr>
        <w:top w:val="none" w:sz="0" w:space="0" w:color="auto"/>
        <w:left w:val="none" w:sz="0" w:space="0" w:color="auto"/>
        <w:bottom w:val="none" w:sz="0" w:space="0" w:color="auto"/>
        <w:right w:val="none" w:sz="0" w:space="0" w:color="auto"/>
      </w:divBdr>
    </w:div>
    <w:div w:id="940265252">
      <w:bodyDiv w:val="1"/>
      <w:marLeft w:val="0"/>
      <w:marRight w:val="0"/>
      <w:marTop w:val="0"/>
      <w:marBottom w:val="0"/>
      <w:divBdr>
        <w:top w:val="none" w:sz="0" w:space="0" w:color="auto"/>
        <w:left w:val="none" w:sz="0" w:space="0" w:color="auto"/>
        <w:bottom w:val="none" w:sz="0" w:space="0" w:color="auto"/>
        <w:right w:val="none" w:sz="0" w:space="0" w:color="auto"/>
      </w:divBdr>
    </w:div>
    <w:div w:id="941456548">
      <w:bodyDiv w:val="1"/>
      <w:marLeft w:val="0"/>
      <w:marRight w:val="0"/>
      <w:marTop w:val="0"/>
      <w:marBottom w:val="0"/>
      <w:divBdr>
        <w:top w:val="none" w:sz="0" w:space="0" w:color="auto"/>
        <w:left w:val="none" w:sz="0" w:space="0" w:color="auto"/>
        <w:bottom w:val="none" w:sz="0" w:space="0" w:color="auto"/>
        <w:right w:val="none" w:sz="0" w:space="0" w:color="auto"/>
      </w:divBdr>
    </w:div>
    <w:div w:id="943029509">
      <w:bodyDiv w:val="1"/>
      <w:marLeft w:val="0"/>
      <w:marRight w:val="0"/>
      <w:marTop w:val="0"/>
      <w:marBottom w:val="0"/>
      <w:divBdr>
        <w:top w:val="none" w:sz="0" w:space="0" w:color="auto"/>
        <w:left w:val="none" w:sz="0" w:space="0" w:color="auto"/>
        <w:bottom w:val="none" w:sz="0" w:space="0" w:color="auto"/>
        <w:right w:val="none" w:sz="0" w:space="0" w:color="auto"/>
      </w:divBdr>
    </w:div>
    <w:div w:id="946430334">
      <w:bodyDiv w:val="1"/>
      <w:marLeft w:val="0"/>
      <w:marRight w:val="0"/>
      <w:marTop w:val="0"/>
      <w:marBottom w:val="0"/>
      <w:divBdr>
        <w:top w:val="none" w:sz="0" w:space="0" w:color="auto"/>
        <w:left w:val="none" w:sz="0" w:space="0" w:color="auto"/>
        <w:bottom w:val="none" w:sz="0" w:space="0" w:color="auto"/>
        <w:right w:val="none" w:sz="0" w:space="0" w:color="auto"/>
      </w:divBdr>
    </w:div>
    <w:div w:id="951129209">
      <w:bodyDiv w:val="1"/>
      <w:marLeft w:val="0"/>
      <w:marRight w:val="0"/>
      <w:marTop w:val="0"/>
      <w:marBottom w:val="0"/>
      <w:divBdr>
        <w:top w:val="none" w:sz="0" w:space="0" w:color="auto"/>
        <w:left w:val="none" w:sz="0" w:space="0" w:color="auto"/>
        <w:bottom w:val="none" w:sz="0" w:space="0" w:color="auto"/>
        <w:right w:val="none" w:sz="0" w:space="0" w:color="auto"/>
      </w:divBdr>
    </w:div>
    <w:div w:id="951281821">
      <w:bodyDiv w:val="1"/>
      <w:marLeft w:val="0"/>
      <w:marRight w:val="0"/>
      <w:marTop w:val="0"/>
      <w:marBottom w:val="0"/>
      <w:divBdr>
        <w:top w:val="none" w:sz="0" w:space="0" w:color="auto"/>
        <w:left w:val="none" w:sz="0" w:space="0" w:color="auto"/>
        <w:bottom w:val="none" w:sz="0" w:space="0" w:color="auto"/>
        <w:right w:val="none" w:sz="0" w:space="0" w:color="auto"/>
      </w:divBdr>
    </w:div>
    <w:div w:id="951865905">
      <w:bodyDiv w:val="1"/>
      <w:marLeft w:val="0"/>
      <w:marRight w:val="0"/>
      <w:marTop w:val="0"/>
      <w:marBottom w:val="0"/>
      <w:divBdr>
        <w:top w:val="none" w:sz="0" w:space="0" w:color="auto"/>
        <w:left w:val="none" w:sz="0" w:space="0" w:color="auto"/>
        <w:bottom w:val="none" w:sz="0" w:space="0" w:color="auto"/>
        <w:right w:val="none" w:sz="0" w:space="0" w:color="auto"/>
      </w:divBdr>
    </w:div>
    <w:div w:id="956762381">
      <w:bodyDiv w:val="1"/>
      <w:marLeft w:val="0"/>
      <w:marRight w:val="0"/>
      <w:marTop w:val="0"/>
      <w:marBottom w:val="0"/>
      <w:divBdr>
        <w:top w:val="none" w:sz="0" w:space="0" w:color="auto"/>
        <w:left w:val="none" w:sz="0" w:space="0" w:color="auto"/>
        <w:bottom w:val="none" w:sz="0" w:space="0" w:color="auto"/>
        <w:right w:val="none" w:sz="0" w:space="0" w:color="auto"/>
      </w:divBdr>
    </w:div>
    <w:div w:id="958073481">
      <w:bodyDiv w:val="1"/>
      <w:marLeft w:val="0"/>
      <w:marRight w:val="0"/>
      <w:marTop w:val="0"/>
      <w:marBottom w:val="0"/>
      <w:divBdr>
        <w:top w:val="none" w:sz="0" w:space="0" w:color="auto"/>
        <w:left w:val="none" w:sz="0" w:space="0" w:color="auto"/>
        <w:bottom w:val="none" w:sz="0" w:space="0" w:color="auto"/>
        <w:right w:val="none" w:sz="0" w:space="0" w:color="auto"/>
      </w:divBdr>
    </w:div>
    <w:div w:id="958678625">
      <w:bodyDiv w:val="1"/>
      <w:marLeft w:val="0"/>
      <w:marRight w:val="0"/>
      <w:marTop w:val="0"/>
      <w:marBottom w:val="0"/>
      <w:divBdr>
        <w:top w:val="none" w:sz="0" w:space="0" w:color="auto"/>
        <w:left w:val="none" w:sz="0" w:space="0" w:color="auto"/>
        <w:bottom w:val="none" w:sz="0" w:space="0" w:color="auto"/>
        <w:right w:val="none" w:sz="0" w:space="0" w:color="auto"/>
      </w:divBdr>
    </w:div>
    <w:div w:id="968050477">
      <w:bodyDiv w:val="1"/>
      <w:marLeft w:val="0"/>
      <w:marRight w:val="0"/>
      <w:marTop w:val="0"/>
      <w:marBottom w:val="0"/>
      <w:divBdr>
        <w:top w:val="none" w:sz="0" w:space="0" w:color="auto"/>
        <w:left w:val="none" w:sz="0" w:space="0" w:color="auto"/>
        <w:bottom w:val="none" w:sz="0" w:space="0" w:color="auto"/>
        <w:right w:val="none" w:sz="0" w:space="0" w:color="auto"/>
      </w:divBdr>
    </w:div>
    <w:div w:id="968125803">
      <w:bodyDiv w:val="1"/>
      <w:marLeft w:val="0"/>
      <w:marRight w:val="0"/>
      <w:marTop w:val="0"/>
      <w:marBottom w:val="0"/>
      <w:divBdr>
        <w:top w:val="none" w:sz="0" w:space="0" w:color="auto"/>
        <w:left w:val="none" w:sz="0" w:space="0" w:color="auto"/>
        <w:bottom w:val="none" w:sz="0" w:space="0" w:color="auto"/>
        <w:right w:val="none" w:sz="0" w:space="0" w:color="auto"/>
      </w:divBdr>
    </w:div>
    <w:div w:id="969284992">
      <w:bodyDiv w:val="1"/>
      <w:marLeft w:val="0"/>
      <w:marRight w:val="0"/>
      <w:marTop w:val="0"/>
      <w:marBottom w:val="0"/>
      <w:divBdr>
        <w:top w:val="none" w:sz="0" w:space="0" w:color="auto"/>
        <w:left w:val="none" w:sz="0" w:space="0" w:color="auto"/>
        <w:bottom w:val="none" w:sz="0" w:space="0" w:color="auto"/>
        <w:right w:val="none" w:sz="0" w:space="0" w:color="auto"/>
      </w:divBdr>
    </w:div>
    <w:div w:id="970086942">
      <w:bodyDiv w:val="1"/>
      <w:marLeft w:val="0"/>
      <w:marRight w:val="0"/>
      <w:marTop w:val="0"/>
      <w:marBottom w:val="0"/>
      <w:divBdr>
        <w:top w:val="none" w:sz="0" w:space="0" w:color="auto"/>
        <w:left w:val="none" w:sz="0" w:space="0" w:color="auto"/>
        <w:bottom w:val="none" w:sz="0" w:space="0" w:color="auto"/>
        <w:right w:val="none" w:sz="0" w:space="0" w:color="auto"/>
      </w:divBdr>
    </w:div>
    <w:div w:id="974146058">
      <w:bodyDiv w:val="1"/>
      <w:marLeft w:val="0"/>
      <w:marRight w:val="0"/>
      <w:marTop w:val="0"/>
      <w:marBottom w:val="0"/>
      <w:divBdr>
        <w:top w:val="none" w:sz="0" w:space="0" w:color="auto"/>
        <w:left w:val="none" w:sz="0" w:space="0" w:color="auto"/>
        <w:bottom w:val="none" w:sz="0" w:space="0" w:color="auto"/>
        <w:right w:val="none" w:sz="0" w:space="0" w:color="auto"/>
      </w:divBdr>
    </w:div>
    <w:div w:id="976255464">
      <w:bodyDiv w:val="1"/>
      <w:marLeft w:val="0"/>
      <w:marRight w:val="0"/>
      <w:marTop w:val="0"/>
      <w:marBottom w:val="0"/>
      <w:divBdr>
        <w:top w:val="none" w:sz="0" w:space="0" w:color="auto"/>
        <w:left w:val="none" w:sz="0" w:space="0" w:color="auto"/>
        <w:bottom w:val="none" w:sz="0" w:space="0" w:color="auto"/>
        <w:right w:val="none" w:sz="0" w:space="0" w:color="auto"/>
      </w:divBdr>
    </w:div>
    <w:div w:id="982079314">
      <w:bodyDiv w:val="1"/>
      <w:marLeft w:val="0"/>
      <w:marRight w:val="0"/>
      <w:marTop w:val="0"/>
      <w:marBottom w:val="0"/>
      <w:divBdr>
        <w:top w:val="none" w:sz="0" w:space="0" w:color="auto"/>
        <w:left w:val="none" w:sz="0" w:space="0" w:color="auto"/>
        <w:bottom w:val="none" w:sz="0" w:space="0" w:color="auto"/>
        <w:right w:val="none" w:sz="0" w:space="0" w:color="auto"/>
      </w:divBdr>
    </w:div>
    <w:div w:id="987980906">
      <w:bodyDiv w:val="1"/>
      <w:marLeft w:val="0"/>
      <w:marRight w:val="0"/>
      <w:marTop w:val="0"/>
      <w:marBottom w:val="0"/>
      <w:divBdr>
        <w:top w:val="none" w:sz="0" w:space="0" w:color="auto"/>
        <w:left w:val="none" w:sz="0" w:space="0" w:color="auto"/>
        <w:bottom w:val="none" w:sz="0" w:space="0" w:color="auto"/>
        <w:right w:val="none" w:sz="0" w:space="0" w:color="auto"/>
      </w:divBdr>
    </w:div>
    <w:div w:id="988633185">
      <w:bodyDiv w:val="1"/>
      <w:marLeft w:val="0"/>
      <w:marRight w:val="0"/>
      <w:marTop w:val="0"/>
      <w:marBottom w:val="0"/>
      <w:divBdr>
        <w:top w:val="none" w:sz="0" w:space="0" w:color="auto"/>
        <w:left w:val="none" w:sz="0" w:space="0" w:color="auto"/>
        <w:bottom w:val="none" w:sz="0" w:space="0" w:color="auto"/>
        <w:right w:val="none" w:sz="0" w:space="0" w:color="auto"/>
      </w:divBdr>
    </w:div>
    <w:div w:id="989016952">
      <w:bodyDiv w:val="1"/>
      <w:marLeft w:val="0"/>
      <w:marRight w:val="0"/>
      <w:marTop w:val="0"/>
      <w:marBottom w:val="0"/>
      <w:divBdr>
        <w:top w:val="none" w:sz="0" w:space="0" w:color="auto"/>
        <w:left w:val="none" w:sz="0" w:space="0" w:color="auto"/>
        <w:bottom w:val="none" w:sz="0" w:space="0" w:color="auto"/>
        <w:right w:val="none" w:sz="0" w:space="0" w:color="auto"/>
      </w:divBdr>
    </w:div>
    <w:div w:id="995958744">
      <w:bodyDiv w:val="1"/>
      <w:marLeft w:val="0"/>
      <w:marRight w:val="0"/>
      <w:marTop w:val="0"/>
      <w:marBottom w:val="0"/>
      <w:divBdr>
        <w:top w:val="none" w:sz="0" w:space="0" w:color="auto"/>
        <w:left w:val="none" w:sz="0" w:space="0" w:color="auto"/>
        <w:bottom w:val="none" w:sz="0" w:space="0" w:color="auto"/>
        <w:right w:val="none" w:sz="0" w:space="0" w:color="auto"/>
      </w:divBdr>
    </w:div>
    <w:div w:id="996298226">
      <w:bodyDiv w:val="1"/>
      <w:marLeft w:val="0"/>
      <w:marRight w:val="0"/>
      <w:marTop w:val="0"/>
      <w:marBottom w:val="0"/>
      <w:divBdr>
        <w:top w:val="none" w:sz="0" w:space="0" w:color="auto"/>
        <w:left w:val="none" w:sz="0" w:space="0" w:color="auto"/>
        <w:bottom w:val="none" w:sz="0" w:space="0" w:color="auto"/>
        <w:right w:val="none" w:sz="0" w:space="0" w:color="auto"/>
      </w:divBdr>
    </w:div>
    <w:div w:id="999849502">
      <w:bodyDiv w:val="1"/>
      <w:marLeft w:val="0"/>
      <w:marRight w:val="0"/>
      <w:marTop w:val="0"/>
      <w:marBottom w:val="0"/>
      <w:divBdr>
        <w:top w:val="none" w:sz="0" w:space="0" w:color="auto"/>
        <w:left w:val="none" w:sz="0" w:space="0" w:color="auto"/>
        <w:bottom w:val="none" w:sz="0" w:space="0" w:color="auto"/>
        <w:right w:val="none" w:sz="0" w:space="0" w:color="auto"/>
      </w:divBdr>
    </w:div>
    <w:div w:id="1000739113">
      <w:bodyDiv w:val="1"/>
      <w:marLeft w:val="0"/>
      <w:marRight w:val="0"/>
      <w:marTop w:val="0"/>
      <w:marBottom w:val="0"/>
      <w:divBdr>
        <w:top w:val="none" w:sz="0" w:space="0" w:color="auto"/>
        <w:left w:val="none" w:sz="0" w:space="0" w:color="auto"/>
        <w:bottom w:val="none" w:sz="0" w:space="0" w:color="auto"/>
        <w:right w:val="none" w:sz="0" w:space="0" w:color="auto"/>
      </w:divBdr>
    </w:div>
    <w:div w:id="1005087997">
      <w:bodyDiv w:val="1"/>
      <w:marLeft w:val="0"/>
      <w:marRight w:val="0"/>
      <w:marTop w:val="0"/>
      <w:marBottom w:val="0"/>
      <w:divBdr>
        <w:top w:val="none" w:sz="0" w:space="0" w:color="auto"/>
        <w:left w:val="none" w:sz="0" w:space="0" w:color="auto"/>
        <w:bottom w:val="none" w:sz="0" w:space="0" w:color="auto"/>
        <w:right w:val="none" w:sz="0" w:space="0" w:color="auto"/>
      </w:divBdr>
    </w:div>
    <w:div w:id="1007563051">
      <w:bodyDiv w:val="1"/>
      <w:marLeft w:val="0"/>
      <w:marRight w:val="0"/>
      <w:marTop w:val="0"/>
      <w:marBottom w:val="0"/>
      <w:divBdr>
        <w:top w:val="none" w:sz="0" w:space="0" w:color="auto"/>
        <w:left w:val="none" w:sz="0" w:space="0" w:color="auto"/>
        <w:bottom w:val="none" w:sz="0" w:space="0" w:color="auto"/>
        <w:right w:val="none" w:sz="0" w:space="0" w:color="auto"/>
      </w:divBdr>
    </w:div>
    <w:div w:id="1009332508">
      <w:bodyDiv w:val="1"/>
      <w:marLeft w:val="0"/>
      <w:marRight w:val="0"/>
      <w:marTop w:val="0"/>
      <w:marBottom w:val="0"/>
      <w:divBdr>
        <w:top w:val="none" w:sz="0" w:space="0" w:color="auto"/>
        <w:left w:val="none" w:sz="0" w:space="0" w:color="auto"/>
        <w:bottom w:val="none" w:sz="0" w:space="0" w:color="auto"/>
        <w:right w:val="none" w:sz="0" w:space="0" w:color="auto"/>
      </w:divBdr>
    </w:div>
    <w:div w:id="1010522274">
      <w:bodyDiv w:val="1"/>
      <w:marLeft w:val="0"/>
      <w:marRight w:val="0"/>
      <w:marTop w:val="0"/>
      <w:marBottom w:val="0"/>
      <w:divBdr>
        <w:top w:val="none" w:sz="0" w:space="0" w:color="auto"/>
        <w:left w:val="none" w:sz="0" w:space="0" w:color="auto"/>
        <w:bottom w:val="none" w:sz="0" w:space="0" w:color="auto"/>
        <w:right w:val="none" w:sz="0" w:space="0" w:color="auto"/>
      </w:divBdr>
    </w:div>
    <w:div w:id="1012924663">
      <w:bodyDiv w:val="1"/>
      <w:marLeft w:val="0"/>
      <w:marRight w:val="0"/>
      <w:marTop w:val="0"/>
      <w:marBottom w:val="0"/>
      <w:divBdr>
        <w:top w:val="none" w:sz="0" w:space="0" w:color="auto"/>
        <w:left w:val="none" w:sz="0" w:space="0" w:color="auto"/>
        <w:bottom w:val="none" w:sz="0" w:space="0" w:color="auto"/>
        <w:right w:val="none" w:sz="0" w:space="0" w:color="auto"/>
      </w:divBdr>
    </w:div>
    <w:div w:id="1029524341">
      <w:bodyDiv w:val="1"/>
      <w:marLeft w:val="0"/>
      <w:marRight w:val="0"/>
      <w:marTop w:val="0"/>
      <w:marBottom w:val="0"/>
      <w:divBdr>
        <w:top w:val="none" w:sz="0" w:space="0" w:color="auto"/>
        <w:left w:val="none" w:sz="0" w:space="0" w:color="auto"/>
        <w:bottom w:val="none" w:sz="0" w:space="0" w:color="auto"/>
        <w:right w:val="none" w:sz="0" w:space="0" w:color="auto"/>
      </w:divBdr>
    </w:div>
    <w:div w:id="1040400344">
      <w:bodyDiv w:val="1"/>
      <w:marLeft w:val="0"/>
      <w:marRight w:val="0"/>
      <w:marTop w:val="0"/>
      <w:marBottom w:val="0"/>
      <w:divBdr>
        <w:top w:val="none" w:sz="0" w:space="0" w:color="auto"/>
        <w:left w:val="none" w:sz="0" w:space="0" w:color="auto"/>
        <w:bottom w:val="none" w:sz="0" w:space="0" w:color="auto"/>
        <w:right w:val="none" w:sz="0" w:space="0" w:color="auto"/>
      </w:divBdr>
    </w:div>
    <w:div w:id="1047341628">
      <w:bodyDiv w:val="1"/>
      <w:marLeft w:val="0"/>
      <w:marRight w:val="0"/>
      <w:marTop w:val="0"/>
      <w:marBottom w:val="0"/>
      <w:divBdr>
        <w:top w:val="none" w:sz="0" w:space="0" w:color="auto"/>
        <w:left w:val="none" w:sz="0" w:space="0" w:color="auto"/>
        <w:bottom w:val="none" w:sz="0" w:space="0" w:color="auto"/>
        <w:right w:val="none" w:sz="0" w:space="0" w:color="auto"/>
      </w:divBdr>
    </w:div>
    <w:div w:id="1049837287">
      <w:bodyDiv w:val="1"/>
      <w:marLeft w:val="0"/>
      <w:marRight w:val="0"/>
      <w:marTop w:val="0"/>
      <w:marBottom w:val="0"/>
      <w:divBdr>
        <w:top w:val="none" w:sz="0" w:space="0" w:color="auto"/>
        <w:left w:val="none" w:sz="0" w:space="0" w:color="auto"/>
        <w:bottom w:val="none" w:sz="0" w:space="0" w:color="auto"/>
        <w:right w:val="none" w:sz="0" w:space="0" w:color="auto"/>
      </w:divBdr>
    </w:div>
    <w:div w:id="1055853775">
      <w:bodyDiv w:val="1"/>
      <w:marLeft w:val="0"/>
      <w:marRight w:val="0"/>
      <w:marTop w:val="0"/>
      <w:marBottom w:val="0"/>
      <w:divBdr>
        <w:top w:val="none" w:sz="0" w:space="0" w:color="auto"/>
        <w:left w:val="none" w:sz="0" w:space="0" w:color="auto"/>
        <w:bottom w:val="none" w:sz="0" w:space="0" w:color="auto"/>
        <w:right w:val="none" w:sz="0" w:space="0" w:color="auto"/>
      </w:divBdr>
    </w:div>
    <w:div w:id="1061440831">
      <w:bodyDiv w:val="1"/>
      <w:marLeft w:val="0"/>
      <w:marRight w:val="0"/>
      <w:marTop w:val="0"/>
      <w:marBottom w:val="0"/>
      <w:divBdr>
        <w:top w:val="none" w:sz="0" w:space="0" w:color="auto"/>
        <w:left w:val="none" w:sz="0" w:space="0" w:color="auto"/>
        <w:bottom w:val="none" w:sz="0" w:space="0" w:color="auto"/>
        <w:right w:val="none" w:sz="0" w:space="0" w:color="auto"/>
      </w:divBdr>
    </w:div>
    <w:div w:id="1067072784">
      <w:bodyDiv w:val="1"/>
      <w:marLeft w:val="0"/>
      <w:marRight w:val="0"/>
      <w:marTop w:val="0"/>
      <w:marBottom w:val="0"/>
      <w:divBdr>
        <w:top w:val="none" w:sz="0" w:space="0" w:color="auto"/>
        <w:left w:val="none" w:sz="0" w:space="0" w:color="auto"/>
        <w:bottom w:val="none" w:sz="0" w:space="0" w:color="auto"/>
        <w:right w:val="none" w:sz="0" w:space="0" w:color="auto"/>
      </w:divBdr>
    </w:div>
    <w:div w:id="1067915364">
      <w:bodyDiv w:val="1"/>
      <w:marLeft w:val="0"/>
      <w:marRight w:val="0"/>
      <w:marTop w:val="0"/>
      <w:marBottom w:val="0"/>
      <w:divBdr>
        <w:top w:val="none" w:sz="0" w:space="0" w:color="auto"/>
        <w:left w:val="none" w:sz="0" w:space="0" w:color="auto"/>
        <w:bottom w:val="none" w:sz="0" w:space="0" w:color="auto"/>
        <w:right w:val="none" w:sz="0" w:space="0" w:color="auto"/>
      </w:divBdr>
    </w:div>
    <w:div w:id="1067918811">
      <w:bodyDiv w:val="1"/>
      <w:marLeft w:val="0"/>
      <w:marRight w:val="0"/>
      <w:marTop w:val="0"/>
      <w:marBottom w:val="0"/>
      <w:divBdr>
        <w:top w:val="none" w:sz="0" w:space="0" w:color="auto"/>
        <w:left w:val="none" w:sz="0" w:space="0" w:color="auto"/>
        <w:bottom w:val="none" w:sz="0" w:space="0" w:color="auto"/>
        <w:right w:val="none" w:sz="0" w:space="0" w:color="auto"/>
      </w:divBdr>
    </w:div>
    <w:div w:id="1071120977">
      <w:bodyDiv w:val="1"/>
      <w:marLeft w:val="0"/>
      <w:marRight w:val="0"/>
      <w:marTop w:val="0"/>
      <w:marBottom w:val="0"/>
      <w:divBdr>
        <w:top w:val="none" w:sz="0" w:space="0" w:color="auto"/>
        <w:left w:val="none" w:sz="0" w:space="0" w:color="auto"/>
        <w:bottom w:val="none" w:sz="0" w:space="0" w:color="auto"/>
        <w:right w:val="none" w:sz="0" w:space="0" w:color="auto"/>
      </w:divBdr>
    </w:div>
    <w:div w:id="1075131901">
      <w:bodyDiv w:val="1"/>
      <w:marLeft w:val="0"/>
      <w:marRight w:val="0"/>
      <w:marTop w:val="0"/>
      <w:marBottom w:val="0"/>
      <w:divBdr>
        <w:top w:val="none" w:sz="0" w:space="0" w:color="auto"/>
        <w:left w:val="none" w:sz="0" w:space="0" w:color="auto"/>
        <w:bottom w:val="none" w:sz="0" w:space="0" w:color="auto"/>
        <w:right w:val="none" w:sz="0" w:space="0" w:color="auto"/>
      </w:divBdr>
    </w:div>
    <w:div w:id="1079060877">
      <w:bodyDiv w:val="1"/>
      <w:marLeft w:val="0"/>
      <w:marRight w:val="0"/>
      <w:marTop w:val="0"/>
      <w:marBottom w:val="0"/>
      <w:divBdr>
        <w:top w:val="none" w:sz="0" w:space="0" w:color="auto"/>
        <w:left w:val="none" w:sz="0" w:space="0" w:color="auto"/>
        <w:bottom w:val="none" w:sz="0" w:space="0" w:color="auto"/>
        <w:right w:val="none" w:sz="0" w:space="0" w:color="auto"/>
      </w:divBdr>
    </w:div>
    <w:div w:id="1079593486">
      <w:bodyDiv w:val="1"/>
      <w:marLeft w:val="0"/>
      <w:marRight w:val="0"/>
      <w:marTop w:val="0"/>
      <w:marBottom w:val="0"/>
      <w:divBdr>
        <w:top w:val="none" w:sz="0" w:space="0" w:color="auto"/>
        <w:left w:val="none" w:sz="0" w:space="0" w:color="auto"/>
        <w:bottom w:val="none" w:sz="0" w:space="0" w:color="auto"/>
        <w:right w:val="none" w:sz="0" w:space="0" w:color="auto"/>
      </w:divBdr>
    </w:div>
    <w:div w:id="1080173365">
      <w:bodyDiv w:val="1"/>
      <w:marLeft w:val="0"/>
      <w:marRight w:val="0"/>
      <w:marTop w:val="0"/>
      <w:marBottom w:val="0"/>
      <w:divBdr>
        <w:top w:val="none" w:sz="0" w:space="0" w:color="auto"/>
        <w:left w:val="none" w:sz="0" w:space="0" w:color="auto"/>
        <w:bottom w:val="none" w:sz="0" w:space="0" w:color="auto"/>
        <w:right w:val="none" w:sz="0" w:space="0" w:color="auto"/>
      </w:divBdr>
    </w:div>
    <w:div w:id="1096511599">
      <w:bodyDiv w:val="1"/>
      <w:marLeft w:val="0"/>
      <w:marRight w:val="0"/>
      <w:marTop w:val="0"/>
      <w:marBottom w:val="0"/>
      <w:divBdr>
        <w:top w:val="none" w:sz="0" w:space="0" w:color="auto"/>
        <w:left w:val="none" w:sz="0" w:space="0" w:color="auto"/>
        <w:bottom w:val="none" w:sz="0" w:space="0" w:color="auto"/>
        <w:right w:val="none" w:sz="0" w:space="0" w:color="auto"/>
      </w:divBdr>
    </w:div>
    <w:div w:id="1096631895">
      <w:bodyDiv w:val="1"/>
      <w:marLeft w:val="0"/>
      <w:marRight w:val="0"/>
      <w:marTop w:val="0"/>
      <w:marBottom w:val="0"/>
      <w:divBdr>
        <w:top w:val="none" w:sz="0" w:space="0" w:color="auto"/>
        <w:left w:val="none" w:sz="0" w:space="0" w:color="auto"/>
        <w:bottom w:val="none" w:sz="0" w:space="0" w:color="auto"/>
        <w:right w:val="none" w:sz="0" w:space="0" w:color="auto"/>
      </w:divBdr>
    </w:div>
    <w:div w:id="1097677116">
      <w:bodyDiv w:val="1"/>
      <w:marLeft w:val="0"/>
      <w:marRight w:val="0"/>
      <w:marTop w:val="0"/>
      <w:marBottom w:val="0"/>
      <w:divBdr>
        <w:top w:val="none" w:sz="0" w:space="0" w:color="auto"/>
        <w:left w:val="none" w:sz="0" w:space="0" w:color="auto"/>
        <w:bottom w:val="none" w:sz="0" w:space="0" w:color="auto"/>
        <w:right w:val="none" w:sz="0" w:space="0" w:color="auto"/>
      </w:divBdr>
    </w:div>
    <w:div w:id="1103303536">
      <w:bodyDiv w:val="1"/>
      <w:marLeft w:val="0"/>
      <w:marRight w:val="0"/>
      <w:marTop w:val="0"/>
      <w:marBottom w:val="0"/>
      <w:divBdr>
        <w:top w:val="none" w:sz="0" w:space="0" w:color="auto"/>
        <w:left w:val="none" w:sz="0" w:space="0" w:color="auto"/>
        <w:bottom w:val="none" w:sz="0" w:space="0" w:color="auto"/>
        <w:right w:val="none" w:sz="0" w:space="0" w:color="auto"/>
      </w:divBdr>
    </w:div>
    <w:div w:id="1104770734">
      <w:bodyDiv w:val="1"/>
      <w:marLeft w:val="0"/>
      <w:marRight w:val="0"/>
      <w:marTop w:val="0"/>
      <w:marBottom w:val="0"/>
      <w:divBdr>
        <w:top w:val="none" w:sz="0" w:space="0" w:color="auto"/>
        <w:left w:val="none" w:sz="0" w:space="0" w:color="auto"/>
        <w:bottom w:val="none" w:sz="0" w:space="0" w:color="auto"/>
        <w:right w:val="none" w:sz="0" w:space="0" w:color="auto"/>
      </w:divBdr>
    </w:div>
    <w:div w:id="1110974390">
      <w:bodyDiv w:val="1"/>
      <w:marLeft w:val="0"/>
      <w:marRight w:val="0"/>
      <w:marTop w:val="0"/>
      <w:marBottom w:val="0"/>
      <w:divBdr>
        <w:top w:val="none" w:sz="0" w:space="0" w:color="auto"/>
        <w:left w:val="none" w:sz="0" w:space="0" w:color="auto"/>
        <w:bottom w:val="none" w:sz="0" w:space="0" w:color="auto"/>
        <w:right w:val="none" w:sz="0" w:space="0" w:color="auto"/>
      </w:divBdr>
    </w:div>
    <w:div w:id="1111435916">
      <w:bodyDiv w:val="1"/>
      <w:marLeft w:val="0"/>
      <w:marRight w:val="0"/>
      <w:marTop w:val="0"/>
      <w:marBottom w:val="0"/>
      <w:divBdr>
        <w:top w:val="none" w:sz="0" w:space="0" w:color="auto"/>
        <w:left w:val="none" w:sz="0" w:space="0" w:color="auto"/>
        <w:bottom w:val="none" w:sz="0" w:space="0" w:color="auto"/>
        <w:right w:val="none" w:sz="0" w:space="0" w:color="auto"/>
      </w:divBdr>
    </w:div>
    <w:div w:id="1112480836">
      <w:bodyDiv w:val="1"/>
      <w:marLeft w:val="0"/>
      <w:marRight w:val="0"/>
      <w:marTop w:val="0"/>
      <w:marBottom w:val="0"/>
      <w:divBdr>
        <w:top w:val="none" w:sz="0" w:space="0" w:color="auto"/>
        <w:left w:val="none" w:sz="0" w:space="0" w:color="auto"/>
        <w:bottom w:val="none" w:sz="0" w:space="0" w:color="auto"/>
        <w:right w:val="none" w:sz="0" w:space="0" w:color="auto"/>
      </w:divBdr>
    </w:div>
    <w:div w:id="1112941483">
      <w:bodyDiv w:val="1"/>
      <w:marLeft w:val="0"/>
      <w:marRight w:val="0"/>
      <w:marTop w:val="0"/>
      <w:marBottom w:val="0"/>
      <w:divBdr>
        <w:top w:val="none" w:sz="0" w:space="0" w:color="auto"/>
        <w:left w:val="none" w:sz="0" w:space="0" w:color="auto"/>
        <w:bottom w:val="none" w:sz="0" w:space="0" w:color="auto"/>
        <w:right w:val="none" w:sz="0" w:space="0" w:color="auto"/>
      </w:divBdr>
    </w:div>
    <w:div w:id="1124540982">
      <w:bodyDiv w:val="1"/>
      <w:marLeft w:val="0"/>
      <w:marRight w:val="0"/>
      <w:marTop w:val="0"/>
      <w:marBottom w:val="0"/>
      <w:divBdr>
        <w:top w:val="none" w:sz="0" w:space="0" w:color="auto"/>
        <w:left w:val="none" w:sz="0" w:space="0" w:color="auto"/>
        <w:bottom w:val="none" w:sz="0" w:space="0" w:color="auto"/>
        <w:right w:val="none" w:sz="0" w:space="0" w:color="auto"/>
      </w:divBdr>
    </w:div>
    <w:div w:id="1125274322">
      <w:bodyDiv w:val="1"/>
      <w:marLeft w:val="0"/>
      <w:marRight w:val="0"/>
      <w:marTop w:val="0"/>
      <w:marBottom w:val="0"/>
      <w:divBdr>
        <w:top w:val="none" w:sz="0" w:space="0" w:color="auto"/>
        <w:left w:val="none" w:sz="0" w:space="0" w:color="auto"/>
        <w:bottom w:val="none" w:sz="0" w:space="0" w:color="auto"/>
        <w:right w:val="none" w:sz="0" w:space="0" w:color="auto"/>
      </w:divBdr>
    </w:div>
    <w:div w:id="1131940704">
      <w:bodyDiv w:val="1"/>
      <w:marLeft w:val="0"/>
      <w:marRight w:val="0"/>
      <w:marTop w:val="0"/>
      <w:marBottom w:val="0"/>
      <w:divBdr>
        <w:top w:val="none" w:sz="0" w:space="0" w:color="auto"/>
        <w:left w:val="none" w:sz="0" w:space="0" w:color="auto"/>
        <w:bottom w:val="none" w:sz="0" w:space="0" w:color="auto"/>
        <w:right w:val="none" w:sz="0" w:space="0" w:color="auto"/>
      </w:divBdr>
    </w:div>
    <w:div w:id="1136216915">
      <w:bodyDiv w:val="1"/>
      <w:marLeft w:val="0"/>
      <w:marRight w:val="0"/>
      <w:marTop w:val="0"/>
      <w:marBottom w:val="0"/>
      <w:divBdr>
        <w:top w:val="none" w:sz="0" w:space="0" w:color="auto"/>
        <w:left w:val="none" w:sz="0" w:space="0" w:color="auto"/>
        <w:bottom w:val="none" w:sz="0" w:space="0" w:color="auto"/>
        <w:right w:val="none" w:sz="0" w:space="0" w:color="auto"/>
      </w:divBdr>
    </w:div>
    <w:div w:id="1137719127">
      <w:bodyDiv w:val="1"/>
      <w:marLeft w:val="0"/>
      <w:marRight w:val="0"/>
      <w:marTop w:val="0"/>
      <w:marBottom w:val="0"/>
      <w:divBdr>
        <w:top w:val="none" w:sz="0" w:space="0" w:color="auto"/>
        <w:left w:val="none" w:sz="0" w:space="0" w:color="auto"/>
        <w:bottom w:val="none" w:sz="0" w:space="0" w:color="auto"/>
        <w:right w:val="none" w:sz="0" w:space="0" w:color="auto"/>
      </w:divBdr>
    </w:div>
    <w:div w:id="1138957239">
      <w:bodyDiv w:val="1"/>
      <w:marLeft w:val="0"/>
      <w:marRight w:val="0"/>
      <w:marTop w:val="0"/>
      <w:marBottom w:val="0"/>
      <w:divBdr>
        <w:top w:val="none" w:sz="0" w:space="0" w:color="auto"/>
        <w:left w:val="none" w:sz="0" w:space="0" w:color="auto"/>
        <w:bottom w:val="none" w:sz="0" w:space="0" w:color="auto"/>
        <w:right w:val="none" w:sz="0" w:space="0" w:color="auto"/>
      </w:divBdr>
    </w:div>
    <w:div w:id="1141461448">
      <w:bodyDiv w:val="1"/>
      <w:marLeft w:val="0"/>
      <w:marRight w:val="0"/>
      <w:marTop w:val="0"/>
      <w:marBottom w:val="0"/>
      <w:divBdr>
        <w:top w:val="none" w:sz="0" w:space="0" w:color="auto"/>
        <w:left w:val="none" w:sz="0" w:space="0" w:color="auto"/>
        <w:bottom w:val="none" w:sz="0" w:space="0" w:color="auto"/>
        <w:right w:val="none" w:sz="0" w:space="0" w:color="auto"/>
      </w:divBdr>
    </w:div>
    <w:div w:id="1143498802">
      <w:bodyDiv w:val="1"/>
      <w:marLeft w:val="0"/>
      <w:marRight w:val="0"/>
      <w:marTop w:val="0"/>
      <w:marBottom w:val="0"/>
      <w:divBdr>
        <w:top w:val="none" w:sz="0" w:space="0" w:color="auto"/>
        <w:left w:val="none" w:sz="0" w:space="0" w:color="auto"/>
        <w:bottom w:val="none" w:sz="0" w:space="0" w:color="auto"/>
        <w:right w:val="none" w:sz="0" w:space="0" w:color="auto"/>
      </w:divBdr>
    </w:div>
    <w:div w:id="1145001689">
      <w:bodyDiv w:val="1"/>
      <w:marLeft w:val="0"/>
      <w:marRight w:val="0"/>
      <w:marTop w:val="0"/>
      <w:marBottom w:val="0"/>
      <w:divBdr>
        <w:top w:val="none" w:sz="0" w:space="0" w:color="auto"/>
        <w:left w:val="none" w:sz="0" w:space="0" w:color="auto"/>
        <w:bottom w:val="none" w:sz="0" w:space="0" w:color="auto"/>
        <w:right w:val="none" w:sz="0" w:space="0" w:color="auto"/>
      </w:divBdr>
    </w:div>
    <w:div w:id="1160005094">
      <w:bodyDiv w:val="1"/>
      <w:marLeft w:val="0"/>
      <w:marRight w:val="0"/>
      <w:marTop w:val="0"/>
      <w:marBottom w:val="0"/>
      <w:divBdr>
        <w:top w:val="none" w:sz="0" w:space="0" w:color="auto"/>
        <w:left w:val="none" w:sz="0" w:space="0" w:color="auto"/>
        <w:bottom w:val="none" w:sz="0" w:space="0" w:color="auto"/>
        <w:right w:val="none" w:sz="0" w:space="0" w:color="auto"/>
      </w:divBdr>
    </w:div>
    <w:div w:id="1160928973">
      <w:bodyDiv w:val="1"/>
      <w:marLeft w:val="0"/>
      <w:marRight w:val="0"/>
      <w:marTop w:val="0"/>
      <w:marBottom w:val="0"/>
      <w:divBdr>
        <w:top w:val="none" w:sz="0" w:space="0" w:color="auto"/>
        <w:left w:val="none" w:sz="0" w:space="0" w:color="auto"/>
        <w:bottom w:val="none" w:sz="0" w:space="0" w:color="auto"/>
        <w:right w:val="none" w:sz="0" w:space="0" w:color="auto"/>
      </w:divBdr>
    </w:div>
    <w:div w:id="1164510262">
      <w:bodyDiv w:val="1"/>
      <w:marLeft w:val="0"/>
      <w:marRight w:val="0"/>
      <w:marTop w:val="0"/>
      <w:marBottom w:val="0"/>
      <w:divBdr>
        <w:top w:val="none" w:sz="0" w:space="0" w:color="auto"/>
        <w:left w:val="none" w:sz="0" w:space="0" w:color="auto"/>
        <w:bottom w:val="none" w:sz="0" w:space="0" w:color="auto"/>
        <w:right w:val="none" w:sz="0" w:space="0" w:color="auto"/>
      </w:divBdr>
    </w:div>
    <w:div w:id="1164853134">
      <w:bodyDiv w:val="1"/>
      <w:marLeft w:val="0"/>
      <w:marRight w:val="0"/>
      <w:marTop w:val="0"/>
      <w:marBottom w:val="0"/>
      <w:divBdr>
        <w:top w:val="none" w:sz="0" w:space="0" w:color="auto"/>
        <w:left w:val="none" w:sz="0" w:space="0" w:color="auto"/>
        <w:bottom w:val="none" w:sz="0" w:space="0" w:color="auto"/>
        <w:right w:val="none" w:sz="0" w:space="0" w:color="auto"/>
      </w:divBdr>
    </w:div>
    <w:div w:id="1168250715">
      <w:bodyDiv w:val="1"/>
      <w:marLeft w:val="0"/>
      <w:marRight w:val="0"/>
      <w:marTop w:val="0"/>
      <w:marBottom w:val="0"/>
      <w:divBdr>
        <w:top w:val="none" w:sz="0" w:space="0" w:color="auto"/>
        <w:left w:val="none" w:sz="0" w:space="0" w:color="auto"/>
        <w:bottom w:val="none" w:sz="0" w:space="0" w:color="auto"/>
        <w:right w:val="none" w:sz="0" w:space="0" w:color="auto"/>
      </w:divBdr>
    </w:div>
    <w:div w:id="1169711331">
      <w:bodyDiv w:val="1"/>
      <w:marLeft w:val="0"/>
      <w:marRight w:val="0"/>
      <w:marTop w:val="0"/>
      <w:marBottom w:val="0"/>
      <w:divBdr>
        <w:top w:val="none" w:sz="0" w:space="0" w:color="auto"/>
        <w:left w:val="none" w:sz="0" w:space="0" w:color="auto"/>
        <w:bottom w:val="none" w:sz="0" w:space="0" w:color="auto"/>
        <w:right w:val="none" w:sz="0" w:space="0" w:color="auto"/>
      </w:divBdr>
    </w:div>
    <w:div w:id="1172061512">
      <w:bodyDiv w:val="1"/>
      <w:marLeft w:val="0"/>
      <w:marRight w:val="0"/>
      <w:marTop w:val="0"/>
      <w:marBottom w:val="0"/>
      <w:divBdr>
        <w:top w:val="none" w:sz="0" w:space="0" w:color="auto"/>
        <w:left w:val="none" w:sz="0" w:space="0" w:color="auto"/>
        <w:bottom w:val="none" w:sz="0" w:space="0" w:color="auto"/>
        <w:right w:val="none" w:sz="0" w:space="0" w:color="auto"/>
      </w:divBdr>
    </w:div>
    <w:div w:id="1178041162">
      <w:bodyDiv w:val="1"/>
      <w:marLeft w:val="0"/>
      <w:marRight w:val="0"/>
      <w:marTop w:val="0"/>
      <w:marBottom w:val="0"/>
      <w:divBdr>
        <w:top w:val="none" w:sz="0" w:space="0" w:color="auto"/>
        <w:left w:val="none" w:sz="0" w:space="0" w:color="auto"/>
        <w:bottom w:val="none" w:sz="0" w:space="0" w:color="auto"/>
        <w:right w:val="none" w:sz="0" w:space="0" w:color="auto"/>
      </w:divBdr>
    </w:div>
    <w:div w:id="1180004506">
      <w:bodyDiv w:val="1"/>
      <w:marLeft w:val="0"/>
      <w:marRight w:val="0"/>
      <w:marTop w:val="0"/>
      <w:marBottom w:val="0"/>
      <w:divBdr>
        <w:top w:val="none" w:sz="0" w:space="0" w:color="auto"/>
        <w:left w:val="none" w:sz="0" w:space="0" w:color="auto"/>
        <w:bottom w:val="none" w:sz="0" w:space="0" w:color="auto"/>
        <w:right w:val="none" w:sz="0" w:space="0" w:color="auto"/>
      </w:divBdr>
    </w:div>
    <w:div w:id="1199662914">
      <w:bodyDiv w:val="1"/>
      <w:marLeft w:val="0"/>
      <w:marRight w:val="0"/>
      <w:marTop w:val="0"/>
      <w:marBottom w:val="0"/>
      <w:divBdr>
        <w:top w:val="none" w:sz="0" w:space="0" w:color="auto"/>
        <w:left w:val="none" w:sz="0" w:space="0" w:color="auto"/>
        <w:bottom w:val="none" w:sz="0" w:space="0" w:color="auto"/>
        <w:right w:val="none" w:sz="0" w:space="0" w:color="auto"/>
      </w:divBdr>
    </w:div>
    <w:div w:id="1203514306">
      <w:bodyDiv w:val="1"/>
      <w:marLeft w:val="0"/>
      <w:marRight w:val="0"/>
      <w:marTop w:val="0"/>
      <w:marBottom w:val="0"/>
      <w:divBdr>
        <w:top w:val="none" w:sz="0" w:space="0" w:color="auto"/>
        <w:left w:val="none" w:sz="0" w:space="0" w:color="auto"/>
        <w:bottom w:val="none" w:sz="0" w:space="0" w:color="auto"/>
        <w:right w:val="none" w:sz="0" w:space="0" w:color="auto"/>
      </w:divBdr>
    </w:div>
    <w:div w:id="1210070678">
      <w:bodyDiv w:val="1"/>
      <w:marLeft w:val="0"/>
      <w:marRight w:val="0"/>
      <w:marTop w:val="0"/>
      <w:marBottom w:val="0"/>
      <w:divBdr>
        <w:top w:val="none" w:sz="0" w:space="0" w:color="auto"/>
        <w:left w:val="none" w:sz="0" w:space="0" w:color="auto"/>
        <w:bottom w:val="none" w:sz="0" w:space="0" w:color="auto"/>
        <w:right w:val="none" w:sz="0" w:space="0" w:color="auto"/>
      </w:divBdr>
    </w:div>
    <w:div w:id="1219124379">
      <w:bodyDiv w:val="1"/>
      <w:marLeft w:val="0"/>
      <w:marRight w:val="0"/>
      <w:marTop w:val="0"/>
      <w:marBottom w:val="0"/>
      <w:divBdr>
        <w:top w:val="none" w:sz="0" w:space="0" w:color="auto"/>
        <w:left w:val="none" w:sz="0" w:space="0" w:color="auto"/>
        <w:bottom w:val="none" w:sz="0" w:space="0" w:color="auto"/>
        <w:right w:val="none" w:sz="0" w:space="0" w:color="auto"/>
      </w:divBdr>
    </w:div>
    <w:div w:id="1221215351">
      <w:bodyDiv w:val="1"/>
      <w:marLeft w:val="0"/>
      <w:marRight w:val="0"/>
      <w:marTop w:val="0"/>
      <w:marBottom w:val="0"/>
      <w:divBdr>
        <w:top w:val="none" w:sz="0" w:space="0" w:color="auto"/>
        <w:left w:val="none" w:sz="0" w:space="0" w:color="auto"/>
        <w:bottom w:val="none" w:sz="0" w:space="0" w:color="auto"/>
        <w:right w:val="none" w:sz="0" w:space="0" w:color="auto"/>
      </w:divBdr>
    </w:div>
    <w:div w:id="1222323480">
      <w:bodyDiv w:val="1"/>
      <w:marLeft w:val="0"/>
      <w:marRight w:val="0"/>
      <w:marTop w:val="0"/>
      <w:marBottom w:val="0"/>
      <w:divBdr>
        <w:top w:val="none" w:sz="0" w:space="0" w:color="auto"/>
        <w:left w:val="none" w:sz="0" w:space="0" w:color="auto"/>
        <w:bottom w:val="none" w:sz="0" w:space="0" w:color="auto"/>
        <w:right w:val="none" w:sz="0" w:space="0" w:color="auto"/>
      </w:divBdr>
    </w:div>
    <w:div w:id="1225801419">
      <w:bodyDiv w:val="1"/>
      <w:marLeft w:val="0"/>
      <w:marRight w:val="0"/>
      <w:marTop w:val="0"/>
      <w:marBottom w:val="0"/>
      <w:divBdr>
        <w:top w:val="none" w:sz="0" w:space="0" w:color="auto"/>
        <w:left w:val="none" w:sz="0" w:space="0" w:color="auto"/>
        <w:bottom w:val="none" w:sz="0" w:space="0" w:color="auto"/>
        <w:right w:val="none" w:sz="0" w:space="0" w:color="auto"/>
      </w:divBdr>
    </w:div>
    <w:div w:id="1232735201">
      <w:bodyDiv w:val="1"/>
      <w:marLeft w:val="0"/>
      <w:marRight w:val="0"/>
      <w:marTop w:val="0"/>
      <w:marBottom w:val="0"/>
      <w:divBdr>
        <w:top w:val="none" w:sz="0" w:space="0" w:color="auto"/>
        <w:left w:val="none" w:sz="0" w:space="0" w:color="auto"/>
        <w:bottom w:val="none" w:sz="0" w:space="0" w:color="auto"/>
        <w:right w:val="none" w:sz="0" w:space="0" w:color="auto"/>
      </w:divBdr>
    </w:div>
    <w:div w:id="1232931919">
      <w:bodyDiv w:val="1"/>
      <w:marLeft w:val="0"/>
      <w:marRight w:val="0"/>
      <w:marTop w:val="0"/>
      <w:marBottom w:val="0"/>
      <w:divBdr>
        <w:top w:val="none" w:sz="0" w:space="0" w:color="auto"/>
        <w:left w:val="none" w:sz="0" w:space="0" w:color="auto"/>
        <w:bottom w:val="none" w:sz="0" w:space="0" w:color="auto"/>
        <w:right w:val="none" w:sz="0" w:space="0" w:color="auto"/>
      </w:divBdr>
    </w:div>
    <w:div w:id="1239286162">
      <w:bodyDiv w:val="1"/>
      <w:marLeft w:val="0"/>
      <w:marRight w:val="0"/>
      <w:marTop w:val="0"/>
      <w:marBottom w:val="0"/>
      <w:divBdr>
        <w:top w:val="none" w:sz="0" w:space="0" w:color="auto"/>
        <w:left w:val="none" w:sz="0" w:space="0" w:color="auto"/>
        <w:bottom w:val="none" w:sz="0" w:space="0" w:color="auto"/>
        <w:right w:val="none" w:sz="0" w:space="0" w:color="auto"/>
      </w:divBdr>
    </w:div>
    <w:div w:id="1242981224">
      <w:bodyDiv w:val="1"/>
      <w:marLeft w:val="0"/>
      <w:marRight w:val="0"/>
      <w:marTop w:val="0"/>
      <w:marBottom w:val="0"/>
      <w:divBdr>
        <w:top w:val="none" w:sz="0" w:space="0" w:color="auto"/>
        <w:left w:val="none" w:sz="0" w:space="0" w:color="auto"/>
        <w:bottom w:val="none" w:sz="0" w:space="0" w:color="auto"/>
        <w:right w:val="none" w:sz="0" w:space="0" w:color="auto"/>
      </w:divBdr>
    </w:div>
    <w:div w:id="1251306886">
      <w:bodyDiv w:val="1"/>
      <w:marLeft w:val="0"/>
      <w:marRight w:val="0"/>
      <w:marTop w:val="0"/>
      <w:marBottom w:val="0"/>
      <w:divBdr>
        <w:top w:val="none" w:sz="0" w:space="0" w:color="auto"/>
        <w:left w:val="none" w:sz="0" w:space="0" w:color="auto"/>
        <w:bottom w:val="none" w:sz="0" w:space="0" w:color="auto"/>
        <w:right w:val="none" w:sz="0" w:space="0" w:color="auto"/>
      </w:divBdr>
    </w:div>
    <w:div w:id="1254440019">
      <w:bodyDiv w:val="1"/>
      <w:marLeft w:val="0"/>
      <w:marRight w:val="0"/>
      <w:marTop w:val="0"/>
      <w:marBottom w:val="0"/>
      <w:divBdr>
        <w:top w:val="none" w:sz="0" w:space="0" w:color="auto"/>
        <w:left w:val="none" w:sz="0" w:space="0" w:color="auto"/>
        <w:bottom w:val="none" w:sz="0" w:space="0" w:color="auto"/>
        <w:right w:val="none" w:sz="0" w:space="0" w:color="auto"/>
      </w:divBdr>
    </w:div>
    <w:div w:id="1256593446">
      <w:bodyDiv w:val="1"/>
      <w:marLeft w:val="0"/>
      <w:marRight w:val="0"/>
      <w:marTop w:val="0"/>
      <w:marBottom w:val="0"/>
      <w:divBdr>
        <w:top w:val="none" w:sz="0" w:space="0" w:color="auto"/>
        <w:left w:val="none" w:sz="0" w:space="0" w:color="auto"/>
        <w:bottom w:val="none" w:sz="0" w:space="0" w:color="auto"/>
        <w:right w:val="none" w:sz="0" w:space="0" w:color="auto"/>
      </w:divBdr>
    </w:div>
    <w:div w:id="1269502524">
      <w:bodyDiv w:val="1"/>
      <w:marLeft w:val="0"/>
      <w:marRight w:val="0"/>
      <w:marTop w:val="0"/>
      <w:marBottom w:val="0"/>
      <w:divBdr>
        <w:top w:val="none" w:sz="0" w:space="0" w:color="auto"/>
        <w:left w:val="none" w:sz="0" w:space="0" w:color="auto"/>
        <w:bottom w:val="none" w:sz="0" w:space="0" w:color="auto"/>
        <w:right w:val="none" w:sz="0" w:space="0" w:color="auto"/>
      </w:divBdr>
    </w:div>
    <w:div w:id="1269510124">
      <w:bodyDiv w:val="1"/>
      <w:marLeft w:val="0"/>
      <w:marRight w:val="0"/>
      <w:marTop w:val="0"/>
      <w:marBottom w:val="0"/>
      <w:divBdr>
        <w:top w:val="none" w:sz="0" w:space="0" w:color="auto"/>
        <w:left w:val="none" w:sz="0" w:space="0" w:color="auto"/>
        <w:bottom w:val="none" w:sz="0" w:space="0" w:color="auto"/>
        <w:right w:val="none" w:sz="0" w:space="0" w:color="auto"/>
      </w:divBdr>
    </w:div>
    <w:div w:id="1270553484">
      <w:bodyDiv w:val="1"/>
      <w:marLeft w:val="0"/>
      <w:marRight w:val="0"/>
      <w:marTop w:val="0"/>
      <w:marBottom w:val="0"/>
      <w:divBdr>
        <w:top w:val="none" w:sz="0" w:space="0" w:color="auto"/>
        <w:left w:val="none" w:sz="0" w:space="0" w:color="auto"/>
        <w:bottom w:val="none" w:sz="0" w:space="0" w:color="auto"/>
        <w:right w:val="none" w:sz="0" w:space="0" w:color="auto"/>
      </w:divBdr>
    </w:div>
    <w:div w:id="1272663851">
      <w:bodyDiv w:val="1"/>
      <w:marLeft w:val="0"/>
      <w:marRight w:val="0"/>
      <w:marTop w:val="0"/>
      <w:marBottom w:val="0"/>
      <w:divBdr>
        <w:top w:val="none" w:sz="0" w:space="0" w:color="auto"/>
        <w:left w:val="none" w:sz="0" w:space="0" w:color="auto"/>
        <w:bottom w:val="none" w:sz="0" w:space="0" w:color="auto"/>
        <w:right w:val="none" w:sz="0" w:space="0" w:color="auto"/>
      </w:divBdr>
    </w:div>
    <w:div w:id="1276862017">
      <w:bodyDiv w:val="1"/>
      <w:marLeft w:val="0"/>
      <w:marRight w:val="0"/>
      <w:marTop w:val="0"/>
      <w:marBottom w:val="0"/>
      <w:divBdr>
        <w:top w:val="none" w:sz="0" w:space="0" w:color="auto"/>
        <w:left w:val="none" w:sz="0" w:space="0" w:color="auto"/>
        <w:bottom w:val="none" w:sz="0" w:space="0" w:color="auto"/>
        <w:right w:val="none" w:sz="0" w:space="0" w:color="auto"/>
      </w:divBdr>
    </w:div>
    <w:div w:id="1278214896">
      <w:bodyDiv w:val="1"/>
      <w:marLeft w:val="0"/>
      <w:marRight w:val="0"/>
      <w:marTop w:val="0"/>
      <w:marBottom w:val="0"/>
      <w:divBdr>
        <w:top w:val="none" w:sz="0" w:space="0" w:color="auto"/>
        <w:left w:val="none" w:sz="0" w:space="0" w:color="auto"/>
        <w:bottom w:val="none" w:sz="0" w:space="0" w:color="auto"/>
        <w:right w:val="none" w:sz="0" w:space="0" w:color="auto"/>
      </w:divBdr>
    </w:div>
    <w:div w:id="1282036028">
      <w:bodyDiv w:val="1"/>
      <w:marLeft w:val="0"/>
      <w:marRight w:val="0"/>
      <w:marTop w:val="0"/>
      <w:marBottom w:val="0"/>
      <w:divBdr>
        <w:top w:val="none" w:sz="0" w:space="0" w:color="auto"/>
        <w:left w:val="none" w:sz="0" w:space="0" w:color="auto"/>
        <w:bottom w:val="none" w:sz="0" w:space="0" w:color="auto"/>
        <w:right w:val="none" w:sz="0" w:space="0" w:color="auto"/>
      </w:divBdr>
    </w:div>
    <w:div w:id="1282223155">
      <w:bodyDiv w:val="1"/>
      <w:marLeft w:val="0"/>
      <w:marRight w:val="0"/>
      <w:marTop w:val="0"/>
      <w:marBottom w:val="0"/>
      <w:divBdr>
        <w:top w:val="none" w:sz="0" w:space="0" w:color="auto"/>
        <w:left w:val="none" w:sz="0" w:space="0" w:color="auto"/>
        <w:bottom w:val="none" w:sz="0" w:space="0" w:color="auto"/>
        <w:right w:val="none" w:sz="0" w:space="0" w:color="auto"/>
      </w:divBdr>
    </w:div>
    <w:div w:id="1288121872">
      <w:bodyDiv w:val="1"/>
      <w:marLeft w:val="0"/>
      <w:marRight w:val="0"/>
      <w:marTop w:val="0"/>
      <w:marBottom w:val="0"/>
      <w:divBdr>
        <w:top w:val="none" w:sz="0" w:space="0" w:color="auto"/>
        <w:left w:val="none" w:sz="0" w:space="0" w:color="auto"/>
        <w:bottom w:val="none" w:sz="0" w:space="0" w:color="auto"/>
        <w:right w:val="none" w:sz="0" w:space="0" w:color="auto"/>
      </w:divBdr>
    </w:div>
    <w:div w:id="1288510718">
      <w:bodyDiv w:val="1"/>
      <w:marLeft w:val="0"/>
      <w:marRight w:val="0"/>
      <w:marTop w:val="0"/>
      <w:marBottom w:val="0"/>
      <w:divBdr>
        <w:top w:val="none" w:sz="0" w:space="0" w:color="auto"/>
        <w:left w:val="none" w:sz="0" w:space="0" w:color="auto"/>
        <w:bottom w:val="none" w:sz="0" w:space="0" w:color="auto"/>
        <w:right w:val="none" w:sz="0" w:space="0" w:color="auto"/>
      </w:divBdr>
    </w:div>
    <w:div w:id="1288700599">
      <w:bodyDiv w:val="1"/>
      <w:marLeft w:val="0"/>
      <w:marRight w:val="0"/>
      <w:marTop w:val="0"/>
      <w:marBottom w:val="0"/>
      <w:divBdr>
        <w:top w:val="none" w:sz="0" w:space="0" w:color="auto"/>
        <w:left w:val="none" w:sz="0" w:space="0" w:color="auto"/>
        <w:bottom w:val="none" w:sz="0" w:space="0" w:color="auto"/>
        <w:right w:val="none" w:sz="0" w:space="0" w:color="auto"/>
      </w:divBdr>
    </w:div>
    <w:div w:id="1291668968">
      <w:bodyDiv w:val="1"/>
      <w:marLeft w:val="0"/>
      <w:marRight w:val="0"/>
      <w:marTop w:val="0"/>
      <w:marBottom w:val="0"/>
      <w:divBdr>
        <w:top w:val="none" w:sz="0" w:space="0" w:color="auto"/>
        <w:left w:val="none" w:sz="0" w:space="0" w:color="auto"/>
        <w:bottom w:val="none" w:sz="0" w:space="0" w:color="auto"/>
        <w:right w:val="none" w:sz="0" w:space="0" w:color="auto"/>
      </w:divBdr>
    </w:div>
    <w:div w:id="1292512463">
      <w:bodyDiv w:val="1"/>
      <w:marLeft w:val="0"/>
      <w:marRight w:val="0"/>
      <w:marTop w:val="0"/>
      <w:marBottom w:val="0"/>
      <w:divBdr>
        <w:top w:val="none" w:sz="0" w:space="0" w:color="auto"/>
        <w:left w:val="none" w:sz="0" w:space="0" w:color="auto"/>
        <w:bottom w:val="none" w:sz="0" w:space="0" w:color="auto"/>
        <w:right w:val="none" w:sz="0" w:space="0" w:color="auto"/>
      </w:divBdr>
    </w:div>
    <w:div w:id="1293554889">
      <w:bodyDiv w:val="1"/>
      <w:marLeft w:val="0"/>
      <w:marRight w:val="0"/>
      <w:marTop w:val="0"/>
      <w:marBottom w:val="0"/>
      <w:divBdr>
        <w:top w:val="none" w:sz="0" w:space="0" w:color="auto"/>
        <w:left w:val="none" w:sz="0" w:space="0" w:color="auto"/>
        <w:bottom w:val="none" w:sz="0" w:space="0" w:color="auto"/>
        <w:right w:val="none" w:sz="0" w:space="0" w:color="auto"/>
      </w:divBdr>
    </w:div>
    <w:div w:id="1294023741">
      <w:bodyDiv w:val="1"/>
      <w:marLeft w:val="0"/>
      <w:marRight w:val="0"/>
      <w:marTop w:val="0"/>
      <w:marBottom w:val="0"/>
      <w:divBdr>
        <w:top w:val="none" w:sz="0" w:space="0" w:color="auto"/>
        <w:left w:val="none" w:sz="0" w:space="0" w:color="auto"/>
        <w:bottom w:val="none" w:sz="0" w:space="0" w:color="auto"/>
        <w:right w:val="none" w:sz="0" w:space="0" w:color="auto"/>
      </w:divBdr>
    </w:div>
    <w:div w:id="1304197663">
      <w:bodyDiv w:val="1"/>
      <w:marLeft w:val="0"/>
      <w:marRight w:val="0"/>
      <w:marTop w:val="0"/>
      <w:marBottom w:val="0"/>
      <w:divBdr>
        <w:top w:val="none" w:sz="0" w:space="0" w:color="auto"/>
        <w:left w:val="none" w:sz="0" w:space="0" w:color="auto"/>
        <w:bottom w:val="none" w:sz="0" w:space="0" w:color="auto"/>
        <w:right w:val="none" w:sz="0" w:space="0" w:color="auto"/>
      </w:divBdr>
    </w:div>
    <w:div w:id="1304652636">
      <w:bodyDiv w:val="1"/>
      <w:marLeft w:val="0"/>
      <w:marRight w:val="0"/>
      <w:marTop w:val="0"/>
      <w:marBottom w:val="0"/>
      <w:divBdr>
        <w:top w:val="none" w:sz="0" w:space="0" w:color="auto"/>
        <w:left w:val="none" w:sz="0" w:space="0" w:color="auto"/>
        <w:bottom w:val="none" w:sz="0" w:space="0" w:color="auto"/>
        <w:right w:val="none" w:sz="0" w:space="0" w:color="auto"/>
      </w:divBdr>
    </w:div>
    <w:div w:id="1306932769">
      <w:bodyDiv w:val="1"/>
      <w:marLeft w:val="0"/>
      <w:marRight w:val="0"/>
      <w:marTop w:val="0"/>
      <w:marBottom w:val="0"/>
      <w:divBdr>
        <w:top w:val="none" w:sz="0" w:space="0" w:color="auto"/>
        <w:left w:val="none" w:sz="0" w:space="0" w:color="auto"/>
        <w:bottom w:val="none" w:sz="0" w:space="0" w:color="auto"/>
        <w:right w:val="none" w:sz="0" w:space="0" w:color="auto"/>
      </w:divBdr>
    </w:div>
    <w:div w:id="1310863467">
      <w:bodyDiv w:val="1"/>
      <w:marLeft w:val="0"/>
      <w:marRight w:val="0"/>
      <w:marTop w:val="0"/>
      <w:marBottom w:val="0"/>
      <w:divBdr>
        <w:top w:val="none" w:sz="0" w:space="0" w:color="auto"/>
        <w:left w:val="none" w:sz="0" w:space="0" w:color="auto"/>
        <w:bottom w:val="none" w:sz="0" w:space="0" w:color="auto"/>
        <w:right w:val="none" w:sz="0" w:space="0" w:color="auto"/>
      </w:divBdr>
    </w:div>
    <w:div w:id="1313219272">
      <w:bodyDiv w:val="1"/>
      <w:marLeft w:val="0"/>
      <w:marRight w:val="0"/>
      <w:marTop w:val="0"/>
      <w:marBottom w:val="0"/>
      <w:divBdr>
        <w:top w:val="none" w:sz="0" w:space="0" w:color="auto"/>
        <w:left w:val="none" w:sz="0" w:space="0" w:color="auto"/>
        <w:bottom w:val="none" w:sz="0" w:space="0" w:color="auto"/>
        <w:right w:val="none" w:sz="0" w:space="0" w:color="auto"/>
      </w:divBdr>
    </w:div>
    <w:div w:id="1313412571">
      <w:bodyDiv w:val="1"/>
      <w:marLeft w:val="0"/>
      <w:marRight w:val="0"/>
      <w:marTop w:val="0"/>
      <w:marBottom w:val="0"/>
      <w:divBdr>
        <w:top w:val="none" w:sz="0" w:space="0" w:color="auto"/>
        <w:left w:val="none" w:sz="0" w:space="0" w:color="auto"/>
        <w:bottom w:val="none" w:sz="0" w:space="0" w:color="auto"/>
        <w:right w:val="none" w:sz="0" w:space="0" w:color="auto"/>
      </w:divBdr>
    </w:div>
    <w:div w:id="1318415820">
      <w:bodyDiv w:val="1"/>
      <w:marLeft w:val="0"/>
      <w:marRight w:val="0"/>
      <w:marTop w:val="0"/>
      <w:marBottom w:val="0"/>
      <w:divBdr>
        <w:top w:val="none" w:sz="0" w:space="0" w:color="auto"/>
        <w:left w:val="none" w:sz="0" w:space="0" w:color="auto"/>
        <w:bottom w:val="none" w:sz="0" w:space="0" w:color="auto"/>
        <w:right w:val="none" w:sz="0" w:space="0" w:color="auto"/>
      </w:divBdr>
    </w:div>
    <w:div w:id="1321421973">
      <w:bodyDiv w:val="1"/>
      <w:marLeft w:val="0"/>
      <w:marRight w:val="0"/>
      <w:marTop w:val="0"/>
      <w:marBottom w:val="0"/>
      <w:divBdr>
        <w:top w:val="none" w:sz="0" w:space="0" w:color="auto"/>
        <w:left w:val="none" w:sz="0" w:space="0" w:color="auto"/>
        <w:bottom w:val="none" w:sz="0" w:space="0" w:color="auto"/>
        <w:right w:val="none" w:sz="0" w:space="0" w:color="auto"/>
      </w:divBdr>
    </w:div>
    <w:div w:id="1321695451">
      <w:bodyDiv w:val="1"/>
      <w:marLeft w:val="0"/>
      <w:marRight w:val="0"/>
      <w:marTop w:val="0"/>
      <w:marBottom w:val="0"/>
      <w:divBdr>
        <w:top w:val="none" w:sz="0" w:space="0" w:color="auto"/>
        <w:left w:val="none" w:sz="0" w:space="0" w:color="auto"/>
        <w:bottom w:val="none" w:sz="0" w:space="0" w:color="auto"/>
        <w:right w:val="none" w:sz="0" w:space="0" w:color="auto"/>
      </w:divBdr>
    </w:div>
    <w:div w:id="1322468207">
      <w:bodyDiv w:val="1"/>
      <w:marLeft w:val="0"/>
      <w:marRight w:val="0"/>
      <w:marTop w:val="0"/>
      <w:marBottom w:val="0"/>
      <w:divBdr>
        <w:top w:val="none" w:sz="0" w:space="0" w:color="auto"/>
        <w:left w:val="none" w:sz="0" w:space="0" w:color="auto"/>
        <w:bottom w:val="none" w:sz="0" w:space="0" w:color="auto"/>
        <w:right w:val="none" w:sz="0" w:space="0" w:color="auto"/>
      </w:divBdr>
    </w:div>
    <w:div w:id="1323241664">
      <w:bodyDiv w:val="1"/>
      <w:marLeft w:val="0"/>
      <w:marRight w:val="0"/>
      <w:marTop w:val="0"/>
      <w:marBottom w:val="0"/>
      <w:divBdr>
        <w:top w:val="none" w:sz="0" w:space="0" w:color="auto"/>
        <w:left w:val="none" w:sz="0" w:space="0" w:color="auto"/>
        <w:bottom w:val="none" w:sz="0" w:space="0" w:color="auto"/>
        <w:right w:val="none" w:sz="0" w:space="0" w:color="auto"/>
      </w:divBdr>
    </w:div>
    <w:div w:id="1324505116">
      <w:bodyDiv w:val="1"/>
      <w:marLeft w:val="0"/>
      <w:marRight w:val="0"/>
      <w:marTop w:val="0"/>
      <w:marBottom w:val="0"/>
      <w:divBdr>
        <w:top w:val="none" w:sz="0" w:space="0" w:color="auto"/>
        <w:left w:val="none" w:sz="0" w:space="0" w:color="auto"/>
        <w:bottom w:val="none" w:sz="0" w:space="0" w:color="auto"/>
        <w:right w:val="none" w:sz="0" w:space="0" w:color="auto"/>
      </w:divBdr>
    </w:div>
    <w:div w:id="1327393883">
      <w:bodyDiv w:val="1"/>
      <w:marLeft w:val="0"/>
      <w:marRight w:val="0"/>
      <w:marTop w:val="0"/>
      <w:marBottom w:val="0"/>
      <w:divBdr>
        <w:top w:val="none" w:sz="0" w:space="0" w:color="auto"/>
        <w:left w:val="none" w:sz="0" w:space="0" w:color="auto"/>
        <w:bottom w:val="none" w:sz="0" w:space="0" w:color="auto"/>
        <w:right w:val="none" w:sz="0" w:space="0" w:color="auto"/>
      </w:divBdr>
    </w:div>
    <w:div w:id="1334607001">
      <w:bodyDiv w:val="1"/>
      <w:marLeft w:val="0"/>
      <w:marRight w:val="0"/>
      <w:marTop w:val="0"/>
      <w:marBottom w:val="0"/>
      <w:divBdr>
        <w:top w:val="none" w:sz="0" w:space="0" w:color="auto"/>
        <w:left w:val="none" w:sz="0" w:space="0" w:color="auto"/>
        <w:bottom w:val="none" w:sz="0" w:space="0" w:color="auto"/>
        <w:right w:val="none" w:sz="0" w:space="0" w:color="auto"/>
      </w:divBdr>
    </w:div>
    <w:div w:id="1340695033">
      <w:bodyDiv w:val="1"/>
      <w:marLeft w:val="0"/>
      <w:marRight w:val="0"/>
      <w:marTop w:val="0"/>
      <w:marBottom w:val="0"/>
      <w:divBdr>
        <w:top w:val="none" w:sz="0" w:space="0" w:color="auto"/>
        <w:left w:val="none" w:sz="0" w:space="0" w:color="auto"/>
        <w:bottom w:val="none" w:sz="0" w:space="0" w:color="auto"/>
        <w:right w:val="none" w:sz="0" w:space="0" w:color="auto"/>
      </w:divBdr>
    </w:div>
    <w:div w:id="1341856270">
      <w:bodyDiv w:val="1"/>
      <w:marLeft w:val="0"/>
      <w:marRight w:val="0"/>
      <w:marTop w:val="0"/>
      <w:marBottom w:val="0"/>
      <w:divBdr>
        <w:top w:val="none" w:sz="0" w:space="0" w:color="auto"/>
        <w:left w:val="none" w:sz="0" w:space="0" w:color="auto"/>
        <w:bottom w:val="none" w:sz="0" w:space="0" w:color="auto"/>
        <w:right w:val="none" w:sz="0" w:space="0" w:color="auto"/>
      </w:divBdr>
    </w:div>
    <w:div w:id="1343318909">
      <w:bodyDiv w:val="1"/>
      <w:marLeft w:val="0"/>
      <w:marRight w:val="0"/>
      <w:marTop w:val="0"/>
      <w:marBottom w:val="0"/>
      <w:divBdr>
        <w:top w:val="none" w:sz="0" w:space="0" w:color="auto"/>
        <w:left w:val="none" w:sz="0" w:space="0" w:color="auto"/>
        <w:bottom w:val="none" w:sz="0" w:space="0" w:color="auto"/>
        <w:right w:val="none" w:sz="0" w:space="0" w:color="auto"/>
      </w:divBdr>
    </w:div>
    <w:div w:id="1351372926">
      <w:bodyDiv w:val="1"/>
      <w:marLeft w:val="0"/>
      <w:marRight w:val="0"/>
      <w:marTop w:val="0"/>
      <w:marBottom w:val="0"/>
      <w:divBdr>
        <w:top w:val="none" w:sz="0" w:space="0" w:color="auto"/>
        <w:left w:val="none" w:sz="0" w:space="0" w:color="auto"/>
        <w:bottom w:val="none" w:sz="0" w:space="0" w:color="auto"/>
        <w:right w:val="none" w:sz="0" w:space="0" w:color="auto"/>
      </w:divBdr>
    </w:div>
    <w:div w:id="1353146213">
      <w:bodyDiv w:val="1"/>
      <w:marLeft w:val="0"/>
      <w:marRight w:val="0"/>
      <w:marTop w:val="0"/>
      <w:marBottom w:val="0"/>
      <w:divBdr>
        <w:top w:val="none" w:sz="0" w:space="0" w:color="auto"/>
        <w:left w:val="none" w:sz="0" w:space="0" w:color="auto"/>
        <w:bottom w:val="none" w:sz="0" w:space="0" w:color="auto"/>
        <w:right w:val="none" w:sz="0" w:space="0" w:color="auto"/>
      </w:divBdr>
    </w:div>
    <w:div w:id="1356807544">
      <w:bodyDiv w:val="1"/>
      <w:marLeft w:val="0"/>
      <w:marRight w:val="0"/>
      <w:marTop w:val="0"/>
      <w:marBottom w:val="0"/>
      <w:divBdr>
        <w:top w:val="none" w:sz="0" w:space="0" w:color="auto"/>
        <w:left w:val="none" w:sz="0" w:space="0" w:color="auto"/>
        <w:bottom w:val="none" w:sz="0" w:space="0" w:color="auto"/>
        <w:right w:val="none" w:sz="0" w:space="0" w:color="auto"/>
      </w:divBdr>
    </w:div>
    <w:div w:id="1360277317">
      <w:bodyDiv w:val="1"/>
      <w:marLeft w:val="0"/>
      <w:marRight w:val="0"/>
      <w:marTop w:val="0"/>
      <w:marBottom w:val="0"/>
      <w:divBdr>
        <w:top w:val="none" w:sz="0" w:space="0" w:color="auto"/>
        <w:left w:val="none" w:sz="0" w:space="0" w:color="auto"/>
        <w:bottom w:val="none" w:sz="0" w:space="0" w:color="auto"/>
        <w:right w:val="none" w:sz="0" w:space="0" w:color="auto"/>
      </w:divBdr>
    </w:div>
    <w:div w:id="1364401344">
      <w:bodyDiv w:val="1"/>
      <w:marLeft w:val="0"/>
      <w:marRight w:val="0"/>
      <w:marTop w:val="0"/>
      <w:marBottom w:val="0"/>
      <w:divBdr>
        <w:top w:val="none" w:sz="0" w:space="0" w:color="auto"/>
        <w:left w:val="none" w:sz="0" w:space="0" w:color="auto"/>
        <w:bottom w:val="none" w:sz="0" w:space="0" w:color="auto"/>
        <w:right w:val="none" w:sz="0" w:space="0" w:color="auto"/>
      </w:divBdr>
    </w:div>
    <w:div w:id="1364671898">
      <w:bodyDiv w:val="1"/>
      <w:marLeft w:val="0"/>
      <w:marRight w:val="0"/>
      <w:marTop w:val="0"/>
      <w:marBottom w:val="0"/>
      <w:divBdr>
        <w:top w:val="none" w:sz="0" w:space="0" w:color="auto"/>
        <w:left w:val="none" w:sz="0" w:space="0" w:color="auto"/>
        <w:bottom w:val="none" w:sz="0" w:space="0" w:color="auto"/>
        <w:right w:val="none" w:sz="0" w:space="0" w:color="auto"/>
      </w:divBdr>
    </w:div>
    <w:div w:id="1370647906">
      <w:bodyDiv w:val="1"/>
      <w:marLeft w:val="0"/>
      <w:marRight w:val="0"/>
      <w:marTop w:val="0"/>
      <w:marBottom w:val="0"/>
      <w:divBdr>
        <w:top w:val="none" w:sz="0" w:space="0" w:color="auto"/>
        <w:left w:val="none" w:sz="0" w:space="0" w:color="auto"/>
        <w:bottom w:val="none" w:sz="0" w:space="0" w:color="auto"/>
        <w:right w:val="none" w:sz="0" w:space="0" w:color="auto"/>
      </w:divBdr>
    </w:div>
    <w:div w:id="1376812365">
      <w:bodyDiv w:val="1"/>
      <w:marLeft w:val="0"/>
      <w:marRight w:val="0"/>
      <w:marTop w:val="0"/>
      <w:marBottom w:val="0"/>
      <w:divBdr>
        <w:top w:val="none" w:sz="0" w:space="0" w:color="auto"/>
        <w:left w:val="none" w:sz="0" w:space="0" w:color="auto"/>
        <w:bottom w:val="none" w:sz="0" w:space="0" w:color="auto"/>
        <w:right w:val="none" w:sz="0" w:space="0" w:color="auto"/>
      </w:divBdr>
    </w:div>
    <w:div w:id="1377438071">
      <w:bodyDiv w:val="1"/>
      <w:marLeft w:val="0"/>
      <w:marRight w:val="0"/>
      <w:marTop w:val="0"/>
      <w:marBottom w:val="0"/>
      <w:divBdr>
        <w:top w:val="none" w:sz="0" w:space="0" w:color="auto"/>
        <w:left w:val="none" w:sz="0" w:space="0" w:color="auto"/>
        <w:bottom w:val="none" w:sz="0" w:space="0" w:color="auto"/>
        <w:right w:val="none" w:sz="0" w:space="0" w:color="auto"/>
      </w:divBdr>
    </w:div>
    <w:div w:id="1380395147">
      <w:bodyDiv w:val="1"/>
      <w:marLeft w:val="0"/>
      <w:marRight w:val="0"/>
      <w:marTop w:val="0"/>
      <w:marBottom w:val="0"/>
      <w:divBdr>
        <w:top w:val="none" w:sz="0" w:space="0" w:color="auto"/>
        <w:left w:val="none" w:sz="0" w:space="0" w:color="auto"/>
        <w:bottom w:val="none" w:sz="0" w:space="0" w:color="auto"/>
        <w:right w:val="none" w:sz="0" w:space="0" w:color="auto"/>
      </w:divBdr>
    </w:div>
    <w:div w:id="1387801552">
      <w:bodyDiv w:val="1"/>
      <w:marLeft w:val="0"/>
      <w:marRight w:val="0"/>
      <w:marTop w:val="0"/>
      <w:marBottom w:val="0"/>
      <w:divBdr>
        <w:top w:val="none" w:sz="0" w:space="0" w:color="auto"/>
        <w:left w:val="none" w:sz="0" w:space="0" w:color="auto"/>
        <w:bottom w:val="none" w:sz="0" w:space="0" w:color="auto"/>
        <w:right w:val="none" w:sz="0" w:space="0" w:color="auto"/>
      </w:divBdr>
    </w:div>
    <w:div w:id="1389887514">
      <w:bodyDiv w:val="1"/>
      <w:marLeft w:val="0"/>
      <w:marRight w:val="0"/>
      <w:marTop w:val="0"/>
      <w:marBottom w:val="0"/>
      <w:divBdr>
        <w:top w:val="none" w:sz="0" w:space="0" w:color="auto"/>
        <w:left w:val="none" w:sz="0" w:space="0" w:color="auto"/>
        <w:bottom w:val="none" w:sz="0" w:space="0" w:color="auto"/>
        <w:right w:val="none" w:sz="0" w:space="0" w:color="auto"/>
      </w:divBdr>
    </w:div>
    <w:div w:id="1391074713">
      <w:bodyDiv w:val="1"/>
      <w:marLeft w:val="0"/>
      <w:marRight w:val="0"/>
      <w:marTop w:val="0"/>
      <w:marBottom w:val="0"/>
      <w:divBdr>
        <w:top w:val="none" w:sz="0" w:space="0" w:color="auto"/>
        <w:left w:val="none" w:sz="0" w:space="0" w:color="auto"/>
        <w:bottom w:val="none" w:sz="0" w:space="0" w:color="auto"/>
        <w:right w:val="none" w:sz="0" w:space="0" w:color="auto"/>
      </w:divBdr>
    </w:div>
    <w:div w:id="1397434091">
      <w:bodyDiv w:val="1"/>
      <w:marLeft w:val="0"/>
      <w:marRight w:val="0"/>
      <w:marTop w:val="0"/>
      <w:marBottom w:val="0"/>
      <w:divBdr>
        <w:top w:val="none" w:sz="0" w:space="0" w:color="auto"/>
        <w:left w:val="none" w:sz="0" w:space="0" w:color="auto"/>
        <w:bottom w:val="none" w:sz="0" w:space="0" w:color="auto"/>
        <w:right w:val="none" w:sz="0" w:space="0" w:color="auto"/>
      </w:divBdr>
    </w:div>
    <w:div w:id="1402022478">
      <w:bodyDiv w:val="1"/>
      <w:marLeft w:val="0"/>
      <w:marRight w:val="0"/>
      <w:marTop w:val="0"/>
      <w:marBottom w:val="0"/>
      <w:divBdr>
        <w:top w:val="none" w:sz="0" w:space="0" w:color="auto"/>
        <w:left w:val="none" w:sz="0" w:space="0" w:color="auto"/>
        <w:bottom w:val="none" w:sz="0" w:space="0" w:color="auto"/>
        <w:right w:val="none" w:sz="0" w:space="0" w:color="auto"/>
      </w:divBdr>
    </w:div>
    <w:div w:id="1402025736">
      <w:bodyDiv w:val="1"/>
      <w:marLeft w:val="0"/>
      <w:marRight w:val="0"/>
      <w:marTop w:val="0"/>
      <w:marBottom w:val="0"/>
      <w:divBdr>
        <w:top w:val="none" w:sz="0" w:space="0" w:color="auto"/>
        <w:left w:val="none" w:sz="0" w:space="0" w:color="auto"/>
        <w:bottom w:val="none" w:sz="0" w:space="0" w:color="auto"/>
        <w:right w:val="none" w:sz="0" w:space="0" w:color="auto"/>
      </w:divBdr>
    </w:div>
    <w:div w:id="1403674585">
      <w:bodyDiv w:val="1"/>
      <w:marLeft w:val="0"/>
      <w:marRight w:val="0"/>
      <w:marTop w:val="0"/>
      <w:marBottom w:val="0"/>
      <w:divBdr>
        <w:top w:val="none" w:sz="0" w:space="0" w:color="auto"/>
        <w:left w:val="none" w:sz="0" w:space="0" w:color="auto"/>
        <w:bottom w:val="none" w:sz="0" w:space="0" w:color="auto"/>
        <w:right w:val="none" w:sz="0" w:space="0" w:color="auto"/>
      </w:divBdr>
    </w:div>
    <w:div w:id="1405226225">
      <w:bodyDiv w:val="1"/>
      <w:marLeft w:val="0"/>
      <w:marRight w:val="0"/>
      <w:marTop w:val="0"/>
      <w:marBottom w:val="0"/>
      <w:divBdr>
        <w:top w:val="none" w:sz="0" w:space="0" w:color="auto"/>
        <w:left w:val="none" w:sz="0" w:space="0" w:color="auto"/>
        <w:bottom w:val="none" w:sz="0" w:space="0" w:color="auto"/>
        <w:right w:val="none" w:sz="0" w:space="0" w:color="auto"/>
      </w:divBdr>
    </w:div>
    <w:div w:id="1408848117">
      <w:bodyDiv w:val="1"/>
      <w:marLeft w:val="0"/>
      <w:marRight w:val="0"/>
      <w:marTop w:val="0"/>
      <w:marBottom w:val="0"/>
      <w:divBdr>
        <w:top w:val="none" w:sz="0" w:space="0" w:color="auto"/>
        <w:left w:val="none" w:sz="0" w:space="0" w:color="auto"/>
        <w:bottom w:val="none" w:sz="0" w:space="0" w:color="auto"/>
        <w:right w:val="none" w:sz="0" w:space="0" w:color="auto"/>
      </w:divBdr>
    </w:div>
    <w:div w:id="1412048964">
      <w:bodyDiv w:val="1"/>
      <w:marLeft w:val="0"/>
      <w:marRight w:val="0"/>
      <w:marTop w:val="0"/>
      <w:marBottom w:val="0"/>
      <w:divBdr>
        <w:top w:val="none" w:sz="0" w:space="0" w:color="auto"/>
        <w:left w:val="none" w:sz="0" w:space="0" w:color="auto"/>
        <w:bottom w:val="none" w:sz="0" w:space="0" w:color="auto"/>
        <w:right w:val="none" w:sz="0" w:space="0" w:color="auto"/>
      </w:divBdr>
    </w:div>
    <w:div w:id="1420179188">
      <w:bodyDiv w:val="1"/>
      <w:marLeft w:val="0"/>
      <w:marRight w:val="0"/>
      <w:marTop w:val="0"/>
      <w:marBottom w:val="0"/>
      <w:divBdr>
        <w:top w:val="none" w:sz="0" w:space="0" w:color="auto"/>
        <w:left w:val="none" w:sz="0" w:space="0" w:color="auto"/>
        <w:bottom w:val="none" w:sz="0" w:space="0" w:color="auto"/>
        <w:right w:val="none" w:sz="0" w:space="0" w:color="auto"/>
      </w:divBdr>
    </w:div>
    <w:div w:id="1429765176">
      <w:bodyDiv w:val="1"/>
      <w:marLeft w:val="0"/>
      <w:marRight w:val="0"/>
      <w:marTop w:val="0"/>
      <w:marBottom w:val="0"/>
      <w:divBdr>
        <w:top w:val="none" w:sz="0" w:space="0" w:color="auto"/>
        <w:left w:val="none" w:sz="0" w:space="0" w:color="auto"/>
        <w:bottom w:val="none" w:sz="0" w:space="0" w:color="auto"/>
        <w:right w:val="none" w:sz="0" w:space="0" w:color="auto"/>
      </w:divBdr>
    </w:div>
    <w:div w:id="1431705142">
      <w:bodyDiv w:val="1"/>
      <w:marLeft w:val="0"/>
      <w:marRight w:val="0"/>
      <w:marTop w:val="0"/>
      <w:marBottom w:val="0"/>
      <w:divBdr>
        <w:top w:val="none" w:sz="0" w:space="0" w:color="auto"/>
        <w:left w:val="none" w:sz="0" w:space="0" w:color="auto"/>
        <w:bottom w:val="none" w:sz="0" w:space="0" w:color="auto"/>
        <w:right w:val="none" w:sz="0" w:space="0" w:color="auto"/>
      </w:divBdr>
    </w:div>
    <w:div w:id="1435054656">
      <w:bodyDiv w:val="1"/>
      <w:marLeft w:val="0"/>
      <w:marRight w:val="0"/>
      <w:marTop w:val="0"/>
      <w:marBottom w:val="0"/>
      <w:divBdr>
        <w:top w:val="none" w:sz="0" w:space="0" w:color="auto"/>
        <w:left w:val="none" w:sz="0" w:space="0" w:color="auto"/>
        <w:bottom w:val="none" w:sz="0" w:space="0" w:color="auto"/>
        <w:right w:val="none" w:sz="0" w:space="0" w:color="auto"/>
      </w:divBdr>
    </w:div>
    <w:div w:id="1439645982">
      <w:bodyDiv w:val="1"/>
      <w:marLeft w:val="0"/>
      <w:marRight w:val="0"/>
      <w:marTop w:val="0"/>
      <w:marBottom w:val="0"/>
      <w:divBdr>
        <w:top w:val="none" w:sz="0" w:space="0" w:color="auto"/>
        <w:left w:val="none" w:sz="0" w:space="0" w:color="auto"/>
        <w:bottom w:val="none" w:sz="0" w:space="0" w:color="auto"/>
        <w:right w:val="none" w:sz="0" w:space="0" w:color="auto"/>
      </w:divBdr>
    </w:div>
    <w:div w:id="1440875451">
      <w:bodyDiv w:val="1"/>
      <w:marLeft w:val="0"/>
      <w:marRight w:val="0"/>
      <w:marTop w:val="0"/>
      <w:marBottom w:val="0"/>
      <w:divBdr>
        <w:top w:val="none" w:sz="0" w:space="0" w:color="auto"/>
        <w:left w:val="none" w:sz="0" w:space="0" w:color="auto"/>
        <w:bottom w:val="none" w:sz="0" w:space="0" w:color="auto"/>
        <w:right w:val="none" w:sz="0" w:space="0" w:color="auto"/>
      </w:divBdr>
    </w:div>
    <w:div w:id="1442799186">
      <w:bodyDiv w:val="1"/>
      <w:marLeft w:val="0"/>
      <w:marRight w:val="0"/>
      <w:marTop w:val="0"/>
      <w:marBottom w:val="0"/>
      <w:divBdr>
        <w:top w:val="none" w:sz="0" w:space="0" w:color="auto"/>
        <w:left w:val="none" w:sz="0" w:space="0" w:color="auto"/>
        <w:bottom w:val="none" w:sz="0" w:space="0" w:color="auto"/>
        <w:right w:val="none" w:sz="0" w:space="0" w:color="auto"/>
      </w:divBdr>
    </w:div>
    <w:div w:id="1444611152">
      <w:bodyDiv w:val="1"/>
      <w:marLeft w:val="0"/>
      <w:marRight w:val="0"/>
      <w:marTop w:val="0"/>
      <w:marBottom w:val="0"/>
      <w:divBdr>
        <w:top w:val="none" w:sz="0" w:space="0" w:color="auto"/>
        <w:left w:val="none" w:sz="0" w:space="0" w:color="auto"/>
        <w:bottom w:val="none" w:sz="0" w:space="0" w:color="auto"/>
        <w:right w:val="none" w:sz="0" w:space="0" w:color="auto"/>
      </w:divBdr>
    </w:div>
    <w:div w:id="1448045190">
      <w:bodyDiv w:val="1"/>
      <w:marLeft w:val="0"/>
      <w:marRight w:val="0"/>
      <w:marTop w:val="0"/>
      <w:marBottom w:val="0"/>
      <w:divBdr>
        <w:top w:val="none" w:sz="0" w:space="0" w:color="auto"/>
        <w:left w:val="none" w:sz="0" w:space="0" w:color="auto"/>
        <w:bottom w:val="none" w:sz="0" w:space="0" w:color="auto"/>
        <w:right w:val="none" w:sz="0" w:space="0" w:color="auto"/>
      </w:divBdr>
    </w:div>
    <w:div w:id="1449546159">
      <w:bodyDiv w:val="1"/>
      <w:marLeft w:val="0"/>
      <w:marRight w:val="0"/>
      <w:marTop w:val="0"/>
      <w:marBottom w:val="0"/>
      <w:divBdr>
        <w:top w:val="none" w:sz="0" w:space="0" w:color="auto"/>
        <w:left w:val="none" w:sz="0" w:space="0" w:color="auto"/>
        <w:bottom w:val="none" w:sz="0" w:space="0" w:color="auto"/>
        <w:right w:val="none" w:sz="0" w:space="0" w:color="auto"/>
      </w:divBdr>
    </w:div>
    <w:div w:id="1453283190">
      <w:bodyDiv w:val="1"/>
      <w:marLeft w:val="0"/>
      <w:marRight w:val="0"/>
      <w:marTop w:val="0"/>
      <w:marBottom w:val="0"/>
      <w:divBdr>
        <w:top w:val="none" w:sz="0" w:space="0" w:color="auto"/>
        <w:left w:val="none" w:sz="0" w:space="0" w:color="auto"/>
        <w:bottom w:val="none" w:sz="0" w:space="0" w:color="auto"/>
        <w:right w:val="none" w:sz="0" w:space="0" w:color="auto"/>
      </w:divBdr>
    </w:div>
    <w:div w:id="1455904027">
      <w:bodyDiv w:val="1"/>
      <w:marLeft w:val="0"/>
      <w:marRight w:val="0"/>
      <w:marTop w:val="0"/>
      <w:marBottom w:val="0"/>
      <w:divBdr>
        <w:top w:val="none" w:sz="0" w:space="0" w:color="auto"/>
        <w:left w:val="none" w:sz="0" w:space="0" w:color="auto"/>
        <w:bottom w:val="none" w:sz="0" w:space="0" w:color="auto"/>
        <w:right w:val="none" w:sz="0" w:space="0" w:color="auto"/>
      </w:divBdr>
    </w:div>
    <w:div w:id="1459371334">
      <w:bodyDiv w:val="1"/>
      <w:marLeft w:val="0"/>
      <w:marRight w:val="0"/>
      <w:marTop w:val="0"/>
      <w:marBottom w:val="0"/>
      <w:divBdr>
        <w:top w:val="none" w:sz="0" w:space="0" w:color="auto"/>
        <w:left w:val="none" w:sz="0" w:space="0" w:color="auto"/>
        <w:bottom w:val="none" w:sz="0" w:space="0" w:color="auto"/>
        <w:right w:val="none" w:sz="0" w:space="0" w:color="auto"/>
      </w:divBdr>
    </w:div>
    <w:div w:id="1467578259">
      <w:bodyDiv w:val="1"/>
      <w:marLeft w:val="0"/>
      <w:marRight w:val="0"/>
      <w:marTop w:val="0"/>
      <w:marBottom w:val="0"/>
      <w:divBdr>
        <w:top w:val="none" w:sz="0" w:space="0" w:color="auto"/>
        <w:left w:val="none" w:sz="0" w:space="0" w:color="auto"/>
        <w:bottom w:val="none" w:sz="0" w:space="0" w:color="auto"/>
        <w:right w:val="none" w:sz="0" w:space="0" w:color="auto"/>
      </w:divBdr>
    </w:div>
    <w:div w:id="1469083635">
      <w:bodyDiv w:val="1"/>
      <w:marLeft w:val="0"/>
      <w:marRight w:val="0"/>
      <w:marTop w:val="0"/>
      <w:marBottom w:val="0"/>
      <w:divBdr>
        <w:top w:val="none" w:sz="0" w:space="0" w:color="auto"/>
        <w:left w:val="none" w:sz="0" w:space="0" w:color="auto"/>
        <w:bottom w:val="none" w:sz="0" w:space="0" w:color="auto"/>
        <w:right w:val="none" w:sz="0" w:space="0" w:color="auto"/>
      </w:divBdr>
    </w:div>
    <w:div w:id="1469398332">
      <w:bodyDiv w:val="1"/>
      <w:marLeft w:val="0"/>
      <w:marRight w:val="0"/>
      <w:marTop w:val="0"/>
      <w:marBottom w:val="0"/>
      <w:divBdr>
        <w:top w:val="none" w:sz="0" w:space="0" w:color="auto"/>
        <w:left w:val="none" w:sz="0" w:space="0" w:color="auto"/>
        <w:bottom w:val="none" w:sz="0" w:space="0" w:color="auto"/>
        <w:right w:val="none" w:sz="0" w:space="0" w:color="auto"/>
      </w:divBdr>
    </w:div>
    <w:div w:id="1469861714">
      <w:bodyDiv w:val="1"/>
      <w:marLeft w:val="0"/>
      <w:marRight w:val="0"/>
      <w:marTop w:val="0"/>
      <w:marBottom w:val="0"/>
      <w:divBdr>
        <w:top w:val="none" w:sz="0" w:space="0" w:color="auto"/>
        <w:left w:val="none" w:sz="0" w:space="0" w:color="auto"/>
        <w:bottom w:val="none" w:sz="0" w:space="0" w:color="auto"/>
        <w:right w:val="none" w:sz="0" w:space="0" w:color="auto"/>
      </w:divBdr>
    </w:div>
    <w:div w:id="1473214824">
      <w:bodyDiv w:val="1"/>
      <w:marLeft w:val="0"/>
      <w:marRight w:val="0"/>
      <w:marTop w:val="0"/>
      <w:marBottom w:val="0"/>
      <w:divBdr>
        <w:top w:val="none" w:sz="0" w:space="0" w:color="auto"/>
        <w:left w:val="none" w:sz="0" w:space="0" w:color="auto"/>
        <w:bottom w:val="none" w:sz="0" w:space="0" w:color="auto"/>
        <w:right w:val="none" w:sz="0" w:space="0" w:color="auto"/>
      </w:divBdr>
    </w:div>
    <w:div w:id="1477339550">
      <w:bodyDiv w:val="1"/>
      <w:marLeft w:val="0"/>
      <w:marRight w:val="0"/>
      <w:marTop w:val="0"/>
      <w:marBottom w:val="0"/>
      <w:divBdr>
        <w:top w:val="none" w:sz="0" w:space="0" w:color="auto"/>
        <w:left w:val="none" w:sz="0" w:space="0" w:color="auto"/>
        <w:bottom w:val="none" w:sz="0" w:space="0" w:color="auto"/>
        <w:right w:val="none" w:sz="0" w:space="0" w:color="auto"/>
      </w:divBdr>
    </w:div>
    <w:div w:id="1478650024">
      <w:bodyDiv w:val="1"/>
      <w:marLeft w:val="0"/>
      <w:marRight w:val="0"/>
      <w:marTop w:val="0"/>
      <w:marBottom w:val="0"/>
      <w:divBdr>
        <w:top w:val="none" w:sz="0" w:space="0" w:color="auto"/>
        <w:left w:val="none" w:sz="0" w:space="0" w:color="auto"/>
        <w:bottom w:val="none" w:sz="0" w:space="0" w:color="auto"/>
        <w:right w:val="none" w:sz="0" w:space="0" w:color="auto"/>
      </w:divBdr>
    </w:div>
    <w:div w:id="1480687218">
      <w:bodyDiv w:val="1"/>
      <w:marLeft w:val="0"/>
      <w:marRight w:val="0"/>
      <w:marTop w:val="0"/>
      <w:marBottom w:val="0"/>
      <w:divBdr>
        <w:top w:val="none" w:sz="0" w:space="0" w:color="auto"/>
        <w:left w:val="none" w:sz="0" w:space="0" w:color="auto"/>
        <w:bottom w:val="none" w:sz="0" w:space="0" w:color="auto"/>
        <w:right w:val="none" w:sz="0" w:space="0" w:color="auto"/>
      </w:divBdr>
    </w:div>
    <w:div w:id="1484271198">
      <w:bodyDiv w:val="1"/>
      <w:marLeft w:val="0"/>
      <w:marRight w:val="0"/>
      <w:marTop w:val="0"/>
      <w:marBottom w:val="0"/>
      <w:divBdr>
        <w:top w:val="none" w:sz="0" w:space="0" w:color="auto"/>
        <w:left w:val="none" w:sz="0" w:space="0" w:color="auto"/>
        <w:bottom w:val="none" w:sz="0" w:space="0" w:color="auto"/>
        <w:right w:val="none" w:sz="0" w:space="0" w:color="auto"/>
      </w:divBdr>
    </w:div>
    <w:div w:id="1487210857">
      <w:bodyDiv w:val="1"/>
      <w:marLeft w:val="0"/>
      <w:marRight w:val="0"/>
      <w:marTop w:val="0"/>
      <w:marBottom w:val="0"/>
      <w:divBdr>
        <w:top w:val="none" w:sz="0" w:space="0" w:color="auto"/>
        <w:left w:val="none" w:sz="0" w:space="0" w:color="auto"/>
        <w:bottom w:val="none" w:sz="0" w:space="0" w:color="auto"/>
        <w:right w:val="none" w:sz="0" w:space="0" w:color="auto"/>
      </w:divBdr>
    </w:div>
    <w:div w:id="1490248331">
      <w:bodyDiv w:val="1"/>
      <w:marLeft w:val="0"/>
      <w:marRight w:val="0"/>
      <w:marTop w:val="0"/>
      <w:marBottom w:val="0"/>
      <w:divBdr>
        <w:top w:val="none" w:sz="0" w:space="0" w:color="auto"/>
        <w:left w:val="none" w:sz="0" w:space="0" w:color="auto"/>
        <w:bottom w:val="none" w:sz="0" w:space="0" w:color="auto"/>
        <w:right w:val="none" w:sz="0" w:space="0" w:color="auto"/>
      </w:divBdr>
    </w:div>
    <w:div w:id="1491407107">
      <w:bodyDiv w:val="1"/>
      <w:marLeft w:val="0"/>
      <w:marRight w:val="0"/>
      <w:marTop w:val="0"/>
      <w:marBottom w:val="0"/>
      <w:divBdr>
        <w:top w:val="none" w:sz="0" w:space="0" w:color="auto"/>
        <w:left w:val="none" w:sz="0" w:space="0" w:color="auto"/>
        <w:bottom w:val="none" w:sz="0" w:space="0" w:color="auto"/>
        <w:right w:val="none" w:sz="0" w:space="0" w:color="auto"/>
      </w:divBdr>
    </w:div>
    <w:div w:id="1495800541">
      <w:bodyDiv w:val="1"/>
      <w:marLeft w:val="0"/>
      <w:marRight w:val="0"/>
      <w:marTop w:val="0"/>
      <w:marBottom w:val="0"/>
      <w:divBdr>
        <w:top w:val="none" w:sz="0" w:space="0" w:color="auto"/>
        <w:left w:val="none" w:sz="0" w:space="0" w:color="auto"/>
        <w:bottom w:val="none" w:sz="0" w:space="0" w:color="auto"/>
        <w:right w:val="none" w:sz="0" w:space="0" w:color="auto"/>
      </w:divBdr>
    </w:div>
    <w:div w:id="1499879113">
      <w:bodyDiv w:val="1"/>
      <w:marLeft w:val="0"/>
      <w:marRight w:val="0"/>
      <w:marTop w:val="0"/>
      <w:marBottom w:val="0"/>
      <w:divBdr>
        <w:top w:val="none" w:sz="0" w:space="0" w:color="auto"/>
        <w:left w:val="none" w:sz="0" w:space="0" w:color="auto"/>
        <w:bottom w:val="none" w:sz="0" w:space="0" w:color="auto"/>
        <w:right w:val="none" w:sz="0" w:space="0" w:color="auto"/>
      </w:divBdr>
    </w:div>
    <w:div w:id="1504667619">
      <w:bodyDiv w:val="1"/>
      <w:marLeft w:val="0"/>
      <w:marRight w:val="0"/>
      <w:marTop w:val="0"/>
      <w:marBottom w:val="0"/>
      <w:divBdr>
        <w:top w:val="none" w:sz="0" w:space="0" w:color="auto"/>
        <w:left w:val="none" w:sz="0" w:space="0" w:color="auto"/>
        <w:bottom w:val="none" w:sz="0" w:space="0" w:color="auto"/>
        <w:right w:val="none" w:sz="0" w:space="0" w:color="auto"/>
      </w:divBdr>
    </w:div>
    <w:div w:id="1510828305">
      <w:bodyDiv w:val="1"/>
      <w:marLeft w:val="0"/>
      <w:marRight w:val="0"/>
      <w:marTop w:val="0"/>
      <w:marBottom w:val="0"/>
      <w:divBdr>
        <w:top w:val="none" w:sz="0" w:space="0" w:color="auto"/>
        <w:left w:val="none" w:sz="0" w:space="0" w:color="auto"/>
        <w:bottom w:val="none" w:sz="0" w:space="0" w:color="auto"/>
        <w:right w:val="none" w:sz="0" w:space="0" w:color="auto"/>
      </w:divBdr>
    </w:div>
    <w:div w:id="1514027239">
      <w:bodyDiv w:val="1"/>
      <w:marLeft w:val="0"/>
      <w:marRight w:val="0"/>
      <w:marTop w:val="0"/>
      <w:marBottom w:val="0"/>
      <w:divBdr>
        <w:top w:val="none" w:sz="0" w:space="0" w:color="auto"/>
        <w:left w:val="none" w:sz="0" w:space="0" w:color="auto"/>
        <w:bottom w:val="none" w:sz="0" w:space="0" w:color="auto"/>
        <w:right w:val="none" w:sz="0" w:space="0" w:color="auto"/>
      </w:divBdr>
    </w:div>
    <w:div w:id="1514108132">
      <w:bodyDiv w:val="1"/>
      <w:marLeft w:val="0"/>
      <w:marRight w:val="0"/>
      <w:marTop w:val="0"/>
      <w:marBottom w:val="0"/>
      <w:divBdr>
        <w:top w:val="none" w:sz="0" w:space="0" w:color="auto"/>
        <w:left w:val="none" w:sz="0" w:space="0" w:color="auto"/>
        <w:bottom w:val="none" w:sz="0" w:space="0" w:color="auto"/>
        <w:right w:val="none" w:sz="0" w:space="0" w:color="auto"/>
      </w:divBdr>
    </w:div>
    <w:div w:id="1516306695">
      <w:bodyDiv w:val="1"/>
      <w:marLeft w:val="0"/>
      <w:marRight w:val="0"/>
      <w:marTop w:val="0"/>
      <w:marBottom w:val="0"/>
      <w:divBdr>
        <w:top w:val="none" w:sz="0" w:space="0" w:color="auto"/>
        <w:left w:val="none" w:sz="0" w:space="0" w:color="auto"/>
        <w:bottom w:val="none" w:sz="0" w:space="0" w:color="auto"/>
        <w:right w:val="none" w:sz="0" w:space="0" w:color="auto"/>
      </w:divBdr>
    </w:div>
    <w:div w:id="1524712333">
      <w:bodyDiv w:val="1"/>
      <w:marLeft w:val="0"/>
      <w:marRight w:val="0"/>
      <w:marTop w:val="0"/>
      <w:marBottom w:val="0"/>
      <w:divBdr>
        <w:top w:val="none" w:sz="0" w:space="0" w:color="auto"/>
        <w:left w:val="none" w:sz="0" w:space="0" w:color="auto"/>
        <w:bottom w:val="none" w:sz="0" w:space="0" w:color="auto"/>
        <w:right w:val="none" w:sz="0" w:space="0" w:color="auto"/>
      </w:divBdr>
    </w:div>
    <w:div w:id="1527717639">
      <w:bodyDiv w:val="1"/>
      <w:marLeft w:val="0"/>
      <w:marRight w:val="0"/>
      <w:marTop w:val="0"/>
      <w:marBottom w:val="0"/>
      <w:divBdr>
        <w:top w:val="none" w:sz="0" w:space="0" w:color="auto"/>
        <w:left w:val="none" w:sz="0" w:space="0" w:color="auto"/>
        <w:bottom w:val="none" w:sz="0" w:space="0" w:color="auto"/>
        <w:right w:val="none" w:sz="0" w:space="0" w:color="auto"/>
      </w:divBdr>
    </w:div>
    <w:div w:id="1530534499">
      <w:bodyDiv w:val="1"/>
      <w:marLeft w:val="0"/>
      <w:marRight w:val="0"/>
      <w:marTop w:val="0"/>
      <w:marBottom w:val="0"/>
      <w:divBdr>
        <w:top w:val="none" w:sz="0" w:space="0" w:color="auto"/>
        <w:left w:val="none" w:sz="0" w:space="0" w:color="auto"/>
        <w:bottom w:val="none" w:sz="0" w:space="0" w:color="auto"/>
        <w:right w:val="none" w:sz="0" w:space="0" w:color="auto"/>
      </w:divBdr>
    </w:div>
    <w:div w:id="1537044430">
      <w:bodyDiv w:val="1"/>
      <w:marLeft w:val="0"/>
      <w:marRight w:val="0"/>
      <w:marTop w:val="0"/>
      <w:marBottom w:val="0"/>
      <w:divBdr>
        <w:top w:val="none" w:sz="0" w:space="0" w:color="auto"/>
        <w:left w:val="none" w:sz="0" w:space="0" w:color="auto"/>
        <w:bottom w:val="none" w:sz="0" w:space="0" w:color="auto"/>
        <w:right w:val="none" w:sz="0" w:space="0" w:color="auto"/>
      </w:divBdr>
    </w:div>
    <w:div w:id="1543052484">
      <w:bodyDiv w:val="1"/>
      <w:marLeft w:val="0"/>
      <w:marRight w:val="0"/>
      <w:marTop w:val="0"/>
      <w:marBottom w:val="0"/>
      <w:divBdr>
        <w:top w:val="none" w:sz="0" w:space="0" w:color="auto"/>
        <w:left w:val="none" w:sz="0" w:space="0" w:color="auto"/>
        <w:bottom w:val="none" w:sz="0" w:space="0" w:color="auto"/>
        <w:right w:val="none" w:sz="0" w:space="0" w:color="auto"/>
      </w:divBdr>
    </w:div>
    <w:div w:id="1546454798">
      <w:bodyDiv w:val="1"/>
      <w:marLeft w:val="0"/>
      <w:marRight w:val="0"/>
      <w:marTop w:val="0"/>
      <w:marBottom w:val="0"/>
      <w:divBdr>
        <w:top w:val="none" w:sz="0" w:space="0" w:color="auto"/>
        <w:left w:val="none" w:sz="0" w:space="0" w:color="auto"/>
        <w:bottom w:val="none" w:sz="0" w:space="0" w:color="auto"/>
        <w:right w:val="none" w:sz="0" w:space="0" w:color="auto"/>
      </w:divBdr>
    </w:div>
    <w:div w:id="1549150205">
      <w:bodyDiv w:val="1"/>
      <w:marLeft w:val="0"/>
      <w:marRight w:val="0"/>
      <w:marTop w:val="0"/>
      <w:marBottom w:val="0"/>
      <w:divBdr>
        <w:top w:val="none" w:sz="0" w:space="0" w:color="auto"/>
        <w:left w:val="none" w:sz="0" w:space="0" w:color="auto"/>
        <w:bottom w:val="none" w:sz="0" w:space="0" w:color="auto"/>
        <w:right w:val="none" w:sz="0" w:space="0" w:color="auto"/>
      </w:divBdr>
    </w:div>
    <w:div w:id="1550873728">
      <w:bodyDiv w:val="1"/>
      <w:marLeft w:val="0"/>
      <w:marRight w:val="0"/>
      <w:marTop w:val="0"/>
      <w:marBottom w:val="0"/>
      <w:divBdr>
        <w:top w:val="none" w:sz="0" w:space="0" w:color="auto"/>
        <w:left w:val="none" w:sz="0" w:space="0" w:color="auto"/>
        <w:bottom w:val="none" w:sz="0" w:space="0" w:color="auto"/>
        <w:right w:val="none" w:sz="0" w:space="0" w:color="auto"/>
      </w:divBdr>
    </w:div>
    <w:div w:id="1551110513">
      <w:bodyDiv w:val="1"/>
      <w:marLeft w:val="0"/>
      <w:marRight w:val="0"/>
      <w:marTop w:val="0"/>
      <w:marBottom w:val="0"/>
      <w:divBdr>
        <w:top w:val="none" w:sz="0" w:space="0" w:color="auto"/>
        <w:left w:val="none" w:sz="0" w:space="0" w:color="auto"/>
        <w:bottom w:val="none" w:sz="0" w:space="0" w:color="auto"/>
        <w:right w:val="none" w:sz="0" w:space="0" w:color="auto"/>
      </w:divBdr>
    </w:div>
    <w:div w:id="1551308489">
      <w:bodyDiv w:val="1"/>
      <w:marLeft w:val="0"/>
      <w:marRight w:val="0"/>
      <w:marTop w:val="0"/>
      <w:marBottom w:val="0"/>
      <w:divBdr>
        <w:top w:val="none" w:sz="0" w:space="0" w:color="auto"/>
        <w:left w:val="none" w:sz="0" w:space="0" w:color="auto"/>
        <w:bottom w:val="none" w:sz="0" w:space="0" w:color="auto"/>
        <w:right w:val="none" w:sz="0" w:space="0" w:color="auto"/>
      </w:divBdr>
      <w:divsChild>
        <w:div w:id="356126247">
          <w:marLeft w:val="0"/>
          <w:marRight w:val="0"/>
          <w:marTop w:val="0"/>
          <w:marBottom w:val="0"/>
          <w:divBdr>
            <w:top w:val="none" w:sz="0" w:space="0" w:color="auto"/>
            <w:left w:val="none" w:sz="0" w:space="0" w:color="auto"/>
            <w:bottom w:val="none" w:sz="0" w:space="0" w:color="auto"/>
            <w:right w:val="none" w:sz="0" w:space="0" w:color="auto"/>
          </w:divBdr>
          <w:divsChild>
            <w:div w:id="767120334">
              <w:marLeft w:val="0"/>
              <w:marRight w:val="0"/>
              <w:marTop w:val="0"/>
              <w:marBottom w:val="0"/>
              <w:divBdr>
                <w:top w:val="none" w:sz="0" w:space="0" w:color="auto"/>
                <w:left w:val="none" w:sz="0" w:space="0" w:color="auto"/>
                <w:bottom w:val="none" w:sz="0" w:space="0" w:color="auto"/>
                <w:right w:val="none" w:sz="0" w:space="0" w:color="auto"/>
              </w:divBdr>
            </w:div>
            <w:div w:id="854461568">
              <w:marLeft w:val="0"/>
              <w:marRight w:val="0"/>
              <w:marTop w:val="0"/>
              <w:marBottom w:val="600"/>
              <w:divBdr>
                <w:top w:val="none" w:sz="0" w:space="0" w:color="auto"/>
                <w:left w:val="none" w:sz="0" w:space="0" w:color="auto"/>
                <w:bottom w:val="none" w:sz="0" w:space="0" w:color="auto"/>
                <w:right w:val="none" w:sz="0" w:space="0" w:color="auto"/>
              </w:divBdr>
              <w:divsChild>
                <w:div w:id="1509176420">
                  <w:marLeft w:val="0"/>
                  <w:marRight w:val="0"/>
                  <w:marTop w:val="0"/>
                  <w:marBottom w:val="750"/>
                  <w:divBdr>
                    <w:top w:val="none" w:sz="0" w:space="0" w:color="auto"/>
                    <w:left w:val="none" w:sz="0" w:space="0" w:color="auto"/>
                    <w:bottom w:val="none" w:sz="0" w:space="0" w:color="auto"/>
                    <w:right w:val="none" w:sz="0" w:space="0" w:color="auto"/>
                  </w:divBdr>
                  <w:divsChild>
                    <w:div w:id="130489261">
                      <w:marLeft w:val="0"/>
                      <w:marRight w:val="0"/>
                      <w:marTop w:val="0"/>
                      <w:marBottom w:val="0"/>
                      <w:divBdr>
                        <w:top w:val="none" w:sz="0" w:space="0" w:color="auto"/>
                        <w:left w:val="none" w:sz="0" w:space="0" w:color="auto"/>
                        <w:bottom w:val="none" w:sz="0" w:space="0" w:color="auto"/>
                        <w:right w:val="none" w:sz="0" w:space="0" w:color="auto"/>
                      </w:divBdr>
                      <w:divsChild>
                        <w:div w:id="693844611">
                          <w:marLeft w:val="0"/>
                          <w:marRight w:val="0"/>
                          <w:marTop w:val="0"/>
                          <w:marBottom w:val="0"/>
                          <w:divBdr>
                            <w:top w:val="none" w:sz="0" w:space="0" w:color="auto"/>
                            <w:left w:val="none" w:sz="0" w:space="0" w:color="auto"/>
                            <w:bottom w:val="none" w:sz="0" w:space="0" w:color="auto"/>
                            <w:right w:val="none" w:sz="0" w:space="0" w:color="auto"/>
                          </w:divBdr>
                        </w:div>
                        <w:div w:id="1143736679">
                          <w:marLeft w:val="0"/>
                          <w:marRight w:val="0"/>
                          <w:marTop w:val="0"/>
                          <w:marBottom w:val="0"/>
                          <w:divBdr>
                            <w:top w:val="none" w:sz="0" w:space="0" w:color="auto"/>
                            <w:left w:val="none" w:sz="0" w:space="0" w:color="auto"/>
                            <w:bottom w:val="none" w:sz="0" w:space="0" w:color="auto"/>
                            <w:right w:val="none" w:sz="0" w:space="0" w:color="auto"/>
                          </w:divBdr>
                        </w:div>
                        <w:div w:id="10816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4800">
                  <w:marLeft w:val="0"/>
                  <w:marRight w:val="0"/>
                  <w:marTop w:val="0"/>
                  <w:marBottom w:val="0"/>
                  <w:divBdr>
                    <w:top w:val="none" w:sz="0" w:space="0" w:color="auto"/>
                    <w:left w:val="none" w:sz="0" w:space="0" w:color="auto"/>
                    <w:bottom w:val="none" w:sz="0" w:space="0" w:color="auto"/>
                    <w:right w:val="none" w:sz="0" w:space="0" w:color="auto"/>
                  </w:divBdr>
                  <w:divsChild>
                    <w:div w:id="994645482">
                      <w:marLeft w:val="0"/>
                      <w:marRight w:val="0"/>
                      <w:marTop w:val="0"/>
                      <w:marBottom w:val="0"/>
                      <w:divBdr>
                        <w:top w:val="none" w:sz="0" w:space="0" w:color="auto"/>
                        <w:left w:val="none" w:sz="0" w:space="0" w:color="auto"/>
                        <w:bottom w:val="none" w:sz="0" w:space="0" w:color="auto"/>
                        <w:right w:val="none" w:sz="0" w:space="0" w:color="auto"/>
                      </w:divBdr>
                    </w:div>
                    <w:div w:id="1240795226">
                      <w:marLeft w:val="0"/>
                      <w:marRight w:val="0"/>
                      <w:marTop w:val="0"/>
                      <w:marBottom w:val="0"/>
                      <w:divBdr>
                        <w:top w:val="none" w:sz="0" w:space="0" w:color="auto"/>
                        <w:left w:val="none" w:sz="0" w:space="0" w:color="auto"/>
                        <w:bottom w:val="none" w:sz="0" w:space="0" w:color="auto"/>
                        <w:right w:val="none" w:sz="0" w:space="0" w:color="auto"/>
                      </w:divBdr>
                    </w:div>
                    <w:div w:id="2117560011">
                      <w:marLeft w:val="0"/>
                      <w:marRight w:val="0"/>
                      <w:marTop w:val="0"/>
                      <w:marBottom w:val="0"/>
                      <w:divBdr>
                        <w:top w:val="none" w:sz="0" w:space="0" w:color="auto"/>
                        <w:left w:val="none" w:sz="0" w:space="0" w:color="auto"/>
                        <w:bottom w:val="none" w:sz="0" w:space="0" w:color="auto"/>
                        <w:right w:val="none" w:sz="0" w:space="0" w:color="auto"/>
                      </w:divBdr>
                    </w:div>
                    <w:div w:id="252011875">
                      <w:marLeft w:val="0"/>
                      <w:marRight w:val="0"/>
                      <w:marTop w:val="0"/>
                      <w:marBottom w:val="0"/>
                      <w:divBdr>
                        <w:top w:val="none" w:sz="0" w:space="0" w:color="auto"/>
                        <w:left w:val="none" w:sz="0" w:space="0" w:color="auto"/>
                        <w:bottom w:val="none" w:sz="0" w:space="0" w:color="auto"/>
                        <w:right w:val="none" w:sz="0" w:space="0" w:color="auto"/>
                      </w:divBdr>
                    </w:div>
                    <w:div w:id="44311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16032">
      <w:bodyDiv w:val="1"/>
      <w:marLeft w:val="0"/>
      <w:marRight w:val="0"/>
      <w:marTop w:val="0"/>
      <w:marBottom w:val="0"/>
      <w:divBdr>
        <w:top w:val="none" w:sz="0" w:space="0" w:color="auto"/>
        <w:left w:val="none" w:sz="0" w:space="0" w:color="auto"/>
        <w:bottom w:val="none" w:sz="0" w:space="0" w:color="auto"/>
        <w:right w:val="none" w:sz="0" w:space="0" w:color="auto"/>
      </w:divBdr>
    </w:div>
    <w:div w:id="1557157182">
      <w:bodyDiv w:val="1"/>
      <w:marLeft w:val="0"/>
      <w:marRight w:val="0"/>
      <w:marTop w:val="0"/>
      <w:marBottom w:val="0"/>
      <w:divBdr>
        <w:top w:val="none" w:sz="0" w:space="0" w:color="auto"/>
        <w:left w:val="none" w:sz="0" w:space="0" w:color="auto"/>
        <w:bottom w:val="none" w:sz="0" w:space="0" w:color="auto"/>
        <w:right w:val="none" w:sz="0" w:space="0" w:color="auto"/>
      </w:divBdr>
    </w:div>
    <w:div w:id="1557398142">
      <w:bodyDiv w:val="1"/>
      <w:marLeft w:val="0"/>
      <w:marRight w:val="0"/>
      <w:marTop w:val="0"/>
      <w:marBottom w:val="0"/>
      <w:divBdr>
        <w:top w:val="none" w:sz="0" w:space="0" w:color="auto"/>
        <w:left w:val="none" w:sz="0" w:space="0" w:color="auto"/>
        <w:bottom w:val="none" w:sz="0" w:space="0" w:color="auto"/>
        <w:right w:val="none" w:sz="0" w:space="0" w:color="auto"/>
      </w:divBdr>
    </w:div>
    <w:div w:id="1558972437">
      <w:bodyDiv w:val="1"/>
      <w:marLeft w:val="0"/>
      <w:marRight w:val="0"/>
      <w:marTop w:val="0"/>
      <w:marBottom w:val="0"/>
      <w:divBdr>
        <w:top w:val="none" w:sz="0" w:space="0" w:color="auto"/>
        <w:left w:val="none" w:sz="0" w:space="0" w:color="auto"/>
        <w:bottom w:val="none" w:sz="0" w:space="0" w:color="auto"/>
        <w:right w:val="none" w:sz="0" w:space="0" w:color="auto"/>
      </w:divBdr>
    </w:div>
    <w:div w:id="1562473900">
      <w:bodyDiv w:val="1"/>
      <w:marLeft w:val="0"/>
      <w:marRight w:val="0"/>
      <w:marTop w:val="0"/>
      <w:marBottom w:val="0"/>
      <w:divBdr>
        <w:top w:val="none" w:sz="0" w:space="0" w:color="auto"/>
        <w:left w:val="none" w:sz="0" w:space="0" w:color="auto"/>
        <w:bottom w:val="none" w:sz="0" w:space="0" w:color="auto"/>
        <w:right w:val="none" w:sz="0" w:space="0" w:color="auto"/>
      </w:divBdr>
    </w:div>
    <w:div w:id="1573150650">
      <w:bodyDiv w:val="1"/>
      <w:marLeft w:val="0"/>
      <w:marRight w:val="0"/>
      <w:marTop w:val="0"/>
      <w:marBottom w:val="0"/>
      <w:divBdr>
        <w:top w:val="none" w:sz="0" w:space="0" w:color="auto"/>
        <w:left w:val="none" w:sz="0" w:space="0" w:color="auto"/>
        <w:bottom w:val="none" w:sz="0" w:space="0" w:color="auto"/>
        <w:right w:val="none" w:sz="0" w:space="0" w:color="auto"/>
      </w:divBdr>
    </w:div>
    <w:div w:id="1573465785">
      <w:bodyDiv w:val="1"/>
      <w:marLeft w:val="0"/>
      <w:marRight w:val="0"/>
      <w:marTop w:val="0"/>
      <w:marBottom w:val="0"/>
      <w:divBdr>
        <w:top w:val="none" w:sz="0" w:space="0" w:color="auto"/>
        <w:left w:val="none" w:sz="0" w:space="0" w:color="auto"/>
        <w:bottom w:val="none" w:sz="0" w:space="0" w:color="auto"/>
        <w:right w:val="none" w:sz="0" w:space="0" w:color="auto"/>
      </w:divBdr>
    </w:div>
    <w:div w:id="1576285560">
      <w:bodyDiv w:val="1"/>
      <w:marLeft w:val="0"/>
      <w:marRight w:val="0"/>
      <w:marTop w:val="0"/>
      <w:marBottom w:val="0"/>
      <w:divBdr>
        <w:top w:val="none" w:sz="0" w:space="0" w:color="auto"/>
        <w:left w:val="none" w:sz="0" w:space="0" w:color="auto"/>
        <w:bottom w:val="none" w:sz="0" w:space="0" w:color="auto"/>
        <w:right w:val="none" w:sz="0" w:space="0" w:color="auto"/>
      </w:divBdr>
    </w:div>
    <w:div w:id="1576864301">
      <w:bodyDiv w:val="1"/>
      <w:marLeft w:val="0"/>
      <w:marRight w:val="0"/>
      <w:marTop w:val="0"/>
      <w:marBottom w:val="0"/>
      <w:divBdr>
        <w:top w:val="none" w:sz="0" w:space="0" w:color="auto"/>
        <w:left w:val="none" w:sz="0" w:space="0" w:color="auto"/>
        <w:bottom w:val="none" w:sz="0" w:space="0" w:color="auto"/>
        <w:right w:val="none" w:sz="0" w:space="0" w:color="auto"/>
      </w:divBdr>
    </w:div>
    <w:div w:id="1583100267">
      <w:bodyDiv w:val="1"/>
      <w:marLeft w:val="0"/>
      <w:marRight w:val="0"/>
      <w:marTop w:val="0"/>
      <w:marBottom w:val="0"/>
      <w:divBdr>
        <w:top w:val="none" w:sz="0" w:space="0" w:color="auto"/>
        <w:left w:val="none" w:sz="0" w:space="0" w:color="auto"/>
        <w:bottom w:val="none" w:sz="0" w:space="0" w:color="auto"/>
        <w:right w:val="none" w:sz="0" w:space="0" w:color="auto"/>
      </w:divBdr>
    </w:div>
    <w:div w:id="1586962676">
      <w:bodyDiv w:val="1"/>
      <w:marLeft w:val="0"/>
      <w:marRight w:val="0"/>
      <w:marTop w:val="0"/>
      <w:marBottom w:val="0"/>
      <w:divBdr>
        <w:top w:val="none" w:sz="0" w:space="0" w:color="auto"/>
        <w:left w:val="none" w:sz="0" w:space="0" w:color="auto"/>
        <w:bottom w:val="none" w:sz="0" w:space="0" w:color="auto"/>
        <w:right w:val="none" w:sz="0" w:space="0" w:color="auto"/>
      </w:divBdr>
    </w:div>
    <w:div w:id="1592926707">
      <w:bodyDiv w:val="1"/>
      <w:marLeft w:val="0"/>
      <w:marRight w:val="0"/>
      <w:marTop w:val="0"/>
      <w:marBottom w:val="0"/>
      <w:divBdr>
        <w:top w:val="none" w:sz="0" w:space="0" w:color="auto"/>
        <w:left w:val="none" w:sz="0" w:space="0" w:color="auto"/>
        <w:bottom w:val="none" w:sz="0" w:space="0" w:color="auto"/>
        <w:right w:val="none" w:sz="0" w:space="0" w:color="auto"/>
      </w:divBdr>
    </w:div>
    <w:div w:id="1595164205">
      <w:bodyDiv w:val="1"/>
      <w:marLeft w:val="0"/>
      <w:marRight w:val="0"/>
      <w:marTop w:val="0"/>
      <w:marBottom w:val="0"/>
      <w:divBdr>
        <w:top w:val="none" w:sz="0" w:space="0" w:color="auto"/>
        <w:left w:val="none" w:sz="0" w:space="0" w:color="auto"/>
        <w:bottom w:val="none" w:sz="0" w:space="0" w:color="auto"/>
        <w:right w:val="none" w:sz="0" w:space="0" w:color="auto"/>
      </w:divBdr>
    </w:div>
    <w:div w:id="1597901377">
      <w:bodyDiv w:val="1"/>
      <w:marLeft w:val="0"/>
      <w:marRight w:val="0"/>
      <w:marTop w:val="0"/>
      <w:marBottom w:val="0"/>
      <w:divBdr>
        <w:top w:val="none" w:sz="0" w:space="0" w:color="auto"/>
        <w:left w:val="none" w:sz="0" w:space="0" w:color="auto"/>
        <w:bottom w:val="none" w:sz="0" w:space="0" w:color="auto"/>
        <w:right w:val="none" w:sz="0" w:space="0" w:color="auto"/>
      </w:divBdr>
    </w:div>
    <w:div w:id="1597905805">
      <w:bodyDiv w:val="1"/>
      <w:marLeft w:val="0"/>
      <w:marRight w:val="0"/>
      <w:marTop w:val="0"/>
      <w:marBottom w:val="0"/>
      <w:divBdr>
        <w:top w:val="none" w:sz="0" w:space="0" w:color="auto"/>
        <w:left w:val="none" w:sz="0" w:space="0" w:color="auto"/>
        <w:bottom w:val="none" w:sz="0" w:space="0" w:color="auto"/>
        <w:right w:val="none" w:sz="0" w:space="0" w:color="auto"/>
      </w:divBdr>
    </w:div>
    <w:div w:id="1603340856">
      <w:bodyDiv w:val="1"/>
      <w:marLeft w:val="0"/>
      <w:marRight w:val="0"/>
      <w:marTop w:val="0"/>
      <w:marBottom w:val="0"/>
      <w:divBdr>
        <w:top w:val="none" w:sz="0" w:space="0" w:color="auto"/>
        <w:left w:val="none" w:sz="0" w:space="0" w:color="auto"/>
        <w:bottom w:val="none" w:sz="0" w:space="0" w:color="auto"/>
        <w:right w:val="none" w:sz="0" w:space="0" w:color="auto"/>
      </w:divBdr>
    </w:div>
    <w:div w:id="1605649772">
      <w:bodyDiv w:val="1"/>
      <w:marLeft w:val="0"/>
      <w:marRight w:val="0"/>
      <w:marTop w:val="0"/>
      <w:marBottom w:val="0"/>
      <w:divBdr>
        <w:top w:val="none" w:sz="0" w:space="0" w:color="auto"/>
        <w:left w:val="none" w:sz="0" w:space="0" w:color="auto"/>
        <w:bottom w:val="none" w:sz="0" w:space="0" w:color="auto"/>
        <w:right w:val="none" w:sz="0" w:space="0" w:color="auto"/>
      </w:divBdr>
    </w:div>
    <w:div w:id="1610770194">
      <w:bodyDiv w:val="1"/>
      <w:marLeft w:val="0"/>
      <w:marRight w:val="0"/>
      <w:marTop w:val="0"/>
      <w:marBottom w:val="0"/>
      <w:divBdr>
        <w:top w:val="none" w:sz="0" w:space="0" w:color="auto"/>
        <w:left w:val="none" w:sz="0" w:space="0" w:color="auto"/>
        <w:bottom w:val="none" w:sz="0" w:space="0" w:color="auto"/>
        <w:right w:val="none" w:sz="0" w:space="0" w:color="auto"/>
      </w:divBdr>
    </w:div>
    <w:div w:id="1612591742">
      <w:bodyDiv w:val="1"/>
      <w:marLeft w:val="0"/>
      <w:marRight w:val="0"/>
      <w:marTop w:val="0"/>
      <w:marBottom w:val="0"/>
      <w:divBdr>
        <w:top w:val="none" w:sz="0" w:space="0" w:color="auto"/>
        <w:left w:val="none" w:sz="0" w:space="0" w:color="auto"/>
        <w:bottom w:val="none" w:sz="0" w:space="0" w:color="auto"/>
        <w:right w:val="none" w:sz="0" w:space="0" w:color="auto"/>
      </w:divBdr>
    </w:div>
    <w:div w:id="1614053263">
      <w:bodyDiv w:val="1"/>
      <w:marLeft w:val="0"/>
      <w:marRight w:val="0"/>
      <w:marTop w:val="0"/>
      <w:marBottom w:val="0"/>
      <w:divBdr>
        <w:top w:val="none" w:sz="0" w:space="0" w:color="auto"/>
        <w:left w:val="none" w:sz="0" w:space="0" w:color="auto"/>
        <w:bottom w:val="none" w:sz="0" w:space="0" w:color="auto"/>
        <w:right w:val="none" w:sz="0" w:space="0" w:color="auto"/>
      </w:divBdr>
    </w:div>
    <w:div w:id="1616521287">
      <w:bodyDiv w:val="1"/>
      <w:marLeft w:val="0"/>
      <w:marRight w:val="0"/>
      <w:marTop w:val="0"/>
      <w:marBottom w:val="0"/>
      <w:divBdr>
        <w:top w:val="none" w:sz="0" w:space="0" w:color="auto"/>
        <w:left w:val="none" w:sz="0" w:space="0" w:color="auto"/>
        <w:bottom w:val="none" w:sz="0" w:space="0" w:color="auto"/>
        <w:right w:val="none" w:sz="0" w:space="0" w:color="auto"/>
      </w:divBdr>
    </w:div>
    <w:div w:id="1619868307">
      <w:bodyDiv w:val="1"/>
      <w:marLeft w:val="0"/>
      <w:marRight w:val="0"/>
      <w:marTop w:val="0"/>
      <w:marBottom w:val="0"/>
      <w:divBdr>
        <w:top w:val="none" w:sz="0" w:space="0" w:color="auto"/>
        <w:left w:val="none" w:sz="0" w:space="0" w:color="auto"/>
        <w:bottom w:val="none" w:sz="0" w:space="0" w:color="auto"/>
        <w:right w:val="none" w:sz="0" w:space="0" w:color="auto"/>
      </w:divBdr>
    </w:div>
    <w:div w:id="1620531280">
      <w:bodyDiv w:val="1"/>
      <w:marLeft w:val="0"/>
      <w:marRight w:val="0"/>
      <w:marTop w:val="0"/>
      <w:marBottom w:val="0"/>
      <w:divBdr>
        <w:top w:val="none" w:sz="0" w:space="0" w:color="auto"/>
        <w:left w:val="none" w:sz="0" w:space="0" w:color="auto"/>
        <w:bottom w:val="none" w:sz="0" w:space="0" w:color="auto"/>
        <w:right w:val="none" w:sz="0" w:space="0" w:color="auto"/>
      </w:divBdr>
    </w:div>
    <w:div w:id="1621180777">
      <w:bodyDiv w:val="1"/>
      <w:marLeft w:val="0"/>
      <w:marRight w:val="0"/>
      <w:marTop w:val="0"/>
      <w:marBottom w:val="0"/>
      <w:divBdr>
        <w:top w:val="none" w:sz="0" w:space="0" w:color="auto"/>
        <w:left w:val="none" w:sz="0" w:space="0" w:color="auto"/>
        <w:bottom w:val="none" w:sz="0" w:space="0" w:color="auto"/>
        <w:right w:val="none" w:sz="0" w:space="0" w:color="auto"/>
      </w:divBdr>
    </w:div>
    <w:div w:id="1628123383">
      <w:bodyDiv w:val="1"/>
      <w:marLeft w:val="0"/>
      <w:marRight w:val="0"/>
      <w:marTop w:val="0"/>
      <w:marBottom w:val="0"/>
      <w:divBdr>
        <w:top w:val="none" w:sz="0" w:space="0" w:color="auto"/>
        <w:left w:val="none" w:sz="0" w:space="0" w:color="auto"/>
        <w:bottom w:val="none" w:sz="0" w:space="0" w:color="auto"/>
        <w:right w:val="none" w:sz="0" w:space="0" w:color="auto"/>
      </w:divBdr>
    </w:div>
    <w:div w:id="1630283553">
      <w:bodyDiv w:val="1"/>
      <w:marLeft w:val="0"/>
      <w:marRight w:val="0"/>
      <w:marTop w:val="0"/>
      <w:marBottom w:val="0"/>
      <w:divBdr>
        <w:top w:val="none" w:sz="0" w:space="0" w:color="auto"/>
        <w:left w:val="none" w:sz="0" w:space="0" w:color="auto"/>
        <w:bottom w:val="none" w:sz="0" w:space="0" w:color="auto"/>
        <w:right w:val="none" w:sz="0" w:space="0" w:color="auto"/>
      </w:divBdr>
    </w:div>
    <w:div w:id="1632596412">
      <w:bodyDiv w:val="1"/>
      <w:marLeft w:val="0"/>
      <w:marRight w:val="0"/>
      <w:marTop w:val="0"/>
      <w:marBottom w:val="0"/>
      <w:divBdr>
        <w:top w:val="none" w:sz="0" w:space="0" w:color="auto"/>
        <w:left w:val="none" w:sz="0" w:space="0" w:color="auto"/>
        <w:bottom w:val="none" w:sz="0" w:space="0" w:color="auto"/>
        <w:right w:val="none" w:sz="0" w:space="0" w:color="auto"/>
      </w:divBdr>
    </w:div>
    <w:div w:id="1635212845">
      <w:bodyDiv w:val="1"/>
      <w:marLeft w:val="0"/>
      <w:marRight w:val="0"/>
      <w:marTop w:val="0"/>
      <w:marBottom w:val="0"/>
      <w:divBdr>
        <w:top w:val="none" w:sz="0" w:space="0" w:color="auto"/>
        <w:left w:val="none" w:sz="0" w:space="0" w:color="auto"/>
        <w:bottom w:val="none" w:sz="0" w:space="0" w:color="auto"/>
        <w:right w:val="none" w:sz="0" w:space="0" w:color="auto"/>
      </w:divBdr>
    </w:div>
    <w:div w:id="1636107541">
      <w:bodyDiv w:val="1"/>
      <w:marLeft w:val="0"/>
      <w:marRight w:val="0"/>
      <w:marTop w:val="0"/>
      <w:marBottom w:val="0"/>
      <w:divBdr>
        <w:top w:val="none" w:sz="0" w:space="0" w:color="auto"/>
        <w:left w:val="none" w:sz="0" w:space="0" w:color="auto"/>
        <w:bottom w:val="none" w:sz="0" w:space="0" w:color="auto"/>
        <w:right w:val="none" w:sz="0" w:space="0" w:color="auto"/>
      </w:divBdr>
    </w:div>
    <w:div w:id="1638879749">
      <w:bodyDiv w:val="1"/>
      <w:marLeft w:val="0"/>
      <w:marRight w:val="0"/>
      <w:marTop w:val="0"/>
      <w:marBottom w:val="0"/>
      <w:divBdr>
        <w:top w:val="none" w:sz="0" w:space="0" w:color="auto"/>
        <w:left w:val="none" w:sz="0" w:space="0" w:color="auto"/>
        <w:bottom w:val="none" w:sz="0" w:space="0" w:color="auto"/>
        <w:right w:val="none" w:sz="0" w:space="0" w:color="auto"/>
      </w:divBdr>
    </w:div>
    <w:div w:id="1640574416">
      <w:bodyDiv w:val="1"/>
      <w:marLeft w:val="0"/>
      <w:marRight w:val="0"/>
      <w:marTop w:val="0"/>
      <w:marBottom w:val="0"/>
      <w:divBdr>
        <w:top w:val="none" w:sz="0" w:space="0" w:color="auto"/>
        <w:left w:val="none" w:sz="0" w:space="0" w:color="auto"/>
        <w:bottom w:val="none" w:sz="0" w:space="0" w:color="auto"/>
        <w:right w:val="none" w:sz="0" w:space="0" w:color="auto"/>
      </w:divBdr>
    </w:div>
    <w:div w:id="1656299770">
      <w:bodyDiv w:val="1"/>
      <w:marLeft w:val="0"/>
      <w:marRight w:val="0"/>
      <w:marTop w:val="0"/>
      <w:marBottom w:val="0"/>
      <w:divBdr>
        <w:top w:val="none" w:sz="0" w:space="0" w:color="auto"/>
        <w:left w:val="none" w:sz="0" w:space="0" w:color="auto"/>
        <w:bottom w:val="none" w:sz="0" w:space="0" w:color="auto"/>
        <w:right w:val="none" w:sz="0" w:space="0" w:color="auto"/>
      </w:divBdr>
    </w:div>
    <w:div w:id="1666974746">
      <w:bodyDiv w:val="1"/>
      <w:marLeft w:val="0"/>
      <w:marRight w:val="0"/>
      <w:marTop w:val="0"/>
      <w:marBottom w:val="0"/>
      <w:divBdr>
        <w:top w:val="none" w:sz="0" w:space="0" w:color="auto"/>
        <w:left w:val="none" w:sz="0" w:space="0" w:color="auto"/>
        <w:bottom w:val="none" w:sz="0" w:space="0" w:color="auto"/>
        <w:right w:val="none" w:sz="0" w:space="0" w:color="auto"/>
      </w:divBdr>
    </w:div>
    <w:div w:id="1672677634">
      <w:bodyDiv w:val="1"/>
      <w:marLeft w:val="0"/>
      <w:marRight w:val="0"/>
      <w:marTop w:val="0"/>
      <w:marBottom w:val="0"/>
      <w:divBdr>
        <w:top w:val="none" w:sz="0" w:space="0" w:color="auto"/>
        <w:left w:val="none" w:sz="0" w:space="0" w:color="auto"/>
        <w:bottom w:val="none" w:sz="0" w:space="0" w:color="auto"/>
        <w:right w:val="none" w:sz="0" w:space="0" w:color="auto"/>
      </w:divBdr>
    </w:div>
    <w:div w:id="1673295732">
      <w:bodyDiv w:val="1"/>
      <w:marLeft w:val="0"/>
      <w:marRight w:val="0"/>
      <w:marTop w:val="0"/>
      <w:marBottom w:val="0"/>
      <w:divBdr>
        <w:top w:val="none" w:sz="0" w:space="0" w:color="auto"/>
        <w:left w:val="none" w:sz="0" w:space="0" w:color="auto"/>
        <w:bottom w:val="none" w:sz="0" w:space="0" w:color="auto"/>
        <w:right w:val="none" w:sz="0" w:space="0" w:color="auto"/>
      </w:divBdr>
    </w:div>
    <w:div w:id="1674454902">
      <w:bodyDiv w:val="1"/>
      <w:marLeft w:val="0"/>
      <w:marRight w:val="0"/>
      <w:marTop w:val="0"/>
      <w:marBottom w:val="0"/>
      <w:divBdr>
        <w:top w:val="none" w:sz="0" w:space="0" w:color="auto"/>
        <w:left w:val="none" w:sz="0" w:space="0" w:color="auto"/>
        <w:bottom w:val="none" w:sz="0" w:space="0" w:color="auto"/>
        <w:right w:val="none" w:sz="0" w:space="0" w:color="auto"/>
      </w:divBdr>
    </w:div>
    <w:div w:id="1674643432">
      <w:bodyDiv w:val="1"/>
      <w:marLeft w:val="0"/>
      <w:marRight w:val="0"/>
      <w:marTop w:val="0"/>
      <w:marBottom w:val="0"/>
      <w:divBdr>
        <w:top w:val="none" w:sz="0" w:space="0" w:color="auto"/>
        <w:left w:val="none" w:sz="0" w:space="0" w:color="auto"/>
        <w:bottom w:val="none" w:sz="0" w:space="0" w:color="auto"/>
        <w:right w:val="none" w:sz="0" w:space="0" w:color="auto"/>
      </w:divBdr>
    </w:div>
    <w:div w:id="1676421274">
      <w:bodyDiv w:val="1"/>
      <w:marLeft w:val="0"/>
      <w:marRight w:val="0"/>
      <w:marTop w:val="0"/>
      <w:marBottom w:val="0"/>
      <w:divBdr>
        <w:top w:val="none" w:sz="0" w:space="0" w:color="auto"/>
        <w:left w:val="none" w:sz="0" w:space="0" w:color="auto"/>
        <w:bottom w:val="none" w:sz="0" w:space="0" w:color="auto"/>
        <w:right w:val="none" w:sz="0" w:space="0" w:color="auto"/>
      </w:divBdr>
    </w:div>
    <w:div w:id="1679624089">
      <w:bodyDiv w:val="1"/>
      <w:marLeft w:val="0"/>
      <w:marRight w:val="0"/>
      <w:marTop w:val="0"/>
      <w:marBottom w:val="0"/>
      <w:divBdr>
        <w:top w:val="none" w:sz="0" w:space="0" w:color="auto"/>
        <w:left w:val="none" w:sz="0" w:space="0" w:color="auto"/>
        <w:bottom w:val="none" w:sz="0" w:space="0" w:color="auto"/>
        <w:right w:val="none" w:sz="0" w:space="0" w:color="auto"/>
      </w:divBdr>
    </w:div>
    <w:div w:id="1680082123">
      <w:bodyDiv w:val="1"/>
      <w:marLeft w:val="0"/>
      <w:marRight w:val="0"/>
      <w:marTop w:val="0"/>
      <w:marBottom w:val="0"/>
      <w:divBdr>
        <w:top w:val="none" w:sz="0" w:space="0" w:color="auto"/>
        <w:left w:val="none" w:sz="0" w:space="0" w:color="auto"/>
        <w:bottom w:val="none" w:sz="0" w:space="0" w:color="auto"/>
        <w:right w:val="none" w:sz="0" w:space="0" w:color="auto"/>
      </w:divBdr>
    </w:div>
    <w:div w:id="1681083702">
      <w:bodyDiv w:val="1"/>
      <w:marLeft w:val="0"/>
      <w:marRight w:val="0"/>
      <w:marTop w:val="0"/>
      <w:marBottom w:val="0"/>
      <w:divBdr>
        <w:top w:val="none" w:sz="0" w:space="0" w:color="auto"/>
        <w:left w:val="none" w:sz="0" w:space="0" w:color="auto"/>
        <w:bottom w:val="none" w:sz="0" w:space="0" w:color="auto"/>
        <w:right w:val="none" w:sz="0" w:space="0" w:color="auto"/>
      </w:divBdr>
    </w:div>
    <w:div w:id="1684358840">
      <w:bodyDiv w:val="1"/>
      <w:marLeft w:val="0"/>
      <w:marRight w:val="0"/>
      <w:marTop w:val="0"/>
      <w:marBottom w:val="0"/>
      <w:divBdr>
        <w:top w:val="none" w:sz="0" w:space="0" w:color="auto"/>
        <w:left w:val="none" w:sz="0" w:space="0" w:color="auto"/>
        <w:bottom w:val="none" w:sz="0" w:space="0" w:color="auto"/>
        <w:right w:val="none" w:sz="0" w:space="0" w:color="auto"/>
      </w:divBdr>
    </w:div>
    <w:div w:id="1689406743">
      <w:bodyDiv w:val="1"/>
      <w:marLeft w:val="0"/>
      <w:marRight w:val="0"/>
      <w:marTop w:val="0"/>
      <w:marBottom w:val="0"/>
      <w:divBdr>
        <w:top w:val="none" w:sz="0" w:space="0" w:color="auto"/>
        <w:left w:val="none" w:sz="0" w:space="0" w:color="auto"/>
        <w:bottom w:val="none" w:sz="0" w:space="0" w:color="auto"/>
        <w:right w:val="none" w:sz="0" w:space="0" w:color="auto"/>
      </w:divBdr>
    </w:div>
    <w:div w:id="1700856594">
      <w:bodyDiv w:val="1"/>
      <w:marLeft w:val="0"/>
      <w:marRight w:val="0"/>
      <w:marTop w:val="0"/>
      <w:marBottom w:val="0"/>
      <w:divBdr>
        <w:top w:val="none" w:sz="0" w:space="0" w:color="auto"/>
        <w:left w:val="none" w:sz="0" w:space="0" w:color="auto"/>
        <w:bottom w:val="none" w:sz="0" w:space="0" w:color="auto"/>
        <w:right w:val="none" w:sz="0" w:space="0" w:color="auto"/>
      </w:divBdr>
    </w:div>
    <w:div w:id="1700859159">
      <w:bodyDiv w:val="1"/>
      <w:marLeft w:val="0"/>
      <w:marRight w:val="0"/>
      <w:marTop w:val="0"/>
      <w:marBottom w:val="0"/>
      <w:divBdr>
        <w:top w:val="none" w:sz="0" w:space="0" w:color="auto"/>
        <w:left w:val="none" w:sz="0" w:space="0" w:color="auto"/>
        <w:bottom w:val="none" w:sz="0" w:space="0" w:color="auto"/>
        <w:right w:val="none" w:sz="0" w:space="0" w:color="auto"/>
      </w:divBdr>
    </w:div>
    <w:div w:id="1704162796">
      <w:bodyDiv w:val="1"/>
      <w:marLeft w:val="0"/>
      <w:marRight w:val="0"/>
      <w:marTop w:val="0"/>
      <w:marBottom w:val="0"/>
      <w:divBdr>
        <w:top w:val="none" w:sz="0" w:space="0" w:color="auto"/>
        <w:left w:val="none" w:sz="0" w:space="0" w:color="auto"/>
        <w:bottom w:val="none" w:sz="0" w:space="0" w:color="auto"/>
        <w:right w:val="none" w:sz="0" w:space="0" w:color="auto"/>
      </w:divBdr>
    </w:div>
    <w:div w:id="1707218423">
      <w:bodyDiv w:val="1"/>
      <w:marLeft w:val="0"/>
      <w:marRight w:val="0"/>
      <w:marTop w:val="0"/>
      <w:marBottom w:val="0"/>
      <w:divBdr>
        <w:top w:val="none" w:sz="0" w:space="0" w:color="auto"/>
        <w:left w:val="none" w:sz="0" w:space="0" w:color="auto"/>
        <w:bottom w:val="none" w:sz="0" w:space="0" w:color="auto"/>
        <w:right w:val="none" w:sz="0" w:space="0" w:color="auto"/>
      </w:divBdr>
    </w:div>
    <w:div w:id="1711612266">
      <w:bodyDiv w:val="1"/>
      <w:marLeft w:val="0"/>
      <w:marRight w:val="0"/>
      <w:marTop w:val="0"/>
      <w:marBottom w:val="0"/>
      <w:divBdr>
        <w:top w:val="none" w:sz="0" w:space="0" w:color="auto"/>
        <w:left w:val="none" w:sz="0" w:space="0" w:color="auto"/>
        <w:bottom w:val="none" w:sz="0" w:space="0" w:color="auto"/>
        <w:right w:val="none" w:sz="0" w:space="0" w:color="auto"/>
      </w:divBdr>
    </w:div>
    <w:div w:id="1713186793">
      <w:bodyDiv w:val="1"/>
      <w:marLeft w:val="0"/>
      <w:marRight w:val="0"/>
      <w:marTop w:val="0"/>
      <w:marBottom w:val="0"/>
      <w:divBdr>
        <w:top w:val="none" w:sz="0" w:space="0" w:color="auto"/>
        <w:left w:val="none" w:sz="0" w:space="0" w:color="auto"/>
        <w:bottom w:val="none" w:sz="0" w:space="0" w:color="auto"/>
        <w:right w:val="none" w:sz="0" w:space="0" w:color="auto"/>
      </w:divBdr>
    </w:div>
    <w:div w:id="1715226330">
      <w:bodyDiv w:val="1"/>
      <w:marLeft w:val="0"/>
      <w:marRight w:val="0"/>
      <w:marTop w:val="0"/>
      <w:marBottom w:val="0"/>
      <w:divBdr>
        <w:top w:val="none" w:sz="0" w:space="0" w:color="auto"/>
        <w:left w:val="none" w:sz="0" w:space="0" w:color="auto"/>
        <w:bottom w:val="none" w:sz="0" w:space="0" w:color="auto"/>
        <w:right w:val="none" w:sz="0" w:space="0" w:color="auto"/>
      </w:divBdr>
    </w:div>
    <w:div w:id="1716466589">
      <w:bodyDiv w:val="1"/>
      <w:marLeft w:val="0"/>
      <w:marRight w:val="0"/>
      <w:marTop w:val="0"/>
      <w:marBottom w:val="0"/>
      <w:divBdr>
        <w:top w:val="none" w:sz="0" w:space="0" w:color="auto"/>
        <w:left w:val="none" w:sz="0" w:space="0" w:color="auto"/>
        <w:bottom w:val="none" w:sz="0" w:space="0" w:color="auto"/>
        <w:right w:val="none" w:sz="0" w:space="0" w:color="auto"/>
      </w:divBdr>
    </w:div>
    <w:div w:id="1717460546">
      <w:bodyDiv w:val="1"/>
      <w:marLeft w:val="0"/>
      <w:marRight w:val="0"/>
      <w:marTop w:val="0"/>
      <w:marBottom w:val="0"/>
      <w:divBdr>
        <w:top w:val="none" w:sz="0" w:space="0" w:color="auto"/>
        <w:left w:val="none" w:sz="0" w:space="0" w:color="auto"/>
        <w:bottom w:val="none" w:sz="0" w:space="0" w:color="auto"/>
        <w:right w:val="none" w:sz="0" w:space="0" w:color="auto"/>
      </w:divBdr>
    </w:div>
    <w:div w:id="1719207778">
      <w:bodyDiv w:val="1"/>
      <w:marLeft w:val="0"/>
      <w:marRight w:val="0"/>
      <w:marTop w:val="0"/>
      <w:marBottom w:val="0"/>
      <w:divBdr>
        <w:top w:val="none" w:sz="0" w:space="0" w:color="auto"/>
        <w:left w:val="none" w:sz="0" w:space="0" w:color="auto"/>
        <w:bottom w:val="none" w:sz="0" w:space="0" w:color="auto"/>
        <w:right w:val="none" w:sz="0" w:space="0" w:color="auto"/>
      </w:divBdr>
    </w:div>
    <w:div w:id="1719818809">
      <w:bodyDiv w:val="1"/>
      <w:marLeft w:val="0"/>
      <w:marRight w:val="0"/>
      <w:marTop w:val="0"/>
      <w:marBottom w:val="0"/>
      <w:divBdr>
        <w:top w:val="none" w:sz="0" w:space="0" w:color="auto"/>
        <w:left w:val="none" w:sz="0" w:space="0" w:color="auto"/>
        <w:bottom w:val="none" w:sz="0" w:space="0" w:color="auto"/>
        <w:right w:val="none" w:sz="0" w:space="0" w:color="auto"/>
      </w:divBdr>
    </w:div>
    <w:div w:id="1720275759">
      <w:bodyDiv w:val="1"/>
      <w:marLeft w:val="0"/>
      <w:marRight w:val="0"/>
      <w:marTop w:val="0"/>
      <w:marBottom w:val="0"/>
      <w:divBdr>
        <w:top w:val="none" w:sz="0" w:space="0" w:color="auto"/>
        <w:left w:val="none" w:sz="0" w:space="0" w:color="auto"/>
        <w:bottom w:val="none" w:sz="0" w:space="0" w:color="auto"/>
        <w:right w:val="none" w:sz="0" w:space="0" w:color="auto"/>
      </w:divBdr>
    </w:div>
    <w:div w:id="1720517786">
      <w:bodyDiv w:val="1"/>
      <w:marLeft w:val="0"/>
      <w:marRight w:val="0"/>
      <w:marTop w:val="0"/>
      <w:marBottom w:val="0"/>
      <w:divBdr>
        <w:top w:val="none" w:sz="0" w:space="0" w:color="auto"/>
        <w:left w:val="none" w:sz="0" w:space="0" w:color="auto"/>
        <w:bottom w:val="none" w:sz="0" w:space="0" w:color="auto"/>
        <w:right w:val="none" w:sz="0" w:space="0" w:color="auto"/>
      </w:divBdr>
    </w:div>
    <w:div w:id="1722707356">
      <w:bodyDiv w:val="1"/>
      <w:marLeft w:val="0"/>
      <w:marRight w:val="0"/>
      <w:marTop w:val="0"/>
      <w:marBottom w:val="0"/>
      <w:divBdr>
        <w:top w:val="none" w:sz="0" w:space="0" w:color="auto"/>
        <w:left w:val="none" w:sz="0" w:space="0" w:color="auto"/>
        <w:bottom w:val="none" w:sz="0" w:space="0" w:color="auto"/>
        <w:right w:val="none" w:sz="0" w:space="0" w:color="auto"/>
      </w:divBdr>
    </w:div>
    <w:div w:id="1727757577">
      <w:bodyDiv w:val="1"/>
      <w:marLeft w:val="0"/>
      <w:marRight w:val="0"/>
      <w:marTop w:val="0"/>
      <w:marBottom w:val="0"/>
      <w:divBdr>
        <w:top w:val="none" w:sz="0" w:space="0" w:color="auto"/>
        <w:left w:val="none" w:sz="0" w:space="0" w:color="auto"/>
        <w:bottom w:val="none" w:sz="0" w:space="0" w:color="auto"/>
        <w:right w:val="none" w:sz="0" w:space="0" w:color="auto"/>
      </w:divBdr>
    </w:div>
    <w:div w:id="1732538609">
      <w:bodyDiv w:val="1"/>
      <w:marLeft w:val="0"/>
      <w:marRight w:val="0"/>
      <w:marTop w:val="0"/>
      <w:marBottom w:val="0"/>
      <w:divBdr>
        <w:top w:val="none" w:sz="0" w:space="0" w:color="auto"/>
        <w:left w:val="none" w:sz="0" w:space="0" w:color="auto"/>
        <w:bottom w:val="none" w:sz="0" w:space="0" w:color="auto"/>
        <w:right w:val="none" w:sz="0" w:space="0" w:color="auto"/>
      </w:divBdr>
    </w:div>
    <w:div w:id="1743016063">
      <w:bodyDiv w:val="1"/>
      <w:marLeft w:val="0"/>
      <w:marRight w:val="0"/>
      <w:marTop w:val="0"/>
      <w:marBottom w:val="0"/>
      <w:divBdr>
        <w:top w:val="none" w:sz="0" w:space="0" w:color="auto"/>
        <w:left w:val="none" w:sz="0" w:space="0" w:color="auto"/>
        <w:bottom w:val="none" w:sz="0" w:space="0" w:color="auto"/>
        <w:right w:val="none" w:sz="0" w:space="0" w:color="auto"/>
      </w:divBdr>
    </w:div>
    <w:div w:id="1750275168">
      <w:bodyDiv w:val="1"/>
      <w:marLeft w:val="0"/>
      <w:marRight w:val="0"/>
      <w:marTop w:val="0"/>
      <w:marBottom w:val="0"/>
      <w:divBdr>
        <w:top w:val="none" w:sz="0" w:space="0" w:color="auto"/>
        <w:left w:val="none" w:sz="0" w:space="0" w:color="auto"/>
        <w:bottom w:val="none" w:sz="0" w:space="0" w:color="auto"/>
        <w:right w:val="none" w:sz="0" w:space="0" w:color="auto"/>
      </w:divBdr>
    </w:div>
    <w:div w:id="1766534944">
      <w:bodyDiv w:val="1"/>
      <w:marLeft w:val="0"/>
      <w:marRight w:val="0"/>
      <w:marTop w:val="0"/>
      <w:marBottom w:val="0"/>
      <w:divBdr>
        <w:top w:val="none" w:sz="0" w:space="0" w:color="auto"/>
        <w:left w:val="none" w:sz="0" w:space="0" w:color="auto"/>
        <w:bottom w:val="none" w:sz="0" w:space="0" w:color="auto"/>
        <w:right w:val="none" w:sz="0" w:space="0" w:color="auto"/>
      </w:divBdr>
    </w:div>
    <w:div w:id="1767800181">
      <w:bodyDiv w:val="1"/>
      <w:marLeft w:val="0"/>
      <w:marRight w:val="0"/>
      <w:marTop w:val="0"/>
      <w:marBottom w:val="0"/>
      <w:divBdr>
        <w:top w:val="none" w:sz="0" w:space="0" w:color="auto"/>
        <w:left w:val="none" w:sz="0" w:space="0" w:color="auto"/>
        <w:bottom w:val="none" w:sz="0" w:space="0" w:color="auto"/>
        <w:right w:val="none" w:sz="0" w:space="0" w:color="auto"/>
      </w:divBdr>
    </w:div>
    <w:div w:id="1769350180">
      <w:bodyDiv w:val="1"/>
      <w:marLeft w:val="0"/>
      <w:marRight w:val="0"/>
      <w:marTop w:val="0"/>
      <w:marBottom w:val="0"/>
      <w:divBdr>
        <w:top w:val="none" w:sz="0" w:space="0" w:color="auto"/>
        <w:left w:val="none" w:sz="0" w:space="0" w:color="auto"/>
        <w:bottom w:val="none" w:sz="0" w:space="0" w:color="auto"/>
        <w:right w:val="none" w:sz="0" w:space="0" w:color="auto"/>
      </w:divBdr>
    </w:div>
    <w:div w:id="1770542327">
      <w:bodyDiv w:val="1"/>
      <w:marLeft w:val="0"/>
      <w:marRight w:val="0"/>
      <w:marTop w:val="0"/>
      <w:marBottom w:val="0"/>
      <w:divBdr>
        <w:top w:val="none" w:sz="0" w:space="0" w:color="auto"/>
        <w:left w:val="none" w:sz="0" w:space="0" w:color="auto"/>
        <w:bottom w:val="none" w:sz="0" w:space="0" w:color="auto"/>
        <w:right w:val="none" w:sz="0" w:space="0" w:color="auto"/>
      </w:divBdr>
    </w:div>
    <w:div w:id="1771076915">
      <w:bodyDiv w:val="1"/>
      <w:marLeft w:val="0"/>
      <w:marRight w:val="0"/>
      <w:marTop w:val="0"/>
      <w:marBottom w:val="0"/>
      <w:divBdr>
        <w:top w:val="none" w:sz="0" w:space="0" w:color="auto"/>
        <w:left w:val="none" w:sz="0" w:space="0" w:color="auto"/>
        <w:bottom w:val="none" w:sz="0" w:space="0" w:color="auto"/>
        <w:right w:val="none" w:sz="0" w:space="0" w:color="auto"/>
      </w:divBdr>
    </w:div>
    <w:div w:id="1773089967">
      <w:bodyDiv w:val="1"/>
      <w:marLeft w:val="0"/>
      <w:marRight w:val="0"/>
      <w:marTop w:val="0"/>
      <w:marBottom w:val="0"/>
      <w:divBdr>
        <w:top w:val="none" w:sz="0" w:space="0" w:color="auto"/>
        <w:left w:val="none" w:sz="0" w:space="0" w:color="auto"/>
        <w:bottom w:val="none" w:sz="0" w:space="0" w:color="auto"/>
        <w:right w:val="none" w:sz="0" w:space="0" w:color="auto"/>
      </w:divBdr>
    </w:div>
    <w:div w:id="1774934213">
      <w:bodyDiv w:val="1"/>
      <w:marLeft w:val="0"/>
      <w:marRight w:val="0"/>
      <w:marTop w:val="0"/>
      <w:marBottom w:val="0"/>
      <w:divBdr>
        <w:top w:val="none" w:sz="0" w:space="0" w:color="auto"/>
        <w:left w:val="none" w:sz="0" w:space="0" w:color="auto"/>
        <w:bottom w:val="none" w:sz="0" w:space="0" w:color="auto"/>
        <w:right w:val="none" w:sz="0" w:space="0" w:color="auto"/>
      </w:divBdr>
    </w:div>
    <w:div w:id="1778210884">
      <w:bodyDiv w:val="1"/>
      <w:marLeft w:val="0"/>
      <w:marRight w:val="0"/>
      <w:marTop w:val="0"/>
      <w:marBottom w:val="0"/>
      <w:divBdr>
        <w:top w:val="none" w:sz="0" w:space="0" w:color="auto"/>
        <w:left w:val="none" w:sz="0" w:space="0" w:color="auto"/>
        <w:bottom w:val="none" w:sz="0" w:space="0" w:color="auto"/>
        <w:right w:val="none" w:sz="0" w:space="0" w:color="auto"/>
      </w:divBdr>
    </w:div>
    <w:div w:id="1782069191">
      <w:bodyDiv w:val="1"/>
      <w:marLeft w:val="0"/>
      <w:marRight w:val="0"/>
      <w:marTop w:val="0"/>
      <w:marBottom w:val="0"/>
      <w:divBdr>
        <w:top w:val="none" w:sz="0" w:space="0" w:color="auto"/>
        <w:left w:val="none" w:sz="0" w:space="0" w:color="auto"/>
        <w:bottom w:val="none" w:sz="0" w:space="0" w:color="auto"/>
        <w:right w:val="none" w:sz="0" w:space="0" w:color="auto"/>
      </w:divBdr>
    </w:div>
    <w:div w:id="1792479362">
      <w:bodyDiv w:val="1"/>
      <w:marLeft w:val="0"/>
      <w:marRight w:val="0"/>
      <w:marTop w:val="0"/>
      <w:marBottom w:val="0"/>
      <w:divBdr>
        <w:top w:val="none" w:sz="0" w:space="0" w:color="auto"/>
        <w:left w:val="none" w:sz="0" w:space="0" w:color="auto"/>
        <w:bottom w:val="none" w:sz="0" w:space="0" w:color="auto"/>
        <w:right w:val="none" w:sz="0" w:space="0" w:color="auto"/>
      </w:divBdr>
    </w:div>
    <w:div w:id="1792627730">
      <w:bodyDiv w:val="1"/>
      <w:marLeft w:val="0"/>
      <w:marRight w:val="0"/>
      <w:marTop w:val="0"/>
      <w:marBottom w:val="0"/>
      <w:divBdr>
        <w:top w:val="none" w:sz="0" w:space="0" w:color="auto"/>
        <w:left w:val="none" w:sz="0" w:space="0" w:color="auto"/>
        <w:bottom w:val="none" w:sz="0" w:space="0" w:color="auto"/>
        <w:right w:val="none" w:sz="0" w:space="0" w:color="auto"/>
      </w:divBdr>
    </w:div>
    <w:div w:id="1793865655">
      <w:bodyDiv w:val="1"/>
      <w:marLeft w:val="0"/>
      <w:marRight w:val="0"/>
      <w:marTop w:val="0"/>
      <w:marBottom w:val="0"/>
      <w:divBdr>
        <w:top w:val="none" w:sz="0" w:space="0" w:color="auto"/>
        <w:left w:val="none" w:sz="0" w:space="0" w:color="auto"/>
        <w:bottom w:val="none" w:sz="0" w:space="0" w:color="auto"/>
        <w:right w:val="none" w:sz="0" w:space="0" w:color="auto"/>
      </w:divBdr>
    </w:div>
    <w:div w:id="1806466642">
      <w:bodyDiv w:val="1"/>
      <w:marLeft w:val="0"/>
      <w:marRight w:val="0"/>
      <w:marTop w:val="0"/>
      <w:marBottom w:val="0"/>
      <w:divBdr>
        <w:top w:val="none" w:sz="0" w:space="0" w:color="auto"/>
        <w:left w:val="none" w:sz="0" w:space="0" w:color="auto"/>
        <w:bottom w:val="none" w:sz="0" w:space="0" w:color="auto"/>
        <w:right w:val="none" w:sz="0" w:space="0" w:color="auto"/>
      </w:divBdr>
    </w:div>
    <w:div w:id="1806970524">
      <w:bodyDiv w:val="1"/>
      <w:marLeft w:val="0"/>
      <w:marRight w:val="0"/>
      <w:marTop w:val="0"/>
      <w:marBottom w:val="0"/>
      <w:divBdr>
        <w:top w:val="none" w:sz="0" w:space="0" w:color="auto"/>
        <w:left w:val="none" w:sz="0" w:space="0" w:color="auto"/>
        <w:bottom w:val="none" w:sz="0" w:space="0" w:color="auto"/>
        <w:right w:val="none" w:sz="0" w:space="0" w:color="auto"/>
      </w:divBdr>
    </w:div>
    <w:div w:id="1809468375">
      <w:bodyDiv w:val="1"/>
      <w:marLeft w:val="0"/>
      <w:marRight w:val="0"/>
      <w:marTop w:val="0"/>
      <w:marBottom w:val="0"/>
      <w:divBdr>
        <w:top w:val="none" w:sz="0" w:space="0" w:color="auto"/>
        <w:left w:val="none" w:sz="0" w:space="0" w:color="auto"/>
        <w:bottom w:val="none" w:sz="0" w:space="0" w:color="auto"/>
        <w:right w:val="none" w:sz="0" w:space="0" w:color="auto"/>
      </w:divBdr>
    </w:div>
    <w:div w:id="1810634016">
      <w:bodyDiv w:val="1"/>
      <w:marLeft w:val="0"/>
      <w:marRight w:val="0"/>
      <w:marTop w:val="0"/>
      <w:marBottom w:val="0"/>
      <w:divBdr>
        <w:top w:val="none" w:sz="0" w:space="0" w:color="auto"/>
        <w:left w:val="none" w:sz="0" w:space="0" w:color="auto"/>
        <w:bottom w:val="none" w:sz="0" w:space="0" w:color="auto"/>
        <w:right w:val="none" w:sz="0" w:space="0" w:color="auto"/>
      </w:divBdr>
    </w:div>
    <w:div w:id="1815641448">
      <w:bodyDiv w:val="1"/>
      <w:marLeft w:val="0"/>
      <w:marRight w:val="0"/>
      <w:marTop w:val="0"/>
      <w:marBottom w:val="0"/>
      <w:divBdr>
        <w:top w:val="none" w:sz="0" w:space="0" w:color="auto"/>
        <w:left w:val="none" w:sz="0" w:space="0" w:color="auto"/>
        <w:bottom w:val="none" w:sz="0" w:space="0" w:color="auto"/>
        <w:right w:val="none" w:sz="0" w:space="0" w:color="auto"/>
      </w:divBdr>
    </w:div>
    <w:div w:id="1818571611">
      <w:bodyDiv w:val="1"/>
      <w:marLeft w:val="0"/>
      <w:marRight w:val="0"/>
      <w:marTop w:val="0"/>
      <w:marBottom w:val="0"/>
      <w:divBdr>
        <w:top w:val="none" w:sz="0" w:space="0" w:color="auto"/>
        <w:left w:val="none" w:sz="0" w:space="0" w:color="auto"/>
        <w:bottom w:val="none" w:sz="0" w:space="0" w:color="auto"/>
        <w:right w:val="none" w:sz="0" w:space="0" w:color="auto"/>
      </w:divBdr>
    </w:div>
    <w:div w:id="1820418844">
      <w:bodyDiv w:val="1"/>
      <w:marLeft w:val="0"/>
      <w:marRight w:val="0"/>
      <w:marTop w:val="0"/>
      <w:marBottom w:val="0"/>
      <w:divBdr>
        <w:top w:val="none" w:sz="0" w:space="0" w:color="auto"/>
        <w:left w:val="none" w:sz="0" w:space="0" w:color="auto"/>
        <w:bottom w:val="none" w:sz="0" w:space="0" w:color="auto"/>
        <w:right w:val="none" w:sz="0" w:space="0" w:color="auto"/>
      </w:divBdr>
    </w:div>
    <w:div w:id="1824354204">
      <w:bodyDiv w:val="1"/>
      <w:marLeft w:val="0"/>
      <w:marRight w:val="0"/>
      <w:marTop w:val="0"/>
      <w:marBottom w:val="0"/>
      <w:divBdr>
        <w:top w:val="none" w:sz="0" w:space="0" w:color="auto"/>
        <w:left w:val="none" w:sz="0" w:space="0" w:color="auto"/>
        <w:bottom w:val="none" w:sz="0" w:space="0" w:color="auto"/>
        <w:right w:val="none" w:sz="0" w:space="0" w:color="auto"/>
      </w:divBdr>
    </w:div>
    <w:div w:id="1827696755">
      <w:bodyDiv w:val="1"/>
      <w:marLeft w:val="0"/>
      <w:marRight w:val="0"/>
      <w:marTop w:val="0"/>
      <w:marBottom w:val="0"/>
      <w:divBdr>
        <w:top w:val="none" w:sz="0" w:space="0" w:color="auto"/>
        <w:left w:val="none" w:sz="0" w:space="0" w:color="auto"/>
        <w:bottom w:val="none" w:sz="0" w:space="0" w:color="auto"/>
        <w:right w:val="none" w:sz="0" w:space="0" w:color="auto"/>
      </w:divBdr>
    </w:div>
    <w:div w:id="1832062729">
      <w:bodyDiv w:val="1"/>
      <w:marLeft w:val="0"/>
      <w:marRight w:val="0"/>
      <w:marTop w:val="0"/>
      <w:marBottom w:val="0"/>
      <w:divBdr>
        <w:top w:val="none" w:sz="0" w:space="0" w:color="auto"/>
        <w:left w:val="none" w:sz="0" w:space="0" w:color="auto"/>
        <w:bottom w:val="none" w:sz="0" w:space="0" w:color="auto"/>
        <w:right w:val="none" w:sz="0" w:space="0" w:color="auto"/>
      </w:divBdr>
    </w:div>
    <w:div w:id="1835142320">
      <w:bodyDiv w:val="1"/>
      <w:marLeft w:val="0"/>
      <w:marRight w:val="0"/>
      <w:marTop w:val="0"/>
      <w:marBottom w:val="0"/>
      <w:divBdr>
        <w:top w:val="none" w:sz="0" w:space="0" w:color="auto"/>
        <w:left w:val="none" w:sz="0" w:space="0" w:color="auto"/>
        <w:bottom w:val="none" w:sz="0" w:space="0" w:color="auto"/>
        <w:right w:val="none" w:sz="0" w:space="0" w:color="auto"/>
      </w:divBdr>
    </w:div>
    <w:div w:id="1841895644">
      <w:bodyDiv w:val="1"/>
      <w:marLeft w:val="0"/>
      <w:marRight w:val="0"/>
      <w:marTop w:val="0"/>
      <w:marBottom w:val="0"/>
      <w:divBdr>
        <w:top w:val="none" w:sz="0" w:space="0" w:color="auto"/>
        <w:left w:val="none" w:sz="0" w:space="0" w:color="auto"/>
        <w:bottom w:val="none" w:sz="0" w:space="0" w:color="auto"/>
        <w:right w:val="none" w:sz="0" w:space="0" w:color="auto"/>
      </w:divBdr>
    </w:div>
    <w:div w:id="1842819885">
      <w:bodyDiv w:val="1"/>
      <w:marLeft w:val="0"/>
      <w:marRight w:val="0"/>
      <w:marTop w:val="0"/>
      <w:marBottom w:val="0"/>
      <w:divBdr>
        <w:top w:val="none" w:sz="0" w:space="0" w:color="auto"/>
        <w:left w:val="none" w:sz="0" w:space="0" w:color="auto"/>
        <w:bottom w:val="none" w:sz="0" w:space="0" w:color="auto"/>
        <w:right w:val="none" w:sz="0" w:space="0" w:color="auto"/>
      </w:divBdr>
    </w:div>
    <w:div w:id="1850564521">
      <w:bodyDiv w:val="1"/>
      <w:marLeft w:val="0"/>
      <w:marRight w:val="0"/>
      <w:marTop w:val="0"/>
      <w:marBottom w:val="0"/>
      <w:divBdr>
        <w:top w:val="none" w:sz="0" w:space="0" w:color="auto"/>
        <w:left w:val="none" w:sz="0" w:space="0" w:color="auto"/>
        <w:bottom w:val="none" w:sz="0" w:space="0" w:color="auto"/>
        <w:right w:val="none" w:sz="0" w:space="0" w:color="auto"/>
      </w:divBdr>
    </w:div>
    <w:div w:id="1854419812">
      <w:bodyDiv w:val="1"/>
      <w:marLeft w:val="0"/>
      <w:marRight w:val="0"/>
      <w:marTop w:val="0"/>
      <w:marBottom w:val="0"/>
      <w:divBdr>
        <w:top w:val="none" w:sz="0" w:space="0" w:color="auto"/>
        <w:left w:val="none" w:sz="0" w:space="0" w:color="auto"/>
        <w:bottom w:val="none" w:sz="0" w:space="0" w:color="auto"/>
        <w:right w:val="none" w:sz="0" w:space="0" w:color="auto"/>
      </w:divBdr>
    </w:div>
    <w:div w:id="1866939471">
      <w:bodyDiv w:val="1"/>
      <w:marLeft w:val="0"/>
      <w:marRight w:val="0"/>
      <w:marTop w:val="0"/>
      <w:marBottom w:val="0"/>
      <w:divBdr>
        <w:top w:val="none" w:sz="0" w:space="0" w:color="auto"/>
        <w:left w:val="none" w:sz="0" w:space="0" w:color="auto"/>
        <w:bottom w:val="none" w:sz="0" w:space="0" w:color="auto"/>
        <w:right w:val="none" w:sz="0" w:space="0" w:color="auto"/>
      </w:divBdr>
    </w:div>
    <w:div w:id="1878859401">
      <w:bodyDiv w:val="1"/>
      <w:marLeft w:val="0"/>
      <w:marRight w:val="0"/>
      <w:marTop w:val="0"/>
      <w:marBottom w:val="0"/>
      <w:divBdr>
        <w:top w:val="none" w:sz="0" w:space="0" w:color="auto"/>
        <w:left w:val="none" w:sz="0" w:space="0" w:color="auto"/>
        <w:bottom w:val="none" w:sz="0" w:space="0" w:color="auto"/>
        <w:right w:val="none" w:sz="0" w:space="0" w:color="auto"/>
      </w:divBdr>
    </w:div>
    <w:div w:id="1883781087">
      <w:bodyDiv w:val="1"/>
      <w:marLeft w:val="0"/>
      <w:marRight w:val="0"/>
      <w:marTop w:val="0"/>
      <w:marBottom w:val="0"/>
      <w:divBdr>
        <w:top w:val="none" w:sz="0" w:space="0" w:color="auto"/>
        <w:left w:val="none" w:sz="0" w:space="0" w:color="auto"/>
        <w:bottom w:val="none" w:sz="0" w:space="0" w:color="auto"/>
        <w:right w:val="none" w:sz="0" w:space="0" w:color="auto"/>
      </w:divBdr>
    </w:div>
    <w:div w:id="1883787719">
      <w:bodyDiv w:val="1"/>
      <w:marLeft w:val="0"/>
      <w:marRight w:val="0"/>
      <w:marTop w:val="0"/>
      <w:marBottom w:val="0"/>
      <w:divBdr>
        <w:top w:val="none" w:sz="0" w:space="0" w:color="auto"/>
        <w:left w:val="none" w:sz="0" w:space="0" w:color="auto"/>
        <w:bottom w:val="none" w:sz="0" w:space="0" w:color="auto"/>
        <w:right w:val="none" w:sz="0" w:space="0" w:color="auto"/>
      </w:divBdr>
    </w:div>
    <w:div w:id="1886912969">
      <w:bodyDiv w:val="1"/>
      <w:marLeft w:val="0"/>
      <w:marRight w:val="0"/>
      <w:marTop w:val="0"/>
      <w:marBottom w:val="0"/>
      <w:divBdr>
        <w:top w:val="none" w:sz="0" w:space="0" w:color="auto"/>
        <w:left w:val="none" w:sz="0" w:space="0" w:color="auto"/>
        <w:bottom w:val="none" w:sz="0" w:space="0" w:color="auto"/>
        <w:right w:val="none" w:sz="0" w:space="0" w:color="auto"/>
      </w:divBdr>
    </w:div>
    <w:div w:id="1888295933">
      <w:bodyDiv w:val="1"/>
      <w:marLeft w:val="0"/>
      <w:marRight w:val="0"/>
      <w:marTop w:val="0"/>
      <w:marBottom w:val="0"/>
      <w:divBdr>
        <w:top w:val="none" w:sz="0" w:space="0" w:color="auto"/>
        <w:left w:val="none" w:sz="0" w:space="0" w:color="auto"/>
        <w:bottom w:val="none" w:sz="0" w:space="0" w:color="auto"/>
        <w:right w:val="none" w:sz="0" w:space="0" w:color="auto"/>
      </w:divBdr>
    </w:div>
    <w:div w:id="1888838983">
      <w:bodyDiv w:val="1"/>
      <w:marLeft w:val="0"/>
      <w:marRight w:val="0"/>
      <w:marTop w:val="0"/>
      <w:marBottom w:val="0"/>
      <w:divBdr>
        <w:top w:val="none" w:sz="0" w:space="0" w:color="auto"/>
        <w:left w:val="none" w:sz="0" w:space="0" w:color="auto"/>
        <w:bottom w:val="none" w:sz="0" w:space="0" w:color="auto"/>
        <w:right w:val="none" w:sz="0" w:space="0" w:color="auto"/>
      </w:divBdr>
    </w:div>
    <w:div w:id="1889873908">
      <w:bodyDiv w:val="1"/>
      <w:marLeft w:val="0"/>
      <w:marRight w:val="0"/>
      <w:marTop w:val="0"/>
      <w:marBottom w:val="0"/>
      <w:divBdr>
        <w:top w:val="none" w:sz="0" w:space="0" w:color="auto"/>
        <w:left w:val="none" w:sz="0" w:space="0" w:color="auto"/>
        <w:bottom w:val="none" w:sz="0" w:space="0" w:color="auto"/>
        <w:right w:val="none" w:sz="0" w:space="0" w:color="auto"/>
      </w:divBdr>
    </w:div>
    <w:div w:id="1895896259">
      <w:bodyDiv w:val="1"/>
      <w:marLeft w:val="0"/>
      <w:marRight w:val="0"/>
      <w:marTop w:val="0"/>
      <w:marBottom w:val="0"/>
      <w:divBdr>
        <w:top w:val="none" w:sz="0" w:space="0" w:color="auto"/>
        <w:left w:val="none" w:sz="0" w:space="0" w:color="auto"/>
        <w:bottom w:val="none" w:sz="0" w:space="0" w:color="auto"/>
        <w:right w:val="none" w:sz="0" w:space="0" w:color="auto"/>
      </w:divBdr>
    </w:div>
    <w:div w:id="1899199835">
      <w:bodyDiv w:val="1"/>
      <w:marLeft w:val="0"/>
      <w:marRight w:val="0"/>
      <w:marTop w:val="0"/>
      <w:marBottom w:val="0"/>
      <w:divBdr>
        <w:top w:val="none" w:sz="0" w:space="0" w:color="auto"/>
        <w:left w:val="none" w:sz="0" w:space="0" w:color="auto"/>
        <w:bottom w:val="none" w:sz="0" w:space="0" w:color="auto"/>
        <w:right w:val="none" w:sz="0" w:space="0" w:color="auto"/>
      </w:divBdr>
    </w:div>
    <w:div w:id="1899321582">
      <w:bodyDiv w:val="1"/>
      <w:marLeft w:val="0"/>
      <w:marRight w:val="0"/>
      <w:marTop w:val="0"/>
      <w:marBottom w:val="0"/>
      <w:divBdr>
        <w:top w:val="none" w:sz="0" w:space="0" w:color="auto"/>
        <w:left w:val="none" w:sz="0" w:space="0" w:color="auto"/>
        <w:bottom w:val="none" w:sz="0" w:space="0" w:color="auto"/>
        <w:right w:val="none" w:sz="0" w:space="0" w:color="auto"/>
      </w:divBdr>
    </w:div>
    <w:div w:id="1907064150">
      <w:bodyDiv w:val="1"/>
      <w:marLeft w:val="0"/>
      <w:marRight w:val="0"/>
      <w:marTop w:val="0"/>
      <w:marBottom w:val="0"/>
      <w:divBdr>
        <w:top w:val="none" w:sz="0" w:space="0" w:color="auto"/>
        <w:left w:val="none" w:sz="0" w:space="0" w:color="auto"/>
        <w:bottom w:val="none" w:sz="0" w:space="0" w:color="auto"/>
        <w:right w:val="none" w:sz="0" w:space="0" w:color="auto"/>
      </w:divBdr>
    </w:div>
    <w:div w:id="1923949764">
      <w:bodyDiv w:val="1"/>
      <w:marLeft w:val="0"/>
      <w:marRight w:val="0"/>
      <w:marTop w:val="0"/>
      <w:marBottom w:val="0"/>
      <w:divBdr>
        <w:top w:val="none" w:sz="0" w:space="0" w:color="auto"/>
        <w:left w:val="none" w:sz="0" w:space="0" w:color="auto"/>
        <w:bottom w:val="none" w:sz="0" w:space="0" w:color="auto"/>
        <w:right w:val="none" w:sz="0" w:space="0" w:color="auto"/>
      </w:divBdr>
    </w:div>
    <w:div w:id="1924486448">
      <w:bodyDiv w:val="1"/>
      <w:marLeft w:val="0"/>
      <w:marRight w:val="0"/>
      <w:marTop w:val="0"/>
      <w:marBottom w:val="0"/>
      <w:divBdr>
        <w:top w:val="none" w:sz="0" w:space="0" w:color="auto"/>
        <w:left w:val="none" w:sz="0" w:space="0" w:color="auto"/>
        <w:bottom w:val="none" w:sz="0" w:space="0" w:color="auto"/>
        <w:right w:val="none" w:sz="0" w:space="0" w:color="auto"/>
      </w:divBdr>
    </w:div>
    <w:div w:id="1931622175">
      <w:bodyDiv w:val="1"/>
      <w:marLeft w:val="0"/>
      <w:marRight w:val="0"/>
      <w:marTop w:val="0"/>
      <w:marBottom w:val="0"/>
      <w:divBdr>
        <w:top w:val="none" w:sz="0" w:space="0" w:color="auto"/>
        <w:left w:val="none" w:sz="0" w:space="0" w:color="auto"/>
        <w:bottom w:val="none" w:sz="0" w:space="0" w:color="auto"/>
        <w:right w:val="none" w:sz="0" w:space="0" w:color="auto"/>
      </w:divBdr>
    </w:div>
    <w:div w:id="1931815002">
      <w:bodyDiv w:val="1"/>
      <w:marLeft w:val="0"/>
      <w:marRight w:val="0"/>
      <w:marTop w:val="0"/>
      <w:marBottom w:val="0"/>
      <w:divBdr>
        <w:top w:val="none" w:sz="0" w:space="0" w:color="auto"/>
        <w:left w:val="none" w:sz="0" w:space="0" w:color="auto"/>
        <w:bottom w:val="none" w:sz="0" w:space="0" w:color="auto"/>
        <w:right w:val="none" w:sz="0" w:space="0" w:color="auto"/>
      </w:divBdr>
    </w:div>
    <w:div w:id="1934624502">
      <w:bodyDiv w:val="1"/>
      <w:marLeft w:val="0"/>
      <w:marRight w:val="0"/>
      <w:marTop w:val="0"/>
      <w:marBottom w:val="0"/>
      <w:divBdr>
        <w:top w:val="none" w:sz="0" w:space="0" w:color="auto"/>
        <w:left w:val="none" w:sz="0" w:space="0" w:color="auto"/>
        <w:bottom w:val="none" w:sz="0" w:space="0" w:color="auto"/>
        <w:right w:val="none" w:sz="0" w:space="0" w:color="auto"/>
      </w:divBdr>
    </w:div>
    <w:div w:id="1940407231">
      <w:bodyDiv w:val="1"/>
      <w:marLeft w:val="0"/>
      <w:marRight w:val="0"/>
      <w:marTop w:val="0"/>
      <w:marBottom w:val="0"/>
      <w:divBdr>
        <w:top w:val="none" w:sz="0" w:space="0" w:color="auto"/>
        <w:left w:val="none" w:sz="0" w:space="0" w:color="auto"/>
        <w:bottom w:val="none" w:sz="0" w:space="0" w:color="auto"/>
        <w:right w:val="none" w:sz="0" w:space="0" w:color="auto"/>
      </w:divBdr>
    </w:div>
    <w:div w:id="1941788646">
      <w:bodyDiv w:val="1"/>
      <w:marLeft w:val="0"/>
      <w:marRight w:val="0"/>
      <w:marTop w:val="0"/>
      <w:marBottom w:val="0"/>
      <w:divBdr>
        <w:top w:val="none" w:sz="0" w:space="0" w:color="auto"/>
        <w:left w:val="none" w:sz="0" w:space="0" w:color="auto"/>
        <w:bottom w:val="none" w:sz="0" w:space="0" w:color="auto"/>
        <w:right w:val="none" w:sz="0" w:space="0" w:color="auto"/>
      </w:divBdr>
    </w:div>
    <w:div w:id="1942178405">
      <w:bodyDiv w:val="1"/>
      <w:marLeft w:val="0"/>
      <w:marRight w:val="0"/>
      <w:marTop w:val="0"/>
      <w:marBottom w:val="0"/>
      <w:divBdr>
        <w:top w:val="none" w:sz="0" w:space="0" w:color="auto"/>
        <w:left w:val="none" w:sz="0" w:space="0" w:color="auto"/>
        <w:bottom w:val="none" w:sz="0" w:space="0" w:color="auto"/>
        <w:right w:val="none" w:sz="0" w:space="0" w:color="auto"/>
      </w:divBdr>
    </w:div>
    <w:div w:id="1943537354">
      <w:bodyDiv w:val="1"/>
      <w:marLeft w:val="0"/>
      <w:marRight w:val="0"/>
      <w:marTop w:val="0"/>
      <w:marBottom w:val="0"/>
      <w:divBdr>
        <w:top w:val="none" w:sz="0" w:space="0" w:color="auto"/>
        <w:left w:val="none" w:sz="0" w:space="0" w:color="auto"/>
        <w:bottom w:val="none" w:sz="0" w:space="0" w:color="auto"/>
        <w:right w:val="none" w:sz="0" w:space="0" w:color="auto"/>
      </w:divBdr>
    </w:div>
    <w:div w:id="1944922760">
      <w:bodyDiv w:val="1"/>
      <w:marLeft w:val="0"/>
      <w:marRight w:val="0"/>
      <w:marTop w:val="0"/>
      <w:marBottom w:val="0"/>
      <w:divBdr>
        <w:top w:val="none" w:sz="0" w:space="0" w:color="auto"/>
        <w:left w:val="none" w:sz="0" w:space="0" w:color="auto"/>
        <w:bottom w:val="none" w:sz="0" w:space="0" w:color="auto"/>
        <w:right w:val="none" w:sz="0" w:space="0" w:color="auto"/>
      </w:divBdr>
    </w:div>
    <w:div w:id="1953628172">
      <w:bodyDiv w:val="1"/>
      <w:marLeft w:val="0"/>
      <w:marRight w:val="0"/>
      <w:marTop w:val="0"/>
      <w:marBottom w:val="0"/>
      <w:divBdr>
        <w:top w:val="none" w:sz="0" w:space="0" w:color="auto"/>
        <w:left w:val="none" w:sz="0" w:space="0" w:color="auto"/>
        <w:bottom w:val="none" w:sz="0" w:space="0" w:color="auto"/>
        <w:right w:val="none" w:sz="0" w:space="0" w:color="auto"/>
      </w:divBdr>
    </w:div>
    <w:div w:id="1963606643">
      <w:bodyDiv w:val="1"/>
      <w:marLeft w:val="0"/>
      <w:marRight w:val="0"/>
      <w:marTop w:val="0"/>
      <w:marBottom w:val="0"/>
      <w:divBdr>
        <w:top w:val="none" w:sz="0" w:space="0" w:color="auto"/>
        <w:left w:val="none" w:sz="0" w:space="0" w:color="auto"/>
        <w:bottom w:val="none" w:sz="0" w:space="0" w:color="auto"/>
        <w:right w:val="none" w:sz="0" w:space="0" w:color="auto"/>
      </w:divBdr>
    </w:div>
    <w:div w:id="1989019291">
      <w:bodyDiv w:val="1"/>
      <w:marLeft w:val="0"/>
      <w:marRight w:val="0"/>
      <w:marTop w:val="0"/>
      <w:marBottom w:val="0"/>
      <w:divBdr>
        <w:top w:val="none" w:sz="0" w:space="0" w:color="auto"/>
        <w:left w:val="none" w:sz="0" w:space="0" w:color="auto"/>
        <w:bottom w:val="none" w:sz="0" w:space="0" w:color="auto"/>
        <w:right w:val="none" w:sz="0" w:space="0" w:color="auto"/>
      </w:divBdr>
    </w:div>
    <w:div w:id="1993020766">
      <w:bodyDiv w:val="1"/>
      <w:marLeft w:val="0"/>
      <w:marRight w:val="0"/>
      <w:marTop w:val="0"/>
      <w:marBottom w:val="0"/>
      <w:divBdr>
        <w:top w:val="none" w:sz="0" w:space="0" w:color="auto"/>
        <w:left w:val="none" w:sz="0" w:space="0" w:color="auto"/>
        <w:bottom w:val="none" w:sz="0" w:space="0" w:color="auto"/>
        <w:right w:val="none" w:sz="0" w:space="0" w:color="auto"/>
      </w:divBdr>
    </w:div>
    <w:div w:id="1994333539">
      <w:bodyDiv w:val="1"/>
      <w:marLeft w:val="0"/>
      <w:marRight w:val="0"/>
      <w:marTop w:val="0"/>
      <w:marBottom w:val="0"/>
      <w:divBdr>
        <w:top w:val="none" w:sz="0" w:space="0" w:color="auto"/>
        <w:left w:val="none" w:sz="0" w:space="0" w:color="auto"/>
        <w:bottom w:val="none" w:sz="0" w:space="0" w:color="auto"/>
        <w:right w:val="none" w:sz="0" w:space="0" w:color="auto"/>
      </w:divBdr>
    </w:div>
    <w:div w:id="1996372580">
      <w:bodyDiv w:val="1"/>
      <w:marLeft w:val="0"/>
      <w:marRight w:val="0"/>
      <w:marTop w:val="0"/>
      <w:marBottom w:val="0"/>
      <w:divBdr>
        <w:top w:val="none" w:sz="0" w:space="0" w:color="auto"/>
        <w:left w:val="none" w:sz="0" w:space="0" w:color="auto"/>
        <w:bottom w:val="none" w:sz="0" w:space="0" w:color="auto"/>
        <w:right w:val="none" w:sz="0" w:space="0" w:color="auto"/>
      </w:divBdr>
    </w:div>
    <w:div w:id="2003043360">
      <w:bodyDiv w:val="1"/>
      <w:marLeft w:val="0"/>
      <w:marRight w:val="0"/>
      <w:marTop w:val="0"/>
      <w:marBottom w:val="0"/>
      <w:divBdr>
        <w:top w:val="none" w:sz="0" w:space="0" w:color="auto"/>
        <w:left w:val="none" w:sz="0" w:space="0" w:color="auto"/>
        <w:bottom w:val="none" w:sz="0" w:space="0" w:color="auto"/>
        <w:right w:val="none" w:sz="0" w:space="0" w:color="auto"/>
      </w:divBdr>
    </w:div>
    <w:div w:id="2004233385">
      <w:bodyDiv w:val="1"/>
      <w:marLeft w:val="0"/>
      <w:marRight w:val="0"/>
      <w:marTop w:val="0"/>
      <w:marBottom w:val="0"/>
      <w:divBdr>
        <w:top w:val="none" w:sz="0" w:space="0" w:color="auto"/>
        <w:left w:val="none" w:sz="0" w:space="0" w:color="auto"/>
        <w:bottom w:val="none" w:sz="0" w:space="0" w:color="auto"/>
        <w:right w:val="none" w:sz="0" w:space="0" w:color="auto"/>
      </w:divBdr>
    </w:div>
    <w:div w:id="2005277539">
      <w:bodyDiv w:val="1"/>
      <w:marLeft w:val="0"/>
      <w:marRight w:val="0"/>
      <w:marTop w:val="0"/>
      <w:marBottom w:val="0"/>
      <w:divBdr>
        <w:top w:val="none" w:sz="0" w:space="0" w:color="auto"/>
        <w:left w:val="none" w:sz="0" w:space="0" w:color="auto"/>
        <w:bottom w:val="none" w:sz="0" w:space="0" w:color="auto"/>
        <w:right w:val="none" w:sz="0" w:space="0" w:color="auto"/>
      </w:divBdr>
    </w:div>
    <w:div w:id="2005358865">
      <w:bodyDiv w:val="1"/>
      <w:marLeft w:val="0"/>
      <w:marRight w:val="0"/>
      <w:marTop w:val="0"/>
      <w:marBottom w:val="0"/>
      <w:divBdr>
        <w:top w:val="none" w:sz="0" w:space="0" w:color="auto"/>
        <w:left w:val="none" w:sz="0" w:space="0" w:color="auto"/>
        <w:bottom w:val="none" w:sz="0" w:space="0" w:color="auto"/>
        <w:right w:val="none" w:sz="0" w:space="0" w:color="auto"/>
      </w:divBdr>
    </w:div>
    <w:div w:id="2016765049">
      <w:bodyDiv w:val="1"/>
      <w:marLeft w:val="0"/>
      <w:marRight w:val="0"/>
      <w:marTop w:val="0"/>
      <w:marBottom w:val="0"/>
      <w:divBdr>
        <w:top w:val="none" w:sz="0" w:space="0" w:color="auto"/>
        <w:left w:val="none" w:sz="0" w:space="0" w:color="auto"/>
        <w:bottom w:val="none" w:sz="0" w:space="0" w:color="auto"/>
        <w:right w:val="none" w:sz="0" w:space="0" w:color="auto"/>
      </w:divBdr>
    </w:div>
    <w:div w:id="2016806617">
      <w:bodyDiv w:val="1"/>
      <w:marLeft w:val="0"/>
      <w:marRight w:val="0"/>
      <w:marTop w:val="0"/>
      <w:marBottom w:val="0"/>
      <w:divBdr>
        <w:top w:val="none" w:sz="0" w:space="0" w:color="auto"/>
        <w:left w:val="none" w:sz="0" w:space="0" w:color="auto"/>
        <w:bottom w:val="none" w:sz="0" w:space="0" w:color="auto"/>
        <w:right w:val="none" w:sz="0" w:space="0" w:color="auto"/>
      </w:divBdr>
    </w:div>
    <w:div w:id="2022392387">
      <w:bodyDiv w:val="1"/>
      <w:marLeft w:val="0"/>
      <w:marRight w:val="0"/>
      <w:marTop w:val="0"/>
      <w:marBottom w:val="0"/>
      <w:divBdr>
        <w:top w:val="none" w:sz="0" w:space="0" w:color="auto"/>
        <w:left w:val="none" w:sz="0" w:space="0" w:color="auto"/>
        <w:bottom w:val="none" w:sz="0" w:space="0" w:color="auto"/>
        <w:right w:val="none" w:sz="0" w:space="0" w:color="auto"/>
      </w:divBdr>
    </w:div>
    <w:div w:id="2028167480">
      <w:bodyDiv w:val="1"/>
      <w:marLeft w:val="0"/>
      <w:marRight w:val="0"/>
      <w:marTop w:val="0"/>
      <w:marBottom w:val="0"/>
      <w:divBdr>
        <w:top w:val="none" w:sz="0" w:space="0" w:color="auto"/>
        <w:left w:val="none" w:sz="0" w:space="0" w:color="auto"/>
        <w:bottom w:val="none" w:sz="0" w:space="0" w:color="auto"/>
        <w:right w:val="none" w:sz="0" w:space="0" w:color="auto"/>
      </w:divBdr>
    </w:div>
    <w:div w:id="2034257682">
      <w:bodyDiv w:val="1"/>
      <w:marLeft w:val="0"/>
      <w:marRight w:val="0"/>
      <w:marTop w:val="0"/>
      <w:marBottom w:val="0"/>
      <w:divBdr>
        <w:top w:val="none" w:sz="0" w:space="0" w:color="auto"/>
        <w:left w:val="none" w:sz="0" w:space="0" w:color="auto"/>
        <w:bottom w:val="none" w:sz="0" w:space="0" w:color="auto"/>
        <w:right w:val="none" w:sz="0" w:space="0" w:color="auto"/>
      </w:divBdr>
    </w:div>
    <w:div w:id="2040468940">
      <w:bodyDiv w:val="1"/>
      <w:marLeft w:val="0"/>
      <w:marRight w:val="0"/>
      <w:marTop w:val="0"/>
      <w:marBottom w:val="0"/>
      <w:divBdr>
        <w:top w:val="none" w:sz="0" w:space="0" w:color="auto"/>
        <w:left w:val="none" w:sz="0" w:space="0" w:color="auto"/>
        <w:bottom w:val="none" w:sz="0" w:space="0" w:color="auto"/>
        <w:right w:val="none" w:sz="0" w:space="0" w:color="auto"/>
      </w:divBdr>
    </w:div>
    <w:div w:id="2040813859">
      <w:bodyDiv w:val="1"/>
      <w:marLeft w:val="0"/>
      <w:marRight w:val="0"/>
      <w:marTop w:val="0"/>
      <w:marBottom w:val="0"/>
      <w:divBdr>
        <w:top w:val="none" w:sz="0" w:space="0" w:color="auto"/>
        <w:left w:val="none" w:sz="0" w:space="0" w:color="auto"/>
        <w:bottom w:val="none" w:sz="0" w:space="0" w:color="auto"/>
        <w:right w:val="none" w:sz="0" w:space="0" w:color="auto"/>
      </w:divBdr>
    </w:div>
    <w:div w:id="2046254277">
      <w:bodyDiv w:val="1"/>
      <w:marLeft w:val="0"/>
      <w:marRight w:val="0"/>
      <w:marTop w:val="0"/>
      <w:marBottom w:val="0"/>
      <w:divBdr>
        <w:top w:val="none" w:sz="0" w:space="0" w:color="auto"/>
        <w:left w:val="none" w:sz="0" w:space="0" w:color="auto"/>
        <w:bottom w:val="none" w:sz="0" w:space="0" w:color="auto"/>
        <w:right w:val="none" w:sz="0" w:space="0" w:color="auto"/>
      </w:divBdr>
    </w:div>
    <w:div w:id="2050641329">
      <w:bodyDiv w:val="1"/>
      <w:marLeft w:val="0"/>
      <w:marRight w:val="0"/>
      <w:marTop w:val="0"/>
      <w:marBottom w:val="0"/>
      <w:divBdr>
        <w:top w:val="none" w:sz="0" w:space="0" w:color="auto"/>
        <w:left w:val="none" w:sz="0" w:space="0" w:color="auto"/>
        <w:bottom w:val="none" w:sz="0" w:space="0" w:color="auto"/>
        <w:right w:val="none" w:sz="0" w:space="0" w:color="auto"/>
      </w:divBdr>
    </w:div>
    <w:div w:id="2051567452">
      <w:bodyDiv w:val="1"/>
      <w:marLeft w:val="0"/>
      <w:marRight w:val="0"/>
      <w:marTop w:val="0"/>
      <w:marBottom w:val="0"/>
      <w:divBdr>
        <w:top w:val="none" w:sz="0" w:space="0" w:color="auto"/>
        <w:left w:val="none" w:sz="0" w:space="0" w:color="auto"/>
        <w:bottom w:val="none" w:sz="0" w:space="0" w:color="auto"/>
        <w:right w:val="none" w:sz="0" w:space="0" w:color="auto"/>
      </w:divBdr>
    </w:div>
    <w:div w:id="2051683725">
      <w:bodyDiv w:val="1"/>
      <w:marLeft w:val="0"/>
      <w:marRight w:val="0"/>
      <w:marTop w:val="0"/>
      <w:marBottom w:val="0"/>
      <w:divBdr>
        <w:top w:val="none" w:sz="0" w:space="0" w:color="auto"/>
        <w:left w:val="none" w:sz="0" w:space="0" w:color="auto"/>
        <w:bottom w:val="none" w:sz="0" w:space="0" w:color="auto"/>
        <w:right w:val="none" w:sz="0" w:space="0" w:color="auto"/>
      </w:divBdr>
    </w:div>
    <w:div w:id="2052919272">
      <w:bodyDiv w:val="1"/>
      <w:marLeft w:val="0"/>
      <w:marRight w:val="0"/>
      <w:marTop w:val="0"/>
      <w:marBottom w:val="0"/>
      <w:divBdr>
        <w:top w:val="none" w:sz="0" w:space="0" w:color="auto"/>
        <w:left w:val="none" w:sz="0" w:space="0" w:color="auto"/>
        <w:bottom w:val="none" w:sz="0" w:space="0" w:color="auto"/>
        <w:right w:val="none" w:sz="0" w:space="0" w:color="auto"/>
      </w:divBdr>
    </w:div>
    <w:div w:id="2055693340">
      <w:bodyDiv w:val="1"/>
      <w:marLeft w:val="0"/>
      <w:marRight w:val="0"/>
      <w:marTop w:val="0"/>
      <w:marBottom w:val="0"/>
      <w:divBdr>
        <w:top w:val="none" w:sz="0" w:space="0" w:color="auto"/>
        <w:left w:val="none" w:sz="0" w:space="0" w:color="auto"/>
        <w:bottom w:val="none" w:sz="0" w:space="0" w:color="auto"/>
        <w:right w:val="none" w:sz="0" w:space="0" w:color="auto"/>
      </w:divBdr>
    </w:div>
    <w:div w:id="2059742897">
      <w:bodyDiv w:val="1"/>
      <w:marLeft w:val="0"/>
      <w:marRight w:val="0"/>
      <w:marTop w:val="0"/>
      <w:marBottom w:val="0"/>
      <w:divBdr>
        <w:top w:val="none" w:sz="0" w:space="0" w:color="auto"/>
        <w:left w:val="none" w:sz="0" w:space="0" w:color="auto"/>
        <w:bottom w:val="none" w:sz="0" w:space="0" w:color="auto"/>
        <w:right w:val="none" w:sz="0" w:space="0" w:color="auto"/>
      </w:divBdr>
    </w:div>
    <w:div w:id="2060276139">
      <w:bodyDiv w:val="1"/>
      <w:marLeft w:val="0"/>
      <w:marRight w:val="0"/>
      <w:marTop w:val="0"/>
      <w:marBottom w:val="0"/>
      <w:divBdr>
        <w:top w:val="none" w:sz="0" w:space="0" w:color="auto"/>
        <w:left w:val="none" w:sz="0" w:space="0" w:color="auto"/>
        <w:bottom w:val="none" w:sz="0" w:space="0" w:color="auto"/>
        <w:right w:val="none" w:sz="0" w:space="0" w:color="auto"/>
      </w:divBdr>
    </w:div>
    <w:div w:id="2063407841">
      <w:bodyDiv w:val="1"/>
      <w:marLeft w:val="0"/>
      <w:marRight w:val="0"/>
      <w:marTop w:val="0"/>
      <w:marBottom w:val="0"/>
      <w:divBdr>
        <w:top w:val="none" w:sz="0" w:space="0" w:color="auto"/>
        <w:left w:val="none" w:sz="0" w:space="0" w:color="auto"/>
        <w:bottom w:val="none" w:sz="0" w:space="0" w:color="auto"/>
        <w:right w:val="none" w:sz="0" w:space="0" w:color="auto"/>
      </w:divBdr>
    </w:div>
    <w:div w:id="2068408090">
      <w:bodyDiv w:val="1"/>
      <w:marLeft w:val="0"/>
      <w:marRight w:val="0"/>
      <w:marTop w:val="0"/>
      <w:marBottom w:val="0"/>
      <w:divBdr>
        <w:top w:val="none" w:sz="0" w:space="0" w:color="auto"/>
        <w:left w:val="none" w:sz="0" w:space="0" w:color="auto"/>
        <w:bottom w:val="none" w:sz="0" w:space="0" w:color="auto"/>
        <w:right w:val="none" w:sz="0" w:space="0" w:color="auto"/>
      </w:divBdr>
    </w:div>
    <w:div w:id="2075157275">
      <w:bodyDiv w:val="1"/>
      <w:marLeft w:val="0"/>
      <w:marRight w:val="0"/>
      <w:marTop w:val="0"/>
      <w:marBottom w:val="0"/>
      <w:divBdr>
        <w:top w:val="none" w:sz="0" w:space="0" w:color="auto"/>
        <w:left w:val="none" w:sz="0" w:space="0" w:color="auto"/>
        <w:bottom w:val="none" w:sz="0" w:space="0" w:color="auto"/>
        <w:right w:val="none" w:sz="0" w:space="0" w:color="auto"/>
      </w:divBdr>
    </w:div>
    <w:div w:id="2076933358">
      <w:bodyDiv w:val="1"/>
      <w:marLeft w:val="0"/>
      <w:marRight w:val="0"/>
      <w:marTop w:val="0"/>
      <w:marBottom w:val="0"/>
      <w:divBdr>
        <w:top w:val="none" w:sz="0" w:space="0" w:color="auto"/>
        <w:left w:val="none" w:sz="0" w:space="0" w:color="auto"/>
        <w:bottom w:val="none" w:sz="0" w:space="0" w:color="auto"/>
        <w:right w:val="none" w:sz="0" w:space="0" w:color="auto"/>
      </w:divBdr>
    </w:div>
    <w:div w:id="2079014619">
      <w:bodyDiv w:val="1"/>
      <w:marLeft w:val="0"/>
      <w:marRight w:val="0"/>
      <w:marTop w:val="0"/>
      <w:marBottom w:val="0"/>
      <w:divBdr>
        <w:top w:val="none" w:sz="0" w:space="0" w:color="auto"/>
        <w:left w:val="none" w:sz="0" w:space="0" w:color="auto"/>
        <w:bottom w:val="none" w:sz="0" w:space="0" w:color="auto"/>
        <w:right w:val="none" w:sz="0" w:space="0" w:color="auto"/>
      </w:divBdr>
    </w:div>
    <w:div w:id="2080902883">
      <w:bodyDiv w:val="1"/>
      <w:marLeft w:val="0"/>
      <w:marRight w:val="0"/>
      <w:marTop w:val="0"/>
      <w:marBottom w:val="0"/>
      <w:divBdr>
        <w:top w:val="none" w:sz="0" w:space="0" w:color="auto"/>
        <w:left w:val="none" w:sz="0" w:space="0" w:color="auto"/>
        <w:bottom w:val="none" w:sz="0" w:space="0" w:color="auto"/>
        <w:right w:val="none" w:sz="0" w:space="0" w:color="auto"/>
      </w:divBdr>
    </w:div>
    <w:div w:id="2087918347">
      <w:bodyDiv w:val="1"/>
      <w:marLeft w:val="0"/>
      <w:marRight w:val="0"/>
      <w:marTop w:val="0"/>
      <w:marBottom w:val="0"/>
      <w:divBdr>
        <w:top w:val="none" w:sz="0" w:space="0" w:color="auto"/>
        <w:left w:val="none" w:sz="0" w:space="0" w:color="auto"/>
        <w:bottom w:val="none" w:sz="0" w:space="0" w:color="auto"/>
        <w:right w:val="none" w:sz="0" w:space="0" w:color="auto"/>
      </w:divBdr>
    </w:div>
    <w:div w:id="2089839584">
      <w:bodyDiv w:val="1"/>
      <w:marLeft w:val="0"/>
      <w:marRight w:val="0"/>
      <w:marTop w:val="0"/>
      <w:marBottom w:val="0"/>
      <w:divBdr>
        <w:top w:val="none" w:sz="0" w:space="0" w:color="auto"/>
        <w:left w:val="none" w:sz="0" w:space="0" w:color="auto"/>
        <w:bottom w:val="none" w:sz="0" w:space="0" w:color="auto"/>
        <w:right w:val="none" w:sz="0" w:space="0" w:color="auto"/>
      </w:divBdr>
    </w:div>
    <w:div w:id="2090420366">
      <w:bodyDiv w:val="1"/>
      <w:marLeft w:val="0"/>
      <w:marRight w:val="0"/>
      <w:marTop w:val="0"/>
      <w:marBottom w:val="0"/>
      <w:divBdr>
        <w:top w:val="none" w:sz="0" w:space="0" w:color="auto"/>
        <w:left w:val="none" w:sz="0" w:space="0" w:color="auto"/>
        <w:bottom w:val="none" w:sz="0" w:space="0" w:color="auto"/>
        <w:right w:val="none" w:sz="0" w:space="0" w:color="auto"/>
      </w:divBdr>
    </w:div>
    <w:div w:id="2094203641">
      <w:bodyDiv w:val="1"/>
      <w:marLeft w:val="0"/>
      <w:marRight w:val="0"/>
      <w:marTop w:val="0"/>
      <w:marBottom w:val="0"/>
      <w:divBdr>
        <w:top w:val="none" w:sz="0" w:space="0" w:color="auto"/>
        <w:left w:val="none" w:sz="0" w:space="0" w:color="auto"/>
        <w:bottom w:val="none" w:sz="0" w:space="0" w:color="auto"/>
        <w:right w:val="none" w:sz="0" w:space="0" w:color="auto"/>
      </w:divBdr>
    </w:div>
    <w:div w:id="2100252082">
      <w:bodyDiv w:val="1"/>
      <w:marLeft w:val="0"/>
      <w:marRight w:val="0"/>
      <w:marTop w:val="0"/>
      <w:marBottom w:val="0"/>
      <w:divBdr>
        <w:top w:val="none" w:sz="0" w:space="0" w:color="auto"/>
        <w:left w:val="none" w:sz="0" w:space="0" w:color="auto"/>
        <w:bottom w:val="none" w:sz="0" w:space="0" w:color="auto"/>
        <w:right w:val="none" w:sz="0" w:space="0" w:color="auto"/>
      </w:divBdr>
    </w:div>
    <w:div w:id="2101678480">
      <w:bodyDiv w:val="1"/>
      <w:marLeft w:val="0"/>
      <w:marRight w:val="0"/>
      <w:marTop w:val="0"/>
      <w:marBottom w:val="0"/>
      <w:divBdr>
        <w:top w:val="none" w:sz="0" w:space="0" w:color="auto"/>
        <w:left w:val="none" w:sz="0" w:space="0" w:color="auto"/>
        <w:bottom w:val="none" w:sz="0" w:space="0" w:color="auto"/>
        <w:right w:val="none" w:sz="0" w:space="0" w:color="auto"/>
      </w:divBdr>
    </w:div>
    <w:div w:id="2105956803">
      <w:bodyDiv w:val="1"/>
      <w:marLeft w:val="0"/>
      <w:marRight w:val="0"/>
      <w:marTop w:val="0"/>
      <w:marBottom w:val="0"/>
      <w:divBdr>
        <w:top w:val="none" w:sz="0" w:space="0" w:color="auto"/>
        <w:left w:val="none" w:sz="0" w:space="0" w:color="auto"/>
        <w:bottom w:val="none" w:sz="0" w:space="0" w:color="auto"/>
        <w:right w:val="none" w:sz="0" w:space="0" w:color="auto"/>
      </w:divBdr>
    </w:div>
    <w:div w:id="2106338001">
      <w:bodyDiv w:val="1"/>
      <w:marLeft w:val="0"/>
      <w:marRight w:val="0"/>
      <w:marTop w:val="0"/>
      <w:marBottom w:val="0"/>
      <w:divBdr>
        <w:top w:val="none" w:sz="0" w:space="0" w:color="auto"/>
        <w:left w:val="none" w:sz="0" w:space="0" w:color="auto"/>
        <w:bottom w:val="none" w:sz="0" w:space="0" w:color="auto"/>
        <w:right w:val="none" w:sz="0" w:space="0" w:color="auto"/>
      </w:divBdr>
    </w:div>
    <w:div w:id="2108697519">
      <w:bodyDiv w:val="1"/>
      <w:marLeft w:val="0"/>
      <w:marRight w:val="0"/>
      <w:marTop w:val="0"/>
      <w:marBottom w:val="0"/>
      <w:divBdr>
        <w:top w:val="none" w:sz="0" w:space="0" w:color="auto"/>
        <w:left w:val="none" w:sz="0" w:space="0" w:color="auto"/>
        <w:bottom w:val="none" w:sz="0" w:space="0" w:color="auto"/>
        <w:right w:val="none" w:sz="0" w:space="0" w:color="auto"/>
      </w:divBdr>
    </w:div>
    <w:div w:id="2110614291">
      <w:bodyDiv w:val="1"/>
      <w:marLeft w:val="0"/>
      <w:marRight w:val="0"/>
      <w:marTop w:val="0"/>
      <w:marBottom w:val="0"/>
      <w:divBdr>
        <w:top w:val="none" w:sz="0" w:space="0" w:color="auto"/>
        <w:left w:val="none" w:sz="0" w:space="0" w:color="auto"/>
        <w:bottom w:val="none" w:sz="0" w:space="0" w:color="auto"/>
        <w:right w:val="none" w:sz="0" w:space="0" w:color="auto"/>
      </w:divBdr>
    </w:div>
    <w:div w:id="2113864926">
      <w:bodyDiv w:val="1"/>
      <w:marLeft w:val="0"/>
      <w:marRight w:val="0"/>
      <w:marTop w:val="0"/>
      <w:marBottom w:val="0"/>
      <w:divBdr>
        <w:top w:val="none" w:sz="0" w:space="0" w:color="auto"/>
        <w:left w:val="none" w:sz="0" w:space="0" w:color="auto"/>
        <w:bottom w:val="none" w:sz="0" w:space="0" w:color="auto"/>
        <w:right w:val="none" w:sz="0" w:space="0" w:color="auto"/>
      </w:divBdr>
    </w:div>
    <w:div w:id="2116710632">
      <w:bodyDiv w:val="1"/>
      <w:marLeft w:val="0"/>
      <w:marRight w:val="0"/>
      <w:marTop w:val="0"/>
      <w:marBottom w:val="0"/>
      <w:divBdr>
        <w:top w:val="none" w:sz="0" w:space="0" w:color="auto"/>
        <w:left w:val="none" w:sz="0" w:space="0" w:color="auto"/>
        <w:bottom w:val="none" w:sz="0" w:space="0" w:color="auto"/>
        <w:right w:val="none" w:sz="0" w:space="0" w:color="auto"/>
      </w:divBdr>
    </w:div>
    <w:div w:id="2118023048">
      <w:bodyDiv w:val="1"/>
      <w:marLeft w:val="0"/>
      <w:marRight w:val="0"/>
      <w:marTop w:val="0"/>
      <w:marBottom w:val="0"/>
      <w:divBdr>
        <w:top w:val="none" w:sz="0" w:space="0" w:color="auto"/>
        <w:left w:val="none" w:sz="0" w:space="0" w:color="auto"/>
        <w:bottom w:val="none" w:sz="0" w:space="0" w:color="auto"/>
        <w:right w:val="none" w:sz="0" w:space="0" w:color="auto"/>
      </w:divBdr>
    </w:div>
    <w:div w:id="2120642880">
      <w:bodyDiv w:val="1"/>
      <w:marLeft w:val="0"/>
      <w:marRight w:val="0"/>
      <w:marTop w:val="0"/>
      <w:marBottom w:val="0"/>
      <w:divBdr>
        <w:top w:val="none" w:sz="0" w:space="0" w:color="auto"/>
        <w:left w:val="none" w:sz="0" w:space="0" w:color="auto"/>
        <w:bottom w:val="none" w:sz="0" w:space="0" w:color="auto"/>
        <w:right w:val="none" w:sz="0" w:space="0" w:color="auto"/>
      </w:divBdr>
    </w:div>
    <w:div w:id="2124882857">
      <w:bodyDiv w:val="1"/>
      <w:marLeft w:val="0"/>
      <w:marRight w:val="0"/>
      <w:marTop w:val="0"/>
      <w:marBottom w:val="0"/>
      <w:divBdr>
        <w:top w:val="none" w:sz="0" w:space="0" w:color="auto"/>
        <w:left w:val="none" w:sz="0" w:space="0" w:color="auto"/>
        <w:bottom w:val="none" w:sz="0" w:space="0" w:color="auto"/>
        <w:right w:val="none" w:sz="0" w:space="0" w:color="auto"/>
      </w:divBdr>
    </w:div>
    <w:div w:id="2128356001">
      <w:bodyDiv w:val="1"/>
      <w:marLeft w:val="0"/>
      <w:marRight w:val="0"/>
      <w:marTop w:val="0"/>
      <w:marBottom w:val="0"/>
      <w:divBdr>
        <w:top w:val="none" w:sz="0" w:space="0" w:color="auto"/>
        <w:left w:val="none" w:sz="0" w:space="0" w:color="auto"/>
        <w:bottom w:val="none" w:sz="0" w:space="0" w:color="auto"/>
        <w:right w:val="none" w:sz="0" w:space="0" w:color="auto"/>
      </w:divBdr>
    </w:div>
    <w:div w:id="2131775270">
      <w:bodyDiv w:val="1"/>
      <w:marLeft w:val="0"/>
      <w:marRight w:val="0"/>
      <w:marTop w:val="0"/>
      <w:marBottom w:val="0"/>
      <w:divBdr>
        <w:top w:val="none" w:sz="0" w:space="0" w:color="auto"/>
        <w:left w:val="none" w:sz="0" w:space="0" w:color="auto"/>
        <w:bottom w:val="none" w:sz="0" w:space="0" w:color="auto"/>
        <w:right w:val="none" w:sz="0" w:space="0" w:color="auto"/>
      </w:divBdr>
    </w:div>
    <w:div w:id="2132478361">
      <w:bodyDiv w:val="1"/>
      <w:marLeft w:val="0"/>
      <w:marRight w:val="0"/>
      <w:marTop w:val="0"/>
      <w:marBottom w:val="0"/>
      <w:divBdr>
        <w:top w:val="none" w:sz="0" w:space="0" w:color="auto"/>
        <w:left w:val="none" w:sz="0" w:space="0" w:color="auto"/>
        <w:bottom w:val="none" w:sz="0" w:space="0" w:color="auto"/>
        <w:right w:val="none" w:sz="0" w:space="0" w:color="auto"/>
      </w:divBdr>
    </w:div>
    <w:div w:id="2135514567">
      <w:bodyDiv w:val="1"/>
      <w:marLeft w:val="0"/>
      <w:marRight w:val="0"/>
      <w:marTop w:val="0"/>
      <w:marBottom w:val="0"/>
      <w:divBdr>
        <w:top w:val="none" w:sz="0" w:space="0" w:color="auto"/>
        <w:left w:val="none" w:sz="0" w:space="0" w:color="auto"/>
        <w:bottom w:val="none" w:sz="0" w:space="0" w:color="auto"/>
        <w:right w:val="none" w:sz="0" w:space="0" w:color="auto"/>
      </w:divBdr>
    </w:div>
    <w:div w:id="2136604983">
      <w:bodyDiv w:val="1"/>
      <w:marLeft w:val="0"/>
      <w:marRight w:val="0"/>
      <w:marTop w:val="0"/>
      <w:marBottom w:val="0"/>
      <w:divBdr>
        <w:top w:val="none" w:sz="0" w:space="0" w:color="auto"/>
        <w:left w:val="none" w:sz="0" w:space="0" w:color="auto"/>
        <w:bottom w:val="none" w:sz="0" w:space="0" w:color="auto"/>
        <w:right w:val="none" w:sz="0" w:space="0" w:color="auto"/>
      </w:divBdr>
    </w:div>
    <w:div w:id="2137867760">
      <w:bodyDiv w:val="1"/>
      <w:marLeft w:val="0"/>
      <w:marRight w:val="0"/>
      <w:marTop w:val="0"/>
      <w:marBottom w:val="0"/>
      <w:divBdr>
        <w:top w:val="none" w:sz="0" w:space="0" w:color="auto"/>
        <w:left w:val="none" w:sz="0" w:space="0" w:color="auto"/>
        <w:bottom w:val="none" w:sz="0" w:space="0" w:color="auto"/>
        <w:right w:val="none" w:sz="0" w:space="0" w:color="auto"/>
      </w:divBdr>
    </w:div>
    <w:div w:id="2140416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emf"/><Relationship Id="rId21" Type="http://schemas.openxmlformats.org/officeDocument/2006/relationships/image" Target="media/image12.emf"/><Relationship Id="rId42" Type="http://schemas.openxmlformats.org/officeDocument/2006/relationships/chart" Target="charts/chart6.xml"/><Relationship Id="rId63" Type="http://schemas.openxmlformats.org/officeDocument/2006/relationships/image" Target="media/image44.emf"/><Relationship Id="rId84" Type="http://schemas.openxmlformats.org/officeDocument/2006/relationships/chart" Target="charts/chart17.xml"/><Relationship Id="rId138" Type="http://schemas.openxmlformats.org/officeDocument/2006/relationships/image" Target="media/image112.emf"/><Relationship Id="rId159" Type="http://schemas.openxmlformats.org/officeDocument/2006/relationships/image" Target="media/image133.emf"/><Relationship Id="rId170" Type="http://schemas.openxmlformats.org/officeDocument/2006/relationships/image" Target="media/image143.emf"/><Relationship Id="rId107" Type="http://schemas.openxmlformats.org/officeDocument/2006/relationships/image" Target="media/image81.emf"/><Relationship Id="rId11" Type="http://schemas.openxmlformats.org/officeDocument/2006/relationships/image" Target="media/image4.emf"/><Relationship Id="rId32" Type="http://schemas.openxmlformats.org/officeDocument/2006/relationships/image" Target="media/image21.emf"/><Relationship Id="rId53" Type="http://schemas.openxmlformats.org/officeDocument/2006/relationships/image" Target="media/image35.emf"/><Relationship Id="rId74" Type="http://schemas.openxmlformats.org/officeDocument/2006/relationships/image" Target="media/image55.emf"/><Relationship Id="rId128" Type="http://schemas.openxmlformats.org/officeDocument/2006/relationships/image" Target="media/image102.emf"/><Relationship Id="rId149" Type="http://schemas.openxmlformats.org/officeDocument/2006/relationships/image" Target="media/image123.emf"/><Relationship Id="rId5" Type="http://schemas.openxmlformats.org/officeDocument/2006/relationships/settings" Target="settings.xml"/><Relationship Id="rId95" Type="http://schemas.openxmlformats.org/officeDocument/2006/relationships/image" Target="media/image69.emf"/><Relationship Id="rId160" Type="http://schemas.openxmlformats.org/officeDocument/2006/relationships/image" Target="media/image134.emf"/><Relationship Id="rId22" Type="http://schemas.openxmlformats.org/officeDocument/2006/relationships/image" Target="media/image13.emf"/><Relationship Id="rId43" Type="http://schemas.openxmlformats.org/officeDocument/2006/relationships/image" Target="media/image29.emf"/><Relationship Id="rId64" Type="http://schemas.openxmlformats.org/officeDocument/2006/relationships/image" Target="media/image45.emf"/><Relationship Id="rId118" Type="http://schemas.openxmlformats.org/officeDocument/2006/relationships/image" Target="media/image92.emf"/><Relationship Id="rId139" Type="http://schemas.openxmlformats.org/officeDocument/2006/relationships/image" Target="media/image113.emf"/><Relationship Id="rId85" Type="http://schemas.openxmlformats.org/officeDocument/2006/relationships/image" Target="media/image60.emf"/><Relationship Id="rId150" Type="http://schemas.openxmlformats.org/officeDocument/2006/relationships/image" Target="media/image124.emf"/><Relationship Id="rId171" Type="http://schemas.openxmlformats.org/officeDocument/2006/relationships/image" Target="media/image144.emf"/><Relationship Id="rId12" Type="http://schemas.openxmlformats.org/officeDocument/2006/relationships/image" Target="media/image5.emf"/><Relationship Id="rId33" Type="http://schemas.openxmlformats.org/officeDocument/2006/relationships/image" Target="media/image22.emf"/><Relationship Id="rId108" Type="http://schemas.openxmlformats.org/officeDocument/2006/relationships/image" Target="media/image82.emf"/><Relationship Id="rId129" Type="http://schemas.openxmlformats.org/officeDocument/2006/relationships/image" Target="media/image103.emf"/><Relationship Id="rId54" Type="http://schemas.openxmlformats.org/officeDocument/2006/relationships/image" Target="media/image36.emf"/><Relationship Id="rId75" Type="http://schemas.openxmlformats.org/officeDocument/2006/relationships/image" Target="media/image56.emf"/><Relationship Id="rId96" Type="http://schemas.openxmlformats.org/officeDocument/2006/relationships/image" Target="media/image70.emf"/><Relationship Id="rId140" Type="http://schemas.openxmlformats.org/officeDocument/2006/relationships/image" Target="media/image114.emf"/><Relationship Id="rId161" Type="http://schemas.openxmlformats.org/officeDocument/2006/relationships/image" Target="media/image135.emf"/><Relationship Id="rId6" Type="http://schemas.openxmlformats.org/officeDocument/2006/relationships/webSettings" Target="webSettings.xml"/><Relationship Id="rId23" Type="http://schemas.openxmlformats.org/officeDocument/2006/relationships/image" Target="media/image14.emf"/><Relationship Id="rId28" Type="http://schemas.openxmlformats.org/officeDocument/2006/relationships/chart" Target="charts/chart3.xml"/><Relationship Id="rId49" Type="http://schemas.openxmlformats.org/officeDocument/2006/relationships/chart" Target="charts/chart8.xml"/><Relationship Id="rId114" Type="http://schemas.openxmlformats.org/officeDocument/2006/relationships/image" Target="media/image88.emf"/><Relationship Id="rId119" Type="http://schemas.openxmlformats.org/officeDocument/2006/relationships/image" Target="media/image93.emf"/><Relationship Id="rId44" Type="http://schemas.openxmlformats.org/officeDocument/2006/relationships/image" Target="media/image30.emf"/><Relationship Id="rId60" Type="http://schemas.openxmlformats.org/officeDocument/2006/relationships/chart" Target="charts/chart10.xml"/><Relationship Id="rId65" Type="http://schemas.openxmlformats.org/officeDocument/2006/relationships/image" Target="media/image46.emf"/><Relationship Id="rId81" Type="http://schemas.openxmlformats.org/officeDocument/2006/relationships/image" Target="media/image58.emf"/><Relationship Id="rId86" Type="http://schemas.openxmlformats.org/officeDocument/2006/relationships/image" Target="media/image61.emf"/><Relationship Id="rId130" Type="http://schemas.openxmlformats.org/officeDocument/2006/relationships/image" Target="media/image104.emf"/><Relationship Id="rId135" Type="http://schemas.openxmlformats.org/officeDocument/2006/relationships/image" Target="media/image109.emf"/><Relationship Id="rId151" Type="http://schemas.openxmlformats.org/officeDocument/2006/relationships/image" Target="media/image125.emf"/><Relationship Id="rId156" Type="http://schemas.openxmlformats.org/officeDocument/2006/relationships/image" Target="media/image130.emf"/><Relationship Id="rId177" Type="http://schemas.openxmlformats.org/officeDocument/2006/relationships/fontTable" Target="fontTable.xml"/><Relationship Id="rId172" Type="http://schemas.openxmlformats.org/officeDocument/2006/relationships/hyperlink" Target="https://www.opcinakonavle.hr/proracun-izvjestaji/" TargetMode="External"/><Relationship Id="rId13" Type="http://schemas.openxmlformats.org/officeDocument/2006/relationships/chart" Target="charts/chart1.xml"/><Relationship Id="rId18" Type="http://schemas.openxmlformats.org/officeDocument/2006/relationships/image" Target="media/image9.emf"/><Relationship Id="rId39" Type="http://schemas.openxmlformats.org/officeDocument/2006/relationships/footer" Target="footer1.xml"/><Relationship Id="rId109" Type="http://schemas.openxmlformats.org/officeDocument/2006/relationships/image" Target="media/image83.emf"/><Relationship Id="rId34" Type="http://schemas.openxmlformats.org/officeDocument/2006/relationships/image" Target="media/image23.emf"/><Relationship Id="rId50" Type="http://schemas.openxmlformats.org/officeDocument/2006/relationships/footer" Target="footer2.xml"/><Relationship Id="rId55" Type="http://schemas.openxmlformats.org/officeDocument/2006/relationships/image" Target="media/image37.emf"/><Relationship Id="rId76" Type="http://schemas.openxmlformats.org/officeDocument/2006/relationships/image" Target="media/image57.emf"/><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image" Target="media/image94.emf"/><Relationship Id="rId125" Type="http://schemas.openxmlformats.org/officeDocument/2006/relationships/image" Target="media/image99.emf"/><Relationship Id="rId141" Type="http://schemas.openxmlformats.org/officeDocument/2006/relationships/image" Target="media/image115.emf"/><Relationship Id="rId146" Type="http://schemas.openxmlformats.org/officeDocument/2006/relationships/image" Target="media/image120.emf"/><Relationship Id="rId167" Type="http://schemas.openxmlformats.org/officeDocument/2006/relationships/image" Target="media/image141.emf"/><Relationship Id="rId7" Type="http://schemas.openxmlformats.org/officeDocument/2006/relationships/footnotes" Target="footnotes.xml"/><Relationship Id="rId71" Type="http://schemas.openxmlformats.org/officeDocument/2006/relationships/image" Target="media/image52.emf"/><Relationship Id="rId92" Type="http://schemas.openxmlformats.org/officeDocument/2006/relationships/image" Target="media/image66.emf"/><Relationship Id="rId162" Type="http://schemas.openxmlformats.org/officeDocument/2006/relationships/image" Target="media/image136.emf"/><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5.emf"/><Relationship Id="rId40" Type="http://schemas.openxmlformats.org/officeDocument/2006/relationships/image" Target="media/image27.emf"/><Relationship Id="rId45" Type="http://schemas.openxmlformats.org/officeDocument/2006/relationships/image" Target="media/image31.emf"/><Relationship Id="rId66" Type="http://schemas.openxmlformats.org/officeDocument/2006/relationships/image" Target="media/image47.emf"/><Relationship Id="rId87" Type="http://schemas.openxmlformats.org/officeDocument/2006/relationships/image" Target="media/image62.emf"/><Relationship Id="rId110" Type="http://schemas.openxmlformats.org/officeDocument/2006/relationships/image" Target="media/image84.emf"/><Relationship Id="rId115" Type="http://schemas.openxmlformats.org/officeDocument/2006/relationships/image" Target="media/image89.emf"/><Relationship Id="rId131" Type="http://schemas.openxmlformats.org/officeDocument/2006/relationships/image" Target="media/image105.emf"/><Relationship Id="rId136" Type="http://schemas.openxmlformats.org/officeDocument/2006/relationships/image" Target="media/image110.png"/><Relationship Id="rId157" Type="http://schemas.openxmlformats.org/officeDocument/2006/relationships/image" Target="media/image131.emf"/><Relationship Id="rId178" Type="http://schemas.openxmlformats.org/officeDocument/2006/relationships/theme" Target="theme/theme1.xml"/><Relationship Id="rId61" Type="http://schemas.openxmlformats.org/officeDocument/2006/relationships/chart" Target="charts/chart11.xml"/><Relationship Id="rId82" Type="http://schemas.openxmlformats.org/officeDocument/2006/relationships/image" Target="media/image59.emf"/><Relationship Id="rId152" Type="http://schemas.openxmlformats.org/officeDocument/2006/relationships/image" Target="media/image126.emf"/><Relationship Id="rId173" Type="http://schemas.openxmlformats.org/officeDocument/2006/relationships/hyperlink" Target="https://www.proracun.hr/Proracun/Dokumenti?godina=2023&amp;id=5783ca3c-cd3e-45e3-aca8-4abde62a5429" TargetMode="External"/><Relationship Id="rId19" Type="http://schemas.openxmlformats.org/officeDocument/2006/relationships/image" Target="media/image10.emf"/><Relationship Id="rId14" Type="http://schemas.openxmlformats.org/officeDocument/2006/relationships/chart" Target="charts/chart2.xml"/><Relationship Id="rId30" Type="http://schemas.openxmlformats.org/officeDocument/2006/relationships/image" Target="media/image20.emf"/><Relationship Id="rId35" Type="http://schemas.openxmlformats.org/officeDocument/2006/relationships/image" Target="media/image24.emf"/><Relationship Id="rId56" Type="http://schemas.openxmlformats.org/officeDocument/2006/relationships/image" Target="media/image38.emf"/><Relationship Id="rId77" Type="http://schemas.openxmlformats.org/officeDocument/2006/relationships/chart" Target="charts/chart12.xml"/><Relationship Id="rId100" Type="http://schemas.openxmlformats.org/officeDocument/2006/relationships/image" Target="media/image74.emf"/><Relationship Id="rId105" Type="http://schemas.openxmlformats.org/officeDocument/2006/relationships/image" Target="media/image79.emf"/><Relationship Id="rId126" Type="http://schemas.openxmlformats.org/officeDocument/2006/relationships/image" Target="media/image100.emf"/><Relationship Id="rId147" Type="http://schemas.openxmlformats.org/officeDocument/2006/relationships/image" Target="media/image121.emf"/><Relationship Id="rId168" Type="http://schemas.openxmlformats.org/officeDocument/2006/relationships/hyperlink" Target="https://www.opcinakonavle.hr/beta/wp-content/uploads/2017/09/PROVEDBENI-PROGRAM-OPCINA-KONAVLE.pdf" TargetMode="External"/><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image" Target="media/image53.emf"/><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5.emf"/><Relationship Id="rId142" Type="http://schemas.openxmlformats.org/officeDocument/2006/relationships/image" Target="media/image116.emf"/><Relationship Id="rId163" Type="http://schemas.openxmlformats.org/officeDocument/2006/relationships/image" Target="media/image137.emf"/><Relationship Id="rId3" Type="http://schemas.openxmlformats.org/officeDocument/2006/relationships/numbering" Target="numbering.xml"/><Relationship Id="rId25" Type="http://schemas.openxmlformats.org/officeDocument/2006/relationships/image" Target="media/image16.emf"/><Relationship Id="rId46" Type="http://schemas.openxmlformats.org/officeDocument/2006/relationships/image" Target="media/image32.emf"/><Relationship Id="rId67" Type="http://schemas.openxmlformats.org/officeDocument/2006/relationships/image" Target="media/image48.emf"/><Relationship Id="rId116" Type="http://schemas.openxmlformats.org/officeDocument/2006/relationships/image" Target="media/image90.emf"/><Relationship Id="rId137" Type="http://schemas.openxmlformats.org/officeDocument/2006/relationships/image" Target="media/image111.emf"/><Relationship Id="rId158" Type="http://schemas.openxmlformats.org/officeDocument/2006/relationships/image" Target="media/image132.emf"/><Relationship Id="rId20" Type="http://schemas.openxmlformats.org/officeDocument/2006/relationships/image" Target="media/image11.emf"/><Relationship Id="rId41" Type="http://schemas.openxmlformats.org/officeDocument/2006/relationships/image" Target="media/image28.emf"/><Relationship Id="rId62" Type="http://schemas.openxmlformats.org/officeDocument/2006/relationships/image" Target="media/image43.emf"/><Relationship Id="rId83" Type="http://schemas.openxmlformats.org/officeDocument/2006/relationships/chart" Target="charts/chart16.xml"/><Relationship Id="rId88" Type="http://schemas.openxmlformats.org/officeDocument/2006/relationships/image" Target="media/image63.emf"/><Relationship Id="rId111" Type="http://schemas.openxmlformats.org/officeDocument/2006/relationships/image" Target="media/image85.emf"/><Relationship Id="rId132" Type="http://schemas.openxmlformats.org/officeDocument/2006/relationships/image" Target="media/image106.emf"/><Relationship Id="rId153" Type="http://schemas.openxmlformats.org/officeDocument/2006/relationships/image" Target="media/image127.emf"/><Relationship Id="rId174" Type="http://schemas.openxmlformats.org/officeDocument/2006/relationships/image" Target="media/image145.emf"/><Relationship Id="rId15" Type="http://schemas.openxmlformats.org/officeDocument/2006/relationships/image" Target="media/image6.emf"/><Relationship Id="rId36" Type="http://schemas.openxmlformats.org/officeDocument/2006/relationships/chart" Target="charts/chart5.xml"/><Relationship Id="rId57" Type="http://schemas.openxmlformats.org/officeDocument/2006/relationships/image" Target="media/image39.emf"/><Relationship Id="rId106" Type="http://schemas.openxmlformats.org/officeDocument/2006/relationships/image" Target="media/image80.emf"/><Relationship Id="rId127" Type="http://schemas.openxmlformats.org/officeDocument/2006/relationships/image" Target="media/image101.emf"/><Relationship Id="rId10" Type="http://schemas.openxmlformats.org/officeDocument/2006/relationships/image" Target="media/image3.emf"/><Relationship Id="rId31" Type="http://schemas.openxmlformats.org/officeDocument/2006/relationships/chart" Target="charts/chart4.xml"/><Relationship Id="rId52" Type="http://schemas.openxmlformats.org/officeDocument/2006/relationships/footer" Target="footer4.xml"/><Relationship Id="rId73" Type="http://schemas.openxmlformats.org/officeDocument/2006/relationships/image" Target="media/image54.emf"/><Relationship Id="rId78" Type="http://schemas.openxmlformats.org/officeDocument/2006/relationships/chart" Target="charts/chart13.xml"/><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6.emf"/><Relationship Id="rId143" Type="http://schemas.openxmlformats.org/officeDocument/2006/relationships/image" Target="media/image117.emf"/><Relationship Id="rId148" Type="http://schemas.openxmlformats.org/officeDocument/2006/relationships/image" Target="media/image122.emf"/><Relationship Id="rId164" Type="http://schemas.openxmlformats.org/officeDocument/2006/relationships/image" Target="media/image138.emf"/><Relationship Id="rId169" Type="http://schemas.openxmlformats.org/officeDocument/2006/relationships/image" Target="media/image142.emf"/><Relationship Id="rId4" Type="http://schemas.openxmlformats.org/officeDocument/2006/relationships/styles" Target="styles.xml"/><Relationship Id="rId9" Type="http://schemas.openxmlformats.org/officeDocument/2006/relationships/image" Target="media/image2.emf"/><Relationship Id="rId26" Type="http://schemas.openxmlformats.org/officeDocument/2006/relationships/image" Target="media/image17.emf"/><Relationship Id="rId47" Type="http://schemas.openxmlformats.org/officeDocument/2006/relationships/chart" Target="charts/chart7.xml"/><Relationship Id="rId68" Type="http://schemas.openxmlformats.org/officeDocument/2006/relationships/image" Target="media/image49.emf"/><Relationship Id="rId89" Type="http://schemas.openxmlformats.org/officeDocument/2006/relationships/image" Target="media/image64.emf"/><Relationship Id="rId112" Type="http://schemas.openxmlformats.org/officeDocument/2006/relationships/image" Target="media/image86.emf"/><Relationship Id="rId133" Type="http://schemas.openxmlformats.org/officeDocument/2006/relationships/image" Target="media/image107.emf"/><Relationship Id="rId154" Type="http://schemas.openxmlformats.org/officeDocument/2006/relationships/image" Target="media/image128.emf"/><Relationship Id="rId175" Type="http://schemas.openxmlformats.org/officeDocument/2006/relationships/oleObject" Target="embeddings/oleObject1.bin"/><Relationship Id="rId16" Type="http://schemas.openxmlformats.org/officeDocument/2006/relationships/image" Target="media/image7.emf"/><Relationship Id="rId37" Type="http://schemas.openxmlformats.org/officeDocument/2006/relationships/image" Target="media/image26.emf"/><Relationship Id="rId58" Type="http://schemas.openxmlformats.org/officeDocument/2006/relationships/image" Target="media/image40.emf"/><Relationship Id="rId79" Type="http://schemas.openxmlformats.org/officeDocument/2006/relationships/chart" Target="charts/chart14.xml"/><Relationship Id="rId102" Type="http://schemas.openxmlformats.org/officeDocument/2006/relationships/image" Target="media/image76.emf"/><Relationship Id="rId123" Type="http://schemas.openxmlformats.org/officeDocument/2006/relationships/image" Target="media/image97.emf"/><Relationship Id="rId144" Type="http://schemas.openxmlformats.org/officeDocument/2006/relationships/image" Target="media/image118.emf"/><Relationship Id="rId90" Type="http://schemas.openxmlformats.org/officeDocument/2006/relationships/image" Target="media/image65.emf"/><Relationship Id="rId165" Type="http://schemas.openxmlformats.org/officeDocument/2006/relationships/image" Target="media/image139.emf"/><Relationship Id="rId27" Type="http://schemas.openxmlformats.org/officeDocument/2006/relationships/image" Target="media/image18.emf"/><Relationship Id="rId48" Type="http://schemas.openxmlformats.org/officeDocument/2006/relationships/image" Target="media/image33.emf"/><Relationship Id="rId69" Type="http://schemas.openxmlformats.org/officeDocument/2006/relationships/image" Target="media/image50.emf"/><Relationship Id="rId113" Type="http://schemas.openxmlformats.org/officeDocument/2006/relationships/image" Target="media/image87.emf"/><Relationship Id="rId134" Type="http://schemas.openxmlformats.org/officeDocument/2006/relationships/image" Target="media/image108.emf"/><Relationship Id="rId80" Type="http://schemas.openxmlformats.org/officeDocument/2006/relationships/chart" Target="charts/chart15.xml"/><Relationship Id="rId155" Type="http://schemas.openxmlformats.org/officeDocument/2006/relationships/image" Target="media/image129.emf"/><Relationship Id="rId176" Type="http://schemas.openxmlformats.org/officeDocument/2006/relationships/footer" Target="footer5.xml"/><Relationship Id="rId17" Type="http://schemas.openxmlformats.org/officeDocument/2006/relationships/image" Target="media/image8.emf"/><Relationship Id="rId38" Type="http://schemas.openxmlformats.org/officeDocument/2006/relationships/header" Target="header1.xml"/><Relationship Id="rId59" Type="http://schemas.openxmlformats.org/officeDocument/2006/relationships/chart" Target="charts/chart9.xml"/><Relationship Id="rId103" Type="http://schemas.openxmlformats.org/officeDocument/2006/relationships/image" Target="media/image77.emf"/><Relationship Id="rId124" Type="http://schemas.openxmlformats.org/officeDocument/2006/relationships/image" Target="media/image98.emf"/><Relationship Id="rId70" Type="http://schemas.openxmlformats.org/officeDocument/2006/relationships/image" Target="media/image51.emf"/><Relationship Id="rId91" Type="http://schemas.openxmlformats.org/officeDocument/2006/relationships/chart" Target="charts/chart18.xml"/><Relationship Id="rId145" Type="http://schemas.openxmlformats.org/officeDocument/2006/relationships/image" Target="media/image119.emf"/><Relationship Id="rId166" Type="http://schemas.openxmlformats.org/officeDocument/2006/relationships/image" Target="media/image140.emf"/><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image" Target="../media/image25.jpeg"/></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openxmlformats.org/officeDocument/2006/relationships/image" Target="../media/image25.jpeg"/><Relationship Id="rId1" Type="http://schemas.openxmlformats.org/officeDocument/2006/relationships/themeOverride" Target="../theme/themeOverride16.xml"/><Relationship Id="rId4" Type="http://schemas.openxmlformats.org/officeDocument/2006/relationships/chartUserShapes" Target="../drawings/drawing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openxmlformats.org/officeDocument/2006/relationships/image" Target="../media/image25.jpeg"/><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25.jpeg"/><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34.jpeg"/><Relationship Id="rId1" Type="http://schemas.openxmlformats.org/officeDocument/2006/relationships/themeOverride" Target="../theme/themeOverride8.xml"/><Relationship Id="rId4" Type="http://schemas.openxmlformats.org/officeDocument/2006/relationships/chartUserShapes" Target="../drawings/drawing4.xml"/></Relationships>
</file>

<file path=word/charts/_rels/chart9.xml.rels><?xml version="1.0" encoding="UTF-8" standalone="yes"?>
<Relationships xmlns="http://schemas.openxmlformats.org/package/2006/relationships"><Relationship Id="rId3" Type="http://schemas.openxmlformats.org/officeDocument/2006/relationships/image" Target="../media/image42.jpeg"/><Relationship Id="rId2" Type="http://schemas.openxmlformats.org/officeDocument/2006/relationships/image" Target="../media/image41.jpeg"/><Relationship Id="rId1" Type="http://schemas.openxmlformats.org/officeDocument/2006/relationships/themeOverride" Target="../theme/themeOverrid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Calibri"/>
                <a:ea typeface="Calibri"/>
                <a:cs typeface="Calibri"/>
              </a:defRPr>
            </a:pPr>
            <a:r>
              <a:rPr lang="en-GB" sz="1000"/>
              <a:t>Struktura ostvarenih prihoda i primitaka proračuna u razdoblju 2015.-</a:t>
            </a:r>
            <a:r>
              <a:rPr lang="hr-HR" sz="1000"/>
              <a:t>20</a:t>
            </a:r>
            <a:r>
              <a:rPr lang="en-US" sz="1000"/>
              <a:t>2</a:t>
            </a:r>
            <a:r>
              <a:rPr lang="hr-HR" sz="1000"/>
              <a:t>4. i 1-6/2025.</a:t>
            </a:r>
            <a:r>
              <a:rPr lang="en-GB" sz="1000"/>
              <a:t> - Općina i PK</a:t>
            </a:r>
          </a:p>
        </c:rich>
      </c:tx>
      <c:layout>
        <c:manualLayout>
          <c:xMode val="edge"/>
          <c:yMode val="edge"/>
          <c:x val="0.11909650924024641"/>
          <c:y val="0"/>
        </c:manualLayout>
      </c:layout>
      <c:overlay val="0"/>
      <c:spPr>
        <a:noFill/>
        <a:ln w="15290">
          <a:noFill/>
        </a:ln>
      </c:spPr>
    </c:title>
    <c:autoTitleDeleted val="0"/>
    <c:plotArea>
      <c:layout>
        <c:manualLayout>
          <c:layoutTarget val="inner"/>
          <c:xMode val="edge"/>
          <c:yMode val="edge"/>
          <c:x val="0.19220941656036011"/>
          <c:y val="0.16309217009375615"/>
          <c:w val="0.52826459843832563"/>
          <c:h val="0.66519402744311251"/>
        </c:manualLayout>
      </c:layout>
      <c:barChart>
        <c:barDir val="col"/>
        <c:grouping val="stacked"/>
        <c:varyColors val="0"/>
        <c:ser>
          <c:idx val="0"/>
          <c:order val="0"/>
          <c:tx>
            <c:strRef>
              <c:f>Sheet1!$A$2</c:f>
              <c:strCache>
                <c:ptCount val="1"/>
                <c:pt idx="0">
                  <c:v>PRIHODI OPĆINE </c:v>
                </c:pt>
              </c:strCache>
            </c:strRef>
          </c:tx>
          <c:spPr>
            <a:solidFill>
              <a:srgbClr val="9999FF"/>
            </a:solidFill>
            <a:ln w="7645">
              <a:solidFill>
                <a:srgbClr val="000000"/>
              </a:solidFill>
              <a:prstDash val="solid"/>
            </a:ln>
          </c:spPr>
          <c:invertIfNegative val="0"/>
          <c:dLbls>
            <c:dLbl>
              <c:idx val="0"/>
              <c:tx>
                <c:rich>
                  <a:bodyPr/>
                  <a:lstStyle/>
                  <a:p>
                    <a:fld id="{75D233E6-4B51-4A7A-A734-7CE1A85C213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{75D233E6-4B51-4A7A-A734-7CE1A85C213F}</c15:txfldGUID>
                      <c15:f>Sheet1!$B$8</c15:f>
                      <c15:dlblFieldTableCache>
                        <c:ptCount val="1"/>
                        <c:pt idx="0">
                          <c:v>96,0%</c:v>
                        </c:pt>
                      </c15:dlblFieldTableCache>
                    </c15:dlblFTEntry>
                  </c15:dlblFieldTable>
                  <c15:showDataLabelsRange val="0"/>
                </c:ext>
                <c:ext xmlns:c16="http://schemas.microsoft.com/office/drawing/2014/chart" uri="{C3380CC4-5D6E-409C-BE32-E72D297353CC}">
                  <c16:uniqueId val="{00000000-B957-492C-BD78-62FE26E9AA26}"/>
                </c:ext>
              </c:extLst>
            </c:dLbl>
            <c:dLbl>
              <c:idx val="1"/>
              <c:tx>
                <c:rich>
                  <a:bodyPr/>
                  <a:lstStyle/>
                  <a:p>
                    <a:fld id="{B8EE7AFC-44B4-4487-9EA6-73AEE820BC2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{B8EE7AFC-44B4-4487-9EA6-73AEE820BC2B}</c15:txfldGUID>
                      <c15:f>Sheet1!$C$8</c15:f>
                      <c15:dlblFieldTableCache>
                        <c:ptCount val="1"/>
                        <c:pt idx="0">
                          <c:v>94,4%</c:v>
                        </c:pt>
                      </c15:dlblFieldTableCache>
                    </c15:dlblFTEntry>
                  </c15:dlblFieldTable>
                  <c15:showDataLabelsRange val="0"/>
                </c:ext>
                <c:ext xmlns:c16="http://schemas.microsoft.com/office/drawing/2014/chart" uri="{C3380CC4-5D6E-409C-BE32-E72D297353CC}">
                  <c16:uniqueId val="{00000001-B957-492C-BD78-62FE26E9AA26}"/>
                </c:ext>
              </c:extLst>
            </c:dLbl>
            <c:dLbl>
              <c:idx val="2"/>
              <c:tx>
                <c:rich>
                  <a:bodyPr/>
                  <a:lstStyle/>
                  <a:p>
                    <a:fld id="{2568134C-C249-417F-9D27-E8845FFBB73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{2568134C-C249-417F-9D27-E8845FFBB738}</c15:txfldGUID>
                      <c15:f>Sheet1!$D$8</c15:f>
                      <c15:dlblFieldTableCache>
                        <c:ptCount val="1"/>
                        <c:pt idx="0">
                          <c:v>86,5%</c:v>
                        </c:pt>
                      </c15:dlblFieldTableCache>
                    </c15:dlblFTEntry>
                  </c15:dlblFieldTable>
                  <c15:showDataLabelsRange val="0"/>
                </c:ext>
                <c:ext xmlns:c16="http://schemas.microsoft.com/office/drawing/2014/chart" uri="{C3380CC4-5D6E-409C-BE32-E72D297353CC}">
                  <c16:uniqueId val="{00000002-B957-492C-BD78-62FE26E9AA26}"/>
                </c:ext>
              </c:extLst>
            </c:dLbl>
            <c:dLbl>
              <c:idx val="3"/>
              <c:tx>
                <c:rich>
                  <a:bodyPr/>
                  <a:lstStyle/>
                  <a:p>
                    <a:fld id="{3F188534-9F08-42A2-B475-C2A4EE0A9536}"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{3F188534-9F08-42A2-B475-C2A4EE0A9536}</c15:txfldGUID>
                      <c15:f>Sheet1!$E$8</c15:f>
                      <c15:dlblFieldTableCache>
                        <c:ptCount val="1"/>
                        <c:pt idx="0">
                          <c:v>87,4%</c:v>
                        </c:pt>
                      </c15:dlblFieldTableCache>
                    </c15:dlblFTEntry>
                  </c15:dlblFieldTable>
                  <c15:showDataLabelsRange val="0"/>
                </c:ext>
                <c:ext xmlns:c16="http://schemas.microsoft.com/office/drawing/2014/chart" uri="{C3380CC4-5D6E-409C-BE32-E72D297353CC}">
                  <c16:uniqueId val="{00000003-B957-492C-BD78-62FE26E9AA26}"/>
                </c:ext>
              </c:extLst>
            </c:dLbl>
            <c:dLbl>
              <c:idx val="4"/>
              <c:tx>
                <c:rich>
                  <a:bodyPr/>
                  <a:lstStyle/>
                  <a:p>
                    <a:fld id="{C5A291FC-DB99-4928-80FF-21632C4D219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{C5A291FC-DB99-4928-80FF-21632C4D2198}</c15:txfldGUID>
                      <c15:f>Sheet1!$F$8</c15:f>
                      <c15:dlblFieldTableCache>
                        <c:ptCount val="1"/>
                        <c:pt idx="0">
                          <c:v>86,9%</c:v>
                        </c:pt>
                      </c15:dlblFieldTableCache>
                    </c15:dlblFTEntry>
                  </c15:dlblFieldTable>
                  <c15:showDataLabelsRange val="0"/>
                </c:ext>
                <c:ext xmlns:c16="http://schemas.microsoft.com/office/drawing/2014/chart" uri="{C3380CC4-5D6E-409C-BE32-E72D297353CC}">
                  <c16:uniqueId val="{00000004-B957-492C-BD78-62FE26E9AA26}"/>
                </c:ext>
              </c:extLst>
            </c:dLbl>
            <c:dLbl>
              <c:idx val="5"/>
              <c:tx>
                <c:rich>
                  <a:bodyPr/>
                  <a:lstStyle/>
                  <a:p>
                    <a:fld id="{6AAD4FD7-961B-4BC2-809A-154C40A6DC6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{6AAD4FD7-961B-4BC2-809A-154C40A6DC61}</c15:txfldGUID>
                      <c15:f>Sheet1!$G$8</c15:f>
                      <c15:dlblFieldTableCache>
                        <c:ptCount val="1"/>
                        <c:pt idx="0">
                          <c:v>86,6%</c:v>
                        </c:pt>
                      </c15:dlblFieldTableCache>
                    </c15:dlblFTEntry>
                  </c15:dlblFieldTable>
                  <c15:showDataLabelsRange val="0"/>
                </c:ext>
                <c:ext xmlns:c16="http://schemas.microsoft.com/office/drawing/2014/chart" uri="{C3380CC4-5D6E-409C-BE32-E72D297353CC}">
                  <c16:uniqueId val="{00000005-B957-492C-BD78-62FE26E9AA26}"/>
                </c:ext>
              </c:extLst>
            </c:dLbl>
            <c:dLbl>
              <c:idx val="6"/>
              <c:tx>
                <c:rich>
                  <a:bodyPr/>
                  <a:lstStyle/>
                  <a:p>
                    <a:fld id="{F06BB054-C393-482A-AE0D-228F09AD539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{F06BB054-C393-482A-AE0D-228F09AD5391}</c15:txfldGUID>
                      <c15:f>Sheet1!$H$8</c15:f>
                      <c15:dlblFieldTableCache>
                        <c:ptCount val="1"/>
                        <c:pt idx="0">
                          <c:v>86,1%</c:v>
                        </c:pt>
                      </c15:dlblFieldTableCache>
                    </c15:dlblFTEntry>
                  </c15:dlblFieldTable>
                  <c15:showDataLabelsRange val="0"/>
                </c:ext>
                <c:ext xmlns:c16="http://schemas.microsoft.com/office/drawing/2014/chart" uri="{C3380CC4-5D6E-409C-BE32-E72D297353CC}">
                  <c16:uniqueId val="{00000006-B957-492C-BD78-62FE26E9AA26}"/>
                </c:ext>
              </c:extLst>
            </c:dLbl>
            <c:dLbl>
              <c:idx val="7"/>
              <c:tx>
                <c:rich>
                  <a:bodyPr/>
                  <a:lstStyle/>
                  <a:p>
                    <a:fld id="{9997BC68-4B47-4C77-9ECE-64694A5AAB5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{9997BC68-4B47-4C77-9ECE-64694A5AAB51}</c15:txfldGUID>
                      <c15:f>Sheet1!$I$8</c15:f>
                      <c15:dlblFieldTableCache>
                        <c:ptCount val="1"/>
                        <c:pt idx="0">
                          <c:v>86,8%</c:v>
                        </c:pt>
                      </c15:dlblFieldTableCache>
                    </c15:dlblFTEntry>
                  </c15:dlblFieldTable>
                  <c15:showDataLabelsRange val="0"/>
                </c:ext>
                <c:ext xmlns:c16="http://schemas.microsoft.com/office/drawing/2014/chart" uri="{C3380CC4-5D6E-409C-BE32-E72D297353CC}">
                  <c16:uniqueId val="{00000007-B957-492C-BD78-62FE26E9AA26}"/>
                </c:ext>
              </c:extLst>
            </c:dLbl>
            <c:dLbl>
              <c:idx val="8"/>
              <c:tx>
                <c:rich>
                  <a:bodyPr/>
                  <a:lstStyle/>
                  <a:p>
                    <a:fld id="{79DEFAD4-BA6A-4565-8909-8A6A8180137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{79DEFAD4-BA6A-4565-8909-8A6A81801371}</c15:txfldGUID>
                      <c15:f>Sheet1!$J$8</c15:f>
                      <c15:dlblFieldTableCache>
                        <c:ptCount val="1"/>
                        <c:pt idx="0">
                          <c:v>91,2%</c:v>
                        </c:pt>
                      </c15:dlblFieldTableCache>
                    </c15:dlblFTEntry>
                  </c15:dlblFieldTable>
                  <c15:showDataLabelsRange val="0"/>
                </c:ext>
                <c:ext xmlns:c16="http://schemas.microsoft.com/office/drawing/2014/chart" uri="{C3380CC4-5D6E-409C-BE32-E72D297353CC}">
                  <c16:uniqueId val="{00000008-B957-492C-BD78-62FE26E9AA26}"/>
                </c:ext>
              </c:extLst>
            </c:dLbl>
            <c:dLbl>
              <c:idx val="9"/>
              <c:tx>
                <c:rich>
                  <a:bodyPr/>
                  <a:lstStyle/>
                  <a:p>
                    <a:fld id="{227484B9-48D2-408F-A18C-3EB66EB63C17}"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{227484B9-48D2-408F-A18C-3EB66EB63C17}</c15:txfldGUID>
                      <c15:f>Sheet1!$K$8</c15:f>
                      <c15:dlblFieldTableCache>
                        <c:ptCount val="1"/>
                        <c:pt idx="0">
                          <c:v>89,0%</c:v>
                        </c:pt>
                      </c15:dlblFieldTableCache>
                    </c15:dlblFTEntry>
                  </c15:dlblFieldTable>
                  <c15:showDataLabelsRange val="0"/>
                </c:ext>
                <c:ext xmlns:c16="http://schemas.microsoft.com/office/drawing/2014/chart" uri="{C3380CC4-5D6E-409C-BE32-E72D297353CC}">
                  <c16:uniqueId val="{00000001-A1C5-440D-80D9-99C1B435A974}"/>
                </c:ext>
              </c:extLst>
            </c:dLbl>
            <c:dLbl>
              <c:idx val="10"/>
              <c:tx>
                <c:rich>
                  <a:bodyPr/>
                  <a:lstStyle/>
                  <a:p>
                    <a:fld id="{A64B0E9D-95EC-4EF7-8BA6-96AAF806803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{A64B0E9D-95EC-4EF7-8BA6-96AAF8068034}</c15:txfldGUID>
                      <c15:f>Sheet1!$L$8</c15:f>
                      <c15:dlblFieldTableCache>
                        <c:ptCount val="1"/>
                        <c:pt idx="0">
                          <c:v>90,2%</c:v>
                        </c:pt>
                      </c15:dlblFieldTableCache>
                    </c15:dlblFTEntry>
                  </c15:dlblFieldTable>
                  <c15:showDataLabelsRange val="0"/>
                </c:ext>
                <c:ext xmlns:c16="http://schemas.microsoft.com/office/drawing/2014/chart" uri="{C3380CC4-5D6E-409C-BE32-E72D297353CC}">
                  <c16:uniqueId val="{00000001-0C9B-4813-ADE3-F0987E44BE4B}"/>
                </c:ext>
              </c:extLst>
            </c:dLbl>
            <c:spPr>
              <a:solidFill>
                <a:sysClr val="window" lastClr="FFFFFF"/>
              </a:solidFill>
              <a:ln>
                <a:solidFill>
                  <a:sysClr val="windowText" lastClr="000000">
                    <a:lumMod val="65000"/>
                    <a:lumOff val="35000"/>
                  </a:sysClr>
                </a:solidFill>
              </a:ln>
              <a:effectLst>
                <a:glow rad="63500">
                  <a:srgbClr val="C0504D">
                    <a:satMod val="175000"/>
                    <a:alpha val="40000"/>
                  </a:srgbClr>
                </a:glow>
              </a:effectLst>
            </c:spPr>
            <c:txPr>
              <a:bodyPr wrap="square" lIns="38100" tIns="19050" rIns="38100" bIns="19050" anchor="ctr">
                <a:spAutoFit/>
              </a:bodyPr>
              <a:lstStyle/>
              <a:p>
                <a:pPr>
                  <a:defRPr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Sheet1!$B$1:$L$1</c:f>
              <c:strCache>
                <c:ptCount val="11"/>
                <c:pt idx="0">
                  <c:v>2015.</c:v>
                </c:pt>
                <c:pt idx="1">
                  <c:v>2016.</c:v>
                </c:pt>
                <c:pt idx="2">
                  <c:v>2017.</c:v>
                </c:pt>
                <c:pt idx="3">
                  <c:v>2018.</c:v>
                </c:pt>
                <c:pt idx="4">
                  <c:v>2019.</c:v>
                </c:pt>
                <c:pt idx="5">
                  <c:v> 2020.</c:v>
                </c:pt>
                <c:pt idx="6">
                  <c:v>2021.</c:v>
                </c:pt>
                <c:pt idx="7">
                  <c:v>2022.</c:v>
                </c:pt>
                <c:pt idx="8">
                  <c:v>2023.</c:v>
                </c:pt>
                <c:pt idx="9">
                  <c:v>2024.</c:v>
                </c:pt>
                <c:pt idx="10">
                  <c:v>1-6/2025.</c:v>
                </c:pt>
              </c:strCache>
            </c:strRef>
          </c:cat>
          <c:val>
            <c:numRef>
              <c:f>Sheet1!$B$2:$L$2</c:f>
              <c:numCache>
                <c:formatCode>#,##0.00</c:formatCode>
                <c:ptCount val="11"/>
                <c:pt idx="0">
                  <c:v>8483934.4880217668</c:v>
                </c:pt>
                <c:pt idx="1">
                  <c:v>8910027.0820890553</c:v>
                </c:pt>
                <c:pt idx="2">
                  <c:v>6434373.0692149447</c:v>
                </c:pt>
                <c:pt idx="3">
                  <c:v>8464202.7500165887</c:v>
                </c:pt>
                <c:pt idx="4">
                  <c:v>7991575.0919105448</c:v>
                </c:pt>
                <c:pt idx="5">
                  <c:v>6864760.6529962169</c:v>
                </c:pt>
                <c:pt idx="6">
                  <c:v>7378193.9451854797</c:v>
                </c:pt>
                <c:pt idx="7">
                  <c:v>8942136.8956135102</c:v>
                </c:pt>
                <c:pt idx="8">
                  <c:v>14863514.76</c:v>
                </c:pt>
                <c:pt idx="9">
                  <c:v>12599886.84</c:v>
                </c:pt>
                <c:pt idx="10">
                  <c:v>7438784.8799999999</c:v>
                </c:pt>
              </c:numCache>
            </c:numRef>
          </c:val>
          <c:extLst>
            <c:ext xmlns:c16="http://schemas.microsoft.com/office/drawing/2014/chart" uri="{C3380CC4-5D6E-409C-BE32-E72D297353CC}">
              <c16:uniqueId val="{00000009-B957-492C-BD78-62FE26E9AA26}"/>
            </c:ext>
          </c:extLst>
        </c:ser>
        <c:ser>
          <c:idx val="1"/>
          <c:order val="1"/>
          <c:tx>
            <c:strRef>
              <c:f>Sheet1!$A$3</c:f>
              <c:strCache>
                <c:ptCount val="1"/>
                <c:pt idx="0">
                  <c:v>PRIHODI PRORAČUNSKIH KORISNIKA</c:v>
                </c:pt>
              </c:strCache>
            </c:strRef>
          </c:tx>
          <c:spPr>
            <a:solidFill>
              <a:srgbClr val="993366"/>
            </a:solidFill>
            <a:ln w="7645">
              <a:solidFill>
                <a:srgbClr val="000000"/>
              </a:solidFill>
              <a:prstDash val="solid"/>
            </a:ln>
          </c:spPr>
          <c:invertIfNegative val="0"/>
          <c:dLbls>
            <c:dLbl>
              <c:idx val="0"/>
              <c:layout>
                <c:manualLayout>
                  <c:x val="1.6881911032328551E-3"/>
                  <c:y val="-4.753673292999136E-2"/>
                </c:manualLayout>
              </c:layout>
              <c:tx>
                <c:rich>
                  <a:bodyPr/>
                  <a:lstStyle/>
                  <a:p>
                    <a:fld id="{6CF87BB5-8201-43ED-B795-A31784930F4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{6CF87BB5-8201-43ED-B795-A31784930F45}</c15:txfldGUID>
                      <c15:f>Sheet1!$B$9</c15:f>
                      <c15:dlblFieldTableCache>
                        <c:ptCount val="1"/>
                        <c:pt idx="0">
                          <c:v>4,0%</c:v>
                        </c:pt>
                      </c15:dlblFieldTableCache>
                    </c15:dlblFTEntry>
                  </c15:dlblFieldTable>
                  <c15:showDataLabelsRange val="0"/>
                </c:ext>
                <c:ext xmlns:c16="http://schemas.microsoft.com/office/drawing/2014/chart" uri="{C3380CC4-5D6E-409C-BE32-E72D297353CC}">
                  <c16:uniqueId val="{0000000A-B957-492C-BD78-62FE26E9AA26}"/>
                </c:ext>
              </c:extLst>
            </c:dLbl>
            <c:dLbl>
              <c:idx val="1"/>
              <c:layout>
                <c:manualLayout>
                  <c:x val="0"/>
                  <c:y val="-5.6179775280898896E-2"/>
                </c:manualLayout>
              </c:layout>
              <c:tx>
                <c:rich>
                  <a:bodyPr/>
                  <a:lstStyle/>
                  <a:p>
                    <a:fld id="{C2E744B4-C49F-40FD-8072-0B5FD152B57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{C2E744B4-C49F-40FD-8072-0B5FD152B579}</c15:txfldGUID>
                      <c15:f>Sheet1!$C$9</c15:f>
                      <c15:dlblFieldTableCache>
                        <c:ptCount val="1"/>
                        <c:pt idx="0">
                          <c:v>5,6%</c:v>
                        </c:pt>
                      </c15:dlblFieldTableCache>
                    </c15:dlblFTEntry>
                  </c15:dlblFieldTable>
                  <c15:showDataLabelsRange val="0"/>
                </c:ext>
                <c:ext xmlns:c16="http://schemas.microsoft.com/office/drawing/2014/chart" uri="{C3380CC4-5D6E-409C-BE32-E72D297353CC}">
                  <c16:uniqueId val="{0000000B-B957-492C-BD78-62FE26E9AA26}"/>
                </c:ext>
              </c:extLst>
            </c:dLbl>
            <c:dLbl>
              <c:idx val="2"/>
              <c:layout>
                <c:manualLayout>
                  <c:x val="1.6881911032328859E-3"/>
                  <c:y val="-6.4822817631806431E-2"/>
                </c:manualLayout>
              </c:layout>
              <c:tx>
                <c:rich>
                  <a:bodyPr/>
                  <a:lstStyle/>
                  <a:p>
                    <a:fld id="{5F21446F-467C-409C-9A57-8A9CD8BC30D2}"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{5F21446F-467C-409C-9A57-8A9CD8BC30D2}</c15:txfldGUID>
                      <c15:f>Sheet1!$D$9</c15:f>
                      <c15:dlblFieldTableCache>
                        <c:ptCount val="1"/>
                        <c:pt idx="0">
                          <c:v>13,5%</c:v>
                        </c:pt>
                      </c15:dlblFieldTableCache>
                    </c15:dlblFTEntry>
                  </c15:dlblFieldTable>
                  <c15:showDataLabelsRange val="0"/>
                </c:ext>
                <c:ext xmlns:c16="http://schemas.microsoft.com/office/drawing/2014/chart" uri="{C3380CC4-5D6E-409C-BE32-E72D297353CC}">
                  <c16:uniqueId val="{0000000C-B957-492C-BD78-62FE26E9AA26}"/>
                </c:ext>
              </c:extLst>
            </c:dLbl>
            <c:dLbl>
              <c:idx val="3"/>
              <c:layout>
                <c:manualLayout>
                  <c:x val="1.6881911032328241E-3"/>
                  <c:y val="-7.7787381158167676E-2"/>
                </c:manualLayout>
              </c:layout>
              <c:tx>
                <c:rich>
                  <a:bodyPr/>
                  <a:lstStyle/>
                  <a:p>
                    <a:fld id="{6972BB04-D82A-4315-A062-7A14727EE3B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{6972BB04-D82A-4315-A062-7A14727EE3BC}</c15:txfldGUID>
                      <c15:f>Sheet1!$E$9</c15:f>
                      <c15:dlblFieldTableCache>
                        <c:ptCount val="1"/>
                        <c:pt idx="0">
                          <c:v>12,6%</c:v>
                        </c:pt>
                      </c15:dlblFieldTableCache>
                    </c15:dlblFTEntry>
                  </c15:dlblFieldTable>
                  <c15:showDataLabelsRange val="0"/>
                </c:ext>
                <c:ext xmlns:c16="http://schemas.microsoft.com/office/drawing/2014/chart" uri="{C3380CC4-5D6E-409C-BE32-E72D297353CC}">
                  <c16:uniqueId val="{0000000D-B957-492C-BD78-62FE26E9AA26}"/>
                </c:ext>
              </c:extLst>
            </c:dLbl>
            <c:dLbl>
              <c:idx val="4"/>
              <c:layout>
                <c:manualLayout>
                  <c:x val="-6.1899625382117972E-17"/>
                  <c:y val="-7.3465859982713919E-2"/>
                </c:manualLayout>
              </c:layout>
              <c:tx>
                <c:rich>
                  <a:bodyPr/>
                  <a:lstStyle/>
                  <a:p>
                    <a:fld id="{920CBCA6-A4E8-4C07-8E90-3ACA171B9396}"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{920CBCA6-A4E8-4C07-8E90-3ACA171B9396}</c15:txfldGUID>
                      <c15:f>Sheet1!$F$9</c15:f>
                      <c15:dlblFieldTableCache>
                        <c:ptCount val="1"/>
                        <c:pt idx="0">
                          <c:v>13,1%</c:v>
                        </c:pt>
                      </c15:dlblFieldTableCache>
                    </c15:dlblFTEntry>
                  </c15:dlblFieldTable>
                  <c15:showDataLabelsRange val="0"/>
                </c:ext>
                <c:ext xmlns:c16="http://schemas.microsoft.com/office/drawing/2014/chart" uri="{C3380CC4-5D6E-409C-BE32-E72D297353CC}">
                  <c16:uniqueId val="{0000000E-B957-492C-BD78-62FE26E9AA26}"/>
                </c:ext>
              </c:extLst>
            </c:dLbl>
            <c:dLbl>
              <c:idx val="5"/>
              <c:layout>
                <c:manualLayout>
                  <c:x val="6.7527644129315436E-3"/>
                  <c:y val="-8.2108902333621434E-2"/>
                </c:manualLayout>
              </c:layout>
              <c:tx>
                <c:rich>
                  <a:bodyPr/>
                  <a:lstStyle/>
                  <a:p>
                    <a:fld id="{CAE79BBA-9A7E-4699-9EFE-B3178F6257E0}"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{CAE79BBA-9A7E-4699-9EFE-B3178F6257E0}</c15:txfldGUID>
                      <c15:f>Sheet1!$G$9</c15:f>
                      <c15:dlblFieldTableCache>
                        <c:ptCount val="1"/>
                        <c:pt idx="0">
                          <c:v>13,4%</c:v>
                        </c:pt>
                      </c15:dlblFieldTableCache>
                    </c15:dlblFTEntry>
                  </c15:dlblFieldTable>
                  <c15:showDataLabelsRange val="0"/>
                </c:ext>
                <c:ext xmlns:c16="http://schemas.microsoft.com/office/drawing/2014/chart" uri="{C3380CC4-5D6E-409C-BE32-E72D297353CC}">
                  <c16:uniqueId val="{0000000F-B957-492C-BD78-62FE26E9AA26}"/>
                </c:ext>
              </c:extLst>
            </c:dLbl>
            <c:dLbl>
              <c:idx val="6"/>
              <c:layout>
                <c:manualLayout>
                  <c:x val="3.3763822064657718E-3"/>
                  <c:y val="-7.7787381158167676E-2"/>
                </c:manualLayout>
              </c:layout>
              <c:tx>
                <c:rich>
                  <a:bodyPr/>
                  <a:lstStyle/>
                  <a:p>
                    <a:fld id="{558256BD-1803-4ACB-B5D4-1A907E362F7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{558256BD-1803-4ACB-B5D4-1A907E362F71}</c15:txfldGUID>
                      <c15:f>Sheet1!$H$9</c15:f>
                      <c15:dlblFieldTableCache>
                        <c:ptCount val="1"/>
                        <c:pt idx="0">
                          <c:v>13,9%</c:v>
                        </c:pt>
                      </c15:dlblFieldTableCache>
                    </c15:dlblFTEntry>
                  </c15:dlblFieldTable>
                  <c15:showDataLabelsRange val="0"/>
                </c:ext>
                <c:ext xmlns:c16="http://schemas.microsoft.com/office/drawing/2014/chart" uri="{C3380CC4-5D6E-409C-BE32-E72D297353CC}">
                  <c16:uniqueId val="{00000010-B957-492C-BD78-62FE26E9AA26}"/>
                </c:ext>
              </c:extLst>
            </c:dLbl>
            <c:dLbl>
              <c:idx val="7"/>
              <c:layout>
                <c:manualLayout>
                  <c:x val="2.1583894191996951E-3"/>
                  <c:y val="-7.5696038591123685E-2"/>
                </c:manualLayout>
              </c:layout>
              <c:tx>
                <c:rich>
                  <a:bodyPr/>
                  <a:lstStyle/>
                  <a:p>
                    <a:fld id="{DD589ACE-9189-421C-969F-185863D831A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{DD589ACE-9189-421C-969F-185863D831A1}</c15:txfldGUID>
                      <c15:f>Sheet1!$I$9</c15:f>
                      <c15:dlblFieldTableCache>
                        <c:ptCount val="1"/>
                        <c:pt idx="0">
                          <c:v>13,2%</c:v>
                        </c:pt>
                      </c15:dlblFieldTableCache>
                    </c15:dlblFTEntry>
                  </c15:dlblFieldTable>
                  <c15:showDataLabelsRange val="0"/>
                </c:ext>
                <c:ext xmlns:c16="http://schemas.microsoft.com/office/drawing/2014/chart" uri="{C3380CC4-5D6E-409C-BE32-E72D297353CC}">
                  <c16:uniqueId val="{00000011-B957-492C-BD78-62FE26E9AA26}"/>
                </c:ext>
              </c:extLst>
            </c:dLbl>
            <c:dLbl>
              <c:idx val="8"/>
              <c:layout>
                <c:manualLayout>
                  <c:x val="9.3109869646182501E-3"/>
                  <c:y val="-5.4827175208581734E-2"/>
                </c:manualLayout>
              </c:layout>
              <c:tx>
                <c:rich>
                  <a:bodyPr wrap="square" lIns="38100" tIns="19050" rIns="38100" bIns="19050" anchor="ctr">
                    <a:noAutofit/>
                  </a:bodyPr>
                  <a:lstStyle/>
                  <a:p>
                    <a:pPr>
                      <a:defRPr/>
                    </a:pPr>
                    <a:fld id="{CD85EB3E-7AA2-41AE-AA83-F5F722A4CF60}"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4888194841566594E-2"/>
                      <c:h val="4.2026409392508894E-2"/>
                    </c:manualLayout>
                  </c15:layout>
                  <c15:dlblFieldTable>
                    <c15:dlblFTEntry>
                      <c15:txfldGUID>{CD85EB3E-7AA2-41AE-AA83-F5F722A4CF60}</c15:txfldGUID>
                      <c15:f>Sheet1!$J$9</c15:f>
                      <c15:dlblFieldTableCache>
                        <c:ptCount val="1"/>
                        <c:pt idx="0">
                          <c:v>8,8%</c:v>
                        </c:pt>
                      </c15:dlblFieldTableCache>
                    </c15:dlblFTEntry>
                  </c15:dlblFieldTable>
                  <c15:showDataLabelsRange val="0"/>
                </c:ext>
                <c:ext xmlns:c16="http://schemas.microsoft.com/office/drawing/2014/chart" uri="{C3380CC4-5D6E-409C-BE32-E72D297353CC}">
                  <c16:uniqueId val="{00000012-B957-492C-BD78-62FE26E9AA26}"/>
                </c:ext>
              </c:extLst>
            </c:dLbl>
            <c:dLbl>
              <c:idx val="9"/>
              <c:layout>
                <c:manualLayout>
                  <c:x val="5.5865921787709499E-3"/>
                  <c:y val="-6.6746126340882006E-2"/>
                </c:manualLayout>
              </c:layout>
              <c:tx>
                <c:rich>
                  <a:bodyPr/>
                  <a:lstStyle/>
                  <a:p>
                    <a:fld id="{25755708-0089-4572-ADA8-13E0BA2341E7}"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{25755708-0089-4572-ADA8-13E0BA2341E7}</c15:txfldGUID>
                      <c15:f>Sheet1!$K$9</c15:f>
                      <c15:dlblFieldTableCache>
                        <c:ptCount val="1"/>
                        <c:pt idx="0">
                          <c:v>11,0%</c:v>
                        </c:pt>
                      </c15:dlblFieldTableCache>
                    </c15:dlblFTEntry>
                  </c15:dlblFieldTable>
                  <c15:showDataLabelsRange val="0"/>
                </c:ext>
                <c:ext xmlns:c16="http://schemas.microsoft.com/office/drawing/2014/chart" uri="{C3380CC4-5D6E-409C-BE32-E72D297353CC}">
                  <c16:uniqueId val="{00000000-A1C5-440D-80D9-99C1B435A974}"/>
                </c:ext>
              </c:extLst>
            </c:dLbl>
            <c:dLbl>
              <c:idx val="10"/>
              <c:tx>
                <c:rich>
                  <a:bodyPr/>
                  <a:lstStyle/>
                  <a:p>
                    <a:fld id="{998ED00E-E2FD-4E0C-8C93-F1BBE758734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{998ED00E-E2FD-4E0C-8C93-F1BBE758734F}</c15:txfldGUID>
                      <c15:f>Sheet1!$L$9</c15:f>
                      <c15:dlblFieldTableCache>
                        <c:ptCount val="1"/>
                        <c:pt idx="0">
                          <c:v>9,8%</c:v>
                        </c:pt>
                      </c15:dlblFieldTableCache>
                    </c15:dlblFTEntry>
                  </c15:dlblFieldTable>
                  <c15:showDataLabelsRange val="0"/>
                </c:ext>
                <c:ext xmlns:c16="http://schemas.microsoft.com/office/drawing/2014/chart" uri="{C3380CC4-5D6E-409C-BE32-E72D297353CC}">
                  <c16:uniqueId val="{00000000-0C9B-4813-ADE3-F0987E44BE4B}"/>
                </c:ext>
              </c:extLst>
            </c:dLbl>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2015.</c:v>
                </c:pt>
                <c:pt idx="1">
                  <c:v>2016.</c:v>
                </c:pt>
                <c:pt idx="2">
                  <c:v>2017.</c:v>
                </c:pt>
                <c:pt idx="3">
                  <c:v>2018.</c:v>
                </c:pt>
                <c:pt idx="4">
                  <c:v>2019.</c:v>
                </c:pt>
                <c:pt idx="5">
                  <c:v> 2020.</c:v>
                </c:pt>
                <c:pt idx="6">
                  <c:v>2021.</c:v>
                </c:pt>
                <c:pt idx="7">
                  <c:v>2022.</c:v>
                </c:pt>
                <c:pt idx="8">
                  <c:v>2023.</c:v>
                </c:pt>
                <c:pt idx="9">
                  <c:v>2024.</c:v>
                </c:pt>
                <c:pt idx="10">
                  <c:v>1-6/2025.</c:v>
                </c:pt>
              </c:strCache>
            </c:strRef>
          </c:cat>
          <c:val>
            <c:numRef>
              <c:f>Sheet1!$B$3:$L$3</c:f>
              <c:numCache>
                <c:formatCode>#,##0.00</c:formatCode>
                <c:ptCount val="11"/>
                <c:pt idx="0">
                  <c:v>356645.68717234058</c:v>
                </c:pt>
                <c:pt idx="1">
                  <c:v>532272.00610524917</c:v>
                </c:pt>
                <c:pt idx="2">
                  <c:v>1005820.553454111</c:v>
                </c:pt>
                <c:pt idx="3">
                  <c:v>1224124.0108832701</c:v>
                </c:pt>
                <c:pt idx="4">
                  <c:v>1207249.7020372951</c:v>
                </c:pt>
                <c:pt idx="5">
                  <c:v>1066370.7014400424</c:v>
                </c:pt>
                <c:pt idx="6">
                  <c:v>1195278.6940075653</c:v>
                </c:pt>
                <c:pt idx="7">
                  <c:v>1362578.9408719887</c:v>
                </c:pt>
                <c:pt idx="8">
                  <c:v>1429626.81</c:v>
                </c:pt>
                <c:pt idx="9">
                  <c:v>1562128.7</c:v>
                </c:pt>
                <c:pt idx="10">
                  <c:v>811957.18</c:v>
                </c:pt>
              </c:numCache>
            </c:numRef>
          </c:val>
          <c:extLst>
            <c:ext xmlns:c16="http://schemas.microsoft.com/office/drawing/2014/chart" uri="{C3380CC4-5D6E-409C-BE32-E72D297353CC}">
              <c16:uniqueId val="{00000013-B957-492C-BD78-62FE26E9AA26}"/>
            </c:ext>
          </c:extLst>
        </c:ser>
        <c:dLbls>
          <c:showLegendKey val="0"/>
          <c:showVal val="0"/>
          <c:showCatName val="0"/>
          <c:showSerName val="0"/>
          <c:showPercent val="0"/>
          <c:showBubbleSize val="0"/>
        </c:dLbls>
        <c:gapWidth val="150"/>
        <c:overlap val="100"/>
        <c:axId val="99618304"/>
        <c:axId val="1354704576"/>
      </c:barChart>
      <c:catAx>
        <c:axId val="9961830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GB" sz="1000"/>
                  <a:t>godina</a:t>
                </a:r>
              </a:p>
            </c:rich>
          </c:tx>
          <c:layout>
            <c:manualLayout>
              <c:xMode val="edge"/>
              <c:yMode val="edge"/>
              <c:x val="0.41067757591753545"/>
              <c:y val="0.9244788978254953"/>
            </c:manualLayout>
          </c:layout>
          <c:overlay val="0"/>
          <c:spPr>
            <a:noFill/>
            <a:ln w="15290">
              <a:noFill/>
            </a:ln>
          </c:spPr>
        </c:title>
        <c:numFmt formatCode="General" sourceLinked="0"/>
        <c:majorTickMark val="out"/>
        <c:minorTickMark val="none"/>
        <c:tickLblPos val="low"/>
        <c:spPr>
          <a:ln w="1911">
            <a:solidFill>
              <a:srgbClr val="000000"/>
            </a:solidFill>
            <a:prstDash val="solid"/>
          </a:ln>
        </c:spPr>
        <c:txPr>
          <a:bodyPr rot="-5400000" vert="horz"/>
          <a:lstStyle/>
          <a:p>
            <a:pPr>
              <a:defRPr sz="800" b="1" i="0" u="none" strike="noStrike" baseline="0">
                <a:solidFill>
                  <a:srgbClr val="000000"/>
                </a:solidFill>
                <a:latin typeface="Calibri"/>
                <a:ea typeface="Calibri"/>
                <a:cs typeface="Calibri"/>
              </a:defRPr>
            </a:pPr>
            <a:endParaRPr lang="sr-Latn-RS"/>
          </a:p>
        </c:txPr>
        <c:crossAx val="1354704576"/>
        <c:crossesAt val="90000000"/>
        <c:auto val="1"/>
        <c:lblAlgn val="ctr"/>
        <c:lblOffset val="100"/>
        <c:tickLblSkip val="1"/>
        <c:tickMarkSkip val="1"/>
        <c:noMultiLvlLbl val="0"/>
      </c:catAx>
      <c:valAx>
        <c:axId val="1354704576"/>
        <c:scaling>
          <c:orientation val="minMax"/>
        </c:scaling>
        <c:delete val="0"/>
        <c:axPos val="l"/>
        <c:majorGridlines>
          <c:spPr>
            <a:ln w="1911">
              <a:solidFill>
                <a:srgbClr val="000000"/>
              </a:solidFill>
              <a:prstDash val="solid"/>
            </a:ln>
          </c:spPr>
        </c:majorGridlines>
        <c:title>
          <c:tx>
            <c:rich>
              <a:bodyPr/>
              <a:lstStyle/>
              <a:p>
                <a:pPr>
                  <a:defRPr sz="800" b="1" i="0" u="none" strike="noStrike" baseline="0">
                    <a:solidFill>
                      <a:srgbClr val="000000"/>
                    </a:solidFill>
                    <a:latin typeface="Calibri"/>
                    <a:ea typeface="Calibri"/>
                    <a:cs typeface="Calibri"/>
                  </a:defRPr>
                </a:pPr>
                <a:r>
                  <a:rPr lang="en-GB" sz="800" b="1"/>
                  <a:t>iznos proračuna</a:t>
                </a:r>
                <a:r>
                  <a:rPr lang="hr-HR" sz="800" b="1"/>
                  <a:t> (€)</a:t>
                </a:r>
                <a:endParaRPr lang="en-GB" sz="800" b="1"/>
              </a:p>
            </c:rich>
          </c:tx>
          <c:layout>
            <c:manualLayout>
              <c:xMode val="edge"/>
              <c:yMode val="edge"/>
              <c:x val="2.0533880903490759E-2"/>
              <c:y val="0.375"/>
            </c:manualLayout>
          </c:layout>
          <c:overlay val="0"/>
          <c:spPr>
            <a:noFill/>
            <a:ln w="15290">
              <a:noFill/>
            </a:ln>
          </c:spPr>
        </c:title>
        <c:numFmt formatCode="#,##0" sourceLinked="0"/>
        <c:majorTickMark val="out"/>
        <c:minorTickMark val="none"/>
        <c:tickLblPos val="nextTo"/>
        <c:spPr>
          <a:ln w="1911">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c:spPr>
        <c:txPr>
          <a:bodyPr rot="0" vert="horz"/>
          <a:lstStyle/>
          <a:p>
            <a:pPr>
              <a:defRPr sz="800" b="1" i="0" u="none" strike="noStrike" baseline="0">
                <a:solidFill>
                  <a:srgbClr val="000000"/>
                </a:solidFill>
                <a:latin typeface="Calibri"/>
                <a:ea typeface="Calibri"/>
                <a:cs typeface="Calibri"/>
              </a:defRPr>
            </a:pPr>
            <a:endParaRPr lang="sr-Latn-RS"/>
          </a:p>
        </c:txPr>
        <c:crossAx val="99618304"/>
        <c:crosses val="autoZero"/>
        <c:crossBetween val="between"/>
      </c:valAx>
      <c:spPr>
        <a:solidFill>
          <a:srgbClr val="C0C0C0"/>
        </a:solidFill>
        <a:ln w="7645">
          <a:solidFill>
            <a:srgbClr val="808080"/>
          </a:solidFill>
          <a:prstDash val="solid"/>
        </a:ln>
      </c:spPr>
    </c:plotArea>
    <c:legend>
      <c:legendPos val="r"/>
      <c:legendEntry>
        <c:idx val="0"/>
        <c:txPr>
          <a:bodyPr/>
          <a:lstStyle/>
          <a:p>
            <a:pPr>
              <a:defRPr sz="800" b="1" i="0" u="none" strike="noStrike" baseline="0">
                <a:solidFill>
                  <a:srgbClr val="000000"/>
                </a:solidFill>
                <a:latin typeface="Calibri"/>
                <a:ea typeface="Calibri"/>
                <a:cs typeface="Calibri"/>
              </a:defRPr>
            </a:pPr>
            <a:endParaRPr lang="sr-Latn-RS"/>
          </a:p>
        </c:txPr>
      </c:legendEntry>
      <c:legendEntry>
        <c:idx val="1"/>
        <c:txPr>
          <a:bodyPr/>
          <a:lstStyle/>
          <a:p>
            <a:pPr>
              <a:defRPr sz="800" b="1" i="0" u="none" strike="noStrike" baseline="0">
                <a:solidFill>
                  <a:srgbClr val="000000"/>
                </a:solidFill>
                <a:latin typeface="Calibri"/>
                <a:ea typeface="Calibri"/>
                <a:cs typeface="Calibri"/>
              </a:defRPr>
            </a:pPr>
            <a:endParaRPr lang="sr-Latn-RS"/>
          </a:p>
        </c:txPr>
      </c:legendEntry>
      <c:layout>
        <c:manualLayout>
          <c:xMode val="edge"/>
          <c:yMode val="edge"/>
          <c:x val="0.79468348032152514"/>
          <c:y val="0.21284744976660247"/>
          <c:w val="0.1502935488327117"/>
          <c:h val="0.42063196393224161"/>
        </c:manualLayout>
      </c:layout>
      <c:overlay val="0"/>
      <c:spPr>
        <a:noFill/>
        <a:ln w="1911">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722"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a:t>           </a:t>
            </a:r>
            <a:r>
              <a:rPr lang="en-US" sz="1400"/>
              <a:t>Prihodi od poreza</a:t>
            </a:r>
            <a:r>
              <a:rPr lang="hr-HR" sz="1400"/>
              <a:t> od</a:t>
            </a:r>
            <a:r>
              <a:rPr lang="hr-HR" sz="1400" baseline="0"/>
              <a:t> 1.1.-</a:t>
            </a:r>
            <a:r>
              <a:rPr lang="en-US" sz="1400" baseline="0"/>
              <a:t>30.06.2025</a:t>
            </a:r>
            <a:r>
              <a:rPr lang="hr-HR" sz="1400" baseline="0"/>
              <a:t>.</a:t>
            </a:r>
            <a:endParaRPr lang="en-US" sz="1400"/>
          </a:p>
        </c:rich>
      </c:tx>
      <c:layout>
        <c:manualLayout>
          <c:xMode val="edge"/>
          <c:yMode val="edge"/>
          <c:x val="0.47342968551907522"/>
          <c:y val="1.1636452420191676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7959498181993307E-2"/>
          <c:y val="0.1950011610478985"/>
          <c:w val="0.54232163066772621"/>
          <c:h val="0.69975692278293911"/>
        </c:manualLayout>
      </c:layout>
      <c:pie3DChart>
        <c:varyColors val="1"/>
        <c:ser>
          <c:idx val="0"/>
          <c:order val="0"/>
          <c:tx>
            <c:strRef>
              <c:f>List1!$B$1</c:f>
              <c:strCache>
                <c:ptCount val="1"/>
                <c:pt idx="0">
                  <c:v>Prihodi od poreza</c:v>
                </c:pt>
              </c:strCache>
            </c:strRef>
          </c:tx>
          <c:explosion val="25"/>
          <c:dPt>
            <c:idx val="2"/>
            <c:bubble3D val="0"/>
            <c:spPr>
              <a:pattFill prst="lgCheck">
                <a:fgClr>
                  <a:srgbClr val="92D050"/>
                </a:fgClr>
                <a:bgClr>
                  <a:sysClr val="window" lastClr="FFFFFF"/>
                </a:bgClr>
              </a:pattFill>
              <a:ln>
                <a:solidFill>
                  <a:srgbClr val="00B050"/>
                </a:solidFill>
              </a:ln>
            </c:spPr>
            <c:extLst>
              <c:ext xmlns:c16="http://schemas.microsoft.com/office/drawing/2014/chart" uri="{C3380CC4-5D6E-409C-BE32-E72D297353CC}">
                <c16:uniqueId val="{00000004-AA79-41D3-8C83-2C478905349A}"/>
              </c:ext>
            </c:extLst>
          </c:dPt>
          <c:dPt>
            <c:idx val="3"/>
            <c:bubble3D val="0"/>
            <c:spPr>
              <a:solidFill>
                <a:srgbClr val="FFFF00"/>
              </a:solidFill>
              <a:ln>
                <a:solidFill>
                  <a:srgbClr val="FF0000"/>
                </a:solidFill>
              </a:ln>
            </c:spPr>
            <c:extLst>
              <c:ext xmlns:c16="http://schemas.microsoft.com/office/drawing/2014/chart" uri="{C3380CC4-5D6E-409C-BE32-E72D297353CC}">
                <c16:uniqueId val="{00000001-AA79-41D3-8C83-2C478905349A}"/>
              </c:ext>
            </c:extLst>
          </c:dPt>
          <c:dLbls>
            <c:dLbl>
              <c:idx val="0"/>
              <c:layout>
                <c:manualLayout>
                  <c:x val="4.6338959588275948E-2"/>
                  <c:y val="-3.704669474455239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A79-41D3-8C83-2C478905349A}"/>
                </c:ext>
              </c:extLst>
            </c:dLbl>
            <c:dLbl>
              <c:idx val="1"/>
              <c:layout>
                <c:manualLayout>
                  <c:x val="-6.5708764211262108E-2"/>
                  <c:y val="-1.0377586522614906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A79-41D3-8C83-2C478905349A}"/>
                </c:ext>
              </c:extLst>
            </c:dLbl>
            <c:dLbl>
              <c:idx val="2"/>
              <c:layout>
                <c:manualLayout>
                  <c:x val="-2.6930927483722823E-2"/>
                  <c:y val="-9.9834028099428748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A79-41D3-8C83-2C478905349A}"/>
                </c:ext>
              </c:extLst>
            </c:dLbl>
            <c:dLbl>
              <c:idx val="3"/>
              <c:layout>
                <c:manualLayout>
                  <c:x val="0.10167823555085227"/>
                  <c:y val="6.200015439246565E-3"/>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A79-41D3-8C83-2C478905349A}"/>
                </c:ext>
              </c:extLst>
            </c:dLbl>
            <c:numFmt formatCode="General" sourceLinked="0"/>
            <c:spPr>
              <a:gradFill>
                <a:gsLst>
                  <a:gs pos="0">
                    <a:srgbClr val="4F81BD">
                      <a:tint val="66000"/>
                      <a:satMod val="160000"/>
                      <a:lumMod val="34000"/>
                      <a:lumOff val="66000"/>
                      <a:alpha val="52000"/>
                    </a:srgbClr>
                  </a:gs>
                  <a:gs pos="98000">
                    <a:srgbClr val="4F81BD">
                      <a:tint val="44500"/>
                      <a:satMod val="160000"/>
                      <a:lumMod val="0"/>
                      <a:lumOff val="100000"/>
                    </a:srgbClr>
                  </a:gs>
                  <a:gs pos="100000">
                    <a:srgbClr val="4F81BD">
                      <a:tint val="23500"/>
                      <a:satMod val="160000"/>
                    </a:srgbClr>
                  </a:gs>
                </a:gsLst>
                <a:lin ang="5400000" scaled="0"/>
              </a:gradFill>
              <a:ln>
                <a:solidFill>
                  <a:srgbClr val="4F81BD">
                    <a:shade val="95000"/>
                    <a:satMod val="105000"/>
                    <a:alpha val="39000"/>
                  </a:srgbClr>
                </a:solidFill>
              </a:ln>
              <a:effectLst>
                <a:outerShdw blurRad="50800" dist="50800" dir="5400000" algn="ctr" rotWithShape="0">
                  <a:srgbClr val="000000">
                    <a:alpha val="6000"/>
                  </a:srgbClr>
                </a:outerShdw>
              </a:effectLst>
            </c:spPr>
            <c:txPr>
              <a:bodyPr wrap="square" lIns="38100" tIns="19050" rIns="38100" bIns="19050" anchor="ctr">
                <a:spAutoFit/>
              </a:bodyPr>
              <a:lstStyle/>
              <a:p>
                <a:pPr>
                  <a:defRPr sz="900"/>
                </a:pPr>
                <a:endParaRPr lang="sr-Latn-RS"/>
              </a:p>
            </c:txPr>
            <c:showLegendKey val="1"/>
            <c:showVal val="1"/>
            <c:showCatName val="0"/>
            <c:showSerName val="0"/>
            <c:showPercent val="1"/>
            <c:showBubbleSize val="0"/>
            <c:showLeaderLines val="1"/>
            <c:extLst>
              <c:ext xmlns:c15="http://schemas.microsoft.com/office/drawing/2012/chart" uri="{CE6537A1-D6FC-4f65-9D91-7224C49458BB}"/>
            </c:extLst>
          </c:dLbls>
          <c:cat>
            <c:strRef>
              <c:f>List1!$A$2:$A$5</c:f>
              <c:strCache>
                <c:ptCount val="4"/>
                <c:pt idx="0">
                  <c:v>porez i prirez na dohodak (611)</c:v>
                </c:pt>
                <c:pt idx="1">
                  <c:v>porez na promet nekretnina (6134)</c:v>
                </c:pt>
                <c:pt idx="2">
                  <c:v>porez na potrošnju (općinski porez, 6142)</c:v>
                </c:pt>
                <c:pt idx="3">
                  <c:v>porez na kuće za odmor i porez na javne površine 6131 (općinski porezi)</c:v>
                </c:pt>
              </c:strCache>
            </c:strRef>
          </c:cat>
          <c:val>
            <c:numRef>
              <c:f>List1!$B$2:$B$5</c:f>
              <c:numCache>
                <c:formatCode>#,##0.00</c:formatCode>
                <c:ptCount val="4"/>
                <c:pt idx="0">
                  <c:v>2846748.2</c:v>
                </c:pt>
                <c:pt idx="1">
                  <c:v>347679.24</c:v>
                </c:pt>
                <c:pt idx="2">
                  <c:v>60098.59</c:v>
                </c:pt>
                <c:pt idx="3">
                  <c:v>12858.07</c:v>
                </c:pt>
              </c:numCache>
            </c:numRef>
          </c:val>
          <c:extLst>
            <c:ext xmlns:c16="http://schemas.microsoft.com/office/drawing/2014/chart" uri="{C3380CC4-5D6E-409C-BE32-E72D297353CC}">
              <c16:uniqueId val="{00000005-AA79-41D3-8C83-2C478905349A}"/>
            </c:ext>
          </c:extLst>
        </c:ser>
        <c:dLbls>
          <c:showLegendKey val="0"/>
          <c:showVal val="0"/>
          <c:showCatName val="0"/>
          <c:showSerName val="0"/>
          <c:showPercent val="0"/>
          <c:showBubbleSize val="0"/>
          <c:showLeaderLines val="1"/>
        </c:dLbls>
      </c:pie3DChart>
    </c:plotArea>
    <c:legend>
      <c:legendPos val="r"/>
      <c:layout>
        <c:manualLayout>
          <c:xMode val="edge"/>
          <c:yMode val="edge"/>
          <c:x val="0.65194274028629862"/>
          <c:y val="0.15252161494519068"/>
          <c:w val="0.33824130879345604"/>
          <c:h val="0.82707342977476639"/>
        </c:manualLayout>
      </c:layout>
      <c:overlay val="0"/>
      <c:txPr>
        <a:bodyPr/>
        <a:lstStyle/>
        <a:p>
          <a:pPr>
            <a:defRPr sz="900"/>
          </a:pPr>
          <a:endParaRPr lang="sr-Latn-RS"/>
        </a:p>
      </c:txPr>
    </c:legend>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200"/>
              <a:t>Porez i prirez na dohodak u razdoblju</a:t>
            </a:r>
            <a:r>
              <a:rPr lang="hr-HR" sz="1200" baseline="0"/>
              <a:t> 2010.-20</a:t>
            </a:r>
            <a:r>
              <a:rPr lang="en-US" sz="1200" baseline="0"/>
              <a:t>2</a:t>
            </a:r>
            <a:r>
              <a:rPr lang="hr-HR" sz="1200" baseline="0"/>
              <a:t>4.</a:t>
            </a:r>
            <a:r>
              <a:rPr lang="en-US" sz="1200" baseline="0"/>
              <a:t> i 1-6/2025.</a:t>
            </a:r>
            <a:r>
              <a:rPr lang="hr-HR" sz="1200" baseline="0"/>
              <a:t> </a:t>
            </a:r>
            <a:endParaRPr lang="en-US" sz="1200"/>
          </a:p>
        </c:rich>
      </c:tx>
      <c:layout>
        <c:manualLayout>
          <c:xMode val="edge"/>
          <c:yMode val="edge"/>
          <c:x val="0.27414498254922437"/>
          <c:y val="2.2535211267605635E-2"/>
        </c:manualLayout>
      </c:layout>
      <c:overlay val="0"/>
    </c:title>
    <c:autoTitleDeleted val="0"/>
    <c:plotArea>
      <c:layout>
        <c:manualLayout>
          <c:layoutTarget val="inner"/>
          <c:xMode val="edge"/>
          <c:yMode val="edge"/>
          <c:x val="0.15934711441154434"/>
          <c:y val="0.1139235644324947"/>
          <c:w val="0.79322112141585222"/>
          <c:h val="0.71416643897430798"/>
        </c:manualLayout>
      </c:layout>
      <c:lineChart>
        <c:grouping val="stacked"/>
        <c:varyColors val="0"/>
        <c:ser>
          <c:idx val="0"/>
          <c:order val="0"/>
          <c:tx>
            <c:strRef>
              <c:f>List1!$B$1</c:f>
              <c:strCache>
                <c:ptCount val="1"/>
                <c:pt idx="0">
                  <c:v>611 porez i prirez na dohodak</c:v>
                </c:pt>
              </c:strCache>
            </c:strRef>
          </c:tx>
          <c:spPr>
            <a:ln w="22225"/>
          </c:spPr>
          <c:marker>
            <c:symbol val="x"/>
            <c:size val="4"/>
            <c:spPr>
              <a:solidFill>
                <a:schemeClr val="tx2"/>
              </a:solidFill>
              <a:ln>
                <a:noFill/>
              </a:ln>
            </c:spPr>
          </c:marker>
          <c:dLbls>
            <c:dLbl>
              <c:idx val="0"/>
              <c:layout>
                <c:manualLayout>
                  <c:x val="-3.1362007168458779E-2"/>
                  <c:y val="3.0046948356807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AF-4AEF-AE22-3B86B3FAF659}"/>
                </c:ext>
              </c:extLst>
            </c:dLbl>
            <c:dLbl>
              <c:idx val="2"/>
              <c:layout>
                <c:manualLayout>
                  <c:x val="-2.4678501208854269E-2"/>
                  <c:y val="4.9122620235850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9E-4858-9C25-34189B930A48}"/>
                </c:ext>
              </c:extLst>
            </c:dLbl>
            <c:dLbl>
              <c:idx val="3"/>
              <c:layout>
                <c:manualLayout>
                  <c:x val="-1.493428912783757E-2"/>
                  <c:y val="3.830512735203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9E-4858-9C25-34189B930A48}"/>
                </c:ext>
              </c:extLst>
            </c:dLbl>
            <c:dLbl>
              <c:idx val="4"/>
              <c:layout>
                <c:manualLayout>
                  <c:x val="1.4934289127838062E-3"/>
                  <c:y val="1.87793427230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AF-4AEF-AE22-3B86B3FAF659}"/>
                </c:ext>
              </c:extLst>
            </c:dLbl>
            <c:dLbl>
              <c:idx val="5"/>
              <c:layout>
                <c:manualLayout>
                  <c:x val="-4.519468668566972E-2"/>
                  <c:y val="5.9039296144319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9E-4858-9C25-34189B930A48}"/>
                </c:ext>
              </c:extLst>
            </c:dLbl>
            <c:dLbl>
              <c:idx val="6"/>
              <c:layout>
                <c:manualLayout>
                  <c:x val="-2.986857825567503E-2"/>
                  <c:y val="-5.017692506746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9E-4858-9C25-34189B930A48}"/>
                </c:ext>
              </c:extLst>
            </c:dLbl>
            <c:dLbl>
              <c:idx val="7"/>
              <c:layout>
                <c:manualLayout>
                  <c:x val="-3.5842293906810145E-2"/>
                  <c:y val="4.1610883146648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9E-4858-9C25-34189B930A48}"/>
                </c:ext>
              </c:extLst>
            </c:dLbl>
            <c:dLbl>
              <c:idx val="8"/>
              <c:layout>
                <c:manualLayout>
                  <c:x val="-3.5728786033292735E-2"/>
                  <c:y val="-7.4189189189189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9E-4858-9C25-34189B930A48}"/>
                </c:ext>
              </c:extLst>
            </c:dLbl>
            <c:dLbl>
              <c:idx val="9"/>
              <c:layout>
                <c:manualLayout>
                  <c:x val="0"/>
                  <c:y val="-1.87793427230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AF-4AEF-AE22-3B86B3FAF659}"/>
                </c:ext>
              </c:extLst>
            </c:dLbl>
            <c:dLbl>
              <c:idx val="10"/>
              <c:layout>
                <c:manualLayout>
                  <c:x val="-5.3763440860215166E-2"/>
                  <c:y val="5.6338028169014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75-4991-904C-C4A4B9F4D220}"/>
                </c:ext>
              </c:extLst>
            </c:dLbl>
            <c:dLbl>
              <c:idx val="11"/>
              <c:layout>
                <c:manualLayout>
                  <c:x val="-4.1816009557945039E-2"/>
                  <c:y val="-6.7605633802816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75-4991-904C-C4A4B9F4D220}"/>
                </c:ext>
              </c:extLst>
            </c:dLbl>
            <c:dLbl>
              <c:idx val="12"/>
              <c:layout>
                <c:manualLayout>
                  <c:x val="-1.0951685512275263E-16"/>
                  <c:y val="-7.5117370892018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2B-4DD9-9998-7AAD45217EA3}"/>
                </c:ext>
              </c:extLst>
            </c:dLbl>
            <c:dLbl>
              <c:idx val="13"/>
              <c:layout>
                <c:manualLayout>
                  <c:x val="0"/>
                  <c:y val="5.2582159624413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AF-4AEF-AE22-3B86B3FAF659}"/>
                </c:ext>
              </c:extLst>
            </c:dLbl>
            <c:dLbl>
              <c:idx val="14"/>
              <c:layout>
                <c:manualLayout>
                  <c:x val="0"/>
                  <c:y val="3.0046948356807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12-4815-A543-0A2CE8F58EE0}"/>
                </c:ext>
              </c:extLst>
            </c:dLbl>
            <c:dLbl>
              <c:idx val="15"/>
              <c:layout>
                <c:manualLayout>
                  <c:x val="-1.7921146953405017E-2"/>
                  <c:y val="3.380281690140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26-4BE9-815C-8A260B677139}"/>
                </c:ext>
              </c:extLst>
            </c:dLbl>
            <c:spPr>
              <a:ln>
                <a:noFill/>
              </a:ln>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List1!$A$2:$A$17</c:f>
              <c:strCach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1-6/2025.</c:v>
                </c:pt>
              </c:strCache>
            </c:strRef>
          </c:cat>
          <c:val>
            <c:numRef>
              <c:f>List1!$B$2:$B$17</c:f>
              <c:numCache>
                <c:formatCode>#,##0.00</c:formatCode>
                <c:ptCount val="16"/>
                <c:pt idx="0">
                  <c:v>3902927.9978764351</c:v>
                </c:pt>
                <c:pt idx="1">
                  <c:v>4732491.4725595592</c:v>
                </c:pt>
                <c:pt idx="2">
                  <c:v>3963254.7614307515</c:v>
                </c:pt>
                <c:pt idx="3">
                  <c:v>4145204.2909283959</c:v>
                </c:pt>
                <c:pt idx="4">
                  <c:v>4408842.9676819956</c:v>
                </c:pt>
                <c:pt idx="5">
                  <c:v>2601892.2675691815</c:v>
                </c:pt>
                <c:pt idx="6">
                  <c:v>2872304.0215010946</c:v>
                </c:pt>
                <c:pt idx="7">
                  <c:v>2661228.8419934968</c:v>
                </c:pt>
                <c:pt idx="8">
                  <c:v>3263034.0314553054</c:v>
                </c:pt>
                <c:pt idx="9">
                  <c:v>3535710.6987855863</c:v>
                </c:pt>
                <c:pt idx="10">
                  <c:v>2285866.8577875108</c:v>
                </c:pt>
                <c:pt idx="11">
                  <c:v>2296723.2145464197</c:v>
                </c:pt>
                <c:pt idx="12">
                  <c:v>3511175.966553852</c:v>
                </c:pt>
                <c:pt idx="13">
                  <c:v>5179821.16</c:v>
                </c:pt>
                <c:pt idx="14">
                  <c:v>6068112.1399999997</c:v>
                </c:pt>
                <c:pt idx="15">
                  <c:v>2846748.2</c:v>
                </c:pt>
              </c:numCache>
            </c:numRef>
          </c:val>
          <c:smooth val="0"/>
          <c:extLst>
            <c:ext xmlns:c16="http://schemas.microsoft.com/office/drawing/2014/chart" uri="{C3380CC4-5D6E-409C-BE32-E72D297353CC}">
              <c16:uniqueId val="{00000006-9B9E-4858-9C25-34189B930A48}"/>
            </c:ext>
          </c:extLst>
        </c:ser>
        <c:dLbls>
          <c:showLegendKey val="0"/>
          <c:showVal val="0"/>
          <c:showCatName val="0"/>
          <c:showSerName val="0"/>
          <c:showPercent val="0"/>
          <c:showBubbleSize val="0"/>
        </c:dLbls>
        <c:marker val="1"/>
        <c:smooth val="0"/>
        <c:axId val="214913024"/>
        <c:axId val="204842688"/>
      </c:lineChart>
      <c:catAx>
        <c:axId val="214913024"/>
        <c:scaling>
          <c:orientation val="minMax"/>
        </c:scaling>
        <c:delete val="0"/>
        <c:axPos val="b"/>
        <c:title>
          <c:tx>
            <c:rich>
              <a:bodyPr/>
              <a:lstStyle/>
              <a:p>
                <a:pPr>
                  <a:defRPr sz="1050"/>
                </a:pPr>
                <a:r>
                  <a:rPr lang="hr-HR" sz="1050"/>
                  <a:t>Godina</a:t>
                </a:r>
              </a:p>
            </c:rich>
          </c:tx>
          <c:layout>
            <c:manualLayout>
              <c:xMode val="edge"/>
              <c:yMode val="edge"/>
              <c:x val="0.45124213303982164"/>
              <c:y val="0.94289187091050242"/>
            </c:manualLayout>
          </c:layout>
          <c:overlay val="0"/>
        </c:title>
        <c:numFmt formatCode="General" sourceLinked="0"/>
        <c:majorTickMark val="in"/>
        <c:minorTickMark val="none"/>
        <c:tickLblPos val="nextTo"/>
        <c:crossAx val="204842688"/>
        <c:crosses val="autoZero"/>
        <c:auto val="1"/>
        <c:lblAlgn val="ctr"/>
        <c:lblOffset val="100"/>
        <c:tickLblSkip val="1"/>
        <c:noMultiLvlLbl val="0"/>
      </c:catAx>
      <c:valAx>
        <c:axId val="204842688"/>
        <c:scaling>
          <c:orientation val="minMax"/>
        </c:scaling>
        <c:delete val="0"/>
        <c:axPos val="l"/>
        <c:majorGridlines/>
        <c:title>
          <c:tx>
            <c:rich>
              <a:bodyPr/>
              <a:lstStyle/>
              <a:p>
                <a:pPr>
                  <a:defRPr sz="1050"/>
                </a:pPr>
                <a:r>
                  <a:rPr lang="hr-HR" sz="1050"/>
                  <a:t>Iznos (€) </a:t>
                </a:r>
              </a:p>
            </c:rich>
          </c:tx>
          <c:layout>
            <c:manualLayout>
              <c:xMode val="edge"/>
              <c:yMode val="edge"/>
              <c:x val="1.9013466730637165E-2"/>
              <c:y val="0.28990366345051938"/>
            </c:manualLayout>
          </c:layout>
          <c:overlay val="0"/>
        </c:title>
        <c:numFmt formatCode="#,##0" sourceLinked="0"/>
        <c:majorTickMark val="none"/>
        <c:minorTickMark val="none"/>
        <c:tickLblPos val="nextTo"/>
        <c:crossAx val="214913024"/>
        <c:crosses val="autoZero"/>
        <c:crossBetween val="between"/>
      </c:valAx>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 </a:t>
            </a:r>
            <a:r>
              <a:rPr lang="hr-HR"/>
              <a:t>poslovanja (3)</a:t>
            </a:r>
            <a:r>
              <a:rPr lang="hr-HR" baseline="0"/>
              <a:t> za razdoblje </a:t>
            </a:r>
            <a:r>
              <a:rPr lang="en-GB"/>
              <a:t>2015.-</a:t>
            </a:r>
            <a:r>
              <a:rPr lang="hr-HR"/>
              <a:t>20</a:t>
            </a:r>
            <a:r>
              <a:rPr lang="en-US"/>
              <a:t>2</a:t>
            </a:r>
            <a:r>
              <a:rPr lang="hr-HR"/>
              <a:t>4. i 1-6/2025</a:t>
            </a:r>
            <a:r>
              <a:rPr lang="en-US"/>
              <a:t>,</a:t>
            </a:r>
            <a:r>
              <a:rPr lang="hr-HR"/>
              <a:t> </a:t>
            </a:r>
            <a:r>
              <a:rPr lang="en-GB"/>
              <a:t>Općina i </a:t>
            </a:r>
            <a:r>
              <a:rPr lang="hr-HR"/>
              <a:t>PK</a:t>
            </a:r>
            <a:endParaRPr lang="en-GB"/>
          </a:p>
        </c:rich>
      </c:tx>
      <c:layout>
        <c:manualLayout>
          <c:xMode val="edge"/>
          <c:yMode val="edge"/>
          <c:x val="0.31013933116063114"/>
          <c:y val="3.1264091988501434E-2"/>
        </c:manualLayout>
      </c:layout>
      <c:overlay val="0"/>
      <c:spPr>
        <a:noFill/>
        <a:ln w="15257">
          <a:noFill/>
        </a:ln>
      </c:spPr>
    </c:title>
    <c:autoTitleDeleted val="0"/>
    <c:plotArea>
      <c:layout>
        <c:manualLayout>
          <c:layoutTarget val="inner"/>
          <c:xMode val="edge"/>
          <c:yMode val="edge"/>
          <c:x val="0.14626392221646106"/>
          <c:y val="0.16946423655085072"/>
          <c:w val="0.64600856631423853"/>
          <c:h val="0.55565405722886041"/>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sz="700"/>
                    </a:pPr>
                    <a:r>
                      <a:rPr lang="en-US" sz="700"/>
                      <a:t>64,4%</a:t>
                    </a:r>
                  </a:p>
                </c:rich>
              </c:tx>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D944-4641-84A1-019DEB9E1653}"/>
                </c:ext>
              </c:extLst>
            </c:dLbl>
            <c:dLbl>
              <c:idx val="1"/>
              <c:tx>
                <c:rich>
                  <a:bodyPr/>
                  <a:lstStyle/>
                  <a:p>
                    <a:r>
                      <a:rPr lang="en-US"/>
                      <a:t>64,0%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944-4641-84A1-019DEB9E1653}"/>
                </c:ext>
              </c:extLst>
            </c:dLbl>
            <c:dLbl>
              <c:idx val="2"/>
              <c:tx>
                <c:rich>
                  <a:bodyPr/>
                  <a:lstStyle/>
                  <a:p>
                    <a:r>
                      <a:rPr lang="en-US"/>
                      <a:t>58,1%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944-4641-84A1-019DEB9E1653}"/>
                </c:ext>
              </c:extLst>
            </c:dLbl>
            <c:dLbl>
              <c:idx val="3"/>
              <c:tx>
                <c:rich>
                  <a:bodyPr/>
                  <a:lstStyle/>
                  <a:p>
                    <a:r>
                      <a:rPr lang="en-US"/>
                      <a:t>59,2%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944-4641-84A1-019DEB9E1653}"/>
                </c:ext>
              </c:extLst>
            </c:dLbl>
            <c:dLbl>
              <c:idx val="4"/>
              <c:layout>
                <c:manualLayout>
                  <c:x val="1.3748539217707111E-3"/>
                  <c:y val="0"/>
                </c:manualLayout>
              </c:layout>
              <c:tx>
                <c:rich>
                  <a:bodyPr/>
                  <a:lstStyle/>
                  <a:p>
                    <a:r>
                      <a:rPr lang="en-US"/>
                      <a:t>61,2%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944-4641-84A1-019DEB9E1653}"/>
                </c:ext>
              </c:extLst>
            </c:dLbl>
            <c:dLbl>
              <c:idx val="5"/>
              <c:tx>
                <c:rich>
                  <a:bodyPr/>
                  <a:lstStyle/>
                  <a:p>
                    <a:r>
                      <a:rPr lang="en-US"/>
                      <a:t>56,2%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B8B-43FC-A17B-20203CACDF1E}"/>
                </c:ext>
              </c:extLst>
            </c:dLbl>
            <c:dLbl>
              <c:idx val="6"/>
              <c:tx>
                <c:rich>
                  <a:bodyPr/>
                  <a:lstStyle/>
                  <a:p>
                    <a:fld id="{F67D4FA8-C4D5-452C-97B2-1A9CBA9B63B3}"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{F67D4FA8-C4D5-452C-97B2-1A9CBA9B63B3}</c15:txfldGUID>
                      <c15:f>Sheet1!$H$7</c15:f>
                      <c15:dlblFieldTableCache>
                        <c:ptCount val="1"/>
                        <c:pt idx="0">
                          <c:v>55,2%</c:v>
                        </c:pt>
                      </c15:dlblFieldTableCache>
                    </c15:dlblFTEntry>
                  </c15:dlblFieldTable>
                  <c15:showDataLabelsRange val="0"/>
                </c:ext>
                <c:ext xmlns:c16="http://schemas.microsoft.com/office/drawing/2014/chart" uri="{C3380CC4-5D6E-409C-BE32-E72D297353CC}">
                  <c16:uniqueId val="{00000002-F1EC-476E-A606-6BCBDADE8107}"/>
                </c:ext>
              </c:extLst>
            </c:dLbl>
            <c:dLbl>
              <c:idx val="7"/>
              <c:tx>
                <c:rich>
                  <a:bodyPr/>
                  <a:lstStyle/>
                  <a:p>
                    <a:fld id="{4D811209-02D6-41DD-9A86-5C1C50741DD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{4D811209-02D6-41DD-9A86-5C1C50741DDF}</c15:txfldGUID>
                      <c15:f>Sheet1!$I$7</c15:f>
                      <c15:dlblFieldTableCache>
                        <c:ptCount val="1"/>
                        <c:pt idx="0">
                          <c:v>58,1%</c:v>
                        </c:pt>
                      </c15:dlblFieldTableCache>
                    </c15:dlblFTEntry>
                  </c15:dlblFieldTable>
                  <c15:showDataLabelsRange val="0"/>
                </c:ext>
                <c:ext xmlns:c16="http://schemas.microsoft.com/office/drawing/2014/chart" uri="{C3380CC4-5D6E-409C-BE32-E72D297353CC}">
                  <c16:uniqueId val="{00000001-C7F1-4A79-8DF6-D56E6193B50D}"/>
                </c:ext>
              </c:extLst>
            </c:dLbl>
            <c:dLbl>
              <c:idx val="8"/>
              <c:tx>
                <c:rich>
                  <a:bodyPr/>
                  <a:lstStyle/>
                  <a:p>
                    <a:fld id="{239072FF-013C-45A9-B562-1416A5D36CA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{239072FF-013C-45A9-B562-1416A5D36CAF}</c15:txfldGUID>
                      <c15:f>Sheet1!$J$7</c15:f>
                      <c15:dlblFieldTableCache>
                        <c:ptCount val="1"/>
                        <c:pt idx="0">
                          <c:v>58,8%</c:v>
                        </c:pt>
                      </c15:dlblFieldTableCache>
                    </c15:dlblFTEntry>
                  </c15:dlblFieldTable>
                  <c15:showDataLabelsRange val="0"/>
                </c:ext>
                <c:ext xmlns:c16="http://schemas.microsoft.com/office/drawing/2014/chart" uri="{C3380CC4-5D6E-409C-BE32-E72D297353CC}">
                  <c16:uniqueId val="{00000001-956B-49B6-90C7-911BFDA937C8}"/>
                </c:ext>
              </c:extLst>
            </c:dLbl>
            <c:dLbl>
              <c:idx val="9"/>
              <c:tx>
                <c:rich>
                  <a:bodyPr/>
                  <a:lstStyle/>
                  <a:p>
                    <a:fld id="{89D7BABF-D44A-4141-830C-27190FAD4732}"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{89D7BABF-D44A-4141-830C-27190FAD4732}</c15:txfldGUID>
                      <c15:f>Sheet1!$K$7</c15:f>
                      <c15:dlblFieldTableCache>
                        <c:ptCount val="1"/>
                        <c:pt idx="0">
                          <c:v>58,1%</c:v>
                        </c:pt>
                      </c15:dlblFieldTableCache>
                    </c15:dlblFTEntry>
                  </c15:dlblFieldTable>
                  <c15:showDataLabelsRange val="0"/>
                </c:ext>
                <c:ext xmlns:c16="http://schemas.microsoft.com/office/drawing/2014/chart" uri="{C3380CC4-5D6E-409C-BE32-E72D297353CC}">
                  <c16:uniqueId val="{00000001-BB07-4B14-A55B-0ABF7E801749}"/>
                </c:ext>
              </c:extLst>
            </c:dLbl>
            <c:dLbl>
              <c:idx val="10"/>
              <c:tx>
                <c:rich>
                  <a:bodyPr/>
                  <a:lstStyle/>
                  <a:p>
                    <a:fld id="{8B4F826F-A2D1-4138-AED5-3A81AFC791F3}"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{8B4F826F-A2D1-4138-AED5-3A81AFC791F3}</c15:txfldGUID>
                      <c15:f>Sheet1!$L$7</c15:f>
                      <c15:dlblFieldTableCache>
                        <c:ptCount val="1"/>
                        <c:pt idx="0">
                          <c:v>54,8%</c:v>
                        </c:pt>
                      </c15:dlblFieldTableCache>
                    </c15:dlblFTEntry>
                  </c15:dlblFieldTable>
                  <c15:showDataLabelsRange val="0"/>
                </c:ext>
                <c:ext xmlns:c16="http://schemas.microsoft.com/office/drawing/2014/chart" uri="{C3380CC4-5D6E-409C-BE32-E72D297353CC}">
                  <c16:uniqueId val="{00000001-3F05-4410-889A-A0F9212A10A4}"/>
                </c:ext>
              </c:extLst>
            </c:dLbl>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2015.</c:v>
                </c:pt>
                <c:pt idx="1">
                  <c:v>2016.</c:v>
                </c:pt>
                <c:pt idx="2">
                  <c:v>2017.</c:v>
                </c:pt>
                <c:pt idx="3">
                  <c:v>2018.</c:v>
                </c:pt>
                <c:pt idx="4">
                  <c:v>2019.</c:v>
                </c:pt>
                <c:pt idx="5">
                  <c:v> 2020.</c:v>
                </c:pt>
                <c:pt idx="6">
                  <c:v>2021.</c:v>
                </c:pt>
                <c:pt idx="7">
                  <c:v>2022.</c:v>
                </c:pt>
                <c:pt idx="8">
                  <c:v>2023.</c:v>
                </c:pt>
                <c:pt idx="9">
                  <c:v>2024.</c:v>
                </c:pt>
                <c:pt idx="10">
                  <c:v>1-6/2025.</c:v>
                </c:pt>
              </c:strCache>
            </c:strRef>
          </c:cat>
          <c:val>
            <c:numRef>
              <c:f>Sheet1!$B$2:$L$2</c:f>
              <c:numCache>
                <c:formatCode>#,##0.00</c:formatCode>
                <c:ptCount val="11"/>
                <c:pt idx="0">
                  <c:v>3329926.4715641383</c:v>
                </c:pt>
                <c:pt idx="1">
                  <c:v>4055929.5241887318</c:v>
                </c:pt>
                <c:pt idx="2">
                  <c:v>4015343.4202667726</c:v>
                </c:pt>
                <c:pt idx="3">
                  <c:v>4489438.0516291726</c:v>
                </c:pt>
                <c:pt idx="4">
                  <c:v>5324763.460083615</c:v>
                </c:pt>
                <c:pt idx="5">
                  <c:v>3642465.3951821616</c:v>
                </c:pt>
                <c:pt idx="6">
                  <c:v>3967186.2286813986</c:v>
                </c:pt>
                <c:pt idx="7">
                  <c:v>4708456.3222509781</c:v>
                </c:pt>
                <c:pt idx="8">
                  <c:v>5865062.7599999998</c:v>
                </c:pt>
                <c:pt idx="9">
                  <c:v>7012674.04</c:v>
                </c:pt>
                <c:pt idx="10">
                  <c:v>3569258.46</c:v>
                </c:pt>
              </c:numCache>
            </c:numRef>
          </c:val>
          <c:extLst>
            <c:ext xmlns:c16="http://schemas.microsoft.com/office/drawing/2014/chart" uri="{C3380CC4-5D6E-409C-BE32-E72D297353CC}">
              <c16:uniqueId val="{00000000-D944-4641-84A1-019DEB9E1653}"/>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0"/>
                  <c:y val="4.232804232804155E-3"/>
                </c:manualLayout>
              </c:layout>
              <c:tx>
                <c:rich>
                  <a:bodyPr/>
                  <a:lstStyle/>
                  <a:p>
                    <a:r>
                      <a:rPr lang="en-US"/>
                      <a:t>35,6%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944-4641-84A1-019DEB9E1653}"/>
                </c:ext>
              </c:extLst>
            </c:dLbl>
            <c:dLbl>
              <c:idx val="1"/>
              <c:layout>
                <c:manualLayout>
                  <c:x val="2.7497078435416238E-3"/>
                  <c:y val="-4.2328042328042331E-3"/>
                </c:manualLayout>
              </c:layout>
              <c:tx>
                <c:rich>
                  <a:bodyPr/>
                  <a:lstStyle/>
                  <a:p>
                    <a:r>
                      <a:rPr lang="en-US"/>
                      <a:t>36,0%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944-4641-84A1-019DEB9E1653}"/>
                </c:ext>
              </c:extLst>
            </c:dLbl>
            <c:dLbl>
              <c:idx val="2"/>
              <c:layout>
                <c:manualLayout>
                  <c:x val="-1.0082145623179372E-16"/>
                  <c:y val="-1.6931216931216932E-2"/>
                </c:manualLayout>
              </c:layout>
              <c:tx>
                <c:rich>
                  <a:bodyPr/>
                  <a:lstStyle/>
                  <a:p>
                    <a:r>
                      <a:rPr lang="en-US"/>
                      <a:t>41,9%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944-4641-84A1-019DEB9E1653}"/>
                </c:ext>
              </c:extLst>
            </c:dLbl>
            <c:dLbl>
              <c:idx val="3"/>
              <c:layout>
                <c:manualLayout>
                  <c:x val="0"/>
                  <c:y val="8.4656084656084662E-3"/>
                </c:manualLayout>
              </c:layout>
              <c:tx>
                <c:rich>
                  <a:bodyPr/>
                  <a:lstStyle/>
                  <a:p>
                    <a:r>
                      <a:rPr lang="en-US"/>
                      <a:t>40,8%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944-4641-84A1-019DEB9E1653}"/>
                </c:ext>
              </c:extLst>
            </c:dLbl>
            <c:dLbl>
              <c:idx val="4"/>
              <c:layout>
                <c:manualLayout>
                  <c:x val="0"/>
                  <c:y val="4.2328042328041941E-3"/>
                </c:manualLayout>
              </c:layout>
              <c:tx>
                <c:rich>
                  <a:bodyPr/>
                  <a:lstStyle/>
                  <a:p>
                    <a:r>
                      <a:rPr lang="en-US"/>
                      <a:t>38,8%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944-4641-84A1-019DEB9E1653}"/>
                </c:ext>
              </c:extLst>
            </c:dLbl>
            <c:dLbl>
              <c:idx val="5"/>
              <c:layout>
                <c:manualLayout>
                  <c:x val="0"/>
                  <c:y val="-1.2698412698412698E-2"/>
                </c:manualLayout>
              </c:layout>
              <c:tx>
                <c:rich>
                  <a:bodyPr/>
                  <a:lstStyle/>
                  <a:p>
                    <a:r>
                      <a:rPr lang="en-US"/>
                      <a:t>43,8%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B8B-43FC-A17B-20203CACDF1E}"/>
                </c:ext>
              </c:extLst>
            </c:dLbl>
            <c:dLbl>
              <c:idx val="6"/>
              <c:tx>
                <c:rich>
                  <a:bodyPr/>
                  <a:lstStyle/>
                  <a:p>
                    <a:fld id="{3B4D5AAC-E6A8-444E-87FE-F3C8D47AEA2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{3B4D5AAC-E6A8-444E-87FE-F3C8D47AEA24}</c15:txfldGUID>
                      <c15:f>Sheet1!$H$8</c15:f>
                      <c15:dlblFieldTableCache>
                        <c:ptCount val="1"/>
                        <c:pt idx="0">
                          <c:v>44,8%</c:v>
                        </c:pt>
                      </c15:dlblFieldTableCache>
                    </c15:dlblFTEntry>
                  </c15:dlblFieldTable>
                  <c15:showDataLabelsRange val="0"/>
                </c:ext>
                <c:ext xmlns:c16="http://schemas.microsoft.com/office/drawing/2014/chart" uri="{C3380CC4-5D6E-409C-BE32-E72D297353CC}">
                  <c16:uniqueId val="{00000001-F1EC-476E-A606-6BCBDADE8107}"/>
                </c:ext>
              </c:extLst>
            </c:dLbl>
            <c:dLbl>
              <c:idx val="7"/>
              <c:tx>
                <c:rich>
                  <a:bodyPr/>
                  <a:lstStyle/>
                  <a:p>
                    <a:fld id="{06B12476-63C5-4759-8D60-ADEC56D111A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{06B12476-63C5-4759-8D60-ADEC56D111AC}</c15:txfldGUID>
                      <c15:f>Sheet1!$I$8</c15:f>
                      <c15:dlblFieldTableCache>
                        <c:ptCount val="1"/>
                        <c:pt idx="0">
                          <c:v>41,9%</c:v>
                        </c:pt>
                      </c15:dlblFieldTableCache>
                    </c15:dlblFTEntry>
                  </c15:dlblFieldTable>
                  <c15:showDataLabelsRange val="0"/>
                </c:ext>
                <c:ext xmlns:c16="http://schemas.microsoft.com/office/drawing/2014/chart" uri="{C3380CC4-5D6E-409C-BE32-E72D297353CC}">
                  <c16:uniqueId val="{00000000-C7F1-4A79-8DF6-D56E6193B50D}"/>
                </c:ext>
              </c:extLst>
            </c:dLbl>
            <c:dLbl>
              <c:idx val="8"/>
              <c:tx>
                <c:rich>
                  <a:bodyPr/>
                  <a:lstStyle/>
                  <a:p>
                    <a:fld id="{C148CA40-3E1E-4DE5-9692-C1B5FD63AE6E}"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{C148CA40-3E1E-4DE5-9692-C1B5FD63AE6E}</c15:txfldGUID>
                      <c15:f>Sheet1!$J$8</c15:f>
                      <c15:dlblFieldTableCache>
                        <c:ptCount val="1"/>
                        <c:pt idx="0">
                          <c:v>41,2%</c:v>
                        </c:pt>
                      </c15:dlblFieldTableCache>
                    </c15:dlblFTEntry>
                  </c15:dlblFieldTable>
                  <c15:showDataLabelsRange val="0"/>
                </c:ext>
                <c:ext xmlns:c16="http://schemas.microsoft.com/office/drawing/2014/chart" uri="{C3380CC4-5D6E-409C-BE32-E72D297353CC}">
                  <c16:uniqueId val="{00000000-956B-49B6-90C7-911BFDA937C8}"/>
                </c:ext>
              </c:extLst>
            </c:dLbl>
            <c:dLbl>
              <c:idx val="9"/>
              <c:tx>
                <c:rich>
                  <a:bodyPr/>
                  <a:lstStyle/>
                  <a:p>
                    <a:fld id="{C5EBDF62-E9EC-473F-B83A-BAF186028362}"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{C5EBDF62-E9EC-473F-B83A-BAF186028362}</c15:txfldGUID>
                      <c15:f>Sheet1!$K$8</c15:f>
                      <c15:dlblFieldTableCache>
                        <c:ptCount val="1"/>
                        <c:pt idx="0">
                          <c:v>41,9%</c:v>
                        </c:pt>
                      </c15:dlblFieldTableCache>
                    </c15:dlblFTEntry>
                  </c15:dlblFieldTable>
                  <c15:showDataLabelsRange val="0"/>
                </c:ext>
                <c:ext xmlns:c16="http://schemas.microsoft.com/office/drawing/2014/chart" uri="{C3380CC4-5D6E-409C-BE32-E72D297353CC}">
                  <c16:uniqueId val="{00000000-BB07-4B14-A55B-0ABF7E801749}"/>
                </c:ext>
              </c:extLst>
            </c:dLbl>
            <c:dLbl>
              <c:idx val="10"/>
              <c:tx>
                <c:rich>
                  <a:bodyPr/>
                  <a:lstStyle/>
                  <a:p>
                    <a:fld id="{0B204057-BFB1-4F16-B479-E3FA67409AA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{0B204057-BFB1-4F16-B479-E3FA67409AA8}</c15:txfldGUID>
                      <c15:f>Sheet1!$L$8</c15:f>
                      <c15:dlblFieldTableCache>
                        <c:ptCount val="1"/>
                        <c:pt idx="0">
                          <c:v>45,2%</c:v>
                        </c:pt>
                      </c15:dlblFieldTableCache>
                    </c15:dlblFTEntry>
                  </c15:dlblFieldTable>
                  <c15:showDataLabelsRange val="0"/>
                </c:ext>
                <c:ext xmlns:c16="http://schemas.microsoft.com/office/drawing/2014/chart" uri="{C3380CC4-5D6E-409C-BE32-E72D297353CC}">
                  <c16:uniqueId val="{00000000-3F05-4410-889A-A0F9212A10A4}"/>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2015.</c:v>
                </c:pt>
                <c:pt idx="1">
                  <c:v>2016.</c:v>
                </c:pt>
                <c:pt idx="2">
                  <c:v>2017.</c:v>
                </c:pt>
                <c:pt idx="3">
                  <c:v>2018.</c:v>
                </c:pt>
                <c:pt idx="4">
                  <c:v>2019.</c:v>
                </c:pt>
                <c:pt idx="5">
                  <c:v> 2020.</c:v>
                </c:pt>
                <c:pt idx="6">
                  <c:v>2021.</c:v>
                </c:pt>
                <c:pt idx="7">
                  <c:v>2022.</c:v>
                </c:pt>
                <c:pt idx="8">
                  <c:v>2023.</c:v>
                </c:pt>
                <c:pt idx="9">
                  <c:v>2024.</c:v>
                </c:pt>
                <c:pt idx="10">
                  <c:v>1-6/2025.</c:v>
                </c:pt>
              </c:strCache>
            </c:strRef>
          </c:cat>
          <c:val>
            <c:numRef>
              <c:f>Sheet1!$B$3:$L$3</c:f>
              <c:numCache>
                <c:formatCode>#,##0.00</c:formatCode>
                <c:ptCount val="11"/>
                <c:pt idx="0">
                  <c:v>1836954.276992501</c:v>
                </c:pt>
                <c:pt idx="1">
                  <c:v>2284034.5079301875</c:v>
                </c:pt>
                <c:pt idx="2">
                  <c:v>2901639.7902979627</c:v>
                </c:pt>
                <c:pt idx="3">
                  <c:v>3097678.2799124029</c:v>
                </c:pt>
                <c:pt idx="4">
                  <c:v>3372280.6105249189</c:v>
                </c:pt>
                <c:pt idx="5">
                  <c:v>2837580.9197690622</c:v>
                </c:pt>
                <c:pt idx="6">
                  <c:v>3213601.4095162251</c:v>
                </c:pt>
                <c:pt idx="7">
                  <c:v>3396198.8718561279</c:v>
                </c:pt>
                <c:pt idx="8">
                  <c:v>4108598.61</c:v>
                </c:pt>
                <c:pt idx="9">
                  <c:v>5064250.96</c:v>
                </c:pt>
                <c:pt idx="10">
                  <c:v>2948424.12</c:v>
                </c:pt>
              </c:numCache>
            </c:numRef>
          </c:val>
          <c:extLst>
            <c:ext xmlns:c16="http://schemas.microsoft.com/office/drawing/2014/chart" uri="{C3380CC4-5D6E-409C-BE32-E72D297353CC}">
              <c16:uniqueId val="{00000001-D944-4641-84A1-019DEB9E1653}"/>
            </c:ext>
          </c:extLst>
        </c:ser>
        <c:dLbls>
          <c:showLegendKey val="0"/>
          <c:showVal val="0"/>
          <c:showCatName val="0"/>
          <c:showSerName val="0"/>
          <c:showPercent val="0"/>
          <c:showBubbleSize val="0"/>
        </c:dLbls>
        <c:gapWidth val="150"/>
        <c:overlap val="100"/>
        <c:axId val="1135113728"/>
        <c:axId val="1354710336"/>
      </c:barChart>
      <c:catAx>
        <c:axId val="1135113728"/>
        <c:scaling>
          <c:orientation val="minMax"/>
        </c:scaling>
        <c:delete val="0"/>
        <c:axPos val="b"/>
        <c:title>
          <c:tx>
            <c:rich>
              <a:bodyPr/>
              <a:lstStyle/>
              <a:p>
                <a:pPr>
                  <a:defRPr/>
                </a:pPr>
                <a:r>
                  <a:rPr lang="en-GB" sz="1000"/>
                  <a:t>godina</a:t>
                </a:r>
              </a:p>
            </c:rich>
          </c:tx>
          <c:layout>
            <c:manualLayout>
              <c:xMode val="edge"/>
              <c:yMode val="edge"/>
              <c:x val="0.43027421083367023"/>
              <c:y val="0.92871785224799119"/>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1354710336"/>
        <c:crossesAt val="90000000"/>
        <c:auto val="1"/>
        <c:lblAlgn val="ctr"/>
        <c:lblOffset val="100"/>
        <c:tickLblSkip val="1"/>
        <c:tickMarkSkip val="1"/>
        <c:noMultiLvlLbl val="0"/>
      </c:catAx>
      <c:valAx>
        <c:axId val="1354710336"/>
        <c:scaling>
          <c:orientation val="minMax"/>
        </c:scaling>
        <c:delete val="0"/>
        <c:axPos val="l"/>
        <c:majorGridlines/>
        <c:title>
          <c:tx>
            <c:rich>
              <a:bodyPr/>
              <a:lstStyle/>
              <a:p>
                <a:pPr>
                  <a:defRPr sz="900"/>
                </a:pPr>
                <a:r>
                  <a:rPr lang="en-GB" sz="900"/>
                  <a:t>iznos proračuna</a:t>
                </a:r>
                <a:r>
                  <a:rPr lang="hr-HR" sz="900"/>
                  <a:t> (</a:t>
                </a:r>
                <a:r>
                  <a:rPr lang="hr-HR" sz="900" b="1" i="0" u="none" strike="noStrike" kern="1200" baseline="0">
                    <a:solidFill>
                      <a:srgbClr val="000000"/>
                    </a:solidFill>
                    <a:latin typeface="Calibri"/>
                    <a:cs typeface="Calibri"/>
                  </a:rPr>
                  <a:t>€</a:t>
                </a:r>
                <a:r>
                  <a:rPr lang="hr-HR" sz="900"/>
                  <a:t>)</a:t>
                </a:r>
                <a:endParaRPr lang="en-GB" sz="900"/>
              </a:p>
            </c:rich>
          </c:tx>
          <c:layout>
            <c:manualLayout>
              <c:xMode val="edge"/>
              <c:yMode val="edge"/>
              <c:x val="3.6580207841105855E-2"/>
              <c:y val="0.25622763821189021"/>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135113728"/>
        <c:crosses val="autoZero"/>
        <c:crossBetween val="between"/>
      </c:valAx>
      <c:dTable>
        <c:showHorzBorder val="1"/>
        <c:showVertBorder val="1"/>
        <c:showOutline val="1"/>
        <c:showKeys val="1"/>
        <c:txPr>
          <a:bodyPr/>
          <a:lstStyle/>
          <a:p>
            <a:pPr rtl="0">
              <a:defRPr sz="700" baseline="0"/>
            </a:pPr>
            <a:endParaRPr lang="sr-Latn-RS"/>
          </a:p>
        </c:txPr>
      </c:dTable>
      <c:spPr>
        <a:solidFill>
          <a:srgbClr val="EEECE1"/>
        </a:solidFill>
        <a:ln w="7628">
          <a:solidFill>
            <a:srgbClr val="808080"/>
          </a:solidFill>
          <a:prstDash val="solid"/>
        </a:ln>
      </c:spPr>
    </c:plotArea>
    <c:legend>
      <c:legendPos val="r"/>
      <c:layout>
        <c:manualLayout>
          <c:xMode val="edge"/>
          <c:yMode val="edge"/>
          <c:x val="0.84297111345305376"/>
          <c:y val="0.26955697204516105"/>
          <c:w val="0.1051061749885925"/>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 </a:t>
            </a:r>
            <a:r>
              <a:rPr lang="hr-HR"/>
              <a:t>za zaposlene (31)</a:t>
            </a:r>
            <a:r>
              <a:rPr lang="hr-HR" baseline="0"/>
              <a:t> za razdoblje </a:t>
            </a:r>
            <a:r>
              <a:rPr lang="en-GB"/>
              <a:t>2015.-</a:t>
            </a:r>
            <a:r>
              <a:rPr lang="hr-HR"/>
              <a:t>20</a:t>
            </a:r>
            <a:r>
              <a:rPr lang="en-US"/>
              <a:t>2</a:t>
            </a:r>
            <a:r>
              <a:rPr lang="hr-HR"/>
              <a:t>4. i 1-6/2025., </a:t>
            </a:r>
            <a:r>
              <a:rPr lang="en-GB"/>
              <a:t>Općina i </a:t>
            </a:r>
            <a:r>
              <a:rPr lang="hr-HR"/>
              <a:t>PK</a:t>
            </a:r>
            <a:endParaRPr lang="en-GB"/>
          </a:p>
        </c:rich>
      </c:tx>
      <c:layout>
        <c:manualLayout>
          <c:xMode val="edge"/>
          <c:yMode val="edge"/>
          <c:x val="0.30588437632445792"/>
          <c:y val="5.9269961895291913E-2"/>
        </c:manualLayout>
      </c:layout>
      <c:overlay val="0"/>
      <c:spPr>
        <a:noFill/>
        <a:ln w="15257">
          <a:noFill/>
        </a:ln>
      </c:spPr>
    </c:title>
    <c:autoTitleDeleted val="0"/>
    <c:plotArea>
      <c:layout>
        <c:manualLayout>
          <c:layoutTarget val="inner"/>
          <c:xMode val="edge"/>
          <c:yMode val="edge"/>
          <c:x val="0.14626392221646106"/>
          <c:y val="0.1775448977968663"/>
          <c:w val="0.67317154831728043"/>
          <c:h val="0.54757337151037944"/>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layout>
                <c:manualLayout>
                  <c:x val="1.1044384620694415E-2"/>
                  <c:y val="-1.48146436747869E-16"/>
                </c:manualLayout>
              </c:layout>
              <c:tx>
                <c:rich>
                  <a:bodyPr wrap="square" lIns="38100" tIns="19050" rIns="38100" bIns="19050" anchor="ctr">
                    <a:noAutofit/>
                  </a:bodyPr>
                  <a:lstStyle/>
                  <a:p>
                    <a:pPr>
                      <a:defRPr sz="700"/>
                    </a:pPr>
                    <a:r>
                      <a:rPr lang="en-US" sz="700"/>
                      <a:t>25,4%</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F1F0-447D-AC6F-6121D3FE957E}"/>
                </c:ext>
              </c:extLst>
            </c:dLbl>
            <c:dLbl>
              <c:idx val="1"/>
              <c:layout>
                <c:manualLayout>
                  <c:x val="1.2424932698281217E-2"/>
                  <c:y val="0"/>
                </c:manualLayout>
              </c:layout>
              <c:tx>
                <c:rich>
                  <a:bodyPr/>
                  <a:lstStyle/>
                  <a:p>
                    <a:r>
                      <a:rPr lang="en-US"/>
                      <a:t>22,1%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1F0-447D-AC6F-6121D3FE957E}"/>
                </c:ext>
              </c:extLst>
            </c:dLbl>
            <c:dLbl>
              <c:idx val="2"/>
              <c:layout>
                <c:manualLayout>
                  <c:x val="1.3805480775868019E-2"/>
                  <c:y val="0"/>
                </c:manualLayout>
              </c:layout>
              <c:tx>
                <c:rich>
                  <a:bodyPr/>
                  <a:lstStyle/>
                  <a:p>
                    <a:r>
                      <a:rPr lang="en-US"/>
                      <a:t>19,3%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1F0-447D-AC6F-6121D3FE957E}"/>
                </c:ext>
              </c:extLst>
            </c:dLbl>
            <c:dLbl>
              <c:idx val="3"/>
              <c:layout>
                <c:manualLayout>
                  <c:x val="9.663836543107613E-3"/>
                  <c:y val="0"/>
                </c:manualLayout>
              </c:layout>
              <c:tx>
                <c:rich>
                  <a:bodyPr/>
                  <a:lstStyle/>
                  <a:p>
                    <a:r>
                      <a:rPr lang="en-US"/>
                      <a:t>21,1%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1F0-447D-AC6F-6121D3FE957E}"/>
                </c:ext>
              </c:extLst>
            </c:dLbl>
            <c:dLbl>
              <c:idx val="4"/>
              <c:layout>
                <c:manualLayout>
                  <c:x val="4.1245617653124355E-3"/>
                  <c:y val="0"/>
                </c:manualLayout>
              </c:layout>
              <c:tx>
                <c:rich>
                  <a:bodyPr/>
                  <a:lstStyle/>
                  <a:p>
                    <a:r>
                      <a:rPr lang="en-US"/>
                      <a:t>20,4%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1F0-447D-AC6F-6121D3FE957E}"/>
                </c:ext>
              </c:extLst>
            </c:dLbl>
            <c:dLbl>
              <c:idx val="5"/>
              <c:layout>
                <c:manualLayout>
                  <c:x val="9.663836543107613E-3"/>
                  <c:y val="-1.48146436747869E-16"/>
                </c:manualLayout>
              </c:layout>
              <c:tx>
                <c:rich>
                  <a:bodyPr/>
                  <a:lstStyle/>
                  <a:p>
                    <a:r>
                      <a:rPr lang="en-US"/>
                      <a:t>18,4%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833-443B-A262-861C7183D863}"/>
                </c:ext>
              </c:extLst>
            </c:dLbl>
            <c:dLbl>
              <c:idx val="6"/>
              <c:layout>
                <c:manualLayout>
                  <c:x val="1.1119988651242474E-2"/>
                  <c:y val="-4.6892547522469526E-3"/>
                </c:manualLayout>
              </c:layout>
              <c:tx>
                <c:rich>
                  <a:bodyPr wrap="square" lIns="38100" tIns="19050" rIns="38100" bIns="19050" anchor="ctr">
                    <a:noAutofit/>
                  </a:bodyPr>
                  <a:lstStyle/>
                  <a:p>
                    <a:pPr>
                      <a:defRPr sz="700"/>
                    </a:pPr>
                    <a:r>
                      <a:rPr lang="en-US"/>
                      <a:t>18,5%</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3416069782284945E-2"/>
                      <c:h val="3.5381192825691632E-2"/>
                    </c:manualLayout>
                  </c15:layout>
                  <c15:showDataLabelsRange val="0"/>
                </c:ext>
                <c:ext xmlns:c16="http://schemas.microsoft.com/office/drawing/2014/chart" uri="{C3380CC4-5D6E-409C-BE32-E72D297353CC}">
                  <c16:uniqueId val="{00000002-D81D-4F9C-88CF-BF250D22695D}"/>
                </c:ext>
              </c:extLst>
            </c:dLbl>
            <c:dLbl>
              <c:idx val="7"/>
              <c:layout>
                <c:manualLayout>
                  <c:x val="1.2424932698281217E-2"/>
                  <c:y val="-6.6006600660066814E-3"/>
                </c:manualLayout>
              </c:layout>
              <c:tx>
                <c:rich>
                  <a:bodyPr wrap="square" lIns="38100" tIns="19050" rIns="38100" bIns="19050" anchor="ctr">
                    <a:noAutofit/>
                  </a:bodyPr>
                  <a:lstStyle/>
                  <a:p>
                    <a:pPr>
                      <a:defRPr sz="700"/>
                    </a:pPr>
                    <a:fld id="{190285E0-3A08-436B-829A-289FB0E8F35D}" type="CELLREF">
                      <a:rPr lang="en-US"/>
                      <a:pPr>
                        <a:defRPr sz="700"/>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2525712707945055E-2"/>
                      <c:h val="3.7601933421688626E-2"/>
                    </c:manualLayout>
                  </c15:layout>
                  <c15:dlblFieldTable>
                    <c15:dlblFTEntry>
                      <c15:txfldGUID>{190285E0-3A08-436B-829A-289FB0E8F35D}</c15:txfldGUID>
                      <c15:f>Sheet1!$I$7</c15:f>
                      <c15:dlblFieldTableCache>
                        <c:ptCount val="1"/>
                        <c:pt idx="0">
                          <c:v>17,4%</c:v>
                        </c:pt>
                      </c15:dlblFieldTableCache>
                    </c15:dlblFTEntry>
                  </c15:dlblFieldTable>
                  <c15:showDataLabelsRange val="0"/>
                </c:ext>
                <c:ext xmlns:c16="http://schemas.microsoft.com/office/drawing/2014/chart" uri="{C3380CC4-5D6E-409C-BE32-E72D297353CC}">
                  <c16:uniqueId val="{00000001-3D39-45F5-8A9F-BDBF8C393EEC}"/>
                </c:ext>
              </c:extLst>
            </c:dLbl>
            <c:dLbl>
              <c:idx val="8"/>
              <c:layout>
                <c:manualLayout>
                  <c:x val="6.902794740220531E-3"/>
                  <c:y val="8.8008800880088021E-3"/>
                </c:manualLayout>
              </c:layout>
              <c:tx>
                <c:rich>
                  <a:bodyPr wrap="square" lIns="38100" tIns="19050" rIns="38100" bIns="19050" anchor="ctr">
                    <a:noAutofit/>
                  </a:bodyPr>
                  <a:lstStyle/>
                  <a:p>
                    <a:pPr>
                      <a:defRPr sz="700"/>
                    </a:pPr>
                    <a:fld id="{1183E912-0CB7-48EB-AD42-C1ABCCA77D8F}" type="CELLREF">
                      <a:rPr lang="en-US"/>
                      <a:pPr>
                        <a:defRPr sz="700"/>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6667356940705463E-2"/>
                      <c:h val="5.520369359770623E-2"/>
                    </c:manualLayout>
                  </c15:layout>
                  <c15:dlblFieldTable>
                    <c15:dlblFTEntry>
                      <c15:txfldGUID>{1183E912-0CB7-48EB-AD42-C1ABCCA77D8F}</c15:txfldGUID>
                      <c15:f>Sheet1!$J$7</c15:f>
                      <c15:dlblFieldTableCache>
                        <c:ptCount val="1"/>
                        <c:pt idx="0">
                          <c:v>18,3%</c:v>
                        </c:pt>
                      </c15:dlblFieldTableCache>
                    </c15:dlblFTEntry>
                  </c15:dlblFieldTable>
                  <c15:showDataLabelsRange val="0"/>
                </c:ext>
                <c:ext xmlns:c16="http://schemas.microsoft.com/office/drawing/2014/chart" uri="{C3380CC4-5D6E-409C-BE32-E72D297353CC}">
                  <c16:uniqueId val="{00000001-A930-4C48-B681-B344A7A8B16D}"/>
                </c:ext>
              </c:extLst>
            </c:dLbl>
            <c:dLbl>
              <c:idx val="9"/>
              <c:layout>
                <c:manualLayout>
                  <c:x val="8.2832884655207103E-3"/>
                  <c:y val="0"/>
                </c:manualLayout>
              </c:layout>
              <c:tx>
                <c:rich>
                  <a:bodyPr wrap="square" lIns="38100" tIns="19050" rIns="38100" bIns="19050" anchor="ctr">
                    <a:noAutofit/>
                  </a:bodyPr>
                  <a:lstStyle/>
                  <a:p>
                    <a:pPr>
                      <a:defRPr sz="700"/>
                    </a:pPr>
                    <a:fld id="{F4D3BF93-D92C-4DEF-99AB-6971ED590E9F}" type="CELLREF">
                      <a:rPr lang="en-US"/>
                      <a:pPr>
                        <a:defRPr sz="700"/>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2525712707945055E-2"/>
                      <c:h val="3.4525411596277741E-2"/>
                    </c:manualLayout>
                  </c15:layout>
                  <c15:dlblFieldTable>
                    <c15:dlblFTEntry>
                      <c15:txfldGUID>{F4D3BF93-D92C-4DEF-99AB-6971ED590E9F}</c15:txfldGUID>
                      <c15:f>Sheet1!$K$7</c15:f>
                      <c15:dlblFieldTableCache>
                        <c:ptCount val="1"/>
                        <c:pt idx="0">
                          <c:v>18,2%</c:v>
                        </c:pt>
                      </c15:dlblFieldTableCache>
                    </c15:dlblFTEntry>
                  </c15:dlblFieldTable>
                  <c15:showDataLabelsRange val="0"/>
                </c:ext>
                <c:ext xmlns:c16="http://schemas.microsoft.com/office/drawing/2014/chart" uri="{C3380CC4-5D6E-409C-BE32-E72D297353CC}">
                  <c16:uniqueId val="{00000001-1B21-4682-BF12-06635DE43B7B}"/>
                </c:ext>
              </c:extLst>
            </c:dLbl>
            <c:dLbl>
              <c:idx val="10"/>
              <c:layout>
                <c:manualLayout>
                  <c:x val="1.3805480775868019E-2"/>
                  <c:y val="-1.2121212121212269E-2"/>
                </c:manualLayout>
              </c:layout>
              <c:tx>
                <c:rich>
                  <a:bodyPr/>
                  <a:lstStyle/>
                  <a:p>
                    <a:fld id="{97832E33-7595-4CCA-B1E9-4C5918F3D80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{97832E33-7595-4CCA-B1E9-4C5918F3D80B}</c15:txfldGUID>
                      <c15:f>Sheet1!$L$7</c15:f>
                      <c15:dlblFieldTableCache>
                        <c:ptCount val="1"/>
                        <c:pt idx="0">
                          <c:v>16,3%</c:v>
                        </c:pt>
                      </c15:dlblFieldTableCache>
                    </c15:dlblFTEntry>
                  </c15:dlblFieldTable>
                  <c15:showDataLabelsRange val="0"/>
                </c:ext>
                <c:ext xmlns:c16="http://schemas.microsoft.com/office/drawing/2014/chart" uri="{C3380CC4-5D6E-409C-BE32-E72D297353CC}">
                  <c16:uniqueId val="{00000001-EDCC-4C63-9DCD-91BDB6A5F41B}"/>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2015.</c:v>
                </c:pt>
                <c:pt idx="1">
                  <c:v>2016.</c:v>
                </c:pt>
                <c:pt idx="2">
                  <c:v>2017.</c:v>
                </c:pt>
                <c:pt idx="3">
                  <c:v>2018.</c:v>
                </c:pt>
                <c:pt idx="4">
                  <c:v>2019.</c:v>
                </c:pt>
                <c:pt idx="5">
                  <c:v>2020.</c:v>
                </c:pt>
                <c:pt idx="6">
                  <c:v>2021.</c:v>
                </c:pt>
                <c:pt idx="7">
                  <c:v>2022.</c:v>
                </c:pt>
                <c:pt idx="8">
                  <c:v>2023.</c:v>
                </c:pt>
                <c:pt idx="9">
                  <c:v>2024.</c:v>
                </c:pt>
                <c:pt idx="10">
                  <c:v>1-6/2025.</c:v>
                </c:pt>
              </c:strCache>
            </c:strRef>
          </c:cat>
          <c:val>
            <c:numRef>
              <c:f>Sheet1!$B$2:$L$2</c:f>
              <c:numCache>
                <c:formatCode>#,##0.00</c:formatCode>
                <c:ptCount val="11"/>
                <c:pt idx="0">
                  <c:v>453811.73402349197</c:v>
                </c:pt>
                <c:pt idx="1">
                  <c:v>455121.27413896081</c:v>
                </c:pt>
                <c:pt idx="2">
                  <c:v>478033.54170814255</c:v>
                </c:pt>
                <c:pt idx="3">
                  <c:v>598361.52763952478</c:v>
                </c:pt>
                <c:pt idx="4">
                  <c:v>610950.97086734348</c:v>
                </c:pt>
                <c:pt idx="5">
                  <c:v>464925.62744707678</c:v>
                </c:pt>
                <c:pt idx="6">
                  <c:v>549410.6894949897</c:v>
                </c:pt>
                <c:pt idx="7">
                  <c:v>513425.21467914258</c:v>
                </c:pt>
                <c:pt idx="8">
                  <c:v>669196.43000000005</c:v>
                </c:pt>
                <c:pt idx="9">
                  <c:v>872888.16</c:v>
                </c:pt>
                <c:pt idx="10">
                  <c:v>458951.04</c:v>
                </c:pt>
              </c:numCache>
            </c:numRef>
          </c:val>
          <c:extLst>
            <c:ext xmlns:c16="http://schemas.microsoft.com/office/drawing/2014/chart" uri="{C3380CC4-5D6E-409C-BE32-E72D297353CC}">
              <c16:uniqueId val="{00000005-F1F0-447D-AC6F-6121D3FE957E}"/>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2.1276203675731939E-3"/>
                  <c:y val="-3.2306541987058179E-2"/>
                </c:manualLayout>
              </c:layout>
              <c:tx>
                <c:rich>
                  <a:bodyPr wrap="square" lIns="38100" tIns="19050" rIns="38100" bIns="19050" anchor="ctr">
                    <a:noAutofit/>
                  </a:bodyPr>
                  <a:lstStyle/>
                  <a:p>
                    <a:pPr>
                      <a:defRPr sz="700"/>
                    </a:pPr>
                    <a:r>
                      <a:rPr lang="en-US" sz="700"/>
                      <a:t>74,6%</a:t>
                    </a:r>
                  </a:p>
                </c:rich>
              </c:tx>
              <c:spPr>
                <a:solidFill>
                  <a:sysClr val="window" lastClr="FFFFFF"/>
                </a:solidFill>
                <a:ln>
                  <a:noFill/>
                </a:ln>
                <a:effectLst>
                  <a:outerShdw blurRad="50800" dist="38100" dir="5400000" algn="t" rotWithShape="0">
                    <a:prstClr val="black">
                      <a:alpha val="40000"/>
                    </a:prstClr>
                  </a:outerShdw>
                </a:effectLst>
              </c:spPr>
              <c:showLegendKey val="0"/>
              <c:showVal val="1"/>
              <c:showCatName val="0"/>
              <c:showSerName val="0"/>
              <c:showPercent val="0"/>
              <c:showBubbleSize val="0"/>
              <c:extLst>
                <c:ext xmlns:c15="http://schemas.microsoft.com/office/drawing/2012/chart" uri="{CE6537A1-D6FC-4f65-9D91-7224C49458BB}">
                  <c15:layout>
                    <c:manualLayout>
                      <c:w val="3.4160753662972471E-2"/>
                      <c:h val="6.536079238629755E-2"/>
                    </c:manualLayout>
                  </c15:layout>
                  <c15:showDataLabelsRange val="0"/>
                </c:ext>
                <c:ext xmlns:c16="http://schemas.microsoft.com/office/drawing/2014/chart" uri="{C3380CC4-5D6E-409C-BE32-E72D297353CC}">
                  <c16:uniqueId val="{00000006-F1F0-447D-AC6F-6121D3FE957E}"/>
                </c:ext>
              </c:extLst>
            </c:dLbl>
            <c:dLbl>
              <c:idx val="1"/>
              <c:layout>
                <c:manualLayout>
                  <c:x val="-4.3443615714974141E-5"/>
                  <c:y val="-6.5650644783118411E-2"/>
                </c:manualLayout>
              </c:layout>
              <c:tx>
                <c:rich>
                  <a:bodyPr/>
                  <a:lstStyle/>
                  <a:p>
                    <a:r>
                      <a:rPr lang="en-US"/>
                      <a:t>77,9%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1F0-447D-AC6F-6121D3FE957E}"/>
                </c:ext>
              </c:extLst>
            </c:dLbl>
            <c:dLbl>
              <c:idx val="2"/>
              <c:layout>
                <c:manualLayout>
                  <c:x val="-1.4183391248848119E-3"/>
                  <c:y val="-6.096131301289566E-2"/>
                </c:manualLayout>
              </c:layout>
              <c:tx>
                <c:rich>
                  <a:bodyPr/>
                  <a:lstStyle/>
                  <a:p>
                    <a:r>
                      <a:rPr lang="en-US"/>
                      <a:t>80,7%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1F0-447D-AC6F-6121D3FE957E}"/>
                </c:ext>
              </c:extLst>
            </c:dLbl>
            <c:dLbl>
              <c:idx val="3"/>
              <c:layout>
                <c:manualLayout>
                  <c:x val="-1.0401033428862514E-16"/>
                  <c:y val="-8.4407971864009376E-2"/>
                </c:manualLayout>
              </c:layout>
              <c:tx>
                <c:rich>
                  <a:bodyPr/>
                  <a:lstStyle/>
                  <a:p>
                    <a:r>
                      <a:rPr lang="en-US"/>
                      <a:t>78,9%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1F0-447D-AC6F-6121D3FE957E}"/>
                </c:ext>
              </c:extLst>
            </c:dLbl>
            <c:dLbl>
              <c:idx val="4"/>
              <c:layout>
                <c:manualLayout>
                  <c:x val="-1.0401033428862514E-16"/>
                  <c:y val="-0.11723329425556862"/>
                </c:manualLayout>
              </c:layout>
              <c:tx>
                <c:rich>
                  <a:bodyPr/>
                  <a:lstStyle/>
                  <a:p>
                    <a:r>
                      <a:rPr lang="en-US"/>
                      <a:t>79,6%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1F0-447D-AC6F-6121D3FE957E}"/>
                </c:ext>
              </c:extLst>
            </c:dLbl>
            <c:dLbl>
              <c:idx val="5"/>
              <c:layout>
                <c:manualLayout>
                  <c:x val="1.4183391248847599E-3"/>
                  <c:y val="-8.4407971864009376E-2"/>
                </c:manualLayout>
              </c:layout>
              <c:tx>
                <c:rich>
                  <a:bodyPr/>
                  <a:lstStyle/>
                  <a:p>
                    <a:r>
                      <a:rPr lang="en-US"/>
                      <a:t>81,6%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33-443B-A262-861C7183D863}"/>
                </c:ext>
              </c:extLst>
            </c:dLbl>
            <c:dLbl>
              <c:idx val="6"/>
              <c:tx>
                <c:rich>
                  <a:bodyPr/>
                  <a:lstStyle/>
                  <a:p>
                    <a:r>
                      <a:rPr lang="en-US"/>
                      <a:t>81,5%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81D-4F9C-88CF-BF250D22695D}"/>
                </c:ext>
              </c:extLst>
            </c:dLbl>
            <c:dLbl>
              <c:idx val="7"/>
              <c:tx>
                <c:rich>
                  <a:bodyPr/>
                  <a:lstStyle/>
                  <a:p>
                    <a:fld id="{91C9BB51-7D4F-4CDC-8082-03601C8F8052}"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{91C9BB51-7D4F-4CDC-8082-03601C8F8052}</c15:txfldGUID>
                      <c15:f>Sheet1!$I$8</c15:f>
                      <c15:dlblFieldTableCache>
                        <c:ptCount val="1"/>
                        <c:pt idx="0">
                          <c:v>82,6%</c:v>
                        </c:pt>
                      </c15:dlblFieldTableCache>
                    </c15:dlblFTEntry>
                  </c15:dlblFieldTable>
                  <c15:showDataLabelsRange val="0"/>
                </c:ext>
                <c:ext xmlns:c16="http://schemas.microsoft.com/office/drawing/2014/chart" uri="{C3380CC4-5D6E-409C-BE32-E72D297353CC}">
                  <c16:uniqueId val="{00000000-3D39-45F5-8A9F-BDBF8C393EEC}"/>
                </c:ext>
              </c:extLst>
            </c:dLbl>
            <c:dLbl>
              <c:idx val="8"/>
              <c:tx>
                <c:rich>
                  <a:bodyPr/>
                  <a:lstStyle/>
                  <a:p>
                    <a:fld id="{A917181A-E7CD-4EEF-B39D-EF1B5798DD76}"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{A917181A-E7CD-4EEF-B39D-EF1B5798DD76}</c15:txfldGUID>
                      <c15:f>Sheet1!$J$8</c15:f>
                      <c15:dlblFieldTableCache>
                        <c:ptCount val="1"/>
                        <c:pt idx="0">
                          <c:v>81,7%</c:v>
                        </c:pt>
                      </c15:dlblFieldTableCache>
                    </c15:dlblFTEntry>
                  </c15:dlblFieldTable>
                  <c15:showDataLabelsRange val="0"/>
                </c:ext>
                <c:ext xmlns:c16="http://schemas.microsoft.com/office/drawing/2014/chart" uri="{C3380CC4-5D6E-409C-BE32-E72D297353CC}">
                  <c16:uniqueId val="{00000000-A930-4C48-B681-B344A7A8B16D}"/>
                </c:ext>
              </c:extLst>
            </c:dLbl>
            <c:dLbl>
              <c:idx val="9"/>
              <c:tx>
                <c:rich>
                  <a:bodyPr/>
                  <a:lstStyle/>
                  <a:p>
                    <a:fld id="{87364C4A-FAD8-4305-BF81-D7AD524D010A}"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{87364C4A-FAD8-4305-BF81-D7AD524D010A}</c15:txfldGUID>
                      <c15:f>Sheet1!$K$8</c15:f>
                      <c15:dlblFieldTableCache>
                        <c:ptCount val="1"/>
                        <c:pt idx="0">
                          <c:v>81,8%</c:v>
                        </c:pt>
                      </c15:dlblFieldTableCache>
                    </c15:dlblFTEntry>
                  </c15:dlblFieldTable>
                  <c15:showDataLabelsRange val="0"/>
                </c:ext>
                <c:ext xmlns:c16="http://schemas.microsoft.com/office/drawing/2014/chart" uri="{C3380CC4-5D6E-409C-BE32-E72D297353CC}">
                  <c16:uniqueId val="{00000000-1B21-4682-BF12-06635DE43B7B}"/>
                </c:ext>
              </c:extLst>
            </c:dLbl>
            <c:dLbl>
              <c:idx val="10"/>
              <c:layout>
                <c:manualLayout>
                  <c:x val="1.1044384620694415E-2"/>
                  <c:y val="-7.4073218373934501E-17"/>
                </c:manualLayout>
              </c:layout>
              <c:tx>
                <c:rich>
                  <a:bodyPr/>
                  <a:lstStyle/>
                  <a:p>
                    <a:fld id="{1BA859AE-DE18-42F8-B4C1-FF59A90A12E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{1BA859AE-DE18-42F8-B4C1-FF59A90A12EF}</c15:txfldGUID>
                      <c15:f>Sheet1!$L$8</c15:f>
                      <c15:dlblFieldTableCache>
                        <c:ptCount val="1"/>
                        <c:pt idx="0">
                          <c:v>83,7%</c:v>
                        </c:pt>
                      </c15:dlblFieldTableCache>
                    </c15:dlblFTEntry>
                  </c15:dlblFieldTable>
                  <c15:showDataLabelsRange val="0"/>
                </c:ext>
                <c:ext xmlns:c16="http://schemas.microsoft.com/office/drawing/2014/chart" uri="{C3380CC4-5D6E-409C-BE32-E72D297353CC}">
                  <c16:uniqueId val="{00000000-EDCC-4C63-9DCD-91BDB6A5F41B}"/>
                </c:ext>
              </c:extLst>
            </c:dLbl>
            <c:spPr>
              <a:solidFill>
                <a:sysClr val="window" lastClr="FFFFFF"/>
              </a:solidFill>
              <a:ln>
                <a:noFill/>
              </a:ln>
              <a:effectLst>
                <a:outerShdw blurRad="50800" dist="38100" dir="5400000" algn="t" rotWithShape="0">
                  <a:prstClr val="black">
                    <a:alpha val="40000"/>
                  </a:prstClr>
                </a:outerShdw>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2015.</c:v>
                </c:pt>
                <c:pt idx="1">
                  <c:v>2016.</c:v>
                </c:pt>
                <c:pt idx="2">
                  <c:v>2017.</c:v>
                </c:pt>
                <c:pt idx="3">
                  <c:v>2018.</c:v>
                </c:pt>
                <c:pt idx="4">
                  <c:v>2019.</c:v>
                </c:pt>
                <c:pt idx="5">
                  <c:v>2020.</c:v>
                </c:pt>
                <c:pt idx="6">
                  <c:v>2021.</c:v>
                </c:pt>
                <c:pt idx="7">
                  <c:v>2022.</c:v>
                </c:pt>
                <c:pt idx="8">
                  <c:v>2023.</c:v>
                </c:pt>
                <c:pt idx="9">
                  <c:v>2024.</c:v>
                </c:pt>
                <c:pt idx="10">
                  <c:v>1-6/2025.</c:v>
                </c:pt>
              </c:strCache>
            </c:strRef>
          </c:cat>
          <c:val>
            <c:numRef>
              <c:f>Sheet1!$B$3:$L$3</c:f>
              <c:numCache>
                <c:formatCode>#,##0.00</c:formatCode>
                <c:ptCount val="11"/>
                <c:pt idx="0">
                  <c:v>1333060.0915787376</c:v>
                </c:pt>
                <c:pt idx="1">
                  <c:v>1606698.9607804101</c:v>
                </c:pt>
                <c:pt idx="2">
                  <c:v>2000399.2448072198</c:v>
                </c:pt>
                <c:pt idx="3">
                  <c:v>2231166.8591147386</c:v>
                </c:pt>
                <c:pt idx="4">
                  <c:v>2385124.3705620812</c:v>
                </c:pt>
                <c:pt idx="5">
                  <c:v>2055503.6883668457</c:v>
                </c:pt>
                <c:pt idx="6">
                  <c:v>2423815.6719092173</c:v>
                </c:pt>
                <c:pt idx="7">
                  <c:v>2440902.3651204458</c:v>
                </c:pt>
                <c:pt idx="8">
                  <c:v>2980910.1</c:v>
                </c:pt>
                <c:pt idx="9">
                  <c:v>3929949.18</c:v>
                </c:pt>
                <c:pt idx="10">
                  <c:v>2352542.91</c:v>
                </c:pt>
              </c:numCache>
            </c:numRef>
          </c:val>
          <c:extLst>
            <c:ext xmlns:c16="http://schemas.microsoft.com/office/drawing/2014/chart" uri="{C3380CC4-5D6E-409C-BE32-E72D297353CC}">
              <c16:uniqueId val="{0000000B-F1F0-447D-AC6F-6121D3FE957E}"/>
            </c:ext>
          </c:extLst>
        </c:ser>
        <c:dLbls>
          <c:showLegendKey val="0"/>
          <c:showVal val="0"/>
          <c:showCatName val="0"/>
          <c:showSerName val="0"/>
          <c:showPercent val="0"/>
          <c:showBubbleSize val="0"/>
        </c:dLbls>
        <c:gapWidth val="150"/>
        <c:overlap val="100"/>
        <c:axId val="1531053056"/>
        <c:axId val="204844992"/>
      </c:barChart>
      <c:catAx>
        <c:axId val="1531053056"/>
        <c:scaling>
          <c:orientation val="minMax"/>
        </c:scaling>
        <c:delete val="0"/>
        <c:axPos val="b"/>
        <c:title>
          <c:tx>
            <c:rich>
              <a:bodyPr/>
              <a:lstStyle/>
              <a:p>
                <a:pPr>
                  <a:defRPr/>
                </a:pPr>
                <a:r>
                  <a:rPr lang="en-GB" sz="900"/>
                  <a:t>godina</a:t>
                </a:r>
              </a:p>
            </c:rich>
          </c:tx>
          <c:layout>
            <c:manualLayout>
              <c:xMode val="edge"/>
              <c:yMode val="edge"/>
              <c:x val="0.43914663716942959"/>
              <c:y val="0.92564772924166872"/>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844992"/>
        <c:crossesAt val="90000000"/>
        <c:auto val="1"/>
        <c:lblAlgn val="ctr"/>
        <c:lblOffset val="100"/>
        <c:tickLblSkip val="1"/>
        <c:tickMarkSkip val="1"/>
        <c:noMultiLvlLbl val="0"/>
      </c:catAx>
      <c:valAx>
        <c:axId val="204844992"/>
        <c:scaling>
          <c:orientation val="minMax"/>
        </c:scaling>
        <c:delete val="0"/>
        <c:axPos val="l"/>
        <c:majorGridlines/>
        <c:title>
          <c:tx>
            <c:rich>
              <a:bodyPr/>
              <a:lstStyle/>
              <a:p>
                <a:pPr>
                  <a:defRPr sz="900"/>
                </a:pPr>
                <a:r>
                  <a:rPr lang="en-GB" sz="900"/>
                  <a:t>iznos proračuna</a:t>
                </a:r>
                <a:r>
                  <a:rPr lang="hr-HR" sz="900"/>
                  <a:t> (€)</a:t>
                </a:r>
                <a:endParaRPr lang="en-GB" sz="900"/>
              </a:p>
            </c:rich>
          </c:tx>
          <c:layout>
            <c:manualLayout>
              <c:xMode val="edge"/>
              <c:yMode val="edge"/>
              <c:x val="4.4909120259325627E-2"/>
              <c:y val="0.26403976775630317"/>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531053056"/>
        <c:crosses val="autoZero"/>
        <c:crossBetween val="between"/>
      </c:valAx>
      <c:dTable>
        <c:showHorzBorder val="1"/>
        <c:showVertBorder val="1"/>
        <c:showOutline val="1"/>
        <c:showKeys val="1"/>
        <c:txPr>
          <a:bodyPr/>
          <a:lstStyle/>
          <a:p>
            <a:pPr rtl="0">
              <a:defRPr sz="700"/>
            </a:pPr>
            <a:endParaRPr lang="sr-Latn-RS"/>
          </a:p>
        </c:txPr>
      </c:dTable>
      <c:spPr>
        <a:solidFill>
          <a:srgbClr val="EEECE1"/>
        </a:solidFill>
        <a:ln w="7628">
          <a:solidFill>
            <a:srgbClr val="808080"/>
          </a:solidFill>
          <a:prstDash val="solid"/>
        </a:ln>
      </c:spPr>
    </c:plotArea>
    <c:legend>
      <c:legendPos val="r"/>
      <c:layout>
        <c:manualLayout>
          <c:xMode val="edge"/>
          <c:yMode val="edge"/>
          <c:x val="0.85623320174644779"/>
          <c:y val="0.22203234496678015"/>
          <c:w val="0.11789804375297"/>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Rashodi za zaposlene</a:t>
            </a:r>
            <a:r>
              <a:rPr lang="hr-HR" sz="1000"/>
              <a:t> u 1-6/2025.</a:t>
            </a:r>
            <a:endParaRPr lang="en-US" sz="1000"/>
          </a:p>
        </c:rich>
      </c:tx>
      <c:layout>
        <c:manualLayout>
          <c:xMode val="edge"/>
          <c:yMode val="edge"/>
          <c:x val="0.6788422017818343"/>
          <c:y val="3.316749585406302E-2"/>
        </c:manualLayout>
      </c:layout>
      <c:overlay val="0"/>
    </c:title>
    <c:autoTitleDeleted val="0"/>
    <c:plotArea>
      <c:layout>
        <c:manualLayout>
          <c:layoutTarget val="inner"/>
          <c:xMode val="edge"/>
          <c:yMode val="edge"/>
          <c:x val="6.1508580025773987E-2"/>
          <c:y val="0.19817766681603824"/>
          <c:w val="0.65324778625637558"/>
          <c:h val="0.6983828749048645"/>
        </c:manualLayout>
      </c:layout>
      <c:ofPieChart>
        <c:ofPieType val="bar"/>
        <c:varyColors val="1"/>
        <c:ser>
          <c:idx val="0"/>
          <c:order val="0"/>
          <c:tx>
            <c:strRef>
              <c:f>List1!$B$1</c:f>
              <c:strCache>
                <c:ptCount val="1"/>
                <c:pt idx="0">
                  <c:v>Rashodi za zaposlene</c:v>
                </c:pt>
              </c:strCache>
            </c:strRef>
          </c:tx>
          <c:explosion val="6"/>
          <c:dPt>
            <c:idx val="0"/>
            <c:bubble3D val="0"/>
            <c:spPr>
              <a:pattFill prst="pct40">
                <a:fgClr>
                  <a:schemeClr val="tx2"/>
                </a:fgClr>
                <a:bgClr>
                  <a:schemeClr val="bg1"/>
                </a:bgClr>
              </a:pattFill>
            </c:spPr>
            <c:extLst>
              <c:ext xmlns:c16="http://schemas.microsoft.com/office/drawing/2014/chart" uri="{C3380CC4-5D6E-409C-BE32-E72D297353CC}">
                <c16:uniqueId val="{00000001-B043-4287-89EE-663122FC7402}"/>
              </c:ext>
            </c:extLst>
          </c:dPt>
          <c:dPt>
            <c:idx val="1"/>
            <c:bubble3D val="0"/>
            <c:spPr>
              <a:solidFill>
                <a:schemeClr val="accent6">
                  <a:lumMod val="75000"/>
                </a:schemeClr>
              </a:solidFill>
            </c:spPr>
            <c:extLst>
              <c:ext xmlns:c16="http://schemas.microsoft.com/office/drawing/2014/chart" uri="{C3380CC4-5D6E-409C-BE32-E72D297353CC}">
                <c16:uniqueId val="{00000003-B043-4287-89EE-663122FC7402}"/>
              </c:ext>
            </c:extLst>
          </c:dPt>
          <c:dPt>
            <c:idx val="3"/>
            <c:bubble3D val="0"/>
            <c:spPr>
              <a:solidFill>
                <a:srgbClr val="FFFF00"/>
              </a:solidFill>
            </c:spPr>
            <c:extLst>
              <c:ext xmlns:c16="http://schemas.microsoft.com/office/drawing/2014/chart" uri="{C3380CC4-5D6E-409C-BE32-E72D297353CC}">
                <c16:uniqueId val="{00000005-B043-4287-89EE-663122FC7402}"/>
              </c:ext>
            </c:extLst>
          </c:dPt>
          <c:dPt>
            <c:idx val="4"/>
            <c:bubble3D val="0"/>
            <c:spPr>
              <a:solidFill>
                <a:srgbClr val="7030A0"/>
              </a:solidFill>
            </c:spPr>
            <c:extLst>
              <c:ext xmlns:c16="http://schemas.microsoft.com/office/drawing/2014/chart" uri="{C3380CC4-5D6E-409C-BE32-E72D297353CC}">
                <c16:uniqueId val="{00000007-B043-4287-89EE-663122FC7402}"/>
              </c:ext>
            </c:extLst>
          </c:dPt>
          <c:dPt>
            <c:idx val="5"/>
            <c:bubble3D val="0"/>
            <c:spPr>
              <a:blipFill>
                <a:blip xmlns:r="http://schemas.openxmlformats.org/officeDocument/2006/relationships" r:embed="rId1"/>
                <a:tile tx="0" ty="0" sx="100000" sy="100000" flip="none" algn="tl"/>
              </a:blipFill>
            </c:spPr>
            <c:extLst>
              <c:ext xmlns:c16="http://schemas.microsoft.com/office/drawing/2014/chart" uri="{C3380CC4-5D6E-409C-BE32-E72D297353CC}">
                <c16:uniqueId val="{00000009-B043-4287-89EE-663122FC7402}"/>
              </c:ext>
            </c:extLst>
          </c:dPt>
          <c:dLbls>
            <c:dLbl>
              <c:idx val="0"/>
              <c:layout>
                <c:manualLayout>
                  <c:x val="-4.5755621606901782E-3"/>
                  <c:y val="-9.378952630921134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43-4287-89EE-663122FC7402}"/>
                </c:ext>
              </c:extLst>
            </c:dLbl>
            <c:dLbl>
              <c:idx val="5"/>
              <c:layout>
                <c:manualLayout>
                  <c:x val="-5.6702371663001586E-2"/>
                  <c:y val="-0.3631409879735182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043-4287-89EE-663122FC7402}"/>
                </c:ext>
              </c:extLst>
            </c:dLbl>
            <c:spPr>
              <a:noFill/>
              <a:ln>
                <a:noFill/>
              </a:ln>
              <a:effectLst/>
            </c:spPr>
            <c:txPr>
              <a:bodyPr/>
              <a:lstStyle/>
              <a:p>
                <a:pPr>
                  <a:defRPr sz="900"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#,##0.00</c:formatCode>
                <c:ptCount val="5"/>
                <c:pt idx="0">
                  <c:v>458951.04</c:v>
                </c:pt>
                <c:pt idx="1">
                  <c:v>1289832.1299999999</c:v>
                </c:pt>
                <c:pt idx="2">
                  <c:v>204732.78</c:v>
                </c:pt>
                <c:pt idx="3">
                  <c:v>333218.53000000003</c:v>
                </c:pt>
                <c:pt idx="4">
                  <c:v>524759.47</c:v>
                </c:pt>
              </c:numCache>
            </c:numRef>
          </c:val>
          <c:extLst>
            <c:ext xmlns:c16="http://schemas.microsoft.com/office/drawing/2014/chart" uri="{C3380CC4-5D6E-409C-BE32-E72D297353CC}">
              <c16:uniqueId val="{0000000A-B043-4287-89EE-663122FC7402}"/>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Ref>
          </c:val>
          <c:extLst>
            <c:ext xmlns:c16="http://schemas.microsoft.com/office/drawing/2014/chart" uri="{C3380CC4-5D6E-409C-BE32-E72D297353CC}">
              <c16:uniqueId val="{0000000B-B043-4287-89EE-663122FC7402}"/>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67815773779028377"/>
          <c:y val="0.21962540752057733"/>
          <c:w val="0.15767809804555211"/>
          <c:h val="0.7540882638426416"/>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50"/>
              <a:t>Struktura </a:t>
            </a:r>
            <a:r>
              <a:rPr lang="hr-HR" sz="1050"/>
              <a:t>materijalnih</a:t>
            </a:r>
            <a:r>
              <a:rPr lang="hr-HR" sz="1050" baseline="0"/>
              <a:t> </a:t>
            </a:r>
            <a:r>
              <a:rPr lang="en-GB" sz="1050"/>
              <a:t>rashoda </a:t>
            </a:r>
            <a:r>
              <a:rPr lang="hr-HR" sz="1050"/>
              <a:t>(32)</a:t>
            </a:r>
            <a:r>
              <a:rPr lang="hr-HR" sz="1050" baseline="0"/>
              <a:t> za razdoblje </a:t>
            </a:r>
            <a:r>
              <a:rPr lang="en-GB" sz="1050"/>
              <a:t>2015.-</a:t>
            </a:r>
            <a:r>
              <a:rPr lang="hr-HR" sz="1050"/>
              <a:t>2024. i 1-6/2025., </a:t>
            </a:r>
            <a:r>
              <a:rPr lang="en-GB" sz="1050"/>
              <a:t>Općina i </a:t>
            </a:r>
            <a:r>
              <a:rPr lang="hr-HR" sz="1050"/>
              <a:t>PK</a:t>
            </a:r>
            <a:endParaRPr lang="en-GB" sz="1050"/>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43158504960029"/>
          <c:y val="0.16099854184893553"/>
          <c:w val="0.63589678429560603"/>
          <c:h val="0.55565405722886041"/>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sz="700"/>
                    </a:pPr>
                    <a:r>
                      <a:rPr lang="en-US" sz="700"/>
                      <a:t>78,2%</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3BDC-459D-BBD9-F1105B93F53C}"/>
                </c:ext>
              </c:extLst>
            </c:dLbl>
            <c:dLbl>
              <c:idx val="1"/>
              <c:tx>
                <c:rich>
                  <a:bodyPr/>
                  <a:lstStyle/>
                  <a:p>
                    <a:r>
                      <a:rPr lang="en-US"/>
                      <a:t>78,2%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BDC-459D-BBD9-F1105B93F53C}"/>
                </c:ext>
              </c:extLst>
            </c:dLbl>
            <c:dLbl>
              <c:idx val="2"/>
              <c:tx>
                <c:rich>
                  <a:bodyPr/>
                  <a:lstStyle/>
                  <a:p>
                    <a:r>
                      <a:rPr lang="en-US"/>
                      <a:t>73,9%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BDC-459D-BBD9-F1105B93F53C}"/>
                </c:ext>
              </c:extLst>
            </c:dLbl>
            <c:dLbl>
              <c:idx val="3"/>
              <c:tx>
                <c:rich>
                  <a:bodyPr/>
                  <a:lstStyle/>
                  <a:p>
                    <a:r>
                      <a:rPr lang="en-US"/>
                      <a:t>76,1%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BDC-459D-BBD9-F1105B93F53C}"/>
                </c:ext>
              </c:extLst>
            </c:dLbl>
            <c:dLbl>
              <c:idx val="4"/>
              <c:layout>
                <c:manualLayout>
                  <c:x val="4.1245617653124355E-3"/>
                  <c:y val="0"/>
                </c:manualLayout>
              </c:layout>
              <c:tx>
                <c:rich>
                  <a:bodyPr/>
                  <a:lstStyle/>
                  <a:p>
                    <a:r>
                      <a:rPr lang="en-US"/>
                      <a:t>77,6%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BDC-459D-BBD9-F1105B93F53C}"/>
                </c:ext>
              </c:extLst>
            </c:dLbl>
            <c:dLbl>
              <c:idx val="5"/>
              <c:tx>
                <c:rich>
                  <a:bodyPr/>
                  <a:lstStyle/>
                  <a:p>
                    <a:r>
                      <a:rPr lang="en-US"/>
                      <a:t>72,0%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BDC-459D-BBD9-F1105B93F53C}"/>
                </c:ext>
              </c:extLst>
            </c:dLbl>
            <c:dLbl>
              <c:idx val="6"/>
              <c:layout>
                <c:manualLayout>
                  <c:x val="-1.3748539217708119E-3"/>
                  <c:y val="4.232804232804155E-3"/>
                </c:manualLayout>
              </c:layout>
              <c:tx>
                <c:rich>
                  <a:bodyPr/>
                  <a:lstStyle/>
                  <a:p>
                    <a:fld id="{9AE0CE10-4237-4324-A631-55C8045AE91A}"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{9AE0CE10-4237-4324-A631-55C8045AE91A}</c15:txfldGUID>
                      <c15:f>Sheet1!$H$7</c15:f>
                      <c15:dlblFieldTableCache>
                        <c:ptCount val="1"/>
                        <c:pt idx="0">
                          <c:v>73,0%</c:v>
                        </c:pt>
                      </c15:dlblFieldTableCache>
                    </c15:dlblFTEntry>
                  </c15:dlblFieldTable>
                  <c15:showDataLabelsRange val="0"/>
                </c:ext>
                <c:ext xmlns:c16="http://schemas.microsoft.com/office/drawing/2014/chart" uri="{C3380CC4-5D6E-409C-BE32-E72D297353CC}">
                  <c16:uniqueId val="{00000010-3BDC-459D-BBD9-F1105B93F53C}"/>
                </c:ext>
              </c:extLst>
            </c:dLbl>
            <c:dLbl>
              <c:idx val="7"/>
              <c:tx>
                <c:rich>
                  <a:bodyPr/>
                  <a:lstStyle/>
                  <a:p>
                    <a:fld id="{037611DD-DEC1-4999-9035-302C72FC6A7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{037611DD-DEC1-4999-9035-302C72FC6A7D}</c15:txfldGUID>
                      <c15:f>Sheet1!$I$7</c15:f>
                      <c15:dlblFieldTableCache>
                        <c:ptCount val="1"/>
                        <c:pt idx="0">
                          <c:v>75,8%</c:v>
                        </c:pt>
                      </c15:dlblFieldTableCache>
                    </c15:dlblFTEntry>
                  </c15:dlblFieldTable>
                  <c15:showDataLabelsRange val="0"/>
                </c:ext>
                <c:ext xmlns:c16="http://schemas.microsoft.com/office/drawing/2014/chart" uri="{C3380CC4-5D6E-409C-BE32-E72D297353CC}">
                  <c16:uniqueId val="{00000001-6E3C-4BE2-861E-EC3540D35146}"/>
                </c:ext>
              </c:extLst>
            </c:dLbl>
            <c:dLbl>
              <c:idx val="8"/>
              <c:layout>
                <c:manualLayout>
                  <c:x val="6.8742696088539583E-3"/>
                  <c:y val="0"/>
                </c:manualLayout>
              </c:layout>
              <c:tx>
                <c:rich>
                  <a:bodyPr/>
                  <a:lstStyle/>
                  <a:p>
                    <a:fld id="{9E96539A-AF91-46BE-9546-A6915D99E373}"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{9E96539A-AF91-46BE-9546-A6915D99E373}</c15:txfldGUID>
                      <c15:f>Sheet1!$J$7</c15:f>
                      <c15:dlblFieldTableCache>
                        <c:ptCount val="1"/>
                        <c:pt idx="0">
                          <c:v>76,6%</c:v>
                        </c:pt>
                      </c15:dlblFieldTableCache>
                    </c15:dlblFTEntry>
                  </c15:dlblFieldTable>
                  <c15:showDataLabelsRange val="0"/>
                </c:ext>
                <c:ext xmlns:c16="http://schemas.microsoft.com/office/drawing/2014/chart" uri="{C3380CC4-5D6E-409C-BE32-E72D297353CC}">
                  <c16:uniqueId val="{00000001-6F55-4C47-BFBB-431A9C31D491}"/>
                </c:ext>
              </c:extLst>
            </c:dLbl>
            <c:dLbl>
              <c:idx val="9"/>
              <c:layout>
                <c:manualLayout>
                  <c:x val="-2.7497078435417244E-3"/>
                  <c:y val="0"/>
                </c:manualLayout>
              </c:layout>
              <c:tx>
                <c:rich>
                  <a:bodyPr/>
                  <a:lstStyle/>
                  <a:p>
                    <a:fld id="{4B875B1C-E84F-46C4-BB99-CFAE99A76F4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{4B875B1C-E84F-46C4-BB99-CFAE99A76F4D}</c15:txfldGUID>
                      <c15:f>Sheet1!$K$7</c15:f>
                      <c15:dlblFieldTableCache>
                        <c:ptCount val="1"/>
                        <c:pt idx="0">
                          <c:v>79,5%</c:v>
                        </c:pt>
                      </c15:dlblFieldTableCache>
                    </c15:dlblFTEntry>
                  </c15:dlblFieldTable>
                  <c15:showDataLabelsRange val="0"/>
                </c:ext>
                <c:ext xmlns:c16="http://schemas.microsoft.com/office/drawing/2014/chart" uri="{C3380CC4-5D6E-409C-BE32-E72D297353CC}">
                  <c16:uniqueId val="{00000001-0429-4DE4-A73C-5288315352BA}"/>
                </c:ext>
              </c:extLst>
            </c:dLbl>
            <c:dLbl>
              <c:idx val="10"/>
              <c:tx>
                <c:rich>
                  <a:bodyPr/>
                  <a:lstStyle/>
                  <a:p>
                    <a:fld id="{FD4B80BE-43E7-4087-A034-1CEDBC096146}"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{FD4B80BE-43E7-4087-A034-1CEDBC096146}</c15:txfldGUID>
                      <c15:f>Sheet1!$L$7</c15:f>
                      <c15:dlblFieldTableCache>
                        <c:ptCount val="1"/>
                        <c:pt idx="0">
                          <c:v>76,3%</c:v>
                        </c:pt>
                      </c15:dlblFieldTableCache>
                    </c15:dlblFTEntry>
                  </c15:dlblFieldTable>
                  <c15:showDataLabelsRange val="0"/>
                </c:ext>
                <c:ext xmlns:c16="http://schemas.microsoft.com/office/drawing/2014/chart" uri="{C3380CC4-5D6E-409C-BE32-E72D297353CC}">
                  <c16:uniqueId val="{00000001-184B-4F5E-B2AE-73C3BD837CD9}"/>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2015.</c:v>
                </c:pt>
                <c:pt idx="1">
                  <c:v>2016.</c:v>
                </c:pt>
                <c:pt idx="2">
                  <c:v>2017.</c:v>
                </c:pt>
                <c:pt idx="3">
                  <c:v>2018.</c:v>
                </c:pt>
                <c:pt idx="4">
                  <c:v>2019.</c:v>
                </c:pt>
                <c:pt idx="5">
                  <c:v> 2020.</c:v>
                </c:pt>
                <c:pt idx="6">
                  <c:v>2021.</c:v>
                </c:pt>
                <c:pt idx="7">
                  <c:v>2022.</c:v>
                </c:pt>
                <c:pt idx="8">
                  <c:v>2023.</c:v>
                </c:pt>
                <c:pt idx="9">
                  <c:v>2024.</c:v>
                </c:pt>
                <c:pt idx="10">
                  <c:v>1-6/2025.</c:v>
                </c:pt>
              </c:strCache>
            </c:strRef>
          </c:cat>
          <c:val>
            <c:numRef>
              <c:f>Sheet1!$B$2:$L$2</c:f>
              <c:numCache>
                <c:formatCode>#,##0.00</c:formatCode>
                <c:ptCount val="11"/>
                <c:pt idx="0">
                  <c:v>1802377.5512641848</c:v>
                </c:pt>
                <c:pt idx="1">
                  <c:v>2432310.1878027739</c:v>
                </c:pt>
                <c:pt idx="2">
                  <c:v>2548086.4344017515</c:v>
                </c:pt>
                <c:pt idx="3">
                  <c:v>2723274.6817970667</c:v>
                </c:pt>
                <c:pt idx="4">
                  <c:v>3385608.9335722346</c:v>
                </c:pt>
                <c:pt idx="5">
                  <c:v>1998284.7222775233</c:v>
                </c:pt>
                <c:pt idx="6">
                  <c:v>2130858.4657243346</c:v>
                </c:pt>
                <c:pt idx="7">
                  <c:v>2985601.7054880881</c:v>
                </c:pt>
                <c:pt idx="8">
                  <c:v>3684198.17</c:v>
                </c:pt>
                <c:pt idx="9">
                  <c:v>4391780.0999999996</c:v>
                </c:pt>
                <c:pt idx="10">
                  <c:v>1919845.23</c:v>
                </c:pt>
              </c:numCache>
            </c:numRef>
          </c:val>
          <c:extLst>
            <c:ext xmlns:c16="http://schemas.microsoft.com/office/drawing/2014/chart" uri="{C3380CC4-5D6E-409C-BE32-E72D297353CC}">
              <c16:uniqueId val="{00000006-3BDC-459D-BBD9-F1105B93F53C}"/>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2.74976197164878E-3"/>
                  <c:y val="-8.0423113777444558E-2"/>
                </c:manualLayout>
              </c:layout>
              <c:tx>
                <c:rich>
                  <a:bodyPr wrap="square" lIns="38100" tIns="19050" rIns="38100" bIns="19050" anchor="ctr">
                    <a:noAutofit/>
                  </a:bodyPr>
                  <a:lstStyle/>
                  <a:p>
                    <a:pPr>
                      <a:defRPr sz="700"/>
                    </a:pPr>
                    <a:r>
                      <a:rPr lang="en-US" sz="700"/>
                      <a:t>21,8%</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5753022107542796E-2"/>
                      <c:h val="3.7100695746365035E-2"/>
                    </c:manualLayout>
                  </c15:layout>
                  <c15:showDataLabelsRange val="0"/>
                </c:ext>
                <c:ext xmlns:c16="http://schemas.microsoft.com/office/drawing/2014/chart" uri="{C3380CC4-5D6E-409C-BE32-E72D297353CC}">
                  <c16:uniqueId val="{00000007-3BDC-459D-BBD9-F1105B93F53C}"/>
                </c:ext>
              </c:extLst>
            </c:dLbl>
            <c:dLbl>
              <c:idx val="1"/>
              <c:layout>
                <c:manualLayout>
                  <c:x val="1.2373685295937306E-2"/>
                  <c:y val="4.232804232804155E-3"/>
                </c:manualLayout>
              </c:layout>
              <c:tx>
                <c:rich>
                  <a:bodyPr/>
                  <a:lstStyle/>
                  <a:p>
                    <a:r>
                      <a:rPr lang="en-US"/>
                      <a:t>21,8%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BDC-459D-BBD9-F1105B93F53C}"/>
                </c:ext>
              </c:extLst>
            </c:dLbl>
            <c:dLbl>
              <c:idx val="2"/>
              <c:layout>
                <c:manualLayout>
                  <c:x val="8.249123530624871E-3"/>
                  <c:y val="-1.2698412698412698E-2"/>
                </c:manualLayout>
              </c:layout>
              <c:tx>
                <c:rich>
                  <a:bodyPr/>
                  <a:lstStyle/>
                  <a:p>
                    <a:r>
                      <a:rPr lang="en-US"/>
                      <a:t>26,1%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BDC-459D-BBD9-F1105B93F53C}"/>
                </c:ext>
              </c:extLst>
            </c:dLbl>
            <c:dLbl>
              <c:idx val="3"/>
              <c:layout>
                <c:manualLayout>
                  <c:x val="6.8742696088540589E-3"/>
                  <c:y val="0"/>
                </c:manualLayout>
              </c:layout>
              <c:tx>
                <c:rich>
                  <a:bodyPr/>
                  <a:lstStyle/>
                  <a:p>
                    <a:r>
                      <a:rPr lang="en-US"/>
                      <a:t>23,9%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BDC-459D-BBD9-F1105B93F53C}"/>
                </c:ext>
              </c:extLst>
            </c:dLbl>
            <c:dLbl>
              <c:idx val="4"/>
              <c:layout>
                <c:manualLayout>
                  <c:x val="5.4994156870832476E-3"/>
                  <c:y val="-4.2328042328042331E-3"/>
                </c:manualLayout>
              </c:layout>
              <c:tx>
                <c:rich>
                  <a:bodyPr/>
                  <a:lstStyle/>
                  <a:p>
                    <a:r>
                      <a:rPr lang="en-US"/>
                      <a:t>22,4%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BDC-459D-BBD9-F1105B93F53C}"/>
                </c:ext>
              </c:extLst>
            </c:dLbl>
            <c:dLbl>
              <c:idx val="5"/>
              <c:layout>
                <c:manualLayout>
                  <c:x val="4.1245617653124355E-3"/>
                  <c:y val="0"/>
                </c:manualLayout>
              </c:layout>
              <c:tx>
                <c:rich>
                  <a:bodyPr/>
                  <a:lstStyle/>
                  <a:p>
                    <a:r>
                      <a:rPr lang="en-US"/>
                      <a:t>28,0%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BDC-459D-BBD9-F1105B93F53C}"/>
                </c:ext>
              </c:extLst>
            </c:dLbl>
            <c:dLbl>
              <c:idx val="6"/>
              <c:layout>
                <c:manualLayout>
                  <c:x val="1.3748539217708017E-2"/>
                  <c:y val="-1.2698412698412776E-2"/>
                </c:manualLayout>
              </c:layout>
              <c:tx>
                <c:rich>
                  <a:bodyPr/>
                  <a:lstStyle/>
                  <a:p>
                    <a:fld id="{C8FE01A9-065F-46C5-A16C-56206C80D16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{C8FE01A9-065F-46C5-A16C-56206C80D16B}</c15:txfldGUID>
                      <c15:f>Sheet1!$H$8</c15:f>
                      <c15:dlblFieldTableCache>
                        <c:ptCount val="1"/>
                        <c:pt idx="0">
                          <c:v>27,0%</c:v>
                        </c:pt>
                      </c15:dlblFieldTableCache>
                    </c15:dlblFTEntry>
                  </c15:dlblFieldTable>
                  <c15:showDataLabelsRange val="0"/>
                </c:ext>
                <c:ext xmlns:c16="http://schemas.microsoft.com/office/drawing/2014/chart" uri="{C3380CC4-5D6E-409C-BE32-E72D297353CC}">
                  <c16:uniqueId val="{0000000F-3BDC-459D-BBD9-F1105B93F53C}"/>
                </c:ext>
              </c:extLst>
            </c:dLbl>
            <c:dLbl>
              <c:idx val="7"/>
              <c:layout>
                <c:manualLayout>
                  <c:x val="6.8742696088539583E-3"/>
                  <c:y val="-4.2328042328042331E-3"/>
                </c:manualLayout>
              </c:layout>
              <c:tx>
                <c:rich>
                  <a:bodyPr/>
                  <a:lstStyle/>
                  <a:p>
                    <a:fld id="{271BAC04-F45D-463E-8802-E12FEF75621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{271BAC04-F45D-463E-8802-E12FEF756218}</c15:txfldGUID>
                      <c15:f>Sheet1!$I$8</c15:f>
                      <c15:dlblFieldTableCache>
                        <c:ptCount val="1"/>
                        <c:pt idx="0">
                          <c:v>24,2%</c:v>
                        </c:pt>
                      </c15:dlblFieldTableCache>
                    </c15:dlblFTEntry>
                  </c15:dlblFieldTable>
                  <c15:showDataLabelsRange val="0"/>
                </c:ext>
                <c:ext xmlns:c16="http://schemas.microsoft.com/office/drawing/2014/chart" uri="{C3380CC4-5D6E-409C-BE32-E72D297353CC}">
                  <c16:uniqueId val="{00000000-6E3C-4BE2-861E-EC3540D35146}"/>
                </c:ext>
              </c:extLst>
            </c:dLbl>
            <c:dLbl>
              <c:idx val="8"/>
              <c:layout>
                <c:manualLayout>
                  <c:x val="9.6239774523956823E-3"/>
                  <c:y val="4.2328042328042331E-3"/>
                </c:manualLayout>
              </c:layout>
              <c:tx>
                <c:rich>
                  <a:bodyPr/>
                  <a:lstStyle/>
                  <a:p>
                    <a:fld id="{5A53A0E7-E135-4F9E-BB9A-897EF3C91EE6}"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{5A53A0E7-E135-4F9E-BB9A-897EF3C91EE6}</c15:txfldGUID>
                      <c15:f>Sheet1!$J$8</c15:f>
                      <c15:dlblFieldTableCache>
                        <c:ptCount val="1"/>
                        <c:pt idx="0">
                          <c:v>23,4%</c:v>
                        </c:pt>
                      </c15:dlblFieldTableCache>
                    </c15:dlblFTEntry>
                  </c15:dlblFieldTable>
                  <c15:showDataLabelsRange val="0"/>
                </c:ext>
                <c:ext xmlns:c16="http://schemas.microsoft.com/office/drawing/2014/chart" uri="{C3380CC4-5D6E-409C-BE32-E72D297353CC}">
                  <c16:uniqueId val="{00000000-6F55-4C47-BFBB-431A9C31D491}"/>
                </c:ext>
              </c:extLst>
            </c:dLbl>
            <c:dLbl>
              <c:idx val="9"/>
              <c:layout>
                <c:manualLayout>
                  <c:x val="1.512339313947883E-2"/>
                  <c:y val="-1.2698412698412698E-2"/>
                </c:manualLayout>
              </c:layout>
              <c:tx>
                <c:rich>
                  <a:bodyPr/>
                  <a:lstStyle/>
                  <a:p>
                    <a:fld id="{E77F74C4-5170-44B2-BE55-CC665B0ACB7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{E77F74C4-5170-44B2-BE55-CC665B0ACB7D}</c15:txfldGUID>
                      <c15:f>Sheet1!$K$8</c15:f>
                      <c15:dlblFieldTableCache>
                        <c:ptCount val="1"/>
                        <c:pt idx="0">
                          <c:v>20,5%</c:v>
                        </c:pt>
                      </c15:dlblFieldTableCache>
                    </c15:dlblFTEntry>
                  </c15:dlblFieldTable>
                  <c15:showDataLabelsRange val="0"/>
                </c:ext>
                <c:ext xmlns:c16="http://schemas.microsoft.com/office/drawing/2014/chart" uri="{C3380CC4-5D6E-409C-BE32-E72D297353CC}">
                  <c16:uniqueId val="{00000000-0429-4DE4-A73C-5288315352BA}"/>
                </c:ext>
              </c:extLst>
            </c:dLbl>
            <c:dLbl>
              <c:idx val="10"/>
              <c:layout>
                <c:manualLayout>
                  <c:x val="9.6239774523955816E-3"/>
                  <c:y val="8.4656084656084662E-3"/>
                </c:manualLayout>
              </c:layout>
              <c:tx>
                <c:rich>
                  <a:bodyPr/>
                  <a:lstStyle/>
                  <a:p>
                    <a:fld id="{A80D31DE-42FC-4F0B-95E7-F79F93892AFE}"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{A80D31DE-42FC-4F0B-95E7-F79F93892AFE}</c15:txfldGUID>
                      <c15:f>Sheet1!$L$8</c15:f>
                      <c15:dlblFieldTableCache>
                        <c:ptCount val="1"/>
                        <c:pt idx="0">
                          <c:v>23,7%</c:v>
                        </c:pt>
                      </c15:dlblFieldTableCache>
                    </c15:dlblFTEntry>
                  </c15:dlblFieldTable>
                  <c15:showDataLabelsRange val="0"/>
                </c:ext>
                <c:ext xmlns:c16="http://schemas.microsoft.com/office/drawing/2014/chart" uri="{C3380CC4-5D6E-409C-BE32-E72D297353CC}">
                  <c16:uniqueId val="{00000000-184B-4F5E-B2AE-73C3BD837CD9}"/>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2015.</c:v>
                </c:pt>
                <c:pt idx="1">
                  <c:v>2016.</c:v>
                </c:pt>
                <c:pt idx="2">
                  <c:v>2017.</c:v>
                </c:pt>
                <c:pt idx="3">
                  <c:v>2018.</c:v>
                </c:pt>
                <c:pt idx="4">
                  <c:v>2019.</c:v>
                </c:pt>
                <c:pt idx="5">
                  <c:v> 2020.</c:v>
                </c:pt>
                <c:pt idx="6">
                  <c:v>2021.</c:v>
                </c:pt>
                <c:pt idx="7">
                  <c:v>2022.</c:v>
                </c:pt>
                <c:pt idx="8">
                  <c:v>2023.</c:v>
                </c:pt>
                <c:pt idx="9">
                  <c:v>2024.</c:v>
                </c:pt>
                <c:pt idx="10">
                  <c:v>1-6/2025.</c:v>
                </c:pt>
              </c:strCache>
            </c:strRef>
          </c:cat>
          <c:val>
            <c:numRef>
              <c:f>Sheet1!$B$3:$L$3</c:f>
              <c:numCache>
                <c:formatCode>#,##0.00</c:formatCode>
                <c:ptCount val="11"/>
                <c:pt idx="0">
                  <c:v>503668.14519875241</c:v>
                </c:pt>
                <c:pt idx="1">
                  <c:v>677219.35098546685</c:v>
                </c:pt>
                <c:pt idx="2">
                  <c:v>900856.88765014254</c:v>
                </c:pt>
                <c:pt idx="3">
                  <c:v>856313.65584975772</c:v>
                </c:pt>
                <c:pt idx="4">
                  <c:v>976917.13053288206</c:v>
                </c:pt>
                <c:pt idx="5">
                  <c:v>776844.30950958922</c:v>
                </c:pt>
                <c:pt idx="6">
                  <c:v>789133.84962505801</c:v>
                </c:pt>
                <c:pt idx="7">
                  <c:v>954542.09038423246</c:v>
                </c:pt>
                <c:pt idx="8">
                  <c:v>1127090.8500000001</c:v>
                </c:pt>
                <c:pt idx="9">
                  <c:v>1133788.25</c:v>
                </c:pt>
                <c:pt idx="10">
                  <c:v>595676.38</c:v>
                </c:pt>
              </c:numCache>
            </c:numRef>
          </c:val>
          <c:extLst>
            <c:ext xmlns:c16="http://schemas.microsoft.com/office/drawing/2014/chart" uri="{C3380CC4-5D6E-409C-BE32-E72D297353CC}">
              <c16:uniqueId val="{0000000D-3BDC-459D-BBD9-F1105B93F53C}"/>
            </c:ext>
          </c:extLst>
        </c:ser>
        <c:dLbls>
          <c:showLegendKey val="0"/>
          <c:showVal val="0"/>
          <c:showCatName val="0"/>
          <c:showSerName val="0"/>
          <c:showPercent val="0"/>
          <c:showBubbleSize val="0"/>
        </c:dLbls>
        <c:gapWidth val="150"/>
        <c:overlap val="100"/>
        <c:axId val="1808702464"/>
        <c:axId val="204375168"/>
      </c:barChart>
      <c:catAx>
        <c:axId val="1808702464"/>
        <c:scaling>
          <c:orientation val="minMax"/>
        </c:scaling>
        <c:delete val="0"/>
        <c:axPos val="b"/>
        <c:title>
          <c:tx>
            <c:rich>
              <a:bodyPr/>
              <a:lstStyle/>
              <a:p>
                <a:pPr>
                  <a:defRPr/>
                </a:pPr>
                <a:r>
                  <a:rPr lang="en-GB" sz="1000"/>
                  <a:t>godina</a:t>
                </a:r>
              </a:p>
            </c:rich>
          </c:tx>
          <c:layout>
            <c:manualLayout>
              <c:xMode val="edge"/>
              <c:yMode val="edge"/>
              <c:x val="0.48389347805024063"/>
              <c:y val="0.9075538890971961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5168"/>
        <c:crossesAt val="90000000"/>
        <c:auto val="1"/>
        <c:lblAlgn val="ctr"/>
        <c:lblOffset val="100"/>
        <c:tickLblSkip val="1"/>
        <c:tickMarkSkip val="1"/>
        <c:noMultiLvlLbl val="0"/>
      </c:catAx>
      <c:valAx>
        <c:axId val="204375168"/>
        <c:scaling>
          <c:orientation val="minMax"/>
        </c:scaling>
        <c:delete val="0"/>
        <c:axPos val="l"/>
        <c:majorGridlines/>
        <c:title>
          <c:tx>
            <c:rich>
              <a:bodyPr/>
              <a:lstStyle/>
              <a:p>
                <a:pPr>
                  <a:defRPr sz="900"/>
                </a:pPr>
                <a:r>
                  <a:rPr lang="en-GB" sz="900"/>
                  <a:t>iznos proračuna</a:t>
                </a:r>
                <a:r>
                  <a:rPr lang="hr-HR" sz="900"/>
                  <a:t> (€)</a:t>
                </a:r>
                <a:endParaRPr lang="en-GB" sz="900"/>
              </a:p>
            </c:rich>
          </c:tx>
          <c:layout>
            <c:manualLayout>
              <c:xMode val="edge"/>
              <c:yMode val="edge"/>
              <c:x val="8.1950387259542651E-2"/>
              <c:y val="0.24352922551347747"/>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808702464"/>
        <c:crosses val="autoZero"/>
        <c:crossBetween val="between"/>
      </c:valAx>
      <c:dTable>
        <c:showHorzBorder val="1"/>
        <c:showVertBorder val="1"/>
        <c:showOutline val="1"/>
        <c:showKeys val="1"/>
        <c:txPr>
          <a:bodyPr/>
          <a:lstStyle/>
          <a:p>
            <a:pPr rtl="0">
              <a:defRPr sz="700"/>
            </a:pPr>
            <a:endParaRPr lang="sr-Latn-RS"/>
          </a:p>
        </c:txPr>
      </c:dTable>
      <c:spPr>
        <a:solidFill>
          <a:srgbClr val="EEECE1"/>
        </a:solidFill>
        <a:ln w="7628">
          <a:solidFill>
            <a:srgbClr val="808080"/>
          </a:solidFill>
          <a:prstDash val="solid"/>
        </a:ln>
      </c:spPr>
    </c:plotArea>
    <c:legend>
      <c:legendPos val="r"/>
      <c:layout>
        <c:manualLayout>
          <c:xMode val="edge"/>
          <c:yMode val="edge"/>
          <c:x val="0.86221906835784512"/>
          <c:y val="0.22722892971711867"/>
          <c:w val="9.8231905379738443E-2"/>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a:t>
            </a:r>
            <a:r>
              <a:rPr lang="hr-HR"/>
              <a:t> za nabavu nefinancijske imovine</a:t>
            </a:r>
            <a:r>
              <a:rPr lang="en-GB"/>
              <a:t> </a:t>
            </a:r>
            <a:r>
              <a:rPr lang="hr-HR"/>
              <a:t>(4)</a:t>
            </a:r>
            <a:r>
              <a:rPr lang="hr-HR" baseline="0"/>
              <a:t> za razdoblje </a:t>
            </a:r>
            <a:r>
              <a:rPr lang="en-GB"/>
              <a:t>2015.-</a:t>
            </a:r>
            <a:r>
              <a:rPr lang="hr-HR"/>
              <a:t>2024. i 1-6/2025.</a:t>
            </a:r>
            <a:r>
              <a:rPr lang="en-US"/>
              <a:t>,</a:t>
            </a:r>
            <a:r>
              <a:rPr lang="hr-HR"/>
              <a:t> </a:t>
            </a:r>
            <a:r>
              <a:rPr lang="en-GB"/>
              <a:t>Općina i </a:t>
            </a:r>
            <a:r>
              <a:rPr lang="hr-HR"/>
              <a:t>PK</a:t>
            </a:r>
            <a:endParaRPr lang="en-GB"/>
          </a:p>
        </c:rich>
      </c:tx>
      <c:layout>
        <c:manualLayout>
          <c:xMode val="edge"/>
          <c:yMode val="edge"/>
          <c:x val="0.27260023154040053"/>
          <c:y val="2.2798673008513529E-2"/>
        </c:manualLayout>
      </c:layout>
      <c:overlay val="0"/>
      <c:spPr>
        <a:noFill/>
        <a:ln w="15257">
          <a:noFill/>
        </a:ln>
      </c:spPr>
    </c:title>
    <c:autoTitleDeleted val="0"/>
    <c:plotArea>
      <c:layout>
        <c:manualLayout>
          <c:layoutTarget val="inner"/>
          <c:xMode val="edge"/>
          <c:yMode val="edge"/>
          <c:x val="0.205545136733427"/>
          <c:y val="0.15021884840751357"/>
          <c:w val="0.65178412345759684"/>
          <c:h val="0.57052181269292468"/>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a:solidFill>
                <a:srgbClr val="000000"/>
              </a:solidFill>
            </a:ln>
            <a:effectLst>
              <a:outerShdw blurRad="50800" dist="38100" dir="5400000" algn="t" rotWithShape="0">
                <a:srgbClr val="8064A2">
                  <a:lumMod val="40000"/>
                  <a:lumOff val="60000"/>
                  <a:alpha val="40000"/>
                </a:srgbClr>
              </a:outerShdw>
            </a:effectLst>
          </c:spPr>
          <c:invertIfNegative val="0"/>
          <c:dLbls>
            <c:dLbl>
              <c:idx val="0"/>
              <c:tx>
                <c:rich>
                  <a:bodyPr wrap="square" lIns="38100" tIns="19050" rIns="38100" bIns="19050" anchor="ctr">
                    <a:spAutoFit/>
                  </a:bodyPr>
                  <a:lstStyle/>
                  <a:p>
                    <a:pPr>
                      <a:defRPr/>
                    </a:pPr>
                    <a:fld id="{80D4A11E-1063-4827-A752-5E8F7EF2C4CC}"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{80D4A11E-1063-4827-A752-5E8F7EF2C4CC}</c15:txfldGUID>
                      <c15:f>Sheet1!$B$7</c15:f>
                      <c15:dlblFieldTableCache>
                        <c:ptCount val="1"/>
                        <c:pt idx="0">
                          <c:v>93,4%</c:v>
                        </c:pt>
                      </c15:dlblFieldTableCache>
                    </c15:dlblFTEntry>
                  </c15:dlblFieldTable>
                  <c15:showDataLabelsRange val="1"/>
                </c:ext>
                <c:ext xmlns:c16="http://schemas.microsoft.com/office/drawing/2014/chart" uri="{C3380CC4-5D6E-409C-BE32-E72D297353CC}">
                  <c16:uniqueId val="{00000000-BF45-475B-B62B-8B419A35E536}"/>
                </c:ext>
              </c:extLst>
            </c:dLbl>
            <c:dLbl>
              <c:idx val="1"/>
              <c:tx>
                <c:rich>
                  <a:bodyPr wrap="square" lIns="38100" tIns="19050" rIns="38100" bIns="19050" anchor="ctr">
                    <a:spAutoFit/>
                  </a:bodyPr>
                  <a:lstStyle/>
                  <a:p>
                    <a:pPr>
                      <a:defRPr/>
                    </a:pPr>
                    <a:fld id="{5C7A63CB-96C6-47E4-9EB6-A6CDAD034869}"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{5C7A63CB-96C6-47E4-9EB6-A6CDAD034869}</c15:txfldGUID>
                      <c15:f>Sheet1!$C$7</c15:f>
                      <c15:dlblFieldTableCache>
                        <c:ptCount val="1"/>
                        <c:pt idx="0">
                          <c:v>81,4%</c:v>
                        </c:pt>
                      </c15:dlblFieldTableCache>
                    </c15:dlblFTEntry>
                  </c15:dlblFieldTable>
                  <c15:showDataLabelsRange val="1"/>
                </c:ext>
                <c:ext xmlns:c16="http://schemas.microsoft.com/office/drawing/2014/chart" uri="{C3380CC4-5D6E-409C-BE32-E72D297353CC}">
                  <c16:uniqueId val="{00000001-BF45-475B-B62B-8B419A35E536}"/>
                </c:ext>
              </c:extLst>
            </c:dLbl>
            <c:dLbl>
              <c:idx val="2"/>
              <c:tx>
                <c:rich>
                  <a:bodyPr wrap="square" lIns="38100" tIns="19050" rIns="38100" bIns="19050" anchor="ctr">
                    <a:spAutoFit/>
                  </a:bodyPr>
                  <a:lstStyle/>
                  <a:p>
                    <a:pPr>
                      <a:defRPr/>
                    </a:pPr>
                    <a:fld id="{9687DFAA-6308-4E48-9E39-CE8155FB8E28}"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{9687DFAA-6308-4E48-9E39-CE8155FB8E28}</c15:txfldGUID>
                      <c15:f>Sheet1!$D$7</c15:f>
                      <c15:dlblFieldTableCache>
                        <c:ptCount val="1"/>
                        <c:pt idx="0">
                          <c:v>87,5%</c:v>
                        </c:pt>
                      </c15:dlblFieldTableCache>
                    </c15:dlblFTEntry>
                  </c15:dlblFieldTable>
                  <c15:showDataLabelsRange val="1"/>
                </c:ext>
                <c:ext xmlns:c16="http://schemas.microsoft.com/office/drawing/2014/chart" uri="{C3380CC4-5D6E-409C-BE32-E72D297353CC}">
                  <c16:uniqueId val="{00000002-BF45-475B-B62B-8B419A35E536}"/>
                </c:ext>
              </c:extLst>
            </c:dLbl>
            <c:dLbl>
              <c:idx val="3"/>
              <c:layout>
                <c:manualLayout>
                  <c:x val="1.4628209994380555E-2"/>
                  <c:y val="-6.7681263289240765E-3"/>
                </c:manualLayout>
              </c:layout>
              <c:tx>
                <c:rich>
                  <a:bodyPr wrap="square" lIns="38100" tIns="19050" rIns="38100" bIns="19050" anchor="ctr">
                    <a:noAutofit/>
                  </a:bodyPr>
                  <a:lstStyle/>
                  <a:p>
                    <a:pPr>
                      <a:defRPr/>
                    </a:pPr>
                    <a:fld id="{E8D436BA-710E-4F94-9AD9-6E500957021F}"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2356785693759079E-2"/>
                      <c:h val="3.4532688490080864E-2"/>
                    </c:manualLayout>
                  </c15:layout>
                  <c15:dlblFieldTable>
                    <c15:dlblFTEntry>
                      <c15:txfldGUID>{E8D436BA-710E-4F94-9AD9-6E500957021F}</c15:txfldGUID>
                      <c15:f>Sheet1!$E$7</c15:f>
                      <c15:dlblFieldTableCache>
                        <c:ptCount val="1"/>
                        <c:pt idx="0">
                          <c:v>63,6%</c:v>
                        </c:pt>
                      </c15:dlblFieldTableCache>
                    </c15:dlblFTEntry>
                  </c15:dlblFieldTable>
                  <c15:showDataLabelsRange val="1"/>
                </c:ext>
                <c:ext xmlns:c16="http://schemas.microsoft.com/office/drawing/2014/chart" uri="{C3380CC4-5D6E-409C-BE32-E72D297353CC}">
                  <c16:uniqueId val="{00000003-BF45-475B-B62B-8B419A35E536}"/>
                </c:ext>
              </c:extLst>
            </c:dLbl>
            <c:dLbl>
              <c:idx val="4"/>
              <c:tx>
                <c:rich>
                  <a:bodyPr wrap="square" lIns="38100" tIns="19050" rIns="38100" bIns="19050" anchor="ctr">
                    <a:spAutoFit/>
                  </a:bodyPr>
                  <a:lstStyle/>
                  <a:p>
                    <a:pPr>
                      <a:defRPr/>
                    </a:pPr>
                    <a:fld id="{FF7B6BD3-B582-4D44-BA05-9B31BDF51BBB}"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{FF7B6BD3-B582-4D44-BA05-9B31BDF51BBB}</c15:txfldGUID>
                      <c15:f>Sheet1!$F$7</c15:f>
                      <c15:dlblFieldTableCache>
                        <c:ptCount val="1"/>
                        <c:pt idx="0">
                          <c:v>91,0%</c:v>
                        </c:pt>
                      </c15:dlblFieldTableCache>
                    </c15:dlblFTEntry>
                  </c15:dlblFieldTable>
                  <c15:showDataLabelsRange val="1"/>
                </c:ext>
                <c:ext xmlns:c16="http://schemas.microsoft.com/office/drawing/2014/chart" uri="{C3380CC4-5D6E-409C-BE32-E72D297353CC}">
                  <c16:uniqueId val="{00000004-BF45-475B-B62B-8B419A35E536}"/>
                </c:ext>
              </c:extLst>
            </c:dLbl>
            <c:dLbl>
              <c:idx val="5"/>
              <c:tx>
                <c:rich>
                  <a:bodyPr wrap="square" lIns="38100" tIns="19050" rIns="38100" bIns="19050" anchor="ctr">
                    <a:spAutoFit/>
                  </a:bodyPr>
                  <a:lstStyle/>
                  <a:p>
                    <a:pPr>
                      <a:defRPr/>
                    </a:pPr>
                    <a:fld id="{5224E5E3-134C-4368-A8E5-AD35A70902D8}" type="CELLREF">
                      <a:rPr lang="en-US"/>
                      <a:pPr>
                        <a:defRPr/>
                      </a:pPr>
                      <a:t>[REFERENCA ĆELIJE]</a:t>
                    </a:fld>
                    <a:endParaRPr lang="hr-HR"/>
                  </a:p>
                </c:rich>
              </c:tx>
              <c:numFmt formatCode="#,##0.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{5224E5E3-134C-4368-A8E5-AD35A70902D8}</c15:txfldGUID>
                      <c15:f>Sheet1!$G$7</c15:f>
                      <c15:dlblFieldTableCache>
                        <c:ptCount val="1"/>
                        <c:pt idx="0">
                          <c:v>89,9%</c:v>
                        </c:pt>
                      </c15:dlblFieldTableCache>
                    </c15:dlblFTEntry>
                  </c15:dlblFieldTable>
                  <c15:showDataLabelsRange val="1"/>
                </c:ext>
                <c:ext xmlns:c16="http://schemas.microsoft.com/office/drawing/2014/chart" uri="{C3380CC4-5D6E-409C-BE32-E72D297353CC}">
                  <c16:uniqueId val="{00000005-BF45-475B-B62B-8B419A35E536}"/>
                </c:ext>
              </c:extLst>
            </c:dLbl>
            <c:dLbl>
              <c:idx val="6"/>
              <c:layout>
                <c:manualLayout>
                  <c:x val="4.0372028185273521E-4"/>
                  <c:y val="-1.3562150884985601E-2"/>
                </c:manualLayout>
              </c:layout>
              <c:tx>
                <c:rich>
                  <a:bodyPr wrap="square" lIns="38100" tIns="19050" rIns="38100" bIns="19050" anchor="ctr">
                    <a:spAutoFit/>
                  </a:bodyPr>
                  <a:lstStyle/>
                  <a:p>
                    <a:pPr>
                      <a:defRPr/>
                    </a:pPr>
                    <a:fld id="{42D27EC2-9A30-4165-B3F0-6F7E179E0C6E}"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{42D27EC2-9A30-4165-B3F0-6F7E179E0C6E}</c15:txfldGUID>
                      <c15:f>Sheet1!$H$7</c15:f>
                      <c15:dlblFieldTableCache>
                        <c:ptCount val="1"/>
                        <c:pt idx="0">
                          <c:v>94,9%</c:v>
                        </c:pt>
                      </c15:dlblFieldTableCache>
                    </c15:dlblFTEntry>
                  </c15:dlblFieldTable>
                  <c15:showDataLabelsRange val="1"/>
                </c:ext>
                <c:ext xmlns:c16="http://schemas.microsoft.com/office/drawing/2014/chart" uri="{C3380CC4-5D6E-409C-BE32-E72D297353CC}">
                  <c16:uniqueId val="{00000006-BF45-475B-B62B-8B419A35E536}"/>
                </c:ext>
              </c:extLst>
            </c:dLbl>
            <c:dLbl>
              <c:idx val="7"/>
              <c:tx>
                <c:rich>
                  <a:bodyPr wrap="square" lIns="38100" tIns="19050" rIns="38100" bIns="19050" anchor="ctr">
                    <a:spAutoFit/>
                  </a:bodyPr>
                  <a:lstStyle/>
                  <a:p>
                    <a:pPr>
                      <a:defRPr>
                        <a:solidFill>
                          <a:srgbClr val="000000"/>
                        </a:solidFill>
                      </a:defRPr>
                    </a:pPr>
                    <a:fld id="{521A2AB0-8392-4793-9095-6DAD66160E27}" type="CELLREF">
                      <a:rPr lang="en-US">
                        <a:solidFill>
                          <a:srgbClr val="000000"/>
                        </a:solidFill>
                      </a:rPr>
                      <a:pPr>
                        <a:defRPr>
                          <a:solidFill>
                            <a:srgbClr val="000000"/>
                          </a:solidFill>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{521A2AB0-8392-4793-9095-6DAD66160E27}</c15:txfldGUID>
                      <c15:f>Sheet1!$I$7</c15:f>
                      <c15:dlblFieldTableCache>
                        <c:ptCount val="1"/>
                        <c:pt idx="0">
                          <c:v>97,5%</c:v>
                        </c:pt>
                      </c15:dlblFieldTableCache>
                    </c15:dlblFTEntry>
                  </c15:dlblFieldTable>
                  <c15:showDataLabelsRange val="1"/>
                </c:ext>
                <c:ext xmlns:c16="http://schemas.microsoft.com/office/drawing/2014/chart" uri="{C3380CC4-5D6E-409C-BE32-E72D297353CC}">
                  <c16:uniqueId val="{00000002-4EED-462B-AF57-A719C48F2B08}"/>
                </c:ext>
              </c:extLst>
            </c:dLbl>
            <c:dLbl>
              <c:idx val="8"/>
              <c:layout>
                <c:manualLayout>
                  <c:x val="6.95168578380247E-3"/>
                  <c:y val="1.6920473773265651E-3"/>
                </c:manualLayout>
              </c:layout>
              <c:tx>
                <c:rich>
                  <a:bodyPr wrap="square" lIns="38100" tIns="19050" rIns="38100" bIns="19050" anchor="ctr">
                    <a:noAutofit/>
                  </a:bodyPr>
                  <a:lstStyle/>
                  <a:p>
                    <a:pPr>
                      <a:defRPr/>
                    </a:pPr>
                    <a:fld id="{AA7EB5B0-F657-418C-A9B4-99495667CE8D}"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4574209245742097E-2"/>
                      <c:h val="3.9814008020571036E-2"/>
                    </c:manualLayout>
                  </c15:layout>
                  <c15:dlblFieldTable>
                    <c15:dlblFTEntry>
                      <c15:txfldGUID>{AA7EB5B0-F657-418C-A9B4-99495667CE8D}</c15:txfldGUID>
                      <c15:f>Sheet1!$J$7</c15:f>
                      <c15:dlblFieldTableCache>
                        <c:ptCount val="1"/>
                        <c:pt idx="0">
                          <c:v>89,6%</c:v>
                        </c:pt>
                      </c15:dlblFieldTableCache>
                    </c15:dlblFTEntry>
                  </c15:dlblFieldTable>
                  <c15:showDataLabelsRange val="1"/>
                </c:ext>
                <c:ext xmlns:c16="http://schemas.microsoft.com/office/drawing/2014/chart" uri="{C3380CC4-5D6E-409C-BE32-E72D297353CC}">
                  <c16:uniqueId val="{00000003-38BD-48C4-B9C1-3892CD3112E6}"/>
                </c:ext>
              </c:extLst>
            </c:dLbl>
            <c:dLbl>
              <c:idx val="9"/>
              <c:tx>
                <c:rich>
                  <a:bodyPr wrap="square" lIns="38100" tIns="19050" rIns="38100" bIns="19050" anchor="ctr">
                    <a:spAutoFit/>
                  </a:bodyPr>
                  <a:lstStyle/>
                  <a:p>
                    <a:pPr>
                      <a:defRPr/>
                    </a:pPr>
                    <a:fld id="{58E3687F-BEA8-4AFC-B201-2F574F335386}" type="CELLREF">
                      <a:rPr lang="en-US" sz="800"/>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{58E3687F-BEA8-4AFC-B201-2F574F335386}</c15:txfldGUID>
                      <c15:f>Sheet1!$K$7</c15:f>
                      <c15:dlblFieldTableCache>
                        <c:ptCount val="1"/>
                        <c:pt idx="0">
                          <c:v>95,8%</c:v>
                        </c:pt>
                      </c15:dlblFieldTableCache>
                    </c15:dlblFTEntry>
                  </c15:dlblFieldTable>
                  <c15:showDataLabelsRange val="1"/>
                </c:ext>
                <c:ext xmlns:c16="http://schemas.microsoft.com/office/drawing/2014/chart" uri="{C3380CC4-5D6E-409C-BE32-E72D297353CC}">
                  <c16:uniqueId val="{00000003-2394-4396-BFF4-22DD1A39C51B}"/>
                </c:ext>
              </c:extLst>
            </c:dLbl>
            <c:dLbl>
              <c:idx val="10"/>
              <c:tx>
                <c:rich>
                  <a:bodyPr wrap="square" lIns="38100" tIns="19050" rIns="38100" bIns="19050" anchor="ctr">
                    <a:spAutoFit/>
                  </a:bodyPr>
                  <a:lstStyle/>
                  <a:p>
                    <a:pPr>
                      <a:defRPr/>
                    </a:pPr>
                    <a:fld id="{98279390-B7EE-40BC-B920-F298FD0D8693}"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{98279390-B7EE-40BC-B920-F298FD0D8693}</c15:txfldGUID>
                      <c15:f>Sheet1!$L$7</c15:f>
                      <c15:dlblFieldTableCache>
                        <c:ptCount val="1"/>
                        <c:pt idx="0">
                          <c:v>99,0%</c:v>
                        </c:pt>
                      </c15:dlblFieldTableCache>
                    </c15:dlblFTEntry>
                  </c15:dlblFieldTable>
                  <c15:showDataLabelsRange val="1"/>
                </c:ext>
                <c:ext xmlns:c16="http://schemas.microsoft.com/office/drawing/2014/chart" uri="{C3380CC4-5D6E-409C-BE32-E72D297353CC}">
                  <c16:uniqueId val="{00000002-0314-4D21-B7A9-2965CC4E72D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Sheet1!$B$1:$L$1</c:f>
              <c:strCache>
                <c:ptCount val="11"/>
                <c:pt idx="0">
                  <c:v>2015.</c:v>
                </c:pt>
                <c:pt idx="1">
                  <c:v>2016.</c:v>
                </c:pt>
                <c:pt idx="2">
                  <c:v>2017.</c:v>
                </c:pt>
                <c:pt idx="3">
                  <c:v>2018.</c:v>
                </c:pt>
                <c:pt idx="4">
                  <c:v>2019.</c:v>
                </c:pt>
                <c:pt idx="5">
                  <c:v>2020.</c:v>
                </c:pt>
                <c:pt idx="6">
                  <c:v>2021.</c:v>
                </c:pt>
                <c:pt idx="7">
                  <c:v>2022.</c:v>
                </c:pt>
                <c:pt idx="8">
                  <c:v>2023.</c:v>
                </c:pt>
                <c:pt idx="9">
                  <c:v>2024.</c:v>
                </c:pt>
                <c:pt idx="10">
                  <c:v>1-6/2025.</c:v>
                </c:pt>
              </c:strCache>
            </c:strRef>
          </c:cat>
          <c:val>
            <c:numRef>
              <c:f>Sheet1!$B$2:$L$2</c:f>
              <c:numCache>
                <c:formatCode>#,##0.00</c:formatCode>
                <c:ptCount val="11"/>
                <c:pt idx="0">
                  <c:v>898416.40055743582</c:v>
                </c:pt>
                <c:pt idx="1">
                  <c:v>388817.70256818633</c:v>
                </c:pt>
                <c:pt idx="2">
                  <c:v>921462.18992633885</c:v>
                </c:pt>
                <c:pt idx="3">
                  <c:v>247485.61019311167</c:v>
                </c:pt>
                <c:pt idx="4">
                  <c:v>977568.56858451117</c:v>
                </c:pt>
                <c:pt idx="5">
                  <c:v>651731.75924082554</c:v>
                </c:pt>
                <c:pt idx="6">
                  <c:v>627191.44601499767</c:v>
                </c:pt>
                <c:pt idx="7">
                  <c:v>2150744.3440175191</c:v>
                </c:pt>
                <c:pt idx="8">
                  <c:v>513070.77</c:v>
                </c:pt>
                <c:pt idx="9">
                  <c:v>2522233.77</c:v>
                </c:pt>
                <c:pt idx="10">
                  <c:v>3408203.35</c:v>
                </c:pt>
              </c:numCache>
            </c:numRef>
          </c:val>
          <c:extLst>
            <c:ext xmlns:c15="http://schemas.microsoft.com/office/drawing/2012/chart" uri="{02D57815-91ED-43cb-92C2-25804820EDAC}">
              <c15:datalabelsRange>
                <c15:f>Sheet1!$G$7</c15:f>
                <c15:dlblRangeCache>
                  <c:ptCount val="1"/>
                  <c:pt idx="0">
                    <c:v>89,9%</c:v>
                  </c:pt>
                </c15:dlblRangeCache>
              </c15:datalabelsRange>
            </c:ext>
            <c:ext xmlns:c16="http://schemas.microsoft.com/office/drawing/2014/chart" uri="{C3380CC4-5D6E-409C-BE32-E72D297353CC}">
              <c16:uniqueId val="{00000007-BF45-475B-B62B-8B419A35E536}"/>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Pt>
            <c:idx val="6"/>
            <c:invertIfNegative val="0"/>
            <c:bubble3D val="0"/>
            <c:spPr>
              <a:ln w="7628">
                <a:solidFill>
                  <a:srgbClr val="000000"/>
                </a:solidFill>
                <a:prstDash val="solid"/>
              </a:ln>
            </c:spPr>
            <c:extLst>
              <c:ext xmlns:c16="http://schemas.microsoft.com/office/drawing/2014/chart" uri="{C3380CC4-5D6E-409C-BE32-E72D297353CC}">
                <c16:uniqueId val="{00000009-BF45-475B-B62B-8B419A35E536}"/>
              </c:ext>
            </c:extLst>
          </c:dPt>
          <c:dLbls>
            <c:dLbl>
              <c:idx val="0"/>
              <c:layout>
                <c:manualLayout>
                  <c:x val="1.4298430665708208E-2"/>
                  <c:y val="-8.1376558167919028E-2"/>
                </c:manualLayout>
              </c:layout>
              <c:tx>
                <c:rich>
                  <a:bodyPr wrap="square" lIns="38100" tIns="19050" rIns="38100" bIns="19050" anchor="ctr">
                    <a:noAutofit/>
                  </a:bodyPr>
                  <a:lstStyle/>
                  <a:p>
                    <a:pPr>
                      <a:defRPr/>
                    </a:pPr>
                    <a:r>
                      <a:rPr lang="en-US"/>
                      <a:t>6,6%</a:t>
                    </a:r>
                  </a:p>
                </c:rich>
              </c:tx>
              <c:numFmt formatCode="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610065165212013E-2"/>
                      <c:h val="4.1072518219486522E-2"/>
                    </c:manualLayout>
                  </c15:layout>
                  <c15:showDataLabelsRange val="1"/>
                </c:ext>
                <c:ext xmlns:c16="http://schemas.microsoft.com/office/drawing/2014/chart" uri="{C3380CC4-5D6E-409C-BE32-E72D297353CC}">
                  <c16:uniqueId val="{0000000A-BF45-475B-B62B-8B419A35E536}"/>
                </c:ext>
              </c:extLst>
            </c:dLbl>
            <c:dLbl>
              <c:idx val="1"/>
              <c:layout>
                <c:manualLayout>
                  <c:x val="4.1245617653124355E-3"/>
                  <c:y val="-7.1216617210682495E-2"/>
                </c:manualLayout>
              </c:layout>
              <c:tx>
                <c:rich>
                  <a:bodyPr/>
                  <a:lstStyle/>
                  <a:p>
                    <a:r>
                      <a:rPr lang="en-US"/>
                      <a:t>18,6%</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B-BF45-475B-B62B-8B419A35E536}"/>
                </c:ext>
              </c:extLst>
            </c:dLbl>
            <c:dLbl>
              <c:idx val="2"/>
              <c:layout>
                <c:manualLayout>
                  <c:x val="2.7645963341719215E-2"/>
                  <c:y val="-6.834973871169446E-2"/>
                </c:manualLayout>
              </c:layout>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C-BF45-475B-B62B-8B419A35E536}"/>
                </c:ext>
              </c:extLst>
            </c:dLbl>
            <c:dLbl>
              <c:idx val="3"/>
              <c:layout>
                <c:manualLayout>
                  <c:x val="1.3748539217707111E-3"/>
                  <c:y val="-9.0999010880316519E-2"/>
                </c:manualLayout>
              </c:layout>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D-BF45-475B-B62B-8B419A35E536}"/>
                </c:ext>
              </c:extLst>
            </c:dLbl>
            <c:dLbl>
              <c:idx val="4"/>
              <c:layout>
                <c:manualLayout>
                  <c:x val="1.3748539217708119E-3"/>
                  <c:y val="-5.539070227497527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E-BF45-475B-B62B-8B419A35E536}"/>
                </c:ext>
              </c:extLst>
            </c:dLbl>
            <c:dLbl>
              <c:idx val="5"/>
              <c:layout>
                <c:manualLayout>
                  <c:x val="6.9154115071715623E-3"/>
                  <c:y val="-7.0864727069015823E-2"/>
                </c:manualLayout>
              </c:layout>
              <c:tx>
                <c:rich>
                  <a:bodyPr/>
                  <a:lstStyle/>
                  <a:p>
                    <a:r>
                      <a:rPr lang="en-US"/>
                      <a:t>10,1%</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F-BF45-475B-B62B-8B419A35E536}"/>
                </c:ext>
              </c:extLst>
            </c:dLbl>
            <c:dLbl>
              <c:idx val="6"/>
              <c:layout>
                <c:manualLayout>
                  <c:x val="8.2491235306247704E-3"/>
                  <c:y val="-7.1216617210682495E-2"/>
                </c:manualLayout>
              </c:layout>
              <c:tx>
                <c:rich>
                  <a:bodyPr/>
                  <a:lstStyle/>
                  <a:p>
                    <a:fld id="{AB8B55BE-3390-493C-B504-A3B936AFF1A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{AB8B55BE-3390-493C-B504-A3B936AFF1A8}</c15:txfldGUID>
                      <c15:f>Sheet1!$H$8</c15:f>
                      <c15:dlblFieldTableCache>
                        <c:ptCount val="1"/>
                        <c:pt idx="0">
                          <c:v>5,1%</c:v>
                        </c:pt>
                      </c15:dlblFieldTableCache>
                    </c15:dlblFTEntry>
                  </c15:dlblFieldTable>
                  <c15:showDataLabelsRange val="1"/>
                </c:ext>
                <c:ext xmlns:c16="http://schemas.microsoft.com/office/drawing/2014/chart" uri="{C3380CC4-5D6E-409C-BE32-E72D297353CC}">
                  <c16:uniqueId val="{00000009-BF45-475B-B62B-8B419A35E536}"/>
                </c:ext>
              </c:extLst>
            </c:dLbl>
            <c:dLbl>
              <c:idx val="7"/>
              <c:layout>
                <c:manualLayout>
                  <c:x val="1.0173764775753396E-2"/>
                  <c:y val="-5.391641155882989E-2"/>
                </c:manualLayout>
              </c:layout>
              <c:tx>
                <c:rich>
                  <a:bodyPr/>
                  <a:lstStyle/>
                  <a:p>
                    <a:fld id="{7026D835-FDF7-4F21-B5D0-FCD2542979A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{7026D835-FDF7-4F21-B5D0-FCD2542979AB}</c15:txfldGUID>
                      <c15:f>Sheet1!$I$8</c15:f>
                      <c15:dlblFieldTableCache>
                        <c:ptCount val="1"/>
                        <c:pt idx="0">
                          <c:v>2,5%</c:v>
                        </c:pt>
                      </c15:dlblFieldTableCache>
                    </c15:dlblFTEntry>
                  </c15:dlblFieldTable>
                  <c15:showDataLabelsRange val="1"/>
                </c:ext>
                <c:ext xmlns:c16="http://schemas.microsoft.com/office/drawing/2014/chart" uri="{C3380CC4-5D6E-409C-BE32-E72D297353CC}">
                  <c16:uniqueId val="{00000003-4EED-462B-AF57-A719C48F2B08}"/>
                </c:ext>
              </c:extLst>
            </c:dLbl>
            <c:dLbl>
              <c:idx val="8"/>
              <c:layout>
                <c:manualLayout>
                  <c:x val="1.1122697254084116E-2"/>
                  <c:y val="-4.060913705583756E-2"/>
                </c:manualLayout>
              </c:layout>
              <c:tx>
                <c:rich>
                  <a:bodyPr/>
                  <a:lstStyle/>
                  <a:p>
                    <a:fld id="{2CF8C129-0115-44D4-8E16-F07C7E9C599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{2CF8C129-0115-44D4-8E16-F07C7E9C599D}</c15:txfldGUID>
                      <c15:f>Sheet1!$J$8</c15:f>
                      <c15:dlblFieldTableCache>
                        <c:ptCount val="1"/>
                        <c:pt idx="0">
                          <c:v>10,4%</c:v>
                        </c:pt>
                      </c15:dlblFieldTableCache>
                    </c15:dlblFTEntry>
                  </c15:dlblFieldTable>
                  <c15:showDataLabelsRange val="1"/>
                </c:ext>
                <c:ext xmlns:c16="http://schemas.microsoft.com/office/drawing/2014/chart" uri="{C3380CC4-5D6E-409C-BE32-E72D297353CC}">
                  <c16:uniqueId val="{00000002-38BD-48C4-B9C1-3892CD3112E6}"/>
                </c:ext>
              </c:extLst>
            </c:dLbl>
            <c:dLbl>
              <c:idx val="9"/>
              <c:layout>
                <c:manualLayout>
                  <c:x val="-1.0195688034785563E-16"/>
                  <c:y val="-4.8927361686112156E-2"/>
                </c:manualLayout>
              </c:layout>
              <c:tx>
                <c:rich>
                  <a:bodyPr/>
                  <a:lstStyle/>
                  <a:p>
                    <a:fld id="{C3A3C86C-EEE6-4DBC-86E6-1916961B4CC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{C3A3C86C-EEE6-4DBC-86E6-1916961B4CC4}</c15:txfldGUID>
                      <c15:f>Sheet1!$K$8</c15:f>
                      <c15:dlblFieldTableCache>
                        <c:ptCount val="1"/>
                        <c:pt idx="0">
                          <c:v>4,2%</c:v>
                        </c:pt>
                      </c15:dlblFieldTableCache>
                    </c15:dlblFTEntry>
                  </c15:dlblFieldTable>
                  <c15:showDataLabelsRange val="1"/>
                </c:ext>
                <c:ext xmlns:c16="http://schemas.microsoft.com/office/drawing/2014/chart" uri="{C3380CC4-5D6E-409C-BE32-E72D297353CC}">
                  <c16:uniqueId val="{00000002-2394-4396-BFF4-22DD1A39C51B}"/>
                </c:ext>
              </c:extLst>
            </c:dLbl>
            <c:dLbl>
              <c:idx val="10"/>
              <c:layout>
                <c:manualLayout>
                  <c:x val="6.9516857838025723E-3"/>
                  <c:y val="-3.7636432066240122E-2"/>
                </c:manualLayout>
              </c:layout>
              <c:tx>
                <c:rich>
                  <a:bodyPr/>
                  <a:lstStyle/>
                  <a:p>
                    <a:fld id="{BA798E07-D3AF-49A0-B18B-39E4D94445FA}"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{BA798E07-D3AF-49A0-B18B-39E4D94445FA}</c15:txfldGUID>
                      <c15:f>Sheet1!$L$8</c15:f>
                      <c15:dlblFieldTableCache>
                        <c:ptCount val="1"/>
                        <c:pt idx="0">
                          <c:v>1,0%</c:v>
                        </c:pt>
                      </c15:dlblFieldTableCache>
                    </c15:dlblFTEntry>
                  </c15:dlblFieldTable>
                  <c15:showDataLabelsRange val="1"/>
                </c:ext>
                <c:ext xmlns:c16="http://schemas.microsoft.com/office/drawing/2014/chart" uri="{C3380CC4-5D6E-409C-BE32-E72D297353CC}">
                  <c16:uniqueId val="{00000003-0314-4D21-B7A9-2965CC4E72D4}"/>
                </c:ext>
              </c:extLst>
            </c:dLbl>
            <c:numFmt formatCode="0.0%" sourceLinked="0"/>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Sheet1!$B$1:$L$1</c:f>
              <c:strCache>
                <c:ptCount val="11"/>
                <c:pt idx="0">
                  <c:v>2015.</c:v>
                </c:pt>
                <c:pt idx="1">
                  <c:v>2016.</c:v>
                </c:pt>
                <c:pt idx="2">
                  <c:v>2017.</c:v>
                </c:pt>
                <c:pt idx="3">
                  <c:v>2018.</c:v>
                </c:pt>
                <c:pt idx="4">
                  <c:v>2019.</c:v>
                </c:pt>
                <c:pt idx="5">
                  <c:v>2020.</c:v>
                </c:pt>
                <c:pt idx="6">
                  <c:v>2021.</c:v>
                </c:pt>
                <c:pt idx="7">
                  <c:v>2022.</c:v>
                </c:pt>
                <c:pt idx="8">
                  <c:v>2023.</c:v>
                </c:pt>
                <c:pt idx="9">
                  <c:v>2024.</c:v>
                </c:pt>
                <c:pt idx="10">
                  <c:v>1-6/2025.</c:v>
                </c:pt>
              </c:strCache>
            </c:strRef>
          </c:cat>
          <c:val>
            <c:numRef>
              <c:f>Sheet1!$B$3:$L$3</c:f>
              <c:numCache>
                <c:formatCode>#,##0.00</c:formatCode>
                <c:ptCount val="11"/>
                <c:pt idx="0">
                  <c:v>63075.835158271948</c:v>
                </c:pt>
                <c:pt idx="1">
                  <c:v>89018.051629172463</c:v>
                </c:pt>
                <c:pt idx="2">
                  <c:v>132118.71524321454</c:v>
                </c:pt>
                <c:pt idx="3">
                  <c:v>141669.80025217333</c:v>
                </c:pt>
                <c:pt idx="4">
                  <c:v>97168.204924016187</c:v>
                </c:pt>
                <c:pt idx="5">
                  <c:v>73562.183290198416</c:v>
                </c:pt>
                <c:pt idx="6">
                  <c:v>33664.28827393987</c:v>
                </c:pt>
                <c:pt idx="7">
                  <c:v>55904.395779414685</c:v>
                </c:pt>
                <c:pt idx="8">
                  <c:v>59624.9</c:v>
                </c:pt>
                <c:pt idx="9">
                  <c:v>110182.24</c:v>
                </c:pt>
                <c:pt idx="10">
                  <c:v>35446</c:v>
                </c:pt>
              </c:numCache>
            </c:numRef>
          </c:val>
          <c:extLst>
            <c:ext xmlns:c15="http://schemas.microsoft.com/office/drawing/2012/chart" uri="{02D57815-91ED-43cb-92C2-25804820EDAC}">
              <c15:datalabelsRange>
                <c15:f>Sheet1!$G$8</c15:f>
                <c15:dlblRangeCache>
                  <c:ptCount val="1"/>
                  <c:pt idx="0">
                    <c:v>10,1%</c:v>
                  </c:pt>
                </c15:dlblRangeCache>
              </c15:datalabelsRange>
            </c:ext>
            <c:ext xmlns:c16="http://schemas.microsoft.com/office/drawing/2014/chart" uri="{C3380CC4-5D6E-409C-BE32-E72D297353CC}">
              <c16:uniqueId val="{00000010-BF45-475B-B62B-8B419A35E536}"/>
            </c:ext>
          </c:extLst>
        </c:ser>
        <c:dLbls>
          <c:showLegendKey val="0"/>
          <c:showVal val="0"/>
          <c:showCatName val="0"/>
          <c:showSerName val="0"/>
          <c:showPercent val="0"/>
          <c:showBubbleSize val="0"/>
        </c:dLbls>
        <c:gapWidth val="150"/>
        <c:overlap val="100"/>
        <c:axId val="279883264"/>
        <c:axId val="204374016"/>
      </c:barChart>
      <c:catAx>
        <c:axId val="279883264"/>
        <c:scaling>
          <c:orientation val="minMax"/>
        </c:scaling>
        <c:delete val="0"/>
        <c:axPos val="b"/>
        <c:title>
          <c:tx>
            <c:rich>
              <a:bodyPr/>
              <a:lstStyle/>
              <a:p>
                <a:pPr>
                  <a:defRPr/>
                </a:pPr>
                <a:r>
                  <a:rPr lang="en-GB" sz="1000"/>
                  <a:t>godina</a:t>
                </a:r>
              </a:p>
            </c:rich>
          </c:tx>
          <c:layout>
            <c:manualLayout>
              <c:xMode val="edge"/>
              <c:yMode val="edge"/>
              <c:x val="0.48328283782045495"/>
              <c:y val="0.90138899178814547"/>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4016"/>
        <c:crossesAt val="90000000"/>
        <c:auto val="1"/>
        <c:lblAlgn val="ctr"/>
        <c:lblOffset val="100"/>
        <c:tickLblSkip val="1"/>
        <c:tickMarkSkip val="1"/>
        <c:noMultiLvlLbl val="0"/>
      </c:catAx>
      <c:valAx>
        <c:axId val="204374016"/>
        <c:scaling>
          <c:orientation val="minMax"/>
        </c:scaling>
        <c:delete val="0"/>
        <c:axPos val="l"/>
        <c:majorGridlines/>
        <c:title>
          <c:tx>
            <c:rich>
              <a:bodyPr/>
              <a:lstStyle/>
              <a:p>
                <a:pPr>
                  <a:defRPr sz="900"/>
                </a:pPr>
                <a:r>
                  <a:rPr lang="hr-HR" sz="900"/>
                  <a:t>iznos proračuna (€)</a:t>
                </a:r>
              </a:p>
              <a:p>
                <a:pPr>
                  <a:defRPr sz="900"/>
                </a:pPr>
                <a:endParaRPr lang="en-GB" sz="900"/>
              </a:p>
            </c:rich>
          </c:tx>
          <c:layout>
            <c:manualLayout>
              <c:xMode val="edge"/>
              <c:yMode val="edge"/>
              <c:x val="5.1587121296956938E-2"/>
              <c:y val="0.26711424970070302"/>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279883264"/>
        <c:crosses val="autoZero"/>
        <c:crossBetween val="between"/>
      </c:valAx>
      <c:dTable>
        <c:showHorzBorder val="1"/>
        <c:showVertBorder val="1"/>
        <c:showOutline val="1"/>
        <c:showKeys val="1"/>
        <c:txPr>
          <a:bodyPr/>
          <a:lstStyle/>
          <a:p>
            <a:pPr rtl="0">
              <a:defRPr sz="700"/>
            </a:pPr>
            <a:endParaRPr lang="sr-Latn-RS"/>
          </a:p>
        </c:txPr>
      </c:dTable>
      <c:spPr>
        <a:solidFill>
          <a:srgbClr val="EEECE1"/>
        </a:solidFill>
        <a:ln w="7628">
          <a:solidFill>
            <a:srgbClr val="808080"/>
          </a:solidFill>
          <a:prstDash val="solid"/>
        </a:ln>
      </c:spPr>
    </c:plotArea>
    <c:legend>
      <c:legendPos val="r"/>
      <c:layout>
        <c:manualLayout>
          <c:xMode val="edge"/>
          <c:yMode val="edge"/>
          <c:x val="0.89638386442570583"/>
          <c:y val="0.1180118480673544"/>
          <c:w val="8.8880430402631189E-2"/>
          <c:h val="0.64945452136697979"/>
        </c:manualLayout>
      </c:layout>
      <c:overlay val="0"/>
      <c:spPr>
        <a:pattFill prst="pct5">
          <a:fgClr>
            <a:srgbClr val="EEECE1"/>
          </a:fgClr>
          <a:bgClr>
            <a:sysClr val="window" lastClr="FFFFFF"/>
          </a:bgClr>
        </a:patt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a:t>
            </a:r>
            <a:r>
              <a:rPr lang="hr-HR"/>
              <a:t>izdataka (5)</a:t>
            </a:r>
            <a:r>
              <a:rPr lang="hr-HR" baseline="0"/>
              <a:t> Općine za razdoblje </a:t>
            </a:r>
            <a:r>
              <a:rPr lang="en-GB"/>
              <a:t>2015.-</a:t>
            </a:r>
            <a:r>
              <a:rPr lang="hr-HR"/>
              <a:t>20</a:t>
            </a:r>
            <a:r>
              <a:rPr lang="en-US"/>
              <a:t>2</a:t>
            </a:r>
            <a:r>
              <a:rPr lang="hr-HR"/>
              <a:t>4. i 1-6/2025.</a:t>
            </a:r>
            <a:endParaRPr lang="en-GB"/>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43158504960029"/>
          <c:y val="0.16099854184893553"/>
          <c:w val="0.66614357263910784"/>
          <c:h val="0.55565405722886041"/>
        </c:manualLayout>
      </c:layout>
      <c:barChart>
        <c:barDir val="col"/>
        <c:grouping val="stacked"/>
        <c:varyColors val="0"/>
        <c:ser>
          <c:idx val="0"/>
          <c:order val="0"/>
          <c:tx>
            <c:strRef>
              <c:f>Sheet1!$A$3</c:f>
              <c:strCache>
                <c:ptCount val="1"/>
                <c:pt idx="0">
                  <c:v>IZDACI ZA UDJELE U GLAVNICI TRGOVAČKIH DRUŠTAVA (53)</c:v>
                </c:pt>
              </c:strCache>
            </c:strRef>
          </c:tx>
          <c:spPr>
            <a:pattFill prst="horzBrick">
              <a:fgClr>
                <a:srgbClr val="F79646">
                  <a:lumMod val="60000"/>
                  <a:lumOff val="40000"/>
                </a:srgbClr>
              </a:fgClr>
              <a:bgClr>
                <a:sysClr val="window" lastClr="FFFFFF"/>
              </a:bgClr>
            </a:pattFill>
            <a:ln w="7628">
              <a:solidFill>
                <a:srgbClr val="000000"/>
              </a:solidFill>
              <a:prstDash val="solid"/>
            </a:ln>
          </c:spPr>
          <c:invertIfNegative val="0"/>
          <c:dLbls>
            <c:dLbl>
              <c:idx val="0"/>
              <c:tx>
                <c:rich>
                  <a:bodyPr wrap="square" lIns="38100" tIns="19050" rIns="38100" bIns="19050" anchor="ctr">
                    <a:spAutoFit/>
                  </a:bodyPr>
                  <a:lstStyle/>
                  <a:p>
                    <a:pPr>
                      <a:defRPr>
                        <a:solidFill>
                          <a:sysClr val="windowText" lastClr="000000"/>
                        </a:solidFill>
                        <a:latin typeface="+mn-lt"/>
                        <a:ea typeface="+mn-ea"/>
                        <a:cs typeface="+mn-cs"/>
                      </a:defRPr>
                    </a:pPr>
                    <a:fld id="{10546FFD-AACC-46E5-B6D7-E1E339114A6B}" type="CELLREF">
                      <a:rPr lang="en-US" sz="700" baseline="0">
                        <a:solidFill>
                          <a:sysClr val="windowText" lastClr="000000"/>
                        </a:solidFill>
                        <a:latin typeface="+mn-lt"/>
                        <a:ea typeface="+mn-ea"/>
                        <a:cs typeface="+mn-cs"/>
                      </a:rPr>
                      <a:pPr>
                        <a:defRPr>
                          <a:solidFill>
                            <a:sysClr val="windowText" lastClr="000000"/>
                          </a:solidFill>
                          <a:latin typeface="+mn-lt"/>
                          <a:ea typeface="+mn-ea"/>
                          <a:cs typeface="+mn-cs"/>
                        </a:defRPr>
                      </a:pPr>
                      <a:t>[REFERENCA ĆELIJE]</a:t>
                    </a:fld>
                    <a:endParaRPr lang="hr-HR"/>
                  </a:p>
                </c:rich>
              </c:tx>
              <c:spPr>
                <a:gradFill>
                  <a:gsLst>
                    <a:gs pos="0">
                      <a:srgbClr val="4F81BD">
                        <a:lumMod val="5000"/>
                        <a:lumOff val="95000"/>
                      </a:srgbClr>
                    </a:gs>
                    <a:gs pos="100000">
                      <a:srgbClr val="4F81BD">
                        <a:lumMod val="45000"/>
                        <a:lumOff val="55000"/>
                      </a:srgbClr>
                    </a:gs>
                    <a:gs pos="93000">
                      <a:srgbClr val="4BACC6">
                        <a:lumMod val="20000"/>
                        <a:lumOff val="80000"/>
                      </a:srgbClr>
                    </a:gs>
                    <a:gs pos="100000">
                      <a:srgbClr val="4F81BD">
                        <a:lumMod val="30000"/>
                        <a:lumOff val="70000"/>
                      </a:srgbClr>
                    </a:gs>
                  </a:gsLst>
                  <a:lin ang="5400000" scaled="1"/>
                </a:gradFill>
                <a:ln w="25400" cap="flat" cmpd="sng" algn="ctr">
                  <a:solidFill>
                    <a:sysClr val="window" lastClr="FFFFFF">
                      <a:lumMod val="85000"/>
                    </a:sysClr>
                  </a:solidFill>
                  <a:prstDash val="solid"/>
                </a:ln>
                <a:effectLst/>
              </c:spPr>
              <c:showLegendKey val="0"/>
              <c:showVal val="1"/>
              <c:showCatName val="0"/>
              <c:showSerName val="0"/>
              <c:showPercent val="0"/>
              <c:showBubbleSize val="0"/>
              <c:extLst>
                <c:ext xmlns:c15="http://schemas.microsoft.com/office/drawing/2012/chart" uri="{CE6537A1-D6FC-4f65-9D91-7224C49458BB}">
                  <c15:dlblFieldTable>
                    <c15:dlblFTEntry>
                      <c15:txfldGUID>{10546FFD-AACC-46E5-B6D7-E1E339114A6B}</c15:txfldGUID>
                      <c15:f>Sheet1!$B$9</c15:f>
                      <c15:dlblFieldTableCache>
                        <c:ptCount val="1"/>
                        <c:pt idx="0">
                          <c:v>95,9%</c:v>
                        </c:pt>
                      </c15:dlblFieldTableCache>
                    </c15:dlblFTEntry>
                  </c15:dlblFieldTable>
                  <c15:showDataLabelsRange val="0"/>
                </c:ext>
                <c:ext xmlns:c16="http://schemas.microsoft.com/office/drawing/2014/chart" uri="{C3380CC4-5D6E-409C-BE32-E72D297353CC}">
                  <c16:uniqueId val="{00000000-6A89-424F-BD1E-1A9B868778A7}"/>
                </c:ext>
              </c:extLst>
            </c:dLbl>
            <c:dLbl>
              <c:idx val="1"/>
              <c:tx>
                <c:rich>
                  <a:bodyPr wrap="square" lIns="38100" tIns="19050" rIns="38100" bIns="19050" anchor="ctr">
                    <a:spAutoFit/>
                  </a:bodyPr>
                  <a:lstStyle/>
                  <a:p>
                    <a:pPr>
                      <a:defRPr>
                        <a:solidFill>
                          <a:sysClr val="windowText" lastClr="000000"/>
                        </a:solidFill>
                        <a:latin typeface="+mn-lt"/>
                        <a:ea typeface="+mn-ea"/>
                        <a:cs typeface="+mn-cs"/>
                      </a:defRPr>
                    </a:pPr>
                    <a:fld id="{5BBA8821-688A-4E6B-92F9-E74B7917C9F6}" type="CELLREF">
                      <a:rPr lang="en-US" sz="700">
                        <a:solidFill>
                          <a:sysClr val="windowText" lastClr="000000"/>
                        </a:solidFill>
                        <a:latin typeface="+mn-lt"/>
                        <a:ea typeface="+mn-ea"/>
                        <a:cs typeface="+mn-cs"/>
                      </a:rPr>
                      <a:pPr>
                        <a:defRPr>
                          <a:solidFill>
                            <a:sysClr val="windowText" lastClr="000000"/>
                          </a:solidFill>
                          <a:latin typeface="+mn-lt"/>
                          <a:ea typeface="+mn-ea"/>
                          <a:cs typeface="+mn-cs"/>
                        </a:defRPr>
                      </a:pPr>
                      <a:t>[REFERENCA ĆELIJE]</a:t>
                    </a:fld>
                    <a:endParaRPr lang="hr-HR"/>
                  </a:p>
                </c:rich>
              </c:tx>
              <c:spPr>
                <a:gradFill>
                  <a:gsLst>
                    <a:gs pos="0">
                      <a:srgbClr val="4F81BD">
                        <a:lumMod val="5000"/>
                        <a:lumOff val="95000"/>
                      </a:srgbClr>
                    </a:gs>
                    <a:gs pos="100000">
                      <a:srgbClr val="4F81BD">
                        <a:lumMod val="45000"/>
                        <a:lumOff val="55000"/>
                      </a:srgbClr>
                    </a:gs>
                    <a:gs pos="93000">
                      <a:srgbClr val="4BACC6">
                        <a:lumMod val="20000"/>
                        <a:lumOff val="80000"/>
                      </a:srgbClr>
                    </a:gs>
                    <a:gs pos="100000">
                      <a:srgbClr val="4F81BD">
                        <a:lumMod val="30000"/>
                        <a:lumOff val="70000"/>
                      </a:srgbClr>
                    </a:gs>
                  </a:gsLst>
                  <a:lin ang="5400000" scaled="1"/>
                </a:gradFill>
                <a:ln w="25400" cap="flat" cmpd="sng" algn="ctr">
                  <a:solidFill>
                    <a:sysClr val="window" lastClr="FFFFFF">
                      <a:lumMod val="85000"/>
                    </a:sysClr>
                  </a:solidFill>
                  <a:prstDash val="solid"/>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{5BBA8821-688A-4E6B-92F9-E74B7917C9F6}</c15:txfldGUID>
                      <c15:f>Sheet1!$C$9</c15:f>
                      <c15:dlblFieldTableCache>
                        <c:ptCount val="1"/>
                        <c:pt idx="0">
                          <c:v>32,3%</c:v>
                        </c:pt>
                      </c15:dlblFieldTableCache>
                    </c15:dlblFTEntry>
                  </c15:dlblFieldTable>
                  <c15:showDataLabelsRange val="0"/>
                </c:ext>
                <c:ext xmlns:c16="http://schemas.microsoft.com/office/drawing/2014/chart" uri="{C3380CC4-5D6E-409C-BE32-E72D297353CC}">
                  <c16:uniqueId val="{00000001-6A89-424F-BD1E-1A9B868778A7}"/>
                </c:ext>
              </c:extLst>
            </c:dLbl>
            <c:dLbl>
              <c:idx val="2"/>
              <c:tx>
                <c:rich>
                  <a:bodyPr wrap="square" lIns="38100" tIns="19050" rIns="38100" bIns="19050" anchor="ctr">
                    <a:spAutoFit/>
                  </a:bodyPr>
                  <a:lstStyle/>
                  <a:p>
                    <a:pPr>
                      <a:defRPr>
                        <a:solidFill>
                          <a:sysClr val="windowText" lastClr="000000"/>
                        </a:solidFill>
                        <a:latin typeface="+mn-lt"/>
                        <a:ea typeface="+mn-ea"/>
                        <a:cs typeface="+mn-cs"/>
                      </a:defRPr>
                    </a:pPr>
                    <a:fld id="{05B1066F-7510-4813-8ECF-522E8CB1762F}" type="CELLREF">
                      <a:rPr lang="en-US" sz="700"/>
                      <a:pPr>
                        <a:defRPr>
                          <a:solidFill>
                            <a:sysClr val="windowText" lastClr="000000"/>
                          </a:solidFill>
                          <a:latin typeface="+mn-lt"/>
                          <a:ea typeface="+mn-ea"/>
                          <a:cs typeface="+mn-cs"/>
                        </a:defRPr>
                      </a:pPr>
                      <a:t>[REFERENCA ĆELIJE]</a:t>
                    </a:fld>
                    <a:endParaRPr lang="hr-HR"/>
                  </a:p>
                </c:rich>
              </c:tx>
              <c:spPr>
                <a:gradFill>
                  <a:gsLst>
                    <a:gs pos="0">
                      <a:srgbClr val="4F81BD">
                        <a:lumMod val="5000"/>
                        <a:lumOff val="95000"/>
                      </a:srgbClr>
                    </a:gs>
                    <a:gs pos="100000">
                      <a:srgbClr val="4F81BD">
                        <a:lumMod val="45000"/>
                        <a:lumOff val="55000"/>
                      </a:srgbClr>
                    </a:gs>
                    <a:gs pos="93000">
                      <a:srgbClr val="4BACC6">
                        <a:lumMod val="20000"/>
                        <a:lumOff val="80000"/>
                      </a:srgbClr>
                    </a:gs>
                    <a:gs pos="100000">
                      <a:srgbClr val="4F81BD">
                        <a:lumMod val="30000"/>
                        <a:lumOff val="70000"/>
                      </a:srgbClr>
                    </a:gs>
                  </a:gsLst>
                  <a:lin ang="5400000" scaled="1"/>
                </a:gradFill>
                <a:ln w="25400" cap="flat" cmpd="sng" algn="ctr">
                  <a:solidFill>
                    <a:sysClr val="window" lastClr="FFFFFF">
                      <a:lumMod val="85000"/>
                    </a:sysClr>
                  </a:solidFill>
                  <a:prstDash val="solid"/>
                </a:ln>
                <a:effectLst/>
              </c:spPr>
              <c:showLegendKey val="0"/>
              <c:showVal val="1"/>
              <c:showCatName val="0"/>
              <c:showSerName val="0"/>
              <c:showPercent val="0"/>
              <c:showBubbleSize val="0"/>
              <c:extLst>
                <c:ext xmlns:c15="http://schemas.microsoft.com/office/drawing/2012/chart" uri="{CE6537A1-D6FC-4f65-9D91-7224C49458BB}">
                  <c15:dlblFieldTable>
                    <c15:dlblFTEntry>
                      <c15:txfldGUID>{05B1066F-7510-4813-8ECF-522E8CB1762F}</c15:txfldGUID>
                      <c15:f>Sheet1!$D$9</c15:f>
                      <c15:dlblFieldTableCache>
                        <c:ptCount val="1"/>
                        <c:pt idx="0">
                          <c:v>63,1%</c:v>
                        </c:pt>
                      </c15:dlblFieldTableCache>
                    </c15:dlblFTEntry>
                  </c15:dlblFieldTable>
                  <c15:showDataLabelsRange val="0"/>
                </c:ext>
                <c:ext xmlns:c16="http://schemas.microsoft.com/office/drawing/2014/chart" uri="{C3380CC4-5D6E-409C-BE32-E72D297353CC}">
                  <c16:uniqueId val="{00000002-6A89-424F-BD1E-1A9B868778A7}"/>
                </c:ext>
              </c:extLst>
            </c:dLbl>
            <c:dLbl>
              <c:idx val="3"/>
              <c:tx>
                <c:rich>
                  <a:bodyPr wrap="square" lIns="38100" tIns="19050" rIns="38100" bIns="19050" anchor="ctr">
                    <a:spAutoFit/>
                  </a:bodyPr>
                  <a:lstStyle/>
                  <a:p>
                    <a:pPr>
                      <a:defRPr>
                        <a:solidFill>
                          <a:sysClr val="windowText" lastClr="000000"/>
                        </a:solidFill>
                        <a:latin typeface="+mn-lt"/>
                        <a:ea typeface="+mn-ea"/>
                        <a:cs typeface="+mn-cs"/>
                      </a:defRPr>
                    </a:pPr>
                    <a:fld id="{1EAAC6FE-A0E2-4B99-9F7B-BBDC0D1E97E0}" type="CELLREF">
                      <a:rPr lang="en-US" sz="700">
                        <a:solidFill>
                          <a:sysClr val="windowText" lastClr="000000"/>
                        </a:solidFill>
                        <a:latin typeface="+mn-lt"/>
                        <a:ea typeface="+mn-ea"/>
                        <a:cs typeface="+mn-cs"/>
                      </a:rPr>
                      <a:pPr>
                        <a:defRPr>
                          <a:solidFill>
                            <a:sysClr val="windowText" lastClr="000000"/>
                          </a:solidFill>
                          <a:latin typeface="+mn-lt"/>
                          <a:ea typeface="+mn-ea"/>
                          <a:cs typeface="+mn-cs"/>
                        </a:defRPr>
                      </a:pPr>
                      <a:t>[REFERENCA ĆELIJE]</a:t>
                    </a:fld>
                    <a:endParaRPr lang="hr-HR"/>
                  </a:p>
                </c:rich>
              </c:tx>
              <c:spPr>
                <a:gradFill>
                  <a:gsLst>
                    <a:gs pos="0">
                      <a:srgbClr val="4F81BD">
                        <a:lumMod val="5000"/>
                        <a:lumOff val="95000"/>
                      </a:srgbClr>
                    </a:gs>
                    <a:gs pos="100000">
                      <a:srgbClr val="4F81BD">
                        <a:lumMod val="45000"/>
                        <a:lumOff val="55000"/>
                      </a:srgbClr>
                    </a:gs>
                    <a:gs pos="93000">
                      <a:srgbClr val="4BACC6">
                        <a:lumMod val="20000"/>
                        <a:lumOff val="80000"/>
                      </a:srgbClr>
                    </a:gs>
                    <a:gs pos="100000">
                      <a:srgbClr val="4F81BD">
                        <a:lumMod val="30000"/>
                        <a:lumOff val="70000"/>
                      </a:srgbClr>
                    </a:gs>
                  </a:gsLst>
                  <a:lin ang="5400000" scaled="1"/>
                </a:gradFill>
                <a:ln w="25400" cap="flat" cmpd="sng" algn="ctr">
                  <a:solidFill>
                    <a:sysClr val="window" lastClr="FFFFFF">
                      <a:lumMod val="85000"/>
                    </a:sysClr>
                  </a:solidFill>
                  <a:prstDash val="solid"/>
                </a:ln>
                <a:effectLst/>
              </c:spPr>
              <c:showLegendKey val="0"/>
              <c:showVal val="1"/>
              <c:showCatName val="0"/>
              <c:showSerName val="0"/>
              <c:showPercent val="0"/>
              <c:showBubbleSize val="0"/>
              <c:extLst>
                <c:ext xmlns:c15="http://schemas.microsoft.com/office/drawing/2012/chart" uri="{CE6537A1-D6FC-4f65-9D91-7224C49458BB}">
                  <c15:dlblFieldTable>
                    <c15:dlblFTEntry>
                      <c15:txfldGUID>{1EAAC6FE-A0E2-4B99-9F7B-BBDC0D1E97E0}</c15:txfldGUID>
                      <c15:f>Sheet1!$E$9</c15:f>
                      <c15:dlblFieldTableCache>
                        <c:ptCount val="1"/>
                        <c:pt idx="0">
                          <c:v>68,2%</c:v>
                        </c:pt>
                      </c15:dlblFieldTableCache>
                    </c15:dlblFTEntry>
                  </c15:dlblFieldTable>
                  <c15:showDataLabelsRange val="0"/>
                </c:ext>
                <c:ext xmlns:c16="http://schemas.microsoft.com/office/drawing/2014/chart" uri="{C3380CC4-5D6E-409C-BE32-E72D297353CC}">
                  <c16:uniqueId val="{00000003-6A89-424F-BD1E-1A9B868778A7}"/>
                </c:ext>
              </c:extLst>
            </c:dLbl>
            <c:dLbl>
              <c:idx val="4"/>
              <c:tx>
                <c:rich>
                  <a:bodyPr wrap="square" lIns="38100" tIns="19050" rIns="38100" bIns="19050" anchor="ctr">
                    <a:spAutoFit/>
                  </a:bodyPr>
                  <a:lstStyle/>
                  <a:p>
                    <a:pPr>
                      <a:defRPr>
                        <a:solidFill>
                          <a:sysClr val="windowText" lastClr="000000"/>
                        </a:solidFill>
                        <a:latin typeface="+mn-lt"/>
                        <a:ea typeface="+mn-ea"/>
                        <a:cs typeface="+mn-cs"/>
                      </a:defRPr>
                    </a:pPr>
                    <a:fld id="{2A7756C5-FD9B-4C5C-BB6C-BE93265E8511}" type="CELLREF">
                      <a:rPr lang="en-US" sz="700">
                        <a:solidFill>
                          <a:sysClr val="windowText" lastClr="000000"/>
                        </a:solidFill>
                        <a:latin typeface="+mn-lt"/>
                        <a:ea typeface="+mn-ea"/>
                        <a:cs typeface="+mn-cs"/>
                      </a:rPr>
                      <a:pPr>
                        <a:defRPr>
                          <a:solidFill>
                            <a:sysClr val="windowText" lastClr="000000"/>
                          </a:solidFill>
                          <a:latin typeface="+mn-lt"/>
                          <a:ea typeface="+mn-ea"/>
                          <a:cs typeface="+mn-cs"/>
                        </a:defRPr>
                      </a:pPr>
                      <a:t>[REFERENCA ĆELIJE]</a:t>
                    </a:fld>
                    <a:endParaRPr lang="hr-HR"/>
                  </a:p>
                </c:rich>
              </c:tx>
              <c:spPr>
                <a:gradFill>
                  <a:gsLst>
                    <a:gs pos="0">
                      <a:srgbClr val="4F81BD">
                        <a:lumMod val="5000"/>
                        <a:lumOff val="95000"/>
                      </a:srgbClr>
                    </a:gs>
                    <a:gs pos="100000">
                      <a:srgbClr val="4F81BD">
                        <a:lumMod val="45000"/>
                        <a:lumOff val="55000"/>
                      </a:srgbClr>
                    </a:gs>
                    <a:gs pos="93000">
                      <a:srgbClr val="4BACC6">
                        <a:lumMod val="20000"/>
                        <a:lumOff val="80000"/>
                      </a:srgbClr>
                    </a:gs>
                    <a:gs pos="100000">
                      <a:srgbClr val="4F81BD">
                        <a:lumMod val="30000"/>
                        <a:lumOff val="70000"/>
                      </a:srgbClr>
                    </a:gs>
                  </a:gsLst>
                  <a:lin ang="5400000" scaled="1"/>
                </a:gradFill>
                <a:ln w="25400" cap="flat" cmpd="sng" algn="ctr">
                  <a:solidFill>
                    <a:sysClr val="window" lastClr="FFFFFF">
                      <a:lumMod val="85000"/>
                    </a:sysClr>
                  </a:solidFill>
                  <a:prstDash val="solid"/>
                </a:ln>
                <a:effectLst/>
              </c:spPr>
              <c:showLegendKey val="0"/>
              <c:showVal val="1"/>
              <c:showCatName val="0"/>
              <c:showSerName val="0"/>
              <c:showPercent val="0"/>
              <c:showBubbleSize val="0"/>
              <c:extLst>
                <c:ext xmlns:c15="http://schemas.microsoft.com/office/drawing/2012/chart" uri="{CE6537A1-D6FC-4f65-9D91-7224C49458BB}">
                  <c15:dlblFieldTable>
                    <c15:dlblFTEntry>
                      <c15:txfldGUID>{2A7756C5-FD9B-4C5C-BB6C-BE93265E8511}</c15:txfldGUID>
                      <c15:f>Sheet1!$F$9</c15:f>
                      <c15:dlblFieldTableCache>
                        <c:ptCount val="1"/>
                        <c:pt idx="0">
                          <c:v>54,7%</c:v>
                        </c:pt>
                      </c15:dlblFieldTableCache>
                    </c15:dlblFTEntry>
                  </c15:dlblFieldTable>
                  <c15:showDataLabelsRange val="0"/>
                </c:ext>
                <c:ext xmlns:c16="http://schemas.microsoft.com/office/drawing/2014/chart" uri="{C3380CC4-5D6E-409C-BE32-E72D297353CC}">
                  <c16:uniqueId val="{00000004-6A89-424F-BD1E-1A9B868778A7}"/>
                </c:ext>
              </c:extLst>
            </c:dLbl>
            <c:spPr>
              <a:gradFill>
                <a:gsLst>
                  <a:gs pos="0">
                    <a:srgbClr val="4F81BD">
                      <a:lumMod val="5000"/>
                      <a:lumOff val="95000"/>
                    </a:srgbClr>
                  </a:gs>
                  <a:gs pos="100000">
                    <a:srgbClr val="4F81BD">
                      <a:lumMod val="45000"/>
                      <a:lumOff val="55000"/>
                    </a:srgbClr>
                  </a:gs>
                  <a:gs pos="93000">
                    <a:srgbClr val="4BACC6">
                      <a:lumMod val="20000"/>
                      <a:lumOff val="80000"/>
                    </a:srgbClr>
                  </a:gs>
                  <a:gs pos="100000">
                    <a:srgbClr val="4F81BD">
                      <a:lumMod val="30000"/>
                      <a:lumOff val="70000"/>
                    </a:srgbClr>
                  </a:gs>
                </a:gsLst>
                <a:lin ang="5400000" scaled="1"/>
              </a:gradFill>
              <a:ln>
                <a:solidFill>
                  <a:sysClr val="window" lastClr="FFFFFF">
                    <a:lumMod val="85000"/>
                  </a:sysClr>
                </a:solid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Sheet1!$B$1:$L$1</c:f>
              <c:strCache>
                <c:ptCount val="11"/>
                <c:pt idx="0">
                  <c:v>2015.</c:v>
                </c:pt>
                <c:pt idx="1">
                  <c:v>2016.</c:v>
                </c:pt>
                <c:pt idx="2">
                  <c:v>2017.</c:v>
                </c:pt>
                <c:pt idx="3">
                  <c:v>2018.</c:v>
                </c:pt>
                <c:pt idx="4">
                  <c:v>2019.</c:v>
                </c:pt>
                <c:pt idx="5">
                  <c:v>2020.</c:v>
                </c:pt>
                <c:pt idx="6">
                  <c:v>2021.</c:v>
                </c:pt>
                <c:pt idx="7">
                  <c:v>2022.</c:v>
                </c:pt>
                <c:pt idx="8">
                  <c:v>2023.</c:v>
                </c:pt>
                <c:pt idx="9">
                  <c:v>2024.</c:v>
                </c:pt>
                <c:pt idx="10">
                  <c:v>1-6/2025.</c:v>
                </c:pt>
              </c:strCache>
            </c:strRef>
          </c:cat>
          <c:val>
            <c:numRef>
              <c:f>Sheet1!$B$3:$L$3</c:f>
              <c:numCache>
                <c:formatCode>#,##0.00</c:formatCode>
                <c:ptCount val="11"/>
                <c:pt idx="0">
                  <c:v>1743142.2775233923</c:v>
                </c:pt>
                <c:pt idx="1">
                  <c:v>399401.48251377</c:v>
                </c:pt>
                <c:pt idx="2">
                  <c:v>496231.88798194967</c:v>
                </c:pt>
                <c:pt idx="3">
                  <c:v>616716.71112880739</c:v>
                </c:pt>
                <c:pt idx="4">
                  <c:v>348014.17214148247</c:v>
                </c:pt>
                <c:pt idx="5">
                  <c:v>0</c:v>
                </c:pt>
                <c:pt idx="6">
                  <c:v>0</c:v>
                </c:pt>
                <c:pt idx="7">
                  <c:v>2654.4561682925209</c:v>
                </c:pt>
                <c:pt idx="8">
                  <c:v>0</c:v>
                </c:pt>
                <c:pt idx="9">
                  <c:v>0</c:v>
                </c:pt>
                <c:pt idx="10">
                  <c:v>0</c:v>
                </c:pt>
              </c:numCache>
            </c:numRef>
          </c:val>
          <c:extLst>
            <c:ext xmlns:c16="http://schemas.microsoft.com/office/drawing/2014/chart" uri="{C3380CC4-5D6E-409C-BE32-E72D297353CC}">
              <c16:uniqueId val="{00000005-6A89-424F-BD1E-1A9B868778A7}"/>
            </c:ext>
          </c:extLst>
        </c:ser>
        <c:ser>
          <c:idx val="1"/>
          <c:order val="1"/>
          <c:tx>
            <c:strRef>
              <c:f>Sheet1!$A$4</c:f>
              <c:strCache>
                <c:ptCount val="1"/>
                <c:pt idx="0">
                  <c:v>IZDACI ZA OTPLATU GLAVNICE PRIMLJENIH KREDITA (54)</c:v>
                </c:pt>
              </c:strCache>
            </c:strRef>
          </c:tx>
          <c:spPr>
            <a:solidFill>
              <a:srgbClr val="1F497D">
                <a:lumMod val="60000"/>
                <a:lumOff val="40000"/>
              </a:srgbClr>
            </a:solidFill>
            <a:ln w="7628">
              <a:solidFill>
                <a:srgbClr val="000000"/>
              </a:solidFill>
              <a:prstDash val="solid"/>
            </a:ln>
          </c:spPr>
          <c:invertIfNegative val="0"/>
          <c:dLbls>
            <c:dLbl>
              <c:idx val="0"/>
              <c:layout>
                <c:manualLayout>
                  <c:x val="1.374919150234198E-3"/>
                  <c:y val="-5.2547320191283331E-2"/>
                </c:manualLayout>
              </c:layout>
              <c:tx>
                <c:rich>
                  <a:bodyPr wrap="square" lIns="38100" tIns="19050" rIns="38100" bIns="19050" anchor="ctr">
                    <a:noAutofit/>
                  </a:bodyPr>
                  <a:lstStyle/>
                  <a:p>
                    <a:pPr>
                      <a:defRPr sz="700"/>
                    </a:pPr>
                    <a:r>
                      <a:rPr lang="en-US" sz="700"/>
                      <a:t>4,1%</a:t>
                    </a:r>
                  </a:p>
                </c:rich>
              </c:tx>
              <c:spPr>
                <a:solidFill>
                  <a:sysClr val="window" lastClr="FFFFFF"/>
                </a:solidFill>
                <a:ln>
                  <a:noFill/>
                </a:ln>
                <a:effectLst>
                  <a:innerShdw blurRad="63500" dist="50800" dir="16200000">
                    <a:srgbClr val="4BACC6">
                      <a:lumMod val="40000"/>
                      <a:lumOff val="60000"/>
                      <a:alpha val="50000"/>
                    </a:srgbClr>
                  </a:innerShdw>
                </a:effectLst>
              </c:spPr>
              <c:showLegendKey val="0"/>
              <c:showVal val="1"/>
              <c:showCatName val="0"/>
              <c:showSerName val="0"/>
              <c:showPercent val="0"/>
              <c:showBubbleSize val="0"/>
              <c:extLst>
                <c:ext xmlns:c15="http://schemas.microsoft.com/office/drawing/2012/chart" uri="{CE6537A1-D6FC-4f65-9D91-7224C49458BB}">
                  <c15:layout>
                    <c:manualLayout>
                      <c:w val="4.1252437794626048E-2"/>
                      <c:h val="5.8264716910386191E-2"/>
                    </c:manualLayout>
                  </c15:layout>
                  <c15:showDataLabelsRange val="0"/>
                </c:ext>
                <c:ext xmlns:c16="http://schemas.microsoft.com/office/drawing/2014/chart" uri="{C3380CC4-5D6E-409C-BE32-E72D297353CC}">
                  <c16:uniqueId val="{00000006-6A89-424F-BD1E-1A9B868778A7}"/>
                </c:ext>
              </c:extLst>
            </c:dLbl>
            <c:dLbl>
              <c:idx val="1"/>
              <c:layout>
                <c:manualLayout>
                  <c:x val="1.3748539217708119E-3"/>
                  <c:y val="0"/>
                </c:manualLayout>
              </c:layout>
              <c:tx>
                <c:rich>
                  <a:bodyPr/>
                  <a:lstStyle/>
                  <a:p>
                    <a:r>
                      <a:rPr lang="en-US"/>
                      <a:t>67,7%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A89-424F-BD1E-1A9B868778A7}"/>
                </c:ext>
              </c:extLst>
            </c:dLbl>
            <c:dLbl>
              <c:idx val="2"/>
              <c:tx>
                <c:rich>
                  <a:bodyPr/>
                  <a:lstStyle/>
                  <a:p>
                    <a:r>
                      <a:rPr lang="en-US"/>
                      <a:t>36,9%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A89-424F-BD1E-1A9B868778A7}"/>
                </c:ext>
              </c:extLst>
            </c:dLbl>
            <c:dLbl>
              <c:idx val="3"/>
              <c:tx>
                <c:rich>
                  <a:bodyPr/>
                  <a:lstStyle/>
                  <a:p>
                    <a:r>
                      <a:rPr lang="en-US"/>
                      <a:t>31,8%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A89-424F-BD1E-1A9B868778A7}"/>
                </c:ext>
              </c:extLst>
            </c:dLbl>
            <c:dLbl>
              <c:idx val="4"/>
              <c:tx>
                <c:rich>
                  <a:bodyPr/>
                  <a:lstStyle/>
                  <a:p>
                    <a:r>
                      <a:rPr lang="en-US"/>
                      <a:t>45,3%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6A89-424F-BD1E-1A9B868778A7}"/>
                </c:ext>
              </c:extLst>
            </c:dLbl>
            <c:dLbl>
              <c:idx val="5"/>
              <c:layout>
                <c:manualLayout>
                  <c:x val="-2.7497078435416238E-3"/>
                  <c:y val="-6.331705569444776E-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6A89-424F-BD1E-1A9B868778A7}"/>
                </c:ext>
              </c:extLst>
            </c:dLbl>
            <c:dLbl>
              <c:idx val="6"/>
              <c:layout>
                <c:manualLayout>
                  <c:x val="6.8743174387239482E-3"/>
                  <c:y val="-0.16549595084948054"/>
                </c:manualLayout>
              </c:layout>
              <c:tx>
                <c:rich>
                  <a:bodyPr/>
                  <a:lstStyle/>
                  <a:p>
                    <a:fld id="{0572A376-D9F5-45B2-8068-CCC02C4D3EDF}" type="CELLREF">
                      <a:rPr lang="en-US" sz="800"/>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{0572A376-D9F5-45B2-8068-CCC02C4D3EDF}</c15:txfldGUID>
                      <c15:f>Sheet1!$H$10</c15:f>
                      <c15:dlblFieldTableCache>
                        <c:ptCount val="1"/>
                        <c:pt idx="0">
                          <c:v>100,0%</c:v>
                        </c:pt>
                      </c15:dlblFieldTableCache>
                    </c15:dlblFTEntry>
                  </c15:dlblFieldTable>
                  <c15:showDataLabelsRange val="0"/>
                </c:ext>
                <c:ext xmlns:c16="http://schemas.microsoft.com/office/drawing/2014/chart" uri="{C3380CC4-5D6E-409C-BE32-E72D297353CC}">
                  <c16:uniqueId val="{0000000C-6A89-424F-BD1E-1A9B868778A7}"/>
                </c:ext>
              </c:extLst>
            </c:dLbl>
            <c:dLbl>
              <c:idx val="7"/>
              <c:layout>
                <c:manualLayout>
                  <c:x val="-7.3614919343663529E-3"/>
                  <c:y val="-2.3911526618928272E-2"/>
                </c:manualLayout>
              </c:layout>
              <c:tx>
                <c:rich>
                  <a:bodyPr wrap="square" lIns="38100" tIns="19050" rIns="38100" bIns="19050" anchor="ctr">
                    <a:noAutofit/>
                  </a:bodyPr>
                  <a:lstStyle/>
                  <a:p>
                    <a:pPr>
                      <a:defRPr sz="700"/>
                    </a:pPr>
                    <a:fld id="{E0C30AC0-0808-4576-8AD4-EE91459A49DB}" type="CELLREF">
                      <a:rPr lang="en-US" sz="700"/>
                      <a:pPr>
                        <a:defRPr sz="700"/>
                      </a:pPr>
                      <a:t>[REFERENCA ĆELIJE]</a:t>
                    </a:fld>
                    <a:endParaRPr lang="hr-HR"/>
                  </a:p>
                </c:rich>
              </c:tx>
              <c:spPr>
                <a:solidFill>
                  <a:sysClr val="window" lastClr="FFFFFF"/>
                </a:solidFill>
                <a:ln>
                  <a:noFill/>
                </a:ln>
                <a:effectLst>
                  <a:innerShdw blurRad="63500" dist="50800" dir="16200000">
                    <a:srgbClr val="4BACC6">
                      <a:lumMod val="40000"/>
                      <a:lumOff val="60000"/>
                      <a:alpha val="50000"/>
                    </a:srgbClr>
                  </a:innerShdw>
                </a:effectLst>
              </c:spPr>
              <c:showLegendKey val="0"/>
              <c:showVal val="1"/>
              <c:showCatName val="0"/>
              <c:showSerName val="0"/>
              <c:showPercent val="0"/>
              <c:showBubbleSize val="0"/>
              <c:extLst>
                <c:ext xmlns:c15="http://schemas.microsoft.com/office/drawing/2012/chart" uri="{CE6537A1-D6FC-4f65-9D91-7224C49458BB}">
                  <c15:layout>
                    <c:manualLayout>
                      <c:w val="3.5165764731307662E-2"/>
                      <c:h val="4.6978772866442149E-2"/>
                    </c:manualLayout>
                  </c15:layout>
                  <c15:dlblFieldTable>
                    <c15:dlblFTEntry>
                      <c15:txfldGUID>{E0C30AC0-0808-4576-8AD4-EE91459A49DB}</c15:txfldGUID>
                      <c15:f>Sheet1!$I$10</c15:f>
                      <c15:dlblFieldTableCache>
                        <c:ptCount val="1"/>
                        <c:pt idx="0">
                          <c:v>99,6%</c:v>
                        </c:pt>
                      </c15:dlblFieldTableCache>
                    </c15:dlblFTEntry>
                  </c15:dlblFieldTable>
                  <c15:showDataLabelsRange val="0"/>
                </c:ext>
                <c:ext xmlns:c16="http://schemas.microsoft.com/office/drawing/2014/chart" uri="{C3380CC4-5D6E-409C-BE32-E72D297353CC}">
                  <c16:uniqueId val="{0000000D-6A89-424F-BD1E-1A9B868778A7}"/>
                </c:ext>
              </c:extLst>
            </c:dLbl>
            <c:dLbl>
              <c:idx val="8"/>
              <c:layout>
                <c:manualLayout>
                  <c:x val="-1.8992160911962524E-2"/>
                  <c:y val="-3.4416004649446869E-3"/>
                </c:manualLayout>
              </c:layout>
              <c:tx>
                <c:rich>
                  <a:bodyPr/>
                  <a:lstStyle/>
                  <a:p>
                    <a:fld id="{D9B7D486-5066-4F45-8EF2-03FD1770744E}" type="CELLREF">
                      <a:rPr lang="en-US" sz="700"/>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{D9B7D486-5066-4F45-8EF2-03FD1770744E}</c15:txfldGUID>
                      <c15:f>Sheet1!$J$10</c15:f>
                      <c15:dlblFieldTableCache>
                        <c:ptCount val="1"/>
                        <c:pt idx="0">
                          <c:v>10,5%</c:v>
                        </c:pt>
                      </c15:dlblFieldTableCache>
                    </c15:dlblFTEntry>
                  </c15:dlblFieldTable>
                  <c15:showDataLabelsRange val="0"/>
                </c:ext>
                <c:ext xmlns:c16="http://schemas.microsoft.com/office/drawing/2014/chart" uri="{C3380CC4-5D6E-409C-BE32-E72D297353CC}">
                  <c16:uniqueId val="{0000000E-6A89-424F-BD1E-1A9B868778A7}"/>
                </c:ext>
              </c:extLst>
            </c:dLbl>
            <c:dLbl>
              <c:idx val="9"/>
              <c:layout>
                <c:manualLayout>
                  <c:x val="6.9309675630719065E-3"/>
                  <c:y val="-0.11766803351756107"/>
                </c:manualLayout>
              </c:layout>
              <c:tx>
                <c:rich>
                  <a:bodyPr/>
                  <a:lstStyle/>
                  <a:p>
                    <a:fld id="{54B56156-372B-4EE3-8726-EA9981D1F97A}"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{54B56156-372B-4EE3-8726-EA9981D1F97A}</c15:txfldGUID>
                      <c15:f>Sheet1!$K$10</c15:f>
                      <c15:dlblFieldTableCache>
                        <c:ptCount val="1"/>
                        <c:pt idx="0">
                          <c:v>100,0%</c:v>
                        </c:pt>
                      </c15:dlblFieldTableCache>
                    </c15:dlblFTEntry>
                  </c15:dlblFieldTable>
                  <c15:showDataLabelsRange val="0"/>
                </c:ext>
                <c:ext xmlns:c16="http://schemas.microsoft.com/office/drawing/2014/chart" uri="{C3380CC4-5D6E-409C-BE32-E72D297353CC}">
                  <c16:uniqueId val="{0000000F-6A89-424F-BD1E-1A9B868778A7}"/>
                </c:ext>
              </c:extLst>
            </c:dLbl>
            <c:dLbl>
              <c:idx val="10"/>
              <c:layout>
                <c:manualLayout>
                  <c:x val="8.2056892778993428E-3"/>
                  <c:y val="-6.3909774436090222E-2"/>
                </c:manualLayout>
              </c:layout>
              <c:tx>
                <c:rich>
                  <a:bodyPr/>
                  <a:lstStyle/>
                  <a:p>
                    <a:fld id="{FDCEB433-1EEA-40F0-BBD1-F2FD3DD06E2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{FDCEB433-1EEA-40F0-BBD1-F2FD3DD06E24}</c15:txfldGUID>
                      <c15:f>Sheet1!$L$10</c15:f>
                      <c15:dlblFieldTableCache>
                        <c:ptCount val="1"/>
                        <c:pt idx="0">
                          <c:v>100,0%</c:v>
                        </c:pt>
                      </c15:dlblFieldTableCache>
                    </c15:dlblFTEntry>
                  </c15:dlblFieldTable>
                  <c15:showDataLabelsRange val="0"/>
                </c:ext>
                <c:ext xmlns:c16="http://schemas.microsoft.com/office/drawing/2014/chart" uri="{C3380CC4-5D6E-409C-BE32-E72D297353CC}">
                  <c16:uniqueId val="{00000000-B935-457C-BBCB-51B273816C07}"/>
                </c:ext>
              </c:extLst>
            </c:dLbl>
            <c:spPr>
              <a:solidFill>
                <a:sysClr val="window" lastClr="FFFFFF"/>
              </a:solidFill>
              <a:ln>
                <a:noFill/>
              </a:ln>
              <a:effectLst>
                <a:innerShdw blurRad="63500" dist="50800" dir="16200000">
                  <a:srgbClr val="4BACC6">
                    <a:lumMod val="40000"/>
                    <a:lumOff val="60000"/>
                    <a:alpha val="50000"/>
                  </a:srgbClr>
                </a:innerShdw>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2015.</c:v>
                </c:pt>
                <c:pt idx="1">
                  <c:v>2016.</c:v>
                </c:pt>
                <c:pt idx="2">
                  <c:v>2017.</c:v>
                </c:pt>
                <c:pt idx="3">
                  <c:v>2018.</c:v>
                </c:pt>
                <c:pt idx="4">
                  <c:v>2019.</c:v>
                </c:pt>
                <c:pt idx="5">
                  <c:v>2020.</c:v>
                </c:pt>
                <c:pt idx="6">
                  <c:v>2021.</c:v>
                </c:pt>
                <c:pt idx="7">
                  <c:v>2022.</c:v>
                </c:pt>
                <c:pt idx="8">
                  <c:v>2023.</c:v>
                </c:pt>
                <c:pt idx="9">
                  <c:v>2024.</c:v>
                </c:pt>
                <c:pt idx="10">
                  <c:v>1-6/2025.</c:v>
                </c:pt>
              </c:strCache>
            </c:strRef>
          </c:cat>
          <c:val>
            <c:numRef>
              <c:f>Sheet1!$B$4:$L$4</c:f>
              <c:numCache>
                <c:formatCode>#,##0.00</c:formatCode>
                <c:ptCount val="11"/>
                <c:pt idx="0">
                  <c:v>74192.522396973916</c:v>
                </c:pt>
                <c:pt idx="1">
                  <c:v>836200.90516955336</c:v>
                </c:pt>
                <c:pt idx="2">
                  <c:v>289605.21335191448</c:v>
                </c:pt>
                <c:pt idx="3">
                  <c:v>287640.31322582782</c:v>
                </c:pt>
                <c:pt idx="4">
                  <c:v>287632.44674497307</c:v>
                </c:pt>
                <c:pt idx="5">
                  <c:v>46452.982945119118</c:v>
                </c:pt>
                <c:pt idx="6">
                  <c:v>809079.4983077842</c:v>
                </c:pt>
                <c:pt idx="7">
                  <c:v>723999.72128210228</c:v>
                </c:pt>
                <c:pt idx="8">
                  <c:v>292385.12</c:v>
                </c:pt>
                <c:pt idx="9">
                  <c:v>544206.34</c:v>
                </c:pt>
                <c:pt idx="10">
                  <c:v>380556</c:v>
                </c:pt>
              </c:numCache>
            </c:numRef>
          </c:val>
          <c:extLst>
            <c:ext xmlns:c16="http://schemas.microsoft.com/office/drawing/2014/chart" uri="{C3380CC4-5D6E-409C-BE32-E72D297353CC}">
              <c16:uniqueId val="{00000010-6A89-424F-BD1E-1A9B868778A7}"/>
            </c:ext>
          </c:extLst>
        </c:ser>
        <c:ser>
          <c:idx val="2"/>
          <c:order val="2"/>
          <c:tx>
            <c:strRef>
              <c:f>Sheet1!$A$2</c:f>
              <c:strCache>
                <c:ptCount val="1"/>
                <c:pt idx="0">
                  <c:v>IZDACI ZA DANE ZAJMOVE I DEPOZITE (51)</c:v>
                </c:pt>
              </c:strCache>
            </c:strRef>
          </c:tx>
          <c:invertIfNegative val="0"/>
          <c:dLbls>
            <c:dLbl>
              <c:idx val="8"/>
              <c:tx>
                <c:rich>
                  <a:bodyPr wrap="square" lIns="38100" tIns="19050" rIns="38100" bIns="19050" anchor="ctr">
                    <a:spAutoFit/>
                  </a:bodyPr>
                  <a:lstStyle/>
                  <a:p>
                    <a:pPr>
                      <a:defRPr>
                        <a:solidFill>
                          <a:sysClr val="windowText" lastClr="000000"/>
                        </a:solidFill>
                        <a:latin typeface="+mn-lt"/>
                        <a:ea typeface="+mn-ea"/>
                        <a:cs typeface="+mn-cs"/>
                      </a:defRPr>
                    </a:pPr>
                    <a:fld id="{937F9D57-AD59-4369-B714-CD318727318B}" type="CELLREF">
                      <a:rPr lang="en-US">
                        <a:solidFill>
                          <a:sysClr val="windowText" lastClr="000000"/>
                        </a:solidFill>
                        <a:latin typeface="+mn-lt"/>
                        <a:ea typeface="+mn-ea"/>
                        <a:cs typeface="+mn-cs"/>
                      </a:rPr>
                      <a:pPr>
                        <a:defRPr>
                          <a:solidFill>
                            <a:sysClr val="windowText" lastClr="000000"/>
                          </a:solidFill>
                          <a:latin typeface="+mn-lt"/>
                          <a:ea typeface="+mn-ea"/>
                          <a:cs typeface="+mn-cs"/>
                        </a:defRPr>
                      </a:pPr>
                      <a:t>[REFERENCA ĆELIJE]</a:t>
                    </a:fld>
                    <a:endParaRPr lang="hr-HR"/>
                  </a:p>
                </c:rich>
              </c:tx>
              <c:spPr>
                <a:solidFill>
                  <a:sysClr val="window" lastClr="FFFFFF"/>
                </a:solidFill>
                <a:ln w="25400" cap="flat" cmpd="sng" algn="ctr">
                  <a:solidFill>
                    <a:sysClr val="window" lastClr="FFFFFF">
                      <a:lumMod val="85000"/>
                    </a:sysClr>
                  </a:solidFill>
                  <a:prstDash val="sysDot"/>
                </a:ln>
                <a:effectLst/>
              </c:spPr>
              <c:showLegendKey val="0"/>
              <c:showVal val="1"/>
              <c:showCatName val="0"/>
              <c:showSerName val="0"/>
              <c:showPercent val="0"/>
              <c:showBubbleSize val="0"/>
              <c:extLst>
                <c:ext xmlns:c15="http://schemas.microsoft.com/office/drawing/2012/chart" uri="{CE6537A1-D6FC-4f65-9D91-7224C49458BB}">
                  <c15:dlblFieldTable>
                    <c15:dlblFTEntry>
                      <c15:txfldGUID>{937F9D57-AD59-4369-B714-CD318727318B}</c15:txfldGUID>
                      <c15:f>Sheet1!$J$8</c15:f>
                      <c15:dlblFieldTableCache>
                        <c:ptCount val="1"/>
                        <c:pt idx="0">
                          <c:v>89,5%</c:v>
                        </c:pt>
                      </c15:dlblFieldTableCache>
                    </c15:dlblFTEntry>
                  </c15:dlblFieldTable>
                  <c15:showDataLabelsRange val="0"/>
                </c:ext>
                <c:ext xmlns:c16="http://schemas.microsoft.com/office/drawing/2014/chart" uri="{C3380CC4-5D6E-409C-BE32-E72D297353CC}">
                  <c16:uniqueId val="{00000011-6A89-424F-BD1E-1A9B868778A7}"/>
                </c:ext>
              </c:extLst>
            </c:dLbl>
            <c:spPr>
              <a:noFill/>
              <a:ln>
                <a:solidFill>
                  <a:sysClr val="window" lastClr="FFFFFF">
                    <a:lumMod val="85000"/>
                  </a:sysClr>
                </a:solidFill>
                <a:prstDash val="sysDot"/>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Sheet1!$B$1:$L$1</c:f>
              <c:strCache>
                <c:ptCount val="11"/>
                <c:pt idx="0">
                  <c:v>2015.</c:v>
                </c:pt>
                <c:pt idx="1">
                  <c:v>2016.</c:v>
                </c:pt>
                <c:pt idx="2">
                  <c:v>2017.</c:v>
                </c:pt>
                <c:pt idx="3">
                  <c:v>2018.</c:v>
                </c:pt>
                <c:pt idx="4">
                  <c:v>2019.</c:v>
                </c:pt>
                <c:pt idx="5">
                  <c:v>2020.</c:v>
                </c:pt>
                <c:pt idx="6">
                  <c:v>2021.</c:v>
                </c:pt>
                <c:pt idx="7">
                  <c:v>2022.</c:v>
                </c:pt>
                <c:pt idx="8">
                  <c:v>2023.</c:v>
                </c:pt>
                <c:pt idx="9">
                  <c:v>2024.</c:v>
                </c:pt>
                <c:pt idx="10">
                  <c:v>1-6/2025.</c:v>
                </c:pt>
              </c:strCache>
            </c:strRef>
          </c:cat>
          <c:val>
            <c:numRef>
              <c:f>Sheet1!$B$2:$L$2</c:f>
              <c:numCache>
                <c:formatCode>#,##0.00</c:formatCode>
                <c:ptCount val="11"/>
                <c:pt idx="0">
                  <c:v>0</c:v>
                </c:pt>
                <c:pt idx="1">
                  <c:v>0</c:v>
                </c:pt>
                <c:pt idx="2">
                  <c:v>0</c:v>
                </c:pt>
                <c:pt idx="3">
                  <c:v>0</c:v>
                </c:pt>
                <c:pt idx="4">
                  <c:v>0</c:v>
                </c:pt>
                <c:pt idx="5">
                  <c:v>0</c:v>
                </c:pt>
                <c:pt idx="6">
                  <c:v>0</c:v>
                </c:pt>
                <c:pt idx="7">
                  <c:v>0</c:v>
                </c:pt>
                <c:pt idx="8">
                  <c:v>2500000</c:v>
                </c:pt>
                <c:pt idx="9">
                  <c:v>0</c:v>
                </c:pt>
                <c:pt idx="10">
                  <c:v>0</c:v>
                </c:pt>
              </c:numCache>
            </c:numRef>
          </c:val>
          <c:extLst>
            <c:ext xmlns:c16="http://schemas.microsoft.com/office/drawing/2014/chart" uri="{C3380CC4-5D6E-409C-BE32-E72D297353CC}">
              <c16:uniqueId val="{00000012-6A89-424F-BD1E-1A9B868778A7}"/>
            </c:ext>
          </c:extLst>
        </c:ser>
        <c:dLbls>
          <c:showLegendKey val="0"/>
          <c:showVal val="0"/>
          <c:showCatName val="0"/>
          <c:showSerName val="0"/>
          <c:showPercent val="0"/>
          <c:showBubbleSize val="0"/>
        </c:dLbls>
        <c:gapWidth val="150"/>
        <c:overlap val="100"/>
        <c:axId val="280651264"/>
        <c:axId val="204378624"/>
      </c:barChart>
      <c:catAx>
        <c:axId val="280651264"/>
        <c:scaling>
          <c:orientation val="minMax"/>
        </c:scaling>
        <c:delete val="0"/>
        <c:axPos val="b"/>
        <c:title>
          <c:tx>
            <c:rich>
              <a:bodyPr/>
              <a:lstStyle/>
              <a:p>
                <a:pPr>
                  <a:defRPr/>
                </a:pPr>
                <a:r>
                  <a:rPr lang="en-GB" sz="1000"/>
                  <a:t>godina</a:t>
                </a:r>
              </a:p>
            </c:rich>
          </c:tx>
          <c:layout>
            <c:manualLayout>
              <c:xMode val="edge"/>
              <c:yMode val="edge"/>
              <c:x val="0.50796286311175332"/>
              <c:y val="0.94395565057844311"/>
            </c:manualLayout>
          </c:layout>
          <c:overlay val="0"/>
          <c:spPr>
            <a:noFill/>
            <a:ln w="15257">
              <a:noFill/>
            </a:ln>
          </c:spPr>
        </c:title>
        <c:numFmt formatCode="General" sourceLinked="1"/>
        <c:majorTickMark val="out"/>
        <c:minorTickMark val="none"/>
        <c:tickLblPos val="low"/>
        <c:spPr>
          <a:solidFill>
            <a:sysClr val="window" lastClr="FFFFFF">
              <a:lumMod val="85000"/>
            </a:sysClr>
          </a:solidFill>
          <a:ln w="1907">
            <a:solidFill>
              <a:srgbClr val="000000"/>
            </a:solidFill>
            <a:prstDash val="solid"/>
          </a:ln>
        </c:spPr>
        <c:txPr>
          <a:bodyPr rot="-5400000" vert="horz"/>
          <a:lstStyle/>
          <a:p>
            <a:pPr>
              <a:defRPr/>
            </a:pPr>
            <a:endParaRPr lang="sr-Latn-RS"/>
          </a:p>
        </c:txPr>
        <c:crossAx val="204378624"/>
        <c:crossesAt val="90000000"/>
        <c:auto val="1"/>
        <c:lblAlgn val="ctr"/>
        <c:lblOffset val="100"/>
        <c:tickLblSkip val="1"/>
        <c:tickMarkSkip val="1"/>
        <c:noMultiLvlLbl val="0"/>
      </c:catAx>
      <c:valAx>
        <c:axId val="204378624"/>
        <c:scaling>
          <c:orientation val="minMax"/>
        </c:scaling>
        <c:delete val="0"/>
        <c:axPos val="l"/>
        <c:majorGridlines>
          <c:spPr>
            <a:ln>
              <a:solidFill>
                <a:sysClr val="window" lastClr="FFFFFF">
                  <a:lumMod val="85000"/>
                </a:sysClr>
              </a:solidFill>
            </a:ln>
          </c:spPr>
        </c:majorGridlines>
        <c:title>
          <c:tx>
            <c:rich>
              <a:bodyPr/>
              <a:lstStyle/>
              <a:p>
                <a:pPr>
                  <a:defRPr sz="900"/>
                </a:pPr>
                <a:r>
                  <a:rPr lang="en-GB" sz="900"/>
                  <a:t>iznos proračuna</a:t>
                </a:r>
                <a:r>
                  <a:rPr lang="hr-HR" sz="900"/>
                  <a:t> (€)</a:t>
                </a:r>
                <a:endParaRPr lang="en-GB" sz="900"/>
              </a:p>
            </c:rich>
          </c:tx>
          <c:layout>
            <c:manualLayout>
              <c:xMode val="edge"/>
              <c:yMode val="edge"/>
              <c:x val="0.15107588263416064"/>
              <c:y val="0.24695631177677049"/>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280651264"/>
        <c:crosses val="autoZero"/>
        <c:crossBetween val="between"/>
      </c:valAx>
      <c:dTable>
        <c:showHorzBorder val="1"/>
        <c:showVertBorder val="1"/>
        <c:showOutline val="1"/>
        <c:showKeys val="1"/>
        <c:txPr>
          <a:bodyPr/>
          <a:lstStyle/>
          <a:p>
            <a:pPr rtl="0">
              <a:defRPr sz="700"/>
            </a:pPr>
            <a:endParaRPr lang="sr-Latn-RS"/>
          </a:p>
        </c:txPr>
      </c:dTable>
      <c:spPr>
        <a:noFill/>
        <a:ln w="25400">
          <a:noFill/>
        </a:ln>
      </c:spPr>
    </c:plotArea>
    <c:legend>
      <c:legendPos val="r"/>
      <c:layout>
        <c:manualLayout>
          <c:xMode val="edge"/>
          <c:yMode val="edge"/>
          <c:x val="0.88421671334609664"/>
          <c:y val="9.8977037747265018E-2"/>
          <c:w val="0.10785588283213414"/>
          <c:h val="0.73952083049639139"/>
        </c:manualLayout>
      </c:layout>
      <c:overlay val="0"/>
      <c:spPr>
        <a:noFill/>
        <a:ln w="1907">
          <a:solidFill>
            <a:srgbClr val="000000"/>
          </a:solidFill>
          <a:prstDash val="solid"/>
        </a:ln>
      </c:spPr>
      <c:txPr>
        <a:bodyPr/>
        <a:lstStyle/>
        <a:p>
          <a:pPr>
            <a:defRPr sz="700"/>
          </a:pPr>
          <a:endParaRPr lang="sr-Latn-R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Rashodi po funkcijskoj klasifikaciji u 20</a:t>
            </a:r>
            <a:r>
              <a:rPr lang="hr-HR" sz="1400"/>
              <a:t>25</a:t>
            </a:r>
            <a:r>
              <a:rPr lang="en-US" sz="1400"/>
              <a:t>.</a:t>
            </a:r>
            <a:r>
              <a:rPr lang="hr-HR" sz="1400"/>
              <a:t>*</a:t>
            </a:r>
          </a:p>
        </c:rich>
      </c:tx>
      <c:layout>
        <c:manualLayout>
          <c:xMode val="edge"/>
          <c:yMode val="edge"/>
          <c:x val="0.320408335934389"/>
          <c:y val="2.1636240703177823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2107585096095909E-2"/>
          <c:y val="0.17336830191434727"/>
          <c:w val="0.5307618559875138"/>
          <c:h val="0.74851079279695909"/>
        </c:manualLayout>
      </c:layout>
      <c:pie3DChart>
        <c:varyColors val="1"/>
        <c:ser>
          <c:idx val="0"/>
          <c:order val="0"/>
          <c:tx>
            <c:strRef>
              <c:f>List1!$B$1</c:f>
              <c:strCache>
                <c:ptCount val="1"/>
                <c:pt idx="0">
                  <c:v>Rashodi po funkcijskoj klasifikaciji u 2025.</c:v>
                </c:pt>
              </c:strCache>
            </c:strRef>
          </c:tx>
          <c:explosion val="25"/>
          <c:dPt>
            <c:idx val="0"/>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1-7DC6-412F-A790-420E2A0CBB44}"/>
              </c:ext>
            </c:extLst>
          </c:dPt>
          <c:dPt>
            <c:idx val="1"/>
            <c:bubble3D val="0"/>
            <c:spPr>
              <a:solidFill>
                <a:srgbClr val="FF0000"/>
              </a:solidFill>
            </c:spPr>
            <c:extLst>
              <c:ext xmlns:c16="http://schemas.microsoft.com/office/drawing/2014/chart" uri="{C3380CC4-5D6E-409C-BE32-E72D297353CC}">
                <c16:uniqueId val="{00000003-7DC6-412F-A790-420E2A0CBB44}"/>
              </c:ext>
            </c:extLst>
          </c:dPt>
          <c:dPt>
            <c:idx val="4"/>
            <c:bubble3D val="0"/>
            <c:spPr>
              <a:pattFill prst="sphere">
                <a:fgClr>
                  <a:srgbClr val="4BACC6">
                    <a:lumMod val="75000"/>
                  </a:srgbClr>
                </a:fgClr>
                <a:bgClr>
                  <a:sysClr val="window" lastClr="FFFFFF"/>
                </a:bgClr>
              </a:pattFill>
            </c:spPr>
            <c:extLst>
              <c:ext xmlns:c16="http://schemas.microsoft.com/office/drawing/2014/chart" uri="{C3380CC4-5D6E-409C-BE32-E72D297353CC}">
                <c16:uniqueId val="{00000005-7DC6-412F-A790-420E2A0CBB44}"/>
              </c:ext>
            </c:extLst>
          </c:dPt>
          <c:dPt>
            <c:idx val="5"/>
            <c:bubble3D val="0"/>
            <c:spPr>
              <a:solidFill>
                <a:srgbClr val="00B050"/>
              </a:solidFill>
            </c:spPr>
            <c:extLst>
              <c:ext xmlns:c16="http://schemas.microsoft.com/office/drawing/2014/chart" uri="{C3380CC4-5D6E-409C-BE32-E72D297353CC}">
                <c16:uniqueId val="{00000007-7DC6-412F-A790-420E2A0CBB44}"/>
              </c:ext>
            </c:extLst>
          </c:dPt>
          <c:dPt>
            <c:idx val="6"/>
            <c:bubble3D val="0"/>
            <c:spPr>
              <a:solidFill>
                <a:schemeClr val="accent6">
                  <a:lumMod val="75000"/>
                </a:schemeClr>
              </a:solidFill>
            </c:spPr>
            <c:extLst>
              <c:ext xmlns:c16="http://schemas.microsoft.com/office/drawing/2014/chart" uri="{C3380CC4-5D6E-409C-BE32-E72D297353CC}">
                <c16:uniqueId val="{00000009-7DC6-412F-A790-420E2A0CBB44}"/>
              </c:ext>
            </c:extLst>
          </c:dPt>
          <c:dPt>
            <c:idx val="7"/>
            <c:bubble3D val="0"/>
            <c:spPr>
              <a:solidFill>
                <a:srgbClr val="FFFF00"/>
              </a:solidFill>
            </c:spPr>
            <c:extLst>
              <c:ext xmlns:c16="http://schemas.microsoft.com/office/drawing/2014/chart" uri="{C3380CC4-5D6E-409C-BE32-E72D297353CC}">
                <c16:uniqueId val="{0000000B-7DC6-412F-A790-420E2A0CBB44}"/>
              </c:ext>
            </c:extLst>
          </c:dPt>
          <c:dPt>
            <c:idx val="8"/>
            <c:bubble3D val="0"/>
            <c:spPr>
              <a:pattFill prst="trellis">
                <a:fgClr>
                  <a:schemeClr val="accent2">
                    <a:lumMod val="75000"/>
                  </a:schemeClr>
                </a:fgClr>
                <a:bgClr>
                  <a:schemeClr val="bg1"/>
                </a:bgClr>
              </a:pattFill>
            </c:spPr>
            <c:extLst>
              <c:ext xmlns:c16="http://schemas.microsoft.com/office/drawing/2014/chart" uri="{C3380CC4-5D6E-409C-BE32-E72D297353CC}">
                <c16:uniqueId val="{0000000D-7DC6-412F-A790-420E2A0CBB44}"/>
              </c:ext>
            </c:extLst>
          </c:dPt>
          <c:dPt>
            <c:idx val="9"/>
            <c:bubble3D val="0"/>
            <c:spPr>
              <a:solidFill>
                <a:srgbClr val="00B0F0"/>
              </a:solidFill>
            </c:spPr>
            <c:extLst>
              <c:ext xmlns:c16="http://schemas.microsoft.com/office/drawing/2014/chart" uri="{C3380CC4-5D6E-409C-BE32-E72D297353CC}">
                <c16:uniqueId val="{0000000F-7DC6-412F-A790-420E2A0CBB44}"/>
              </c:ext>
            </c:extLst>
          </c:dPt>
          <c:dLbls>
            <c:dLbl>
              <c:idx val="0"/>
              <c:layout>
                <c:manualLayout>
                  <c:x val="-7.1318938652009015E-2"/>
                  <c:y val="-8.484385929595844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DC6-412F-A790-420E2A0CBB44}"/>
                </c:ext>
              </c:extLst>
            </c:dLbl>
            <c:dLbl>
              <c:idx val="1"/>
              <c:layout>
                <c:manualLayout>
                  <c:x val="-6.3689296288819947E-2"/>
                  <c:y val="-7.64145929248268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DC6-412F-A790-420E2A0CBB44}"/>
                </c:ext>
              </c:extLst>
            </c:dLbl>
            <c:dLbl>
              <c:idx val="2"/>
              <c:layout>
                <c:manualLayout>
                  <c:x val="2.2396896707210165E-2"/>
                  <c:y val="-5.660138537492451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7DC6-412F-A790-420E2A0CBB44}"/>
                </c:ext>
              </c:extLst>
            </c:dLbl>
            <c:dLbl>
              <c:idx val="3"/>
              <c:layout>
                <c:manualLayout>
                  <c:x val="1.5621460414534005E-3"/>
                  <c:y val="-8.002879077304964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DC6-412F-A790-420E2A0CBB44}"/>
                </c:ext>
              </c:extLst>
            </c:dLbl>
            <c:dLbl>
              <c:idx val="4"/>
              <c:layout>
                <c:manualLayout>
                  <c:x val="1.2054612387148499E-3"/>
                  <c:y val="-5.285337125759776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DC6-412F-A790-420E2A0CBB44}"/>
                </c:ext>
              </c:extLst>
            </c:dLbl>
            <c:dLbl>
              <c:idx val="5"/>
              <c:layout>
                <c:manualLayout>
                  <c:x val="5.6089826121132315E-2"/>
                  <c:y val="-6.6160848893336557E-3"/>
                </c:manualLayout>
              </c:layout>
              <c:spPr>
                <a:noFill/>
                <a:ln>
                  <a:noFill/>
                </a:ln>
                <a:effectLst/>
              </c:spPr>
              <c:txPr>
                <a:bodyPr wrap="square" lIns="38100" tIns="19050" rIns="38100" bIns="19050" anchor="ctr">
                  <a:noAutofit/>
                </a:bodyPr>
                <a:lstStyle/>
                <a:p>
                  <a:pPr>
                    <a:defRPr/>
                  </a:pPr>
                  <a:endParaRPr lang="sr-Latn-RS"/>
                </a:p>
              </c:txPr>
              <c:dLblPos val="bestFit"/>
              <c:showLegendKey val="0"/>
              <c:showVal val="1"/>
              <c:showCatName val="0"/>
              <c:showSerName val="0"/>
              <c:showPercent val="1"/>
              <c:showBubbleSize val="0"/>
              <c:extLst>
                <c:ext xmlns:c15="http://schemas.microsoft.com/office/drawing/2012/chart" uri="{CE6537A1-D6FC-4f65-9D91-7224C49458BB}">
                  <c15:layout>
                    <c:manualLayout>
                      <c:w val="0.12862627946463309"/>
                      <c:h val="4.0148646124034938E-2"/>
                    </c:manualLayout>
                  </c15:layout>
                </c:ext>
                <c:ext xmlns:c16="http://schemas.microsoft.com/office/drawing/2014/chart" uri="{C3380CC4-5D6E-409C-BE32-E72D297353CC}">
                  <c16:uniqueId val="{00000007-7DC6-412F-A790-420E2A0CBB44}"/>
                </c:ext>
              </c:extLst>
            </c:dLbl>
            <c:dLbl>
              <c:idx val="6"/>
              <c:layout>
                <c:manualLayout>
                  <c:x val="3.4245227907069638E-2"/>
                  <c:y val="5.710826518213626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DC6-412F-A790-420E2A0CBB44}"/>
                </c:ext>
              </c:extLst>
            </c:dLbl>
            <c:dLbl>
              <c:idx val="7"/>
              <c:layout>
                <c:manualLayout>
                  <c:x val="-3.8689456779221559E-2"/>
                  <c:y val="6.658691757699866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DC6-412F-A790-420E2A0CBB44}"/>
                </c:ext>
              </c:extLst>
            </c:dLbl>
            <c:dLbl>
              <c:idx val="8"/>
              <c:layout>
                <c:manualLayout>
                  <c:x val="1.0128727567899922E-4"/>
                  <c:y val="-0.3505073866870191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DC6-412F-A790-420E2A0CBB44}"/>
                </c:ext>
              </c:extLst>
            </c:dLbl>
            <c:dLbl>
              <c:idx val="9"/>
              <c:layout>
                <c:manualLayout>
                  <c:x val="4.3114854777585268E-2"/>
                  <c:y val="-8.814495024612635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DC6-412F-A790-420E2A0CBB44}"/>
                </c:ext>
              </c:extLst>
            </c:dLbl>
            <c:spPr>
              <a:noFill/>
              <a:ln>
                <a:noFill/>
              </a:ln>
              <a:effectLst/>
            </c:sp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List1!$A$2:$A$11</c:f>
              <c:strCache>
                <c:ptCount val="10"/>
                <c:pt idx="0">
                  <c:v>01 - Opće javne usluge</c:v>
                </c:pt>
                <c:pt idx="1">
                  <c:v>032 - Protupožarna zaštita</c:v>
                </c:pt>
                <c:pt idx="2">
                  <c:v>04 - Ekonomski poslovi (poljoprivreda, cestovni promet)</c:v>
                </c:pt>
                <c:pt idx="3">
                  <c:v>05 - Zaštita okoliša</c:v>
                </c:pt>
                <c:pt idx="4">
                  <c:v>06 - Usluge unapređenja stanovanja zajednice  (komunalne pogodnosti)</c:v>
                </c:pt>
                <c:pt idx="5">
                  <c:v>07 - Zdravstvo</c:v>
                </c:pt>
                <c:pt idx="6">
                  <c:v>081 - Sport i rekreacija</c:v>
                </c:pt>
                <c:pt idx="7">
                  <c:v>082 i 086 - Kultura i drugi srodni rashodi </c:v>
                </c:pt>
                <c:pt idx="8">
                  <c:v>09 - Predškolsko i osnovno obrazovanje</c:v>
                </c:pt>
                <c:pt idx="9">
                  <c:v>10 - Socijalna zaštita</c:v>
                </c:pt>
              </c:strCache>
            </c:strRef>
          </c:cat>
          <c:val>
            <c:numRef>
              <c:f>List1!$B$2:$B$11</c:f>
              <c:numCache>
                <c:formatCode>#,##0.00</c:formatCode>
                <c:ptCount val="10"/>
                <c:pt idx="0">
                  <c:v>885728.97</c:v>
                </c:pt>
                <c:pt idx="1">
                  <c:v>476820.56</c:v>
                </c:pt>
                <c:pt idx="2">
                  <c:v>401665.36</c:v>
                </c:pt>
                <c:pt idx="3">
                  <c:v>872495.8</c:v>
                </c:pt>
                <c:pt idx="4">
                  <c:v>1218451.01</c:v>
                </c:pt>
                <c:pt idx="5">
                  <c:v>62428.36</c:v>
                </c:pt>
                <c:pt idx="6">
                  <c:v>175143.67999999999</c:v>
                </c:pt>
                <c:pt idx="7">
                  <c:v>447952.30999999994</c:v>
                </c:pt>
                <c:pt idx="8">
                  <c:v>4344179.34</c:v>
                </c:pt>
                <c:pt idx="9">
                  <c:v>1076466.54</c:v>
                </c:pt>
              </c:numCache>
            </c:numRef>
          </c:val>
          <c:extLst>
            <c:ext xmlns:c16="http://schemas.microsoft.com/office/drawing/2014/chart" uri="{C3380CC4-5D6E-409C-BE32-E72D297353CC}">
              <c16:uniqueId val="{00000012-7DC6-412F-A790-420E2A0CBB44}"/>
            </c:ext>
          </c:extLst>
        </c:ser>
        <c:dLbls>
          <c:showLegendKey val="0"/>
          <c:showVal val="0"/>
          <c:showCatName val="0"/>
          <c:showSerName val="0"/>
          <c:showPercent val="0"/>
          <c:showBubbleSize val="0"/>
          <c:showLeaderLines val="1"/>
        </c:dLbls>
      </c:pie3DChart>
    </c:plotArea>
    <c:legend>
      <c:legendPos val="r"/>
      <c:layout>
        <c:manualLayout>
          <c:xMode val="edge"/>
          <c:yMode val="edge"/>
          <c:x val="0.72152032005223932"/>
          <c:y val="0.11853311880248922"/>
          <c:w val="0.27705259100352891"/>
          <c:h val="0.86675288450816002"/>
        </c:manualLayout>
      </c:layout>
      <c:overlay val="0"/>
      <c:txPr>
        <a:bodyPr/>
        <a:lstStyle/>
        <a:p>
          <a:pPr>
            <a:defRPr sz="900"/>
          </a:pPr>
          <a:endParaRPr lang="sr-Latn-RS"/>
        </a:p>
      </c:txPr>
    </c:legend>
    <c:plotVisOnly val="1"/>
    <c:dispBlanksAs val="gap"/>
    <c:showDLblsOverMax val="0"/>
  </c:chart>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a:t>
            </a:r>
            <a:r>
              <a:rPr lang="hr-HR"/>
              <a:t>izvršenih</a:t>
            </a:r>
            <a:r>
              <a:rPr lang="en-GB"/>
              <a:t> rashoda i izdataka proračuna za 2015.-202</a:t>
            </a:r>
            <a:r>
              <a:rPr lang="hr-HR"/>
              <a:t>4. i 1-6/2025.</a:t>
            </a:r>
            <a:r>
              <a:rPr lang="en-GB"/>
              <a:t> Općina i </a:t>
            </a:r>
            <a:r>
              <a:rPr lang="hr-HR"/>
              <a:t>PK</a:t>
            </a:r>
            <a:endParaRPr lang="en-GB"/>
          </a:p>
        </c:rich>
      </c:tx>
      <c:layout>
        <c:manualLayout>
          <c:xMode val="edge"/>
          <c:yMode val="edge"/>
          <c:x val="0.16562295634833354"/>
          <c:y val="5.8724894602926153E-2"/>
        </c:manualLayout>
      </c:layout>
      <c:overlay val="0"/>
      <c:spPr>
        <a:noFill/>
        <a:ln w="15257">
          <a:noFill/>
        </a:ln>
      </c:spPr>
    </c:title>
    <c:autoTitleDeleted val="0"/>
    <c:plotArea>
      <c:layout>
        <c:manualLayout>
          <c:layoutTarget val="inner"/>
          <c:xMode val="edge"/>
          <c:yMode val="edge"/>
          <c:x val="0.23202196203269385"/>
          <c:y val="0.19641025826338024"/>
          <c:w val="0.59403408857164441"/>
          <c:h val="0.55667990445664228"/>
        </c:manualLayout>
      </c:layout>
      <c:barChart>
        <c:barDir val="col"/>
        <c:grouping val="stacked"/>
        <c:varyColors val="0"/>
        <c:ser>
          <c:idx val="0"/>
          <c:order val="0"/>
          <c:tx>
            <c:strRef>
              <c:f>Sheet1!$A$2</c:f>
              <c:strCache>
                <c:ptCount val="1"/>
                <c:pt idx="0">
                  <c:v>RASHODI OPĆINE </c:v>
                </c:pt>
              </c:strCache>
            </c:strRef>
          </c:tx>
          <c:spPr>
            <a:solidFill>
              <a:srgbClr val="9999FF"/>
            </a:solidFill>
            <a:ln w="7628">
              <a:solidFill>
                <a:srgbClr val="000000"/>
              </a:solidFill>
              <a:prstDash val="solid"/>
            </a:ln>
          </c:spPr>
          <c:invertIfNegative val="0"/>
          <c:dLbls>
            <c:dLbl>
              <c:idx val="0"/>
              <c:tx>
                <c:rich>
                  <a:bodyPr/>
                  <a:lstStyle/>
                  <a:p>
                    <a:fld id="{E20B85C3-9B39-4BD1-BE54-8774DE3E4C78}" type="CELLREF">
                      <a:rPr lang="en-US" sz="700"/>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{E20B85C3-9B39-4BD1-BE54-8774DE3E4C78}</c15:txfldGUID>
                      <c15:f>Sheet1!$B$7</c15:f>
                      <c15:dlblFieldTableCache>
                        <c:ptCount val="1"/>
                        <c:pt idx="0">
                          <c:v>76,1%</c:v>
                        </c:pt>
                      </c15:dlblFieldTableCache>
                    </c15:dlblFTEntry>
                  </c15:dlblFieldTable>
                  <c15:showDataLabelsRange val="0"/>
                </c:ext>
                <c:ext xmlns:c16="http://schemas.microsoft.com/office/drawing/2014/chart" uri="{C3380CC4-5D6E-409C-BE32-E72D297353CC}">
                  <c16:uniqueId val="{00000000-6FEA-49DA-94A8-C103CD2C8DFE}"/>
                </c:ext>
              </c:extLst>
            </c:dLbl>
            <c:dLbl>
              <c:idx val="1"/>
              <c:tx>
                <c:rich>
                  <a:bodyPr wrap="square" lIns="38100" tIns="19050" rIns="38100" bIns="19050" anchor="ctr">
                    <a:spAutoFit/>
                  </a:bodyPr>
                  <a:lstStyle/>
                  <a:p>
                    <a:pPr>
                      <a:defRPr sz="700"/>
                    </a:pPr>
                    <a:fld id="{7B554661-0F35-4769-A8FF-8F144A74EBA0}" type="CELLREF">
                      <a:rPr lang="en-US"/>
                      <a:pPr>
                        <a:defRPr sz="700"/>
                      </a:pPr>
                      <a:t>[REFERENCA ĆELIJE]</a:t>
                    </a:fld>
                    <a:endParaRPr lang="hr-HR"/>
                  </a:p>
                </c:rich>
              </c:tx>
              <c:spPr>
                <a:solidFill>
                  <a:sysClr val="window" lastClr="FFFFFF"/>
                </a:solidFill>
                <a:ln>
                  <a:noFill/>
                </a:ln>
                <a:effectLst>
                  <a:glow rad="63500">
                    <a:srgbClr val="C0504D">
                      <a:satMod val="175000"/>
                      <a:alpha val="40000"/>
                    </a:srgbClr>
                  </a:glow>
                  <a:outerShdw blurRad="50800" dist="38100" dir="2700000" algn="tl" rotWithShape="0">
                    <a:prstClr val="black">
                      <a:alpha val="40000"/>
                    </a:prstClr>
                  </a:outerShdw>
                </a:effectLst>
              </c:spPr>
              <c:showLegendKey val="0"/>
              <c:showVal val="1"/>
              <c:showCatName val="0"/>
              <c:showSerName val="0"/>
              <c:showPercent val="0"/>
              <c:showBubbleSize val="0"/>
              <c:extLst>
                <c:ext xmlns:c15="http://schemas.microsoft.com/office/drawing/2012/chart" uri="{CE6537A1-D6FC-4f65-9D91-7224C49458BB}">
                  <c15:dlblFieldTable>
                    <c15:dlblFTEntry>
                      <c15:txfldGUID>{7B554661-0F35-4769-A8FF-8F144A74EBA0}</c15:txfldGUID>
                      <c15:f>Sheet1!$C$7</c15:f>
                      <c15:dlblFieldTableCache>
                        <c:ptCount val="1"/>
                        <c:pt idx="0">
                          <c:v>70,5%</c:v>
                        </c:pt>
                      </c15:dlblFieldTableCache>
                    </c15:dlblFTEntry>
                  </c15:dlblFieldTable>
                  <c15:showDataLabelsRange val="0"/>
                </c:ext>
                <c:ext xmlns:c16="http://schemas.microsoft.com/office/drawing/2014/chart" uri="{C3380CC4-5D6E-409C-BE32-E72D297353CC}">
                  <c16:uniqueId val="{00000001-6FEA-49DA-94A8-C103CD2C8DFE}"/>
                </c:ext>
              </c:extLst>
            </c:dLbl>
            <c:dLbl>
              <c:idx val="2"/>
              <c:tx>
                <c:rich>
                  <a:bodyPr/>
                  <a:lstStyle/>
                  <a:p>
                    <a:fld id="{A81C1EF5-0107-421C-A8E4-A47DE891D3A6}"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{A81C1EF5-0107-421C-A8E4-A47DE891D3A6}</c15:txfldGUID>
                      <c15:f>Sheet1!$D$7</c15:f>
                      <c15:dlblFieldTableCache>
                        <c:ptCount val="1"/>
                        <c:pt idx="0">
                          <c:v>65,4%</c:v>
                        </c:pt>
                      </c15:dlblFieldTableCache>
                    </c15:dlblFTEntry>
                  </c15:dlblFieldTable>
                  <c15:showDataLabelsRange val="0"/>
                </c:ext>
                <c:ext xmlns:c16="http://schemas.microsoft.com/office/drawing/2014/chart" uri="{C3380CC4-5D6E-409C-BE32-E72D297353CC}">
                  <c16:uniqueId val="{00000002-6FEA-49DA-94A8-C103CD2C8DFE}"/>
                </c:ext>
              </c:extLst>
            </c:dLbl>
            <c:dLbl>
              <c:idx val="3"/>
              <c:tx>
                <c:rich>
                  <a:bodyPr/>
                  <a:lstStyle/>
                  <a:p>
                    <a:fld id="{CFDEB203-27D1-4200-A538-ABD62F0D676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{CFDEB203-27D1-4200-A538-ABD62F0D676F}</c15:txfldGUID>
                      <c15:f>Sheet1!$E$7</c15:f>
                      <c15:dlblFieldTableCache>
                        <c:ptCount val="1"/>
                        <c:pt idx="0">
                          <c:v>63,5%</c:v>
                        </c:pt>
                      </c15:dlblFieldTableCache>
                    </c15:dlblFTEntry>
                  </c15:dlblFieldTable>
                  <c15:showDataLabelsRange val="0"/>
                </c:ext>
                <c:ext xmlns:c16="http://schemas.microsoft.com/office/drawing/2014/chart" uri="{C3380CC4-5D6E-409C-BE32-E72D297353CC}">
                  <c16:uniqueId val="{00000003-6FEA-49DA-94A8-C103CD2C8DFE}"/>
                </c:ext>
              </c:extLst>
            </c:dLbl>
            <c:dLbl>
              <c:idx val="4"/>
              <c:tx>
                <c:rich>
                  <a:bodyPr/>
                  <a:lstStyle/>
                  <a:p>
                    <a:fld id="{8F5AD1C0-0B2B-45FA-83A0-A3B13FDA0A60}"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{8F5AD1C0-0B2B-45FA-83A0-A3B13FDA0A60}</c15:txfldGUID>
                      <c15:f>Sheet1!$F$7</c15:f>
                      <c15:dlblFieldTableCache>
                        <c:ptCount val="1"/>
                        <c:pt idx="0">
                          <c:v>66,7%</c:v>
                        </c:pt>
                      </c15:dlblFieldTableCache>
                    </c15:dlblFTEntry>
                  </c15:dlblFieldTable>
                  <c15:showDataLabelsRange val="0"/>
                </c:ext>
                <c:ext xmlns:c16="http://schemas.microsoft.com/office/drawing/2014/chart" uri="{C3380CC4-5D6E-409C-BE32-E72D297353CC}">
                  <c16:uniqueId val="{00000004-6FEA-49DA-94A8-C103CD2C8DFE}"/>
                </c:ext>
              </c:extLst>
            </c:dLbl>
            <c:dLbl>
              <c:idx val="5"/>
              <c:tx>
                <c:rich>
                  <a:bodyPr/>
                  <a:lstStyle/>
                  <a:p>
                    <a:fld id="{D0B6C98A-71B6-4889-89DE-69C2E12F5EC2}"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{D0B6C98A-71B6-4889-89DE-69C2E12F5EC2}</c15:txfldGUID>
                      <c15:f>Sheet1!$G$7</c15:f>
                      <c15:dlblFieldTableCache>
                        <c:ptCount val="1"/>
                        <c:pt idx="0">
                          <c:v>59,9%</c:v>
                        </c:pt>
                      </c15:dlblFieldTableCache>
                    </c15:dlblFTEntry>
                  </c15:dlblFieldTable>
                  <c15:showDataLabelsRange val="0"/>
                </c:ext>
                <c:ext xmlns:c16="http://schemas.microsoft.com/office/drawing/2014/chart" uri="{C3380CC4-5D6E-409C-BE32-E72D297353CC}">
                  <c16:uniqueId val="{00000005-6FEA-49DA-94A8-C103CD2C8DFE}"/>
                </c:ext>
              </c:extLst>
            </c:dLbl>
            <c:dLbl>
              <c:idx val="6"/>
              <c:tx>
                <c:rich>
                  <a:bodyPr/>
                  <a:lstStyle/>
                  <a:p>
                    <a:fld id="{DB493AB4-7F1B-49C9-8A1F-8C20E1C01F4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{DB493AB4-7F1B-49C9-8A1F-8C20E1C01F45}</c15:txfldGUID>
                      <c15:f>Sheet1!$H$7</c15:f>
                      <c15:dlblFieldTableCache>
                        <c:ptCount val="1"/>
                        <c:pt idx="0">
                          <c:v>62,5%</c:v>
                        </c:pt>
                      </c15:dlblFieldTableCache>
                    </c15:dlblFTEntry>
                  </c15:dlblFieldTable>
                  <c15:showDataLabelsRange val="0"/>
                </c:ext>
                <c:ext xmlns:c16="http://schemas.microsoft.com/office/drawing/2014/chart" uri="{C3380CC4-5D6E-409C-BE32-E72D297353CC}">
                  <c16:uniqueId val="{00000006-6FEA-49DA-94A8-C103CD2C8DFE}"/>
                </c:ext>
              </c:extLst>
            </c:dLbl>
            <c:dLbl>
              <c:idx val="7"/>
              <c:tx>
                <c:rich>
                  <a:bodyPr/>
                  <a:lstStyle/>
                  <a:p>
                    <a:fld id="{3D4C0B6C-E0CA-4719-B3FC-D9760300ECF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{3D4C0B6C-E0CA-4719-B3FC-D9760300ECFB}</c15:txfldGUID>
                      <c15:f>Sheet1!$I$7</c15:f>
                      <c15:dlblFieldTableCache>
                        <c:ptCount val="1"/>
                        <c:pt idx="0">
                          <c:v>68,7%</c:v>
                        </c:pt>
                      </c15:dlblFieldTableCache>
                    </c15:dlblFTEntry>
                  </c15:dlblFieldTable>
                  <c15:showDataLabelsRange val="0"/>
                </c:ext>
                <c:ext xmlns:c16="http://schemas.microsoft.com/office/drawing/2014/chart" uri="{C3380CC4-5D6E-409C-BE32-E72D297353CC}">
                  <c16:uniqueId val="{00000007-6FEA-49DA-94A8-C103CD2C8DFE}"/>
                </c:ext>
              </c:extLst>
            </c:dLbl>
            <c:dLbl>
              <c:idx val="8"/>
              <c:tx>
                <c:rich>
                  <a:bodyPr/>
                  <a:lstStyle/>
                  <a:p>
                    <a:fld id="{418925EC-5411-4FD0-A169-217D1B65B166}"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{418925EC-5411-4FD0-A169-217D1B65B166}</c15:txfldGUID>
                      <c15:f>Sheet1!$J$21</c15:f>
                      <c15:dlblFieldTableCache>
                        <c:ptCount val="1"/>
                        <c:pt idx="0">
                          <c:v>68,8%</c:v>
                        </c:pt>
                      </c15:dlblFieldTableCache>
                    </c15:dlblFTEntry>
                  </c15:dlblFieldTable>
                  <c15:showDataLabelsRange val="0"/>
                </c:ext>
                <c:ext xmlns:c16="http://schemas.microsoft.com/office/drawing/2014/chart" uri="{C3380CC4-5D6E-409C-BE32-E72D297353CC}">
                  <c16:uniqueId val="{00000008-6FEA-49DA-94A8-C103CD2C8DFE}"/>
                </c:ext>
              </c:extLst>
            </c:dLbl>
            <c:dLbl>
              <c:idx val="9"/>
              <c:tx>
                <c:rich>
                  <a:bodyPr/>
                  <a:lstStyle/>
                  <a:p>
                    <a:fld id="{009E267B-85C3-467C-B6F3-A9D93D44D736}"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{009E267B-85C3-467C-B6F3-A9D93D44D736}</c15:txfldGUID>
                      <c15:f>Sheet1!$K$7</c15:f>
                      <c15:dlblFieldTableCache>
                        <c:ptCount val="1"/>
                        <c:pt idx="0">
                          <c:v>66,1%</c:v>
                        </c:pt>
                      </c15:dlblFieldTableCache>
                    </c15:dlblFTEntry>
                  </c15:dlblFieldTable>
                  <c15:showDataLabelsRange val="0"/>
                </c:ext>
                <c:ext xmlns:c16="http://schemas.microsoft.com/office/drawing/2014/chart" uri="{C3380CC4-5D6E-409C-BE32-E72D297353CC}">
                  <c16:uniqueId val="{00000001-60EC-4AE8-826C-C7089D3D4A88}"/>
                </c:ext>
              </c:extLst>
            </c:dLbl>
            <c:dLbl>
              <c:idx val="10"/>
              <c:tx>
                <c:rich>
                  <a:bodyPr/>
                  <a:lstStyle/>
                  <a:p>
                    <a:fld id="{641D6E2F-7DD2-4A94-B055-10FF56374B6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{641D6E2F-7DD2-4A94-B055-10FF56374B68}</c15:txfldGUID>
                      <c15:f>Sheet1!$L$7</c15:f>
                      <c15:dlblFieldTableCache>
                        <c:ptCount val="1"/>
                        <c:pt idx="0">
                          <c:v>71,1%</c:v>
                        </c:pt>
                      </c15:dlblFieldTableCache>
                    </c15:dlblFTEntry>
                  </c15:dlblFieldTable>
                  <c15:showDataLabelsRange val="0"/>
                </c:ext>
                <c:ext xmlns:c16="http://schemas.microsoft.com/office/drawing/2014/chart" uri="{C3380CC4-5D6E-409C-BE32-E72D297353CC}">
                  <c16:uniqueId val="{00000000-08FA-4105-A1B1-BDFCA9C82C4E}"/>
                </c:ext>
              </c:extLst>
            </c:dLbl>
            <c:spPr>
              <a:solidFill>
                <a:sysClr val="window" lastClr="FFFFFF"/>
              </a:solidFill>
              <a:ln>
                <a:noFill/>
              </a:ln>
              <a:effectLst>
                <a:glow rad="63500">
                  <a:srgbClr val="C0504D">
                    <a:satMod val="175000"/>
                    <a:alpha val="40000"/>
                  </a:srgbClr>
                </a:glow>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2015.</c:v>
                </c:pt>
                <c:pt idx="1">
                  <c:v>2016.</c:v>
                </c:pt>
                <c:pt idx="2">
                  <c:v>2017.</c:v>
                </c:pt>
                <c:pt idx="3">
                  <c:v>2018.</c:v>
                </c:pt>
                <c:pt idx="4">
                  <c:v>2019.</c:v>
                </c:pt>
                <c:pt idx="5">
                  <c:v>2020.</c:v>
                </c:pt>
                <c:pt idx="6">
                  <c:v>2021.</c:v>
                </c:pt>
                <c:pt idx="7">
                  <c:v>2022.</c:v>
                </c:pt>
                <c:pt idx="8">
                  <c:v>2023.</c:v>
                </c:pt>
                <c:pt idx="9">
                  <c:v>2024.</c:v>
                </c:pt>
                <c:pt idx="10">
                  <c:v>1-6/2025.</c:v>
                </c:pt>
              </c:strCache>
            </c:strRef>
          </c:cat>
          <c:val>
            <c:numRef>
              <c:f>Sheet1!$B$2:$L$2</c:f>
              <c:numCache>
                <c:formatCode>#,##0.00</c:formatCode>
                <c:ptCount val="11"/>
                <c:pt idx="0">
                  <c:v>6045677.6162983608</c:v>
                </c:pt>
                <c:pt idx="1">
                  <c:v>5680349.6635476798</c:v>
                </c:pt>
                <c:pt idx="2">
                  <c:v>5722642.735417081</c:v>
                </c:pt>
                <c:pt idx="3">
                  <c:v>5641280.7113942532</c:v>
                </c:pt>
                <c:pt idx="4">
                  <c:v>6937978.6475545811</c:v>
                </c:pt>
                <c:pt idx="5">
                  <c:v>4340650.1373681063</c:v>
                </c:pt>
                <c:pt idx="6">
                  <c:v>5403457.1730041802</c:v>
                </c:pt>
                <c:pt idx="7">
                  <c:v>7585854.8437188929</c:v>
                </c:pt>
                <c:pt idx="8">
                  <c:v>9170518.6500000004</c:v>
                </c:pt>
                <c:pt idx="9">
                  <c:v>10079114.15</c:v>
                </c:pt>
                <c:pt idx="10">
                  <c:v>7358017.8099999996</c:v>
                </c:pt>
              </c:numCache>
            </c:numRef>
          </c:val>
          <c:extLst>
            <c:ext xmlns:c16="http://schemas.microsoft.com/office/drawing/2014/chart" uri="{C3380CC4-5D6E-409C-BE32-E72D297353CC}">
              <c16:uniqueId val="{00000009-6FEA-49DA-94A8-C103CD2C8DFE}"/>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2.2798518096323737E-2"/>
                  <c:y val="-9.1785222579164761E-3"/>
                </c:manualLayout>
              </c:layout>
              <c:tx>
                <c:rich>
                  <a:bodyPr/>
                  <a:lstStyle/>
                  <a:p>
                    <a:fld id="{5C598CF8-D442-4592-AD29-BE17FCC1952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{5C598CF8-D442-4592-AD29-BE17FCC1952D}</c15:txfldGUID>
                      <c15:f>Sheet1!$B$8</c15:f>
                      <c15:dlblFieldTableCache>
                        <c:ptCount val="1"/>
                        <c:pt idx="0">
                          <c:v>23,9%</c:v>
                        </c:pt>
                      </c15:dlblFieldTableCache>
                    </c15:dlblFTEntry>
                  </c15:dlblFieldTable>
                  <c15:showDataLabelsRange val="0"/>
                </c:ext>
                <c:ext xmlns:c16="http://schemas.microsoft.com/office/drawing/2014/chart" uri="{C3380CC4-5D6E-409C-BE32-E72D297353CC}">
                  <c16:uniqueId val="{0000000A-6FEA-49DA-94A8-C103CD2C8DFE}"/>
                </c:ext>
              </c:extLst>
            </c:dLbl>
            <c:dLbl>
              <c:idx val="1"/>
              <c:tx>
                <c:rich>
                  <a:bodyPr/>
                  <a:lstStyle/>
                  <a:p>
                    <a:fld id="{12C6B7D7-D736-4087-9DF7-2720D5CF936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{12C6B7D7-D736-4087-9DF7-2720D5CF9364}</c15:txfldGUID>
                      <c15:f>Sheet1!$C$8</c15:f>
                      <c15:dlblFieldTableCache>
                        <c:ptCount val="1"/>
                        <c:pt idx="0">
                          <c:v>29,5%</c:v>
                        </c:pt>
                      </c15:dlblFieldTableCache>
                    </c15:dlblFTEntry>
                  </c15:dlblFieldTable>
                  <c15:showDataLabelsRange val="0"/>
                </c:ext>
                <c:ext xmlns:c16="http://schemas.microsoft.com/office/drawing/2014/chart" uri="{C3380CC4-5D6E-409C-BE32-E72D297353CC}">
                  <c16:uniqueId val="{0000000B-6FEA-49DA-94A8-C103CD2C8DFE}"/>
                </c:ext>
              </c:extLst>
            </c:dLbl>
            <c:dLbl>
              <c:idx val="2"/>
              <c:tx>
                <c:rich>
                  <a:bodyPr/>
                  <a:lstStyle/>
                  <a:p>
                    <a:fld id="{576A5220-6F05-4CDD-9F85-4A14C581F07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{576A5220-6F05-4CDD-9F85-4A14C581F07B}</c15:txfldGUID>
                      <c15:f>Sheet1!$D$8</c15:f>
                      <c15:dlblFieldTableCache>
                        <c:ptCount val="1"/>
                        <c:pt idx="0">
                          <c:v>34,6%</c:v>
                        </c:pt>
                      </c15:dlblFieldTableCache>
                    </c15:dlblFTEntry>
                  </c15:dlblFieldTable>
                  <c15:showDataLabelsRange val="0"/>
                </c:ext>
                <c:ext xmlns:c16="http://schemas.microsoft.com/office/drawing/2014/chart" uri="{C3380CC4-5D6E-409C-BE32-E72D297353CC}">
                  <c16:uniqueId val="{0000000C-6FEA-49DA-94A8-C103CD2C8DFE}"/>
                </c:ext>
              </c:extLst>
            </c:dLbl>
            <c:dLbl>
              <c:idx val="3"/>
              <c:tx>
                <c:rich>
                  <a:bodyPr/>
                  <a:lstStyle/>
                  <a:p>
                    <a:fld id="{922D9832-AF79-460A-BBE1-769A7743A4E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{922D9832-AF79-460A-BBE1-769A7743A4E9}</c15:txfldGUID>
                      <c15:f>Sheet1!$E$8</c15:f>
                      <c15:dlblFieldTableCache>
                        <c:ptCount val="1"/>
                        <c:pt idx="0">
                          <c:v>36,5%</c:v>
                        </c:pt>
                      </c15:dlblFieldTableCache>
                    </c15:dlblFTEntry>
                  </c15:dlblFieldTable>
                  <c15:showDataLabelsRange val="0"/>
                </c:ext>
                <c:ext xmlns:c16="http://schemas.microsoft.com/office/drawing/2014/chart" uri="{C3380CC4-5D6E-409C-BE32-E72D297353CC}">
                  <c16:uniqueId val="{0000000D-6FEA-49DA-94A8-C103CD2C8DFE}"/>
                </c:ext>
              </c:extLst>
            </c:dLbl>
            <c:dLbl>
              <c:idx val="4"/>
              <c:tx>
                <c:rich>
                  <a:bodyPr/>
                  <a:lstStyle/>
                  <a:p>
                    <a:fld id="{84481F86-F277-4154-B745-F0B85C2F08A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{84481F86-F277-4154-B745-F0B85C2F08A4}</c15:txfldGUID>
                      <c15:f>Sheet1!$F$8</c15:f>
                      <c15:dlblFieldTableCache>
                        <c:ptCount val="1"/>
                        <c:pt idx="0">
                          <c:v>33,3%</c:v>
                        </c:pt>
                      </c15:dlblFieldTableCache>
                    </c15:dlblFTEntry>
                  </c15:dlblFieldTable>
                  <c15:showDataLabelsRange val="0"/>
                </c:ext>
                <c:ext xmlns:c16="http://schemas.microsoft.com/office/drawing/2014/chart" uri="{C3380CC4-5D6E-409C-BE32-E72D297353CC}">
                  <c16:uniqueId val="{0000000E-6FEA-49DA-94A8-C103CD2C8DFE}"/>
                </c:ext>
              </c:extLst>
            </c:dLbl>
            <c:dLbl>
              <c:idx val="5"/>
              <c:tx>
                <c:rich>
                  <a:bodyPr/>
                  <a:lstStyle/>
                  <a:p>
                    <a:fld id="{45B2B017-E1B4-4805-8CC3-62F203C93FC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{45B2B017-E1B4-4805-8CC3-62F203C93FC1}</c15:txfldGUID>
                      <c15:f>Sheet1!$G$8</c15:f>
                      <c15:dlblFieldTableCache>
                        <c:ptCount val="1"/>
                        <c:pt idx="0">
                          <c:v>40,1%</c:v>
                        </c:pt>
                      </c15:dlblFieldTableCache>
                    </c15:dlblFTEntry>
                  </c15:dlblFieldTable>
                  <c15:showDataLabelsRange val="0"/>
                </c:ext>
                <c:ext xmlns:c16="http://schemas.microsoft.com/office/drawing/2014/chart" uri="{C3380CC4-5D6E-409C-BE32-E72D297353CC}">
                  <c16:uniqueId val="{0000000F-6FEA-49DA-94A8-C103CD2C8DFE}"/>
                </c:ext>
              </c:extLst>
            </c:dLbl>
            <c:dLbl>
              <c:idx val="6"/>
              <c:layout>
                <c:manualLayout>
                  <c:x val="4.0837161817253703E-3"/>
                  <c:y val="-8.3916083916084003E-2"/>
                </c:manualLayout>
              </c:layout>
              <c:tx>
                <c:rich>
                  <a:bodyPr/>
                  <a:lstStyle/>
                  <a:p>
                    <a:fld id="{F552141A-2405-4632-AA69-DF9C2551387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{F552141A-2405-4632-AA69-DF9C25513879}</c15:txfldGUID>
                      <c15:f>Sheet1!$H$8</c15:f>
                      <c15:dlblFieldTableCache>
                        <c:ptCount val="1"/>
                        <c:pt idx="0">
                          <c:v>37,5%</c:v>
                        </c:pt>
                      </c15:dlblFieldTableCache>
                    </c15:dlblFTEntry>
                  </c15:dlblFieldTable>
                  <c15:showDataLabelsRange val="0"/>
                </c:ext>
                <c:ext xmlns:c16="http://schemas.microsoft.com/office/drawing/2014/chart" uri="{C3380CC4-5D6E-409C-BE32-E72D297353CC}">
                  <c16:uniqueId val="{00000010-6FEA-49DA-94A8-C103CD2C8DFE}"/>
                </c:ext>
              </c:extLst>
            </c:dLbl>
            <c:dLbl>
              <c:idx val="7"/>
              <c:tx>
                <c:rich>
                  <a:bodyPr/>
                  <a:lstStyle/>
                  <a:p>
                    <a:fld id="{ED765CDA-12B6-4429-A4B4-8F2EE049A22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{ED765CDA-12B6-4429-A4B4-8F2EE049A225}</c15:txfldGUID>
                      <c15:f>Sheet1!$I$8</c15:f>
                      <c15:dlblFieldTableCache>
                        <c:ptCount val="1"/>
                        <c:pt idx="0">
                          <c:v>31,3%</c:v>
                        </c:pt>
                      </c15:dlblFieldTableCache>
                    </c15:dlblFTEntry>
                  </c15:dlblFieldTable>
                  <c15:showDataLabelsRange val="0"/>
                </c:ext>
                <c:ext xmlns:c16="http://schemas.microsoft.com/office/drawing/2014/chart" uri="{C3380CC4-5D6E-409C-BE32-E72D297353CC}">
                  <c16:uniqueId val="{00000011-6FEA-49DA-94A8-C103CD2C8DFE}"/>
                </c:ext>
              </c:extLst>
            </c:dLbl>
            <c:dLbl>
              <c:idx val="8"/>
              <c:tx>
                <c:rich>
                  <a:bodyPr/>
                  <a:lstStyle/>
                  <a:p>
                    <a:fld id="{BD1755FD-890E-45A5-9314-AA090CA6A0CA}"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{BD1755FD-890E-45A5-9314-AA090CA6A0CA}</c15:txfldGUID>
                      <c15:f>Sheet1!$J$22</c15:f>
                      <c15:dlblFieldTableCache>
                        <c:ptCount val="1"/>
                        <c:pt idx="0">
                          <c:v>31,2%</c:v>
                        </c:pt>
                      </c15:dlblFieldTableCache>
                    </c15:dlblFTEntry>
                  </c15:dlblFieldTable>
                  <c15:showDataLabelsRange val="0"/>
                </c:ext>
                <c:ext xmlns:c16="http://schemas.microsoft.com/office/drawing/2014/chart" uri="{C3380CC4-5D6E-409C-BE32-E72D297353CC}">
                  <c16:uniqueId val="{00000012-6FEA-49DA-94A8-C103CD2C8DFE}"/>
                </c:ext>
              </c:extLst>
            </c:dLbl>
            <c:dLbl>
              <c:idx val="9"/>
              <c:layout>
                <c:manualLayout>
                  <c:x val="5.6996295240809344E-3"/>
                  <c:y val="4.2067741045316176E-17"/>
                </c:manualLayout>
              </c:layout>
              <c:tx>
                <c:rich>
                  <a:bodyPr wrap="square" lIns="38100" tIns="19050" rIns="38100" bIns="19050" anchor="ctr">
                    <a:noAutofit/>
                  </a:bodyPr>
                  <a:lstStyle/>
                  <a:p>
                    <a:pPr>
                      <a:defRPr sz="700"/>
                    </a:pPr>
                    <a:fld id="{DFF6DA32-94B5-4A53-8F49-02C812C181A8}" type="CELLREF">
                      <a:rPr lang="en-US"/>
                      <a:pPr>
                        <a:defRPr sz="700"/>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9072396514698984E-2"/>
                      <c:h val="5.2106543130020631E-2"/>
                    </c:manualLayout>
                  </c15:layout>
                  <c15:dlblFieldTable>
                    <c15:dlblFTEntry>
                      <c15:txfldGUID>{DFF6DA32-94B5-4A53-8F49-02C812C181A8}</c15:txfldGUID>
                      <c15:f>Sheet1!$K$8</c15:f>
                      <c15:dlblFieldTableCache>
                        <c:ptCount val="1"/>
                        <c:pt idx="0">
                          <c:v>33,9%</c:v>
                        </c:pt>
                      </c15:dlblFieldTableCache>
                    </c15:dlblFTEntry>
                  </c15:dlblFieldTable>
                  <c15:showDataLabelsRange val="0"/>
                </c:ext>
                <c:ext xmlns:c16="http://schemas.microsoft.com/office/drawing/2014/chart" uri="{C3380CC4-5D6E-409C-BE32-E72D297353CC}">
                  <c16:uniqueId val="{00000000-60EC-4AE8-826C-C7089D3D4A88}"/>
                </c:ext>
              </c:extLst>
            </c:dLbl>
            <c:dLbl>
              <c:idx val="10"/>
              <c:tx>
                <c:rich>
                  <a:bodyPr/>
                  <a:lstStyle/>
                  <a:p>
                    <a:fld id="{45713B60-693E-4984-9914-27171E989560}"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{45713B60-693E-4984-9914-27171E989560}</c15:txfldGUID>
                      <c15:f>Sheet1!$L$8</c15:f>
                      <c15:dlblFieldTableCache>
                        <c:ptCount val="1"/>
                        <c:pt idx="0">
                          <c:v>28,9%</c:v>
                        </c:pt>
                      </c15:dlblFieldTableCache>
                    </c15:dlblFTEntry>
                  </c15:dlblFieldTable>
                  <c15:showDataLabelsRange val="0"/>
                </c:ext>
                <c:ext xmlns:c16="http://schemas.microsoft.com/office/drawing/2014/chart" uri="{C3380CC4-5D6E-409C-BE32-E72D297353CC}">
                  <c16:uniqueId val="{00000001-08FA-4105-A1B1-BDFCA9C82C4E}"/>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2015.</c:v>
                </c:pt>
                <c:pt idx="1">
                  <c:v>2016.</c:v>
                </c:pt>
                <c:pt idx="2">
                  <c:v>2017.</c:v>
                </c:pt>
                <c:pt idx="3">
                  <c:v>2018.</c:v>
                </c:pt>
                <c:pt idx="4">
                  <c:v>2019.</c:v>
                </c:pt>
                <c:pt idx="5">
                  <c:v>2020.</c:v>
                </c:pt>
                <c:pt idx="6">
                  <c:v>2021.</c:v>
                </c:pt>
                <c:pt idx="7">
                  <c:v>2022.</c:v>
                </c:pt>
                <c:pt idx="8">
                  <c:v>2023.</c:v>
                </c:pt>
                <c:pt idx="9">
                  <c:v>2024.</c:v>
                </c:pt>
                <c:pt idx="10">
                  <c:v>1-6/2025.</c:v>
                </c:pt>
              </c:strCache>
            </c:strRef>
          </c:cat>
          <c:val>
            <c:numRef>
              <c:f>Sheet1!$B$3:$L$3</c:f>
              <c:numCache>
                <c:formatCode>#,##0.00</c:formatCode>
                <c:ptCount val="11"/>
                <c:pt idx="0">
                  <c:v>1900030.1227685979</c:v>
                </c:pt>
                <c:pt idx="1">
                  <c:v>2373052.4958524122</c:v>
                </c:pt>
                <c:pt idx="2">
                  <c:v>3033758.4750149311</c:v>
                </c:pt>
                <c:pt idx="3">
                  <c:v>3239348.1266175592</c:v>
                </c:pt>
                <c:pt idx="4">
                  <c:v>3469448.8154489347</c:v>
                </c:pt>
                <c:pt idx="5">
                  <c:v>2911143.1030592606</c:v>
                </c:pt>
                <c:pt idx="6">
                  <c:v>3247265.697790165</c:v>
                </c:pt>
                <c:pt idx="7">
                  <c:v>3452103.2676355429</c:v>
                </c:pt>
                <c:pt idx="8">
                  <c:v>4168223.51</c:v>
                </c:pt>
                <c:pt idx="9">
                  <c:v>5174433.2</c:v>
                </c:pt>
                <c:pt idx="10">
                  <c:v>2983870.12</c:v>
                </c:pt>
              </c:numCache>
            </c:numRef>
          </c:val>
          <c:extLst>
            <c:ext xmlns:c16="http://schemas.microsoft.com/office/drawing/2014/chart" uri="{C3380CC4-5D6E-409C-BE32-E72D297353CC}">
              <c16:uniqueId val="{00000013-6FEA-49DA-94A8-C103CD2C8DFE}"/>
            </c:ext>
          </c:extLst>
        </c:ser>
        <c:dLbls>
          <c:showLegendKey val="0"/>
          <c:showVal val="0"/>
          <c:showCatName val="0"/>
          <c:showSerName val="0"/>
          <c:showPercent val="0"/>
          <c:showBubbleSize val="0"/>
        </c:dLbls>
        <c:gapWidth val="150"/>
        <c:overlap val="100"/>
        <c:axId val="212354048"/>
        <c:axId val="1354706304"/>
      </c:barChart>
      <c:catAx>
        <c:axId val="212354048"/>
        <c:scaling>
          <c:orientation val="minMax"/>
        </c:scaling>
        <c:delete val="0"/>
        <c:axPos val="b"/>
        <c:title>
          <c:tx>
            <c:rich>
              <a:bodyPr/>
              <a:lstStyle/>
              <a:p>
                <a:pPr>
                  <a:defRPr/>
                </a:pPr>
                <a:r>
                  <a:rPr lang="en-GB"/>
                  <a:t>godina</a:t>
                </a:r>
              </a:p>
            </c:rich>
          </c:tx>
          <c:layout>
            <c:manualLayout>
              <c:xMode val="edge"/>
              <c:yMode val="edge"/>
              <c:x val="0.39767441860465114"/>
              <c:y val="0.88321167883211682"/>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1354706304"/>
        <c:crossesAt val="90000000"/>
        <c:auto val="1"/>
        <c:lblAlgn val="ctr"/>
        <c:lblOffset val="100"/>
        <c:tickLblSkip val="1"/>
        <c:tickMarkSkip val="1"/>
        <c:noMultiLvlLbl val="0"/>
      </c:catAx>
      <c:valAx>
        <c:axId val="1354706304"/>
        <c:scaling>
          <c:orientation val="minMax"/>
        </c:scaling>
        <c:delete val="0"/>
        <c:axPos val="l"/>
        <c:majorGridlines>
          <c:spPr>
            <a:ln w="1907">
              <a:solidFill>
                <a:srgbClr val="000000"/>
              </a:solidFill>
              <a:prstDash val="solid"/>
            </a:ln>
          </c:spPr>
        </c:majorGridlines>
        <c:title>
          <c:tx>
            <c:rich>
              <a:bodyPr/>
              <a:lstStyle/>
              <a:p>
                <a:pPr>
                  <a:defRPr/>
                </a:pPr>
                <a:r>
                  <a:rPr lang="en-GB"/>
                  <a:t>iznos proračuna</a:t>
                </a:r>
                <a:r>
                  <a:rPr lang="hr-HR"/>
                  <a:t> (€)</a:t>
                </a:r>
                <a:endParaRPr lang="en-GB"/>
              </a:p>
            </c:rich>
          </c:tx>
          <c:layout>
            <c:manualLayout>
              <c:xMode val="edge"/>
              <c:yMode val="edge"/>
              <c:x val="5.4079610809549337E-2"/>
              <c:y val="0.35108678762561751"/>
            </c:manualLayout>
          </c:layout>
          <c:overlay val="0"/>
          <c:spPr>
            <a:noFill/>
            <a:ln w="15257">
              <a:noFill/>
            </a:ln>
          </c:spPr>
        </c:title>
        <c:numFmt formatCode="#,##0" sourceLinked="0"/>
        <c:majorTickMark val="out"/>
        <c:minorTickMark val="none"/>
        <c:tickLblPos val="nextTo"/>
        <c:txPr>
          <a:bodyPr rot="0" vert="horz"/>
          <a:lstStyle/>
          <a:p>
            <a:pPr>
              <a:defRPr/>
            </a:pPr>
            <a:endParaRPr lang="sr-Latn-RS"/>
          </a:p>
        </c:txPr>
        <c:crossAx val="212354048"/>
        <c:crosses val="autoZero"/>
        <c:crossBetween val="between"/>
      </c:valAx>
      <c:spPr>
        <a:solidFill>
          <a:srgbClr val="C0C0C0"/>
        </a:solidFill>
        <a:ln w="7628">
          <a:solidFill>
            <a:srgbClr val="808080"/>
          </a:solidFill>
          <a:prstDash val="solid"/>
        </a:ln>
      </c:spPr>
    </c:plotArea>
    <c:legend>
      <c:legendPos val="r"/>
      <c:layout>
        <c:manualLayout>
          <c:xMode val="edge"/>
          <c:yMode val="edge"/>
          <c:x val="0.85066958210725874"/>
          <c:y val="0.35844591987830726"/>
          <c:w val="0.14002830148447101"/>
          <c:h val="0.38451615036687836"/>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hr-HR" sz="1100"/>
              <a:t>Struktura ostvarenih vlastitih prihoda i primitaka </a:t>
            </a:r>
            <a:r>
              <a:rPr lang="en-US" sz="1100"/>
              <a:t>Proračuna u</a:t>
            </a:r>
            <a:r>
              <a:rPr lang="hr-HR" sz="1100"/>
              <a:t> 1-6/</a:t>
            </a:r>
            <a:r>
              <a:rPr lang="en-US" sz="1100"/>
              <a:t>20</a:t>
            </a:r>
            <a:r>
              <a:rPr lang="hr-HR" sz="1100"/>
              <a:t>25</a:t>
            </a:r>
            <a:r>
              <a:rPr lang="en-US" sz="1100"/>
              <a:t>.</a:t>
            </a:r>
            <a:r>
              <a:rPr lang="hr-HR" sz="1100"/>
              <a:t> </a:t>
            </a:r>
            <a:endParaRPr lang="en-US" sz="1100"/>
          </a:p>
          <a:p>
            <a:pPr>
              <a:defRPr sz="1100"/>
            </a:pPr>
            <a:r>
              <a:rPr lang="hr-HR" sz="1100"/>
              <a:t>- Općina i proračunski korisnici</a:t>
            </a:r>
            <a:endParaRPr lang="en-US" sz="1100"/>
          </a:p>
        </c:rich>
      </c:tx>
      <c:layout>
        <c:manualLayout>
          <c:xMode val="edge"/>
          <c:yMode val="edge"/>
          <c:x val="9.4960117614699913E-2"/>
          <c:y val="6.4796108551890279E-4"/>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0636663675956138E-2"/>
          <c:y val="0.33048024402355108"/>
          <c:w val="0.64457345847135883"/>
          <c:h val="0.59645692937031525"/>
        </c:manualLayout>
      </c:layout>
      <c:pie3DChart>
        <c:varyColors val="1"/>
        <c:ser>
          <c:idx val="0"/>
          <c:order val="0"/>
          <c:tx>
            <c:strRef>
              <c:f>List1!$B$1</c:f>
              <c:strCache>
                <c:ptCount val="1"/>
                <c:pt idx="0">
                  <c:v>Prihodi i primici Proračuna u 1-6/2025.</c:v>
                </c:pt>
              </c:strCache>
            </c:strRef>
          </c:tx>
          <c:explosion val="29"/>
          <c:dPt>
            <c:idx val="0"/>
            <c:bubble3D val="0"/>
            <c:spPr>
              <a:pattFill prst="pct40">
                <a:fgClr>
                  <a:schemeClr val="tx2"/>
                </a:fgClr>
                <a:bgClr>
                  <a:schemeClr val="bg1"/>
                </a:bgClr>
              </a:pattFill>
              <a:ln w="6350">
                <a:solidFill>
                  <a:srgbClr val="4F81BD"/>
                </a:solidFill>
              </a:ln>
            </c:spPr>
            <c:extLst>
              <c:ext xmlns:c16="http://schemas.microsoft.com/office/drawing/2014/chart" uri="{C3380CC4-5D6E-409C-BE32-E72D297353CC}">
                <c16:uniqueId val="{00000001-DEA9-4434-8216-31E1CB1DB41B}"/>
              </c:ext>
            </c:extLst>
          </c:dPt>
          <c:dPt>
            <c:idx val="1"/>
            <c:bubble3D val="0"/>
            <c:spPr>
              <a:solidFill>
                <a:schemeClr val="accent6">
                  <a:lumMod val="75000"/>
                </a:schemeClr>
              </a:solidFill>
            </c:spPr>
            <c:extLst>
              <c:ext xmlns:c16="http://schemas.microsoft.com/office/drawing/2014/chart" uri="{C3380CC4-5D6E-409C-BE32-E72D297353CC}">
                <c16:uniqueId val="{00000003-DEA9-4434-8216-31E1CB1DB41B}"/>
              </c:ext>
            </c:extLst>
          </c:dPt>
          <c:dPt>
            <c:idx val="2"/>
            <c:bubble3D val="0"/>
            <c:extLst>
              <c:ext xmlns:c16="http://schemas.microsoft.com/office/drawing/2014/chart" uri="{C3380CC4-5D6E-409C-BE32-E72D297353CC}">
                <c16:uniqueId val="{00000004-DEA9-4434-8216-31E1CB1DB41B}"/>
              </c:ext>
            </c:extLst>
          </c:dPt>
          <c:dPt>
            <c:idx val="3"/>
            <c:bubble3D val="0"/>
            <c:spPr>
              <a:solidFill>
                <a:srgbClr val="FFFF00"/>
              </a:solidFill>
            </c:spPr>
            <c:extLst>
              <c:ext xmlns:c16="http://schemas.microsoft.com/office/drawing/2014/chart" uri="{C3380CC4-5D6E-409C-BE32-E72D297353CC}">
                <c16:uniqueId val="{00000006-DEA9-4434-8216-31E1CB1DB41B}"/>
              </c:ext>
            </c:extLst>
          </c:dPt>
          <c:dPt>
            <c:idx val="4"/>
            <c:bubble3D val="0"/>
            <c:spPr>
              <a:solidFill>
                <a:srgbClr val="7030A0"/>
              </a:solidFill>
            </c:spPr>
            <c:extLst>
              <c:ext xmlns:c16="http://schemas.microsoft.com/office/drawing/2014/chart" uri="{C3380CC4-5D6E-409C-BE32-E72D297353CC}">
                <c16:uniqueId val="{00000008-DEA9-4434-8216-31E1CB1DB41B}"/>
              </c:ext>
            </c:extLst>
          </c:dPt>
          <c:dLbls>
            <c:dLbl>
              <c:idx val="0"/>
              <c:layout>
                <c:manualLayout>
                  <c:x val="7.5206248682527399E-2"/>
                  <c:y val="-6.916294288462335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A9-4434-8216-31E1CB1DB41B}"/>
                </c:ext>
              </c:extLst>
            </c:dLbl>
            <c:dLbl>
              <c:idx val="1"/>
              <c:layout>
                <c:manualLayout>
                  <c:x val="-4.3061665711617882E-2"/>
                  <c:y val="0.1226975061781800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A9-4434-8216-31E1CB1DB41B}"/>
                </c:ext>
              </c:extLst>
            </c:dLbl>
            <c:dLbl>
              <c:idx val="2"/>
              <c:layout>
                <c:manualLayout>
                  <c:x val="-3.7237314022323026E-2"/>
                  <c:y val="-2.078813789421851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EA9-4434-8216-31E1CB1DB41B}"/>
                </c:ext>
              </c:extLst>
            </c:dLbl>
            <c:dLbl>
              <c:idx val="3"/>
              <c:layout>
                <c:manualLayout>
                  <c:x val="-2.8770407033420618E-2"/>
                  <c:y val="-0.1421984656944182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DEA9-4434-8216-31E1CB1DB41B}"/>
                </c:ext>
              </c:extLst>
            </c:dLbl>
            <c:dLbl>
              <c:idx val="4"/>
              <c:layout>
                <c:manualLayout>
                  <c:x val="0.14998892752207077"/>
                  <c:y val="-2.350745753507868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EA9-4434-8216-31E1CB1DB41B}"/>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c:v>
                </c:pt>
                <c:pt idx="2">
                  <c:v>Muzeji i galerije</c:v>
                </c:pt>
                <c:pt idx="3">
                  <c:v>Javna vatrogasna postrojba</c:v>
                </c:pt>
                <c:pt idx="4">
                  <c:v>Dom za starije i nemoćne osobe</c:v>
                </c:pt>
              </c:strCache>
            </c:strRef>
          </c:cat>
          <c:val>
            <c:numRef>
              <c:f>List1!$B$2:$B$6</c:f>
              <c:numCache>
                <c:formatCode>#,##0.00</c:formatCode>
                <c:ptCount val="5"/>
                <c:pt idx="0">
                  <c:v>7438784.8799999999</c:v>
                </c:pt>
                <c:pt idx="1">
                  <c:v>262102.65</c:v>
                </c:pt>
                <c:pt idx="2">
                  <c:v>78050.149999999994</c:v>
                </c:pt>
                <c:pt idx="3">
                  <c:v>0</c:v>
                </c:pt>
                <c:pt idx="4">
                  <c:v>471804.38</c:v>
                </c:pt>
              </c:numCache>
            </c:numRef>
          </c:val>
          <c:extLst>
            <c:ext xmlns:c16="http://schemas.microsoft.com/office/drawing/2014/chart" uri="{C3380CC4-5D6E-409C-BE32-E72D297353CC}">
              <c16:uniqueId val="{00000009-DEA9-4434-8216-31E1CB1DB41B}"/>
            </c:ext>
          </c:extLst>
        </c:ser>
        <c:dLbls>
          <c:showLegendKey val="0"/>
          <c:showVal val="0"/>
          <c:showCatName val="0"/>
          <c:showSerName val="0"/>
          <c:showPercent val="0"/>
          <c:showBubbleSize val="0"/>
          <c:showLeaderLines val="1"/>
        </c:dLbls>
      </c:pie3DChart>
    </c:plotArea>
    <c:legend>
      <c:legendPos val="r"/>
      <c:legendEntry>
        <c:idx val="0"/>
        <c:txPr>
          <a:bodyPr/>
          <a:lstStyle/>
          <a:p>
            <a:pPr>
              <a:defRPr sz="900"/>
            </a:pPr>
            <a:endParaRPr lang="sr-Latn-RS"/>
          </a:p>
        </c:txPr>
      </c:legendEntry>
      <c:legendEntry>
        <c:idx val="1"/>
        <c:txPr>
          <a:bodyPr/>
          <a:lstStyle/>
          <a:p>
            <a:pPr>
              <a:defRPr sz="900"/>
            </a:pPr>
            <a:endParaRPr lang="sr-Latn-RS"/>
          </a:p>
        </c:txPr>
      </c:legendEntry>
      <c:legendEntry>
        <c:idx val="2"/>
        <c:txPr>
          <a:bodyPr/>
          <a:lstStyle/>
          <a:p>
            <a:pPr>
              <a:defRPr sz="900"/>
            </a:pPr>
            <a:endParaRPr lang="sr-Latn-RS"/>
          </a:p>
        </c:txPr>
      </c:legendEntry>
      <c:legendEntry>
        <c:idx val="3"/>
        <c:txPr>
          <a:bodyPr/>
          <a:lstStyle/>
          <a:p>
            <a:pPr>
              <a:defRPr sz="900"/>
            </a:pPr>
            <a:endParaRPr lang="sr-Latn-RS"/>
          </a:p>
        </c:txPr>
      </c:legendEntry>
      <c:legendEntry>
        <c:idx val="4"/>
        <c:txPr>
          <a:bodyPr/>
          <a:lstStyle/>
          <a:p>
            <a:pPr>
              <a:defRPr sz="900"/>
            </a:pPr>
            <a:endParaRPr lang="sr-Latn-RS"/>
          </a:p>
        </c:txPr>
      </c:legendEntry>
      <c:layout>
        <c:manualLayout>
          <c:xMode val="edge"/>
          <c:yMode val="edge"/>
          <c:x val="0.65243902439024393"/>
          <c:y val="0.39261744966442952"/>
          <c:w val="0.33079268292682928"/>
          <c:h val="0.42281879194630873"/>
        </c:manualLayout>
      </c:layout>
      <c:overlay val="0"/>
      <c:txPr>
        <a:bodyPr/>
        <a:lstStyle/>
        <a:p>
          <a:pPr>
            <a:defRPr sz="900"/>
          </a:pPr>
          <a:endParaRPr lang="sr-Latn-R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hr-HR" sz="1200"/>
              <a:t>Struktura izvršenih rashoda i izdataka </a:t>
            </a:r>
            <a:r>
              <a:rPr lang="en-US" sz="1200"/>
              <a:t>Proračuna u </a:t>
            </a:r>
            <a:r>
              <a:rPr lang="hr-HR" sz="1200"/>
              <a:t>1-6/2025</a:t>
            </a:r>
            <a:r>
              <a:rPr lang="en-US" sz="1200"/>
              <a:t>.</a:t>
            </a:r>
            <a:r>
              <a:rPr lang="hr-HR" sz="1200"/>
              <a:t> </a:t>
            </a:r>
            <a:endParaRPr lang="en-US" sz="1200"/>
          </a:p>
          <a:p>
            <a:pPr>
              <a:defRPr sz="1400"/>
            </a:pPr>
            <a:r>
              <a:rPr lang="hr-HR" sz="1200"/>
              <a:t>- Općina i pojedinačno proračunski korisnici</a:t>
            </a:r>
            <a:endParaRPr lang="en-US" sz="1200"/>
          </a:p>
        </c:rich>
      </c:tx>
      <c:layout>
        <c:manualLayout>
          <c:xMode val="edge"/>
          <c:yMode val="edge"/>
          <c:x val="0.41803746407528192"/>
          <c:y val="2.8673835125448029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List1!$B$1</c:f>
              <c:strCache>
                <c:ptCount val="1"/>
                <c:pt idx="0">
                  <c:v>Rashodi i izdaci Proračuna u 1-6/2025.</c:v>
                </c:pt>
              </c:strCache>
            </c:strRef>
          </c:tx>
          <c:explosion val="25"/>
          <c:dPt>
            <c:idx val="0"/>
            <c:bubble3D val="0"/>
            <c:spPr>
              <a:pattFill prst="pct40">
                <a:fgClr>
                  <a:schemeClr val="tx2"/>
                </a:fgClr>
                <a:bgClr>
                  <a:schemeClr val="bg1"/>
                </a:bgClr>
              </a:pattFill>
            </c:spPr>
            <c:extLst>
              <c:ext xmlns:c16="http://schemas.microsoft.com/office/drawing/2014/chart" uri="{C3380CC4-5D6E-409C-BE32-E72D297353CC}">
                <c16:uniqueId val="{00000001-B230-4D4B-A63E-C8CB6DE87AF6}"/>
              </c:ext>
            </c:extLst>
          </c:dPt>
          <c:dPt>
            <c:idx val="1"/>
            <c:bubble3D val="0"/>
            <c:spPr>
              <a:solidFill>
                <a:srgbClr val="F79646">
                  <a:lumMod val="75000"/>
                </a:srgbClr>
              </a:solidFill>
            </c:spPr>
            <c:extLst>
              <c:ext xmlns:c16="http://schemas.microsoft.com/office/drawing/2014/chart" uri="{C3380CC4-5D6E-409C-BE32-E72D297353CC}">
                <c16:uniqueId val="{00000003-B230-4D4B-A63E-C8CB6DE87AF6}"/>
              </c:ext>
            </c:extLst>
          </c:dPt>
          <c:dPt>
            <c:idx val="2"/>
            <c:bubble3D val="0"/>
            <c:spPr>
              <a:solidFill>
                <a:srgbClr val="9BBB59"/>
              </a:solidFill>
            </c:spPr>
            <c:extLst>
              <c:ext xmlns:c16="http://schemas.microsoft.com/office/drawing/2014/chart" uri="{C3380CC4-5D6E-409C-BE32-E72D297353CC}">
                <c16:uniqueId val="{00000005-B230-4D4B-A63E-C8CB6DE87AF6}"/>
              </c:ext>
            </c:extLst>
          </c:dPt>
          <c:dPt>
            <c:idx val="3"/>
            <c:bubble3D val="0"/>
            <c:spPr>
              <a:solidFill>
                <a:srgbClr val="FFFF00"/>
              </a:solidFill>
            </c:spPr>
            <c:extLst>
              <c:ext xmlns:c16="http://schemas.microsoft.com/office/drawing/2014/chart" uri="{C3380CC4-5D6E-409C-BE32-E72D297353CC}">
                <c16:uniqueId val="{00000007-B230-4D4B-A63E-C8CB6DE87AF6}"/>
              </c:ext>
            </c:extLst>
          </c:dPt>
          <c:dPt>
            <c:idx val="4"/>
            <c:bubble3D val="0"/>
            <c:spPr>
              <a:solidFill>
                <a:srgbClr val="7030A0"/>
              </a:solidFill>
            </c:spPr>
            <c:extLst>
              <c:ext xmlns:c16="http://schemas.microsoft.com/office/drawing/2014/chart" uri="{C3380CC4-5D6E-409C-BE32-E72D297353CC}">
                <c16:uniqueId val="{00000009-B230-4D4B-A63E-C8CB6DE87AF6}"/>
              </c:ext>
            </c:extLst>
          </c:dPt>
          <c:dLbls>
            <c:dLbl>
              <c:idx val="0"/>
              <c:layout>
                <c:manualLayout>
                  <c:x val="-2.9780520602873634E-2"/>
                  <c:y val="0.1493075193557794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30-4D4B-A63E-C8CB6DE87AF6}"/>
                </c:ext>
              </c:extLst>
            </c:dLbl>
            <c:dLbl>
              <c:idx val="1"/>
              <c:layout>
                <c:manualLayout>
                  <c:x val="-1.7953340868209992E-2"/>
                  <c:y val="-2.3334180001693336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30-4D4B-A63E-C8CB6DE87AF6}"/>
                </c:ext>
              </c:extLst>
            </c:dLbl>
            <c:dLbl>
              <c:idx val="2"/>
              <c:layout>
                <c:manualLayout>
                  <c:x val="-3.084417777573505E-2"/>
                  <c:y val="-1.821051938400168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30-4D4B-A63E-C8CB6DE87AF6}"/>
                </c:ext>
              </c:extLst>
            </c:dLbl>
            <c:dLbl>
              <c:idx val="4"/>
              <c:layout>
                <c:manualLayout>
                  <c:x val="4.9587427201740406E-2"/>
                  <c:y val="-4.114958748436015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230-4D4B-A63E-C8CB6DE87AF6}"/>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c:v>
                </c:pt>
                <c:pt idx="2">
                  <c:v>Muzeji i galerije</c:v>
                </c:pt>
                <c:pt idx="3">
                  <c:v>Javna vatrogasna postrojba</c:v>
                </c:pt>
                <c:pt idx="4">
                  <c:v>Dom za starije i nemoćne osobe</c:v>
                </c:pt>
              </c:strCache>
            </c:strRef>
          </c:cat>
          <c:val>
            <c:numRef>
              <c:f>List1!$B$2:$B$6</c:f>
              <c:numCache>
                <c:formatCode>#,##0.00</c:formatCode>
                <c:ptCount val="5"/>
                <c:pt idx="0">
                  <c:v>7358017.8099999996</c:v>
                </c:pt>
                <c:pt idx="1">
                  <c:v>1613636.14</c:v>
                </c:pt>
                <c:pt idx="2">
                  <c:v>307184.45</c:v>
                </c:pt>
                <c:pt idx="3">
                  <c:v>366820.56</c:v>
                </c:pt>
                <c:pt idx="4">
                  <c:v>696228.97</c:v>
                </c:pt>
              </c:numCache>
            </c:numRef>
          </c:val>
          <c:extLst>
            <c:ext xmlns:c16="http://schemas.microsoft.com/office/drawing/2014/chart" uri="{C3380CC4-5D6E-409C-BE32-E72D297353CC}">
              <c16:uniqueId val="{0000000A-B230-4D4B-A63E-C8CB6DE87AF6}"/>
            </c:ext>
          </c:extLst>
        </c:ser>
        <c:dLbls>
          <c:showLegendKey val="0"/>
          <c:showVal val="0"/>
          <c:showCatName val="0"/>
          <c:showSerName val="0"/>
          <c:showPercent val="0"/>
          <c:showBubbleSize val="0"/>
          <c:showLeaderLines val="1"/>
        </c:dLbls>
      </c:pie3DChart>
    </c:plotArea>
    <c:legend>
      <c:legendPos val="r"/>
      <c:layout>
        <c:manualLayout>
          <c:xMode val="edge"/>
          <c:yMode val="edge"/>
          <c:x val="0.72373478164627014"/>
          <c:y val="0.26941952023438936"/>
          <c:w val="0.26421702558264554"/>
          <c:h val="0.69236374864906591"/>
        </c:manualLayout>
      </c:layout>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PRIHODI OPĆINE I PRORAČUNSKIH KORISNIKA</a:t>
            </a:r>
            <a:r>
              <a:rPr lang="hr-HR" sz="1200"/>
              <a:t> </a:t>
            </a:r>
            <a:r>
              <a:rPr lang="hr-HR" sz="1200" baseline="0"/>
              <a:t> </a:t>
            </a:r>
          </a:p>
          <a:p>
            <a:pPr>
              <a:defRPr/>
            </a:pPr>
            <a:r>
              <a:rPr lang="hr-HR" sz="1200" baseline="0"/>
              <a:t>1.1.-30.06.2025.</a:t>
            </a:r>
            <a:endParaRPr lang="en-US" sz="1200"/>
          </a:p>
        </c:rich>
      </c:tx>
      <c:layout>
        <c:manualLayout>
          <c:xMode val="edge"/>
          <c:yMode val="edge"/>
          <c:x val="0.51683267790846643"/>
          <c:y val="0"/>
        </c:manualLayout>
      </c:layout>
      <c:overlay val="0"/>
    </c:title>
    <c:autoTitleDeleted val="0"/>
    <c:plotArea>
      <c:layout/>
      <c:ofPieChart>
        <c:ofPieType val="bar"/>
        <c:varyColors val="1"/>
        <c:ser>
          <c:idx val="0"/>
          <c:order val="0"/>
          <c:tx>
            <c:strRef>
              <c:f>List1!$B$1</c:f>
              <c:strCache>
                <c:ptCount val="1"/>
                <c:pt idx="0">
                  <c:v>PRIHODI OPĆINE I PRORAČUNSKIH KORISNIKA</c:v>
                </c:pt>
              </c:strCache>
            </c:strRef>
          </c:tx>
          <c:spPr>
            <a:ln w="9525"/>
            <a:effectLst>
              <a:outerShdw blurRad="50800" dist="50800" dir="5400000" sx="1000" sy="1000" algn="ctr" rotWithShape="0">
                <a:sysClr val="window" lastClr="FFFFFF">
                  <a:lumMod val="85000"/>
                </a:sysClr>
              </a:outerShdw>
            </a:effectLst>
            <a:scene3d>
              <a:camera prst="orthographicFront"/>
              <a:lightRig rig="threePt" dir="t"/>
            </a:scene3d>
            <a:sp3d prstMaterial="softEdge">
              <a:bevelT w="0"/>
            </a:sp3d>
          </c:spPr>
          <c:explosion val="14"/>
          <c:dPt>
            <c:idx val="0"/>
            <c:bubble3D val="0"/>
            <c:spPr>
              <a:pattFill prst="pct40">
                <a:fgClr>
                  <a:srgbClr val="1F497D"/>
                </a:fgClr>
                <a:bgClr>
                  <a:sysClr val="window" lastClr="FFFFFF"/>
                </a:bgClr>
              </a:pattFill>
              <a:effectLst>
                <a:glow rad="63500">
                  <a:srgbClr val="4F81BD">
                    <a:satMod val="175000"/>
                    <a:alpha val="40000"/>
                  </a:srgbClr>
                </a:glow>
                <a:softEdge rad="406400"/>
              </a:effectLst>
              <a:scene3d>
                <a:camera prst="orthographicFront"/>
                <a:lightRig rig="threePt" dir="t"/>
              </a:scene3d>
              <a:sp3d prstMaterial="softEdge">
                <a:bevelT w="0"/>
              </a:sp3d>
            </c:spPr>
            <c:extLst>
              <c:ext xmlns:c16="http://schemas.microsoft.com/office/drawing/2014/chart" uri="{C3380CC4-5D6E-409C-BE32-E72D297353CC}">
                <c16:uniqueId val="{00000001-5B09-4FE6-95CF-A0E1EBACA857}"/>
              </c:ext>
            </c:extLst>
          </c:dPt>
          <c:dPt>
            <c:idx val="1"/>
            <c:bubble3D val="0"/>
            <c:spPr>
              <a:solidFill>
                <a:srgbClr val="F79646">
                  <a:lumMod val="75000"/>
                </a:srgbClr>
              </a:solidFill>
              <a:ln w="9525"/>
              <a:effectLst>
                <a:outerShdw blurRad="50800" dist="50800" dir="5400000" sx="1000" sy="1000" algn="ctr" rotWithShape="0">
                  <a:sysClr val="window" lastClr="FFFFFF">
                    <a:lumMod val="85000"/>
                  </a:sysClr>
                </a:outerShdw>
              </a:effectLst>
              <a:scene3d>
                <a:camera prst="orthographicFront"/>
                <a:lightRig rig="threePt" dir="t"/>
              </a:scene3d>
              <a:sp3d prstMaterial="softEdge">
                <a:bevelT w="0"/>
              </a:sp3d>
            </c:spPr>
            <c:extLst>
              <c:ext xmlns:c16="http://schemas.microsoft.com/office/drawing/2014/chart" uri="{C3380CC4-5D6E-409C-BE32-E72D297353CC}">
                <c16:uniqueId val="{00000001-1D93-463E-822B-7367DEFE524B}"/>
              </c:ext>
            </c:extLst>
          </c:dPt>
          <c:dPt>
            <c:idx val="2"/>
            <c:bubble3D val="0"/>
            <c:spPr>
              <a:solidFill>
                <a:srgbClr val="9BBB59">
                  <a:lumMod val="75000"/>
                </a:srgbClr>
              </a:solidFill>
              <a:ln w="9525"/>
              <a:effectLst>
                <a:outerShdw blurRad="50800" dist="50800" dir="5400000" sx="1000" sy="1000" algn="ctr" rotWithShape="0">
                  <a:sysClr val="window" lastClr="FFFFFF">
                    <a:lumMod val="85000"/>
                  </a:sysClr>
                </a:outerShdw>
              </a:effectLst>
              <a:scene3d>
                <a:camera prst="orthographicFront"/>
                <a:lightRig rig="threePt" dir="t"/>
              </a:scene3d>
              <a:sp3d prstMaterial="softEdge">
                <a:bevelT w="0"/>
              </a:sp3d>
            </c:spPr>
            <c:extLst>
              <c:ext xmlns:c16="http://schemas.microsoft.com/office/drawing/2014/chart" uri="{C3380CC4-5D6E-409C-BE32-E72D297353CC}">
                <c16:uniqueId val="{00000005-5B09-4FE6-95CF-A0E1EBACA857}"/>
              </c:ext>
            </c:extLst>
          </c:dPt>
          <c:dPt>
            <c:idx val="3"/>
            <c:bubble3D val="0"/>
            <c:spPr>
              <a:solidFill>
                <a:srgbClr val="FFFF00"/>
              </a:solidFill>
              <a:ln w="9525">
                <a:noFill/>
              </a:ln>
              <a:effectLst>
                <a:outerShdw blurRad="50800" dist="50800" dir="5400000" sx="1000" sy="1000" algn="ctr" rotWithShape="0">
                  <a:sysClr val="window" lastClr="FFFFFF">
                    <a:lumMod val="85000"/>
                  </a:sysClr>
                </a:outerShdw>
              </a:effectLst>
              <a:scene3d>
                <a:camera prst="orthographicFront"/>
                <a:lightRig rig="threePt" dir="t"/>
              </a:scene3d>
              <a:sp3d prstMaterial="softEdge">
                <a:bevelT w="0"/>
              </a:sp3d>
            </c:spPr>
            <c:extLst>
              <c:ext xmlns:c16="http://schemas.microsoft.com/office/drawing/2014/chart" uri="{C3380CC4-5D6E-409C-BE32-E72D297353CC}">
                <c16:uniqueId val="{00000007-5B09-4FE6-95CF-A0E1EBACA857}"/>
              </c:ext>
            </c:extLst>
          </c:dPt>
          <c:dPt>
            <c:idx val="4"/>
            <c:bubble3D val="0"/>
            <c:spPr>
              <a:solidFill>
                <a:srgbClr val="7030A0"/>
              </a:solidFill>
              <a:ln w="9525"/>
              <a:effectLst>
                <a:outerShdw blurRad="50800" dist="50800" dir="5400000" sx="1000" sy="1000" algn="ctr" rotWithShape="0">
                  <a:sysClr val="window" lastClr="FFFFFF">
                    <a:lumMod val="85000"/>
                  </a:sysClr>
                </a:outerShdw>
              </a:effectLst>
              <a:scene3d>
                <a:camera prst="orthographicFront"/>
                <a:lightRig rig="threePt" dir="t"/>
              </a:scene3d>
              <a:sp3d prstMaterial="softEdge">
                <a:bevelT w="0"/>
              </a:sp3d>
            </c:spPr>
            <c:extLst>
              <c:ext xmlns:c16="http://schemas.microsoft.com/office/drawing/2014/chart" uri="{C3380CC4-5D6E-409C-BE32-E72D297353CC}">
                <c16:uniqueId val="{00000009-5B09-4FE6-95CF-A0E1EBACA857}"/>
              </c:ext>
            </c:extLst>
          </c:dPt>
          <c:dPt>
            <c:idx val="5"/>
            <c:bubble3D val="0"/>
            <c:spPr>
              <a:blipFill>
                <a:blip xmlns:r="http://schemas.openxmlformats.org/officeDocument/2006/relationships" r:embed="rId2"/>
                <a:tile tx="0" ty="0" sx="100000" sy="100000" flip="none" algn="tl"/>
              </a:blipFill>
              <a:ln w="9525"/>
              <a:effectLst>
                <a:outerShdw blurRad="50800" dist="50800" dir="5400000" sx="1000" sy="1000" algn="ctr" rotWithShape="0">
                  <a:sysClr val="window" lastClr="FFFFFF">
                    <a:lumMod val="85000"/>
                  </a:sysClr>
                </a:outerShdw>
              </a:effectLst>
              <a:scene3d>
                <a:camera prst="orthographicFront"/>
                <a:lightRig rig="threePt" dir="t"/>
              </a:scene3d>
              <a:sp3d prstMaterial="softEdge">
                <a:bevelT w="0"/>
              </a:sp3d>
            </c:spPr>
            <c:extLst>
              <c:ext xmlns:c16="http://schemas.microsoft.com/office/drawing/2014/chart" uri="{C3380CC4-5D6E-409C-BE32-E72D297353CC}">
                <c16:uniqueId val="{0000000B-5B09-4FE6-95CF-A0E1EBACA857}"/>
              </c:ext>
            </c:extLst>
          </c:dPt>
          <c:dLbls>
            <c:dLbl>
              <c:idx val="0"/>
              <c:layout>
                <c:manualLayout>
                  <c:x val="-3.50849971613118E-3"/>
                  <c:y val="-0.1645716681248177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09-4FE6-95CF-A0E1EBACA857}"/>
                </c:ext>
              </c:extLst>
            </c:dLbl>
            <c:dLbl>
              <c:idx val="1"/>
              <c:layout>
                <c:manualLayout>
                  <c:x val="3.9259614624370817E-2"/>
                  <c:y val="-5.062736949547973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93-463E-822B-7367DEFE524B}"/>
                </c:ext>
              </c:extLst>
            </c:dLbl>
            <c:dLbl>
              <c:idx val="2"/>
              <c:layout>
                <c:manualLayout>
                  <c:x val="3.6240090600226503E-2"/>
                  <c:y val="-4.1666666666666664E-2"/>
                </c:manualLayout>
              </c:layout>
              <c:tx>
                <c:rich>
                  <a:bodyPr/>
                  <a:lstStyle/>
                  <a:p>
                    <a:fld id="{E5B24CD4-3C6A-4352-9173-F34216DD2A65}" type="VALUE">
                      <a:rPr lang="en-US"/>
                      <a:pPr/>
                      <a:t>[VRIJEDNOST]</a:t>
                    </a:fld>
                    <a:r>
                      <a:rPr lang="en-US" baseline="0"/>
                      <a:t>; </a:t>
                    </a:r>
                    <a:fld id="{5E561334-9F88-4F56-AED1-0B08144C3219}" type="PERCENTAGE">
                      <a:rPr lang="en-US" baseline="0"/>
                      <a:pPr/>
                      <a:t>[POSTOTAK]</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B09-4FE6-95CF-A0E1EBACA857}"/>
                </c:ext>
              </c:extLst>
            </c:dLbl>
            <c:dLbl>
              <c:idx val="3"/>
              <c:layout>
                <c:manualLayout>
                  <c:x val="3.6240090600226503E-2"/>
                  <c:y val="9.2592592592592587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09-4FE6-95CF-A0E1EBACA857}"/>
                </c:ext>
              </c:extLst>
            </c:dLbl>
            <c:dLbl>
              <c:idx val="4"/>
              <c:layout>
                <c:manualLayout>
                  <c:x val="3.6240090600226503E-2"/>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B09-4FE6-95CF-A0E1EBACA857}"/>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#,##0.00</c:formatCode>
                <c:ptCount val="5"/>
                <c:pt idx="0">
                  <c:v>7438784.8799999999</c:v>
                </c:pt>
                <c:pt idx="1">
                  <c:v>262102.65</c:v>
                </c:pt>
                <c:pt idx="2">
                  <c:v>78050.149999999994</c:v>
                </c:pt>
                <c:pt idx="3">
                  <c:v>0</c:v>
                </c:pt>
                <c:pt idx="4">
                  <c:v>471804.38</c:v>
                </c:pt>
              </c:numCache>
            </c:numRef>
          </c:val>
          <c:extLst>
            <c:ext xmlns:c16="http://schemas.microsoft.com/office/drawing/2014/chart" uri="{C3380CC4-5D6E-409C-BE32-E72D297353CC}">
              <c16:uniqueId val="{00000003-1D93-463E-822B-7367DEFE524B}"/>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Cache>
                <c:formatCode>General</c:formatCode>
                <c:ptCount val="5"/>
              </c:numCache>
            </c:numRef>
          </c:val>
          <c:extLst>
            <c:ext xmlns:c16="http://schemas.microsoft.com/office/drawing/2014/chart" uri="{C3380CC4-5D6E-409C-BE32-E72D297353CC}">
              <c16:uniqueId val="{0000000C-1802-46F5-9B22-9E679AF479D2}"/>
            </c:ext>
          </c:extLst>
        </c:ser>
        <c:dLbls>
          <c:showLegendKey val="0"/>
          <c:showVal val="0"/>
          <c:showCatName val="0"/>
          <c:showSerName val="0"/>
          <c:showPercent val="0"/>
          <c:showBubbleSize val="0"/>
          <c:showLeaderLines val="1"/>
        </c:dLbls>
        <c:gapWidth val="304"/>
        <c:splitType val="cust"/>
        <c:custSplit>
          <c:secondPiePt val="1"/>
          <c:secondPiePt val="2"/>
          <c:secondPiePt val="3"/>
          <c:secondPiePt val="4"/>
        </c:custSplit>
        <c:secondPieSize val="96"/>
        <c:serLines/>
      </c:ofPieChart>
    </c:plotArea>
    <c:legend>
      <c:legendPos val="r"/>
      <c:layout>
        <c:manualLayout>
          <c:xMode val="edge"/>
          <c:yMode val="edge"/>
          <c:x val="0.80348763312853166"/>
          <c:y val="0.18954943132108484"/>
          <c:w val="0.19651236687146836"/>
          <c:h val="0.41858595800524934"/>
        </c:manualLayout>
      </c:layout>
      <c:overlay val="0"/>
    </c:legend>
    <c:plotVisOnly val="1"/>
    <c:dispBlanksAs val="gap"/>
    <c:showDLblsOverMax val="0"/>
  </c:chart>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hr-HR" sz="1200"/>
              <a:t>Ostvareni p</a:t>
            </a:r>
            <a:r>
              <a:rPr lang="en-US" sz="1200"/>
              <a:t>rihodi i primici proračuna u </a:t>
            </a:r>
            <a:r>
              <a:rPr lang="hr-HR" sz="1200"/>
              <a:t>1-6/2025</a:t>
            </a:r>
            <a:r>
              <a:rPr lang="en-US" sz="1200"/>
              <a:t>. - </a:t>
            </a:r>
            <a:r>
              <a:rPr lang="hr-HR" sz="1200"/>
              <a:t>ekonomska</a:t>
            </a:r>
            <a:r>
              <a:rPr lang="hr-HR" sz="1200" baseline="0"/>
              <a:t> klasifikacija</a:t>
            </a:r>
            <a:endParaRPr lang="en-US" sz="1200"/>
          </a:p>
        </c:rich>
      </c:tx>
      <c:layout>
        <c:manualLayout>
          <c:xMode val="edge"/>
          <c:yMode val="edge"/>
          <c:x val="0.41809945501964607"/>
          <c:y val="1.791764847285463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List1!$B$1</c:f>
              <c:strCache>
                <c:ptCount val="1"/>
                <c:pt idx="0">
                  <c:v>Prihodi i primici proračuna u razdoblju 1.1.-30.6.2025. - Općina i proračunski korisnici</c:v>
                </c:pt>
              </c:strCache>
            </c:strRef>
          </c:tx>
          <c:explosion val="29"/>
          <c:dPt>
            <c:idx val="0"/>
            <c:bubble3D val="0"/>
            <c:spPr>
              <a:solidFill>
                <a:srgbClr val="00B050"/>
              </a:solidFill>
            </c:spPr>
            <c:extLst>
              <c:ext xmlns:c16="http://schemas.microsoft.com/office/drawing/2014/chart" uri="{C3380CC4-5D6E-409C-BE32-E72D297353CC}">
                <c16:uniqueId val="{00000001-BA82-4694-B7CF-D70917768EE9}"/>
              </c:ext>
            </c:extLst>
          </c:dPt>
          <c:dPt>
            <c:idx val="2"/>
            <c:bubble3D val="0"/>
            <c:spPr>
              <a:pattFill prst="trellis">
                <a:fgClr>
                  <a:srgbClr val="9BBB59">
                    <a:lumMod val="75000"/>
                  </a:srgbClr>
                </a:fgClr>
                <a:bgClr>
                  <a:sysClr val="window" lastClr="FFFFFF"/>
                </a:bgClr>
              </a:pattFill>
            </c:spPr>
            <c:extLst>
              <c:ext xmlns:c16="http://schemas.microsoft.com/office/drawing/2014/chart" uri="{C3380CC4-5D6E-409C-BE32-E72D297353CC}">
                <c16:uniqueId val="{00000003-BA82-4694-B7CF-D70917768EE9}"/>
              </c:ext>
            </c:extLst>
          </c:dPt>
          <c:dPt>
            <c:idx val="4"/>
            <c:bubble3D val="0"/>
            <c:spPr>
              <a:solidFill>
                <a:srgbClr val="FFFF00"/>
              </a:solidFill>
            </c:spPr>
            <c:extLst>
              <c:ext xmlns:c16="http://schemas.microsoft.com/office/drawing/2014/chart" uri="{C3380CC4-5D6E-409C-BE32-E72D297353CC}">
                <c16:uniqueId val="{00000005-BA82-4694-B7CF-D70917768EE9}"/>
              </c:ext>
            </c:extLst>
          </c:dPt>
          <c:dPt>
            <c:idx val="5"/>
            <c:bubble3D val="0"/>
            <c:spPr>
              <a:solidFill>
                <a:srgbClr val="FF0000"/>
              </a:solidFill>
            </c:spPr>
            <c:extLst>
              <c:ext xmlns:c16="http://schemas.microsoft.com/office/drawing/2014/chart" uri="{C3380CC4-5D6E-409C-BE32-E72D297353CC}">
                <c16:uniqueId val="{00000007-BA82-4694-B7CF-D70917768EE9}"/>
              </c:ext>
            </c:extLst>
          </c:dPt>
          <c:dPt>
            <c:idx val="6"/>
            <c:bubble3D val="0"/>
            <c:spPr>
              <a:solidFill>
                <a:srgbClr val="00B0F0"/>
              </a:solidFill>
            </c:spPr>
            <c:extLst>
              <c:ext xmlns:c16="http://schemas.microsoft.com/office/drawing/2014/chart" uri="{C3380CC4-5D6E-409C-BE32-E72D297353CC}">
                <c16:uniqueId val="{00000009-BA82-4694-B7CF-D70917768EE9}"/>
              </c:ext>
            </c:extLst>
          </c:dPt>
          <c:dLbls>
            <c:dLbl>
              <c:idx val="0"/>
              <c:layout>
                <c:manualLayout>
                  <c:x val="-5.1525935683895026E-2"/>
                  <c:y val="-0.24612832113091127"/>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82-4694-B7CF-D70917768EE9}"/>
                </c:ext>
              </c:extLst>
            </c:dLbl>
            <c:dLbl>
              <c:idx val="1"/>
              <c:layout>
                <c:manualLayout>
                  <c:x val="-2.6362928980700188E-2"/>
                  <c:y val="7.5877336419209573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BA82-4694-B7CF-D70917768EE9}"/>
                </c:ext>
              </c:extLst>
            </c:dLbl>
            <c:dLbl>
              <c:idx val="2"/>
              <c:layout>
                <c:manualLayout>
                  <c:x val="0"/>
                  <c:y val="-0.13286135285720868"/>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A82-4694-B7CF-D70917768EE9}"/>
                </c:ext>
              </c:extLst>
            </c:dLbl>
            <c:dLbl>
              <c:idx val="3"/>
              <c:layout>
                <c:manualLayout>
                  <c:x val="0"/>
                  <c:y val="-6.5631891860162841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A82-4694-B7CF-D70917768EE9}"/>
                </c:ext>
              </c:extLst>
            </c:dLbl>
            <c:dLbl>
              <c:idx val="4"/>
              <c:layout>
                <c:manualLayout>
                  <c:x val="-7.4355724545838636E-2"/>
                  <c:y val="-6.4994013906156473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A82-4694-B7CF-D70917768EE9}"/>
                </c:ext>
              </c:extLst>
            </c:dLbl>
            <c:dLbl>
              <c:idx val="5"/>
              <c:layout>
                <c:manualLayout>
                  <c:x val="-5.238698774820448E-2"/>
                  <c:y val="-0.12297192291753005"/>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A82-4694-B7CF-D70917768EE9}"/>
                </c:ext>
              </c:extLst>
            </c:dLbl>
            <c:dLbl>
              <c:idx val="6"/>
              <c:layout>
                <c:manualLayout>
                  <c:x val="5.4762432262507113E-2"/>
                  <c:y val="-7.4638819818575314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A82-4694-B7CF-D70917768EE9}"/>
                </c:ext>
              </c:extLst>
            </c:dLbl>
            <c:dLbl>
              <c:idx val="7"/>
              <c:layout>
                <c:manualLayout>
                  <c:x val="0.16836485641227744"/>
                  <c:y val="-4.2179989566690793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BA82-4694-B7CF-D70917768EE9}"/>
                </c:ext>
              </c:extLst>
            </c:dLbl>
            <c:spPr>
              <a:noFill/>
              <a:ln>
                <a:noFill/>
              </a:ln>
              <a:effectLst/>
            </c:spPr>
            <c:showLegendKey val="1"/>
            <c:showVal val="1"/>
            <c:showCatName val="0"/>
            <c:showSerName val="0"/>
            <c:showPercent val="1"/>
            <c:showBubbleSize val="0"/>
            <c:showLeaderLines val="1"/>
            <c:extLst>
              <c:ext xmlns:c15="http://schemas.microsoft.com/office/drawing/2012/chart" uri="{CE6537A1-D6FC-4f65-9D91-7224C49458BB}"/>
            </c:extLst>
          </c:dLbls>
          <c:cat>
            <c:strRef>
              <c:f>List1!$A$2:$A$9</c:f>
              <c:strCache>
                <c:ptCount val="8"/>
                <c:pt idx="0">
                  <c:v>61 - Prihodi od poreza</c:v>
                </c:pt>
                <c:pt idx="1">
                  <c:v>63 - Prihodi od pomoći</c:v>
                </c:pt>
                <c:pt idx="2">
                  <c:v>64 - Prihodi od imovine</c:v>
                </c:pt>
                <c:pt idx="3">
                  <c:v>65 - Prihodi po posebnim propisima</c:v>
                </c:pt>
                <c:pt idx="4">
                  <c:v>66 - Prihodi od prodaje i od donacija</c:v>
                </c:pt>
                <c:pt idx="5">
                  <c:v>68 - Kazne i ostali prihodi</c:v>
                </c:pt>
                <c:pt idx="6">
                  <c:v>7 - Prihodi od prodaje nefinancijske imovine</c:v>
                </c:pt>
                <c:pt idx="7">
                  <c:v>8 - Primici od zaduživanja</c:v>
                </c:pt>
              </c:strCache>
            </c:strRef>
          </c:cat>
          <c:val>
            <c:numRef>
              <c:f>List1!$B$2:$B$9</c:f>
              <c:numCache>
                <c:formatCode>#,##0.00</c:formatCode>
                <c:ptCount val="8"/>
                <c:pt idx="0">
                  <c:v>3267384.1</c:v>
                </c:pt>
                <c:pt idx="1">
                  <c:v>2703614.2</c:v>
                </c:pt>
                <c:pt idx="2">
                  <c:v>479569.36</c:v>
                </c:pt>
                <c:pt idx="3">
                  <c:v>1635925.76</c:v>
                </c:pt>
                <c:pt idx="4">
                  <c:v>87631.26</c:v>
                </c:pt>
                <c:pt idx="5">
                  <c:v>8929.16</c:v>
                </c:pt>
                <c:pt idx="6">
                  <c:v>67688.22</c:v>
                </c:pt>
                <c:pt idx="7">
                  <c:v>0</c:v>
                </c:pt>
              </c:numCache>
            </c:numRef>
          </c:val>
          <c:extLst>
            <c:ext xmlns:c16="http://schemas.microsoft.com/office/drawing/2014/chart" uri="{C3380CC4-5D6E-409C-BE32-E72D297353CC}">
              <c16:uniqueId val="{0000000D-BA82-4694-B7CF-D70917768EE9}"/>
            </c:ext>
          </c:extLst>
        </c:ser>
        <c:dLbls>
          <c:showLegendKey val="0"/>
          <c:showVal val="0"/>
          <c:showCatName val="0"/>
          <c:showSerName val="0"/>
          <c:showPercent val="0"/>
          <c:showBubbleSize val="0"/>
          <c:showLeaderLines val="1"/>
        </c:dLbls>
      </c:pie3DChart>
    </c:plotArea>
    <c:legend>
      <c:legendPos val="r"/>
      <c:layout>
        <c:manualLayout>
          <c:xMode val="edge"/>
          <c:yMode val="edge"/>
          <c:x val="0.69743793365210349"/>
          <c:y val="0.18394255136211418"/>
          <c:w val="0.2918897077566478"/>
          <c:h val="0.79799133405738076"/>
        </c:manualLayout>
      </c:layout>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hr-HR" sz="1400"/>
              <a:t>RASHODI I IZDACI</a:t>
            </a:r>
            <a:r>
              <a:rPr lang="en-US" sz="1400"/>
              <a:t> OPĆINE I PRORAČUNSKIH KORISNIKA</a:t>
            </a:r>
            <a:r>
              <a:rPr lang="hr-HR" sz="1400"/>
              <a:t> </a:t>
            </a:r>
            <a:r>
              <a:rPr lang="hr-HR" sz="1400" baseline="0"/>
              <a:t> - 1.1.-30.06.2025. </a:t>
            </a:r>
            <a:endParaRPr lang="en-US" sz="1400"/>
          </a:p>
        </c:rich>
      </c:tx>
      <c:overlay val="0"/>
    </c:title>
    <c:autoTitleDeleted val="0"/>
    <c:plotArea>
      <c:layout/>
      <c:ofPieChart>
        <c:ofPieType val="bar"/>
        <c:varyColors val="1"/>
        <c:ser>
          <c:idx val="0"/>
          <c:order val="0"/>
          <c:tx>
            <c:strRef>
              <c:f>List1!$B$1</c:f>
              <c:strCache>
                <c:ptCount val="1"/>
                <c:pt idx="0">
                  <c:v>RASHODI I IZDACI OPĆINE I PRORAČUNSKIH KORISNIKA</c:v>
                </c:pt>
              </c:strCache>
            </c:strRef>
          </c:tx>
          <c:spPr>
            <a:effectLst>
              <a:outerShdw blurRad="50800" dist="50800" dir="5400000" algn="ctr" rotWithShape="0">
                <a:sysClr val="window" lastClr="FFFFFF"/>
              </a:outerShdw>
              <a:softEdge rad="0"/>
            </a:effectLst>
            <a:scene3d>
              <a:camera prst="orthographicFront"/>
              <a:lightRig rig="threePt" dir="t"/>
            </a:scene3d>
            <a:sp3d prstMaterial="softEdge"/>
          </c:spPr>
          <c:explosion val="10"/>
          <c:dPt>
            <c:idx val="0"/>
            <c:bubble3D val="0"/>
            <c:spPr>
              <a:pattFill prst="pct40">
                <a:fgClr>
                  <a:srgbClr val="1F497D"/>
                </a:fgClr>
                <a:bgClr>
                  <a:sysClr val="window" lastClr="FFFFFF"/>
                </a:bgClr>
              </a:pattFill>
              <a:effectLst>
                <a:outerShdw blurRad="50800" dist="50800" dir="5400000" algn="ctr" rotWithShape="0">
                  <a:sysClr val="window" lastClr="FFFFFF"/>
                </a:outerShdw>
                <a:softEdge rad="0"/>
              </a:effectLst>
              <a:scene3d>
                <a:camera prst="orthographicFront"/>
                <a:lightRig rig="threePt" dir="t"/>
              </a:scene3d>
              <a:sp3d prstMaterial="softEdge"/>
            </c:spPr>
            <c:extLst>
              <c:ext xmlns:c16="http://schemas.microsoft.com/office/drawing/2014/chart" uri="{C3380CC4-5D6E-409C-BE32-E72D297353CC}">
                <c16:uniqueId val="{00000002-B5A3-406A-8D11-0B535854F081}"/>
              </c:ext>
            </c:extLst>
          </c:dPt>
          <c:dPt>
            <c:idx val="1"/>
            <c:bubble3D val="0"/>
            <c:spPr>
              <a:solidFill>
                <a:srgbClr val="F79646">
                  <a:lumMod val="75000"/>
                </a:srgbClr>
              </a:solidFill>
              <a:effectLst>
                <a:outerShdw blurRad="50800" dist="50800" dir="5400000" algn="ctr" rotWithShape="0">
                  <a:sysClr val="window" lastClr="FFFFFF"/>
                </a:outerShdw>
                <a:softEdge rad="0"/>
              </a:effectLst>
              <a:scene3d>
                <a:camera prst="orthographicFront"/>
                <a:lightRig rig="threePt" dir="t"/>
              </a:scene3d>
              <a:sp3d prstMaterial="softEdge"/>
            </c:spPr>
            <c:extLst>
              <c:ext xmlns:c16="http://schemas.microsoft.com/office/drawing/2014/chart" uri="{C3380CC4-5D6E-409C-BE32-E72D297353CC}">
                <c16:uniqueId val="{00000001-B5A3-406A-8D11-0B535854F081}"/>
              </c:ext>
            </c:extLst>
          </c:dPt>
          <c:dPt>
            <c:idx val="3"/>
            <c:bubble3D val="0"/>
            <c:spPr>
              <a:solidFill>
                <a:srgbClr val="FFFF00"/>
              </a:solidFill>
              <a:effectLst>
                <a:outerShdw blurRad="50800" dist="50800" dir="5400000" algn="ctr" rotWithShape="0">
                  <a:sysClr val="window" lastClr="FFFFFF"/>
                </a:outerShdw>
                <a:softEdge rad="0"/>
              </a:effectLst>
              <a:scene3d>
                <a:camera prst="orthographicFront"/>
                <a:lightRig rig="threePt" dir="t"/>
              </a:scene3d>
              <a:sp3d prstMaterial="softEdge"/>
            </c:spPr>
            <c:extLst>
              <c:ext xmlns:c16="http://schemas.microsoft.com/office/drawing/2014/chart" uri="{C3380CC4-5D6E-409C-BE32-E72D297353CC}">
                <c16:uniqueId val="{00000005-01D5-436C-981D-F21D2140B188}"/>
              </c:ext>
            </c:extLst>
          </c:dPt>
          <c:dPt>
            <c:idx val="4"/>
            <c:bubble3D val="0"/>
            <c:spPr>
              <a:solidFill>
                <a:srgbClr val="7030A0"/>
              </a:solidFill>
              <a:effectLst>
                <a:outerShdw blurRad="50800" dist="50800" dir="5400000" algn="ctr" rotWithShape="0">
                  <a:sysClr val="window" lastClr="FFFFFF"/>
                </a:outerShdw>
                <a:softEdge rad="0"/>
              </a:effectLst>
              <a:scene3d>
                <a:camera prst="orthographicFront"/>
                <a:lightRig rig="threePt" dir="t"/>
              </a:scene3d>
              <a:sp3d prstMaterial="softEdge"/>
            </c:spPr>
            <c:extLst>
              <c:ext xmlns:c16="http://schemas.microsoft.com/office/drawing/2014/chart" uri="{C3380CC4-5D6E-409C-BE32-E72D297353CC}">
                <c16:uniqueId val="{00000007-01D5-436C-981D-F21D2140B188}"/>
              </c:ext>
            </c:extLst>
          </c:dPt>
          <c:dPt>
            <c:idx val="5"/>
            <c:bubble3D val="0"/>
            <c:spPr>
              <a:blipFill>
                <a:blip xmlns:r="http://schemas.openxmlformats.org/officeDocument/2006/relationships" r:embed="rId2"/>
                <a:tile tx="0" ty="0" sx="100000" sy="100000" flip="none" algn="tl"/>
              </a:blipFill>
              <a:effectLst>
                <a:outerShdw blurRad="50800" dist="50800" dir="5400000" algn="ctr" rotWithShape="0">
                  <a:sysClr val="window" lastClr="FFFFFF"/>
                </a:outerShdw>
                <a:softEdge rad="0"/>
              </a:effectLst>
              <a:scene3d>
                <a:camera prst="orthographicFront"/>
                <a:lightRig rig="threePt" dir="t"/>
              </a:scene3d>
              <a:sp3d prstMaterial="softEdge"/>
            </c:spPr>
            <c:extLst>
              <c:ext xmlns:c16="http://schemas.microsoft.com/office/drawing/2014/chart" uri="{C3380CC4-5D6E-409C-BE32-E72D297353CC}">
                <c16:uniqueId val="{00000009-01D5-436C-981D-F21D2140B188}"/>
              </c:ext>
            </c:extLst>
          </c:dPt>
          <c:dLbls>
            <c:dLbl>
              <c:idx val="0"/>
              <c:layout>
                <c:manualLayout>
                  <c:x val="-1.4044858565907608E-2"/>
                  <c:y val="-0.146445763680170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5A3-406A-8D11-0B535854F081}"/>
                </c:ext>
              </c:extLst>
            </c:dLbl>
            <c:dLbl>
              <c:idx val="1"/>
              <c:layout>
                <c:manualLayout>
                  <c:x val="1.3498296265598272E-2"/>
                  <c:y val="-9.075792212190485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A3-406A-8D11-0B535854F081}"/>
                </c:ext>
              </c:extLst>
            </c:dLbl>
            <c:dLbl>
              <c:idx val="2"/>
              <c:layout>
                <c:manualLayout>
                  <c:x val="2.2497187851518559E-2"/>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E1A-47A1-BCE0-2136772374AC}"/>
                </c:ext>
              </c:extLst>
            </c:dLbl>
            <c:dLbl>
              <c:idx val="3"/>
              <c:layout>
                <c:manualLayout>
                  <c:x val="2.2497187851518559E-2"/>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D5-436C-981D-F21D2140B188}"/>
                </c:ext>
              </c:extLst>
            </c:dLbl>
            <c:dLbl>
              <c:idx val="4"/>
              <c:layout>
                <c:manualLayout>
                  <c:x val="2.0997375328083989E-2"/>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D5-436C-981D-F21D2140B188}"/>
                </c:ext>
              </c:extLst>
            </c:dLbl>
            <c:dLbl>
              <c:idx val="5"/>
              <c:layout>
                <c:manualLayout>
                  <c:x val="-6.3679441644597578E-3"/>
                  <c:y val="-0.1422396648368480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1D5-436C-981D-F21D2140B188}"/>
                </c:ext>
              </c:extLst>
            </c:dLbl>
            <c:spPr>
              <a:noFill/>
              <a:ln>
                <a:noFill/>
              </a:ln>
              <a:effectLst/>
            </c:spPr>
            <c:txPr>
              <a:bodyPr wrap="square" lIns="38100" tIns="19050" rIns="38100" bIns="19050" anchor="ctr">
                <a:spAutoFit/>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#,##0.00</c:formatCode>
                <c:ptCount val="5"/>
                <c:pt idx="0">
                  <c:v>7358017.8099999996</c:v>
                </c:pt>
                <c:pt idx="1">
                  <c:v>1613636.14</c:v>
                </c:pt>
                <c:pt idx="2">
                  <c:v>307184.45</c:v>
                </c:pt>
                <c:pt idx="3">
                  <c:v>366820.56</c:v>
                </c:pt>
                <c:pt idx="4">
                  <c:v>696228.97</c:v>
                </c:pt>
              </c:numCache>
            </c:numRef>
          </c:val>
          <c:extLst>
            <c:ext xmlns:c16="http://schemas.microsoft.com/office/drawing/2014/chart" uri="{C3380CC4-5D6E-409C-BE32-E72D297353CC}">
              <c16:uniqueId val="{00000003-B5A3-406A-8D11-0B535854F081}"/>
            </c:ext>
          </c:extLst>
        </c:ser>
        <c:dLbls>
          <c:showLegendKey val="0"/>
          <c:showVal val="0"/>
          <c:showCatName val="0"/>
          <c:showSerName val="0"/>
          <c:showPercent val="0"/>
          <c:showBubbleSize val="0"/>
          <c:showLeaderLines val="1"/>
        </c:dLbls>
        <c:gapWidth val="194"/>
        <c:splitType val="pos"/>
        <c:splitPos val="4"/>
        <c:secondPieSize val="81"/>
        <c:serLines/>
      </c:ofPieChart>
    </c:plotArea>
    <c:legend>
      <c:legendPos val="r"/>
      <c:layout>
        <c:manualLayout>
          <c:xMode val="edge"/>
          <c:yMode val="edge"/>
          <c:x val="0.75186662522447856"/>
          <c:y val="0.33735146743020761"/>
          <c:w val="0.24813337477552147"/>
          <c:h val="0.41999830666327997"/>
        </c:manualLayout>
      </c:layout>
      <c:overlay val="0"/>
    </c:legend>
    <c:plotVisOnly val="1"/>
    <c:dispBlanksAs val="gap"/>
    <c:showDLblsOverMax val="0"/>
  </c:chart>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a:t>Izvršeni r</a:t>
            </a:r>
            <a:r>
              <a:rPr lang="en-US" sz="1400"/>
              <a:t>ashod</a:t>
            </a:r>
            <a:r>
              <a:rPr lang="hr-HR" sz="1400"/>
              <a:t>i</a:t>
            </a:r>
            <a:r>
              <a:rPr lang="en-US" sz="1400"/>
              <a:t> i iz</a:t>
            </a:r>
            <a:r>
              <a:rPr lang="hr-HR" sz="1400"/>
              <a:t>d</a:t>
            </a:r>
            <a:r>
              <a:rPr lang="en-US" sz="1400"/>
              <a:t>a</a:t>
            </a:r>
            <a:r>
              <a:rPr lang="hr-HR" sz="1400"/>
              <a:t>ci P</a:t>
            </a:r>
            <a:r>
              <a:rPr lang="en-US" sz="1400"/>
              <a:t>roračuna u </a:t>
            </a:r>
            <a:r>
              <a:rPr lang="hr-HR" sz="1400"/>
              <a:t>1-6/2</a:t>
            </a:r>
            <a:r>
              <a:rPr lang="en-US" sz="1400"/>
              <a:t>0</a:t>
            </a:r>
            <a:r>
              <a:rPr lang="hr-HR" sz="1400"/>
              <a:t>25</a:t>
            </a:r>
            <a:r>
              <a:rPr lang="en-US" sz="1400"/>
              <a:t>.</a:t>
            </a:r>
            <a:r>
              <a:rPr lang="hr-HR" sz="1400"/>
              <a:t> - ekonomska klasifikacija</a:t>
            </a:r>
            <a:endParaRPr lang="en-US" sz="1400"/>
          </a:p>
        </c:rich>
      </c:tx>
      <c:layout>
        <c:manualLayout>
          <c:xMode val="edge"/>
          <c:yMode val="edge"/>
          <c:x val="0.33441563322059376"/>
          <c:y val="3.9483675018982534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1162566911379597"/>
          <c:y val="0.17019735858757973"/>
          <c:w val="0.58267811224837029"/>
          <c:h val="0.73884598138216773"/>
        </c:manualLayout>
      </c:layout>
      <c:pie3DChart>
        <c:varyColors val="1"/>
        <c:ser>
          <c:idx val="0"/>
          <c:order val="0"/>
          <c:tx>
            <c:strRef>
              <c:f>List1!$B$1</c:f>
              <c:strCache>
                <c:ptCount val="1"/>
                <c:pt idx="0">
                  <c:v>Rashodi i izaci proračuna u 2024.</c:v>
                </c:pt>
              </c:strCache>
            </c:strRef>
          </c:tx>
          <c:explosion val="25"/>
          <c:dPt>
            <c:idx val="0"/>
            <c:bubble3D val="0"/>
            <c:spPr>
              <a:pattFill prst="pct75">
                <a:fgClr>
                  <a:schemeClr val="tx2"/>
                </a:fgClr>
                <a:bgClr>
                  <a:schemeClr val="bg1"/>
                </a:bgClr>
              </a:pattFill>
            </c:spPr>
            <c:extLst>
              <c:ext xmlns:c16="http://schemas.microsoft.com/office/drawing/2014/chart" uri="{C3380CC4-5D6E-409C-BE32-E72D297353CC}">
                <c16:uniqueId val="{00000001-8771-4FA5-9AA0-4CB7A97F2857}"/>
              </c:ext>
            </c:extLst>
          </c:dPt>
          <c:dPt>
            <c:idx val="1"/>
            <c:bubble3D val="0"/>
            <c:spPr>
              <a:pattFill prst="sphere">
                <a:fgClr>
                  <a:srgbClr val="F79646">
                    <a:lumMod val="75000"/>
                  </a:srgbClr>
                </a:fgClr>
                <a:bgClr>
                  <a:sysClr val="window" lastClr="FFFFFF"/>
                </a:bgClr>
              </a:pattFill>
            </c:spPr>
            <c:extLst>
              <c:ext xmlns:c16="http://schemas.microsoft.com/office/drawing/2014/chart" uri="{C3380CC4-5D6E-409C-BE32-E72D297353CC}">
                <c16:uniqueId val="{00000003-8771-4FA5-9AA0-4CB7A97F2857}"/>
              </c:ext>
            </c:extLst>
          </c:dPt>
          <c:dPt>
            <c:idx val="2"/>
            <c:bubble3D val="0"/>
            <c:spPr>
              <a:solidFill>
                <a:srgbClr val="FF0000"/>
              </a:solidFill>
            </c:spPr>
            <c:extLst>
              <c:ext xmlns:c16="http://schemas.microsoft.com/office/drawing/2014/chart" uri="{C3380CC4-5D6E-409C-BE32-E72D297353CC}">
                <c16:uniqueId val="{00000005-8771-4FA5-9AA0-4CB7A97F2857}"/>
              </c:ext>
            </c:extLst>
          </c:dPt>
          <c:dPt>
            <c:idx val="4"/>
            <c:bubble3D val="0"/>
            <c:spPr>
              <a:solidFill>
                <a:srgbClr val="FFFF00"/>
              </a:solidFill>
            </c:spPr>
            <c:extLst>
              <c:ext xmlns:c16="http://schemas.microsoft.com/office/drawing/2014/chart" uri="{C3380CC4-5D6E-409C-BE32-E72D297353CC}">
                <c16:uniqueId val="{00000007-8771-4FA5-9AA0-4CB7A97F2857}"/>
              </c:ext>
            </c:extLst>
          </c:dPt>
          <c:dPt>
            <c:idx val="6"/>
            <c:bubble3D val="0"/>
            <c:spPr>
              <a:solidFill>
                <a:srgbClr val="00B050"/>
              </a:solidFill>
            </c:spPr>
            <c:extLst>
              <c:ext xmlns:c16="http://schemas.microsoft.com/office/drawing/2014/chart" uri="{C3380CC4-5D6E-409C-BE32-E72D297353CC}">
                <c16:uniqueId val="{00000009-8771-4FA5-9AA0-4CB7A97F2857}"/>
              </c:ext>
            </c:extLst>
          </c:dPt>
          <c:dPt>
            <c:idx val="7"/>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B-8771-4FA5-9AA0-4CB7A97F2857}"/>
              </c:ext>
            </c:extLst>
          </c:dPt>
          <c:dLbls>
            <c:dLbl>
              <c:idx val="0"/>
              <c:layout>
                <c:manualLayout>
                  <c:x val="-7.8496687350383343E-2"/>
                  <c:y val="-0.1196283608056965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771-4FA5-9AA0-4CB7A97F2857}"/>
                </c:ext>
              </c:extLst>
            </c:dLbl>
            <c:dLbl>
              <c:idx val="1"/>
              <c:layout>
                <c:manualLayout>
                  <c:x val="-3.6982248695801412E-2"/>
                  <c:y val="8.8912405311522849E-2"/>
                </c:manualLayout>
              </c:layout>
              <c:spPr>
                <a:noFill/>
                <a:ln>
                  <a:noFill/>
                </a:ln>
                <a:effectLst/>
              </c:spPr>
              <c:txPr>
                <a:bodyPr/>
                <a:lstStyle/>
                <a:p>
                  <a:pPr>
                    <a:defRPr/>
                  </a:pPr>
                  <a:endParaRPr lang="sr-Latn-RS"/>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771-4FA5-9AA0-4CB7A97F2857}"/>
                </c:ext>
              </c:extLst>
            </c:dLbl>
            <c:dLbl>
              <c:idx val="2"/>
              <c:layout>
                <c:manualLayout>
                  <c:x val="5.4791431792559131E-2"/>
                  <c:y val="5.760837981812626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771-4FA5-9AA0-4CB7A97F2857}"/>
                </c:ext>
              </c:extLst>
            </c:dLbl>
            <c:dLbl>
              <c:idx val="3"/>
              <c:layout>
                <c:manualLayout>
                  <c:x val="-1.1429602866721705E-2"/>
                  <c:y val="6.0254096939476989E-2"/>
                </c:manualLayout>
              </c:layout>
              <c:spPr>
                <a:noFill/>
                <a:ln>
                  <a:noFill/>
                </a:ln>
                <a:effectLst/>
              </c:spPr>
              <c:txPr>
                <a:bodyPr wrap="square" lIns="38100" tIns="19050" rIns="38100" bIns="19050" anchor="ctr">
                  <a:noAutofit/>
                </a:bodyPr>
                <a:lstStyle/>
                <a:p>
                  <a:pPr>
                    <a:defRPr/>
                  </a:pPr>
                  <a:endParaRPr lang="sr-Latn-RS"/>
                </a:p>
              </c:txPr>
              <c:dLblPos val="bestFit"/>
              <c:showLegendKey val="0"/>
              <c:showVal val="1"/>
              <c:showCatName val="0"/>
              <c:showSerName val="0"/>
              <c:showPercent val="1"/>
              <c:showBubbleSize val="0"/>
              <c:extLst>
                <c:ext xmlns:c15="http://schemas.microsoft.com/office/drawing/2012/chart" uri="{CE6537A1-D6FC-4f65-9D91-7224C49458BB}">
                  <c15:layout>
                    <c:manualLayout>
                      <c:w val="0.12438932732055619"/>
                      <c:h val="5.1632498101746395E-2"/>
                    </c:manualLayout>
                  </c15:layout>
                </c:ext>
                <c:ext xmlns:c16="http://schemas.microsoft.com/office/drawing/2014/chart" uri="{C3380CC4-5D6E-409C-BE32-E72D297353CC}">
                  <c16:uniqueId val="{0000000C-8771-4FA5-9AA0-4CB7A97F2857}"/>
                </c:ext>
              </c:extLst>
            </c:dLbl>
            <c:dLbl>
              <c:idx val="4"/>
              <c:layout>
                <c:manualLayout>
                  <c:x val="-6.9925047418678082E-2"/>
                  <c:y val="1.649274478503387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771-4FA5-9AA0-4CB7A97F2857}"/>
                </c:ext>
              </c:extLst>
            </c:dLbl>
            <c:dLbl>
              <c:idx val="5"/>
              <c:layout>
                <c:manualLayout>
                  <c:x val="-7.2758864555684769E-2"/>
                  <c:y val="-1.565691532294226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771-4FA5-9AA0-4CB7A97F2857}"/>
                </c:ext>
              </c:extLst>
            </c:dLbl>
            <c:dLbl>
              <c:idx val="6"/>
              <c:layout>
                <c:manualLayout>
                  <c:x val="-7.1491801968947805E-2"/>
                  <c:y val="-5.174681183075350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771-4FA5-9AA0-4CB7A97F2857}"/>
                </c:ext>
              </c:extLst>
            </c:dLbl>
            <c:dLbl>
              <c:idx val="7"/>
              <c:layout>
                <c:manualLayout>
                  <c:x val="3.1684494906005972E-2"/>
                  <c:y val="-9.13158634214003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771-4FA5-9AA0-4CB7A97F2857}"/>
                </c:ext>
              </c:extLst>
            </c:dLbl>
            <c:dLbl>
              <c:idx val="8"/>
              <c:layout>
                <c:manualLayout>
                  <c:x val="7.5566642106602508E-2"/>
                  <c:y val="-4.320771976395888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8771-4FA5-9AA0-4CB7A97F2857}"/>
                </c:ext>
              </c:extLst>
            </c:dLbl>
            <c:spPr>
              <a:noFill/>
              <a:ln>
                <a:noFill/>
              </a:ln>
              <a:effectLst/>
            </c:sp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List1!$A$2:$A$10</c:f>
              <c:strCache>
                <c:ptCount val="9"/>
                <c:pt idx="0">
                  <c:v>31 - rashodi za zaposlene</c:v>
                </c:pt>
                <c:pt idx="1">
                  <c:v>32 - materijalni rashodi</c:v>
                </c:pt>
                <c:pt idx="2">
                  <c:v>34 - financijski rashodi</c:v>
                </c:pt>
                <c:pt idx="3">
                  <c:v>35 - subvencije</c:v>
                </c:pt>
                <c:pt idx="4">
                  <c:v>36 - pomoći unutar općeg proračuna</c:v>
                </c:pt>
                <c:pt idx="5">
                  <c:v>37- naknade kućanstvima</c:v>
                </c:pt>
                <c:pt idx="6">
                  <c:v>38 - ostali rashodi</c:v>
                </c:pt>
                <c:pt idx="7">
                  <c:v>4- rashodi za nabavu nefinancijske imovine</c:v>
                </c:pt>
                <c:pt idx="8">
                  <c:v>5 - izdaci</c:v>
                </c:pt>
              </c:strCache>
            </c:strRef>
          </c:cat>
          <c:val>
            <c:numRef>
              <c:f>List1!$B$2:$B$10</c:f>
              <c:numCache>
                <c:formatCode>#,##0.00</c:formatCode>
                <c:ptCount val="9"/>
                <c:pt idx="0">
                  <c:v>2811493.95</c:v>
                </c:pt>
                <c:pt idx="1">
                  <c:v>2515521.61</c:v>
                </c:pt>
                <c:pt idx="2">
                  <c:v>24508.55</c:v>
                </c:pt>
                <c:pt idx="3">
                  <c:v>312210.8</c:v>
                </c:pt>
                <c:pt idx="4">
                  <c:v>83053.990000000005</c:v>
                </c:pt>
                <c:pt idx="5">
                  <c:v>335806.94</c:v>
                </c:pt>
                <c:pt idx="6">
                  <c:v>435086.74</c:v>
                </c:pt>
                <c:pt idx="7">
                  <c:v>3443649.35</c:v>
                </c:pt>
                <c:pt idx="8">
                  <c:v>380556</c:v>
                </c:pt>
              </c:numCache>
            </c:numRef>
          </c:val>
          <c:extLst>
            <c:ext xmlns:c16="http://schemas.microsoft.com/office/drawing/2014/chart" uri="{C3380CC4-5D6E-409C-BE32-E72D297353CC}">
              <c16:uniqueId val="{0000000F-8771-4FA5-9AA0-4CB7A97F2857}"/>
            </c:ext>
          </c:extLst>
        </c:ser>
        <c:dLbls>
          <c:showLegendKey val="0"/>
          <c:showVal val="0"/>
          <c:showCatName val="0"/>
          <c:showSerName val="0"/>
          <c:showPercent val="0"/>
          <c:showBubbleSize val="0"/>
          <c:showLeaderLines val="1"/>
        </c:dLbls>
      </c:pie3DChart>
    </c:plotArea>
    <c:legend>
      <c:legendPos val="r"/>
      <c:layout>
        <c:manualLayout>
          <c:xMode val="edge"/>
          <c:yMode val="edge"/>
          <c:x val="0.70283573928258969"/>
          <c:y val="0.16442163479565056"/>
          <c:w val="0.28096055701370665"/>
          <c:h val="0.79322926944970051"/>
        </c:manualLayout>
      </c:layout>
      <c:overlay val="0"/>
    </c:legend>
    <c:plotVisOnly val="1"/>
    <c:dispBlanksAs val="gap"/>
    <c:showDLblsOverMax val="0"/>
  </c:chart>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Calibri"/>
                <a:ea typeface="Calibri"/>
                <a:cs typeface="Calibri"/>
              </a:defRPr>
            </a:pPr>
            <a:r>
              <a:rPr lang="en-GB" sz="1050"/>
              <a:t>Usporedni prikaz ostvarenih prihoda poslovanja (6) Općine u razdoblju 2010.-20</a:t>
            </a:r>
            <a:r>
              <a:rPr lang="hr-HR" sz="1050"/>
              <a:t>24.</a:t>
            </a:r>
            <a:r>
              <a:rPr lang="en-US" sz="1050"/>
              <a:t> i 1-6/2025.</a:t>
            </a:r>
            <a:endParaRPr lang="en-GB" sz="1050"/>
          </a:p>
        </c:rich>
      </c:tx>
      <c:layout>
        <c:manualLayout>
          <c:xMode val="edge"/>
          <c:yMode val="edge"/>
          <c:x val="0.31557450421371802"/>
          <c:y val="5.3658025892830814E-2"/>
        </c:manualLayout>
      </c:layout>
      <c:overlay val="0"/>
      <c:spPr>
        <a:noFill/>
        <a:ln w="15222">
          <a:noFill/>
        </a:ln>
      </c:spPr>
    </c:title>
    <c:autoTitleDeleted val="0"/>
    <c:plotArea>
      <c:layout>
        <c:manualLayout>
          <c:layoutTarget val="inner"/>
          <c:xMode val="edge"/>
          <c:yMode val="edge"/>
          <c:x val="0.13233601841196779"/>
          <c:y val="0.16708229426433915"/>
          <c:w val="0.78941311852704255"/>
          <c:h val="0.65336658354114718"/>
        </c:manualLayout>
      </c:layout>
      <c:barChart>
        <c:barDir val="col"/>
        <c:grouping val="clustered"/>
        <c:varyColors val="1"/>
        <c:ser>
          <c:idx val="0"/>
          <c:order val="0"/>
          <c:tx>
            <c:strRef>
              <c:f>Sheet1!$A$2</c:f>
              <c:strCache>
                <c:ptCount val="1"/>
              </c:strCache>
            </c:strRef>
          </c:tx>
          <c:spPr>
            <a:solidFill>
              <a:srgbClr val="9999FF"/>
            </a:solidFill>
            <a:ln w="7611">
              <a:solidFill>
                <a:srgbClr val="000000"/>
              </a:solidFill>
              <a:prstDash val="solid"/>
            </a:ln>
            <a:effectLst>
              <a:outerShdw dist="35921" dir="2700000" algn="br">
                <a:srgbClr val="000000"/>
              </a:outerShdw>
            </a:effectLst>
          </c:spPr>
          <c:invertIfNegative val="0"/>
          <c:dPt>
            <c:idx val="0"/>
            <c:invertIfNegative val="0"/>
            <c:bubble3D val="0"/>
            <c:extLst>
              <c:ext xmlns:c16="http://schemas.microsoft.com/office/drawing/2014/chart" uri="{C3380CC4-5D6E-409C-BE32-E72D297353CC}">
                <c16:uniqueId val="{00000000-CC3C-40FC-8FE3-A224E9257B4C}"/>
              </c:ext>
            </c:extLst>
          </c:dPt>
          <c:dPt>
            <c:idx val="1"/>
            <c:invertIfNegative val="0"/>
            <c:bubble3D val="0"/>
            <c:spPr>
              <a:solidFill>
                <a:srgbClr val="993366"/>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2-CC3C-40FC-8FE3-A224E9257B4C}"/>
              </c:ext>
            </c:extLst>
          </c:dPt>
          <c:dPt>
            <c:idx val="2"/>
            <c:invertIfNegative val="0"/>
            <c:bubble3D val="0"/>
            <c:spPr>
              <a:solidFill>
                <a:srgbClr val="FFFFCC"/>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4-CC3C-40FC-8FE3-A224E9257B4C}"/>
              </c:ext>
            </c:extLst>
          </c:dPt>
          <c:dPt>
            <c:idx val="3"/>
            <c:invertIfNegative val="0"/>
            <c:bubble3D val="0"/>
            <c:spPr>
              <a:solidFill>
                <a:srgbClr val="CCFFFF"/>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6-CC3C-40FC-8FE3-A224E9257B4C}"/>
              </c:ext>
            </c:extLst>
          </c:dPt>
          <c:dPt>
            <c:idx val="4"/>
            <c:invertIfNegative val="0"/>
            <c:bubble3D val="0"/>
            <c:spPr>
              <a:solidFill>
                <a:srgbClr val="00FF00"/>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8-CC3C-40FC-8FE3-A224E9257B4C}"/>
              </c:ext>
            </c:extLst>
          </c:dPt>
          <c:dPt>
            <c:idx val="5"/>
            <c:invertIfNegative val="0"/>
            <c:bubble3D val="0"/>
            <c:spPr>
              <a:solidFill>
                <a:srgbClr val="FF8080"/>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A-CC3C-40FC-8FE3-A224E9257B4C}"/>
              </c:ext>
            </c:extLst>
          </c:dPt>
          <c:dPt>
            <c:idx val="6"/>
            <c:invertIfNegative val="0"/>
            <c:bubble3D val="0"/>
            <c:spPr>
              <a:solidFill>
                <a:srgbClr val="0066CC"/>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C-CC3C-40FC-8FE3-A224E9257B4C}"/>
              </c:ext>
            </c:extLst>
          </c:dPt>
          <c:dPt>
            <c:idx val="7"/>
            <c:invertIfNegative val="0"/>
            <c:bubble3D val="0"/>
            <c:spPr>
              <a:solidFill>
                <a:srgbClr val="FF00FF"/>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E-CC3C-40FC-8FE3-A224E9257B4C}"/>
              </c:ext>
            </c:extLst>
          </c:dPt>
          <c:dPt>
            <c:idx val="8"/>
            <c:invertIfNegative val="0"/>
            <c:bubble3D val="0"/>
            <c:spPr>
              <a:solidFill>
                <a:srgbClr val="000080"/>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0-CC3C-40FC-8FE3-A224E9257B4C}"/>
              </c:ext>
            </c:extLst>
          </c:dPt>
          <c:dPt>
            <c:idx val="9"/>
            <c:invertIfNegative val="0"/>
            <c:bubble3D val="0"/>
            <c:spPr>
              <a:solidFill>
                <a:srgbClr val="FFFF00"/>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2-CC3C-40FC-8FE3-A224E9257B4C}"/>
              </c:ext>
            </c:extLst>
          </c:dPt>
          <c:dPt>
            <c:idx val="10"/>
            <c:invertIfNegative val="0"/>
            <c:bubble3D val="0"/>
            <c:spPr>
              <a:solidFill>
                <a:srgbClr val="9BBB59">
                  <a:lumMod val="75000"/>
                </a:srgbClr>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4-CC3C-40FC-8FE3-A224E9257B4C}"/>
              </c:ext>
            </c:extLst>
          </c:dPt>
          <c:dPt>
            <c:idx val="11"/>
            <c:invertIfNegative val="0"/>
            <c:bubble3D val="0"/>
            <c:spPr>
              <a:solidFill>
                <a:srgbClr val="F79646">
                  <a:lumMod val="75000"/>
                </a:srgbClr>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6-CC3C-40FC-8FE3-A224E9257B4C}"/>
              </c:ext>
            </c:extLst>
          </c:dPt>
          <c:dPt>
            <c:idx val="12"/>
            <c:invertIfNegative val="0"/>
            <c:bubble3D val="0"/>
            <c:spPr>
              <a:blipFill>
                <a:blip xmlns:r="http://schemas.openxmlformats.org/officeDocument/2006/relationships" r:embed="rId2"/>
                <a:tile tx="0" ty="0" sx="100000" sy="100000" flip="none" algn="tl"/>
              </a:blip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8-CC3C-40FC-8FE3-A224E9257B4C}"/>
              </c:ext>
            </c:extLst>
          </c:dPt>
          <c:dPt>
            <c:idx val="14"/>
            <c:invertIfNegative val="0"/>
            <c:bubble3D val="0"/>
            <c:spPr>
              <a:solidFill>
                <a:srgbClr val="F79646"/>
              </a:solidFill>
              <a:ln w="7611">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9-2357-4F00-81AA-C9E54CEA0DB6}"/>
              </c:ext>
            </c:extLst>
          </c:dPt>
          <c:dLbls>
            <c:dLbl>
              <c:idx val="3"/>
              <c:layout>
                <c:manualLayout>
                  <c:x val="1.4113330040222991E-3"/>
                  <c:y val="-4.8689138576779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3C-40FC-8FE3-A224E9257B4C}"/>
                </c:ext>
              </c:extLst>
            </c:dLbl>
            <c:spPr>
              <a:solidFill>
                <a:srgbClr val="FFFFFF"/>
              </a:solidFill>
              <a:ln w="1903">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700" b="1" i="0" u="none" strike="noStrike" baseline="0">
                    <a:solidFill>
                      <a:srgbClr val="000000"/>
                    </a:solidFill>
                    <a:latin typeface="Calibri"/>
                    <a:ea typeface="Calibri"/>
                    <a:cs typeface="Calibri"/>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1-6/2025.</c:v>
                </c:pt>
              </c:strCache>
            </c:strRef>
          </c:cat>
          <c:val>
            <c:numRef>
              <c:f>Sheet1!$B$2:$Q$2</c:f>
              <c:numCache>
                <c:formatCode>#,##0.00</c:formatCode>
                <c:ptCount val="16"/>
                <c:pt idx="0">
                  <c:v>7813156.2213816438</c:v>
                </c:pt>
                <c:pt idx="1">
                  <c:v>8748780.6755590942</c:v>
                </c:pt>
                <c:pt idx="2">
                  <c:v>8159193.9743844979</c:v>
                </c:pt>
                <c:pt idx="3">
                  <c:v>8295584.1794412369</c:v>
                </c:pt>
                <c:pt idx="4">
                  <c:v>8339345.27838609</c:v>
                </c:pt>
                <c:pt idx="5">
                  <c:v>6757974.251775167</c:v>
                </c:pt>
                <c:pt idx="6">
                  <c:v>8728098.4803238437</c:v>
                </c:pt>
                <c:pt idx="7">
                  <c:v>6412236.2465989776</c:v>
                </c:pt>
                <c:pt idx="8">
                  <c:v>8419747.5612183958</c:v>
                </c:pt>
                <c:pt idx="9">
                  <c:v>7414172.8980025221</c:v>
                </c:pt>
                <c:pt idx="10">
                  <c:v>5941288.6362731429</c:v>
                </c:pt>
                <c:pt idx="11">
                  <c:v>6467505.0355033502</c:v>
                </c:pt>
                <c:pt idx="12">
                  <c:v>7813156.2213816438</c:v>
                </c:pt>
                <c:pt idx="13">
                  <c:v>11125728</c:v>
                </c:pt>
                <c:pt idx="14">
                  <c:v>12304334.52</c:v>
                </c:pt>
                <c:pt idx="15">
                  <c:v>7371146.6600000001</c:v>
                </c:pt>
              </c:numCache>
            </c:numRef>
          </c:val>
          <c:extLst>
            <c:ext xmlns:c16="http://schemas.microsoft.com/office/drawing/2014/chart" uri="{C3380CC4-5D6E-409C-BE32-E72D297353CC}">
              <c16:uniqueId val="{00000019-CC3C-40FC-8FE3-A224E9257B4C}"/>
            </c:ext>
          </c:extLst>
        </c:ser>
        <c:dLbls>
          <c:showLegendKey val="0"/>
          <c:showVal val="0"/>
          <c:showCatName val="0"/>
          <c:showSerName val="0"/>
          <c:showPercent val="0"/>
          <c:showBubbleSize val="0"/>
        </c:dLbls>
        <c:gapWidth val="170"/>
        <c:axId val="180767360"/>
        <c:axId val="188188160"/>
      </c:barChart>
      <c:catAx>
        <c:axId val="180767360"/>
        <c:scaling>
          <c:orientation val="minMax"/>
        </c:scaling>
        <c:delete val="0"/>
        <c:axPos val="b"/>
        <c:majorGridlines>
          <c:spPr>
            <a:ln w="1903">
              <a:solidFill>
                <a:srgbClr val="000000"/>
              </a:solidFill>
              <a:prstDash val="solid"/>
            </a:ln>
          </c:spPr>
        </c:majorGridlines>
        <c:title>
          <c:tx>
            <c:rich>
              <a:bodyPr/>
              <a:lstStyle/>
              <a:p>
                <a:pPr>
                  <a:defRPr sz="900" b="1" i="0" u="none" strike="noStrike" baseline="0">
                    <a:solidFill>
                      <a:srgbClr val="000000"/>
                    </a:solidFill>
                    <a:latin typeface="Calibri"/>
                    <a:ea typeface="Calibri"/>
                    <a:cs typeface="Calibri"/>
                  </a:defRPr>
                </a:pPr>
                <a:r>
                  <a:rPr lang="en-GB" sz="900"/>
                  <a:t>g o d i n a</a:t>
                </a:r>
              </a:p>
            </c:rich>
          </c:tx>
          <c:layout>
            <c:manualLayout>
              <c:xMode val="edge"/>
              <c:yMode val="edge"/>
              <c:x val="0.49136936529465464"/>
              <c:y val="0.87901972927541361"/>
            </c:manualLayout>
          </c:layout>
          <c:overlay val="0"/>
          <c:spPr>
            <a:noFill/>
            <a:ln w="15222">
              <a:noFill/>
            </a:ln>
          </c:spPr>
        </c:title>
        <c:numFmt formatCode="General" sourceLinked="1"/>
        <c:majorTickMark val="out"/>
        <c:minorTickMark val="none"/>
        <c:tickLblPos val="nextTo"/>
        <c:spPr>
          <a:ln w="1903">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sr-Latn-RS"/>
          </a:p>
        </c:txPr>
        <c:crossAx val="188188160"/>
        <c:crosses val="autoZero"/>
        <c:auto val="1"/>
        <c:lblAlgn val="ctr"/>
        <c:lblOffset val="100"/>
        <c:tickLblSkip val="1"/>
        <c:tickMarkSkip val="1"/>
        <c:noMultiLvlLbl val="0"/>
      </c:catAx>
      <c:valAx>
        <c:axId val="188188160"/>
        <c:scaling>
          <c:orientation val="minMax"/>
        </c:scaling>
        <c:delete val="0"/>
        <c:axPos val="l"/>
        <c:majorGridlines>
          <c:spPr>
            <a:ln>
              <a:solidFill>
                <a:sysClr val="window" lastClr="FFFFFF">
                  <a:lumMod val="65000"/>
                </a:sysClr>
              </a:solidFill>
            </a:ln>
          </c:spPr>
        </c:majorGridlines>
        <c:title>
          <c:tx>
            <c:rich>
              <a:bodyPr/>
              <a:lstStyle/>
              <a:p>
                <a:pPr>
                  <a:defRPr sz="1000" b="1" i="0" u="none" strike="noStrike" baseline="0">
                    <a:solidFill>
                      <a:srgbClr val="000000"/>
                    </a:solidFill>
                    <a:latin typeface="Calibri"/>
                    <a:ea typeface="Calibri"/>
                    <a:cs typeface="Calibri"/>
                  </a:defRPr>
                </a:pPr>
                <a:r>
                  <a:rPr lang="en-GB" sz="1000"/>
                  <a:t>i z n o s  </a:t>
                </a:r>
                <a:r>
                  <a:rPr lang="hr-HR" sz="1000"/>
                  <a:t>(€)</a:t>
                </a:r>
                <a:endParaRPr lang="en-GB" sz="1000"/>
              </a:p>
            </c:rich>
          </c:tx>
          <c:layout>
            <c:manualLayout>
              <c:xMode val="edge"/>
              <c:yMode val="edge"/>
              <c:x val="4.229620545896938E-2"/>
              <c:y val="0.31920198177475007"/>
            </c:manualLayout>
          </c:layout>
          <c:overlay val="0"/>
          <c:spPr>
            <a:noFill/>
            <a:ln w="15222">
              <a:noFill/>
            </a:ln>
          </c:spPr>
        </c:title>
        <c:numFmt formatCode="#,##0.00" sourceLinked="1"/>
        <c:majorTickMark val="out"/>
        <c:minorTickMark val="none"/>
        <c:tickLblPos val="nextTo"/>
        <c:spPr>
          <a:ln w="1903">
            <a:solidFill>
              <a:srgbClr val="000000"/>
            </a:solidFill>
            <a:prstDash val="solid"/>
          </a:ln>
        </c:spPr>
        <c:txPr>
          <a:bodyPr rot="0" vert="horz"/>
          <a:lstStyle/>
          <a:p>
            <a:pPr>
              <a:defRPr sz="700" b="1" i="0" u="none" strike="noStrike" baseline="0">
                <a:solidFill>
                  <a:srgbClr val="000000"/>
                </a:solidFill>
                <a:latin typeface="Calibri"/>
                <a:ea typeface="Calibri"/>
                <a:cs typeface="Calibri"/>
              </a:defRPr>
            </a:pPr>
            <a:endParaRPr lang="sr-Latn-RS"/>
          </a:p>
        </c:txPr>
        <c:crossAx val="180767360"/>
        <c:crosses val="autoZero"/>
        <c:crossBetween val="between"/>
      </c:valAx>
      <c:spPr>
        <a:blipFill dpi="0" rotWithShape="0">
          <a:blip xmlns:r="http://schemas.openxmlformats.org/officeDocument/2006/relationships" r:embed="rId3"/>
          <a:srcRect/>
          <a:tile tx="0" ty="0" sx="100000" sy="100000" flip="none" algn="tl"/>
        </a:blipFill>
        <a:ln w="7611">
          <a:solidFill>
            <a:srgbClr val="C0C0C0"/>
          </a:solidFill>
          <a:prstDash val="sysDash"/>
        </a:ln>
      </c:spPr>
    </c:plotArea>
    <c:legend>
      <c:legendPos val="b"/>
      <c:layout>
        <c:manualLayout>
          <c:xMode val="edge"/>
          <c:yMode val="edge"/>
          <c:x val="0.12598669679732982"/>
          <c:y val="0.91884897814739452"/>
          <c:w val="0.78895515239340397"/>
          <c:h val="5.8679111740245954E-2"/>
        </c:manualLayout>
      </c:layout>
      <c:overlay val="0"/>
      <c:spPr>
        <a:solidFill>
          <a:srgbClr val="FFFFFF"/>
        </a:solidFill>
        <a:ln w="1903">
          <a:solidFill>
            <a:srgbClr val="000000"/>
          </a:solidFill>
          <a:prstDash val="solid"/>
        </a:ln>
      </c:spPr>
      <c:txPr>
        <a:bodyPr/>
        <a:lstStyle/>
        <a:p>
          <a:pPr>
            <a:defRPr sz="8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629" b="1" i="0" u="none" strike="noStrike" baseline="0">
          <a:solidFill>
            <a:srgbClr val="000000"/>
          </a:solidFill>
          <a:latin typeface="Calibri"/>
          <a:ea typeface="Calibri"/>
          <a:cs typeface="Calibri"/>
        </a:defRPr>
      </a:pPr>
      <a:endParaRPr lang="sr-Latn-RS"/>
    </a:p>
  </c:txPr>
  <c:externalData r:id="rId4">
    <c:autoUpdate val="0"/>
  </c:externalData>
</c:chartSpace>
</file>

<file path=word/drawings/drawing1.xml><?xml version="1.0" encoding="utf-8"?>
<c:userShapes xmlns:c="http://schemas.openxmlformats.org/drawingml/2006/chart">
  <cdr:relSizeAnchor xmlns:cdr="http://schemas.openxmlformats.org/drawingml/2006/chartDrawing">
    <cdr:from>
      <cdr:x>0.48431</cdr:x>
      <cdr:y>0.44595</cdr:y>
    </cdr:from>
    <cdr:to>
      <cdr:x>0.67963</cdr:x>
      <cdr:y>0.5521</cdr:y>
    </cdr:to>
    <cdr:cxnSp macro="">
      <cdr:nvCxnSpPr>
        <cdr:cNvPr id="2" name="Ravni poveznik sa strelicom 1"/>
        <cdr:cNvCxnSpPr/>
      </cdr:nvCxnSpPr>
      <cdr:spPr>
        <a:xfrm xmlns:a="http://schemas.openxmlformats.org/drawingml/2006/main" flipH="1">
          <a:off x="3182112" y="969036"/>
          <a:ext cx="1283292" cy="230657"/>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0.55399</cdr:x>
      <cdr:y>0.31765</cdr:y>
    </cdr:from>
    <cdr:to>
      <cdr:x>0.72289</cdr:x>
      <cdr:y>0.50466</cdr:y>
    </cdr:to>
    <cdr:cxnSp macro="">
      <cdr:nvCxnSpPr>
        <cdr:cNvPr id="2" name="Ravni poveznik sa strelicom 1"/>
        <cdr:cNvCxnSpPr/>
      </cdr:nvCxnSpPr>
      <cdr:spPr>
        <a:xfrm xmlns:a="http://schemas.openxmlformats.org/drawingml/2006/main" flipH="1">
          <a:off x="3977640" y="844147"/>
          <a:ext cx="1212670" cy="496973"/>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0.59461</cdr:x>
      <cdr:y>0.21362</cdr:y>
    </cdr:from>
    <cdr:to>
      <cdr:x>0.70933</cdr:x>
      <cdr:y>0.41419</cdr:y>
    </cdr:to>
    <cdr:cxnSp macro="">
      <cdr:nvCxnSpPr>
        <cdr:cNvPr id="2" name="Ravni poveznik sa strelicom 1"/>
        <cdr:cNvCxnSpPr/>
      </cdr:nvCxnSpPr>
      <cdr:spPr>
        <a:xfrm xmlns:a="http://schemas.openxmlformats.org/drawingml/2006/main" flipH="1">
          <a:off x="4468633" y="742270"/>
          <a:ext cx="862142" cy="69691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0.65126</cdr:x>
      <cdr:y>0.21297</cdr:y>
    </cdr:from>
    <cdr:to>
      <cdr:x>0.69832</cdr:x>
      <cdr:y>0.30235</cdr:y>
    </cdr:to>
    <cdr:cxnSp macro="">
      <cdr:nvCxnSpPr>
        <cdr:cNvPr id="2" name="Ravni poveznik sa strelicom 1"/>
        <cdr:cNvCxnSpPr/>
      </cdr:nvCxnSpPr>
      <cdr:spPr>
        <a:xfrm xmlns:a="http://schemas.openxmlformats.org/drawingml/2006/main" flipH="1">
          <a:off x="5502303" y="890529"/>
          <a:ext cx="397576" cy="37372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0.48834</cdr:x>
      <cdr:y>0.19485</cdr:y>
    </cdr:from>
    <cdr:to>
      <cdr:x>0.65767</cdr:x>
      <cdr:y>0.36765</cdr:y>
    </cdr:to>
    <cdr:cxnSp macro="">
      <cdr:nvCxnSpPr>
        <cdr:cNvPr id="3" name="Ravni poveznik sa strelicom 2"/>
        <cdr:cNvCxnSpPr/>
      </cdr:nvCxnSpPr>
      <cdr:spPr>
        <a:xfrm xmlns:a="http://schemas.openxmlformats.org/drawingml/2006/main" flipH="1">
          <a:off x="3790950" y="504825"/>
          <a:ext cx="1314450" cy="4476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0.46096</cdr:x>
      <cdr:y>0.15619</cdr:y>
    </cdr:from>
    <cdr:to>
      <cdr:x>0.68764</cdr:x>
      <cdr:y>0.25964</cdr:y>
    </cdr:to>
    <cdr:cxnSp macro="">
      <cdr:nvCxnSpPr>
        <cdr:cNvPr id="2" name="Ravni poveznik sa strelicom 1"/>
        <cdr:cNvCxnSpPr/>
      </cdr:nvCxnSpPr>
      <cdr:spPr>
        <a:xfrm xmlns:a="http://schemas.openxmlformats.org/drawingml/2006/main" flipH="1">
          <a:off x="4048162" y="733425"/>
          <a:ext cx="1990688" cy="48579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01F1F6-79C2-4733-B19E-F588FB627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308</Pages>
  <Words>89781</Words>
  <Characters>511758</Characters>
  <Application>Microsoft Office Word</Application>
  <DocSecurity>0</DocSecurity>
  <Lines>4264</Lines>
  <Paragraphs>1200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kntref1</dc:creator>
  <cp:keywords/>
  <dc:description/>
  <cp:lastModifiedBy>marija.milkovic@opcinakonavle.hr</cp:lastModifiedBy>
  <cp:revision>4</cp:revision>
  <cp:lastPrinted>2025-09-02T10:13:00Z</cp:lastPrinted>
  <dcterms:created xsi:type="dcterms:W3CDTF">2025-09-02T10:17:00Z</dcterms:created>
  <dcterms:modified xsi:type="dcterms:W3CDTF">2025-09-23T12:48:00Z</dcterms:modified>
</cp:coreProperties>
</file>